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0EEEDB3" w14:textId="77777777" w:rsidR="000D173B" w:rsidRDefault="000D173B" w:rsidP="000D173B">
      <w:pPr>
        <w:jc w:val="right"/>
        <w:rPr>
          <w:rFonts w:ascii="Times New Roman" w:hAnsi="Times New Roman" w:cs="Times New Roman"/>
          <w:sz w:val="28"/>
          <w:szCs w:val="28"/>
        </w:rPr>
      </w:pPr>
      <w:r>
        <w:rPr>
          <w:rFonts w:ascii="Times New Roman" w:hAnsi="Times New Roman" w:cs="Times New Roman"/>
          <w:sz w:val="28"/>
          <w:szCs w:val="28"/>
        </w:rPr>
        <w:t>Приложение 2                                                                                                                        к решению Думы                                                                                                             города-курорта Кисловодска                                                                                                    от «____»  __________2024г. № ____________</w:t>
      </w:r>
    </w:p>
    <w:p w14:paraId="7B031528" w14:textId="77777777" w:rsidR="00171AA8" w:rsidRPr="00731FE2" w:rsidRDefault="00171AA8">
      <w:pPr>
        <w:shd w:val="clear" w:color="auto" w:fill="FFFFFF" w:themeFill="background1"/>
        <w:spacing w:line="360" w:lineRule="auto"/>
        <w:ind w:firstLine="0"/>
        <w:jc w:val="center"/>
        <w:rPr>
          <w:rFonts w:ascii="Times New Roman" w:hAnsi="Times New Roman" w:cs="Times New Roman"/>
          <w:b/>
          <w:sz w:val="28"/>
          <w:szCs w:val="28"/>
        </w:rPr>
      </w:pPr>
      <w:bookmarkStart w:id="0" w:name="_GoBack"/>
      <w:bookmarkEnd w:id="0"/>
    </w:p>
    <w:p w14:paraId="404F92C5" w14:textId="77777777" w:rsidR="00171AA8" w:rsidRPr="00731FE2" w:rsidRDefault="00171AA8">
      <w:pPr>
        <w:shd w:val="clear" w:color="auto" w:fill="FFFFFF" w:themeFill="background1"/>
        <w:spacing w:line="360" w:lineRule="auto"/>
        <w:ind w:firstLine="0"/>
        <w:jc w:val="center"/>
        <w:rPr>
          <w:rFonts w:ascii="Times New Roman" w:hAnsi="Times New Roman" w:cs="Times New Roman"/>
          <w:b/>
          <w:sz w:val="28"/>
          <w:szCs w:val="28"/>
        </w:rPr>
      </w:pPr>
    </w:p>
    <w:p w14:paraId="47BE777E" w14:textId="77777777" w:rsidR="00171AA8" w:rsidRPr="00731FE2" w:rsidRDefault="00171AA8">
      <w:pPr>
        <w:shd w:val="clear" w:color="auto" w:fill="FFFFFF" w:themeFill="background1"/>
        <w:spacing w:line="360" w:lineRule="auto"/>
        <w:ind w:firstLine="0"/>
        <w:jc w:val="center"/>
        <w:rPr>
          <w:rFonts w:ascii="Times New Roman" w:hAnsi="Times New Roman" w:cs="Times New Roman"/>
          <w:b/>
          <w:sz w:val="28"/>
          <w:szCs w:val="28"/>
        </w:rPr>
      </w:pPr>
    </w:p>
    <w:p w14:paraId="70FAF423" w14:textId="77777777" w:rsidR="00171AA8" w:rsidRPr="00731FE2" w:rsidRDefault="00171AA8">
      <w:pPr>
        <w:shd w:val="clear" w:color="auto" w:fill="FFFFFF" w:themeFill="background1"/>
        <w:spacing w:line="360" w:lineRule="auto"/>
        <w:ind w:firstLine="0"/>
        <w:jc w:val="center"/>
        <w:rPr>
          <w:rFonts w:ascii="Times New Roman" w:hAnsi="Times New Roman" w:cs="Times New Roman"/>
          <w:b/>
          <w:sz w:val="28"/>
          <w:szCs w:val="28"/>
        </w:rPr>
      </w:pPr>
    </w:p>
    <w:p w14:paraId="6674DAF9" w14:textId="77777777" w:rsidR="00171AA8" w:rsidRPr="00731FE2" w:rsidRDefault="00171AA8">
      <w:pPr>
        <w:shd w:val="clear" w:color="auto" w:fill="FFFFFF" w:themeFill="background1"/>
        <w:spacing w:line="360" w:lineRule="auto"/>
        <w:ind w:firstLine="0"/>
        <w:jc w:val="center"/>
        <w:rPr>
          <w:rFonts w:ascii="Times New Roman" w:hAnsi="Times New Roman" w:cs="Times New Roman"/>
          <w:b/>
          <w:sz w:val="28"/>
          <w:szCs w:val="28"/>
        </w:rPr>
      </w:pPr>
    </w:p>
    <w:p w14:paraId="2C0170D4" w14:textId="77777777" w:rsidR="00171AA8" w:rsidRPr="00731FE2" w:rsidRDefault="00171AA8">
      <w:pPr>
        <w:shd w:val="clear" w:color="auto" w:fill="FFFFFF" w:themeFill="background1"/>
        <w:spacing w:line="360" w:lineRule="auto"/>
        <w:ind w:firstLine="0"/>
        <w:jc w:val="center"/>
        <w:rPr>
          <w:rFonts w:ascii="Times New Roman" w:hAnsi="Times New Roman" w:cs="Times New Roman"/>
          <w:b/>
          <w:sz w:val="28"/>
          <w:szCs w:val="28"/>
        </w:rPr>
      </w:pPr>
    </w:p>
    <w:p w14:paraId="4E523DD8" w14:textId="77777777" w:rsidR="00171AA8" w:rsidRPr="00731FE2" w:rsidRDefault="00171AA8">
      <w:pPr>
        <w:shd w:val="clear" w:color="auto" w:fill="FFFFFF" w:themeFill="background1"/>
        <w:spacing w:line="360" w:lineRule="auto"/>
        <w:ind w:firstLine="0"/>
        <w:jc w:val="center"/>
        <w:rPr>
          <w:rFonts w:ascii="Times New Roman" w:hAnsi="Times New Roman" w:cs="Times New Roman"/>
          <w:b/>
          <w:sz w:val="28"/>
          <w:szCs w:val="28"/>
        </w:rPr>
      </w:pPr>
    </w:p>
    <w:p w14:paraId="441B7696" w14:textId="77777777" w:rsidR="00171AA8" w:rsidRPr="00731FE2" w:rsidRDefault="00171AA8">
      <w:pPr>
        <w:shd w:val="clear" w:color="auto" w:fill="FFFFFF" w:themeFill="background1"/>
        <w:spacing w:line="360" w:lineRule="auto"/>
        <w:ind w:firstLine="0"/>
        <w:jc w:val="center"/>
        <w:rPr>
          <w:rFonts w:ascii="Times New Roman" w:hAnsi="Times New Roman" w:cs="Times New Roman"/>
          <w:b/>
          <w:sz w:val="28"/>
          <w:szCs w:val="28"/>
        </w:rPr>
      </w:pPr>
    </w:p>
    <w:p w14:paraId="6CA140A4" w14:textId="77777777" w:rsidR="00171AA8" w:rsidRPr="00731FE2" w:rsidRDefault="007935AB">
      <w:pPr>
        <w:shd w:val="clear" w:color="auto" w:fill="FFFFFF" w:themeFill="background1"/>
        <w:spacing w:line="360" w:lineRule="auto"/>
        <w:ind w:firstLine="0"/>
        <w:jc w:val="center"/>
        <w:rPr>
          <w:rFonts w:ascii="Times New Roman" w:hAnsi="Times New Roman" w:cs="Times New Roman"/>
          <w:b/>
          <w:sz w:val="28"/>
          <w:szCs w:val="28"/>
        </w:rPr>
      </w:pPr>
      <w:r w:rsidRPr="00731FE2">
        <w:rPr>
          <w:rFonts w:ascii="Times New Roman" w:hAnsi="Times New Roman" w:cs="Times New Roman"/>
          <w:b/>
          <w:sz w:val="28"/>
          <w:szCs w:val="28"/>
        </w:rPr>
        <w:t>ВНЕСЕНИЕ ИЗМЕНЕНИЙ В ГЕНЕРАЛЬНЫЙ ПЛАН</w:t>
      </w:r>
    </w:p>
    <w:p w14:paraId="0139BFDB" w14:textId="77777777" w:rsidR="00171AA8" w:rsidRPr="00731FE2" w:rsidRDefault="007935AB">
      <w:pPr>
        <w:shd w:val="clear" w:color="auto" w:fill="FFFFFF" w:themeFill="background1"/>
        <w:spacing w:line="360" w:lineRule="auto"/>
        <w:ind w:firstLine="0"/>
        <w:jc w:val="center"/>
        <w:rPr>
          <w:rFonts w:ascii="Times New Roman" w:hAnsi="Times New Roman" w:cs="Times New Roman"/>
          <w:b/>
          <w:sz w:val="28"/>
          <w:szCs w:val="28"/>
        </w:rPr>
      </w:pPr>
      <w:r w:rsidRPr="00731FE2">
        <w:rPr>
          <w:rFonts w:ascii="Times New Roman" w:hAnsi="Times New Roman" w:cs="Times New Roman"/>
          <w:b/>
          <w:sz w:val="28"/>
          <w:szCs w:val="28"/>
        </w:rPr>
        <w:t xml:space="preserve">ГОРОДСКОГО ОКРУГА </w:t>
      </w:r>
    </w:p>
    <w:p w14:paraId="1F81D3CE" w14:textId="77777777" w:rsidR="00171AA8" w:rsidRPr="00731FE2" w:rsidRDefault="007935AB">
      <w:pPr>
        <w:shd w:val="clear" w:color="auto" w:fill="FFFFFF" w:themeFill="background1"/>
        <w:spacing w:line="360" w:lineRule="auto"/>
        <w:ind w:firstLine="0"/>
        <w:jc w:val="center"/>
        <w:rPr>
          <w:rFonts w:ascii="Times New Roman" w:hAnsi="Times New Roman" w:cs="Times New Roman"/>
          <w:b/>
          <w:sz w:val="28"/>
          <w:szCs w:val="28"/>
        </w:rPr>
      </w:pPr>
      <w:r w:rsidRPr="00731FE2">
        <w:rPr>
          <w:rFonts w:ascii="Times New Roman" w:hAnsi="Times New Roman" w:cs="Times New Roman"/>
          <w:b/>
          <w:sz w:val="28"/>
          <w:szCs w:val="28"/>
        </w:rPr>
        <w:t>ГОРОДА-КУРОРТА КИСЛОВОДСКА СТАВРОПОЛЬСКОГО КРАЯ</w:t>
      </w:r>
    </w:p>
    <w:p w14:paraId="52A755DC" w14:textId="77777777" w:rsidR="00171AA8" w:rsidRPr="00731FE2" w:rsidRDefault="00171AA8">
      <w:pPr>
        <w:shd w:val="clear" w:color="auto" w:fill="FFFFFF" w:themeFill="background1"/>
        <w:spacing w:line="360" w:lineRule="auto"/>
        <w:ind w:firstLine="0"/>
        <w:jc w:val="center"/>
        <w:rPr>
          <w:rFonts w:ascii="Times New Roman" w:hAnsi="Times New Roman" w:cs="Times New Roman"/>
          <w:b/>
          <w:sz w:val="28"/>
          <w:szCs w:val="28"/>
        </w:rPr>
      </w:pPr>
    </w:p>
    <w:p w14:paraId="7895BDF6" w14:textId="77777777" w:rsidR="00171AA8" w:rsidRPr="00731FE2" w:rsidRDefault="00171AA8">
      <w:pPr>
        <w:shd w:val="clear" w:color="auto" w:fill="FFFFFF" w:themeFill="background1"/>
        <w:spacing w:line="360" w:lineRule="auto"/>
        <w:ind w:firstLine="0"/>
        <w:jc w:val="center"/>
        <w:rPr>
          <w:rFonts w:ascii="Times New Roman" w:hAnsi="Times New Roman" w:cs="Times New Roman"/>
          <w:b/>
          <w:sz w:val="28"/>
          <w:szCs w:val="28"/>
        </w:rPr>
      </w:pPr>
    </w:p>
    <w:p w14:paraId="23A57138" w14:textId="77777777" w:rsidR="00171AA8" w:rsidRPr="00731FE2" w:rsidRDefault="00171AA8">
      <w:pPr>
        <w:shd w:val="clear" w:color="auto" w:fill="FFFFFF" w:themeFill="background1"/>
        <w:spacing w:line="360" w:lineRule="auto"/>
        <w:ind w:firstLine="0"/>
        <w:jc w:val="center"/>
        <w:rPr>
          <w:rFonts w:ascii="Times New Roman" w:hAnsi="Times New Roman" w:cs="Times New Roman"/>
          <w:b/>
          <w:sz w:val="28"/>
          <w:szCs w:val="28"/>
        </w:rPr>
      </w:pPr>
    </w:p>
    <w:p w14:paraId="1CF525B9" w14:textId="77777777" w:rsidR="00171AA8" w:rsidRPr="00731FE2" w:rsidRDefault="007935AB">
      <w:pPr>
        <w:spacing w:line="360" w:lineRule="auto"/>
        <w:ind w:firstLine="0"/>
        <w:jc w:val="center"/>
        <w:rPr>
          <w:rFonts w:ascii="Times New Roman" w:eastAsia="Times New Roman" w:hAnsi="Times New Roman" w:cs="Times New Roman"/>
          <w:b/>
          <w:bCs/>
          <w:color w:val="000000"/>
          <w:sz w:val="28"/>
          <w:szCs w:val="28"/>
          <w:lang w:eastAsia="ru-RU"/>
        </w:rPr>
      </w:pPr>
      <w:r w:rsidRPr="00731FE2">
        <w:rPr>
          <w:rFonts w:ascii="Times New Roman" w:eastAsia="Times New Roman" w:hAnsi="Times New Roman" w:cs="Times New Roman"/>
          <w:b/>
          <w:bCs/>
          <w:color w:val="000000"/>
          <w:sz w:val="28"/>
          <w:szCs w:val="28"/>
          <w:lang w:eastAsia="ru-RU"/>
        </w:rPr>
        <w:t>ТОМ 2.</w:t>
      </w:r>
      <w:r w:rsidR="0070704B" w:rsidRPr="00731FE2">
        <w:rPr>
          <w:rFonts w:ascii="Times New Roman" w:eastAsia="Times New Roman" w:hAnsi="Times New Roman" w:cs="Times New Roman"/>
          <w:b/>
          <w:bCs/>
          <w:color w:val="000000"/>
          <w:sz w:val="28"/>
          <w:szCs w:val="28"/>
          <w:lang w:eastAsia="ru-RU"/>
        </w:rPr>
        <w:t xml:space="preserve"> </w:t>
      </w:r>
      <w:r w:rsidRPr="00731FE2">
        <w:rPr>
          <w:rFonts w:ascii="Times New Roman" w:eastAsia="Times New Roman" w:hAnsi="Times New Roman" w:cs="Times New Roman"/>
          <w:b/>
          <w:bCs/>
          <w:color w:val="000000"/>
          <w:sz w:val="28"/>
          <w:szCs w:val="28"/>
          <w:lang w:eastAsia="ru-RU"/>
        </w:rPr>
        <w:t>МАТЕРИАЛЫ ПО ОБОСНОВАНИЮ</w:t>
      </w:r>
    </w:p>
    <w:p w14:paraId="03B4DC6A" w14:textId="77777777" w:rsidR="00171AA8" w:rsidRPr="00731FE2" w:rsidRDefault="00171AA8">
      <w:pPr>
        <w:shd w:val="clear" w:color="auto" w:fill="FFFFFF" w:themeFill="background1"/>
        <w:spacing w:line="360" w:lineRule="auto"/>
        <w:ind w:firstLine="0"/>
        <w:jc w:val="center"/>
        <w:rPr>
          <w:rFonts w:ascii="Times New Roman" w:eastAsia="Times New Roman" w:hAnsi="Times New Roman" w:cs="Times New Roman"/>
          <w:b/>
          <w:bCs/>
          <w:color w:val="000000"/>
          <w:sz w:val="28"/>
          <w:szCs w:val="28"/>
          <w:lang w:eastAsia="ru-RU"/>
        </w:rPr>
      </w:pPr>
    </w:p>
    <w:p w14:paraId="4C787672" w14:textId="77777777" w:rsidR="00171AA8" w:rsidRPr="00731FE2" w:rsidRDefault="00171AA8">
      <w:pPr>
        <w:shd w:val="clear" w:color="auto" w:fill="FFFFFF" w:themeFill="background1"/>
        <w:spacing w:line="360" w:lineRule="auto"/>
        <w:ind w:firstLine="0"/>
        <w:jc w:val="center"/>
        <w:rPr>
          <w:rFonts w:ascii="Times New Roman" w:eastAsia="Times New Roman" w:hAnsi="Times New Roman" w:cs="Times New Roman"/>
          <w:b/>
          <w:bCs/>
          <w:color w:val="000000"/>
          <w:sz w:val="28"/>
          <w:szCs w:val="28"/>
          <w:lang w:eastAsia="ru-RU"/>
        </w:rPr>
      </w:pPr>
    </w:p>
    <w:p w14:paraId="4464C623" w14:textId="77777777" w:rsidR="00171AA8" w:rsidRPr="00731FE2" w:rsidRDefault="00171AA8">
      <w:pPr>
        <w:shd w:val="clear" w:color="auto" w:fill="FFFFFF" w:themeFill="background1"/>
        <w:spacing w:line="360" w:lineRule="auto"/>
        <w:ind w:firstLine="0"/>
        <w:jc w:val="center"/>
        <w:rPr>
          <w:rFonts w:ascii="Times New Roman" w:eastAsia="Times New Roman" w:hAnsi="Times New Roman" w:cs="Times New Roman"/>
          <w:b/>
          <w:bCs/>
          <w:color w:val="000000"/>
          <w:sz w:val="28"/>
          <w:szCs w:val="28"/>
          <w:lang w:eastAsia="ru-RU"/>
        </w:rPr>
      </w:pPr>
    </w:p>
    <w:p w14:paraId="6911F492" w14:textId="77777777" w:rsidR="00171AA8" w:rsidRPr="00731FE2" w:rsidRDefault="00171AA8">
      <w:pPr>
        <w:shd w:val="clear" w:color="auto" w:fill="FFFFFF" w:themeFill="background1"/>
        <w:spacing w:line="360" w:lineRule="auto"/>
        <w:ind w:firstLine="0"/>
        <w:jc w:val="center"/>
        <w:rPr>
          <w:rFonts w:ascii="Times New Roman" w:eastAsia="Times New Roman" w:hAnsi="Times New Roman" w:cs="Times New Roman"/>
          <w:b/>
          <w:bCs/>
          <w:color w:val="000000"/>
          <w:sz w:val="28"/>
          <w:szCs w:val="28"/>
          <w:lang w:eastAsia="ru-RU"/>
        </w:rPr>
      </w:pPr>
    </w:p>
    <w:p w14:paraId="70E0664B" w14:textId="77777777" w:rsidR="00171AA8" w:rsidRPr="00731FE2" w:rsidRDefault="00171AA8">
      <w:pPr>
        <w:shd w:val="clear" w:color="auto" w:fill="FFFFFF" w:themeFill="background1"/>
        <w:spacing w:line="360" w:lineRule="auto"/>
        <w:ind w:firstLine="0"/>
        <w:jc w:val="center"/>
        <w:rPr>
          <w:rFonts w:ascii="Times New Roman" w:eastAsia="Times New Roman" w:hAnsi="Times New Roman" w:cs="Times New Roman"/>
          <w:b/>
          <w:bCs/>
          <w:color w:val="000000"/>
          <w:sz w:val="28"/>
          <w:szCs w:val="28"/>
          <w:lang w:eastAsia="ru-RU"/>
        </w:rPr>
      </w:pPr>
    </w:p>
    <w:p w14:paraId="6BC1429B" w14:textId="77777777" w:rsidR="00171AA8" w:rsidRPr="00731FE2" w:rsidRDefault="00171AA8">
      <w:pPr>
        <w:shd w:val="clear" w:color="auto" w:fill="FFFFFF" w:themeFill="background1"/>
        <w:spacing w:line="360" w:lineRule="auto"/>
        <w:ind w:firstLine="0"/>
        <w:jc w:val="center"/>
        <w:rPr>
          <w:rFonts w:ascii="Times New Roman" w:eastAsia="Times New Roman" w:hAnsi="Times New Roman" w:cs="Times New Roman"/>
          <w:b/>
          <w:bCs/>
          <w:color w:val="000000"/>
          <w:sz w:val="28"/>
          <w:szCs w:val="28"/>
          <w:lang w:eastAsia="ru-RU"/>
        </w:rPr>
      </w:pPr>
    </w:p>
    <w:p w14:paraId="70251BC8" w14:textId="77777777" w:rsidR="00171AA8" w:rsidRPr="00731FE2" w:rsidRDefault="00171AA8">
      <w:pPr>
        <w:shd w:val="clear" w:color="auto" w:fill="FFFFFF" w:themeFill="background1"/>
        <w:spacing w:line="360" w:lineRule="auto"/>
        <w:ind w:firstLine="0"/>
        <w:jc w:val="center"/>
        <w:rPr>
          <w:rFonts w:ascii="Times New Roman" w:eastAsia="Times New Roman" w:hAnsi="Times New Roman" w:cs="Times New Roman"/>
          <w:b/>
          <w:bCs/>
          <w:color w:val="000000"/>
          <w:sz w:val="28"/>
          <w:szCs w:val="28"/>
          <w:lang w:eastAsia="ru-RU"/>
        </w:rPr>
      </w:pPr>
    </w:p>
    <w:p w14:paraId="5AA7C203" w14:textId="77777777" w:rsidR="00171AA8" w:rsidRPr="00731FE2" w:rsidRDefault="00171AA8">
      <w:pPr>
        <w:shd w:val="clear" w:color="auto" w:fill="FFFFFF" w:themeFill="background1"/>
        <w:spacing w:line="360" w:lineRule="auto"/>
        <w:ind w:firstLine="0"/>
        <w:jc w:val="center"/>
        <w:rPr>
          <w:rFonts w:ascii="Times New Roman" w:eastAsia="Times New Roman" w:hAnsi="Times New Roman" w:cs="Times New Roman"/>
          <w:b/>
          <w:bCs/>
          <w:color w:val="000000"/>
          <w:sz w:val="28"/>
          <w:szCs w:val="28"/>
          <w:lang w:eastAsia="ru-RU"/>
        </w:rPr>
      </w:pPr>
    </w:p>
    <w:p w14:paraId="70CADEC1" w14:textId="77777777" w:rsidR="00171AA8" w:rsidRPr="00731FE2" w:rsidRDefault="00171AA8">
      <w:pPr>
        <w:shd w:val="clear" w:color="auto" w:fill="FFFFFF" w:themeFill="background1"/>
        <w:spacing w:line="360" w:lineRule="auto"/>
        <w:ind w:firstLine="0"/>
        <w:jc w:val="center"/>
        <w:rPr>
          <w:rFonts w:ascii="Times New Roman" w:eastAsia="Times New Roman" w:hAnsi="Times New Roman" w:cs="Times New Roman"/>
          <w:b/>
          <w:bCs/>
          <w:color w:val="000000"/>
          <w:sz w:val="28"/>
          <w:szCs w:val="28"/>
          <w:lang w:eastAsia="ru-RU"/>
        </w:rPr>
      </w:pPr>
    </w:p>
    <w:p w14:paraId="31D08102" w14:textId="77777777" w:rsidR="00171AA8" w:rsidRPr="00731FE2" w:rsidRDefault="00171AA8">
      <w:pPr>
        <w:shd w:val="clear" w:color="auto" w:fill="FFFFFF" w:themeFill="background1"/>
        <w:spacing w:line="360" w:lineRule="auto"/>
        <w:ind w:firstLine="0"/>
        <w:jc w:val="center"/>
        <w:rPr>
          <w:rFonts w:ascii="Times New Roman" w:eastAsia="Times New Roman" w:hAnsi="Times New Roman" w:cs="Times New Roman"/>
          <w:b/>
          <w:bCs/>
          <w:color w:val="000000"/>
          <w:sz w:val="28"/>
          <w:szCs w:val="28"/>
          <w:lang w:eastAsia="ru-RU"/>
        </w:rPr>
      </w:pPr>
    </w:p>
    <w:p w14:paraId="26F1FCF9" w14:textId="77777777" w:rsidR="00171AA8" w:rsidRPr="00731FE2" w:rsidRDefault="00171AA8">
      <w:pPr>
        <w:shd w:val="clear" w:color="auto" w:fill="FFFFFF" w:themeFill="background1"/>
        <w:spacing w:line="360" w:lineRule="auto"/>
        <w:ind w:firstLine="0"/>
        <w:jc w:val="center"/>
        <w:rPr>
          <w:rFonts w:ascii="Times New Roman" w:eastAsia="Times New Roman" w:hAnsi="Times New Roman" w:cs="Times New Roman"/>
          <w:b/>
          <w:bCs/>
          <w:color w:val="000000"/>
          <w:sz w:val="28"/>
          <w:szCs w:val="28"/>
          <w:lang w:eastAsia="ru-RU"/>
        </w:rPr>
      </w:pPr>
    </w:p>
    <w:p w14:paraId="2C82AEBB" w14:textId="77777777" w:rsidR="00171AA8" w:rsidRPr="00731FE2" w:rsidRDefault="007935AB">
      <w:pPr>
        <w:shd w:val="clear" w:color="auto" w:fill="FFFFFF" w:themeFill="background1"/>
        <w:spacing w:line="360" w:lineRule="auto"/>
        <w:ind w:firstLine="0"/>
        <w:jc w:val="center"/>
        <w:rPr>
          <w:rFonts w:ascii="Times New Roman" w:eastAsia="Times New Roman" w:hAnsi="Times New Roman" w:cs="Times New Roman"/>
          <w:b/>
          <w:bCs/>
          <w:color w:val="000000"/>
          <w:sz w:val="28"/>
          <w:szCs w:val="28"/>
          <w:lang w:eastAsia="ru-RU"/>
        </w:rPr>
      </w:pPr>
      <w:r w:rsidRPr="00731FE2">
        <w:rPr>
          <w:rFonts w:ascii="Times New Roman" w:eastAsia="Times New Roman" w:hAnsi="Times New Roman" w:cs="Times New Roman"/>
          <w:b/>
          <w:bCs/>
          <w:color w:val="000000"/>
          <w:sz w:val="28"/>
          <w:szCs w:val="28"/>
          <w:lang w:eastAsia="ru-RU"/>
        </w:rPr>
        <w:t>2024</w:t>
      </w:r>
    </w:p>
    <w:sdt>
      <w:sdtPr>
        <w:rPr>
          <w:sz w:val="24"/>
        </w:rPr>
        <w:id w:val="1945967540"/>
        <w:docPartObj>
          <w:docPartGallery w:val="Table of Contents"/>
          <w:docPartUnique/>
        </w:docPartObj>
      </w:sdtPr>
      <w:sdtEndPr>
        <w:rPr>
          <w:b/>
          <w:bCs/>
          <w:sz w:val="28"/>
        </w:rPr>
      </w:sdtEndPr>
      <w:sdtContent>
        <w:p w14:paraId="2E854A6E" w14:textId="77777777" w:rsidR="00C50915" w:rsidRPr="00731FE2" w:rsidRDefault="007B3252">
          <w:pPr>
            <w:pStyle w:val="12"/>
            <w:tabs>
              <w:tab w:val="right" w:leader="dot" w:pos="9345"/>
            </w:tabs>
            <w:rPr>
              <w:rFonts w:asciiTheme="minorHAnsi" w:eastAsiaTheme="minorEastAsia" w:hAnsiTheme="minorHAnsi"/>
              <w:noProof/>
              <w:sz w:val="22"/>
              <w:lang w:eastAsia="ru-RU"/>
            </w:rPr>
          </w:pPr>
          <w:r w:rsidRPr="00731FE2">
            <w:rPr>
              <w:rFonts w:ascii="Times New Roman" w:hAnsi="Times New Roman" w:cs="Times New Roman"/>
              <w:b/>
              <w:bCs/>
              <w:sz w:val="24"/>
              <w:szCs w:val="24"/>
            </w:rPr>
            <w:fldChar w:fldCharType="begin"/>
          </w:r>
          <w:r w:rsidRPr="00731FE2">
            <w:rPr>
              <w:rFonts w:ascii="Times New Roman" w:hAnsi="Times New Roman" w:cs="Times New Roman"/>
              <w:b/>
              <w:bCs/>
              <w:sz w:val="24"/>
              <w:szCs w:val="24"/>
            </w:rPr>
            <w:instrText xml:space="preserve"> TOC \o "1-3" \h \z \u </w:instrText>
          </w:r>
          <w:r w:rsidRPr="00731FE2">
            <w:rPr>
              <w:rFonts w:ascii="Times New Roman" w:hAnsi="Times New Roman" w:cs="Times New Roman"/>
              <w:b/>
              <w:bCs/>
              <w:sz w:val="24"/>
              <w:szCs w:val="24"/>
            </w:rPr>
            <w:fldChar w:fldCharType="separate"/>
          </w:r>
          <w:hyperlink w:anchor="_Toc177392757" w:history="1">
            <w:r w:rsidR="00C50915" w:rsidRPr="00731FE2">
              <w:rPr>
                <w:rStyle w:val="af6"/>
                <w:rFonts w:ascii="Times New Roman" w:hAnsi="Times New Roman" w:cs="Times New Roman"/>
                <w:noProof/>
              </w:rPr>
              <w:t>СОСТАВ ПРОЕКТА</w:t>
            </w:r>
            <w:r w:rsidR="00C50915" w:rsidRPr="00731FE2">
              <w:rPr>
                <w:noProof/>
                <w:webHidden/>
              </w:rPr>
              <w:tab/>
            </w:r>
            <w:r w:rsidR="00C50915" w:rsidRPr="00731FE2">
              <w:rPr>
                <w:noProof/>
                <w:webHidden/>
              </w:rPr>
              <w:fldChar w:fldCharType="begin"/>
            </w:r>
            <w:r w:rsidR="00C50915" w:rsidRPr="00731FE2">
              <w:rPr>
                <w:noProof/>
                <w:webHidden/>
              </w:rPr>
              <w:instrText xml:space="preserve"> PAGEREF _Toc177392757 \h </w:instrText>
            </w:r>
            <w:r w:rsidR="00C50915" w:rsidRPr="00731FE2">
              <w:rPr>
                <w:noProof/>
                <w:webHidden/>
              </w:rPr>
            </w:r>
            <w:r w:rsidR="00C50915" w:rsidRPr="00731FE2">
              <w:rPr>
                <w:noProof/>
                <w:webHidden/>
              </w:rPr>
              <w:fldChar w:fldCharType="separate"/>
            </w:r>
            <w:r w:rsidR="00C50915" w:rsidRPr="00731FE2">
              <w:rPr>
                <w:noProof/>
                <w:webHidden/>
              </w:rPr>
              <w:t>5</w:t>
            </w:r>
            <w:r w:rsidR="00C50915" w:rsidRPr="00731FE2">
              <w:rPr>
                <w:noProof/>
                <w:webHidden/>
              </w:rPr>
              <w:fldChar w:fldCharType="end"/>
            </w:r>
          </w:hyperlink>
        </w:p>
        <w:p w14:paraId="4A851C00" w14:textId="77777777" w:rsidR="00C50915" w:rsidRPr="00731FE2" w:rsidRDefault="000D173B">
          <w:pPr>
            <w:pStyle w:val="12"/>
            <w:tabs>
              <w:tab w:val="right" w:leader="dot" w:pos="9345"/>
            </w:tabs>
            <w:rPr>
              <w:rFonts w:asciiTheme="minorHAnsi" w:eastAsiaTheme="minorEastAsia" w:hAnsiTheme="minorHAnsi"/>
              <w:noProof/>
              <w:sz w:val="22"/>
              <w:lang w:eastAsia="ru-RU"/>
            </w:rPr>
          </w:pPr>
          <w:hyperlink w:anchor="_Toc177392758" w:history="1">
            <w:r w:rsidR="00C50915" w:rsidRPr="00731FE2">
              <w:rPr>
                <w:rStyle w:val="af6"/>
                <w:rFonts w:ascii="Times New Roman" w:hAnsi="Times New Roman" w:cs="Times New Roman"/>
                <w:noProof/>
              </w:rPr>
              <w:t>ТЕРМИНЫ И ОПРЕДЕЛЕНИЯ</w:t>
            </w:r>
            <w:r w:rsidR="00C50915" w:rsidRPr="00731FE2">
              <w:rPr>
                <w:noProof/>
                <w:webHidden/>
              </w:rPr>
              <w:tab/>
            </w:r>
            <w:r w:rsidR="00C50915" w:rsidRPr="00731FE2">
              <w:rPr>
                <w:noProof/>
                <w:webHidden/>
              </w:rPr>
              <w:fldChar w:fldCharType="begin"/>
            </w:r>
            <w:r w:rsidR="00C50915" w:rsidRPr="00731FE2">
              <w:rPr>
                <w:noProof/>
                <w:webHidden/>
              </w:rPr>
              <w:instrText xml:space="preserve"> PAGEREF _Toc177392758 \h </w:instrText>
            </w:r>
            <w:r w:rsidR="00C50915" w:rsidRPr="00731FE2">
              <w:rPr>
                <w:noProof/>
                <w:webHidden/>
              </w:rPr>
            </w:r>
            <w:r w:rsidR="00C50915" w:rsidRPr="00731FE2">
              <w:rPr>
                <w:noProof/>
                <w:webHidden/>
              </w:rPr>
              <w:fldChar w:fldCharType="separate"/>
            </w:r>
            <w:r w:rsidR="00C50915" w:rsidRPr="00731FE2">
              <w:rPr>
                <w:noProof/>
                <w:webHidden/>
              </w:rPr>
              <w:t>7</w:t>
            </w:r>
            <w:r w:rsidR="00C50915" w:rsidRPr="00731FE2">
              <w:rPr>
                <w:noProof/>
                <w:webHidden/>
              </w:rPr>
              <w:fldChar w:fldCharType="end"/>
            </w:r>
          </w:hyperlink>
        </w:p>
        <w:p w14:paraId="6F90151F" w14:textId="77777777" w:rsidR="00C50915" w:rsidRPr="00731FE2" w:rsidRDefault="000D173B">
          <w:pPr>
            <w:pStyle w:val="12"/>
            <w:tabs>
              <w:tab w:val="right" w:leader="dot" w:pos="9345"/>
            </w:tabs>
            <w:rPr>
              <w:rFonts w:asciiTheme="minorHAnsi" w:eastAsiaTheme="minorEastAsia" w:hAnsiTheme="minorHAnsi"/>
              <w:noProof/>
              <w:sz w:val="22"/>
              <w:lang w:eastAsia="ru-RU"/>
            </w:rPr>
          </w:pPr>
          <w:hyperlink w:anchor="_Toc177392759" w:history="1">
            <w:r w:rsidR="00C50915" w:rsidRPr="00731FE2">
              <w:rPr>
                <w:rStyle w:val="af6"/>
                <w:rFonts w:ascii="Times New Roman" w:hAnsi="Times New Roman" w:cs="Times New Roman"/>
                <w:noProof/>
              </w:rPr>
              <w:t>ПЕРЕЧЕНЬ СОКРАЩЕНИЙ И ОБОЗНАЧЕНИЙ</w:t>
            </w:r>
            <w:r w:rsidR="00C50915" w:rsidRPr="00731FE2">
              <w:rPr>
                <w:noProof/>
                <w:webHidden/>
              </w:rPr>
              <w:tab/>
            </w:r>
            <w:r w:rsidR="00C50915" w:rsidRPr="00731FE2">
              <w:rPr>
                <w:noProof/>
                <w:webHidden/>
              </w:rPr>
              <w:fldChar w:fldCharType="begin"/>
            </w:r>
            <w:r w:rsidR="00C50915" w:rsidRPr="00731FE2">
              <w:rPr>
                <w:noProof/>
                <w:webHidden/>
              </w:rPr>
              <w:instrText xml:space="preserve"> PAGEREF _Toc177392759 \h </w:instrText>
            </w:r>
            <w:r w:rsidR="00C50915" w:rsidRPr="00731FE2">
              <w:rPr>
                <w:noProof/>
                <w:webHidden/>
              </w:rPr>
            </w:r>
            <w:r w:rsidR="00C50915" w:rsidRPr="00731FE2">
              <w:rPr>
                <w:noProof/>
                <w:webHidden/>
              </w:rPr>
              <w:fldChar w:fldCharType="separate"/>
            </w:r>
            <w:r w:rsidR="00C50915" w:rsidRPr="00731FE2">
              <w:rPr>
                <w:noProof/>
                <w:webHidden/>
              </w:rPr>
              <w:t>11</w:t>
            </w:r>
            <w:r w:rsidR="00C50915" w:rsidRPr="00731FE2">
              <w:rPr>
                <w:noProof/>
                <w:webHidden/>
              </w:rPr>
              <w:fldChar w:fldCharType="end"/>
            </w:r>
          </w:hyperlink>
        </w:p>
        <w:p w14:paraId="05874066" w14:textId="77777777" w:rsidR="00C50915" w:rsidRPr="00731FE2" w:rsidRDefault="000D173B">
          <w:pPr>
            <w:pStyle w:val="12"/>
            <w:tabs>
              <w:tab w:val="right" w:leader="dot" w:pos="9345"/>
            </w:tabs>
            <w:rPr>
              <w:rFonts w:asciiTheme="minorHAnsi" w:eastAsiaTheme="minorEastAsia" w:hAnsiTheme="minorHAnsi"/>
              <w:noProof/>
              <w:sz w:val="22"/>
              <w:lang w:eastAsia="ru-RU"/>
            </w:rPr>
          </w:pPr>
          <w:hyperlink w:anchor="_Toc177392760" w:history="1">
            <w:r w:rsidR="00C50915" w:rsidRPr="00731FE2">
              <w:rPr>
                <w:rStyle w:val="af6"/>
                <w:rFonts w:ascii="Times New Roman" w:hAnsi="Times New Roman" w:cs="Times New Roman"/>
                <w:noProof/>
              </w:rPr>
              <w:t>ВВЕДЕНИЕ</w:t>
            </w:r>
            <w:r w:rsidR="00C50915" w:rsidRPr="00731FE2">
              <w:rPr>
                <w:noProof/>
                <w:webHidden/>
              </w:rPr>
              <w:tab/>
            </w:r>
            <w:r w:rsidR="00C50915" w:rsidRPr="00731FE2">
              <w:rPr>
                <w:noProof/>
                <w:webHidden/>
              </w:rPr>
              <w:fldChar w:fldCharType="begin"/>
            </w:r>
            <w:r w:rsidR="00C50915" w:rsidRPr="00731FE2">
              <w:rPr>
                <w:noProof/>
                <w:webHidden/>
              </w:rPr>
              <w:instrText xml:space="preserve"> PAGEREF _Toc177392760 \h </w:instrText>
            </w:r>
            <w:r w:rsidR="00C50915" w:rsidRPr="00731FE2">
              <w:rPr>
                <w:noProof/>
                <w:webHidden/>
              </w:rPr>
            </w:r>
            <w:r w:rsidR="00C50915" w:rsidRPr="00731FE2">
              <w:rPr>
                <w:noProof/>
                <w:webHidden/>
              </w:rPr>
              <w:fldChar w:fldCharType="separate"/>
            </w:r>
            <w:r w:rsidR="00C50915" w:rsidRPr="00731FE2">
              <w:rPr>
                <w:noProof/>
                <w:webHidden/>
              </w:rPr>
              <w:t>12</w:t>
            </w:r>
            <w:r w:rsidR="00C50915" w:rsidRPr="00731FE2">
              <w:rPr>
                <w:noProof/>
                <w:webHidden/>
              </w:rPr>
              <w:fldChar w:fldCharType="end"/>
            </w:r>
          </w:hyperlink>
        </w:p>
        <w:p w14:paraId="30BE3F87" w14:textId="77777777" w:rsidR="00C50915" w:rsidRPr="00731FE2" w:rsidRDefault="000D173B">
          <w:pPr>
            <w:pStyle w:val="12"/>
            <w:tabs>
              <w:tab w:val="right" w:leader="dot" w:pos="9345"/>
            </w:tabs>
            <w:rPr>
              <w:rFonts w:asciiTheme="minorHAnsi" w:eastAsiaTheme="minorEastAsia" w:hAnsiTheme="minorHAnsi"/>
              <w:noProof/>
              <w:sz w:val="22"/>
              <w:lang w:eastAsia="ru-RU"/>
            </w:rPr>
          </w:pPr>
          <w:hyperlink w:anchor="_Toc177392761" w:history="1">
            <w:r w:rsidR="00C50915" w:rsidRPr="00731FE2">
              <w:rPr>
                <w:rStyle w:val="af6"/>
                <w:rFonts w:ascii="Times New Roman" w:hAnsi="Times New Roman" w:cs="Times New Roman"/>
                <w:noProof/>
              </w:rPr>
              <w:t>1. СВЕДЕНИЯ ОБ УТВЕРЖДЕННЫХ ДОКУМЕНТАХ СТРАТЕГИЧЕСКОГО ПЛАНИРОВАНИЯ, О НАЦИОНАЛЬНЫХ ПРОЕКТАХ, МЕЖГОСУДАРСТВЕННЫХ ПРОГРАММАХ, ОБ ИНВЕСТИЦИОННЫХ ПРОГРАММАХ СУБЪЕКТОВ ЕСТЕСТВЕННЫХ МОНОПОЛИЙ, О РЕШЕНИЯХ ОРГАНОВ ГОСУДАРСТВЕННОЙ ВЛАСТИ, ИНЫХ ГЛАВНЫХ РАСПОРЯДИТЕЛЕЙ СРЕДСТВ СООТВЕТСТВУЮЩИХ БЮДЖЕТОВ, ПРЕДУСМАТРИВАЮЩИХ СОЗДАНИЕ ОБЪЕКТОВ МЕСТНОГО ЗНАЧЕНИЯ</w:t>
            </w:r>
            <w:r w:rsidR="00C50915" w:rsidRPr="00731FE2">
              <w:rPr>
                <w:noProof/>
                <w:webHidden/>
              </w:rPr>
              <w:tab/>
            </w:r>
            <w:r w:rsidR="00C50915" w:rsidRPr="00731FE2">
              <w:rPr>
                <w:noProof/>
                <w:webHidden/>
              </w:rPr>
              <w:fldChar w:fldCharType="begin"/>
            </w:r>
            <w:r w:rsidR="00C50915" w:rsidRPr="00731FE2">
              <w:rPr>
                <w:noProof/>
                <w:webHidden/>
              </w:rPr>
              <w:instrText xml:space="preserve"> PAGEREF _Toc177392761 \h </w:instrText>
            </w:r>
            <w:r w:rsidR="00C50915" w:rsidRPr="00731FE2">
              <w:rPr>
                <w:noProof/>
                <w:webHidden/>
              </w:rPr>
            </w:r>
            <w:r w:rsidR="00C50915" w:rsidRPr="00731FE2">
              <w:rPr>
                <w:noProof/>
                <w:webHidden/>
              </w:rPr>
              <w:fldChar w:fldCharType="separate"/>
            </w:r>
            <w:r w:rsidR="00C50915" w:rsidRPr="00731FE2">
              <w:rPr>
                <w:noProof/>
                <w:webHidden/>
              </w:rPr>
              <w:t>14</w:t>
            </w:r>
            <w:r w:rsidR="00C50915" w:rsidRPr="00731FE2">
              <w:rPr>
                <w:noProof/>
                <w:webHidden/>
              </w:rPr>
              <w:fldChar w:fldCharType="end"/>
            </w:r>
          </w:hyperlink>
        </w:p>
        <w:p w14:paraId="0D97F9E9" w14:textId="77777777" w:rsidR="00C50915" w:rsidRPr="00731FE2" w:rsidRDefault="000D173B">
          <w:pPr>
            <w:pStyle w:val="23"/>
            <w:tabs>
              <w:tab w:val="right" w:leader="dot" w:pos="9345"/>
            </w:tabs>
            <w:rPr>
              <w:rFonts w:asciiTheme="minorHAnsi" w:eastAsiaTheme="minorEastAsia" w:hAnsiTheme="minorHAnsi"/>
              <w:noProof/>
              <w:sz w:val="22"/>
              <w:lang w:eastAsia="ru-RU"/>
            </w:rPr>
          </w:pPr>
          <w:hyperlink w:anchor="_Toc177392762" w:history="1">
            <w:r w:rsidR="00C50915" w:rsidRPr="00731FE2">
              <w:rPr>
                <w:rStyle w:val="af6"/>
                <w:rFonts w:ascii="Times New Roman" w:hAnsi="Times New Roman" w:cs="Times New Roman"/>
                <w:noProof/>
              </w:rPr>
              <w:t>1.1 Сведения об утвержденных документах стратегического планирования Российской Федерации</w:t>
            </w:r>
            <w:r w:rsidR="00C50915" w:rsidRPr="00731FE2">
              <w:rPr>
                <w:noProof/>
                <w:webHidden/>
              </w:rPr>
              <w:tab/>
            </w:r>
            <w:r w:rsidR="00C50915" w:rsidRPr="00731FE2">
              <w:rPr>
                <w:noProof/>
                <w:webHidden/>
              </w:rPr>
              <w:fldChar w:fldCharType="begin"/>
            </w:r>
            <w:r w:rsidR="00C50915" w:rsidRPr="00731FE2">
              <w:rPr>
                <w:noProof/>
                <w:webHidden/>
              </w:rPr>
              <w:instrText xml:space="preserve"> PAGEREF _Toc177392762 \h </w:instrText>
            </w:r>
            <w:r w:rsidR="00C50915" w:rsidRPr="00731FE2">
              <w:rPr>
                <w:noProof/>
                <w:webHidden/>
              </w:rPr>
            </w:r>
            <w:r w:rsidR="00C50915" w:rsidRPr="00731FE2">
              <w:rPr>
                <w:noProof/>
                <w:webHidden/>
              </w:rPr>
              <w:fldChar w:fldCharType="separate"/>
            </w:r>
            <w:r w:rsidR="00C50915" w:rsidRPr="00731FE2">
              <w:rPr>
                <w:noProof/>
                <w:webHidden/>
              </w:rPr>
              <w:t>14</w:t>
            </w:r>
            <w:r w:rsidR="00C50915" w:rsidRPr="00731FE2">
              <w:rPr>
                <w:noProof/>
                <w:webHidden/>
              </w:rPr>
              <w:fldChar w:fldCharType="end"/>
            </w:r>
          </w:hyperlink>
        </w:p>
        <w:p w14:paraId="1A5B0749" w14:textId="77777777" w:rsidR="00C50915" w:rsidRPr="00731FE2" w:rsidRDefault="000D173B">
          <w:pPr>
            <w:pStyle w:val="23"/>
            <w:tabs>
              <w:tab w:val="right" w:leader="dot" w:pos="9345"/>
            </w:tabs>
            <w:rPr>
              <w:rFonts w:asciiTheme="minorHAnsi" w:eastAsiaTheme="minorEastAsia" w:hAnsiTheme="minorHAnsi"/>
              <w:noProof/>
              <w:sz w:val="22"/>
              <w:lang w:eastAsia="ru-RU"/>
            </w:rPr>
          </w:pPr>
          <w:hyperlink w:anchor="_Toc177392763" w:history="1">
            <w:r w:rsidR="00C50915" w:rsidRPr="00731FE2">
              <w:rPr>
                <w:rStyle w:val="af6"/>
                <w:rFonts w:ascii="Times New Roman" w:hAnsi="Times New Roman" w:cs="Times New Roman"/>
                <w:noProof/>
              </w:rPr>
              <w:t>1.2 Сведения об утвержденных документах стратегического планирования Ставропольского края</w:t>
            </w:r>
            <w:r w:rsidR="00C50915" w:rsidRPr="00731FE2">
              <w:rPr>
                <w:noProof/>
                <w:webHidden/>
              </w:rPr>
              <w:tab/>
            </w:r>
            <w:r w:rsidR="00C50915" w:rsidRPr="00731FE2">
              <w:rPr>
                <w:noProof/>
                <w:webHidden/>
              </w:rPr>
              <w:fldChar w:fldCharType="begin"/>
            </w:r>
            <w:r w:rsidR="00C50915" w:rsidRPr="00731FE2">
              <w:rPr>
                <w:noProof/>
                <w:webHidden/>
              </w:rPr>
              <w:instrText xml:space="preserve"> PAGEREF _Toc177392763 \h </w:instrText>
            </w:r>
            <w:r w:rsidR="00C50915" w:rsidRPr="00731FE2">
              <w:rPr>
                <w:noProof/>
                <w:webHidden/>
              </w:rPr>
            </w:r>
            <w:r w:rsidR="00C50915" w:rsidRPr="00731FE2">
              <w:rPr>
                <w:noProof/>
                <w:webHidden/>
              </w:rPr>
              <w:fldChar w:fldCharType="separate"/>
            </w:r>
            <w:r w:rsidR="00C50915" w:rsidRPr="00731FE2">
              <w:rPr>
                <w:noProof/>
                <w:webHidden/>
              </w:rPr>
              <w:t>16</w:t>
            </w:r>
            <w:r w:rsidR="00C50915" w:rsidRPr="00731FE2">
              <w:rPr>
                <w:noProof/>
                <w:webHidden/>
              </w:rPr>
              <w:fldChar w:fldCharType="end"/>
            </w:r>
          </w:hyperlink>
        </w:p>
        <w:p w14:paraId="3133325E" w14:textId="77777777" w:rsidR="00C50915" w:rsidRPr="00731FE2" w:rsidRDefault="000D173B">
          <w:pPr>
            <w:pStyle w:val="23"/>
            <w:tabs>
              <w:tab w:val="right" w:leader="dot" w:pos="9345"/>
            </w:tabs>
            <w:rPr>
              <w:rFonts w:asciiTheme="minorHAnsi" w:eastAsiaTheme="minorEastAsia" w:hAnsiTheme="minorHAnsi"/>
              <w:noProof/>
              <w:sz w:val="22"/>
              <w:lang w:eastAsia="ru-RU"/>
            </w:rPr>
          </w:pPr>
          <w:hyperlink w:anchor="_Toc177392764" w:history="1">
            <w:r w:rsidR="00C50915" w:rsidRPr="00731FE2">
              <w:rPr>
                <w:rStyle w:val="af6"/>
                <w:rFonts w:ascii="Times New Roman" w:hAnsi="Times New Roman" w:cs="Times New Roman"/>
                <w:noProof/>
              </w:rPr>
              <w:t>1.3 Сведения муниципального уровня, предусматривающих создание объектов местного значения, а также сведений, содержащихся в информационной системе территориального планирования</w:t>
            </w:r>
            <w:r w:rsidR="00C50915" w:rsidRPr="00731FE2">
              <w:rPr>
                <w:noProof/>
                <w:webHidden/>
              </w:rPr>
              <w:tab/>
            </w:r>
            <w:r w:rsidR="00C50915" w:rsidRPr="00731FE2">
              <w:rPr>
                <w:noProof/>
                <w:webHidden/>
              </w:rPr>
              <w:fldChar w:fldCharType="begin"/>
            </w:r>
            <w:r w:rsidR="00C50915" w:rsidRPr="00731FE2">
              <w:rPr>
                <w:noProof/>
                <w:webHidden/>
              </w:rPr>
              <w:instrText xml:space="preserve"> PAGEREF _Toc177392764 \h </w:instrText>
            </w:r>
            <w:r w:rsidR="00C50915" w:rsidRPr="00731FE2">
              <w:rPr>
                <w:noProof/>
                <w:webHidden/>
              </w:rPr>
            </w:r>
            <w:r w:rsidR="00C50915" w:rsidRPr="00731FE2">
              <w:rPr>
                <w:noProof/>
                <w:webHidden/>
              </w:rPr>
              <w:fldChar w:fldCharType="separate"/>
            </w:r>
            <w:r w:rsidR="00C50915" w:rsidRPr="00731FE2">
              <w:rPr>
                <w:noProof/>
                <w:webHidden/>
              </w:rPr>
              <w:t>17</w:t>
            </w:r>
            <w:r w:rsidR="00C50915" w:rsidRPr="00731FE2">
              <w:rPr>
                <w:noProof/>
                <w:webHidden/>
              </w:rPr>
              <w:fldChar w:fldCharType="end"/>
            </w:r>
          </w:hyperlink>
        </w:p>
        <w:p w14:paraId="1420187E" w14:textId="77777777" w:rsidR="00C50915" w:rsidRPr="00731FE2" w:rsidRDefault="000D173B">
          <w:pPr>
            <w:pStyle w:val="12"/>
            <w:tabs>
              <w:tab w:val="right" w:leader="dot" w:pos="9345"/>
            </w:tabs>
            <w:rPr>
              <w:rFonts w:asciiTheme="minorHAnsi" w:eastAsiaTheme="minorEastAsia" w:hAnsiTheme="minorHAnsi"/>
              <w:noProof/>
              <w:sz w:val="22"/>
              <w:lang w:eastAsia="ru-RU"/>
            </w:rPr>
          </w:pPr>
          <w:hyperlink w:anchor="_Toc177392765" w:history="1">
            <w:r w:rsidR="00C50915" w:rsidRPr="00731FE2">
              <w:rPr>
                <w:rStyle w:val="af6"/>
                <w:rFonts w:ascii="Times New Roman" w:hAnsi="Times New Roman" w:cs="Times New Roman"/>
                <w:noProof/>
              </w:rPr>
              <w:t>2. ОБОСНОВАНИЕ ВЫБРАННОГО ВАРИАНТА РАЗМЕЩЕНИЯ ОБЪЕКТОВ МЕСТНОГО ЗНАЧЕНИЯ ГОРОДСКОГО ОКРУГА НА ОСНОВЕ АНАЛИЗА ИСПОЛЬЗОВАНИЯ ТЕРРИТОРИЙ, ВОЗМОЖНЫХ НАПРАВЛЕНИЙ ЕЕ РАЗВИТИЯ И ПРОГНОЗИРУЕМЫХ ОГРАНИЧЕНИЙ</w:t>
            </w:r>
            <w:r w:rsidR="00C50915" w:rsidRPr="00731FE2">
              <w:rPr>
                <w:noProof/>
                <w:webHidden/>
              </w:rPr>
              <w:tab/>
            </w:r>
            <w:r w:rsidR="00C50915" w:rsidRPr="00731FE2">
              <w:rPr>
                <w:noProof/>
                <w:webHidden/>
              </w:rPr>
              <w:fldChar w:fldCharType="begin"/>
            </w:r>
            <w:r w:rsidR="00C50915" w:rsidRPr="00731FE2">
              <w:rPr>
                <w:noProof/>
                <w:webHidden/>
              </w:rPr>
              <w:instrText xml:space="preserve"> PAGEREF _Toc177392765 \h </w:instrText>
            </w:r>
            <w:r w:rsidR="00C50915" w:rsidRPr="00731FE2">
              <w:rPr>
                <w:noProof/>
                <w:webHidden/>
              </w:rPr>
            </w:r>
            <w:r w:rsidR="00C50915" w:rsidRPr="00731FE2">
              <w:rPr>
                <w:noProof/>
                <w:webHidden/>
              </w:rPr>
              <w:fldChar w:fldCharType="separate"/>
            </w:r>
            <w:r w:rsidR="00C50915" w:rsidRPr="00731FE2">
              <w:rPr>
                <w:noProof/>
                <w:webHidden/>
              </w:rPr>
              <w:t>19</w:t>
            </w:r>
            <w:r w:rsidR="00C50915" w:rsidRPr="00731FE2">
              <w:rPr>
                <w:noProof/>
                <w:webHidden/>
              </w:rPr>
              <w:fldChar w:fldCharType="end"/>
            </w:r>
          </w:hyperlink>
        </w:p>
        <w:p w14:paraId="2E58532B" w14:textId="77777777" w:rsidR="00C50915" w:rsidRPr="00731FE2" w:rsidRDefault="000D173B">
          <w:pPr>
            <w:pStyle w:val="23"/>
            <w:tabs>
              <w:tab w:val="right" w:leader="dot" w:pos="9345"/>
            </w:tabs>
            <w:rPr>
              <w:rFonts w:asciiTheme="minorHAnsi" w:eastAsiaTheme="minorEastAsia" w:hAnsiTheme="minorHAnsi"/>
              <w:noProof/>
              <w:sz w:val="22"/>
              <w:lang w:eastAsia="ru-RU"/>
            </w:rPr>
          </w:pPr>
          <w:hyperlink w:anchor="_Toc177392766" w:history="1">
            <w:r w:rsidR="00C50915" w:rsidRPr="00731FE2">
              <w:rPr>
                <w:rStyle w:val="af6"/>
                <w:rFonts w:ascii="Times New Roman" w:hAnsi="Times New Roman" w:cs="Times New Roman"/>
                <w:noProof/>
              </w:rPr>
              <w:t>2.1 Общие сведения о территории. Экономико-географическое положение, система расселения</w:t>
            </w:r>
            <w:r w:rsidR="00C50915" w:rsidRPr="00731FE2">
              <w:rPr>
                <w:noProof/>
                <w:webHidden/>
              </w:rPr>
              <w:tab/>
            </w:r>
            <w:r w:rsidR="00C50915" w:rsidRPr="00731FE2">
              <w:rPr>
                <w:noProof/>
                <w:webHidden/>
              </w:rPr>
              <w:fldChar w:fldCharType="begin"/>
            </w:r>
            <w:r w:rsidR="00C50915" w:rsidRPr="00731FE2">
              <w:rPr>
                <w:noProof/>
                <w:webHidden/>
              </w:rPr>
              <w:instrText xml:space="preserve"> PAGEREF _Toc177392766 \h </w:instrText>
            </w:r>
            <w:r w:rsidR="00C50915" w:rsidRPr="00731FE2">
              <w:rPr>
                <w:noProof/>
                <w:webHidden/>
              </w:rPr>
            </w:r>
            <w:r w:rsidR="00C50915" w:rsidRPr="00731FE2">
              <w:rPr>
                <w:noProof/>
                <w:webHidden/>
              </w:rPr>
              <w:fldChar w:fldCharType="separate"/>
            </w:r>
            <w:r w:rsidR="00C50915" w:rsidRPr="00731FE2">
              <w:rPr>
                <w:noProof/>
                <w:webHidden/>
              </w:rPr>
              <w:t>19</w:t>
            </w:r>
            <w:r w:rsidR="00C50915" w:rsidRPr="00731FE2">
              <w:rPr>
                <w:noProof/>
                <w:webHidden/>
              </w:rPr>
              <w:fldChar w:fldCharType="end"/>
            </w:r>
          </w:hyperlink>
        </w:p>
        <w:p w14:paraId="0D7B77B5" w14:textId="77777777" w:rsidR="00C50915" w:rsidRPr="00731FE2" w:rsidRDefault="000D173B">
          <w:pPr>
            <w:pStyle w:val="23"/>
            <w:tabs>
              <w:tab w:val="right" w:leader="dot" w:pos="9345"/>
            </w:tabs>
            <w:rPr>
              <w:rFonts w:asciiTheme="minorHAnsi" w:eastAsiaTheme="minorEastAsia" w:hAnsiTheme="minorHAnsi"/>
              <w:noProof/>
              <w:sz w:val="22"/>
              <w:lang w:eastAsia="ru-RU"/>
            </w:rPr>
          </w:pPr>
          <w:hyperlink w:anchor="_Toc177392767" w:history="1">
            <w:r w:rsidR="00C50915" w:rsidRPr="00731FE2">
              <w:rPr>
                <w:rStyle w:val="af6"/>
                <w:rFonts w:ascii="Times New Roman" w:hAnsi="Times New Roman" w:cs="Times New Roman"/>
                <w:noProof/>
              </w:rPr>
              <w:t>2.2 Природные условия и ресурсы</w:t>
            </w:r>
            <w:r w:rsidR="00C50915" w:rsidRPr="00731FE2">
              <w:rPr>
                <w:noProof/>
                <w:webHidden/>
              </w:rPr>
              <w:tab/>
            </w:r>
            <w:r w:rsidR="00C50915" w:rsidRPr="00731FE2">
              <w:rPr>
                <w:noProof/>
                <w:webHidden/>
              </w:rPr>
              <w:fldChar w:fldCharType="begin"/>
            </w:r>
            <w:r w:rsidR="00C50915" w:rsidRPr="00731FE2">
              <w:rPr>
                <w:noProof/>
                <w:webHidden/>
              </w:rPr>
              <w:instrText xml:space="preserve"> PAGEREF _Toc177392767 \h </w:instrText>
            </w:r>
            <w:r w:rsidR="00C50915" w:rsidRPr="00731FE2">
              <w:rPr>
                <w:noProof/>
                <w:webHidden/>
              </w:rPr>
            </w:r>
            <w:r w:rsidR="00C50915" w:rsidRPr="00731FE2">
              <w:rPr>
                <w:noProof/>
                <w:webHidden/>
              </w:rPr>
              <w:fldChar w:fldCharType="separate"/>
            </w:r>
            <w:r w:rsidR="00C50915" w:rsidRPr="00731FE2">
              <w:rPr>
                <w:noProof/>
                <w:webHidden/>
              </w:rPr>
              <w:t>23</w:t>
            </w:r>
            <w:r w:rsidR="00C50915" w:rsidRPr="00731FE2">
              <w:rPr>
                <w:noProof/>
                <w:webHidden/>
              </w:rPr>
              <w:fldChar w:fldCharType="end"/>
            </w:r>
          </w:hyperlink>
        </w:p>
        <w:p w14:paraId="54AC217C" w14:textId="77777777" w:rsidR="00C50915" w:rsidRPr="00731FE2" w:rsidRDefault="000D173B">
          <w:pPr>
            <w:pStyle w:val="32"/>
            <w:rPr>
              <w:rFonts w:asciiTheme="minorHAnsi" w:eastAsiaTheme="minorEastAsia" w:hAnsiTheme="minorHAnsi" w:cstheme="minorBidi"/>
              <w:noProof/>
              <w:sz w:val="22"/>
              <w:szCs w:val="22"/>
              <w:lang w:eastAsia="ru-RU"/>
            </w:rPr>
          </w:pPr>
          <w:hyperlink w:anchor="_Toc177392768" w:history="1">
            <w:r w:rsidR="00C50915" w:rsidRPr="00731FE2">
              <w:rPr>
                <w:rStyle w:val="af6"/>
                <w:rFonts w:ascii="Times New Roman" w:hAnsi="Times New Roman" w:cs="Times New Roman"/>
                <w:noProof/>
              </w:rPr>
              <w:t>2.2.1 Геологическое строение и рельеф</w:t>
            </w:r>
            <w:r w:rsidR="00C50915" w:rsidRPr="00731FE2">
              <w:rPr>
                <w:noProof/>
                <w:webHidden/>
              </w:rPr>
              <w:tab/>
            </w:r>
            <w:r w:rsidR="00C50915" w:rsidRPr="00731FE2">
              <w:rPr>
                <w:noProof/>
                <w:webHidden/>
              </w:rPr>
              <w:fldChar w:fldCharType="begin"/>
            </w:r>
            <w:r w:rsidR="00C50915" w:rsidRPr="00731FE2">
              <w:rPr>
                <w:noProof/>
                <w:webHidden/>
              </w:rPr>
              <w:instrText xml:space="preserve"> PAGEREF _Toc177392768 \h </w:instrText>
            </w:r>
            <w:r w:rsidR="00C50915" w:rsidRPr="00731FE2">
              <w:rPr>
                <w:noProof/>
                <w:webHidden/>
              </w:rPr>
            </w:r>
            <w:r w:rsidR="00C50915" w:rsidRPr="00731FE2">
              <w:rPr>
                <w:noProof/>
                <w:webHidden/>
              </w:rPr>
              <w:fldChar w:fldCharType="separate"/>
            </w:r>
            <w:r w:rsidR="00C50915" w:rsidRPr="00731FE2">
              <w:rPr>
                <w:noProof/>
                <w:webHidden/>
              </w:rPr>
              <w:t>23</w:t>
            </w:r>
            <w:r w:rsidR="00C50915" w:rsidRPr="00731FE2">
              <w:rPr>
                <w:noProof/>
                <w:webHidden/>
              </w:rPr>
              <w:fldChar w:fldCharType="end"/>
            </w:r>
          </w:hyperlink>
        </w:p>
        <w:p w14:paraId="6A8D7DDE" w14:textId="77777777" w:rsidR="00C50915" w:rsidRPr="00731FE2" w:rsidRDefault="000D173B">
          <w:pPr>
            <w:pStyle w:val="32"/>
            <w:rPr>
              <w:rFonts w:asciiTheme="minorHAnsi" w:eastAsiaTheme="minorEastAsia" w:hAnsiTheme="minorHAnsi" w:cstheme="minorBidi"/>
              <w:noProof/>
              <w:sz w:val="22"/>
              <w:szCs w:val="22"/>
              <w:lang w:eastAsia="ru-RU"/>
            </w:rPr>
          </w:pPr>
          <w:hyperlink w:anchor="_Toc177392769" w:history="1">
            <w:r w:rsidR="00C50915" w:rsidRPr="00731FE2">
              <w:rPr>
                <w:rStyle w:val="af6"/>
                <w:rFonts w:ascii="Times New Roman" w:hAnsi="Times New Roman" w:cs="Times New Roman"/>
                <w:noProof/>
              </w:rPr>
              <w:t>2.2.2 Климатическая характеристика</w:t>
            </w:r>
            <w:r w:rsidR="00C50915" w:rsidRPr="00731FE2">
              <w:rPr>
                <w:noProof/>
                <w:webHidden/>
              </w:rPr>
              <w:tab/>
            </w:r>
            <w:r w:rsidR="00C50915" w:rsidRPr="00731FE2">
              <w:rPr>
                <w:noProof/>
                <w:webHidden/>
              </w:rPr>
              <w:fldChar w:fldCharType="begin"/>
            </w:r>
            <w:r w:rsidR="00C50915" w:rsidRPr="00731FE2">
              <w:rPr>
                <w:noProof/>
                <w:webHidden/>
              </w:rPr>
              <w:instrText xml:space="preserve"> PAGEREF _Toc177392769 \h </w:instrText>
            </w:r>
            <w:r w:rsidR="00C50915" w:rsidRPr="00731FE2">
              <w:rPr>
                <w:noProof/>
                <w:webHidden/>
              </w:rPr>
            </w:r>
            <w:r w:rsidR="00C50915" w:rsidRPr="00731FE2">
              <w:rPr>
                <w:noProof/>
                <w:webHidden/>
              </w:rPr>
              <w:fldChar w:fldCharType="separate"/>
            </w:r>
            <w:r w:rsidR="00C50915" w:rsidRPr="00731FE2">
              <w:rPr>
                <w:noProof/>
                <w:webHidden/>
              </w:rPr>
              <w:t>25</w:t>
            </w:r>
            <w:r w:rsidR="00C50915" w:rsidRPr="00731FE2">
              <w:rPr>
                <w:noProof/>
                <w:webHidden/>
              </w:rPr>
              <w:fldChar w:fldCharType="end"/>
            </w:r>
          </w:hyperlink>
        </w:p>
        <w:p w14:paraId="51229619" w14:textId="77777777" w:rsidR="00C50915" w:rsidRPr="00731FE2" w:rsidRDefault="000D173B">
          <w:pPr>
            <w:pStyle w:val="32"/>
            <w:rPr>
              <w:rFonts w:asciiTheme="minorHAnsi" w:eastAsiaTheme="minorEastAsia" w:hAnsiTheme="minorHAnsi" w:cstheme="minorBidi"/>
              <w:noProof/>
              <w:sz w:val="22"/>
              <w:szCs w:val="22"/>
              <w:lang w:eastAsia="ru-RU"/>
            </w:rPr>
          </w:pPr>
          <w:hyperlink w:anchor="_Toc177392770" w:history="1">
            <w:r w:rsidR="00C50915" w:rsidRPr="00731FE2">
              <w:rPr>
                <w:rStyle w:val="af6"/>
                <w:rFonts w:ascii="Times New Roman" w:hAnsi="Times New Roman" w:cs="Times New Roman"/>
                <w:noProof/>
              </w:rPr>
              <w:t>2.2.3 Почвенные ресурсы</w:t>
            </w:r>
            <w:r w:rsidR="00C50915" w:rsidRPr="00731FE2">
              <w:rPr>
                <w:noProof/>
                <w:webHidden/>
              </w:rPr>
              <w:tab/>
            </w:r>
            <w:r w:rsidR="00C50915" w:rsidRPr="00731FE2">
              <w:rPr>
                <w:noProof/>
                <w:webHidden/>
              </w:rPr>
              <w:fldChar w:fldCharType="begin"/>
            </w:r>
            <w:r w:rsidR="00C50915" w:rsidRPr="00731FE2">
              <w:rPr>
                <w:noProof/>
                <w:webHidden/>
              </w:rPr>
              <w:instrText xml:space="preserve"> PAGEREF _Toc177392770 \h </w:instrText>
            </w:r>
            <w:r w:rsidR="00C50915" w:rsidRPr="00731FE2">
              <w:rPr>
                <w:noProof/>
                <w:webHidden/>
              </w:rPr>
            </w:r>
            <w:r w:rsidR="00C50915" w:rsidRPr="00731FE2">
              <w:rPr>
                <w:noProof/>
                <w:webHidden/>
              </w:rPr>
              <w:fldChar w:fldCharType="separate"/>
            </w:r>
            <w:r w:rsidR="00C50915" w:rsidRPr="00731FE2">
              <w:rPr>
                <w:noProof/>
                <w:webHidden/>
              </w:rPr>
              <w:t>28</w:t>
            </w:r>
            <w:r w:rsidR="00C50915" w:rsidRPr="00731FE2">
              <w:rPr>
                <w:noProof/>
                <w:webHidden/>
              </w:rPr>
              <w:fldChar w:fldCharType="end"/>
            </w:r>
          </w:hyperlink>
        </w:p>
        <w:p w14:paraId="36E51EDD" w14:textId="77777777" w:rsidR="00C50915" w:rsidRPr="00731FE2" w:rsidRDefault="000D173B">
          <w:pPr>
            <w:pStyle w:val="32"/>
            <w:rPr>
              <w:rFonts w:asciiTheme="minorHAnsi" w:eastAsiaTheme="minorEastAsia" w:hAnsiTheme="minorHAnsi" w:cstheme="minorBidi"/>
              <w:noProof/>
              <w:sz w:val="22"/>
              <w:szCs w:val="22"/>
              <w:lang w:eastAsia="ru-RU"/>
            </w:rPr>
          </w:pPr>
          <w:hyperlink w:anchor="_Toc177392771" w:history="1">
            <w:r w:rsidR="00C50915" w:rsidRPr="00731FE2">
              <w:rPr>
                <w:rStyle w:val="af6"/>
                <w:rFonts w:ascii="Times New Roman" w:hAnsi="Times New Roman" w:cs="Times New Roman"/>
                <w:noProof/>
              </w:rPr>
              <w:t>2.2.4 Водные ресурсы</w:t>
            </w:r>
            <w:r w:rsidR="00C50915" w:rsidRPr="00731FE2">
              <w:rPr>
                <w:noProof/>
                <w:webHidden/>
              </w:rPr>
              <w:tab/>
            </w:r>
            <w:r w:rsidR="00C50915" w:rsidRPr="00731FE2">
              <w:rPr>
                <w:noProof/>
                <w:webHidden/>
              </w:rPr>
              <w:fldChar w:fldCharType="begin"/>
            </w:r>
            <w:r w:rsidR="00C50915" w:rsidRPr="00731FE2">
              <w:rPr>
                <w:noProof/>
                <w:webHidden/>
              </w:rPr>
              <w:instrText xml:space="preserve"> PAGEREF _Toc177392771 \h </w:instrText>
            </w:r>
            <w:r w:rsidR="00C50915" w:rsidRPr="00731FE2">
              <w:rPr>
                <w:noProof/>
                <w:webHidden/>
              </w:rPr>
            </w:r>
            <w:r w:rsidR="00C50915" w:rsidRPr="00731FE2">
              <w:rPr>
                <w:noProof/>
                <w:webHidden/>
              </w:rPr>
              <w:fldChar w:fldCharType="separate"/>
            </w:r>
            <w:r w:rsidR="00C50915" w:rsidRPr="00731FE2">
              <w:rPr>
                <w:noProof/>
                <w:webHidden/>
              </w:rPr>
              <w:t>29</w:t>
            </w:r>
            <w:r w:rsidR="00C50915" w:rsidRPr="00731FE2">
              <w:rPr>
                <w:noProof/>
                <w:webHidden/>
              </w:rPr>
              <w:fldChar w:fldCharType="end"/>
            </w:r>
          </w:hyperlink>
        </w:p>
        <w:p w14:paraId="0EDDDFB3" w14:textId="77777777" w:rsidR="00C50915" w:rsidRPr="00731FE2" w:rsidRDefault="000D173B">
          <w:pPr>
            <w:pStyle w:val="32"/>
            <w:rPr>
              <w:rFonts w:asciiTheme="minorHAnsi" w:eastAsiaTheme="minorEastAsia" w:hAnsiTheme="minorHAnsi" w:cstheme="minorBidi"/>
              <w:noProof/>
              <w:sz w:val="22"/>
              <w:szCs w:val="22"/>
              <w:lang w:eastAsia="ru-RU"/>
            </w:rPr>
          </w:pPr>
          <w:hyperlink w:anchor="_Toc177392772" w:history="1">
            <w:r w:rsidR="00C50915" w:rsidRPr="00731FE2">
              <w:rPr>
                <w:rStyle w:val="af6"/>
                <w:rFonts w:ascii="Times New Roman" w:hAnsi="Times New Roman" w:cs="Times New Roman"/>
                <w:noProof/>
              </w:rPr>
              <w:t>2.2.5 Лесные ресурсы</w:t>
            </w:r>
            <w:r w:rsidR="00C50915" w:rsidRPr="00731FE2">
              <w:rPr>
                <w:noProof/>
                <w:webHidden/>
              </w:rPr>
              <w:tab/>
            </w:r>
            <w:r w:rsidR="00C50915" w:rsidRPr="00731FE2">
              <w:rPr>
                <w:noProof/>
                <w:webHidden/>
              </w:rPr>
              <w:fldChar w:fldCharType="begin"/>
            </w:r>
            <w:r w:rsidR="00C50915" w:rsidRPr="00731FE2">
              <w:rPr>
                <w:noProof/>
                <w:webHidden/>
              </w:rPr>
              <w:instrText xml:space="preserve"> PAGEREF _Toc177392772 \h </w:instrText>
            </w:r>
            <w:r w:rsidR="00C50915" w:rsidRPr="00731FE2">
              <w:rPr>
                <w:noProof/>
                <w:webHidden/>
              </w:rPr>
            </w:r>
            <w:r w:rsidR="00C50915" w:rsidRPr="00731FE2">
              <w:rPr>
                <w:noProof/>
                <w:webHidden/>
              </w:rPr>
              <w:fldChar w:fldCharType="separate"/>
            </w:r>
            <w:r w:rsidR="00C50915" w:rsidRPr="00731FE2">
              <w:rPr>
                <w:noProof/>
                <w:webHidden/>
              </w:rPr>
              <w:t>30</w:t>
            </w:r>
            <w:r w:rsidR="00C50915" w:rsidRPr="00731FE2">
              <w:rPr>
                <w:noProof/>
                <w:webHidden/>
              </w:rPr>
              <w:fldChar w:fldCharType="end"/>
            </w:r>
          </w:hyperlink>
        </w:p>
        <w:p w14:paraId="70DBA094" w14:textId="77777777" w:rsidR="00C50915" w:rsidRPr="00731FE2" w:rsidRDefault="000D173B">
          <w:pPr>
            <w:pStyle w:val="32"/>
            <w:rPr>
              <w:rFonts w:asciiTheme="minorHAnsi" w:eastAsiaTheme="minorEastAsia" w:hAnsiTheme="minorHAnsi" w:cstheme="minorBidi"/>
              <w:noProof/>
              <w:sz w:val="22"/>
              <w:szCs w:val="22"/>
              <w:lang w:eastAsia="ru-RU"/>
            </w:rPr>
          </w:pPr>
          <w:hyperlink w:anchor="_Toc177392773" w:history="1">
            <w:r w:rsidR="00C50915" w:rsidRPr="00731FE2">
              <w:rPr>
                <w:rStyle w:val="af6"/>
                <w:rFonts w:ascii="Times New Roman" w:hAnsi="Times New Roman" w:cs="Times New Roman"/>
                <w:noProof/>
              </w:rPr>
              <w:t>2.2.6 Биологические ресурсы</w:t>
            </w:r>
            <w:r w:rsidR="00C50915" w:rsidRPr="00731FE2">
              <w:rPr>
                <w:noProof/>
                <w:webHidden/>
              </w:rPr>
              <w:tab/>
            </w:r>
            <w:r w:rsidR="00C50915" w:rsidRPr="00731FE2">
              <w:rPr>
                <w:noProof/>
                <w:webHidden/>
              </w:rPr>
              <w:fldChar w:fldCharType="begin"/>
            </w:r>
            <w:r w:rsidR="00C50915" w:rsidRPr="00731FE2">
              <w:rPr>
                <w:noProof/>
                <w:webHidden/>
              </w:rPr>
              <w:instrText xml:space="preserve"> PAGEREF _Toc177392773 \h </w:instrText>
            </w:r>
            <w:r w:rsidR="00C50915" w:rsidRPr="00731FE2">
              <w:rPr>
                <w:noProof/>
                <w:webHidden/>
              </w:rPr>
            </w:r>
            <w:r w:rsidR="00C50915" w:rsidRPr="00731FE2">
              <w:rPr>
                <w:noProof/>
                <w:webHidden/>
              </w:rPr>
              <w:fldChar w:fldCharType="separate"/>
            </w:r>
            <w:r w:rsidR="00C50915" w:rsidRPr="00731FE2">
              <w:rPr>
                <w:noProof/>
                <w:webHidden/>
              </w:rPr>
              <w:t>34</w:t>
            </w:r>
            <w:r w:rsidR="00C50915" w:rsidRPr="00731FE2">
              <w:rPr>
                <w:noProof/>
                <w:webHidden/>
              </w:rPr>
              <w:fldChar w:fldCharType="end"/>
            </w:r>
          </w:hyperlink>
        </w:p>
        <w:p w14:paraId="34AC43B4" w14:textId="77777777" w:rsidR="00C50915" w:rsidRPr="00731FE2" w:rsidRDefault="000D173B">
          <w:pPr>
            <w:pStyle w:val="32"/>
            <w:rPr>
              <w:rFonts w:asciiTheme="minorHAnsi" w:eastAsiaTheme="minorEastAsia" w:hAnsiTheme="minorHAnsi" w:cstheme="minorBidi"/>
              <w:noProof/>
              <w:sz w:val="22"/>
              <w:szCs w:val="22"/>
              <w:lang w:eastAsia="ru-RU"/>
            </w:rPr>
          </w:pPr>
          <w:hyperlink w:anchor="_Toc177392774" w:history="1">
            <w:r w:rsidR="00C50915" w:rsidRPr="00731FE2">
              <w:rPr>
                <w:rStyle w:val="af6"/>
                <w:rFonts w:ascii="Times New Roman" w:hAnsi="Times New Roman" w:cs="Times New Roman"/>
                <w:noProof/>
              </w:rPr>
              <w:t>2.2.7 Лечебно-рекреационные ресурсы</w:t>
            </w:r>
            <w:r w:rsidR="00C50915" w:rsidRPr="00731FE2">
              <w:rPr>
                <w:noProof/>
                <w:webHidden/>
              </w:rPr>
              <w:tab/>
            </w:r>
            <w:r w:rsidR="00C50915" w:rsidRPr="00731FE2">
              <w:rPr>
                <w:noProof/>
                <w:webHidden/>
              </w:rPr>
              <w:fldChar w:fldCharType="begin"/>
            </w:r>
            <w:r w:rsidR="00C50915" w:rsidRPr="00731FE2">
              <w:rPr>
                <w:noProof/>
                <w:webHidden/>
              </w:rPr>
              <w:instrText xml:space="preserve"> PAGEREF _Toc177392774 \h </w:instrText>
            </w:r>
            <w:r w:rsidR="00C50915" w:rsidRPr="00731FE2">
              <w:rPr>
                <w:noProof/>
                <w:webHidden/>
              </w:rPr>
            </w:r>
            <w:r w:rsidR="00C50915" w:rsidRPr="00731FE2">
              <w:rPr>
                <w:noProof/>
                <w:webHidden/>
              </w:rPr>
              <w:fldChar w:fldCharType="separate"/>
            </w:r>
            <w:r w:rsidR="00C50915" w:rsidRPr="00731FE2">
              <w:rPr>
                <w:noProof/>
                <w:webHidden/>
              </w:rPr>
              <w:t>34</w:t>
            </w:r>
            <w:r w:rsidR="00C50915" w:rsidRPr="00731FE2">
              <w:rPr>
                <w:noProof/>
                <w:webHidden/>
              </w:rPr>
              <w:fldChar w:fldCharType="end"/>
            </w:r>
          </w:hyperlink>
        </w:p>
        <w:p w14:paraId="4FAE26A2" w14:textId="77777777" w:rsidR="00C50915" w:rsidRPr="00731FE2" w:rsidRDefault="000D173B">
          <w:pPr>
            <w:pStyle w:val="32"/>
            <w:rPr>
              <w:rFonts w:asciiTheme="minorHAnsi" w:eastAsiaTheme="minorEastAsia" w:hAnsiTheme="minorHAnsi" w:cstheme="minorBidi"/>
              <w:noProof/>
              <w:sz w:val="22"/>
              <w:szCs w:val="22"/>
              <w:lang w:eastAsia="ru-RU"/>
            </w:rPr>
          </w:pPr>
          <w:hyperlink w:anchor="_Toc177392775" w:history="1">
            <w:r w:rsidR="00C50915" w:rsidRPr="00731FE2">
              <w:rPr>
                <w:rStyle w:val="af6"/>
                <w:rFonts w:ascii="Times New Roman" w:hAnsi="Times New Roman" w:cs="Times New Roman"/>
                <w:noProof/>
              </w:rPr>
              <w:t>2.2.8 Пункты государственной наблюдательной сети</w:t>
            </w:r>
            <w:r w:rsidR="00C50915" w:rsidRPr="00731FE2">
              <w:rPr>
                <w:noProof/>
                <w:webHidden/>
              </w:rPr>
              <w:tab/>
            </w:r>
            <w:r w:rsidR="00C50915" w:rsidRPr="00731FE2">
              <w:rPr>
                <w:noProof/>
                <w:webHidden/>
              </w:rPr>
              <w:fldChar w:fldCharType="begin"/>
            </w:r>
            <w:r w:rsidR="00C50915" w:rsidRPr="00731FE2">
              <w:rPr>
                <w:noProof/>
                <w:webHidden/>
              </w:rPr>
              <w:instrText xml:space="preserve"> PAGEREF _Toc177392775 \h </w:instrText>
            </w:r>
            <w:r w:rsidR="00C50915" w:rsidRPr="00731FE2">
              <w:rPr>
                <w:noProof/>
                <w:webHidden/>
              </w:rPr>
            </w:r>
            <w:r w:rsidR="00C50915" w:rsidRPr="00731FE2">
              <w:rPr>
                <w:noProof/>
                <w:webHidden/>
              </w:rPr>
              <w:fldChar w:fldCharType="separate"/>
            </w:r>
            <w:r w:rsidR="00C50915" w:rsidRPr="00731FE2">
              <w:rPr>
                <w:noProof/>
                <w:webHidden/>
              </w:rPr>
              <w:t>36</w:t>
            </w:r>
            <w:r w:rsidR="00C50915" w:rsidRPr="00731FE2">
              <w:rPr>
                <w:noProof/>
                <w:webHidden/>
              </w:rPr>
              <w:fldChar w:fldCharType="end"/>
            </w:r>
          </w:hyperlink>
        </w:p>
        <w:p w14:paraId="670CF150" w14:textId="77777777" w:rsidR="00C50915" w:rsidRPr="00731FE2" w:rsidRDefault="000D173B">
          <w:pPr>
            <w:pStyle w:val="23"/>
            <w:tabs>
              <w:tab w:val="right" w:leader="dot" w:pos="9345"/>
            </w:tabs>
            <w:rPr>
              <w:rFonts w:asciiTheme="minorHAnsi" w:eastAsiaTheme="minorEastAsia" w:hAnsiTheme="minorHAnsi"/>
              <w:noProof/>
              <w:sz w:val="22"/>
              <w:lang w:eastAsia="ru-RU"/>
            </w:rPr>
          </w:pPr>
          <w:hyperlink w:anchor="_Toc177392776" w:history="1">
            <w:r w:rsidR="00C50915" w:rsidRPr="00731FE2">
              <w:rPr>
                <w:rStyle w:val="af6"/>
                <w:rFonts w:ascii="Times New Roman" w:hAnsi="Times New Roman" w:cs="Times New Roman"/>
                <w:noProof/>
              </w:rPr>
              <w:t>2.3 Инженерно-геологические условия и инженерно-строительное районирование</w:t>
            </w:r>
            <w:r w:rsidR="00C50915" w:rsidRPr="00731FE2">
              <w:rPr>
                <w:noProof/>
                <w:webHidden/>
              </w:rPr>
              <w:tab/>
            </w:r>
            <w:r w:rsidR="00C50915" w:rsidRPr="00731FE2">
              <w:rPr>
                <w:noProof/>
                <w:webHidden/>
              </w:rPr>
              <w:fldChar w:fldCharType="begin"/>
            </w:r>
            <w:r w:rsidR="00C50915" w:rsidRPr="00731FE2">
              <w:rPr>
                <w:noProof/>
                <w:webHidden/>
              </w:rPr>
              <w:instrText xml:space="preserve"> PAGEREF _Toc177392776 \h </w:instrText>
            </w:r>
            <w:r w:rsidR="00C50915" w:rsidRPr="00731FE2">
              <w:rPr>
                <w:noProof/>
                <w:webHidden/>
              </w:rPr>
            </w:r>
            <w:r w:rsidR="00C50915" w:rsidRPr="00731FE2">
              <w:rPr>
                <w:noProof/>
                <w:webHidden/>
              </w:rPr>
              <w:fldChar w:fldCharType="separate"/>
            </w:r>
            <w:r w:rsidR="00C50915" w:rsidRPr="00731FE2">
              <w:rPr>
                <w:noProof/>
                <w:webHidden/>
              </w:rPr>
              <w:t>37</w:t>
            </w:r>
            <w:r w:rsidR="00C50915" w:rsidRPr="00731FE2">
              <w:rPr>
                <w:noProof/>
                <w:webHidden/>
              </w:rPr>
              <w:fldChar w:fldCharType="end"/>
            </w:r>
          </w:hyperlink>
        </w:p>
        <w:p w14:paraId="76926971" w14:textId="77777777" w:rsidR="00C50915" w:rsidRPr="00731FE2" w:rsidRDefault="000D173B">
          <w:pPr>
            <w:pStyle w:val="23"/>
            <w:tabs>
              <w:tab w:val="right" w:leader="dot" w:pos="9345"/>
            </w:tabs>
            <w:rPr>
              <w:rFonts w:asciiTheme="minorHAnsi" w:eastAsiaTheme="minorEastAsia" w:hAnsiTheme="minorHAnsi"/>
              <w:noProof/>
              <w:sz w:val="22"/>
              <w:lang w:eastAsia="ru-RU"/>
            </w:rPr>
          </w:pPr>
          <w:hyperlink w:anchor="_Toc177392777" w:history="1">
            <w:r w:rsidR="00C50915" w:rsidRPr="00731FE2">
              <w:rPr>
                <w:rStyle w:val="af6"/>
                <w:rFonts w:ascii="Times New Roman" w:hAnsi="Times New Roman" w:cs="Times New Roman"/>
                <w:noProof/>
              </w:rPr>
              <w:t>2.4 Особо охраняемые природные территории (ООПТ)</w:t>
            </w:r>
            <w:r w:rsidR="00C50915" w:rsidRPr="00731FE2">
              <w:rPr>
                <w:noProof/>
                <w:webHidden/>
              </w:rPr>
              <w:tab/>
            </w:r>
            <w:r w:rsidR="00C50915" w:rsidRPr="00731FE2">
              <w:rPr>
                <w:noProof/>
                <w:webHidden/>
              </w:rPr>
              <w:fldChar w:fldCharType="begin"/>
            </w:r>
            <w:r w:rsidR="00C50915" w:rsidRPr="00731FE2">
              <w:rPr>
                <w:noProof/>
                <w:webHidden/>
              </w:rPr>
              <w:instrText xml:space="preserve"> PAGEREF _Toc177392777 \h </w:instrText>
            </w:r>
            <w:r w:rsidR="00C50915" w:rsidRPr="00731FE2">
              <w:rPr>
                <w:noProof/>
                <w:webHidden/>
              </w:rPr>
            </w:r>
            <w:r w:rsidR="00C50915" w:rsidRPr="00731FE2">
              <w:rPr>
                <w:noProof/>
                <w:webHidden/>
              </w:rPr>
              <w:fldChar w:fldCharType="separate"/>
            </w:r>
            <w:r w:rsidR="00C50915" w:rsidRPr="00731FE2">
              <w:rPr>
                <w:noProof/>
                <w:webHidden/>
              </w:rPr>
              <w:t>39</w:t>
            </w:r>
            <w:r w:rsidR="00C50915" w:rsidRPr="00731FE2">
              <w:rPr>
                <w:noProof/>
                <w:webHidden/>
              </w:rPr>
              <w:fldChar w:fldCharType="end"/>
            </w:r>
          </w:hyperlink>
        </w:p>
        <w:p w14:paraId="69E41D04" w14:textId="77777777" w:rsidR="00C50915" w:rsidRPr="00731FE2" w:rsidRDefault="000D173B">
          <w:pPr>
            <w:pStyle w:val="23"/>
            <w:tabs>
              <w:tab w:val="right" w:leader="dot" w:pos="9345"/>
            </w:tabs>
            <w:rPr>
              <w:rFonts w:asciiTheme="minorHAnsi" w:eastAsiaTheme="minorEastAsia" w:hAnsiTheme="minorHAnsi"/>
              <w:noProof/>
              <w:sz w:val="22"/>
              <w:lang w:eastAsia="ru-RU"/>
            </w:rPr>
          </w:pPr>
          <w:hyperlink w:anchor="_Toc177392778" w:history="1">
            <w:r w:rsidR="00C50915" w:rsidRPr="00731FE2">
              <w:rPr>
                <w:rStyle w:val="af6"/>
                <w:rFonts w:ascii="Times New Roman" w:hAnsi="Times New Roman" w:cs="Times New Roman"/>
                <w:noProof/>
              </w:rPr>
              <w:t>2.5 Экологическое состояние окружающей среды и природопользование</w:t>
            </w:r>
            <w:r w:rsidR="00C50915" w:rsidRPr="00731FE2">
              <w:rPr>
                <w:noProof/>
                <w:webHidden/>
              </w:rPr>
              <w:tab/>
            </w:r>
            <w:r w:rsidR="00C50915" w:rsidRPr="00731FE2">
              <w:rPr>
                <w:noProof/>
                <w:webHidden/>
              </w:rPr>
              <w:fldChar w:fldCharType="begin"/>
            </w:r>
            <w:r w:rsidR="00C50915" w:rsidRPr="00731FE2">
              <w:rPr>
                <w:noProof/>
                <w:webHidden/>
              </w:rPr>
              <w:instrText xml:space="preserve"> PAGEREF _Toc177392778 \h </w:instrText>
            </w:r>
            <w:r w:rsidR="00C50915" w:rsidRPr="00731FE2">
              <w:rPr>
                <w:noProof/>
                <w:webHidden/>
              </w:rPr>
            </w:r>
            <w:r w:rsidR="00C50915" w:rsidRPr="00731FE2">
              <w:rPr>
                <w:noProof/>
                <w:webHidden/>
              </w:rPr>
              <w:fldChar w:fldCharType="separate"/>
            </w:r>
            <w:r w:rsidR="00C50915" w:rsidRPr="00731FE2">
              <w:rPr>
                <w:noProof/>
                <w:webHidden/>
              </w:rPr>
              <w:t>44</w:t>
            </w:r>
            <w:r w:rsidR="00C50915" w:rsidRPr="00731FE2">
              <w:rPr>
                <w:noProof/>
                <w:webHidden/>
              </w:rPr>
              <w:fldChar w:fldCharType="end"/>
            </w:r>
          </w:hyperlink>
        </w:p>
        <w:p w14:paraId="6F3A2427" w14:textId="77777777" w:rsidR="00C50915" w:rsidRPr="00731FE2" w:rsidRDefault="000D173B">
          <w:pPr>
            <w:pStyle w:val="32"/>
            <w:rPr>
              <w:rFonts w:asciiTheme="minorHAnsi" w:eastAsiaTheme="minorEastAsia" w:hAnsiTheme="minorHAnsi" w:cstheme="minorBidi"/>
              <w:noProof/>
              <w:sz w:val="22"/>
              <w:szCs w:val="22"/>
              <w:lang w:eastAsia="ru-RU"/>
            </w:rPr>
          </w:pPr>
          <w:hyperlink w:anchor="_Toc177392779" w:history="1">
            <w:r w:rsidR="00C50915" w:rsidRPr="00731FE2">
              <w:rPr>
                <w:rStyle w:val="af6"/>
                <w:rFonts w:ascii="Times New Roman" w:eastAsia="Times New Roman" w:hAnsi="Times New Roman" w:cs="Times New Roman"/>
                <w:noProof/>
              </w:rPr>
              <w:t>2.5.1 Атмосферный воздух</w:t>
            </w:r>
            <w:r w:rsidR="00C50915" w:rsidRPr="00731FE2">
              <w:rPr>
                <w:noProof/>
                <w:webHidden/>
              </w:rPr>
              <w:tab/>
            </w:r>
            <w:r w:rsidR="00C50915" w:rsidRPr="00731FE2">
              <w:rPr>
                <w:noProof/>
                <w:webHidden/>
              </w:rPr>
              <w:fldChar w:fldCharType="begin"/>
            </w:r>
            <w:r w:rsidR="00C50915" w:rsidRPr="00731FE2">
              <w:rPr>
                <w:noProof/>
                <w:webHidden/>
              </w:rPr>
              <w:instrText xml:space="preserve"> PAGEREF _Toc177392779 \h </w:instrText>
            </w:r>
            <w:r w:rsidR="00C50915" w:rsidRPr="00731FE2">
              <w:rPr>
                <w:noProof/>
                <w:webHidden/>
              </w:rPr>
            </w:r>
            <w:r w:rsidR="00C50915" w:rsidRPr="00731FE2">
              <w:rPr>
                <w:noProof/>
                <w:webHidden/>
              </w:rPr>
              <w:fldChar w:fldCharType="separate"/>
            </w:r>
            <w:r w:rsidR="00C50915" w:rsidRPr="00731FE2">
              <w:rPr>
                <w:noProof/>
                <w:webHidden/>
              </w:rPr>
              <w:t>44</w:t>
            </w:r>
            <w:r w:rsidR="00C50915" w:rsidRPr="00731FE2">
              <w:rPr>
                <w:noProof/>
                <w:webHidden/>
              </w:rPr>
              <w:fldChar w:fldCharType="end"/>
            </w:r>
          </w:hyperlink>
        </w:p>
        <w:p w14:paraId="2489D61E" w14:textId="77777777" w:rsidR="00C50915" w:rsidRPr="00731FE2" w:rsidRDefault="000D173B">
          <w:pPr>
            <w:pStyle w:val="32"/>
            <w:rPr>
              <w:rFonts w:asciiTheme="minorHAnsi" w:eastAsiaTheme="minorEastAsia" w:hAnsiTheme="minorHAnsi" w:cstheme="minorBidi"/>
              <w:noProof/>
              <w:sz w:val="22"/>
              <w:szCs w:val="22"/>
              <w:lang w:eastAsia="ru-RU"/>
            </w:rPr>
          </w:pPr>
          <w:hyperlink w:anchor="_Toc177392780" w:history="1">
            <w:r w:rsidR="00C50915" w:rsidRPr="00731FE2">
              <w:rPr>
                <w:rStyle w:val="af6"/>
                <w:rFonts w:ascii="Times New Roman" w:eastAsia="Times New Roman" w:hAnsi="Times New Roman" w:cs="Times New Roman"/>
                <w:noProof/>
              </w:rPr>
              <w:t>2.5.2 Водные ресурсы</w:t>
            </w:r>
            <w:r w:rsidR="00C50915" w:rsidRPr="00731FE2">
              <w:rPr>
                <w:noProof/>
                <w:webHidden/>
              </w:rPr>
              <w:tab/>
            </w:r>
            <w:r w:rsidR="00C50915" w:rsidRPr="00731FE2">
              <w:rPr>
                <w:noProof/>
                <w:webHidden/>
              </w:rPr>
              <w:fldChar w:fldCharType="begin"/>
            </w:r>
            <w:r w:rsidR="00C50915" w:rsidRPr="00731FE2">
              <w:rPr>
                <w:noProof/>
                <w:webHidden/>
              </w:rPr>
              <w:instrText xml:space="preserve"> PAGEREF _Toc177392780 \h </w:instrText>
            </w:r>
            <w:r w:rsidR="00C50915" w:rsidRPr="00731FE2">
              <w:rPr>
                <w:noProof/>
                <w:webHidden/>
              </w:rPr>
            </w:r>
            <w:r w:rsidR="00C50915" w:rsidRPr="00731FE2">
              <w:rPr>
                <w:noProof/>
                <w:webHidden/>
              </w:rPr>
              <w:fldChar w:fldCharType="separate"/>
            </w:r>
            <w:r w:rsidR="00C50915" w:rsidRPr="00731FE2">
              <w:rPr>
                <w:noProof/>
                <w:webHidden/>
              </w:rPr>
              <w:t>45</w:t>
            </w:r>
            <w:r w:rsidR="00C50915" w:rsidRPr="00731FE2">
              <w:rPr>
                <w:noProof/>
                <w:webHidden/>
              </w:rPr>
              <w:fldChar w:fldCharType="end"/>
            </w:r>
          </w:hyperlink>
        </w:p>
        <w:p w14:paraId="56E810BE" w14:textId="77777777" w:rsidR="00C50915" w:rsidRPr="00731FE2" w:rsidRDefault="000D173B">
          <w:pPr>
            <w:pStyle w:val="32"/>
            <w:rPr>
              <w:rFonts w:asciiTheme="minorHAnsi" w:eastAsiaTheme="minorEastAsia" w:hAnsiTheme="minorHAnsi" w:cstheme="minorBidi"/>
              <w:noProof/>
              <w:sz w:val="22"/>
              <w:szCs w:val="22"/>
              <w:lang w:eastAsia="ru-RU"/>
            </w:rPr>
          </w:pPr>
          <w:hyperlink w:anchor="_Toc177392781" w:history="1">
            <w:r w:rsidR="00C50915" w:rsidRPr="00731FE2">
              <w:rPr>
                <w:rStyle w:val="af6"/>
                <w:rFonts w:ascii="Times New Roman" w:eastAsia="Times New Roman" w:hAnsi="Times New Roman" w:cs="Times New Roman"/>
                <w:noProof/>
              </w:rPr>
              <w:t>2.5.3 Земельные ресурсы</w:t>
            </w:r>
            <w:r w:rsidR="00C50915" w:rsidRPr="00731FE2">
              <w:rPr>
                <w:noProof/>
                <w:webHidden/>
              </w:rPr>
              <w:tab/>
            </w:r>
            <w:r w:rsidR="00C50915" w:rsidRPr="00731FE2">
              <w:rPr>
                <w:noProof/>
                <w:webHidden/>
              </w:rPr>
              <w:fldChar w:fldCharType="begin"/>
            </w:r>
            <w:r w:rsidR="00C50915" w:rsidRPr="00731FE2">
              <w:rPr>
                <w:noProof/>
                <w:webHidden/>
              </w:rPr>
              <w:instrText xml:space="preserve"> PAGEREF _Toc177392781 \h </w:instrText>
            </w:r>
            <w:r w:rsidR="00C50915" w:rsidRPr="00731FE2">
              <w:rPr>
                <w:noProof/>
                <w:webHidden/>
              </w:rPr>
            </w:r>
            <w:r w:rsidR="00C50915" w:rsidRPr="00731FE2">
              <w:rPr>
                <w:noProof/>
                <w:webHidden/>
              </w:rPr>
              <w:fldChar w:fldCharType="separate"/>
            </w:r>
            <w:r w:rsidR="00C50915" w:rsidRPr="00731FE2">
              <w:rPr>
                <w:noProof/>
                <w:webHidden/>
              </w:rPr>
              <w:t>46</w:t>
            </w:r>
            <w:r w:rsidR="00C50915" w:rsidRPr="00731FE2">
              <w:rPr>
                <w:noProof/>
                <w:webHidden/>
              </w:rPr>
              <w:fldChar w:fldCharType="end"/>
            </w:r>
          </w:hyperlink>
        </w:p>
        <w:p w14:paraId="1FD72CAE" w14:textId="77777777" w:rsidR="00C50915" w:rsidRPr="00731FE2" w:rsidRDefault="000D173B">
          <w:pPr>
            <w:pStyle w:val="32"/>
            <w:rPr>
              <w:rFonts w:asciiTheme="minorHAnsi" w:eastAsiaTheme="minorEastAsia" w:hAnsiTheme="minorHAnsi" w:cstheme="minorBidi"/>
              <w:noProof/>
              <w:sz w:val="22"/>
              <w:szCs w:val="22"/>
              <w:lang w:eastAsia="ru-RU"/>
            </w:rPr>
          </w:pPr>
          <w:hyperlink w:anchor="_Toc177392782" w:history="1">
            <w:r w:rsidR="00C50915" w:rsidRPr="00731FE2">
              <w:rPr>
                <w:rStyle w:val="af6"/>
                <w:rFonts w:ascii="Times New Roman" w:eastAsia="Times New Roman" w:hAnsi="Times New Roman" w:cs="Times New Roman"/>
                <w:noProof/>
              </w:rPr>
              <w:t>2.5.4 Лесные ресурсы</w:t>
            </w:r>
            <w:r w:rsidR="00C50915" w:rsidRPr="00731FE2">
              <w:rPr>
                <w:noProof/>
                <w:webHidden/>
              </w:rPr>
              <w:tab/>
            </w:r>
            <w:r w:rsidR="00C50915" w:rsidRPr="00731FE2">
              <w:rPr>
                <w:noProof/>
                <w:webHidden/>
              </w:rPr>
              <w:fldChar w:fldCharType="begin"/>
            </w:r>
            <w:r w:rsidR="00C50915" w:rsidRPr="00731FE2">
              <w:rPr>
                <w:noProof/>
                <w:webHidden/>
              </w:rPr>
              <w:instrText xml:space="preserve"> PAGEREF _Toc177392782 \h </w:instrText>
            </w:r>
            <w:r w:rsidR="00C50915" w:rsidRPr="00731FE2">
              <w:rPr>
                <w:noProof/>
                <w:webHidden/>
              </w:rPr>
            </w:r>
            <w:r w:rsidR="00C50915" w:rsidRPr="00731FE2">
              <w:rPr>
                <w:noProof/>
                <w:webHidden/>
              </w:rPr>
              <w:fldChar w:fldCharType="separate"/>
            </w:r>
            <w:r w:rsidR="00C50915" w:rsidRPr="00731FE2">
              <w:rPr>
                <w:noProof/>
                <w:webHidden/>
              </w:rPr>
              <w:t>47</w:t>
            </w:r>
            <w:r w:rsidR="00C50915" w:rsidRPr="00731FE2">
              <w:rPr>
                <w:noProof/>
                <w:webHidden/>
              </w:rPr>
              <w:fldChar w:fldCharType="end"/>
            </w:r>
          </w:hyperlink>
        </w:p>
        <w:p w14:paraId="1CD9D905" w14:textId="77777777" w:rsidR="00C50915" w:rsidRPr="00731FE2" w:rsidRDefault="000D173B">
          <w:pPr>
            <w:pStyle w:val="23"/>
            <w:tabs>
              <w:tab w:val="right" w:leader="dot" w:pos="9345"/>
            </w:tabs>
            <w:rPr>
              <w:rFonts w:asciiTheme="minorHAnsi" w:eastAsiaTheme="minorEastAsia" w:hAnsiTheme="minorHAnsi"/>
              <w:noProof/>
              <w:sz w:val="22"/>
              <w:lang w:eastAsia="ru-RU"/>
            </w:rPr>
          </w:pPr>
          <w:hyperlink w:anchor="_Toc177392783" w:history="1">
            <w:r w:rsidR="00C50915" w:rsidRPr="00731FE2">
              <w:rPr>
                <w:rStyle w:val="af6"/>
                <w:rFonts w:ascii="Times New Roman" w:hAnsi="Times New Roman" w:cs="Times New Roman"/>
                <w:noProof/>
              </w:rPr>
              <w:t>2.6 Охрана объектов культурного наследия</w:t>
            </w:r>
            <w:r w:rsidR="00C50915" w:rsidRPr="00731FE2">
              <w:rPr>
                <w:noProof/>
                <w:webHidden/>
              </w:rPr>
              <w:tab/>
            </w:r>
            <w:r w:rsidR="00C50915" w:rsidRPr="00731FE2">
              <w:rPr>
                <w:noProof/>
                <w:webHidden/>
              </w:rPr>
              <w:fldChar w:fldCharType="begin"/>
            </w:r>
            <w:r w:rsidR="00C50915" w:rsidRPr="00731FE2">
              <w:rPr>
                <w:noProof/>
                <w:webHidden/>
              </w:rPr>
              <w:instrText xml:space="preserve"> PAGEREF _Toc177392783 \h </w:instrText>
            </w:r>
            <w:r w:rsidR="00C50915" w:rsidRPr="00731FE2">
              <w:rPr>
                <w:noProof/>
                <w:webHidden/>
              </w:rPr>
            </w:r>
            <w:r w:rsidR="00C50915" w:rsidRPr="00731FE2">
              <w:rPr>
                <w:noProof/>
                <w:webHidden/>
              </w:rPr>
              <w:fldChar w:fldCharType="separate"/>
            </w:r>
            <w:r w:rsidR="00C50915" w:rsidRPr="00731FE2">
              <w:rPr>
                <w:noProof/>
                <w:webHidden/>
              </w:rPr>
              <w:t>48</w:t>
            </w:r>
            <w:r w:rsidR="00C50915" w:rsidRPr="00731FE2">
              <w:rPr>
                <w:noProof/>
                <w:webHidden/>
              </w:rPr>
              <w:fldChar w:fldCharType="end"/>
            </w:r>
          </w:hyperlink>
        </w:p>
        <w:p w14:paraId="6C674511" w14:textId="77777777" w:rsidR="00C50915" w:rsidRPr="00731FE2" w:rsidRDefault="000D173B">
          <w:pPr>
            <w:pStyle w:val="23"/>
            <w:tabs>
              <w:tab w:val="right" w:leader="dot" w:pos="9345"/>
            </w:tabs>
            <w:rPr>
              <w:rFonts w:asciiTheme="minorHAnsi" w:eastAsiaTheme="minorEastAsia" w:hAnsiTheme="minorHAnsi"/>
              <w:noProof/>
              <w:sz w:val="22"/>
              <w:lang w:eastAsia="ru-RU"/>
            </w:rPr>
          </w:pPr>
          <w:hyperlink w:anchor="_Toc177392784" w:history="1">
            <w:r w:rsidR="00C50915" w:rsidRPr="00731FE2">
              <w:rPr>
                <w:rStyle w:val="af6"/>
                <w:rFonts w:ascii="Times New Roman" w:hAnsi="Times New Roman" w:cs="Times New Roman"/>
                <w:noProof/>
              </w:rPr>
              <w:t>2.7 Демография и трудовые ресурсы</w:t>
            </w:r>
            <w:r w:rsidR="00C50915" w:rsidRPr="00731FE2">
              <w:rPr>
                <w:noProof/>
                <w:webHidden/>
              </w:rPr>
              <w:tab/>
            </w:r>
            <w:r w:rsidR="00C50915" w:rsidRPr="00731FE2">
              <w:rPr>
                <w:noProof/>
                <w:webHidden/>
              </w:rPr>
              <w:fldChar w:fldCharType="begin"/>
            </w:r>
            <w:r w:rsidR="00C50915" w:rsidRPr="00731FE2">
              <w:rPr>
                <w:noProof/>
                <w:webHidden/>
              </w:rPr>
              <w:instrText xml:space="preserve"> PAGEREF _Toc177392784 \h </w:instrText>
            </w:r>
            <w:r w:rsidR="00C50915" w:rsidRPr="00731FE2">
              <w:rPr>
                <w:noProof/>
                <w:webHidden/>
              </w:rPr>
            </w:r>
            <w:r w:rsidR="00C50915" w:rsidRPr="00731FE2">
              <w:rPr>
                <w:noProof/>
                <w:webHidden/>
              </w:rPr>
              <w:fldChar w:fldCharType="separate"/>
            </w:r>
            <w:r w:rsidR="00C50915" w:rsidRPr="00731FE2">
              <w:rPr>
                <w:noProof/>
                <w:webHidden/>
              </w:rPr>
              <w:t>55</w:t>
            </w:r>
            <w:r w:rsidR="00C50915" w:rsidRPr="00731FE2">
              <w:rPr>
                <w:noProof/>
                <w:webHidden/>
              </w:rPr>
              <w:fldChar w:fldCharType="end"/>
            </w:r>
          </w:hyperlink>
        </w:p>
        <w:p w14:paraId="50D19C7A" w14:textId="77777777" w:rsidR="00C50915" w:rsidRPr="00731FE2" w:rsidRDefault="000D173B">
          <w:pPr>
            <w:pStyle w:val="23"/>
            <w:tabs>
              <w:tab w:val="right" w:leader="dot" w:pos="9345"/>
            </w:tabs>
            <w:rPr>
              <w:rFonts w:asciiTheme="minorHAnsi" w:eastAsiaTheme="minorEastAsia" w:hAnsiTheme="minorHAnsi"/>
              <w:noProof/>
              <w:sz w:val="22"/>
              <w:lang w:eastAsia="ru-RU"/>
            </w:rPr>
          </w:pPr>
          <w:hyperlink w:anchor="_Toc177392785" w:history="1">
            <w:r w:rsidR="00C50915" w:rsidRPr="00731FE2">
              <w:rPr>
                <w:rStyle w:val="af6"/>
                <w:rFonts w:ascii="Times New Roman" w:hAnsi="Times New Roman" w:cs="Times New Roman"/>
                <w:noProof/>
              </w:rPr>
              <w:t>2.8 Социальная инфраструктура</w:t>
            </w:r>
            <w:r w:rsidR="00C50915" w:rsidRPr="00731FE2">
              <w:rPr>
                <w:noProof/>
                <w:webHidden/>
              </w:rPr>
              <w:tab/>
            </w:r>
            <w:r w:rsidR="00C50915" w:rsidRPr="00731FE2">
              <w:rPr>
                <w:noProof/>
                <w:webHidden/>
              </w:rPr>
              <w:fldChar w:fldCharType="begin"/>
            </w:r>
            <w:r w:rsidR="00C50915" w:rsidRPr="00731FE2">
              <w:rPr>
                <w:noProof/>
                <w:webHidden/>
              </w:rPr>
              <w:instrText xml:space="preserve"> PAGEREF _Toc177392785 \h </w:instrText>
            </w:r>
            <w:r w:rsidR="00C50915" w:rsidRPr="00731FE2">
              <w:rPr>
                <w:noProof/>
                <w:webHidden/>
              </w:rPr>
            </w:r>
            <w:r w:rsidR="00C50915" w:rsidRPr="00731FE2">
              <w:rPr>
                <w:noProof/>
                <w:webHidden/>
              </w:rPr>
              <w:fldChar w:fldCharType="separate"/>
            </w:r>
            <w:r w:rsidR="00C50915" w:rsidRPr="00731FE2">
              <w:rPr>
                <w:noProof/>
                <w:webHidden/>
              </w:rPr>
              <w:t>59</w:t>
            </w:r>
            <w:r w:rsidR="00C50915" w:rsidRPr="00731FE2">
              <w:rPr>
                <w:noProof/>
                <w:webHidden/>
              </w:rPr>
              <w:fldChar w:fldCharType="end"/>
            </w:r>
          </w:hyperlink>
        </w:p>
        <w:p w14:paraId="146CE58A" w14:textId="77777777" w:rsidR="00C50915" w:rsidRPr="00731FE2" w:rsidRDefault="000D173B">
          <w:pPr>
            <w:pStyle w:val="23"/>
            <w:tabs>
              <w:tab w:val="right" w:leader="dot" w:pos="9345"/>
            </w:tabs>
            <w:rPr>
              <w:rFonts w:asciiTheme="minorHAnsi" w:eastAsiaTheme="minorEastAsia" w:hAnsiTheme="minorHAnsi"/>
              <w:noProof/>
              <w:sz w:val="22"/>
              <w:lang w:eastAsia="ru-RU"/>
            </w:rPr>
          </w:pPr>
          <w:hyperlink w:anchor="_Toc177392786" w:history="1">
            <w:r w:rsidR="00C50915" w:rsidRPr="00731FE2">
              <w:rPr>
                <w:rStyle w:val="af6"/>
                <w:rFonts w:ascii="Times New Roman" w:hAnsi="Times New Roman" w:cs="Times New Roman"/>
                <w:noProof/>
              </w:rPr>
              <w:t>2.9 Общая характеристика экономики городского округа</w:t>
            </w:r>
            <w:r w:rsidR="00C50915" w:rsidRPr="00731FE2">
              <w:rPr>
                <w:noProof/>
                <w:webHidden/>
              </w:rPr>
              <w:tab/>
            </w:r>
            <w:r w:rsidR="00C50915" w:rsidRPr="00731FE2">
              <w:rPr>
                <w:noProof/>
                <w:webHidden/>
              </w:rPr>
              <w:fldChar w:fldCharType="begin"/>
            </w:r>
            <w:r w:rsidR="00C50915" w:rsidRPr="00731FE2">
              <w:rPr>
                <w:noProof/>
                <w:webHidden/>
              </w:rPr>
              <w:instrText xml:space="preserve"> PAGEREF _Toc177392786 \h </w:instrText>
            </w:r>
            <w:r w:rsidR="00C50915" w:rsidRPr="00731FE2">
              <w:rPr>
                <w:noProof/>
                <w:webHidden/>
              </w:rPr>
            </w:r>
            <w:r w:rsidR="00C50915" w:rsidRPr="00731FE2">
              <w:rPr>
                <w:noProof/>
                <w:webHidden/>
              </w:rPr>
              <w:fldChar w:fldCharType="separate"/>
            </w:r>
            <w:r w:rsidR="00C50915" w:rsidRPr="00731FE2">
              <w:rPr>
                <w:noProof/>
                <w:webHidden/>
              </w:rPr>
              <w:t>71</w:t>
            </w:r>
            <w:r w:rsidR="00C50915" w:rsidRPr="00731FE2">
              <w:rPr>
                <w:noProof/>
                <w:webHidden/>
              </w:rPr>
              <w:fldChar w:fldCharType="end"/>
            </w:r>
          </w:hyperlink>
        </w:p>
        <w:p w14:paraId="30AEA438" w14:textId="77777777" w:rsidR="00C50915" w:rsidRPr="00731FE2" w:rsidRDefault="000D173B">
          <w:pPr>
            <w:pStyle w:val="32"/>
            <w:rPr>
              <w:rFonts w:asciiTheme="minorHAnsi" w:eastAsiaTheme="minorEastAsia" w:hAnsiTheme="minorHAnsi" w:cstheme="minorBidi"/>
              <w:noProof/>
              <w:sz w:val="22"/>
              <w:szCs w:val="22"/>
              <w:lang w:eastAsia="ru-RU"/>
            </w:rPr>
          </w:pPr>
          <w:hyperlink w:anchor="_Toc177392787" w:history="1">
            <w:r w:rsidR="00C50915" w:rsidRPr="00731FE2">
              <w:rPr>
                <w:rStyle w:val="af6"/>
                <w:rFonts w:ascii="Times New Roman" w:hAnsi="Times New Roman" w:cs="Times New Roman"/>
                <w:noProof/>
              </w:rPr>
              <w:t>2.9.1 Санаторно-курортный и рекреационно-туристический комплекс</w:t>
            </w:r>
            <w:r w:rsidR="00C50915" w:rsidRPr="00731FE2">
              <w:rPr>
                <w:noProof/>
                <w:webHidden/>
              </w:rPr>
              <w:tab/>
            </w:r>
            <w:r w:rsidR="00C50915" w:rsidRPr="00731FE2">
              <w:rPr>
                <w:noProof/>
                <w:webHidden/>
              </w:rPr>
              <w:fldChar w:fldCharType="begin"/>
            </w:r>
            <w:r w:rsidR="00C50915" w:rsidRPr="00731FE2">
              <w:rPr>
                <w:noProof/>
                <w:webHidden/>
              </w:rPr>
              <w:instrText xml:space="preserve"> PAGEREF _Toc177392787 \h </w:instrText>
            </w:r>
            <w:r w:rsidR="00C50915" w:rsidRPr="00731FE2">
              <w:rPr>
                <w:noProof/>
                <w:webHidden/>
              </w:rPr>
            </w:r>
            <w:r w:rsidR="00C50915" w:rsidRPr="00731FE2">
              <w:rPr>
                <w:noProof/>
                <w:webHidden/>
              </w:rPr>
              <w:fldChar w:fldCharType="separate"/>
            </w:r>
            <w:r w:rsidR="00C50915" w:rsidRPr="00731FE2">
              <w:rPr>
                <w:noProof/>
                <w:webHidden/>
              </w:rPr>
              <w:t>74</w:t>
            </w:r>
            <w:r w:rsidR="00C50915" w:rsidRPr="00731FE2">
              <w:rPr>
                <w:noProof/>
                <w:webHidden/>
              </w:rPr>
              <w:fldChar w:fldCharType="end"/>
            </w:r>
          </w:hyperlink>
        </w:p>
        <w:p w14:paraId="36DEBDF4" w14:textId="77777777" w:rsidR="00C50915" w:rsidRPr="00731FE2" w:rsidRDefault="000D173B">
          <w:pPr>
            <w:pStyle w:val="32"/>
            <w:rPr>
              <w:rFonts w:asciiTheme="minorHAnsi" w:eastAsiaTheme="minorEastAsia" w:hAnsiTheme="minorHAnsi" w:cstheme="minorBidi"/>
              <w:noProof/>
              <w:sz w:val="22"/>
              <w:szCs w:val="22"/>
              <w:lang w:eastAsia="ru-RU"/>
            </w:rPr>
          </w:pPr>
          <w:hyperlink w:anchor="_Toc177392788" w:history="1">
            <w:r w:rsidR="00C50915" w:rsidRPr="00731FE2">
              <w:rPr>
                <w:rStyle w:val="af6"/>
                <w:rFonts w:ascii="Times New Roman" w:hAnsi="Times New Roman" w:cs="Times New Roman"/>
                <w:noProof/>
              </w:rPr>
              <w:t>2.9.2 Промышленность и АПК</w:t>
            </w:r>
            <w:r w:rsidR="00C50915" w:rsidRPr="00731FE2">
              <w:rPr>
                <w:noProof/>
                <w:webHidden/>
              </w:rPr>
              <w:tab/>
            </w:r>
            <w:r w:rsidR="00C50915" w:rsidRPr="00731FE2">
              <w:rPr>
                <w:noProof/>
                <w:webHidden/>
              </w:rPr>
              <w:fldChar w:fldCharType="begin"/>
            </w:r>
            <w:r w:rsidR="00C50915" w:rsidRPr="00731FE2">
              <w:rPr>
                <w:noProof/>
                <w:webHidden/>
              </w:rPr>
              <w:instrText xml:space="preserve"> PAGEREF _Toc177392788 \h </w:instrText>
            </w:r>
            <w:r w:rsidR="00C50915" w:rsidRPr="00731FE2">
              <w:rPr>
                <w:noProof/>
                <w:webHidden/>
              </w:rPr>
            </w:r>
            <w:r w:rsidR="00C50915" w:rsidRPr="00731FE2">
              <w:rPr>
                <w:noProof/>
                <w:webHidden/>
              </w:rPr>
              <w:fldChar w:fldCharType="separate"/>
            </w:r>
            <w:r w:rsidR="00C50915" w:rsidRPr="00731FE2">
              <w:rPr>
                <w:noProof/>
                <w:webHidden/>
              </w:rPr>
              <w:t>78</w:t>
            </w:r>
            <w:r w:rsidR="00C50915" w:rsidRPr="00731FE2">
              <w:rPr>
                <w:noProof/>
                <w:webHidden/>
              </w:rPr>
              <w:fldChar w:fldCharType="end"/>
            </w:r>
          </w:hyperlink>
        </w:p>
        <w:p w14:paraId="1A2A09AB" w14:textId="77777777" w:rsidR="00C50915" w:rsidRPr="00731FE2" w:rsidRDefault="000D173B">
          <w:pPr>
            <w:pStyle w:val="32"/>
            <w:rPr>
              <w:rFonts w:asciiTheme="minorHAnsi" w:eastAsiaTheme="minorEastAsia" w:hAnsiTheme="minorHAnsi" w:cstheme="minorBidi"/>
              <w:noProof/>
              <w:sz w:val="22"/>
              <w:szCs w:val="22"/>
              <w:lang w:eastAsia="ru-RU"/>
            </w:rPr>
          </w:pPr>
          <w:hyperlink w:anchor="_Toc177392789" w:history="1">
            <w:r w:rsidR="00C50915" w:rsidRPr="00731FE2">
              <w:rPr>
                <w:rStyle w:val="af6"/>
                <w:rFonts w:ascii="Times New Roman" w:hAnsi="Times New Roman" w:cs="Times New Roman"/>
                <w:noProof/>
              </w:rPr>
              <w:t>2.9.3 Строительство</w:t>
            </w:r>
            <w:r w:rsidR="00C50915" w:rsidRPr="00731FE2">
              <w:rPr>
                <w:noProof/>
                <w:webHidden/>
              </w:rPr>
              <w:tab/>
            </w:r>
            <w:r w:rsidR="00C50915" w:rsidRPr="00731FE2">
              <w:rPr>
                <w:noProof/>
                <w:webHidden/>
              </w:rPr>
              <w:fldChar w:fldCharType="begin"/>
            </w:r>
            <w:r w:rsidR="00C50915" w:rsidRPr="00731FE2">
              <w:rPr>
                <w:noProof/>
                <w:webHidden/>
              </w:rPr>
              <w:instrText xml:space="preserve"> PAGEREF _Toc177392789 \h </w:instrText>
            </w:r>
            <w:r w:rsidR="00C50915" w:rsidRPr="00731FE2">
              <w:rPr>
                <w:noProof/>
                <w:webHidden/>
              </w:rPr>
            </w:r>
            <w:r w:rsidR="00C50915" w:rsidRPr="00731FE2">
              <w:rPr>
                <w:noProof/>
                <w:webHidden/>
              </w:rPr>
              <w:fldChar w:fldCharType="separate"/>
            </w:r>
            <w:r w:rsidR="00C50915" w:rsidRPr="00731FE2">
              <w:rPr>
                <w:noProof/>
                <w:webHidden/>
              </w:rPr>
              <w:t>79</w:t>
            </w:r>
            <w:r w:rsidR="00C50915" w:rsidRPr="00731FE2">
              <w:rPr>
                <w:noProof/>
                <w:webHidden/>
              </w:rPr>
              <w:fldChar w:fldCharType="end"/>
            </w:r>
          </w:hyperlink>
        </w:p>
        <w:p w14:paraId="59C1984C" w14:textId="77777777" w:rsidR="00C50915" w:rsidRPr="00731FE2" w:rsidRDefault="000D173B">
          <w:pPr>
            <w:pStyle w:val="32"/>
            <w:rPr>
              <w:rFonts w:asciiTheme="minorHAnsi" w:eastAsiaTheme="minorEastAsia" w:hAnsiTheme="minorHAnsi" w:cstheme="minorBidi"/>
              <w:noProof/>
              <w:sz w:val="22"/>
              <w:szCs w:val="22"/>
              <w:lang w:eastAsia="ru-RU"/>
            </w:rPr>
          </w:pPr>
          <w:hyperlink w:anchor="_Toc177392790" w:history="1">
            <w:r w:rsidR="00C50915" w:rsidRPr="00731FE2">
              <w:rPr>
                <w:rStyle w:val="af6"/>
                <w:rFonts w:ascii="Times New Roman" w:hAnsi="Times New Roman" w:cs="Times New Roman"/>
                <w:noProof/>
              </w:rPr>
              <w:t>2.9.4 Малое и среднее предпринимательство</w:t>
            </w:r>
            <w:r w:rsidR="00C50915" w:rsidRPr="00731FE2">
              <w:rPr>
                <w:noProof/>
                <w:webHidden/>
              </w:rPr>
              <w:tab/>
            </w:r>
            <w:r w:rsidR="00C50915" w:rsidRPr="00731FE2">
              <w:rPr>
                <w:noProof/>
                <w:webHidden/>
              </w:rPr>
              <w:fldChar w:fldCharType="begin"/>
            </w:r>
            <w:r w:rsidR="00C50915" w:rsidRPr="00731FE2">
              <w:rPr>
                <w:noProof/>
                <w:webHidden/>
              </w:rPr>
              <w:instrText xml:space="preserve"> PAGEREF _Toc177392790 \h </w:instrText>
            </w:r>
            <w:r w:rsidR="00C50915" w:rsidRPr="00731FE2">
              <w:rPr>
                <w:noProof/>
                <w:webHidden/>
              </w:rPr>
            </w:r>
            <w:r w:rsidR="00C50915" w:rsidRPr="00731FE2">
              <w:rPr>
                <w:noProof/>
                <w:webHidden/>
              </w:rPr>
              <w:fldChar w:fldCharType="separate"/>
            </w:r>
            <w:r w:rsidR="00C50915" w:rsidRPr="00731FE2">
              <w:rPr>
                <w:noProof/>
                <w:webHidden/>
              </w:rPr>
              <w:t>81</w:t>
            </w:r>
            <w:r w:rsidR="00C50915" w:rsidRPr="00731FE2">
              <w:rPr>
                <w:noProof/>
                <w:webHidden/>
              </w:rPr>
              <w:fldChar w:fldCharType="end"/>
            </w:r>
          </w:hyperlink>
        </w:p>
        <w:p w14:paraId="72FC77C5" w14:textId="77777777" w:rsidR="00C50915" w:rsidRPr="00731FE2" w:rsidRDefault="000D173B">
          <w:pPr>
            <w:pStyle w:val="32"/>
            <w:rPr>
              <w:rFonts w:asciiTheme="minorHAnsi" w:eastAsiaTheme="minorEastAsia" w:hAnsiTheme="minorHAnsi" w:cstheme="minorBidi"/>
              <w:noProof/>
              <w:sz w:val="22"/>
              <w:szCs w:val="22"/>
              <w:lang w:eastAsia="ru-RU"/>
            </w:rPr>
          </w:pPr>
          <w:hyperlink w:anchor="_Toc177392791" w:history="1">
            <w:r w:rsidR="00C50915" w:rsidRPr="00731FE2">
              <w:rPr>
                <w:rStyle w:val="af6"/>
                <w:rFonts w:ascii="Times New Roman" w:hAnsi="Times New Roman" w:cs="Times New Roman"/>
                <w:noProof/>
              </w:rPr>
              <w:t>2.9.5 Инвестиционная деятельность</w:t>
            </w:r>
            <w:r w:rsidR="00C50915" w:rsidRPr="00731FE2">
              <w:rPr>
                <w:noProof/>
                <w:webHidden/>
              </w:rPr>
              <w:tab/>
            </w:r>
            <w:r w:rsidR="00C50915" w:rsidRPr="00731FE2">
              <w:rPr>
                <w:noProof/>
                <w:webHidden/>
              </w:rPr>
              <w:fldChar w:fldCharType="begin"/>
            </w:r>
            <w:r w:rsidR="00C50915" w:rsidRPr="00731FE2">
              <w:rPr>
                <w:noProof/>
                <w:webHidden/>
              </w:rPr>
              <w:instrText xml:space="preserve"> PAGEREF _Toc177392791 \h </w:instrText>
            </w:r>
            <w:r w:rsidR="00C50915" w:rsidRPr="00731FE2">
              <w:rPr>
                <w:noProof/>
                <w:webHidden/>
              </w:rPr>
            </w:r>
            <w:r w:rsidR="00C50915" w:rsidRPr="00731FE2">
              <w:rPr>
                <w:noProof/>
                <w:webHidden/>
              </w:rPr>
              <w:fldChar w:fldCharType="separate"/>
            </w:r>
            <w:r w:rsidR="00C50915" w:rsidRPr="00731FE2">
              <w:rPr>
                <w:noProof/>
                <w:webHidden/>
              </w:rPr>
              <w:t>83</w:t>
            </w:r>
            <w:r w:rsidR="00C50915" w:rsidRPr="00731FE2">
              <w:rPr>
                <w:noProof/>
                <w:webHidden/>
              </w:rPr>
              <w:fldChar w:fldCharType="end"/>
            </w:r>
          </w:hyperlink>
        </w:p>
        <w:p w14:paraId="5A8BAA70" w14:textId="77777777" w:rsidR="00C50915" w:rsidRPr="00731FE2" w:rsidRDefault="000D173B">
          <w:pPr>
            <w:pStyle w:val="23"/>
            <w:tabs>
              <w:tab w:val="right" w:leader="dot" w:pos="9345"/>
            </w:tabs>
            <w:rPr>
              <w:rFonts w:asciiTheme="minorHAnsi" w:eastAsiaTheme="minorEastAsia" w:hAnsiTheme="minorHAnsi"/>
              <w:noProof/>
              <w:sz w:val="22"/>
              <w:lang w:eastAsia="ru-RU"/>
            </w:rPr>
          </w:pPr>
          <w:hyperlink w:anchor="_Toc177392792" w:history="1">
            <w:r w:rsidR="00C50915" w:rsidRPr="00731FE2">
              <w:rPr>
                <w:rStyle w:val="af6"/>
                <w:rFonts w:ascii="Times New Roman" w:hAnsi="Times New Roman" w:cs="Times New Roman"/>
                <w:noProof/>
              </w:rPr>
              <w:t>2.10 Транспортная инфраструктура</w:t>
            </w:r>
            <w:r w:rsidR="00C50915" w:rsidRPr="00731FE2">
              <w:rPr>
                <w:noProof/>
                <w:webHidden/>
              </w:rPr>
              <w:tab/>
            </w:r>
            <w:r w:rsidR="00C50915" w:rsidRPr="00731FE2">
              <w:rPr>
                <w:noProof/>
                <w:webHidden/>
              </w:rPr>
              <w:fldChar w:fldCharType="begin"/>
            </w:r>
            <w:r w:rsidR="00C50915" w:rsidRPr="00731FE2">
              <w:rPr>
                <w:noProof/>
                <w:webHidden/>
              </w:rPr>
              <w:instrText xml:space="preserve"> PAGEREF _Toc177392792 \h </w:instrText>
            </w:r>
            <w:r w:rsidR="00C50915" w:rsidRPr="00731FE2">
              <w:rPr>
                <w:noProof/>
                <w:webHidden/>
              </w:rPr>
            </w:r>
            <w:r w:rsidR="00C50915" w:rsidRPr="00731FE2">
              <w:rPr>
                <w:noProof/>
                <w:webHidden/>
              </w:rPr>
              <w:fldChar w:fldCharType="separate"/>
            </w:r>
            <w:r w:rsidR="00C50915" w:rsidRPr="00731FE2">
              <w:rPr>
                <w:noProof/>
                <w:webHidden/>
              </w:rPr>
              <w:t>85</w:t>
            </w:r>
            <w:r w:rsidR="00C50915" w:rsidRPr="00731FE2">
              <w:rPr>
                <w:noProof/>
                <w:webHidden/>
              </w:rPr>
              <w:fldChar w:fldCharType="end"/>
            </w:r>
          </w:hyperlink>
        </w:p>
        <w:p w14:paraId="3B167DDA" w14:textId="77777777" w:rsidR="00C50915" w:rsidRPr="00731FE2" w:rsidRDefault="000D173B">
          <w:pPr>
            <w:pStyle w:val="32"/>
            <w:rPr>
              <w:rFonts w:asciiTheme="minorHAnsi" w:eastAsiaTheme="minorEastAsia" w:hAnsiTheme="minorHAnsi" w:cstheme="minorBidi"/>
              <w:noProof/>
              <w:sz w:val="22"/>
              <w:szCs w:val="22"/>
              <w:lang w:eastAsia="ru-RU"/>
            </w:rPr>
          </w:pPr>
          <w:hyperlink w:anchor="_Toc177392793" w:history="1">
            <w:r w:rsidR="00C50915" w:rsidRPr="00731FE2">
              <w:rPr>
                <w:rStyle w:val="af6"/>
                <w:rFonts w:ascii="Times New Roman" w:hAnsi="Times New Roman" w:cs="Times New Roman"/>
                <w:noProof/>
              </w:rPr>
              <w:t>2.10.1 Автомобильный транспорт и улично-дорожная сеть</w:t>
            </w:r>
            <w:r w:rsidR="00C50915" w:rsidRPr="00731FE2">
              <w:rPr>
                <w:noProof/>
                <w:webHidden/>
              </w:rPr>
              <w:tab/>
            </w:r>
            <w:r w:rsidR="00C50915" w:rsidRPr="00731FE2">
              <w:rPr>
                <w:noProof/>
                <w:webHidden/>
              </w:rPr>
              <w:fldChar w:fldCharType="begin"/>
            </w:r>
            <w:r w:rsidR="00C50915" w:rsidRPr="00731FE2">
              <w:rPr>
                <w:noProof/>
                <w:webHidden/>
              </w:rPr>
              <w:instrText xml:space="preserve"> PAGEREF _Toc177392793 \h </w:instrText>
            </w:r>
            <w:r w:rsidR="00C50915" w:rsidRPr="00731FE2">
              <w:rPr>
                <w:noProof/>
                <w:webHidden/>
              </w:rPr>
            </w:r>
            <w:r w:rsidR="00C50915" w:rsidRPr="00731FE2">
              <w:rPr>
                <w:noProof/>
                <w:webHidden/>
              </w:rPr>
              <w:fldChar w:fldCharType="separate"/>
            </w:r>
            <w:r w:rsidR="00C50915" w:rsidRPr="00731FE2">
              <w:rPr>
                <w:noProof/>
                <w:webHidden/>
              </w:rPr>
              <w:t>85</w:t>
            </w:r>
            <w:r w:rsidR="00C50915" w:rsidRPr="00731FE2">
              <w:rPr>
                <w:noProof/>
                <w:webHidden/>
              </w:rPr>
              <w:fldChar w:fldCharType="end"/>
            </w:r>
          </w:hyperlink>
        </w:p>
        <w:p w14:paraId="68E6F500" w14:textId="77777777" w:rsidR="00C50915" w:rsidRPr="00731FE2" w:rsidRDefault="000D173B">
          <w:pPr>
            <w:pStyle w:val="32"/>
            <w:rPr>
              <w:rFonts w:asciiTheme="minorHAnsi" w:eastAsiaTheme="minorEastAsia" w:hAnsiTheme="minorHAnsi" w:cstheme="minorBidi"/>
              <w:noProof/>
              <w:sz w:val="22"/>
              <w:szCs w:val="22"/>
              <w:lang w:eastAsia="ru-RU"/>
            </w:rPr>
          </w:pPr>
          <w:hyperlink w:anchor="_Toc177392794" w:history="1">
            <w:r w:rsidR="00C50915" w:rsidRPr="00731FE2">
              <w:rPr>
                <w:rStyle w:val="af6"/>
                <w:rFonts w:ascii="Times New Roman" w:hAnsi="Times New Roman" w:cs="Times New Roman"/>
                <w:noProof/>
              </w:rPr>
              <w:t>2.10.2 Общественный транспорт</w:t>
            </w:r>
            <w:r w:rsidR="00C50915" w:rsidRPr="00731FE2">
              <w:rPr>
                <w:noProof/>
                <w:webHidden/>
              </w:rPr>
              <w:tab/>
            </w:r>
            <w:r w:rsidR="00C50915" w:rsidRPr="00731FE2">
              <w:rPr>
                <w:noProof/>
                <w:webHidden/>
              </w:rPr>
              <w:fldChar w:fldCharType="begin"/>
            </w:r>
            <w:r w:rsidR="00C50915" w:rsidRPr="00731FE2">
              <w:rPr>
                <w:noProof/>
                <w:webHidden/>
              </w:rPr>
              <w:instrText xml:space="preserve"> PAGEREF _Toc177392794 \h </w:instrText>
            </w:r>
            <w:r w:rsidR="00C50915" w:rsidRPr="00731FE2">
              <w:rPr>
                <w:noProof/>
                <w:webHidden/>
              </w:rPr>
            </w:r>
            <w:r w:rsidR="00C50915" w:rsidRPr="00731FE2">
              <w:rPr>
                <w:noProof/>
                <w:webHidden/>
              </w:rPr>
              <w:fldChar w:fldCharType="separate"/>
            </w:r>
            <w:r w:rsidR="00C50915" w:rsidRPr="00731FE2">
              <w:rPr>
                <w:noProof/>
                <w:webHidden/>
              </w:rPr>
              <w:t>88</w:t>
            </w:r>
            <w:r w:rsidR="00C50915" w:rsidRPr="00731FE2">
              <w:rPr>
                <w:noProof/>
                <w:webHidden/>
              </w:rPr>
              <w:fldChar w:fldCharType="end"/>
            </w:r>
          </w:hyperlink>
        </w:p>
        <w:p w14:paraId="7F51F4E9" w14:textId="77777777" w:rsidR="00C50915" w:rsidRPr="00731FE2" w:rsidRDefault="000D173B">
          <w:pPr>
            <w:pStyle w:val="32"/>
            <w:rPr>
              <w:rFonts w:asciiTheme="minorHAnsi" w:eastAsiaTheme="minorEastAsia" w:hAnsiTheme="minorHAnsi" w:cstheme="minorBidi"/>
              <w:noProof/>
              <w:sz w:val="22"/>
              <w:szCs w:val="22"/>
              <w:lang w:eastAsia="ru-RU"/>
            </w:rPr>
          </w:pPr>
          <w:hyperlink w:anchor="_Toc177392795" w:history="1">
            <w:r w:rsidR="00C50915" w:rsidRPr="00731FE2">
              <w:rPr>
                <w:rStyle w:val="af6"/>
                <w:rFonts w:ascii="Times New Roman" w:hAnsi="Times New Roman" w:cs="Times New Roman"/>
                <w:noProof/>
              </w:rPr>
              <w:t>2.10.3 Транспортно-инженерная инфраструктура</w:t>
            </w:r>
            <w:r w:rsidR="00C50915" w:rsidRPr="00731FE2">
              <w:rPr>
                <w:noProof/>
                <w:webHidden/>
              </w:rPr>
              <w:tab/>
            </w:r>
            <w:r w:rsidR="00C50915" w:rsidRPr="00731FE2">
              <w:rPr>
                <w:noProof/>
                <w:webHidden/>
              </w:rPr>
              <w:fldChar w:fldCharType="begin"/>
            </w:r>
            <w:r w:rsidR="00C50915" w:rsidRPr="00731FE2">
              <w:rPr>
                <w:noProof/>
                <w:webHidden/>
              </w:rPr>
              <w:instrText xml:space="preserve"> PAGEREF _Toc177392795 \h </w:instrText>
            </w:r>
            <w:r w:rsidR="00C50915" w:rsidRPr="00731FE2">
              <w:rPr>
                <w:noProof/>
                <w:webHidden/>
              </w:rPr>
            </w:r>
            <w:r w:rsidR="00C50915" w:rsidRPr="00731FE2">
              <w:rPr>
                <w:noProof/>
                <w:webHidden/>
              </w:rPr>
              <w:fldChar w:fldCharType="separate"/>
            </w:r>
            <w:r w:rsidR="00C50915" w:rsidRPr="00731FE2">
              <w:rPr>
                <w:noProof/>
                <w:webHidden/>
              </w:rPr>
              <w:t>91</w:t>
            </w:r>
            <w:r w:rsidR="00C50915" w:rsidRPr="00731FE2">
              <w:rPr>
                <w:noProof/>
                <w:webHidden/>
              </w:rPr>
              <w:fldChar w:fldCharType="end"/>
            </w:r>
          </w:hyperlink>
        </w:p>
        <w:p w14:paraId="062D8EC7" w14:textId="77777777" w:rsidR="00C50915" w:rsidRPr="00731FE2" w:rsidRDefault="000D173B">
          <w:pPr>
            <w:pStyle w:val="32"/>
            <w:rPr>
              <w:rFonts w:asciiTheme="minorHAnsi" w:eastAsiaTheme="minorEastAsia" w:hAnsiTheme="minorHAnsi" w:cstheme="minorBidi"/>
              <w:noProof/>
              <w:sz w:val="22"/>
              <w:szCs w:val="22"/>
              <w:lang w:eastAsia="ru-RU"/>
            </w:rPr>
          </w:pPr>
          <w:hyperlink w:anchor="_Toc177392796" w:history="1">
            <w:r w:rsidR="00C50915" w:rsidRPr="00731FE2">
              <w:rPr>
                <w:rStyle w:val="af6"/>
                <w:rFonts w:ascii="Times New Roman" w:hAnsi="Times New Roman" w:cs="Times New Roman"/>
                <w:noProof/>
              </w:rPr>
              <w:t>2.10.4 Объекты транспортно-дорожного сервиса</w:t>
            </w:r>
            <w:r w:rsidR="00C50915" w:rsidRPr="00731FE2">
              <w:rPr>
                <w:noProof/>
                <w:webHidden/>
              </w:rPr>
              <w:tab/>
            </w:r>
            <w:r w:rsidR="00C50915" w:rsidRPr="00731FE2">
              <w:rPr>
                <w:noProof/>
                <w:webHidden/>
              </w:rPr>
              <w:fldChar w:fldCharType="begin"/>
            </w:r>
            <w:r w:rsidR="00C50915" w:rsidRPr="00731FE2">
              <w:rPr>
                <w:noProof/>
                <w:webHidden/>
              </w:rPr>
              <w:instrText xml:space="preserve"> PAGEREF _Toc177392796 \h </w:instrText>
            </w:r>
            <w:r w:rsidR="00C50915" w:rsidRPr="00731FE2">
              <w:rPr>
                <w:noProof/>
                <w:webHidden/>
              </w:rPr>
            </w:r>
            <w:r w:rsidR="00C50915" w:rsidRPr="00731FE2">
              <w:rPr>
                <w:noProof/>
                <w:webHidden/>
              </w:rPr>
              <w:fldChar w:fldCharType="separate"/>
            </w:r>
            <w:r w:rsidR="00C50915" w:rsidRPr="00731FE2">
              <w:rPr>
                <w:noProof/>
                <w:webHidden/>
              </w:rPr>
              <w:t>95</w:t>
            </w:r>
            <w:r w:rsidR="00C50915" w:rsidRPr="00731FE2">
              <w:rPr>
                <w:noProof/>
                <w:webHidden/>
              </w:rPr>
              <w:fldChar w:fldCharType="end"/>
            </w:r>
          </w:hyperlink>
        </w:p>
        <w:p w14:paraId="1CCB0CC9" w14:textId="77777777" w:rsidR="00C50915" w:rsidRPr="00731FE2" w:rsidRDefault="000D173B">
          <w:pPr>
            <w:pStyle w:val="32"/>
            <w:rPr>
              <w:rFonts w:asciiTheme="minorHAnsi" w:eastAsiaTheme="minorEastAsia" w:hAnsiTheme="minorHAnsi" w:cstheme="minorBidi"/>
              <w:noProof/>
              <w:sz w:val="22"/>
              <w:szCs w:val="22"/>
              <w:lang w:eastAsia="ru-RU"/>
            </w:rPr>
          </w:pPr>
          <w:hyperlink w:anchor="_Toc177392797" w:history="1">
            <w:r w:rsidR="00C50915" w:rsidRPr="00731FE2">
              <w:rPr>
                <w:rStyle w:val="af6"/>
                <w:rFonts w:ascii="Times New Roman" w:hAnsi="Times New Roman" w:cs="Times New Roman"/>
                <w:noProof/>
              </w:rPr>
              <w:t>2.10.5 Железнодорожный транспорт</w:t>
            </w:r>
            <w:r w:rsidR="00C50915" w:rsidRPr="00731FE2">
              <w:rPr>
                <w:noProof/>
                <w:webHidden/>
              </w:rPr>
              <w:tab/>
            </w:r>
            <w:r w:rsidR="00C50915" w:rsidRPr="00731FE2">
              <w:rPr>
                <w:noProof/>
                <w:webHidden/>
              </w:rPr>
              <w:fldChar w:fldCharType="begin"/>
            </w:r>
            <w:r w:rsidR="00C50915" w:rsidRPr="00731FE2">
              <w:rPr>
                <w:noProof/>
                <w:webHidden/>
              </w:rPr>
              <w:instrText xml:space="preserve"> PAGEREF _Toc177392797 \h </w:instrText>
            </w:r>
            <w:r w:rsidR="00C50915" w:rsidRPr="00731FE2">
              <w:rPr>
                <w:noProof/>
                <w:webHidden/>
              </w:rPr>
            </w:r>
            <w:r w:rsidR="00C50915" w:rsidRPr="00731FE2">
              <w:rPr>
                <w:noProof/>
                <w:webHidden/>
              </w:rPr>
              <w:fldChar w:fldCharType="separate"/>
            </w:r>
            <w:r w:rsidR="00C50915" w:rsidRPr="00731FE2">
              <w:rPr>
                <w:noProof/>
                <w:webHidden/>
              </w:rPr>
              <w:t>97</w:t>
            </w:r>
            <w:r w:rsidR="00C50915" w:rsidRPr="00731FE2">
              <w:rPr>
                <w:noProof/>
                <w:webHidden/>
              </w:rPr>
              <w:fldChar w:fldCharType="end"/>
            </w:r>
          </w:hyperlink>
        </w:p>
        <w:p w14:paraId="34B6401B" w14:textId="77777777" w:rsidR="00C50915" w:rsidRPr="00731FE2" w:rsidRDefault="000D173B">
          <w:pPr>
            <w:pStyle w:val="32"/>
            <w:rPr>
              <w:rFonts w:asciiTheme="minorHAnsi" w:eastAsiaTheme="minorEastAsia" w:hAnsiTheme="minorHAnsi" w:cstheme="minorBidi"/>
              <w:noProof/>
              <w:sz w:val="22"/>
              <w:szCs w:val="22"/>
              <w:lang w:eastAsia="ru-RU"/>
            </w:rPr>
          </w:pPr>
          <w:hyperlink w:anchor="_Toc177392798" w:history="1">
            <w:r w:rsidR="00C50915" w:rsidRPr="00731FE2">
              <w:rPr>
                <w:rStyle w:val="af6"/>
                <w:rFonts w:ascii="Times New Roman" w:hAnsi="Times New Roman" w:cs="Times New Roman"/>
                <w:noProof/>
              </w:rPr>
              <w:t>2.10.6 Воздушный транспорт</w:t>
            </w:r>
            <w:r w:rsidR="00C50915" w:rsidRPr="00731FE2">
              <w:rPr>
                <w:noProof/>
                <w:webHidden/>
              </w:rPr>
              <w:tab/>
            </w:r>
            <w:r w:rsidR="00C50915" w:rsidRPr="00731FE2">
              <w:rPr>
                <w:noProof/>
                <w:webHidden/>
              </w:rPr>
              <w:fldChar w:fldCharType="begin"/>
            </w:r>
            <w:r w:rsidR="00C50915" w:rsidRPr="00731FE2">
              <w:rPr>
                <w:noProof/>
                <w:webHidden/>
              </w:rPr>
              <w:instrText xml:space="preserve"> PAGEREF _Toc177392798 \h </w:instrText>
            </w:r>
            <w:r w:rsidR="00C50915" w:rsidRPr="00731FE2">
              <w:rPr>
                <w:noProof/>
                <w:webHidden/>
              </w:rPr>
            </w:r>
            <w:r w:rsidR="00C50915" w:rsidRPr="00731FE2">
              <w:rPr>
                <w:noProof/>
                <w:webHidden/>
              </w:rPr>
              <w:fldChar w:fldCharType="separate"/>
            </w:r>
            <w:r w:rsidR="00C50915" w:rsidRPr="00731FE2">
              <w:rPr>
                <w:noProof/>
                <w:webHidden/>
              </w:rPr>
              <w:t>98</w:t>
            </w:r>
            <w:r w:rsidR="00C50915" w:rsidRPr="00731FE2">
              <w:rPr>
                <w:noProof/>
                <w:webHidden/>
              </w:rPr>
              <w:fldChar w:fldCharType="end"/>
            </w:r>
          </w:hyperlink>
        </w:p>
        <w:p w14:paraId="4EC6116B" w14:textId="77777777" w:rsidR="00C50915" w:rsidRPr="00731FE2" w:rsidRDefault="000D173B">
          <w:pPr>
            <w:pStyle w:val="23"/>
            <w:tabs>
              <w:tab w:val="right" w:leader="dot" w:pos="9345"/>
            </w:tabs>
            <w:rPr>
              <w:rFonts w:asciiTheme="minorHAnsi" w:eastAsiaTheme="minorEastAsia" w:hAnsiTheme="minorHAnsi"/>
              <w:noProof/>
              <w:sz w:val="22"/>
              <w:lang w:eastAsia="ru-RU"/>
            </w:rPr>
          </w:pPr>
          <w:hyperlink w:anchor="_Toc177392799" w:history="1">
            <w:r w:rsidR="00C50915" w:rsidRPr="00731FE2">
              <w:rPr>
                <w:rStyle w:val="af6"/>
                <w:rFonts w:ascii="Times New Roman" w:hAnsi="Times New Roman" w:cs="Times New Roman"/>
                <w:noProof/>
              </w:rPr>
              <w:t>2.11 Инженерная инфраструктура</w:t>
            </w:r>
            <w:r w:rsidR="00C50915" w:rsidRPr="00731FE2">
              <w:rPr>
                <w:noProof/>
                <w:webHidden/>
              </w:rPr>
              <w:tab/>
            </w:r>
            <w:r w:rsidR="00C50915" w:rsidRPr="00731FE2">
              <w:rPr>
                <w:noProof/>
                <w:webHidden/>
              </w:rPr>
              <w:fldChar w:fldCharType="begin"/>
            </w:r>
            <w:r w:rsidR="00C50915" w:rsidRPr="00731FE2">
              <w:rPr>
                <w:noProof/>
                <w:webHidden/>
              </w:rPr>
              <w:instrText xml:space="preserve"> PAGEREF _Toc177392799 \h </w:instrText>
            </w:r>
            <w:r w:rsidR="00C50915" w:rsidRPr="00731FE2">
              <w:rPr>
                <w:noProof/>
                <w:webHidden/>
              </w:rPr>
            </w:r>
            <w:r w:rsidR="00C50915" w:rsidRPr="00731FE2">
              <w:rPr>
                <w:noProof/>
                <w:webHidden/>
              </w:rPr>
              <w:fldChar w:fldCharType="separate"/>
            </w:r>
            <w:r w:rsidR="00C50915" w:rsidRPr="00731FE2">
              <w:rPr>
                <w:noProof/>
                <w:webHidden/>
              </w:rPr>
              <w:t>98</w:t>
            </w:r>
            <w:r w:rsidR="00C50915" w:rsidRPr="00731FE2">
              <w:rPr>
                <w:noProof/>
                <w:webHidden/>
              </w:rPr>
              <w:fldChar w:fldCharType="end"/>
            </w:r>
          </w:hyperlink>
        </w:p>
        <w:p w14:paraId="1F9705E6" w14:textId="77777777" w:rsidR="00C50915" w:rsidRPr="00731FE2" w:rsidRDefault="000D173B">
          <w:pPr>
            <w:pStyle w:val="32"/>
            <w:rPr>
              <w:rFonts w:asciiTheme="minorHAnsi" w:eastAsiaTheme="minorEastAsia" w:hAnsiTheme="minorHAnsi" w:cstheme="minorBidi"/>
              <w:noProof/>
              <w:sz w:val="22"/>
              <w:szCs w:val="22"/>
              <w:lang w:eastAsia="ru-RU"/>
            </w:rPr>
          </w:pPr>
          <w:hyperlink w:anchor="_Toc177392800" w:history="1">
            <w:r w:rsidR="00C50915" w:rsidRPr="00731FE2">
              <w:rPr>
                <w:rStyle w:val="af6"/>
                <w:rFonts w:ascii="Times New Roman" w:hAnsi="Times New Roman" w:cs="Times New Roman"/>
                <w:noProof/>
              </w:rPr>
              <w:t>2.11.1 Водоснабжение и водоотведение</w:t>
            </w:r>
            <w:r w:rsidR="00C50915" w:rsidRPr="00731FE2">
              <w:rPr>
                <w:noProof/>
                <w:webHidden/>
              </w:rPr>
              <w:tab/>
            </w:r>
            <w:r w:rsidR="00C50915" w:rsidRPr="00731FE2">
              <w:rPr>
                <w:noProof/>
                <w:webHidden/>
              </w:rPr>
              <w:fldChar w:fldCharType="begin"/>
            </w:r>
            <w:r w:rsidR="00C50915" w:rsidRPr="00731FE2">
              <w:rPr>
                <w:noProof/>
                <w:webHidden/>
              </w:rPr>
              <w:instrText xml:space="preserve"> PAGEREF _Toc177392800 \h </w:instrText>
            </w:r>
            <w:r w:rsidR="00C50915" w:rsidRPr="00731FE2">
              <w:rPr>
                <w:noProof/>
                <w:webHidden/>
              </w:rPr>
            </w:r>
            <w:r w:rsidR="00C50915" w:rsidRPr="00731FE2">
              <w:rPr>
                <w:noProof/>
                <w:webHidden/>
              </w:rPr>
              <w:fldChar w:fldCharType="separate"/>
            </w:r>
            <w:r w:rsidR="00C50915" w:rsidRPr="00731FE2">
              <w:rPr>
                <w:noProof/>
                <w:webHidden/>
              </w:rPr>
              <w:t>98</w:t>
            </w:r>
            <w:r w:rsidR="00C50915" w:rsidRPr="00731FE2">
              <w:rPr>
                <w:noProof/>
                <w:webHidden/>
              </w:rPr>
              <w:fldChar w:fldCharType="end"/>
            </w:r>
          </w:hyperlink>
        </w:p>
        <w:p w14:paraId="7FC9FBBA" w14:textId="77777777" w:rsidR="00C50915" w:rsidRPr="00731FE2" w:rsidRDefault="000D173B">
          <w:pPr>
            <w:pStyle w:val="32"/>
            <w:rPr>
              <w:rFonts w:asciiTheme="minorHAnsi" w:eastAsiaTheme="minorEastAsia" w:hAnsiTheme="minorHAnsi" w:cstheme="minorBidi"/>
              <w:noProof/>
              <w:sz w:val="22"/>
              <w:szCs w:val="22"/>
              <w:lang w:eastAsia="ru-RU"/>
            </w:rPr>
          </w:pPr>
          <w:hyperlink w:anchor="_Toc177392801" w:history="1">
            <w:r w:rsidR="00C50915" w:rsidRPr="00731FE2">
              <w:rPr>
                <w:rStyle w:val="af6"/>
                <w:rFonts w:ascii="Times New Roman" w:hAnsi="Times New Roman" w:cs="Times New Roman"/>
                <w:noProof/>
              </w:rPr>
              <w:t>2.11.2 Теплоснабжение</w:t>
            </w:r>
            <w:r w:rsidR="00C50915" w:rsidRPr="00731FE2">
              <w:rPr>
                <w:noProof/>
                <w:webHidden/>
              </w:rPr>
              <w:tab/>
            </w:r>
            <w:r w:rsidR="00C50915" w:rsidRPr="00731FE2">
              <w:rPr>
                <w:noProof/>
                <w:webHidden/>
              </w:rPr>
              <w:fldChar w:fldCharType="begin"/>
            </w:r>
            <w:r w:rsidR="00C50915" w:rsidRPr="00731FE2">
              <w:rPr>
                <w:noProof/>
                <w:webHidden/>
              </w:rPr>
              <w:instrText xml:space="preserve"> PAGEREF _Toc177392801 \h </w:instrText>
            </w:r>
            <w:r w:rsidR="00C50915" w:rsidRPr="00731FE2">
              <w:rPr>
                <w:noProof/>
                <w:webHidden/>
              </w:rPr>
            </w:r>
            <w:r w:rsidR="00C50915" w:rsidRPr="00731FE2">
              <w:rPr>
                <w:noProof/>
                <w:webHidden/>
              </w:rPr>
              <w:fldChar w:fldCharType="separate"/>
            </w:r>
            <w:r w:rsidR="00C50915" w:rsidRPr="00731FE2">
              <w:rPr>
                <w:noProof/>
                <w:webHidden/>
              </w:rPr>
              <w:t>112</w:t>
            </w:r>
            <w:r w:rsidR="00C50915" w:rsidRPr="00731FE2">
              <w:rPr>
                <w:noProof/>
                <w:webHidden/>
              </w:rPr>
              <w:fldChar w:fldCharType="end"/>
            </w:r>
          </w:hyperlink>
        </w:p>
        <w:p w14:paraId="02CB1119" w14:textId="77777777" w:rsidR="00C50915" w:rsidRPr="00731FE2" w:rsidRDefault="000D173B">
          <w:pPr>
            <w:pStyle w:val="32"/>
            <w:rPr>
              <w:rFonts w:asciiTheme="minorHAnsi" w:eastAsiaTheme="minorEastAsia" w:hAnsiTheme="minorHAnsi" w:cstheme="minorBidi"/>
              <w:noProof/>
              <w:sz w:val="22"/>
              <w:szCs w:val="22"/>
              <w:lang w:eastAsia="ru-RU"/>
            </w:rPr>
          </w:pPr>
          <w:hyperlink w:anchor="_Toc177392802" w:history="1">
            <w:r w:rsidR="00C50915" w:rsidRPr="00731FE2">
              <w:rPr>
                <w:rStyle w:val="af6"/>
                <w:rFonts w:ascii="Times New Roman" w:hAnsi="Times New Roman" w:cs="Times New Roman"/>
                <w:noProof/>
              </w:rPr>
              <w:t>2.11.3 Электроснабжение</w:t>
            </w:r>
            <w:r w:rsidR="00C50915" w:rsidRPr="00731FE2">
              <w:rPr>
                <w:noProof/>
                <w:webHidden/>
              </w:rPr>
              <w:tab/>
            </w:r>
            <w:r w:rsidR="00C50915" w:rsidRPr="00731FE2">
              <w:rPr>
                <w:noProof/>
                <w:webHidden/>
              </w:rPr>
              <w:fldChar w:fldCharType="begin"/>
            </w:r>
            <w:r w:rsidR="00C50915" w:rsidRPr="00731FE2">
              <w:rPr>
                <w:noProof/>
                <w:webHidden/>
              </w:rPr>
              <w:instrText xml:space="preserve"> PAGEREF _Toc177392802 \h </w:instrText>
            </w:r>
            <w:r w:rsidR="00C50915" w:rsidRPr="00731FE2">
              <w:rPr>
                <w:noProof/>
                <w:webHidden/>
              </w:rPr>
            </w:r>
            <w:r w:rsidR="00C50915" w:rsidRPr="00731FE2">
              <w:rPr>
                <w:noProof/>
                <w:webHidden/>
              </w:rPr>
              <w:fldChar w:fldCharType="separate"/>
            </w:r>
            <w:r w:rsidR="00C50915" w:rsidRPr="00731FE2">
              <w:rPr>
                <w:noProof/>
                <w:webHidden/>
              </w:rPr>
              <w:t>115</w:t>
            </w:r>
            <w:r w:rsidR="00C50915" w:rsidRPr="00731FE2">
              <w:rPr>
                <w:noProof/>
                <w:webHidden/>
              </w:rPr>
              <w:fldChar w:fldCharType="end"/>
            </w:r>
          </w:hyperlink>
        </w:p>
        <w:p w14:paraId="435BAFBE" w14:textId="77777777" w:rsidR="00C50915" w:rsidRPr="00731FE2" w:rsidRDefault="000D173B">
          <w:pPr>
            <w:pStyle w:val="32"/>
            <w:rPr>
              <w:rFonts w:asciiTheme="minorHAnsi" w:eastAsiaTheme="minorEastAsia" w:hAnsiTheme="minorHAnsi" w:cstheme="minorBidi"/>
              <w:noProof/>
              <w:sz w:val="22"/>
              <w:szCs w:val="22"/>
              <w:lang w:eastAsia="ru-RU"/>
            </w:rPr>
          </w:pPr>
          <w:hyperlink w:anchor="_Toc177392803" w:history="1">
            <w:r w:rsidR="00C50915" w:rsidRPr="00731FE2">
              <w:rPr>
                <w:rStyle w:val="af6"/>
                <w:rFonts w:ascii="Times New Roman" w:hAnsi="Times New Roman" w:cs="Times New Roman"/>
                <w:noProof/>
              </w:rPr>
              <w:t>2.11.4 Газоснабжение</w:t>
            </w:r>
            <w:r w:rsidR="00C50915" w:rsidRPr="00731FE2">
              <w:rPr>
                <w:noProof/>
                <w:webHidden/>
              </w:rPr>
              <w:tab/>
            </w:r>
            <w:r w:rsidR="00C50915" w:rsidRPr="00731FE2">
              <w:rPr>
                <w:noProof/>
                <w:webHidden/>
              </w:rPr>
              <w:fldChar w:fldCharType="begin"/>
            </w:r>
            <w:r w:rsidR="00C50915" w:rsidRPr="00731FE2">
              <w:rPr>
                <w:noProof/>
                <w:webHidden/>
              </w:rPr>
              <w:instrText xml:space="preserve"> PAGEREF _Toc177392803 \h </w:instrText>
            </w:r>
            <w:r w:rsidR="00C50915" w:rsidRPr="00731FE2">
              <w:rPr>
                <w:noProof/>
                <w:webHidden/>
              </w:rPr>
            </w:r>
            <w:r w:rsidR="00C50915" w:rsidRPr="00731FE2">
              <w:rPr>
                <w:noProof/>
                <w:webHidden/>
              </w:rPr>
              <w:fldChar w:fldCharType="separate"/>
            </w:r>
            <w:r w:rsidR="00C50915" w:rsidRPr="00731FE2">
              <w:rPr>
                <w:noProof/>
                <w:webHidden/>
              </w:rPr>
              <w:t>119</w:t>
            </w:r>
            <w:r w:rsidR="00C50915" w:rsidRPr="00731FE2">
              <w:rPr>
                <w:noProof/>
                <w:webHidden/>
              </w:rPr>
              <w:fldChar w:fldCharType="end"/>
            </w:r>
          </w:hyperlink>
        </w:p>
        <w:p w14:paraId="2F71E6B1" w14:textId="77777777" w:rsidR="00C50915" w:rsidRPr="00731FE2" w:rsidRDefault="000D173B">
          <w:pPr>
            <w:pStyle w:val="32"/>
            <w:rPr>
              <w:rFonts w:asciiTheme="minorHAnsi" w:eastAsiaTheme="minorEastAsia" w:hAnsiTheme="minorHAnsi" w:cstheme="minorBidi"/>
              <w:noProof/>
              <w:sz w:val="22"/>
              <w:szCs w:val="22"/>
              <w:lang w:eastAsia="ru-RU"/>
            </w:rPr>
          </w:pPr>
          <w:hyperlink w:anchor="_Toc177392804" w:history="1">
            <w:r w:rsidR="00C50915" w:rsidRPr="00731FE2">
              <w:rPr>
                <w:rStyle w:val="af6"/>
                <w:rFonts w:ascii="Times New Roman" w:hAnsi="Times New Roman" w:cs="Times New Roman"/>
                <w:noProof/>
              </w:rPr>
              <w:t>2.11.5 Система обращения с твердыми коммунальными отходами (ТКО)</w:t>
            </w:r>
            <w:r w:rsidR="00C50915" w:rsidRPr="00731FE2">
              <w:rPr>
                <w:noProof/>
                <w:webHidden/>
              </w:rPr>
              <w:tab/>
            </w:r>
            <w:r w:rsidR="00C50915" w:rsidRPr="00731FE2">
              <w:rPr>
                <w:noProof/>
                <w:webHidden/>
              </w:rPr>
              <w:fldChar w:fldCharType="begin"/>
            </w:r>
            <w:r w:rsidR="00C50915" w:rsidRPr="00731FE2">
              <w:rPr>
                <w:noProof/>
                <w:webHidden/>
              </w:rPr>
              <w:instrText xml:space="preserve"> PAGEREF _Toc177392804 \h </w:instrText>
            </w:r>
            <w:r w:rsidR="00C50915" w:rsidRPr="00731FE2">
              <w:rPr>
                <w:noProof/>
                <w:webHidden/>
              </w:rPr>
            </w:r>
            <w:r w:rsidR="00C50915" w:rsidRPr="00731FE2">
              <w:rPr>
                <w:noProof/>
                <w:webHidden/>
              </w:rPr>
              <w:fldChar w:fldCharType="separate"/>
            </w:r>
            <w:r w:rsidR="00C50915" w:rsidRPr="00731FE2">
              <w:rPr>
                <w:noProof/>
                <w:webHidden/>
              </w:rPr>
              <w:t>121</w:t>
            </w:r>
            <w:r w:rsidR="00C50915" w:rsidRPr="00731FE2">
              <w:rPr>
                <w:noProof/>
                <w:webHidden/>
              </w:rPr>
              <w:fldChar w:fldCharType="end"/>
            </w:r>
          </w:hyperlink>
        </w:p>
        <w:p w14:paraId="3FABD68A" w14:textId="77777777" w:rsidR="00C50915" w:rsidRPr="00731FE2" w:rsidRDefault="000D173B">
          <w:pPr>
            <w:pStyle w:val="32"/>
            <w:rPr>
              <w:rFonts w:asciiTheme="minorHAnsi" w:eastAsiaTheme="minorEastAsia" w:hAnsiTheme="minorHAnsi" w:cstheme="minorBidi"/>
              <w:noProof/>
              <w:sz w:val="22"/>
              <w:szCs w:val="22"/>
              <w:lang w:eastAsia="ru-RU"/>
            </w:rPr>
          </w:pPr>
          <w:hyperlink w:anchor="_Toc177392805" w:history="1">
            <w:r w:rsidR="00C50915" w:rsidRPr="00731FE2">
              <w:rPr>
                <w:rStyle w:val="af6"/>
                <w:rFonts w:ascii="Times New Roman" w:hAnsi="Times New Roman" w:cs="Times New Roman"/>
                <w:noProof/>
              </w:rPr>
              <w:t>2.11.6 Информационно-телекоммуникационная инфраструктура</w:t>
            </w:r>
            <w:r w:rsidR="00C50915" w:rsidRPr="00731FE2">
              <w:rPr>
                <w:noProof/>
                <w:webHidden/>
              </w:rPr>
              <w:tab/>
            </w:r>
            <w:r w:rsidR="00C50915" w:rsidRPr="00731FE2">
              <w:rPr>
                <w:noProof/>
                <w:webHidden/>
              </w:rPr>
              <w:fldChar w:fldCharType="begin"/>
            </w:r>
            <w:r w:rsidR="00C50915" w:rsidRPr="00731FE2">
              <w:rPr>
                <w:noProof/>
                <w:webHidden/>
              </w:rPr>
              <w:instrText xml:space="preserve"> PAGEREF _Toc177392805 \h </w:instrText>
            </w:r>
            <w:r w:rsidR="00C50915" w:rsidRPr="00731FE2">
              <w:rPr>
                <w:noProof/>
                <w:webHidden/>
              </w:rPr>
            </w:r>
            <w:r w:rsidR="00C50915" w:rsidRPr="00731FE2">
              <w:rPr>
                <w:noProof/>
                <w:webHidden/>
              </w:rPr>
              <w:fldChar w:fldCharType="separate"/>
            </w:r>
            <w:r w:rsidR="00C50915" w:rsidRPr="00731FE2">
              <w:rPr>
                <w:noProof/>
                <w:webHidden/>
              </w:rPr>
              <w:t>125</w:t>
            </w:r>
            <w:r w:rsidR="00C50915" w:rsidRPr="00731FE2">
              <w:rPr>
                <w:noProof/>
                <w:webHidden/>
              </w:rPr>
              <w:fldChar w:fldCharType="end"/>
            </w:r>
          </w:hyperlink>
        </w:p>
        <w:p w14:paraId="3E52357D" w14:textId="77777777" w:rsidR="00C50915" w:rsidRPr="00731FE2" w:rsidRDefault="000D173B">
          <w:pPr>
            <w:pStyle w:val="23"/>
            <w:tabs>
              <w:tab w:val="right" w:leader="dot" w:pos="9345"/>
            </w:tabs>
            <w:rPr>
              <w:rFonts w:asciiTheme="minorHAnsi" w:eastAsiaTheme="minorEastAsia" w:hAnsiTheme="minorHAnsi"/>
              <w:noProof/>
              <w:sz w:val="22"/>
              <w:lang w:eastAsia="ru-RU"/>
            </w:rPr>
          </w:pPr>
          <w:hyperlink w:anchor="_Toc177392806" w:history="1">
            <w:r w:rsidR="00C50915" w:rsidRPr="00731FE2">
              <w:rPr>
                <w:rStyle w:val="af6"/>
                <w:rFonts w:ascii="Times New Roman" w:hAnsi="Times New Roman" w:cs="Times New Roman"/>
                <w:noProof/>
              </w:rPr>
              <w:t>2.12 Жилищный фонд и жилищное строительство</w:t>
            </w:r>
            <w:r w:rsidR="00C50915" w:rsidRPr="00731FE2">
              <w:rPr>
                <w:noProof/>
                <w:webHidden/>
              </w:rPr>
              <w:tab/>
            </w:r>
            <w:r w:rsidR="00C50915" w:rsidRPr="00731FE2">
              <w:rPr>
                <w:noProof/>
                <w:webHidden/>
              </w:rPr>
              <w:fldChar w:fldCharType="begin"/>
            </w:r>
            <w:r w:rsidR="00C50915" w:rsidRPr="00731FE2">
              <w:rPr>
                <w:noProof/>
                <w:webHidden/>
              </w:rPr>
              <w:instrText xml:space="preserve"> PAGEREF _Toc177392806 \h </w:instrText>
            </w:r>
            <w:r w:rsidR="00C50915" w:rsidRPr="00731FE2">
              <w:rPr>
                <w:noProof/>
                <w:webHidden/>
              </w:rPr>
            </w:r>
            <w:r w:rsidR="00C50915" w:rsidRPr="00731FE2">
              <w:rPr>
                <w:noProof/>
                <w:webHidden/>
              </w:rPr>
              <w:fldChar w:fldCharType="separate"/>
            </w:r>
            <w:r w:rsidR="00C50915" w:rsidRPr="00731FE2">
              <w:rPr>
                <w:noProof/>
                <w:webHidden/>
              </w:rPr>
              <w:t>127</w:t>
            </w:r>
            <w:r w:rsidR="00C50915" w:rsidRPr="00731FE2">
              <w:rPr>
                <w:noProof/>
                <w:webHidden/>
              </w:rPr>
              <w:fldChar w:fldCharType="end"/>
            </w:r>
          </w:hyperlink>
        </w:p>
        <w:p w14:paraId="72DACF94" w14:textId="77777777" w:rsidR="00C50915" w:rsidRPr="00731FE2" w:rsidRDefault="000D173B">
          <w:pPr>
            <w:pStyle w:val="12"/>
            <w:tabs>
              <w:tab w:val="right" w:leader="dot" w:pos="9345"/>
            </w:tabs>
            <w:rPr>
              <w:rFonts w:asciiTheme="minorHAnsi" w:eastAsiaTheme="minorEastAsia" w:hAnsiTheme="minorHAnsi"/>
              <w:noProof/>
              <w:sz w:val="22"/>
              <w:lang w:eastAsia="ru-RU"/>
            </w:rPr>
          </w:pPr>
          <w:hyperlink w:anchor="_Toc177392807" w:history="1">
            <w:r w:rsidR="00C50915" w:rsidRPr="00731FE2">
              <w:rPr>
                <w:rStyle w:val="af6"/>
                <w:rFonts w:ascii="Times New Roman" w:hAnsi="Times New Roman" w:cs="Times New Roman"/>
                <w:noProof/>
              </w:rPr>
              <w:t>3. ОЦЕНКА ВОЗМОЖНОГО ВЛИЯНИЯ ПЛАНИРУЕМЫХ ДЛЯ РАЗМЕЩЕНИЯ ОБЪЕКТОВ МЕСТНОГО ЗНАЧЕНИЯ НА КОМПЛЕКСНОЕ РАЗВИТИЕ ТЕРРИТОРИИ</w:t>
            </w:r>
            <w:r w:rsidR="00C50915" w:rsidRPr="00731FE2">
              <w:rPr>
                <w:noProof/>
                <w:webHidden/>
              </w:rPr>
              <w:tab/>
            </w:r>
            <w:r w:rsidR="00C50915" w:rsidRPr="00731FE2">
              <w:rPr>
                <w:noProof/>
                <w:webHidden/>
              </w:rPr>
              <w:fldChar w:fldCharType="begin"/>
            </w:r>
            <w:r w:rsidR="00C50915" w:rsidRPr="00731FE2">
              <w:rPr>
                <w:noProof/>
                <w:webHidden/>
              </w:rPr>
              <w:instrText xml:space="preserve"> PAGEREF _Toc177392807 \h </w:instrText>
            </w:r>
            <w:r w:rsidR="00C50915" w:rsidRPr="00731FE2">
              <w:rPr>
                <w:noProof/>
                <w:webHidden/>
              </w:rPr>
            </w:r>
            <w:r w:rsidR="00C50915" w:rsidRPr="00731FE2">
              <w:rPr>
                <w:noProof/>
                <w:webHidden/>
              </w:rPr>
              <w:fldChar w:fldCharType="separate"/>
            </w:r>
            <w:r w:rsidR="00C50915" w:rsidRPr="00731FE2">
              <w:rPr>
                <w:noProof/>
                <w:webHidden/>
              </w:rPr>
              <w:t>133</w:t>
            </w:r>
            <w:r w:rsidR="00C50915" w:rsidRPr="00731FE2">
              <w:rPr>
                <w:noProof/>
                <w:webHidden/>
              </w:rPr>
              <w:fldChar w:fldCharType="end"/>
            </w:r>
          </w:hyperlink>
        </w:p>
        <w:p w14:paraId="4F5A526E" w14:textId="77777777" w:rsidR="00C50915" w:rsidRPr="00731FE2" w:rsidRDefault="000D173B">
          <w:pPr>
            <w:pStyle w:val="23"/>
            <w:tabs>
              <w:tab w:val="right" w:leader="dot" w:pos="9345"/>
            </w:tabs>
            <w:rPr>
              <w:rFonts w:asciiTheme="minorHAnsi" w:eastAsiaTheme="minorEastAsia" w:hAnsiTheme="minorHAnsi"/>
              <w:noProof/>
              <w:sz w:val="22"/>
              <w:lang w:eastAsia="ru-RU"/>
            </w:rPr>
          </w:pPr>
          <w:hyperlink w:anchor="_Toc177392808" w:history="1">
            <w:r w:rsidR="00C50915" w:rsidRPr="00731FE2">
              <w:rPr>
                <w:rStyle w:val="af6"/>
                <w:rFonts w:ascii="Times New Roman" w:hAnsi="Times New Roman" w:cs="Times New Roman"/>
                <w:noProof/>
              </w:rPr>
              <w:t>3.1 Анализ градостроительного развития города-курорта Кисловодска в документах территориального планирования</w:t>
            </w:r>
            <w:r w:rsidR="00C50915" w:rsidRPr="00731FE2">
              <w:rPr>
                <w:noProof/>
                <w:webHidden/>
              </w:rPr>
              <w:tab/>
            </w:r>
            <w:r w:rsidR="00C50915" w:rsidRPr="00731FE2">
              <w:rPr>
                <w:noProof/>
                <w:webHidden/>
              </w:rPr>
              <w:fldChar w:fldCharType="begin"/>
            </w:r>
            <w:r w:rsidR="00C50915" w:rsidRPr="00731FE2">
              <w:rPr>
                <w:noProof/>
                <w:webHidden/>
              </w:rPr>
              <w:instrText xml:space="preserve"> PAGEREF _Toc177392808 \h </w:instrText>
            </w:r>
            <w:r w:rsidR="00C50915" w:rsidRPr="00731FE2">
              <w:rPr>
                <w:noProof/>
                <w:webHidden/>
              </w:rPr>
            </w:r>
            <w:r w:rsidR="00C50915" w:rsidRPr="00731FE2">
              <w:rPr>
                <w:noProof/>
                <w:webHidden/>
              </w:rPr>
              <w:fldChar w:fldCharType="separate"/>
            </w:r>
            <w:r w:rsidR="00C50915" w:rsidRPr="00731FE2">
              <w:rPr>
                <w:noProof/>
                <w:webHidden/>
              </w:rPr>
              <w:t>133</w:t>
            </w:r>
            <w:r w:rsidR="00C50915" w:rsidRPr="00731FE2">
              <w:rPr>
                <w:noProof/>
                <w:webHidden/>
              </w:rPr>
              <w:fldChar w:fldCharType="end"/>
            </w:r>
          </w:hyperlink>
        </w:p>
        <w:p w14:paraId="571934EE" w14:textId="77777777" w:rsidR="00C50915" w:rsidRPr="00731FE2" w:rsidRDefault="000D173B">
          <w:pPr>
            <w:pStyle w:val="23"/>
            <w:tabs>
              <w:tab w:val="right" w:leader="dot" w:pos="9345"/>
            </w:tabs>
            <w:rPr>
              <w:rFonts w:asciiTheme="minorHAnsi" w:eastAsiaTheme="minorEastAsia" w:hAnsiTheme="minorHAnsi"/>
              <w:noProof/>
              <w:sz w:val="22"/>
              <w:lang w:eastAsia="ru-RU"/>
            </w:rPr>
          </w:pPr>
          <w:hyperlink w:anchor="_Toc177392809" w:history="1">
            <w:r w:rsidR="00C50915" w:rsidRPr="00731FE2">
              <w:rPr>
                <w:rStyle w:val="af6"/>
                <w:rFonts w:ascii="Times New Roman" w:hAnsi="Times New Roman" w:cs="Times New Roman"/>
                <w:noProof/>
              </w:rPr>
              <w:t>3.2 Пространственно-планировочная организация территории города-курорта Кисловодска</w:t>
            </w:r>
            <w:r w:rsidR="00C50915" w:rsidRPr="00731FE2">
              <w:rPr>
                <w:noProof/>
                <w:webHidden/>
              </w:rPr>
              <w:tab/>
            </w:r>
            <w:r w:rsidR="00C50915" w:rsidRPr="00731FE2">
              <w:rPr>
                <w:noProof/>
                <w:webHidden/>
              </w:rPr>
              <w:fldChar w:fldCharType="begin"/>
            </w:r>
            <w:r w:rsidR="00C50915" w:rsidRPr="00731FE2">
              <w:rPr>
                <w:noProof/>
                <w:webHidden/>
              </w:rPr>
              <w:instrText xml:space="preserve"> PAGEREF _Toc177392809 \h </w:instrText>
            </w:r>
            <w:r w:rsidR="00C50915" w:rsidRPr="00731FE2">
              <w:rPr>
                <w:noProof/>
                <w:webHidden/>
              </w:rPr>
            </w:r>
            <w:r w:rsidR="00C50915" w:rsidRPr="00731FE2">
              <w:rPr>
                <w:noProof/>
                <w:webHidden/>
              </w:rPr>
              <w:fldChar w:fldCharType="separate"/>
            </w:r>
            <w:r w:rsidR="00C50915" w:rsidRPr="00731FE2">
              <w:rPr>
                <w:noProof/>
                <w:webHidden/>
              </w:rPr>
              <w:t>145</w:t>
            </w:r>
            <w:r w:rsidR="00C50915" w:rsidRPr="00731FE2">
              <w:rPr>
                <w:noProof/>
                <w:webHidden/>
              </w:rPr>
              <w:fldChar w:fldCharType="end"/>
            </w:r>
          </w:hyperlink>
        </w:p>
        <w:p w14:paraId="7D1068AC" w14:textId="77777777" w:rsidR="00C50915" w:rsidRPr="00731FE2" w:rsidRDefault="000D173B">
          <w:pPr>
            <w:pStyle w:val="32"/>
            <w:rPr>
              <w:rFonts w:asciiTheme="minorHAnsi" w:eastAsiaTheme="minorEastAsia" w:hAnsiTheme="minorHAnsi" w:cstheme="minorBidi"/>
              <w:noProof/>
              <w:sz w:val="22"/>
              <w:szCs w:val="22"/>
              <w:lang w:eastAsia="ru-RU"/>
            </w:rPr>
          </w:pPr>
          <w:hyperlink w:anchor="_Toc177392810" w:history="1">
            <w:r w:rsidR="00C50915" w:rsidRPr="00731FE2">
              <w:rPr>
                <w:rStyle w:val="af6"/>
                <w:rFonts w:ascii="Times New Roman" w:hAnsi="Times New Roman" w:cs="Times New Roman"/>
                <w:noProof/>
              </w:rPr>
              <w:t>3.2.1 Пространственно-территориальное развитие округа</w:t>
            </w:r>
            <w:r w:rsidR="00C50915" w:rsidRPr="00731FE2">
              <w:rPr>
                <w:noProof/>
                <w:webHidden/>
              </w:rPr>
              <w:tab/>
            </w:r>
            <w:r w:rsidR="00C50915" w:rsidRPr="00731FE2">
              <w:rPr>
                <w:noProof/>
                <w:webHidden/>
              </w:rPr>
              <w:fldChar w:fldCharType="begin"/>
            </w:r>
            <w:r w:rsidR="00C50915" w:rsidRPr="00731FE2">
              <w:rPr>
                <w:noProof/>
                <w:webHidden/>
              </w:rPr>
              <w:instrText xml:space="preserve"> PAGEREF _Toc177392810 \h </w:instrText>
            </w:r>
            <w:r w:rsidR="00C50915" w:rsidRPr="00731FE2">
              <w:rPr>
                <w:noProof/>
                <w:webHidden/>
              </w:rPr>
            </w:r>
            <w:r w:rsidR="00C50915" w:rsidRPr="00731FE2">
              <w:rPr>
                <w:noProof/>
                <w:webHidden/>
              </w:rPr>
              <w:fldChar w:fldCharType="separate"/>
            </w:r>
            <w:r w:rsidR="00C50915" w:rsidRPr="00731FE2">
              <w:rPr>
                <w:noProof/>
                <w:webHidden/>
              </w:rPr>
              <w:t>145</w:t>
            </w:r>
            <w:r w:rsidR="00C50915" w:rsidRPr="00731FE2">
              <w:rPr>
                <w:noProof/>
                <w:webHidden/>
              </w:rPr>
              <w:fldChar w:fldCharType="end"/>
            </w:r>
          </w:hyperlink>
        </w:p>
        <w:p w14:paraId="798C82FF" w14:textId="77777777" w:rsidR="00C50915" w:rsidRPr="00731FE2" w:rsidRDefault="000D173B">
          <w:pPr>
            <w:pStyle w:val="32"/>
            <w:rPr>
              <w:rFonts w:asciiTheme="minorHAnsi" w:eastAsiaTheme="minorEastAsia" w:hAnsiTheme="minorHAnsi" w:cstheme="minorBidi"/>
              <w:noProof/>
              <w:sz w:val="22"/>
              <w:szCs w:val="22"/>
              <w:lang w:eastAsia="ru-RU"/>
            </w:rPr>
          </w:pPr>
          <w:hyperlink w:anchor="_Toc177392811" w:history="1">
            <w:r w:rsidR="00C50915" w:rsidRPr="00731FE2">
              <w:rPr>
                <w:rStyle w:val="af6"/>
                <w:rFonts w:ascii="Times New Roman" w:hAnsi="Times New Roman" w:cs="Times New Roman"/>
                <w:noProof/>
              </w:rPr>
              <w:t>3.2.2 Основные направления и приоритеты градостроительного развития</w:t>
            </w:r>
            <w:r w:rsidR="00C50915" w:rsidRPr="00731FE2">
              <w:rPr>
                <w:noProof/>
                <w:webHidden/>
              </w:rPr>
              <w:tab/>
            </w:r>
            <w:r w:rsidR="00C50915" w:rsidRPr="00731FE2">
              <w:rPr>
                <w:noProof/>
                <w:webHidden/>
              </w:rPr>
              <w:fldChar w:fldCharType="begin"/>
            </w:r>
            <w:r w:rsidR="00C50915" w:rsidRPr="00731FE2">
              <w:rPr>
                <w:noProof/>
                <w:webHidden/>
              </w:rPr>
              <w:instrText xml:space="preserve"> PAGEREF _Toc177392811 \h </w:instrText>
            </w:r>
            <w:r w:rsidR="00C50915" w:rsidRPr="00731FE2">
              <w:rPr>
                <w:noProof/>
                <w:webHidden/>
              </w:rPr>
            </w:r>
            <w:r w:rsidR="00C50915" w:rsidRPr="00731FE2">
              <w:rPr>
                <w:noProof/>
                <w:webHidden/>
              </w:rPr>
              <w:fldChar w:fldCharType="separate"/>
            </w:r>
            <w:r w:rsidR="00C50915" w:rsidRPr="00731FE2">
              <w:rPr>
                <w:noProof/>
                <w:webHidden/>
              </w:rPr>
              <w:t>148</w:t>
            </w:r>
            <w:r w:rsidR="00C50915" w:rsidRPr="00731FE2">
              <w:rPr>
                <w:noProof/>
                <w:webHidden/>
              </w:rPr>
              <w:fldChar w:fldCharType="end"/>
            </w:r>
          </w:hyperlink>
        </w:p>
        <w:p w14:paraId="1E8A5BDD" w14:textId="77777777" w:rsidR="00C50915" w:rsidRPr="00731FE2" w:rsidRDefault="000D173B">
          <w:pPr>
            <w:pStyle w:val="32"/>
            <w:rPr>
              <w:rFonts w:asciiTheme="minorHAnsi" w:eastAsiaTheme="minorEastAsia" w:hAnsiTheme="minorHAnsi" w:cstheme="minorBidi"/>
              <w:noProof/>
              <w:sz w:val="22"/>
              <w:szCs w:val="22"/>
              <w:lang w:eastAsia="ru-RU"/>
            </w:rPr>
          </w:pPr>
          <w:hyperlink w:anchor="_Toc177392812" w:history="1">
            <w:r w:rsidR="00C50915" w:rsidRPr="00731FE2">
              <w:rPr>
                <w:rStyle w:val="af6"/>
                <w:rFonts w:ascii="Times New Roman" w:hAnsi="Times New Roman" w:cs="Times New Roman"/>
                <w:noProof/>
              </w:rPr>
              <w:t>3.2.3 Функционально-планировочные условия формирования планировочной структуры</w:t>
            </w:r>
            <w:r w:rsidR="00C50915" w:rsidRPr="00731FE2">
              <w:rPr>
                <w:noProof/>
                <w:webHidden/>
              </w:rPr>
              <w:tab/>
            </w:r>
            <w:r w:rsidR="00C50915" w:rsidRPr="00731FE2">
              <w:rPr>
                <w:noProof/>
                <w:webHidden/>
              </w:rPr>
              <w:fldChar w:fldCharType="begin"/>
            </w:r>
            <w:r w:rsidR="00C50915" w:rsidRPr="00731FE2">
              <w:rPr>
                <w:noProof/>
                <w:webHidden/>
              </w:rPr>
              <w:instrText xml:space="preserve"> PAGEREF _Toc177392812 \h </w:instrText>
            </w:r>
            <w:r w:rsidR="00C50915" w:rsidRPr="00731FE2">
              <w:rPr>
                <w:noProof/>
                <w:webHidden/>
              </w:rPr>
            </w:r>
            <w:r w:rsidR="00C50915" w:rsidRPr="00731FE2">
              <w:rPr>
                <w:noProof/>
                <w:webHidden/>
              </w:rPr>
              <w:fldChar w:fldCharType="separate"/>
            </w:r>
            <w:r w:rsidR="00C50915" w:rsidRPr="00731FE2">
              <w:rPr>
                <w:noProof/>
                <w:webHidden/>
              </w:rPr>
              <w:t>149</w:t>
            </w:r>
            <w:r w:rsidR="00C50915" w:rsidRPr="00731FE2">
              <w:rPr>
                <w:noProof/>
                <w:webHidden/>
              </w:rPr>
              <w:fldChar w:fldCharType="end"/>
            </w:r>
          </w:hyperlink>
        </w:p>
        <w:p w14:paraId="3CF2DE10" w14:textId="77777777" w:rsidR="00C50915" w:rsidRPr="00731FE2" w:rsidRDefault="000D173B">
          <w:pPr>
            <w:pStyle w:val="32"/>
            <w:rPr>
              <w:rFonts w:asciiTheme="minorHAnsi" w:eastAsiaTheme="minorEastAsia" w:hAnsiTheme="minorHAnsi" w:cstheme="minorBidi"/>
              <w:noProof/>
              <w:sz w:val="22"/>
              <w:szCs w:val="22"/>
              <w:lang w:eastAsia="ru-RU"/>
            </w:rPr>
          </w:pPr>
          <w:hyperlink w:anchor="_Toc177392813" w:history="1">
            <w:r w:rsidR="00C50915" w:rsidRPr="00731FE2">
              <w:rPr>
                <w:rStyle w:val="af6"/>
                <w:rFonts w:ascii="Times New Roman" w:hAnsi="Times New Roman" w:cs="Times New Roman"/>
                <w:noProof/>
              </w:rPr>
              <w:t>3.2.4 Предложения по функциональному зонированию</w:t>
            </w:r>
            <w:r w:rsidR="00C50915" w:rsidRPr="00731FE2">
              <w:rPr>
                <w:noProof/>
                <w:webHidden/>
              </w:rPr>
              <w:tab/>
            </w:r>
            <w:r w:rsidR="00C50915" w:rsidRPr="00731FE2">
              <w:rPr>
                <w:noProof/>
                <w:webHidden/>
              </w:rPr>
              <w:fldChar w:fldCharType="begin"/>
            </w:r>
            <w:r w:rsidR="00C50915" w:rsidRPr="00731FE2">
              <w:rPr>
                <w:noProof/>
                <w:webHidden/>
              </w:rPr>
              <w:instrText xml:space="preserve"> PAGEREF _Toc177392813 \h </w:instrText>
            </w:r>
            <w:r w:rsidR="00C50915" w:rsidRPr="00731FE2">
              <w:rPr>
                <w:noProof/>
                <w:webHidden/>
              </w:rPr>
            </w:r>
            <w:r w:rsidR="00C50915" w:rsidRPr="00731FE2">
              <w:rPr>
                <w:noProof/>
                <w:webHidden/>
              </w:rPr>
              <w:fldChar w:fldCharType="separate"/>
            </w:r>
            <w:r w:rsidR="00C50915" w:rsidRPr="00731FE2">
              <w:rPr>
                <w:noProof/>
                <w:webHidden/>
              </w:rPr>
              <w:t>152</w:t>
            </w:r>
            <w:r w:rsidR="00C50915" w:rsidRPr="00731FE2">
              <w:rPr>
                <w:noProof/>
                <w:webHidden/>
              </w:rPr>
              <w:fldChar w:fldCharType="end"/>
            </w:r>
          </w:hyperlink>
        </w:p>
        <w:p w14:paraId="4C3DEF2B" w14:textId="77777777" w:rsidR="00C50915" w:rsidRPr="00731FE2" w:rsidRDefault="000D173B">
          <w:pPr>
            <w:pStyle w:val="32"/>
            <w:rPr>
              <w:rFonts w:asciiTheme="minorHAnsi" w:eastAsiaTheme="minorEastAsia" w:hAnsiTheme="minorHAnsi" w:cstheme="minorBidi"/>
              <w:noProof/>
              <w:sz w:val="22"/>
              <w:szCs w:val="22"/>
              <w:lang w:eastAsia="ru-RU"/>
            </w:rPr>
          </w:pPr>
          <w:hyperlink w:anchor="_Toc177392814" w:history="1">
            <w:r w:rsidR="00C50915" w:rsidRPr="00731FE2">
              <w:rPr>
                <w:rStyle w:val="af6"/>
                <w:rFonts w:ascii="Times New Roman" w:hAnsi="Times New Roman" w:cs="Times New Roman"/>
                <w:noProof/>
              </w:rPr>
              <w:t>3.2.5 Природный каркас и общественные пространства округа</w:t>
            </w:r>
            <w:r w:rsidR="00C50915" w:rsidRPr="00731FE2">
              <w:rPr>
                <w:noProof/>
                <w:webHidden/>
              </w:rPr>
              <w:tab/>
            </w:r>
            <w:r w:rsidR="00C50915" w:rsidRPr="00731FE2">
              <w:rPr>
                <w:noProof/>
                <w:webHidden/>
              </w:rPr>
              <w:fldChar w:fldCharType="begin"/>
            </w:r>
            <w:r w:rsidR="00C50915" w:rsidRPr="00731FE2">
              <w:rPr>
                <w:noProof/>
                <w:webHidden/>
              </w:rPr>
              <w:instrText xml:space="preserve"> PAGEREF _Toc177392814 \h </w:instrText>
            </w:r>
            <w:r w:rsidR="00C50915" w:rsidRPr="00731FE2">
              <w:rPr>
                <w:noProof/>
                <w:webHidden/>
              </w:rPr>
            </w:r>
            <w:r w:rsidR="00C50915" w:rsidRPr="00731FE2">
              <w:rPr>
                <w:noProof/>
                <w:webHidden/>
              </w:rPr>
              <w:fldChar w:fldCharType="separate"/>
            </w:r>
            <w:r w:rsidR="00C50915" w:rsidRPr="00731FE2">
              <w:rPr>
                <w:noProof/>
                <w:webHidden/>
              </w:rPr>
              <w:t>154</w:t>
            </w:r>
            <w:r w:rsidR="00C50915" w:rsidRPr="00731FE2">
              <w:rPr>
                <w:noProof/>
                <w:webHidden/>
              </w:rPr>
              <w:fldChar w:fldCharType="end"/>
            </w:r>
          </w:hyperlink>
        </w:p>
        <w:p w14:paraId="7F0D18E9" w14:textId="77777777" w:rsidR="00C50915" w:rsidRPr="00731FE2" w:rsidRDefault="000D173B">
          <w:pPr>
            <w:pStyle w:val="23"/>
            <w:tabs>
              <w:tab w:val="right" w:leader="dot" w:pos="9345"/>
            </w:tabs>
            <w:rPr>
              <w:rFonts w:asciiTheme="minorHAnsi" w:eastAsiaTheme="minorEastAsia" w:hAnsiTheme="minorHAnsi"/>
              <w:noProof/>
              <w:sz w:val="22"/>
              <w:lang w:eastAsia="ru-RU"/>
            </w:rPr>
          </w:pPr>
          <w:hyperlink w:anchor="_Toc177392815" w:history="1">
            <w:r w:rsidR="00C50915" w:rsidRPr="00731FE2">
              <w:rPr>
                <w:rStyle w:val="af6"/>
                <w:rFonts w:ascii="Times New Roman" w:hAnsi="Times New Roman" w:cs="Times New Roman"/>
                <w:noProof/>
              </w:rPr>
              <w:t>3.3 Прогноз численности населения городского округа</w:t>
            </w:r>
            <w:r w:rsidR="00C50915" w:rsidRPr="00731FE2">
              <w:rPr>
                <w:noProof/>
                <w:webHidden/>
              </w:rPr>
              <w:tab/>
            </w:r>
            <w:r w:rsidR="00C50915" w:rsidRPr="00731FE2">
              <w:rPr>
                <w:noProof/>
                <w:webHidden/>
              </w:rPr>
              <w:fldChar w:fldCharType="begin"/>
            </w:r>
            <w:r w:rsidR="00C50915" w:rsidRPr="00731FE2">
              <w:rPr>
                <w:noProof/>
                <w:webHidden/>
              </w:rPr>
              <w:instrText xml:space="preserve"> PAGEREF _Toc177392815 \h </w:instrText>
            </w:r>
            <w:r w:rsidR="00C50915" w:rsidRPr="00731FE2">
              <w:rPr>
                <w:noProof/>
                <w:webHidden/>
              </w:rPr>
            </w:r>
            <w:r w:rsidR="00C50915" w:rsidRPr="00731FE2">
              <w:rPr>
                <w:noProof/>
                <w:webHidden/>
              </w:rPr>
              <w:fldChar w:fldCharType="separate"/>
            </w:r>
            <w:r w:rsidR="00C50915" w:rsidRPr="00731FE2">
              <w:rPr>
                <w:noProof/>
                <w:webHidden/>
              </w:rPr>
              <w:t>159</w:t>
            </w:r>
            <w:r w:rsidR="00C50915" w:rsidRPr="00731FE2">
              <w:rPr>
                <w:noProof/>
                <w:webHidden/>
              </w:rPr>
              <w:fldChar w:fldCharType="end"/>
            </w:r>
          </w:hyperlink>
        </w:p>
        <w:p w14:paraId="3481B01C" w14:textId="77777777" w:rsidR="00C50915" w:rsidRPr="00731FE2" w:rsidRDefault="000D173B">
          <w:pPr>
            <w:pStyle w:val="23"/>
            <w:tabs>
              <w:tab w:val="right" w:leader="dot" w:pos="9345"/>
            </w:tabs>
            <w:rPr>
              <w:rFonts w:asciiTheme="minorHAnsi" w:eastAsiaTheme="minorEastAsia" w:hAnsiTheme="minorHAnsi"/>
              <w:noProof/>
              <w:sz w:val="22"/>
              <w:lang w:eastAsia="ru-RU"/>
            </w:rPr>
          </w:pPr>
          <w:hyperlink w:anchor="_Toc177392816" w:history="1">
            <w:r w:rsidR="00C50915" w:rsidRPr="00731FE2">
              <w:rPr>
                <w:rStyle w:val="af6"/>
                <w:rFonts w:ascii="Times New Roman" w:hAnsi="Times New Roman" w:cs="Times New Roman"/>
                <w:noProof/>
              </w:rPr>
              <w:t>3.4. Развитие жилищного фонда, оценка объемов жилищного строительства на перспективу, реновация и выбор основных площадок для строительства</w:t>
            </w:r>
            <w:r w:rsidR="00C50915" w:rsidRPr="00731FE2">
              <w:rPr>
                <w:noProof/>
                <w:webHidden/>
              </w:rPr>
              <w:tab/>
            </w:r>
            <w:r w:rsidR="00C50915" w:rsidRPr="00731FE2">
              <w:rPr>
                <w:noProof/>
                <w:webHidden/>
              </w:rPr>
              <w:fldChar w:fldCharType="begin"/>
            </w:r>
            <w:r w:rsidR="00C50915" w:rsidRPr="00731FE2">
              <w:rPr>
                <w:noProof/>
                <w:webHidden/>
              </w:rPr>
              <w:instrText xml:space="preserve"> PAGEREF _Toc177392816 \h </w:instrText>
            </w:r>
            <w:r w:rsidR="00C50915" w:rsidRPr="00731FE2">
              <w:rPr>
                <w:noProof/>
                <w:webHidden/>
              </w:rPr>
            </w:r>
            <w:r w:rsidR="00C50915" w:rsidRPr="00731FE2">
              <w:rPr>
                <w:noProof/>
                <w:webHidden/>
              </w:rPr>
              <w:fldChar w:fldCharType="separate"/>
            </w:r>
            <w:r w:rsidR="00C50915" w:rsidRPr="00731FE2">
              <w:rPr>
                <w:noProof/>
                <w:webHidden/>
              </w:rPr>
              <w:t>166</w:t>
            </w:r>
            <w:r w:rsidR="00C50915" w:rsidRPr="00731FE2">
              <w:rPr>
                <w:noProof/>
                <w:webHidden/>
              </w:rPr>
              <w:fldChar w:fldCharType="end"/>
            </w:r>
          </w:hyperlink>
        </w:p>
        <w:p w14:paraId="6E4DF99C" w14:textId="77777777" w:rsidR="00C50915" w:rsidRPr="00731FE2" w:rsidRDefault="000D173B">
          <w:pPr>
            <w:pStyle w:val="23"/>
            <w:tabs>
              <w:tab w:val="right" w:leader="dot" w:pos="9345"/>
            </w:tabs>
            <w:rPr>
              <w:rFonts w:asciiTheme="minorHAnsi" w:eastAsiaTheme="minorEastAsia" w:hAnsiTheme="minorHAnsi"/>
              <w:noProof/>
              <w:sz w:val="22"/>
              <w:lang w:eastAsia="ru-RU"/>
            </w:rPr>
          </w:pPr>
          <w:hyperlink w:anchor="_Toc177392817" w:history="1">
            <w:r w:rsidR="00C50915" w:rsidRPr="00731FE2">
              <w:rPr>
                <w:rStyle w:val="af6"/>
                <w:rFonts w:ascii="Times New Roman" w:hAnsi="Times New Roman" w:cs="Times New Roman"/>
                <w:noProof/>
              </w:rPr>
              <w:t>3.5 Развитие социальной инфраструктуры</w:t>
            </w:r>
            <w:r w:rsidR="00C50915" w:rsidRPr="00731FE2">
              <w:rPr>
                <w:noProof/>
                <w:webHidden/>
              </w:rPr>
              <w:tab/>
            </w:r>
            <w:r w:rsidR="00C50915" w:rsidRPr="00731FE2">
              <w:rPr>
                <w:noProof/>
                <w:webHidden/>
              </w:rPr>
              <w:fldChar w:fldCharType="begin"/>
            </w:r>
            <w:r w:rsidR="00C50915" w:rsidRPr="00731FE2">
              <w:rPr>
                <w:noProof/>
                <w:webHidden/>
              </w:rPr>
              <w:instrText xml:space="preserve"> PAGEREF _Toc177392817 \h </w:instrText>
            </w:r>
            <w:r w:rsidR="00C50915" w:rsidRPr="00731FE2">
              <w:rPr>
                <w:noProof/>
                <w:webHidden/>
              </w:rPr>
            </w:r>
            <w:r w:rsidR="00C50915" w:rsidRPr="00731FE2">
              <w:rPr>
                <w:noProof/>
                <w:webHidden/>
              </w:rPr>
              <w:fldChar w:fldCharType="separate"/>
            </w:r>
            <w:r w:rsidR="00C50915" w:rsidRPr="00731FE2">
              <w:rPr>
                <w:noProof/>
                <w:webHidden/>
              </w:rPr>
              <w:t>167</w:t>
            </w:r>
            <w:r w:rsidR="00C50915" w:rsidRPr="00731FE2">
              <w:rPr>
                <w:noProof/>
                <w:webHidden/>
              </w:rPr>
              <w:fldChar w:fldCharType="end"/>
            </w:r>
          </w:hyperlink>
        </w:p>
        <w:p w14:paraId="406DD4E7" w14:textId="77777777" w:rsidR="00C50915" w:rsidRPr="00731FE2" w:rsidRDefault="000D173B">
          <w:pPr>
            <w:pStyle w:val="23"/>
            <w:tabs>
              <w:tab w:val="right" w:leader="dot" w:pos="9345"/>
            </w:tabs>
            <w:rPr>
              <w:rFonts w:asciiTheme="minorHAnsi" w:eastAsiaTheme="minorEastAsia" w:hAnsiTheme="minorHAnsi"/>
              <w:noProof/>
              <w:sz w:val="22"/>
              <w:lang w:eastAsia="ru-RU"/>
            </w:rPr>
          </w:pPr>
          <w:hyperlink w:anchor="_Toc177392818" w:history="1">
            <w:r w:rsidR="00C50915" w:rsidRPr="00731FE2">
              <w:rPr>
                <w:rStyle w:val="af6"/>
                <w:rFonts w:ascii="Times New Roman" w:hAnsi="Times New Roman" w:cs="Times New Roman"/>
                <w:noProof/>
              </w:rPr>
              <w:t>3.6 Направления развития экономики и гипотеза социально-экономического развития</w:t>
            </w:r>
            <w:r w:rsidR="00C50915" w:rsidRPr="00731FE2">
              <w:rPr>
                <w:noProof/>
                <w:webHidden/>
              </w:rPr>
              <w:tab/>
            </w:r>
            <w:r w:rsidR="00C50915" w:rsidRPr="00731FE2">
              <w:rPr>
                <w:noProof/>
                <w:webHidden/>
              </w:rPr>
              <w:fldChar w:fldCharType="begin"/>
            </w:r>
            <w:r w:rsidR="00C50915" w:rsidRPr="00731FE2">
              <w:rPr>
                <w:noProof/>
                <w:webHidden/>
              </w:rPr>
              <w:instrText xml:space="preserve"> PAGEREF _Toc177392818 \h </w:instrText>
            </w:r>
            <w:r w:rsidR="00C50915" w:rsidRPr="00731FE2">
              <w:rPr>
                <w:noProof/>
                <w:webHidden/>
              </w:rPr>
            </w:r>
            <w:r w:rsidR="00C50915" w:rsidRPr="00731FE2">
              <w:rPr>
                <w:noProof/>
                <w:webHidden/>
              </w:rPr>
              <w:fldChar w:fldCharType="separate"/>
            </w:r>
            <w:r w:rsidR="00C50915" w:rsidRPr="00731FE2">
              <w:rPr>
                <w:noProof/>
                <w:webHidden/>
              </w:rPr>
              <w:t>174</w:t>
            </w:r>
            <w:r w:rsidR="00C50915" w:rsidRPr="00731FE2">
              <w:rPr>
                <w:noProof/>
                <w:webHidden/>
              </w:rPr>
              <w:fldChar w:fldCharType="end"/>
            </w:r>
          </w:hyperlink>
        </w:p>
        <w:p w14:paraId="508D65E1" w14:textId="77777777" w:rsidR="00C50915" w:rsidRPr="00731FE2" w:rsidRDefault="000D173B">
          <w:pPr>
            <w:pStyle w:val="32"/>
            <w:rPr>
              <w:rFonts w:asciiTheme="minorHAnsi" w:eastAsiaTheme="minorEastAsia" w:hAnsiTheme="minorHAnsi" w:cstheme="minorBidi"/>
              <w:noProof/>
              <w:sz w:val="22"/>
              <w:szCs w:val="22"/>
              <w:lang w:eastAsia="ru-RU"/>
            </w:rPr>
          </w:pPr>
          <w:hyperlink w:anchor="_Toc177392819" w:history="1">
            <w:r w:rsidR="00C50915" w:rsidRPr="00731FE2">
              <w:rPr>
                <w:rStyle w:val="af6"/>
                <w:rFonts w:ascii="Times New Roman" w:hAnsi="Times New Roman" w:cs="Times New Roman"/>
                <w:noProof/>
              </w:rPr>
              <w:t>3.6.1 Гипотеза социально-экономического развития</w:t>
            </w:r>
            <w:r w:rsidR="00C50915" w:rsidRPr="00731FE2">
              <w:rPr>
                <w:noProof/>
                <w:webHidden/>
              </w:rPr>
              <w:tab/>
            </w:r>
            <w:r w:rsidR="00C50915" w:rsidRPr="00731FE2">
              <w:rPr>
                <w:noProof/>
                <w:webHidden/>
              </w:rPr>
              <w:fldChar w:fldCharType="begin"/>
            </w:r>
            <w:r w:rsidR="00C50915" w:rsidRPr="00731FE2">
              <w:rPr>
                <w:noProof/>
                <w:webHidden/>
              </w:rPr>
              <w:instrText xml:space="preserve"> PAGEREF _Toc177392819 \h </w:instrText>
            </w:r>
            <w:r w:rsidR="00C50915" w:rsidRPr="00731FE2">
              <w:rPr>
                <w:noProof/>
                <w:webHidden/>
              </w:rPr>
            </w:r>
            <w:r w:rsidR="00C50915" w:rsidRPr="00731FE2">
              <w:rPr>
                <w:noProof/>
                <w:webHidden/>
              </w:rPr>
              <w:fldChar w:fldCharType="separate"/>
            </w:r>
            <w:r w:rsidR="00C50915" w:rsidRPr="00731FE2">
              <w:rPr>
                <w:noProof/>
                <w:webHidden/>
              </w:rPr>
              <w:t>174</w:t>
            </w:r>
            <w:r w:rsidR="00C50915" w:rsidRPr="00731FE2">
              <w:rPr>
                <w:noProof/>
                <w:webHidden/>
              </w:rPr>
              <w:fldChar w:fldCharType="end"/>
            </w:r>
          </w:hyperlink>
        </w:p>
        <w:p w14:paraId="5B8A38E9" w14:textId="77777777" w:rsidR="00C50915" w:rsidRPr="00731FE2" w:rsidRDefault="000D173B">
          <w:pPr>
            <w:pStyle w:val="32"/>
            <w:rPr>
              <w:rFonts w:asciiTheme="minorHAnsi" w:eastAsiaTheme="minorEastAsia" w:hAnsiTheme="minorHAnsi" w:cstheme="minorBidi"/>
              <w:noProof/>
              <w:sz w:val="22"/>
              <w:szCs w:val="22"/>
              <w:lang w:eastAsia="ru-RU"/>
            </w:rPr>
          </w:pPr>
          <w:hyperlink w:anchor="_Toc177392820" w:history="1">
            <w:r w:rsidR="00C50915" w:rsidRPr="00731FE2">
              <w:rPr>
                <w:rStyle w:val="af6"/>
                <w:rFonts w:ascii="Times New Roman" w:hAnsi="Times New Roman" w:cs="Times New Roman"/>
                <w:noProof/>
              </w:rPr>
              <w:t>3.6.2 Санаторно-курортный комплекс</w:t>
            </w:r>
            <w:r w:rsidR="00C50915" w:rsidRPr="00731FE2">
              <w:rPr>
                <w:noProof/>
                <w:webHidden/>
              </w:rPr>
              <w:tab/>
            </w:r>
            <w:r w:rsidR="00C50915" w:rsidRPr="00731FE2">
              <w:rPr>
                <w:noProof/>
                <w:webHidden/>
              </w:rPr>
              <w:fldChar w:fldCharType="begin"/>
            </w:r>
            <w:r w:rsidR="00C50915" w:rsidRPr="00731FE2">
              <w:rPr>
                <w:noProof/>
                <w:webHidden/>
              </w:rPr>
              <w:instrText xml:space="preserve"> PAGEREF _Toc177392820 \h </w:instrText>
            </w:r>
            <w:r w:rsidR="00C50915" w:rsidRPr="00731FE2">
              <w:rPr>
                <w:noProof/>
                <w:webHidden/>
              </w:rPr>
            </w:r>
            <w:r w:rsidR="00C50915" w:rsidRPr="00731FE2">
              <w:rPr>
                <w:noProof/>
                <w:webHidden/>
              </w:rPr>
              <w:fldChar w:fldCharType="separate"/>
            </w:r>
            <w:r w:rsidR="00C50915" w:rsidRPr="00731FE2">
              <w:rPr>
                <w:noProof/>
                <w:webHidden/>
              </w:rPr>
              <w:t>177</w:t>
            </w:r>
            <w:r w:rsidR="00C50915" w:rsidRPr="00731FE2">
              <w:rPr>
                <w:noProof/>
                <w:webHidden/>
              </w:rPr>
              <w:fldChar w:fldCharType="end"/>
            </w:r>
          </w:hyperlink>
        </w:p>
        <w:p w14:paraId="60B62A1E" w14:textId="77777777" w:rsidR="00C50915" w:rsidRPr="00731FE2" w:rsidRDefault="000D173B">
          <w:pPr>
            <w:pStyle w:val="32"/>
            <w:rPr>
              <w:rFonts w:asciiTheme="minorHAnsi" w:eastAsiaTheme="minorEastAsia" w:hAnsiTheme="minorHAnsi" w:cstheme="minorBidi"/>
              <w:noProof/>
              <w:sz w:val="22"/>
              <w:szCs w:val="22"/>
              <w:lang w:eastAsia="ru-RU"/>
            </w:rPr>
          </w:pPr>
          <w:hyperlink w:anchor="_Toc177392821" w:history="1">
            <w:r w:rsidR="00C50915" w:rsidRPr="00731FE2">
              <w:rPr>
                <w:rStyle w:val="af6"/>
                <w:rFonts w:ascii="Times New Roman" w:hAnsi="Times New Roman" w:cs="Times New Roman"/>
                <w:noProof/>
              </w:rPr>
              <w:t>3.6.3 Туризм и рекреация</w:t>
            </w:r>
            <w:r w:rsidR="00C50915" w:rsidRPr="00731FE2">
              <w:rPr>
                <w:noProof/>
                <w:webHidden/>
              </w:rPr>
              <w:tab/>
            </w:r>
            <w:r w:rsidR="00C50915" w:rsidRPr="00731FE2">
              <w:rPr>
                <w:noProof/>
                <w:webHidden/>
              </w:rPr>
              <w:fldChar w:fldCharType="begin"/>
            </w:r>
            <w:r w:rsidR="00C50915" w:rsidRPr="00731FE2">
              <w:rPr>
                <w:noProof/>
                <w:webHidden/>
              </w:rPr>
              <w:instrText xml:space="preserve"> PAGEREF _Toc177392821 \h </w:instrText>
            </w:r>
            <w:r w:rsidR="00C50915" w:rsidRPr="00731FE2">
              <w:rPr>
                <w:noProof/>
                <w:webHidden/>
              </w:rPr>
            </w:r>
            <w:r w:rsidR="00C50915" w:rsidRPr="00731FE2">
              <w:rPr>
                <w:noProof/>
                <w:webHidden/>
              </w:rPr>
              <w:fldChar w:fldCharType="separate"/>
            </w:r>
            <w:r w:rsidR="00C50915" w:rsidRPr="00731FE2">
              <w:rPr>
                <w:noProof/>
                <w:webHidden/>
              </w:rPr>
              <w:t>180</w:t>
            </w:r>
            <w:r w:rsidR="00C50915" w:rsidRPr="00731FE2">
              <w:rPr>
                <w:noProof/>
                <w:webHidden/>
              </w:rPr>
              <w:fldChar w:fldCharType="end"/>
            </w:r>
          </w:hyperlink>
        </w:p>
        <w:p w14:paraId="477ABB2E" w14:textId="77777777" w:rsidR="00C50915" w:rsidRPr="00731FE2" w:rsidRDefault="000D173B">
          <w:pPr>
            <w:pStyle w:val="32"/>
            <w:rPr>
              <w:rFonts w:asciiTheme="minorHAnsi" w:eastAsiaTheme="minorEastAsia" w:hAnsiTheme="minorHAnsi" w:cstheme="minorBidi"/>
              <w:noProof/>
              <w:sz w:val="22"/>
              <w:szCs w:val="22"/>
              <w:lang w:eastAsia="ru-RU"/>
            </w:rPr>
          </w:pPr>
          <w:hyperlink w:anchor="_Toc177392822" w:history="1">
            <w:r w:rsidR="00C50915" w:rsidRPr="00731FE2">
              <w:rPr>
                <w:rStyle w:val="af6"/>
                <w:rFonts w:ascii="Times New Roman" w:hAnsi="Times New Roman" w:cs="Times New Roman"/>
                <w:noProof/>
              </w:rPr>
              <w:t>3.6.4 Промышленность</w:t>
            </w:r>
            <w:r w:rsidR="00C50915" w:rsidRPr="00731FE2">
              <w:rPr>
                <w:noProof/>
                <w:webHidden/>
              </w:rPr>
              <w:tab/>
            </w:r>
            <w:r w:rsidR="00C50915" w:rsidRPr="00731FE2">
              <w:rPr>
                <w:noProof/>
                <w:webHidden/>
              </w:rPr>
              <w:fldChar w:fldCharType="begin"/>
            </w:r>
            <w:r w:rsidR="00C50915" w:rsidRPr="00731FE2">
              <w:rPr>
                <w:noProof/>
                <w:webHidden/>
              </w:rPr>
              <w:instrText xml:space="preserve"> PAGEREF _Toc177392822 \h </w:instrText>
            </w:r>
            <w:r w:rsidR="00C50915" w:rsidRPr="00731FE2">
              <w:rPr>
                <w:noProof/>
                <w:webHidden/>
              </w:rPr>
            </w:r>
            <w:r w:rsidR="00C50915" w:rsidRPr="00731FE2">
              <w:rPr>
                <w:noProof/>
                <w:webHidden/>
              </w:rPr>
              <w:fldChar w:fldCharType="separate"/>
            </w:r>
            <w:r w:rsidR="00C50915" w:rsidRPr="00731FE2">
              <w:rPr>
                <w:noProof/>
                <w:webHidden/>
              </w:rPr>
              <w:t>184</w:t>
            </w:r>
            <w:r w:rsidR="00C50915" w:rsidRPr="00731FE2">
              <w:rPr>
                <w:noProof/>
                <w:webHidden/>
              </w:rPr>
              <w:fldChar w:fldCharType="end"/>
            </w:r>
          </w:hyperlink>
        </w:p>
        <w:p w14:paraId="4A6BBE55" w14:textId="77777777" w:rsidR="00C50915" w:rsidRPr="00731FE2" w:rsidRDefault="000D173B">
          <w:pPr>
            <w:pStyle w:val="23"/>
            <w:tabs>
              <w:tab w:val="right" w:leader="dot" w:pos="9345"/>
            </w:tabs>
            <w:rPr>
              <w:rFonts w:asciiTheme="minorHAnsi" w:eastAsiaTheme="minorEastAsia" w:hAnsiTheme="minorHAnsi"/>
              <w:noProof/>
              <w:sz w:val="22"/>
              <w:lang w:eastAsia="ru-RU"/>
            </w:rPr>
          </w:pPr>
          <w:hyperlink w:anchor="_Toc177392823" w:history="1">
            <w:r w:rsidR="00C50915" w:rsidRPr="00731FE2">
              <w:rPr>
                <w:rStyle w:val="af6"/>
                <w:rFonts w:ascii="Times New Roman" w:hAnsi="Times New Roman" w:cs="Times New Roman"/>
                <w:noProof/>
              </w:rPr>
              <w:t>3.7 Предложения по развитию транспортной инфраструктуры</w:t>
            </w:r>
            <w:r w:rsidR="00C50915" w:rsidRPr="00731FE2">
              <w:rPr>
                <w:noProof/>
                <w:webHidden/>
              </w:rPr>
              <w:tab/>
            </w:r>
            <w:r w:rsidR="00C50915" w:rsidRPr="00731FE2">
              <w:rPr>
                <w:noProof/>
                <w:webHidden/>
              </w:rPr>
              <w:fldChar w:fldCharType="begin"/>
            </w:r>
            <w:r w:rsidR="00C50915" w:rsidRPr="00731FE2">
              <w:rPr>
                <w:noProof/>
                <w:webHidden/>
              </w:rPr>
              <w:instrText xml:space="preserve"> PAGEREF _Toc177392823 \h </w:instrText>
            </w:r>
            <w:r w:rsidR="00C50915" w:rsidRPr="00731FE2">
              <w:rPr>
                <w:noProof/>
                <w:webHidden/>
              </w:rPr>
            </w:r>
            <w:r w:rsidR="00C50915" w:rsidRPr="00731FE2">
              <w:rPr>
                <w:noProof/>
                <w:webHidden/>
              </w:rPr>
              <w:fldChar w:fldCharType="separate"/>
            </w:r>
            <w:r w:rsidR="00C50915" w:rsidRPr="00731FE2">
              <w:rPr>
                <w:noProof/>
                <w:webHidden/>
              </w:rPr>
              <w:t>186</w:t>
            </w:r>
            <w:r w:rsidR="00C50915" w:rsidRPr="00731FE2">
              <w:rPr>
                <w:noProof/>
                <w:webHidden/>
              </w:rPr>
              <w:fldChar w:fldCharType="end"/>
            </w:r>
          </w:hyperlink>
        </w:p>
        <w:p w14:paraId="2271AEED" w14:textId="77777777" w:rsidR="00C50915" w:rsidRPr="00731FE2" w:rsidRDefault="000D173B">
          <w:pPr>
            <w:pStyle w:val="32"/>
            <w:rPr>
              <w:rFonts w:asciiTheme="minorHAnsi" w:eastAsiaTheme="minorEastAsia" w:hAnsiTheme="minorHAnsi" w:cstheme="minorBidi"/>
              <w:noProof/>
              <w:sz w:val="22"/>
              <w:szCs w:val="22"/>
              <w:lang w:eastAsia="ru-RU"/>
            </w:rPr>
          </w:pPr>
          <w:hyperlink w:anchor="_Toc177392824" w:history="1">
            <w:r w:rsidR="00C50915" w:rsidRPr="00731FE2">
              <w:rPr>
                <w:rStyle w:val="af6"/>
                <w:rFonts w:ascii="Times New Roman" w:hAnsi="Times New Roman" w:cs="Times New Roman"/>
                <w:noProof/>
              </w:rPr>
              <w:t>3.7.1 Внешний транспорт</w:t>
            </w:r>
            <w:r w:rsidR="00C50915" w:rsidRPr="00731FE2">
              <w:rPr>
                <w:noProof/>
                <w:webHidden/>
              </w:rPr>
              <w:tab/>
            </w:r>
            <w:r w:rsidR="00C50915" w:rsidRPr="00731FE2">
              <w:rPr>
                <w:noProof/>
                <w:webHidden/>
              </w:rPr>
              <w:fldChar w:fldCharType="begin"/>
            </w:r>
            <w:r w:rsidR="00C50915" w:rsidRPr="00731FE2">
              <w:rPr>
                <w:noProof/>
                <w:webHidden/>
              </w:rPr>
              <w:instrText xml:space="preserve"> PAGEREF _Toc177392824 \h </w:instrText>
            </w:r>
            <w:r w:rsidR="00C50915" w:rsidRPr="00731FE2">
              <w:rPr>
                <w:noProof/>
                <w:webHidden/>
              </w:rPr>
            </w:r>
            <w:r w:rsidR="00C50915" w:rsidRPr="00731FE2">
              <w:rPr>
                <w:noProof/>
                <w:webHidden/>
              </w:rPr>
              <w:fldChar w:fldCharType="separate"/>
            </w:r>
            <w:r w:rsidR="00C50915" w:rsidRPr="00731FE2">
              <w:rPr>
                <w:noProof/>
                <w:webHidden/>
              </w:rPr>
              <w:t>186</w:t>
            </w:r>
            <w:r w:rsidR="00C50915" w:rsidRPr="00731FE2">
              <w:rPr>
                <w:noProof/>
                <w:webHidden/>
              </w:rPr>
              <w:fldChar w:fldCharType="end"/>
            </w:r>
          </w:hyperlink>
        </w:p>
        <w:p w14:paraId="7E509116" w14:textId="77777777" w:rsidR="00C50915" w:rsidRPr="00731FE2" w:rsidRDefault="000D173B">
          <w:pPr>
            <w:pStyle w:val="32"/>
            <w:rPr>
              <w:rFonts w:asciiTheme="minorHAnsi" w:eastAsiaTheme="minorEastAsia" w:hAnsiTheme="minorHAnsi" w:cstheme="minorBidi"/>
              <w:noProof/>
              <w:sz w:val="22"/>
              <w:szCs w:val="22"/>
              <w:lang w:eastAsia="ru-RU"/>
            </w:rPr>
          </w:pPr>
          <w:hyperlink w:anchor="_Toc177392825" w:history="1">
            <w:r w:rsidR="00C50915" w:rsidRPr="00731FE2">
              <w:rPr>
                <w:rStyle w:val="af6"/>
                <w:rFonts w:ascii="Times New Roman" w:hAnsi="Times New Roman" w:cs="Times New Roman"/>
                <w:noProof/>
              </w:rPr>
              <w:t>3.7.2 Улично-дорожная сеть</w:t>
            </w:r>
            <w:r w:rsidR="00C50915" w:rsidRPr="00731FE2">
              <w:rPr>
                <w:noProof/>
                <w:webHidden/>
              </w:rPr>
              <w:tab/>
            </w:r>
            <w:r w:rsidR="00C50915" w:rsidRPr="00731FE2">
              <w:rPr>
                <w:noProof/>
                <w:webHidden/>
              </w:rPr>
              <w:fldChar w:fldCharType="begin"/>
            </w:r>
            <w:r w:rsidR="00C50915" w:rsidRPr="00731FE2">
              <w:rPr>
                <w:noProof/>
                <w:webHidden/>
              </w:rPr>
              <w:instrText xml:space="preserve"> PAGEREF _Toc177392825 \h </w:instrText>
            </w:r>
            <w:r w:rsidR="00C50915" w:rsidRPr="00731FE2">
              <w:rPr>
                <w:noProof/>
                <w:webHidden/>
              </w:rPr>
            </w:r>
            <w:r w:rsidR="00C50915" w:rsidRPr="00731FE2">
              <w:rPr>
                <w:noProof/>
                <w:webHidden/>
              </w:rPr>
              <w:fldChar w:fldCharType="separate"/>
            </w:r>
            <w:r w:rsidR="00C50915" w:rsidRPr="00731FE2">
              <w:rPr>
                <w:noProof/>
                <w:webHidden/>
              </w:rPr>
              <w:t>187</w:t>
            </w:r>
            <w:r w:rsidR="00C50915" w:rsidRPr="00731FE2">
              <w:rPr>
                <w:noProof/>
                <w:webHidden/>
              </w:rPr>
              <w:fldChar w:fldCharType="end"/>
            </w:r>
          </w:hyperlink>
        </w:p>
        <w:p w14:paraId="73DAF4C5" w14:textId="77777777" w:rsidR="00C50915" w:rsidRPr="00731FE2" w:rsidRDefault="000D173B">
          <w:pPr>
            <w:pStyle w:val="32"/>
            <w:rPr>
              <w:rFonts w:asciiTheme="minorHAnsi" w:eastAsiaTheme="minorEastAsia" w:hAnsiTheme="minorHAnsi" w:cstheme="minorBidi"/>
              <w:noProof/>
              <w:sz w:val="22"/>
              <w:szCs w:val="22"/>
              <w:lang w:eastAsia="ru-RU"/>
            </w:rPr>
          </w:pPr>
          <w:hyperlink w:anchor="_Toc177392826" w:history="1">
            <w:r w:rsidR="00C50915" w:rsidRPr="00731FE2">
              <w:rPr>
                <w:rStyle w:val="af6"/>
                <w:rFonts w:ascii="Times New Roman" w:hAnsi="Times New Roman" w:cs="Times New Roman"/>
                <w:noProof/>
              </w:rPr>
              <w:t>3.7.3 Сеть общественного пассажирского транспорта</w:t>
            </w:r>
            <w:r w:rsidR="00C50915" w:rsidRPr="00731FE2">
              <w:rPr>
                <w:noProof/>
                <w:webHidden/>
              </w:rPr>
              <w:tab/>
            </w:r>
            <w:r w:rsidR="00C50915" w:rsidRPr="00731FE2">
              <w:rPr>
                <w:noProof/>
                <w:webHidden/>
              </w:rPr>
              <w:fldChar w:fldCharType="begin"/>
            </w:r>
            <w:r w:rsidR="00C50915" w:rsidRPr="00731FE2">
              <w:rPr>
                <w:noProof/>
                <w:webHidden/>
              </w:rPr>
              <w:instrText xml:space="preserve"> PAGEREF _Toc177392826 \h </w:instrText>
            </w:r>
            <w:r w:rsidR="00C50915" w:rsidRPr="00731FE2">
              <w:rPr>
                <w:noProof/>
                <w:webHidden/>
              </w:rPr>
            </w:r>
            <w:r w:rsidR="00C50915" w:rsidRPr="00731FE2">
              <w:rPr>
                <w:noProof/>
                <w:webHidden/>
              </w:rPr>
              <w:fldChar w:fldCharType="separate"/>
            </w:r>
            <w:r w:rsidR="00C50915" w:rsidRPr="00731FE2">
              <w:rPr>
                <w:noProof/>
                <w:webHidden/>
              </w:rPr>
              <w:t>187</w:t>
            </w:r>
            <w:r w:rsidR="00C50915" w:rsidRPr="00731FE2">
              <w:rPr>
                <w:noProof/>
                <w:webHidden/>
              </w:rPr>
              <w:fldChar w:fldCharType="end"/>
            </w:r>
          </w:hyperlink>
        </w:p>
        <w:p w14:paraId="31ED2C78" w14:textId="77777777" w:rsidR="00C50915" w:rsidRPr="00731FE2" w:rsidRDefault="000D173B">
          <w:pPr>
            <w:pStyle w:val="32"/>
            <w:rPr>
              <w:rFonts w:asciiTheme="minorHAnsi" w:eastAsiaTheme="minorEastAsia" w:hAnsiTheme="minorHAnsi" w:cstheme="minorBidi"/>
              <w:noProof/>
              <w:sz w:val="22"/>
              <w:szCs w:val="22"/>
              <w:lang w:eastAsia="ru-RU"/>
            </w:rPr>
          </w:pPr>
          <w:hyperlink w:anchor="_Toc177392827" w:history="1">
            <w:r w:rsidR="00C50915" w:rsidRPr="00731FE2">
              <w:rPr>
                <w:rStyle w:val="af6"/>
                <w:rFonts w:ascii="Times New Roman" w:hAnsi="Times New Roman" w:cs="Times New Roman"/>
                <w:noProof/>
              </w:rPr>
              <w:t>3.7.4 Объекты транспортной инфраструктуры</w:t>
            </w:r>
            <w:r w:rsidR="00C50915" w:rsidRPr="00731FE2">
              <w:rPr>
                <w:noProof/>
                <w:webHidden/>
              </w:rPr>
              <w:tab/>
            </w:r>
            <w:r w:rsidR="00C50915" w:rsidRPr="00731FE2">
              <w:rPr>
                <w:noProof/>
                <w:webHidden/>
              </w:rPr>
              <w:fldChar w:fldCharType="begin"/>
            </w:r>
            <w:r w:rsidR="00C50915" w:rsidRPr="00731FE2">
              <w:rPr>
                <w:noProof/>
                <w:webHidden/>
              </w:rPr>
              <w:instrText xml:space="preserve"> PAGEREF _Toc177392827 \h </w:instrText>
            </w:r>
            <w:r w:rsidR="00C50915" w:rsidRPr="00731FE2">
              <w:rPr>
                <w:noProof/>
                <w:webHidden/>
              </w:rPr>
            </w:r>
            <w:r w:rsidR="00C50915" w:rsidRPr="00731FE2">
              <w:rPr>
                <w:noProof/>
                <w:webHidden/>
              </w:rPr>
              <w:fldChar w:fldCharType="separate"/>
            </w:r>
            <w:r w:rsidR="00C50915" w:rsidRPr="00731FE2">
              <w:rPr>
                <w:noProof/>
                <w:webHidden/>
              </w:rPr>
              <w:t>188</w:t>
            </w:r>
            <w:r w:rsidR="00C50915" w:rsidRPr="00731FE2">
              <w:rPr>
                <w:noProof/>
                <w:webHidden/>
              </w:rPr>
              <w:fldChar w:fldCharType="end"/>
            </w:r>
          </w:hyperlink>
        </w:p>
        <w:p w14:paraId="72CFB7A8" w14:textId="77777777" w:rsidR="00C50915" w:rsidRPr="00731FE2" w:rsidRDefault="000D173B">
          <w:pPr>
            <w:pStyle w:val="32"/>
            <w:rPr>
              <w:rFonts w:asciiTheme="minorHAnsi" w:eastAsiaTheme="minorEastAsia" w:hAnsiTheme="minorHAnsi" w:cstheme="minorBidi"/>
              <w:noProof/>
              <w:sz w:val="22"/>
              <w:szCs w:val="22"/>
              <w:lang w:eastAsia="ru-RU"/>
            </w:rPr>
          </w:pPr>
          <w:hyperlink w:anchor="_Toc177392828" w:history="1">
            <w:r w:rsidR="00C50915" w:rsidRPr="00731FE2">
              <w:rPr>
                <w:rStyle w:val="af6"/>
                <w:rFonts w:ascii="Times New Roman" w:hAnsi="Times New Roman" w:cs="Times New Roman"/>
                <w:noProof/>
              </w:rPr>
              <w:t>3.7.5 Мероприятия для маломобильных групп населения</w:t>
            </w:r>
            <w:r w:rsidR="00C50915" w:rsidRPr="00731FE2">
              <w:rPr>
                <w:noProof/>
                <w:webHidden/>
              </w:rPr>
              <w:tab/>
            </w:r>
            <w:r w:rsidR="00C50915" w:rsidRPr="00731FE2">
              <w:rPr>
                <w:noProof/>
                <w:webHidden/>
              </w:rPr>
              <w:fldChar w:fldCharType="begin"/>
            </w:r>
            <w:r w:rsidR="00C50915" w:rsidRPr="00731FE2">
              <w:rPr>
                <w:noProof/>
                <w:webHidden/>
              </w:rPr>
              <w:instrText xml:space="preserve"> PAGEREF _Toc177392828 \h </w:instrText>
            </w:r>
            <w:r w:rsidR="00C50915" w:rsidRPr="00731FE2">
              <w:rPr>
                <w:noProof/>
                <w:webHidden/>
              </w:rPr>
            </w:r>
            <w:r w:rsidR="00C50915" w:rsidRPr="00731FE2">
              <w:rPr>
                <w:noProof/>
                <w:webHidden/>
              </w:rPr>
              <w:fldChar w:fldCharType="separate"/>
            </w:r>
            <w:r w:rsidR="00C50915" w:rsidRPr="00731FE2">
              <w:rPr>
                <w:noProof/>
                <w:webHidden/>
              </w:rPr>
              <w:t>189</w:t>
            </w:r>
            <w:r w:rsidR="00C50915" w:rsidRPr="00731FE2">
              <w:rPr>
                <w:noProof/>
                <w:webHidden/>
              </w:rPr>
              <w:fldChar w:fldCharType="end"/>
            </w:r>
          </w:hyperlink>
        </w:p>
        <w:p w14:paraId="25C58D7C" w14:textId="77777777" w:rsidR="00C50915" w:rsidRPr="00731FE2" w:rsidRDefault="000D173B">
          <w:pPr>
            <w:pStyle w:val="23"/>
            <w:tabs>
              <w:tab w:val="right" w:leader="dot" w:pos="9345"/>
            </w:tabs>
            <w:rPr>
              <w:rFonts w:asciiTheme="minorHAnsi" w:eastAsiaTheme="minorEastAsia" w:hAnsiTheme="minorHAnsi"/>
              <w:noProof/>
              <w:sz w:val="22"/>
              <w:lang w:eastAsia="ru-RU"/>
            </w:rPr>
          </w:pPr>
          <w:hyperlink w:anchor="_Toc177392829" w:history="1">
            <w:r w:rsidR="00C50915" w:rsidRPr="00731FE2">
              <w:rPr>
                <w:rStyle w:val="af6"/>
                <w:rFonts w:ascii="Times New Roman" w:hAnsi="Times New Roman" w:cs="Times New Roman"/>
                <w:noProof/>
              </w:rPr>
              <w:t>3.8 Инженерная подготовка территории</w:t>
            </w:r>
            <w:r w:rsidR="00C50915" w:rsidRPr="00731FE2">
              <w:rPr>
                <w:noProof/>
                <w:webHidden/>
              </w:rPr>
              <w:tab/>
            </w:r>
            <w:r w:rsidR="00C50915" w:rsidRPr="00731FE2">
              <w:rPr>
                <w:noProof/>
                <w:webHidden/>
              </w:rPr>
              <w:fldChar w:fldCharType="begin"/>
            </w:r>
            <w:r w:rsidR="00C50915" w:rsidRPr="00731FE2">
              <w:rPr>
                <w:noProof/>
                <w:webHidden/>
              </w:rPr>
              <w:instrText xml:space="preserve"> PAGEREF _Toc177392829 \h </w:instrText>
            </w:r>
            <w:r w:rsidR="00C50915" w:rsidRPr="00731FE2">
              <w:rPr>
                <w:noProof/>
                <w:webHidden/>
              </w:rPr>
            </w:r>
            <w:r w:rsidR="00C50915" w:rsidRPr="00731FE2">
              <w:rPr>
                <w:noProof/>
                <w:webHidden/>
              </w:rPr>
              <w:fldChar w:fldCharType="separate"/>
            </w:r>
            <w:r w:rsidR="00C50915" w:rsidRPr="00731FE2">
              <w:rPr>
                <w:noProof/>
                <w:webHidden/>
              </w:rPr>
              <w:t>189</w:t>
            </w:r>
            <w:r w:rsidR="00C50915" w:rsidRPr="00731FE2">
              <w:rPr>
                <w:noProof/>
                <w:webHidden/>
              </w:rPr>
              <w:fldChar w:fldCharType="end"/>
            </w:r>
          </w:hyperlink>
        </w:p>
        <w:p w14:paraId="26D1A5CA" w14:textId="77777777" w:rsidR="00C50915" w:rsidRPr="00731FE2" w:rsidRDefault="000D173B">
          <w:pPr>
            <w:pStyle w:val="32"/>
            <w:rPr>
              <w:rFonts w:asciiTheme="minorHAnsi" w:eastAsiaTheme="minorEastAsia" w:hAnsiTheme="minorHAnsi" w:cstheme="minorBidi"/>
              <w:noProof/>
              <w:sz w:val="22"/>
              <w:szCs w:val="22"/>
              <w:lang w:eastAsia="ru-RU"/>
            </w:rPr>
          </w:pPr>
          <w:hyperlink w:anchor="_Toc177392830" w:history="1">
            <w:r w:rsidR="00C50915" w:rsidRPr="00731FE2">
              <w:rPr>
                <w:rStyle w:val="af6"/>
                <w:rFonts w:ascii="Times New Roman" w:hAnsi="Times New Roman" w:cs="Times New Roman"/>
                <w:noProof/>
              </w:rPr>
              <w:t>3.8.1 Инженерная защита от оползней</w:t>
            </w:r>
            <w:r w:rsidR="00C50915" w:rsidRPr="00731FE2">
              <w:rPr>
                <w:noProof/>
                <w:webHidden/>
              </w:rPr>
              <w:tab/>
            </w:r>
            <w:r w:rsidR="00C50915" w:rsidRPr="00731FE2">
              <w:rPr>
                <w:noProof/>
                <w:webHidden/>
              </w:rPr>
              <w:fldChar w:fldCharType="begin"/>
            </w:r>
            <w:r w:rsidR="00C50915" w:rsidRPr="00731FE2">
              <w:rPr>
                <w:noProof/>
                <w:webHidden/>
              </w:rPr>
              <w:instrText xml:space="preserve"> PAGEREF _Toc177392830 \h </w:instrText>
            </w:r>
            <w:r w:rsidR="00C50915" w:rsidRPr="00731FE2">
              <w:rPr>
                <w:noProof/>
                <w:webHidden/>
              </w:rPr>
            </w:r>
            <w:r w:rsidR="00C50915" w:rsidRPr="00731FE2">
              <w:rPr>
                <w:noProof/>
                <w:webHidden/>
              </w:rPr>
              <w:fldChar w:fldCharType="separate"/>
            </w:r>
            <w:r w:rsidR="00C50915" w:rsidRPr="00731FE2">
              <w:rPr>
                <w:noProof/>
                <w:webHidden/>
              </w:rPr>
              <w:t>190</w:t>
            </w:r>
            <w:r w:rsidR="00C50915" w:rsidRPr="00731FE2">
              <w:rPr>
                <w:noProof/>
                <w:webHidden/>
              </w:rPr>
              <w:fldChar w:fldCharType="end"/>
            </w:r>
          </w:hyperlink>
        </w:p>
        <w:p w14:paraId="53D204C2" w14:textId="77777777" w:rsidR="00C50915" w:rsidRPr="00731FE2" w:rsidRDefault="000D173B">
          <w:pPr>
            <w:pStyle w:val="32"/>
            <w:rPr>
              <w:rFonts w:asciiTheme="minorHAnsi" w:eastAsiaTheme="minorEastAsia" w:hAnsiTheme="minorHAnsi" w:cstheme="minorBidi"/>
              <w:noProof/>
              <w:sz w:val="22"/>
              <w:szCs w:val="22"/>
              <w:lang w:eastAsia="ru-RU"/>
            </w:rPr>
          </w:pPr>
          <w:hyperlink w:anchor="_Toc177392831" w:history="1">
            <w:r w:rsidR="00C50915" w:rsidRPr="00731FE2">
              <w:rPr>
                <w:rStyle w:val="af6"/>
                <w:rFonts w:ascii="Times New Roman" w:hAnsi="Times New Roman" w:cs="Times New Roman"/>
                <w:noProof/>
              </w:rPr>
              <w:t>3.8.2 Инженерная защита от эрозии</w:t>
            </w:r>
            <w:r w:rsidR="00C50915" w:rsidRPr="00731FE2">
              <w:rPr>
                <w:noProof/>
                <w:webHidden/>
              </w:rPr>
              <w:tab/>
            </w:r>
            <w:r w:rsidR="00C50915" w:rsidRPr="00731FE2">
              <w:rPr>
                <w:noProof/>
                <w:webHidden/>
              </w:rPr>
              <w:fldChar w:fldCharType="begin"/>
            </w:r>
            <w:r w:rsidR="00C50915" w:rsidRPr="00731FE2">
              <w:rPr>
                <w:noProof/>
                <w:webHidden/>
              </w:rPr>
              <w:instrText xml:space="preserve"> PAGEREF _Toc177392831 \h </w:instrText>
            </w:r>
            <w:r w:rsidR="00C50915" w:rsidRPr="00731FE2">
              <w:rPr>
                <w:noProof/>
                <w:webHidden/>
              </w:rPr>
            </w:r>
            <w:r w:rsidR="00C50915" w:rsidRPr="00731FE2">
              <w:rPr>
                <w:noProof/>
                <w:webHidden/>
              </w:rPr>
              <w:fldChar w:fldCharType="separate"/>
            </w:r>
            <w:r w:rsidR="00C50915" w:rsidRPr="00731FE2">
              <w:rPr>
                <w:noProof/>
                <w:webHidden/>
              </w:rPr>
              <w:t>191</w:t>
            </w:r>
            <w:r w:rsidR="00C50915" w:rsidRPr="00731FE2">
              <w:rPr>
                <w:noProof/>
                <w:webHidden/>
              </w:rPr>
              <w:fldChar w:fldCharType="end"/>
            </w:r>
          </w:hyperlink>
        </w:p>
        <w:p w14:paraId="3B0D602B" w14:textId="77777777" w:rsidR="00C50915" w:rsidRPr="00731FE2" w:rsidRDefault="000D173B">
          <w:pPr>
            <w:pStyle w:val="32"/>
            <w:rPr>
              <w:rFonts w:asciiTheme="minorHAnsi" w:eastAsiaTheme="minorEastAsia" w:hAnsiTheme="minorHAnsi" w:cstheme="minorBidi"/>
              <w:noProof/>
              <w:sz w:val="22"/>
              <w:szCs w:val="22"/>
              <w:lang w:eastAsia="ru-RU"/>
            </w:rPr>
          </w:pPr>
          <w:hyperlink w:anchor="_Toc177392832" w:history="1">
            <w:r w:rsidR="00C50915" w:rsidRPr="00731FE2">
              <w:rPr>
                <w:rStyle w:val="af6"/>
                <w:rFonts w:ascii="Times New Roman" w:hAnsi="Times New Roman" w:cs="Times New Roman"/>
                <w:noProof/>
              </w:rPr>
              <w:t>3.8.3 Инженерная защита от просадок</w:t>
            </w:r>
            <w:r w:rsidR="00C50915" w:rsidRPr="00731FE2">
              <w:rPr>
                <w:noProof/>
                <w:webHidden/>
              </w:rPr>
              <w:tab/>
            </w:r>
            <w:r w:rsidR="00C50915" w:rsidRPr="00731FE2">
              <w:rPr>
                <w:noProof/>
                <w:webHidden/>
              </w:rPr>
              <w:fldChar w:fldCharType="begin"/>
            </w:r>
            <w:r w:rsidR="00C50915" w:rsidRPr="00731FE2">
              <w:rPr>
                <w:noProof/>
                <w:webHidden/>
              </w:rPr>
              <w:instrText xml:space="preserve"> PAGEREF _Toc177392832 \h </w:instrText>
            </w:r>
            <w:r w:rsidR="00C50915" w:rsidRPr="00731FE2">
              <w:rPr>
                <w:noProof/>
                <w:webHidden/>
              </w:rPr>
            </w:r>
            <w:r w:rsidR="00C50915" w:rsidRPr="00731FE2">
              <w:rPr>
                <w:noProof/>
                <w:webHidden/>
              </w:rPr>
              <w:fldChar w:fldCharType="separate"/>
            </w:r>
            <w:r w:rsidR="00C50915" w:rsidRPr="00731FE2">
              <w:rPr>
                <w:noProof/>
                <w:webHidden/>
              </w:rPr>
              <w:t>191</w:t>
            </w:r>
            <w:r w:rsidR="00C50915" w:rsidRPr="00731FE2">
              <w:rPr>
                <w:noProof/>
                <w:webHidden/>
              </w:rPr>
              <w:fldChar w:fldCharType="end"/>
            </w:r>
          </w:hyperlink>
        </w:p>
        <w:p w14:paraId="0B2F155C" w14:textId="77777777" w:rsidR="00C50915" w:rsidRPr="00731FE2" w:rsidRDefault="000D173B">
          <w:pPr>
            <w:pStyle w:val="32"/>
            <w:rPr>
              <w:rFonts w:asciiTheme="minorHAnsi" w:eastAsiaTheme="minorEastAsia" w:hAnsiTheme="minorHAnsi" w:cstheme="minorBidi"/>
              <w:noProof/>
              <w:sz w:val="22"/>
              <w:szCs w:val="22"/>
              <w:lang w:eastAsia="ru-RU"/>
            </w:rPr>
          </w:pPr>
          <w:hyperlink w:anchor="_Toc177392833" w:history="1">
            <w:r w:rsidR="00C50915" w:rsidRPr="00731FE2">
              <w:rPr>
                <w:rStyle w:val="af6"/>
                <w:rFonts w:ascii="Times New Roman" w:hAnsi="Times New Roman" w:cs="Times New Roman"/>
                <w:noProof/>
              </w:rPr>
              <w:t>3.8.4 Инженерная защита при проявлении карста</w:t>
            </w:r>
            <w:r w:rsidR="00C50915" w:rsidRPr="00731FE2">
              <w:rPr>
                <w:noProof/>
                <w:webHidden/>
              </w:rPr>
              <w:tab/>
            </w:r>
            <w:r w:rsidR="00C50915" w:rsidRPr="00731FE2">
              <w:rPr>
                <w:noProof/>
                <w:webHidden/>
              </w:rPr>
              <w:fldChar w:fldCharType="begin"/>
            </w:r>
            <w:r w:rsidR="00C50915" w:rsidRPr="00731FE2">
              <w:rPr>
                <w:noProof/>
                <w:webHidden/>
              </w:rPr>
              <w:instrText xml:space="preserve"> PAGEREF _Toc177392833 \h </w:instrText>
            </w:r>
            <w:r w:rsidR="00C50915" w:rsidRPr="00731FE2">
              <w:rPr>
                <w:noProof/>
                <w:webHidden/>
              </w:rPr>
            </w:r>
            <w:r w:rsidR="00C50915" w:rsidRPr="00731FE2">
              <w:rPr>
                <w:noProof/>
                <w:webHidden/>
              </w:rPr>
              <w:fldChar w:fldCharType="separate"/>
            </w:r>
            <w:r w:rsidR="00C50915" w:rsidRPr="00731FE2">
              <w:rPr>
                <w:noProof/>
                <w:webHidden/>
              </w:rPr>
              <w:t>192</w:t>
            </w:r>
            <w:r w:rsidR="00C50915" w:rsidRPr="00731FE2">
              <w:rPr>
                <w:noProof/>
                <w:webHidden/>
              </w:rPr>
              <w:fldChar w:fldCharType="end"/>
            </w:r>
          </w:hyperlink>
        </w:p>
        <w:p w14:paraId="285325B1" w14:textId="77777777" w:rsidR="00C50915" w:rsidRPr="00731FE2" w:rsidRDefault="000D173B">
          <w:pPr>
            <w:pStyle w:val="32"/>
            <w:rPr>
              <w:rFonts w:asciiTheme="minorHAnsi" w:eastAsiaTheme="minorEastAsia" w:hAnsiTheme="minorHAnsi" w:cstheme="minorBidi"/>
              <w:noProof/>
              <w:sz w:val="22"/>
              <w:szCs w:val="22"/>
              <w:lang w:eastAsia="ru-RU"/>
            </w:rPr>
          </w:pPr>
          <w:hyperlink w:anchor="_Toc177392834" w:history="1">
            <w:r w:rsidR="00C50915" w:rsidRPr="00731FE2">
              <w:rPr>
                <w:rStyle w:val="af6"/>
                <w:rFonts w:ascii="Times New Roman" w:hAnsi="Times New Roman" w:cs="Times New Roman"/>
                <w:noProof/>
              </w:rPr>
              <w:t>3.8.5 Инженерная защита от подтопления</w:t>
            </w:r>
            <w:r w:rsidR="00C50915" w:rsidRPr="00731FE2">
              <w:rPr>
                <w:noProof/>
                <w:webHidden/>
              </w:rPr>
              <w:tab/>
            </w:r>
            <w:r w:rsidR="00C50915" w:rsidRPr="00731FE2">
              <w:rPr>
                <w:noProof/>
                <w:webHidden/>
              </w:rPr>
              <w:fldChar w:fldCharType="begin"/>
            </w:r>
            <w:r w:rsidR="00C50915" w:rsidRPr="00731FE2">
              <w:rPr>
                <w:noProof/>
                <w:webHidden/>
              </w:rPr>
              <w:instrText xml:space="preserve"> PAGEREF _Toc177392834 \h </w:instrText>
            </w:r>
            <w:r w:rsidR="00C50915" w:rsidRPr="00731FE2">
              <w:rPr>
                <w:noProof/>
                <w:webHidden/>
              </w:rPr>
            </w:r>
            <w:r w:rsidR="00C50915" w:rsidRPr="00731FE2">
              <w:rPr>
                <w:noProof/>
                <w:webHidden/>
              </w:rPr>
              <w:fldChar w:fldCharType="separate"/>
            </w:r>
            <w:r w:rsidR="00C50915" w:rsidRPr="00731FE2">
              <w:rPr>
                <w:noProof/>
                <w:webHidden/>
              </w:rPr>
              <w:t>193</w:t>
            </w:r>
            <w:r w:rsidR="00C50915" w:rsidRPr="00731FE2">
              <w:rPr>
                <w:noProof/>
                <w:webHidden/>
              </w:rPr>
              <w:fldChar w:fldCharType="end"/>
            </w:r>
          </w:hyperlink>
        </w:p>
        <w:p w14:paraId="18D9C4C8" w14:textId="77777777" w:rsidR="00C50915" w:rsidRPr="00731FE2" w:rsidRDefault="000D173B">
          <w:pPr>
            <w:pStyle w:val="32"/>
            <w:rPr>
              <w:rFonts w:asciiTheme="minorHAnsi" w:eastAsiaTheme="minorEastAsia" w:hAnsiTheme="minorHAnsi" w:cstheme="minorBidi"/>
              <w:noProof/>
              <w:sz w:val="22"/>
              <w:szCs w:val="22"/>
              <w:lang w:eastAsia="ru-RU"/>
            </w:rPr>
          </w:pPr>
          <w:hyperlink w:anchor="_Toc177392835" w:history="1">
            <w:r w:rsidR="00C50915" w:rsidRPr="00731FE2">
              <w:rPr>
                <w:rStyle w:val="af6"/>
                <w:rFonts w:ascii="Times New Roman" w:hAnsi="Times New Roman" w:cs="Times New Roman"/>
                <w:noProof/>
              </w:rPr>
              <w:t>3.8.6 Инженерная защита от затопления</w:t>
            </w:r>
            <w:r w:rsidR="00C50915" w:rsidRPr="00731FE2">
              <w:rPr>
                <w:noProof/>
                <w:webHidden/>
              </w:rPr>
              <w:tab/>
            </w:r>
            <w:r w:rsidR="00C50915" w:rsidRPr="00731FE2">
              <w:rPr>
                <w:noProof/>
                <w:webHidden/>
              </w:rPr>
              <w:fldChar w:fldCharType="begin"/>
            </w:r>
            <w:r w:rsidR="00C50915" w:rsidRPr="00731FE2">
              <w:rPr>
                <w:noProof/>
                <w:webHidden/>
              </w:rPr>
              <w:instrText xml:space="preserve"> PAGEREF _Toc177392835 \h </w:instrText>
            </w:r>
            <w:r w:rsidR="00C50915" w:rsidRPr="00731FE2">
              <w:rPr>
                <w:noProof/>
                <w:webHidden/>
              </w:rPr>
            </w:r>
            <w:r w:rsidR="00C50915" w:rsidRPr="00731FE2">
              <w:rPr>
                <w:noProof/>
                <w:webHidden/>
              </w:rPr>
              <w:fldChar w:fldCharType="separate"/>
            </w:r>
            <w:r w:rsidR="00C50915" w:rsidRPr="00731FE2">
              <w:rPr>
                <w:noProof/>
                <w:webHidden/>
              </w:rPr>
              <w:t>193</w:t>
            </w:r>
            <w:r w:rsidR="00C50915" w:rsidRPr="00731FE2">
              <w:rPr>
                <w:noProof/>
                <w:webHidden/>
              </w:rPr>
              <w:fldChar w:fldCharType="end"/>
            </w:r>
          </w:hyperlink>
        </w:p>
        <w:p w14:paraId="755ED916" w14:textId="77777777" w:rsidR="00C50915" w:rsidRPr="00731FE2" w:rsidRDefault="000D173B">
          <w:pPr>
            <w:pStyle w:val="32"/>
            <w:rPr>
              <w:rFonts w:asciiTheme="minorHAnsi" w:eastAsiaTheme="minorEastAsia" w:hAnsiTheme="minorHAnsi" w:cstheme="minorBidi"/>
              <w:noProof/>
              <w:sz w:val="22"/>
              <w:szCs w:val="22"/>
              <w:lang w:eastAsia="ru-RU"/>
            </w:rPr>
          </w:pPr>
          <w:hyperlink w:anchor="_Toc177392836" w:history="1">
            <w:r w:rsidR="00C50915" w:rsidRPr="00731FE2">
              <w:rPr>
                <w:rStyle w:val="af6"/>
                <w:rFonts w:ascii="Times New Roman" w:hAnsi="Times New Roman" w:cs="Times New Roman"/>
                <w:noProof/>
              </w:rPr>
              <w:t>3.8.7 Организация поверхностного стока</w:t>
            </w:r>
            <w:r w:rsidR="00C50915" w:rsidRPr="00731FE2">
              <w:rPr>
                <w:noProof/>
                <w:webHidden/>
              </w:rPr>
              <w:tab/>
            </w:r>
            <w:r w:rsidR="00C50915" w:rsidRPr="00731FE2">
              <w:rPr>
                <w:noProof/>
                <w:webHidden/>
              </w:rPr>
              <w:fldChar w:fldCharType="begin"/>
            </w:r>
            <w:r w:rsidR="00C50915" w:rsidRPr="00731FE2">
              <w:rPr>
                <w:noProof/>
                <w:webHidden/>
              </w:rPr>
              <w:instrText xml:space="preserve"> PAGEREF _Toc177392836 \h </w:instrText>
            </w:r>
            <w:r w:rsidR="00C50915" w:rsidRPr="00731FE2">
              <w:rPr>
                <w:noProof/>
                <w:webHidden/>
              </w:rPr>
            </w:r>
            <w:r w:rsidR="00C50915" w:rsidRPr="00731FE2">
              <w:rPr>
                <w:noProof/>
                <w:webHidden/>
              </w:rPr>
              <w:fldChar w:fldCharType="separate"/>
            </w:r>
            <w:r w:rsidR="00C50915" w:rsidRPr="00731FE2">
              <w:rPr>
                <w:noProof/>
                <w:webHidden/>
              </w:rPr>
              <w:t>193</w:t>
            </w:r>
            <w:r w:rsidR="00C50915" w:rsidRPr="00731FE2">
              <w:rPr>
                <w:noProof/>
                <w:webHidden/>
              </w:rPr>
              <w:fldChar w:fldCharType="end"/>
            </w:r>
          </w:hyperlink>
        </w:p>
        <w:p w14:paraId="52BB162E" w14:textId="77777777" w:rsidR="00C50915" w:rsidRPr="00731FE2" w:rsidRDefault="000D173B">
          <w:pPr>
            <w:pStyle w:val="23"/>
            <w:tabs>
              <w:tab w:val="right" w:leader="dot" w:pos="9345"/>
            </w:tabs>
            <w:rPr>
              <w:rFonts w:asciiTheme="minorHAnsi" w:eastAsiaTheme="minorEastAsia" w:hAnsiTheme="minorHAnsi"/>
              <w:noProof/>
              <w:sz w:val="22"/>
              <w:lang w:eastAsia="ru-RU"/>
            </w:rPr>
          </w:pPr>
          <w:hyperlink w:anchor="_Toc177392837" w:history="1">
            <w:r w:rsidR="00C50915" w:rsidRPr="00731FE2">
              <w:rPr>
                <w:rStyle w:val="af6"/>
                <w:rFonts w:ascii="Times New Roman" w:hAnsi="Times New Roman" w:cs="Times New Roman"/>
                <w:noProof/>
              </w:rPr>
              <w:t>3.9 Развитие инженерной инфраструктуры</w:t>
            </w:r>
            <w:r w:rsidR="00C50915" w:rsidRPr="00731FE2">
              <w:rPr>
                <w:noProof/>
                <w:webHidden/>
              </w:rPr>
              <w:tab/>
            </w:r>
            <w:r w:rsidR="00C50915" w:rsidRPr="00731FE2">
              <w:rPr>
                <w:noProof/>
                <w:webHidden/>
              </w:rPr>
              <w:fldChar w:fldCharType="begin"/>
            </w:r>
            <w:r w:rsidR="00C50915" w:rsidRPr="00731FE2">
              <w:rPr>
                <w:noProof/>
                <w:webHidden/>
              </w:rPr>
              <w:instrText xml:space="preserve"> PAGEREF _Toc177392837 \h </w:instrText>
            </w:r>
            <w:r w:rsidR="00C50915" w:rsidRPr="00731FE2">
              <w:rPr>
                <w:noProof/>
                <w:webHidden/>
              </w:rPr>
            </w:r>
            <w:r w:rsidR="00C50915" w:rsidRPr="00731FE2">
              <w:rPr>
                <w:noProof/>
                <w:webHidden/>
              </w:rPr>
              <w:fldChar w:fldCharType="separate"/>
            </w:r>
            <w:r w:rsidR="00C50915" w:rsidRPr="00731FE2">
              <w:rPr>
                <w:noProof/>
                <w:webHidden/>
              </w:rPr>
              <w:t>194</w:t>
            </w:r>
            <w:r w:rsidR="00C50915" w:rsidRPr="00731FE2">
              <w:rPr>
                <w:noProof/>
                <w:webHidden/>
              </w:rPr>
              <w:fldChar w:fldCharType="end"/>
            </w:r>
          </w:hyperlink>
        </w:p>
        <w:p w14:paraId="6E4EBFD8" w14:textId="77777777" w:rsidR="00C50915" w:rsidRPr="00731FE2" w:rsidRDefault="000D173B">
          <w:pPr>
            <w:pStyle w:val="32"/>
            <w:rPr>
              <w:rFonts w:asciiTheme="minorHAnsi" w:eastAsiaTheme="minorEastAsia" w:hAnsiTheme="minorHAnsi" w:cstheme="minorBidi"/>
              <w:noProof/>
              <w:sz w:val="22"/>
              <w:szCs w:val="22"/>
              <w:lang w:eastAsia="ru-RU"/>
            </w:rPr>
          </w:pPr>
          <w:hyperlink w:anchor="_Toc177392838" w:history="1">
            <w:r w:rsidR="00C50915" w:rsidRPr="00731FE2">
              <w:rPr>
                <w:rStyle w:val="af6"/>
                <w:rFonts w:ascii="Times New Roman" w:hAnsi="Times New Roman" w:cs="Times New Roman"/>
                <w:noProof/>
              </w:rPr>
              <w:t>3.9.1 Водоснабжение</w:t>
            </w:r>
            <w:r w:rsidR="00C50915" w:rsidRPr="00731FE2">
              <w:rPr>
                <w:noProof/>
                <w:webHidden/>
              </w:rPr>
              <w:tab/>
            </w:r>
            <w:r w:rsidR="00C50915" w:rsidRPr="00731FE2">
              <w:rPr>
                <w:noProof/>
                <w:webHidden/>
              </w:rPr>
              <w:fldChar w:fldCharType="begin"/>
            </w:r>
            <w:r w:rsidR="00C50915" w:rsidRPr="00731FE2">
              <w:rPr>
                <w:noProof/>
                <w:webHidden/>
              </w:rPr>
              <w:instrText xml:space="preserve"> PAGEREF _Toc177392838 \h </w:instrText>
            </w:r>
            <w:r w:rsidR="00C50915" w:rsidRPr="00731FE2">
              <w:rPr>
                <w:noProof/>
                <w:webHidden/>
              </w:rPr>
            </w:r>
            <w:r w:rsidR="00C50915" w:rsidRPr="00731FE2">
              <w:rPr>
                <w:noProof/>
                <w:webHidden/>
              </w:rPr>
              <w:fldChar w:fldCharType="separate"/>
            </w:r>
            <w:r w:rsidR="00C50915" w:rsidRPr="00731FE2">
              <w:rPr>
                <w:noProof/>
                <w:webHidden/>
              </w:rPr>
              <w:t>194</w:t>
            </w:r>
            <w:r w:rsidR="00C50915" w:rsidRPr="00731FE2">
              <w:rPr>
                <w:noProof/>
                <w:webHidden/>
              </w:rPr>
              <w:fldChar w:fldCharType="end"/>
            </w:r>
          </w:hyperlink>
        </w:p>
        <w:p w14:paraId="5E22B934" w14:textId="77777777" w:rsidR="00C50915" w:rsidRPr="00731FE2" w:rsidRDefault="000D173B">
          <w:pPr>
            <w:pStyle w:val="32"/>
            <w:rPr>
              <w:rFonts w:asciiTheme="minorHAnsi" w:eastAsiaTheme="minorEastAsia" w:hAnsiTheme="minorHAnsi" w:cstheme="minorBidi"/>
              <w:noProof/>
              <w:sz w:val="22"/>
              <w:szCs w:val="22"/>
              <w:lang w:eastAsia="ru-RU"/>
            </w:rPr>
          </w:pPr>
          <w:hyperlink w:anchor="_Toc177392839" w:history="1">
            <w:r w:rsidR="00C50915" w:rsidRPr="00731FE2">
              <w:rPr>
                <w:rStyle w:val="af6"/>
                <w:rFonts w:ascii="Times New Roman" w:hAnsi="Times New Roman" w:cs="Times New Roman"/>
                <w:noProof/>
              </w:rPr>
              <w:t>3.9.2 Водоотведение (канализация)</w:t>
            </w:r>
            <w:r w:rsidR="00C50915" w:rsidRPr="00731FE2">
              <w:rPr>
                <w:noProof/>
                <w:webHidden/>
              </w:rPr>
              <w:tab/>
            </w:r>
            <w:r w:rsidR="00C50915" w:rsidRPr="00731FE2">
              <w:rPr>
                <w:noProof/>
                <w:webHidden/>
              </w:rPr>
              <w:fldChar w:fldCharType="begin"/>
            </w:r>
            <w:r w:rsidR="00C50915" w:rsidRPr="00731FE2">
              <w:rPr>
                <w:noProof/>
                <w:webHidden/>
              </w:rPr>
              <w:instrText xml:space="preserve"> PAGEREF _Toc177392839 \h </w:instrText>
            </w:r>
            <w:r w:rsidR="00C50915" w:rsidRPr="00731FE2">
              <w:rPr>
                <w:noProof/>
                <w:webHidden/>
              </w:rPr>
            </w:r>
            <w:r w:rsidR="00C50915" w:rsidRPr="00731FE2">
              <w:rPr>
                <w:noProof/>
                <w:webHidden/>
              </w:rPr>
              <w:fldChar w:fldCharType="separate"/>
            </w:r>
            <w:r w:rsidR="00C50915" w:rsidRPr="00731FE2">
              <w:rPr>
                <w:noProof/>
                <w:webHidden/>
              </w:rPr>
              <w:t>199</w:t>
            </w:r>
            <w:r w:rsidR="00C50915" w:rsidRPr="00731FE2">
              <w:rPr>
                <w:noProof/>
                <w:webHidden/>
              </w:rPr>
              <w:fldChar w:fldCharType="end"/>
            </w:r>
          </w:hyperlink>
        </w:p>
        <w:p w14:paraId="7527E3EB" w14:textId="77777777" w:rsidR="00C50915" w:rsidRPr="00731FE2" w:rsidRDefault="000D173B">
          <w:pPr>
            <w:pStyle w:val="32"/>
            <w:rPr>
              <w:rFonts w:asciiTheme="minorHAnsi" w:eastAsiaTheme="minorEastAsia" w:hAnsiTheme="minorHAnsi" w:cstheme="minorBidi"/>
              <w:noProof/>
              <w:sz w:val="22"/>
              <w:szCs w:val="22"/>
              <w:lang w:eastAsia="ru-RU"/>
            </w:rPr>
          </w:pPr>
          <w:hyperlink w:anchor="_Toc177392840" w:history="1">
            <w:r w:rsidR="00C50915" w:rsidRPr="00731FE2">
              <w:rPr>
                <w:rStyle w:val="af6"/>
                <w:rFonts w:ascii="Times New Roman" w:hAnsi="Times New Roman" w:cs="Times New Roman"/>
                <w:noProof/>
              </w:rPr>
              <w:t>3.9.3 Теплоснабжение</w:t>
            </w:r>
            <w:r w:rsidR="00C50915" w:rsidRPr="00731FE2">
              <w:rPr>
                <w:noProof/>
                <w:webHidden/>
              </w:rPr>
              <w:tab/>
            </w:r>
            <w:r w:rsidR="00C50915" w:rsidRPr="00731FE2">
              <w:rPr>
                <w:noProof/>
                <w:webHidden/>
              </w:rPr>
              <w:fldChar w:fldCharType="begin"/>
            </w:r>
            <w:r w:rsidR="00C50915" w:rsidRPr="00731FE2">
              <w:rPr>
                <w:noProof/>
                <w:webHidden/>
              </w:rPr>
              <w:instrText xml:space="preserve"> PAGEREF _Toc177392840 \h </w:instrText>
            </w:r>
            <w:r w:rsidR="00C50915" w:rsidRPr="00731FE2">
              <w:rPr>
                <w:noProof/>
                <w:webHidden/>
              </w:rPr>
            </w:r>
            <w:r w:rsidR="00C50915" w:rsidRPr="00731FE2">
              <w:rPr>
                <w:noProof/>
                <w:webHidden/>
              </w:rPr>
              <w:fldChar w:fldCharType="separate"/>
            </w:r>
            <w:r w:rsidR="00C50915" w:rsidRPr="00731FE2">
              <w:rPr>
                <w:noProof/>
                <w:webHidden/>
              </w:rPr>
              <w:t>201</w:t>
            </w:r>
            <w:r w:rsidR="00C50915" w:rsidRPr="00731FE2">
              <w:rPr>
                <w:noProof/>
                <w:webHidden/>
              </w:rPr>
              <w:fldChar w:fldCharType="end"/>
            </w:r>
          </w:hyperlink>
        </w:p>
        <w:p w14:paraId="165F9B05" w14:textId="77777777" w:rsidR="00C50915" w:rsidRPr="00731FE2" w:rsidRDefault="000D173B">
          <w:pPr>
            <w:pStyle w:val="32"/>
            <w:rPr>
              <w:rFonts w:asciiTheme="minorHAnsi" w:eastAsiaTheme="minorEastAsia" w:hAnsiTheme="minorHAnsi" w:cstheme="minorBidi"/>
              <w:noProof/>
              <w:sz w:val="22"/>
              <w:szCs w:val="22"/>
              <w:lang w:eastAsia="ru-RU"/>
            </w:rPr>
          </w:pPr>
          <w:hyperlink w:anchor="_Toc177392841" w:history="1">
            <w:r w:rsidR="00C50915" w:rsidRPr="00731FE2">
              <w:rPr>
                <w:rStyle w:val="af6"/>
                <w:rFonts w:ascii="Times New Roman" w:hAnsi="Times New Roman" w:cs="Times New Roman"/>
                <w:noProof/>
              </w:rPr>
              <w:t>3.9.4 Электроснабжение</w:t>
            </w:r>
            <w:r w:rsidR="00C50915" w:rsidRPr="00731FE2">
              <w:rPr>
                <w:noProof/>
                <w:webHidden/>
              </w:rPr>
              <w:tab/>
            </w:r>
            <w:r w:rsidR="00C50915" w:rsidRPr="00731FE2">
              <w:rPr>
                <w:noProof/>
                <w:webHidden/>
              </w:rPr>
              <w:fldChar w:fldCharType="begin"/>
            </w:r>
            <w:r w:rsidR="00C50915" w:rsidRPr="00731FE2">
              <w:rPr>
                <w:noProof/>
                <w:webHidden/>
              </w:rPr>
              <w:instrText xml:space="preserve"> PAGEREF _Toc177392841 \h </w:instrText>
            </w:r>
            <w:r w:rsidR="00C50915" w:rsidRPr="00731FE2">
              <w:rPr>
                <w:noProof/>
                <w:webHidden/>
              </w:rPr>
            </w:r>
            <w:r w:rsidR="00C50915" w:rsidRPr="00731FE2">
              <w:rPr>
                <w:noProof/>
                <w:webHidden/>
              </w:rPr>
              <w:fldChar w:fldCharType="separate"/>
            </w:r>
            <w:r w:rsidR="00C50915" w:rsidRPr="00731FE2">
              <w:rPr>
                <w:noProof/>
                <w:webHidden/>
              </w:rPr>
              <w:t>203</w:t>
            </w:r>
            <w:r w:rsidR="00C50915" w:rsidRPr="00731FE2">
              <w:rPr>
                <w:noProof/>
                <w:webHidden/>
              </w:rPr>
              <w:fldChar w:fldCharType="end"/>
            </w:r>
          </w:hyperlink>
        </w:p>
        <w:p w14:paraId="6CCAD0FA" w14:textId="77777777" w:rsidR="00C50915" w:rsidRPr="00731FE2" w:rsidRDefault="000D173B">
          <w:pPr>
            <w:pStyle w:val="32"/>
            <w:rPr>
              <w:rFonts w:asciiTheme="minorHAnsi" w:eastAsiaTheme="minorEastAsia" w:hAnsiTheme="minorHAnsi" w:cstheme="minorBidi"/>
              <w:noProof/>
              <w:sz w:val="22"/>
              <w:szCs w:val="22"/>
              <w:lang w:eastAsia="ru-RU"/>
            </w:rPr>
          </w:pPr>
          <w:hyperlink w:anchor="_Toc177392842" w:history="1">
            <w:r w:rsidR="00C50915" w:rsidRPr="00731FE2">
              <w:rPr>
                <w:rStyle w:val="af6"/>
                <w:rFonts w:ascii="Times New Roman" w:hAnsi="Times New Roman" w:cs="Times New Roman"/>
                <w:noProof/>
              </w:rPr>
              <w:t>3.9.5 Газоснабжение</w:t>
            </w:r>
            <w:r w:rsidR="00C50915" w:rsidRPr="00731FE2">
              <w:rPr>
                <w:noProof/>
                <w:webHidden/>
              </w:rPr>
              <w:tab/>
            </w:r>
            <w:r w:rsidR="00C50915" w:rsidRPr="00731FE2">
              <w:rPr>
                <w:noProof/>
                <w:webHidden/>
              </w:rPr>
              <w:fldChar w:fldCharType="begin"/>
            </w:r>
            <w:r w:rsidR="00C50915" w:rsidRPr="00731FE2">
              <w:rPr>
                <w:noProof/>
                <w:webHidden/>
              </w:rPr>
              <w:instrText xml:space="preserve"> PAGEREF _Toc177392842 \h </w:instrText>
            </w:r>
            <w:r w:rsidR="00C50915" w:rsidRPr="00731FE2">
              <w:rPr>
                <w:noProof/>
                <w:webHidden/>
              </w:rPr>
            </w:r>
            <w:r w:rsidR="00C50915" w:rsidRPr="00731FE2">
              <w:rPr>
                <w:noProof/>
                <w:webHidden/>
              </w:rPr>
              <w:fldChar w:fldCharType="separate"/>
            </w:r>
            <w:r w:rsidR="00C50915" w:rsidRPr="00731FE2">
              <w:rPr>
                <w:noProof/>
                <w:webHidden/>
              </w:rPr>
              <w:t>204</w:t>
            </w:r>
            <w:r w:rsidR="00C50915" w:rsidRPr="00731FE2">
              <w:rPr>
                <w:noProof/>
                <w:webHidden/>
              </w:rPr>
              <w:fldChar w:fldCharType="end"/>
            </w:r>
          </w:hyperlink>
        </w:p>
        <w:p w14:paraId="3BBFEF92" w14:textId="77777777" w:rsidR="00C50915" w:rsidRPr="00731FE2" w:rsidRDefault="000D173B">
          <w:pPr>
            <w:pStyle w:val="32"/>
            <w:rPr>
              <w:rFonts w:asciiTheme="minorHAnsi" w:eastAsiaTheme="minorEastAsia" w:hAnsiTheme="minorHAnsi" w:cstheme="minorBidi"/>
              <w:noProof/>
              <w:sz w:val="22"/>
              <w:szCs w:val="22"/>
              <w:lang w:eastAsia="ru-RU"/>
            </w:rPr>
          </w:pPr>
          <w:hyperlink w:anchor="_Toc177392843" w:history="1">
            <w:r w:rsidR="00C50915" w:rsidRPr="00731FE2">
              <w:rPr>
                <w:rStyle w:val="af6"/>
                <w:rFonts w:ascii="Times New Roman" w:hAnsi="Times New Roman" w:cs="Times New Roman"/>
                <w:noProof/>
              </w:rPr>
              <w:t>3.9.6 Система обращения с твердыми коммунальными отходами</w:t>
            </w:r>
            <w:r w:rsidR="00C50915" w:rsidRPr="00731FE2">
              <w:rPr>
                <w:noProof/>
                <w:webHidden/>
              </w:rPr>
              <w:tab/>
            </w:r>
            <w:r w:rsidR="00C50915" w:rsidRPr="00731FE2">
              <w:rPr>
                <w:noProof/>
                <w:webHidden/>
              </w:rPr>
              <w:fldChar w:fldCharType="begin"/>
            </w:r>
            <w:r w:rsidR="00C50915" w:rsidRPr="00731FE2">
              <w:rPr>
                <w:noProof/>
                <w:webHidden/>
              </w:rPr>
              <w:instrText xml:space="preserve"> PAGEREF _Toc177392843 \h </w:instrText>
            </w:r>
            <w:r w:rsidR="00C50915" w:rsidRPr="00731FE2">
              <w:rPr>
                <w:noProof/>
                <w:webHidden/>
              </w:rPr>
            </w:r>
            <w:r w:rsidR="00C50915" w:rsidRPr="00731FE2">
              <w:rPr>
                <w:noProof/>
                <w:webHidden/>
              </w:rPr>
              <w:fldChar w:fldCharType="separate"/>
            </w:r>
            <w:r w:rsidR="00C50915" w:rsidRPr="00731FE2">
              <w:rPr>
                <w:noProof/>
                <w:webHidden/>
              </w:rPr>
              <w:t>204</w:t>
            </w:r>
            <w:r w:rsidR="00C50915" w:rsidRPr="00731FE2">
              <w:rPr>
                <w:noProof/>
                <w:webHidden/>
              </w:rPr>
              <w:fldChar w:fldCharType="end"/>
            </w:r>
          </w:hyperlink>
        </w:p>
        <w:p w14:paraId="4D568B7B" w14:textId="77777777" w:rsidR="00C50915" w:rsidRPr="00731FE2" w:rsidRDefault="000D173B">
          <w:pPr>
            <w:pStyle w:val="32"/>
            <w:rPr>
              <w:rFonts w:asciiTheme="minorHAnsi" w:eastAsiaTheme="minorEastAsia" w:hAnsiTheme="minorHAnsi" w:cstheme="minorBidi"/>
              <w:noProof/>
              <w:sz w:val="22"/>
              <w:szCs w:val="22"/>
              <w:lang w:eastAsia="ru-RU"/>
            </w:rPr>
          </w:pPr>
          <w:hyperlink w:anchor="_Toc177392844" w:history="1">
            <w:r w:rsidR="00C50915" w:rsidRPr="00731FE2">
              <w:rPr>
                <w:rStyle w:val="af6"/>
                <w:rFonts w:ascii="Times New Roman" w:hAnsi="Times New Roman" w:cs="Times New Roman"/>
                <w:noProof/>
              </w:rPr>
              <w:t>3.9.7 Информационно-телекоммуникационная инфраструктура</w:t>
            </w:r>
            <w:r w:rsidR="00C50915" w:rsidRPr="00731FE2">
              <w:rPr>
                <w:noProof/>
                <w:webHidden/>
              </w:rPr>
              <w:tab/>
            </w:r>
            <w:r w:rsidR="00C50915" w:rsidRPr="00731FE2">
              <w:rPr>
                <w:noProof/>
                <w:webHidden/>
              </w:rPr>
              <w:fldChar w:fldCharType="begin"/>
            </w:r>
            <w:r w:rsidR="00C50915" w:rsidRPr="00731FE2">
              <w:rPr>
                <w:noProof/>
                <w:webHidden/>
              </w:rPr>
              <w:instrText xml:space="preserve"> PAGEREF _Toc177392844 \h </w:instrText>
            </w:r>
            <w:r w:rsidR="00C50915" w:rsidRPr="00731FE2">
              <w:rPr>
                <w:noProof/>
                <w:webHidden/>
              </w:rPr>
            </w:r>
            <w:r w:rsidR="00C50915" w:rsidRPr="00731FE2">
              <w:rPr>
                <w:noProof/>
                <w:webHidden/>
              </w:rPr>
              <w:fldChar w:fldCharType="separate"/>
            </w:r>
            <w:r w:rsidR="00C50915" w:rsidRPr="00731FE2">
              <w:rPr>
                <w:noProof/>
                <w:webHidden/>
              </w:rPr>
              <w:t>208</w:t>
            </w:r>
            <w:r w:rsidR="00C50915" w:rsidRPr="00731FE2">
              <w:rPr>
                <w:noProof/>
                <w:webHidden/>
              </w:rPr>
              <w:fldChar w:fldCharType="end"/>
            </w:r>
          </w:hyperlink>
        </w:p>
        <w:p w14:paraId="0C31C68D" w14:textId="77777777" w:rsidR="00C50915" w:rsidRPr="00731FE2" w:rsidRDefault="000D173B">
          <w:pPr>
            <w:pStyle w:val="23"/>
            <w:tabs>
              <w:tab w:val="right" w:leader="dot" w:pos="9345"/>
            </w:tabs>
            <w:rPr>
              <w:rFonts w:asciiTheme="minorHAnsi" w:eastAsiaTheme="minorEastAsia" w:hAnsiTheme="minorHAnsi"/>
              <w:noProof/>
              <w:sz w:val="22"/>
              <w:lang w:eastAsia="ru-RU"/>
            </w:rPr>
          </w:pPr>
          <w:hyperlink w:anchor="_Toc177392845" w:history="1">
            <w:r w:rsidR="00C50915" w:rsidRPr="00731FE2">
              <w:rPr>
                <w:rStyle w:val="af6"/>
                <w:rFonts w:ascii="Times New Roman" w:hAnsi="Times New Roman" w:cs="Times New Roman"/>
                <w:noProof/>
              </w:rPr>
              <w:t>3.10 Градостроительные ограничения и особые условия использования территории</w:t>
            </w:r>
            <w:r w:rsidR="00C50915" w:rsidRPr="00731FE2">
              <w:rPr>
                <w:noProof/>
                <w:webHidden/>
              </w:rPr>
              <w:tab/>
            </w:r>
            <w:r w:rsidR="00C50915" w:rsidRPr="00731FE2">
              <w:rPr>
                <w:noProof/>
                <w:webHidden/>
              </w:rPr>
              <w:fldChar w:fldCharType="begin"/>
            </w:r>
            <w:r w:rsidR="00C50915" w:rsidRPr="00731FE2">
              <w:rPr>
                <w:noProof/>
                <w:webHidden/>
              </w:rPr>
              <w:instrText xml:space="preserve"> PAGEREF _Toc177392845 \h </w:instrText>
            </w:r>
            <w:r w:rsidR="00C50915" w:rsidRPr="00731FE2">
              <w:rPr>
                <w:noProof/>
                <w:webHidden/>
              </w:rPr>
            </w:r>
            <w:r w:rsidR="00C50915" w:rsidRPr="00731FE2">
              <w:rPr>
                <w:noProof/>
                <w:webHidden/>
              </w:rPr>
              <w:fldChar w:fldCharType="separate"/>
            </w:r>
            <w:r w:rsidR="00C50915" w:rsidRPr="00731FE2">
              <w:rPr>
                <w:noProof/>
                <w:webHidden/>
              </w:rPr>
              <w:t>209</w:t>
            </w:r>
            <w:r w:rsidR="00C50915" w:rsidRPr="00731FE2">
              <w:rPr>
                <w:noProof/>
                <w:webHidden/>
              </w:rPr>
              <w:fldChar w:fldCharType="end"/>
            </w:r>
          </w:hyperlink>
        </w:p>
        <w:p w14:paraId="6C9AD308" w14:textId="77777777" w:rsidR="00C50915" w:rsidRPr="00731FE2" w:rsidRDefault="000D173B">
          <w:pPr>
            <w:pStyle w:val="23"/>
            <w:tabs>
              <w:tab w:val="right" w:leader="dot" w:pos="9345"/>
            </w:tabs>
            <w:rPr>
              <w:rFonts w:asciiTheme="minorHAnsi" w:eastAsiaTheme="minorEastAsia" w:hAnsiTheme="minorHAnsi"/>
              <w:noProof/>
              <w:sz w:val="22"/>
              <w:lang w:eastAsia="ru-RU"/>
            </w:rPr>
          </w:pPr>
          <w:hyperlink w:anchor="_Toc177392846" w:history="1">
            <w:r w:rsidR="00C50915" w:rsidRPr="00731FE2">
              <w:rPr>
                <w:rStyle w:val="af6"/>
                <w:rFonts w:ascii="Times New Roman" w:hAnsi="Times New Roman" w:cs="Times New Roman"/>
                <w:noProof/>
              </w:rPr>
              <w:t>3.11 Охрана окружающей среды. Мероприятия по снижению отрицательного воздействия на окружающую среду</w:t>
            </w:r>
            <w:r w:rsidR="00C50915" w:rsidRPr="00731FE2">
              <w:rPr>
                <w:noProof/>
                <w:webHidden/>
              </w:rPr>
              <w:tab/>
            </w:r>
            <w:r w:rsidR="00C50915" w:rsidRPr="00731FE2">
              <w:rPr>
                <w:noProof/>
                <w:webHidden/>
              </w:rPr>
              <w:fldChar w:fldCharType="begin"/>
            </w:r>
            <w:r w:rsidR="00C50915" w:rsidRPr="00731FE2">
              <w:rPr>
                <w:noProof/>
                <w:webHidden/>
              </w:rPr>
              <w:instrText xml:space="preserve"> PAGEREF _Toc177392846 \h </w:instrText>
            </w:r>
            <w:r w:rsidR="00C50915" w:rsidRPr="00731FE2">
              <w:rPr>
                <w:noProof/>
                <w:webHidden/>
              </w:rPr>
            </w:r>
            <w:r w:rsidR="00C50915" w:rsidRPr="00731FE2">
              <w:rPr>
                <w:noProof/>
                <w:webHidden/>
              </w:rPr>
              <w:fldChar w:fldCharType="separate"/>
            </w:r>
            <w:r w:rsidR="00C50915" w:rsidRPr="00731FE2">
              <w:rPr>
                <w:noProof/>
                <w:webHidden/>
              </w:rPr>
              <w:t>220</w:t>
            </w:r>
            <w:r w:rsidR="00C50915" w:rsidRPr="00731FE2">
              <w:rPr>
                <w:noProof/>
                <w:webHidden/>
              </w:rPr>
              <w:fldChar w:fldCharType="end"/>
            </w:r>
          </w:hyperlink>
        </w:p>
        <w:p w14:paraId="0A9EC282" w14:textId="77777777" w:rsidR="00C50915" w:rsidRPr="00731FE2" w:rsidRDefault="000D173B">
          <w:pPr>
            <w:pStyle w:val="23"/>
            <w:tabs>
              <w:tab w:val="right" w:leader="dot" w:pos="9345"/>
            </w:tabs>
            <w:rPr>
              <w:rFonts w:asciiTheme="minorHAnsi" w:eastAsiaTheme="minorEastAsia" w:hAnsiTheme="minorHAnsi"/>
              <w:noProof/>
              <w:sz w:val="22"/>
              <w:lang w:eastAsia="ru-RU"/>
            </w:rPr>
          </w:pPr>
          <w:hyperlink w:anchor="_Toc177392847" w:history="1">
            <w:r w:rsidR="00C50915" w:rsidRPr="00731FE2">
              <w:rPr>
                <w:rStyle w:val="af6"/>
                <w:rFonts w:ascii="Times New Roman" w:hAnsi="Times New Roman" w:cs="Times New Roman"/>
                <w:noProof/>
              </w:rPr>
              <w:t>3.12 Перечень и характеристика основных факторов риска возникновения чрезвычайных ситуаций природного и техногенного характера</w:t>
            </w:r>
            <w:r w:rsidR="00C50915" w:rsidRPr="00731FE2">
              <w:rPr>
                <w:noProof/>
                <w:webHidden/>
              </w:rPr>
              <w:tab/>
            </w:r>
            <w:r w:rsidR="00C50915" w:rsidRPr="00731FE2">
              <w:rPr>
                <w:noProof/>
                <w:webHidden/>
              </w:rPr>
              <w:fldChar w:fldCharType="begin"/>
            </w:r>
            <w:r w:rsidR="00C50915" w:rsidRPr="00731FE2">
              <w:rPr>
                <w:noProof/>
                <w:webHidden/>
              </w:rPr>
              <w:instrText xml:space="preserve"> PAGEREF _Toc177392847 \h </w:instrText>
            </w:r>
            <w:r w:rsidR="00C50915" w:rsidRPr="00731FE2">
              <w:rPr>
                <w:noProof/>
                <w:webHidden/>
              </w:rPr>
            </w:r>
            <w:r w:rsidR="00C50915" w:rsidRPr="00731FE2">
              <w:rPr>
                <w:noProof/>
                <w:webHidden/>
              </w:rPr>
              <w:fldChar w:fldCharType="separate"/>
            </w:r>
            <w:r w:rsidR="00C50915" w:rsidRPr="00731FE2">
              <w:rPr>
                <w:noProof/>
                <w:webHidden/>
              </w:rPr>
              <w:t>223</w:t>
            </w:r>
            <w:r w:rsidR="00C50915" w:rsidRPr="00731FE2">
              <w:rPr>
                <w:noProof/>
                <w:webHidden/>
              </w:rPr>
              <w:fldChar w:fldCharType="end"/>
            </w:r>
          </w:hyperlink>
        </w:p>
        <w:p w14:paraId="0798BE96" w14:textId="77777777" w:rsidR="00C50915" w:rsidRPr="00731FE2" w:rsidRDefault="000D173B">
          <w:pPr>
            <w:pStyle w:val="32"/>
            <w:rPr>
              <w:rFonts w:asciiTheme="minorHAnsi" w:eastAsiaTheme="minorEastAsia" w:hAnsiTheme="minorHAnsi" w:cstheme="minorBidi"/>
              <w:noProof/>
              <w:sz w:val="22"/>
              <w:szCs w:val="22"/>
              <w:lang w:eastAsia="ru-RU"/>
            </w:rPr>
          </w:pPr>
          <w:hyperlink w:anchor="_Toc177392848" w:history="1">
            <w:r w:rsidR="00C50915" w:rsidRPr="00731FE2">
              <w:rPr>
                <w:rStyle w:val="af6"/>
                <w:rFonts w:ascii="Times New Roman" w:hAnsi="Times New Roman" w:cs="Times New Roman"/>
                <w:noProof/>
              </w:rPr>
              <w:t>3.12.1 Перечень источников чрезвычайных ситуаций природного характера</w:t>
            </w:r>
            <w:r w:rsidR="00C50915" w:rsidRPr="00731FE2">
              <w:rPr>
                <w:noProof/>
                <w:webHidden/>
              </w:rPr>
              <w:tab/>
            </w:r>
            <w:r w:rsidR="00C50915" w:rsidRPr="00731FE2">
              <w:rPr>
                <w:noProof/>
                <w:webHidden/>
              </w:rPr>
              <w:fldChar w:fldCharType="begin"/>
            </w:r>
            <w:r w:rsidR="00C50915" w:rsidRPr="00731FE2">
              <w:rPr>
                <w:noProof/>
                <w:webHidden/>
              </w:rPr>
              <w:instrText xml:space="preserve"> PAGEREF _Toc177392848 \h </w:instrText>
            </w:r>
            <w:r w:rsidR="00C50915" w:rsidRPr="00731FE2">
              <w:rPr>
                <w:noProof/>
                <w:webHidden/>
              </w:rPr>
            </w:r>
            <w:r w:rsidR="00C50915" w:rsidRPr="00731FE2">
              <w:rPr>
                <w:noProof/>
                <w:webHidden/>
              </w:rPr>
              <w:fldChar w:fldCharType="separate"/>
            </w:r>
            <w:r w:rsidR="00C50915" w:rsidRPr="00731FE2">
              <w:rPr>
                <w:noProof/>
                <w:webHidden/>
              </w:rPr>
              <w:t>224</w:t>
            </w:r>
            <w:r w:rsidR="00C50915" w:rsidRPr="00731FE2">
              <w:rPr>
                <w:noProof/>
                <w:webHidden/>
              </w:rPr>
              <w:fldChar w:fldCharType="end"/>
            </w:r>
          </w:hyperlink>
        </w:p>
        <w:p w14:paraId="09D42D4E" w14:textId="77777777" w:rsidR="00C50915" w:rsidRPr="00731FE2" w:rsidRDefault="000D173B">
          <w:pPr>
            <w:pStyle w:val="32"/>
            <w:rPr>
              <w:rFonts w:asciiTheme="minorHAnsi" w:eastAsiaTheme="minorEastAsia" w:hAnsiTheme="minorHAnsi" w:cstheme="minorBidi"/>
              <w:noProof/>
              <w:sz w:val="22"/>
              <w:szCs w:val="22"/>
              <w:lang w:eastAsia="ru-RU"/>
            </w:rPr>
          </w:pPr>
          <w:hyperlink w:anchor="_Toc177392849" w:history="1">
            <w:r w:rsidR="00C50915" w:rsidRPr="00731FE2">
              <w:rPr>
                <w:rStyle w:val="af6"/>
                <w:rFonts w:ascii="Times New Roman" w:hAnsi="Times New Roman" w:cs="Times New Roman"/>
                <w:noProof/>
              </w:rPr>
              <w:t>3.12.2 Перечень источников чрезвычайных ситуаций техногенного характера</w:t>
            </w:r>
            <w:r w:rsidR="00C50915" w:rsidRPr="00731FE2">
              <w:rPr>
                <w:noProof/>
                <w:webHidden/>
              </w:rPr>
              <w:tab/>
            </w:r>
            <w:r w:rsidR="00C50915" w:rsidRPr="00731FE2">
              <w:rPr>
                <w:noProof/>
                <w:webHidden/>
              </w:rPr>
              <w:fldChar w:fldCharType="begin"/>
            </w:r>
            <w:r w:rsidR="00C50915" w:rsidRPr="00731FE2">
              <w:rPr>
                <w:noProof/>
                <w:webHidden/>
              </w:rPr>
              <w:instrText xml:space="preserve"> PAGEREF _Toc177392849 \h </w:instrText>
            </w:r>
            <w:r w:rsidR="00C50915" w:rsidRPr="00731FE2">
              <w:rPr>
                <w:noProof/>
                <w:webHidden/>
              </w:rPr>
            </w:r>
            <w:r w:rsidR="00C50915" w:rsidRPr="00731FE2">
              <w:rPr>
                <w:noProof/>
                <w:webHidden/>
              </w:rPr>
              <w:fldChar w:fldCharType="separate"/>
            </w:r>
            <w:r w:rsidR="00C50915" w:rsidRPr="00731FE2">
              <w:rPr>
                <w:noProof/>
                <w:webHidden/>
              </w:rPr>
              <w:t>229</w:t>
            </w:r>
            <w:r w:rsidR="00C50915" w:rsidRPr="00731FE2">
              <w:rPr>
                <w:noProof/>
                <w:webHidden/>
              </w:rPr>
              <w:fldChar w:fldCharType="end"/>
            </w:r>
          </w:hyperlink>
        </w:p>
        <w:p w14:paraId="2BDAAE47" w14:textId="77777777" w:rsidR="00C50915" w:rsidRPr="00731FE2" w:rsidRDefault="000D173B">
          <w:pPr>
            <w:pStyle w:val="32"/>
            <w:rPr>
              <w:rFonts w:asciiTheme="minorHAnsi" w:eastAsiaTheme="minorEastAsia" w:hAnsiTheme="minorHAnsi" w:cstheme="minorBidi"/>
              <w:noProof/>
              <w:sz w:val="22"/>
              <w:szCs w:val="22"/>
              <w:lang w:eastAsia="ru-RU"/>
            </w:rPr>
          </w:pPr>
          <w:hyperlink w:anchor="_Toc177392850" w:history="1">
            <w:r w:rsidR="00C50915" w:rsidRPr="00731FE2">
              <w:rPr>
                <w:rStyle w:val="af6"/>
                <w:rFonts w:ascii="Times New Roman" w:hAnsi="Times New Roman" w:cs="Times New Roman"/>
                <w:noProof/>
              </w:rPr>
              <w:t>3.12.3 Мероприятия по смягчению и предотвращению чрезвычайных ситуаций на территории городского округа города-курорта Кисловодска</w:t>
            </w:r>
            <w:r w:rsidR="00C50915" w:rsidRPr="00731FE2">
              <w:rPr>
                <w:noProof/>
                <w:webHidden/>
              </w:rPr>
              <w:tab/>
            </w:r>
            <w:r w:rsidR="00C50915" w:rsidRPr="00731FE2">
              <w:rPr>
                <w:noProof/>
                <w:webHidden/>
              </w:rPr>
              <w:fldChar w:fldCharType="begin"/>
            </w:r>
            <w:r w:rsidR="00C50915" w:rsidRPr="00731FE2">
              <w:rPr>
                <w:noProof/>
                <w:webHidden/>
              </w:rPr>
              <w:instrText xml:space="preserve"> PAGEREF _Toc177392850 \h </w:instrText>
            </w:r>
            <w:r w:rsidR="00C50915" w:rsidRPr="00731FE2">
              <w:rPr>
                <w:noProof/>
                <w:webHidden/>
              </w:rPr>
            </w:r>
            <w:r w:rsidR="00C50915" w:rsidRPr="00731FE2">
              <w:rPr>
                <w:noProof/>
                <w:webHidden/>
              </w:rPr>
              <w:fldChar w:fldCharType="separate"/>
            </w:r>
            <w:r w:rsidR="00C50915" w:rsidRPr="00731FE2">
              <w:rPr>
                <w:noProof/>
                <w:webHidden/>
              </w:rPr>
              <w:t>233</w:t>
            </w:r>
            <w:r w:rsidR="00C50915" w:rsidRPr="00731FE2">
              <w:rPr>
                <w:noProof/>
                <w:webHidden/>
              </w:rPr>
              <w:fldChar w:fldCharType="end"/>
            </w:r>
          </w:hyperlink>
        </w:p>
        <w:p w14:paraId="7F5CA252" w14:textId="77777777" w:rsidR="00C50915" w:rsidRPr="00731FE2" w:rsidRDefault="000D173B">
          <w:pPr>
            <w:pStyle w:val="12"/>
            <w:tabs>
              <w:tab w:val="right" w:leader="dot" w:pos="9345"/>
            </w:tabs>
            <w:rPr>
              <w:rFonts w:asciiTheme="minorHAnsi" w:eastAsiaTheme="minorEastAsia" w:hAnsiTheme="minorHAnsi"/>
              <w:noProof/>
              <w:sz w:val="22"/>
              <w:lang w:eastAsia="ru-RU"/>
            </w:rPr>
          </w:pPr>
          <w:hyperlink w:anchor="_Toc177392851" w:history="1">
            <w:r w:rsidR="00C50915" w:rsidRPr="00731FE2">
              <w:rPr>
                <w:rStyle w:val="af6"/>
                <w:rFonts w:ascii="Times New Roman" w:hAnsi="Times New Roman" w:cs="Times New Roman"/>
                <w:noProof/>
              </w:rPr>
              <w:t>4. СВЕДЕНИЯ О ВИДАХ, НАЗНАЧЕНИИ И НАИМЕНОВАНИИ ПЛАНИРУЕМЫХ ДЛЯ РАЗМЕЩЕНИЯ НА ТЕРРИТОРИИ ГОРОДСКОГО ОКРУГА ОБЪЕКТОВ ФЕДЕРАЛЬНОГО ЗНАЧЕНИЯ, ОБЪЕКТОВ РЕГИОНАЛЬНОГО ЗНАЧЕНИЯ, ИХ ОСНОВНЫЕ ХАРАКТЕРИСТИКИ, МЕСТОПОЛОЖЕНИЕ, ХАРАКТЕРИСТИКИ ЗОН С ОСОБЫМИ УСЛОВИЯМИ ИСПОЛЬЗОВАНИЯ ТЕРРИТОРИЙ</w:t>
            </w:r>
            <w:r w:rsidR="00C50915" w:rsidRPr="00731FE2">
              <w:rPr>
                <w:noProof/>
                <w:webHidden/>
              </w:rPr>
              <w:tab/>
            </w:r>
            <w:r w:rsidR="00C50915" w:rsidRPr="00731FE2">
              <w:rPr>
                <w:noProof/>
                <w:webHidden/>
              </w:rPr>
              <w:fldChar w:fldCharType="begin"/>
            </w:r>
            <w:r w:rsidR="00C50915" w:rsidRPr="00731FE2">
              <w:rPr>
                <w:noProof/>
                <w:webHidden/>
              </w:rPr>
              <w:instrText xml:space="preserve"> PAGEREF _Toc177392851 \h </w:instrText>
            </w:r>
            <w:r w:rsidR="00C50915" w:rsidRPr="00731FE2">
              <w:rPr>
                <w:noProof/>
                <w:webHidden/>
              </w:rPr>
            </w:r>
            <w:r w:rsidR="00C50915" w:rsidRPr="00731FE2">
              <w:rPr>
                <w:noProof/>
                <w:webHidden/>
              </w:rPr>
              <w:fldChar w:fldCharType="separate"/>
            </w:r>
            <w:r w:rsidR="00C50915" w:rsidRPr="00731FE2">
              <w:rPr>
                <w:noProof/>
                <w:webHidden/>
              </w:rPr>
              <w:t>238</w:t>
            </w:r>
            <w:r w:rsidR="00C50915" w:rsidRPr="00731FE2">
              <w:rPr>
                <w:noProof/>
                <w:webHidden/>
              </w:rPr>
              <w:fldChar w:fldCharType="end"/>
            </w:r>
          </w:hyperlink>
        </w:p>
        <w:p w14:paraId="1FCC1D66" w14:textId="77777777" w:rsidR="00C50915" w:rsidRPr="00731FE2" w:rsidRDefault="000D173B">
          <w:pPr>
            <w:pStyle w:val="32"/>
            <w:rPr>
              <w:rFonts w:asciiTheme="minorHAnsi" w:eastAsiaTheme="minorEastAsia" w:hAnsiTheme="minorHAnsi" w:cstheme="minorBidi"/>
              <w:noProof/>
              <w:sz w:val="22"/>
              <w:szCs w:val="22"/>
              <w:lang w:eastAsia="ru-RU"/>
            </w:rPr>
          </w:pPr>
          <w:hyperlink w:anchor="_Toc177392852" w:history="1">
            <w:r w:rsidR="00C50915" w:rsidRPr="00731FE2">
              <w:rPr>
                <w:rStyle w:val="af6"/>
                <w:rFonts w:ascii="Times New Roman" w:hAnsi="Times New Roman" w:cs="Times New Roman"/>
                <w:noProof/>
              </w:rPr>
              <w:t>4.1 Объекты федерального значения</w:t>
            </w:r>
            <w:r w:rsidR="00C50915" w:rsidRPr="00731FE2">
              <w:rPr>
                <w:noProof/>
                <w:webHidden/>
              </w:rPr>
              <w:tab/>
            </w:r>
            <w:r w:rsidR="00C50915" w:rsidRPr="00731FE2">
              <w:rPr>
                <w:noProof/>
                <w:webHidden/>
              </w:rPr>
              <w:fldChar w:fldCharType="begin"/>
            </w:r>
            <w:r w:rsidR="00C50915" w:rsidRPr="00731FE2">
              <w:rPr>
                <w:noProof/>
                <w:webHidden/>
              </w:rPr>
              <w:instrText xml:space="preserve"> PAGEREF _Toc177392852 \h </w:instrText>
            </w:r>
            <w:r w:rsidR="00C50915" w:rsidRPr="00731FE2">
              <w:rPr>
                <w:noProof/>
                <w:webHidden/>
              </w:rPr>
            </w:r>
            <w:r w:rsidR="00C50915" w:rsidRPr="00731FE2">
              <w:rPr>
                <w:noProof/>
                <w:webHidden/>
              </w:rPr>
              <w:fldChar w:fldCharType="separate"/>
            </w:r>
            <w:r w:rsidR="00C50915" w:rsidRPr="00731FE2">
              <w:rPr>
                <w:noProof/>
                <w:webHidden/>
              </w:rPr>
              <w:t>238</w:t>
            </w:r>
            <w:r w:rsidR="00C50915" w:rsidRPr="00731FE2">
              <w:rPr>
                <w:noProof/>
                <w:webHidden/>
              </w:rPr>
              <w:fldChar w:fldCharType="end"/>
            </w:r>
          </w:hyperlink>
        </w:p>
        <w:p w14:paraId="7490A466" w14:textId="77777777" w:rsidR="00C50915" w:rsidRPr="00731FE2" w:rsidRDefault="000D173B">
          <w:pPr>
            <w:pStyle w:val="32"/>
            <w:rPr>
              <w:rFonts w:asciiTheme="minorHAnsi" w:eastAsiaTheme="minorEastAsia" w:hAnsiTheme="minorHAnsi" w:cstheme="minorBidi"/>
              <w:noProof/>
              <w:sz w:val="22"/>
              <w:szCs w:val="22"/>
              <w:lang w:eastAsia="ru-RU"/>
            </w:rPr>
          </w:pPr>
          <w:hyperlink w:anchor="_Toc177392853" w:history="1">
            <w:r w:rsidR="00C50915" w:rsidRPr="00731FE2">
              <w:rPr>
                <w:rStyle w:val="af6"/>
                <w:rFonts w:ascii="Times New Roman" w:hAnsi="Times New Roman" w:cs="Times New Roman"/>
                <w:noProof/>
              </w:rPr>
              <w:t>4.2 Объекты регионального значения</w:t>
            </w:r>
            <w:r w:rsidR="00C50915" w:rsidRPr="00731FE2">
              <w:rPr>
                <w:noProof/>
                <w:webHidden/>
              </w:rPr>
              <w:tab/>
            </w:r>
            <w:r w:rsidR="00C50915" w:rsidRPr="00731FE2">
              <w:rPr>
                <w:noProof/>
                <w:webHidden/>
              </w:rPr>
              <w:fldChar w:fldCharType="begin"/>
            </w:r>
            <w:r w:rsidR="00C50915" w:rsidRPr="00731FE2">
              <w:rPr>
                <w:noProof/>
                <w:webHidden/>
              </w:rPr>
              <w:instrText xml:space="preserve"> PAGEREF _Toc177392853 \h </w:instrText>
            </w:r>
            <w:r w:rsidR="00C50915" w:rsidRPr="00731FE2">
              <w:rPr>
                <w:noProof/>
                <w:webHidden/>
              </w:rPr>
            </w:r>
            <w:r w:rsidR="00C50915" w:rsidRPr="00731FE2">
              <w:rPr>
                <w:noProof/>
                <w:webHidden/>
              </w:rPr>
              <w:fldChar w:fldCharType="separate"/>
            </w:r>
            <w:r w:rsidR="00C50915" w:rsidRPr="00731FE2">
              <w:rPr>
                <w:noProof/>
                <w:webHidden/>
              </w:rPr>
              <w:t>241</w:t>
            </w:r>
            <w:r w:rsidR="00C50915" w:rsidRPr="00731FE2">
              <w:rPr>
                <w:noProof/>
                <w:webHidden/>
              </w:rPr>
              <w:fldChar w:fldCharType="end"/>
            </w:r>
          </w:hyperlink>
        </w:p>
        <w:p w14:paraId="6BFFCECB" w14:textId="77777777" w:rsidR="00C50915" w:rsidRPr="00731FE2" w:rsidRDefault="000D173B">
          <w:pPr>
            <w:pStyle w:val="12"/>
            <w:tabs>
              <w:tab w:val="right" w:leader="dot" w:pos="9345"/>
            </w:tabs>
            <w:rPr>
              <w:rFonts w:asciiTheme="minorHAnsi" w:eastAsiaTheme="minorEastAsia" w:hAnsiTheme="minorHAnsi"/>
              <w:noProof/>
              <w:sz w:val="22"/>
              <w:lang w:eastAsia="ru-RU"/>
            </w:rPr>
          </w:pPr>
          <w:hyperlink w:anchor="_Toc177392854" w:history="1">
            <w:r w:rsidR="00C50915" w:rsidRPr="00731FE2">
              <w:rPr>
                <w:rStyle w:val="af6"/>
                <w:rFonts w:ascii="Times New Roman" w:hAnsi="Times New Roman" w:cs="Times New Roman"/>
                <w:noProof/>
              </w:rPr>
              <w:t xml:space="preserve">5. СВЕДЕНИЯ ОБ УТВЕРЖДЕННЫХ ПРЕДМЕТАХ ОХРАНЫ И ГРАНИЦАХ ТЕРРИТОРИЙ ИСТОРИЧЕСКИХ ПОСЕЛЕНИЙ </w:t>
            </w:r>
            <w:r w:rsidR="00C50915" w:rsidRPr="00731FE2">
              <w:rPr>
                <w:rStyle w:val="af6"/>
                <w:rFonts w:ascii="Times New Roman" w:hAnsi="Times New Roman" w:cs="Times New Roman"/>
                <w:noProof/>
              </w:rPr>
              <w:lastRenderedPageBreak/>
              <w:t>ФЕДЕРАЛЬНОГО ЗНАЧЕНИЯ И ИСТОРИЧЕСКИХ ПОСЕЛЕНИЙ РЕГИОНАЛЬНОГО ЗНАЧЕНИЯ.</w:t>
            </w:r>
            <w:r w:rsidR="00C50915" w:rsidRPr="00731FE2">
              <w:rPr>
                <w:noProof/>
                <w:webHidden/>
              </w:rPr>
              <w:tab/>
            </w:r>
            <w:r w:rsidR="00C50915" w:rsidRPr="00731FE2">
              <w:rPr>
                <w:noProof/>
                <w:webHidden/>
              </w:rPr>
              <w:fldChar w:fldCharType="begin"/>
            </w:r>
            <w:r w:rsidR="00C50915" w:rsidRPr="00731FE2">
              <w:rPr>
                <w:noProof/>
                <w:webHidden/>
              </w:rPr>
              <w:instrText xml:space="preserve"> PAGEREF _Toc177392854 \h </w:instrText>
            </w:r>
            <w:r w:rsidR="00C50915" w:rsidRPr="00731FE2">
              <w:rPr>
                <w:noProof/>
                <w:webHidden/>
              </w:rPr>
            </w:r>
            <w:r w:rsidR="00C50915" w:rsidRPr="00731FE2">
              <w:rPr>
                <w:noProof/>
                <w:webHidden/>
              </w:rPr>
              <w:fldChar w:fldCharType="separate"/>
            </w:r>
            <w:r w:rsidR="00C50915" w:rsidRPr="00731FE2">
              <w:rPr>
                <w:noProof/>
                <w:webHidden/>
              </w:rPr>
              <w:t>252</w:t>
            </w:r>
            <w:r w:rsidR="00C50915" w:rsidRPr="00731FE2">
              <w:rPr>
                <w:noProof/>
                <w:webHidden/>
              </w:rPr>
              <w:fldChar w:fldCharType="end"/>
            </w:r>
          </w:hyperlink>
        </w:p>
        <w:p w14:paraId="4FAD37C2" w14:textId="77777777" w:rsidR="00C50915" w:rsidRPr="00731FE2" w:rsidRDefault="000D173B">
          <w:pPr>
            <w:pStyle w:val="12"/>
            <w:tabs>
              <w:tab w:val="right" w:leader="dot" w:pos="9345"/>
            </w:tabs>
            <w:rPr>
              <w:rFonts w:asciiTheme="minorHAnsi" w:eastAsiaTheme="minorEastAsia" w:hAnsiTheme="minorHAnsi"/>
              <w:noProof/>
              <w:sz w:val="22"/>
              <w:lang w:eastAsia="ru-RU"/>
            </w:rPr>
          </w:pPr>
          <w:hyperlink w:anchor="_Toc177392855" w:history="1">
            <w:r w:rsidR="00C50915" w:rsidRPr="00731FE2">
              <w:rPr>
                <w:rStyle w:val="af6"/>
                <w:rFonts w:ascii="Times New Roman" w:hAnsi="Times New Roman" w:cs="Times New Roman"/>
                <w:noProof/>
              </w:rPr>
              <w:t>6. ПЕРЕЧЕНЬ ЗЕМЕЛЬНЫХ УЧАСТКОВ, КОТОРЫЕ ВКЛЮЧАЮТСЯ В ГРАНИЦЫ НАСЕЛЕННЫХ ПУНКТОВ, ВХОДЯЩИХ В СОСТАВ ГОРОДСКОГО ОКРУГА, ИЛИ ИСКЛЮЧАЮТСЯ ИЗ ИХ ГРАНИЦ, С УКАЗАНИЕМ КАТЕГОРИЙ ЗЕМЕЛЬ, К КОТОРЫМ ПЛАНИРУЕТСЯ ОТНЕСТИ ЭТИ ЗЕМЕЛЬНЫЕ УЧАСТКИ, И ЦЕЛЕЙ ИХ ПЛАНИРУЕМОГО ИСПОЛЬЗОВАНИЯ</w:t>
            </w:r>
            <w:r w:rsidR="00C50915" w:rsidRPr="00731FE2">
              <w:rPr>
                <w:noProof/>
                <w:webHidden/>
              </w:rPr>
              <w:tab/>
            </w:r>
            <w:r w:rsidR="00C50915" w:rsidRPr="00731FE2">
              <w:rPr>
                <w:noProof/>
                <w:webHidden/>
              </w:rPr>
              <w:fldChar w:fldCharType="begin"/>
            </w:r>
            <w:r w:rsidR="00C50915" w:rsidRPr="00731FE2">
              <w:rPr>
                <w:noProof/>
                <w:webHidden/>
              </w:rPr>
              <w:instrText xml:space="preserve"> PAGEREF _Toc177392855 \h </w:instrText>
            </w:r>
            <w:r w:rsidR="00C50915" w:rsidRPr="00731FE2">
              <w:rPr>
                <w:noProof/>
                <w:webHidden/>
              </w:rPr>
            </w:r>
            <w:r w:rsidR="00C50915" w:rsidRPr="00731FE2">
              <w:rPr>
                <w:noProof/>
                <w:webHidden/>
              </w:rPr>
              <w:fldChar w:fldCharType="separate"/>
            </w:r>
            <w:r w:rsidR="00C50915" w:rsidRPr="00731FE2">
              <w:rPr>
                <w:noProof/>
                <w:webHidden/>
              </w:rPr>
              <w:t>253</w:t>
            </w:r>
            <w:r w:rsidR="00C50915" w:rsidRPr="00731FE2">
              <w:rPr>
                <w:noProof/>
                <w:webHidden/>
              </w:rPr>
              <w:fldChar w:fldCharType="end"/>
            </w:r>
          </w:hyperlink>
        </w:p>
        <w:p w14:paraId="4340EA9D" w14:textId="77777777" w:rsidR="00C50915" w:rsidRPr="00731FE2" w:rsidRDefault="000D173B">
          <w:pPr>
            <w:pStyle w:val="12"/>
            <w:tabs>
              <w:tab w:val="right" w:leader="dot" w:pos="9345"/>
            </w:tabs>
            <w:rPr>
              <w:rFonts w:asciiTheme="minorHAnsi" w:eastAsiaTheme="minorEastAsia" w:hAnsiTheme="minorHAnsi"/>
              <w:noProof/>
              <w:sz w:val="22"/>
              <w:lang w:eastAsia="ru-RU"/>
            </w:rPr>
          </w:pPr>
          <w:hyperlink w:anchor="_Toc177392856" w:history="1">
            <w:r w:rsidR="00C50915" w:rsidRPr="00731FE2">
              <w:rPr>
                <w:rStyle w:val="af6"/>
                <w:rFonts w:ascii="Times New Roman" w:hAnsi="Times New Roman" w:cs="Times New Roman"/>
                <w:noProof/>
              </w:rPr>
              <w:t>7. ТЕХНИКО-ЭКОНОМИЧЕСКИЕ ПОКАЗАТЕЛИ ГЕНЕРАЛЬНОГО ПЛАНА ГОРОДСКОГО ОКРУГА ГОРОДА-КУРОРТА КИСЛОВОДСКА</w:t>
            </w:r>
            <w:r w:rsidR="00C50915" w:rsidRPr="00731FE2">
              <w:rPr>
                <w:noProof/>
                <w:webHidden/>
              </w:rPr>
              <w:tab/>
            </w:r>
            <w:r w:rsidR="00C50915" w:rsidRPr="00731FE2">
              <w:rPr>
                <w:noProof/>
                <w:webHidden/>
              </w:rPr>
              <w:fldChar w:fldCharType="begin"/>
            </w:r>
            <w:r w:rsidR="00C50915" w:rsidRPr="00731FE2">
              <w:rPr>
                <w:noProof/>
                <w:webHidden/>
              </w:rPr>
              <w:instrText xml:space="preserve"> PAGEREF _Toc177392856 \h </w:instrText>
            </w:r>
            <w:r w:rsidR="00C50915" w:rsidRPr="00731FE2">
              <w:rPr>
                <w:noProof/>
                <w:webHidden/>
              </w:rPr>
            </w:r>
            <w:r w:rsidR="00C50915" w:rsidRPr="00731FE2">
              <w:rPr>
                <w:noProof/>
                <w:webHidden/>
              </w:rPr>
              <w:fldChar w:fldCharType="separate"/>
            </w:r>
            <w:r w:rsidR="00C50915" w:rsidRPr="00731FE2">
              <w:rPr>
                <w:noProof/>
                <w:webHidden/>
              </w:rPr>
              <w:t>261</w:t>
            </w:r>
            <w:r w:rsidR="00C50915" w:rsidRPr="00731FE2">
              <w:rPr>
                <w:noProof/>
                <w:webHidden/>
              </w:rPr>
              <w:fldChar w:fldCharType="end"/>
            </w:r>
          </w:hyperlink>
        </w:p>
        <w:p w14:paraId="2C755A69" w14:textId="77777777" w:rsidR="00C50915" w:rsidRPr="00731FE2" w:rsidRDefault="000D173B">
          <w:pPr>
            <w:pStyle w:val="12"/>
            <w:tabs>
              <w:tab w:val="right" w:leader="dot" w:pos="9345"/>
            </w:tabs>
            <w:rPr>
              <w:rFonts w:asciiTheme="minorHAnsi" w:eastAsiaTheme="minorEastAsia" w:hAnsiTheme="minorHAnsi"/>
              <w:noProof/>
              <w:sz w:val="22"/>
              <w:lang w:eastAsia="ru-RU"/>
            </w:rPr>
          </w:pPr>
          <w:hyperlink w:anchor="_Toc177392857" w:history="1">
            <w:r w:rsidR="00C50915" w:rsidRPr="00731FE2">
              <w:rPr>
                <w:rStyle w:val="af6"/>
                <w:rFonts w:ascii="Times New Roman" w:hAnsi="Times New Roman" w:cs="Times New Roman"/>
                <w:noProof/>
              </w:rPr>
              <w:t>ПРИЛОЖЕНИЕ 1 – ПЕРЕЧЕНЬ СКВАЖИН НА ТЕРРИТОРИИ ГОРОДСКОГО ОКРУГА ГОРОДА-КУРОРТА КИСЛОВОДСКА</w:t>
            </w:r>
            <w:r w:rsidR="00C50915" w:rsidRPr="00731FE2">
              <w:rPr>
                <w:noProof/>
                <w:webHidden/>
              </w:rPr>
              <w:tab/>
            </w:r>
            <w:r w:rsidR="00C50915" w:rsidRPr="00731FE2">
              <w:rPr>
                <w:noProof/>
                <w:webHidden/>
              </w:rPr>
              <w:fldChar w:fldCharType="begin"/>
            </w:r>
            <w:r w:rsidR="00C50915" w:rsidRPr="00731FE2">
              <w:rPr>
                <w:noProof/>
                <w:webHidden/>
              </w:rPr>
              <w:instrText xml:space="preserve"> PAGEREF _Toc177392857 \h </w:instrText>
            </w:r>
            <w:r w:rsidR="00C50915" w:rsidRPr="00731FE2">
              <w:rPr>
                <w:noProof/>
                <w:webHidden/>
              </w:rPr>
            </w:r>
            <w:r w:rsidR="00C50915" w:rsidRPr="00731FE2">
              <w:rPr>
                <w:noProof/>
                <w:webHidden/>
              </w:rPr>
              <w:fldChar w:fldCharType="separate"/>
            </w:r>
            <w:r w:rsidR="00C50915" w:rsidRPr="00731FE2">
              <w:rPr>
                <w:noProof/>
                <w:webHidden/>
              </w:rPr>
              <w:t>269</w:t>
            </w:r>
            <w:r w:rsidR="00C50915" w:rsidRPr="00731FE2">
              <w:rPr>
                <w:noProof/>
                <w:webHidden/>
              </w:rPr>
              <w:fldChar w:fldCharType="end"/>
            </w:r>
          </w:hyperlink>
        </w:p>
        <w:p w14:paraId="2D1A2BAA" w14:textId="77777777" w:rsidR="00C50915" w:rsidRPr="00731FE2" w:rsidRDefault="000D173B">
          <w:pPr>
            <w:pStyle w:val="12"/>
            <w:tabs>
              <w:tab w:val="right" w:leader="dot" w:pos="9345"/>
            </w:tabs>
            <w:rPr>
              <w:rFonts w:asciiTheme="minorHAnsi" w:eastAsiaTheme="minorEastAsia" w:hAnsiTheme="minorHAnsi"/>
              <w:noProof/>
              <w:sz w:val="22"/>
              <w:lang w:eastAsia="ru-RU"/>
            </w:rPr>
          </w:pPr>
          <w:hyperlink w:anchor="_Toc177392858" w:history="1">
            <w:r w:rsidR="00C50915" w:rsidRPr="00731FE2">
              <w:rPr>
                <w:rStyle w:val="af6"/>
                <w:rFonts w:ascii="Times New Roman" w:hAnsi="Times New Roman" w:cs="Times New Roman"/>
                <w:noProof/>
              </w:rPr>
              <w:t>ПРИЛОЖЕНИЕ 2 – ПЕРЕЧЕНЬ ОБЪЕКТОВ КУЛЬТУРНОГО НАСЛЕДИЯ ФЕДЕРАЛЬНОГО ЗНАЧЕНИЯ, РАСПОЛОЖЕННЫХ НА ТЕРРИТОРИИ ГОРОДСКОГО ОКРУГА ГОРОДА-КУРОРТА КИСЛОВОДСКА СТАВРОПОЛЬСКОГО КРАЯ</w:t>
            </w:r>
            <w:r w:rsidR="00C50915" w:rsidRPr="00731FE2">
              <w:rPr>
                <w:noProof/>
                <w:webHidden/>
              </w:rPr>
              <w:tab/>
            </w:r>
            <w:r w:rsidR="00C50915" w:rsidRPr="00731FE2">
              <w:rPr>
                <w:noProof/>
                <w:webHidden/>
              </w:rPr>
              <w:fldChar w:fldCharType="begin"/>
            </w:r>
            <w:r w:rsidR="00C50915" w:rsidRPr="00731FE2">
              <w:rPr>
                <w:noProof/>
                <w:webHidden/>
              </w:rPr>
              <w:instrText xml:space="preserve"> PAGEREF _Toc177392858 \h </w:instrText>
            </w:r>
            <w:r w:rsidR="00C50915" w:rsidRPr="00731FE2">
              <w:rPr>
                <w:noProof/>
                <w:webHidden/>
              </w:rPr>
            </w:r>
            <w:r w:rsidR="00C50915" w:rsidRPr="00731FE2">
              <w:rPr>
                <w:noProof/>
                <w:webHidden/>
              </w:rPr>
              <w:fldChar w:fldCharType="separate"/>
            </w:r>
            <w:r w:rsidR="00C50915" w:rsidRPr="00731FE2">
              <w:rPr>
                <w:noProof/>
                <w:webHidden/>
              </w:rPr>
              <w:t>276</w:t>
            </w:r>
            <w:r w:rsidR="00C50915" w:rsidRPr="00731FE2">
              <w:rPr>
                <w:noProof/>
                <w:webHidden/>
              </w:rPr>
              <w:fldChar w:fldCharType="end"/>
            </w:r>
          </w:hyperlink>
        </w:p>
        <w:p w14:paraId="6009D11A" w14:textId="77777777" w:rsidR="00C50915" w:rsidRPr="00731FE2" w:rsidRDefault="000D173B">
          <w:pPr>
            <w:pStyle w:val="12"/>
            <w:tabs>
              <w:tab w:val="right" w:leader="dot" w:pos="9345"/>
            </w:tabs>
            <w:rPr>
              <w:rFonts w:asciiTheme="minorHAnsi" w:eastAsiaTheme="minorEastAsia" w:hAnsiTheme="minorHAnsi"/>
              <w:noProof/>
              <w:sz w:val="22"/>
              <w:lang w:eastAsia="ru-RU"/>
            </w:rPr>
          </w:pPr>
          <w:hyperlink w:anchor="_Toc177392859" w:history="1">
            <w:r w:rsidR="00C50915" w:rsidRPr="00731FE2">
              <w:rPr>
                <w:rStyle w:val="af6"/>
                <w:rFonts w:ascii="Times New Roman" w:hAnsi="Times New Roman" w:cs="Times New Roman"/>
                <w:noProof/>
              </w:rPr>
              <w:t>ПРИЛОЖЕНИЕ 3 – ПЕРЕЧЕНЬ ОБЪЕКТОВ КУЛЬТУРНОГО НАСЛЕДИЯ РЕГИОНАЛЬНОГО И МЕСТНОГО ЗНАЧЕНИЯ, РАСПОЛОЖЕННЫХ НА ТЕРРИТОРИИ ГОРОДСКОГО ОКРУГА ГОРОДА-КУРОРТА КИСЛОВОДСКА СТАВРОПОЛЬСКОГО КРАЯ</w:t>
            </w:r>
            <w:r w:rsidR="00C50915" w:rsidRPr="00731FE2">
              <w:rPr>
                <w:noProof/>
                <w:webHidden/>
              </w:rPr>
              <w:tab/>
            </w:r>
            <w:r w:rsidR="00C50915" w:rsidRPr="00731FE2">
              <w:rPr>
                <w:noProof/>
                <w:webHidden/>
              </w:rPr>
              <w:fldChar w:fldCharType="begin"/>
            </w:r>
            <w:r w:rsidR="00C50915" w:rsidRPr="00731FE2">
              <w:rPr>
                <w:noProof/>
                <w:webHidden/>
              </w:rPr>
              <w:instrText xml:space="preserve"> PAGEREF _Toc177392859 \h </w:instrText>
            </w:r>
            <w:r w:rsidR="00C50915" w:rsidRPr="00731FE2">
              <w:rPr>
                <w:noProof/>
                <w:webHidden/>
              </w:rPr>
            </w:r>
            <w:r w:rsidR="00C50915" w:rsidRPr="00731FE2">
              <w:rPr>
                <w:noProof/>
                <w:webHidden/>
              </w:rPr>
              <w:fldChar w:fldCharType="separate"/>
            </w:r>
            <w:r w:rsidR="00C50915" w:rsidRPr="00731FE2">
              <w:rPr>
                <w:noProof/>
                <w:webHidden/>
              </w:rPr>
              <w:t>340</w:t>
            </w:r>
            <w:r w:rsidR="00C50915" w:rsidRPr="00731FE2">
              <w:rPr>
                <w:noProof/>
                <w:webHidden/>
              </w:rPr>
              <w:fldChar w:fldCharType="end"/>
            </w:r>
          </w:hyperlink>
        </w:p>
        <w:p w14:paraId="73A7C30F" w14:textId="77777777" w:rsidR="00C50915" w:rsidRPr="00731FE2" w:rsidRDefault="000D173B">
          <w:pPr>
            <w:pStyle w:val="12"/>
            <w:tabs>
              <w:tab w:val="right" w:leader="dot" w:pos="9345"/>
            </w:tabs>
            <w:rPr>
              <w:rFonts w:asciiTheme="minorHAnsi" w:eastAsiaTheme="minorEastAsia" w:hAnsiTheme="minorHAnsi"/>
              <w:noProof/>
              <w:sz w:val="22"/>
              <w:lang w:eastAsia="ru-RU"/>
            </w:rPr>
          </w:pPr>
          <w:hyperlink w:anchor="_Toc177392860" w:history="1">
            <w:r w:rsidR="00C50915" w:rsidRPr="00731FE2">
              <w:rPr>
                <w:rStyle w:val="af6"/>
                <w:rFonts w:ascii="Times New Roman" w:hAnsi="Times New Roman" w:cs="Times New Roman"/>
                <w:noProof/>
              </w:rPr>
              <w:t>ПРИЛОЖЕНИЕ 4 – СПИСОК ВЫЯВЛЕННЫХ ОБЪЕКТОВ КУЛЬТУРНОГО (в т. ч. археологического) НАСЛЕДИЯ, РАСПОЛОЖЕННЫХ НА ТЕРРИТОРИИ ГОРОДСКОГО ОКРУГА ГОРОДА-КУРОРТА КИСЛОВОДСКА СТАВРОПОЛЬСКОГО КРАЯ</w:t>
            </w:r>
            <w:r w:rsidR="00C50915" w:rsidRPr="00731FE2">
              <w:rPr>
                <w:noProof/>
                <w:webHidden/>
              </w:rPr>
              <w:tab/>
            </w:r>
            <w:r w:rsidR="00C50915" w:rsidRPr="00731FE2">
              <w:rPr>
                <w:noProof/>
                <w:webHidden/>
              </w:rPr>
              <w:fldChar w:fldCharType="begin"/>
            </w:r>
            <w:r w:rsidR="00C50915" w:rsidRPr="00731FE2">
              <w:rPr>
                <w:noProof/>
                <w:webHidden/>
              </w:rPr>
              <w:instrText xml:space="preserve"> PAGEREF _Toc177392860 \h </w:instrText>
            </w:r>
            <w:r w:rsidR="00C50915" w:rsidRPr="00731FE2">
              <w:rPr>
                <w:noProof/>
                <w:webHidden/>
              </w:rPr>
            </w:r>
            <w:r w:rsidR="00C50915" w:rsidRPr="00731FE2">
              <w:rPr>
                <w:noProof/>
                <w:webHidden/>
              </w:rPr>
              <w:fldChar w:fldCharType="separate"/>
            </w:r>
            <w:r w:rsidR="00C50915" w:rsidRPr="00731FE2">
              <w:rPr>
                <w:noProof/>
                <w:webHidden/>
              </w:rPr>
              <w:t>402</w:t>
            </w:r>
            <w:r w:rsidR="00C50915" w:rsidRPr="00731FE2">
              <w:rPr>
                <w:noProof/>
                <w:webHidden/>
              </w:rPr>
              <w:fldChar w:fldCharType="end"/>
            </w:r>
          </w:hyperlink>
        </w:p>
        <w:p w14:paraId="05F316E1" w14:textId="77777777" w:rsidR="00C50915" w:rsidRPr="00731FE2" w:rsidRDefault="000D173B">
          <w:pPr>
            <w:pStyle w:val="12"/>
            <w:tabs>
              <w:tab w:val="right" w:leader="dot" w:pos="9345"/>
            </w:tabs>
            <w:rPr>
              <w:rFonts w:asciiTheme="minorHAnsi" w:eastAsiaTheme="minorEastAsia" w:hAnsiTheme="minorHAnsi"/>
              <w:noProof/>
              <w:sz w:val="22"/>
              <w:lang w:eastAsia="ru-RU"/>
            </w:rPr>
          </w:pPr>
          <w:hyperlink w:anchor="_Toc177392861" w:history="1">
            <w:r w:rsidR="00C50915" w:rsidRPr="00731FE2">
              <w:rPr>
                <w:rStyle w:val="af6"/>
                <w:rFonts w:ascii="Times New Roman" w:hAnsi="Times New Roman" w:cs="Times New Roman"/>
                <w:noProof/>
              </w:rPr>
              <w:t>ПРИЛОЖЕНИЕ 5 – ПЕРЕЧЕНЬ АВТОМОБИЛЬНЫХ ДОРОГ ОБЩЕГО ПОЛЬЗОВАНИЯ МЕСТНОГО ЗНАЧЕНИЯ НА ТЕРРИТОРИИ ГОРОДСКОГО ОКРУГА «ГОРОД-КУРОРТ КИСЛОВОДСК» НА КОНЕЦ 2023 Г.</w:t>
            </w:r>
            <w:r w:rsidR="00C50915" w:rsidRPr="00731FE2">
              <w:rPr>
                <w:noProof/>
                <w:webHidden/>
              </w:rPr>
              <w:tab/>
            </w:r>
            <w:r w:rsidR="00C50915" w:rsidRPr="00731FE2">
              <w:rPr>
                <w:noProof/>
                <w:webHidden/>
              </w:rPr>
              <w:fldChar w:fldCharType="begin"/>
            </w:r>
            <w:r w:rsidR="00C50915" w:rsidRPr="00731FE2">
              <w:rPr>
                <w:noProof/>
                <w:webHidden/>
              </w:rPr>
              <w:instrText xml:space="preserve"> PAGEREF _Toc177392861 \h </w:instrText>
            </w:r>
            <w:r w:rsidR="00C50915" w:rsidRPr="00731FE2">
              <w:rPr>
                <w:noProof/>
                <w:webHidden/>
              </w:rPr>
            </w:r>
            <w:r w:rsidR="00C50915" w:rsidRPr="00731FE2">
              <w:rPr>
                <w:noProof/>
                <w:webHidden/>
              </w:rPr>
              <w:fldChar w:fldCharType="separate"/>
            </w:r>
            <w:r w:rsidR="00C50915" w:rsidRPr="00731FE2">
              <w:rPr>
                <w:noProof/>
                <w:webHidden/>
              </w:rPr>
              <w:t>414</w:t>
            </w:r>
            <w:r w:rsidR="00C50915" w:rsidRPr="00731FE2">
              <w:rPr>
                <w:noProof/>
                <w:webHidden/>
              </w:rPr>
              <w:fldChar w:fldCharType="end"/>
            </w:r>
          </w:hyperlink>
        </w:p>
        <w:p w14:paraId="59C1761A" w14:textId="77777777" w:rsidR="00C50915" w:rsidRPr="00731FE2" w:rsidRDefault="000D173B">
          <w:pPr>
            <w:pStyle w:val="12"/>
            <w:tabs>
              <w:tab w:val="right" w:leader="dot" w:pos="9345"/>
            </w:tabs>
            <w:rPr>
              <w:rFonts w:asciiTheme="minorHAnsi" w:eastAsiaTheme="minorEastAsia" w:hAnsiTheme="minorHAnsi"/>
              <w:noProof/>
              <w:sz w:val="22"/>
              <w:lang w:eastAsia="ru-RU"/>
            </w:rPr>
          </w:pPr>
          <w:hyperlink w:anchor="_Toc177392862" w:history="1">
            <w:r w:rsidR="00C50915" w:rsidRPr="00731FE2">
              <w:rPr>
                <w:rStyle w:val="af6"/>
                <w:rFonts w:ascii="Times New Roman" w:hAnsi="Times New Roman" w:cs="Times New Roman"/>
                <w:noProof/>
              </w:rPr>
              <w:t>ПРИЛОЖЕНИЕ 6 – ПЕРЕЧЕНЬ ПАРКОВОК ОБЩЕГО ПОЛЬЗОВАНИЯ НА ТЕРРИТОРИИ ГОРОДСКОГО ОКРУГА «ГОРОД-КУРОРТ КИСЛОВОСДК»</w:t>
            </w:r>
            <w:r w:rsidR="00C50915" w:rsidRPr="00731FE2">
              <w:rPr>
                <w:noProof/>
                <w:webHidden/>
              </w:rPr>
              <w:tab/>
            </w:r>
            <w:r w:rsidR="00C50915" w:rsidRPr="00731FE2">
              <w:rPr>
                <w:noProof/>
                <w:webHidden/>
              </w:rPr>
              <w:fldChar w:fldCharType="begin"/>
            </w:r>
            <w:r w:rsidR="00C50915" w:rsidRPr="00731FE2">
              <w:rPr>
                <w:noProof/>
                <w:webHidden/>
              </w:rPr>
              <w:instrText xml:space="preserve"> PAGEREF _Toc177392862 \h </w:instrText>
            </w:r>
            <w:r w:rsidR="00C50915" w:rsidRPr="00731FE2">
              <w:rPr>
                <w:noProof/>
                <w:webHidden/>
              </w:rPr>
            </w:r>
            <w:r w:rsidR="00C50915" w:rsidRPr="00731FE2">
              <w:rPr>
                <w:noProof/>
                <w:webHidden/>
              </w:rPr>
              <w:fldChar w:fldCharType="separate"/>
            </w:r>
            <w:r w:rsidR="00C50915" w:rsidRPr="00731FE2">
              <w:rPr>
                <w:noProof/>
                <w:webHidden/>
              </w:rPr>
              <w:t>426</w:t>
            </w:r>
            <w:r w:rsidR="00C50915" w:rsidRPr="00731FE2">
              <w:rPr>
                <w:noProof/>
                <w:webHidden/>
              </w:rPr>
              <w:fldChar w:fldCharType="end"/>
            </w:r>
          </w:hyperlink>
        </w:p>
        <w:p w14:paraId="6DDC9E68" w14:textId="77777777" w:rsidR="00C50915" w:rsidRPr="00731FE2" w:rsidRDefault="000D173B">
          <w:pPr>
            <w:pStyle w:val="12"/>
            <w:tabs>
              <w:tab w:val="right" w:leader="dot" w:pos="9345"/>
            </w:tabs>
            <w:rPr>
              <w:rFonts w:asciiTheme="minorHAnsi" w:eastAsiaTheme="minorEastAsia" w:hAnsiTheme="minorHAnsi"/>
              <w:noProof/>
              <w:sz w:val="22"/>
              <w:lang w:eastAsia="ru-RU"/>
            </w:rPr>
          </w:pPr>
          <w:hyperlink w:anchor="_Toc177392863" w:history="1">
            <w:r w:rsidR="00C50915" w:rsidRPr="00731FE2">
              <w:rPr>
                <w:rStyle w:val="af6"/>
                <w:rFonts w:ascii="Times New Roman" w:hAnsi="Times New Roman" w:cs="Times New Roman"/>
                <w:noProof/>
              </w:rPr>
              <w:t>ПРИЛОЖЕНИЕ 7 – КРАТКАЯ ХАРАКТЕРИСТИКА ИСТОЧНИКОВ ЦЕНТРАЛИЗОВАННОГО ТЕПЛОСНАБЖЕНИЯ ООО «ТЕПЛОЭНЕРГО КИСЛОВОДСК»</w:t>
            </w:r>
            <w:r w:rsidR="00C50915" w:rsidRPr="00731FE2">
              <w:rPr>
                <w:noProof/>
                <w:webHidden/>
              </w:rPr>
              <w:tab/>
            </w:r>
            <w:r w:rsidR="00C50915" w:rsidRPr="00731FE2">
              <w:rPr>
                <w:noProof/>
                <w:webHidden/>
              </w:rPr>
              <w:fldChar w:fldCharType="begin"/>
            </w:r>
            <w:r w:rsidR="00C50915" w:rsidRPr="00731FE2">
              <w:rPr>
                <w:noProof/>
                <w:webHidden/>
              </w:rPr>
              <w:instrText xml:space="preserve"> PAGEREF _Toc177392863 \h </w:instrText>
            </w:r>
            <w:r w:rsidR="00C50915" w:rsidRPr="00731FE2">
              <w:rPr>
                <w:noProof/>
                <w:webHidden/>
              </w:rPr>
            </w:r>
            <w:r w:rsidR="00C50915" w:rsidRPr="00731FE2">
              <w:rPr>
                <w:noProof/>
                <w:webHidden/>
              </w:rPr>
              <w:fldChar w:fldCharType="separate"/>
            </w:r>
            <w:r w:rsidR="00C50915" w:rsidRPr="00731FE2">
              <w:rPr>
                <w:noProof/>
                <w:webHidden/>
              </w:rPr>
              <w:t>428</w:t>
            </w:r>
            <w:r w:rsidR="00C50915" w:rsidRPr="00731FE2">
              <w:rPr>
                <w:noProof/>
                <w:webHidden/>
              </w:rPr>
              <w:fldChar w:fldCharType="end"/>
            </w:r>
          </w:hyperlink>
        </w:p>
        <w:p w14:paraId="43B5E940" w14:textId="77777777" w:rsidR="00C50915" w:rsidRPr="00731FE2" w:rsidRDefault="000D173B">
          <w:pPr>
            <w:pStyle w:val="12"/>
            <w:tabs>
              <w:tab w:val="right" w:leader="dot" w:pos="9345"/>
            </w:tabs>
            <w:rPr>
              <w:rFonts w:asciiTheme="minorHAnsi" w:eastAsiaTheme="minorEastAsia" w:hAnsiTheme="minorHAnsi"/>
              <w:noProof/>
              <w:sz w:val="22"/>
              <w:lang w:eastAsia="ru-RU"/>
            </w:rPr>
          </w:pPr>
          <w:hyperlink w:anchor="_Toc177392864" w:history="1">
            <w:r w:rsidR="00C50915" w:rsidRPr="00731FE2">
              <w:rPr>
                <w:rStyle w:val="af6"/>
                <w:rFonts w:ascii="Times New Roman" w:hAnsi="Times New Roman" w:cs="Times New Roman"/>
                <w:noProof/>
              </w:rPr>
              <w:t>ПРИЛОЖЕНИЕ 8 – БАЛАНСЫ ТЕПЛОВОЙ МОЩНОСТИ И ТЕПЛОВОЙ НАГРУЗКИ ИСТОЧНИКОВ ТЕПЛОВОЙ ЭНЕРГИИ ГОРОДСКОГО ОКРУГА ГОРОДА-КУРОРТА КИСЛОВОДСКА</w:t>
            </w:r>
            <w:r w:rsidR="00C50915" w:rsidRPr="00731FE2">
              <w:rPr>
                <w:noProof/>
                <w:webHidden/>
              </w:rPr>
              <w:tab/>
            </w:r>
            <w:r w:rsidR="00C50915" w:rsidRPr="00731FE2">
              <w:rPr>
                <w:noProof/>
                <w:webHidden/>
              </w:rPr>
              <w:fldChar w:fldCharType="begin"/>
            </w:r>
            <w:r w:rsidR="00C50915" w:rsidRPr="00731FE2">
              <w:rPr>
                <w:noProof/>
                <w:webHidden/>
              </w:rPr>
              <w:instrText xml:space="preserve"> PAGEREF _Toc177392864 \h </w:instrText>
            </w:r>
            <w:r w:rsidR="00C50915" w:rsidRPr="00731FE2">
              <w:rPr>
                <w:noProof/>
                <w:webHidden/>
              </w:rPr>
            </w:r>
            <w:r w:rsidR="00C50915" w:rsidRPr="00731FE2">
              <w:rPr>
                <w:noProof/>
                <w:webHidden/>
              </w:rPr>
              <w:fldChar w:fldCharType="separate"/>
            </w:r>
            <w:r w:rsidR="00C50915" w:rsidRPr="00731FE2">
              <w:rPr>
                <w:noProof/>
                <w:webHidden/>
              </w:rPr>
              <w:t>430</w:t>
            </w:r>
            <w:r w:rsidR="00C50915" w:rsidRPr="00731FE2">
              <w:rPr>
                <w:noProof/>
                <w:webHidden/>
              </w:rPr>
              <w:fldChar w:fldCharType="end"/>
            </w:r>
          </w:hyperlink>
        </w:p>
        <w:p w14:paraId="2FFECA6F" w14:textId="77777777" w:rsidR="007B3252" w:rsidRPr="00731FE2" w:rsidRDefault="007B3252" w:rsidP="002160AF">
          <w:pPr>
            <w:pStyle w:val="12"/>
            <w:tabs>
              <w:tab w:val="right" w:leader="dot" w:pos="9345"/>
            </w:tabs>
          </w:pPr>
          <w:r w:rsidRPr="00731FE2">
            <w:rPr>
              <w:rFonts w:ascii="Times New Roman" w:hAnsi="Times New Roman" w:cs="Times New Roman"/>
              <w:b/>
              <w:bCs/>
              <w:szCs w:val="24"/>
            </w:rPr>
            <w:fldChar w:fldCharType="end"/>
          </w:r>
        </w:p>
      </w:sdtContent>
    </w:sdt>
    <w:p w14:paraId="5F1DAA21" w14:textId="77777777" w:rsidR="00BB2011" w:rsidRPr="00731FE2" w:rsidRDefault="00BB2011" w:rsidP="00BB2011">
      <w:pPr>
        <w:pBdr>
          <w:top w:val="none" w:sz="4" w:space="0" w:color="000000"/>
          <w:left w:val="none" w:sz="4" w:space="0" w:color="000000"/>
          <w:bottom w:val="none" w:sz="4" w:space="0" w:color="000000"/>
          <w:right w:val="none" w:sz="4" w:space="0" w:color="000000"/>
        </w:pBdr>
        <w:tabs>
          <w:tab w:val="left" w:pos="199"/>
        </w:tabs>
        <w:spacing w:line="240" w:lineRule="auto"/>
        <w:ind w:firstLine="0"/>
        <w:rPr>
          <w:rFonts w:ascii="Times New Roman" w:hAnsi="Times New Roman" w:cs="Times New Roman"/>
        </w:rPr>
      </w:pPr>
    </w:p>
    <w:p w14:paraId="5CA8E0DC" w14:textId="77777777" w:rsidR="00171AA8" w:rsidRPr="00731FE2" w:rsidRDefault="007935AB">
      <w:pPr>
        <w:pStyle w:val="13"/>
        <w:rPr>
          <w:rFonts w:ascii="Times New Roman" w:hAnsi="Times New Roman" w:cs="Times New Roman"/>
        </w:rPr>
      </w:pPr>
      <w:bookmarkStart w:id="1" w:name="_Toc177392757"/>
      <w:r w:rsidRPr="00731FE2">
        <w:rPr>
          <w:rFonts w:ascii="Times New Roman" w:hAnsi="Times New Roman" w:cs="Times New Roman"/>
        </w:rPr>
        <w:lastRenderedPageBreak/>
        <w:t>СОСТАВ ПРОЕКТА</w:t>
      </w:r>
      <w:bookmarkEnd w:id="1"/>
    </w:p>
    <w:tbl>
      <w:tblPr>
        <w:tblStyle w:val="afe"/>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1646"/>
        <w:gridCol w:w="5979"/>
        <w:gridCol w:w="1720"/>
      </w:tblGrid>
      <w:tr w:rsidR="00171AA8" w:rsidRPr="00731FE2" w14:paraId="7072DE45" w14:textId="77777777" w:rsidTr="00F50D2A">
        <w:tc>
          <w:tcPr>
            <w:tcW w:w="16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5C73E46" w14:textId="77777777" w:rsidR="00171AA8" w:rsidRPr="00731FE2" w:rsidRDefault="007935AB">
            <w:pPr>
              <w:pBdr>
                <w:top w:val="none" w:sz="4" w:space="0" w:color="000000"/>
                <w:left w:val="none" w:sz="4" w:space="0" w:color="000000"/>
                <w:bottom w:val="none" w:sz="4" w:space="0" w:color="000000"/>
                <w:right w:val="none" w:sz="4" w:space="0" w:color="000000"/>
              </w:pBdr>
              <w:tabs>
                <w:tab w:val="left" w:pos="199"/>
              </w:tabs>
              <w:ind w:firstLine="0"/>
              <w:rPr>
                <w:rFonts w:ascii="Times New Roman" w:eastAsia="Times New Roman" w:hAnsi="Times New Roman" w:cs="Times New Roman"/>
                <w:b/>
                <w:bCs/>
                <w:color w:val="000000"/>
                <w:sz w:val="22"/>
              </w:rPr>
            </w:pPr>
            <w:r w:rsidRPr="00731FE2">
              <w:rPr>
                <w:rFonts w:ascii="Times New Roman" w:eastAsia="Times New Roman" w:hAnsi="Times New Roman" w:cs="Times New Roman"/>
                <w:b/>
                <w:bCs/>
                <w:color w:val="000000"/>
                <w:sz w:val="22"/>
              </w:rPr>
              <w:t>Обозначения</w:t>
            </w:r>
          </w:p>
        </w:tc>
        <w:tc>
          <w:tcPr>
            <w:tcW w:w="59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7ACE1EA" w14:textId="77777777" w:rsidR="00171AA8" w:rsidRPr="00731FE2" w:rsidRDefault="007935AB">
            <w:pPr>
              <w:pBdr>
                <w:top w:val="none" w:sz="4" w:space="0" w:color="000000"/>
                <w:left w:val="none" w:sz="4" w:space="0" w:color="000000"/>
                <w:bottom w:val="none" w:sz="4" w:space="0" w:color="000000"/>
                <w:right w:val="none" w:sz="4" w:space="0" w:color="000000"/>
              </w:pBdr>
              <w:tabs>
                <w:tab w:val="left" w:pos="199"/>
              </w:tabs>
              <w:ind w:firstLine="0"/>
              <w:rPr>
                <w:rFonts w:ascii="Times New Roman" w:eastAsia="Times New Roman" w:hAnsi="Times New Roman" w:cs="Times New Roman"/>
                <w:b/>
                <w:bCs/>
                <w:color w:val="000000"/>
                <w:sz w:val="22"/>
              </w:rPr>
            </w:pPr>
            <w:r w:rsidRPr="00731FE2">
              <w:rPr>
                <w:rFonts w:ascii="Times New Roman" w:eastAsia="Times New Roman" w:hAnsi="Times New Roman" w:cs="Times New Roman"/>
                <w:b/>
                <w:bCs/>
                <w:color w:val="000000"/>
                <w:sz w:val="22"/>
              </w:rPr>
              <w:t>Наименование</w:t>
            </w:r>
          </w:p>
        </w:tc>
        <w:tc>
          <w:tcPr>
            <w:tcW w:w="17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E63A9B9" w14:textId="77777777" w:rsidR="00171AA8" w:rsidRPr="00731FE2" w:rsidRDefault="007935AB">
            <w:pPr>
              <w:pBdr>
                <w:top w:val="none" w:sz="4" w:space="0" w:color="000000"/>
                <w:left w:val="none" w:sz="4" w:space="0" w:color="000000"/>
                <w:bottom w:val="none" w:sz="4" w:space="0" w:color="000000"/>
                <w:right w:val="none" w:sz="4" w:space="0" w:color="000000"/>
              </w:pBdr>
              <w:tabs>
                <w:tab w:val="left" w:pos="199"/>
              </w:tabs>
              <w:ind w:firstLine="0"/>
              <w:rPr>
                <w:rFonts w:ascii="Times New Roman" w:eastAsia="Times New Roman" w:hAnsi="Times New Roman" w:cs="Times New Roman"/>
                <w:b/>
                <w:bCs/>
                <w:color w:val="000000"/>
                <w:sz w:val="22"/>
              </w:rPr>
            </w:pPr>
            <w:r w:rsidRPr="00731FE2">
              <w:rPr>
                <w:rFonts w:ascii="Times New Roman" w:eastAsia="Times New Roman" w:hAnsi="Times New Roman" w:cs="Times New Roman"/>
                <w:b/>
                <w:bCs/>
                <w:color w:val="000000"/>
                <w:sz w:val="22"/>
              </w:rPr>
              <w:t>Примечание</w:t>
            </w:r>
          </w:p>
        </w:tc>
      </w:tr>
      <w:tr w:rsidR="00171AA8" w:rsidRPr="00731FE2" w14:paraId="4BE92858" w14:textId="77777777" w:rsidTr="00F50D2A">
        <w:tc>
          <w:tcPr>
            <w:tcW w:w="16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1C5E286" w14:textId="77777777" w:rsidR="00171AA8" w:rsidRPr="00731FE2" w:rsidRDefault="007935AB">
            <w:pPr>
              <w:pBdr>
                <w:top w:val="none" w:sz="4" w:space="0" w:color="000000"/>
                <w:left w:val="none" w:sz="4" w:space="0" w:color="000000"/>
                <w:bottom w:val="none" w:sz="4" w:space="0" w:color="000000"/>
                <w:right w:val="none" w:sz="4" w:space="0" w:color="000000"/>
              </w:pBdr>
              <w:tabs>
                <w:tab w:val="left" w:pos="199"/>
              </w:tabs>
              <w:ind w:firstLine="0"/>
              <w:rPr>
                <w:rFonts w:ascii="Times New Roman" w:eastAsia="Times New Roman" w:hAnsi="Times New Roman" w:cs="Times New Roman"/>
                <w:b/>
                <w:bCs/>
                <w:color w:val="000000"/>
                <w:sz w:val="22"/>
              </w:rPr>
            </w:pPr>
            <w:r w:rsidRPr="00731FE2">
              <w:rPr>
                <w:rFonts w:ascii="Times New Roman" w:eastAsia="Times New Roman" w:hAnsi="Times New Roman" w:cs="Times New Roman"/>
                <w:b/>
                <w:bCs/>
                <w:color w:val="000000"/>
                <w:sz w:val="22"/>
              </w:rPr>
              <w:t>ПЗ</w:t>
            </w:r>
          </w:p>
        </w:tc>
        <w:tc>
          <w:tcPr>
            <w:tcW w:w="59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F8FE00F" w14:textId="77777777" w:rsidR="00171AA8" w:rsidRPr="00731FE2" w:rsidRDefault="007935AB">
            <w:pPr>
              <w:pBdr>
                <w:top w:val="none" w:sz="4" w:space="0" w:color="000000"/>
                <w:left w:val="none" w:sz="4" w:space="0" w:color="000000"/>
                <w:bottom w:val="none" w:sz="4" w:space="0" w:color="000000"/>
                <w:right w:val="none" w:sz="4" w:space="0" w:color="000000"/>
              </w:pBdr>
              <w:tabs>
                <w:tab w:val="left" w:pos="199"/>
              </w:tabs>
              <w:ind w:firstLine="0"/>
              <w:rPr>
                <w:rFonts w:ascii="Times New Roman" w:eastAsia="Times New Roman" w:hAnsi="Times New Roman" w:cs="Times New Roman"/>
                <w:b/>
                <w:bCs/>
                <w:color w:val="000000"/>
                <w:sz w:val="22"/>
              </w:rPr>
            </w:pPr>
            <w:r w:rsidRPr="00731FE2">
              <w:rPr>
                <w:rFonts w:ascii="Times New Roman" w:eastAsia="Times New Roman" w:hAnsi="Times New Roman" w:cs="Times New Roman"/>
                <w:b/>
                <w:bCs/>
                <w:color w:val="000000"/>
                <w:sz w:val="22"/>
              </w:rPr>
              <w:t>Пояснительная записка</w:t>
            </w:r>
          </w:p>
        </w:tc>
        <w:tc>
          <w:tcPr>
            <w:tcW w:w="17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936DD3" w14:textId="77777777" w:rsidR="00171AA8" w:rsidRPr="00731FE2" w:rsidRDefault="00171AA8">
            <w:pPr>
              <w:pBdr>
                <w:top w:val="none" w:sz="4" w:space="0" w:color="000000"/>
                <w:left w:val="none" w:sz="4" w:space="0" w:color="000000"/>
                <w:bottom w:val="none" w:sz="4" w:space="0" w:color="000000"/>
                <w:right w:val="none" w:sz="4" w:space="0" w:color="000000"/>
              </w:pBdr>
              <w:tabs>
                <w:tab w:val="left" w:pos="199"/>
              </w:tabs>
              <w:ind w:firstLine="0"/>
              <w:rPr>
                <w:rFonts w:ascii="Times New Roman" w:eastAsia="Times New Roman" w:hAnsi="Times New Roman" w:cs="Times New Roman"/>
                <w:color w:val="000000"/>
                <w:sz w:val="22"/>
              </w:rPr>
            </w:pPr>
          </w:p>
        </w:tc>
      </w:tr>
      <w:tr w:rsidR="00171AA8" w:rsidRPr="00731FE2" w14:paraId="0405E01D" w14:textId="77777777" w:rsidTr="00F50D2A">
        <w:tc>
          <w:tcPr>
            <w:tcW w:w="16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ABD9900" w14:textId="77777777" w:rsidR="00171AA8" w:rsidRPr="00731FE2" w:rsidRDefault="007935AB">
            <w:pPr>
              <w:pBdr>
                <w:top w:val="none" w:sz="4" w:space="0" w:color="000000"/>
                <w:left w:val="none" w:sz="4" w:space="0" w:color="000000"/>
                <w:bottom w:val="none" w:sz="4" w:space="0" w:color="000000"/>
                <w:right w:val="none" w:sz="4" w:space="0" w:color="000000"/>
              </w:pBdr>
              <w:tabs>
                <w:tab w:val="left" w:pos="199"/>
              </w:tabs>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ПЗ – 1</w:t>
            </w:r>
          </w:p>
        </w:tc>
        <w:tc>
          <w:tcPr>
            <w:tcW w:w="59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6A37774" w14:textId="77777777" w:rsidR="00171AA8" w:rsidRPr="00731FE2" w:rsidRDefault="007935AB">
            <w:pPr>
              <w:pBdr>
                <w:top w:val="none" w:sz="4" w:space="0" w:color="000000"/>
                <w:left w:val="none" w:sz="4" w:space="0" w:color="000000"/>
                <w:bottom w:val="none" w:sz="4" w:space="0" w:color="000000"/>
                <w:right w:val="none" w:sz="4" w:space="0" w:color="000000"/>
              </w:pBdr>
              <w:tabs>
                <w:tab w:val="left" w:pos="199"/>
              </w:tabs>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Том 1. Положение о территориальном планировании</w:t>
            </w:r>
          </w:p>
        </w:tc>
        <w:tc>
          <w:tcPr>
            <w:tcW w:w="17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2A90E8" w14:textId="12D1CE18" w:rsidR="00171AA8" w:rsidRPr="00731FE2" w:rsidRDefault="00FA38A5">
            <w:pPr>
              <w:pBdr>
                <w:top w:val="none" w:sz="4" w:space="0" w:color="000000"/>
                <w:left w:val="none" w:sz="4" w:space="0" w:color="000000"/>
                <w:bottom w:val="none" w:sz="4" w:space="0" w:color="000000"/>
                <w:right w:val="none" w:sz="4" w:space="0" w:color="000000"/>
              </w:pBdr>
              <w:tabs>
                <w:tab w:val="left" w:pos="199"/>
              </w:tabs>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42</w:t>
            </w:r>
            <w:r w:rsidR="007935AB" w:rsidRPr="00731FE2">
              <w:rPr>
                <w:rFonts w:ascii="Times New Roman" w:eastAsia="Times New Roman" w:hAnsi="Times New Roman" w:cs="Times New Roman"/>
                <w:color w:val="000000"/>
                <w:sz w:val="22"/>
              </w:rPr>
              <w:t xml:space="preserve"> стр.</w:t>
            </w:r>
          </w:p>
        </w:tc>
      </w:tr>
      <w:tr w:rsidR="00171AA8" w:rsidRPr="00731FE2" w14:paraId="2FE29CBF" w14:textId="77777777" w:rsidTr="00F50D2A">
        <w:tc>
          <w:tcPr>
            <w:tcW w:w="16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073651D" w14:textId="77777777" w:rsidR="00171AA8" w:rsidRPr="00731FE2" w:rsidRDefault="007935AB">
            <w:pPr>
              <w:pBdr>
                <w:top w:val="none" w:sz="4" w:space="0" w:color="000000"/>
                <w:left w:val="none" w:sz="4" w:space="0" w:color="000000"/>
                <w:bottom w:val="none" w:sz="4" w:space="0" w:color="000000"/>
                <w:right w:val="none" w:sz="4" w:space="0" w:color="000000"/>
              </w:pBdr>
              <w:tabs>
                <w:tab w:val="left" w:pos="199"/>
              </w:tabs>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ПЗ – 2</w:t>
            </w:r>
          </w:p>
        </w:tc>
        <w:tc>
          <w:tcPr>
            <w:tcW w:w="59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5FB0CAA" w14:textId="77777777" w:rsidR="00171AA8" w:rsidRPr="00731FE2" w:rsidRDefault="007935AB">
            <w:pPr>
              <w:pBdr>
                <w:top w:val="none" w:sz="4" w:space="0" w:color="000000"/>
                <w:left w:val="none" w:sz="4" w:space="0" w:color="000000"/>
                <w:bottom w:val="none" w:sz="4" w:space="0" w:color="000000"/>
                <w:right w:val="none" w:sz="4" w:space="0" w:color="000000"/>
              </w:pBdr>
              <w:tabs>
                <w:tab w:val="left" w:pos="199"/>
              </w:tabs>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Том 2. Материалы по обоснованию проекта</w:t>
            </w:r>
          </w:p>
        </w:tc>
        <w:tc>
          <w:tcPr>
            <w:tcW w:w="17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218470" w14:textId="23E14E79" w:rsidR="00171AA8" w:rsidRPr="00731FE2" w:rsidRDefault="00787376" w:rsidP="00FA38A5">
            <w:pPr>
              <w:pBdr>
                <w:top w:val="none" w:sz="4" w:space="0" w:color="000000"/>
                <w:left w:val="none" w:sz="4" w:space="0" w:color="000000"/>
                <w:bottom w:val="none" w:sz="4" w:space="0" w:color="000000"/>
                <w:right w:val="none" w:sz="4" w:space="0" w:color="000000"/>
              </w:pBdr>
              <w:tabs>
                <w:tab w:val="left" w:pos="199"/>
              </w:tabs>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430</w:t>
            </w:r>
            <w:r w:rsidR="007935AB" w:rsidRPr="00731FE2">
              <w:rPr>
                <w:rFonts w:ascii="Times New Roman" w:eastAsia="Times New Roman" w:hAnsi="Times New Roman" w:cs="Times New Roman"/>
                <w:color w:val="000000"/>
                <w:sz w:val="22"/>
              </w:rPr>
              <w:t xml:space="preserve"> стр.</w:t>
            </w:r>
          </w:p>
        </w:tc>
      </w:tr>
      <w:tr w:rsidR="00171AA8" w:rsidRPr="00731FE2" w14:paraId="4567578A" w14:textId="77777777" w:rsidTr="00F50D2A">
        <w:tc>
          <w:tcPr>
            <w:tcW w:w="16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3A41FFC" w14:textId="77777777" w:rsidR="00171AA8" w:rsidRPr="00731FE2" w:rsidRDefault="007935AB">
            <w:pPr>
              <w:pBdr>
                <w:top w:val="none" w:sz="4" w:space="0" w:color="000000"/>
                <w:left w:val="none" w:sz="4" w:space="0" w:color="000000"/>
                <w:bottom w:val="none" w:sz="4" w:space="0" w:color="000000"/>
                <w:right w:val="none" w:sz="4" w:space="0" w:color="000000"/>
              </w:pBdr>
              <w:tabs>
                <w:tab w:val="left" w:pos="199"/>
              </w:tabs>
              <w:ind w:firstLine="0"/>
              <w:rPr>
                <w:rFonts w:ascii="Times New Roman" w:eastAsia="Times New Roman" w:hAnsi="Times New Roman" w:cs="Times New Roman"/>
                <w:b/>
                <w:bCs/>
                <w:color w:val="000000"/>
                <w:sz w:val="22"/>
              </w:rPr>
            </w:pPr>
            <w:r w:rsidRPr="00731FE2">
              <w:rPr>
                <w:rFonts w:ascii="Times New Roman" w:eastAsia="Times New Roman" w:hAnsi="Times New Roman" w:cs="Times New Roman"/>
                <w:b/>
                <w:bCs/>
                <w:color w:val="000000"/>
                <w:sz w:val="22"/>
              </w:rPr>
              <w:t>ГЧ</w:t>
            </w:r>
          </w:p>
        </w:tc>
        <w:tc>
          <w:tcPr>
            <w:tcW w:w="59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A6BBCCB" w14:textId="77777777" w:rsidR="00171AA8" w:rsidRPr="00731FE2" w:rsidRDefault="007935AB">
            <w:pPr>
              <w:pBdr>
                <w:top w:val="none" w:sz="4" w:space="0" w:color="000000"/>
                <w:left w:val="none" w:sz="4" w:space="0" w:color="000000"/>
                <w:bottom w:val="none" w:sz="4" w:space="0" w:color="000000"/>
                <w:right w:val="none" w:sz="4" w:space="0" w:color="000000"/>
              </w:pBdr>
              <w:tabs>
                <w:tab w:val="left" w:pos="199"/>
              </w:tabs>
              <w:ind w:firstLine="0"/>
              <w:rPr>
                <w:rFonts w:ascii="Times New Roman" w:eastAsia="Times New Roman" w:hAnsi="Times New Roman" w:cs="Times New Roman"/>
                <w:b/>
                <w:bCs/>
                <w:color w:val="000000"/>
                <w:sz w:val="22"/>
              </w:rPr>
            </w:pPr>
            <w:r w:rsidRPr="00731FE2">
              <w:rPr>
                <w:rFonts w:ascii="Times New Roman" w:eastAsia="Times New Roman" w:hAnsi="Times New Roman" w:cs="Times New Roman"/>
                <w:b/>
                <w:bCs/>
                <w:color w:val="000000"/>
                <w:sz w:val="22"/>
              </w:rPr>
              <w:t>Графическая часть</w:t>
            </w:r>
          </w:p>
        </w:tc>
        <w:tc>
          <w:tcPr>
            <w:tcW w:w="17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36A511" w14:textId="77777777" w:rsidR="00171AA8" w:rsidRPr="00731FE2" w:rsidRDefault="00171AA8">
            <w:pPr>
              <w:pBdr>
                <w:top w:val="none" w:sz="4" w:space="0" w:color="000000"/>
                <w:left w:val="none" w:sz="4" w:space="0" w:color="000000"/>
                <w:bottom w:val="none" w:sz="4" w:space="0" w:color="000000"/>
                <w:right w:val="none" w:sz="4" w:space="0" w:color="000000"/>
              </w:pBdr>
              <w:tabs>
                <w:tab w:val="left" w:pos="199"/>
              </w:tabs>
              <w:ind w:firstLine="0"/>
              <w:rPr>
                <w:rFonts w:ascii="Times New Roman" w:eastAsia="Times New Roman" w:hAnsi="Times New Roman" w:cs="Times New Roman"/>
                <w:color w:val="000000"/>
                <w:sz w:val="22"/>
              </w:rPr>
            </w:pPr>
          </w:p>
        </w:tc>
      </w:tr>
      <w:tr w:rsidR="00171AA8" w:rsidRPr="00731FE2" w14:paraId="4E9AD88C" w14:textId="77777777" w:rsidTr="00F50D2A">
        <w:tc>
          <w:tcPr>
            <w:tcW w:w="16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8962539" w14:textId="77777777" w:rsidR="00171AA8" w:rsidRPr="00731FE2" w:rsidRDefault="007935AB">
            <w:pPr>
              <w:pBdr>
                <w:top w:val="none" w:sz="4" w:space="0" w:color="000000"/>
                <w:left w:val="none" w:sz="4" w:space="0" w:color="000000"/>
                <w:bottom w:val="none" w:sz="4" w:space="0" w:color="000000"/>
                <w:right w:val="none" w:sz="4" w:space="0" w:color="000000"/>
              </w:pBdr>
              <w:tabs>
                <w:tab w:val="left" w:pos="199"/>
              </w:tabs>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 </w:t>
            </w:r>
          </w:p>
        </w:tc>
        <w:tc>
          <w:tcPr>
            <w:tcW w:w="59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31EB840" w14:textId="77777777" w:rsidR="00171AA8" w:rsidRPr="00731FE2" w:rsidRDefault="007935AB">
            <w:pPr>
              <w:pBdr>
                <w:top w:val="none" w:sz="4" w:space="0" w:color="000000"/>
                <w:left w:val="none" w:sz="4" w:space="0" w:color="000000"/>
                <w:bottom w:val="none" w:sz="4" w:space="0" w:color="000000"/>
                <w:right w:val="none" w:sz="4" w:space="0" w:color="000000"/>
              </w:pBdr>
              <w:tabs>
                <w:tab w:val="left" w:pos="199"/>
              </w:tabs>
              <w:ind w:firstLine="0"/>
              <w:rPr>
                <w:rFonts w:ascii="Times New Roman" w:eastAsia="Times New Roman" w:hAnsi="Times New Roman" w:cs="Times New Roman"/>
                <w:b/>
                <w:color w:val="000000"/>
                <w:sz w:val="22"/>
              </w:rPr>
            </w:pPr>
            <w:r w:rsidRPr="00731FE2">
              <w:rPr>
                <w:rFonts w:ascii="Times New Roman" w:eastAsia="Times New Roman" w:hAnsi="Times New Roman" w:cs="Times New Roman"/>
                <w:b/>
                <w:color w:val="000000"/>
                <w:sz w:val="22"/>
              </w:rPr>
              <w:t>Положение о территориальном планировании</w:t>
            </w:r>
          </w:p>
        </w:tc>
        <w:tc>
          <w:tcPr>
            <w:tcW w:w="17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8F4018" w14:textId="77777777" w:rsidR="00171AA8" w:rsidRPr="00731FE2" w:rsidRDefault="00171AA8">
            <w:pPr>
              <w:pBdr>
                <w:top w:val="none" w:sz="4" w:space="0" w:color="000000"/>
                <w:left w:val="none" w:sz="4" w:space="0" w:color="000000"/>
                <w:bottom w:val="none" w:sz="4" w:space="0" w:color="000000"/>
                <w:right w:val="none" w:sz="4" w:space="0" w:color="000000"/>
              </w:pBdr>
              <w:tabs>
                <w:tab w:val="left" w:pos="199"/>
              </w:tabs>
              <w:ind w:firstLine="0"/>
              <w:rPr>
                <w:rFonts w:ascii="Times New Roman" w:eastAsia="Times New Roman" w:hAnsi="Times New Roman" w:cs="Times New Roman"/>
                <w:color w:val="000000"/>
                <w:sz w:val="22"/>
              </w:rPr>
            </w:pPr>
          </w:p>
        </w:tc>
      </w:tr>
      <w:tr w:rsidR="00171AA8" w:rsidRPr="00731FE2" w14:paraId="32FAC6EE" w14:textId="77777777" w:rsidTr="00F50D2A">
        <w:tc>
          <w:tcPr>
            <w:tcW w:w="16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5724834" w14:textId="77777777" w:rsidR="00171AA8" w:rsidRPr="00731FE2" w:rsidRDefault="007935AB">
            <w:pPr>
              <w:pBdr>
                <w:top w:val="none" w:sz="4" w:space="0" w:color="000000"/>
                <w:left w:val="none" w:sz="4" w:space="0" w:color="000000"/>
                <w:bottom w:val="none" w:sz="4" w:space="0" w:color="000000"/>
                <w:right w:val="none" w:sz="4" w:space="0" w:color="000000"/>
              </w:pBdr>
              <w:tabs>
                <w:tab w:val="left" w:pos="199"/>
              </w:tabs>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ГЧ – 1</w:t>
            </w:r>
          </w:p>
        </w:tc>
        <w:tc>
          <w:tcPr>
            <w:tcW w:w="59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C48C876" w14:textId="77777777" w:rsidR="00171AA8" w:rsidRPr="00731FE2" w:rsidRDefault="007935AB">
            <w:pPr>
              <w:pBdr>
                <w:top w:val="none" w:sz="4" w:space="0" w:color="000000"/>
                <w:left w:val="none" w:sz="4" w:space="0" w:color="000000"/>
                <w:bottom w:val="none" w:sz="4" w:space="0" w:color="000000"/>
                <w:right w:val="none" w:sz="4" w:space="0" w:color="000000"/>
              </w:pBdr>
              <w:tabs>
                <w:tab w:val="left" w:pos="199"/>
              </w:tabs>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Карта границ населенных пунктов, входящих в состав городского округа</w:t>
            </w:r>
          </w:p>
        </w:tc>
        <w:tc>
          <w:tcPr>
            <w:tcW w:w="17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F3F1AF9" w14:textId="77777777" w:rsidR="00171AA8" w:rsidRPr="00731FE2" w:rsidRDefault="007935AB">
            <w:pPr>
              <w:pBdr>
                <w:top w:val="none" w:sz="4" w:space="0" w:color="000000"/>
                <w:left w:val="none" w:sz="4" w:space="0" w:color="000000"/>
                <w:bottom w:val="none" w:sz="4" w:space="0" w:color="000000"/>
                <w:right w:val="none" w:sz="4" w:space="0" w:color="000000"/>
              </w:pBdr>
              <w:tabs>
                <w:tab w:val="left" w:pos="199"/>
              </w:tabs>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1:20 000</w:t>
            </w:r>
          </w:p>
        </w:tc>
      </w:tr>
      <w:tr w:rsidR="00171AA8" w:rsidRPr="00731FE2" w14:paraId="1ECF2DB5" w14:textId="77777777" w:rsidTr="00F50D2A">
        <w:tc>
          <w:tcPr>
            <w:tcW w:w="16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9AE77B2" w14:textId="77777777" w:rsidR="00171AA8" w:rsidRPr="00731FE2" w:rsidRDefault="007935AB">
            <w:pPr>
              <w:pBdr>
                <w:top w:val="none" w:sz="4" w:space="0" w:color="000000"/>
                <w:left w:val="none" w:sz="4" w:space="0" w:color="000000"/>
                <w:bottom w:val="none" w:sz="4" w:space="0" w:color="000000"/>
                <w:right w:val="none" w:sz="4" w:space="0" w:color="000000"/>
              </w:pBdr>
              <w:tabs>
                <w:tab w:val="left" w:pos="199"/>
              </w:tabs>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ГЧ – 2</w:t>
            </w:r>
          </w:p>
        </w:tc>
        <w:tc>
          <w:tcPr>
            <w:tcW w:w="59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532BC56" w14:textId="77777777" w:rsidR="00171AA8" w:rsidRPr="00731FE2" w:rsidRDefault="007935AB">
            <w:pPr>
              <w:pBdr>
                <w:top w:val="none" w:sz="4" w:space="0" w:color="000000"/>
                <w:left w:val="none" w:sz="4" w:space="0" w:color="000000"/>
                <w:bottom w:val="none" w:sz="4" w:space="0" w:color="000000"/>
                <w:right w:val="none" w:sz="4" w:space="0" w:color="000000"/>
              </w:pBdr>
              <w:tabs>
                <w:tab w:val="left" w:pos="199"/>
              </w:tabs>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Карта функциональных зон городского округа</w:t>
            </w:r>
          </w:p>
        </w:tc>
        <w:tc>
          <w:tcPr>
            <w:tcW w:w="17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66FEC75" w14:textId="77777777" w:rsidR="00171AA8" w:rsidRPr="00731FE2" w:rsidRDefault="007935AB">
            <w:pPr>
              <w:pBdr>
                <w:top w:val="none" w:sz="4" w:space="0" w:color="000000"/>
                <w:left w:val="none" w:sz="4" w:space="0" w:color="000000"/>
                <w:bottom w:val="none" w:sz="4" w:space="0" w:color="000000"/>
                <w:right w:val="none" w:sz="4" w:space="0" w:color="000000"/>
              </w:pBdr>
              <w:tabs>
                <w:tab w:val="left" w:pos="199"/>
              </w:tabs>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1:20 000</w:t>
            </w:r>
          </w:p>
        </w:tc>
      </w:tr>
      <w:tr w:rsidR="00171AA8" w:rsidRPr="00731FE2" w14:paraId="226DF330" w14:textId="77777777" w:rsidTr="00F50D2A">
        <w:tc>
          <w:tcPr>
            <w:tcW w:w="16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D192D22" w14:textId="77777777" w:rsidR="00171AA8" w:rsidRPr="00731FE2" w:rsidRDefault="007935AB">
            <w:pPr>
              <w:pBdr>
                <w:top w:val="none" w:sz="4" w:space="0" w:color="000000"/>
                <w:left w:val="none" w:sz="4" w:space="0" w:color="000000"/>
                <w:bottom w:val="none" w:sz="4" w:space="0" w:color="000000"/>
                <w:right w:val="none" w:sz="4" w:space="0" w:color="000000"/>
              </w:pBdr>
              <w:tabs>
                <w:tab w:val="left" w:pos="199"/>
              </w:tabs>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ГЧ – 3</w:t>
            </w:r>
          </w:p>
        </w:tc>
        <w:tc>
          <w:tcPr>
            <w:tcW w:w="59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9E5238E" w14:textId="77777777" w:rsidR="00171AA8" w:rsidRPr="00731FE2" w:rsidRDefault="007935AB">
            <w:pPr>
              <w:pBdr>
                <w:top w:val="none" w:sz="4" w:space="0" w:color="000000"/>
                <w:left w:val="none" w:sz="4" w:space="0" w:color="000000"/>
                <w:bottom w:val="none" w:sz="4" w:space="0" w:color="000000"/>
                <w:right w:val="none" w:sz="4" w:space="0" w:color="000000"/>
              </w:pBdr>
              <w:tabs>
                <w:tab w:val="left" w:pos="199"/>
              </w:tabs>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Карта планируемого размещения объектов транспортной инфраструктуры и автомобильных дорог местного значения городского округа</w:t>
            </w:r>
          </w:p>
        </w:tc>
        <w:tc>
          <w:tcPr>
            <w:tcW w:w="17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691CCE4" w14:textId="77777777" w:rsidR="00171AA8" w:rsidRPr="00731FE2" w:rsidRDefault="007935AB">
            <w:pPr>
              <w:pBdr>
                <w:top w:val="none" w:sz="4" w:space="0" w:color="000000"/>
                <w:left w:val="none" w:sz="4" w:space="0" w:color="000000"/>
                <w:bottom w:val="none" w:sz="4" w:space="0" w:color="000000"/>
                <w:right w:val="none" w:sz="4" w:space="0" w:color="000000"/>
              </w:pBdr>
              <w:tabs>
                <w:tab w:val="left" w:pos="199"/>
              </w:tabs>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1:20 000</w:t>
            </w:r>
          </w:p>
        </w:tc>
      </w:tr>
      <w:tr w:rsidR="00171AA8" w:rsidRPr="00731FE2" w14:paraId="46E8DE10" w14:textId="77777777" w:rsidTr="00F50D2A">
        <w:tc>
          <w:tcPr>
            <w:tcW w:w="16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F17404B" w14:textId="77777777" w:rsidR="00171AA8" w:rsidRPr="00731FE2" w:rsidRDefault="007935AB">
            <w:pPr>
              <w:pBdr>
                <w:top w:val="none" w:sz="4" w:space="0" w:color="000000"/>
                <w:left w:val="none" w:sz="4" w:space="0" w:color="000000"/>
                <w:bottom w:val="none" w:sz="4" w:space="0" w:color="000000"/>
                <w:right w:val="none" w:sz="4" w:space="0" w:color="000000"/>
              </w:pBdr>
              <w:tabs>
                <w:tab w:val="left" w:pos="199"/>
              </w:tabs>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ГЧ – 4</w:t>
            </w:r>
          </w:p>
        </w:tc>
        <w:tc>
          <w:tcPr>
            <w:tcW w:w="59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A0A5E80" w14:textId="77777777" w:rsidR="00171AA8" w:rsidRPr="00731FE2" w:rsidRDefault="007935AB">
            <w:pPr>
              <w:pBdr>
                <w:top w:val="none" w:sz="4" w:space="0" w:color="000000"/>
                <w:left w:val="none" w:sz="4" w:space="0" w:color="000000"/>
                <w:bottom w:val="none" w:sz="4" w:space="0" w:color="000000"/>
                <w:right w:val="none" w:sz="4" w:space="0" w:color="000000"/>
              </w:pBdr>
              <w:tabs>
                <w:tab w:val="left" w:pos="199"/>
              </w:tabs>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Карта планируемого размещения объектов местного значения городского округа, относящихся к областям газоснабжения и теплоснабжения</w:t>
            </w:r>
          </w:p>
        </w:tc>
        <w:tc>
          <w:tcPr>
            <w:tcW w:w="17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AD84C03" w14:textId="77777777" w:rsidR="00171AA8" w:rsidRPr="00731FE2" w:rsidRDefault="007935AB">
            <w:pPr>
              <w:pBdr>
                <w:top w:val="none" w:sz="4" w:space="0" w:color="000000"/>
                <w:left w:val="none" w:sz="4" w:space="0" w:color="000000"/>
                <w:bottom w:val="none" w:sz="4" w:space="0" w:color="000000"/>
                <w:right w:val="none" w:sz="4" w:space="0" w:color="000000"/>
              </w:pBdr>
              <w:tabs>
                <w:tab w:val="left" w:pos="199"/>
              </w:tabs>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1:20 000</w:t>
            </w:r>
          </w:p>
        </w:tc>
      </w:tr>
      <w:tr w:rsidR="00171AA8" w:rsidRPr="00731FE2" w14:paraId="5DD83E92" w14:textId="77777777" w:rsidTr="00F50D2A">
        <w:tc>
          <w:tcPr>
            <w:tcW w:w="16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E9BF6E2" w14:textId="77777777" w:rsidR="00171AA8" w:rsidRPr="00731FE2" w:rsidRDefault="007935AB">
            <w:pPr>
              <w:pBdr>
                <w:top w:val="none" w:sz="4" w:space="0" w:color="000000"/>
                <w:left w:val="none" w:sz="4" w:space="0" w:color="000000"/>
                <w:bottom w:val="none" w:sz="4" w:space="0" w:color="000000"/>
                <w:right w:val="none" w:sz="4" w:space="0" w:color="000000"/>
              </w:pBdr>
              <w:tabs>
                <w:tab w:val="left" w:pos="199"/>
              </w:tabs>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ГЧ – 5</w:t>
            </w:r>
          </w:p>
        </w:tc>
        <w:tc>
          <w:tcPr>
            <w:tcW w:w="59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05B2B98" w14:textId="77777777" w:rsidR="00171AA8" w:rsidRPr="00731FE2" w:rsidRDefault="007935AB">
            <w:pPr>
              <w:pBdr>
                <w:top w:val="none" w:sz="4" w:space="0" w:color="000000"/>
                <w:left w:val="none" w:sz="4" w:space="0" w:color="000000"/>
                <w:bottom w:val="none" w:sz="4" w:space="0" w:color="000000"/>
                <w:right w:val="none" w:sz="4" w:space="0" w:color="000000"/>
              </w:pBdr>
              <w:tabs>
                <w:tab w:val="left" w:pos="199"/>
              </w:tabs>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Карта планируемого размещения объектов местного значения городского округа, относящихся к областям энергоснабжения и связи</w:t>
            </w:r>
          </w:p>
        </w:tc>
        <w:tc>
          <w:tcPr>
            <w:tcW w:w="17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4A44AD8" w14:textId="77777777" w:rsidR="00171AA8" w:rsidRPr="00731FE2" w:rsidRDefault="007935AB">
            <w:pPr>
              <w:pBdr>
                <w:top w:val="none" w:sz="4" w:space="0" w:color="000000"/>
                <w:left w:val="none" w:sz="4" w:space="0" w:color="000000"/>
                <w:bottom w:val="none" w:sz="4" w:space="0" w:color="000000"/>
                <w:right w:val="none" w:sz="4" w:space="0" w:color="000000"/>
              </w:pBdr>
              <w:tabs>
                <w:tab w:val="left" w:pos="199"/>
              </w:tabs>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1:20 000</w:t>
            </w:r>
          </w:p>
        </w:tc>
      </w:tr>
      <w:tr w:rsidR="00171AA8" w:rsidRPr="00731FE2" w14:paraId="151B10FE" w14:textId="77777777" w:rsidTr="00F50D2A">
        <w:tc>
          <w:tcPr>
            <w:tcW w:w="16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BE55BDA" w14:textId="77777777" w:rsidR="00171AA8" w:rsidRPr="00731FE2" w:rsidRDefault="007935AB">
            <w:pPr>
              <w:pBdr>
                <w:top w:val="none" w:sz="4" w:space="0" w:color="000000"/>
                <w:left w:val="none" w:sz="4" w:space="0" w:color="000000"/>
                <w:bottom w:val="none" w:sz="4" w:space="0" w:color="000000"/>
                <w:right w:val="none" w:sz="4" w:space="0" w:color="000000"/>
              </w:pBdr>
              <w:tabs>
                <w:tab w:val="left" w:pos="199"/>
              </w:tabs>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ГЧ – 6</w:t>
            </w:r>
          </w:p>
        </w:tc>
        <w:tc>
          <w:tcPr>
            <w:tcW w:w="59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9019ADB" w14:textId="77777777" w:rsidR="00171AA8" w:rsidRPr="00731FE2" w:rsidRDefault="007935AB">
            <w:pPr>
              <w:pBdr>
                <w:top w:val="none" w:sz="4" w:space="0" w:color="000000"/>
                <w:left w:val="none" w:sz="4" w:space="0" w:color="000000"/>
                <w:bottom w:val="none" w:sz="4" w:space="0" w:color="000000"/>
                <w:right w:val="none" w:sz="4" w:space="0" w:color="000000"/>
              </w:pBdr>
              <w:tabs>
                <w:tab w:val="left" w:pos="199"/>
              </w:tabs>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Карта планируемого размещения объектов местного значения городского округа, относящихся к областям водоснабжения и водоотведения</w:t>
            </w:r>
          </w:p>
        </w:tc>
        <w:tc>
          <w:tcPr>
            <w:tcW w:w="17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D9E832D" w14:textId="77777777" w:rsidR="00171AA8" w:rsidRPr="00731FE2" w:rsidRDefault="007935AB">
            <w:pPr>
              <w:pBdr>
                <w:top w:val="none" w:sz="4" w:space="0" w:color="000000"/>
                <w:left w:val="none" w:sz="4" w:space="0" w:color="000000"/>
                <w:bottom w:val="none" w:sz="4" w:space="0" w:color="000000"/>
                <w:right w:val="none" w:sz="4" w:space="0" w:color="000000"/>
              </w:pBdr>
              <w:tabs>
                <w:tab w:val="left" w:pos="199"/>
              </w:tabs>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1:20 000</w:t>
            </w:r>
          </w:p>
        </w:tc>
      </w:tr>
      <w:tr w:rsidR="00171AA8" w:rsidRPr="00731FE2" w14:paraId="5A4F1B2E" w14:textId="77777777" w:rsidTr="00F50D2A">
        <w:tc>
          <w:tcPr>
            <w:tcW w:w="16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A67AA3A" w14:textId="77777777" w:rsidR="00171AA8" w:rsidRPr="00731FE2" w:rsidRDefault="007935AB">
            <w:pPr>
              <w:pBdr>
                <w:top w:val="none" w:sz="4" w:space="0" w:color="000000"/>
                <w:left w:val="none" w:sz="4" w:space="0" w:color="000000"/>
                <w:bottom w:val="none" w:sz="4" w:space="0" w:color="000000"/>
                <w:right w:val="none" w:sz="4" w:space="0" w:color="000000"/>
              </w:pBdr>
              <w:tabs>
                <w:tab w:val="left" w:pos="199"/>
              </w:tabs>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ГЧ – 7</w:t>
            </w:r>
          </w:p>
        </w:tc>
        <w:tc>
          <w:tcPr>
            <w:tcW w:w="59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5FA57A1" w14:textId="77777777" w:rsidR="00171AA8" w:rsidRPr="00731FE2" w:rsidRDefault="007935AB">
            <w:pPr>
              <w:pBdr>
                <w:top w:val="none" w:sz="4" w:space="0" w:color="000000"/>
                <w:left w:val="none" w:sz="4" w:space="0" w:color="000000"/>
                <w:bottom w:val="none" w:sz="4" w:space="0" w:color="000000"/>
                <w:right w:val="none" w:sz="4" w:space="0" w:color="000000"/>
              </w:pBdr>
              <w:tabs>
                <w:tab w:val="left" w:pos="199"/>
              </w:tabs>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Карта планируемого размещения объектов местного значения городского округа, относящихся к областям образования, здравоохранения и культуры</w:t>
            </w:r>
          </w:p>
        </w:tc>
        <w:tc>
          <w:tcPr>
            <w:tcW w:w="17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00065D2" w14:textId="77777777" w:rsidR="00171AA8" w:rsidRPr="00731FE2" w:rsidRDefault="007935AB">
            <w:pPr>
              <w:pBdr>
                <w:top w:val="none" w:sz="4" w:space="0" w:color="000000"/>
                <w:left w:val="none" w:sz="4" w:space="0" w:color="000000"/>
                <w:bottom w:val="none" w:sz="4" w:space="0" w:color="000000"/>
                <w:right w:val="none" w:sz="4" w:space="0" w:color="000000"/>
              </w:pBdr>
              <w:tabs>
                <w:tab w:val="left" w:pos="199"/>
              </w:tabs>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1:20 000</w:t>
            </w:r>
          </w:p>
        </w:tc>
      </w:tr>
      <w:tr w:rsidR="00171AA8" w:rsidRPr="00731FE2" w14:paraId="01663117" w14:textId="77777777" w:rsidTr="00F50D2A">
        <w:tc>
          <w:tcPr>
            <w:tcW w:w="16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7D29126" w14:textId="77777777" w:rsidR="00171AA8" w:rsidRPr="00731FE2" w:rsidRDefault="007935AB">
            <w:pPr>
              <w:pBdr>
                <w:top w:val="none" w:sz="4" w:space="0" w:color="000000"/>
                <w:left w:val="none" w:sz="4" w:space="0" w:color="000000"/>
                <w:bottom w:val="none" w:sz="4" w:space="0" w:color="000000"/>
                <w:right w:val="none" w:sz="4" w:space="0" w:color="000000"/>
              </w:pBdr>
              <w:tabs>
                <w:tab w:val="left" w:pos="199"/>
              </w:tabs>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ГЧ – 8</w:t>
            </w:r>
          </w:p>
        </w:tc>
        <w:tc>
          <w:tcPr>
            <w:tcW w:w="59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41725B0" w14:textId="77777777" w:rsidR="00171AA8" w:rsidRPr="00731FE2" w:rsidRDefault="007935AB">
            <w:pPr>
              <w:pBdr>
                <w:top w:val="none" w:sz="4" w:space="0" w:color="000000"/>
                <w:left w:val="none" w:sz="4" w:space="0" w:color="000000"/>
                <w:bottom w:val="none" w:sz="4" w:space="0" w:color="000000"/>
                <w:right w:val="none" w:sz="4" w:space="0" w:color="000000"/>
              </w:pBdr>
              <w:tabs>
                <w:tab w:val="left" w:pos="199"/>
              </w:tabs>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Карта планируемого размещения объектов местного значения городского округа в области туризма, рекреации, санаторно-курортного комплекса, физической культуры и спорта</w:t>
            </w:r>
          </w:p>
        </w:tc>
        <w:tc>
          <w:tcPr>
            <w:tcW w:w="17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70DA456" w14:textId="77777777" w:rsidR="00171AA8" w:rsidRPr="00731FE2" w:rsidRDefault="007935AB">
            <w:pPr>
              <w:pBdr>
                <w:top w:val="none" w:sz="4" w:space="0" w:color="000000"/>
                <w:left w:val="none" w:sz="4" w:space="0" w:color="000000"/>
                <w:bottom w:val="none" w:sz="4" w:space="0" w:color="000000"/>
                <w:right w:val="none" w:sz="4" w:space="0" w:color="000000"/>
              </w:pBdr>
              <w:tabs>
                <w:tab w:val="left" w:pos="199"/>
              </w:tabs>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1:20 000</w:t>
            </w:r>
          </w:p>
        </w:tc>
      </w:tr>
      <w:tr w:rsidR="00F50D2A" w:rsidRPr="00731FE2" w14:paraId="6363B5F9" w14:textId="77777777" w:rsidTr="00F50D2A">
        <w:trPr>
          <w:trHeight w:val="691"/>
        </w:trPr>
        <w:tc>
          <w:tcPr>
            <w:tcW w:w="16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4D724FE" w14:textId="04EC500B" w:rsidR="00F50D2A" w:rsidRPr="00731FE2" w:rsidRDefault="00F50D2A" w:rsidP="00F50D2A">
            <w:pPr>
              <w:pBdr>
                <w:top w:val="none" w:sz="4" w:space="0" w:color="000000"/>
                <w:left w:val="none" w:sz="4" w:space="0" w:color="000000"/>
                <w:bottom w:val="none" w:sz="4" w:space="0" w:color="000000"/>
                <w:right w:val="none" w:sz="4" w:space="0" w:color="000000"/>
              </w:pBdr>
              <w:tabs>
                <w:tab w:val="left" w:pos="199"/>
              </w:tabs>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 xml:space="preserve">ГЧ – </w:t>
            </w:r>
            <w:r w:rsidR="00824EC7" w:rsidRPr="00731FE2">
              <w:rPr>
                <w:rFonts w:ascii="Times New Roman" w:eastAsia="Times New Roman" w:hAnsi="Times New Roman" w:cs="Times New Roman"/>
                <w:color w:val="000000"/>
                <w:sz w:val="22"/>
              </w:rPr>
              <w:t>9</w:t>
            </w:r>
          </w:p>
        </w:tc>
        <w:tc>
          <w:tcPr>
            <w:tcW w:w="59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CB302B0" w14:textId="2126C0E2" w:rsidR="00F50D2A" w:rsidRPr="00731FE2" w:rsidRDefault="00F50D2A" w:rsidP="00F50D2A">
            <w:pPr>
              <w:pBdr>
                <w:top w:val="none" w:sz="4" w:space="0" w:color="000000"/>
                <w:left w:val="none" w:sz="4" w:space="0" w:color="000000"/>
                <w:bottom w:val="none" w:sz="4" w:space="0" w:color="000000"/>
                <w:right w:val="none" w:sz="4" w:space="0" w:color="000000"/>
              </w:pBdr>
              <w:tabs>
                <w:tab w:val="left" w:pos="199"/>
              </w:tabs>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Карта планируемого размещения объектов местного значения городского округа</w:t>
            </w:r>
          </w:p>
        </w:tc>
        <w:tc>
          <w:tcPr>
            <w:tcW w:w="17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A7AC851" w14:textId="7AD5D2B5" w:rsidR="00F50D2A" w:rsidRPr="00731FE2" w:rsidRDefault="00F50D2A" w:rsidP="00F50D2A">
            <w:pPr>
              <w:pBdr>
                <w:top w:val="none" w:sz="4" w:space="0" w:color="000000"/>
                <w:left w:val="none" w:sz="4" w:space="0" w:color="000000"/>
                <w:bottom w:val="none" w:sz="4" w:space="0" w:color="000000"/>
                <w:right w:val="none" w:sz="4" w:space="0" w:color="000000"/>
              </w:pBdr>
              <w:tabs>
                <w:tab w:val="left" w:pos="199"/>
              </w:tabs>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1:20 000</w:t>
            </w:r>
          </w:p>
        </w:tc>
      </w:tr>
      <w:tr w:rsidR="00F50D2A" w:rsidRPr="00731FE2" w14:paraId="43F64446" w14:textId="77777777" w:rsidTr="00F50D2A">
        <w:tc>
          <w:tcPr>
            <w:tcW w:w="16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674B25F" w14:textId="77777777" w:rsidR="00F50D2A" w:rsidRPr="00731FE2" w:rsidRDefault="00F50D2A" w:rsidP="00F50D2A">
            <w:pPr>
              <w:pBdr>
                <w:top w:val="none" w:sz="4" w:space="0" w:color="000000"/>
                <w:left w:val="none" w:sz="4" w:space="0" w:color="000000"/>
                <w:bottom w:val="none" w:sz="4" w:space="0" w:color="000000"/>
                <w:right w:val="none" w:sz="4" w:space="0" w:color="000000"/>
              </w:pBdr>
              <w:tabs>
                <w:tab w:val="left" w:pos="199"/>
              </w:tabs>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 </w:t>
            </w:r>
          </w:p>
        </w:tc>
        <w:tc>
          <w:tcPr>
            <w:tcW w:w="59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5EBDF5F" w14:textId="77777777" w:rsidR="00F50D2A" w:rsidRPr="00731FE2" w:rsidRDefault="00F50D2A" w:rsidP="00F50D2A">
            <w:pPr>
              <w:pBdr>
                <w:top w:val="none" w:sz="4" w:space="0" w:color="000000"/>
                <w:left w:val="none" w:sz="4" w:space="0" w:color="000000"/>
                <w:bottom w:val="none" w:sz="4" w:space="0" w:color="000000"/>
                <w:right w:val="none" w:sz="4" w:space="0" w:color="000000"/>
              </w:pBdr>
              <w:tabs>
                <w:tab w:val="left" w:pos="199"/>
              </w:tabs>
              <w:ind w:firstLine="0"/>
              <w:rPr>
                <w:rFonts w:ascii="Times New Roman" w:eastAsia="Times New Roman" w:hAnsi="Times New Roman" w:cs="Times New Roman"/>
                <w:b/>
                <w:bCs/>
                <w:color w:val="000000"/>
                <w:sz w:val="22"/>
              </w:rPr>
            </w:pPr>
            <w:r w:rsidRPr="00731FE2">
              <w:rPr>
                <w:rFonts w:ascii="Times New Roman" w:eastAsia="Times New Roman" w:hAnsi="Times New Roman" w:cs="Times New Roman"/>
                <w:b/>
                <w:bCs/>
                <w:color w:val="000000"/>
                <w:sz w:val="22"/>
              </w:rPr>
              <w:t>Материалы по обоснованию</w:t>
            </w:r>
          </w:p>
        </w:tc>
        <w:tc>
          <w:tcPr>
            <w:tcW w:w="17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E518D3" w14:textId="77777777" w:rsidR="00F50D2A" w:rsidRPr="00731FE2" w:rsidRDefault="00F50D2A" w:rsidP="00F50D2A">
            <w:pPr>
              <w:pBdr>
                <w:top w:val="none" w:sz="4" w:space="0" w:color="000000"/>
                <w:left w:val="none" w:sz="4" w:space="0" w:color="000000"/>
                <w:bottom w:val="none" w:sz="4" w:space="0" w:color="000000"/>
                <w:right w:val="none" w:sz="4" w:space="0" w:color="000000"/>
              </w:pBdr>
              <w:tabs>
                <w:tab w:val="left" w:pos="199"/>
              </w:tabs>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 </w:t>
            </w:r>
          </w:p>
        </w:tc>
      </w:tr>
      <w:tr w:rsidR="00F50D2A" w:rsidRPr="00731FE2" w14:paraId="1E72B0FB" w14:textId="77777777" w:rsidTr="00F50D2A">
        <w:trPr>
          <w:trHeight w:val="687"/>
        </w:trPr>
        <w:tc>
          <w:tcPr>
            <w:tcW w:w="16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9A6014D" w14:textId="16E68475" w:rsidR="00F50D2A" w:rsidRPr="00731FE2" w:rsidRDefault="00F50D2A" w:rsidP="00F50D2A">
            <w:pPr>
              <w:pBdr>
                <w:top w:val="none" w:sz="4" w:space="0" w:color="000000"/>
                <w:left w:val="none" w:sz="4" w:space="0" w:color="000000"/>
                <w:bottom w:val="none" w:sz="4" w:space="0" w:color="000000"/>
                <w:right w:val="none" w:sz="4" w:space="0" w:color="000000"/>
              </w:pBdr>
              <w:tabs>
                <w:tab w:val="left" w:pos="199"/>
              </w:tabs>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ГЧ – 1</w:t>
            </w:r>
            <w:r w:rsidR="00824EC7" w:rsidRPr="00731FE2">
              <w:rPr>
                <w:rFonts w:ascii="Times New Roman" w:eastAsia="Times New Roman" w:hAnsi="Times New Roman" w:cs="Times New Roman"/>
                <w:color w:val="000000"/>
                <w:sz w:val="22"/>
              </w:rPr>
              <w:t>0</w:t>
            </w:r>
          </w:p>
        </w:tc>
        <w:tc>
          <w:tcPr>
            <w:tcW w:w="59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08CD8F0" w14:textId="77777777" w:rsidR="00F50D2A" w:rsidRPr="00731FE2" w:rsidRDefault="00F50D2A" w:rsidP="00F50D2A">
            <w:pPr>
              <w:pBdr>
                <w:top w:val="none" w:sz="4" w:space="0" w:color="000000"/>
                <w:left w:val="none" w:sz="4" w:space="0" w:color="000000"/>
                <w:bottom w:val="none" w:sz="4" w:space="0" w:color="000000"/>
                <w:right w:val="none" w:sz="4" w:space="0" w:color="000000"/>
              </w:pBdr>
              <w:tabs>
                <w:tab w:val="left" w:pos="199"/>
              </w:tabs>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Карта современного состояния и использования территории городского округа (опорный план)</w:t>
            </w:r>
          </w:p>
        </w:tc>
        <w:tc>
          <w:tcPr>
            <w:tcW w:w="17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66B5397" w14:textId="77777777" w:rsidR="00F50D2A" w:rsidRPr="00731FE2" w:rsidRDefault="00F50D2A" w:rsidP="00F50D2A">
            <w:pPr>
              <w:pBdr>
                <w:top w:val="none" w:sz="4" w:space="0" w:color="000000"/>
                <w:left w:val="none" w:sz="4" w:space="0" w:color="000000"/>
                <w:bottom w:val="none" w:sz="4" w:space="0" w:color="000000"/>
                <w:right w:val="none" w:sz="4" w:space="0" w:color="000000"/>
              </w:pBdr>
              <w:tabs>
                <w:tab w:val="left" w:pos="199"/>
              </w:tabs>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1:20 000</w:t>
            </w:r>
          </w:p>
        </w:tc>
      </w:tr>
      <w:tr w:rsidR="00F50D2A" w:rsidRPr="00731FE2" w14:paraId="22648E4C" w14:textId="77777777" w:rsidTr="00F50D2A">
        <w:trPr>
          <w:trHeight w:val="687"/>
        </w:trPr>
        <w:tc>
          <w:tcPr>
            <w:tcW w:w="16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0FC60F4" w14:textId="19BA7257" w:rsidR="00F50D2A" w:rsidRPr="00731FE2" w:rsidRDefault="00F50D2A" w:rsidP="00F50D2A">
            <w:pPr>
              <w:pBdr>
                <w:top w:val="none" w:sz="4" w:space="0" w:color="000000"/>
                <w:left w:val="none" w:sz="4" w:space="0" w:color="000000"/>
                <w:bottom w:val="none" w:sz="4" w:space="0" w:color="000000"/>
                <w:right w:val="none" w:sz="4" w:space="0" w:color="000000"/>
              </w:pBdr>
              <w:tabs>
                <w:tab w:val="left" w:pos="199"/>
              </w:tabs>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ГЧ – 1</w:t>
            </w:r>
            <w:r w:rsidR="00824EC7" w:rsidRPr="00731FE2">
              <w:rPr>
                <w:rFonts w:ascii="Times New Roman" w:eastAsia="Times New Roman" w:hAnsi="Times New Roman" w:cs="Times New Roman"/>
                <w:color w:val="000000"/>
                <w:sz w:val="22"/>
              </w:rPr>
              <w:t>1</w:t>
            </w:r>
          </w:p>
        </w:tc>
        <w:tc>
          <w:tcPr>
            <w:tcW w:w="59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D204D53" w14:textId="77777777" w:rsidR="00F50D2A" w:rsidRPr="00731FE2" w:rsidRDefault="00F50D2A" w:rsidP="00F50D2A">
            <w:pPr>
              <w:pBdr>
                <w:top w:val="none" w:sz="4" w:space="0" w:color="000000"/>
                <w:left w:val="none" w:sz="4" w:space="0" w:color="000000"/>
                <w:bottom w:val="none" w:sz="4" w:space="0" w:color="000000"/>
                <w:right w:val="none" w:sz="4" w:space="0" w:color="000000"/>
              </w:pBdr>
              <w:tabs>
                <w:tab w:val="left" w:pos="199"/>
              </w:tabs>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Карта зон с особыми условиями использования территории городского округа</w:t>
            </w:r>
          </w:p>
        </w:tc>
        <w:tc>
          <w:tcPr>
            <w:tcW w:w="17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B435D71" w14:textId="77777777" w:rsidR="00F50D2A" w:rsidRPr="00731FE2" w:rsidRDefault="00F50D2A" w:rsidP="00F50D2A">
            <w:pPr>
              <w:pBdr>
                <w:top w:val="none" w:sz="4" w:space="0" w:color="000000"/>
                <w:left w:val="none" w:sz="4" w:space="0" w:color="000000"/>
                <w:bottom w:val="none" w:sz="4" w:space="0" w:color="000000"/>
                <w:right w:val="none" w:sz="4" w:space="0" w:color="000000"/>
              </w:pBdr>
              <w:tabs>
                <w:tab w:val="left" w:pos="199"/>
              </w:tabs>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1:20 000</w:t>
            </w:r>
          </w:p>
        </w:tc>
      </w:tr>
      <w:tr w:rsidR="00F50D2A" w:rsidRPr="00731FE2" w14:paraId="7B79C420" w14:textId="77777777" w:rsidTr="00F50D2A">
        <w:trPr>
          <w:trHeight w:val="687"/>
        </w:trPr>
        <w:tc>
          <w:tcPr>
            <w:tcW w:w="16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6B3AFB6" w14:textId="2D94DBD6" w:rsidR="00F50D2A" w:rsidRPr="00731FE2" w:rsidRDefault="00F50D2A" w:rsidP="00F50D2A">
            <w:pPr>
              <w:pBdr>
                <w:top w:val="none" w:sz="4" w:space="0" w:color="000000"/>
                <w:left w:val="none" w:sz="4" w:space="0" w:color="000000"/>
                <w:bottom w:val="none" w:sz="4" w:space="0" w:color="000000"/>
                <w:right w:val="none" w:sz="4" w:space="0" w:color="000000"/>
              </w:pBdr>
              <w:tabs>
                <w:tab w:val="left" w:pos="199"/>
              </w:tabs>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ГЧ – 1</w:t>
            </w:r>
            <w:r w:rsidR="00824EC7" w:rsidRPr="00731FE2">
              <w:rPr>
                <w:rFonts w:ascii="Times New Roman" w:eastAsia="Times New Roman" w:hAnsi="Times New Roman" w:cs="Times New Roman"/>
                <w:color w:val="000000"/>
                <w:sz w:val="22"/>
              </w:rPr>
              <w:t>2</w:t>
            </w:r>
          </w:p>
        </w:tc>
        <w:tc>
          <w:tcPr>
            <w:tcW w:w="59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6689223" w14:textId="77777777" w:rsidR="00F50D2A" w:rsidRPr="00731FE2" w:rsidRDefault="00F50D2A" w:rsidP="00F50D2A">
            <w:pPr>
              <w:pBdr>
                <w:top w:val="none" w:sz="4" w:space="0" w:color="000000"/>
                <w:left w:val="none" w:sz="4" w:space="0" w:color="000000"/>
                <w:bottom w:val="none" w:sz="4" w:space="0" w:color="000000"/>
                <w:right w:val="none" w:sz="4" w:space="0" w:color="000000"/>
              </w:pBdr>
              <w:tabs>
                <w:tab w:val="left" w:pos="199"/>
              </w:tabs>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Карта объектов культурного наследия городского округа</w:t>
            </w:r>
          </w:p>
        </w:tc>
        <w:tc>
          <w:tcPr>
            <w:tcW w:w="17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4BB2B52" w14:textId="77777777" w:rsidR="00F50D2A" w:rsidRPr="00731FE2" w:rsidRDefault="00F50D2A" w:rsidP="00F50D2A">
            <w:pPr>
              <w:pBdr>
                <w:top w:val="none" w:sz="4" w:space="0" w:color="000000"/>
                <w:left w:val="none" w:sz="4" w:space="0" w:color="000000"/>
                <w:bottom w:val="none" w:sz="4" w:space="0" w:color="000000"/>
                <w:right w:val="none" w:sz="4" w:space="0" w:color="000000"/>
              </w:pBdr>
              <w:tabs>
                <w:tab w:val="left" w:pos="199"/>
              </w:tabs>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1:20 000</w:t>
            </w:r>
          </w:p>
        </w:tc>
      </w:tr>
      <w:tr w:rsidR="00F50D2A" w:rsidRPr="00731FE2" w14:paraId="09C8A24E" w14:textId="77777777" w:rsidTr="00F50D2A">
        <w:trPr>
          <w:trHeight w:val="687"/>
        </w:trPr>
        <w:tc>
          <w:tcPr>
            <w:tcW w:w="16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965E994" w14:textId="37B21126" w:rsidR="00F50D2A" w:rsidRPr="00731FE2" w:rsidRDefault="00F50D2A" w:rsidP="00F50D2A">
            <w:pPr>
              <w:pBdr>
                <w:top w:val="none" w:sz="4" w:space="0" w:color="000000"/>
                <w:left w:val="none" w:sz="4" w:space="0" w:color="000000"/>
                <w:bottom w:val="none" w:sz="4" w:space="0" w:color="000000"/>
                <w:right w:val="none" w:sz="4" w:space="0" w:color="000000"/>
              </w:pBdr>
              <w:tabs>
                <w:tab w:val="left" w:pos="199"/>
              </w:tabs>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ГЧ – 1</w:t>
            </w:r>
            <w:r w:rsidR="00824EC7" w:rsidRPr="00731FE2">
              <w:rPr>
                <w:rFonts w:ascii="Times New Roman" w:eastAsia="Times New Roman" w:hAnsi="Times New Roman" w:cs="Times New Roman"/>
                <w:color w:val="000000"/>
                <w:sz w:val="22"/>
              </w:rPr>
              <w:t>3</w:t>
            </w:r>
          </w:p>
        </w:tc>
        <w:tc>
          <w:tcPr>
            <w:tcW w:w="59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5BE8040" w14:textId="77777777" w:rsidR="00F50D2A" w:rsidRPr="00731FE2" w:rsidRDefault="00F50D2A" w:rsidP="00F50D2A">
            <w:pPr>
              <w:pBdr>
                <w:top w:val="none" w:sz="4" w:space="0" w:color="000000"/>
                <w:left w:val="none" w:sz="4" w:space="0" w:color="000000"/>
                <w:bottom w:val="none" w:sz="4" w:space="0" w:color="000000"/>
                <w:right w:val="none" w:sz="4" w:space="0" w:color="000000"/>
              </w:pBdr>
              <w:tabs>
                <w:tab w:val="left" w:pos="199"/>
              </w:tabs>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 xml:space="preserve">Карта территорий городского округа, подверженных риску возникновения чрезвычайных ситуаций природного и техногенного характера </w:t>
            </w:r>
          </w:p>
        </w:tc>
        <w:tc>
          <w:tcPr>
            <w:tcW w:w="17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84AD48B" w14:textId="77777777" w:rsidR="00F50D2A" w:rsidRPr="00731FE2" w:rsidRDefault="00F50D2A" w:rsidP="00F50D2A">
            <w:pPr>
              <w:pBdr>
                <w:top w:val="none" w:sz="4" w:space="0" w:color="000000"/>
                <w:left w:val="none" w:sz="4" w:space="0" w:color="000000"/>
                <w:bottom w:val="none" w:sz="4" w:space="0" w:color="000000"/>
                <w:right w:val="none" w:sz="4" w:space="0" w:color="000000"/>
              </w:pBdr>
              <w:tabs>
                <w:tab w:val="left" w:pos="199"/>
              </w:tabs>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1:20 000</w:t>
            </w:r>
          </w:p>
        </w:tc>
      </w:tr>
      <w:tr w:rsidR="00F50D2A" w:rsidRPr="00731FE2" w14:paraId="583D57D0" w14:textId="77777777" w:rsidTr="00F50D2A">
        <w:trPr>
          <w:trHeight w:val="687"/>
        </w:trPr>
        <w:tc>
          <w:tcPr>
            <w:tcW w:w="16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1073A96" w14:textId="6CFD07B3" w:rsidR="00824EC7" w:rsidRPr="00731FE2" w:rsidRDefault="00F50D2A" w:rsidP="00F50D2A">
            <w:pPr>
              <w:pBdr>
                <w:top w:val="none" w:sz="4" w:space="0" w:color="000000"/>
                <w:left w:val="none" w:sz="4" w:space="0" w:color="000000"/>
                <w:bottom w:val="none" w:sz="4" w:space="0" w:color="000000"/>
                <w:right w:val="none" w:sz="4" w:space="0" w:color="000000"/>
              </w:pBdr>
              <w:tabs>
                <w:tab w:val="left" w:pos="199"/>
              </w:tabs>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ГЧ – 1</w:t>
            </w:r>
            <w:r w:rsidR="00824EC7" w:rsidRPr="00731FE2">
              <w:rPr>
                <w:rFonts w:ascii="Times New Roman" w:eastAsia="Times New Roman" w:hAnsi="Times New Roman" w:cs="Times New Roman"/>
                <w:color w:val="000000"/>
                <w:sz w:val="22"/>
              </w:rPr>
              <w:t>4</w:t>
            </w:r>
          </w:p>
        </w:tc>
        <w:tc>
          <w:tcPr>
            <w:tcW w:w="597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D5F8BCC" w14:textId="77777777" w:rsidR="00F50D2A" w:rsidRPr="00731FE2" w:rsidRDefault="00F50D2A" w:rsidP="00F50D2A">
            <w:pPr>
              <w:pBdr>
                <w:top w:val="none" w:sz="4" w:space="0" w:color="000000"/>
                <w:left w:val="none" w:sz="4" w:space="0" w:color="000000"/>
                <w:bottom w:val="none" w:sz="4" w:space="0" w:color="000000"/>
                <w:right w:val="none" w:sz="4" w:space="0" w:color="000000"/>
              </w:pBdr>
              <w:tabs>
                <w:tab w:val="left" w:pos="199"/>
              </w:tabs>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Карта границ земель лесного фонда городского округа</w:t>
            </w:r>
          </w:p>
        </w:tc>
        <w:tc>
          <w:tcPr>
            <w:tcW w:w="17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582DBF7" w14:textId="77777777" w:rsidR="00F50D2A" w:rsidRPr="00731FE2" w:rsidRDefault="00F50D2A" w:rsidP="00F50D2A">
            <w:pPr>
              <w:pBdr>
                <w:top w:val="none" w:sz="4" w:space="0" w:color="000000"/>
                <w:left w:val="none" w:sz="4" w:space="0" w:color="000000"/>
                <w:bottom w:val="none" w:sz="4" w:space="0" w:color="000000"/>
                <w:right w:val="none" w:sz="4" w:space="0" w:color="000000"/>
              </w:pBdr>
              <w:tabs>
                <w:tab w:val="left" w:pos="199"/>
              </w:tabs>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1:20 000</w:t>
            </w:r>
          </w:p>
        </w:tc>
      </w:tr>
    </w:tbl>
    <w:p w14:paraId="445EB289" w14:textId="39F04023" w:rsidR="00FA38A5" w:rsidRPr="00731FE2" w:rsidRDefault="00FA38A5">
      <w:r w:rsidRPr="00731FE2">
        <w:br w:type="page"/>
      </w:r>
    </w:p>
    <w:p w14:paraId="50D955EE" w14:textId="77777777" w:rsidR="00171AA8" w:rsidRPr="00731FE2" w:rsidRDefault="00171AA8"/>
    <w:p w14:paraId="7FF401CA" w14:textId="77777777" w:rsidR="00171AA8" w:rsidRPr="00731FE2" w:rsidRDefault="007935AB" w:rsidP="006B7AF5">
      <w:pPr>
        <w:pStyle w:val="13"/>
        <w:rPr>
          <w:rFonts w:ascii="Times New Roman" w:hAnsi="Times New Roman" w:cs="Times New Roman"/>
        </w:rPr>
      </w:pPr>
      <w:bookmarkStart w:id="2" w:name="_Toc177392758"/>
      <w:r w:rsidRPr="00731FE2">
        <w:rPr>
          <w:rFonts w:ascii="Times New Roman" w:hAnsi="Times New Roman" w:cs="Times New Roman"/>
        </w:rPr>
        <w:t>ТЕРМИНЫ И ОПРЕДЕЛЕНИЯ</w:t>
      </w:r>
      <w:bookmarkEnd w:id="2"/>
    </w:p>
    <w:p w14:paraId="4EF5A249" w14:textId="77777777" w:rsidR="006B7AF5" w:rsidRPr="00731FE2" w:rsidRDefault="006B7AF5" w:rsidP="006B7AF5">
      <w:pPr>
        <w:rPr>
          <w:rFonts w:ascii="Times New Roman" w:hAnsi="Times New Roman" w:cs="Times New Roman"/>
          <w:szCs w:val="24"/>
        </w:rPr>
      </w:pPr>
      <w:r w:rsidRPr="00731FE2">
        <w:rPr>
          <w:rFonts w:ascii="Times New Roman" w:hAnsi="Times New Roman" w:cs="Times New Roman"/>
          <w:b/>
          <w:szCs w:val="24"/>
        </w:rPr>
        <w:t xml:space="preserve">Агломерация </w:t>
      </w:r>
      <w:r w:rsidRPr="00731FE2">
        <w:rPr>
          <w:rFonts w:ascii="Times New Roman" w:hAnsi="Times New Roman" w:cs="Times New Roman"/>
          <w:szCs w:val="24"/>
        </w:rPr>
        <w:t>– совокупность близко расположенных или даже примыкающих населенных пунктов, связанных совместным использованием инфраструктурных объектов и объединенных интенсивными экономическими, в том числе трудовыми, и социальными связями.</w:t>
      </w:r>
    </w:p>
    <w:p w14:paraId="405FA6C2" w14:textId="77777777" w:rsidR="006B7AF5" w:rsidRPr="00731FE2" w:rsidRDefault="006B7AF5" w:rsidP="006B7AF5">
      <w:pPr>
        <w:rPr>
          <w:rFonts w:ascii="Times New Roman" w:hAnsi="Times New Roman" w:cs="Times New Roman"/>
          <w:szCs w:val="24"/>
        </w:rPr>
      </w:pPr>
      <w:proofErr w:type="gramStart"/>
      <w:r w:rsidRPr="00731FE2">
        <w:rPr>
          <w:rFonts w:ascii="Times New Roman" w:hAnsi="Times New Roman" w:cs="Times New Roman"/>
          <w:b/>
          <w:szCs w:val="24"/>
        </w:rPr>
        <w:t>Благоустройство территории</w:t>
      </w:r>
      <w:r w:rsidRPr="00731FE2">
        <w:rPr>
          <w:rFonts w:ascii="Times New Roman" w:hAnsi="Times New Roman" w:cs="Times New Roman"/>
          <w:szCs w:val="24"/>
        </w:rPr>
        <w:t xml:space="preserve"> – деятельность по реализации комплекса мероприятий, установленного правилами благоустройства территории муниципального образования, направленная на обеспечение и повышение комфортности условий проживания граждан, по поддержанию и улучшению санитарного и эстетического состояния территории муниципального образования, по содержанию территорий населенных пунктов и расположенных на таких территориях объектов, в том числе территорий общего пользования, земельных участков, зданий, строений, сооружений, прилегающих территорий.</w:t>
      </w:r>
      <w:proofErr w:type="gramEnd"/>
    </w:p>
    <w:p w14:paraId="308D2AF5" w14:textId="77777777" w:rsidR="006B7AF5" w:rsidRPr="00731FE2" w:rsidRDefault="006B7AF5" w:rsidP="006B7AF5">
      <w:pPr>
        <w:rPr>
          <w:rFonts w:ascii="Times New Roman" w:hAnsi="Times New Roman" w:cs="Times New Roman"/>
          <w:szCs w:val="24"/>
        </w:rPr>
      </w:pPr>
      <w:r w:rsidRPr="00731FE2">
        <w:rPr>
          <w:rFonts w:ascii="Times New Roman" w:hAnsi="Times New Roman" w:cs="Times New Roman"/>
          <w:b/>
          <w:szCs w:val="24"/>
        </w:rPr>
        <w:t>Воспроизводство населения</w:t>
      </w:r>
      <w:r w:rsidRPr="00731FE2">
        <w:rPr>
          <w:rFonts w:ascii="Times New Roman" w:hAnsi="Times New Roman" w:cs="Times New Roman"/>
          <w:szCs w:val="24"/>
        </w:rPr>
        <w:t xml:space="preserve"> – процесс непрерывного возобновления и смены людских поколений в результате естественного движения населения. </w:t>
      </w:r>
    </w:p>
    <w:p w14:paraId="32B5C19C" w14:textId="77777777" w:rsidR="006B7AF5" w:rsidRPr="00731FE2" w:rsidRDefault="006B7AF5" w:rsidP="006B7AF5">
      <w:pPr>
        <w:rPr>
          <w:rFonts w:ascii="Times New Roman" w:hAnsi="Times New Roman" w:cs="Times New Roman"/>
          <w:szCs w:val="24"/>
        </w:rPr>
      </w:pPr>
      <w:r w:rsidRPr="00731FE2">
        <w:rPr>
          <w:rFonts w:ascii="Times New Roman" w:hAnsi="Times New Roman" w:cs="Times New Roman"/>
          <w:b/>
          <w:szCs w:val="24"/>
        </w:rPr>
        <w:t>Градостроительная деятельность</w:t>
      </w:r>
      <w:r w:rsidRPr="00731FE2">
        <w:rPr>
          <w:rFonts w:ascii="Times New Roman" w:hAnsi="Times New Roman" w:cs="Times New Roman"/>
          <w:szCs w:val="24"/>
        </w:rPr>
        <w:t xml:space="preserve"> – деятельность по развитию территорий, в том числе городов и иных поселений, осуществляемая в виде территориального планирования, градостроительного зонирования, планировки территории, архитектурно-строительного проектирования, строительства, капитального ремонта, реконструкции объектов капитального строительства, эксплуатации зданий, сооружений, благоустройства территорий. </w:t>
      </w:r>
    </w:p>
    <w:p w14:paraId="01D157E4" w14:textId="77777777" w:rsidR="006B7AF5" w:rsidRPr="00731FE2" w:rsidRDefault="006B7AF5" w:rsidP="006B7AF5">
      <w:pPr>
        <w:rPr>
          <w:rFonts w:ascii="Times New Roman" w:hAnsi="Times New Roman" w:cs="Times New Roman"/>
          <w:szCs w:val="24"/>
        </w:rPr>
      </w:pPr>
      <w:proofErr w:type="gramStart"/>
      <w:r w:rsidRPr="00731FE2">
        <w:rPr>
          <w:rFonts w:ascii="Times New Roman" w:hAnsi="Times New Roman" w:cs="Times New Roman"/>
          <w:b/>
          <w:szCs w:val="24"/>
        </w:rPr>
        <w:t>Деятельность по комплексному и устойчивому развитию территории</w:t>
      </w:r>
      <w:r w:rsidRPr="00731FE2">
        <w:rPr>
          <w:rFonts w:ascii="Times New Roman" w:hAnsi="Times New Roman" w:cs="Times New Roman"/>
          <w:szCs w:val="24"/>
        </w:rPr>
        <w:t xml:space="preserve"> – осуществляемая в целях обеспечения наиболее эффективного использования территории деятельность по подготовке и утверждению документации по планировке территории для размещения объектов капитального строительства жилого, производственного, общественно-делового и иного назначения 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а также по архитектурно-строительному проектированию, строительству, реконструкции указанных в настоящем</w:t>
      </w:r>
      <w:proofErr w:type="gramEnd"/>
      <w:r w:rsidRPr="00731FE2">
        <w:rPr>
          <w:rFonts w:ascii="Times New Roman" w:hAnsi="Times New Roman" w:cs="Times New Roman"/>
          <w:szCs w:val="24"/>
        </w:rPr>
        <w:t xml:space="preserve"> </w:t>
      </w:r>
      <w:proofErr w:type="gramStart"/>
      <w:r w:rsidRPr="00731FE2">
        <w:rPr>
          <w:rFonts w:ascii="Times New Roman" w:hAnsi="Times New Roman" w:cs="Times New Roman"/>
          <w:szCs w:val="24"/>
        </w:rPr>
        <w:t>пункте</w:t>
      </w:r>
      <w:proofErr w:type="gramEnd"/>
      <w:r w:rsidRPr="00731FE2">
        <w:rPr>
          <w:rFonts w:ascii="Times New Roman" w:hAnsi="Times New Roman" w:cs="Times New Roman"/>
          <w:szCs w:val="24"/>
        </w:rPr>
        <w:t xml:space="preserve"> объектов.</w:t>
      </w:r>
    </w:p>
    <w:p w14:paraId="57256D9D" w14:textId="77777777" w:rsidR="006B7AF5" w:rsidRPr="00731FE2" w:rsidRDefault="006B7AF5" w:rsidP="006B7AF5">
      <w:pPr>
        <w:rPr>
          <w:rFonts w:ascii="Times New Roman" w:hAnsi="Times New Roman" w:cs="Times New Roman"/>
          <w:szCs w:val="24"/>
        </w:rPr>
      </w:pPr>
      <w:r w:rsidRPr="00731FE2">
        <w:rPr>
          <w:rFonts w:ascii="Times New Roman" w:hAnsi="Times New Roman" w:cs="Times New Roman"/>
          <w:b/>
          <w:szCs w:val="24"/>
        </w:rPr>
        <w:t>Естественное движение населения</w:t>
      </w:r>
      <w:r w:rsidRPr="00731FE2">
        <w:rPr>
          <w:rFonts w:ascii="Times New Roman" w:hAnsi="Times New Roman" w:cs="Times New Roman"/>
          <w:szCs w:val="24"/>
        </w:rPr>
        <w:t xml:space="preserve"> – совокупность процессов рождаемости и смертности, приводящих к приросту (убыли) населения, и обеспечивающих непрерывное возобновление и смену людских поколений.</w:t>
      </w:r>
    </w:p>
    <w:p w14:paraId="51EB0B2F" w14:textId="77777777" w:rsidR="006B7AF5" w:rsidRPr="00731FE2" w:rsidRDefault="006B7AF5" w:rsidP="006B7AF5">
      <w:pPr>
        <w:rPr>
          <w:rFonts w:ascii="Times New Roman" w:hAnsi="Times New Roman" w:cs="Times New Roman"/>
          <w:szCs w:val="24"/>
        </w:rPr>
      </w:pPr>
      <w:r w:rsidRPr="00731FE2">
        <w:rPr>
          <w:rFonts w:ascii="Times New Roman" w:hAnsi="Times New Roman" w:cs="Times New Roman"/>
          <w:b/>
          <w:szCs w:val="24"/>
        </w:rPr>
        <w:t>Земельные ресурсы</w:t>
      </w:r>
      <w:r w:rsidRPr="00731FE2">
        <w:rPr>
          <w:rFonts w:ascii="Times New Roman" w:hAnsi="Times New Roman" w:cs="Times New Roman"/>
          <w:szCs w:val="24"/>
        </w:rPr>
        <w:t xml:space="preserve"> – земли, которые используются или могут быть использованы в отраслях народного хозяйства.</w:t>
      </w:r>
    </w:p>
    <w:p w14:paraId="4118F12D" w14:textId="77777777" w:rsidR="006B7AF5" w:rsidRPr="00731FE2" w:rsidRDefault="006B7AF5" w:rsidP="006B7AF5">
      <w:pPr>
        <w:rPr>
          <w:rFonts w:ascii="Times New Roman" w:hAnsi="Times New Roman" w:cs="Times New Roman"/>
          <w:szCs w:val="24"/>
        </w:rPr>
      </w:pPr>
      <w:r w:rsidRPr="00731FE2">
        <w:rPr>
          <w:rFonts w:ascii="Times New Roman" w:hAnsi="Times New Roman" w:cs="Times New Roman"/>
          <w:b/>
          <w:szCs w:val="24"/>
        </w:rPr>
        <w:t>Земельные угодья</w:t>
      </w:r>
      <w:r w:rsidRPr="00731FE2">
        <w:rPr>
          <w:rFonts w:ascii="Times New Roman" w:hAnsi="Times New Roman" w:cs="Times New Roman"/>
          <w:szCs w:val="24"/>
        </w:rPr>
        <w:t xml:space="preserve"> – земли, систематически используемые или пригодные к использованию для конкретных хозяйственных целей и отличающиеся по природно-историческим признакам.</w:t>
      </w:r>
    </w:p>
    <w:p w14:paraId="74E922C9" w14:textId="77777777" w:rsidR="006B7AF5" w:rsidRPr="00731FE2" w:rsidRDefault="006B7AF5" w:rsidP="006B7AF5">
      <w:pPr>
        <w:rPr>
          <w:rFonts w:ascii="Times New Roman" w:hAnsi="Times New Roman" w:cs="Times New Roman"/>
          <w:szCs w:val="24"/>
        </w:rPr>
      </w:pPr>
      <w:proofErr w:type="gramStart"/>
      <w:r w:rsidRPr="00731FE2">
        <w:rPr>
          <w:rFonts w:ascii="Times New Roman" w:hAnsi="Times New Roman" w:cs="Times New Roman"/>
          <w:b/>
          <w:szCs w:val="24"/>
        </w:rPr>
        <w:t>Зоны с особыми условиями использования территорий</w:t>
      </w:r>
      <w:r w:rsidRPr="00731FE2">
        <w:rPr>
          <w:rFonts w:ascii="Times New Roman" w:hAnsi="Times New Roman" w:cs="Times New Roman"/>
          <w:szCs w:val="24"/>
        </w:rPr>
        <w:t xml:space="preserve"> – охранные, санитарно-защитные зоны, зоны охраны объектов культурного наследия (памятников истории и культуры) народов Российской Федерации, защитные зоны объектов культурного наследия, водоохранные зоны, зоны затопления, подтопления, зоны санитарной охраны источников питьевого и хозяйственно-бытового водоснабжения, зоны охраняемых объектов, приаэродромная территория, иные зоны, устанавливаемые в соответствии с законодательством Российской Федерации.</w:t>
      </w:r>
      <w:proofErr w:type="gramEnd"/>
    </w:p>
    <w:p w14:paraId="2EE87840" w14:textId="77777777" w:rsidR="006B7AF5" w:rsidRPr="00731FE2" w:rsidRDefault="006B7AF5" w:rsidP="006B7AF5">
      <w:pPr>
        <w:rPr>
          <w:rFonts w:ascii="Times New Roman" w:hAnsi="Times New Roman" w:cs="Times New Roman"/>
          <w:szCs w:val="24"/>
        </w:rPr>
      </w:pPr>
      <w:r w:rsidRPr="00731FE2">
        <w:rPr>
          <w:rFonts w:ascii="Times New Roman" w:hAnsi="Times New Roman" w:cs="Times New Roman"/>
          <w:b/>
          <w:szCs w:val="24"/>
        </w:rPr>
        <w:lastRenderedPageBreak/>
        <w:t>Инженерно-геологическое районирование</w:t>
      </w:r>
      <w:r w:rsidRPr="00731FE2">
        <w:rPr>
          <w:rFonts w:ascii="Times New Roman" w:hAnsi="Times New Roman" w:cs="Times New Roman"/>
          <w:szCs w:val="24"/>
        </w:rPr>
        <w:t xml:space="preserve"> – последовательное деление территории на соподчинённые части (единицы), характеризующиеся высокой степенью однородности по инженерно-геологическим условиям, в некоторых случаях с последующей классификацией выделенных единиц.</w:t>
      </w:r>
    </w:p>
    <w:p w14:paraId="2759F336" w14:textId="77777777" w:rsidR="006B7AF5" w:rsidRPr="00731FE2" w:rsidRDefault="006B7AF5" w:rsidP="006B7AF5">
      <w:pPr>
        <w:rPr>
          <w:rFonts w:ascii="Times New Roman" w:hAnsi="Times New Roman" w:cs="Times New Roman"/>
          <w:szCs w:val="24"/>
        </w:rPr>
      </w:pPr>
      <w:r w:rsidRPr="00731FE2">
        <w:rPr>
          <w:rFonts w:ascii="Times New Roman" w:hAnsi="Times New Roman" w:cs="Times New Roman"/>
          <w:b/>
          <w:szCs w:val="24"/>
        </w:rPr>
        <w:t>Инфраструктура</w:t>
      </w:r>
      <w:r w:rsidRPr="00731FE2">
        <w:rPr>
          <w:rFonts w:ascii="Times New Roman" w:hAnsi="Times New Roman" w:cs="Times New Roman"/>
          <w:szCs w:val="24"/>
        </w:rPr>
        <w:t xml:space="preserve"> – комплекс взаимосвязанных обслуживающих структур или объектов, составляющих и/или обеспечивающих основу функционирования системы.</w:t>
      </w:r>
    </w:p>
    <w:p w14:paraId="40D42ECA" w14:textId="77777777" w:rsidR="006B7AF5" w:rsidRPr="00731FE2" w:rsidRDefault="006B7AF5" w:rsidP="006B7AF5">
      <w:pPr>
        <w:rPr>
          <w:rFonts w:ascii="Times New Roman" w:hAnsi="Times New Roman" w:cs="Times New Roman"/>
          <w:szCs w:val="24"/>
        </w:rPr>
      </w:pPr>
      <w:r w:rsidRPr="00731FE2">
        <w:rPr>
          <w:rFonts w:ascii="Times New Roman" w:hAnsi="Times New Roman" w:cs="Times New Roman"/>
          <w:b/>
          <w:szCs w:val="24"/>
        </w:rPr>
        <w:t>Категория земель</w:t>
      </w:r>
      <w:r w:rsidRPr="00731FE2">
        <w:rPr>
          <w:rFonts w:ascii="Times New Roman" w:hAnsi="Times New Roman" w:cs="Times New Roman"/>
          <w:szCs w:val="24"/>
        </w:rPr>
        <w:t xml:space="preserve"> – Часть единого государственного земельного фонда, выделяемая по основному целевому назначению и имеющая определенный правовой режим.</w:t>
      </w:r>
    </w:p>
    <w:p w14:paraId="2713E2DC" w14:textId="77777777" w:rsidR="006B7AF5" w:rsidRPr="00731FE2" w:rsidRDefault="006B7AF5" w:rsidP="006B7AF5">
      <w:pPr>
        <w:rPr>
          <w:rFonts w:ascii="Times New Roman" w:hAnsi="Times New Roman" w:cs="Times New Roman"/>
          <w:szCs w:val="24"/>
        </w:rPr>
      </w:pPr>
      <w:r w:rsidRPr="00731FE2">
        <w:rPr>
          <w:rFonts w:ascii="Times New Roman" w:hAnsi="Times New Roman" w:cs="Times New Roman"/>
          <w:b/>
          <w:szCs w:val="24"/>
        </w:rPr>
        <w:t>Линейные объекты</w:t>
      </w:r>
      <w:r w:rsidRPr="00731FE2">
        <w:rPr>
          <w:rFonts w:ascii="Times New Roman" w:hAnsi="Times New Roman" w:cs="Times New Roman"/>
          <w:szCs w:val="24"/>
        </w:rPr>
        <w:t xml:space="preserve"> – линии электропередачи, линии связи (в том числе линейно-кабельные сооружения), трубопроводы, автомобильные дороги, железнодорожные линии и другие подобные сооружения.</w:t>
      </w:r>
    </w:p>
    <w:p w14:paraId="40F2E5D8" w14:textId="77777777" w:rsidR="006B7AF5" w:rsidRPr="00731FE2" w:rsidRDefault="006B7AF5" w:rsidP="006B7AF5">
      <w:pPr>
        <w:rPr>
          <w:rFonts w:ascii="Times New Roman" w:hAnsi="Times New Roman" w:cs="Times New Roman"/>
          <w:b/>
          <w:bCs/>
          <w:szCs w:val="24"/>
        </w:rPr>
      </w:pPr>
      <w:r w:rsidRPr="00731FE2">
        <w:rPr>
          <w:rFonts w:ascii="Times New Roman" w:hAnsi="Times New Roman" w:cs="Times New Roman"/>
          <w:b/>
          <w:szCs w:val="24"/>
        </w:rPr>
        <w:t>Муниципальное образование</w:t>
      </w:r>
      <w:r w:rsidRPr="00731FE2">
        <w:rPr>
          <w:rFonts w:ascii="Times New Roman" w:hAnsi="Times New Roman" w:cs="Times New Roman"/>
          <w:szCs w:val="24"/>
        </w:rPr>
        <w:t xml:space="preserve"> – городское или сельское поселение, муниципальный район, городской</w:t>
      </w:r>
      <w:r w:rsidRPr="00731FE2">
        <w:rPr>
          <w:rFonts w:ascii="Times New Roman" w:hAnsi="Times New Roman" w:cs="Times New Roman"/>
          <w:bCs/>
          <w:szCs w:val="24"/>
        </w:rPr>
        <w:t xml:space="preserve"> округ, городской округ с внутригородским делением, внутригородской район либо внутригородская территория города федерального значения.</w:t>
      </w:r>
    </w:p>
    <w:p w14:paraId="416853BB" w14:textId="77777777" w:rsidR="006B7AF5" w:rsidRPr="00731FE2" w:rsidRDefault="006B7AF5" w:rsidP="006B7AF5">
      <w:pPr>
        <w:rPr>
          <w:rFonts w:ascii="Times New Roman" w:hAnsi="Times New Roman" w:cs="Times New Roman"/>
          <w:b/>
          <w:szCs w:val="24"/>
        </w:rPr>
      </w:pPr>
      <w:proofErr w:type="gramStart"/>
      <w:r w:rsidRPr="00731FE2">
        <w:rPr>
          <w:rFonts w:ascii="Times New Roman" w:hAnsi="Times New Roman" w:cs="Times New Roman"/>
          <w:b/>
          <w:szCs w:val="24"/>
        </w:rPr>
        <w:t xml:space="preserve">Объекты местного значения </w:t>
      </w:r>
      <w:r w:rsidRPr="00731FE2">
        <w:rPr>
          <w:rFonts w:ascii="Times New Roman" w:hAnsi="Times New Roman" w:cs="Times New Roman"/>
          <w:szCs w:val="24"/>
        </w:rPr>
        <w:t>– объекты капитального строительства, иные объекты, территории, которые необходимы для осуществления органами местного самоуправления полномочий по вопросам местного значения и в пределах переданных государственных полномочий в соответствии с федеральными законами, законом субъекта Российской Федерации, уставами муниципальных образований и оказывают существенное влияние на социально-экономическое развитие муниципальных районов, поселений, городских округов.</w:t>
      </w:r>
      <w:proofErr w:type="gramEnd"/>
      <w:r w:rsidRPr="00731FE2">
        <w:rPr>
          <w:rFonts w:ascii="Times New Roman" w:hAnsi="Times New Roman" w:cs="Times New Roman"/>
          <w:szCs w:val="24"/>
        </w:rPr>
        <w:t xml:space="preserve"> </w:t>
      </w:r>
      <w:proofErr w:type="gramStart"/>
      <w:r w:rsidRPr="00731FE2">
        <w:rPr>
          <w:rFonts w:ascii="Times New Roman" w:hAnsi="Times New Roman" w:cs="Times New Roman"/>
          <w:szCs w:val="24"/>
        </w:rPr>
        <w:t>Виды объектов местного значения муниципального района, поселения, городского округа в указанных в пункте 1 части 3 статьи 19 и пункте 1 части 5 статьи 23 Градостроительного кодекса РФ областях, подлежащих отображению на схеме территориального планирования муниципального района, генеральном плане поселения, генеральном плане городского округа, определяются законом субъекта Российской Федерации.</w:t>
      </w:r>
      <w:proofErr w:type="gramEnd"/>
    </w:p>
    <w:p w14:paraId="5A60F29E" w14:textId="77777777" w:rsidR="006B7AF5" w:rsidRPr="00731FE2" w:rsidRDefault="006B7AF5" w:rsidP="006B7AF5">
      <w:pPr>
        <w:rPr>
          <w:rFonts w:ascii="Times New Roman" w:hAnsi="Times New Roman" w:cs="Times New Roman"/>
          <w:szCs w:val="24"/>
        </w:rPr>
      </w:pPr>
      <w:proofErr w:type="gramStart"/>
      <w:r w:rsidRPr="00731FE2">
        <w:rPr>
          <w:rFonts w:ascii="Times New Roman" w:hAnsi="Times New Roman" w:cs="Times New Roman"/>
          <w:b/>
          <w:szCs w:val="24"/>
        </w:rPr>
        <w:t xml:space="preserve">Объекты регионального значения </w:t>
      </w:r>
      <w:r w:rsidRPr="00731FE2">
        <w:rPr>
          <w:rFonts w:ascii="Times New Roman" w:hAnsi="Times New Roman" w:cs="Times New Roman"/>
          <w:szCs w:val="24"/>
        </w:rPr>
        <w:t>– объекты капитального строительства, иные объекты, территории, которые необходимы для осуществления полномочий по вопросам, отнесенным к ведению субъекта Российской Федерации, органов государственной власти субъекта Российской Федерации Конституцией Российской Федерации, федеральными конституционными законами, федеральными законами, конституцией (уставом) субъекта Российской Федерации, законами субъекта Российской Федерации, решениями высшего исполнительного органа государственной власти субъекта Российской Федерации, и оказывают существенное влияние на социально-экономическое</w:t>
      </w:r>
      <w:proofErr w:type="gramEnd"/>
      <w:r w:rsidRPr="00731FE2">
        <w:rPr>
          <w:rFonts w:ascii="Times New Roman" w:hAnsi="Times New Roman" w:cs="Times New Roman"/>
          <w:szCs w:val="24"/>
        </w:rPr>
        <w:t xml:space="preserve"> развитие субъекта Российской Федерации. </w:t>
      </w:r>
      <w:proofErr w:type="gramStart"/>
      <w:r w:rsidRPr="00731FE2">
        <w:rPr>
          <w:rFonts w:ascii="Times New Roman" w:hAnsi="Times New Roman" w:cs="Times New Roman"/>
          <w:szCs w:val="24"/>
        </w:rPr>
        <w:t>Виды объектов регионального значения в указанных в части 3 статьи 14 Градостроительного кодекса РФ областях, подлежащих отображению на схеме территориального планирования субъекта Российской Федерации, определяются законом субъекта Российской Федерации.</w:t>
      </w:r>
      <w:proofErr w:type="gramEnd"/>
    </w:p>
    <w:p w14:paraId="54486E64" w14:textId="77777777" w:rsidR="006B7AF5" w:rsidRPr="00731FE2" w:rsidRDefault="006B7AF5" w:rsidP="006B7AF5">
      <w:pPr>
        <w:rPr>
          <w:rFonts w:ascii="Times New Roman" w:hAnsi="Times New Roman" w:cs="Times New Roman"/>
          <w:b/>
          <w:szCs w:val="24"/>
        </w:rPr>
      </w:pPr>
      <w:proofErr w:type="gramStart"/>
      <w:r w:rsidRPr="00731FE2">
        <w:rPr>
          <w:rFonts w:ascii="Times New Roman" w:hAnsi="Times New Roman" w:cs="Times New Roman"/>
          <w:b/>
          <w:szCs w:val="24"/>
        </w:rPr>
        <w:t xml:space="preserve">Объекты федерального значения </w:t>
      </w:r>
      <w:r w:rsidRPr="00731FE2">
        <w:rPr>
          <w:rFonts w:ascii="Times New Roman" w:hAnsi="Times New Roman" w:cs="Times New Roman"/>
          <w:szCs w:val="24"/>
        </w:rPr>
        <w:t xml:space="preserve">– объекты капитального строительства, иные объекты, территории, которые необходимы для осуществления полномочий по вопросам, отнесенным к ведению Российской Федерации, органов государственной власти Российской Федерации Конституцией Российской Федерации, федеральными конституционными законами, федеральными законами, решениями Президента Российской Федерации, решениями Правительства Российской Федерации, и оказывают </w:t>
      </w:r>
      <w:r w:rsidRPr="00731FE2">
        <w:rPr>
          <w:rFonts w:ascii="Times New Roman" w:hAnsi="Times New Roman" w:cs="Times New Roman"/>
          <w:szCs w:val="24"/>
        </w:rPr>
        <w:lastRenderedPageBreak/>
        <w:t>существенное влияние на социально-экономическое развитие Российской Федерации.</w:t>
      </w:r>
      <w:proofErr w:type="gramEnd"/>
      <w:r w:rsidRPr="00731FE2">
        <w:rPr>
          <w:rFonts w:ascii="Times New Roman" w:hAnsi="Times New Roman" w:cs="Times New Roman"/>
          <w:szCs w:val="24"/>
        </w:rPr>
        <w:t xml:space="preserve"> </w:t>
      </w:r>
      <w:proofErr w:type="gramStart"/>
      <w:r w:rsidRPr="00731FE2">
        <w:rPr>
          <w:rFonts w:ascii="Times New Roman" w:hAnsi="Times New Roman" w:cs="Times New Roman"/>
          <w:szCs w:val="24"/>
        </w:rPr>
        <w:t>Виды объектов федерального значения, подлежащих отображению на схемах территориального планирования Российской Федерации в указанных в части 1 статьи 10 Градостроительного кодекса РФ областях, определяются Правительством Российской Федерации, за исключением объектов федерального значения в области обороны страны и безопасности государства.</w:t>
      </w:r>
      <w:proofErr w:type="gramEnd"/>
      <w:r w:rsidRPr="00731FE2">
        <w:rPr>
          <w:rFonts w:ascii="Times New Roman" w:hAnsi="Times New Roman" w:cs="Times New Roman"/>
          <w:szCs w:val="24"/>
        </w:rPr>
        <w:t xml:space="preserve"> Виды объектов федерального значения в области обороны страны и безопасности государства, подлежащих отображению на схемах территориального планирования Российской Федерации, определяются Президентом Российской Федерации.</w:t>
      </w:r>
    </w:p>
    <w:p w14:paraId="79BFC7BE" w14:textId="77777777" w:rsidR="006B7AF5" w:rsidRPr="00731FE2" w:rsidRDefault="006B7AF5" w:rsidP="006B7AF5">
      <w:pPr>
        <w:rPr>
          <w:rFonts w:ascii="Times New Roman" w:hAnsi="Times New Roman" w:cs="Times New Roman"/>
          <w:bCs/>
          <w:szCs w:val="24"/>
        </w:rPr>
      </w:pPr>
      <w:proofErr w:type="gramStart"/>
      <w:r w:rsidRPr="00731FE2">
        <w:rPr>
          <w:rFonts w:ascii="Times New Roman" w:hAnsi="Times New Roman" w:cs="Times New Roman"/>
          <w:b/>
          <w:szCs w:val="24"/>
        </w:rPr>
        <w:t xml:space="preserve">Особо охраняемые природные территории (ООПТ) </w:t>
      </w:r>
      <w:r w:rsidRPr="00731FE2">
        <w:rPr>
          <w:rFonts w:ascii="Times New Roman" w:hAnsi="Times New Roman" w:cs="Times New Roman"/>
          <w:bCs/>
          <w:szCs w:val="24"/>
        </w:rPr>
        <w:t>– участки земли, водной поверхности и воздушного пространства над ними, где располагаются природные комплексы и объекты, которые имеют особое природоохранное, научное, культурное, эстетическое, рекреационное и оздоровительное значение, которые изъяты решениями органов государственной власти полностью или частично из хозяйственного использования и для которых установлен режим особой охраны.</w:t>
      </w:r>
      <w:proofErr w:type="gramEnd"/>
    </w:p>
    <w:p w14:paraId="4D5EC6EC" w14:textId="77777777" w:rsidR="006B7AF5" w:rsidRPr="00731FE2" w:rsidRDefault="006B7AF5" w:rsidP="006B7AF5">
      <w:pPr>
        <w:rPr>
          <w:rFonts w:ascii="Times New Roman" w:hAnsi="Times New Roman" w:cs="Times New Roman"/>
          <w:b/>
          <w:szCs w:val="24"/>
        </w:rPr>
      </w:pPr>
      <w:r w:rsidRPr="00731FE2">
        <w:rPr>
          <w:rFonts w:ascii="Times New Roman" w:hAnsi="Times New Roman" w:cs="Times New Roman"/>
          <w:b/>
          <w:szCs w:val="24"/>
        </w:rPr>
        <w:t>Пашня</w:t>
      </w:r>
      <w:r w:rsidRPr="00731FE2">
        <w:rPr>
          <w:rFonts w:ascii="Times New Roman" w:hAnsi="Times New Roman" w:cs="Times New Roman"/>
          <w:szCs w:val="24"/>
        </w:rPr>
        <w:t xml:space="preserve"> – сельскохозяйственное угодье, систематически обрабатываемое и используемое под посевы сельскохозяйственных культур, включая посевы многолетних трав, а также чистые пары</w:t>
      </w:r>
      <w:r w:rsidRPr="00731FE2">
        <w:rPr>
          <w:rStyle w:val="afb"/>
          <w:rFonts w:ascii="Times New Roman" w:hAnsi="Times New Roman" w:cs="Times New Roman"/>
          <w:szCs w:val="24"/>
        </w:rPr>
        <w:footnoteReference w:id="1"/>
      </w:r>
      <w:r w:rsidRPr="00731FE2">
        <w:rPr>
          <w:rFonts w:ascii="Times New Roman" w:hAnsi="Times New Roman" w:cs="Times New Roman"/>
          <w:szCs w:val="24"/>
        </w:rPr>
        <w:t>.</w:t>
      </w:r>
    </w:p>
    <w:p w14:paraId="48023229" w14:textId="77777777" w:rsidR="006B7AF5" w:rsidRPr="00731FE2" w:rsidRDefault="006B7AF5" w:rsidP="006B7AF5">
      <w:pPr>
        <w:rPr>
          <w:rFonts w:ascii="Times New Roman" w:hAnsi="Times New Roman" w:cs="Times New Roman"/>
          <w:szCs w:val="24"/>
        </w:rPr>
      </w:pPr>
      <w:r w:rsidRPr="00731FE2">
        <w:rPr>
          <w:rFonts w:ascii="Times New Roman" w:hAnsi="Times New Roman" w:cs="Times New Roman"/>
          <w:b/>
          <w:szCs w:val="24"/>
        </w:rPr>
        <w:t xml:space="preserve">Планировочная структура территории </w:t>
      </w:r>
      <w:r w:rsidRPr="00731FE2">
        <w:rPr>
          <w:rFonts w:ascii="Times New Roman" w:hAnsi="Times New Roman" w:cs="Times New Roman"/>
          <w:szCs w:val="24"/>
        </w:rPr>
        <w:t>– модель взаимного размещения и пространственных взаимосвязей хозяйственных объектов и важнейших элементов природного ландшафта на различных этапах их хозяйственного освоения.</w:t>
      </w:r>
    </w:p>
    <w:p w14:paraId="174B345A" w14:textId="77777777" w:rsidR="006B7AF5" w:rsidRPr="00731FE2" w:rsidRDefault="006B7AF5" w:rsidP="006B7AF5">
      <w:pPr>
        <w:rPr>
          <w:rFonts w:ascii="Times New Roman" w:hAnsi="Times New Roman" w:cs="Times New Roman"/>
          <w:bCs/>
          <w:szCs w:val="24"/>
        </w:rPr>
      </w:pPr>
      <w:r w:rsidRPr="00731FE2">
        <w:rPr>
          <w:rFonts w:ascii="Times New Roman" w:hAnsi="Times New Roman" w:cs="Times New Roman"/>
          <w:b/>
          <w:bCs/>
          <w:szCs w:val="24"/>
        </w:rPr>
        <w:t>Пространственное развитие</w:t>
      </w:r>
      <w:r w:rsidRPr="00731FE2">
        <w:rPr>
          <w:rFonts w:ascii="Times New Roman" w:hAnsi="Times New Roman" w:cs="Times New Roman"/>
          <w:bCs/>
          <w:szCs w:val="24"/>
        </w:rPr>
        <w:t xml:space="preserve"> – совершенствование системы расселения и территориальной организации экономики, в том числе за счет проведения эффективной государственной политики регионального развития.</w:t>
      </w:r>
    </w:p>
    <w:p w14:paraId="3B2411EC" w14:textId="77777777" w:rsidR="006B7AF5" w:rsidRPr="00731FE2" w:rsidRDefault="006B7AF5" w:rsidP="006B7AF5">
      <w:pPr>
        <w:rPr>
          <w:rFonts w:ascii="Times New Roman" w:hAnsi="Times New Roman" w:cs="Times New Roman"/>
          <w:szCs w:val="24"/>
        </w:rPr>
      </w:pPr>
      <w:r w:rsidRPr="00731FE2">
        <w:rPr>
          <w:rFonts w:ascii="Times New Roman" w:hAnsi="Times New Roman" w:cs="Times New Roman"/>
          <w:b/>
          <w:szCs w:val="24"/>
        </w:rPr>
        <w:t>Рациональное использование земель</w:t>
      </w:r>
      <w:r w:rsidRPr="00731FE2">
        <w:rPr>
          <w:rFonts w:ascii="Times New Roman" w:hAnsi="Times New Roman" w:cs="Times New Roman"/>
          <w:szCs w:val="24"/>
        </w:rPr>
        <w:t xml:space="preserve"> – обеспечение всеми землепользователями в процессе производства максимального эффекта в осуществлении целей землепользования с учетом охраны земель и оптимального взаимодействия с природными факторами.</w:t>
      </w:r>
    </w:p>
    <w:p w14:paraId="71D07189" w14:textId="77777777" w:rsidR="006B7AF5" w:rsidRPr="00731FE2" w:rsidRDefault="006B7AF5" w:rsidP="006B7AF5">
      <w:pPr>
        <w:rPr>
          <w:rFonts w:ascii="Times New Roman" w:hAnsi="Times New Roman" w:cs="Times New Roman"/>
          <w:szCs w:val="24"/>
        </w:rPr>
      </w:pPr>
      <w:proofErr w:type="gramStart"/>
      <w:r w:rsidRPr="00731FE2">
        <w:rPr>
          <w:rFonts w:ascii="Times New Roman" w:hAnsi="Times New Roman" w:cs="Times New Roman"/>
          <w:b/>
          <w:szCs w:val="24"/>
        </w:rPr>
        <w:t>Реконструкция объектов капитального строительства</w:t>
      </w:r>
      <w:r w:rsidRPr="00731FE2">
        <w:rPr>
          <w:rFonts w:ascii="Times New Roman" w:hAnsi="Times New Roman" w:cs="Times New Roman"/>
          <w:szCs w:val="24"/>
        </w:rPr>
        <w:t xml:space="preserve"> (за исключением линейных объектов) – изменение параметров объекта капитального строительства, его частей (высоты, количества этажей, площади, объема), в том числе надстройка, перестройка, расширение объекта капитального строительства, а также замена и (или) восстановление несущих строительных конструкций объекта капитального строительства, за исключением замены отдельных элементов таких конструкций на аналогичные или иные улучшающие показатели таких конструкций элементы и (или) восстановления</w:t>
      </w:r>
      <w:proofErr w:type="gramEnd"/>
      <w:r w:rsidRPr="00731FE2">
        <w:rPr>
          <w:rFonts w:ascii="Times New Roman" w:hAnsi="Times New Roman" w:cs="Times New Roman"/>
          <w:szCs w:val="24"/>
        </w:rPr>
        <w:t xml:space="preserve"> указанных элементов.</w:t>
      </w:r>
    </w:p>
    <w:p w14:paraId="64A076B3" w14:textId="77777777" w:rsidR="006B7AF5" w:rsidRPr="00731FE2" w:rsidRDefault="006B7AF5" w:rsidP="006B7AF5">
      <w:pPr>
        <w:rPr>
          <w:rFonts w:ascii="Times New Roman" w:hAnsi="Times New Roman" w:cs="Times New Roman"/>
          <w:szCs w:val="24"/>
        </w:rPr>
      </w:pPr>
      <w:r w:rsidRPr="00731FE2">
        <w:rPr>
          <w:rFonts w:ascii="Times New Roman" w:hAnsi="Times New Roman" w:cs="Times New Roman"/>
          <w:b/>
          <w:szCs w:val="24"/>
        </w:rPr>
        <w:t>Реконструкция линейных объектов</w:t>
      </w:r>
      <w:r w:rsidRPr="00731FE2">
        <w:rPr>
          <w:rFonts w:ascii="Times New Roman" w:hAnsi="Times New Roman" w:cs="Times New Roman"/>
          <w:szCs w:val="24"/>
        </w:rPr>
        <w:t xml:space="preserve"> – изменение параметров линейных объектов или их участков (частей), которое влечет за собой изменение класса, категории и (или) первоначально установленных показателей функционирования таких объектов (мощности, грузоподъемности и других) или при </w:t>
      </w:r>
      <w:proofErr w:type="gramStart"/>
      <w:r w:rsidRPr="00731FE2">
        <w:rPr>
          <w:rFonts w:ascii="Times New Roman" w:hAnsi="Times New Roman" w:cs="Times New Roman"/>
          <w:szCs w:val="24"/>
        </w:rPr>
        <w:t>котором</w:t>
      </w:r>
      <w:proofErr w:type="gramEnd"/>
      <w:r w:rsidRPr="00731FE2">
        <w:rPr>
          <w:rFonts w:ascii="Times New Roman" w:hAnsi="Times New Roman" w:cs="Times New Roman"/>
          <w:szCs w:val="24"/>
        </w:rPr>
        <w:t xml:space="preserve"> требуется изменение границ полос отвода и (или) охранных зон таких объектов.</w:t>
      </w:r>
    </w:p>
    <w:p w14:paraId="7AF69A73" w14:textId="77777777" w:rsidR="006B7AF5" w:rsidRPr="00731FE2" w:rsidRDefault="006B7AF5" w:rsidP="006B7AF5">
      <w:pPr>
        <w:rPr>
          <w:rFonts w:ascii="Times New Roman" w:hAnsi="Times New Roman" w:cs="Times New Roman"/>
          <w:szCs w:val="24"/>
        </w:rPr>
      </w:pPr>
      <w:r w:rsidRPr="00731FE2">
        <w:rPr>
          <w:rFonts w:ascii="Times New Roman" w:hAnsi="Times New Roman" w:cs="Times New Roman"/>
          <w:b/>
          <w:szCs w:val="24"/>
        </w:rPr>
        <w:lastRenderedPageBreak/>
        <w:t>Система коммунальной инфраструктуры</w:t>
      </w:r>
      <w:r w:rsidRPr="00731FE2">
        <w:rPr>
          <w:rFonts w:ascii="Times New Roman" w:hAnsi="Times New Roman" w:cs="Times New Roman"/>
          <w:szCs w:val="24"/>
        </w:rPr>
        <w:t xml:space="preserve"> – комплекс технологически связанных между собой объектов и инженерных сооружений, предназначенных для осуществления поставок товаров и оказания услуг в сферах электр</w:t>
      </w:r>
      <w:proofErr w:type="gramStart"/>
      <w:r w:rsidRPr="00731FE2">
        <w:rPr>
          <w:rFonts w:ascii="Times New Roman" w:hAnsi="Times New Roman" w:cs="Times New Roman"/>
          <w:szCs w:val="24"/>
        </w:rPr>
        <w:t>о-</w:t>
      </w:r>
      <w:proofErr w:type="gramEnd"/>
      <w:r w:rsidRPr="00731FE2">
        <w:rPr>
          <w:rFonts w:ascii="Times New Roman" w:hAnsi="Times New Roman" w:cs="Times New Roman"/>
          <w:szCs w:val="24"/>
        </w:rPr>
        <w:t>, газо-, тепло-, водоснабжения и водоотведения до точек подключения (технологического присоединения) к инженерным системам электро-, газо-, тепло-, водоснабжения и водоотведения объектов капитального строительства, а также объекты, используемые для обработки, утилизации, обезвреживания, захоронения твердых коммунальных отходов.</w:t>
      </w:r>
    </w:p>
    <w:p w14:paraId="61901D6B" w14:textId="77777777" w:rsidR="006B7AF5" w:rsidRPr="00731FE2" w:rsidRDefault="006B7AF5" w:rsidP="006B7AF5">
      <w:pPr>
        <w:rPr>
          <w:rFonts w:ascii="Times New Roman" w:hAnsi="Times New Roman" w:cs="Times New Roman"/>
          <w:szCs w:val="24"/>
        </w:rPr>
      </w:pPr>
      <w:r w:rsidRPr="00731FE2">
        <w:rPr>
          <w:rFonts w:ascii="Times New Roman" w:hAnsi="Times New Roman" w:cs="Times New Roman"/>
          <w:b/>
          <w:szCs w:val="24"/>
        </w:rPr>
        <w:t xml:space="preserve">Схема территориального планирования (СТП) </w:t>
      </w:r>
      <w:r w:rsidRPr="00731FE2">
        <w:rPr>
          <w:rFonts w:ascii="Times New Roman" w:hAnsi="Times New Roman" w:cs="Times New Roman"/>
          <w:szCs w:val="24"/>
        </w:rPr>
        <w:t xml:space="preserve">– </w:t>
      </w:r>
      <w:r w:rsidRPr="00731FE2">
        <w:rPr>
          <w:rFonts w:ascii="Times New Roman" w:hAnsi="Times New Roman" w:cs="Times New Roman"/>
          <w:bCs/>
          <w:szCs w:val="24"/>
        </w:rPr>
        <w:t>основной документ территориального планирования, нацеленный на определение назначения территорий исходя из совокупности социальных, экономических, экологических и иных факторов в целях обеспечения устойчивого развития территорий, развития инженерной, транспортной и социальной инфраструктур, обеспечения учета интересов граждан и их объединений, Российской Федерации, субъектов Российской Федерации, муниципальных образований.</w:t>
      </w:r>
    </w:p>
    <w:p w14:paraId="70C58495" w14:textId="77777777" w:rsidR="006B7AF5" w:rsidRPr="00731FE2" w:rsidRDefault="006B7AF5" w:rsidP="006B7AF5">
      <w:pPr>
        <w:rPr>
          <w:rFonts w:ascii="Times New Roman" w:hAnsi="Times New Roman" w:cs="Times New Roman"/>
          <w:szCs w:val="24"/>
        </w:rPr>
      </w:pPr>
      <w:r w:rsidRPr="00731FE2">
        <w:rPr>
          <w:rFonts w:ascii="Times New Roman" w:hAnsi="Times New Roman" w:cs="Times New Roman"/>
          <w:b/>
          <w:szCs w:val="24"/>
        </w:rPr>
        <w:t>Территориальное планирование</w:t>
      </w:r>
      <w:r w:rsidRPr="00731FE2">
        <w:rPr>
          <w:rFonts w:ascii="Times New Roman" w:hAnsi="Times New Roman" w:cs="Times New Roman"/>
          <w:szCs w:val="24"/>
        </w:rPr>
        <w:t xml:space="preserve"> – планирование развития территорий, в том числе для установления функциональных зон, определения планируемого размещения объектов федерального значения, объектов регионального значения, объектов местного значения. </w:t>
      </w:r>
    </w:p>
    <w:p w14:paraId="647C4BDA" w14:textId="77777777" w:rsidR="006B7AF5" w:rsidRPr="00731FE2" w:rsidRDefault="006B7AF5" w:rsidP="006B7AF5">
      <w:pPr>
        <w:rPr>
          <w:rFonts w:ascii="Times New Roman" w:hAnsi="Times New Roman" w:cs="Times New Roman"/>
          <w:szCs w:val="24"/>
        </w:rPr>
      </w:pPr>
      <w:r w:rsidRPr="00731FE2">
        <w:rPr>
          <w:rFonts w:ascii="Times New Roman" w:hAnsi="Times New Roman" w:cs="Times New Roman"/>
          <w:b/>
          <w:bCs/>
          <w:szCs w:val="24"/>
        </w:rPr>
        <w:t>Транспортная инфраструктура</w:t>
      </w:r>
      <w:r w:rsidRPr="00731FE2">
        <w:rPr>
          <w:rFonts w:ascii="Times New Roman" w:hAnsi="Times New Roman" w:cs="Times New Roman"/>
          <w:bCs/>
          <w:szCs w:val="24"/>
        </w:rPr>
        <w:t xml:space="preserve"> – к</w:t>
      </w:r>
      <w:r w:rsidRPr="00731FE2">
        <w:rPr>
          <w:rFonts w:ascii="Times New Roman" w:hAnsi="Times New Roman" w:cs="Times New Roman"/>
          <w:szCs w:val="24"/>
        </w:rPr>
        <w:t>омплекс объектов и сооружений, обеспечивающих потребности физических лиц, юридических лиц и государства в пассажирских и грузовых транспортных перевозках.</w:t>
      </w:r>
    </w:p>
    <w:p w14:paraId="0F76D0A0" w14:textId="77777777" w:rsidR="006B7AF5" w:rsidRPr="00731FE2" w:rsidRDefault="006B7AF5" w:rsidP="006B7AF5">
      <w:pPr>
        <w:rPr>
          <w:rFonts w:ascii="Times New Roman" w:hAnsi="Times New Roman" w:cs="Times New Roman"/>
          <w:szCs w:val="24"/>
        </w:rPr>
      </w:pPr>
      <w:r w:rsidRPr="00731FE2">
        <w:rPr>
          <w:rFonts w:ascii="Times New Roman" w:hAnsi="Times New Roman" w:cs="Times New Roman"/>
          <w:b/>
          <w:szCs w:val="24"/>
        </w:rPr>
        <w:t>Улично-дорожная сеть</w:t>
      </w:r>
      <w:r w:rsidRPr="00731FE2">
        <w:rPr>
          <w:rFonts w:ascii="Times New Roman" w:hAnsi="Times New Roman" w:cs="Times New Roman"/>
          <w:szCs w:val="24"/>
        </w:rPr>
        <w:t xml:space="preserve"> </w:t>
      </w:r>
      <w:r w:rsidRPr="00731FE2">
        <w:rPr>
          <w:rFonts w:ascii="Times New Roman" w:hAnsi="Times New Roman" w:cs="Times New Roman"/>
          <w:b/>
          <w:szCs w:val="24"/>
        </w:rPr>
        <w:t>(УДС)</w:t>
      </w:r>
      <w:r w:rsidRPr="00731FE2">
        <w:rPr>
          <w:rFonts w:ascii="Times New Roman" w:hAnsi="Times New Roman" w:cs="Times New Roman"/>
          <w:szCs w:val="24"/>
        </w:rPr>
        <w:t xml:space="preserve"> – система объектов капитального строительства, включая улицы и дороги различных категорий и входящие в их состав объекты дорожно-мостового строительства (путепроводы, мосты, туннели, эстакады и другие подобные сооружения), предназначенные для движения транспортных средств и пешеходов, проектируемые с учетом перспективного роста интенсивности движения и обеспечения возможности прокладки инженерных коммуникаций. Границы УДС закрепляются красными линиями. Территория, занимаемая УДС, относится к землям общего пользования транспортного назначения.</w:t>
      </w:r>
    </w:p>
    <w:p w14:paraId="5C2E4937" w14:textId="77777777" w:rsidR="006B7AF5" w:rsidRPr="00731FE2" w:rsidRDefault="006B7AF5" w:rsidP="006B7AF5">
      <w:pPr>
        <w:rPr>
          <w:rFonts w:ascii="Times New Roman" w:hAnsi="Times New Roman" w:cs="Times New Roman"/>
          <w:b/>
          <w:bCs/>
          <w:szCs w:val="24"/>
        </w:rPr>
      </w:pPr>
      <w:r w:rsidRPr="00731FE2">
        <w:rPr>
          <w:rFonts w:ascii="Times New Roman" w:hAnsi="Times New Roman" w:cs="Times New Roman"/>
          <w:b/>
          <w:bCs/>
          <w:szCs w:val="24"/>
        </w:rPr>
        <w:t xml:space="preserve">Функциональные зоны </w:t>
      </w:r>
      <w:r w:rsidRPr="00731FE2">
        <w:rPr>
          <w:rFonts w:ascii="Times New Roman" w:hAnsi="Times New Roman" w:cs="Times New Roman"/>
          <w:bCs/>
          <w:szCs w:val="24"/>
        </w:rPr>
        <w:t>– зоны, для которых документами территориального планирования определены границы и функциональное назначение.</w:t>
      </w:r>
    </w:p>
    <w:p w14:paraId="76BB9A92" w14:textId="77777777" w:rsidR="006B7AF5" w:rsidRPr="00731FE2" w:rsidRDefault="006B7AF5" w:rsidP="006B7AF5">
      <w:pPr>
        <w:rPr>
          <w:rFonts w:ascii="Times New Roman" w:hAnsi="Times New Roman" w:cs="Times New Roman"/>
          <w:bCs/>
          <w:szCs w:val="24"/>
        </w:rPr>
      </w:pPr>
      <w:r w:rsidRPr="00731FE2">
        <w:rPr>
          <w:rFonts w:ascii="Times New Roman" w:hAnsi="Times New Roman" w:cs="Times New Roman"/>
          <w:b/>
          <w:bCs/>
          <w:szCs w:val="24"/>
        </w:rPr>
        <w:t>Элемент планировочной структуры</w:t>
      </w:r>
      <w:r w:rsidRPr="00731FE2">
        <w:rPr>
          <w:rFonts w:ascii="Times New Roman" w:hAnsi="Times New Roman" w:cs="Times New Roman"/>
          <w:bCs/>
          <w:szCs w:val="24"/>
        </w:rPr>
        <w:t xml:space="preserve"> – часть территории поселения, городского округа или межселенной территории муниципального района (квартал, микрорайон, район и иные подобные элементы). Виды элементов планировочной структуры устанавливаются уполномоченным Правительством Российской Федерации федеральным органом исполнительной власти.</w:t>
      </w:r>
    </w:p>
    <w:p w14:paraId="1625B9D8" w14:textId="77777777" w:rsidR="006B7AF5" w:rsidRPr="00731FE2" w:rsidRDefault="006B7AF5" w:rsidP="006B7AF5">
      <w:r w:rsidRPr="00731FE2">
        <w:br w:type="page"/>
      </w:r>
    </w:p>
    <w:p w14:paraId="40574F09" w14:textId="77777777" w:rsidR="00171AA8" w:rsidRPr="00731FE2" w:rsidRDefault="007935AB">
      <w:pPr>
        <w:pStyle w:val="13"/>
        <w:rPr>
          <w:rFonts w:ascii="Times New Roman" w:hAnsi="Times New Roman" w:cs="Times New Roman"/>
        </w:rPr>
      </w:pPr>
      <w:bookmarkStart w:id="3" w:name="_Toc177392759"/>
      <w:r w:rsidRPr="00731FE2">
        <w:rPr>
          <w:rFonts w:ascii="Times New Roman" w:hAnsi="Times New Roman" w:cs="Times New Roman"/>
        </w:rPr>
        <w:lastRenderedPageBreak/>
        <w:t>ПЕРЕЧЕНЬ СОКРАЩЕНИЙ И ОБОЗНАЧЕНИЙ</w:t>
      </w:r>
      <w:bookmarkEnd w:id="3"/>
    </w:p>
    <w:tbl>
      <w:tblPr>
        <w:tblStyle w:val="af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2"/>
        <w:gridCol w:w="4673"/>
      </w:tblGrid>
      <w:tr w:rsidR="006B7AF5" w:rsidRPr="00731FE2" w14:paraId="28AC002B" w14:textId="77777777" w:rsidTr="0068356D">
        <w:tc>
          <w:tcPr>
            <w:tcW w:w="4672" w:type="dxa"/>
            <w:vAlign w:val="center"/>
          </w:tcPr>
          <w:p w14:paraId="707FF59E" w14:textId="77777777" w:rsidR="006B7AF5" w:rsidRPr="00731FE2" w:rsidRDefault="006B7AF5" w:rsidP="006B7AF5">
            <w:pPr>
              <w:ind w:firstLine="0"/>
              <w:jc w:val="left"/>
              <w:rPr>
                <w:rFonts w:ascii="Times New Roman" w:hAnsi="Times New Roman" w:cs="Times New Roman"/>
                <w:szCs w:val="24"/>
              </w:rPr>
            </w:pPr>
            <w:r w:rsidRPr="00731FE2">
              <w:rPr>
                <w:rFonts w:ascii="Times New Roman" w:hAnsi="Times New Roman" w:cs="Times New Roman"/>
                <w:szCs w:val="24"/>
              </w:rPr>
              <w:t>АГРС - автоматизированная газораспределительная станция.</w:t>
            </w:r>
          </w:p>
          <w:p w14:paraId="77FE9712" w14:textId="77777777" w:rsidR="006B7AF5" w:rsidRPr="00731FE2" w:rsidRDefault="006B7AF5" w:rsidP="006B7AF5">
            <w:pPr>
              <w:ind w:firstLine="0"/>
              <w:jc w:val="left"/>
              <w:rPr>
                <w:rFonts w:ascii="Times New Roman" w:hAnsi="Times New Roman" w:cs="Times New Roman"/>
                <w:szCs w:val="24"/>
              </w:rPr>
            </w:pPr>
            <w:r w:rsidRPr="00731FE2">
              <w:rPr>
                <w:rFonts w:ascii="Times New Roman" w:hAnsi="Times New Roman" w:cs="Times New Roman"/>
                <w:szCs w:val="24"/>
              </w:rPr>
              <w:t>АПК – агропромышленный комплекс.</w:t>
            </w:r>
          </w:p>
          <w:p w14:paraId="7CF6844C" w14:textId="77777777" w:rsidR="006B7AF5" w:rsidRPr="00731FE2" w:rsidRDefault="006B7AF5" w:rsidP="006B7AF5">
            <w:pPr>
              <w:ind w:firstLine="0"/>
              <w:jc w:val="left"/>
              <w:rPr>
                <w:rFonts w:ascii="Times New Roman" w:hAnsi="Times New Roman" w:cs="Times New Roman"/>
                <w:szCs w:val="24"/>
              </w:rPr>
            </w:pPr>
            <w:proofErr w:type="gramStart"/>
            <w:r w:rsidRPr="00731FE2">
              <w:rPr>
                <w:rFonts w:ascii="Times New Roman" w:hAnsi="Times New Roman" w:cs="Times New Roman"/>
                <w:szCs w:val="24"/>
              </w:rPr>
              <w:t>ВЛ</w:t>
            </w:r>
            <w:proofErr w:type="gramEnd"/>
            <w:r w:rsidRPr="00731FE2">
              <w:rPr>
                <w:rFonts w:ascii="Times New Roman" w:hAnsi="Times New Roman" w:cs="Times New Roman"/>
                <w:szCs w:val="24"/>
              </w:rPr>
              <w:t xml:space="preserve"> – воздушные линии электропередач.</w:t>
            </w:r>
          </w:p>
          <w:p w14:paraId="183E5411" w14:textId="77777777" w:rsidR="006B7AF5" w:rsidRPr="00731FE2" w:rsidRDefault="006B7AF5" w:rsidP="006B7AF5">
            <w:pPr>
              <w:ind w:firstLine="0"/>
              <w:jc w:val="left"/>
              <w:rPr>
                <w:rFonts w:ascii="Times New Roman" w:hAnsi="Times New Roman" w:cs="Times New Roman"/>
                <w:szCs w:val="24"/>
              </w:rPr>
            </w:pPr>
            <w:r w:rsidRPr="00731FE2">
              <w:rPr>
                <w:rFonts w:ascii="Times New Roman" w:hAnsi="Times New Roman" w:cs="Times New Roman"/>
                <w:szCs w:val="24"/>
              </w:rPr>
              <w:t>г. – город.</w:t>
            </w:r>
          </w:p>
          <w:p w14:paraId="2A2BDEC7" w14:textId="77777777" w:rsidR="006B7AF5" w:rsidRPr="00731FE2" w:rsidRDefault="006B7AF5" w:rsidP="006B7AF5">
            <w:pPr>
              <w:ind w:firstLine="0"/>
              <w:jc w:val="left"/>
              <w:rPr>
                <w:rFonts w:ascii="Times New Roman" w:hAnsi="Times New Roman" w:cs="Times New Roman"/>
                <w:szCs w:val="24"/>
              </w:rPr>
            </w:pPr>
            <w:r w:rsidRPr="00731FE2">
              <w:rPr>
                <w:rFonts w:ascii="Times New Roman" w:hAnsi="Times New Roman" w:cs="Times New Roman"/>
                <w:szCs w:val="24"/>
              </w:rPr>
              <w:t xml:space="preserve">г. – год. </w:t>
            </w:r>
          </w:p>
          <w:p w14:paraId="700E4085" w14:textId="77777777" w:rsidR="006B7AF5" w:rsidRPr="00731FE2" w:rsidRDefault="006B7AF5" w:rsidP="006B7AF5">
            <w:pPr>
              <w:ind w:firstLine="0"/>
              <w:jc w:val="left"/>
              <w:rPr>
                <w:rFonts w:ascii="Times New Roman" w:hAnsi="Times New Roman" w:cs="Times New Roman"/>
                <w:szCs w:val="24"/>
              </w:rPr>
            </w:pPr>
            <w:proofErr w:type="gramStart"/>
            <w:r w:rsidRPr="00731FE2">
              <w:rPr>
                <w:rFonts w:ascii="Times New Roman" w:hAnsi="Times New Roman" w:cs="Times New Roman"/>
                <w:szCs w:val="24"/>
              </w:rPr>
              <w:t>га</w:t>
            </w:r>
            <w:proofErr w:type="gramEnd"/>
            <w:r w:rsidRPr="00731FE2">
              <w:rPr>
                <w:rFonts w:ascii="Times New Roman" w:hAnsi="Times New Roman" w:cs="Times New Roman"/>
                <w:szCs w:val="24"/>
              </w:rPr>
              <w:t xml:space="preserve"> – гектар.</w:t>
            </w:r>
          </w:p>
          <w:p w14:paraId="6DCE326A" w14:textId="77777777" w:rsidR="006B7AF5" w:rsidRPr="00731FE2" w:rsidRDefault="006B7AF5" w:rsidP="006B7AF5">
            <w:pPr>
              <w:ind w:firstLine="0"/>
              <w:jc w:val="left"/>
              <w:rPr>
                <w:rFonts w:ascii="Times New Roman" w:hAnsi="Times New Roman" w:cs="Times New Roman"/>
                <w:szCs w:val="24"/>
              </w:rPr>
            </w:pPr>
            <w:r w:rsidRPr="00731FE2">
              <w:rPr>
                <w:rFonts w:ascii="Times New Roman" w:hAnsi="Times New Roman" w:cs="Times New Roman"/>
                <w:szCs w:val="24"/>
              </w:rPr>
              <w:t>гг. – годы.</w:t>
            </w:r>
          </w:p>
          <w:p w14:paraId="1A70EF57" w14:textId="77777777" w:rsidR="006C7DE5" w:rsidRPr="00731FE2" w:rsidRDefault="006C7DE5" w:rsidP="006B7AF5">
            <w:pPr>
              <w:ind w:firstLine="0"/>
              <w:jc w:val="left"/>
              <w:rPr>
                <w:rFonts w:ascii="Times New Roman" w:hAnsi="Times New Roman" w:cs="Times New Roman"/>
                <w:szCs w:val="24"/>
              </w:rPr>
            </w:pPr>
            <w:r w:rsidRPr="00731FE2">
              <w:rPr>
                <w:rFonts w:ascii="Times New Roman" w:hAnsi="Times New Roman" w:cs="Times New Roman"/>
                <w:szCs w:val="24"/>
              </w:rPr>
              <w:t xml:space="preserve">ГБУЗ СК - </w:t>
            </w:r>
            <w:r w:rsidRPr="00731FE2">
              <w:rPr>
                <w:rFonts w:ascii="Times New Roman" w:hAnsi="Times New Roman" w:cs="Times New Roman"/>
                <w:iCs/>
                <w:szCs w:val="24"/>
              </w:rPr>
              <w:t>Государственное бюджетное учреждение здравоохранения Ставропольского края.</w:t>
            </w:r>
          </w:p>
          <w:p w14:paraId="799AA68E" w14:textId="77777777" w:rsidR="006B7AF5" w:rsidRPr="00731FE2" w:rsidRDefault="006B7AF5" w:rsidP="006B7AF5">
            <w:pPr>
              <w:ind w:firstLine="0"/>
              <w:jc w:val="left"/>
              <w:rPr>
                <w:rFonts w:ascii="Times New Roman" w:hAnsi="Times New Roman" w:cs="Times New Roman"/>
                <w:szCs w:val="24"/>
              </w:rPr>
            </w:pPr>
            <w:r w:rsidRPr="00731FE2">
              <w:rPr>
                <w:rFonts w:ascii="Times New Roman" w:hAnsi="Times New Roman" w:cs="Times New Roman"/>
                <w:szCs w:val="24"/>
              </w:rPr>
              <w:t xml:space="preserve">г-к – </w:t>
            </w:r>
            <w:r w:rsidR="0068356D" w:rsidRPr="00731FE2">
              <w:rPr>
                <w:rFonts w:ascii="Times New Roman" w:hAnsi="Times New Roman" w:cs="Times New Roman"/>
                <w:szCs w:val="24"/>
              </w:rPr>
              <w:t>город-курорт.</w:t>
            </w:r>
          </w:p>
          <w:p w14:paraId="3CF4A081" w14:textId="77777777" w:rsidR="006B7AF5" w:rsidRPr="00731FE2" w:rsidRDefault="006B7AF5" w:rsidP="006B7AF5">
            <w:pPr>
              <w:ind w:firstLine="0"/>
              <w:jc w:val="left"/>
              <w:rPr>
                <w:rFonts w:ascii="Times New Roman" w:hAnsi="Times New Roman" w:cs="Times New Roman"/>
                <w:szCs w:val="24"/>
              </w:rPr>
            </w:pPr>
            <w:r w:rsidRPr="00731FE2">
              <w:rPr>
                <w:rFonts w:ascii="Times New Roman" w:hAnsi="Times New Roman" w:cs="Times New Roman"/>
                <w:szCs w:val="24"/>
              </w:rPr>
              <w:t>ГО – городской округ.</w:t>
            </w:r>
          </w:p>
          <w:p w14:paraId="0FBE45B7" w14:textId="77777777" w:rsidR="006B7AF5" w:rsidRPr="00731FE2" w:rsidRDefault="006B7AF5" w:rsidP="006B7AF5">
            <w:pPr>
              <w:ind w:firstLine="0"/>
              <w:jc w:val="left"/>
              <w:rPr>
                <w:rFonts w:ascii="Times New Roman" w:hAnsi="Times New Roman" w:cs="Times New Roman"/>
                <w:szCs w:val="24"/>
              </w:rPr>
            </w:pPr>
            <w:r w:rsidRPr="00731FE2">
              <w:rPr>
                <w:rFonts w:ascii="Times New Roman" w:hAnsi="Times New Roman" w:cs="Times New Roman"/>
                <w:szCs w:val="24"/>
              </w:rPr>
              <w:t>ГОСТ – государственный стандарт.</w:t>
            </w:r>
          </w:p>
          <w:p w14:paraId="11853096" w14:textId="77777777" w:rsidR="006B7AF5" w:rsidRPr="00731FE2" w:rsidRDefault="006B7AF5" w:rsidP="006B7AF5">
            <w:pPr>
              <w:ind w:firstLine="0"/>
              <w:jc w:val="left"/>
              <w:rPr>
                <w:rFonts w:ascii="Times New Roman" w:hAnsi="Times New Roman" w:cs="Times New Roman"/>
                <w:szCs w:val="24"/>
              </w:rPr>
            </w:pPr>
            <w:r w:rsidRPr="00731FE2">
              <w:rPr>
                <w:rFonts w:ascii="Times New Roman" w:hAnsi="Times New Roman" w:cs="Times New Roman"/>
                <w:szCs w:val="24"/>
              </w:rPr>
              <w:t>ГрК РФ – Градостроительный кодекс Российской Федерации.</w:t>
            </w:r>
          </w:p>
          <w:p w14:paraId="3DA59953" w14:textId="77777777" w:rsidR="006B7AF5" w:rsidRPr="00731FE2" w:rsidRDefault="006B7AF5" w:rsidP="006B7AF5">
            <w:pPr>
              <w:ind w:firstLine="0"/>
              <w:jc w:val="left"/>
              <w:rPr>
                <w:rFonts w:ascii="Times New Roman" w:hAnsi="Times New Roman" w:cs="Times New Roman"/>
                <w:szCs w:val="24"/>
              </w:rPr>
            </w:pPr>
            <w:r w:rsidRPr="00731FE2">
              <w:rPr>
                <w:rFonts w:ascii="Times New Roman" w:hAnsi="Times New Roman" w:cs="Times New Roman"/>
                <w:szCs w:val="24"/>
              </w:rPr>
              <w:t>ГУП – государственное унитарное предприятие.</w:t>
            </w:r>
          </w:p>
          <w:p w14:paraId="14F7CCC9" w14:textId="77777777" w:rsidR="00AE0D79" w:rsidRPr="00731FE2" w:rsidRDefault="00AE0D79" w:rsidP="006B7AF5">
            <w:pPr>
              <w:ind w:firstLine="0"/>
              <w:jc w:val="left"/>
              <w:rPr>
                <w:rFonts w:ascii="Times New Roman" w:hAnsi="Times New Roman" w:cs="Times New Roman"/>
                <w:szCs w:val="24"/>
              </w:rPr>
            </w:pPr>
            <w:r w:rsidRPr="00731FE2">
              <w:rPr>
                <w:rFonts w:ascii="Times New Roman" w:hAnsi="Times New Roman" w:cs="Times New Roman"/>
                <w:szCs w:val="24"/>
              </w:rPr>
              <w:t>ДОУ – детское дошкольное учреждение.</w:t>
            </w:r>
          </w:p>
          <w:p w14:paraId="01780760" w14:textId="77777777" w:rsidR="006B7AF5" w:rsidRPr="00731FE2" w:rsidRDefault="006B7AF5" w:rsidP="006B7AF5">
            <w:pPr>
              <w:ind w:firstLine="0"/>
              <w:jc w:val="left"/>
              <w:rPr>
                <w:rFonts w:ascii="Times New Roman" w:hAnsi="Times New Roman" w:cs="Times New Roman"/>
                <w:szCs w:val="24"/>
              </w:rPr>
            </w:pPr>
            <w:r w:rsidRPr="00731FE2">
              <w:rPr>
                <w:rFonts w:ascii="Times New Roman" w:hAnsi="Times New Roman" w:cs="Times New Roman"/>
                <w:szCs w:val="24"/>
              </w:rPr>
              <w:t>ДЮСШ – Детско-юношеская спортивная школа.</w:t>
            </w:r>
          </w:p>
          <w:p w14:paraId="74BFA4DF" w14:textId="77777777" w:rsidR="00FD1C19" w:rsidRPr="00731FE2" w:rsidRDefault="00FD1C19" w:rsidP="006B7AF5">
            <w:pPr>
              <w:ind w:firstLine="0"/>
              <w:jc w:val="left"/>
              <w:rPr>
                <w:rFonts w:ascii="Times New Roman" w:hAnsi="Times New Roman" w:cs="Times New Roman"/>
                <w:szCs w:val="24"/>
              </w:rPr>
            </w:pPr>
            <w:r w:rsidRPr="00731FE2">
              <w:rPr>
                <w:rFonts w:ascii="Times New Roman" w:eastAsia="Times New Roman" w:hAnsi="Times New Roman" w:cs="Times New Roman"/>
                <w:color w:val="000000"/>
              </w:rPr>
              <w:t xml:space="preserve">ЕГРН – единый государственный реестр </w:t>
            </w:r>
            <w:r w:rsidR="00A31712" w:rsidRPr="00731FE2">
              <w:rPr>
                <w:rFonts w:ascii="Times New Roman" w:eastAsia="Times New Roman" w:hAnsi="Times New Roman" w:cs="Times New Roman"/>
                <w:color w:val="000000"/>
              </w:rPr>
              <w:t>недвижимости</w:t>
            </w:r>
            <w:r w:rsidRPr="00731FE2">
              <w:rPr>
                <w:rFonts w:ascii="Times New Roman" w:eastAsia="Times New Roman" w:hAnsi="Times New Roman" w:cs="Times New Roman"/>
                <w:color w:val="000000"/>
              </w:rPr>
              <w:t>.</w:t>
            </w:r>
          </w:p>
          <w:p w14:paraId="7724E549" w14:textId="77777777" w:rsidR="006B7AF5" w:rsidRPr="00731FE2" w:rsidRDefault="006B7AF5" w:rsidP="006B7AF5">
            <w:pPr>
              <w:ind w:firstLine="0"/>
              <w:jc w:val="left"/>
              <w:rPr>
                <w:rFonts w:ascii="Times New Roman" w:hAnsi="Times New Roman" w:cs="Times New Roman"/>
                <w:szCs w:val="24"/>
              </w:rPr>
            </w:pPr>
            <w:r w:rsidRPr="00731FE2">
              <w:rPr>
                <w:rFonts w:ascii="Times New Roman" w:hAnsi="Times New Roman" w:cs="Times New Roman"/>
                <w:szCs w:val="24"/>
              </w:rPr>
              <w:t>ЗАО – закрытое акционерное общество.</w:t>
            </w:r>
          </w:p>
          <w:p w14:paraId="5D7D2B03" w14:textId="77777777" w:rsidR="006B7AF5" w:rsidRPr="00731FE2" w:rsidRDefault="006B7AF5" w:rsidP="006B7AF5">
            <w:pPr>
              <w:ind w:firstLine="0"/>
              <w:jc w:val="left"/>
              <w:rPr>
                <w:rFonts w:ascii="Times New Roman" w:hAnsi="Times New Roman" w:cs="Times New Roman"/>
                <w:szCs w:val="24"/>
              </w:rPr>
            </w:pPr>
            <w:r w:rsidRPr="00731FE2">
              <w:rPr>
                <w:rFonts w:ascii="Times New Roman" w:hAnsi="Times New Roman" w:cs="Times New Roman"/>
                <w:szCs w:val="24"/>
              </w:rPr>
              <w:t>ЗОУИТ – зоны с особыми условиями использования территории.</w:t>
            </w:r>
          </w:p>
          <w:p w14:paraId="25E7F7EB" w14:textId="77777777" w:rsidR="006B7AF5" w:rsidRPr="00731FE2" w:rsidRDefault="006B7AF5" w:rsidP="006B7AF5">
            <w:pPr>
              <w:ind w:firstLine="0"/>
              <w:jc w:val="left"/>
              <w:rPr>
                <w:rFonts w:ascii="Times New Roman" w:eastAsia="Calibri" w:hAnsi="Times New Roman" w:cs="Times New Roman"/>
                <w:szCs w:val="24"/>
              </w:rPr>
            </w:pPr>
            <w:r w:rsidRPr="00731FE2">
              <w:rPr>
                <w:rFonts w:ascii="Times New Roman" w:eastAsia="Calibri" w:hAnsi="Times New Roman" w:cs="Times New Roman"/>
                <w:szCs w:val="24"/>
              </w:rPr>
              <w:t xml:space="preserve">ИП – индивидуальный предприниматель. </w:t>
            </w:r>
          </w:p>
          <w:p w14:paraId="4F1EC671" w14:textId="77777777" w:rsidR="006B7AF5" w:rsidRPr="00731FE2" w:rsidRDefault="006B7AF5" w:rsidP="006B7AF5">
            <w:pPr>
              <w:ind w:firstLine="0"/>
              <w:jc w:val="left"/>
              <w:rPr>
                <w:rFonts w:ascii="Times New Roman" w:hAnsi="Times New Roman" w:cs="Times New Roman"/>
                <w:szCs w:val="24"/>
              </w:rPr>
            </w:pPr>
            <w:r w:rsidRPr="00731FE2">
              <w:rPr>
                <w:rFonts w:ascii="Times New Roman" w:hAnsi="Times New Roman" w:cs="Times New Roman"/>
                <w:szCs w:val="24"/>
              </w:rPr>
              <w:t xml:space="preserve">кВ – киловатт. </w:t>
            </w:r>
          </w:p>
          <w:p w14:paraId="6AAFAF3F" w14:textId="77777777" w:rsidR="006B7AF5" w:rsidRPr="00731FE2" w:rsidRDefault="00FD1C19" w:rsidP="006B7AF5">
            <w:pPr>
              <w:ind w:firstLine="0"/>
              <w:jc w:val="left"/>
              <w:rPr>
                <w:rFonts w:ascii="Times New Roman" w:hAnsi="Times New Roman" w:cs="Times New Roman"/>
                <w:szCs w:val="24"/>
              </w:rPr>
            </w:pPr>
            <w:r w:rsidRPr="00731FE2">
              <w:rPr>
                <w:rFonts w:ascii="Times New Roman" w:hAnsi="Times New Roman" w:cs="Times New Roman"/>
                <w:szCs w:val="24"/>
              </w:rPr>
              <w:t>кВт/</w:t>
            </w:r>
            <w:proofErr w:type="gramStart"/>
            <w:r w:rsidRPr="00731FE2">
              <w:rPr>
                <w:rFonts w:ascii="Times New Roman" w:hAnsi="Times New Roman" w:cs="Times New Roman"/>
                <w:szCs w:val="24"/>
              </w:rPr>
              <w:t>ч</w:t>
            </w:r>
            <w:proofErr w:type="gramEnd"/>
            <w:r w:rsidR="006B7AF5" w:rsidRPr="00731FE2">
              <w:rPr>
                <w:rFonts w:ascii="Times New Roman" w:hAnsi="Times New Roman" w:cs="Times New Roman"/>
                <w:szCs w:val="24"/>
              </w:rPr>
              <w:t xml:space="preserve"> – киловатт в час.</w:t>
            </w:r>
          </w:p>
          <w:p w14:paraId="70E2E7B0" w14:textId="77777777" w:rsidR="006B7AF5" w:rsidRPr="00731FE2" w:rsidRDefault="006B7AF5" w:rsidP="006B7AF5">
            <w:pPr>
              <w:ind w:firstLine="0"/>
              <w:jc w:val="left"/>
              <w:rPr>
                <w:rFonts w:ascii="Times New Roman" w:hAnsi="Times New Roman" w:cs="Times New Roman"/>
                <w:szCs w:val="24"/>
              </w:rPr>
            </w:pPr>
            <w:proofErr w:type="gramStart"/>
            <w:r w:rsidRPr="00731FE2">
              <w:rPr>
                <w:rFonts w:ascii="Times New Roman" w:hAnsi="Times New Roman" w:cs="Times New Roman"/>
                <w:szCs w:val="24"/>
              </w:rPr>
              <w:t>км</w:t>
            </w:r>
            <w:proofErr w:type="gramEnd"/>
            <w:r w:rsidRPr="00731FE2">
              <w:rPr>
                <w:rFonts w:ascii="Times New Roman" w:hAnsi="Times New Roman" w:cs="Times New Roman"/>
                <w:szCs w:val="24"/>
              </w:rPr>
              <w:t xml:space="preserve"> – километр.</w:t>
            </w:r>
          </w:p>
          <w:p w14:paraId="4BDF490B" w14:textId="77777777" w:rsidR="006B7AF5" w:rsidRPr="00731FE2" w:rsidRDefault="006B7AF5" w:rsidP="006B7AF5">
            <w:pPr>
              <w:ind w:firstLine="0"/>
              <w:jc w:val="left"/>
              <w:rPr>
                <w:rFonts w:ascii="Times New Roman" w:hAnsi="Times New Roman" w:cs="Times New Roman"/>
                <w:szCs w:val="24"/>
              </w:rPr>
            </w:pPr>
            <w:r w:rsidRPr="00731FE2">
              <w:rPr>
                <w:rFonts w:ascii="Times New Roman" w:hAnsi="Times New Roman" w:cs="Times New Roman"/>
                <w:szCs w:val="24"/>
              </w:rPr>
              <w:t>км</w:t>
            </w:r>
            <w:proofErr w:type="gramStart"/>
            <w:r w:rsidRPr="00731FE2">
              <w:rPr>
                <w:rFonts w:ascii="Times New Roman" w:hAnsi="Times New Roman" w:cs="Times New Roman"/>
                <w:szCs w:val="24"/>
                <w:vertAlign w:val="superscript"/>
              </w:rPr>
              <w:t>2</w:t>
            </w:r>
            <w:proofErr w:type="gramEnd"/>
            <w:r w:rsidRPr="00731FE2">
              <w:rPr>
                <w:rFonts w:ascii="Times New Roman" w:hAnsi="Times New Roman" w:cs="Times New Roman"/>
                <w:szCs w:val="24"/>
              </w:rPr>
              <w:t xml:space="preserve"> – квадратный километр.</w:t>
            </w:r>
          </w:p>
          <w:p w14:paraId="5001F972" w14:textId="77777777" w:rsidR="00B83241" w:rsidRPr="00731FE2" w:rsidRDefault="00B83241" w:rsidP="006B7AF5">
            <w:pPr>
              <w:ind w:firstLine="0"/>
              <w:jc w:val="left"/>
              <w:rPr>
                <w:rFonts w:ascii="Times New Roman" w:hAnsi="Times New Roman" w:cs="Times New Roman"/>
                <w:szCs w:val="24"/>
              </w:rPr>
            </w:pPr>
            <w:r w:rsidRPr="00731FE2">
              <w:rPr>
                <w:rFonts w:ascii="Times New Roman" w:hAnsi="Times New Roman" w:cs="Times New Roman"/>
                <w:szCs w:val="24"/>
              </w:rPr>
              <w:t>КМВ – Кавказские Минеральные Воды.</w:t>
            </w:r>
          </w:p>
          <w:p w14:paraId="76CB6B12" w14:textId="77777777" w:rsidR="006B7AF5" w:rsidRPr="00731FE2" w:rsidRDefault="006B7AF5" w:rsidP="006B7AF5">
            <w:pPr>
              <w:ind w:firstLine="0"/>
              <w:jc w:val="left"/>
              <w:rPr>
                <w:rFonts w:ascii="Times New Roman" w:hAnsi="Times New Roman" w:cs="Times New Roman"/>
                <w:szCs w:val="24"/>
              </w:rPr>
            </w:pPr>
            <w:proofErr w:type="gramStart"/>
            <w:r w:rsidRPr="00731FE2">
              <w:rPr>
                <w:rFonts w:ascii="Times New Roman" w:hAnsi="Times New Roman" w:cs="Times New Roman"/>
                <w:szCs w:val="24"/>
              </w:rPr>
              <w:t>л</w:t>
            </w:r>
            <w:proofErr w:type="gramEnd"/>
            <w:r w:rsidRPr="00731FE2">
              <w:rPr>
                <w:rFonts w:ascii="Times New Roman" w:hAnsi="Times New Roman" w:cs="Times New Roman"/>
                <w:szCs w:val="24"/>
              </w:rPr>
              <w:t>/с – литр в секунду.</w:t>
            </w:r>
          </w:p>
          <w:p w14:paraId="74D77783" w14:textId="77777777" w:rsidR="006B7AF5" w:rsidRPr="00731FE2" w:rsidRDefault="006B7AF5" w:rsidP="006B7AF5">
            <w:pPr>
              <w:ind w:firstLine="0"/>
              <w:jc w:val="left"/>
              <w:rPr>
                <w:rFonts w:ascii="Times New Roman" w:hAnsi="Times New Roman" w:cs="Times New Roman"/>
                <w:szCs w:val="24"/>
              </w:rPr>
            </w:pPr>
            <w:r w:rsidRPr="00731FE2">
              <w:rPr>
                <w:rFonts w:ascii="Times New Roman" w:hAnsi="Times New Roman" w:cs="Times New Roman"/>
                <w:szCs w:val="24"/>
              </w:rPr>
              <w:t>ЛЭП – линии электропередач.</w:t>
            </w:r>
          </w:p>
          <w:p w14:paraId="0910E50A" w14:textId="77777777" w:rsidR="006B7AF5" w:rsidRPr="00731FE2" w:rsidRDefault="006B7AF5" w:rsidP="006B7AF5">
            <w:pPr>
              <w:ind w:firstLine="0"/>
              <w:jc w:val="left"/>
              <w:rPr>
                <w:rFonts w:ascii="Times New Roman" w:hAnsi="Times New Roman" w:cs="Times New Roman"/>
                <w:szCs w:val="24"/>
              </w:rPr>
            </w:pPr>
            <w:proofErr w:type="gramStart"/>
            <w:r w:rsidRPr="00731FE2">
              <w:rPr>
                <w:rFonts w:ascii="Times New Roman" w:hAnsi="Times New Roman" w:cs="Times New Roman"/>
                <w:szCs w:val="24"/>
              </w:rPr>
              <w:t>м</w:t>
            </w:r>
            <w:proofErr w:type="gramEnd"/>
            <w:r w:rsidRPr="00731FE2">
              <w:rPr>
                <w:rFonts w:ascii="Times New Roman" w:hAnsi="Times New Roman" w:cs="Times New Roman"/>
                <w:szCs w:val="24"/>
              </w:rPr>
              <w:t xml:space="preserve"> – метр.</w:t>
            </w:r>
          </w:p>
          <w:p w14:paraId="682F5B44" w14:textId="77777777" w:rsidR="006B7AF5" w:rsidRPr="00731FE2" w:rsidRDefault="006B7AF5" w:rsidP="006B7AF5">
            <w:pPr>
              <w:ind w:firstLine="0"/>
              <w:jc w:val="left"/>
              <w:rPr>
                <w:rFonts w:ascii="Times New Roman" w:hAnsi="Times New Roman" w:cs="Times New Roman"/>
                <w:szCs w:val="24"/>
              </w:rPr>
            </w:pPr>
            <w:proofErr w:type="gramStart"/>
            <w:r w:rsidRPr="00731FE2">
              <w:rPr>
                <w:rFonts w:ascii="Times New Roman" w:hAnsi="Times New Roman" w:cs="Times New Roman"/>
                <w:szCs w:val="24"/>
              </w:rPr>
              <w:t>мм</w:t>
            </w:r>
            <w:proofErr w:type="gramEnd"/>
            <w:r w:rsidRPr="00731FE2">
              <w:rPr>
                <w:rFonts w:ascii="Times New Roman" w:hAnsi="Times New Roman" w:cs="Times New Roman"/>
                <w:szCs w:val="24"/>
              </w:rPr>
              <w:t xml:space="preserve"> – миллиметр.</w:t>
            </w:r>
          </w:p>
          <w:p w14:paraId="7BCD271A" w14:textId="77777777" w:rsidR="006B7AF5" w:rsidRPr="00731FE2" w:rsidRDefault="006B7AF5" w:rsidP="006B7AF5">
            <w:pPr>
              <w:ind w:firstLine="0"/>
              <w:jc w:val="left"/>
              <w:rPr>
                <w:rFonts w:ascii="Times New Roman" w:hAnsi="Times New Roman" w:cs="Times New Roman"/>
                <w:szCs w:val="24"/>
              </w:rPr>
            </w:pPr>
            <w:r w:rsidRPr="00731FE2">
              <w:rPr>
                <w:rFonts w:ascii="Times New Roman" w:hAnsi="Times New Roman" w:cs="Times New Roman"/>
                <w:szCs w:val="24"/>
              </w:rPr>
              <w:t>м</w:t>
            </w:r>
            <w:proofErr w:type="gramStart"/>
            <w:r w:rsidRPr="00731FE2">
              <w:rPr>
                <w:rFonts w:ascii="Times New Roman" w:hAnsi="Times New Roman" w:cs="Times New Roman"/>
                <w:szCs w:val="24"/>
                <w:vertAlign w:val="superscript"/>
              </w:rPr>
              <w:t>2</w:t>
            </w:r>
            <w:proofErr w:type="gramEnd"/>
            <w:r w:rsidRPr="00731FE2">
              <w:rPr>
                <w:rFonts w:ascii="Times New Roman" w:hAnsi="Times New Roman" w:cs="Times New Roman"/>
                <w:szCs w:val="24"/>
              </w:rPr>
              <w:t xml:space="preserve"> – квадратный метр.</w:t>
            </w:r>
          </w:p>
          <w:p w14:paraId="086203C4" w14:textId="77777777" w:rsidR="006B7AF5" w:rsidRPr="00731FE2" w:rsidRDefault="006B7AF5" w:rsidP="006B7AF5">
            <w:pPr>
              <w:ind w:firstLine="0"/>
              <w:jc w:val="left"/>
              <w:rPr>
                <w:rFonts w:ascii="Times New Roman" w:hAnsi="Times New Roman" w:cs="Times New Roman"/>
                <w:szCs w:val="24"/>
              </w:rPr>
            </w:pPr>
            <w:r w:rsidRPr="00731FE2">
              <w:rPr>
                <w:rFonts w:ascii="Times New Roman" w:hAnsi="Times New Roman" w:cs="Times New Roman"/>
                <w:szCs w:val="24"/>
              </w:rPr>
              <w:t>м</w:t>
            </w:r>
            <w:r w:rsidRPr="00731FE2">
              <w:rPr>
                <w:rFonts w:ascii="Times New Roman" w:hAnsi="Times New Roman" w:cs="Times New Roman"/>
                <w:szCs w:val="24"/>
                <w:vertAlign w:val="superscript"/>
              </w:rPr>
              <w:t>3</w:t>
            </w:r>
            <w:r w:rsidRPr="00731FE2">
              <w:rPr>
                <w:rFonts w:ascii="Times New Roman" w:hAnsi="Times New Roman" w:cs="Times New Roman"/>
                <w:szCs w:val="24"/>
              </w:rPr>
              <w:t xml:space="preserve"> – кубический метр</w:t>
            </w:r>
          </w:p>
          <w:p w14:paraId="3337184C" w14:textId="77777777" w:rsidR="006B7AF5" w:rsidRPr="00731FE2" w:rsidRDefault="006B7AF5" w:rsidP="006B7AF5">
            <w:pPr>
              <w:ind w:firstLine="0"/>
              <w:jc w:val="left"/>
              <w:rPr>
                <w:rFonts w:ascii="Times New Roman" w:hAnsi="Times New Roman" w:cs="Times New Roman"/>
                <w:szCs w:val="24"/>
              </w:rPr>
            </w:pPr>
            <w:proofErr w:type="gramStart"/>
            <w:r w:rsidRPr="00731FE2">
              <w:rPr>
                <w:rFonts w:ascii="Times New Roman" w:eastAsia="Calibri" w:hAnsi="Times New Roman" w:cs="Times New Roman"/>
                <w:bCs/>
                <w:szCs w:val="24"/>
              </w:rPr>
              <w:t>м</w:t>
            </w:r>
            <w:proofErr w:type="gramEnd"/>
            <w:r w:rsidRPr="00731FE2">
              <w:rPr>
                <w:rFonts w:ascii="Times New Roman" w:eastAsia="Calibri" w:hAnsi="Times New Roman" w:cs="Times New Roman"/>
                <w:bCs/>
                <w:szCs w:val="24"/>
              </w:rPr>
              <w:t>/с – метр в секунду.</w:t>
            </w:r>
          </w:p>
          <w:p w14:paraId="63ABE7E2" w14:textId="77777777" w:rsidR="006B7AF5" w:rsidRPr="00731FE2" w:rsidRDefault="006B7AF5" w:rsidP="006B7AF5">
            <w:pPr>
              <w:ind w:firstLine="0"/>
              <w:jc w:val="left"/>
              <w:rPr>
                <w:rFonts w:ascii="Times New Roman" w:hAnsi="Times New Roman" w:cs="Times New Roman"/>
                <w:szCs w:val="24"/>
              </w:rPr>
            </w:pPr>
            <w:r w:rsidRPr="00731FE2">
              <w:rPr>
                <w:rFonts w:ascii="Times New Roman" w:eastAsia="Calibri" w:hAnsi="Times New Roman" w:cs="Times New Roman"/>
                <w:bCs/>
                <w:szCs w:val="24"/>
              </w:rPr>
              <w:t>м</w:t>
            </w:r>
            <w:r w:rsidRPr="00731FE2">
              <w:rPr>
                <w:rFonts w:ascii="Times New Roman" w:eastAsia="Calibri" w:hAnsi="Times New Roman" w:cs="Times New Roman"/>
                <w:bCs/>
                <w:szCs w:val="24"/>
                <w:vertAlign w:val="superscript"/>
              </w:rPr>
              <w:t>3</w:t>
            </w:r>
            <w:r w:rsidRPr="00731FE2">
              <w:rPr>
                <w:rFonts w:ascii="Times New Roman" w:eastAsia="Calibri" w:hAnsi="Times New Roman" w:cs="Times New Roman"/>
                <w:bCs/>
                <w:szCs w:val="24"/>
              </w:rPr>
              <w:t>/с – кубический метр в секунду.</w:t>
            </w:r>
          </w:p>
          <w:p w14:paraId="54EBC5DB" w14:textId="77777777" w:rsidR="006B7AF5" w:rsidRPr="00731FE2" w:rsidRDefault="006B7AF5" w:rsidP="006B7AF5">
            <w:pPr>
              <w:ind w:firstLine="0"/>
              <w:jc w:val="left"/>
              <w:rPr>
                <w:rFonts w:ascii="Times New Roman" w:hAnsi="Times New Roman" w:cs="Times New Roman"/>
                <w:szCs w:val="24"/>
              </w:rPr>
            </w:pPr>
            <w:proofErr w:type="gramStart"/>
            <w:r w:rsidRPr="00731FE2">
              <w:rPr>
                <w:rFonts w:ascii="Times New Roman" w:hAnsi="Times New Roman" w:cs="Times New Roman"/>
                <w:szCs w:val="24"/>
              </w:rPr>
              <w:t>м</w:t>
            </w:r>
            <w:proofErr w:type="gramEnd"/>
            <w:r w:rsidRPr="00731FE2">
              <w:rPr>
                <w:rFonts w:ascii="Times New Roman" w:hAnsi="Times New Roman" w:cs="Times New Roman"/>
                <w:szCs w:val="24"/>
              </w:rPr>
              <w:t xml:space="preserve"> – метр.</w:t>
            </w:r>
          </w:p>
          <w:p w14:paraId="74124CF4" w14:textId="77777777" w:rsidR="006B7AF5" w:rsidRPr="00731FE2" w:rsidRDefault="006B7AF5" w:rsidP="006B7AF5">
            <w:pPr>
              <w:ind w:firstLine="0"/>
              <w:jc w:val="left"/>
              <w:rPr>
                <w:rFonts w:ascii="Times New Roman" w:hAnsi="Times New Roman" w:cs="Times New Roman"/>
                <w:szCs w:val="24"/>
              </w:rPr>
            </w:pPr>
            <w:proofErr w:type="gramStart"/>
            <w:r w:rsidRPr="00731FE2">
              <w:rPr>
                <w:rFonts w:ascii="Times New Roman" w:hAnsi="Times New Roman" w:cs="Times New Roman"/>
                <w:szCs w:val="24"/>
              </w:rPr>
              <w:t>мм</w:t>
            </w:r>
            <w:proofErr w:type="gramEnd"/>
            <w:r w:rsidRPr="00731FE2">
              <w:rPr>
                <w:rFonts w:ascii="Times New Roman" w:hAnsi="Times New Roman" w:cs="Times New Roman"/>
                <w:szCs w:val="24"/>
              </w:rPr>
              <w:t xml:space="preserve"> – миллиметр.</w:t>
            </w:r>
          </w:p>
          <w:p w14:paraId="7D1F2A24" w14:textId="77777777" w:rsidR="006B7AF5" w:rsidRPr="00731FE2" w:rsidRDefault="006B7AF5" w:rsidP="006B7AF5">
            <w:pPr>
              <w:ind w:firstLine="0"/>
              <w:jc w:val="left"/>
              <w:rPr>
                <w:rFonts w:ascii="Times New Roman" w:hAnsi="Times New Roman" w:cs="Times New Roman"/>
                <w:szCs w:val="24"/>
              </w:rPr>
            </w:pPr>
            <w:r w:rsidRPr="00731FE2">
              <w:rPr>
                <w:rFonts w:ascii="Times New Roman" w:hAnsi="Times New Roman" w:cs="Times New Roman"/>
                <w:szCs w:val="24"/>
              </w:rPr>
              <w:t>м</w:t>
            </w:r>
            <w:proofErr w:type="gramStart"/>
            <w:r w:rsidRPr="00731FE2">
              <w:rPr>
                <w:rFonts w:ascii="Times New Roman" w:hAnsi="Times New Roman" w:cs="Times New Roman"/>
                <w:szCs w:val="24"/>
                <w:vertAlign w:val="superscript"/>
              </w:rPr>
              <w:t>2</w:t>
            </w:r>
            <w:proofErr w:type="gramEnd"/>
            <w:r w:rsidRPr="00731FE2">
              <w:rPr>
                <w:rFonts w:ascii="Times New Roman" w:hAnsi="Times New Roman" w:cs="Times New Roman"/>
                <w:szCs w:val="24"/>
              </w:rPr>
              <w:t xml:space="preserve"> – квадратный метр.</w:t>
            </w:r>
          </w:p>
          <w:p w14:paraId="2FA0B0DF" w14:textId="77777777" w:rsidR="006B7AF5" w:rsidRPr="00731FE2" w:rsidRDefault="006B7AF5" w:rsidP="006B7AF5">
            <w:pPr>
              <w:ind w:firstLine="0"/>
              <w:jc w:val="left"/>
              <w:rPr>
                <w:rFonts w:ascii="Times New Roman" w:hAnsi="Times New Roman" w:cs="Times New Roman"/>
                <w:szCs w:val="24"/>
              </w:rPr>
            </w:pPr>
            <w:r w:rsidRPr="00731FE2">
              <w:rPr>
                <w:rFonts w:ascii="Times New Roman" w:hAnsi="Times New Roman" w:cs="Times New Roman"/>
                <w:szCs w:val="24"/>
              </w:rPr>
              <w:t>м</w:t>
            </w:r>
            <w:r w:rsidRPr="00731FE2">
              <w:rPr>
                <w:rFonts w:ascii="Times New Roman" w:hAnsi="Times New Roman" w:cs="Times New Roman"/>
                <w:szCs w:val="24"/>
                <w:vertAlign w:val="superscript"/>
              </w:rPr>
              <w:t>3</w:t>
            </w:r>
            <w:r w:rsidRPr="00731FE2">
              <w:rPr>
                <w:rFonts w:ascii="Times New Roman" w:hAnsi="Times New Roman" w:cs="Times New Roman"/>
                <w:szCs w:val="24"/>
              </w:rPr>
              <w:t xml:space="preserve"> – кубический метр.</w:t>
            </w:r>
          </w:p>
          <w:p w14:paraId="42AE3659" w14:textId="77777777" w:rsidR="0068356D" w:rsidRPr="00731FE2" w:rsidRDefault="0068356D" w:rsidP="0068356D">
            <w:pPr>
              <w:ind w:firstLine="0"/>
              <w:jc w:val="left"/>
              <w:rPr>
                <w:rFonts w:ascii="Times New Roman" w:hAnsi="Times New Roman" w:cs="Times New Roman"/>
                <w:szCs w:val="24"/>
              </w:rPr>
            </w:pPr>
            <w:r w:rsidRPr="00731FE2">
              <w:rPr>
                <w:rFonts w:ascii="Times New Roman" w:hAnsi="Times New Roman" w:cs="Times New Roman"/>
                <w:szCs w:val="24"/>
              </w:rPr>
              <w:t>м</w:t>
            </w:r>
            <w:r w:rsidRPr="00731FE2">
              <w:rPr>
                <w:rFonts w:ascii="Times New Roman" w:hAnsi="Times New Roman" w:cs="Times New Roman"/>
                <w:szCs w:val="24"/>
                <w:vertAlign w:val="superscript"/>
              </w:rPr>
              <w:t>3</w:t>
            </w:r>
            <w:r w:rsidRPr="00731FE2">
              <w:rPr>
                <w:rFonts w:ascii="Times New Roman" w:hAnsi="Times New Roman" w:cs="Times New Roman"/>
                <w:szCs w:val="24"/>
              </w:rPr>
              <w:t>/сут. – кубический метр в сутки.</w:t>
            </w:r>
          </w:p>
          <w:p w14:paraId="3067DE48" w14:textId="77777777" w:rsidR="006B7AF5" w:rsidRPr="00731FE2" w:rsidRDefault="006B7AF5" w:rsidP="0068356D">
            <w:pPr>
              <w:ind w:firstLine="0"/>
              <w:jc w:val="left"/>
              <w:rPr>
                <w:rFonts w:ascii="Times New Roman" w:hAnsi="Times New Roman" w:cs="Times New Roman"/>
                <w:szCs w:val="24"/>
              </w:rPr>
            </w:pPr>
          </w:p>
        </w:tc>
        <w:tc>
          <w:tcPr>
            <w:tcW w:w="4673" w:type="dxa"/>
          </w:tcPr>
          <w:p w14:paraId="1BC743DB" w14:textId="77777777" w:rsidR="0068356D" w:rsidRPr="00731FE2" w:rsidRDefault="0068356D" w:rsidP="0068356D">
            <w:pPr>
              <w:ind w:firstLine="0"/>
              <w:jc w:val="left"/>
              <w:rPr>
                <w:rFonts w:ascii="Times New Roman" w:hAnsi="Times New Roman" w:cs="Times New Roman"/>
                <w:szCs w:val="24"/>
              </w:rPr>
            </w:pPr>
            <w:r w:rsidRPr="00731FE2">
              <w:rPr>
                <w:rFonts w:ascii="Times New Roman" w:hAnsi="Times New Roman" w:cs="Times New Roman"/>
                <w:szCs w:val="24"/>
              </w:rPr>
              <w:t>МБДОУ – Муниципальное бюджетное дошкольное образовательное учреждение.</w:t>
            </w:r>
          </w:p>
          <w:p w14:paraId="4682D7EA" w14:textId="77777777" w:rsidR="0068356D" w:rsidRPr="00731FE2" w:rsidRDefault="0068356D" w:rsidP="0068356D">
            <w:pPr>
              <w:ind w:firstLine="0"/>
              <w:jc w:val="left"/>
              <w:rPr>
                <w:rFonts w:ascii="Times New Roman" w:hAnsi="Times New Roman" w:cs="Times New Roman"/>
                <w:szCs w:val="24"/>
              </w:rPr>
            </w:pPr>
            <w:r w:rsidRPr="00731FE2">
              <w:rPr>
                <w:rFonts w:ascii="Times New Roman" w:hAnsi="Times New Roman" w:cs="Times New Roman"/>
                <w:szCs w:val="24"/>
              </w:rPr>
              <w:t>МБОУ - Муниципальное бюджетное общеобразовательное учреждение.</w:t>
            </w:r>
          </w:p>
          <w:p w14:paraId="24A1FE0E" w14:textId="77777777" w:rsidR="0068356D" w:rsidRPr="00731FE2" w:rsidRDefault="0068356D" w:rsidP="0068356D">
            <w:pPr>
              <w:ind w:firstLine="0"/>
              <w:jc w:val="left"/>
              <w:rPr>
                <w:rFonts w:ascii="Times New Roman" w:hAnsi="Times New Roman" w:cs="Times New Roman"/>
                <w:szCs w:val="24"/>
              </w:rPr>
            </w:pPr>
            <w:proofErr w:type="gramStart"/>
            <w:r w:rsidRPr="00731FE2">
              <w:rPr>
                <w:rFonts w:ascii="Times New Roman" w:eastAsia="Calibri" w:hAnsi="Times New Roman" w:cs="Times New Roman"/>
                <w:szCs w:val="24"/>
              </w:rPr>
              <w:t>млн</w:t>
            </w:r>
            <w:proofErr w:type="gramEnd"/>
            <w:r w:rsidRPr="00731FE2">
              <w:rPr>
                <w:rFonts w:ascii="Times New Roman" w:eastAsia="Calibri" w:hAnsi="Times New Roman" w:cs="Times New Roman"/>
                <w:szCs w:val="24"/>
              </w:rPr>
              <w:t xml:space="preserve"> руб. – миллион рублей.</w:t>
            </w:r>
          </w:p>
          <w:p w14:paraId="759C34F3" w14:textId="77777777" w:rsidR="0068356D" w:rsidRPr="00731FE2" w:rsidRDefault="0068356D" w:rsidP="0068356D">
            <w:pPr>
              <w:ind w:firstLine="0"/>
              <w:jc w:val="left"/>
              <w:rPr>
                <w:rFonts w:ascii="Times New Roman" w:hAnsi="Times New Roman" w:cs="Times New Roman"/>
                <w:szCs w:val="24"/>
              </w:rPr>
            </w:pPr>
            <w:r w:rsidRPr="00731FE2">
              <w:rPr>
                <w:rFonts w:ascii="Times New Roman" w:hAnsi="Times New Roman" w:cs="Times New Roman"/>
                <w:szCs w:val="24"/>
              </w:rPr>
              <w:t xml:space="preserve">МО – муниципальное образование. </w:t>
            </w:r>
          </w:p>
          <w:p w14:paraId="04A854A1" w14:textId="77777777" w:rsidR="0068356D" w:rsidRPr="00731FE2" w:rsidRDefault="0068356D" w:rsidP="0068356D">
            <w:pPr>
              <w:ind w:firstLine="0"/>
              <w:jc w:val="left"/>
              <w:rPr>
                <w:rFonts w:ascii="Times New Roman" w:hAnsi="Times New Roman" w:cs="Times New Roman"/>
                <w:szCs w:val="24"/>
              </w:rPr>
            </w:pPr>
            <w:r w:rsidRPr="00731FE2">
              <w:rPr>
                <w:rFonts w:ascii="Times New Roman" w:hAnsi="Times New Roman" w:cs="Times New Roman"/>
                <w:szCs w:val="24"/>
              </w:rPr>
              <w:t>ОАО – открытое акционерное общество.</w:t>
            </w:r>
          </w:p>
          <w:p w14:paraId="48C34BD3" w14:textId="77777777" w:rsidR="00FD1C19" w:rsidRPr="00731FE2" w:rsidRDefault="00FD1C19" w:rsidP="0068356D">
            <w:pPr>
              <w:ind w:firstLine="0"/>
              <w:jc w:val="left"/>
              <w:rPr>
                <w:rFonts w:ascii="Times New Roman" w:hAnsi="Times New Roman" w:cs="Times New Roman"/>
                <w:szCs w:val="24"/>
              </w:rPr>
            </w:pPr>
            <w:proofErr w:type="gramStart"/>
            <w:r w:rsidRPr="00731FE2">
              <w:rPr>
                <w:rFonts w:ascii="Times New Roman" w:eastAsia="Times New Roman" w:hAnsi="Times New Roman" w:cs="Times New Roman"/>
                <w:color w:val="000000"/>
              </w:rPr>
              <w:t>ОКР</w:t>
            </w:r>
            <w:proofErr w:type="gramEnd"/>
            <w:r w:rsidRPr="00731FE2">
              <w:rPr>
                <w:rFonts w:ascii="Times New Roman" w:eastAsia="Times New Roman" w:hAnsi="Times New Roman" w:cs="Times New Roman"/>
                <w:color w:val="000000"/>
              </w:rPr>
              <w:t xml:space="preserve"> – опорный каркас расселения.</w:t>
            </w:r>
          </w:p>
          <w:p w14:paraId="0740C55B" w14:textId="77777777" w:rsidR="0068356D" w:rsidRPr="00731FE2" w:rsidRDefault="0068356D" w:rsidP="0068356D">
            <w:pPr>
              <w:ind w:firstLine="0"/>
              <w:jc w:val="left"/>
              <w:rPr>
                <w:rFonts w:ascii="Times New Roman" w:hAnsi="Times New Roman" w:cs="Times New Roman"/>
                <w:szCs w:val="24"/>
              </w:rPr>
            </w:pPr>
            <w:r w:rsidRPr="00731FE2">
              <w:rPr>
                <w:rFonts w:ascii="Times New Roman" w:hAnsi="Times New Roman" w:cs="Times New Roman"/>
                <w:szCs w:val="24"/>
              </w:rPr>
              <w:t>ООПТ – особо охраняемые природные территории.</w:t>
            </w:r>
          </w:p>
          <w:p w14:paraId="5ADFF685" w14:textId="77777777" w:rsidR="006B7AF5" w:rsidRPr="00731FE2" w:rsidRDefault="006B7AF5" w:rsidP="0068356D">
            <w:pPr>
              <w:ind w:firstLine="0"/>
              <w:jc w:val="left"/>
              <w:rPr>
                <w:rFonts w:ascii="Times New Roman" w:hAnsi="Times New Roman" w:cs="Times New Roman"/>
                <w:szCs w:val="24"/>
              </w:rPr>
            </w:pPr>
            <w:r w:rsidRPr="00731FE2">
              <w:rPr>
                <w:rFonts w:ascii="Times New Roman" w:hAnsi="Times New Roman" w:cs="Times New Roman"/>
                <w:szCs w:val="24"/>
              </w:rPr>
              <w:t>ООО – общество с ограниченной ответственностью.</w:t>
            </w:r>
          </w:p>
          <w:p w14:paraId="5D012A93" w14:textId="77777777" w:rsidR="006C7DE5" w:rsidRPr="00731FE2" w:rsidRDefault="006C7DE5" w:rsidP="006B7AF5">
            <w:pPr>
              <w:ind w:firstLine="0"/>
              <w:jc w:val="left"/>
              <w:rPr>
                <w:rFonts w:ascii="Times New Roman" w:hAnsi="Times New Roman" w:cs="Times New Roman"/>
                <w:szCs w:val="24"/>
              </w:rPr>
            </w:pPr>
            <w:r w:rsidRPr="00731FE2">
              <w:rPr>
                <w:rFonts w:ascii="Times New Roman" w:hAnsi="Times New Roman" w:cs="Times New Roman"/>
                <w:szCs w:val="24"/>
              </w:rPr>
              <w:t>ОУ – общеобразовательное учреждение.</w:t>
            </w:r>
          </w:p>
          <w:p w14:paraId="10CB3693" w14:textId="77777777" w:rsidR="006C7DE5" w:rsidRPr="00731FE2" w:rsidRDefault="006C7DE5" w:rsidP="006B7AF5">
            <w:pPr>
              <w:ind w:firstLine="0"/>
              <w:jc w:val="left"/>
              <w:rPr>
                <w:rFonts w:ascii="Times New Roman" w:hAnsi="Times New Roman" w:cs="Times New Roman"/>
                <w:szCs w:val="24"/>
              </w:rPr>
            </w:pPr>
            <w:r w:rsidRPr="00731FE2">
              <w:rPr>
                <w:rFonts w:ascii="Times New Roman" w:hAnsi="Times New Roman" w:cs="Times New Roman"/>
                <w:szCs w:val="24"/>
              </w:rPr>
              <w:t xml:space="preserve">п. – поселок. </w:t>
            </w:r>
          </w:p>
          <w:p w14:paraId="5EF971D4" w14:textId="77777777" w:rsidR="006B7AF5" w:rsidRPr="00731FE2" w:rsidRDefault="006B7AF5" w:rsidP="006B7AF5">
            <w:pPr>
              <w:ind w:firstLine="0"/>
              <w:jc w:val="left"/>
              <w:rPr>
                <w:rFonts w:ascii="Times New Roman" w:hAnsi="Times New Roman" w:cs="Times New Roman"/>
                <w:szCs w:val="24"/>
              </w:rPr>
            </w:pPr>
            <w:r w:rsidRPr="00731FE2">
              <w:rPr>
                <w:rFonts w:ascii="Times New Roman" w:hAnsi="Times New Roman" w:cs="Times New Roman"/>
                <w:szCs w:val="24"/>
              </w:rPr>
              <w:t>ПАО – публичное акционерное общество.</w:t>
            </w:r>
          </w:p>
          <w:p w14:paraId="2290B659" w14:textId="77777777" w:rsidR="006B7AF5" w:rsidRPr="00731FE2" w:rsidRDefault="006B7AF5" w:rsidP="006B7AF5">
            <w:pPr>
              <w:ind w:firstLine="0"/>
              <w:jc w:val="left"/>
              <w:rPr>
                <w:rFonts w:ascii="Times New Roman" w:hAnsi="Times New Roman" w:cs="Times New Roman"/>
                <w:szCs w:val="24"/>
              </w:rPr>
            </w:pPr>
            <w:r w:rsidRPr="00731FE2">
              <w:rPr>
                <w:rFonts w:ascii="Times New Roman" w:hAnsi="Times New Roman" w:cs="Times New Roman"/>
                <w:szCs w:val="24"/>
              </w:rPr>
              <w:t>ПС – электроподстанция.</w:t>
            </w:r>
          </w:p>
          <w:p w14:paraId="24B03020" w14:textId="77777777" w:rsidR="00FD1C19" w:rsidRPr="00731FE2" w:rsidRDefault="00FD1C19" w:rsidP="006B7AF5">
            <w:pPr>
              <w:ind w:firstLine="0"/>
              <w:jc w:val="left"/>
              <w:rPr>
                <w:rFonts w:ascii="Times New Roman" w:hAnsi="Times New Roman" w:cs="Times New Roman"/>
                <w:szCs w:val="24"/>
              </w:rPr>
            </w:pPr>
            <w:r w:rsidRPr="00731FE2">
              <w:rPr>
                <w:rFonts w:ascii="Times New Roman" w:hAnsi="Times New Roman" w:cs="Times New Roman"/>
                <w:szCs w:val="24"/>
              </w:rPr>
              <w:t>ПСД – проектно-сметная документация.</w:t>
            </w:r>
          </w:p>
          <w:p w14:paraId="16331385" w14:textId="77777777" w:rsidR="006B7AF5" w:rsidRPr="00731FE2" w:rsidRDefault="006B7AF5" w:rsidP="006B7AF5">
            <w:pPr>
              <w:ind w:firstLine="0"/>
              <w:jc w:val="left"/>
              <w:rPr>
                <w:rFonts w:ascii="Times New Roman" w:hAnsi="Times New Roman" w:cs="Times New Roman"/>
                <w:szCs w:val="24"/>
              </w:rPr>
            </w:pPr>
            <w:r w:rsidRPr="00731FE2">
              <w:rPr>
                <w:rFonts w:ascii="Times New Roman" w:hAnsi="Times New Roman" w:cs="Times New Roman"/>
                <w:szCs w:val="24"/>
              </w:rPr>
              <w:t>р. – река.</w:t>
            </w:r>
          </w:p>
          <w:p w14:paraId="40808B44" w14:textId="77777777" w:rsidR="006B7AF5" w:rsidRPr="00731FE2" w:rsidRDefault="006B7AF5" w:rsidP="006B7AF5">
            <w:pPr>
              <w:ind w:firstLine="0"/>
              <w:jc w:val="left"/>
              <w:rPr>
                <w:rFonts w:ascii="Times New Roman" w:hAnsi="Times New Roman" w:cs="Times New Roman"/>
                <w:szCs w:val="24"/>
              </w:rPr>
            </w:pPr>
            <w:r w:rsidRPr="00731FE2">
              <w:rPr>
                <w:rFonts w:ascii="Times New Roman" w:hAnsi="Times New Roman" w:cs="Times New Roman"/>
                <w:szCs w:val="24"/>
              </w:rPr>
              <w:t>РФ – Российская Федерация.</w:t>
            </w:r>
          </w:p>
          <w:p w14:paraId="1E6B8127" w14:textId="77777777" w:rsidR="006B7AF5" w:rsidRPr="00731FE2" w:rsidRDefault="006B7AF5" w:rsidP="006B7AF5">
            <w:pPr>
              <w:ind w:firstLine="0"/>
              <w:jc w:val="left"/>
              <w:rPr>
                <w:rFonts w:ascii="Times New Roman" w:hAnsi="Times New Roman" w:cs="Times New Roman"/>
                <w:szCs w:val="24"/>
              </w:rPr>
            </w:pPr>
            <w:r w:rsidRPr="00731FE2">
              <w:rPr>
                <w:rFonts w:ascii="Times New Roman" w:hAnsi="Times New Roman" w:cs="Times New Roman"/>
                <w:szCs w:val="24"/>
              </w:rPr>
              <w:t>СанПиН – санитарные правила и нормы.</w:t>
            </w:r>
          </w:p>
          <w:p w14:paraId="1D4679A8" w14:textId="77777777" w:rsidR="006B7AF5" w:rsidRPr="00731FE2" w:rsidRDefault="006B7AF5" w:rsidP="006B7AF5">
            <w:pPr>
              <w:ind w:firstLine="0"/>
              <w:jc w:val="left"/>
              <w:rPr>
                <w:rFonts w:ascii="Times New Roman" w:hAnsi="Times New Roman" w:cs="Times New Roman"/>
                <w:szCs w:val="24"/>
              </w:rPr>
            </w:pPr>
            <w:r w:rsidRPr="00731FE2">
              <w:rPr>
                <w:rFonts w:ascii="Times New Roman" w:hAnsi="Times New Roman" w:cs="Times New Roman"/>
                <w:szCs w:val="24"/>
              </w:rPr>
              <w:t>СЗЗ - санитарно-защитная зона.</w:t>
            </w:r>
          </w:p>
          <w:p w14:paraId="33B5D642" w14:textId="77777777" w:rsidR="00FD1C19" w:rsidRPr="00731FE2" w:rsidRDefault="00FD1C19" w:rsidP="006B7AF5">
            <w:pPr>
              <w:ind w:firstLine="0"/>
              <w:jc w:val="left"/>
              <w:rPr>
                <w:rFonts w:ascii="Times New Roman" w:hAnsi="Times New Roman" w:cs="Times New Roman"/>
                <w:szCs w:val="24"/>
              </w:rPr>
            </w:pPr>
            <w:r w:rsidRPr="00731FE2">
              <w:rPr>
                <w:rFonts w:ascii="Times New Roman" w:eastAsia="Times New Roman" w:hAnsi="Times New Roman" w:cs="Times New Roman"/>
                <w:color w:val="000000"/>
                <w:szCs w:val="24"/>
              </w:rPr>
              <w:t>СКФО - Северо-Кавказский федеральный округ.</w:t>
            </w:r>
          </w:p>
          <w:p w14:paraId="61E96C9A" w14:textId="77777777" w:rsidR="006B7AF5" w:rsidRPr="00731FE2" w:rsidRDefault="006B7AF5" w:rsidP="006B7AF5">
            <w:pPr>
              <w:ind w:firstLine="0"/>
              <w:jc w:val="left"/>
              <w:rPr>
                <w:rFonts w:ascii="Times New Roman" w:hAnsi="Times New Roman" w:cs="Times New Roman"/>
                <w:szCs w:val="24"/>
              </w:rPr>
            </w:pPr>
            <w:r w:rsidRPr="00731FE2">
              <w:rPr>
                <w:rFonts w:ascii="Times New Roman" w:hAnsi="Times New Roman" w:cs="Times New Roman"/>
                <w:szCs w:val="24"/>
              </w:rPr>
              <w:t>СНиП – строительные нормы и правила.</w:t>
            </w:r>
          </w:p>
          <w:p w14:paraId="52F84CDA" w14:textId="77777777" w:rsidR="006B7AF5" w:rsidRPr="00731FE2" w:rsidRDefault="006B7AF5" w:rsidP="006B7AF5">
            <w:pPr>
              <w:ind w:firstLine="0"/>
              <w:jc w:val="left"/>
              <w:rPr>
                <w:rFonts w:ascii="Times New Roman" w:hAnsi="Times New Roman" w:cs="Times New Roman"/>
                <w:szCs w:val="24"/>
              </w:rPr>
            </w:pPr>
            <w:r w:rsidRPr="00731FE2">
              <w:rPr>
                <w:rFonts w:ascii="Times New Roman" w:hAnsi="Times New Roman" w:cs="Times New Roman"/>
                <w:szCs w:val="24"/>
              </w:rPr>
              <w:t>СП – свод правил.</w:t>
            </w:r>
          </w:p>
          <w:p w14:paraId="1AA9192B" w14:textId="77777777" w:rsidR="006B7AF5" w:rsidRPr="00731FE2" w:rsidRDefault="006B7AF5" w:rsidP="006B7AF5">
            <w:pPr>
              <w:ind w:firstLine="0"/>
              <w:jc w:val="left"/>
              <w:rPr>
                <w:rFonts w:ascii="Times New Roman" w:hAnsi="Times New Roman" w:cs="Times New Roman"/>
                <w:szCs w:val="24"/>
              </w:rPr>
            </w:pPr>
            <w:r w:rsidRPr="00731FE2">
              <w:rPr>
                <w:rFonts w:ascii="Times New Roman" w:hAnsi="Times New Roman" w:cs="Times New Roman"/>
                <w:szCs w:val="24"/>
              </w:rPr>
              <w:t>СТП – Схема территориального планирования.</w:t>
            </w:r>
          </w:p>
          <w:p w14:paraId="64375585" w14:textId="77777777" w:rsidR="006B7AF5" w:rsidRPr="00731FE2" w:rsidRDefault="006B7AF5" w:rsidP="006B7AF5">
            <w:pPr>
              <w:ind w:firstLine="0"/>
              <w:jc w:val="left"/>
              <w:rPr>
                <w:rFonts w:ascii="Times New Roman" w:hAnsi="Times New Roman" w:cs="Times New Roman"/>
                <w:szCs w:val="24"/>
              </w:rPr>
            </w:pPr>
            <w:r w:rsidRPr="00731FE2">
              <w:rPr>
                <w:rFonts w:ascii="Times New Roman" w:hAnsi="Times New Roman" w:cs="Times New Roman"/>
                <w:szCs w:val="24"/>
              </w:rPr>
              <w:t>т – тонна.</w:t>
            </w:r>
          </w:p>
          <w:p w14:paraId="39D8B36C" w14:textId="77777777" w:rsidR="006B7AF5" w:rsidRPr="00731FE2" w:rsidRDefault="006B7AF5" w:rsidP="006B7AF5">
            <w:pPr>
              <w:ind w:firstLine="0"/>
              <w:jc w:val="left"/>
              <w:rPr>
                <w:rFonts w:ascii="Times New Roman" w:hAnsi="Times New Roman" w:cs="Times New Roman"/>
                <w:szCs w:val="24"/>
              </w:rPr>
            </w:pPr>
            <w:r w:rsidRPr="00731FE2">
              <w:rPr>
                <w:rFonts w:ascii="Times New Roman" w:hAnsi="Times New Roman" w:cs="Times New Roman"/>
                <w:szCs w:val="24"/>
              </w:rPr>
              <w:t>ТКО – твердые коммунальные отходы.</w:t>
            </w:r>
          </w:p>
          <w:p w14:paraId="4968037C" w14:textId="77777777" w:rsidR="006B7AF5" w:rsidRPr="00731FE2" w:rsidRDefault="006B7AF5" w:rsidP="006B7AF5">
            <w:pPr>
              <w:ind w:firstLine="0"/>
              <w:jc w:val="left"/>
              <w:rPr>
                <w:rFonts w:ascii="Times New Roman" w:hAnsi="Times New Roman" w:cs="Times New Roman"/>
                <w:szCs w:val="24"/>
              </w:rPr>
            </w:pPr>
            <w:r w:rsidRPr="00731FE2">
              <w:rPr>
                <w:rFonts w:ascii="Times New Roman" w:hAnsi="Times New Roman" w:cs="Times New Roman"/>
                <w:szCs w:val="24"/>
              </w:rPr>
              <w:t>ТП – трансформаторная подстанция.</w:t>
            </w:r>
          </w:p>
          <w:p w14:paraId="365A904D" w14:textId="77777777" w:rsidR="006B7AF5" w:rsidRPr="00731FE2" w:rsidRDefault="006B7AF5" w:rsidP="006B7AF5">
            <w:pPr>
              <w:ind w:firstLine="0"/>
              <w:jc w:val="left"/>
              <w:rPr>
                <w:rFonts w:ascii="Times New Roman" w:eastAsia="Calibri" w:hAnsi="Times New Roman" w:cs="Times New Roman"/>
                <w:szCs w:val="24"/>
              </w:rPr>
            </w:pPr>
            <w:r w:rsidRPr="00731FE2">
              <w:rPr>
                <w:rFonts w:ascii="Times New Roman" w:eastAsia="Calibri" w:hAnsi="Times New Roman" w:cs="Times New Roman"/>
                <w:szCs w:val="24"/>
              </w:rPr>
              <w:t xml:space="preserve">тыс. руб. – тысяч рублей. </w:t>
            </w:r>
          </w:p>
          <w:p w14:paraId="4B5EB529" w14:textId="77777777" w:rsidR="006B7AF5" w:rsidRPr="00731FE2" w:rsidRDefault="006B7AF5" w:rsidP="006B7AF5">
            <w:pPr>
              <w:ind w:firstLine="0"/>
              <w:jc w:val="left"/>
              <w:rPr>
                <w:rFonts w:ascii="Times New Roman" w:hAnsi="Times New Roman" w:cs="Times New Roman"/>
                <w:szCs w:val="24"/>
              </w:rPr>
            </w:pPr>
            <w:r w:rsidRPr="00731FE2">
              <w:rPr>
                <w:rFonts w:ascii="Times New Roman" w:hAnsi="Times New Roman" w:cs="Times New Roman"/>
                <w:szCs w:val="24"/>
              </w:rPr>
              <w:t>тыс. – тысяча.</w:t>
            </w:r>
          </w:p>
          <w:p w14:paraId="0B58C1E9" w14:textId="77777777" w:rsidR="006B7AF5" w:rsidRPr="00731FE2" w:rsidRDefault="006B7AF5" w:rsidP="006B7AF5">
            <w:pPr>
              <w:ind w:firstLine="0"/>
              <w:jc w:val="left"/>
              <w:rPr>
                <w:rFonts w:ascii="Times New Roman" w:hAnsi="Times New Roman" w:cs="Times New Roman"/>
                <w:szCs w:val="24"/>
              </w:rPr>
            </w:pPr>
            <w:r w:rsidRPr="00731FE2">
              <w:rPr>
                <w:rFonts w:ascii="Times New Roman" w:eastAsia="Calibri" w:hAnsi="Times New Roman" w:cs="Times New Roman"/>
                <w:szCs w:val="24"/>
              </w:rPr>
              <w:t>тыс. га – тысяч гектар.</w:t>
            </w:r>
          </w:p>
          <w:p w14:paraId="6713BD37" w14:textId="77777777" w:rsidR="006B7AF5" w:rsidRPr="00731FE2" w:rsidRDefault="006B7AF5" w:rsidP="006B7AF5">
            <w:pPr>
              <w:ind w:firstLine="0"/>
              <w:jc w:val="left"/>
              <w:rPr>
                <w:rFonts w:ascii="Times New Roman" w:hAnsi="Times New Roman" w:cs="Times New Roman"/>
                <w:szCs w:val="24"/>
              </w:rPr>
            </w:pPr>
            <w:r w:rsidRPr="00731FE2">
              <w:rPr>
                <w:rFonts w:ascii="Times New Roman" w:hAnsi="Times New Roman" w:cs="Times New Roman"/>
                <w:szCs w:val="24"/>
              </w:rPr>
              <w:t>тыс. м</w:t>
            </w:r>
            <w:r w:rsidRPr="00731FE2">
              <w:rPr>
                <w:rFonts w:ascii="Times New Roman" w:hAnsi="Times New Roman" w:cs="Times New Roman"/>
                <w:szCs w:val="24"/>
                <w:vertAlign w:val="superscript"/>
              </w:rPr>
              <w:t>3</w:t>
            </w:r>
            <w:r w:rsidRPr="00731FE2">
              <w:rPr>
                <w:rFonts w:ascii="Times New Roman" w:hAnsi="Times New Roman" w:cs="Times New Roman"/>
                <w:szCs w:val="24"/>
              </w:rPr>
              <w:t xml:space="preserve"> – тысяч кубических метров.</w:t>
            </w:r>
          </w:p>
          <w:p w14:paraId="7B4EE24F" w14:textId="77777777" w:rsidR="006B7AF5" w:rsidRPr="00731FE2" w:rsidRDefault="006B7AF5" w:rsidP="006B7AF5">
            <w:pPr>
              <w:ind w:firstLine="0"/>
              <w:jc w:val="left"/>
              <w:rPr>
                <w:rFonts w:ascii="Times New Roman" w:hAnsi="Times New Roman" w:cs="Times New Roman"/>
                <w:szCs w:val="24"/>
              </w:rPr>
            </w:pPr>
            <w:r w:rsidRPr="00731FE2">
              <w:rPr>
                <w:rFonts w:ascii="Times New Roman" w:hAnsi="Times New Roman" w:cs="Times New Roman"/>
                <w:szCs w:val="24"/>
              </w:rPr>
              <w:t xml:space="preserve">ул. – улица. </w:t>
            </w:r>
          </w:p>
          <w:p w14:paraId="1C4CF028" w14:textId="77777777" w:rsidR="006B7AF5" w:rsidRPr="00731FE2" w:rsidRDefault="006B7AF5" w:rsidP="006B7AF5">
            <w:pPr>
              <w:ind w:firstLine="0"/>
              <w:jc w:val="left"/>
              <w:rPr>
                <w:rFonts w:ascii="Times New Roman" w:hAnsi="Times New Roman" w:cs="Times New Roman"/>
                <w:bCs/>
                <w:szCs w:val="24"/>
              </w:rPr>
            </w:pPr>
            <w:r w:rsidRPr="00731FE2">
              <w:rPr>
                <w:rFonts w:ascii="Times New Roman" w:hAnsi="Times New Roman" w:cs="Times New Roman"/>
                <w:bCs/>
                <w:szCs w:val="24"/>
              </w:rPr>
              <w:t>УГМС – Управление по гидрометеорологии и мониторингу окружающей среды.</w:t>
            </w:r>
          </w:p>
          <w:p w14:paraId="4EA5E0F5" w14:textId="77777777" w:rsidR="006B7AF5" w:rsidRPr="00731FE2" w:rsidRDefault="006B7AF5" w:rsidP="006B7AF5">
            <w:pPr>
              <w:ind w:firstLine="0"/>
              <w:jc w:val="left"/>
              <w:rPr>
                <w:rFonts w:ascii="Times New Roman" w:hAnsi="Times New Roman" w:cs="Times New Roman"/>
                <w:bCs/>
                <w:szCs w:val="24"/>
              </w:rPr>
            </w:pPr>
            <w:r w:rsidRPr="00731FE2">
              <w:rPr>
                <w:rFonts w:ascii="Times New Roman" w:hAnsi="Times New Roman" w:cs="Times New Roman"/>
                <w:bCs/>
                <w:szCs w:val="24"/>
              </w:rPr>
              <w:t>ФГБУ – Федеральное государственное бюджетное учреждение.</w:t>
            </w:r>
          </w:p>
          <w:p w14:paraId="4CB3FA35" w14:textId="77777777" w:rsidR="006B7AF5" w:rsidRPr="00731FE2" w:rsidRDefault="006B7AF5" w:rsidP="006B7AF5">
            <w:pPr>
              <w:ind w:firstLine="0"/>
              <w:jc w:val="left"/>
              <w:rPr>
                <w:rFonts w:ascii="Times New Roman" w:hAnsi="Times New Roman" w:cs="Times New Roman"/>
                <w:bCs/>
                <w:szCs w:val="24"/>
              </w:rPr>
            </w:pPr>
            <w:r w:rsidRPr="00731FE2">
              <w:rPr>
                <w:rFonts w:ascii="Times New Roman" w:hAnsi="Times New Roman" w:cs="Times New Roman"/>
                <w:bCs/>
                <w:szCs w:val="24"/>
              </w:rPr>
              <w:t>ФГИС ТП – Федеральная государственная информационная система территориального планирования.</w:t>
            </w:r>
          </w:p>
          <w:p w14:paraId="2F92AFFA" w14:textId="77777777" w:rsidR="006B7AF5" w:rsidRPr="00731FE2" w:rsidRDefault="006B7AF5" w:rsidP="006B7AF5">
            <w:pPr>
              <w:ind w:firstLine="0"/>
              <w:jc w:val="left"/>
              <w:rPr>
                <w:rFonts w:ascii="Times New Roman" w:hAnsi="Times New Roman" w:cs="Times New Roman"/>
                <w:bCs/>
                <w:szCs w:val="24"/>
              </w:rPr>
            </w:pPr>
            <w:r w:rsidRPr="00731FE2">
              <w:rPr>
                <w:rFonts w:ascii="Times New Roman" w:hAnsi="Times New Roman" w:cs="Times New Roman"/>
                <w:bCs/>
                <w:szCs w:val="24"/>
              </w:rPr>
              <w:t>ФЗ – федеральный закон.</w:t>
            </w:r>
          </w:p>
          <w:p w14:paraId="2975D2CD" w14:textId="77777777" w:rsidR="006B7AF5" w:rsidRPr="00731FE2" w:rsidRDefault="006B7AF5" w:rsidP="006B7AF5">
            <w:pPr>
              <w:ind w:firstLine="0"/>
              <w:jc w:val="left"/>
              <w:rPr>
                <w:rFonts w:ascii="Times New Roman" w:hAnsi="Times New Roman" w:cs="Times New Roman"/>
                <w:szCs w:val="24"/>
              </w:rPr>
            </w:pPr>
            <w:r w:rsidRPr="00731FE2">
              <w:rPr>
                <w:rFonts w:ascii="Times New Roman" w:hAnsi="Times New Roman" w:cs="Times New Roman"/>
                <w:szCs w:val="24"/>
              </w:rPr>
              <w:t>чел. – человек.</w:t>
            </w:r>
          </w:p>
          <w:p w14:paraId="2824D92B" w14:textId="77777777" w:rsidR="006B7AF5" w:rsidRPr="00731FE2" w:rsidRDefault="006B7AF5" w:rsidP="006B7AF5">
            <w:pPr>
              <w:ind w:firstLine="0"/>
              <w:jc w:val="left"/>
              <w:rPr>
                <w:rFonts w:ascii="Times New Roman" w:hAnsi="Times New Roman" w:cs="Times New Roman"/>
                <w:szCs w:val="24"/>
              </w:rPr>
            </w:pPr>
          </w:p>
        </w:tc>
      </w:tr>
    </w:tbl>
    <w:p w14:paraId="698F3847" w14:textId="77777777" w:rsidR="00171AA8" w:rsidRPr="00731FE2" w:rsidRDefault="00171AA8">
      <w:pPr>
        <w:rPr>
          <w:rFonts w:ascii="Times New Roman" w:hAnsi="Times New Roman" w:cs="Times New Roman"/>
        </w:rPr>
      </w:pPr>
    </w:p>
    <w:p w14:paraId="366EE0A6" w14:textId="77777777" w:rsidR="00171AA8" w:rsidRPr="00731FE2" w:rsidRDefault="007935AB">
      <w:pPr>
        <w:rPr>
          <w:rFonts w:ascii="Times New Roman" w:hAnsi="Times New Roman" w:cs="Times New Roman"/>
        </w:rPr>
      </w:pPr>
      <w:r w:rsidRPr="00731FE2">
        <w:rPr>
          <w:rFonts w:ascii="Times New Roman" w:hAnsi="Times New Roman" w:cs="Times New Roman"/>
        </w:rPr>
        <w:br w:type="page" w:clear="all"/>
      </w:r>
    </w:p>
    <w:p w14:paraId="56AD0683" w14:textId="77777777" w:rsidR="00171AA8" w:rsidRPr="00731FE2" w:rsidRDefault="007935AB">
      <w:pPr>
        <w:pStyle w:val="13"/>
        <w:rPr>
          <w:rFonts w:ascii="Times New Roman" w:hAnsi="Times New Roman" w:cs="Times New Roman"/>
        </w:rPr>
      </w:pPr>
      <w:bookmarkStart w:id="4" w:name="_Toc177392760"/>
      <w:r w:rsidRPr="00731FE2">
        <w:rPr>
          <w:rFonts w:ascii="Times New Roman" w:hAnsi="Times New Roman" w:cs="Times New Roman"/>
        </w:rPr>
        <w:lastRenderedPageBreak/>
        <w:t>ВВЕДЕНИЕ</w:t>
      </w:r>
      <w:bookmarkEnd w:id="4"/>
    </w:p>
    <w:p w14:paraId="46DFB0FF"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proofErr w:type="gramStart"/>
      <w:r w:rsidRPr="00731FE2">
        <w:rPr>
          <w:rFonts w:ascii="Times New Roman" w:eastAsia="Times New Roman" w:hAnsi="Times New Roman" w:cs="Times New Roman"/>
          <w:color w:val="000000"/>
        </w:rPr>
        <w:t>Проект по внесению изменений в генеральный план городского округа города-курорта Кисловодска выполнен проектно-исследовательским центром «КАРТФОНД» (ООО «КАРТФОНД») по заказу Управления архитектуры и градостроительства администрации города-курорта Кисловодска на основании договора от 20.02.2024 № 7319751 на выполнение работ по теме «Внесение изменений в Генеральный план городского округа города-курорта Кисловодска Ставропольского края» в соответствии с техническим заданием.</w:t>
      </w:r>
      <w:proofErr w:type="gramEnd"/>
    </w:p>
    <w:p w14:paraId="0E960593"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proofErr w:type="gramStart"/>
      <w:r w:rsidRPr="00731FE2">
        <w:rPr>
          <w:rFonts w:ascii="Times New Roman" w:eastAsia="Times New Roman" w:hAnsi="Times New Roman" w:cs="Times New Roman"/>
          <w:color w:val="000000"/>
        </w:rPr>
        <w:t>Актуализация генерального плана городского округа города-курорта Кисловодска Ставропольского края (далее – генеральный план Кисловодска, генеральный план городского округа, генеральный план города-курорта), утвержденный Решением Думы города-курорта Кисловодска Ставропольского края от 21.12.2022 г. №119-622 определена необходимостью приведения документа градостроительного планирования в соответствие с действующими редакциями Схем (проектами схем) территориального планирования Российской Федерации, Ставропольского края, стратегий развития, мастер-планов, профильных муниципальных программ  применительно к территории</w:t>
      </w:r>
      <w:proofErr w:type="gramEnd"/>
      <w:r w:rsidRPr="00731FE2">
        <w:rPr>
          <w:rFonts w:ascii="Times New Roman" w:eastAsia="Times New Roman" w:hAnsi="Times New Roman" w:cs="Times New Roman"/>
          <w:color w:val="000000"/>
        </w:rPr>
        <w:t xml:space="preserve"> городского округа. </w:t>
      </w:r>
    </w:p>
    <w:p w14:paraId="2C609133"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 xml:space="preserve">Существенным фактором, определяющим необходимость актуализации генерального плана, является корректировка нормативной базы. В частности, изменение и уточнение полномочий органов местного самоуправления, внесение изменений в Градостроительный кодекс в части состава и содержания документов территориального планирования, принятие новой редакции местных нормативов градостроительного проектирования и новой редакции Правил землепользования и застройки. В соответствии с новой редакцией </w:t>
      </w:r>
      <w:proofErr w:type="gramStart"/>
      <w:r w:rsidRPr="00731FE2">
        <w:rPr>
          <w:rFonts w:ascii="Times New Roman" w:eastAsia="Times New Roman" w:hAnsi="Times New Roman" w:cs="Times New Roman"/>
          <w:color w:val="000000"/>
        </w:rPr>
        <w:t>Решения Думы города-курорта Кисловодска Ставропольского края</w:t>
      </w:r>
      <w:proofErr w:type="gramEnd"/>
      <w:r w:rsidRPr="00731FE2">
        <w:rPr>
          <w:rFonts w:ascii="Times New Roman" w:eastAsia="Times New Roman" w:hAnsi="Times New Roman" w:cs="Times New Roman"/>
          <w:color w:val="000000"/>
        </w:rPr>
        <w:t xml:space="preserve"> от 27 марта 2019 г. N 27-519 «Об Уставе городского округа города-курорта Кисловодска» (с изменениями на 24.11.2023 г.) за время действия предыдущего генерального плана изменился состав территорий, входящих в границу городского округа. </w:t>
      </w:r>
    </w:p>
    <w:p w14:paraId="0FAF1F3B"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b/>
          <w:bCs/>
          <w:color w:val="000000"/>
        </w:rPr>
        <w:t>Объектом исследования</w:t>
      </w:r>
      <w:r w:rsidRPr="00731FE2">
        <w:rPr>
          <w:rFonts w:ascii="Times New Roman" w:eastAsia="Times New Roman" w:hAnsi="Times New Roman" w:cs="Times New Roman"/>
          <w:color w:val="000000"/>
        </w:rPr>
        <w:t xml:space="preserve"> является территория городского округа города-курорта Кисловодска Ставропольского края.</w:t>
      </w:r>
    </w:p>
    <w:p w14:paraId="4C4DDBC5"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b/>
          <w:bCs/>
          <w:color w:val="000000"/>
        </w:rPr>
        <w:t>Предметом исследования</w:t>
      </w:r>
      <w:r w:rsidRPr="00731FE2">
        <w:rPr>
          <w:rFonts w:ascii="Times New Roman" w:eastAsia="Times New Roman" w:hAnsi="Times New Roman" w:cs="Times New Roman"/>
          <w:color w:val="000000"/>
        </w:rPr>
        <w:t xml:space="preserve"> – пространственная организация и структура территории городского округа, как особого муниципального образования Ставропольского края и курорта федерального значения.</w:t>
      </w:r>
    </w:p>
    <w:p w14:paraId="61F4FD64" w14:textId="77777777" w:rsidR="00171AA8" w:rsidRPr="00731FE2" w:rsidRDefault="007935AB">
      <w:pPr>
        <w:pBdr>
          <w:top w:val="none" w:sz="4" w:space="0" w:color="000000"/>
          <w:left w:val="none" w:sz="4" w:space="0" w:color="000000"/>
          <w:bottom w:val="none" w:sz="4" w:space="0" w:color="000000"/>
          <w:right w:val="none" w:sz="4" w:space="0" w:color="000000"/>
        </w:pBdr>
      </w:pPr>
      <w:r w:rsidRPr="00731FE2">
        <w:rPr>
          <w:rFonts w:ascii="Times New Roman" w:eastAsia="Times New Roman" w:hAnsi="Times New Roman" w:cs="Times New Roman"/>
          <w:color w:val="000000"/>
        </w:rPr>
        <w:t>В соответствии с техническим заданием по разработке генерального плана городского округа города-курорта Кисловодска определены следующие цели и задачи.</w:t>
      </w:r>
    </w:p>
    <w:p w14:paraId="0EA9C397"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b/>
          <w:bCs/>
          <w:color w:val="000000"/>
        </w:rPr>
        <w:t>Цель проекта</w:t>
      </w:r>
      <w:r w:rsidRPr="00731FE2">
        <w:rPr>
          <w:rFonts w:ascii="Times New Roman" w:eastAsia="Times New Roman" w:hAnsi="Times New Roman" w:cs="Times New Roman"/>
          <w:color w:val="000000"/>
        </w:rPr>
        <w:t xml:space="preserve"> – определение градостроительных решений на основе анализа современного использования территории, направлений ее развития и прогнозируемых ограничений, направленных на создание условий для повышения качества жизни населения;</w:t>
      </w:r>
    </w:p>
    <w:p w14:paraId="21C13EAA"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 xml:space="preserve">Достижение поставленной цели потребовало постановки и решения следующих </w:t>
      </w:r>
      <w:r w:rsidRPr="00731FE2">
        <w:rPr>
          <w:rFonts w:ascii="Times New Roman" w:eastAsia="Times New Roman" w:hAnsi="Times New Roman" w:cs="Times New Roman"/>
          <w:b/>
          <w:bCs/>
          <w:color w:val="000000"/>
        </w:rPr>
        <w:t>задач</w:t>
      </w:r>
      <w:r w:rsidRPr="00731FE2">
        <w:rPr>
          <w:rFonts w:ascii="Times New Roman" w:eastAsia="Times New Roman" w:hAnsi="Times New Roman" w:cs="Times New Roman"/>
          <w:color w:val="000000"/>
        </w:rPr>
        <w:t>:</w:t>
      </w:r>
    </w:p>
    <w:p w14:paraId="0D8DCC30" w14:textId="77777777" w:rsidR="00171AA8" w:rsidRPr="00731FE2" w:rsidRDefault="007935AB" w:rsidP="007832E7">
      <w:pPr>
        <w:pStyle w:val="a3"/>
        <w:numPr>
          <w:ilvl w:val="0"/>
          <w:numId w:val="103"/>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Приведение генерального плана в соответствие с действующим законодательством Российской Федерации и Ставропольского края.</w:t>
      </w:r>
    </w:p>
    <w:p w14:paraId="13DF0B68" w14:textId="77777777" w:rsidR="00171AA8" w:rsidRPr="00731FE2" w:rsidRDefault="007935AB" w:rsidP="007832E7">
      <w:pPr>
        <w:pStyle w:val="a3"/>
        <w:numPr>
          <w:ilvl w:val="0"/>
          <w:numId w:val="103"/>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 xml:space="preserve">Актуализировать перечень объектов федерального значения, объектов регионального значения, объектов местного значения на территории города-курорта Кисловодска, необходимых для реализации Распоряжения Правительства РФ от 11 сентября 2021 г. № 2540-р «О перечне мероприятий по комплексному </w:t>
      </w:r>
      <w:r w:rsidRPr="00731FE2">
        <w:rPr>
          <w:rFonts w:ascii="Times New Roman" w:eastAsia="Times New Roman" w:hAnsi="Times New Roman" w:cs="Times New Roman"/>
          <w:color w:val="000000"/>
        </w:rPr>
        <w:lastRenderedPageBreak/>
        <w:t>развитию городов-курортов региона Кавказские Минеральные Воды до 2030 г.» (с изменениями на 13.05.2023 г.);</w:t>
      </w:r>
    </w:p>
    <w:p w14:paraId="6EC55092" w14:textId="77777777" w:rsidR="00171AA8" w:rsidRPr="00731FE2" w:rsidRDefault="007935AB" w:rsidP="007832E7">
      <w:pPr>
        <w:pStyle w:val="a3"/>
        <w:numPr>
          <w:ilvl w:val="0"/>
          <w:numId w:val="103"/>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Актуализировать перечень объектов культурного наследия, зон охраны, регулирования застройки и прочие зоны.</w:t>
      </w:r>
    </w:p>
    <w:p w14:paraId="22B0EF4C" w14:textId="77777777" w:rsidR="00171AA8" w:rsidRPr="00731FE2" w:rsidRDefault="007935AB" w:rsidP="007832E7">
      <w:pPr>
        <w:pStyle w:val="a3"/>
        <w:numPr>
          <w:ilvl w:val="0"/>
          <w:numId w:val="103"/>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Провести корректировку границ населённых пунктов: город Кисловодск, поселок Высокогорный, поселок Зеленогорский, с учётом сведений ЕГРН;</w:t>
      </w:r>
    </w:p>
    <w:p w14:paraId="78D8ECA1" w14:textId="77777777" w:rsidR="00171AA8" w:rsidRPr="00731FE2" w:rsidRDefault="007935AB" w:rsidP="007832E7">
      <w:pPr>
        <w:pStyle w:val="a3"/>
        <w:numPr>
          <w:ilvl w:val="0"/>
          <w:numId w:val="103"/>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Провести корректировку функциональных зон, сформировать рекомендации по повышению эффективности функционального использования территорий и создания условий для привлечения инвестиций.</w:t>
      </w:r>
    </w:p>
    <w:p w14:paraId="34FADB45"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В проекте генерального плана городского округа города-курорта Кисловодска приняты следующие этапы проектирования:</w:t>
      </w:r>
    </w:p>
    <w:p w14:paraId="16BAA66F" w14:textId="77777777" w:rsidR="00171AA8" w:rsidRPr="00731FE2" w:rsidRDefault="007935AB" w:rsidP="007832E7">
      <w:pPr>
        <w:pStyle w:val="a3"/>
        <w:numPr>
          <w:ilvl w:val="0"/>
          <w:numId w:val="104"/>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Исходный год – 2024 г.</w:t>
      </w:r>
    </w:p>
    <w:p w14:paraId="118FA4ED" w14:textId="77777777" w:rsidR="00171AA8" w:rsidRPr="00731FE2" w:rsidRDefault="007935AB" w:rsidP="007832E7">
      <w:pPr>
        <w:pStyle w:val="a3"/>
        <w:numPr>
          <w:ilvl w:val="0"/>
          <w:numId w:val="104"/>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Первая очередь реализации – 2034 г.</w:t>
      </w:r>
    </w:p>
    <w:p w14:paraId="4EB6DF34" w14:textId="77777777" w:rsidR="00171AA8" w:rsidRPr="00731FE2" w:rsidRDefault="007935AB" w:rsidP="007832E7">
      <w:pPr>
        <w:pStyle w:val="a3"/>
        <w:numPr>
          <w:ilvl w:val="0"/>
          <w:numId w:val="104"/>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Расчётный срок – 2044 г.</w:t>
      </w:r>
    </w:p>
    <w:p w14:paraId="589DB631"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В основу разработки генерального плана положен основной методологический принцип рассмотрения территории как совокупности четырёх систем – пространственной, социальной, экологической и экономической.</w:t>
      </w:r>
    </w:p>
    <w:p w14:paraId="356349A6"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proofErr w:type="gramStart"/>
      <w:r w:rsidRPr="00731FE2">
        <w:rPr>
          <w:rFonts w:ascii="Times New Roman" w:eastAsia="Times New Roman" w:hAnsi="Times New Roman" w:cs="Times New Roman"/>
          <w:color w:val="000000"/>
        </w:rPr>
        <w:t xml:space="preserve">Подготовка Проекта осуществлялась в соответствии с требованиями статей 23, 24 Градостроительного кодекса Российской Федерации, «Методических рекомендаций по разработке проектов генеральных планов поселений и городских округов», утвержденных </w:t>
      </w:r>
      <w:hyperlink r:id="rId9" w:anchor="sub_0" w:tooltip="file:///C:/Users/Lenovo/Downloads/%D0%9C%D0%B0%D1%82%D0%B5%D1%80%D0%B8%D0%B0%D0%BB%D1%8B%20%D0%BF%D0%BE%20%D0%BE%D0%B1%D0%BE%D1%81%D0%BD%D0%BE%D0%B2%D0%B0%D0%BD%D0%B8%D1%8E%20%D0%B2%20%D1%82%D0%B5%D0%BA%D1%81%D1%82%D0%BE%D0%B2%D0%BE%D0%B9%20%D1%84%D0%BE%D1%80%" w:history="1">
        <w:r w:rsidRPr="00731FE2">
          <w:rPr>
            <w:rFonts w:ascii="Times New Roman" w:eastAsia="Times New Roman" w:hAnsi="Times New Roman" w:cs="Times New Roman"/>
            <w:color w:val="000000"/>
          </w:rPr>
          <w:t>приказом</w:t>
        </w:r>
      </w:hyperlink>
      <w:r w:rsidRPr="00731FE2">
        <w:rPr>
          <w:rFonts w:ascii="Times New Roman" w:eastAsia="Times New Roman" w:hAnsi="Times New Roman" w:cs="Times New Roman"/>
          <w:color w:val="000000"/>
        </w:rPr>
        <w:t xml:space="preserve"> Министерства регионального развития Российской Федерации от 26 мая 2011 г. № 244, местных нормативов градостроительного проектирования города-курорта Кисловодска, утвержденных Постановлением администрации города-курорта Кисловодска Ставропольского края от 24.11.2022 г. №1524, иных нормативных документов. </w:t>
      </w:r>
      <w:proofErr w:type="gramEnd"/>
    </w:p>
    <w:p w14:paraId="3D0D2299"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Перечень планируемых объектов местного значения подготовлен в соответствии с требованиями ст. 23.5. Градостроительного кодекса Российской Федерации и ст. 4.3. Закона Ставропольского края от 18.06.2012 г. №53-кз «О некоторых вопросах регулирования отношений в области градостроительной деятельности на территории Ставропольского края» (с изменениями от 02.04.2024 г.).</w:t>
      </w:r>
    </w:p>
    <w:p w14:paraId="3BF51163" w14:textId="77777777" w:rsidR="00171AA8" w:rsidRPr="00731FE2" w:rsidRDefault="007935AB">
      <w:pPr>
        <w:rPr>
          <w:rFonts w:ascii="Times New Roman" w:eastAsia="Times New Roman" w:hAnsi="Times New Roman" w:cs="Times New Roman"/>
          <w:color w:val="000000"/>
        </w:rPr>
      </w:pPr>
      <w:r w:rsidRPr="00731FE2">
        <w:rPr>
          <w:rFonts w:ascii="Times New Roman" w:eastAsia="Times New Roman" w:hAnsi="Times New Roman" w:cs="Times New Roman"/>
          <w:color w:val="000000"/>
        </w:rPr>
        <w:br w:type="page" w:clear="all"/>
      </w:r>
    </w:p>
    <w:p w14:paraId="43A8D995" w14:textId="77777777" w:rsidR="00171AA8" w:rsidRPr="00731FE2" w:rsidRDefault="007935AB">
      <w:pPr>
        <w:pStyle w:val="13"/>
        <w:rPr>
          <w:rFonts w:ascii="Times New Roman" w:hAnsi="Times New Roman" w:cs="Times New Roman"/>
        </w:rPr>
      </w:pPr>
      <w:bookmarkStart w:id="5" w:name="_Toc177392761"/>
      <w:r w:rsidRPr="00731FE2">
        <w:rPr>
          <w:rFonts w:ascii="Times New Roman" w:hAnsi="Times New Roman" w:cs="Times New Roman"/>
        </w:rPr>
        <w:lastRenderedPageBreak/>
        <w:t>1. СВЕДЕНИЯ ОБ УТВЕРЖДЕННЫХ ДОКУМЕНТАХ СТРАТЕГИЧЕСКОГО ПЛАНИРОВАНИЯ, О НАЦИОНАЛЬНЫХ ПРОЕКТАХ, МЕЖГОСУДАРСТВЕННЫХ ПРОГРАММАХ, ОБ ИНВЕСТИЦИОННЫХ ПРОГРАММАХ СУБЪЕКТОВ ЕСТЕСТВЕННЫХ МОНОПОЛИЙ, О РЕШЕНИЯХ ОРГАНОВ ГОСУДАРСТВЕННОЙ ВЛАСТИ, ИНЫХ ГЛАВНЫХ РАСПОРЯДИТЕЛЕЙ СРЕДСТВ СООТВЕТСТВУЮЩИХ БЮДЖЕТОВ, ПРЕДУСМАТРИВАЮЩИХ СОЗДАНИЕ ОБЪЕКТОВ МЕСТНОГО ЗНАЧЕНИЯ</w:t>
      </w:r>
      <w:bookmarkEnd w:id="5"/>
    </w:p>
    <w:p w14:paraId="3FB00212" w14:textId="77777777" w:rsidR="00171AA8" w:rsidRPr="00731FE2" w:rsidRDefault="007935AB">
      <w:pPr>
        <w:pStyle w:val="24"/>
        <w:rPr>
          <w:rFonts w:ascii="Times New Roman" w:hAnsi="Times New Roman" w:cs="Times New Roman"/>
        </w:rPr>
      </w:pPr>
      <w:bookmarkStart w:id="6" w:name="_Toc177392762"/>
      <w:r w:rsidRPr="00731FE2">
        <w:rPr>
          <w:rFonts w:ascii="Times New Roman" w:hAnsi="Times New Roman" w:cs="Times New Roman"/>
        </w:rPr>
        <w:t>1.1 Сведения об утвержденных документах стратегического планирования Российской Федерации</w:t>
      </w:r>
      <w:bookmarkEnd w:id="6"/>
    </w:p>
    <w:p w14:paraId="5E4C3751" w14:textId="77777777" w:rsidR="00171AA8" w:rsidRPr="00731FE2" w:rsidRDefault="007935AB">
      <w:pPr>
        <w:pBdr>
          <w:top w:val="none" w:sz="4" w:space="0" w:color="000000"/>
          <w:left w:val="none" w:sz="4" w:space="0" w:color="000000"/>
          <w:bottom w:val="none" w:sz="4" w:space="0" w:color="000000"/>
          <w:right w:val="none" w:sz="4" w:space="0" w:color="000000"/>
        </w:pBdr>
      </w:pPr>
      <w:r w:rsidRPr="00731FE2">
        <w:rPr>
          <w:rFonts w:ascii="Times New Roman" w:eastAsia="Times New Roman" w:hAnsi="Times New Roman" w:cs="Times New Roman"/>
          <w:color w:val="000000"/>
          <w:szCs w:val="24"/>
        </w:rPr>
        <w:t>Проект Генерального плана города-курорта Кисловодска выполнен в соответствии с нижеследующими основными нормативными правовыми актами Российской Федерации</w:t>
      </w:r>
      <w:r w:rsidRPr="00731FE2">
        <w:rPr>
          <w:rFonts w:ascii="Times New Roman" w:eastAsia="Times New Roman" w:hAnsi="Times New Roman" w:cs="Times New Roman"/>
          <w:color w:val="000000"/>
          <w:szCs w:val="24"/>
          <w:vertAlign w:val="superscript"/>
        </w:rPr>
        <w:footnoteReference w:id="2"/>
      </w:r>
      <w:r w:rsidRPr="00731FE2">
        <w:t>.</w:t>
      </w:r>
    </w:p>
    <w:p w14:paraId="2CF302E8" w14:textId="77777777" w:rsidR="00171AA8" w:rsidRPr="00731FE2" w:rsidRDefault="007935AB" w:rsidP="007832E7">
      <w:pPr>
        <w:pStyle w:val="a3"/>
        <w:numPr>
          <w:ilvl w:val="0"/>
          <w:numId w:val="43"/>
        </w:numPr>
        <w:pBdr>
          <w:top w:val="none" w:sz="4" w:space="0" w:color="000000"/>
          <w:left w:val="none" w:sz="4" w:space="0" w:color="000000"/>
          <w:bottom w:val="none" w:sz="4" w:space="0" w:color="000000"/>
          <w:right w:val="none" w:sz="4" w:space="0" w:color="000000"/>
        </w:pBdr>
        <w:tabs>
          <w:tab w:val="left" w:pos="199"/>
        </w:tabs>
        <w:ind w:left="0" w:firstLine="360"/>
        <w:rPr>
          <w:rFonts w:ascii="Times New Roman" w:eastAsia="Times New Roman" w:hAnsi="Times New Roman" w:cs="Times New Roman"/>
          <w:szCs w:val="28"/>
        </w:rPr>
      </w:pPr>
      <w:r w:rsidRPr="00731FE2">
        <w:rPr>
          <w:rFonts w:ascii="Times New Roman" w:eastAsia="Times New Roman" w:hAnsi="Times New Roman" w:cs="Times New Roman"/>
          <w:color w:val="000000"/>
          <w:szCs w:val="24"/>
        </w:rPr>
        <w:t>Градостроительный кодекс Российской Федерации;</w:t>
      </w:r>
    </w:p>
    <w:p w14:paraId="01C34804" w14:textId="77777777" w:rsidR="00171AA8" w:rsidRPr="00731FE2" w:rsidRDefault="007935AB" w:rsidP="007832E7">
      <w:pPr>
        <w:pStyle w:val="a3"/>
        <w:numPr>
          <w:ilvl w:val="0"/>
          <w:numId w:val="43"/>
        </w:numPr>
        <w:pBdr>
          <w:top w:val="none" w:sz="4" w:space="0" w:color="000000"/>
          <w:left w:val="none" w:sz="4" w:space="0" w:color="000000"/>
          <w:bottom w:val="none" w:sz="4" w:space="0" w:color="000000"/>
          <w:right w:val="none" w:sz="4" w:space="0" w:color="000000"/>
        </w:pBdr>
        <w:tabs>
          <w:tab w:val="left" w:pos="199"/>
        </w:tabs>
        <w:ind w:left="0" w:firstLine="360"/>
        <w:rPr>
          <w:rFonts w:ascii="Times New Roman" w:eastAsia="Times New Roman" w:hAnsi="Times New Roman" w:cs="Times New Roman"/>
          <w:szCs w:val="28"/>
        </w:rPr>
      </w:pPr>
      <w:r w:rsidRPr="00731FE2">
        <w:rPr>
          <w:rFonts w:ascii="Times New Roman" w:eastAsia="Times New Roman" w:hAnsi="Times New Roman" w:cs="Times New Roman"/>
          <w:color w:val="000000"/>
          <w:szCs w:val="24"/>
        </w:rPr>
        <w:t>Земельный кодекс Российской Федерации;</w:t>
      </w:r>
    </w:p>
    <w:p w14:paraId="3BAE6ABD" w14:textId="77777777" w:rsidR="00171AA8" w:rsidRPr="00731FE2" w:rsidRDefault="007935AB" w:rsidP="007832E7">
      <w:pPr>
        <w:pStyle w:val="a3"/>
        <w:numPr>
          <w:ilvl w:val="0"/>
          <w:numId w:val="43"/>
        </w:numPr>
        <w:pBdr>
          <w:top w:val="none" w:sz="4" w:space="0" w:color="000000"/>
          <w:left w:val="none" w:sz="4" w:space="0" w:color="000000"/>
          <w:bottom w:val="none" w:sz="4" w:space="0" w:color="000000"/>
          <w:right w:val="none" w:sz="4" w:space="0" w:color="000000"/>
        </w:pBdr>
        <w:tabs>
          <w:tab w:val="left" w:pos="199"/>
        </w:tabs>
        <w:ind w:left="0" w:firstLine="360"/>
        <w:rPr>
          <w:rFonts w:ascii="Times New Roman" w:eastAsia="Times New Roman" w:hAnsi="Times New Roman" w:cs="Times New Roman"/>
          <w:szCs w:val="28"/>
        </w:rPr>
      </w:pPr>
      <w:r w:rsidRPr="00731FE2">
        <w:rPr>
          <w:rFonts w:ascii="Times New Roman" w:eastAsia="Times New Roman" w:hAnsi="Times New Roman" w:cs="Times New Roman"/>
          <w:color w:val="000000"/>
          <w:szCs w:val="24"/>
        </w:rPr>
        <w:t>Водный кодекс Российской Федерации;</w:t>
      </w:r>
    </w:p>
    <w:p w14:paraId="2D41B1BA" w14:textId="77777777" w:rsidR="00171AA8" w:rsidRPr="00731FE2" w:rsidRDefault="007935AB" w:rsidP="007832E7">
      <w:pPr>
        <w:pStyle w:val="a3"/>
        <w:numPr>
          <w:ilvl w:val="0"/>
          <w:numId w:val="43"/>
        </w:numPr>
        <w:pBdr>
          <w:top w:val="none" w:sz="4" w:space="0" w:color="000000"/>
          <w:left w:val="none" w:sz="4" w:space="0" w:color="000000"/>
          <w:bottom w:val="none" w:sz="4" w:space="0" w:color="000000"/>
          <w:right w:val="none" w:sz="4" w:space="0" w:color="000000"/>
        </w:pBdr>
        <w:tabs>
          <w:tab w:val="left" w:pos="199"/>
        </w:tabs>
        <w:ind w:left="0" w:firstLine="360"/>
        <w:rPr>
          <w:rFonts w:ascii="Times New Roman" w:eastAsia="Times New Roman" w:hAnsi="Times New Roman" w:cs="Times New Roman"/>
          <w:szCs w:val="28"/>
        </w:rPr>
      </w:pPr>
      <w:r w:rsidRPr="00731FE2">
        <w:rPr>
          <w:rFonts w:ascii="Times New Roman" w:eastAsia="Times New Roman" w:hAnsi="Times New Roman" w:cs="Times New Roman"/>
          <w:color w:val="000000"/>
          <w:szCs w:val="24"/>
        </w:rPr>
        <w:t>Лесной кодекс Российской Федерации;</w:t>
      </w:r>
    </w:p>
    <w:p w14:paraId="4C4BE79D" w14:textId="77777777" w:rsidR="00171AA8" w:rsidRPr="00731FE2" w:rsidRDefault="007935AB" w:rsidP="007832E7">
      <w:pPr>
        <w:pStyle w:val="a3"/>
        <w:numPr>
          <w:ilvl w:val="0"/>
          <w:numId w:val="43"/>
        </w:numPr>
        <w:pBdr>
          <w:top w:val="none" w:sz="4" w:space="0" w:color="000000"/>
          <w:left w:val="none" w:sz="4" w:space="0" w:color="000000"/>
          <w:bottom w:val="none" w:sz="4" w:space="0" w:color="000000"/>
          <w:right w:val="none" w:sz="4" w:space="0" w:color="000000"/>
        </w:pBdr>
        <w:tabs>
          <w:tab w:val="left" w:pos="199"/>
        </w:tabs>
        <w:ind w:left="0" w:firstLine="360"/>
        <w:rPr>
          <w:rFonts w:ascii="Times New Roman" w:eastAsia="Times New Roman" w:hAnsi="Times New Roman" w:cs="Times New Roman"/>
          <w:szCs w:val="28"/>
        </w:rPr>
      </w:pPr>
      <w:r w:rsidRPr="00731FE2">
        <w:rPr>
          <w:rFonts w:ascii="Times New Roman" w:eastAsia="Times New Roman" w:hAnsi="Times New Roman" w:cs="Times New Roman"/>
          <w:color w:val="000000"/>
          <w:szCs w:val="24"/>
        </w:rPr>
        <w:t xml:space="preserve">Жилищный кодекс Российской Федерации; </w:t>
      </w:r>
    </w:p>
    <w:p w14:paraId="170150F9" w14:textId="77777777" w:rsidR="00171AA8" w:rsidRPr="00731FE2" w:rsidRDefault="007935AB" w:rsidP="007832E7">
      <w:pPr>
        <w:pStyle w:val="a3"/>
        <w:numPr>
          <w:ilvl w:val="0"/>
          <w:numId w:val="43"/>
        </w:numPr>
        <w:pBdr>
          <w:top w:val="none" w:sz="4" w:space="0" w:color="000000"/>
          <w:left w:val="none" w:sz="4" w:space="0" w:color="000000"/>
          <w:bottom w:val="none" w:sz="4" w:space="0" w:color="000000"/>
          <w:right w:val="none" w:sz="4" w:space="0" w:color="000000"/>
        </w:pBdr>
        <w:tabs>
          <w:tab w:val="left" w:pos="199"/>
        </w:tabs>
        <w:ind w:left="0" w:firstLine="360"/>
        <w:rPr>
          <w:rFonts w:ascii="Times New Roman" w:eastAsia="Times New Roman" w:hAnsi="Times New Roman" w:cs="Times New Roman"/>
          <w:szCs w:val="28"/>
        </w:rPr>
      </w:pPr>
      <w:r w:rsidRPr="00731FE2">
        <w:rPr>
          <w:rFonts w:ascii="Times New Roman" w:eastAsia="Times New Roman" w:hAnsi="Times New Roman" w:cs="Times New Roman"/>
          <w:color w:val="000000"/>
          <w:szCs w:val="24"/>
        </w:rPr>
        <w:t>Федеральный закон от 06.10.2003 № 131-ФЗ «Об общих принципах организации местного самоуправления в Российской Федерации»;</w:t>
      </w:r>
    </w:p>
    <w:p w14:paraId="288C1941" w14:textId="77777777" w:rsidR="00171AA8" w:rsidRPr="00731FE2" w:rsidRDefault="007935AB" w:rsidP="007832E7">
      <w:pPr>
        <w:pStyle w:val="a3"/>
        <w:numPr>
          <w:ilvl w:val="0"/>
          <w:numId w:val="43"/>
        </w:numPr>
        <w:pBdr>
          <w:top w:val="none" w:sz="4" w:space="0" w:color="000000"/>
          <w:left w:val="none" w:sz="4" w:space="0" w:color="000000"/>
          <w:bottom w:val="none" w:sz="4" w:space="0" w:color="000000"/>
          <w:right w:val="none" w:sz="4" w:space="0" w:color="000000"/>
        </w:pBdr>
        <w:tabs>
          <w:tab w:val="left" w:pos="199"/>
        </w:tabs>
        <w:ind w:left="0" w:firstLine="360"/>
        <w:rPr>
          <w:rFonts w:ascii="Times New Roman" w:eastAsia="Times New Roman" w:hAnsi="Times New Roman" w:cs="Times New Roman"/>
          <w:szCs w:val="28"/>
        </w:rPr>
      </w:pPr>
      <w:r w:rsidRPr="00731FE2">
        <w:rPr>
          <w:rFonts w:ascii="Times New Roman" w:eastAsia="Times New Roman" w:hAnsi="Times New Roman" w:cs="Times New Roman"/>
          <w:color w:val="000000"/>
          <w:szCs w:val="24"/>
        </w:rPr>
        <w:t>Федеральный закон от 14.03.1995 № 33-ФЗ «Об особо охраняемых природных территориях»;</w:t>
      </w:r>
    </w:p>
    <w:p w14:paraId="21B1A051" w14:textId="77777777" w:rsidR="00171AA8" w:rsidRPr="00731FE2" w:rsidRDefault="007935AB" w:rsidP="007832E7">
      <w:pPr>
        <w:pStyle w:val="a3"/>
        <w:numPr>
          <w:ilvl w:val="0"/>
          <w:numId w:val="43"/>
        </w:numPr>
        <w:pBdr>
          <w:top w:val="none" w:sz="4" w:space="0" w:color="000000"/>
          <w:left w:val="none" w:sz="4" w:space="0" w:color="000000"/>
          <w:bottom w:val="none" w:sz="4" w:space="0" w:color="000000"/>
          <w:right w:val="none" w:sz="4" w:space="0" w:color="000000"/>
        </w:pBdr>
        <w:tabs>
          <w:tab w:val="left" w:pos="199"/>
        </w:tabs>
        <w:ind w:left="0" w:firstLine="360"/>
        <w:rPr>
          <w:rFonts w:ascii="Times New Roman" w:eastAsia="Times New Roman" w:hAnsi="Times New Roman" w:cs="Times New Roman"/>
          <w:szCs w:val="28"/>
        </w:rPr>
      </w:pPr>
      <w:r w:rsidRPr="00731FE2">
        <w:rPr>
          <w:rFonts w:ascii="Times New Roman" w:eastAsia="Times New Roman" w:hAnsi="Times New Roman" w:cs="Times New Roman"/>
          <w:color w:val="000000"/>
          <w:szCs w:val="24"/>
        </w:rPr>
        <w:t>Федеральный закон от 23.02.1995 № 26-ФЗ "О природных лечебных ресурсах, лечебно-оздоровительных местностях и курортах;</w:t>
      </w:r>
    </w:p>
    <w:p w14:paraId="366004C4" w14:textId="77777777" w:rsidR="00171AA8" w:rsidRPr="00731FE2" w:rsidRDefault="007935AB" w:rsidP="007832E7">
      <w:pPr>
        <w:pStyle w:val="a3"/>
        <w:numPr>
          <w:ilvl w:val="0"/>
          <w:numId w:val="43"/>
        </w:numPr>
        <w:pBdr>
          <w:top w:val="none" w:sz="4" w:space="0" w:color="000000"/>
          <w:left w:val="none" w:sz="4" w:space="0" w:color="000000"/>
          <w:bottom w:val="none" w:sz="4" w:space="0" w:color="000000"/>
          <w:right w:val="none" w:sz="4" w:space="0" w:color="000000"/>
        </w:pBdr>
        <w:tabs>
          <w:tab w:val="left" w:pos="199"/>
        </w:tabs>
        <w:ind w:left="0" w:firstLine="360"/>
        <w:rPr>
          <w:rFonts w:ascii="Times New Roman" w:eastAsia="Times New Roman" w:hAnsi="Times New Roman" w:cs="Times New Roman"/>
          <w:szCs w:val="28"/>
        </w:rPr>
      </w:pPr>
      <w:r w:rsidRPr="00731FE2">
        <w:rPr>
          <w:rFonts w:ascii="Times New Roman" w:eastAsia="Times New Roman" w:hAnsi="Times New Roman" w:cs="Times New Roman"/>
          <w:color w:val="000000"/>
          <w:szCs w:val="24"/>
        </w:rPr>
        <w:t>Федеральный закон от 25.06.2002 № 73-ФЗ «Об объектах культурного наследия (памятниках истории и культуры) народов Российской Федерации»;</w:t>
      </w:r>
    </w:p>
    <w:p w14:paraId="1CA395AB" w14:textId="77777777" w:rsidR="00171AA8" w:rsidRPr="00731FE2" w:rsidRDefault="007935AB" w:rsidP="007832E7">
      <w:pPr>
        <w:pStyle w:val="a3"/>
        <w:numPr>
          <w:ilvl w:val="0"/>
          <w:numId w:val="43"/>
        </w:numPr>
        <w:pBdr>
          <w:top w:val="none" w:sz="4" w:space="0" w:color="000000"/>
          <w:left w:val="none" w:sz="4" w:space="0" w:color="000000"/>
          <w:bottom w:val="none" w:sz="4" w:space="0" w:color="000000"/>
          <w:right w:val="none" w:sz="4" w:space="0" w:color="000000"/>
        </w:pBdr>
        <w:tabs>
          <w:tab w:val="left" w:pos="199"/>
        </w:tabs>
        <w:ind w:left="0" w:firstLine="360"/>
        <w:rPr>
          <w:rFonts w:ascii="Times New Roman" w:eastAsia="Times New Roman" w:hAnsi="Times New Roman" w:cs="Times New Roman"/>
          <w:szCs w:val="28"/>
        </w:rPr>
      </w:pPr>
      <w:r w:rsidRPr="00731FE2">
        <w:rPr>
          <w:rFonts w:ascii="Times New Roman" w:eastAsia="Times New Roman" w:hAnsi="Times New Roman" w:cs="Times New Roman"/>
          <w:color w:val="000000"/>
          <w:szCs w:val="24"/>
        </w:rPr>
        <w:t>Федеральный закон от 30.03.1999 № 52 ФЗ «О санитарно-эпидемиологическом благополучии населения»;</w:t>
      </w:r>
    </w:p>
    <w:p w14:paraId="4AB17904" w14:textId="77777777" w:rsidR="00171AA8" w:rsidRPr="00731FE2" w:rsidRDefault="007935AB" w:rsidP="007832E7">
      <w:pPr>
        <w:pStyle w:val="a3"/>
        <w:numPr>
          <w:ilvl w:val="0"/>
          <w:numId w:val="43"/>
        </w:numPr>
        <w:pBdr>
          <w:top w:val="none" w:sz="4" w:space="0" w:color="000000"/>
          <w:left w:val="none" w:sz="4" w:space="0" w:color="000000"/>
          <w:bottom w:val="none" w:sz="4" w:space="0" w:color="000000"/>
          <w:right w:val="none" w:sz="4" w:space="0" w:color="000000"/>
        </w:pBdr>
        <w:tabs>
          <w:tab w:val="left" w:pos="199"/>
        </w:tabs>
        <w:ind w:left="0" w:firstLine="360"/>
        <w:rPr>
          <w:rFonts w:ascii="Times New Roman" w:eastAsia="Times New Roman" w:hAnsi="Times New Roman" w:cs="Times New Roman"/>
          <w:szCs w:val="28"/>
        </w:rPr>
      </w:pPr>
      <w:r w:rsidRPr="00731FE2">
        <w:rPr>
          <w:rFonts w:ascii="Times New Roman" w:eastAsia="Times New Roman" w:hAnsi="Times New Roman" w:cs="Times New Roman"/>
          <w:color w:val="000000"/>
          <w:szCs w:val="24"/>
        </w:rPr>
        <w:t>Федеральный закон от 10.01.2002 № 7- ФЗ «Об охране окружающей среды»;</w:t>
      </w:r>
    </w:p>
    <w:p w14:paraId="157C7BA0" w14:textId="77777777" w:rsidR="00171AA8" w:rsidRPr="00731FE2" w:rsidRDefault="007935AB" w:rsidP="007832E7">
      <w:pPr>
        <w:pStyle w:val="a3"/>
        <w:numPr>
          <w:ilvl w:val="0"/>
          <w:numId w:val="43"/>
        </w:numPr>
        <w:pBdr>
          <w:top w:val="none" w:sz="4" w:space="0" w:color="000000"/>
          <w:left w:val="none" w:sz="4" w:space="0" w:color="000000"/>
          <w:bottom w:val="none" w:sz="4" w:space="0" w:color="000000"/>
          <w:right w:val="none" w:sz="4" w:space="0" w:color="000000"/>
        </w:pBdr>
        <w:tabs>
          <w:tab w:val="left" w:pos="199"/>
        </w:tabs>
        <w:ind w:left="0" w:firstLine="360"/>
        <w:rPr>
          <w:rFonts w:ascii="Times New Roman" w:eastAsia="Times New Roman" w:hAnsi="Times New Roman" w:cs="Times New Roman"/>
          <w:szCs w:val="28"/>
        </w:rPr>
      </w:pPr>
      <w:r w:rsidRPr="00731FE2">
        <w:rPr>
          <w:rFonts w:ascii="Times New Roman" w:eastAsia="Times New Roman" w:hAnsi="Times New Roman" w:cs="Times New Roman"/>
          <w:color w:val="000000"/>
          <w:szCs w:val="24"/>
        </w:rPr>
        <w:t>Федеральный закон от 24.07.2007 № 221-ФЗ «О кадастровой деятельности»;</w:t>
      </w:r>
    </w:p>
    <w:p w14:paraId="639F758D" w14:textId="77777777" w:rsidR="00171AA8" w:rsidRPr="00731FE2" w:rsidRDefault="007935AB" w:rsidP="007832E7">
      <w:pPr>
        <w:pStyle w:val="a3"/>
        <w:numPr>
          <w:ilvl w:val="0"/>
          <w:numId w:val="43"/>
        </w:numPr>
        <w:pBdr>
          <w:top w:val="none" w:sz="4" w:space="0" w:color="000000"/>
          <w:left w:val="none" w:sz="4" w:space="0" w:color="000000"/>
          <w:bottom w:val="none" w:sz="4" w:space="0" w:color="000000"/>
          <w:right w:val="none" w:sz="4" w:space="0" w:color="000000"/>
        </w:pBdr>
        <w:tabs>
          <w:tab w:val="left" w:pos="199"/>
        </w:tabs>
        <w:ind w:left="0" w:firstLine="360"/>
        <w:rPr>
          <w:rFonts w:ascii="Times New Roman" w:eastAsia="Times New Roman" w:hAnsi="Times New Roman" w:cs="Times New Roman"/>
          <w:szCs w:val="28"/>
        </w:rPr>
      </w:pPr>
      <w:r w:rsidRPr="00731FE2">
        <w:rPr>
          <w:rFonts w:ascii="Times New Roman" w:eastAsia="Times New Roman" w:hAnsi="Times New Roman" w:cs="Times New Roman"/>
          <w:color w:val="000000"/>
          <w:szCs w:val="24"/>
        </w:rPr>
        <w:t>Федеральный закон от 18.06.2001 № 78-ФЗ «О землеустройстве»;</w:t>
      </w:r>
    </w:p>
    <w:p w14:paraId="776D868C" w14:textId="77777777" w:rsidR="00171AA8" w:rsidRPr="00731FE2" w:rsidRDefault="007935AB" w:rsidP="007832E7">
      <w:pPr>
        <w:pStyle w:val="a3"/>
        <w:numPr>
          <w:ilvl w:val="0"/>
          <w:numId w:val="43"/>
        </w:numPr>
        <w:pBdr>
          <w:top w:val="none" w:sz="4" w:space="0" w:color="000000"/>
          <w:left w:val="none" w:sz="4" w:space="0" w:color="000000"/>
          <w:bottom w:val="none" w:sz="4" w:space="0" w:color="000000"/>
          <w:right w:val="none" w:sz="4" w:space="0" w:color="000000"/>
        </w:pBdr>
        <w:tabs>
          <w:tab w:val="left" w:pos="199"/>
        </w:tabs>
        <w:ind w:left="0" w:firstLine="360"/>
        <w:rPr>
          <w:rFonts w:ascii="Times New Roman" w:eastAsia="Times New Roman" w:hAnsi="Times New Roman" w:cs="Times New Roman"/>
          <w:szCs w:val="28"/>
        </w:rPr>
      </w:pPr>
      <w:r w:rsidRPr="00731FE2">
        <w:rPr>
          <w:rFonts w:ascii="Times New Roman" w:eastAsia="Times New Roman" w:hAnsi="Times New Roman" w:cs="Times New Roman"/>
          <w:color w:val="000000"/>
          <w:szCs w:val="24"/>
        </w:rPr>
        <w:t>Федеральный закон от 21.12.1994 № 68-ФЗ «О защите населения и территорий от чрезвычайных ситуаций природного и техногенного характера»;</w:t>
      </w:r>
    </w:p>
    <w:p w14:paraId="3FCFB161" w14:textId="77777777" w:rsidR="00171AA8" w:rsidRPr="00731FE2" w:rsidRDefault="007935AB" w:rsidP="007832E7">
      <w:pPr>
        <w:pStyle w:val="a3"/>
        <w:numPr>
          <w:ilvl w:val="0"/>
          <w:numId w:val="43"/>
        </w:numPr>
        <w:pBdr>
          <w:top w:val="none" w:sz="4" w:space="0" w:color="000000"/>
          <w:left w:val="none" w:sz="4" w:space="0" w:color="000000"/>
          <w:bottom w:val="none" w:sz="4" w:space="0" w:color="000000"/>
          <w:right w:val="none" w:sz="4" w:space="0" w:color="000000"/>
        </w:pBdr>
        <w:tabs>
          <w:tab w:val="left" w:pos="199"/>
        </w:tabs>
        <w:ind w:left="0" w:firstLine="360"/>
        <w:rPr>
          <w:rFonts w:ascii="Times New Roman" w:eastAsia="Times New Roman" w:hAnsi="Times New Roman" w:cs="Times New Roman"/>
          <w:szCs w:val="28"/>
        </w:rPr>
      </w:pPr>
      <w:r w:rsidRPr="00731FE2">
        <w:rPr>
          <w:rFonts w:ascii="Times New Roman" w:eastAsia="Times New Roman" w:hAnsi="Times New Roman" w:cs="Times New Roman"/>
          <w:color w:val="000000"/>
          <w:szCs w:val="24"/>
        </w:rPr>
        <w:t>Федеральный закон от 21.12.1994 № 69-ФЗ «О пожарной безопасности»;</w:t>
      </w:r>
    </w:p>
    <w:p w14:paraId="1DD4AE48" w14:textId="77777777" w:rsidR="00171AA8" w:rsidRPr="00731FE2" w:rsidRDefault="007935AB" w:rsidP="007832E7">
      <w:pPr>
        <w:pStyle w:val="a3"/>
        <w:numPr>
          <w:ilvl w:val="0"/>
          <w:numId w:val="43"/>
        </w:numPr>
        <w:pBdr>
          <w:top w:val="none" w:sz="4" w:space="0" w:color="000000"/>
          <w:left w:val="none" w:sz="4" w:space="0" w:color="000000"/>
          <w:bottom w:val="none" w:sz="4" w:space="0" w:color="000000"/>
          <w:right w:val="none" w:sz="4" w:space="0" w:color="000000"/>
        </w:pBdr>
        <w:tabs>
          <w:tab w:val="left" w:pos="199"/>
        </w:tabs>
        <w:ind w:left="0" w:firstLine="360"/>
        <w:rPr>
          <w:rFonts w:ascii="Times New Roman" w:eastAsia="Times New Roman" w:hAnsi="Times New Roman" w:cs="Times New Roman"/>
          <w:szCs w:val="28"/>
        </w:rPr>
      </w:pPr>
      <w:r w:rsidRPr="00731FE2">
        <w:rPr>
          <w:rFonts w:ascii="Times New Roman" w:eastAsia="Times New Roman" w:hAnsi="Times New Roman" w:cs="Times New Roman"/>
          <w:color w:val="000000"/>
          <w:szCs w:val="24"/>
        </w:rPr>
        <w:t>Федеральный закон от 13.07.2015 № 218-ФЗ «О государственной регистрации недвижимости»;</w:t>
      </w:r>
    </w:p>
    <w:p w14:paraId="032EC40C" w14:textId="77777777" w:rsidR="00171AA8" w:rsidRPr="00731FE2" w:rsidRDefault="007935AB" w:rsidP="007832E7">
      <w:pPr>
        <w:pStyle w:val="a3"/>
        <w:numPr>
          <w:ilvl w:val="0"/>
          <w:numId w:val="43"/>
        </w:numPr>
        <w:pBdr>
          <w:top w:val="none" w:sz="4" w:space="0" w:color="000000"/>
          <w:left w:val="none" w:sz="4" w:space="0" w:color="000000"/>
          <w:bottom w:val="none" w:sz="4" w:space="0" w:color="000000"/>
          <w:right w:val="none" w:sz="4" w:space="0" w:color="000000"/>
        </w:pBdr>
        <w:tabs>
          <w:tab w:val="left" w:pos="199"/>
        </w:tabs>
        <w:ind w:left="0" w:firstLine="360"/>
        <w:rPr>
          <w:rFonts w:ascii="Times New Roman" w:eastAsia="Times New Roman" w:hAnsi="Times New Roman" w:cs="Times New Roman"/>
          <w:szCs w:val="28"/>
        </w:rPr>
      </w:pPr>
      <w:r w:rsidRPr="00731FE2">
        <w:rPr>
          <w:rFonts w:ascii="Times New Roman" w:eastAsia="Times New Roman" w:hAnsi="Times New Roman" w:cs="Times New Roman"/>
          <w:color w:val="000000"/>
          <w:szCs w:val="24"/>
        </w:rPr>
        <w:t>Федеральный закон от 24.07.2002 № 101-ФЗ «Об обороте земель сельскохозяйственного назначения»;</w:t>
      </w:r>
    </w:p>
    <w:p w14:paraId="3423A334" w14:textId="77777777" w:rsidR="00171AA8" w:rsidRPr="00731FE2" w:rsidRDefault="007935AB" w:rsidP="007832E7">
      <w:pPr>
        <w:pStyle w:val="a3"/>
        <w:numPr>
          <w:ilvl w:val="0"/>
          <w:numId w:val="43"/>
        </w:numPr>
        <w:pBdr>
          <w:top w:val="none" w:sz="4" w:space="0" w:color="000000"/>
          <w:left w:val="none" w:sz="4" w:space="0" w:color="000000"/>
          <w:bottom w:val="none" w:sz="4" w:space="0" w:color="000000"/>
          <w:right w:val="none" w:sz="4" w:space="0" w:color="000000"/>
        </w:pBdr>
        <w:tabs>
          <w:tab w:val="left" w:pos="199"/>
        </w:tabs>
        <w:ind w:left="0" w:firstLine="360"/>
        <w:rPr>
          <w:rFonts w:ascii="Times New Roman" w:eastAsia="Times New Roman" w:hAnsi="Times New Roman" w:cs="Times New Roman"/>
          <w:szCs w:val="28"/>
        </w:rPr>
      </w:pPr>
      <w:r w:rsidRPr="00731FE2">
        <w:rPr>
          <w:rFonts w:ascii="Times New Roman" w:eastAsia="Times New Roman" w:hAnsi="Times New Roman" w:cs="Times New Roman"/>
          <w:color w:val="000000"/>
          <w:szCs w:val="24"/>
        </w:rPr>
        <w:lastRenderedPageBreak/>
        <w:t>Федеральный закон от 31.03.1999 № 69-ФЗ «О газоснабжении в Российской Федерации»;</w:t>
      </w:r>
    </w:p>
    <w:p w14:paraId="5638C720" w14:textId="77777777" w:rsidR="00171AA8" w:rsidRPr="00731FE2" w:rsidRDefault="007935AB" w:rsidP="007832E7">
      <w:pPr>
        <w:pStyle w:val="a3"/>
        <w:numPr>
          <w:ilvl w:val="0"/>
          <w:numId w:val="43"/>
        </w:numPr>
        <w:pBdr>
          <w:top w:val="none" w:sz="4" w:space="0" w:color="000000"/>
          <w:left w:val="none" w:sz="4" w:space="0" w:color="000000"/>
          <w:bottom w:val="none" w:sz="4" w:space="0" w:color="000000"/>
          <w:right w:val="none" w:sz="4" w:space="0" w:color="000000"/>
        </w:pBdr>
        <w:tabs>
          <w:tab w:val="left" w:pos="199"/>
        </w:tabs>
        <w:ind w:left="0" w:firstLine="360"/>
        <w:rPr>
          <w:rFonts w:ascii="Times New Roman" w:eastAsia="Times New Roman" w:hAnsi="Times New Roman" w:cs="Times New Roman"/>
          <w:szCs w:val="28"/>
        </w:rPr>
      </w:pPr>
      <w:r w:rsidRPr="00731FE2">
        <w:rPr>
          <w:rFonts w:ascii="Times New Roman" w:eastAsia="Times New Roman" w:hAnsi="Times New Roman" w:cs="Times New Roman"/>
          <w:color w:val="000000"/>
          <w:szCs w:val="24"/>
        </w:rPr>
        <w:t>Федеральный закон от 07.12.2011 № 416-ФЗ «О водоснабжении и водоотведении»;</w:t>
      </w:r>
    </w:p>
    <w:p w14:paraId="5B3C012C" w14:textId="77777777" w:rsidR="00171AA8" w:rsidRPr="00731FE2" w:rsidRDefault="007935AB" w:rsidP="007832E7">
      <w:pPr>
        <w:pStyle w:val="a3"/>
        <w:numPr>
          <w:ilvl w:val="0"/>
          <w:numId w:val="43"/>
        </w:numPr>
        <w:pBdr>
          <w:top w:val="none" w:sz="4" w:space="0" w:color="000000"/>
          <w:left w:val="none" w:sz="4" w:space="0" w:color="000000"/>
          <w:bottom w:val="none" w:sz="4" w:space="0" w:color="000000"/>
          <w:right w:val="none" w:sz="4" w:space="0" w:color="000000"/>
        </w:pBdr>
        <w:tabs>
          <w:tab w:val="left" w:pos="199"/>
        </w:tabs>
        <w:ind w:left="0" w:firstLine="360"/>
        <w:rPr>
          <w:rFonts w:ascii="Times New Roman" w:eastAsia="Times New Roman" w:hAnsi="Times New Roman" w:cs="Times New Roman"/>
          <w:szCs w:val="28"/>
        </w:rPr>
      </w:pPr>
      <w:r w:rsidRPr="00731FE2">
        <w:rPr>
          <w:rFonts w:ascii="Times New Roman" w:eastAsia="Times New Roman" w:hAnsi="Times New Roman" w:cs="Times New Roman"/>
          <w:color w:val="000000"/>
          <w:szCs w:val="24"/>
        </w:rPr>
        <w:t>Федеральный закон от 27.07.2010 № 190-ФЗ «О теплоснабжении»;</w:t>
      </w:r>
    </w:p>
    <w:p w14:paraId="2805DA10" w14:textId="77777777" w:rsidR="00171AA8" w:rsidRPr="00731FE2" w:rsidRDefault="007935AB" w:rsidP="007832E7">
      <w:pPr>
        <w:pStyle w:val="a3"/>
        <w:numPr>
          <w:ilvl w:val="0"/>
          <w:numId w:val="43"/>
        </w:numPr>
        <w:pBdr>
          <w:top w:val="none" w:sz="4" w:space="0" w:color="000000"/>
          <w:left w:val="none" w:sz="4" w:space="0" w:color="000000"/>
          <w:bottom w:val="none" w:sz="4" w:space="0" w:color="000000"/>
          <w:right w:val="none" w:sz="4" w:space="0" w:color="000000"/>
        </w:pBdr>
        <w:tabs>
          <w:tab w:val="left" w:pos="199"/>
        </w:tabs>
        <w:ind w:left="0" w:firstLine="360"/>
        <w:rPr>
          <w:rFonts w:ascii="Times New Roman" w:eastAsia="Times New Roman" w:hAnsi="Times New Roman" w:cs="Times New Roman"/>
          <w:szCs w:val="28"/>
        </w:rPr>
      </w:pPr>
      <w:r w:rsidRPr="00731FE2">
        <w:rPr>
          <w:rFonts w:ascii="Times New Roman" w:eastAsia="Times New Roman" w:hAnsi="Times New Roman" w:cs="Times New Roman"/>
          <w:color w:val="000000"/>
          <w:szCs w:val="24"/>
        </w:rPr>
        <w:t>Федеральный закон от 12.01.1996 № 8-ФЗ «О погребении и похоронном деле»;</w:t>
      </w:r>
    </w:p>
    <w:p w14:paraId="038B72EE" w14:textId="77777777" w:rsidR="00171AA8" w:rsidRPr="00731FE2" w:rsidRDefault="007935AB" w:rsidP="007832E7">
      <w:pPr>
        <w:pStyle w:val="a3"/>
        <w:numPr>
          <w:ilvl w:val="0"/>
          <w:numId w:val="43"/>
        </w:numPr>
        <w:pBdr>
          <w:top w:val="none" w:sz="4" w:space="0" w:color="000000"/>
          <w:left w:val="none" w:sz="4" w:space="0" w:color="000000"/>
          <w:bottom w:val="none" w:sz="4" w:space="0" w:color="000000"/>
          <w:right w:val="none" w:sz="4" w:space="0" w:color="000000"/>
        </w:pBdr>
        <w:tabs>
          <w:tab w:val="left" w:pos="199"/>
        </w:tabs>
        <w:ind w:left="0" w:firstLine="360"/>
        <w:rPr>
          <w:rFonts w:ascii="Times New Roman" w:eastAsia="Times New Roman" w:hAnsi="Times New Roman" w:cs="Times New Roman"/>
          <w:szCs w:val="28"/>
        </w:rPr>
      </w:pPr>
      <w:r w:rsidRPr="00731FE2">
        <w:rPr>
          <w:rFonts w:ascii="Times New Roman" w:eastAsia="Times New Roman" w:hAnsi="Times New Roman" w:cs="Times New Roman"/>
          <w:color w:val="000000"/>
          <w:szCs w:val="24"/>
        </w:rPr>
        <w:t>Федеральный закон от 31.12.2014 № 488-ФЗ «О промышленной политике в Российской Федерации»;</w:t>
      </w:r>
    </w:p>
    <w:p w14:paraId="17C4C325" w14:textId="77777777" w:rsidR="00171AA8" w:rsidRPr="00731FE2" w:rsidRDefault="007935AB" w:rsidP="007832E7">
      <w:pPr>
        <w:pStyle w:val="a3"/>
        <w:numPr>
          <w:ilvl w:val="0"/>
          <w:numId w:val="43"/>
        </w:numPr>
        <w:pBdr>
          <w:top w:val="none" w:sz="4" w:space="0" w:color="000000"/>
          <w:left w:val="none" w:sz="4" w:space="0" w:color="000000"/>
          <w:bottom w:val="none" w:sz="4" w:space="0" w:color="000000"/>
          <w:right w:val="none" w:sz="4" w:space="0" w:color="000000"/>
        </w:pBdr>
        <w:tabs>
          <w:tab w:val="left" w:pos="199"/>
        </w:tabs>
        <w:ind w:left="0" w:firstLine="360"/>
        <w:rPr>
          <w:rFonts w:ascii="Times New Roman" w:eastAsia="Times New Roman" w:hAnsi="Times New Roman" w:cs="Times New Roman"/>
          <w:szCs w:val="28"/>
        </w:rPr>
      </w:pPr>
      <w:r w:rsidRPr="00731FE2">
        <w:rPr>
          <w:rFonts w:ascii="Times New Roman" w:eastAsia="Times New Roman" w:hAnsi="Times New Roman" w:cs="Times New Roman"/>
          <w:color w:val="000000"/>
          <w:szCs w:val="24"/>
        </w:rPr>
        <w:t>Федеральный закон от 23.08.1996 № 127-ФЗ «О науке и государственной научно-технической политике»;</w:t>
      </w:r>
    </w:p>
    <w:p w14:paraId="727F1C22" w14:textId="77777777" w:rsidR="00171AA8" w:rsidRPr="00731FE2" w:rsidRDefault="007935AB" w:rsidP="007832E7">
      <w:pPr>
        <w:pStyle w:val="a3"/>
        <w:numPr>
          <w:ilvl w:val="0"/>
          <w:numId w:val="43"/>
        </w:numPr>
        <w:pBdr>
          <w:top w:val="none" w:sz="4" w:space="0" w:color="000000"/>
          <w:left w:val="none" w:sz="4" w:space="0" w:color="000000"/>
          <w:bottom w:val="none" w:sz="4" w:space="0" w:color="000000"/>
          <w:right w:val="none" w:sz="4" w:space="0" w:color="000000"/>
        </w:pBdr>
        <w:tabs>
          <w:tab w:val="left" w:pos="199"/>
        </w:tabs>
        <w:ind w:left="0" w:firstLine="360"/>
        <w:rPr>
          <w:rFonts w:ascii="Times New Roman" w:eastAsia="Times New Roman" w:hAnsi="Times New Roman" w:cs="Times New Roman"/>
          <w:szCs w:val="28"/>
        </w:rPr>
      </w:pPr>
      <w:r w:rsidRPr="00731FE2">
        <w:rPr>
          <w:rFonts w:ascii="Times New Roman" w:eastAsia="Times New Roman" w:hAnsi="Times New Roman" w:cs="Times New Roman"/>
          <w:color w:val="000000"/>
          <w:szCs w:val="24"/>
        </w:rPr>
        <w:t>Федеральный закон от 24.06.1998 № 89-ФЗ «Об отходах производства и потребления»;</w:t>
      </w:r>
    </w:p>
    <w:p w14:paraId="11673F50" w14:textId="77777777" w:rsidR="00171AA8" w:rsidRPr="00731FE2" w:rsidRDefault="007935AB" w:rsidP="007832E7">
      <w:pPr>
        <w:pStyle w:val="a3"/>
        <w:numPr>
          <w:ilvl w:val="0"/>
          <w:numId w:val="43"/>
        </w:numPr>
        <w:pBdr>
          <w:top w:val="none" w:sz="4" w:space="0" w:color="000000"/>
          <w:left w:val="none" w:sz="4" w:space="0" w:color="000000"/>
          <w:bottom w:val="none" w:sz="4" w:space="0" w:color="000000"/>
          <w:right w:val="none" w:sz="4" w:space="0" w:color="000000"/>
        </w:pBdr>
        <w:tabs>
          <w:tab w:val="left" w:pos="199"/>
        </w:tabs>
        <w:ind w:left="0" w:firstLine="360"/>
        <w:rPr>
          <w:rFonts w:ascii="Times New Roman" w:eastAsia="Times New Roman" w:hAnsi="Times New Roman" w:cs="Times New Roman"/>
          <w:szCs w:val="28"/>
        </w:rPr>
      </w:pPr>
      <w:r w:rsidRPr="00731FE2">
        <w:rPr>
          <w:rFonts w:ascii="Times New Roman" w:eastAsia="Times New Roman" w:hAnsi="Times New Roman" w:cs="Times New Roman"/>
          <w:color w:val="000000"/>
          <w:szCs w:val="24"/>
        </w:rPr>
        <w:t>Федеральный закон от 26.03.2003 № 35-ФЗ «Об электроэнергетике»;</w:t>
      </w:r>
    </w:p>
    <w:p w14:paraId="40F49663" w14:textId="77777777" w:rsidR="00171AA8" w:rsidRPr="00731FE2" w:rsidRDefault="007935AB" w:rsidP="007832E7">
      <w:pPr>
        <w:pStyle w:val="a3"/>
        <w:numPr>
          <w:ilvl w:val="0"/>
          <w:numId w:val="43"/>
        </w:numPr>
        <w:pBdr>
          <w:top w:val="none" w:sz="4" w:space="0" w:color="000000"/>
          <w:left w:val="none" w:sz="4" w:space="0" w:color="000000"/>
          <w:bottom w:val="none" w:sz="4" w:space="0" w:color="000000"/>
          <w:right w:val="none" w:sz="4" w:space="0" w:color="000000"/>
        </w:pBdr>
        <w:tabs>
          <w:tab w:val="left" w:pos="199"/>
        </w:tabs>
        <w:ind w:left="0" w:firstLine="360"/>
        <w:rPr>
          <w:rFonts w:ascii="Times New Roman" w:eastAsia="Times New Roman" w:hAnsi="Times New Roman" w:cs="Times New Roman"/>
          <w:szCs w:val="28"/>
        </w:rPr>
      </w:pPr>
      <w:r w:rsidRPr="00731FE2">
        <w:rPr>
          <w:rFonts w:ascii="Times New Roman" w:eastAsia="Times New Roman" w:hAnsi="Times New Roman" w:cs="Times New Roman"/>
          <w:color w:val="000000"/>
          <w:szCs w:val="24"/>
        </w:rPr>
        <w:t>Федеральный закон от 07.07.2003 № 126-ФЗ «О связи»;</w:t>
      </w:r>
    </w:p>
    <w:p w14:paraId="023A21E5" w14:textId="77777777" w:rsidR="00171AA8" w:rsidRPr="00731FE2" w:rsidRDefault="007935AB" w:rsidP="007832E7">
      <w:pPr>
        <w:pStyle w:val="a3"/>
        <w:numPr>
          <w:ilvl w:val="0"/>
          <w:numId w:val="43"/>
        </w:numPr>
        <w:pBdr>
          <w:top w:val="none" w:sz="4" w:space="0" w:color="000000"/>
          <w:left w:val="none" w:sz="4" w:space="0" w:color="000000"/>
          <w:bottom w:val="none" w:sz="4" w:space="0" w:color="000000"/>
          <w:right w:val="none" w:sz="4" w:space="0" w:color="000000"/>
        </w:pBdr>
        <w:tabs>
          <w:tab w:val="left" w:pos="199"/>
        </w:tabs>
        <w:ind w:left="0" w:firstLine="360"/>
        <w:rPr>
          <w:rFonts w:ascii="Times New Roman" w:eastAsia="Times New Roman" w:hAnsi="Times New Roman" w:cs="Times New Roman"/>
          <w:szCs w:val="28"/>
        </w:rPr>
      </w:pPr>
      <w:r w:rsidRPr="00731FE2">
        <w:rPr>
          <w:rFonts w:ascii="Times New Roman" w:eastAsia="Times New Roman" w:hAnsi="Times New Roman" w:cs="Times New Roman"/>
          <w:color w:val="000000"/>
          <w:szCs w:val="24"/>
        </w:rPr>
        <w:t>Федеральный закон от 08.11.2007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p>
    <w:p w14:paraId="0B32FE13" w14:textId="77777777" w:rsidR="00171AA8" w:rsidRPr="00731FE2" w:rsidRDefault="007935AB" w:rsidP="007832E7">
      <w:pPr>
        <w:pStyle w:val="a3"/>
        <w:numPr>
          <w:ilvl w:val="0"/>
          <w:numId w:val="43"/>
        </w:numPr>
        <w:pBdr>
          <w:top w:val="none" w:sz="4" w:space="0" w:color="000000"/>
          <w:left w:val="none" w:sz="4" w:space="0" w:color="000000"/>
          <w:bottom w:val="none" w:sz="4" w:space="0" w:color="000000"/>
          <w:right w:val="none" w:sz="4" w:space="0" w:color="000000"/>
        </w:pBdr>
        <w:tabs>
          <w:tab w:val="left" w:pos="199"/>
        </w:tabs>
        <w:ind w:left="0" w:firstLine="360"/>
        <w:rPr>
          <w:rFonts w:ascii="Times New Roman" w:eastAsia="Times New Roman" w:hAnsi="Times New Roman" w:cs="Times New Roman"/>
          <w:szCs w:val="28"/>
        </w:rPr>
      </w:pPr>
      <w:r w:rsidRPr="00731FE2">
        <w:rPr>
          <w:rFonts w:ascii="Times New Roman" w:eastAsia="Times New Roman" w:hAnsi="Times New Roman" w:cs="Times New Roman"/>
          <w:color w:val="000000"/>
          <w:szCs w:val="24"/>
        </w:rPr>
        <w:t>Федеральный закон Российской Федерации от 22 июля 2008 г. № 123-ФЗ «Технический регламент о требованиях пожарной безопасности»;</w:t>
      </w:r>
    </w:p>
    <w:p w14:paraId="3E49D501" w14:textId="77777777" w:rsidR="00171AA8" w:rsidRPr="00731FE2" w:rsidRDefault="007935AB" w:rsidP="007832E7">
      <w:pPr>
        <w:pStyle w:val="a3"/>
        <w:numPr>
          <w:ilvl w:val="0"/>
          <w:numId w:val="43"/>
        </w:numPr>
        <w:pBdr>
          <w:top w:val="none" w:sz="4" w:space="0" w:color="000000"/>
          <w:left w:val="none" w:sz="4" w:space="0" w:color="000000"/>
          <w:bottom w:val="none" w:sz="4" w:space="0" w:color="000000"/>
          <w:right w:val="none" w:sz="4" w:space="0" w:color="000000"/>
        </w:pBdr>
        <w:tabs>
          <w:tab w:val="left" w:pos="199"/>
        </w:tabs>
        <w:ind w:left="0" w:firstLine="360"/>
        <w:rPr>
          <w:rFonts w:ascii="Times New Roman" w:eastAsia="Times New Roman" w:hAnsi="Times New Roman" w:cs="Times New Roman"/>
          <w:szCs w:val="28"/>
        </w:rPr>
      </w:pPr>
      <w:r w:rsidRPr="00731FE2">
        <w:rPr>
          <w:rFonts w:ascii="Times New Roman" w:eastAsia="Times New Roman" w:hAnsi="Times New Roman" w:cs="Times New Roman"/>
          <w:color w:val="000000"/>
          <w:szCs w:val="24"/>
        </w:rPr>
        <w:t>Федеральный закон от 28 декабря 2013 г. № 442-ФЗ «Об основах социального обслуживания граждан в Российской Федерации»;</w:t>
      </w:r>
    </w:p>
    <w:p w14:paraId="317D5761" w14:textId="77777777" w:rsidR="00171AA8" w:rsidRPr="00731FE2" w:rsidRDefault="007935AB" w:rsidP="007832E7">
      <w:pPr>
        <w:pStyle w:val="a3"/>
        <w:numPr>
          <w:ilvl w:val="0"/>
          <w:numId w:val="43"/>
        </w:numPr>
        <w:pBdr>
          <w:top w:val="none" w:sz="4" w:space="0" w:color="000000"/>
          <w:left w:val="none" w:sz="4" w:space="0" w:color="000000"/>
          <w:bottom w:val="none" w:sz="4" w:space="0" w:color="000000"/>
          <w:right w:val="none" w:sz="4" w:space="0" w:color="000000"/>
        </w:pBdr>
        <w:tabs>
          <w:tab w:val="left" w:pos="199"/>
        </w:tabs>
        <w:ind w:left="0" w:firstLine="360"/>
        <w:rPr>
          <w:rFonts w:ascii="Times New Roman" w:eastAsia="Times New Roman" w:hAnsi="Times New Roman" w:cs="Times New Roman"/>
          <w:szCs w:val="28"/>
        </w:rPr>
      </w:pPr>
      <w:r w:rsidRPr="00731FE2">
        <w:rPr>
          <w:rFonts w:ascii="Times New Roman" w:eastAsia="Times New Roman" w:hAnsi="Times New Roman" w:cs="Times New Roman"/>
          <w:color w:val="000000"/>
          <w:szCs w:val="24"/>
        </w:rPr>
        <w:t>Закон Российской Федерации от 21.02.1992 № 2395-1 «О недрах»;</w:t>
      </w:r>
    </w:p>
    <w:p w14:paraId="308DEE7E" w14:textId="77777777" w:rsidR="00171AA8" w:rsidRPr="00731FE2" w:rsidRDefault="007935AB" w:rsidP="007832E7">
      <w:pPr>
        <w:pStyle w:val="a3"/>
        <w:numPr>
          <w:ilvl w:val="0"/>
          <w:numId w:val="43"/>
        </w:numPr>
        <w:pBdr>
          <w:top w:val="none" w:sz="4" w:space="0" w:color="000000"/>
          <w:left w:val="none" w:sz="4" w:space="0" w:color="000000"/>
          <w:bottom w:val="none" w:sz="4" w:space="0" w:color="000000"/>
          <w:right w:val="none" w:sz="4" w:space="0" w:color="000000"/>
        </w:pBdr>
        <w:tabs>
          <w:tab w:val="left" w:pos="199"/>
        </w:tabs>
        <w:ind w:left="0" w:firstLine="360"/>
        <w:rPr>
          <w:rFonts w:ascii="Times New Roman" w:eastAsia="Times New Roman" w:hAnsi="Times New Roman" w:cs="Times New Roman"/>
          <w:szCs w:val="28"/>
        </w:rPr>
      </w:pPr>
      <w:r w:rsidRPr="00731FE2">
        <w:rPr>
          <w:rFonts w:ascii="Times New Roman" w:eastAsia="Times New Roman" w:hAnsi="Times New Roman" w:cs="Times New Roman"/>
          <w:color w:val="000000"/>
          <w:szCs w:val="24"/>
        </w:rPr>
        <w:t>Закон Российской Федерации от 21.07.1993 № 5485-1 «О государственной тайне»;</w:t>
      </w:r>
    </w:p>
    <w:p w14:paraId="500331D6" w14:textId="77777777" w:rsidR="00171AA8" w:rsidRPr="00731FE2" w:rsidRDefault="007935AB" w:rsidP="007832E7">
      <w:pPr>
        <w:pStyle w:val="a3"/>
        <w:numPr>
          <w:ilvl w:val="0"/>
          <w:numId w:val="43"/>
        </w:numPr>
        <w:pBdr>
          <w:top w:val="none" w:sz="4" w:space="0" w:color="000000"/>
          <w:left w:val="none" w:sz="4" w:space="0" w:color="000000"/>
          <w:bottom w:val="none" w:sz="4" w:space="0" w:color="000000"/>
          <w:right w:val="none" w:sz="4" w:space="0" w:color="000000"/>
        </w:pBdr>
        <w:tabs>
          <w:tab w:val="left" w:pos="199"/>
        </w:tabs>
        <w:ind w:left="0" w:firstLine="360"/>
        <w:rPr>
          <w:rFonts w:ascii="Times New Roman" w:eastAsia="Times New Roman" w:hAnsi="Times New Roman" w:cs="Times New Roman"/>
          <w:szCs w:val="28"/>
        </w:rPr>
      </w:pPr>
      <w:r w:rsidRPr="00731FE2">
        <w:rPr>
          <w:rFonts w:ascii="Times New Roman" w:eastAsia="Times New Roman" w:hAnsi="Times New Roman" w:cs="Times New Roman"/>
          <w:color w:val="000000"/>
          <w:szCs w:val="24"/>
        </w:rPr>
        <w:t>Указ Президента Российской Федерации от 30.11.1995 № 1203 «Об утверждении Перечня сведений, отнесенных к государственной тайне»;</w:t>
      </w:r>
    </w:p>
    <w:p w14:paraId="259BC552" w14:textId="77777777" w:rsidR="00171AA8" w:rsidRPr="00731FE2" w:rsidRDefault="007935AB" w:rsidP="007832E7">
      <w:pPr>
        <w:pStyle w:val="a3"/>
        <w:numPr>
          <w:ilvl w:val="0"/>
          <w:numId w:val="43"/>
        </w:numPr>
        <w:pBdr>
          <w:top w:val="none" w:sz="4" w:space="0" w:color="000000"/>
          <w:left w:val="none" w:sz="4" w:space="0" w:color="000000"/>
          <w:bottom w:val="none" w:sz="4" w:space="0" w:color="000000"/>
          <w:right w:val="none" w:sz="4" w:space="0" w:color="000000"/>
        </w:pBdr>
        <w:tabs>
          <w:tab w:val="left" w:pos="199"/>
        </w:tabs>
        <w:ind w:left="0" w:firstLine="360"/>
        <w:rPr>
          <w:rFonts w:ascii="Times New Roman" w:eastAsia="Times New Roman" w:hAnsi="Times New Roman" w:cs="Times New Roman"/>
          <w:szCs w:val="28"/>
        </w:rPr>
      </w:pPr>
      <w:proofErr w:type="gramStart"/>
      <w:r w:rsidRPr="00731FE2">
        <w:rPr>
          <w:rFonts w:ascii="Times New Roman" w:eastAsia="Times New Roman" w:hAnsi="Times New Roman" w:cs="Times New Roman"/>
          <w:color w:val="000000"/>
          <w:szCs w:val="24"/>
        </w:rPr>
        <w:t>Постановление Правительства РФ от 31.12.2015 № 1532(ред. от 09.12.2021) «Об утверждении Правил предоставления документов, направляемых или предоставляемых в соответствии с частями 1, 3 - 13.3, 15, 15(1), 15.2 статьи 32 Федерального закона «О государственной регистрации недвижимости» в федеральный орган исполнительной власти (его территориальные органы), уполномоченный Правительством Российской Федерации на осуществление государственного кадастрового учета, государственной регистрации прав, ведение Единого государственного реестра</w:t>
      </w:r>
      <w:proofErr w:type="gramEnd"/>
      <w:r w:rsidRPr="00731FE2">
        <w:rPr>
          <w:rFonts w:ascii="Times New Roman" w:eastAsia="Times New Roman" w:hAnsi="Times New Roman" w:cs="Times New Roman"/>
          <w:color w:val="000000"/>
          <w:szCs w:val="24"/>
        </w:rPr>
        <w:t xml:space="preserve"> недвижимости»)</w:t>
      </w:r>
      <w:r w:rsidRPr="00731FE2">
        <w:rPr>
          <w:rFonts w:ascii="Times New Roman" w:eastAsia="Times New Roman" w:hAnsi="Times New Roman" w:cs="Times New Roman"/>
          <w:szCs w:val="24"/>
        </w:rPr>
        <w:t>;</w:t>
      </w:r>
    </w:p>
    <w:p w14:paraId="63EDA7D0" w14:textId="77777777" w:rsidR="00171AA8" w:rsidRPr="00731FE2" w:rsidRDefault="007935AB" w:rsidP="007832E7">
      <w:pPr>
        <w:pStyle w:val="a3"/>
        <w:numPr>
          <w:ilvl w:val="0"/>
          <w:numId w:val="43"/>
        </w:numPr>
        <w:pBdr>
          <w:top w:val="none" w:sz="4" w:space="0" w:color="000000"/>
          <w:left w:val="none" w:sz="4" w:space="0" w:color="000000"/>
          <w:bottom w:val="none" w:sz="4" w:space="0" w:color="000000"/>
          <w:right w:val="none" w:sz="4" w:space="0" w:color="000000"/>
        </w:pBdr>
        <w:tabs>
          <w:tab w:val="left" w:pos="199"/>
        </w:tabs>
        <w:ind w:left="0" w:firstLine="360"/>
        <w:rPr>
          <w:rFonts w:ascii="Times New Roman" w:eastAsia="Times New Roman" w:hAnsi="Times New Roman" w:cs="Times New Roman"/>
          <w:szCs w:val="28"/>
        </w:rPr>
      </w:pPr>
      <w:r w:rsidRPr="00731FE2">
        <w:rPr>
          <w:rFonts w:ascii="Times New Roman" w:eastAsia="Times New Roman" w:hAnsi="Times New Roman" w:cs="Times New Roman"/>
          <w:color w:val="000000"/>
          <w:szCs w:val="24"/>
        </w:rPr>
        <w:t>Постановление Правительства Российской Федерации от 30.07.2009 № 621 «Об утверждении формы карты (плана) объекта землеустройства и требований к ее составлению»;</w:t>
      </w:r>
    </w:p>
    <w:p w14:paraId="2F4BCC47" w14:textId="77777777" w:rsidR="00171AA8" w:rsidRPr="00731FE2" w:rsidRDefault="007935AB" w:rsidP="007832E7">
      <w:pPr>
        <w:pStyle w:val="a3"/>
        <w:numPr>
          <w:ilvl w:val="0"/>
          <w:numId w:val="43"/>
        </w:numPr>
        <w:pBdr>
          <w:top w:val="none" w:sz="4" w:space="0" w:color="000000"/>
          <w:left w:val="none" w:sz="4" w:space="0" w:color="000000"/>
          <w:bottom w:val="none" w:sz="4" w:space="0" w:color="000000"/>
          <w:right w:val="none" w:sz="4" w:space="0" w:color="000000"/>
        </w:pBdr>
        <w:tabs>
          <w:tab w:val="left" w:pos="199"/>
        </w:tabs>
        <w:ind w:left="0" w:firstLine="360"/>
        <w:rPr>
          <w:rFonts w:ascii="Times New Roman" w:eastAsia="Times New Roman" w:hAnsi="Times New Roman" w:cs="Times New Roman"/>
          <w:szCs w:val="28"/>
        </w:rPr>
      </w:pPr>
      <w:r w:rsidRPr="00731FE2">
        <w:rPr>
          <w:rFonts w:ascii="Times New Roman" w:eastAsia="Times New Roman" w:hAnsi="Times New Roman" w:cs="Times New Roman"/>
          <w:color w:val="000000"/>
          <w:szCs w:val="24"/>
        </w:rPr>
        <w:t xml:space="preserve">Приказ Минэкономразвития России от 21.07.2016 № 460 «Об утверждении </w:t>
      </w:r>
      <w:proofErr w:type="gramStart"/>
      <w:r w:rsidRPr="00731FE2">
        <w:rPr>
          <w:rFonts w:ascii="Times New Roman" w:eastAsia="Times New Roman" w:hAnsi="Times New Roman" w:cs="Times New Roman"/>
          <w:color w:val="000000"/>
          <w:szCs w:val="24"/>
        </w:rPr>
        <w:t>порядка согласования проектов документов территориального планирования муниципальных</w:t>
      </w:r>
      <w:proofErr w:type="gramEnd"/>
      <w:r w:rsidRPr="00731FE2">
        <w:rPr>
          <w:rFonts w:ascii="Times New Roman" w:eastAsia="Times New Roman" w:hAnsi="Times New Roman" w:cs="Times New Roman"/>
          <w:color w:val="000000"/>
          <w:szCs w:val="24"/>
        </w:rPr>
        <w:t xml:space="preserve"> образований, состава и порядка работы согласительной комиссии при согласовании проектов документов территориального планирования»;</w:t>
      </w:r>
    </w:p>
    <w:p w14:paraId="09E880FC" w14:textId="77777777" w:rsidR="00171AA8" w:rsidRPr="00731FE2" w:rsidRDefault="007935AB" w:rsidP="007832E7">
      <w:pPr>
        <w:pStyle w:val="a3"/>
        <w:numPr>
          <w:ilvl w:val="0"/>
          <w:numId w:val="43"/>
        </w:numPr>
        <w:pBdr>
          <w:top w:val="none" w:sz="4" w:space="0" w:color="000000"/>
          <w:left w:val="none" w:sz="4" w:space="0" w:color="000000"/>
          <w:bottom w:val="none" w:sz="4" w:space="0" w:color="000000"/>
          <w:right w:val="none" w:sz="4" w:space="0" w:color="000000"/>
        </w:pBdr>
        <w:tabs>
          <w:tab w:val="left" w:pos="199"/>
        </w:tabs>
        <w:ind w:left="0" w:firstLine="360"/>
        <w:rPr>
          <w:rFonts w:ascii="Times New Roman" w:eastAsia="Times New Roman" w:hAnsi="Times New Roman" w:cs="Times New Roman"/>
          <w:szCs w:val="28"/>
        </w:rPr>
      </w:pPr>
      <w:r w:rsidRPr="00731FE2">
        <w:rPr>
          <w:rFonts w:ascii="Times New Roman" w:eastAsia="Times New Roman" w:hAnsi="Times New Roman" w:cs="Times New Roman"/>
          <w:color w:val="000000"/>
          <w:szCs w:val="24"/>
        </w:rPr>
        <w:t>Приказ Министерства экономического развития Российской Федерации от 09.01.2018 года № 10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Минэкономразвития России от 7 декабря 2016 г. № 793»;</w:t>
      </w:r>
    </w:p>
    <w:p w14:paraId="37A8F813" w14:textId="77777777" w:rsidR="00171AA8" w:rsidRPr="00731FE2" w:rsidRDefault="007935AB" w:rsidP="007832E7">
      <w:pPr>
        <w:pStyle w:val="a3"/>
        <w:numPr>
          <w:ilvl w:val="0"/>
          <w:numId w:val="43"/>
        </w:numPr>
        <w:pBdr>
          <w:top w:val="none" w:sz="4" w:space="0" w:color="000000"/>
          <w:left w:val="none" w:sz="4" w:space="0" w:color="000000"/>
          <w:bottom w:val="none" w:sz="4" w:space="0" w:color="000000"/>
          <w:right w:val="none" w:sz="4" w:space="0" w:color="000000"/>
        </w:pBdr>
        <w:tabs>
          <w:tab w:val="left" w:pos="199"/>
        </w:tabs>
        <w:ind w:left="0" w:firstLine="360"/>
        <w:rPr>
          <w:rFonts w:ascii="Times New Roman" w:eastAsia="Times New Roman" w:hAnsi="Times New Roman" w:cs="Times New Roman"/>
          <w:szCs w:val="28"/>
        </w:rPr>
      </w:pPr>
      <w:r w:rsidRPr="00731FE2">
        <w:rPr>
          <w:rFonts w:ascii="Times New Roman" w:eastAsia="Times New Roman" w:hAnsi="Times New Roman" w:cs="Times New Roman"/>
          <w:color w:val="000000"/>
          <w:szCs w:val="24"/>
        </w:rPr>
        <w:t>Приказ Министерства экономического развития Российской Федерации от 06.09.2023 года № 620</w:t>
      </w:r>
      <w:r w:rsidRPr="00731FE2">
        <w:rPr>
          <w:rFonts w:ascii="Times New Roman" w:eastAsia="Times New Roman" w:hAnsi="Times New Roman" w:cs="Times New Roman"/>
          <w:color w:val="333333"/>
          <w:szCs w:val="24"/>
        </w:rPr>
        <w:t xml:space="preserve"> </w:t>
      </w:r>
      <w:r w:rsidRPr="00731FE2">
        <w:rPr>
          <w:rFonts w:ascii="Times New Roman" w:eastAsia="Times New Roman" w:hAnsi="Times New Roman" w:cs="Times New Roman"/>
          <w:color w:val="000000"/>
          <w:szCs w:val="24"/>
        </w:rPr>
        <w:t xml:space="preserve">"О внесении изменений в Требования к описанию и отображению в </w:t>
      </w:r>
      <w:r w:rsidRPr="00731FE2">
        <w:rPr>
          <w:rFonts w:ascii="Times New Roman" w:eastAsia="Times New Roman" w:hAnsi="Times New Roman" w:cs="Times New Roman"/>
          <w:color w:val="000000"/>
          <w:szCs w:val="24"/>
        </w:rPr>
        <w:lastRenderedPageBreak/>
        <w:t>документах территориального планирования объектов федерального значения, объектов регионального значения, объектов местного значения, утвержденные приказом Минэкономразвития России от 9 января 2018 г. № 10";</w:t>
      </w:r>
    </w:p>
    <w:p w14:paraId="6841B10A" w14:textId="77777777" w:rsidR="00171AA8" w:rsidRPr="00731FE2" w:rsidRDefault="007935AB" w:rsidP="007832E7">
      <w:pPr>
        <w:pStyle w:val="a3"/>
        <w:numPr>
          <w:ilvl w:val="0"/>
          <w:numId w:val="43"/>
        </w:numPr>
        <w:pBdr>
          <w:top w:val="none" w:sz="4" w:space="0" w:color="000000"/>
          <w:left w:val="none" w:sz="4" w:space="0" w:color="000000"/>
          <w:bottom w:val="none" w:sz="4" w:space="0" w:color="000000"/>
          <w:right w:val="none" w:sz="4" w:space="0" w:color="000000"/>
        </w:pBdr>
        <w:tabs>
          <w:tab w:val="left" w:pos="199"/>
        </w:tabs>
        <w:ind w:left="0" w:firstLine="360"/>
        <w:rPr>
          <w:rFonts w:ascii="Times New Roman" w:eastAsia="Times New Roman" w:hAnsi="Times New Roman" w:cs="Times New Roman"/>
          <w:szCs w:val="28"/>
        </w:rPr>
      </w:pPr>
      <w:r w:rsidRPr="00731FE2">
        <w:rPr>
          <w:rFonts w:ascii="Times New Roman" w:eastAsia="Times New Roman" w:hAnsi="Times New Roman" w:cs="Times New Roman"/>
          <w:color w:val="000000"/>
          <w:szCs w:val="24"/>
        </w:rPr>
        <w:t>Приказ Федеральной службы государственной регистрации, кадастра и картографии от 26.0</w:t>
      </w:r>
      <w:r w:rsidR="00FD1C19" w:rsidRPr="00731FE2">
        <w:rPr>
          <w:rFonts w:ascii="Times New Roman" w:eastAsia="Times New Roman" w:hAnsi="Times New Roman" w:cs="Times New Roman"/>
          <w:color w:val="000000"/>
          <w:szCs w:val="24"/>
        </w:rPr>
        <w:t>7.2022 №</w:t>
      </w:r>
      <w:proofErr w:type="gramStart"/>
      <w:r w:rsidR="00FD1C19" w:rsidRPr="00731FE2">
        <w:rPr>
          <w:rFonts w:ascii="Times New Roman" w:eastAsia="Times New Roman" w:hAnsi="Times New Roman" w:cs="Times New Roman"/>
          <w:color w:val="000000"/>
          <w:szCs w:val="24"/>
        </w:rPr>
        <w:t>П</w:t>
      </w:r>
      <w:proofErr w:type="gramEnd"/>
      <w:r w:rsidR="00FD1C19" w:rsidRPr="00731FE2">
        <w:rPr>
          <w:rFonts w:ascii="Times New Roman" w:eastAsia="Times New Roman" w:hAnsi="Times New Roman" w:cs="Times New Roman"/>
          <w:color w:val="000000"/>
          <w:szCs w:val="24"/>
        </w:rPr>
        <w:t xml:space="preserve">/0292 «Об установлении </w:t>
      </w:r>
      <w:r w:rsidRPr="00731FE2">
        <w:rPr>
          <w:rFonts w:ascii="Times New Roman" w:eastAsia="Times New Roman" w:hAnsi="Times New Roman" w:cs="Times New Roman"/>
          <w:color w:val="000000"/>
          <w:szCs w:val="24"/>
        </w:rPr>
        <w:t>формы графического описания местоположения границ населенных пунктов, территориальных зон, особо охраняемых природных территорий, зон с особыми усло</w:t>
      </w:r>
      <w:r w:rsidR="00FD1C19" w:rsidRPr="00731FE2">
        <w:rPr>
          <w:rFonts w:ascii="Times New Roman" w:eastAsia="Times New Roman" w:hAnsi="Times New Roman" w:cs="Times New Roman"/>
          <w:color w:val="000000"/>
          <w:szCs w:val="24"/>
        </w:rPr>
        <w:t xml:space="preserve">виями использования территории, </w:t>
      </w:r>
      <w:r w:rsidRPr="00731FE2">
        <w:rPr>
          <w:rFonts w:ascii="Times New Roman" w:eastAsia="Times New Roman" w:hAnsi="Times New Roman" w:cs="Times New Roman"/>
          <w:color w:val="000000"/>
          <w:szCs w:val="24"/>
        </w:rPr>
        <w:t>формы текстового описания местоположения границ населенны</w:t>
      </w:r>
      <w:r w:rsidR="00FD1C19" w:rsidRPr="00731FE2">
        <w:rPr>
          <w:rFonts w:ascii="Times New Roman" w:eastAsia="Times New Roman" w:hAnsi="Times New Roman" w:cs="Times New Roman"/>
          <w:color w:val="000000"/>
          <w:szCs w:val="24"/>
        </w:rPr>
        <w:t xml:space="preserve">х пунктов, территориальных зон, </w:t>
      </w:r>
      <w:r w:rsidRPr="00731FE2">
        <w:rPr>
          <w:rFonts w:ascii="Times New Roman" w:eastAsia="Times New Roman" w:hAnsi="Times New Roman" w:cs="Times New Roman"/>
          <w:color w:val="000000"/>
          <w:szCs w:val="24"/>
        </w:rPr>
        <w:t>требований к точности определения координат характерных точек границ населенных пунктов, территориальных зон, особо охраняемых природных территорий, зон с особыми условиями использования территории, формату электронного документа, содержащего сведения о границах населенных пунктов, территориальных зон, особо охраняемых природных территорий, зон с особыми условиями использования территории»;</w:t>
      </w:r>
    </w:p>
    <w:p w14:paraId="3B31B90E" w14:textId="77777777" w:rsidR="00171AA8" w:rsidRPr="00731FE2" w:rsidRDefault="007935AB" w:rsidP="007832E7">
      <w:pPr>
        <w:pStyle w:val="a3"/>
        <w:numPr>
          <w:ilvl w:val="0"/>
          <w:numId w:val="43"/>
        </w:numPr>
        <w:pBdr>
          <w:top w:val="none" w:sz="4" w:space="0" w:color="000000"/>
          <w:left w:val="none" w:sz="4" w:space="0" w:color="000000"/>
          <w:bottom w:val="none" w:sz="4" w:space="0" w:color="000000"/>
          <w:right w:val="none" w:sz="4" w:space="0" w:color="000000"/>
        </w:pBdr>
        <w:tabs>
          <w:tab w:val="left" w:pos="199"/>
        </w:tabs>
        <w:ind w:left="0" w:firstLine="360"/>
        <w:rPr>
          <w:rFonts w:ascii="Times New Roman" w:eastAsia="Times New Roman" w:hAnsi="Times New Roman" w:cs="Times New Roman"/>
          <w:szCs w:val="28"/>
        </w:rPr>
      </w:pPr>
      <w:r w:rsidRPr="00731FE2">
        <w:rPr>
          <w:rFonts w:ascii="Times New Roman" w:eastAsia="Times New Roman" w:hAnsi="Times New Roman" w:cs="Times New Roman"/>
          <w:color w:val="000000"/>
          <w:szCs w:val="24"/>
        </w:rPr>
        <w:t>Приказ Министерства регионального развития РФ от 26.05.2011 № 244 «Об утверждении Методических рекомендаций по разработке проектов генеральных планов поселений и городских округов»;</w:t>
      </w:r>
    </w:p>
    <w:p w14:paraId="7D95218D" w14:textId="77777777" w:rsidR="00171AA8" w:rsidRPr="00731FE2" w:rsidRDefault="007935AB" w:rsidP="007832E7">
      <w:pPr>
        <w:pStyle w:val="a3"/>
        <w:numPr>
          <w:ilvl w:val="0"/>
          <w:numId w:val="43"/>
        </w:numPr>
        <w:pBdr>
          <w:top w:val="none" w:sz="4" w:space="0" w:color="000000"/>
          <w:left w:val="none" w:sz="4" w:space="0" w:color="000000"/>
          <w:bottom w:val="none" w:sz="4" w:space="0" w:color="000000"/>
          <w:right w:val="none" w:sz="4" w:space="0" w:color="000000"/>
        </w:pBdr>
        <w:tabs>
          <w:tab w:val="left" w:pos="199"/>
        </w:tabs>
        <w:ind w:left="0" w:firstLine="360"/>
        <w:rPr>
          <w:rFonts w:ascii="Times New Roman" w:eastAsia="Times New Roman" w:hAnsi="Times New Roman" w:cs="Times New Roman"/>
          <w:szCs w:val="28"/>
        </w:rPr>
      </w:pPr>
      <w:r w:rsidRPr="00731FE2">
        <w:rPr>
          <w:rFonts w:ascii="Times New Roman" w:eastAsia="Times New Roman" w:hAnsi="Times New Roman" w:cs="Times New Roman"/>
          <w:color w:val="000000"/>
          <w:szCs w:val="24"/>
        </w:rPr>
        <w:t>СП 34.13330.2012 «Автомобильные дороги. Актуализированная редакция СНиП 2.05.02-85*» (утв. Приказом Минрегиона России от 30.06.2012 № 266), (ред. от 25.02.2019);</w:t>
      </w:r>
    </w:p>
    <w:p w14:paraId="5D352BC3" w14:textId="77777777" w:rsidR="00171AA8" w:rsidRPr="00731FE2" w:rsidRDefault="007935AB" w:rsidP="007832E7">
      <w:pPr>
        <w:pStyle w:val="a3"/>
        <w:numPr>
          <w:ilvl w:val="0"/>
          <w:numId w:val="43"/>
        </w:numPr>
        <w:pBdr>
          <w:top w:val="none" w:sz="4" w:space="0" w:color="000000"/>
          <w:left w:val="none" w:sz="4" w:space="0" w:color="000000"/>
          <w:bottom w:val="none" w:sz="4" w:space="0" w:color="000000"/>
          <w:right w:val="none" w:sz="4" w:space="0" w:color="000000"/>
        </w:pBdr>
        <w:tabs>
          <w:tab w:val="left" w:pos="199"/>
        </w:tabs>
        <w:ind w:left="0" w:firstLine="360"/>
        <w:rPr>
          <w:rFonts w:ascii="Times New Roman" w:eastAsia="Times New Roman" w:hAnsi="Times New Roman" w:cs="Times New Roman"/>
          <w:szCs w:val="28"/>
        </w:rPr>
      </w:pPr>
      <w:r w:rsidRPr="00731FE2">
        <w:rPr>
          <w:rFonts w:ascii="Times New Roman" w:eastAsia="Times New Roman" w:hAnsi="Times New Roman" w:cs="Times New Roman"/>
          <w:color w:val="000000"/>
          <w:szCs w:val="24"/>
        </w:rPr>
        <w:t>СП 121.13330.2019 Аэродромы. СНиП 32-03-96;</w:t>
      </w:r>
    </w:p>
    <w:p w14:paraId="5BDCB653" w14:textId="77777777" w:rsidR="00171AA8" w:rsidRPr="00731FE2" w:rsidRDefault="007935AB" w:rsidP="007832E7">
      <w:pPr>
        <w:pStyle w:val="a3"/>
        <w:numPr>
          <w:ilvl w:val="0"/>
          <w:numId w:val="43"/>
        </w:numPr>
        <w:pBdr>
          <w:top w:val="none" w:sz="4" w:space="0" w:color="000000"/>
          <w:left w:val="none" w:sz="4" w:space="0" w:color="000000"/>
          <w:bottom w:val="none" w:sz="4" w:space="0" w:color="000000"/>
          <w:right w:val="none" w:sz="4" w:space="0" w:color="000000"/>
        </w:pBdr>
        <w:tabs>
          <w:tab w:val="left" w:pos="199"/>
        </w:tabs>
        <w:ind w:left="0" w:firstLine="360"/>
        <w:rPr>
          <w:rFonts w:ascii="Times New Roman" w:eastAsia="Times New Roman" w:hAnsi="Times New Roman" w:cs="Times New Roman"/>
          <w:szCs w:val="28"/>
        </w:rPr>
      </w:pPr>
      <w:r w:rsidRPr="00731FE2">
        <w:rPr>
          <w:rFonts w:ascii="Times New Roman" w:eastAsia="Times New Roman" w:hAnsi="Times New Roman" w:cs="Times New Roman"/>
          <w:color w:val="000000"/>
          <w:szCs w:val="24"/>
        </w:rPr>
        <w:t>СП 31.13330.2021 «СНиП 2.04.02-84* Водоснабжение. Наружные сети и сооружения» (утв. Приказом Министерства строительства и жилищно-коммунального хозяйства РФ от 27.12.2021 №1016/</w:t>
      </w:r>
      <w:proofErr w:type="gramStart"/>
      <w:r w:rsidRPr="00731FE2">
        <w:rPr>
          <w:rFonts w:ascii="Times New Roman" w:eastAsia="Times New Roman" w:hAnsi="Times New Roman" w:cs="Times New Roman"/>
          <w:color w:val="000000"/>
          <w:szCs w:val="24"/>
        </w:rPr>
        <w:t>пр</w:t>
      </w:r>
      <w:proofErr w:type="gramEnd"/>
      <w:r w:rsidRPr="00731FE2">
        <w:rPr>
          <w:rFonts w:ascii="Times New Roman" w:eastAsia="Times New Roman" w:hAnsi="Times New Roman" w:cs="Times New Roman"/>
          <w:color w:val="000000"/>
          <w:szCs w:val="24"/>
        </w:rPr>
        <w:t>);</w:t>
      </w:r>
    </w:p>
    <w:p w14:paraId="3D4B69DD" w14:textId="77777777" w:rsidR="00171AA8" w:rsidRPr="00731FE2" w:rsidRDefault="007935AB" w:rsidP="007832E7">
      <w:pPr>
        <w:pStyle w:val="a3"/>
        <w:numPr>
          <w:ilvl w:val="0"/>
          <w:numId w:val="43"/>
        </w:numPr>
        <w:pBdr>
          <w:top w:val="none" w:sz="4" w:space="0" w:color="000000"/>
          <w:left w:val="none" w:sz="4" w:space="0" w:color="000000"/>
          <w:bottom w:val="none" w:sz="4" w:space="0" w:color="000000"/>
          <w:right w:val="none" w:sz="4" w:space="0" w:color="000000"/>
        </w:pBdr>
        <w:tabs>
          <w:tab w:val="left" w:pos="199"/>
        </w:tabs>
        <w:ind w:left="0" w:firstLine="360"/>
        <w:rPr>
          <w:rFonts w:ascii="Times New Roman" w:eastAsia="Times New Roman" w:hAnsi="Times New Roman" w:cs="Times New Roman"/>
          <w:szCs w:val="28"/>
        </w:rPr>
      </w:pPr>
      <w:r w:rsidRPr="00731FE2">
        <w:rPr>
          <w:rFonts w:ascii="Times New Roman" w:eastAsia="Times New Roman" w:hAnsi="Times New Roman" w:cs="Times New Roman"/>
          <w:color w:val="000000"/>
          <w:szCs w:val="24"/>
        </w:rPr>
        <w:t>СП 32.13330.2018 Канализация. Наружные сети и сооружения. СНиП 2.04.03-85 (с Изменением № 1);</w:t>
      </w:r>
    </w:p>
    <w:p w14:paraId="112929B7" w14:textId="77777777" w:rsidR="00171AA8" w:rsidRPr="00731FE2" w:rsidRDefault="007935AB" w:rsidP="007832E7">
      <w:pPr>
        <w:pStyle w:val="a3"/>
        <w:numPr>
          <w:ilvl w:val="0"/>
          <w:numId w:val="43"/>
        </w:numPr>
        <w:pBdr>
          <w:top w:val="none" w:sz="4" w:space="0" w:color="000000"/>
          <w:left w:val="none" w:sz="4" w:space="0" w:color="000000"/>
          <w:bottom w:val="none" w:sz="4" w:space="0" w:color="000000"/>
          <w:right w:val="none" w:sz="4" w:space="0" w:color="000000"/>
        </w:pBdr>
        <w:tabs>
          <w:tab w:val="left" w:pos="199"/>
        </w:tabs>
        <w:ind w:left="0" w:firstLine="360"/>
        <w:rPr>
          <w:rFonts w:ascii="Times New Roman" w:eastAsia="Times New Roman" w:hAnsi="Times New Roman" w:cs="Times New Roman"/>
          <w:szCs w:val="28"/>
        </w:rPr>
      </w:pPr>
      <w:r w:rsidRPr="00731FE2">
        <w:rPr>
          <w:rFonts w:ascii="Times New Roman" w:eastAsia="Times New Roman" w:hAnsi="Times New Roman" w:cs="Times New Roman"/>
          <w:color w:val="000000"/>
          <w:szCs w:val="24"/>
        </w:rPr>
        <w:t>СП 60.13330.2020. Свод правил. Отопление, вентиляция и кондиционирование воздуха. СНиП 41-01-2003;</w:t>
      </w:r>
    </w:p>
    <w:p w14:paraId="73321091" w14:textId="77777777" w:rsidR="00171AA8" w:rsidRPr="00731FE2" w:rsidRDefault="007935AB" w:rsidP="007832E7">
      <w:pPr>
        <w:pStyle w:val="a3"/>
        <w:numPr>
          <w:ilvl w:val="0"/>
          <w:numId w:val="43"/>
        </w:numPr>
        <w:pBdr>
          <w:top w:val="none" w:sz="4" w:space="0" w:color="000000"/>
          <w:left w:val="none" w:sz="4" w:space="0" w:color="000000"/>
          <w:bottom w:val="none" w:sz="4" w:space="0" w:color="000000"/>
          <w:right w:val="none" w:sz="4" w:space="0" w:color="000000"/>
        </w:pBdr>
        <w:tabs>
          <w:tab w:val="left" w:pos="199"/>
        </w:tabs>
        <w:ind w:left="0" w:firstLine="360"/>
        <w:rPr>
          <w:rFonts w:ascii="Times New Roman" w:eastAsia="Times New Roman" w:hAnsi="Times New Roman" w:cs="Times New Roman"/>
          <w:szCs w:val="28"/>
        </w:rPr>
      </w:pPr>
      <w:r w:rsidRPr="00731FE2">
        <w:rPr>
          <w:rFonts w:ascii="Times New Roman" w:eastAsia="Times New Roman" w:hAnsi="Times New Roman" w:cs="Times New Roman"/>
          <w:color w:val="000000"/>
          <w:szCs w:val="24"/>
        </w:rPr>
        <w:t>СП 62.13330.2011* «Газораспределительные системы. Актуализированная редакция СНиП 42-01-2002 (с Изменениями № 1, 2, 3)»;</w:t>
      </w:r>
    </w:p>
    <w:p w14:paraId="62B288A1" w14:textId="77777777" w:rsidR="00171AA8" w:rsidRPr="00731FE2" w:rsidRDefault="007935AB" w:rsidP="007832E7">
      <w:pPr>
        <w:pStyle w:val="a3"/>
        <w:numPr>
          <w:ilvl w:val="0"/>
          <w:numId w:val="43"/>
        </w:numPr>
        <w:pBdr>
          <w:top w:val="none" w:sz="4" w:space="0" w:color="000000"/>
          <w:left w:val="none" w:sz="4" w:space="0" w:color="000000"/>
          <w:bottom w:val="none" w:sz="4" w:space="0" w:color="000000"/>
          <w:right w:val="none" w:sz="4" w:space="0" w:color="000000"/>
        </w:pBdr>
        <w:tabs>
          <w:tab w:val="left" w:pos="199"/>
        </w:tabs>
        <w:ind w:left="0" w:firstLine="360"/>
        <w:rPr>
          <w:rFonts w:ascii="Times New Roman" w:eastAsia="Times New Roman" w:hAnsi="Times New Roman" w:cs="Times New Roman"/>
          <w:szCs w:val="28"/>
        </w:rPr>
      </w:pPr>
      <w:r w:rsidRPr="00731FE2">
        <w:rPr>
          <w:rFonts w:ascii="Times New Roman" w:eastAsia="Times New Roman" w:hAnsi="Times New Roman" w:cs="Times New Roman"/>
          <w:color w:val="000000"/>
          <w:szCs w:val="24"/>
        </w:rPr>
        <w:t>СП 36.13330.2012 «Магистральные трубопроводы. Актуализированная редакция СНиП 2.05.06-85* (с Изменениями № 1, 2)»;</w:t>
      </w:r>
    </w:p>
    <w:p w14:paraId="76306F5D" w14:textId="77777777" w:rsidR="00171AA8" w:rsidRPr="00731FE2" w:rsidRDefault="007935AB" w:rsidP="007832E7">
      <w:pPr>
        <w:pStyle w:val="a3"/>
        <w:numPr>
          <w:ilvl w:val="0"/>
          <w:numId w:val="43"/>
        </w:numPr>
        <w:pBdr>
          <w:top w:val="none" w:sz="4" w:space="0" w:color="000000"/>
          <w:left w:val="none" w:sz="4" w:space="0" w:color="000000"/>
          <w:bottom w:val="none" w:sz="4" w:space="0" w:color="000000"/>
          <w:right w:val="none" w:sz="4" w:space="0" w:color="000000"/>
        </w:pBdr>
        <w:tabs>
          <w:tab w:val="left" w:pos="199"/>
        </w:tabs>
        <w:ind w:left="0" w:firstLine="360"/>
        <w:rPr>
          <w:rFonts w:ascii="Times New Roman" w:eastAsia="Times New Roman" w:hAnsi="Times New Roman" w:cs="Times New Roman"/>
          <w:szCs w:val="28"/>
        </w:rPr>
      </w:pPr>
      <w:r w:rsidRPr="00731FE2">
        <w:rPr>
          <w:rFonts w:ascii="Times New Roman" w:eastAsia="Times New Roman" w:hAnsi="Times New Roman" w:cs="Times New Roman"/>
          <w:color w:val="000000"/>
          <w:szCs w:val="24"/>
        </w:rPr>
        <w:t>СП 104.13330.2016 «Инженерная защита территории от затопления и подтопления. Актуализированная редакция СНиП 2.06.15-85»;</w:t>
      </w:r>
    </w:p>
    <w:p w14:paraId="3B2D2BAF" w14:textId="77777777" w:rsidR="00171AA8" w:rsidRPr="00731FE2" w:rsidRDefault="007935AB" w:rsidP="007832E7">
      <w:pPr>
        <w:pStyle w:val="a3"/>
        <w:numPr>
          <w:ilvl w:val="0"/>
          <w:numId w:val="43"/>
        </w:numPr>
        <w:pBdr>
          <w:top w:val="none" w:sz="4" w:space="0" w:color="000000"/>
          <w:left w:val="none" w:sz="4" w:space="0" w:color="000000"/>
          <w:bottom w:val="none" w:sz="4" w:space="0" w:color="000000"/>
          <w:right w:val="none" w:sz="4" w:space="0" w:color="000000"/>
        </w:pBdr>
        <w:tabs>
          <w:tab w:val="left" w:pos="199"/>
        </w:tabs>
        <w:ind w:left="0" w:firstLine="360"/>
        <w:rPr>
          <w:rFonts w:ascii="Times New Roman" w:eastAsia="Times New Roman" w:hAnsi="Times New Roman" w:cs="Times New Roman"/>
          <w:szCs w:val="28"/>
        </w:rPr>
      </w:pPr>
      <w:r w:rsidRPr="00731FE2">
        <w:rPr>
          <w:rFonts w:ascii="Times New Roman" w:eastAsia="Times New Roman" w:hAnsi="Times New Roman" w:cs="Times New Roman"/>
          <w:color w:val="000000"/>
          <w:szCs w:val="24"/>
        </w:rPr>
        <w:t>СП 42.13330.2016 «Градостроительство. Планировка и застройка городских и сельских поселений. Актуализированная редакция СНиП 2.07.01-89* (с Изменениями № 1, 2)»;</w:t>
      </w:r>
    </w:p>
    <w:p w14:paraId="4EF1BDCD" w14:textId="77777777" w:rsidR="00171AA8" w:rsidRPr="00731FE2" w:rsidRDefault="007935AB" w:rsidP="007832E7">
      <w:pPr>
        <w:pStyle w:val="a3"/>
        <w:numPr>
          <w:ilvl w:val="0"/>
          <w:numId w:val="43"/>
        </w:numPr>
        <w:pBdr>
          <w:top w:val="none" w:sz="4" w:space="0" w:color="000000"/>
          <w:left w:val="none" w:sz="4" w:space="0" w:color="000000"/>
          <w:bottom w:val="none" w:sz="4" w:space="0" w:color="000000"/>
          <w:right w:val="none" w:sz="4" w:space="0" w:color="000000"/>
        </w:pBdr>
        <w:tabs>
          <w:tab w:val="left" w:pos="199"/>
        </w:tabs>
        <w:ind w:left="0" w:firstLine="360"/>
        <w:rPr>
          <w:rFonts w:ascii="Times New Roman" w:eastAsia="Times New Roman" w:hAnsi="Times New Roman" w:cs="Times New Roman"/>
          <w:szCs w:val="24"/>
        </w:rPr>
      </w:pPr>
      <w:r w:rsidRPr="00731FE2">
        <w:rPr>
          <w:rFonts w:ascii="Times New Roman" w:eastAsia="Times New Roman" w:hAnsi="Times New Roman" w:cs="Times New Roman"/>
          <w:color w:val="000000"/>
          <w:szCs w:val="24"/>
        </w:rPr>
        <w:t>Постановление Главного государственного санитарного врача РФ от 25.09.2007 № 74 (ред. от 28.02.2022) «О введении в действие новой редакции санитарно-эпидемиологических правил и нормативов СанПиН 2.2.1/2.1.1.1200-03 «Санитарно-защитные зоны и санитарная классификация предприятий, сооружений и иных объектов».</w:t>
      </w:r>
    </w:p>
    <w:p w14:paraId="2B0B4A86" w14:textId="77777777" w:rsidR="00171AA8" w:rsidRPr="00731FE2" w:rsidRDefault="00171AA8">
      <w:pPr>
        <w:pBdr>
          <w:top w:val="none" w:sz="4" w:space="0" w:color="000000"/>
          <w:left w:val="none" w:sz="4" w:space="0" w:color="000000"/>
          <w:bottom w:val="none" w:sz="4" w:space="0" w:color="000000"/>
          <w:right w:val="none" w:sz="4" w:space="0" w:color="000000"/>
        </w:pBdr>
        <w:tabs>
          <w:tab w:val="left" w:pos="1732"/>
        </w:tabs>
        <w:ind w:firstLine="0"/>
        <w:jc w:val="left"/>
      </w:pPr>
    </w:p>
    <w:p w14:paraId="6B36C37B" w14:textId="77777777" w:rsidR="00171AA8" w:rsidRPr="00731FE2" w:rsidRDefault="007935AB">
      <w:pPr>
        <w:pStyle w:val="24"/>
        <w:rPr>
          <w:rFonts w:ascii="Times New Roman" w:hAnsi="Times New Roman" w:cs="Times New Roman"/>
        </w:rPr>
      </w:pPr>
      <w:bookmarkStart w:id="7" w:name="_Toc177392763"/>
      <w:r w:rsidRPr="00731FE2">
        <w:rPr>
          <w:rFonts w:ascii="Times New Roman" w:hAnsi="Times New Roman" w:cs="Times New Roman"/>
        </w:rPr>
        <w:t>1.2 Сведения об утвержденных документах стратегического планирования Ставропольского края</w:t>
      </w:r>
      <w:bookmarkEnd w:id="7"/>
    </w:p>
    <w:p w14:paraId="2EF6267E" w14:textId="77777777" w:rsidR="00171AA8" w:rsidRPr="00731FE2" w:rsidRDefault="007935AB">
      <w:pPr>
        <w:pBdr>
          <w:top w:val="none" w:sz="4" w:space="0" w:color="000000"/>
          <w:left w:val="none" w:sz="4" w:space="0" w:color="000000"/>
          <w:bottom w:val="none" w:sz="4" w:space="0" w:color="000000"/>
          <w:right w:val="none" w:sz="4" w:space="0" w:color="000000"/>
        </w:pBdr>
      </w:pPr>
      <w:r w:rsidRPr="00731FE2">
        <w:rPr>
          <w:rFonts w:ascii="Times New Roman" w:eastAsia="Times New Roman" w:hAnsi="Times New Roman" w:cs="Times New Roman"/>
          <w:color w:val="000000"/>
          <w:szCs w:val="24"/>
        </w:rPr>
        <w:lastRenderedPageBreak/>
        <w:t>Проект Генерального плана города-курорта Кисловодска выполнен в соответствии с нижеследующими основными нормативными правовыми актами Ставропольского края</w:t>
      </w:r>
      <w:r w:rsidRPr="00731FE2">
        <w:rPr>
          <w:rFonts w:ascii="Times New Roman" w:eastAsia="Times New Roman" w:hAnsi="Times New Roman" w:cs="Times New Roman"/>
          <w:color w:val="000000"/>
          <w:szCs w:val="24"/>
          <w:vertAlign w:val="superscript"/>
        </w:rPr>
        <w:footnoteReference w:id="3"/>
      </w:r>
      <w:r w:rsidRPr="00731FE2">
        <w:t>.</w:t>
      </w:r>
    </w:p>
    <w:p w14:paraId="342F7D53" w14:textId="77777777" w:rsidR="00171AA8" w:rsidRPr="00731FE2" w:rsidRDefault="007935AB" w:rsidP="007832E7">
      <w:pPr>
        <w:pStyle w:val="a3"/>
        <w:numPr>
          <w:ilvl w:val="0"/>
          <w:numId w:val="44"/>
        </w:numPr>
        <w:pBdr>
          <w:top w:val="none" w:sz="4" w:space="0" w:color="000000"/>
          <w:left w:val="none" w:sz="4" w:space="0" w:color="000000"/>
          <w:bottom w:val="none" w:sz="4" w:space="0" w:color="000000"/>
          <w:right w:val="none" w:sz="4" w:space="0" w:color="000000"/>
        </w:pBdr>
        <w:tabs>
          <w:tab w:val="left" w:pos="199"/>
        </w:tabs>
        <w:ind w:left="0" w:firstLine="360"/>
        <w:rPr>
          <w:rFonts w:ascii="Times New Roman" w:eastAsia="Times New Roman" w:hAnsi="Times New Roman" w:cs="Times New Roman"/>
          <w:sz w:val="20"/>
        </w:rPr>
      </w:pPr>
      <w:r w:rsidRPr="00731FE2">
        <w:rPr>
          <w:rFonts w:ascii="Times New Roman" w:eastAsia="Times New Roman" w:hAnsi="Times New Roman" w:cs="Times New Roman"/>
          <w:color w:val="000000"/>
        </w:rPr>
        <w:t>Закон Ставропольского края от 02.03.2005 № 12-кз «О местном самоуправлении в Ставропольском крае»;</w:t>
      </w:r>
    </w:p>
    <w:p w14:paraId="1CE7B2EB" w14:textId="77777777" w:rsidR="00171AA8" w:rsidRPr="00731FE2" w:rsidRDefault="007935AB" w:rsidP="007832E7">
      <w:pPr>
        <w:pStyle w:val="a3"/>
        <w:numPr>
          <w:ilvl w:val="0"/>
          <w:numId w:val="44"/>
        </w:numPr>
        <w:pBdr>
          <w:top w:val="none" w:sz="4" w:space="0" w:color="000000"/>
          <w:left w:val="none" w:sz="4" w:space="0" w:color="000000"/>
          <w:bottom w:val="none" w:sz="4" w:space="0" w:color="000000"/>
          <w:right w:val="none" w:sz="4" w:space="0" w:color="000000"/>
        </w:pBdr>
        <w:tabs>
          <w:tab w:val="left" w:pos="199"/>
        </w:tabs>
        <w:ind w:left="0" w:firstLine="360"/>
        <w:rPr>
          <w:rFonts w:ascii="Times New Roman" w:eastAsia="Times New Roman" w:hAnsi="Times New Roman" w:cs="Times New Roman"/>
          <w:sz w:val="20"/>
        </w:rPr>
      </w:pPr>
      <w:r w:rsidRPr="00731FE2">
        <w:rPr>
          <w:rFonts w:ascii="Times New Roman" w:eastAsia="Times New Roman" w:hAnsi="Times New Roman" w:cs="Times New Roman"/>
          <w:color w:val="000000"/>
        </w:rPr>
        <w:t>Закон Ставропольского края от 16.03.2006 № 14-кз «Об объектах культурного наследия (памятниках истории и культуры) народов Российской Федерации в Ставропольском крае»;</w:t>
      </w:r>
    </w:p>
    <w:p w14:paraId="7FC7AC12" w14:textId="77777777" w:rsidR="00171AA8" w:rsidRPr="00731FE2" w:rsidRDefault="007935AB" w:rsidP="007832E7">
      <w:pPr>
        <w:pStyle w:val="a3"/>
        <w:numPr>
          <w:ilvl w:val="0"/>
          <w:numId w:val="44"/>
        </w:numPr>
        <w:pBdr>
          <w:top w:val="none" w:sz="4" w:space="0" w:color="000000"/>
          <w:left w:val="none" w:sz="4" w:space="0" w:color="000000"/>
          <w:bottom w:val="none" w:sz="4" w:space="0" w:color="000000"/>
          <w:right w:val="none" w:sz="4" w:space="0" w:color="000000"/>
        </w:pBdr>
        <w:tabs>
          <w:tab w:val="left" w:pos="199"/>
        </w:tabs>
        <w:ind w:left="0" w:firstLine="360"/>
        <w:rPr>
          <w:rFonts w:ascii="Times New Roman" w:eastAsia="Times New Roman" w:hAnsi="Times New Roman" w:cs="Times New Roman"/>
          <w:sz w:val="20"/>
        </w:rPr>
      </w:pPr>
      <w:r w:rsidRPr="00731FE2">
        <w:rPr>
          <w:rFonts w:ascii="Times New Roman" w:eastAsia="Times New Roman" w:hAnsi="Times New Roman" w:cs="Times New Roman"/>
          <w:color w:val="000000"/>
        </w:rPr>
        <w:t>Закон Ставропольского края от 29.07.2010 № 75-кз «О некоторых вопросах регулирования отношений недропользования на территории Ставропольского края»;</w:t>
      </w:r>
    </w:p>
    <w:p w14:paraId="2A21326A" w14:textId="77777777" w:rsidR="00171AA8" w:rsidRPr="00731FE2" w:rsidRDefault="007935AB" w:rsidP="007832E7">
      <w:pPr>
        <w:pStyle w:val="a3"/>
        <w:numPr>
          <w:ilvl w:val="0"/>
          <w:numId w:val="44"/>
        </w:numPr>
        <w:pBdr>
          <w:top w:val="none" w:sz="4" w:space="0" w:color="000000"/>
          <w:left w:val="none" w:sz="4" w:space="0" w:color="000000"/>
          <w:bottom w:val="none" w:sz="4" w:space="0" w:color="000000"/>
          <w:right w:val="none" w:sz="4" w:space="0" w:color="000000"/>
        </w:pBdr>
        <w:tabs>
          <w:tab w:val="left" w:pos="199"/>
        </w:tabs>
        <w:ind w:left="0" w:firstLine="360"/>
        <w:rPr>
          <w:rFonts w:ascii="Times New Roman" w:eastAsia="Times New Roman" w:hAnsi="Times New Roman" w:cs="Times New Roman"/>
          <w:sz w:val="20"/>
        </w:rPr>
      </w:pPr>
      <w:r w:rsidRPr="00731FE2">
        <w:rPr>
          <w:rFonts w:ascii="Times New Roman" w:eastAsia="Times New Roman" w:hAnsi="Times New Roman" w:cs="Times New Roman"/>
          <w:color w:val="000000"/>
        </w:rPr>
        <w:t>Закон Ставропольского края от 18.06.2012 № 53-кз «О некоторых вопросах регулирования отношений в области градостроительной деятельности на территории Ставропольского края»;</w:t>
      </w:r>
    </w:p>
    <w:p w14:paraId="5697DA5B" w14:textId="77777777" w:rsidR="00171AA8" w:rsidRPr="00731FE2" w:rsidRDefault="007935AB" w:rsidP="007832E7">
      <w:pPr>
        <w:pStyle w:val="a3"/>
        <w:numPr>
          <w:ilvl w:val="0"/>
          <w:numId w:val="44"/>
        </w:numPr>
        <w:pBdr>
          <w:top w:val="none" w:sz="4" w:space="0" w:color="000000"/>
          <w:left w:val="none" w:sz="4" w:space="0" w:color="000000"/>
          <w:bottom w:val="none" w:sz="4" w:space="0" w:color="000000"/>
          <w:right w:val="none" w:sz="4" w:space="0" w:color="000000"/>
        </w:pBdr>
        <w:tabs>
          <w:tab w:val="left" w:pos="199"/>
        </w:tabs>
        <w:ind w:left="0" w:firstLine="360"/>
        <w:rPr>
          <w:rFonts w:ascii="Times New Roman" w:eastAsia="Times New Roman" w:hAnsi="Times New Roman" w:cs="Times New Roman"/>
          <w:sz w:val="20"/>
        </w:rPr>
      </w:pPr>
      <w:r w:rsidRPr="00731FE2">
        <w:rPr>
          <w:rFonts w:ascii="Times New Roman" w:eastAsia="Times New Roman" w:hAnsi="Times New Roman" w:cs="Times New Roman"/>
          <w:color w:val="000000"/>
        </w:rPr>
        <w:t>Закон Ставропольского края от 06.05.2014 № 33-кз «Об особо охраняемых природных территориях»;</w:t>
      </w:r>
    </w:p>
    <w:p w14:paraId="1AA0CAB3" w14:textId="77777777" w:rsidR="00171AA8" w:rsidRPr="00731FE2" w:rsidRDefault="007935AB" w:rsidP="007832E7">
      <w:pPr>
        <w:pStyle w:val="a3"/>
        <w:numPr>
          <w:ilvl w:val="0"/>
          <w:numId w:val="44"/>
        </w:numPr>
        <w:pBdr>
          <w:top w:val="none" w:sz="4" w:space="0" w:color="000000"/>
          <w:left w:val="none" w:sz="4" w:space="0" w:color="000000"/>
          <w:bottom w:val="none" w:sz="4" w:space="0" w:color="000000"/>
          <w:right w:val="none" w:sz="4" w:space="0" w:color="000000"/>
        </w:pBdr>
        <w:tabs>
          <w:tab w:val="left" w:pos="199"/>
        </w:tabs>
        <w:ind w:left="0" w:firstLine="360"/>
        <w:rPr>
          <w:rFonts w:ascii="Times New Roman" w:eastAsia="Times New Roman" w:hAnsi="Times New Roman" w:cs="Times New Roman"/>
          <w:sz w:val="20"/>
        </w:rPr>
      </w:pPr>
      <w:r w:rsidRPr="00731FE2">
        <w:rPr>
          <w:rFonts w:ascii="Times New Roman" w:eastAsia="Times New Roman" w:hAnsi="Times New Roman" w:cs="Times New Roman"/>
          <w:color w:val="000000"/>
        </w:rPr>
        <w:t>Закон Ставропольского края от 09.04.2015 № 36-кз «О некоторых вопросах регулирования земельных отношений»;</w:t>
      </w:r>
    </w:p>
    <w:p w14:paraId="258CEF40" w14:textId="77777777" w:rsidR="00171AA8" w:rsidRPr="00731FE2" w:rsidRDefault="007935AB" w:rsidP="007832E7">
      <w:pPr>
        <w:pStyle w:val="a3"/>
        <w:numPr>
          <w:ilvl w:val="0"/>
          <w:numId w:val="44"/>
        </w:numPr>
        <w:pBdr>
          <w:top w:val="none" w:sz="4" w:space="0" w:color="000000"/>
          <w:left w:val="none" w:sz="4" w:space="0" w:color="000000"/>
          <w:bottom w:val="none" w:sz="4" w:space="0" w:color="000000"/>
          <w:right w:val="none" w:sz="4" w:space="0" w:color="000000"/>
        </w:pBdr>
        <w:tabs>
          <w:tab w:val="left" w:pos="199"/>
        </w:tabs>
        <w:ind w:left="0" w:firstLine="360"/>
        <w:rPr>
          <w:rFonts w:ascii="Times New Roman" w:eastAsia="Times New Roman" w:hAnsi="Times New Roman" w:cs="Times New Roman"/>
          <w:sz w:val="20"/>
        </w:rPr>
      </w:pPr>
      <w:r w:rsidRPr="00731FE2">
        <w:rPr>
          <w:rFonts w:ascii="Times New Roman" w:eastAsia="Times New Roman" w:hAnsi="Times New Roman" w:cs="Times New Roman"/>
          <w:color w:val="000000"/>
        </w:rPr>
        <w:t>Распоряжение Правительства Ставропольского края от 19.10.2017 года № 309-рп «Об утверждении прогноза социально-экономического развития Ставропольского края на период до 2035 года»;</w:t>
      </w:r>
    </w:p>
    <w:p w14:paraId="2AC322E6" w14:textId="77777777" w:rsidR="00171AA8" w:rsidRPr="00731FE2" w:rsidRDefault="007935AB" w:rsidP="007832E7">
      <w:pPr>
        <w:pStyle w:val="a3"/>
        <w:numPr>
          <w:ilvl w:val="0"/>
          <w:numId w:val="44"/>
        </w:numPr>
        <w:pBdr>
          <w:top w:val="none" w:sz="4" w:space="0" w:color="000000"/>
          <w:left w:val="none" w:sz="4" w:space="0" w:color="000000"/>
          <w:bottom w:val="none" w:sz="4" w:space="0" w:color="000000"/>
          <w:right w:val="none" w:sz="4" w:space="0" w:color="000000"/>
        </w:pBdr>
        <w:ind w:left="0" w:firstLine="360"/>
      </w:pPr>
      <w:r w:rsidRPr="00731FE2">
        <w:rPr>
          <w:rFonts w:ascii="Times New Roman" w:eastAsia="Times New Roman" w:hAnsi="Times New Roman" w:cs="Times New Roman"/>
          <w:color w:val="000000"/>
        </w:rPr>
        <w:t>Действующие технические регламенты, санитарные нормы и правила, строительные нормы и правила, иные нормативные документы Ставропольского края</w:t>
      </w:r>
      <w:r w:rsidRPr="00731FE2">
        <w:t>.</w:t>
      </w:r>
    </w:p>
    <w:p w14:paraId="1B1E9152" w14:textId="77777777" w:rsidR="00171AA8" w:rsidRPr="00731FE2" w:rsidRDefault="00171AA8">
      <w:pPr>
        <w:pBdr>
          <w:top w:val="none" w:sz="4" w:space="0" w:color="000000"/>
          <w:left w:val="none" w:sz="4" w:space="0" w:color="000000"/>
          <w:bottom w:val="none" w:sz="4" w:space="0" w:color="000000"/>
          <w:right w:val="none" w:sz="4" w:space="0" w:color="000000"/>
        </w:pBdr>
        <w:ind w:left="360" w:firstLine="0"/>
      </w:pPr>
    </w:p>
    <w:p w14:paraId="7EB9C05D" w14:textId="77777777" w:rsidR="00171AA8" w:rsidRPr="00731FE2" w:rsidRDefault="007935AB">
      <w:pPr>
        <w:pStyle w:val="24"/>
        <w:rPr>
          <w:rFonts w:ascii="Times New Roman" w:hAnsi="Times New Roman" w:cs="Times New Roman"/>
        </w:rPr>
      </w:pPr>
      <w:bookmarkStart w:id="8" w:name="_Toc177392764"/>
      <w:r w:rsidRPr="00731FE2">
        <w:rPr>
          <w:rFonts w:ascii="Times New Roman" w:hAnsi="Times New Roman" w:cs="Times New Roman"/>
        </w:rPr>
        <w:t>1.3 Сведения муниципального уровня, предусматривающих создание объектов местного значения, а также сведений, содержащихся в информационной системе территориального планирования</w:t>
      </w:r>
      <w:bookmarkEnd w:id="8"/>
    </w:p>
    <w:p w14:paraId="3715BE3A"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Социально-экономическое развитие городского округа города-курорта Кисловодска осуществляется в соответствии с документами стратегического и территориального планирования Ставропольского края и самого округа, с учетом размещения объектов, предусмотренных аналогичными документами федерального уровня.</w:t>
      </w:r>
    </w:p>
    <w:p w14:paraId="582F7615"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На территории городского округа в настоящее время действуют 10 муниципальных программ:</w:t>
      </w:r>
    </w:p>
    <w:p w14:paraId="2FD1FA9E" w14:textId="77777777" w:rsidR="00171AA8" w:rsidRPr="00731FE2" w:rsidRDefault="007935AB" w:rsidP="007832E7">
      <w:pPr>
        <w:pStyle w:val="a3"/>
        <w:numPr>
          <w:ilvl w:val="0"/>
          <w:numId w:val="49"/>
        </w:numPr>
        <w:pBdr>
          <w:top w:val="none" w:sz="4" w:space="0" w:color="000000"/>
          <w:left w:val="none" w:sz="4" w:space="0" w:color="000000"/>
          <w:bottom w:val="none" w:sz="4" w:space="0" w:color="000000"/>
          <w:right w:val="none" w:sz="4" w:space="0" w:color="000000"/>
        </w:pBdr>
        <w:ind w:left="0" w:firstLine="283"/>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муниципальная программа «Развитие образования» (срок реализации 2022 – 2027 годы);</w:t>
      </w:r>
    </w:p>
    <w:p w14:paraId="258843F6" w14:textId="77777777" w:rsidR="00171AA8" w:rsidRPr="00731FE2" w:rsidRDefault="007935AB" w:rsidP="007832E7">
      <w:pPr>
        <w:pStyle w:val="a3"/>
        <w:numPr>
          <w:ilvl w:val="0"/>
          <w:numId w:val="49"/>
        </w:numPr>
        <w:pBdr>
          <w:top w:val="none" w:sz="4" w:space="0" w:color="000000"/>
          <w:left w:val="none" w:sz="4" w:space="0" w:color="000000"/>
          <w:bottom w:val="none" w:sz="4" w:space="0" w:color="000000"/>
          <w:right w:val="none" w:sz="4" w:space="0" w:color="000000"/>
        </w:pBdr>
        <w:ind w:left="0" w:firstLine="283"/>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муниципальная программа «Развитие жилищно-коммунального хозяйства» (срок реализации 2019 – 2024 годы);</w:t>
      </w:r>
    </w:p>
    <w:p w14:paraId="77A3EF8F" w14:textId="77777777" w:rsidR="00171AA8" w:rsidRPr="00731FE2" w:rsidRDefault="007935AB" w:rsidP="007832E7">
      <w:pPr>
        <w:pStyle w:val="a3"/>
        <w:numPr>
          <w:ilvl w:val="0"/>
          <w:numId w:val="49"/>
        </w:numPr>
        <w:pBdr>
          <w:top w:val="none" w:sz="4" w:space="0" w:color="000000"/>
          <w:left w:val="none" w:sz="4" w:space="0" w:color="000000"/>
          <w:bottom w:val="none" w:sz="4" w:space="0" w:color="000000"/>
          <w:right w:val="none" w:sz="4" w:space="0" w:color="000000"/>
        </w:pBdr>
        <w:ind w:left="0" w:firstLine="283"/>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муниципальная программа «Экономическое развитие» (срок реализации 2022 – 2027 годы);</w:t>
      </w:r>
    </w:p>
    <w:p w14:paraId="672A2DD1" w14:textId="77777777" w:rsidR="00171AA8" w:rsidRPr="00731FE2" w:rsidRDefault="007935AB" w:rsidP="007832E7">
      <w:pPr>
        <w:pStyle w:val="a3"/>
        <w:numPr>
          <w:ilvl w:val="0"/>
          <w:numId w:val="49"/>
        </w:numPr>
        <w:pBdr>
          <w:top w:val="none" w:sz="4" w:space="0" w:color="000000"/>
          <w:left w:val="none" w:sz="4" w:space="0" w:color="000000"/>
          <w:bottom w:val="none" w:sz="4" w:space="0" w:color="000000"/>
          <w:right w:val="none" w:sz="4" w:space="0" w:color="000000"/>
        </w:pBdr>
        <w:ind w:left="0" w:firstLine="283"/>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муниципальная программа «Обеспечение общественной безопасности и защита населения и территорий от чрезвычайных ситуаций» (срок реализации 2022 – 2027 годы);</w:t>
      </w:r>
    </w:p>
    <w:p w14:paraId="582CA848" w14:textId="77777777" w:rsidR="00171AA8" w:rsidRPr="00731FE2" w:rsidRDefault="007935AB" w:rsidP="007832E7">
      <w:pPr>
        <w:pStyle w:val="a3"/>
        <w:numPr>
          <w:ilvl w:val="0"/>
          <w:numId w:val="49"/>
        </w:numPr>
        <w:pBdr>
          <w:top w:val="none" w:sz="4" w:space="0" w:color="000000"/>
          <w:left w:val="none" w:sz="4" w:space="0" w:color="000000"/>
          <w:bottom w:val="none" w:sz="4" w:space="0" w:color="000000"/>
          <w:right w:val="none" w:sz="4" w:space="0" w:color="000000"/>
        </w:pBdr>
        <w:ind w:left="0" w:firstLine="283"/>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муниципальная программа «Развитие транспортной системы и обеспечение безопасности дорожного движения» (срок реализации 2022 – 2027 годы);</w:t>
      </w:r>
    </w:p>
    <w:p w14:paraId="4440A793" w14:textId="77777777" w:rsidR="00171AA8" w:rsidRPr="00731FE2" w:rsidRDefault="007935AB" w:rsidP="007832E7">
      <w:pPr>
        <w:pStyle w:val="a3"/>
        <w:numPr>
          <w:ilvl w:val="0"/>
          <w:numId w:val="49"/>
        </w:numPr>
        <w:pBdr>
          <w:top w:val="none" w:sz="4" w:space="0" w:color="000000"/>
          <w:left w:val="none" w:sz="4" w:space="0" w:color="000000"/>
          <w:bottom w:val="none" w:sz="4" w:space="0" w:color="000000"/>
          <w:right w:val="none" w:sz="4" w:space="0" w:color="000000"/>
        </w:pBdr>
        <w:ind w:left="0" w:firstLine="283"/>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lastRenderedPageBreak/>
        <w:t>муниципальная программа «Развитие культуры» (срок реализации 2022 – 2027 годы);</w:t>
      </w:r>
    </w:p>
    <w:p w14:paraId="7F698EEF" w14:textId="77777777" w:rsidR="00171AA8" w:rsidRPr="00731FE2" w:rsidRDefault="007935AB" w:rsidP="007832E7">
      <w:pPr>
        <w:pStyle w:val="a3"/>
        <w:numPr>
          <w:ilvl w:val="0"/>
          <w:numId w:val="49"/>
        </w:numPr>
        <w:pBdr>
          <w:top w:val="none" w:sz="4" w:space="0" w:color="000000"/>
          <w:left w:val="none" w:sz="4" w:space="0" w:color="000000"/>
          <w:bottom w:val="none" w:sz="4" w:space="0" w:color="000000"/>
          <w:right w:val="none" w:sz="4" w:space="0" w:color="000000"/>
        </w:pBdr>
        <w:ind w:left="0" w:firstLine="283"/>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муниципальная программа «Развитие физической культуры и спорта» (срок реализации 2022 – 2027 годы);</w:t>
      </w:r>
    </w:p>
    <w:p w14:paraId="0F9D738B" w14:textId="77777777" w:rsidR="00171AA8" w:rsidRPr="00731FE2" w:rsidRDefault="007935AB" w:rsidP="007832E7">
      <w:pPr>
        <w:pStyle w:val="a3"/>
        <w:numPr>
          <w:ilvl w:val="0"/>
          <w:numId w:val="49"/>
        </w:numPr>
        <w:pBdr>
          <w:top w:val="none" w:sz="4" w:space="0" w:color="000000"/>
          <w:left w:val="none" w:sz="4" w:space="0" w:color="000000"/>
          <w:bottom w:val="none" w:sz="4" w:space="0" w:color="000000"/>
          <w:right w:val="none" w:sz="4" w:space="0" w:color="000000"/>
        </w:pBdr>
        <w:ind w:left="0" w:firstLine="283"/>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муниципальная программа «Социальная поддержка граждан» (срок реализации 2022 – 2027 годы);</w:t>
      </w:r>
    </w:p>
    <w:p w14:paraId="266653C5" w14:textId="77777777" w:rsidR="00171AA8" w:rsidRPr="00731FE2" w:rsidRDefault="007935AB" w:rsidP="007832E7">
      <w:pPr>
        <w:pStyle w:val="a3"/>
        <w:numPr>
          <w:ilvl w:val="0"/>
          <w:numId w:val="49"/>
        </w:numPr>
        <w:pBdr>
          <w:top w:val="none" w:sz="4" w:space="0" w:color="000000"/>
          <w:left w:val="none" w:sz="4" w:space="0" w:color="000000"/>
          <w:bottom w:val="none" w:sz="4" w:space="0" w:color="000000"/>
          <w:right w:val="none" w:sz="4" w:space="0" w:color="000000"/>
        </w:pBdr>
        <w:ind w:left="0" w:firstLine="283"/>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муниципальная программа «Развитие туристско-рекреационного комплекса» (срок реализации 2022 – 2027 годы);</w:t>
      </w:r>
    </w:p>
    <w:p w14:paraId="3EA86FDA" w14:textId="77777777" w:rsidR="00171AA8" w:rsidRPr="00731FE2" w:rsidRDefault="007935AB" w:rsidP="007832E7">
      <w:pPr>
        <w:pStyle w:val="a3"/>
        <w:numPr>
          <w:ilvl w:val="0"/>
          <w:numId w:val="49"/>
        </w:numPr>
        <w:pBdr>
          <w:top w:val="none" w:sz="4" w:space="0" w:color="000000"/>
          <w:left w:val="none" w:sz="4" w:space="0" w:color="000000"/>
          <w:bottom w:val="none" w:sz="4" w:space="0" w:color="000000"/>
          <w:right w:val="none" w:sz="4" w:space="0" w:color="000000"/>
        </w:pBdr>
        <w:ind w:left="0" w:firstLine="283"/>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муниципальная программа «Формирование комфортной городской среды на территории города-курорта Кисловодска» (срок реализации 2019 – 2024 годы);</w:t>
      </w:r>
    </w:p>
    <w:p w14:paraId="5ED7DC61" w14:textId="77777777" w:rsidR="00171AA8" w:rsidRPr="00731FE2" w:rsidRDefault="007935AB" w:rsidP="007832E7">
      <w:pPr>
        <w:pStyle w:val="a3"/>
        <w:numPr>
          <w:ilvl w:val="0"/>
          <w:numId w:val="49"/>
        </w:numPr>
        <w:pBdr>
          <w:top w:val="none" w:sz="4" w:space="0" w:color="000000"/>
          <w:left w:val="none" w:sz="4" w:space="0" w:color="000000"/>
          <w:bottom w:val="none" w:sz="4" w:space="0" w:color="000000"/>
          <w:right w:val="none" w:sz="4" w:space="0" w:color="000000"/>
        </w:pBdr>
        <w:ind w:left="0" w:firstLine="283"/>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муниципальная программа «Сохранение ценных архитектурных объектов» (срок реализации 2020 – 2025 годы);</w:t>
      </w:r>
    </w:p>
    <w:p w14:paraId="1A2E5B71" w14:textId="77777777" w:rsidR="00171AA8" w:rsidRPr="00731FE2" w:rsidRDefault="007935AB" w:rsidP="007832E7">
      <w:pPr>
        <w:pStyle w:val="a3"/>
        <w:numPr>
          <w:ilvl w:val="0"/>
          <w:numId w:val="49"/>
        </w:numPr>
        <w:pBdr>
          <w:top w:val="none" w:sz="4" w:space="0" w:color="000000"/>
          <w:left w:val="none" w:sz="4" w:space="0" w:color="000000"/>
          <w:bottom w:val="none" w:sz="4" w:space="0" w:color="000000"/>
          <w:right w:val="none" w:sz="4" w:space="0" w:color="000000"/>
        </w:pBdr>
        <w:ind w:left="0" w:firstLine="283"/>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муниципальная программа «Экология Кисловодска» (срок реализации 2022 – 2027 годы).</w:t>
      </w:r>
    </w:p>
    <w:p w14:paraId="7F76CE98"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proofErr w:type="gramStart"/>
      <w:r w:rsidRPr="00731FE2">
        <w:rPr>
          <w:rFonts w:ascii="Times New Roman" w:eastAsia="Times New Roman" w:hAnsi="Times New Roman" w:cs="Times New Roman"/>
          <w:color w:val="000000"/>
          <w:szCs w:val="24"/>
        </w:rPr>
        <w:t>Важное значение</w:t>
      </w:r>
      <w:proofErr w:type="gramEnd"/>
      <w:r w:rsidRPr="00731FE2">
        <w:rPr>
          <w:rFonts w:ascii="Times New Roman" w:eastAsia="Times New Roman" w:hAnsi="Times New Roman" w:cs="Times New Roman"/>
          <w:color w:val="000000"/>
          <w:szCs w:val="24"/>
        </w:rPr>
        <w:t>, с точки зрения планирования социально-экономического развития города-курорта имеет Стратегия социально-экономического развития города-курорта Кисловодска, которая определяет перспективы динамики городского округа на период до 2035 года</w:t>
      </w:r>
      <w:r w:rsidRPr="00731FE2">
        <w:rPr>
          <w:rFonts w:ascii="Times New Roman" w:eastAsia="Times New Roman" w:hAnsi="Times New Roman" w:cs="Times New Roman"/>
          <w:color w:val="000000"/>
          <w:szCs w:val="24"/>
          <w:vertAlign w:val="superscript"/>
        </w:rPr>
        <w:footnoteReference w:id="4"/>
      </w:r>
      <w:r w:rsidRPr="00731FE2">
        <w:rPr>
          <w:rFonts w:ascii="Times New Roman" w:eastAsia="Times New Roman" w:hAnsi="Times New Roman" w:cs="Times New Roman"/>
          <w:color w:val="000000"/>
          <w:szCs w:val="24"/>
        </w:rPr>
        <w:t xml:space="preserve">. </w:t>
      </w:r>
    </w:p>
    <w:p w14:paraId="0BE0A78A"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Документом стратегического планирования является также Прогноз социально-экономического развития города-курорта Кисловодска на период до 2035 года</w:t>
      </w:r>
      <w:r w:rsidRPr="00731FE2">
        <w:rPr>
          <w:rFonts w:ascii="Times New Roman" w:eastAsia="Times New Roman" w:hAnsi="Times New Roman" w:cs="Times New Roman"/>
          <w:color w:val="000000"/>
          <w:szCs w:val="24"/>
          <w:vertAlign w:val="superscript"/>
        </w:rPr>
        <w:footnoteReference w:id="5"/>
      </w:r>
      <w:r w:rsidRPr="00731FE2">
        <w:rPr>
          <w:rFonts w:ascii="Times New Roman" w:eastAsia="Times New Roman" w:hAnsi="Times New Roman" w:cs="Times New Roman"/>
          <w:color w:val="000000"/>
          <w:szCs w:val="24"/>
        </w:rPr>
        <w:t>. Данный документ разработан с учетом возможностей использования социально-экономического потенциала городского округа в прогнозном периоде.</w:t>
      </w:r>
      <w:r w:rsidRPr="00731FE2">
        <w:rPr>
          <w:rFonts w:ascii="Times New Roman" w:hAnsi="Times New Roman" w:cs="Times New Roman"/>
        </w:rPr>
        <w:br w:type="page" w:clear="all"/>
      </w:r>
    </w:p>
    <w:p w14:paraId="44881899" w14:textId="77777777" w:rsidR="00171AA8" w:rsidRPr="00731FE2" w:rsidRDefault="007935AB">
      <w:pPr>
        <w:pStyle w:val="13"/>
        <w:rPr>
          <w:rFonts w:ascii="Times New Roman" w:hAnsi="Times New Roman" w:cs="Times New Roman"/>
        </w:rPr>
      </w:pPr>
      <w:bookmarkStart w:id="9" w:name="_Toc177392765"/>
      <w:r w:rsidRPr="00731FE2">
        <w:rPr>
          <w:rFonts w:ascii="Times New Roman" w:hAnsi="Times New Roman" w:cs="Times New Roman"/>
        </w:rPr>
        <w:lastRenderedPageBreak/>
        <w:t xml:space="preserve">2. ОБОСНОВАНИЕ ВЫБРАННОГО </w:t>
      </w:r>
      <w:proofErr w:type="gramStart"/>
      <w:r w:rsidRPr="00731FE2">
        <w:rPr>
          <w:rFonts w:ascii="Times New Roman" w:hAnsi="Times New Roman" w:cs="Times New Roman"/>
        </w:rPr>
        <w:t>ВАРИАНТА РАЗМЕЩЕНИЯ ОБЪЕКТОВ МЕСТНОГО ЗНАЧЕНИЯ ГОРОДСКОГО ОКРУГА</w:t>
      </w:r>
      <w:proofErr w:type="gramEnd"/>
      <w:r w:rsidRPr="00731FE2">
        <w:rPr>
          <w:rFonts w:ascii="Times New Roman" w:hAnsi="Times New Roman" w:cs="Times New Roman"/>
        </w:rPr>
        <w:t xml:space="preserve"> НА ОСНОВЕ АНАЛИЗА ИСПОЛЬЗОВАНИЯ ТЕРРИТОРИЙ, ВОЗМОЖНЫХ НАПРАВЛЕНИЙ ЕЕ РАЗВИТИЯ И ПРОГНОЗИРУЕМЫХ ОГРАНИЧЕНИЙ</w:t>
      </w:r>
      <w:bookmarkEnd w:id="9"/>
      <w:r w:rsidRPr="00731FE2">
        <w:rPr>
          <w:rFonts w:ascii="Times New Roman" w:hAnsi="Times New Roman" w:cs="Times New Roman"/>
        </w:rPr>
        <w:t xml:space="preserve"> </w:t>
      </w:r>
    </w:p>
    <w:p w14:paraId="342479A7" w14:textId="77777777" w:rsidR="00902F18" w:rsidRPr="00731FE2" w:rsidRDefault="00902F18" w:rsidP="00902F18">
      <w:pPr>
        <w:pBdr>
          <w:top w:val="none" w:sz="4" w:space="0" w:color="000000"/>
          <w:left w:val="none" w:sz="4" w:space="0" w:color="000000"/>
          <w:bottom w:val="none" w:sz="4" w:space="0" w:color="000000"/>
          <w:right w:val="none" w:sz="4" w:space="0" w:color="000000"/>
        </w:pBdr>
        <w:rPr>
          <w:rFonts w:ascii="Times New Roman" w:hAnsi="Times New Roman" w:cs="Times New Roman"/>
        </w:rPr>
      </w:pPr>
    </w:p>
    <w:p w14:paraId="765BCDDC" w14:textId="77777777" w:rsidR="00171AA8" w:rsidRPr="00731FE2" w:rsidRDefault="007935AB">
      <w:pPr>
        <w:pStyle w:val="24"/>
        <w:rPr>
          <w:rFonts w:ascii="Times New Roman" w:hAnsi="Times New Roman" w:cs="Times New Roman"/>
        </w:rPr>
      </w:pPr>
      <w:bookmarkStart w:id="10" w:name="_Toc177392766"/>
      <w:r w:rsidRPr="00731FE2">
        <w:rPr>
          <w:rFonts w:ascii="Times New Roman" w:hAnsi="Times New Roman" w:cs="Times New Roman"/>
        </w:rPr>
        <w:t>2.1 Общие сведения о территории. Экономико-географическое положение, система расселения</w:t>
      </w:r>
      <w:bookmarkEnd w:id="10"/>
    </w:p>
    <w:p w14:paraId="3AF57B17"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rPr>
        <w:t xml:space="preserve">Городской округ </w:t>
      </w:r>
      <w:r w:rsidRPr="00731FE2">
        <w:rPr>
          <w:rFonts w:ascii="Times New Roman" w:hAnsi="Times New Roman" w:cs="Times New Roman"/>
          <w:szCs w:val="24"/>
        </w:rPr>
        <w:t>город-курорт Кисловодск</w:t>
      </w:r>
      <w:r w:rsidRPr="00731FE2">
        <w:rPr>
          <w:rFonts w:ascii="Times New Roman" w:eastAsia="Times New Roman" w:hAnsi="Times New Roman" w:cs="Times New Roman"/>
          <w:color w:val="000000"/>
        </w:rPr>
        <w:t xml:space="preserve"> является муниципальным образованием, наделенным статусом городского округа </w:t>
      </w:r>
      <w:r w:rsidRPr="00731FE2">
        <w:rPr>
          <w:rFonts w:ascii="Times New Roman" w:hAnsi="Times New Roman" w:cs="Times New Roman"/>
        </w:rPr>
        <w:t>Законом Ставропольского края от 4 октября 2004 № 88-кз «О наделении муниципальных образований Ставропольского края статусом городского, сельского поселения, городского округа, муниципального района» и располагается на территории особо охраняемого эколого-курортного региона Кавказские Минерал</w:t>
      </w:r>
      <w:r w:rsidRPr="00731FE2">
        <w:rPr>
          <w:rFonts w:ascii="Times New Roman" w:eastAsia="Times New Roman" w:hAnsi="Times New Roman" w:cs="Times New Roman"/>
          <w:color w:val="000000"/>
          <w:szCs w:val="24"/>
        </w:rPr>
        <w:t>ьные Воды.</w:t>
      </w:r>
    </w:p>
    <w:p w14:paraId="767FF918"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 xml:space="preserve">Граница городского округа города-курорта Кисловодска установлена Законом Ставропольского края 25.08.2004 № 78-кз «Об установлении </w:t>
      </w:r>
      <w:proofErr w:type="gramStart"/>
      <w:r w:rsidRPr="00731FE2">
        <w:rPr>
          <w:rFonts w:ascii="Times New Roman" w:eastAsia="Times New Roman" w:hAnsi="Times New Roman" w:cs="Times New Roman"/>
          <w:color w:val="000000"/>
          <w:szCs w:val="24"/>
        </w:rPr>
        <w:t>границы муниципального образования города-курорта Кисловодска Ставропольского края</w:t>
      </w:r>
      <w:proofErr w:type="gramEnd"/>
      <w:r w:rsidRPr="00731FE2">
        <w:rPr>
          <w:rFonts w:ascii="Times New Roman" w:eastAsia="Times New Roman" w:hAnsi="Times New Roman" w:cs="Times New Roman"/>
          <w:color w:val="000000"/>
          <w:szCs w:val="24"/>
        </w:rPr>
        <w:t xml:space="preserve">». Территорию городского округа города-курорта Кисловодска составляют земли населенных пунктов города Кисловодска, поселков: Аликоновка, Белореченский, Высокогорный, Зеленогорский, Индустрия, Левоберезовский, Луначарский, Нарзанный, Новокисловодский, Правоберезовский и прилегающие к ним земли общего пользования, земли рекреационного назначения, земли для развития городского округа. </w:t>
      </w:r>
    </w:p>
    <w:p w14:paraId="26840275" w14:textId="77777777" w:rsidR="00171AA8" w:rsidRPr="00731FE2" w:rsidRDefault="007935AB">
      <w:pPr>
        <w:rPr>
          <w:rFonts w:ascii="Times New Roman" w:hAnsi="Times New Roman" w:cs="Times New Roman"/>
        </w:rPr>
      </w:pPr>
      <w:r w:rsidRPr="00731FE2">
        <w:rPr>
          <w:rFonts w:ascii="Times New Roman" w:hAnsi="Times New Roman" w:cs="Times New Roman"/>
          <w:szCs w:val="24"/>
        </w:rPr>
        <w:t>Г</w:t>
      </w:r>
      <w:r w:rsidRPr="00731FE2">
        <w:rPr>
          <w:rFonts w:ascii="Times New Roman" w:hAnsi="Times New Roman" w:cs="Times New Roman"/>
          <w:szCs w:val="24"/>
          <w:shd w:val="clear" w:color="FFFFFF" w:themeColor="background1" w:fill="FFFFFF" w:themeFill="background1"/>
        </w:rPr>
        <w:t xml:space="preserve">ородской округ город-курорт Кисловодск расположен в южной части Ставропольского края, на слабо наклонённом горном плато, в 43 км от Главного Кавказского хребта, на высоте 817 – 1062 м над уровнем моря, в долине реки Подкумок и её притоков – Ольховки и Берёзовки. Входит </w:t>
      </w:r>
      <w:r w:rsidRPr="00731FE2">
        <w:rPr>
          <w:rFonts w:ascii="Times New Roman" w:eastAsia="Times New Roman" w:hAnsi="Times New Roman" w:cs="Times New Roman"/>
          <w:color w:val="000000"/>
          <w:szCs w:val="24"/>
        </w:rPr>
        <w:t xml:space="preserve">в состав Северо-Кавказского федерального округа (СКФО), </w:t>
      </w:r>
      <w:r w:rsidRPr="00731FE2">
        <w:rPr>
          <w:rFonts w:ascii="Times New Roman" w:hAnsi="Times New Roman" w:cs="Times New Roman"/>
          <w:szCs w:val="24"/>
          <w:shd w:val="clear" w:color="FFFFFF" w:themeColor="background1" w:fill="FFFFFF" w:themeFill="background1"/>
        </w:rPr>
        <w:t>в особо охраняемый эколого-курортный регион Российской Федерац</w:t>
      </w:r>
      <w:r w:rsidRPr="00731FE2">
        <w:rPr>
          <w:rFonts w:ascii="Times New Roman" w:hAnsi="Times New Roman" w:cs="Times New Roman"/>
          <w:szCs w:val="24"/>
        </w:rPr>
        <w:t>ии – Кавказские Минеральные Воды и имеет статус курорта федерального значения.</w:t>
      </w:r>
    </w:p>
    <w:p w14:paraId="315F1C58"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rPr>
        <w:t xml:space="preserve">Площадь территории городского округа составляет - 72 км². По численности жителей </w:t>
      </w:r>
      <w:r w:rsidRPr="00731FE2">
        <w:rPr>
          <w:rFonts w:ascii="Times New Roman" w:hAnsi="Times New Roman" w:cs="Times New Roman"/>
          <w:szCs w:val="24"/>
        </w:rPr>
        <w:t>г</w:t>
      </w:r>
      <w:r w:rsidRPr="00731FE2">
        <w:rPr>
          <w:rFonts w:ascii="Times New Roman" w:hAnsi="Times New Roman" w:cs="Times New Roman"/>
          <w:szCs w:val="24"/>
          <w:shd w:val="clear" w:color="FFFFFF" w:themeColor="background1" w:fill="FFFFFF" w:themeFill="background1"/>
        </w:rPr>
        <w:t>ородской округ город-курорт Кисловодск (133,9 тыс. чел.)</w:t>
      </w:r>
      <w:r w:rsidRPr="00731FE2">
        <w:rPr>
          <w:rFonts w:ascii="Times New Roman" w:eastAsia="Times New Roman" w:hAnsi="Times New Roman" w:cs="Times New Roman"/>
          <w:color w:val="000000"/>
        </w:rPr>
        <w:t xml:space="preserve"> занимает 2 место среди городских округо</w:t>
      </w:r>
      <w:r w:rsidRPr="00731FE2">
        <w:rPr>
          <w:rFonts w:ascii="Times New Roman" w:eastAsia="Times New Roman" w:hAnsi="Times New Roman" w:cs="Times New Roman"/>
          <w:color w:val="000000"/>
          <w:szCs w:val="24"/>
        </w:rPr>
        <w:t xml:space="preserve">в одной из самых густонаселённых территорий Северного Кавказа – Кавказских Минеральных Вод. Более 94% населения округа относится к городскому типу расселения. </w:t>
      </w:r>
    </w:p>
    <w:p w14:paraId="28CF2DA4" w14:textId="77777777" w:rsidR="00171AA8" w:rsidRPr="00731FE2" w:rsidRDefault="00171AA8">
      <w:pPr>
        <w:pStyle w:val="aff0"/>
      </w:pPr>
    </w:p>
    <w:p w14:paraId="2F16C5F8" w14:textId="77777777" w:rsidR="00171AA8" w:rsidRPr="00731FE2" w:rsidRDefault="007935AB">
      <w:pPr>
        <w:pStyle w:val="af3"/>
        <w:rPr>
          <w:sz w:val="24"/>
          <w:szCs w:val="24"/>
        </w:rPr>
      </w:pPr>
      <w:r w:rsidRPr="00731FE2">
        <w:rPr>
          <w:sz w:val="24"/>
          <w:szCs w:val="24"/>
        </w:rPr>
        <w:t xml:space="preserve">Таблица </w:t>
      </w:r>
      <w:r w:rsidRPr="00731FE2">
        <w:rPr>
          <w:sz w:val="24"/>
          <w:szCs w:val="24"/>
        </w:rPr>
        <w:fldChar w:fldCharType="begin"/>
      </w:r>
      <w:r w:rsidRPr="00731FE2">
        <w:rPr>
          <w:sz w:val="24"/>
          <w:szCs w:val="24"/>
        </w:rPr>
        <w:instrText xml:space="preserve"> SEQ Таблица \* Arabic </w:instrText>
      </w:r>
      <w:r w:rsidRPr="00731FE2">
        <w:rPr>
          <w:sz w:val="24"/>
          <w:szCs w:val="24"/>
        </w:rPr>
        <w:fldChar w:fldCharType="separate"/>
      </w:r>
      <w:r w:rsidR="00C50915" w:rsidRPr="00731FE2">
        <w:rPr>
          <w:noProof/>
          <w:sz w:val="24"/>
          <w:szCs w:val="24"/>
        </w:rPr>
        <w:t>1</w:t>
      </w:r>
      <w:r w:rsidRPr="00731FE2">
        <w:rPr>
          <w:sz w:val="24"/>
          <w:szCs w:val="24"/>
        </w:rPr>
        <w:fldChar w:fldCharType="end"/>
      </w:r>
      <w:r w:rsidRPr="00731FE2">
        <w:rPr>
          <w:sz w:val="24"/>
          <w:szCs w:val="24"/>
        </w:rPr>
        <w:t xml:space="preserve"> – Численность населения по населенным пунктам городского округа города-курорта Кисловодска на 01.01.2023 г.</w:t>
      </w:r>
      <w:r w:rsidRPr="00731FE2">
        <w:rPr>
          <w:rStyle w:val="afb"/>
          <w:sz w:val="24"/>
          <w:szCs w:val="24"/>
          <w:vertAlign w:val="superscript"/>
        </w:rPr>
        <w:footnoteReference w:id="6"/>
      </w:r>
    </w:p>
    <w:tbl>
      <w:tblPr>
        <w:tblStyle w:val="afe"/>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456"/>
        <w:gridCol w:w="4237"/>
        <w:gridCol w:w="2326"/>
        <w:gridCol w:w="2325"/>
      </w:tblGrid>
      <w:tr w:rsidR="00171AA8" w:rsidRPr="00731FE2" w14:paraId="047CA8A1" w14:textId="77777777">
        <w:tc>
          <w:tcPr>
            <w:tcW w:w="456" w:type="dxa"/>
            <w:tcBorders>
              <w:top w:val="single" w:sz="4" w:space="0" w:color="000000"/>
              <w:left w:val="single" w:sz="4" w:space="0" w:color="000000"/>
              <w:bottom w:val="single" w:sz="4" w:space="0" w:color="000000"/>
              <w:right w:val="single" w:sz="4" w:space="0" w:color="000000"/>
            </w:tcBorders>
            <w:shd w:val="clear" w:color="FFFFFF" w:fill="FFFFFF"/>
            <w:tcMar>
              <w:top w:w="15" w:type="dxa"/>
              <w:left w:w="48" w:type="dxa"/>
              <w:bottom w:w="15" w:type="dxa"/>
              <w:right w:w="48" w:type="dxa"/>
            </w:tcMar>
            <w:vAlign w:val="center"/>
          </w:tcPr>
          <w:p w14:paraId="17B5895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b/>
                <w:color w:val="000000"/>
                <w:sz w:val="22"/>
              </w:rPr>
              <w:t xml:space="preserve">№ </w:t>
            </w:r>
            <w:proofErr w:type="gramStart"/>
            <w:r w:rsidRPr="00731FE2">
              <w:rPr>
                <w:rFonts w:ascii="Times New Roman" w:eastAsia="Times New Roman" w:hAnsi="Times New Roman" w:cs="Times New Roman"/>
                <w:b/>
                <w:color w:val="000000"/>
                <w:sz w:val="22"/>
              </w:rPr>
              <w:t>п</w:t>
            </w:r>
            <w:proofErr w:type="gramEnd"/>
            <w:r w:rsidRPr="00731FE2">
              <w:rPr>
                <w:rFonts w:ascii="Times New Roman" w:eastAsia="Times New Roman" w:hAnsi="Times New Roman" w:cs="Times New Roman"/>
                <w:b/>
                <w:color w:val="000000"/>
                <w:sz w:val="22"/>
              </w:rPr>
              <w:t>/п</w:t>
            </w:r>
          </w:p>
        </w:tc>
        <w:tc>
          <w:tcPr>
            <w:tcW w:w="4237" w:type="dxa"/>
            <w:tcBorders>
              <w:top w:val="single" w:sz="4" w:space="0" w:color="000000"/>
              <w:left w:val="single" w:sz="4" w:space="0" w:color="000000"/>
              <w:bottom w:val="single" w:sz="4" w:space="0" w:color="000000"/>
              <w:right w:val="single" w:sz="4" w:space="0" w:color="000000"/>
            </w:tcBorders>
            <w:shd w:val="clear" w:color="FFFFFF" w:fill="FFFFFF"/>
            <w:tcMar>
              <w:top w:w="15" w:type="dxa"/>
              <w:left w:w="48" w:type="dxa"/>
              <w:bottom w:w="15" w:type="dxa"/>
              <w:right w:w="48" w:type="dxa"/>
            </w:tcMar>
            <w:vAlign w:val="center"/>
          </w:tcPr>
          <w:p w14:paraId="2A61DA8B" w14:textId="77777777" w:rsidR="00171AA8" w:rsidRPr="00731FE2" w:rsidRDefault="007935AB">
            <w:pPr>
              <w:pBdr>
                <w:top w:val="none" w:sz="4" w:space="0" w:color="000000"/>
                <w:left w:val="none" w:sz="4" w:space="0" w:color="000000"/>
                <w:bottom w:val="none" w:sz="4" w:space="0" w:color="000000"/>
                <w:right w:val="none" w:sz="4" w:space="0" w:color="000000"/>
              </w:pBdr>
              <w:ind w:firstLine="0"/>
            </w:pPr>
            <w:r w:rsidRPr="00731FE2">
              <w:rPr>
                <w:rFonts w:ascii="Times New Roman" w:eastAsia="Times New Roman" w:hAnsi="Times New Roman" w:cs="Times New Roman"/>
                <w:b/>
                <w:color w:val="000000"/>
                <w:sz w:val="22"/>
              </w:rPr>
              <w:t>Городские и сельские населенные пункты</w:t>
            </w:r>
          </w:p>
        </w:tc>
        <w:tc>
          <w:tcPr>
            <w:tcW w:w="232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709D27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b/>
                <w:color w:val="000000"/>
                <w:sz w:val="22"/>
              </w:rPr>
              <w:t>Тип населенного пункта</w:t>
            </w:r>
          </w:p>
        </w:tc>
        <w:tc>
          <w:tcPr>
            <w:tcW w:w="2325" w:type="dxa"/>
            <w:tcBorders>
              <w:top w:val="single" w:sz="4" w:space="0" w:color="000000"/>
              <w:left w:val="single" w:sz="4" w:space="0" w:color="000000"/>
              <w:bottom w:val="single" w:sz="4" w:space="0" w:color="000000"/>
              <w:right w:val="single" w:sz="4" w:space="0" w:color="000000"/>
            </w:tcBorders>
            <w:shd w:val="clear" w:color="FFFFFF" w:fill="FFFFFF"/>
            <w:tcMar>
              <w:top w:w="15" w:type="dxa"/>
              <w:left w:w="48" w:type="dxa"/>
              <w:bottom w:w="15" w:type="dxa"/>
              <w:right w:w="48" w:type="dxa"/>
            </w:tcMar>
            <w:vAlign w:val="center"/>
          </w:tcPr>
          <w:p w14:paraId="1EDC4CD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b/>
                <w:color w:val="000000"/>
                <w:sz w:val="22"/>
              </w:rPr>
              <w:t>Численность населения, чел.</w:t>
            </w:r>
          </w:p>
        </w:tc>
      </w:tr>
      <w:tr w:rsidR="00171AA8" w:rsidRPr="00731FE2" w14:paraId="2CA627B0" w14:textId="77777777">
        <w:tc>
          <w:tcPr>
            <w:tcW w:w="456" w:type="dxa"/>
            <w:tcBorders>
              <w:top w:val="single" w:sz="4" w:space="0" w:color="000000"/>
              <w:left w:val="single" w:sz="4" w:space="0" w:color="000000"/>
              <w:bottom w:val="single" w:sz="4" w:space="0" w:color="000000"/>
              <w:right w:val="single" w:sz="4" w:space="0" w:color="000000"/>
            </w:tcBorders>
            <w:shd w:val="clear" w:color="FFFFFF" w:fill="FFFFFF"/>
            <w:tcMar>
              <w:top w:w="15" w:type="dxa"/>
              <w:left w:w="48" w:type="dxa"/>
              <w:bottom w:w="15" w:type="dxa"/>
              <w:right w:w="48" w:type="dxa"/>
            </w:tcMar>
            <w:vAlign w:val="center"/>
          </w:tcPr>
          <w:p w14:paraId="3D5DD7C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1.</w:t>
            </w:r>
          </w:p>
        </w:tc>
        <w:tc>
          <w:tcPr>
            <w:tcW w:w="4237" w:type="dxa"/>
            <w:tcBorders>
              <w:top w:val="single" w:sz="4" w:space="0" w:color="000000"/>
              <w:left w:val="single" w:sz="4" w:space="0" w:color="000000"/>
              <w:bottom w:val="single" w:sz="4" w:space="0" w:color="000000"/>
              <w:right w:val="single" w:sz="4" w:space="0" w:color="000000"/>
            </w:tcBorders>
            <w:shd w:val="clear" w:color="FFFFFF" w:fill="FFFFFF"/>
            <w:tcMar>
              <w:top w:w="15" w:type="dxa"/>
              <w:left w:w="48" w:type="dxa"/>
              <w:bottom w:w="15" w:type="dxa"/>
              <w:right w:w="48" w:type="dxa"/>
            </w:tcMar>
            <w:vAlign w:val="center"/>
          </w:tcPr>
          <w:p w14:paraId="542B6BA5" w14:textId="77777777" w:rsidR="00171AA8" w:rsidRPr="00731FE2" w:rsidRDefault="007935AB">
            <w:pPr>
              <w:pBdr>
                <w:top w:val="none" w:sz="4" w:space="0" w:color="000000"/>
                <w:left w:val="none" w:sz="4" w:space="0" w:color="000000"/>
                <w:bottom w:val="none" w:sz="4" w:space="0" w:color="000000"/>
                <w:right w:val="none" w:sz="4" w:space="0" w:color="000000"/>
              </w:pBdr>
              <w:ind w:firstLine="0"/>
            </w:pPr>
            <w:r w:rsidRPr="00731FE2">
              <w:rPr>
                <w:rFonts w:ascii="Times New Roman" w:eastAsia="Times New Roman" w:hAnsi="Times New Roman" w:cs="Times New Roman"/>
                <w:color w:val="000000"/>
                <w:sz w:val="22"/>
              </w:rPr>
              <w:t>Кисловодск</w:t>
            </w:r>
          </w:p>
        </w:tc>
        <w:tc>
          <w:tcPr>
            <w:tcW w:w="232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0CD72E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город-курорт</w:t>
            </w:r>
          </w:p>
        </w:tc>
        <w:tc>
          <w:tcPr>
            <w:tcW w:w="2325" w:type="dxa"/>
            <w:tcBorders>
              <w:top w:val="single" w:sz="4" w:space="0" w:color="000000"/>
              <w:left w:val="single" w:sz="4" w:space="0" w:color="000000"/>
              <w:bottom w:val="single" w:sz="4" w:space="0" w:color="000000"/>
              <w:right w:val="single" w:sz="4" w:space="0" w:color="000000"/>
            </w:tcBorders>
            <w:shd w:val="clear" w:color="FFFFFF" w:fill="FFFFFF"/>
            <w:tcMar>
              <w:top w:w="15" w:type="dxa"/>
              <w:left w:w="48" w:type="dxa"/>
              <w:bottom w:w="15" w:type="dxa"/>
              <w:right w:w="48" w:type="dxa"/>
            </w:tcMar>
            <w:vAlign w:val="center"/>
          </w:tcPr>
          <w:p w14:paraId="04BEF41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126674</w:t>
            </w:r>
          </w:p>
        </w:tc>
      </w:tr>
      <w:tr w:rsidR="00171AA8" w:rsidRPr="00731FE2" w14:paraId="619C138C" w14:textId="77777777">
        <w:tc>
          <w:tcPr>
            <w:tcW w:w="456" w:type="dxa"/>
            <w:tcBorders>
              <w:top w:val="single" w:sz="4" w:space="0" w:color="000000"/>
              <w:left w:val="single" w:sz="4" w:space="0" w:color="000000"/>
              <w:bottom w:val="single" w:sz="4" w:space="0" w:color="000000"/>
              <w:right w:val="single" w:sz="4" w:space="0" w:color="000000"/>
            </w:tcBorders>
            <w:shd w:val="clear" w:color="FFFFFF" w:fill="FFFFFF"/>
            <w:tcMar>
              <w:top w:w="15" w:type="dxa"/>
              <w:left w:w="48" w:type="dxa"/>
              <w:bottom w:w="15" w:type="dxa"/>
              <w:right w:w="48" w:type="dxa"/>
            </w:tcMar>
            <w:vAlign w:val="center"/>
          </w:tcPr>
          <w:p w14:paraId="7D4D59E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2.</w:t>
            </w:r>
          </w:p>
        </w:tc>
        <w:tc>
          <w:tcPr>
            <w:tcW w:w="4237" w:type="dxa"/>
            <w:tcBorders>
              <w:top w:val="single" w:sz="4" w:space="0" w:color="000000"/>
              <w:left w:val="single" w:sz="4" w:space="0" w:color="000000"/>
              <w:bottom w:val="single" w:sz="4" w:space="0" w:color="000000"/>
              <w:right w:val="single" w:sz="4" w:space="0" w:color="000000"/>
            </w:tcBorders>
            <w:shd w:val="clear" w:color="FFFFFF" w:fill="FFFFFF"/>
            <w:tcMar>
              <w:top w:w="15" w:type="dxa"/>
              <w:left w:w="48" w:type="dxa"/>
              <w:bottom w:w="15" w:type="dxa"/>
              <w:right w:w="48" w:type="dxa"/>
            </w:tcMar>
            <w:vAlign w:val="center"/>
          </w:tcPr>
          <w:p w14:paraId="1B7F2AB8" w14:textId="77777777" w:rsidR="00171AA8" w:rsidRPr="00731FE2" w:rsidRDefault="007935AB">
            <w:pPr>
              <w:pBdr>
                <w:top w:val="none" w:sz="4" w:space="0" w:color="000000"/>
                <w:left w:val="none" w:sz="4" w:space="0" w:color="000000"/>
                <w:bottom w:val="none" w:sz="4" w:space="0" w:color="000000"/>
                <w:right w:val="none" w:sz="4" w:space="0" w:color="000000"/>
              </w:pBdr>
              <w:ind w:firstLine="0"/>
            </w:pPr>
            <w:r w:rsidRPr="00731FE2">
              <w:rPr>
                <w:rFonts w:ascii="Times New Roman" w:eastAsia="Times New Roman" w:hAnsi="Times New Roman" w:cs="Times New Roman"/>
                <w:color w:val="000000"/>
                <w:sz w:val="22"/>
              </w:rPr>
              <w:t>Аликоновка</w:t>
            </w:r>
          </w:p>
        </w:tc>
        <w:tc>
          <w:tcPr>
            <w:tcW w:w="232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8969E0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посёлок</w:t>
            </w:r>
          </w:p>
        </w:tc>
        <w:tc>
          <w:tcPr>
            <w:tcW w:w="2325" w:type="dxa"/>
            <w:tcBorders>
              <w:top w:val="single" w:sz="4" w:space="0" w:color="000000"/>
              <w:left w:val="single" w:sz="4" w:space="0" w:color="000000"/>
              <w:bottom w:val="single" w:sz="4" w:space="0" w:color="000000"/>
              <w:right w:val="single" w:sz="4" w:space="0" w:color="000000"/>
            </w:tcBorders>
            <w:shd w:val="clear" w:color="FFFFFF" w:fill="FFFFFF"/>
            <w:tcMar>
              <w:top w:w="15" w:type="dxa"/>
              <w:left w:w="48" w:type="dxa"/>
              <w:bottom w:w="15" w:type="dxa"/>
              <w:right w:w="48" w:type="dxa"/>
            </w:tcMar>
            <w:vAlign w:val="center"/>
          </w:tcPr>
          <w:p w14:paraId="453A1DF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1294</w:t>
            </w:r>
          </w:p>
        </w:tc>
      </w:tr>
      <w:tr w:rsidR="00171AA8" w:rsidRPr="00731FE2" w14:paraId="051C8DD6" w14:textId="77777777">
        <w:tc>
          <w:tcPr>
            <w:tcW w:w="456" w:type="dxa"/>
            <w:tcBorders>
              <w:top w:val="single" w:sz="4" w:space="0" w:color="000000"/>
              <w:left w:val="single" w:sz="4" w:space="0" w:color="000000"/>
              <w:bottom w:val="single" w:sz="4" w:space="0" w:color="000000"/>
              <w:right w:val="single" w:sz="4" w:space="0" w:color="000000"/>
            </w:tcBorders>
            <w:shd w:val="clear" w:color="FFFFFF" w:fill="FFFFFF"/>
            <w:tcMar>
              <w:top w:w="15" w:type="dxa"/>
              <w:left w:w="48" w:type="dxa"/>
              <w:bottom w:w="15" w:type="dxa"/>
              <w:right w:w="48" w:type="dxa"/>
            </w:tcMar>
            <w:vAlign w:val="center"/>
          </w:tcPr>
          <w:p w14:paraId="3BA6D00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3.</w:t>
            </w:r>
          </w:p>
        </w:tc>
        <w:tc>
          <w:tcPr>
            <w:tcW w:w="4237" w:type="dxa"/>
            <w:tcBorders>
              <w:top w:val="single" w:sz="4" w:space="0" w:color="000000"/>
              <w:left w:val="single" w:sz="4" w:space="0" w:color="000000"/>
              <w:bottom w:val="single" w:sz="4" w:space="0" w:color="000000"/>
              <w:right w:val="single" w:sz="4" w:space="0" w:color="000000"/>
            </w:tcBorders>
            <w:shd w:val="clear" w:color="FFFFFF" w:fill="FFFFFF"/>
            <w:tcMar>
              <w:top w:w="15" w:type="dxa"/>
              <w:left w:w="48" w:type="dxa"/>
              <w:bottom w:w="15" w:type="dxa"/>
              <w:right w:w="48" w:type="dxa"/>
            </w:tcMar>
            <w:vAlign w:val="center"/>
          </w:tcPr>
          <w:p w14:paraId="098690A8" w14:textId="77777777" w:rsidR="00171AA8" w:rsidRPr="00731FE2" w:rsidRDefault="007935AB">
            <w:pPr>
              <w:pBdr>
                <w:top w:val="none" w:sz="4" w:space="0" w:color="000000"/>
                <w:left w:val="none" w:sz="4" w:space="0" w:color="000000"/>
                <w:bottom w:val="none" w:sz="4" w:space="0" w:color="000000"/>
                <w:right w:val="none" w:sz="4" w:space="0" w:color="000000"/>
              </w:pBdr>
              <w:ind w:firstLine="0"/>
            </w:pPr>
            <w:r w:rsidRPr="00731FE2">
              <w:rPr>
                <w:rFonts w:ascii="Times New Roman" w:eastAsia="Times New Roman" w:hAnsi="Times New Roman" w:cs="Times New Roman"/>
                <w:color w:val="000000"/>
                <w:sz w:val="22"/>
              </w:rPr>
              <w:t>Белореченский</w:t>
            </w:r>
          </w:p>
        </w:tc>
        <w:tc>
          <w:tcPr>
            <w:tcW w:w="232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A682BC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посёлок</w:t>
            </w:r>
          </w:p>
        </w:tc>
        <w:tc>
          <w:tcPr>
            <w:tcW w:w="2325" w:type="dxa"/>
            <w:tcBorders>
              <w:top w:val="single" w:sz="4" w:space="0" w:color="000000"/>
              <w:left w:val="single" w:sz="4" w:space="0" w:color="000000"/>
              <w:bottom w:val="single" w:sz="4" w:space="0" w:color="000000"/>
              <w:right w:val="single" w:sz="4" w:space="0" w:color="000000"/>
            </w:tcBorders>
            <w:shd w:val="clear" w:color="FFFFFF" w:fill="FFFFFF"/>
            <w:tcMar>
              <w:top w:w="15" w:type="dxa"/>
              <w:left w:w="48" w:type="dxa"/>
              <w:bottom w:w="15" w:type="dxa"/>
              <w:right w:w="48" w:type="dxa"/>
            </w:tcMar>
            <w:vAlign w:val="center"/>
          </w:tcPr>
          <w:p w14:paraId="5964A50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835</w:t>
            </w:r>
          </w:p>
        </w:tc>
      </w:tr>
      <w:tr w:rsidR="00171AA8" w:rsidRPr="00731FE2" w14:paraId="7598B7E9" w14:textId="77777777">
        <w:tc>
          <w:tcPr>
            <w:tcW w:w="456" w:type="dxa"/>
            <w:tcBorders>
              <w:top w:val="single" w:sz="4" w:space="0" w:color="000000"/>
              <w:left w:val="single" w:sz="4" w:space="0" w:color="000000"/>
              <w:bottom w:val="single" w:sz="4" w:space="0" w:color="000000"/>
              <w:right w:val="single" w:sz="4" w:space="0" w:color="000000"/>
            </w:tcBorders>
            <w:shd w:val="clear" w:color="FFFFFF" w:fill="FFFFFF"/>
            <w:tcMar>
              <w:top w:w="15" w:type="dxa"/>
              <w:left w:w="48" w:type="dxa"/>
              <w:bottom w:w="15" w:type="dxa"/>
              <w:right w:w="48" w:type="dxa"/>
            </w:tcMar>
            <w:vAlign w:val="center"/>
          </w:tcPr>
          <w:p w14:paraId="337A015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4.</w:t>
            </w:r>
          </w:p>
        </w:tc>
        <w:tc>
          <w:tcPr>
            <w:tcW w:w="4237" w:type="dxa"/>
            <w:tcBorders>
              <w:top w:val="single" w:sz="4" w:space="0" w:color="000000"/>
              <w:left w:val="single" w:sz="4" w:space="0" w:color="000000"/>
              <w:bottom w:val="single" w:sz="4" w:space="0" w:color="000000"/>
              <w:right w:val="single" w:sz="4" w:space="0" w:color="000000"/>
            </w:tcBorders>
            <w:shd w:val="clear" w:color="FFFFFF" w:fill="FFFFFF"/>
            <w:tcMar>
              <w:top w:w="15" w:type="dxa"/>
              <w:left w:w="48" w:type="dxa"/>
              <w:bottom w:w="15" w:type="dxa"/>
              <w:right w:w="48" w:type="dxa"/>
            </w:tcMar>
            <w:vAlign w:val="center"/>
          </w:tcPr>
          <w:p w14:paraId="6A933695" w14:textId="77777777" w:rsidR="00171AA8" w:rsidRPr="00731FE2" w:rsidRDefault="007935AB">
            <w:pPr>
              <w:pBdr>
                <w:top w:val="none" w:sz="4" w:space="0" w:color="000000"/>
                <w:left w:val="none" w:sz="4" w:space="0" w:color="000000"/>
                <w:bottom w:val="none" w:sz="4" w:space="0" w:color="000000"/>
                <w:right w:val="none" w:sz="4" w:space="0" w:color="000000"/>
              </w:pBdr>
              <w:ind w:firstLine="0"/>
            </w:pPr>
            <w:r w:rsidRPr="00731FE2">
              <w:rPr>
                <w:rFonts w:ascii="Times New Roman" w:eastAsia="Times New Roman" w:hAnsi="Times New Roman" w:cs="Times New Roman"/>
                <w:color w:val="000000"/>
                <w:sz w:val="22"/>
              </w:rPr>
              <w:t>Высокогорный</w:t>
            </w:r>
          </w:p>
        </w:tc>
        <w:tc>
          <w:tcPr>
            <w:tcW w:w="232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CA1DE4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посёлок</w:t>
            </w:r>
          </w:p>
        </w:tc>
        <w:tc>
          <w:tcPr>
            <w:tcW w:w="2325" w:type="dxa"/>
            <w:tcBorders>
              <w:top w:val="single" w:sz="4" w:space="0" w:color="000000"/>
              <w:left w:val="single" w:sz="4" w:space="0" w:color="000000"/>
              <w:bottom w:val="single" w:sz="4" w:space="0" w:color="000000"/>
              <w:right w:val="single" w:sz="4" w:space="0" w:color="000000"/>
            </w:tcBorders>
            <w:shd w:val="clear" w:color="FFFFFF" w:fill="FFFFFF"/>
            <w:tcMar>
              <w:top w:w="15" w:type="dxa"/>
              <w:left w:w="48" w:type="dxa"/>
              <w:bottom w:w="15" w:type="dxa"/>
              <w:right w:w="48" w:type="dxa"/>
            </w:tcMar>
            <w:vAlign w:val="center"/>
          </w:tcPr>
          <w:p w14:paraId="58D81B3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99</w:t>
            </w:r>
          </w:p>
        </w:tc>
      </w:tr>
      <w:tr w:rsidR="00171AA8" w:rsidRPr="00731FE2" w14:paraId="1E5EABE1" w14:textId="77777777">
        <w:tc>
          <w:tcPr>
            <w:tcW w:w="456" w:type="dxa"/>
            <w:tcBorders>
              <w:top w:val="single" w:sz="4" w:space="0" w:color="000000"/>
              <w:left w:val="single" w:sz="4" w:space="0" w:color="000000"/>
              <w:bottom w:val="single" w:sz="4" w:space="0" w:color="000000"/>
              <w:right w:val="single" w:sz="4" w:space="0" w:color="000000"/>
            </w:tcBorders>
            <w:shd w:val="clear" w:color="FFFFFF" w:fill="FFFFFF"/>
            <w:tcMar>
              <w:top w:w="15" w:type="dxa"/>
              <w:left w:w="48" w:type="dxa"/>
              <w:bottom w:w="15" w:type="dxa"/>
              <w:right w:w="48" w:type="dxa"/>
            </w:tcMar>
            <w:vAlign w:val="center"/>
          </w:tcPr>
          <w:p w14:paraId="7ED468E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lastRenderedPageBreak/>
              <w:t>5.</w:t>
            </w:r>
          </w:p>
        </w:tc>
        <w:tc>
          <w:tcPr>
            <w:tcW w:w="4237" w:type="dxa"/>
            <w:tcBorders>
              <w:top w:val="single" w:sz="4" w:space="0" w:color="000000"/>
              <w:left w:val="single" w:sz="4" w:space="0" w:color="000000"/>
              <w:bottom w:val="single" w:sz="4" w:space="0" w:color="000000"/>
              <w:right w:val="single" w:sz="4" w:space="0" w:color="000000"/>
            </w:tcBorders>
            <w:shd w:val="clear" w:color="FFFFFF" w:fill="FFFFFF"/>
            <w:tcMar>
              <w:top w:w="15" w:type="dxa"/>
              <w:left w:w="48" w:type="dxa"/>
              <w:bottom w:w="15" w:type="dxa"/>
              <w:right w:w="48" w:type="dxa"/>
            </w:tcMar>
            <w:vAlign w:val="center"/>
          </w:tcPr>
          <w:p w14:paraId="35C9E234" w14:textId="77777777" w:rsidR="00171AA8" w:rsidRPr="00731FE2" w:rsidRDefault="007935AB">
            <w:pPr>
              <w:pBdr>
                <w:top w:val="none" w:sz="4" w:space="0" w:color="000000"/>
                <w:left w:val="none" w:sz="4" w:space="0" w:color="000000"/>
                <w:bottom w:val="none" w:sz="4" w:space="0" w:color="000000"/>
                <w:right w:val="none" w:sz="4" w:space="0" w:color="000000"/>
              </w:pBdr>
              <w:ind w:firstLine="0"/>
            </w:pPr>
            <w:r w:rsidRPr="00731FE2">
              <w:rPr>
                <w:rFonts w:ascii="Times New Roman" w:eastAsia="Times New Roman" w:hAnsi="Times New Roman" w:cs="Times New Roman"/>
                <w:color w:val="000000"/>
                <w:sz w:val="22"/>
              </w:rPr>
              <w:t>Зеленогорский</w:t>
            </w:r>
          </w:p>
        </w:tc>
        <w:tc>
          <w:tcPr>
            <w:tcW w:w="232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CF7AED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посёлок</w:t>
            </w:r>
          </w:p>
        </w:tc>
        <w:tc>
          <w:tcPr>
            <w:tcW w:w="2325" w:type="dxa"/>
            <w:tcBorders>
              <w:top w:val="single" w:sz="4" w:space="0" w:color="000000"/>
              <w:left w:val="single" w:sz="4" w:space="0" w:color="000000"/>
              <w:bottom w:val="single" w:sz="4" w:space="0" w:color="000000"/>
              <w:right w:val="single" w:sz="4" w:space="0" w:color="000000"/>
            </w:tcBorders>
            <w:shd w:val="clear" w:color="FFFFFF" w:fill="FFFFFF"/>
            <w:tcMar>
              <w:top w:w="15" w:type="dxa"/>
              <w:left w:w="48" w:type="dxa"/>
              <w:bottom w:w="15" w:type="dxa"/>
              <w:right w:w="48" w:type="dxa"/>
            </w:tcMar>
            <w:vAlign w:val="center"/>
          </w:tcPr>
          <w:p w14:paraId="64FB790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1468</w:t>
            </w:r>
          </w:p>
        </w:tc>
      </w:tr>
      <w:tr w:rsidR="00171AA8" w:rsidRPr="00731FE2" w14:paraId="55A3540C" w14:textId="77777777">
        <w:tc>
          <w:tcPr>
            <w:tcW w:w="456" w:type="dxa"/>
            <w:tcBorders>
              <w:top w:val="single" w:sz="4" w:space="0" w:color="000000"/>
              <w:left w:val="single" w:sz="4" w:space="0" w:color="000000"/>
              <w:bottom w:val="single" w:sz="4" w:space="0" w:color="000000"/>
              <w:right w:val="single" w:sz="4" w:space="0" w:color="000000"/>
            </w:tcBorders>
            <w:shd w:val="clear" w:color="FFFFFF" w:fill="FFFFFF"/>
            <w:tcMar>
              <w:top w:w="15" w:type="dxa"/>
              <w:left w:w="48" w:type="dxa"/>
              <w:bottom w:w="15" w:type="dxa"/>
              <w:right w:w="48" w:type="dxa"/>
            </w:tcMar>
            <w:vAlign w:val="center"/>
          </w:tcPr>
          <w:p w14:paraId="30F4A24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6.</w:t>
            </w:r>
          </w:p>
        </w:tc>
        <w:tc>
          <w:tcPr>
            <w:tcW w:w="4237" w:type="dxa"/>
            <w:tcBorders>
              <w:top w:val="single" w:sz="4" w:space="0" w:color="000000"/>
              <w:left w:val="single" w:sz="4" w:space="0" w:color="000000"/>
              <w:bottom w:val="single" w:sz="4" w:space="0" w:color="000000"/>
              <w:right w:val="single" w:sz="4" w:space="0" w:color="000000"/>
            </w:tcBorders>
            <w:shd w:val="clear" w:color="FFFFFF" w:fill="FFFFFF"/>
            <w:tcMar>
              <w:top w:w="15" w:type="dxa"/>
              <w:left w:w="48" w:type="dxa"/>
              <w:bottom w:w="15" w:type="dxa"/>
              <w:right w:w="48" w:type="dxa"/>
            </w:tcMar>
            <w:vAlign w:val="center"/>
          </w:tcPr>
          <w:p w14:paraId="3401E824" w14:textId="77777777" w:rsidR="00171AA8" w:rsidRPr="00731FE2" w:rsidRDefault="007935AB">
            <w:pPr>
              <w:pBdr>
                <w:top w:val="none" w:sz="4" w:space="0" w:color="000000"/>
                <w:left w:val="none" w:sz="4" w:space="0" w:color="000000"/>
                <w:bottom w:val="none" w:sz="4" w:space="0" w:color="000000"/>
                <w:right w:val="none" w:sz="4" w:space="0" w:color="000000"/>
              </w:pBdr>
              <w:ind w:firstLine="0"/>
            </w:pPr>
            <w:r w:rsidRPr="00731FE2">
              <w:rPr>
                <w:rFonts w:ascii="Times New Roman" w:eastAsia="Times New Roman" w:hAnsi="Times New Roman" w:cs="Times New Roman"/>
                <w:color w:val="000000"/>
                <w:sz w:val="22"/>
              </w:rPr>
              <w:t>Индустрия</w:t>
            </w:r>
          </w:p>
        </w:tc>
        <w:tc>
          <w:tcPr>
            <w:tcW w:w="232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83373F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посёлок</w:t>
            </w:r>
          </w:p>
        </w:tc>
        <w:tc>
          <w:tcPr>
            <w:tcW w:w="2325" w:type="dxa"/>
            <w:tcBorders>
              <w:top w:val="single" w:sz="4" w:space="0" w:color="000000"/>
              <w:left w:val="single" w:sz="4" w:space="0" w:color="000000"/>
              <w:bottom w:val="single" w:sz="4" w:space="0" w:color="000000"/>
              <w:right w:val="single" w:sz="4" w:space="0" w:color="000000"/>
            </w:tcBorders>
            <w:shd w:val="clear" w:color="FFFFFF" w:fill="FFFFFF"/>
            <w:tcMar>
              <w:top w:w="15" w:type="dxa"/>
              <w:left w:w="48" w:type="dxa"/>
              <w:bottom w:w="15" w:type="dxa"/>
              <w:right w:w="48" w:type="dxa"/>
            </w:tcMar>
            <w:vAlign w:val="center"/>
          </w:tcPr>
          <w:p w14:paraId="78F477C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784</w:t>
            </w:r>
          </w:p>
        </w:tc>
      </w:tr>
      <w:tr w:rsidR="00171AA8" w:rsidRPr="00731FE2" w14:paraId="735BB1EB" w14:textId="77777777">
        <w:tc>
          <w:tcPr>
            <w:tcW w:w="456" w:type="dxa"/>
            <w:tcBorders>
              <w:top w:val="single" w:sz="4" w:space="0" w:color="000000"/>
              <w:left w:val="single" w:sz="4" w:space="0" w:color="000000"/>
              <w:bottom w:val="single" w:sz="4" w:space="0" w:color="000000"/>
              <w:right w:val="single" w:sz="4" w:space="0" w:color="000000"/>
            </w:tcBorders>
            <w:shd w:val="clear" w:color="FFFFFF" w:fill="FFFFFF"/>
            <w:tcMar>
              <w:top w:w="15" w:type="dxa"/>
              <w:left w:w="48" w:type="dxa"/>
              <w:bottom w:w="15" w:type="dxa"/>
              <w:right w:w="48" w:type="dxa"/>
            </w:tcMar>
            <w:vAlign w:val="center"/>
          </w:tcPr>
          <w:p w14:paraId="75DC32E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7.</w:t>
            </w:r>
          </w:p>
        </w:tc>
        <w:tc>
          <w:tcPr>
            <w:tcW w:w="4237" w:type="dxa"/>
            <w:tcBorders>
              <w:top w:val="single" w:sz="4" w:space="0" w:color="000000"/>
              <w:left w:val="single" w:sz="4" w:space="0" w:color="000000"/>
              <w:bottom w:val="single" w:sz="4" w:space="0" w:color="000000"/>
              <w:right w:val="single" w:sz="4" w:space="0" w:color="000000"/>
            </w:tcBorders>
            <w:shd w:val="clear" w:color="FFFFFF" w:fill="FFFFFF"/>
            <w:tcMar>
              <w:top w:w="15" w:type="dxa"/>
              <w:left w:w="48" w:type="dxa"/>
              <w:bottom w:w="15" w:type="dxa"/>
              <w:right w:w="48" w:type="dxa"/>
            </w:tcMar>
            <w:vAlign w:val="center"/>
          </w:tcPr>
          <w:p w14:paraId="1B992933" w14:textId="77777777" w:rsidR="00171AA8" w:rsidRPr="00731FE2" w:rsidRDefault="007935AB">
            <w:pPr>
              <w:pBdr>
                <w:top w:val="none" w:sz="4" w:space="0" w:color="000000"/>
                <w:left w:val="none" w:sz="4" w:space="0" w:color="000000"/>
                <w:bottom w:val="none" w:sz="4" w:space="0" w:color="000000"/>
                <w:right w:val="none" w:sz="4" w:space="0" w:color="000000"/>
              </w:pBdr>
              <w:ind w:firstLine="0"/>
            </w:pPr>
            <w:r w:rsidRPr="00731FE2">
              <w:rPr>
                <w:rFonts w:ascii="Times New Roman" w:eastAsia="Times New Roman" w:hAnsi="Times New Roman" w:cs="Times New Roman"/>
                <w:color w:val="000000"/>
                <w:sz w:val="22"/>
              </w:rPr>
              <w:t>Левоберезовский</w:t>
            </w:r>
          </w:p>
        </w:tc>
        <w:tc>
          <w:tcPr>
            <w:tcW w:w="232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DCE516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посёлок</w:t>
            </w:r>
          </w:p>
        </w:tc>
        <w:tc>
          <w:tcPr>
            <w:tcW w:w="2325" w:type="dxa"/>
            <w:tcBorders>
              <w:top w:val="single" w:sz="4" w:space="0" w:color="000000"/>
              <w:left w:val="single" w:sz="4" w:space="0" w:color="000000"/>
              <w:bottom w:val="single" w:sz="4" w:space="0" w:color="000000"/>
              <w:right w:val="single" w:sz="4" w:space="0" w:color="000000"/>
            </w:tcBorders>
            <w:shd w:val="clear" w:color="FFFFFF" w:fill="FFFFFF"/>
            <w:tcMar>
              <w:top w:w="15" w:type="dxa"/>
              <w:left w:w="48" w:type="dxa"/>
              <w:bottom w:w="15" w:type="dxa"/>
              <w:right w:w="48" w:type="dxa"/>
            </w:tcMar>
            <w:vAlign w:val="center"/>
          </w:tcPr>
          <w:p w14:paraId="4F14FDD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224</w:t>
            </w:r>
          </w:p>
        </w:tc>
      </w:tr>
      <w:tr w:rsidR="00171AA8" w:rsidRPr="00731FE2" w14:paraId="1ADBF851" w14:textId="77777777">
        <w:tc>
          <w:tcPr>
            <w:tcW w:w="456" w:type="dxa"/>
            <w:tcBorders>
              <w:top w:val="single" w:sz="4" w:space="0" w:color="000000"/>
              <w:left w:val="single" w:sz="4" w:space="0" w:color="000000"/>
              <w:bottom w:val="single" w:sz="4" w:space="0" w:color="000000"/>
              <w:right w:val="single" w:sz="4" w:space="0" w:color="000000"/>
            </w:tcBorders>
            <w:shd w:val="clear" w:color="FFFFFF" w:fill="FFFFFF"/>
            <w:tcMar>
              <w:top w:w="15" w:type="dxa"/>
              <w:left w:w="48" w:type="dxa"/>
              <w:bottom w:w="15" w:type="dxa"/>
              <w:right w:w="48" w:type="dxa"/>
            </w:tcMar>
            <w:vAlign w:val="center"/>
          </w:tcPr>
          <w:p w14:paraId="1FC56BC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8.</w:t>
            </w:r>
          </w:p>
        </w:tc>
        <w:tc>
          <w:tcPr>
            <w:tcW w:w="4237" w:type="dxa"/>
            <w:tcBorders>
              <w:top w:val="single" w:sz="4" w:space="0" w:color="000000"/>
              <w:left w:val="single" w:sz="4" w:space="0" w:color="000000"/>
              <w:bottom w:val="single" w:sz="4" w:space="0" w:color="000000"/>
              <w:right w:val="single" w:sz="4" w:space="0" w:color="000000"/>
            </w:tcBorders>
            <w:shd w:val="clear" w:color="FFFFFF" w:fill="FFFFFF"/>
            <w:tcMar>
              <w:top w:w="15" w:type="dxa"/>
              <w:left w:w="48" w:type="dxa"/>
              <w:bottom w:w="15" w:type="dxa"/>
              <w:right w:w="48" w:type="dxa"/>
            </w:tcMar>
            <w:vAlign w:val="center"/>
          </w:tcPr>
          <w:p w14:paraId="73C457E1" w14:textId="77777777" w:rsidR="00171AA8" w:rsidRPr="00731FE2" w:rsidRDefault="007935AB">
            <w:pPr>
              <w:pBdr>
                <w:top w:val="none" w:sz="4" w:space="0" w:color="000000"/>
                <w:left w:val="none" w:sz="4" w:space="0" w:color="000000"/>
                <w:bottom w:val="none" w:sz="4" w:space="0" w:color="000000"/>
                <w:right w:val="none" w:sz="4" w:space="0" w:color="000000"/>
              </w:pBdr>
              <w:ind w:firstLine="0"/>
            </w:pPr>
            <w:r w:rsidRPr="00731FE2">
              <w:rPr>
                <w:rFonts w:ascii="Times New Roman" w:eastAsia="Times New Roman" w:hAnsi="Times New Roman" w:cs="Times New Roman"/>
                <w:color w:val="000000"/>
                <w:sz w:val="22"/>
              </w:rPr>
              <w:t>Луначарский</w:t>
            </w:r>
          </w:p>
        </w:tc>
        <w:tc>
          <w:tcPr>
            <w:tcW w:w="232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E6C417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посёлок</w:t>
            </w:r>
          </w:p>
        </w:tc>
        <w:tc>
          <w:tcPr>
            <w:tcW w:w="2325" w:type="dxa"/>
            <w:tcBorders>
              <w:top w:val="single" w:sz="4" w:space="0" w:color="000000"/>
              <w:left w:val="single" w:sz="4" w:space="0" w:color="000000"/>
              <w:bottom w:val="single" w:sz="4" w:space="0" w:color="000000"/>
              <w:right w:val="single" w:sz="4" w:space="0" w:color="000000"/>
            </w:tcBorders>
            <w:shd w:val="clear" w:color="FFFFFF" w:fill="FFFFFF"/>
            <w:tcMar>
              <w:top w:w="15" w:type="dxa"/>
              <w:left w:w="48" w:type="dxa"/>
              <w:bottom w:w="15" w:type="dxa"/>
              <w:right w:w="48" w:type="dxa"/>
            </w:tcMar>
            <w:vAlign w:val="center"/>
          </w:tcPr>
          <w:p w14:paraId="2A18F78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1062</w:t>
            </w:r>
          </w:p>
        </w:tc>
      </w:tr>
      <w:tr w:rsidR="00171AA8" w:rsidRPr="00731FE2" w14:paraId="6CD07766" w14:textId="77777777">
        <w:tc>
          <w:tcPr>
            <w:tcW w:w="456" w:type="dxa"/>
            <w:tcBorders>
              <w:top w:val="single" w:sz="4" w:space="0" w:color="000000"/>
              <w:left w:val="single" w:sz="4" w:space="0" w:color="000000"/>
              <w:bottom w:val="single" w:sz="4" w:space="0" w:color="000000"/>
              <w:right w:val="single" w:sz="4" w:space="0" w:color="000000"/>
            </w:tcBorders>
            <w:shd w:val="clear" w:color="FFFFFF" w:fill="FFFFFF"/>
            <w:tcMar>
              <w:top w:w="15" w:type="dxa"/>
              <w:left w:w="48" w:type="dxa"/>
              <w:bottom w:w="15" w:type="dxa"/>
              <w:right w:w="48" w:type="dxa"/>
            </w:tcMar>
            <w:vAlign w:val="center"/>
          </w:tcPr>
          <w:p w14:paraId="03D1F6D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9.</w:t>
            </w:r>
          </w:p>
        </w:tc>
        <w:tc>
          <w:tcPr>
            <w:tcW w:w="4237" w:type="dxa"/>
            <w:tcBorders>
              <w:top w:val="single" w:sz="4" w:space="0" w:color="000000"/>
              <w:left w:val="single" w:sz="4" w:space="0" w:color="000000"/>
              <w:bottom w:val="single" w:sz="4" w:space="0" w:color="000000"/>
              <w:right w:val="single" w:sz="4" w:space="0" w:color="000000"/>
            </w:tcBorders>
            <w:shd w:val="clear" w:color="FFFFFF" w:fill="FFFFFF"/>
            <w:tcMar>
              <w:top w:w="15" w:type="dxa"/>
              <w:left w:w="48" w:type="dxa"/>
              <w:bottom w:w="15" w:type="dxa"/>
              <w:right w:w="48" w:type="dxa"/>
            </w:tcMar>
            <w:vAlign w:val="center"/>
          </w:tcPr>
          <w:p w14:paraId="28F797E2" w14:textId="77777777" w:rsidR="00171AA8" w:rsidRPr="00731FE2" w:rsidRDefault="007935AB">
            <w:pPr>
              <w:pBdr>
                <w:top w:val="none" w:sz="4" w:space="0" w:color="000000"/>
                <w:left w:val="none" w:sz="4" w:space="0" w:color="000000"/>
                <w:bottom w:val="none" w:sz="4" w:space="0" w:color="000000"/>
                <w:right w:val="none" w:sz="4" w:space="0" w:color="000000"/>
              </w:pBdr>
              <w:ind w:firstLine="0"/>
            </w:pPr>
            <w:r w:rsidRPr="00731FE2">
              <w:rPr>
                <w:rFonts w:ascii="Times New Roman" w:eastAsia="Times New Roman" w:hAnsi="Times New Roman" w:cs="Times New Roman"/>
                <w:color w:val="000000"/>
                <w:sz w:val="22"/>
              </w:rPr>
              <w:t>Нарзанный</w:t>
            </w:r>
          </w:p>
        </w:tc>
        <w:tc>
          <w:tcPr>
            <w:tcW w:w="232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D8A83A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посёлок</w:t>
            </w:r>
          </w:p>
        </w:tc>
        <w:tc>
          <w:tcPr>
            <w:tcW w:w="2325" w:type="dxa"/>
            <w:tcBorders>
              <w:top w:val="single" w:sz="4" w:space="0" w:color="000000"/>
              <w:left w:val="single" w:sz="4" w:space="0" w:color="000000"/>
              <w:bottom w:val="single" w:sz="4" w:space="0" w:color="000000"/>
              <w:right w:val="single" w:sz="4" w:space="0" w:color="000000"/>
            </w:tcBorders>
            <w:shd w:val="clear" w:color="FFFFFF" w:fill="FFFFFF"/>
            <w:tcMar>
              <w:top w:w="15" w:type="dxa"/>
              <w:left w:w="48" w:type="dxa"/>
              <w:bottom w:w="15" w:type="dxa"/>
              <w:right w:w="48" w:type="dxa"/>
            </w:tcMar>
            <w:vAlign w:val="center"/>
          </w:tcPr>
          <w:p w14:paraId="05E9939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836</w:t>
            </w:r>
          </w:p>
        </w:tc>
      </w:tr>
      <w:tr w:rsidR="00171AA8" w:rsidRPr="00731FE2" w14:paraId="6AA8CDEF" w14:textId="77777777">
        <w:tc>
          <w:tcPr>
            <w:tcW w:w="456" w:type="dxa"/>
            <w:tcBorders>
              <w:top w:val="single" w:sz="4" w:space="0" w:color="000000"/>
              <w:left w:val="single" w:sz="4" w:space="0" w:color="000000"/>
              <w:bottom w:val="single" w:sz="4" w:space="0" w:color="000000"/>
              <w:right w:val="single" w:sz="4" w:space="0" w:color="000000"/>
            </w:tcBorders>
            <w:shd w:val="clear" w:color="FFFFFF" w:fill="FFFFFF"/>
            <w:tcMar>
              <w:top w:w="15" w:type="dxa"/>
              <w:left w:w="48" w:type="dxa"/>
              <w:bottom w:w="15" w:type="dxa"/>
              <w:right w:w="48" w:type="dxa"/>
            </w:tcMar>
            <w:vAlign w:val="center"/>
          </w:tcPr>
          <w:p w14:paraId="148178F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10.</w:t>
            </w:r>
          </w:p>
        </w:tc>
        <w:tc>
          <w:tcPr>
            <w:tcW w:w="4237" w:type="dxa"/>
            <w:tcBorders>
              <w:top w:val="single" w:sz="4" w:space="0" w:color="000000"/>
              <w:left w:val="single" w:sz="4" w:space="0" w:color="000000"/>
              <w:bottom w:val="single" w:sz="4" w:space="0" w:color="000000"/>
              <w:right w:val="single" w:sz="4" w:space="0" w:color="000000"/>
            </w:tcBorders>
            <w:shd w:val="clear" w:color="FFFFFF" w:fill="FFFFFF"/>
            <w:tcMar>
              <w:top w:w="15" w:type="dxa"/>
              <w:left w:w="48" w:type="dxa"/>
              <w:bottom w:w="15" w:type="dxa"/>
              <w:right w:w="48" w:type="dxa"/>
            </w:tcMar>
            <w:vAlign w:val="center"/>
          </w:tcPr>
          <w:p w14:paraId="46099D2D" w14:textId="77777777" w:rsidR="00171AA8" w:rsidRPr="00731FE2" w:rsidRDefault="007935AB">
            <w:pPr>
              <w:pBdr>
                <w:top w:val="none" w:sz="4" w:space="0" w:color="000000"/>
                <w:left w:val="none" w:sz="4" w:space="0" w:color="000000"/>
                <w:bottom w:val="none" w:sz="4" w:space="0" w:color="000000"/>
                <w:right w:val="none" w:sz="4" w:space="0" w:color="000000"/>
              </w:pBdr>
              <w:ind w:firstLine="0"/>
            </w:pPr>
            <w:r w:rsidRPr="00731FE2">
              <w:rPr>
                <w:rFonts w:ascii="Times New Roman" w:eastAsia="Times New Roman" w:hAnsi="Times New Roman" w:cs="Times New Roman"/>
                <w:color w:val="000000"/>
                <w:sz w:val="22"/>
              </w:rPr>
              <w:t>Новокисловодский</w:t>
            </w:r>
          </w:p>
        </w:tc>
        <w:tc>
          <w:tcPr>
            <w:tcW w:w="232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9DFA93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посёлок</w:t>
            </w:r>
          </w:p>
        </w:tc>
        <w:tc>
          <w:tcPr>
            <w:tcW w:w="2325" w:type="dxa"/>
            <w:tcBorders>
              <w:top w:val="single" w:sz="4" w:space="0" w:color="000000"/>
              <w:left w:val="single" w:sz="4" w:space="0" w:color="000000"/>
              <w:bottom w:val="single" w:sz="4" w:space="0" w:color="000000"/>
              <w:right w:val="single" w:sz="4" w:space="0" w:color="000000"/>
            </w:tcBorders>
            <w:shd w:val="clear" w:color="FFFFFF" w:fill="FFFFFF"/>
            <w:tcMar>
              <w:top w:w="15" w:type="dxa"/>
              <w:left w:w="48" w:type="dxa"/>
              <w:bottom w:w="15" w:type="dxa"/>
              <w:right w:w="48" w:type="dxa"/>
            </w:tcMar>
            <w:vAlign w:val="center"/>
          </w:tcPr>
          <w:p w14:paraId="146B124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521</w:t>
            </w:r>
          </w:p>
        </w:tc>
      </w:tr>
      <w:tr w:rsidR="00171AA8" w:rsidRPr="00731FE2" w14:paraId="4BF9C019" w14:textId="77777777">
        <w:tc>
          <w:tcPr>
            <w:tcW w:w="456" w:type="dxa"/>
            <w:tcBorders>
              <w:top w:val="single" w:sz="4" w:space="0" w:color="000000"/>
              <w:left w:val="single" w:sz="4" w:space="0" w:color="000000"/>
              <w:bottom w:val="single" w:sz="4" w:space="0" w:color="000000"/>
              <w:right w:val="single" w:sz="4" w:space="0" w:color="000000"/>
            </w:tcBorders>
            <w:shd w:val="clear" w:color="FFFFFF" w:fill="FFFFFF"/>
            <w:tcMar>
              <w:top w:w="15" w:type="dxa"/>
              <w:left w:w="48" w:type="dxa"/>
              <w:bottom w:w="15" w:type="dxa"/>
              <w:right w:w="48" w:type="dxa"/>
            </w:tcMar>
            <w:vAlign w:val="center"/>
          </w:tcPr>
          <w:p w14:paraId="68F1471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11.</w:t>
            </w:r>
          </w:p>
        </w:tc>
        <w:tc>
          <w:tcPr>
            <w:tcW w:w="4237" w:type="dxa"/>
            <w:tcBorders>
              <w:top w:val="single" w:sz="4" w:space="0" w:color="000000"/>
              <w:left w:val="single" w:sz="4" w:space="0" w:color="000000"/>
              <w:bottom w:val="single" w:sz="4" w:space="0" w:color="000000"/>
              <w:right w:val="single" w:sz="4" w:space="0" w:color="000000"/>
            </w:tcBorders>
            <w:shd w:val="clear" w:color="FFFFFF" w:fill="FFFFFF"/>
            <w:tcMar>
              <w:top w:w="15" w:type="dxa"/>
              <w:left w:w="48" w:type="dxa"/>
              <w:bottom w:w="15" w:type="dxa"/>
              <w:right w:w="48" w:type="dxa"/>
            </w:tcMar>
            <w:vAlign w:val="center"/>
          </w:tcPr>
          <w:p w14:paraId="0B41A543" w14:textId="77777777" w:rsidR="00171AA8" w:rsidRPr="00731FE2" w:rsidRDefault="007935AB">
            <w:pPr>
              <w:pBdr>
                <w:top w:val="none" w:sz="4" w:space="0" w:color="000000"/>
                <w:left w:val="none" w:sz="4" w:space="0" w:color="000000"/>
                <w:bottom w:val="none" w:sz="4" w:space="0" w:color="000000"/>
                <w:right w:val="none" w:sz="4" w:space="0" w:color="000000"/>
              </w:pBdr>
              <w:ind w:firstLine="0"/>
            </w:pPr>
            <w:r w:rsidRPr="00731FE2">
              <w:rPr>
                <w:rFonts w:ascii="Times New Roman" w:eastAsia="Times New Roman" w:hAnsi="Times New Roman" w:cs="Times New Roman"/>
                <w:color w:val="000000"/>
                <w:sz w:val="22"/>
              </w:rPr>
              <w:t>Правоберезовский</w:t>
            </w:r>
          </w:p>
        </w:tc>
        <w:tc>
          <w:tcPr>
            <w:tcW w:w="232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06DB5A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посёлок</w:t>
            </w:r>
          </w:p>
        </w:tc>
        <w:tc>
          <w:tcPr>
            <w:tcW w:w="2325" w:type="dxa"/>
            <w:tcBorders>
              <w:top w:val="single" w:sz="4" w:space="0" w:color="000000"/>
              <w:left w:val="single" w:sz="4" w:space="0" w:color="000000"/>
              <w:bottom w:val="single" w:sz="4" w:space="0" w:color="000000"/>
              <w:right w:val="single" w:sz="4" w:space="0" w:color="000000"/>
            </w:tcBorders>
            <w:shd w:val="clear" w:color="FFFFFF" w:fill="FFFFFF"/>
            <w:tcMar>
              <w:top w:w="15" w:type="dxa"/>
              <w:left w:w="48" w:type="dxa"/>
              <w:bottom w:w="15" w:type="dxa"/>
              <w:right w:w="48" w:type="dxa"/>
            </w:tcMar>
            <w:vAlign w:val="center"/>
          </w:tcPr>
          <w:p w14:paraId="3BDDEDD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116</w:t>
            </w:r>
          </w:p>
        </w:tc>
      </w:tr>
      <w:tr w:rsidR="00171AA8" w:rsidRPr="00731FE2" w14:paraId="445ABE76" w14:textId="77777777">
        <w:tc>
          <w:tcPr>
            <w:tcW w:w="456" w:type="dxa"/>
            <w:tcBorders>
              <w:top w:val="single" w:sz="4" w:space="0" w:color="000000"/>
              <w:left w:val="single" w:sz="4" w:space="0" w:color="000000"/>
              <w:bottom w:val="single" w:sz="4" w:space="0" w:color="000000"/>
              <w:right w:val="single" w:sz="4" w:space="0" w:color="000000"/>
            </w:tcBorders>
            <w:shd w:val="clear" w:color="FFFFFF" w:fill="FFFFFF"/>
            <w:tcMar>
              <w:top w:w="15" w:type="dxa"/>
              <w:left w:w="48" w:type="dxa"/>
              <w:bottom w:w="15" w:type="dxa"/>
              <w:right w:w="48" w:type="dxa"/>
            </w:tcMar>
            <w:vAlign w:val="center"/>
          </w:tcPr>
          <w:p w14:paraId="474B500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 </w:t>
            </w:r>
          </w:p>
        </w:tc>
        <w:tc>
          <w:tcPr>
            <w:tcW w:w="4237" w:type="dxa"/>
            <w:tcBorders>
              <w:top w:val="single" w:sz="4" w:space="0" w:color="000000"/>
              <w:left w:val="single" w:sz="4" w:space="0" w:color="000000"/>
              <w:bottom w:val="single" w:sz="4" w:space="0" w:color="000000"/>
              <w:right w:val="single" w:sz="4" w:space="0" w:color="000000"/>
            </w:tcBorders>
            <w:shd w:val="clear" w:color="FFFFFF" w:fill="FFFFFF"/>
            <w:tcMar>
              <w:top w:w="15" w:type="dxa"/>
              <w:left w:w="48" w:type="dxa"/>
              <w:bottom w:w="15" w:type="dxa"/>
              <w:right w:w="48" w:type="dxa"/>
            </w:tcMar>
            <w:vAlign w:val="center"/>
          </w:tcPr>
          <w:p w14:paraId="2F4916CC" w14:textId="77777777" w:rsidR="00171AA8" w:rsidRPr="00731FE2" w:rsidRDefault="007935AB">
            <w:pPr>
              <w:pBdr>
                <w:top w:val="none" w:sz="4" w:space="0" w:color="000000"/>
                <w:left w:val="none" w:sz="4" w:space="0" w:color="000000"/>
                <w:bottom w:val="none" w:sz="4" w:space="0" w:color="000000"/>
                <w:right w:val="none" w:sz="4" w:space="0" w:color="000000"/>
              </w:pBdr>
              <w:ind w:firstLine="0"/>
              <w:rPr>
                <w:b/>
                <w:bCs/>
              </w:rPr>
            </w:pPr>
            <w:r w:rsidRPr="00731FE2">
              <w:rPr>
                <w:rFonts w:ascii="Times New Roman" w:eastAsia="Times New Roman" w:hAnsi="Times New Roman" w:cs="Times New Roman"/>
                <w:b/>
                <w:bCs/>
                <w:color w:val="000000"/>
                <w:sz w:val="22"/>
              </w:rPr>
              <w:t>Всего</w:t>
            </w:r>
          </w:p>
        </w:tc>
        <w:tc>
          <w:tcPr>
            <w:tcW w:w="232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1FC612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right"/>
              <w:rPr>
                <w:b/>
                <w:bCs/>
              </w:rPr>
            </w:pPr>
            <w:r w:rsidRPr="00731FE2">
              <w:rPr>
                <w:rFonts w:ascii="Times New Roman" w:eastAsia="Times New Roman" w:hAnsi="Times New Roman" w:cs="Times New Roman"/>
                <w:b/>
                <w:bCs/>
                <w:color w:val="000000"/>
                <w:sz w:val="22"/>
              </w:rPr>
              <w:t> </w:t>
            </w:r>
          </w:p>
        </w:tc>
        <w:tc>
          <w:tcPr>
            <w:tcW w:w="2325" w:type="dxa"/>
            <w:tcBorders>
              <w:top w:val="single" w:sz="4" w:space="0" w:color="000000"/>
              <w:left w:val="single" w:sz="4" w:space="0" w:color="000000"/>
              <w:bottom w:val="single" w:sz="4" w:space="0" w:color="000000"/>
              <w:right w:val="single" w:sz="4" w:space="0" w:color="000000"/>
            </w:tcBorders>
            <w:shd w:val="clear" w:color="FFFFFF" w:fill="FFFFFF"/>
            <w:tcMar>
              <w:top w:w="15" w:type="dxa"/>
              <w:left w:w="48" w:type="dxa"/>
              <w:bottom w:w="15" w:type="dxa"/>
              <w:right w:w="48" w:type="dxa"/>
            </w:tcMar>
            <w:vAlign w:val="center"/>
          </w:tcPr>
          <w:p w14:paraId="6A29101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b/>
                <w:bCs/>
              </w:rPr>
            </w:pPr>
            <w:r w:rsidRPr="00731FE2">
              <w:rPr>
                <w:rFonts w:ascii="Times New Roman" w:eastAsia="Times New Roman" w:hAnsi="Times New Roman" w:cs="Times New Roman"/>
                <w:b/>
                <w:bCs/>
                <w:color w:val="000000"/>
                <w:sz w:val="22"/>
              </w:rPr>
              <w:t>133913</w:t>
            </w:r>
          </w:p>
        </w:tc>
      </w:tr>
    </w:tbl>
    <w:p w14:paraId="68497D9F" w14:textId="77777777" w:rsidR="00171AA8" w:rsidRPr="00731FE2" w:rsidRDefault="00171AA8">
      <w:pPr>
        <w:rPr>
          <w:rFonts w:ascii="Times New Roman" w:hAnsi="Times New Roman" w:cs="Times New Roman"/>
        </w:rPr>
      </w:pPr>
    </w:p>
    <w:p w14:paraId="666524E9"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Кисловодск самый южный в группе городов-курортов Кавказских Минеральных Вод. Город связан с другими городами Кавказских Минеральных вод электрифицированной железной и шоссейной дорогами. Город-курорт Кисловодск расположен в 212 км от административного центра Ставропольского края города Ставрополя, в 35 км от административного центра Северо-Кавказского федерального округа города-курорта Пятигорска, в 50 км от международного аэропорта I класса «Минеральные Воды» и в 64 км от железнодорожной станции «Минеральные Воды».</w:t>
      </w:r>
    </w:p>
    <w:p w14:paraId="5145EAEA"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В зоне 1-часовой транспортной доступности городского округа города-курорта Кисловодска находится 5 городов Ставропольского края, из них 2 больших (более 100 тыс. человек) – Пятигорск и Ессентуки, 1 средний – Минеральные Воды, и 2 малых – Железноводск и Лермонтов. В зоне 2-часовой доступности расположен важный индустриальный центр края – г. Георгиевск и столицы соседних республик – Черкесск (Карачаево-Черкесской Республики) и Нальчик (Кабардино-Балкарской Республики). От краевого центра – города величина транспортной доступности составляет более 3 часов.</w:t>
      </w:r>
    </w:p>
    <w:p w14:paraId="0251FEE9"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Городской округ город-курорт Кисловодск территориально входит в состав полицентрической агломерации Кавказских Минеральных Вод – одного из крупнейших урбанизированных ареалов расселения на Юге России. В свою очередь, Минераловодская агломерация является составной частью Ставропольской системы расселения, где город рассматривается в качестве одного из элементов опорного каркаса расселения региона.</w:t>
      </w:r>
    </w:p>
    <w:p w14:paraId="1EACD357"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rPr>
        <w:t>Исторически сложилась урбанизированная зона городов, одним из ядер которой является город-курорт Кисловодск, наряду с Пятигорском, Ессентуками и Минеральными Водами.</w:t>
      </w:r>
    </w:p>
    <w:p w14:paraId="673467E7" w14:textId="77777777" w:rsidR="00171AA8" w:rsidRPr="00731FE2" w:rsidRDefault="007935AB">
      <w:pPr>
        <w:pBdr>
          <w:top w:val="none" w:sz="4" w:space="0" w:color="000000"/>
          <w:left w:val="none" w:sz="4" w:space="0" w:color="000000"/>
          <w:bottom w:val="none" w:sz="4" w:space="0" w:color="000000"/>
          <w:right w:val="none" w:sz="4" w:space="0" w:color="000000"/>
        </w:pBdr>
        <w:spacing w:line="65" w:lineRule="atLeast"/>
        <w:ind w:firstLine="0"/>
        <w:rPr>
          <w:rFonts w:ascii="Times New Roman" w:eastAsia="Times New Roman" w:hAnsi="Times New Roman" w:cs="Times New Roman"/>
          <w:szCs w:val="24"/>
        </w:rPr>
      </w:pPr>
      <w:r w:rsidRPr="00731FE2">
        <w:rPr>
          <w:rFonts w:cs="Arial"/>
          <w:noProof/>
          <w:szCs w:val="24"/>
          <w:lang w:eastAsia="ru-RU"/>
        </w:rPr>
        <w:lastRenderedPageBreak/>
        <w:drawing>
          <wp:inline distT="0" distB="0" distL="0" distR="0" wp14:anchorId="71639F1E" wp14:editId="15DC35D1">
            <wp:extent cx="5931992" cy="3604438"/>
            <wp:effectExtent l="0" t="0" r="0" b="0"/>
            <wp:docPr id="1" name="Рисунок 293" descr="E:\!! СТП_Ставропольского края\СТП_СК_new\Текст_основ\Согласование_сдача\Декабрь_итог\Рисунки_карты\Рисунок_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780702" name="Picture 46" descr="E:\!! СТП_Ставропольского края\СТП_СК_new\Текст_основ\Согласование_сдача\Декабрь_итог\Рисунки_карты\Рисунок_74.jpg"/>
                    <pic:cNvPicPr>
                      <a:picLocks noChangeAspect="1"/>
                    </pic:cNvPicPr>
                  </pic:nvPicPr>
                  <pic:blipFill>
                    <a:blip r:embed="rId10"/>
                    <a:srcRect t="4934" b="3769"/>
                    <a:stretch/>
                  </pic:blipFill>
                  <pic:spPr bwMode="auto">
                    <a:xfrm>
                      <a:off x="0" y="0"/>
                      <a:ext cx="5931990" cy="3604437"/>
                    </a:xfrm>
                    <a:prstGeom prst="rect">
                      <a:avLst/>
                    </a:prstGeom>
                    <a:noFill/>
                    <a:ln>
                      <a:noFill/>
                    </a:ln>
                  </pic:spPr>
                </pic:pic>
              </a:graphicData>
            </a:graphic>
          </wp:inline>
        </w:drawing>
      </w:r>
    </w:p>
    <w:p w14:paraId="6082FBB5" w14:textId="77777777" w:rsidR="00171AA8" w:rsidRPr="00731FE2" w:rsidRDefault="007935AB">
      <w:pPr>
        <w:pStyle w:val="af3"/>
        <w:rPr>
          <w:sz w:val="24"/>
          <w:szCs w:val="24"/>
        </w:rPr>
      </w:pPr>
      <w:r w:rsidRPr="00731FE2">
        <w:rPr>
          <w:sz w:val="24"/>
          <w:szCs w:val="24"/>
        </w:rPr>
        <w:t xml:space="preserve">Рисунок </w:t>
      </w:r>
      <w:r w:rsidRPr="00731FE2">
        <w:rPr>
          <w:sz w:val="24"/>
          <w:szCs w:val="24"/>
        </w:rPr>
        <w:fldChar w:fldCharType="begin"/>
      </w:r>
      <w:r w:rsidRPr="00731FE2">
        <w:rPr>
          <w:sz w:val="24"/>
          <w:szCs w:val="24"/>
        </w:rPr>
        <w:instrText xml:space="preserve"> SEQ Рисунок \* Arabic </w:instrText>
      </w:r>
      <w:r w:rsidRPr="00731FE2">
        <w:rPr>
          <w:sz w:val="24"/>
          <w:szCs w:val="24"/>
        </w:rPr>
        <w:fldChar w:fldCharType="separate"/>
      </w:r>
      <w:r w:rsidR="00C50915" w:rsidRPr="00731FE2">
        <w:rPr>
          <w:noProof/>
          <w:sz w:val="24"/>
          <w:szCs w:val="24"/>
        </w:rPr>
        <w:t>1</w:t>
      </w:r>
      <w:r w:rsidRPr="00731FE2">
        <w:rPr>
          <w:sz w:val="24"/>
          <w:szCs w:val="24"/>
        </w:rPr>
        <w:fldChar w:fldCharType="end"/>
      </w:r>
      <w:r w:rsidRPr="00731FE2">
        <w:rPr>
          <w:sz w:val="24"/>
          <w:szCs w:val="24"/>
        </w:rPr>
        <w:t xml:space="preserve"> – Агломерация КМВ и городской округ город-курорт Кисловодск в ее границах (структурно-планировочная модель)</w:t>
      </w:r>
      <w:r w:rsidRPr="00731FE2">
        <w:rPr>
          <w:rStyle w:val="afb"/>
          <w:b w:val="0"/>
          <w:sz w:val="24"/>
          <w:szCs w:val="24"/>
          <w:vertAlign w:val="superscript"/>
        </w:rPr>
        <w:footnoteReference w:id="7"/>
      </w:r>
      <w:r w:rsidRPr="00731FE2">
        <w:rPr>
          <w:sz w:val="24"/>
          <w:szCs w:val="24"/>
          <w:vertAlign w:val="superscript"/>
        </w:rPr>
        <w:t xml:space="preserve"> </w:t>
      </w:r>
    </w:p>
    <w:p w14:paraId="1BFF3316" w14:textId="77777777" w:rsidR="00171AA8" w:rsidRPr="00731FE2" w:rsidRDefault="00171AA8">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szCs w:val="24"/>
        </w:rPr>
      </w:pPr>
    </w:p>
    <w:p w14:paraId="28578EC9" w14:textId="77777777" w:rsidR="00171AA8" w:rsidRPr="00731FE2" w:rsidRDefault="007935AB">
      <w:pPr>
        <w:pBdr>
          <w:top w:val="none" w:sz="4" w:space="0" w:color="000000"/>
          <w:left w:val="none" w:sz="4" w:space="0" w:color="000000"/>
          <w:bottom w:val="none" w:sz="4" w:space="0" w:color="000000"/>
          <w:right w:val="none" w:sz="4" w:space="0" w:color="000000"/>
        </w:pBdr>
      </w:pPr>
      <w:r w:rsidRPr="00731FE2">
        <w:rPr>
          <w:rFonts w:ascii="Times New Roman" w:eastAsia="Times New Roman" w:hAnsi="Times New Roman" w:cs="Times New Roman"/>
          <w:color w:val="000000"/>
        </w:rPr>
        <w:t xml:space="preserve">С агломерацией городов КМВ связана, и линейная система сельских населенных мест, формирующаяся вдоль транспортных направлений. В состав территорий региона Кавказских Минеральных Вод входят также туристско-рекреационные зоны и зоны сельскохозяйственного использования. </w:t>
      </w:r>
    </w:p>
    <w:p w14:paraId="420D8CE9" w14:textId="77777777" w:rsidR="00171AA8" w:rsidRPr="00731FE2" w:rsidRDefault="007935AB">
      <w:pPr>
        <w:pBdr>
          <w:top w:val="none" w:sz="4" w:space="0" w:color="000000"/>
          <w:left w:val="none" w:sz="4" w:space="0" w:color="000000"/>
          <w:bottom w:val="none" w:sz="4" w:space="0" w:color="000000"/>
          <w:right w:val="none" w:sz="4" w:space="0" w:color="000000"/>
        </w:pBdr>
      </w:pPr>
      <w:r w:rsidRPr="00731FE2">
        <w:rPr>
          <w:rFonts w:ascii="Times New Roman" w:eastAsia="Times New Roman" w:hAnsi="Times New Roman" w:cs="Times New Roman"/>
          <w:color w:val="000000"/>
        </w:rPr>
        <w:t>Характер сложившегося расселения на территории агломерации и региона КМВ связан с историческими, природными, географическими, социально-экономическими факторами территории.</w:t>
      </w:r>
      <w:r w:rsidRPr="00731FE2">
        <w:t xml:space="preserve"> </w:t>
      </w:r>
      <w:r w:rsidRPr="00731FE2">
        <w:rPr>
          <w:rFonts w:ascii="Times New Roman" w:eastAsia="Times New Roman" w:hAnsi="Times New Roman" w:cs="Times New Roman"/>
          <w:color w:val="000000"/>
        </w:rPr>
        <w:t>Схемой территориального планирования Кавказских Минеральных Вод определены границы системы расселения КМВ, границы, а также выделены ядра агломерации КМВ.</w:t>
      </w:r>
    </w:p>
    <w:p w14:paraId="1CE3A2F5" w14:textId="77777777" w:rsidR="00171AA8" w:rsidRPr="00731FE2" w:rsidRDefault="007935AB">
      <w:pPr>
        <w:pBdr>
          <w:top w:val="none" w:sz="4" w:space="0" w:color="000000"/>
          <w:left w:val="none" w:sz="4" w:space="0" w:color="000000"/>
          <w:bottom w:val="none" w:sz="4" w:space="0" w:color="000000"/>
          <w:right w:val="none" w:sz="4" w:space="0" w:color="000000"/>
        </w:pBdr>
      </w:pPr>
      <w:r w:rsidRPr="00731FE2">
        <w:rPr>
          <w:rFonts w:ascii="Times New Roman" w:eastAsia="Times New Roman" w:hAnsi="Times New Roman" w:cs="Times New Roman"/>
          <w:color w:val="000000"/>
        </w:rPr>
        <w:t>Городской округ город-курорт Кисловодск находится южнее основной группы городов сложившейся агломерации, на автомобильной дороге общего пользования федерального значения А-157 «Минеральные Воды (аэропорт) – Кисловодск». Сам городской округ и его центр – город-курорт Кисловодск являются одними из главных узловых элементов опорного каркаса расселения (</w:t>
      </w:r>
      <w:proofErr w:type="gramStart"/>
      <w:r w:rsidRPr="00731FE2">
        <w:rPr>
          <w:rFonts w:ascii="Times New Roman" w:eastAsia="Times New Roman" w:hAnsi="Times New Roman" w:cs="Times New Roman"/>
          <w:color w:val="000000"/>
        </w:rPr>
        <w:t>ОКР</w:t>
      </w:r>
      <w:proofErr w:type="gramEnd"/>
      <w:r w:rsidRPr="00731FE2">
        <w:rPr>
          <w:rFonts w:ascii="Times New Roman" w:eastAsia="Times New Roman" w:hAnsi="Times New Roman" w:cs="Times New Roman"/>
          <w:color w:val="000000"/>
        </w:rPr>
        <w:t xml:space="preserve">) агломерации КМВ и всего Ставропольского края. Указанная автомобильная дорога общего пользования федерального значения – основной линейный элемент </w:t>
      </w:r>
      <w:proofErr w:type="gramStart"/>
      <w:r w:rsidRPr="00731FE2">
        <w:rPr>
          <w:rFonts w:ascii="Times New Roman" w:eastAsia="Times New Roman" w:hAnsi="Times New Roman" w:cs="Times New Roman"/>
          <w:color w:val="000000"/>
        </w:rPr>
        <w:t>ОКР</w:t>
      </w:r>
      <w:proofErr w:type="gramEnd"/>
      <w:r w:rsidRPr="00731FE2">
        <w:rPr>
          <w:rFonts w:ascii="Times New Roman" w:eastAsia="Times New Roman" w:hAnsi="Times New Roman" w:cs="Times New Roman"/>
          <w:color w:val="000000"/>
        </w:rPr>
        <w:t xml:space="preserve">, обеспечивающий интеграцию городского округа в единую региональную систему расселения Ставропольского края. </w:t>
      </w:r>
    </w:p>
    <w:p w14:paraId="63EF6273" w14:textId="77777777" w:rsidR="00171AA8" w:rsidRPr="00731FE2" w:rsidRDefault="007935AB">
      <w:pPr>
        <w:pBdr>
          <w:top w:val="none" w:sz="4" w:space="0" w:color="000000"/>
          <w:left w:val="none" w:sz="4" w:space="0" w:color="000000"/>
          <w:bottom w:val="none" w:sz="4" w:space="0" w:color="000000"/>
          <w:right w:val="none" w:sz="4" w:space="0" w:color="000000"/>
        </w:pBdr>
      </w:pPr>
      <w:r w:rsidRPr="00731FE2">
        <w:rPr>
          <w:rFonts w:ascii="Times New Roman" w:eastAsia="Times New Roman" w:hAnsi="Times New Roman" w:cs="Times New Roman"/>
          <w:color w:val="000000"/>
        </w:rPr>
        <w:t>В состав городского округа города-курорта Кисловодска входит 10 поселков, образующих вместе с городом-курортом Кисловодском единую систему расселения, интегрированную в систему расселения агломерации КМВ.</w:t>
      </w:r>
    </w:p>
    <w:p w14:paraId="71A0C09F" w14:textId="77777777" w:rsidR="00171AA8" w:rsidRPr="00731FE2" w:rsidRDefault="007935AB">
      <w:pPr>
        <w:pBdr>
          <w:top w:val="none" w:sz="4" w:space="0" w:color="000000"/>
          <w:left w:val="none" w:sz="4" w:space="0" w:color="000000"/>
          <w:bottom w:val="none" w:sz="4" w:space="0" w:color="000000"/>
          <w:right w:val="none" w:sz="4" w:space="0" w:color="000000"/>
        </w:pBdr>
      </w:pPr>
      <w:r w:rsidRPr="00731FE2">
        <w:rPr>
          <w:rFonts w:ascii="Times New Roman" w:eastAsia="Times New Roman" w:hAnsi="Times New Roman" w:cs="Times New Roman"/>
          <w:color w:val="000000"/>
        </w:rPr>
        <w:t>Информация об этих населенных пунктах приводится в таблице ниже.</w:t>
      </w:r>
    </w:p>
    <w:p w14:paraId="3F0A94B7" w14:textId="77777777" w:rsidR="00171AA8" w:rsidRPr="00731FE2" w:rsidRDefault="00171AA8">
      <w:pPr>
        <w:pBdr>
          <w:top w:val="none" w:sz="4" w:space="0" w:color="000000"/>
          <w:left w:val="none" w:sz="4" w:space="0" w:color="000000"/>
          <w:bottom w:val="none" w:sz="4" w:space="0" w:color="000000"/>
          <w:right w:val="none" w:sz="4" w:space="0" w:color="000000"/>
        </w:pBdr>
      </w:pPr>
    </w:p>
    <w:p w14:paraId="13F7FB30" w14:textId="77777777" w:rsidR="00171AA8" w:rsidRPr="00731FE2" w:rsidRDefault="007935AB">
      <w:pPr>
        <w:pStyle w:val="af3"/>
        <w:pBdr>
          <w:top w:val="none" w:sz="4" w:space="0" w:color="000000"/>
          <w:left w:val="none" w:sz="4" w:space="0" w:color="000000"/>
          <w:bottom w:val="none" w:sz="4" w:space="0" w:color="000000"/>
          <w:right w:val="none" w:sz="4" w:space="0" w:color="000000"/>
        </w:pBdr>
        <w:rPr>
          <w:sz w:val="24"/>
          <w:szCs w:val="24"/>
        </w:rPr>
      </w:pPr>
      <w:r w:rsidRPr="00731FE2">
        <w:rPr>
          <w:sz w:val="24"/>
          <w:szCs w:val="24"/>
        </w:rPr>
        <w:lastRenderedPageBreak/>
        <w:t xml:space="preserve">Таблица </w:t>
      </w:r>
      <w:r w:rsidRPr="00731FE2">
        <w:rPr>
          <w:sz w:val="24"/>
          <w:szCs w:val="24"/>
        </w:rPr>
        <w:fldChar w:fldCharType="begin"/>
      </w:r>
      <w:r w:rsidRPr="00731FE2">
        <w:rPr>
          <w:sz w:val="24"/>
          <w:szCs w:val="24"/>
        </w:rPr>
        <w:instrText xml:space="preserve"> SEQ Таблица \* Arabic </w:instrText>
      </w:r>
      <w:r w:rsidRPr="00731FE2">
        <w:rPr>
          <w:sz w:val="24"/>
          <w:szCs w:val="24"/>
        </w:rPr>
        <w:fldChar w:fldCharType="separate"/>
      </w:r>
      <w:r w:rsidR="00C50915" w:rsidRPr="00731FE2">
        <w:rPr>
          <w:noProof/>
          <w:sz w:val="24"/>
          <w:szCs w:val="24"/>
        </w:rPr>
        <w:t>2</w:t>
      </w:r>
      <w:r w:rsidRPr="00731FE2">
        <w:rPr>
          <w:sz w:val="24"/>
          <w:szCs w:val="24"/>
        </w:rPr>
        <w:fldChar w:fldCharType="end"/>
      </w:r>
      <w:r w:rsidRPr="00731FE2">
        <w:rPr>
          <w:sz w:val="24"/>
          <w:szCs w:val="24"/>
        </w:rPr>
        <w:t xml:space="preserve"> – Характеристика существующих сельских населенных пунктов Городского округа города-курорта Кисловодска по численности населения </w:t>
      </w:r>
    </w:p>
    <w:tbl>
      <w:tblPr>
        <w:tblStyle w:val="afe"/>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ayout w:type="fixed"/>
        <w:tblLook w:val="04A0" w:firstRow="1" w:lastRow="0" w:firstColumn="1" w:lastColumn="0" w:noHBand="0" w:noVBand="1"/>
      </w:tblPr>
      <w:tblGrid>
        <w:gridCol w:w="3543"/>
        <w:gridCol w:w="1701"/>
        <w:gridCol w:w="4111"/>
      </w:tblGrid>
      <w:tr w:rsidR="00171AA8" w:rsidRPr="00731FE2" w14:paraId="2251C942" w14:textId="77777777">
        <w:trPr>
          <w:trHeight w:val="939"/>
        </w:trPr>
        <w:tc>
          <w:tcPr>
            <w:tcW w:w="35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B6C1796" w14:textId="77777777" w:rsidR="00171AA8" w:rsidRPr="00731FE2" w:rsidRDefault="007935AB" w:rsidP="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b/>
                <w:bCs/>
                <w:color w:val="000000"/>
                <w:sz w:val="22"/>
              </w:rPr>
            </w:pPr>
            <w:r w:rsidRPr="00731FE2">
              <w:rPr>
                <w:rFonts w:ascii="Times New Roman" w:eastAsia="Times New Roman" w:hAnsi="Times New Roman" w:cs="Times New Roman"/>
                <w:b/>
                <w:bCs/>
                <w:color w:val="000000"/>
                <w:sz w:val="22"/>
              </w:rPr>
              <w:t>Группы сельских населенных пунктов с населением (человек)</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CD1A357" w14:textId="77777777" w:rsidR="00171AA8" w:rsidRPr="00731FE2" w:rsidRDefault="007935AB" w:rsidP="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b/>
                <w:bCs/>
                <w:color w:val="000000"/>
                <w:sz w:val="22"/>
              </w:rPr>
            </w:pPr>
            <w:r w:rsidRPr="00731FE2">
              <w:rPr>
                <w:rFonts w:ascii="Times New Roman" w:eastAsia="Times New Roman" w:hAnsi="Times New Roman" w:cs="Times New Roman"/>
                <w:b/>
                <w:bCs/>
                <w:color w:val="000000"/>
                <w:sz w:val="22"/>
              </w:rPr>
              <w:t>Количество населенных пунктов</w:t>
            </w:r>
          </w:p>
        </w:tc>
        <w:tc>
          <w:tcPr>
            <w:tcW w:w="41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174363E" w14:textId="77777777" w:rsidR="00171AA8" w:rsidRPr="00731FE2" w:rsidRDefault="007935AB" w:rsidP="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b/>
                <w:bCs/>
                <w:color w:val="000000"/>
                <w:sz w:val="22"/>
              </w:rPr>
            </w:pPr>
            <w:r w:rsidRPr="00731FE2">
              <w:rPr>
                <w:rFonts w:ascii="Times New Roman" w:eastAsia="Times New Roman" w:hAnsi="Times New Roman" w:cs="Times New Roman"/>
                <w:b/>
                <w:bCs/>
                <w:color w:val="000000"/>
                <w:sz w:val="22"/>
              </w:rPr>
              <w:t>Наименование населенных пунктов</w:t>
            </w:r>
          </w:p>
        </w:tc>
      </w:tr>
      <w:tr w:rsidR="00171AA8" w:rsidRPr="00731FE2" w14:paraId="1E34CD93" w14:textId="77777777">
        <w:trPr>
          <w:trHeight w:val="452"/>
        </w:trPr>
        <w:tc>
          <w:tcPr>
            <w:tcW w:w="35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6A2AF8F" w14:textId="77777777" w:rsidR="00171AA8" w:rsidRPr="00731FE2" w:rsidRDefault="007935AB" w:rsidP="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 xml:space="preserve">Малые – менее 200 </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A35DED6" w14:textId="77777777" w:rsidR="00171AA8" w:rsidRPr="00731FE2" w:rsidRDefault="007935AB" w:rsidP="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3</w:t>
            </w:r>
          </w:p>
        </w:tc>
        <w:tc>
          <w:tcPr>
            <w:tcW w:w="41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FB28213" w14:textId="77777777" w:rsidR="00171AA8" w:rsidRPr="00731FE2" w:rsidRDefault="007935AB" w:rsidP="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Высокогорный, Правоберезовский, Луначарский</w:t>
            </w:r>
          </w:p>
        </w:tc>
      </w:tr>
      <w:tr w:rsidR="00171AA8" w:rsidRPr="00731FE2" w14:paraId="162C0E51" w14:textId="77777777">
        <w:trPr>
          <w:trHeight w:val="452"/>
        </w:trPr>
        <w:tc>
          <w:tcPr>
            <w:tcW w:w="35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ABF3C7E" w14:textId="77777777" w:rsidR="00171AA8" w:rsidRPr="00731FE2" w:rsidRDefault="007935AB" w:rsidP="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 xml:space="preserve">Средние – 200 – 1000 </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580A18A" w14:textId="77777777" w:rsidR="00171AA8" w:rsidRPr="00731FE2" w:rsidRDefault="007935AB" w:rsidP="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5</w:t>
            </w:r>
          </w:p>
        </w:tc>
        <w:tc>
          <w:tcPr>
            <w:tcW w:w="41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2C1F6F5" w14:textId="77777777" w:rsidR="00171AA8" w:rsidRPr="00731FE2" w:rsidRDefault="007935AB" w:rsidP="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 xml:space="preserve">Белореченский, Индустрия, Левоберезовский, </w:t>
            </w:r>
            <w:proofErr w:type="gramStart"/>
            <w:r w:rsidRPr="00731FE2">
              <w:rPr>
                <w:rFonts w:ascii="Times New Roman" w:eastAsia="Times New Roman" w:hAnsi="Times New Roman" w:cs="Times New Roman"/>
                <w:color w:val="000000"/>
                <w:sz w:val="22"/>
              </w:rPr>
              <w:t>Нарзанный</w:t>
            </w:r>
            <w:proofErr w:type="gramEnd"/>
            <w:r w:rsidRPr="00731FE2">
              <w:rPr>
                <w:rFonts w:ascii="Times New Roman" w:eastAsia="Times New Roman" w:hAnsi="Times New Roman" w:cs="Times New Roman"/>
                <w:color w:val="000000"/>
                <w:sz w:val="22"/>
              </w:rPr>
              <w:t>, Новокисловодский</w:t>
            </w:r>
          </w:p>
        </w:tc>
      </w:tr>
      <w:tr w:rsidR="00171AA8" w:rsidRPr="00731FE2" w14:paraId="5178DC39" w14:textId="77777777">
        <w:trPr>
          <w:trHeight w:val="329"/>
        </w:trPr>
        <w:tc>
          <w:tcPr>
            <w:tcW w:w="35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32DEFE6" w14:textId="77777777" w:rsidR="00171AA8" w:rsidRPr="00731FE2" w:rsidRDefault="007935AB" w:rsidP="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Большие – 1001 до 3000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459266C" w14:textId="77777777" w:rsidR="00171AA8" w:rsidRPr="00731FE2" w:rsidRDefault="007935AB" w:rsidP="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2</w:t>
            </w:r>
          </w:p>
        </w:tc>
        <w:tc>
          <w:tcPr>
            <w:tcW w:w="41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B23A4DE" w14:textId="77777777" w:rsidR="00171AA8" w:rsidRPr="00731FE2" w:rsidRDefault="007935AB" w:rsidP="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 xml:space="preserve">Зеленогорский, Аликоновка, </w:t>
            </w:r>
          </w:p>
        </w:tc>
      </w:tr>
    </w:tbl>
    <w:p w14:paraId="24A54F0D" w14:textId="77777777" w:rsidR="00171AA8" w:rsidRPr="00731FE2" w:rsidRDefault="00171AA8">
      <w:pPr>
        <w:pBdr>
          <w:top w:val="none" w:sz="4" w:space="0" w:color="000000"/>
          <w:left w:val="none" w:sz="4" w:space="0" w:color="000000"/>
          <w:bottom w:val="none" w:sz="4" w:space="0" w:color="000000"/>
          <w:right w:val="none" w:sz="4" w:space="0" w:color="000000"/>
        </w:pBdr>
      </w:pPr>
    </w:p>
    <w:p w14:paraId="74D65F1D"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rPr>
        <w:t xml:space="preserve">Сельские населенные пункты не образуют собственной системы расселения, а либо непосредственно примыкают с территории города-курорта Кисловодска – пос. Луначарский, пос. Аликоновка, пос. Новокисловодский, пос. Белореченский и, соответственно, оказываются «встроенными» в общую систему расселения городского округа и КМВ. Либо через линейные элементы – автомобильные дороги общего пользования местного значения – пос. </w:t>
      </w:r>
      <w:proofErr w:type="gramStart"/>
      <w:r w:rsidRPr="00731FE2">
        <w:rPr>
          <w:rFonts w:ascii="Times New Roman" w:eastAsia="Times New Roman" w:hAnsi="Times New Roman" w:cs="Times New Roman"/>
          <w:color w:val="000000"/>
        </w:rPr>
        <w:t>Нарзанный</w:t>
      </w:r>
      <w:proofErr w:type="gramEnd"/>
      <w:r w:rsidRPr="00731FE2">
        <w:rPr>
          <w:rFonts w:ascii="Times New Roman" w:eastAsia="Times New Roman" w:hAnsi="Times New Roman" w:cs="Times New Roman"/>
          <w:color w:val="000000"/>
        </w:rPr>
        <w:t>, пос. Индустрия, пос. Зеленогорский, – оказываются включенными в эту систему.</w:t>
      </w:r>
      <w:r w:rsidRPr="00731FE2">
        <w:t xml:space="preserve"> </w:t>
      </w:r>
      <w:r w:rsidRPr="00731FE2">
        <w:rPr>
          <w:rFonts w:ascii="Times New Roman" w:eastAsia="Times New Roman" w:hAnsi="Times New Roman" w:cs="Times New Roman"/>
          <w:color w:val="000000"/>
        </w:rPr>
        <w:t xml:space="preserve">Все поселки, входящие в состав городского округа, город-курорт Кисловодск тяготеют к административному центру. Это тяготение </w:t>
      </w:r>
      <w:r w:rsidRPr="00731FE2">
        <w:rPr>
          <w:rFonts w:ascii="Times New Roman" w:eastAsia="Times New Roman" w:hAnsi="Times New Roman" w:cs="Times New Roman"/>
          <w:color w:val="000000"/>
          <w:szCs w:val="24"/>
        </w:rPr>
        <w:t>выражается в интенсивных маятниковых миграциях, связанных с работой, учебой и другими причинами.</w:t>
      </w:r>
    </w:p>
    <w:p w14:paraId="5F0BE0FB"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b/>
          <w:bCs/>
          <w:color w:val="000000"/>
          <w:szCs w:val="24"/>
        </w:rPr>
      </w:pPr>
      <w:r w:rsidRPr="00731FE2">
        <w:rPr>
          <w:rFonts w:ascii="Times New Roman" w:eastAsia="Times New Roman" w:hAnsi="Times New Roman" w:cs="Times New Roman"/>
          <w:b/>
          <w:bCs/>
          <w:color w:val="000000"/>
          <w:szCs w:val="24"/>
        </w:rPr>
        <w:t xml:space="preserve">Таким образом, городской округ город-курорт Кисловодск обладает выгодным экономико-географическим положением и уникальным природно-географическим положением, как в рамках Ставропольского края, так и всего Юга России, которые во многом определяют особенности его функционирования и развития как города-курорта и экономического центра региона. </w:t>
      </w:r>
    </w:p>
    <w:p w14:paraId="65C2EA5A"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b/>
          <w:bCs/>
          <w:color w:val="000000"/>
          <w:szCs w:val="24"/>
        </w:rPr>
      </w:pPr>
      <w:r w:rsidRPr="00731FE2">
        <w:rPr>
          <w:rFonts w:ascii="Times New Roman" w:eastAsia="Times New Roman" w:hAnsi="Times New Roman" w:cs="Times New Roman"/>
          <w:b/>
          <w:bCs/>
          <w:color w:val="000000"/>
          <w:szCs w:val="24"/>
        </w:rPr>
        <w:t>Основные аспекты, формирующие черты географического положения округа, заключаются в следующем:</w:t>
      </w:r>
    </w:p>
    <w:p w14:paraId="01A5717D" w14:textId="77777777" w:rsidR="00171AA8" w:rsidRPr="00731FE2" w:rsidRDefault="007935AB">
      <w:pPr>
        <w:pStyle w:val="a3"/>
        <w:numPr>
          <w:ilvl w:val="0"/>
          <w:numId w:val="26"/>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b/>
          <w:bCs/>
          <w:color w:val="000000"/>
          <w:szCs w:val="24"/>
        </w:rPr>
      </w:pPr>
      <w:r w:rsidRPr="00731FE2">
        <w:rPr>
          <w:rFonts w:ascii="Times New Roman" w:eastAsia="Times New Roman" w:hAnsi="Times New Roman" w:cs="Times New Roman"/>
          <w:b/>
          <w:bCs/>
          <w:color w:val="000000"/>
          <w:szCs w:val="24"/>
        </w:rPr>
        <w:t>особое природное положение, определяющее уникальные природно-климатические условия и ресурсы городского округа;</w:t>
      </w:r>
    </w:p>
    <w:p w14:paraId="42FF8660" w14:textId="77777777" w:rsidR="00171AA8" w:rsidRPr="00731FE2" w:rsidRDefault="007935AB">
      <w:pPr>
        <w:pStyle w:val="a3"/>
        <w:numPr>
          <w:ilvl w:val="0"/>
          <w:numId w:val="26"/>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b/>
          <w:bCs/>
          <w:color w:val="000000"/>
          <w:szCs w:val="24"/>
        </w:rPr>
      </w:pPr>
      <w:r w:rsidRPr="00731FE2">
        <w:rPr>
          <w:rFonts w:ascii="Times New Roman" w:eastAsia="Times New Roman" w:hAnsi="Times New Roman" w:cs="Times New Roman"/>
          <w:b/>
          <w:bCs/>
          <w:color w:val="000000"/>
          <w:szCs w:val="24"/>
        </w:rPr>
        <w:t>выгодное транспортно-географическое положение – положение на автомобильной дороге общего пользования федерального значения А-157 «Минеральные Воды (аэропорт) – Кисловодск» в пределах 1-часовой транспортной доступности от международного аэропорта «Минеральные Воды» и крупнейших городов агломерации Кавказских Минеральных Вод и Северного Кавказа;</w:t>
      </w:r>
    </w:p>
    <w:p w14:paraId="5FD2F308" w14:textId="77777777" w:rsidR="00171AA8" w:rsidRPr="00731FE2" w:rsidRDefault="007935AB">
      <w:pPr>
        <w:pStyle w:val="a3"/>
        <w:numPr>
          <w:ilvl w:val="0"/>
          <w:numId w:val="26"/>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b/>
          <w:bCs/>
          <w:color w:val="000000"/>
          <w:szCs w:val="24"/>
        </w:rPr>
      </w:pPr>
      <w:r w:rsidRPr="00731FE2">
        <w:rPr>
          <w:rFonts w:ascii="Times New Roman" w:eastAsia="Times New Roman" w:hAnsi="Times New Roman" w:cs="Times New Roman"/>
          <w:b/>
          <w:bCs/>
          <w:color w:val="000000"/>
          <w:szCs w:val="24"/>
        </w:rPr>
        <w:t xml:space="preserve">положение территории на железной дороге «Минеральные </w:t>
      </w:r>
      <w:proofErr w:type="gramStart"/>
      <w:r w:rsidRPr="00731FE2">
        <w:rPr>
          <w:rFonts w:ascii="Times New Roman" w:eastAsia="Times New Roman" w:hAnsi="Times New Roman" w:cs="Times New Roman"/>
          <w:b/>
          <w:bCs/>
          <w:color w:val="000000"/>
          <w:szCs w:val="24"/>
        </w:rPr>
        <w:t>Воды–Кисловодск</w:t>
      </w:r>
      <w:proofErr w:type="gramEnd"/>
      <w:r w:rsidRPr="00731FE2">
        <w:rPr>
          <w:rFonts w:ascii="Times New Roman" w:eastAsia="Times New Roman" w:hAnsi="Times New Roman" w:cs="Times New Roman"/>
          <w:b/>
          <w:bCs/>
          <w:color w:val="000000"/>
          <w:szCs w:val="24"/>
        </w:rPr>
        <w:t>»;</w:t>
      </w:r>
    </w:p>
    <w:p w14:paraId="3AC25D43" w14:textId="77777777" w:rsidR="00171AA8" w:rsidRPr="00731FE2" w:rsidRDefault="007935AB">
      <w:pPr>
        <w:pStyle w:val="a3"/>
        <w:numPr>
          <w:ilvl w:val="0"/>
          <w:numId w:val="26"/>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b/>
          <w:bCs/>
          <w:color w:val="000000"/>
          <w:szCs w:val="24"/>
        </w:rPr>
      </w:pPr>
      <w:r w:rsidRPr="00731FE2">
        <w:rPr>
          <w:rFonts w:ascii="Times New Roman" w:eastAsia="Times New Roman" w:hAnsi="Times New Roman" w:cs="Times New Roman"/>
          <w:b/>
          <w:bCs/>
          <w:color w:val="000000"/>
          <w:szCs w:val="24"/>
        </w:rPr>
        <w:t>положение территории округа в особо охраняемом эколого-курортном регионе КМВ;</w:t>
      </w:r>
    </w:p>
    <w:p w14:paraId="4D80A7A2" w14:textId="77777777" w:rsidR="00171AA8" w:rsidRPr="00731FE2" w:rsidRDefault="007935AB">
      <w:pPr>
        <w:pStyle w:val="a3"/>
        <w:numPr>
          <w:ilvl w:val="0"/>
          <w:numId w:val="26"/>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b/>
          <w:bCs/>
          <w:color w:val="000000"/>
          <w:szCs w:val="24"/>
        </w:rPr>
      </w:pPr>
      <w:r w:rsidRPr="00731FE2">
        <w:rPr>
          <w:rFonts w:ascii="Times New Roman" w:eastAsia="Times New Roman" w:hAnsi="Times New Roman" w:cs="Times New Roman"/>
          <w:b/>
          <w:bCs/>
          <w:color w:val="000000"/>
          <w:szCs w:val="24"/>
        </w:rPr>
        <w:t>функционирование городского округа город-курорт Кисловодск как важной части (одного из главных центров) полицентрической агломерации КМВ;</w:t>
      </w:r>
    </w:p>
    <w:p w14:paraId="5BABD8F4" w14:textId="77777777" w:rsidR="00171AA8" w:rsidRPr="00731FE2" w:rsidRDefault="007935AB">
      <w:pPr>
        <w:pStyle w:val="a3"/>
        <w:numPr>
          <w:ilvl w:val="0"/>
          <w:numId w:val="26"/>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b/>
          <w:bCs/>
          <w:color w:val="000000"/>
          <w:szCs w:val="24"/>
        </w:rPr>
      </w:pPr>
      <w:r w:rsidRPr="00731FE2">
        <w:rPr>
          <w:rFonts w:ascii="Times New Roman" w:eastAsia="Times New Roman" w:hAnsi="Times New Roman" w:cs="Times New Roman"/>
          <w:b/>
          <w:bCs/>
          <w:color w:val="000000"/>
          <w:szCs w:val="24"/>
        </w:rPr>
        <w:t>расположение территории вблизи крупных экономических центров Ставропольского края, Северного Кавказа и районов развитой интенсивной хозяйственной деятельности.</w:t>
      </w:r>
    </w:p>
    <w:p w14:paraId="6AAEE014"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b/>
          <w:bCs/>
          <w:color w:val="000000"/>
          <w:szCs w:val="24"/>
        </w:rPr>
      </w:pPr>
      <w:r w:rsidRPr="00731FE2">
        <w:rPr>
          <w:rFonts w:ascii="Times New Roman" w:eastAsia="Times New Roman" w:hAnsi="Times New Roman" w:cs="Times New Roman"/>
          <w:b/>
          <w:bCs/>
          <w:color w:val="000000"/>
          <w:szCs w:val="24"/>
        </w:rPr>
        <w:lastRenderedPageBreak/>
        <w:t xml:space="preserve">Город-курорт Кисловодск выполняет функции ядра агломерации КМВ и является центром местной системы расселения и межселенного обслуживания. На процесс расселения и изменения численности населения сельских населенных пунктов в составе округа большое влияние оказывает состояние города-курорта Кисловодска, уровень развития его экономики, количество рабочих мест, а также уровень развития транспортной инфраструктуры. </w:t>
      </w:r>
    </w:p>
    <w:p w14:paraId="51D75E7E" w14:textId="77777777" w:rsidR="00171AA8" w:rsidRPr="00731FE2" w:rsidRDefault="00171AA8">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b/>
          <w:bCs/>
          <w:color w:val="000000"/>
          <w:szCs w:val="24"/>
        </w:rPr>
      </w:pPr>
    </w:p>
    <w:p w14:paraId="4E50F1F2" w14:textId="77777777" w:rsidR="00171AA8" w:rsidRPr="00731FE2" w:rsidRDefault="007935AB">
      <w:pPr>
        <w:pStyle w:val="24"/>
        <w:rPr>
          <w:rFonts w:ascii="Times New Roman" w:hAnsi="Times New Roman" w:cs="Times New Roman"/>
        </w:rPr>
      </w:pPr>
      <w:bookmarkStart w:id="11" w:name="_Toc177392767"/>
      <w:r w:rsidRPr="00731FE2">
        <w:rPr>
          <w:rFonts w:ascii="Times New Roman" w:hAnsi="Times New Roman" w:cs="Times New Roman"/>
        </w:rPr>
        <w:t>2.2 Природные условия и ресурсы</w:t>
      </w:r>
      <w:bookmarkEnd w:id="11"/>
    </w:p>
    <w:p w14:paraId="125EB984" w14:textId="77777777" w:rsidR="00171AA8" w:rsidRPr="00731FE2" w:rsidRDefault="007935AB">
      <w:pPr>
        <w:pStyle w:val="33"/>
        <w:rPr>
          <w:rFonts w:ascii="Times New Roman" w:hAnsi="Times New Roman" w:cs="Times New Roman"/>
        </w:rPr>
      </w:pPr>
      <w:bookmarkStart w:id="12" w:name="_Toc177392768"/>
      <w:r w:rsidRPr="00731FE2">
        <w:rPr>
          <w:rFonts w:ascii="Times New Roman" w:hAnsi="Times New Roman" w:cs="Times New Roman"/>
        </w:rPr>
        <w:t>2.2.1 Геологическое строение и рельеф</w:t>
      </w:r>
      <w:bookmarkEnd w:id="12"/>
    </w:p>
    <w:p w14:paraId="56FFC64F"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b/>
          <w:bCs/>
          <w:color w:val="000000"/>
          <w:szCs w:val="24"/>
        </w:rPr>
        <w:t xml:space="preserve">Геологическое строение. </w:t>
      </w:r>
      <w:r w:rsidRPr="00731FE2">
        <w:rPr>
          <w:rFonts w:ascii="Times New Roman" w:eastAsia="Times New Roman" w:hAnsi="Times New Roman" w:cs="Times New Roman"/>
          <w:color w:val="000000"/>
          <w:szCs w:val="24"/>
        </w:rPr>
        <w:t>Территория городского округа города-курорта Кисловодска приурочена к Минераловодскому поднятию, представляющему собой выступ складчатого палеозойского фундамента, покрытого чехлом мезозойских осадочных пород и рассечённого двумя глубинными разломами субмеридионального направления и одним субширотного.</w:t>
      </w:r>
    </w:p>
    <w:p w14:paraId="2D6797DF"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Территория находится в пределах Эльбрусско-Минераловодской зоны разрывны</w:t>
      </w:r>
      <w:r w:rsidR="00A31712" w:rsidRPr="00731FE2">
        <w:rPr>
          <w:rFonts w:ascii="Times New Roman" w:eastAsia="Times New Roman" w:hAnsi="Times New Roman" w:cs="Times New Roman"/>
          <w:color w:val="000000"/>
          <w:szCs w:val="24"/>
        </w:rPr>
        <w:t xml:space="preserve">х нарушений. </w:t>
      </w:r>
      <w:proofErr w:type="gramStart"/>
      <w:r w:rsidR="00A31712" w:rsidRPr="00731FE2">
        <w:rPr>
          <w:rFonts w:ascii="Times New Roman" w:eastAsia="Times New Roman" w:hAnsi="Times New Roman" w:cs="Times New Roman"/>
          <w:color w:val="000000"/>
          <w:szCs w:val="24"/>
        </w:rPr>
        <w:t>Тектонической наруш</w:t>
      </w:r>
      <w:r w:rsidRPr="00731FE2">
        <w:rPr>
          <w:rFonts w:ascii="Times New Roman" w:eastAsia="Times New Roman" w:hAnsi="Times New Roman" w:cs="Times New Roman"/>
          <w:color w:val="000000"/>
          <w:szCs w:val="24"/>
        </w:rPr>
        <w:t>енностью горных пород обусловлена высокая трещиноватость мезозойских отложений, слагающих территорию, сложенных меловыми и юрскими породами, представленными песчаниками и известняками с прослоями глин, аргиллитами и алевролитами, весьма подверженными выветриванию.</w:t>
      </w:r>
      <w:proofErr w:type="gramEnd"/>
      <w:r w:rsidRPr="00731FE2">
        <w:rPr>
          <w:rFonts w:ascii="Times New Roman" w:eastAsia="Times New Roman" w:hAnsi="Times New Roman" w:cs="Times New Roman"/>
          <w:color w:val="000000"/>
          <w:szCs w:val="24"/>
        </w:rPr>
        <w:t xml:space="preserve"> Мощность коры выветривания изменяется от 1 до 8 м. Вскрытая мощность коренных отложений превышает 2000 м. Коренные породы на значительной территории перекрыты чехлом рыхлых четвертичных аллювиальных, делювиальных, делювиально-пролювиальных и др. отложений. Аллювиальные отложения речных долин представлены галечниками, гравием, песками, супесями и суглинками. Их мощность изменяется от 10-16 до 25 м.</w:t>
      </w:r>
    </w:p>
    <w:p w14:paraId="7A3A1150"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Делювиальными супесями и суглинками с дресвой, и щебнем коренных пород покрыты склоны гор. Подножья гор сложены делювиально-пролювиальными отложениями, чаще всего представленными скоплениями щебня и глыб, формирующих конусы выноса. Мощность отложений изменяется от 1,5 до 6,0 м. Поверхности надпойменных террас, конусов выноса, водоразделов на значительной территории перекрыты лессовидными макропористыми суглинками, среди которых встречаются разности, относящиеся как к первому, так и второму типу грунтовых условий по просадочности. Мощность просадочной толщи изменяется от 2-8 м и до 18-20 м. Основанием всех инженерных сооружений чаще всего являются четвертичные отложения и выветренные породы юры и мела.</w:t>
      </w:r>
    </w:p>
    <w:p w14:paraId="20B718F5"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b/>
          <w:bCs/>
          <w:color w:val="000000"/>
          <w:szCs w:val="24"/>
        </w:rPr>
        <w:t>Рельеф.</w:t>
      </w:r>
      <w:r w:rsidRPr="00731FE2">
        <w:rPr>
          <w:rFonts w:ascii="Times New Roman" w:eastAsia="Times New Roman" w:hAnsi="Times New Roman" w:cs="Times New Roman"/>
          <w:color w:val="000000"/>
          <w:szCs w:val="24"/>
        </w:rPr>
        <w:t xml:space="preserve"> Особенности геологического строения территории городского округа определили своеобразие рельефа. Городской округ город-курорт Кисловодск расположен в котловинообразном понижении на южном склоне Пастбищного хребта. Дно котловины характеризуется холмистой поверхностью с относительными превышениями до 100-150 м, изрезанной многочисленными оврагами и долинами малых рек. Глубина вреза оврагов и долин рек изменяется от 10-20 м до 60-80 м. Склоны их крутые, нередко обрывистые. Возвышенности, окаймляющие котловину, со склонами, крутизной от 3-5° до 20-30° и более, имеют плоские вершины высотой до 1100-1400 м над уровнем моря. </w:t>
      </w:r>
    </w:p>
    <w:p w14:paraId="2B454240"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 xml:space="preserve">Долина реки Подкумок у северной границы города-курорта имеет ширину 1,5-2,0 км. В долине реки отмечается низкая и высокая пойма и три надпойменных террасы. Первая надпойменная терраса имеет высоту над урезом реки 5-7 м, вторая 20-24 м, третья </w:t>
      </w:r>
      <w:r w:rsidRPr="00731FE2">
        <w:rPr>
          <w:rFonts w:ascii="Times New Roman" w:eastAsia="Times New Roman" w:hAnsi="Times New Roman" w:cs="Times New Roman"/>
          <w:color w:val="000000"/>
          <w:szCs w:val="24"/>
        </w:rPr>
        <w:lastRenderedPageBreak/>
        <w:t>50-60 м. На рассматриваемой территории наиболее распространена первая надпойменная терраса.</w:t>
      </w:r>
    </w:p>
    <w:p w14:paraId="1B0B6386"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 xml:space="preserve">Центральную часть городского округа в субмеридиональном направлении рассекает долина реки Берёзовая, шириной от 0,1 до 0,3 км. В долине реки отмечается узкая прерывистая пойма и две, три надпойменные террасы. Поверхность территории города-курорта нередко нарушена, оползнями и осыпями. </w:t>
      </w:r>
    </w:p>
    <w:p w14:paraId="1EF5D017"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 xml:space="preserve">Гидрогеологические условия относительно сложные. Условия строительства на территории города-курорта в значительной степени определяются глубиной залегания подземных вод, а также их агрессивностью. Большое влияние на условия строительства оказывают подземные воды четвертичных </w:t>
      </w:r>
      <w:proofErr w:type="gramStart"/>
      <w:r w:rsidRPr="00731FE2">
        <w:rPr>
          <w:rFonts w:ascii="Times New Roman" w:eastAsia="Times New Roman" w:hAnsi="Times New Roman" w:cs="Times New Roman"/>
          <w:color w:val="000000"/>
          <w:szCs w:val="24"/>
        </w:rPr>
        <w:t>отложений</w:t>
      </w:r>
      <w:proofErr w:type="gramEnd"/>
      <w:r w:rsidRPr="00731FE2">
        <w:rPr>
          <w:rFonts w:ascii="Times New Roman" w:eastAsia="Times New Roman" w:hAnsi="Times New Roman" w:cs="Times New Roman"/>
          <w:color w:val="000000"/>
          <w:szCs w:val="24"/>
        </w:rPr>
        <w:t xml:space="preserve"> и трещинные воды верхней части разреза коренных пород (коры выветривания). </w:t>
      </w:r>
    </w:p>
    <w:p w14:paraId="573CD5F9"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На рассматриваемой территории распространены три водоносных горизонта:</w:t>
      </w:r>
    </w:p>
    <w:p w14:paraId="53E9A692" w14:textId="77777777" w:rsidR="00171AA8" w:rsidRPr="00731FE2" w:rsidRDefault="007935AB">
      <w:pPr>
        <w:pStyle w:val="a3"/>
        <w:numPr>
          <w:ilvl w:val="0"/>
          <w:numId w:val="1"/>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водоносный горизонт аллювиальных отложений;</w:t>
      </w:r>
    </w:p>
    <w:p w14:paraId="45A80535" w14:textId="77777777" w:rsidR="00171AA8" w:rsidRPr="00731FE2" w:rsidRDefault="007935AB">
      <w:pPr>
        <w:pStyle w:val="a3"/>
        <w:numPr>
          <w:ilvl w:val="0"/>
          <w:numId w:val="1"/>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водоносный горизонт эолово-делювиальных отложений;</w:t>
      </w:r>
    </w:p>
    <w:p w14:paraId="59DC97BF" w14:textId="77777777" w:rsidR="00171AA8" w:rsidRPr="00731FE2" w:rsidRDefault="007935AB">
      <w:pPr>
        <w:pStyle w:val="a3"/>
        <w:numPr>
          <w:ilvl w:val="0"/>
          <w:numId w:val="1"/>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водоносный горизонт трещинного типа.</w:t>
      </w:r>
    </w:p>
    <w:p w14:paraId="7EB65DE3"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Имеющиеся водоносные горизонты отличаются по химическому составу. Так, например, водоносный горизонт аллювиальных отложений представлен сульфатно-кальциево-магниевыми подземными водами с минерализацией 0,5-0,9 г/дм</w:t>
      </w:r>
      <w:r w:rsidRPr="00731FE2">
        <w:rPr>
          <w:rFonts w:ascii="Times New Roman" w:eastAsia="Times New Roman" w:hAnsi="Times New Roman" w:cs="Times New Roman"/>
          <w:color w:val="000000"/>
          <w:szCs w:val="24"/>
          <w:vertAlign w:val="superscript"/>
        </w:rPr>
        <w:t>3</w:t>
      </w:r>
      <w:r w:rsidRPr="00731FE2">
        <w:rPr>
          <w:rFonts w:ascii="Times New Roman" w:eastAsia="Times New Roman" w:hAnsi="Times New Roman" w:cs="Times New Roman"/>
          <w:color w:val="000000"/>
          <w:szCs w:val="24"/>
        </w:rPr>
        <w:t>. Подземные воды горизонта эолово-делювиальных отложений характеризуются сульфатно-кальциевым составом с минерализацией от 1,0 до 1,8 г/дм</w:t>
      </w:r>
      <w:r w:rsidRPr="00731FE2">
        <w:rPr>
          <w:rFonts w:ascii="Times New Roman" w:eastAsia="Times New Roman" w:hAnsi="Times New Roman" w:cs="Times New Roman"/>
          <w:color w:val="000000"/>
          <w:szCs w:val="24"/>
          <w:vertAlign w:val="superscript"/>
        </w:rPr>
        <w:t>3</w:t>
      </w:r>
      <w:r w:rsidRPr="00731FE2">
        <w:rPr>
          <w:rFonts w:ascii="Times New Roman" w:eastAsia="Times New Roman" w:hAnsi="Times New Roman" w:cs="Times New Roman"/>
          <w:color w:val="000000"/>
          <w:szCs w:val="24"/>
        </w:rPr>
        <w:t>, а подземные воды водоносного горизонта трещинного типа сульфатно-магниевыми с минерализацией от 2,72 до 5,98 г/дм</w:t>
      </w:r>
      <w:r w:rsidRPr="00731FE2">
        <w:rPr>
          <w:rFonts w:ascii="Times New Roman" w:eastAsia="Times New Roman" w:hAnsi="Times New Roman" w:cs="Times New Roman"/>
          <w:color w:val="000000"/>
          <w:szCs w:val="24"/>
          <w:vertAlign w:val="superscript"/>
        </w:rPr>
        <w:t>3</w:t>
      </w:r>
      <w:r w:rsidRPr="00731FE2">
        <w:rPr>
          <w:rFonts w:ascii="Times New Roman" w:eastAsia="Times New Roman" w:hAnsi="Times New Roman" w:cs="Times New Roman"/>
          <w:color w:val="000000"/>
          <w:szCs w:val="24"/>
        </w:rPr>
        <w:t>.</w:t>
      </w:r>
    </w:p>
    <w:p w14:paraId="353CD60F"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 xml:space="preserve">Водоупором водоносных горизонтов в основном служат меловые песчаники и алевролиты с низким значением коэффициента фильтрации до 0,01 м/сутки. Часто распространение подземных вод прерывается выходами коренных пород. Глубина залегания подземных вод изменяется от 0,1 м до 5 м в зависимости от типа водоносного горизонта. </w:t>
      </w:r>
    </w:p>
    <w:p w14:paraId="79ECDC61"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proofErr w:type="gramStart"/>
      <w:r w:rsidRPr="00731FE2">
        <w:rPr>
          <w:rFonts w:ascii="Times New Roman" w:eastAsia="Times New Roman" w:hAnsi="Times New Roman" w:cs="Times New Roman"/>
          <w:color w:val="000000"/>
          <w:szCs w:val="24"/>
        </w:rPr>
        <w:t>На значительной части территории</w:t>
      </w:r>
      <w:proofErr w:type="gramEnd"/>
      <w:r w:rsidRPr="00731FE2">
        <w:rPr>
          <w:rFonts w:ascii="Times New Roman" w:eastAsia="Times New Roman" w:hAnsi="Times New Roman" w:cs="Times New Roman"/>
          <w:color w:val="000000"/>
          <w:szCs w:val="24"/>
        </w:rPr>
        <w:t xml:space="preserve">, особенно вдоль русел рек, в северной и северо-западной части городского округа подземные воды залегают на глубине, менее 2,0 м, что существенно осложняет условия строительства. По содержанию сульфатов подземные воды в южной, юго-западной и западной частях города-курорта Кисловодска (жилая, общественно-деловая и курортная зоны – район Национального парка «Кисловодский») относятся к </w:t>
      </w:r>
      <w:proofErr w:type="gramStart"/>
      <w:r w:rsidRPr="00731FE2">
        <w:rPr>
          <w:rFonts w:ascii="Times New Roman" w:eastAsia="Times New Roman" w:hAnsi="Times New Roman" w:cs="Times New Roman"/>
          <w:color w:val="000000"/>
          <w:szCs w:val="24"/>
        </w:rPr>
        <w:t>неагрессивным</w:t>
      </w:r>
      <w:proofErr w:type="gramEnd"/>
      <w:r w:rsidRPr="00731FE2">
        <w:rPr>
          <w:rFonts w:ascii="Times New Roman" w:eastAsia="Times New Roman" w:hAnsi="Times New Roman" w:cs="Times New Roman"/>
          <w:color w:val="000000"/>
          <w:szCs w:val="24"/>
        </w:rPr>
        <w:t xml:space="preserve">. Воды юго-восточной, центральной и северной частей города-курорта характеризуются как слабоагрессивные к портландцементу (жилая, общественно-деловая зона и Национальный парк «Кисловодский»). </w:t>
      </w:r>
      <w:proofErr w:type="gramStart"/>
      <w:r w:rsidRPr="00731FE2">
        <w:rPr>
          <w:rFonts w:ascii="Times New Roman" w:eastAsia="Times New Roman" w:hAnsi="Times New Roman" w:cs="Times New Roman"/>
          <w:color w:val="000000"/>
          <w:szCs w:val="24"/>
        </w:rPr>
        <w:t>В центральной, северной и восточной районах городского округа подземные воды классифицируются как среднеагрессивные к портландцементам.</w:t>
      </w:r>
      <w:proofErr w:type="gramEnd"/>
      <w:r w:rsidRPr="00731FE2">
        <w:rPr>
          <w:rFonts w:ascii="Times New Roman" w:eastAsia="Times New Roman" w:hAnsi="Times New Roman" w:cs="Times New Roman"/>
          <w:color w:val="000000"/>
          <w:szCs w:val="24"/>
        </w:rPr>
        <w:t xml:space="preserve"> Распространение сильноагрессивных вод к портландцементам наблюдается в центральной и северо-восточной частях города-курорта. В центральной части города-курорта эти воды приурочены к курортной зоне, где находятся основные санатории и пансионаты. В восточной части городского округа подземные воды слабоагрессивные по отношению к сульфатостойким цементам. </w:t>
      </w:r>
    </w:p>
    <w:p w14:paraId="0ECF7AC4"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b/>
          <w:bCs/>
          <w:color w:val="000000"/>
          <w:szCs w:val="24"/>
        </w:rPr>
      </w:pPr>
      <w:r w:rsidRPr="00731FE2">
        <w:rPr>
          <w:rFonts w:ascii="Times New Roman" w:eastAsia="Times New Roman" w:hAnsi="Times New Roman" w:cs="Times New Roman"/>
          <w:b/>
          <w:bCs/>
          <w:color w:val="000000"/>
          <w:szCs w:val="24"/>
        </w:rPr>
        <w:t>Городской округ расположен в широкой межгорной Кисловодской котловине в окружении гор. В геологическом отношении Кисловодская котловина представляет собой куэстовую область северного склона Большого Кавказского хребта – равнину, сложенную осадочными породами, полого наклоненную с юго-</w:t>
      </w:r>
      <w:r w:rsidRPr="00731FE2">
        <w:rPr>
          <w:rFonts w:ascii="Times New Roman" w:eastAsia="Times New Roman" w:hAnsi="Times New Roman" w:cs="Times New Roman"/>
          <w:b/>
          <w:bCs/>
          <w:color w:val="000000"/>
          <w:szCs w:val="24"/>
        </w:rPr>
        <w:lastRenderedPageBreak/>
        <w:t>запада на северо-восток. Дно котловины характеризуется холмистой поверхностью, изрезанной многочисленными оврагами и долинами малых рек.</w:t>
      </w:r>
    </w:p>
    <w:p w14:paraId="48A558B1" w14:textId="77777777" w:rsidR="00902F18" w:rsidRPr="00731FE2" w:rsidRDefault="00902F18">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b/>
          <w:bCs/>
          <w:color w:val="000000"/>
          <w:szCs w:val="24"/>
        </w:rPr>
      </w:pPr>
    </w:p>
    <w:p w14:paraId="0A484D94" w14:textId="77777777" w:rsidR="00902F18" w:rsidRPr="00731FE2" w:rsidRDefault="00902F18">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b/>
          <w:bCs/>
          <w:color w:val="000000"/>
          <w:szCs w:val="24"/>
        </w:rPr>
      </w:pPr>
    </w:p>
    <w:p w14:paraId="12D4E0FD" w14:textId="77777777" w:rsidR="00171AA8" w:rsidRPr="00731FE2" w:rsidRDefault="007935AB">
      <w:pPr>
        <w:pStyle w:val="33"/>
        <w:rPr>
          <w:rFonts w:ascii="Times New Roman" w:hAnsi="Times New Roman" w:cs="Times New Roman"/>
        </w:rPr>
      </w:pPr>
      <w:bookmarkStart w:id="13" w:name="_Toc177392769"/>
      <w:r w:rsidRPr="00731FE2">
        <w:rPr>
          <w:rFonts w:ascii="Times New Roman" w:hAnsi="Times New Roman" w:cs="Times New Roman"/>
        </w:rPr>
        <w:t>2.2.2 Климатическая характеристика</w:t>
      </w:r>
      <w:bookmarkEnd w:id="13"/>
    </w:p>
    <w:p w14:paraId="0BC8028F"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Климатические условия городского округа города-курорта Кисловодска определяются его географическим положением, близостью Кавказского хребта, расположением курорта в котловине, окружённой горами.</w:t>
      </w:r>
    </w:p>
    <w:p w14:paraId="1316E7B7"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Изрезанность склонов территории балками и долинами, а также различное высотное положение отдельных районов курорта определяет большое разнообразие микроклиматических зон даже в пределах границ города. Климат рассматриваемой территории – умеренно-континентальный. По количеству солнечных дней город не уступает лучшим курортам мира (около 300 солнечных дней в году). Лето в Кисловодске продолжительное (до 5 месяцев), никогда не бывает жарким. Зима умеренно мягкая, сухая, с неустойчивым снежным покровом.</w:t>
      </w:r>
    </w:p>
    <w:p w14:paraId="70C4210F"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Cs w:val="24"/>
        </w:rPr>
      </w:pPr>
      <w:r w:rsidRPr="00731FE2">
        <w:rPr>
          <w:noProof/>
          <w:lang w:eastAsia="ru-RU"/>
        </w:rPr>
        <w:drawing>
          <wp:inline distT="0" distB="0" distL="0" distR="0" wp14:anchorId="3C094667" wp14:editId="4ADEAF17">
            <wp:extent cx="5940425" cy="3000707"/>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6122285" name=""/>
                    <pic:cNvPicPr>
                      <a:picLocks noChangeAspect="1"/>
                    </pic:cNvPicPr>
                  </pic:nvPicPr>
                  <pic:blipFill>
                    <a:blip r:embed="rId11"/>
                    <a:stretch/>
                  </pic:blipFill>
                  <pic:spPr bwMode="auto">
                    <a:xfrm>
                      <a:off x="0" y="0"/>
                      <a:ext cx="5940424" cy="3000707"/>
                    </a:xfrm>
                    <a:prstGeom prst="rect">
                      <a:avLst/>
                    </a:prstGeom>
                  </pic:spPr>
                </pic:pic>
              </a:graphicData>
            </a:graphic>
          </wp:inline>
        </w:drawing>
      </w:r>
    </w:p>
    <w:p w14:paraId="2F352487" w14:textId="77777777" w:rsidR="00171AA8" w:rsidRPr="00731FE2" w:rsidRDefault="007935AB">
      <w:pPr>
        <w:pStyle w:val="af3"/>
        <w:rPr>
          <w:sz w:val="24"/>
          <w:szCs w:val="24"/>
        </w:rPr>
      </w:pPr>
      <w:r w:rsidRPr="00731FE2">
        <w:rPr>
          <w:sz w:val="24"/>
          <w:szCs w:val="24"/>
        </w:rPr>
        <w:t xml:space="preserve">Рисунок </w:t>
      </w:r>
      <w:r w:rsidRPr="00731FE2">
        <w:rPr>
          <w:sz w:val="24"/>
          <w:szCs w:val="24"/>
        </w:rPr>
        <w:fldChar w:fldCharType="begin"/>
      </w:r>
      <w:r w:rsidRPr="00731FE2">
        <w:rPr>
          <w:sz w:val="24"/>
          <w:szCs w:val="24"/>
        </w:rPr>
        <w:instrText xml:space="preserve"> SEQ Рисунок \* Arabic </w:instrText>
      </w:r>
      <w:r w:rsidRPr="00731FE2">
        <w:rPr>
          <w:sz w:val="24"/>
          <w:szCs w:val="24"/>
        </w:rPr>
        <w:fldChar w:fldCharType="separate"/>
      </w:r>
      <w:r w:rsidR="00C50915" w:rsidRPr="00731FE2">
        <w:rPr>
          <w:noProof/>
          <w:sz w:val="24"/>
          <w:szCs w:val="24"/>
        </w:rPr>
        <w:t>2</w:t>
      </w:r>
      <w:r w:rsidRPr="00731FE2">
        <w:rPr>
          <w:sz w:val="24"/>
          <w:szCs w:val="24"/>
        </w:rPr>
        <w:fldChar w:fldCharType="end"/>
      </w:r>
      <w:r w:rsidRPr="00731FE2">
        <w:rPr>
          <w:sz w:val="24"/>
          <w:szCs w:val="24"/>
        </w:rPr>
        <w:t xml:space="preserve"> – Климатические показатели для г. Кисловодска</w:t>
      </w:r>
      <w:r w:rsidRPr="00731FE2">
        <w:rPr>
          <w:rStyle w:val="afb"/>
          <w:sz w:val="24"/>
          <w:szCs w:val="24"/>
          <w:vertAlign w:val="superscript"/>
        </w:rPr>
        <w:footnoteReference w:id="8"/>
      </w:r>
    </w:p>
    <w:p w14:paraId="24C70E0F" w14:textId="77777777" w:rsidR="00171AA8" w:rsidRPr="00731FE2" w:rsidRDefault="00171AA8">
      <w:pPr>
        <w:pStyle w:val="16"/>
      </w:pPr>
    </w:p>
    <w:p w14:paraId="03732613"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Горный рельеф территории оказывает существенное влияние на распределение температуры воздуха. Абсолютный максимум температуры +37</w:t>
      </w:r>
      <w:proofErr w:type="gramStart"/>
      <w:r w:rsidRPr="00731FE2">
        <w:rPr>
          <w:rFonts w:ascii="Times New Roman" w:eastAsia="Times New Roman" w:hAnsi="Times New Roman" w:cs="Times New Roman"/>
          <w:color w:val="000000"/>
          <w:szCs w:val="24"/>
        </w:rPr>
        <w:t>°С</w:t>
      </w:r>
      <w:proofErr w:type="gramEnd"/>
      <w:r w:rsidRPr="00731FE2">
        <w:rPr>
          <w:rFonts w:ascii="Times New Roman" w:eastAsia="Times New Roman" w:hAnsi="Times New Roman" w:cs="Times New Roman"/>
          <w:color w:val="000000"/>
          <w:szCs w:val="24"/>
        </w:rPr>
        <w:t xml:space="preserve"> приходится на июль-август, минимум -29°С – на декабрь. Средняя температура воздуха в июле +18,6</w:t>
      </w:r>
      <w:proofErr w:type="gramStart"/>
      <w:r w:rsidRPr="00731FE2">
        <w:rPr>
          <w:rFonts w:ascii="Times New Roman" w:eastAsia="Times New Roman" w:hAnsi="Times New Roman" w:cs="Times New Roman"/>
          <w:color w:val="000000"/>
          <w:szCs w:val="24"/>
        </w:rPr>
        <w:t>°С</w:t>
      </w:r>
      <w:proofErr w:type="gramEnd"/>
      <w:r w:rsidRPr="00731FE2">
        <w:rPr>
          <w:rFonts w:ascii="Times New Roman" w:eastAsia="Times New Roman" w:hAnsi="Times New Roman" w:cs="Times New Roman"/>
          <w:color w:val="000000"/>
          <w:szCs w:val="24"/>
        </w:rPr>
        <w:t xml:space="preserve">, в январе – (-2,2°С). Средняя годовая температура в городском округе составляет +7,7°С. Температура воздуха – фактор очень изменчивый даже в течение одних суток. Разница между дневной и ночной температурой составляет 8°-10°С. Продолжительность безморозного периода колеблется в пределах от 150 до 220 дней. Среднее число дней с морозами равно 141, из них дней без оттепели – всего 39, следовательно, морозы неустойчивы, так как даже в январе днем бывает значительное потепление. </w:t>
      </w:r>
    </w:p>
    <w:p w14:paraId="73886B75"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lastRenderedPageBreak/>
        <w:t xml:space="preserve">Атмосферное давление – важный и в то же время очень изменчивый фактор. В целом, давление воздуха в городском округе относительно низкое и в среднем составляет 692 мм ртутного столба. В течение года, при прохождении теплых и холодных масс воздуха, атмосферное давление колеблется от 705,9 мм в октябре, до 670,2 мм – в феврале. </w:t>
      </w:r>
    </w:p>
    <w:p w14:paraId="40B26F41" w14:textId="2CCE9D6D"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 xml:space="preserve">Среднегодовое давление воздуха в Кисловодске приблизительно на 35 – 40 мм ниже, чем в </w:t>
      </w:r>
      <w:proofErr w:type="gramStart"/>
      <w:r w:rsidRPr="00731FE2">
        <w:rPr>
          <w:rFonts w:ascii="Times New Roman" w:eastAsia="Times New Roman" w:hAnsi="Times New Roman" w:cs="Times New Roman"/>
          <w:color w:val="000000"/>
          <w:szCs w:val="24"/>
        </w:rPr>
        <w:t>Баден-Бадене</w:t>
      </w:r>
      <w:proofErr w:type="gramEnd"/>
      <w:r w:rsidRPr="00731FE2">
        <w:rPr>
          <w:rFonts w:ascii="Times New Roman" w:eastAsia="Times New Roman" w:hAnsi="Times New Roman" w:cs="Times New Roman"/>
          <w:color w:val="000000"/>
          <w:szCs w:val="24"/>
        </w:rPr>
        <w:t xml:space="preserve"> и Карловых Варах, что объясняется более высокогорным расположением городского округа, на высоте от 800 до 1100 м над уровнем моря. Кроме общих тенденций и закономерностей распределения атмосферного давления по сезонам года, особенностью городского округа города-курорта Кисловодска является тот факт, что на разных частях его территории прослеживается значительная разница в показателях атмосферного давления. Это обусловлено большой территорией округа, особенностями циркуляции воздуха, сложностью рельефа. Все это в совокупности определяет особые микроклиматы в пределах разных частей, что существенно и выгодно отличает его от остальных курортов. </w:t>
      </w:r>
    </w:p>
    <w:p w14:paraId="1862F578"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 xml:space="preserve">Влажность воздуха имеет большое значение для нормальной жизнедеятельности организма человека, но определяющее значение имеет относительная влажность, то есть степень насыщения воздуха влагой при данной температуре. Данная величина колеблется в зависимости от времени года. Весной она составляет 69%, зимой – 60%, летом – 58%, осенью – 59%. Микроклиматические зоны в Кисловодске имеют разную относительную влажность. Например, на берегах р. Ольховки более, а в верхнем парке менее </w:t>
      </w:r>
      <w:proofErr w:type="gramStart"/>
      <w:r w:rsidRPr="00731FE2">
        <w:rPr>
          <w:rFonts w:ascii="Times New Roman" w:eastAsia="Times New Roman" w:hAnsi="Times New Roman" w:cs="Times New Roman"/>
          <w:color w:val="000000"/>
          <w:szCs w:val="24"/>
        </w:rPr>
        <w:t>высокую</w:t>
      </w:r>
      <w:proofErr w:type="gramEnd"/>
      <w:r w:rsidRPr="00731FE2">
        <w:rPr>
          <w:rFonts w:ascii="Times New Roman" w:eastAsia="Times New Roman" w:hAnsi="Times New Roman" w:cs="Times New Roman"/>
          <w:color w:val="000000"/>
          <w:szCs w:val="24"/>
        </w:rPr>
        <w:t>. Это обстоятельство используется для лечения больных бронхиальной астмой в возвышенных микроклиматических районах.</w:t>
      </w:r>
    </w:p>
    <w:p w14:paraId="059113E2" w14:textId="6ADA00A4"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Зима умеренно мягкая, сухая, с неустойчивым снежным покровом, холода наступают обычно во второй половине ноября. Самые холодные дни бывают в январе -4°C, но при вторжении холодного воздуха температура может понизиться до -20°C, а при оттепелях повыситься до +18 – (+19°C). Зимой много солнечных дней, в течение дня солнце светит не менее 4 часов, ветры бывают очень редко. В это время года выпадает в среднем 41 мм осадков в виде дождя и снега. Устойчивый снежный покров не образуется, и снег быстро тает.</w:t>
      </w:r>
    </w:p>
    <w:p w14:paraId="29B47DAD"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Весна наступает позже, чем в других городах Кавказских Минеральных Вод, погода изменчива, особенно в апреле, ветрена, наблюдается смена дождей снегопадом, теплой погоды – холодной. В апреле количество пасмурных дней небольшое. Весной выпадает 158 мм осадков.</w:t>
      </w:r>
    </w:p>
    <w:p w14:paraId="0C460EA6" w14:textId="77777777" w:rsidR="00171AA8" w:rsidRPr="00731FE2" w:rsidRDefault="007935AB" w:rsidP="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Cs w:val="24"/>
        </w:rPr>
      </w:pPr>
      <w:r w:rsidRPr="00731FE2">
        <w:rPr>
          <w:noProof/>
          <w:lang w:eastAsia="ru-RU"/>
        </w:rPr>
        <w:drawing>
          <wp:inline distT="0" distB="0" distL="0" distR="0" wp14:anchorId="5BEFDEBE" wp14:editId="426B5D61">
            <wp:extent cx="4856931" cy="2483317"/>
            <wp:effectExtent l="0" t="0" r="127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248284" name=""/>
                    <pic:cNvPicPr>
                      <a:picLocks noChangeAspect="1"/>
                    </pic:cNvPicPr>
                  </pic:nvPicPr>
                  <pic:blipFill>
                    <a:blip r:embed="rId12"/>
                    <a:stretch/>
                  </pic:blipFill>
                  <pic:spPr bwMode="auto">
                    <a:xfrm>
                      <a:off x="0" y="0"/>
                      <a:ext cx="4906771" cy="2508800"/>
                    </a:xfrm>
                    <a:prstGeom prst="rect">
                      <a:avLst/>
                    </a:prstGeom>
                  </pic:spPr>
                </pic:pic>
              </a:graphicData>
            </a:graphic>
          </wp:inline>
        </w:drawing>
      </w:r>
    </w:p>
    <w:p w14:paraId="76AC9DA4" w14:textId="77777777" w:rsidR="00171AA8" w:rsidRPr="00731FE2" w:rsidRDefault="007935AB">
      <w:pPr>
        <w:pStyle w:val="af3"/>
        <w:rPr>
          <w:sz w:val="24"/>
          <w:szCs w:val="24"/>
        </w:rPr>
      </w:pPr>
      <w:r w:rsidRPr="00731FE2">
        <w:rPr>
          <w:sz w:val="24"/>
          <w:szCs w:val="24"/>
        </w:rPr>
        <w:lastRenderedPageBreak/>
        <w:t xml:space="preserve">Рисунок </w:t>
      </w:r>
      <w:r w:rsidRPr="00731FE2">
        <w:rPr>
          <w:sz w:val="24"/>
          <w:szCs w:val="24"/>
        </w:rPr>
        <w:fldChar w:fldCharType="begin"/>
      </w:r>
      <w:r w:rsidRPr="00731FE2">
        <w:rPr>
          <w:sz w:val="24"/>
          <w:szCs w:val="24"/>
        </w:rPr>
        <w:instrText xml:space="preserve"> SEQ Рисунок \* Arabic </w:instrText>
      </w:r>
      <w:r w:rsidRPr="00731FE2">
        <w:rPr>
          <w:sz w:val="24"/>
          <w:szCs w:val="24"/>
        </w:rPr>
        <w:fldChar w:fldCharType="separate"/>
      </w:r>
      <w:r w:rsidR="00C50915" w:rsidRPr="00731FE2">
        <w:rPr>
          <w:noProof/>
          <w:sz w:val="24"/>
          <w:szCs w:val="24"/>
        </w:rPr>
        <w:t>3</w:t>
      </w:r>
      <w:r w:rsidRPr="00731FE2">
        <w:rPr>
          <w:sz w:val="24"/>
          <w:szCs w:val="24"/>
        </w:rPr>
        <w:fldChar w:fldCharType="end"/>
      </w:r>
      <w:r w:rsidRPr="00731FE2">
        <w:rPr>
          <w:sz w:val="24"/>
          <w:szCs w:val="24"/>
        </w:rPr>
        <w:t xml:space="preserve"> – Количество осадков в г. Кисловодске</w:t>
      </w:r>
      <w:r w:rsidRPr="00731FE2">
        <w:rPr>
          <w:rStyle w:val="afb"/>
          <w:sz w:val="24"/>
          <w:szCs w:val="24"/>
        </w:rPr>
        <w:footnoteReference w:id="9"/>
      </w:r>
    </w:p>
    <w:p w14:paraId="57288447" w14:textId="77777777" w:rsidR="00171AA8" w:rsidRPr="00731FE2" w:rsidRDefault="00171AA8">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p>
    <w:p w14:paraId="4867809E"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Лето продолжительное (около 5 месяцев), никогда не бывает жарким, вечером и ранним утром всегда прохладно, средняя температура июля-августа до +19°C, дожди кратковременные, но летом их выпадает наибольшее количество – до 297 мм.</w:t>
      </w:r>
    </w:p>
    <w:p w14:paraId="45BE0BA9"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Устойчивая осень начинается с сентября. Солнечная сухая погода держится обычно до ноября. В этот период осадков выпадает мало, погода – безветренная и солнечная. Всего осенью выпадает до 106 мм осадков в среднем.</w:t>
      </w:r>
    </w:p>
    <w:p w14:paraId="26D21934"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Характерной особенностью климата Кисловодска является высокая суммарная солнечная радиация, обусловленная высокой прозрачностью воздуха и незначительной облачностью. Солнечная радиация быстро увеличивается по мере подъема в горы. В среднем над Кисловодском солнце светит 5,8 часов в день, а за год эта величина достигает 2106 часов. Интенсивность прямой и рассеянной солнечной радиации в городе-курорте Кисловодске значительна, как летом, так и зимой. В зимний период, благодаря уменьшению пыли и влаги, воздух особенно чист и напряжение прямой солнечной радиации высокое, даже при низком стоянии солнца.</w:t>
      </w:r>
    </w:p>
    <w:p w14:paraId="651DAC51"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Влияние высоты местности проявляется и на режиме биологически активной ультрафиолетовой солнечной радиации (длина волн от 280 до 400 нм). Ее максимальные значения в безоблачные дни достигают 420 мэр/м</w:t>
      </w:r>
      <w:proofErr w:type="gramStart"/>
      <w:r w:rsidRPr="00731FE2">
        <w:rPr>
          <w:rFonts w:ascii="Times New Roman" w:eastAsia="Times New Roman" w:hAnsi="Times New Roman" w:cs="Times New Roman"/>
          <w:color w:val="000000"/>
          <w:szCs w:val="24"/>
          <w:vertAlign w:val="superscript"/>
        </w:rPr>
        <w:t>2</w:t>
      </w:r>
      <w:proofErr w:type="gramEnd"/>
      <w:r w:rsidRPr="00731FE2">
        <w:rPr>
          <w:rFonts w:ascii="Times New Roman" w:eastAsia="Times New Roman" w:hAnsi="Times New Roman" w:cs="Times New Roman"/>
          <w:color w:val="000000"/>
          <w:szCs w:val="24"/>
        </w:rPr>
        <w:t xml:space="preserve"> летом и 50 мэр/м</w:t>
      </w:r>
      <w:r w:rsidRPr="00731FE2">
        <w:rPr>
          <w:rFonts w:ascii="Times New Roman" w:eastAsia="Times New Roman" w:hAnsi="Times New Roman" w:cs="Times New Roman"/>
          <w:color w:val="000000"/>
          <w:szCs w:val="24"/>
          <w:vertAlign w:val="superscript"/>
        </w:rPr>
        <w:t>2</w:t>
      </w:r>
      <w:r w:rsidRPr="00731FE2">
        <w:rPr>
          <w:rFonts w:ascii="Times New Roman" w:eastAsia="Times New Roman" w:hAnsi="Times New Roman" w:cs="Times New Roman"/>
          <w:color w:val="000000"/>
          <w:szCs w:val="24"/>
        </w:rPr>
        <w:t xml:space="preserve"> – зимой.</w:t>
      </w:r>
    </w:p>
    <w:p w14:paraId="3E6883C1" w14:textId="77777777" w:rsidR="00171AA8" w:rsidRPr="00731FE2" w:rsidRDefault="007935AB">
      <w:pPr>
        <w:pBdr>
          <w:top w:val="none" w:sz="4" w:space="0" w:color="000000"/>
          <w:left w:val="none" w:sz="4" w:space="0" w:color="000000"/>
          <w:bottom w:val="none" w:sz="4" w:space="0" w:color="000000"/>
          <w:right w:val="none" w:sz="4" w:space="0" w:color="000000"/>
        </w:pBdr>
        <w:spacing w:line="253" w:lineRule="atLeast"/>
        <w:ind w:firstLine="0"/>
        <w:jc w:val="center"/>
      </w:pPr>
      <w:r w:rsidRPr="00731FE2">
        <w:rPr>
          <w:noProof/>
          <w:lang w:eastAsia="ru-RU"/>
        </w:rPr>
        <w:drawing>
          <wp:inline distT="0" distB="0" distL="0" distR="0" wp14:anchorId="079A39CB" wp14:editId="42A7C65C">
            <wp:extent cx="3301025" cy="3733134"/>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015618" name=""/>
                    <pic:cNvPicPr>
                      <a:picLocks noChangeAspect="1"/>
                    </pic:cNvPicPr>
                  </pic:nvPicPr>
                  <pic:blipFill>
                    <a:blip r:embed="rId13"/>
                    <a:stretch/>
                  </pic:blipFill>
                  <pic:spPr bwMode="auto">
                    <a:xfrm>
                      <a:off x="0" y="0"/>
                      <a:ext cx="3301025" cy="3733133"/>
                    </a:xfrm>
                    <a:prstGeom prst="rect">
                      <a:avLst/>
                    </a:prstGeom>
                  </pic:spPr>
                </pic:pic>
              </a:graphicData>
            </a:graphic>
          </wp:inline>
        </w:drawing>
      </w:r>
    </w:p>
    <w:p w14:paraId="4A936545" w14:textId="77777777" w:rsidR="00171AA8" w:rsidRPr="00731FE2" w:rsidRDefault="007935AB">
      <w:pPr>
        <w:pStyle w:val="af3"/>
        <w:rPr>
          <w:sz w:val="24"/>
          <w:szCs w:val="24"/>
        </w:rPr>
      </w:pPr>
      <w:r w:rsidRPr="00731FE2">
        <w:rPr>
          <w:sz w:val="24"/>
          <w:szCs w:val="24"/>
        </w:rPr>
        <w:t xml:space="preserve">Рисунок </w:t>
      </w:r>
      <w:r w:rsidRPr="00731FE2">
        <w:rPr>
          <w:sz w:val="24"/>
          <w:szCs w:val="24"/>
        </w:rPr>
        <w:fldChar w:fldCharType="begin"/>
      </w:r>
      <w:r w:rsidRPr="00731FE2">
        <w:rPr>
          <w:sz w:val="24"/>
          <w:szCs w:val="24"/>
        </w:rPr>
        <w:instrText xml:space="preserve"> SEQ Рисунок \* Arabic </w:instrText>
      </w:r>
      <w:r w:rsidRPr="00731FE2">
        <w:rPr>
          <w:sz w:val="24"/>
          <w:szCs w:val="24"/>
        </w:rPr>
        <w:fldChar w:fldCharType="separate"/>
      </w:r>
      <w:r w:rsidR="00C50915" w:rsidRPr="00731FE2">
        <w:rPr>
          <w:noProof/>
          <w:sz w:val="24"/>
          <w:szCs w:val="24"/>
        </w:rPr>
        <w:t>4</w:t>
      </w:r>
      <w:r w:rsidRPr="00731FE2">
        <w:rPr>
          <w:sz w:val="24"/>
          <w:szCs w:val="24"/>
        </w:rPr>
        <w:fldChar w:fldCharType="end"/>
      </w:r>
      <w:r w:rsidRPr="00731FE2">
        <w:rPr>
          <w:sz w:val="24"/>
          <w:szCs w:val="24"/>
        </w:rPr>
        <w:t xml:space="preserve"> – Роза ветров на территории города-курорта Кисловодска</w:t>
      </w:r>
      <w:r w:rsidRPr="00731FE2">
        <w:rPr>
          <w:rStyle w:val="afb"/>
          <w:sz w:val="24"/>
          <w:szCs w:val="24"/>
        </w:rPr>
        <w:footnoteReference w:id="10"/>
      </w:r>
    </w:p>
    <w:p w14:paraId="13A0DFF6" w14:textId="77777777" w:rsidR="00171AA8" w:rsidRPr="00731FE2" w:rsidRDefault="00171AA8">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p>
    <w:p w14:paraId="1DBC9651" w14:textId="77777777" w:rsidR="007935AB" w:rsidRPr="00731FE2" w:rsidRDefault="007935AB" w:rsidP="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 xml:space="preserve">Чистота воздуха и высокая биологически активная ультрафиолетовая солнечная радиация обусловливают повышенный фон отрицательно </w:t>
      </w:r>
      <w:proofErr w:type="gramStart"/>
      <w:r w:rsidRPr="00731FE2">
        <w:rPr>
          <w:rFonts w:ascii="Times New Roman" w:eastAsia="Times New Roman" w:hAnsi="Times New Roman" w:cs="Times New Roman"/>
          <w:color w:val="000000"/>
          <w:szCs w:val="24"/>
        </w:rPr>
        <w:t>заряженных</w:t>
      </w:r>
      <w:proofErr w:type="gramEnd"/>
      <w:r w:rsidRPr="00731FE2">
        <w:rPr>
          <w:rFonts w:ascii="Times New Roman" w:eastAsia="Times New Roman" w:hAnsi="Times New Roman" w:cs="Times New Roman"/>
          <w:color w:val="000000"/>
          <w:szCs w:val="24"/>
        </w:rPr>
        <w:t xml:space="preserve"> аэроионов в </w:t>
      </w:r>
      <w:r w:rsidRPr="00731FE2">
        <w:rPr>
          <w:rFonts w:ascii="Times New Roman" w:eastAsia="Times New Roman" w:hAnsi="Times New Roman" w:cs="Times New Roman"/>
          <w:color w:val="000000"/>
          <w:szCs w:val="24"/>
        </w:rPr>
        <w:lastRenderedPageBreak/>
        <w:t>приземном слое воздуха. Такой воздух весьма благоприятен для больных, т.к. окислительные свойства кислорода в нем значительно выше, чем, даже, на приморских курортах. Близость Главного Кавказского хребта создает движение воздуха в верхних слоях, Джинальский и Боргустанский хребты защищают его от сильных восточных и северо-восточных ветров, движущихся в нижних слоях атмосферы, значительно их ослабляют и превращают в благоприятный фен.</w:t>
      </w:r>
    </w:p>
    <w:p w14:paraId="66DF72DF"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 xml:space="preserve">Ветры чаще всего бывают ранней весной и поздней осенью. </w:t>
      </w:r>
      <w:proofErr w:type="gramStart"/>
      <w:r w:rsidRPr="00731FE2">
        <w:rPr>
          <w:rFonts w:ascii="Times New Roman" w:eastAsia="Times New Roman" w:hAnsi="Times New Roman" w:cs="Times New Roman"/>
          <w:color w:val="000000"/>
          <w:szCs w:val="24"/>
        </w:rPr>
        <w:t>Скорость их не превышает 4,0 м/с. Сильные ветры со скоростью от 6,0 до 11 м/с, затрудняющие дыхание и вызывающие большую теплоотдачу, бывают очень редко.</w:t>
      </w:r>
      <w:proofErr w:type="gramEnd"/>
      <w:r w:rsidRPr="00731FE2">
        <w:rPr>
          <w:rFonts w:ascii="Times New Roman" w:eastAsia="Times New Roman" w:hAnsi="Times New Roman" w:cs="Times New Roman"/>
          <w:color w:val="000000"/>
          <w:szCs w:val="24"/>
        </w:rPr>
        <w:t xml:space="preserve"> Средняя скорость ветра на рассматриваемой территории составляет, 2,2 м/с. Ветровой режим благоприятен и способствует климатолечению и рекреационным мероприятиям.</w:t>
      </w:r>
    </w:p>
    <w:p w14:paraId="2546BFDD"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b/>
          <w:bCs/>
          <w:color w:val="000000"/>
          <w:szCs w:val="24"/>
        </w:rPr>
      </w:pPr>
      <w:r w:rsidRPr="00731FE2">
        <w:rPr>
          <w:rFonts w:ascii="Times New Roman" w:eastAsia="Times New Roman" w:hAnsi="Times New Roman" w:cs="Times New Roman"/>
          <w:b/>
          <w:bCs/>
          <w:color w:val="000000"/>
          <w:szCs w:val="24"/>
        </w:rPr>
        <w:t xml:space="preserve">В целом, климат города-курорта Кисловодска умеренно-континентальный, с большим количеством солнечных дней. Отсутствие туманов, благоприятный ветровой режим при относительно низкой влажности в зимний период, делает климат исключительно </w:t>
      </w:r>
      <w:proofErr w:type="gramStart"/>
      <w:r w:rsidRPr="00731FE2">
        <w:rPr>
          <w:rFonts w:ascii="Times New Roman" w:eastAsia="Times New Roman" w:hAnsi="Times New Roman" w:cs="Times New Roman"/>
          <w:b/>
          <w:bCs/>
          <w:color w:val="000000"/>
          <w:szCs w:val="24"/>
        </w:rPr>
        <w:t>полезным</w:t>
      </w:r>
      <w:proofErr w:type="gramEnd"/>
      <w:r w:rsidRPr="00731FE2">
        <w:rPr>
          <w:rFonts w:ascii="Times New Roman" w:eastAsia="Times New Roman" w:hAnsi="Times New Roman" w:cs="Times New Roman"/>
          <w:b/>
          <w:bCs/>
          <w:color w:val="000000"/>
          <w:szCs w:val="24"/>
        </w:rPr>
        <w:t xml:space="preserve"> как для здоровых людей, так и для лечения больных с самыми разнообразными заболеваниями, причём, в различные сезоны года.</w:t>
      </w:r>
    </w:p>
    <w:p w14:paraId="263B3583" w14:textId="77777777" w:rsidR="00171AA8" w:rsidRPr="00731FE2" w:rsidRDefault="007935AB">
      <w:pPr>
        <w:pStyle w:val="33"/>
      </w:pPr>
      <w:bookmarkStart w:id="14" w:name="_Toc177392770"/>
      <w:r w:rsidRPr="00731FE2">
        <w:rPr>
          <w:rFonts w:ascii="Times New Roman" w:hAnsi="Times New Roman" w:cs="Times New Roman"/>
        </w:rPr>
        <w:t>2.2.3 Почвенные ресурсы</w:t>
      </w:r>
      <w:bookmarkEnd w:id="14"/>
    </w:p>
    <w:p w14:paraId="4880AD38"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 xml:space="preserve">Почвенный покров городского округа города-курорта Кисловодска представляют мозаичную картину, которая определяется экспозицией склона, литологическим составом отложений, растительностью и другими факторами. На исследуемой территории выделяются различные типы почв. </w:t>
      </w:r>
    </w:p>
    <w:p w14:paraId="0B8213E4"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Горные дерново-подзолистые почвы развиваются исключительно под пологом древесной растительности на высоте 1000-1200 м. Они занимают северные, северо-западные и западные крутые и обрывистые склоны Змеевой и Широкой балок.</w:t>
      </w:r>
    </w:p>
    <w:p w14:paraId="1841BD70"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На северном крутом склоне балки Широкой развитие травянистого покрова способствовало пополнению подзолистого горизонта перегнойными веществами. На первой и второй трети северных склонов Широкой и частью Глухой балки, получили развитие серые лесные легкосуглинистые и супесчаные почвы. Горные серые лесные почвы формируются на северных склонах, на высотах от 980 до 1180 м на глауконито-кварцевом песчанике. Они обладают легкосуглинистым и супесчаным механическим составом. Мощность перегнойного слоя колеблется в пределах от 20 до 35 см, а горизонт</w:t>
      </w:r>
      <w:proofErr w:type="gramStart"/>
      <w:r w:rsidRPr="00731FE2">
        <w:rPr>
          <w:rFonts w:ascii="Times New Roman" w:eastAsia="Times New Roman" w:hAnsi="Times New Roman" w:cs="Times New Roman"/>
          <w:color w:val="000000"/>
          <w:szCs w:val="24"/>
        </w:rPr>
        <w:t xml:space="preserve"> А</w:t>
      </w:r>
      <w:proofErr w:type="gramEnd"/>
      <w:r w:rsidRPr="00731FE2">
        <w:rPr>
          <w:rFonts w:ascii="Times New Roman" w:eastAsia="Times New Roman" w:hAnsi="Times New Roman" w:cs="Times New Roman"/>
          <w:color w:val="000000"/>
          <w:szCs w:val="24"/>
        </w:rPr>
        <w:t xml:space="preserve">+В – от 35 до 70 см. На поверхности перегнойного горизонта имеется подстилка мощностью до 1-2 см. </w:t>
      </w:r>
    </w:p>
    <w:p w14:paraId="2D0D4097"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 xml:space="preserve">Горные темно-серые лесные почвы развиваются на северо-западных склонах, занимая высоты от 1000 до 1200 м над уровнем моря и на северных склонах от 900 до 1000 – 1080 м. Эти почвы формируются на тех же песчаниках, что и серые почвы. Они занимают одинаковое местоположение и экспозицию с дерново-подзолистыми почвами на склонах Змеевой балки. Количество гумуса в перегнойном горизонте темно-серых почв составляет около 6%. </w:t>
      </w:r>
    </w:p>
    <w:p w14:paraId="70739E98"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Горный выщелоченный чернозем занимает по экспозиции северные склоны балок Глухой, Широкой и Красное солнышко. Он формируется на глауконито-кварцевом песчанике, продуктах его выветривания. Горизонт</w:t>
      </w:r>
      <w:proofErr w:type="gramStart"/>
      <w:r w:rsidRPr="00731FE2">
        <w:rPr>
          <w:rFonts w:ascii="Times New Roman" w:eastAsia="Times New Roman" w:hAnsi="Times New Roman" w:cs="Times New Roman"/>
          <w:color w:val="000000"/>
          <w:szCs w:val="24"/>
        </w:rPr>
        <w:t xml:space="preserve"> А</w:t>
      </w:r>
      <w:proofErr w:type="gramEnd"/>
      <w:r w:rsidRPr="00731FE2">
        <w:rPr>
          <w:rFonts w:ascii="Times New Roman" w:eastAsia="Times New Roman" w:hAnsi="Times New Roman" w:cs="Times New Roman"/>
          <w:color w:val="000000"/>
          <w:szCs w:val="24"/>
        </w:rPr>
        <w:t xml:space="preserve"> имеет мощность от 32 до 60 см, горизонт А+В от 60 до 120 см для супесчаных и суглинистых разностей. Количество гумуса в перегнойном горизонте колеблется в пределах от 5,3 до 8,8%. </w:t>
      </w:r>
    </w:p>
    <w:p w14:paraId="1E9820D6"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lastRenderedPageBreak/>
        <w:t xml:space="preserve">В области Синих гор, Васюковой балки и Малого седла формируется выщелоченный чернозем, переходный к горно-луговым почвам. Отличительные признаки данного типа почв: хорошая задернованность, зернистая структура горизонта А. Горизонт </w:t>
      </w:r>
      <w:proofErr w:type="gramStart"/>
      <w:r w:rsidRPr="00731FE2">
        <w:rPr>
          <w:rFonts w:ascii="Times New Roman" w:eastAsia="Times New Roman" w:hAnsi="Times New Roman" w:cs="Times New Roman"/>
          <w:color w:val="000000"/>
          <w:szCs w:val="24"/>
        </w:rPr>
        <w:t>В</w:t>
      </w:r>
      <w:proofErr w:type="gramEnd"/>
      <w:r w:rsidRPr="00731FE2">
        <w:rPr>
          <w:rFonts w:ascii="Times New Roman" w:eastAsia="Times New Roman" w:hAnsi="Times New Roman" w:cs="Times New Roman"/>
          <w:color w:val="000000"/>
          <w:szCs w:val="24"/>
        </w:rPr>
        <w:t xml:space="preserve"> значительно уплотнен. Мощность горизонта</w:t>
      </w:r>
      <w:proofErr w:type="gramStart"/>
      <w:r w:rsidRPr="00731FE2">
        <w:rPr>
          <w:rFonts w:ascii="Times New Roman" w:eastAsia="Times New Roman" w:hAnsi="Times New Roman" w:cs="Times New Roman"/>
          <w:color w:val="000000"/>
          <w:szCs w:val="24"/>
        </w:rPr>
        <w:t xml:space="preserve"> А</w:t>
      </w:r>
      <w:proofErr w:type="gramEnd"/>
      <w:r w:rsidRPr="00731FE2">
        <w:rPr>
          <w:rFonts w:ascii="Times New Roman" w:eastAsia="Times New Roman" w:hAnsi="Times New Roman" w:cs="Times New Roman"/>
          <w:color w:val="000000"/>
          <w:szCs w:val="24"/>
        </w:rPr>
        <w:t xml:space="preserve"> 50 – 55 см, горизонта А+В 100 – 120 см; вскипания до глубины 150 см не обнаружено. Количество гумуса в черноземе, переходном к горно-луговым почвам от 8,2 до 10% и значительно превышает содержание гумуса в горных выщелоченных черноземах, уменьшается степень насыщенности почв основаниями, что указывает на качество гумуса. Ниже горного выщелоченного чернозема залегает горный обыкновенный чернозем. </w:t>
      </w:r>
    </w:p>
    <w:p w14:paraId="4D306FB5" w14:textId="77777777" w:rsidR="00171AA8" w:rsidRPr="00731FE2" w:rsidRDefault="007935AB">
      <w:pPr>
        <w:pBdr>
          <w:top w:val="none" w:sz="4" w:space="0" w:color="000000"/>
          <w:left w:val="none" w:sz="4" w:space="0" w:color="000000"/>
          <w:bottom w:val="none" w:sz="4" w:space="0" w:color="000000"/>
          <w:right w:val="none" w:sz="4" w:space="0" w:color="000000"/>
        </w:pBdr>
        <w:rPr>
          <w:b/>
          <w:bCs/>
        </w:rPr>
      </w:pPr>
      <w:r w:rsidRPr="00731FE2">
        <w:rPr>
          <w:rFonts w:ascii="Times New Roman" w:eastAsia="Times New Roman" w:hAnsi="Times New Roman" w:cs="Times New Roman"/>
          <w:b/>
          <w:bCs/>
          <w:color w:val="000000"/>
          <w:szCs w:val="24"/>
        </w:rPr>
        <w:t>На территории городского округа почвы имеют мозаичную структуру, в зависимости от рельефа и других условий. Большинство почв не обладают большой сельскохозяйственной ценностью, поскольку отличаются небольшой долей гумуса в почвах.</w:t>
      </w:r>
      <w:r w:rsidRPr="00731FE2">
        <w:rPr>
          <w:b/>
          <w:bCs/>
        </w:rPr>
        <w:t xml:space="preserve"> </w:t>
      </w:r>
    </w:p>
    <w:p w14:paraId="563A54E9" w14:textId="77777777" w:rsidR="00171AA8" w:rsidRPr="00731FE2" w:rsidRDefault="007935AB">
      <w:pPr>
        <w:pStyle w:val="33"/>
      </w:pPr>
      <w:bookmarkStart w:id="15" w:name="_Toc177392771"/>
      <w:r w:rsidRPr="00731FE2">
        <w:rPr>
          <w:rFonts w:ascii="Times New Roman" w:hAnsi="Times New Roman" w:cs="Times New Roman"/>
        </w:rPr>
        <w:t>2.2.4 Водные ресурсы</w:t>
      </w:r>
      <w:bookmarkEnd w:id="15"/>
    </w:p>
    <w:p w14:paraId="16D8468A"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Водные ресурсы городского округа города-курорта Кисловодска представлены поверхностными и подземными водами.</w:t>
      </w:r>
    </w:p>
    <w:p w14:paraId="0216D216"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b/>
          <w:bCs/>
          <w:color w:val="000000"/>
          <w:szCs w:val="24"/>
        </w:rPr>
        <w:t xml:space="preserve">Поверхностные воды </w:t>
      </w:r>
      <w:r w:rsidRPr="00731FE2">
        <w:rPr>
          <w:rFonts w:ascii="Times New Roman" w:eastAsia="Times New Roman" w:hAnsi="Times New Roman" w:cs="Times New Roman"/>
          <w:color w:val="000000"/>
          <w:szCs w:val="24"/>
        </w:rPr>
        <w:t xml:space="preserve">на территории городского округа представлены реками Подкумок, Аликоновка, Березовая, Ольховка, Белая и их притоками, которые относятся к бассейну </w:t>
      </w:r>
      <w:r w:rsidR="00A31712" w:rsidRPr="00731FE2">
        <w:rPr>
          <w:rFonts w:ascii="Times New Roman" w:eastAsia="Times New Roman" w:hAnsi="Times New Roman" w:cs="Times New Roman"/>
          <w:color w:val="000000"/>
          <w:szCs w:val="24"/>
        </w:rPr>
        <w:t>р. Кумы</w:t>
      </w:r>
      <w:r w:rsidRPr="00731FE2">
        <w:rPr>
          <w:rFonts w:ascii="Times New Roman" w:eastAsia="Times New Roman" w:hAnsi="Times New Roman" w:cs="Times New Roman"/>
          <w:color w:val="000000"/>
          <w:szCs w:val="24"/>
        </w:rPr>
        <w:t>, а также озерами «Новое», «Старое» и рыбохозяйственными прудами. Для питьевого водоснабжения из-за сильной загрязнённости поверхностные воды не пригодны.</w:t>
      </w:r>
    </w:p>
    <w:p w14:paraId="40864114" w14:textId="77777777" w:rsidR="00171AA8" w:rsidRPr="00731FE2" w:rsidRDefault="00171AA8">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p>
    <w:p w14:paraId="797B60C0" w14:textId="77777777" w:rsidR="00171AA8" w:rsidRPr="00731FE2" w:rsidRDefault="007935AB">
      <w:pPr>
        <w:pStyle w:val="af3"/>
        <w:rPr>
          <w:sz w:val="24"/>
          <w:szCs w:val="24"/>
        </w:rPr>
      </w:pPr>
      <w:r w:rsidRPr="00731FE2">
        <w:rPr>
          <w:sz w:val="24"/>
          <w:szCs w:val="24"/>
        </w:rPr>
        <w:t xml:space="preserve">Таблица </w:t>
      </w:r>
      <w:r w:rsidRPr="00731FE2">
        <w:rPr>
          <w:sz w:val="24"/>
          <w:szCs w:val="24"/>
        </w:rPr>
        <w:fldChar w:fldCharType="begin"/>
      </w:r>
      <w:r w:rsidRPr="00731FE2">
        <w:rPr>
          <w:sz w:val="24"/>
          <w:szCs w:val="24"/>
        </w:rPr>
        <w:instrText xml:space="preserve"> SEQ Таблица \* Arabic </w:instrText>
      </w:r>
      <w:r w:rsidRPr="00731FE2">
        <w:rPr>
          <w:sz w:val="24"/>
          <w:szCs w:val="24"/>
        </w:rPr>
        <w:fldChar w:fldCharType="separate"/>
      </w:r>
      <w:r w:rsidR="00C50915" w:rsidRPr="00731FE2">
        <w:rPr>
          <w:noProof/>
          <w:sz w:val="24"/>
          <w:szCs w:val="24"/>
        </w:rPr>
        <w:t>3</w:t>
      </w:r>
      <w:r w:rsidRPr="00731FE2">
        <w:rPr>
          <w:sz w:val="24"/>
          <w:szCs w:val="24"/>
        </w:rPr>
        <w:fldChar w:fldCharType="end"/>
      </w:r>
      <w:r w:rsidRPr="00731FE2">
        <w:rPr>
          <w:sz w:val="24"/>
          <w:szCs w:val="24"/>
        </w:rPr>
        <w:t xml:space="preserve"> – Объем годового стока р. Подкумок и его притоков</w:t>
      </w:r>
      <w:r w:rsidRPr="00731FE2">
        <w:rPr>
          <w:rStyle w:val="afb"/>
          <w:sz w:val="24"/>
          <w:szCs w:val="24"/>
          <w:vertAlign w:val="superscript"/>
        </w:rPr>
        <w:footnoteReference w:id="11"/>
      </w:r>
    </w:p>
    <w:tbl>
      <w:tblPr>
        <w:tblStyle w:val="afe"/>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ayout w:type="fixed"/>
        <w:tblLook w:val="04A0" w:firstRow="1" w:lastRow="0" w:firstColumn="1" w:lastColumn="0" w:noHBand="0" w:noVBand="1"/>
      </w:tblPr>
      <w:tblGrid>
        <w:gridCol w:w="1984"/>
        <w:gridCol w:w="1701"/>
        <w:gridCol w:w="1559"/>
        <w:gridCol w:w="1984"/>
        <w:gridCol w:w="2127"/>
      </w:tblGrid>
      <w:tr w:rsidR="00171AA8" w:rsidRPr="00731FE2" w14:paraId="66F901D3" w14:textId="77777777">
        <w:trPr>
          <w:trHeight w:val="236"/>
        </w:trPr>
        <w:tc>
          <w:tcPr>
            <w:tcW w:w="1984"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D3B9758"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b/>
                <w:bCs/>
                <w:color w:val="000000"/>
                <w:sz w:val="22"/>
              </w:rPr>
            </w:pPr>
            <w:r w:rsidRPr="00731FE2">
              <w:rPr>
                <w:rFonts w:ascii="Times New Roman" w:eastAsia="Times New Roman" w:hAnsi="Times New Roman" w:cs="Times New Roman"/>
                <w:b/>
                <w:bCs/>
                <w:color w:val="000000"/>
                <w:sz w:val="22"/>
              </w:rPr>
              <w:t>Река – пункт</w:t>
            </w:r>
          </w:p>
        </w:tc>
        <w:tc>
          <w:tcPr>
            <w:tcW w:w="1701"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29CC88"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b/>
                <w:bCs/>
                <w:color w:val="000000"/>
                <w:sz w:val="22"/>
              </w:rPr>
            </w:pPr>
            <w:r w:rsidRPr="00731FE2">
              <w:rPr>
                <w:rFonts w:ascii="Times New Roman" w:eastAsia="Times New Roman" w:hAnsi="Times New Roman" w:cs="Times New Roman"/>
                <w:b/>
                <w:bCs/>
                <w:color w:val="000000"/>
                <w:sz w:val="22"/>
              </w:rPr>
              <w:t>Площадь водосбора, км</w:t>
            </w:r>
            <w:proofErr w:type="gramStart"/>
            <w:r w:rsidRPr="00731FE2">
              <w:rPr>
                <w:rFonts w:ascii="Times New Roman" w:eastAsia="Times New Roman" w:hAnsi="Times New Roman" w:cs="Times New Roman"/>
                <w:b/>
                <w:bCs/>
                <w:color w:val="000000"/>
                <w:sz w:val="22"/>
                <w:vertAlign w:val="superscript"/>
              </w:rPr>
              <w:t>2</w:t>
            </w:r>
            <w:proofErr w:type="gramEnd"/>
          </w:p>
        </w:tc>
        <w:tc>
          <w:tcPr>
            <w:tcW w:w="5670"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9854C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b/>
                <w:bCs/>
                <w:color w:val="000000"/>
                <w:sz w:val="22"/>
              </w:rPr>
            </w:pPr>
            <w:r w:rsidRPr="00731FE2">
              <w:rPr>
                <w:rFonts w:ascii="Times New Roman" w:eastAsia="Times New Roman" w:hAnsi="Times New Roman" w:cs="Times New Roman"/>
                <w:b/>
                <w:bCs/>
                <w:color w:val="000000"/>
                <w:sz w:val="22"/>
              </w:rPr>
              <w:t>Расходы, м</w:t>
            </w:r>
            <w:r w:rsidRPr="00731FE2">
              <w:rPr>
                <w:rFonts w:ascii="Times New Roman" w:eastAsia="Times New Roman" w:hAnsi="Times New Roman" w:cs="Times New Roman"/>
                <w:b/>
                <w:bCs/>
                <w:color w:val="000000"/>
                <w:sz w:val="22"/>
                <w:vertAlign w:val="superscript"/>
              </w:rPr>
              <w:t>3</w:t>
            </w:r>
            <w:r w:rsidRPr="00731FE2">
              <w:rPr>
                <w:rFonts w:ascii="Times New Roman" w:eastAsia="Times New Roman" w:hAnsi="Times New Roman" w:cs="Times New Roman"/>
                <w:b/>
                <w:bCs/>
                <w:color w:val="000000"/>
                <w:sz w:val="22"/>
              </w:rPr>
              <w:t>/сек</w:t>
            </w:r>
          </w:p>
        </w:tc>
      </w:tr>
      <w:tr w:rsidR="00171AA8" w:rsidRPr="00731FE2" w14:paraId="2E22CC51" w14:textId="77777777">
        <w:tc>
          <w:tcPr>
            <w:tcW w:w="1984" w:type="dxa"/>
            <w:vMerge/>
            <w:tcBorders>
              <w:top w:val="single" w:sz="4" w:space="0" w:color="000000"/>
              <w:left w:val="single" w:sz="4" w:space="0" w:color="000000"/>
              <w:bottom w:val="single" w:sz="4" w:space="0" w:color="000000"/>
              <w:right w:val="single" w:sz="4" w:space="0" w:color="000000"/>
            </w:tcBorders>
          </w:tcPr>
          <w:p w14:paraId="79C7E9F2" w14:textId="77777777" w:rsidR="00171AA8" w:rsidRPr="00731FE2" w:rsidRDefault="00171AA8"/>
        </w:tc>
        <w:tc>
          <w:tcPr>
            <w:tcW w:w="1701" w:type="dxa"/>
            <w:vMerge/>
            <w:tcBorders>
              <w:top w:val="single" w:sz="4" w:space="0" w:color="000000"/>
              <w:left w:val="single" w:sz="4" w:space="0" w:color="000000"/>
              <w:bottom w:val="single" w:sz="4" w:space="0" w:color="000000"/>
              <w:right w:val="single" w:sz="4" w:space="0" w:color="000000"/>
            </w:tcBorders>
          </w:tcPr>
          <w:p w14:paraId="0566D125" w14:textId="77777777" w:rsidR="00171AA8" w:rsidRPr="00731FE2" w:rsidRDefault="00171AA8"/>
        </w:tc>
        <w:tc>
          <w:tcPr>
            <w:tcW w:w="155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721F07"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b/>
                <w:bCs/>
                <w:color w:val="000000"/>
                <w:sz w:val="22"/>
              </w:rPr>
            </w:pPr>
            <w:r w:rsidRPr="00731FE2">
              <w:rPr>
                <w:rFonts w:ascii="Times New Roman" w:eastAsia="Times New Roman" w:hAnsi="Times New Roman" w:cs="Times New Roman"/>
                <w:b/>
                <w:bCs/>
                <w:color w:val="000000"/>
                <w:sz w:val="22"/>
              </w:rPr>
              <w:t>Средний многолетний</w:t>
            </w:r>
          </w:p>
        </w:tc>
        <w:tc>
          <w:tcPr>
            <w:tcW w:w="19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1D3E4A"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b/>
                <w:bCs/>
                <w:color w:val="000000"/>
                <w:sz w:val="22"/>
              </w:rPr>
            </w:pPr>
            <w:proofErr w:type="gramStart"/>
            <w:r w:rsidRPr="00731FE2">
              <w:rPr>
                <w:rFonts w:ascii="Times New Roman" w:eastAsia="Times New Roman" w:hAnsi="Times New Roman" w:cs="Times New Roman"/>
                <w:b/>
                <w:bCs/>
                <w:color w:val="000000"/>
                <w:sz w:val="22"/>
              </w:rPr>
              <w:t>Наибольший</w:t>
            </w:r>
            <w:proofErr w:type="gramEnd"/>
            <w:r w:rsidRPr="00731FE2">
              <w:rPr>
                <w:rFonts w:ascii="Times New Roman" w:eastAsia="Times New Roman" w:hAnsi="Times New Roman" w:cs="Times New Roman"/>
                <w:b/>
                <w:bCs/>
                <w:color w:val="000000"/>
                <w:sz w:val="22"/>
              </w:rPr>
              <w:t xml:space="preserve"> 1% обеспеченности</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EB6231"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b/>
                <w:bCs/>
                <w:color w:val="000000"/>
                <w:sz w:val="22"/>
              </w:rPr>
            </w:pPr>
            <w:proofErr w:type="gramStart"/>
            <w:r w:rsidRPr="00731FE2">
              <w:rPr>
                <w:rFonts w:ascii="Times New Roman" w:eastAsia="Times New Roman" w:hAnsi="Times New Roman" w:cs="Times New Roman"/>
                <w:b/>
                <w:bCs/>
                <w:color w:val="000000"/>
                <w:sz w:val="22"/>
              </w:rPr>
              <w:t>Наименьший</w:t>
            </w:r>
            <w:proofErr w:type="gramEnd"/>
            <w:r w:rsidRPr="00731FE2">
              <w:rPr>
                <w:rFonts w:ascii="Times New Roman" w:eastAsia="Times New Roman" w:hAnsi="Times New Roman" w:cs="Times New Roman"/>
                <w:b/>
                <w:bCs/>
                <w:color w:val="000000"/>
                <w:sz w:val="22"/>
              </w:rPr>
              <w:t xml:space="preserve"> 95% обеспеченности</w:t>
            </w:r>
          </w:p>
        </w:tc>
      </w:tr>
      <w:tr w:rsidR="00171AA8" w:rsidRPr="00731FE2" w14:paraId="429CECA7" w14:textId="77777777">
        <w:tc>
          <w:tcPr>
            <w:tcW w:w="19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050317"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Подкумок</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543DA8"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1010</w:t>
            </w:r>
          </w:p>
        </w:tc>
        <w:tc>
          <w:tcPr>
            <w:tcW w:w="155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CE27A2"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5,30</w:t>
            </w:r>
          </w:p>
        </w:tc>
        <w:tc>
          <w:tcPr>
            <w:tcW w:w="19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D31DE9"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118</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2F45FE"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1,39</w:t>
            </w:r>
          </w:p>
        </w:tc>
      </w:tr>
      <w:tr w:rsidR="00171AA8" w:rsidRPr="00731FE2" w14:paraId="009B4046" w14:textId="77777777">
        <w:tc>
          <w:tcPr>
            <w:tcW w:w="19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2F922B"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 xml:space="preserve">Берёзовая </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074ABF"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147</w:t>
            </w:r>
          </w:p>
        </w:tc>
        <w:tc>
          <w:tcPr>
            <w:tcW w:w="155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CB5409"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0,86</w:t>
            </w:r>
          </w:p>
        </w:tc>
        <w:tc>
          <w:tcPr>
            <w:tcW w:w="19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639E28"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64,7</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B749E9"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0,28</w:t>
            </w:r>
          </w:p>
        </w:tc>
      </w:tr>
      <w:tr w:rsidR="00171AA8" w:rsidRPr="00731FE2" w14:paraId="39C47154" w14:textId="77777777">
        <w:tc>
          <w:tcPr>
            <w:tcW w:w="19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FD5BA0"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Ольховка</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B0EAAF"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68,8</w:t>
            </w:r>
          </w:p>
        </w:tc>
        <w:tc>
          <w:tcPr>
            <w:tcW w:w="155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280D8B"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0,21</w:t>
            </w:r>
          </w:p>
        </w:tc>
        <w:tc>
          <w:tcPr>
            <w:tcW w:w="19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9C82C1"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27,5</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5130A9"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0,043</w:t>
            </w:r>
          </w:p>
        </w:tc>
      </w:tr>
      <w:tr w:rsidR="00171AA8" w:rsidRPr="00731FE2" w14:paraId="52762877" w14:textId="77777777">
        <w:tc>
          <w:tcPr>
            <w:tcW w:w="19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3C6441"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Аликоновка</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DEE90D"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118</w:t>
            </w:r>
          </w:p>
        </w:tc>
        <w:tc>
          <w:tcPr>
            <w:tcW w:w="155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9F96F3"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0,46</w:t>
            </w:r>
          </w:p>
        </w:tc>
        <w:tc>
          <w:tcPr>
            <w:tcW w:w="19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6ED274"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29,5</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8C6E74"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0,17</w:t>
            </w:r>
          </w:p>
        </w:tc>
      </w:tr>
    </w:tbl>
    <w:p w14:paraId="19FB2C48" w14:textId="77777777" w:rsidR="00171AA8" w:rsidRPr="00731FE2" w:rsidRDefault="00171AA8">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p>
    <w:p w14:paraId="53DE91D5" w14:textId="75DC1A53" w:rsidR="00171AA8" w:rsidRPr="00731FE2" w:rsidRDefault="007935AB" w:rsidP="002505CE">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b/>
          <w:color w:val="000000"/>
          <w:szCs w:val="24"/>
        </w:rPr>
        <w:t>Подземные воды.</w:t>
      </w:r>
      <w:r w:rsidRPr="00731FE2">
        <w:rPr>
          <w:rFonts w:ascii="Times New Roman" w:eastAsia="Times New Roman" w:hAnsi="Times New Roman" w:cs="Times New Roman"/>
          <w:color w:val="000000"/>
          <w:szCs w:val="24"/>
        </w:rPr>
        <w:t xml:space="preserve"> Ресурсы подземных вод представлены пресными и минеральными водами. Запасы пресных подземных вод, используемых в городском округе для водоснабжения, определяются дебитом нескольких источников, расположенных близ города: Лермонтовские источники в долине р. Ольховки, источники «Находка» и «Близнецы» в долине р. Аликоновка в 10 км от города-курорта и источник «Теплушка» в бассейне р. Эшкакон в 18 км от города.</w:t>
      </w:r>
      <w:r w:rsidR="002505CE" w:rsidRPr="00731FE2">
        <w:rPr>
          <w:rFonts w:ascii="Times New Roman" w:eastAsia="Times New Roman" w:hAnsi="Times New Roman" w:cs="Times New Roman"/>
          <w:color w:val="000000"/>
          <w:szCs w:val="24"/>
        </w:rPr>
        <w:t xml:space="preserve"> Аликоновский участок технических подземных вод голоценового водоносного горизонта (скважина № ЛД-1), учтенный государственным балансом подземных вод в рамках лицензии СТВ № 00304 ВЭ на пользование недрами.</w:t>
      </w:r>
    </w:p>
    <w:p w14:paraId="1C8D83C1" w14:textId="77777777" w:rsidR="00171AA8" w:rsidRPr="00731FE2" w:rsidRDefault="007935AB" w:rsidP="002505CE">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 xml:space="preserve">Подземные минеральные воды являются лечебными и служат гидроминеральной базой города-курорта Кисловодск. Гидроминеральная база представлена Кисловодским месторождением минеральных углекислых вод. Акционерным обществом «Кавминкурортресурсы» разрабатываются Центральный, Ольховский и Подкумский </w:t>
      </w:r>
      <w:r w:rsidRPr="00731FE2">
        <w:rPr>
          <w:rFonts w:ascii="Times New Roman" w:eastAsia="Times New Roman" w:hAnsi="Times New Roman" w:cs="Times New Roman"/>
          <w:color w:val="000000"/>
          <w:szCs w:val="24"/>
        </w:rPr>
        <w:lastRenderedPageBreak/>
        <w:t>участки Кисловодского месторождения (Лицензия СТВ 00345 МЭ от 19.02.98, выданная МУПР РФ по СК), эксплуатационные запасы которых составляют 1662 м</w:t>
      </w:r>
      <w:r w:rsidRPr="00731FE2">
        <w:rPr>
          <w:rFonts w:ascii="Times New Roman" w:eastAsia="Times New Roman" w:hAnsi="Times New Roman" w:cs="Times New Roman"/>
          <w:color w:val="000000"/>
          <w:szCs w:val="24"/>
          <w:vertAlign w:val="superscript"/>
        </w:rPr>
        <w:t>3</w:t>
      </w:r>
      <w:r w:rsidRPr="00731FE2">
        <w:rPr>
          <w:rFonts w:ascii="Times New Roman" w:eastAsia="Times New Roman" w:hAnsi="Times New Roman" w:cs="Times New Roman"/>
          <w:color w:val="000000"/>
          <w:szCs w:val="24"/>
        </w:rPr>
        <w:t>/сутки (Протокол ГКЗ КММВ № 6553 от 08.12.2020).</w:t>
      </w:r>
    </w:p>
    <w:p w14:paraId="7C0441C0"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Центральный участок Кисловодского месторождения представлен углекислыми минеральными водами типа «Нарзан», «Доломитный нарзан» и «Сульфатный нарзан» различного химического состава: сульфатно-гидрокарбонатными кальциевыми, магниево-кальциевыми и натриево-кальциевыми с минерализацией от 1,5 до 7,5 г/л. Глубина залегания титонского, нижн</w:t>
      </w:r>
      <w:proofErr w:type="gramStart"/>
      <w:r w:rsidRPr="00731FE2">
        <w:rPr>
          <w:rFonts w:ascii="Times New Roman" w:eastAsia="Times New Roman" w:hAnsi="Times New Roman" w:cs="Times New Roman"/>
          <w:color w:val="000000"/>
          <w:szCs w:val="24"/>
        </w:rPr>
        <w:t>е-</w:t>
      </w:r>
      <w:proofErr w:type="gramEnd"/>
      <w:r w:rsidRPr="00731FE2">
        <w:rPr>
          <w:rFonts w:ascii="Times New Roman" w:eastAsia="Times New Roman" w:hAnsi="Times New Roman" w:cs="Times New Roman"/>
          <w:color w:val="000000"/>
          <w:szCs w:val="24"/>
        </w:rPr>
        <w:t xml:space="preserve"> и верхневаланжинского водоносных горизонтов, из которых выведены природные минеральные воды, изменяется в широких пределах – от 6,5 до 500 метров. Для лечебного питья воды всех вышеперечисленных типов подаются из источника Нарзан и скважин 7, 12, 8-бис в Нарзанную галерею. Сульфатный Нарзан из скважины 23 представлен в бювете Круглом.</w:t>
      </w:r>
    </w:p>
    <w:p w14:paraId="4A5B5D42"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Ольховский участок Кисловодского месторождения представлен углекислыми минеральными водами сульфатно-гидрокарбонатного магниево-натриево-кальциевого состава с минерализацией 5,7-6,8 г/л, выведенными скважинами 114-Э, 115-Э из титонского водоносного горизонта с глубины 240-490 метров.</w:t>
      </w:r>
    </w:p>
    <w:p w14:paraId="2E158638"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Подкумский участок Кисловодского месторождения представлен углекислыми минеральными водами гидрокарбонатно-сульфатного магниево-кальциево-натриевого состава с минерализацией 4,9-5,7 г/л, выведенными скважиной 2-ПЭ-бис из титонского водоносного горизонта с глубины 280-350 метров. Минеральные воды месторождения используются санаториями с целью питьевого и бальнеологического лечения, заводами – для розлива.</w:t>
      </w:r>
    </w:p>
    <w:p w14:paraId="0ACAD2A3" w14:textId="77777777" w:rsidR="00171AA8" w:rsidRPr="00731FE2" w:rsidRDefault="007935AB">
      <w:pPr>
        <w:pBdr>
          <w:top w:val="none" w:sz="4" w:space="0" w:color="000000"/>
          <w:left w:val="none" w:sz="4" w:space="0" w:color="000000"/>
          <w:bottom w:val="none" w:sz="4" w:space="0" w:color="000000"/>
          <w:right w:val="none" w:sz="4" w:space="0" w:color="000000"/>
        </w:pBdr>
        <w:ind w:firstLine="720"/>
        <w:rPr>
          <w:rFonts w:ascii="Times New Roman" w:eastAsia="Times New Roman" w:hAnsi="Times New Roman" w:cs="Times New Roman"/>
          <w:b/>
          <w:bCs/>
          <w:color w:val="000000"/>
          <w:szCs w:val="24"/>
        </w:rPr>
      </w:pPr>
      <w:r w:rsidRPr="00731FE2">
        <w:rPr>
          <w:rFonts w:ascii="Times New Roman" w:eastAsia="Times New Roman" w:hAnsi="Times New Roman" w:cs="Times New Roman"/>
          <w:b/>
          <w:bCs/>
          <w:color w:val="000000"/>
          <w:szCs w:val="24"/>
        </w:rPr>
        <w:t>Таким образом, имеющиеся гидроминеральные ресурсы достаточны для удовлетворения потребностей санаторно-курортного комплекса и его развития. Кисловодское месторождение представляет собой крупнейшее месторождение углекислых маломинерализованных вод сульфатно-гидрокарбонатного магниево-кальциевого состава. Минеральные воды Кисловодского месторождения используются для бальнеолечения в виде ванн и других наружных процедур, для питьевого лечения, а также для промышленного розлива в бутылки в качестве лечебно-</w:t>
      </w:r>
      <w:r w:rsidR="00A31712" w:rsidRPr="00731FE2">
        <w:rPr>
          <w:rFonts w:ascii="Times New Roman" w:eastAsia="Times New Roman" w:hAnsi="Times New Roman" w:cs="Times New Roman"/>
          <w:b/>
          <w:bCs/>
          <w:color w:val="000000"/>
          <w:szCs w:val="24"/>
        </w:rPr>
        <w:t>столовых. Содержание</w:t>
      </w:r>
      <w:r w:rsidRPr="00731FE2">
        <w:rPr>
          <w:rFonts w:ascii="Times New Roman" w:eastAsia="Times New Roman" w:hAnsi="Times New Roman" w:cs="Times New Roman"/>
          <w:b/>
          <w:bCs/>
          <w:color w:val="000000"/>
          <w:szCs w:val="24"/>
        </w:rPr>
        <w:t xml:space="preserve"> полезных микроэлементов в источниках остается стабильным. На данный момент наблюдается восстановление уровня подземных вод, несмотря на увеличение объемов добычи.</w:t>
      </w:r>
    </w:p>
    <w:p w14:paraId="21FF64D9" w14:textId="77777777" w:rsidR="00171AA8" w:rsidRPr="00731FE2" w:rsidRDefault="007935AB">
      <w:pPr>
        <w:pStyle w:val="33"/>
        <w:rPr>
          <w:rFonts w:ascii="Times New Roman" w:hAnsi="Times New Roman" w:cs="Times New Roman"/>
        </w:rPr>
      </w:pPr>
      <w:bookmarkStart w:id="16" w:name="_Toc177392772"/>
      <w:r w:rsidRPr="00731FE2">
        <w:rPr>
          <w:rFonts w:ascii="Times New Roman" w:hAnsi="Times New Roman" w:cs="Times New Roman"/>
        </w:rPr>
        <w:t>2.2.5 Лесные ресурсы</w:t>
      </w:r>
      <w:bookmarkEnd w:id="16"/>
    </w:p>
    <w:p w14:paraId="5DCCA40F"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 xml:space="preserve">Важнейшим природным компонентом, выполняющим </w:t>
      </w:r>
      <w:r w:rsidR="00A31712" w:rsidRPr="00731FE2">
        <w:rPr>
          <w:rFonts w:ascii="Times New Roman" w:eastAsia="Times New Roman" w:hAnsi="Times New Roman" w:cs="Times New Roman"/>
          <w:color w:val="000000"/>
          <w:szCs w:val="24"/>
        </w:rPr>
        <w:t>рудообразующие</w:t>
      </w:r>
      <w:r w:rsidRPr="00731FE2">
        <w:rPr>
          <w:rFonts w:ascii="Times New Roman" w:eastAsia="Times New Roman" w:hAnsi="Times New Roman" w:cs="Times New Roman"/>
          <w:color w:val="000000"/>
          <w:szCs w:val="24"/>
        </w:rPr>
        <w:t xml:space="preserve">, защитные и оздоровительные функции, является система насаждений различного назначения. Леса Кисловодского курорта произрастают на расчлененном плато, относящемся по геологической структуре к зоне Северо-Кавказской моноклинали. Фрагменты естественных лесов в настоящее время можно встретить в виде отдельных островков по склонам балок и долин. Остальную территорию занимают искусственно созданные лесные массивы. Вся площадь лесов рассекается глубокими ущельями с обнаженными склонами. </w:t>
      </w:r>
    </w:p>
    <w:p w14:paraId="0EBEBB61"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Основными лесообразующими породами в лесах естественного происхождения являются, ясень обыкновенный, дуб черешчатый, береза, ольха, ивы, тополя и другие. В подлеске встречаются ива козья, боярышник, лещина и другие. В лесах искусственного происхождения преобладают сосна обыкновенная, сосна крымская, ясень обыкновенный, дуб черешчатый. Из кустарников – лещина, свидина, ива серая, скумпия.</w:t>
      </w:r>
    </w:p>
    <w:p w14:paraId="4627293E"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lastRenderedPageBreak/>
        <w:t xml:space="preserve">В соответствии с лесным законодательством, все леса, расположенные как на землях лесного фонда, так и на землях других категорий, состоят из лесничеств (лесопарков), являющихся основной учетной единицей лесной территории. На территории городского округа города-курорта Кисловодска располагается Кисловодское лесничество, созданное распоряжением Правительства Ставропольского края от 21.12.2007 № 375-рп «О создании в Ставропольском крае государственных учреждений». </w:t>
      </w:r>
    </w:p>
    <w:p w14:paraId="6766016B" w14:textId="77777777" w:rsidR="00171AA8" w:rsidRPr="00731FE2" w:rsidRDefault="007935AB">
      <w:pPr>
        <w:pBdr>
          <w:top w:val="none" w:sz="4" w:space="0" w:color="000000"/>
          <w:left w:val="none" w:sz="4" w:space="0" w:color="000000"/>
          <w:bottom w:val="none" w:sz="4" w:space="0" w:color="000000"/>
          <w:right w:val="none" w:sz="4" w:space="0" w:color="000000"/>
        </w:pBdr>
      </w:pPr>
      <w:r w:rsidRPr="00731FE2">
        <w:rPr>
          <w:rFonts w:ascii="Times New Roman" w:eastAsia="Times New Roman" w:hAnsi="Times New Roman" w:cs="Times New Roman"/>
          <w:color w:val="000000"/>
          <w:szCs w:val="24"/>
        </w:rPr>
        <w:t>Общая площадь лесничества, по состоянию на 01.01.2018, составляет 3445 га. В составе лесничества имеется одно участково</w:t>
      </w:r>
      <w:r w:rsidRPr="00731FE2">
        <w:rPr>
          <w:rFonts w:ascii="Times New Roman" w:eastAsia="Times New Roman" w:hAnsi="Times New Roman" w:cs="Times New Roman"/>
          <w:color w:val="000000"/>
        </w:rPr>
        <w:t>е лесничество – Кисловодское, расположенное на территории Предгорного муниципального района.</w:t>
      </w:r>
      <w:r w:rsidRPr="00731FE2">
        <w:rPr>
          <w:rFonts w:ascii="Times New Roman" w:eastAsia="Times New Roman" w:hAnsi="Times New Roman" w:cs="Times New Roman"/>
          <w:color w:val="000000"/>
          <w:szCs w:val="24"/>
          <w:vertAlign w:val="superscript"/>
        </w:rPr>
        <w:footnoteReference w:id="12"/>
      </w:r>
    </w:p>
    <w:p w14:paraId="4F51542A"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Распределение территории лесничества по лесорастительным зонам, лесным районам и зонам лесорастительного и лесозащитного районирования приведено в таблице ниже.</w:t>
      </w:r>
    </w:p>
    <w:p w14:paraId="7E16B77B" w14:textId="77777777" w:rsidR="00171AA8" w:rsidRPr="00731FE2" w:rsidRDefault="00171AA8">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p>
    <w:p w14:paraId="4889DCEC" w14:textId="77777777" w:rsidR="00171AA8" w:rsidRPr="00731FE2" w:rsidRDefault="007935AB">
      <w:pPr>
        <w:pBdr>
          <w:top w:val="none" w:sz="4" w:space="0" w:color="000000"/>
          <w:left w:val="none" w:sz="4" w:space="0" w:color="000000"/>
          <w:bottom w:val="none" w:sz="4" w:space="0" w:color="000000"/>
          <w:right w:val="none" w:sz="4" w:space="0" w:color="000000"/>
        </w:pBdr>
        <w:spacing w:line="240" w:lineRule="auto"/>
        <w:ind w:firstLine="0"/>
        <w:rPr>
          <w:rFonts w:ascii="Times New Roman" w:eastAsia="Times New Roman" w:hAnsi="Times New Roman" w:cs="Times New Roman"/>
          <w:b/>
          <w:bCs/>
          <w:color w:val="000000"/>
          <w:szCs w:val="24"/>
        </w:rPr>
      </w:pPr>
      <w:r w:rsidRPr="00731FE2">
        <w:rPr>
          <w:rFonts w:ascii="Times New Roman" w:eastAsia="Times New Roman" w:hAnsi="Times New Roman" w:cs="Times New Roman"/>
          <w:b/>
          <w:bCs/>
          <w:color w:val="000000"/>
          <w:szCs w:val="24"/>
        </w:rPr>
        <w:t xml:space="preserve">Таблица </w:t>
      </w:r>
      <w:r w:rsidRPr="00731FE2">
        <w:rPr>
          <w:rFonts w:ascii="Times New Roman" w:eastAsia="Times New Roman" w:hAnsi="Times New Roman" w:cs="Times New Roman"/>
          <w:b/>
          <w:bCs/>
          <w:color w:val="000000"/>
          <w:szCs w:val="24"/>
        </w:rPr>
        <w:fldChar w:fldCharType="begin"/>
      </w:r>
      <w:r w:rsidRPr="00731FE2">
        <w:rPr>
          <w:rFonts w:ascii="Times New Roman" w:eastAsia="Times New Roman" w:hAnsi="Times New Roman" w:cs="Times New Roman"/>
          <w:b/>
          <w:bCs/>
          <w:color w:val="000000"/>
          <w:szCs w:val="24"/>
        </w:rPr>
        <w:instrText xml:space="preserve"> SEQ Таблица \* Arabic </w:instrText>
      </w:r>
      <w:r w:rsidRPr="00731FE2">
        <w:rPr>
          <w:rFonts w:ascii="Times New Roman" w:eastAsia="Times New Roman" w:hAnsi="Times New Roman" w:cs="Times New Roman"/>
          <w:b/>
          <w:bCs/>
          <w:color w:val="000000"/>
          <w:szCs w:val="24"/>
        </w:rPr>
        <w:fldChar w:fldCharType="separate"/>
      </w:r>
      <w:r w:rsidR="00C50915" w:rsidRPr="00731FE2">
        <w:rPr>
          <w:rFonts w:ascii="Times New Roman" w:eastAsia="Times New Roman" w:hAnsi="Times New Roman" w:cs="Times New Roman"/>
          <w:b/>
          <w:bCs/>
          <w:noProof/>
          <w:color w:val="000000"/>
          <w:szCs w:val="24"/>
        </w:rPr>
        <w:t>4</w:t>
      </w:r>
      <w:r w:rsidRPr="00731FE2">
        <w:rPr>
          <w:rFonts w:ascii="Times New Roman" w:eastAsia="Times New Roman" w:hAnsi="Times New Roman" w:cs="Times New Roman"/>
          <w:b/>
          <w:bCs/>
          <w:color w:val="000000"/>
          <w:szCs w:val="24"/>
        </w:rPr>
        <w:fldChar w:fldCharType="end"/>
      </w:r>
      <w:r w:rsidRPr="00731FE2">
        <w:rPr>
          <w:rFonts w:ascii="Times New Roman" w:eastAsia="Times New Roman" w:hAnsi="Times New Roman" w:cs="Times New Roman"/>
          <w:b/>
          <w:bCs/>
          <w:color w:val="000000"/>
          <w:szCs w:val="24"/>
        </w:rPr>
        <w:t xml:space="preserve"> – Распределение лесов Кисловодского лесничества по лесорастительным зонам и лесным районам</w:t>
      </w:r>
      <w:r w:rsidRPr="00731FE2">
        <w:rPr>
          <w:rFonts w:ascii="Times New Roman" w:eastAsia="Times New Roman" w:hAnsi="Times New Roman" w:cs="Times New Roman"/>
          <w:b/>
          <w:bCs/>
          <w:color w:val="000000"/>
          <w:szCs w:val="24"/>
          <w:vertAlign w:val="superscript"/>
        </w:rPr>
        <w:footnoteReference w:id="13"/>
      </w:r>
    </w:p>
    <w:tbl>
      <w:tblPr>
        <w:tblStyle w:val="afe"/>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ayout w:type="fixed"/>
        <w:tblLook w:val="04A0" w:firstRow="1" w:lastRow="0" w:firstColumn="1" w:lastColumn="0" w:noHBand="0" w:noVBand="1"/>
      </w:tblPr>
      <w:tblGrid>
        <w:gridCol w:w="1559"/>
        <w:gridCol w:w="1480"/>
        <w:gridCol w:w="1067"/>
        <w:gridCol w:w="1443"/>
        <w:gridCol w:w="1254"/>
        <w:gridCol w:w="1561"/>
        <w:gridCol w:w="991"/>
      </w:tblGrid>
      <w:tr w:rsidR="00171AA8" w:rsidRPr="00731FE2" w14:paraId="672DF8D2" w14:textId="77777777">
        <w:tc>
          <w:tcPr>
            <w:tcW w:w="155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BED31A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b/>
                <w:bCs/>
                <w:color w:val="000000"/>
                <w:sz w:val="20"/>
                <w:szCs w:val="20"/>
              </w:rPr>
            </w:pPr>
            <w:r w:rsidRPr="00731FE2">
              <w:rPr>
                <w:rFonts w:ascii="Times New Roman" w:eastAsia="Times New Roman" w:hAnsi="Times New Roman" w:cs="Times New Roman"/>
                <w:b/>
                <w:bCs/>
                <w:color w:val="000000"/>
                <w:sz w:val="20"/>
                <w:szCs w:val="20"/>
              </w:rPr>
              <w:t>Наименование участковых лесничеств</w:t>
            </w:r>
          </w:p>
        </w:tc>
        <w:tc>
          <w:tcPr>
            <w:tcW w:w="148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596F7C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b/>
                <w:bCs/>
                <w:color w:val="000000"/>
                <w:sz w:val="20"/>
                <w:szCs w:val="20"/>
              </w:rPr>
            </w:pPr>
            <w:r w:rsidRPr="00731FE2">
              <w:rPr>
                <w:rFonts w:ascii="Times New Roman" w:eastAsia="Times New Roman" w:hAnsi="Times New Roman" w:cs="Times New Roman"/>
                <w:b/>
                <w:bCs/>
                <w:color w:val="000000"/>
                <w:sz w:val="20"/>
                <w:szCs w:val="20"/>
              </w:rPr>
              <w:t>Лесорастительная зона</w:t>
            </w:r>
          </w:p>
        </w:tc>
        <w:tc>
          <w:tcPr>
            <w:tcW w:w="10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BABC5E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b/>
                <w:bCs/>
                <w:color w:val="000000"/>
                <w:sz w:val="20"/>
                <w:szCs w:val="20"/>
              </w:rPr>
            </w:pPr>
            <w:r w:rsidRPr="00731FE2">
              <w:rPr>
                <w:rFonts w:ascii="Times New Roman" w:eastAsia="Times New Roman" w:hAnsi="Times New Roman" w:cs="Times New Roman"/>
                <w:b/>
                <w:bCs/>
                <w:color w:val="000000"/>
                <w:sz w:val="20"/>
                <w:szCs w:val="20"/>
              </w:rPr>
              <w:t>Лесной район</w:t>
            </w:r>
          </w:p>
        </w:tc>
        <w:tc>
          <w:tcPr>
            <w:tcW w:w="14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7D36B5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b/>
                <w:bCs/>
                <w:color w:val="000000"/>
                <w:sz w:val="20"/>
                <w:szCs w:val="20"/>
              </w:rPr>
            </w:pPr>
            <w:r w:rsidRPr="00731FE2">
              <w:rPr>
                <w:rFonts w:ascii="Times New Roman" w:eastAsia="Times New Roman" w:hAnsi="Times New Roman" w:cs="Times New Roman"/>
                <w:b/>
                <w:bCs/>
                <w:color w:val="000000"/>
                <w:sz w:val="20"/>
                <w:szCs w:val="20"/>
              </w:rPr>
              <w:t>Зона лесозащитного районирования</w:t>
            </w:r>
          </w:p>
        </w:tc>
        <w:tc>
          <w:tcPr>
            <w:tcW w:w="125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4C97BD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b/>
                <w:bCs/>
                <w:color w:val="000000"/>
                <w:sz w:val="20"/>
                <w:szCs w:val="20"/>
              </w:rPr>
            </w:pPr>
            <w:r w:rsidRPr="00731FE2">
              <w:rPr>
                <w:rFonts w:ascii="Times New Roman" w:eastAsia="Times New Roman" w:hAnsi="Times New Roman" w:cs="Times New Roman"/>
                <w:b/>
                <w:bCs/>
                <w:color w:val="000000"/>
                <w:sz w:val="20"/>
                <w:szCs w:val="20"/>
              </w:rPr>
              <w:t>Зона лесосеменного районирования</w:t>
            </w:r>
          </w:p>
        </w:tc>
        <w:tc>
          <w:tcPr>
            <w:tcW w:w="156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0A19AE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b/>
                <w:bCs/>
                <w:color w:val="000000"/>
                <w:sz w:val="20"/>
                <w:szCs w:val="20"/>
              </w:rPr>
            </w:pPr>
            <w:r w:rsidRPr="00731FE2">
              <w:rPr>
                <w:rFonts w:ascii="Times New Roman" w:eastAsia="Times New Roman" w:hAnsi="Times New Roman" w:cs="Times New Roman"/>
                <w:b/>
                <w:bCs/>
                <w:color w:val="000000"/>
                <w:sz w:val="20"/>
                <w:szCs w:val="20"/>
              </w:rPr>
              <w:t>Перечень лесных кварталов</w:t>
            </w:r>
          </w:p>
        </w:tc>
        <w:tc>
          <w:tcPr>
            <w:tcW w:w="99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2C0BD6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b/>
                <w:bCs/>
                <w:color w:val="000000"/>
                <w:sz w:val="20"/>
                <w:szCs w:val="20"/>
              </w:rPr>
            </w:pPr>
            <w:r w:rsidRPr="00731FE2">
              <w:rPr>
                <w:rFonts w:ascii="Times New Roman" w:eastAsia="Times New Roman" w:hAnsi="Times New Roman" w:cs="Times New Roman"/>
                <w:b/>
                <w:bCs/>
                <w:color w:val="000000"/>
                <w:sz w:val="20"/>
                <w:szCs w:val="20"/>
              </w:rPr>
              <w:t xml:space="preserve">Площадь, </w:t>
            </w:r>
            <w:proofErr w:type="gramStart"/>
            <w:r w:rsidRPr="00731FE2">
              <w:rPr>
                <w:rFonts w:ascii="Times New Roman" w:eastAsia="Times New Roman" w:hAnsi="Times New Roman" w:cs="Times New Roman"/>
                <w:b/>
                <w:bCs/>
                <w:color w:val="000000"/>
                <w:sz w:val="20"/>
                <w:szCs w:val="20"/>
              </w:rPr>
              <w:t>га</w:t>
            </w:r>
            <w:proofErr w:type="gramEnd"/>
          </w:p>
        </w:tc>
      </w:tr>
      <w:tr w:rsidR="00171AA8" w:rsidRPr="00731FE2" w14:paraId="6C01E4CE" w14:textId="77777777">
        <w:tc>
          <w:tcPr>
            <w:tcW w:w="1559"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9AF6E52"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Кисловодское</w:t>
            </w:r>
          </w:p>
        </w:tc>
        <w:tc>
          <w:tcPr>
            <w:tcW w:w="1480"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A283E6C"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Зона горного Северного Кавказа и горного Крыма</w:t>
            </w:r>
          </w:p>
        </w:tc>
        <w:tc>
          <w:tcPr>
            <w:tcW w:w="1067"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4EF67A9"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Северо-Кавказский горный район РФ</w:t>
            </w:r>
          </w:p>
        </w:tc>
        <w:tc>
          <w:tcPr>
            <w:tcW w:w="1443"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F68A19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средняя</w:t>
            </w:r>
          </w:p>
        </w:tc>
        <w:tc>
          <w:tcPr>
            <w:tcW w:w="1254"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C0C574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4</w:t>
            </w:r>
          </w:p>
        </w:tc>
        <w:tc>
          <w:tcPr>
            <w:tcW w:w="156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7E1450"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7-13, 14 ч, 15 ч, 18-25 (Джинальское)</w:t>
            </w:r>
          </w:p>
        </w:tc>
        <w:tc>
          <w:tcPr>
            <w:tcW w:w="99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FDE3E1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1702</w:t>
            </w:r>
          </w:p>
        </w:tc>
      </w:tr>
      <w:tr w:rsidR="00171AA8" w:rsidRPr="00731FE2" w14:paraId="7255C710" w14:textId="77777777">
        <w:tc>
          <w:tcPr>
            <w:tcW w:w="1559" w:type="dxa"/>
            <w:vMerge/>
            <w:tcBorders>
              <w:top w:val="single" w:sz="4" w:space="0" w:color="000000"/>
              <w:left w:val="single" w:sz="4" w:space="0" w:color="000000"/>
              <w:bottom w:val="single" w:sz="4" w:space="0" w:color="000000"/>
              <w:right w:val="single" w:sz="4" w:space="0" w:color="000000"/>
            </w:tcBorders>
          </w:tcPr>
          <w:p w14:paraId="1FB39FDC" w14:textId="77777777" w:rsidR="00171AA8" w:rsidRPr="00731FE2" w:rsidRDefault="00171AA8"/>
        </w:tc>
        <w:tc>
          <w:tcPr>
            <w:tcW w:w="1480" w:type="dxa"/>
            <w:vMerge/>
            <w:tcBorders>
              <w:top w:val="single" w:sz="4" w:space="0" w:color="000000"/>
              <w:left w:val="single" w:sz="4" w:space="0" w:color="000000"/>
              <w:bottom w:val="single" w:sz="4" w:space="0" w:color="000000"/>
              <w:right w:val="single" w:sz="4" w:space="0" w:color="000000"/>
            </w:tcBorders>
          </w:tcPr>
          <w:p w14:paraId="4908797D" w14:textId="77777777" w:rsidR="00171AA8" w:rsidRPr="00731FE2" w:rsidRDefault="00171AA8"/>
        </w:tc>
        <w:tc>
          <w:tcPr>
            <w:tcW w:w="1067" w:type="dxa"/>
            <w:vMerge/>
            <w:tcBorders>
              <w:top w:val="single" w:sz="4" w:space="0" w:color="000000"/>
              <w:left w:val="single" w:sz="4" w:space="0" w:color="000000"/>
              <w:bottom w:val="single" w:sz="4" w:space="0" w:color="000000"/>
              <w:right w:val="single" w:sz="4" w:space="0" w:color="000000"/>
            </w:tcBorders>
          </w:tcPr>
          <w:p w14:paraId="65297D96" w14:textId="77777777" w:rsidR="00171AA8" w:rsidRPr="00731FE2" w:rsidRDefault="00171AA8"/>
        </w:tc>
        <w:tc>
          <w:tcPr>
            <w:tcW w:w="1443" w:type="dxa"/>
            <w:vMerge/>
            <w:tcBorders>
              <w:top w:val="single" w:sz="4" w:space="0" w:color="000000"/>
              <w:left w:val="single" w:sz="4" w:space="0" w:color="000000"/>
              <w:bottom w:val="single" w:sz="4" w:space="0" w:color="000000"/>
              <w:right w:val="single" w:sz="4" w:space="0" w:color="000000"/>
            </w:tcBorders>
          </w:tcPr>
          <w:p w14:paraId="03C3C0C8" w14:textId="77777777" w:rsidR="00171AA8" w:rsidRPr="00731FE2" w:rsidRDefault="00171AA8"/>
        </w:tc>
        <w:tc>
          <w:tcPr>
            <w:tcW w:w="1254" w:type="dxa"/>
            <w:vMerge/>
            <w:tcBorders>
              <w:top w:val="single" w:sz="4" w:space="0" w:color="000000"/>
              <w:left w:val="single" w:sz="4" w:space="0" w:color="000000"/>
              <w:bottom w:val="single" w:sz="4" w:space="0" w:color="000000"/>
              <w:right w:val="single" w:sz="4" w:space="0" w:color="000000"/>
            </w:tcBorders>
          </w:tcPr>
          <w:p w14:paraId="07C7719B" w14:textId="77777777" w:rsidR="00171AA8" w:rsidRPr="00731FE2" w:rsidRDefault="00171AA8"/>
        </w:tc>
        <w:tc>
          <w:tcPr>
            <w:tcW w:w="156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5DFC96"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5 ч, 6 ч, 13-16, 18, 19, 22-27, 29, 30-32 части (</w:t>
            </w:r>
            <w:proofErr w:type="gramStart"/>
            <w:r w:rsidRPr="00731FE2">
              <w:rPr>
                <w:rFonts w:ascii="Times New Roman" w:eastAsia="Times New Roman" w:hAnsi="Times New Roman" w:cs="Times New Roman"/>
                <w:color w:val="000000"/>
                <w:sz w:val="20"/>
                <w:szCs w:val="20"/>
              </w:rPr>
              <w:t>Кисловодское</w:t>
            </w:r>
            <w:proofErr w:type="gramEnd"/>
            <w:r w:rsidRPr="00731FE2">
              <w:rPr>
                <w:rFonts w:ascii="Times New Roman" w:eastAsia="Times New Roman" w:hAnsi="Times New Roman" w:cs="Times New Roman"/>
                <w:color w:val="000000"/>
                <w:sz w:val="20"/>
                <w:szCs w:val="20"/>
              </w:rPr>
              <w:t>)</w:t>
            </w:r>
          </w:p>
        </w:tc>
        <w:tc>
          <w:tcPr>
            <w:tcW w:w="99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5AFBF9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1734</w:t>
            </w:r>
          </w:p>
        </w:tc>
      </w:tr>
      <w:tr w:rsidR="00171AA8" w:rsidRPr="00731FE2" w14:paraId="43064C9A" w14:textId="77777777">
        <w:tc>
          <w:tcPr>
            <w:tcW w:w="8364" w:type="dxa"/>
            <w:gridSpan w:val="6"/>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FC2AE77"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b/>
                <w:bCs/>
                <w:color w:val="000000"/>
                <w:sz w:val="20"/>
                <w:szCs w:val="20"/>
              </w:rPr>
            </w:pPr>
            <w:r w:rsidRPr="00731FE2">
              <w:rPr>
                <w:rFonts w:ascii="Times New Roman" w:eastAsia="Times New Roman" w:hAnsi="Times New Roman" w:cs="Times New Roman"/>
                <w:b/>
                <w:bCs/>
                <w:color w:val="000000"/>
                <w:sz w:val="20"/>
                <w:szCs w:val="20"/>
              </w:rPr>
              <w:t>ВСЕГО</w:t>
            </w:r>
          </w:p>
        </w:tc>
        <w:tc>
          <w:tcPr>
            <w:tcW w:w="99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AABFC99"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b/>
                <w:bCs/>
                <w:color w:val="000000"/>
                <w:sz w:val="20"/>
                <w:szCs w:val="20"/>
              </w:rPr>
            </w:pPr>
            <w:r w:rsidRPr="00731FE2">
              <w:rPr>
                <w:rFonts w:ascii="Times New Roman" w:eastAsia="Times New Roman" w:hAnsi="Times New Roman" w:cs="Times New Roman"/>
                <w:b/>
                <w:bCs/>
                <w:color w:val="000000"/>
                <w:sz w:val="20"/>
                <w:szCs w:val="20"/>
              </w:rPr>
              <w:t>3445</w:t>
            </w:r>
          </w:p>
        </w:tc>
      </w:tr>
    </w:tbl>
    <w:p w14:paraId="63B593AC" w14:textId="77777777" w:rsidR="00171AA8" w:rsidRPr="00731FE2" w:rsidRDefault="00171AA8">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p>
    <w:p w14:paraId="47EF249F" w14:textId="77777777" w:rsidR="00171AA8" w:rsidRPr="00731FE2" w:rsidRDefault="007935AB">
      <w:pPr>
        <w:pBdr>
          <w:top w:val="none" w:sz="4" w:space="0" w:color="000000"/>
          <w:left w:val="none" w:sz="4" w:space="0" w:color="000000"/>
          <w:bottom w:val="none" w:sz="4" w:space="0" w:color="000000"/>
          <w:right w:val="none" w:sz="4" w:space="0" w:color="000000"/>
        </w:pBdr>
      </w:pPr>
      <w:proofErr w:type="gramStart"/>
      <w:r w:rsidRPr="00731FE2">
        <w:rPr>
          <w:rFonts w:ascii="Times New Roman" w:eastAsia="Times New Roman" w:hAnsi="Times New Roman" w:cs="Times New Roman"/>
          <w:color w:val="000000"/>
          <w:szCs w:val="24"/>
        </w:rPr>
        <w:t>Все леса Кисловодского лесничества относятся к защитным и подлежат освоению в целях сохранения средообразующих, водоохранных, защитных, санитарно-гигиенических, оздоровительных и иных полезных функций с одновременным использованием лесов при условии, что это использование совместимо с их целевым назначением и выполняемыми ими полезными функциями.</w:t>
      </w:r>
      <w:proofErr w:type="gramEnd"/>
    </w:p>
    <w:p w14:paraId="3C5CBA42" w14:textId="77777777" w:rsidR="00171AA8" w:rsidRPr="00731FE2" w:rsidRDefault="00171AA8">
      <w:pPr>
        <w:pBdr>
          <w:top w:val="none" w:sz="4" w:space="0" w:color="000000"/>
          <w:left w:val="none" w:sz="4" w:space="0" w:color="000000"/>
          <w:bottom w:val="none" w:sz="4" w:space="0" w:color="000000"/>
          <w:right w:val="none" w:sz="4" w:space="0" w:color="000000"/>
        </w:pBdr>
        <w:spacing w:line="253" w:lineRule="atLeast"/>
      </w:pPr>
    </w:p>
    <w:p w14:paraId="4C624F4A" w14:textId="77777777" w:rsidR="00171AA8" w:rsidRPr="00731FE2" w:rsidRDefault="007935AB">
      <w:pPr>
        <w:pBdr>
          <w:top w:val="none" w:sz="4" w:space="0" w:color="000000"/>
          <w:left w:val="none" w:sz="4" w:space="0" w:color="000000"/>
          <w:bottom w:val="none" w:sz="4" w:space="0" w:color="000000"/>
          <w:right w:val="none" w:sz="4" w:space="0" w:color="000000"/>
        </w:pBdr>
        <w:spacing w:line="240" w:lineRule="auto"/>
        <w:ind w:firstLine="0"/>
        <w:rPr>
          <w:rFonts w:ascii="Times New Roman" w:eastAsia="Times New Roman" w:hAnsi="Times New Roman" w:cs="Times New Roman"/>
          <w:b/>
          <w:bCs/>
          <w:color w:val="000000"/>
          <w:szCs w:val="24"/>
        </w:rPr>
      </w:pPr>
      <w:r w:rsidRPr="00731FE2">
        <w:rPr>
          <w:rFonts w:ascii="Times New Roman" w:eastAsia="Times New Roman" w:hAnsi="Times New Roman" w:cs="Times New Roman"/>
          <w:b/>
          <w:bCs/>
          <w:color w:val="000000"/>
          <w:szCs w:val="24"/>
        </w:rPr>
        <w:t xml:space="preserve">Таблица </w:t>
      </w:r>
      <w:r w:rsidRPr="00731FE2">
        <w:rPr>
          <w:rFonts w:ascii="Times New Roman" w:eastAsia="Times New Roman" w:hAnsi="Times New Roman" w:cs="Times New Roman"/>
          <w:b/>
          <w:bCs/>
          <w:color w:val="000000"/>
          <w:szCs w:val="24"/>
        </w:rPr>
        <w:fldChar w:fldCharType="begin"/>
      </w:r>
      <w:r w:rsidRPr="00731FE2">
        <w:rPr>
          <w:rFonts w:ascii="Times New Roman" w:eastAsia="Times New Roman" w:hAnsi="Times New Roman" w:cs="Times New Roman"/>
          <w:b/>
          <w:bCs/>
          <w:color w:val="000000"/>
          <w:szCs w:val="24"/>
        </w:rPr>
        <w:instrText xml:space="preserve"> SEQ Таблица \* Arabic </w:instrText>
      </w:r>
      <w:r w:rsidRPr="00731FE2">
        <w:rPr>
          <w:rFonts w:ascii="Times New Roman" w:eastAsia="Times New Roman" w:hAnsi="Times New Roman" w:cs="Times New Roman"/>
          <w:b/>
          <w:bCs/>
          <w:color w:val="000000"/>
          <w:szCs w:val="24"/>
        </w:rPr>
        <w:fldChar w:fldCharType="separate"/>
      </w:r>
      <w:r w:rsidR="00C50915" w:rsidRPr="00731FE2">
        <w:rPr>
          <w:rFonts w:ascii="Times New Roman" w:eastAsia="Times New Roman" w:hAnsi="Times New Roman" w:cs="Times New Roman"/>
          <w:b/>
          <w:bCs/>
          <w:noProof/>
          <w:color w:val="000000"/>
          <w:szCs w:val="24"/>
        </w:rPr>
        <w:t>5</w:t>
      </w:r>
      <w:r w:rsidRPr="00731FE2">
        <w:rPr>
          <w:rFonts w:ascii="Times New Roman" w:eastAsia="Times New Roman" w:hAnsi="Times New Roman" w:cs="Times New Roman"/>
          <w:b/>
          <w:bCs/>
          <w:color w:val="000000"/>
          <w:szCs w:val="24"/>
        </w:rPr>
        <w:fldChar w:fldCharType="end"/>
      </w:r>
      <w:r w:rsidRPr="00731FE2">
        <w:rPr>
          <w:rFonts w:ascii="Times New Roman" w:eastAsia="Times New Roman" w:hAnsi="Times New Roman" w:cs="Times New Roman"/>
          <w:b/>
          <w:bCs/>
          <w:color w:val="000000"/>
          <w:szCs w:val="24"/>
        </w:rPr>
        <w:t xml:space="preserve"> – Распределение лесов по целевому назначению и категориям защитных лесов Кисловодского лесничества</w:t>
      </w:r>
      <w:r w:rsidRPr="00731FE2">
        <w:rPr>
          <w:rFonts w:ascii="Times New Roman" w:eastAsia="Times New Roman" w:hAnsi="Times New Roman" w:cs="Times New Roman"/>
          <w:b/>
          <w:bCs/>
          <w:color w:val="000000"/>
          <w:szCs w:val="24"/>
          <w:vertAlign w:val="superscript"/>
        </w:rPr>
        <w:footnoteReference w:id="14"/>
      </w:r>
    </w:p>
    <w:tbl>
      <w:tblPr>
        <w:tblStyle w:val="afe"/>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1069"/>
        <w:gridCol w:w="1208"/>
        <w:gridCol w:w="4821"/>
        <w:gridCol w:w="955"/>
        <w:gridCol w:w="1518"/>
      </w:tblGrid>
      <w:tr w:rsidR="00171AA8" w:rsidRPr="00731FE2" w14:paraId="32557B47" w14:textId="77777777">
        <w:tc>
          <w:tcPr>
            <w:tcW w:w="12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288B780"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b/>
                <w:bCs/>
                <w:color w:val="000000"/>
                <w:sz w:val="20"/>
                <w:szCs w:val="20"/>
              </w:rPr>
            </w:pPr>
            <w:r w:rsidRPr="00731FE2">
              <w:rPr>
                <w:rFonts w:ascii="Times New Roman" w:eastAsia="Times New Roman" w:hAnsi="Times New Roman" w:cs="Times New Roman"/>
                <w:b/>
                <w:bCs/>
                <w:color w:val="000000"/>
                <w:sz w:val="20"/>
                <w:szCs w:val="20"/>
              </w:rPr>
              <w:t>Целевое назначение лесов</w:t>
            </w:r>
          </w:p>
        </w:tc>
        <w:tc>
          <w:tcPr>
            <w:tcW w:w="16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1F49FBE"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b/>
                <w:bCs/>
                <w:color w:val="000000"/>
                <w:sz w:val="20"/>
                <w:szCs w:val="20"/>
              </w:rPr>
            </w:pPr>
            <w:r w:rsidRPr="00731FE2">
              <w:rPr>
                <w:rFonts w:ascii="Times New Roman" w:eastAsia="Times New Roman" w:hAnsi="Times New Roman" w:cs="Times New Roman"/>
                <w:b/>
                <w:bCs/>
                <w:color w:val="000000"/>
                <w:sz w:val="20"/>
                <w:szCs w:val="20"/>
              </w:rPr>
              <w:t>Участковое лесничество</w:t>
            </w:r>
          </w:p>
        </w:tc>
        <w:tc>
          <w:tcPr>
            <w:tcW w:w="29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0A0E16A"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b/>
                <w:bCs/>
                <w:color w:val="000000"/>
                <w:sz w:val="20"/>
                <w:szCs w:val="20"/>
              </w:rPr>
            </w:pPr>
            <w:r w:rsidRPr="00731FE2">
              <w:rPr>
                <w:rFonts w:ascii="Times New Roman" w:eastAsia="Times New Roman" w:hAnsi="Times New Roman" w:cs="Times New Roman"/>
                <w:b/>
                <w:bCs/>
                <w:color w:val="000000"/>
                <w:sz w:val="20"/>
                <w:szCs w:val="20"/>
              </w:rPr>
              <w:t>Номера кварталов или их частей</w:t>
            </w:r>
          </w:p>
        </w:tc>
        <w:tc>
          <w:tcPr>
            <w:tcW w:w="12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6F46B7D"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b/>
                <w:bCs/>
                <w:color w:val="000000"/>
                <w:sz w:val="20"/>
                <w:szCs w:val="20"/>
              </w:rPr>
            </w:pPr>
            <w:r w:rsidRPr="00731FE2">
              <w:rPr>
                <w:rFonts w:ascii="Times New Roman" w:eastAsia="Times New Roman" w:hAnsi="Times New Roman" w:cs="Times New Roman"/>
                <w:b/>
                <w:bCs/>
                <w:color w:val="000000"/>
                <w:sz w:val="20"/>
                <w:szCs w:val="20"/>
              </w:rPr>
              <w:t xml:space="preserve">Площадь, </w:t>
            </w:r>
            <w:proofErr w:type="gramStart"/>
            <w:r w:rsidRPr="00731FE2">
              <w:rPr>
                <w:rFonts w:ascii="Times New Roman" w:eastAsia="Times New Roman" w:hAnsi="Times New Roman" w:cs="Times New Roman"/>
                <w:b/>
                <w:bCs/>
                <w:color w:val="000000"/>
                <w:sz w:val="20"/>
                <w:szCs w:val="20"/>
              </w:rPr>
              <w:t>га</w:t>
            </w:r>
            <w:proofErr w:type="gramEnd"/>
          </w:p>
        </w:tc>
        <w:tc>
          <w:tcPr>
            <w:tcW w:w="231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9CC6BEE"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b/>
                <w:bCs/>
                <w:color w:val="000000"/>
                <w:sz w:val="20"/>
                <w:szCs w:val="20"/>
              </w:rPr>
            </w:pPr>
            <w:r w:rsidRPr="00731FE2">
              <w:rPr>
                <w:rFonts w:ascii="Times New Roman" w:eastAsia="Times New Roman" w:hAnsi="Times New Roman" w:cs="Times New Roman"/>
                <w:b/>
                <w:bCs/>
                <w:color w:val="000000"/>
                <w:sz w:val="20"/>
                <w:szCs w:val="20"/>
              </w:rPr>
              <w:t>Основания деления лесов по целевому назначению</w:t>
            </w:r>
          </w:p>
        </w:tc>
      </w:tr>
      <w:tr w:rsidR="00171AA8" w:rsidRPr="00731FE2" w14:paraId="2777E1D8" w14:textId="77777777">
        <w:tc>
          <w:tcPr>
            <w:tcW w:w="5770"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672957"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Всего лесов</w:t>
            </w:r>
          </w:p>
        </w:tc>
        <w:tc>
          <w:tcPr>
            <w:tcW w:w="12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4A99A36"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3445</w:t>
            </w:r>
          </w:p>
        </w:tc>
        <w:tc>
          <w:tcPr>
            <w:tcW w:w="2316"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98DFEE2"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 xml:space="preserve">Приказ МПР России от 21.08.2008г. </w:t>
            </w:r>
            <w:r w:rsidRPr="00731FE2">
              <w:rPr>
                <w:rFonts w:ascii="Times New Roman" w:eastAsia="Times New Roman" w:hAnsi="Times New Roman" w:cs="Times New Roman"/>
                <w:color w:val="000000"/>
                <w:sz w:val="20"/>
                <w:szCs w:val="20"/>
              </w:rPr>
              <w:lastRenderedPageBreak/>
              <w:t>№229</w:t>
            </w:r>
          </w:p>
        </w:tc>
      </w:tr>
      <w:tr w:rsidR="00171AA8" w:rsidRPr="00731FE2" w14:paraId="33AE2ADC" w14:textId="77777777">
        <w:trPr>
          <w:trHeight w:val="415"/>
        </w:trPr>
        <w:tc>
          <w:tcPr>
            <w:tcW w:w="1205"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D1FE8B8"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Защитные</w:t>
            </w:r>
          </w:p>
        </w:tc>
        <w:tc>
          <w:tcPr>
            <w:tcW w:w="1655"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C2FBF1A"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Кисловодское</w:t>
            </w:r>
          </w:p>
        </w:tc>
        <w:tc>
          <w:tcPr>
            <w:tcW w:w="29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C2FD46"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1(в.1-3),2(1-3,9,10,19,20,22,25,26,34);3(в.2);14(в.2,3,6,7,9,10,12);15</w:t>
            </w:r>
            <w:r w:rsidRPr="00731FE2">
              <w:rPr>
                <w:rFonts w:ascii="Times New Roman" w:eastAsia="Times New Roman" w:hAnsi="Times New Roman" w:cs="Times New Roman"/>
                <w:color w:val="000000"/>
                <w:sz w:val="20"/>
                <w:szCs w:val="20"/>
              </w:rPr>
              <w:lastRenderedPageBreak/>
              <w:t>(в.2,5,8,16); 7-13; 18-25 (Джинальское)</w:t>
            </w:r>
          </w:p>
        </w:tc>
        <w:tc>
          <w:tcPr>
            <w:tcW w:w="12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97B1C14"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lastRenderedPageBreak/>
              <w:t>1702</w:t>
            </w:r>
          </w:p>
        </w:tc>
        <w:tc>
          <w:tcPr>
            <w:tcW w:w="0" w:type="auto"/>
            <w:vMerge/>
            <w:tcBorders>
              <w:top w:val="single" w:sz="4" w:space="0" w:color="000000"/>
              <w:left w:val="single" w:sz="4" w:space="0" w:color="000000"/>
              <w:bottom w:val="single" w:sz="4" w:space="0" w:color="000000"/>
              <w:right w:val="single" w:sz="4" w:space="0" w:color="000000"/>
            </w:tcBorders>
          </w:tcPr>
          <w:p w14:paraId="42F10734" w14:textId="77777777" w:rsidR="00171AA8" w:rsidRPr="00731FE2" w:rsidRDefault="00171AA8"/>
        </w:tc>
      </w:tr>
      <w:tr w:rsidR="00171AA8" w:rsidRPr="00731FE2" w14:paraId="4E7FD778" w14:textId="77777777">
        <w:trPr>
          <w:trHeight w:val="789"/>
        </w:trPr>
        <w:tc>
          <w:tcPr>
            <w:tcW w:w="0" w:type="auto"/>
            <w:vMerge/>
            <w:tcBorders>
              <w:top w:val="single" w:sz="4" w:space="0" w:color="000000"/>
              <w:left w:val="single" w:sz="4" w:space="0" w:color="000000"/>
              <w:bottom w:val="single" w:sz="4" w:space="0" w:color="000000"/>
              <w:right w:val="single" w:sz="4" w:space="0" w:color="000000"/>
            </w:tcBorders>
          </w:tcPr>
          <w:p w14:paraId="3BAF1303" w14:textId="77777777" w:rsidR="00171AA8" w:rsidRPr="00731FE2" w:rsidRDefault="00171AA8"/>
        </w:tc>
        <w:tc>
          <w:tcPr>
            <w:tcW w:w="0" w:type="auto"/>
            <w:vMerge/>
            <w:tcBorders>
              <w:top w:val="single" w:sz="4" w:space="0" w:color="000000"/>
              <w:left w:val="single" w:sz="4" w:space="0" w:color="000000"/>
              <w:bottom w:val="single" w:sz="4" w:space="0" w:color="000000"/>
              <w:right w:val="single" w:sz="4" w:space="0" w:color="000000"/>
            </w:tcBorders>
          </w:tcPr>
          <w:p w14:paraId="467932CE" w14:textId="77777777" w:rsidR="00171AA8" w:rsidRPr="00731FE2" w:rsidRDefault="00171AA8"/>
        </w:tc>
        <w:tc>
          <w:tcPr>
            <w:tcW w:w="29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9EE513"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5(в.9,18-24);6(в.1-11);13-16;18;19;21-27;29-32 (Кисловодское)</w:t>
            </w:r>
          </w:p>
        </w:tc>
        <w:tc>
          <w:tcPr>
            <w:tcW w:w="12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4C6D462"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1743</w:t>
            </w:r>
          </w:p>
        </w:tc>
        <w:tc>
          <w:tcPr>
            <w:tcW w:w="0" w:type="auto"/>
            <w:vMerge/>
            <w:tcBorders>
              <w:top w:val="single" w:sz="4" w:space="0" w:color="000000"/>
              <w:left w:val="single" w:sz="4" w:space="0" w:color="000000"/>
              <w:bottom w:val="single" w:sz="4" w:space="0" w:color="000000"/>
              <w:right w:val="single" w:sz="4" w:space="0" w:color="000000"/>
            </w:tcBorders>
          </w:tcPr>
          <w:p w14:paraId="2ACE7C35" w14:textId="77777777" w:rsidR="00171AA8" w:rsidRPr="00731FE2" w:rsidRDefault="00171AA8"/>
        </w:tc>
      </w:tr>
      <w:tr w:rsidR="00171AA8" w:rsidRPr="00731FE2" w14:paraId="7661C635" w14:textId="77777777">
        <w:tc>
          <w:tcPr>
            <w:tcW w:w="5770"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979E4BF"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всего</w:t>
            </w:r>
          </w:p>
        </w:tc>
        <w:tc>
          <w:tcPr>
            <w:tcW w:w="12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449382B"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3445</w:t>
            </w:r>
          </w:p>
        </w:tc>
        <w:tc>
          <w:tcPr>
            <w:tcW w:w="0" w:type="auto"/>
            <w:vMerge/>
            <w:tcBorders>
              <w:top w:val="single" w:sz="4" w:space="0" w:color="000000"/>
              <w:left w:val="single" w:sz="4" w:space="0" w:color="000000"/>
              <w:bottom w:val="single" w:sz="4" w:space="0" w:color="000000"/>
              <w:right w:val="single" w:sz="4" w:space="0" w:color="000000"/>
            </w:tcBorders>
          </w:tcPr>
          <w:p w14:paraId="37FCC015" w14:textId="77777777" w:rsidR="00171AA8" w:rsidRPr="00731FE2" w:rsidRDefault="00171AA8"/>
        </w:tc>
      </w:tr>
      <w:tr w:rsidR="00171AA8" w:rsidRPr="00731FE2" w14:paraId="59B69EE0" w14:textId="77777777">
        <w:tc>
          <w:tcPr>
            <w:tcW w:w="5770"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FFDE4A1"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в том числе:</w:t>
            </w:r>
          </w:p>
        </w:tc>
        <w:tc>
          <w:tcPr>
            <w:tcW w:w="12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A38B440"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 </w:t>
            </w:r>
          </w:p>
        </w:tc>
        <w:tc>
          <w:tcPr>
            <w:tcW w:w="231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C67EB32"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 </w:t>
            </w:r>
          </w:p>
        </w:tc>
      </w:tr>
      <w:tr w:rsidR="00171AA8" w:rsidRPr="00731FE2" w14:paraId="047238B4" w14:textId="77777777">
        <w:tc>
          <w:tcPr>
            <w:tcW w:w="5770"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F9DCAD"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леса, расположенные в водоохранных зонах, всего:</w:t>
            </w:r>
          </w:p>
        </w:tc>
        <w:tc>
          <w:tcPr>
            <w:tcW w:w="12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593C8DF"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26</w:t>
            </w:r>
          </w:p>
        </w:tc>
        <w:tc>
          <w:tcPr>
            <w:tcW w:w="2316"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18DB555"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Лесной кодекс РФ; Водный кодекс РФ</w:t>
            </w:r>
          </w:p>
        </w:tc>
      </w:tr>
      <w:tr w:rsidR="00171AA8" w:rsidRPr="00731FE2" w14:paraId="05D92D0E" w14:textId="77777777">
        <w:tc>
          <w:tcPr>
            <w:tcW w:w="12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CF5F50F"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в т.ч.</w:t>
            </w:r>
          </w:p>
        </w:tc>
        <w:tc>
          <w:tcPr>
            <w:tcW w:w="16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2C7059B"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Кисловодское</w:t>
            </w:r>
          </w:p>
        </w:tc>
        <w:tc>
          <w:tcPr>
            <w:tcW w:w="29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82EFE3F"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30(в.1ч.) 31(ч.в.2);32(ч.в.1) (Кисловодское)</w:t>
            </w:r>
          </w:p>
        </w:tc>
        <w:tc>
          <w:tcPr>
            <w:tcW w:w="12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DDCA94E"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26</w:t>
            </w:r>
          </w:p>
        </w:tc>
        <w:tc>
          <w:tcPr>
            <w:tcW w:w="0" w:type="auto"/>
            <w:vMerge/>
            <w:tcBorders>
              <w:top w:val="single" w:sz="4" w:space="0" w:color="000000"/>
              <w:left w:val="single" w:sz="4" w:space="0" w:color="000000"/>
              <w:bottom w:val="single" w:sz="4" w:space="0" w:color="000000"/>
              <w:right w:val="single" w:sz="4" w:space="0" w:color="000000"/>
            </w:tcBorders>
          </w:tcPr>
          <w:p w14:paraId="3557D6D3" w14:textId="77777777" w:rsidR="00171AA8" w:rsidRPr="00731FE2" w:rsidRDefault="00171AA8"/>
        </w:tc>
      </w:tr>
      <w:tr w:rsidR="00171AA8" w:rsidRPr="00731FE2" w14:paraId="672F5CF1" w14:textId="77777777">
        <w:tc>
          <w:tcPr>
            <w:tcW w:w="5770"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A221BD"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леса, выполняющие функции защиты природных и иных объектов, всего</w:t>
            </w:r>
            <w:r w:rsidRPr="00731FE2">
              <w:rPr>
                <w:rFonts w:ascii="Times New Roman" w:eastAsia="Times New Roman" w:hAnsi="Times New Roman" w:cs="Times New Roman"/>
                <w:color w:val="000000"/>
                <w:sz w:val="20"/>
                <w:szCs w:val="20"/>
              </w:rPr>
              <w:br/>
              <w:t xml:space="preserve"> в том числе:</w:t>
            </w:r>
          </w:p>
        </w:tc>
        <w:tc>
          <w:tcPr>
            <w:tcW w:w="12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1F53D95"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1480,0</w:t>
            </w:r>
          </w:p>
        </w:tc>
        <w:tc>
          <w:tcPr>
            <w:tcW w:w="231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8484296"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 </w:t>
            </w:r>
          </w:p>
        </w:tc>
      </w:tr>
      <w:tr w:rsidR="00171AA8" w:rsidRPr="00731FE2" w14:paraId="601B820B" w14:textId="77777777">
        <w:tc>
          <w:tcPr>
            <w:tcW w:w="5770"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0D6B56"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защитные полосы лесов, расположенные вдоль железнодорожных путей общего пользования, федеральных автомобильных дорог общего пользования, автомобильных дорог общего пользования, находящихся в собственности субъектов Российской Федерации, всего:</w:t>
            </w:r>
          </w:p>
        </w:tc>
        <w:tc>
          <w:tcPr>
            <w:tcW w:w="12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0DB774A"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8</w:t>
            </w:r>
          </w:p>
        </w:tc>
        <w:tc>
          <w:tcPr>
            <w:tcW w:w="2316"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7C42CC"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Лесной кодекс РФ; ГОСТ 17.5.3.02-90 «Нормы выделения на землях гослесфонда защитных полос лесов вдоль железных и автомобильных дорог»; Федеральный закон «О железнодорожном транспорте в РФ»; Федеральный закон «Об автомобильных дорогах и о дорожной деятельности в РФ»</w:t>
            </w:r>
          </w:p>
        </w:tc>
      </w:tr>
      <w:tr w:rsidR="00171AA8" w:rsidRPr="00731FE2" w14:paraId="37F9E6E6" w14:textId="77777777">
        <w:tc>
          <w:tcPr>
            <w:tcW w:w="12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A58DC74"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в т.ч.</w:t>
            </w:r>
          </w:p>
        </w:tc>
        <w:tc>
          <w:tcPr>
            <w:tcW w:w="16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E0E1CAA"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Кисловодское</w:t>
            </w:r>
          </w:p>
        </w:tc>
        <w:tc>
          <w:tcPr>
            <w:tcW w:w="29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E6E8D62"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2(в.25,26,</w:t>
            </w:r>
            <w:r w:rsidR="00A31712" w:rsidRPr="00731FE2">
              <w:rPr>
                <w:rFonts w:ascii="Times New Roman" w:eastAsia="Times New Roman" w:hAnsi="Times New Roman" w:cs="Times New Roman"/>
                <w:color w:val="000000"/>
                <w:sz w:val="20"/>
                <w:szCs w:val="20"/>
              </w:rPr>
              <w:t>34, ч.</w:t>
            </w:r>
            <w:r w:rsidRPr="00731FE2">
              <w:rPr>
                <w:rFonts w:ascii="Times New Roman" w:eastAsia="Times New Roman" w:hAnsi="Times New Roman" w:cs="Times New Roman"/>
                <w:color w:val="000000"/>
                <w:sz w:val="20"/>
                <w:szCs w:val="20"/>
              </w:rPr>
              <w:t>22) (Джинальское)</w:t>
            </w:r>
          </w:p>
        </w:tc>
        <w:tc>
          <w:tcPr>
            <w:tcW w:w="12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232CA75"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8</w:t>
            </w:r>
          </w:p>
        </w:tc>
        <w:tc>
          <w:tcPr>
            <w:tcW w:w="0" w:type="auto"/>
            <w:vMerge/>
            <w:tcBorders>
              <w:top w:val="single" w:sz="4" w:space="0" w:color="000000"/>
              <w:left w:val="single" w:sz="4" w:space="0" w:color="000000"/>
              <w:bottom w:val="single" w:sz="4" w:space="0" w:color="000000"/>
              <w:right w:val="single" w:sz="4" w:space="0" w:color="000000"/>
            </w:tcBorders>
          </w:tcPr>
          <w:p w14:paraId="018DCCE4" w14:textId="77777777" w:rsidR="00171AA8" w:rsidRPr="00731FE2" w:rsidRDefault="00171AA8"/>
        </w:tc>
      </w:tr>
      <w:tr w:rsidR="00171AA8" w:rsidRPr="00731FE2" w14:paraId="5B3A6F14" w14:textId="77777777">
        <w:tc>
          <w:tcPr>
            <w:tcW w:w="5770"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1BD582"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леса, расположенные в первой, второй и третьей зонах округов санитарной (горно-санитарной) охраны лечебно-оздоровительных местностей и курортов, всего</w:t>
            </w:r>
          </w:p>
        </w:tc>
        <w:tc>
          <w:tcPr>
            <w:tcW w:w="12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BDA93E7"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1472,0</w:t>
            </w:r>
          </w:p>
        </w:tc>
        <w:tc>
          <w:tcPr>
            <w:tcW w:w="2316"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68B6D2"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Лесной кодекс РФ, «О природных лечебных ресурсах, лечебно-оздоровительных местностях и курортах» №26-</w:t>
            </w:r>
            <w:r w:rsidR="00A31712" w:rsidRPr="00731FE2">
              <w:rPr>
                <w:rFonts w:ascii="Times New Roman" w:eastAsia="Times New Roman" w:hAnsi="Times New Roman" w:cs="Times New Roman"/>
                <w:color w:val="000000"/>
                <w:sz w:val="20"/>
                <w:szCs w:val="20"/>
              </w:rPr>
              <w:t>ФЗ;</w:t>
            </w:r>
            <w:r w:rsidRPr="00731FE2">
              <w:rPr>
                <w:rFonts w:ascii="Times New Roman" w:eastAsia="Times New Roman" w:hAnsi="Times New Roman" w:cs="Times New Roman"/>
                <w:color w:val="000000"/>
                <w:sz w:val="20"/>
                <w:szCs w:val="20"/>
              </w:rPr>
              <w:t xml:space="preserve"> Постановление Правительства РФ от 07.12.1996 № 1425 «Об утверждении положения об округах санитарной и горно-санитарной охраны лечебно-</w:t>
            </w:r>
            <w:r w:rsidRPr="00731FE2">
              <w:rPr>
                <w:rFonts w:ascii="Times New Roman" w:eastAsia="Times New Roman" w:hAnsi="Times New Roman" w:cs="Times New Roman"/>
                <w:color w:val="000000"/>
                <w:sz w:val="20"/>
                <w:szCs w:val="20"/>
              </w:rPr>
              <w:lastRenderedPageBreak/>
              <w:t>оздоровительных местностей и курортов федерального значения»</w:t>
            </w:r>
          </w:p>
        </w:tc>
      </w:tr>
      <w:tr w:rsidR="00171AA8" w:rsidRPr="00731FE2" w14:paraId="37C18E7E" w14:textId="77777777">
        <w:tc>
          <w:tcPr>
            <w:tcW w:w="120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BC43578"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в т.ч.</w:t>
            </w:r>
          </w:p>
        </w:tc>
        <w:tc>
          <w:tcPr>
            <w:tcW w:w="16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1442950"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Кисловодское</w:t>
            </w:r>
          </w:p>
        </w:tc>
        <w:tc>
          <w:tcPr>
            <w:tcW w:w="29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EF1D17C"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1(в.1-3); 2(в.1-3,9,10,19,20,ч.22); 3(в.2);4(в.1-10); 14(в.2,3,6,7,9,10,12); 15(в.2,5,6-8)</w:t>
            </w:r>
          </w:p>
          <w:p w14:paraId="6DFE3957"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(Джинальское);</w:t>
            </w:r>
          </w:p>
          <w:p w14:paraId="4CEAC0C1"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5(в.9,18-24); 6(в.1-11,ч.13); 13-16;18;19;-24;29; 30(ч.в.1,2); 31(в.1,ч.2,5,6,7); 32(ч.в.1,2)</w:t>
            </w:r>
          </w:p>
          <w:p w14:paraId="64F19995"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(Кисловодское)</w:t>
            </w:r>
          </w:p>
        </w:tc>
        <w:tc>
          <w:tcPr>
            <w:tcW w:w="12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39DD16E"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1472,0</w:t>
            </w:r>
          </w:p>
        </w:tc>
        <w:tc>
          <w:tcPr>
            <w:tcW w:w="0" w:type="auto"/>
            <w:vMerge/>
            <w:tcBorders>
              <w:top w:val="single" w:sz="4" w:space="0" w:color="000000"/>
              <w:left w:val="single" w:sz="4" w:space="0" w:color="000000"/>
              <w:bottom w:val="single" w:sz="4" w:space="0" w:color="000000"/>
              <w:right w:val="single" w:sz="4" w:space="0" w:color="000000"/>
            </w:tcBorders>
          </w:tcPr>
          <w:p w14:paraId="78783CCD" w14:textId="77777777" w:rsidR="00171AA8" w:rsidRPr="00731FE2" w:rsidRDefault="00171AA8"/>
        </w:tc>
      </w:tr>
      <w:tr w:rsidR="00171AA8" w:rsidRPr="00731FE2" w14:paraId="4D1EC0A5" w14:textId="77777777">
        <w:tc>
          <w:tcPr>
            <w:tcW w:w="5770"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78441BB"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lastRenderedPageBreak/>
              <w:t>ценные леса, всего</w:t>
            </w:r>
          </w:p>
          <w:p w14:paraId="47DA6120"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в том числе:</w:t>
            </w:r>
          </w:p>
        </w:tc>
        <w:tc>
          <w:tcPr>
            <w:tcW w:w="12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FCCD953"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1939,0</w:t>
            </w:r>
          </w:p>
        </w:tc>
        <w:tc>
          <w:tcPr>
            <w:tcW w:w="2316"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0BA10AF"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Лесной кодекс РФ; приказ Рослесхоза №176 от 04,05,2010 «Об отнесении лесов на территории Ставропольского края к ценным лесам и установлении их границ»</w:t>
            </w:r>
          </w:p>
        </w:tc>
      </w:tr>
      <w:tr w:rsidR="00171AA8" w:rsidRPr="00731FE2" w14:paraId="12C54307" w14:textId="77777777">
        <w:tc>
          <w:tcPr>
            <w:tcW w:w="5770"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D16730"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противоэрозионные леса</w:t>
            </w:r>
          </w:p>
        </w:tc>
        <w:tc>
          <w:tcPr>
            <w:tcW w:w="12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F706FD6"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1939,0</w:t>
            </w:r>
          </w:p>
        </w:tc>
        <w:tc>
          <w:tcPr>
            <w:tcW w:w="0" w:type="auto"/>
            <w:vMerge/>
            <w:tcBorders>
              <w:top w:val="single" w:sz="4" w:space="0" w:color="000000"/>
              <w:left w:val="single" w:sz="4" w:space="0" w:color="000000"/>
              <w:bottom w:val="single" w:sz="4" w:space="0" w:color="000000"/>
              <w:right w:val="single" w:sz="4" w:space="0" w:color="000000"/>
            </w:tcBorders>
          </w:tcPr>
          <w:p w14:paraId="677F1E96" w14:textId="77777777" w:rsidR="00171AA8" w:rsidRPr="00731FE2" w:rsidRDefault="00171AA8"/>
        </w:tc>
      </w:tr>
      <w:tr w:rsidR="00171AA8" w:rsidRPr="00731FE2" w14:paraId="100ADC77" w14:textId="77777777">
        <w:trPr>
          <w:trHeight w:val="326"/>
        </w:trPr>
        <w:tc>
          <w:tcPr>
            <w:tcW w:w="1205"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4A9118D"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т.ч.</w:t>
            </w:r>
          </w:p>
        </w:tc>
        <w:tc>
          <w:tcPr>
            <w:tcW w:w="1655"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51315EE"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Кисловодское</w:t>
            </w:r>
          </w:p>
        </w:tc>
        <w:tc>
          <w:tcPr>
            <w:tcW w:w="29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83D1EC8"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7-13;18-25 (Джинальское)</w:t>
            </w:r>
          </w:p>
        </w:tc>
        <w:tc>
          <w:tcPr>
            <w:tcW w:w="12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BD2B7E5"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1566</w:t>
            </w:r>
          </w:p>
        </w:tc>
        <w:tc>
          <w:tcPr>
            <w:tcW w:w="0" w:type="auto"/>
            <w:vMerge/>
            <w:tcBorders>
              <w:top w:val="single" w:sz="4" w:space="0" w:color="000000"/>
              <w:left w:val="single" w:sz="4" w:space="0" w:color="000000"/>
              <w:bottom w:val="single" w:sz="4" w:space="0" w:color="000000"/>
              <w:right w:val="single" w:sz="4" w:space="0" w:color="000000"/>
            </w:tcBorders>
          </w:tcPr>
          <w:p w14:paraId="1DE5B2D8" w14:textId="77777777" w:rsidR="00171AA8" w:rsidRPr="00731FE2" w:rsidRDefault="00171AA8"/>
        </w:tc>
      </w:tr>
      <w:tr w:rsidR="00171AA8" w:rsidRPr="00731FE2" w14:paraId="1B7BC5EA" w14:textId="77777777">
        <w:tc>
          <w:tcPr>
            <w:tcW w:w="0" w:type="auto"/>
            <w:vMerge/>
            <w:tcBorders>
              <w:top w:val="single" w:sz="4" w:space="0" w:color="000000"/>
              <w:left w:val="single" w:sz="4" w:space="0" w:color="000000"/>
              <w:bottom w:val="single" w:sz="4" w:space="0" w:color="000000"/>
              <w:right w:val="single" w:sz="4" w:space="0" w:color="000000"/>
            </w:tcBorders>
          </w:tcPr>
          <w:p w14:paraId="0BB88C76" w14:textId="77777777" w:rsidR="00171AA8" w:rsidRPr="00731FE2" w:rsidRDefault="00171AA8"/>
        </w:tc>
        <w:tc>
          <w:tcPr>
            <w:tcW w:w="0" w:type="auto"/>
            <w:vMerge/>
            <w:tcBorders>
              <w:top w:val="single" w:sz="4" w:space="0" w:color="000000"/>
              <w:left w:val="single" w:sz="4" w:space="0" w:color="000000"/>
              <w:bottom w:val="single" w:sz="4" w:space="0" w:color="000000"/>
              <w:right w:val="single" w:sz="4" w:space="0" w:color="000000"/>
            </w:tcBorders>
          </w:tcPr>
          <w:p w14:paraId="41F14C6E" w14:textId="77777777" w:rsidR="00171AA8" w:rsidRPr="00731FE2" w:rsidRDefault="00171AA8"/>
        </w:tc>
        <w:tc>
          <w:tcPr>
            <w:tcW w:w="29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10DEF53"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25-27 (Кисловодское)</w:t>
            </w:r>
          </w:p>
        </w:tc>
        <w:tc>
          <w:tcPr>
            <w:tcW w:w="12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EA33B69"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373</w:t>
            </w:r>
          </w:p>
        </w:tc>
        <w:tc>
          <w:tcPr>
            <w:tcW w:w="0" w:type="auto"/>
            <w:vMerge/>
            <w:tcBorders>
              <w:top w:val="single" w:sz="4" w:space="0" w:color="000000"/>
              <w:left w:val="single" w:sz="4" w:space="0" w:color="000000"/>
              <w:bottom w:val="single" w:sz="4" w:space="0" w:color="000000"/>
              <w:right w:val="single" w:sz="4" w:space="0" w:color="000000"/>
            </w:tcBorders>
          </w:tcPr>
          <w:p w14:paraId="072B1971" w14:textId="77777777" w:rsidR="00171AA8" w:rsidRPr="00731FE2" w:rsidRDefault="00171AA8"/>
        </w:tc>
      </w:tr>
    </w:tbl>
    <w:p w14:paraId="76646EE2" w14:textId="77777777" w:rsidR="00171AA8" w:rsidRPr="00731FE2" w:rsidRDefault="00171AA8">
      <w:pPr>
        <w:pBdr>
          <w:top w:val="none" w:sz="4" w:space="0" w:color="000000"/>
          <w:left w:val="none" w:sz="4" w:space="0" w:color="000000"/>
          <w:bottom w:val="none" w:sz="4" w:space="0" w:color="000000"/>
          <w:right w:val="none" w:sz="4" w:space="0" w:color="000000"/>
        </w:pBdr>
        <w:spacing w:line="253" w:lineRule="atLeast"/>
        <w:rPr>
          <w:rFonts w:ascii="Calibri" w:eastAsia="Calibri" w:hAnsi="Calibri" w:cs="Calibri"/>
          <w:sz w:val="22"/>
        </w:rPr>
      </w:pPr>
    </w:p>
    <w:p w14:paraId="05FEBBE2"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Учитывая то, что леса Кисловодского лесничества являются защитными лесами, перечень видов разрешенного использования лесов устанавливаются в соответствии с положениями главы 15 Лесного кодекса РФ, определяющей правовые режимы защитных лесов и особо защитных участков лесов.</w:t>
      </w:r>
    </w:p>
    <w:p w14:paraId="187A703F"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 xml:space="preserve">Указанные леса подлежат освоению в целях сохранения средообразующих, водоохранных, защитных, санитарно-гигиенических, оздоровительных и иных полезных функций лесов с одновременным использованием лесов при условии, если это использование совместимо с целевым назначением защитных лесов и выполняемыми ими защитными функциями. </w:t>
      </w:r>
    </w:p>
    <w:p w14:paraId="2C30DBA2"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Разрешенными видами использования лесов на территории лесничества, в соответствии с действующим законодательством, являются:</w:t>
      </w:r>
    </w:p>
    <w:p w14:paraId="696698E9"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 заготовка древесины;</w:t>
      </w:r>
    </w:p>
    <w:p w14:paraId="2005124A"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 заготовка живицы;</w:t>
      </w:r>
    </w:p>
    <w:p w14:paraId="7D9B6D15"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 заготовка и сбор недревесных лесных ресурсов;</w:t>
      </w:r>
    </w:p>
    <w:p w14:paraId="4EB4B46A"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 заготовка пищевых лесных ресурсов и сбор лекарственных растений;</w:t>
      </w:r>
    </w:p>
    <w:p w14:paraId="057A3508"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 осуществление видов деятельности в сфере охотничьего хозяйства;</w:t>
      </w:r>
    </w:p>
    <w:p w14:paraId="3C51244F"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 ведение сельского хозяйства;</w:t>
      </w:r>
    </w:p>
    <w:p w14:paraId="0FEAD194"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 осуществление научно-исследовательской деятельности, образовательной деятельности;</w:t>
      </w:r>
    </w:p>
    <w:p w14:paraId="3E76DD4D"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 осуществление рекреационной деятельности;</w:t>
      </w:r>
    </w:p>
    <w:p w14:paraId="7114B833"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 выращивание посадочного материала лесных растений (саженцев, сеянцев);</w:t>
      </w:r>
    </w:p>
    <w:p w14:paraId="42EB6594"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 выращивание лесных плодовых, ягодных, декоративных растений, лекарственных растений;</w:t>
      </w:r>
    </w:p>
    <w:p w14:paraId="5BA4ABB7"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 выполнение работ по геологическому изучению недр, разработка месторождений полезных ископаемых;</w:t>
      </w:r>
    </w:p>
    <w:p w14:paraId="575C7A39"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 строительство и эксплуатация водохранилищ, и иных искусственных объектов, а также гидротехнических сооружений и специализированных портов;</w:t>
      </w:r>
    </w:p>
    <w:p w14:paraId="11C9C862"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 строительство, реконструкция, эксплуатация линейных объектов;</w:t>
      </w:r>
    </w:p>
    <w:p w14:paraId="05190BC1"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 осуществление религиозной деятельности;</w:t>
      </w:r>
    </w:p>
    <w:p w14:paraId="2CE4AEC6"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 иные виды, определенные в соответствии с частью 2 ст. 6 Лесного кодекса РФ.</w:t>
      </w:r>
    </w:p>
    <w:p w14:paraId="5C11BC97"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lastRenderedPageBreak/>
        <w:t>Леса могут использоваться для одной или нескольких целей.</w:t>
      </w:r>
    </w:p>
    <w:p w14:paraId="2F7CE4D1"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 xml:space="preserve">Из основных проблем, имеющихся на территории Кисловодского лесничества, выделяется подверженность территории пожароопасным явлениям. Согласно данным Лесного плана Ставропольского края наиболее опасные в пожарном отношении участки леса (I, II классы) хвойные насаждения искусственного происхождения. Также, важной проблемой являются периодические вспышки массового размножения вредителей и болезней. </w:t>
      </w:r>
    </w:p>
    <w:p w14:paraId="6562F858"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b/>
          <w:bCs/>
          <w:color w:val="000000"/>
          <w:szCs w:val="24"/>
        </w:rPr>
      </w:pPr>
      <w:r w:rsidRPr="00731FE2">
        <w:rPr>
          <w:rFonts w:ascii="Times New Roman" w:eastAsia="Times New Roman" w:hAnsi="Times New Roman" w:cs="Times New Roman"/>
          <w:b/>
          <w:bCs/>
          <w:color w:val="000000"/>
          <w:szCs w:val="24"/>
        </w:rPr>
        <w:t>В целом общее санитарное состояние лесных ресурсов, расположенных в границах городского округа города-курорта Кисловодска,</w:t>
      </w:r>
      <w:r w:rsidR="001A2F20" w:rsidRPr="00731FE2">
        <w:rPr>
          <w:rFonts w:ascii="Times New Roman" w:eastAsia="Times New Roman" w:hAnsi="Times New Roman" w:cs="Times New Roman"/>
          <w:b/>
          <w:bCs/>
          <w:color w:val="000000"/>
          <w:szCs w:val="24"/>
        </w:rPr>
        <w:t xml:space="preserve"> в настоящее время отмечается </w:t>
      </w:r>
      <w:r w:rsidRPr="00731FE2">
        <w:rPr>
          <w:rFonts w:ascii="Times New Roman" w:eastAsia="Times New Roman" w:hAnsi="Times New Roman" w:cs="Times New Roman"/>
          <w:b/>
          <w:bCs/>
          <w:color w:val="000000"/>
          <w:szCs w:val="24"/>
        </w:rPr>
        <w:t xml:space="preserve">как удовлетворительное. </w:t>
      </w:r>
    </w:p>
    <w:p w14:paraId="20DE40AE" w14:textId="77777777" w:rsidR="00171AA8" w:rsidRPr="00731FE2" w:rsidRDefault="007935AB">
      <w:pPr>
        <w:pStyle w:val="33"/>
      </w:pPr>
      <w:bookmarkStart w:id="17" w:name="_Toc177392773"/>
      <w:r w:rsidRPr="00731FE2">
        <w:rPr>
          <w:rFonts w:ascii="Times New Roman" w:hAnsi="Times New Roman" w:cs="Times New Roman"/>
        </w:rPr>
        <w:t>2.2.6 Биологические ресурсы</w:t>
      </w:r>
      <w:bookmarkEnd w:id="17"/>
    </w:p>
    <w:p w14:paraId="09641E98"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Ведущими типами сохранившихся природных растительных сообществ являются луговые степи и лиственные леса. Травостой луговых степей состоит из злаков, разнотравья и влаголюбивых горно-луговых растений. На альпийских лугах городского округа произрастают свыше 800 видов травянистых растений.</w:t>
      </w:r>
    </w:p>
    <w:p w14:paraId="60F6565A"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 xml:space="preserve">Среди многочисленных видов растений, произрастающих на территории городского округа, важнейшее значение имеют те, которые обладают лекарственными свойствами. </w:t>
      </w:r>
      <w:proofErr w:type="gramStart"/>
      <w:r w:rsidRPr="00731FE2">
        <w:rPr>
          <w:rFonts w:ascii="Times New Roman" w:eastAsia="Times New Roman" w:hAnsi="Times New Roman" w:cs="Times New Roman"/>
          <w:color w:val="000000"/>
          <w:szCs w:val="24"/>
        </w:rPr>
        <w:t>Среди них: барбарис обыкновенный, боярышник обыкновенный, гинкго двулопастный, жимолость татарская, калина обыкновенная, кизил, лещина обыкновенная, можжевельник виргинский, облепиха обыкновенная и др. Видовое разнообразие и обширные ареалы произрастания лекарственных растений предоставляют возможности для осуществления их сбора, формирования мини-производств по их переработке в сельских населенных пунктах, входящих в состав городского округа.</w:t>
      </w:r>
      <w:proofErr w:type="gramEnd"/>
    </w:p>
    <w:p w14:paraId="655BB02E"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Кроме этого, значительная часть растений, произрастающих на территории округа, являются медоносами, что позволяет использовать ареалы их произрастания для производства уникального кавказского меда. Таким образом, растительный потенциал территории дает возможности для реализации некоторых экономических направлений развития округа и обеспечения занятости местного населения.</w:t>
      </w:r>
    </w:p>
    <w:p w14:paraId="0982CDB9"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 xml:space="preserve">Растительные ресурсы городского округа города-курорта Кисловодска играют важную роль для осуществления </w:t>
      </w:r>
      <w:proofErr w:type="gramStart"/>
      <w:r w:rsidRPr="00731FE2">
        <w:rPr>
          <w:rFonts w:ascii="Times New Roman" w:eastAsia="Times New Roman" w:hAnsi="Times New Roman" w:cs="Times New Roman"/>
          <w:color w:val="000000"/>
          <w:szCs w:val="24"/>
        </w:rPr>
        <w:t>природной</w:t>
      </w:r>
      <w:proofErr w:type="gramEnd"/>
      <w:r w:rsidRPr="00731FE2">
        <w:rPr>
          <w:rFonts w:ascii="Times New Roman" w:eastAsia="Times New Roman" w:hAnsi="Times New Roman" w:cs="Times New Roman"/>
          <w:color w:val="000000"/>
          <w:szCs w:val="24"/>
        </w:rPr>
        <w:t xml:space="preserve"> аэрофитотерапии (лечения фитонцидами). Эта роль связана со способностью некоторых растений </w:t>
      </w:r>
      <w:proofErr w:type="gramStart"/>
      <w:r w:rsidRPr="00731FE2">
        <w:rPr>
          <w:rFonts w:ascii="Times New Roman" w:eastAsia="Times New Roman" w:hAnsi="Times New Roman" w:cs="Times New Roman"/>
          <w:color w:val="000000"/>
          <w:szCs w:val="24"/>
        </w:rPr>
        <w:t>выделять</w:t>
      </w:r>
      <w:proofErr w:type="gramEnd"/>
      <w:r w:rsidRPr="00731FE2">
        <w:rPr>
          <w:rFonts w:ascii="Times New Roman" w:eastAsia="Times New Roman" w:hAnsi="Times New Roman" w:cs="Times New Roman"/>
          <w:color w:val="000000"/>
          <w:szCs w:val="24"/>
        </w:rPr>
        <w:t xml:space="preserve"> биологически активные летучие фитоорганические вещества (ЛФОВ или фитонциды). Основная часть ЛФОВ по качественному составу, физико-химическим свойствам и количественному содержанию в воздухе специфична для каждого вида растений. Эти особенности ЛФОВ определяют и различия в характере воздействия их на способность убивать бактерии, паразитические грибы, простейшие или подавлять их рост и развитие, оказывать то или иное физиологическое влияние на организм человека. </w:t>
      </w:r>
    </w:p>
    <w:p w14:paraId="7A1AF317"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 xml:space="preserve">Животный мир окрестностей Кисловодска небогат. </w:t>
      </w:r>
      <w:proofErr w:type="gramStart"/>
      <w:r w:rsidRPr="00731FE2">
        <w:rPr>
          <w:rFonts w:ascii="Times New Roman" w:eastAsia="Times New Roman" w:hAnsi="Times New Roman" w:cs="Times New Roman"/>
          <w:color w:val="000000"/>
          <w:szCs w:val="24"/>
        </w:rPr>
        <w:t>Здесь сохранилось незначительное количество видов диких животных – лисы, шакалы, зайцы, кроты, ласки, степной хорек, тушканчики, ежи (южный, ушастый), мыши-полевки, ящерицы, змеи (уж, полоз, степная гадюка).</w:t>
      </w:r>
      <w:proofErr w:type="gramEnd"/>
      <w:r w:rsidRPr="00731FE2">
        <w:rPr>
          <w:rFonts w:ascii="Times New Roman" w:eastAsia="Times New Roman" w:hAnsi="Times New Roman" w:cs="Times New Roman"/>
          <w:color w:val="000000"/>
          <w:szCs w:val="24"/>
        </w:rPr>
        <w:t xml:space="preserve"> Представлено более 120 видов птиц.</w:t>
      </w:r>
    </w:p>
    <w:p w14:paraId="76ECC518"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b/>
          <w:bCs/>
          <w:color w:val="000000"/>
          <w:szCs w:val="24"/>
        </w:rPr>
      </w:pPr>
      <w:r w:rsidRPr="00731FE2">
        <w:rPr>
          <w:rFonts w:ascii="Times New Roman" w:eastAsia="Times New Roman" w:hAnsi="Times New Roman" w:cs="Times New Roman"/>
          <w:b/>
          <w:bCs/>
          <w:color w:val="000000"/>
          <w:szCs w:val="24"/>
        </w:rPr>
        <w:t xml:space="preserve">Территория луговых степей подвержена обычной антропогенной нагрузке. Удовлетворительное состояние фрагментов природной лугово-степной флоры свидетельствует о ее устойчивости и реальных перспективах сохранения через </w:t>
      </w:r>
      <w:r w:rsidRPr="00731FE2">
        <w:rPr>
          <w:rFonts w:ascii="Times New Roman" w:eastAsia="Times New Roman" w:hAnsi="Times New Roman" w:cs="Times New Roman"/>
          <w:b/>
          <w:bCs/>
          <w:color w:val="000000"/>
          <w:szCs w:val="24"/>
        </w:rPr>
        <w:lastRenderedPageBreak/>
        <w:t>биомеханизмы самовоспроизводства и саморазвития в условиях щадящего режима использования территорий. Животный мир окрестностей Кисловодска небогат.</w:t>
      </w:r>
    </w:p>
    <w:p w14:paraId="745220C7" w14:textId="77777777" w:rsidR="00171AA8" w:rsidRPr="00731FE2" w:rsidRDefault="007935AB">
      <w:pPr>
        <w:pStyle w:val="33"/>
      </w:pPr>
      <w:bookmarkStart w:id="18" w:name="_Toc177392774"/>
      <w:r w:rsidRPr="00731FE2">
        <w:rPr>
          <w:rFonts w:ascii="Times New Roman" w:hAnsi="Times New Roman" w:cs="Times New Roman"/>
        </w:rPr>
        <w:t>2.2.7 Лечебно-рекреационные ресурсы</w:t>
      </w:r>
      <w:bookmarkEnd w:id="18"/>
    </w:p>
    <w:p w14:paraId="0DC06443"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Лечебно-рекреационные ресурсы городского округа города-курорта Кисловодска представлены минеральными водами, лечебными грязями, курортным парком (Национальный парк «Кисловодский»), уникальным природно-ландшафтным разнообразием в условиях особо благоприятного климата.</w:t>
      </w:r>
    </w:p>
    <w:p w14:paraId="28D31C75"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 xml:space="preserve">Кисловодск обладает умеренно континентальным климатом и признан одной из лучших горноклиматических станций для лечения больных с </w:t>
      </w:r>
      <w:proofErr w:type="gramStart"/>
      <w:r w:rsidRPr="00731FE2">
        <w:rPr>
          <w:rFonts w:ascii="Times New Roman" w:eastAsia="Times New Roman" w:hAnsi="Times New Roman" w:cs="Times New Roman"/>
          <w:color w:val="000000"/>
          <w:szCs w:val="24"/>
        </w:rPr>
        <w:t>сердечно-сосудистыми</w:t>
      </w:r>
      <w:proofErr w:type="gramEnd"/>
      <w:r w:rsidRPr="00731FE2">
        <w:rPr>
          <w:rFonts w:ascii="Times New Roman" w:eastAsia="Times New Roman" w:hAnsi="Times New Roman" w:cs="Times New Roman"/>
          <w:color w:val="000000"/>
          <w:szCs w:val="24"/>
        </w:rPr>
        <w:t xml:space="preserve"> и нервными заболеваниями. Обилие солнца в течение всего года, почти полное отсутствие туманов и затяжного ненастья, сравнительно высокая температура воздуха в зимние месяцы при почти полном затишье создают исключительные условия для климатического лечения в различные сезоны года.</w:t>
      </w:r>
    </w:p>
    <w:p w14:paraId="45F77E3C"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Минеральные воды – основа природно-лечебного потенциала города-курорта Кисловодска. Главное отличие Кисловодских источников – в различной минерализации, в различном насыщении воды углекислотой и в преобладании одного или нескольких химических веществ в минеральной воде. Кисловодские минеральные источники относятся к холодным углекисло-гидрокарбонатно-сульфатным кальциево-магниево-натриевым водам. Минеральная вода насыщена углекислым газом. Кроме основного источника Нарзана, Кисловодск располагает источниками: доломитный нарзан, сульфатный нарзан, источники № 12 и № 20. Доломитный и сульфатный нарзаны применяются для питьевого лечения, остальные в виде ванн.</w:t>
      </w:r>
    </w:p>
    <w:p w14:paraId="42B29372"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Наряду с минеральными водами в пределах городского округа города-курорта Кисловодска применяется для лечения иловая сульфидная грязь Тамбуканского озера, относящаяся по своим характеристикам к высокоминерализованным (М 30-70 г/дм</w:t>
      </w:r>
      <w:r w:rsidRPr="00731FE2">
        <w:rPr>
          <w:rFonts w:ascii="Times New Roman" w:eastAsia="Times New Roman" w:hAnsi="Times New Roman" w:cs="Times New Roman"/>
          <w:color w:val="000000"/>
          <w:szCs w:val="24"/>
          <w:vertAlign w:val="superscript"/>
        </w:rPr>
        <w:t>3</w:t>
      </w:r>
      <w:r w:rsidRPr="00731FE2">
        <w:rPr>
          <w:rFonts w:ascii="Times New Roman" w:eastAsia="Times New Roman" w:hAnsi="Times New Roman" w:cs="Times New Roman"/>
          <w:color w:val="000000"/>
          <w:szCs w:val="24"/>
        </w:rPr>
        <w:t>) сильносульфидным (FeS &gt; 0,5%) иловым грязям материкового происхождения. Запасы составляют около 900 тыс. м</w:t>
      </w:r>
      <w:r w:rsidRPr="00731FE2">
        <w:rPr>
          <w:rFonts w:ascii="Times New Roman" w:eastAsia="Times New Roman" w:hAnsi="Times New Roman" w:cs="Times New Roman"/>
          <w:color w:val="000000"/>
          <w:szCs w:val="24"/>
          <w:vertAlign w:val="superscript"/>
        </w:rPr>
        <w:t>3</w:t>
      </w:r>
      <w:r w:rsidRPr="00731FE2">
        <w:rPr>
          <w:rFonts w:ascii="Times New Roman" w:eastAsia="Times New Roman" w:hAnsi="Times New Roman" w:cs="Times New Roman"/>
          <w:color w:val="000000"/>
          <w:szCs w:val="24"/>
        </w:rPr>
        <w:t xml:space="preserve"> и обеспечивают крупнейший в мире узел грязелечебниц (во всех городах-курортах Кавказских Минеральных Вод) с общим числом процедурных кушеток – 600. В настоящее время объем добычи лечебной грязи составляет 1,5 тыс. м</w:t>
      </w:r>
      <w:r w:rsidRPr="00731FE2">
        <w:rPr>
          <w:rFonts w:ascii="Times New Roman" w:eastAsia="Times New Roman" w:hAnsi="Times New Roman" w:cs="Times New Roman"/>
          <w:color w:val="000000"/>
          <w:szCs w:val="24"/>
          <w:vertAlign w:val="superscript"/>
        </w:rPr>
        <w:t>3</w:t>
      </w:r>
      <w:r w:rsidRPr="00731FE2">
        <w:rPr>
          <w:rFonts w:ascii="Times New Roman" w:eastAsia="Times New Roman" w:hAnsi="Times New Roman" w:cs="Times New Roman"/>
          <w:color w:val="000000"/>
          <w:szCs w:val="24"/>
        </w:rPr>
        <w:t xml:space="preserve"> в год. </w:t>
      </w:r>
    </w:p>
    <w:p w14:paraId="57CF5979"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 xml:space="preserve">В условиях Кисловодского курорта особое значение приобрел двигательный режим на территории Национального парка «Кисловодский». Дозированная лечебная ходьба (горные восхождения – терренкур) оказывают непосредственное воздействие на </w:t>
      </w:r>
      <w:proofErr w:type="gramStart"/>
      <w:r w:rsidRPr="00731FE2">
        <w:rPr>
          <w:rFonts w:ascii="Times New Roman" w:eastAsia="Times New Roman" w:hAnsi="Times New Roman" w:cs="Times New Roman"/>
          <w:color w:val="000000"/>
          <w:szCs w:val="24"/>
        </w:rPr>
        <w:t>сердечно-сосудистую</w:t>
      </w:r>
      <w:proofErr w:type="gramEnd"/>
      <w:r w:rsidRPr="00731FE2">
        <w:rPr>
          <w:rFonts w:ascii="Times New Roman" w:eastAsia="Times New Roman" w:hAnsi="Times New Roman" w:cs="Times New Roman"/>
          <w:color w:val="000000"/>
          <w:szCs w:val="24"/>
        </w:rPr>
        <w:t xml:space="preserve"> систему, предъявляя к ней с каждой прогулкой более высокие требования, повышается тонус центральной нервной системы – коры головного мозга. </w:t>
      </w:r>
    </w:p>
    <w:p w14:paraId="48A867B9"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Национальный парк «Кисловодский», по сути, обладает целым комплексом лечебно-рекреационных ресурсов, к которым, в первую очередь, можно отнести следующие:</w:t>
      </w:r>
    </w:p>
    <w:p w14:paraId="7FA00C34"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 уникальные микроклиматические условия с высокой ионизацией воздуха, который насыщен фитонцидами, выделяемыми специально подобранными древесными породами растений;</w:t>
      </w:r>
    </w:p>
    <w:p w14:paraId="3A012B97"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 особый природный ландшафт, позволяющий формировать маршруты для лечебной ходьбы – терренкуры. Общая протяжённость маршрутов терренкура составляет более 30 км, на высоте от 800 до 1409 м над уровнем моря (всего 7 маршрутов: №</w:t>
      </w:r>
      <w:r w:rsidR="00A31712" w:rsidRPr="00731FE2">
        <w:rPr>
          <w:rFonts w:ascii="Times New Roman" w:eastAsia="Times New Roman" w:hAnsi="Times New Roman" w:cs="Times New Roman"/>
          <w:color w:val="000000"/>
          <w:szCs w:val="24"/>
        </w:rPr>
        <w:t>1, №</w:t>
      </w:r>
      <w:r w:rsidRPr="00731FE2">
        <w:rPr>
          <w:rFonts w:ascii="Times New Roman" w:eastAsia="Times New Roman" w:hAnsi="Times New Roman" w:cs="Times New Roman"/>
          <w:color w:val="000000"/>
          <w:szCs w:val="24"/>
        </w:rPr>
        <w:t>1-А, №</w:t>
      </w:r>
      <w:r w:rsidR="00A31712" w:rsidRPr="00731FE2">
        <w:rPr>
          <w:rFonts w:ascii="Times New Roman" w:eastAsia="Times New Roman" w:hAnsi="Times New Roman" w:cs="Times New Roman"/>
          <w:color w:val="000000"/>
          <w:szCs w:val="24"/>
        </w:rPr>
        <w:t>2, №</w:t>
      </w:r>
      <w:r w:rsidRPr="00731FE2">
        <w:rPr>
          <w:rFonts w:ascii="Times New Roman" w:eastAsia="Times New Roman" w:hAnsi="Times New Roman" w:cs="Times New Roman"/>
          <w:color w:val="000000"/>
          <w:szCs w:val="24"/>
        </w:rPr>
        <w:t>2-А, №2-Б, №</w:t>
      </w:r>
      <w:r w:rsidR="00A31712" w:rsidRPr="00731FE2">
        <w:rPr>
          <w:rFonts w:ascii="Times New Roman" w:eastAsia="Times New Roman" w:hAnsi="Times New Roman" w:cs="Times New Roman"/>
          <w:color w:val="000000"/>
          <w:szCs w:val="24"/>
        </w:rPr>
        <w:t>3, Маршрут</w:t>
      </w:r>
      <w:r w:rsidRPr="00731FE2">
        <w:rPr>
          <w:rFonts w:ascii="Times New Roman" w:eastAsia="Times New Roman" w:hAnsi="Times New Roman" w:cs="Times New Roman"/>
          <w:color w:val="000000"/>
          <w:szCs w:val="24"/>
        </w:rPr>
        <w:t xml:space="preserve"> с увеличенным нисходящим компонентом);</w:t>
      </w:r>
    </w:p>
    <w:p w14:paraId="59F20DB4"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lastRenderedPageBreak/>
        <w:t>- видовой состав растительного и животного мира – на территории национального парка зарегистрировано более 250 древесных пород, более 900 видов травянистых растений, более 200 видов птиц и около 40 видов млекопитающих. При этом около 50 видов растений и животных занесено в Красные книги России и Ставропольского края;</w:t>
      </w:r>
    </w:p>
    <w:p w14:paraId="3604A807"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 культурно-эстетический ландшафт, позволяющий рассматривать территорию национального парка «Кисловодский» как одно из основных и главных общественных пространств городского округа.</w:t>
      </w:r>
    </w:p>
    <w:p w14:paraId="6BAEF520"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 xml:space="preserve">Таким образом, комплексное использование сложившихся и </w:t>
      </w:r>
      <w:r w:rsidR="001A2F20" w:rsidRPr="00731FE2">
        <w:rPr>
          <w:rFonts w:ascii="Times New Roman" w:eastAsia="Times New Roman" w:hAnsi="Times New Roman" w:cs="Times New Roman"/>
          <w:color w:val="000000"/>
          <w:szCs w:val="24"/>
        </w:rPr>
        <w:t>потенциальных лечебно-рекреационных условий,</w:t>
      </w:r>
      <w:r w:rsidRPr="00731FE2">
        <w:rPr>
          <w:rFonts w:ascii="Times New Roman" w:eastAsia="Times New Roman" w:hAnsi="Times New Roman" w:cs="Times New Roman"/>
          <w:color w:val="000000"/>
          <w:szCs w:val="24"/>
        </w:rPr>
        <w:t xml:space="preserve"> и ресурсов позволит: во-первых, усилить и акцентировать специализацию Кисловодска, как туристско-рекреационного центра и курорта; во-вторых, полностью обеспечивает развитие городского округа как курорта мирового уровня; в-третьих, дает возможности для развития туристско-рекреационной инфраструктуры и сопутствующих курортной и туристической сферам отраслей экономики.</w:t>
      </w:r>
    </w:p>
    <w:p w14:paraId="31FEABA3" w14:textId="77777777" w:rsidR="00171AA8" w:rsidRPr="00731FE2" w:rsidRDefault="007935AB">
      <w:pPr>
        <w:pStyle w:val="33"/>
        <w:rPr>
          <w:rFonts w:ascii="Times New Roman" w:hAnsi="Times New Roman" w:cs="Times New Roman"/>
        </w:rPr>
      </w:pPr>
      <w:bookmarkStart w:id="19" w:name="_Toc177392775"/>
      <w:r w:rsidRPr="00731FE2">
        <w:rPr>
          <w:rFonts w:ascii="Times New Roman" w:hAnsi="Times New Roman" w:cs="Times New Roman"/>
        </w:rPr>
        <w:t>2.2.8 Пункты государственной наблюдательной сети</w:t>
      </w:r>
      <w:bookmarkEnd w:id="19"/>
    </w:p>
    <w:p w14:paraId="120B4BFB"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 xml:space="preserve">Наблюдения за состоянием окружающей среды на территории городского округа города-курорта Кисловодска проводятся Государственной службой наблюдения. Материал данного раздела подготовлен на основании информации с официального сайта Федерального государственного бюджетного учреждения «Северо-Кавказское управление по гидрометеорологии и </w:t>
      </w:r>
      <w:r w:rsidR="001A2F20" w:rsidRPr="00731FE2">
        <w:rPr>
          <w:rFonts w:ascii="Times New Roman" w:eastAsia="Times New Roman" w:hAnsi="Times New Roman" w:cs="Times New Roman"/>
          <w:color w:val="000000"/>
          <w:szCs w:val="24"/>
        </w:rPr>
        <w:t>мониторингу окружающей среды» (</w:t>
      </w:r>
      <w:r w:rsidRPr="00731FE2">
        <w:rPr>
          <w:rFonts w:ascii="Times New Roman" w:eastAsia="Times New Roman" w:hAnsi="Times New Roman" w:cs="Times New Roman"/>
          <w:color w:val="000000"/>
          <w:szCs w:val="24"/>
        </w:rPr>
        <w:t>ФГБУ «Северо-Кавказское УГМС»).</w:t>
      </w:r>
    </w:p>
    <w:p w14:paraId="566EA5C3"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proofErr w:type="gramStart"/>
      <w:r w:rsidRPr="00731FE2">
        <w:rPr>
          <w:rFonts w:ascii="Times New Roman" w:eastAsia="Times New Roman" w:hAnsi="Times New Roman" w:cs="Times New Roman"/>
          <w:color w:val="000000"/>
          <w:szCs w:val="24"/>
        </w:rPr>
        <w:t xml:space="preserve">Приказом ФГБУ «Северо-Кавказское УГМС» от 01.03.2022 </w:t>
      </w:r>
      <w:hyperlink r:id="rId14" w:tooltip="https://yugmeteo.donpac.ru/export/sites/default/Observation/order-40.pdf" w:history="1">
        <w:r w:rsidRPr="00731FE2">
          <w:rPr>
            <w:rFonts w:ascii="Times New Roman" w:eastAsia="Times New Roman" w:hAnsi="Times New Roman" w:cs="Times New Roman"/>
            <w:color w:val="000000"/>
            <w:szCs w:val="24"/>
          </w:rPr>
          <w:t>№40</w:t>
        </w:r>
      </w:hyperlink>
      <w:r w:rsidRPr="00731FE2">
        <w:rPr>
          <w:rFonts w:ascii="Times New Roman" w:eastAsia="Times New Roman" w:hAnsi="Times New Roman" w:cs="Times New Roman"/>
          <w:color w:val="000000"/>
          <w:szCs w:val="24"/>
        </w:rPr>
        <w:t xml:space="preserve"> для исполнения Федеральной службой по гидрометеорологии и мониторингу окружающей среды государственной функции по обеспечению функционирования на территории Российской Федерации пунктов гидрометеорологических наблюдений и системы получения, сбора и распространения гидрометеорологической информации утвержден «Перечень наблюдательных подразделений Ставропольского центра по гидрометеорологии и мониторингу окружающей среды – филиала ФГБУ «Северо-Кавказское УГМС».</w:t>
      </w:r>
      <w:proofErr w:type="gramEnd"/>
    </w:p>
    <w:p w14:paraId="6DDA11EA"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Сведения о пунктах наблюдения, расположенных на территории городского округа города-курорта Кисловодска представлены в таблице ниже.</w:t>
      </w:r>
    </w:p>
    <w:p w14:paraId="61EE234F" w14:textId="77777777" w:rsidR="00171AA8" w:rsidRPr="00731FE2" w:rsidRDefault="00171AA8">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p>
    <w:p w14:paraId="07CD7DB9" w14:textId="77777777" w:rsidR="00171AA8" w:rsidRPr="00731FE2" w:rsidRDefault="007935AB">
      <w:pPr>
        <w:pBdr>
          <w:top w:val="none" w:sz="4" w:space="0" w:color="000000"/>
          <w:left w:val="none" w:sz="4" w:space="0" w:color="000000"/>
          <w:bottom w:val="none" w:sz="4" w:space="0" w:color="000000"/>
          <w:right w:val="none" w:sz="4" w:space="0" w:color="000000"/>
        </w:pBdr>
        <w:spacing w:line="253" w:lineRule="atLeast"/>
        <w:ind w:firstLine="0"/>
      </w:pPr>
      <w:r w:rsidRPr="00731FE2">
        <w:rPr>
          <w:rFonts w:ascii="Times New Roman" w:eastAsia="Times New Roman" w:hAnsi="Times New Roman" w:cs="Times New Roman"/>
          <w:b/>
          <w:bCs/>
          <w:color w:val="000000"/>
          <w:szCs w:val="24"/>
        </w:rPr>
        <w:t xml:space="preserve">Таблица </w:t>
      </w:r>
      <w:r w:rsidRPr="00731FE2">
        <w:rPr>
          <w:rFonts w:ascii="Times New Roman" w:eastAsia="Times New Roman" w:hAnsi="Times New Roman" w:cs="Times New Roman"/>
          <w:b/>
          <w:bCs/>
          <w:color w:val="000000"/>
          <w:szCs w:val="24"/>
        </w:rPr>
        <w:fldChar w:fldCharType="begin"/>
      </w:r>
      <w:r w:rsidRPr="00731FE2">
        <w:rPr>
          <w:rFonts w:ascii="Times New Roman" w:eastAsia="Times New Roman" w:hAnsi="Times New Roman" w:cs="Times New Roman"/>
          <w:b/>
          <w:bCs/>
          <w:color w:val="000000"/>
          <w:szCs w:val="24"/>
        </w:rPr>
        <w:instrText xml:space="preserve"> SEQ Таблица \* Arabic </w:instrText>
      </w:r>
      <w:r w:rsidRPr="00731FE2">
        <w:rPr>
          <w:rFonts w:ascii="Times New Roman" w:eastAsia="Times New Roman" w:hAnsi="Times New Roman" w:cs="Times New Roman"/>
          <w:b/>
          <w:bCs/>
          <w:color w:val="000000"/>
          <w:szCs w:val="24"/>
        </w:rPr>
        <w:fldChar w:fldCharType="separate"/>
      </w:r>
      <w:r w:rsidR="00C50915" w:rsidRPr="00731FE2">
        <w:rPr>
          <w:rFonts w:ascii="Times New Roman" w:eastAsia="Times New Roman" w:hAnsi="Times New Roman" w:cs="Times New Roman"/>
          <w:b/>
          <w:bCs/>
          <w:noProof/>
          <w:color w:val="000000"/>
          <w:szCs w:val="24"/>
        </w:rPr>
        <w:t>6</w:t>
      </w:r>
      <w:r w:rsidRPr="00731FE2">
        <w:rPr>
          <w:rFonts w:ascii="Times New Roman" w:eastAsia="Times New Roman" w:hAnsi="Times New Roman" w:cs="Times New Roman"/>
          <w:b/>
          <w:bCs/>
          <w:color w:val="000000"/>
          <w:szCs w:val="24"/>
        </w:rPr>
        <w:fldChar w:fldCharType="end"/>
      </w:r>
      <w:r w:rsidRPr="00731FE2">
        <w:rPr>
          <w:rFonts w:ascii="Times New Roman" w:eastAsia="Times New Roman" w:hAnsi="Times New Roman" w:cs="Times New Roman"/>
          <w:b/>
          <w:bCs/>
          <w:color w:val="000000"/>
          <w:szCs w:val="24"/>
        </w:rPr>
        <w:t xml:space="preserve"> – Перечень стационарных пунктов наблюдения за состоянием окружающей среды городского округа города-курорта Кисловодска</w:t>
      </w:r>
      <w:r w:rsidRPr="00731FE2">
        <w:rPr>
          <w:rFonts w:ascii="Times New Roman" w:eastAsia="Times New Roman" w:hAnsi="Times New Roman" w:cs="Times New Roman"/>
          <w:b/>
          <w:bCs/>
          <w:color w:val="000000"/>
          <w:szCs w:val="24"/>
          <w:vertAlign w:val="superscript"/>
        </w:rPr>
        <w:footnoteReference w:id="15"/>
      </w:r>
    </w:p>
    <w:tbl>
      <w:tblPr>
        <w:tblStyle w:val="afe"/>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ayout w:type="fixed"/>
        <w:tblLook w:val="04A0" w:firstRow="1" w:lastRow="0" w:firstColumn="1" w:lastColumn="0" w:noHBand="0" w:noVBand="1"/>
      </w:tblPr>
      <w:tblGrid>
        <w:gridCol w:w="481"/>
        <w:gridCol w:w="1873"/>
        <w:gridCol w:w="1592"/>
        <w:gridCol w:w="1157"/>
        <w:gridCol w:w="1801"/>
        <w:gridCol w:w="997"/>
        <w:gridCol w:w="1455"/>
      </w:tblGrid>
      <w:tr w:rsidR="00171AA8" w:rsidRPr="00731FE2" w14:paraId="3CA8930A" w14:textId="77777777">
        <w:tc>
          <w:tcPr>
            <w:tcW w:w="48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15CC486"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rPr>
            </w:pPr>
            <w:r w:rsidRPr="00731FE2">
              <w:rPr>
                <w:rFonts w:ascii="Times New Roman" w:eastAsia="Times New Roman" w:hAnsi="Times New Roman" w:cs="Times New Roman"/>
                <w:color w:val="000000"/>
                <w:sz w:val="22"/>
              </w:rPr>
              <w:t xml:space="preserve">№ </w:t>
            </w:r>
            <w:proofErr w:type="gramStart"/>
            <w:r w:rsidRPr="00731FE2">
              <w:rPr>
                <w:rFonts w:ascii="Times New Roman" w:eastAsia="Times New Roman" w:hAnsi="Times New Roman" w:cs="Times New Roman"/>
                <w:color w:val="000000"/>
                <w:sz w:val="22"/>
              </w:rPr>
              <w:t>п</w:t>
            </w:r>
            <w:proofErr w:type="gramEnd"/>
            <w:r w:rsidRPr="00731FE2">
              <w:rPr>
                <w:rFonts w:ascii="Times New Roman" w:eastAsia="Times New Roman" w:hAnsi="Times New Roman" w:cs="Times New Roman"/>
                <w:color w:val="000000"/>
                <w:sz w:val="22"/>
              </w:rPr>
              <w:t>/п</w:t>
            </w:r>
          </w:p>
        </w:tc>
        <w:tc>
          <w:tcPr>
            <w:tcW w:w="1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EEC29DD"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rPr>
            </w:pPr>
            <w:r w:rsidRPr="00731FE2">
              <w:rPr>
                <w:rFonts w:ascii="Times New Roman" w:eastAsia="Times New Roman" w:hAnsi="Times New Roman" w:cs="Times New Roman"/>
                <w:color w:val="000000"/>
                <w:sz w:val="22"/>
              </w:rPr>
              <w:t>Наименование</w:t>
            </w:r>
          </w:p>
        </w:tc>
        <w:tc>
          <w:tcPr>
            <w:tcW w:w="15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50ECD64"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Расположение</w:t>
            </w:r>
          </w:p>
        </w:tc>
        <w:tc>
          <w:tcPr>
            <w:tcW w:w="11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3EA4174"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rPr>
            </w:pPr>
            <w:r w:rsidRPr="00731FE2">
              <w:rPr>
                <w:rFonts w:ascii="Times New Roman" w:eastAsia="Times New Roman" w:hAnsi="Times New Roman" w:cs="Times New Roman"/>
                <w:color w:val="000000"/>
                <w:sz w:val="22"/>
              </w:rPr>
              <w:t>Год ввода в эксплуатацию</w:t>
            </w:r>
          </w:p>
        </w:tc>
        <w:tc>
          <w:tcPr>
            <w:tcW w:w="18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CDDEDF5"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rPr>
            </w:pPr>
            <w:r w:rsidRPr="00731FE2">
              <w:rPr>
                <w:rFonts w:ascii="Times New Roman" w:eastAsia="Times New Roman" w:hAnsi="Times New Roman" w:cs="Times New Roman"/>
                <w:color w:val="000000"/>
                <w:sz w:val="22"/>
              </w:rPr>
              <w:t>Кадастровый номер</w:t>
            </w:r>
          </w:p>
        </w:tc>
        <w:tc>
          <w:tcPr>
            <w:tcW w:w="99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8FEC2B8"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rPr>
            </w:pPr>
            <w:r w:rsidRPr="00731FE2">
              <w:rPr>
                <w:rFonts w:ascii="Times New Roman" w:eastAsia="Times New Roman" w:hAnsi="Times New Roman" w:cs="Times New Roman"/>
                <w:color w:val="000000"/>
                <w:sz w:val="22"/>
              </w:rPr>
              <w:t>Общая площадь, м</w:t>
            </w:r>
            <w:proofErr w:type="gramStart"/>
            <w:r w:rsidRPr="00731FE2">
              <w:rPr>
                <w:rFonts w:ascii="Times New Roman" w:eastAsia="Times New Roman" w:hAnsi="Times New Roman" w:cs="Times New Roman"/>
                <w:color w:val="000000"/>
                <w:sz w:val="22"/>
              </w:rPr>
              <w:t>2</w:t>
            </w:r>
            <w:proofErr w:type="gramEnd"/>
          </w:p>
        </w:tc>
        <w:tc>
          <w:tcPr>
            <w:tcW w:w="14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080EA48"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rPr>
            </w:pPr>
            <w:r w:rsidRPr="00731FE2">
              <w:rPr>
                <w:rFonts w:ascii="Times New Roman" w:eastAsia="Times New Roman" w:hAnsi="Times New Roman" w:cs="Times New Roman"/>
                <w:color w:val="000000"/>
                <w:sz w:val="22"/>
              </w:rPr>
              <w:t>Зоны с особыми условиями использования</w:t>
            </w:r>
          </w:p>
        </w:tc>
      </w:tr>
      <w:tr w:rsidR="00171AA8" w:rsidRPr="00731FE2" w14:paraId="7F6E8123" w14:textId="77777777">
        <w:tc>
          <w:tcPr>
            <w:tcW w:w="48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A1DBA08"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rPr>
            </w:pPr>
            <w:r w:rsidRPr="00731FE2">
              <w:rPr>
                <w:rFonts w:ascii="Times New Roman" w:eastAsia="Times New Roman" w:hAnsi="Times New Roman" w:cs="Times New Roman"/>
                <w:color w:val="000000"/>
                <w:sz w:val="22"/>
              </w:rPr>
              <w:t>1.</w:t>
            </w:r>
          </w:p>
        </w:tc>
        <w:tc>
          <w:tcPr>
            <w:tcW w:w="1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1767EC0"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rPr>
            </w:pPr>
            <w:r w:rsidRPr="00731FE2">
              <w:rPr>
                <w:rFonts w:ascii="Times New Roman" w:eastAsia="Times New Roman" w:hAnsi="Times New Roman" w:cs="Times New Roman"/>
                <w:color w:val="000000"/>
                <w:sz w:val="22"/>
              </w:rPr>
              <w:t xml:space="preserve">Метеорологическая станция I разряда «Кисловодск» </w:t>
            </w:r>
          </w:p>
          <w:p w14:paraId="49E96E48"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rPr>
            </w:pPr>
            <w:r w:rsidRPr="00731FE2">
              <w:rPr>
                <w:rFonts w:ascii="Times New Roman" w:eastAsia="Times New Roman" w:hAnsi="Times New Roman" w:cs="Times New Roman"/>
                <w:color w:val="000000"/>
                <w:sz w:val="22"/>
              </w:rPr>
              <w:lastRenderedPageBreak/>
              <w:t>(М-1 «Кисловодск»)</w:t>
            </w:r>
          </w:p>
        </w:tc>
        <w:tc>
          <w:tcPr>
            <w:tcW w:w="1592"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B389487"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rPr>
            </w:pPr>
            <w:r w:rsidRPr="00731FE2">
              <w:rPr>
                <w:rFonts w:ascii="Times New Roman" w:eastAsia="Times New Roman" w:hAnsi="Times New Roman" w:cs="Times New Roman"/>
                <w:color w:val="000000"/>
                <w:sz w:val="22"/>
              </w:rPr>
              <w:lastRenderedPageBreak/>
              <w:t xml:space="preserve">Ставропольский край, город-курорт Кисловодск, </w:t>
            </w:r>
            <w:r w:rsidRPr="00731FE2">
              <w:rPr>
                <w:rFonts w:ascii="Times New Roman" w:eastAsia="Times New Roman" w:hAnsi="Times New Roman" w:cs="Times New Roman"/>
                <w:color w:val="000000"/>
                <w:sz w:val="22"/>
              </w:rPr>
              <w:lastRenderedPageBreak/>
              <w:t>пер. Штукатурный, 25</w:t>
            </w:r>
          </w:p>
        </w:tc>
        <w:tc>
          <w:tcPr>
            <w:tcW w:w="11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4A6C6B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rPr>
            </w:pPr>
            <w:r w:rsidRPr="00731FE2">
              <w:rPr>
                <w:rFonts w:ascii="Times New Roman" w:eastAsia="Times New Roman" w:hAnsi="Times New Roman" w:cs="Times New Roman"/>
                <w:color w:val="000000"/>
                <w:sz w:val="22"/>
              </w:rPr>
              <w:lastRenderedPageBreak/>
              <w:t>1849</w:t>
            </w:r>
          </w:p>
        </w:tc>
        <w:tc>
          <w:tcPr>
            <w:tcW w:w="1801"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D238711"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rPr>
            </w:pPr>
            <w:r w:rsidRPr="00731FE2">
              <w:rPr>
                <w:rFonts w:ascii="Times New Roman" w:eastAsia="Times New Roman" w:hAnsi="Times New Roman" w:cs="Times New Roman"/>
                <w:color w:val="000000"/>
                <w:sz w:val="22"/>
              </w:rPr>
              <w:t>26:34:030309:1</w:t>
            </w:r>
          </w:p>
        </w:tc>
        <w:tc>
          <w:tcPr>
            <w:tcW w:w="99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70196C8"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rPr>
            </w:pPr>
            <w:r w:rsidRPr="00731FE2">
              <w:rPr>
                <w:rFonts w:ascii="Times New Roman" w:eastAsia="Times New Roman" w:hAnsi="Times New Roman" w:cs="Times New Roman"/>
                <w:color w:val="000000"/>
                <w:sz w:val="22"/>
              </w:rPr>
              <w:t>2824 (Здания: литера</w:t>
            </w:r>
            <w:proofErr w:type="gramStart"/>
            <w:r w:rsidRPr="00731FE2">
              <w:rPr>
                <w:rFonts w:ascii="Times New Roman" w:eastAsia="Times New Roman" w:hAnsi="Times New Roman" w:cs="Times New Roman"/>
                <w:color w:val="000000"/>
                <w:sz w:val="22"/>
              </w:rPr>
              <w:t xml:space="preserve"> А</w:t>
            </w:r>
            <w:proofErr w:type="gramEnd"/>
            <w:r w:rsidRPr="00731FE2">
              <w:rPr>
                <w:rFonts w:ascii="Times New Roman" w:eastAsia="Times New Roman" w:hAnsi="Times New Roman" w:cs="Times New Roman"/>
                <w:color w:val="000000"/>
                <w:sz w:val="22"/>
              </w:rPr>
              <w:t xml:space="preserve"> – </w:t>
            </w:r>
            <w:r w:rsidRPr="00731FE2">
              <w:rPr>
                <w:rFonts w:ascii="Times New Roman" w:eastAsia="Times New Roman" w:hAnsi="Times New Roman" w:cs="Times New Roman"/>
                <w:color w:val="000000"/>
                <w:sz w:val="22"/>
              </w:rPr>
              <w:lastRenderedPageBreak/>
              <w:t>222,6;</w:t>
            </w:r>
          </w:p>
          <w:p w14:paraId="63023705"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rPr>
            </w:pPr>
            <w:r w:rsidRPr="00731FE2">
              <w:rPr>
                <w:rFonts w:ascii="Times New Roman" w:eastAsia="Times New Roman" w:hAnsi="Times New Roman" w:cs="Times New Roman"/>
                <w:color w:val="000000"/>
                <w:sz w:val="22"/>
              </w:rPr>
              <w:t>Литера</w:t>
            </w:r>
            <w:proofErr w:type="gramStart"/>
            <w:r w:rsidRPr="00731FE2">
              <w:rPr>
                <w:rFonts w:ascii="Times New Roman" w:eastAsia="Times New Roman" w:hAnsi="Times New Roman" w:cs="Times New Roman"/>
                <w:color w:val="000000"/>
                <w:sz w:val="22"/>
              </w:rPr>
              <w:t xml:space="preserve"> Б</w:t>
            </w:r>
            <w:proofErr w:type="gramEnd"/>
            <w:r w:rsidRPr="00731FE2">
              <w:rPr>
                <w:rFonts w:ascii="Times New Roman" w:eastAsia="Times New Roman" w:hAnsi="Times New Roman" w:cs="Times New Roman"/>
                <w:color w:val="000000"/>
                <w:sz w:val="22"/>
              </w:rPr>
              <w:t xml:space="preserve"> – 42,2)</w:t>
            </w:r>
          </w:p>
        </w:tc>
        <w:tc>
          <w:tcPr>
            <w:tcW w:w="1455"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70595C7"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rPr>
            </w:pPr>
            <w:r w:rsidRPr="00731FE2">
              <w:rPr>
                <w:rFonts w:ascii="Times New Roman" w:eastAsia="Times New Roman" w:hAnsi="Times New Roman" w:cs="Times New Roman"/>
                <w:color w:val="000000"/>
                <w:sz w:val="22"/>
              </w:rPr>
              <w:lastRenderedPageBreak/>
              <w:t>200 м</w:t>
            </w:r>
          </w:p>
          <w:p w14:paraId="5C4FE0C3"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rPr>
            </w:pPr>
            <w:r w:rsidRPr="00731FE2">
              <w:rPr>
                <w:rFonts w:ascii="Times New Roman" w:eastAsia="Times New Roman" w:hAnsi="Times New Roman" w:cs="Times New Roman"/>
                <w:color w:val="000000"/>
                <w:sz w:val="22"/>
              </w:rPr>
              <w:t>(учетный №26.34.2.27)</w:t>
            </w:r>
          </w:p>
        </w:tc>
      </w:tr>
      <w:tr w:rsidR="00171AA8" w:rsidRPr="00731FE2" w14:paraId="0CDFB2FE" w14:textId="77777777">
        <w:tc>
          <w:tcPr>
            <w:tcW w:w="48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D5D15EC"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rPr>
            </w:pPr>
            <w:r w:rsidRPr="00731FE2">
              <w:rPr>
                <w:rFonts w:ascii="Times New Roman" w:eastAsia="Times New Roman" w:hAnsi="Times New Roman" w:cs="Times New Roman"/>
                <w:color w:val="000000"/>
                <w:sz w:val="22"/>
              </w:rPr>
              <w:lastRenderedPageBreak/>
              <w:t>2.</w:t>
            </w:r>
          </w:p>
        </w:tc>
        <w:tc>
          <w:tcPr>
            <w:tcW w:w="1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71EE278"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rPr>
            </w:pPr>
            <w:r w:rsidRPr="00731FE2">
              <w:rPr>
                <w:rFonts w:ascii="Times New Roman" w:eastAsia="Times New Roman" w:hAnsi="Times New Roman" w:cs="Times New Roman"/>
                <w:color w:val="000000"/>
                <w:sz w:val="22"/>
              </w:rPr>
              <w:t>Пункт наблюдения за атмосферным воздухом «Кисловодск №1» (ПНЗ №1)</w:t>
            </w:r>
          </w:p>
        </w:tc>
        <w:tc>
          <w:tcPr>
            <w:tcW w:w="1592" w:type="dxa"/>
            <w:vMerge/>
            <w:tcBorders>
              <w:top w:val="single" w:sz="4" w:space="0" w:color="000000"/>
              <w:left w:val="single" w:sz="4" w:space="0" w:color="000000"/>
              <w:bottom w:val="single" w:sz="4" w:space="0" w:color="000000"/>
              <w:right w:val="single" w:sz="4" w:space="0" w:color="000000"/>
            </w:tcBorders>
          </w:tcPr>
          <w:p w14:paraId="46E2C001" w14:textId="77777777" w:rsidR="00171AA8" w:rsidRPr="00731FE2" w:rsidRDefault="00171AA8"/>
        </w:tc>
        <w:tc>
          <w:tcPr>
            <w:tcW w:w="11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3ECB8D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rPr>
            </w:pPr>
            <w:r w:rsidRPr="00731FE2">
              <w:rPr>
                <w:rFonts w:ascii="Times New Roman" w:eastAsia="Times New Roman" w:hAnsi="Times New Roman" w:cs="Times New Roman"/>
                <w:color w:val="000000"/>
                <w:sz w:val="22"/>
              </w:rPr>
              <w:t>1982</w:t>
            </w:r>
          </w:p>
        </w:tc>
        <w:tc>
          <w:tcPr>
            <w:tcW w:w="1801" w:type="dxa"/>
            <w:vMerge/>
            <w:tcBorders>
              <w:top w:val="single" w:sz="4" w:space="0" w:color="000000"/>
              <w:left w:val="single" w:sz="4" w:space="0" w:color="000000"/>
              <w:bottom w:val="single" w:sz="4" w:space="0" w:color="000000"/>
              <w:right w:val="single" w:sz="4" w:space="0" w:color="000000"/>
            </w:tcBorders>
          </w:tcPr>
          <w:p w14:paraId="2B7CA93D" w14:textId="77777777" w:rsidR="00171AA8" w:rsidRPr="00731FE2" w:rsidRDefault="00171AA8"/>
        </w:tc>
        <w:tc>
          <w:tcPr>
            <w:tcW w:w="99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875506A"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rPr>
            </w:pPr>
            <w:r w:rsidRPr="00731FE2">
              <w:rPr>
                <w:rFonts w:ascii="Times New Roman" w:eastAsia="Times New Roman" w:hAnsi="Times New Roman" w:cs="Times New Roman"/>
                <w:color w:val="000000"/>
                <w:sz w:val="22"/>
              </w:rPr>
              <w:t>6 – павильон</w:t>
            </w:r>
          </w:p>
        </w:tc>
        <w:tc>
          <w:tcPr>
            <w:tcW w:w="1455" w:type="dxa"/>
            <w:vMerge/>
            <w:tcBorders>
              <w:top w:val="single" w:sz="4" w:space="0" w:color="000000"/>
              <w:left w:val="single" w:sz="4" w:space="0" w:color="000000"/>
              <w:bottom w:val="single" w:sz="4" w:space="0" w:color="000000"/>
              <w:right w:val="single" w:sz="4" w:space="0" w:color="000000"/>
            </w:tcBorders>
          </w:tcPr>
          <w:p w14:paraId="779AE8BE" w14:textId="77777777" w:rsidR="00171AA8" w:rsidRPr="00731FE2" w:rsidRDefault="00171AA8"/>
        </w:tc>
      </w:tr>
      <w:tr w:rsidR="00171AA8" w:rsidRPr="00731FE2" w14:paraId="61E5FB8F" w14:textId="77777777">
        <w:tc>
          <w:tcPr>
            <w:tcW w:w="48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CE27863"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rPr>
            </w:pPr>
            <w:r w:rsidRPr="00731FE2">
              <w:rPr>
                <w:rFonts w:ascii="Times New Roman" w:eastAsia="Times New Roman" w:hAnsi="Times New Roman" w:cs="Times New Roman"/>
                <w:color w:val="000000"/>
                <w:sz w:val="22"/>
              </w:rPr>
              <w:t>3.</w:t>
            </w:r>
          </w:p>
        </w:tc>
        <w:tc>
          <w:tcPr>
            <w:tcW w:w="1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7315E0F"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rPr>
            </w:pPr>
            <w:r w:rsidRPr="00731FE2">
              <w:rPr>
                <w:rFonts w:ascii="Times New Roman" w:eastAsia="Times New Roman" w:hAnsi="Times New Roman" w:cs="Times New Roman"/>
                <w:color w:val="000000"/>
                <w:sz w:val="22"/>
              </w:rPr>
              <w:t>Гидрологический пост I разряда «Кисловодск – река Аликоновка» (ГП – 1 «Кисловодск – река Аликоновка»)</w:t>
            </w:r>
          </w:p>
        </w:tc>
        <w:tc>
          <w:tcPr>
            <w:tcW w:w="15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BF23519"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rPr>
            </w:pPr>
            <w:r w:rsidRPr="00731FE2">
              <w:rPr>
                <w:rFonts w:ascii="Times New Roman" w:eastAsia="Times New Roman" w:hAnsi="Times New Roman" w:cs="Times New Roman"/>
                <w:color w:val="000000"/>
                <w:sz w:val="22"/>
              </w:rPr>
              <w:t xml:space="preserve">Ставропольский край, город-курорт Кисловодск, пос. Аликоновка – р. Аликоновка, ул. </w:t>
            </w:r>
            <w:proofErr w:type="gramStart"/>
            <w:r w:rsidRPr="00731FE2">
              <w:rPr>
                <w:rFonts w:ascii="Times New Roman" w:eastAsia="Times New Roman" w:hAnsi="Times New Roman" w:cs="Times New Roman"/>
                <w:color w:val="000000"/>
                <w:sz w:val="22"/>
              </w:rPr>
              <w:t>Заозерная</w:t>
            </w:r>
            <w:proofErr w:type="gramEnd"/>
          </w:p>
        </w:tc>
        <w:tc>
          <w:tcPr>
            <w:tcW w:w="11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5EBDD2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rPr>
            </w:pPr>
            <w:r w:rsidRPr="00731FE2">
              <w:rPr>
                <w:rFonts w:ascii="Times New Roman" w:eastAsia="Times New Roman" w:hAnsi="Times New Roman" w:cs="Times New Roman"/>
                <w:color w:val="000000"/>
                <w:sz w:val="22"/>
              </w:rPr>
              <w:t>1976</w:t>
            </w:r>
          </w:p>
        </w:tc>
        <w:tc>
          <w:tcPr>
            <w:tcW w:w="18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48F9ED8"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rPr>
            </w:pPr>
            <w:r w:rsidRPr="00731FE2">
              <w:rPr>
                <w:rFonts w:ascii="Times New Roman" w:eastAsia="Times New Roman" w:hAnsi="Times New Roman" w:cs="Times New Roman"/>
                <w:color w:val="000000"/>
                <w:sz w:val="22"/>
              </w:rPr>
              <w:t>26:32:07020:160</w:t>
            </w:r>
          </w:p>
        </w:tc>
        <w:tc>
          <w:tcPr>
            <w:tcW w:w="99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4CDAC8B"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rPr>
            </w:pPr>
            <w:r w:rsidRPr="00731FE2">
              <w:rPr>
                <w:rFonts w:ascii="Times New Roman" w:eastAsia="Times New Roman" w:hAnsi="Times New Roman" w:cs="Times New Roman"/>
                <w:color w:val="000000"/>
                <w:sz w:val="22"/>
              </w:rPr>
              <w:t>10</w:t>
            </w:r>
          </w:p>
        </w:tc>
        <w:tc>
          <w:tcPr>
            <w:tcW w:w="14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16135E0"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rPr>
            </w:pPr>
            <w:r w:rsidRPr="00731FE2">
              <w:rPr>
                <w:rFonts w:ascii="Times New Roman" w:eastAsia="Times New Roman" w:hAnsi="Times New Roman" w:cs="Times New Roman"/>
                <w:color w:val="000000"/>
                <w:sz w:val="22"/>
              </w:rPr>
              <w:t>200 м</w:t>
            </w:r>
          </w:p>
          <w:p w14:paraId="295CA300"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rPr>
            </w:pPr>
            <w:r w:rsidRPr="00731FE2">
              <w:rPr>
                <w:rFonts w:ascii="Times New Roman" w:eastAsia="Times New Roman" w:hAnsi="Times New Roman" w:cs="Times New Roman"/>
                <w:color w:val="000000"/>
                <w:sz w:val="22"/>
              </w:rPr>
              <w:t>(учетный №26.34.2.34)</w:t>
            </w:r>
          </w:p>
        </w:tc>
      </w:tr>
      <w:tr w:rsidR="00171AA8" w:rsidRPr="00731FE2" w14:paraId="0DB2FF20" w14:textId="77777777">
        <w:tc>
          <w:tcPr>
            <w:tcW w:w="48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EF07E81"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rPr>
            </w:pPr>
            <w:r w:rsidRPr="00731FE2">
              <w:rPr>
                <w:rFonts w:ascii="Times New Roman" w:eastAsia="Times New Roman" w:hAnsi="Times New Roman" w:cs="Times New Roman"/>
                <w:color w:val="000000"/>
                <w:sz w:val="22"/>
              </w:rPr>
              <w:t>4.</w:t>
            </w:r>
          </w:p>
        </w:tc>
        <w:tc>
          <w:tcPr>
            <w:tcW w:w="187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B3207BB"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rPr>
            </w:pPr>
            <w:r w:rsidRPr="00731FE2">
              <w:rPr>
                <w:rFonts w:ascii="Times New Roman" w:eastAsia="Times New Roman" w:hAnsi="Times New Roman" w:cs="Times New Roman"/>
                <w:color w:val="000000"/>
                <w:sz w:val="22"/>
              </w:rPr>
              <w:t>Гидрологический пост I разряда «Кисловодск – река Подкумок» (ГП – 1 «Кисловодск – река Подкумок»)</w:t>
            </w:r>
          </w:p>
        </w:tc>
        <w:tc>
          <w:tcPr>
            <w:tcW w:w="15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95F8E37"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rPr>
            </w:pPr>
            <w:r w:rsidRPr="00731FE2">
              <w:rPr>
                <w:rFonts w:ascii="Times New Roman" w:eastAsia="Times New Roman" w:hAnsi="Times New Roman" w:cs="Times New Roman"/>
                <w:color w:val="000000"/>
                <w:sz w:val="22"/>
              </w:rPr>
              <w:t xml:space="preserve">Ставропольский край, город-курорт Кисловодск, ул. </w:t>
            </w:r>
            <w:proofErr w:type="gramStart"/>
            <w:r w:rsidRPr="00731FE2">
              <w:rPr>
                <w:rFonts w:ascii="Times New Roman" w:eastAsia="Times New Roman" w:hAnsi="Times New Roman" w:cs="Times New Roman"/>
                <w:color w:val="000000"/>
                <w:sz w:val="22"/>
              </w:rPr>
              <w:t>Юбилейная</w:t>
            </w:r>
            <w:proofErr w:type="gramEnd"/>
          </w:p>
        </w:tc>
        <w:tc>
          <w:tcPr>
            <w:tcW w:w="115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1DFA26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rPr>
            </w:pPr>
            <w:r w:rsidRPr="00731FE2">
              <w:rPr>
                <w:rFonts w:ascii="Times New Roman" w:eastAsia="Times New Roman" w:hAnsi="Times New Roman" w:cs="Times New Roman"/>
                <w:color w:val="000000"/>
                <w:sz w:val="22"/>
              </w:rPr>
              <w:t>1935</w:t>
            </w:r>
          </w:p>
        </w:tc>
        <w:tc>
          <w:tcPr>
            <w:tcW w:w="18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B67369F"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rPr>
            </w:pPr>
            <w:r w:rsidRPr="00731FE2">
              <w:rPr>
                <w:rFonts w:ascii="Times New Roman" w:eastAsia="Times New Roman" w:hAnsi="Times New Roman" w:cs="Times New Roman"/>
                <w:color w:val="000000"/>
                <w:sz w:val="22"/>
              </w:rPr>
              <w:t>26:34:140404:59</w:t>
            </w:r>
          </w:p>
        </w:tc>
        <w:tc>
          <w:tcPr>
            <w:tcW w:w="99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1A73187"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rPr>
            </w:pPr>
            <w:r w:rsidRPr="00731FE2">
              <w:rPr>
                <w:rFonts w:ascii="Times New Roman" w:eastAsia="Times New Roman" w:hAnsi="Times New Roman" w:cs="Times New Roman"/>
                <w:color w:val="000000"/>
                <w:sz w:val="22"/>
              </w:rPr>
              <w:t>10</w:t>
            </w:r>
          </w:p>
        </w:tc>
        <w:tc>
          <w:tcPr>
            <w:tcW w:w="14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623D19F"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rPr>
            </w:pPr>
            <w:r w:rsidRPr="00731FE2">
              <w:rPr>
                <w:rFonts w:ascii="Times New Roman" w:eastAsia="Times New Roman" w:hAnsi="Times New Roman" w:cs="Times New Roman"/>
                <w:color w:val="000000"/>
                <w:sz w:val="22"/>
              </w:rPr>
              <w:t>200 м</w:t>
            </w:r>
          </w:p>
          <w:p w14:paraId="572DA8D6"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rPr>
            </w:pPr>
            <w:r w:rsidRPr="00731FE2">
              <w:rPr>
                <w:rFonts w:ascii="Times New Roman" w:eastAsia="Times New Roman" w:hAnsi="Times New Roman" w:cs="Times New Roman"/>
                <w:color w:val="000000"/>
                <w:sz w:val="22"/>
              </w:rPr>
              <w:t>(учетный №26.34.2.35)</w:t>
            </w:r>
          </w:p>
        </w:tc>
      </w:tr>
    </w:tbl>
    <w:p w14:paraId="26F218E3" w14:textId="77777777" w:rsidR="00171AA8" w:rsidRPr="00731FE2" w:rsidRDefault="00171AA8">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p>
    <w:p w14:paraId="30B18107"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В целях получения достоверной информации о состоянии окружающей среды, ее загрязнении вокруг стационарных пунктов наблюдений создаются охранные зоны, в которых устанавливаются ограничения на хозяйственную деятельность.</w:t>
      </w:r>
    </w:p>
    <w:p w14:paraId="24AFA4BD" w14:textId="77777777" w:rsidR="00171AA8" w:rsidRPr="00731FE2" w:rsidRDefault="007935AB">
      <w:pPr>
        <w:pStyle w:val="24"/>
        <w:rPr>
          <w:rFonts w:ascii="Times New Roman" w:hAnsi="Times New Roman" w:cs="Times New Roman"/>
        </w:rPr>
      </w:pPr>
      <w:bookmarkStart w:id="20" w:name="_Toc177392776"/>
      <w:r w:rsidRPr="00731FE2">
        <w:rPr>
          <w:rFonts w:ascii="Times New Roman" w:hAnsi="Times New Roman" w:cs="Times New Roman"/>
        </w:rPr>
        <w:t>2.3 Инженерно-геологические условия и инженерно-строительное районирование</w:t>
      </w:r>
      <w:bookmarkEnd w:id="20"/>
    </w:p>
    <w:p w14:paraId="014FAD2C"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 xml:space="preserve">Строительство и дальнейшее развитие города-курорта в большой степени зависит от учета его инженерно-геологических условий. </w:t>
      </w:r>
    </w:p>
    <w:p w14:paraId="68B32189"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 xml:space="preserve">Практически всю территорию города можно отнести к III (сложной) категории инженерно-геологических условий. Сложность объясняется всеми составляющими факторами: особенностями рельефа, геологическим строением, составом и свойствами грунтов, тотальным подтоплением территории и развитием опасных геологических процессов. Кисловодск расположен в зоне повышенной сейсмичности, поэтому здания и сооружения, возводимые на территории города, должны соответствовать установленной нормативной сейсмичности. К 9-балльной зоне относится около 80% территории города, 8-балльная зона занимает около 15%, а к 7-балльной зоне относится лишь 5% территории. </w:t>
      </w:r>
    </w:p>
    <w:p w14:paraId="3B1A7996"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 xml:space="preserve">Сильно расчлененный рельеф Кисловодска способствует развитию суффозионных процессов, разрушающих структуру структурно-неустойчивых грунтов (лессовидных суглинков и глинистых песчаников). Суффозионные процессы привели к деформации многих зданий, часть из которых относится к памятникам архитектуры федерального значения. </w:t>
      </w:r>
    </w:p>
    <w:p w14:paraId="01B73541"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Рельеф города можно характеризовать как сложный, здесь часто встречаются улицы с уклонами до 30–35</w:t>
      </w:r>
      <w:r w:rsidRPr="00731FE2">
        <w:rPr>
          <w:rFonts w:ascii="Times New Roman" w:eastAsia="Times New Roman" w:hAnsi="Times New Roman" w:cs="Times New Roman"/>
          <w:color w:val="000000"/>
          <w:szCs w:val="24"/>
          <w:vertAlign w:val="superscript"/>
        </w:rPr>
        <w:t>о</w:t>
      </w:r>
      <w:r w:rsidRPr="00731FE2">
        <w:rPr>
          <w:rFonts w:ascii="Times New Roman" w:eastAsia="Times New Roman" w:hAnsi="Times New Roman" w:cs="Times New Roman"/>
          <w:color w:val="000000"/>
          <w:szCs w:val="24"/>
        </w:rPr>
        <w:t xml:space="preserve">, перепады отметок достигают 40 м на 100 м. Лессовидные суглинки покрывают в основном отрицательные формы рельефа, а также террасы местных </w:t>
      </w:r>
      <w:r w:rsidRPr="00731FE2">
        <w:rPr>
          <w:rFonts w:ascii="Times New Roman" w:eastAsia="Times New Roman" w:hAnsi="Times New Roman" w:cs="Times New Roman"/>
          <w:color w:val="000000"/>
          <w:szCs w:val="24"/>
        </w:rPr>
        <w:lastRenderedPageBreak/>
        <w:t>рек Березовая, Ольховка, Аликоновка, Подкумок. Мощность лессовых отложений в пределах города изменяется от 1–2 м на вершинах склонов и до 20 м во впадинах в центральной части города. Эти грунты занимают около 45% территории города, главным образом северную и восточную части с этажностью застройки 5 этажей и более.</w:t>
      </w:r>
    </w:p>
    <w:p w14:paraId="6C82B635"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 xml:space="preserve">Гидрогеологические условия города характеризуются наличием четырех зон: </w:t>
      </w:r>
    </w:p>
    <w:p w14:paraId="6D9506EA"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 xml:space="preserve">1. Зона с глубиной залегания грунтовых вод от 0 до 3 м. Это селитебная зона смешанной и одноэтажной застройки на юго-западе и востоке города, зона частной застройки и курортная зона. </w:t>
      </w:r>
    </w:p>
    <w:p w14:paraId="093732ED"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 xml:space="preserve">2. Зона с глубиной залегания грунтовых вод от 3 до 5 м в центре города с промышленными объектами и многоэтажной застройкой, а также курортная зона в северо-восточной части города. </w:t>
      </w:r>
    </w:p>
    <w:p w14:paraId="25A96193"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 xml:space="preserve">3. Зона с уровнем грунтовых вод на глубине 5–10 м. На этой территории в центре города располагаются промышленные здания и многоэтажная застройка. </w:t>
      </w:r>
    </w:p>
    <w:p w14:paraId="6E111612"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 xml:space="preserve">4. Зона с глубиной уровня грунтовых вод более 10 м занимает примерно 60% городской территории. На востоке и юго-востоке города это курортная зона, в северной части – селитебная зона с многоэтажной и смешанной застройкой. В этой зоне распространены лессовидные просадочные грунты твердой и полутвердой консистенции, с которыми связаны деформации жилых домов и общественных зданий. </w:t>
      </w:r>
    </w:p>
    <w:p w14:paraId="2088B04B"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proofErr w:type="gramStart"/>
      <w:r w:rsidRPr="00731FE2">
        <w:rPr>
          <w:rFonts w:ascii="Times New Roman" w:eastAsia="Times New Roman" w:hAnsi="Times New Roman" w:cs="Times New Roman"/>
          <w:color w:val="000000"/>
          <w:szCs w:val="24"/>
        </w:rPr>
        <w:t>На большей части города</w:t>
      </w:r>
      <w:proofErr w:type="gramEnd"/>
      <w:r w:rsidRPr="00731FE2">
        <w:rPr>
          <w:rFonts w:ascii="Times New Roman" w:eastAsia="Times New Roman" w:hAnsi="Times New Roman" w:cs="Times New Roman"/>
          <w:color w:val="000000"/>
          <w:szCs w:val="24"/>
        </w:rPr>
        <w:t xml:space="preserve"> отсутствует ливневая канализация, а водопотери из городских водопроводных сетей достигают 35%, что привело к тотальному подтоплению центральной части города. </w:t>
      </w:r>
    </w:p>
    <w:p w14:paraId="36DFFB8C"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 xml:space="preserve">Таким </w:t>
      </w:r>
      <w:proofErr w:type="gramStart"/>
      <w:r w:rsidRPr="00731FE2">
        <w:rPr>
          <w:rFonts w:ascii="Times New Roman" w:eastAsia="Times New Roman" w:hAnsi="Times New Roman" w:cs="Times New Roman"/>
          <w:color w:val="000000"/>
          <w:szCs w:val="24"/>
        </w:rPr>
        <w:t>образом</w:t>
      </w:r>
      <w:proofErr w:type="gramEnd"/>
      <w:r w:rsidRPr="00731FE2">
        <w:rPr>
          <w:rFonts w:ascii="Times New Roman" w:eastAsia="Times New Roman" w:hAnsi="Times New Roman" w:cs="Times New Roman"/>
          <w:color w:val="000000"/>
          <w:szCs w:val="24"/>
        </w:rPr>
        <w:t xml:space="preserve"> в соответствии с инженерно-геологическими условиями и по степени пригодности для градостроительного освоения можно выделить следующие территории</w:t>
      </w:r>
      <w:r w:rsidRPr="00731FE2">
        <w:rPr>
          <w:rFonts w:ascii="Times New Roman" w:eastAsia="Times New Roman" w:hAnsi="Times New Roman" w:cs="Times New Roman"/>
          <w:color w:val="000000"/>
          <w:szCs w:val="24"/>
          <w:vertAlign w:val="superscript"/>
        </w:rPr>
        <w:footnoteReference w:id="16"/>
      </w:r>
      <w:r w:rsidRPr="00731FE2">
        <w:rPr>
          <w:rFonts w:ascii="Times New Roman" w:eastAsia="Times New Roman" w:hAnsi="Times New Roman" w:cs="Times New Roman"/>
          <w:color w:val="000000"/>
          <w:szCs w:val="24"/>
        </w:rPr>
        <w:t>:</w:t>
      </w:r>
    </w:p>
    <w:p w14:paraId="49C1FC94"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b/>
          <w:bCs/>
          <w:color w:val="000000"/>
          <w:szCs w:val="24"/>
        </w:rPr>
        <w:t xml:space="preserve">Территории с условиями для строительства средней сложности </w:t>
      </w:r>
      <w:r w:rsidRPr="00731FE2">
        <w:rPr>
          <w:rFonts w:ascii="Times New Roman" w:eastAsia="Times New Roman" w:hAnsi="Times New Roman" w:cs="Times New Roman"/>
          <w:color w:val="000000"/>
          <w:szCs w:val="24"/>
        </w:rPr>
        <w:t>занимают около 5% площади городского округа. Углы наклона поверхности, в основном, не превышают 15°. В основании сооружений распространены скальные и крупнообломочные грунты высокой прочности, местами перекрытые просадочными отложениями. Подземные воды фиксируются на глубине свыше 5,0 м. Возможно проявление просадочности первого и второго типов. Проявление других опасных геологических процессов маловероятно. Сейсмичность 7-9 баллов.</w:t>
      </w:r>
    </w:p>
    <w:p w14:paraId="3203A7FC"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b/>
          <w:bCs/>
          <w:color w:val="000000"/>
          <w:szCs w:val="24"/>
        </w:rPr>
        <w:t>Территории со сложными условиями для строительства занимают</w:t>
      </w:r>
      <w:r w:rsidRPr="00731FE2">
        <w:rPr>
          <w:rFonts w:ascii="Times New Roman" w:eastAsia="Times New Roman" w:hAnsi="Times New Roman" w:cs="Times New Roman"/>
          <w:color w:val="000000"/>
          <w:szCs w:val="24"/>
        </w:rPr>
        <w:t xml:space="preserve"> до 20% площади городского округа. Углы наклона поверхности рельефа составляют 15-30°. В основании сооружений залегают подверженные выветриванию скальные, легко размягчаемые и крупнообломочные грунты. Подземные воды залегают на глубине 3,0 м и более. Возможно проявление опасных геологических процессов (оползни, обвалы и др.). Сейсмичность 7-9 баллов.</w:t>
      </w:r>
    </w:p>
    <w:p w14:paraId="51504FCE"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b/>
          <w:bCs/>
          <w:color w:val="000000"/>
          <w:szCs w:val="24"/>
        </w:rPr>
        <w:t>Территории с особо сложными условиями для строительства</w:t>
      </w:r>
      <w:r w:rsidRPr="00731FE2">
        <w:rPr>
          <w:rFonts w:ascii="Times New Roman" w:eastAsia="Times New Roman" w:hAnsi="Times New Roman" w:cs="Times New Roman"/>
          <w:color w:val="000000"/>
          <w:szCs w:val="24"/>
        </w:rPr>
        <w:t xml:space="preserve"> занимают до 67% площади рассматриваемой территории. </w:t>
      </w:r>
      <w:proofErr w:type="gramStart"/>
      <w:r w:rsidRPr="00731FE2">
        <w:rPr>
          <w:rFonts w:ascii="Times New Roman" w:eastAsia="Times New Roman" w:hAnsi="Times New Roman" w:cs="Times New Roman"/>
          <w:color w:val="000000"/>
          <w:szCs w:val="24"/>
        </w:rPr>
        <w:t xml:space="preserve">Эта категория сложности была присвоена территории, если при сейсмичности 9 баллов присутствовал один из следующих факторов: углы наклона поверхности рельефа 15-30° и выше, в основании сооружений преобладают структурно-неустойчивые грунты мощностью свыше 3,0 м, подземные воды находятся на глубине менее 3,0 м, опасные геологические процессы (оползни, просадки, </w:t>
      </w:r>
      <w:r w:rsidRPr="00731FE2">
        <w:rPr>
          <w:rFonts w:ascii="Times New Roman" w:eastAsia="Times New Roman" w:hAnsi="Times New Roman" w:cs="Times New Roman"/>
          <w:color w:val="000000"/>
          <w:szCs w:val="24"/>
        </w:rPr>
        <w:lastRenderedPageBreak/>
        <w:t>подтопление) оказывают решающее влияние на принятие проектных решений при освоении территории строительством.</w:t>
      </w:r>
      <w:proofErr w:type="gramEnd"/>
    </w:p>
    <w:p w14:paraId="111262D6"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b/>
          <w:bCs/>
          <w:color w:val="000000"/>
          <w:szCs w:val="24"/>
        </w:rPr>
        <w:t>Территории, не рекомендуемые для строительства</w:t>
      </w:r>
      <w:r w:rsidRPr="00731FE2">
        <w:rPr>
          <w:rFonts w:ascii="Times New Roman" w:eastAsia="Times New Roman" w:hAnsi="Times New Roman" w:cs="Times New Roman"/>
          <w:color w:val="000000"/>
          <w:szCs w:val="24"/>
        </w:rPr>
        <w:t>, занимают до 8% площади муниципального образования. Это участки с крутизной склона выше 30°, сильно поражённые оползнями, затапливаемые участки низких пойм.</w:t>
      </w:r>
    </w:p>
    <w:p w14:paraId="09666CC9"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b/>
          <w:bCs/>
          <w:color w:val="000000"/>
          <w:szCs w:val="24"/>
        </w:rPr>
      </w:pPr>
      <w:r w:rsidRPr="00731FE2">
        <w:rPr>
          <w:rFonts w:ascii="Times New Roman" w:eastAsia="Times New Roman" w:hAnsi="Times New Roman" w:cs="Times New Roman"/>
          <w:b/>
          <w:bCs/>
          <w:color w:val="000000"/>
          <w:szCs w:val="24"/>
        </w:rPr>
        <w:t>В целом, анализ инженерно-геологических условий показывает, что большая часть территории городского округа города-курорта Кисловодска относится к территориям со сложными условиями для градостроительного освоения. На всех территориях, подлежащих градостроительному освоению, необходимо проводить обязательные мероприятия по инженерной подготовке в виде вертикальной планировки, а также комплекс мероприятий, направленных на ликвидацию неблагоприятных физико-геологических процессов и явлений, направленных на обеспечение инженерно-строительной безопасности городской среды.</w:t>
      </w:r>
    </w:p>
    <w:p w14:paraId="3968019C" w14:textId="77777777" w:rsidR="00171AA8" w:rsidRPr="00731FE2" w:rsidRDefault="00171AA8">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b/>
          <w:bCs/>
          <w:color w:val="000000"/>
          <w:szCs w:val="24"/>
        </w:rPr>
      </w:pPr>
    </w:p>
    <w:p w14:paraId="6612860D" w14:textId="77777777" w:rsidR="00171AA8" w:rsidRPr="00731FE2" w:rsidRDefault="007935AB">
      <w:pPr>
        <w:pStyle w:val="24"/>
        <w:rPr>
          <w:rFonts w:ascii="Times New Roman" w:hAnsi="Times New Roman" w:cs="Times New Roman"/>
        </w:rPr>
      </w:pPr>
      <w:bookmarkStart w:id="21" w:name="_Toc177392777"/>
      <w:r w:rsidRPr="00731FE2">
        <w:rPr>
          <w:rFonts w:ascii="Times New Roman" w:hAnsi="Times New Roman" w:cs="Times New Roman"/>
        </w:rPr>
        <w:t>2.4</w:t>
      </w:r>
      <w:proofErr w:type="gramStart"/>
      <w:r w:rsidRPr="00731FE2">
        <w:rPr>
          <w:rFonts w:ascii="Times New Roman" w:hAnsi="Times New Roman" w:cs="Times New Roman"/>
        </w:rPr>
        <w:t xml:space="preserve"> О</w:t>
      </w:r>
      <w:proofErr w:type="gramEnd"/>
      <w:r w:rsidRPr="00731FE2">
        <w:rPr>
          <w:rFonts w:ascii="Times New Roman" w:hAnsi="Times New Roman" w:cs="Times New Roman"/>
        </w:rPr>
        <w:t>собо охраняемые природные территории (ООПТ)</w:t>
      </w:r>
      <w:bookmarkEnd w:id="21"/>
    </w:p>
    <w:p w14:paraId="7DF55D7C" w14:textId="77777777" w:rsidR="00DD3AB0" w:rsidRPr="00731FE2" w:rsidRDefault="00DD3AB0" w:rsidP="00DD3AB0">
      <w:pPr>
        <w:pBdr>
          <w:top w:val="none" w:sz="4" w:space="0" w:color="000000"/>
          <w:left w:val="none" w:sz="4" w:space="0" w:color="000000"/>
          <w:bottom w:val="none" w:sz="4" w:space="0" w:color="000000"/>
          <w:right w:val="none" w:sz="4" w:space="0" w:color="000000"/>
        </w:pBdr>
        <w:rPr>
          <w:color w:val="000000" w:themeColor="text1"/>
        </w:rPr>
      </w:pPr>
      <w:proofErr w:type="gramStart"/>
      <w:r w:rsidRPr="00731FE2">
        <w:rPr>
          <w:rFonts w:ascii="Times New Roman" w:eastAsia="Times New Roman" w:hAnsi="Times New Roman" w:cs="Times New Roman"/>
          <w:color w:val="000000"/>
        </w:rPr>
        <w:t>Под особо охраняемыми природными территориями (далее по тексту – ООПТ) следует понимать участки земли, водной поверхности, воздушного пространства над ними, где располагаются природные комплексы и объекты, объекты растительного и животного мира, естественные экологические системы, которые имеют особое природоохранное, научное, культурное, эстетическое, рекреационное и оздоровительное значение, которые изъяты решениями органов государственной власти полностью или частично из хозяйственного использования и для которых установлен</w:t>
      </w:r>
      <w:proofErr w:type="gramEnd"/>
      <w:r w:rsidRPr="00731FE2">
        <w:rPr>
          <w:rFonts w:ascii="Times New Roman" w:eastAsia="Times New Roman" w:hAnsi="Times New Roman" w:cs="Times New Roman"/>
          <w:color w:val="000000"/>
        </w:rPr>
        <w:t xml:space="preserve"> режим особой охр</w:t>
      </w:r>
      <w:r w:rsidRPr="00731FE2">
        <w:rPr>
          <w:rFonts w:ascii="Times New Roman" w:eastAsia="Times New Roman" w:hAnsi="Times New Roman" w:cs="Times New Roman"/>
          <w:color w:val="000000" w:themeColor="text1"/>
        </w:rPr>
        <w:t>аны</w:t>
      </w:r>
      <w:r w:rsidRPr="00731FE2">
        <w:rPr>
          <w:rFonts w:ascii="Times New Roman" w:eastAsia="Times New Roman" w:hAnsi="Times New Roman" w:cs="Times New Roman"/>
          <w:color w:val="000000" w:themeColor="text1"/>
          <w:vertAlign w:val="superscript"/>
        </w:rPr>
        <w:footnoteReference w:id="17"/>
      </w:r>
      <w:r w:rsidRPr="00731FE2">
        <w:rPr>
          <w:rFonts w:ascii="Times New Roman" w:eastAsia="Times New Roman" w:hAnsi="Times New Roman" w:cs="Times New Roman"/>
          <w:color w:val="000000" w:themeColor="text1"/>
        </w:rPr>
        <w:t>.</w:t>
      </w:r>
    </w:p>
    <w:p w14:paraId="49104F57" w14:textId="77777777" w:rsidR="00DD3AB0" w:rsidRPr="00731FE2" w:rsidRDefault="00DD3AB0" w:rsidP="00DD3AB0">
      <w:pPr>
        <w:pBdr>
          <w:top w:val="none" w:sz="4" w:space="0" w:color="000000"/>
          <w:left w:val="none" w:sz="4" w:space="0" w:color="000000"/>
          <w:bottom w:val="none" w:sz="4" w:space="0" w:color="000000"/>
          <w:right w:val="none" w:sz="4" w:space="0" w:color="000000"/>
        </w:pBdr>
      </w:pPr>
      <w:proofErr w:type="gramStart"/>
      <w:r w:rsidRPr="00731FE2">
        <w:rPr>
          <w:rFonts w:ascii="Times New Roman" w:eastAsia="Times New Roman" w:hAnsi="Times New Roman" w:cs="Times New Roman"/>
          <w:color w:val="000000"/>
        </w:rPr>
        <w:t>Настоящий Федеральный закон «Об особо охраняемых природных территориях» от 14.03.1995 г. № 33-ФЗ, регулирует отношения в области охраны и использования, в том числе создания, особо охраняемых природных территорий в целях сохранения уникальных и типичных природных комплексов, и объектов, объектов растительного и животного мира, естественных экологических систем, биоразнообразия, проведения научных исследований в области охраны окружающей среды, экологического мониторинга, экологического просвещения.</w:t>
      </w:r>
      <w:proofErr w:type="gramEnd"/>
    </w:p>
    <w:p w14:paraId="11C088A9" w14:textId="77777777" w:rsidR="00DD3AB0" w:rsidRPr="00731FE2" w:rsidRDefault="00DD3AB0" w:rsidP="00DD3AB0">
      <w:pPr>
        <w:pBdr>
          <w:top w:val="none" w:sz="4" w:space="0" w:color="000000"/>
          <w:left w:val="none" w:sz="4" w:space="0" w:color="000000"/>
          <w:bottom w:val="none" w:sz="4" w:space="0" w:color="000000"/>
          <w:right w:val="none" w:sz="4" w:space="0" w:color="000000"/>
        </w:pBdr>
      </w:pPr>
      <w:r w:rsidRPr="00731FE2">
        <w:rPr>
          <w:rFonts w:ascii="Times New Roman" w:eastAsia="Times New Roman" w:hAnsi="Times New Roman" w:cs="Times New Roman"/>
          <w:color w:val="000000"/>
        </w:rPr>
        <w:t>В зависимости от особенностей режима охраны выделяются следующие категории ООПТ:</w:t>
      </w:r>
    </w:p>
    <w:p w14:paraId="22477CE2" w14:textId="77777777" w:rsidR="00DD3AB0" w:rsidRPr="00731FE2" w:rsidRDefault="00DD3AB0" w:rsidP="00DD3AB0">
      <w:pPr>
        <w:pStyle w:val="a3"/>
        <w:numPr>
          <w:ilvl w:val="0"/>
          <w:numId w:val="2"/>
        </w:numPr>
        <w:pBdr>
          <w:top w:val="none" w:sz="4" w:space="0" w:color="000000"/>
          <w:left w:val="none" w:sz="4" w:space="0" w:color="000000"/>
          <w:bottom w:val="none" w:sz="4" w:space="0" w:color="000000"/>
          <w:right w:val="none" w:sz="4" w:space="0" w:color="000000"/>
        </w:pBdr>
        <w:tabs>
          <w:tab w:val="left" w:pos="993"/>
        </w:tabs>
        <w:ind w:left="0" w:firstLine="709"/>
      </w:pPr>
      <w:r w:rsidRPr="00731FE2">
        <w:rPr>
          <w:rFonts w:ascii="Times New Roman" w:eastAsia="Times New Roman" w:hAnsi="Times New Roman" w:cs="Times New Roman"/>
          <w:color w:val="000000"/>
        </w:rPr>
        <w:t>государственные природные заповедники, в том числе биосферные заповедники;</w:t>
      </w:r>
    </w:p>
    <w:p w14:paraId="2B8EBA80" w14:textId="77777777" w:rsidR="00DD3AB0" w:rsidRPr="00731FE2" w:rsidRDefault="00DD3AB0" w:rsidP="00DD3AB0">
      <w:pPr>
        <w:pStyle w:val="a3"/>
        <w:numPr>
          <w:ilvl w:val="0"/>
          <w:numId w:val="2"/>
        </w:numPr>
        <w:pBdr>
          <w:top w:val="none" w:sz="4" w:space="0" w:color="000000"/>
          <w:left w:val="none" w:sz="4" w:space="0" w:color="000000"/>
          <w:bottom w:val="none" w:sz="4" w:space="0" w:color="000000"/>
          <w:right w:val="none" w:sz="4" w:space="0" w:color="000000"/>
        </w:pBdr>
        <w:tabs>
          <w:tab w:val="left" w:pos="993"/>
        </w:tabs>
        <w:ind w:left="0" w:firstLine="709"/>
      </w:pPr>
      <w:r w:rsidRPr="00731FE2">
        <w:rPr>
          <w:rFonts w:ascii="Times New Roman" w:eastAsia="Times New Roman" w:hAnsi="Times New Roman" w:cs="Times New Roman"/>
          <w:color w:val="000000"/>
        </w:rPr>
        <w:t>национальные парки;</w:t>
      </w:r>
    </w:p>
    <w:p w14:paraId="1D959685" w14:textId="77777777" w:rsidR="00DD3AB0" w:rsidRPr="00731FE2" w:rsidRDefault="00DD3AB0" w:rsidP="00DD3AB0">
      <w:pPr>
        <w:pStyle w:val="a3"/>
        <w:numPr>
          <w:ilvl w:val="0"/>
          <w:numId w:val="2"/>
        </w:numPr>
        <w:pBdr>
          <w:top w:val="none" w:sz="4" w:space="0" w:color="000000"/>
          <w:left w:val="none" w:sz="4" w:space="0" w:color="000000"/>
          <w:bottom w:val="none" w:sz="4" w:space="0" w:color="000000"/>
          <w:right w:val="none" w:sz="4" w:space="0" w:color="000000"/>
        </w:pBdr>
        <w:tabs>
          <w:tab w:val="left" w:pos="993"/>
        </w:tabs>
        <w:ind w:left="0" w:firstLine="709"/>
      </w:pPr>
      <w:r w:rsidRPr="00731FE2">
        <w:rPr>
          <w:rFonts w:ascii="Times New Roman" w:eastAsia="Times New Roman" w:hAnsi="Times New Roman" w:cs="Times New Roman"/>
          <w:color w:val="000000"/>
        </w:rPr>
        <w:t>природные парки;</w:t>
      </w:r>
    </w:p>
    <w:p w14:paraId="0EBC33E0" w14:textId="77777777" w:rsidR="00DD3AB0" w:rsidRPr="00731FE2" w:rsidRDefault="00DD3AB0" w:rsidP="00DD3AB0">
      <w:pPr>
        <w:pStyle w:val="a3"/>
        <w:numPr>
          <w:ilvl w:val="0"/>
          <w:numId w:val="2"/>
        </w:numPr>
        <w:pBdr>
          <w:top w:val="none" w:sz="4" w:space="0" w:color="000000"/>
          <w:left w:val="none" w:sz="4" w:space="0" w:color="000000"/>
          <w:bottom w:val="none" w:sz="4" w:space="0" w:color="000000"/>
          <w:right w:val="none" w:sz="4" w:space="0" w:color="000000"/>
        </w:pBdr>
        <w:tabs>
          <w:tab w:val="left" w:pos="993"/>
        </w:tabs>
        <w:ind w:left="0" w:firstLine="709"/>
      </w:pPr>
      <w:r w:rsidRPr="00731FE2">
        <w:rPr>
          <w:rFonts w:ascii="Times New Roman" w:eastAsia="Times New Roman" w:hAnsi="Times New Roman" w:cs="Times New Roman"/>
          <w:color w:val="000000"/>
        </w:rPr>
        <w:t>государственные природные заказники;</w:t>
      </w:r>
    </w:p>
    <w:p w14:paraId="651EDDC2" w14:textId="77777777" w:rsidR="00DD3AB0" w:rsidRPr="00731FE2" w:rsidRDefault="00DD3AB0" w:rsidP="00DD3AB0">
      <w:pPr>
        <w:pStyle w:val="a3"/>
        <w:numPr>
          <w:ilvl w:val="0"/>
          <w:numId w:val="2"/>
        </w:numPr>
        <w:pBdr>
          <w:top w:val="none" w:sz="4" w:space="0" w:color="000000"/>
          <w:left w:val="none" w:sz="4" w:space="0" w:color="000000"/>
          <w:bottom w:val="none" w:sz="4" w:space="0" w:color="000000"/>
          <w:right w:val="none" w:sz="4" w:space="0" w:color="000000"/>
        </w:pBdr>
        <w:tabs>
          <w:tab w:val="left" w:pos="993"/>
        </w:tabs>
        <w:ind w:left="0" w:firstLine="709"/>
      </w:pPr>
      <w:r w:rsidRPr="00731FE2">
        <w:rPr>
          <w:rFonts w:ascii="Times New Roman" w:eastAsia="Times New Roman" w:hAnsi="Times New Roman" w:cs="Times New Roman"/>
          <w:color w:val="000000"/>
        </w:rPr>
        <w:t>памятники природы;</w:t>
      </w:r>
    </w:p>
    <w:p w14:paraId="6C2E3CF5" w14:textId="77777777" w:rsidR="00DD3AB0" w:rsidRPr="00731FE2" w:rsidRDefault="00DD3AB0" w:rsidP="00DD3AB0">
      <w:pPr>
        <w:pStyle w:val="a3"/>
        <w:numPr>
          <w:ilvl w:val="0"/>
          <w:numId w:val="2"/>
        </w:numPr>
        <w:pBdr>
          <w:top w:val="none" w:sz="4" w:space="0" w:color="000000"/>
          <w:left w:val="none" w:sz="4" w:space="0" w:color="000000"/>
          <w:bottom w:val="none" w:sz="4" w:space="0" w:color="000000"/>
          <w:right w:val="none" w:sz="4" w:space="0" w:color="000000"/>
        </w:pBdr>
        <w:tabs>
          <w:tab w:val="left" w:pos="993"/>
        </w:tabs>
        <w:ind w:left="0" w:firstLine="709"/>
      </w:pPr>
      <w:r w:rsidRPr="00731FE2">
        <w:rPr>
          <w:rFonts w:ascii="Times New Roman" w:eastAsia="Times New Roman" w:hAnsi="Times New Roman" w:cs="Times New Roman"/>
          <w:color w:val="000000"/>
        </w:rPr>
        <w:t>дендрологические парки и ботанические сады.</w:t>
      </w:r>
    </w:p>
    <w:p w14:paraId="44E568E8" w14:textId="77777777" w:rsidR="00DD3AB0" w:rsidRPr="00731FE2" w:rsidRDefault="00DD3AB0" w:rsidP="00DD3AB0">
      <w:pPr>
        <w:pBdr>
          <w:top w:val="none" w:sz="4" w:space="0" w:color="000000"/>
          <w:left w:val="none" w:sz="4" w:space="0" w:color="000000"/>
          <w:bottom w:val="none" w:sz="4" w:space="0" w:color="000000"/>
          <w:right w:val="none" w:sz="4" w:space="0" w:color="000000"/>
        </w:pBdr>
      </w:pPr>
      <w:r w:rsidRPr="00731FE2">
        <w:rPr>
          <w:rFonts w:ascii="Times New Roman" w:eastAsia="Times New Roman" w:hAnsi="Times New Roman" w:cs="Times New Roman"/>
          <w:color w:val="000000"/>
        </w:rPr>
        <w:t>ООПТ могут быть федерального, регионального и местного значения, и находиться в ведении соответственно федеральных органов исполнительной власти, органов исполнительной власти субъектов Российской Федерации и органов местного самоуправления.</w:t>
      </w:r>
    </w:p>
    <w:p w14:paraId="2FF66752" w14:textId="77777777" w:rsidR="00DD3AB0" w:rsidRPr="00731FE2" w:rsidRDefault="00DD3AB0" w:rsidP="00DD3AB0">
      <w:pPr>
        <w:pBdr>
          <w:top w:val="none" w:sz="4" w:space="0" w:color="000000"/>
          <w:left w:val="none" w:sz="4" w:space="0" w:color="000000"/>
          <w:bottom w:val="none" w:sz="4" w:space="0" w:color="000000"/>
          <w:right w:val="none" w:sz="4" w:space="0" w:color="000000"/>
        </w:pBdr>
      </w:pPr>
      <w:r w:rsidRPr="00731FE2">
        <w:rPr>
          <w:rFonts w:ascii="Times New Roman" w:eastAsia="Times New Roman" w:hAnsi="Times New Roman" w:cs="Times New Roman"/>
          <w:color w:val="000000"/>
        </w:rPr>
        <w:lastRenderedPageBreak/>
        <w:t>Государственные природные заповедники и национальные парки относятся к особо охраняемым природным территориям федерального значения. Государственные природные заказники, памятники природы, дендрологические парки и ботанические сады могут быть отнесены к особо охраняемым природным территориям федерального значения или особо охраняемым природным территориям регионального значения. Природные парки относятся к особо охраняемым природным территориям регионального значения.</w:t>
      </w:r>
    </w:p>
    <w:p w14:paraId="1AE682DE" w14:textId="77777777" w:rsidR="00DD3AB0" w:rsidRPr="00731FE2" w:rsidRDefault="00DD3AB0" w:rsidP="00DD3AB0">
      <w:pPr>
        <w:pBdr>
          <w:top w:val="none" w:sz="4" w:space="0" w:color="000000"/>
          <w:left w:val="none" w:sz="4" w:space="0" w:color="000000"/>
          <w:bottom w:val="none" w:sz="4" w:space="0" w:color="000000"/>
          <w:right w:val="none" w:sz="4" w:space="0" w:color="000000"/>
        </w:pBdr>
      </w:pPr>
      <w:r w:rsidRPr="00731FE2">
        <w:rPr>
          <w:rFonts w:ascii="Times New Roman" w:eastAsia="Times New Roman" w:hAnsi="Times New Roman" w:cs="Times New Roman"/>
          <w:color w:val="000000"/>
        </w:rPr>
        <w:t>На территории Ставропольского края действует Закон Ставропольского края от 06.05.2014 № 33-кз «Об особо охраняемых природных территориях» (с изм. на 02.10.2023), предметом регулирования которого являются отношения в области охраны и использования особо охраняемых природных территорий краевого и местного значения.</w:t>
      </w:r>
    </w:p>
    <w:p w14:paraId="18373C78" w14:textId="77777777" w:rsidR="00DD3AB0" w:rsidRPr="00731FE2" w:rsidRDefault="00DD3AB0" w:rsidP="00DD3AB0">
      <w:pPr>
        <w:pBdr>
          <w:top w:val="none" w:sz="4" w:space="0" w:color="000000"/>
          <w:left w:val="none" w:sz="4" w:space="0" w:color="000000"/>
          <w:bottom w:val="none" w:sz="4" w:space="0" w:color="000000"/>
          <w:right w:val="none" w:sz="4" w:space="0" w:color="000000"/>
        </w:pBdr>
      </w:pPr>
      <w:r w:rsidRPr="00731FE2">
        <w:rPr>
          <w:rFonts w:ascii="Times New Roman" w:eastAsia="Times New Roman" w:hAnsi="Times New Roman" w:cs="Times New Roman"/>
          <w:color w:val="000000"/>
        </w:rPr>
        <w:t>С учетом особенностей режима особо охраняемых природных территорий краевого значения различаются следующие категории указанных территорий:</w:t>
      </w:r>
    </w:p>
    <w:p w14:paraId="1A177574" w14:textId="77777777" w:rsidR="00DD3AB0" w:rsidRPr="00731FE2" w:rsidRDefault="00DD3AB0" w:rsidP="00DD3AB0">
      <w:pPr>
        <w:pStyle w:val="a3"/>
        <w:numPr>
          <w:ilvl w:val="0"/>
          <w:numId w:val="3"/>
        </w:numPr>
        <w:pBdr>
          <w:top w:val="none" w:sz="4" w:space="0" w:color="000000"/>
          <w:left w:val="none" w:sz="4" w:space="0" w:color="000000"/>
          <w:bottom w:val="none" w:sz="4" w:space="0" w:color="000000"/>
          <w:right w:val="none" w:sz="4" w:space="0" w:color="000000"/>
        </w:pBdr>
        <w:tabs>
          <w:tab w:val="left" w:pos="993"/>
        </w:tabs>
        <w:ind w:left="0" w:firstLine="709"/>
      </w:pPr>
      <w:r w:rsidRPr="00731FE2">
        <w:rPr>
          <w:rFonts w:ascii="Times New Roman" w:eastAsia="Times New Roman" w:hAnsi="Times New Roman" w:cs="Times New Roman"/>
          <w:color w:val="000000"/>
        </w:rPr>
        <w:t>природные парки;</w:t>
      </w:r>
    </w:p>
    <w:p w14:paraId="11019CEA" w14:textId="77777777" w:rsidR="00DD3AB0" w:rsidRPr="00731FE2" w:rsidRDefault="00DD3AB0" w:rsidP="00DD3AB0">
      <w:pPr>
        <w:pStyle w:val="a3"/>
        <w:numPr>
          <w:ilvl w:val="0"/>
          <w:numId w:val="3"/>
        </w:numPr>
        <w:pBdr>
          <w:top w:val="none" w:sz="4" w:space="0" w:color="000000"/>
          <w:left w:val="none" w:sz="4" w:space="0" w:color="000000"/>
          <w:bottom w:val="none" w:sz="4" w:space="0" w:color="000000"/>
          <w:right w:val="none" w:sz="4" w:space="0" w:color="000000"/>
        </w:pBdr>
        <w:tabs>
          <w:tab w:val="left" w:pos="993"/>
        </w:tabs>
        <w:ind w:left="0" w:firstLine="709"/>
      </w:pPr>
      <w:r w:rsidRPr="00731FE2">
        <w:rPr>
          <w:rFonts w:ascii="Times New Roman" w:eastAsia="Times New Roman" w:hAnsi="Times New Roman" w:cs="Times New Roman"/>
          <w:color w:val="000000"/>
        </w:rPr>
        <w:t>государственные природные заказники;</w:t>
      </w:r>
    </w:p>
    <w:p w14:paraId="05ED7236" w14:textId="77777777" w:rsidR="00DD3AB0" w:rsidRPr="00731FE2" w:rsidRDefault="00DD3AB0" w:rsidP="00DD3AB0">
      <w:pPr>
        <w:pStyle w:val="a3"/>
        <w:numPr>
          <w:ilvl w:val="0"/>
          <w:numId w:val="3"/>
        </w:numPr>
        <w:pBdr>
          <w:top w:val="none" w:sz="4" w:space="0" w:color="000000"/>
          <w:left w:val="none" w:sz="4" w:space="0" w:color="000000"/>
          <w:bottom w:val="none" w:sz="4" w:space="0" w:color="000000"/>
          <w:right w:val="none" w:sz="4" w:space="0" w:color="000000"/>
        </w:pBdr>
        <w:tabs>
          <w:tab w:val="left" w:pos="993"/>
        </w:tabs>
        <w:ind w:left="0" w:firstLine="709"/>
      </w:pPr>
      <w:r w:rsidRPr="00731FE2">
        <w:rPr>
          <w:rFonts w:ascii="Times New Roman" w:eastAsia="Times New Roman" w:hAnsi="Times New Roman" w:cs="Times New Roman"/>
          <w:color w:val="000000"/>
        </w:rPr>
        <w:t>памятники природы;</w:t>
      </w:r>
    </w:p>
    <w:p w14:paraId="014333C0" w14:textId="77777777" w:rsidR="00DD3AB0" w:rsidRPr="00731FE2" w:rsidRDefault="00DD3AB0" w:rsidP="00DD3AB0">
      <w:pPr>
        <w:pStyle w:val="a3"/>
        <w:numPr>
          <w:ilvl w:val="0"/>
          <w:numId w:val="3"/>
        </w:numPr>
        <w:pBdr>
          <w:top w:val="none" w:sz="4" w:space="0" w:color="000000"/>
          <w:left w:val="none" w:sz="4" w:space="0" w:color="000000"/>
          <w:bottom w:val="none" w:sz="4" w:space="0" w:color="000000"/>
          <w:right w:val="none" w:sz="4" w:space="0" w:color="000000"/>
        </w:pBdr>
        <w:tabs>
          <w:tab w:val="left" w:pos="993"/>
        </w:tabs>
        <w:ind w:left="0" w:firstLine="709"/>
      </w:pPr>
      <w:r w:rsidRPr="00731FE2">
        <w:rPr>
          <w:rFonts w:ascii="Times New Roman" w:eastAsia="Times New Roman" w:hAnsi="Times New Roman" w:cs="Times New Roman"/>
          <w:color w:val="000000"/>
        </w:rPr>
        <w:t>дендрологические парки и ботанические сады;</w:t>
      </w:r>
    </w:p>
    <w:p w14:paraId="0A24EDB9" w14:textId="77777777" w:rsidR="00DD3AB0" w:rsidRPr="00731FE2" w:rsidRDefault="00DD3AB0" w:rsidP="00DD3AB0">
      <w:pPr>
        <w:pStyle w:val="a3"/>
        <w:numPr>
          <w:ilvl w:val="0"/>
          <w:numId w:val="3"/>
        </w:numPr>
        <w:pBdr>
          <w:top w:val="none" w:sz="4" w:space="0" w:color="000000"/>
          <w:left w:val="none" w:sz="4" w:space="0" w:color="000000"/>
          <w:bottom w:val="none" w:sz="4" w:space="0" w:color="000000"/>
          <w:right w:val="none" w:sz="4" w:space="0" w:color="000000"/>
        </w:pBdr>
        <w:tabs>
          <w:tab w:val="left" w:pos="993"/>
        </w:tabs>
        <w:ind w:left="0" w:firstLine="709"/>
      </w:pPr>
      <w:r w:rsidRPr="00731FE2">
        <w:rPr>
          <w:rFonts w:ascii="Times New Roman" w:eastAsia="Times New Roman" w:hAnsi="Times New Roman" w:cs="Times New Roman"/>
          <w:color w:val="000000"/>
        </w:rPr>
        <w:t>охраняемые природные ландшафты;</w:t>
      </w:r>
    </w:p>
    <w:p w14:paraId="45C082B0" w14:textId="77777777" w:rsidR="00DD3AB0" w:rsidRPr="00731FE2" w:rsidRDefault="00DD3AB0" w:rsidP="00DD3AB0">
      <w:pPr>
        <w:pStyle w:val="a3"/>
        <w:numPr>
          <w:ilvl w:val="0"/>
          <w:numId w:val="3"/>
        </w:numPr>
        <w:pBdr>
          <w:top w:val="none" w:sz="4" w:space="0" w:color="000000"/>
          <w:left w:val="none" w:sz="4" w:space="0" w:color="000000"/>
          <w:bottom w:val="none" w:sz="4" w:space="0" w:color="000000"/>
          <w:right w:val="none" w:sz="4" w:space="0" w:color="000000"/>
        </w:pBdr>
        <w:tabs>
          <w:tab w:val="left" w:pos="993"/>
        </w:tabs>
        <w:ind w:left="0" w:firstLine="709"/>
      </w:pPr>
      <w:r w:rsidRPr="00731FE2">
        <w:rPr>
          <w:rFonts w:ascii="Times New Roman" w:eastAsia="Times New Roman" w:hAnsi="Times New Roman" w:cs="Times New Roman"/>
          <w:color w:val="000000"/>
        </w:rPr>
        <w:t>охраняемые озелененные и лесные территории;</w:t>
      </w:r>
    </w:p>
    <w:p w14:paraId="05626CED" w14:textId="77777777" w:rsidR="00DD3AB0" w:rsidRPr="00731FE2" w:rsidRDefault="00DD3AB0" w:rsidP="00DD3AB0">
      <w:pPr>
        <w:pStyle w:val="a3"/>
        <w:numPr>
          <w:ilvl w:val="0"/>
          <w:numId w:val="3"/>
        </w:numPr>
        <w:pBdr>
          <w:top w:val="none" w:sz="4" w:space="0" w:color="000000"/>
          <w:left w:val="none" w:sz="4" w:space="0" w:color="000000"/>
          <w:bottom w:val="none" w:sz="4" w:space="0" w:color="000000"/>
          <w:right w:val="none" w:sz="4" w:space="0" w:color="000000"/>
        </w:pBdr>
        <w:tabs>
          <w:tab w:val="left" w:pos="993"/>
        </w:tabs>
        <w:ind w:left="0" w:firstLine="709"/>
      </w:pPr>
      <w:r w:rsidRPr="00731FE2">
        <w:rPr>
          <w:rFonts w:ascii="Times New Roman" w:eastAsia="Times New Roman" w:hAnsi="Times New Roman" w:cs="Times New Roman"/>
          <w:color w:val="000000"/>
        </w:rPr>
        <w:t>микрозаказники;</w:t>
      </w:r>
    </w:p>
    <w:p w14:paraId="2BF966C3" w14:textId="77777777" w:rsidR="00DD3AB0" w:rsidRPr="00731FE2" w:rsidRDefault="00DD3AB0" w:rsidP="00DD3AB0">
      <w:pPr>
        <w:pStyle w:val="a3"/>
        <w:numPr>
          <w:ilvl w:val="0"/>
          <w:numId w:val="3"/>
        </w:numPr>
        <w:pBdr>
          <w:top w:val="none" w:sz="4" w:space="0" w:color="000000"/>
          <w:left w:val="none" w:sz="4" w:space="0" w:color="000000"/>
          <w:bottom w:val="none" w:sz="4" w:space="0" w:color="000000"/>
          <w:right w:val="none" w:sz="4" w:space="0" w:color="000000"/>
        </w:pBdr>
        <w:tabs>
          <w:tab w:val="left" w:pos="993"/>
        </w:tabs>
        <w:ind w:left="0" w:firstLine="709"/>
      </w:pPr>
      <w:r w:rsidRPr="00731FE2">
        <w:rPr>
          <w:rFonts w:ascii="Times New Roman" w:eastAsia="Times New Roman" w:hAnsi="Times New Roman" w:cs="Times New Roman"/>
          <w:color w:val="000000"/>
        </w:rPr>
        <w:t>особо охраняемые водные объе</w:t>
      </w:r>
      <w:r w:rsidRPr="00731FE2">
        <w:rPr>
          <w:rFonts w:ascii="Times New Roman" w:eastAsia="Times New Roman" w:hAnsi="Times New Roman" w:cs="Times New Roman"/>
          <w:color w:val="000000" w:themeColor="text1"/>
        </w:rPr>
        <w:t>кты</w:t>
      </w:r>
      <w:r w:rsidRPr="00731FE2">
        <w:rPr>
          <w:rFonts w:ascii="Times New Roman" w:eastAsia="Times New Roman" w:hAnsi="Times New Roman" w:cs="Times New Roman"/>
          <w:color w:val="000000" w:themeColor="text1"/>
          <w:vertAlign w:val="superscript"/>
        </w:rPr>
        <w:footnoteReference w:id="18"/>
      </w:r>
      <w:r w:rsidRPr="00731FE2">
        <w:rPr>
          <w:rFonts w:ascii="Times New Roman" w:eastAsia="Times New Roman" w:hAnsi="Times New Roman" w:cs="Times New Roman"/>
          <w:color w:val="000000" w:themeColor="text1"/>
        </w:rPr>
        <w:t>.</w:t>
      </w:r>
    </w:p>
    <w:p w14:paraId="19E81631" w14:textId="77777777" w:rsidR="00DD3AB0" w:rsidRPr="00731FE2" w:rsidRDefault="00DD3AB0" w:rsidP="00DD3AB0">
      <w:pPr>
        <w:pBdr>
          <w:top w:val="none" w:sz="4" w:space="0" w:color="000000"/>
          <w:left w:val="none" w:sz="4" w:space="0" w:color="000000"/>
          <w:bottom w:val="none" w:sz="4" w:space="0" w:color="000000"/>
          <w:right w:val="none" w:sz="4" w:space="0" w:color="000000"/>
        </w:pBdr>
      </w:pPr>
      <w:r w:rsidRPr="00731FE2">
        <w:rPr>
          <w:rFonts w:ascii="Times New Roman" w:eastAsia="Times New Roman" w:hAnsi="Times New Roman" w:cs="Times New Roman"/>
          <w:color w:val="000000"/>
        </w:rPr>
        <w:t>На территории городского округа «город-курорт Кисловодск» располагается особо охраняемая природная территория федерального значения – национальный парк «Кисловодский», который был создан Постановлением Правительства РФ от 02.06.2016 № 493 «О создании национального парка «Кисловодский».</w:t>
      </w:r>
    </w:p>
    <w:p w14:paraId="77A816FC" w14:textId="77777777" w:rsidR="00DD3AB0" w:rsidRPr="00731FE2" w:rsidRDefault="00DD3AB0" w:rsidP="00DD3AB0">
      <w:pPr>
        <w:pBdr>
          <w:top w:val="none" w:sz="4" w:space="0" w:color="000000"/>
          <w:left w:val="none" w:sz="4" w:space="0" w:color="000000"/>
          <w:bottom w:val="none" w:sz="4" w:space="0" w:color="000000"/>
          <w:right w:val="none" w:sz="4" w:space="0" w:color="000000"/>
        </w:pBdr>
        <w:rPr>
          <w:color w:val="000000" w:themeColor="text1"/>
        </w:rPr>
      </w:pPr>
      <w:r w:rsidRPr="00731FE2">
        <w:rPr>
          <w:rFonts w:ascii="Times New Roman" w:eastAsia="Times New Roman" w:hAnsi="Times New Roman" w:cs="Times New Roman"/>
          <w:color w:val="000000"/>
        </w:rPr>
        <w:t>Общая площадь национального парка – 965,</w:t>
      </w:r>
      <w:r w:rsidRPr="00731FE2">
        <w:rPr>
          <w:rFonts w:ascii="Times New Roman" w:eastAsia="Times New Roman" w:hAnsi="Times New Roman" w:cs="Times New Roman"/>
          <w:color w:val="000000" w:themeColor="text1"/>
        </w:rPr>
        <w:t>8 га</w:t>
      </w:r>
      <w:r w:rsidRPr="00731FE2">
        <w:rPr>
          <w:rFonts w:ascii="Times New Roman" w:eastAsia="Times New Roman" w:hAnsi="Times New Roman" w:cs="Times New Roman"/>
          <w:color w:val="000000" w:themeColor="text1"/>
          <w:vertAlign w:val="superscript"/>
        </w:rPr>
        <w:footnoteReference w:id="19"/>
      </w:r>
      <w:r w:rsidRPr="00731FE2">
        <w:rPr>
          <w:rFonts w:ascii="Times New Roman" w:eastAsia="Times New Roman" w:hAnsi="Times New Roman" w:cs="Times New Roman"/>
          <w:color w:val="000000" w:themeColor="text1"/>
        </w:rPr>
        <w:t xml:space="preserve">. </w:t>
      </w:r>
      <w:r w:rsidRPr="00731FE2">
        <w:rPr>
          <w:rFonts w:ascii="Times New Roman" w:eastAsia="Times New Roman" w:hAnsi="Times New Roman" w:cs="Times New Roman"/>
          <w:color w:val="000000"/>
        </w:rPr>
        <w:t>В его границы включены земельные участки иных собственников и пользователей без изъятия их из хозяйственного использования общей площадью 18</w:t>
      </w:r>
      <w:r w:rsidRPr="00731FE2">
        <w:rPr>
          <w:rFonts w:ascii="Times New Roman" w:eastAsia="Times New Roman" w:hAnsi="Times New Roman" w:cs="Times New Roman"/>
          <w:color w:val="000000" w:themeColor="text1"/>
        </w:rPr>
        <w:t>,5 га</w:t>
      </w:r>
      <w:r w:rsidRPr="00731FE2">
        <w:rPr>
          <w:rFonts w:ascii="Times New Roman" w:eastAsia="Times New Roman" w:hAnsi="Times New Roman" w:cs="Times New Roman"/>
          <w:color w:val="000000" w:themeColor="text1"/>
          <w:vertAlign w:val="superscript"/>
        </w:rPr>
        <w:footnoteReference w:id="20"/>
      </w:r>
      <w:r w:rsidRPr="00731FE2">
        <w:rPr>
          <w:rFonts w:ascii="Times New Roman" w:eastAsia="Times New Roman" w:hAnsi="Times New Roman" w:cs="Times New Roman"/>
          <w:color w:val="000000" w:themeColor="text1"/>
        </w:rPr>
        <w:t>.</w:t>
      </w:r>
    </w:p>
    <w:p w14:paraId="0686C2CD" w14:textId="77777777" w:rsidR="00DD3AB0" w:rsidRPr="00731FE2" w:rsidRDefault="00DD3AB0" w:rsidP="00DD3AB0">
      <w:pPr>
        <w:pBdr>
          <w:top w:val="none" w:sz="4" w:space="0" w:color="000000"/>
          <w:left w:val="none" w:sz="4" w:space="0" w:color="000000"/>
          <w:bottom w:val="none" w:sz="4" w:space="0" w:color="000000"/>
          <w:right w:val="none" w:sz="4" w:space="0" w:color="000000"/>
        </w:pBdr>
      </w:pPr>
      <w:r w:rsidRPr="00731FE2">
        <w:rPr>
          <w:rFonts w:ascii="Times New Roman" w:eastAsia="Times New Roman" w:hAnsi="Times New Roman" w:cs="Times New Roman"/>
          <w:color w:val="000000"/>
        </w:rPr>
        <w:t>Основные задачи, которые были возложены на национальный парк:</w:t>
      </w:r>
    </w:p>
    <w:p w14:paraId="7AEBF2AF" w14:textId="77777777" w:rsidR="00DD3AB0" w:rsidRPr="00731FE2" w:rsidRDefault="00DD3AB0" w:rsidP="00DD3AB0">
      <w:pPr>
        <w:pStyle w:val="a3"/>
        <w:numPr>
          <w:ilvl w:val="0"/>
          <w:numId w:val="5"/>
        </w:numPr>
        <w:pBdr>
          <w:top w:val="none" w:sz="4" w:space="0" w:color="000000"/>
          <w:left w:val="none" w:sz="4" w:space="0" w:color="000000"/>
          <w:bottom w:val="none" w:sz="4" w:space="0" w:color="000000"/>
          <w:right w:val="none" w:sz="4" w:space="0" w:color="000000"/>
        </w:pBdr>
        <w:tabs>
          <w:tab w:val="left" w:pos="993"/>
        </w:tabs>
        <w:ind w:left="0" w:firstLine="709"/>
      </w:pPr>
      <w:r w:rsidRPr="00731FE2">
        <w:rPr>
          <w:rFonts w:ascii="Times New Roman" w:eastAsia="Times New Roman" w:hAnsi="Times New Roman" w:cs="Times New Roman"/>
          <w:color w:val="000000"/>
        </w:rPr>
        <w:t>сохранение природных комплексов, уникальных и эталонных природных участков, и объектов;</w:t>
      </w:r>
    </w:p>
    <w:p w14:paraId="48CA16F7" w14:textId="77777777" w:rsidR="00DD3AB0" w:rsidRPr="00731FE2" w:rsidRDefault="00DD3AB0" w:rsidP="00DD3AB0">
      <w:pPr>
        <w:pStyle w:val="a3"/>
        <w:numPr>
          <w:ilvl w:val="0"/>
          <w:numId w:val="5"/>
        </w:numPr>
        <w:pBdr>
          <w:top w:val="none" w:sz="4" w:space="0" w:color="000000"/>
          <w:left w:val="none" w:sz="4" w:space="0" w:color="000000"/>
          <w:bottom w:val="none" w:sz="4" w:space="0" w:color="000000"/>
          <w:right w:val="none" w:sz="4" w:space="0" w:color="000000"/>
        </w:pBdr>
        <w:tabs>
          <w:tab w:val="left" w:pos="993"/>
        </w:tabs>
        <w:ind w:left="0" w:firstLine="709"/>
      </w:pPr>
      <w:r w:rsidRPr="00731FE2">
        <w:rPr>
          <w:rFonts w:ascii="Times New Roman" w:eastAsia="Times New Roman" w:hAnsi="Times New Roman" w:cs="Times New Roman"/>
          <w:color w:val="000000"/>
        </w:rPr>
        <w:t>сохранение историко-культурных объектов;</w:t>
      </w:r>
    </w:p>
    <w:p w14:paraId="0BDFD115" w14:textId="77777777" w:rsidR="00DD3AB0" w:rsidRPr="00731FE2" w:rsidRDefault="00DD3AB0" w:rsidP="00DD3AB0">
      <w:pPr>
        <w:pStyle w:val="a3"/>
        <w:numPr>
          <w:ilvl w:val="0"/>
          <w:numId w:val="5"/>
        </w:numPr>
        <w:pBdr>
          <w:top w:val="none" w:sz="4" w:space="0" w:color="000000"/>
          <w:left w:val="none" w:sz="4" w:space="0" w:color="000000"/>
          <w:bottom w:val="none" w:sz="4" w:space="0" w:color="000000"/>
          <w:right w:val="none" w:sz="4" w:space="0" w:color="000000"/>
        </w:pBdr>
        <w:tabs>
          <w:tab w:val="left" w:pos="993"/>
        </w:tabs>
        <w:ind w:left="0" w:firstLine="709"/>
      </w:pPr>
      <w:r w:rsidRPr="00731FE2">
        <w:rPr>
          <w:rFonts w:ascii="Times New Roman" w:eastAsia="Times New Roman" w:hAnsi="Times New Roman" w:cs="Times New Roman"/>
          <w:color w:val="000000"/>
        </w:rPr>
        <w:t>экологическое просвещение населения;</w:t>
      </w:r>
    </w:p>
    <w:p w14:paraId="2464D3D2" w14:textId="77777777" w:rsidR="00DD3AB0" w:rsidRPr="00731FE2" w:rsidRDefault="00DD3AB0" w:rsidP="00DD3AB0">
      <w:pPr>
        <w:pStyle w:val="a3"/>
        <w:numPr>
          <w:ilvl w:val="0"/>
          <w:numId w:val="5"/>
        </w:numPr>
        <w:pBdr>
          <w:top w:val="none" w:sz="4" w:space="0" w:color="000000"/>
          <w:left w:val="none" w:sz="4" w:space="0" w:color="000000"/>
          <w:bottom w:val="none" w:sz="4" w:space="0" w:color="000000"/>
          <w:right w:val="none" w:sz="4" w:space="0" w:color="000000"/>
        </w:pBdr>
        <w:tabs>
          <w:tab w:val="left" w:pos="993"/>
        </w:tabs>
        <w:ind w:left="0" w:firstLine="709"/>
      </w:pPr>
      <w:r w:rsidRPr="00731FE2">
        <w:rPr>
          <w:rFonts w:ascii="Times New Roman" w:eastAsia="Times New Roman" w:hAnsi="Times New Roman" w:cs="Times New Roman"/>
          <w:color w:val="000000"/>
        </w:rPr>
        <w:t>создание условий для регулируемого туризма и отдыха;</w:t>
      </w:r>
    </w:p>
    <w:p w14:paraId="4B1ED3D0" w14:textId="77777777" w:rsidR="00DD3AB0" w:rsidRPr="00731FE2" w:rsidRDefault="00DD3AB0" w:rsidP="00DD3AB0">
      <w:pPr>
        <w:pStyle w:val="a3"/>
        <w:numPr>
          <w:ilvl w:val="0"/>
          <w:numId w:val="5"/>
        </w:numPr>
        <w:pBdr>
          <w:top w:val="none" w:sz="4" w:space="0" w:color="000000"/>
          <w:left w:val="none" w:sz="4" w:space="0" w:color="000000"/>
          <w:bottom w:val="none" w:sz="4" w:space="0" w:color="000000"/>
          <w:right w:val="none" w:sz="4" w:space="0" w:color="000000"/>
        </w:pBdr>
        <w:tabs>
          <w:tab w:val="left" w:pos="993"/>
        </w:tabs>
        <w:ind w:left="0" w:firstLine="709"/>
      </w:pPr>
      <w:r w:rsidRPr="00731FE2">
        <w:rPr>
          <w:rFonts w:ascii="Times New Roman" w:eastAsia="Times New Roman" w:hAnsi="Times New Roman" w:cs="Times New Roman"/>
          <w:color w:val="000000"/>
        </w:rPr>
        <w:t>осуществление научной (научно-исследовательской) деятельности в области охраны окружающей среды в целях разработки мероприятий по сохранению и развитию природного потенциала и рекреационного потенциала Российской Федерации;</w:t>
      </w:r>
    </w:p>
    <w:p w14:paraId="78B0B910" w14:textId="77777777" w:rsidR="00DD3AB0" w:rsidRPr="00731FE2" w:rsidRDefault="00DD3AB0" w:rsidP="00DD3AB0">
      <w:pPr>
        <w:pStyle w:val="a3"/>
        <w:numPr>
          <w:ilvl w:val="0"/>
          <w:numId w:val="5"/>
        </w:numPr>
        <w:pBdr>
          <w:top w:val="none" w:sz="4" w:space="0" w:color="000000"/>
          <w:left w:val="none" w:sz="4" w:space="0" w:color="000000"/>
          <w:bottom w:val="none" w:sz="4" w:space="0" w:color="000000"/>
          <w:right w:val="none" w:sz="4" w:space="0" w:color="000000"/>
        </w:pBdr>
        <w:tabs>
          <w:tab w:val="left" w:pos="993"/>
        </w:tabs>
        <w:ind w:left="0" w:firstLine="709"/>
      </w:pPr>
      <w:r w:rsidRPr="00731FE2">
        <w:rPr>
          <w:rFonts w:ascii="Times New Roman" w:eastAsia="Times New Roman" w:hAnsi="Times New Roman" w:cs="Times New Roman"/>
          <w:color w:val="000000"/>
        </w:rPr>
        <w:t>осуществление государственного экологического мониторинга (государственного мониторинга окружающей среды);</w:t>
      </w:r>
    </w:p>
    <w:p w14:paraId="2EB8873C" w14:textId="77777777" w:rsidR="00DD3AB0" w:rsidRPr="00731FE2" w:rsidRDefault="00DD3AB0" w:rsidP="00DD3AB0">
      <w:pPr>
        <w:pStyle w:val="a3"/>
        <w:numPr>
          <w:ilvl w:val="0"/>
          <w:numId w:val="5"/>
        </w:numPr>
        <w:pBdr>
          <w:top w:val="none" w:sz="4" w:space="0" w:color="000000"/>
          <w:left w:val="none" w:sz="4" w:space="0" w:color="000000"/>
          <w:bottom w:val="none" w:sz="4" w:space="0" w:color="000000"/>
          <w:right w:val="none" w:sz="4" w:space="0" w:color="000000"/>
        </w:pBdr>
        <w:tabs>
          <w:tab w:val="left" w:pos="993"/>
        </w:tabs>
        <w:ind w:left="0" w:firstLine="709"/>
      </w:pPr>
      <w:r w:rsidRPr="00731FE2">
        <w:rPr>
          <w:rFonts w:ascii="Times New Roman" w:eastAsia="Times New Roman" w:hAnsi="Times New Roman" w:cs="Times New Roman"/>
          <w:color w:val="000000"/>
        </w:rPr>
        <w:lastRenderedPageBreak/>
        <w:t>восстановление нарушенных природных и историко-культурных комплексов и объектов.</w:t>
      </w:r>
    </w:p>
    <w:p w14:paraId="7828DC57" w14:textId="77777777" w:rsidR="00DD3AB0" w:rsidRPr="00731FE2" w:rsidRDefault="00DD3AB0" w:rsidP="00DD3AB0">
      <w:pPr>
        <w:pBdr>
          <w:top w:val="none" w:sz="4" w:space="0" w:color="000000"/>
          <w:left w:val="none" w:sz="4" w:space="0" w:color="000000"/>
          <w:bottom w:val="none" w:sz="4" w:space="0" w:color="000000"/>
          <w:right w:val="none" w:sz="4" w:space="0" w:color="000000"/>
        </w:pBdr>
        <w:tabs>
          <w:tab w:val="left" w:pos="993"/>
        </w:tabs>
      </w:pPr>
      <w:r w:rsidRPr="00731FE2">
        <w:rPr>
          <w:rFonts w:ascii="Times New Roman" w:eastAsia="Times New Roman" w:hAnsi="Times New Roman" w:cs="Times New Roman"/>
          <w:color w:val="000000"/>
        </w:rPr>
        <w:t>Управление национальным парком, выполнение задач, возложенных на национальный парк, осуществляет федеральное государственное бюджетное учреждение «Национальный парк «Кисловодский».</w:t>
      </w:r>
    </w:p>
    <w:p w14:paraId="5299E3C0" w14:textId="77777777" w:rsidR="00DD3AB0" w:rsidRPr="00731FE2" w:rsidRDefault="00DD3AB0" w:rsidP="00DD3AB0">
      <w:pPr>
        <w:pBdr>
          <w:top w:val="none" w:sz="4" w:space="0" w:color="000000"/>
          <w:left w:val="none" w:sz="4" w:space="0" w:color="000000"/>
          <w:bottom w:val="none" w:sz="4" w:space="0" w:color="000000"/>
          <w:right w:val="none" w:sz="4" w:space="0" w:color="000000"/>
        </w:pBdr>
      </w:pPr>
      <w:r w:rsidRPr="00731FE2">
        <w:rPr>
          <w:rFonts w:ascii="Times New Roman" w:eastAsia="Times New Roman" w:hAnsi="Times New Roman" w:cs="Times New Roman"/>
          <w:color w:val="000000"/>
        </w:rPr>
        <w:t>На территории национального парка запрещается любая деятельность, которая может нанести ущерб природным комплексам и объектам растительного и животного мира, культурно-историческим объектам и которая противоречит целям и задачам национального парка.</w:t>
      </w:r>
    </w:p>
    <w:p w14:paraId="74C31730" w14:textId="77777777" w:rsidR="00DD3AB0" w:rsidRPr="00731FE2" w:rsidRDefault="00DD3AB0" w:rsidP="00DD3AB0">
      <w:pPr>
        <w:pBdr>
          <w:top w:val="none" w:sz="4" w:space="0" w:color="000000"/>
          <w:left w:val="none" w:sz="4" w:space="0" w:color="000000"/>
          <w:bottom w:val="none" w:sz="4" w:space="0" w:color="000000"/>
          <w:right w:val="none" w:sz="4" w:space="0" w:color="000000"/>
        </w:pBdr>
      </w:pPr>
      <w:r w:rsidRPr="00731FE2">
        <w:rPr>
          <w:rFonts w:ascii="Times New Roman" w:eastAsia="Times New Roman" w:hAnsi="Times New Roman" w:cs="Times New Roman"/>
          <w:color w:val="000000"/>
        </w:rPr>
        <w:t>В пределах заповедной зоны (площадь – 18,6 га) дополнительно запрещены любая хозяйственная деятельность и рекреационное использование территории, а также пребывание физических лиц.</w:t>
      </w:r>
    </w:p>
    <w:p w14:paraId="7B5D6F7D" w14:textId="77777777" w:rsidR="00DD3AB0" w:rsidRPr="00731FE2" w:rsidRDefault="00DD3AB0" w:rsidP="00DD3AB0">
      <w:pPr>
        <w:pBdr>
          <w:top w:val="none" w:sz="4" w:space="0" w:color="000000"/>
          <w:left w:val="none" w:sz="4" w:space="0" w:color="000000"/>
          <w:bottom w:val="none" w:sz="4" w:space="0" w:color="000000"/>
          <w:right w:val="none" w:sz="4" w:space="0" w:color="000000"/>
        </w:pBdr>
      </w:pPr>
      <w:r w:rsidRPr="00731FE2">
        <w:rPr>
          <w:rFonts w:ascii="Times New Roman" w:eastAsia="Times New Roman" w:hAnsi="Times New Roman" w:cs="Times New Roman"/>
          <w:color w:val="000000"/>
        </w:rPr>
        <w:t>В пределах особо охраняемой зоны (площадь – 123,6 га) дополнительно запрещается:</w:t>
      </w:r>
    </w:p>
    <w:p w14:paraId="4A8B13B5" w14:textId="77777777" w:rsidR="00DD3AB0" w:rsidRPr="00731FE2" w:rsidRDefault="00DD3AB0" w:rsidP="00DD3AB0">
      <w:pPr>
        <w:pStyle w:val="a3"/>
        <w:numPr>
          <w:ilvl w:val="0"/>
          <w:numId w:val="6"/>
        </w:numPr>
        <w:pBdr>
          <w:top w:val="none" w:sz="4" w:space="0" w:color="000000"/>
          <w:left w:val="none" w:sz="4" w:space="0" w:color="000000"/>
          <w:bottom w:val="none" w:sz="4" w:space="0" w:color="000000"/>
          <w:right w:val="none" w:sz="4" w:space="0" w:color="000000"/>
        </w:pBdr>
        <w:tabs>
          <w:tab w:val="left" w:pos="993"/>
        </w:tabs>
        <w:ind w:left="0" w:firstLine="709"/>
      </w:pPr>
      <w:r w:rsidRPr="00731FE2">
        <w:rPr>
          <w:rFonts w:ascii="Times New Roman" w:eastAsia="Times New Roman" w:hAnsi="Times New Roman" w:cs="Times New Roman"/>
          <w:color w:val="000000"/>
        </w:rPr>
        <w:t>пребывание граждан вне дорог общего пользования и вне смотровых площадок, экскурсионных экологических троп и маршрутов, специально предусмотренных Учреждением для посещения особо охраняемой зоны в целях познавательного туризма;</w:t>
      </w:r>
    </w:p>
    <w:p w14:paraId="547FE5FD" w14:textId="77777777" w:rsidR="00DD3AB0" w:rsidRPr="00731FE2" w:rsidRDefault="00DD3AB0" w:rsidP="00DD3AB0">
      <w:pPr>
        <w:pStyle w:val="a3"/>
        <w:numPr>
          <w:ilvl w:val="0"/>
          <w:numId w:val="6"/>
        </w:numPr>
        <w:pBdr>
          <w:top w:val="none" w:sz="4" w:space="0" w:color="000000"/>
          <w:left w:val="none" w:sz="4" w:space="0" w:color="000000"/>
          <w:bottom w:val="none" w:sz="4" w:space="0" w:color="000000"/>
          <w:right w:val="none" w:sz="4" w:space="0" w:color="000000"/>
        </w:pBdr>
        <w:tabs>
          <w:tab w:val="left" w:pos="993"/>
        </w:tabs>
        <w:ind w:left="0" w:firstLine="709"/>
      </w:pPr>
      <w:r w:rsidRPr="00731FE2">
        <w:rPr>
          <w:rFonts w:ascii="Times New Roman" w:eastAsia="Times New Roman" w:hAnsi="Times New Roman" w:cs="Times New Roman"/>
          <w:color w:val="000000"/>
        </w:rPr>
        <w:t>строительство зданий и сооружений, а также устройство и оборудование стоянок для ночлега.</w:t>
      </w:r>
    </w:p>
    <w:p w14:paraId="49A6EF94" w14:textId="77777777" w:rsidR="00DD3AB0" w:rsidRPr="00731FE2" w:rsidRDefault="00DD3AB0" w:rsidP="00DD3AB0">
      <w:pPr>
        <w:pBdr>
          <w:top w:val="none" w:sz="4" w:space="0" w:color="000000"/>
          <w:left w:val="none" w:sz="4" w:space="0" w:color="000000"/>
          <w:bottom w:val="none" w:sz="4" w:space="0" w:color="000000"/>
          <w:right w:val="none" w:sz="4" w:space="0" w:color="000000"/>
        </w:pBdr>
      </w:pPr>
      <w:r w:rsidRPr="00731FE2">
        <w:rPr>
          <w:rFonts w:ascii="Times New Roman" w:eastAsia="Times New Roman" w:hAnsi="Times New Roman" w:cs="Times New Roman"/>
          <w:color w:val="000000"/>
        </w:rPr>
        <w:t>На территории городского округа «город-курорт Кисловодск» расположено 5 особо охраняемых природных территорий краевого значения общей площадью 11,8</w:t>
      </w:r>
      <w:r w:rsidRPr="00731FE2">
        <w:rPr>
          <w:rFonts w:ascii="Times New Roman" w:eastAsia="Times New Roman" w:hAnsi="Times New Roman" w:cs="Times New Roman"/>
          <w:color w:val="000000" w:themeColor="text1"/>
        </w:rPr>
        <w:t>6 га</w:t>
      </w:r>
      <w:r w:rsidRPr="00731FE2">
        <w:rPr>
          <w:rFonts w:ascii="Times New Roman" w:eastAsia="Times New Roman" w:hAnsi="Times New Roman" w:cs="Times New Roman"/>
          <w:color w:val="000000" w:themeColor="text1"/>
          <w:vertAlign w:val="superscript"/>
        </w:rPr>
        <w:footnoteReference w:id="21"/>
      </w:r>
      <w:r w:rsidRPr="00731FE2">
        <w:rPr>
          <w:rFonts w:ascii="Times New Roman" w:eastAsia="Times New Roman" w:hAnsi="Times New Roman" w:cs="Times New Roman"/>
          <w:color w:val="000000" w:themeColor="text1"/>
        </w:rPr>
        <w:t xml:space="preserve">. </w:t>
      </w:r>
      <w:r w:rsidRPr="00731FE2">
        <w:rPr>
          <w:rFonts w:ascii="Times New Roman" w:eastAsia="Times New Roman" w:hAnsi="Times New Roman" w:cs="Times New Roman"/>
          <w:color w:val="000000"/>
        </w:rPr>
        <w:t>В таблице ниже приведены сведения об ООПТ краевого значения, расположенных на территории городского округа.</w:t>
      </w:r>
    </w:p>
    <w:p w14:paraId="2441E459" w14:textId="77777777" w:rsidR="00DD3AB0" w:rsidRPr="00731FE2" w:rsidRDefault="00DD3AB0" w:rsidP="00DD3AB0">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p>
    <w:p w14:paraId="0EE1ED2C" w14:textId="77777777" w:rsidR="00DD3AB0" w:rsidRPr="00731FE2" w:rsidRDefault="00DD3AB0" w:rsidP="00DD3AB0">
      <w:pPr>
        <w:pBdr>
          <w:top w:val="none" w:sz="4" w:space="0" w:color="000000"/>
          <w:left w:val="none" w:sz="4" w:space="0" w:color="000000"/>
          <w:bottom w:val="none" w:sz="4" w:space="0" w:color="000000"/>
          <w:right w:val="none" w:sz="4" w:space="0" w:color="000000"/>
        </w:pBdr>
        <w:spacing w:line="240" w:lineRule="auto"/>
        <w:ind w:firstLine="0"/>
        <w:rPr>
          <w:color w:val="000000" w:themeColor="text1"/>
          <w:sz w:val="22"/>
          <w:szCs w:val="20"/>
        </w:rPr>
      </w:pPr>
      <w:r w:rsidRPr="00731FE2">
        <w:rPr>
          <w:rFonts w:ascii="Times New Roman" w:eastAsia="Times New Roman" w:hAnsi="Times New Roman" w:cs="Times New Roman"/>
          <w:b/>
          <w:bCs/>
          <w:sz w:val="22"/>
          <w:szCs w:val="20"/>
        </w:rPr>
        <w:t xml:space="preserve">Таблица </w:t>
      </w:r>
      <w:r w:rsidRPr="00731FE2">
        <w:rPr>
          <w:rFonts w:ascii="Times New Roman" w:eastAsia="Times New Roman" w:hAnsi="Times New Roman" w:cs="Times New Roman"/>
          <w:b/>
          <w:bCs/>
          <w:sz w:val="22"/>
          <w:szCs w:val="20"/>
        </w:rPr>
        <w:fldChar w:fldCharType="begin"/>
      </w:r>
      <w:r w:rsidRPr="00731FE2">
        <w:rPr>
          <w:rFonts w:ascii="Times New Roman" w:eastAsia="Times New Roman" w:hAnsi="Times New Roman" w:cs="Times New Roman"/>
          <w:b/>
          <w:bCs/>
          <w:sz w:val="22"/>
          <w:szCs w:val="20"/>
        </w:rPr>
        <w:instrText xml:space="preserve"> SEQ Таблица \* Arabic </w:instrText>
      </w:r>
      <w:r w:rsidRPr="00731FE2">
        <w:rPr>
          <w:rFonts w:ascii="Times New Roman" w:eastAsia="Times New Roman" w:hAnsi="Times New Roman" w:cs="Times New Roman"/>
          <w:b/>
          <w:bCs/>
          <w:sz w:val="22"/>
          <w:szCs w:val="20"/>
        </w:rPr>
        <w:fldChar w:fldCharType="separate"/>
      </w:r>
      <w:r w:rsidR="00C50915" w:rsidRPr="00731FE2">
        <w:rPr>
          <w:rFonts w:ascii="Times New Roman" w:eastAsia="Times New Roman" w:hAnsi="Times New Roman" w:cs="Times New Roman"/>
          <w:b/>
          <w:bCs/>
          <w:noProof/>
          <w:sz w:val="22"/>
          <w:szCs w:val="20"/>
        </w:rPr>
        <w:t>7</w:t>
      </w:r>
      <w:r w:rsidRPr="00731FE2">
        <w:rPr>
          <w:rFonts w:ascii="Times New Roman" w:eastAsia="Times New Roman" w:hAnsi="Times New Roman" w:cs="Times New Roman"/>
          <w:b/>
          <w:bCs/>
          <w:sz w:val="22"/>
          <w:szCs w:val="20"/>
        </w:rPr>
        <w:fldChar w:fldCharType="end"/>
      </w:r>
      <w:r w:rsidRPr="00731FE2">
        <w:rPr>
          <w:rFonts w:ascii="Times New Roman" w:eastAsia="Times New Roman" w:hAnsi="Times New Roman" w:cs="Times New Roman"/>
          <w:b/>
          <w:bCs/>
          <w:sz w:val="22"/>
          <w:szCs w:val="20"/>
        </w:rPr>
        <w:t xml:space="preserve"> – </w:t>
      </w:r>
      <w:r w:rsidRPr="00731FE2">
        <w:rPr>
          <w:rFonts w:ascii="Times New Roman" w:eastAsia="Times New Roman" w:hAnsi="Times New Roman" w:cs="Times New Roman"/>
          <w:b/>
          <w:bCs/>
          <w:color w:val="000000"/>
          <w:sz w:val="22"/>
          <w:szCs w:val="20"/>
        </w:rPr>
        <w:t>Сведе</w:t>
      </w:r>
      <w:r w:rsidRPr="00731FE2">
        <w:rPr>
          <w:rFonts w:ascii="Times New Roman" w:eastAsia="Times New Roman" w:hAnsi="Times New Roman" w:cs="Times New Roman"/>
          <w:b/>
          <w:color w:val="000000"/>
          <w:sz w:val="22"/>
          <w:szCs w:val="20"/>
        </w:rPr>
        <w:t xml:space="preserve">ния о ООПТ краевого значения, расположенных на территории городского округа «город-курорт Кисловодск», 01.01.2024 </w:t>
      </w:r>
      <w:r w:rsidRPr="00731FE2">
        <w:rPr>
          <w:rFonts w:ascii="Times New Roman" w:eastAsia="Times New Roman" w:hAnsi="Times New Roman" w:cs="Times New Roman"/>
          <w:b/>
          <w:color w:val="000000" w:themeColor="text1"/>
          <w:sz w:val="22"/>
          <w:szCs w:val="20"/>
        </w:rPr>
        <w:t>г.</w:t>
      </w:r>
      <w:r w:rsidRPr="00731FE2">
        <w:rPr>
          <w:rFonts w:ascii="Times New Roman" w:eastAsia="Times New Roman" w:hAnsi="Times New Roman" w:cs="Times New Roman"/>
          <w:color w:val="000000" w:themeColor="text1"/>
          <w:sz w:val="22"/>
          <w:szCs w:val="20"/>
          <w:vertAlign w:val="superscript"/>
        </w:rPr>
        <w:footnoteReference w:id="22"/>
      </w:r>
    </w:p>
    <w:tbl>
      <w:tblPr>
        <w:tblStyle w:val="afe"/>
        <w:tblW w:w="0" w:type="auto"/>
        <w:tblLayout w:type="fixed"/>
        <w:tblCellMar>
          <w:left w:w="57" w:type="dxa"/>
          <w:right w:w="57" w:type="dxa"/>
        </w:tblCellMar>
        <w:tblLook w:val="04A0" w:firstRow="1" w:lastRow="0" w:firstColumn="1" w:lastColumn="0" w:noHBand="0" w:noVBand="1"/>
      </w:tblPr>
      <w:tblGrid>
        <w:gridCol w:w="708"/>
        <w:gridCol w:w="3685"/>
        <w:gridCol w:w="1984"/>
        <w:gridCol w:w="1843"/>
        <w:gridCol w:w="1135"/>
      </w:tblGrid>
      <w:tr w:rsidR="00DD3AB0" w:rsidRPr="00731FE2" w14:paraId="6442C132" w14:textId="77777777" w:rsidTr="00423B27">
        <w:tc>
          <w:tcPr>
            <w:tcW w:w="708" w:type="dxa"/>
            <w:vAlign w:val="center"/>
          </w:tcPr>
          <w:p w14:paraId="0C54655D" w14:textId="77777777" w:rsidR="00DD3AB0" w:rsidRPr="00731FE2" w:rsidRDefault="00DD3AB0" w:rsidP="00423B27">
            <w:pPr>
              <w:pBdr>
                <w:top w:val="none" w:sz="4" w:space="0" w:color="000000"/>
                <w:left w:val="none" w:sz="4" w:space="0" w:color="000000"/>
                <w:bottom w:val="none" w:sz="4" w:space="0" w:color="000000"/>
                <w:right w:val="none" w:sz="4" w:space="0" w:color="000000"/>
              </w:pBdr>
              <w:ind w:firstLine="0"/>
              <w:jc w:val="center"/>
              <w:rPr>
                <w:sz w:val="22"/>
                <w:szCs w:val="20"/>
              </w:rPr>
            </w:pPr>
            <w:r w:rsidRPr="00731FE2">
              <w:rPr>
                <w:rFonts w:ascii="Times New Roman" w:eastAsia="Times New Roman" w:hAnsi="Times New Roman" w:cs="Times New Roman"/>
                <w:b/>
                <w:color w:val="000000"/>
                <w:sz w:val="22"/>
                <w:szCs w:val="20"/>
              </w:rPr>
              <w:t>№</w:t>
            </w:r>
          </w:p>
        </w:tc>
        <w:tc>
          <w:tcPr>
            <w:tcW w:w="3685" w:type="dxa"/>
            <w:vAlign w:val="center"/>
          </w:tcPr>
          <w:p w14:paraId="1CC152FD" w14:textId="77777777" w:rsidR="00DD3AB0" w:rsidRPr="00731FE2" w:rsidRDefault="00DD3AB0" w:rsidP="00423B27">
            <w:pPr>
              <w:pBdr>
                <w:top w:val="none" w:sz="4" w:space="0" w:color="000000"/>
                <w:left w:val="none" w:sz="4" w:space="0" w:color="000000"/>
                <w:bottom w:val="none" w:sz="4" w:space="0" w:color="000000"/>
                <w:right w:val="none" w:sz="4" w:space="0" w:color="000000"/>
              </w:pBdr>
              <w:ind w:firstLine="0"/>
              <w:jc w:val="center"/>
              <w:rPr>
                <w:sz w:val="22"/>
                <w:szCs w:val="20"/>
              </w:rPr>
            </w:pPr>
            <w:r w:rsidRPr="00731FE2">
              <w:rPr>
                <w:rFonts w:ascii="Times New Roman" w:eastAsia="Times New Roman" w:hAnsi="Times New Roman" w:cs="Times New Roman"/>
                <w:b/>
                <w:color w:val="000000"/>
                <w:sz w:val="22"/>
                <w:szCs w:val="20"/>
              </w:rPr>
              <w:t>Наименование ООПТ</w:t>
            </w:r>
          </w:p>
        </w:tc>
        <w:tc>
          <w:tcPr>
            <w:tcW w:w="1984" w:type="dxa"/>
            <w:vAlign w:val="center"/>
          </w:tcPr>
          <w:p w14:paraId="3F998236" w14:textId="77777777" w:rsidR="00DD3AB0" w:rsidRPr="00731FE2" w:rsidRDefault="00DD3AB0" w:rsidP="00423B27">
            <w:pPr>
              <w:pBdr>
                <w:top w:val="none" w:sz="4" w:space="0" w:color="000000"/>
                <w:left w:val="none" w:sz="4" w:space="0" w:color="000000"/>
                <w:bottom w:val="none" w:sz="4" w:space="0" w:color="000000"/>
                <w:right w:val="none" w:sz="4" w:space="0" w:color="000000"/>
              </w:pBdr>
              <w:ind w:firstLine="0"/>
              <w:jc w:val="center"/>
              <w:rPr>
                <w:sz w:val="22"/>
                <w:szCs w:val="20"/>
              </w:rPr>
            </w:pPr>
            <w:r w:rsidRPr="00731FE2">
              <w:rPr>
                <w:rFonts w:ascii="Times New Roman" w:eastAsia="Times New Roman" w:hAnsi="Times New Roman" w:cs="Times New Roman"/>
                <w:b/>
                <w:color w:val="000000"/>
                <w:sz w:val="22"/>
                <w:szCs w:val="20"/>
              </w:rPr>
              <w:t>Категория ООПТ</w:t>
            </w:r>
          </w:p>
        </w:tc>
        <w:tc>
          <w:tcPr>
            <w:tcW w:w="1843" w:type="dxa"/>
            <w:vAlign w:val="center"/>
          </w:tcPr>
          <w:p w14:paraId="7F252456" w14:textId="77777777" w:rsidR="00DD3AB0" w:rsidRPr="00731FE2" w:rsidRDefault="00DD3AB0" w:rsidP="00423B27">
            <w:pPr>
              <w:pBdr>
                <w:top w:val="none" w:sz="4" w:space="0" w:color="000000"/>
                <w:left w:val="none" w:sz="4" w:space="0" w:color="000000"/>
                <w:bottom w:val="none" w:sz="4" w:space="0" w:color="000000"/>
                <w:right w:val="none" w:sz="4" w:space="0" w:color="000000"/>
              </w:pBdr>
              <w:ind w:firstLine="0"/>
              <w:jc w:val="center"/>
              <w:rPr>
                <w:sz w:val="22"/>
                <w:szCs w:val="20"/>
              </w:rPr>
            </w:pPr>
            <w:r w:rsidRPr="00731FE2">
              <w:rPr>
                <w:rFonts w:ascii="Times New Roman" w:eastAsia="Times New Roman" w:hAnsi="Times New Roman" w:cs="Times New Roman"/>
                <w:b/>
                <w:color w:val="000000"/>
                <w:sz w:val="22"/>
                <w:szCs w:val="20"/>
              </w:rPr>
              <w:t>Профиль ООПТ</w:t>
            </w:r>
          </w:p>
        </w:tc>
        <w:tc>
          <w:tcPr>
            <w:tcW w:w="1135" w:type="dxa"/>
            <w:vAlign w:val="center"/>
          </w:tcPr>
          <w:p w14:paraId="4EEFE576" w14:textId="77777777" w:rsidR="00DD3AB0" w:rsidRPr="00731FE2" w:rsidRDefault="00DD3AB0" w:rsidP="00423B27">
            <w:pPr>
              <w:pBdr>
                <w:top w:val="none" w:sz="4" w:space="0" w:color="000000"/>
                <w:left w:val="none" w:sz="4" w:space="0" w:color="000000"/>
                <w:bottom w:val="none" w:sz="4" w:space="0" w:color="000000"/>
                <w:right w:val="none" w:sz="4" w:space="0" w:color="000000"/>
              </w:pBdr>
              <w:ind w:firstLine="0"/>
              <w:jc w:val="center"/>
              <w:rPr>
                <w:sz w:val="22"/>
                <w:szCs w:val="20"/>
              </w:rPr>
            </w:pPr>
            <w:r w:rsidRPr="00731FE2">
              <w:rPr>
                <w:rFonts w:ascii="Times New Roman" w:eastAsia="Times New Roman" w:hAnsi="Times New Roman" w:cs="Times New Roman"/>
                <w:b/>
                <w:color w:val="000000"/>
                <w:sz w:val="22"/>
                <w:szCs w:val="20"/>
              </w:rPr>
              <w:t>Площадь ООПТ, га</w:t>
            </w:r>
          </w:p>
        </w:tc>
      </w:tr>
      <w:tr w:rsidR="00DD3AB0" w:rsidRPr="00731FE2" w14:paraId="69F10475" w14:textId="77777777" w:rsidTr="00423B27">
        <w:tc>
          <w:tcPr>
            <w:tcW w:w="708" w:type="dxa"/>
            <w:vAlign w:val="center"/>
          </w:tcPr>
          <w:p w14:paraId="6FFA997E" w14:textId="77777777" w:rsidR="00DD3AB0" w:rsidRPr="00731FE2" w:rsidRDefault="00DD3AB0" w:rsidP="00423B27">
            <w:pPr>
              <w:numPr>
                <w:ilvl w:val="0"/>
                <w:numId w:val="7"/>
              </w:numPr>
              <w:pBdr>
                <w:top w:val="none" w:sz="4" w:space="0" w:color="000000"/>
                <w:left w:val="none" w:sz="4" w:space="0" w:color="000000"/>
                <w:bottom w:val="none" w:sz="4" w:space="0" w:color="000000"/>
                <w:right w:val="none" w:sz="4" w:space="0" w:color="000000"/>
              </w:pBdr>
              <w:ind w:left="0" w:firstLine="0"/>
              <w:jc w:val="left"/>
              <w:rPr>
                <w:sz w:val="22"/>
                <w:szCs w:val="20"/>
              </w:rPr>
            </w:pPr>
          </w:p>
        </w:tc>
        <w:tc>
          <w:tcPr>
            <w:tcW w:w="3685" w:type="dxa"/>
            <w:vAlign w:val="center"/>
          </w:tcPr>
          <w:p w14:paraId="7BDF5A0D" w14:textId="77777777" w:rsidR="00DD3AB0" w:rsidRPr="00731FE2" w:rsidRDefault="00DD3AB0" w:rsidP="00423B27">
            <w:pPr>
              <w:pBdr>
                <w:top w:val="none" w:sz="4" w:space="0" w:color="000000"/>
                <w:left w:val="none" w:sz="4" w:space="0" w:color="000000"/>
                <w:bottom w:val="none" w:sz="4" w:space="0" w:color="000000"/>
                <w:right w:val="none" w:sz="4" w:space="0" w:color="000000"/>
              </w:pBdr>
              <w:ind w:firstLine="0"/>
              <w:rPr>
                <w:sz w:val="22"/>
                <w:szCs w:val="20"/>
              </w:rPr>
            </w:pPr>
            <w:r w:rsidRPr="00731FE2">
              <w:rPr>
                <w:rFonts w:ascii="Times New Roman" w:eastAsia="Times New Roman" w:hAnsi="Times New Roman" w:cs="Times New Roman"/>
                <w:color w:val="000000"/>
                <w:sz w:val="22"/>
                <w:szCs w:val="20"/>
              </w:rPr>
              <w:t>Скала «Замок коварства и любви»</w:t>
            </w:r>
          </w:p>
        </w:tc>
        <w:tc>
          <w:tcPr>
            <w:tcW w:w="1984" w:type="dxa"/>
            <w:vAlign w:val="center"/>
          </w:tcPr>
          <w:p w14:paraId="428E987D" w14:textId="77777777" w:rsidR="00DD3AB0" w:rsidRPr="00731FE2" w:rsidRDefault="00DD3AB0" w:rsidP="00423B27">
            <w:pPr>
              <w:pBdr>
                <w:top w:val="none" w:sz="4" w:space="0" w:color="000000"/>
                <w:left w:val="none" w:sz="4" w:space="0" w:color="000000"/>
                <w:bottom w:val="none" w:sz="4" w:space="0" w:color="000000"/>
                <w:right w:val="none" w:sz="4" w:space="0" w:color="000000"/>
              </w:pBdr>
              <w:ind w:firstLine="0"/>
              <w:jc w:val="center"/>
              <w:rPr>
                <w:sz w:val="22"/>
                <w:szCs w:val="20"/>
              </w:rPr>
            </w:pPr>
            <w:r w:rsidRPr="00731FE2">
              <w:rPr>
                <w:rFonts w:ascii="Times New Roman" w:eastAsia="Times New Roman" w:hAnsi="Times New Roman" w:cs="Times New Roman"/>
                <w:color w:val="000000"/>
                <w:sz w:val="22"/>
                <w:szCs w:val="20"/>
              </w:rPr>
              <w:t>Памятник природы</w:t>
            </w:r>
          </w:p>
        </w:tc>
        <w:tc>
          <w:tcPr>
            <w:tcW w:w="1843" w:type="dxa"/>
            <w:vAlign w:val="center"/>
          </w:tcPr>
          <w:p w14:paraId="737CBF4F" w14:textId="77777777" w:rsidR="00DD3AB0" w:rsidRPr="00731FE2" w:rsidRDefault="00DD3AB0" w:rsidP="00423B27">
            <w:pPr>
              <w:pBdr>
                <w:top w:val="none" w:sz="4" w:space="0" w:color="000000"/>
                <w:left w:val="none" w:sz="4" w:space="0" w:color="000000"/>
                <w:bottom w:val="none" w:sz="4" w:space="0" w:color="000000"/>
                <w:right w:val="none" w:sz="4" w:space="0" w:color="000000"/>
              </w:pBdr>
              <w:ind w:firstLine="0"/>
              <w:jc w:val="center"/>
              <w:rPr>
                <w:sz w:val="22"/>
                <w:szCs w:val="20"/>
              </w:rPr>
            </w:pPr>
            <w:r w:rsidRPr="00731FE2">
              <w:rPr>
                <w:rFonts w:ascii="Times New Roman" w:eastAsia="Times New Roman" w:hAnsi="Times New Roman" w:cs="Times New Roman"/>
                <w:color w:val="000000"/>
                <w:sz w:val="22"/>
                <w:szCs w:val="20"/>
              </w:rPr>
              <w:t>Геологический</w:t>
            </w:r>
          </w:p>
        </w:tc>
        <w:tc>
          <w:tcPr>
            <w:tcW w:w="1135" w:type="dxa"/>
            <w:vAlign w:val="center"/>
          </w:tcPr>
          <w:p w14:paraId="13C439FB" w14:textId="77777777" w:rsidR="00DD3AB0" w:rsidRPr="00731FE2" w:rsidRDefault="00DD3AB0" w:rsidP="00423B27">
            <w:pPr>
              <w:pBdr>
                <w:top w:val="none" w:sz="4" w:space="0" w:color="000000"/>
                <w:left w:val="none" w:sz="4" w:space="0" w:color="000000"/>
                <w:bottom w:val="none" w:sz="4" w:space="0" w:color="000000"/>
                <w:right w:val="none" w:sz="4" w:space="0" w:color="000000"/>
              </w:pBdr>
              <w:ind w:firstLine="0"/>
              <w:jc w:val="center"/>
              <w:rPr>
                <w:sz w:val="22"/>
                <w:szCs w:val="20"/>
              </w:rPr>
            </w:pPr>
            <w:r w:rsidRPr="00731FE2">
              <w:rPr>
                <w:rFonts w:ascii="Times New Roman" w:eastAsia="Times New Roman" w:hAnsi="Times New Roman" w:cs="Times New Roman"/>
                <w:color w:val="000000"/>
                <w:sz w:val="22"/>
                <w:szCs w:val="20"/>
              </w:rPr>
              <w:t>0,45</w:t>
            </w:r>
          </w:p>
        </w:tc>
      </w:tr>
      <w:tr w:rsidR="00DD3AB0" w:rsidRPr="00731FE2" w14:paraId="4476E347" w14:textId="77777777" w:rsidTr="00423B27">
        <w:tc>
          <w:tcPr>
            <w:tcW w:w="708" w:type="dxa"/>
            <w:vAlign w:val="center"/>
          </w:tcPr>
          <w:p w14:paraId="5E44F822" w14:textId="77777777" w:rsidR="00DD3AB0" w:rsidRPr="00731FE2" w:rsidRDefault="00DD3AB0" w:rsidP="00423B27">
            <w:pPr>
              <w:numPr>
                <w:ilvl w:val="0"/>
                <w:numId w:val="7"/>
              </w:numPr>
              <w:pBdr>
                <w:top w:val="none" w:sz="4" w:space="0" w:color="000000"/>
                <w:left w:val="none" w:sz="4" w:space="0" w:color="000000"/>
                <w:bottom w:val="none" w:sz="4" w:space="0" w:color="000000"/>
                <w:right w:val="none" w:sz="4" w:space="0" w:color="000000"/>
              </w:pBdr>
              <w:ind w:left="0" w:firstLine="0"/>
              <w:jc w:val="left"/>
              <w:rPr>
                <w:sz w:val="22"/>
                <w:szCs w:val="20"/>
              </w:rPr>
            </w:pPr>
          </w:p>
        </w:tc>
        <w:tc>
          <w:tcPr>
            <w:tcW w:w="3685" w:type="dxa"/>
            <w:vAlign w:val="center"/>
          </w:tcPr>
          <w:p w14:paraId="16F02551" w14:textId="77777777" w:rsidR="00DD3AB0" w:rsidRPr="00731FE2" w:rsidRDefault="00DD3AB0" w:rsidP="00423B27">
            <w:pPr>
              <w:pBdr>
                <w:top w:val="none" w:sz="4" w:space="0" w:color="000000"/>
                <w:left w:val="none" w:sz="4" w:space="0" w:color="000000"/>
                <w:bottom w:val="none" w:sz="4" w:space="0" w:color="000000"/>
                <w:right w:val="none" w:sz="4" w:space="0" w:color="000000"/>
              </w:pBdr>
              <w:ind w:firstLine="0"/>
              <w:rPr>
                <w:sz w:val="22"/>
                <w:szCs w:val="20"/>
              </w:rPr>
            </w:pPr>
            <w:r w:rsidRPr="00731FE2">
              <w:rPr>
                <w:rFonts w:ascii="Times New Roman" w:eastAsia="Times New Roman" w:hAnsi="Times New Roman" w:cs="Times New Roman"/>
                <w:color w:val="000000"/>
                <w:sz w:val="22"/>
                <w:szCs w:val="20"/>
              </w:rPr>
              <w:t>Скалы «Броненосец» и «Миноносец»</w:t>
            </w:r>
          </w:p>
        </w:tc>
        <w:tc>
          <w:tcPr>
            <w:tcW w:w="1984" w:type="dxa"/>
            <w:vAlign w:val="center"/>
          </w:tcPr>
          <w:p w14:paraId="15D45CA9" w14:textId="77777777" w:rsidR="00DD3AB0" w:rsidRPr="00731FE2" w:rsidRDefault="00DD3AB0" w:rsidP="00423B27">
            <w:pPr>
              <w:pBdr>
                <w:top w:val="none" w:sz="4" w:space="0" w:color="000000"/>
                <w:left w:val="none" w:sz="4" w:space="0" w:color="000000"/>
                <w:bottom w:val="none" w:sz="4" w:space="0" w:color="000000"/>
                <w:right w:val="none" w:sz="4" w:space="0" w:color="000000"/>
              </w:pBdr>
              <w:ind w:firstLine="0"/>
              <w:jc w:val="center"/>
              <w:rPr>
                <w:sz w:val="22"/>
                <w:szCs w:val="20"/>
              </w:rPr>
            </w:pPr>
            <w:r w:rsidRPr="00731FE2">
              <w:rPr>
                <w:rFonts w:ascii="Times New Roman" w:eastAsia="Times New Roman" w:hAnsi="Times New Roman" w:cs="Times New Roman"/>
                <w:color w:val="000000"/>
                <w:sz w:val="22"/>
                <w:szCs w:val="20"/>
              </w:rPr>
              <w:t>Памятник природы</w:t>
            </w:r>
          </w:p>
        </w:tc>
        <w:tc>
          <w:tcPr>
            <w:tcW w:w="1843" w:type="dxa"/>
            <w:vAlign w:val="center"/>
          </w:tcPr>
          <w:p w14:paraId="0EF376C5" w14:textId="77777777" w:rsidR="00DD3AB0" w:rsidRPr="00731FE2" w:rsidRDefault="00DD3AB0" w:rsidP="00423B27">
            <w:pPr>
              <w:pBdr>
                <w:top w:val="none" w:sz="4" w:space="0" w:color="000000"/>
                <w:left w:val="none" w:sz="4" w:space="0" w:color="000000"/>
                <w:bottom w:val="none" w:sz="4" w:space="0" w:color="000000"/>
                <w:right w:val="none" w:sz="4" w:space="0" w:color="000000"/>
              </w:pBdr>
              <w:ind w:firstLine="0"/>
              <w:jc w:val="center"/>
              <w:rPr>
                <w:sz w:val="22"/>
                <w:szCs w:val="20"/>
              </w:rPr>
            </w:pPr>
            <w:r w:rsidRPr="00731FE2">
              <w:rPr>
                <w:rFonts w:ascii="Times New Roman" w:eastAsia="Times New Roman" w:hAnsi="Times New Roman" w:cs="Times New Roman"/>
                <w:color w:val="000000"/>
                <w:sz w:val="22"/>
                <w:szCs w:val="20"/>
              </w:rPr>
              <w:t>Геологический</w:t>
            </w:r>
          </w:p>
        </w:tc>
        <w:tc>
          <w:tcPr>
            <w:tcW w:w="1135" w:type="dxa"/>
            <w:vAlign w:val="center"/>
          </w:tcPr>
          <w:p w14:paraId="2D201FF6" w14:textId="77777777" w:rsidR="00DD3AB0" w:rsidRPr="00731FE2" w:rsidRDefault="00DD3AB0" w:rsidP="00423B27">
            <w:pPr>
              <w:pBdr>
                <w:top w:val="none" w:sz="4" w:space="0" w:color="000000"/>
                <w:left w:val="none" w:sz="4" w:space="0" w:color="000000"/>
                <w:bottom w:val="none" w:sz="4" w:space="0" w:color="000000"/>
                <w:right w:val="none" w:sz="4" w:space="0" w:color="000000"/>
              </w:pBdr>
              <w:ind w:firstLine="0"/>
              <w:jc w:val="center"/>
              <w:rPr>
                <w:sz w:val="22"/>
                <w:szCs w:val="20"/>
              </w:rPr>
            </w:pPr>
            <w:r w:rsidRPr="00731FE2">
              <w:rPr>
                <w:rFonts w:ascii="Times New Roman" w:eastAsia="Times New Roman" w:hAnsi="Times New Roman" w:cs="Times New Roman"/>
                <w:color w:val="000000"/>
                <w:sz w:val="22"/>
                <w:szCs w:val="20"/>
              </w:rPr>
              <w:t>2,10</w:t>
            </w:r>
          </w:p>
        </w:tc>
      </w:tr>
      <w:tr w:rsidR="00DD3AB0" w:rsidRPr="00731FE2" w14:paraId="2177D829" w14:textId="77777777" w:rsidTr="00423B27">
        <w:tc>
          <w:tcPr>
            <w:tcW w:w="708" w:type="dxa"/>
            <w:vAlign w:val="center"/>
          </w:tcPr>
          <w:p w14:paraId="1FF9FC80" w14:textId="77777777" w:rsidR="00DD3AB0" w:rsidRPr="00731FE2" w:rsidRDefault="00DD3AB0" w:rsidP="00423B27">
            <w:pPr>
              <w:numPr>
                <w:ilvl w:val="0"/>
                <w:numId w:val="7"/>
              </w:numPr>
              <w:pBdr>
                <w:top w:val="none" w:sz="4" w:space="0" w:color="000000"/>
                <w:left w:val="none" w:sz="4" w:space="0" w:color="000000"/>
                <w:bottom w:val="none" w:sz="4" w:space="0" w:color="000000"/>
                <w:right w:val="none" w:sz="4" w:space="0" w:color="000000"/>
              </w:pBdr>
              <w:ind w:left="0" w:firstLine="0"/>
              <w:jc w:val="left"/>
              <w:rPr>
                <w:sz w:val="22"/>
                <w:szCs w:val="20"/>
              </w:rPr>
            </w:pPr>
          </w:p>
        </w:tc>
        <w:tc>
          <w:tcPr>
            <w:tcW w:w="3685" w:type="dxa"/>
            <w:vAlign w:val="center"/>
          </w:tcPr>
          <w:p w14:paraId="54588EF1" w14:textId="77777777" w:rsidR="00DD3AB0" w:rsidRPr="00731FE2" w:rsidRDefault="00DD3AB0" w:rsidP="00423B27">
            <w:pPr>
              <w:pBdr>
                <w:top w:val="none" w:sz="4" w:space="0" w:color="000000"/>
                <w:left w:val="none" w:sz="4" w:space="0" w:color="000000"/>
                <w:bottom w:val="none" w:sz="4" w:space="0" w:color="000000"/>
                <w:right w:val="none" w:sz="4" w:space="0" w:color="000000"/>
              </w:pBdr>
              <w:ind w:firstLine="0"/>
              <w:rPr>
                <w:sz w:val="22"/>
                <w:szCs w:val="20"/>
              </w:rPr>
            </w:pPr>
            <w:r w:rsidRPr="00731FE2">
              <w:rPr>
                <w:rFonts w:ascii="Times New Roman" w:eastAsia="Times New Roman" w:hAnsi="Times New Roman" w:cs="Times New Roman"/>
                <w:color w:val="000000"/>
                <w:sz w:val="22"/>
                <w:szCs w:val="20"/>
              </w:rPr>
              <w:t>Лермонтовская скала</w:t>
            </w:r>
          </w:p>
        </w:tc>
        <w:tc>
          <w:tcPr>
            <w:tcW w:w="1984" w:type="dxa"/>
            <w:vAlign w:val="center"/>
          </w:tcPr>
          <w:p w14:paraId="6470A896" w14:textId="77777777" w:rsidR="00DD3AB0" w:rsidRPr="00731FE2" w:rsidRDefault="00DD3AB0" w:rsidP="00423B27">
            <w:pPr>
              <w:pBdr>
                <w:top w:val="none" w:sz="4" w:space="0" w:color="000000"/>
                <w:left w:val="none" w:sz="4" w:space="0" w:color="000000"/>
                <w:bottom w:val="none" w:sz="4" w:space="0" w:color="000000"/>
                <w:right w:val="none" w:sz="4" w:space="0" w:color="000000"/>
              </w:pBdr>
              <w:ind w:firstLine="0"/>
              <w:jc w:val="center"/>
              <w:rPr>
                <w:sz w:val="22"/>
                <w:szCs w:val="20"/>
              </w:rPr>
            </w:pPr>
            <w:r w:rsidRPr="00731FE2">
              <w:rPr>
                <w:rFonts w:ascii="Times New Roman" w:eastAsia="Times New Roman" w:hAnsi="Times New Roman" w:cs="Times New Roman"/>
                <w:color w:val="000000"/>
                <w:sz w:val="22"/>
                <w:szCs w:val="20"/>
              </w:rPr>
              <w:t>Памятник природы</w:t>
            </w:r>
          </w:p>
        </w:tc>
        <w:tc>
          <w:tcPr>
            <w:tcW w:w="1843" w:type="dxa"/>
            <w:vAlign w:val="center"/>
          </w:tcPr>
          <w:p w14:paraId="5100780E" w14:textId="77777777" w:rsidR="00DD3AB0" w:rsidRPr="00731FE2" w:rsidRDefault="00DD3AB0" w:rsidP="00423B27">
            <w:pPr>
              <w:pBdr>
                <w:top w:val="none" w:sz="4" w:space="0" w:color="000000"/>
                <w:left w:val="none" w:sz="4" w:space="0" w:color="000000"/>
                <w:bottom w:val="none" w:sz="4" w:space="0" w:color="000000"/>
                <w:right w:val="none" w:sz="4" w:space="0" w:color="000000"/>
              </w:pBdr>
              <w:ind w:firstLine="0"/>
              <w:jc w:val="center"/>
              <w:rPr>
                <w:sz w:val="22"/>
                <w:szCs w:val="20"/>
              </w:rPr>
            </w:pPr>
            <w:r w:rsidRPr="00731FE2">
              <w:rPr>
                <w:rFonts w:ascii="Times New Roman" w:eastAsia="Times New Roman" w:hAnsi="Times New Roman" w:cs="Times New Roman"/>
                <w:color w:val="000000"/>
                <w:sz w:val="22"/>
                <w:szCs w:val="20"/>
              </w:rPr>
              <w:t>Геологический</w:t>
            </w:r>
          </w:p>
        </w:tc>
        <w:tc>
          <w:tcPr>
            <w:tcW w:w="1135" w:type="dxa"/>
            <w:vAlign w:val="center"/>
          </w:tcPr>
          <w:p w14:paraId="1A0A8AB4" w14:textId="77777777" w:rsidR="00DD3AB0" w:rsidRPr="00731FE2" w:rsidRDefault="00DD3AB0" w:rsidP="00423B27">
            <w:pPr>
              <w:pBdr>
                <w:top w:val="none" w:sz="4" w:space="0" w:color="000000"/>
                <w:left w:val="none" w:sz="4" w:space="0" w:color="000000"/>
                <w:bottom w:val="none" w:sz="4" w:space="0" w:color="000000"/>
                <w:right w:val="none" w:sz="4" w:space="0" w:color="000000"/>
              </w:pBdr>
              <w:ind w:firstLine="0"/>
              <w:jc w:val="center"/>
              <w:rPr>
                <w:sz w:val="22"/>
                <w:szCs w:val="20"/>
              </w:rPr>
            </w:pPr>
            <w:r w:rsidRPr="00731FE2">
              <w:rPr>
                <w:rFonts w:ascii="Times New Roman" w:eastAsia="Times New Roman" w:hAnsi="Times New Roman" w:cs="Times New Roman"/>
                <w:color w:val="000000"/>
                <w:sz w:val="22"/>
                <w:szCs w:val="20"/>
              </w:rPr>
              <w:t>7,99</w:t>
            </w:r>
          </w:p>
        </w:tc>
      </w:tr>
      <w:tr w:rsidR="00DD3AB0" w:rsidRPr="00731FE2" w14:paraId="47FDAF3A" w14:textId="77777777" w:rsidTr="00423B27">
        <w:tc>
          <w:tcPr>
            <w:tcW w:w="708" w:type="dxa"/>
            <w:vAlign w:val="center"/>
          </w:tcPr>
          <w:p w14:paraId="0DAC5C4A" w14:textId="77777777" w:rsidR="00DD3AB0" w:rsidRPr="00731FE2" w:rsidRDefault="00DD3AB0" w:rsidP="00423B27">
            <w:pPr>
              <w:numPr>
                <w:ilvl w:val="0"/>
                <w:numId w:val="7"/>
              </w:numPr>
              <w:pBdr>
                <w:top w:val="none" w:sz="4" w:space="0" w:color="000000"/>
                <w:left w:val="none" w:sz="4" w:space="0" w:color="000000"/>
                <w:bottom w:val="none" w:sz="4" w:space="0" w:color="000000"/>
                <w:right w:val="none" w:sz="4" w:space="0" w:color="000000"/>
              </w:pBdr>
              <w:ind w:left="0" w:firstLine="0"/>
              <w:jc w:val="left"/>
              <w:rPr>
                <w:sz w:val="22"/>
                <w:szCs w:val="20"/>
              </w:rPr>
            </w:pPr>
          </w:p>
        </w:tc>
        <w:tc>
          <w:tcPr>
            <w:tcW w:w="3685" w:type="dxa"/>
            <w:vAlign w:val="center"/>
          </w:tcPr>
          <w:p w14:paraId="285D299F" w14:textId="77777777" w:rsidR="00DD3AB0" w:rsidRPr="00731FE2" w:rsidRDefault="00DD3AB0" w:rsidP="00423B27">
            <w:pPr>
              <w:pBdr>
                <w:top w:val="none" w:sz="4" w:space="0" w:color="000000"/>
                <w:left w:val="none" w:sz="4" w:space="0" w:color="000000"/>
                <w:bottom w:val="none" w:sz="4" w:space="0" w:color="000000"/>
                <w:right w:val="none" w:sz="4" w:space="0" w:color="000000"/>
              </w:pBdr>
              <w:ind w:firstLine="0"/>
              <w:rPr>
                <w:sz w:val="22"/>
                <w:szCs w:val="20"/>
              </w:rPr>
            </w:pPr>
            <w:r w:rsidRPr="00731FE2">
              <w:rPr>
                <w:rFonts w:ascii="Times New Roman" w:eastAsia="Times New Roman" w:hAnsi="Times New Roman" w:cs="Times New Roman"/>
                <w:color w:val="000000"/>
                <w:sz w:val="22"/>
                <w:szCs w:val="20"/>
              </w:rPr>
              <w:t>Лермонтовский водопад</w:t>
            </w:r>
          </w:p>
        </w:tc>
        <w:tc>
          <w:tcPr>
            <w:tcW w:w="1984" w:type="dxa"/>
            <w:vAlign w:val="center"/>
          </w:tcPr>
          <w:p w14:paraId="19128F15" w14:textId="77777777" w:rsidR="00DD3AB0" w:rsidRPr="00731FE2" w:rsidRDefault="00DD3AB0" w:rsidP="00423B27">
            <w:pPr>
              <w:pBdr>
                <w:top w:val="none" w:sz="4" w:space="0" w:color="000000"/>
                <w:left w:val="none" w:sz="4" w:space="0" w:color="000000"/>
                <w:bottom w:val="none" w:sz="4" w:space="0" w:color="000000"/>
                <w:right w:val="none" w:sz="4" w:space="0" w:color="000000"/>
              </w:pBdr>
              <w:ind w:firstLine="0"/>
              <w:jc w:val="center"/>
              <w:rPr>
                <w:sz w:val="22"/>
                <w:szCs w:val="20"/>
              </w:rPr>
            </w:pPr>
            <w:r w:rsidRPr="00731FE2">
              <w:rPr>
                <w:rFonts w:ascii="Times New Roman" w:eastAsia="Times New Roman" w:hAnsi="Times New Roman" w:cs="Times New Roman"/>
                <w:color w:val="000000"/>
                <w:sz w:val="22"/>
                <w:szCs w:val="20"/>
              </w:rPr>
              <w:t>Памятник природы</w:t>
            </w:r>
          </w:p>
        </w:tc>
        <w:tc>
          <w:tcPr>
            <w:tcW w:w="1843" w:type="dxa"/>
            <w:vAlign w:val="center"/>
          </w:tcPr>
          <w:p w14:paraId="7807D5B1" w14:textId="77777777" w:rsidR="00DD3AB0" w:rsidRPr="00731FE2" w:rsidRDefault="00DD3AB0" w:rsidP="00423B27">
            <w:pPr>
              <w:pBdr>
                <w:top w:val="none" w:sz="4" w:space="0" w:color="000000"/>
                <w:left w:val="none" w:sz="4" w:space="0" w:color="000000"/>
                <w:bottom w:val="none" w:sz="4" w:space="0" w:color="000000"/>
                <w:right w:val="none" w:sz="4" w:space="0" w:color="000000"/>
              </w:pBdr>
              <w:ind w:firstLine="0"/>
              <w:jc w:val="center"/>
              <w:rPr>
                <w:sz w:val="22"/>
                <w:szCs w:val="20"/>
              </w:rPr>
            </w:pPr>
            <w:r w:rsidRPr="00731FE2">
              <w:rPr>
                <w:rFonts w:ascii="Times New Roman" w:eastAsia="Times New Roman" w:hAnsi="Times New Roman" w:cs="Times New Roman"/>
                <w:color w:val="000000"/>
                <w:sz w:val="22"/>
                <w:szCs w:val="20"/>
              </w:rPr>
              <w:t>Гидрологический</w:t>
            </w:r>
          </w:p>
        </w:tc>
        <w:tc>
          <w:tcPr>
            <w:tcW w:w="1135" w:type="dxa"/>
            <w:vAlign w:val="center"/>
          </w:tcPr>
          <w:p w14:paraId="5F9DE8ED" w14:textId="77777777" w:rsidR="00DD3AB0" w:rsidRPr="00731FE2" w:rsidRDefault="00DD3AB0" w:rsidP="00423B27">
            <w:pPr>
              <w:pBdr>
                <w:top w:val="none" w:sz="4" w:space="0" w:color="000000"/>
                <w:left w:val="none" w:sz="4" w:space="0" w:color="000000"/>
                <w:bottom w:val="none" w:sz="4" w:space="0" w:color="000000"/>
                <w:right w:val="none" w:sz="4" w:space="0" w:color="000000"/>
              </w:pBdr>
              <w:ind w:firstLine="0"/>
              <w:jc w:val="center"/>
              <w:rPr>
                <w:sz w:val="22"/>
                <w:szCs w:val="20"/>
              </w:rPr>
            </w:pPr>
            <w:r w:rsidRPr="00731FE2">
              <w:rPr>
                <w:rFonts w:ascii="Times New Roman" w:eastAsia="Times New Roman" w:hAnsi="Times New Roman" w:cs="Times New Roman"/>
                <w:color w:val="000000"/>
                <w:sz w:val="22"/>
                <w:szCs w:val="20"/>
              </w:rPr>
              <w:t>0,08</w:t>
            </w:r>
          </w:p>
        </w:tc>
      </w:tr>
      <w:tr w:rsidR="00DD3AB0" w:rsidRPr="00731FE2" w14:paraId="5E284FD6" w14:textId="77777777" w:rsidTr="00423B27">
        <w:tc>
          <w:tcPr>
            <w:tcW w:w="708" w:type="dxa"/>
            <w:vAlign w:val="center"/>
          </w:tcPr>
          <w:p w14:paraId="6A3829D2" w14:textId="77777777" w:rsidR="00DD3AB0" w:rsidRPr="00731FE2" w:rsidRDefault="00DD3AB0" w:rsidP="00423B27">
            <w:pPr>
              <w:numPr>
                <w:ilvl w:val="0"/>
                <w:numId w:val="7"/>
              </w:numPr>
              <w:pBdr>
                <w:top w:val="none" w:sz="4" w:space="0" w:color="000000"/>
                <w:left w:val="none" w:sz="4" w:space="0" w:color="000000"/>
                <w:bottom w:val="none" w:sz="4" w:space="0" w:color="000000"/>
                <w:right w:val="none" w:sz="4" w:space="0" w:color="000000"/>
              </w:pBdr>
              <w:ind w:left="0" w:firstLine="0"/>
              <w:jc w:val="left"/>
              <w:rPr>
                <w:sz w:val="22"/>
                <w:szCs w:val="20"/>
              </w:rPr>
            </w:pPr>
          </w:p>
        </w:tc>
        <w:tc>
          <w:tcPr>
            <w:tcW w:w="3685" w:type="dxa"/>
            <w:vMerge w:val="restart"/>
            <w:vAlign w:val="center"/>
          </w:tcPr>
          <w:p w14:paraId="07A950C2" w14:textId="77777777" w:rsidR="00DD3AB0" w:rsidRPr="00731FE2" w:rsidRDefault="00DD3AB0" w:rsidP="00423B27">
            <w:pPr>
              <w:pBdr>
                <w:top w:val="none" w:sz="4" w:space="0" w:color="000000"/>
                <w:left w:val="none" w:sz="4" w:space="0" w:color="000000"/>
                <w:bottom w:val="none" w:sz="4" w:space="0" w:color="000000"/>
                <w:right w:val="none" w:sz="4" w:space="0" w:color="000000"/>
              </w:pBdr>
              <w:ind w:firstLine="0"/>
              <w:rPr>
                <w:sz w:val="22"/>
                <w:szCs w:val="20"/>
              </w:rPr>
            </w:pPr>
            <w:r w:rsidRPr="00731FE2">
              <w:rPr>
                <w:rFonts w:ascii="Times New Roman" w:eastAsia="Times New Roman" w:hAnsi="Times New Roman" w:cs="Times New Roman"/>
                <w:color w:val="000000"/>
                <w:sz w:val="22"/>
                <w:szCs w:val="20"/>
              </w:rPr>
              <w:t>«Кольцо гора»</w:t>
            </w:r>
          </w:p>
        </w:tc>
        <w:tc>
          <w:tcPr>
            <w:tcW w:w="1984" w:type="dxa"/>
            <w:vMerge w:val="restart"/>
            <w:vAlign w:val="center"/>
          </w:tcPr>
          <w:p w14:paraId="058BD26F" w14:textId="77777777" w:rsidR="00DD3AB0" w:rsidRPr="00731FE2" w:rsidRDefault="00DD3AB0" w:rsidP="00423B27">
            <w:pPr>
              <w:pBdr>
                <w:top w:val="none" w:sz="4" w:space="0" w:color="000000"/>
                <w:left w:val="none" w:sz="4" w:space="0" w:color="000000"/>
                <w:bottom w:val="none" w:sz="4" w:space="0" w:color="000000"/>
                <w:right w:val="none" w:sz="4" w:space="0" w:color="000000"/>
              </w:pBdr>
              <w:ind w:firstLine="0"/>
              <w:jc w:val="center"/>
              <w:rPr>
                <w:sz w:val="22"/>
                <w:szCs w:val="20"/>
              </w:rPr>
            </w:pPr>
            <w:r w:rsidRPr="00731FE2">
              <w:rPr>
                <w:rFonts w:ascii="Times New Roman" w:eastAsia="Times New Roman" w:hAnsi="Times New Roman" w:cs="Times New Roman"/>
                <w:color w:val="000000"/>
                <w:sz w:val="22"/>
                <w:szCs w:val="20"/>
              </w:rPr>
              <w:t>Памятник природы</w:t>
            </w:r>
          </w:p>
        </w:tc>
        <w:tc>
          <w:tcPr>
            <w:tcW w:w="1843" w:type="dxa"/>
            <w:vMerge w:val="restart"/>
            <w:vAlign w:val="center"/>
          </w:tcPr>
          <w:p w14:paraId="6014A964" w14:textId="77777777" w:rsidR="00DD3AB0" w:rsidRPr="00731FE2" w:rsidRDefault="00DD3AB0" w:rsidP="00423B27">
            <w:pPr>
              <w:pBdr>
                <w:top w:val="none" w:sz="4" w:space="0" w:color="000000"/>
                <w:left w:val="none" w:sz="4" w:space="0" w:color="000000"/>
                <w:bottom w:val="none" w:sz="4" w:space="0" w:color="000000"/>
                <w:right w:val="none" w:sz="4" w:space="0" w:color="000000"/>
              </w:pBdr>
              <w:ind w:firstLine="0"/>
              <w:jc w:val="center"/>
              <w:rPr>
                <w:sz w:val="22"/>
                <w:szCs w:val="20"/>
              </w:rPr>
            </w:pPr>
            <w:r w:rsidRPr="00731FE2">
              <w:rPr>
                <w:rFonts w:ascii="Times New Roman" w:eastAsia="Times New Roman" w:hAnsi="Times New Roman" w:cs="Times New Roman"/>
                <w:color w:val="000000"/>
                <w:sz w:val="22"/>
                <w:szCs w:val="20"/>
              </w:rPr>
              <w:t>–</w:t>
            </w:r>
          </w:p>
        </w:tc>
        <w:tc>
          <w:tcPr>
            <w:tcW w:w="1135" w:type="dxa"/>
            <w:vMerge w:val="restart"/>
            <w:vAlign w:val="center"/>
          </w:tcPr>
          <w:p w14:paraId="13B33C98" w14:textId="77777777" w:rsidR="00DD3AB0" w:rsidRPr="00731FE2" w:rsidRDefault="00DD3AB0" w:rsidP="00423B27">
            <w:pPr>
              <w:pBdr>
                <w:top w:val="none" w:sz="4" w:space="0" w:color="000000"/>
                <w:left w:val="none" w:sz="4" w:space="0" w:color="000000"/>
                <w:bottom w:val="none" w:sz="4" w:space="0" w:color="000000"/>
                <w:right w:val="none" w:sz="4" w:space="0" w:color="000000"/>
              </w:pBdr>
              <w:ind w:firstLine="0"/>
              <w:jc w:val="center"/>
              <w:rPr>
                <w:sz w:val="22"/>
                <w:szCs w:val="20"/>
              </w:rPr>
            </w:pPr>
            <w:r w:rsidRPr="00731FE2">
              <w:rPr>
                <w:rFonts w:ascii="Times New Roman" w:eastAsia="Times New Roman" w:hAnsi="Times New Roman" w:cs="Times New Roman"/>
                <w:color w:val="000000"/>
                <w:sz w:val="22"/>
                <w:szCs w:val="20"/>
              </w:rPr>
              <w:t>1,24</w:t>
            </w:r>
          </w:p>
        </w:tc>
      </w:tr>
      <w:tr w:rsidR="00DD3AB0" w:rsidRPr="00731FE2" w14:paraId="5345E5D0" w14:textId="77777777" w:rsidTr="00423B27">
        <w:trPr>
          <w:trHeight w:val="291"/>
        </w:trPr>
        <w:tc>
          <w:tcPr>
            <w:tcW w:w="8220" w:type="dxa"/>
            <w:gridSpan w:val="4"/>
            <w:vMerge w:val="restart"/>
            <w:vAlign w:val="center"/>
          </w:tcPr>
          <w:p w14:paraId="4B8B9C8F" w14:textId="77777777" w:rsidR="00DD3AB0" w:rsidRPr="00731FE2" w:rsidRDefault="00DD3AB0" w:rsidP="00423B27">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b/>
                <w:bCs/>
                <w:color w:val="000000"/>
                <w:sz w:val="22"/>
                <w:szCs w:val="20"/>
              </w:rPr>
            </w:pPr>
            <w:r w:rsidRPr="00731FE2">
              <w:rPr>
                <w:rFonts w:ascii="Times New Roman" w:eastAsia="Times New Roman" w:hAnsi="Times New Roman" w:cs="Times New Roman"/>
                <w:b/>
                <w:bCs/>
                <w:color w:val="000000"/>
                <w:sz w:val="22"/>
                <w:szCs w:val="20"/>
              </w:rPr>
              <w:t>Общая площадь</w:t>
            </w:r>
          </w:p>
        </w:tc>
        <w:tc>
          <w:tcPr>
            <w:tcW w:w="1135" w:type="dxa"/>
            <w:vMerge w:val="restart"/>
            <w:vAlign w:val="center"/>
          </w:tcPr>
          <w:p w14:paraId="4601EF4B" w14:textId="77777777" w:rsidR="00DD3AB0" w:rsidRPr="00731FE2" w:rsidRDefault="00DD3AB0" w:rsidP="00423B27">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b/>
                <w:bCs/>
                <w:color w:val="000000"/>
                <w:sz w:val="22"/>
                <w:szCs w:val="20"/>
              </w:rPr>
            </w:pPr>
            <w:r w:rsidRPr="00731FE2">
              <w:rPr>
                <w:rFonts w:ascii="Times New Roman" w:eastAsia="Times New Roman" w:hAnsi="Times New Roman" w:cs="Times New Roman"/>
                <w:b/>
                <w:bCs/>
                <w:color w:val="000000"/>
                <w:sz w:val="22"/>
                <w:szCs w:val="20"/>
              </w:rPr>
              <w:t>11,86</w:t>
            </w:r>
          </w:p>
        </w:tc>
      </w:tr>
    </w:tbl>
    <w:p w14:paraId="3B8E4709" w14:textId="77777777" w:rsidR="00DD3AB0" w:rsidRPr="00731FE2" w:rsidRDefault="00DD3AB0" w:rsidP="00DD3AB0">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p>
    <w:p w14:paraId="5C480261" w14:textId="77777777" w:rsidR="00DD3AB0" w:rsidRPr="00731FE2" w:rsidRDefault="00DD3AB0" w:rsidP="00DD3AB0">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Имеющиеся ООПТ краевого значения относятся к категории – памятники природы, из которых практически все геологического профиля, за исключением памятника природы «Лермонтовский водопад» – гидрологический профиль.</w:t>
      </w:r>
    </w:p>
    <w:p w14:paraId="5913CF61" w14:textId="77777777" w:rsidR="00560DDD" w:rsidRPr="00731FE2" w:rsidRDefault="00163E7A" w:rsidP="00DD3AB0">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Границы памятников природы краевого значения: Скала «Замок коварства и любви», Скалы «Броненосец» и «Миноносец», Лермонтовская скала и Лермонтовский водопад утверждены Постановлением Правительства Ставропольского края № 251-п от 23.06.2017 г.</w:t>
      </w:r>
      <w:r w:rsidR="00560DDD" w:rsidRPr="00731FE2">
        <w:rPr>
          <w:rFonts w:ascii="Times New Roman" w:eastAsia="Times New Roman" w:hAnsi="Times New Roman" w:cs="Times New Roman"/>
          <w:color w:val="000000"/>
        </w:rPr>
        <w:t xml:space="preserve"> «О границах особо охраняемых природных территорий краевого значения».</w:t>
      </w:r>
    </w:p>
    <w:p w14:paraId="2FEB5540" w14:textId="09B2E54C" w:rsidR="00163E7A" w:rsidRPr="00731FE2" w:rsidRDefault="000B667E" w:rsidP="00DD3AB0">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lastRenderedPageBreak/>
        <w:t>Граница памятника природы «Кольцо гора» утверждена постановлением Правительства Ставропольского края от 04 февраля 2015 г. № 39 «О границе памятника природы краевого значения «Кольцо гора».</w:t>
      </w:r>
    </w:p>
    <w:p w14:paraId="6069E4AE" w14:textId="17199FD4" w:rsidR="00163E7A" w:rsidRPr="00731FE2" w:rsidRDefault="00163E7A" w:rsidP="00DD3AB0">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Статьей 59 Федерального закона «Об охране окружающей среды» установлен запрет на осуществление хозяйственной и иной деятельности, оказывающей негативное воздействие на окружающую среду и ведущей к деградации и (или) уничтожению природных объектов, имеющих особое природоохранное, научное, историко-культурное, эстетическое, рекреационное, оздоровительное и иное ценное значение и находящихся под особой охраной. Статьей 27 Федерального закона «Об особо охраняемых природных территориях» на территории памятников природы и в границах их охранных зон запрещается всякая деятельность, влекущая за собой нарушение сохранности памятников природы.</w:t>
      </w:r>
    </w:p>
    <w:p w14:paraId="63234FEE" w14:textId="48BD366B" w:rsidR="00FA0215" w:rsidRPr="00731FE2" w:rsidRDefault="00FA0215" w:rsidP="00FA0215">
      <w:pPr>
        <w:pBdr>
          <w:top w:val="none" w:sz="4" w:space="0" w:color="000000"/>
          <w:left w:val="none" w:sz="4" w:space="0" w:color="000000"/>
          <w:bottom w:val="none" w:sz="4" w:space="0" w:color="000000"/>
          <w:right w:val="none" w:sz="4" w:space="0" w:color="000000"/>
        </w:pBdr>
      </w:pPr>
      <w:proofErr w:type="gramStart"/>
      <w:r w:rsidRPr="00731FE2">
        <w:rPr>
          <w:rFonts w:ascii="Times New Roman" w:eastAsia="Times New Roman" w:hAnsi="Times New Roman" w:cs="Times New Roman"/>
          <w:b/>
          <w:color w:val="000000"/>
        </w:rPr>
        <w:t>Памятник природы «Скала «Замок коварства и любви»</w:t>
      </w:r>
      <w:r w:rsidRPr="00731FE2">
        <w:rPr>
          <w:rFonts w:ascii="Times New Roman" w:eastAsia="Times New Roman" w:hAnsi="Times New Roman" w:cs="Times New Roman"/>
          <w:color w:val="000000"/>
        </w:rPr>
        <w:t xml:space="preserve"> является одной из природных достопримечательностей города-курорта Кисловодска благодаря редкому по живописности геолого-геоморфологическому объекту в виде эрозионного останца в речной долине, содержащего ценную научно-познавательную информацию о литолого-стратиграфических и палеонтологических особенностях его окрестно</w:t>
      </w:r>
      <w:r w:rsidRPr="00731FE2">
        <w:rPr>
          <w:rFonts w:ascii="Times New Roman" w:eastAsia="Times New Roman" w:hAnsi="Times New Roman" w:cs="Times New Roman"/>
          <w:color w:val="000000" w:themeColor="text1"/>
        </w:rPr>
        <w:t>стей</w:t>
      </w:r>
      <w:r w:rsidRPr="00731FE2">
        <w:rPr>
          <w:rFonts w:ascii="Times New Roman" w:eastAsia="Times New Roman" w:hAnsi="Times New Roman" w:cs="Times New Roman"/>
          <w:color w:val="000000" w:themeColor="text1"/>
          <w:vertAlign w:val="superscript"/>
        </w:rPr>
        <w:footnoteReference w:id="23"/>
      </w:r>
      <w:r w:rsidRPr="00731FE2">
        <w:rPr>
          <w:rFonts w:ascii="Times New Roman" w:eastAsia="Times New Roman" w:hAnsi="Times New Roman" w:cs="Times New Roman"/>
          <w:color w:val="000000" w:themeColor="text1"/>
        </w:rPr>
        <w:t>.</w:t>
      </w:r>
      <w:r w:rsidR="000B667E" w:rsidRPr="00731FE2">
        <w:rPr>
          <w:rFonts w:ascii="Times New Roman" w:eastAsia="Times New Roman" w:hAnsi="Times New Roman" w:cs="Times New Roman"/>
          <w:color w:val="000000" w:themeColor="text1"/>
        </w:rPr>
        <w:t xml:space="preserve"> </w:t>
      </w:r>
      <w:r w:rsidRPr="00731FE2">
        <w:rPr>
          <w:rFonts w:ascii="Times New Roman" w:eastAsia="Times New Roman" w:hAnsi="Times New Roman" w:cs="Times New Roman"/>
          <w:color w:val="000000"/>
        </w:rPr>
        <w:t>Создан 15 сентября 1961 г. с целью сохранения уникальных форм рельефа и связанного с ними ландшафта, в том числе сохранения редких и</w:t>
      </w:r>
      <w:proofErr w:type="gramEnd"/>
      <w:r w:rsidRPr="00731FE2">
        <w:rPr>
          <w:rFonts w:ascii="Times New Roman" w:eastAsia="Times New Roman" w:hAnsi="Times New Roman" w:cs="Times New Roman"/>
          <w:color w:val="000000"/>
        </w:rPr>
        <w:t xml:space="preserve"> находящихся под угрозой исчезновения, а также ценных в хозяйственном и научном отношении объектов растительного и животного мира.</w:t>
      </w:r>
    </w:p>
    <w:p w14:paraId="5CBE3B7F" w14:textId="77777777" w:rsidR="00FA0215" w:rsidRPr="00731FE2" w:rsidRDefault="00FA0215" w:rsidP="00FA0215">
      <w:pPr>
        <w:pBdr>
          <w:top w:val="none" w:sz="4" w:space="0" w:color="000000"/>
          <w:left w:val="none" w:sz="4" w:space="0" w:color="000000"/>
          <w:bottom w:val="none" w:sz="4" w:space="0" w:color="000000"/>
          <w:right w:val="none" w:sz="4" w:space="0" w:color="000000"/>
        </w:pBdr>
      </w:pPr>
      <w:r w:rsidRPr="00731FE2">
        <w:rPr>
          <w:rFonts w:ascii="Times New Roman" w:eastAsia="Times New Roman" w:hAnsi="Times New Roman" w:cs="Times New Roman"/>
          <w:color w:val="000000"/>
        </w:rPr>
        <w:t>Памятник природы находится на севере горной системы Большого Кавказа, в Кисловодской котловине, между хребтами Кабардинским, Боргустанским и крупным меридиональным отрогом Скалистого хребта. Памятник природы является частью долины реки Аликоновка и расположен в 6 км выше места ее впадения в реку Подкумок (в 3,5 км западнее г. Кисловодска).</w:t>
      </w:r>
    </w:p>
    <w:p w14:paraId="08FD4F68" w14:textId="77777777" w:rsidR="00FA0215" w:rsidRPr="00731FE2" w:rsidRDefault="00FA0215" w:rsidP="00FA0215">
      <w:pPr>
        <w:pBdr>
          <w:top w:val="none" w:sz="4" w:space="0" w:color="000000"/>
          <w:left w:val="none" w:sz="4" w:space="0" w:color="000000"/>
          <w:bottom w:val="none" w:sz="4" w:space="0" w:color="000000"/>
          <w:right w:val="none" w:sz="4" w:space="0" w:color="000000"/>
        </w:pBdr>
      </w:pPr>
      <w:r w:rsidRPr="00731FE2">
        <w:rPr>
          <w:rFonts w:ascii="Times New Roman" w:eastAsia="Times New Roman" w:hAnsi="Times New Roman" w:cs="Times New Roman"/>
          <w:color w:val="000000"/>
        </w:rPr>
        <w:t>Площадь составляет 0,45 га, охранная зона не установлена. Памятник природы расположен в пределах провинции горных ландшафтов лесостепей и остепненных лугов Большого Кавказа, а именно – Кубано-Малкинского окультуренного ландшафта, который в целом характеризуется частичной распаханностью разнотравно-злаковых степей. Коэффициент антропогенного нарушения территории данного ландшафта равен 0,4.</w:t>
      </w:r>
    </w:p>
    <w:p w14:paraId="1B2E8C3A" w14:textId="7C187059" w:rsidR="00FA0215" w:rsidRPr="00731FE2" w:rsidRDefault="00FA0215" w:rsidP="00FA0215">
      <w:pPr>
        <w:pBdr>
          <w:top w:val="none" w:sz="4" w:space="0" w:color="000000"/>
          <w:left w:val="none" w:sz="4" w:space="0" w:color="000000"/>
          <w:bottom w:val="none" w:sz="4" w:space="0" w:color="000000"/>
          <w:right w:val="none" w:sz="4" w:space="0" w:color="000000"/>
        </w:pBdr>
      </w:pPr>
      <w:r w:rsidRPr="00731FE2">
        <w:rPr>
          <w:rFonts w:ascii="Times New Roman" w:eastAsia="Times New Roman" w:hAnsi="Times New Roman" w:cs="Times New Roman"/>
          <w:color w:val="000000"/>
        </w:rPr>
        <w:t>Территория памятника природы, занимая небольшие площади относительно площади Ставропольского края в целом, обладает достаточно уникальным биологическим разнообразием</w:t>
      </w:r>
      <w:r w:rsidR="000B667E" w:rsidRPr="00731FE2">
        <w:rPr>
          <w:rFonts w:ascii="Times New Roman" w:eastAsia="Times New Roman" w:hAnsi="Times New Roman" w:cs="Times New Roman"/>
          <w:color w:val="000000"/>
        </w:rPr>
        <w:t>.</w:t>
      </w:r>
    </w:p>
    <w:p w14:paraId="691988C3" w14:textId="77777777" w:rsidR="00FA0215" w:rsidRPr="00731FE2" w:rsidRDefault="00FA0215" w:rsidP="00FA0215">
      <w:pPr>
        <w:pBdr>
          <w:top w:val="none" w:sz="4" w:space="0" w:color="000000"/>
          <w:left w:val="none" w:sz="4" w:space="0" w:color="000000"/>
          <w:bottom w:val="none" w:sz="4" w:space="0" w:color="000000"/>
          <w:right w:val="none" w:sz="4" w:space="0" w:color="000000"/>
        </w:pBdr>
        <w:tabs>
          <w:tab w:val="left" w:pos="993"/>
        </w:tabs>
      </w:pPr>
      <w:r w:rsidRPr="00731FE2">
        <w:rPr>
          <w:rFonts w:ascii="Times New Roman" w:eastAsia="Times New Roman" w:hAnsi="Times New Roman" w:cs="Times New Roman"/>
          <w:b/>
          <w:color w:val="000000"/>
        </w:rPr>
        <w:t xml:space="preserve">Памятник природы краевого значения «Скалы «Броненосец» и «Миноносец» </w:t>
      </w:r>
      <w:r w:rsidRPr="00731FE2">
        <w:rPr>
          <w:rFonts w:ascii="Times New Roman" w:eastAsia="Times New Roman" w:hAnsi="Times New Roman" w:cs="Times New Roman"/>
          <w:color w:val="000000"/>
        </w:rPr>
        <w:t>являются одной из природных достопримечательностей города-курорта Кисловодска благодаря редким по живописности геолого-геоморфологическим объектам в виде эрозионных останцов в речной долине, содержащих ценную научно-познавательную ин</w:t>
      </w:r>
      <w:r w:rsidRPr="00731FE2">
        <w:rPr>
          <w:rFonts w:ascii="Times New Roman" w:eastAsia="Times New Roman" w:hAnsi="Times New Roman" w:cs="Times New Roman"/>
          <w:color w:val="000000" w:themeColor="text1"/>
        </w:rPr>
        <w:t>формацию о литолого-стратиграфических и палеонтологических особенностях его окрестностей</w:t>
      </w:r>
      <w:r w:rsidRPr="00731FE2">
        <w:rPr>
          <w:rFonts w:ascii="Times New Roman" w:eastAsia="Times New Roman" w:hAnsi="Times New Roman" w:cs="Times New Roman"/>
          <w:color w:val="000000" w:themeColor="text1"/>
          <w:vertAlign w:val="superscript"/>
        </w:rPr>
        <w:footnoteReference w:id="24"/>
      </w:r>
      <w:r w:rsidRPr="00731FE2">
        <w:rPr>
          <w:rFonts w:ascii="Times New Roman" w:eastAsia="Times New Roman" w:hAnsi="Times New Roman" w:cs="Times New Roman"/>
          <w:color w:val="000000" w:themeColor="text1"/>
        </w:rPr>
        <w:t>.</w:t>
      </w:r>
    </w:p>
    <w:p w14:paraId="13A08240" w14:textId="77777777" w:rsidR="00FA0215" w:rsidRPr="00731FE2" w:rsidRDefault="00FA0215" w:rsidP="00FA0215">
      <w:pPr>
        <w:pBdr>
          <w:top w:val="none" w:sz="4" w:space="0" w:color="000000"/>
          <w:left w:val="none" w:sz="4" w:space="0" w:color="000000"/>
          <w:bottom w:val="none" w:sz="4" w:space="0" w:color="000000"/>
          <w:right w:val="none" w:sz="4" w:space="0" w:color="000000"/>
        </w:pBdr>
        <w:tabs>
          <w:tab w:val="left" w:pos="993"/>
        </w:tabs>
      </w:pPr>
      <w:proofErr w:type="gramStart"/>
      <w:r w:rsidRPr="00731FE2">
        <w:rPr>
          <w:rFonts w:ascii="Times New Roman" w:eastAsia="Times New Roman" w:hAnsi="Times New Roman" w:cs="Times New Roman"/>
          <w:color w:val="000000"/>
        </w:rPr>
        <w:lastRenderedPageBreak/>
        <w:t>Памятник природы создан 15 сентября 1961 г. с целью сохранения уникальных форм рельефа и связанного с ними ландшафта, в том числе сохранения редких и находящихся под угрозой исчезновения, а также ценных в хозяйственном и научном отношении объектов растительного и животного мира.</w:t>
      </w:r>
      <w:proofErr w:type="gramEnd"/>
    </w:p>
    <w:p w14:paraId="0FB189D3" w14:textId="77777777" w:rsidR="00FA0215" w:rsidRPr="00731FE2" w:rsidRDefault="00FA0215" w:rsidP="00FA0215">
      <w:pPr>
        <w:pBdr>
          <w:top w:val="none" w:sz="4" w:space="0" w:color="000000"/>
          <w:left w:val="none" w:sz="4" w:space="0" w:color="000000"/>
          <w:bottom w:val="none" w:sz="4" w:space="0" w:color="000000"/>
          <w:right w:val="none" w:sz="4" w:space="0" w:color="000000"/>
        </w:pBdr>
        <w:tabs>
          <w:tab w:val="left" w:pos="993"/>
        </w:tabs>
      </w:pPr>
      <w:r w:rsidRPr="00731FE2">
        <w:rPr>
          <w:rFonts w:ascii="Times New Roman" w:eastAsia="Times New Roman" w:hAnsi="Times New Roman" w:cs="Times New Roman"/>
          <w:color w:val="000000"/>
        </w:rPr>
        <w:t>Памятник природы находится на севере горной системы Большого Кавказа, в Кисловодской котловине, между хребтами Кабардинским, Боргустанским и крупным меридиональным отрогом Скалистого хребта. Памятник природы является частью долины реки Аликоновка и расположен в 6 км выше места ее впадения в реку Подкумок (в 3 км западнее г. Кисловодск, в 0,6 км к югу от п. Зеленогорский).</w:t>
      </w:r>
    </w:p>
    <w:p w14:paraId="51E97105" w14:textId="16615BC0" w:rsidR="00FA0215" w:rsidRPr="00731FE2" w:rsidRDefault="00FA0215" w:rsidP="00FA0215">
      <w:pPr>
        <w:pBdr>
          <w:top w:val="none" w:sz="4" w:space="0" w:color="000000"/>
          <w:left w:val="none" w:sz="4" w:space="0" w:color="000000"/>
          <w:bottom w:val="none" w:sz="4" w:space="0" w:color="000000"/>
          <w:right w:val="none" w:sz="4" w:space="0" w:color="000000"/>
        </w:pBdr>
        <w:tabs>
          <w:tab w:val="left" w:pos="993"/>
        </w:tabs>
      </w:pPr>
      <w:r w:rsidRPr="00731FE2">
        <w:rPr>
          <w:rFonts w:ascii="Times New Roman" w:eastAsia="Times New Roman" w:hAnsi="Times New Roman" w:cs="Times New Roman"/>
          <w:color w:val="000000"/>
        </w:rPr>
        <w:t>Площадь памятника природы составляет 2,1 га, охранная зона не установлена.</w:t>
      </w:r>
      <w:r w:rsidR="000B667E" w:rsidRPr="00731FE2">
        <w:rPr>
          <w:rFonts w:ascii="Times New Roman" w:eastAsia="Times New Roman" w:hAnsi="Times New Roman" w:cs="Times New Roman"/>
          <w:color w:val="000000"/>
        </w:rPr>
        <w:t xml:space="preserve"> </w:t>
      </w:r>
      <w:r w:rsidRPr="00731FE2">
        <w:rPr>
          <w:rFonts w:ascii="Times New Roman" w:eastAsia="Times New Roman" w:hAnsi="Times New Roman" w:cs="Times New Roman"/>
          <w:color w:val="000000"/>
        </w:rPr>
        <w:t xml:space="preserve">Территория памятника природы, занимая небольшие площади относительно площади Ставропольского края в целом, обладает достаточно уникальным биологическим разнообразием. </w:t>
      </w:r>
    </w:p>
    <w:p w14:paraId="5CC14DB7" w14:textId="77777777" w:rsidR="00FA0215" w:rsidRPr="00731FE2" w:rsidRDefault="00FA0215" w:rsidP="00FA0215">
      <w:pPr>
        <w:pBdr>
          <w:top w:val="none" w:sz="4" w:space="0" w:color="000000"/>
          <w:left w:val="none" w:sz="4" w:space="0" w:color="000000"/>
          <w:bottom w:val="none" w:sz="4" w:space="0" w:color="000000"/>
          <w:right w:val="none" w:sz="4" w:space="0" w:color="000000"/>
        </w:pBdr>
        <w:tabs>
          <w:tab w:val="left" w:pos="993"/>
        </w:tabs>
        <w:rPr>
          <w:color w:val="000000" w:themeColor="text1"/>
        </w:rPr>
      </w:pPr>
      <w:r w:rsidRPr="00731FE2">
        <w:rPr>
          <w:rFonts w:ascii="Times New Roman" w:eastAsia="Times New Roman" w:hAnsi="Times New Roman" w:cs="Times New Roman"/>
          <w:b/>
          <w:color w:val="000000"/>
        </w:rPr>
        <w:t xml:space="preserve">Памятник природы краевого значения «Лермонтовская скала» </w:t>
      </w:r>
      <w:r w:rsidRPr="00731FE2">
        <w:rPr>
          <w:rFonts w:ascii="Times New Roman" w:eastAsia="Times New Roman" w:hAnsi="Times New Roman" w:cs="Times New Roman"/>
          <w:color w:val="000000"/>
        </w:rPr>
        <w:t>является одной из природных и историко-культурных достопримечательностей города-курорта Кисловодска благодаря редкому по живописности геолого-геоморфологическому объекту в виде эрозионного останца в речной долине, содержащего ценную научно-познавательну</w:t>
      </w:r>
      <w:r w:rsidRPr="00731FE2">
        <w:rPr>
          <w:rFonts w:ascii="Times New Roman" w:eastAsia="Times New Roman" w:hAnsi="Times New Roman" w:cs="Times New Roman"/>
          <w:color w:val="000000" w:themeColor="text1"/>
        </w:rPr>
        <w:t>ю информацию о литолого-стратиграфических и палеонтологических особенностях его окрестностей</w:t>
      </w:r>
      <w:r w:rsidRPr="00731FE2">
        <w:rPr>
          <w:rFonts w:ascii="Times New Roman" w:eastAsia="Times New Roman" w:hAnsi="Times New Roman" w:cs="Times New Roman"/>
          <w:color w:val="000000" w:themeColor="text1"/>
          <w:vertAlign w:val="superscript"/>
        </w:rPr>
        <w:footnoteReference w:id="25"/>
      </w:r>
      <w:r w:rsidRPr="00731FE2">
        <w:rPr>
          <w:rFonts w:ascii="Times New Roman" w:eastAsia="Times New Roman" w:hAnsi="Times New Roman" w:cs="Times New Roman"/>
          <w:color w:val="000000" w:themeColor="text1"/>
        </w:rPr>
        <w:t>.</w:t>
      </w:r>
    </w:p>
    <w:p w14:paraId="7ECF54BF" w14:textId="77777777" w:rsidR="00FA0215" w:rsidRPr="00731FE2" w:rsidRDefault="00FA0215" w:rsidP="00FA0215">
      <w:pPr>
        <w:pBdr>
          <w:top w:val="none" w:sz="4" w:space="0" w:color="000000"/>
          <w:left w:val="none" w:sz="4" w:space="0" w:color="000000"/>
          <w:bottom w:val="none" w:sz="4" w:space="0" w:color="000000"/>
          <w:right w:val="none" w:sz="4" w:space="0" w:color="000000"/>
        </w:pBdr>
        <w:tabs>
          <w:tab w:val="left" w:pos="993"/>
        </w:tabs>
      </w:pPr>
      <w:proofErr w:type="gramStart"/>
      <w:r w:rsidRPr="00731FE2">
        <w:rPr>
          <w:rFonts w:ascii="Times New Roman" w:eastAsia="Times New Roman" w:hAnsi="Times New Roman" w:cs="Times New Roman"/>
          <w:color w:val="000000"/>
        </w:rPr>
        <w:t>Памятник природы создан 15 сентября 1961 г. с целью сохранения уникальных форм рельефа и связанного с ними ландшафта, в том числе сохранения редких и находящихся под угрозой исчезновения, а также ценных в хозяйственном и научном отношении объектов растительного и животного мира.</w:t>
      </w:r>
      <w:proofErr w:type="gramEnd"/>
    </w:p>
    <w:p w14:paraId="72F31979" w14:textId="77777777" w:rsidR="00FA0215" w:rsidRPr="00731FE2" w:rsidRDefault="00FA0215" w:rsidP="00FA0215">
      <w:pPr>
        <w:pBdr>
          <w:top w:val="none" w:sz="4" w:space="0" w:color="000000"/>
          <w:left w:val="none" w:sz="4" w:space="0" w:color="000000"/>
          <w:bottom w:val="none" w:sz="4" w:space="0" w:color="000000"/>
          <w:right w:val="none" w:sz="4" w:space="0" w:color="000000"/>
        </w:pBdr>
        <w:tabs>
          <w:tab w:val="left" w:pos="993"/>
        </w:tabs>
      </w:pPr>
      <w:r w:rsidRPr="00731FE2">
        <w:rPr>
          <w:rFonts w:ascii="Times New Roman" w:eastAsia="Times New Roman" w:hAnsi="Times New Roman" w:cs="Times New Roman"/>
          <w:color w:val="000000"/>
        </w:rPr>
        <w:t>Памятник природы находится на севере горной системы Большого Кавказа, в Кисловодской котловине, между хребтами Кабардинским и Боргустанским. Территория памятника природы является частью долины реки Ольховка и находится в 5 км выше места ее слияния с рекой Березовая (южная окраина г. Кисловодска, в 3 км к югу от Кисловодского курортного парка, в 1 км западнее пос. Нарзанный).</w:t>
      </w:r>
    </w:p>
    <w:p w14:paraId="54316E9A" w14:textId="63AD463D" w:rsidR="00FA0215" w:rsidRPr="00731FE2" w:rsidRDefault="00FA0215" w:rsidP="000B667E">
      <w:pPr>
        <w:pBdr>
          <w:top w:val="none" w:sz="4" w:space="0" w:color="000000"/>
          <w:left w:val="none" w:sz="4" w:space="0" w:color="000000"/>
          <w:bottom w:val="none" w:sz="4" w:space="0" w:color="000000"/>
          <w:right w:val="none" w:sz="4" w:space="0" w:color="000000"/>
        </w:pBdr>
        <w:tabs>
          <w:tab w:val="left" w:pos="993"/>
        </w:tabs>
      </w:pPr>
      <w:r w:rsidRPr="00731FE2">
        <w:rPr>
          <w:rFonts w:ascii="Times New Roman" w:eastAsia="Times New Roman" w:hAnsi="Times New Roman" w:cs="Times New Roman"/>
          <w:color w:val="000000"/>
        </w:rPr>
        <w:t xml:space="preserve">Его площадь составляет 7,99 га, охранная зона не установлена. Наблюдается аналогичная памятнику природы краевого значения «Скала «Замок коварства и любви» нарушенность территории. Территория памятника природы, занимая небольшие площади относительно площади Ставропольского края в целом, обладает достаточно уникальным биологическим разнообразием. </w:t>
      </w:r>
    </w:p>
    <w:p w14:paraId="076CEBA8" w14:textId="77777777" w:rsidR="00FA0215" w:rsidRPr="00731FE2" w:rsidRDefault="00FA0215" w:rsidP="00FA0215">
      <w:pPr>
        <w:pBdr>
          <w:top w:val="none" w:sz="4" w:space="0" w:color="000000"/>
          <w:left w:val="none" w:sz="4" w:space="0" w:color="000000"/>
          <w:bottom w:val="none" w:sz="4" w:space="0" w:color="000000"/>
          <w:right w:val="none" w:sz="4" w:space="0" w:color="000000"/>
        </w:pBdr>
        <w:tabs>
          <w:tab w:val="left" w:pos="993"/>
        </w:tabs>
        <w:rPr>
          <w:color w:val="000000" w:themeColor="text1"/>
        </w:rPr>
      </w:pPr>
      <w:r w:rsidRPr="00731FE2">
        <w:rPr>
          <w:rFonts w:ascii="Times New Roman" w:eastAsia="Times New Roman" w:hAnsi="Times New Roman" w:cs="Times New Roman"/>
          <w:b/>
          <w:color w:val="000000"/>
        </w:rPr>
        <w:t>Памятник природы краевого значения «Лермонтовский водопад»</w:t>
      </w:r>
      <w:r w:rsidRPr="00731FE2">
        <w:rPr>
          <w:rFonts w:ascii="Times New Roman" w:eastAsia="Times New Roman" w:hAnsi="Times New Roman" w:cs="Times New Roman"/>
          <w:color w:val="000000"/>
        </w:rPr>
        <w:t xml:space="preserve"> является одной из природных достопримечательностей города-курорта Кисловодска благодаря живописному водопаду, образованному в месте пересечения р</w:t>
      </w:r>
      <w:r w:rsidRPr="00731FE2">
        <w:rPr>
          <w:rFonts w:ascii="Times New Roman" w:eastAsia="Times New Roman" w:hAnsi="Times New Roman" w:cs="Times New Roman"/>
          <w:color w:val="000000" w:themeColor="text1"/>
        </w:rPr>
        <w:t>екой Ольховка пласта прочных известняков, образующего ступень в виде двухъярусного каскада</w:t>
      </w:r>
      <w:r w:rsidRPr="00731FE2">
        <w:rPr>
          <w:rFonts w:ascii="Times New Roman" w:eastAsia="Times New Roman" w:hAnsi="Times New Roman" w:cs="Times New Roman"/>
          <w:color w:val="000000" w:themeColor="text1"/>
          <w:vertAlign w:val="superscript"/>
        </w:rPr>
        <w:footnoteReference w:id="26"/>
      </w:r>
      <w:r w:rsidRPr="00731FE2">
        <w:rPr>
          <w:rFonts w:ascii="Times New Roman" w:eastAsia="Times New Roman" w:hAnsi="Times New Roman" w:cs="Times New Roman"/>
          <w:color w:val="000000" w:themeColor="text1"/>
        </w:rPr>
        <w:t>.</w:t>
      </w:r>
    </w:p>
    <w:p w14:paraId="78993A1C" w14:textId="77777777" w:rsidR="00FA0215" w:rsidRPr="00731FE2" w:rsidRDefault="00FA0215" w:rsidP="00FA0215">
      <w:pPr>
        <w:pBdr>
          <w:top w:val="none" w:sz="4" w:space="0" w:color="000000"/>
          <w:left w:val="none" w:sz="4" w:space="0" w:color="000000"/>
          <w:bottom w:val="none" w:sz="4" w:space="0" w:color="000000"/>
          <w:right w:val="none" w:sz="4" w:space="0" w:color="000000"/>
        </w:pBdr>
        <w:tabs>
          <w:tab w:val="left" w:pos="993"/>
        </w:tabs>
      </w:pPr>
      <w:r w:rsidRPr="00731FE2">
        <w:rPr>
          <w:rFonts w:ascii="Times New Roman" w:eastAsia="Times New Roman" w:hAnsi="Times New Roman" w:cs="Times New Roman"/>
          <w:color w:val="000000"/>
        </w:rPr>
        <w:t xml:space="preserve">Кроме того, Лермонтовский водопад представляет ценность как объект геологического наследия, обладающий информацией о геологической деятельности </w:t>
      </w:r>
      <w:r w:rsidRPr="00731FE2">
        <w:rPr>
          <w:rFonts w:ascii="Times New Roman" w:eastAsia="Times New Roman" w:hAnsi="Times New Roman" w:cs="Times New Roman"/>
          <w:color w:val="000000"/>
        </w:rPr>
        <w:lastRenderedPageBreak/>
        <w:t>поверхностных водотоков, факторах возникновения водопадов, уникальных геологических образованиях в уступах и прилегающих к ним склонах.</w:t>
      </w:r>
    </w:p>
    <w:p w14:paraId="29573936" w14:textId="77777777" w:rsidR="00FA0215" w:rsidRPr="00731FE2" w:rsidRDefault="00FA0215" w:rsidP="00FA0215">
      <w:pPr>
        <w:pBdr>
          <w:top w:val="none" w:sz="4" w:space="0" w:color="000000"/>
          <w:left w:val="none" w:sz="4" w:space="0" w:color="000000"/>
          <w:bottom w:val="none" w:sz="4" w:space="0" w:color="000000"/>
          <w:right w:val="none" w:sz="4" w:space="0" w:color="000000"/>
        </w:pBdr>
        <w:tabs>
          <w:tab w:val="left" w:pos="993"/>
        </w:tabs>
      </w:pPr>
      <w:proofErr w:type="gramStart"/>
      <w:r w:rsidRPr="00731FE2">
        <w:rPr>
          <w:rFonts w:ascii="Times New Roman" w:eastAsia="Times New Roman" w:hAnsi="Times New Roman" w:cs="Times New Roman"/>
          <w:color w:val="000000"/>
        </w:rPr>
        <w:t>Создан</w:t>
      </w:r>
      <w:proofErr w:type="gramEnd"/>
      <w:r w:rsidRPr="00731FE2">
        <w:rPr>
          <w:rFonts w:ascii="Times New Roman" w:eastAsia="Times New Roman" w:hAnsi="Times New Roman" w:cs="Times New Roman"/>
          <w:color w:val="000000"/>
        </w:rPr>
        <w:t xml:space="preserve"> 15 сентября 1961 г. с целью сохранения живописного водопада на реке Ольховка и связанного с ним ландшафта. Памятник природы находится на севере горной системы Большого Кавказа, в Кисловодской котловине, между хребтами Кабардинским и Боргустанским и является частью долины реки Ольховка, расположен на южной окраине города Кисловодска.</w:t>
      </w:r>
    </w:p>
    <w:p w14:paraId="123A9BF8" w14:textId="77777777" w:rsidR="00FA0215" w:rsidRPr="00731FE2" w:rsidRDefault="00FA0215" w:rsidP="00FA0215">
      <w:pPr>
        <w:pBdr>
          <w:top w:val="none" w:sz="4" w:space="0" w:color="000000"/>
          <w:left w:val="none" w:sz="4" w:space="0" w:color="000000"/>
          <w:bottom w:val="none" w:sz="4" w:space="0" w:color="000000"/>
          <w:right w:val="none" w:sz="4" w:space="0" w:color="000000"/>
        </w:pBdr>
        <w:tabs>
          <w:tab w:val="left" w:pos="993"/>
        </w:tabs>
      </w:pPr>
      <w:r w:rsidRPr="00731FE2">
        <w:rPr>
          <w:rFonts w:ascii="Times New Roman" w:eastAsia="Times New Roman" w:hAnsi="Times New Roman" w:cs="Times New Roman"/>
          <w:color w:val="000000"/>
        </w:rPr>
        <w:t>Площадь территории составляет 0,08 га, охранная зона не установлена. Памятник природы расположен в пределах провинции горных ландшафтов лесостепей и остепненных лугов Большого Кавказа, а именно – Кубано-Малкинского окультуренного ландшафта, который в целом характеризуется частичной распаханностью разнотравно-злаковых степей. Коэффициент антропогенного нарушения территории данного ландшафта равен 0,4.</w:t>
      </w:r>
    </w:p>
    <w:p w14:paraId="1E8EB70C" w14:textId="77777777" w:rsidR="00FA0215" w:rsidRPr="00731FE2" w:rsidRDefault="00FA0215" w:rsidP="00FA0215">
      <w:pPr>
        <w:pBdr>
          <w:top w:val="none" w:sz="4" w:space="0" w:color="000000"/>
          <w:left w:val="none" w:sz="4" w:space="0" w:color="000000"/>
          <w:bottom w:val="none" w:sz="4" w:space="0" w:color="000000"/>
          <w:right w:val="none" w:sz="4" w:space="0" w:color="000000"/>
        </w:pBdr>
        <w:tabs>
          <w:tab w:val="left" w:pos="993"/>
        </w:tabs>
      </w:pPr>
      <w:r w:rsidRPr="00731FE2">
        <w:rPr>
          <w:rFonts w:ascii="Times New Roman" w:eastAsia="Times New Roman" w:hAnsi="Times New Roman" w:cs="Times New Roman"/>
          <w:color w:val="000000"/>
        </w:rPr>
        <w:t>Территория памятника природы, занимая небольшие площади относительно площади Ставропольского края в целом, может обеспечить существование 1,8 % от всего фиторазнообразия сосудистых растений Ставропольского края.</w:t>
      </w:r>
    </w:p>
    <w:p w14:paraId="63AF1615" w14:textId="77777777" w:rsidR="00FA0215" w:rsidRPr="00731FE2" w:rsidRDefault="00FA0215" w:rsidP="00FA0215">
      <w:pPr>
        <w:pBdr>
          <w:top w:val="none" w:sz="4" w:space="0" w:color="000000"/>
          <w:left w:val="none" w:sz="4" w:space="0" w:color="000000"/>
          <w:bottom w:val="none" w:sz="4" w:space="0" w:color="000000"/>
          <w:right w:val="none" w:sz="4" w:space="0" w:color="000000"/>
        </w:pBdr>
        <w:tabs>
          <w:tab w:val="left" w:pos="993"/>
        </w:tabs>
        <w:rPr>
          <w:color w:val="000000" w:themeColor="text1"/>
        </w:rPr>
      </w:pPr>
      <w:r w:rsidRPr="00731FE2">
        <w:rPr>
          <w:rFonts w:ascii="Times New Roman" w:eastAsia="Times New Roman" w:hAnsi="Times New Roman" w:cs="Times New Roman"/>
          <w:b/>
          <w:color w:val="000000"/>
        </w:rPr>
        <w:t>Памятник природы краевого значения «Кольцо гора»</w:t>
      </w:r>
      <w:r w:rsidRPr="00731FE2">
        <w:rPr>
          <w:rFonts w:ascii="Times New Roman" w:eastAsia="Times New Roman" w:hAnsi="Times New Roman" w:cs="Times New Roman"/>
          <w:color w:val="000000" w:themeColor="text1"/>
        </w:rPr>
        <w:t xml:space="preserve"> – одна из природных достопримечательностей города-курорта Кислово</w:t>
      </w:r>
      <w:proofErr w:type="gramStart"/>
      <w:r w:rsidRPr="00731FE2">
        <w:rPr>
          <w:rFonts w:ascii="Times New Roman" w:eastAsia="Times New Roman" w:hAnsi="Times New Roman" w:cs="Times New Roman"/>
          <w:color w:val="000000" w:themeColor="text1"/>
        </w:rPr>
        <w:t>дск пр</w:t>
      </w:r>
      <w:proofErr w:type="gramEnd"/>
      <w:r w:rsidRPr="00731FE2">
        <w:rPr>
          <w:rFonts w:ascii="Times New Roman" w:eastAsia="Times New Roman" w:hAnsi="Times New Roman" w:cs="Times New Roman"/>
          <w:color w:val="000000" w:themeColor="text1"/>
        </w:rPr>
        <w:t>ивлекающая туристов и отдыхающих</w:t>
      </w:r>
      <w:r w:rsidRPr="00731FE2">
        <w:rPr>
          <w:rFonts w:ascii="Times New Roman" w:eastAsia="Times New Roman" w:hAnsi="Times New Roman" w:cs="Times New Roman"/>
          <w:color w:val="000000" w:themeColor="text1"/>
          <w:vertAlign w:val="superscript"/>
        </w:rPr>
        <w:footnoteReference w:id="27"/>
      </w:r>
      <w:r w:rsidRPr="00731FE2">
        <w:rPr>
          <w:rFonts w:ascii="Times New Roman" w:eastAsia="Times New Roman" w:hAnsi="Times New Roman" w:cs="Times New Roman"/>
          <w:color w:val="000000" w:themeColor="text1"/>
        </w:rPr>
        <w:t>.</w:t>
      </w:r>
    </w:p>
    <w:p w14:paraId="43D1BB7F" w14:textId="2420F801" w:rsidR="00FA0215" w:rsidRPr="00731FE2" w:rsidRDefault="00FA0215" w:rsidP="00FA0215">
      <w:pPr>
        <w:pBdr>
          <w:top w:val="none" w:sz="4" w:space="0" w:color="000000"/>
          <w:left w:val="none" w:sz="4" w:space="0" w:color="000000"/>
          <w:bottom w:val="none" w:sz="4" w:space="0" w:color="000000"/>
          <w:right w:val="none" w:sz="4" w:space="0" w:color="000000"/>
        </w:pBdr>
        <w:tabs>
          <w:tab w:val="left" w:pos="993"/>
        </w:tabs>
        <w:rPr>
          <w:rFonts w:ascii="Times New Roman" w:eastAsia="Times New Roman" w:hAnsi="Times New Roman" w:cs="Times New Roman"/>
          <w:color w:val="000000" w:themeColor="text1"/>
        </w:rPr>
      </w:pPr>
      <w:r w:rsidRPr="00731FE2">
        <w:rPr>
          <w:rFonts w:ascii="Times New Roman" w:eastAsia="Times New Roman" w:hAnsi="Times New Roman" w:cs="Times New Roman"/>
          <w:color w:val="000000"/>
        </w:rPr>
        <w:t>Памятник природы создан 15 сентября 1961, с целью сохранения уникальных форм рельефа и связанного с ним ландшафта имеющих особую научную, историческую культурную и эстетическую ценность.</w:t>
      </w:r>
      <w:r w:rsidR="000B667E" w:rsidRPr="00731FE2">
        <w:rPr>
          <w:rFonts w:ascii="Times New Roman" w:eastAsia="Times New Roman" w:hAnsi="Times New Roman" w:cs="Times New Roman"/>
          <w:color w:val="000000"/>
        </w:rPr>
        <w:t xml:space="preserve"> </w:t>
      </w:r>
      <w:proofErr w:type="gramStart"/>
      <w:r w:rsidRPr="00731FE2">
        <w:rPr>
          <w:rFonts w:ascii="Times New Roman" w:eastAsia="Times New Roman" w:hAnsi="Times New Roman" w:cs="Times New Roman"/>
          <w:color w:val="000000"/>
        </w:rPr>
        <w:t>Расположен</w:t>
      </w:r>
      <w:proofErr w:type="gramEnd"/>
      <w:r w:rsidRPr="00731FE2">
        <w:rPr>
          <w:rFonts w:ascii="Times New Roman" w:eastAsia="Times New Roman" w:hAnsi="Times New Roman" w:cs="Times New Roman"/>
          <w:color w:val="000000"/>
        </w:rPr>
        <w:t xml:space="preserve"> на территории города-курорта Кисловодска Ставропольского края и включает в себя земли населенных пунктов. Общая площадь состав</w:t>
      </w:r>
      <w:r w:rsidRPr="00731FE2">
        <w:rPr>
          <w:rFonts w:ascii="Times New Roman" w:eastAsia="Times New Roman" w:hAnsi="Times New Roman" w:cs="Times New Roman"/>
          <w:color w:val="000000" w:themeColor="text1"/>
        </w:rPr>
        <w:t>ляет 1,24 га</w:t>
      </w:r>
      <w:r w:rsidRPr="00731FE2">
        <w:rPr>
          <w:rFonts w:ascii="Times New Roman" w:eastAsia="Times New Roman" w:hAnsi="Times New Roman" w:cs="Times New Roman"/>
          <w:color w:val="000000" w:themeColor="text1"/>
          <w:vertAlign w:val="superscript"/>
        </w:rPr>
        <w:footnoteReference w:id="28"/>
      </w:r>
      <w:r w:rsidRPr="00731FE2">
        <w:rPr>
          <w:rFonts w:ascii="Times New Roman" w:eastAsia="Times New Roman" w:hAnsi="Times New Roman" w:cs="Times New Roman"/>
          <w:color w:val="000000" w:themeColor="text1"/>
        </w:rPr>
        <w:t>.</w:t>
      </w:r>
    </w:p>
    <w:p w14:paraId="2F13575F" w14:textId="3CF3AB43" w:rsidR="00560DDD" w:rsidRPr="00731FE2" w:rsidRDefault="00560DDD" w:rsidP="00FA0215">
      <w:pPr>
        <w:pBdr>
          <w:top w:val="none" w:sz="4" w:space="0" w:color="000000"/>
          <w:left w:val="none" w:sz="4" w:space="0" w:color="000000"/>
          <w:bottom w:val="none" w:sz="4" w:space="0" w:color="000000"/>
          <w:right w:val="none" w:sz="4" w:space="0" w:color="000000"/>
        </w:pBdr>
        <w:tabs>
          <w:tab w:val="left" w:pos="993"/>
        </w:tabs>
        <w:rPr>
          <w:rFonts w:ascii="Times New Roman" w:eastAsia="Times New Roman" w:hAnsi="Times New Roman" w:cs="Times New Roman"/>
          <w:color w:val="000000"/>
        </w:rPr>
      </w:pPr>
      <w:r w:rsidRPr="00731FE2">
        <w:rPr>
          <w:rFonts w:ascii="Times New Roman" w:eastAsia="Times New Roman" w:hAnsi="Times New Roman" w:cs="Times New Roman"/>
          <w:color w:val="000000"/>
        </w:rPr>
        <w:t xml:space="preserve">На территории памятника природы запрещается всякая деятельность, влекущая за собой нарушение сохранности памятника природы. </w:t>
      </w:r>
      <w:proofErr w:type="gramStart"/>
      <w:r w:rsidRPr="00731FE2">
        <w:rPr>
          <w:rFonts w:ascii="Times New Roman" w:eastAsia="Times New Roman" w:hAnsi="Times New Roman" w:cs="Times New Roman"/>
          <w:color w:val="000000"/>
        </w:rPr>
        <w:t>Режим особой охраны памятника природы установлен постановлением Правительства Ставропольского края от 12 января 2023 г. № 19-п «О переименовании памятника природы, утверждении Положения о памятнике природы краевого значения «Кольцо гора» и внесении изменения в подпункт 2.2 решения исполнительного комитета Ставропольского краевого Совета народных депутатов от 4 января 1978 г. № 9 «О взятии под особую охрану памятников природы».</w:t>
      </w:r>
      <w:proofErr w:type="gramEnd"/>
    </w:p>
    <w:p w14:paraId="65BBD338" w14:textId="77777777" w:rsidR="00DD3AB0" w:rsidRPr="00731FE2" w:rsidRDefault="00DD3AB0" w:rsidP="00DD3AB0">
      <w:pPr>
        <w:pBdr>
          <w:top w:val="none" w:sz="4" w:space="0" w:color="000000"/>
          <w:left w:val="none" w:sz="4" w:space="0" w:color="000000"/>
          <w:bottom w:val="none" w:sz="4" w:space="0" w:color="000000"/>
          <w:right w:val="none" w:sz="4" w:space="0" w:color="000000"/>
        </w:pBdr>
      </w:pPr>
      <w:r w:rsidRPr="00731FE2">
        <w:rPr>
          <w:rFonts w:ascii="Times New Roman" w:eastAsia="Times New Roman" w:hAnsi="Times New Roman" w:cs="Times New Roman"/>
          <w:b/>
          <w:color w:val="000000"/>
        </w:rPr>
        <w:t xml:space="preserve">Таким </w:t>
      </w:r>
      <w:proofErr w:type="gramStart"/>
      <w:r w:rsidRPr="00731FE2">
        <w:rPr>
          <w:rFonts w:ascii="Times New Roman" w:eastAsia="Times New Roman" w:hAnsi="Times New Roman" w:cs="Times New Roman"/>
          <w:b/>
          <w:color w:val="000000"/>
        </w:rPr>
        <w:t>образом</w:t>
      </w:r>
      <w:proofErr w:type="gramEnd"/>
      <w:r w:rsidRPr="00731FE2">
        <w:rPr>
          <w:rFonts w:ascii="Times New Roman" w:eastAsia="Times New Roman" w:hAnsi="Times New Roman" w:cs="Times New Roman"/>
          <w:b/>
          <w:color w:val="000000"/>
        </w:rPr>
        <w:t xml:space="preserve"> на территории городского округа «город-курорт Кисловодск» размещено 6 ООПТ общей площадью 977,66 га, из которых 1 ООПТ федерального значения – национальный парк «Кисловодский», 5 ООПТ краевого значения, которые представлены памятниками природы.</w:t>
      </w:r>
    </w:p>
    <w:p w14:paraId="5F4D8B44" w14:textId="77777777" w:rsidR="00171AA8" w:rsidRPr="00731FE2" w:rsidRDefault="00171AA8">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b/>
          <w:bCs/>
          <w:color w:val="000000"/>
          <w:szCs w:val="24"/>
        </w:rPr>
      </w:pPr>
    </w:p>
    <w:p w14:paraId="3CE48F3D" w14:textId="77777777" w:rsidR="00171AA8" w:rsidRPr="00731FE2" w:rsidRDefault="007935AB">
      <w:pPr>
        <w:pStyle w:val="24"/>
        <w:rPr>
          <w:rFonts w:ascii="Times New Roman" w:hAnsi="Times New Roman" w:cs="Times New Roman"/>
        </w:rPr>
      </w:pPr>
      <w:bookmarkStart w:id="22" w:name="_Toc177392778"/>
      <w:r w:rsidRPr="00731FE2">
        <w:rPr>
          <w:rFonts w:ascii="Times New Roman" w:hAnsi="Times New Roman" w:cs="Times New Roman"/>
        </w:rPr>
        <w:t>2.5 Экологическое состояние окружающей среды и природопользование</w:t>
      </w:r>
      <w:bookmarkEnd w:id="22"/>
    </w:p>
    <w:p w14:paraId="2757E157" w14:textId="77777777" w:rsidR="00171AA8" w:rsidRPr="00731FE2" w:rsidRDefault="007935AB">
      <w:pPr>
        <w:pBdr>
          <w:top w:val="none" w:sz="4" w:space="0" w:color="000000"/>
          <w:left w:val="none" w:sz="4" w:space="0" w:color="000000"/>
          <w:bottom w:val="none" w:sz="4" w:space="0" w:color="000000"/>
          <w:right w:val="none" w:sz="4" w:space="0" w:color="000000"/>
        </w:pBdr>
        <w:tabs>
          <w:tab w:val="left" w:pos="993"/>
        </w:tabs>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rPr>
        <w:t xml:space="preserve">Раздел оформлен на основе данных Государственного доклада «О состояние окружающей среды и природопользовании в Ставропольском крае в 2022 году», а также </w:t>
      </w:r>
      <w:r w:rsidRPr="00731FE2">
        <w:rPr>
          <w:rFonts w:ascii="Times New Roman" w:eastAsia="Times New Roman" w:hAnsi="Times New Roman" w:cs="Times New Roman"/>
          <w:color w:val="000000"/>
        </w:rPr>
        <w:lastRenderedPageBreak/>
        <w:t>данных Государственного доклада «О состоянии санитарно-эпидемиологического благополучия населения в Ставропольском крае в 2022 году».</w:t>
      </w:r>
    </w:p>
    <w:p w14:paraId="716C99B3" w14:textId="77777777" w:rsidR="00171AA8" w:rsidRPr="00731FE2" w:rsidRDefault="007935AB">
      <w:pPr>
        <w:pBdr>
          <w:top w:val="none" w:sz="4" w:space="0" w:color="000000"/>
          <w:left w:val="none" w:sz="4" w:space="0" w:color="000000"/>
          <w:bottom w:val="none" w:sz="4" w:space="0" w:color="000000"/>
          <w:right w:val="none" w:sz="4" w:space="0" w:color="000000"/>
        </w:pBdr>
        <w:spacing w:line="65" w:lineRule="atLeast"/>
        <w:outlineLvl w:val="2"/>
        <w:rPr>
          <w:color w:val="7F7F7F" w:themeColor="text1" w:themeTint="80"/>
        </w:rPr>
      </w:pPr>
      <w:bookmarkStart w:id="23" w:name="_Toc177392779"/>
      <w:r w:rsidRPr="00731FE2">
        <w:rPr>
          <w:rFonts w:ascii="Times New Roman" w:eastAsia="Times New Roman" w:hAnsi="Times New Roman" w:cs="Times New Roman"/>
          <w:color w:val="7F7F7F" w:themeColor="text1" w:themeTint="80"/>
        </w:rPr>
        <w:t>2.5.1 Атмосферный воздух</w:t>
      </w:r>
      <w:bookmarkEnd w:id="23"/>
    </w:p>
    <w:p w14:paraId="6E5152B9" w14:textId="77777777" w:rsidR="00171AA8" w:rsidRPr="00731FE2" w:rsidRDefault="007935AB">
      <w:pPr>
        <w:pBdr>
          <w:top w:val="none" w:sz="4" w:space="0" w:color="000000"/>
          <w:left w:val="none" w:sz="4" w:space="0" w:color="000000"/>
          <w:bottom w:val="none" w:sz="4" w:space="0" w:color="000000"/>
          <w:right w:val="none" w:sz="4" w:space="0" w:color="000000"/>
        </w:pBdr>
      </w:pPr>
      <w:r w:rsidRPr="00731FE2">
        <w:rPr>
          <w:rFonts w:ascii="Times New Roman" w:eastAsia="Times New Roman" w:hAnsi="Times New Roman" w:cs="Times New Roman"/>
          <w:color w:val="000000"/>
        </w:rPr>
        <w:t>В 2022 году стационарными источниками предприятий Ставропольского края было выброшено 108,04 тыс. т, что на 15,86 тыс. т меньше, чем за 2021 г.</w:t>
      </w:r>
    </w:p>
    <w:p w14:paraId="40DF7639" w14:textId="77777777" w:rsidR="00171AA8" w:rsidRPr="00731FE2" w:rsidRDefault="007935AB">
      <w:pPr>
        <w:pBdr>
          <w:top w:val="none" w:sz="4" w:space="0" w:color="000000"/>
          <w:left w:val="none" w:sz="4" w:space="0" w:color="000000"/>
          <w:bottom w:val="none" w:sz="4" w:space="0" w:color="000000"/>
          <w:right w:val="none" w:sz="4" w:space="0" w:color="000000"/>
        </w:pBdr>
      </w:pPr>
      <w:r w:rsidRPr="00731FE2">
        <w:rPr>
          <w:rFonts w:ascii="Times New Roman" w:eastAsia="Times New Roman" w:hAnsi="Times New Roman" w:cs="Times New Roman"/>
          <w:color w:val="000000"/>
        </w:rPr>
        <w:t>Наибольший объем загрязнения окружающей природной среды Ставрополья вносит предприятия по производству и распределению электроэнергии, газа и воды обрабатывающие производства, транспорт и связь, немалую долю – добывающие производства. Однако основной объем выбросов в атмосферу приходится на автотранспорт.</w:t>
      </w:r>
    </w:p>
    <w:p w14:paraId="57C73BA7" w14:textId="77777777" w:rsidR="00171AA8" w:rsidRPr="00731FE2" w:rsidRDefault="007935AB">
      <w:pPr>
        <w:pBdr>
          <w:top w:val="none" w:sz="4" w:space="0" w:color="000000"/>
          <w:left w:val="none" w:sz="4" w:space="0" w:color="000000"/>
          <w:bottom w:val="none" w:sz="4" w:space="0" w:color="000000"/>
          <w:right w:val="none" w:sz="4" w:space="0" w:color="000000"/>
        </w:pBdr>
      </w:pPr>
      <w:r w:rsidRPr="00731FE2">
        <w:rPr>
          <w:rFonts w:ascii="Times New Roman" w:eastAsia="Times New Roman" w:hAnsi="Times New Roman" w:cs="Times New Roman"/>
          <w:color w:val="000000"/>
        </w:rPr>
        <w:t>В рамках социально-гигиенического мониторинга в 2022 году продолжается мониторинг атмосферного воздуха на 65 постах в 23 городах и районах по 13 ингредиентам (оксиды азота, аммиак, взвешенные вещества, фенол, дигидросульфид, диоксид серы, метантиол, свинец, оксид углерода за углеводороды, уксусная кислота, формальдегид). В городе Кисловодске стационарный пост наблюдения расположен в южной части города, на территории метеорологической станции (пер. Штукатурный, 25).</w:t>
      </w:r>
    </w:p>
    <w:p w14:paraId="1148526F" w14:textId="77777777" w:rsidR="00171AA8" w:rsidRPr="00731FE2" w:rsidRDefault="007935AB">
      <w:pPr>
        <w:pBdr>
          <w:top w:val="none" w:sz="4" w:space="0" w:color="000000"/>
          <w:left w:val="none" w:sz="4" w:space="0" w:color="000000"/>
          <w:bottom w:val="none" w:sz="4" w:space="0" w:color="000000"/>
          <w:right w:val="none" w:sz="4" w:space="0" w:color="000000"/>
        </w:pBdr>
      </w:pPr>
      <w:r w:rsidRPr="00731FE2">
        <w:rPr>
          <w:rFonts w:ascii="Times New Roman" w:eastAsia="Times New Roman" w:hAnsi="Times New Roman" w:cs="Times New Roman"/>
          <w:color w:val="000000"/>
        </w:rPr>
        <w:t>В 2022 году испытательным лабораторным центром ФБУЗ «Центр гигиены и эпидемиологии в Ставропольском крае» и его филиалами, проведено исследование 6136 проб атмосферного воздуха, из которых 959 проб на территории сельских поселений и 5177 проб – в городах. В том числе в рамках социально-гигиенического мониторинга в 2022 г. выполнено 4936 исследований атмосферного воздуха населённых мест. По результатам всех проведенных ИЛЦ ФБУЗ «Центр гигиены и эпидемиологии в Ставропольском крае» исследований в 2022 г. превышений ПДК загрязняющих веществ не установлено.</w:t>
      </w:r>
    </w:p>
    <w:p w14:paraId="1E8F1ADB" w14:textId="77777777" w:rsidR="00171AA8" w:rsidRPr="00731FE2" w:rsidRDefault="007935AB">
      <w:pPr>
        <w:pBdr>
          <w:top w:val="none" w:sz="4" w:space="0" w:color="000000"/>
          <w:left w:val="none" w:sz="4" w:space="0" w:color="000000"/>
          <w:bottom w:val="none" w:sz="4" w:space="0" w:color="000000"/>
          <w:right w:val="none" w:sz="4" w:space="0" w:color="000000"/>
        </w:pBdr>
      </w:pPr>
      <w:r w:rsidRPr="00731FE2">
        <w:rPr>
          <w:rFonts w:ascii="Times New Roman" w:eastAsia="Times New Roman" w:hAnsi="Times New Roman" w:cs="Times New Roman"/>
          <w:color w:val="000000"/>
        </w:rPr>
        <w:t>В части мониторинга атмосферного воздуха подведомственным Министерству природных ресурсов и охраны окружающей среды Ставропольского края государственным бюджетным учреждением «Ставропольский центр государственного экологического мониторинга» в 2022 г. выполнены сводные расчеты загрязнение атмосферного воздуха с использованием унифицированной программы расчетов загрязнения атмосферы «эколог» на территории Кочубеевского муниципального округа и городов Кисловодска и Невинномысска. В рамках выполнения государственной работы: «Осуществление государственного мониторинга окружающей среды» на 2022 г. при выполнении сводных расчетов загрязнения атмосферы учтено по городскому округу «город-курорт Кисловодск» 24 предприятия. Проведенные расчеты не выявили превышений концентраций в пределах селитебных и рекреационных зон.</w:t>
      </w:r>
    </w:p>
    <w:p w14:paraId="730615AD" w14:textId="77777777" w:rsidR="00171AA8" w:rsidRPr="00731FE2" w:rsidRDefault="007935AB">
      <w:pPr>
        <w:pBdr>
          <w:top w:val="none" w:sz="4" w:space="0" w:color="000000"/>
          <w:left w:val="none" w:sz="4" w:space="0" w:color="000000"/>
          <w:bottom w:val="none" w:sz="4" w:space="0" w:color="000000"/>
          <w:right w:val="none" w:sz="4" w:space="0" w:color="000000"/>
        </w:pBdr>
      </w:pPr>
      <w:r w:rsidRPr="00731FE2">
        <w:rPr>
          <w:rFonts w:ascii="Times New Roman" w:eastAsia="Times New Roman" w:hAnsi="Times New Roman" w:cs="Times New Roman"/>
          <w:color w:val="000000"/>
        </w:rPr>
        <w:t>Концентрации диоксида серы и азота, оксида азота, взвешенных веществ, специфических примесей – средняя за год и максимально разовая концентрации в г. Кисловодск ниже 1ПДК.</w:t>
      </w:r>
    </w:p>
    <w:p w14:paraId="4B7A910C" w14:textId="77777777" w:rsidR="00171AA8" w:rsidRPr="00731FE2" w:rsidRDefault="007935AB">
      <w:pPr>
        <w:pBdr>
          <w:top w:val="none" w:sz="4" w:space="0" w:color="000000"/>
          <w:left w:val="none" w:sz="4" w:space="0" w:color="000000"/>
          <w:bottom w:val="none" w:sz="4" w:space="0" w:color="000000"/>
          <w:right w:val="none" w:sz="4" w:space="0" w:color="000000"/>
        </w:pBdr>
      </w:pPr>
      <w:r w:rsidRPr="00731FE2">
        <w:rPr>
          <w:rFonts w:ascii="Times New Roman" w:eastAsia="Times New Roman" w:hAnsi="Times New Roman" w:cs="Times New Roman"/>
          <w:b/>
          <w:color w:val="000000"/>
        </w:rPr>
        <w:t>Городской округ «город-курорт Кисловодск» характеризуется благоприятным качеством атмосферного воздуха, что значительно улучшает условия жизнедеятельности населения. За последние 5 лет в г. Кисловодске наблюдается тенденция уменьшения загрязнения по взвешенным веществам, диоксиду азота, оксиду азота. На прежнем уровне остались концентрации по саже, диоксиду серы (ниже 1 ПДК).</w:t>
      </w:r>
    </w:p>
    <w:p w14:paraId="381B554C" w14:textId="77777777" w:rsidR="00171AA8" w:rsidRPr="00731FE2" w:rsidRDefault="007935AB">
      <w:pPr>
        <w:pBdr>
          <w:top w:val="none" w:sz="4" w:space="0" w:color="000000"/>
          <w:left w:val="none" w:sz="4" w:space="0" w:color="000000"/>
          <w:bottom w:val="none" w:sz="4" w:space="0" w:color="000000"/>
          <w:right w:val="none" w:sz="4" w:space="0" w:color="000000"/>
        </w:pBdr>
        <w:spacing w:line="65" w:lineRule="atLeast"/>
        <w:outlineLvl w:val="2"/>
        <w:rPr>
          <w:color w:val="7F7F7F" w:themeColor="text1" w:themeTint="80"/>
        </w:rPr>
      </w:pPr>
      <w:bookmarkStart w:id="24" w:name="_Toc177392780"/>
      <w:r w:rsidRPr="00731FE2">
        <w:rPr>
          <w:rFonts w:ascii="Times New Roman" w:eastAsia="Times New Roman" w:hAnsi="Times New Roman" w:cs="Times New Roman"/>
          <w:color w:val="7F7F7F" w:themeColor="text1" w:themeTint="80"/>
        </w:rPr>
        <w:t>2.5.2 Водные ресурсы</w:t>
      </w:r>
      <w:bookmarkEnd w:id="24"/>
    </w:p>
    <w:p w14:paraId="0BA41995" w14:textId="77777777" w:rsidR="00171AA8" w:rsidRPr="00731FE2" w:rsidRDefault="007935AB">
      <w:pPr>
        <w:pBdr>
          <w:top w:val="none" w:sz="4" w:space="0" w:color="000000"/>
          <w:left w:val="none" w:sz="4" w:space="0" w:color="000000"/>
          <w:bottom w:val="none" w:sz="4" w:space="0" w:color="000000"/>
          <w:right w:val="none" w:sz="4" w:space="0" w:color="000000"/>
        </w:pBdr>
      </w:pPr>
      <w:r w:rsidRPr="00731FE2">
        <w:rPr>
          <w:rFonts w:ascii="Times New Roman" w:eastAsia="Times New Roman" w:hAnsi="Times New Roman" w:cs="Times New Roman"/>
          <w:color w:val="000000"/>
        </w:rPr>
        <w:lastRenderedPageBreak/>
        <w:t>В 2022 г. наблюдения за качеством вод поверхностных водных объектов проводились ГБУ СК «Ставропольский центр государственного экологического мониторинга» в рамках выполнения государственной программы Ставропольского края «Охрана окружающей среды», утв. Постановлением Правительства Ставропольского края от 30.12.2023 г. № 839-п «Об утверждении государственной программы Ставропольского края «Охрана окружающей среды».</w:t>
      </w:r>
    </w:p>
    <w:p w14:paraId="31761BDB" w14:textId="77777777" w:rsidR="00171AA8" w:rsidRPr="00731FE2" w:rsidRDefault="007935AB">
      <w:pPr>
        <w:pBdr>
          <w:top w:val="none" w:sz="4" w:space="0" w:color="000000"/>
          <w:left w:val="none" w:sz="4" w:space="0" w:color="000000"/>
          <w:bottom w:val="none" w:sz="4" w:space="0" w:color="000000"/>
          <w:right w:val="none" w:sz="4" w:space="0" w:color="000000"/>
        </w:pBdr>
      </w:pPr>
      <w:proofErr w:type="gramStart"/>
      <w:r w:rsidRPr="00731FE2">
        <w:rPr>
          <w:rFonts w:ascii="Times New Roman" w:eastAsia="Times New Roman" w:hAnsi="Times New Roman" w:cs="Times New Roman"/>
          <w:color w:val="000000"/>
        </w:rPr>
        <w:t>Территориальная наблюдательная сеть состоит из 20 стационарных гидрохимических створов, расположенных на 16 поверхностных водных объектах региона: № 2-5 (вдхр. Отказненское), № 2-11 (р. Кума), № 2-12 (р. Золка), № 2-15, 2-18 (оз. Буйвола), № 3-1, 3-2, 3-3, 3-4, 3-5, 3-6, 3-7 (бассейн р. Калаус), № 4-1, 4-2, 4-3, 4-11, 4-12 (бассейн р. Егорлык), № 4-6 (канал Невинномысский), № 4-4, 6-1 (бассейн вдхр. Сенгилеевское).</w:t>
      </w:r>
      <w:proofErr w:type="gramEnd"/>
    </w:p>
    <w:p w14:paraId="1B177947" w14:textId="77777777" w:rsidR="00171AA8" w:rsidRPr="00731FE2" w:rsidRDefault="007935AB">
      <w:pPr>
        <w:pBdr>
          <w:top w:val="none" w:sz="4" w:space="0" w:color="000000"/>
          <w:left w:val="none" w:sz="4" w:space="0" w:color="000000"/>
          <w:bottom w:val="none" w:sz="4" w:space="0" w:color="000000"/>
          <w:right w:val="none" w:sz="4" w:space="0" w:color="000000"/>
        </w:pBdr>
      </w:pPr>
      <w:r w:rsidRPr="00731FE2">
        <w:rPr>
          <w:rFonts w:ascii="Times New Roman" w:eastAsia="Times New Roman" w:hAnsi="Times New Roman" w:cs="Times New Roman"/>
          <w:color w:val="000000"/>
        </w:rPr>
        <w:t>В 2022 г. проведено 4 цикла наблюдений за качеством вод по 20 стационарным гидрохимическим створам. С января по декабрь отобрано 80 проб воды. Также был проведен 1 цикл опробования донных отложений рек Бассейна р. Калаус по 7 стационарным литохимическим створам.</w:t>
      </w:r>
    </w:p>
    <w:p w14:paraId="6E944EAA" w14:textId="77777777" w:rsidR="00171AA8" w:rsidRPr="00731FE2" w:rsidRDefault="007935AB">
      <w:pPr>
        <w:pBdr>
          <w:top w:val="none" w:sz="4" w:space="0" w:color="000000"/>
          <w:left w:val="none" w:sz="4" w:space="0" w:color="000000"/>
          <w:bottom w:val="none" w:sz="4" w:space="0" w:color="000000"/>
          <w:right w:val="none" w:sz="4" w:space="0" w:color="000000"/>
        </w:pBdr>
      </w:pPr>
      <w:r w:rsidRPr="00731FE2">
        <w:rPr>
          <w:rFonts w:ascii="Times New Roman" w:eastAsia="Times New Roman" w:hAnsi="Times New Roman" w:cs="Times New Roman"/>
          <w:color w:val="000000"/>
        </w:rPr>
        <w:t>В рамках государственного задания на 2022 г. были выполнены химические анализы 80 проб природных вод (по 25 компонентам состава) и 7 проб донных отложений (по 13 компонентам состава), отобранных на стационарных гидрохимических створах из поверхностных водных объектов.</w:t>
      </w:r>
    </w:p>
    <w:p w14:paraId="4A9AC099" w14:textId="77777777" w:rsidR="00171AA8" w:rsidRPr="00731FE2" w:rsidRDefault="007935AB">
      <w:pPr>
        <w:pBdr>
          <w:top w:val="none" w:sz="4" w:space="0" w:color="000000"/>
          <w:left w:val="none" w:sz="4" w:space="0" w:color="000000"/>
          <w:bottom w:val="none" w:sz="4" w:space="0" w:color="000000"/>
          <w:right w:val="none" w:sz="4" w:space="0" w:color="000000"/>
        </w:pBdr>
      </w:pPr>
      <w:r w:rsidRPr="00731FE2">
        <w:rPr>
          <w:rFonts w:ascii="Times New Roman" w:eastAsia="Times New Roman" w:hAnsi="Times New Roman" w:cs="Times New Roman"/>
          <w:color w:val="000000"/>
        </w:rPr>
        <w:t xml:space="preserve">Водность р. Подкумок от г. Кисловодск до г. Георгиевск составила 49-51% по сравнению со </w:t>
      </w:r>
      <w:proofErr w:type="gramStart"/>
      <w:r w:rsidRPr="00731FE2">
        <w:rPr>
          <w:rFonts w:ascii="Times New Roman" w:eastAsia="Times New Roman" w:hAnsi="Times New Roman" w:cs="Times New Roman"/>
          <w:color w:val="000000"/>
        </w:rPr>
        <w:t>средней</w:t>
      </w:r>
      <w:proofErr w:type="gramEnd"/>
      <w:r w:rsidRPr="00731FE2">
        <w:rPr>
          <w:rFonts w:ascii="Times New Roman" w:eastAsia="Times New Roman" w:hAnsi="Times New Roman" w:cs="Times New Roman"/>
          <w:color w:val="000000"/>
        </w:rPr>
        <w:t xml:space="preserve"> многолетней. Дефицита кислорода не наблюдалось на всем контролируемом участке реки.</w:t>
      </w:r>
    </w:p>
    <w:p w14:paraId="2DDB9CB4" w14:textId="77777777" w:rsidR="00171AA8" w:rsidRPr="00731FE2" w:rsidRDefault="007935AB">
      <w:pPr>
        <w:pBdr>
          <w:top w:val="none" w:sz="4" w:space="0" w:color="000000"/>
          <w:left w:val="none" w:sz="4" w:space="0" w:color="000000"/>
          <w:bottom w:val="none" w:sz="4" w:space="0" w:color="000000"/>
          <w:right w:val="none" w:sz="4" w:space="0" w:color="000000"/>
        </w:pBdr>
      </w:pPr>
      <w:proofErr w:type="gramStart"/>
      <w:r w:rsidRPr="00731FE2">
        <w:rPr>
          <w:rFonts w:ascii="Times New Roman" w:eastAsia="Times New Roman" w:hAnsi="Times New Roman" w:cs="Times New Roman"/>
          <w:color w:val="000000"/>
        </w:rPr>
        <w:t>В районе г. Кисловодск при проведении сравнительного анализа по среднегодовым концентрациям 2022 г. и прошлого года прослеживается увеличение в створе выше города и в створе ниже города по: сульфатам, азоту нитратному, меди, по нефтепродуктам в створе ниже города, по ХПК (химическое потребление кислорода) в створе выше города и в створе ниже города, по азоту нитритному – в створе выше города.</w:t>
      </w:r>
      <w:proofErr w:type="gramEnd"/>
      <w:r w:rsidRPr="00731FE2">
        <w:rPr>
          <w:rFonts w:ascii="Times New Roman" w:eastAsia="Times New Roman" w:hAnsi="Times New Roman" w:cs="Times New Roman"/>
          <w:color w:val="000000"/>
        </w:rPr>
        <w:t xml:space="preserve"> По остальным ингредиентам значения средних концентраций остались на прежнем уровне.</w:t>
      </w:r>
    </w:p>
    <w:p w14:paraId="5D17672D" w14:textId="77777777" w:rsidR="00171AA8" w:rsidRPr="00731FE2" w:rsidRDefault="007935AB">
      <w:pPr>
        <w:pBdr>
          <w:top w:val="none" w:sz="4" w:space="0" w:color="000000"/>
          <w:left w:val="none" w:sz="4" w:space="0" w:color="000000"/>
          <w:bottom w:val="none" w:sz="4" w:space="0" w:color="000000"/>
          <w:right w:val="none" w:sz="4" w:space="0" w:color="000000"/>
        </w:pBdr>
      </w:pPr>
      <w:r w:rsidRPr="00731FE2">
        <w:rPr>
          <w:rFonts w:ascii="Times New Roman" w:eastAsia="Times New Roman" w:hAnsi="Times New Roman" w:cs="Times New Roman"/>
          <w:color w:val="000000"/>
        </w:rPr>
        <w:t xml:space="preserve">На территории региона контроль качества воды на водных объектах 1 категории осуществлялся на 68 постоянных контрольных створах. </w:t>
      </w:r>
      <w:proofErr w:type="gramStart"/>
      <w:r w:rsidRPr="00731FE2">
        <w:rPr>
          <w:rFonts w:ascii="Times New Roman" w:eastAsia="Times New Roman" w:hAnsi="Times New Roman" w:cs="Times New Roman"/>
          <w:color w:val="000000"/>
        </w:rPr>
        <w:t>В 2022 г. на таких водных объектах исследовано 349 проб воды по санитарно-химическим показателям (все исследованные пробы отвечали нормативным требованиям), по микробиологическим показателям исследовано 657 проб, из которых 46 проб не отвечали нормативным требованиям – 7,0%. Все исследованные 611 проб на паразитологические показатели и 58 проб на радиологические показатели отвечали санитарным требованиям.</w:t>
      </w:r>
      <w:proofErr w:type="gramEnd"/>
    </w:p>
    <w:p w14:paraId="65DE159E" w14:textId="77777777" w:rsidR="00171AA8" w:rsidRPr="00731FE2" w:rsidRDefault="007935AB" w:rsidP="00D97880">
      <w:pPr>
        <w:pBdr>
          <w:top w:val="none" w:sz="4" w:space="0" w:color="000000"/>
          <w:left w:val="none" w:sz="4" w:space="0" w:color="000000"/>
          <w:bottom w:val="none" w:sz="4" w:space="0" w:color="000000"/>
          <w:right w:val="none" w:sz="4" w:space="0" w:color="000000"/>
        </w:pBdr>
      </w:pPr>
      <w:proofErr w:type="gramStart"/>
      <w:r w:rsidRPr="00731FE2">
        <w:rPr>
          <w:rFonts w:ascii="Times New Roman" w:eastAsia="Times New Roman" w:hAnsi="Times New Roman" w:cs="Times New Roman"/>
          <w:color w:val="000000"/>
        </w:rPr>
        <w:t>Надзор за качеством воды водоёмов 2 категории в течение 2022 года осуществлялся на 94 постоянных контрольных точках, исследовано 565 проб воды по санитарно-химическим показателям, из которых 28 проб не отвечали санитарным требованиям (4,95%), 984 проб по микробиологическим показателям – из которых 225 проб или 22,86% не отвечали санитарным требованиям, также исследовано 746 проб – по паразитологическим показателям и 57 проб – по радиологическим</w:t>
      </w:r>
      <w:proofErr w:type="gramEnd"/>
      <w:r w:rsidRPr="00731FE2">
        <w:rPr>
          <w:rFonts w:ascii="Times New Roman" w:eastAsia="Times New Roman" w:hAnsi="Times New Roman" w:cs="Times New Roman"/>
          <w:color w:val="000000"/>
        </w:rPr>
        <w:t>. По паразитологическим и радиологическим показателям неудовлетворительных проб не установлено.</w:t>
      </w:r>
    </w:p>
    <w:p w14:paraId="13F03A4C" w14:textId="77777777" w:rsidR="00171AA8" w:rsidRPr="00731FE2" w:rsidRDefault="007935AB" w:rsidP="00D97880">
      <w:pPr>
        <w:pBdr>
          <w:top w:val="none" w:sz="4" w:space="0" w:color="000000"/>
          <w:left w:val="none" w:sz="4" w:space="0" w:color="000000"/>
          <w:bottom w:val="none" w:sz="4" w:space="0" w:color="000000"/>
          <w:right w:val="none" w:sz="4" w:space="0" w:color="000000"/>
        </w:pBdr>
      </w:pPr>
      <w:r w:rsidRPr="00731FE2">
        <w:rPr>
          <w:rFonts w:ascii="Times New Roman" w:eastAsia="Times New Roman" w:hAnsi="Times New Roman" w:cs="Times New Roman"/>
          <w:color w:val="000000"/>
        </w:rPr>
        <w:lastRenderedPageBreak/>
        <w:t xml:space="preserve">В г. Кисловодске удельный вес проб питьевой воды, подаваемой населению, не отвечающих санитарным требованиям по санитарно-химическим показателям составил 2,2%, что на 0,9% </w:t>
      </w:r>
      <w:proofErr w:type="gramStart"/>
      <w:r w:rsidRPr="00731FE2">
        <w:rPr>
          <w:rFonts w:ascii="Times New Roman" w:eastAsia="Times New Roman" w:hAnsi="Times New Roman" w:cs="Times New Roman"/>
          <w:color w:val="000000"/>
        </w:rPr>
        <w:t>ниже</w:t>
      </w:r>
      <w:proofErr w:type="gramEnd"/>
      <w:r w:rsidRPr="00731FE2">
        <w:rPr>
          <w:rFonts w:ascii="Times New Roman" w:eastAsia="Times New Roman" w:hAnsi="Times New Roman" w:cs="Times New Roman"/>
          <w:color w:val="000000"/>
        </w:rPr>
        <w:t xml:space="preserve"> чем в 2021 г. По микробиологическим показателям доля неудовлетворительных проб составила 0,8% (2021 г. – 0,6%).</w:t>
      </w:r>
    </w:p>
    <w:p w14:paraId="01F93EAB" w14:textId="77777777" w:rsidR="00171AA8" w:rsidRPr="00731FE2" w:rsidRDefault="007935AB" w:rsidP="00D97880">
      <w:pPr>
        <w:pBdr>
          <w:top w:val="none" w:sz="4" w:space="0" w:color="000000"/>
          <w:left w:val="none" w:sz="4" w:space="0" w:color="000000"/>
          <w:bottom w:val="none" w:sz="4" w:space="0" w:color="000000"/>
          <w:right w:val="none" w:sz="4" w:space="0" w:color="000000"/>
        </w:pBdr>
      </w:pPr>
      <w:r w:rsidRPr="00731FE2">
        <w:rPr>
          <w:rFonts w:ascii="Times New Roman" w:eastAsia="Times New Roman" w:hAnsi="Times New Roman" w:cs="Times New Roman"/>
          <w:b/>
          <w:color w:val="000000"/>
        </w:rPr>
        <w:t>Качество водных ресурсов в пределах городского округа «город-курорт Кисловодск» удовлетворительное. С точки зрения санитарно-гигиенических нормативов отмечается низкий уровень загрязнения, в том числе источников воды хозяйственно-питьевого назначения (2,2% проб не отвечают санитарно-химическим требованиям, 0,8% – микробиологическим).</w:t>
      </w:r>
    </w:p>
    <w:p w14:paraId="51E5DD6B" w14:textId="77777777" w:rsidR="00171AA8" w:rsidRPr="00731FE2" w:rsidRDefault="007935AB" w:rsidP="00D97880">
      <w:pPr>
        <w:pBdr>
          <w:top w:val="none" w:sz="4" w:space="0" w:color="000000"/>
          <w:left w:val="none" w:sz="4" w:space="0" w:color="000000"/>
          <w:bottom w:val="none" w:sz="4" w:space="0" w:color="000000"/>
          <w:right w:val="none" w:sz="4" w:space="0" w:color="000000"/>
        </w:pBdr>
        <w:outlineLvl w:val="2"/>
        <w:rPr>
          <w:color w:val="7F7F7F" w:themeColor="text1" w:themeTint="80"/>
        </w:rPr>
      </w:pPr>
      <w:bookmarkStart w:id="25" w:name="_Toc177392781"/>
      <w:r w:rsidRPr="00731FE2">
        <w:rPr>
          <w:rFonts w:ascii="Times New Roman" w:eastAsia="Times New Roman" w:hAnsi="Times New Roman" w:cs="Times New Roman"/>
          <w:color w:val="7F7F7F" w:themeColor="text1" w:themeTint="80"/>
        </w:rPr>
        <w:t>2.5.3 Земельные ресурсы</w:t>
      </w:r>
      <w:bookmarkEnd w:id="25"/>
    </w:p>
    <w:p w14:paraId="7A6C2DA8" w14:textId="77777777" w:rsidR="00171AA8" w:rsidRPr="00731FE2" w:rsidRDefault="007935AB" w:rsidP="00D97880">
      <w:pPr>
        <w:pBdr>
          <w:top w:val="none" w:sz="4" w:space="0" w:color="000000"/>
          <w:left w:val="none" w:sz="4" w:space="0" w:color="000000"/>
          <w:bottom w:val="none" w:sz="4" w:space="0" w:color="000000"/>
          <w:right w:val="none" w:sz="4" w:space="0" w:color="000000"/>
        </w:pBdr>
      </w:pPr>
      <w:r w:rsidRPr="00731FE2">
        <w:rPr>
          <w:rFonts w:ascii="Times New Roman" w:eastAsia="Times New Roman" w:hAnsi="Times New Roman" w:cs="Times New Roman"/>
          <w:color w:val="000000"/>
        </w:rPr>
        <w:t xml:space="preserve">Земельные ресурсы Ставропольского края подвержены ряду процессов, негативно влияющих на их состояние, в основном они представлены водной и ветровой эрозией, подтоплением, переувлажнением и заболачиванием, засолением. </w:t>
      </w:r>
    </w:p>
    <w:p w14:paraId="23208A6E" w14:textId="77777777" w:rsidR="00171AA8" w:rsidRPr="00731FE2" w:rsidRDefault="007935AB" w:rsidP="00D97880">
      <w:pPr>
        <w:pBdr>
          <w:top w:val="none" w:sz="4" w:space="0" w:color="000000"/>
          <w:left w:val="none" w:sz="4" w:space="0" w:color="000000"/>
          <w:bottom w:val="none" w:sz="4" w:space="0" w:color="000000"/>
          <w:right w:val="none" w:sz="4" w:space="0" w:color="000000"/>
        </w:pBdr>
      </w:pPr>
      <w:r w:rsidRPr="00731FE2">
        <w:rPr>
          <w:rFonts w:ascii="Times New Roman" w:eastAsia="Times New Roman" w:hAnsi="Times New Roman" w:cs="Times New Roman"/>
          <w:color w:val="000000"/>
        </w:rPr>
        <w:t>В 2022 г. площадь эродированных земель составила 1671 тыс. га (31,7% от площади сельскохозяйственных угодий), где наибольшее значение приходится на почвы, подверженные водной эрозии (16,2% от площади сельхозугодий). Площадь переувлажненных почв составляет 4,4% от сельхозугодий в крае. Также в регионе выявлено 1333 тыс. га засоленных почв.</w:t>
      </w:r>
    </w:p>
    <w:p w14:paraId="326B764D" w14:textId="77777777" w:rsidR="00171AA8" w:rsidRPr="00731FE2" w:rsidRDefault="007935AB" w:rsidP="00D97880">
      <w:pPr>
        <w:pBdr>
          <w:top w:val="none" w:sz="4" w:space="0" w:color="000000"/>
          <w:left w:val="none" w:sz="4" w:space="0" w:color="000000"/>
          <w:bottom w:val="none" w:sz="4" w:space="0" w:color="000000"/>
          <w:right w:val="none" w:sz="4" w:space="0" w:color="000000"/>
        </w:pBdr>
      </w:pPr>
      <w:r w:rsidRPr="00731FE2">
        <w:rPr>
          <w:rFonts w:ascii="Times New Roman" w:eastAsia="Times New Roman" w:hAnsi="Times New Roman" w:cs="Times New Roman"/>
          <w:color w:val="000000"/>
        </w:rPr>
        <w:t>Основные источники загрязнения почвы на территории края – автотранспорт, бытовые отходы, образующиеся в процессе жизнедеятельности населения, применяемые в промышленных масштабах и на личных приусадебных участках ядохимикаты и минеральные удобрения, а в городах – крупные градообразующие промышленные предприятия.</w:t>
      </w:r>
    </w:p>
    <w:p w14:paraId="5FA647BB" w14:textId="77777777" w:rsidR="00171AA8" w:rsidRPr="00731FE2" w:rsidRDefault="007935AB" w:rsidP="00D97880">
      <w:pPr>
        <w:pBdr>
          <w:top w:val="none" w:sz="4" w:space="0" w:color="000000"/>
          <w:left w:val="none" w:sz="4" w:space="0" w:color="000000"/>
          <w:bottom w:val="none" w:sz="4" w:space="0" w:color="000000"/>
          <w:right w:val="none" w:sz="4" w:space="0" w:color="000000"/>
        </w:pBdr>
      </w:pPr>
      <w:r w:rsidRPr="00731FE2">
        <w:rPr>
          <w:rFonts w:ascii="Times New Roman" w:eastAsia="Times New Roman" w:hAnsi="Times New Roman" w:cs="Times New Roman"/>
          <w:color w:val="000000"/>
        </w:rPr>
        <w:t>Около 10% площади Ставропольского края относится к территории особо охраняемого эколого-курортного региона Российской Федерации – Кавказским Минеральным Водам, где загрязнение почв может повлиять на качество природных минеральных вод региона.</w:t>
      </w:r>
    </w:p>
    <w:p w14:paraId="091AB005" w14:textId="77777777" w:rsidR="00171AA8" w:rsidRPr="00731FE2" w:rsidRDefault="007935AB" w:rsidP="00D97880">
      <w:pPr>
        <w:pBdr>
          <w:top w:val="none" w:sz="4" w:space="0" w:color="000000"/>
          <w:left w:val="none" w:sz="4" w:space="0" w:color="000000"/>
          <w:bottom w:val="none" w:sz="4" w:space="0" w:color="000000"/>
          <w:right w:val="none" w:sz="4" w:space="0" w:color="000000"/>
        </w:pBdr>
      </w:pPr>
      <w:r w:rsidRPr="00731FE2">
        <w:rPr>
          <w:rFonts w:ascii="Times New Roman" w:eastAsia="Times New Roman" w:hAnsi="Times New Roman" w:cs="Times New Roman"/>
          <w:color w:val="000000"/>
        </w:rPr>
        <w:t xml:space="preserve">В 2022 году контроль безопасности почвы осуществлялся в 129 мониторинговых точках, утверждённых приказом Управления Роспотребнадзора по Ставропольскому краю 20.01.2021 № 08-03/4 «Об утверждении мониторинговых </w:t>
      </w:r>
      <w:proofErr w:type="gramStart"/>
      <w:r w:rsidRPr="00731FE2">
        <w:rPr>
          <w:rFonts w:ascii="Times New Roman" w:eastAsia="Times New Roman" w:hAnsi="Times New Roman" w:cs="Times New Roman"/>
          <w:color w:val="000000"/>
        </w:rPr>
        <w:t>точек лабораторного контроля факторов среды обитания</w:t>
      </w:r>
      <w:proofErr w:type="gramEnd"/>
      <w:r w:rsidRPr="00731FE2">
        <w:rPr>
          <w:rFonts w:ascii="Times New Roman" w:eastAsia="Times New Roman" w:hAnsi="Times New Roman" w:cs="Times New Roman"/>
          <w:color w:val="000000"/>
        </w:rPr>
        <w:t>».</w:t>
      </w:r>
    </w:p>
    <w:p w14:paraId="5FDF768C" w14:textId="77777777" w:rsidR="00171AA8" w:rsidRPr="00731FE2" w:rsidRDefault="007935AB" w:rsidP="00D97880">
      <w:pPr>
        <w:pBdr>
          <w:top w:val="none" w:sz="4" w:space="0" w:color="000000"/>
          <w:left w:val="none" w:sz="4" w:space="0" w:color="000000"/>
          <w:bottom w:val="none" w:sz="4" w:space="0" w:color="000000"/>
          <w:right w:val="none" w:sz="4" w:space="0" w:color="000000"/>
        </w:pBdr>
      </w:pPr>
      <w:r w:rsidRPr="00731FE2">
        <w:rPr>
          <w:rFonts w:ascii="Times New Roman" w:eastAsia="Times New Roman" w:hAnsi="Times New Roman" w:cs="Times New Roman"/>
          <w:color w:val="000000"/>
        </w:rPr>
        <w:t>Исследования почвы проводятся по 9 санитарно-химическим, 3 микробиологическим и 2 паразитологическим показателям.</w:t>
      </w:r>
    </w:p>
    <w:p w14:paraId="1AD3C4AF" w14:textId="77777777" w:rsidR="00171AA8" w:rsidRPr="00731FE2" w:rsidRDefault="007935AB" w:rsidP="00D97880">
      <w:pPr>
        <w:pBdr>
          <w:top w:val="none" w:sz="4" w:space="0" w:color="000000"/>
          <w:left w:val="none" w:sz="4" w:space="0" w:color="000000"/>
          <w:bottom w:val="none" w:sz="4" w:space="0" w:color="000000"/>
          <w:right w:val="none" w:sz="4" w:space="0" w:color="000000"/>
        </w:pBdr>
      </w:pPr>
      <w:r w:rsidRPr="00731FE2">
        <w:rPr>
          <w:rFonts w:ascii="Times New Roman" w:eastAsia="Times New Roman" w:hAnsi="Times New Roman" w:cs="Times New Roman"/>
          <w:color w:val="000000"/>
        </w:rPr>
        <w:t xml:space="preserve">В ходе </w:t>
      </w:r>
      <w:proofErr w:type="gramStart"/>
      <w:r w:rsidRPr="00731FE2">
        <w:rPr>
          <w:rFonts w:ascii="Times New Roman" w:eastAsia="Times New Roman" w:hAnsi="Times New Roman" w:cs="Times New Roman"/>
          <w:color w:val="000000"/>
        </w:rPr>
        <w:t>контроля за</w:t>
      </w:r>
      <w:proofErr w:type="gramEnd"/>
      <w:r w:rsidRPr="00731FE2">
        <w:rPr>
          <w:rFonts w:ascii="Times New Roman" w:eastAsia="Times New Roman" w:hAnsi="Times New Roman" w:cs="Times New Roman"/>
          <w:color w:val="000000"/>
        </w:rPr>
        <w:t xml:space="preserve"> санитарным состоянием почвы на территории края, включая и данные исследований, проводимых в рамках социально-гигиенического мониторинга проведено исследование 970 проб почвы по санитарно-химическим показателям, 698 проб по микробиологическим показателям, 1446 проб по паразитологическим и 91 проба по радиологическим.</w:t>
      </w:r>
    </w:p>
    <w:p w14:paraId="492D2FA9" w14:textId="77777777" w:rsidR="00171AA8" w:rsidRPr="00731FE2" w:rsidRDefault="007935AB" w:rsidP="00D97880">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rPr>
        <w:t>Основные показатели исследований почв в 2022 г.:</w:t>
      </w:r>
    </w:p>
    <w:p w14:paraId="658A482D" w14:textId="77777777" w:rsidR="00171AA8" w:rsidRPr="00731FE2" w:rsidRDefault="007935AB" w:rsidP="007832E7">
      <w:pPr>
        <w:pStyle w:val="a3"/>
        <w:numPr>
          <w:ilvl w:val="0"/>
          <w:numId w:val="50"/>
        </w:numPr>
        <w:pBdr>
          <w:top w:val="none" w:sz="4" w:space="0" w:color="000000"/>
          <w:left w:val="none" w:sz="4" w:space="0" w:color="000000"/>
          <w:bottom w:val="none" w:sz="4" w:space="0" w:color="000000"/>
          <w:right w:val="none" w:sz="4" w:space="0" w:color="000000"/>
        </w:pBdr>
        <w:ind w:left="0" w:firstLine="283"/>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rPr>
        <w:t>пестициды 147 проб или 15% от общего числа исследованных проб;</w:t>
      </w:r>
    </w:p>
    <w:p w14:paraId="04FFC1C4" w14:textId="77777777" w:rsidR="00171AA8" w:rsidRPr="00731FE2" w:rsidRDefault="007935AB" w:rsidP="007832E7">
      <w:pPr>
        <w:pStyle w:val="a3"/>
        <w:numPr>
          <w:ilvl w:val="0"/>
          <w:numId w:val="50"/>
        </w:numPr>
        <w:pBdr>
          <w:top w:val="none" w:sz="4" w:space="0" w:color="000000"/>
          <w:left w:val="none" w:sz="4" w:space="0" w:color="000000"/>
          <w:bottom w:val="none" w:sz="4" w:space="0" w:color="000000"/>
          <w:right w:val="none" w:sz="4" w:space="0" w:color="000000"/>
        </w:pBdr>
        <w:ind w:left="0" w:firstLine="283"/>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rPr>
        <w:t>соли тяжелых металлов – 453 проб, из которых 407 проб – 89,8% на содержание свинца;</w:t>
      </w:r>
    </w:p>
    <w:p w14:paraId="62B92064" w14:textId="77777777" w:rsidR="00171AA8" w:rsidRPr="00731FE2" w:rsidRDefault="007935AB" w:rsidP="007832E7">
      <w:pPr>
        <w:pStyle w:val="a3"/>
        <w:numPr>
          <w:ilvl w:val="0"/>
          <w:numId w:val="50"/>
        </w:numPr>
        <w:pBdr>
          <w:top w:val="none" w:sz="4" w:space="0" w:color="000000"/>
          <w:left w:val="none" w:sz="4" w:space="0" w:color="000000"/>
          <w:bottom w:val="none" w:sz="4" w:space="0" w:color="000000"/>
          <w:right w:val="none" w:sz="4" w:space="0" w:color="000000"/>
        </w:pBdr>
        <w:ind w:left="0" w:firstLine="283"/>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rPr>
        <w:t>255 проб – 56,3% на содержание кадмия;</w:t>
      </w:r>
    </w:p>
    <w:p w14:paraId="731C9243" w14:textId="77777777" w:rsidR="00171AA8" w:rsidRPr="00731FE2" w:rsidRDefault="007935AB" w:rsidP="007832E7">
      <w:pPr>
        <w:pStyle w:val="a3"/>
        <w:numPr>
          <w:ilvl w:val="0"/>
          <w:numId w:val="50"/>
        </w:numPr>
        <w:pBdr>
          <w:top w:val="none" w:sz="4" w:space="0" w:color="000000"/>
          <w:left w:val="none" w:sz="4" w:space="0" w:color="000000"/>
          <w:bottom w:val="none" w:sz="4" w:space="0" w:color="000000"/>
          <w:right w:val="none" w:sz="4" w:space="0" w:color="000000"/>
        </w:pBdr>
        <w:ind w:left="0" w:firstLine="283"/>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rPr>
        <w:t>270 проб (59,6%) – на содержание ртути.</w:t>
      </w:r>
      <w:r w:rsidRPr="00731FE2">
        <w:rPr>
          <w:rFonts w:ascii="Calibri" w:eastAsia="Calibri" w:hAnsi="Calibri" w:cs="Calibri"/>
          <w:color w:val="000000"/>
          <w:sz w:val="22"/>
        </w:rPr>
        <w:t xml:space="preserve"> </w:t>
      </w:r>
    </w:p>
    <w:p w14:paraId="2A2410CC" w14:textId="77777777" w:rsidR="00171AA8" w:rsidRPr="00731FE2" w:rsidRDefault="007935AB" w:rsidP="00D97880">
      <w:pPr>
        <w:pBdr>
          <w:top w:val="none" w:sz="4" w:space="0" w:color="000000"/>
          <w:left w:val="none" w:sz="4" w:space="0" w:color="000000"/>
          <w:bottom w:val="none" w:sz="4" w:space="0" w:color="000000"/>
          <w:right w:val="none" w:sz="4" w:space="0" w:color="000000"/>
        </w:pBdr>
      </w:pPr>
      <w:r w:rsidRPr="00731FE2">
        <w:rPr>
          <w:rFonts w:ascii="Times New Roman" w:eastAsia="Times New Roman" w:hAnsi="Times New Roman" w:cs="Times New Roman"/>
          <w:color w:val="000000"/>
        </w:rPr>
        <w:lastRenderedPageBreak/>
        <w:t xml:space="preserve">Из общего числа исследованных проб по санитарно-химическим, микробиологическим и радиологическим показателям все пробы отвечали санитарным требованиям. По паразитологическим показателям выявлено 4 пробы не </w:t>
      </w:r>
      <w:proofErr w:type="gramStart"/>
      <w:r w:rsidRPr="00731FE2">
        <w:rPr>
          <w:rFonts w:ascii="Times New Roman" w:eastAsia="Times New Roman" w:hAnsi="Times New Roman" w:cs="Times New Roman"/>
          <w:color w:val="000000"/>
        </w:rPr>
        <w:t>отвечающих</w:t>
      </w:r>
      <w:proofErr w:type="gramEnd"/>
      <w:r w:rsidRPr="00731FE2">
        <w:rPr>
          <w:rFonts w:ascii="Times New Roman" w:eastAsia="Times New Roman" w:hAnsi="Times New Roman" w:cs="Times New Roman"/>
          <w:color w:val="000000"/>
        </w:rPr>
        <w:t xml:space="preserve"> санитарным требованиям – 0,3%.</w:t>
      </w:r>
    </w:p>
    <w:p w14:paraId="44A530B6" w14:textId="77777777" w:rsidR="00171AA8" w:rsidRPr="00731FE2" w:rsidRDefault="007935AB" w:rsidP="00D97880">
      <w:pPr>
        <w:pBdr>
          <w:top w:val="none" w:sz="4" w:space="0" w:color="000000"/>
          <w:left w:val="none" w:sz="4" w:space="0" w:color="000000"/>
          <w:bottom w:val="none" w:sz="4" w:space="0" w:color="000000"/>
          <w:right w:val="none" w:sz="4" w:space="0" w:color="000000"/>
        </w:pBdr>
      </w:pPr>
      <w:r w:rsidRPr="00731FE2">
        <w:rPr>
          <w:rFonts w:ascii="Times New Roman" w:eastAsia="Times New Roman" w:hAnsi="Times New Roman" w:cs="Times New Roman"/>
          <w:b/>
          <w:color w:val="000000"/>
        </w:rPr>
        <w:t>Следовательно, почвенный покров городского округа «город-курорт Кисловодск» обладает удовлетворительным качеством и соответствует установленным нормативам. Однако существует риск загрязнения почв при ведении сельскохозяйственной деятельности за счет внесения различных химических удобрений и ядохимикатов, также высокий риск отмечается на участках, примыкающих к автомобильным дорогам.</w:t>
      </w:r>
    </w:p>
    <w:p w14:paraId="104A7E5A" w14:textId="77777777" w:rsidR="00171AA8" w:rsidRPr="00731FE2" w:rsidRDefault="007935AB" w:rsidP="00D97880">
      <w:pPr>
        <w:pBdr>
          <w:top w:val="none" w:sz="4" w:space="0" w:color="000000"/>
          <w:left w:val="none" w:sz="4" w:space="0" w:color="000000"/>
          <w:bottom w:val="none" w:sz="4" w:space="0" w:color="000000"/>
          <w:right w:val="none" w:sz="4" w:space="0" w:color="000000"/>
        </w:pBdr>
        <w:outlineLvl w:val="2"/>
        <w:rPr>
          <w:color w:val="7F7F7F" w:themeColor="text1" w:themeTint="80"/>
        </w:rPr>
      </w:pPr>
      <w:bookmarkStart w:id="26" w:name="_Toc177392782"/>
      <w:r w:rsidRPr="00731FE2">
        <w:rPr>
          <w:rFonts w:ascii="Times New Roman" w:eastAsia="Times New Roman" w:hAnsi="Times New Roman" w:cs="Times New Roman"/>
          <w:color w:val="7F7F7F" w:themeColor="text1" w:themeTint="80"/>
        </w:rPr>
        <w:t>2.5.4 Лесные ресурсы</w:t>
      </w:r>
      <w:bookmarkEnd w:id="26"/>
    </w:p>
    <w:p w14:paraId="14DDFA12" w14:textId="77777777" w:rsidR="00171AA8" w:rsidRPr="00731FE2" w:rsidRDefault="007935AB" w:rsidP="00D97880">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rPr>
        <w:t xml:space="preserve">Часть лесничеств Ставропольского края (Бештаугорское, </w:t>
      </w:r>
      <w:proofErr w:type="gramStart"/>
      <w:r w:rsidRPr="00731FE2">
        <w:rPr>
          <w:rFonts w:ascii="Times New Roman" w:eastAsia="Times New Roman" w:hAnsi="Times New Roman" w:cs="Times New Roman"/>
          <w:color w:val="000000"/>
        </w:rPr>
        <w:t>Георгиевское</w:t>
      </w:r>
      <w:proofErr w:type="gramEnd"/>
      <w:r w:rsidRPr="00731FE2">
        <w:rPr>
          <w:rFonts w:ascii="Times New Roman" w:eastAsia="Times New Roman" w:hAnsi="Times New Roman" w:cs="Times New Roman"/>
          <w:color w:val="000000"/>
        </w:rPr>
        <w:t>, Кисловодское, Ессентукское) располагается на территории уникального природного комплекса – Кавказских Минеральных Вод (Кавминводы). Высокий ландшафтный потенциал предгорных лесов края используется несколькими десятками лечебно-оздоровительных объектов (санатории, профилактории, дома отдыха, пансионаты) для лечения и профилактики различных заболеваний. Фактическая рекреационная нагрузка на эти насаждения значительно выше расчетных показателей. В лечебно-рекреационной практике Кавминвод, используют аэрофитотерапию и ландшафтотерапию на основе терренкуров лечебных парков.</w:t>
      </w:r>
    </w:p>
    <w:p w14:paraId="22CF40EF" w14:textId="77777777" w:rsidR="00171AA8" w:rsidRPr="00731FE2" w:rsidRDefault="007935AB">
      <w:pPr>
        <w:pBdr>
          <w:top w:val="none" w:sz="4" w:space="0" w:color="000000"/>
          <w:left w:val="none" w:sz="4" w:space="0" w:color="000000"/>
          <w:bottom w:val="none" w:sz="4" w:space="0" w:color="000000"/>
          <w:right w:val="none" w:sz="4" w:space="0" w:color="000000"/>
        </w:pBdr>
      </w:pPr>
      <w:r w:rsidRPr="00731FE2">
        <w:rPr>
          <w:rFonts w:ascii="Times New Roman" w:eastAsia="Times New Roman" w:hAnsi="Times New Roman" w:cs="Times New Roman"/>
          <w:color w:val="000000"/>
        </w:rPr>
        <w:t>Лесные ресурсы городского округа «город-курорт Кисловодск» относятся к Кисловодскому лесничеству, общей площадь</w:t>
      </w:r>
      <w:r w:rsidRPr="00731FE2">
        <w:rPr>
          <w:rFonts w:ascii="Times New Roman" w:eastAsia="Times New Roman" w:hAnsi="Times New Roman" w:cs="Times New Roman"/>
        </w:rPr>
        <w:t>ю 3445 га</w:t>
      </w:r>
      <w:r w:rsidRPr="00731FE2">
        <w:rPr>
          <w:rFonts w:ascii="Times New Roman" w:eastAsia="Times New Roman" w:hAnsi="Times New Roman" w:cs="Times New Roman"/>
          <w:vertAlign w:val="superscript"/>
        </w:rPr>
        <w:footnoteReference w:id="29"/>
      </w:r>
      <w:r w:rsidRPr="00731FE2">
        <w:rPr>
          <w:rFonts w:ascii="Times New Roman" w:eastAsia="Times New Roman" w:hAnsi="Times New Roman" w:cs="Times New Roman"/>
        </w:rPr>
        <w:t xml:space="preserve">. Леса </w:t>
      </w:r>
      <w:r w:rsidRPr="00731FE2">
        <w:rPr>
          <w:rFonts w:ascii="Times New Roman" w:eastAsia="Times New Roman" w:hAnsi="Times New Roman" w:cs="Times New Roman"/>
          <w:color w:val="000000"/>
        </w:rPr>
        <w:t>выполняют защитную функцию.</w:t>
      </w:r>
    </w:p>
    <w:p w14:paraId="03FAD3BD" w14:textId="77777777" w:rsidR="00171AA8" w:rsidRPr="00731FE2" w:rsidRDefault="007935AB">
      <w:pPr>
        <w:pBdr>
          <w:top w:val="none" w:sz="4" w:space="0" w:color="000000"/>
          <w:left w:val="none" w:sz="4" w:space="0" w:color="000000"/>
          <w:bottom w:val="none" w:sz="4" w:space="0" w:color="000000"/>
          <w:right w:val="none" w:sz="4" w:space="0" w:color="000000"/>
        </w:pBdr>
      </w:pPr>
      <w:r w:rsidRPr="00731FE2">
        <w:rPr>
          <w:rFonts w:ascii="Times New Roman" w:eastAsia="Times New Roman" w:hAnsi="Times New Roman" w:cs="Times New Roman"/>
          <w:color w:val="000000"/>
        </w:rPr>
        <w:t>На г. Кислово</w:t>
      </w:r>
      <w:proofErr w:type="gramStart"/>
      <w:r w:rsidRPr="00731FE2">
        <w:rPr>
          <w:rFonts w:ascii="Times New Roman" w:eastAsia="Times New Roman" w:hAnsi="Times New Roman" w:cs="Times New Roman"/>
          <w:color w:val="000000"/>
        </w:rPr>
        <w:t>дск пр</w:t>
      </w:r>
      <w:proofErr w:type="gramEnd"/>
      <w:r w:rsidRPr="00731FE2">
        <w:rPr>
          <w:rFonts w:ascii="Times New Roman" w:eastAsia="Times New Roman" w:hAnsi="Times New Roman" w:cs="Times New Roman"/>
          <w:color w:val="000000"/>
        </w:rPr>
        <w:t>иходится 2328 га площади лесов.</w:t>
      </w:r>
      <w:r w:rsidR="00D97880" w:rsidRPr="00731FE2">
        <w:rPr>
          <w:rFonts w:ascii="Times New Roman" w:eastAsia="Times New Roman" w:hAnsi="Times New Roman" w:cs="Times New Roman"/>
          <w:color w:val="000000"/>
        </w:rPr>
        <w:t xml:space="preserve"> </w:t>
      </w:r>
      <w:r w:rsidRPr="00731FE2">
        <w:rPr>
          <w:rFonts w:ascii="Times New Roman" w:eastAsia="Times New Roman" w:hAnsi="Times New Roman" w:cs="Times New Roman"/>
          <w:color w:val="000000"/>
        </w:rPr>
        <w:t>Общее санитарное состояние лесов лесничества можно оценить, как удовлетворительное. Крупные очаги массового размножения хвое-листогрызущих вредителей отсутствуют. Имеющиеся незначительные по площади и интенсивности очаги листоедов существенного негативного влияния на санитарное и экологическое состояние лесов лесничества не оказывают, хотя и снижают эстетическую и рекреационную привлекательность насаждени</w:t>
      </w:r>
      <w:r w:rsidRPr="00731FE2">
        <w:rPr>
          <w:rFonts w:ascii="Times New Roman" w:eastAsia="Times New Roman" w:hAnsi="Times New Roman" w:cs="Times New Roman"/>
        </w:rPr>
        <w:t>й</w:t>
      </w:r>
      <w:r w:rsidRPr="00731FE2">
        <w:rPr>
          <w:rFonts w:ascii="Times New Roman" w:eastAsia="Times New Roman" w:hAnsi="Times New Roman" w:cs="Times New Roman"/>
          <w:vertAlign w:val="superscript"/>
        </w:rPr>
        <w:footnoteReference w:id="30"/>
      </w:r>
      <w:r w:rsidRPr="00731FE2">
        <w:rPr>
          <w:rFonts w:ascii="Times New Roman" w:eastAsia="Times New Roman" w:hAnsi="Times New Roman" w:cs="Times New Roman"/>
        </w:rPr>
        <w:t>.</w:t>
      </w:r>
    </w:p>
    <w:p w14:paraId="4899B501" w14:textId="77777777" w:rsidR="00171AA8" w:rsidRPr="00731FE2" w:rsidRDefault="007935AB">
      <w:pPr>
        <w:pBdr>
          <w:top w:val="none" w:sz="4" w:space="0" w:color="000000"/>
          <w:left w:val="none" w:sz="4" w:space="0" w:color="000000"/>
          <w:bottom w:val="none" w:sz="4" w:space="0" w:color="000000"/>
          <w:right w:val="none" w:sz="4" w:space="0" w:color="000000"/>
        </w:pBdr>
      </w:pPr>
      <w:r w:rsidRPr="00731FE2">
        <w:rPr>
          <w:rFonts w:ascii="Times New Roman" w:eastAsia="Times New Roman" w:hAnsi="Times New Roman" w:cs="Times New Roman"/>
          <w:color w:val="000000"/>
        </w:rPr>
        <w:t>Лесозащитные мероприятия в защитных лесах и особо защищенных участках несколько отличаются от традиционных мероприятий, проводимых в лесах хозяйственного значения. Здесь не рекомендуется применять ядохимикаты, а следует ориентироваться на механические, биологические и лесохозяйственные меры борьбы. Химические меры борьбы допустимы на территории лесничества лишь в исключительных случаях, когда другие меры борьбы не эффективны.</w:t>
      </w:r>
    </w:p>
    <w:p w14:paraId="4BC1BBCF" w14:textId="77777777" w:rsidR="00171AA8" w:rsidRPr="00731FE2" w:rsidRDefault="007935AB">
      <w:pPr>
        <w:pBdr>
          <w:top w:val="none" w:sz="4" w:space="0" w:color="000000"/>
          <w:left w:val="none" w:sz="4" w:space="0" w:color="000000"/>
          <w:bottom w:val="none" w:sz="4" w:space="0" w:color="000000"/>
          <w:right w:val="none" w:sz="4" w:space="0" w:color="000000"/>
        </w:pBdr>
      </w:pPr>
      <w:r w:rsidRPr="00731FE2">
        <w:rPr>
          <w:rFonts w:ascii="Times New Roman" w:eastAsia="Times New Roman" w:hAnsi="Times New Roman" w:cs="Times New Roman"/>
          <w:color w:val="000000"/>
        </w:rPr>
        <w:t>В целях оздоровления насаждений и недопущения распространения вредителей и болезней леса, на территории лесничества необходимо ежегодно проводить, в соответствии с рекомендациями лесоустройства, следующие лесозащитные мероприятия:</w:t>
      </w:r>
    </w:p>
    <w:p w14:paraId="624EC2DF" w14:textId="77777777" w:rsidR="00171AA8" w:rsidRPr="00731FE2" w:rsidRDefault="007935AB" w:rsidP="007832E7">
      <w:pPr>
        <w:pStyle w:val="a3"/>
        <w:numPr>
          <w:ilvl w:val="0"/>
          <w:numId w:val="35"/>
        </w:numPr>
        <w:pBdr>
          <w:top w:val="none" w:sz="4" w:space="0" w:color="000000"/>
          <w:left w:val="none" w:sz="4" w:space="0" w:color="000000"/>
          <w:bottom w:val="none" w:sz="4" w:space="0" w:color="000000"/>
          <w:right w:val="none" w:sz="4" w:space="0" w:color="000000"/>
        </w:pBdr>
        <w:tabs>
          <w:tab w:val="left" w:pos="993"/>
        </w:tabs>
        <w:ind w:left="0" w:firstLine="709"/>
      </w:pPr>
      <w:r w:rsidRPr="00731FE2">
        <w:rPr>
          <w:rFonts w:ascii="Times New Roman" w:eastAsia="Times New Roman" w:hAnsi="Times New Roman" w:cs="Times New Roman"/>
          <w:color w:val="000000"/>
        </w:rPr>
        <w:t xml:space="preserve">лесопатологическое обследование (мониторинг); </w:t>
      </w:r>
    </w:p>
    <w:p w14:paraId="0296DA94" w14:textId="77777777" w:rsidR="00171AA8" w:rsidRPr="00731FE2" w:rsidRDefault="007935AB" w:rsidP="007832E7">
      <w:pPr>
        <w:pStyle w:val="a3"/>
        <w:numPr>
          <w:ilvl w:val="0"/>
          <w:numId w:val="35"/>
        </w:numPr>
        <w:pBdr>
          <w:top w:val="none" w:sz="4" w:space="0" w:color="000000"/>
          <w:left w:val="none" w:sz="4" w:space="0" w:color="000000"/>
          <w:bottom w:val="none" w:sz="4" w:space="0" w:color="000000"/>
          <w:right w:val="none" w:sz="4" w:space="0" w:color="000000"/>
        </w:pBdr>
        <w:tabs>
          <w:tab w:val="left" w:pos="993"/>
        </w:tabs>
        <w:ind w:left="0" w:firstLine="709"/>
      </w:pPr>
      <w:r w:rsidRPr="00731FE2">
        <w:rPr>
          <w:rFonts w:ascii="Times New Roman" w:eastAsia="Times New Roman" w:hAnsi="Times New Roman" w:cs="Times New Roman"/>
          <w:color w:val="000000"/>
        </w:rPr>
        <w:t>изготовление и развешивание гнездовий для птиц;</w:t>
      </w:r>
    </w:p>
    <w:p w14:paraId="704C1304" w14:textId="77777777" w:rsidR="00171AA8" w:rsidRPr="00731FE2" w:rsidRDefault="007935AB" w:rsidP="007832E7">
      <w:pPr>
        <w:pStyle w:val="a3"/>
        <w:numPr>
          <w:ilvl w:val="0"/>
          <w:numId w:val="35"/>
        </w:numPr>
        <w:pBdr>
          <w:top w:val="none" w:sz="4" w:space="0" w:color="000000"/>
          <w:left w:val="none" w:sz="4" w:space="0" w:color="000000"/>
          <w:bottom w:val="none" w:sz="4" w:space="0" w:color="000000"/>
          <w:right w:val="none" w:sz="4" w:space="0" w:color="000000"/>
        </w:pBdr>
        <w:tabs>
          <w:tab w:val="left" w:pos="993"/>
        </w:tabs>
        <w:ind w:left="0" w:firstLine="709"/>
      </w:pPr>
      <w:r w:rsidRPr="00731FE2">
        <w:rPr>
          <w:rFonts w:ascii="Times New Roman" w:eastAsia="Times New Roman" w:hAnsi="Times New Roman" w:cs="Times New Roman"/>
          <w:color w:val="000000"/>
        </w:rPr>
        <w:t>устройство кормушек для птиц;</w:t>
      </w:r>
    </w:p>
    <w:p w14:paraId="31826396" w14:textId="77777777" w:rsidR="00171AA8" w:rsidRPr="00731FE2" w:rsidRDefault="007935AB" w:rsidP="007832E7">
      <w:pPr>
        <w:pStyle w:val="a3"/>
        <w:numPr>
          <w:ilvl w:val="0"/>
          <w:numId w:val="35"/>
        </w:numPr>
        <w:pBdr>
          <w:top w:val="none" w:sz="4" w:space="0" w:color="000000"/>
          <w:left w:val="none" w:sz="4" w:space="0" w:color="000000"/>
          <w:bottom w:val="none" w:sz="4" w:space="0" w:color="000000"/>
          <w:right w:val="none" w:sz="4" w:space="0" w:color="000000"/>
        </w:pBdr>
        <w:tabs>
          <w:tab w:val="left" w:pos="993"/>
        </w:tabs>
        <w:ind w:left="0" w:firstLine="709"/>
      </w:pPr>
      <w:r w:rsidRPr="00731FE2">
        <w:rPr>
          <w:rFonts w:ascii="Times New Roman" w:eastAsia="Times New Roman" w:hAnsi="Times New Roman" w:cs="Times New Roman"/>
          <w:color w:val="000000"/>
        </w:rPr>
        <w:lastRenderedPageBreak/>
        <w:t>надзор за появлением вредителей и болезней;</w:t>
      </w:r>
    </w:p>
    <w:p w14:paraId="723347E2" w14:textId="77777777" w:rsidR="00171AA8" w:rsidRPr="00731FE2" w:rsidRDefault="007935AB" w:rsidP="007832E7">
      <w:pPr>
        <w:pStyle w:val="a3"/>
        <w:numPr>
          <w:ilvl w:val="0"/>
          <w:numId w:val="35"/>
        </w:numPr>
        <w:pBdr>
          <w:top w:val="none" w:sz="4" w:space="0" w:color="000000"/>
          <w:left w:val="none" w:sz="4" w:space="0" w:color="000000"/>
          <w:bottom w:val="none" w:sz="4" w:space="0" w:color="000000"/>
          <w:right w:val="none" w:sz="4" w:space="0" w:color="000000"/>
        </w:pBdr>
        <w:tabs>
          <w:tab w:val="left" w:pos="993"/>
        </w:tabs>
        <w:ind w:left="0" w:firstLine="709"/>
      </w:pPr>
      <w:r w:rsidRPr="00731FE2">
        <w:rPr>
          <w:rFonts w:ascii="Times New Roman" w:eastAsia="Times New Roman" w:hAnsi="Times New Roman" w:cs="Times New Roman"/>
          <w:color w:val="000000"/>
        </w:rPr>
        <w:t>пропаганда лесозащиты.</w:t>
      </w:r>
    </w:p>
    <w:p w14:paraId="34599380" w14:textId="77777777" w:rsidR="00171AA8" w:rsidRPr="00731FE2" w:rsidRDefault="007935AB">
      <w:pPr>
        <w:pBdr>
          <w:top w:val="none" w:sz="4" w:space="0" w:color="000000"/>
          <w:left w:val="none" w:sz="4" w:space="0" w:color="000000"/>
          <w:bottom w:val="none" w:sz="4" w:space="0" w:color="000000"/>
          <w:right w:val="none" w:sz="4" w:space="0" w:color="000000"/>
        </w:pBdr>
      </w:pPr>
      <w:r w:rsidRPr="00731FE2">
        <w:rPr>
          <w:rFonts w:ascii="Times New Roman" w:eastAsia="Times New Roman" w:hAnsi="Times New Roman" w:cs="Times New Roman"/>
          <w:b/>
          <w:color w:val="000000"/>
        </w:rPr>
        <w:t>Лесные ресурсы, расположенные на территории городского округа «город-курорт Кисловодск» характеризуются удовлетворительным санитарным состоянием, при котором леса способны выполнять свои функции. Также применяются менее опасные методы (механические, биологические) поддержания состояния и борьбы с вредителями, что предотвращает гибель врагов наших врагов, т. е. тех организмов, которые непосредственно уничтожают вредителей лесных ресурсов.</w:t>
      </w:r>
    </w:p>
    <w:p w14:paraId="6B7C6CA4" w14:textId="77777777" w:rsidR="00171AA8" w:rsidRPr="00731FE2" w:rsidRDefault="00171AA8">
      <w:pPr>
        <w:pBdr>
          <w:top w:val="none" w:sz="4" w:space="0" w:color="000000"/>
          <w:left w:val="none" w:sz="4" w:space="0" w:color="000000"/>
          <w:bottom w:val="none" w:sz="4" w:space="0" w:color="000000"/>
          <w:right w:val="none" w:sz="4" w:space="0" w:color="000000"/>
        </w:pBdr>
        <w:tabs>
          <w:tab w:val="left" w:pos="993"/>
        </w:tabs>
        <w:rPr>
          <w:rFonts w:ascii="Times New Roman" w:eastAsia="Times New Roman" w:hAnsi="Times New Roman" w:cs="Times New Roman"/>
          <w:color w:val="000000"/>
          <w:szCs w:val="24"/>
        </w:rPr>
      </w:pPr>
    </w:p>
    <w:p w14:paraId="1F60B2EF" w14:textId="77777777" w:rsidR="00171AA8" w:rsidRPr="00731FE2" w:rsidRDefault="007935AB">
      <w:pPr>
        <w:pStyle w:val="24"/>
        <w:rPr>
          <w:rFonts w:ascii="Times New Roman" w:hAnsi="Times New Roman" w:cs="Times New Roman"/>
        </w:rPr>
      </w:pPr>
      <w:bookmarkStart w:id="27" w:name="_Toc177392783"/>
      <w:r w:rsidRPr="00731FE2">
        <w:rPr>
          <w:rFonts w:ascii="Times New Roman" w:hAnsi="Times New Roman" w:cs="Times New Roman"/>
        </w:rPr>
        <w:t>2.6 Охрана объектов культурного наследия</w:t>
      </w:r>
      <w:bookmarkEnd w:id="27"/>
      <w:r w:rsidRPr="00731FE2">
        <w:rPr>
          <w:rFonts w:ascii="Times New Roman" w:hAnsi="Times New Roman" w:cs="Times New Roman"/>
        </w:rPr>
        <w:t xml:space="preserve"> </w:t>
      </w:r>
    </w:p>
    <w:p w14:paraId="5BBD4F44" w14:textId="7611234B" w:rsidR="00171AA8" w:rsidRPr="00731FE2" w:rsidRDefault="007935AB">
      <w:pPr>
        <w:pBdr>
          <w:top w:val="none" w:sz="4" w:space="0" w:color="000000"/>
          <w:left w:val="none" w:sz="4" w:space="0" w:color="000000"/>
          <w:bottom w:val="none" w:sz="4" w:space="0" w:color="000000"/>
          <w:right w:val="none" w:sz="4" w:space="0" w:color="000000"/>
        </w:pBdr>
        <w:tabs>
          <w:tab w:val="left" w:pos="993"/>
        </w:tabs>
        <w:rPr>
          <w:rFonts w:ascii="Times New Roman" w:eastAsia="Times New Roman" w:hAnsi="Times New Roman" w:cs="Times New Roman"/>
          <w:color w:val="000000"/>
          <w:szCs w:val="24"/>
        </w:rPr>
      </w:pPr>
      <w:proofErr w:type="gramStart"/>
      <w:r w:rsidRPr="00731FE2">
        <w:rPr>
          <w:rFonts w:ascii="Times New Roman" w:eastAsia="Times New Roman" w:hAnsi="Times New Roman" w:cs="Times New Roman"/>
          <w:color w:val="000000"/>
          <w:szCs w:val="24"/>
        </w:rPr>
        <w:t>На территории городского округа города-курорта Кисловодска Ставропольского края располагаются объекты культурного (в т. ч. археологического) наследия, включенные в Единый государственный реестр объектов культурного наследия (памятников истории и культуры) народов Российской Федерации, а также выявленные объекты археологического наследия, включенные в перечень выявленных объектов культурного наследия.</w:t>
      </w:r>
      <w:proofErr w:type="gramEnd"/>
    </w:p>
    <w:p w14:paraId="1E05C03A" w14:textId="77777777" w:rsidR="00171AA8" w:rsidRPr="00731FE2" w:rsidRDefault="007935AB">
      <w:pPr>
        <w:pBdr>
          <w:top w:val="none" w:sz="4" w:space="0" w:color="000000"/>
          <w:left w:val="none" w:sz="4" w:space="0" w:color="000000"/>
          <w:bottom w:val="none" w:sz="4" w:space="0" w:color="000000"/>
          <w:right w:val="none" w:sz="4" w:space="0" w:color="000000"/>
        </w:pBdr>
        <w:tabs>
          <w:tab w:val="left" w:pos="993"/>
        </w:tabs>
      </w:pPr>
      <w:proofErr w:type="gramStart"/>
      <w:r w:rsidRPr="00731FE2">
        <w:rPr>
          <w:rFonts w:ascii="Times New Roman" w:eastAsia="Times New Roman" w:hAnsi="Times New Roman" w:cs="Times New Roman"/>
          <w:color w:val="000000"/>
          <w:szCs w:val="24"/>
        </w:rPr>
        <w:t>Согласно Федеральному закону от 25.06.2002 № 73-ФЗ «Об объектах культурного наследия (памятниках истории и культуры) народов Российской Федерации» объекты культурного наследия, включенные в реестр, выявленные объекты культурного наследия подлежат государственной охране в целях предотвращения их повреждения, разрушения или уничтожения, изменения облика и интерьера (в случае, если интерьер объекта культурного наследия относится к его предмету охраны), нарушения установленного порядка их использования, незаконного</w:t>
      </w:r>
      <w:proofErr w:type="gramEnd"/>
      <w:r w:rsidRPr="00731FE2">
        <w:rPr>
          <w:rFonts w:ascii="Times New Roman" w:eastAsia="Times New Roman" w:hAnsi="Times New Roman" w:cs="Times New Roman"/>
          <w:color w:val="000000"/>
          <w:szCs w:val="24"/>
        </w:rPr>
        <w:t xml:space="preserve"> перемещения и предотвращения других действий, могущих причинить вред объектам культурного наследия, а также в целях их защиты от неблагоприятного воздействия окружающей среды и от иных негативных воздействий.</w:t>
      </w:r>
    </w:p>
    <w:p w14:paraId="5DAC2452" w14:textId="77777777" w:rsidR="00171AA8" w:rsidRPr="00731FE2" w:rsidRDefault="007935AB">
      <w:pPr>
        <w:pBdr>
          <w:top w:val="none" w:sz="4" w:space="0" w:color="000000"/>
          <w:left w:val="none" w:sz="4" w:space="0" w:color="000000"/>
          <w:bottom w:val="none" w:sz="4" w:space="0" w:color="000000"/>
          <w:right w:val="none" w:sz="4" w:space="0" w:color="000000"/>
        </w:pBdr>
        <w:tabs>
          <w:tab w:val="left" w:pos="993"/>
        </w:tabs>
      </w:pPr>
      <w:proofErr w:type="gramStart"/>
      <w:r w:rsidRPr="00731FE2">
        <w:rPr>
          <w:rFonts w:ascii="Times New Roman" w:eastAsia="Times New Roman" w:hAnsi="Times New Roman" w:cs="Times New Roman"/>
          <w:color w:val="000000"/>
          <w:szCs w:val="24"/>
        </w:rPr>
        <w:t>В соответствии с Федеральным законом от 25.06.2002 № 73-ФЗ «Об объектах культурного наследия (памятниках истории и культуры) народов Российской Федерации» сохранение объекта культурного наследия-меры, направленные на обеспечение физической сохранности и сохранение историко-культурной ценности объекта культурного наследия, предусматривающие консервацию, ремонт, реставрацию, приспособление объекта культурного наследия для современного использования и включающие в себя научно-исследовательские, изыскательские, проектные и производственные работы, научное руководство проведением работ</w:t>
      </w:r>
      <w:proofErr w:type="gramEnd"/>
      <w:r w:rsidRPr="00731FE2">
        <w:rPr>
          <w:rFonts w:ascii="Times New Roman" w:eastAsia="Times New Roman" w:hAnsi="Times New Roman" w:cs="Times New Roman"/>
          <w:color w:val="000000"/>
          <w:szCs w:val="24"/>
        </w:rPr>
        <w:t xml:space="preserve"> по сохранению объекта культурного наследия, технический и авторский надзор за проведением этих работ.</w:t>
      </w:r>
    </w:p>
    <w:p w14:paraId="2FFA40EC" w14:textId="77777777" w:rsidR="00171AA8" w:rsidRPr="00731FE2" w:rsidRDefault="007935AB">
      <w:pPr>
        <w:pBdr>
          <w:top w:val="none" w:sz="4" w:space="0" w:color="000000"/>
          <w:left w:val="none" w:sz="4" w:space="0" w:color="000000"/>
          <w:bottom w:val="none" w:sz="4" w:space="0" w:color="000000"/>
          <w:right w:val="none" w:sz="4" w:space="0" w:color="000000"/>
        </w:pBdr>
        <w:tabs>
          <w:tab w:val="left" w:pos="993"/>
        </w:tabs>
      </w:pPr>
      <w:r w:rsidRPr="00731FE2">
        <w:rPr>
          <w:rFonts w:ascii="Times New Roman" w:eastAsia="Times New Roman" w:hAnsi="Times New Roman" w:cs="Times New Roman"/>
          <w:color w:val="000000"/>
          <w:szCs w:val="24"/>
        </w:rPr>
        <w:t>Порядок проведения работ по сохранению объекта культурного наследия, включенного в реестр, выявленного объекта культурного наследия установлен статьей 45 Федерального закона от 25.06.2002 № 73-ФЗ «Об объектах культурного наследия (памятниках истории и культуры) народов Российской Федерации».</w:t>
      </w:r>
    </w:p>
    <w:p w14:paraId="2E995D20" w14:textId="1F2B828A" w:rsidR="00171AA8" w:rsidRPr="00731FE2" w:rsidRDefault="007935AB">
      <w:pPr>
        <w:pBdr>
          <w:top w:val="none" w:sz="4" w:space="0" w:color="000000"/>
          <w:left w:val="none" w:sz="4" w:space="0" w:color="000000"/>
          <w:bottom w:val="none" w:sz="4" w:space="0" w:color="000000"/>
          <w:right w:val="none" w:sz="4" w:space="0" w:color="000000"/>
        </w:pBdr>
        <w:tabs>
          <w:tab w:val="left" w:pos="993"/>
        </w:tabs>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Порядок проведения работ по сохранению объектов археологического наследия, выдачи разрешений на проведение указанных работ, устанавливается статьей 45.1 Федерального закона от 25.06.2002 № 73-ФЗ «Об объектах культурного наследия (памятниках истории и культуры) народов Российской Федерации».</w:t>
      </w:r>
    </w:p>
    <w:p w14:paraId="3C48A7E6" w14:textId="4A5DE876" w:rsidR="004D7C1B" w:rsidRPr="00731FE2" w:rsidRDefault="004D7C1B">
      <w:pPr>
        <w:pBdr>
          <w:top w:val="none" w:sz="4" w:space="0" w:color="000000"/>
          <w:left w:val="none" w:sz="4" w:space="0" w:color="000000"/>
          <w:bottom w:val="none" w:sz="4" w:space="0" w:color="000000"/>
          <w:right w:val="none" w:sz="4" w:space="0" w:color="000000"/>
        </w:pBdr>
        <w:tabs>
          <w:tab w:val="left" w:pos="993"/>
        </w:tabs>
      </w:pPr>
      <w:r w:rsidRPr="00731FE2">
        <w:rPr>
          <w:rFonts w:ascii="Times New Roman" w:eastAsia="Times New Roman" w:hAnsi="Times New Roman" w:cs="Times New Roman"/>
          <w:color w:val="000000"/>
          <w:szCs w:val="24"/>
        </w:rPr>
        <w:lastRenderedPageBreak/>
        <w:t>В случае невозможности обеспечить физическую сохранность объекта археологического наследия под сохранением этого объекта археологического наследия понимаются спасательные археологические полевые работы, проводимые в порядке, определенном Федеральным законом.</w:t>
      </w:r>
    </w:p>
    <w:p w14:paraId="4C9661BA" w14:textId="633BA772" w:rsidR="00171AA8" w:rsidRPr="00731FE2" w:rsidRDefault="007935AB">
      <w:pPr>
        <w:pBdr>
          <w:top w:val="none" w:sz="4" w:space="0" w:color="000000"/>
          <w:left w:val="none" w:sz="4" w:space="0" w:color="000000"/>
          <w:bottom w:val="none" w:sz="4" w:space="0" w:color="000000"/>
          <w:right w:val="none" w:sz="4" w:space="0" w:color="000000"/>
        </w:pBdr>
        <w:tabs>
          <w:tab w:val="left" w:pos="993"/>
        </w:tabs>
      </w:pPr>
      <w:r w:rsidRPr="00731FE2">
        <w:rPr>
          <w:rFonts w:ascii="Times New Roman" w:eastAsia="Times New Roman" w:hAnsi="Times New Roman" w:cs="Times New Roman"/>
          <w:color w:val="000000"/>
          <w:szCs w:val="24"/>
        </w:rPr>
        <w:t xml:space="preserve">Территорией объекта культурного наследия является территория, непосредственно занятая данным объектом культурного наследия и (или) связанная с ним исторически и функционально, являющаяся его неотъемлемой частью. Границы территории объекта культурного наследия, за исключением границ территории объекта археологического наследия, определяются проектом границ территории объекта культурного наследия. </w:t>
      </w:r>
    </w:p>
    <w:p w14:paraId="402FF2E3" w14:textId="0293ACEA" w:rsidR="00171AA8" w:rsidRPr="00731FE2" w:rsidRDefault="007935AB">
      <w:pPr>
        <w:pBdr>
          <w:top w:val="none" w:sz="4" w:space="0" w:color="000000"/>
          <w:left w:val="none" w:sz="4" w:space="0" w:color="000000"/>
          <w:bottom w:val="none" w:sz="4" w:space="0" w:color="000000"/>
          <w:right w:val="none" w:sz="4" w:space="0" w:color="000000"/>
        </w:pBdr>
        <w:tabs>
          <w:tab w:val="left" w:pos="993"/>
        </w:tabs>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Границы территории объекта археологического наследия определяются на основании археологических полевых работ.</w:t>
      </w:r>
    </w:p>
    <w:p w14:paraId="238ADC44" w14:textId="58F5CB2E" w:rsidR="004D7C1B" w:rsidRPr="00731FE2" w:rsidRDefault="004D7C1B" w:rsidP="004D7C1B">
      <w:pPr>
        <w:pBdr>
          <w:top w:val="none" w:sz="4" w:space="0" w:color="000000"/>
          <w:left w:val="none" w:sz="4" w:space="0" w:color="000000"/>
          <w:bottom w:val="none" w:sz="4" w:space="0" w:color="000000"/>
          <w:right w:val="none" w:sz="4" w:space="0" w:color="000000"/>
        </w:pBdr>
        <w:tabs>
          <w:tab w:val="left" w:pos="993"/>
        </w:tabs>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Федеральным законом от 25.06.2002 № 73-ФЗ «Об объектах культурного наследия (памятниках истории и культуры) народов Российской Федерации» установлены специальные требования, действующие в границе территории объекта культурного наследия, направленные на сохранение объекта культурного наследия, сохранение историко-градостроительной или природной среды объекта культурного наследия».</w:t>
      </w:r>
    </w:p>
    <w:p w14:paraId="0A85D1E6" w14:textId="765D4114" w:rsidR="00171AA8" w:rsidRPr="00731FE2" w:rsidRDefault="007935AB">
      <w:pPr>
        <w:pBdr>
          <w:top w:val="none" w:sz="4" w:space="0" w:color="000000"/>
          <w:left w:val="none" w:sz="4" w:space="0" w:color="000000"/>
          <w:bottom w:val="none" w:sz="4" w:space="0" w:color="000000"/>
          <w:right w:val="none" w:sz="4" w:space="0" w:color="000000"/>
        </w:pBdr>
        <w:tabs>
          <w:tab w:val="left" w:pos="993"/>
        </w:tabs>
      </w:pPr>
      <w:r w:rsidRPr="00731FE2">
        <w:rPr>
          <w:rFonts w:ascii="Times New Roman" w:eastAsia="Times New Roman" w:hAnsi="Times New Roman" w:cs="Times New Roman"/>
          <w:color w:val="000000"/>
          <w:szCs w:val="24"/>
        </w:rPr>
        <w:t xml:space="preserve">Требования к составлению </w:t>
      </w:r>
      <w:proofErr w:type="gramStart"/>
      <w:r w:rsidRPr="00731FE2">
        <w:rPr>
          <w:rFonts w:ascii="Times New Roman" w:eastAsia="Times New Roman" w:hAnsi="Times New Roman" w:cs="Times New Roman"/>
          <w:color w:val="000000"/>
          <w:szCs w:val="24"/>
        </w:rPr>
        <w:t>проектов границ территорий объектов культурного наследия</w:t>
      </w:r>
      <w:proofErr w:type="gramEnd"/>
      <w:r w:rsidRPr="00731FE2">
        <w:rPr>
          <w:rFonts w:ascii="Times New Roman" w:eastAsia="Times New Roman" w:hAnsi="Times New Roman" w:cs="Times New Roman"/>
          <w:color w:val="000000"/>
          <w:szCs w:val="24"/>
        </w:rPr>
        <w:t xml:space="preserve"> устанавливаются федеральным органом исполнительной власти, уполномоченным Правительством Российской Федерации в области сохранения, использования, популяризации и государственной охраны объектов культурного наследия.</w:t>
      </w:r>
    </w:p>
    <w:p w14:paraId="4AD21974" w14:textId="185F2070" w:rsidR="00171AA8" w:rsidRPr="00731FE2" w:rsidRDefault="007935AB">
      <w:pPr>
        <w:pBdr>
          <w:top w:val="none" w:sz="4" w:space="0" w:color="000000"/>
          <w:left w:val="none" w:sz="4" w:space="0" w:color="000000"/>
          <w:bottom w:val="none" w:sz="4" w:space="0" w:color="000000"/>
          <w:right w:val="none" w:sz="4" w:space="0" w:color="000000"/>
        </w:pBdr>
        <w:tabs>
          <w:tab w:val="left" w:pos="993"/>
        </w:tabs>
      </w:pPr>
      <w:r w:rsidRPr="00731FE2">
        <w:rPr>
          <w:rFonts w:ascii="Times New Roman" w:eastAsia="Times New Roman" w:hAnsi="Times New Roman" w:cs="Times New Roman"/>
          <w:color w:val="000000"/>
          <w:szCs w:val="24"/>
        </w:rPr>
        <w:t>Земельные участки в границах территорий объектов культурного наследия,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выявленных объектов культурного наследия относятся к землям историко-культурного назначения, правовой режим которых регулируется земельным законодательством Российской Федерации и настоящим Федеральным законом.</w:t>
      </w:r>
    </w:p>
    <w:p w14:paraId="79275A1E" w14:textId="16A8D915" w:rsidR="00171AA8" w:rsidRPr="00731FE2" w:rsidRDefault="007935AB">
      <w:pPr>
        <w:pBdr>
          <w:top w:val="none" w:sz="4" w:space="0" w:color="000000"/>
          <w:left w:val="none" w:sz="4" w:space="0" w:color="000000"/>
          <w:bottom w:val="none" w:sz="4" w:space="0" w:color="000000"/>
          <w:right w:val="none" w:sz="4" w:space="0" w:color="000000"/>
        </w:pBdr>
        <w:tabs>
          <w:tab w:val="left" w:pos="993"/>
        </w:tabs>
      </w:pPr>
      <w:r w:rsidRPr="00731FE2">
        <w:rPr>
          <w:rFonts w:ascii="Times New Roman" w:eastAsia="Times New Roman" w:hAnsi="Times New Roman" w:cs="Times New Roman"/>
          <w:color w:val="000000"/>
          <w:szCs w:val="24"/>
        </w:rPr>
        <w:t>Выявленный объект культурного наследия подлежит государственной охране в соответствии с Федеральным законом от 25.06.2002 г. № 73-ФЗ «Об объектах культурного наследия (памятников истории и культуры) народов Российской Федерации» до принятия решения о включении его в реестр, либо об отказе во включении его в реестр.</w:t>
      </w:r>
    </w:p>
    <w:p w14:paraId="75B92F13" w14:textId="25348372" w:rsidR="00171AA8" w:rsidRPr="00731FE2" w:rsidRDefault="007935AB">
      <w:pPr>
        <w:pBdr>
          <w:top w:val="none" w:sz="4" w:space="0" w:color="000000"/>
          <w:left w:val="none" w:sz="4" w:space="0" w:color="000000"/>
          <w:bottom w:val="none" w:sz="4" w:space="0" w:color="000000"/>
          <w:right w:val="none" w:sz="4" w:space="0" w:color="000000"/>
        </w:pBdr>
        <w:tabs>
          <w:tab w:val="left" w:pos="993"/>
        </w:tabs>
      </w:pPr>
      <w:r w:rsidRPr="00731FE2">
        <w:rPr>
          <w:rFonts w:ascii="Times New Roman" w:eastAsia="Times New Roman" w:hAnsi="Times New Roman" w:cs="Times New Roman"/>
          <w:color w:val="000000"/>
          <w:szCs w:val="24"/>
        </w:rPr>
        <w:t>Собственник или иной законный владелец выявленного объекта культурного наследия обязан выполнять определенные пунктами 1-3 статьи 47.3 Федеральным законом от 25.06.2002 г. № 73-ФЗ «Об объектах культурного наследия (памятников истории и культуры) народов Российской Федерации» требования к содержанию и использованию выявленного объекта культурного наследия.</w:t>
      </w:r>
    </w:p>
    <w:p w14:paraId="5C4FE79C" w14:textId="77777777" w:rsidR="00171AA8" w:rsidRPr="00731FE2" w:rsidRDefault="007935AB">
      <w:pPr>
        <w:pBdr>
          <w:top w:val="none" w:sz="4" w:space="0" w:color="000000"/>
          <w:left w:val="none" w:sz="4" w:space="0" w:color="000000"/>
          <w:bottom w:val="none" w:sz="4" w:space="0" w:color="000000"/>
          <w:right w:val="none" w:sz="4" w:space="0" w:color="000000"/>
        </w:pBdr>
        <w:tabs>
          <w:tab w:val="left" w:pos="993"/>
        </w:tabs>
      </w:pPr>
      <w:r w:rsidRPr="00731FE2">
        <w:rPr>
          <w:rFonts w:ascii="Times New Roman" w:eastAsia="Times New Roman" w:hAnsi="Times New Roman" w:cs="Times New Roman"/>
          <w:color w:val="000000"/>
          <w:szCs w:val="24"/>
        </w:rPr>
        <w:t xml:space="preserve">Снос выявленного объекта культурного наследия, объекта культурного наследия, включенного в реестр, запрещен. </w:t>
      </w:r>
    </w:p>
    <w:p w14:paraId="00752152" w14:textId="1C799346" w:rsidR="00171AA8" w:rsidRPr="00731FE2" w:rsidRDefault="007935AB">
      <w:pPr>
        <w:pBdr>
          <w:top w:val="none" w:sz="4" w:space="0" w:color="000000"/>
          <w:left w:val="none" w:sz="4" w:space="0" w:color="000000"/>
          <w:bottom w:val="none" w:sz="4" w:space="0" w:color="000000"/>
          <w:right w:val="none" w:sz="4" w:space="0" w:color="000000"/>
        </w:pBdr>
        <w:tabs>
          <w:tab w:val="left" w:pos="993"/>
        </w:tabs>
      </w:pPr>
      <w:r w:rsidRPr="00731FE2">
        <w:rPr>
          <w:rFonts w:ascii="Times New Roman" w:eastAsia="Times New Roman" w:hAnsi="Times New Roman" w:cs="Times New Roman"/>
          <w:color w:val="000000"/>
          <w:szCs w:val="24"/>
        </w:rPr>
        <w:t>Отношения в области сохранения, использования, популяризации и охраны объектов культурного наследия на территории городского округа города-курорта Кисловодска регулируются:</w:t>
      </w:r>
    </w:p>
    <w:p w14:paraId="288BEB81" w14:textId="77777777" w:rsidR="00171AA8" w:rsidRPr="00731FE2" w:rsidRDefault="007935AB">
      <w:pPr>
        <w:pBdr>
          <w:top w:val="none" w:sz="4" w:space="0" w:color="000000"/>
          <w:left w:val="none" w:sz="4" w:space="0" w:color="000000"/>
          <w:bottom w:val="none" w:sz="4" w:space="0" w:color="000000"/>
          <w:right w:val="none" w:sz="4" w:space="0" w:color="000000"/>
        </w:pBdr>
        <w:tabs>
          <w:tab w:val="left" w:pos="993"/>
        </w:tabs>
      </w:pPr>
      <w:r w:rsidRPr="00731FE2">
        <w:rPr>
          <w:rFonts w:ascii="Times New Roman" w:eastAsia="Times New Roman" w:hAnsi="Times New Roman" w:cs="Times New Roman"/>
          <w:color w:val="000000"/>
          <w:szCs w:val="24"/>
        </w:rPr>
        <w:t>1.</w:t>
      </w:r>
      <w:r w:rsidRPr="00731FE2">
        <w:rPr>
          <w:rFonts w:ascii="Times New Roman" w:eastAsia="Times New Roman" w:hAnsi="Times New Roman" w:cs="Times New Roman"/>
          <w:color w:val="000000"/>
          <w:szCs w:val="24"/>
        </w:rPr>
        <w:tab/>
        <w:t>Федеральным законом от 25.06.2002 г. № 73-ФЗ «Об объектах культурного наследия (памятников истории и культуры) народов Российской Федерации».</w:t>
      </w:r>
    </w:p>
    <w:p w14:paraId="1AD68DDB" w14:textId="77777777" w:rsidR="00171AA8" w:rsidRPr="00731FE2" w:rsidRDefault="007935AB">
      <w:pPr>
        <w:pBdr>
          <w:top w:val="none" w:sz="4" w:space="0" w:color="000000"/>
          <w:left w:val="none" w:sz="4" w:space="0" w:color="000000"/>
          <w:bottom w:val="none" w:sz="4" w:space="0" w:color="000000"/>
          <w:right w:val="none" w:sz="4" w:space="0" w:color="000000"/>
        </w:pBdr>
        <w:tabs>
          <w:tab w:val="left" w:pos="993"/>
        </w:tabs>
      </w:pPr>
      <w:r w:rsidRPr="00731FE2">
        <w:rPr>
          <w:rFonts w:ascii="Times New Roman" w:eastAsia="Times New Roman" w:hAnsi="Times New Roman" w:cs="Times New Roman"/>
          <w:color w:val="000000"/>
          <w:szCs w:val="24"/>
        </w:rPr>
        <w:lastRenderedPageBreak/>
        <w:t>2.</w:t>
      </w:r>
      <w:r w:rsidRPr="00731FE2">
        <w:rPr>
          <w:rFonts w:ascii="Times New Roman" w:eastAsia="Times New Roman" w:hAnsi="Times New Roman" w:cs="Times New Roman"/>
          <w:color w:val="000000"/>
          <w:szCs w:val="24"/>
        </w:rPr>
        <w:tab/>
        <w:t xml:space="preserve">Приказом Министерства культуры Российской Федерации № 1745 от 04.06.2015 г. «Об утверждении требований к составлению </w:t>
      </w:r>
      <w:proofErr w:type="gramStart"/>
      <w:r w:rsidRPr="00731FE2">
        <w:rPr>
          <w:rFonts w:ascii="Times New Roman" w:eastAsia="Times New Roman" w:hAnsi="Times New Roman" w:cs="Times New Roman"/>
          <w:color w:val="000000"/>
          <w:szCs w:val="24"/>
        </w:rPr>
        <w:t>проектов границ территорий объектов культурного наследия</w:t>
      </w:r>
      <w:proofErr w:type="gramEnd"/>
      <w:r w:rsidRPr="00731FE2">
        <w:rPr>
          <w:rFonts w:ascii="Times New Roman" w:eastAsia="Times New Roman" w:hAnsi="Times New Roman" w:cs="Times New Roman"/>
          <w:color w:val="000000"/>
          <w:szCs w:val="24"/>
        </w:rPr>
        <w:t>».</w:t>
      </w:r>
    </w:p>
    <w:p w14:paraId="340CCF4E" w14:textId="77777777" w:rsidR="00171AA8" w:rsidRPr="00731FE2" w:rsidRDefault="007935AB">
      <w:pPr>
        <w:pBdr>
          <w:top w:val="none" w:sz="4" w:space="0" w:color="000000"/>
          <w:left w:val="none" w:sz="4" w:space="0" w:color="000000"/>
          <w:bottom w:val="none" w:sz="4" w:space="0" w:color="000000"/>
          <w:right w:val="none" w:sz="4" w:space="0" w:color="000000"/>
        </w:pBdr>
        <w:tabs>
          <w:tab w:val="left" w:pos="993"/>
        </w:tabs>
      </w:pPr>
      <w:r w:rsidRPr="00731FE2">
        <w:rPr>
          <w:rFonts w:ascii="Times New Roman" w:eastAsia="Times New Roman" w:hAnsi="Times New Roman" w:cs="Times New Roman"/>
          <w:color w:val="000000"/>
          <w:szCs w:val="24"/>
        </w:rPr>
        <w:t>3.</w:t>
      </w:r>
      <w:r w:rsidRPr="00731FE2">
        <w:rPr>
          <w:rFonts w:ascii="Times New Roman" w:eastAsia="Times New Roman" w:hAnsi="Times New Roman" w:cs="Times New Roman"/>
          <w:color w:val="000000"/>
          <w:szCs w:val="24"/>
        </w:rPr>
        <w:tab/>
        <w:t>Законом Ставропольского края от 16.03.2006 г. № 14-кз «Об объектах культурного наследия (памятников истории и культуры) народов Российской Федерации в Ставропольском крае».</w:t>
      </w:r>
    </w:p>
    <w:p w14:paraId="6A79C321" w14:textId="31DF12C2" w:rsidR="00171AA8" w:rsidRPr="00731FE2" w:rsidRDefault="007935AB">
      <w:pPr>
        <w:pBdr>
          <w:top w:val="none" w:sz="4" w:space="0" w:color="000000"/>
          <w:left w:val="none" w:sz="4" w:space="0" w:color="000000"/>
          <w:bottom w:val="none" w:sz="4" w:space="0" w:color="000000"/>
          <w:right w:val="none" w:sz="4" w:space="0" w:color="000000"/>
        </w:pBdr>
        <w:tabs>
          <w:tab w:val="left" w:pos="993"/>
        </w:tabs>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4.</w:t>
      </w:r>
      <w:r w:rsidRPr="00731FE2">
        <w:rPr>
          <w:rFonts w:ascii="Times New Roman" w:eastAsia="Times New Roman" w:hAnsi="Times New Roman" w:cs="Times New Roman"/>
          <w:color w:val="000000"/>
          <w:szCs w:val="24"/>
        </w:rPr>
        <w:tab/>
        <w:t>Постановлением Правительства РФ от 12.09.2015 № 972 «Об утверждении Положения о зонах охраны объектов культурного наследия (памятников истории и культуры) народов Российской Федерации и о признании утратившими силу отдельных положений нормативных правовых актов Правительства Российской Федерации»; Постановление Правительства РФ от 15.07.2009 № 569 «Об утверждении Положения о государственной историко-культурной экспертизе.</w:t>
      </w:r>
    </w:p>
    <w:p w14:paraId="55DF62FC" w14:textId="7DBC948A" w:rsidR="00BD6F4A" w:rsidRPr="00731FE2" w:rsidRDefault="00BD6F4A" w:rsidP="00BD6F4A">
      <w:pPr>
        <w:pBdr>
          <w:top w:val="none" w:sz="4" w:space="0" w:color="000000"/>
          <w:left w:val="none" w:sz="4" w:space="0" w:color="000000"/>
          <w:bottom w:val="none" w:sz="4" w:space="0" w:color="000000"/>
          <w:right w:val="none" w:sz="4" w:space="0" w:color="000000"/>
        </w:pBdr>
        <w:tabs>
          <w:tab w:val="left" w:pos="993"/>
        </w:tabs>
      </w:pPr>
      <w:r w:rsidRPr="00731FE2">
        <w:rPr>
          <w:rFonts w:ascii="Times New Roman" w:eastAsia="Times New Roman" w:hAnsi="Times New Roman" w:cs="Times New Roman"/>
          <w:color w:val="000000"/>
          <w:szCs w:val="24"/>
        </w:rPr>
        <w:t xml:space="preserve">5. </w:t>
      </w:r>
      <w:proofErr w:type="gramStart"/>
      <w:r w:rsidRPr="00731FE2">
        <w:rPr>
          <w:rFonts w:ascii="Times New Roman" w:eastAsia="Times New Roman" w:hAnsi="Times New Roman" w:cs="Times New Roman"/>
          <w:color w:val="000000"/>
          <w:szCs w:val="24"/>
        </w:rPr>
        <w:t>Постановлением Правительства Российской Федерации от 30.12.2023 № 2418 «Об особенностях порядка определения наличия или отсутствия объектов, обладающих признаками объекта археологического наследия, на территориях, подлежащих воздействию изыскательских, земляных, строительных, мелиоративных, хозяйственных работ, указанных в статье 30 Федерального закона «Об объектах культурного наследия (памятниках истории и культуры) народов Российской Федерации» работ по использованию лесов и иных работ».</w:t>
      </w:r>
      <w:proofErr w:type="gramEnd"/>
    </w:p>
    <w:p w14:paraId="5C3FBEBD" w14:textId="2F276067" w:rsidR="00171AA8" w:rsidRPr="00731FE2" w:rsidRDefault="007935AB">
      <w:pPr>
        <w:pBdr>
          <w:top w:val="none" w:sz="4" w:space="0" w:color="000000"/>
          <w:left w:val="none" w:sz="4" w:space="0" w:color="000000"/>
          <w:bottom w:val="none" w:sz="4" w:space="0" w:color="000000"/>
          <w:right w:val="none" w:sz="4" w:space="0" w:color="000000"/>
        </w:pBdr>
        <w:tabs>
          <w:tab w:val="left" w:pos="993"/>
        </w:tabs>
      </w:pPr>
      <w:r w:rsidRPr="00731FE2">
        <w:rPr>
          <w:rFonts w:ascii="Times New Roman" w:eastAsia="Times New Roman" w:hAnsi="Times New Roman" w:cs="Times New Roman"/>
          <w:color w:val="000000"/>
          <w:szCs w:val="24"/>
        </w:rPr>
        <w:t>Список объектов культурного наследия, расположенных на территории городского округа города-курорта Кисловодска представлен в Приложениях к Материалам по обоснованию настоящего генерального плана городского округа города-курорта Кисловодска.</w:t>
      </w:r>
    </w:p>
    <w:p w14:paraId="1485307B" w14:textId="77777777" w:rsidR="00171AA8" w:rsidRPr="00731FE2" w:rsidRDefault="007935AB">
      <w:pPr>
        <w:pBdr>
          <w:top w:val="none" w:sz="4" w:space="0" w:color="000000"/>
          <w:left w:val="none" w:sz="4" w:space="0" w:color="000000"/>
          <w:bottom w:val="none" w:sz="4" w:space="0" w:color="000000"/>
          <w:right w:val="none" w:sz="4" w:space="0" w:color="000000"/>
        </w:pBdr>
        <w:tabs>
          <w:tab w:val="left" w:pos="993"/>
        </w:tabs>
      </w:pPr>
      <w:r w:rsidRPr="00731FE2">
        <w:rPr>
          <w:rFonts w:ascii="Times New Roman" w:eastAsia="Times New Roman" w:hAnsi="Times New Roman" w:cs="Times New Roman"/>
          <w:color w:val="000000"/>
          <w:szCs w:val="24"/>
        </w:rPr>
        <w:t>Объекты культурного наследия, расположенные на территории городского округа города-курорта Кисловодска, отображены в картографических материалах настоящего проекта генерального плана.</w:t>
      </w:r>
    </w:p>
    <w:p w14:paraId="54A18DAA" w14:textId="77777777" w:rsidR="00171AA8" w:rsidRPr="00731FE2" w:rsidRDefault="007935AB">
      <w:pPr>
        <w:pBdr>
          <w:top w:val="none" w:sz="4" w:space="0" w:color="000000"/>
          <w:left w:val="none" w:sz="4" w:space="0" w:color="000000"/>
          <w:bottom w:val="none" w:sz="4" w:space="0" w:color="000000"/>
          <w:right w:val="none" w:sz="4" w:space="0" w:color="000000"/>
        </w:pBdr>
        <w:tabs>
          <w:tab w:val="left" w:pos="993"/>
        </w:tabs>
      </w:pPr>
      <w:r w:rsidRPr="00731FE2">
        <w:rPr>
          <w:rFonts w:ascii="Times New Roman" w:eastAsia="Times New Roman" w:hAnsi="Times New Roman" w:cs="Times New Roman"/>
          <w:color w:val="000000"/>
          <w:szCs w:val="24"/>
        </w:rPr>
        <w:t xml:space="preserve">Сохранение историко-культурного наследия на проектируемой территории является одним из условий, обуславливающих достойную перспективу ее развития. </w:t>
      </w:r>
    </w:p>
    <w:p w14:paraId="54C48853" w14:textId="5AA24CD3" w:rsidR="00171AA8" w:rsidRPr="00731FE2" w:rsidRDefault="007935AB">
      <w:pPr>
        <w:pBdr>
          <w:top w:val="none" w:sz="4" w:space="0" w:color="000000"/>
          <w:left w:val="none" w:sz="4" w:space="0" w:color="000000"/>
          <w:bottom w:val="none" w:sz="4" w:space="0" w:color="000000"/>
          <w:right w:val="none" w:sz="4" w:space="0" w:color="000000"/>
        </w:pBdr>
        <w:tabs>
          <w:tab w:val="left" w:pos="993"/>
        </w:tabs>
      </w:pPr>
      <w:proofErr w:type="gramStart"/>
      <w:r w:rsidRPr="00731FE2">
        <w:rPr>
          <w:rFonts w:ascii="Times New Roman" w:eastAsia="Times New Roman" w:hAnsi="Times New Roman" w:cs="Times New Roman"/>
          <w:color w:val="000000"/>
          <w:szCs w:val="24"/>
        </w:rPr>
        <w:t>В соответствии с Федеральным законом от 25.06.2002 № 73-ФЗ «Об объектах культурного наследия (памятниках истории и культуры) народов Российской Федерации» в целях обеспечения сохранности объекта культурного наследия в его исторической среде на сопряженной с ним территории устанавливаются зоны охраны объекта культурного наследия: охранная зона, зона регулирования застройки и хозяйственной деятельности, зона охраняемого природного ландшафта.</w:t>
      </w:r>
      <w:proofErr w:type="gramEnd"/>
    </w:p>
    <w:p w14:paraId="12AEC2A1" w14:textId="77777777" w:rsidR="00171AA8" w:rsidRPr="00731FE2" w:rsidRDefault="007935AB">
      <w:pPr>
        <w:pBdr>
          <w:top w:val="none" w:sz="4" w:space="0" w:color="000000"/>
          <w:left w:val="none" w:sz="4" w:space="0" w:color="000000"/>
          <w:bottom w:val="none" w:sz="4" w:space="0" w:color="000000"/>
          <w:right w:val="none" w:sz="4" w:space="0" w:color="000000"/>
        </w:pBdr>
        <w:tabs>
          <w:tab w:val="left" w:pos="993"/>
        </w:tabs>
      </w:pPr>
      <w:r w:rsidRPr="00731FE2">
        <w:rPr>
          <w:rFonts w:ascii="Times New Roman" w:eastAsia="Times New Roman" w:hAnsi="Times New Roman" w:cs="Times New Roman"/>
          <w:color w:val="000000"/>
          <w:szCs w:val="24"/>
        </w:rPr>
        <w:t>Необходимый состав зон охраны объекта культурного наследия определяется проектом зон охраны объекта культурного наследия.</w:t>
      </w:r>
    </w:p>
    <w:p w14:paraId="556D523C" w14:textId="77777777" w:rsidR="00171AA8" w:rsidRPr="00731FE2" w:rsidRDefault="007935AB">
      <w:pPr>
        <w:pBdr>
          <w:top w:val="none" w:sz="4" w:space="0" w:color="000000"/>
          <w:left w:val="none" w:sz="4" w:space="0" w:color="000000"/>
          <w:bottom w:val="none" w:sz="4" w:space="0" w:color="000000"/>
          <w:right w:val="none" w:sz="4" w:space="0" w:color="000000"/>
        </w:pBdr>
        <w:tabs>
          <w:tab w:val="left" w:pos="993"/>
        </w:tabs>
      </w:pPr>
      <w:proofErr w:type="gramStart"/>
      <w:r w:rsidRPr="00731FE2">
        <w:rPr>
          <w:rFonts w:ascii="Times New Roman" w:eastAsia="Times New Roman" w:hAnsi="Times New Roman" w:cs="Times New Roman"/>
          <w:color w:val="000000"/>
          <w:szCs w:val="24"/>
        </w:rPr>
        <w:t>Границы зон охраны объекта культурного наследия регионального значения, в том числе границы объединенной зоны охраны объектов культурного наследия, особые режимы использования земель в границах территорий данных зон и требования к градостроительным регламентам в границах территорий данных зон утверждаются на основании проекта зон охраны объекта культурного наследия, согласованного с уполномоченным органом, и положительного заключения государственной историко-культурной экспертизы.</w:t>
      </w:r>
      <w:proofErr w:type="gramEnd"/>
    </w:p>
    <w:p w14:paraId="5DF8A707" w14:textId="47780B37" w:rsidR="00171AA8" w:rsidRPr="00731FE2" w:rsidRDefault="007935AB">
      <w:pPr>
        <w:pBdr>
          <w:top w:val="none" w:sz="4" w:space="0" w:color="000000"/>
          <w:left w:val="none" w:sz="4" w:space="0" w:color="000000"/>
          <w:bottom w:val="none" w:sz="4" w:space="0" w:color="000000"/>
          <w:right w:val="none" w:sz="4" w:space="0" w:color="000000"/>
        </w:pBdr>
        <w:tabs>
          <w:tab w:val="left" w:pos="993"/>
        </w:tabs>
      </w:pPr>
      <w:proofErr w:type="gramStart"/>
      <w:r w:rsidRPr="00731FE2">
        <w:rPr>
          <w:rFonts w:ascii="Times New Roman" w:eastAsia="Times New Roman" w:hAnsi="Times New Roman" w:cs="Times New Roman"/>
          <w:color w:val="000000"/>
          <w:szCs w:val="24"/>
        </w:rPr>
        <w:t xml:space="preserve">Порядок разработки, согласования и утверждения проекта зон охраны объектов культурного наследия (памятников истории и культуры) народов Российской Федерации, </w:t>
      </w:r>
      <w:r w:rsidRPr="00731FE2">
        <w:rPr>
          <w:rFonts w:ascii="Times New Roman" w:eastAsia="Times New Roman" w:hAnsi="Times New Roman" w:cs="Times New Roman"/>
          <w:color w:val="000000"/>
          <w:szCs w:val="24"/>
        </w:rPr>
        <w:lastRenderedPageBreak/>
        <w:t>проекта объединенной зоны охраны объектов культурного наследия, требования к режимам использования земель и общие принципы установления требований к градостроительным регламентам в границах территорий указанных зон установлен в соответствии с «Положением о зонах охраны объектов культурного наследия (памятников истории и культуры) народов Российской</w:t>
      </w:r>
      <w:proofErr w:type="gramEnd"/>
      <w:r w:rsidRPr="00731FE2">
        <w:rPr>
          <w:rFonts w:ascii="Times New Roman" w:eastAsia="Times New Roman" w:hAnsi="Times New Roman" w:cs="Times New Roman"/>
          <w:color w:val="000000"/>
          <w:szCs w:val="24"/>
        </w:rPr>
        <w:t xml:space="preserve"> Федерации».</w:t>
      </w:r>
    </w:p>
    <w:p w14:paraId="272CB294" w14:textId="070F3769" w:rsidR="00171AA8" w:rsidRPr="00731FE2" w:rsidRDefault="00C53CC4" w:rsidP="00C53CC4">
      <w:pPr>
        <w:pBdr>
          <w:top w:val="none" w:sz="4" w:space="0" w:color="000000"/>
          <w:left w:val="none" w:sz="4" w:space="0" w:color="000000"/>
          <w:bottom w:val="none" w:sz="4" w:space="0" w:color="000000"/>
          <w:right w:val="none" w:sz="4" w:space="0" w:color="000000"/>
        </w:pBdr>
        <w:tabs>
          <w:tab w:val="left" w:pos="993"/>
        </w:tabs>
      </w:pPr>
      <w:r w:rsidRPr="00731FE2">
        <w:rPr>
          <w:rFonts w:ascii="Times New Roman" w:eastAsia="Times New Roman" w:hAnsi="Times New Roman" w:cs="Times New Roman"/>
          <w:color w:val="000000"/>
          <w:szCs w:val="24"/>
        </w:rPr>
        <w:t xml:space="preserve">Соблюдение режимов использования земель и градостроительных регламентов в границах зон охраны объектов культурного наследия является обязательным при осуществлении градостроительной, хозяйственной и иной деятельности. Отклонение от установленных в границах </w:t>
      </w:r>
      <w:proofErr w:type="gramStart"/>
      <w:r w:rsidRPr="00731FE2">
        <w:rPr>
          <w:rFonts w:ascii="Times New Roman" w:eastAsia="Times New Roman" w:hAnsi="Times New Roman" w:cs="Times New Roman"/>
          <w:color w:val="000000"/>
          <w:szCs w:val="24"/>
        </w:rPr>
        <w:t>зон охраны объектов культурного наследия режимов использования земель</w:t>
      </w:r>
      <w:proofErr w:type="gramEnd"/>
      <w:r w:rsidRPr="00731FE2">
        <w:rPr>
          <w:rFonts w:ascii="Times New Roman" w:eastAsia="Times New Roman" w:hAnsi="Times New Roman" w:cs="Times New Roman"/>
          <w:color w:val="000000"/>
          <w:szCs w:val="24"/>
        </w:rPr>
        <w:t xml:space="preserve"> и градостроительных регламентов не допускается</w:t>
      </w:r>
      <w:r w:rsidR="007935AB" w:rsidRPr="00731FE2">
        <w:rPr>
          <w:rFonts w:ascii="Times New Roman" w:eastAsia="Times New Roman" w:hAnsi="Times New Roman" w:cs="Times New Roman"/>
          <w:color w:val="000000"/>
          <w:szCs w:val="24"/>
        </w:rPr>
        <w:t>.</w:t>
      </w:r>
    </w:p>
    <w:p w14:paraId="78CB94FB" w14:textId="69041D5F" w:rsidR="00171AA8" w:rsidRPr="00731FE2" w:rsidRDefault="007935AB" w:rsidP="003022EB">
      <w:pPr>
        <w:pBdr>
          <w:top w:val="none" w:sz="4" w:space="0" w:color="000000"/>
          <w:left w:val="none" w:sz="4" w:space="0" w:color="000000"/>
          <w:bottom w:val="none" w:sz="4" w:space="0" w:color="000000"/>
          <w:right w:val="none" w:sz="4" w:space="0" w:color="000000"/>
        </w:pBdr>
        <w:tabs>
          <w:tab w:val="left" w:pos="993"/>
        </w:tabs>
      </w:pPr>
      <w:proofErr w:type="gramStart"/>
      <w:r w:rsidRPr="00731FE2">
        <w:rPr>
          <w:rFonts w:ascii="Times New Roman" w:eastAsia="Times New Roman" w:hAnsi="Times New Roman" w:cs="Times New Roman"/>
          <w:color w:val="000000"/>
          <w:szCs w:val="24"/>
        </w:rPr>
        <w:t xml:space="preserve">В соответствии с </w:t>
      </w:r>
      <w:r w:rsidR="003022EB" w:rsidRPr="00731FE2">
        <w:rPr>
          <w:rFonts w:ascii="Times New Roman" w:eastAsia="Times New Roman" w:hAnsi="Times New Roman" w:cs="Times New Roman"/>
          <w:color w:val="000000"/>
          <w:szCs w:val="24"/>
        </w:rPr>
        <w:t>Положением о зонах охраны объектов культурного наследия (памятников</w:t>
      </w:r>
      <w:r w:rsidR="00474476" w:rsidRPr="00731FE2">
        <w:rPr>
          <w:rFonts w:ascii="Times New Roman" w:eastAsia="Times New Roman" w:hAnsi="Times New Roman" w:cs="Times New Roman"/>
          <w:color w:val="000000"/>
          <w:szCs w:val="24"/>
        </w:rPr>
        <w:t xml:space="preserve"> </w:t>
      </w:r>
      <w:r w:rsidR="003022EB" w:rsidRPr="00731FE2">
        <w:rPr>
          <w:rFonts w:ascii="Times New Roman" w:eastAsia="Times New Roman" w:hAnsi="Times New Roman" w:cs="Times New Roman"/>
          <w:color w:val="000000"/>
          <w:szCs w:val="24"/>
        </w:rPr>
        <w:t>истории и культуры) народов Российской Федерации</w:t>
      </w:r>
      <w:r w:rsidRPr="00731FE2">
        <w:rPr>
          <w:rFonts w:ascii="Times New Roman" w:eastAsia="Times New Roman" w:hAnsi="Times New Roman" w:cs="Times New Roman"/>
          <w:color w:val="000000"/>
          <w:szCs w:val="24"/>
        </w:rPr>
        <w:t xml:space="preserve"> разработка проектов зон охраны объектов культурного наследия и проектов объединенной зоны охраны объектов культурного наследия может также осуществляться по инициативе и за счет средств органов местного самоуправления, собственников или пользователей объектов культурного наследия, правообладателей земельных участков, расположенных в границах зон охраны объектов культурного</w:t>
      </w:r>
      <w:proofErr w:type="gramEnd"/>
      <w:r w:rsidRPr="00731FE2">
        <w:rPr>
          <w:rFonts w:ascii="Times New Roman" w:eastAsia="Times New Roman" w:hAnsi="Times New Roman" w:cs="Times New Roman"/>
          <w:color w:val="000000"/>
          <w:szCs w:val="24"/>
        </w:rPr>
        <w:t xml:space="preserve"> наследия.</w:t>
      </w:r>
    </w:p>
    <w:p w14:paraId="351F4A62" w14:textId="77777777" w:rsidR="00171AA8" w:rsidRPr="00731FE2" w:rsidRDefault="007935AB">
      <w:pPr>
        <w:pBdr>
          <w:top w:val="none" w:sz="4" w:space="0" w:color="000000"/>
          <w:left w:val="none" w:sz="4" w:space="0" w:color="000000"/>
          <w:bottom w:val="none" w:sz="4" w:space="0" w:color="000000"/>
          <w:right w:val="none" w:sz="4" w:space="0" w:color="000000"/>
        </w:pBdr>
        <w:tabs>
          <w:tab w:val="left" w:pos="993"/>
        </w:tabs>
      </w:pPr>
      <w:r w:rsidRPr="00731FE2">
        <w:rPr>
          <w:rFonts w:ascii="Times New Roman" w:eastAsia="Times New Roman" w:hAnsi="Times New Roman" w:cs="Times New Roman"/>
          <w:color w:val="000000"/>
          <w:szCs w:val="24"/>
        </w:rPr>
        <w:t xml:space="preserve">Разработку </w:t>
      </w:r>
      <w:proofErr w:type="gramStart"/>
      <w:r w:rsidRPr="00731FE2">
        <w:rPr>
          <w:rFonts w:ascii="Times New Roman" w:eastAsia="Times New Roman" w:hAnsi="Times New Roman" w:cs="Times New Roman"/>
          <w:color w:val="000000"/>
          <w:szCs w:val="24"/>
        </w:rPr>
        <w:t>проектов зон охраны объектов культурного наследия</w:t>
      </w:r>
      <w:proofErr w:type="gramEnd"/>
      <w:r w:rsidRPr="00731FE2">
        <w:rPr>
          <w:rFonts w:ascii="Times New Roman" w:eastAsia="Times New Roman" w:hAnsi="Times New Roman" w:cs="Times New Roman"/>
          <w:color w:val="000000"/>
          <w:szCs w:val="24"/>
        </w:rPr>
        <w:t xml:space="preserve"> и проектов объединенной зоны охраны объектов культурного наследия организуют Министерство культуры Российской Федерации, органы государственной власти субъектов Российской Федерации и органы местного самоуправления.</w:t>
      </w:r>
    </w:p>
    <w:p w14:paraId="0C756C58" w14:textId="1EF7D666" w:rsidR="00171AA8" w:rsidRPr="00731FE2" w:rsidRDefault="007935AB">
      <w:pPr>
        <w:pBdr>
          <w:top w:val="none" w:sz="4" w:space="0" w:color="000000"/>
          <w:left w:val="none" w:sz="4" w:space="0" w:color="000000"/>
          <w:bottom w:val="none" w:sz="4" w:space="0" w:color="000000"/>
          <w:right w:val="none" w:sz="4" w:space="0" w:color="000000"/>
        </w:pBdr>
        <w:tabs>
          <w:tab w:val="left" w:pos="993"/>
        </w:tabs>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 xml:space="preserve">До разработки и утверждения </w:t>
      </w:r>
      <w:proofErr w:type="gramStart"/>
      <w:r w:rsidRPr="00731FE2">
        <w:rPr>
          <w:rFonts w:ascii="Times New Roman" w:eastAsia="Times New Roman" w:hAnsi="Times New Roman" w:cs="Times New Roman"/>
          <w:color w:val="000000"/>
          <w:szCs w:val="24"/>
        </w:rPr>
        <w:t>проектов зон охраны объектов культурного наследия</w:t>
      </w:r>
      <w:proofErr w:type="gramEnd"/>
      <w:r w:rsidRPr="00731FE2">
        <w:rPr>
          <w:rFonts w:ascii="Times New Roman" w:eastAsia="Times New Roman" w:hAnsi="Times New Roman" w:cs="Times New Roman"/>
          <w:color w:val="000000"/>
          <w:szCs w:val="24"/>
        </w:rPr>
        <w:t xml:space="preserve"> действуют защитные зоны.</w:t>
      </w:r>
    </w:p>
    <w:p w14:paraId="097DFF67" w14:textId="0C7AF3B3" w:rsidR="00D542E2" w:rsidRPr="00731FE2" w:rsidRDefault="00D542E2" w:rsidP="00D542E2">
      <w:pPr>
        <w:pBdr>
          <w:top w:val="none" w:sz="4" w:space="0" w:color="000000"/>
          <w:left w:val="none" w:sz="4" w:space="0" w:color="000000"/>
          <w:bottom w:val="none" w:sz="4" w:space="0" w:color="000000"/>
          <w:right w:val="none" w:sz="4" w:space="0" w:color="000000"/>
        </w:pBdr>
        <w:tabs>
          <w:tab w:val="left" w:pos="993"/>
        </w:tabs>
        <w:rPr>
          <w:rFonts w:ascii="Times New Roman" w:eastAsia="Times New Roman" w:hAnsi="Times New Roman" w:cs="Times New Roman"/>
          <w:color w:val="000000"/>
          <w:szCs w:val="24"/>
        </w:rPr>
      </w:pPr>
      <w:proofErr w:type="gramStart"/>
      <w:r w:rsidRPr="00731FE2">
        <w:rPr>
          <w:rFonts w:ascii="Times New Roman" w:eastAsia="Times New Roman" w:hAnsi="Times New Roman" w:cs="Times New Roman"/>
          <w:color w:val="000000"/>
          <w:szCs w:val="24"/>
        </w:rPr>
        <w:t>Согласно Федерального закона от 25.06.2002 № 73-ФЗ «Об объектах культурного наследия (памятниках истории и культуры) народов Российской Федерации» защитными зонами объектов культурного наследия являются территории, которые прилегают к включенным в реестр памятникам и ансамблям и в границах которых в целях обеспечения сохранности объектов культурного наследия и композиционно-видовых связей (панорам) запрещаются строительство объектов капитального строительства и их реконструкция, связанная с изменением их</w:t>
      </w:r>
      <w:proofErr w:type="gramEnd"/>
      <w:r w:rsidRPr="00731FE2">
        <w:rPr>
          <w:rFonts w:ascii="Times New Roman" w:eastAsia="Times New Roman" w:hAnsi="Times New Roman" w:cs="Times New Roman"/>
          <w:color w:val="000000"/>
          <w:szCs w:val="24"/>
        </w:rPr>
        <w:t xml:space="preserve"> параметров (высоты, количества этажей, площади), за исключением строительства и реконструкции линейных объектов.</w:t>
      </w:r>
    </w:p>
    <w:p w14:paraId="0FCA1E2D" w14:textId="0F4E84D3" w:rsidR="00171AA8" w:rsidRPr="00731FE2" w:rsidRDefault="007935AB">
      <w:pPr>
        <w:pBdr>
          <w:top w:val="none" w:sz="4" w:space="0" w:color="000000"/>
          <w:left w:val="none" w:sz="4" w:space="0" w:color="000000"/>
          <w:bottom w:val="none" w:sz="4" w:space="0" w:color="000000"/>
          <w:right w:val="none" w:sz="4" w:space="0" w:color="000000"/>
        </w:pBdr>
        <w:tabs>
          <w:tab w:val="left" w:pos="993"/>
        </w:tabs>
      </w:pPr>
      <w:r w:rsidRPr="00731FE2">
        <w:rPr>
          <w:rFonts w:ascii="Times New Roman" w:eastAsia="Times New Roman" w:hAnsi="Times New Roman" w:cs="Times New Roman"/>
          <w:color w:val="000000"/>
          <w:szCs w:val="24"/>
        </w:rPr>
        <w:t>Границы защитной зоны объекта культурного наследия устанавливаются:</w:t>
      </w:r>
    </w:p>
    <w:p w14:paraId="57F44C49" w14:textId="77777777" w:rsidR="00171AA8" w:rsidRPr="00731FE2" w:rsidRDefault="007935AB">
      <w:pPr>
        <w:pBdr>
          <w:top w:val="none" w:sz="4" w:space="0" w:color="000000"/>
          <w:left w:val="none" w:sz="4" w:space="0" w:color="000000"/>
          <w:bottom w:val="none" w:sz="4" w:space="0" w:color="000000"/>
          <w:right w:val="none" w:sz="4" w:space="0" w:color="000000"/>
        </w:pBdr>
        <w:tabs>
          <w:tab w:val="left" w:pos="993"/>
        </w:tabs>
      </w:pPr>
      <w:r w:rsidRPr="00731FE2">
        <w:rPr>
          <w:rFonts w:ascii="Times New Roman" w:eastAsia="Times New Roman" w:hAnsi="Times New Roman" w:cs="Times New Roman"/>
          <w:color w:val="000000"/>
          <w:szCs w:val="24"/>
        </w:rPr>
        <w:t>1) для памятника, расположенного в границах населенного пункта, на расстоянии 100 метров от внешних границ территории памятника, для памятника, расположенного вне границ населенного пункта, на расстоянии 200 метров от внешних границ территории памятника;</w:t>
      </w:r>
    </w:p>
    <w:p w14:paraId="521F5F3D" w14:textId="77777777" w:rsidR="00171AA8" w:rsidRPr="00731FE2" w:rsidRDefault="007935AB">
      <w:pPr>
        <w:pBdr>
          <w:top w:val="none" w:sz="4" w:space="0" w:color="000000"/>
          <w:left w:val="none" w:sz="4" w:space="0" w:color="000000"/>
          <w:bottom w:val="none" w:sz="4" w:space="0" w:color="000000"/>
          <w:right w:val="none" w:sz="4" w:space="0" w:color="000000"/>
        </w:pBdr>
        <w:tabs>
          <w:tab w:val="left" w:pos="993"/>
        </w:tabs>
      </w:pPr>
      <w:r w:rsidRPr="00731FE2">
        <w:rPr>
          <w:rFonts w:ascii="Times New Roman" w:eastAsia="Times New Roman" w:hAnsi="Times New Roman" w:cs="Times New Roman"/>
          <w:color w:val="000000"/>
          <w:szCs w:val="24"/>
        </w:rPr>
        <w:t>2) для ансамбля, расположенного в границах населенного пункта, на расстоянии 150 метров от внешних границ территории ансамбля, для ансамбля, расположенного вне границ населенного пункта, на расстоянии 250 метров от внешних границ территории ансамбля.</w:t>
      </w:r>
    </w:p>
    <w:p w14:paraId="18959562" w14:textId="77777777" w:rsidR="00171AA8" w:rsidRPr="00731FE2" w:rsidRDefault="007935AB">
      <w:pPr>
        <w:pBdr>
          <w:top w:val="none" w:sz="4" w:space="0" w:color="000000"/>
          <w:left w:val="none" w:sz="4" w:space="0" w:color="000000"/>
          <w:bottom w:val="none" w:sz="4" w:space="0" w:color="000000"/>
          <w:right w:val="none" w:sz="4" w:space="0" w:color="000000"/>
        </w:pBdr>
        <w:tabs>
          <w:tab w:val="left" w:pos="993"/>
        </w:tabs>
      </w:pPr>
      <w:r w:rsidRPr="00731FE2">
        <w:rPr>
          <w:rFonts w:ascii="Times New Roman" w:eastAsia="Times New Roman" w:hAnsi="Times New Roman" w:cs="Times New Roman"/>
          <w:color w:val="000000"/>
          <w:szCs w:val="24"/>
        </w:rPr>
        <w:t xml:space="preserve">В случае отсутствия утвержденных границ территории объекта культурного наследия, расположенного в границах населенного пункта, границы защитной зоны такого объекта устанавливаются на расстоянии 200 метров от линии внешней 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 В случае </w:t>
      </w:r>
      <w:r w:rsidRPr="00731FE2">
        <w:rPr>
          <w:rFonts w:ascii="Times New Roman" w:eastAsia="Times New Roman" w:hAnsi="Times New Roman" w:cs="Times New Roman"/>
          <w:color w:val="000000"/>
          <w:szCs w:val="24"/>
        </w:rPr>
        <w:lastRenderedPageBreak/>
        <w:t>отсутствия утвержденных границ территории объекта культурного наследия, расположенного вне границ населенного пункта, границы защитной зоны такого объекта устанавливаются на расстоянии 300 метров от линии внешней 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w:t>
      </w:r>
    </w:p>
    <w:p w14:paraId="3D908B7F" w14:textId="0523C0AA" w:rsidR="00171AA8" w:rsidRPr="00731FE2" w:rsidRDefault="007935AB" w:rsidP="007C5915">
      <w:pPr>
        <w:pBdr>
          <w:top w:val="none" w:sz="4" w:space="0" w:color="000000"/>
          <w:left w:val="none" w:sz="4" w:space="0" w:color="000000"/>
          <w:bottom w:val="none" w:sz="4" w:space="0" w:color="000000"/>
          <w:right w:val="none" w:sz="4" w:space="0" w:color="000000"/>
        </w:pBdr>
        <w:tabs>
          <w:tab w:val="left" w:pos="993"/>
        </w:tabs>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Защитная зона объекта культурного наследия прекращает существование со дня внесения в Единый государственный реестр недвижимости сведений о зонах охраны объекта культурного наследия, установленных в соответствии со ст. 34 Федерального закона. Защитные зоны не устанавливаются для объектов археологического наследия, некрополей, захоронений, расположенных в границах некрополей, произведений монументального искусства</w:t>
      </w:r>
      <w:r w:rsidR="007C5915" w:rsidRPr="00731FE2">
        <w:rPr>
          <w:rFonts w:ascii="Times New Roman" w:eastAsia="Times New Roman" w:hAnsi="Times New Roman" w:cs="Times New Roman"/>
          <w:color w:val="000000"/>
          <w:szCs w:val="24"/>
        </w:rPr>
        <w:t>, а также памятников и ансамблей, расположенных в границах достопримечательного места, в которых соответствующим органом охраны объектов культурного наследия установлены предусмотренные статьей 56.4 Федерального закона требования и ограничения.</w:t>
      </w:r>
    </w:p>
    <w:p w14:paraId="19036971" w14:textId="5398ACCD" w:rsidR="000F4D3C" w:rsidRPr="00731FE2" w:rsidRDefault="000F4D3C" w:rsidP="000F4D3C">
      <w:pPr>
        <w:pBdr>
          <w:top w:val="none" w:sz="4" w:space="0" w:color="000000"/>
          <w:left w:val="none" w:sz="4" w:space="0" w:color="000000"/>
          <w:bottom w:val="none" w:sz="4" w:space="0" w:color="000000"/>
          <w:right w:val="none" w:sz="4" w:space="0" w:color="000000"/>
        </w:pBdr>
        <w:tabs>
          <w:tab w:val="left" w:pos="993"/>
        </w:tabs>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Государственная историко-культурная экспертиза проводится в целях определения наличия или отсутствия объектов археологического наследия либо объектов, обладающих признаками объекта археологического наследия, на земельных участках, подлежащих воздействию земляных, строительных, мелиоративных, хозяйственных работ, указанных в статье 30 Федерального закона работ и иных работ.</w:t>
      </w:r>
    </w:p>
    <w:p w14:paraId="73F78B3A" w14:textId="5A13F2E3" w:rsidR="000F4D3C" w:rsidRPr="00731FE2" w:rsidRDefault="000F4D3C" w:rsidP="000F4D3C">
      <w:pPr>
        <w:pBdr>
          <w:top w:val="none" w:sz="4" w:space="0" w:color="000000"/>
          <w:left w:val="none" w:sz="4" w:space="0" w:color="000000"/>
          <w:bottom w:val="none" w:sz="4" w:space="0" w:color="000000"/>
          <w:right w:val="none" w:sz="4" w:space="0" w:color="000000"/>
        </w:pBdr>
        <w:tabs>
          <w:tab w:val="left" w:pos="993"/>
        </w:tabs>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Заключение историко-культурной экспертизы является основанием для принятия органом охраны объектов культурного наследия решения о возможности проведения работ, указанных в пункте 1 статьи 31 Федерального закона, а также для принятия иных решений, вытекающих из заключения историко-культурной экспертизы в отношении объектов, указанных в статье 30 Федерального закона.</w:t>
      </w:r>
    </w:p>
    <w:p w14:paraId="6C58DD8D" w14:textId="131EE6FA" w:rsidR="000F4D3C" w:rsidRPr="00731FE2" w:rsidRDefault="000F4D3C" w:rsidP="000F4D3C">
      <w:pPr>
        <w:pBdr>
          <w:top w:val="none" w:sz="4" w:space="0" w:color="000000"/>
          <w:left w:val="none" w:sz="4" w:space="0" w:color="000000"/>
          <w:bottom w:val="none" w:sz="4" w:space="0" w:color="000000"/>
          <w:right w:val="none" w:sz="4" w:space="0" w:color="000000"/>
        </w:pBdr>
        <w:tabs>
          <w:tab w:val="left" w:pos="993"/>
        </w:tabs>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Заказчик работ, подлежащих историко-культурной экспертизе, оплачивает ее проведение.</w:t>
      </w:r>
    </w:p>
    <w:p w14:paraId="6D445822" w14:textId="53090AB9" w:rsidR="00171AA8" w:rsidRPr="00731FE2" w:rsidRDefault="000F4D3C" w:rsidP="000F4D3C">
      <w:pPr>
        <w:pBdr>
          <w:top w:val="none" w:sz="4" w:space="0" w:color="000000"/>
          <w:left w:val="none" w:sz="4" w:space="0" w:color="000000"/>
          <w:bottom w:val="none" w:sz="4" w:space="0" w:color="000000"/>
          <w:right w:val="none" w:sz="4" w:space="0" w:color="000000"/>
        </w:pBdr>
        <w:tabs>
          <w:tab w:val="left" w:pos="993"/>
        </w:tabs>
      </w:pPr>
      <w:r w:rsidRPr="00731FE2">
        <w:rPr>
          <w:rFonts w:ascii="Times New Roman" w:eastAsia="Times New Roman" w:hAnsi="Times New Roman" w:cs="Times New Roman"/>
          <w:color w:val="000000"/>
          <w:szCs w:val="24"/>
        </w:rPr>
        <w:t>Заказчик работ при осуществлении хозяйственной деятельности в соответствии со ст. 28, 30, 31, 32, 36, 45.1 Федерального закона от 25.06.2002 № 73-ФЗ «Об объектах культурного наследия (памятниках истории и культуры) народов Российской Федерации» обязан:</w:t>
      </w:r>
    </w:p>
    <w:p w14:paraId="71F5F7C0" w14:textId="77777777" w:rsidR="00171AA8" w:rsidRPr="00731FE2" w:rsidRDefault="007935AB">
      <w:pPr>
        <w:pStyle w:val="a3"/>
        <w:numPr>
          <w:ilvl w:val="0"/>
          <w:numId w:val="21"/>
        </w:numPr>
        <w:pBdr>
          <w:top w:val="none" w:sz="4" w:space="0" w:color="000000"/>
          <w:left w:val="none" w:sz="4" w:space="0" w:color="000000"/>
          <w:bottom w:val="none" w:sz="4" w:space="0" w:color="000000"/>
          <w:right w:val="none" w:sz="4" w:space="0" w:color="000000"/>
        </w:pBdr>
        <w:tabs>
          <w:tab w:val="left" w:pos="993"/>
        </w:tabs>
        <w:ind w:left="0" w:firstLine="709"/>
        <w:rPr>
          <w:rFonts w:ascii="Times New Roman" w:eastAsia="Times New Roman" w:hAnsi="Times New Roman" w:cs="Times New Roman"/>
          <w:color w:val="000000"/>
        </w:rPr>
      </w:pPr>
      <w:r w:rsidRPr="00731FE2">
        <w:rPr>
          <w:rFonts w:ascii="Times New Roman" w:eastAsia="Times New Roman" w:hAnsi="Times New Roman" w:cs="Times New Roman"/>
          <w:color w:val="000000"/>
          <w:szCs w:val="24"/>
        </w:rPr>
        <w:t xml:space="preserve">обеспечить проведение и финансирование историко-культурной экспертизы земельного участка, подлежащего воздействию земляных, хозяйственных и иных работ, путем археологической разведки, в порядке, установленном ст. 45.1 Федерального закона от 25.06.2002 № 73-ФЗ «Об объектах культурного наследия (памятниках истории и культуры) народов Российской Федерации»; </w:t>
      </w:r>
    </w:p>
    <w:p w14:paraId="042E7412" w14:textId="77777777" w:rsidR="00171AA8" w:rsidRPr="00731FE2" w:rsidRDefault="007935AB">
      <w:pPr>
        <w:pStyle w:val="a3"/>
        <w:numPr>
          <w:ilvl w:val="0"/>
          <w:numId w:val="21"/>
        </w:numPr>
        <w:pBdr>
          <w:top w:val="none" w:sz="4" w:space="0" w:color="000000"/>
          <w:left w:val="none" w:sz="4" w:space="0" w:color="000000"/>
          <w:bottom w:val="none" w:sz="4" w:space="0" w:color="000000"/>
          <w:right w:val="none" w:sz="4" w:space="0" w:color="000000"/>
        </w:pBdr>
        <w:tabs>
          <w:tab w:val="left" w:pos="993"/>
        </w:tabs>
        <w:ind w:left="0" w:firstLine="709"/>
      </w:pPr>
      <w:r w:rsidRPr="00731FE2">
        <w:rPr>
          <w:rFonts w:ascii="Times New Roman" w:eastAsia="Times New Roman" w:hAnsi="Times New Roman" w:cs="Times New Roman"/>
          <w:color w:val="000000"/>
          <w:szCs w:val="24"/>
        </w:rPr>
        <w:t>предоставить в управление документацию, подготовленную на основе археологических работ, содержащую результаты исследований, в соответствии с которыми определяется наличие или отсутствие объектов, обладающих признаками культурного наследия на земельном участке, подлежащем воздействию земляных, строительных, хозяйственных и иных работ, а также заключение государственной историко-культурной экспертизы указанной документации.</w:t>
      </w:r>
    </w:p>
    <w:p w14:paraId="052778A3" w14:textId="54B6CC68" w:rsidR="00171AA8" w:rsidRPr="00731FE2" w:rsidRDefault="007935AB">
      <w:pPr>
        <w:pBdr>
          <w:top w:val="none" w:sz="4" w:space="0" w:color="000000"/>
          <w:left w:val="none" w:sz="4" w:space="0" w:color="000000"/>
          <w:bottom w:val="none" w:sz="4" w:space="0" w:color="000000"/>
          <w:right w:val="none" w:sz="4" w:space="0" w:color="000000"/>
        </w:pBdr>
        <w:tabs>
          <w:tab w:val="left" w:pos="993"/>
        </w:tabs>
      </w:pPr>
      <w:r w:rsidRPr="00731FE2">
        <w:rPr>
          <w:rFonts w:ascii="Times New Roman" w:eastAsia="Times New Roman" w:hAnsi="Times New Roman" w:cs="Times New Roman"/>
          <w:color w:val="000000"/>
          <w:szCs w:val="24"/>
        </w:rPr>
        <w:t>В случае обнаружения в границах земельного участка, подлежащего воздействию земляных, строительных, хозяйственных и иных работ объектов, обладающих признаками объекта культурного наследия:</w:t>
      </w:r>
    </w:p>
    <w:p w14:paraId="564BAB21" w14:textId="77777777" w:rsidR="00171AA8" w:rsidRPr="00731FE2" w:rsidRDefault="007935AB">
      <w:pPr>
        <w:pStyle w:val="a3"/>
        <w:numPr>
          <w:ilvl w:val="0"/>
          <w:numId w:val="21"/>
        </w:numPr>
        <w:pBdr>
          <w:top w:val="none" w:sz="4" w:space="0" w:color="000000"/>
          <w:left w:val="none" w:sz="4" w:space="0" w:color="000000"/>
          <w:bottom w:val="none" w:sz="4" w:space="0" w:color="000000"/>
          <w:right w:val="none" w:sz="4" w:space="0" w:color="000000"/>
        </w:pBdr>
        <w:tabs>
          <w:tab w:val="left" w:pos="993"/>
        </w:tabs>
        <w:ind w:left="0" w:firstLine="709"/>
      </w:pPr>
      <w:r w:rsidRPr="00731FE2">
        <w:rPr>
          <w:rFonts w:ascii="Times New Roman" w:eastAsia="Times New Roman" w:hAnsi="Times New Roman" w:cs="Times New Roman"/>
          <w:color w:val="000000"/>
          <w:szCs w:val="24"/>
        </w:rPr>
        <w:lastRenderedPageBreak/>
        <w:t>разработать в составе проектной документации раздел об обеспечении сохранности выявленного объекта культурного наследия или о проведении спасательных археологических полевых работ или проект обеспечении сохранности выявленного объекта культурного наследия либо план проведения спасательных археологических полевых работ, включающих оценку воздействия проводимых работ на указанный объект культурного наследия;</w:t>
      </w:r>
    </w:p>
    <w:p w14:paraId="2FF0E762" w14:textId="77777777" w:rsidR="00171AA8" w:rsidRPr="00731FE2" w:rsidRDefault="007935AB">
      <w:pPr>
        <w:pStyle w:val="a3"/>
        <w:numPr>
          <w:ilvl w:val="0"/>
          <w:numId w:val="21"/>
        </w:numPr>
        <w:pBdr>
          <w:top w:val="none" w:sz="4" w:space="0" w:color="000000"/>
          <w:left w:val="none" w:sz="4" w:space="0" w:color="000000"/>
          <w:bottom w:val="none" w:sz="4" w:space="0" w:color="000000"/>
          <w:right w:val="none" w:sz="4" w:space="0" w:color="000000"/>
        </w:pBdr>
        <w:tabs>
          <w:tab w:val="left" w:pos="993"/>
        </w:tabs>
        <w:ind w:left="0" w:firstLine="709"/>
      </w:pPr>
      <w:r w:rsidRPr="00731FE2">
        <w:rPr>
          <w:rFonts w:ascii="Times New Roman" w:eastAsia="Times New Roman" w:hAnsi="Times New Roman" w:cs="Times New Roman"/>
          <w:color w:val="000000"/>
          <w:szCs w:val="24"/>
        </w:rPr>
        <w:t>получить по документации или разделу документации, обосновывающей меры по обеспечению сохранности выявленного объекта культурного наследия заключение государственной историко-культурной экспертизы и представить его совместно с указанной документацией в управление на согласование;</w:t>
      </w:r>
    </w:p>
    <w:p w14:paraId="47E95EA3" w14:textId="77777777" w:rsidR="00171AA8" w:rsidRPr="00731FE2" w:rsidRDefault="007935AB">
      <w:pPr>
        <w:pStyle w:val="a3"/>
        <w:numPr>
          <w:ilvl w:val="0"/>
          <w:numId w:val="21"/>
        </w:numPr>
        <w:pBdr>
          <w:top w:val="none" w:sz="4" w:space="0" w:color="000000"/>
          <w:left w:val="none" w:sz="4" w:space="0" w:color="000000"/>
          <w:bottom w:val="none" w:sz="4" w:space="0" w:color="000000"/>
          <w:right w:val="none" w:sz="4" w:space="0" w:color="000000"/>
        </w:pBdr>
        <w:tabs>
          <w:tab w:val="left" w:pos="993"/>
        </w:tabs>
        <w:ind w:left="0" w:firstLine="709"/>
      </w:pPr>
      <w:r w:rsidRPr="00731FE2">
        <w:rPr>
          <w:rFonts w:ascii="Times New Roman" w:eastAsia="Times New Roman" w:hAnsi="Times New Roman" w:cs="Times New Roman"/>
          <w:color w:val="000000"/>
          <w:szCs w:val="24"/>
        </w:rPr>
        <w:t>обеспечить проведение и финансирование историко-культурной экспертизы выявленного объекта культурного наследия, обосновывающей целесообразность включения данного объекта в реестр;</w:t>
      </w:r>
    </w:p>
    <w:p w14:paraId="5EE06A5B" w14:textId="1C51B624" w:rsidR="00171AA8" w:rsidRPr="00731FE2" w:rsidRDefault="007935AB">
      <w:pPr>
        <w:pStyle w:val="a3"/>
        <w:numPr>
          <w:ilvl w:val="0"/>
          <w:numId w:val="21"/>
        </w:numPr>
        <w:pBdr>
          <w:top w:val="none" w:sz="4" w:space="0" w:color="000000"/>
          <w:left w:val="none" w:sz="4" w:space="0" w:color="000000"/>
          <w:bottom w:val="none" w:sz="4" w:space="0" w:color="000000"/>
          <w:right w:val="none" w:sz="4" w:space="0" w:color="000000"/>
        </w:pBdr>
        <w:tabs>
          <w:tab w:val="left" w:pos="993"/>
        </w:tabs>
        <w:ind w:left="0" w:firstLine="709"/>
      </w:pPr>
      <w:r w:rsidRPr="00731FE2">
        <w:rPr>
          <w:rFonts w:ascii="Times New Roman" w:eastAsia="Times New Roman" w:hAnsi="Times New Roman" w:cs="Times New Roman"/>
          <w:color w:val="000000"/>
          <w:szCs w:val="24"/>
        </w:rPr>
        <w:t>обеспечить реализацию согласованной управлением документации, обосновывающей меры по обеспечению сохранности выявленного объекта культурного наследия.</w:t>
      </w:r>
    </w:p>
    <w:p w14:paraId="05C547DE" w14:textId="5AE52C38" w:rsidR="00730362" w:rsidRPr="00731FE2" w:rsidRDefault="00730362" w:rsidP="00730362">
      <w:pPr>
        <w:pBdr>
          <w:top w:val="none" w:sz="4" w:space="0" w:color="000000"/>
          <w:left w:val="none" w:sz="4" w:space="0" w:color="000000"/>
          <w:bottom w:val="none" w:sz="4" w:space="0" w:color="000000"/>
          <w:right w:val="none" w:sz="4" w:space="0" w:color="000000"/>
        </w:pBdr>
        <w:tabs>
          <w:tab w:val="left" w:pos="993"/>
        </w:tabs>
        <w:rPr>
          <w:rFonts w:ascii="Times New Roman" w:eastAsia="Times New Roman" w:hAnsi="Times New Roman" w:cs="Times New Roman"/>
          <w:color w:val="000000"/>
          <w:szCs w:val="24"/>
        </w:rPr>
      </w:pPr>
      <w:proofErr w:type="gramStart"/>
      <w:r w:rsidRPr="00731FE2">
        <w:rPr>
          <w:rFonts w:ascii="Times New Roman" w:eastAsia="Times New Roman" w:hAnsi="Times New Roman" w:cs="Times New Roman"/>
          <w:color w:val="000000"/>
          <w:szCs w:val="24"/>
        </w:rPr>
        <w:t>Постановлением Правительства Российской Федерации от 30.12.2023 № 2418 определены особенности порядка определения наличия или отсутствия объектов, обладающих признаками объекта археологического наследия, на территориях, подлежащих воздействию изыскательских, земляных, строительных, мелиоративных, хозяйственных работ, указанных в статье 30 Федерального закона «Об объектах культурного наследия (памятниках истории и культуры) народов Российской Федерации» работ по использованию лесов и иных работ.</w:t>
      </w:r>
      <w:proofErr w:type="gramEnd"/>
    </w:p>
    <w:p w14:paraId="625D0869" w14:textId="5C11C208" w:rsidR="00171AA8" w:rsidRPr="00731FE2" w:rsidRDefault="007935AB">
      <w:pPr>
        <w:pBdr>
          <w:top w:val="none" w:sz="4" w:space="0" w:color="000000"/>
          <w:left w:val="none" w:sz="4" w:space="0" w:color="000000"/>
          <w:bottom w:val="none" w:sz="4" w:space="0" w:color="000000"/>
          <w:right w:val="none" w:sz="4" w:space="0" w:color="000000"/>
        </w:pBdr>
        <w:tabs>
          <w:tab w:val="left" w:pos="993"/>
        </w:tabs>
      </w:pPr>
      <w:proofErr w:type="gramStart"/>
      <w:r w:rsidRPr="00731FE2">
        <w:rPr>
          <w:rFonts w:ascii="Times New Roman" w:eastAsia="Times New Roman" w:hAnsi="Times New Roman" w:cs="Times New Roman"/>
          <w:color w:val="000000"/>
          <w:szCs w:val="24"/>
        </w:rPr>
        <w:t>В соответствии с ч. 2.3 ст. 36 Федерального закона от 25.06.2002 № 73-ФЗ «Об объектах культурного наследия (памятниках истории и культуры) народов Российской Федерации» изыскательские, проектные, земляные, строительные, мелиоративные, хозяйственные работы, указанные в ст. 30 Федерального закона от 25.06.2002 № 73-ФЗ «Об объектах культурного наследия (памятниках истории и культуры) народов Российской Федерации», работы по использованию лесов и иные работы в границах территории</w:t>
      </w:r>
      <w:proofErr w:type="gramEnd"/>
      <w:r w:rsidRPr="00731FE2">
        <w:rPr>
          <w:rFonts w:ascii="Times New Roman" w:eastAsia="Times New Roman" w:hAnsi="Times New Roman" w:cs="Times New Roman"/>
          <w:color w:val="000000"/>
          <w:szCs w:val="24"/>
        </w:rPr>
        <w:t xml:space="preserve"> </w:t>
      </w:r>
      <w:proofErr w:type="gramStart"/>
      <w:r w:rsidRPr="00731FE2">
        <w:rPr>
          <w:rFonts w:ascii="Times New Roman" w:eastAsia="Times New Roman" w:hAnsi="Times New Roman" w:cs="Times New Roman"/>
          <w:color w:val="000000"/>
          <w:szCs w:val="24"/>
        </w:rPr>
        <w:t>объекта культурного наследия, включенного в реестр, проводятся при условии соблюдения установленных статьей 5.1 Федерального закона от 25.06.2002 № 73-ФЗ «Об объектах культурного наследия (памятниках истории и культуры) народов Российской Федерации» требований к осуществлению деятельности в границах территории объекта культурного наследия, особого режима использования земельного участка, в границах которого располагается объект археологического наследия, и при условии реализации согласованных соответствующим органом охраны объектов</w:t>
      </w:r>
      <w:proofErr w:type="gramEnd"/>
      <w:r w:rsidRPr="00731FE2">
        <w:rPr>
          <w:rFonts w:ascii="Times New Roman" w:eastAsia="Times New Roman" w:hAnsi="Times New Roman" w:cs="Times New Roman"/>
          <w:color w:val="000000"/>
          <w:szCs w:val="24"/>
        </w:rPr>
        <w:t xml:space="preserve"> </w:t>
      </w:r>
      <w:proofErr w:type="gramStart"/>
      <w:r w:rsidRPr="00731FE2">
        <w:rPr>
          <w:rFonts w:ascii="Times New Roman" w:eastAsia="Times New Roman" w:hAnsi="Times New Roman" w:cs="Times New Roman"/>
          <w:color w:val="000000"/>
          <w:szCs w:val="24"/>
        </w:rPr>
        <w:t>культурного наследия, определенным пунктом 2 статьи 45 Федерального закона от 25.06.2002 № 73-ФЗ «Об объектах культурного наследия (памятниках истории и культуры) народов Российской Федерации», обязательных разделов об обеспечении сохранности указанных объектов культурного наследия в проектах проведения таких работ или проектов обеспечения сохранности указанных объектов культурного наследия либо плана проведения спасательных археологических полевых работ, включающих оценку воздействия проводимых работ на указанные объекты</w:t>
      </w:r>
      <w:proofErr w:type="gramEnd"/>
      <w:r w:rsidRPr="00731FE2">
        <w:rPr>
          <w:rFonts w:ascii="Times New Roman" w:eastAsia="Times New Roman" w:hAnsi="Times New Roman" w:cs="Times New Roman"/>
          <w:color w:val="000000"/>
          <w:szCs w:val="24"/>
        </w:rPr>
        <w:t xml:space="preserve"> культурного наследия.</w:t>
      </w:r>
    </w:p>
    <w:p w14:paraId="26189ECE" w14:textId="77777777" w:rsidR="00171AA8" w:rsidRPr="00731FE2" w:rsidRDefault="007935AB">
      <w:pPr>
        <w:pBdr>
          <w:top w:val="none" w:sz="4" w:space="0" w:color="000000"/>
          <w:left w:val="none" w:sz="4" w:space="0" w:color="000000"/>
          <w:bottom w:val="none" w:sz="4" w:space="0" w:color="000000"/>
          <w:right w:val="none" w:sz="4" w:space="0" w:color="000000"/>
        </w:pBdr>
        <w:tabs>
          <w:tab w:val="left" w:pos="993"/>
        </w:tabs>
      </w:pPr>
      <w:proofErr w:type="gramStart"/>
      <w:r w:rsidRPr="00731FE2">
        <w:rPr>
          <w:rFonts w:ascii="Times New Roman" w:eastAsia="Times New Roman" w:hAnsi="Times New Roman" w:cs="Times New Roman"/>
          <w:color w:val="000000"/>
          <w:szCs w:val="24"/>
        </w:rPr>
        <w:t xml:space="preserve">Строительные и иные работы на земельном участке, непосредственно связанном с земельным участком в границах территории объекта культурного наследия, проводятся </w:t>
      </w:r>
      <w:r w:rsidRPr="00731FE2">
        <w:rPr>
          <w:rFonts w:ascii="Times New Roman" w:eastAsia="Times New Roman" w:hAnsi="Times New Roman" w:cs="Times New Roman"/>
          <w:color w:val="000000"/>
          <w:szCs w:val="24"/>
        </w:rPr>
        <w:lastRenderedPageBreak/>
        <w:t>при наличии в проектной документации разделов об обеспечении сохранности указанного объекта культурного наследия или о проведении спасательных археологических полевых работ или проекта обеспечения сохранности указанного объекта культурного наследия либо плана проведения спасательных археологических полевых работ, включающих оценку воздействия проводимых работ на</w:t>
      </w:r>
      <w:proofErr w:type="gramEnd"/>
      <w:r w:rsidRPr="00731FE2">
        <w:rPr>
          <w:rFonts w:ascii="Times New Roman" w:eastAsia="Times New Roman" w:hAnsi="Times New Roman" w:cs="Times New Roman"/>
          <w:color w:val="000000"/>
          <w:szCs w:val="24"/>
        </w:rPr>
        <w:t xml:space="preserve"> указанный объект культурного наследия, согласованных с региональным органом охраны объектов культурного наследия.</w:t>
      </w:r>
    </w:p>
    <w:p w14:paraId="19910594" w14:textId="77777777" w:rsidR="00171AA8" w:rsidRPr="00731FE2" w:rsidRDefault="007935AB" w:rsidP="00D97880">
      <w:pPr>
        <w:pBdr>
          <w:top w:val="none" w:sz="4" w:space="0" w:color="000000"/>
          <w:left w:val="none" w:sz="4" w:space="0" w:color="000000"/>
          <w:bottom w:val="none" w:sz="4" w:space="0" w:color="000000"/>
          <w:right w:val="none" w:sz="4" w:space="0" w:color="000000"/>
        </w:pBdr>
        <w:tabs>
          <w:tab w:val="left" w:pos="993"/>
        </w:tabs>
      </w:pPr>
      <w:r w:rsidRPr="00731FE2">
        <w:rPr>
          <w:rFonts w:ascii="Times New Roman" w:eastAsia="Times New Roman" w:hAnsi="Times New Roman" w:cs="Times New Roman"/>
          <w:color w:val="000000"/>
          <w:szCs w:val="24"/>
        </w:rPr>
        <w:t>К полномочиям органов местного самоуправления в области сохранения, использования, популяризации и государственной охраны объектов культурного наследия относятся: сохранение, использование и популяризация объектов культурного наследия, находящихся в собственности муниципальных образований; государственная охрана объектов культурного наследия местного (муниципального) значения; определение порядка организации историко-культурного заповедника местного (муниципального) значения; обеспечение условий доступности для инвалидов объектов культурного наследия, находящихся в собственности поселений, муниципальных округов или городских округов; иные полномочия, предусмотренные Федеральным законом от 25.06.2002 № 73-ФЗ «Об объектах культурного наследия (памятниках истории и культуры) народов Российской Федерации» и иными федеральными законами.</w:t>
      </w:r>
    </w:p>
    <w:p w14:paraId="6B8FAFD7" w14:textId="77777777" w:rsidR="00171AA8" w:rsidRPr="00731FE2" w:rsidRDefault="007935AB" w:rsidP="00D97880">
      <w:pPr>
        <w:pBdr>
          <w:top w:val="none" w:sz="4" w:space="0" w:color="000000"/>
          <w:left w:val="none" w:sz="4" w:space="0" w:color="000000"/>
          <w:bottom w:val="none" w:sz="4" w:space="0" w:color="000000"/>
          <w:right w:val="none" w:sz="4" w:space="0" w:color="000000"/>
        </w:pBdr>
        <w:tabs>
          <w:tab w:val="left" w:pos="993"/>
        </w:tabs>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Источниками финансирования мероприятий по сохранению, популяризации и государственной охране объектов культурного наследия являются: федеральный бюджет; бюджеты субъектов Российской Федерации; внебюджетные поступления; местные бюджеты.</w:t>
      </w:r>
    </w:p>
    <w:p w14:paraId="0259CA56" w14:textId="77777777" w:rsidR="00171AA8" w:rsidRPr="00731FE2" w:rsidRDefault="00171AA8" w:rsidP="00D97880">
      <w:pPr>
        <w:pBdr>
          <w:top w:val="none" w:sz="4" w:space="0" w:color="000000"/>
          <w:left w:val="none" w:sz="4" w:space="0" w:color="000000"/>
          <w:bottom w:val="none" w:sz="4" w:space="0" w:color="000000"/>
          <w:right w:val="none" w:sz="4" w:space="0" w:color="000000"/>
        </w:pBdr>
        <w:tabs>
          <w:tab w:val="left" w:pos="993"/>
        </w:tabs>
        <w:rPr>
          <w:rFonts w:ascii="Times New Roman" w:eastAsia="Times New Roman" w:hAnsi="Times New Roman" w:cs="Times New Roman"/>
          <w:color w:val="000000"/>
          <w:szCs w:val="24"/>
        </w:rPr>
      </w:pPr>
    </w:p>
    <w:p w14:paraId="49B40934" w14:textId="77777777" w:rsidR="00171AA8" w:rsidRPr="00731FE2" w:rsidRDefault="007935AB" w:rsidP="00D97880">
      <w:pPr>
        <w:pStyle w:val="24"/>
        <w:rPr>
          <w:rFonts w:ascii="Times New Roman" w:hAnsi="Times New Roman" w:cs="Times New Roman"/>
        </w:rPr>
      </w:pPr>
      <w:bookmarkStart w:id="28" w:name="_Toc177392784"/>
      <w:r w:rsidRPr="00731FE2">
        <w:rPr>
          <w:rFonts w:ascii="Times New Roman" w:hAnsi="Times New Roman" w:cs="Times New Roman"/>
        </w:rPr>
        <w:t>2.7 Демография и трудовые ресурсы</w:t>
      </w:r>
      <w:bookmarkEnd w:id="28"/>
    </w:p>
    <w:p w14:paraId="1AD1E012" w14:textId="77777777" w:rsidR="00171AA8" w:rsidRPr="00731FE2" w:rsidRDefault="007935AB" w:rsidP="00D97880">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rPr>
        <w:t>Численность постоянного населения</w:t>
      </w:r>
      <w:r w:rsidRPr="00731FE2">
        <w:rPr>
          <w:rFonts w:ascii="Times New Roman" w:hAnsi="Times New Roman" w:cs="Times New Roman"/>
          <w:szCs w:val="24"/>
        </w:rPr>
        <w:t xml:space="preserve"> г</w:t>
      </w:r>
      <w:r w:rsidRPr="00731FE2">
        <w:rPr>
          <w:rFonts w:ascii="Times New Roman" w:hAnsi="Times New Roman" w:cs="Times New Roman"/>
          <w:szCs w:val="24"/>
          <w:shd w:val="clear" w:color="FFFFFF" w:themeColor="background1" w:fill="FFFFFF" w:themeFill="background1"/>
        </w:rPr>
        <w:t>ородского округа города-курорта Кисловодска</w:t>
      </w:r>
      <w:r w:rsidRPr="00731FE2">
        <w:rPr>
          <w:rFonts w:ascii="Times New Roman" w:eastAsia="Times New Roman" w:hAnsi="Times New Roman" w:cs="Times New Roman"/>
          <w:color w:val="000000"/>
        </w:rPr>
        <w:t xml:space="preserve"> на 2023 г. составила 133 913 чел. Население в большей мере явл</w:t>
      </w:r>
      <w:r w:rsidRPr="00731FE2">
        <w:rPr>
          <w:rFonts w:ascii="Times New Roman" w:eastAsia="Times New Roman" w:hAnsi="Times New Roman" w:cs="Times New Roman"/>
          <w:color w:val="000000"/>
          <w:szCs w:val="24"/>
        </w:rPr>
        <w:t>яется городским (94,6 %). Сельскими жителями являются жители 10 населенных пунктов городского округа – 7239 чел.</w:t>
      </w:r>
    </w:p>
    <w:p w14:paraId="008DC44C" w14:textId="77777777" w:rsidR="00171AA8" w:rsidRPr="00731FE2" w:rsidRDefault="007935AB" w:rsidP="00D97880">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 xml:space="preserve">Городской округ город-курорт Кисловодск в настоящее время по численности населения занимает 4-е место среди городских округов Ставропольского края, уступая Ставрополю, Пятигорску и Георгиевскому городским округам. </w:t>
      </w:r>
    </w:p>
    <w:p w14:paraId="59B03C19" w14:textId="77777777" w:rsidR="00171AA8" w:rsidRPr="00731FE2" w:rsidRDefault="007935AB" w:rsidP="00D97880">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Среди городов края – город-курорт Кисловодск располагается на 3-м месте за Ставрополем (краевой центр – 550,2 тыс. чел.) и Пятигорском (центр СКФО – 199,1 тыс. чел.).</w:t>
      </w:r>
    </w:p>
    <w:p w14:paraId="58FE7687"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hAnsi="Times New Roman" w:cs="Times New Roman"/>
          <w:szCs w:val="24"/>
          <w:shd w:val="clear" w:color="FFFFFF" w:themeColor="background1" w:fill="FFFFFF" w:themeFill="background1"/>
        </w:rPr>
        <w:t xml:space="preserve">Городской округ город-курорт Кисловодск </w:t>
      </w:r>
      <w:r w:rsidRPr="00731FE2">
        <w:rPr>
          <w:rFonts w:ascii="Times New Roman" w:eastAsia="Times New Roman" w:hAnsi="Times New Roman" w:cs="Times New Roman"/>
          <w:color w:val="000000"/>
          <w:szCs w:val="24"/>
        </w:rPr>
        <w:t>занимает около 0,1 % территории Ставропол</w:t>
      </w:r>
      <w:r w:rsidR="00D97880" w:rsidRPr="00731FE2">
        <w:rPr>
          <w:rFonts w:ascii="Times New Roman" w:eastAsia="Times New Roman" w:hAnsi="Times New Roman" w:cs="Times New Roman"/>
          <w:color w:val="000000"/>
          <w:szCs w:val="24"/>
        </w:rPr>
        <w:t>ьского края и концентрирует 4,6</w:t>
      </w:r>
      <w:r w:rsidRPr="00731FE2">
        <w:rPr>
          <w:rFonts w:ascii="Times New Roman" w:eastAsia="Times New Roman" w:hAnsi="Times New Roman" w:cs="Times New Roman"/>
          <w:color w:val="000000"/>
          <w:szCs w:val="24"/>
        </w:rPr>
        <w:t>% её населения. Плотность населения составляет 1864,3 чел./км</w:t>
      </w:r>
      <w:proofErr w:type="gramStart"/>
      <w:r w:rsidRPr="00731FE2">
        <w:rPr>
          <w:rFonts w:ascii="Times New Roman" w:eastAsia="Times New Roman" w:hAnsi="Times New Roman" w:cs="Times New Roman"/>
          <w:color w:val="000000"/>
          <w:szCs w:val="24"/>
          <w:vertAlign w:val="superscript"/>
        </w:rPr>
        <w:t>2</w:t>
      </w:r>
      <w:proofErr w:type="gramEnd"/>
      <w:r w:rsidRPr="00731FE2">
        <w:rPr>
          <w:rFonts w:ascii="Times New Roman" w:eastAsia="Times New Roman" w:hAnsi="Times New Roman" w:cs="Times New Roman"/>
          <w:color w:val="000000"/>
          <w:szCs w:val="24"/>
        </w:rPr>
        <w:t>.</w:t>
      </w:r>
    </w:p>
    <w:p w14:paraId="3516107B" w14:textId="77777777" w:rsidR="00171AA8" w:rsidRPr="00731FE2" w:rsidRDefault="00171AA8">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p>
    <w:p w14:paraId="2A8306B1"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rPr>
      </w:pPr>
      <w:r w:rsidRPr="00731FE2">
        <w:rPr>
          <w:rFonts w:ascii="Times New Roman" w:eastAsia="Times New Roman" w:hAnsi="Times New Roman" w:cs="Times New Roman"/>
          <w:noProof/>
          <w:color w:val="000000"/>
          <w:szCs w:val="24"/>
          <w:lang w:eastAsia="ru-RU"/>
        </w:rPr>
        <w:lastRenderedPageBreak/>
        <w:drawing>
          <wp:inline distT="0" distB="0" distL="0" distR="0" wp14:anchorId="3971984E" wp14:editId="55ECBCDB">
            <wp:extent cx="5734466" cy="2441114"/>
            <wp:effectExtent l="4762" t="4762" r="4762" b="4762"/>
            <wp:docPr id="5"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7FA47D21" w14:textId="77777777" w:rsidR="00171AA8" w:rsidRPr="00731FE2" w:rsidRDefault="007935AB">
      <w:pPr>
        <w:pBdr>
          <w:top w:val="none" w:sz="4" w:space="0" w:color="000000"/>
          <w:left w:val="none" w:sz="4" w:space="0" w:color="000000"/>
          <w:bottom w:val="none" w:sz="4" w:space="0" w:color="000000"/>
          <w:right w:val="none" w:sz="4" w:space="0" w:color="000000"/>
        </w:pBdr>
        <w:spacing w:line="240" w:lineRule="auto"/>
        <w:ind w:firstLine="0"/>
        <w:rPr>
          <w:szCs w:val="24"/>
        </w:rPr>
      </w:pPr>
      <w:r w:rsidRPr="00731FE2">
        <w:rPr>
          <w:rFonts w:ascii="Times New Roman" w:eastAsia="Times New Roman" w:hAnsi="Times New Roman" w:cs="Times New Roman"/>
          <w:b/>
          <w:bCs/>
          <w:color w:val="000000"/>
          <w:szCs w:val="24"/>
        </w:rPr>
        <w:t xml:space="preserve">Рисунок </w:t>
      </w:r>
      <w:r w:rsidRPr="00731FE2">
        <w:rPr>
          <w:rFonts w:ascii="Times New Roman" w:eastAsia="Times New Roman" w:hAnsi="Times New Roman" w:cs="Times New Roman"/>
          <w:b/>
          <w:bCs/>
          <w:color w:val="000000"/>
          <w:szCs w:val="24"/>
        </w:rPr>
        <w:fldChar w:fldCharType="begin"/>
      </w:r>
      <w:r w:rsidRPr="00731FE2">
        <w:rPr>
          <w:rFonts w:ascii="Times New Roman" w:eastAsia="Times New Roman" w:hAnsi="Times New Roman" w:cs="Times New Roman"/>
          <w:b/>
          <w:bCs/>
          <w:color w:val="000000"/>
          <w:szCs w:val="24"/>
        </w:rPr>
        <w:instrText xml:space="preserve"> SEQ Рисунок \* Arabic </w:instrText>
      </w:r>
      <w:r w:rsidRPr="00731FE2">
        <w:rPr>
          <w:rFonts w:ascii="Times New Roman" w:eastAsia="Times New Roman" w:hAnsi="Times New Roman" w:cs="Times New Roman"/>
          <w:b/>
          <w:bCs/>
          <w:color w:val="000000"/>
          <w:szCs w:val="24"/>
        </w:rPr>
        <w:fldChar w:fldCharType="separate"/>
      </w:r>
      <w:r w:rsidR="00C50915" w:rsidRPr="00731FE2">
        <w:rPr>
          <w:rFonts w:ascii="Times New Roman" w:eastAsia="Times New Roman" w:hAnsi="Times New Roman" w:cs="Times New Roman"/>
          <w:b/>
          <w:bCs/>
          <w:noProof/>
          <w:color w:val="000000"/>
          <w:szCs w:val="24"/>
        </w:rPr>
        <w:t>5</w:t>
      </w:r>
      <w:r w:rsidRPr="00731FE2">
        <w:rPr>
          <w:rFonts w:ascii="Times New Roman" w:eastAsia="Times New Roman" w:hAnsi="Times New Roman" w:cs="Times New Roman"/>
          <w:b/>
          <w:bCs/>
          <w:color w:val="000000"/>
          <w:szCs w:val="24"/>
        </w:rPr>
        <w:fldChar w:fldCharType="end"/>
      </w:r>
      <w:r w:rsidRPr="00731FE2">
        <w:rPr>
          <w:rFonts w:ascii="Times New Roman" w:eastAsia="Times New Roman" w:hAnsi="Times New Roman" w:cs="Times New Roman"/>
          <w:b/>
          <w:bCs/>
          <w:color w:val="000000"/>
          <w:szCs w:val="24"/>
        </w:rPr>
        <w:t xml:space="preserve"> – Динамика численности населения </w:t>
      </w:r>
      <w:r w:rsidRPr="00731FE2">
        <w:rPr>
          <w:rFonts w:ascii="Times New Roman" w:hAnsi="Times New Roman" w:cs="Times New Roman"/>
          <w:b/>
          <w:bCs/>
          <w:szCs w:val="24"/>
        </w:rPr>
        <w:t>г</w:t>
      </w:r>
      <w:r w:rsidRPr="00731FE2">
        <w:rPr>
          <w:rFonts w:ascii="Times New Roman" w:hAnsi="Times New Roman" w:cs="Times New Roman"/>
          <w:b/>
          <w:bCs/>
          <w:szCs w:val="24"/>
          <w:shd w:val="clear" w:color="FFFFFF" w:themeColor="background1" w:fill="FFFFFF" w:themeFill="background1"/>
        </w:rPr>
        <w:t>ородского округа города-курорта Кисловодска</w:t>
      </w:r>
      <w:r w:rsidRPr="00731FE2">
        <w:rPr>
          <w:rFonts w:ascii="Times New Roman" w:eastAsia="Times New Roman" w:hAnsi="Times New Roman" w:cs="Times New Roman"/>
          <w:b/>
          <w:bCs/>
          <w:color w:val="000000"/>
          <w:szCs w:val="24"/>
        </w:rPr>
        <w:t>, 2002-2023 гг., тыс. чел.</w:t>
      </w:r>
      <w:r w:rsidRPr="00731FE2">
        <w:rPr>
          <w:rFonts w:ascii="Times New Roman" w:eastAsia="Times New Roman" w:hAnsi="Times New Roman" w:cs="Times New Roman"/>
          <w:b/>
          <w:bCs/>
          <w:color w:val="000000"/>
          <w:szCs w:val="24"/>
          <w:vertAlign w:val="superscript"/>
        </w:rPr>
        <w:footnoteReference w:id="31"/>
      </w:r>
    </w:p>
    <w:p w14:paraId="64614A1B" w14:textId="77777777" w:rsidR="00171AA8" w:rsidRPr="00731FE2" w:rsidRDefault="00171AA8">
      <w:pPr>
        <w:pBdr>
          <w:top w:val="none" w:sz="4" w:space="0" w:color="000000"/>
          <w:left w:val="none" w:sz="4" w:space="0" w:color="000000"/>
          <w:bottom w:val="none" w:sz="4" w:space="0" w:color="000000"/>
          <w:right w:val="none" w:sz="4" w:space="0" w:color="000000"/>
        </w:pBdr>
        <w:spacing w:line="240" w:lineRule="auto"/>
        <w:ind w:firstLine="0"/>
        <w:rPr>
          <w:rFonts w:ascii="Times New Roman" w:eastAsia="Times New Roman" w:hAnsi="Times New Roman" w:cs="Times New Roman"/>
          <w:color w:val="000000"/>
          <w:sz w:val="20"/>
          <w:szCs w:val="20"/>
        </w:rPr>
      </w:pPr>
    </w:p>
    <w:p w14:paraId="0364D60A"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 xml:space="preserve">В течение последних 16 лет (начиная с 2002 г.) динамика численности населения городского округа характеризуется крайне нестабильным волнообразным характером. В период с 2008 по 2017 гг. наблюдается рост числа жителей. Далее отмечается снижение численности населения. В целом, за весь период численность населения округа снизилась на 1 375 чел., или на 1,02 %. </w:t>
      </w:r>
    </w:p>
    <w:p w14:paraId="4E73E425"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 xml:space="preserve">В течение первого десятилетия XXI века на территории городского округа наблюдалась устойчивая тенденция естественной убыли. Начиная с 2015 года, отмечается небольшой естественный прирост, обусловленный мерами демографической политики (стимулирование вторых рождений) и особенностями этнического состава населения округа, но с 2019 года снова отмечается естественная убыль населения. </w:t>
      </w:r>
    </w:p>
    <w:p w14:paraId="4F044737" w14:textId="77777777" w:rsidR="00171AA8" w:rsidRPr="00731FE2" w:rsidRDefault="00171AA8">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p>
    <w:p w14:paraId="722CF8C5" w14:textId="77777777" w:rsidR="00171AA8" w:rsidRPr="00731FE2" w:rsidRDefault="007935AB">
      <w:pPr>
        <w:pStyle w:val="af3"/>
        <w:rPr>
          <w:sz w:val="24"/>
          <w:szCs w:val="24"/>
        </w:rPr>
      </w:pPr>
      <w:r w:rsidRPr="00731FE2">
        <w:rPr>
          <w:sz w:val="24"/>
          <w:szCs w:val="24"/>
        </w:rPr>
        <w:t xml:space="preserve">Таблица </w:t>
      </w:r>
      <w:r w:rsidR="00D97880" w:rsidRPr="00731FE2">
        <w:rPr>
          <w:noProof/>
          <w:sz w:val="24"/>
          <w:szCs w:val="24"/>
        </w:rPr>
        <w:fldChar w:fldCharType="begin"/>
      </w:r>
      <w:r w:rsidR="00D97880" w:rsidRPr="00731FE2">
        <w:rPr>
          <w:noProof/>
          <w:sz w:val="24"/>
          <w:szCs w:val="24"/>
        </w:rPr>
        <w:instrText xml:space="preserve"> SEQ Таблица \* Arabic </w:instrText>
      </w:r>
      <w:r w:rsidR="00D97880" w:rsidRPr="00731FE2">
        <w:rPr>
          <w:noProof/>
          <w:sz w:val="24"/>
          <w:szCs w:val="24"/>
        </w:rPr>
        <w:fldChar w:fldCharType="separate"/>
      </w:r>
      <w:r w:rsidR="00C50915" w:rsidRPr="00731FE2">
        <w:rPr>
          <w:noProof/>
          <w:sz w:val="24"/>
          <w:szCs w:val="24"/>
        </w:rPr>
        <w:t>8</w:t>
      </w:r>
      <w:r w:rsidR="00D97880" w:rsidRPr="00731FE2">
        <w:rPr>
          <w:noProof/>
          <w:sz w:val="24"/>
          <w:szCs w:val="24"/>
        </w:rPr>
        <w:fldChar w:fldCharType="end"/>
      </w:r>
      <w:r w:rsidRPr="00731FE2">
        <w:rPr>
          <w:sz w:val="24"/>
          <w:szCs w:val="24"/>
        </w:rPr>
        <w:t xml:space="preserve"> – Основные показатели естественного </w:t>
      </w:r>
      <w:proofErr w:type="gramStart"/>
      <w:r w:rsidRPr="00731FE2">
        <w:rPr>
          <w:sz w:val="24"/>
          <w:szCs w:val="24"/>
        </w:rPr>
        <w:t>воспроизводства населения городского округа города-курорта Кисловодска</w:t>
      </w:r>
      <w:proofErr w:type="gramEnd"/>
      <w:r w:rsidRPr="00731FE2">
        <w:rPr>
          <w:sz w:val="24"/>
          <w:szCs w:val="24"/>
        </w:rPr>
        <w:t xml:space="preserve"> в 2013 – 2022 гг.</w:t>
      </w:r>
      <w:r w:rsidRPr="00731FE2">
        <w:rPr>
          <w:sz w:val="24"/>
          <w:szCs w:val="24"/>
          <w:vertAlign w:val="superscript"/>
        </w:rPr>
        <w:footnoteReference w:id="32"/>
      </w:r>
    </w:p>
    <w:tbl>
      <w:tblPr>
        <w:tblStyle w:val="afe"/>
        <w:tblW w:w="0" w:type="auto"/>
        <w:tblLayout w:type="fixed"/>
        <w:tblLook w:val="04A0" w:firstRow="1" w:lastRow="0" w:firstColumn="1" w:lastColumn="0" w:noHBand="0" w:noVBand="1"/>
      </w:tblPr>
      <w:tblGrid>
        <w:gridCol w:w="2268"/>
        <w:gridCol w:w="660"/>
        <w:gridCol w:w="728"/>
        <w:gridCol w:w="728"/>
        <w:gridCol w:w="728"/>
        <w:gridCol w:w="728"/>
        <w:gridCol w:w="728"/>
        <w:gridCol w:w="726"/>
        <w:gridCol w:w="685"/>
        <w:gridCol w:w="684"/>
        <w:gridCol w:w="684"/>
      </w:tblGrid>
      <w:tr w:rsidR="00171AA8" w:rsidRPr="00731FE2" w14:paraId="529E8E19" w14:textId="77777777">
        <w:tc>
          <w:tcPr>
            <w:tcW w:w="2268" w:type="dxa"/>
          </w:tcPr>
          <w:p w14:paraId="42509E1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b/>
                <w:bCs/>
                <w:color w:val="000000"/>
                <w:sz w:val="22"/>
              </w:rPr>
            </w:pPr>
            <w:r w:rsidRPr="00731FE2">
              <w:rPr>
                <w:rFonts w:ascii="Times New Roman" w:eastAsia="Times New Roman" w:hAnsi="Times New Roman" w:cs="Times New Roman"/>
                <w:b/>
                <w:bCs/>
                <w:color w:val="000000"/>
                <w:sz w:val="22"/>
              </w:rPr>
              <w:t>Демографический показатель</w:t>
            </w:r>
          </w:p>
        </w:tc>
        <w:tc>
          <w:tcPr>
            <w:tcW w:w="660" w:type="dxa"/>
            <w:vAlign w:val="center"/>
          </w:tcPr>
          <w:p w14:paraId="29CCDFC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b/>
                <w:bCs/>
                <w:color w:val="000000"/>
                <w:sz w:val="20"/>
                <w:szCs w:val="20"/>
              </w:rPr>
            </w:pPr>
            <w:r w:rsidRPr="00731FE2">
              <w:rPr>
                <w:rFonts w:ascii="Times New Roman" w:eastAsia="Times New Roman" w:hAnsi="Times New Roman" w:cs="Times New Roman"/>
                <w:b/>
                <w:bCs/>
                <w:color w:val="000000"/>
                <w:sz w:val="22"/>
              </w:rPr>
              <w:t>2013</w:t>
            </w:r>
          </w:p>
        </w:tc>
        <w:tc>
          <w:tcPr>
            <w:tcW w:w="728" w:type="dxa"/>
            <w:vAlign w:val="center"/>
          </w:tcPr>
          <w:p w14:paraId="33B264F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b/>
                <w:bCs/>
                <w:color w:val="000000"/>
                <w:sz w:val="20"/>
                <w:szCs w:val="20"/>
              </w:rPr>
            </w:pPr>
            <w:r w:rsidRPr="00731FE2">
              <w:rPr>
                <w:rFonts w:ascii="Times New Roman" w:eastAsia="Times New Roman" w:hAnsi="Times New Roman" w:cs="Times New Roman"/>
                <w:b/>
                <w:bCs/>
                <w:color w:val="000000"/>
                <w:sz w:val="22"/>
              </w:rPr>
              <w:t>2014</w:t>
            </w:r>
          </w:p>
        </w:tc>
        <w:tc>
          <w:tcPr>
            <w:tcW w:w="728" w:type="dxa"/>
            <w:vAlign w:val="center"/>
          </w:tcPr>
          <w:p w14:paraId="5DD8E32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b/>
                <w:bCs/>
                <w:color w:val="000000"/>
                <w:sz w:val="20"/>
                <w:szCs w:val="20"/>
              </w:rPr>
            </w:pPr>
            <w:r w:rsidRPr="00731FE2">
              <w:rPr>
                <w:rFonts w:ascii="Times New Roman" w:eastAsia="Times New Roman" w:hAnsi="Times New Roman" w:cs="Times New Roman"/>
                <w:b/>
                <w:bCs/>
                <w:color w:val="000000"/>
                <w:sz w:val="22"/>
              </w:rPr>
              <w:t>2015</w:t>
            </w:r>
          </w:p>
        </w:tc>
        <w:tc>
          <w:tcPr>
            <w:tcW w:w="728" w:type="dxa"/>
            <w:vAlign w:val="center"/>
          </w:tcPr>
          <w:p w14:paraId="648F0D3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b/>
                <w:bCs/>
                <w:color w:val="000000"/>
                <w:sz w:val="20"/>
                <w:szCs w:val="20"/>
              </w:rPr>
            </w:pPr>
            <w:r w:rsidRPr="00731FE2">
              <w:rPr>
                <w:rFonts w:ascii="Times New Roman" w:eastAsia="Times New Roman" w:hAnsi="Times New Roman" w:cs="Times New Roman"/>
                <w:b/>
                <w:bCs/>
                <w:color w:val="000000"/>
                <w:sz w:val="22"/>
              </w:rPr>
              <w:t>2016</w:t>
            </w:r>
          </w:p>
        </w:tc>
        <w:tc>
          <w:tcPr>
            <w:tcW w:w="728" w:type="dxa"/>
            <w:vAlign w:val="center"/>
          </w:tcPr>
          <w:p w14:paraId="5EFA936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b/>
                <w:bCs/>
                <w:color w:val="000000"/>
                <w:sz w:val="20"/>
                <w:szCs w:val="20"/>
              </w:rPr>
            </w:pPr>
            <w:r w:rsidRPr="00731FE2">
              <w:rPr>
                <w:rFonts w:ascii="Times New Roman" w:eastAsia="Times New Roman" w:hAnsi="Times New Roman" w:cs="Times New Roman"/>
                <w:b/>
                <w:bCs/>
                <w:color w:val="000000"/>
                <w:sz w:val="22"/>
              </w:rPr>
              <w:t>2017</w:t>
            </w:r>
          </w:p>
        </w:tc>
        <w:tc>
          <w:tcPr>
            <w:tcW w:w="728" w:type="dxa"/>
            <w:vAlign w:val="center"/>
          </w:tcPr>
          <w:p w14:paraId="4DF4C40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b/>
                <w:bCs/>
                <w:color w:val="000000"/>
                <w:sz w:val="20"/>
                <w:szCs w:val="20"/>
              </w:rPr>
            </w:pPr>
            <w:r w:rsidRPr="00731FE2">
              <w:rPr>
                <w:rFonts w:ascii="Times New Roman" w:eastAsia="Times New Roman" w:hAnsi="Times New Roman" w:cs="Times New Roman"/>
                <w:b/>
                <w:bCs/>
                <w:color w:val="000000"/>
                <w:sz w:val="22"/>
              </w:rPr>
              <w:t>2018</w:t>
            </w:r>
          </w:p>
        </w:tc>
        <w:tc>
          <w:tcPr>
            <w:tcW w:w="726" w:type="dxa"/>
            <w:vAlign w:val="center"/>
          </w:tcPr>
          <w:p w14:paraId="42105D6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b/>
                <w:bCs/>
                <w:color w:val="000000"/>
                <w:sz w:val="20"/>
                <w:szCs w:val="20"/>
              </w:rPr>
            </w:pPr>
            <w:r w:rsidRPr="00731FE2">
              <w:rPr>
                <w:rFonts w:ascii="Times New Roman" w:eastAsia="Times New Roman" w:hAnsi="Times New Roman" w:cs="Times New Roman"/>
                <w:b/>
                <w:bCs/>
                <w:color w:val="000000"/>
                <w:sz w:val="22"/>
              </w:rPr>
              <w:t>2019</w:t>
            </w:r>
          </w:p>
        </w:tc>
        <w:tc>
          <w:tcPr>
            <w:tcW w:w="685" w:type="dxa"/>
            <w:vAlign w:val="center"/>
          </w:tcPr>
          <w:p w14:paraId="08DC797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b/>
                <w:bCs/>
                <w:color w:val="000000"/>
                <w:sz w:val="22"/>
              </w:rPr>
            </w:pPr>
            <w:r w:rsidRPr="00731FE2">
              <w:rPr>
                <w:rFonts w:ascii="Times New Roman" w:eastAsia="Times New Roman" w:hAnsi="Times New Roman" w:cs="Times New Roman"/>
                <w:b/>
                <w:bCs/>
                <w:color w:val="000000"/>
                <w:sz w:val="22"/>
              </w:rPr>
              <w:t>2020</w:t>
            </w:r>
          </w:p>
        </w:tc>
        <w:tc>
          <w:tcPr>
            <w:tcW w:w="684" w:type="dxa"/>
            <w:vAlign w:val="center"/>
          </w:tcPr>
          <w:p w14:paraId="0D2B6D9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b/>
                <w:bCs/>
                <w:color w:val="000000"/>
                <w:sz w:val="22"/>
              </w:rPr>
            </w:pPr>
            <w:r w:rsidRPr="00731FE2">
              <w:rPr>
                <w:rFonts w:ascii="Times New Roman" w:eastAsia="Times New Roman" w:hAnsi="Times New Roman" w:cs="Times New Roman"/>
                <w:b/>
                <w:bCs/>
                <w:color w:val="000000"/>
                <w:sz w:val="22"/>
              </w:rPr>
              <w:t>2021</w:t>
            </w:r>
          </w:p>
        </w:tc>
        <w:tc>
          <w:tcPr>
            <w:tcW w:w="684" w:type="dxa"/>
            <w:vAlign w:val="center"/>
          </w:tcPr>
          <w:p w14:paraId="5617302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b/>
                <w:bCs/>
                <w:color w:val="000000"/>
                <w:sz w:val="22"/>
              </w:rPr>
            </w:pPr>
            <w:r w:rsidRPr="00731FE2">
              <w:rPr>
                <w:rFonts w:ascii="Times New Roman" w:eastAsia="Times New Roman" w:hAnsi="Times New Roman" w:cs="Times New Roman"/>
                <w:b/>
                <w:bCs/>
                <w:color w:val="000000"/>
                <w:sz w:val="22"/>
              </w:rPr>
              <w:t>2022</w:t>
            </w:r>
          </w:p>
        </w:tc>
      </w:tr>
      <w:tr w:rsidR="00171AA8" w:rsidRPr="00731FE2" w14:paraId="5807169A" w14:textId="77777777">
        <w:tc>
          <w:tcPr>
            <w:tcW w:w="2268" w:type="dxa"/>
            <w:vMerge w:val="restart"/>
            <w:vAlign w:val="center"/>
          </w:tcPr>
          <w:p w14:paraId="27BE37B1"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2"/>
              </w:rPr>
              <w:t>Число родившихся, человек</w:t>
            </w:r>
          </w:p>
        </w:tc>
        <w:tc>
          <w:tcPr>
            <w:tcW w:w="660" w:type="dxa"/>
            <w:vMerge w:val="restart"/>
            <w:vAlign w:val="center"/>
          </w:tcPr>
          <w:p w14:paraId="476B364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1226</w:t>
            </w:r>
          </w:p>
        </w:tc>
        <w:tc>
          <w:tcPr>
            <w:tcW w:w="728" w:type="dxa"/>
            <w:vMerge w:val="restart"/>
            <w:vAlign w:val="center"/>
          </w:tcPr>
          <w:p w14:paraId="770E056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1213</w:t>
            </w:r>
          </w:p>
        </w:tc>
        <w:tc>
          <w:tcPr>
            <w:tcW w:w="728" w:type="dxa"/>
            <w:vMerge w:val="restart"/>
            <w:vAlign w:val="center"/>
          </w:tcPr>
          <w:p w14:paraId="6FF12DE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1405</w:t>
            </w:r>
          </w:p>
        </w:tc>
        <w:tc>
          <w:tcPr>
            <w:tcW w:w="728" w:type="dxa"/>
            <w:vMerge w:val="restart"/>
            <w:vAlign w:val="center"/>
          </w:tcPr>
          <w:p w14:paraId="127BFF9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1671</w:t>
            </w:r>
          </w:p>
        </w:tc>
        <w:tc>
          <w:tcPr>
            <w:tcW w:w="728" w:type="dxa"/>
            <w:vMerge w:val="restart"/>
            <w:vAlign w:val="center"/>
          </w:tcPr>
          <w:p w14:paraId="3A0A297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1521</w:t>
            </w:r>
          </w:p>
        </w:tc>
        <w:tc>
          <w:tcPr>
            <w:tcW w:w="728" w:type="dxa"/>
            <w:vMerge w:val="restart"/>
            <w:vAlign w:val="center"/>
          </w:tcPr>
          <w:p w14:paraId="32E6792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1485</w:t>
            </w:r>
          </w:p>
        </w:tc>
        <w:tc>
          <w:tcPr>
            <w:tcW w:w="726" w:type="dxa"/>
            <w:vMerge w:val="restart"/>
            <w:vAlign w:val="center"/>
          </w:tcPr>
          <w:p w14:paraId="4EC19CD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1333</w:t>
            </w:r>
          </w:p>
        </w:tc>
        <w:tc>
          <w:tcPr>
            <w:tcW w:w="685" w:type="dxa"/>
            <w:vMerge w:val="restart"/>
            <w:vAlign w:val="center"/>
          </w:tcPr>
          <w:p w14:paraId="74AB94C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1118</w:t>
            </w:r>
          </w:p>
        </w:tc>
        <w:tc>
          <w:tcPr>
            <w:tcW w:w="684" w:type="dxa"/>
            <w:vMerge w:val="restart"/>
            <w:vAlign w:val="center"/>
          </w:tcPr>
          <w:p w14:paraId="7576EBC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1169</w:t>
            </w:r>
          </w:p>
        </w:tc>
        <w:tc>
          <w:tcPr>
            <w:tcW w:w="684" w:type="dxa"/>
            <w:vAlign w:val="center"/>
          </w:tcPr>
          <w:p w14:paraId="6E413E7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1076</w:t>
            </w:r>
          </w:p>
        </w:tc>
      </w:tr>
      <w:tr w:rsidR="00171AA8" w:rsidRPr="00731FE2" w14:paraId="7E8C2677" w14:textId="77777777">
        <w:tc>
          <w:tcPr>
            <w:tcW w:w="2268" w:type="dxa"/>
            <w:vAlign w:val="center"/>
          </w:tcPr>
          <w:p w14:paraId="22FB0004"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2"/>
              </w:rPr>
              <w:t>Число умерших, человек</w:t>
            </w:r>
          </w:p>
        </w:tc>
        <w:tc>
          <w:tcPr>
            <w:tcW w:w="660" w:type="dxa"/>
            <w:vAlign w:val="center"/>
          </w:tcPr>
          <w:p w14:paraId="123C6CC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1307</w:t>
            </w:r>
          </w:p>
        </w:tc>
        <w:tc>
          <w:tcPr>
            <w:tcW w:w="728" w:type="dxa"/>
            <w:vAlign w:val="center"/>
          </w:tcPr>
          <w:p w14:paraId="3325C12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1348</w:t>
            </w:r>
          </w:p>
        </w:tc>
        <w:tc>
          <w:tcPr>
            <w:tcW w:w="728" w:type="dxa"/>
            <w:vAlign w:val="center"/>
          </w:tcPr>
          <w:p w14:paraId="4A70754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1290</w:t>
            </w:r>
          </w:p>
        </w:tc>
        <w:tc>
          <w:tcPr>
            <w:tcW w:w="728" w:type="dxa"/>
            <w:vAlign w:val="center"/>
          </w:tcPr>
          <w:p w14:paraId="574FD26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1336</w:t>
            </w:r>
          </w:p>
        </w:tc>
        <w:tc>
          <w:tcPr>
            <w:tcW w:w="728" w:type="dxa"/>
            <w:vAlign w:val="center"/>
          </w:tcPr>
          <w:p w14:paraId="2C486AD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1312</w:t>
            </w:r>
          </w:p>
        </w:tc>
        <w:tc>
          <w:tcPr>
            <w:tcW w:w="728" w:type="dxa"/>
            <w:vAlign w:val="center"/>
          </w:tcPr>
          <w:p w14:paraId="7137089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1342</w:t>
            </w:r>
          </w:p>
        </w:tc>
        <w:tc>
          <w:tcPr>
            <w:tcW w:w="726" w:type="dxa"/>
            <w:vAlign w:val="center"/>
          </w:tcPr>
          <w:p w14:paraId="6750ED2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1395</w:t>
            </w:r>
          </w:p>
        </w:tc>
        <w:tc>
          <w:tcPr>
            <w:tcW w:w="685" w:type="dxa"/>
            <w:vAlign w:val="center"/>
          </w:tcPr>
          <w:p w14:paraId="26A6036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1482</w:t>
            </w:r>
          </w:p>
        </w:tc>
        <w:tc>
          <w:tcPr>
            <w:tcW w:w="684" w:type="dxa"/>
            <w:vAlign w:val="center"/>
          </w:tcPr>
          <w:p w14:paraId="49DD35E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1654</w:t>
            </w:r>
          </w:p>
        </w:tc>
        <w:tc>
          <w:tcPr>
            <w:tcW w:w="684" w:type="dxa"/>
            <w:vAlign w:val="center"/>
          </w:tcPr>
          <w:p w14:paraId="466A7EB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1421</w:t>
            </w:r>
          </w:p>
        </w:tc>
      </w:tr>
      <w:tr w:rsidR="00171AA8" w:rsidRPr="00731FE2" w14:paraId="075A5198" w14:textId="77777777">
        <w:tc>
          <w:tcPr>
            <w:tcW w:w="2268" w:type="dxa"/>
            <w:vAlign w:val="center"/>
          </w:tcPr>
          <w:p w14:paraId="61ACAA53"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Естественный прирост (убыль), человек</w:t>
            </w:r>
          </w:p>
        </w:tc>
        <w:tc>
          <w:tcPr>
            <w:tcW w:w="660" w:type="dxa"/>
            <w:vAlign w:val="center"/>
          </w:tcPr>
          <w:p w14:paraId="380F1F2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-81</w:t>
            </w:r>
          </w:p>
        </w:tc>
        <w:tc>
          <w:tcPr>
            <w:tcW w:w="728" w:type="dxa"/>
            <w:vAlign w:val="center"/>
          </w:tcPr>
          <w:p w14:paraId="372BBFD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-135</w:t>
            </w:r>
          </w:p>
        </w:tc>
        <w:tc>
          <w:tcPr>
            <w:tcW w:w="728" w:type="dxa"/>
            <w:vAlign w:val="center"/>
          </w:tcPr>
          <w:p w14:paraId="246B615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115</w:t>
            </w:r>
          </w:p>
        </w:tc>
        <w:tc>
          <w:tcPr>
            <w:tcW w:w="728" w:type="dxa"/>
            <w:vAlign w:val="center"/>
          </w:tcPr>
          <w:p w14:paraId="46811B7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335</w:t>
            </w:r>
          </w:p>
        </w:tc>
        <w:tc>
          <w:tcPr>
            <w:tcW w:w="728" w:type="dxa"/>
            <w:vAlign w:val="center"/>
          </w:tcPr>
          <w:p w14:paraId="6207A98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209</w:t>
            </w:r>
          </w:p>
        </w:tc>
        <w:tc>
          <w:tcPr>
            <w:tcW w:w="728" w:type="dxa"/>
            <w:vAlign w:val="center"/>
          </w:tcPr>
          <w:p w14:paraId="5AFF7F3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143</w:t>
            </w:r>
          </w:p>
        </w:tc>
        <w:tc>
          <w:tcPr>
            <w:tcW w:w="726" w:type="dxa"/>
            <w:vAlign w:val="center"/>
          </w:tcPr>
          <w:p w14:paraId="16BFBB9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-62</w:t>
            </w:r>
          </w:p>
        </w:tc>
        <w:tc>
          <w:tcPr>
            <w:tcW w:w="685" w:type="dxa"/>
            <w:vAlign w:val="center"/>
          </w:tcPr>
          <w:p w14:paraId="548C778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-364</w:t>
            </w:r>
          </w:p>
        </w:tc>
        <w:tc>
          <w:tcPr>
            <w:tcW w:w="684" w:type="dxa"/>
            <w:vAlign w:val="center"/>
          </w:tcPr>
          <w:p w14:paraId="2BD36B6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-485</w:t>
            </w:r>
          </w:p>
        </w:tc>
        <w:tc>
          <w:tcPr>
            <w:tcW w:w="684" w:type="dxa"/>
            <w:vAlign w:val="center"/>
          </w:tcPr>
          <w:p w14:paraId="68CC796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-345</w:t>
            </w:r>
          </w:p>
        </w:tc>
      </w:tr>
      <w:tr w:rsidR="00171AA8" w:rsidRPr="00731FE2" w14:paraId="13690D32" w14:textId="77777777">
        <w:tc>
          <w:tcPr>
            <w:tcW w:w="2268" w:type="dxa"/>
            <w:vAlign w:val="center"/>
          </w:tcPr>
          <w:p w14:paraId="2EF8DA49"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Коэффициент рождаемости, ‰</w:t>
            </w:r>
          </w:p>
        </w:tc>
        <w:tc>
          <w:tcPr>
            <w:tcW w:w="660" w:type="dxa"/>
            <w:vAlign w:val="center"/>
          </w:tcPr>
          <w:p w14:paraId="1BDAE07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9</w:t>
            </w:r>
          </w:p>
        </w:tc>
        <w:tc>
          <w:tcPr>
            <w:tcW w:w="728" w:type="dxa"/>
            <w:vAlign w:val="center"/>
          </w:tcPr>
          <w:p w14:paraId="36E2D73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8,9</w:t>
            </w:r>
          </w:p>
        </w:tc>
        <w:tc>
          <w:tcPr>
            <w:tcW w:w="728" w:type="dxa"/>
            <w:vAlign w:val="center"/>
          </w:tcPr>
          <w:p w14:paraId="3766BDC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10,3</w:t>
            </w:r>
          </w:p>
        </w:tc>
        <w:tc>
          <w:tcPr>
            <w:tcW w:w="728" w:type="dxa"/>
            <w:vAlign w:val="center"/>
          </w:tcPr>
          <w:p w14:paraId="7B8B7DF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12,2</w:t>
            </w:r>
          </w:p>
        </w:tc>
        <w:tc>
          <w:tcPr>
            <w:tcW w:w="728" w:type="dxa"/>
            <w:vAlign w:val="center"/>
          </w:tcPr>
          <w:p w14:paraId="316C648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11,1</w:t>
            </w:r>
          </w:p>
        </w:tc>
        <w:tc>
          <w:tcPr>
            <w:tcW w:w="728" w:type="dxa"/>
            <w:vAlign w:val="center"/>
          </w:tcPr>
          <w:p w14:paraId="2659ED0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10,9</w:t>
            </w:r>
          </w:p>
        </w:tc>
        <w:tc>
          <w:tcPr>
            <w:tcW w:w="726" w:type="dxa"/>
            <w:vAlign w:val="center"/>
          </w:tcPr>
          <w:p w14:paraId="62E813A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9,8</w:t>
            </w:r>
          </w:p>
        </w:tc>
        <w:tc>
          <w:tcPr>
            <w:tcW w:w="685" w:type="dxa"/>
            <w:vAlign w:val="center"/>
          </w:tcPr>
          <w:p w14:paraId="7C46677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8,3</w:t>
            </w:r>
          </w:p>
        </w:tc>
        <w:tc>
          <w:tcPr>
            <w:tcW w:w="684" w:type="dxa"/>
            <w:vAlign w:val="center"/>
          </w:tcPr>
          <w:p w14:paraId="33FB7DB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8,7</w:t>
            </w:r>
          </w:p>
        </w:tc>
        <w:tc>
          <w:tcPr>
            <w:tcW w:w="684" w:type="dxa"/>
            <w:vAlign w:val="center"/>
          </w:tcPr>
          <w:p w14:paraId="5211E41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8</w:t>
            </w:r>
          </w:p>
        </w:tc>
      </w:tr>
      <w:tr w:rsidR="00171AA8" w:rsidRPr="00731FE2" w14:paraId="2431641F" w14:textId="77777777">
        <w:tc>
          <w:tcPr>
            <w:tcW w:w="2268" w:type="dxa"/>
            <w:vAlign w:val="center"/>
          </w:tcPr>
          <w:p w14:paraId="402BF6C7"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Коэффициент смертности, ‰</w:t>
            </w:r>
          </w:p>
        </w:tc>
        <w:tc>
          <w:tcPr>
            <w:tcW w:w="660" w:type="dxa"/>
            <w:vAlign w:val="center"/>
          </w:tcPr>
          <w:p w14:paraId="71A7124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9,6</w:t>
            </w:r>
          </w:p>
        </w:tc>
        <w:tc>
          <w:tcPr>
            <w:tcW w:w="728" w:type="dxa"/>
            <w:vAlign w:val="center"/>
          </w:tcPr>
          <w:p w14:paraId="3175DDE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9,9</w:t>
            </w:r>
          </w:p>
        </w:tc>
        <w:tc>
          <w:tcPr>
            <w:tcW w:w="728" w:type="dxa"/>
            <w:vAlign w:val="center"/>
          </w:tcPr>
          <w:p w14:paraId="11CFB1B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9,4</w:t>
            </w:r>
          </w:p>
        </w:tc>
        <w:tc>
          <w:tcPr>
            <w:tcW w:w="728" w:type="dxa"/>
            <w:vAlign w:val="center"/>
          </w:tcPr>
          <w:p w14:paraId="67E2043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9,8</w:t>
            </w:r>
          </w:p>
        </w:tc>
        <w:tc>
          <w:tcPr>
            <w:tcW w:w="728" w:type="dxa"/>
            <w:vAlign w:val="center"/>
          </w:tcPr>
          <w:p w14:paraId="64C95F9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9,6</w:t>
            </w:r>
          </w:p>
        </w:tc>
        <w:tc>
          <w:tcPr>
            <w:tcW w:w="728" w:type="dxa"/>
            <w:vAlign w:val="center"/>
          </w:tcPr>
          <w:p w14:paraId="1C641B7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9,9</w:t>
            </w:r>
          </w:p>
        </w:tc>
        <w:tc>
          <w:tcPr>
            <w:tcW w:w="726" w:type="dxa"/>
            <w:vAlign w:val="center"/>
          </w:tcPr>
          <w:p w14:paraId="477F4DC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10,3</w:t>
            </w:r>
          </w:p>
        </w:tc>
        <w:tc>
          <w:tcPr>
            <w:tcW w:w="685" w:type="dxa"/>
            <w:vAlign w:val="center"/>
          </w:tcPr>
          <w:p w14:paraId="79D763B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11</w:t>
            </w:r>
          </w:p>
        </w:tc>
        <w:tc>
          <w:tcPr>
            <w:tcW w:w="684" w:type="dxa"/>
            <w:vAlign w:val="center"/>
          </w:tcPr>
          <w:p w14:paraId="57196BE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12,3</w:t>
            </w:r>
          </w:p>
        </w:tc>
        <w:tc>
          <w:tcPr>
            <w:tcW w:w="684" w:type="dxa"/>
            <w:vAlign w:val="center"/>
          </w:tcPr>
          <w:p w14:paraId="054E341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10,6</w:t>
            </w:r>
          </w:p>
        </w:tc>
      </w:tr>
      <w:tr w:rsidR="00171AA8" w:rsidRPr="00731FE2" w14:paraId="76DDF13D" w14:textId="77777777">
        <w:tc>
          <w:tcPr>
            <w:tcW w:w="2268" w:type="dxa"/>
            <w:vAlign w:val="center"/>
          </w:tcPr>
          <w:p w14:paraId="15DAC637"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Коэффициент естественного прироста (убыли), ‰</w:t>
            </w:r>
          </w:p>
        </w:tc>
        <w:tc>
          <w:tcPr>
            <w:tcW w:w="660" w:type="dxa"/>
            <w:vAlign w:val="center"/>
          </w:tcPr>
          <w:p w14:paraId="04F2F45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-0,6</w:t>
            </w:r>
          </w:p>
        </w:tc>
        <w:tc>
          <w:tcPr>
            <w:tcW w:w="728" w:type="dxa"/>
            <w:vAlign w:val="center"/>
          </w:tcPr>
          <w:p w14:paraId="7795591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w:t>
            </w:r>
          </w:p>
        </w:tc>
        <w:tc>
          <w:tcPr>
            <w:tcW w:w="728" w:type="dxa"/>
            <w:vAlign w:val="center"/>
          </w:tcPr>
          <w:p w14:paraId="3787C83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0,9</w:t>
            </w:r>
          </w:p>
        </w:tc>
        <w:tc>
          <w:tcPr>
            <w:tcW w:w="728" w:type="dxa"/>
            <w:vAlign w:val="center"/>
          </w:tcPr>
          <w:p w14:paraId="6F19697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2,4</w:t>
            </w:r>
          </w:p>
        </w:tc>
        <w:tc>
          <w:tcPr>
            <w:tcW w:w="728" w:type="dxa"/>
            <w:vAlign w:val="center"/>
          </w:tcPr>
          <w:p w14:paraId="3CEF882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1,5</w:t>
            </w:r>
          </w:p>
        </w:tc>
        <w:tc>
          <w:tcPr>
            <w:tcW w:w="728" w:type="dxa"/>
            <w:vAlign w:val="center"/>
          </w:tcPr>
          <w:p w14:paraId="4C47AB5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w:t>
            </w:r>
          </w:p>
        </w:tc>
        <w:tc>
          <w:tcPr>
            <w:tcW w:w="726" w:type="dxa"/>
            <w:vAlign w:val="center"/>
          </w:tcPr>
          <w:p w14:paraId="7486158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-0,5</w:t>
            </w:r>
          </w:p>
        </w:tc>
        <w:tc>
          <w:tcPr>
            <w:tcW w:w="685" w:type="dxa"/>
            <w:vAlign w:val="center"/>
          </w:tcPr>
          <w:p w14:paraId="56F3E65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-2,7</w:t>
            </w:r>
          </w:p>
        </w:tc>
        <w:tc>
          <w:tcPr>
            <w:tcW w:w="684" w:type="dxa"/>
            <w:vAlign w:val="center"/>
          </w:tcPr>
          <w:p w14:paraId="65D8171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-3,6</w:t>
            </w:r>
          </w:p>
        </w:tc>
        <w:tc>
          <w:tcPr>
            <w:tcW w:w="684" w:type="dxa"/>
            <w:vAlign w:val="center"/>
          </w:tcPr>
          <w:p w14:paraId="2DFA500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-2,6</w:t>
            </w:r>
          </w:p>
        </w:tc>
      </w:tr>
    </w:tbl>
    <w:p w14:paraId="3B7CAE4B" w14:textId="77777777" w:rsidR="00171AA8" w:rsidRPr="00731FE2" w:rsidRDefault="00171AA8">
      <w:pPr>
        <w:pBdr>
          <w:top w:val="none" w:sz="4" w:space="0" w:color="000000"/>
          <w:left w:val="none" w:sz="4" w:space="0" w:color="000000"/>
          <w:bottom w:val="none" w:sz="4" w:space="0" w:color="000000"/>
          <w:right w:val="none" w:sz="4" w:space="0" w:color="000000"/>
        </w:pBdr>
        <w:ind w:firstLine="0"/>
      </w:pPr>
    </w:p>
    <w:p w14:paraId="393733E9"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lastRenderedPageBreak/>
        <w:t>Наряду с процессами естественного воспроизводства населения большую роль в формировании демографического потенциала (численности населения) территории городского округа города-курорта Кисловодска играют миграционные процессы.</w:t>
      </w:r>
    </w:p>
    <w:p w14:paraId="15CF421F"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Суммарно за период 2010-2014 гг. городской округ имел миграционный прирост населения – более 2,5 тыс. человек, который покрывал естественную убыль населения и свидетельствовал о привлекательности его территории для проживания граждан из других регионов. С 2015 года вектор и характер миграционных процессов кардинально поменялись. Городской округ испытывает стабильный миграционный отток населения. Причем, обращает на себя внимание тот факт, что роль территориальных направлений миграционных потоков городского округа города-курорта Кисловодска, в общем объеме миграционной убыли различна. Так, миграция в пределах России имеет выраженный негативный характер – миграционный отток составляет более 350 человек за 2022 г. Наибольшие миграционный отток наблюдается в 2018 году, более 600 человек. В целом по округу миграционная убыль за 2018-2022 гг. составила около 400 человек (таблица ниже).</w:t>
      </w:r>
    </w:p>
    <w:p w14:paraId="4B2855E2" w14:textId="77777777" w:rsidR="00171AA8" w:rsidRPr="00731FE2" w:rsidRDefault="00171AA8">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p>
    <w:p w14:paraId="6573A8E6" w14:textId="77777777" w:rsidR="00171AA8" w:rsidRPr="00731FE2" w:rsidRDefault="007935AB">
      <w:pPr>
        <w:pStyle w:val="af3"/>
        <w:pBdr>
          <w:top w:val="none" w:sz="4" w:space="0" w:color="000000"/>
          <w:left w:val="none" w:sz="4" w:space="0" w:color="000000"/>
          <w:bottom w:val="none" w:sz="4" w:space="0" w:color="000000"/>
          <w:right w:val="none" w:sz="4" w:space="0" w:color="000000"/>
        </w:pBdr>
        <w:rPr>
          <w:sz w:val="24"/>
          <w:szCs w:val="24"/>
        </w:rPr>
      </w:pPr>
      <w:r w:rsidRPr="00731FE2">
        <w:rPr>
          <w:sz w:val="24"/>
          <w:szCs w:val="24"/>
        </w:rPr>
        <w:t xml:space="preserve">Таблица </w:t>
      </w:r>
      <w:r w:rsidR="00D97880" w:rsidRPr="00731FE2">
        <w:rPr>
          <w:noProof/>
          <w:sz w:val="24"/>
          <w:szCs w:val="24"/>
        </w:rPr>
        <w:fldChar w:fldCharType="begin"/>
      </w:r>
      <w:r w:rsidR="00D97880" w:rsidRPr="00731FE2">
        <w:rPr>
          <w:noProof/>
          <w:sz w:val="24"/>
          <w:szCs w:val="24"/>
        </w:rPr>
        <w:instrText xml:space="preserve"> SEQ Таблица \* Arabic </w:instrText>
      </w:r>
      <w:r w:rsidR="00D97880" w:rsidRPr="00731FE2">
        <w:rPr>
          <w:noProof/>
          <w:sz w:val="24"/>
          <w:szCs w:val="24"/>
        </w:rPr>
        <w:fldChar w:fldCharType="separate"/>
      </w:r>
      <w:r w:rsidR="00C50915" w:rsidRPr="00731FE2">
        <w:rPr>
          <w:noProof/>
          <w:sz w:val="24"/>
          <w:szCs w:val="24"/>
        </w:rPr>
        <w:t>9</w:t>
      </w:r>
      <w:r w:rsidR="00D97880" w:rsidRPr="00731FE2">
        <w:rPr>
          <w:noProof/>
          <w:sz w:val="24"/>
          <w:szCs w:val="24"/>
        </w:rPr>
        <w:fldChar w:fldCharType="end"/>
      </w:r>
      <w:r w:rsidRPr="00731FE2">
        <w:rPr>
          <w:sz w:val="24"/>
          <w:szCs w:val="24"/>
        </w:rPr>
        <w:t xml:space="preserve"> – Основные показатели миграционного </w:t>
      </w:r>
      <w:proofErr w:type="gramStart"/>
      <w:r w:rsidRPr="00731FE2">
        <w:rPr>
          <w:sz w:val="24"/>
          <w:szCs w:val="24"/>
        </w:rPr>
        <w:t>движения населения городского округа города-курорта Кисловодска</w:t>
      </w:r>
      <w:proofErr w:type="gramEnd"/>
      <w:r w:rsidRPr="00731FE2">
        <w:rPr>
          <w:sz w:val="24"/>
          <w:szCs w:val="24"/>
        </w:rPr>
        <w:t xml:space="preserve"> в 2013 – 2022 гг.</w:t>
      </w:r>
      <w:r w:rsidRPr="00731FE2">
        <w:rPr>
          <w:sz w:val="24"/>
          <w:szCs w:val="24"/>
          <w:vertAlign w:val="superscript"/>
        </w:rPr>
        <w:footnoteReference w:id="33"/>
      </w:r>
    </w:p>
    <w:tbl>
      <w:tblPr>
        <w:tblStyle w:val="afe"/>
        <w:tblW w:w="0" w:type="auto"/>
        <w:tblLook w:val="04A0" w:firstRow="1" w:lastRow="0" w:firstColumn="1" w:lastColumn="0" w:noHBand="0" w:noVBand="1"/>
      </w:tblPr>
      <w:tblGrid>
        <w:gridCol w:w="3011"/>
        <w:gridCol w:w="656"/>
        <w:gridCol w:w="656"/>
        <w:gridCol w:w="656"/>
        <w:gridCol w:w="656"/>
        <w:gridCol w:w="656"/>
        <w:gridCol w:w="656"/>
        <w:gridCol w:w="656"/>
        <w:gridCol w:w="656"/>
        <w:gridCol w:w="656"/>
        <w:gridCol w:w="656"/>
      </w:tblGrid>
      <w:tr w:rsidR="00171AA8" w:rsidRPr="00731FE2" w14:paraId="1D0B6F5D" w14:textId="77777777">
        <w:tc>
          <w:tcPr>
            <w:tcW w:w="3678" w:type="dxa"/>
            <w:vAlign w:val="center"/>
          </w:tcPr>
          <w:p w14:paraId="21236BA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b/>
                <w:bCs/>
                <w:color w:val="000000"/>
                <w:sz w:val="22"/>
              </w:rPr>
            </w:pPr>
            <w:r w:rsidRPr="00731FE2">
              <w:rPr>
                <w:rFonts w:ascii="Times New Roman" w:eastAsia="Times New Roman" w:hAnsi="Times New Roman" w:cs="Times New Roman"/>
                <w:b/>
                <w:bCs/>
                <w:color w:val="000000"/>
                <w:sz w:val="22"/>
              </w:rPr>
              <w:t>Демографический показатель</w:t>
            </w:r>
          </w:p>
        </w:tc>
        <w:tc>
          <w:tcPr>
            <w:tcW w:w="560" w:type="dxa"/>
            <w:vAlign w:val="center"/>
          </w:tcPr>
          <w:p w14:paraId="66E6A9C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b/>
                <w:bCs/>
                <w:color w:val="000000"/>
                <w:sz w:val="22"/>
              </w:rPr>
            </w:pPr>
            <w:r w:rsidRPr="00731FE2">
              <w:rPr>
                <w:rFonts w:ascii="Times New Roman" w:eastAsia="Times New Roman" w:hAnsi="Times New Roman" w:cs="Times New Roman"/>
                <w:b/>
                <w:bCs/>
                <w:color w:val="000000"/>
                <w:sz w:val="22"/>
              </w:rPr>
              <w:t>2013</w:t>
            </w:r>
          </w:p>
        </w:tc>
        <w:tc>
          <w:tcPr>
            <w:tcW w:w="560" w:type="dxa"/>
            <w:vAlign w:val="center"/>
          </w:tcPr>
          <w:p w14:paraId="3A0D3B7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b/>
                <w:bCs/>
                <w:color w:val="000000"/>
                <w:sz w:val="22"/>
              </w:rPr>
            </w:pPr>
            <w:r w:rsidRPr="00731FE2">
              <w:rPr>
                <w:rFonts w:ascii="Times New Roman" w:eastAsia="Times New Roman" w:hAnsi="Times New Roman" w:cs="Times New Roman"/>
                <w:b/>
                <w:bCs/>
                <w:color w:val="000000"/>
                <w:sz w:val="22"/>
              </w:rPr>
              <w:t>2014</w:t>
            </w:r>
          </w:p>
        </w:tc>
        <w:tc>
          <w:tcPr>
            <w:tcW w:w="560" w:type="dxa"/>
            <w:vAlign w:val="center"/>
          </w:tcPr>
          <w:p w14:paraId="28B0540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b/>
                <w:bCs/>
                <w:color w:val="000000"/>
                <w:sz w:val="22"/>
              </w:rPr>
            </w:pPr>
            <w:r w:rsidRPr="00731FE2">
              <w:rPr>
                <w:rFonts w:ascii="Times New Roman" w:eastAsia="Times New Roman" w:hAnsi="Times New Roman" w:cs="Times New Roman"/>
                <w:b/>
                <w:bCs/>
                <w:color w:val="000000"/>
                <w:sz w:val="22"/>
              </w:rPr>
              <w:t>2015</w:t>
            </w:r>
          </w:p>
        </w:tc>
        <w:tc>
          <w:tcPr>
            <w:tcW w:w="560" w:type="dxa"/>
            <w:vAlign w:val="center"/>
          </w:tcPr>
          <w:p w14:paraId="0F95333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b/>
                <w:bCs/>
                <w:color w:val="000000"/>
                <w:sz w:val="22"/>
              </w:rPr>
            </w:pPr>
            <w:r w:rsidRPr="00731FE2">
              <w:rPr>
                <w:rFonts w:ascii="Times New Roman" w:eastAsia="Times New Roman" w:hAnsi="Times New Roman" w:cs="Times New Roman"/>
                <w:b/>
                <w:bCs/>
                <w:color w:val="000000"/>
                <w:sz w:val="22"/>
              </w:rPr>
              <w:t>2016</w:t>
            </w:r>
          </w:p>
        </w:tc>
        <w:tc>
          <w:tcPr>
            <w:tcW w:w="560" w:type="dxa"/>
            <w:vAlign w:val="center"/>
          </w:tcPr>
          <w:p w14:paraId="69D9A8A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b/>
                <w:bCs/>
                <w:color w:val="000000"/>
                <w:sz w:val="22"/>
              </w:rPr>
            </w:pPr>
            <w:r w:rsidRPr="00731FE2">
              <w:rPr>
                <w:rFonts w:ascii="Times New Roman" w:eastAsia="Times New Roman" w:hAnsi="Times New Roman" w:cs="Times New Roman"/>
                <w:b/>
                <w:bCs/>
                <w:color w:val="000000"/>
                <w:sz w:val="22"/>
              </w:rPr>
              <w:t>2017</w:t>
            </w:r>
          </w:p>
        </w:tc>
        <w:tc>
          <w:tcPr>
            <w:tcW w:w="560" w:type="dxa"/>
            <w:vAlign w:val="center"/>
          </w:tcPr>
          <w:p w14:paraId="5E28F8C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b/>
                <w:bCs/>
                <w:color w:val="000000"/>
                <w:sz w:val="22"/>
              </w:rPr>
            </w:pPr>
            <w:r w:rsidRPr="00731FE2">
              <w:rPr>
                <w:rFonts w:ascii="Times New Roman" w:eastAsia="Times New Roman" w:hAnsi="Times New Roman" w:cs="Times New Roman"/>
                <w:b/>
                <w:bCs/>
                <w:color w:val="000000"/>
                <w:sz w:val="22"/>
              </w:rPr>
              <w:t>2018</w:t>
            </w:r>
          </w:p>
        </w:tc>
        <w:tc>
          <w:tcPr>
            <w:tcW w:w="560" w:type="dxa"/>
            <w:vAlign w:val="center"/>
          </w:tcPr>
          <w:p w14:paraId="64DD7EE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b/>
                <w:bCs/>
                <w:color w:val="000000"/>
                <w:sz w:val="22"/>
              </w:rPr>
            </w:pPr>
            <w:r w:rsidRPr="00731FE2">
              <w:rPr>
                <w:rFonts w:ascii="Times New Roman" w:eastAsia="Times New Roman" w:hAnsi="Times New Roman" w:cs="Times New Roman"/>
                <w:b/>
                <w:bCs/>
                <w:color w:val="000000"/>
                <w:sz w:val="22"/>
              </w:rPr>
              <w:t>2019</w:t>
            </w:r>
          </w:p>
        </w:tc>
        <w:tc>
          <w:tcPr>
            <w:tcW w:w="560" w:type="dxa"/>
            <w:vAlign w:val="center"/>
          </w:tcPr>
          <w:p w14:paraId="205B3B9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b/>
                <w:bCs/>
                <w:color w:val="000000"/>
                <w:sz w:val="22"/>
              </w:rPr>
            </w:pPr>
            <w:r w:rsidRPr="00731FE2">
              <w:rPr>
                <w:rFonts w:ascii="Times New Roman" w:eastAsia="Times New Roman" w:hAnsi="Times New Roman" w:cs="Times New Roman"/>
                <w:b/>
                <w:bCs/>
                <w:color w:val="000000"/>
                <w:sz w:val="22"/>
              </w:rPr>
              <w:t>2020</w:t>
            </w:r>
          </w:p>
        </w:tc>
        <w:tc>
          <w:tcPr>
            <w:tcW w:w="560" w:type="dxa"/>
            <w:vAlign w:val="center"/>
          </w:tcPr>
          <w:p w14:paraId="670AD6F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b/>
                <w:bCs/>
                <w:color w:val="000000"/>
                <w:sz w:val="22"/>
              </w:rPr>
            </w:pPr>
            <w:r w:rsidRPr="00731FE2">
              <w:rPr>
                <w:rFonts w:ascii="Times New Roman" w:eastAsia="Times New Roman" w:hAnsi="Times New Roman" w:cs="Times New Roman"/>
                <w:b/>
                <w:bCs/>
                <w:color w:val="000000"/>
                <w:sz w:val="22"/>
              </w:rPr>
              <w:t>2021</w:t>
            </w:r>
          </w:p>
        </w:tc>
        <w:tc>
          <w:tcPr>
            <w:tcW w:w="560" w:type="dxa"/>
            <w:vAlign w:val="center"/>
          </w:tcPr>
          <w:p w14:paraId="25E6A9C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b/>
                <w:bCs/>
                <w:color w:val="000000"/>
                <w:sz w:val="22"/>
              </w:rPr>
            </w:pPr>
            <w:r w:rsidRPr="00731FE2">
              <w:rPr>
                <w:rFonts w:ascii="Times New Roman" w:eastAsia="Times New Roman" w:hAnsi="Times New Roman" w:cs="Times New Roman"/>
                <w:b/>
                <w:bCs/>
                <w:color w:val="000000"/>
                <w:sz w:val="22"/>
              </w:rPr>
              <w:t>2022</w:t>
            </w:r>
          </w:p>
        </w:tc>
      </w:tr>
      <w:tr w:rsidR="00171AA8" w:rsidRPr="00731FE2" w14:paraId="7B7B10A0" w14:textId="77777777">
        <w:tc>
          <w:tcPr>
            <w:tcW w:w="9355" w:type="dxa"/>
            <w:gridSpan w:val="11"/>
            <w:vAlign w:val="center"/>
          </w:tcPr>
          <w:p w14:paraId="5ABC0E3D"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Число прибывших, человек</w:t>
            </w:r>
          </w:p>
        </w:tc>
      </w:tr>
      <w:tr w:rsidR="00171AA8" w:rsidRPr="00731FE2" w14:paraId="30B94643" w14:textId="77777777">
        <w:tc>
          <w:tcPr>
            <w:tcW w:w="3678" w:type="dxa"/>
            <w:vAlign w:val="center"/>
          </w:tcPr>
          <w:p w14:paraId="3B39BB7E"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proofErr w:type="gramStart"/>
            <w:r w:rsidRPr="00731FE2">
              <w:rPr>
                <w:rFonts w:ascii="Times New Roman" w:eastAsia="Times New Roman" w:hAnsi="Times New Roman" w:cs="Times New Roman"/>
                <w:color w:val="000000"/>
                <w:sz w:val="22"/>
              </w:rPr>
              <w:t>Миграция-всего</w:t>
            </w:r>
            <w:proofErr w:type="gramEnd"/>
          </w:p>
        </w:tc>
        <w:tc>
          <w:tcPr>
            <w:tcW w:w="560" w:type="dxa"/>
            <w:noWrap/>
            <w:vAlign w:val="center"/>
          </w:tcPr>
          <w:p w14:paraId="30DAA3D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4222</w:t>
            </w:r>
          </w:p>
        </w:tc>
        <w:tc>
          <w:tcPr>
            <w:tcW w:w="560" w:type="dxa"/>
            <w:noWrap/>
            <w:vAlign w:val="center"/>
          </w:tcPr>
          <w:p w14:paraId="4ECD665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4036</w:t>
            </w:r>
          </w:p>
        </w:tc>
        <w:tc>
          <w:tcPr>
            <w:tcW w:w="560" w:type="dxa"/>
            <w:noWrap/>
            <w:vAlign w:val="center"/>
          </w:tcPr>
          <w:p w14:paraId="38DC30F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3564</w:t>
            </w:r>
          </w:p>
        </w:tc>
        <w:tc>
          <w:tcPr>
            <w:tcW w:w="560" w:type="dxa"/>
            <w:noWrap/>
            <w:vAlign w:val="center"/>
          </w:tcPr>
          <w:p w14:paraId="7250066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3296</w:t>
            </w:r>
          </w:p>
        </w:tc>
        <w:tc>
          <w:tcPr>
            <w:tcW w:w="560" w:type="dxa"/>
            <w:noWrap/>
            <w:vAlign w:val="center"/>
          </w:tcPr>
          <w:p w14:paraId="03130CA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3206</w:t>
            </w:r>
          </w:p>
        </w:tc>
        <w:tc>
          <w:tcPr>
            <w:tcW w:w="560" w:type="dxa"/>
            <w:noWrap/>
            <w:vAlign w:val="center"/>
          </w:tcPr>
          <w:p w14:paraId="0CD9AED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2751</w:t>
            </w:r>
          </w:p>
        </w:tc>
        <w:tc>
          <w:tcPr>
            <w:tcW w:w="560" w:type="dxa"/>
            <w:noWrap/>
            <w:vAlign w:val="center"/>
          </w:tcPr>
          <w:p w14:paraId="1615938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2734</w:t>
            </w:r>
          </w:p>
        </w:tc>
        <w:tc>
          <w:tcPr>
            <w:tcW w:w="560" w:type="dxa"/>
            <w:noWrap/>
            <w:vAlign w:val="center"/>
          </w:tcPr>
          <w:p w14:paraId="54CA551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2334</w:t>
            </w:r>
          </w:p>
        </w:tc>
        <w:tc>
          <w:tcPr>
            <w:tcW w:w="560" w:type="dxa"/>
            <w:noWrap/>
            <w:vAlign w:val="center"/>
          </w:tcPr>
          <w:p w14:paraId="712F2BE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2348</w:t>
            </w:r>
          </w:p>
        </w:tc>
        <w:tc>
          <w:tcPr>
            <w:tcW w:w="560" w:type="dxa"/>
            <w:noWrap/>
            <w:vAlign w:val="center"/>
          </w:tcPr>
          <w:p w14:paraId="39B35B1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2339</w:t>
            </w:r>
          </w:p>
        </w:tc>
      </w:tr>
      <w:tr w:rsidR="00171AA8" w:rsidRPr="00731FE2" w14:paraId="53DB7694" w14:textId="77777777">
        <w:tc>
          <w:tcPr>
            <w:tcW w:w="3678" w:type="dxa"/>
            <w:vAlign w:val="center"/>
          </w:tcPr>
          <w:p w14:paraId="4EC93CD3"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в пределах России</w:t>
            </w:r>
          </w:p>
        </w:tc>
        <w:tc>
          <w:tcPr>
            <w:tcW w:w="560" w:type="dxa"/>
            <w:noWrap/>
            <w:vAlign w:val="center"/>
          </w:tcPr>
          <w:p w14:paraId="192F453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3783</w:t>
            </w:r>
          </w:p>
        </w:tc>
        <w:tc>
          <w:tcPr>
            <w:tcW w:w="560" w:type="dxa"/>
            <w:noWrap/>
            <w:vAlign w:val="center"/>
          </w:tcPr>
          <w:p w14:paraId="4580262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3596</w:t>
            </w:r>
          </w:p>
        </w:tc>
        <w:tc>
          <w:tcPr>
            <w:tcW w:w="560" w:type="dxa"/>
            <w:noWrap/>
            <w:vAlign w:val="center"/>
          </w:tcPr>
          <w:p w14:paraId="60447CB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3211</w:t>
            </w:r>
          </w:p>
        </w:tc>
        <w:tc>
          <w:tcPr>
            <w:tcW w:w="560" w:type="dxa"/>
            <w:noWrap/>
            <w:vAlign w:val="center"/>
          </w:tcPr>
          <w:p w14:paraId="3E71241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2836</w:t>
            </w:r>
          </w:p>
        </w:tc>
        <w:tc>
          <w:tcPr>
            <w:tcW w:w="560" w:type="dxa"/>
            <w:noWrap/>
            <w:vAlign w:val="center"/>
          </w:tcPr>
          <w:p w14:paraId="1582554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2896</w:t>
            </w:r>
          </w:p>
        </w:tc>
        <w:tc>
          <w:tcPr>
            <w:tcW w:w="560" w:type="dxa"/>
            <w:noWrap/>
            <w:vAlign w:val="center"/>
          </w:tcPr>
          <w:p w14:paraId="440D82B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2556</w:t>
            </w:r>
          </w:p>
        </w:tc>
        <w:tc>
          <w:tcPr>
            <w:tcW w:w="560" w:type="dxa"/>
            <w:noWrap/>
            <w:vAlign w:val="center"/>
          </w:tcPr>
          <w:p w14:paraId="555C9A1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2516</w:t>
            </w:r>
          </w:p>
        </w:tc>
        <w:tc>
          <w:tcPr>
            <w:tcW w:w="560" w:type="dxa"/>
            <w:noWrap/>
            <w:vAlign w:val="center"/>
          </w:tcPr>
          <w:p w14:paraId="5C906EF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2144</w:t>
            </w:r>
          </w:p>
        </w:tc>
        <w:tc>
          <w:tcPr>
            <w:tcW w:w="560" w:type="dxa"/>
            <w:noWrap/>
            <w:vAlign w:val="center"/>
          </w:tcPr>
          <w:p w14:paraId="2BFE21A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2162</w:t>
            </w:r>
          </w:p>
        </w:tc>
        <w:tc>
          <w:tcPr>
            <w:tcW w:w="560" w:type="dxa"/>
            <w:noWrap/>
            <w:vAlign w:val="center"/>
          </w:tcPr>
          <w:p w14:paraId="4F5D92F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2109</w:t>
            </w:r>
          </w:p>
        </w:tc>
      </w:tr>
      <w:tr w:rsidR="00171AA8" w:rsidRPr="00731FE2" w14:paraId="1B40B15A" w14:textId="77777777">
        <w:tc>
          <w:tcPr>
            <w:tcW w:w="3678" w:type="dxa"/>
            <w:vAlign w:val="center"/>
          </w:tcPr>
          <w:p w14:paraId="2560E0BC"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международная</w:t>
            </w:r>
          </w:p>
        </w:tc>
        <w:tc>
          <w:tcPr>
            <w:tcW w:w="560" w:type="dxa"/>
            <w:noWrap/>
            <w:vAlign w:val="center"/>
          </w:tcPr>
          <w:p w14:paraId="109A656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439</w:t>
            </w:r>
          </w:p>
        </w:tc>
        <w:tc>
          <w:tcPr>
            <w:tcW w:w="560" w:type="dxa"/>
            <w:noWrap/>
            <w:vAlign w:val="center"/>
          </w:tcPr>
          <w:p w14:paraId="0E305FA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440</w:t>
            </w:r>
          </w:p>
        </w:tc>
        <w:tc>
          <w:tcPr>
            <w:tcW w:w="560" w:type="dxa"/>
            <w:noWrap/>
            <w:vAlign w:val="center"/>
          </w:tcPr>
          <w:p w14:paraId="70D3727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353</w:t>
            </w:r>
          </w:p>
        </w:tc>
        <w:tc>
          <w:tcPr>
            <w:tcW w:w="560" w:type="dxa"/>
            <w:noWrap/>
            <w:vAlign w:val="center"/>
          </w:tcPr>
          <w:p w14:paraId="7ADA704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460</w:t>
            </w:r>
          </w:p>
        </w:tc>
        <w:tc>
          <w:tcPr>
            <w:tcW w:w="560" w:type="dxa"/>
            <w:noWrap/>
            <w:vAlign w:val="center"/>
          </w:tcPr>
          <w:p w14:paraId="29115CB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310</w:t>
            </w:r>
          </w:p>
        </w:tc>
        <w:tc>
          <w:tcPr>
            <w:tcW w:w="560" w:type="dxa"/>
            <w:noWrap/>
            <w:vAlign w:val="center"/>
          </w:tcPr>
          <w:p w14:paraId="1A1F5A2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195</w:t>
            </w:r>
          </w:p>
        </w:tc>
        <w:tc>
          <w:tcPr>
            <w:tcW w:w="560" w:type="dxa"/>
            <w:noWrap/>
            <w:vAlign w:val="center"/>
          </w:tcPr>
          <w:p w14:paraId="3FD2A3C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218</w:t>
            </w:r>
          </w:p>
        </w:tc>
        <w:tc>
          <w:tcPr>
            <w:tcW w:w="560" w:type="dxa"/>
            <w:noWrap/>
            <w:vAlign w:val="center"/>
          </w:tcPr>
          <w:p w14:paraId="0EE1A45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190</w:t>
            </w:r>
          </w:p>
        </w:tc>
        <w:tc>
          <w:tcPr>
            <w:tcW w:w="560" w:type="dxa"/>
            <w:noWrap/>
            <w:vAlign w:val="center"/>
          </w:tcPr>
          <w:p w14:paraId="016A8D6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186</w:t>
            </w:r>
          </w:p>
        </w:tc>
        <w:tc>
          <w:tcPr>
            <w:tcW w:w="560" w:type="dxa"/>
            <w:noWrap/>
            <w:vAlign w:val="center"/>
          </w:tcPr>
          <w:p w14:paraId="6FBF5C3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230</w:t>
            </w:r>
          </w:p>
        </w:tc>
      </w:tr>
      <w:tr w:rsidR="00171AA8" w:rsidRPr="00731FE2" w14:paraId="0D5FDBF9" w14:textId="77777777">
        <w:tc>
          <w:tcPr>
            <w:tcW w:w="9355" w:type="dxa"/>
            <w:gridSpan w:val="11"/>
            <w:vAlign w:val="center"/>
          </w:tcPr>
          <w:p w14:paraId="1BE077C7"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Число выбывших, человек</w:t>
            </w:r>
          </w:p>
        </w:tc>
      </w:tr>
      <w:tr w:rsidR="00171AA8" w:rsidRPr="00731FE2" w14:paraId="748FD5C6" w14:textId="77777777">
        <w:tc>
          <w:tcPr>
            <w:tcW w:w="3678" w:type="dxa"/>
            <w:vAlign w:val="center"/>
          </w:tcPr>
          <w:p w14:paraId="3186884B"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proofErr w:type="gramStart"/>
            <w:r w:rsidRPr="00731FE2">
              <w:rPr>
                <w:rFonts w:ascii="Times New Roman" w:eastAsia="Times New Roman" w:hAnsi="Times New Roman" w:cs="Times New Roman"/>
                <w:color w:val="000000"/>
                <w:sz w:val="22"/>
              </w:rPr>
              <w:t>Миграция-всего</w:t>
            </w:r>
            <w:proofErr w:type="gramEnd"/>
          </w:p>
        </w:tc>
        <w:tc>
          <w:tcPr>
            <w:tcW w:w="560" w:type="dxa"/>
            <w:noWrap/>
            <w:vAlign w:val="center"/>
          </w:tcPr>
          <w:p w14:paraId="11277ED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3571</w:t>
            </w:r>
          </w:p>
        </w:tc>
        <w:tc>
          <w:tcPr>
            <w:tcW w:w="560" w:type="dxa"/>
            <w:noWrap/>
            <w:vAlign w:val="center"/>
          </w:tcPr>
          <w:p w14:paraId="333AA10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3831</w:t>
            </w:r>
          </w:p>
        </w:tc>
        <w:tc>
          <w:tcPr>
            <w:tcW w:w="560" w:type="dxa"/>
            <w:noWrap/>
            <w:vAlign w:val="center"/>
          </w:tcPr>
          <w:p w14:paraId="6B41557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3702</w:t>
            </w:r>
          </w:p>
        </w:tc>
        <w:tc>
          <w:tcPr>
            <w:tcW w:w="560" w:type="dxa"/>
            <w:noWrap/>
            <w:vAlign w:val="center"/>
          </w:tcPr>
          <w:p w14:paraId="4478F66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3751</w:t>
            </w:r>
          </w:p>
        </w:tc>
        <w:tc>
          <w:tcPr>
            <w:tcW w:w="560" w:type="dxa"/>
            <w:noWrap/>
            <w:vAlign w:val="center"/>
          </w:tcPr>
          <w:p w14:paraId="6F9263A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3717</w:t>
            </w:r>
          </w:p>
        </w:tc>
        <w:tc>
          <w:tcPr>
            <w:tcW w:w="560" w:type="dxa"/>
            <w:noWrap/>
            <w:vAlign w:val="center"/>
          </w:tcPr>
          <w:p w14:paraId="5E04DB8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3399</w:t>
            </w:r>
          </w:p>
        </w:tc>
        <w:tc>
          <w:tcPr>
            <w:tcW w:w="560" w:type="dxa"/>
            <w:noWrap/>
            <w:vAlign w:val="center"/>
          </w:tcPr>
          <w:p w14:paraId="7B667AD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3023</w:t>
            </w:r>
          </w:p>
        </w:tc>
        <w:tc>
          <w:tcPr>
            <w:tcW w:w="560" w:type="dxa"/>
            <w:noWrap/>
            <w:vAlign w:val="center"/>
          </w:tcPr>
          <w:p w14:paraId="2582ADA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2850</w:t>
            </w:r>
          </w:p>
        </w:tc>
        <w:tc>
          <w:tcPr>
            <w:tcW w:w="560" w:type="dxa"/>
            <w:noWrap/>
            <w:vAlign w:val="center"/>
          </w:tcPr>
          <w:p w14:paraId="214C676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2502</w:t>
            </w:r>
          </w:p>
        </w:tc>
        <w:tc>
          <w:tcPr>
            <w:tcW w:w="560" w:type="dxa"/>
            <w:noWrap/>
            <w:vAlign w:val="center"/>
          </w:tcPr>
          <w:p w14:paraId="0B270FA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2710</w:t>
            </w:r>
          </w:p>
        </w:tc>
      </w:tr>
      <w:tr w:rsidR="00171AA8" w:rsidRPr="00731FE2" w14:paraId="4D1C79D1" w14:textId="77777777">
        <w:tc>
          <w:tcPr>
            <w:tcW w:w="3678" w:type="dxa"/>
            <w:vAlign w:val="center"/>
          </w:tcPr>
          <w:p w14:paraId="4D090CE8"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в пределах России</w:t>
            </w:r>
          </w:p>
        </w:tc>
        <w:tc>
          <w:tcPr>
            <w:tcW w:w="560" w:type="dxa"/>
            <w:noWrap/>
            <w:vAlign w:val="center"/>
          </w:tcPr>
          <w:p w14:paraId="6F41036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3464</w:t>
            </w:r>
          </w:p>
        </w:tc>
        <w:tc>
          <w:tcPr>
            <w:tcW w:w="560" w:type="dxa"/>
            <w:noWrap/>
            <w:vAlign w:val="center"/>
          </w:tcPr>
          <w:p w14:paraId="2C2CB8E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3604</w:t>
            </w:r>
          </w:p>
        </w:tc>
        <w:tc>
          <w:tcPr>
            <w:tcW w:w="560" w:type="dxa"/>
            <w:noWrap/>
            <w:vAlign w:val="center"/>
          </w:tcPr>
          <w:p w14:paraId="4ABE1CC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3417</w:t>
            </w:r>
          </w:p>
        </w:tc>
        <w:tc>
          <w:tcPr>
            <w:tcW w:w="560" w:type="dxa"/>
            <w:noWrap/>
            <w:vAlign w:val="center"/>
          </w:tcPr>
          <w:p w14:paraId="7A63EF1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3468</w:t>
            </w:r>
          </w:p>
        </w:tc>
        <w:tc>
          <w:tcPr>
            <w:tcW w:w="560" w:type="dxa"/>
            <w:noWrap/>
            <w:vAlign w:val="center"/>
          </w:tcPr>
          <w:p w14:paraId="66D8208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3347</w:t>
            </w:r>
          </w:p>
        </w:tc>
        <w:tc>
          <w:tcPr>
            <w:tcW w:w="560" w:type="dxa"/>
            <w:noWrap/>
            <w:vAlign w:val="center"/>
          </w:tcPr>
          <w:p w14:paraId="0C65509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3165</w:t>
            </w:r>
          </w:p>
        </w:tc>
        <w:tc>
          <w:tcPr>
            <w:tcW w:w="560" w:type="dxa"/>
            <w:noWrap/>
            <w:vAlign w:val="center"/>
          </w:tcPr>
          <w:p w14:paraId="25D1470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2757</w:t>
            </w:r>
          </w:p>
        </w:tc>
        <w:tc>
          <w:tcPr>
            <w:tcW w:w="560" w:type="dxa"/>
            <w:noWrap/>
            <w:vAlign w:val="center"/>
          </w:tcPr>
          <w:p w14:paraId="689EF51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2577</w:t>
            </w:r>
          </w:p>
        </w:tc>
        <w:tc>
          <w:tcPr>
            <w:tcW w:w="560" w:type="dxa"/>
            <w:noWrap/>
            <w:vAlign w:val="center"/>
          </w:tcPr>
          <w:p w14:paraId="352E595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2385</w:t>
            </w:r>
          </w:p>
        </w:tc>
        <w:tc>
          <w:tcPr>
            <w:tcW w:w="560" w:type="dxa"/>
            <w:noWrap/>
            <w:vAlign w:val="center"/>
          </w:tcPr>
          <w:p w14:paraId="4E2719F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2416</w:t>
            </w:r>
          </w:p>
        </w:tc>
      </w:tr>
      <w:tr w:rsidR="00171AA8" w:rsidRPr="00731FE2" w14:paraId="4C01AE92" w14:textId="77777777">
        <w:tc>
          <w:tcPr>
            <w:tcW w:w="3678" w:type="dxa"/>
            <w:vAlign w:val="center"/>
          </w:tcPr>
          <w:p w14:paraId="587A1347"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международная</w:t>
            </w:r>
          </w:p>
        </w:tc>
        <w:tc>
          <w:tcPr>
            <w:tcW w:w="560" w:type="dxa"/>
            <w:noWrap/>
            <w:vAlign w:val="center"/>
          </w:tcPr>
          <w:p w14:paraId="5E42682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107</w:t>
            </w:r>
          </w:p>
        </w:tc>
        <w:tc>
          <w:tcPr>
            <w:tcW w:w="560" w:type="dxa"/>
            <w:noWrap/>
            <w:vAlign w:val="center"/>
          </w:tcPr>
          <w:p w14:paraId="34A2867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227</w:t>
            </w:r>
          </w:p>
        </w:tc>
        <w:tc>
          <w:tcPr>
            <w:tcW w:w="560" w:type="dxa"/>
            <w:noWrap/>
            <w:vAlign w:val="center"/>
          </w:tcPr>
          <w:p w14:paraId="5A0C9AE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285</w:t>
            </w:r>
          </w:p>
        </w:tc>
        <w:tc>
          <w:tcPr>
            <w:tcW w:w="560" w:type="dxa"/>
            <w:noWrap/>
            <w:vAlign w:val="center"/>
          </w:tcPr>
          <w:p w14:paraId="30A07C4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283</w:t>
            </w:r>
          </w:p>
        </w:tc>
        <w:tc>
          <w:tcPr>
            <w:tcW w:w="560" w:type="dxa"/>
            <w:noWrap/>
            <w:vAlign w:val="center"/>
          </w:tcPr>
          <w:p w14:paraId="17CD2F4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370</w:t>
            </w:r>
          </w:p>
        </w:tc>
        <w:tc>
          <w:tcPr>
            <w:tcW w:w="560" w:type="dxa"/>
            <w:noWrap/>
            <w:vAlign w:val="center"/>
          </w:tcPr>
          <w:p w14:paraId="359C5F9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234</w:t>
            </w:r>
          </w:p>
        </w:tc>
        <w:tc>
          <w:tcPr>
            <w:tcW w:w="560" w:type="dxa"/>
            <w:noWrap/>
            <w:vAlign w:val="center"/>
          </w:tcPr>
          <w:p w14:paraId="4B0BC35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266</w:t>
            </w:r>
          </w:p>
        </w:tc>
        <w:tc>
          <w:tcPr>
            <w:tcW w:w="560" w:type="dxa"/>
            <w:noWrap/>
            <w:vAlign w:val="center"/>
          </w:tcPr>
          <w:p w14:paraId="1D512C1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273</w:t>
            </w:r>
          </w:p>
        </w:tc>
        <w:tc>
          <w:tcPr>
            <w:tcW w:w="560" w:type="dxa"/>
            <w:noWrap/>
            <w:vAlign w:val="center"/>
          </w:tcPr>
          <w:p w14:paraId="4E14EEC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117</w:t>
            </w:r>
          </w:p>
        </w:tc>
        <w:tc>
          <w:tcPr>
            <w:tcW w:w="560" w:type="dxa"/>
            <w:noWrap/>
            <w:vAlign w:val="center"/>
          </w:tcPr>
          <w:p w14:paraId="141A322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294</w:t>
            </w:r>
          </w:p>
        </w:tc>
      </w:tr>
      <w:tr w:rsidR="00171AA8" w:rsidRPr="00731FE2" w14:paraId="5B74B64E" w14:textId="77777777">
        <w:tc>
          <w:tcPr>
            <w:tcW w:w="9355" w:type="dxa"/>
            <w:gridSpan w:val="11"/>
            <w:vAlign w:val="center"/>
          </w:tcPr>
          <w:p w14:paraId="7792F2AC"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Миграционный прирост, человек</w:t>
            </w:r>
          </w:p>
        </w:tc>
      </w:tr>
      <w:tr w:rsidR="00171AA8" w:rsidRPr="00731FE2" w14:paraId="021C001F" w14:textId="77777777">
        <w:tc>
          <w:tcPr>
            <w:tcW w:w="3678" w:type="dxa"/>
            <w:vAlign w:val="center"/>
          </w:tcPr>
          <w:p w14:paraId="2782B810"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proofErr w:type="gramStart"/>
            <w:r w:rsidRPr="00731FE2">
              <w:rPr>
                <w:rFonts w:ascii="Times New Roman" w:eastAsia="Times New Roman" w:hAnsi="Times New Roman" w:cs="Times New Roman"/>
                <w:color w:val="000000"/>
                <w:sz w:val="22"/>
              </w:rPr>
              <w:t>Миграция-всего</w:t>
            </w:r>
            <w:proofErr w:type="gramEnd"/>
          </w:p>
        </w:tc>
        <w:tc>
          <w:tcPr>
            <w:tcW w:w="560" w:type="dxa"/>
            <w:noWrap/>
            <w:vAlign w:val="center"/>
          </w:tcPr>
          <w:p w14:paraId="5CDBFC9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651</w:t>
            </w:r>
          </w:p>
        </w:tc>
        <w:tc>
          <w:tcPr>
            <w:tcW w:w="560" w:type="dxa"/>
            <w:noWrap/>
            <w:vAlign w:val="center"/>
          </w:tcPr>
          <w:p w14:paraId="7E76820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205</w:t>
            </w:r>
          </w:p>
        </w:tc>
        <w:tc>
          <w:tcPr>
            <w:tcW w:w="560" w:type="dxa"/>
            <w:noWrap/>
            <w:vAlign w:val="center"/>
          </w:tcPr>
          <w:p w14:paraId="2367177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-138</w:t>
            </w:r>
          </w:p>
        </w:tc>
        <w:tc>
          <w:tcPr>
            <w:tcW w:w="560" w:type="dxa"/>
            <w:noWrap/>
            <w:vAlign w:val="center"/>
          </w:tcPr>
          <w:p w14:paraId="44FC10A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-455</w:t>
            </w:r>
          </w:p>
        </w:tc>
        <w:tc>
          <w:tcPr>
            <w:tcW w:w="560" w:type="dxa"/>
            <w:noWrap/>
            <w:vAlign w:val="center"/>
          </w:tcPr>
          <w:p w14:paraId="15181AD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-511</w:t>
            </w:r>
          </w:p>
        </w:tc>
        <w:tc>
          <w:tcPr>
            <w:tcW w:w="560" w:type="dxa"/>
            <w:noWrap/>
            <w:vAlign w:val="center"/>
          </w:tcPr>
          <w:p w14:paraId="58CA256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-648</w:t>
            </w:r>
          </w:p>
        </w:tc>
        <w:tc>
          <w:tcPr>
            <w:tcW w:w="560" w:type="dxa"/>
            <w:noWrap/>
            <w:vAlign w:val="center"/>
          </w:tcPr>
          <w:p w14:paraId="5E090FC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-289</w:t>
            </w:r>
          </w:p>
        </w:tc>
        <w:tc>
          <w:tcPr>
            <w:tcW w:w="560" w:type="dxa"/>
            <w:noWrap/>
            <w:vAlign w:val="center"/>
          </w:tcPr>
          <w:p w14:paraId="1CAFCDD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-516</w:t>
            </w:r>
          </w:p>
        </w:tc>
        <w:tc>
          <w:tcPr>
            <w:tcW w:w="560" w:type="dxa"/>
            <w:noWrap/>
            <w:vAlign w:val="center"/>
          </w:tcPr>
          <w:p w14:paraId="1F797F7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-154</w:t>
            </w:r>
          </w:p>
        </w:tc>
        <w:tc>
          <w:tcPr>
            <w:tcW w:w="560" w:type="dxa"/>
            <w:noWrap/>
            <w:vAlign w:val="center"/>
          </w:tcPr>
          <w:p w14:paraId="131AB19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-371</w:t>
            </w:r>
          </w:p>
        </w:tc>
      </w:tr>
      <w:tr w:rsidR="00171AA8" w:rsidRPr="00731FE2" w14:paraId="25E87CB0" w14:textId="77777777">
        <w:tc>
          <w:tcPr>
            <w:tcW w:w="3678" w:type="dxa"/>
            <w:vAlign w:val="center"/>
          </w:tcPr>
          <w:p w14:paraId="073D47F5"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в пределах России</w:t>
            </w:r>
          </w:p>
        </w:tc>
        <w:tc>
          <w:tcPr>
            <w:tcW w:w="560" w:type="dxa"/>
            <w:noWrap/>
            <w:vAlign w:val="center"/>
          </w:tcPr>
          <w:p w14:paraId="54FE394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319</w:t>
            </w:r>
          </w:p>
        </w:tc>
        <w:tc>
          <w:tcPr>
            <w:tcW w:w="560" w:type="dxa"/>
            <w:noWrap/>
            <w:vAlign w:val="center"/>
          </w:tcPr>
          <w:p w14:paraId="37E931C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-8</w:t>
            </w:r>
          </w:p>
        </w:tc>
        <w:tc>
          <w:tcPr>
            <w:tcW w:w="560" w:type="dxa"/>
            <w:noWrap/>
            <w:vAlign w:val="center"/>
          </w:tcPr>
          <w:p w14:paraId="08268E2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-206</w:t>
            </w:r>
          </w:p>
        </w:tc>
        <w:tc>
          <w:tcPr>
            <w:tcW w:w="560" w:type="dxa"/>
            <w:noWrap/>
            <w:vAlign w:val="center"/>
          </w:tcPr>
          <w:p w14:paraId="4A28749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-632</w:t>
            </w:r>
          </w:p>
        </w:tc>
        <w:tc>
          <w:tcPr>
            <w:tcW w:w="560" w:type="dxa"/>
            <w:noWrap/>
            <w:vAlign w:val="center"/>
          </w:tcPr>
          <w:p w14:paraId="0D0D997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-451</w:t>
            </w:r>
          </w:p>
        </w:tc>
        <w:tc>
          <w:tcPr>
            <w:tcW w:w="560" w:type="dxa"/>
            <w:noWrap/>
            <w:vAlign w:val="center"/>
          </w:tcPr>
          <w:p w14:paraId="5DC4AD6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-609</w:t>
            </w:r>
          </w:p>
        </w:tc>
        <w:tc>
          <w:tcPr>
            <w:tcW w:w="560" w:type="dxa"/>
            <w:noWrap/>
            <w:vAlign w:val="center"/>
          </w:tcPr>
          <w:p w14:paraId="5D3C9C4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-241</w:t>
            </w:r>
          </w:p>
        </w:tc>
        <w:tc>
          <w:tcPr>
            <w:tcW w:w="560" w:type="dxa"/>
            <w:noWrap/>
            <w:vAlign w:val="center"/>
          </w:tcPr>
          <w:p w14:paraId="794476E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-433</w:t>
            </w:r>
          </w:p>
        </w:tc>
        <w:tc>
          <w:tcPr>
            <w:tcW w:w="560" w:type="dxa"/>
            <w:noWrap/>
            <w:vAlign w:val="center"/>
          </w:tcPr>
          <w:p w14:paraId="5291983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-223</w:t>
            </w:r>
          </w:p>
        </w:tc>
        <w:tc>
          <w:tcPr>
            <w:tcW w:w="560" w:type="dxa"/>
            <w:noWrap/>
            <w:vAlign w:val="center"/>
          </w:tcPr>
          <w:p w14:paraId="36884C6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-307</w:t>
            </w:r>
          </w:p>
        </w:tc>
      </w:tr>
      <w:tr w:rsidR="00171AA8" w:rsidRPr="00731FE2" w14:paraId="54A378D6" w14:textId="77777777">
        <w:tc>
          <w:tcPr>
            <w:tcW w:w="3678" w:type="dxa"/>
            <w:vAlign w:val="center"/>
          </w:tcPr>
          <w:p w14:paraId="63044147"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международная</w:t>
            </w:r>
          </w:p>
        </w:tc>
        <w:tc>
          <w:tcPr>
            <w:tcW w:w="560" w:type="dxa"/>
            <w:noWrap/>
            <w:vAlign w:val="center"/>
          </w:tcPr>
          <w:p w14:paraId="35493CB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332</w:t>
            </w:r>
          </w:p>
        </w:tc>
        <w:tc>
          <w:tcPr>
            <w:tcW w:w="560" w:type="dxa"/>
            <w:noWrap/>
            <w:vAlign w:val="center"/>
          </w:tcPr>
          <w:p w14:paraId="55AB6FA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213</w:t>
            </w:r>
          </w:p>
        </w:tc>
        <w:tc>
          <w:tcPr>
            <w:tcW w:w="560" w:type="dxa"/>
            <w:noWrap/>
            <w:vAlign w:val="center"/>
          </w:tcPr>
          <w:p w14:paraId="2CE8445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68</w:t>
            </w:r>
          </w:p>
        </w:tc>
        <w:tc>
          <w:tcPr>
            <w:tcW w:w="560" w:type="dxa"/>
            <w:noWrap/>
            <w:vAlign w:val="center"/>
          </w:tcPr>
          <w:p w14:paraId="6591DD0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177</w:t>
            </w:r>
          </w:p>
        </w:tc>
        <w:tc>
          <w:tcPr>
            <w:tcW w:w="560" w:type="dxa"/>
            <w:noWrap/>
            <w:vAlign w:val="center"/>
          </w:tcPr>
          <w:p w14:paraId="27D903D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-60</w:t>
            </w:r>
          </w:p>
        </w:tc>
        <w:tc>
          <w:tcPr>
            <w:tcW w:w="560" w:type="dxa"/>
            <w:noWrap/>
            <w:vAlign w:val="center"/>
          </w:tcPr>
          <w:p w14:paraId="4B757F6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-39</w:t>
            </w:r>
          </w:p>
        </w:tc>
        <w:tc>
          <w:tcPr>
            <w:tcW w:w="560" w:type="dxa"/>
            <w:noWrap/>
            <w:vAlign w:val="center"/>
          </w:tcPr>
          <w:p w14:paraId="75A5C85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-48</w:t>
            </w:r>
          </w:p>
        </w:tc>
        <w:tc>
          <w:tcPr>
            <w:tcW w:w="560" w:type="dxa"/>
            <w:noWrap/>
            <w:vAlign w:val="center"/>
          </w:tcPr>
          <w:p w14:paraId="7403B2B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-83</w:t>
            </w:r>
          </w:p>
        </w:tc>
        <w:tc>
          <w:tcPr>
            <w:tcW w:w="560" w:type="dxa"/>
            <w:noWrap/>
            <w:vAlign w:val="center"/>
          </w:tcPr>
          <w:p w14:paraId="4CEBA26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69</w:t>
            </w:r>
          </w:p>
        </w:tc>
        <w:tc>
          <w:tcPr>
            <w:tcW w:w="560" w:type="dxa"/>
            <w:noWrap/>
            <w:vAlign w:val="center"/>
          </w:tcPr>
          <w:p w14:paraId="06C1D20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-64</w:t>
            </w:r>
          </w:p>
        </w:tc>
      </w:tr>
    </w:tbl>
    <w:p w14:paraId="1E5F9438" w14:textId="77777777" w:rsidR="00171AA8" w:rsidRPr="00731FE2" w:rsidRDefault="00171AA8">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p>
    <w:p w14:paraId="53C5E017"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Как показывает практика, основную часть мигрантов составляет население в трудоспособном возрасте. Указанные тенденции оказывают негативное влияние на половозрастную структуру населения городского округа.</w:t>
      </w:r>
    </w:p>
    <w:p w14:paraId="6932B196"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В настоящее время вследствие накопленных негативных тенденций в естественном движении населения, отрицательного тренда миграционного притока последних лет в городском округе сложилась неблагоприятная (регрессивная) возрастная структура населения.</w:t>
      </w:r>
    </w:p>
    <w:p w14:paraId="58D3C286" w14:textId="77777777" w:rsidR="00171AA8" w:rsidRPr="00731FE2" w:rsidRDefault="00171AA8">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p>
    <w:p w14:paraId="4EDA7242"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Cs w:val="24"/>
        </w:rPr>
      </w:pPr>
      <w:r w:rsidRPr="00731FE2">
        <w:rPr>
          <w:noProof/>
          <w:lang w:eastAsia="ru-RU"/>
        </w:rPr>
        <w:lastRenderedPageBreak/>
        <w:drawing>
          <wp:inline distT="0" distB="0" distL="0" distR="0" wp14:anchorId="7615F333" wp14:editId="431FDCF8">
            <wp:extent cx="5940425" cy="2923635"/>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3361920" name=""/>
                    <pic:cNvPicPr>
                      <a:picLocks noChangeAspect="1"/>
                    </pic:cNvPicPr>
                  </pic:nvPicPr>
                  <pic:blipFill>
                    <a:blip r:embed="rId16"/>
                    <a:stretch/>
                  </pic:blipFill>
                  <pic:spPr bwMode="auto">
                    <a:xfrm>
                      <a:off x="0" y="0"/>
                      <a:ext cx="5940424" cy="2923634"/>
                    </a:xfrm>
                    <a:prstGeom prst="rect">
                      <a:avLst/>
                    </a:prstGeom>
                  </pic:spPr>
                </pic:pic>
              </a:graphicData>
            </a:graphic>
          </wp:inline>
        </w:drawing>
      </w:r>
    </w:p>
    <w:p w14:paraId="2D5E372D" w14:textId="77777777" w:rsidR="00171AA8" w:rsidRPr="00731FE2" w:rsidRDefault="007935AB">
      <w:pPr>
        <w:pStyle w:val="af3"/>
        <w:rPr>
          <w:sz w:val="24"/>
          <w:szCs w:val="24"/>
        </w:rPr>
      </w:pPr>
      <w:r w:rsidRPr="00731FE2">
        <w:rPr>
          <w:sz w:val="24"/>
          <w:szCs w:val="24"/>
        </w:rPr>
        <w:t xml:space="preserve">Рисунок </w:t>
      </w:r>
      <w:r w:rsidR="00D97880" w:rsidRPr="00731FE2">
        <w:rPr>
          <w:noProof/>
          <w:sz w:val="24"/>
          <w:szCs w:val="24"/>
        </w:rPr>
        <w:fldChar w:fldCharType="begin"/>
      </w:r>
      <w:r w:rsidR="00D97880" w:rsidRPr="00731FE2">
        <w:rPr>
          <w:noProof/>
          <w:sz w:val="24"/>
          <w:szCs w:val="24"/>
        </w:rPr>
        <w:instrText xml:space="preserve"> SEQ Рисунок \* Arabic </w:instrText>
      </w:r>
      <w:r w:rsidR="00D97880" w:rsidRPr="00731FE2">
        <w:rPr>
          <w:noProof/>
          <w:sz w:val="24"/>
          <w:szCs w:val="24"/>
        </w:rPr>
        <w:fldChar w:fldCharType="separate"/>
      </w:r>
      <w:r w:rsidR="00C50915" w:rsidRPr="00731FE2">
        <w:rPr>
          <w:noProof/>
          <w:sz w:val="24"/>
          <w:szCs w:val="24"/>
        </w:rPr>
        <w:t>6</w:t>
      </w:r>
      <w:r w:rsidR="00D97880" w:rsidRPr="00731FE2">
        <w:rPr>
          <w:noProof/>
          <w:sz w:val="24"/>
          <w:szCs w:val="24"/>
        </w:rPr>
        <w:fldChar w:fldCharType="end"/>
      </w:r>
      <w:r w:rsidRPr="00731FE2">
        <w:rPr>
          <w:sz w:val="24"/>
          <w:szCs w:val="24"/>
        </w:rPr>
        <w:t xml:space="preserve"> – Половозрастная структура городского округа города-курорта Кисловодска в 2023 г.</w:t>
      </w:r>
      <w:r w:rsidRPr="00731FE2">
        <w:rPr>
          <w:sz w:val="24"/>
          <w:szCs w:val="24"/>
          <w:vertAlign w:val="superscript"/>
        </w:rPr>
        <w:footnoteReference w:id="34"/>
      </w:r>
    </w:p>
    <w:p w14:paraId="12779417" w14:textId="77777777" w:rsidR="00902F18" w:rsidRPr="00731FE2" w:rsidRDefault="00902F18">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p>
    <w:p w14:paraId="1078E890" w14:textId="77777777" w:rsidR="00171AA8" w:rsidRPr="00731FE2" w:rsidRDefault="007935AB">
      <w:pPr>
        <w:pBdr>
          <w:top w:val="none" w:sz="4" w:space="0" w:color="000000"/>
          <w:left w:val="none" w:sz="4" w:space="0" w:color="000000"/>
          <w:bottom w:val="none" w:sz="4" w:space="0" w:color="000000"/>
          <w:right w:val="none" w:sz="4" w:space="0" w:color="000000"/>
        </w:pBdr>
      </w:pPr>
      <w:r w:rsidRPr="00731FE2">
        <w:rPr>
          <w:rFonts w:ascii="Times New Roman" w:eastAsia="Times New Roman" w:hAnsi="Times New Roman" w:cs="Times New Roman"/>
          <w:color w:val="000000"/>
          <w:szCs w:val="24"/>
        </w:rPr>
        <w:t>В городском округе городе-курорте Кисловодске отмечается повышенная доля мужчин старше трудоспособного возраста – 25 % в 2023 г. (рисунок выше). В общей численности женщин и мужчин доли детей и пожилых людей близки по значению, 16,6 и 19,2 % соответственно. Характерно увеличение доли населения в трудоспособном возрасте с 56,5 (в 2019 г.) до 64,2 (в 2023 г.). Достаточно серьезной проблемой является постоянное сокращение возрастной когорты молодежи, не вступившей в трудоспособный возраст, – с 17,4% (в 2019 г.) до 16,6 % (в 2023 г.).</w:t>
      </w:r>
      <w:r w:rsidRPr="00731FE2">
        <w:t xml:space="preserve"> </w:t>
      </w:r>
    </w:p>
    <w:p w14:paraId="097E8441"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Такие тенденции уже в ближайшее время могут поставить перед округом проблему – формирования трудоресурсного потенциала территории.</w:t>
      </w:r>
    </w:p>
    <w:p w14:paraId="55A45DF8"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Гендерная (половая) структура населения городского округа города-курорта Кисловодска отражает среднюю статистику по Ставропольскому краю. На долю женщин приходится немногим более 54% населения, доля мужчин – 45,9%.</w:t>
      </w:r>
    </w:p>
    <w:p w14:paraId="1DB5E151"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Кисловодск является полиэтничным, поликультурным и поликонфессиональным округом, что обусловлено его экономико-географическим положением и историей развития. В национальном составе населения преобладают русские (75,5%), значительна также доля армян (9,3%), карачаевцев (7,0%), абазин (0,8%) и украинцев (0,5%). Доля представителей остальных национальностей не превышает 1% (рисунок ниже)</w:t>
      </w:r>
      <w:r w:rsidRPr="00731FE2">
        <w:rPr>
          <w:rFonts w:ascii="Times New Roman" w:eastAsia="Times New Roman" w:hAnsi="Times New Roman" w:cs="Times New Roman"/>
          <w:color w:val="000000"/>
          <w:szCs w:val="24"/>
          <w:vertAlign w:val="superscript"/>
        </w:rPr>
        <w:footnoteReference w:id="35"/>
      </w:r>
      <w:r w:rsidRPr="00731FE2">
        <w:rPr>
          <w:rFonts w:ascii="Times New Roman" w:eastAsia="Times New Roman" w:hAnsi="Times New Roman" w:cs="Times New Roman"/>
          <w:color w:val="000000"/>
          <w:szCs w:val="24"/>
        </w:rPr>
        <w:t>.</w:t>
      </w:r>
    </w:p>
    <w:p w14:paraId="65919B51" w14:textId="77777777" w:rsidR="00171AA8" w:rsidRPr="00731FE2" w:rsidRDefault="00171AA8">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p>
    <w:p w14:paraId="1E0069C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Cs w:val="24"/>
        </w:rPr>
      </w:pPr>
      <w:r w:rsidRPr="00731FE2">
        <w:rPr>
          <w:rFonts w:ascii="Times New Roman" w:eastAsia="Times New Roman" w:hAnsi="Times New Roman" w:cs="Times New Roman"/>
          <w:noProof/>
          <w:color w:val="000000"/>
          <w:szCs w:val="24"/>
          <w:lang w:eastAsia="ru-RU"/>
        </w:rPr>
        <w:lastRenderedPageBreak/>
        <w:drawing>
          <wp:inline distT="0" distB="0" distL="0" distR="0" wp14:anchorId="386CF03C" wp14:editId="4648F4FB">
            <wp:extent cx="5846254" cy="2488141"/>
            <wp:effectExtent l="4762" t="4762" r="4762" b="4762"/>
            <wp:docPr id="7"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10E72B6C" w14:textId="77777777" w:rsidR="00171AA8" w:rsidRPr="00731FE2" w:rsidRDefault="007935AB">
      <w:pPr>
        <w:pStyle w:val="af3"/>
        <w:pBdr>
          <w:top w:val="none" w:sz="4" w:space="0" w:color="000000"/>
          <w:left w:val="none" w:sz="4" w:space="0" w:color="000000"/>
          <w:bottom w:val="none" w:sz="4" w:space="0" w:color="000000"/>
          <w:right w:val="none" w:sz="4" w:space="0" w:color="000000"/>
        </w:pBdr>
        <w:rPr>
          <w:sz w:val="24"/>
          <w:szCs w:val="24"/>
        </w:rPr>
      </w:pPr>
      <w:r w:rsidRPr="00731FE2">
        <w:rPr>
          <w:sz w:val="24"/>
          <w:szCs w:val="24"/>
        </w:rPr>
        <w:t xml:space="preserve">Рисунок </w:t>
      </w:r>
      <w:r w:rsidR="00D97880" w:rsidRPr="00731FE2">
        <w:rPr>
          <w:noProof/>
          <w:sz w:val="24"/>
          <w:szCs w:val="24"/>
        </w:rPr>
        <w:fldChar w:fldCharType="begin"/>
      </w:r>
      <w:r w:rsidR="00D97880" w:rsidRPr="00731FE2">
        <w:rPr>
          <w:noProof/>
          <w:sz w:val="24"/>
          <w:szCs w:val="24"/>
        </w:rPr>
        <w:instrText xml:space="preserve"> SEQ Рисунок \* Arabic </w:instrText>
      </w:r>
      <w:r w:rsidR="00D97880" w:rsidRPr="00731FE2">
        <w:rPr>
          <w:noProof/>
          <w:sz w:val="24"/>
          <w:szCs w:val="24"/>
        </w:rPr>
        <w:fldChar w:fldCharType="separate"/>
      </w:r>
      <w:r w:rsidR="00C50915" w:rsidRPr="00731FE2">
        <w:rPr>
          <w:noProof/>
          <w:sz w:val="24"/>
          <w:szCs w:val="24"/>
        </w:rPr>
        <w:t>7</w:t>
      </w:r>
      <w:r w:rsidR="00D97880" w:rsidRPr="00731FE2">
        <w:rPr>
          <w:noProof/>
          <w:sz w:val="24"/>
          <w:szCs w:val="24"/>
        </w:rPr>
        <w:fldChar w:fldCharType="end"/>
      </w:r>
      <w:r w:rsidRPr="00731FE2">
        <w:rPr>
          <w:sz w:val="24"/>
          <w:szCs w:val="24"/>
        </w:rPr>
        <w:t xml:space="preserve"> – Национальный состав городского округа города-курорта Кисловодска в 2020 г., %</w:t>
      </w:r>
    </w:p>
    <w:p w14:paraId="0F799B30" w14:textId="77777777" w:rsidR="00171AA8" w:rsidRPr="00731FE2" w:rsidRDefault="00171AA8">
      <w:pPr>
        <w:pStyle w:val="af3"/>
      </w:pPr>
    </w:p>
    <w:p w14:paraId="474348D1"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Таким образом, в последние десятилетия на территории городского округа города-курорта Кисловодска сформировались определенные негативные тенденции в развитии демографических процессов, результатом которых явилась естественная убыль, миграционный отток и, как следствие, – старение населения. При этом следует отметить, что в настоящее время, несмотря на естественный прирост, значение миграционной убыли превышает его значения, определяя общее сокращение численности населения.</w:t>
      </w:r>
    </w:p>
    <w:p w14:paraId="7B4D6598"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В городе-курорте Кисловодске численность трудоспособного населения в 2022 г. составила 77,4 тыс. чел., по сравнению с 2020 г. произошло снижение показателя на 500 чел. или 0,6 % (2020 г.-77,9 тыс. чел.) в связи с уменьшением численности населения г. Кисловодска. Среднесписочная численность работников крупных и средних организаций составила 16394 чел., и увеличилась в сравнении с показателем 2022 года на 3,4%.</w:t>
      </w:r>
    </w:p>
    <w:p w14:paraId="633F7918"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vertAlign w:val="superscript"/>
        </w:rPr>
      </w:pPr>
      <w:r w:rsidRPr="00731FE2">
        <w:rPr>
          <w:rFonts w:ascii="Times New Roman" w:eastAsia="Times New Roman" w:hAnsi="Times New Roman" w:cs="Times New Roman"/>
          <w:color w:val="000000"/>
          <w:szCs w:val="24"/>
        </w:rPr>
        <w:t xml:space="preserve">Уровень официально зарегистрированной безработицы в городе на 01.01.2023 г. составил 0,2 %, уменьшился в 4,4 раза по сравнению с показателем 2020 г. (5,1 %). Напряженность на рынке труда (количество безработных на вакансию) – 0,2 ед., по сравнению с 2020 г. снижение в 2,5 раза (на 01.01.2020 г. - 5,9 ед.). </w:t>
      </w:r>
      <w:r w:rsidRPr="00731FE2">
        <w:rPr>
          <w:rFonts w:ascii="Times New Roman" w:eastAsia="Times New Roman" w:hAnsi="Times New Roman" w:cs="Times New Roman"/>
          <w:color w:val="000000"/>
          <w:szCs w:val="24"/>
          <w:vertAlign w:val="superscript"/>
        </w:rPr>
        <w:footnoteReference w:id="36"/>
      </w:r>
    </w:p>
    <w:p w14:paraId="151577BF"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 xml:space="preserve">Исследования в сфере занятости населения и рынка труда показывают, что низкая напряженность на официальном рынке труда связана, как </w:t>
      </w:r>
      <w:proofErr w:type="gramStart"/>
      <w:r w:rsidRPr="00731FE2">
        <w:rPr>
          <w:rFonts w:ascii="Times New Roman" w:eastAsia="Times New Roman" w:hAnsi="Times New Roman" w:cs="Times New Roman"/>
          <w:color w:val="000000"/>
          <w:szCs w:val="24"/>
        </w:rPr>
        <w:t>правило</w:t>
      </w:r>
      <w:proofErr w:type="gramEnd"/>
      <w:r w:rsidRPr="00731FE2">
        <w:rPr>
          <w:rFonts w:ascii="Times New Roman" w:eastAsia="Times New Roman" w:hAnsi="Times New Roman" w:cs="Times New Roman"/>
          <w:color w:val="000000"/>
          <w:szCs w:val="24"/>
        </w:rPr>
        <w:t xml:space="preserve"> с низким количеством обращений населения в органы государственной службы занятости – не более 10% от общего числа безработных. </w:t>
      </w:r>
      <w:r w:rsidR="00D97880" w:rsidRPr="00731FE2">
        <w:rPr>
          <w:rFonts w:ascii="Times New Roman" w:eastAsia="Times New Roman" w:hAnsi="Times New Roman" w:cs="Times New Roman"/>
          <w:color w:val="000000"/>
          <w:szCs w:val="24"/>
        </w:rPr>
        <w:t>Следовательно,</w:t>
      </w:r>
      <w:r w:rsidRPr="00731FE2">
        <w:rPr>
          <w:rFonts w:ascii="Times New Roman" w:eastAsia="Times New Roman" w:hAnsi="Times New Roman" w:cs="Times New Roman"/>
          <w:color w:val="000000"/>
          <w:szCs w:val="24"/>
        </w:rPr>
        <w:t xml:space="preserve"> ситуация на рынке труда городского округа города-курорта Кисловодска (как и большинства регионов России) носит скрытую (латентную) напряженность.</w:t>
      </w:r>
    </w:p>
    <w:p w14:paraId="739F8EAF"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С одной стороны, специфика хода демографических и миграционных процессов обусловливает сокращение численности трудовых ресурсов. С другой – прослеживается относительно высокий общий уровень безработицы, отмечается скрытая безработица и скрытая занятость.</w:t>
      </w:r>
    </w:p>
    <w:p w14:paraId="4B31C789"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 xml:space="preserve">В перспективе при экстраполяционном развитии тенденций в сфере формирования трудового потенциала городского округа качество трудовых ресурсов может стать </w:t>
      </w:r>
      <w:r w:rsidRPr="00731FE2">
        <w:rPr>
          <w:rFonts w:ascii="Times New Roman" w:eastAsia="Times New Roman" w:hAnsi="Times New Roman" w:cs="Times New Roman"/>
          <w:color w:val="000000"/>
          <w:szCs w:val="24"/>
        </w:rPr>
        <w:lastRenderedPageBreak/>
        <w:t>лимитирующим фактором развития его экономики в целом и санаторно-курортного комплекса в частности.</w:t>
      </w:r>
    </w:p>
    <w:p w14:paraId="4FC0A544"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b/>
          <w:bCs/>
          <w:color w:val="000000"/>
          <w:szCs w:val="24"/>
        </w:rPr>
      </w:pPr>
      <w:r w:rsidRPr="00731FE2">
        <w:rPr>
          <w:rFonts w:ascii="Times New Roman" w:eastAsia="Times New Roman" w:hAnsi="Times New Roman" w:cs="Times New Roman"/>
          <w:b/>
          <w:bCs/>
          <w:color w:val="000000"/>
          <w:szCs w:val="24"/>
        </w:rPr>
        <w:t>Исходя из изложенного выше, основные мероприятия региональной и муниципальной политики на муниципальном рынке труда и в сфере занятости населения должны складываться по следующим основным направлениям:</w:t>
      </w:r>
    </w:p>
    <w:p w14:paraId="2C90FB05" w14:textId="77777777" w:rsidR="00171AA8" w:rsidRPr="00731FE2" w:rsidRDefault="007935AB" w:rsidP="007832E7">
      <w:pPr>
        <w:pStyle w:val="a3"/>
        <w:numPr>
          <w:ilvl w:val="0"/>
          <w:numId w:val="52"/>
        </w:numPr>
        <w:pBdr>
          <w:top w:val="none" w:sz="4" w:space="0" w:color="000000"/>
          <w:left w:val="none" w:sz="4" w:space="0" w:color="000000"/>
          <w:bottom w:val="none" w:sz="4" w:space="0" w:color="000000"/>
          <w:right w:val="none" w:sz="4" w:space="0" w:color="000000"/>
        </w:pBdr>
        <w:ind w:left="0" w:firstLine="283"/>
        <w:rPr>
          <w:rFonts w:ascii="Times New Roman" w:eastAsia="Times New Roman" w:hAnsi="Times New Roman" w:cs="Times New Roman"/>
          <w:b/>
          <w:bCs/>
          <w:color w:val="000000"/>
          <w:szCs w:val="24"/>
        </w:rPr>
      </w:pPr>
      <w:r w:rsidRPr="00731FE2">
        <w:rPr>
          <w:rFonts w:ascii="Times New Roman" w:eastAsia="Times New Roman" w:hAnsi="Times New Roman" w:cs="Times New Roman"/>
          <w:b/>
          <w:bCs/>
          <w:color w:val="000000"/>
          <w:szCs w:val="24"/>
        </w:rPr>
        <w:t>реформирование экономической базы городского округа, реструктуризация и диверсификация рабочих мест, увеличение числа и качества рабочих мест;</w:t>
      </w:r>
    </w:p>
    <w:p w14:paraId="50FAB613" w14:textId="77777777" w:rsidR="00171AA8" w:rsidRPr="00731FE2" w:rsidRDefault="007935AB" w:rsidP="007832E7">
      <w:pPr>
        <w:pStyle w:val="a3"/>
        <w:numPr>
          <w:ilvl w:val="0"/>
          <w:numId w:val="52"/>
        </w:numPr>
        <w:pBdr>
          <w:top w:val="none" w:sz="4" w:space="0" w:color="000000"/>
          <w:left w:val="none" w:sz="4" w:space="0" w:color="000000"/>
          <w:bottom w:val="none" w:sz="4" w:space="0" w:color="000000"/>
          <w:right w:val="none" w:sz="4" w:space="0" w:color="000000"/>
        </w:pBdr>
        <w:ind w:left="0" w:firstLine="283"/>
        <w:rPr>
          <w:rFonts w:ascii="Times New Roman" w:eastAsia="Times New Roman" w:hAnsi="Times New Roman" w:cs="Times New Roman"/>
          <w:b/>
          <w:bCs/>
          <w:color w:val="000000"/>
          <w:szCs w:val="24"/>
        </w:rPr>
      </w:pPr>
      <w:r w:rsidRPr="00731FE2">
        <w:rPr>
          <w:rFonts w:ascii="Times New Roman" w:eastAsia="Times New Roman" w:hAnsi="Times New Roman" w:cs="Times New Roman"/>
          <w:b/>
          <w:bCs/>
          <w:color w:val="000000"/>
          <w:szCs w:val="24"/>
        </w:rPr>
        <w:t>поддержание тенденции положительной динамики численности трудоспособного населения;</w:t>
      </w:r>
    </w:p>
    <w:p w14:paraId="3D27C6C7" w14:textId="77777777" w:rsidR="00171AA8" w:rsidRPr="00731FE2" w:rsidRDefault="007935AB" w:rsidP="007832E7">
      <w:pPr>
        <w:pStyle w:val="a3"/>
        <w:numPr>
          <w:ilvl w:val="0"/>
          <w:numId w:val="52"/>
        </w:numPr>
        <w:pBdr>
          <w:top w:val="none" w:sz="4" w:space="0" w:color="000000"/>
          <w:left w:val="none" w:sz="4" w:space="0" w:color="000000"/>
          <w:bottom w:val="none" w:sz="4" w:space="0" w:color="000000"/>
          <w:right w:val="none" w:sz="4" w:space="0" w:color="000000"/>
        </w:pBdr>
        <w:ind w:left="0" w:firstLine="283"/>
        <w:rPr>
          <w:rFonts w:ascii="Times New Roman" w:eastAsia="Times New Roman" w:hAnsi="Times New Roman" w:cs="Times New Roman"/>
          <w:b/>
          <w:bCs/>
          <w:color w:val="000000"/>
          <w:szCs w:val="24"/>
        </w:rPr>
      </w:pPr>
      <w:r w:rsidRPr="00731FE2">
        <w:rPr>
          <w:rFonts w:ascii="Times New Roman" w:eastAsia="Times New Roman" w:hAnsi="Times New Roman" w:cs="Times New Roman"/>
          <w:b/>
          <w:bCs/>
          <w:color w:val="000000"/>
          <w:szCs w:val="24"/>
        </w:rPr>
        <w:t>развитие кадрового потенциала, гибкой системы профессиональной подготовки и переподготовки кадров, прежде всего в сфере отраслевой специализации города-курорта;</w:t>
      </w:r>
    </w:p>
    <w:p w14:paraId="3A018BE5" w14:textId="77777777" w:rsidR="00171AA8" w:rsidRPr="00731FE2" w:rsidRDefault="007935AB" w:rsidP="007832E7">
      <w:pPr>
        <w:pStyle w:val="a3"/>
        <w:numPr>
          <w:ilvl w:val="0"/>
          <w:numId w:val="52"/>
        </w:numPr>
        <w:pBdr>
          <w:top w:val="none" w:sz="4" w:space="0" w:color="000000"/>
          <w:left w:val="none" w:sz="4" w:space="0" w:color="000000"/>
          <w:bottom w:val="none" w:sz="4" w:space="0" w:color="000000"/>
          <w:right w:val="none" w:sz="4" w:space="0" w:color="000000"/>
        </w:pBdr>
        <w:ind w:left="0" w:firstLine="283"/>
        <w:rPr>
          <w:rFonts w:ascii="Times New Roman" w:eastAsia="Times New Roman" w:hAnsi="Times New Roman" w:cs="Times New Roman"/>
          <w:b/>
          <w:bCs/>
          <w:color w:val="000000"/>
          <w:szCs w:val="24"/>
        </w:rPr>
      </w:pPr>
      <w:r w:rsidRPr="00731FE2">
        <w:rPr>
          <w:rFonts w:ascii="Times New Roman" w:eastAsia="Times New Roman" w:hAnsi="Times New Roman" w:cs="Times New Roman"/>
          <w:b/>
          <w:bCs/>
          <w:color w:val="000000"/>
          <w:szCs w:val="24"/>
        </w:rPr>
        <w:t>проведение миграционной политики, способствующей сбалансированному развитию рынка труда и привлечению квалифицированных специалистов на его территорию.</w:t>
      </w:r>
    </w:p>
    <w:p w14:paraId="6860B498" w14:textId="77777777" w:rsidR="00171AA8" w:rsidRPr="00731FE2" w:rsidRDefault="00171AA8">
      <w:pPr>
        <w:pStyle w:val="af3"/>
      </w:pPr>
    </w:p>
    <w:p w14:paraId="60FD1457" w14:textId="77777777" w:rsidR="00171AA8" w:rsidRPr="00731FE2" w:rsidRDefault="007935AB">
      <w:pPr>
        <w:pStyle w:val="24"/>
        <w:rPr>
          <w:rFonts w:ascii="Times New Roman" w:hAnsi="Times New Roman" w:cs="Times New Roman"/>
        </w:rPr>
      </w:pPr>
      <w:bookmarkStart w:id="29" w:name="_Toc177392785"/>
      <w:r w:rsidRPr="00731FE2">
        <w:rPr>
          <w:rFonts w:ascii="Times New Roman" w:hAnsi="Times New Roman" w:cs="Times New Roman"/>
        </w:rPr>
        <w:t>2.8 Социальная инфраструктура</w:t>
      </w:r>
      <w:bookmarkEnd w:id="29"/>
    </w:p>
    <w:p w14:paraId="680247BD" w14:textId="77777777" w:rsidR="00902F18" w:rsidRPr="00731FE2" w:rsidRDefault="00902F18" w:rsidP="00454FD6">
      <w:pP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Cs w:val="24"/>
          <w:lang w:eastAsia="ru-RU"/>
        </w:rPr>
        <w:t>Социальная сфера – совокупность отраслей, предприятий, организаций, непосредственным образом связанных и определяющих образ и уровень жизни людей, их благосостояние, потребление. К социальной сфере относят, прежде всего, сферу услуг: образование, здравоохранение, культуру, физическую культуру и спорт, социальное обслуживание.</w:t>
      </w:r>
    </w:p>
    <w:p w14:paraId="3A86FA59" w14:textId="77777777" w:rsidR="00902F18" w:rsidRPr="00731FE2" w:rsidRDefault="00902F18" w:rsidP="00454FD6">
      <w:pP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Cs w:val="24"/>
          <w:lang w:eastAsia="ru-RU"/>
        </w:rPr>
        <w:t xml:space="preserve">Важными задачами </w:t>
      </w:r>
      <w:proofErr w:type="gramStart"/>
      <w:r w:rsidRPr="00731FE2">
        <w:rPr>
          <w:rFonts w:ascii="Times New Roman" w:eastAsia="Times New Roman" w:hAnsi="Times New Roman" w:cs="Times New Roman"/>
          <w:color w:val="000000"/>
          <w:szCs w:val="24"/>
          <w:lang w:eastAsia="ru-RU"/>
        </w:rPr>
        <w:t>проекта генерального плана городского округа города-курорта К</w:t>
      </w:r>
      <w:r w:rsidR="00A31712" w:rsidRPr="00731FE2">
        <w:rPr>
          <w:rFonts w:ascii="Times New Roman" w:eastAsia="Times New Roman" w:hAnsi="Times New Roman" w:cs="Times New Roman"/>
          <w:color w:val="000000"/>
          <w:szCs w:val="24"/>
          <w:lang w:eastAsia="ru-RU"/>
        </w:rPr>
        <w:t>исловодска</w:t>
      </w:r>
      <w:proofErr w:type="gramEnd"/>
      <w:r w:rsidR="00A31712" w:rsidRPr="00731FE2">
        <w:rPr>
          <w:rFonts w:ascii="Times New Roman" w:eastAsia="Times New Roman" w:hAnsi="Times New Roman" w:cs="Times New Roman"/>
          <w:color w:val="000000"/>
          <w:szCs w:val="24"/>
          <w:lang w:eastAsia="ru-RU"/>
        </w:rPr>
        <w:t xml:space="preserve"> в</w:t>
      </w:r>
      <w:r w:rsidRPr="00731FE2">
        <w:rPr>
          <w:rFonts w:ascii="Times New Roman" w:eastAsia="Times New Roman" w:hAnsi="Times New Roman" w:cs="Times New Roman"/>
          <w:color w:val="000000"/>
          <w:szCs w:val="24"/>
          <w:lang w:eastAsia="ru-RU"/>
        </w:rPr>
        <w:t xml:space="preserve"> контексте планирования и развития социальной инфраструктуры являются: </w:t>
      </w:r>
    </w:p>
    <w:p w14:paraId="673EF641" w14:textId="77777777" w:rsidR="00902F18" w:rsidRPr="00731FE2" w:rsidRDefault="00902F18" w:rsidP="007832E7">
      <w:pPr>
        <w:numPr>
          <w:ilvl w:val="0"/>
          <w:numId w:val="113"/>
        </w:numP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Cs w:val="24"/>
          <w:lang w:eastAsia="ru-RU"/>
        </w:rPr>
        <w:t xml:space="preserve">анализ территориального размещения социальной и коммунально-бытовой инфраструктуры; </w:t>
      </w:r>
    </w:p>
    <w:p w14:paraId="757A1837" w14:textId="77777777" w:rsidR="00902F18" w:rsidRPr="00731FE2" w:rsidRDefault="00902F18" w:rsidP="007832E7">
      <w:pPr>
        <w:numPr>
          <w:ilvl w:val="0"/>
          <w:numId w:val="113"/>
        </w:numP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Cs w:val="24"/>
          <w:lang w:eastAsia="ru-RU"/>
        </w:rPr>
        <w:t>оценка обеспеченности объектами социальной и коммунально-бытовой инфраструктуры;</w:t>
      </w:r>
    </w:p>
    <w:p w14:paraId="67FFF8CE" w14:textId="77777777" w:rsidR="00902F18" w:rsidRPr="00731FE2" w:rsidRDefault="00902F18" w:rsidP="007832E7">
      <w:pPr>
        <w:numPr>
          <w:ilvl w:val="0"/>
          <w:numId w:val="113"/>
        </w:numP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Cs w:val="24"/>
          <w:lang w:eastAsia="ru-RU"/>
        </w:rPr>
        <w:t>определение и обоснование проектных предложений по размещению учреждений обслуживания.</w:t>
      </w:r>
    </w:p>
    <w:p w14:paraId="61F8D65E" w14:textId="77777777" w:rsidR="00902F18" w:rsidRPr="00731FE2" w:rsidRDefault="00902F18" w:rsidP="00454FD6">
      <w:pP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Cs w:val="24"/>
          <w:lang w:eastAsia="ru-RU"/>
        </w:rPr>
        <w:t>Основная задача проекта генерального плана заключается в разработке предложений по оптимизации территориальной организации социально-культурной и коммунально-бытовой инфраструктур городского округа, обеспечивающих максимально возможное выравнивание уровня обслуживания населения на всей территории.</w:t>
      </w:r>
    </w:p>
    <w:p w14:paraId="2244C4B1" w14:textId="77777777" w:rsidR="00902F18" w:rsidRPr="00731FE2" w:rsidRDefault="00902F18" w:rsidP="00454FD6">
      <w:pP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Cs w:val="24"/>
          <w:lang w:eastAsia="ru-RU"/>
        </w:rPr>
        <w:t>Важными показателями качества жизни населения являются наличие и разнообразие объектов обслуживания, их пространственная, социальная и экономическая доступность, как для местного населения, так и для гостей городского округа.</w:t>
      </w:r>
    </w:p>
    <w:p w14:paraId="433A8D65" w14:textId="77777777" w:rsidR="00902F18" w:rsidRPr="00731FE2" w:rsidRDefault="00902F18" w:rsidP="00454FD6">
      <w:pP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Cs w:val="24"/>
          <w:lang w:eastAsia="ru-RU"/>
        </w:rPr>
        <w:t>В процессе работы был проведен анализ и дана оценка:</w:t>
      </w:r>
    </w:p>
    <w:p w14:paraId="384F4664" w14:textId="77777777" w:rsidR="00902F18" w:rsidRPr="00731FE2" w:rsidRDefault="00902F18" w:rsidP="007832E7">
      <w:pPr>
        <w:numPr>
          <w:ilvl w:val="0"/>
          <w:numId w:val="114"/>
        </w:numP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Cs w:val="24"/>
          <w:lang w:eastAsia="ru-RU"/>
        </w:rPr>
        <w:t>территориального размещения объектов социального и культурно-бытового обслуживания;</w:t>
      </w:r>
    </w:p>
    <w:p w14:paraId="544C36FB" w14:textId="77777777" w:rsidR="00902F18" w:rsidRPr="00731FE2" w:rsidRDefault="00902F18" w:rsidP="007832E7">
      <w:pPr>
        <w:numPr>
          <w:ilvl w:val="0"/>
          <w:numId w:val="114"/>
        </w:numP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Cs w:val="24"/>
          <w:lang w:eastAsia="ru-RU"/>
        </w:rPr>
        <w:t>формирующейся социальной и культурно-бытовой системы обслуживания;</w:t>
      </w:r>
    </w:p>
    <w:p w14:paraId="0AE60E0F" w14:textId="77777777" w:rsidR="00902F18" w:rsidRPr="00731FE2" w:rsidRDefault="00902F18" w:rsidP="007832E7">
      <w:pPr>
        <w:numPr>
          <w:ilvl w:val="0"/>
          <w:numId w:val="114"/>
        </w:numP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Cs w:val="24"/>
          <w:lang w:eastAsia="ru-RU"/>
        </w:rPr>
        <w:t>нормативно необходимого количества учреждений обслуживания.</w:t>
      </w:r>
    </w:p>
    <w:p w14:paraId="36B604E1" w14:textId="77777777" w:rsidR="00902F18" w:rsidRPr="00731FE2" w:rsidRDefault="00902F18" w:rsidP="00454FD6">
      <w:pPr>
        <w:rPr>
          <w:rFonts w:ascii="Times New Roman" w:eastAsia="Times New Roman" w:hAnsi="Times New Roman" w:cs="Times New Roman"/>
          <w:szCs w:val="24"/>
          <w:lang w:eastAsia="ru-RU"/>
        </w:rPr>
      </w:pPr>
      <w:proofErr w:type="gramStart"/>
      <w:r w:rsidRPr="00731FE2">
        <w:rPr>
          <w:rFonts w:ascii="Times New Roman" w:eastAsia="Times New Roman" w:hAnsi="Times New Roman" w:cs="Times New Roman"/>
          <w:color w:val="000000"/>
          <w:szCs w:val="24"/>
          <w:lang w:eastAsia="ru-RU"/>
        </w:rPr>
        <w:t>Анализ существующего состояния системы обслуживания позволил предложить проектные решения (см. Том 1.</w:t>
      </w:r>
      <w:proofErr w:type="gramEnd"/>
      <w:r w:rsidRPr="00731FE2">
        <w:rPr>
          <w:rFonts w:ascii="Times New Roman" w:eastAsia="Times New Roman" w:hAnsi="Times New Roman" w:cs="Times New Roman"/>
          <w:color w:val="000000"/>
          <w:szCs w:val="24"/>
          <w:lang w:eastAsia="ru-RU"/>
        </w:rPr>
        <w:t xml:space="preserve"> </w:t>
      </w:r>
      <w:proofErr w:type="gramStart"/>
      <w:r w:rsidRPr="00731FE2">
        <w:rPr>
          <w:rFonts w:ascii="Times New Roman" w:eastAsia="Times New Roman" w:hAnsi="Times New Roman" w:cs="Times New Roman"/>
          <w:color w:val="000000"/>
          <w:szCs w:val="24"/>
          <w:lang w:eastAsia="ru-RU"/>
        </w:rPr>
        <w:t>Положение о территориальном планировании).</w:t>
      </w:r>
      <w:proofErr w:type="gramEnd"/>
      <w:r w:rsidRPr="00731FE2">
        <w:rPr>
          <w:rFonts w:ascii="Times New Roman" w:eastAsia="Times New Roman" w:hAnsi="Times New Roman" w:cs="Times New Roman"/>
          <w:color w:val="000000"/>
          <w:szCs w:val="24"/>
          <w:lang w:eastAsia="ru-RU"/>
        </w:rPr>
        <w:t xml:space="preserve"> В свою очередь, эти решения позволят обеспечить население всем необходимым в экономически </w:t>
      </w:r>
      <w:r w:rsidRPr="00731FE2">
        <w:rPr>
          <w:rFonts w:ascii="Times New Roman" w:eastAsia="Times New Roman" w:hAnsi="Times New Roman" w:cs="Times New Roman"/>
          <w:color w:val="000000"/>
          <w:szCs w:val="24"/>
          <w:lang w:eastAsia="ru-RU"/>
        </w:rPr>
        <w:lastRenderedPageBreak/>
        <w:t>оправданных пределах, по транспортной доступности и ассортименту услуг, повысить его уровень жизни, создать полноценные условия труда, быта и отдыха жителей городского округа города-курорта Кисловодска, а также создать необходимые условия для отдыха приезжающих рекреантов.</w:t>
      </w:r>
    </w:p>
    <w:p w14:paraId="7FE604C0" w14:textId="77777777" w:rsidR="00902F18" w:rsidRPr="00731FE2" w:rsidRDefault="00902F18" w:rsidP="00454FD6">
      <w:pP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Cs w:val="24"/>
          <w:lang w:eastAsia="ru-RU"/>
        </w:rPr>
        <w:t xml:space="preserve">Система </w:t>
      </w:r>
      <w:proofErr w:type="gramStart"/>
      <w:r w:rsidRPr="00731FE2">
        <w:rPr>
          <w:rFonts w:ascii="Times New Roman" w:eastAsia="Times New Roman" w:hAnsi="Times New Roman" w:cs="Times New Roman"/>
          <w:color w:val="000000"/>
          <w:szCs w:val="24"/>
          <w:lang w:eastAsia="ru-RU"/>
        </w:rPr>
        <w:t>обслуживания населения городского округа города-курорта Кисловодска</w:t>
      </w:r>
      <w:proofErr w:type="gramEnd"/>
      <w:r w:rsidRPr="00731FE2">
        <w:rPr>
          <w:rFonts w:ascii="Times New Roman" w:eastAsia="Times New Roman" w:hAnsi="Times New Roman" w:cs="Times New Roman"/>
          <w:color w:val="000000"/>
          <w:szCs w:val="24"/>
          <w:lang w:eastAsia="ru-RU"/>
        </w:rPr>
        <w:t xml:space="preserve"> определяется:</w:t>
      </w:r>
    </w:p>
    <w:p w14:paraId="365131DC" w14:textId="77777777" w:rsidR="00902F18" w:rsidRPr="00731FE2" w:rsidRDefault="00902F18" w:rsidP="007832E7">
      <w:pPr>
        <w:numPr>
          <w:ilvl w:val="0"/>
          <w:numId w:val="115"/>
        </w:numP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Cs w:val="24"/>
          <w:lang w:eastAsia="ru-RU"/>
        </w:rPr>
        <w:t>учреждениями социально-культурной и коммунально-бытовой сферы;</w:t>
      </w:r>
    </w:p>
    <w:p w14:paraId="63F2A55A" w14:textId="77777777" w:rsidR="00902F18" w:rsidRPr="00731FE2" w:rsidRDefault="00902F18" w:rsidP="007832E7">
      <w:pPr>
        <w:numPr>
          <w:ilvl w:val="0"/>
          <w:numId w:val="115"/>
        </w:numP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Cs w:val="24"/>
          <w:lang w:eastAsia="ru-RU"/>
        </w:rPr>
        <w:t>формированием многоуровневой системы обслуживания (с иерархией центров) с учетом обеспечения населения нормативным количеством учреждений обслуживания.</w:t>
      </w:r>
    </w:p>
    <w:p w14:paraId="6EBE6521" w14:textId="77777777" w:rsidR="00902F18" w:rsidRPr="00731FE2" w:rsidRDefault="00902F18" w:rsidP="00454FD6">
      <w:pP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Cs w:val="24"/>
          <w:lang w:eastAsia="ru-RU"/>
        </w:rPr>
        <w:t>Анализ территориального размещения объектов социальной и коммунально-бытовой инфраструктуры, показывает их тесную взаимосвязь с транспортно-планировочной структурой города-курорта Кисловодска.</w:t>
      </w:r>
    </w:p>
    <w:p w14:paraId="193A915C" w14:textId="77777777" w:rsidR="00902F18" w:rsidRPr="00731FE2" w:rsidRDefault="00902F18" w:rsidP="00454FD6">
      <w:pP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Cs w:val="24"/>
          <w:lang w:eastAsia="ru-RU"/>
        </w:rPr>
        <w:t>Своеобразный рельеф местности, геологические условия, плохо развитая транспортная инфраструктура, диктуют свои, особые условия развития и размещения объектов социально-культурного и коммунально-бытового обслуживания. Поселки, расположенные в черте городского округа города-курорта Кисловодска, имеют очень ограниченный набор учреждений обслуживания, преимущественно объектов повседневного пользования.</w:t>
      </w:r>
    </w:p>
    <w:p w14:paraId="76E73F53" w14:textId="77777777" w:rsidR="00902F18" w:rsidRPr="00731FE2" w:rsidRDefault="00902F18" w:rsidP="00454FD6">
      <w:pP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Cs w:val="24"/>
          <w:lang w:eastAsia="ru-RU"/>
        </w:rPr>
        <w:t>В настоящее время городской округ город-курорт Кисловодск характеризуется недостаточно развитой социальной инфраструктурой. Система центров обслуживания ограничена. При намечающемся жилищном строительстве с модернизацией и реконструкцией имеющегося жилищного фонда потребности в учреждениях социальной сферы увеличатся. К этому следует добавить возникновение в изменившихся условиях новых видов социальной и коммунально-бытовой инфраструктуры, таких как коммерческо-деловые центры, деловые, производственные помещения частных контор, частные учреждения торговли и общественного питания и др.</w:t>
      </w:r>
    </w:p>
    <w:p w14:paraId="2075493E" w14:textId="77777777" w:rsidR="00902F18" w:rsidRPr="00731FE2" w:rsidRDefault="00902F18" w:rsidP="00454FD6">
      <w:pP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Cs w:val="24"/>
          <w:lang w:eastAsia="ru-RU"/>
        </w:rPr>
        <w:t>При новом строительстве приобретает актуальность задача размещения на имеющихся территориях достаточного количества объектов общественного назначения, в полной мере удовлетворяющих потребности населения. При этом учреждения и предприятия обслуживания предлагается размещать как на свободных участках, так и во встроенно-пристроенных помещениях.</w:t>
      </w:r>
    </w:p>
    <w:p w14:paraId="4E878D30" w14:textId="77777777" w:rsidR="00902F18" w:rsidRPr="00731FE2" w:rsidRDefault="00902F18" w:rsidP="00454FD6">
      <w:pP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Cs w:val="24"/>
          <w:lang w:eastAsia="ru-RU"/>
        </w:rPr>
        <w:t>Настоящим проектом Генерального плана городского округа города-курорта Кисловодска сохраняются основные принципы расчета и размещения учреждений и объектов социально-культурной и коммунально-бытовой инфраструктуры согласно предыдущему генеральному плану.</w:t>
      </w:r>
    </w:p>
    <w:p w14:paraId="41405715" w14:textId="77777777" w:rsidR="00902F18" w:rsidRPr="00731FE2" w:rsidRDefault="00902F18" w:rsidP="00454FD6">
      <w:pP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Cs w:val="24"/>
          <w:lang w:eastAsia="ru-RU"/>
        </w:rPr>
        <w:t xml:space="preserve">Характеристика современного состояния и развитие </w:t>
      </w:r>
      <w:proofErr w:type="gramStart"/>
      <w:r w:rsidRPr="00731FE2">
        <w:rPr>
          <w:rFonts w:ascii="Times New Roman" w:eastAsia="Times New Roman" w:hAnsi="Times New Roman" w:cs="Times New Roman"/>
          <w:color w:val="000000"/>
          <w:szCs w:val="24"/>
          <w:lang w:eastAsia="ru-RU"/>
        </w:rPr>
        <w:t>отраслей социальной сферы городского округа города-курорта Кисловодска</w:t>
      </w:r>
      <w:proofErr w:type="gramEnd"/>
      <w:r w:rsidRPr="00731FE2">
        <w:rPr>
          <w:rFonts w:ascii="Times New Roman" w:eastAsia="Times New Roman" w:hAnsi="Times New Roman" w:cs="Times New Roman"/>
          <w:color w:val="000000"/>
          <w:szCs w:val="24"/>
          <w:lang w:eastAsia="ru-RU"/>
        </w:rPr>
        <w:t xml:space="preserve"> приведена ниже.</w:t>
      </w:r>
    </w:p>
    <w:p w14:paraId="5C59A901" w14:textId="77777777" w:rsidR="00902F18" w:rsidRPr="00731FE2" w:rsidRDefault="00902F18" w:rsidP="00454FD6">
      <w:pPr>
        <w:tabs>
          <w:tab w:val="left" w:pos="993"/>
        </w:tabs>
        <w:rPr>
          <w:rFonts w:ascii="Times New Roman" w:eastAsia="Times New Roman" w:hAnsi="Times New Roman" w:cs="Times New Roman"/>
          <w:szCs w:val="24"/>
          <w:lang w:eastAsia="ru-RU"/>
        </w:rPr>
      </w:pPr>
      <w:bookmarkStart w:id="30" w:name="_Toc27"/>
      <w:r w:rsidRPr="00731FE2">
        <w:rPr>
          <w:rFonts w:ascii="Times New Roman" w:eastAsia="Times New Roman" w:hAnsi="Times New Roman" w:cs="Times New Roman"/>
          <w:color w:val="7F7F7F"/>
          <w:szCs w:val="24"/>
          <w:lang w:eastAsia="ru-RU"/>
        </w:rPr>
        <w:t>2.8.1 Образование</w:t>
      </w:r>
      <w:bookmarkEnd w:id="30"/>
    </w:p>
    <w:p w14:paraId="76B5662C" w14:textId="77777777" w:rsidR="00902F18" w:rsidRPr="00731FE2" w:rsidRDefault="00902F18" w:rsidP="00454FD6">
      <w:pP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Cs w:val="24"/>
          <w:lang w:eastAsia="ru-RU"/>
        </w:rPr>
        <w:t>Систему образования ГО «город-курорт Кисловодск» представляют:</w:t>
      </w:r>
    </w:p>
    <w:p w14:paraId="281DABE2" w14:textId="77777777" w:rsidR="00902F18" w:rsidRPr="00731FE2" w:rsidRDefault="00902F18" w:rsidP="00454FD6">
      <w:pP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Cs w:val="24"/>
          <w:lang w:eastAsia="ru-RU"/>
        </w:rPr>
        <w:t xml:space="preserve">– 18 организаций, осуществляющих образовательную деятельность по образовательным программам дошкольного образования </w:t>
      </w:r>
    </w:p>
    <w:p w14:paraId="1557C75C" w14:textId="77777777" w:rsidR="00902F18" w:rsidRPr="00731FE2" w:rsidRDefault="00902F18" w:rsidP="00454FD6">
      <w:pP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Cs w:val="24"/>
          <w:lang w:eastAsia="ru-RU"/>
        </w:rPr>
        <w:t>– 17 организация, осуществляющая образовательную деятельность по образовательным программам начального, основного и среднего общего образования;</w:t>
      </w:r>
    </w:p>
    <w:p w14:paraId="6387C81F" w14:textId="54278FE8" w:rsidR="00902F18" w:rsidRPr="00731FE2" w:rsidRDefault="00902F18" w:rsidP="00454FD6">
      <w:pPr>
        <w:rPr>
          <w:rFonts w:ascii="Times New Roman" w:eastAsia="Times New Roman" w:hAnsi="Times New Roman" w:cs="Times New Roman"/>
          <w:color w:val="000000"/>
          <w:szCs w:val="24"/>
          <w:lang w:eastAsia="ru-RU"/>
        </w:rPr>
      </w:pPr>
      <w:r w:rsidRPr="00731FE2">
        <w:rPr>
          <w:rFonts w:ascii="Times New Roman" w:eastAsia="Times New Roman" w:hAnsi="Times New Roman" w:cs="Times New Roman"/>
          <w:color w:val="000000"/>
          <w:szCs w:val="24"/>
          <w:lang w:eastAsia="ru-RU"/>
        </w:rPr>
        <w:t>– 3 образовательных учреждений дополнительного образования</w:t>
      </w:r>
      <w:r w:rsidR="00BF7FBD" w:rsidRPr="00731FE2">
        <w:rPr>
          <w:rFonts w:ascii="Times New Roman" w:eastAsia="Times New Roman" w:hAnsi="Times New Roman" w:cs="Times New Roman"/>
          <w:color w:val="000000"/>
          <w:szCs w:val="24"/>
          <w:lang w:eastAsia="ru-RU"/>
        </w:rPr>
        <w:t>.</w:t>
      </w:r>
    </w:p>
    <w:p w14:paraId="0CC88A9B" w14:textId="0F694587" w:rsidR="00BF7FBD" w:rsidRPr="00731FE2" w:rsidRDefault="00BF7FBD" w:rsidP="00454FD6">
      <w:pPr>
        <w:rPr>
          <w:rFonts w:ascii="Times New Roman" w:eastAsia="Times New Roman" w:hAnsi="Times New Roman" w:cs="Times New Roman"/>
          <w:color w:val="000000"/>
          <w:szCs w:val="24"/>
          <w:lang w:eastAsia="ru-RU"/>
        </w:rPr>
      </w:pPr>
      <w:r w:rsidRPr="00731FE2">
        <w:rPr>
          <w:rFonts w:ascii="Times New Roman" w:eastAsia="Times New Roman" w:hAnsi="Times New Roman" w:cs="Times New Roman"/>
          <w:color w:val="000000"/>
          <w:szCs w:val="24"/>
          <w:lang w:eastAsia="ru-RU"/>
        </w:rPr>
        <w:lastRenderedPageBreak/>
        <w:t>На территории городского округа также имеется 4 учреждения регионального значения</w:t>
      </w:r>
      <w:r w:rsidR="00065AA3" w:rsidRPr="00731FE2">
        <w:rPr>
          <w:rFonts w:ascii="Times New Roman" w:eastAsia="Times New Roman" w:hAnsi="Times New Roman" w:cs="Times New Roman"/>
          <w:color w:val="000000"/>
          <w:szCs w:val="24"/>
          <w:lang w:eastAsia="ru-RU"/>
        </w:rPr>
        <w:t>, подведомственны</w:t>
      </w:r>
      <w:r w:rsidR="002719D0" w:rsidRPr="00731FE2">
        <w:rPr>
          <w:rFonts w:ascii="Times New Roman" w:eastAsia="Times New Roman" w:hAnsi="Times New Roman" w:cs="Times New Roman"/>
          <w:color w:val="000000"/>
          <w:szCs w:val="24"/>
          <w:lang w:eastAsia="ru-RU"/>
        </w:rPr>
        <w:t>е</w:t>
      </w:r>
      <w:r w:rsidR="00065AA3" w:rsidRPr="00731FE2">
        <w:rPr>
          <w:rFonts w:ascii="Times New Roman" w:eastAsia="Times New Roman" w:hAnsi="Times New Roman" w:cs="Times New Roman"/>
          <w:color w:val="000000"/>
          <w:szCs w:val="24"/>
          <w:lang w:eastAsia="ru-RU"/>
        </w:rPr>
        <w:t xml:space="preserve"> Министерству образования Ставропольского края</w:t>
      </w:r>
      <w:r w:rsidRPr="00731FE2">
        <w:rPr>
          <w:rFonts w:ascii="Times New Roman" w:eastAsia="Times New Roman" w:hAnsi="Times New Roman" w:cs="Times New Roman"/>
          <w:color w:val="000000"/>
          <w:szCs w:val="24"/>
          <w:lang w:eastAsia="ru-RU"/>
        </w:rPr>
        <w:t>:</w:t>
      </w:r>
    </w:p>
    <w:p w14:paraId="53D12DB3" w14:textId="0EFDF974" w:rsidR="00BF7FBD" w:rsidRPr="00731FE2" w:rsidRDefault="00BF7FBD" w:rsidP="00BF7FBD">
      <w:pPr>
        <w:pStyle w:val="a3"/>
        <w:numPr>
          <w:ilvl w:val="0"/>
          <w:numId w:val="125"/>
        </w:numPr>
        <w:tabs>
          <w:tab w:val="left" w:pos="993"/>
        </w:tabs>
        <w:ind w:left="0" w:firstLine="709"/>
        <w:rPr>
          <w:rFonts w:ascii="Times New Roman" w:eastAsia="Times New Roman" w:hAnsi="Times New Roman" w:cs="Times New Roman"/>
          <w:color w:val="000000"/>
          <w:szCs w:val="24"/>
          <w:lang w:eastAsia="ru-RU"/>
        </w:rPr>
      </w:pPr>
      <w:r w:rsidRPr="00731FE2">
        <w:rPr>
          <w:rFonts w:ascii="Times New Roman" w:eastAsia="Times New Roman" w:hAnsi="Times New Roman" w:cs="Times New Roman"/>
          <w:color w:val="000000"/>
          <w:szCs w:val="24"/>
          <w:lang w:eastAsia="ru-RU"/>
        </w:rPr>
        <w:t>государственное казенное учреждение для детей, нуждающихся в длительном лечении, «Санаторный детский дом для детей-сирот и детей, оставшихся без попечения родителей, № 31», расположенное по адресу: город-курорт Кисловодск, ул. Островского, д.72;</w:t>
      </w:r>
    </w:p>
    <w:p w14:paraId="7915872E" w14:textId="059C635B" w:rsidR="00BF7FBD" w:rsidRPr="00731FE2" w:rsidRDefault="00BF7FBD" w:rsidP="00BF7FBD">
      <w:pPr>
        <w:pStyle w:val="a3"/>
        <w:numPr>
          <w:ilvl w:val="0"/>
          <w:numId w:val="125"/>
        </w:numPr>
        <w:tabs>
          <w:tab w:val="left" w:pos="993"/>
        </w:tabs>
        <w:ind w:left="0" w:firstLine="709"/>
        <w:rPr>
          <w:rFonts w:ascii="Times New Roman" w:eastAsia="Times New Roman" w:hAnsi="Times New Roman" w:cs="Times New Roman"/>
          <w:color w:val="000000"/>
          <w:szCs w:val="24"/>
          <w:lang w:eastAsia="ru-RU"/>
        </w:rPr>
      </w:pPr>
      <w:r w:rsidRPr="00731FE2">
        <w:rPr>
          <w:rFonts w:ascii="Times New Roman" w:eastAsia="Times New Roman" w:hAnsi="Times New Roman" w:cs="Times New Roman"/>
          <w:color w:val="000000"/>
          <w:szCs w:val="24"/>
          <w:lang w:eastAsia="ru-RU"/>
        </w:rPr>
        <w:t xml:space="preserve">государственное казенное дошкольное образовательное учреждение «Детский сад № 3 «Крепыш», расположенное по адресу: город-курорт Кисловодск, ул. </w:t>
      </w:r>
      <w:proofErr w:type="gramStart"/>
      <w:r w:rsidRPr="00731FE2">
        <w:rPr>
          <w:rFonts w:ascii="Times New Roman" w:eastAsia="Times New Roman" w:hAnsi="Times New Roman" w:cs="Times New Roman"/>
          <w:color w:val="000000"/>
          <w:szCs w:val="24"/>
          <w:lang w:eastAsia="ru-RU"/>
        </w:rPr>
        <w:t>Школьная</w:t>
      </w:r>
      <w:proofErr w:type="gramEnd"/>
      <w:r w:rsidRPr="00731FE2">
        <w:rPr>
          <w:rFonts w:ascii="Times New Roman" w:eastAsia="Times New Roman" w:hAnsi="Times New Roman" w:cs="Times New Roman"/>
          <w:color w:val="000000"/>
          <w:szCs w:val="24"/>
          <w:lang w:eastAsia="ru-RU"/>
        </w:rPr>
        <w:t>, 4;</w:t>
      </w:r>
    </w:p>
    <w:p w14:paraId="78B904CF" w14:textId="697365E8" w:rsidR="00BF7FBD" w:rsidRPr="00731FE2" w:rsidRDefault="00BF7FBD" w:rsidP="00BF7FBD">
      <w:pPr>
        <w:pStyle w:val="a3"/>
        <w:numPr>
          <w:ilvl w:val="0"/>
          <w:numId w:val="125"/>
        </w:numPr>
        <w:tabs>
          <w:tab w:val="left" w:pos="993"/>
        </w:tabs>
        <w:ind w:left="0" w:firstLine="709"/>
        <w:rPr>
          <w:rFonts w:ascii="Times New Roman" w:eastAsia="Times New Roman" w:hAnsi="Times New Roman" w:cs="Times New Roman"/>
          <w:color w:val="000000"/>
          <w:szCs w:val="24"/>
          <w:lang w:eastAsia="ru-RU"/>
        </w:rPr>
      </w:pPr>
      <w:r w:rsidRPr="00731FE2">
        <w:rPr>
          <w:rFonts w:ascii="Times New Roman" w:eastAsia="Times New Roman" w:hAnsi="Times New Roman" w:cs="Times New Roman"/>
          <w:color w:val="000000"/>
          <w:szCs w:val="24"/>
          <w:lang w:eastAsia="ru-RU"/>
        </w:rPr>
        <w:t>государственное бюджетное образовательное учреждение «Центр психолого-педагогической реабилитации и коррекции» города-курорта Кисловодска, расположенное по адресу: город-курорт Кисловодск, ул. Авиации, 23;</w:t>
      </w:r>
    </w:p>
    <w:p w14:paraId="662D3E4A" w14:textId="73AC1441" w:rsidR="00BF7FBD" w:rsidRPr="00731FE2" w:rsidRDefault="00BF7FBD" w:rsidP="00BF7FBD">
      <w:pPr>
        <w:pStyle w:val="a3"/>
        <w:numPr>
          <w:ilvl w:val="0"/>
          <w:numId w:val="125"/>
        </w:numPr>
        <w:tabs>
          <w:tab w:val="left" w:pos="993"/>
        </w:tabs>
        <w:ind w:left="0" w:firstLine="709"/>
        <w:rPr>
          <w:rFonts w:ascii="Times New Roman" w:eastAsia="Times New Roman" w:hAnsi="Times New Roman" w:cs="Times New Roman"/>
          <w:color w:val="000000"/>
          <w:szCs w:val="24"/>
          <w:lang w:eastAsia="ru-RU"/>
        </w:rPr>
      </w:pPr>
      <w:proofErr w:type="gramStart"/>
      <w:r w:rsidRPr="00731FE2">
        <w:rPr>
          <w:rFonts w:ascii="Times New Roman" w:eastAsia="Times New Roman" w:hAnsi="Times New Roman" w:cs="Times New Roman"/>
          <w:color w:val="000000"/>
          <w:szCs w:val="24"/>
          <w:lang w:eastAsia="ru-RU"/>
        </w:rPr>
        <w:t>государственное казенное общеобразовательное учреждение «Специальная (коррекционная) общеобразовательная школа-интернат № 18», расположенное по адресу: город-курорт Кисловодск, ул. Линейная, 68</w:t>
      </w:r>
      <w:r w:rsidR="00A14233" w:rsidRPr="00731FE2">
        <w:rPr>
          <w:rStyle w:val="afb"/>
          <w:rFonts w:ascii="Times New Roman" w:eastAsia="Times New Roman" w:hAnsi="Times New Roman" w:cs="Times New Roman"/>
          <w:color w:val="000000"/>
          <w:szCs w:val="24"/>
          <w:lang w:eastAsia="ru-RU"/>
        </w:rPr>
        <w:footnoteReference w:id="37"/>
      </w:r>
      <w:r w:rsidRPr="00731FE2">
        <w:rPr>
          <w:rFonts w:ascii="Times New Roman" w:eastAsia="Times New Roman" w:hAnsi="Times New Roman" w:cs="Times New Roman"/>
          <w:color w:val="000000"/>
          <w:szCs w:val="24"/>
          <w:lang w:eastAsia="ru-RU"/>
        </w:rPr>
        <w:t>.</w:t>
      </w:r>
      <w:proofErr w:type="gramEnd"/>
    </w:p>
    <w:p w14:paraId="6B1533D6" w14:textId="77777777" w:rsidR="00902F18" w:rsidRPr="00731FE2" w:rsidRDefault="00902F18" w:rsidP="00454FD6">
      <w:pP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Cs w:val="24"/>
          <w:lang w:eastAsia="ru-RU"/>
        </w:rPr>
        <w:t>Дошкольное образование. Уровень охвата детей дошкольного возраста (от 1-6 лет) составляет 41,6%. Количество детей в возрасте 1-6 лет, состоящих на учете для определения в муниципальные дошкольные образовательные организации, в общей численности детей в возрасте 1-6 лет – 758.</w:t>
      </w:r>
    </w:p>
    <w:p w14:paraId="27728C22" w14:textId="77777777" w:rsidR="00902F18" w:rsidRPr="00731FE2" w:rsidRDefault="00902F18" w:rsidP="00454FD6">
      <w:pP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Cs w:val="24"/>
          <w:lang w:eastAsia="ru-RU"/>
        </w:rPr>
        <w:t xml:space="preserve">В 2024 году число детей, стоящих на учете для определения в ДОУ уменьшилось, что связано с принятием новых санитарных норм (увеличение численности детей в группах) и открытием дополнительных групп. </w:t>
      </w:r>
    </w:p>
    <w:p w14:paraId="7076C3B3" w14:textId="77777777" w:rsidR="00902F18" w:rsidRPr="00731FE2" w:rsidRDefault="00902F18" w:rsidP="00454FD6">
      <w:pPr>
        <w:rPr>
          <w:rFonts w:ascii="Times New Roman" w:eastAsia="Times New Roman" w:hAnsi="Times New Roman" w:cs="Times New Roman"/>
          <w:color w:val="000000"/>
          <w:szCs w:val="24"/>
          <w:lang w:eastAsia="ru-RU"/>
        </w:rPr>
      </w:pPr>
      <w:r w:rsidRPr="00731FE2">
        <w:rPr>
          <w:rFonts w:ascii="Times New Roman" w:eastAsia="Times New Roman" w:hAnsi="Times New Roman" w:cs="Times New Roman"/>
          <w:color w:val="000000"/>
          <w:szCs w:val="24"/>
          <w:lang w:eastAsia="ru-RU"/>
        </w:rPr>
        <w:t>Обеспеченность местами в дошкольных образовательных учреждениях рассчитана на основе показателей, заложенных в письме Министерства образования и науки Российской Федерации от 4 мая 2016 г. № АК-950/02 «О методических рекомендациях» (таблица).</w:t>
      </w:r>
    </w:p>
    <w:p w14:paraId="173E9195" w14:textId="77777777" w:rsidR="00454FD6" w:rsidRPr="00731FE2" w:rsidRDefault="00454FD6" w:rsidP="00454FD6">
      <w:pPr>
        <w:rPr>
          <w:rFonts w:ascii="Times New Roman" w:eastAsia="Times New Roman" w:hAnsi="Times New Roman" w:cs="Times New Roman"/>
          <w:szCs w:val="24"/>
          <w:lang w:eastAsia="ru-RU"/>
        </w:rPr>
      </w:pPr>
    </w:p>
    <w:p w14:paraId="5663B5CD" w14:textId="77777777" w:rsidR="00902F18" w:rsidRPr="00731FE2" w:rsidRDefault="00454FD6" w:rsidP="00902F18">
      <w:pPr>
        <w:keepNext/>
        <w:spacing w:line="240" w:lineRule="auto"/>
        <w:ind w:firstLine="0"/>
        <w:rPr>
          <w:rFonts w:ascii="Times New Roman" w:eastAsia="Times New Roman" w:hAnsi="Times New Roman" w:cs="Times New Roman"/>
          <w:szCs w:val="24"/>
          <w:lang w:eastAsia="ru-RU"/>
        </w:rPr>
      </w:pPr>
      <w:r w:rsidRPr="00731FE2">
        <w:rPr>
          <w:rFonts w:ascii="Times New Roman" w:eastAsia="Times New Roman" w:hAnsi="Times New Roman" w:cs="Times New Roman"/>
          <w:b/>
          <w:bCs/>
          <w:color w:val="000000"/>
          <w:szCs w:val="24"/>
          <w:lang w:eastAsia="ru-RU"/>
        </w:rPr>
        <w:t xml:space="preserve">Таблица </w:t>
      </w:r>
      <w:r w:rsidRPr="00731FE2">
        <w:rPr>
          <w:rFonts w:ascii="Times New Roman" w:eastAsia="Times New Roman" w:hAnsi="Times New Roman" w:cs="Times New Roman"/>
          <w:b/>
          <w:bCs/>
          <w:color w:val="000000"/>
          <w:szCs w:val="24"/>
          <w:lang w:eastAsia="ru-RU"/>
        </w:rPr>
        <w:fldChar w:fldCharType="begin"/>
      </w:r>
      <w:r w:rsidRPr="00731FE2">
        <w:rPr>
          <w:rFonts w:ascii="Times New Roman" w:eastAsia="Times New Roman" w:hAnsi="Times New Roman" w:cs="Times New Roman"/>
          <w:b/>
          <w:bCs/>
          <w:color w:val="000000"/>
          <w:szCs w:val="24"/>
          <w:lang w:eastAsia="ru-RU"/>
        </w:rPr>
        <w:instrText xml:space="preserve"> SEQ Таблица \* Arabic </w:instrText>
      </w:r>
      <w:r w:rsidRPr="00731FE2">
        <w:rPr>
          <w:rFonts w:ascii="Times New Roman" w:eastAsia="Times New Roman" w:hAnsi="Times New Roman" w:cs="Times New Roman"/>
          <w:b/>
          <w:bCs/>
          <w:color w:val="000000"/>
          <w:szCs w:val="24"/>
          <w:lang w:eastAsia="ru-RU"/>
        </w:rPr>
        <w:fldChar w:fldCharType="separate"/>
      </w:r>
      <w:r w:rsidR="00C50915" w:rsidRPr="00731FE2">
        <w:rPr>
          <w:rFonts w:ascii="Times New Roman" w:eastAsia="Times New Roman" w:hAnsi="Times New Roman" w:cs="Times New Roman"/>
          <w:b/>
          <w:bCs/>
          <w:noProof/>
          <w:color w:val="000000"/>
          <w:szCs w:val="24"/>
          <w:lang w:eastAsia="ru-RU"/>
        </w:rPr>
        <w:t>10</w:t>
      </w:r>
      <w:r w:rsidRPr="00731FE2">
        <w:rPr>
          <w:rFonts w:ascii="Times New Roman" w:eastAsia="Times New Roman" w:hAnsi="Times New Roman" w:cs="Times New Roman"/>
          <w:b/>
          <w:bCs/>
          <w:color w:val="000000"/>
          <w:szCs w:val="24"/>
          <w:lang w:eastAsia="ru-RU"/>
        </w:rPr>
        <w:fldChar w:fldCharType="end"/>
      </w:r>
      <w:r w:rsidRPr="00731FE2">
        <w:rPr>
          <w:rFonts w:ascii="Times New Roman" w:eastAsia="Times New Roman" w:hAnsi="Times New Roman" w:cs="Times New Roman"/>
          <w:b/>
          <w:bCs/>
          <w:color w:val="000000"/>
          <w:szCs w:val="24"/>
          <w:lang w:eastAsia="ru-RU"/>
        </w:rPr>
        <w:t xml:space="preserve"> – </w:t>
      </w:r>
      <w:r w:rsidR="00902F18" w:rsidRPr="00731FE2">
        <w:rPr>
          <w:rFonts w:ascii="Times New Roman" w:eastAsia="Times New Roman" w:hAnsi="Times New Roman" w:cs="Times New Roman"/>
          <w:b/>
          <w:bCs/>
          <w:color w:val="000000"/>
          <w:szCs w:val="24"/>
          <w:lang w:eastAsia="ru-RU"/>
        </w:rPr>
        <w:t>Нормативные показатели обеспеченности местами в дошкольных образовательных учреждениях</w:t>
      </w:r>
    </w:p>
    <w:tbl>
      <w:tblPr>
        <w:tblW w:w="0" w:type="auto"/>
        <w:tblCellSpacing w:w="0" w:type="dxa"/>
        <w:tblLook w:val="04A0" w:firstRow="1" w:lastRow="0" w:firstColumn="1" w:lastColumn="0" w:noHBand="0" w:noVBand="1"/>
      </w:tblPr>
      <w:tblGrid>
        <w:gridCol w:w="2339"/>
        <w:gridCol w:w="2339"/>
        <w:gridCol w:w="2339"/>
        <w:gridCol w:w="2339"/>
      </w:tblGrid>
      <w:tr w:rsidR="00902F18" w:rsidRPr="00731FE2" w14:paraId="330A2B01" w14:textId="77777777" w:rsidTr="00902F18">
        <w:trPr>
          <w:trHeight w:val="1012"/>
          <w:tblCellSpacing w:w="0" w:type="dxa"/>
        </w:trPr>
        <w:tc>
          <w:tcPr>
            <w:tcW w:w="2339" w:type="dxa"/>
            <w:tcBorders>
              <w:top w:val="single" w:sz="8" w:space="0" w:color="000000"/>
              <w:left w:val="single" w:sz="8" w:space="0" w:color="000000"/>
              <w:bottom w:val="single" w:sz="8" w:space="0" w:color="000000"/>
              <w:right w:val="single" w:sz="8" w:space="0" w:color="000000"/>
            </w:tcBorders>
            <w:vAlign w:val="center"/>
            <w:hideMark/>
          </w:tcPr>
          <w:p w14:paraId="4A426DE9"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b/>
                <w:bCs/>
                <w:color w:val="000000"/>
                <w:sz w:val="22"/>
                <w:lang w:eastAsia="ru-RU"/>
              </w:rPr>
              <w:t>Учреждения</w:t>
            </w:r>
          </w:p>
        </w:tc>
        <w:tc>
          <w:tcPr>
            <w:tcW w:w="2339" w:type="dxa"/>
            <w:tcBorders>
              <w:top w:val="single" w:sz="8" w:space="0" w:color="000000"/>
              <w:left w:val="nil"/>
              <w:bottom w:val="single" w:sz="8" w:space="0" w:color="000000"/>
              <w:right w:val="single" w:sz="8" w:space="0" w:color="000000"/>
            </w:tcBorders>
            <w:vAlign w:val="center"/>
            <w:hideMark/>
          </w:tcPr>
          <w:p w14:paraId="717F67D2"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b/>
                <w:bCs/>
                <w:color w:val="000000"/>
                <w:sz w:val="22"/>
                <w:lang w:eastAsia="ru-RU"/>
              </w:rPr>
              <w:t>Ед. изм.</w:t>
            </w:r>
          </w:p>
        </w:tc>
        <w:tc>
          <w:tcPr>
            <w:tcW w:w="2339" w:type="dxa"/>
            <w:tcBorders>
              <w:top w:val="single" w:sz="8" w:space="0" w:color="000000"/>
              <w:left w:val="nil"/>
              <w:bottom w:val="single" w:sz="8" w:space="0" w:color="000000"/>
              <w:right w:val="single" w:sz="8" w:space="0" w:color="000000"/>
            </w:tcBorders>
            <w:vAlign w:val="center"/>
            <w:hideMark/>
          </w:tcPr>
          <w:p w14:paraId="3FBEDDDF"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b/>
                <w:bCs/>
                <w:color w:val="000000"/>
                <w:sz w:val="22"/>
                <w:lang w:eastAsia="ru-RU"/>
              </w:rPr>
              <w:t>Минимальный уровень обеспеченности, мест</w:t>
            </w:r>
          </w:p>
        </w:tc>
        <w:tc>
          <w:tcPr>
            <w:tcW w:w="2339" w:type="dxa"/>
            <w:tcBorders>
              <w:top w:val="single" w:sz="8" w:space="0" w:color="000000"/>
              <w:left w:val="nil"/>
              <w:bottom w:val="single" w:sz="8" w:space="0" w:color="000000"/>
              <w:right w:val="single" w:sz="8" w:space="0" w:color="000000"/>
            </w:tcBorders>
            <w:vAlign w:val="center"/>
            <w:hideMark/>
          </w:tcPr>
          <w:p w14:paraId="18529426"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b/>
                <w:bCs/>
                <w:color w:val="000000"/>
                <w:sz w:val="22"/>
                <w:lang w:eastAsia="ru-RU"/>
              </w:rPr>
              <w:t>Уровень максимальной территориальной доступности</w:t>
            </w:r>
          </w:p>
        </w:tc>
      </w:tr>
      <w:tr w:rsidR="00902F18" w:rsidRPr="00731FE2" w14:paraId="4AA69392" w14:textId="77777777" w:rsidTr="00902F18">
        <w:trPr>
          <w:trHeight w:val="1012"/>
          <w:tblCellSpacing w:w="0" w:type="dxa"/>
        </w:trPr>
        <w:tc>
          <w:tcPr>
            <w:tcW w:w="2339" w:type="dxa"/>
            <w:tcBorders>
              <w:top w:val="nil"/>
              <w:left w:val="single" w:sz="8" w:space="0" w:color="000000"/>
              <w:bottom w:val="single" w:sz="8" w:space="0" w:color="000000"/>
              <w:right w:val="single" w:sz="8" w:space="0" w:color="000000"/>
            </w:tcBorders>
            <w:vAlign w:val="center"/>
            <w:hideMark/>
          </w:tcPr>
          <w:p w14:paraId="28209DDB" w14:textId="77777777" w:rsidR="00902F18" w:rsidRPr="00731FE2" w:rsidRDefault="00902F18" w:rsidP="00902F18">
            <w:pPr>
              <w:spacing w:line="240" w:lineRule="auto"/>
              <w:ind w:firstLine="0"/>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Дошкольные образовательные учреждения</w:t>
            </w:r>
          </w:p>
        </w:tc>
        <w:tc>
          <w:tcPr>
            <w:tcW w:w="2339" w:type="dxa"/>
            <w:tcBorders>
              <w:top w:val="nil"/>
              <w:left w:val="nil"/>
              <w:bottom w:val="single" w:sz="8" w:space="0" w:color="000000"/>
              <w:right w:val="single" w:sz="8" w:space="0" w:color="000000"/>
            </w:tcBorders>
            <w:vAlign w:val="center"/>
            <w:hideMark/>
          </w:tcPr>
          <w:p w14:paraId="0654A1E5" w14:textId="77777777" w:rsidR="00902F18" w:rsidRPr="00731FE2" w:rsidRDefault="00902F18" w:rsidP="00902F18">
            <w:pPr>
              <w:spacing w:line="240" w:lineRule="auto"/>
              <w:ind w:firstLine="0"/>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Мест на 100 детей в возрасте от 0 до 7 лет</w:t>
            </w:r>
          </w:p>
        </w:tc>
        <w:tc>
          <w:tcPr>
            <w:tcW w:w="2339" w:type="dxa"/>
            <w:tcBorders>
              <w:top w:val="nil"/>
              <w:left w:val="nil"/>
              <w:bottom w:val="single" w:sz="8" w:space="0" w:color="000000"/>
              <w:right w:val="single" w:sz="8" w:space="0" w:color="000000"/>
            </w:tcBorders>
            <w:vAlign w:val="center"/>
            <w:hideMark/>
          </w:tcPr>
          <w:p w14:paraId="77D37EAB" w14:textId="77777777" w:rsidR="00902F18" w:rsidRPr="00731FE2" w:rsidRDefault="00902F18" w:rsidP="00902F18">
            <w:pPr>
              <w:spacing w:line="240" w:lineRule="auto"/>
              <w:ind w:firstLine="0"/>
              <w:rPr>
                <w:rFonts w:ascii="Times New Roman" w:eastAsia="Times New Roman" w:hAnsi="Times New Roman" w:cs="Times New Roman"/>
                <w:szCs w:val="24"/>
                <w:lang w:eastAsia="ru-RU"/>
              </w:rPr>
            </w:pPr>
            <w:proofErr w:type="gramStart"/>
            <w:r w:rsidRPr="00731FE2">
              <w:rPr>
                <w:rFonts w:ascii="Times New Roman" w:eastAsia="Times New Roman" w:hAnsi="Times New Roman" w:cs="Times New Roman"/>
                <w:color w:val="000000"/>
                <w:sz w:val="22"/>
                <w:lang w:eastAsia="ru-RU"/>
              </w:rPr>
              <w:t>65 – в городской местности, 45 – в сельской</w:t>
            </w:r>
            <w:proofErr w:type="gramEnd"/>
          </w:p>
        </w:tc>
        <w:tc>
          <w:tcPr>
            <w:tcW w:w="2339" w:type="dxa"/>
            <w:tcBorders>
              <w:top w:val="nil"/>
              <w:left w:val="nil"/>
              <w:bottom w:val="single" w:sz="8" w:space="0" w:color="000000"/>
              <w:right w:val="single" w:sz="8" w:space="0" w:color="000000"/>
            </w:tcBorders>
            <w:vAlign w:val="center"/>
            <w:hideMark/>
          </w:tcPr>
          <w:p w14:paraId="07AF53F8" w14:textId="77777777" w:rsidR="00902F18" w:rsidRPr="00731FE2" w:rsidRDefault="00902F18" w:rsidP="00902F18">
            <w:pPr>
              <w:spacing w:line="240" w:lineRule="auto"/>
              <w:ind w:firstLine="0"/>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300 м – в городской местности,</w:t>
            </w:r>
          </w:p>
          <w:p w14:paraId="6C350FA8" w14:textId="77777777" w:rsidR="00902F18" w:rsidRPr="00731FE2" w:rsidRDefault="00902F18" w:rsidP="00902F18">
            <w:pPr>
              <w:spacing w:line="240" w:lineRule="auto"/>
              <w:ind w:firstLine="0"/>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 xml:space="preserve">500 м – в </w:t>
            </w:r>
            <w:proofErr w:type="gramStart"/>
            <w:r w:rsidRPr="00731FE2">
              <w:rPr>
                <w:rFonts w:ascii="Times New Roman" w:eastAsia="Times New Roman" w:hAnsi="Times New Roman" w:cs="Times New Roman"/>
                <w:color w:val="000000"/>
                <w:sz w:val="22"/>
                <w:lang w:eastAsia="ru-RU"/>
              </w:rPr>
              <w:t>сельской</w:t>
            </w:r>
            <w:proofErr w:type="gramEnd"/>
          </w:p>
        </w:tc>
      </w:tr>
    </w:tbl>
    <w:p w14:paraId="73782579" w14:textId="77777777" w:rsidR="00902F18" w:rsidRPr="00731FE2" w:rsidRDefault="00902F18" w:rsidP="00902F18">
      <w:pPr>
        <w:spacing w:line="253" w:lineRule="atLeast"/>
        <w:rPr>
          <w:rFonts w:ascii="Times New Roman" w:eastAsia="Times New Roman" w:hAnsi="Times New Roman" w:cs="Times New Roman"/>
          <w:szCs w:val="24"/>
          <w:lang w:eastAsia="ru-RU"/>
        </w:rPr>
      </w:pPr>
      <w:r w:rsidRPr="00731FE2">
        <w:rPr>
          <w:rFonts w:ascii="Times New Roman" w:eastAsia="Times New Roman" w:hAnsi="Times New Roman" w:cs="Times New Roman"/>
          <w:szCs w:val="24"/>
          <w:lang w:eastAsia="ru-RU"/>
        </w:rPr>
        <w:t> </w:t>
      </w:r>
    </w:p>
    <w:p w14:paraId="63428033" w14:textId="77777777" w:rsidR="00902F18" w:rsidRPr="00731FE2" w:rsidRDefault="00902F18" w:rsidP="00902F18">
      <w:pPr>
        <w:spacing w:line="240" w:lineRule="auto"/>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Cs w:val="24"/>
          <w:lang w:eastAsia="ru-RU"/>
        </w:rPr>
        <w:t>Обеспеченность местами в дошкольных образовательных учреждениях представлена в таблице.</w:t>
      </w:r>
    </w:p>
    <w:p w14:paraId="093D1E70" w14:textId="77777777" w:rsidR="00902F18" w:rsidRPr="00731FE2" w:rsidRDefault="00902F18" w:rsidP="00902F18">
      <w:pPr>
        <w:spacing w:line="253" w:lineRule="atLeast"/>
        <w:rPr>
          <w:rFonts w:ascii="Times New Roman" w:eastAsia="Times New Roman" w:hAnsi="Times New Roman" w:cs="Times New Roman"/>
          <w:szCs w:val="24"/>
          <w:lang w:eastAsia="ru-RU"/>
        </w:rPr>
      </w:pPr>
    </w:p>
    <w:p w14:paraId="08C57679" w14:textId="77777777" w:rsidR="00902F18" w:rsidRPr="00731FE2" w:rsidRDefault="00454FD6" w:rsidP="00902F18">
      <w:pPr>
        <w:keepNext/>
        <w:spacing w:line="240" w:lineRule="auto"/>
        <w:ind w:firstLine="0"/>
        <w:rPr>
          <w:rFonts w:ascii="Times New Roman" w:eastAsia="Times New Roman" w:hAnsi="Times New Roman" w:cs="Times New Roman"/>
          <w:szCs w:val="24"/>
          <w:lang w:eastAsia="ru-RU"/>
        </w:rPr>
      </w:pPr>
      <w:r w:rsidRPr="00731FE2">
        <w:rPr>
          <w:rFonts w:ascii="Times New Roman" w:eastAsia="Times New Roman" w:hAnsi="Times New Roman" w:cs="Times New Roman"/>
          <w:b/>
          <w:bCs/>
          <w:color w:val="000000"/>
          <w:szCs w:val="24"/>
          <w:lang w:eastAsia="ru-RU"/>
        </w:rPr>
        <w:t xml:space="preserve">Таблица </w:t>
      </w:r>
      <w:r w:rsidRPr="00731FE2">
        <w:rPr>
          <w:rFonts w:ascii="Times New Roman" w:eastAsia="Times New Roman" w:hAnsi="Times New Roman" w:cs="Times New Roman"/>
          <w:b/>
          <w:bCs/>
          <w:color w:val="000000"/>
          <w:szCs w:val="24"/>
          <w:lang w:eastAsia="ru-RU"/>
        </w:rPr>
        <w:fldChar w:fldCharType="begin"/>
      </w:r>
      <w:r w:rsidRPr="00731FE2">
        <w:rPr>
          <w:rFonts w:ascii="Times New Roman" w:eastAsia="Times New Roman" w:hAnsi="Times New Roman" w:cs="Times New Roman"/>
          <w:b/>
          <w:bCs/>
          <w:color w:val="000000"/>
          <w:szCs w:val="24"/>
          <w:lang w:eastAsia="ru-RU"/>
        </w:rPr>
        <w:instrText xml:space="preserve"> SEQ Таблица \* Arabic </w:instrText>
      </w:r>
      <w:r w:rsidRPr="00731FE2">
        <w:rPr>
          <w:rFonts w:ascii="Times New Roman" w:eastAsia="Times New Roman" w:hAnsi="Times New Roman" w:cs="Times New Roman"/>
          <w:b/>
          <w:bCs/>
          <w:color w:val="000000"/>
          <w:szCs w:val="24"/>
          <w:lang w:eastAsia="ru-RU"/>
        </w:rPr>
        <w:fldChar w:fldCharType="separate"/>
      </w:r>
      <w:r w:rsidR="00C50915" w:rsidRPr="00731FE2">
        <w:rPr>
          <w:rFonts w:ascii="Times New Roman" w:eastAsia="Times New Roman" w:hAnsi="Times New Roman" w:cs="Times New Roman"/>
          <w:b/>
          <w:bCs/>
          <w:noProof/>
          <w:color w:val="000000"/>
          <w:szCs w:val="24"/>
          <w:lang w:eastAsia="ru-RU"/>
        </w:rPr>
        <w:t>11</w:t>
      </w:r>
      <w:r w:rsidRPr="00731FE2">
        <w:rPr>
          <w:rFonts w:ascii="Times New Roman" w:eastAsia="Times New Roman" w:hAnsi="Times New Roman" w:cs="Times New Roman"/>
          <w:b/>
          <w:bCs/>
          <w:color w:val="000000"/>
          <w:szCs w:val="24"/>
          <w:lang w:eastAsia="ru-RU"/>
        </w:rPr>
        <w:fldChar w:fldCharType="end"/>
      </w:r>
      <w:r w:rsidRPr="00731FE2">
        <w:rPr>
          <w:rFonts w:ascii="Times New Roman" w:eastAsia="Times New Roman" w:hAnsi="Times New Roman" w:cs="Times New Roman"/>
          <w:b/>
          <w:bCs/>
          <w:color w:val="000000"/>
          <w:szCs w:val="24"/>
          <w:lang w:eastAsia="ru-RU"/>
        </w:rPr>
        <w:t xml:space="preserve"> – </w:t>
      </w:r>
      <w:r w:rsidR="00902F18" w:rsidRPr="00731FE2">
        <w:rPr>
          <w:rFonts w:ascii="Times New Roman" w:eastAsia="Times New Roman" w:hAnsi="Times New Roman" w:cs="Times New Roman"/>
          <w:b/>
          <w:bCs/>
          <w:color w:val="000000"/>
          <w:szCs w:val="24"/>
          <w:lang w:eastAsia="ru-RU"/>
        </w:rPr>
        <w:t>Основные показатели развития системы муниципальных детских дошкольных образо</w:t>
      </w:r>
      <w:r w:rsidR="00902F18" w:rsidRPr="00731FE2">
        <w:rPr>
          <w:rFonts w:ascii="Times New Roman" w:eastAsia="Times New Roman" w:hAnsi="Times New Roman" w:cs="Times New Roman"/>
          <w:b/>
          <w:bCs/>
          <w:color w:val="000000"/>
          <w:szCs w:val="24"/>
          <w:lang w:eastAsia="ru-RU"/>
        </w:rPr>
        <w:softHyphen/>
        <w:t>вательных учреждений ГО «город-курорт Кисловодск» в 2022-2023 гг.</w:t>
      </w:r>
    </w:p>
    <w:tbl>
      <w:tblPr>
        <w:tblW w:w="0" w:type="auto"/>
        <w:tblCellSpacing w:w="0" w:type="dxa"/>
        <w:tblLook w:val="04A0" w:firstRow="1" w:lastRow="0" w:firstColumn="1" w:lastColumn="0" w:noHBand="0" w:noVBand="1"/>
      </w:tblPr>
      <w:tblGrid>
        <w:gridCol w:w="4543"/>
        <w:gridCol w:w="2264"/>
        <w:gridCol w:w="2548"/>
      </w:tblGrid>
      <w:tr w:rsidR="00902F18" w:rsidRPr="00731FE2" w14:paraId="027C55FD" w14:textId="77777777" w:rsidTr="00902F18">
        <w:trPr>
          <w:trHeight w:val="324"/>
          <w:tblCellSpacing w:w="0" w:type="dxa"/>
        </w:trPr>
        <w:tc>
          <w:tcPr>
            <w:tcW w:w="4543" w:type="dxa"/>
            <w:tcBorders>
              <w:top w:val="single" w:sz="8" w:space="0" w:color="000000"/>
              <w:left w:val="single" w:sz="8" w:space="0" w:color="000000"/>
              <w:bottom w:val="single" w:sz="8" w:space="0" w:color="000000"/>
              <w:right w:val="single" w:sz="8" w:space="0" w:color="000000"/>
            </w:tcBorders>
            <w:vAlign w:val="center"/>
            <w:hideMark/>
          </w:tcPr>
          <w:p w14:paraId="1A5EB3E3"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b/>
                <w:bCs/>
                <w:color w:val="000000"/>
                <w:sz w:val="22"/>
                <w:lang w:eastAsia="ru-RU"/>
              </w:rPr>
              <w:t>Показатель</w:t>
            </w:r>
          </w:p>
        </w:tc>
        <w:tc>
          <w:tcPr>
            <w:tcW w:w="2264" w:type="dxa"/>
            <w:tcBorders>
              <w:top w:val="single" w:sz="8" w:space="0" w:color="000000"/>
              <w:left w:val="nil"/>
              <w:bottom w:val="single" w:sz="8" w:space="0" w:color="000000"/>
              <w:right w:val="single" w:sz="8" w:space="0" w:color="000000"/>
            </w:tcBorders>
            <w:vAlign w:val="center"/>
            <w:hideMark/>
          </w:tcPr>
          <w:p w14:paraId="3E27BA38"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b/>
                <w:bCs/>
                <w:color w:val="000000"/>
                <w:sz w:val="22"/>
                <w:lang w:eastAsia="ru-RU"/>
              </w:rPr>
              <w:t>2022</w:t>
            </w:r>
          </w:p>
        </w:tc>
        <w:tc>
          <w:tcPr>
            <w:tcW w:w="2548" w:type="dxa"/>
            <w:tcBorders>
              <w:top w:val="single" w:sz="8" w:space="0" w:color="000000"/>
              <w:left w:val="nil"/>
              <w:bottom w:val="single" w:sz="8" w:space="0" w:color="000000"/>
              <w:right w:val="single" w:sz="8" w:space="0" w:color="000000"/>
            </w:tcBorders>
            <w:vAlign w:val="center"/>
            <w:hideMark/>
          </w:tcPr>
          <w:p w14:paraId="151FDD60"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b/>
                <w:bCs/>
                <w:color w:val="000000"/>
                <w:sz w:val="22"/>
                <w:lang w:eastAsia="ru-RU"/>
              </w:rPr>
              <w:t>2023</w:t>
            </w:r>
          </w:p>
        </w:tc>
      </w:tr>
      <w:tr w:rsidR="00902F18" w:rsidRPr="00731FE2" w14:paraId="01678C39" w14:textId="77777777" w:rsidTr="00902F18">
        <w:trPr>
          <w:trHeight w:val="324"/>
          <w:tblCellSpacing w:w="0" w:type="dxa"/>
        </w:trPr>
        <w:tc>
          <w:tcPr>
            <w:tcW w:w="4543" w:type="dxa"/>
            <w:tcBorders>
              <w:top w:val="nil"/>
              <w:left w:val="single" w:sz="8" w:space="0" w:color="000000"/>
              <w:bottom w:val="single" w:sz="8" w:space="0" w:color="000000"/>
              <w:right w:val="single" w:sz="8" w:space="0" w:color="000000"/>
            </w:tcBorders>
            <w:vAlign w:val="center"/>
            <w:hideMark/>
          </w:tcPr>
          <w:p w14:paraId="76FB8188" w14:textId="77777777" w:rsidR="00902F18" w:rsidRPr="00731FE2" w:rsidRDefault="00902F18" w:rsidP="00902F18">
            <w:pPr>
              <w:spacing w:line="240" w:lineRule="auto"/>
              <w:ind w:firstLine="0"/>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lastRenderedPageBreak/>
              <w:t>Численность населения, чел.</w:t>
            </w:r>
          </w:p>
        </w:tc>
        <w:tc>
          <w:tcPr>
            <w:tcW w:w="2264" w:type="dxa"/>
            <w:tcBorders>
              <w:top w:val="nil"/>
              <w:left w:val="nil"/>
              <w:bottom w:val="single" w:sz="8" w:space="0" w:color="000000"/>
              <w:right w:val="single" w:sz="8" w:space="0" w:color="000000"/>
            </w:tcBorders>
            <w:vAlign w:val="center"/>
            <w:hideMark/>
          </w:tcPr>
          <w:p w14:paraId="29A52836"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134629</w:t>
            </w:r>
          </w:p>
        </w:tc>
        <w:tc>
          <w:tcPr>
            <w:tcW w:w="2548" w:type="dxa"/>
            <w:tcBorders>
              <w:top w:val="nil"/>
              <w:left w:val="nil"/>
              <w:bottom w:val="single" w:sz="8" w:space="0" w:color="000000"/>
              <w:right w:val="single" w:sz="8" w:space="0" w:color="000000"/>
            </w:tcBorders>
            <w:vAlign w:val="center"/>
            <w:hideMark/>
          </w:tcPr>
          <w:p w14:paraId="40045617"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133913</w:t>
            </w:r>
          </w:p>
        </w:tc>
      </w:tr>
      <w:tr w:rsidR="00902F18" w:rsidRPr="00731FE2" w14:paraId="3267A291" w14:textId="77777777" w:rsidTr="00902F18">
        <w:trPr>
          <w:trHeight w:val="636"/>
          <w:tblCellSpacing w:w="0" w:type="dxa"/>
        </w:trPr>
        <w:tc>
          <w:tcPr>
            <w:tcW w:w="4543" w:type="dxa"/>
            <w:tcBorders>
              <w:top w:val="nil"/>
              <w:left w:val="single" w:sz="8" w:space="0" w:color="000000"/>
              <w:bottom w:val="single" w:sz="8" w:space="0" w:color="000000"/>
              <w:right w:val="single" w:sz="8" w:space="0" w:color="000000"/>
            </w:tcBorders>
            <w:vAlign w:val="center"/>
            <w:hideMark/>
          </w:tcPr>
          <w:p w14:paraId="7C7B0E57" w14:textId="77777777" w:rsidR="00902F18" w:rsidRPr="00731FE2" w:rsidRDefault="00902F18" w:rsidP="00902F18">
            <w:pPr>
              <w:spacing w:line="240" w:lineRule="auto"/>
              <w:ind w:firstLine="0"/>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Численность детей, посещающих ДОУ, чел.</w:t>
            </w:r>
          </w:p>
        </w:tc>
        <w:tc>
          <w:tcPr>
            <w:tcW w:w="2264" w:type="dxa"/>
            <w:tcBorders>
              <w:top w:val="nil"/>
              <w:left w:val="nil"/>
              <w:bottom w:val="single" w:sz="8" w:space="0" w:color="000000"/>
              <w:right w:val="single" w:sz="8" w:space="0" w:color="000000"/>
            </w:tcBorders>
            <w:vAlign w:val="center"/>
            <w:hideMark/>
          </w:tcPr>
          <w:p w14:paraId="17E2232F"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3773</w:t>
            </w:r>
          </w:p>
        </w:tc>
        <w:tc>
          <w:tcPr>
            <w:tcW w:w="2548" w:type="dxa"/>
            <w:tcBorders>
              <w:top w:val="nil"/>
              <w:left w:val="nil"/>
              <w:bottom w:val="single" w:sz="8" w:space="0" w:color="000000"/>
              <w:right w:val="single" w:sz="8" w:space="0" w:color="000000"/>
            </w:tcBorders>
            <w:vAlign w:val="center"/>
            <w:hideMark/>
          </w:tcPr>
          <w:p w14:paraId="596C7F97"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3586</w:t>
            </w:r>
          </w:p>
        </w:tc>
      </w:tr>
      <w:tr w:rsidR="00902F18" w:rsidRPr="00731FE2" w14:paraId="65755A00" w14:textId="77777777" w:rsidTr="00902F18">
        <w:trPr>
          <w:trHeight w:val="636"/>
          <w:tblCellSpacing w:w="0" w:type="dxa"/>
        </w:trPr>
        <w:tc>
          <w:tcPr>
            <w:tcW w:w="4543" w:type="dxa"/>
            <w:tcBorders>
              <w:top w:val="nil"/>
              <w:left w:val="single" w:sz="8" w:space="0" w:color="000000"/>
              <w:bottom w:val="single" w:sz="8" w:space="0" w:color="000000"/>
              <w:right w:val="single" w:sz="8" w:space="0" w:color="000000"/>
            </w:tcBorders>
            <w:vAlign w:val="center"/>
            <w:hideMark/>
          </w:tcPr>
          <w:p w14:paraId="4CD45EEE" w14:textId="77777777" w:rsidR="00902F18" w:rsidRPr="00731FE2" w:rsidRDefault="00902F18" w:rsidP="00902F18">
            <w:pPr>
              <w:spacing w:line="240" w:lineRule="auto"/>
              <w:ind w:firstLine="0"/>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Численность детей, стоящих на учете для определения в ДОУ, чел.</w:t>
            </w:r>
          </w:p>
        </w:tc>
        <w:tc>
          <w:tcPr>
            <w:tcW w:w="2264" w:type="dxa"/>
            <w:tcBorders>
              <w:top w:val="nil"/>
              <w:left w:val="nil"/>
              <w:bottom w:val="single" w:sz="8" w:space="0" w:color="000000"/>
              <w:right w:val="single" w:sz="8" w:space="0" w:color="000000"/>
            </w:tcBorders>
            <w:vAlign w:val="center"/>
            <w:hideMark/>
          </w:tcPr>
          <w:p w14:paraId="0A4AAA87"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1337</w:t>
            </w:r>
          </w:p>
        </w:tc>
        <w:tc>
          <w:tcPr>
            <w:tcW w:w="2548" w:type="dxa"/>
            <w:tcBorders>
              <w:top w:val="nil"/>
              <w:left w:val="nil"/>
              <w:bottom w:val="single" w:sz="8" w:space="0" w:color="000000"/>
              <w:right w:val="single" w:sz="8" w:space="0" w:color="000000"/>
            </w:tcBorders>
            <w:vAlign w:val="center"/>
            <w:hideMark/>
          </w:tcPr>
          <w:p w14:paraId="6D7CBD41"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758</w:t>
            </w:r>
          </w:p>
        </w:tc>
      </w:tr>
      <w:tr w:rsidR="00902F18" w:rsidRPr="00731FE2" w14:paraId="1EBB7A3B" w14:textId="77777777" w:rsidTr="00902F18">
        <w:trPr>
          <w:trHeight w:val="324"/>
          <w:tblCellSpacing w:w="0" w:type="dxa"/>
        </w:trPr>
        <w:tc>
          <w:tcPr>
            <w:tcW w:w="4543" w:type="dxa"/>
            <w:tcBorders>
              <w:top w:val="nil"/>
              <w:left w:val="single" w:sz="8" w:space="0" w:color="000000"/>
              <w:bottom w:val="single" w:sz="8" w:space="0" w:color="000000"/>
              <w:right w:val="single" w:sz="8" w:space="0" w:color="000000"/>
            </w:tcBorders>
            <w:vAlign w:val="center"/>
            <w:hideMark/>
          </w:tcPr>
          <w:p w14:paraId="620AA7B6" w14:textId="77777777" w:rsidR="00902F18" w:rsidRPr="00731FE2" w:rsidRDefault="00902F18" w:rsidP="00902F18">
            <w:pPr>
              <w:spacing w:line="240" w:lineRule="auto"/>
              <w:ind w:firstLine="0"/>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Число мест в ДОУ, ед.</w:t>
            </w:r>
          </w:p>
        </w:tc>
        <w:tc>
          <w:tcPr>
            <w:tcW w:w="2264" w:type="dxa"/>
            <w:tcBorders>
              <w:top w:val="nil"/>
              <w:left w:val="nil"/>
              <w:bottom w:val="single" w:sz="8" w:space="0" w:color="000000"/>
              <w:right w:val="single" w:sz="8" w:space="0" w:color="000000"/>
            </w:tcBorders>
            <w:vAlign w:val="center"/>
            <w:hideMark/>
          </w:tcPr>
          <w:p w14:paraId="4DD0D8AB"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3726</w:t>
            </w:r>
          </w:p>
        </w:tc>
        <w:tc>
          <w:tcPr>
            <w:tcW w:w="2548" w:type="dxa"/>
            <w:tcBorders>
              <w:top w:val="nil"/>
              <w:left w:val="nil"/>
              <w:bottom w:val="single" w:sz="8" w:space="0" w:color="000000"/>
              <w:right w:val="single" w:sz="8" w:space="0" w:color="000000"/>
            </w:tcBorders>
            <w:vAlign w:val="center"/>
            <w:hideMark/>
          </w:tcPr>
          <w:p w14:paraId="6014F302"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3726</w:t>
            </w:r>
          </w:p>
        </w:tc>
      </w:tr>
      <w:tr w:rsidR="00902F18" w:rsidRPr="00731FE2" w14:paraId="133C4671" w14:textId="77777777" w:rsidTr="00902F18">
        <w:trPr>
          <w:trHeight w:val="636"/>
          <w:tblCellSpacing w:w="0" w:type="dxa"/>
        </w:trPr>
        <w:tc>
          <w:tcPr>
            <w:tcW w:w="4543" w:type="dxa"/>
            <w:tcBorders>
              <w:top w:val="nil"/>
              <w:left w:val="single" w:sz="8" w:space="0" w:color="000000"/>
              <w:bottom w:val="single" w:sz="8" w:space="0" w:color="000000"/>
              <w:right w:val="single" w:sz="8" w:space="0" w:color="000000"/>
            </w:tcBorders>
            <w:vAlign w:val="center"/>
            <w:hideMark/>
          </w:tcPr>
          <w:p w14:paraId="194CEF7F" w14:textId="77777777" w:rsidR="00902F18" w:rsidRPr="00731FE2" w:rsidRDefault="00902F18" w:rsidP="00902F18">
            <w:pPr>
              <w:spacing w:line="240" w:lineRule="auto"/>
              <w:ind w:firstLine="0"/>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Охват детей в возрасте 1-6 лет дошкольным образованием, %</w:t>
            </w:r>
          </w:p>
        </w:tc>
        <w:tc>
          <w:tcPr>
            <w:tcW w:w="2264" w:type="dxa"/>
            <w:tcBorders>
              <w:top w:val="nil"/>
              <w:left w:val="nil"/>
              <w:bottom w:val="single" w:sz="8" w:space="0" w:color="000000"/>
              <w:right w:val="single" w:sz="8" w:space="0" w:color="000000"/>
            </w:tcBorders>
            <w:vAlign w:val="center"/>
            <w:hideMark/>
          </w:tcPr>
          <w:p w14:paraId="378C883F"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43,8</w:t>
            </w:r>
          </w:p>
        </w:tc>
        <w:tc>
          <w:tcPr>
            <w:tcW w:w="2548" w:type="dxa"/>
            <w:tcBorders>
              <w:top w:val="nil"/>
              <w:left w:val="nil"/>
              <w:bottom w:val="single" w:sz="8" w:space="0" w:color="000000"/>
              <w:right w:val="single" w:sz="8" w:space="0" w:color="000000"/>
            </w:tcBorders>
            <w:vAlign w:val="center"/>
            <w:hideMark/>
          </w:tcPr>
          <w:p w14:paraId="255399B4"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41,6</w:t>
            </w:r>
          </w:p>
        </w:tc>
      </w:tr>
    </w:tbl>
    <w:p w14:paraId="0A670B6F" w14:textId="77777777" w:rsidR="00454FD6" w:rsidRPr="00731FE2" w:rsidRDefault="00454FD6" w:rsidP="00902F18">
      <w:pPr>
        <w:spacing w:line="240" w:lineRule="auto"/>
        <w:rPr>
          <w:rFonts w:ascii="Times New Roman" w:eastAsia="Times New Roman" w:hAnsi="Times New Roman" w:cs="Times New Roman"/>
          <w:color w:val="000000"/>
          <w:szCs w:val="24"/>
          <w:lang w:eastAsia="ru-RU"/>
        </w:rPr>
      </w:pPr>
    </w:p>
    <w:p w14:paraId="2E2E6583" w14:textId="28C233C9" w:rsidR="00902F18" w:rsidRPr="00731FE2" w:rsidRDefault="00902F18" w:rsidP="00454FD6">
      <w:pPr>
        <w:rPr>
          <w:rFonts w:ascii="Times New Roman" w:eastAsia="Times New Roman" w:hAnsi="Times New Roman" w:cs="Times New Roman"/>
          <w:color w:val="000000"/>
          <w:szCs w:val="24"/>
          <w:lang w:eastAsia="ru-RU"/>
        </w:rPr>
      </w:pPr>
      <w:r w:rsidRPr="00731FE2">
        <w:rPr>
          <w:rFonts w:ascii="Times New Roman" w:eastAsia="Times New Roman" w:hAnsi="Times New Roman" w:cs="Times New Roman"/>
          <w:color w:val="000000"/>
          <w:szCs w:val="24"/>
          <w:lang w:eastAsia="ru-RU"/>
        </w:rPr>
        <w:t xml:space="preserve">Состояние ряда ДОУ требует ремонта или реконструкции. Так, например, в 12 ДОУ требуется проведение капитального ремонта, что составляет 71% от всех ДОУ, 2 детских сада </w:t>
      </w:r>
      <w:proofErr w:type="gramStart"/>
      <w:r w:rsidRPr="00731FE2">
        <w:rPr>
          <w:rFonts w:ascii="Times New Roman" w:eastAsia="Times New Roman" w:hAnsi="Times New Roman" w:cs="Times New Roman"/>
          <w:color w:val="000000"/>
          <w:szCs w:val="24"/>
          <w:lang w:eastAsia="ru-RU"/>
        </w:rPr>
        <w:t>новые</w:t>
      </w:r>
      <w:proofErr w:type="gramEnd"/>
      <w:r w:rsidRPr="00731FE2">
        <w:rPr>
          <w:rFonts w:ascii="Times New Roman" w:eastAsia="Times New Roman" w:hAnsi="Times New Roman" w:cs="Times New Roman"/>
          <w:color w:val="000000"/>
          <w:szCs w:val="24"/>
          <w:lang w:eastAsia="ru-RU"/>
        </w:rPr>
        <w:t xml:space="preserve"> и 4 находятся в удовлетворительном состоянии. Численность детей, стоящих на учете для определения в ДОУ</w:t>
      </w:r>
      <w:r w:rsidR="00BF7FBD" w:rsidRPr="00731FE2">
        <w:rPr>
          <w:rFonts w:ascii="Times New Roman" w:eastAsia="Times New Roman" w:hAnsi="Times New Roman" w:cs="Times New Roman"/>
          <w:color w:val="000000"/>
          <w:szCs w:val="24"/>
          <w:lang w:eastAsia="ru-RU"/>
        </w:rPr>
        <w:t xml:space="preserve"> </w:t>
      </w:r>
      <w:r w:rsidRPr="00731FE2">
        <w:rPr>
          <w:rFonts w:ascii="Times New Roman" w:eastAsia="Times New Roman" w:hAnsi="Times New Roman" w:cs="Times New Roman"/>
          <w:color w:val="000000"/>
          <w:szCs w:val="24"/>
          <w:lang w:eastAsia="ru-RU"/>
        </w:rPr>
        <w:t xml:space="preserve">сократилась почти вдвое, что характеризует динамику развития дошкольного образования положительной. </w:t>
      </w:r>
    </w:p>
    <w:p w14:paraId="44F9114E" w14:textId="77777777" w:rsidR="00454FD6" w:rsidRPr="00731FE2" w:rsidRDefault="00454FD6" w:rsidP="00454FD6">
      <w:pPr>
        <w:rPr>
          <w:rFonts w:ascii="Times New Roman" w:eastAsia="Times New Roman" w:hAnsi="Times New Roman" w:cs="Times New Roman"/>
          <w:color w:val="000000"/>
          <w:szCs w:val="24"/>
          <w:lang w:eastAsia="ru-RU"/>
        </w:rPr>
      </w:pPr>
    </w:p>
    <w:p w14:paraId="2219B873" w14:textId="77777777" w:rsidR="00454FD6" w:rsidRPr="00731FE2" w:rsidRDefault="00454FD6" w:rsidP="00454FD6">
      <w:pPr>
        <w:rPr>
          <w:rFonts w:ascii="Times New Roman" w:eastAsia="Times New Roman" w:hAnsi="Times New Roman" w:cs="Times New Roman"/>
          <w:szCs w:val="24"/>
          <w:lang w:eastAsia="ru-RU"/>
        </w:rPr>
      </w:pPr>
    </w:p>
    <w:p w14:paraId="4FC5E8D2" w14:textId="77777777" w:rsidR="00902F18" w:rsidRPr="00731FE2" w:rsidRDefault="00454FD6" w:rsidP="00902F18">
      <w:pPr>
        <w:keepNext/>
        <w:spacing w:line="240" w:lineRule="auto"/>
        <w:ind w:firstLine="0"/>
        <w:rPr>
          <w:rFonts w:ascii="Times New Roman" w:eastAsia="Times New Roman" w:hAnsi="Times New Roman" w:cs="Times New Roman"/>
          <w:szCs w:val="24"/>
          <w:lang w:eastAsia="ru-RU"/>
        </w:rPr>
      </w:pPr>
      <w:r w:rsidRPr="00731FE2">
        <w:rPr>
          <w:rFonts w:ascii="Times New Roman" w:eastAsia="Times New Roman" w:hAnsi="Times New Roman" w:cs="Times New Roman"/>
          <w:b/>
          <w:bCs/>
          <w:color w:val="000000"/>
          <w:szCs w:val="24"/>
          <w:lang w:eastAsia="ru-RU"/>
        </w:rPr>
        <w:t xml:space="preserve">Таблица </w:t>
      </w:r>
      <w:r w:rsidRPr="00731FE2">
        <w:rPr>
          <w:rFonts w:ascii="Times New Roman" w:eastAsia="Times New Roman" w:hAnsi="Times New Roman" w:cs="Times New Roman"/>
          <w:b/>
          <w:bCs/>
          <w:color w:val="000000"/>
          <w:szCs w:val="24"/>
          <w:lang w:eastAsia="ru-RU"/>
        </w:rPr>
        <w:fldChar w:fldCharType="begin"/>
      </w:r>
      <w:r w:rsidRPr="00731FE2">
        <w:rPr>
          <w:rFonts w:ascii="Times New Roman" w:eastAsia="Times New Roman" w:hAnsi="Times New Roman" w:cs="Times New Roman"/>
          <w:b/>
          <w:bCs/>
          <w:color w:val="000000"/>
          <w:szCs w:val="24"/>
          <w:lang w:eastAsia="ru-RU"/>
        </w:rPr>
        <w:instrText xml:space="preserve"> SEQ Таблица \* Arabic </w:instrText>
      </w:r>
      <w:r w:rsidRPr="00731FE2">
        <w:rPr>
          <w:rFonts w:ascii="Times New Roman" w:eastAsia="Times New Roman" w:hAnsi="Times New Roman" w:cs="Times New Roman"/>
          <w:b/>
          <w:bCs/>
          <w:color w:val="000000"/>
          <w:szCs w:val="24"/>
          <w:lang w:eastAsia="ru-RU"/>
        </w:rPr>
        <w:fldChar w:fldCharType="separate"/>
      </w:r>
      <w:r w:rsidR="00C50915" w:rsidRPr="00731FE2">
        <w:rPr>
          <w:rFonts w:ascii="Times New Roman" w:eastAsia="Times New Roman" w:hAnsi="Times New Roman" w:cs="Times New Roman"/>
          <w:b/>
          <w:bCs/>
          <w:noProof/>
          <w:color w:val="000000"/>
          <w:szCs w:val="24"/>
          <w:lang w:eastAsia="ru-RU"/>
        </w:rPr>
        <w:t>12</w:t>
      </w:r>
      <w:r w:rsidRPr="00731FE2">
        <w:rPr>
          <w:rFonts w:ascii="Times New Roman" w:eastAsia="Times New Roman" w:hAnsi="Times New Roman" w:cs="Times New Roman"/>
          <w:b/>
          <w:bCs/>
          <w:color w:val="000000"/>
          <w:szCs w:val="24"/>
          <w:lang w:eastAsia="ru-RU"/>
        </w:rPr>
        <w:fldChar w:fldCharType="end"/>
      </w:r>
      <w:r w:rsidRPr="00731FE2">
        <w:rPr>
          <w:rFonts w:ascii="Times New Roman" w:eastAsia="Times New Roman" w:hAnsi="Times New Roman" w:cs="Times New Roman"/>
          <w:b/>
          <w:bCs/>
          <w:color w:val="000000"/>
          <w:szCs w:val="24"/>
          <w:lang w:eastAsia="ru-RU"/>
        </w:rPr>
        <w:t xml:space="preserve"> – </w:t>
      </w:r>
      <w:r w:rsidR="00902F18" w:rsidRPr="00731FE2">
        <w:rPr>
          <w:rFonts w:ascii="Times New Roman" w:eastAsia="Times New Roman" w:hAnsi="Times New Roman" w:cs="Times New Roman"/>
          <w:b/>
          <w:bCs/>
          <w:color w:val="000000"/>
          <w:szCs w:val="24"/>
          <w:lang w:eastAsia="ru-RU"/>
        </w:rPr>
        <w:t>Сведения о дошкольных образовательных учреждениях городского округа города-курорта Кисловодска</w:t>
      </w:r>
    </w:p>
    <w:tbl>
      <w:tblPr>
        <w:tblW w:w="0" w:type="auto"/>
        <w:tblCellSpacing w:w="0" w:type="dxa"/>
        <w:tblLayout w:type="fixed"/>
        <w:tblLook w:val="04A0" w:firstRow="1" w:lastRow="0" w:firstColumn="1" w:lastColumn="0" w:noHBand="0" w:noVBand="1"/>
      </w:tblPr>
      <w:tblGrid>
        <w:gridCol w:w="557"/>
        <w:gridCol w:w="3402"/>
        <w:gridCol w:w="1775"/>
        <w:gridCol w:w="841"/>
        <w:gridCol w:w="1198"/>
        <w:gridCol w:w="1562"/>
      </w:tblGrid>
      <w:tr w:rsidR="00902F18" w:rsidRPr="00731FE2" w14:paraId="593609A8" w14:textId="77777777" w:rsidTr="00A31712">
        <w:trPr>
          <w:trHeight w:val="887"/>
          <w:tblCellSpacing w:w="0" w:type="dxa"/>
        </w:trPr>
        <w:tc>
          <w:tcPr>
            <w:tcW w:w="557"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hideMark/>
          </w:tcPr>
          <w:p w14:paraId="7681A058"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b/>
                <w:bCs/>
                <w:color w:val="000000"/>
                <w:sz w:val="22"/>
                <w:lang w:eastAsia="ru-RU"/>
              </w:rPr>
              <w:t xml:space="preserve">№ </w:t>
            </w:r>
            <w:proofErr w:type="gramStart"/>
            <w:r w:rsidRPr="00731FE2">
              <w:rPr>
                <w:rFonts w:ascii="Times New Roman" w:eastAsia="Times New Roman" w:hAnsi="Times New Roman" w:cs="Times New Roman"/>
                <w:b/>
                <w:bCs/>
                <w:color w:val="000000"/>
                <w:sz w:val="22"/>
                <w:lang w:eastAsia="ru-RU"/>
              </w:rPr>
              <w:t>п</w:t>
            </w:r>
            <w:proofErr w:type="gramEnd"/>
            <w:r w:rsidRPr="00731FE2">
              <w:rPr>
                <w:rFonts w:ascii="Times New Roman" w:eastAsia="Times New Roman" w:hAnsi="Times New Roman" w:cs="Times New Roman"/>
                <w:b/>
                <w:bCs/>
                <w:color w:val="000000"/>
                <w:sz w:val="22"/>
                <w:lang w:eastAsia="ru-RU"/>
              </w:rPr>
              <w:t>/п</w:t>
            </w:r>
          </w:p>
        </w:tc>
        <w:tc>
          <w:tcPr>
            <w:tcW w:w="3402" w:type="dxa"/>
            <w:tcBorders>
              <w:top w:val="single" w:sz="8" w:space="0" w:color="000000"/>
              <w:left w:val="nil"/>
              <w:bottom w:val="single" w:sz="8" w:space="0" w:color="000000"/>
              <w:right w:val="single" w:sz="8" w:space="0" w:color="000000"/>
            </w:tcBorders>
            <w:tcMar>
              <w:top w:w="0" w:type="dxa"/>
              <w:left w:w="28" w:type="dxa"/>
              <w:bottom w:w="0" w:type="dxa"/>
              <w:right w:w="28" w:type="dxa"/>
            </w:tcMar>
            <w:vAlign w:val="center"/>
            <w:hideMark/>
          </w:tcPr>
          <w:p w14:paraId="65F14AED"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b/>
                <w:bCs/>
                <w:color w:val="000000"/>
                <w:sz w:val="22"/>
                <w:lang w:eastAsia="ru-RU"/>
              </w:rPr>
              <w:t>Наименование</w:t>
            </w:r>
          </w:p>
        </w:tc>
        <w:tc>
          <w:tcPr>
            <w:tcW w:w="1775" w:type="dxa"/>
            <w:tcBorders>
              <w:top w:val="single" w:sz="8" w:space="0" w:color="000000"/>
              <w:left w:val="nil"/>
              <w:bottom w:val="single" w:sz="8" w:space="0" w:color="000000"/>
              <w:right w:val="single" w:sz="8" w:space="0" w:color="000000"/>
            </w:tcBorders>
            <w:tcMar>
              <w:top w:w="0" w:type="dxa"/>
              <w:left w:w="28" w:type="dxa"/>
              <w:bottom w:w="0" w:type="dxa"/>
              <w:right w:w="28" w:type="dxa"/>
            </w:tcMar>
            <w:vAlign w:val="center"/>
            <w:hideMark/>
          </w:tcPr>
          <w:p w14:paraId="74D442C8"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b/>
                <w:bCs/>
                <w:color w:val="000000"/>
                <w:sz w:val="22"/>
                <w:lang w:eastAsia="ru-RU"/>
              </w:rPr>
              <w:t>Адрес</w:t>
            </w:r>
          </w:p>
        </w:tc>
        <w:tc>
          <w:tcPr>
            <w:tcW w:w="841" w:type="dxa"/>
            <w:tcBorders>
              <w:top w:val="single" w:sz="8" w:space="0" w:color="000000"/>
              <w:left w:val="nil"/>
              <w:bottom w:val="single" w:sz="8" w:space="0" w:color="000000"/>
              <w:right w:val="single" w:sz="8" w:space="0" w:color="000000"/>
            </w:tcBorders>
            <w:tcMar>
              <w:top w:w="0" w:type="dxa"/>
              <w:left w:w="28" w:type="dxa"/>
              <w:bottom w:w="0" w:type="dxa"/>
              <w:right w:w="28" w:type="dxa"/>
            </w:tcMar>
            <w:vAlign w:val="center"/>
            <w:hideMark/>
          </w:tcPr>
          <w:p w14:paraId="0E12E6F3"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b/>
                <w:bCs/>
                <w:color w:val="000000"/>
                <w:sz w:val="22"/>
                <w:lang w:eastAsia="ru-RU"/>
              </w:rPr>
              <w:t>Мест по проекту</w:t>
            </w:r>
          </w:p>
        </w:tc>
        <w:tc>
          <w:tcPr>
            <w:tcW w:w="1198" w:type="dxa"/>
            <w:tcBorders>
              <w:top w:val="single" w:sz="8" w:space="0" w:color="000000"/>
              <w:left w:val="nil"/>
              <w:bottom w:val="single" w:sz="8" w:space="0" w:color="000000"/>
              <w:right w:val="single" w:sz="8" w:space="0" w:color="000000"/>
            </w:tcBorders>
            <w:tcMar>
              <w:top w:w="0" w:type="dxa"/>
              <w:left w:w="28" w:type="dxa"/>
              <w:bottom w:w="0" w:type="dxa"/>
              <w:right w:w="28" w:type="dxa"/>
            </w:tcMar>
            <w:vAlign w:val="center"/>
            <w:hideMark/>
          </w:tcPr>
          <w:p w14:paraId="0632A829"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b/>
                <w:bCs/>
                <w:color w:val="000000"/>
                <w:sz w:val="22"/>
                <w:lang w:eastAsia="ru-RU"/>
              </w:rPr>
              <w:t>Количество детей по факту</w:t>
            </w:r>
          </w:p>
        </w:tc>
        <w:tc>
          <w:tcPr>
            <w:tcW w:w="1562" w:type="dxa"/>
            <w:tcBorders>
              <w:top w:val="single" w:sz="8" w:space="0" w:color="000000"/>
              <w:left w:val="nil"/>
              <w:bottom w:val="single" w:sz="8" w:space="0" w:color="000000"/>
              <w:right w:val="single" w:sz="8" w:space="0" w:color="000000"/>
            </w:tcBorders>
            <w:tcMar>
              <w:top w:w="0" w:type="dxa"/>
              <w:left w:w="28" w:type="dxa"/>
              <w:bottom w:w="0" w:type="dxa"/>
              <w:right w:w="28" w:type="dxa"/>
            </w:tcMar>
            <w:vAlign w:val="center"/>
            <w:hideMark/>
          </w:tcPr>
          <w:p w14:paraId="6069E2FE"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b/>
                <w:bCs/>
                <w:color w:val="000000"/>
                <w:sz w:val="22"/>
                <w:lang w:eastAsia="ru-RU"/>
              </w:rPr>
              <w:t>Загруженность, %</w:t>
            </w:r>
          </w:p>
        </w:tc>
      </w:tr>
      <w:tr w:rsidR="00902F18" w:rsidRPr="00731FE2" w14:paraId="2AF1DCFD" w14:textId="77777777" w:rsidTr="00A31712">
        <w:trPr>
          <w:trHeight w:val="240"/>
          <w:tblCellSpacing w:w="0" w:type="dxa"/>
        </w:trPr>
        <w:tc>
          <w:tcPr>
            <w:tcW w:w="557" w:type="dxa"/>
            <w:tcBorders>
              <w:top w:val="nil"/>
              <w:left w:val="single" w:sz="8" w:space="0" w:color="000000"/>
              <w:bottom w:val="single" w:sz="8" w:space="0" w:color="000000"/>
              <w:right w:val="single" w:sz="8" w:space="0" w:color="000000"/>
            </w:tcBorders>
            <w:tcMar>
              <w:top w:w="0" w:type="dxa"/>
              <w:left w:w="28" w:type="dxa"/>
              <w:bottom w:w="0" w:type="dxa"/>
              <w:right w:w="28" w:type="dxa"/>
            </w:tcMar>
            <w:vAlign w:val="center"/>
          </w:tcPr>
          <w:p w14:paraId="091D54A4" w14:textId="77777777" w:rsidR="00902F18" w:rsidRPr="00731FE2" w:rsidRDefault="00902F18" w:rsidP="007832E7">
            <w:pPr>
              <w:pStyle w:val="a3"/>
              <w:numPr>
                <w:ilvl w:val="0"/>
                <w:numId w:val="116"/>
              </w:numPr>
              <w:spacing w:line="240" w:lineRule="auto"/>
              <w:ind w:left="527" w:hanging="357"/>
              <w:rPr>
                <w:rFonts w:ascii="Times New Roman" w:eastAsia="Times New Roman" w:hAnsi="Times New Roman" w:cs="Times New Roman"/>
                <w:szCs w:val="24"/>
                <w:lang w:eastAsia="ru-RU"/>
              </w:rPr>
            </w:pPr>
          </w:p>
        </w:tc>
        <w:tc>
          <w:tcPr>
            <w:tcW w:w="3402" w:type="dxa"/>
            <w:tcBorders>
              <w:top w:val="nil"/>
              <w:left w:val="nil"/>
              <w:bottom w:val="single" w:sz="8" w:space="0" w:color="000000"/>
              <w:right w:val="single" w:sz="8" w:space="0" w:color="000000"/>
            </w:tcBorders>
            <w:tcMar>
              <w:top w:w="0" w:type="dxa"/>
              <w:left w:w="28" w:type="dxa"/>
              <w:bottom w:w="0" w:type="dxa"/>
              <w:right w:w="28" w:type="dxa"/>
            </w:tcMar>
            <w:vAlign w:val="center"/>
            <w:hideMark/>
          </w:tcPr>
          <w:p w14:paraId="4544CC8D" w14:textId="77777777" w:rsidR="00902F18" w:rsidRPr="00731FE2" w:rsidRDefault="00902F18" w:rsidP="00902F18">
            <w:pPr>
              <w:spacing w:line="240" w:lineRule="auto"/>
              <w:ind w:left="142" w:firstLine="0"/>
              <w:jc w:val="left"/>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МБДОУ детский сад №1 «Солнышко»</w:t>
            </w:r>
          </w:p>
        </w:tc>
        <w:tc>
          <w:tcPr>
            <w:tcW w:w="1775" w:type="dxa"/>
            <w:tcBorders>
              <w:top w:val="nil"/>
              <w:left w:val="nil"/>
              <w:bottom w:val="single" w:sz="8" w:space="0" w:color="000000"/>
              <w:right w:val="single" w:sz="8" w:space="0" w:color="000000"/>
            </w:tcBorders>
            <w:tcMar>
              <w:top w:w="0" w:type="dxa"/>
              <w:left w:w="28" w:type="dxa"/>
              <w:bottom w:w="0" w:type="dxa"/>
              <w:right w:w="28" w:type="dxa"/>
            </w:tcMar>
            <w:vAlign w:val="center"/>
            <w:hideMark/>
          </w:tcPr>
          <w:p w14:paraId="7B68272B"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пер. Зеркальный, 10</w:t>
            </w:r>
          </w:p>
        </w:tc>
        <w:tc>
          <w:tcPr>
            <w:tcW w:w="841" w:type="dxa"/>
            <w:tcBorders>
              <w:top w:val="nil"/>
              <w:left w:val="nil"/>
              <w:bottom w:val="single" w:sz="8" w:space="0" w:color="000000"/>
              <w:right w:val="single" w:sz="8" w:space="0" w:color="000000"/>
            </w:tcBorders>
            <w:tcMar>
              <w:top w:w="0" w:type="dxa"/>
              <w:left w:w="28" w:type="dxa"/>
              <w:bottom w:w="0" w:type="dxa"/>
              <w:right w:w="28" w:type="dxa"/>
            </w:tcMar>
            <w:vAlign w:val="center"/>
            <w:hideMark/>
          </w:tcPr>
          <w:p w14:paraId="65B396AD"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134</w:t>
            </w:r>
          </w:p>
        </w:tc>
        <w:tc>
          <w:tcPr>
            <w:tcW w:w="1198" w:type="dxa"/>
            <w:tcBorders>
              <w:top w:val="nil"/>
              <w:left w:val="nil"/>
              <w:bottom w:val="single" w:sz="8" w:space="0" w:color="000000"/>
              <w:right w:val="single" w:sz="8" w:space="0" w:color="000000"/>
            </w:tcBorders>
            <w:tcMar>
              <w:top w:w="0" w:type="dxa"/>
              <w:left w:w="28" w:type="dxa"/>
              <w:bottom w:w="0" w:type="dxa"/>
              <w:right w:w="28" w:type="dxa"/>
            </w:tcMar>
            <w:vAlign w:val="center"/>
            <w:hideMark/>
          </w:tcPr>
          <w:p w14:paraId="35A86701"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132</w:t>
            </w:r>
          </w:p>
        </w:tc>
        <w:tc>
          <w:tcPr>
            <w:tcW w:w="1562" w:type="dxa"/>
            <w:tcBorders>
              <w:top w:val="nil"/>
              <w:left w:val="nil"/>
              <w:bottom w:val="single" w:sz="8" w:space="0" w:color="000000"/>
              <w:right w:val="single" w:sz="8" w:space="0" w:color="000000"/>
            </w:tcBorders>
            <w:tcMar>
              <w:top w:w="0" w:type="dxa"/>
              <w:left w:w="28" w:type="dxa"/>
              <w:bottom w:w="0" w:type="dxa"/>
              <w:right w:w="28" w:type="dxa"/>
            </w:tcMar>
            <w:vAlign w:val="center"/>
            <w:hideMark/>
          </w:tcPr>
          <w:p w14:paraId="18846A61"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98,5</w:t>
            </w:r>
          </w:p>
        </w:tc>
      </w:tr>
      <w:tr w:rsidR="00902F18" w:rsidRPr="00731FE2" w14:paraId="1C4EA8A7" w14:textId="77777777" w:rsidTr="00A31712">
        <w:trPr>
          <w:tblCellSpacing w:w="0" w:type="dxa"/>
        </w:trPr>
        <w:tc>
          <w:tcPr>
            <w:tcW w:w="557" w:type="dxa"/>
            <w:tcBorders>
              <w:top w:val="nil"/>
              <w:left w:val="single" w:sz="8" w:space="0" w:color="000000"/>
              <w:bottom w:val="single" w:sz="8" w:space="0" w:color="000000"/>
              <w:right w:val="single" w:sz="8" w:space="0" w:color="000000"/>
            </w:tcBorders>
            <w:tcMar>
              <w:top w:w="0" w:type="dxa"/>
              <w:left w:w="28" w:type="dxa"/>
              <w:bottom w:w="0" w:type="dxa"/>
              <w:right w:w="28" w:type="dxa"/>
            </w:tcMar>
            <w:vAlign w:val="center"/>
          </w:tcPr>
          <w:p w14:paraId="1BB78FE8" w14:textId="77777777" w:rsidR="00902F18" w:rsidRPr="00731FE2" w:rsidRDefault="00902F18" w:rsidP="007832E7">
            <w:pPr>
              <w:numPr>
                <w:ilvl w:val="0"/>
                <w:numId w:val="116"/>
              </w:numPr>
              <w:spacing w:line="240" w:lineRule="auto"/>
              <w:ind w:left="527" w:hanging="357"/>
              <w:rPr>
                <w:rFonts w:ascii="Times New Roman" w:eastAsia="Times New Roman" w:hAnsi="Times New Roman" w:cs="Times New Roman"/>
                <w:szCs w:val="24"/>
                <w:lang w:eastAsia="ru-RU"/>
              </w:rPr>
            </w:pPr>
          </w:p>
        </w:tc>
        <w:tc>
          <w:tcPr>
            <w:tcW w:w="3402" w:type="dxa"/>
            <w:tcBorders>
              <w:top w:val="nil"/>
              <w:left w:val="nil"/>
              <w:bottom w:val="single" w:sz="8" w:space="0" w:color="000000"/>
              <w:right w:val="single" w:sz="8" w:space="0" w:color="000000"/>
            </w:tcBorders>
            <w:tcMar>
              <w:top w:w="0" w:type="dxa"/>
              <w:left w:w="28" w:type="dxa"/>
              <w:bottom w:w="0" w:type="dxa"/>
              <w:right w:w="28" w:type="dxa"/>
            </w:tcMar>
            <w:vAlign w:val="center"/>
            <w:hideMark/>
          </w:tcPr>
          <w:p w14:paraId="6C188162" w14:textId="77777777" w:rsidR="00902F18" w:rsidRPr="00731FE2" w:rsidRDefault="00902F18" w:rsidP="00902F18">
            <w:pPr>
              <w:spacing w:line="240" w:lineRule="auto"/>
              <w:ind w:left="142" w:firstLine="0"/>
              <w:jc w:val="left"/>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МБДОУ детский сад №4</w:t>
            </w:r>
          </w:p>
        </w:tc>
        <w:tc>
          <w:tcPr>
            <w:tcW w:w="1775" w:type="dxa"/>
            <w:tcBorders>
              <w:top w:val="nil"/>
              <w:left w:val="nil"/>
              <w:bottom w:val="single" w:sz="8" w:space="0" w:color="000000"/>
              <w:right w:val="single" w:sz="8" w:space="0" w:color="000000"/>
            </w:tcBorders>
            <w:tcMar>
              <w:top w:w="0" w:type="dxa"/>
              <w:left w:w="28" w:type="dxa"/>
              <w:bottom w:w="0" w:type="dxa"/>
              <w:right w:w="28" w:type="dxa"/>
            </w:tcMar>
            <w:vAlign w:val="center"/>
            <w:hideMark/>
          </w:tcPr>
          <w:p w14:paraId="03287F19"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ул. 40 лет Октября, 4</w:t>
            </w:r>
          </w:p>
        </w:tc>
        <w:tc>
          <w:tcPr>
            <w:tcW w:w="841" w:type="dxa"/>
            <w:tcBorders>
              <w:top w:val="nil"/>
              <w:left w:val="nil"/>
              <w:bottom w:val="single" w:sz="8" w:space="0" w:color="000000"/>
              <w:right w:val="single" w:sz="8" w:space="0" w:color="000000"/>
            </w:tcBorders>
            <w:tcMar>
              <w:top w:w="0" w:type="dxa"/>
              <w:left w:w="28" w:type="dxa"/>
              <w:bottom w:w="0" w:type="dxa"/>
              <w:right w:w="28" w:type="dxa"/>
            </w:tcMar>
            <w:vAlign w:val="center"/>
            <w:hideMark/>
          </w:tcPr>
          <w:p w14:paraId="43A0842D"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258</w:t>
            </w:r>
          </w:p>
        </w:tc>
        <w:tc>
          <w:tcPr>
            <w:tcW w:w="1198" w:type="dxa"/>
            <w:tcBorders>
              <w:top w:val="nil"/>
              <w:left w:val="nil"/>
              <w:bottom w:val="single" w:sz="8" w:space="0" w:color="000000"/>
              <w:right w:val="single" w:sz="8" w:space="0" w:color="000000"/>
            </w:tcBorders>
            <w:tcMar>
              <w:top w:w="0" w:type="dxa"/>
              <w:left w:w="28" w:type="dxa"/>
              <w:bottom w:w="0" w:type="dxa"/>
              <w:right w:w="28" w:type="dxa"/>
            </w:tcMar>
            <w:vAlign w:val="center"/>
            <w:hideMark/>
          </w:tcPr>
          <w:p w14:paraId="7FFB7EA0"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199</w:t>
            </w:r>
          </w:p>
        </w:tc>
        <w:tc>
          <w:tcPr>
            <w:tcW w:w="1562" w:type="dxa"/>
            <w:tcBorders>
              <w:top w:val="nil"/>
              <w:left w:val="nil"/>
              <w:bottom w:val="single" w:sz="8" w:space="0" w:color="000000"/>
              <w:right w:val="single" w:sz="8" w:space="0" w:color="000000"/>
            </w:tcBorders>
            <w:tcMar>
              <w:top w:w="0" w:type="dxa"/>
              <w:left w:w="28" w:type="dxa"/>
              <w:bottom w:w="0" w:type="dxa"/>
              <w:right w:w="28" w:type="dxa"/>
            </w:tcMar>
            <w:vAlign w:val="center"/>
            <w:hideMark/>
          </w:tcPr>
          <w:p w14:paraId="6E35AD85"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77,1</w:t>
            </w:r>
          </w:p>
        </w:tc>
      </w:tr>
      <w:tr w:rsidR="00902F18" w:rsidRPr="00731FE2" w14:paraId="3955EA06" w14:textId="77777777" w:rsidTr="00A31712">
        <w:trPr>
          <w:tblCellSpacing w:w="0" w:type="dxa"/>
        </w:trPr>
        <w:tc>
          <w:tcPr>
            <w:tcW w:w="557" w:type="dxa"/>
            <w:tcBorders>
              <w:top w:val="nil"/>
              <w:left w:val="single" w:sz="8" w:space="0" w:color="000000"/>
              <w:bottom w:val="single" w:sz="8" w:space="0" w:color="000000"/>
              <w:right w:val="single" w:sz="8" w:space="0" w:color="000000"/>
            </w:tcBorders>
            <w:tcMar>
              <w:top w:w="0" w:type="dxa"/>
              <w:left w:w="28" w:type="dxa"/>
              <w:bottom w:w="0" w:type="dxa"/>
              <w:right w:w="28" w:type="dxa"/>
            </w:tcMar>
            <w:vAlign w:val="center"/>
          </w:tcPr>
          <w:p w14:paraId="10A8C059" w14:textId="77777777" w:rsidR="00902F18" w:rsidRPr="00731FE2" w:rsidRDefault="00902F18" w:rsidP="007832E7">
            <w:pPr>
              <w:numPr>
                <w:ilvl w:val="0"/>
                <w:numId w:val="116"/>
              </w:numPr>
              <w:spacing w:line="240" w:lineRule="auto"/>
              <w:ind w:left="527" w:hanging="357"/>
              <w:rPr>
                <w:rFonts w:ascii="Times New Roman" w:eastAsia="Times New Roman" w:hAnsi="Times New Roman" w:cs="Times New Roman"/>
                <w:szCs w:val="24"/>
                <w:lang w:eastAsia="ru-RU"/>
              </w:rPr>
            </w:pPr>
          </w:p>
        </w:tc>
        <w:tc>
          <w:tcPr>
            <w:tcW w:w="3402" w:type="dxa"/>
            <w:tcBorders>
              <w:top w:val="nil"/>
              <w:left w:val="nil"/>
              <w:bottom w:val="single" w:sz="8" w:space="0" w:color="000000"/>
              <w:right w:val="single" w:sz="8" w:space="0" w:color="000000"/>
            </w:tcBorders>
            <w:tcMar>
              <w:top w:w="0" w:type="dxa"/>
              <w:left w:w="28" w:type="dxa"/>
              <w:bottom w:w="0" w:type="dxa"/>
              <w:right w:w="28" w:type="dxa"/>
            </w:tcMar>
            <w:vAlign w:val="center"/>
            <w:hideMark/>
          </w:tcPr>
          <w:p w14:paraId="34E7DA38" w14:textId="77777777" w:rsidR="00902F18" w:rsidRPr="00731FE2" w:rsidRDefault="00902F18" w:rsidP="00902F18">
            <w:pPr>
              <w:spacing w:line="240" w:lineRule="auto"/>
              <w:ind w:left="142" w:firstLine="0"/>
              <w:jc w:val="left"/>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МБДОУ детский сад №5</w:t>
            </w:r>
          </w:p>
        </w:tc>
        <w:tc>
          <w:tcPr>
            <w:tcW w:w="1775" w:type="dxa"/>
            <w:tcBorders>
              <w:top w:val="nil"/>
              <w:left w:val="nil"/>
              <w:bottom w:val="single" w:sz="8" w:space="0" w:color="000000"/>
              <w:right w:val="single" w:sz="8" w:space="0" w:color="000000"/>
            </w:tcBorders>
            <w:tcMar>
              <w:top w:w="0" w:type="dxa"/>
              <w:left w:w="28" w:type="dxa"/>
              <w:bottom w:w="0" w:type="dxa"/>
              <w:right w:w="28" w:type="dxa"/>
            </w:tcMar>
            <w:vAlign w:val="center"/>
            <w:hideMark/>
          </w:tcPr>
          <w:p w14:paraId="3DAB5F8D"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ул. Чкалова, 14</w:t>
            </w:r>
          </w:p>
        </w:tc>
        <w:tc>
          <w:tcPr>
            <w:tcW w:w="841" w:type="dxa"/>
            <w:tcBorders>
              <w:top w:val="nil"/>
              <w:left w:val="nil"/>
              <w:bottom w:val="single" w:sz="8" w:space="0" w:color="000000"/>
              <w:right w:val="single" w:sz="8" w:space="0" w:color="000000"/>
            </w:tcBorders>
            <w:tcMar>
              <w:top w:w="0" w:type="dxa"/>
              <w:left w:w="28" w:type="dxa"/>
              <w:bottom w:w="0" w:type="dxa"/>
              <w:right w:w="28" w:type="dxa"/>
            </w:tcMar>
            <w:vAlign w:val="center"/>
            <w:hideMark/>
          </w:tcPr>
          <w:p w14:paraId="727D6974"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76</w:t>
            </w:r>
          </w:p>
        </w:tc>
        <w:tc>
          <w:tcPr>
            <w:tcW w:w="1198" w:type="dxa"/>
            <w:tcBorders>
              <w:top w:val="nil"/>
              <w:left w:val="nil"/>
              <w:bottom w:val="single" w:sz="8" w:space="0" w:color="000000"/>
              <w:right w:val="single" w:sz="8" w:space="0" w:color="000000"/>
            </w:tcBorders>
            <w:tcMar>
              <w:top w:w="0" w:type="dxa"/>
              <w:left w:w="28" w:type="dxa"/>
              <w:bottom w:w="0" w:type="dxa"/>
              <w:right w:w="28" w:type="dxa"/>
            </w:tcMar>
            <w:vAlign w:val="center"/>
            <w:hideMark/>
          </w:tcPr>
          <w:p w14:paraId="5043810C"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102</w:t>
            </w:r>
          </w:p>
        </w:tc>
        <w:tc>
          <w:tcPr>
            <w:tcW w:w="1562" w:type="dxa"/>
            <w:tcBorders>
              <w:top w:val="nil"/>
              <w:left w:val="nil"/>
              <w:bottom w:val="single" w:sz="8" w:space="0" w:color="000000"/>
              <w:right w:val="single" w:sz="8" w:space="0" w:color="000000"/>
            </w:tcBorders>
            <w:tcMar>
              <w:top w:w="0" w:type="dxa"/>
              <w:left w:w="28" w:type="dxa"/>
              <w:bottom w:w="0" w:type="dxa"/>
              <w:right w:w="28" w:type="dxa"/>
            </w:tcMar>
            <w:vAlign w:val="center"/>
            <w:hideMark/>
          </w:tcPr>
          <w:p w14:paraId="48BA9794"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134,2</w:t>
            </w:r>
          </w:p>
        </w:tc>
      </w:tr>
      <w:tr w:rsidR="00902F18" w:rsidRPr="00731FE2" w14:paraId="1E8EC1C8" w14:textId="77777777" w:rsidTr="00A31712">
        <w:trPr>
          <w:tblCellSpacing w:w="0" w:type="dxa"/>
        </w:trPr>
        <w:tc>
          <w:tcPr>
            <w:tcW w:w="557" w:type="dxa"/>
            <w:tcBorders>
              <w:top w:val="nil"/>
              <w:left w:val="single" w:sz="8" w:space="0" w:color="000000"/>
              <w:bottom w:val="single" w:sz="8" w:space="0" w:color="000000"/>
              <w:right w:val="single" w:sz="8" w:space="0" w:color="000000"/>
            </w:tcBorders>
            <w:tcMar>
              <w:top w:w="0" w:type="dxa"/>
              <w:left w:w="28" w:type="dxa"/>
              <w:bottom w:w="0" w:type="dxa"/>
              <w:right w:w="28" w:type="dxa"/>
            </w:tcMar>
            <w:vAlign w:val="center"/>
          </w:tcPr>
          <w:p w14:paraId="2FFFB92E" w14:textId="77777777" w:rsidR="00902F18" w:rsidRPr="00731FE2" w:rsidRDefault="00902F18" w:rsidP="007832E7">
            <w:pPr>
              <w:numPr>
                <w:ilvl w:val="0"/>
                <w:numId w:val="116"/>
              </w:numPr>
              <w:spacing w:line="240" w:lineRule="auto"/>
              <w:ind w:left="527" w:hanging="357"/>
              <w:rPr>
                <w:rFonts w:ascii="Times New Roman" w:eastAsia="Times New Roman" w:hAnsi="Times New Roman" w:cs="Times New Roman"/>
                <w:szCs w:val="24"/>
                <w:lang w:eastAsia="ru-RU"/>
              </w:rPr>
            </w:pPr>
          </w:p>
        </w:tc>
        <w:tc>
          <w:tcPr>
            <w:tcW w:w="3402" w:type="dxa"/>
            <w:tcBorders>
              <w:top w:val="nil"/>
              <w:left w:val="nil"/>
              <w:bottom w:val="single" w:sz="8" w:space="0" w:color="000000"/>
              <w:right w:val="single" w:sz="8" w:space="0" w:color="000000"/>
            </w:tcBorders>
            <w:tcMar>
              <w:top w:w="0" w:type="dxa"/>
              <w:left w:w="28" w:type="dxa"/>
              <w:bottom w:w="0" w:type="dxa"/>
              <w:right w:w="28" w:type="dxa"/>
            </w:tcMar>
            <w:vAlign w:val="center"/>
            <w:hideMark/>
          </w:tcPr>
          <w:p w14:paraId="006FDAC1" w14:textId="77777777" w:rsidR="00902F18" w:rsidRPr="00731FE2" w:rsidRDefault="00902F18" w:rsidP="00902F18">
            <w:pPr>
              <w:spacing w:line="240" w:lineRule="auto"/>
              <w:ind w:left="142" w:firstLine="0"/>
              <w:jc w:val="left"/>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МБДОУ ЦРР - детский сад №8 «Орленок»</w:t>
            </w:r>
          </w:p>
        </w:tc>
        <w:tc>
          <w:tcPr>
            <w:tcW w:w="1775" w:type="dxa"/>
            <w:tcBorders>
              <w:top w:val="nil"/>
              <w:left w:val="nil"/>
              <w:bottom w:val="single" w:sz="8" w:space="0" w:color="000000"/>
              <w:right w:val="single" w:sz="8" w:space="0" w:color="000000"/>
            </w:tcBorders>
            <w:tcMar>
              <w:top w:w="0" w:type="dxa"/>
              <w:left w:w="28" w:type="dxa"/>
              <w:bottom w:w="0" w:type="dxa"/>
              <w:right w:w="28" w:type="dxa"/>
            </w:tcMar>
            <w:vAlign w:val="center"/>
            <w:hideMark/>
          </w:tcPr>
          <w:p w14:paraId="5E27C4B3"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ул. Велинградская, 24</w:t>
            </w:r>
          </w:p>
        </w:tc>
        <w:tc>
          <w:tcPr>
            <w:tcW w:w="841" w:type="dxa"/>
            <w:tcBorders>
              <w:top w:val="nil"/>
              <w:left w:val="nil"/>
              <w:bottom w:val="single" w:sz="8" w:space="0" w:color="000000"/>
              <w:right w:val="single" w:sz="8" w:space="0" w:color="000000"/>
            </w:tcBorders>
            <w:tcMar>
              <w:top w:w="0" w:type="dxa"/>
              <w:left w:w="28" w:type="dxa"/>
              <w:bottom w:w="0" w:type="dxa"/>
              <w:right w:w="28" w:type="dxa"/>
            </w:tcMar>
            <w:vAlign w:val="center"/>
            <w:hideMark/>
          </w:tcPr>
          <w:p w14:paraId="36B1F5C6"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303</w:t>
            </w:r>
          </w:p>
        </w:tc>
        <w:tc>
          <w:tcPr>
            <w:tcW w:w="1198" w:type="dxa"/>
            <w:tcBorders>
              <w:top w:val="nil"/>
              <w:left w:val="nil"/>
              <w:bottom w:val="single" w:sz="8" w:space="0" w:color="000000"/>
              <w:right w:val="single" w:sz="8" w:space="0" w:color="000000"/>
            </w:tcBorders>
            <w:tcMar>
              <w:top w:w="0" w:type="dxa"/>
              <w:left w:w="28" w:type="dxa"/>
              <w:bottom w:w="0" w:type="dxa"/>
              <w:right w:w="28" w:type="dxa"/>
            </w:tcMar>
            <w:vAlign w:val="center"/>
            <w:hideMark/>
          </w:tcPr>
          <w:p w14:paraId="642E7DB3"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320</w:t>
            </w:r>
          </w:p>
        </w:tc>
        <w:tc>
          <w:tcPr>
            <w:tcW w:w="1562" w:type="dxa"/>
            <w:tcBorders>
              <w:top w:val="nil"/>
              <w:left w:val="nil"/>
              <w:bottom w:val="single" w:sz="8" w:space="0" w:color="000000"/>
              <w:right w:val="single" w:sz="8" w:space="0" w:color="000000"/>
            </w:tcBorders>
            <w:tcMar>
              <w:top w:w="0" w:type="dxa"/>
              <w:left w:w="28" w:type="dxa"/>
              <w:bottom w:w="0" w:type="dxa"/>
              <w:right w:w="28" w:type="dxa"/>
            </w:tcMar>
            <w:vAlign w:val="center"/>
            <w:hideMark/>
          </w:tcPr>
          <w:p w14:paraId="669934E2"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105,6</w:t>
            </w:r>
          </w:p>
        </w:tc>
      </w:tr>
      <w:tr w:rsidR="00902F18" w:rsidRPr="00731FE2" w14:paraId="012E7559" w14:textId="77777777" w:rsidTr="00A31712">
        <w:trPr>
          <w:tblCellSpacing w:w="0" w:type="dxa"/>
        </w:trPr>
        <w:tc>
          <w:tcPr>
            <w:tcW w:w="557" w:type="dxa"/>
            <w:tcBorders>
              <w:top w:val="nil"/>
              <w:left w:val="single" w:sz="8" w:space="0" w:color="000000"/>
              <w:bottom w:val="single" w:sz="8" w:space="0" w:color="000000"/>
              <w:right w:val="single" w:sz="8" w:space="0" w:color="000000"/>
            </w:tcBorders>
            <w:tcMar>
              <w:top w:w="0" w:type="dxa"/>
              <w:left w:w="28" w:type="dxa"/>
              <w:bottom w:w="0" w:type="dxa"/>
              <w:right w:w="28" w:type="dxa"/>
            </w:tcMar>
            <w:vAlign w:val="center"/>
          </w:tcPr>
          <w:p w14:paraId="65ACDCE9" w14:textId="77777777" w:rsidR="00902F18" w:rsidRPr="00731FE2" w:rsidRDefault="00902F18" w:rsidP="007832E7">
            <w:pPr>
              <w:numPr>
                <w:ilvl w:val="0"/>
                <w:numId w:val="116"/>
              </w:numPr>
              <w:spacing w:line="240" w:lineRule="auto"/>
              <w:ind w:left="527" w:hanging="357"/>
              <w:rPr>
                <w:rFonts w:ascii="Times New Roman" w:eastAsia="Times New Roman" w:hAnsi="Times New Roman" w:cs="Times New Roman"/>
                <w:szCs w:val="24"/>
                <w:lang w:eastAsia="ru-RU"/>
              </w:rPr>
            </w:pPr>
          </w:p>
        </w:tc>
        <w:tc>
          <w:tcPr>
            <w:tcW w:w="3402" w:type="dxa"/>
            <w:tcBorders>
              <w:top w:val="nil"/>
              <w:left w:val="nil"/>
              <w:bottom w:val="single" w:sz="8" w:space="0" w:color="000000"/>
              <w:right w:val="single" w:sz="8" w:space="0" w:color="000000"/>
            </w:tcBorders>
            <w:tcMar>
              <w:top w:w="0" w:type="dxa"/>
              <w:left w:w="28" w:type="dxa"/>
              <w:bottom w:w="0" w:type="dxa"/>
              <w:right w:w="28" w:type="dxa"/>
            </w:tcMar>
            <w:vAlign w:val="center"/>
            <w:hideMark/>
          </w:tcPr>
          <w:p w14:paraId="33A3CCE2" w14:textId="77777777" w:rsidR="00902F18" w:rsidRPr="00731FE2" w:rsidRDefault="00902F18" w:rsidP="00902F18">
            <w:pPr>
              <w:spacing w:line="240" w:lineRule="auto"/>
              <w:ind w:left="142" w:firstLine="0"/>
              <w:jc w:val="left"/>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МБДОУ детский сад №14</w:t>
            </w:r>
          </w:p>
        </w:tc>
        <w:tc>
          <w:tcPr>
            <w:tcW w:w="1775" w:type="dxa"/>
            <w:tcBorders>
              <w:top w:val="nil"/>
              <w:left w:val="nil"/>
              <w:bottom w:val="single" w:sz="8" w:space="0" w:color="000000"/>
              <w:right w:val="single" w:sz="8" w:space="0" w:color="000000"/>
            </w:tcBorders>
            <w:tcMar>
              <w:top w:w="0" w:type="dxa"/>
              <w:left w:w="28" w:type="dxa"/>
              <w:bottom w:w="0" w:type="dxa"/>
              <w:right w:w="28" w:type="dxa"/>
            </w:tcMar>
            <w:vAlign w:val="center"/>
            <w:hideMark/>
          </w:tcPr>
          <w:p w14:paraId="2DF7C5B5"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ул. Жмакина, 42</w:t>
            </w:r>
          </w:p>
        </w:tc>
        <w:tc>
          <w:tcPr>
            <w:tcW w:w="841" w:type="dxa"/>
            <w:tcBorders>
              <w:top w:val="nil"/>
              <w:left w:val="nil"/>
              <w:bottom w:val="single" w:sz="8" w:space="0" w:color="000000"/>
              <w:right w:val="single" w:sz="8" w:space="0" w:color="000000"/>
            </w:tcBorders>
            <w:tcMar>
              <w:top w:w="0" w:type="dxa"/>
              <w:left w:w="28" w:type="dxa"/>
              <w:bottom w:w="0" w:type="dxa"/>
              <w:right w:w="28" w:type="dxa"/>
            </w:tcMar>
            <w:vAlign w:val="center"/>
            <w:hideMark/>
          </w:tcPr>
          <w:p w14:paraId="15686ECC"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329</w:t>
            </w:r>
          </w:p>
        </w:tc>
        <w:tc>
          <w:tcPr>
            <w:tcW w:w="1198" w:type="dxa"/>
            <w:tcBorders>
              <w:top w:val="nil"/>
              <w:left w:val="nil"/>
              <w:bottom w:val="single" w:sz="8" w:space="0" w:color="000000"/>
              <w:right w:val="single" w:sz="8" w:space="0" w:color="000000"/>
            </w:tcBorders>
            <w:tcMar>
              <w:top w:w="0" w:type="dxa"/>
              <w:left w:w="28" w:type="dxa"/>
              <w:bottom w:w="0" w:type="dxa"/>
              <w:right w:w="28" w:type="dxa"/>
            </w:tcMar>
            <w:vAlign w:val="center"/>
            <w:hideMark/>
          </w:tcPr>
          <w:p w14:paraId="626F4ADE"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256</w:t>
            </w:r>
          </w:p>
        </w:tc>
        <w:tc>
          <w:tcPr>
            <w:tcW w:w="1562" w:type="dxa"/>
            <w:tcBorders>
              <w:top w:val="nil"/>
              <w:left w:val="nil"/>
              <w:bottom w:val="single" w:sz="8" w:space="0" w:color="000000"/>
              <w:right w:val="single" w:sz="8" w:space="0" w:color="000000"/>
            </w:tcBorders>
            <w:tcMar>
              <w:top w:w="0" w:type="dxa"/>
              <w:left w:w="28" w:type="dxa"/>
              <w:bottom w:w="0" w:type="dxa"/>
              <w:right w:w="28" w:type="dxa"/>
            </w:tcMar>
            <w:vAlign w:val="center"/>
            <w:hideMark/>
          </w:tcPr>
          <w:p w14:paraId="629820C8"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126,5</w:t>
            </w:r>
          </w:p>
        </w:tc>
      </w:tr>
      <w:tr w:rsidR="00902F18" w:rsidRPr="00731FE2" w14:paraId="064AD41A" w14:textId="77777777" w:rsidTr="00A31712">
        <w:trPr>
          <w:tblCellSpacing w:w="0" w:type="dxa"/>
        </w:trPr>
        <w:tc>
          <w:tcPr>
            <w:tcW w:w="557" w:type="dxa"/>
            <w:tcBorders>
              <w:top w:val="nil"/>
              <w:left w:val="single" w:sz="8" w:space="0" w:color="000000"/>
              <w:bottom w:val="single" w:sz="8" w:space="0" w:color="000000"/>
              <w:right w:val="single" w:sz="8" w:space="0" w:color="000000"/>
            </w:tcBorders>
            <w:tcMar>
              <w:top w:w="0" w:type="dxa"/>
              <w:left w:w="28" w:type="dxa"/>
              <w:bottom w:w="0" w:type="dxa"/>
              <w:right w:w="28" w:type="dxa"/>
            </w:tcMar>
            <w:vAlign w:val="center"/>
          </w:tcPr>
          <w:p w14:paraId="6E587EE4" w14:textId="77777777" w:rsidR="00902F18" w:rsidRPr="00731FE2" w:rsidRDefault="00902F18" w:rsidP="007832E7">
            <w:pPr>
              <w:numPr>
                <w:ilvl w:val="0"/>
                <w:numId w:val="116"/>
              </w:numPr>
              <w:spacing w:line="240" w:lineRule="auto"/>
              <w:ind w:left="527" w:hanging="357"/>
              <w:rPr>
                <w:rFonts w:ascii="Times New Roman" w:eastAsia="Times New Roman" w:hAnsi="Times New Roman" w:cs="Times New Roman"/>
                <w:szCs w:val="24"/>
                <w:lang w:eastAsia="ru-RU"/>
              </w:rPr>
            </w:pPr>
          </w:p>
        </w:tc>
        <w:tc>
          <w:tcPr>
            <w:tcW w:w="3402" w:type="dxa"/>
            <w:tcBorders>
              <w:top w:val="nil"/>
              <w:left w:val="nil"/>
              <w:bottom w:val="single" w:sz="8" w:space="0" w:color="000000"/>
              <w:right w:val="single" w:sz="8" w:space="0" w:color="000000"/>
            </w:tcBorders>
            <w:tcMar>
              <w:top w:w="0" w:type="dxa"/>
              <w:left w:w="28" w:type="dxa"/>
              <w:bottom w:w="0" w:type="dxa"/>
              <w:right w:w="28" w:type="dxa"/>
            </w:tcMar>
            <w:vAlign w:val="center"/>
            <w:hideMark/>
          </w:tcPr>
          <w:p w14:paraId="5408ED6F" w14:textId="77777777" w:rsidR="00902F18" w:rsidRPr="00731FE2" w:rsidRDefault="00902F18" w:rsidP="00902F18">
            <w:pPr>
              <w:spacing w:line="240" w:lineRule="auto"/>
              <w:ind w:left="142" w:firstLine="0"/>
              <w:jc w:val="left"/>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МБДОУ детский сад №15</w:t>
            </w:r>
          </w:p>
        </w:tc>
        <w:tc>
          <w:tcPr>
            <w:tcW w:w="1775" w:type="dxa"/>
            <w:tcBorders>
              <w:top w:val="nil"/>
              <w:left w:val="nil"/>
              <w:bottom w:val="single" w:sz="8" w:space="0" w:color="000000"/>
              <w:right w:val="single" w:sz="8" w:space="0" w:color="000000"/>
            </w:tcBorders>
            <w:tcMar>
              <w:top w:w="0" w:type="dxa"/>
              <w:left w:w="28" w:type="dxa"/>
              <w:bottom w:w="0" w:type="dxa"/>
              <w:right w:w="28" w:type="dxa"/>
            </w:tcMar>
            <w:vAlign w:val="center"/>
            <w:hideMark/>
          </w:tcPr>
          <w:p w14:paraId="7589A366"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пр. Победы, 34</w:t>
            </w:r>
          </w:p>
        </w:tc>
        <w:tc>
          <w:tcPr>
            <w:tcW w:w="841" w:type="dxa"/>
            <w:tcBorders>
              <w:top w:val="nil"/>
              <w:left w:val="nil"/>
              <w:bottom w:val="single" w:sz="8" w:space="0" w:color="000000"/>
              <w:right w:val="single" w:sz="8" w:space="0" w:color="000000"/>
            </w:tcBorders>
            <w:tcMar>
              <w:top w:w="0" w:type="dxa"/>
              <w:left w:w="28" w:type="dxa"/>
              <w:bottom w:w="0" w:type="dxa"/>
              <w:right w:w="28" w:type="dxa"/>
            </w:tcMar>
            <w:vAlign w:val="center"/>
            <w:hideMark/>
          </w:tcPr>
          <w:p w14:paraId="3C4E655C"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150</w:t>
            </w:r>
          </w:p>
        </w:tc>
        <w:tc>
          <w:tcPr>
            <w:tcW w:w="1198" w:type="dxa"/>
            <w:tcBorders>
              <w:top w:val="nil"/>
              <w:left w:val="nil"/>
              <w:bottom w:val="single" w:sz="8" w:space="0" w:color="000000"/>
              <w:right w:val="single" w:sz="8" w:space="0" w:color="000000"/>
            </w:tcBorders>
            <w:tcMar>
              <w:top w:w="0" w:type="dxa"/>
              <w:left w:w="28" w:type="dxa"/>
              <w:bottom w:w="0" w:type="dxa"/>
              <w:right w:w="28" w:type="dxa"/>
            </w:tcMar>
            <w:vAlign w:val="center"/>
            <w:hideMark/>
          </w:tcPr>
          <w:p w14:paraId="26934414"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149</w:t>
            </w:r>
          </w:p>
        </w:tc>
        <w:tc>
          <w:tcPr>
            <w:tcW w:w="1562" w:type="dxa"/>
            <w:tcBorders>
              <w:top w:val="nil"/>
              <w:left w:val="nil"/>
              <w:bottom w:val="single" w:sz="8" w:space="0" w:color="000000"/>
              <w:right w:val="single" w:sz="8" w:space="0" w:color="000000"/>
            </w:tcBorders>
            <w:tcMar>
              <w:top w:w="0" w:type="dxa"/>
              <w:left w:w="28" w:type="dxa"/>
              <w:bottom w:w="0" w:type="dxa"/>
              <w:right w:w="28" w:type="dxa"/>
            </w:tcMar>
            <w:vAlign w:val="center"/>
            <w:hideMark/>
          </w:tcPr>
          <w:p w14:paraId="7AA77BF1"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99,3</w:t>
            </w:r>
          </w:p>
        </w:tc>
      </w:tr>
      <w:tr w:rsidR="00902F18" w:rsidRPr="00731FE2" w14:paraId="73DA5AB9" w14:textId="77777777" w:rsidTr="00A31712">
        <w:trPr>
          <w:tblCellSpacing w:w="0" w:type="dxa"/>
        </w:trPr>
        <w:tc>
          <w:tcPr>
            <w:tcW w:w="557" w:type="dxa"/>
            <w:tcBorders>
              <w:top w:val="nil"/>
              <w:left w:val="single" w:sz="8" w:space="0" w:color="000000"/>
              <w:bottom w:val="single" w:sz="8" w:space="0" w:color="000000"/>
              <w:right w:val="single" w:sz="8" w:space="0" w:color="000000"/>
            </w:tcBorders>
            <w:tcMar>
              <w:top w:w="0" w:type="dxa"/>
              <w:left w:w="28" w:type="dxa"/>
              <w:bottom w:w="0" w:type="dxa"/>
              <w:right w:w="28" w:type="dxa"/>
            </w:tcMar>
            <w:vAlign w:val="center"/>
          </w:tcPr>
          <w:p w14:paraId="7FB78D2F" w14:textId="77777777" w:rsidR="00902F18" w:rsidRPr="00731FE2" w:rsidRDefault="00902F18" w:rsidP="007832E7">
            <w:pPr>
              <w:numPr>
                <w:ilvl w:val="0"/>
                <w:numId w:val="116"/>
              </w:numPr>
              <w:spacing w:line="240" w:lineRule="auto"/>
              <w:ind w:left="527" w:hanging="357"/>
              <w:rPr>
                <w:rFonts w:ascii="Times New Roman" w:eastAsia="Times New Roman" w:hAnsi="Times New Roman" w:cs="Times New Roman"/>
                <w:szCs w:val="24"/>
                <w:lang w:eastAsia="ru-RU"/>
              </w:rPr>
            </w:pPr>
          </w:p>
        </w:tc>
        <w:tc>
          <w:tcPr>
            <w:tcW w:w="3402" w:type="dxa"/>
            <w:tcBorders>
              <w:top w:val="nil"/>
              <w:left w:val="nil"/>
              <w:bottom w:val="single" w:sz="8" w:space="0" w:color="000000"/>
              <w:right w:val="single" w:sz="8" w:space="0" w:color="000000"/>
            </w:tcBorders>
            <w:tcMar>
              <w:top w:w="0" w:type="dxa"/>
              <w:left w:w="28" w:type="dxa"/>
              <w:bottom w:w="0" w:type="dxa"/>
              <w:right w:w="28" w:type="dxa"/>
            </w:tcMar>
            <w:vAlign w:val="center"/>
            <w:hideMark/>
          </w:tcPr>
          <w:p w14:paraId="3FB03691" w14:textId="77777777" w:rsidR="00902F18" w:rsidRPr="00731FE2" w:rsidRDefault="00902F18" w:rsidP="00902F18">
            <w:pPr>
              <w:spacing w:line="240" w:lineRule="auto"/>
              <w:ind w:left="142" w:firstLine="0"/>
              <w:jc w:val="left"/>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МБДОУ детский сад «Виктория» №16</w:t>
            </w:r>
          </w:p>
        </w:tc>
        <w:tc>
          <w:tcPr>
            <w:tcW w:w="1775" w:type="dxa"/>
            <w:tcBorders>
              <w:top w:val="nil"/>
              <w:left w:val="nil"/>
              <w:bottom w:val="single" w:sz="8" w:space="0" w:color="000000"/>
              <w:right w:val="single" w:sz="8" w:space="0" w:color="000000"/>
            </w:tcBorders>
            <w:tcMar>
              <w:top w:w="0" w:type="dxa"/>
              <w:left w:w="28" w:type="dxa"/>
              <w:bottom w:w="0" w:type="dxa"/>
              <w:right w:w="28" w:type="dxa"/>
            </w:tcMar>
            <w:vAlign w:val="center"/>
            <w:hideMark/>
          </w:tcPr>
          <w:p w14:paraId="662A2121"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ул. Героев Медиков, 3</w:t>
            </w:r>
          </w:p>
        </w:tc>
        <w:tc>
          <w:tcPr>
            <w:tcW w:w="841" w:type="dxa"/>
            <w:tcBorders>
              <w:top w:val="nil"/>
              <w:left w:val="nil"/>
              <w:bottom w:val="single" w:sz="8" w:space="0" w:color="000000"/>
              <w:right w:val="single" w:sz="8" w:space="0" w:color="000000"/>
            </w:tcBorders>
            <w:tcMar>
              <w:top w:w="0" w:type="dxa"/>
              <w:left w:w="28" w:type="dxa"/>
              <w:bottom w:w="0" w:type="dxa"/>
              <w:right w:w="28" w:type="dxa"/>
            </w:tcMar>
            <w:vAlign w:val="center"/>
            <w:hideMark/>
          </w:tcPr>
          <w:p w14:paraId="7945E1A0"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325</w:t>
            </w:r>
          </w:p>
        </w:tc>
        <w:tc>
          <w:tcPr>
            <w:tcW w:w="1198" w:type="dxa"/>
            <w:tcBorders>
              <w:top w:val="nil"/>
              <w:left w:val="nil"/>
              <w:bottom w:val="single" w:sz="8" w:space="0" w:color="000000"/>
              <w:right w:val="single" w:sz="8" w:space="0" w:color="000000"/>
            </w:tcBorders>
            <w:tcMar>
              <w:top w:w="0" w:type="dxa"/>
              <w:left w:w="28" w:type="dxa"/>
              <w:bottom w:w="0" w:type="dxa"/>
              <w:right w:w="28" w:type="dxa"/>
            </w:tcMar>
            <w:vAlign w:val="center"/>
            <w:hideMark/>
          </w:tcPr>
          <w:p w14:paraId="08EDB3E2"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318</w:t>
            </w:r>
          </w:p>
        </w:tc>
        <w:tc>
          <w:tcPr>
            <w:tcW w:w="1562" w:type="dxa"/>
            <w:tcBorders>
              <w:top w:val="nil"/>
              <w:left w:val="nil"/>
              <w:bottom w:val="single" w:sz="8" w:space="0" w:color="000000"/>
              <w:right w:val="single" w:sz="8" w:space="0" w:color="000000"/>
            </w:tcBorders>
            <w:tcMar>
              <w:top w:w="0" w:type="dxa"/>
              <w:left w:w="28" w:type="dxa"/>
              <w:bottom w:w="0" w:type="dxa"/>
              <w:right w:w="28" w:type="dxa"/>
            </w:tcMar>
            <w:vAlign w:val="center"/>
            <w:hideMark/>
          </w:tcPr>
          <w:p w14:paraId="221AA937"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97,8</w:t>
            </w:r>
          </w:p>
        </w:tc>
      </w:tr>
      <w:tr w:rsidR="00902F18" w:rsidRPr="00731FE2" w14:paraId="31EB2387" w14:textId="77777777" w:rsidTr="00A31712">
        <w:trPr>
          <w:tblCellSpacing w:w="0" w:type="dxa"/>
        </w:trPr>
        <w:tc>
          <w:tcPr>
            <w:tcW w:w="557" w:type="dxa"/>
            <w:tcBorders>
              <w:top w:val="nil"/>
              <w:left w:val="single" w:sz="8" w:space="0" w:color="000000"/>
              <w:bottom w:val="single" w:sz="8" w:space="0" w:color="000000"/>
              <w:right w:val="single" w:sz="8" w:space="0" w:color="000000"/>
            </w:tcBorders>
            <w:tcMar>
              <w:top w:w="0" w:type="dxa"/>
              <w:left w:w="28" w:type="dxa"/>
              <w:bottom w:w="0" w:type="dxa"/>
              <w:right w:w="28" w:type="dxa"/>
            </w:tcMar>
            <w:vAlign w:val="center"/>
          </w:tcPr>
          <w:p w14:paraId="1AD770CF" w14:textId="77777777" w:rsidR="00902F18" w:rsidRPr="00731FE2" w:rsidRDefault="00902F18" w:rsidP="007832E7">
            <w:pPr>
              <w:numPr>
                <w:ilvl w:val="0"/>
                <w:numId w:val="116"/>
              </w:numPr>
              <w:spacing w:line="240" w:lineRule="auto"/>
              <w:ind w:left="527" w:hanging="357"/>
              <w:rPr>
                <w:rFonts w:ascii="Times New Roman" w:eastAsia="Times New Roman" w:hAnsi="Times New Roman" w:cs="Times New Roman"/>
                <w:szCs w:val="24"/>
                <w:lang w:eastAsia="ru-RU"/>
              </w:rPr>
            </w:pPr>
          </w:p>
        </w:tc>
        <w:tc>
          <w:tcPr>
            <w:tcW w:w="3402" w:type="dxa"/>
            <w:tcBorders>
              <w:top w:val="nil"/>
              <w:left w:val="nil"/>
              <w:bottom w:val="single" w:sz="8" w:space="0" w:color="000000"/>
              <w:right w:val="single" w:sz="8" w:space="0" w:color="000000"/>
            </w:tcBorders>
            <w:tcMar>
              <w:top w:w="0" w:type="dxa"/>
              <w:left w:w="28" w:type="dxa"/>
              <w:bottom w:w="0" w:type="dxa"/>
              <w:right w:w="28" w:type="dxa"/>
            </w:tcMar>
            <w:vAlign w:val="center"/>
            <w:hideMark/>
          </w:tcPr>
          <w:p w14:paraId="560F6394" w14:textId="77777777" w:rsidR="00902F18" w:rsidRPr="00731FE2" w:rsidRDefault="00902F18" w:rsidP="00902F18">
            <w:pPr>
              <w:spacing w:line="240" w:lineRule="auto"/>
              <w:ind w:left="142" w:firstLine="0"/>
              <w:jc w:val="left"/>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МБДОУ детский сад №18</w:t>
            </w:r>
          </w:p>
        </w:tc>
        <w:tc>
          <w:tcPr>
            <w:tcW w:w="1775" w:type="dxa"/>
            <w:tcBorders>
              <w:top w:val="nil"/>
              <w:left w:val="nil"/>
              <w:bottom w:val="single" w:sz="8" w:space="0" w:color="000000"/>
              <w:right w:val="single" w:sz="8" w:space="0" w:color="000000"/>
            </w:tcBorders>
            <w:tcMar>
              <w:top w:w="0" w:type="dxa"/>
              <w:left w:w="28" w:type="dxa"/>
              <w:bottom w:w="0" w:type="dxa"/>
              <w:right w:w="28" w:type="dxa"/>
            </w:tcMar>
            <w:vAlign w:val="center"/>
            <w:hideMark/>
          </w:tcPr>
          <w:p w14:paraId="276C0F51"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ул. К. Либкнехта, 26а</w:t>
            </w:r>
          </w:p>
        </w:tc>
        <w:tc>
          <w:tcPr>
            <w:tcW w:w="841" w:type="dxa"/>
            <w:tcBorders>
              <w:top w:val="nil"/>
              <w:left w:val="nil"/>
              <w:bottom w:val="single" w:sz="8" w:space="0" w:color="000000"/>
              <w:right w:val="single" w:sz="8" w:space="0" w:color="000000"/>
            </w:tcBorders>
            <w:tcMar>
              <w:top w:w="0" w:type="dxa"/>
              <w:left w:w="28" w:type="dxa"/>
              <w:bottom w:w="0" w:type="dxa"/>
              <w:right w:w="28" w:type="dxa"/>
            </w:tcMar>
            <w:vAlign w:val="center"/>
            <w:hideMark/>
          </w:tcPr>
          <w:p w14:paraId="77945523"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145</w:t>
            </w:r>
          </w:p>
        </w:tc>
        <w:tc>
          <w:tcPr>
            <w:tcW w:w="1198" w:type="dxa"/>
            <w:tcBorders>
              <w:top w:val="nil"/>
              <w:left w:val="nil"/>
              <w:bottom w:val="single" w:sz="8" w:space="0" w:color="000000"/>
              <w:right w:val="single" w:sz="8" w:space="0" w:color="000000"/>
            </w:tcBorders>
            <w:tcMar>
              <w:top w:w="0" w:type="dxa"/>
              <w:left w:w="28" w:type="dxa"/>
              <w:bottom w:w="0" w:type="dxa"/>
              <w:right w:w="28" w:type="dxa"/>
            </w:tcMar>
            <w:vAlign w:val="center"/>
            <w:hideMark/>
          </w:tcPr>
          <w:p w14:paraId="10932132"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142</w:t>
            </w:r>
          </w:p>
        </w:tc>
        <w:tc>
          <w:tcPr>
            <w:tcW w:w="1562" w:type="dxa"/>
            <w:tcBorders>
              <w:top w:val="nil"/>
              <w:left w:val="nil"/>
              <w:bottom w:val="single" w:sz="8" w:space="0" w:color="000000"/>
              <w:right w:val="single" w:sz="8" w:space="0" w:color="000000"/>
            </w:tcBorders>
            <w:tcMar>
              <w:top w:w="0" w:type="dxa"/>
              <w:left w:w="28" w:type="dxa"/>
              <w:bottom w:w="0" w:type="dxa"/>
              <w:right w:w="28" w:type="dxa"/>
            </w:tcMar>
            <w:vAlign w:val="center"/>
            <w:hideMark/>
          </w:tcPr>
          <w:p w14:paraId="776D29D7"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97,9</w:t>
            </w:r>
          </w:p>
        </w:tc>
      </w:tr>
      <w:tr w:rsidR="00902F18" w:rsidRPr="00731FE2" w14:paraId="1B0386D1" w14:textId="77777777" w:rsidTr="00A31712">
        <w:trPr>
          <w:tblCellSpacing w:w="0" w:type="dxa"/>
        </w:trPr>
        <w:tc>
          <w:tcPr>
            <w:tcW w:w="557" w:type="dxa"/>
            <w:tcBorders>
              <w:top w:val="nil"/>
              <w:left w:val="single" w:sz="8" w:space="0" w:color="000000"/>
              <w:bottom w:val="single" w:sz="8" w:space="0" w:color="000000"/>
              <w:right w:val="single" w:sz="8" w:space="0" w:color="000000"/>
            </w:tcBorders>
            <w:tcMar>
              <w:top w:w="0" w:type="dxa"/>
              <w:left w:w="28" w:type="dxa"/>
              <w:bottom w:w="0" w:type="dxa"/>
              <w:right w:w="28" w:type="dxa"/>
            </w:tcMar>
            <w:vAlign w:val="center"/>
          </w:tcPr>
          <w:p w14:paraId="24BEC6CA" w14:textId="77777777" w:rsidR="00902F18" w:rsidRPr="00731FE2" w:rsidRDefault="00902F18" w:rsidP="007832E7">
            <w:pPr>
              <w:numPr>
                <w:ilvl w:val="0"/>
                <w:numId w:val="116"/>
              </w:numPr>
              <w:spacing w:line="240" w:lineRule="auto"/>
              <w:ind w:left="527" w:hanging="357"/>
              <w:rPr>
                <w:rFonts w:ascii="Times New Roman" w:eastAsia="Times New Roman" w:hAnsi="Times New Roman" w:cs="Times New Roman"/>
                <w:szCs w:val="24"/>
                <w:lang w:eastAsia="ru-RU"/>
              </w:rPr>
            </w:pPr>
          </w:p>
        </w:tc>
        <w:tc>
          <w:tcPr>
            <w:tcW w:w="3402" w:type="dxa"/>
            <w:tcBorders>
              <w:top w:val="nil"/>
              <w:left w:val="nil"/>
              <w:bottom w:val="single" w:sz="8" w:space="0" w:color="000000"/>
              <w:right w:val="single" w:sz="8" w:space="0" w:color="000000"/>
            </w:tcBorders>
            <w:tcMar>
              <w:top w:w="0" w:type="dxa"/>
              <w:left w:w="28" w:type="dxa"/>
              <w:bottom w:w="0" w:type="dxa"/>
              <w:right w:w="28" w:type="dxa"/>
            </w:tcMar>
            <w:vAlign w:val="center"/>
            <w:hideMark/>
          </w:tcPr>
          <w:p w14:paraId="45DCF791" w14:textId="77777777" w:rsidR="00902F18" w:rsidRPr="00731FE2" w:rsidRDefault="00902F18" w:rsidP="00902F18">
            <w:pPr>
              <w:spacing w:line="240" w:lineRule="auto"/>
              <w:ind w:left="142" w:firstLine="0"/>
              <w:jc w:val="left"/>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МБДОУ детский сад «Дельфин» №19</w:t>
            </w:r>
          </w:p>
        </w:tc>
        <w:tc>
          <w:tcPr>
            <w:tcW w:w="1775" w:type="dxa"/>
            <w:tcBorders>
              <w:top w:val="nil"/>
              <w:left w:val="nil"/>
              <w:bottom w:val="single" w:sz="8" w:space="0" w:color="000000"/>
              <w:right w:val="single" w:sz="8" w:space="0" w:color="000000"/>
            </w:tcBorders>
            <w:tcMar>
              <w:top w:w="0" w:type="dxa"/>
              <w:left w:w="28" w:type="dxa"/>
              <w:bottom w:w="0" w:type="dxa"/>
              <w:right w:w="28" w:type="dxa"/>
            </w:tcMar>
            <w:vAlign w:val="center"/>
            <w:hideMark/>
          </w:tcPr>
          <w:p w14:paraId="49125AC1"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пр. Победы, 149а</w:t>
            </w:r>
          </w:p>
        </w:tc>
        <w:tc>
          <w:tcPr>
            <w:tcW w:w="841" w:type="dxa"/>
            <w:tcBorders>
              <w:top w:val="nil"/>
              <w:left w:val="nil"/>
              <w:bottom w:val="single" w:sz="8" w:space="0" w:color="000000"/>
              <w:right w:val="single" w:sz="8" w:space="0" w:color="000000"/>
            </w:tcBorders>
            <w:tcMar>
              <w:top w:w="0" w:type="dxa"/>
              <w:left w:w="28" w:type="dxa"/>
              <w:bottom w:w="0" w:type="dxa"/>
              <w:right w:w="28" w:type="dxa"/>
            </w:tcMar>
            <w:vAlign w:val="center"/>
            <w:hideMark/>
          </w:tcPr>
          <w:p w14:paraId="60307939"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262</w:t>
            </w:r>
          </w:p>
        </w:tc>
        <w:tc>
          <w:tcPr>
            <w:tcW w:w="1198" w:type="dxa"/>
            <w:tcBorders>
              <w:top w:val="nil"/>
              <w:left w:val="nil"/>
              <w:bottom w:val="single" w:sz="8" w:space="0" w:color="000000"/>
              <w:right w:val="single" w:sz="8" w:space="0" w:color="000000"/>
            </w:tcBorders>
            <w:tcMar>
              <w:top w:w="0" w:type="dxa"/>
              <w:left w:w="28" w:type="dxa"/>
              <w:bottom w:w="0" w:type="dxa"/>
              <w:right w:w="28" w:type="dxa"/>
            </w:tcMar>
            <w:vAlign w:val="center"/>
            <w:hideMark/>
          </w:tcPr>
          <w:p w14:paraId="3EA77B1D"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256</w:t>
            </w:r>
          </w:p>
        </w:tc>
        <w:tc>
          <w:tcPr>
            <w:tcW w:w="1562" w:type="dxa"/>
            <w:tcBorders>
              <w:top w:val="nil"/>
              <w:left w:val="nil"/>
              <w:bottom w:val="single" w:sz="8" w:space="0" w:color="000000"/>
              <w:right w:val="single" w:sz="8" w:space="0" w:color="000000"/>
            </w:tcBorders>
            <w:tcMar>
              <w:top w:w="0" w:type="dxa"/>
              <w:left w:w="28" w:type="dxa"/>
              <w:bottom w:w="0" w:type="dxa"/>
              <w:right w:w="28" w:type="dxa"/>
            </w:tcMar>
            <w:vAlign w:val="center"/>
            <w:hideMark/>
          </w:tcPr>
          <w:p w14:paraId="3A2AE798"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97,7</w:t>
            </w:r>
          </w:p>
        </w:tc>
      </w:tr>
      <w:tr w:rsidR="00902F18" w:rsidRPr="00731FE2" w14:paraId="184ADA64" w14:textId="77777777" w:rsidTr="00A31712">
        <w:trPr>
          <w:tblCellSpacing w:w="0" w:type="dxa"/>
        </w:trPr>
        <w:tc>
          <w:tcPr>
            <w:tcW w:w="557" w:type="dxa"/>
            <w:tcBorders>
              <w:top w:val="nil"/>
              <w:left w:val="single" w:sz="8" w:space="0" w:color="000000"/>
              <w:bottom w:val="single" w:sz="8" w:space="0" w:color="000000"/>
              <w:right w:val="single" w:sz="8" w:space="0" w:color="000000"/>
            </w:tcBorders>
            <w:tcMar>
              <w:top w:w="0" w:type="dxa"/>
              <w:left w:w="28" w:type="dxa"/>
              <w:bottom w:w="0" w:type="dxa"/>
              <w:right w:w="28" w:type="dxa"/>
            </w:tcMar>
            <w:vAlign w:val="center"/>
          </w:tcPr>
          <w:p w14:paraId="7157B62C" w14:textId="77777777" w:rsidR="00902F18" w:rsidRPr="00731FE2" w:rsidRDefault="00902F18" w:rsidP="007832E7">
            <w:pPr>
              <w:numPr>
                <w:ilvl w:val="0"/>
                <w:numId w:val="116"/>
              </w:numPr>
              <w:spacing w:line="240" w:lineRule="auto"/>
              <w:ind w:left="527" w:hanging="357"/>
              <w:rPr>
                <w:rFonts w:ascii="Times New Roman" w:eastAsia="Times New Roman" w:hAnsi="Times New Roman" w:cs="Times New Roman"/>
                <w:szCs w:val="24"/>
                <w:lang w:eastAsia="ru-RU"/>
              </w:rPr>
            </w:pPr>
          </w:p>
        </w:tc>
        <w:tc>
          <w:tcPr>
            <w:tcW w:w="3402" w:type="dxa"/>
            <w:tcBorders>
              <w:top w:val="nil"/>
              <w:left w:val="nil"/>
              <w:bottom w:val="single" w:sz="8" w:space="0" w:color="000000"/>
              <w:right w:val="single" w:sz="8" w:space="0" w:color="000000"/>
            </w:tcBorders>
            <w:tcMar>
              <w:top w:w="0" w:type="dxa"/>
              <w:left w:w="28" w:type="dxa"/>
              <w:bottom w:w="0" w:type="dxa"/>
              <w:right w:w="28" w:type="dxa"/>
            </w:tcMar>
            <w:vAlign w:val="center"/>
            <w:hideMark/>
          </w:tcPr>
          <w:p w14:paraId="4CF4A34E" w14:textId="77777777" w:rsidR="00902F18" w:rsidRPr="00731FE2" w:rsidRDefault="00902F18" w:rsidP="00902F18">
            <w:pPr>
              <w:spacing w:line="240" w:lineRule="auto"/>
              <w:ind w:left="142" w:firstLine="0"/>
              <w:jc w:val="left"/>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МБДОУ детский сад №20</w:t>
            </w:r>
          </w:p>
        </w:tc>
        <w:tc>
          <w:tcPr>
            <w:tcW w:w="1775" w:type="dxa"/>
            <w:tcBorders>
              <w:top w:val="nil"/>
              <w:left w:val="nil"/>
              <w:bottom w:val="single" w:sz="8" w:space="0" w:color="000000"/>
              <w:right w:val="single" w:sz="8" w:space="0" w:color="000000"/>
            </w:tcBorders>
            <w:tcMar>
              <w:top w:w="0" w:type="dxa"/>
              <w:left w:w="28" w:type="dxa"/>
              <w:bottom w:w="0" w:type="dxa"/>
              <w:right w:w="28" w:type="dxa"/>
            </w:tcMar>
            <w:vAlign w:val="center"/>
            <w:hideMark/>
          </w:tcPr>
          <w:p w14:paraId="6029C1C6"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ул. Фоменко, 23</w:t>
            </w:r>
          </w:p>
        </w:tc>
        <w:tc>
          <w:tcPr>
            <w:tcW w:w="841" w:type="dxa"/>
            <w:tcBorders>
              <w:top w:val="nil"/>
              <w:left w:val="nil"/>
              <w:bottom w:val="single" w:sz="8" w:space="0" w:color="000000"/>
              <w:right w:val="single" w:sz="8" w:space="0" w:color="000000"/>
            </w:tcBorders>
            <w:tcMar>
              <w:top w:w="0" w:type="dxa"/>
              <w:left w:w="28" w:type="dxa"/>
              <w:bottom w:w="0" w:type="dxa"/>
              <w:right w:w="28" w:type="dxa"/>
            </w:tcMar>
            <w:vAlign w:val="center"/>
            <w:hideMark/>
          </w:tcPr>
          <w:p w14:paraId="3CFBABFC"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368</w:t>
            </w:r>
          </w:p>
        </w:tc>
        <w:tc>
          <w:tcPr>
            <w:tcW w:w="1198" w:type="dxa"/>
            <w:tcBorders>
              <w:top w:val="nil"/>
              <w:left w:val="nil"/>
              <w:bottom w:val="single" w:sz="8" w:space="0" w:color="000000"/>
              <w:right w:val="single" w:sz="8" w:space="0" w:color="000000"/>
            </w:tcBorders>
            <w:tcMar>
              <w:top w:w="0" w:type="dxa"/>
              <w:left w:w="28" w:type="dxa"/>
              <w:bottom w:w="0" w:type="dxa"/>
              <w:right w:w="28" w:type="dxa"/>
            </w:tcMar>
            <w:vAlign w:val="center"/>
            <w:hideMark/>
          </w:tcPr>
          <w:p w14:paraId="1E01C155"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411</w:t>
            </w:r>
          </w:p>
        </w:tc>
        <w:tc>
          <w:tcPr>
            <w:tcW w:w="1562" w:type="dxa"/>
            <w:tcBorders>
              <w:top w:val="nil"/>
              <w:left w:val="nil"/>
              <w:bottom w:val="single" w:sz="8" w:space="0" w:color="000000"/>
              <w:right w:val="single" w:sz="8" w:space="0" w:color="000000"/>
            </w:tcBorders>
            <w:tcMar>
              <w:top w:w="0" w:type="dxa"/>
              <w:left w:w="28" w:type="dxa"/>
              <w:bottom w:w="0" w:type="dxa"/>
              <w:right w:w="28" w:type="dxa"/>
            </w:tcMar>
            <w:vAlign w:val="center"/>
            <w:hideMark/>
          </w:tcPr>
          <w:p w14:paraId="4462AB1A"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111,7</w:t>
            </w:r>
          </w:p>
        </w:tc>
      </w:tr>
      <w:tr w:rsidR="00902F18" w:rsidRPr="00731FE2" w14:paraId="08FDE766" w14:textId="77777777" w:rsidTr="00A31712">
        <w:trPr>
          <w:tblCellSpacing w:w="0" w:type="dxa"/>
        </w:trPr>
        <w:tc>
          <w:tcPr>
            <w:tcW w:w="557" w:type="dxa"/>
            <w:tcBorders>
              <w:top w:val="nil"/>
              <w:left w:val="single" w:sz="8" w:space="0" w:color="000000"/>
              <w:bottom w:val="single" w:sz="8" w:space="0" w:color="000000"/>
              <w:right w:val="single" w:sz="8" w:space="0" w:color="000000"/>
            </w:tcBorders>
            <w:tcMar>
              <w:top w:w="0" w:type="dxa"/>
              <w:left w:w="28" w:type="dxa"/>
              <w:bottom w:w="0" w:type="dxa"/>
              <w:right w:w="28" w:type="dxa"/>
            </w:tcMar>
            <w:vAlign w:val="center"/>
          </w:tcPr>
          <w:p w14:paraId="0AA8EEEB" w14:textId="77777777" w:rsidR="00902F18" w:rsidRPr="00731FE2" w:rsidRDefault="00902F18" w:rsidP="007832E7">
            <w:pPr>
              <w:numPr>
                <w:ilvl w:val="0"/>
                <w:numId w:val="116"/>
              </w:numPr>
              <w:spacing w:line="240" w:lineRule="auto"/>
              <w:ind w:left="527" w:hanging="357"/>
              <w:rPr>
                <w:rFonts w:ascii="Times New Roman" w:eastAsia="Times New Roman" w:hAnsi="Times New Roman" w:cs="Times New Roman"/>
                <w:szCs w:val="24"/>
                <w:lang w:eastAsia="ru-RU"/>
              </w:rPr>
            </w:pPr>
          </w:p>
        </w:tc>
        <w:tc>
          <w:tcPr>
            <w:tcW w:w="3402" w:type="dxa"/>
            <w:tcBorders>
              <w:top w:val="nil"/>
              <w:left w:val="nil"/>
              <w:bottom w:val="single" w:sz="8" w:space="0" w:color="000000"/>
              <w:right w:val="single" w:sz="8" w:space="0" w:color="000000"/>
            </w:tcBorders>
            <w:tcMar>
              <w:top w:w="0" w:type="dxa"/>
              <w:left w:w="28" w:type="dxa"/>
              <w:bottom w:w="0" w:type="dxa"/>
              <w:right w:w="28" w:type="dxa"/>
            </w:tcMar>
            <w:vAlign w:val="center"/>
            <w:hideMark/>
          </w:tcPr>
          <w:p w14:paraId="0DE276E1" w14:textId="77777777" w:rsidR="00902F18" w:rsidRPr="00731FE2" w:rsidRDefault="00902F18" w:rsidP="00902F18">
            <w:pPr>
              <w:spacing w:line="240" w:lineRule="auto"/>
              <w:ind w:left="142" w:firstLine="0"/>
              <w:jc w:val="left"/>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МБДОУ детский сад № 22</w:t>
            </w:r>
          </w:p>
        </w:tc>
        <w:tc>
          <w:tcPr>
            <w:tcW w:w="1775" w:type="dxa"/>
            <w:tcBorders>
              <w:top w:val="nil"/>
              <w:left w:val="nil"/>
              <w:bottom w:val="single" w:sz="8" w:space="0" w:color="000000"/>
              <w:right w:val="single" w:sz="8" w:space="0" w:color="000000"/>
            </w:tcBorders>
            <w:tcMar>
              <w:top w:w="0" w:type="dxa"/>
              <w:left w:w="28" w:type="dxa"/>
              <w:bottom w:w="0" w:type="dxa"/>
              <w:right w:w="28" w:type="dxa"/>
            </w:tcMar>
            <w:vAlign w:val="center"/>
            <w:hideMark/>
          </w:tcPr>
          <w:p w14:paraId="43F7507B"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ул. К. Цеткин, 28А</w:t>
            </w:r>
          </w:p>
        </w:tc>
        <w:tc>
          <w:tcPr>
            <w:tcW w:w="841" w:type="dxa"/>
            <w:tcBorders>
              <w:top w:val="nil"/>
              <w:left w:val="nil"/>
              <w:bottom w:val="single" w:sz="8" w:space="0" w:color="000000"/>
              <w:right w:val="single" w:sz="8" w:space="0" w:color="000000"/>
            </w:tcBorders>
            <w:tcMar>
              <w:top w:w="0" w:type="dxa"/>
              <w:left w:w="28" w:type="dxa"/>
              <w:bottom w:w="0" w:type="dxa"/>
              <w:right w:w="28" w:type="dxa"/>
            </w:tcMar>
            <w:vAlign w:val="center"/>
            <w:hideMark/>
          </w:tcPr>
          <w:p w14:paraId="01D7681D"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67</w:t>
            </w:r>
          </w:p>
        </w:tc>
        <w:tc>
          <w:tcPr>
            <w:tcW w:w="1198" w:type="dxa"/>
            <w:tcBorders>
              <w:top w:val="nil"/>
              <w:left w:val="nil"/>
              <w:bottom w:val="single" w:sz="8" w:space="0" w:color="000000"/>
              <w:right w:val="single" w:sz="8" w:space="0" w:color="000000"/>
            </w:tcBorders>
            <w:tcMar>
              <w:top w:w="0" w:type="dxa"/>
              <w:left w:w="28" w:type="dxa"/>
              <w:bottom w:w="0" w:type="dxa"/>
              <w:right w:w="28" w:type="dxa"/>
            </w:tcMar>
            <w:vAlign w:val="center"/>
            <w:hideMark/>
          </w:tcPr>
          <w:p w14:paraId="3FC1C374"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89</w:t>
            </w:r>
          </w:p>
        </w:tc>
        <w:tc>
          <w:tcPr>
            <w:tcW w:w="1562" w:type="dxa"/>
            <w:tcBorders>
              <w:top w:val="nil"/>
              <w:left w:val="nil"/>
              <w:bottom w:val="single" w:sz="8" w:space="0" w:color="000000"/>
              <w:right w:val="single" w:sz="8" w:space="0" w:color="000000"/>
            </w:tcBorders>
            <w:tcMar>
              <w:top w:w="0" w:type="dxa"/>
              <w:left w:w="28" w:type="dxa"/>
              <w:bottom w:w="0" w:type="dxa"/>
              <w:right w:w="28" w:type="dxa"/>
            </w:tcMar>
            <w:vAlign w:val="center"/>
            <w:hideMark/>
          </w:tcPr>
          <w:p w14:paraId="07740559"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132,8</w:t>
            </w:r>
          </w:p>
        </w:tc>
      </w:tr>
      <w:tr w:rsidR="00902F18" w:rsidRPr="00731FE2" w14:paraId="3E127C78" w14:textId="77777777" w:rsidTr="00A31712">
        <w:trPr>
          <w:tblCellSpacing w:w="0" w:type="dxa"/>
        </w:trPr>
        <w:tc>
          <w:tcPr>
            <w:tcW w:w="557" w:type="dxa"/>
            <w:tcBorders>
              <w:top w:val="nil"/>
              <w:left w:val="single" w:sz="8" w:space="0" w:color="000000"/>
              <w:bottom w:val="single" w:sz="8" w:space="0" w:color="000000"/>
              <w:right w:val="single" w:sz="8" w:space="0" w:color="000000"/>
            </w:tcBorders>
            <w:tcMar>
              <w:top w:w="0" w:type="dxa"/>
              <w:left w:w="28" w:type="dxa"/>
              <w:bottom w:w="0" w:type="dxa"/>
              <w:right w:w="28" w:type="dxa"/>
            </w:tcMar>
            <w:vAlign w:val="center"/>
          </w:tcPr>
          <w:p w14:paraId="0FA2F326" w14:textId="77777777" w:rsidR="00902F18" w:rsidRPr="00731FE2" w:rsidRDefault="00902F18" w:rsidP="007832E7">
            <w:pPr>
              <w:numPr>
                <w:ilvl w:val="0"/>
                <w:numId w:val="116"/>
              </w:numPr>
              <w:spacing w:line="240" w:lineRule="auto"/>
              <w:ind w:left="527" w:hanging="357"/>
              <w:rPr>
                <w:rFonts w:ascii="Times New Roman" w:eastAsia="Times New Roman" w:hAnsi="Times New Roman" w:cs="Times New Roman"/>
                <w:szCs w:val="24"/>
                <w:lang w:eastAsia="ru-RU"/>
              </w:rPr>
            </w:pPr>
          </w:p>
        </w:tc>
        <w:tc>
          <w:tcPr>
            <w:tcW w:w="3402" w:type="dxa"/>
            <w:tcBorders>
              <w:top w:val="nil"/>
              <w:left w:val="nil"/>
              <w:bottom w:val="single" w:sz="8" w:space="0" w:color="000000"/>
              <w:right w:val="single" w:sz="8" w:space="0" w:color="000000"/>
            </w:tcBorders>
            <w:tcMar>
              <w:top w:w="0" w:type="dxa"/>
              <w:left w:w="28" w:type="dxa"/>
              <w:bottom w:w="0" w:type="dxa"/>
              <w:right w:w="28" w:type="dxa"/>
            </w:tcMar>
            <w:vAlign w:val="center"/>
            <w:hideMark/>
          </w:tcPr>
          <w:p w14:paraId="7956AA08" w14:textId="77777777" w:rsidR="00902F18" w:rsidRPr="00731FE2" w:rsidRDefault="00902F18" w:rsidP="00902F18">
            <w:pPr>
              <w:spacing w:line="240" w:lineRule="auto"/>
              <w:ind w:left="142" w:firstLine="0"/>
              <w:jc w:val="left"/>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МБДОУ детский сад №23</w:t>
            </w:r>
          </w:p>
        </w:tc>
        <w:tc>
          <w:tcPr>
            <w:tcW w:w="1775" w:type="dxa"/>
            <w:tcBorders>
              <w:top w:val="nil"/>
              <w:left w:val="nil"/>
              <w:bottom w:val="single" w:sz="8" w:space="0" w:color="000000"/>
              <w:right w:val="single" w:sz="8" w:space="0" w:color="000000"/>
            </w:tcBorders>
            <w:tcMar>
              <w:top w:w="0" w:type="dxa"/>
              <w:left w:w="28" w:type="dxa"/>
              <w:bottom w:w="0" w:type="dxa"/>
              <w:right w:w="28" w:type="dxa"/>
            </w:tcMar>
            <w:vAlign w:val="center"/>
            <w:hideMark/>
          </w:tcPr>
          <w:p w14:paraId="0CC5DBB6"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ул. Грозненская, 5</w:t>
            </w:r>
          </w:p>
        </w:tc>
        <w:tc>
          <w:tcPr>
            <w:tcW w:w="841" w:type="dxa"/>
            <w:tcBorders>
              <w:top w:val="nil"/>
              <w:left w:val="nil"/>
              <w:bottom w:val="single" w:sz="8" w:space="0" w:color="000000"/>
              <w:right w:val="single" w:sz="8" w:space="0" w:color="000000"/>
            </w:tcBorders>
            <w:tcMar>
              <w:top w:w="0" w:type="dxa"/>
              <w:left w:w="28" w:type="dxa"/>
              <w:bottom w:w="0" w:type="dxa"/>
              <w:right w:w="28" w:type="dxa"/>
            </w:tcMar>
            <w:vAlign w:val="center"/>
            <w:hideMark/>
          </w:tcPr>
          <w:p w14:paraId="1D8A90B0"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334</w:t>
            </w:r>
          </w:p>
        </w:tc>
        <w:tc>
          <w:tcPr>
            <w:tcW w:w="1198" w:type="dxa"/>
            <w:tcBorders>
              <w:top w:val="nil"/>
              <w:left w:val="nil"/>
              <w:bottom w:val="single" w:sz="8" w:space="0" w:color="000000"/>
              <w:right w:val="single" w:sz="8" w:space="0" w:color="000000"/>
            </w:tcBorders>
            <w:tcMar>
              <w:top w:w="0" w:type="dxa"/>
              <w:left w:w="28" w:type="dxa"/>
              <w:bottom w:w="0" w:type="dxa"/>
              <w:right w:w="28" w:type="dxa"/>
            </w:tcMar>
            <w:vAlign w:val="center"/>
            <w:hideMark/>
          </w:tcPr>
          <w:p w14:paraId="67DD72EC"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269</w:t>
            </w:r>
          </w:p>
        </w:tc>
        <w:tc>
          <w:tcPr>
            <w:tcW w:w="1562" w:type="dxa"/>
            <w:tcBorders>
              <w:top w:val="nil"/>
              <w:left w:val="nil"/>
              <w:bottom w:val="single" w:sz="8" w:space="0" w:color="000000"/>
              <w:right w:val="single" w:sz="8" w:space="0" w:color="000000"/>
            </w:tcBorders>
            <w:tcMar>
              <w:top w:w="0" w:type="dxa"/>
              <w:left w:w="28" w:type="dxa"/>
              <w:bottom w:w="0" w:type="dxa"/>
              <w:right w:w="28" w:type="dxa"/>
            </w:tcMar>
            <w:vAlign w:val="center"/>
            <w:hideMark/>
          </w:tcPr>
          <w:p w14:paraId="358EB069"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144,1</w:t>
            </w:r>
          </w:p>
        </w:tc>
      </w:tr>
      <w:tr w:rsidR="00902F18" w:rsidRPr="00731FE2" w14:paraId="4953760C" w14:textId="77777777" w:rsidTr="00A31712">
        <w:trPr>
          <w:tblCellSpacing w:w="0" w:type="dxa"/>
        </w:trPr>
        <w:tc>
          <w:tcPr>
            <w:tcW w:w="557" w:type="dxa"/>
            <w:tcBorders>
              <w:top w:val="nil"/>
              <w:left w:val="single" w:sz="8" w:space="0" w:color="000000"/>
              <w:bottom w:val="single" w:sz="8" w:space="0" w:color="000000"/>
              <w:right w:val="single" w:sz="8" w:space="0" w:color="000000"/>
            </w:tcBorders>
            <w:tcMar>
              <w:top w:w="0" w:type="dxa"/>
              <w:left w:w="28" w:type="dxa"/>
              <w:bottom w:w="0" w:type="dxa"/>
              <w:right w:w="28" w:type="dxa"/>
            </w:tcMar>
            <w:vAlign w:val="center"/>
          </w:tcPr>
          <w:p w14:paraId="663DD6A4" w14:textId="77777777" w:rsidR="00902F18" w:rsidRPr="00731FE2" w:rsidRDefault="00902F18" w:rsidP="007832E7">
            <w:pPr>
              <w:numPr>
                <w:ilvl w:val="0"/>
                <w:numId w:val="116"/>
              </w:numPr>
              <w:spacing w:line="240" w:lineRule="auto"/>
              <w:ind w:left="527" w:hanging="357"/>
              <w:rPr>
                <w:rFonts w:ascii="Times New Roman" w:eastAsia="Times New Roman" w:hAnsi="Times New Roman" w:cs="Times New Roman"/>
                <w:szCs w:val="24"/>
                <w:lang w:eastAsia="ru-RU"/>
              </w:rPr>
            </w:pPr>
          </w:p>
        </w:tc>
        <w:tc>
          <w:tcPr>
            <w:tcW w:w="3402" w:type="dxa"/>
            <w:tcBorders>
              <w:top w:val="nil"/>
              <w:left w:val="nil"/>
              <w:bottom w:val="single" w:sz="8" w:space="0" w:color="000000"/>
              <w:right w:val="single" w:sz="8" w:space="0" w:color="000000"/>
            </w:tcBorders>
            <w:tcMar>
              <w:top w:w="0" w:type="dxa"/>
              <w:left w:w="28" w:type="dxa"/>
              <w:bottom w:w="0" w:type="dxa"/>
              <w:right w:w="28" w:type="dxa"/>
            </w:tcMar>
            <w:vAlign w:val="center"/>
            <w:hideMark/>
          </w:tcPr>
          <w:p w14:paraId="6D60439E" w14:textId="77777777" w:rsidR="00902F18" w:rsidRPr="00731FE2" w:rsidRDefault="00902F18" w:rsidP="00902F18">
            <w:pPr>
              <w:spacing w:line="240" w:lineRule="auto"/>
              <w:ind w:left="142" w:firstLine="0"/>
              <w:jc w:val="left"/>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МБДОУ детский сад №25</w:t>
            </w:r>
          </w:p>
        </w:tc>
        <w:tc>
          <w:tcPr>
            <w:tcW w:w="1775" w:type="dxa"/>
            <w:tcBorders>
              <w:top w:val="nil"/>
              <w:left w:val="nil"/>
              <w:bottom w:val="single" w:sz="8" w:space="0" w:color="000000"/>
              <w:right w:val="single" w:sz="8" w:space="0" w:color="000000"/>
            </w:tcBorders>
            <w:tcMar>
              <w:top w:w="0" w:type="dxa"/>
              <w:left w:w="28" w:type="dxa"/>
              <w:bottom w:w="0" w:type="dxa"/>
              <w:right w:w="28" w:type="dxa"/>
            </w:tcMar>
            <w:vAlign w:val="center"/>
            <w:hideMark/>
          </w:tcPr>
          <w:p w14:paraId="210EEFC6"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ул. К. Либкнехта, 36</w:t>
            </w:r>
          </w:p>
        </w:tc>
        <w:tc>
          <w:tcPr>
            <w:tcW w:w="841" w:type="dxa"/>
            <w:tcBorders>
              <w:top w:val="nil"/>
              <w:left w:val="nil"/>
              <w:bottom w:val="single" w:sz="8" w:space="0" w:color="000000"/>
              <w:right w:val="single" w:sz="8" w:space="0" w:color="000000"/>
            </w:tcBorders>
            <w:tcMar>
              <w:top w:w="0" w:type="dxa"/>
              <w:left w:w="28" w:type="dxa"/>
              <w:bottom w:w="0" w:type="dxa"/>
              <w:right w:w="28" w:type="dxa"/>
            </w:tcMar>
            <w:vAlign w:val="center"/>
            <w:hideMark/>
          </w:tcPr>
          <w:p w14:paraId="55113DA5"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280</w:t>
            </w:r>
          </w:p>
        </w:tc>
        <w:tc>
          <w:tcPr>
            <w:tcW w:w="1198" w:type="dxa"/>
            <w:tcBorders>
              <w:top w:val="nil"/>
              <w:left w:val="nil"/>
              <w:bottom w:val="single" w:sz="8" w:space="0" w:color="000000"/>
              <w:right w:val="single" w:sz="8" w:space="0" w:color="000000"/>
            </w:tcBorders>
            <w:tcMar>
              <w:top w:w="0" w:type="dxa"/>
              <w:left w:w="28" w:type="dxa"/>
              <w:bottom w:w="0" w:type="dxa"/>
              <w:right w:w="28" w:type="dxa"/>
            </w:tcMar>
            <w:vAlign w:val="center"/>
            <w:hideMark/>
          </w:tcPr>
          <w:p w14:paraId="1176BE0F"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260</w:t>
            </w:r>
          </w:p>
        </w:tc>
        <w:tc>
          <w:tcPr>
            <w:tcW w:w="1562" w:type="dxa"/>
            <w:tcBorders>
              <w:top w:val="nil"/>
              <w:left w:val="nil"/>
              <w:bottom w:val="single" w:sz="8" w:space="0" w:color="000000"/>
              <w:right w:val="single" w:sz="8" w:space="0" w:color="000000"/>
            </w:tcBorders>
            <w:tcMar>
              <w:top w:w="0" w:type="dxa"/>
              <w:left w:w="28" w:type="dxa"/>
              <w:bottom w:w="0" w:type="dxa"/>
              <w:right w:w="28" w:type="dxa"/>
            </w:tcMar>
            <w:vAlign w:val="center"/>
            <w:hideMark/>
          </w:tcPr>
          <w:p w14:paraId="1365F422"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78,2</w:t>
            </w:r>
          </w:p>
        </w:tc>
      </w:tr>
      <w:tr w:rsidR="00902F18" w:rsidRPr="00731FE2" w14:paraId="5162B649" w14:textId="77777777" w:rsidTr="00A31712">
        <w:trPr>
          <w:trHeight w:val="495"/>
          <w:tblCellSpacing w:w="0" w:type="dxa"/>
        </w:trPr>
        <w:tc>
          <w:tcPr>
            <w:tcW w:w="557" w:type="dxa"/>
            <w:tcBorders>
              <w:top w:val="nil"/>
              <w:left w:val="single" w:sz="8" w:space="0" w:color="000000"/>
              <w:bottom w:val="single" w:sz="8" w:space="0" w:color="000000"/>
              <w:right w:val="single" w:sz="8" w:space="0" w:color="000000"/>
            </w:tcBorders>
            <w:tcMar>
              <w:top w:w="0" w:type="dxa"/>
              <w:left w:w="28" w:type="dxa"/>
              <w:bottom w:w="0" w:type="dxa"/>
              <w:right w:w="28" w:type="dxa"/>
            </w:tcMar>
            <w:vAlign w:val="center"/>
          </w:tcPr>
          <w:p w14:paraId="21E47EF5" w14:textId="77777777" w:rsidR="00902F18" w:rsidRPr="00731FE2" w:rsidRDefault="00902F18" w:rsidP="007832E7">
            <w:pPr>
              <w:numPr>
                <w:ilvl w:val="0"/>
                <w:numId w:val="116"/>
              </w:numPr>
              <w:spacing w:line="240" w:lineRule="auto"/>
              <w:ind w:left="527" w:hanging="357"/>
              <w:rPr>
                <w:rFonts w:ascii="Times New Roman" w:eastAsia="Times New Roman" w:hAnsi="Times New Roman" w:cs="Times New Roman"/>
                <w:szCs w:val="24"/>
                <w:lang w:eastAsia="ru-RU"/>
              </w:rPr>
            </w:pPr>
          </w:p>
        </w:tc>
        <w:tc>
          <w:tcPr>
            <w:tcW w:w="3402" w:type="dxa"/>
            <w:tcBorders>
              <w:top w:val="nil"/>
              <w:left w:val="nil"/>
              <w:bottom w:val="single" w:sz="8" w:space="0" w:color="000000"/>
              <w:right w:val="single" w:sz="8" w:space="0" w:color="000000"/>
            </w:tcBorders>
            <w:tcMar>
              <w:top w:w="0" w:type="dxa"/>
              <w:left w:w="28" w:type="dxa"/>
              <w:bottom w:w="0" w:type="dxa"/>
              <w:right w:w="28" w:type="dxa"/>
            </w:tcMar>
            <w:vAlign w:val="center"/>
            <w:hideMark/>
          </w:tcPr>
          <w:p w14:paraId="55E73340" w14:textId="77777777" w:rsidR="00902F18" w:rsidRPr="00731FE2" w:rsidRDefault="00902F18" w:rsidP="00902F18">
            <w:pPr>
              <w:spacing w:line="240" w:lineRule="auto"/>
              <w:ind w:left="142" w:firstLine="0"/>
              <w:jc w:val="left"/>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МБДОУ детский сад №10 «Теремок»</w:t>
            </w:r>
          </w:p>
        </w:tc>
        <w:tc>
          <w:tcPr>
            <w:tcW w:w="1775" w:type="dxa"/>
            <w:tcBorders>
              <w:top w:val="nil"/>
              <w:left w:val="nil"/>
              <w:bottom w:val="single" w:sz="8" w:space="0" w:color="000000"/>
              <w:right w:val="single" w:sz="8" w:space="0" w:color="000000"/>
            </w:tcBorders>
            <w:tcMar>
              <w:top w:w="0" w:type="dxa"/>
              <w:left w:w="28" w:type="dxa"/>
              <w:bottom w:w="0" w:type="dxa"/>
              <w:right w:w="28" w:type="dxa"/>
            </w:tcMar>
            <w:vAlign w:val="center"/>
            <w:hideMark/>
          </w:tcPr>
          <w:p w14:paraId="21A60B93"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ул. Замковая, 84</w:t>
            </w:r>
          </w:p>
        </w:tc>
        <w:tc>
          <w:tcPr>
            <w:tcW w:w="841" w:type="dxa"/>
            <w:tcBorders>
              <w:top w:val="nil"/>
              <w:left w:val="nil"/>
              <w:bottom w:val="single" w:sz="8" w:space="0" w:color="000000"/>
              <w:right w:val="single" w:sz="8" w:space="0" w:color="000000"/>
            </w:tcBorders>
            <w:tcMar>
              <w:top w:w="0" w:type="dxa"/>
              <w:left w:w="28" w:type="dxa"/>
              <w:bottom w:w="0" w:type="dxa"/>
              <w:right w:w="28" w:type="dxa"/>
            </w:tcMar>
            <w:vAlign w:val="center"/>
            <w:hideMark/>
          </w:tcPr>
          <w:p w14:paraId="7A16BA66"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280</w:t>
            </w:r>
          </w:p>
        </w:tc>
        <w:tc>
          <w:tcPr>
            <w:tcW w:w="1198" w:type="dxa"/>
            <w:tcBorders>
              <w:top w:val="nil"/>
              <w:left w:val="nil"/>
              <w:bottom w:val="single" w:sz="8" w:space="0" w:color="000000"/>
              <w:right w:val="single" w:sz="8" w:space="0" w:color="000000"/>
            </w:tcBorders>
            <w:tcMar>
              <w:top w:w="0" w:type="dxa"/>
              <w:left w:w="28" w:type="dxa"/>
              <w:bottom w:w="0" w:type="dxa"/>
              <w:right w:w="28" w:type="dxa"/>
            </w:tcMar>
            <w:vAlign w:val="center"/>
            <w:hideMark/>
          </w:tcPr>
          <w:p w14:paraId="54F9DD81"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309</w:t>
            </w:r>
          </w:p>
        </w:tc>
        <w:tc>
          <w:tcPr>
            <w:tcW w:w="1562" w:type="dxa"/>
            <w:tcBorders>
              <w:top w:val="nil"/>
              <w:left w:val="nil"/>
              <w:bottom w:val="single" w:sz="8" w:space="0" w:color="000000"/>
              <w:right w:val="single" w:sz="8" w:space="0" w:color="000000"/>
            </w:tcBorders>
            <w:tcMar>
              <w:top w:w="0" w:type="dxa"/>
              <w:left w:w="28" w:type="dxa"/>
              <w:bottom w:w="0" w:type="dxa"/>
              <w:right w:w="28" w:type="dxa"/>
            </w:tcMar>
            <w:vAlign w:val="center"/>
            <w:hideMark/>
          </w:tcPr>
          <w:p w14:paraId="10B380D9"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110,4</w:t>
            </w:r>
          </w:p>
        </w:tc>
      </w:tr>
      <w:tr w:rsidR="00902F18" w:rsidRPr="00731FE2" w14:paraId="61C26FF6" w14:textId="77777777" w:rsidTr="00A31712">
        <w:trPr>
          <w:trHeight w:val="495"/>
          <w:tblCellSpacing w:w="0" w:type="dxa"/>
        </w:trPr>
        <w:tc>
          <w:tcPr>
            <w:tcW w:w="557" w:type="dxa"/>
            <w:tcBorders>
              <w:top w:val="nil"/>
              <w:left w:val="single" w:sz="8" w:space="0" w:color="000000"/>
              <w:bottom w:val="single" w:sz="8" w:space="0" w:color="000000"/>
              <w:right w:val="single" w:sz="8" w:space="0" w:color="000000"/>
            </w:tcBorders>
            <w:tcMar>
              <w:top w:w="0" w:type="dxa"/>
              <w:left w:w="28" w:type="dxa"/>
              <w:bottom w:w="0" w:type="dxa"/>
              <w:right w:w="28" w:type="dxa"/>
            </w:tcMar>
            <w:vAlign w:val="center"/>
          </w:tcPr>
          <w:p w14:paraId="52F7E3DD" w14:textId="77777777" w:rsidR="00902F18" w:rsidRPr="00731FE2" w:rsidRDefault="00902F18" w:rsidP="007832E7">
            <w:pPr>
              <w:numPr>
                <w:ilvl w:val="0"/>
                <w:numId w:val="116"/>
              </w:numPr>
              <w:spacing w:line="240" w:lineRule="auto"/>
              <w:ind w:left="527" w:hanging="357"/>
              <w:rPr>
                <w:rFonts w:ascii="Times New Roman" w:eastAsia="Times New Roman" w:hAnsi="Times New Roman" w:cs="Times New Roman"/>
                <w:szCs w:val="24"/>
                <w:lang w:eastAsia="ru-RU"/>
              </w:rPr>
            </w:pPr>
          </w:p>
        </w:tc>
        <w:tc>
          <w:tcPr>
            <w:tcW w:w="3402" w:type="dxa"/>
            <w:tcBorders>
              <w:top w:val="nil"/>
              <w:left w:val="nil"/>
              <w:bottom w:val="single" w:sz="8" w:space="0" w:color="000000"/>
              <w:right w:val="single" w:sz="8" w:space="0" w:color="000000"/>
            </w:tcBorders>
            <w:tcMar>
              <w:top w:w="0" w:type="dxa"/>
              <w:left w:w="28" w:type="dxa"/>
              <w:bottom w:w="0" w:type="dxa"/>
              <w:right w:w="28" w:type="dxa"/>
            </w:tcMar>
            <w:vAlign w:val="center"/>
            <w:hideMark/>
          </w:tcPr>
          <w:p w14:paraId="0AED6ADB" w14:textId="77777777" w:rsidR="00902F18" w:rsidRPr="00731FE2" w:rsidRDefault="00902F18" w:rsidP="00902F18">
            <w:pPr>
              <w:spacing w:line="240" w:lineRule="auto"/>
              <w:ind w:left="142" w:firstLine="0"/>
              <w:jc w:val="left"/>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МБДОУ детский сад №9 «Городок детства»</w:t>
            </w:r>
          </w:p>
        </w:tc>
        <w:tc>
          <w:tcPr>
            <w:tcW w:w="1775" w:type="dxa"/>
            <w:tcBorders>
              <w:top w:val="nil"/>
              <w:left w:val="nil"/>
              <w:bottom w:val="single" w:sz="8" w:space="0" w:color="000000"/>
              <w:right w:val="single" w:sz="8" w:space="0" w:color="000000"/>
            </w:tcBorders>
            <w:tcMar>
              <w:top w:w="0" w:type="dxa"/>
              <w:left w:w="28" w:type="dxa"/>
              <w:bottom w:w="0" w:type="dxa"/>
              <w:right w:w="28" w:type="dxa"/>
            </w:tcMar>
            <w:vAlign w:val="center"/>
            <w:hideMark/>
          </w:tcPr>
          <w:p w14:paraId="512917AB"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 xml:space="preserve">ул. </w:t>
            </w:r>
            <w:proofErr w:type="gramStart"/>
            <w:r w:rsidRPr="00731FE2">
              <w:rPr>
                <w:rFonts w:ascii="Times New Roman" w:eastAsia="Times New Roman" w:hAnsi="Times New Roman" w:cs="Times New Roman"/>
                <w:color w:val="000000"/>
                <w:sz w:val="22"/>
                <w:lang w:eastAsia="ru-RU"/>
              </w:rPr>
              <w:t>Коллективная</w:t>
            </w:r>
            <w:proofErr w:type="gramEnd"/>
            <w:r w:rsidRPr="00731FE2">
              <w:rPr>
                <w:rFonts w:ascii="Times New Roman" w:eastAsia="Times New Roman" w:hAnsi="Times New Roman" w:cs="Times New Roman"/>
                <w:color w:val="000000"/>
                <w:sz w:val="22"/>
                <w:lang w:eastAsia="ru-RU"/>
              </w:rPr>
              <w:t>, здание 2Б</w:t>
            </w:r>
          </w:p>
        </w:tc>
        <w:tc>
          <w:tcPr>
            <w:tcW w:w="841" w:type="dxa"/>
            <w:tcBorders>
              <w:top w:val="nil"/>
              <w:left w:val="nil"/>
              <w:bottom w:val="single" w:sz="8" w:space="0" w:color="000000"/>
              <w:right w:val="single" w:sz="8" w:space="0" w:color="000000"/>
            </w:tcBorders>
            <w:tcMar>
              <w:top w:w="0" w:type="dxa"/>
              <w:left w:w="28" w:type="dxa"/>
              <w:bottom w:w="0" w:type="dxa"/>
              <w:right w:w="28" w:type="dxa"/>
            </w:tcMar>
            <w:vAlign w:val="center"/>
            <w:hideMark/>
          </w:tcPr>
          <w:p w14:paraId="307DD93B"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153</w:t>
            </w:r>
          </w:p>
        </w:tc>
        <w:tc>
          <w:tcPr>
            <w:tcW w:w="1198" w:type="dxa"/>
            <w:tcBorders>
              <w:top w:val="nil"/>
              <w:left w:val="nil"/>
              <w:bottom w:val="single" w:sz="8" w:space="0" w:color="000000"/>
              <w:right w:val="single" w:sz="8" w:space="0" w:color="000000"/>
            </w:tcBorders>
            <w:tcMar>
              <w:top w:w="0" w:type="dxa"/>
              <w:left w:w="28" w:type="dxa"/>
              <w:bottom w:w="0" w:type="dxa"/>
              <w:right w:w="28" w:type="dxa"/>
            </w:tcMar>
            <w:vAlign w:val="center"/>
            <w:hideMark/>
          </w:tcPr>
          <w:p w14:paraId="67038BAA"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149</w:t>
            </w:r>
          </w:p>
        </w:tc>
        <w:tc>
          <w:tcPr>
            <w:tcW w:w="1562" w:type="dxa"/>
            <w:tcBorders>
              <w:top w:val="nil"/>
              <w:left w:val="nil"/>
              <w:bottom w:val="single" w:sz="8" w:space="0" w:color="000000"/>
              <w:right w:val="single" w:sz="8" w:space="0" w:color="000000"/>
            </w:tcBorders>
            <w:tcMar>
              <w:top w:w="0" w:type="dxa"/>
              <w:left w:w="28" w:type="dxa"/>
              <w:bottom w:w="0" w:type="dxa"/>
              <w:right w:w="28" w:type="dxa"/>
            </w:tcMar>
            <w:vAlign w:val="center"/>
            <w:hideMark/>
          </w:tcPr>
          <w:p w14:paraId="0E11F3CB"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97,4</w:t>
            </w:r>
          </w:p>
        </w:tc>
      </w:tr>
      <w:tr w:rsidR="00902F18" w:rsidRPr="00731FE2" w14:paraId="41D11EA8" w14:textId="77777777" w:rsidTr="00A31712">
        <w:trPr>
          <w:tblCellSpacing w:w="0" w:type="dxa"/>
        </w:trPr>
        <w:tc>
          <w:tcPr>
            <w:tcW w:w="557" w:type="dxa"/>
            <w:tcBorders>
              <w:top w:val="nil"/>
              <w:left w:val="single" w:sz="8" w:space="0" w:color="000000"/>
              <w:bottom w:val="single" w:sz="8" w:space="0" w:color="000000"/>
              <w:right w:val="single" w:sz="8" w:space="0" w:color="000000"/>
            </w:tcBorders>
            <w:tcMar>
              <w:top w:w="0" w:type="dxa"/>
              <w:left w:w="28" w:type="dxa"/>
              <w:bottom w:w="0" w:type="dxa"/>
              <w:right w:w="28" w:type="dxa"/>
            </w:tcMar>
            <w:vAlign w:val="center"/>
          </w:tcPr>
          <w:p w14:paraId="7B4E1990" w14:textId="77777777" w:rsidR="00902F18" w:rsidRPr="00731FE2" w:rsidRDefault="00902F18" w:rsidP="007832E7">
            <w:pPr>
              <w:numPr>
                <w:ilvl w:val="0"/>
                <w:numId w:val="116"/>
              </w:numPr>
              <w:spacing w:line="240" w:lineRule="auto"/>
              <w:ind w:left="527" w:hanging="357"/>
              <w:rPr>
                <w:rFonts w:ascii="Times New Roman" w:eastAsia="Times New Roman" w:hAnsi="Times New Roman" w:cs="Times New Roman"/>
                <w:szCs w:val="24"/>
                <w:lang w:eastAsia="ru-RU"/>
              </w:rPr>
            </w:pPr>
          </w:p>
        </w:tc>
        <w:tc>
          <w:tcPr>
            <w:tcW w:w="3402" w:type="dxa"/>
            <w:tcBorders>
              <w:top w:val="nil"/>
              <w:left w:val="nil"/>
              <w:bottom w:val="single" w:sz="8" w:space="0" w:color="000000"/>
              <w:right w:val="single" w:sz="8" w:space="0" w:color="000000"/>
            </w:tcBorders>
            <w:tcMar>
              <w:top w:w="0" w:type="dxa"/>
              <w:left w:w="28" w:type="dxa"/>
              <w:bottom w:w="0" w:type="dxa"/>
              <w:right w:w="28" w:type="dxa"/>
            </w:tcMar>
            <w:vAlign w:val="center"/>
            <w:hideMark/>
          </w:tcPr>
          <w:p w14:paraId="7E37AA69" w14:textId="77777777" w:rsidR="00902F18" w:rsidRPr="00731FE2" w:rsidRDefault="00902F18" w:rsidP="00902F18">
            <w:pPr>
              <w:spacing w:line="240" w:lineRule="auto"/>
              <w:ind w:left="142" w:firstLine="0"/>
              <w:jc w:val="left"/>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НДОУ «Православный детский сад в честь Чудотворной иконы «Божией Матери» «Скоропослушница»</w:t>
            </w:r>
          </w:p>
        </w:tc>
        <w:tc>
          <w:tcPr>
            <w:tcW w:w="1775" w:type="dxa"/>
            <w:tcBorders>
              <w:top w:val="nil"/>
              <w:left w:val="nil"/>
              <w:bottom w:val="single" w:sz="8" w:space="0" w:color="000000"/>
              <w:right w:val="single" w:sz="8" w:space="0" w:color="000000"/>
            </w:tcBorders>
            <w:tcMar>
              <w:top w:w="0" w:type="dxa"/>
              <w:left w:w="28" w:type="dxa"/>
              <w:bottom w:w="0" w:type="dxa"/>
              <w:right w:w="28" w:type="dxa"/>
            </w:tcMar>
            <w:vAlign w:val="center"/>
            <w:hideMark/>
          </w:tcPr>
          <w:p w14:paraId="38917D26"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ул. Пешеходная, 33</w:t>
            </w:r>
          </w:p>
        </w:tc>
        <w:tc>
          <w:tcPr>
            <w:tcW w:w="841" w:type="dxa"/>
            <w:tcBorders>
              <w:top w:val="nil"/>
              <w:left w:val="nil"/>
              <w:bottom w:val="single" w:sz="8" w:space="0" w:color="000000"/>
              <w:right w:val="single" w:sz="8" w:space="0" w:color="000000"/>
            </w:tcBorders>
            <w:tcMar>
              <w:top w:w="0" w:type="dxa"/>
              <w:left w:w="28" w:type="dxa"/>
              <w:bottom w:w="0" w:type="dxa"/>
              <w:right w:w="28" w:type="dxa"/>
            </w:tcMar>
            <w:vAlign w:val="center"/>
            <w:hideMark/>
          </w:tcPr>
          <w:p w14:paraId="407AF026"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50</w:t>
            </w:r>
          </w:p>
        </w:tc>
        <w:tc>
          <w:tcPr>
            <w:tcW w:w="1198" w:type="dxa"/>
            <w:tcBorders>
              <w:top w:val="nil"/>
              <w:left w:val="nil"/>
              <w:bottom w:val="single" w:sz="8" w:space="0" w:color="000000"/>
              <w:right w:val="single" w:sz="8" w:space="0" w:color="000000"/>
            </w:tcBorders>
            <w:tcMar>
              <w:top w:w="0" w:type="dxa"/>
              <w:left w:w="28" w:type="dxa"/>
              <w:bottom w:w="0" w:type="dxa"/>
              <w:right w:w="28" w:type="dxa"/>
            </w:tcMar>
            <w:vAlign w:val="center"/>
            <w:hideMark/>
          </w:tcPr>
          <w:p w14:paraId="475BB75F"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63</w:t>
            </w:r>
          </w:p>
        </w:tc>
        <w:tc>
          <w:tcPr>
            <w:tcW w:w="1562" w:type="dxa"/>
            <w:tcBorders>
              <w:top w:val="nil"/>
              <w:left w:val="nil"/>
              <w:bottom w:val="single" w:sz="8" w:space="0" w:color="000000"/>
              <w:right w:val="single" w:sz="8" w:space="0" w:color="000000"/>
            </w:tcBorders>
            <w:tcMar>
              <w:top w:w="0" w:type="dxa"/>
              <w:left w:w="28" w:type="dxa"/>
              <w:bottom w:w="0" w:type="dxa"/>
              <w:right w:w="28" w:type="dxa"/>
            </w:tcMar>
            <w:vAlign w:val="center"/>
            <w:hideMark/>
          </w:tcPr>
          <w:p w14:paraId="2496A1FD"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126,0</w:t>
            </w:r>
          </w:p>
        </w:tc>
      </w:tr>
      <w:tr w:rsidR="00902F18" w:rsidRPr="00731FE2" w14:paraId="0A396526" w14:textId="77777777" w:rsidTr="00A31712">
        <w:trPr>
          <w:tblCellSpacing w:w="0" w:type="dxa"/>
        </w:trPr>
        <w:tc>
          <w:tcPr>
            <w:tcW w:w="557" w:type="dxa"/>
            <w:tcBorders>
              <w:top w:val="nil"/>
              <w:left w:val="single" w:sz="8" w:space="0" w:color="000000"/>
              <w:bottom w:val="single" w:sz="8" w:space="0" w:color="000000"/>
              <w:right w:val="single" w:sz="8" w:space="0" w:color="000000"/>
            </w:tcBorders>
            <w:tcMar>
              <w:top w:w="0" w:type="dxa"/>
              <w:left w:w="28" w:type="dxa"/>
              <w:bottom w:w="0" w:type="dxa"/>
              <w:right w:w="28" w:type="dxa"/>
            </w:tcMar>
            <w:vAlign w:val="center"/>
          </w:tcPr>
          <w:p w14:paraId="0E91F245" w14:textId="77777777" w:rsidR="00902F18" w:rsidRPr="00731FE2" w:rsidRDefault="00902F18" w:rsidP="007832E7">
            <w:pPr>
              <w:numPr>
                <w:ilvl w:val="0"/>
                <w:numId w:val="116"/>
              </w:numPr>
              <w:spacing w:line="240" w:lineRule="auto"/>
              <w:ind w:left="527" w:hanging="357"/>
              <w:rPr>
                <w:rFonts w:ascii="Times New Roman" w:eastAsia="Times New Roman" w:hAnsi="Times New Roman" w:cs="Times New Roman"/>
                <w:szCs w:val="24"/>
                <w:lang w:eastAsia="ru-RU"/>
              </w:rPr>
            </w:pPr>
          </w:p>
        </w:tc>
        <w:tc>
          <w:tcPr>
            <w:tcW w:w="3402" w:type="dxa"/>
            <w:tcBorders>
              <w:top w:val="nil"/>
              <w:left w:val="nil"/>
              <w:bottom w:val="single" w:sz="8" w:space="0" w:color="000000"/>
              <w:right w:val="single" w:sz="8" w:space="0" w:color="000000"/>
            </w:tcBorders>
            <w:tcMar>
              <w:top w:w="0" w:type="dxa"/>
              <w:left w:w="28" w:type="dxa"/>
              <w:bottom w:w="0" w:type="dxa"/>
              <w:right w:w="28" w:type="dxa"/>
            </w:tcMar>
            <w:vAlign w:val="center"/>
            <w:hideMark/>
          </w:tcPr>
          <w:p w14:paraId="1007EF60" w14:textId="77777777" w:rsidR="00902F18" w:rsidRPr="00731FE2" w:rsidRDefault="00902F18" w:rsidP="00902F18">
            <w:pPr>
              <w:spacing w:line="240" w:lineRule="auto"/>
              <w:ind w:left="142" w:firstLine="0"/>
              <w:jc w:val="left"/>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Частный детский сад «Вундеркинд» ИП Исаевой И. В.</w:t>
            </w:r>
          </w:p>
        </w:tc>
        <w:tc>
          <w:tcPr>
            <w:tcW w:w="1775" w:type="dxa"/>
            <w:tcBorders>
              <w:top w:val="nil"/>
              <w:left w:val="nil"/>
              <w:bottom w:val="single" w:sz="8" w:space="0" w:color="000000"/>
              <w:right w:val="single" w:sz="8" w:space="0" w:color="000000"/>
            </w:tcBorders>
            <w:tcMar>
              <w:top w:w="0" w:type="dxa"/>
              <w:left w:w="28" w:type="dxa"/>
              <w:bottom w:w="0" w:type="dxa"/>
              <w:right w:w="28" w:type="dxa"/>
            </w:tcMar>
            <w:vAlign w:val="center"/>
            <w:hideMark/>
          </w:tcPr>
          <w:p w14:paraId="1B76F318"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пр. Победы, 37</w:t>
            </w:r>
          </w:p>
        </w:tc>
        <w:tc>
          <w:tcPr>
            <w:tcW w:w="841" w:type="dxa"/>
            <w:tcBorders>
              <w:top w:val="nil"/>
              <w:left w:val="nil"/>
              <w:bottom w:val="single" w:sz="8" w:space="0" w:color="000000"/>
              <w:right w:val="single" w:sz="8" w:space="0" w:color="000000"/>
            </w:tcBorders>
            <w:tcMar>
              <w:top w:w="0" w:type="dxa"/>
              <w:left w:w="28" w:type="dxa"/>
              <w:bottom w:w="0" w:type="dxa"/>
              <w:right w:w="28" w:type="dxa"/>
            </w:tcMar>
            <w:vAlign w:val="center"/>
            <w:hideMark/>
          </w:tcPr>
          <w:p w14:paraId="3D58A28E"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85</w:t>
            </w:r>
          </w:p>
        </w:tc>
        <w:tc>
          <w:tcPr>
            <w:tcW w:w="1198" w:type="dxa"/>
            <w:tcBorders>
              <w:top w:val="nil"/>
              <w:left w:val="nil"/>
              <w:bottom w:val="single" w:sz="8" w:space="0" w:color="000000"/>
              <w:right w:val="single" w:sz="8" w:space="0" w:color="000000"/>
            </w:tcBorders>
            <w:tcMar>
              <w:top w:w="0" w:type="dxa"/>
              <w:left w:w="28" w:type="dxa"/>
              <w:bottom w:w="0" w:type="dxa"/>
              <w:right w:w="28" w:type="dxa"/>
            </w:tcMar>
            <w:vAlign w:val="center"/>
            <w:hideMark/>
          </w:tcPr>
          <w:p w14:paraId="0C60FC54"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92</w:t>
            </w:r>
          </w:p>
        </w:tc>
        <w:tc>
          <w:tcPr>
            <w:tcW w:w="1562" w:type="dxa"/>
            <w:tcBorders>
              <w:top w:val="nil"/>
              <w:left w:val="nil"/>
              <w:bottom w:val="single" w:sz="8" w:space="0" w:color="000000"/>
              <w:right w:val="single" w:sz="8" w:space="0" w:color="000000"/>
            </w:tcBorders>
            <w:tcMar>
              <w:top w:w="0" w:type="dxa"/>
              <w:left w:w="28" w:type="dxa"/>
              <w:bottom w:w="0" w:type="dxa"/>
              <w:right w:w="28" w:type="dxa"/>
            </w:tcMar>
            <w:vAlign w:val="center"/>
            <w:hideMark/>
          </w:tcPr>
          <w:p w14:paraId="7FBCD4B7"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108,2</w:t>
            </w:r>
          </w:p>
        </w:tc>
      </w:tr>
      <w:tr w:rsidR="00902F18" w:rsidRPr="00731FE2" w14:paraId="0E28C0BA" w14:textId="77777777" w:rsidTr="00A31712">
        <w:trPr>
          <w:tblCellSpacing w:w="0" w:type="dxa"/>
        </w:trPr>
        <w:tc>
          <w:tcPr>
            <w:tcW w:w="557" w:type="dxa"/>
            <w:tcBorders>
              <w:top w:val="nil"/>
              <w:left w:val="single" w:sz="8" w:space="0" w:color="000000"/>
              <w:bottom w:val="single" w:sz="8" w:space="0" w:color="000000"/>
              <w:right w:val="single" w:sz="8" w:space="0" w:color="000000"/>
            </w:tcBorders>
            <w:tcMar>
              <w:top w:w="0" w:type="dxa"/>
              <w:left w:w="28" w:type="dxa"/>
              <w:bottom w:w="0" w:type="dxa"/>
              <w:right w:w="28" w:type="dxa"/>
            </w:tcMar>
            <w:vAlign w:val="center"/>
          </w:tcPr>
          <w:p w14:paraId="56EA0F3C" w14:textId="77777777" w:rsidR="00902F18" w:rsidRPr="00731FE2" w:rsidRDefault="00902F18" w:rsidP="007832E7">
            <w:pPr>
              <w:numPr>
                <w:ilvl w:val="0"/>
                <w:numId w:val="116"/>
              </w:numPr>
              <w:spacing w:line="240" w:lineRule="auto"/>
              <w:ind w:left="527" w:hanging="357"/>
              <w:rPr>
                <w:rFonts w:ascii="Times New Roman" w:eastAsia="Times New Roman" w:hAnsi="Times New Roman" w:cs="Times New Roman"/>
                <w:szCs w:val="24"/>
                <w:lang w:eastAsia="ru-RU"/>
              </w:rPr>
            </w:pPr>
          </w:p>
        </w:tc>
        <w:tc>
          <w:tcPr>
            <w:tcW w:w="3402" w:type="dxa"/>
            <w:tcBorders>
              <w:top w:val="nil"/>
              <w:left w:val="nil"/>
              <w:bottom w:val="single" w:sz="8" w:space="0" w:color="000000"/>
              <w:right w:val="single" w:sz="8" w:space="0" w:color="000000"/>
            </w:tcBorders>
            <w:tcMar>
              <w:top w:w="0" w:type="dxa"/>
              <w:left w:w="28" w:type="dxa"/>
              <w:bottom w:w="0" w:type="dxa"/>
              <w:right w:w="28" w:type="dxa"/>
            </w:tcMar>
            <w:vAlign w:val="center"/>
            <w:hideMark/>
          </w:tcPr>
          <w:p w14:paraId="6C5765FB" w14:textId="77777777" w:rsidR="00902F18" w:rsidRPr="00731FE2" w:rsidRDefault="00902F18" w:rsidP="00902F18">
            <w:pPr>
              <w:spacing w:line="240" w:lineRule="auto"/>
              <w:ind w:left="142" w:firstLine="0"/>
              <w:jc w:val="left"/>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Частное дошкольное образовательное учреждение «Детский сад «Сказка»</w:t>
            </w:r>
          </w:p>
        </w:tc>
        <w:tc>
          <w:tcPr>
            <w:tcW w:w="1775" w:type="dxa"/>
            <w:tcBorders>
              <w:top w:val="nil"/>
              <w:left w:val="nil"/>
              <w:bottom w:val="single" w:sz="8" w:space="0" w:color="000000"/>
              <w:right w:val="single" w:sz="8" w:space="0" w:color="000000"/>
            </w:tcBorders>
            <w:tcMar>
              <w:top w:w="0" w:type="dxa"/>
              <w:left w:w="28" w:type="dxa"/>
              <w:bottom w:w="0" w:type="dxa"/>
              <w:right w:w="28" w:type="dxa"/>
            </w:tcMar>
            <w:vAlign w:val="center"/>
            <w:hideMark/>
          </w:tcPr>
          <w:p w14:paraId="6FF051AE"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ул. Западная, 32а</w:t>
            </w:r>
          </w:p>
        </w:tc>
        <w:tc>
          <w:tcPr>
            <w:tcW w:w="841" w:type="dxa"/>
            <w:tcBorders>
              <w:top w:val="nil"/>
              <w:left w:val="nil"/>
              <w:bottom w:val="single" w:sz="8" w:space="0" w:color="000000"/>
              <w:right w:val="single" w:sz="8" w:space="0" w:color="000000"/>
            </w:tcBorders>
            <w:tcMar>
              <w:top w:w="0" w:type="dxa"/>
              <w:left w:w="28" w:type="dxa"/>
              <w:bottom w:w="0" w:type="dxa"/>
              <w:right w:w="28" w:type="dxa"/>
            </w:tcMar>
            <w:vAlign w:val="center"/>
            <w:hideMark/>
          </w:tcPr>
          <w:p w14:paraId="717A7805"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60</w:t>
            </w:r>
          </w:p>
        </w:tc>
        <w:tc>
          <w:tcPr>
            <w:tcW w:w="1198" w:type="dxa"/>
            <w:tcBorders>
              <w:top w:val="nil"/>
              <w:left w:val="nil"/>
              <w:bottom w:val="single" w:sz="8" w:space="0" w:color="000000"/>
              <w:right w:val="single" w:sz="8" w:space="0" w:color="000000"/>
            </w:tcBorders>
            <w:tcMar>
              <w:top w:w="0" w:type="dxa"/>
              <w:left w:w="28" w:type="dxa"/>
              <w:bottom w:w="0" w:type="dxa"/>
              <w:right w:w="28" w:type="dxa"/>
            </w:tcMar>
            <w:vAlign w:val="center"/>
            <w:hideMark/>
          </w:tcPr>
          <w:p w14:paraId="025B42BE"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80</w:t>
            </w:r>
          </w:p>
        </w:tc>
        <w:tc>
          <w:tcPr>
            <w:tcW w:w="1562" w:type="dxa"/>
            <w:tcBorders>
              <w:top w:val="nil"/>
              <w:left w:val="nil"/>
              <w:bottom w:val="single" w:sz="8" w:space="0" w:color="000000"/>
              <w:right w:val="single" w:sz="8" w:space="0" w:color="000000"/>
            </w:tcBorders>
            <w:tcMar>
              <w:top w:w="0" w:type="dxa"/>
              <w:left w:w="28" w:type="dxa"/>
              <w:bottom w:w="0" w:type="dxa"/>
              <w:right w:w="28" w:type="dxa"/>
            </w:tcMar>
            <w:vAlign w:val="center"/>
            <w:hideMark/>
          </w:tcPr>
          <w:p w14:paraId="021C2E4C"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133,3</w:t>
            </w:r>
          </w:p>
        </w:tc>
      </w:tr>
      <w:tr w:rsidR="00902F18" w:rsidRPr="00731FE2" w14:paraId="7078514D" w14:textId="77777777" w:rsidTr="00A31712">
        <w:trPr>
          <w:tblCellSpacing w:w="0" w:type="dxa"/>
        </w:trPr>
        <w:tc>
          <w:tcPr>
            <w:tcW w:w="3959" w:type="dxa"/>
            <w:gridSpan w:val="2"/>
            <w:tcBorders>
              <w:top w:val="nil"/>
              <w:left w:val="single" w:sz="8" w:space="0" w:color="000000"/>
              <w:bottom w:val="single" w:sz="8" w:space="0" w:color="000000"/>
              <w:right w:val="single" w:sz="8" w:space="0" w:color="000000"/>
            </w:tcBorders>
            <w:tcMar>
              <w:top w:w="0" w:type="dxa"/>
              <w:left w:w="28" w:type="dxa"/>
              <w:bottom w:w="0" w:type="dxa"/>
              <w:right w:w="28" w:type="dxa"/>
            </w:tcMar>
            <w:vAlign w:val="center"/>
            <w:hideMark/>
          </w:tcPr>
          <w:p w14:paraId="4C766300" w14:textId="77777777" w:rsidR="00902F18" w:rsidRPr="00731FE2" w:rsidRDefault="00902F18" w:rsidP="00902F18">
            <w:pPr>
              <w:spacing w:line="240" w:lineRule="auto"/>
              <w:ind w:left="142" w:firstLine="0"/>
              <w:rPr>
                <w:rFonts w:ascii="Times New Roman" w:eastAsia="Times New Roman" w:hAnsi="Times New Roman" w:cs="Times New Roman"/>
                <w:szCs w:val="24"/>
                <w:lang w:eastAsia="ru-RU"/>
              </w:rPr>
            </w:pPr>
            <w:r w:rsidRPr="00731FE2">
              <w:rPr>
                <w:rFonts w:ascii="Times New Roman" w:eastAsia="Times New Roman" w:hAnsi="Times New Roman" w:cs="Times New Roman"/>
                <w:b/>
                <w:bCs/>
                <w:color w:val="000000"/>
                <w:sz w:val="22"/>
                <w:lang w:eastAsia="ru-RU"/>
              </w:rPr>
              <w:t xml:space="preserve">Всего по городу-курорту Кисловодску </w:t>
            </w:r>
          </w:p>
        </w:tc>
        <w:tc>
          <w:tcPr>
            <w:tcW w:w="1775" w:type="dxa"/>
            <w:tcBorders>
              <w:top w:val="nil"/>
              <w:left w:val="nil"/>
              <w:bottom w:val="single" w:sz="8" w:space="0" w:color="000000"/>
              <w:right w:val="single" w:sz="8" w:space="0" w:color="000000"/>
            </w:tcBorders>
            <w:tcMar>
              <w:top w:w="0" w:type="dxa"/>
              <w:left w:w="28" w:type="dxa"/>
              <w:bottom w:w="0" w:type="dxa"/>
              <w:right w:w="28" w:type="dxa"/>
            </w:tcMar>
            <w:vAlign w:val="center"/>
            <w:hideMark/>
          </w:tcPr>
          <w:p w14:paraId="74C0DB7F"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b/>
                <w:bCs/>
                <w:color w:val="000000"/>
                <w:sz w:val="22"/>
                <w:lang w:eastAsia="ru-RU"/>
              </w:rPr>
              <w:t> </w:t>
            </w:r>
          </w:p>
        </w:tc>
        <w:tc>
          <w:tcPr>
            <w:tcW w:w="841" w:type="dxa"/>
            <w:tcBorders>
              <w:top w:val="nil"/>
              <w:left w:val="nil"/>
              <w:bottom w:val="single" w:sz="8" w:space="0" w:color="000000"/>
              <w:right w:val="single" w:sz="8" w:space="0" w:color="000000"/>
            </w:tcBorders>
            <w:tcMar>
              <w:top w:w="0" w:type="dxa"/>
              <w:left w:w="28" w:type="dxa"/>
              <w:bottom w:w="0" w:type="dxa"/>
              <w:right w:w="28" w:type="dxa"/>
            </w:tcMar>
            <w:vAlign w:val="center"/>
            <w:hideMark/>
          </w:tcPr>
          <w:p w14:paraId="25B17F5D"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b/>
                <w:bCs/>
                <w:color w:val="000000"/>
                <w:sz w:val="22"/>
                <w:lang w:eastAsia="ru-RU"/>
              </w:rPr>
              <w:t>3659</w:t>
            </w:r>
          </w:p>
        </w:tc>
        <w:tc>
          <w:tcPr>
            <w:tcW w:w="1198" w:type="dxa"/>
            <w:tcBorders>
              <w:top w:val="nil"/>
              <w:left w:val="nil"/>
              <w:bottom w:val="single" w:sz="8" w:space="0" w:color="000000"/>
              <w:right w:val="single" w:sz="8" w:space="0" w:color="000000"/>
            </w:tcBorders>
            <w:tcMar>
              <w:top w:w="0" w:type="dxa"/>
              <w:left w:w="28" w:type="dxa"/>
              <w:bottom w:w="0" w:type="dxa"/>
              <w:right w:w="28" w:type="dxa"/>
            </w:tcMar>
            <w:vAlign w:val="center"/>
            <w:hideMark/>
          </w:tcPr>
          <w:p w14:paraId="256FDFBD"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b/>
                <w:bCs/>
                <w:color w:val="000000"/>
                <w:sz w:val="22"/>
                <w:lang w:eastAsia="ru-RU"/>
              </w:rPr>
              <w:t>3596</w:t>
            </w:r>
          </w:p>
        </w:tc>
        <w:tc>
          <w:tcPr>
            <w:tcW w:w="1562" w:type="dxa"/>
            <w:tcBorders>
              <w:top w:val="nil"/>
              <w:left w:val="nil"/>
              <w:bottom w:val="single" w:sz="8" w:space="0" w:color="000000"/>
              <w:right w:val="single" w:sz="8" w:space="0" w:color="000000"/>
            </w:tcBorders>
            <w:tcMar>
              <w:top w:w="0" w:type="dxa"/>
              <w:left w:w="28" w:type="dxa"/>
              <w:bottom w:w="0" w:type="dxa"/>
              <w:right w:w="28" w:type="dxa"/>
            </w:tcMar>
            <w:vAlign w:val="center"/>
            <w:hideMark/>
          </w:tcPr>
          <w:p w14:paraId="4FE71E0A"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b/>
                <w:bCs/>
                <w:color w:val="000000"/>
                <w:sz w:val="22"/>
                <w:lang w:eastAsia="ru-RU"/>
              </w:rPr>
              <w:t>98,3</w:t>
            </w:r>
          </w:p>
        </w:tc>
      </w:tr>
    </w:tbl>
    <w:p w14:paraId="52D3F7D9" w14:textId="77777777" w:rsidR="00902F18" w:rsidRPr="00731FE2" w:rsidRDefault="00902F18" w:rsidP="00902F18">
      <w:pPr>
        <w:spacing w:line="240" w:lineRule="auto"/>
        <w:ind w:firstLine="0"/>
        <w:rPr>
          <w:rFonts w:ascii="Times New Roman" w:eastAsia="Times New Roman" w:hAnsi="Times New Roman" w:cs="Times New Roman"/>
          <w:szCs w:val="24"/>
          <w:lang w:eastAsia="ru-RU"/>
        </w:rPr>
      </w:pPr>
    </w:p>
    <w:p w14:paraId="28D829DB" w14:textId="77777777" w:rsidR="00902F18" w:rsidRPr="00731FE2" w:rsidRDefault="00902F18" w:rsidP="00454FD6">
      <w:pP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Cs w:val="24"/>
          <w:lang w:eastAsia="ru-RU"/>
        </w:rPr>
        <w:t>Как видно из таблицы</w:t>
      </w:r>
      <w:r w:rsidR="00454FD6" w:rsidRPr="00731FE2">
        <w:rPr>
          <w:rFonts w:ascii="Times New Roman" w:eastAsia="Times New Roman" w:hAnsi="Times New Roman" w:cs="Times New Roman"/>
          <w:color w:val="000000"/>
          <w:szCs w:val="24"/>
          <w:lang w:eastAsia="ru-RU"/>
        </w:rPr>
        <w:t xml:space="preserve"> выше</w:t>
      </w:r>
      <w:r w:rsidRPr="00731FE2">
        <w:rPr>
          <w:rFonts w:ascii="Times New Roman" w:eastAsia="Times New Roman" w:hAnsi="Times New Roman" w:cs="Times New Roman"/>
          <w:color w:val="000000"/>
          <w:szCs w:val="24"/>
          <w:lang w:eastAsia="ru-RU"/>
        </w:rPr>
        <w:t xml:space="preserve"> из 18 детских дошкольных учреждений имеют показатель загруженности меньше проектной мощности. Во всех остальных ДОУ наполняемость групп колеблется от 105% до 144%. Наибольшая загруженность наблюдается в МДОУ детский сад №23 – 144,1%.</w:t>
      </w:r>
    </w:p>
    <w:p w14:paraId="07CA913A" w14:textId="77777777" w:rsidR="00902F18" w:rsidRPr="00731FE2" w:rsidRDefault="00902F18" w:rsidP="00454FD6">
      <w:pP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Cs w:val="24"/>
          <w:lang w:eastAsia="ru-RU"/>
        </w:rPr>
        <w:t>В среднем в городе курорте Кисловодске загруженность ДОУ составляет 98,3%.</w:t>
      </w:r>
    </w:p>
    <w:p w14:paraId="0132094F" w14:textId="77777777" w:rsidR="00902F18" w:rsidRPr="00731FE2" w:rsidRDefault="00902F18" w:rsidP="00454FD6">
      <w:pPr>
        <w:rPr>
          <w:rFonts w:ascii="Times New Roman" w:eastAsia="Times New Roman" w:hAnsi="Times New Roman" w:cs="Times New Roman"/>
          <w:szCs w:val="24"/>
          <w:lang w:eastAsia="ru-RU"/>
        </w:rPr>
      </w:pPr>
      <w:r w:rsidRPr="00731FE2">
        <w:rPr>
          <w:rFonts w:ascii="Times New Roman" w:eastAsia="Times New Roman" w:hAnsi="Times New Roman" w:cs="Times New Roman"/>
          <w:b/>
          <w:bCs/>
          <w:color w:val="000000"/>
          <w:szCs w:val="24"/>
          <w:lang w:eastAsia="ru-RU"/>
        </w:rPr>
        <w:t>Это определяет проблему дефицита мест в детских дошкольных образовательных учреждениях и требует соответствующих решений по строительству новых ДОУ на территории города-курорта Кисловодска.</w:t>
      </w:r>
    </w:p>
    <w:p w14:paraId="779BC7C1" w14:textId="77777777" w:rsidR="00902F18" w:rsidRPr="00731FE2" w:rsidRDefault="00902F18" w:rsidP="00454FD6">
      <w:pP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Cs w:val="24"/>
          <w:lang w:eastAsia="ru-RU"/>
        </w:rPr>
        <w:t>Общее и дополнительное образование. В системе общего среднего образования города-курорта Кисловодска функционируют 18 учреждений, из них: 15 государственных и 3 негосударственных.</w:t>
      </w:r>
    </w:p>
    <w:p w14:paraId="2E4B2FD3" w14:textId="77777777" w:rsidR="00902F18" w:rsidRPr="00731FE2" w:rsidRDefault="00902F18" w:rsidP="00454FD6">
      <w:pP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Cs w:val="24"/>
          <w:lang w:eastAsia="ru-RU"/>
        </w:rPr>
        <w:t>На рисунке представлена динамика численности детей, посещающих ДОУ, за 2017-2023 годы. В период с 2017 по 2019 год наблюдается рост числа учащихся на 121 человек. А с 2022 по 2023 резкий спад.</w:t>
      </w:r>
    </w:p>
    <w:p w14:paraId="157688A6" w14:textId="77777777" w:rsidR="00902F18" w:rsidRPr="00731FE2" w:rsidRDefault="00454FD6" w:rsidP="00454FD6">
      <w:pPr>
        <w:keepNext/>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noProof/>
          <w:szCs w:val="24"/>
          <w:lang w:eastAsia="ru-RU"/>
        </w:rPr>
        <w:drawing>
          <wp:inline distT="0" distB="0" distL="0" distR="0" wp14:anchorId="77EB0A16" wp14:editId="0EEEE415">
            <wp:extent cx="5334766" cy="3107267"/>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345751" cy="3113665"/>
                    </a:xfrm>
                    <a:prstGeom prst="rect">
                      <a:avLst/>
                    </a:prstGeom>
                  </pic:spPr>
                </pic:pic>
              </a:graphicData>
            </a:graphic>
          </wp:inline>
        </w:drawing>
      </w:r>
    </w:p>
    <w:p w14:paraId="7F64F75B" w14:textId="77777777" w:rsidR="00902F18" w:rsidRPr="00731FE2" w:rsidRDefault="009B6BDD" w:rsidP="00902F18">
      <w:pPr>
        <w:keepNext/>
        <w:spacing w:line="240" w:lineRule="auto"/>
        <w:ind w:firstLine="0"/>
        <w:rPr>
          <w:rFonts w:ascii="Times New Roman" w:eastAsia="Times New Roman" w:hAnsi="Times New Roman" w:cs="Times New Roman"/>
          <w:szCs w:val="24"/>
          <w:lang w:eastAsia="ru-RU"/>
        </w:rPr>
      </w:pPr>
      <w:r w:rsidRPr="00731FE2">
        <w:rPr>
          <w:rFonts w:ascii="Times New Roman" w:eastAsia="Times New Roman" w:hAnsi="Times New Roman" w:cs="Times New Roman"/>
          <w:b/>
          <w:bCs/>
          <w:color w:val="000000"/>
          <w:szCs w:val="24"/>
        </w:rPr>
        <w:t xml:space="preserve">Рисунок </w:t>
      </w:r>
      <w:r w:rsidRPr="00731FE2">
        <w:rPr>
          <w:rFonts w:ascii="Times New Roman" w:eastAsia="Times New Roman" w:hAnsi="Times New Roman" w:cs="Times New Roman"/>
          <w:b/>
          <w:bCs/>
          <w:color w:val="000000"/>
          <w:szCs w:val="24"/>
        </w:rPr>
        <w:fldChar w:fldCharType="begin"/>
      </w:r>
      <w:r w:rsidRPr="00731FE2">
        <w:rPr>
          <w:rFonts w:ascii="Times New Roman" w:eastAsia="Times New Roman" w:hAnsi="Times New Roman" w:cs="Times New Roman"/>
          <w:b/>
          <w:bCs/>
          <w:color w:val="000000"/>
          <w:szCs w:val="24"/>
        </w:rPr>
        <w:instrText xml:space="preserve"> SEQ Рисунок \* Arabic </w:instrText>
      </w:r>
      <w:r w:rsidRPr="00731FE2">
        <w:rPr>
          <w:rFonts w:ascii="Times New Roman" w:eastAsia="Times New Roman" w:hAnsi="Times New Roman" w:cs="Times New Roman"/>
          <w:b/>
          <w:bCs/>
          <w:color w:val="000000"/>
          <w:szCs w:val="24"/>
        </w:rPr>
        <w:fldChar w:fldCharType="separate"/>
      </w:r>
      <w:r w:rsidR="00C50915" w:rsidRPr="00731FE2">
        <w:rPr>
          <w:rFonts w:ascii="Times New Roman" w:eastAsia="Times New Roman" w:hAnsi="Times New Roman" w:cs="Times New Roman"/>
          <w:b/>
          <w:bCs/>
          <w:noProof/>
          <w:color w:val="000000"/>
          <w:szCs w:val="24"/>
        </w:rPr>
        <w:t>8</w:t>
      </w:r>
      <w:r w:rsidRPr="00731FE2">
        <w:rPr>
          <w:rFonts w:ascii="Times New Roman" w:eastAsia="Times New Roman" w:hAnsi="Times New Roman" w:cs="Times New Roman"/>
          <w:b/>
          <w:bCs/>
          <w:color w:val="000000"/>
          <w:szCs w:val="24"/>
        </w:rPr>
        <w:fldChar w:fldCharType="end"/>
      </w:r>
      <w:r w:rsidRPr="00731FE2">
        <w:rPr>
          <w:rFonts w:ascii="Times New Roman" w:eastAsia="Times New Roman" w:hAnsi="Times New Roman" w:cs="Times New Roman"/>
          <w:b/>
          <w:bCs/>
          <w:color w:val="000000"/>
          <w:szCs w:val="24"/>
        </w:rPr>
        <w:t xml:space="preserve"> – </w:t>
      </w:r>
      <w:r w:rsidR="00902F18" w:rsidRPr="00731FE2">
        <w:rPr>
          <w:rFonts w:ascii="Times New Roman" w:eastAsia="Times New Roman" w:hAnsi="Times New Roman" w:cs="Times New Roman"/>
          <w:b/>
          <w:bCs/>
          <w:color w:val="000000"/>
          <w:szCs w:val="24"/>
          <w:lang w:eastAsia="ru-RU"/>
        </w:rPr>
        <w:t xml:space="preserve">Численность детей, посещающих </w:t>
      </w:r>
      <w:r w:rsidR="00CA1D45" w:rsidRPr="00731FE2">
        <w:rPr>
          <w:rFonts w:ascii="Times New Roman" w:eastAsia="Times New Roman" w:hAnsi="Times New Roman" w:cs="Times New Roman"/>
          <w:b/>
          <w:bCs/>
          <w:color w:val="000000"/>
          <w:szCs w:val="24"/>
          <w:lang w:eastAsia="ru-RU"/>
        </w:rPr>
        <w:t>дошкольные образовательные учреждения на конец года</w:t>
      </w:r>
    </w:p>
    <w:p w14:paraId="5F7260F5" w14:textId="77777777" w:rsidR="00902F18" w:rsidRPr="00731FE2" w:rsidRDefault="00902F18" w:rsidP="00902F18">
      <w:pPr>
        <w:spacing w:line="65" w:lineRule="atLeast"/>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szCs w:val="24"/>
          <w:lang w:eastAsia="ru-RU"/>
        </w:rPr>
        <w:t> </w:t>
      </w:r>
    </w:p>
    <w:p w14:paraId="41FE7D6E" w14:textId="77777777" w:rsidR="00902F18" w:rsidRPr="00731FE2" w:rsidRDefault="00902F18" w:rsidP="00CA1D45">
      <w:pP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Cs w:val="24"/>
          <w:lang w:eastAsia="ru-RU"/>
        </w:rPr>
        <w:t xml:space="preserve">Информация об учреждениях среднего образования города-курорта Кисловодска приведена в таблице ниже. </w:t>
      </w:r>
    </w:p>
    <w:p w14:paraId="5B1ECA6A" w14:textId="77777777" w:rsidR="00902F18" w:rsidRPr="00731FE2" w:rsidRDefault="00902F18" w:rsidP="00CA1D45">
      <w:pPr>
        <w:ind w:firstLine="0"/>
        <w:jc w:val="left"/>
        <w:rPr>
          <w:rFonts w:ascii="Times New Roman" w:eastAsia="Times New Roman" w:hAnsi="Times New Roman" w:cs="Times New Roman"/>
          <w:szCs w:val="24"/>
          <w:lang w:eastAsia="ru-RU"/>
        </w:rPr>
      </w:pPr>
    </w:p>
    <w:p w14:paraId="47481C19" w14:textId="77777777" w:rsidR="00902F18" w:rsidRPr="00731FE2" w:rsidRDefault="009B6BDD" w:rsidP="00902F18">
      <w:pPr>
        <w:keepNext/>
        <w:spacing w:line="240" w:lineRule="auto"/>
        <w:ind w:firstLine="0"/>
        <w:rPr>
          <w:rFonts w:ascii="Times New Roman" w:eastAsia="Times New Roman" w:hAnsi="Times New Roman" w:cs="Times New Roman"/>
          <w:szCs w:val="24"/>
          <w:lang w:eastAsia="ru-RU"/>
        </w:rPr>
      </w:pPr>
      <w:r w:rsidRPr="00731FE2">
        <w:rPr>
          <w:rFonts w:ascii="Times New Roman" w:eastAsia="Times New Roman" w:hAnsi="Times New Roman" w:cs="Times New Roman"/>
          <w:b/>
          <w:bCs/>
          <w:color w:val="000000"/>
          <w:szCs w:val="24"/>
          <w:lang w:eastAsia="ru-RU"/>
        </w:rPr>
        <w:lastRenderedPageBreak/>
        <w:t xml:space="preserve">Таблица </w:t>
      </w:r>
      <w:r w:rsidRPr="00731FE2">
        <w:rPr>
          <w:rFonts w:ascii="Times New Roman" w:eastAsia="Times New Roman" w:hAnsi="Times New Roman" w:cs="Times New Roman"/>
          <w:b/>
          <w:bCs/>
          <w:color w:val="000000"/>
          <w:szCs w:val="24"/>
          <w:lang w:eastAsia="ru-RU"/>
        </w:rPr>
        <w:fldChar w:fldCharType="begin"/>
      </w:r>
      <w:r w:rsidRPr="00731FE2">
        <w:rPr>
          <w:rFonts w:ascii="Times New Roman" w:eastAsia="Times New Roman" w:hAnsi="Times New Roman" w:cs="Times New Roman"/>
          <w:b/>
          <w:bCs/>
          <w:color w:val="000000"/>
          <w:szCs w:val="24"/>
          <w:lang w:eastAsia="ru-RU"/>
        </w:rPr>
        <w:instrText xml:space="preserve"> SEQ Таблица \* Arabic </w:instrText>
      </w:r>
      <w:r w:rsidRPr="00731FE2">
        <w:rPr>
          <w:rFonts w:ascii="Times New Roman" w:eastAsia="Times New Roman" w:hAnsi="Times New Roman" w:cs="Times New Roman"/>
          <w:b/>
          <w:bCs/>
          <w:color w:val="000000"/>
          <w:szCs w:val="24"/>
          <w:lang w:eastAsia="ru-RU"/>
        </w:rPr>
        <w:fldChar w:fldCharType="separate"/>
      </w:r>
      <w:r w:rsidR="00C50915" w:rsidRPr="00731FE2">
        <w:rPr>
          <w:rFonts w:ascii="Times New Roman" w:eastAsia="Times New Roman" w:hAnsi="Times New Roman" w:cs="Times New Roman"/>
          <w:b/>
          <w:bCs/>
          <w:noProof/>
          <w:color w:val="000000"/>
          <w:szCs w:val="24"/>
          <w:lang w:eastAsia="ru-RU"/>
        </w:rPr>
        <w:t>13</w:t>
      </w:r>
      <w:r w:rsidRPr="00731FE2">
        <w:rPr>
          <w:rFonts w:ascii="Times New Roman" w:eastAsia="Times New Roman" w:hAnsi="Times New Roman" w:cs="Times New Roman"/>
          <w:b/>
          <w:bCs/>
          <w:color w:val="000000"/>
          <w:szCs w:val="24"/>
          <w:lang w:eastAsia="ru-RU"/>
        </w:rPr>
        <w:fldChar w:fldCharType="end"/>
      </w:r>
      <w:r w:rsidRPr="00731FE2">
        <w:rPr>
          <w:rFonts w:ascii="Times New Roman" w:eastAsia="Times New Roman" w:hAnsi="Times New Roman" w:cs="Times New Roman"/>
          <w:b/>
          <w:bCs/>
          <w:color w:val="000000"/>
          <w:szCs w:val="24"/>
          <w:lang w:eastAsia="ru-RU"/>
        </w:rPr>
        <w:t xml:space="preserve"> – </w:t>
      </w:r>
      <w:r w:rsidR="00902F18" w:rsidRPr="00731FE2">
        <w:rPr>
          <w:rFonts w:ascii="Times New Roman" w:eastAsia="Times New Roman" w:hAnsi="Times New Roman" w:cs="Times New Roman"/>
          <w:b/>
          <w:bCs/>
          <w:color w:val="000000"/>
          <w:szCs w:val="24"/>
          <w:lang w:eastAsia="ru-RU"/>
        </w:rPr>
        <w:t>Общеобразовательные учреждения городского округа города-курорта Кисловодска</w:t>
      </w:r>
    </w:p>
    <w:tbl>
      <w:tblPr>
        <w:tblW w:w="0" w:type="auto"/>
        <w:tblCellSpacing w:w="0" w:type="dxa"/>
        <w:tblLook w:val="04A0" w:firstRow="1" w:lastRow="0" w:firstColumn="1" w:lastColumn="0" w:noHBand="0" w:noVBand="1"/>
      </w:tblPr>
      <w:tblGrid>
        <w:gridCol w:w="572"/>
        <w:gridCol w:w="2274"/>
        <w:gridCol w:w="2036"/>
        <w:gridCol w:w="1224"/>
        <w:gridCol w:w="1436"/>
        <w:gridCol w:w="1793"/>
      </w:tblGrid>
      <w:tr w:rsidR="00902F18" w:rsidRPr="00731FE2" w14:paraId="7DF72748" w14:textId="77777777" w:rsidTr="00CA1D45">
        <w:trPr>
          <w:trHeight w:val="887"/>
          <w:tblCellSpacing w:w="0" w:type="dxa"/>
        </w:trPr>
        <w:tc>
          <w:tcPr>
            <w:tcW w:w="572" w:type="dxa"/>
            <w:tcBorders>
              <w:top w:val="single" w:sz="8" w:space="0" w:color="000000"/>
              <w:left w:val="single" w:sz="8" w:space="0" w:color="000000"/>
              <w:bottom w:val="single" w:sz="8" w:space="0" w:color="000000"/>
              <w:right w:val="single" w:sz="8" w:space="0" w:color="000000"/>
            </w:tcBorders>
            <w:vAlign w:val="center"/>
            <w:hideMark/>
          </w:tcPr>
          <w:p w14:paraId="346AD1E2" w14:textId="77777777" w:rsidR="00902F18" w:rsidRPr="00731FE2" w:rsidRDefault="00CA1D45" w:rsidP="00902F18">
            <w:pPr>
              <w:spacing w:line="240" w:lineRule="auto"/>
              <w:ind w:firstLine="0"/>
              <w:rPr>
                <w:rFonts w:ascii="Times New Roman" w:eastAsia="Times New Roman" w:hAnsi="Times New Roman" w:cs="Times New Roman"/>
                <w:b/>
                <w:szCs w:val="24"/>
                <w:lang w:eastAsia="ru-RU"/>
              </w:rPr>
            </w:pPr>
            <w:r w:rsidRPr="00731FE2">
              <w:rPr>
                <w:rFonts w:ascii="Times New Roman" w:eastAsia="Times New Roman" w:hAnsi="Times New Roman" w:cs="Times New Roman"/>
                <w:b/>
                <w:bCs/>
                <w:color w:val="000000"/>
                <w:sz w:val="22"/>
                <w:lang w:eastAsia="ru-RU"/>
              </w:rPr>
              <w:t xml:space="preserve">№ </w:t>
            </w:r>
            <w:proofErr w:type="gramStart"/>
            <w:r w:rsidRPr="00731FE2">
              <w:rPr>
                <w:rFonts w:ascii="Times New Roman" w:eastAsia="Times New Roman" w:hAnsi="Times New Roman" w:cs="Times New Roman"/>
                <w:b/>
                <w:bCs/>
                <w:color w:val="000000"/>
                <w:sz w:val="22"/>
                <w:lang w:eastAsia="ru-RU"/>
              </w:rPr>
              <w:t>п</w:t>
            </w:r>
            <w:proofErr w:type="gramEnd"/>
            <w:r w:rsidRPr="00731FE2">
              <w:rPr>
                <w:rFonts w:ascii="Times New Roman" w:eastAsia="Times New Roman" w:hAnsi="Times New Roman" w:cs="Times New Roman"/>
                <w:b/>
                <w:bCs/>
                <w:color w:val="000000"/>
                <w:sz w:val="22"/>
                <w:lang w:eastAsia="ru-RU"/>
              </w:rPr>
              <w:t>/п</w:t>
            </w:r>
          </w:p>
        </w:tc>
        <w:tc>
          <w:tcPr>
            <w:tcW w:w="2274" w:type="dxa"/>
            <w:tcBorders>
              <w:top w:val="single" w:sz="8" w:space="0" w:color="000000"/>
              <w:left w:val="nil"/>
              <w:bottom w:val="single" w:sz="8" w:space="0" w:color="000000"/>
              <w:right w:val="single" w:sz="8" w:space="0" w:color="000000"/>
            </w:tcBorders>
            <w:vAlign w:val="center"/>
            <w:hideMark/>
          </w:tcPr>
          <w:p w14:paraId="0102AD09" w14:textId="77777777" w:rsidR="00902F18" w:rsidRPr="00731FE2" w:rsidRDefault="00902F18" w:rsidP="00902F18">
            <w:pPr>
              <w:spacing w:line="240" w:lineRule="auto"/>
              <w:ind w:firstLine="0"/>
              <w:rPr>
                <w:rFonts w:ascii="Times New Roman" w:eastAsia="Times New Roman" w:hAnsi="Times New Roman" w:cs="Times New Roman"/>
                <w:b/>
                <w:szCs w:val="24"/>
                <w:lang w:eastAsia="ru-RU"/>
              </w:rPr>
            </w:pPr>
            <w:r w:rsidRPr="00731FE2">
              <w:rPr>
                <w:rFonts w:ascii="Times New Roman" w:eastAsia="Times New Roman" w:hAnsi="Times New Roman" w:cs="Times New Roman"/>
                <w:b/>
                <w:color w:val="000000"/>
                <w:sz w:val="22"/>
                <w:lang w:eastAsia="ru-RU"/>
              </w:rPr>
              <w:t>Наименование</w:t>
            </w:r>
          </w:p>
        </w:tc>
        <w:tc>
          <w:tcPr>
            <w:tcW w:w="2036" w:type="dxa"/>
            <w:tcBorders>
              <w:top w:val="single" w:sz="8" w:space="0" w:color="000000"/>
              <w:left w:val="nil"/>
              <w:bottom w:val="single" w:sz="8" w:space="0" w:color="000000"/>
              <w:right w:val="single" w:sz="8" w:space="0" w:color="000000"/>
            </w:tcBorders>
            <w:vAlign w:val="center"/>
            <w:hideMark/>
          </w:tcPr>
          <w:p w14:paraId="5EB4F541" w14:textId="77777777" w:rsidR="00902F18" w:rsidRPr="00731FE2" w:rsidRDefault="00902F18" w:rsidP="00902F18">
            <w:pPr>
              <w:spacing w:line="240" w:lineRule="auto"/>
              <w:ind w:firstLine="0"/>
              <w:rPr>
                <w:rFonts w:ascii="Times New Roman" w:eastAsia="Times New Roman" w:hAnsi="Times New Roman" w:cs="Times New Roman"/>
                <w:b/>
                <w:szCs w:val="24"/>
                <w:lang w:eastAsia="ru-RU"/>
              </w:rPr>
            </w:pPr>
            <w:r w:rsidRPr="00731FE2">
              <w:rPr>
                <w:rFonts w:ascii="Times New Roman" w:eastAsia="Times New Roman" w:hAnsi="Times New Roman" w:cs="Times New Roman"/>
                <w:b/>
                <w:color w:val="000000"/>
                <w:sz w:val="22"/>
                <w:lang w:eastAsia="ru-RU"/>
              </w:rPr>
              <w:t>Адрес</w:t>
            </w:r>
          </w:p>
        </w:tc>
        <w:tc>
          <w:tcPr>
            <w:tcW w:w="1224" w:type="dxa"/>
            <w:tcBorders>
              <w:top w:val="single" w:sz="8" w:space="0" w:color="000000"/>
              <w:left w:val="nil"/>
              <w:bottom w:val="single" w:sz="8" w:space="0" w:color="000000"/>
              <w:right w:val="single" w:sz="8" w:space="0" w:color="000000"/>
            </w:tcBorders>
            <w:vAlign w:val="center"/>
            <w:hideMark/>
          </w:tcPr>
          <w:p w14:paraId="5F31A74A" w14:textId="77777777" w:rsidR="00902F18" w:rsidRPr="00731FE2" w:rsidRDefault="00902F18" w:rsidP="00902F18">
            <w:pPr>
              <w:spacing w:line="240" w:lineRule="auto"/>
              <w:ind w:firstLine="0"/>
              <w:rPr>
                <w:rFonts w:ascii="Times New Roman" w:eastAsia="Times New Roman" w:hAnsi="Times New Roman" w:cs="Times New Roman"/>
                <w:b/>
                <w:szCs w:val="24"/>
                <w:lang w:eastAsia="ru-RU"/>
              </w:rPr>
            </w:pPr>
            <w:r w:rsidRPr="00731FE2">
              <w:rPr>
                <w:rFonts w:ascii="Times New Roman" w:eastAsia="Times New Roman" w:hAnsi="Times New Roman" w:cs="Times New Roman"/>
                <w:b/>
                <w:color w:val="000000"/>
                <w:sz w:val="22"/>
                <w:lang w:eastAsia="ru-RU"/>
              </w:rPr>
              <w:t>Мест по проекту</w:t>
            </w:r>
          </w:p>
        </w:tc>
        <w:tc>
          <w:tcPr>
            <w:tcW w:w="1436" w:type="dxa"/>
            <w:tcBorders>
              <w:top w:val="single" w:sz="8" w:space="0" w:color="000000"/>
              <w:left w:val="nil"/>
              <w:bottom w:val="single" w:sz="8" w:space="0" w:color="000000"/>
              <w:right w:val="single" w:sz="8" w:space="0" w:color="000000"/>
            </w:tcBorders>
            <w:vAlign w:val="center"/>
            <w:hideMark/>
          </w:tcPr>
          <w:p w14:paraId="0EEB9DAC" w14:textId="77777777" w:rsidR="00902F18" w:rsidRPr="00731FE2" w:rsidRDefault="00902F18" w:rsidP="00902F18">
            <w:pPr>
              <w:spacing w:line="240" w:lineRule="auto"/>
              <w:ind w:firstLine="0"/>
              <w:rPr>
                <w:rFonts w:ascii="Times New Roman" w:eastAsia="Times New Roman" w:hAnsi="Times New Roman" w:cs="Times New Roman"/>
                <w:b/>
                <w:szCs w:val="24"/>
                <w:lang w:eastAsia="ru-RU"/>
              </w:rPr>
            </w:pPr>
            <w:r w:rsidRPr="00731FE2">
              <w:rPr>
                <w:rFonts w:ascii="Times New Roman" w:eastAsia="Times New Roman" w:hAnsi="Times New Roman" w:cs="Times New Roman"/>
                <w:b/>
                <w:color w:val="000000"/>
                <w:sz w:val="22"/>
                <w:lang w:eastAsia="ru-RU"/>
              </w:rPr>
              <w:t>Количество детей по факту</w:t>
            </w:r>
          </w:p>
        </w:tc>
        <w:tc>
          <w:tcPr>
            <w:tcW w:w="1793" w:type="dxa"/>
            <w:tcBorders>
              <w:top w:val="single" w:sz="8" w:space="0" w:color="000000"/>
              <w:left w:val="nil"/>
              <w:bottom w:val="single" w:sz="8" w:space="0" w:color="000000"/>
              <w:right w:val="single" w:sz="8" w:space="0" w:color="000000"/>
            </w:tcBorders>
            <w:vAlign w:val="center"/>
            <w:hideMark/>
          </w:tcPr>
          <w:p w14:paraId="000C9685" w14:textId="77777777" w:rsidR="00902F18" w:rsidRPr="00731FE2" w:rsidRDefault="00902F18" w:rsidP="00902F18">
            <w:pPr>
              <w:spacing w:line="240" w:lineRule="auto"/>
              <w:ind w:firstLine="0"/>
              <w:rPr>
                <w:rFonts w:ascii="Times New Roman" w:eastAsia="Times New Roman" w:hAnsi="Times New Roman" w:cs="Times New Roman"/>
                <w:b/>
                <w:szCs w:val="24"/>
                <w:lang w:eastAsia="ru-RU"/>
              </w:rPr>
            </w:pPr>
            <w:r w:rsidRPr="00731FE2">
              <w:rPr>
                <w:rFonts w:ascii="Times New Roman" w:eastAsia="Times New Roman" w:hAnsi="Times New Roman" w:cs="Times New Roman"/>
                <w:b/>
                <w:color w:val="000000"/>
                <w:sz w:val="22"/>
                <w:lang w:eastAsia="ru-RU"/>
              </w:rPr>
              <w:t>Загруженность, %</w:t>
            </w:r>
          </w:p>
        </w:tc>
      </w:tr>
      <w:tr w:rsidR="00902F18" w:rsidRPr="00731FE2" w14:paraId="724BCD1C" w14:textId="77777777" w:rsidTr="00CA1D45">
        <w:trPr>
          <w:trHeight w:val="235"/>
          <w:tblCellSpacing w:w="0" w:type="dxa"/>
        </w:trPr>
        <w:tc>
          <w:tcPr>
            <w:tcW w:w="9335" w:type="dxa"/>
            <w:gridSpan w:val="6"/>
            <w:tcBorders>
              <w:top w:val="nil"/>
              <w:left w:val="single" w:sz="8" w:space="0" w:color="000000"/>
              <w:bottom w:val="single" w:sz="8" w:space="0" w:color="000000"/>
              <w:right w:val="single" w:sz="8" w:space="0" w:color="000000"/>
            </w:tcBorders>
            <w:vAlign w:val="center"/>
            <w:hideMark/>
          </w:tcPr>
          <w:p w14:paraId="0DAAF37D"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b/>
                <w:bCs/>
                <w:color w:val="000000"/>
                <w:sz w:val="22"/>
                <w:lang w:eastAsia="ru-RU"/>
              </w:rPr>
              <w:t>Государственные образовательные учреждения общего среднего образования</w:t>
            </w:r>
          </w:p>
        </w:tc>
      </w:tr>
      <w:tr w:rsidR="00902F18" w:rsidRPr="00731FE2" w14:paraId="48C28C30" w14:textId="77777777" w:rsidTr="00CA1D45">
        <w:trPr>
          <w:tblCellSpacing w:w="0" w:type="dxa"/>
        </w:trPr>
        <w:tc>
          <w:tcPr>
            <w:tcW w:w="572" w:type="dxa"/>
            <w:tcBorders>
              <w:top w:val="nil"/>
              <w:left w:val="single" w:sz="8" w:space="0" w:color="000000"/>
              <w:bottom w:val="single" w:sz="8" w:space="0" w:color="000000"/>
              <w:right w:val="single" w:sz="8" w:space="0" w:color="000000"/>
            </w:tcBorders>
            <w:vAlign w:val="center"/>
            <w:hideMark/>
          </w:tcPr>
          <w:p w14:paraId="6108AF0B" w14:textId="77777777" w:rsidR="00902F18" w:rsidRPr="00731FE2" w:rsidRDefault="00902F18" w:rsidP="00902F18">
            <w:pPr>
              <w:spacing w:line="240" w:lineRule="auto"/>
              <w:ind w:firstLine="0"/>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1.</w:t>
            </w:r>
          </w:p>
        </w:tc>
        <w:tc>
          <w:tcPr>
            <w:tcW w:w="2274" w:type="dxa"/>
            <w:tcBorders>
              <w:top w:val="nil"/>
              <w:left w:val="nil"/>
              <w:bottom w:val="single" w:sz="8" w:space="0" w:color="000000"/>
              <w:right w:val="single" w:sz="8" w:space="0" w:color="000000"/>
            </w:tcBorders>
            <w:vAlign w:val="center"/>
            <w:hideMark/>
          </w:tcPr>
          <w:p w14:paraId="25302D36" w14:textId="77777777" w:rsidR="00902F18" w:rsidRPr="00731FE2" w:rsidRDefault="00902F18" w:rsidP="00902F18">
            <w:pPr>
              <w:spacing w:line="240" w:lineRule="auto"/>
              <w:ind w:firstLine="0"/>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МБОУ СОШ №1</w:t>
            </w:r>
          </w:p>
        </w:tc>
        <w:tc>
          <w:tcPr>
            <w:tcW w:w="2036" w:type="dxa"/>
            <w:tcBorders>
              <w:top w:val="nil"/>
              <w:left w:val="nil"/>
              <w:bottom w:val="single" w:sz="8" w:space="0" w:color="000000"/>
              <w:right w:val="single" w:sz="8" w:space="0" w:color="000000"/>
            </w:tcBorders>
            <w:vAlign w:val="center"/>
            <w:hideMark/>
          </w:tcPr>
          <w:p w14:paraId="44433FE4" w14:textId="77777777" w:rsidR="00902F18" w:rsidRPr="00731FE2" w:rsidRDefault="00902F18" w:rsidP="00902F18">
            <w:pPr>
              <w:spacing w:line="240" w:lineRule="auto"/>
              <w:ind w:firstLine="0"/>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ул. Б. Хмельницкого, 7</w:t>
            </w:r>
          </w:p>
        </w:tc>
        <w:tc>
          <w:tcPr>
            <w:tcW w:w="1224" w:type="dxa"/>
            <w:tcBorders>
              <w:top w:val="nil"/>
              <w:left w:val="nil"/>
              <w:bottom w:val="single" w:sz="8" w:space="0" w:color="000000"/>
              <w:right w:val="single" w:sz="8" w:space="0" w:color="000000"/>
            </w:tcBorders>
            <w:vAlign w:val="center"/>
            <w:hideMark/>
          </w:tcPr>
          <w:p w14:paraId="62F6EE69"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389</w:t>
            </w:r>
          </w:p>
        </w:tc>
        <w:tc>
          <w:tcPr>
            <w:tcW w:w="1436" w:type="dxa"/>
            <w:tcBorders>
              <w:top w:val="nil"/>
              <w:left w:val="nil"/>
              <w:bottom w:val="single" w:sz="8" w:space="0" w:color="000000"/>
              <w:right w:val="single" w:sz="8" w:space="0" w:color="000000"/>
            </w:tcBorders>
            <w:vAlign w:val="center"/>
            <w:hideMark/>
          </w:tcPr>
          <w:p w14:paraId="36251128"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435</w:t>
            </w:r>
          </w:p>
        </w:tc>
        <w:tc>
          <w:tcPr>
            <w:tcW w:w="1793" w:type="dxa"/>
            <w:tcBorders>
              <w:top w:val="nil"/>
              <w:left w:val="nil"/>
              <w:bottom w:val="single" w:sz="8" w:space="0" w:color="000000"/>
              <w:right w:val="single" w:sz="8" w:space="0" w:color="000000"/>
            </w:tcBorders>
            <w:vAlign w:val="center"/>
            <w:hideMark/>
          </w:tcPr>
          <w:p w14:paraId="470FEB4C"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111,8</w:t>
            </w:r>
          </w:p>
        </w:tc>
      </w:tr>
      <w:tr w:rsidR="00902F18" w:rsidRPr="00731FE2" w14:paraId="6464EB86" w14:textId="77777777" w:rsidTr="00CA1D45">
        <w:trPr>
          <w:tblCellSpacing w:w="0" w:type="dxa"/>
        </w:trPr>
        <w:tc>
          <w:tcPr>
            <w:tcW w:w="572" w:type="dxa"/>
            <w:tcBorders>
              <w:top w:val="nil"/>
              <w:left w:val="single" w:sz="8" w:space="0" w:color="000000"/>
              <w:bottom w:val="single" w:sz="8" w:space="0" w:color="000000"/>
              <w:right w:val="single" w:sz="8" w:space="0" w:color="000000"/>
            </w:tcBorders>
            <w:vAlign w:val="center"/>
            <w:hideMark/>
          </w:tcPr>
          <w:p w14:paraId="6A88F583" w14:textId="77777777" w:rsidR="00902F18" w:rsidRPr="00731FE2" w:rsidRDefault="00902F18" w:rsidP="00902F18">
            <w:pPr>
              <w:spacing w:line="240" w:lineRule="auto"/>
              <w:ind w:firstLine="0"/>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2.</w:t>
            </w:r>
          </w:p>
        </w:tc>
        <w:tc>
          <w:tcPr>
            <w:tcW w:w="2274" w:type="dxa"/>
            <w:tcBorders>
              <w:top w:val="nil"/>
              <w:left w:val="nil"/>
              <w:bottom w:val="single" w:sz="8" w:space="0" w:color="000000"/>
              <w:right w:val="single" w:sz="8" w:space="0" w:color="000000"/>
            </w:tcBorders>
            <w:vAlign w:val="center"/>
            <w:hideMark/>
          </w:tcPr>
          <w:p w14:paraId="233F87E5" w14:textId="77777777" w:rsidR="00902F18" w:rsidRPr="00731FE2" w:rsidRDefault="00902F18" w:rsidP="00902F18">
            <w:pPr>
              <w:spacing w:line="240" w:lineRule="auto"/>
              <w:ind w:firstLine="0"/>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МБОУ СОШ №2</w:t>
            </w:r>
          </w:p>
        </w:tc>
        <w:tc>
          <w:tcPr>
            <w:tcW w:w="2036" w:type="dxa"/>
            <w:tcBorders>
              <w:top w:val="nil"/>
              <w:left w:val="nil"/>
              <w:bottom w:val="single" w:sz="8" w:space="0" w:color="000000"/>
              <w:right w:val="single" w:sz="8" w:space="0" w:color="000000"/>
            </w:tcBorders>
            <w:vAlign w:val="center"/>
            <w:hideMark/>
          </w:tcPr>
          <w:p w14:paraId="574D25D8" w14:textId="77777777" w:rsidR="00902F18" w:rsidRPr="00731FE2" w:rsidRDefault="00902F18" w:rsidP="00902F18">
            <w:pPr>
              <w:spacing w:line="240" w:lineRule="auto"/>
              <w:ind w:firstLine="0"/>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ул. Жуковского, 11</w:t>
            </w:r>
          </w:p>
        </w:tc>
        <w:tc>
          <w:tcPr>
            <w:tcW w:w="1224" w:type="dxa"/>
            <w:tcBorders>
              <w:top w:val="nil"/>
              <w:left w:val="nil"/>
              <w:bottom w:val="single" w:sz="8" w:space="0" w:color="000000"/>
              <w:right w:val="single" w:sz="8" w:space="0" w:color="000000"/>
            </w:tcBorders>
            <w:vAlign w:val="center"/>
            <w:hideMark/>
          </w:tcPr>
          <w:p w14:paraId="45B1BE83"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640</w:t>
            </w:r>
          </w:p>
        </w:tc>
        <w:tc>
          <w:tcPr>
            <w:tcW w:w="1436" w:type="dxa"/>
            <w:tcBorders>
              <w:top w:val="nil"/>
              <w:left w:val="nil"/>
              <w:bottom w:val="single" w:sz="8" w:space="0" w:color="000000"/>
              <w:right w:val="single" w:sz="8" w:space="0" w:color="000000"/>
            </w:tcBorders>
            <w:vAlign w:val="center"/>
            <w:hideMark/>
          </w:tcPr>
          <w:p w14:paraId="4EE688C5"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703</w:t>
            </w:r>
          </w:p>
        </w:tc>
        <w:tc>
          <w:tcPr>
            <w:tcW w:w="1793" w:type="dxa"/>
            <w:tcBorders>
              <w:top w:val="nil"/>
              <w:left w:val="nil"/>
              <w:bottom w:val="single" w:sz="8" w:space="0" w:color="000000"/>
              <w:right w:val="single" w:sz="8" w:space="0" w:color="000000"/>
            </w:tcBorders>
            <w:vAlign w:val="center"/>
            <w:hideMark/>
          </w:tcPr>
          <w:p w14:paraId="7D19DDF5"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109,8</w:t>
            </w:r>
          </w:p>
        </w:tc>
      </w:tr>
      <w:tr w:rsidR="00902F18" w:rsidRPr="00731FE2" w14:paraId="66F7DE21" w14:textId="77777777" w:rsidTr="00CA1D45">
        <w:trPr>
          <w:tblCellSpacing w:w="0" w:type="dxa"/>
        </w:trPr>
        <w:tc>
          <w:tcPr>
            <w:tcW w:w="572" w:type="dxa"/>
            <w:tcBorders>
              <w:top w:val="nil"/>
              <w:left w:val="single" w:sz="8" w:space="0" w:color="000000"/>
              <w:bottom w:val="single" w:sz="8" w:space="0" w:color="000000"/>
              <w:right w:val="single" w:sz="8" w:space="0" w:color="000000"/>
            </w:tcBorders>
            <w:vAlign w:val="center"/>
            <w:hideMark/>
          </w:tcPr>
          <w:p w14:paraId="0EAC66B3" w14:textId="77777777" w:rsidR="00902F18" w:rsidRPr="00731FE2" w:rsidRDefault="00902F18" w:rsidP="00902F18">
            <w:pPr>
              <w:spacing w:line="240" w:lineRule="auto"/>
              <w:ind w:firstLine="0"/>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3.</w:t>
            </w:r>
          </w:p>
        </w:tc>
        <w:tc>
          <w:tcPr>
            <w:tcW w:w="2274" w:type="dxa"/>
            <w:tcBorders>
              <w:top w:val="nil"/>
              <w:left w:val="nil"/>
              <w:bottom w:val="single" w:sz="8" w:space="0" w:color="000000"/>
              <w:right w:val="single" w:sz="8" w:space="0" w:color="000000"/>
            </w:tcBorders>
            <w:vAlign w:val="center"/>
            <w:hideMark/>
          </w:tcPr>
          <w:p w14:paraId="06EC8D8A" w14:textId="77777777" w:rsidR="00902F18" w:rsidRPr="00731FE2" w:rsidRDefault="00902F18" w:rsidP="00902F18">
            <w:pPr>
              <w:spacing w:line="240" w:lineRule="auto"/>
              <w:ind w:firstLine="0"/>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МБОУ Лицей №4</w:t>
            </w:r>
          </w:p>
        </w:tc>
        <w:tc>
          <w:tcPr>
            <w:tcW w:w="2036" w:type="dxa"/>
            <w:tcBorders>
              <w:top w:val="nil"/>
              <w:left w:val="nil"/>
              <w:bottom w:val="single" w:sz="8" w:space="0" w:color="000000"/>
              <w:right w:val="single" w:sz="8" w:space="0" w:color="000000"/>
            </w:tcBorders>
            <w:vAlign w:val="center"/>
            <w:hideMark/>
          </w:tcPr>
          <w:p w14:paraId="3BFE9690" w14:textId="77777777" w:rsidR="00902F18" w:rsidRPr="00731FE2" w:rsidRDefault="00902F18" w:rsidP="00902F18">
            <w:pPr>
              <w:spacing w:line="240" w:lineRule="auto"/>
              <w:ind w:firstLine="0"/>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ул. Горького, 27</w:t>
            </w:r>
          </w:p>
        </w:tc>
        <w:tc>
          <w:tcPr>
            <w:tcW w:w="1224" w:type="dxa"/>
            <w:tcBorders>
              <w:top w:val="nil"/>
              <w:left w:val="nil"/>
              <w:bottom w:val="single" w:sz="8" w:space="0" w:color="000000"/>
              <w:right w:val="single" w:sz="8" w:space="0" w:color="000000"/>
            </w:tcBorders>
            <w:vAlign w:val="center"/>
            <w:hideMark/>
          </w:tcPr>
          <w:p w14:paraId="30E2EB54"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660</w:t>
            </w:r>
          </w:p>
        </w:tc>
        <w:tc>
          <w:tcPr>
            <w:tcW w:w="1436" w:type="dxa"/>
            <w:tcBorders>
              <w:top w:val="nil"/>
              <w:left w:val="nil"/>
              <w:bottom w:val="single" w:sz="8" w:space="0" w:color="000000"/>
              <w:right w:val="single" w:sz="8" w:space="0" w:color="000000"/>
            </w:tcBorders>
            <w:vAlign w:val="center"/>
            <w:hideMark/>
          </w:tcPr>
          <w:p w14:paraId="0C6AC744"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689</w:t>
            </w:r>
          </w:p>
        </w:tc>
        <w:tc>
          <w:tcPr>
            <w:tcW w:w="1793" w:type="dxa"/>
            <w:tcBorders>
              <w:top w:val="nil"/>
              <w:left w:val="nil"/>
              <w:bottom w:val="single" w:sz="8" w:space="0" w:color="000000"/>
              <w:right w:val="single" w:sz="8" w:space="0" w:color="000000"/>
            </w:tcBorders>
            <w:vAlign w:val="center"/>
            <w:hideMark/>
          </w:tcPr>
          <w:p w14:paraId="776B35B2"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104.4</w:t>
            </w:r>
          </w:p>
        </w:tc>
      </w:tr>
      <w:tr w:rsidR="00902F18" w:rsidRPr="00731FE2" w14:paraId="33E9F8DE" w14:textId="77777777" w:rsidTr="00CA1D45">
        <w:trPr>
          <w:tblCellSpacing w:w="0" w:type="dxa"/>
        </w:trPr>
        <w:tc>
          <w:tcPr>
            <w:tcW w:w="572" w:type="dxa"/>
            <w:tcBorders>
              <w:top w:val="nil"/>
              <w:left w:val="single" w:sz="8" w:space="0" w:color="000000"/>
              <w:bottom w:val="single" w:sz="8" w:space="0" w:color="000000"/>
              <w:right w:val="single" w:sz="8" w:space="0" w:color="000000"/>
            </w:tcBorders>
            <w:vAlign w:val="center"/>
            <w:hideMark/>
          </w:tcPr>
          <w:p w14:paraId="4E118A8E" w14:textId="77777777" w:rsidR="00902F18" w:rsidRPr="00731FE2" w:rsidRDefault="00902F18" w:rsidP="00902F18">
            <w:pPr>
              <w:spacing w:line="240" w:lineRule="auto"/>
              <w:ind w:firstLine="0"/>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4.</w:t>
            </w:r>
          </w:p>
        </w:tc>
        <w:tc>
          <w:tcPr>
            <w:tcW w:w="2274" w:type="dxa"/>
            <w:tcBorders>
              <w:top w:val="nil"/>
              <w:left w:val="nil"/>
              <w:bottom w:val="single" w:sz="8" w:space="0" w:color="000000"/>
              <w:right w:val="single" w:sz="8" w:space="0" w:color="000000"/>
            </w:tcBorders>
            <w:vAlign w:val="center"/>
            <w:hideMark/>
          </w:tcPr>
          <w:p w14:paraId="11FD3903" w14:textId="77777777" w:rsidR="00902F18" w:rsidRPr="00731FE2" w:rsidRDefault="00902F18" w:rsidP="00902F18">
            <w:pPr>
              <w:spacing w:line="240" w:lineRule="auto"/>
              <w:ind w:firstLine="0"/>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МКОУ СОШ №7</w:t>
            </w:r>
          </w:p>
        </w:tc>
        <w:tc>
          <w:tcPr>
            <w:tcW w:w="2036" w:type="dxa"/>
            <w:tcBorders>
              <w:top w:val="nil"/>
              <w:left w:val="nil"/>
              <w:bottom w:val="single" w:sz="8" w:space="0" w:color="000000"/>
              <w:right w:val="single" w:sz="8" w:space="0" w:color="000000"/>
            </w:tcBorders>
            <w:vAlign w:val="center"/>
            <w:hideMark/>
          </w:tcPr>
          <w:p w14:paraId="3A80F03F" w14:textId="77777777" w:rsidR="00902F18" w:rsidRPr="00731FE2" w:rsidRDefault="00902F18" w:rsidP="00902F18">
            <w:pPr>
              <w:spacing w:line="240" w:lineRule="auto"/>
              <w:ind w:firstLine="0"/>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ул. Щербакова, 20</w:t>
            </w:r>
          </w:p>
        </w:tc>
        <w:tc>
          <w:tcPr>
            <w:tcW w:w="1224" w:type="dxa"/>
            <w:tcBorders>
              <w:top w:val="nil"/>
              <w:left w:val="nil"/>
              <w:bottom w:val="single" w:sz="8" w:space="0" w:color="000000"/>
              <w:right w:val="single" w:sz="8" w:space="0" w:color="000000"/>
            </w:tcBorders>
            <w:vAlign w:val="center"/>
            <w:hideMark/>
          </w:tcPr>
          <w:p w14:paraId="7F8D77A6"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140</w:t>
            </w:r>
          </w:p>
        </w:tc>
        <w:tc>
          <w:tcPr>
            <w:tcW w:w="1436" w:type="dxa"/>
            <w:tcBorders>
              <w:top w:val="nil"/>
              <w:left w:val="nil"/>
              <w:bottom w:val="single" w:sz="8" w:space="0" w:color="000000"/>
              <w:right w:val="single" w:sz="8" w:space="0" w:color="000000"/>
            </w:tcBorders>
            <w:vAlign w:val="center"/>
            <w:hideMark/>
          </w:tcPr>
          <w:p w14:paraId="7134288B"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377</w:t>
            </w:r>
          </w:p>
        </w:tc>
        <w:tc>
          <w:tcPr>
            <w:tcW w:w="1793" w:type="dxa"/>
            <w:tcBorders>
              <w:top w:val="nil"/>
              <w:left w:val="nil"/>
              <w:bottom w:val="single" w:sz="8" w:space="0" w:color="000000"/>
              <w:right w:val="single" w:sz="8" w:space="0" w:color="000000"/>
            </w:tcBorders>
            <w:vAlign w:val="center"/>
            <w:hideMark/>
          </w:tcPr>
          <w:p w14:paraId="79044578"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269,3</w:t>
            </w:r>
          </w:p>
        </w:tc>
      </w:tr>
      <w:tr w:rsidR="00902F18" w:rsidRPr="00731FE2" w14:paraId="64E4209E" w14:textId="77777777" w:rsidTr="00CA1D45">
        <w:trPr>
          <w:tblCellSpacing w:w="0" w:type="dxa"/>
        </w:trPr>
        <w:tc>
          <w:tcPr>
            <w:tcW w:w="572" w:type="dxa"/>
            <w:tcBorders>
              <w:top w:val="nil"/>
              <w:left w:val="single" w:sz="8" w:space="0" w:color="000000"/>
              <w:bottom w:val="single" w:sz="8" w:space="0" w:color="000000"/>
              <w:right w:val="single" w:sz="8" w:space="0" w:color="000000"/>
            </w:tcBorders>
            <w:vAlign w:val="center"/>
            <w:hideMark/>
          </w:tcPr>
          <w:p w14:paraId="31FD2242" w14:textId="77777777" w:rsidR="00902F18" w:rsidRPr="00731FE2" w:rsidRDefault="00902F18" w:rsidP="00902F18">
            <w:pPr>
              <w:spacing w:line="240" w:lineRule="auto"/>
              <w:ind w:firstLine="0"/>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5.</w:t>
            </w:r>
          </w:p>
        </w:tc>
        <w:tc>
          <w:tcPr>
            <w:tcW w:w="2274" w:type="dxa"/>
            <w:tcBorders>
              <w:top w:val="nil"/>
              <w:left w:val="nil"/>
              <w:bottom w:val="single" w:sz="8" w:space="0" w:color="000000"/>
              <w:right w:val="single" w:sz="8" w:space="0" w:color="000000"/>
            </w:tcBorders>
            <w:vAlign w:val="center"/>
            <w:hideMark/>
          </w:tcPr>
          <w:p w14:paraId="57180E00" w14:textId="77777777" w:rsidR="00902F18" w:rsidRPr="00731FE2" w:rsidRDefault="00902F18" w:rsidP="00902F18">
            <w:pPr>
              <w:spacing w:line="240" w:lineRule="auto"/>
              <w:ind w:firstLine="0"/>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МБОУ Лицей № 8</w:t>
            </w:r>
          </w:p>
        </w:tc>
        <w:tc>
          <w:tcPr>
            <w:tcW w:w="2036" w:type="dxa"/>
            <w:tcBorders>
              <w:top w:val="nil"/>
              <w:left w:val="nil"/>
              <w:bottom w:val="single" w:sz="8" w:space="0" w:color="000000"/>
              <w:right w:val="single" w:sz="8" w:space="0" w:color="000000"/>
            </w:tcBorders>
            <w:vAlign w:val="center"/>
            <w:hideMark/>
          </w:tcPr>
          <w:p w14:paraId="50DDEF8A" w14:textId="77777777" w:rsidR="00902F18" w:rsidRPr="00731FE2" w:rsidRDefault="00902F18" w:rsidP="00902F18">
            <w:pPr>
              <w:spacing w:line="240" w:lineRule="auto"/>
              <w:ind w:firstLine="0"/>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ул. Октябрьская, 43</w:t>
            </w:r>
          </w:p>
        </w:tc>
        <w:tc>
          <w:tcPr>
            <w:tcW w:w="1224" w:type="dxa"/>
            <w:tcBorders>
              <w:top w:val="nil"/>
              <w:left w:val="nil"/>
              <w:bottom w:val="single" w:sz="8" w:space="0" w:color="000000"/>
              <w:right w:val="single" w:sz="8" w:space="0" w:color="000000"/>
            </w:tcBorders>
            <w:vAlign w:val="center"/>
            <w:hideMark/>
          </w:tcPr>
          <w:p w14:paraId="6D3B5D4B"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536</w:t>
            </w:r>
          </w:p>
        </w:tc>
        <w:tc>
          <w:tcPr>
            <w:tcW w:w="1436" w:type="dxa"/>
            <w:tcBorders>
              <w:top w:val="nil"/>
              <w:left w:val="nil"/>
              <w:bottom w:val="single" w:sz="8" w:space="0" w:color="000000"/>
              <w:right w:val="single" w:sz="8" w:space="0" w:color="000000"/>
            </w:tcBorders>
            <w:vAlign w:val="center"/>
            <w:hideMark/>
          </w:tcPr>
          <w:p w14:paraId="1976F01F"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955</w:t>
            </w:r>
          </w:p>
        </w:tc>
        <w:tc>
          <w:tcPr>
            <w:tcW w:w="1793" w:type="dxa"/>
            <w:tcBorders>
              <w:top w:val="nil"/>
              <w:left w:val="nil"/>
              <w:bottom w:val="single" w:sz="8" w:space="0" w:color="000000"/>
              <w:right w:val="single" w:sz="8" w:space="0" w:color="000000"/>
            </w:tcBorders>
            <w:vAlign w:val="center"/>
            <w:hideMark/>
          </w:tcPr>
          <w:p w14:paraId="02E6A211"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178,2</w:t>
            </w:r>
          </w:p>
        </w:tc>
      </w:tr>
      <w:tr w:rsidR="00902F18" w:rsidRPr="00731FE2" w14:paraId="2E64DF3B" w14:textId="77777777" w:rsidTr="00CA1D45">
        <w:trPr>
          <w:tblCellSpacing w:w="0" w:type="dxa"/>
        </w:trPr>
        <w:tc>
          <w:tcPr>
            <w:tcW w:w="572" w:type="dxa"/>
            <w:tcBorders>
              <w:top w:val="nil"/>
              <w:left w:val="single" w:sz="8" w:space="0" w:color="000000"/>
              <w:bottom w:val="single" w:sz="8" w:space="0" w:color="000000"/>
              <w:right w:val="single" w:sz="8" w:space="0" w:color="000000"/>
            </w:tcBorders>
            <w:vAlign w:val="center"/>
            <w:hideMark/>
          </w:tcPr>
          <w:p w14:paraId="1EC44151" w14:textId="77777777" w:rsidR="00902F18" w:rsidRPr="00731FE2" w:rsidRDefault="00902F18" w:rsidP="00902F18">
            <w:pPr>
              <w:spacing w:line="240" w:lineRule="auto"/>
              <w:ind w:firstLine="0"/>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6.</w:t>
            </w:r>
          </w:p>
        </w:tc>
        <w:tc>
          <w:tcPr>
            <w:tcW w:w="2274" w:type="dxa"/>
            <w:tcBorders>
              <w:top w:val="nil"/>
              <w:left w:val="nil"/>
              <w:bottom w:val="single" w:sz="8" w:space="0" w:color="000000"/>
              <w:right w:val="single" w:sz="8" w:space="0" w:color="000000"/>
            </w:tcBorders>
            <w:vAlign w:val="center"/>
            <w:hideMark/>
          </w:tcPr>
          <w:p w14:paraId="6A0A8AD4" w14:textId="77777777" w:rsidR="00902F18" w:rsidRPr="00731FE2" w:rsidRDefault="00902F18" w:rsidP="00902F18">
            <w:pPr>
              <w:spacing w:line="240" w:lineRule="auto"/>
              <w:ind w:firstLine="0"/>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МБОУ СОШ № 9</w:t>
            </w:r>
          </w:p>
        </w:tc>
        <w:tc>
          <w:tcPr>
            <w:tcW w:w="2036" w:type="dxa"/>
            <w:tcBorders>
              <w:top w:val="nil"/>
              <w:left w:val="nil"/>
              <w:bottom w:val="single" w:sz="8" w:space="0" w:color="000000"/>
              <w:right w:val="single" w:sz="8" w:space="0" w:color="000000"/>
            </w:tcBorders>
            <w:vAlign w:val="center"/>
            <w:hideMark/>
          </w:tcPr>
          <w:p w14:paraId="317CCF04" w14:textId="77777777" w:rsidR="00902F18" w:rsidRPr="00731FE2" w:rsidRDefault="00902F18" w:rsidP="00902F18">
            <w:pPr>
              <w:spacing w:line="240" w:lineRule="auto"/>
              <w:ind w:firstLine="0"/>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ул. Школьная, 13</w:t>
            </w:r>
          </w:p>
        </w:tc>
        <w:tc>
          <w:tcPr>
            <w:tcW w:w="1224" w:type="dxa"/>
            <w:tcBorders>
              <w:top w:val="nil"/>
              <w:left w:val="nil"/>
              <w:bottom w:val="single" w:sz="8" w:space="0" w:color="000000"/>
              <w:right w:val="single" w:sz="8" w:space="0" w:color="000000"/>
            </w:tcBorders>
            <w:vAlign w:val="center"/>
            <w:hideMark/>
          </w:tcPr>
          <w:p w14:paraId="1C1EAACA"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730</w:t>
            </w:r>
          </w:p>
        </w:tc>
        <w:tc>
          <w:tcPr>
            <w:tcW w:w="1436" w:type="dxa"/>
            <w:tcBorders>
              <w:top w:val="nil"/>
              <w:left w:val="nil"/>
              <w:bottom w:val="single" w:sz="8" w:space="0" w:color="000000"/>
              <w:right w:val="single" w:sz="8" w:space="0" w:color="000000"/>
            </w:tcBorders>
            <w:vAlign w:val="center"/>
            <w:hideMark/>
          </w:tcPr>
          <w:p w14:paraId="5F8AD528"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1041</w:t>
            </w:r>
          </w:p>
        </w:tc>
        <w:tc>
          <w:tcPr>
            <w:tcW w:w="1793" w:type="dxa"/>
            <w:tcBorders>
              <w:top w:val="nil"/>
              <w:left w:val="nil"/>
              <w:bottom w:val="single" w:sz="8" w:space="0" w:color="000000"/>
              <w:right w:val="single" w:sz="8" w:space="0" w:color="000000"/>
            </w:tcBorders>
            <w:vAlign w:val="center"/>
            <w:hideMark/>
          </w:tcPr>
          <w:p w14:paraId="6C204E33"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142,6</w:t>
            </w:r>
          </w:p>
        </w:tc>
      </w:tr>
      <w:tr w:rsidR="00902F18" w:rsidRPr="00731FE2" w14:paraId="172D8BFC" w14:textId="77777777" w:rsidTr="00CA1D45">
        <w:trPr>
          <w:tblCellSpacing w:w="0" w:type="dxa"/>
        </w:trPr>
        <w:tc>
          <w:tcPr>
            <w:tcW w:w="572" w:type="dxa"/>
            <w:tcBorders>
              <w:top w:val="nil"/>
              <w:left w:val="single" w:sz="8" w:space="0" w:color="000000"/>
              <w:bottom w:val="single" w:sz="8" w:space="0" w:color="000000"/>
              <w:right w:val="single" w:sz="8" w:space="0" w:color="000000"/>
            </w:tcBorders>
            <w:vAlign w:val="center"/>
            <w:hideMark/>
          </w:tcPr>
          <w:p w14:paraId="6ED4B911" w14:textId="77777777" w:rsidR="00902F18" w:rsidRPr="00731FE2" w:rsidRDefault="00902F18" w:rsidP="00902F18">
            <w:pPr>
              <w:spacing w:line="240" w:lineRule="auto"/>
              <w:ind w:firstLine="0"/>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7.</w:t>
            </w:r>
          </w:p>
        </w:tc>
        <w:tc>
          <w:tcPr>
            <w:tcW w:w="2274" w:type="dxa"/>
            <w:tcBorders>
              <w:top w:val="nil"/>
              <w:left w:val="nil"/>
              <w:bottom w:val="single" w:sz="8" w:space="0" w:color="000000"/>
              <w:right w:val="single" w:sz="8" w:space="0" w:color="000000"/>
            </w:tcBorders>
            <w:vAlign w:val="center"/>
            <w:hideMark/>
          </w:tcPr>
          <w:p w14:paraId="71CCAAD2" w14:textId="77777777" w:rsidR="00902F18" w:rsidRPr="00731FE2" w:rsidRDefault="00902F18" w:rsidP="00902F18">
            <w:pPr>
              <w:spacing w:line="240" w:lineRule="auto"/>
              <w:ind w:firstLine="0"/>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МБОУ СОШ №12</w:t>
            </w:r>
          </w:p>
        </w:tc>
        <w:tc>
          <w:tcPr>
            <w:tcW w:w="2036" w:type="dxa"/>
            <w:tcBorders>
              <w:top w:val="nil"/>
              <w:left w:val="nil"/>
              <w:bottom w:val="single" w:sz="8" w:space="0" w:color="000000"/>
              <w:right w:val="single" w:sz="8" w:space="0" w:color="000000"/>
            </w:tcBorders>
            <w:vAlign w:val="center"/>
            <w:hideMark/>
          </w:tcPr>
          <w:p w14:paraId="53C23EFC" w14:textId="77777777" w:rsidR="00902F18" w:rsidRPr="00731FE2" w:rsidRDefault="00902F18" w:rsidP="00902F18">
            <w:pPr>
              <w:spacing w:line="240" w:lineRule="auto"/>
              <w:ind w:firstLine="0"/>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ул. Кутузова, 44</w:t>
            </w:r>
          </w:p>
        </w:tc>
        <w:tc>
          <w:tcPr>
            <w:tcW w:w="1224" w:type="dxa"/>
            <w:tcBorders>
              <w:top w:val="nil"/>
              <w:left w:val="nil"/>
              <w:bottom w:val="single" w:sz="8" w:space="0" w:color="000000"/>
              <w:right w:val="single" w:sz="8" w:space="0" w:color="000000"/>
            </w:tcBorders>
            <w:vAlign w:val="center"/>
            <w:hideMark/>
          </w:tcPr>
          <w:p w14:paraId="5DF73DC2"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500</w:t>
            </w:r>
          </w:p>
        </w:tc>
        <w:tc>
          <w:tcPr>
            <w:tcW w:w="1436" w:type="dxa"/>
            <w:tcBorders>
              <w:top w:val="nil"/>
              <w:left w:val="nil"/>
              <w:bottom w:val="single" w:sz="8" w:space="0" w:color="000000"/>
              <w:right w:val="single" w:sz="8" w:space="0" w:color="000000"/>
            </w:tcBorders>
            <w:vAlign w:val="center"/>
            <w:hideMark/>
          </w:tcPr>
          <w:p w14:paraId="7109311C"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349</w:t>
            </w:r>
          </w:p>
        </w:tc>
        <w:tc>
          <w:tcPr>
            <w:tcW w:w="1793" w:type="dxa"/>
            <w:tcBorders>
              <w:top w:val="nil"/>
              <w:left w:val="nil"/>
              <w:bottom w:val="single" w:sz="8" w:space="0" w:color="000000"/>
              <w:right w:val="single" w:sz="8" w:space="0" w:color="000000"/>
            </w:tcBorders>
            <w:vAlign w:val="center"/>
            <w:hideMark/>
          </w:tcPr>
          <w:p w14:paraId="08AE061F"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69,8</w:t>
            </w:r>
          </w:p>
        </w:tc>
      </w:tr>
      <w:tr w:rsidR="00902F18" w:rsidRPr="00731FE2" w14:paraId="7709D686" w14:textId="77777777" w:rsidTr="00CA1D45">
        <w:trPr>
          <w:tblCellSpacing w:w="0" w:type="dxa"/>
        </w:trPr>
        <w:tc>
          <w:tcPr>
            <w:tcW w:w="572" w:type="dxa"/>
            <w:tcBorders>
              <w:top w:val="nil"/>
              <w:left w:val="single" w:sz="8" w:space="0" w:color="000000"/>
              <w:bottom w:val="single" w:sz="8" w:space="0" w:color="000000"/>
              <w:right w:val="single" w:sz="8" w:space="0" w:color="000000"/>
            </w:tcBorders>
            <w:vAlign w:val="center"/>
            <w:hideMark/>
          </w:tcPr>
          <w:p w14:paraId="49600947" w14:textId="77777777" w:rsidR="00902F18" w:rsidRPr="00731FE2" w:rsidRDefault="00902F18" w:rsidP="00902F18">
            <w:pPr>
              <w:spacing w:line="240" w:lineRule="auto"/>
              <w:ind w:firstLine="0"/>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8.</w:t>
            </w:r>
          </w:p>
        </w:tc>
        <w:tc>
          <w:tcPr>
            <w:tcW w:w="2274" w:type="dxa"/>
            <w:tcBorders>
              <w:top w:val="nil"/>
              <w:left w:val="nil"/>
              <w:bottom w:val="single" w:sz="8" w:space="0" w:color="000000"/>
              <w:right w:val="single" w:sz="8" w:space="0" w:color="000000"/>
            </w:tcBorders>
            <w:vAlign w:val="center"/>
            <w:hideMark/>
          </w:tcPr>
          <w:p w14:paraId="0450D49E" w14:textId="77777777" w:rsidR="00902F18" w:rsidRPr="00731FE2" w:rsidRDefault="00902F18" w:rsidP="00902F18">
            <w:pPr>
              <w:spacing w:line="240" w:lineRule="auto"/>
              <w:ind w:firstLine="0"/>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МБОУ СОШ №14</w:t>
            </w:r>
          </w:p>
        </w:tc>
        <w:tc>
          <w:tcPr>
            <w:tcW w:w="2036" w:type="dxa"/>
            <w:tcBorders>
              <w:top w:val="nil"/>
              <w:left w:val="nil"/>
              <w:bottom w:val="single" w:sz="8" w:space="0" w:color="000000"/>
              <w:right w:val="single" w:sz="8" w:space="0" w:color="000000"/>
            </w:tcBorders>
            <w:vAlign w:val="center"/>
            <w:hideMark/>
          </w:tcPr>
          <w:p w14:paraId="2BF9737D" w14:textId="77777777" w:rsidR="00902F18" w:rsidRPr="00731FE2" w:rsidRDefault="00902F18" w:rsidP="00902F18">
            <w:pPr>
              <w:spacing w:line="240" w:lineRule="auto"/>
              <w:ind w:firstLine="0"/>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ул. Чкалова, 71</w:t>
            </w:r>
          </w:p>
        </w:tc>
        <w:tc>
          <w:tcPr>
            <w:tcW w:w="1224" w:type="dxa"/>
            <w:tcBorders>
              <w:top w:val="nil"/>
              <w:left w:val="nil"/>
              <w:bottom w:val="single" w:sz="8" w:space="0" w:color="000000"/>
              <w:right w:val="single" w:sz="8" w:space="0" w:color="000000"/>
            </w:tcBorders>
            <w:vAlign w:val="center"/>
            <w:hideMark/>
          </w:tcPr>
          <w:p w14:paraId="1BD03DD5"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318</w:t>
            </w:r>
          </w:p>
        </w:tc>
        <w:tc>
          <w:tcPr>
            <w:tcW w:w="1436" w:type="dxa"/>
            <w:tcBorders>
              <w:top w:val="nil"/>
              <w:left w:val="nil"/>
              <w:bottom w:val="single" w:sz="8" w:space="0" w:color="000000"/>
              <w:right w:val="single" w:sz="8" w:space="0" w:color="000000"/>
            </w:tcBorders>
            <w:vAlign w:val="center"/>
            <w:hideMark/>
          </w:tcPr>
          <w:p w14:paraId="1EE0C96E"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380</w:t>
            </w:r>
          </w:p>
        </w:tc>
        <w:tc>
          <w:tcPr>
            <w:tcW w:w="1793" w:type="dxa"/>
            <w:tcBorders>
              <w:top w:val="nil"/>
              <w:left w:val="nil"/>
              <w:bottom w:val="single" w:sz="8" w:space="0" w:color="000000"/>
              <w:right w:val="single" w:sz="8" w:space="0" w:color="000000"/>
            </w:tcBorders>
            <w:vAlign w:val="center"/>
            <w:hideMark/>
          </w:tcPr>
          <w:p w14:paraId="309C4B84"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61,1</w:t>
            </w:r>
          </w:p>
        </w:tc>
      </w:tr>
      <w:tr w:rsidR="00902F18" w:rsidRPr="00731FE2" w14:paraId="2FA0FB93" w14:textId="77777777" w:rsidTr="00CA1D45">
        <w:trPr>
          <w:tblCellSpacing w:w="0" w:type="dxa"/>
        </w:trPr>
        <w:tc>
          <w:tcPr>
            <w:tcW w:w="572" w:type="dxa"/>
            <w:tcBorders>
              <w:top w:val="nil"/>
              <w:left w:val="single" w:sz="8" w:space="0" w:color="000000"/>
              <w:bottom w:val="single" w:sz="8" w:space="0" w:color="000000"/>
              <w:right w:val="single" w:sz="8" w:space="0" w:color="000000"/>
            </w:tcBorders>
            <w:vAlign w:val="center"/>
            <w:hideMark/>
          </w:tcPr>
          <w:p w14:paraId="4F77CF23" w14:textId="77777777" w:rsidR="00902F18" w:rsidRPr="00731FE2" w:rsidRDefault="00902F18" w:rsidP="00902F18">
            <w:pPr>
              <w:spacing w:line="240" w:lineRule="auto"/>
              <w:ind w:firstLine="0"/>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9.</w:t>
            </w:r>
          </w:p>
        </w:tc>
        <w:tc>
          <w:tcPr>
            <w:tcW w:w="2274" w:type="dxa"/>
            <w:tcBorders>
              <w:top w:val="nil"/>
              <w:left w:val="nil"/>
              <w:bottom w:val="single" w:sz="8" w:space="0" w:color="000000"/>
              <w:right w:val="single" w:sz="8" w:space="0" w:color="000000"/>
            </w:tcBorders>
            <w:vAlign w:val="center"/>
            <w:hideMark/>
          </w:tcPr>
          <w:p w14:paraId="42524051" w14:textId="77777777" w:rsidR="00902F18" w:rsidRPr="00731FE2" w:rsidRDefault="00902F18" w:rsidP="00902F18">
            <w:pPr>
              <w:spacing w:line="240" w:lineRule="auto"/>
              <w:ind w:firstLine="0"/>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МБОУ СОШ №15</w:t>
            </w:r>
          </w:p>
        </w:tc>
        <w:tc>
          <w:tcPr>
            <w:tcW w:w="2036" w:type="dxa"/>
            <w:tcBorders>
              <w:top w:val="nil"/>
              <w:left w:val="nil"/>
              <w:bottom w:val="single" w:sz="8" w:space="0" w:color="000000"/>
              <w:right w:val="single" w:sz="8" w:space="0" w:color="000000"/>
            </w:tcBorders>
            <w:vAlign w:val="center"/>
            <w:hideMark/>
          </w:tcPr>
          <w:p w14:paraId="687A2BA8" w14:textId="77777777" w:rsidR="00902F18" w:rsidRPr="00731FE2" w:rsidRDefault="00902F18" w:rsidP="00902F18">
            <w:pPr>
              <w:spacing w:line="240" w:lineRule="auto"/>
              <w:ind w:firstLine="0"/>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пр. Цандера, 17</w:t>
            </w:r>
          </w:p>
        </w:tc>
        <w:tc>
          <w:tcPr>
            <w:tcW w:w="1224" w:type="dxa"/>
            <w:tcBorders>
              <w:top w:val="nil"/>
              <w:left w:val="nil"/>
              <w:bottom w:val="single" w:sz="8" w:space="0" w:color="000000"/>
              <w:right w:val="single" w:sz="8" w:space="0" w:color="000000"/>
            </w:tcBorders>
            <w:vAlign w:val="center"/>
            <w:hideMark/>
          </w:tcPr>
          <w:p w14:paraId="31E9A9C5"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734</w:t>
            </w:r>
          </w:p>
        </w:tc>
        <w:tc>
          <w:tcPr>
            <w:tcW w:w="1436" w:type="dxa"/>
            <w:tcBorders>
              <w:top w:val="nil"/>
              <w:left w:val="nil"/>
              <w:bottom w:val="single" w:sz="8" w:space="0" w:color="000000"/>
              <w:right w:val="single" w:sz="8" w:space="0" w:color="000000"/>
            </w:tcBorders>
            <w:vAlign w:val="center"/>
            <w:hideMark/>
          </w:tcPr>
          <w:p w14:paraId="6C22A6F5"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959</w:t>
            </w:r>
          </w:p>
        </w:tc>
        <w:tc>
          <w:tcPr>
            <w:tcW w:w="1793" w:type="dxa"/>
            <w:tcBorders>
              <w:top w:val="nil"/>
              <w:left w:val="nil"/>
              <w:bottom w:val="single" w:sz="8" w:space="0" w:color="000000"/>
              <w:right w:val="single" w:sz="8" w:space="0" w:color="000000"/>
            </w:tcBorders>
            <w:vAlign w:val="center"/>
            <w:hideMark/>
          </w:tcPr>
          <w:p w14:paraId="086BEE48"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119,5</w:t>
            </w:r>
          </w:p>
        </w:tc>
      </w:tr>
      <w:tr w:rsidR="00902F18" w:rsidRPr="00731FE2" w14:paraId="44D0C18B" w14:textId="77777777" w:rsidTr="00CA1D45">
        <w:trPr>
          <w:tblCellSpacing w:w="0" w:type="dxa"/>
        </w:trPr>
        <w:tc>
          <w:tcPr>
            <w:tcW w:w="572" w:type="dxa"/>
            <w:tcBorders>
              <w:top w:val="nil"/>
              <w:left w:val="single" w:sz="8" w:space="0" w:color="000000"/>
              <w:bottom w:val="single" w:sz="8" w:space="0" w:color="000000"/>
              <w:right w:val="single" w:sz="8" w:space="0" w:color="000000"/>
            </w:tcBorders>
            <w:vAlign w:val="center"/>
            <w:hideMark/>
          </w:tcPr>
          <w:p w14:paraId="4DE011D0" w14:textId="77777777" w:rsidR="00902F18" w:rsidRPr="00731FE2" w:rsidRDefault="00902F18" w:rsidP="00902F18">
            <w:pPr>
              <w:spacing w:line="240" w:lineRule="auto"/>
              <w:ind w:firstLine="0"/>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10.</w:t>
            </w:r>
          </w:p>
        </w:tc>
        <w:tc>
          <w:tcPr>
            <w:tcW w:w="2274" w:type="dxa"/>
            <w:tcBorders>
              <w:top w:val="nil"/>
              <w:left w:val="nil"/>
              <w:bottom w:val="single" w:sz="8" w:space="0" w:color="000000"/>
              <w:right w:val="single" w:sz="8" w:space="0" w:color="000000"/>
            </w:tcBorders>
            <w:vAlign w:val="center"/>
            <w:hideMark/>
          </w:tcPr>
          <w:p w14:paraId="2818497B" w14:textId="77777777" w:rsidR="00902F18" w:rsidRPr="00731FE2" w:rsidRDefault="00902F18" w:rsidP="00902F18">
            <w:pPr>
              <w:spacing w:line="240" w:lineRule="auto"/>
              <w:ind w:firstLine="0"/>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МБОУ СОШ №16</w:t>
            </w:r>
          </w:p>
        </w:tc>
        <w:tc>
          <w:tcPr>
            <w:tcW w:w="2036" w:type="dxa"/>
            <w:tcBorders>
              <w:top w:val="nil"/>
              <w:left w:val="nil"/>
              <w:bottom w:val="single" w:sz="8" w:space="0" w:color="000000"/>
              <w:right w:val="single" w:sz="8" w:space="0" w:color="000000"/>
            </w:tcBorders>
            <w:vAlign w:val="center"/>
            <w:hideMark/>
          </w:tcPr>
          <w:p w14:paraId="46C7C342" w14:textId="77777777" w:rsidR="00902F18" w:rsidRPr="00731FE2" w:rsidRDefault="00902F18" w:rsidP="00902F18">
            <w:pPr>
              <w:spacing w:line="240" w:lineRule="auto"/>
              <w:ind w:firstLine="0"/>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ул. Героев Медиков, 5</w:t>
            </w:r>
          </w:p>
        </w:tc>
        <w:tc>
          <w:tcPr>
            <w:tcW w:w="1224" w:type="dxa"/>
            <w:tcBorders>
              <w:top w:val="nil"/>
              <w:left w:val="nil"/>
              <w:bottom w:val="single" w:sz="8" w:space="0" w:color="000000"/>
              <w:right w:val="single" w:sz="8" w:space="0" w:color="000000"/>
            </w:tcBorders>
            <w:vAlign w:val="center"/>
            <w:hideMark/>
          </w:tcPr>
          <w:p w14:paraId="789A9111"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275</w:t>
            </w:r>
          </w:p>
        </w:tc>
        <w:tc>
          <w:tcPr>
            <w:tcW w:w="1436" w:type="dxa"/>
            <w:tcBorders>
              <w:top w:val="nil"/>
              <w:left w:val="nil"/>
              <w:bottom w:val="single" w:sz="8" w:space="0" w:color="000000"/>
              <w:right w:val="single" w:sz="8" w:space="0" w:color="000000"/>
            </w:tcBorders>
            <w:vAlign w:val="center"/>
            <w:hideMark/>
          </w:tcPr>
          <w:p w14:paraId="5CBC2E10"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669</w:t>
            </w:r>
          </w:p>
        </w:tc>
        <w:tc>
          <w:tcPr>
            <w:tcW w:w="1793" w:type="dxa"/>
            <w:tcBorders>
              <w:top w:val="nil"/>
              <w:left w:val="nil"/>
              <w:bottom w:val="single" w:sz="8" w:space="0" w:color="000000"/>
              <w:right w:val="single" w:sz="8" w:space="0" w:color="000000"/>
            </w:tcBorders>
            <w:vAlign w:val="center"/>
            <w:hideMark/>
          </w:tcPr>
          <w:p w14:paraId="3A400370"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243,3</w:t>
            </w:r>
          </w:p>
        </w:tc>
      </w:tr>
      <w:tr w:rsidR="00902F18" w:rsidRPr="00731FE2" w14:paraId="2A5D5541" w14:textId="77777777" w:rsidTr="00CA1D45">
        <w:trPr>
          <w:tblCellSpacing w:w="0" w:type="dxa"/>
        </w:trPr>
        <w:tc>
          <w:tcPr>
            <w:tcW w:w="572" w:type="dxa"/>
            <w:tcBorders>
              <w:top w:val="nil"/>
              <w:left w:val="single" w:sz="8" w:space="0" w:color="000000"/>
              <w:bottom w:val="single" w:sz="8" w:space="0" w:color="000000"/>
              <w:right w:val="single" w:sz="8" w:space="0" w:color="000000"/>
            </w:tcBorders>
            <w:vAlign w:val="center"/>
            <w:hideMark/>
          </w:tcPr>
          <w:p w14:paraId="179DD3E1" w14:textId="77777777" w:rsidR="00902F18" w:rsidRPr="00731FE2" w:rsidRDefault="00902F18" w:rsidP="00902F18">
            <w:pPr>
              <w:spacing w:line="240" w:lineRule="auto"/>
              <w:ind w:firstLine="0"/>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11.</w:t>
            </w:r>
          </w:p>
        </w:tc>
        <w:tc>
          <w:tcPr>
            <w:tcW w:w="2274" w:type="dxa"/>
            <w:tcBorders>
              <w:top w:val="nil"/>
              <w:left w:val="nil"/>
              <w:bottom w:val="single" w:sz="8" w:space="0" w:color="000000"/>
              <w:right w:val="single" w:sz="8" w:space="0" w:color="000000"/>
            </w:tcBorders>
            <w:vAlign w:val="center"/>
            <w:hideMark/>
          </w:tcPr>
          <w:p w14:paraId="1CD6252C" w14:textId="77777777" w:rsidR="00902F18" w:rsidRPr="00731FE2" w:rsidRDefault="00902F18" w:rsidP="00902F18">
            <w:pPr>
              <w:spacing w:line="240" w:lineRule="auto"/>
              <w:ind w:firstLine="0"/>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МБОУ СОШ №17</w:t>
            </w:r>
          </w:p>
        </w:tc>
        <w:tc>
          <w:tcPr>
            <w:tcW w:w="2036" w:type="dxa"/>
            <w:tcBorders>
              <w:top w:val="nil"/>
              <w:left w:val="nil"/>
              <w:bottom w:val="single" w:sz="8" w:space="0" w:color="000000"/>
              <w:right w:val="single" w:sz="8" w:space="0" w:color="000000"/>
            </w:tcBorders>
            <w:vAlign w:val="center"/>
            <w:hideMark/>
          </w:tcPr>
          <w:p w14:paraId="5E5CD8EE" w14:textId="77777777" w:rsidR="00902F18" w:rsidRPr="00731FE2" w:rsidRDefault="00902F18" w:rsidP="00902F18">
            <w:pPr>
              <w:spacing w:line="240" w:lineRule="auto"/>
              <w:ind w:firstLine="0"/>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ул. Набережная, 43А</w:t>
            </w:r>
          </w:p>
        </w:tc>
        <w:tc>
          <w:tcPr>
            <w:tcW w:w="1224" w:type="dxa"/>
            <w:tcBorders>
              <w:top w:val="nil"/>
              <w:left w:val="nil"/>
              <w:bottom w:val="single" w:sz="8" w:space="0" w:color="000000"/>
              <w:right w:val="single" w:sz="8" w:space="0" w:color="000000"/>
            </w:tcBorders>
            <w:vAlign w:val="center"/>
            <w:hideMark/>
          </w:tcPr>
          <w:p w14:paraId="2AFB1B66"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955</w:t>
            </w:r>
          </w:p>
        </w:tc>
        <w:tc>
          <w:tcPr>
            <w:tcW w:w="1436" w:type="dxa"/>
            <w:tcBorders>
              <w:top w:val="nil"/>
              <w:left w:val="nil"/>
              <w:bottom w:val="single" w:sz="8" w:space="0" w:color="000000"/>
              <w:right w:val="single" w:sz="8" w:space="0" w:color="000000"/>
            </w:tcBorders>
            <w:vAlign w:val="center"/>
            <w:hideMark/>
          </w:tcPr>
          <w:p w14:paraId="7E56D1F9"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937</w:t>
            </w:r>
          </w:p>
        </w:tc>
        <w:tc>
          <w:tcPr>
            <w:tcW w:w="1793" w:type="dxa"/>
            <w:tcBorders>
              <w:top w:val="nil"/>
              <w:left w:val="nil"/>
              <w:bottom w:val="single" w:sz="8" w:space="0" w:color="000000"/>
              <w:right w:val="single" w:sz="8" w:space="0" w:color="000000"/>
            </w:tcBorders>
            <w:vAlign w:val="center"/>
            <w:hideMark/>
          </w:tcPr>
          <w:p w14:paraId="63C226F4"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98,1</w:t>
            </w:r>
          </w:p>
        </w:tc>
      </w:tr>
      <w:tr w:rsidR="00902F18" w:rsidRPr="00731FE2" w14:paraId="200CE6B6" w14:textId="77777777" w:rsidTr="00CA1D45">
        <w:trPr>
          <w:tblCellSpacing w:w="0" w:type="dxa"/>
        </w:trPr>
        <w:tc>
          <w:tcPr>
            <w:tcW w:w="572" w:type="dxa"/>
            <w:tcBorders>
              <w:top w:val="nil"/>
              <w:left w:val="single" w:sz="8" w:space="0" w:color="000000"/>
              <w:bottom w:val="single" w:sz="8" w:space="0" w:color="000000"/>
              <w:right w:val="single" w:sz="8" w:space="0" w:color="000000"/>
            </w:tcBorders>
            <w:vAlign w:val="center"/>
            <w:hideMark/>
          </w:tcPr>
          <w:p w14:paraId="599C66B1" w14:textId="77777777" w:rsidR="00902F18" w:rsidRPr="00731FE2" w:rsidRDefault="00902F18" w:rsidP="00902F18">
            <w:pPr>
              <w:spacing w:line="240" w:lineRule="auto"/>
              <w:ind w:firstLine="0"/>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12.</w:t>
            </w:r>
          </w:p>
        </w:tc>
        <w:tc>
          <w:tcPr>
            <w:tcW w:w="2274" w:type="dxa"/>
            <w:tcBorders>
              <w:top w:val="nil"/>
              <w:left w:val="nil"/>
              <w:bottom w:val="single" w:sz="8" w:space="0" w:color="000000"/>
              <w:right w:val="single" w:sz="8" w:space="0" w:color="000000"/>
            </w:tcBorders>
            <w:vAlign w:val="center"/>
            <w:hideMark/>
          </w:tcPr>
          <w:p w14:paraId="601C8A76" w14:textId="77777777" w:rsidR="00902F18" w:rsidRPr="00731FE2" w:rsidRDefault="00902F18" w:rsidP="00902F18">
            <w:pPr>
              <w:spacing w:line="240" w:lineRule="auto"/>
              <w:ind w:firstLine="0"/>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МБОУ средняя общеобразовательная гимназия №19</w:t>
            </w:r>
          </w:p>
        </w:tc>
        <w:tc>
          <w:tcPr>
            <w:tcW w:w="2036" w:type="dxa"/>
            <w:tcBorders>
              <w:top w:val="nil"/>
              <w:left w:val="nil"/>
              <w:bottom w:val="single" w:sz="8" w:space="0" w:color="000000"/>
              <w:right w:val="single" w:sz="8" w:space="0" w:color="000000"/>
            </w:tcBorders>
            <w:vAlign w:val="center"/>
            <w:hideMark/>
          </w:tcPr>
          <w:p w14:paraId="41F8BBDD" w14:textId="77777777" w:rsidR="00902F18" w:rsidRPr="00731FE2" w:rsidRDefault="00902F18" w:rsidP="00902F18">
            <w:pPr>
              <w:spacing w:line="240" w:lineRule="auto"/>
              <w:ind w:firstLine="0"/>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ул. М. Расковой, 5</w:t>
            </w:r>
          </w:p>
        </w:tc>
        <w:tc>
          <w:tcPr>
            <w:tcW w:w="1224" w:type="dxa"/>
            <w:tcBorders>
              <w:top w:val="nil"/>
              <w:left w:val="nil"/>
              <w:bottom w:val="single" w:sz="8" w:space="0" w:color="000000"/>
              <w:right w:val="single" w:sz="8" w:space="0" w:color="000000"/>
            </w:tcBorders>
            <w:vAlign w:val="center"/>
            <w:hideMark/>
          </w:tcPr>
          <w:p w14:paraId="7E4BF5CF"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1056</w:t>
            </w:r>
          </w:p>
        </w:tc>
        <w:tc>
          <w:tcPr>
            <w:tcW w:w="1436" w:type="dxa"/>
            <w:tcBorders>
              <w:top w:val="nil"/>
              <w:left w:val="nil"/>
              <w:bottom w:val="single" w:sz="8" w:space="0" w:color="000000"/>
              <w:right w:val="single" w:sz="8" w:space="0" w:color="000000"/>
            </w:tcBorders>
            <w:vAlign w:val="center"/>
            <w:hideMark/>
          </w:tcPr>
          <w:p w14:paraId="4321EEF3"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1028</w:t>
            </w:r>
          </w:p>
        </w:tc>
        <w:tc>
          <w:tcPr>
            <w:tcW w:w="1793" w:type="dxa"/>
            <w:tcBorders>
              <w:top w:val="nil"/>
              <w:left w:val="nil"/>
              <w:bottom w:val="single" w:sz="8" w:space="0" w:color="000000"/>
              <w:right w:val="single" w:sz="8" w:space="0" w:color="000000"/>
            </w:tcBorders>
            <w:vAlign w:val="center"/>
            <w:hideMark/>
          </w:tcPr>
          <w:p w14:paraId="07D8B7B9"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97,3</w:t>
            </w:r>
          </w:p>
        </w:tc>
      </w:tr>
      <w:tr w:rsidR="00902F18" w:rsidRPr="00731FE2" w14:paraId="053267C4" w14:textId="77777777" w:rsidTr="00CA1D45">
        <w:trPr>
          <w:tblCellSpacing w:w="0" w:type="dxa"/>
        </w:trPr>
        <w:tc>
          <w:tcPr>
            <w:tcW w:w="572" w:type="dxa"/>
            <w:tcBorders>
              <w:top w:val="nil"/>
              <w:left w:val="single" w:sz="8" w:space="0" w:color="000000"/>
              <w:bottom w:val="single" w:sz="8" w:space="0" w:color="000000"/>
              <w:right w:val="single" w:sz="8" w:space="0" w:color="000000"/>
            </w:tcBorders>
            <w:vAlign w:val="center"/>
            <w:hideMark/>
          </w:tcPr>
          <w:p w14:paraId="29FB97EE" w14:textId="77777777" w:rsidR="00902F18" w:rsidRPr="00731FE2" w:rsidRDefault="00902F18" w:rsidP="00902F18">
            <w:pPr>
              <w:spacing w:line="240" w:lineRule="auto"/>
              <w:ind w:firstLine="0"/>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13.</w:t>
            </w:r>
          </w:p>
        </w:tc>
        <w:tc>
          <w:tcPr>
            <w:tcW w:w="2274" w:type="dxa"/>
            <w:tcBorders>
              <w:top w:val="nil"/>
              <w:left w:val="nil"/>
              <w:bottom w:val="single" w:sz="8" w:space="0" w:color="000000"/>
              <w:right w:val="single" w:sz="8" w:space="0" w:color="000000"/>
            </w:tcBorders>
            <w:vAlign w:val="center"/>
            <w:hideMark/>
          </w:tcPr>
          <w:p w14:paraId="340047B3" w14:textId="77777777" w:rsidR="00902F18" w:rsidRPr="00731FE2" w:rsidRDefault="00902F18" w:rsidP="00902F18">
            <w:pPr>
              <w:spacing w:line="240" w:lineRule="auto"/>
              <w:ind w:firstLine="0"/>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МБОУ СОШ №22</w:t>
            </w:r>
          </w:p>
        </w:tc>
        <w:tc>
          <w:tcPr>
            <w:tcW w:w="2036" w:type="dxa"/>
            <w:tcBorders>
              <w:top w:val="nil"/>
              <w:left w:val="nil"/>
              <w:bottom w:val="single" w:sz="8" w:space="0" w:color="000000"/>
              <w:right w:val="single" w:sz="8" w:space="0" w:color="000000"/>
            </w:tcBorders>
            <w:vAlign w:val="center"/>
            <w:hideMark/>
          </w:tcPr>
          <w:p w14:paraId="09CB6763" w14:textId="77777777" w:rsidR="00902F18" w:rsidRPr="00731FE2" w:rsidRDefault="00902F18" w:rsidP="00902F18">
            <w:pPr>
              <w:spacing w:line="240" w:lineRule="auto"/>
              <w:ind w:firstLine="0"/>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л. Ленинградская, 22</w:t>
            </w:r>
          </w:p>
        </w:tc>
        <w:tc>
          <w:tcPr>
            <w:tcW w:w="1224" w:type="dxa"/>
            <w:tcBorders>
              <w:top w:val="nil"/>
              <w:left w:val="nil"/>
              <w:bottom w:val="single" w:sz="8" w:space="0" w:color="000000"/>
              <w:right w:val="single" w:sz="8" w:space="0" w:color="000000"/>
            </w:tcBorders>
            <w:vAlign w:val="center"/>
            <w:hideMark/>
          </w:tcPr>
          <w:p w14:paraId="5B49EDC5"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1000</w:t>
            </w:r>
          </w:p>
        </w:tc>
        <w:tc>
          <w:tcPr>
            <w:tcW w:w="1436" w:type="dxa"/>
            <w:tcBorders>
              <w:top w:val="nil"/>
              <w:left w:val="nil"/>
              <w:bottom w:val="single" w:sz="8" w:space="0" w:color="000000"/>
              <w:right w:val="single" w:sz="8" w:space="0" w:color="000000"/>
            </w:tcBorders>
            <w:vAlign w:val="center"/>
            <w:hideMark/>
          </w:tcPr>
          <w:p w14:paraId="3E33903C"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877</w:t>
            </w:r>
          </w:p>
        </w:tc>
        <w:tc>
          <w:tcPr>
            <w:tcW w:w="1793" w:type="dxa"/>
            <w:tcBorders>
              <w:top w:val="nil"/>
              <w:left w:val="nil"/>
              <w:bottom w:val="single" w:sz="8" w:space="0" w:color="000000"/>
              <w:right w:val="single" w:sz="8" w:space="0" w:color="000000"/>
            </w:tcBorders>
            <w:vAlign w:val="center"/>
            <w:hideMark/>
          </w:tcPr>
          <w:p w14:paraId="5B311653"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87,7</w:t>
            </w:r>
          </w:p>
        </w:tc>
      </w:tr>
      <w:tr w:rsidR="00902F18" w:rsidRPr="00731FE2" w14:paraId="50DEB602" w14:textId="77777777" w:rsidTr="00CA1D45">
        <w:trPr>
          <w:trHeight w:val="543"/>
          <w:tblCellSpacing w:w="0" w:type="dxa"/>
        </w:trPr>
        <w:tc>
          <w:tcPr>
            <w:tcW w:w="572" w:type="dxa"/>
            <w:tcBorders>
              <w:top w:val="nil"/>
              <w:left w:val="single" w:sz="8" w:space="0" w:color="000000"/>
              <w:bottom w:val="single" w:sz="8" w:space="0" w:color="000000"/>
              <w:right w:val="single" w:sz="8" w:space="0" w:color="000000"/>
            </w:tcBorders>
            <w:vAlign w:val="center"/>
            <w:hideMark/>
          </w:tcPr>
          <w:p w14:paraId="79C3761C" w14:textId="77777777" w:rsidR="00902F18" w:rsidRPr="00731FE2" w:rsidRDefault="00902F18" w:rsidP="00902F18">
            <w:pPr>
              <w:spacing w:line="240" w:lineRule="auto"/>
              <w:ind w:firstLine="0"/>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14.</w:t>
            </w:r>
          </w:p>
        </w:tc>
        <w:tc>
          <w:tcPr>
            <w:tcW w:w="2274" w:type="dxa"/>
            <w:tcBorders>
              <w:top w:val="nil"/>
              <w:left w:val="nil"/>
              <w:bottom w:val="single" w:sz="8" w:space="0" w:color="000000"/>
              <w:right w:val="single" w:sz="8" w:space="0" w:color="000000"/>
            </w:tcBorders>
            <w:vAlign w:val="center"/>
            <w:hideMark/>
          </w:tcPr>
          <w:p w14:paraId="5A96FAF2" w14:textId="77777777" w:rsidR="00902F18" w:rsidRPr="00731FE2" w:rsidRDefault="00902F18" w:rsidP="00902F18">
            <w:pPr>
              <w:spacing w:line="240" w:lineRule="auto"/>
              <w:ind w:firstLine="0"/>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МКОУ «</w:t>
            </w:r>
            <w:proofErr w:type="gramStart"/>
            <w:r w:rsidRPr="00731FE2">
              <w:rPr>
                <w:rFonts w:ascii="Times New Roman" w:eastAsia="Times New Roman" w:hAnsi="Times New Roman" w:cs="Times New Roman"/>
                <w:color w:val="000000"/>
                <w:sz w:val="22"/>
                <w:lang w:eastAsia="ru-RU"/>
              </w:rPr>
              <w:t>Начальная</w:t>
            </w:r>
            <w:proofErr w:type="gramEnd"/>
            <w:r w:rsidRPr="00731FE2">
              <w:rPr>
                <w:rFonts w:ascii="Times New Roman" w:eastAsia="Times New Roman" w:hAnsi="Times New Roman" w:cs="Times New Roman"/>
                <w:color w:val="000000"/>
                <w:sz w:val="22"/>
                <w:lang w:eastAsia="ru-RU"/>
              </w:rPr>
              <w:t xml:space="preserve"> школа-детский сад №2»</w:t>
            </w:r>
          </w:p>
        </w:tc>
        <w:tc>
          <w:tcPr>
            <w:tcW w:w="2036" w:type="dxa"/>
            <w:tcBorders>
              <w:top w:val="nil"/>
              <w:left w:val="nil"/>
              <w:bottom w:val="single" w:sz="8" w:space="0" w:color="000000"/>
              <w:right w:val="single" w:sz="8" w:space="0" w:color="000000"/>
            </w:tcBorders>
            <w:vAlign w:val="center"/>
            <w:hideMark/>
          </w:tcPr>
          <w:p w14:paraId="6D25E99B" w14:textId="77777777" w:rsidR="00902F18" w:rsidRPr="00731FE2" w:rsidRDefault="00902F18" w:rsidP="00902F18">
            <w:pPr>
              <w:spacing w:line="240" w:lineRule="auto"/>
              <w:ind w:firstLine="0"/>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ул. Ленинградская, 22</w:t>
            </w:r>
          </w:p>
        </w:tc>
        <w:tc>
          <w:tcPr>
            <w:tcW w:w="1224" w:type="dxa"/>
            <w:tcBorders>
              <w:top w:val="nil"/>
              <w:left w:val="nil"/>
              <w:bottom w:val="single" w:sz="8" w:space="0" w:color="000000"/>
              <w:right w:val="single" w:sz="8" w:space="0" w:color="000000"/>
            </w:tcBorders>
            <w:vAlign w:val="center"/>
            <w:hideMark/>
          </w:tcPr>
          <w:p w14:paraId="627FDB63"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198</w:t>
            </w:r>
          </w:p>
        </w:tc>
        <w:tc>
          <w:tcPr>
            <w:tcW w:w="1436" w:type="dxa"/>
            <w:tcBorders>
              <w:top w:val="nil"/>
              <w:left w:val="nil"/>
              <w:bottom w:val="single" w:sz="8" w:space="0" w:color="000000"/>
              <w:right w:val="single" w:sz="8" w:space="0" w:color="000000"/>
            </w:tcBorders>
            <w:vAlign w:val="center"/>
            <w:hideMark/>
          </w:tcPr>
          <w:p w14:paraId="5E105D60"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174</w:t>
            </w:r>
          </w:p>
        </w:tc>
        <w:tc>
          <w:tcPr>
            <w:tcW w:w="1793" w:type="dxa"/>
            <w:tcBorders>
              <w:top w:val="nil"/>
              <w:left w:val="nil"/>
              <w:bottom w:val="single" w:sz="8" w:space="0" w:color="000000"/>
              <w:right w:val="single" w:sz="8" w:space="0" w:color="000000"/>
            </w:tcBorders>
            <w:vAlign w:val="center"/>
            <w:hideMark/>
          </w:tcPr>
          <w:p w14:paraId="34DB01BE"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87,9</w:t>
            </w:r>
          </w:p>
        </w:tc>
      </w:tr>
      <w:tr w:rsidR="00902F18" w:rsidRPr="00731FE2" w14:paraId="12FF3CBC" w14:textId="77777777" w:rsidTr="00CA1D45">
        <w:trPr>
          <w:tblCellSpacing w:w="0" w:type="dxa"/>
        </w:trPr>
        <w:tc>
          <w:tcPr>
            <w:tcW w:w="572" w:type="dxa"/>
            <w:tcBorders>
              <w:top w:val="nil"/>
              <w:left w:val="single" w:sz="8" w:space="0" w:color="000000"/>
              <w:bottom w:val="single" w:sz="8" w:space="0" w:color="000000"/>
              <w:right w:val="single" w:sz="8" w:space="0" w:color="000000"/>
            </w:tcBorders>
            <w:vAlign w:val="center"/>
            <w:hideMark/>
          </w:tcPr>
          <w:p w14:paraId="0AF9385B" w14:textId="77777777" w:rsidR="00902F18" w:rsidRPr="00731FE2" w:rsidRDefault="00902F18" w:rsidP="00902F18">
            <w:pPr>
              <w:spacing w:line="240" w:lineRule="auto"/>
              <w:ind w:firstLine="0"/>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15.</w:t>
            </w:r>
          </w:p>
        </w:tc>
        <w:tc>
          <w:tcPr>
            <w:tcW w:w="2274" w:type="dxa"/>
            <w:tcBorders>
              <w:top w:val="nil"/>
              <w:left w:val="nil"/>
              <w:bottom w:val="single" w:sz="8" w:space="0" w:color="000000"/>
              <w:right w:val="single" w:sz="8" w:space="0" w:color="000000"/>
            </w:tcBorders>
            <w:vAlign w:val="center"/>
            <w:hideMark/>
          </w:tcPr>
          <w:p w14:paraId="15F3B56E" w14:textId="77777777" w:rsidR="00902F18" w:rsidRPr="00731FE2" w:rsidRDefault="00902F18" w:rsidP="00902F18">
            <w:pPr>
              <w:spacing w:line="240" w:lineRule="auto"/>
              <w:ind w:firstLine="0"/>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 xml:space="preserve">МБОУ «Центр образования» </w:t>
            </w:r>
          </w:p>
        </w:tc>
        <w:tc>
          <w:tcPr>
            <w:tcW w:w="2036" w:type="dxa"/>
            <w:tcBorders>
              <w:top w:val="nil"/>
              <w:left w:val="nil"/>
              <w:bottom w:val="single" w:sz="8" w:space="0" w:color="000000"/>
              <w:right w:val="single" w:sz="8" w:space="0" w:color="000000"/>
            </w:tcBorders>
            <w:vAlign w:val="center"/>
            <w:hideMark/>
          </w:tcPr>
          <w:p w14:paraId="4184038B" w14:textId="77777777" w:rsidR="00902F18" w:rsidRPr="00731FE2" w:rsidRDefault="00902F18" w:rsidP="00902F18">
            <w:pPr>
              <w:spacing w:line="240" w:lineRule="auto"/>
              <w:ind w:firstLine="0"/>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ул. Крылова, 16</w:t>
            </w:r>
          </w:p>
        </w:tc>
        <w:tc>
          <w:tcPr>
            <w:tcW w:w="1224" w:type="dxa"/>
            <w:tcBorders>
              <w:top w:val="nil"/>
              <w:left w:val="nil"/>
              <w:bottom w:val="single" w:sz="8" w:space="0" w:color="000000"/>
              <w:right w:val="single" w:sz="8" w:space="0" w:color="000000"/>
            </w:tcBorders>
            <w:vAlign w:val="center"/>
            <w:hideMark/>
          </w:tcPr>
          <w:p w14:paraId="0088C963"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577</w:t>
            </w:r>
          </w:p>
        </w:tc>
        <w:tc>
          <w:tcPr>
            <w:tcW w:w="1436" w:type="dxa"/>
            <w:tcBorders>
              <w:top w:val="nil"/>
              <w:left w:val="nil"/>
              <w:bottom w:val="single" w:sz="8" w:space="0" w:color="000000"/>
              <w:right w:val="single" w:sz="8" w:space="0" w:color="000000"/>
            </w:tcBorders>
            <w:vAlign w:val="center"/>
            <w:hideMark/>
          </w:tcPr>
          <w:p w14:paraId="1AA27EEF"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419</w:t>
            </w:r>
          </w:p>
        </w:tc>
        <w:tc>
          <w:tcPr>
            <w:tcW w:w="1793" w:type="dxa"/>
            <w:tcBorders>
              <w:top w:val="nil"/>
              <w:left w:val="nil"/>
              <w:bottom w:val="single" w:sz="8" w:space="0" w:color="000000"/>
              <w:right w:val="single" w:sz="8" w:space="0" w:color="000000"/>
            </w:tcBorders>
            <w:vAlign w:val="center"/>
            <w:hideMark/>
          </w:tcPr>
          <w:p w14:paraId="66EC517E"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72,6</w:t>
            </w:r>
          </w:p>
        </w:tc>
      </w:tr>
      <w:tr w:rsidR="00902F18" w:rsidRPr="00731FE2" w14:paraId="2822F8DA" w14:textId="77777777" w:rsidTr="00CA1D45">
        <w:trPr>
          <w:tblCellSpacing w:w="0" w:type="dxa"/>
        </w:trPr>
        <w:tc>
          <w:tcPr>
            <w:tcW w:w="9335" w:type="dxa"/>
            <w:gridSpan w:val="6"/>
            <w:tcBorders>
              <w:top w:val="nil"/>
              <w:left w:val="single" w:sz="8" w:space="0" w:color="000000"/>
              <w:bottom w:val="single" w:sz="8" w:space="0" w:color="000000"/>
              <w:right w:val="single" w:sz="8" w:space="0" w:color="000000"/>
            </w:tcBorders>
            <w:vAlign w:val="center"/>
            <w:hideMark/>
          </w:tcPr>
          <w:p w14:paraId="64C9ADF2"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b/>
                <w:bCs/>
                <w:color w:val="000000"/>
                <w:sz w:val="22"/>
                <w:lang w:eastAsia="ru-RU"/>
              </w:rPr>
              <w:t>Негосударственные образовательные учреждения общего среднего образования</w:t>
            </w:r>
          </w:p>
        </w:tc>
      </w:tr>
      <w:tr w:rsidR="00902F18" w:rsidRPr="00731FE2" w14:paraId="6E2AF278" w14:textId="77777777" w:rsidTr="00CA1D45">
        <w:trPr>
          <w:tblCellSpacing w:w="0" w:type="dxa"/>
        </w:trPr>
        <w:tc>
          <w:tcPr>
            <w:tcW w:w="572" w:type="dxa"/>
            <w:tcBorders>
              <w:top w:val="nil"/>
              <w:left w:val="single" w:sz="8" w:space="0" w:color="000000"/>
              <w:bottom w:val="single" w:sz="8" w:space="0" w:color="000000"/>
              <w:right w:val="single" w:sz="8" w:space="0" w:color="000000"/>
            </w:tcBorders>
            <w:vAlign w:val="center"/>
            <w:hideMark/>
          </w:tcPr>
          <w:p w14:paraId="60B1982A" w14:textId="77777777" w:rsidR="00902F18" w:rsidRPr="00731FE2" w:rsidRDefault="00902F18" w:rsidP="00902F18">
            <w:pPr>
              <w:spacing w:line="240" w:lineRule="auto"/>
              <w:ind w:firstLine="0"/>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16.</w:t>
            </w:r>
          </w:p>
        </w:tc>
        <w:tc>
          <w:tcPr>
            <w:tcW w:w="2274" w:type="dxa"/>
            <w:tcBorders>
              <w:top w:val="nil"/>
              <w:left w:val="nil"/>
              <w:bottom w:val="single" w:sz="8" w:space="0" w:color="000000"/>
              <w:right w:val="single" w:sz="8" w:space="0" w:color="000000"/>
            </w:tcBorders>
            <w:vAlign w:val="center"/>
            <w:hideMark/>
          </w:tcPr>
          <w:p w14:paraId="18275C5A" w14:textId="77777777" w:rsidR="00902F18" w:rsidRPr="00731FE2" w:rsidRDefault="00902F18" w:rsidP="00902F18">
            <w:pPr>
              <w:spacing w:line="240" w:lineRule="auto"/>
              <w:ind w:firstLine="0"/>
              <w:rPr>
                <w:rFonts w:ascii="Times New Roman" w:eastAsia="Times New Roman" w:hAnsi="Times New Roman" w:cs="Times New Roman"/>
                <w:szCs w:val="24"/>
                <w:lang w:eastAsia="ru-RU"/>
              </w:rPr>
            </w:pPr>
            <w:proofErr w:type="gramStart"/>
            <w:r w:rsidRPr="00731FE2">
              <w:rPr>
                <w:rFonts w:ascii="Times New Roman" w:eastAsia="Times New Roman" w:hAnsi="Times New Roman" w:cs="Times New Roman"/>
                <w:color w:val="000000"/>
                <w:sz w:val="22"/>
                <w:lang w:eastAsia="ru-RU"/>
              </w:rPr>
              <w:t>ЧУ</w:t>
            </w:r>
            <w:proofErr w:type="gramEnd"/>
            <w:r w:rsidRPr="00731FE2">
              <w:rPr>
                <w:rFonts w:ascii="Times New Roman" w:eastAsia="Times New Roman" w:hAnsi="Times New Roman" w:cs="Times New Roman"/>
                <w:color w:val="000000"/>
                <w:sz w:val="22"/>
                <w:lang w:eastAsia="ru-RU"/>
              </w:rPr>
              <w:t xml:space="preserve"> ОО «Православная Свято-Никольская классическая гимназия» </w:t>
            </w:r>
          </w:p>
        </w:tc>
        <w:tc>
          <w:tcPr>
            <w:tcW w:w="2036" w:type="dxa"/>
            <w:tcBorders>
              <w:top w:val="nil"/>
              <w:left w:val="nil"/>
              <w:bottom w:val="single" w:sz="8" w:space="0" w:color="000000"/>
              <w:right w:val="single" w:sz="8" w:space="0" w:color="000000"/>
            </w:tcBorders>
            <w:vAlign w:val="center"/>
            <w:hideMark/>
          </w:tcPr>
          <w:p w14:paraId="390E9B0C" w14:textId="77777777" w:rsidR="00902F18" w:rsidRPr="00731FE2" w:rsidRDefault="00902F18" w:rsidP="00902F18">
            <w:pPr>
              <w:spacing w:line="240" w:lineRule="auto"/>
              <w:ind w:firstLine="0"/>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пр. Мира, 19</w:t>
            </w:r>
          </w:p>
        </w:tc>
        <w:tc>
          <w:tcPr>
            <w:tcW w:w="1224" w:type="dxa"/>
            <w:tcBorders>
              <w:top w:val="nil"/>
              <w:left w:val="nil"/>
              <w:bottom w:val="single" w:sz="8" w:space="0" w:color="000000"/>
              <w:right w:val="single" w:sz="8" w:space="0" w:color="000000"/>
            </w:tcBorders>
            <w:vAlign w:val="center"/>
            <w:hideMark/>
          </w:tcPr>
          <w:p w14:paraId="005EF79A"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275</w:t>
            </w:r>
          </w:p>
        </w:tc>
        <w:tc>
          <w:tcPr>
            <w:tcW w:w="1436" w:type="dxa"/>
            <w:tcBorders>
              <w:top w:val="nil"/>
              <w:left w:val="nil"/>
              <w:bottom w:val="single" w:sz="8" w:space="0" w:color="000000"/>
              <w:right w:val="single" w:sz="8" w:space="0" w:color="000000"/>
            </w:tcBorders>
            <w:vAlign w:val="center"/>
            <w:hideMark/>
          </w:tcPr>
          <w:p w14:paraId="564D730F"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253</w:t>
            </w:r>
          </w:p>
        </w:tc>
        <w:tc>
          <w:tcPr>
            <w:tcW w:w="1793" w:type="dxa"/>
            <w:tcBorders>
              <w:top w:val="nil"/>
              <w:left w:val="nil"/>
              <w:bottom w:val="single" w:sz="8" w:space="0" w:color="000000"/>
              <w:right w:val="single" w:sz="8" w:space="0" w:color="000000"/>
            </w:tcBorders>
            <w:vAlign w:val="center"/>
            <w:hideMark/>
          </w:tcPr>
          <w:p w14:paraId="7443F56B"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92,0</w:t>
            </w:r>
          </w:p>
        </w:tc>
      </w:tr>
      <w:tr w:rsidR="00902F18" w:rsidRPr="00731FE2" w14:paraId="24CC491E" w14:textId="77777777" w:rsidTr="00CA1D45">
        <w:trPr>
          <w:tblCellSpacing w:w="0" w:type="dxa"/>
        </w:trPr>
        <w:tc>
          <w:tcPr>
            <w:tcW w:w="572" w:type="dxa"/>
            <w:tcBorders>
              <w:top w:val="nil"/>
              <w:left w:val="single" w:sz="8" w:space="0" w:color="000000"/>
              <w:bottom w:val="single" w:sz="8" w:space="0" w:color="000000"/>
              <w:right w:val="single" w:sz="8" w:space="0" w:color="000000"/>
            </w:tcBorders>
            <w:vAlign w:val="center"/>
            <w:hideMark/>
          </w:tcPr>
          <w:p w14:paraId="00A4D551" w14:textId="77777777" w:rsidR="00902F18" w:rsidRPr="00731FE2" w:rsidRDefault="00902F18" w:rsidP="00902F18">
            <w:pPr>
              <w:spacing w:line="240" w:lineRule="auto"/>
              <w:ind w:firstLine="0"/>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17.</w:t>
            </w:r>
          </w:p>
        </w:tc>
        <w:tc>
          <w:tcPr>
            <w:tcW w:w="2274" w:type="dxa"/>
            <w:tcBorders>
              <w:top w:val="nil"/>
              <w:left w:val="nil"/>
              <w:bottom w:val="single" w:sz="8" w:space="0" w:color="000000"/>
              <w:right w:val="single" w:sz="8" w:space="0" w:color="000000"/>
            </w:tcBorders>
            <w:vAlign w:val="center"/>
            <w:hideMark/>
          </w:tcPr>
          <w:p w14:paraId="4E98314F" w14:textId="77777777" w:rsidR="00902F18" w:rsidRPr="00731FE2" w:rsidRDefault="00902F18" w:rsidP="00902F18">
            <w:pPr>
              <w:spacing w:line="240" w:lineRule="auto"/>
              <w:ind w:firstLine="0"/>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ОУ «Многопрофильный лицей Кисловодского гуманитарно-технического института»</w:t>
            </w:r>
          </w:p>
        </w:tc>
        <w:tc>
          <w:tcPr>
            <w:tcW w:w="2036" w:type="dxa"/>
            <w:tcBorders>
              <w:top w:val="nil"/>
              <w:left w:val="nil"/>
              <w:bottom w:val="single" w:sz="8" w:space="0" w:color="000000"/>
              <w:right w:val="single" w:sz="8" w:space="0" w:color="000000"/>
            </w:tcBorders>
            <w:vAlign w:val="center"/>
            <w:hideMark/>
          </w:tcPr>
          <w:p w14:paraId="3FA875F9" w14:textId="77777777" w:rsidR="00902F18" w:rsidRPr="00731FE2" w:rsidRDefault="00902F18" w:rsidP="00902F18">
            <w:pPr>
              <w:spacing w:line="240" w:lineRule="auto"/>
              <w:ind w:firstLine="0"/>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пр. Победы, 37А</w:t>
            </w:r>
          </w:p>
        </w:tc>
        <w:tc>
          <w:tcPr>
            <w:tcW w:w="1224" w:type="dxa"/>
            <w:tcBorders>
              <w:top w:val="nil"/>
              <w:left w:val="nil"/>
              <w:bottom w:val="single" w:sz="8" w:space="0" w:color="000000"/>
              <w:right w:val="single" w:sz="8" w:space="0" w:color="000000"/>
            </w:tcBorders>
            <w:vAlign w:val="center"/>
            <w:hideMark/>
          </w:tcPr>
          <w:p w14:paraId="3CC2A155"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650</w:t>
            </w:r>
          </w:p>
        </w:tc>
        <w:tc>
          <w:tcPr>
            <w:tcW w:w="1436" w:type="dxa"/>
            <w:tcBorders>
              <w:top w:val="nil"/>
              <w:left w:val="nil"/>
              <w:bottom w:val="single" w:sz="8" w:space="0" w:color="000000"/>
              <w:right w:val="single" w:sz="8" w:space="0" w:color="000000"/>
            </w:tcBorders>
            <w:vAlign w:val="center"/>
            <w:hideMark/>
          </w:tcPr>
          <w:p w14:paraId="11B4057C"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560</w:t>
            </w:r>
          </w:p>
        </w:tc>
        <w:tc>
          <w:tcPr>
            <w:tcW w:w="1793" w:type="dxa"/>
            <w:tcBorders>
              <w:top w:val="nil"/>
              <w:left w:val="nil"/>
              <w:bottom w:val="single" w:sz="8" w:space="0" w:color="000000"/>
              <w:right w:val="single" w:sz="8" w:space="0" w:color="000000"/>
            </w:tcBorders>
            <w:vAlign w:val="center"/>
            <w:hideMark/>
          </w:tcPr>
          <w:p w14:paraId="42432416"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86,2</w:t>
            </w:r>
          </w:p>
        </w:tc>
      </w:tr>
      <w:tr w:rsidR="00CA1D45" w:rsidRPr="00731FE2" w14:paraId="7E293C1B" w14:textId="77777777" w:rsidTr="00CA1D45">
        <w:trPr>
          <w:tblCellSpacing w:w="0" w:type="dxa"/>
        </w:trPr>
        <w:tc>
          <w:tcPr>
            <w:tcW w:w="4882" w:type="dxa"/>
            <w:gridSpan w:val="3"/>
            <w:tcBorders>
              <w:top w:val="nil"/>
              <w:left w:val="single" w:sz="8" w:space="0" w:color="000000"/>
              <w:bottom w:val="single" w:sz="8" w:space="0" w:color="000000"/>
              <w:right w:val="single" w:sz="8" w:space="0" w:color="000000"/>
            </w:tcBorders>
            <w:vAlign w:val="center"/>
            <w:hideMark/>
          </w:tcPr>
          <w:p w14:paraId="4C1DD7AB" w14:textId="77777777" w:rsidR="00CA1D45" w:rsidRPr="00731FE2" w:rsidRDefault="00CA1D45" w:rsidP="00CA1D45">
            <w:pPr>
              <w:spacing w:line="240" w:lineRule="auto"/>
              <w:ind w:firstLine="0"/>
              <w:jc w:val="left"/>
              <w:rPr>
                <w:rFonts w:ascii="Times New Roman" w:eastAsia="Times New Roman" w:hAnsi="Times New Roman" w:cs="Times New Roman"/>
                <w:szCs w:val="24"/>
                <w:lang w:eastAsia="ru-RU"/>
              </w:rPr>
            </w:pPr>
            <w:r w:rsidRPr="00731FE2">
              <w:rPr>
                <w:rFonts w:ascii="Times New Roman" w:eastAsia="Times New Roman" w:hAnsi="Times New Roman" w:cs="Times New Roman"/>
                <w:b/>
                <w:bCs/>
                <w:color w:val="000000"/>
                <w:sz w:val="22"/>
                <w:lang w:eastAsia="ru-RU"/>
              </w:rPr>
              <w:t>Всего по городу-курорту Кисловодску</w:t>
            </w:r>
          </w:p>
        </w:tc>
        <w:tc>
          <w:tcPr>
            <w:tcW w:w="1224" w:type="dxa"/>
            <w:tcBorders>
              <w:top w:val="nil"/>
              <w:left w:val="nil"/>
              <w:bottom w:val="single" w:sz="8" w:space="0" w:color="000000"/>
              <w:right w:val="single" w:sz="8" w:space="0" w:color="000000"/>
            </w:tcBorders>
            <w:vAlign w:val="center"/>
            <w:hideMark/>
          </w:tcPr>
          <w:p w14:paraId="2FE797CF" w14:textId="77777777" w:rsidR="00CA1D45" w:rsidRPr="00731FE2" w:rsidRDefault="00CA1D45"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b/>
                <w:bCs/>
                <w:color w:val="000000"/>
                <w:sz w:val="22"/>
                <w:lang w:eastAsia="ru-RU"/>
              </w:rPr>
              <w:t>9504</w:t>
            </w:r>
          </w:p>
        </w:tc>
        <w:tc>
          <w:tcPr>
            <w:tcW w:w="1436" w:type="dxa"/>
            <w:tcBorders>
              <w:top w:val="nil"/>
              <w:left w:val="nil"/>
              <w:bottom w:val="single" w:sz="8" w:space="0" w:color="000000"/>
              <w:right w:val="single" w:sz="8" w:space="0" w:color="000000"/>
            </w:tcBorders>
            <w:vAlign w:val="center"/>
            <w:hideMark/>
          </w:tcPr>
          <w:p w14:paraId="62B7AE1F" w14:textId="77777777" w:rsidR="00CA1D45" w:rsidRPr="00731FE2" w:rsidRDefault="00CA1D45"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b/>
                <w:bCs/>
                <w:color w:val="000000"/>
                <w:sz w:val="22"/>
                <w:lang w:eastAsia="ru-RU"/>
              </w:rPr>
              <w:t>10805</w:t>
            </w:r>
          </w:p>
        </w:tc>
        <w:tc>
          <w:tcPr>
            <w:tcW w:w="1793" w:type="dxa"/>
            <w:tcBorders>
              <w:top w:val="nil"/>
              <w:left w:val="nil"/>
              <w:bottom w:val="single" w:sz="8" w:space="0" w:color="000000"/>
              <w:right w:val="single" w:sz="8" w:space="0" w:color="000000"/>
            </w:tcBorders>
            <w:vAlign w:val="center"/>
            <w:hideMark/>
          </w:tcPr>
          <w:p w14:paraId="3B9FD7DE" w14:textId="77777777" w:rsidR="00CA1D45" w:rsidRPr="00731FE2" w:rsidRDefault="00CA1D45"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b/>
                <w:bCs/>
                <w:color w:val="000000"/>
                <w:sz w:val="22"/>
                <w:lang w:eastAsia="ru-RU"/>
              </w:rPr>
              <w:t>113,7</w:t>
            </w:r>
          </w:p>
        </w:tc>
      </w:tr>
    </w:tbl>
    <w:p w14:paraId="0EF3DD8F" w14:textId="77777777" w:rsidR="00902F18" w:rsidRPr="00731FE2" w:rsidRDefault="00902F18" w:rsidP="00902F18">
      <w:pPr>
        <w:spacing w:line="65" w:lineRule="atLeast"/>
        <w:rPr>
          <w:rFonts w:ascii="Times New Roman" w:eastAsia="Times New Roman" w:hAnsi="Times New Roman" w:cs="Times New Roman"/>
          <w:szCs w:val="24"/>
          <w:lang w:eastAsia="ru-RU"/>
        </w:rPr>
      </w:pPr>
    </w:p>
    <w:p w14:paraId="3C877344" w14:textId="77777777" w:rsidR="00902F18" w:rsidRPr="00731FE2" w:rsidRDefault="00902F18" w:rsidP="00CA1D45">
      <w:pP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Cs w:val="24"/>
          <w:lang w:eastAsia="ru-RU"/>
        </w:rPr>
        <w:t>Как видно, в целом по городскому округу наблюдается дефицит в количестве мест в общеобразовательных учреждениях – наполняемость составляет 113,7% от нормативной мощности.</w:t>
      </w:r>
    </w:p>
    <w:p w14:paraId="335DDA03" w14:textId="77777777" w:rsidR="00902F18" w:rsidRPr="00731FE2" w:rsidRDefault="00902F18" w:rsidP="00CA1D45">
      <w:pPr>
        <w:rPr>
          <w:rFonts w:ascii="Times New Roman" w:eastAsia="Times New Roman" w:hAnsi="Times New Roman" w:cs="Times New Roman"/>
          <w:szCs w:val="24"/>
          <w:lang w:eastAsia="ru-RU"/>
        </w:rPr>
      </w:pPr>
      <w:r w:rsidRPr="00731FE2">
        <w:rPr>
          <w:rFonts w:ascii="Times New Roman" w:eastAsia="Times New Roman" w:hAnsi="Times New Roman" w:cs="Times New Roman"/>
          <w:b/>
          <w:bCs/>
          <w:color w:val="000000"/>
          <w:szCs w:val="24"/>
          <w:lang w:eastAsia="ru-RU"/>
        </w:rPr>
        <w:t xml:space="preserve">Однако обращает на себя внимание тот факт, что в 8 из 17 учреждений нормативная загруженность превышена. Причем в двух учреждениях такое превышение в 2 раза. Это МБОУ СОШ №7, МБОУ Лицей №16. Проблему </w:t>
      </w:r>
      <w:r w:rsidRPr="00731FE2">
        <w:rPr>
          <w:rFonts w:ascii="Times New Roman" w:eastAsia="Times New Roman" w:hAnsi="Times New Roman" w:cs="Times New Roman"/>
          <w:b/>
          <w:bCs/>
          <w:color w:val="000000"/>
          <w:szCs w:val="24"/>
          <w:lang w:eastAsia="ru-RU"/>
        </w:rPr>
        <w:lastRenderedPageBreak/>
        <w:t>обеспеченности местами в общеобразовательных учреждениях</w:t>
      </w:r>
      <w:r w:rsidR="00CA1D45" w:rsidRPr="00731FE2">
        <w:rPr>
          <w:rFonts w:ascii="Times New Roman" w:eastAsia="Times New Roman" w:hAnsi="Times New Roman" w:cs="Times New Roman"/>
          <w:b/>
          <w:bCs/>
          <w:color w:val="000000"/>
          <w:szCs w:val="24"/>
          <w:lang w:eastAsia="ru-RU"/>
        </w:rPr>
        <w:t>,</w:t>
      </w:r>
      <w:r w:rsidRPr="00731FE2">
        <w:rPr>
          <w:rFonts w:ascii="Times New Roman" w:eastAsia="Times New Roman" w:hAnsi="Times New Roman" w:cs="Times New Roman"/>
          <w:b/>
          <w:bCs/>
          <w:color w:val="000000"/>
          <w:szCs w:val="24"/>
          <w:lang w:eastAsia="ru-RU"/>
        </w:rPr>
        <w:t xml:space="preserve"> можно считать достаточно острой.</w:t>
      </w:r>
    </w:p>
    <w:p w14:paraId="3281648E" w14:textId="77777777" w:rsidR="00902F18" w:rsidRPr="00731FE2" w:rsidRDefault="00902F18" w:rsidP="00CA1D45">
      <w:pPr>
        <w:rPr>
          <w:rFonts w:ascii="Times New Roman" w:eastAsia="Times New Roman" w:hAnsi="Times New Roman" w:cs="Times New Roman"/>
          <w:szCs w:val="24"/>
          <w:lang w:eastAsia="ru-RU"/>
        </w:rPr>
      </w:pPr>
      <w:r w:rsidRPr="00731FE2">
        <w:rPr>
          <w:rFonts w:ascii="Times New Roman" w:eastAsia="Times New Roman" w:hAnsi="Times New Roman" w:cs="Times New Roman"/>
          <w:b/>
          <w:color w:val="000000"/>
          <w:szCs w:val="24"/>
          <w:lang w:eastAsia="ru-RU"/>
        </w:rPr>
        <w:t xml:space="preserve">Дополнительное образование. </w:t>
      </w:r>
      <w:r w:rsidRPr="00731FE2">
        <w:rPr>
          <w:rFonts w:ascii="Times New Roman" w:eastAsia="Times New Roman" w:hAnsi="Times New Roman" w:cs="Times New Roman"/>
          <w:color w:val="000000"/>
          <w:szCs w:val="24"/>
          <w:lang w:eastAsia="ru-RU"/>
        </w:rPr>
        <w:t xml:space="preserve">Система дополнительного образования представлена 3 образовательными учреждениями, сведения о которых приведены в таблице. </w:t>
      </w:r>
    </w:p>
    <w:p w14:paraId="28FB6FA8" w14:textId="77777777" w:rsidR="00902F18" w:rsidRPr="00731FE2" w:rsidRDefault="00902F18" w:rsidP="00CA1D45">
      <w:pPr>
        <w:keepNext/>
        <w:ind w:firstLine="0"/>
        <w:rPr>
          <w:rFonts w:ascii="Times New Roman" w:eastAsia="Times New Roman" w:hAnsi="Times New Roman" w:cs="Times New Roman"/>
          <w:szCs w:val="24"/>
          <w:lang w:eastAsia="ru-RU"/>
        </w:rPr>
      </w:pPr>
    </w:p>
    <w:p w14:paraId="50F7523A" w14:textId="77777777" w:rsidR="00902F18" w:rsidRPr="00731FE2" w:rsidRDefault="009B6BDD" w:rsidP="00902F18">
      <w:pPr>
        <w:keepNext/>
        <w:spacing w:line="240" w:lineRule="auto"/>
        <w:ind w:firstLine="0"/>
        <w:rPr>
          <w:rFonts w:ascii="Times New Roman" w:eastAsia="Times New Roman" w:hAnsi="Times New Roman" w:cs="Times New Roman"/>
          <w:szCs w:val="24"/>
          <w:lang w:eastAsia="ru-RU"/>
        </w:rPr>
      </w:pPr>
      <w:r w:rsidRPr="00731FE2">
        <w:rPr>
          <w:rFonts w:ascii="Times New Roman" w:eastAsia="Times New Roman" w:hAnsi="Times New Roman" w:cs="Times New Roman"/>
          <w:b/>
          <w:bCs/>
          <w:color w:val="000000"/>
          <w:szCs w:val="24"/>
          <w:lang w:eastAsia="ru-RU"/>
        </w:rPr>
        <w:t xml:space="preserve">Таблица </w:t>
      </w:r>
      <w:r w:rsidRPr="00731FE2">
        <w:rPr>
          <w:rFonts w:ascii="Times New Roman" w:eastAsia="Times New Roman" w:hAnsi="Times New Roman" w:cs="Times New Roman"/>
          <w:b/>
          <w:bCs/>
          <w:color w:val="000000"/>
          <w:szCs w:val="24"/>
          <w:lang w:eastAsia="ru-RU"/>
        </w:rPr>
        <w:fldChar w:fldCharType="begin"/>
      </w:r>
      <w:r w:rsidRPr="00731FE2">
        <w:rPr>
          <w:rFonts w:ascii="Times New Roman" w:eastAsia="Times New Roman" w:hAnsi="Times New Roman" w:cs="Times New Roman"/>
          <w:b/>
          <w:bCs/>
          <w:color w:val="000000"/>
          <w:szCs w:val="24"/>
          <w:lang w:eastAsia="ru-RU"/>
        </w:rPr>
        <w:instrText xml:space="preserve"> SEQ Таблица \* Arabic </w:instrText>
      </w:r>
      <w:r w:rsidRPr="00731FE2">
        <w:rPr>
          <w:rFonts w:ascii="Times New Roman" w:eastAsia="Times New Roman" w:hAnsi="Times New Roman" w:cs="Times New Roman"/>
          <w:b/>
          <w:bCs/>
          <w:color w:val="000000"/>
          <w:szCs w:val="24"/>
          <w:lang w:eastAsia="ru-RU"/>
        </w:rPr>
        <w:fldChar w:fldCharType="separate"/>
      </w:r>
      <w:r w:rsidR="00C50915" w:rsidRPr="00731FE2">
        <w:rPr>
          <w:rFonts w:ascii="Times New Roman" w:eastAsia="Times New Roman" w:hAnsi="Times New Roman" w:cs="Times New Roman"/>
          <w:b/>
          <w:bCs/>
          <w:noProof/>
          <w:color w:val="000000"/>
          <w:szCs w:val="24"/>
          <w:lang w:eastAsia="ru-RU"/>
        </w:rPr>
        <w:t>14</w:t>
      </w:r>
      <w:r w:rsidRPr="00731FE2">
        <w:rPr>
          <w:rFonts w:ascii="Times New Roman" w:eastAsia="Times New Roman" w:hAnsi="Times New Roman" w:cs="Times New Roman"/>
          <w:b/>
          <w:bCs/>
          <w:color w:val="000000"/>
          <w:szCs w:val="24"/>
          <w:lang w:eastAsia="ru-RU"/>
        </w:rPr>
        <w:fldChar w:fldCharType="end"/>
      </w:r>
      <w:r w:rsidRPr="00731FE2">
        <w:rPr>
          <w:rFonts w:ascii="Times New Roman" w:eastAsia="Times New Roman" w:hAnsi="Times New Roman" w:cs="Times New Roman"/>
          <w:b/>
          <w:bCs/>
          <w:color w:val="000000"/>
          <w:szCs w:val="24"/>
          <w:lang w:eastAsia="ru-RU"/>
        </w:rPr>
        <w:t xml:space="preserve"> – </w:t>
      </w:r>
      <w:r w:rsidR="00902F18" w:rsidRPr="00731FE2">
        <w:rPr>
          <w:rFonts w:ascii="Times New Roman" w:eastAsia="Times New Roman" w:hAnsi="Times New Roman" w:cs="Times New Roman"/>
          <w:b/>
          <w:bCs/>
          <w:color w:val="000000"/>
          <w:szCs w:val="24"/>
          <w:lang w:eastAsia="ru-RU"/>
        </w:rPr>
        <w:t>Сведения об учреждениях дополнительного образования города-курорта Кисловодска</w:t>
      </w:r>
    </w:p>
    <w:tbl>
      <w:tblPr>
        <w:tblW w:w="0" w:type="auto"/>
        <w:tblCellSpacing w:w="0" w:type="dxa"/>
        <w:tblLook w:val="04A0" w:firstRow="1" w:lastRow="0" w:firstColumn="1" w:lastColumn="0" w:noHBand="0" w:noVBand="1"/>
      </w:tblPr>
      <w:tblGrid>
        <w:gridCol w:w="3113"/>
        <w:gridCol w:w="3111"/>
        <w:gridCol w:w="3111"/>
      </w:tblGrid>
      <w:tr w:rsidR="00902F18" w:rsidRPr="00731FE2" w14:paraId="2EB79745" w14:textId="77777777" w:rsidTr="00CA1D45">
        <w:trPr>
          <w:tblCellSpacing w:w="0" w:type="dxa"/>
        </w:trPr>
        <w:tc>
          <w:tcPr>
            <w:tcW w:w="3113" w:type="dxa"/>
            <w:tcBorders>
              <w:top w:val="single" w:sz="8" w:space="0" w:color="000000"/>
              <w:left w:val="single" w:sz="8" w:space="0" w:color="000000"/>
              <w:bottom w:val="single" w:sz="8" w:space="0" w:color="000000"/>
              <w:right w:val="single" w:sz="8" w:space="0" w:color="000000"/>
            </w:tcBorders>
            <w:vAlign w:val="center"/>
            <w:hideMark/>
          </w:tcPr>
          <w:p w14:paraId="3B1A5EE0"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b/>
                <w:bCs/>
                <w:color w:val="000000"/>
                <w:sz w:val="22"/>
                <w:lang w:eastAsia="ru-RU"/>
              </w:rPr>
              <w:t>Наименование учреждения</w:t>
            </w:r>
          </w:p>
        </w:tc>
        <w:tc>
          <w:tcPr>
            <w:tcW w:w="3111" w:type="dxa"/>
            <w:tcBorders>
              <w:top w:val="single" w:sz="8" w:space="0" w:color="000000"/>
              <w:left w:val="nil"/>
              <w:bottom w:val="single" w:sz="8" w:space="0" w:color="000000"/>
              <w:right w:val="single" w:sz="8" w:space="0" w:color="000000"/>
            </w:tcBorders>
            <w:vAlign w:val="center"/>
            <w:hideMark/>
          </w:tcPr>
          <w:p w14:paraId="7DB68F1D"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b/>
                <w:bCs/>
                <w:color w:val="000000"/>
                <w:sz w:val="22"/>
                <w:lang w:eastAsia="ru-RU"/>
              </w:rPr>
              <w:t>Адрес</w:t>
            </w:r>
          </w:p>
        </w:tc>
        <w:tc>
          <w:tcPr>
            <w:tcW w:w="3111" w:type="dxa"/>
            <w:tcBorders>
              <w:top w:val="single" w:sz="8" w:space="0" w:color="000000"/>
              <w:left w:val="nil"/>
              <w:bottom w:val="single" w:sz="8" w:space="0" w:color="000000"/>
              <w:right w:val="single" w:sz="8" w:space="0" w:color="000000"/>
            </w:tcBorders>
            <w:vAlign w:val="center"/>
            <w:hideMark/>
          </w:tcPr>
          <w:p w14:paraId="5F9D4046"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b/>
                <w:bCs/>
                <w:color w:val="000000"/>
                <w:sz w:val="22"/>
                <w:lang w:eastAsia="ru-RU"/>
              </w:rPr>
              <w:t>Количество детей по факту</w:t>
            </w:r>
          </w:p>
        </w:tc>
      </w:tr>
      <w:tr w:rsidR="00902F18" w:rsidRPr="00731FE2" w14:paraId="25339108" w14:textId="77777777" w:rsidTr="00CA1D45">
        <w:trPr>
          <w:tblCellSpacing w:w="0" w:type="dxa"/>
        </w:trPr>
        <w:tc>
          <w:tcPr>
            <w:tcW w:w="3113" w:type="dxa"/>
            <w:tcBorders>
              <w:top w:val="nil"/>
              <w:left w:val="single" w:sz="8" w:space="0" w:color="000000"/>
              <w:bottom w:val="single" w:sz="8" w:space="0" w:color="000000"/>
              <w:right w:val="single" w:sz="8" w:space="0" w:color="000000"/>
            </w:tcBorders>
            <w:vAlign w:val="center"/>
            <w:hideMark/>
          </w:tcPr>
          <w:p w14:paraId="543303BD" w14:textId="77777777" w:rsidR="00902F18" w:rsidRPr="00731FE2" w:rsidRDefault="00902F18" w:rsidP="00902F18">
            <w:pPr>
              <w:spacing w:line="240" w:lineRule="auto"/>
              <w:ind w:firstLine="0"/>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МБУ ДО «ДЮСШ №1»</w:t>
            </w:r>
          </w:p>
        </w:tc>
        <w:tc>
          <w:tcPr>
            <w:tcW w:w="3111" w:type="dxa"/>
            <w:tcBorders>
              <w:top w:val="nil"/>
              <w:left w:val="nil"/>
              <w:bottom w:val="single" w:sz="8" w:space="0" w:color="000000"/>
              <w:right w:val="single" w:sz="8" w:space="0" w:color="000000"/>
            </w:tcBorders>
            <w:vAlign w:val="center"/>
            <w:hideMark/>
          </w:tcPr>
          <w:p w14:paraId="4423430D" w14:textId="77777777" w:rsidR="00902F18" w:rsidRPr="00731FE2" w:rsidRDefault="00902F18" w:rsidP="00902F18">
            <w:pPr>
              <w:spacing w:line="240" w:lineRule="auto"/>
              <w:ind w:firstLine="0"/>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 xml:space="preserve">ул. Кирова, 19 </w:t>
            </w:r>
          </w:p>
        </w:tc>
        <w:tc>
          <w:tcPr>
            <w:tcW w:w="3111" w:type="dxa"/>
            <w:tcBorders>
              <w:top w:val="nil"/>
              <w:left w:val="nil"/>
              <w:bottom w:val="single" w:sz="8" w:space="0" w:color="000000"/>
              <w:right w:val="single" w:sz="8" w:space="0" w:color="000000"/>
            </w:tcBorders>
            <w:vAlign w:val="center"/>
            <w:hideMark/>
          </w:tcPr>
          <w:p w14:paraId="17D017F3"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1521</w:t>
            </w:r>
          </w:p>
        </w:tc>
      </w:tr>
      <w:tr w:rsidR="00902F18" w:rsidRPr="00731FE2" w14:paraId="29201ED2" w14:textId="77777777" w:rsidTr="00CA1D45">
        <w:trPr>
          <w:tblCellSpacing w:w="0" w:type="dxa"/>
        </w:trPr>
        <w:tc>
          <w:tcPr>
            <w:tcW w:w="3113" w:type="dxa"/>
            <w:tcBorders>
              <w:top w:val="nil"/>
              <w:left w:val="single" w:sz="8" w:space="0" w:color="000000"/>
              <w:bottom w:val="single" w:sz="8" w:space="0" w:color="000000"/>
              <w:right w:val="single" w:sz="8" w:space="0" w:color="000000"/>
            </w:tcBorders>
            <w:vAlign w:val="center"/>
            <w:hideMark/>
          </w:tcPr>
          <w:p w14:paraId="464FABE2" w14:textId="77777777" w:rsidR="00902F18" w:rsidRPr="00731FE2" w:rsidRDefault="00902F18" w:rsidP="00902F18">
            <w:pPr>
              <w:spacing w:line="240" w:lineRule="auto"/>
              <w:ind w:firstLine="0"/>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МКУ ДО СЮН</w:t>
            </w:r>
          </w:p>
        </w:tc>
        <w:tc>
          <w:tcPr>
            <w:tcW w:w="3111" w:type="dxa"/>
            <w:tcBorders>
              <w:top w:val="nil"/>
              <w:left w:val="nil"/>
              <w:bottom w:val="single" w:sz="8" w:space="0" w:color="000000"/>
              <w:right w:val="single" w:sz="8" w:space="0" w:color="000000"/>
            </w:tcBorders>
            <w:vAlign w:val="center"/>
            <w:hideMark/>
          </w:tcPr>
          <w:p w14:paraId="7981DDFB" w14:textId="77777777" w:rsidR="00902F18" w:rsidRPr="00731FE2" w:rsidRDefault="00902F18" w:rsidP="00902F18">
            <w:pPr>
              <w:spacing w:line="240" w:lineRule="auto"/>
              <w:ind w:firstLine="0"/>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ул. Набережная, 43А</w:t>
            </w:r>
          </w:p>
        </w:tc>
        <w:tc>
          <w:tcPr>
            <w:tcW w:w="3111" w:type="dxa"/>
            <w:tcBorders>
              <w:top w:val="nil"/>
              <w:left w:val="nil"/>
              <w:bottom w:val="single" w:sz="8" w:space="0" w:color="000000"/>
              <w:right w:val="single" w:sz="8" w:space="0" w:color="000000"/>
            </w:tcBorders>
            <w:vAlign w:val="center"/>
            <w:hideMark/>
          </w:tcPr>
          <w:p w14:paraId="062DE112"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400</w:t>
            </w:r>
          </w:p>
        </w:tc>
      </w:tr>
      <w:tr w:rsidR="00902F18" w:rsidRPr="00731FE2" w14:paraId="70F8644C" w14:textId="77777777" w:rsidTr="00CA1D45">
        <w:trPr>
          <w:tblCellSpacing w:w="0" w:type="dxa"/>
        </w:trPr>
        <w:tc>
          <w:tcPr>
            <w:tcW w:w="3113" w:type="dxa"/>
            <w:tcBorders>
              <w:top w:val="nil"/>
              <w:left w:val="single" w:sz="8" w:space="0" w:color="000000"/>
              <w:bottom w:val="single" w:sz="8" w:space="0" w:color="000000"/>
              <w:right w:val="single" w:sz="8" w:space="0" w:color="000000"/>
            </w:tcBorders>
            <w:vAlign w:val="center"/>
            <w:hideMark/>
          </w:tcPr>
          <w:p w14:paraId="504B295E" w14:textId="77777777" w:rsidR="00902F18" w:rsidRPr="00731FE2" w:rsidRDefault="00902F18" w:rsidP="00902F18">
            <w:pPr>
              <w:spacing w:line="240" w:lineRule="auto"/>
              <w:ind w:firstLine="0"/>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МБОУ ДОД «Академия талантов»</w:t>
            </w:r>
          </w:p>
        </w:tc>
        <w:tc>
          <w:tcPr>
            <w:tcW w:w="3111" w:type="dxa"/>
            <w:tcBorders>
              <w:top w:val="nil"/>
              <w:left w:val="nil"/>
              <w:bottom w:val="single" w:sz="8" w:space="0" w:color="000000"/>
              <w:right w:val="single" w:sz="8" w:space="0" w:color="000000"/>
            </w:tcBorders>
            <w:vAlign w:val="center"/>
            <w:hideMark/>
          </w:tcPr>
          <w:p w14:paraId="6E7ED523" w14:textId="77777777" w:rsidR="00902F18" w:rsidRPr="00731FE2" w:rsidRDefault="00902F18" w:rsidP="00902F18">
            <w:pPr>
              <w:spacing w:line="240" w:lineRule="auto"/>
              <w:ind w:firstLine="0"/>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ул. Мира, 23</w:t>
            </w:r>
          </w:p>
        </w:tc>
        <w:tc>
          <w:tcPr>
            <w:tcW w:w="3111" w:type="dxa"/>
            <w:tcBorders>
              <w:top w:val="nil"/>
              <w:left w:val="nil"/>
              <w:bottom w:val="single" w:sz="8" w:space="0" w:color="000000"/>
              <w:right w:val="single" w:sz="8" w:space="0" w:color="000000"/>
            </w:tcBorders>
            <w:vAlign w:val="center"/>
            <w:hideMark/>
          </w:tcPr>
          <w:p w14:paraId="12C37F54"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366</w:t>
            </w:r>
          </w:p>
        </w:tc>
      </w:tr>
      <w:tr w:rsidR="00CA1D45" w:rsidRPr="00731FE2" w14:paraId="5EF934C8" w14:textId="77777777" w:rsidTr="00CA1D45">
        <w:trPr>
          <w:tblCellSpacing w:w="0" w:type="dxa"/>
        </w:trPr>
        <w:tc>
          <w:tcPr>
            <w:tcW w:w="6224" w:type="dxa"/>
            <w:gridSpan w:val="2"/>
            <w:tcBorders>
              <w:top w:val="nil"/>
              <w:left w:val="single" w:sz="8" w:space="0" w:color="000000"/>
              <w:bottom w:val="single" w:sz="8" w:space="0" w:color="000000"/>
              <w:right w:val="single" w:sz="8" w:space="0" w:color="000000"/>
            </w:tcBorders>
            <w:vAlign w:val="center"/>
            <w:hideMark/>
          </w:tcPr>
          <w:p w14:paraId="042CACF3" w14:textId="77777777" w:rsidR="00CA1D45" w:rsidRPr="00731FE2" w:rsidRDefault="00CA1D45" w:rsidP="00CA1D45">
            <w:pPr>
              <w:spacing w:line="240" w:lineRule="auto"/>
              <w:ind w:firstLine="0"/>
              <w:rPr>
                <w:rFonts w:ascii="Times New Roman" w:eastAsia="Times New Roman" w:hAnsi="Times New Roman" w:cs="Times New Roman"/>
                <w:szCs w:val="24"/>
                <w:lang w:eastAsia="ru-RU"/>
              </w:rPr>
            </w:pPr>
            <w:r w:rsidRPr="00731FE2">
              <w:rPr>
                <w:rFonts w:ascii="Times New Roman" w:eastAsia="Times New Roman" w:hAnsi="Times New Roman" w:cs="Times New Roman"/>
                <w:b/>
                <w:bCs/>
                <w:color w:val="000000"/>
                <w:sz w:val="22"/>
                <w:lang w:eastAsia="ru-RU"/>
              </w:rPr>
              <w:t>Всего по городскому округу</w:t>
            </w:r>
          </w:p>
        </w:tc>
        <w:tc>
          <w:tcPr>
            <w:tcW w:w="3111" w:type="dxa"/>
            <w:tcBorders>
              <w:top w:val="nil"/>
              <w:left w:val="nil"/>
              <w:bottom w:val="single" w:sz="8" w:space="0" w:color="000000"/>
              <w:right w:val="single" w:sz="8" w:space="0" w:color="000000"/>
            </w:tcBorders>
            <w:vAlign w:val="center"/>
            <w:hideMark/>
          </w:tcPr>
          <w:p w14:paraId="40F3AB23" w14:textId="77777777" w:rsidR="00CA1D45" w:rsidRPr="00731FE2" w:rsidRDefault="00CA1D45"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b/>
                <w:bCs/>
                <w:color w:val="000000"/>
                <w:sz w:val="22"/>
                <w:lang w:eastAsia="ru-RU"/>
              </w:rPr>
              <w:t>2631</w:t>
            </w:r>
          </w:p>
        </w:tc>
      </w:tr>
    </w:tbl>
    <w:p w14:paraId="196AB90C" w14:textId="77777777" w:rsidR="00902F18" w:rsidRPr="00731FE2" w:rsidRDefault="00902F18" w:rsidP="00902F18">
      <w:pPr>
        <w:spacing w:line="253" w:lineRule="atLeast"/>
        <w:rPr>
          <w:rFonts w:ascii="Times New Roman" w:eastAsia="Times New Roman" w:hAnsi="Times New Roman" w:cs="Times New Roman"/>
          <w:szCs w:val="24"/>
          <w:lang w:eastAsia="ru-RU"/>
        </w:rPr>
      </w:pPr>
    </w:p>
    <w:p w14:paraId="2E49B36A" w14:textId="77777777" w:rsidR="00902F18" w:rsidRPr="00731FE2" w:rsidRDefault="00902F18" w:rsidP="00CA1D45">
      <w:pP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Cs w:val="24"/>
          <w:lang w:eastAsia="ru-RU"/>
        </w:rPr>
        <w:t xml:space="preserve">Учреждениями дополнительного образования города-курорта ведется работа по следующим направлениям: </w:t>
      </w:r>
      <w:proofErr w:type="gramStart"/>
      <w:r w:rsidRPr="00731FE2">
        <w:rPr>
          <w:rFonts w:ascii="Times New Roman" w:eastAsia="Times New Roman" w:hAnsi="Times New Roman" w:cs="Times New Roman"/>
          <w:color w:val="000000"/>
          <w:szCs w:val="24"/>
          <w:lang w:eastAsia="ru-RU"/>
        </w:rPr>
        <w:t>творческое</w:t>
      </w:r>
      <w:proofErr w:type="gramEnd"/>
      <w:r w:rsidRPr="00731FE2">
        <w:rPr>
          <w:rFonts w:ascii="Times New Roman" w:eastAsia="Times New Roman" w:hAnsi="Times New Roman" w:cs="Times New Roman"/>
          <w:color w:val="000000"/>
          <w:szCs w:val="24"/>
          <w:lang w:eastAsia="ru-RU"/>
        </w:rPr>
        <w:t>, гуманитарное, физкультурно-спортивное, эколого-натуралистическое, военно-патриотическое.</w:t>
      </w:r>
    </w:p>
    <w:p w14:paraId="5C74A9DF" w14:textId="77777777" w:rsidR="00CA1D45" w:rsidRPr="00731FE2" w:rsidRDefault="00902F18" w:rsidP="00CA1D45">
      <w:pPr>
        <w:rPr>
          <w:rFonts w:ascii="Times New Roman" w:eastAsia="Times New Roman" w:hAnsi="Times New Roman" w:cs="Times New Roman"/>
          <w:color w:val="000000"/>
          <w:szCs w:val="24"/>
          <w:lang w:eastAsia="ru-RU"/>
        </w:rPr>
      </w:pPr>
      <w:r w:rsidRPr="00731FE2">
        <w:rPr>
          <w:rFonts w:ascii="Times New Roman" w:eastAsia="Times New Roman" w:hAnsi="Times New Roman" w:cs="Times New Roman"/>
          <w:color w:val="000000"/>
          <w:szCs w:val="24"/>
          <w:lang w:eastAsia="ru-RU"/>
        </w:rPr>
        <w:t>Среднее специальное и высшее образование представляет сеть колледжей и техникумов (</w:t>
      </w:r>
      <w:proofErr w:type="gramStart"/>
      <w:r w:rsidRPr="00731FE2">
        <w:rPr>
          <w:rFonts w:ascii="Times New Roman" w:eastAsia="Times New Roman" w:hAnsi="Times New Roman" w:cs="Times New Roman"/>
          <w:color w:val="000000"/>
          <w:szCs w:val="24"/>
          <w:lang w:eastAsia="ru-RU"/>
        </w:rPr>
        <w:t>многопрофильный</w:t>
      </w:r>
      <w:proofErr w:type="gramEnd"/>
      <w:r w:rsidRPr="00731FE2">
        <w:rPr>
          <w:rFonts w:ascii="Times New Roman" w:eastAsia="Times New Roman" w:hAnsi="Times New Roman" w:cs="Times New Roman"/>
          <w:color w:val="000000"/>
          <w:szCs w:val="24"/>
          <w:lang w:eastAsia="ru-RU"/>
        </w:rPr>
        <w:t xml:space="preserve">, финансово-экономический, медицинский, олимпийского резерва). </w:t>
      </w:r>
    </w:p>
    <w:p w14:paraId="02A5AAFB" w14:textId="77777777" w:rsidR="00902F18" w:rsidRPr="00731FE2" w:rsidRDefault="00902F18" w:rsidP="00CA1D45">
      <w:pP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Cs w:val="24"/>
          <w:lang w:eastAsia="ru-RU"/>
        </w:rPr>
        <w:t xml:space="preserve">Кисловодский государственный многопрофильный техникум осуществляет многопрофильную, многоуровневую подготовку специалистов начального и среднего профессионального образования по специальностям: технология продукции общественного питания, строительство и эксплуатация зданий и сооружений, гостиничный сервис, туризм, мастер отделочных строительных работ, сварщик (ручной и частично механизированной сварки (наплавки)), автомеханик, овощевод защищенного грунта, повар, кондитер, тракторист-машинист сельскохозяйственного производства. </w:t>
      </w:r>
    </w:p>
    <w:p w14:paraId="289CFFEE" w14:textId="77777777" w:rsidR="00902F18" w:rsidRPr="00731FE2" w:rsidRDefault="00902F18" w:rsidP="00CA1D45">
      <w:pP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Cs w:val="24"/>
          <w:lang w:eastAsia="ru-RU"/>
        </w:rPr>
        <w:t>Финансово-экономический колледж «РГЭУ (РИНХ)» осуществляет подготовку студентов по специальностям: экономика и бухгалтерский учет (по отраслям), коммерция (по отраслям), финансы, банковское дело, право и организация социального обеспечения. </w:t>
      </w:r>
    </w:p>
    <w:p w14:paraId="2A130F67" w14:textId="77777777" w:rsidR="00902F18" w:rsidRPr="00731FE2" w:rsidRDefault="00902F18" w:rsidP="00CA1D45">
      <w:pP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Cs w:val="24"/>
          <w:lang w:eastAsia="ru-RU"/>
        </w:rPr>
        <w:t xml:space="preserve">Государственным бюджетным профессиональным образовательным учреждением Ставропольского края «Кисловодский медицинский колледж» осуществляется подготовка по следующим образовательным программам: сестринское дело, лечебное дело, стоматология ортопедическая, акушерское дело. </w:t>
      </w:r>
    </w:p>
    <w:p w14:paraId="3842A6E7" w14:textId="77777777" w:rsidR="00902F18" w:rsidRPr="00731FE2" w:rsidRDefault="00902F18" w:rsidP="00CA1D45">
      <w:pP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Cs w:val="24"/>
          <w:lang w:eastAsia="ru-RU"/>
        </w:rPr>
        <w:t xml:space="preserve">Кисловодское государственное училище (техникум) олимпийского резерва осуществляет подготовку по специальности «Физическая культура», квалификация «Педагог по физической культуре и спорту». </w:t>
      </w:r>
    </w:p>
    <w:p w14:paraId="7009C681" w14:textId="77777777" w:rsidR="00902F18" w:rsidRPr="00731FE2" w:rsidRDefault="00902F18" w:rsidP="00CA1D45">
      <w:pP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Cs w:val="24"/>
          <w:lang w:eastAsia="ru-RU"/>
        </w:rPr>
        <w:t>Филиал федерального государственного бюджетного образовательного учреждения высшего образования «Ростовский государственный экономический университет (РИНХ)», расположенный в г. Кисловодске, ул. Тельмана, 29 готовит студентов по направлениям подготовки: «Прикладная информатика», «Экономика», «Юриспруденция».</w:t>
      </w:r>
    </w:p>
    <w:p w14:paraId="421133DB" w14:textId="77777777" w:rsidR="00902F18" w:rsidRPr="00731FE2" w:rsidRDefault="00902F18" w:rsidP="00CA1D45">
      <w:pP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Cs w:val="24"/>
          <w:lang w:eastAsia="ru-RU"/>
        </w:rPr>
        <w:t>Кисловодский гуманитарно-технический институт обучает по 5 образовательным программам: «Экономика», «Экономика и управление народным хозяйством», «Юриспруденция», «Управление в технических системах», «Радиотехника».</w:t>
      </w:r>
    </w:p>
    <w:p w14:paraId="28FF2F1A" w14:textId="77777777" w:rsidR="00902F18" w:rsidRPr="00731FE2" w:rsidRDefault="00902F18" w:rsidP="00CA1D45">
      <w:pP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Cs w:val="24"/>
          <w:lang w:eastAsia="ru-RU"/>
        </w:rPr>
        <w:lastRenderedPageBreak/>
        <w:t>В целом, направлений подготовки и специальностей в образовательных учреждениях среднего профессионального и высшего образования достаточно для обеспечения потребностей города-курорта. Это связано также с тем, что в составе агломерации КМВ расположен крупный образовательный центр Ставропольского края – город-курорт Пятигорск.</w:t>
      </w:r>
    </w:p>
    <w:p w14:paraId="60BECA6A" w14:textId="77777777" w:rsidR="00902F18" w:rsidRPr="00731FE2" w:rsidRDefault="00902F18" w:rsidP="00CA1D45">
      <w:pPr>
        <w:rPr>
          <w:rFonts w:ascii="Times New Roman" w:eastAsia="Times New Roman" w:hAnsi="Times New Roman" w:cs="Times New Roman"/>
          <w:szCs w:val="24"/>
          <w:lang w:eastAsia="ru-RU"/>
        </w:rPr>
      </w:pPr>
      <w:r w:rsidRPr="00731FE2">
        <w:rPr>
          <w:rFonts w:ascii="Times New Roman" w:eastAsia="Times New Roman" w:hAnsi="Times New Roman" w:cs="Times New Roman"/>
          <w:b/>
          <w:bCs/>
          <w:color w:val="000000"/>
          <w:szCs w:val="24"/>
          <w:lang w:eastAsia="ru-RU"/>
        </w:rPr>
        <w:t>Таким образом, в городе-курорте Кисловодске достаточно развитая система дошкольного, общего, среднего специального и высшего образования.</w:t>
      </w:r>
      <w:r w:rsidR="00CA1D45" w:rsidRPr="00731FE2">
        <w:rPr>
          <w:rFonts w:ascii="Times New Roman" w:eastAsia="Times New Roman" w:hAnsi="Times New Roman" w:cs="Times New Roman"/>
          <w:b/>
          <w:bCs/>
          <w:color w:val="000000"/>
          <w:szCs w:val="24"/>
          <w:lang w:eastAsia="ru-RU"/>
        </w:rPr>
        <w:t xml:space="preserve"> </w:t>
      </w:r>
      <w:r w:rsidRPr="00731FE2">
        <w:rPr>
          <w:rFonts w:ascii="Times New Roman" w:eastAsia="Times New Roman" w:hAnsi="Times New Roman" w:cs="Times New Roman"/>
          <w:b/>
          <w:bCs/>
          <w:color w:val="000000"/>
          <w:szCs w:val="24"/>
          <w:lang w:eastAsia="ru-RU"/>
        </w:rPr>
        <w:t>Среди главных проблем системы образования выделяется проблема обеспеченности местами в дошкольных и общеобразовательных учреждениях.  </w:t>
      </w:r>
    </w:p>
    <w:p w14:paraId="126839C6" w14:textId="77777777" w:rsidR="00902F18" w:rsidRPr="00731FE2" w:rsidRDefault="00902F18" w:rsidP="00CA1D45">
      <w:pPr>
        <w:ind w:left="709" w:firstLine="0"/>
        <w:rPr>
          <w:rFonts w:ascii="Times New Roman" w:eastAsia="Times New Roman" w:hAnsi="Times New Roman" w:cs="Times New Roman"/>
          <w:szCs w:val="24"/>
          <w:lang w:eastAsia="ru-RU"/>
        </w:rPr>
      </w:pPr>
      <w:bookmarkStart w:id="31" w:name="_Toc28"/>
      <w:r w:rsidRPr="00731FE2">
        <w:rPr>
          <w:rFonts w:ascii="Times New Roman" w:eastAsia="Times New Roman" w:hAnsi="Times New Roman" w:cs="Times New Roman"/>
          <w:color w:val="7F7F7F"/>
          <w:szCs w:val="24"/>
          <w:lang w:eastAsia="ru-RU"/>
        </w:rPr>
        <w:t>2.8.2 Здравоохранение</w:t>
      </w:r>
      <w:bookmarkEnd w:id="31"/>
    </w:p>
    <w:p w14:paraId="437D1EAC" w14:textId="77777777" w:rsidR="00902F18" w:rsidRPr="00731FE2" w:rsidRDefault="00902F18" w:rsidP="00CA1D45">
      <w:pP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Cs w:val="24"/>
          <w:lang w:eastAsia="ru-RU"/>
        </w:rPr>
        <w:t xml:space="preserve">В соответствии с Концепцией развития системы здравоохранения в Российской Федерации до 2025 г. одним из приоритетов государственной и муниципальной политики является сохранение и укрепление здоровья населения на основе формирования здорового образа жизни и повышения доступности и качества медицинской помощи. </w:t>
      </w:r>
    </w:p>
    <w:p w14:paraId="320E79BD" w14:textId="77777777" w:rsidR="00902F18" w:rsidRPr="00731FE2" w:rsidRDefault="00902F18" w:rsidP="00CA1D45">
      <w:pP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Cs w:val="24"/>
          <w:lang w:eastAsia="ru-RU"/>
        </w:rPr>
        <w:t xml:space="preserve">Медицинская помощь населению оказывается 12 лечебно-профилактическими учреждениями. Основным звеном в оказании медицинской помощи населению является амбулаторно-поликлиническая служба, представленная двумя взрослыми и детской поликлиниками, двумя стоматологическими поликлиниками, а также курортной поликлиникой; тремя диспансерами (кожно-венерологический диспансер, диспансер лечебной физкультуры и спортивной медицины, противотуберкулёзный диспансер); фельдшерско-акушерским пунктом; станцией скорой медицинской помощи; детским санаторием. Перечень </w:t>
      </w:r>
      <w:proofErr w:type="gramStart"/>
      <w:r w:rsidRPr="00731FE2">
        <w:rPr>
          <w:rFonts w:ascii="Times New Roman" w:eastAsia="Times New Roman" w:hAnsi="Times New Roman" w:cs="Times New Roman"/>
          <w:color w:val="000000"/>
          <w:szCs w:val="24"/>
          <w:lang w:eastAsia="ru-RU"/>
        </w:rPr>
        <w:t>учреждений здравоохранения городского округа города-курорта Кисловодска</w:t>
      </w:r>
      <w:proofErr w:type="gramEnd"/>
      <w:r w:rsidRPr="00731FE2">
        <w:rPr>
          <w:rFonts w:ascii="Times New Roman" w:eastAsia="Times New Roman" w:hAnsi="Times New Roman" w:cs="Times New Roman"/>
          <w:color w:val="000000"/>
          <w:szCs w:val="24"/>
          <w:lang w:eastAsia="ru-RU"/>
        </w:rPr>
        <w:t xml:space="preserve"> представлен в таблице ниже. </w:t>
      </w:r>
    </w:p>
    <w:p w14:paraId="7061058C" w14:textId="77777777" w:rsidR="00902F18" w:rsidRPr="00731FE2" w:rsidRDefault="00902F18" w:rsidP="00CA1D45">
      <w:pPr>
        <w:ind w:firstLine="0"/>
        <w:jc w:val="left"/>
        <w:rPr>
          <w:rFonts w:ascii="Times New Roman" w:eastAsia="Times New Roman" w:hAnsi="Times New Roman" w:cs="Times New Roman"/>
          <w:szCs w:val="24"/>
          <w:lang w:eastAsia="ru-RU"/>
        </w:rPr>
      </w:pPr>
    </w:p>
    <w:p w14:paraId="551ECD69" w14:textId="77777777" w:rsidR="00902F18" w:rsidRPr="00731FE2" w:rsidRDefault="009B6BDD" w:rsidP="00902F18">
      <w:pPr>
        <w:keepNext/>
        <w:spacing w:line="240" w:lineRule="auto"/>
        <w:ind w:firstLine="0"/>
        <w:rPr>
          <w:rFonts w:ascii="Times New Roman" w:eastAsia="Times New Roman" w:hAnsi="Times New Roman" w:cs="Times New Roman"/>
          <w:szCs w:val="24"/>
          <w:lang w:eastAsia="ru-RU"/>
        </w:rPr>
      </w:pPr>
      <w:r w:rsidRPr="00731FE2">
        <w:rPr>
          <w:rFonts w:ascii="Times New Roman" w:eastAsia="Times New Roman" w:hAnsi="Times New Roman" w:cs="Times New Roman"/>
          <w:b/>
          <w:bCs/>
          <w:color w:val="000000"/>
          <w:szCs w:val="24"/>
          <w:lang w:eastAsia="ru-RU"/>
        </w:rPr>
        <w:t xml:space="preserve">Таблица </w:t>
      </w:r>
      <w:r w:rsidRPr="00731FE2">
        <w:rPr>
          <w:rFonts w:ascii="Times New Roman" w:eastAsia="Times New Roman" w:hAnsi="Times New Roman" w:cs="Times New Roman"/>
          <w:b/>
          <w:bCs/>
          <w:color w:val="000000"/>
          <w:szCs w:val="24"/>
          <w:lang w:eastAsia="ru-RU"/>
        </w:rPr>
        <w:fldChar w:fldCharType="begin"/>
      </w:r>
      <w:r w:rsidRPr="00731FE2">
        <w:rPr>
          <w:rFonts w:ascii="Times New Roman" w:eastAsia="Times New Roman" w:hAnsi="Times New Roman" w:cs="Times New Roman"/>
          <w:b/>
          <w:bCs/>
          <w:color w:val="000000"/>
          <w:szCs w:val="24"/>
          <w:lang w:eastAsia="ru-RU"/>
        </w:rPr>
        <w:instrText xml:space="preserve"> SEQ Таблица \* Arabic </w:instrText>
      </w:r>
      <w:r w:rsidRPr="00731FE2">
        <w:rPr>
          <w:rFonts w:ascii="Times New Roman" w:eastAsia="Times New Roman" w:hAnsi="Times New Roman" w:cs="Times New Roman"/>
          <w:b/>
          <w:bCs/>
          <w:color w:val="000000"/>
          <w:szCs w:val="24"/>
          <w:lang w:eastAsia="ru-RU"/>
        </w:rPr>
        <w:fldChar w:fldCharType="separate"/>
      </w:r>
      <w:r w:rsidR="00C50915" w:rsidRPr="00731FE2">
        <w:rPr>
          <w:rFonts w:ascii="Times New Roman" w:eastAsia="Times New Roman" w:hAnsi="Times New Roman" w:cs="Times New Roman"/>
          <w:b/>
          <w:bCs/>
          <w:noProof/>
          <w:color w:val="000000"/>
          <w:szCs w:val="24"/>
          <w:lang w:eastAsia="ru-RU"/>
        </w:rPr>
        <w:t>15</w:t>
      </w:r>
      <w:r w:rsidRPr="00731FE2">
        <w:rPr>
          <w:rFonts w:ascii="Times New Roman" w:eastAsia="Times New Roman" w:hAnsi="Times New Roman" w:cs="Times New Roman"/>
          <w:b/>
          <w:bCs/>
          <w:color w:val="000000"/>
          <w:szCs w:val="24"/>
          <w:lang w:eastAsia="ru-RU"/>
        </w:rPr>
        <w:fldChar w:fldCharType="end"/>
      </w:r>
      <w:r w:rsidRPr="00731FE2">
        <w:rPr>
          <w:rFonts w:ascii="Times New Roman" w:eastAsia="Times New Roman" w:hAnsi="Times New Roman" w:cs="Times New Roman"/>
          <w:b/>
          <w:bCs/>
          <w:color w:val="000000"/>
          <w:szCs w:val="24"/>
          <w:lang w:eastAsia="ru-RU"/>
        </w:rPr>
        <w:t xml:space="preserve"> – </w:t>
      </w:r>
      <w:r w:rsidR="00902F18" w:rsidRPr="00731FE2">
        <w:rPr>
          <w:rFonts w:ascii="Times New Roman" w:eastAsia="Times New Roman" w:hAnsi="Times New Roman" w:cs="Times New Roman"/>
          <w:b/>
          <w:bCs/>
          <w:color w:val="000000"/>
          <w:szCs w:val="24"/>
          <w:lang w:eastAsia="ru-RU"/>
        </w:rPr>
        <w:t>Учреждения здравоохранения города-курорта Кисловодска</w:t>
      </w:r>
    </w:p>
    <w:tbl>
      <w:tblPr>
        <w:tblW w:w="0" w:type="auto"/>
        <w:tblCellSpacing w:w="0" w:type="dxa"/>
        <w:tblLook w:val="04A0" w:firstRow="1" w:lastRow="0" w:firstColumn="1" w:lastColumn="0" w:noHBand="0" w:noVBand="1"/>
      </w:tblPr>
      <w:tblGrid>
        <w:gridCol w:w="707"/>
        <w:gridCol w:w="5373"/>
        <w:gridCol w:w="3255"/>
      </w:tblGrid>
      <w:tr w:rsidR="00902F18" w:rsidRPr="00731FE2" w14:paraId="072ECC9C" w14:textId="77777777" w:rsidTr="00CA1D45">
        <w:trPr>
          <w:tblCellSpacing w:w="0" w:type="dxa"/>
        </w:trPr>
        <w:tc>
          <w:tcPr>
            <w:tcW w:w="707" w:type="dxa"/>
            <w:tcBorders>
              <w:top w:val="single" w:sz="8" w:space="0" w:color="000000"/>
              <w:left w:val="single" w:sz="8" w:space="0" w:color="000000"/>
              <w:bottom w:val="single" w:sz="8" w:space="0" w:color="000000"/>
              <w:right w:val="single" w:sz="8" w:space="0" w:color="000000"/>
            </w:tcBorders>
            <w:vAlign w:val="center"/>
            <w:hideMark/>
          </w:tcPr>
          <w:p w14:paraId="19BB113C"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b/>
                <w:bCs/>
                <w:color w:val="000000"/>
                <w:sz w:val="22"/>
                <w:lang w:eastAsia="ru-RU"/>
              </w:rPr>
              <w:t xml:space="preserve">№ </w:t>
            </w:r>
            <w:proofErr w:type="gramStart"/>
            <w:r w:rsidRPr="00731FE2">
              <w:rPr>
                <w:rFonts w:ascii="Times New Roman" w:eastAsia="Times New Roman" w:hAnsi="Times New Roman" w:cs="Times New Roman"/>
                <w:b/>
                <w:bCs/>
                <w:color w:val="000000"/>
                <w:sz w:val="22"/>
                <w:lang w:eastAsia="ru-RU"/>
              </w:rPr>
              <w:t>п</w:t>
            </w:r>
            <w:proofErr w:type="gramEnd"/>
            <w:r w:rsidRPr="00731FE2">
              <w:rPr>
                <w:rFonts w:ascii="Times New Roman" w:eastAsia="Times New Roman" w:hAnsi="Times New Roman" w:cs="Times New Roman"/>
                <w:b/>
                <w:bCs/>
                <w:color w:val="000000"/>
                <w:sz w:val="22"/>
                <w:lang w:eastAsia="ru-RU"/>
              </w:rPr>
              <w:t>/п</w:t>
            </w:r>
          </w:p>
        </w:tc>
        <w:tc>
          <w:tcPr>
            <w:tcW w:w="5373" w:type="dxa"/>
            <w:tcBorders>
              <w:top w:val="single" w:sz="8" w:space="0" w:color="000000"/>
              <w:left w:val="nil"/>
              <w:bottom w:val="single" w:sz="8" w:space="0" w:color="000000"/>
              <w:right w:val="single" w:sz="8" w:space="0" w:color="000000"/>
            </w:tcBorders>
            <w:vAlign w:val="center"/>
            <w:hideMark/>
          </w:tcPr>
          <w:p w14:paraId="3890E757"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b/>
                <w:bCs/>
                <w:color w:val="000000"/>
                <w:sz w:val="22"/>
                <w:lang w:eastAsia="ru-RU"/>
              </w:rPr>
              <w:t>Наименование учреждения</w:t>
            </w:r>
          </w:p>
        </w:tc>
        <w:tc>
          <w:tcPr>
            <w:tcW w:w="3255" w:type="dxa"/>
            <w:tcBorders>
              <w:top w:val="single" w:sz="8" w:space="0" w:color="000000"/>
              <w:left w:val="nil"/>
              <w:bottom w:val="single" w:sz="8" w:space="0" w:color="000000"/>
              <w:right w:val="single" w:sz="8" w:space="0" w:color="000000"/>
            </w:tcBorders>
            <w:vAlign w:val="center"/>
            <w:hideMark/>
          </w:tcPr>
          <w:p w14:paraId="2A07C574"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b/>
                <w:bCs/>
                <w:color w:val="000000"/>
                <w:sz w:val="22"/>
                <w:lang w:eastAsia="ru-RU"/>
              </w:rPr>
              <w:t>Местоположение</w:t>
            </w:r>
          </w:p>
        </w:tc>
      </w:tr>
      <w:tr w:rsidR="00902F18" w:rsidRPr="00731FE2" w14:paraId="05D2BED9" w14:textId="77777777" w:rsidTr="00CA1D45">
        <w:trPr>
          <w:tblCellSpacing w:w="0" w:type="dxa"/>
        </w:trPr>
        <w:tc>
          <w:tcPr>
            <w:tcW w:w="707" w:type="dxa"/>
            <w:tcBorders>
              <w:top w:val="nil"/>
              <w:left w:val="single" w:sz="8" w:space="0" w:color="000000"/>
              <w:bottom w:val="single" w:sz="8" w:space="0" w:color="000000"/>
              <w:right w:val="single" w:sz="8" w:space="0" w:color="000000"/>
            </w:tcBorders>
            <w:vAlign w:val="center"/>
          </w:tcPr>
          <w:p w14:paraId="296C2B81" w14:textId="77777777" w:rsidR="00902F18" w:rsidRPr="00731FE2" w:rsidRDefault="00902F18" w:rsidP="007832E7">
            <w:pPr>
              <w:numPr>
                <w:ilvl w:val="0"/>
                <w:numId w:val="117"/>
              </w:numPr>
              <w:spacing w:line="240" w:lineRule="auto"/>
              <w:ind w:left="527" w:hanging="357"/>
              <w:rPr>
                <w:rFonts w:ascii="Times New Roman" w:eastAsia="Times New Roman" w:hAnsi="Times New Roman" w:cs="Times New Roman"/>
                <w:szCs w:val="24"/>
                <w:lang w:eastAsia="ru-RU"/>
              </w:rPr>
            </w:pPr>
          </w:p>
        </w:tc>
        <w:tc>
          <w:tcPr>
            <w:tcW w:w="5373" w:type="dxa"/>
            <w:tcBorders>
              <w:top w:val="nil"/>
              <w:left w:val="nil"/>
              <w:bottom w:val="single" w:sz="8" w:space="0" w:color="000000"/>
              <w:right w:val="single" w:sz="8" w:space="0" w:color="000000"/>
            </w:tcBorders>
            <w:vAlign w:val="center"/>
            <w:hideMark/>
          </w:tcPr>
          <w:p w14:paraId="35CDBB7F" w14:textId="77777777" w:rsidR="00902F18" w:rsidRPr="00731FE2" w:rsidRDefault="00902F18" w:rsidP="00902F18">
            <w:pPr>
              <w:spacing w:line="240" w:lineRule="auto"/>
              <w:ind w:firstLine="0"/>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ГБУЗ СК «Кисловодская городская больница»</w:t>
            </w:r>
          </w:p>
          <w:p w14:paraId="309EC37D" w14:textId="77777777" w:rsidR="00902F18" w:rsidRPr="00731FE2" w:rsidRDefault="00902F18" w:rsidP="00902F18">
            <w:pPr>
              <w:spacing w:line="240" w:lineRule="auto"/>
              <w:ind w:firstLine="0"/>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(ГБУЗ СК «</w:t>
            </w:r>
            <w:proofErr w:type="gramStart"/>
            <w:r w:rsidRPr="00731FE2">
              <w:rPr>
                <w:rFonts w:ascii="Times New Roman" w:eastAsia="Times New Roman" w:hAnsi="Times New Roman" w:cs="Times New Roman"/>
                <w:color w:val="000000"/>
                <w:sz w:val="22"/>
                <w:lang w:eastAsia="ru-RU"/>
              </w:rPr>
              <w:t>Кисловодская</w:t>
            </w:r>
            <w:proofErr w:type="gramEnd"/>
            <w:r w:rsidRPr="00731FE2">
              <w:rPr>
                <w:rFonts w:ascii="Times New Roman" w:eastAsia="Times New Roman" w:hAnsi="Times New Roman" w:cs="Times New Roman"/>
                <w:color w:val="000000"/>
                <w:sz w:val="22"/>
                <w:lang w:eastAsia="ru-RU"/>
              </w:rPr>
              <w:t xml:space="preserve"> ГБ»)</w:t>
            </w:r>
          </w:p>
        </w:tc>
        <w:tc>
          <w:tcPr>
            <w:tcW w:w="3255" w:type="dxa"/>
            <w:tcBorders>
              <w:top w:val="nil"/>
              <w:left w:val="nil"/>
              <w:bottom w:val="single" w:sz="8" w:space="0" w:color="000000"/>
              <w:right w:val="single" w:sz="8" w:space="0" w:color="000000"/>
            </w:tcBorders>
            <w:vAlign w:val="center"/>
            <w:hideMark/>
          </w:tcPr>
          <w:p w14:paraId="55BE6FC5" w14:textId="77777777" w:rsidR="00902F18" w:rsidRPr="00731FE2" w:rsidRDefault="00902F18" w:rsidP="00902F18">
            <w:pPr>
              <w:spacing w:line="240" w:lineRule="auto"/>
              <w:ind w:firstLine="0"/>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ул. Кутузова, 127</w:t>
            </w:r>
          </w:p>
        </w:tc>
      </w:tr>
      <w:tr w:rsidR="00902F18" w:rsidRPr="00731FE2" w14:paraId="346B805C" w14:textId="77777777" w:rsidTr="00CA1D45">
        <w:trPr>
          <w:tblCellSpacing w:w="0" w:type="dxa"/>
        </w:trPr>
        <w:tc>
          <w:tcPr>
            <w:tcW w:w="707" w:type="dxa"/>
            <w:tcBorders>
              <w:top w:val="nil"/>
              <w:left w:val="single" w:sz="8" w:space="0" w:color="000000"/>
              <w:bottom w:val="single" w:sz="8" w:space="0" w:color="000000"/>
              <w:right w:val="single" w:sz="8" w:space="0" w:color="000000"/>
            </w:tcBorders>
            <w:vAlign w:val="center"/>
          </w:tcPr>
          <w:p w14:paraId="00F03BFD" w14:textId="77777777" w:rsidR="00902F18" w:rsidRPr="00731FE2" w:rsidRDefault="00902F18" w:rsidP="007832E7">
            <w:pPr>
              <w:numPr>
                <w:ilvl w:val="0"/>
                <w:numId w:val="117"/>
              </w:numPr>
              <w:spacing w:line="240" w:lineRule="auto"/>
              <w:ind w:left="527" w:hanging="357"/>
              <w:rPr>
                <w:rFonts w:ascii="Times New Roman" w:eastAsia="Times New Roman" w:hAnsi="Times New Roman" w:cs="Times New Roman"/>
                <w:szCs w:val="24"/>
                <w:lang w:eastAsia="ru-RU"/>
              </w:rPr>
            </w:pPr>
          </w:p>
        </w:tc>
        <w:tc>
          <w:tcPr>
            <w:tcW w:w="5373" w:type="dxa"/>
            <w:tcBorders>
              <w:top w:val="nil"/>
              <w:left w:val="nil"/>
              <w:bottom w:val="single" w:sz="8" w:space="0" w:color="000000"/>
              <w:right w:val="single" w:sz="8" w:space="0" w:color="000000"/>
            </w:tcBorders>
            <w:vAlign w:val="center"/>
            <w:hideMark/>
          </w:tcPr>
          <w:p w14:paraId="1B3A1262" w14:textId="77777777" w:rsidR="00902F18" w:rsidRPr="00731FE2" w:rsidRDefault="00902F18" w:rsidP="00902F18">
            <w:pPr>
              <w:spacing w:line="240" w:lineRule="auto"/>
              <w:ind w:firstLine="0"/>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ГБУЗ СК «Кисловодская городская станция скорой медицинской помощи» (ГБУЗ СК «Кисловодская ГССМП»)</w:t>
            </w:r>
          </w:p>
        </w:tc>
        <w:tc>
          <w:tcPr>
            <w:tcW w:w="3255" w:type="dxa"/>
            <w:tcBorders>
              <w:top w:val="nil"/>
              <w:left w:val="nil"/>
              <w:bottom w:val="single" w:sz="8" w:space="0" w:color="000000"/>
              <w:right w:val="single" w:sz="8" w:space="0" w:color="000000"/>
            </w:tcBorders>
            <w:vAlign w:val="center"/>
            <w:hideMark/>
          </w:tcPr>
          <w:p w14:paraId="1DDFF94B" w14:textId="77777777" w:rsidR="00902F18" w:rsidRPr="00731FE2" w:rsidRDefault="00902F18" w:rsidP="00902F18">
            <w:pPr>
              <w:spacing w:line="240" w:lineRule="auto"/>
              <w:ind w:firstLine="0"/>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ул. Тельмана, 1</w:t>
            </w:r>
          </w:p>
        </w:tc>
      </w:tr>
      <w:tr w:rsidR="00902F18" w:rsidRPr="00731FE2" w14:paraId="41EADD73" w14:textId="77777777" w:rsidTr="00CA1D45">
        <w:trPr>
          <w:tblCellSpacing w:w="0" w:type="dxa"/>
        </w:trPr>
        <w:tc>
          <w:tcPr>
            <w:tcW w:w="707" w:type="dxa"/>
            <w:tcBorders>
              <w:top w:val="nil"/>
              <w:left w:val="single" w:sz="8" w:space="0" w:color="000000"/>
              <w:bottom w:val="single" w:sz="8" w:space="0" w:color="000000"/>
              <w:right w:val="single" w:sz="8" w:space="0" w:color="000000"/>
            </w:tcBorders>
            <w:vAlign w:val="center"/>
          </w:tcPr>
          <w:p w14:paraId="1B281DE8" w14:textId="77777777" w:rsidR="00902F18" w:rsidRPr="00731FE2" w:rsidRDefault="00902F18" w:rsidP="007832E7">
            <w:pPr>
              <w:numPr>
                <w:ilvl w:val="0"/>
                <w:numId w:val="117"/>
              </w:numPr>
              <w:spacing w:line="240" w:lineRule="auto"/>
              <w:ind w:left="527" w:hanging="357"/>
              <w:rPr>
                <w:rFonts w:ascii="Times New Roman" w:eastAsia="Times New Roman" w:hAnsi="Times New Roman" w:cs="Times New Roman"/>
                <w:szCs w:val="24"/>
                <w:lang w:eastAsia="ru-RU"/>
              </w:rPr>
            </w:pPr>
          </w:p>
        </w:tc>
        <w:tc>
          <w:tcPr>
            <w:tcW w:w="5373" w:type="dxa"/>
            <w:tcBorders>
              <w:top w:val="nil"/>
              <w:left w:val="nil"/>
              <w:bottom w:val="single" w:sz="8" w:space="0" w:color="000000"/>
              <w:right w:val="single" w:sz="8" w:space="0" w:color="000000"/>
            </w:tcBorders>
            <w:vAlign w:val="center"/>
            <w:hideMark/>
          </w:tcPr>
          <w:p w14:paraId="6D100C42" w14:textId="77777777" w:rsidR="00902F18" w:rsidRPr="00731FE2" w:rsidRDefault="00902F18" w:rsidP="00902F18">
            <w:pPr>
              <w:spacing w:line="240" w:lineRule="auto"/>
              <w:ind w:firstLine="0"/>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ГБУЗ СК «Городская поликлиника №1»</w:t>
            </w:r>
          </w:p>
        </w:tc>
        <w:tc>
          <w:tcPr>
            <w:tcW w:w="3255" w:type="dxa"/>
            <w:tcBorders>
              <w:top w:val="nil"/>
              <w:left w:val="nil"/>
              <w:bottom w:val="single" w:sz="8" w:space="0" w:color="000000"/>
              <w:right w:val="single" w:sz="8" w:space="0" w:color="000000"/>
            </w:tcBorders>
            <w:vAlign w:val="center"/>
            <w:hideMark/>
          </w:tcPr>
          <w:p w14:paraId="1BB3204D" w14:textId="77777777" w:rsidR="00902F18" w:rsidRPr="00731FE2" w:rsidRDefault="00902F18" w:rsidP="00902F18">
            <w:pPr>
              <w:spacing w:line="240" w:lineRule="auto"/>
              <w:ind w:firstLine="0"/>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пр. Первомайский, 10</w:t>
            </w:r>
          </w:p>
        </w:tc>
      </w:tr>
      <w:tr w:rsidR="00902F18" w:rsidRPr="00731FE2" w14:paraId="200C5E96" w14:textId="77777777" w:rsidTr="00CA1D45">
        <w:trPr>
          <w:tblCellSpacing w:w="0" w:type="dxa"/>
        </w:trPr>
        <w:tc>
          <w:tcPr>
            <w:tcW w:w="707" w:type="dxa"/>
            <w:tcBorders>
              <w:top w:val="nil"/>
              <w:left w:val="single" w:sz="8" w:space="0" w:color="000000"/>
              <w:bottom w:val="single" w:sz="8" w:space="0" w:color="000000"/>
              <w:right w:val="single" w:sz="8" w:space="0" w:color="000000"/>
            </w:tcBorders>
            <w:vAlign w:val="center"/>
          </w:tcPr>
          <w:p w14:paraId="6A3E5672" w14:textId="77777777" w:rsidR="00902F18" w:rsidRPr="00731FE2" w:rsidRDefault="00902F18" w:rsidP="007832E7">
            <w:pPr>
              <w:numPr>
                <w:ilvl w:val="0"/>
                <w:numId w:val="117"/>
              </w:numPr>
              <w:spacing w:line="240" w:lineRule="auto"/>
              <w:ind w:left="527" w:hanging="357"/>
              <w:rPr>
                <w:rFonts w:ascii="Times New Roman" w:eastAsia="Times New Roman" w:hAnsi="Times New Roman" w:cs="Times New Roman"/>
                <w:szCs w:val="24"/>
                <w:lang w:eastAsia="ru-RU"/>
              </w:rPr>
            </w:pPr>
          </w:p>
        </w:tc>
        <w:tc>
          <w:tcPr>
            <w:tcW w:w="5373" w:type="dxa"/>
            <w:tcBorders>
              <w:top w:val="nil"/>
              <w:left w:val="nil"/>
              <w:bottom w:val="single" w:sz="8" w:space="0" w:color="000000"/>
              <w:right w:val="single" w:sz="8" w:space="0" w:color="000000"/>
            </w:tcBorders>
            <w:vAlign w:val="center"/>
            <w:hideMark/>
          </w:tcPr>
          <w:p w14:paraId="7487532A" w14:textId="77777777" w:rsidR="00902F18" w:rsidRPr="00731FE2" w:rsidRDefault="00902F18" w:rsidP="00902F18">
            <w:pPr>
              <w:spacing w:line="240" w:lineRule="auto"/>
              <w:ind w:firstLine="0"/>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ГБУЗ СК «Кисловодский межрайонный родильный дом» (ГБУЗ СК «Кисловодский МРД»)</w:t>
            </w:r>
          </w:p>
        </w:tc>
        <w:tc>
          <w:tcPr>
            <w:tcW w:w="3255" w:type="dxa"/>
            <w:tcBorders>
              <w:top w:val="nil"/>
              <w:left w:val="nil"/>
              <w:bottom w:val="single" w:sz="8" w:space="0" w:color="000000"/>
              <w:right w:val="single" w:sz="8" w:space="0" w:color="000000"/>
            </w:tcBorders>
            <w:vAlign w:val="center"/>
            <w:hideMark/>
          </w:tcPr>
          <w:p w14:paraId="068E66DA" w14:textId="77777777" w:rsidR="00902F18" w:rsidRPr="00731FE2" w:rsidRDefault="00902F18" w:rsidP="00902F18">
            <w:pPr>
              <w:spacing w:line="240" w:lineRule="auto"/>
              <w:ind w:firstLine="0"/>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ул. Кутузова, 48</w:t>
            </w:r>
          </w:p>
        </w:tc>
      </w:tr>
      <w:tr w:rsidR="00902F18" w:rsidRPr="00731FE2" w14:paraId="779411BF" w14:textId="77777777" w:rsidTr="00CA1D45">
        <w:trPr>
          <w:tblCellSpacing w:w="0" w:type="dxa"/>
        </w:trPr>
        <w:tc>
          <w:tcPr>
            <w:tcW w:w="707" w:type="dxa"/>
            <w:tcBorders>
              <w:top w:val="nil"/>
              <w:left w:val="single" w:sz="8" w:space="0" w:color="000000"/>
              <w:bottom w:val="single" w:sz="8" w:space="0" w:color="000000"/>
              <w:right w:val="single" w:sz="8" w:space="0" w:color="000000"/>
            </w:tcBorders>
            <w:vAlign w:val="center"/>
          </w:tcPr>
          <w:p w14:paraId="15956C79" w14:textId="77777777" w:rsidR="00902F18" w:rsidRPr="00731FE2" w:rsidRDefault="00902F18" w:rsidP="007832E7">
            <w:pPr>
              <w:numPr>
                <w:ilvl w:val="0"/>
                <w:numId w:val="117"/>
              </w:numPr>
              <w:spacing w:line="240" w:lineRule="auto"/>
              <w:ind w:left="527" w:hanging="357"/>
              <w:rPr>
                <w:rFonts w:ascii="Times New Roman" w:eastAsia="Times New Roman" w:hAnsi="Times New Roman" w:cs="Times New Roman"/>
                <w:szCs w:val="24"/>
                <w:lang w:eastAsia="ru-RU"/>
              </w:rPr>
            </w:pPr>
          </w:p>
        </w:tc>
        <w:tc>
          <w:tcPr>
            <w:tcW w:w="5373" w:type="dxa"/>
            <w:tcBorders>
              <w:top w:val="nil"/>
              <w:left w:val="nil"/>
              <w:bottom w:val="single" w:sz="8" w:space="0" w:color="000000"/>
              <w:right w:val="single" w:sz="8" w:space="0" w:color="000000"/>
            </w:tcBorders>
            <w:vAlign w:val="center"/>
            <w:hideMark/>
          </w:tcPr>
          <w:p w14:paraId="206F187A" w14:textId="77777777" w:rsidR="00902F18" w:rsidRPr="00731FE2" w:rsidRDefault="00902F18" w:rsidP="00902F18">
            <w:pPr>
              <w:spacing w:line="240" w:lineRule="auto"/>
              <w:ind w:firstLine="0"/>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ГБУЗ СК «Кисловодская городская детская больница» (ГБУЗ СК «КГДБ»)</w:t>
            </w:r>
          </w:p>
        </w:tc>
        <w:tc>
          <w:tcPr>
            <w:tcW w:w="3255" w:type="dxa"/>
            <w:tcBorders>
              <w:top w:val="nil"/>
              <w:left w:val="nil"/>
              <w:bottom w:val="single" w:sz="8" w:space="0" w:color="000000"/>
              <w:right w:val="single" w:sz="8" w:space="0" w:color="000000"/>
            </w:tcBorders>
            <w:vAlign w:val="center"/>
            <w:hideMark/>
          </w:tcPr>
          <w:p w14:paraId="610AD4D6" w14:textId="77777777" w:rsidR="00902F18" w:rsidRPr="00731FE2" w:rsidRDefault="00902F18" w:rsidP="00902F18">
            <w:pPr>
              <w:spacing w:line="240" w:lineRule="auto"/>
              <w:ind w:firstLine="0"/>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ул. Кутузова, 46</w:t>
            </w:r>
          </w:p>
        </w:tc>
      </w:tr>
      <w:tr w:rsidR="00902F18" w:rsidRPr="00731FE2" w14:paraId="5E47FBB0" w14:textId="77777777" w:rsidTr="00CA1D45">
        <w:trPr>
          <w:tblCellSpacing w:w="0" w:type="dxa"/>
        </w:trPr>
        <w:tc>
          <w:tcPr>
            <w:tcW w:w="707" w:type="dxa"/>
            <w:tcBorders>
              <w:top w:val="nil"/>
              <w:left w:val="single" w:sz="8" w:space="0" w:color="000000"/>
              <w:bottom w:val="single" w:sz="8" w:space="0" w:color="000000"/>
              <w:right w:val="single" w:sz="8" w:space="0" w:color="000000"/>
            </w:tcBorders>
            <w:vAlign w:val="center"/>
          </w:tcPr>
          <w:p w14:paraId="0679BDD5" w14:textId="77777777" w:rsidR="00902F18" w:rsidRPr="00731FE2" w:rsidRDefault="00902F18" w:rsidP="007832E7">
            <w:pPr>
              <w:numPr>
                <w:ilvl w:val="0"/>
                <w:numId w:val="117"/>
              </w:numPr>
              <w:spacing w:line="240" w:lineRule="auto"/>
              <w:ind w:left="527" w:hanging="357"/>
              <w:rPr>
                <w:rFonts w:ascii="Times New Roman" w:eastAsia="Times New Roman" w:hAnsi="Times New Roman" w:cs="Times New Roman"/>
                <w:szCs w:val="24"/>
                <w:lang w:eastAsia="ru-RU"/>
              </w:rPr>
            </w:pPr>
          </w:p>
        </w:tc>
        <w:tc>
          <w:tcPr>
            <w:tcW w:w="5373" w:type="dxa"/>
            <w:tcBorders>
              <w:top w:val="nil"/>
              <w:left w:val="nil"/>
              <w:bottom w:val="single" w:sz="8" w:space="0" w:color="000000"/>
              <w:right w:val="single" w:sz="8" w:space="0" w:color="000000"/>
            </w:tcBorders>
            <w:vAlign w:val="center"/>
            <w:hideMark/>
          </w:tcPr>
          <w:p w14:paraId="07744828" w14:textId="77777777" w:rsidR="00902F18" w:rsidRPr="00731FE2" w:rsidRDefault="00902F18" w:rsidP="00902F18">
            <w:pPr>
              <w:spacing w:line="240" w:lineRule="auto"/>
              <w:ind w:firstLine="0"/>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ГБУЗ СК «Кисловодская городская стоматологическая поликлиника»</w:t>
            </w:r>
          </w:p>
          <w:p w14:paraId="1300EDB7" w14:textId="77777777" w:rsidR="00902F18" w:rsidRPr="00731FE2" w:rsidRDefault="00902F18" w:rsidP="00902F18">
            <w:pPr>
              <w:spacing w:line="240" w:lineRule="auto"/>
              <w:ind w:firstLine="0"/>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(ГБУЗ СК «КГСП»)</w:t>
            </w:r>
          </w:p>
        </w:tc>
        <w:tc>
          <w:tcPr>
            <w:tcW w:w="3255" w:type="dxa"/>
            <w:tcBorders>
              <w:top w:val="nil"/>
              <w:left w:val="nil"/>
              <w:bottom w:val="single" w:sz="8" w:space="0" w:color="000000"/>
              <w:right w:val="single" w:sz="8" w:space="0" w:color="000000"/>
            </w:tcBorders>
            <w:vAlign w:val="center"/>
            <w:hideMark/>
          </w:tcPr>
          <w:p w14:paraId="25AC4E63" w14:textId="77777777" w:rsidR="00902F18" w:rsidRPr="00731FE2" w:rsidRDefault="00902F18" w:rsidP="00902F18">
            <w:pPr>
              <w:spacing w:line="240" w:lineRule="auto"/>
              <w:ind w:firstLine="0"/>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Курортный бульвар, 7</w:t>
            </w:r>
          </w:p>
        </w:tc>
      </w:tr>
      <w:tr w:rsidR="00902F18" w:rsidRPr="00731FE2" w14:paraId="05655B11" w14:textId="77777777" w:rsidTr="00CA1D45">
        <w:trPr>
          <w:tblCellSpacing w:w="0" w:type="dxa"/>
        </w:trPr>
        <w:tc>
          <w:tcPr>
            <w:tcW w:w="707" w:type="dxa"/>
            <w:tcBorders>
              <w:top w:val="nil"/>
              <w:left w:val="single" w:sz="8" w:space="0" w:color="000000"/>
              <w:bottom w:val="single" w:sz="8" w:space="0" w:color="000000"/>
              <w:right w:val="single" w:sz="8" w:space="0" w:color="000000"/>
            </w:tcBorders>
            <w:vAlign w:val="center"/>
          </w:tcPr>
          <w:p w14:paraId="0A8F72F8" w14:textId="77777777" w:rsidR="00902F18" w:rsidRPr="00731FE2" w:rsidRDefault="00902F18" w:rsidP="007832E7">
            <w:pPr>
              <w:numPr>
                <w:ilvl w:val="0"/>
                <w:numId w:val="117"/>
              </w:numPr>
              <w:spacing w:line="240" w:lineRule="auto"/>
              <w:ind w:left="527" w:hanging="357"/>
              <w:rPr>
                <w:rFonts w:ascii="Times New Roman" w:eastAsia="Times New Roman" w:hAnsi="Times New Roman" w:cs="Times New Roman"/>
                <w:szCs w:val="24"/>
                <w:lang w:eastAsia="ru-RU"/>
              </w:rPr>
            </w:pPr>
          </w:p>
        </w:tc>
        <w:tc>
          <w:tcPr>
            <w:tcW w:w="5373" w:type="dxa"/>
            <w:tcBorders>
              <w:top w:val="nil"/>
              <w:left w:val="nil"/>
              <w:bottom w:val="single" w:sz="8" w:space="0" w:color="000000"/>
              <w:right w:val="single" w:sz="8" w:space="0" w:color="000000"/>
            </w:tcBorders>
            <w:vAlign w:val="center"/>
            <w:hideMark/>
          </w:tcPr>
          <w:p w14:paraId="3C3A5A61" w14:textId="77777777" w:rsidR="00902F18" w:rsidRPr="00731FE2" w:rsidRDefault="00902F18" w:rsidP="00902F18">
            <w:pPr>
              <w:spacing w:line="240" w:lineRule="auto"/>
              <w:ind w:firstLine="0"/>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Филиал ГБУЗ СК «КГСП»</w:t>
            </w:r>
          </w:p>
        </w:tc>
        <w:tc>
          <w:tcPr>
            <w:tcW w:w="3255" w:type="dxa"/>
            <w:tcBorders>
              <w:top w:val="nil"/>
              <w:left w:val="nil"/>
              <w:bottom w:val="single" w:sz="8" w:space="0" w:color="000000"/>
              <w:right w:val="single" w:sz="8" w:space="0" w:color="000000"/>
            </w:tcBorders>
            <w:vAlign w:val="center"/>
            <w:hideMark/>
          </w:tcPr>
          <w:p w14:paraId="25A9FD41" w14:textId="77777777" w:rsidR="00902F18" w:rsidRPr="00731FE2" w:rsidRDefault="00902F18" w:rsidP="00902F18">
            <w:pPr>
              <w:spacing w:line="240" w:lineRule="auto"/>
              <w:ind w:firstLine="0"/>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ул. Широкая, 24</w:t>
            </w:r>
          </w:p>
        </w:tc>
      </w:tr>
      <w:tr w:rsidR="00902F18" w:rsidRPr="00731FE2" w14:paraId="1BDD0C46" w14:textId="77777777" w:rsidTr="00CA1D45">
        <w:trPr>
          <w:tblCellSpacing w:w="0" w:type="dxa"/>
        </w:trPr>
        <w:tc>
          <w:tcPr>
            <w:tcW w:w="707" w:type="dxa"/>
            <w:tcBorders>
              <w:top w:val="nil"/>
              <w:left w:val="single" w:sz="8" w:space="0" w:color="000000"/>
              <w:bottom w:val="single" w:sz="8" w:space="0" w:color="000000"/>
              <w:right w:val="single" w:sz="8" w:space="0" w:color="000000"/>
            </w:tcBorders>
            <w:vAlign w:val="center"/>
          </w:tcPr>
          <w:p w14:paraId="1C635459" w14:textId="77777777" w:rsidR="00902F18" w:rsidRPr="00731FE2" w:rsidRDefault="00902F18" w:rsidP="007832E7">
            <w:pPr>
              <w:numPr>
                <w:ilvl w:val="0"/>
                <w:numId w:val="117"/>
              </w:numPr>
              <w:spacing w:line="240" w:lineRule="auto"/>
              <w:ind w:left="527" w:hanging="357"/>
              <w:rPr>
                <w:rFonts w:ascii="Times New Roman" w:eastAsia="Times New Roman" w:hAnsi="Times New Roman" w:cs="Times New Roman"/>
                <w:szCs w:val="24"/>
                <w:lang w:eastAsia="ru-RU"/>
              </w:rPr>
            </w:pPr>
          </w:p>
        </w:tc>
        <w:tc>
          <w:tcPr>
            <w:tcW w:w="5373" w:type="dxa"/>
            <w:tcBorders>
              <w:top w:val="nil"/>
              <w:left w:val="nil"/>
              <w:bottom w:val="single" w:sz="8" w:space="0" w:color="000000"/>
              <w:right w:val="single" w:sz="8" w:space="0" w:color="000000"/>
            </w:tcBorders>
            <w:vAlign w:val="center"/>
            <w:hideMark/>
          </w:tcPr>
          <w:p w14:paraId="29A7A483" w14:textId="77777777" w:rsidR="00902F18" w:rsidRPr="00731FE2" w:rsidRDefault="00902F18" w:rsidP="00902F18">
            <w:pPr>
              <w:spacing w:line="240" w:lineRule="auto"/>
              <w:ind w:firstLine="0"/>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Кисловодский филиал ГБУЗ СК «Пятигорский межрайонный противотуберкулезный диспансер» (Кисловодский филиал ГБУЗ СК «ПМПТД»)</w:t>
            </w:r>
          </w:p>
        </w:tc>
        <w:tc>
          <w:tcPr>
            <w:tcW w:w="3255" w:type="dxa"/>
            <w:tcBorders>
              <w:top w:val="nil"/>
              <w:left w:val="nil"/>
              <w:bottom w:val="single" w:sz="8" w:space="0" w:color="000000"/>
              <w:right w:val="single" w:sz="8" w:space="0" w:color="000000"/>
            </w:tcBorders>
            <w:vAlign w:val="center"/>
            <w:hideMark/>
          </w:tcPr>
          <w:p w14:paraId="1F5F08B0" w14:textId="77777777" w:rsidR="00902F18" w:rsidRPr="00731FE2" w:rsidRDefault="00902F18" w:rsidP="00902F18">
            <w:pPr>
              <w:spacing w:line="240" w:lineRule="auto"/>
              <w:ind w:firstLine="0"/>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ул. Куйбышева, 6Б</w:t>
            </w:r>
          </w:p>
        </w:tc>
      </w:tr>
      <w:tr w:rsidR="00902F18" w:rsidRPr="00731FE2" w14:paraId="2E828056" w14:textId="77777777" w:rsidTr="00CA1D45">
        <w:trPr>
          <w:tblCellSpacing w:w="0" w:type="dxa"/>
        </w:trPr>
        <w:tc>
          <w:tcPr>
            <w:tcW w:w="707" w:type="dxa"/>
            <w:tcBorders>
              <w:top w:val="nil"/>
              <w:left w:val="single" w:sz="8" w:space="0" w:color="000000"/>
              <w:bottom w:val="single" w:sz="8" w:space="0" w:color="000000"/>
              <w:right w:val="single" w:sz="8" w:space="0" w:color="000000"/>
            </w:tcBorders>
            <w:vAlign w:val="center"/>
          </w:tcPr>
          <w:p w14:paraId="0A2CA616" w14:textId="77777777" w:rsidR="00902F18" w:rsidRPr="00731FE2" w:rsidRDefault="00902F18" w:rsidP="007832E7">
            <w:pPr>
              <w:numPr>
                <w:ilvl w:val="0"/>
                <w:numId w:val="117"/>
              </w:numPr>
              <w:spacing w:line="240" w:lineRule="auto"/>
              <w:ind w:left="527" w:hanging="357"/>
              <w:rPr>
                <w:rFonts w:ascii="Times New Roman" w:eastAsia="Times New Roman" w:hAnsi="Times New Roman" w:cs="Times New Roman"/>
                <w:szCs w:val="24"/>
                <w:lang w:eastAsia="ru-RU"/>
              </w:rPr>
            </w:pPr>
          </w:p>
        </w:tc>
        <w:tc>
          <w:tcPr>
            <w:tcW w:w="5373" w:type="dxa"/>
            <w:tcBorders>
              <w:top w:val="nil"/>
              <w:left w:val="nil"/>
              <w:bottom w:val="single" w:sz="8" w:space="0" w:color="000000"/>
              <w:right w:val="single" w:sz="8" w:space="0" w:color="000000"/>
            </w:tcBorders>
            <w:vAlign w:val="center"/>
            <w:hideMark/>
          </w:tcPr>
          <w:p w14:paraId="6DEC467F" w14:textId="77777777" w:rsidR="00902F18" w:rsidRPr="00731FE2" w:rsidRDefault="00902F18" w:rsidP="00902F18">
            <w:pPr>
              <w:spacing w:line="240" w:lineRule="auto"/>
              <w:ind w:firstLine="0"/>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Кисловодский филиал ГБУЗ «ККВД»</w:t>
            </w:r>
          </w:p>
        </w:tc>
        <w:tc>
          <w:tcPr>
            <w:tcW w:w="3255" w:type="dxa"/>
            <w:tcBorders>
              <w:top w:val="nil"/>
              <w:left w:val="nil"/>
              <w:bottom w:val="single" w:sz="8" w:space="0" w:color="000000"/>
              <w:right w:val="single" w:sz="8" w:space="0" w:color="000000"/>
            </w:tcBorders>
            <w:vAlign w:val="center"/>
            <w:hideMark/>
          </w:tcPr>
          <w:p w14:paraId="1C59724C" w14:textId="77777777" w:rsidR="00902F18" w:rsidRPr="00731FE2" w:rsidRDefault="00902F18" w:rsidP="00902F18">
            <w:pPr>
              <w:spacing w:line="240" w:lineRule="auto"/>
              <w:ind w:firstLine="0"/>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пр. Мира, 7</w:t>
            </w:r>
          </w:p>
        </w:tc>
      </w:tr>
      <w:tr w:rsidR="00902F18" w:rsidRPr="00731FE2" w14:paraId="41EF0162" w14:textId="77777777" w:rsidTr="00CA1D45">
        <w:trPr>
          <w:tblCellSpacing w:w="0" w:type="dxa"/>
        </w:trPr>
        <w:tc>
          <w:tcPr>
            <w:tcW w:w="707" w:type="dxa"/>
            <w:tcBorders>
              <w:top w:val="nil"/>
              <w:left w:val="single" w:sz="8" w:space="0" w:color="000000"/>
              <w:bottom w:val="single" w:sz="8" w:space="0" w:color="000000"/>
              <w:right w:val="single" w:sz="8" w:space="0" w:color="000000"/>
            </w:tcBorders>
            <w:vAlign w:val="center"/>
          </w:tcPr>
          <w:p w14:paraId="5F823BF5" w14:textId="77777777" w:rsidR="00902F18" w:rsidRPr="00731FE2" w:rsidRDefault="00902F18" w:rsidP="007832E7">
            <w:pPr>
              <w:numPr>
                <w:ilvl w:val="0"/>
                <w:numId w:val="117"/>
              </w:numPr>
              <w:spacing w:line="240" w:lineRule="auto"/>
              <w:ind w:left="527" w:hanging="357"/>
              <w:rPr>
                <w:rFonts w:ascii="Times New Roman" w:eastAsia="Times New Roman" w:hAnsi="Times New Roman" w:cs="Times New Roman"/>
                <w:szCs w:val="24"/>
                <w:lang w:eastAsia="ru-RU"/>
              </w:rPr>
            </w:pPr>
          </w:p>
        </w:tc>
        <w:tc>
          <w:tcPr>
            <w:tcW w:w="5373" w:type="dxa"/>
            <w:tcBorders>
              <w:top w:val="nil"/>
              <w:left w:val="nil"/>
              <w:bottom w:val="single" w:sz="8" w:space="0" w:color="000000"/>
              <w:right w:val="single" w:sz="8" w:space="0" w:color="000000"/>
            </w:tcBorders>
            <w:vAlign w:val="center"/>
            <w:hideMark/>
          </w:tcPr>
          <w:p w14:paraId="2243023E" w14:textId="77777777" w:rsidR="00902F18" w:rsidRPr="00731FE2" w:rsidRDefault="00902F18" w:rsidP="00902F18">
            <w:pPr>
              <w:spacing w:line="240" w:lineRule="auto"/>
              <w:ind w:firstLine="0"/>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Дневной стационар</w:t>
            </w:r>
          </w:p>
          <w:p w14:paraId="7FB9CF00" w14:textId="77777777" w:rsidR="00902F18" w:rsidRPr="00731FE2" w:rsidRDefault="00902F18" w:rsidP="00902F18">
            <w:pPr>
              <w:spacing w:line="240" w:lineRule="auto"/>
              <w:ind w:firstLine="0"/>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Кисловодского филиала ГБУЗ «ККВД»</w:t>
            </w:r>
          </w:p>
        </w:tc>
        <w:tc>
          <w:tcPr>
            <w:tcW w:w="3255" w:type="dxa"/>
            <w:tcBorders>
              <w:top w:val="nil"/>
              <w:left w:val="nil"/>
              <w:bottom w:val="single" w:sz="8" w:space="0" w:color="000000"/>
              <w:right w:val="single" w:sz="8" w:space="0" w:color="000000"/>
            </w:tcBorders>
            <w:vAlign w:val="center"/>
            <w:hideMark/>
          </w:tcPr>
          <w:p w14:paraId="164721F9" w14:textId="77777777" w:rsidR="00902F18" w:rsidRPr="00731FE2" w:rsidRDefault="00902F18" w:rsidP="00902F18">
            <w:pPr>
              <w:spacing w:line="240" w:lineRule="auto"/>
              <w:ind w:firstLine="0"/>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ул. Ермолова, 8</w:t>
            </w:r>
          </w:p>
        </w:tc>
      </w:tr>
      <w:tr w:rsidR="00902F18" w:rsidRPr="00731FE2" w14:paraId="42F94709" w14:textId="77777777" w:rsidTr="00CA1D45">
        <w:trPr>
          <w:tblCellSpacing w:w="0" w:type="dxa"/>
        </w:trPr>
        <w:tc>
          <w:tcPr>
            <w:tcW w:w="707" w:type="dxa"/>
            <w:tcBorders>
              <w:top w:val="nil"/>
              <w:left w:val="single" w:sz="8" w:space="0" w:color="000000"/>
              <w:bottom w:val="single" w:sz="8" w:space="0" w:color="000000"/>
              <w:right w:val="single" w:sz="8" w:space="0" w:color="000000"/>
            </w:tcBorders>
            <w:vAlign w:val="center"/>
          </w:tcPr>
          <w:p w14:paraId="0914E1B9" w14:textId="77777777" w:rsidR="00902F18" w:rsidRPr="00731FE2" w:rsidRDefault="00902F18" w:rsidP="007832E7">
            <w:pPr>
              <w:numPr>
                <w:ilvl w:val="0"/>
                <w:numId w:val="117"/>
              </w:numPr>
              <w:spacing w:line="240" w:lineRule="auto"/>
              <w:ind w:left="527" w:hanging="357"/>
              <w:rPr>
                <w:rFonts w:ascii="Times New Roman" w:eastAsia="Times New Roman" w:hAnsi="Times New Roman" w:cs="Times New Roman"/>
                <w:szCs w:val="24"/>
                <w:lang w:eastAsia="ru-RU"/>
              </w:rPr>
            </w:pPr>
          </w:p>
        </w:tc>
        <w:tc>
          <w:tcPr>
            <w:tcW w:w="5373" w:type="dxa"/>
            <w:tcBorders>
              <w:top w:val="nil"/>
              <w:left w:val="nil"/>
              <w:bottom w:val="single" w:sz="8" w:space="0" w:color="000000"/>
              <w:right w:val="single" w:sz="8" w:space="0" w:color="000000"/>
            </w:tcBorders>
            <w:vAlign w:val="center"/>
            <w:hideMark/>
          </w:tcPr>
          <w:p w14:paraId="012436E0" w14:textId="77777777" w:rsidR="00902F18" w:rsidRPr="00731FE2" w:rsidRDefault="00902F18" w:rsidP="00902F18">
            <w:pPr>
              <w:spacing w:line="240" w:lineRule="auto"/>
              <w:ind w:firstLine="0"/>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Кисловодский филиал ГБУЗ СК «Ставропольский краевой центр ЛФК и спортивной медицины»</w:t>
            </w:r>
          </w:p>
        </w:tc>
        <w:tc>
          <w:tcPr>
            <w:tcW w:w="3255" w:type="dxa"/>
            <w:tcBorders>
              <w:top w:val="nil"/>
              <w:left w:val="nil"/>
              <w:bottom w:val="single" w:sz="8" w:space="0" w:color="000000"/>
              <w:right w:val="single" w:sz="8" w:space="0" w:color="000000"/>
            </w:tcBorders>
            <w:vAlign w:val="center"/>
            <w:hideMark/>
          </w:tcPr>
          <w:p w14:paraId="6559D97C" w14:textId="77777777" w:rsidR="00902F18" w:rsidRPr="00731FE2" w:rsidRDefault="00902F18" w:rsidP="00902F18">
            <w:pPr>
              <w:spacing w:line="240" w:lineRule="auto"/>
              <w:ind w:firstLine="0"/>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ул. Ярошенко, 8</w:t>
            </w:r>
          </w:p>
        </w:tc>
      </w:tr>
      <w:tr w:rsidR="00902F18" w:rsidRPr="00731FE2" w14:paraId="5CCD5C53" w14:textId="77777777" w:rsidTr="00CA1D45">
        <w:trPr>
          <w:tblCellSpacing w:w="0" w:type="dxa"/>
        </w:trPr>
        <w:tc>
          <w:tcPr>
            <w:tcW w:w="707" w:type="dxa"/>
            <w:tcBorders>
              <w:top w:val="nil"/>
              <w:left w:val="single" w:sz="8" w:space="0" w:color="000000"/>
              <w:bottom w:val="single" w:sz="8" w:space="0" w:color="000000"/>
              <w:right w:val="single" w:sz="8" w:space="0" w:color="000000"/>
            </w:tcBorders>
            <w:vAlign w:val="center"/>
          </w:tcPr>
          <w:p w14:paraId="7026F32B" w14:textId="77777777" w:rsidR="00902F18" w:rsidRPr="00731FE2" w:rsidRDefault="00902F18" w:rsidP="007832E7">
            <w:pPr>
              <w:numPr>
                <w:ilvl w:val="0"/>
                <w:numId w:val="117"/>
              </w:numPr>
              <w:spacing w:line="240" w:lineRule="auto"/>
              <w:ind w:left="527" w:hanging="357"/>
              <w:rPr>
                <w:rFonts w:ascii="Times New Roman" w:eastAsia="Times New Roman" w:hAnsi="Times New Roman" w:cs="Times New Roman"/>
                <w:szCs w:val="24"/>
                <w:lang w:eastAsia="ru-RU"/>
              </w:rPr>
            </w:pPr>
          </w:p>
        </w:tc>
        <w:tc>
          <w:tcPr>
            <w:tcW w:w="5373" w:type="dxa"/>
            <w:tcBorders>
              <w:top w:val="nil"/>
              <w:left w:val="nil"/>
              <w:bottom w:val="single" w:sz="8" w:space="0" w:color="000000"/>
              <w:right w:val="single" w:sz="8" w:space="0" w:color="000000"/>
            </w:tcBorders>
            <w:vAlign w:val="center"/>
            <w:hideMark/>
          </w:tcPr>
          <w:p w14:paraId="214B9CBA" w14:textId="77777777" w:rsidR="00902F18" w:rsidRPr="00731FE2" w:rsidRDefault="00902F18" w:rsidP="00902F18">
            <w:pPr>
              <w:spacing w:line="240" w:lineRule="auto"/>
              <w:ind w:firstLine="0"/>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ГБУЗ СК «Кисловодская городская</w:t>
            </w:r>
          </w:p>
          <w:p w14:paraId="6CC858D2" w14:textId="77777777" w:rsidR="00902F18" w:rsidRPr="00731FE2" w:rsidRDefault="00902F18" w:rsidP="00902F18">
            <w:pPr>
              <w:spacing w:line="240" w:lineRule="auto"/>
              <w:ind w:firstLine="0"/>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специализированная инфекционная больница»</w:t>
            </w:r>
          </w:p>
          <w:p w14:paraId="5D04548B" w14:textId="77777777" w:rsidR="00902F18" w:rsidRPr="00731FE2" w:rsidRDefault="00902F18" w:rsidP="00902F18">
            <w:pPr>
              <w:spacing w:line="240" w:lineRule="auto"/>
              <w:ind w:firstLine="0"/>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(ГБУЗ СК «КГСИБ»)</w:t>
            </w:r>
          </w:p>
        </w:tc>
        <w:tc>
          <w:tcPr>
            <w:tcW w:w="3255" w:type="dxa"/>
            <w:tcBorders>
              <w:top w:val="nil"/>
              <w:left w:val="nil"/>
              <w:bottom w:val="single" w:sz="8" w:space="0" w:color="000000"/>
              <w:right w:val="single" w:sz="8" w:space="0" w:color="000000"/>
            </w:tcBorders>
            <w:vAlign w:val="center"/>
            <w:hideMark/>
          </w:tcPr>
          <w:p w14:paraId="0A2C33D6" w14:textId="77777777" w:rsidR="00902F18" w:rsidRPr="00731FE2" w:rsidRDefault="00902F18" w:rsidP="00902F18">
            <w:pPr>
              <w:spacing w:line="240" w:lineRule="auto"/>
              <w:ind w:firstLine="0"/>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ул. Линейная, 70</w:t>
            </w:r>
          </w:p>
        </w:tc>
      </w:tr>
      <w:tr w:rsidR="00902F18" w:rsidRPr="00731FE2" w14:paraId="71AEF0BF" w14:textId="77777777" w:rsidTr="00CA1D45">
        <w:trPr>
          <w:tblCellSpacing w:w="0" w:type="dxa"/>
        </w:trPr>
        <w:tc>
          <w:tcPr>
            <w:tcW w:w="707" w:type="dxa"/>
            <w:tcBorders>
              <w:top w:val="nil"/>
              <w:left w:val="single" w:sz="8" w:space="0" w:color="000000"/>
              <w:bottom w:val="single" w:sz="8" w:space="0" w:color="000000"/>
              <w:right w:val="single" w:sz="8" w:space="0" w:color="000000"/>
            </w:tcBorders>
            <w:vAlign w:val="center"/>
          </w:tcPr>
          <w:p w14:paraId="4D5BD636" w14:textId="77777777" w:rsidR="00902F18" w:rsidRPr="00731FE2" w:rsidRDefault="00902F18" w:rsidP="007832E7">
            <w:pPr>
              <w:numPr>
                <w:ilvl w:val="0"/>
                <w:numId w:val="117"/>
              </w:numPr>
              <w:spacing w:line="240" w:lineRule="auto"/>
              <w:ind w:left="527" w:hanging="357"/>
              <w:rPr>
                <w:rFonts w:ascii="Times New Roman" w:eastAsia="Times New Roman" w:hAnsi="Times New Roman" w:cs="Times New Roman"/>
                <w:szCs w:val="24"/>
                <w:lang w:eastAsia="ru-RU"/>
              </w:rPr>
            </w:pPr>
          </w:p>
        </w:tc>
        <w:tc>
          <w:tcPr>
            <w:tcW w:w="5373" w:type="dxa"/>
            <w:tcBorders>
              <w:top w:val="nil"/>
              <w:left w:val="nil"/>
              <w:bottom w:val="single" w:sz="8" w:space="0" w:color="000000"/>
              <w:right w:val="single" w:sz="8" w:space="0" w:color="000000"/>
            </w:tcBorders>
            <w:vAlign w:val="center"/>
            <w:hideMark/>
          </w:tcPr>
          <w:p w14:paraId="5735AB56" w14:textId="77777777" w:rsidR="00902F18" w:rsidRPr="00731FE2" w:rsidRDefault="00902F18" w:rsidP="00902F18">
            <w:pPr>
              <w:spacing w:line="240" w:lineRule="auto"/>
              <w:ind w:firstLine="0"/>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ГБУЗ СК «Краевая специализированная психиатрическая больница №3»</w:t>
            </w:r>
          </w:p>
        </w:tc>
        <w:tc>
          <w:tcPr>
            <w:tcW w:w="3255" w:type="dxa"/>
            <w:tcBorders>
              <w:top w:val="nil"/>
              <w:left w:val="nil"/>
              <w:bottom w:val="single" w:sz="8" w:space="0" w:color="000000"/>
              <w:right w:val="single" w:sz="8" w:space="0" w:color="000000"/>
            </w:tcBorders>
            <w:vAlign w:val="center"/>
            <w:hideMark/>
          </w:tcPr>
          <w:p w14:paraId="40FAD44A" w14:textId="77777777" w:rsidR="00902F18" w:rsidRPr="00731FE2" w:rsidRDefault="00902F18" w:rsidP="00902F18">
            <w:pPr>
              <w:spacing w:line="240" w:lineRule="auto"/>
              <w:ind w:firstLine="0"/>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пер. Хасановский, 4</w:t>
            </w:r>
          </w:p>
        </w:tc>
      </w:tr>
      <w:tr w:rsidR="00902F18" w:rsidRPr="00731FE2" w14:paraId="2F3A5C11" w14:textId="77777777" w:rsidTr="00CA1D45">
        <w:trPr>
          <w:tblCellSpacing w:w="0" w:type="dxa"/>
        </w:trPr>
        <w:tc>
          <w:tcPr>
            <w:tcW w:w="707" w:type="dxa"/>
            <w:tcBorders>
              <w:top w:val="nil"/>
              <w:left w:val="single" w:sz="8" w:space="0" w:color="000000"/>
              <w:bottom w:val="single" w:sz="8" w:space="0" w:color="000000"/>
              <w:right w:val="single" w:sz="8" w:space="0" w:color="000000"/>
            </w:tcBorders>
            <w:vAlign w:val="center"/>
          </w:tcPr>
          <w:p w14:paraId="5F56D5BB" w14:textId="77777777" w:rsidR="00902F18" w:rsidRPr="00731FE2" w:rsidRDefault="00902F18" w:rsidP="007832E7">
            <w:pPr>
              <w:numPr>
                <w:ilvl w:val="0"/>
                <w:numId w:val="117"/>
              </w:numPr>
              <w:spacing w:line="240" w:lineRule="auto"/>
              <w:ind w:left="527" w:hanging="357"/>
              <w:rPr>
                <w:rFonts w:ascii="Times New Roman" w:eastAsia="Times New Roman" w:hAnsi="Times New Roman" w:cs="Times New Roman"/>
                <w:szCs w:val="24"/>
                <w:lang w:eastAsia="ru-RU"/>
              </w:rPr>
            </w:pPr>
          </w:p>
        </w:tc>
        <w:tc>
          <w:tcPr>
            <w:tcW w:w="5373" w:type="dxa"/>
            <w:tcBorders>
              <w:top w:val="nil"/>
              <w:left w:val="nil"/>
              <w:bottom w:val="single" w:sz="8" w:space="0" w:color="000000"/>
              <w:right w:val="single" w:sz="8" w:space="0" w:color="000000"/>
            </w:tcBorders>
            <w:vAlign w:val="center"/>
            <w:hideMark/>
          </w:tcPr>
          <w:p w14:paraId="21525B00" w14:textId="77777777" w:rsidR="00902F18" w:rsidRPr="00731FE2" w:rsidRDefault="00902F18" w:rsidP="00902F18">
            <w:pPr>
              <w:spacing w:line="240" w:lineRule="auto"/>
              <w:ind w:firstLine="0"/>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ГКУЗ «Кисловодский детский пульмонологический санаторий «Семицветик»</w:t>
            </w:r>
          </w:p>
        </w:tc>
        <w:tc>
          <w:tcPr>
            <w:tcW w:w="3255" w:type="dxa"/>
            <w:tcBorders>
              <w:top w:val="nil"/>
              <w:left w:val="nil"/>
              <w:bottom w:val="single" w:sz="8" w:space="0" w:color="000000"/>
              <w:right w:val="single" w:sz="8" w:space="0" w:color="000000"/>
            </w:tcBorders>
            <w:vAlign w:val="center"/>
            <w:hideMark/>
          </w:tcPr>
          <w:p w14:paraId="6F79D056" w14:textId="77777777" w:rsidR="00902F18" w:rsidRPr="00731FE2" w:rsidRDefault="00902F18" w:rsidP="00902F18">
            <w:pPr>
              <w:spacing w:line="240" w:lineRule="auto"/>
              <w:ind w:firstLine="0"/>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ул. Менжинского, 20</w:t>
            </w:r>
          </w:p>
        </w:tc>
      </w:tr>
    </w:tbl>
    <w:p w14:paraId="6CEAD682" w14:textId="77777777" w:rsidR="00CA1D45" w:rsidRPr="00731FE2" w:rsidRDefault="00CA1D45" w:rsidP="00902F18">
      <w:pPr>
        <w:spacing w:line="240" w:lineRule="auto"/>
        <w:rPr>
          <w:rFonts w:ascii="Times New Roman" w:eastAsia="Times New Roman" w:hAnsi="Times New Roman" w:cs="Times New Roman"/>
          <w:color w:val="000000"/>
          <w:szCs w:val="24"/>
          <w:lang w:eastAsia="ru-RU"/>
        </w:rPr>
      </w:pPr>
    </w:p>
    <w:p w14:paraId="08342D5F" w14:textId="77777777" w:rsidR="00902F18" w:rsidRPr="00731FE2" w:rsidRDefault="00902F18" w:rsidP="00CA1D45">
      <w:pP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Cs w:val="24"/>
          <w:lang w:eastAsia="ru-RU"/>
        </w:rPr>
        <w:t xml:space="preserve">Организационная структура станции основана на посменном характере работы и включает в себя разделение медицинского персонала выездных бригад на 4 рабочие смены, которые возглавляются старшим врачом. Ежедневно на линию выходит 10-11 бригад, из которых 1 </w:t>
      </w:r>
      <w:proofErr w:type="gramStart"/>
      <w:r w:rsidRPr="00731FE2">
        <w:rPr>
          <w:rFonts w:ascii="Times New Roman" w:eastAsia="Times New Roman" w:hAnsi="Times New Roman" w:cs="Times New Roman"/>
          <w:color w:val="000000"/>
          <w:szCs w:val="24"/>
          <w:lang w:eastAsia="ru-RU"/>
        </w:rPr>
        <w:t>реанимационная</w:t>
      </w:r>
      <w:proofErr w:type="gramEnd"/>
      <w:r w:rsidRPr="00731FE2">
        <w:rPr>
          <w:rFonts w:ascii="Times New Roman" w:eastAsia="Times New Roman" w:hAnsi="Times New Roman" w:cs="Times New Roman"/>
          <w:color w:val="000000"/>
          <w:szCs w:val="24"/>
          <w:lang w:eastAsia="ru-RU"/>
        </w:rPr>
        <w:t>, остальные – общепрофильные врачебные и фельдшерские. За сутки бригады обслуживают 110-130 вызовов, в периоды эпидемий, праздничных дней до 250 вызовов.</w:t>
      </w:r>
    </w:p>
    <w:p w14:paraId="54BD379A" w14:textId="77777777" w:rsidR="00902F18" w:rsidRPr="00731FE2" w:rsidRDefault="00902F18" w:rsidP="00CA1D45">
      <w:pPr>
        <w:ind w:left="709" w:firstLine="0"/>
        <w:rPr>
          <w:rFonts w:ascii="Times New Roman" w:eastAsia="Times New Roman" w:hAnsi="Times New Roman" w:cs="Times New Roman"/>
          <w:szCs w:val="24"/>
          <w:lang w:eastAsia="ru-RU"/>
        </w:rPr>
      </w:pPr>
      <w:bookmarkStart w:id="32" w:name="_Toc29"/>
      <w:r w:rsidRPr="00731FE2">
        <w:rPr>
          <w:rFonts w:ascii="Times New Roman" w:eastAsia="Times New Roman" w:hAnsi="Times New Roman" w:cs="Times New Roman"/>
          <w:color w:val="7F7F7F"/>
          <w:szCs w:val="24"/>
          <w:lang w:eastAsia="ru-RU"/>
        </w:rPr>
        <w:t>2.8.3 Культура и искусство</w:t>
      </w:r>
      <w:bookmarkEnd w:id="32"/>
    </w:p>
    <w:p w14:paraId="7A0B0195" w14:textId="77777777" w:rsidR="00902F18" w:rsidRPr="00731FE2" w:rsidRDefault="00902F18" w:rsidP="00CA1D45">
      <w:pP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Cs w:val="24"/>
          <w:lang w:eastAsia="ru-RU"/>
        </w:rPr>
        <w:t>Для развития туристско-рекреационного потенциала Кисловодска, система культурно-развлекательных учреждений играет одну из ключевых позиций.</w:t>
      </w:r>
    </w:p>
    <w:p w14:paraId="1348ADE3" w14:textId="77777777" w:rsidR="00902F18" w:rsidRPr="00731FE2" w:rsidRDefault="00902F18" w:rsidP="00CA1D45">
      <w:pP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Cs w:val="24"/>
          <w:lang w:eastAsia="ru-RU"/>
        </w:rPr>
        <w:t xml:space="preserve">Сеть </w:t>
      </w:r>
      <w:proofErr w:type="gramStart"/>
      <w:r w:rsidRPr="00731FE2">
        <w:rPr>
          <w:rFonts w:ascii="Times New Roman" w:eastAsia="Times New Roman" w:hAnsi="Times New Roman" w:cs="Times New Roman"/>
          <w:color w:val="000000"/>
          <w:szCs w:val="24"/>
          <w:lang w:eastAsia="ru-RU"/>
        </w:rPr>
        <w:t>учреждений культуры городского округа города-курорта Кисловодска</w:t>
      </w:r>
      <w:proofErr w:type="gramEnd"/>
      <w:r w:rsidRPr="00731FE2">
        <w:rPr>
          <w:rFonts w:ascii="Times New Roman" w:eastAsia="Times New Roman" w:hAnsi="Times New Roman" w:cs="Times New Roman"/>
          <w:color w:val="000000"/>
          <w:szCs w:val="24"/>
          <w:lang w:eastAsia="ru-RU"/>
        </w:rPr>
        <w:t xml:space="preserve"> насчитывает 28 объектов разной формы собственности. </w:t>
      </w:r>
    </w:p>
    <w:p w14:paraId="6643A193" w14:textId="77777777" w:rsidR="00902F18" w:rsidRPr="00731FE2" w:rsidRDefault="00902F18" w:rsidP="00CA1D45">
      <w:pPr>
        <w:rPr>
          <w:rFonts w:ascii="Times New Roman" w:eastAsia="Times New Roman" w:hAnsi="Times New Roman" w:cs="Times New Roman"/>
          <w:szCs w:val="24"/>
          <w:lang w:eastAsia="ru-RU"/>
        </w:rPr>
      </w:pPr>
      <w:proofErr w:type="gramStart"/>
      <w:r w:rsidRPr="00731FE2">
        <w:rPr>
          <w:rFonts w:ascii="Times New Roman" w:eastAsia="Times New Roman" w:hAnsi="Times New Roman" w:cs="Times New Roman"/>
          <w:color w:val="000000"/>
          <w:szCs w:val="24"/>
          <w:lang w:eastAsia="ru-RU"/>
        </w:rPr>
        <w:t>Всего 17 учреждений находятся в подчинении Комитета культуры города-курорта: 11 библиотек (с филиалами), 2 учреждения культурно-досугового типа (межнациональный культурно-просветительный центр «Дружба», дом культуры «Аликоновка»), 4 школы дополнительного образования («Детская музыкальная школа им. С.В. Рахманинова», «Детская музыкальная школа №2», «Детская хореографическая школа», «Художественная школа им. Н.А. Ярошенко»), 1 выставочный зал (музейного типа).</w:t>
      </w:r>
      <w:proofErr w:type="gramEnd"/>
    </w:p>
    <w:p w14:paraId="4B9A6283" w14:textId="77777777" w:rsidR="00902F18" w:rsidRPr="00731FE2" w:rsidRDefault="00902F18" w:rsidP="00CA1D45">
      <w:pPr>
        <w:rPr>
          <w:rFonts w:ascii="Times New Roman" w:eastAsia="Times New Roman" w:hAnsi="Times New Roman" w:cs="Times New Roman"/>
          <w:szCs w:val="24"/>
          <w:lang w:eastAsia="ru-RU"/>
        </w:rPr>
      </w:pPr>
      <w:proofErr w:type="gramStart"/>
      <w:r w:rsidRPr="00731FE2">
        <w:rPr>
          <w:rFonts w:ascii="Times New Roman" w:eastAsia="Times New Roman" w:hAnsi="Times New Roman" w:cs="Times New Roman"/>
          <w:color w:val="000000"/>
          <w:szCs w:val="24"/>
          <w:lang w:eastAsia="ru-RU"/>
        </w:rPr>
        <w:t>Также на территории города-курорта действуют «Северо-Кавказская государственная филармония им. В.И. Сафонова», «Кисловодский историко-краеведческий музей «Крепость», «Театр-музей «Благодать», «Мемориальный музей-усадьба художника Н.А. Ярошенко», «Литературно-музыкальный музей «Дача Шаляпина», «Кисловодский государственный цирк», «Дом культуры курорта», «Кисловодская контора по прокату кинофильмов», «Союз художников России», «Музей им. А.И. Солженицына»</w:t>
      </w:r>
      <w:proofErr w:type="gramEnd"/>
    </w:p>
    <w:p w14:paraId="7CC21AD2" w14:textId="77777777" w:rsidR="00902F18" w:rsidRPr="00731FE2" w:rsidRDefault="00902F18" w:rsidP="00CA1D45">
      <w:pP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Cs w:val="24"/>
          <w:lang w:eastAsia="ru-RU"/>
        </w:rPr>
        <w:t>Централизованная библиотечная система занимается организацией библиотечного обслуживания населения и состоит из 11 филиалов.</w:t>
      </w:r>
      <w:r w:rsidR="00CA1D45" w:rsidRPr="00731FE2">
        <w:rPr>
          <w:rFonts w:ascii="Times New Roman" w:eastAsia="Times New Roman" w:hAnsi="Times New Roman" w:cs="Times New Roman"/>
          <w:color w:val="000000"/>
          <w:szCs w:val="24"/>
          <w:lang w:eastAsia="ru-RU"/>
        </w:rPr>
        <w:t xml:space="preserve"> </w:t>
      </w:r>
      <w:r w:rsidRPr="00731FE2">
        <w:rPr>
          <w:rFonts w:ascii="Times New Roman" w:eastAsia="Times New Roman" w:hAnsi="Times New Roman" w:cs="Times New Roman"/>
          <w:color w:val="000000"/>
          <w:szCs w:val="24"/>
          <w:lang w:eastAsia="ru-RU"/>
        </w:rPr>
        <w:t xml:space="preserve">Основные показатели работы в сфере культуры и искусства приведены в таблице </w:t>
      </w:r>
      <w:r w:rsidR="00CA1D45" w:rsidRPr="00731FE2">
        <w:rPr>
          <w:rFonts w:ascii="Times New Roman" w:eastAsia="Times New Roman" w:hAnsi="Times New Roman" w:cs="Times New Roman"/>
          <w:color w:val="000000"/>
          <w:szCs w:val="24"/>
          <w:lang w:eastAsia="ru-RU"/>
        </w:rPr>
        <w:t>ниже</w:t>
      </w:r>
      <w:r w:rsidRPr="00731FE2">
        <w:rPr>
          <w:rFonts w:ascii="Times New Roman" w:eastAsia="Times New Roman" w:hAnsi="Times New Roman" w:cs="Times New Roman"/>
          <w:color w:val="000000"/>
          <w:szCs w:val="24"/>
          <w:lang w:eastAsia="ru-RU"/>
        </w:rPr>
        <w:t>.</w:t>
      </w:r>
    </w:p>
    <w:p w14:paraId="3D8BE552" w14:textId="77777777" w:rsidR="00902F18" w:rsidRPr="00731FE2" w:rsidRDefault="00902F18" w:rsidP="00CA1D45">
      <w:pPr>
        <w:ind w:firstLine="0"/>
        <w:jc w:val="left"/>
        <w:rPr>
          <w:rFonts w:ascii="Times New Roman" w:eastAsia="Times New Roman" w:hAnsi="Times New Roman" w:cs="Times New Roman"/>
          <w:szCs w:val="24"/>
          <w:lang w:eastAsia="ru-RU"/>
        </w:rPr>
      </w:pPr>
    </w:p>
    <w:p w14:paraId="3AE95E85" w14:textId="77777777" w:rsidR="00902F18" w:rsidRPr="00731FE2" w:rsidRDefault="009B6BDD" w:rsidP="00902F18">
      <w:pPr>
        <w:keepNext/>
        <w:spacing w:line="240" w:lineRule="auto"/>
        <w:ind w:firstLine="0"/>
        <w:rPr>
          <w:rFonts w:ascii="Times New Roman" w:eastAsia="Times New Roman" w:hAnsi="Times New Roman" w:cs="Times New Roman"/>
          <w:szCs w:val="24"/>
          <w:lang w:eastAsia="ru-RU"/>
        </w:rPr>
      </w:pPr>
      <w:r w:rsidRPr="00731FE2">
        <w:rPr>
          <w:rFonts w:ascii="Times New Roman" w:eastAsia="Times New Roman" w:hAnsi="Times New Roman" w:cs="Times New Roman"/>
          <w:b/>
          <w:bCs/>
          <w:color w:val="000000"/>
          <w:szCs w:val="24"/>
          <w:lang w:eastAsia="ru-RU"/>
        </w:rPr>
        <w:t xml:space="preserve">Таблица </w:t>
      </w:r>
      <w:r w:rsidRPr="00731FE2">
        <w:rPr>
          <w:rFonts w:ascii="Times New Roman" w:eastAsia="Times New Roman" w:hAnsi="Times New Roman" w:cs="Times New Roman"/>
          <w:b/>
          <w:bCs/>
          <w:color w:val="000000"/>
          <w:szCs w:val="24"/>
          <w:lang w:eastAsia="ru-RU"/>
        </w:rPr>
        <w:fldChar w:fldCharType="begin"/>
      </w:r>
      <w:r w:rsidRPr="00731FE2">
        <w:rPr>
          <w:rFonts w:ascii="Times New Roman" w:eastAsia="Times New Roman" w:hAnsi="Times New Roman" w:cs="Times New Roman"/>
          <w:b/>
          <w:bCs/>
          <w:color w:val="000000"/>
          <w:szCs w:val="24"/>
          <w:lang w:eastAsia="ru-RU"/>
        </w:rPr>
        <w:instrText xml:space="preserve"> SEQ Таблица \* Arabic </w:instrText>
      </w:r>
      <w:r w:rsidRPr="00731FE2">
        <w:rPr>
          <w:rFonts w:ascii="Times New Roman" w:eastAsia="Times New Roman" w:hAnsi="Times New Roman" w:cs="Times New Roman"/>
          <w:b/>
          <w:bCs/>
          <w:color w:val="000000"/>
          <w:szCs w:val="24"/>
          <w:lang w:eastAsia="ru-RU"/>
        </w:rPr>
        <w:fldChar w:fldCharType="separate"/>
      </w:r>
      <w:r w:rsidR="00C50915" w:rsidRPr="00731FE2">
        <w:rPr>
          <w:rFonts w:ascii="Times New Roman" w:eastAsia="Times New Roman" w:hAnsi="Times New Roman" w:cs="Times New Roman"/>
          <w:b/>
          <w:bCs/>
          <w:noProof/>
          <w:color w:val="000000"/>
          <w:szCs w:val="24"/>
          <w:lang w:eastAsia="ru-RU"/>
        </w:rPr>
        <w:t>16</w:t>
      </w:r>
      <w:r w:rsidRPr="00731FE2">
        <w:rPr>
          <w:rFonts w:ascii="Times New Roman" w:eastAsia="Times New Roman" w:hAnsi="Times New Roman" w:cs="Times New Roman"/>
          <w:b/>
          <w:bCs/>
          <w:color w:val="000000"/>
          <w:szCs w:val="24"/>
          <w:lang w:eastAsia="ru-RU"/>
        </w:rPr>
        <w:fldChar w:fldCharType="end"/>
      </w:r>
      <w:r w:rsidRPr="00731FE2">
        <w:rPr>
          <w:rFonts w:ascii="Times New Roman" w:eastAsia="Times New Roman" w:hAnsi="Times New Roman" w:cs="Times New Roman"/>
          <w:b/>
          <w:bCs/>
          <w:color w:val="000000"/>
          <w:szCs w:val="24"/>
          <w:lang w:eastAsia="ru-RU"/>
        </w:rPr>
        <w:t xml:space="preserve"> – </w:t>
      </w:r>
      <w:r w:rsidR="00902F18" w:rsidRPr="00731FE2">
        <w:rPr>
          <w:rFonts w:ascii="Times New Roman" w:eastAsia="Times New Roman" w:hAnsi="Times New Roman" w:cs="Times New Roman"/>
          <w:b/>
          <w:bCs/>
          <w:color w:val="000000"/>
          <w:szCs w:val="24"/>
          <w:lang w:eastAsia="ru-RU"/>
        </w:rPr>
        <w:t>Объекты культурно-досугового назначения (Дом культуры, библиотека, кинотеатр, театр, сельский клуб, музей, художественные и музыкальные школы) на 2023 г.</w:t>
      </w:r>
    </w:p>
    <w:tbl>
      <w:tblPr>
        <w:tblW w:w="0" w:type="auto"/>
        <w:tblCellSpacing w:w="0" w:type="dxa"/>
        <w:tblLayout w:type="fixed"/>
        <w:tblLook w:val="04A0" w:firstRow="1" w:lastRow="0" w:firstColumn="1" w:lastColumn="0" w:noHBand="0" w:noVBand="1"/>
      </w:tblPr>
      <w:tblGrid>
        <w:gridCol w:w="557"/>
        <w:gridCol w:w="2410"/>
        <w:gridCol w:w="1559"/>
        <w:gridCol w:w="1418"/>
        <w:gridCol w:w="1982"/>
        <w:gridCol w:w="1409"/>
      </w:tblGrid>
      <w:tr w:rsidR="00CA1D45" w:rsidRPr="00731FE2" w14:paraId="7DC70313" w14:textId="77777777" w:rsidTr="009B6BDD">
        <w:trPr>
          <w:trHeight w:val="20"/>
          <w:tblCellSpacing w:w="0" w:type="dxa"/>
        </w:trPr>
        <w:tc>
          <w:tcPr>
            <w:tcW w:w="557" w:type="dxa"/>
            <w:tcBorders>
              <w:top w:val="single" w:sz="8" w:space="0" w:color="000000"/>
              <w:left w:val="single" w:sz="8" w:space="0" w:color="000000"/>
              <w:bottom w:val="single" w:sz="8" w:space="0" w:color="000000"/>
              <w:right w:val="single" w:sz="8" w:space="0" w:color="000000"/>
            </w:tcBorders>
            <w:tcMar>
              <w:top w:w="0" w:type="dxa"/>
              <w:left w:w="0" w:type="dxa"/>
              <w:bottom w:w="0" w:type="dxa"/>
              <w:right w:w="28" w:type="dxa"/>
            </w:tcMar>
            <w:vAlign w:val="center"/>
          </w:tcPr>
          <w:p w14:paraId="25DBE517" w14:textId="77777777" w:rsidR="00CA1D45" w:rsidRPr="00731FE2" w:rsidRDefault="00CA1D45" w:rsidP="00CA1D45">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b/>
                <w:bCs/>
                <w:color w:val="000000"/>
                <w:sz w:val="22"/>
                <w:lang w:eastAsia="ru-RU"/>
              </w:rPr>
              <w:t xml:space="preserve">№ </w:t>
            </w:r>
            <w:proofErr w:type="gramStart"/>
            <w:r w:rsidRPr="00731FE2">
              <w:rPr>
                <w:rFonts w:ascii="Times New Roman" w:eastAsia="Times New Roman" w:hAnsi="Times New Roman" w:cs="Times New Roman"/>
                <w:b/>
                <w:bCs/>
                <w:color w:val="000000"/>
                <w:sz w:val="22"/>
                <w:lang w:eastAsia="ru-RU"/>
              </w:rPr>
              <w:t>п</w:t>
            </w:r>
            <w:proofErr w:type="gramEnd"/>
            <w:r w:rsidRPr="00731FE2">
              <w:rPr>
                <w:rFonts w:ascii="Times New Roman" w:eastAsia="Times New Roman" w:hAnsi="Times New Roman" w:cs="Times New Roman"/>
                <w:b/>
                <w:bCs/>
                <w:color w:val="000000"/>
                <w:sz w:val="22"/>
                <w:lang w:eastAsia="ru-RU"/>
              </w:rPr>
              <w:t>/п</w:t>
            </w:r>
          </w:p>
        </w:tc>
        <w:tc>
          <w:tcPr>
            <w:tcW w:w="2410" w:type="dxa"/>
            <w:tcBorders>
              <w:top w:val="single" w:sz="8" w:space="0" w:color="000000"/>
              <w:left w:val="nil"/>
              <w:bottom w:val="single" w:sz="8" w:space="0" w:color="000000"/>
              <w:right w:val="single" w:sz="8" w:space="0" w:color="000000"/>
            </w:tcBorders>
            <w:tcMar>
              <w:top w:w="0" w:type="dxa"/>
              <w:left w:w="0" w:type="dxa"/>
              <w:bottom w:w="0" w:type="dxa"/>
              <w:right w:w="28" w:type="dxa"/>
            </w:tcMar>
            <w:vAlign w:val="center"/>
            <w:hideMark/>
          </w:tcPr>
          <w:p w14:paraId="7FF075D9" w14:textId="77777777" w:rsidR="00CA1D45" w:rsidRPr="00731FE2" w:rsidRDefault="00CA1D45" w:rsidP="00CA1D45">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b/>
                <w:bCs/>
                <w:color w:val="000000"/>
                <w:sz w:val="22"/>
                <w:lang w:eastAsia="ru-RU"/>
              </w:rPr>
              <w:t>Наименование</w:t>
            </w:r>
          </w:p>
        </w:tc>
        <w:tc>
          <w:tcPr>
            <w:tcW w:w="1559" w:type="dxa"/>
            <w:tcBorders>
              <w:top w:val="single" w:sz="8" w:space="0" w:color="000000"/>
              <w:left w:val="nil"/>
              <w:bottom w:val="single" w:sz="8" w:space="0" w:color="000000"/>
              <w:right w:val="single" w:sz="8" w:space="0" w:color="000000"/>
            </w:tcBorders>
            <w:tcMar>
              <w:top w:w="0" w:type="dxa"/>
              <w:left w:w="0" w:type="dxa"/>
              <w:bottom w:w="0" w:type="dxa"/>
              <w:right w:w="28" w:type="dxa"/>
            </w:tcMar>
            <w:vAlign w:val="center"/>
            <w:hideMark/>
          </w:tcPr>
          <w:p w14:paraId="46E60582" w14:textId="77777777" w:rsidR="00CA1D45" w:rsidRPr="00731FE2" w:rsidRDefault="00CA1D45" w:rsidP="00CA1D45">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b/>
                <w:bCs/>
                <w:color w:val="000000"/>
                <w:sz w:val="22"/>
                <w:lang w:eastAsia="ru-RU"/>
              </w:rPr>
              <w:t>Адрес</w:t>
            </w:r>
          </w:p>
        </w:tc>
        <w:tc>
          <w:tcPr>
            <w:tcW w:w="1418" w:type="dxa"/>
            <w:tcBorders>
              <w:top w:val="single" w:sz="8" w:space="0" w:color="000000"/>
              <w:left w:val="nil"/>
              <w:bottom w:val="single" w:sz="8" w:space="0" w:color="000000"/>
              <w:right w:val="single" w:sz="8" w:space="0" w:color="000000"/>
            </w:tcBorders>
            <w:tcMar>
              <w:top w:w="0" w:type="dxa"/>
              <w:left w:w="0" w:type="dxa"/>
              <w:bottom w:w="0" w:type="dxa"/>
              <w:right w:w="28" w:type="dxa"/>
            </w:tcMar>
            <w:vAlign w:val="center"/>
            <w:hideMark/>
          </w:tcPr>
          <w:p w14:paraId="016E39DA" w14:textId="77777777" w:rsidR="00CA1D45" w:rsidRPr="00731FE2" w:rsidRDefault="00CA1D45" w:rsidP="00CA1D45">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b/>
                <w:bCs/>
                <w:color w:val="000000"/>
                <w:sz w:val="22"/>
                <w:lang w:eastAsia="ru-RU"/>
              </w:rPr>
              <w:t>Вместимость (мест, количество ед. хранения)</w:t>
            </w:r>
          </w:p>
        </w:tc>
        <w:tc>
          <w:tcPr>
            <w:tcW w:w="1982" w:type="dxa"/>
            <w:tcBorders>
              <w:top w:val="single" w:sz="8" w:space="0" w:color="000000"/>
              <w:left w:val="nil"/>
              <w:bottom w:val="single" w:sz="8" w:space="0" w:color="000000"/>
              <w:right w:val="single" w:sz="8" w:space="0" w:color="000000"/>
            </w:tcBorders>
            <w:tcMar>
              <w:top w:w="0" w:type="dxa"/>
              <w:left w:w="0" w:type="dxa"/>
              <w:bottom w:w="0" w:type="dxa"/>
              <w:right w:w="28" w:type="dxa"/>
            </w:tcMar>
            <w:vAlign w:val="center"/>
            <w:hideMark/>
          </w:tcPr>
          <w:p w14:paraId="7CAE09B4" w14:textId="77777777" w:rsidR="00CA1D45" w:rsidRPr="00731FE2" w:rsidRDefault="00CA1D45" w:rsidP="00CA1D45">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b/>
                <w:bCs/>
                <w:color w:val="000000"/>
                <w:sz w:val="22"/>
                <w:lang w:eastAsia="ru-RU"/>
              </w:rPr>
              <w:t>Состояние зданий и сооружений (новое, удовлетворительное, требуется капительный ремонт, аварийное)</w:t>
            </w:r>
          </w:p>
        </w:tc>
        <w:tc>
          <w:tcPr>
            <w:tcW w:w="1409" w:type="dxa"/>
            <w:tcBorders>
              <w:top w:val="single" w:sz="8" w:space="0" w:color="000000"/>
              <w:left w:val="nil"/>
              <w:bottom w:val="single" w:sz="8" w:space="0" w:color="000000"/>
              <w:right w:val="single" w:sz="8" w:space="0" w:color="000000"/>
            </w:tcBorders>
            <w:vAlign w:val="center"/>
          </w:tcPr>
          <w:p w14:paraId="3BB7305C" w14:textId="77777777" w:rsidR="00CA1D45" w:rsidRPr="00731FE2" w:rsidRDefault="00CA1D45" w:rsidP="00CA1D45">
            <w:pPr>
              <w:spacing w:line="240" w:lineRule="auto"/>
              <w:ind w:firstLine="0"/>
              <w:jc w:val="center"/>
              <w:rPr>
                <w:rFonts w:ascii="Times New Roman" w:eastAsia="Times New Roman" w:hAnsi="Times New Roman" w:cs="Times New Roman"/>
                <w:b/>
                <w:bCs/>
                <w:color w:val="000000"/>
                <w:sz w:val="22"/>
                <w:lang w:eastAsia="ru-RU"/>
              </w:rPr>
            </w:pPr>
            <w:r w:rsidRPr="00731FE2">
              <w:rPr>
                <w:rFonts w:ascii="Times New Roman" w:eastAsia="Times New Roman" w:hAnsi="Times New Roman" w:cs="Times New Roman"/>
                <w:b/>
                <w:bCs/>
                <w:color w:val="000000"/>
                <w:sz w:val="22"/>
                <w:lang w:eastAsia="ru-RU"/>
              </w:rPr>
              <w:t>Количество работников</w:t>
            </w:r>
          </w:p>
        </w:tc>
      </w:tr>
      <w:tr w:rsidR="00CA1D45" w:rsidRPr="00731FE2" w14:paraId="32490D53" w14:textId="77777777" w:rsidTr="009B6BDD">
        <w:trPr>
          <w:trHeight w:val="20"/>
          <w:tblCellSpacing w:w="0" w:type="dxa"/>
        </w:trPr>
        <w:tc>
          <w:tcPr>
            <w:tcW w:w="557" w:type="dxa"/>
            <w:tcBorders>
              <w:top w:val="nil"/>
              <w:left w:val="single" w:sz="8" w:space="0" w:color="000000"/>
              <w:bottom w:val="single" w:sz="8" w:space="0" w:color="000000"/>
              <w:right w:val="single" w:sz="8" w:space="0" w:color="000000"/>
            </w:tcBorders>
            <w:tcMar>
              <w:top w:w="0" w:type="dxa"/>
              <w:left w:w="0" w:type="dxa"/>
              <w:bottom w:w="0" w:type="dxa"/>
              <w:right w:w="28" w:type="dxa"/>
            </w:tcMar>
            <w:vAlign w:val="center"/>
          </w:tcPr>
          <w:p w14:paraId="56CDDEF2" w14:textId="77777777" w:rsidR="00CA1D45" w:rsidRPr="00731FE2" w:rsidRDefault="00CA1D45" w:rsidP="007832E7">
            <w:pPr>
              <w:pStyle w:val="a3"/>
              <w:numPr>
                <w:ilvl w:val="0"/>
                <w:numId w:val="118"/>
              </w:numPr>
              <w:spacing w:line="240" w:lineRule="auto"/>
              <w:ind w:left="527" w:hanging="357"/>
              <w:jc w:val="left"/>
              <w:rPr>
                <w:rFonts w:ascii="Times New Roman" w:eastAsia="Times New Roman" w:hAnsi="Times New Roman" w:cs="Times New Roman"/>
                <w:sz w:val="22"/>
                <w:lang w:eastAsia="ru-RU"/>
              </w:rPr>
            </w:pPr>
          </w:p>
        </w:tc>
        <w:tc>
          <w:tcPr>
            <w:tcW w:w="2410" w:type="dxa"/>
            <w:tcBorders>
              <w:top w:val="nil"/>
              <w:left w:val="nil"/>
              <w:bottom w:val="single" w:sz="8" w:space="0" w:color="000000"/>
              <w:right w:val="single" w:sz="8" w:space="0" w:color="000000"/>
            </w:tcBorders>
            <w:tcMar>
              <w:top w:w="0" w:type="dxa"/>
              <w:left w:w="0" w:type="dxa"/>
              <w:bottom w:w="0" w:type="dxa"/>
              <w:right w:w="28" w:type="dxa"/>
            </w:tcMar>
            <w:vAlign w:val="center"/>
            <w:hideMark/>
          </w:tcPr>
          <w:p w14:paraId="32EECB3F" w14:textId="77777777" w:rsidR="00CA1D45" w:rsidRPr="00731FE2" w:rsidRDefault="00CA1D45" w:rsidP="00CA1D45">
            <w:pPr>
              <w:spacing w:line="240" w:lineRule="auto"/>
              <w:ind w:left="142" w:firstLine="0"/>
              <w:jc w:val="left"/>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 xml:space="preserve">МБУДО города-курорта Кисловодска </w:t>
            </w:r>
            <w:r w:rsidRPr="00731FE2">
              <w:rPr>
                <w:rFonts w:ascii="Times New Roman" w:eastAsia="Times New Roman" w:hAnsi="Times New Roman" w:cs="Times New Roman"/>
                <w:color w:val="000000"/>
                <w:sz w:val="22"/>
                <w:lang w:eastAsia="ru-RU"/>
              </w:rPr>
              <w:lastRenderedPageBreak/>
              <w:t>«Детская музыкальная школа имени В.И.</w:t>
            </w:r>
            <w:r w:rsidR="00A31712" w:rsidRPr="00731FE2">
              <w:rPr>
                <w:rFonts w:ascii="Times New Roman" w:eastAsia="Times New Roman" w:hAnsi="Times New Roman" w:cs="Times New Roman"/>
                <w:color w:val="000000"/>
                <w:sz w:val="22"/>
                <w:lang w:eastAsia="ru-RU"/>
              </w:rPr>
              <w:t xml:space="preserve"> </w:t>
            </w:r>
            <w:r w:rsidRPr="00731FE2">
              <w:rPr>
                <w:rFonts w:ascii="Times New Roman" w:eastAsia="Times New Roman" w:hAnsi="Times New Roman" w:cs="Times New Roman"/>
                <w:color w:val="000000"/>
                <w:sz w:val="22"/>
                <w:lang w:eastAsia="ru-RU"/>
              </w:rPr>
              <w:t>Сафонова»</w:t>
            </w:r>
          </w:p>
        </w:tc>
        <w:tc>
          <w:tcPr>
            <w:tcW w:w="1559" w:type="dxa"/>
            <w:tcBorders>
              <w:top w:val="nil"/>
              <w:left w:val="nil"/>
              <w:bottom w:val="single" w:sz="8" w:space="0" w:color="000000"/>
              <w:right w:val="single" w:sz="8" w:space="0" w:color="000000"/>
            </w:tcBorders>
            <w:tcMar>
              <w:top w:w="0" w:type="dxa"/>
              <w:left w:w="0" w:type="dxa"/>
              <w:bottom w:w="0" w:type="dxa"/>
              <w:right w:w="28" w:type="dxa"/>
            </w:tcMar>
            <w:vAlign w:val="center"/>
            <w:hideMark/>
          </w:tcPr>
          <w:p w14:paraId="0DF807DB" w14:textId="77777777" w:rsidR="00CA1D45" w:rsidRPr="00731FE2" w:rsidRDefault="00CA1D45" w:rsidP="00CA1D45">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lastRenderedPageBreak/>
              <w:t xml:space="preserve">г.-к. Кисловодск, ул. </w:t>
            </w:r>
            <w:proofErr w:type="gramStart"/>
            <w:r w:rsidRPr="00731FE2">
              <w:rPr>
                <w:rFonts w:ascii="Times New Roman" w:eastAsia="Times New Roman" w:hAnsi="Times New Roman" w:cs="Times New Roman"/>
                <w:color w:val="000000"/>
                <w:sz w:val="22"/>
                <w:lang w:eastAsia="ru-RU"/>
              </w:rPr>
              <w:lastRenderedPageBreak/>
              <w:t>Октябрьская</w:t>
            </w:r>
            <w:proofErr w:type="gramEnd"/>
            <w:r w:rsidRPr="00731FE2">
              <w:rPr>
                <w:rFonts w:ascii="Times New Roman" w:eastAsia="Times New Roman" w:hAnsi="Times New Roman" w:cs="Times New Roman"/>
                <w:color w:val="000000"/>
                <w:sz w:val="22"/>
                <w:lang w:eastAsia="ru-RU"/>
              </w:rPr>
              <w:t>, 8</w:t>
            </w:r>
          </w:p>
        </w:tc>
        <w:tc>
          <w:tcPr>
            <w:tcW w:w="1418" w:type="dxa"/>
            <w:tcBorders>
              <w:top w:val="nil"/>
              <w:left w:val="nil"/>
              <w:bottom w:val="single" w:sz="8" w:space="0" w:color="000000"/>
              <w:right w:val="single" w:sz="8" w:space="0" w:color="000000"/>
            </w:tcBorders>
            <w:tcMar>
              <w:top w:w="0" w:type="dxa"/>
              <w:left w:w="0" w:type="dxa"/>
              <w:bottom w:w="0" w:type="dxa"/>
              <w:right w:w="28" w:type="dxa"/>
            </w:tcMar>
            <w:vAlign w:val="center"/>
            <w:hideMark/>
          </w:tcPr>
          <w:p w14:paraId="7F521979" w14:textId="77777777" w:rsidR="00CA1D45" w:rsidRPr="00731FE2" w:rsidRDefault="00CA1D45" w:rsidP="00CA1D45">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lastRenderedPageBreak/>
              <w:t>452</w:t>
            </w:r>
          </w:p>
        </w:tc>
        <w:tc>
          <w:tcPr>
            <w:tcW w:w="1982" w:type="dxa"/>
            <w:tcBorders>
              <w:top w:val="nil"/>
              <w:left w:val="nil"/>
              <w:bottom w:val="single" w:sz="8" w:space="0" w:color="000000"/>
              <w:right w:val="single" w:sz="8" w:space="0" w:color="000000"/>
            </w:tcBorders>
            <w:tcMar>
              <w:top w:w="0" w:type="dxa"/>
              <w:left w:w="0" w:type="dxa"/>
              <w:bottom w:w="0" w:type="dxa"/>
              <w:right w:w="28" w:type="dxa"/>
            </w:tcMar>
            <w:vAlign w:val="center"/>
            <w:hideMark/>
          </w:tcPr>
          <w:p w14:paraId="0BA82AA6" w14:textId="77777777" w:rsidR="00CA1D45" w:rsidRPr="00731FE2" w:rsidRDefault="00CA1D45" w:rsidP="00CA1D45">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 xml:space="preserve">Требуется капитальный </w:t>
            </w:r>
            <w:r w:rsidRPr="00731FE2">
              <w:rPr>
                <w:rFonts w:ascii="Times New Roman" w:eastAsia="Times New Roman" w:hAnsi="Times New Roman" w:cs="Times New Roman"/>
                <w:color w:val="000000"/>
                <w:sz w:val="22"/>
                <w:lang w:eastAsia="ru-RU"/>
              </w:rPr>
              <w:lastRenderedPageBreak/>
              <w:t>ремонт</w:t>
            </w:r>
          </w:p>
        </w:tc>
        <w:tc>
          <w:tcPr>
            <w:tcW w:w="1409" w:type="dxa"/>
            <w:tcBorders>
              <w:top w:val="nil"/>
              <w:left w:val="nil"/>
              <w:bottom w:val="single" w:sz="8" w:space="0" w:color="000000"/>
              <w:right w:val="single" w:sz="8" w:space="0" w:color="000000"/>
            </w:tcBorders>
            <w:vAlign w:val="center"/>
          </w:tcPr>
          <w:p w14:paraId="4D78E72A" w14:textId="77777777" w:rsidR="00CA1D45" w:rsidRPr="00731FE2" w:rsidRDefault="00CA1D45" w:rsidP="00CA1D45">
            <w:pPr>
              <w:spacing w:line="240" w:lineRule="auto"/>
              <w:ind w:firstLine="0"/>
              <w:jc w:val="center"/>
              <w:rPr>
                <w:rFonts w:ascii="Times New Roman" w:eastAsia="Times New Roman" w:hAnsi="Times New Roman" w:cs="Times New Roman"/>
                <w:color w:val="000000"/>
                <w:sz w:val="22"/>
                <w:lang w:eastAsia="ru-RU"/>
              </w:rPr>
            </w:pPr>
            <w:r w:rsidRPr="00731FE2">
              <w:rPr>
                <w:rFonts w:ascii="Times New Roman" w:eastAsia="Times New Roman" w:hAnsi="Times New Roman" w:cs="Times New Roman"/>
                <w:color w:val="000000"/>
                <w:sz w:val="22"/>
                <w:lang w:eastAsia="ru-RU"/>
              </w:rPr>
              <w:lastRenderedPageBreak/>
              <w:t>39</w:t>
            </w:r>
          </w:p>
        </w:tc>
      </w:tr>
      <w:tr w:rsidR="00CA1D45" w:rsidRPr="00731FE2" w14:paraId="3A22384D" w14:textId="77777777" w:rsidTr="009B6BDD">
        <w:trPr>
          <w:trHeight w:val="20"/>
          <w:tblCellSpacing w:w="0" w:type="dxa"/>
        </w:trPr>
        <w:tc>
          <w:tcPr>
            <w:tcW w:w="557" w:type="dxa"/>
            <w:tcBorders>
              <w:top w:val="nil"/>
              <w:left w:val="single" w:sz="8" w:space="0" w:color="000000"/>
              <w:bottom w:val="single" w:sz="8" w:space="0" w:color="000000"/>
              <w:right w:val="single" w:sz="8" w:space="0" w:color="000000"/>
            </w:tcBorders>
            <w:tcMar>
              <w:top w:w="0" w:type="dxa"/>
              <w:left w:w="0" w:type="dxa"/>
              <w:bottom w:w="0" w:type="dxa"/>
              <w:right w:w="28" w:type="dxa"/>
            </w:tcMar>
            <w:vAlign w:val="center"/>
          </w:tcPr>
          <w:p w14:paraId="3791058A" w14:textId="77777777" w:rsidR="00CA1D45" w:rsidRPr="00731FE2" w:rsidRDefault="00CA1D45" w:rsidP="007832E7">
            <w:pPr>
              <w:pStyle w:val="a3"/>
              <w:numPr>
                <w:ilvl w:val="0"/>
                <w:numId w:val="118"/>
              </w:numPr>
              <w:spacing w:line="240" w:lineRule="auto"/>
              <w:ind w:left="527" w:hanging="357"/>
              <w:jc w:val="left"/>
              <w:rPr>
                <w:rFonts w:ascii="Times New Roman" w:eastAsia="Times New Roman" w:hAnsi="Times New Roman" w:cs="Times New Roman"/>
                <w:sz w:val="22"/>
                <w:lang w:eastAsia="ru-RU"/>
              </w:rPr>
            </w:pPr>
          </w:p>
        </w:tc>
        <w:tc>
          <w:tcPr>
            <w:tcW w:w="2410" w:type="dxa"/>
            <w:tcBorders>
              <w:top w:val="nil"/>
              <w:left w:val="nil"/>
              <w:bottom w:val="single" w:sz="8" w:space="0" w:color="000000"/>
              <w:right w:val="single" w:sz="8" w:space="0" w:color="000000"/>
            </w:tcBorders>
            <w:tcMar>
              <w:top w:w="0" w:type="dxa"/>
              <w:left w:w="0" w:type="dxa"/>
              <w:bottom w:w="0" w:type="dxa"/>
              <w:right w:w="28" w:type="dxa"/>
            </w:tcMar>
            <w:vAlign w:val="center"/>
            <w:hideMark/>
          </w:tcPr>
          <w:p w14:paraId="518E578C" w14:textId="77777777" w:rsidR="00CA1D45" w:rsidRPr="00731FE2" w:rsidRDefault="00CA1D45" w:rsidP="00CA1D45">
            <w:pPr>
              <w:spacing w:line="240" w:lineRule="auto"/>
              <w:ind w:left="142" w:firstLine="0"/>
              <w:jc w:val="left"/>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МБУДО города-курорта Кисловодска «Детская хореографическая школа»</w:t>
            </w:r>
          </w:p>
        </w:tc>
        <w:tc>
          <w:tcPr>
            <w:tcW w:w="1559" w:type="dxa"/>
            <w:tcBorders>
              <w:top w:val="nil"/>
              <w:left w:val="nil"/>
              <w:bottom w:val="single" w:sz="8" w:space="0" w:color="000000"/>
              <w:right w:val="single" w:sz="8" w:space="0" w:color="000000"/>
            </w:tcBorders>
            <w:tcMar>
              <w:top w:w="0" w:type="dxa"/>
              <w:left w:w="0" w:type="dxa"/>
              <w:bottom w:w="0" w:type="dxa"/>
              <w:right w:w="28" w:type="dxa"/>
            </w:tcMar>
            <w:vAlign w:val="center"/>
            <w:hideMark/>
          </w:tcPr>
          <w:p w14:paraId="5CC17C96" w14:textId="77777777" w:rsidR="00CA1D45" w:rsidRPr="00731FE2" w:rsidRDefault="00CA1D45" w:rsidP="00CA1D45">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г.-к. Кисловодск, пр. Победы, 157</w:t>
            </w:r>
          </w:p>
        </w:tc>
        <w:tc>
          <w:tcPr>
            <w:tcW w:w="1418" w:type="dxa"/>
            <w:tcBorders>
              <w:top w:val="nil"/>
              <w:left w:val="nil"/>
              <w:bottom w:val="single" w:sz="8" w:space="0" w:color="000000"/>
              <w:right w:val="single" w:sz="8" w:space="0" w:color="000000"/>
            </w:tcBorders>
            <w:tcMar>
              <w:top w:w="0" w:type="dxa"/>
              <w:left w:w="0" w:type="dxa"/>
              <w:bottom w:w="0" w:type="dxa"/>
              <w:right w:w="28" w:type="dxa"/>
            </w:tcMar>
            <w:vAlign w:val="center"/>
            <w:hideMark/>
          </w:tcPr>
          <w:p w14:paraId="05D56176" w14:textId="77777777" w:rsidR="00CA1D45" w:rsidRPr="00731FE2" w:rsidRDefault="00CA1D45" w:rsidP="00CA1D45">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67</w:t>
            </w:r>
          </w:p>
        </w:tc>
        <w:tc>
          <w:tcPr>
            <w:tcW w:w="1982" w:type="dxa"/>
            <w:tcBorders>
              <w:top w:val="nil"/>
              <w:left w:val="nil"/>
              <w:bottom w:val="single" w:sz="8" w:space="0" w:color="000000"/>
              <w:right w:val="single" w:sz="8" w:space="0" w:color="000000"/>
            </w:tcBorders>
            <w:tcMar>
              <w:top w:w="0" w:type="dxa"/>
              <w:left w:w="0" w:type="dxa"/>
              <w:bottom w:w="0" w:type="dxa"/>
              <w:right w:w="28" w:type="dxa"/>
            </w:tcMar>
            <w:vAlign w:val="center"/>
            <w:hideMark/>
          </w:tcPr>
          <w:p w14:paraId="66088C9C" w14:textId="77777777" w:rsidR="00CA1D45" w:rsidRPr="00731FE2" w:rsidRDefault="00CA1D45" w:rsidP="00CA1D45">
            <w:pPr>
              <w:tabs>
                <w:tab w:val="left" w:pos="583"/>
              </w:tabs>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Требуется капитальный ремонт</w:t>
            </w:r>
          </w:p>
        </w:tc>
        <w:tc>
          <w:tcPr>
            <w:tcW w:w="1409" w:type="dxa"/>
            <w:tcBorders>
              <w:top w:val="nil"/>
              <w:left w:val="nil"/>
              <w:bottom w:val="single" w:sz="8" w:space="0" w:color="000000"/>
              <w:right w:val="single" w:sz="8" w:space="0" w:color="000000"/>
            </w:tcBorders>
            <w:vAlign w:val="center"/>
          </w:tcPr>
          <w:p w14:paraId="710724F8" w14:textId="77777777" w:rsidR="00CA1D45" w:rsidRPr="00731FE2" w:rsidRDefault="00CA1D45" w:rsidP="00CA1D45">
            <w:pPr>
              <w:tabs>
                <w:tab w:val="left" w:pos="583"/>
              </w:tabs>
              <w:spacing w:line="240" w:lineRule="auto"/>
              <w:ind w:firstLine="0"/>
              <w:jc w:val="center"/>
              <w:rPr>
                <w:rFonts w:ascii="Times New Roman" w:eastAsia="Times New Roman" w:hAnsi="Times New Roman" w:cs="Times New Roman"/>
                <w:color w:val="000000"/>
                <w:sz w:val="22"/>
                <w:lang w:eastAsia="ru-RU"/>
              </w:rPr>
            </w:pPr>
            <w:r w:rsidRPr="00731FE2">
              <w:rPr>
                <w:rFonts w:ascii="Times New Roman" w:eastAsia="Times New Roman" w:hAnsi="Times New Roman" w:cs="Times New Roman"/>
                <w:color w:val="000000"/>
                <w:sz w:val="22"/>
                <w:lang w:eastAsia="ru-RU"/>
              </w:rPr>
              <w:t>17</w:t>
            </w:r>
          </w:p>
        </w:tc>
      </w:tr>
      <w:tr w:rsidR="00CA1D45" w:rsidRPr="00731FE2" w14:paraId="082773F3" w14:textId="77777777" w:rsidTr="009B6BDD">
        <w:trPr>
          <w:trHeight w:val="20"/>
          <w:tblCellSpacing w:w="0" w:type="dxa"/>
        </w:trPr>
        <w:tc>
          <w:tcPr>
            <w:tcW w:w="557" w:type="dxa"/>
            <w:tcBorders>
              <w:top w:val="nil"/>
              <w:left w:val="single" w:sz="8" w:space="0" w:color="000000"/>
              <w:bottom w:val="single" w:sz="8" w:space="0" w:color="000000"/>
              <w:right w:val="single" w:sz="8" w:space="0" w:color="000000"/>
            </w:tcBorders>
            <w:tcMar>
              <w:top w:w="0" w:type="dxa"/>
              <w:left w:w="0" w:type="dxa"/>
              <w:bottom w:w="0" w:type="dxa"/>
              <w:right w:w="28" w:type="dxa"/>
            </w:tcMar>
            <w:vAlign w:val="center"/>
          </w:tcPr>
          <w:p w14:paraId="4DD6C5B4" w14:textId="77777777" w:rsidR="00CA1D45" w:rsidRPr="00731FE2" w:rsidRDefault="00CA1D45" w:rsidP="007832E7">
            <w:pPr>
              <w:pStyle w:val="a3"/>
              <w:numPr>
                <w:ilvl w:val="0"/>
                <w:numId w:val="118"/>
              </w:numPr>
              <w:spacing w:line="240" w:lineRule="auto"/>
              <w:ind w:left="527" w:hanging="357"/>
              <w:jc w:val="left"/>
              <w:rPr>
                <w:rFonts w:ascii="Times New Roman" w:eastAsia="Times New Roman" w:hAnsi="Times New Roman" w:cs="Times New Roman"/>
                <w:sz w:val="22"/>
                <w:lang w:eastAsia="ru-RU"/>
              </w:rPr>
            </w:pPr>
          </w:p>
        </w:tc>
        <w:tc>
          <w:tcPr>
            <w:tcW w:w="2410" w:type="dxa"/>
            <w:tcBorders>
              <w:top w:val="nil"/>
              <w:left w:val="nil"/>
              <w:bottom w:val="single" w:sz="8" w:space="0" w:color="000000"/>
              <w:right w:val="single" w:sz="8" w:space="0" w:color="000000"/>
            </w:tcBorders>
            <w:tcMar>
              <w:top w:w="0" w:type="dxa"/>
              <w:left w:w="0" w:type="dxa"/>
              <w:bottom w:w="0" w:type="dxa"/>
              <w:right w:w="28" w:type="dxa"/>
            </w:tcMar>
            <w:vAlign w:val="center"/>
            <w:hideMark/>
          </w:tcPr>
          <w:p w14:paraId="436B5B2A" w14:textId="77777777" w:rsidR="00CA1D45" w:rsidRPr="00731FE2" w:rsidRDefault="00CA1D45" w:rsidP="00CA1D45">
            <w:pPr>
              <w:spacing w:line="240" w:lineRule="auto"/>
              <w:ind w:left="142" w:firstLine="0"/>
              <w:jc w:val="left"/>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МБУДО города-курорта Кисловодска «ДХШ им. Н.А. Ярошенко»</w:t>
            </w:r>
          </w:p>
        </w:tc>
        <w:tc>
          <w:tcPr>
            <w:tcW w:w="1559" w:type="dxa"/>
            <w:tcBorders>
              <w:top w:val="nil"/>
              <w:left w:val="nil"/>
              <w:bottom w:val="single" w:sz="8" w:space="0" w:color="000000"/>
              <w:right w:val="single" w:sz="8" w:space="0" w:color="000000"/>
            </w:tcBorders>
            <w:tcMar>
              <w:top w:w="0" w:type="dxa"/>
              <w:left w:w="0" w:type="dxa"/>
              <w:bottom w:w="0" w:type="dxa"/>
              <w:right w:w="28" w:type="dxa"/>
            </w:tcMar>
            <w:vAlign w:val="center"/>
            <w:hideMark/>
          </w:tcPr>
          <w:p w14:paraId="08952CC2" w14:textId="77777777" w:rsidR="00CA1D45" w:rsidRPr="00731FE2" w:rsidRDefault="00CA1D45" w:rsidP="00CA1D45">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г.-к. Кисловодск, ул. Чкалова д. 69</w:t>
            </w:r>
          </w:p>
        </w:tc>
        <w:tc>
          <w:tcPr>
            <w:tcW w:w="1418" w:type="dxa"/>
            <w:tcBorders>
              <w:top w:val="nil"/>
              <w:left w:val="nil"/>
              <w:bottom w:val="single" w:sz="8" w:space="0" w:color="000000"/>
              <w:right w:val="single" w:sz="8" w:space="0" w:color="000000"/>
            </w:tcBorders>
            <w:tcMar>
              <w:top w:w="0" w:type="dxa"/>
              <w:left w:w="0" w:type="dxa"/>
              <w:bottom w:w="0" w:type="dxa"/>
              <w:right w:w="28" w:type="dxa"/>
            </w:tcMar>
            <w:vAlign w:val="center"/>
            <w:hideMark/>
          </w:tcPr>
          <w:p w14:paraId="5DE2C16D" w14:textId="77777777" w:rsidR="00CA1D45" w:rsidRPr="00731FE2" w:rsidRDefault="00CA1D45" w:rsidP="00CA1D45">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316</w:t>
            </w:r>
          </w:p>
        </w:tc>
        <w:tc>
          <w:tcPr>
            <w:tcW w:w="1982" w:type="dxa"/>
            <w:tcBorders>
              <w:top w:val="nil"/>
              <w:left w:val="nil"/>
              <w:bottom w:val="single" w:sz="8" w:space="0" w:color="000000"/>
              <w:right w:val="single" w:sz="8" w:space="0" w:color="000000"/>
            </w:tcBorders>
            <w:tcMar>
              <w:top w:w="0" w:type="dxa"/>
              <w:left w:w="0" w:type="dxa"/>
              <w:bottom w:w="0" w:type="dxa"/>
              <w:right w:w="28" w:type="dxa"/>
            </w:tcMar>
            <w:vAlign w:val="center"/>
            <w:hideMark/>
          </w:tcPr>
          <w:p w14:paraId="5F236037" w14:textId="77777777" w:rsidR="00CA1D45" w:rsidRPr="00731FE2" w:rsidRDefault="00CA1D45" w:rsidP="00CA1D45">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Требуется капитальный ремонт</w:t>
            </w:r>
          </w:p>
        </w:tc>
        <w:tc>
          <w:tcPr>
            <w:tcW w:w="1409" w:type="dxa"/>
            <w:tcBorders>
              <w:top w:val="nil"/>
              <w:left w:val="nil"/>
              <w:bottom w:val="single" w:sz="8" w:space="0" w:color="000000"/>
              <w:right w:val="single" w:sz="8" w:space="0" w:color="000000"/>
            </w:tcBorders>
            <w:vAlign w:val="center"/>
          </w:tcPr>
          <w:p w14:paraId="6B2F1437" w14:textId="77777777" w:rsidR="00CA1D45" w:rsidRPr="00731FE2" w:rsidRDefault="00CA1D45" w:rsidP="00CA1D45">
            <w:pPr>
              <w:spacing w:line="240" w:lineRule="auto"/>
              <w:ind w:firstLine="0"/>
              <w:jc w:val="center"/>
              <w:rPr>
                <w:rFonts w:ascii="Times New Roman" w:eastAsia="Times New Roman" w:hAnsi="Times New Roman" w:cs="Times New Roman"/>
                <w:color w:val="000000"/>
                <w:sz w:val="22"/>
                <w:lang w:eastAsia="ru-RU"/>
              </w:rPr>
            </w:pPr>
            <w:r w:rsidRPr="00731FE2">
              <w:rPr>
                <w:rFonts w:ascii="Times New Roman" w:eastAsia="Times New Roman" w:hAnsi="Times New Roman" w:cs="Times New Roman"/>
                <w:color w:val="000000"/>
                <w:sz w:val="22"/>
                <w:lang w:eastAsia="ru-RU"/>
              </w:rPr>
              <w:t>17</w:t>
            </w:r>
          </w:p>
        </w:tc>
      </w:tr>
      <w:tr w:rsidR="00CA1D45" w:rsidRPr="00731FE2" w14:paraId="1A4CC507" w14:textId="77777777" w:rsidTr="009B6BDD">
        <w:trPr>
          <w:trHeight w:val="20"/>
          <w:tblCellSpacing w:w="0" w:type="dxa"/>
        </w:trPr>
        <w:tc>
          <w:tcPr>
            <w:tcW w:w="557" w:type="dxa"/>
            <w:tcBorders>
              <w:top w:val="nil"/>
              <w:left w:val="single" w:sz="8" w:space="0" w:color="000000"/>
              <w:bottom w:val="single" w:sz="8" w:space="0" w:color="000000"/>
              <w:right w:val="single" w:sz="8" w:space="0" w:color="000000"/>
            </w:tcBorders>
            <w:tcMar>
              <w:top w:w="0" w:type="dxa"/>
              <w:left w:w="0" w:type="dxa"/>
              <w:bottom w:w="0" w:type="dxa"/>
              <w:right w:w="28" w:type="dxa"/>
            </w:tcMar>
            <w:vAlign w:val="center"/>
          </w:tcPr>
          <w:p w14:paraId="6C97EF64" w14:textId="77777777" w:rsidR="00CA1D45" w:rsidRPr="00731FE2" w:rsidRDefault="00CA1D45" w:rsidP="007832E7">
            <w:pPr>
              <w:pStyle w:val="a3"/>
              <w:numPr>
                <w:ilvl w:val="0"/>
                <w:numId w:val="118"/>
              </w:numPr>
              <w:spacing w:line="240" w:lineRule="auto"/>
              <w:ind w:left="527" w:hanging="357"/>
              <w:jc w:val="left"/>
              <w:rPr>
                <w:rFonts w:ascii="Times New Roman" w:eastAsia="Times New Roman" w:hAnsi="Times New Roman" w:cs="Times New Roman"/>
                <w:sz w:val="22"/>
                <w:lang w:eastAsia="ru-RU"/>
              </w:rPr>
            </w:pPr>
          </w:p>
        </w:tc>
        <w:tc>
          <w:tcPr>
            <w:tcW w:w="2410" w:type="dxa"/>
            <w:tcBorders>
              <w:top w:val="nil"/>
              <w:left w:val="nil"/>
              <w:bottom w:val="single" w:sz="8" w:space="0" w:color="000000"/>
              <w:right w:val="single" w:sz="8" w:space="0" w:color="000000"/>
            </w:tcBorders>
            <w:tcMar>
              <w:top w:w="0" w:type="dxa"/>
              <w:left w:w="0" w:type="dxa"/>
              <w:bottom w:w="0" w:type="dxa"/>
              <w:right w:w="28" w:type="dxa"/>
            </w:tcMar>
            <w:vAlign w:val="center"/>
            <w:hideMark/>
          </w:tcPr>
          <w:p w14:paraId="1BC7BF6C" w14:textId="77777777" w:rsidR="00CA1D45" w:rsidRPr="00731FE2" w:rsidRDefault="00CA1D45" w:rsidP="00CA1D45">
            <w:pPr>
              <w:spacing w:line="240" w:lineRule="auto"/>
              <w:ind w:left="142" w:firstLine="0"/>
              <w:jc w:val="left"/>
              <w:rPr>
                <w:rFonts w:ascii="Times New Roman" w:eastAsia="Times New Roman" w:hAnsi="Times New Roman" w:cs="Times New Roman"/>
                <w:color w:val="000000"/>
                <w:sz w:val="22"/>
                <w:lang w:eastAsia="ru-RU"/>
              </w:rPr>
            </w:pPr>
            <w:r w:rsidRPr="00731FE2">
              <w:rPr>
                <w:rFonts w:ascii="Times New Roman" w:eastAsia="Times New Roman" w:hAnsi="Times New Roman" w:cs="Times New Roman"/>
                <w:color w:val="000000"/>
                <w:sz w:val="22"/>
                <w:lang w:eastAsia="ru-RU"/>
              </w:rPr>
              <w:t>МКУК МКПЦ «ДРУЖБА»</w:t>
            </w:r>
          </w:p>
        </w:tc>
        <w:tc>
          <w:tcPr>
            <w:tcW w:w="1559" w:type="dxa"/>
            <w:tcBorders>
              <w:top w:val="nil"/>
              <w:left w:val="nil"/>
              <w:bottom w:val="single" w:sz="8" w:space="0" w:color="000000"/>
              <w:right w:val="single" w:sz="8" w:space="0" w:color="000000"/>
            </w:tcBorders>
            <w:tcMar>
              <w:top w:w="0" w:type="dxa"/>
              <w:left w:w="0" w:type="dxa"/>
              <w:bottom w:w="0" w:type="dxa"/>
              <w:right w:w="28" w:type="dxa"/>
            </w:tcMar>
            <w:vAlign w:val="center"/>
            <w:hideMark/>
          </w:tcPr>
          <w:p w14:paraId="590761E2" w14:textId="77777777" w:rsidR="00CA1D45" w:rsidRPr="00731FE2" w:rsidRDefault="00CA1D45" w:rsidP="00CA1D45">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г.-к. Кисловодск, пер. Саперный 10</w:t>
            </w:r>
          </w:p>
        </w:tc>
        <w:tc>
          <w:tcPr>
            <w:tcW w:w="1418" w:type="dxa"/>
            <w:tcBorders>
              <w:top w:val="nil"/>
              <w:left w:val="nil"/>
              <w:bottom w:val="single" w:sz="8" w:space="0" w:color="000000"/>
              <w:right w:val="single" w:sz="8" w:space="0" w:color="000000"/>
            </w:tcBorders>
            <w:tcMar>
              <w:top w:w="0" w:type="dxa"/>
              <w:left w:w="0" w:type="dxa"/>
              <w:bottom w:w="0" w:type="dxa"/>
              <w:right w:w="28" w:type="dxa"/>
            </w:tcMar>
            <w:vAlign w:val="center"/>
            <w:hideMark/>
          </w:tcPr>
          <w:p w14:paraId="0B42F82B" w14:textId="77777777" w:rsidR="00CA1D45" w:rsidRPr="00731FE2" w:rsidRDefault="00CA1D45" w:rsidP="00CA1D45">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110</w:t>
            </w:r>
          </w:p>
        </w:tc>
        <w:tc>
          <w:tcPr>
            <w:tcW w:w="1982" w:type="dxa"/>
            <w:tcBorders>
              <w:top w:val="nil"/>
              <w:left w:val="nil"/>
              <w:bottom w:val="single" w:sz="8" w:space="0" w:color="000000"/>
              <w:right w:val="single" w:sz="8" w:space="0" w:color="000000"/>
            </w:tcBorders>
            <w:tcMar>
              <w:top w:w="0" w:type="dxa"/>
              <w:left w:w="0" w:type="dxa"/>
              <w:bottom w:w="0" w:type="dxa"/>
              <w:right w:w="28" w:type="dxa"/>
            </w:tcMar>
            <w:vAlign w:val="center"/>
            <w:hideMark/>
          </w:tcPr>
          <w:p w14:paraId="23372DAA" w14:textId="77777777" w:rsidR="00CA1D45" w:rsidRPr="00731FE2" w:rsidRDefault="00CA1D45" w:rsidP="00CA1D45">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Требуется капитальный ремонт</w:t>
            </w:r>
          </w:p>
        </w:tc>
        <w:tc>
          <w:tcPr>
            <w:tcW w:w="1409" w:type="dxa"/>
            <w:tcBorders>
              <w:top w:val="nil"/>
              <w:left w:val="nil"/>
              <w:bottom w:val="single" w:sz="8" w:space="0" w:color="000000"/>
              <w:right w:val="single" w:sz="8" w:space="0" w:color="000000"/>
            </w:tcBorders>
            <w:vAlign w:val="center"/>
          </w:tcPr>
          <w:p w14:paraId="16DF9466" w14:textId="77777777" w:rsidR="00CA1D45" w:rsidRPr="00731FE2" w:rsidRDefault="00CA1D45" w:rsidP="00CA1D45">
            <w:pPr>
              <w:spacing w:line="240" w:lineRule="auto"/>
              <w:ind w:firstLine="0"/>
              <w:jc w:val="center"/>
              <w:rPr>
                <w:rFonts w:ascii="Times New Roman" w:eastAsia="Times New Roman" w:hAnsi="Times New Roman" w:cs="Times New Roman"/>
                <w:color w:val="000000"/>
                <w:sz w:val="22"/>
                <w:lang w:eastAsia="ru-RU"/>
              </w:rPr>
            </w:pPr>
            <w:r w:rsidRPr="00731FE2">
              <w:rPr>
                <w:rFonts w:ascii="Times New Roman" w:eastAsia="Times New Roman" w:hAnsi="Times New Roman" w:cs="Times New Roman"/>
                <w:color w:val="000000"/>
                <w:sz w:val="22"/>
                <w:lang w:eastAsia="ru-RU"/>
              </w:rPr>
              <w:t>15</w:t>
            </w:r>
          </w:p>
        </w:tc>
      </w:tr>
      <w:tr w:rsidR="00CA1D45" w:rsidRPr="00731FE2" w14:paraId="57D355B2" w14:textId="77777777" w:rsidTr="009B6BDD">
        <w:trPr>
          <w:trHeight w:val="20"/>
          <w:tblCellSpacing w:w="0" w:type="dxa"/>
        </w:trPr>
        <w:tc>
          <w:tcPr>
            <w:tcW w:w="557" w:type="dxa"/>
            <w:tcBorders>
              <w:top w:val="nil"/>
              <w:left w:val="single" w:sz="8" w:space="0" w:color="000000"/>
              <w:bottom w:val="single" w:sz="8" w:space="0" w:color="000000"/>
              <w:right w:val="single" w:sz="8" w:space="0" w:color="000000"/>
            </w:tcBorders>
            <w:tcMar>
              <w:top w:w="0" w:type="dxa"/>
              <w:left w:w="0" w:type="dxa"/>
              <w:bottom w:w="0" w:type="dxa"/>
              <w:right w:w="28" w:type="dxa"/>
            </w:tcMar>
            <w:vAlign w:val="center"/>
          </w:tcPr>
          <w:p w14:paraId="0E2F6B52" w14:textId="77777777" w:rsidR="00CA1D45" w:rsidRPr="00731FE2" w:rsidRDefault="00CA1D45" w:rsidP="007832E7">
            <w:pPr>
              <w:pStyle w:val="a3"/>
              <w:numPr>
                <w:ilvl w:val="0"/>
                <w:numId w:val="118"/>
              </w:numPr>
              <w:spacing w:line="240" w:lineRule="auto"/>
              <w:ind w:left="527" w:hanging="357"/>
              <w:jc w:val="left"/>
              <w:rPr>
                <w:rFonts w:ascii="Times New Roman" w:eastAsia="Times New Roman" w:hAnsi="Times New Roman" w:cs="Times New Roman"/>
                <w:sz w:val="22"/>
                <w:lang w:eastAsia="ru-RU"/>
              </w:rPr>
            </w:pPr>
          </w:p>
        </w:tc>
        <w:tc>
          <w:tcPr>
            <w:tcW w:w="2410" w:type="dxa"/>
            <w:tcBorders>
              <w:top w:val="nil"/>
              <w:left w:val="nil"/>
              <w:bottom w:val="single" w:sz="8" w:space="0" w:color="000000"/>
              <w:right w:val="single" w:sz="8" w:space="0" w:color="000000"/>
            </w:tcBorders>
            <w:tcMar>
              <w:top w:w="0" w:type="dxa"/>
              <w:left w:w="0" w:type="dxa"/>
              <w:bottom w:w="0" w:type="dxa"/>
              <w:right w:w="28" w:type="dxa"/>
            </w:tcMar>
            <w:vAlign w:val="center"/>
            <w:hideMark/>
          </w:tcPr>
          <w:p w14:paraId="4C34F118" w14:textId="77777777" w:rsidR="00CA1D45" w:rsidRPr="00731FE2" w:rsidRDefault="00CA1D45" w:rsidP="00CA1D45">
            <w:pPr>
              <w:spacing w:line="240" w:lineRule="auto"/>
              <w:ind w:firstLine="0"/>
              <w:jc w:val="left"/>
              <w:rPr>
                <w:rFonts w:ascii="Times New Roman" w:eastAsia="Times New Roman" w:hAnsi="Times New Roman" w:cs="Times New Roman"/>
                <w:color w:val="000000"/>
                <w:sz w:val="22"/>
                <w:lang w:eastAsia="ru-RU"/>
              </w:rPr>
            </w:pPr>
            <w:r w:rsidRPr="00731FE2">
              <w:rPr>
                <w:rFonts w:ascii="Times New Roman" w:eastAsia="Times New Roman" w:hAnsi="Times New Roman" w:cs="Times New Roman"/>
                <w:color w:val="000000"/>
                <w:sz w:val="22"/>
                <w:lang w:eastAsia="ru-RU"/>
              </w:rPr>
              <w:t>МКУК клубного типа дом культуры «Аликоновка» города-курорта Кисловодска</w:t>
            </w:r>
          </w:p>
        </w:tc>
        <w:tc>
          <w:tcPr>
            <w:tcW w:w="1559" w:type="dxa"/>
            <w:tcBorders>
              <w:top w:val="nil"/>
              <w:left w:val="nil"/>
              <w:bottom w:val="single" w:sz="8" w:space="0" w:color="000000"/>
              <w:right w:val="single" w:sz="8" w:space="0" w:color="000000"/>
            </w:tcBorders>
            <w:tcMar>
              <w:top w:w="0" w:type="dxa"/>
              <w:left w:w="0" w:type="dxa"/>
              <w:bottom w:w="0" w:type="dxa"/>
              <w:right w:w="28" w:type="dxa"/>
            </w:tcMar>
            <w:vAlign w:val="center"/>
            <w:hideMark/>
          </w:tcPr>
          <w:p w14:paraId="26120A6D" w14:textId="77777777" w:rsidR="00CA1D45" w:rsidRPr="00731FE2" w:rsidRDefault="00CA1D45" w:rsidP="00CA1D45">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г.-к. Кисловодск</w:t>
            </w:r>
          </w:p>
          <w:p w14:paraId="1D26AFDF" w14:textId="77777777" w:rsidR="00CA1D45" w:rsidRPr="00731FE2" w:rsidRDefault="00CA1D45" w:rsidP="00CA1D45">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поселок Аликоновка, улица Прямая, 4.</w:t>
            </w:r>
          </w:p>
        </w:tc>
        <w:tc>
          <w:tcPr>
            <w:tcW w:w="1418" w:type="dxa"/>
            <w:tcBorders>
              <w:top w:val="nil"/>
              <w:left w:val="nil"/>
              <w:bottom w:val="single" w:sz="8" w:space="0" w:color="000000"/>
              <w:right w:val="single" w:sz="8" w:space="0" w:color="000000"/>
            </w:tcBorders>
            <w:tcMar>
              <w:top w:w="0" w:type="dxa"/>
              <w:left w:w="0" w:type="dxa"/>
              <w:bottom w:w="0" w:type="dxa"/>
              <w:right w:w="28" w:type="dxa"/>
            </w:tcMar>
            <w:vAlign w:val="center"/>
            <w:hideMark/>
          </w:tcPr>
          <w:p w14:paraId="7035C14B" w14:textId="77777777" w:rsidR="00CA1D45" w:rsidRPr="00731FE2" w:rsidRDefault="00CA1D45" w:rsidP="00CA1D45">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110</w:t>
            </w:r>
          </w:p>
        </w:tc>
        <w:tc>
          <w:tcPr>
            <w:tcW w:w="1982" w:type="dxa"/>
            <w:tcBorders>
              <w:top w:val="nil"/>
              <w:left w:val="nil"/>
              <w:bottom w:val="single" w:sz="8" w:space="0" w:color="000000"/>
              <w:right w:val="single" w:sz="8" w:space="0" w:color="000000"/>
            </w:tcBorders>
            <w:tcMar>
              <w:top w:w="0" w:type="dxa"/>
              <w:left w:w="0" w:type="dxa"/>
              <w:bottom w:w="0" w:type="dxa"/>
              <w:right w:w="28" w:type="dxa"/>
            </w:tcMar>
            <w:vAlign w:val="center"/>
            <w:hideMark/>
          </w:tcPr>
          <w:p w14:paraId="59455ECB" w14:textId="77777777" w:rsidR="00CA1D45" w:rsidRPr="00731FE2" w:rsidRDefault="00CA1D45" w:rsidP="00CA1D45">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Удовлетворительное</w:t>
            </w:r>
          </w:p>
        </w:tc>
        <w:tc>
          <w:tcPr>
            <w:tcW w:w="1409" w:type="dxa"/>
            <w:tcBorders>
              <w:top w:val="nil"/>
              <w:left w:val="nil"/>
              <w:bottom w:val="single" w:sz="8" w:space="0" w:color="000000"/>
              <w:right w:val="single" w:sz="8" w:space="0" w:color="000000"/>
            </w:tcBorders>
            <w:vAlign w:val="center"/>
          </w:tcPr>
          <w:p w14:paraId="55527806" w14:textId="77777777" w:rsidR="00CA1D45" w:rsidRPr="00731FE2" w:rsidRDefault="00CA1D45" w:rsidP="00CA1D45">
            <w:pPr>
              <w:spacing w:line="240" w:lineRule="auto"/>
              <w:ind w:firstLine="0"/>
              <w:jc w:val="center"/>
              <w:rPr>
                <w:rFonts w:ascii="Times New Roman" w:eastAsia="Times New Roman" w:hAnsi="Times New Roman" w:cs="Times New Roman"/>
                <w:color w:val="000000"/>
                <w:sz w:val="22"/>
                <w:lang w:eastAsia="ru-RU"/>
              </w:rPr>
            </w:pPr>
            <w:r w:rsidRPr="00731FE2">
              <w:rPr>
                <w:rFonts w:ascii="Times New Roman" w:eastAsia="Times New Roman" w:hAnsi="Times New Roman" w:cs="Times New Roman"/>
                <w:color w:val="000000"/>
                <w:sz w:val="22"/>
                <w:lang w:eastAsia="ru-RU"/>
              </w:rPr>
              <w:t>8</w:t>
            </w:r>
          </w:p>
        </w:tc>
      </w:tr>
      <w:tr w:rsidR="00CA1D45" w:rsidRPr="00731FE2" w14:paraId="7F0A0032" w14:textId="77777777" w:rsidTr="009B6BDD">
        <w:trPr>
          <w:trHeight w:val="20"/>
          <w:tblCellSpacing w:w="0" w:type="dxa"/>
        </w:trPr>
        <w:tc>
          <w:tcPr>
            <w:tcW w:w="557" w:type="dxa"/>
            <w:tcBorders>
              <w:top w:val="nil"/>
              <w:left w:val="single" w:sz="8" w:space="0" w:color="000000"/>
              <w:bottom w:val="single" w:sz="8" w:space="0" w:color="000000"/>
              <w:right w:val="single" w:sz="8" w:space="0" w:color="000000"/>
            </w:tcBorders>
            <w:tcMar>
              <w:top w:w="0" w:type="dxa"/>
              <w:left w:w="0" w:type="dxa"/>
              <w:bottom w:w="0" w:type="dxa"/>
              <w:right w:w="28" w:type="dxa"/>
            </w:tcMar>
            <w:vAlign w:val="center"/>
          </w:tcPr>
          <w:p w14:paraId="618B6D7F" w14:textId="77777777" w:rsidR="00CA1D45" w:rsidRPr="00731FE2" w:rsidRDefault="00CA1D45" w:rsidP="007832E7">
            <w:pPr>
              <w:pStyle w:val="a3"/>
              <w:numPr>
                <w:ilvl w:val="0"/>
                <w:numId w:val="118"/>
              </w:numPr>
              <w:spacing w:line="240" w:lineRule="auto"/>
              <w:ind w:left="527" w:hanging="357"/>
              <w:jc w:val="left"/>
              <w:rPr>
                <w:rFonts w:ascii="Times New Roman" w:eastAsia="Times New Roman" w:hAnsi="Times New Roman" w:cs="Times New Roman"/>
                <w:sz w:val="22"/>
                <w:lang w:eastAsia="ru-RU"/>
              </w:rPr>
            </w:pPr>
          </w:p>
        </w:tc>
        <w:tc>
          <w:tcPr>
            <w:tcW w:w="2410" w:type="dxa"/>
            <w:tcBorders>
              <w:top w:val="nil"/>
              <w:left w:val="nil"/>
              <w:bottom w:val="single" w:sz="8" w:space="0" w:color="000000"/>
              <w:right w:val="single" w:sz="8" w:space="0" w:color="000000"/>
            </w:tcBorders>
            <w:tcMar>
              <w:top w:w="0" w:type="dxa"/>
              <w:left w:w="0" w:type="dxa"/>
              <w:bottom w:w="0" w:type="dxa"/>
              <w:right w:w="28" w:type="dxa"/>
            </w:tcMar>
            <w:vAlign w:val="center"/>
            <w:hideMark/>
          </w:tcPr>
          <w:p w14:paraId="3CF48731" w14:textId="77777777" w:rsidR="00CA1D45" w:rsidRPr="00731FE2" w:rsidRDefault="00CA1D45" w:rsidP="00CA1D45">
            <w:pPr>
              <w:spacing w:line="240" w:lineRule="auto"/>
              <w:ind w:firstLine="0"/>
              <w:jc w:val="left"/>
              <w:rPr>
                <w:rFonts w:ascii="Times New Roman" w:eastAsia="Times New Roman" w:hAnsi="Times New Roman" w:cs="Times New Roman"/>
                <w:color w:val="000000"/>
                <w:sz w:val="22"/>
                <w:lang w:eastAsia="ru-RU"/>
              </w:rPr>
            </w:pPr>
            <w:r w:rsidRPr="00731FE2">
              <w:rPr>
                <w:rFonts w:ascii="Times New Roman" w:eastAsia="Times New Roman" w:hAnsi="Times New Roman" w:cs="Times New Roman"/>
                <w:color w:val="000000"/>
                <w:sz w:val="22"/>
                <w:lang w:eastAsia="ru-RU"/>
              </w:rPr>
              <w:t>МБУК г.-к. Кисловодска «Выставочный зал»</w:t>
            </w:r>
          </w:p>
        </w:tc>
        <w:tc>
          <w:tcPr>
            <w:tcW w:w="1559" w:type="dxa"/>
            <w:tcBorders>
              <w:top w:val="nil"/>
              <w:left w:val="nil"/>
              <w:bottom w:val="single" w:sz="8" w:space="0" w:color="000000"/>
              <w:right w:val="single" w:sz="8" w:space="0" w:color="000000"/>
            </w:tcBorders>
            <w:tcMar>
              <w:top w:w="0" w:type="dxa"/>
              <w:left w:w="0" w:type="dxa"/>
              <w:bottom w:w="0" w:type="dxa"/>
              <w:right w:w="28" w:type="dxa"/>
            </w:tcMar>
            <w:vAlign w:val="center"/>
            <w:hideMark/>
          </w:tcPr>
          <w:p w14:paraId="0BF3256A" w14:textId="77777777" w:rsidR="00CA1D45" w:rsidRPr="00731FE2" w:rsidRDefault="00CA1D45" w:rsidP="00CA1D45">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 xml:space="preserve">г.-к. Кисловодск, ул. </w:t>
            </w:r>
            <w:proofErr w:type="gramStart"/>
            <w:r w:rsidRPr="00731FE2">
              <w:rPr>
                <w:rFonts w:ascii="Times New Roman" w:eastAsia="Times New Roman" w:hAnsi="Times New Roman" w:cs="Times New Roman"/>
                <w:color w:val="000000"/>
                <w:sz w:val="22"/>
                <w:lang w:eastAsia="ru-RU"/>
              </w:rPr>
              <w:t>Азербайджанская</w:t>
            </w:r>
            <w:proofErr w:type="gramEnd"/>
            <w:r w:rsidRPr="00731FE2">
              <w:rPr>
                <w:rFonts w:ascii="Times New Roman" w:eastAsia="Times New Roman" w:hAnsi="Times New Roman" w:cs="Times New Roman"/>
                <w:color w:val="000000"/>
                <w:sz w:val="22"/>
                <w:lang w:eastAsia="ru-RU"/>
              </w:rPr>
              <w:t>, 17</w:t>
            </w:r>
          </w:p>
        </w:tc>
        <w:tc>
          <w:tcPr>
            <w:tcW w:w="1418" w:type="dxa"/>
            <w:tcBorders>
              <w:top w:val="nil"/>
              <w:left w:val="nil"/>
              <w:bottom w:val="single" w:sz="8" w:space="0" w:color="000000"/>
              <w:right w:val="single" w:sz="8" w:space="0" w:color="000000"/>
            </w:tcBorders>
            <w:tcMar>
              <w:top w:w="0" w:type="dxa"/>
              <w:left w:w="0" w:type="dxa"/>
              <w:bottom w:w="0" w:type="dxa"/>
              <w:right w:w="28" w:type="dxa"/>
            </w:tcMar>
            <w:vAlign w:val="center"/>
            <w:hideMark/>
          </w:tcPr>
          <w:p w14:paraId="09EF1958" w14:textId="77777777" w:rsidR="00CA1D45" w:rsidRPr="00731FE2" w:rsidRDefault="00CA1D45" w:rsidP="00CA1D45">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40</w:t>
            </w:r>
          </w:p>
        </w:tc>
        <w:tc>
          <w:tcPr>
            <w:tcW w:w="1982" w:type="dxa"/>
            <w:tcBorders>
              <w:top w:val="nil"/>
              <w:left w:val="nil"/>
              <w:bottom w:val="single" w:sz="8" w:space="0" w:color="000000"/>
              <w:right w:val="single" w:sz="8" w:space="0" w:color="000000"/>
            </w:tcBorders>
            <w:tcMar>
              <w:top w:w="0" w:type="dxa"/>
              <w:left w:w="0" w:type="dxa"/>
              <w:bottom w:w="0" w:type="dxa"/>
              <w:right w:w="28" w:type="dxa"/>
            </w:tcMar>
            <w:vAlign w:val="center"/>
            <w:hideMark/>
          </w:tcPr>
          <w:p w14:paraId="34AC0389" w14:textId="77777777" w:rsidR="00CA1D45" w:rsidRPr="00731FE2" w:rsidRDefault="00CA1D45" w:rsidP="00CA1D45">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Требуется капитальный ремонт</w:t>
            </w:r>
          </w:p>
        </w:tc>
        <w:tc>
          <w:tcPr>
            <w:tcW w:w="1409" w:type="dxa"/>
            <w:tcBorders>
              <w:top w:val="nil"/>
              <w:left w:val="nil"/>
              <w:bottom w:val="single" w:sz="8" w:space="0" w:color="000000"/>
              <w:right w:val="single" w:sz="8" w:space="0" w:color="000000"/>
            </w:tcBorders>
            <w:vAlign w:val="center"/>
          </w:tcPr>
          <w:p w14:paraId="46106BF2" w14:textId="77777777" w:rsidR="00CA1D45" w:rsidRPr="00731FE2" w:rsidRDefault="00CA1D45" w:rsidP="00CA1D45">
            <w:pPr>
              <w:spacing w:line="240" w:lineRule="auto"/>
              <w:ind w:firstLine="0"/>
              <w:jc w:val="center"/>
              <w:rPr>
                <w:rFonts w:ascii="Times New Roman" w:eastAsia="Times New Roman" w:hAnsi="Times New Roman" w:cs="Times New Roman"/>
                <w:color w:val="000000"/>
                <w:sz w:val="22"/>
                <w:lang w:eastAsia="ru-RU"/>
              </w:rPr>
            </w:pPr>
            <w:r w:rsidRPr="00731FE2">
              <w:rPr>
                <w:rFonts w:ascii="Times New Roman" w:eastAsia="Times New Roman" w:hAnsi="Times New Roman" w:cs="Times New Roman"/>
                <w:color w:val="000000"/>
                <w:sz w:val="22"/>
                <w:lang w:eastAsia="ru-RU"/>
              </w:rPr>
              <w:t>12</w:t>
            </w:r>
          </w:p>
        </w:tc>
      </w:tr>
      <w:tr w:rsidR="00CA1D45" w:rsidRPr="00731FE2" w14:paraId="21128AB4" w14:textId="77777777" w:rsidTr="009B6BDD">
        <w:trPr>
          <w:trHeight w:val="20"/>
          <w:tblCellSpacing w:w="0" w:type="dxa"/>
        </w:trPr>
        <w:tc>
          <w:tcPr>
            <w:tcW w:w="557" w:type="dxa"/>
            <w:tcBorders>
              <w:top w:val="nil"/>
              <w:left w:val="single" w:sz="8" w:space="0" w:color="000000"/>
              <w:bottom w:val="single" w:sz="8" w:space="0" w:color="000000"/>
              <w:right w:val="single" w:sz="8" w:space="0" w:color="000000"/>
            </w:tcBorders>
            <w:tcMar>
              <w:top w:w="0" w:type="dxa"/>
              <w:left w:w="0" w:type="dxa"/>
              <w:bottom w:w="0" w:type="dxa"/>
              <w:right w:w="28" w:type="dxa"/>
            </w:tcMar>
            <w:vAlign w:val="center"/>
          </w:tcPr>
          <w:p w14:paraId="3DB683D6" w14:textId="77777777" w:rsidR="00CA1D45" w:rsidRPr="00731FE2" w:rsidRDefault="00CA1D45" w:rsidP="007832E7">
            <w:pPr>
              <w:pStyle w:val="a3"/>
              <w:numPr>
                <w:ilvl w:val="0"/>
                <w:numId w:val="118"/>
              </w:numPr>
              <w:spacing w:line="240" w:lineRule="auto"/>
              <w:ind w:left="527" w:hanging="357"/>
              <w:jc w:val="left"/>
              <w:rPr>
                <w:rFonts w:ascii="Times New Roman" w:eastAsia="Times New Roman" w:hAnsi="Times New Roman" w:cs="Times New Roman"/>
                <w:sz w:val="22"/>
                <w:lang w:eastAsia="ru-RU"/>
              </w:rPr>
            </w:pPr>
          </w:p>
        </w:tc>
        <w:tc>
          <w:tcPr>
            <w:tcW w:w="2410" w:type="dxa"/>
            <w:tcBorders>
              <w:top w:val="nil"/>
              <w:left w:val="nil"/>
              <w:bottom w:val="single" w:sz="8" w:space="0" w:color="000000"/>
              <w:right w:val="single" w:sz="8" w:space="0" w:color="000000"/>
            </w:tcBorders>
            <w:tcMar>
              <w:top w:w="0" w:type="dxa"/>
              <w:left w:w="0" w:type="dxa"/>
              <w:bottom w:w="0" w:type="dxa"/>
              <w:right w:w="28" w:type="dxa"/>
            </w:tcMar>
            <w:vAlign w:val="center"/>
            <w:hideMark/>
          </w:tcPr>
          <w:p w14:paraId="1DEC8462" w14:textId="77777777" w:rsidR="00CA1D45" w:rsidRPr="00731FE2" w:rsidRDefault="00CA1D45" w:rsidP="00CA1D45">
            <w:pPr>
              <w:spacing w:line="240" w:lineRule="auto"/>
              <w:ind w:firstLine="0"/>
              <w:jc w:val="left"/>
              <w:rPr>
                <w:rFonts w:ascii="Times New Roman" w:eastAsia="Times New Roman" w:hAnsi="Times New Roman" w:cs="Times New Roman"/>
                <w:color w:val="000000"/>
                <w:sz w:val="22"/>
                <w:lang w:eastAsia="ru-RU"/>
              </w:rPr>
            </w:pPr>
            <w:r w:rsidRPr="00731FE2">
              <w:rPr>
                <w:rFonts w:ascii="Times New Roman" w:eastAsia="Times New Roman" w:hAnsi="Times New Roman" w:cs="Times New Roman"/>
                <w:color w:val="000000"/>
                <w:sz w:val="22"/>
                <w:lang w:eastAsia="ru-RU"/>
              </w:rPr>
              <w:t>МКУК города-курорта Кисловодска «Централизованная библиотечная система» Центральная городская библиотека имени А.И. Солженицына</w:t>
            </w:r>
          </w:p>
        </w:tc>
        <w:tc>
          <w:tcPr>
            <w:tcW w:w="1559" w:type="dxa"/>
            <w:tcBorders>
              <w:top w:val="nil"/>
              <w:left w:val="nil"/>
              <w:bottom w:val="single" w:sz="8" w:space="0" w:color="000000"/>
              <w:right w:val="single" w:sz="8" w:space="0" w:color="000000"/>
            </w:tcBorders>
            <w:tcMar>
              <w:top w:w="0" w:type="dxa"/>
              <w:left w:w="0" w:type="dxa"/>
              <w:bottom w:w="0" w:type="dxa"/>
              <w:right w:w="28" w:type="dxa"/>
            </w:tcMar>
            <w:vAlign w:val="center"/>
            <w:hideMark/>
          </w:tcPr>
          <w:p w14:paraId="159F5CB3" w14:textId="77777777" w:rsidR="00CA1D45" w:rsidRPr="00731FE2" w:rsidRDefault="00CA1D45" w:rsidP="00CA1D45">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 xml:space="preserve">г.-к. Кисловодск, ул. </w:t>
            </w:r>
            <w:proofErr w:type="gramStart"/>
            <w:r w:rsidRPr="00731FE2">
              <w:rPr>
                <w:rFonts w:ascii="Times New Roman" w:eastAsia="Times New Roman" w:hAnsi="Times New Roman" w:cs="Times New Roman"/>
                <w:color w:val="000000"/>
                <w:sz w:val="22"/>
                <w:lang w:eastAsia="ru-RU"/>
              </w:rPr>
              <w:t>Красноармейская</w:t>
            </w:r>
            <w:proofErr w:type="gramEnd"/>
            <w:r w:rsidRPr="00731FE2">
              <w:rPr>
                <w:rFonts w:ascii="Times New Roman" w:eastAsia="Times New Roman" w:hAnsi="Times New Roman" w:cs="Times New Roman"/>
                <w:color w:val="000000"/>
                <w:sz w:val="22"/>
                <w:lang w:eastAsia="ru-RU"/>
              </w:rPr>
              <w:t>, 2</w:t>
            </w:r>
          </w:p>
        </w:tc>
        <w:tc>
          <w:tcPr>
            <w:tcW w:w="1418" w:type="dxa"/>
            <w:tcBorders>
              <w:top w:val="nil"/>
              <w:left w:val="nil"/>
              <w:bottom w:val="single" w:sz="8" w:space="0" w:color="000000"/>
              <w:right w:val="single" w:sz="8" w:space="0" w:color="000000"/>
            </w:tcBorders>
            <w:tcMar>
              <w:top w:w="0" w:type="dxa"/>
              <w:left w:w="0" w:type="dxa"/>
              <w:bottom w:w="0" w:type="dxa"/>
              <w:right w:w="28" w:type="dxa"/>
            </w:tcMar>
            <w:vAlign w:val="center"/>
            <w:hideMark/>
          </w:tcPr>
          <w:p w14:paraId="1DB4023E" w14:textId="77777777" w:rsidR="00CA1D45" w:rsidRPr="00731FE2" w:rsidRDefault="00CA1D45" w:rsidP="00CA1D45">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58</w:t>
            </w:r>
          </w:p>
        </w:tc>
        <w:tc>
          <w:tcPr>
            <w:tcW w:w="1982" w:type="dxa"/>
            <w:tcBorders>
              <w:top w:val="nil"/>
              <w:left w:val="nil"/>
              <w:bottom w:val="single" w:sz="8" w:space="0" w:color="000000"/>
              <w:right w:val="single" w:sz="8" w:space="0" w:color="000000"/>
            </w:tcBorders>
            <w:tcMar>
              <w:top w:w="0" w:type="dxa"/>
              <w:left w:w="0" w:type="dxa"/>
              <w:bottom w:w="0" w:type="dxa"/>
              <w:right w:w="28" w:type="dxa"/>
            </w:tcMar>
            <w:vAlign w:val="center"/>
            <w:hideMark/>
          </w:tcPr>
          <w:p w14:paraId="1DC6B561" w14:textId="77777777" w:rsidR="00CA1D45" w:rsidRPr="00731FE2" w:rsidRDefault="00CA1D45" w:rsidP="00CA1D45">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Требуется капитальный ремонт</w:t>
            </w:r>
          </w:p>
        </w:tc>
        <w:tc>
          <w:tcPr>
            <w:tcW w:w="1409" w:type="dxa"/>
            <w:tcBorders>
              <w:top w:val="nil"/>
              <w:left w:val="nil"/>
              <w:bottom w:val="single" w:sz="8" w:space="0" w:color="000000"/>
              <w:right w:val="single" w:sz="8" w:space="0" w:color="000000"/>
            </w:tcBorders>
            <w:vAlign w:val="center"/>
          </w:tcPr>
          <w:p w14:paraId="6B290E32" w14:textId="77777777" w:rsidR="00CA1D45" w:rsidRPr="00731FE2" w:rsidRDefault="00CA1D45" w:rsidP="00CA1D45">
            <w:pPr>
              <w:spacing w:line="240" w:lineRule="auto"/>
              <w:ind w:firstLine="0"/>
              <w:jc w:val="center"/>
              <w:rPr>
                <w:rFonts w:ascii="Times New Roman" w:eastAsia="Times New Roman" w:hAnsi="Times New Roman" w:cs="Times New Roman"/>
                <w:color w:val="000000"/>
                <w:sz w:val="22"/>
                <w:lang w:eastAsia="ru-RU"/>
              </w:rPr>
            </w:pPr>
            <w:r w:rsidRPr="00731FE2">
              <w:rPr>
                <w:rFonts w:ascii="Times New Roman" w:eastAsia="Times New Roman" w:hAnsi="Times New Roman" w:cs="Times New Roman"/>
                <w:color w:val="000000"/>
                <w:sz w:val="22"/>
                <w:lang w:eastAsia="ru-RU"/>
              </w:rPr>
              <w:t>21</w:t>
            </w:r>
          </w:p>
        </w:tc>
      </w:tr>
      <w:tr w:rsidR="00CA1D45" w:rsidRPr="00731FE2" w14:paraId="2FCF088D" w14:textId="77777777" w:rsidTr="009B6BDD">
        <w:trPr>
          <w:trHeight w:val="20"/>
          <w:tblCellSpacing w:w="0" w:type="dxa"/>
        </w:trPr>
        <w:tc>
          <w:tcPr>
            <w:tcW w:w="557" w:type="dxa"/>
            <w:tcBorders>
              <w:top w:val="nil"/>
              <w:left w:val="single" w:sz="8" w:space="0" w:color="000000"/>
              <w:bottom w:val="single" w:sz="8" w:space="0" w:color="000000"/>
              <w:right w:val="single" w:sz="8" w:space="0" w:color="000000"/>
            </w:tcBorders>
            <w:tcMar>
              <w:top w:w="0" w:type="dxa"/>
              <w:left w:w="0" w:type="dxa"/>
              <w:bottom w:w="0" w:type="dxa"/>
              <w:right w:w="28" w:type="dxa"/>
            </w:tcMar>
            <w:vAlign w:val="center"/>
          </w:tcPr>
          <w:p w14:paraId="5F5FDCA7" w14:textId="77777777" w:rsidR="00CA1D45" w:rsidRPr="00731FE2" w:rsidRDefault="00CA1D45" w:rsidP="007832E7">
            <w:pPr>
              <w:pStyle w:val="a3"/>
              <w:numPr>
                <w:ilvl w:val="0"/>
                <w:numId w:val="118"/>
              </w:numPr>
              <w:spacing w:line="240" w:lineRule="auto"/>
              <w:ind w:left="527" w:hanging="357"/>
              <w:jc w:val="left"/>
              <w:rPr>
                <w:rFonts w:ascii="Times New Roman" w:eastAsia="Times New Roman" w:hAnsi="Times New Roman" w:cs="Times New Roman"/>
                <w:sz w:val="22"/>
                <w:lang w:eastAsia="ru-RU"/>
              </w:rPr>
            </w:pPr>
          </w:p>
        </w:tc>
        <w:tc>
          <w:tcPr>
            <w:tcW w:w="2410" w:type="dxa"/>
            <w:tcBorders>
              <w:top w:val="nil"/>
              <w:left w:val="nil"/>
              <w:bottom w:val="single" w:sz="8" w:space="0" w:color="000000"/>
              <w:right w:val="single" w:sz="8" w:space="0" w:color="000000"/>
            </w:tcBorders>
            <w:tcMar>
              <w:top w:w="0" w:type="dxa"/>
              <w:left w:w="0" w:type="dxa"/>
              <w:bottom w:w="0" w:type="dxa"/>
              <w:right w:w="28" w:type="dxa"/>
            </w:tcMar>
            <w:vAlign w:val="center"/>
            <w:hideMark/>
          </w:tcPr>
          <w:p w14:paraId="7BA0D485" w14:textId="77777777" w:rsidR="00CA1D45" w:rsidRPr="00731FE2" w:rsidRDefault="00CA1D45" w:rsidP="00CA1D45">
            <w:pPr>
              <w:spacing w:line="240" w:lineRule="auto"/>
              <w:ind w:firstLine="0"/>
              <w:jc w:val="left"/>
              <w:rPr>
                <w:rFonts w:ascii="Times New Roman" w:eastAsia="Times New Roman" w:hAnsi="Times New Roman" w:cs="Times New Roman"/>
                <w:color w:val="000000"/>
                <w:sz w:val="22"/>
                <w:lang w:eastAsia="ru-RU"/>
              </w:rPr>
            </w:pPr>
            <w:r w:rsidRPr="00731FE2">
              <w:rPr>
                <w:rFonts w:ascii="Times New Roman" w:eastAsia="Times New Roman" w:hAnsi="Times New Roman" w:cs="Times New Roman"/>
                <w:color w:val="000000"/>
                <w:sz w:val="22"/>
                <w:lang w:eastAsia="ru-RU"/>
              </w:rPr>
              <w:t>МКУК города-курорта Кисловодска «Централизованная библиотечная система» Центральная детская библиотека»</w:t>
            </w:r>
          </w:p>
        </w:tc>
        <w:tc>
          <w:tcPr>
            <w:tcW w:w="1559" w:type="dxa"/>
            <w:tcBorders>
              <w:top w:val="nil"/>
              <w:left w:val="nil"/>
              <w:bottom w:val="single" w:sz="8" w:space="0" w:color="000000"/>
              <w:right w:val="single" w:sz="8" w:space="0" w:color="000000"/>
            </w:tcBorders>
            <w:tcMar>
              <w:top w:w="0" w:type="dxa"/>
              <w:left w:w="0" w:type="dxa"/>
              <w:bottom w:w="0" w:type="dxa"/>
              <w:right w:w="28" w:type="dxa"/>
            </w:tcMar>
            <w:vAlign w:val="center"/>
            <w:hideMark/>
          </w:tcPr>
          <w:p w14:paraId="6405FB0F" w14:textId="77777777" w:rsidR="00CA1D45" w:rsidRPr="00731FE2" w:rsidRDefault="00CA1D45" w:rsidP="00CA1D45">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 xml:space="preserve">г.-к. Кисловодск, ул. </w:t>
            </w:r>
            <w:proofErr w:type="gramStart"/>
            <w:r w:rsidRPr="00731FE2">
              <w:rPr>
                <w:rFonts w:ascii="Times New Roman" w:eastAsia="Times New Roman" w:hAnsi="Times New Roman" w:cs="Times New Roman"/>
                <w:color w:val="000000"/>
                <w:sz w:val="22"/>
                <w:lang w:eastAsia="ru-RU"/>
              </w:rPr>
              <w:t>Красноармейская</w:t>
            </w:r>
            <w:proofErr w:type="gramEnd"/>
            <w:r w:rsidRPr="00731FE2">
              <w:rPr>
                <w:rFonts w:ascii="Times New Roman" w:eastAsia="Times New Roman" w:hAnsi="Times New Roman" w:cs="Times New Roman"/>
                <w:color w:val="000000"/>
                <w:sz w:val="22"/>
                <w:lang w:eastAsia="ru-RU"/>
              </w:rPr>
              <w:t>, 2</w:t>
            </w:r>
          </w:p>
        </w:tc>
        <w:tc>
          <w:tcPr>
            <w:tcW w:w="1418" w:type="dxa"/>
            <w:tcBorders>
              <w:top w:val="nil"/>
              <w:left w:val="nil"/>
              <w:bottom w:val="single" w:sz="8" w:space="0" w:color="000000"/>
              <w:right w:val="single" w:sz="8" w:space="0" w:color="000000"/>
            </w:tcBorders>
            <w:tcMar>
              <w:top w:w="0" w:type="dxa"/>
              <w:left w:w="0" w:type="dxa"/>
              <w:bottom w:w="0" w:type="dxa"/>
              <w:right w:w="28" w:type="dxa"/>
            </w:tcMar>
            <w:vAlign w:val="center"/>
            <w:hideMark/>
          </w:tcPr>
          <w:p w14:paraId="547D5B52" w14:textId="77777777" w:rsidR="00CA1D45" w:rsidRPr="00731FE2" w:rsidRDefault="00CA1D45" w:rsidP="00CA1D45">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37</w:t>
            </w:r>
          </w:p>
        </w:tc>
        <w:tc>
          <w:tcPr>
            <w:tcW w:w="1982" w:type="dxa"/>
            <w:tcBorders>
              <w:top w:val="nil"/>
              <w:left w:val="nil"/>
              <w:bottom w:val="single" w:sz="8" w:space="0" w:color="000000"/>
              <w:right w:val="single" w:sz="8" w:space="0" w:color="000000"/>
            </w:tcBorders>
            <w:tcMar>
              <w:top w:w="0" w:type="dxa"/>
              <w:left w:w="0" w:type="dxa"/>
              <w:bottom w:w="0" w:type="dxa"/>
              <w:right w:w="28" w:type="dxa"/>
            </w:tcMar>
            <w:vAlign w:val="center"/>
            <w:hideMark/>
          </w:tcPr>
          <w:p w14:paraId="68252FB4" w14:textId="77777777" w:rsidR="00CA1D45" w:rsidRPr="00731FE2" w:rsidRDefault="00CA1D45" w:rsidP="00CA1D45">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Требуется капитальный ремонт</w:t>
            </w:r>
          </w:p>
        </w:tc>
        <w:tc>
          <w:tcPr>
            <w:tcW w:w="1409" w:type="dxa"/>
            <w:tcBorders>
              <w:top w:val="nil"/>
              <w:left w:val="nil"/>
              <w:bottom w:val="single" w:sz="8" w:space="0" w:color="000000"/>
              <w:right w:val="single" w:sz="8" w:space="0" w:color="000000"/>
            </w:tcBorders>
            <w:vAlign w:val="center"/>
          </w:tcPr>
          <w:p w14:paraId="75A40133" w14:textId="77777777" w:rsidR="00CA1D45" w:rsidRPr="00731FE2" w:rsidRDefault="00CA1D45" w:rsidP="00CA1D45">
            <w:pPr>
              <w:spacing w:line="240" w:lineRule="auto"/>
              <w:ind w:firstLine="0"/>
              <w:jc w:val="center"/>
              <w:rPr>
                <w:rFonts w:ascii="Times New Roman" w:eastAsia="Times New Roman" w:hAnsi="Times New Roman" w:cs="Times New Roman"/>
                <w:color w:val="000000"/>
                <w:sz w:val="22"/>
                <w:lang w:eastAsia="ru-RU"/>
              </w:rPr>
            </w:pPr>
            <w:r w:rsidRPr="00731FE2">
              <w:rPr>
                <w:rFonts w:ascii="Times New Roman" w:eastAsia="Times New Roman" w:hAnsi="Times New Roman" w:cs="Times New Roman"/>
                <w:color w:val="000000"/>
                <w:sz w:val="22"/>
                <w:lang w:eastAsia="ru-RU"/>
              </w:rPr>
              <w:t>10</w:t>
            </w:r>
          </w:p>
        </w:tc>
      </w:tr>
      <w:tr w:rsidR="00CA1D45" w:rsidRPr="00731FE2" w14:paraId="1CB2DEEE" w14:textId="77777777" w:rsidTr="009B6BDD">
        <w:trPr>
          <w:trHeight w:val="20"/>
          <w:tblCellSpacing w:w="0" w:type="dxa"/>
        </w:trPr>
        <w:tc>
          <w:tcPr>
            <w:tcW w:w="557" w:type="dxa"/>
            <w:tcBorders>
              <w:top w:val="nil"/>
              <w:left w:val="single" w:sz="8" w:space="0" w:color="000000"/>
              <w:bottom w:val="single" w:sz="8" w:space="0" w:color="000000"/>
              <w:right w:val="single" w:sz="8" w:space="0" w:color="000000"/>
            </w:tcBorders>
            <w:tcMar>
              <w:top w:w="0" w:type="dxa"/>
              <w:left w:w="0" w:type="dxa"/>
              <w:bottom w:w="0" w:type="dxa"/>
              <w:right w:w="28" w:type="dxa"/>
            </w:tcMar>
            <w:vAlign w:val="center"/>
          </w:tcPr>
          <w:p w14:paraId="3487C8FD" w14:textId="77777777" w:rsidR="00CA1D45" w:rsidRPr="00731FE2" w:rsidRDefault="00CA1D45" w:rsidP="007832E7">
            <w:pPr>
              <w:pStyle w:val="a3"/>
              <w:numPr>
                <w:ilvl w:val="0"/>
                <w:numId w:val="118"/>
              </w:numPr>
              <w:spacing w:line="240" w:lineRule="auto"/>
              <w:ind w:left="527" w:hanging="357"/>
              <w:jc w:val="left"/>
              <w:rPr>
                <w:rFonts w:ascii="Times New Roman" w:eastAsia="Times New Roman" w:hAnsi="Times New Roman" w:cs="Times New Roman"/>
                <w:sz w:val="22"/>
                <w:lang w:eastAsia="ru-RU"/>
              </w:rPr>
            </w:pPr>
          </w:p>
        </w:tc>
        <w:tc>
          <w:tcPr>
            <w:tcW w:w="2410" w:type="dxa"/>
            <w:tcBorders>
              <w:top w:val="nil"/>
              <w:left w:val="nil"/>
              <w:bottom w:val="single" w:sz="8" w:space="0" w:color="000000"/>
              <w:right w:val="single" w:sz="8" w:space="0" w:color="000000"/>
            </w:tcBorders>
            <w:tcMar>
              <w:top w:w="0" w:type="dxa"/>
              <w:left w:w="0" w:type="dxa"/>
              <w:bottom w:w="0" w:type="dxa"/>
              <w:right w:w="28" w:type="dxa"/>
            </w:tcMar>
            <w:vAlign w:val="center"/>
            <w:hideMark/>
          </w:tcPr>
          <w:p w14:paraId="58365B7D" w14:textId="77777777" w:rsidR="00CA1D45" w:rsidRPr="00731FE2" w:rsidRDefault="00CA1D45" w:rsidP="00CA1D45">
            <w:pPr>
              <w:spacing w:line="240" w:lineRule="auto"/>
              <w:ind w:firstLine="0"/>
              <w:jc w:val="left"/>
              <w:rPr>
                <w:rFonts w:ascii="Times New Roman" w:eastAsia="Times New Roman" w:hAnsi="Times New Roman" w:cs="Times New Roman"/>
                <w:color w:val="000000"/>
                <w:sz w:val="22"/>
                <w:lang w:eastAsia="ru-RU"/>
              </w:rPr>
            </w:pPr>
            <w:r w:rsidRPr="00731FE2">
              <w:rPr>
                <w:rFonts w:ascii="Times New Roman" w:eastAsia="Times New Roman" w:hAnsi="Times New Roman" w:cs="Times New Roman"/>
                <w:color w:val="000000"/>
                <w:sz w:val="22"/>
                <w:lang w:eastAsia="ru-RU"/>
              </w:rPr>
              <w:t>МКУК города-курорта Кисловодска «Централизованная библиотечная система» Библиотека-филиал № 1</w:t>
            </w:r>
          </w:p>
        </w:tc>
        <w:tc>
          <w:tcPr>
            <w:tcW w:w="1559" w:type="dxa"/>
            <w:tcBorders>
              <w:top w:val="nil"/>
              <w:left w:val="nil"/>
              <w:bottom w:val="single" w:sz="8" w:space="0" w:color="000000"/>
              <w:right w:val="single" w:sz="8" w:space="0" w:color="000000"/>
            </w:tcBorders>
            <w:tcMar>
              <w:top w:w="0" w:type="dxa"/>
              <w:left w:w="0" w:type="dxa"/>
              <w:bottom w:w="0" w:type="dxa"/>
              <w:right w:w="28" w:type="dxa"/>
            </w:tcMar>
            <w:vAlign w:val="center"/>
            <w:hideMark/>
          </w:tcPr>
          <w:p w14:paraId="3860B27D" w14:textId="77777777" w:rsidR="00CA1D45" w:rsidRPr="00731FE2" w:rsidRDefault="00CA1D45" w:rsidP="00CA1D45">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г.-к. Кисловодск, ул. Фоменко/Октябрьская № 17/3-3А</w:t>
            </w:r>
          </w:p>
        </w:tc>
        <w:tc>
          <w:tcPr>
            <w:tcW w:w="1418" w:type="dxa"/>
            <w:tcBorders>
              <w:top w:val="nil"/>
              <w:left w:val="nil"/>
              <w:bottom w:val="single" w:sz="8" w:space="0" w:color="000000"/>
              <w:right w:val="single" w:sz="8" w:space="0" w:color="000000"/>
            </w:tcBorders>
            <w:tcMar>
              <w:top w:w="0" w:type="dxa"/>
              <w:left w:w="0" w:type="dxa"/>
              <w:bottom w:w="0" w:type="dxa"/>
              <w:right w:w="28" w:type="dxa"/>
            </w:tcMar>
            <w:vAlign w:val="center"/>
            <w:hideMark/>
          </w:tcPr>
          <w:p w14:paraId="70AC2459" w14:textId="77777777" w:rsidR="00CA1D45" w:rsidRPr="00731FE2" w:rsidRDefault="00CA1D45" w:rsidP="00CA1D45">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16</w:t>
            </w:r>
          </w:p>
        </w:tc>
        <w:tc>
          <w:tcPr>
            <w:tcW w:w="1982" w:type="dxa"/>
            <w:tcBorders>
              <w:top w:val="nil"/>
              <w:left w:val="nil"/>
              <w:bottom w:val="single" w:sz="8" w:space="0" w:color="000000"/>
              <w:right w:val="single" w:sz="8" w:space="0" w:color="000000"/>
            </w:tcBorders>
            <w:tcMar>
              <w:top w:w="0" w:type="dxa"/>
              <w:left w:w="0" w:type="dxa"/>
              <w:bottom w:w="0" w:type="dxa"/>
              <w:right w:w="28" w:type="dxa"/>
            </w:tcMar>
            <w:vAlign w:val="center"/>
            <w:hideMark/>
          </w:tcPr>
          <w:p w14:paraId="16FB5A5A" w14:textId="77777777" w:rsidR="00CA1D45" w:rsidRPr="00731FE2" w:rsidRDefault="00CA1D45" w:rsidP="00CA1D45">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удовлетворительное</w:t>
            </w:r>
          </w:p>
        </w:tc>
        <w:tc>
          <w:tcPr>
            <w:tcW w:w="1409" w:type="dxa"/>
            <w:tcBorders>
              <w:top w:val="nil"/>
              <w:left w:val="nil"/>
              <w:bottom w:val="single" w:sz="8" w:space="0" w:color="000000"/>
              <w:right w:val="single" w:sz="8" w:space="0" w:color="000000"/>
            </w:tcBorders>
            <w:vAlign w:val="center"/>
          </w:tcPr>
          <w:p w14:paraId="43C5F773" w14:textId="77777777" w:rsidR="00CA1D45" w:rsidRPr="00731FE2" w:rsidRDefault="00CA1D45" w:rsidP="00CA1D45">
            <w:pPr>
              <w:spacing w:line="240" w:lineRule="auto"/>
              <w:ind w:firstLine="0"/>
              <w:jc w:val="center"/>
              <w:rPr>
                <w:rFonts w:ascii="Times New Roman" w:eastAsia="Times New Roman" w:hAnsi="Times New Roman" w:cs="Times New Roman"/>
                <w:color w:val="000000"/>
                <w:sz w:val="22"/>
                <w:lang w:eastAsia="ru-RU"/>
              </w:rPr>
            </w:pPr>
            <w:r w:rsidRPr="00731FE2">
              <w:rPr>
                <w:rFonts w:ascii="Times New Roman" w:eastAsia="Times New Roman" w:hAnsi="Times New Roman" w:cs="Times New Roman"/>
                <w:color w:val="000000"/>
                <w:sz w:val="22"/>
                <w:lang w:eastAsia="ru-RU"/>
              </w:rPr>
              <w:t>4</w:t>
            </w:r>
          </w:p>
        </w:tc>
      </w:tr>
      <w:tr w:rsidR="00CA1D45" w:rsidRPr="00731FE2" w14:paraId="00AE10AF" w14:textId="77777777" w:rsidTr="009B6BDD">
        <w:trPr>
          <w:trHeight w:val="20"/>
          <w:tblCellSpacing w:w="0" w:type="dxa"/>
        </w:trPr>
        <w:tc>
          <w:tcPr>
            <w:tcW w:w="557" w:type="dxa"/>
            <w:tcBorders>
              <w:top w:val="nil"/>
              <w:left w:val="single" w:sz="8" w:space="0" w:color="000000"/>
              <w:bottom w:val="single" w:sz="8" w:space="0" w:color="000000"/>
              <w:right w:val="single" w:sz="8" w:space="0" w:color="000000"/>
            </w:tcBorders>
            <w:tcMar>
              <w:top w:w="0" w:type="dxa"/>
              <w:left w:w="0" w:type="dxa"/>
              <w:bottom w:w="0" w:type="dxa"/>
              <w:right w:w="28" w:type="dxa"/>
            </w:tcMar>
            <w:vAlign w:val="center"/>
          </w:tcPr>
          <w:p w14:paraId="151F165F" w14:textId="77777777" w:rsidR="00CA1D45" w:rsidRPr="00731FE2" w:rsidRDefault="00CA1D45" w:rsidP="007832E7">
            <w:pPr>
              <w:pStyle w:val="a3"/>
              <w:numPr>
                <w:ilvl w:val="0"/>
                <w:numId w:val="118"/>
              </w:numPr>
              <w:spacing w:line="240" w:lineRule="auto"/>
              <w:ind w:left="527" w:hanging="357"/>
              <w:jc w:val="left"/>
              <w:rPr>
                <w:rFonts w:ascii="Times New Roman" w:eastAsia="Times New Roman" w:hAnsi="Times New Roman" w:cs="Times New Roman"/>
                <w:sz w:val="22"/>
                <w:lang w:eastAsia="ru-RU"/>
              </w:rPr>
            </w:pPr>
          </w:p>
        </w:tc>
        <w:tc>
          <w:tcPr>
            <w:tcW w:w="2410" w:type="dxa"/>
            <w:tcBorders>
              <w:top w:val="nil"/>
              <w:left w:val="nil"/>
              <w:bottom w:val="single" w:sz="8" w:space="0" w:color="000000"/>
              <w:right w:val="single" w:sz="8" w:space="0" w:color="000000"/>
            </w:tcBorders>
            <w:tcMar>
              <w:top w:w="0" w:type="dxa"/>
              <w:left w:w="0" w:type="dxa"/>
              <w:bottom w:w="0" w:type="dxa"/>
              <w:right w:w="28" w:type="dxa"/>
            </w:tcMar>
            <w:vAlign w:val="center"/>
            <w:hideMark/>
          </w:tcPr>
          <w:p w14:paraId="64AA000B" w14:textId="77777777" w:rsidR="00CA1D45" w:rsidRPr="00731FE2" w:rsidRDefault="00CA1D45" w:rsidP="00CA1D45">
            <w:pPr>
              <w:spacing w:line="240" w:lineRule="auto"/>
              <w:ind w:firstLine="0"/>
              <w:jc w:val="left"/>
              <w:rPr>
                <w:rFonts w:ascii="Times New Roman" w:eastAsia="Times New Roman" w:hAnsi="Times New Roman" w:cs="Times New Roman"/>
                <w:color w:val="000000"/>
                <w:sz w:val="22"/>
                <w:lang w:eastAsia="ru-RU"/>
              </w:rPr>
            </w:pPr>
            <w:r w:rsidRPr="00731FE2">
              <w:rPr>
                <w:rFonts w:ascii="Times New Roman" w:eastAsia="Times New Roman" w:hAnsi="Times New Roman" w:cs="Times New Roman"/>
                <w:color w:val="000000"/>
                <w:sz w:val="22"/>
                <w:lang w:eastAsia="ru-RU"/>
              </w:rPr>
              <w:t>МКУК города-курорта Кисловодска «Централизованная библиотечная система» Библиотека-филиал № 2</w:t>
            </w:r>
          </w:p>
        </w:tc>
        <w:tc>
          <w:tcPr>
            <w:tcW w:w="1559" w:type="dxa"/>
            <w:tcBorders>
              <w:top w:val="nil"/>
              <w:left w:val="nil"/>
              <w:bottom w:val="single" w:sz="8" w:space="0" w:color="000000"/>
              <w:right w:val="single" w:sz="8" w:space="0" w:color="000000"/>
            </w:tcBorders>
            <w:tcMar>
              <w:top w:w="0" w:type="dxa"/>
              <w:left w:w="0" w:type="dxa"/>
              <w:bottom w:w="0" w:type="dxa"/>
              <w:right w:w="28" w:type="dxa"/>
            </w:tcMar>
            <w:vAlign w:val="center"/>
            <w:hideMark/>
          </w:tcPr>
          <w:p w14:paraId="68D0956A" w14:textId="77777777" w:rsidR="00CA1D45" w:rsidRPr="00731FE2" w:rsidRDefault="00CA1D45" w:rsidP="00CA1D45">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 xml:space="preserve">г.-к. Кисловодск, ул. </w:t>
            </w:r>
            <w:proofErr w:type="gramStart"/>
            <w:r w:rsidRPr="00731FE2">
              <w:rPr>
                <w:rFonts w:ascii="Times New Roman" w:eastAsia="Times New Roman" w:hAnsi="Times New Roman" w:cs="Times New Roman"/>
                <w:color w:val="000000"/>
                <w:sz w:val="22"/>
                <w:lang w:eastAsia="ru-RU"/>
              </w:rPr>
              <w:t>Октябрьская</w:t>
            </w:r>
            <w:proofErr w:type="gramEnd"/>
            <w:r w:rsidRPr="00731FE2">
              <w:rPr>
                <w:rFonts w:ascii="Times New Roman" w:eastAsia="Times New Roman" w:hAnsi="Times New Roman" w:cs="Times New Roman"/>
                <w:color w:val="000000"/>
                <w:sz w:val="22"/>
                <w:lang w:eastAsia="ru-RU"/>
              </w:rPr>
              <w:t>/Толстого, №32/45-47</w:t>
            </w:r>
          </w:p>
        </w:tc>
        <w:tc>
          <w:tcPr>
            <w:tcW w:w="1418" w:type="dxa"/>
            <w:tcBorders>
              <w:top w:val="nil"/>
              <w:left w:val="nil"/>
              <w:bottom w:val="single" w:sz="8" w:space="0" w:color="000000"/>
              <w:right w:val="single" w:sz="8" w:space="0" w:color="000000"/>
            </w:tcBorders>
            <w:tcMar>
              <w:top w:w="0" w:type="dxa"/>
              <w:left w:w="0" w:type="dxa"/>
              <w:bottom w:w="0" w:type="dxa"/>
              <w:right w:w="28" w:type="dxa"/>
            </w:tcMar>
            <w:vAlign w:val="center"/>
            <w:hideMark/>
          </w:tcPr>
          <w:p w14:paraId="2500E12C" w14:textId="77777777" w:rsidR="00CA1D45" w:rsidRPr="00731FE2" w:rsidRDefault="00CA1D45" w:rsidP="00CA1D45">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20</w:t>
            </w:r>
          </w:p>
        </w:tc>
        <w:tc>
          <w:tcPr>
            <w:tcW w:w="1982" w:type="dxa"/>
            <w:tcBorders>
              <w:top w:val="nil"/>
              <w:left w:val="nil"/>
              <w:bottom w:val="single" w:sz="8" w:space="0" w:color="000000"/>
              <w:right w:val="single" w:sz="8" w:space="0" w:color="000000"/>
            </w:tcBorders>
            <w:tcMar>
              <w:top w:w="0" w:type="dxa"/>
              <w:left w:w="0" w:type="dxa"/>
              <w:bottom w:w="0" w:type="dxa"/>
              <w:right w:w="28" w:type="dxa"/>
            </w:tcMar>
            <w:vAlign w:val="center"/>
            <w:hideMark/>
          </w:tcPr>
          <w:p w14:paraId="2DCB0A69" w14:textId="77777777" w:rsidR="00CA1D45" w:rsidRPr="00731FE2" w:rsidRDefault="00CA1D45" w:rsidP="00CA1D45">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удовлетворительное</w:t>
            </w:r>
          </w:p>
        </w:tc>
        <w:tc>
          <w:tcPr>
            <w:tcW w:w="1409" w:type="dxa"/>
            <w:tcBorders>
              <w:top w:val="nil"/>
              <w:left w:val="nil"/>
              <w:bottom w:val="single" w:sz="8" w:space="0" w:color="000000"/>
              <w:right w:val="single" w:sz="8" w:space="0" w:color="000000"/>
            </w:tcBorders>
            <w:vAlign w:val="center"/>
          </w:tcPr>
          <w:p w14:paraId="615B252D" w14:textId="77777777" w:rsidR="00CA1D45" w:rsidRPr="00731FE2" w:rsidRDefault="00CA1D45" w:rsidP="00CA1D45">
            <w:pPr>
              <w:spacing w:line="240" w:lineRule="auto"/>
              <w:ind w:firstLine="0"/>
              <w:jc w:val="center"/>
              <w:rPr>
                <w:rFonts w:ascii="Times New Roman" w:eastAsia="Times New Roman" w:hAnsi="Times New Roman" w:cs="Times New Roman"/>
                <w:color w:val="000000"/>
                <w:sz w:val="22"/>
                <w:lang w:eastAsia="ru-RU"/>
              </w:rPr>
            </w:pPr>
            <w:r w:rsidRPr="00731FE2">
              <w:rPr>
                <w:rFonts w:ascii="Times New Roman" w:eastAsia="Times New Roman" w:hAnsi="Times New Roman" w:cs="Times New Roman"/>
                <w:color w:val="000000"/>
                <w:sz w:val="22"/>
                <w:lang w:eastAsia="ru-RU"/>
              </w:rPr>
              <w:t>4</w:t>
            </w:r>
          </w:p>
        </w:tc>
      </w:tr>
      <w:tr w:rsidR="00CA1D45" w:rsidRPr="00731FE2" w14:paraId="4B841979" w14:textId="77777777" w:rsidTr="009B6BDD">
        <w:trPr>
          <w:trHeight w:val="20"/>
          <w:tblCellSpacing w:w="0" w:type="dxa"/>
        </w:trPr>
        <w:tc>
          <w:tcPr>
            <w:tcW w:w="557" w:type="dxa"/>
            <w:tcBorders>
              <w:top w:val="nil"/>
              <w:left w:val="single" w:sz="8" w:space="0" w:color="000000"/>
              <w:bottom w:val="single" w:sz="8" w:space="0" w:color="000000"/>
              <w:right w:val="single" w:sz="8" w:space="0" w:color="000000"/>
            </w:tcBorders>
            <w:tcMar>
              <w:top w:w="0" w:type="dxa"/>
              <w:left w:w="0" w:type="dxa"/>
              <w:bottom w:w="0" w:type="dxa"/>
              <w:right w:w="28" w:type="dxa"/>
            </w:tcMar>
            <w:vAlign w:val="center"/>
          </w:tcPr>
          <w:p w14:paraId="30C2BB2E" w14:textId="77777777" w:rsidR="00CA1D45" w:rsidRPr="00731FE2" w:rsidRDefault="00CA1D45" w:rsidP="007832E7">
            <w:pPr>
              <w:pStyle w:val="a3"/>
              <w:numPr>
                <w:ilvl w:val="0"/>
                <w:numId w:val="118"/>
              </w:numPr>
              <w:spacing w:line="240" w:lineRule="auto"/>
              <w:ind w:left="527" w:hanging="357"/>
              <w:jc w:val="left"/>
              <w:rPr>
                <w:rFonts w:ascii="Times New Roman" w:eastAsia="Times New Roman" w:hAnsi="Times New Roman" w:cs="Times New Roman"/>
                <w:sz w:val="22"/>
                <w:lang w:eastAsia="ru-RU"/>
              </w:rPr>
            </w:pPr>
          </w:p>
        </w:tc>
        <w:tc>
          <w:tcPr>
            <w:tcW w:w="2410" w:type="dxa"/>
            <w:tcBorders>
              <w:top w:val="nil"/>
              <w:left w:val="nil"/>
              <w:bottom w:val="single" w:sz="8" w:space="0" w:color="000000"/>
              <w:right w:val="single" w:sz="8" w:space="0" w:color="000000"/>
            </w:tcBorders>
            <w:tcMar>
              <w:top w:w="0" w:type="dxa"/>
              <w:left w:w="0" w:type="dxa"/>
              <w:bottom w:w="0" w:type="dxa"/>
              <w:right w:w="28" w:type="dxa"/>
            </w:tcMar>
            <w:vAlign w:val="center"/>
            <w:hideMark/>
          </w:tcPr>
          <w:p w14:paraId="399390A1" w14:textId="77777777" w:rsidR="00CA1D45" w:rsidRPr="00731FE2" w:rsidRDefault="00CA1D45" w:rsidP="00CA1D45">
            <w:pPr>
              <w:spacing w:line="240" w:lineRule="auto"/>
              <w:ind w:firstLine="0"/>
              <w:jc w:val="left"/>
              <w:rPr>
                <w:rFonts w:ascii="Times New Roman" w:eastAsia="Times New Roman" w:hAnsi="Times New Roman" w:cs="Times New Roman"/>
                <w:color w:val="000000"/>
                <w:sz w:val="22"/>
                <w:lang w:eastAsia="ru-RU"/>
              </w:rPr>
            </w:pPr>
            <w:r w:rsidRPr="00731FE2">
              <w:rPr>
                <w:rFonts w:ascii="Times New Roman" w:eastAsia="Times New Roman" w:hAnsi="Times New Roman" w:cs="Times New Roman"/>
                <w:color w:val="000000"/>
                <w:sz w:val="22"/>
                <w:lang w:eastAsia="ru-RU"/>
              </w:rPr>
              <w:t>МКУК города-курорта Кисловодска «Централизованная библиотечная система» Библиотека-филиал № 3</w:t>
            </w:r>
          </w:p>
        </w:tc>
        <w:tc>
          <w:tcPr>
            <w:tcW w:w="1559" w:type="dxa"/>
            <w:tcBorders>
              <w:top w:val="nil"/>
              <w:left w:val="nil"/>
              <w:bottom w:val="single" w:sz="8" w:space="0" w:color="000000"/>
              <w:right w:val="single" w:sz="8" w:space="0" w:color="000000"/>
            </w:tcBorders>
            <w:tcMar>
              <w:top w:w="0" w:type="dxa"/>
              <w:left w:w="0" w:type="dxa"/>
              <w:bottom w:w="0" w:type="dxa"/>
              <w:right w:w="28" w:type="dxa"/>
            </w:tcMar>
            <w:vAlign w:val="center"/>
            <w:hideMark/>
          </w:tcPr>
          <w:p w14:paraId="6D204950" w14:textId="77777777" w:rsidR="00CA1D45" w:rsidRPr="00731FE2" w:rsidRDefault="00CA1D45" w:rsidP="00CA1D45">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г.-к. Кисловодск, проезд Цандера, 9</w:t>
            </w:r>
          </w:p>
        </w:tc>
        <w:tc>
          <w:tcPr>
            <w:tcW w:w="1418" w:type="dxa"/>
            <w:tcBorders>
              <w:top w:val="nil"/>
              <w:left w:val="nil"/>
              <w:bottom w:val="single" w:sz="8" w:space="0" w:color="000000"/>
              <w:right w:val="single" w:sz="8" w:space="0" w:color="000000"/>
            </w:tcBorders>
            <w:tcMar>
              <w:top w:w="0" w:type="dxa"/>
              <w:left w:w="0" w:type="dxa"/>
              <w:bottom w:w="0" w:type="dxa"/>
              <w:right w:w="28" w:type="dxa"/>
            </w:tcMar>
            <w:vAlign w:val="center"/>
            <w:hideMark/>
          </w:tcPr>
          <w:p w14:paraId="0AA97BE6" w14:textId="77777777" w:rsidR="00CA1D45" w:rsidRPr="00731FE2" w:rsidRDefault="00CA1D45" w:rsidP="00CA1D45">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30</w:t>
            </w:r>
          </w:p>
        </w:tc>
        <w:tc>
          <w:tcPr>
            <w:tcW w:w="1982" w:type="dxa"/>
            <w:tcBorders>
              <w:top w:val="nil"/>
              <w:left w:val="nil"/>
              <w:bottom w:val="single" w:sz="8" w:space="0" w:color="000000"/>
              <w:right w:val="single" w:sz="8" w:space="0" w:color="000000"/>
            </w:tcBorders>
            <w:tcMar>
              <w:top w:w="0" w:type="dxa"/>
              <w:left w:w="0" w:type="dxa"/>
              <w:bottom w:w="0" w:type="dxa"/>
              <w:right w:w="28" w:type="dxa"/>
            </w:tcMar>
            <w:vAlign w:val="center"/>
            <w:hideMark/>
          </w:tcPr>
          <w:p w14:paraId="2302E785" w14:textId="77777777" w:rsidR="00CA1D45" w:rsidRPr="00731FE2" w:rsidRDefault="00CA1D45" w:rsidP="00CA1D45">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Требуется капитальный ремонт</w:t>
            </w:r>
          </w:p>
        </w:tc>
        <w:tc>
          <w:tcPr>
            <w:tcW w:w="1409" w:type="dxa"/>
            <w:tcBorders>
              <w:top w:val="nil"/>
              <w:left w:val="nil"/>
              <w:bottom w:val="single" w:sz="8" w:space="0" w:color="000000"/>
              <w:right w:val="single" w:sz="8" w:space="0" w:color="000000"/>
            </w:tcBorders>
            <w:vAlign w:val="center"/>
          </w:tcPr>
          <w:p w14:paraId="41789F4D" w14:textId="77777777" w:rsidR="00CA1D45" w:rsidRPr="00731FE2" w:rsidRDefault="00CA1D45" w:rsidP="00CA1D45">
            <w:pPr>
              <w:spacing w:line="240" w:lineRule="auto"/>
              <w:ind w:firstLine="0"/>
              <w:jc w:val="center"/>
              <w:rPr>
                <w:rFonts w:ascii="Times New Roman" w:eastAsia="Times New Roman" w:hAnsi="Times New Roman" w:cs="Times New Roman"/>
                <w:color w:val="000000"/>
                <w:sz w:val="22"/>
                <w:lang w:eastAsia="ru-RU"/>
              </w:rPr>
            </w:pPr>
            <w:r w:rsidRPr="00731FE2">
              <w:rPr>
                <w:rFonts w:ascii="Times New Roman" w:eastAsia="Times New Roman" w:hAnsi="Times New Roman" w:cs="Times New Roman"/>
                <w:color w:val="000000"/>
                <w:sz w:val="22"/>
                <w:lang w:eastAsia="ru-RU"/>
              </w:rPr>
              <w:t>4</w:t>
            </w:r>
          </w:p>
        </w:tc>
      </w:tr>
      <w:tr w:rsidR="00CA1D45" w:rsidRPr="00731FE2" w14:paraId="5C948C4E" w14:textId="77777777" w:rsidTr="009B6BDD">
        <w:trPr>
          <w:trHeight w:val="20"/>
          <w:tblCellSpacing w:w="0" w:type="dxa"/>
        </w:trPr>
        <w:tc>
          <w:tcPr>
            <w:tcW w:w="557" w:type="dxa"/>
            <w:tcBorders>
              <w:top w:val="nil"/>
              <w:left w:val="single" w:sz="8" w:space="0" w:color="000000"/>
              <w:bottom w:val="single" w:sz="8" w:space="0" w:color="000000"/>
              <w:right w:val="single" w:sz="8" w:space="0" w:color="000000"/>
            </w:tcBorders>
            <w:tcMar>
              <w:top w:w="0" w:type="dxa"/>
              <w:left w:w="0" w:type="dxa"/>
              <w:bottom w:w="0" w:type="dxa"/>
              <w:right w:w="28" w:type="dxa"/>
            </w:tcMar>
            <w:vAlign w:val="center"/>
          </w:tcPr>
          <w:p w14:paraId="25D22242" w14:textId="77777777" w:rsidR="00CA1D45" w:rsidRPr="00731FE2" w:rsidRDefault="00CA1D45" w:rsidP="007832E7">
            <w:pPr>
              <w:pStyle w:val="a3"/>
              <w:numPr>
                <w:ilvl w:val="0"/>
                <w:numId w:val="118"/>
              </w:numPr>
              <w:spacing w:line="240" w:lineRule="auto"/>
              <w:ind w:left="527" w:hanging="357"/>
              <w:jc w:val="left"/>
              <w:rPr>
                <w:rFonts w:ascii="Times New Roman" w:eastAsia="Times New Roman" w:hAnsi="Times New Roman" w:cs="Times New Roman"/>
                <w:sz w:val="22"/>
                <w:lang w:eastAsia="ru-RU"/>
              </w:rPr>
            </w:pPr>
          </w:p>
        </w:tc>
        <w:tc>
          <w:tcPr>
            <w:tcW w:w="2410" w:type="dxa"/>
            <w:tcBorders>
              <w:top w:val="nil"/>
              <w:left w:val="nil"/>
              <w:bottom w:val="single" w:sz="8" w:space="0" w:color="000000"/>
              <w:right w:val="single" w:sz="8" w:space="0" w:color="000000"/>
            </w:tcBorders>
            <w:tcMar>
              <w:top w:w="0" w:type="dxa"/>
              <w:left w:w="0" w:type="dxa"/>
              <w:bottom w:w="0" w:type="dxa"/>
              <w:right w:w="28" w:type="dxa"/>
            </w:tcMar>
            <w:vAlign w:val="center"/>
            <w:hideMark/>
          </w:tcPr>
          <w:p w14:paraId="0978F5A7" w14:textId="77777777" w:rsidR="00CA1D45" w:rsidRPr="00731FE2" w:rsidRDefault="00CA1D45" w:rsidP="00CA1D45">
            <w:pPr>
              <w:spacing w:line="240" w:lineRule="auto"/>
              <w:ind w:firstLine="0"/>
              <w:jc w:val="left"/>
              <w:rPr>
                <w:rFonts w:ascii="Times New Roman" w:eastAsia="Times New Roman" w:hAnsi="Times New Roman" w:cs="Times New Roman"/>
                <w:color w:val="000000"/>
                <w:sz w:val="22"/>
                <w:lang w:eastAsia="ru-RU"/>
              </w:rPr>
            </w:pPr>
            <w:r w:rsidRPr="00731FE2">
              <w:rPr>
                <w:rFonts w:ascii="Times New Roman" w:eastAsia="Times New Roman" w:hAnsi="Times New Roman" w:cs="Times New Roman"/>
                <w:color w:val="000000"/>
                <w:sz w:val="22"/>
                <w:lang w:eastAsia="ru-RU"/>
              </w:rPr>
              <w:t xml:space="preserve">МКУК города-курорта Кисловодска </w:t>
            </w:r>
            <w:r w:rsidRPr="00731FE2">
              <w:rPr>
                <w:rFonts w:ascii="Times New Roman" w:eastAsia="Times New Roman" w:hAnsi="Times New Roman" w:cs="Times New Roman"/>
                <w:color w:val="000000"/>
                <w:sz w:val="22"/>
                <w:lang w:eastAsia="ru-RU"/>
              </w:rPr>
              <w:lastRenderedPageBreak/>
              <w:t>«Централизованная библиотечная система» Библиотека-филиал № 4</w:t>
            </w:r>
          </w:p>
        </w:tc>
        <w:tc>
          <w:tcPr>
            <w:tcW w:w="1559" w:type="dxa"/>
            <w:tcBorders>
              <w:top w:val="nil"/>
              <w:left w:val="nil"/>
              <w:bottom w:val="single" w:sz="8" w:space="0" w:color="000000"/>
              <w:right w:val="single" w:sz="8" w:space="0" w:color="000000"/>
            </w:tcBorders>
            <w:tcMar>
              <w:top w:w="0" w:type="dxa"/>
              <w:left w:w="0" w:type="dxa"/>
              <w:bottom w:w="0" w:type="dxa"/>
              <w:right w:w="28" w:type="dxa"/>
            </w:tcMar>
            <w:vAlign w:val="center"/>
            <w:hideMark/>
          </w:tcPr>
          <w:p w14:paraId="0074B993" w14:textId="77777777" w:rsidR="00CA1D45" w:rsidRPr="00731FE2" w:rsidRDefault="00CA1D45" w:rsidP="00CA1D45">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lastRenderedPageBreak/>
              <w:t xml:space="preserve">г.-к. Кисловодск, ул. </w:t>
            </w:r>
            <w:r w:rsidRPr="00731FE2">
              <w:rPr>
                <w:rFonts w:ascii="Times New Roman" w:eastAsia="Times New Roman" w:hAnsi="Times New Roman" w:cs="Times New Roman"/>
                <w:color w:val="000000"/>
                <w:sz w:val="22"/>
                <w:lang w:eastAsia="ru-RU"/>
              </w:rPr>
              <w:lastRenderedPageBreak/>
              <w:t>Челюскинцев, 16а</w:t>
            </w:r>
          </w:p>
        </w:tc>
        <w:tc>
          <w:tcPr>
            <w:tcW w:w="1418" w:type="dxa"/>
            <w:tcBorders>
              <w:top w:val="nil"/>
              <w:left w:val="nil"/>
              <w:bottom w:val="single" w:sz="8" w:space="0" w:color="000000"/>
              <w:right w:val="single" w:sz="8" w:space="0" w:color="000000"/>
            </w:tcBorders>
            <w:tcMar>
              <w:top w:w="0" w:type="dxa"/>
              <w:left w:w="0" w:type="dxa"/>
              <w:bottom w:w="0" w:type="dxa"/>
              <w:right w:w="28" w:type="dxa"/>
            </w:tcMar>
            <w:vAlign w:val="center"/>
            <w:hideMark/>
          </w:tcPr>
          <w:p w14:paraId="18FFEED5" w14:textId="77777777" w:rsidR="00CA1D45" w:rsidRPr="00731FE2" w:rsidRDefault="00CA1D45" w:rsidP="00CA1D45">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lastRenderedPageBreak/>
              <w:t>20</w:t>
            </w:r>
          </w:p>
        </w:tc>
        <w:tc>
          <w:tcPr>
            <w:tcW w:w="1982" w:type="dxa"/>
            <w:tcBorders>
              <w:top w:val="nil"/>
              <w:left w:val="nil"/>
              <w:bottom w:val="single" w:sz="8" w:space="0" w:color="000000"/>
              <w:right w:val="single" w:sz="8" w:space="0" w:color="000000"/>
            </w:tcBorders>
            <w:tcMar>
              <w:top w:w="0" w:type="dxa"/>
              <w:left w:w="0" w:type="dxa"/>
              <w:bottom w:w="0" w:type="dxa"/>
              <w:right w:w="28" w:type="dxa"/>
            </w:tcMar>
            <w:vAlign w:val="center"/>
            <w:hideMark/>
          </w:tcPr>
          <w:p w14:paraId="2D7A1E39" w14:textId="77777777" w:rsidR="00CA1D45" w:rsidRPr="00731FE2" w:rsidRDefault="00CA1D45" w:rsidP="00CA1D45">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 xml:space="preserve">Требуется капитальный </w:t>
            </w:r>
            <w:r w:rsidRPr="00731FE2">
              <w:rPr>
                <w:rFonts w:ascii="Times New Roman" w:eastAsia="Times New Roman" w:hAnsi="Times New Roman" w:cs="Times New Roman"/>
                <w:color w:val="000000"/>
                <w:sz w:val="22"/>
                <w:lang w:eastAsia="ru-RU"/>
              </w:rPr>
              <w:lastRenderedPageBreak/>
              <w:t>ремонт</w:t>
            </w:r>
          </w:p>
        </w:tc>
        <w:tc>
          <w:tcPr>
            <w:tcW w:w="1409" w:type="dxa"/>
            <w:tcBorders>
              <w:top w:val="nil"/>
              <w:left w:val="nil"/>
              <w:bottom w:val="single" w:sz="8" w:space="0" w:color="000000"/>
              <w:right w:val="single" w:sz="8" w:space="0" w:color="000000"/>
            </w:tcBorders>
            <w:vAlign w:val="center"/>
          </w:tcPr>
          <w:p w14:paraId="40E64291" w14:textId="77777777" w:rsidR="00CA1D45" w:rsidRPr="00731FE2" w:rsidRDefault="00CA1D45" w:rsidP="00CA1D45">
            <w:pPr>
              <w:spacing w:line="240" w:lineRule="auto"/>
              <w:ind w:firstLine="0"/>
              <w:jc w:val="center"/>
              <w:rPr>
                <w:rFonts w:ascii="Times New Roman" w:eastAsia="Times New Roman" w:hAnsi="Times New Roman" w:cs="Times New Roman"/>
                <w:color w:val="000000"/>
                <w:sz w:val="22"/>
                <w:lang w:eastAsia="ru-RU"/>
              </w:rPr>
            </w:pPr>
            <w:r w:rsidRPr="00731FE2">
              <w:rPr>
                <w:rFonts w:ascii="Times New Roman" w:eastAsia="Times New Roman" w:hAnsi="Times New Roman" w:cs="Times New Roman"/>
                <w:color w:val="000000"/>
                <w:sz w:val="22"/>
                <w:lang w:eastAsia="ru-RU"/>
              </w:rPr>
              <w:lastRenderedPageBreak/>
              <w:t>4</w:t>
            </w:r>
          </w:p>
        </w:tc>
      </w:tr>
      <w:tr w:rsidR="00CA1D45" w:rsidRPr="00731FE2" w14:paraId="0FB4453A" w14:textId="77777777" w:rsidTr="009B6BDD">
        <w:trPr>
          <w:trHeight w:val="20"/>
          <w:tblCellSpacing w:w="0" w:type="dxa"/>
        </w:trPr>
        <w:tc>
          <w:tcPr>
            <w:tcW w:w="557" w:type="dxa"/>
            <w:tcBorders>
              <w:top w:val="nil"/>
              <w:left w:val="single" w:sz="8" w:space="0" w:color="000000"/>
              <w:bottom w:val="single" w:sz="8" w:space="0" w:color="000000"/>
              <w:right w:val="single" w:sz="8" w:space="0" w:color="000000"/>
            </w:tcBorders>
            <w:tcMar>
              <w:top w:w="0" w:type="dxa"/>
              <w:left w:w="0" w:type="dxa"/>
              <w:bottom w:w="0" w:type="dxa"/>
              <w:right w:w="28" w:type="dxa"/>
            </w:tcMar>
            <w:vAlign w:val="center"/>
          </w:tcPr>
          <w:p w14:paraId="49D76367" w14:textId="77777777" w:rsidR="00CA1D45" w:rsidRPr="00731FE2" w:rsidRDefault="00CA1D45" w:rsidP="007832E7">
            <w:pPr>
              <w:pStyle w:val="a3"/>
              <w:numPr>
                <w:ilvl w:val="0"/>
                <w:numId w:val="118"/>
              </w:numPr>
              <w:spacing w:line="240" w:lineRule="auto"/>
              <w:ind w:left="527" w:hanging="357"/>
              <w:jc w:val="left"/>
              <w:rPr>
                <w:rFonts w:ascii="Times New Roman" w:eastAsia="Times New Roman" w:hAnsi="Times New Roman" w:cs="Times New Roman"/>
                <w:sz w:val="22"/>
                <w:lang w:eastAsia="ru-RU"/>
              </w:rPr>
            </w:pPr>
          </w:p>
        </w:tc>
        <w:tc>
          <w:tcPr>
            <w:tcW w:w="2410" w:type="dxa"/>
            <w:tcBorders>
              <w:top w:val="nil"/>
              <w:left w:val="nil"/>
              <w:bottom w:val="single" w:sz="8" w:space="0" w:color="000000"/>
              <w:right w:val="single" w:sz="8" w:space="0" w:color="000000"/>
            </w:tcBorders>
            <w:tcMar>
              <w:top w:w="0" w:type="dxa"/>
              <w:left w:w="0" w:type="dxa"/>
              <w:bottom w:w="0" w:type="dxa"/>
              <w:right w:w="28" w:type="dxa"/>
            </w:tcMar>
            <w:vAlign w:val="center"/>
            <w:hideMark/>
          </w:tcPr>
          <w:p w14:paraId="670D42CD" w14:textId="77777777" w:rsidR="00CA1D45" w:rsidRPr="00731FE2" w:rsidRDefault="00CA1D45" w:rsidP="00CA1D45">
            <w:pPr>
              <w:spacing w:line="240" w:lineRule="auto"/>
              <w:ind w:firstLine="0"/>
              <w:jc w:val="left"/>
              <w:rPr>
                <w:rFonts w:ascii="Times New Roman" w:eastAsia="Times New Roman" w:hAnsi="Times New Roman" w:cs="Times New Roman"/>
                <w:color w:val="000000"/>
                <w:sz w:val="22"/>
                <w:lang w:eastAsia="ru-RU"/>
              </w:rPr>
            </w:pPr>
            <w:r w:rsidRPr="00731FE2">
              <w:rPr>
                <w:rFonts w:ascii="Times New Roman" w:eastAsia="Times New Roman" w:hAnsi="Times New Roman" w:cs="Times New Roman"/>
                <w:color w:val="000000"/>
                <w:sz w:val="22"/>
                <w:lang w:eastAsia="ru-RU"/>
              </w:rPr>
              <w:t>МКУК города-курорта Кисловодска «Централизованная библиотечная система» Библиотека-филиал № 5</w:t>
            </w:r>
          </w:p>
        </w:tc>
        <w:tc>
          <w:tcPr>
            <w:tcW w:w="1559" w:type="dxa"/>
            <w:tcBorders>
              <w:top w:val="nil"/>
              <w:left w:val="nil"/>
              <w:bottom w:val="single" w:sz="8" w:space="0" w:color="000000"/>
              <w:right w:val="single" w:sz="8" w:space="0" w:color="000000"/>
            </w:tcBorders>
            <w:tcMar>
              <w:top w:w="0" w:type="dxa"/>
              <w:left w:w="0" w:type="dxa"/>
              <w:bottom w:w="0" w:type="dxa"/>
              <w:right w:w="28" w:type="dxa"/>
            </w:tcMar>
            <w:vAlign w:val="center"/>
            <w:hideMark/>
          </w:tcPr>
          <w:p w14:paraId="02C8B141" w14:textId="77777777" w:rsidR="00CA1D45" w:rsidRPr="00731FE2" w:rsidRDefault="00CA1D45" w:rsidP="00CA1D45">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г.-к. Кисловодск, проспект Дзержинского, 43</w:t>
            </w:r>
          </w:p>
        </w:tc>
        <w:tc>
          <w:tcPr>
            <w:tcW w:w="1418" w:type="dxa"/>
            <w:tcBorders>
              <w:top w:val="nil"/>
              <w:left w:val="nil"/>
              <w:bottom w:val="single" w:sz="8" w:space="0" w:color="000000"/>
              <w:right w:val="single" w:sz="8" w:space="0" w:color="000000"/>
            </w:tcBorders>
            <w:tcMar>
              <w:top w:w="0" w:type="dxa"/>
              <w:left w:w="0" w:type="dxa"/>
              <w:bottom w:w="0" w:type="dxa"/>
              <w:right w:w="28" w:type="dxa"/>
            </w:tcMar>
            <w:vAlign w:val="center"/>
            <w:hideMark/>
          </w:tcPr>
          <w:p w14:paraId="6844CAF9" w14:textId="77777777" w:rsidR="00CA1D45" w:rsidRPr="00731FE2" w:rsidRDefault="00CA1D45" w:rsidP="00CA1D45">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18</w:t>
            </w:r>
          </w:p>
        </w:tc>
        <w:tc>
          <w:tcPr>
            <w:tcW w:w="1982" w:type="dxa"/>
            <w:tcBorders>
              <w:top w:val="nil"/>
              <w:left w:val="nil"/>
              <w:bottom w:val="single" w:sz="8" w:space="0" w:color="000000"/>
              <w:right w:val="single" w:sz="8" w:space="0" w:color="000000"/>
            </w:tcBorders>
            <w:tcMar>
              <w:top w:w="0" w:type="dxa"/>
              <w:left w:w="0" w:type="dxa"/>
              <w:bottom w:w="0" w:type="dxa"/>
              <w:right w:w="28" w:type="dxa"/>
            </w:tcMar>
            <w:vAlign w:val="center"/>
            <w:hideMark/>
          </w:tcPr>
          <w:p w14:paraId="322BB3C9" w14:textId="77777777" w:rsidR="00CA1D45" w:rsidRPr="00731FE2" w:rsidRDefault="00CA1D45" w:rsidP="00CA1D45">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удовлетворительное</w:t>
            </w:r>
          </w:p>
        </w:tc>
        <w:tc>
          <w:tcPr>
            <w:tcW w:w="1409" w:type="dxa"/>
            <w:tcBorders>
              <w:top w:val="nil"/>
              <w:left w:val="nil"/>
              <w:bottom w:val="single" w:sz="8" w:space="0" w:color="000000"/>
              <w:right w:val="single" w:sz="8" w:space="0" w:color="000000"/>
            </w:tcBorders>
            <w:vAlign w:val="center"/>
          </w:tcPr>
          <w:p w14:paraId="519D0421" w14:textId="77777777" w:rsidR="00CA1D45" w:rsidRPr="00731FE2" w:rsidRDefault="00CA1D45" w:rsidP="00CA1D45">
            <w:pPr>
              <w:spacing w:line="240" w:lineRule="auto"/>
              <w:ind w:firstLine="0"/>
              <w:jc w:val="center"/>
              <w:rPr>
                <w:rFonts w:ascii="Times New Roman" w:eastAsia="Times New Roman" w:hAnsi="Times New Roman" w:cs="Times New Roman"/>
                <w:color w:val="000000"/>
                <w:sz w:val="22"/>
                <w:lang w:eastAsia="ru-RU"/>
              </w:rPr>
            </w:pPr>
            <w:r w:rsidRPr="00731FE2">
              <w:rPr>
                <w:rFonts w:ascii="Times New Roman" w:eastAsia="Times New Roman" w:hAnsi="Times New Roman" w:cs="Times New Roman"/>
                <w:color w:val="000000"/>
                <w:sz w:val="22"/>
                <w:lang w:eastAsia="ru-RU"/>
              </w:rPr>
              <w:t>4</w:t>
            </w:r>
          </w:p>
        </w:tc>
      </w:tr>
      <w:tr w:rsidR="00CA1D45" w:rsidRPr="00731FE2" w14:paraId="2C1AE227" w14:textId="77777777" w:rsidTr="009B6BDD">
        <w:trPr>
          <w:trHeight w:val="20"/>
          <w:tblCellSpacing w:w="0" w:type="dxa"/>
        </w:trPr>
        <w:tc>
          <w:tcPr>
            <w:tcW w:w="557" w:type="dxa"/>
            <w:tcBorders>
              <w:top w:val="nil"/>
              <w:left w:val="single" w:sz="8" w:space="0" w:color="000000"/>
              <w:bottom w:val="single" w:sz="8" w:space="0" w:color="000000"/>
              <w:right w:val="single" w:sz="8" w:space="0" w:color="000000"/>
            </w:tcBorders>
            <w:tcMar>
              <w:top w:w="0" w:type="dxa"/>
              <w:left w:w="0" w:type="dxa"/>
              <w:bottom w:w="0" w:type="dxa"/>
              <w:right w:w="28" w:type="dxa"/>
            </w:tcMar>
            <w:vAlign w:val="center"/>
          </w:tcPr>
          <w:p w14:paraId="11D07061" w14:textId="77777777" w:rsidR="00CA1D45" w:rsidRPr="00731FE2" w:rsidRDefault="00CA1D45" w:rsidP="007832E7">
            <w:pPr>
              <w:pStyle w:val="a3"/>
              <w:numPr>
                <w:ilvl w:val="0"/>
                <w:numId w:val="118"/>
              </w:numPr>
              <w:spacing w:line="240" w:lineRule="auto"/>
              <w:ind w:left="527" w:hanging="357"/>
              <w:jc w:val="left"/>
              <w:rPr>
                <w:rFonts w:ascii="Times New Roman" w:eastAsia="Times New Roman" w:hAnsi="Times New Roman" w:cs="Times New Roman"/>
                <w:sz w:val="22"/>
                <w:lang w:eastAsia="ru-RU"/>
              </w:rPr>
            </w:pPr>
          </w:p>
        </w:tc>
        <w:tc>
          <w:tcPr>
            <w:tcW w:w="2410" w:type="dxa"/>
            <w:tcBorders>
              <w:top w:val="nil"/>
              <w:left w:val="nil"/>
              <w:bottom w:val="single" w:sz="8" w:space="0" w:color="000000"/>
              <w:right w:val="single" w:sz="8" w:space="0" w:color="000000"/>
            </w:tcBorders>
            <w:tcMar>
              <w:top w:w="0" w:type="dxa"/>
              <w:left w:w="0" w:type="dxa"/>
              <w:bottom w:w="0" w:type="dxa"/>
              <w:right w:w="28" w:type="dxa"/>
            </w:tcMar>
            <w:vAlign w:val="center"/>
            <w:hideMark/>
          </w:tcPr>
          <w:p w14:paraId="0473F675" w14:textId="77777777" w:rsidR="00CA1D45" w:rsidRPr="00731FE2" w:rsidRDefault="00CA1D45" w:rsidP="00CA1D45">
            <w:pPr>
              <w:spacing w:line="240" w:lineRule="auto"/>
              <w:ind w:firstLine="0"/>
              <w:jc w:val="left"/>
              <w:rPr>
                <w:rFonts w:ascii="Times New Roman" w:eastAsia="Times New Roman" w:hAnsi="Times New Roman" w:cs="Times New Roman"/>
                <w:color w:val="000000"/>
                <w:sz w:val="22"/>
                <w:lang w:eastAsia="ru-RU"/>
              </w:rPr>
            </w:pPr>
            <w:r w:rsidRPr="00731FE2">
              <w:rPr>
                <w:rFonts w:ascii="Times New Roman" w:eastAsia="Times New Roman" w:hAnsi="Times New Roman" w:cs="Times New Roman"/>
                <w:color w:val="000000"/>
                <w:sz w:val="22"/>
                <w:lang w:eastAsia="ru-RU"/>
              </w:rPr>
              <w:t>МКУК города-курорта Кисловодска «Централизованная библиотечная система» Библиотека-филиал № 6</w:t>
            </w:r>
          </w:p>
        </w:tc>
        <w:tc>
          <w:tcPr>
            <w:tcW w:w="1559" w:type="dxa"/>
            <w:tcBorders>
              <w:top w:val="nil"/>
              <w:left w:val="nil"/>
              <w:bottom w:val="single" w:sz="8" w:space="0" w:color="000000"/>
              <w:right w:val="single" w:sz="8" w:space="0" w:color="000000"/>
            </w:tcBorders>
            <w:tcMar>
              <w:top w:w="0" w:type="dxa"/>
              <w:left w:w="0" w:type="dxa"/>
              <w:bottom w:w="0" w:type="dxa"/>
              <w:right w:w="28" w:type="dxa"/>
            </w:tcMar>
            <w:vAlign w:val="center"/>
            <w:hideMark/>
          </w:tcPr>
          <w:p w14:paraId="6FC2A956" w14:textId="77777777" w:rsidR="00CA1D45" w:rsidRPr="00731FE2" w:rsidRDefault="00CA1D45" w:rsidP="00CA1D45">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г.-к. Кисловодск, ул. Губина, 21</w:t>
            </w:r>
          </w:p>
        </w:tc>
        <w:tc>
          <w:tcPr>
            <w:tcW w:w="1418" w:type="dxa"/>
            <w:tcBorders>
              <w:top w:val="nil"/>
              <w:left w:val="nil"/>
              <w:bottom w:val="single" w:sz="8" w:space="0" w:color="000000"/>
              <w:right w:val="single" w:sz="8" w:space="0" w:color="000000"/>
            </w:tcBorders>
            <w:tcMar>
              <w:top w:w="0" w:type="dxa"/>
              <w:left w:w="0" w:type="dxa"/>
              <w:bottom w:w="0" w:type="dxa"/>
              <w:right w:w="28" w:type="dxa"/>
            </w:tcMar>
            <w:vAlign w:val="center"/>
            <w:hideMark/>
          </w:tcPr>
          <w:p w14:paraId="19E74959" w14:textId="77777777" w:rsidR="00CA1D45" w:rsidRPr="00731FE2" w:rsidRDefault="00CA1D45" w:rsidP="00CA1D45">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20</w:t>
            </w:r>
          </w:p>
        </w:tc>
        <w:tc>
          <w:tcPr>
            <w:tcW w:w="1982" w:type="dxa"/>
            <w:tcBorders>
              <w:top w:val="nil"/>
              <w:left w:val="nil"/>
              <w:bottom w:val="single" w:sz="8" w:space="0" w:color="000000"/>
              <w:right w:val="single" w:sz="8" w:space="0" w:color="000000"/>
            </w:tcBorders>
            <w:tcMar>
              <w:top w:w="0" w:type="dxa"/>
              <w:left w:w="0" w:type="dxa"/>
              <w:bottom w:w="0" w:type="dxa"/>
              <w:right w:w="28" w:type="dxa"/>
            </w:tcMar>
            <w:vAlign w:val="center"/>
            <w:hideMark/>
          </w:tcPr>
          <w:p w14:paraId="58F58D9C" w14:textId="77777777" w:rsidR="00CA1D45" w:rsidRPr="00731FE2" w:rsidRDefault="00CA1D45" w:rsidP="00CA1D45">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удовлетворительное</w:t>
            </w:r>
          </w:p>
        </w:tc>
        <w:tc>
          <w:tcPr>
            <w:tcW w:w="1409" w:type="dxa"/>
            <w:tcBorders>
              <w:top w:val="nil"/>
              <w:left w:val="nil"/>
              <w:bottom w:val="single" w:sz="8" w:space="0" w:color="000000"/>
              <w:right w:val="single" w:sz="8" w:space="0" w:color="000000"/>
            </w:tcBorders>
            <w:vAlign w:val="center"/>
          </w:tcPr>
          <w:p w14:paraId="5F466EF0" w14:textId="77777777" w:rsidR="00CA1D45" w:rsidRPr="00731FE2" w:rsidRDefault="00CA1D45" w:rsidP="00CA1D45">
            <w:pPr>
              <w:spacing w:line="240" w:lineRule="auto"/>
              <w:ind w:firstLine="0"/>
              <w:jc w:val="center"/>
              <w:rPr>
                <w:rFonts w:ascii="Times New Roman" w:eastAsia="Times New Roman" w:hAnsi="Times New Roman" w:cs="Times New Roman"/>
                <w:color w:val="000000"/>
                <w:sz w:val="22"/>
                <w:lang w:eastAsia="ru-RU"/>
              </w:rPr>
            </w:pPr>
            <w:r w:rsidRPr="00731FE2">
              <w:rPr>
                <w:rFonts w:ascii="Times New Roman" w:eastAsia="Times New Roman" w:hAnsi="Times New Roman" w:cs="Times New Roman"/>
                <w:color w:val="000000"/>
                <w:sz w:val="22"/>
                <w:lang w:eastAsia="ru-RU"/>
              </w:rPr>
              <w:t>3</w:t>
            </w:r>
          </w:p>
        </w:tc>
      </w:tr>
      <w:tr w:rsidR="00CA1D45" w:rsidRPr="00731FE2" w14:paraId="02383026" w14:textId="77777777" w:rsidTr="009B6BDD">
        <w:trPr>
          <w:trHeight w:val="20"/>
          <w:tblCellSpacing w:w="0" w:type="dxa"/>
        </w:trPr>
        <w:tc>
          <w:tcPr>
            <w:tcW w:w="557" w:type="dxa"/>
            <w:tcBorders>
              <w:top w:val="nil"/>
              <w:left w:val="single" w:sz="8" w:space="0" w:color="000000"/>
              <w:bottom w:val="single" w:sz="8" w:space="0" w:color="000000"/>
              <w:right w:val="single" w:sz="8" w:space="0" w:color="000000"/>
            </w:tcBorders>
            <w:tcMar>
              <w:top w:w="0" w:type="dxa"/>
              <w:left w:w="0" w:type="dxa"/>
              <w:bottom w:w="0" w:type="dxa"/>
              <w:right w:w="28" w:type="dxa"/>
            </w:tcMar>
            <w:vAlign w:val="center"/>
          </w:tcPr>
          <w:p w14:paraId="1E62BA67" w14:textId="77777777" w:rsidR="00CA1D45" w:rsidRPr="00731FE2" w:rsidRDefault="00CA1D45" w:rsidP="007832E7">
            <w:pPr>
              <w:pStyle w:val="a3"/>
              <w:numPr>
                <w:ilvl w:val="0"/>
                <w:numId w:val="118"/>
              </w:numPr>
              <w:spacing w:line="240" w:lineRule="auto"/>
              <w:ind w:left="527" w:hanging="357"/>
              <w:jc w:val="left"/>
              <w:rPr>
                <w:rFonts w:ascii="Times New Roman" w:eastAsia="Times New Roman" w:hAnsi="Times New Roman" w:cs="Times New Roman"/>
                <w:sz w:val="22"/>
                <w:lang w:eastAsia="ru-RU"/>
              </w:rPr>
            </w:pPr>
          </w:p>
        </w:tc>
        <w:tc>
          <w:tcPr>
            <w:tcW w:w="2410" w:type="dxa"/>
            <w:tcBorders>
              <w:top w:val="nil"/>
              <w:left w:val="nil"/>
              <w:bottom w:val="single" w:sz="8" w:space="0" w:color="000000"/>
              <w:right w:val="single" w:sz="8" w:space="0" w:color="000000"/>
            </w:tcBorders>
            <w:tcMar>
              <w:top w:w="0" w:type="dxa"/>
              <w:left w:w="0" w:type="dxa"/>
              <w:bottom w:w="0" w:type="dxa"/>
              <w:right w:w="28" w:type="dxa"/>
            </w:tcMar>
            <w:vAlign w:val="center"/>
            <w:hideMark/>
          </w:tcPr>
          <w:p w14:paraId="4C95B8CA" w14:textId="77777777" w:rsidR="00CA1D45" w:rsidRPr="00731FE2" w:rsidRDefault="00CA1D45" w:rsidP="00CA1D45">
            <w:pPr>
              <w:spacing w:line="240" w:lineRule="auto"/>
              <w:ind w:firstLine="0"/>
              <w:jc w:val="left"/>
              <w:rPr>
                <w:rFonts w:ascii="Times New Roman" w:eastAsia="Times New Roman" w:hAnsi="Times New Roman" w:cs="Times New Roman"/>
                <w:color w:val="000000"/>
                <w:sz w:val="22"/>
                <w:lang w:eastAsia="ru-RU"/>
              </w:rPr>
            </w:pPr>
            <w:r w:rsidRPr="00731FE2">
              <w:rPr>
                <w:rFonts w:ascii="Times New Roman" w:eastAsia="Times New Roman" w:hAnsi="Times New Roman" w:cs="Times New Roman"/>
                <w:color w:val="000000"/>
                <w:sz w:val="22"/>
                <w:lang w:eastAsia="ru-RU"/>
              </w:rPr>
              <w:t>МКУК города-курорта Кисловодска «Централизованная библиотечная система» Библиотека-филиал № 7</w:t>
            </w:r>
          </w:p>
        </w:tc>
        <w:tc>
          <w:tcPr>
            <w:tcW w:w="1559" w:type="dxa"/>
            <w:tcBorders>
              <w:top w:val="nil"/>
              <w:left w:val="nil"/>
              <w:bottom w:val="single" w:sz="8" w:space="0" w:color="000000"/>
              <w:right w:val="single" w:sz="8" w:space="0" w:color="000000"/>
            </w:tcBorders>
            <w:tcMar>
              <w:top w:w="0" w:type="dxa"/>
              <w:left w:w="0" w:type="dxa"/>
              <w:bottom w:w="0" w:type="dxa"/>
              <w:right w:w="28" w:type="dxa"/>
            </w:tcMar>
            <w:vAlign w:val="center"/>
            <w:hideMark/>
          </w:tcPr>
          <w:p w14:paraId="26DF0024" w14:textId="77777777" w:rsidR="00CA1D45" w:rsidRPr="00731FE2" w:rsidRDefault="00CA1D45" w:rsidP="00CA1D45">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 xml:space="preserve">г.-к. Кисловодск, пос. Аликоновка, ул. </w:t>
            </w:r>
            <w:proofErr w:type="gramStart"/>
            <w:r w:rsidRPr="00731FE2">
              <w:rPr>
                <w:rFonts w:ascii="Times New Roman" w:eastAsia="Times New Roman" w:hAnsi="Times New Roman" w:cs="Times New Roman"/>
                <w:color w:val="000000"/>
                <w:sz w:val="22"/>
                <w:lang w:eastAsia="ru-RU"/>
              </w:rPr>
              <w:t>Прямая</w:t>
            </w:r>
            <w:proofErr w:type="gramEnd"/>
            <w:r w:rsidRPr="00731FE2">
              <w:rPr>
                <w:rFonts w:ascii="Times New Roman" w:eastAsia="Times New Roman" w:hAnsi="Times New Roman" w:cs="Times New Roman"/>
                <w:color w:val="000000"/>
                <w:sz w:val="22"/>
                <w:lang w:eastAsia="ru-RU"/>
              </w:rPr>
              <w:t>, 4</w:t>
            </w:r>
          </w:p>
        </w:tc>
        <w:tc>
          <w:tcPr>
            <w:tcW w:w="1418" w:type="dxa"/>
            <w:tcBorders>
              <w:top w:val="nil"/>
              <w:left w:val="nil"/>
              <w:bottom w:val="single" w:sz="8" w:space="0" w:color="000000"/>
              <w:right w:val="single" w:sz="8" w:space="0" w:color="000000"/>
            </w:tcBorders>
            <w:tcMar>
              <w:top w:w="0" w:type="dxa"/>
              <w:left w:w="0" w:type="dxa"/>
              <w:bottom w:w="0" w:type="dxa"/>
              <w:right w:w="28" w:type="dxa"/>
            </w:tcMar>
            <w:vAlign w:val="center"/>
            <w:hideMark/>
          </w:tcPr>
          <w:p w14:paraId="541527FD" w14:textId="77777777" w:rsidR="00CA1D45" w:rsidRPr="00731FE2" w:rsidRDefault="00CA1D45" w:rsidP="00CA1D45">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15</w:t>
            </w:r>
          </w:p>
        </w:tc>
        <w:tc>
          <w:tcPr>
            <w:tcW w:w="1982" w:type="dxa"/>
            <w:tcBorders>
              <w:top w:val="nil"/>
              <w:left w:val="nil"/>
              <w:bottom w:val="single" w:sz="8" w:space="0" w:color="000000"/>
              <w:right w:val="single" w:sz="8" w:space="0" w:color="000000"/>
            </w:tcBorders>
            <w:tcMar>
              <w:top w:w="0" w:type="dxa"/>
              <w:left w:w="0" w:type="dxa"/>
              <w:bottom w:w="0" w:type="dxa"/>
              <w:right w:w="28" w:type="dxa"/>
            </w:tcMar>
            <w:vAlign w:val="center"/>
            <w:hideMark/>
          </w:tcPr>
          <w:p w14:paraId="4AABF69E" w14:textId="77777777" w:rsidR="00CA1D45" w:rsidRPr="00731FE2" w:rsidRDefault="00CA1D45" w:rsidP="00CA1D45">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удовлетворительное</w:t>
            </w:r>
          </w:p>
        </w:tc>
        <w:tc>
          <w:tcPr>
            <w:tcW w:w="1409" w:type="dxa"/>
            <w:tcBorders>
              <w:top w:val="nil"/>
              <w:left w:val="nil"/>
              <w:bottom w:val="single" w:sz="8" w:space="0" w:color="000000"/>
              <w:right w:val="single" w:sz="8" w:space="0" w:color="000000"/>
            </w:tcBorders>
            <w:vAlign w:val="center"/>
          </w:tcPr>
          <w:p w14:paraId="4220DFD8" w14:textId="77777777" w:rsidR="00CA1D45" w:rsidRPr="00731FE2" w:rsidRDefault="00CA1D45" w:rsidP="00CA1D45">
            <w:pPr>
              <w:spacing w:line="240" w:lineRule="auto"/>
              <w:ind w:firstLine="0"/>
              <w:jc w:val="center"/>
              <w:rPr>
                <w:rFonts w:ascii="Times New Roman" w:eastAsia="Times New Roman" w:hAnsi="Times New Roman" w:cs="Times New Roman"/>
                <w:color w:val="000000"/>
                <w:sz w:val="22"/>
                <w:lang w:eastAsia="ru-RU"/>
              </w:rPr>
            </w:pPr>
            <w:r w:rsidRPr="00731FE2">
              <w:rPr>
                <w:rFonts w:ascii="Times New Roman" w:eastAsia="Times New Roman" w:hAnsi="Times New Roman" w:cs="Times New Roman"/>
                <w:color w:val="000000"/>
                <w:sz w:val="22"/>
                <w:lang w:eastAsia="ru-RU"/>
              </w:rPr>
              <w:t>1</w:t>
            </w:r>
          </w:p>
        </w:tc>
      </w:tr>
      <w:tr w:rsidR="00CA1D45" w:rsidRPr="00731FE2" w14:paraId="62637684" w14:textId="77777777" w:rsidTr="009B6BDD">
        <w:trPr>
          <w:trHeight w:val="20"/>
          <w:tblCellSpacing w:w="0" w:type="dxa"/>
        </w:trPr>
        <w:tc>
          <w:tcPr>
            <w:tcW w:w="557" w:type="dxa"/>
            <w:tcBorders>
              <w:top w:val="nil"/>
              <w:left w:val="single" w:sz="8" w:space="0" w:color="000000"/>
              <w:bottom w:val="single" w:sz="8" w:space="0" w:color="000000"/>
              <w:right w:val="single" w:sz="8" w:space="0" w:color="000000"/>
            </w:tcBorders>
            <w:tcMar>
              <w:top w:w="0" w:type="dxa"/>
              <w:left w:w="0" w:type="dxa"/>
              <w:bottom w:w="0" w:type="dxa"/>
              <w:right w:w="28" w:type="dxa"/>
            </w:tcMar>
            <w:vAlign w:val="center"/>
          </w:tcPr>
          <w:p w14:paraId="409BCAA4" w14:textId="77777777" w:rsidR="00CA1D45" w:rsidRPr="00731FE2" w:rsidRDefault="00CA1D45" w:rsidP="007832E7">
            <w:pPr>
              <w:pStyle w:val="a3"/>
              <w:numPr>
                <w:ilvl w:val="0"/>
                <w:numId w:val="118"/>
              </w:numPr>
              <w:spacing w:line="240" w:lineRule="auto"/>
              <w:ind w:left="527" w:hanging="357"/>
              <w:jc w:val="left"/>
              <w:rPr>
                <w:rFonts w:ascii="Times New Roman" w:eastAsia="Times New Roman" w:hAnsi="Times New Roman" w:cs="Times New Roman"/>
                <w:sz w:val="22"/>
                <w:lang w:eastAsia="ru-RU"/>
              </w:rPr>
            </w:pPr>
          </w:p>
        </w:tc>
        <w:tc>
          <w:tcPr>
            <w:tcW w:w="2410" w:type="dxa"/>
            <w:tcBorders>
              <w:top w:val="nil"/>
              <w:left w:val="nil"/>
              <w:bottom w:val="single" w:sz="8" w:space="0" w:color="000000"/>
              <w:right w:val="single" w:sz="8" w:space="0" w:color="000000"/>
            </w:tcBorders>
            <w:tcMar>
              <w:top w:w="0" w:type="dxa"/>
              <w:left w:w="0" w:type="dxa"/>
              <w:bottom w:w="0" w:type="dxa"/>
              <w:right w:w="28" w:type="dxa"/>
            </w:tcMar>
            <w:vAlign w:val="center"/>
            <w:hideMark/>
          </w:tcPr>
          <w:p w14:paraId="33B9CF32" w14:textId="77777777" w:rsidR="00CA1D45" w:rsidRPr="00731FE2" w:rsidRDefault="00CA1D45" w:rsidP="00CA1D45">
            <w:pPr>
              <w:spacing w:line="240" w:lineRule="auto"/>
              <w:ind w:firstLine="0"/>
              <w:jc w:val="left"/>
              <w:rPr>
                <w:rFonts w:ascii="Times New Roman" w:eastAsia="Times New Roman" w:hAnsi="Times New Roman" w:cs="Times New Roman"/>
                <w:color w:val="000000"/>
                <w:sz w:val="22"/>
                <w:lang w:eastAsia="ru-RU"/>
              </w:rPr>
            </w:pPr>
            <w:r w:rsidRPr="00731FE2">
              <w:rPr>
                <w:rFonts w:ascii="Times New Roman" w:eastAsia="Times New Roman" w:hAnsi="Times New Roman" w:cs="Times New Roman"/>
                <w:color w:val="000000"/>
                <w:sz w:val="22"/>
                <w:lang w:eastAsia="ru-RU"/>
              </w:rPr>
              <w:t>МКУК города-курорта Кисловодска «Централизованная библиотечная система» Библиотека-филиал № 8</w:t>
            </w:r>
          </w:p>
        </w:tc>
        <w:tc>
          <w:tcPr>
            <w:tcW w:w="1559" w:type="dxa"/>
            <w:tcBorders>
              <w:top w:val="nil"/>
              <w:left w:val="nil"/>
              <w:bottom w:val="single" w:sz="8" w:space="0" w:color="000000"/>
              <w:right w:val="single" w:sz="8" w:space="0" w:color="000000"/>
            </w:tcBorders>
            <w:tcMar>
              <w:top w:w="0" w:type="dxa"/>
              <w:left w:w="0" w:type="dxa"/>
              <w:bottom w:w="0" w:type="dxa"/>
              <w:right w:w="28" w:type="dxa"/>
            </w:tcMar>
            <w:vAlign w:val="center"/>
            <w:hideMark/>
          </w:tcPr>
          <w:p w14:paraId="7A4E84EE" w14:textId="77777777" w:rsidR="00CA1D45" w:rsidRPr="00731FE2" w:rsidRDefault="00CA1D45" w:rsidP="00CA1D45">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 xml:space="preserve">г.-к. Кисловодск, пос. Зеленогорский, ул. </w:t>
            </w:r>
            <w:proofErr w:type="gramStart"/>
            <w:r w:rsidRPr="00731FE2">
              <w:rPr>
                <w:rFonts w:ascii="Times New Roman" w:eastAsia="Times New Roman" w:hAnsi="Times New Roman" w:cs="Times New Roman"/>
                <w:color w:val="000000"/>
                <w:sz w:val="22"/>
                <w:lang w:eastAsia="ru-RU"/>
              </w:rPr>
              <w:t>Центральная</w:t>
            </w:r>
            <w:proofErr w:type="gramEnd"/>
            <w:r w:rsidRPr="00731FE2">
              <w:rPr>
                <w:rFonts w:ascii="Times New Roman" w:eastAsia="Times New Roman" w:hAnsi="Times New Roman" w:cs="Times New Roman"/>
                <w:color w:val="000000"/>
                <w:sz w:val="22"/>
                <w:lang w:eastAsia="ru-RU"/>
              </w:rPr>
              <w:t>, 57</w:t>
            </w:r>
          </w:p>
        </w:tc>
        <w:tc>
          <w:tcPr>
            <w:tcW w:w="1418" w:type="dxa"/>
            <w:tcBorders>
              <w:top w:val="nil"/>
              <w:left w:val="nil"/>
              <w:bottom w:val="single" w:sz="8" w:space="0" w:color="000000"/>
              <w:right w:val="single" w:sz="8" w:space="0" w:color="000000"/>
            </w:tcBorders>
            <w:tcMar>
              <w:top w:w="0" w:type="dxa"/>
              <w:left w:w="0" w:type="dxa"/>
              <w:bottom w:w="0" w:type="dxa"/>
              <w:right w:w="28" w:type="dxa"/>
            </w:tcMar>
            <w:vAlign w:val="center"/>
            <w:hideMark/>
          </w:tcPr>
          <w:p w14:paraId="314EA183" w14:textId="77777777" w:rsidR="00CA1D45" w:rsidRPr="00731FE2" w:rsidRDefault="00CA1D45" w:rsidP="00CA1D45">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20</w:t>
            </w:r>
          </w:p>
        </w:tc>
        <w:tc>
          <w:tcPr>
            <w:tcW w:w="1982" w:type="dxa"/>
            <w:tcBorders>
              <w:top w:val="nil"/>
              <w:left w:val="nil"/>
              <w:bottom w:val="single" w:sz="8" w:space="0" w:color="000000"/>
              <w:right w:val="single" w:sz="8" w:space="0" w:color="000000"/>
            </w:tcBorders>
            <w:tcMar>
              <w:top w:w="0" w:type="dxa"/>
              <w:left w:w="0" w:type="dxa"/>
              <w:bottom w:w="0" w:type="dxa"/>
              <w:right w:w="28" w:type="dxa"/>
            </w:tcMar>
            <w:vAlign w:val="center"/>
            <w:hideMark/>
          </w:tcPr>
          <w:p w14:paraId="3096EC97" w14:textId="77777777" w:rsidR="00CA1D45" w:rsidRPr="00731FE2" w:rsidRDefault="00CA1D45" w:rsidP="00CA1D45">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удовлетворительное</w:t>
            </w:r>
          </w:p>
        </w:tc>
        <w:tc>
          <w:tcPr>
            <w:tcW w:w="1409" w:type="dxa"/>
            <w:tcBorders>
              <w:top w:val="nil"/>
              <w:left w:val="nil"/>
              <w:bottom w:val="single" w:sz="8" w:space="0" w:color="000000"/>
              <w:right w:val="single" w:sz="8" w:space="0" w:color="000000"/>
            </w:tcBorders>
            <w:vAlign w:val="center"/>
          </w:tcPr>
          <w:p w14:paraId="28FF3A11" w14:textId="77777777" w:rsidR="00CA1D45" w:rsidRPr="00731FE2" w:rsidRDefault="00CA1D45" w:rsidP="00CA1D45">
            <w:pPr>
              <w:spacing w:line="240" w:lineRule="auto"/>
              <w:ind w:firstLine="0"/>
              <w:jc w:val="center"/>
              <w:rPr>
                <w:rFonts w:ascii="Times New Roman" w:eastAsia="Times New Roman" w:hAnsi="Times New Roman" w:cs="Times New Roman"/>
                <w:color w:val="000000"/>
                <w:sz w:val="22"/>
                <w:lang w:eastAsia="ru-RU"/>
              </w:rPr>
            </w:pPr>
            <w:r w:rsidRPr="00731FE2">
              <w:rPr>
                <w:rFonts w:ascii="Times New Roman" w:eastAsia="Times New Roman" w:hAnsi="Times New Roman" w:cs="Times New Roman"/>
                <w:color w:val="000000"/>
                <w:sz w:val="22"/>
                <w:lang w:eastAsia="ru-RU"/>
              </w:rPr>
              <w:t>1</w:t>
            </w:r>
          </w:p>
        </w:tc>
      </w:tr>
      <w:tr w:rsidR="00CA1D45" w:rsidRPr="00731FE2" w14:paraId="66E8BF58" w14:textId="77777777" w:rsidTr="009B6BDD">
        <w:trPr>
          <w:trHeight w:val="20"/>
          <w:tblCellSpacing w:w="0" w:type="dxa"/>
        </w:trPr>
        <w:tc>
          <w:tcPr>
            <w:tcW w:w="557" w:type="dxa"/>
            <w:tcBorders>
              <w:top w:val="nil"/>
              <w:left w:val="single" w:sz="8" w:space="0" w:color="000000"/>
              <w:bottom w:val="single" w:sz="8" w:space="0" w:color="000000"/>
              <w:right w:val="single" w:sz="8" w:space="0" w:color="000000"/>
            </w:tcBorders>
            <w:tcMar>
              <w:top w:w="0" w:type="dxa"/>
              <w:left w:w="0" w:type="dxa"/>
              <w:bottom w:w="0" w:type="dxa"/>
              <w:right w:w="28" w:type="dxa"/>
            </w:tcMar>
            <w:vAlign w:val="center"/>
          </w:tcPr>
          <w:p w14:paraId="1CC685B7" w14:textId="77777777" w:rsidR="00CA1D45" w:rsidRPr="00731FE2" w:rsidRDefault="00CA1D45" w:rsidP="007832E7">
            <w:pPr>
              <w:pStyle w:val="a3"/>
              <w:numPr>
                <w:ilvl w:val="0"/>
                <w:numId w:val="118"/>
              </w:numPr>
              <w:spacing w:line="240" w:lineRule="auto"/>
              <w:ind w:left="527" w:hanging="357"/>
              <w:jc w:val="left"/>
              <w:rPr>
                <w:rFonts w:ascii="Times New Roman" w:eastAsia="Times New Roman" w:hAnsi="Times New Roman" w:cs="Times New Roman"/>
                <w:sz w:val="22"/>
                <w:lang w:eastAsia="ru-RU"/>
              </w:rPr>
            </w:pPr>
          </w:p>
        </w:tc>
        <w:tc>
          <w:tcPr>
            <w:tcW w:w="2410" w:type="dxa"/>
            <w:tcBorders>
              <w:top w:val="nil"/>
              <w:left w:val="nil"/>
              <w:bottom w:val="single" w:sz="8" w:space="0" w:color="000000"/>
              <w:right w:val="single" w:sz="8" w:space="0" w:color="000000"/>
            </w:tcBorders>
            <w:tcMar>
              <w:top w:w="0" w:type="dxa"/>
              <w:left w:w="0" w:type="dxa"/>
              <w:bottom w:w="0" w:type="dxa"/>
              <w:right w:w="28" w:type="dxa"/>
            </w:tcMar>
            <w:vAlign w:val="center"/>
            <w:hideMark/>
          </w:tcPr>
          <w:p w14:paraId="07047634" w14:textId="77777777" w:rsidR="00CA1D45" w:rsidRPr="00731FE2" w:rsidRDefault="00CA1D45" w:rsidP="00CA1D45">
            <w:pPr>
              <w:spacing w:line="240" w:lineRule="auto"/>
              <w:ind w:firstLine="0"/>
              <w:jc w:val="left"/>
              <w:rPr>
                <w:rFonts w:ascii="Times New Roman" w:eastAsia="Times New Roman" w:hAnsi="Times New Roman" w:cs="Times New Roman"/>
                <w:color w:val="000000"/>
                <w:sz w:val="22"/>
                <w:lang w:eastAsia="ru-RU"/>
              </w:rPr>
            </w:pPr>
            <w:r w:rsidRPr="00731FE2">
              <w:rPr>
                <w:rFonts w:ascii="Times New Roman" w:eastAsia="Times New Roman" w:hAnsi="Times New Roman" w:cs="Times New Roman"/>
                <w:color w:val="000000"/>
                <w:sz w:val="22"/>
                <w:lang w:eastAsia="ru-RU"/>
              </w:rPr>
              <w:t>МКУК города-курорта Кисловодска «Централизованная библиотечная система» Библиотека-филиал № 9</w:t>
            </w:r>
          </w:p>
        </w:tc>
        <w:tc>
          <w:tcPr>
            <w:tcW w:w="1559" w:type="dxa"/>
            <w:tcBorders>
              <w:top w:val="nil"/>
              <w:left w:val="nil"/>
              <w:bottom w:val="single" w:sz="8" w:space="0" w:color="000000"/>
              <w:right w:val="single" w:sz="8" w:space="0" w:color="000000"/>
            </w:tcBorders>
            <w:tcMar>
              <w:top w:w="0" w:type="dxa"/>
              <w:left w:w="0" w:type="dxa"/>
              <w:bottom w:w="0" w:type="dxa"/>
              <w:right w:w="28" w:type="dxa"/>
            </w:tcMar>
            <w:vAlign w:val="center"/>
            <w:hideMark/>
          </w:tcPr>
          <w:p w14:paraId="51376F9F" w14:textId="77777777" w:rsidR="00CA1D45" w:rsidRPr="00731FE2" w:rsidRDefault="00CA1D45" w:rsidP="00CA1D45">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г.-к. Кисловодск, ул. Чайковского, 32</w:t>
            </w:r>
          </w:p>
        </w:tc>
        <w:tc>
          <w:tcPr>
            <w:tcW w:w="1418" w:type="dxa"/>
            <w:tcBorders>
              <w:top w:val="nil"/>
              <w:left w:val="nil"/>
              <w:bottom w:val="single" w:sz="8" w:space="0" w:color="000000"/>
              <w:right w:val="single" w:sz="8" w:space="0" w:color="000000"/>
            </w:tcBorders>
            <w:tcMar>
              <w:top w:w="0" w:type="dxa"/>
              <w:left w:w="0" w:type="dxa"/>
              <w:bottom w:w="0" w:type="dxa"/>
              <w:right w:w="28" w:type="dxa"/>
            </w:tcMar>
            <w:vAlign w:val="center"/>
            <w:hideMark/>
          </w:tcPr>
          <w:p w14:paraId="56C21295" w14:textId="77777777" w:rsidR="00CA1D45" w:rsidRPr="00731FE2" w:rsidRDefault="00CA1D45" w:rsidP="00CA1D45">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1</w:t>
            </w:r>
          </w:p>
        </w:tc>
        <w:tc>
          <w:tcPr>
            <w:tcW w:w="1982" w:type="dxa"/>
            <w:tcBorders>
              <w:top w:val="nil"/>
              <w:left w:val="nil"/>
              <w:bottom w:val="single" w:sz="8" w:space="0" w:color="000000"/>
              <w:right w:val="single" w:sz="8" w:space="0" w:color="000000"/>
            </w:tcBorders>
            <w:tcMar>
              <w:top w:w="0" w:type="dxa"/>
              <w:left w:w="0" w:type="dxa"/>
              <w:bottom w:w="0" w:type="dxa"/>
              <w:right w:w="28" w:type="dxa"/>
            </w:tcMar>
            <w:vAlign w:val="center"/>
            <w:hideMark/>
          </w:tcPr>
          <w:p w14:paraId="6E4FC694" w14:textId="77777777" w:rsidR="00CA1D45" w:rsidRPr="00731FE2" w:rsidRDefault="00CA1D45" w:rsidP="00CA1D45">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Требуется капитальный ремонт</w:t>
            </w:r>
          </w:p>
        </w:tc>
        <w:tc>
          <w:tcPr>
            <w:tcW w:w="1409" w:type="dxa"/>
            <w:tcBorders>
              <w:top w:val="nil"/>
              <w:left w:val="nil"/>
              <w:bottom w:val="single" w:sz="8" w:space="0" w:color="000000"/>
              <w:right w:val="single" w:sz="8" w:space="0" w:color="000000"/>
            </w:tcBorders>
            <w:vAlign w:val="center"/>
          </w:tcPr>
          <w:p w14:paraId="0581FD8D" w14:textId="77777777" w:rsidR="00CA1D45" w:rsidRPr="00731FE2" w:rsidRDefault="00CA1D45" w:rsidP="00CA1D45">
            <w:pPr>
              <w:spacing w:line="240" w:lineRule="auto"/>
              <w:ind w:firstLine="0"/>
              <w:jc w:val="center"/>
              <w:rPr>
                <w:rFonts w:ascii="Times New Roman" w:eastAsia="Times New Roman" w:hAnsi="Times New Roman" w:cs="Times New Roman"/>
                <w:color w:val="000000"/>
                <w:sz w:val="22"/>
                <w:lang w:eastAsia="ru-RU"/>
              </w:rPr>
            </w:pPr>
            <w:r w:rsidRPr="00731FE2">
              <w:rPr>
                <w:rFonts w:ascii="Times New Roman" w:eastAsia="Times New Roman" w:hAnsi="Times New Roman" w:cs="Times New Roman"/>
                <w:color w:val="000000"/>
                <w:sz w:val="22"/>
                <w:lang w:eastAsia="ru-RU"/>
              </w:rPr>
              <w:t>3</w:t>
            </w:r>
          </w:p>
        </w:tc>
      </w:tr>
    </w:tbl>
    <w:p w14:paraId="0A018ADC" w14:textId="77777777" w:rsidR="00902F18" w:rsidRPr="00731FE2" w:rsidRDefault="00902F18" w:rsidP="009B6BDD">
      <w:pPr>
        <w:tabs>
          <w:tab w:val="left" w:pos="9541"/>
        </w:tabs>
        <w:rPr>
          <w:rFonts w:ascii="Times New Roman" w:eastAsia="Times New Roman" w:hAnsi="Times New Roman" w:cs="Times New Roman"/>
          <w:szCs w:val="24"/>
          <w:lang w:eastAsia="ru-RU"/>
        </w:rPr>
      </w:pPr>
    </w:p>
    <w:p w14:paraId="7838BF02" w14:textId="77777777" w:rsidR="00902F18" w:rsidRPr="00731FE2" w:rsidRDefault="00902F18" w:rsidP="009B6BDD">
      <w:pP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Cs w:val="24"/>
          <w:lang w:eastAsia="ru-RU"/>
        </w:rPr>
        <w:t>Нормативы обеспеченности библиотеками населения (Согласно «Методическим рекомендациям субъектам РФ и органам местного самоуправления по развитию сети организаций культуры и обеспеченности населения услугами организаций культуры», утвержденных распоряжением Министерства культуры РФ от 02.08.2017 г. № Р-965) соблюдаются. Так, необходимо наличие библиотеки общего пользования в шаговой или транспортной доступности 15-30 минут. Нехватки библиотек нет.</w:t>
      </w:r>
    </w:p>
    <w:p w14:paraId="3404AC8F" w14:textId="77777777" w:rsidR="00902F18" w:rsidRPr="00731FE2" w:rsidRDefault="00902F18" w:rsidP="009B6BDD">
      <w:pPr>
        <w:rPr>
          <w:rFonts w:ascii="Times New Roman" w:eastAsia="Times New Roman" w:hAnsi="Times New Roman" w:cs="Times New Roman"/>
          <w:szCs w:val="24"/>
          <w:lang w:eastAsia="ru-RU"/>
        </w:rPr>
      </w:pPr>
      <w:r w:rsidRPr="00731FE2">
        <w:rPr>
          <w:rFonts w:ascii="Times New Roman" w:eastAsia="Times New Roman" w:hAnsi="Times New Roman" w:cs="Times New Roman"/>
          <w:b/>
          <w:bCs/>
          <w:color w:val="000000"/>
          <w:szCs w:val="24"/>
          <w:lang w:eastAsia="ru-RU"/>
        </w:rPr>
        <w:t xml:space="preserve">В целом стоит отметить, что на территории городского округа недостаточно учреждений культурно-досугового типа. </w:t>
      </w:r>
    </w:p>
    <w:p w14:paraId="325CB51A" w14:textId="77777777" w:rsidR="00902F18" w:rsidRPr="00731FE2" w:rsidRDefault="00902F18" w:rsidP="009B6BDD">
      <w:pPr>
        <w:ind w:left="709" w:firstLine="0"/>
        <w:rPr>
          <w:rFonts w:ascii="Times New Roman" w:eastAsia="Times New Roman" w:hAnsi="Times New Roman" w:cs="Times New Roman"/>
          <w:szCs w:val="24"/>
          <w:lang w:eastAsia="ru-RU"/>
        </w:rPr>
      </w:pPr>
      <w:bookmarkStart w:id="33" w:name="_Toc30"/>
      <w:r w:rsidRPr="00731FE2">
        <w:rPr>
          <w:rFonts w:ascii="Times New Roman" w:eastAsia="Times New Roman" w:hAnsi="Times New Roman" w:cs="Times New Roman"/>
          <w:color w:val="7F7F7F"/>
          <w:szCs w:val="24"/>
          <w:lang w:eastAsia="ru-RU"/>
        </w:rPr>
        <w:t>2.8.4 Физическая культура и спорт</w:t>
      </w:r>
      <w:bookmarkEnd w:id="33"/>
    </w:p>
    <w:p w14:paraId="299C8767" w14:textId="77777777" w:rsidR="00902F18" w:rsidRPr="00731FE2" w:rsidRDefault="00902F18" w:rsidP="009B6BDD">
      <w:pP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Cs w:val="24"/>
          <w:lang w:eastAsia="ru-RU"/>
        </w:rPr>
        <w:t>В городском округе городе-курорте Кисловодске располагаются объекты Южного федерального центра спортивной подготовки – верхняя и нижняя база Юг Спорта, где функционируют: стадион, СТК,</w:t>
      </w:r>
      <w:r w:rsidR="009B6BDD" w:rsidRPr="00731FE2">
        <w:rPr>
          <w:rFonts w:ascii="Times New Roman" w:eastAsia="Times New Roman" w:hAnsi="Times New Roman" w:cs="Times New Roman"/>
          <w:color w:val="000000"/>
          <w:szCs w:val="24"/>
          <w:lang w:eastAsia="ru-RU"/>
        </w:rPr>
        <w:t xml:space="preserve"> </w:t>
      </w:r>
      <w:r w:rsidRPr="00731FE2">
        <w:rPr>
          <w:rFonts w:ascii="Times New Roman" w:eastAsia="Times New Roman" w:hAnsi="Times New Roman" w:cs="Times New Roman"/>
          <w:color w:val="000000"/>
          <w:szCs w:val="24"/>
          <w:lang w:eastAsia="ru-RU"/>
        </w:rPr>
        <w:t>универсальный зал, зал бокса, тренажерный зал, зал тяжелой атлетики, зал ударной техники.</w:t>
      </w:r>
    </w:p>
    <w:p w14:paraId="750355E7" w14:textId="77777777" w:rsidR="00902F18" w:rsidRPr="00731FE2" w:rsidRDefault="00902F18" w:rsidP="009B6BDD">
      <w:pP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Cs w:val="24"/>
          <w:lang w:eastAsia="ru-RU"/>
        </w:rPr>
        <w:t>Физической культурой и спортом занимаются 33476 человек</w:t>
      </w:r>
      <w:r w:rsidRPr="00731FE2">
        <w:rPr>
          <w:rFonts w:ascii="Times New Roman" w:eastAsia="Times New Roman" w:hAnsi="Times New Roman" w:cs="Times New Roman"/>
          <w:color w:val="000000"/>
          <w:szCs w:val="24"/>
          <w:vertAlign w:val="superscript"/>
          <w:lang w:eastAsia="ru-RU"/>
        </w:rPr>
        <w:footnoteReference w:id="38"/>
      </w:r>
      <w:r w:rsidRPr="00731FE2">
        <w:rPr>
          <w:rFonts w:ascii="Times New Roman" w:eastAsia="Times New Roman" w:hAnsi="Times New Roman" w:cs="Times New Roman"/>
          <w:color w:val="000000"/>
          <w:szCs w:val="24"/>
          <w:lang w:eastAsia="ru-RU"/>
        </w:rPr>
        <w:t xml:space="preserve">. В городе-курорте Кисловодске функционирует МБУ </w:t>
      </w:r>
      <w:proofErr w:type="gramStart"/>
      <w:r w:rsidRPr="00731FE2">
        <w:rPr>
          <w:rFonts w:ascii="Times New Roman" w:eastAsia="Times New Roman" w:hAnsi="Times New Roman" w:cs="Times New Roman"/>
          <w:color w:val="000000"/>
          <w:szCs w:val="24"/>
          <w:lang w:eastAsia="ru-RU"/>
        </w:rPr>
        <w:t>ДО</w:t>
      </w:r>
      <w:proofErr w:type="gramEnd"/>
      <w:r w:rsidRPr="00731FE2">
        <w:rPr>
          <w:rFonts w:ascii="Times New Roman" w:eastAsia="Times New Roman" w:hAnsi="Times New Roman" w:cs="Times New Roman"/>
          <w:color w:val="000000"/>
          <w:szCs w:val="24"/>
          <w:lang w:eastAsia="ru-RU"/>
        </w:rPr>
        <w:t xml:space="preserve"> детско-юношеская спортивная школа № 1.</w:t>
      </w:r>
    </w:p>
    <w:p w14:paraId="1C0376CE" w14:textId="77777777" w:rsidR="00902F18" w:rsidRPr="00731FE2" w:rsidRDefault="00902F18" w:rsidP="00902F18">
      <w:pPr>
        <w:keepNext/>
        <w:spacing w:line="240" w:lineRule="auto"/>
        <w:ind w:firstLine="0"/>
        <w:rPr>
          <w:rFonts w:ascii="Times New Roman" w:eastAsia="Times New Roman" w:hAnsi="Times New Roman" w:cs="Times New Roman"/>
          <w:szCs w:val="24"/>
          <w:lang w:eastAsia="ru-RU"/>
        </w:rPr>
      </w:pPr>
    </w:p>
    <w:p w14:paraId="4BF1884A" w14:textId="77777777" w:rsidR="00902F18" w:rsidRPr="00731FE2" w:rsidRDefault="009B6BDD" w:rsidP="00902F18">
      <w:pPr>
        <w:keepNext/>
        <w:spacing w:line="240" w:lineRule="auto"/>
        <w:ind w:firstLine="0"/>
        <w:rPr>
          <w:rFonts w:ascii="Times New Roman" w:eastAsia="Times New Roman" w:hAnsi="Times New Roman" w:cs="Times New Roman"/>
          <w:szCs w:val="24"/>
          <w:lang w:eastAsia="ru-RU"/>
        </w:rPr>
      </w:pPr>
      <w:r w:rsidRPr="00731FE2">
        <w:rPr>
          <w:rFonts w:ascii="Times New Roman" w:eastAsia="Times New Roman" w:hAnsi="Times New Roman" w:cs="Times New Roman"/>
          <w:b/>
          <w:bCs/>
          <w:color w:val="000000"/>
          <w:szCs w:val="24"/>
          <w:lang w:eastAsia="ru-RU"/>
        </w:rPr>
        <w:t xml:space="preserve">Таблица </w:t>
      </w:r>
      <w:r w:rsidRPr="00731FE2">
        <w:rPr>
          <w:rFonts w:ascii="Times New Roman" w:eastAsia="Times New Roman" w:hAnsi="Times New Roman" w:cs="Times New Roman"/>
          <w:b/>
          <w:bCs/>
          <w:color w:val="000000"/>
          <w:szCs w:val="24"/>
          <w:lang w:eastAsia="ru-RU"/>
        </w:rPr>
        <w:fldChar w:fldCharType="begin"/>
      </w:r>
      <w:r w:rsidRPr="00731FE2">
        <w:rPr>
          <w:rFonts w:ascii="Times New Roman" w:eastAsia="Times New Roman" w:hAnsi="Times New Roman" w:cs="Times New Roman"/>
          <w:b/>
          <w:bCs/>
          <w:color w:val="000000"/>
          <w:szCs w:val="24"/>
          <w:lang w:eastAsia="ru-RU"/>
        </w:rPr>
        <w:instrText xml:space="preserve"> SEQ Таблица \* Arabic </w:instrText>
      </w:r>
      <w:r w:rsidRPr="00731FE2">
        <w:rPr>
          <w:rFonts w:ascii="Times New Roman" w:eastAsia="Times New Roman" w:hAnsi="Times New Roman" w:cs="Times New Roman"/>
          <w:b/>
          <w:bCs/>
          <w:color w:val="000000"/>
          <w:szCs w:val="24"/>
          <w:lang w:eastAsia="ru-RU"/>
        </w:rPr>
        <w:fldChar w:fldCharType="separate"/>
      </w:r>
      <w:r w:rsidR="00C50915" w:rsidRPr="00731FE2">
        <w:rPr>
          <w:rFonts w:ascii="Times New Roman" w:eastAsia="Times New Roman" w:hAnsi="Times New Roman" w:cs="Times New Roman"/>
          <w:b/>
          <w:bCs/>
          <w:noProof/>
          <w:color w:val="000000"/>
          <w:szCs w:val="24"/>
          <w:lang w:eastAsia="ru-RU"/>
        </w:rPr>
        <w:t>17</w:t>
      </w:r>
      <w:r w:rsidRPr="00731FE2">
        <w:rPr>
          <w:rFonts w:ascii="Times New Roman" w:eastAsia="Times New Roman" w:hAnsi="Times New Roman" w:cs="Times New Roman"/>
          <w:b/>
          <w:bCs/>
          <w:color w:val="000000"/>
          <w:szCs w:val="24"/>
          <w:lang w:eastAsia="ru-RU"/>
        </w:rPr>
        <w:fldChar w:fldCharType="end"/>
      </w:r>
      <w:r w:rsidRPr="00731FE2">
        <w:rPr>
          <w:rFonts w:ascii="Times New Roman" w:eastAsia="Times New Roman" w:hAnsi="Times New Roman" w:cs="Times New Roman"/>
          <w:b/>
          <w:bCs/>
          <w:color w:val="000000"/>
          <w:szCs w:val="24"/>
          <w:lang w:eastAsia="ru-RU"/>
        </w:rPr>
        <w:t xml:space="preserve"> – </w:t>
      </w:r>
      <w:r w:rsidR="00902F18" w:rsidRPr="00731FE2">
        <w:rPr>
          <w:rFonts w:ascii="Times New Roman" w:eastAsia="Times New Roman" w:hAnsi="Times New Roman" w:cs="Times New Roman"/>
          <w:b/>
          <w:bCs/>
          <w:color w:val="000000"/>
          <w:szCs w:val="24"/>
          <w:lang w:eastAsia="ru-RU"/>
        </w:rPr>
        <w:t xml:space="preserve">Спортивные и физкультурно-оздоровительные объекты, </w:t>
      </w:r>
      <w:proofErr w:type="gramStart"/>
      <w:r w:rsidR="00902F18" w:rsidRPr="00731FE2">
        <w:rPr>
          <w:rFonts w:ascii="Times New Roman" w:eastAsia="Times New Roman" w:hAnsi="Times New Roman" w:cs="Times New Roman"/>
          <w:b/>
          <w:bCs/>
          <w:color w:val="000000"/>
          <w:szCs w:val="24"/>
          <w:lang w:eastAsia="ru-RU"/>
        </w:rPr>
        <w:t>на конец</w:t>
      </w:r>
      <w:proofErr w:type="gramEnd"/>
      <w:r w:rsidR="00902F18" w:rsidRPr="00731FE2">
        <w:rPr>
          <w:rFonts w:ascii="Times New Roman" w:eastAsia="Times New Roman" w:hAnsi="Times New Roman" w:cs="Times New Roman"/>
          <w:b/>
          <w:bCs/>
          <w:color w:val="000000"/>
          <w:szCs w:val="24"/>
          <w:lang w:eastAsia="ru-RU"/>
        </w:rPr>
        <w:t xml:space="preserve"> 2023 г.</w:t>
      </w:r>
    </w:p>
    <w:tbl>
      <w:tblPr>
        <w:tblW w:w="0" w:type="auto"/>
        <w:tblCellSpacing w:w="0" w:type="dxa"/>
        <w:tblLook w:val="04A0" w:firstRow="1" w:lastRow="0" w:firstColumn="1" w:lastColumn="0" w:noHBand="0" w:noVBand="1"/>
      </w:tblPr>
      <w:tblGrid>
        <w:gridCol w:w="5093"/>
        <w:gridCol w:w="2294"/>
        <w:gridCol w:w="1948"/>
      </w:tblGrid>
      <w:tr w:rsidR="00902F18" w:rsidRPr="00731FE2" w14:paraId="3FAE6617" w14:textId="77777777" w:rsidTr="009B6BDD">
        <w:trPr>
          <w:trHeight w:val="547"/>
          <w:tblCellSpacing w:w="0" w:type="dxa"/>
        </w:trPr>
        <w:tc>
          <w:tcPr>
            <w:tcW w:w="5093" w:type="dxa"/>
            <w:tcBorders>
              <w:top w:val="single" w:sz="8" w:space="0" w:color="000000"/>
              <w:left w:val="single" w:sz="8" w:space="0" w:color="000000"/>
              <w:bottom w:val="single" w:sz="8" w:space="0" w:color="000000"/>
              <w:right w:val="single" w:sz="8" w:space="0" w:color="000000"/>
            </w:tcBorders>
            <w:vAlign w:val="center"/>
            <w:hideMark/>
          </w:tcPr>
          <w:p w14:paraId="0C06555B"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b/>
                <w:bCs/>
                <w:color w:val="000000"/>
                <w:sz w:val="22"/>
                <w:lang w:eastAsia="ru-RU"/>
              </w:rPr>
              <w:t>Показатель</w:t>
            </w:r>
          </w:p>
        </w:tc>
        <w:tc>
          <w:tcPr>
            <w:tcW w:w="2294" w:type="dxa"/>
            <w:tcBorders>
              <w:top w:val="single" w:sz="8" w:space="0" w:color="000000"/>
              <w:left w:val="nil"/>
              <w:bottom w:val="single" w:sz="8" w:space="0" w:color="000000"/>
              <w:right w:val="single" w:sz="8" w:space="0" w:color="000000"/>
            </w:tcBorders>
            <w:vAlign w:val="center"/>
            <w:hideMark/>
          </w:tcPr>
          <w:p w14:paraId="6A0528B2"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b/>
                <w:bCs/>
                <w:color w:val="000000"/>
                <w:sz w:val="22"/>
                <w:lang w:eastAsia="ru-RU"/>
              </w:rPr>
              <w:t>Ед. измерения</w:t>
            </w:r>
          </w:p>
        </w:tc>
        <w:tc>
          <w:tcPr>
            <w:tcW w:w="1948" w:type="dxa"/>
            <w:tcBorders>
              <w:top w:val="single" w:sz="8" w:space="0" w:color="000000"/>
              <w:left w:val="nil"/>
              <w:bottom w:val="single" w:sz="8" w:space="0" w:color="000000"/>
              <w:right w:val="single" w:sz="8" w:space="0" w:color="000000"/>
            </w:tcBorders>
            <w:vAlign w:val="center"/>
            <w:hideMark/>
          </w:tcPr>
          <w:p w14:paraId="62F72E0C"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b/>
                <w:bCs/>
                <w:color w:val="000000"/>
                <w:sz w:val="22"/>
                <w:lang w:eastAsia="ru-RU"/>
              </w:rPr>
              <w:t>Показатель</w:t>
            </w:r>
          </w:p>
        </w:tc>
      </w:tr>
      <w:tr w:rsidR="00902F18" w:rsidRPr="00731FE2" w14:paraId="1795260B" w14:textId="77777777" w:rsidTr="009B6BDD">
        <w:trPr>
          <w:trHeight w:val="298"/>
          <w:tblCellSpacing w:w="0" w:type="dxa"/>
        </w:trPr>
        <w:tc>
          <w:tcPr>
            <w:tcW w:w="5093" w:type="dxa"/>
            <w:tcBorders>
              <w:top w:val="nil"/>
              <w:left w:val="single" w:sz="8" w:space="0" w:color="000000"/>
              <w:bottom w:val="single" w:sz="8" w:space="0" w:color="000000"/>
              <w:right w:val="single" w:sz="8" w:space="0" w:color="000000"/>
            </w:tcBorders>
            <w:vAlign w:val="center"/>
            <w:hideMark/>
          </w:tcPr>
          <w:p w14:paraId="208F5121" w14:textId="77777777" w:rsidR="00902F18" w:rsidRPr="00731FE2" w:rsidRDefault="00902F18" w:rsidP="00902F18">
            <w:pPr>
              <w:spacing w:line="240" w:lineRule="auto"/>
              <w:ind w:firstLine="0"/>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Спортивные сооружения, всего</w:t>
            </w:r>
          </w:p>
        </w:tc>
        <w:tc>
          <w:tcPr>
            <w:tcW w:w="2294" w:type="dxa"/>
            <w:tcBorders>
              <w:top w:val="nil"/>
              <w:left w:val="nil"/>
              <w:bottom w:val="single" w:sz="8" w:space="0" w:color="000000"/>
              <w:right w:val="single" w:sz="8" w:space="0" w:color="000000"/>
            </w:tcBorders>
            <w:vAlign w:val="center"/>
            <w:hideMark/>
          </w:tcPr>
          <w:p w14:paraId="3528317C" w14:textId="77777777" w:rsidR="00902F18" w:rsidRPr="00731FE2" w:rsidRDefault="00902F18" w:rsidP="00902F18">
            <w:pPr>
              <w:spacing w:line="240" w:lineRule="auto"/>
              <w:ind w:firstLine="0"/>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шт.</w:t>
            </w:r>
          </w:p>
        </w:tc>
        <w:tc>
          <w:tcPr>
            <w:tcW w:w="1948" w:type="dxa"/>
            <w:tcBorders>
              <w:top w:val="nil"/>
              <w:left w:val="nil"/>
              <w:bottom w:val="single" w:sz="8" w:space="0" w:color="000000"/>
              <w:right w:val="single" w:sz="8" w:space="0" w:color="000000"/>
            </w:tcBorders>
            <w:vAlign w:val="center"/>
            <w:hideMark/>
          </w:tcPr>
          <w:p w14:paraId="61FF3B5C"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214</w:t>
            </w:r>
          </w:p>
        </w:tc>
      </w:tr>
      <w:tr w:rsidR="00902F18" w:rsidRPr="00731FE2" w14:paraId="631F45CF" w14:textId="77777777" w:rsidTr="009B6BDD">
        <w:trPr>
          <w:trHeight w:val="298"/>
          <w:tblCellSpacing w:w="0" w:type="dxa"/>
        </w:trPr>
        <w:tc>
          <w:tcPr>
            <w:tcW w:w="5093" w:type="dxa"/>
            <w:tcBorders>
              <w:top w:val="nil"/>
              <w:left w:val="single" w:sz="8" w:space="0" w:color="000000"/>
              <w:bottom w:val="single" w:sz="8" w:space="0" w:color="000000"/>
              <w:right w:val="single" w:sz="8" w:space="0" w:color="000000"/>
            </w:tcBorders>
            <w:vAlign w:val="center"/>
            <w:hideMark/>
          </w:tcPr>
          <w:p w14:paraId="4FE143DE" w14:textId="77777777" w:rsidR="00902F18" w:rsidRPr="00731FE2" w:rsidRDefault="00902F18" w:rsidP="00902F18">
            <w:pPr>
              <w:spacing w:line="240" w:lineRule="auto"/>
              <w:ind w:firstLine="0"/>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в т.ч.:</w:t>
            </w:r>
          </w:p>
        </w:tc>
        <w:tc>
          <w:tcPr>
            <w:tcW w:w="2294" w:type="dxa"/>
            <w:tcBorders>
              <w:top w:val="nil"/>
              <w:left w:val="nil"/>
              <w:bottom w:val="single" w:sz="8" w:space="0" w:color="000000"/>
              <w:right w:val="single" w:sz="8" w:space="0" w:color="000000"/>
            </w:tcBorders>
            <w:vAlign w:val="center"/>
            <w:hideMark/>
          </w:tcPr>
          <w:p w14:paraId="0FF58D9E" w14:textId="77777777" w:rsidR="00902F18" w:rsidRPr="00731FE2" w:rsidRDefault="00902F18" w:rsidP="00902F18">
            <w:pPr>
              <w:spacing w:line="240" w:lineRule="auto"/>
              <w:ind w:firstLine="0"/>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 </w:t>
            </w:r>
          </w:p>
        </w:tc>
        <w:tc>
          <w:tcPr>
            <w:tcW w:w="1948" w:type="dxa"/>
            <w:tcBorders>
              <w:top w:val="nil"/>
              <w:left w:val="nil"/>
              <w:bottom w:val="single" w:sz="8" w:space="0" w:color="000000"/>
              <w:right w:val="single" w:sz="8" w:space="0" w:color="000000"/>
            </w:tcBorders>
            <w:vAlign w:val="center"/>
            <w:hideMark/>
          </w:tcPr>
          <w:p w14:paraId="5A46A470"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 </w:t>
            </w:r>
          </w:p>
        </w:tc>
      </w:tr>
      <w:tr w:rsidR="00902F18" w:rsidRPr="00731FE2" w14:paraId="204BC331" w14:textId="77777777" w:rsidTr="009B6BDD">
        <w:trPr>
          <w:trHeight w:val="298"/>
          <w:tblCellSpacing w:w="0" w:type="dxa"/>
        </w:trPr>
        <w:tc>
          <w:tcPr>
            <w:tcW w:w="5093" w:type="dxa"/>
            <w:tcBorders>
              <w:top w:val="nil"/>
              <w:left w:val="single" w:sz="8" w:space="0" w:color="000000"/>
              <w:bottom w:val="single" w:sz="8" w:space="0" w:color="000000"/>
              <w:right w:val="single" w:sz="8" w:space="0" w:color="000000"/>
            </w:tcBorders>
            <w:vAlign w:val="center"/>
            <w:hideMark/>
          </w:tcPr>
          <w:p w14:paraId="41C61055" w14:textId="77777777" w:rsidR="00902F18" w:rsidRPr="00731FE2" w:rsidRDefault="00902F18" w:rsidP="00902F18">
            <w:pPr>
              <w:spacing w:line="240" w:lineRule="auto"/>
              <w:ind w:firstLine="0"/>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 xml:space="preserve">стадион </w:t>
            </w:r>
          </w:p>
        </w:tc>
        <w:tc>
          <w:tcPr>
            <w:tcW w:w="2294" w:type="dxa"/>
            <w:tcBorders>
              <w:top w:val="nil"/>
              <w:left w:val="nil"/>
              <w:bottom w:val="single" w:sz="8" w:space="0" w:color="000000"/>
              <w:right w:val="single" w:sz="8" w:space="0" w:color="000000"/>
            </w:tcBorders>
            <w:vAlign w:val="center"/>
            <w:hideMark/>
          </w:tcPr>
          <w:p w14:paraId="666D6990" w14:textId="77777777" w:rsidR="00902F18" w:rsidRPr="00731FE2" w:rsidRDefault="00902F18" w:rsidP="00902F18">
            <w:pPr>
              <w:spacing w:line="240" w:lineRule="auto"/>
              <w:ind w:firstLine="0"/>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мест, площадь</w:t>
            </w:r>
          </w:p>
        </w:tc>
        <w:tc>
          <w:tcPr>
            <w:tcW w:w="1948" w:type="dxa"/>
            <w:tcBorders>
              <w:top w:val="nil"/>
              <w:left w:val="nil"/>
              <w:bottom w:val="single" w:sz="8" w:space="0" w:color="000000"/>
              <w:right w:val="single" w:sz="8" w:space="0" w:color="000000"/>
            </w:tcBorders>
            <w:vAlign w:val="center"/>
            <w:hideMark/>
          </w:tcPr>
          <w:p w14:paraId="0E77AD9B"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1500,</w:t>
            </w:r>
          </w:p>
        </w:tc>
      </w:tr>
      <w:tr w:rsidR="00902F18" w:rsidRPr="00731FE2" w14:paraId="52A41615" w14:textId="77777777" w:rsidTr="009B6BDD">
        <w:trPr>
          <w:trHeight w:val="298"/>
          <w:tblCellSpacing w:w="0" w:type="dxa"/>
        </w:trPr>
        <w:tc>
          <w:tcPr>
            <w:tcW w:w="5093" w:type="dxa"/>
            <w:tcBorders>
              <w:top w:val="nil"/>
              <w:left w:val="single" w:sz="8" w:space="0" w:color="000000"/>
              <w:bottom w:val="single" w:sz="8" w:space="0" w:color="000000"/>
              <w:right w:val="single" w:sz="8" w:space="0" w:color="000000"/>
            </w:tcBorders>
            <w:vAlign w:val="center"/>
            <w:hideMark/>
          </w:tcPr>
          <w:p w14:paraId="158BE4E7" w14:textId="77777777" w:rsidR="00902F18" w:rsidRPr="00731FE2" w:rsidRDefault="00902F18" w:rsidP="00902F18">
            <w:pPr>
              <w:spacing w:line="240" w:lineRule="auto"/>
              <w:ind w:firstLine="0"/>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плоскостные спортивные сооружения (площадки, поля)</w:t>
            </w:r>
          </w:p>
        </w:tc>
        <w:tc>
          <w:tcPr>
            <w:tcW w:w="2294" w:type="dxa"/>
            <w:tcBorders>
              <w:top w:val="nil"/>
              <w:left w:val="nil"/>
              <w:bottom w:val="single" w:sz="8" w:space="0" w:color="000000"/>
              <w:right w:val="single" w:sz="8" w:space="0" w:color="000000"/>
            </w:tcBorders>
            <w:vAlign w:val="center"/>
            <w:hideMark/>
          </w:tcPr>
          <w:p w14:paraId="32D92AF1" w14:textId="77777777" w:rsidR="00902F18" w:rsidRPr="00731FE2" w:rsidRDefault="00902F18" w:rsidP="00902F18">
            <w:pPr>
              <w:spacing w:line="240" w:lineRule="auto"/>
              <w:ind w:firstLine="0"/>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кол-во/ общая площадь</w:t>
            </w:r>
          </w:p>
        </w:tc>
        <w:tc>
          <w:tcPr>
            <w:tcW w:w="1948" w:type="dxa"/>
            <w:tcBorders>
              <w:top w:val="nil"/>
              <w:left w:val="nil"/>
              <w:bottom w:val="single" w:sz="8" w:space="0" w:color="000000"/>
              <w:right w:val="single" w:sz="8" w:space="0" w:color="000000"/>
            </w:tcBorders>
            <w:vAlign w:val="center"/>
            <w:hideMark/>
          </w:tcPr>
          <w:p w14:paraId="50511BCB"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77/ 112 549</w:t>
            </w:r>
          </w:p>
        </w:tc>
      </w:tr>
      <w:tr w:rsidR="00902F18" w:rsidRPr="00731FE2" w14:paraId="0EE52A6A" w14:textId="77777777" w:rsidTr="009B6BDD">
        <w:trPr>
          <w:trHeight w:val="298"/>
          <w:tblCellSpacing w:w="0" w:type="dxa"/>
        </w:trPr>
        <w:tc>
          <w:tcPr>
            <w:tcW w:w="5093" w:type="dxa"/>
            <w:tcBorders>
              <w:top w:val="nil"/>
              <w:left w:val="single" w:sz="8" w:space="0" w:color="000000"/>
              <w:bottom w:val="single" w:sz="8" w:space="0" w:color="000000"/>
              <w:right w:val="single" w:sz="8" w:space="0" w:color="000000"/>
            </w:tcBorders>
            <w:vAlign w:val="center"/>
            <w:hideMark/>
          </w:tcPr>
          <w:p w14:paraId="7BF00D93" w14:textId="77777777" w:rsidR="00902F18" w:rsidRPr="00731FE2" w:rsidRDefault="00902F18" w:rsidP="00902F18">
            <w:pPr>
              <w:spacing w:line="240" w:lineRule="auto"/>
              <w:ind w:firstLine="0"/>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спортивные залы</w:t>
            </w:r>
          </w:p>
        </w:tc>
        <w:tc>
          <w:tcPr>
            <w:tcW w:w="2294" w:type="dxa"/>
            <w:tcBorders>
              <w:top w:val="nil"/>
              <w:left w:val="nil"/>
              <w:bottom w:val="single" w:sz="8" w:space="0" w:color="000000"/>
              <w:right w:val="single" w:sz="8" w:space="0" w:color="000000"/>
            </w:tcBorders>
            <w:vAlign w:val="center"/>
            <w:hideMark/>
          </w:tcPr>
          <w:p w14:paraId="4345BA76" w14:textId="77777777" w:rsidR="00902F18" w:rsidRPr="00731FE2" w:rsidRDefault="00902F18" w:rsidP="00902F18">
            <w:pPr>
              <w:spacing w:line="240" w:lineRule="auto"/>
              <w:ind w:firstLine="0"/>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кол-во/ общая площадь</w:t>
            </w:r>
          </w:p>
        </w:tc>
        <w:tc>
          <w:tcPr>
            <w:tcW w:w="1948" w:type="dxa"/>
            <w:tcBorders>
              <w:top w:val="nil"/>
              <w:left w:val="nil"/>
              <w:bottom w:val="single" w:sz="8" w:space="0" w:color="000000"/>
              <w:right w:val="single" w:sz="8" w:space="0" w:color="000000"/>
            </w:tcBorders>
            <w:vAlign w:val="center"/>
            <w:hideMark/>
          </w:tcPr>
          <w:p w14:paraId="650F16A8"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45/17 252</w:t>
            </w:r>
          </w:p>
        </w:tc>
      </w:tr>
      <w:tr w:rsidR="00902F18" w:rsidRPr="00731FE2" w14:paraId="5A687D9F" w14:textId="77777777" w:rsidTr="009B6BDD">
        <w:trPr>
          <w:trHeight w:val="298"/>
          <w:tblCellSpacing w:w="0" w:type="dxa"/>
        </w:trPr>
        <w:tc>
          <w:tcPr>
            <w:tcW w:w="5093" w:type="dxa"/>
            <w:tcBorders>
              <w:top w:val="nil"/>
              <w:left w:val="single" w:sz="8" w:space="0" w:color="000000"/>
              <w:bottom w:val="single" w:sz="8" w:space="0" w:color="000000"/>
              <w:right w:val="single" w:sz="8" w:space="0" w:color="000000"/>
            </w:tcBorders>
            <w:vAlign w:val="center"/>
            <w:hideMark/>
          </w:tcPr>
          <w:p w14:paraId="0898CFE5" w14:textId="77777777" w:rsidR="00902F18" w:rsidRPr="00731FE2" w:rsidRDefault="00902F18" w:rsidP="00902F18">
            <w:pPr>
              <w:spacing w:line="240" w:lineRule="auto"/>
              <w:ind w:firstLine="0"/>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плавательные бассейны</w:t>
            </w:r>
          </w:p>
        </w:tc>
        <w:tc>
          <w:tcPr>
            <w:tcW w:w="2294" w:type="dxa"/>
            <w:tcBorders>
              <w:top w:val="nil"/>
              <w:left w:val="nil"/>
              <w:bottom w:val="single" w:sz="8" w:space="0" w:color="000000"/>
              <w:right w:val="single" w:sz="8" w:space="0" w:color="000000"/>
            </w:tcBorders>
            <w:vAlign w:val="center"/>
            <w:hideMark/>
          </w:tcPr>
          <w:p w14:paraId="696C3E2F" w14:textId="77777777" w:rsidR="00902F18" w:rsidRPr="00731FE2" w:rsidRDefault="00902F18" w:rsidP="00902F18">
            <w:pPr>
              <w:spacing w:line="240" w:lineRule="auto"/>
              <w:ind w:firstLine="0"/>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кол-во/ общая площадь</w:t>
            </w:r>
          </w:p>
        </w:tc>
        <w:tc>
          <w:tcPr>
            <w:tcW w:w="1948" w:type="dxa"/>
            <w:tcBorders>
              <w:top w:val="nil"/>
              <w:left w:val="nil"/>
              <w:bottom w:val="single" w:sz="8" w:space="0" w:color="000000"/>
              <w:right w:val="single" w:sz="8" w:space="0" w:color="000000"/>
            </w:tcBorders>
            <w:vAlign w:val="center"/>
            <w:hideMark/>
          </w:tcPr>
          <w:p w14:paraId="789A818A"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28/5 995</w:t>
            </w:r>
          </w:p>
        </w:tc>
      </w:tr>
      <w:tr w:rsidR="00902F18" w:rsidRPr="00731FE2" w14:paraId="6889751F" w14:textId="77777777" w:rsidTr="009B6BDD">
        <w:trPr>
          <w:trHeight w:val="298"/>
          <w:tblCellSpacing w:w="0" w:type="dxa"/>
        </w:trPr>
        <w:tc>
          <w:tcPr>
            <w:tcW w:w="5093" w:type="dxa"/>
            <w:tcBorders>
              <w:top w:val="nil"/>
              <w:left w:val="single" w:sz="8" w:space="0" w:color="000000"/>
              <w:bottom w:val="single" w:sz="8" w:space="0" w:color="000000"/>
              <w:right w:val="single" w:sz="8" w:space="0" w:color="000000"/>
            </w:tcBorders>
            <w:vAlign w:val="center"/>
            <w:hideMark/>
          </w:tcPr>
          <w:p w14:paraId="75A82B94" w14:textId="77777777" w:rsidR="00902F18" w:rsidRPr="00731FE2" w:rsidRDefault="00902F18" w:rsidP="00902F18">
            <w:pPr>
              <w:spacing w:line="240" w:lineRule="auto"/>
              <w:ind w:firstLine="0"/>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Количество спортивных школ</w:t>
            </w:r>
          </w:p>
        </w:tc>
        <w:tc>
          <w:tcPr>
            <w:tcW w:w="2294" w:type="dxa"/>
            <w:tcBorders>
              <w:top w:val="nil"/>
              <w:left w:val="nil"/>
              <w:bottom w:val="single" w:sz="8" w:space="0" w:color="000000"/>
              <w:right w:val="single" w:sz="8" w:space="0" w:color="000000"/>
            </w:tcBorders>
            <w:vAlign w:val="center"/>
            <w:hideMark/>
          </w:tcPr>
          <w:p w14:paraId="4F9CBF68" w14:textId="77777777" w:rsidR="00902F18" w:rsidRPr="00731FE2" w:rsidRDefault="00902F18" w:rsidP="00902F18">
            <w:pPr>
              <w:spacing w:line="240" w:lineRule="auto"/>
              <w:ind w:firstLine="0"/>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шт.</w:t>
            </w:r>
          </w:p>
        </w:tc>
        <w:tc>
          <w:tcPr>
            <w:tcW w:w="1948" w:type="dxa"/>
            <w:tcBorders>
              <w:top w:val="nil"/>
              <w:left w:val="nil"/>
              <w:bottom w:val="single" w:sz="8" w:space="0" w:color="000000"/>
              <w:right w:val="single" w:sz="8" w:space="0" w:color="000000"/>
            </w:tcBorders>
            <w:vAlign w:val="center"/>
            <w:hideMark/>
          </w:tcPr>
          <w:p w14:paraId="4B67CF53"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2</w:t>
            </w:r>
          </w:p>
        </w:tc>
      </w:tr>
      <w:tr w:rsidR="00902F18" w:rsidRPr="00731FE2" w14:paraId="00A53653" w14:textId="77777777" w:rsidTr="009B6BDD">
        <w:trPr>
          <w:trHeight w:val="298"/>
          <w:tblCellSpacing w:w="0" w:type="dxa"/>
        </w:trPr>
        <w:tc>
          <w:tcPr>
            <w:tcW w:w="5093" w:type="dxa"/>
            <w:tcBorders>
              <w:top w:val="nil"/>
              <w:left w:val="single" w:sz="8" w:space="0" w:color="000000"/>
              <w:bottom w:val="single" w:sz="8" w:space="0" w:color="000000"/>
              <w:right w:val="single" w:sz="8" w:space="0" w:color="000000"/>
            </w:tcBorders>
            <w:vAlign w:val="center"/>
            <w:hideMark/>
          </w:tcPr>
          <w:p w14:paraId="7C5F1B85" w14:textId="77777777" w:rsidR="00902F18" w:rsidRPr="00731FE2" w:rsidRDefault="00902F18" w:rsidP="00902F18">
            <w:pPr>
              <w:spacing w:line="240" w:lineRule="auto"/>
              <w:ind w:firstLine="0"/>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Количество обучающихся в них детей</w:t>
            </w:r>
          </w:p>
        </w:tc>
        <w:tc>
          <w:tcPr>
            <w:tcW w:w="2294" w:type="dxa"/>
            <w:tcBorders>
              <w:top w:val="nil"/>
              <w:left w:val="nil"/>
              <w:bottom w:val="single" w:sz="8" w:space="0" w:color="000000"/>
              <w:right w:val="single" w:sz="8" w:space="0" w:color="000000"/>
            </w:tcBorders>
            <w:vAlign w:val="center"/>
            <w:hideMark/>
          </w:tcPr>
          <w:p w14:paraId="67AFC7C8" w14:textId="77777777" w:rsidR="00902F18" w:rsidRPr="00731FE2" w:rsidRDefault="00902F18" w:rsidP="00902F18">
            <w:pPr>
              <w:spacing w:line="240" w:lineRule="auto"/>
              <w:ind w:firstLine="0"/>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чел.</w:t>
            </w:r>
          </w:p>
        </w:tc>
        <w:tc>
          <w:tcPr>
            <w:tcW w:w="1948" w:type="dxa"/>
            <w:tcBorders>
              <w:top w:val="nil"/>
              <w:left w:val="nil"/>
              <w:bottom w:val="single" w:sz="8" w:space="0" w:color="000000"/>
              <w:right w:val="single" w:sz="8" w:space="0" w:color="000000"/>
            </w:tcBorders>
            <w:vAlign w:val="center"/>
            <w:hideMark/>
          </w:tcPr>
          <w:p w14:paraId="5D903745"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2 444</w:t>
            </w:r>
          </w:p>
        </w:tc>
      </w:tr>
      <w:tr w:rsidR="00902F18" w:rsidRPr="00731FE2" w14:paraId="67E43B9B" w14:textId="77777777" w:rsidTr="009B6BDD">
        <w:trPr>
          <w:trHeight w:val="298"/>
          <w:tblCellSpacing w:w="0" w:type="dxa"/>
        </w:trPr>
        <w:tc>
          <w:tcPr>
            <w:tcW w:w="5093" w:type="dxa"/>
            <w:tcBorders>
              <w:top w:val="nil"/>
              <w:left w:val="single" w:sz="8" w:space="0" w:color="000000"/>
              <w:bottom w:val="single" w:sz="8" w:space="0" w:color="000000"/>
              <w:right w:val="single" w:sz="8" w:space="0" w:color="000000"/>
            </w:tcBorders>
            <w:vAlign w:val="center"/>
            <w:hideMark/>
          </w:tcPr>
          <w:p w14:paraId="5D21C2FA" w14:textId="77777777" w:rsidR="00902F18" w:rsidRPr="00731FE2" w:rsidRDefault="00902F18" w:rsidP="00902F18">
            <w:pPr>
              <w:spacing w:line="240" w:lineRule="auto"/>
              <w:ind w:firstLine="0"/>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Всего занимаются физической культурой и спортом (чел)</w:t>
            </w:r>
          </w:p>
        </w:tc>
        <w:tc>
          <w:tcPr>
            <w:tcW w:w="2294" w:type="dxa"/>
            <w:tcBorders>
              <w:top w:val="nil"/>
              <w:left w:val="nil"/>
              <w:bottom w:val="single" w:sz="8" w:space="0" w:color="000000"/>
              <w:right w:val="single" w:sz="8" w:space="0" w:color="000000"/>
            </w:tcBorders>
            <w:vAlign w:val="center"/>
            <w:hideMark/>
          </w:tcPr>
          <w:p w14:paraId="7341CCD5" w14:textId="77777777" w:rsidR="00902F18" w:rsidRPr="00731FE2" w:rsidRDefault="00902F18" w:rsidP="00902F18">
            <w:pPr>
              <w:spacing w:line="240" w:lineRule="auto"/>
              <w:ind w:firstLine="0"/>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чел.</w:t>
            </w:r>
          </w:p>
        </w:tc>
        <w:tc>
          <w:tcPr>
            <w:tcW w:w="1948" w:type="dxa"/>
            <w:tcBorders>
              <w:top w:val="nil"/>
              <w:left w:val="nil"/>
              <w:bottom w:val="single" w:sz="8" w:space="0" w:color="000000"/>
              <w:right w:val="single" w:sz="8" w:space="0" w:color="000000"/>
            </w:tcBorders>
            <w:vAlign w:val="center"/>
            <w:hideMark/>
          </w:tcPr>
          <w:p w14:paraId="3E5BEEC8"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76 114</w:t>
            </w:r>
          </w:p>
        </w:tc>
      </w:tr>
    </w:tbl>
    <w:p w14:paraId="39CF980E" w14:textId="77777777" w:rsidR="00902F18" w:rsidRPr="00731FE2" w:rsidRDefault="00902F18" w:rsidP="00902F18">
      <w:pPr>
        <w:spacing w:line="65" w:lineRule="atLeast"/>
        <w:ind w:firstLine="0"/>
        <w:jc w:val="left"/>
        <w:rPr>
          <w:rFonts w:ascii="Times New Roman" w:eastAsia="Times New Roman" w:hAnsi="Times New Roman" w:cs="Times New Roman"/>
          <w:szCs w:val="24"/>
          <w:lang w:eastAsia="ru-RU"/>
        </w:rPr>
      </w:pPr>
    </w:p>
    <w:p w14:paraId="6C091664" w14:textId="77777777" w:rsidR="00902F18" w:rsidRPr="00731FE2" w:rsidRDefault="009B6BDD" w:rsidP="00902F18">
      <w:pPr>
        <w:keepNext/>
        <w:spacing w:line="240" w:lineRule="auto"/>
        <w:ind w:firstLine="0"/>
        <w:rPr>
          <w:rFonts w:ascii="Times New Roman" w:eastAsia="Times New Roman" w:hAnsi="Times New Roman" w:cs="Times New Roman"/>
          <w:szCs w:val="24"/>
          <w:lang w:eastAsia="ru-RU"/>
        </w:rPr>
      </w:pPr>
      <w:r w:rsidRPr="00731FE2">
        <w:rPr>
          <w:rFonts w:ascii="Times New Roman" w:eastAsia="Times New Roman" w:hAnsi="Times New Roman" w:cs="Times New Roman"/>
          <w:b/>
          <w:bCs/>
          <w:color w:val="000000"/>
          <w:szCs w:val="24"/>
          <w:lang w:eastAsia="ru-RU"/>
        </w:rPr>
        <w:t xml:space="preserve">Таблица </w:t>
      </w:r>
      <w:r w:rsidRPr="00731FE2">
        <w:rPr>
          <w:rFonts w:ascii="Times New Roman" w:eastAsia="Times New Roman" w:hAnsi="Times New Roman" w:cs="Times New Roman"/>
          <w:b/>
          <w:bCs/>
          <w:color w:val="000000"/>
          <w:szCs w:val="24"/>
          <w:lang w:eastAsia="ru-RU"/>
        </w:rPr>
        <w:fldChar w:fldCharType="begin"/>
      </w:r>
      <w:r w:rsidRPr="00731FE2">
        <w:rPr>
          <w:rFonts w:ascii="Times New Roman" w:eastAsia="Times New Roman" w:hAnsi="Times New Roman" w:cs="Times New Roman"/>
          <w:b/>
          <w:bCs/>
          <w:color w:val="000000"/>
          <w:szCs w:val="24"/>
          <w:lang w:eastAsia="ru-RU"/>
        </w:rPr>
        <w:instrText xml:space="preserve"> SEQ Таблица \* Arabic </w:instrText>
      </w:r>
      <w:r w:rsidRPr="00731FE2">
        <w:rPr>
          <w:rFonts w:ascii="Times New Roman" w:eastAsia="Times New Roman" w:hAnsi="Times New Roman" w:cs="Times New Roman"/>
          <w:b/>
          <w:bCs/>
          <w:color w:val="000000"/>
          <w:szCs w:val="24"/>
          <w:lang w:eastAsia="ru-RU"/>
        </w:rPr>
        <w:fldChar w:fldCharType="separate"/>
      </w:r>
      <w:r w:rsidR="00C50915" w:rsidRPr="00731FE2">
        <w:rPr>
          <w:rFonts w:ascii="Times New Roman" w:eastAsia="Times New Roman" w:hAnsi="Times New Roman" w:cs="Times New Roman"/>
          <w:b/>
          <w:bCs/>
          <w:noProof/>
          <w:color w:val="000000"/>
          <w:szCs w:val="24"/>
          <w:lang w:eastAsia="ru-RU"/>
        </w:rPr>
        <w:t>18</w:t>
      </w:r>
      <w:r w:rsidRPr="00731FE2">
        <w:rPr>
          <w:rFonts w:ascii="Times New Roman" w:eastAsia="Times New Roman" w:hAnsi="Times New Roman" w:cs="Times New Roman"/>
          <w:b/>
          <w:bCs/>
          <w:color w:val="000000"/>
          <w:szCs w:val="24"/>
          <w:lang w:eastAsia="ru-RU"/>
        </w:rPr>
        <w:fldChar w:fldCharType="end"/>
      </w:r>
      <w:r w:rsidRPr="00731FE2">
        <w:rPr>
          <w:rFonts w:ascii="Times New Roman" w:eastAsia="Times New Roman" w:hAnsi="Times New Roman" w:cs="Times New Roman"/>
          <w:b/>
          <w:bCs/>
          <w:color w:val="000000"/>
          <w:szCs w:val="24"/>
          <w:lang w:eastAsia="ru-RU"/>
        </w:rPr>
        <w:t xml:space="preserve"> – </w:t>
      </w:r>
      <w:r w:rsidR="00902F18" w:rsidRPr="00731FE2">
        <w:rPr>
          <w:rFonts w:ascii="Times New Roman" w:eastAsia="Times New Roman" w:hAnsi="Times New Roman" w:cs="Times New Roman"/>
          <w:b/>
          <w:bCs/>
          <w:color w:val="000000"/>
          <w:szCs w:val="24"/>
          <w:lang w:eastAsia="ru-RU"/>
        </w:rPr>
        <w:t>Количество занятых в сфере физической культуры и спорта на 2023 г., чел.</w:t>
      </w:r>
    </w:p>
    <w:tbl>
      <w:tblPr>
        <w:tblW w:w="0" w:type="auto"/>
        <w:tblCellSpacing w:w="0" w:type="dxa"/>
        <w:tblLook w:val="04A0" w:firstRow="1" w:lastRow="0" w:firstColumn="1" w:lastColumn="0" w:noHBand="0" w:noVBand="1"/>
      </w:tblPr>
      <w:tblGrid>
        <w:gridCol w:w="6479"/>
        <w:gridCol w:w="2875"/>
      </w:tblGrid>
      <w:tr w:rsidR="00902F18" w:rsidRPr="00731FE2" w14:paraId="118D62AD" w14:textId="77777777" w:rsidTr="00902F18">
        <w:trPr>
          <w:tblCellSpacing w:w="0" w:type="dxa"/>
        </w:trPr>
        <w:tc>
          <w:tcPr>
            <w:tcW w:w="6479" w:type="dxa"/>
            <w:tcBorders>
              <w:top w:val="single" w:sz="8" w:space="0" w:color="000000"/>
              <w:left w:val="single" w:sz="8" w:space="0" w:color="000000"/>
              <w:bottom w:val="single" w:sz="8" w:space="0" w:color="000000"/>
              <w:right w:val="single" w:sz="8" w:space="0" w:color="000000"/>
            </w:tcBorders>
            <w:vAlign w:val="center"/>
            <w:hideMark/>
          </w:tcPr>
          <w:p w14:paraId="33ACFB35"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b/>
                <w:bCs/>
                <w:color w:val="000000"/>
                <w:sz w:val="22"/>
                <w:lang w:eastAsia="ru-RU"/>
              </w:rPr>
              <w:t xml:space="preserve">Показатель </w:t>
            </w:r>
          </w:p>
        </w:tc>
        <w:tc>
          <w:tcPr>
            <w:tcW w:w="2875" w:type="dxa"/>
            <w:tcBorders>
              <w:top w:val="single" w:sz="8" w:space="0" w:color="000000"/>
              <w:left w:val="nil"/>
              <w:bottom w:val="single" w:sz="8" w:space="0" w:color="000000"/>
              <w:right w:val="single" w:sz="8" w:space="0" w:color="000000"/>
            </w:tcBorders>
            <w:vAlign w:val="center"/>
            <w:hideMark/>
          </w:tcPr>
          <w:p w14:paraId="0E2DE3EB"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b/>
                <w:bCs/>
                <w:color w:val="000000"/>
                <w:sz w:val="22"/>
                <w:lang w:eastAsia="ru-RU"/>
              </w:rPr>
              <w:t>Численность, чел.</w:t>
            </w:r>
          </w:p>
        </w:tc>
      </w:tr>
      <w:tr w:rsidR="00902F18" w:rsidRPr="00731FE2" w14:paraId="18841F12" w14:textId="77777777" w:rsidTr="00902F18">
        <w:trPr>
          <w:tblCellSpacing w:w="0" w:type="dxa"/>
        </w:trPr>
        <w:tc>
          <w:tcPr>
            <w:tcW w:w="6479" w:type="dxa"/>
            <w:tcBorders>
              <w:top w:val="nil"/>
              <w:left w:val="single" w:sz="8" w:space="0" w:color="000000"/>
              <w:bottom w:val="single" w:sz="8" w:space="0" w:color="000000"/>
              <w:right w:val="single" w:sz="8" w:space="0" w:color="000000"/>
            </w:tcBorders>
            <w:vAlign w:val="center"/>
            <w:hideMark/>
          </w:tcPr>
          <w:p w14:paraId="780F3214" w14:textId="77777777" w:rsidR="00902F18" w:rsidRPr="00731FE2" w:rsidRDefault="00902F18" w:rsidP="00902F18">
            <w:pPr>
              <w:spacing w:line="240" w:lineRule="auto"/>
              <w:ind w:firstLine="0"/>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Работников физической культуры, всего:</w:t>
            </w:r>
          </w:p>
        </w:tc>
        <w:tc>
          <w:tcPr>
            <w:tcW w:w="2875" w:type="dxa"/>
            <w:tcBorders>
              <w:top w:val="nil"/>
              <w:left w:val="nil"/>
              <w:bottom w:val="single" w:sz="8" w:space="0" w:color="000000"/>
              <w:right w:val="single" w:sz="8" w:space="0" w:color="000000"/>
            </w:tcBorders>
            <w:vAlign w:val="center"/>
            <w:hideMark/>
          </w:tcPr>
          <w:p w14:paraId="7A01220C"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325</w:t>
            </w:r>
          </w:p>
        </w:tc>
      </w:tr>
      <w:tr w:rsidR="00902F18" w:rsidRPr="00731FE2" w14:paraId="3C099207" w14:textId="77777777" w:rsidTr="00902F18">
        <w:trPr>
          <w:tblCellSpacing w:w="0" w:type="dxa"/>
        </w:trPr>
        <w:tc>
          <w:tcPr>
            <w:tcW w:w="6479" w:type="dxa"/>
            <w:tcBorders>
              <w:top w:val="nil"/>
              <w:left w:val="single" w:sz="8" w:space="0" w:color="000000"/>
              <w:bottom w:val="single" w:sz="8" w:space="0" w:color="000000"/>
              <w:right w:val="single" w:sz="8" w:space="0" w:color="000000"/>
            </w:tcBorders>
            <w:vAlign w:val="center"/>
            <w:hideMark/>
          </w:tcPr>
          <w:p w14:paraId="1FA8C0FF" w14:textId="77777777" w:rsidR="00902F18" w:rsidRPr="00731FE2" w:rsidRDefault="00902F18" w:rsidP="00902F18">
            <w:pPr>
              <w:spacing w:line="240" w:lineRule="auto"/>
              <w:ind w:firstLine="0"/>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в том числе:</w:t>
            </w:r>
          </w:p>
        </w:tc>
        <w:tc>
          <w:tcPr>
            <w:tcW w:w="2875" w:type="dxa"/>
            <w:tcBorders>
              <w:top w:val="nil"/>
              <w:left w:val="nil"/>
              <w:bottom w:val="single" w:sz="8" w:space="0" w:color="000000"/>
              <w:right w:val="single" w:sz="8" w:space="0" w:color="000000"/>
            </w:tcBorders>
            <w:vAlign w:val="center"/>
            <w:hideMark/>
          </w:tcPr>
          <w:p w14:paraId="2800A6BE"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szCs w:val="24"/>
                <w:lang w:eastAsia="ru-RU"/>
              </w:rPr>
              <w:t> </w:t>
            </w:r>
          </w:p>
        </w:tc>
      </w:tr>
      <w:tr w:rsidR="00902F18" w:rsidRPr="00731FE2" w14:paraId="6D2AFFC4" w14:textId="77777777" w:rsidTr="00902F18">
        <w:trPr>
          <w:tblCellSpacing w:w="0" w:type="dxa"/>
        </w:trPr>
        <w:tc>
          <w:tcPr>
            <w:tcW w:w="6479" w:type="dxa"/>
            <w:tcBorders>
              <w:top w:val="nil"/>
              <w:left w:val="single" w:sz="8" w:space="0" w:color="000000"/>
              <w:bottom w:val="single" w:sz="8" w:space="0" w:color="000000"/>
              <w:right w:val="single" w:sz="8" w:space="0" w:color="000000"/>
            </w:tcBorders>
            <w:vAlign w:val="center"/>
            <w:hideMark/>
          </w:tcPr>
          <w:p w14:paraId="5633E990" w14:textId="77777777" w:rsidR="00902F18" w:rsidRPr="00731FE2" w:rsidRDefault="00902F18" w:rsidP="00902F18">
            <w:pPr>
              <w:spacing w:line="240" w:lineRule="auto"/>
              <w:ind w:firstLine="0"/>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в детских дошкольных учреждениях</w:t>
            </w:r>
          </w:p>
        </w:tc>
        <w:tc>
          <w:tcPr>
            <w:tcW w:w="2875" w:type="dxa"/>
            <w:tcBorders>
              <w:top w:val="nil"/>
              <w:left w:val="nil"/>
              <w:bottom w:val="single" w:sz="8" w:space="0" w:color="000000"/>
              <w:right w:val="single" w:sz="8" w:space="0" w:color="000000"/>
            </w:tcBorders>
            <w:vAlign w:val="center"/>
            <w:hideMark/>
          </w:tcPr>
          <w:p w14:paraId="20941D0B"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9</w:t>
            </w:r>
          </w:p>
        </w:tc>
      </w:tr>
      <w:tr w:rsidR="00902F18" w:rsidRPr="00731FE2" w14:paraId="583E8F1D" w14:textId="77777777" w:rsidTr="00902F18">
        <w:trPr>
          <w:tblCellSpacing w:w="0" w:type="dxa"/>
        </w:trPr>
        <w:tc>
          <w:tcPr>
            <w:tcW w:w="6479" w:type="dxa"/>
            <w:tcBorders>
              <w:top w:val="nil"/>
              <w:left w:val="single" w:sz="8" w:space="0" w:color="000000"/>
              <w:bottom w:val="single" w:sz="8" w:space="0" w:color="000000"/>
              <w:right w:val="single" w:sz="8" w:space="0" w:color="000000"/>
            </w:tcBorders>
            <w:vAlign w:val="center"/>
            <w:hideMark/>
          </w:tcPr>
          <w:p w14:paraId="25A2FB10" w14:textId="77777777" w:rsidR="00902F18" w:rsidRPr="00731FE2" w:rsidRDefault="00902F18" w:rsidP="00902F18">
            <w:pPr>
              <w:spacing w:line="240" w:lineRule="auto"/>
              <w:ind w:firstLine="0"/>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в общеобразовательных школах</w:t>
            </w:r>
          </w:p>
        </w:tc>
        <w:tc>
          <w:tcPr>
            <w:tcW w:w="2875" w:type="dxa"/>
            <w:tcBorders>
              <w:top w:val="nil"/>
              <w:left w:val="nil"/>
              <w:bottom w:val="single" w:sz="8" w:space="0" w:color="000000"/>
              <w:right w:val="single" w:sz="8" w:space="0" w:color="000000"/>
            </w:tcBorders>
            <w:vAlign w:val="center"/>
            <w:hideMark/>
          </w:tcPr>
          <w:p w14:paraId="78866E33"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48</w:t>
            </w:r>
          </w:p>
        </w:tc>
      </w:tr>
      <w:tr w:rsidR="00902F18" w:rsidRPr="00731FE2" w14:paraId="4534C9F9" w14:textId="77777777" w:rsidTr="00902F18">
        <w:trPr>
          <w:tblCellSpacing w:w="0" w:type="dxa"/>
        </w:trPr>
        <w:tc>
          <w:tcPr>
            <w:tcW w:w="6479" w:type="dxa"/>
            <w:tcBorders>
              <w:top w:val="nil"/>
              <w:left w:val="single" w:sz="8" w:space="0" w:color="000000"/>
              <w:bottom w:val="single" w:sz="8" w:space="0" w:color="000000"/>
              <w:right w:val="single" w:sz="8" w:space="0" w:color="000000"/>
            </w:tcBorders>
            <w:vAlign w:val="center"/>
            <w:hideMark/>
          </w:tcPr>
          <w:p w14:paraId="73053DA6" w14:textId="77777777" w:rsidR="00902F18" w:rsidRPr="00731FE2" w:rsidRDefault="00902F18" w:rsidP="00902F18">
            <w:pPr>
              <w:spacing w:line="240" w:lineRule="auto"/>
              <w:ind w:firstLine="0"/>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в учреждениях профессионального образования</w:t>
            </w:r>
          </w:p>
        </w:tc>
        <w:tc>
          <w:tcPr>
            <w:tcW w:w="2875" w:type="dxa"/>
            <w:tcBorders>
              <w:top w:val="nil"/>
              <w:left w:val="nil"/>
              <w:bottom w:val="single" w:sz="8" w:space="0" w:color="000000"/>
              <w:right w:val="single" w:sz="8" w:space="0" w:color="000000"/>
            </w:tcBorders>
            <w:vAlign w:val="center"/>
            <w:hideMark/>
          </w:tcPr>
          <w:p w14:paraId="2B1AFBA6"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w:t>
            </w:r>
          </w:p>
        </w:tc>
      </w:tr>
      <w:tr w:rsidR="00902F18" w:rsidRPr="00731FE2" w14:paraId="0FD75CFA" w14:textId="77777777" w:rsidTr="00902F18">
        <w:trPr>
          <w:tblCellSpacing w:w="0" w:type="dxa"/>
        </w:trPr>
        <w:tc>
          <w:tcPr>
            <w:tcW w:w="6479" w:type="dxa"/>
            <w:tcBorders>
              <w:top w:val="nil"/>
              <w:left w:val="single" w:sz="8" w:space="0" w:color="000000"/>
              <w:bottom w:val="single" w:sz="8" w:space="0" w:color="000000"/>
              <w:right w:val="single" w:sz="8" w:space="0" w:color="000000"/>
            </w:tcBorders>
            <w:vAlign w:val="center"/>
            <w:hideMark/>
          </w:tcPr>
          <w:p w14:paraId="153537EA" w14:textId="77777777" w:rsidR="00902F18" w:rsidRPr="00731FE2" w:rsidRDefault="00902F18" w:rsidP="00902F18">
            <w:pPr>
              <w:spacing w:line="240" w:lineRule="auto"/>
              <w:ind w:firstLine="0"/>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в средних специальных учебных заведениях</w:t>
            </w:r>
          </w:p>
        </w:tc>
        <w:tc>
          <w:tcPr>
            <w:tcW w:w="2875" w:type="dxa"/>
            <w:tcBorders>
              <w:top w:val="nil"/>
              <w:left w:val="nil"/>
              <w:bottom w:val="single" w:sz="8" w:space="0" w:color="000000"/>
              <w:right w:val="single" w:sz="8" w:space="0" w:color="000000"/>
            </w:tcBorders>
            <w:vAlign w:val="center"/>
            <w:hideMark/>
          </w:tcPr>
          <w:p w14:paraId="35AED969"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19</w:t>
            </w:r>
          </w:p>
        </w:tc>
      </w:tr>
      <w:tr w:rsidR="00902F18" w:rsidRPr="00731FE2" w14:paraId="05EC9C9C" w14:textId="77777777" w:rsidTr="00902F18">
        <w:trPr>
          <w:tblCellSpacing w:w="0" w:type="dxa"/>
        </w:trPr>
        <w:tc>
          <w:tcPr>
            <w:tcW w:w="6479" w:type="dxa"/>
            <w:tcBorders>
              <w:top w:val="nil"/>
              <w:left w:val="single" w:sz="8" w:space="0" w:color="000000"/>
              <w:bottom w:val="single" w:sz="8" w:space="0" w:color="000000"/>
              <w:right w:val="single" w:sz="8" w:space="0" w:color="000000"/>
            </w:tcBorders>
            <w:vAlign w:val="center"/>
            <w:hideMark/>
          </w:tcPr>
          <w:p w14:paraId="54168F67" w14:textId="77777777" w:rsidR="00902F18" w:rsidRPr="00731FE2" w:rsidRDefault="00902F18" w:rsidP="00902F18">
            <w:pPr>
              <w:spacing w:line="240" w:lineRule="auto"/>
              <w:ind w:firstLine="0"/>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 xml:space="preserve">в высших учебных заведениях </w:t>
            </w:r>
          </w:p>
        </w:tc>
        <w:tc>
          <w:tcPr>
            <w:tcW w:w="2875" w:type="dxa"/>
            <w:tcBorders>
              <w:top w:val="nil"/>
              <w:left w:val="nil"/>
              <w:bottom w:val="single" w:sz="8" w:space="0" w:color="000000"/>
              <w:right w:val="single" w:sz="8" w:space="0" w:color="000000"/>
            </w:tcBorders>
            <w:vAlign w:val="center"/>
            <w:hideMark/>
          </w:tcPr>
          <w:p w14:paraId="00883F2F"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w:t>
            </w:r>
          </w:p>
        </w:tc>
      </w:tr>
      <w:tr w:rsidR="00902F18" w:rsidRPr="00731FE2" w14:paraId="3D45EC27" w14:textId="77777777" w:rsidTr="00902F18">
        <w:trPr>
          <w:tblCellSpacing w:w="0" w:type="dxa"/>
        </w:trPr>
        <w:tc>
          <w:tcPr>
            <w:tcW w:w="6479" w:type="dxa"/>
            <w:tcBorders>
              <w:top w:val="nil"/>
              <w:left w:val="single" w:sz="8" w:space="0" w:color="000000"/>
              <w:bottom w:val="single" w:sz="8" w:space="0" w:color="000000"/>
              <w:right w:val="single" w:sz="8" w:space="0" w:color="000000"/>
            </w:tcBorders>
            <w:vAlign w:val="center"/>
            <w:hideMark/>
          </w:tcPr>
          <w:p w14:paraId="6140B86E" w14:textId="77777777" w:rsidR="00902F18" w:rsidRPr="00731FE2" w:rsidRDefault="00902F18" w:rsidP="00902F18">
            <w:pPr>
              <w:spacing w:line="240" w:lineRule="auto"/>
              <w:ind w:firstLine="0"/>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тренеров-преподавателей по спорту</w:t>
            </w:r>
          </w:p>
        </w:tc>
        <w:tc>
          <w:tcPr>
            <w:tcW w:w="2875" w:type="dxa"/>
            <w:tcBorders>
              <w:top w:val="nil"/>
              <w:left w:val="nil"/>
              <w:bottom w:val="single" w:sz="8" w:space="0" w:color="000000"/>
              <w:right w:val="single" w:sz="8" w:space="0" w:color="000000"/>
            </w:tcBorders>
            <w:vAlign w:val="center"/>
            <w:hideMark/>
          </w:tcPr>
          <w:p w14:paraId="0AF03C4C"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60</w:t>
            </w:r>
          </w:p>
        </w:tc>
      </w:tr>
      <w:tr w:rsidR="00902F18" w:rsidRPr="00731FE2" w14:paraId="6427C390" w14:textId="77777777" w:rsidTr="00902F18">
        <w:trPr>
          <w:tblCellSpacing w:w="0" w:type="dxa"/>
        </w:trPr>
        <w:tc>
          <w:tcPr>
            <w:tcW w:w="6479" w:type="dxa"/>
            <w:tcBorders>
              <w:top w:val="nil"/>
              <w:left w:val="single" w:sz="8" w:space="0" w:color="000000"/>
              <w:bottom w:val="single" w:sz="8" w:space="0" w:color="000000"/>
              <w:right w:val="single" w:sz="8" w:space="0" w:color="000000"/>
            </w:tcBorders>
            <w:vAlign w:val="center"/>
            <w:hideMark/>
          </w:tcPr>
          <w:p w14:paraId="3E816504" w14:textId="77777777" w:rsidR="00902F18" w:rsidRPr="00731FE2" w:rsidRDefault="00902F18" w:rsidP="00902F18">
            <w:pPr>
              <w:spacing w:line="240" w:lineRule="auto"/>
              <w:ind w:firstLine="0"/>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работников спортивных сооружений</w:t>
            </w:r>
          </w:p>
        </w:tc>
        <w:tc>
          <w:tcPr>
            <w:tcW w:w="2875" w:type="dxa"/>
            <w:tcBorders>
              <w:top w:val="nil"/>
              <w:left w:val="nil"/>
              <w:bottom w:val="single" w:sz="8" w:space="0" w:color="000000"/>
              <w:right w:val="single" w:sz="8" w:space="0" w:color="000000"/>
            </w:tcBorders>
            <w:vAlign w:val="center"/>
            <w:hideMark/>
          </w:tcPr>
          <w:p w14:paraId="050D23EC"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34</w:t>
            </w:r>
          </w:p>
        </w:tc>
      </w:tr>
      <w:tr w:rsidR="00902F18" w:rsidRPr="00731FE2" w14:paraId="1F64E816" w14:textId="77777777" w:rsidTr="00902F18">
        <w:trPr>
          <w:tblCellSpacing w:w="0" w:type="dxa"/>
        </w:trPr>
        <w:tc>
          <w:tcPr>
            <w:tcW w:w="6479" w:type="dxa"/>
            <w:tcBorders>
              <w:top w:val="nil"/>
              <w:left w:val="single" w:sz="8" w:space="0" w:color="000000"/>
              <w:bottom w:val="single" w:sz="8" w:space="0" w:color="000000"/>
              <w:right w:val="single" w:sz="8" w:space="0" w:color="000000"/>
            </w:tcBorders>
            <w:vAlign w:val="center"/>
            <w:hideMark/>
          </w:tcPr>
          <w:p w14:paraId="6486594E" w14:textId="77777777" w:rsidR="00902F18" w:rsidRPr="00731FE2" w:rsidRDefault="00902F18" w:rsidP="00902F18">
            <w:pPr>
              <w:spacing w:line="240" w:lineRule="auto"/>
              <w:ind w:firstLine="0"/>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прочих</w:t>
            </w:r>
          </w:p>
        </w:tc>
        <w:tc>
          <w:tcPr>
            <w:tcW w:w="2875" w:type="dxa"/>
            <w:tcBorders>
              <w:top w:val="nil"/>
              <w:left w:val="nil"/>
              <w:bottom w:val="single" w:sz="8" w:space="0" w:color="000000"/>
              <w:right w:val="single" w:sz="8" w:space="0" w:color="000000"/>
            </w:tcBorders>
            <w:vAlign w:val="center"/>
            <w:hideMark/>
          </w:tcPr>
          <w:p w14:paraId="111CF80E" w14:textId="77777777" w:rsidR="00902F18" w:rsidRPr="00731FE2" w:rsidRDefault="00902F18" w:rsidP="00902F18">
            <w:pPr>
              <w:spacing w:line="240" w:lineRule="auto"/>
              <w:ind w:firstLine="0"/>
              <w:jc w:val="cente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 w:val="22"/>
                <w:lang w:eastAsia="ru-RU"/>
              </w:rPr>
              <w:t>155</w:t>
            </w:r>
          </w:p>
        </w:tc>
      </w:tr>
    </w:tbl>
    <w:p w14:paraId="7D2853E7" w14:textId="77777777" w:rsidR="009B6BDD" w:rsidRPr="00731FE2" w:rsidRDefault="009B6BDD" w:rsidP="00902F18">
      <w:pPr>
        <w:spacing w:line="240" w:lineRule="auto"/>
        <w:rPr>
          <w:rFonts w:ascii="Times New Roman" w:eastAsia="Times New Roman" w:hAnsi="Times New Roman" w:cs="Times New Roman"/>
          <w:color w:val="000000"/>
          <w:szCs w:val="24"/>
          <w:lang w:eastAsia="ru-RU"/>
        </w:rPr>
      </w:pPr>
    </w:p>
    <w:p w14:paraId="0F27C2CD" w14:textId="77777777" w:rsidR="00902F18" w:rsidRPr="00731FE2" w:rsidRDefault="00902F18" w:rsidP="009B6BDD">
      <w:pP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Cs w:val="24"/>
          <w:lang w:eastAsia="ru-RU"/>
        </w:rPr>
        <w:t>Основные проблемы и нерешенные вопросы отрасли:</w:t>
      </w:r>
    </w:p>
    <w:p w14:paraId="0368EBF2" w14:textId="77777777" w:rsidR="00902F18" w:rsidRPr="00731FE2" w:rsidRDefault="00902F18" w:rsidP="009B6BDD">
      <w:pP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Cs w:val="24"/>
          <w:lang w:eastAsia="ru-RU"/>
        </w:rPr>
        <w:t>- несоответствие существующих пришкольных стадионов современным требованиям и стандартам.</w:t>
      </w:r>
    </w:p>
    <w:p w14:paraId="6B30629A" w14:textId="77777777" w:rsidR="00902F18" w:rsidRPr="00731FE2" w:rsidRDefault="00902F18" w:rsidP="009B6BDD">
      <w:pP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Cs w:val="24"/>
          <w:lang w:eastAsia="ru-RU"/>
        </w:rPr>
        <w:t>- отсутствие стандартных муниципальных футбольных полей;</w:t>
      </w:r>
    </w:p>
    <w:p w14:paraId="3A4396EC" w14:textId="77777777" w:rsidR="00902F18" w:rsidRPr="00731FE2" w:rsidRDefault="00902F18" w:rsidP="009B6BDD">
      <w:pP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Cs w:val="24"/>
          <w:lang w:eastAsia="ru-RU"/>
        </w:rPr>
        <w:t>- недостаточное количество плоскостных спортивных сооружений;</w:t>
      </w:r>
    </w:p>
    <w:p w14:paraId="4E01A1A4" w14:textId="77777777" w:rsidR="00902F18" w:rsidRPr="00731FE2" w:rsidRDefault="00902F18" w:rsidP="009B6BDD">
      <w:pPr>
        <w:rPr>
          <w:rFonts w:ascii="Times New Roman" w:eastAsia="Times New Roman" w:hAnsi="Times New Roman" w:cs="Times New Roman"/>
          <w:b/>
          <w:szCs w:val="24"/>
          <w:lang w:eastAsia="ru-RU"/>
        </w:rPr>
      </w:pPr>
      <w:r w:rsidRPr="00731FE2">
        <w:rPr>
          <w:rFonts w:ascii="Times New Roman" w:eastAsia="Times New Roman" w:hAnsi="Times New Roman" w:cs="Times New Roman"/>
          <w:b/>
          <w:color w:val="000000"/>
          <w:szCs w:val="24"/>
          <w:lang w:eastAsia="ru-RU"/>
        </w:rPr>
        <w:t>Исходя из этих проблем, в настоящем Генеральном плане городского округа города-курорта Кисловодска сформирован перечень проектных предложений, приведенный в Томе 1. Положение о территориальном планировании.</w:t>
      </w:r>
    </w:p>
    <w:p w14:paraId="2FA2FC7A" w14:textId="77777777" w:rsidR="00902F18" w:rsidRPr="00731FE2" w:rsidRDefault="00902F18" w:rsidP="009B6BDD">
      <w:pPr>
        <w:ind w:left="709" w:firstLine="0"/>
        <w:rPr>
          <w:rFonts w:ascii="Times New Roman" w:eastAsia="Times New Roman" w:hAnsi="Times New Roman" w:cs="Times New Roman"/>
          <w:szCs w:val="24"/>
          <w:lang w:eastAsia="ru-RU"/>
        </w:rPr>
      </w:pPr>
      <w:bookmarkStart w:id="34" w:name="_Toc31"/>
      <w:r w:rsidRPr="00731FE2">
        <w:rPr>
          <w:rFonts w:ascii="Times New Roman" w:eastAsia="Times New Roman" w:hAnsi="Times New Roman" w:cs="Times New Roman"/>
          <w:color w:val="7F7F7F"/>
          <w:szCs w:val="24"/>
          <w:lang w:eastAsia="ru-RU"/>
        </w:rPr>
        <w:t>2.8.5 Социальное обслуживание населения</w:t>
      </w:r>
      <w:bookmarkEnd w:id="34"/>
    </w:p>
    <w:p w14:paraId="1ABC9D61" w14:textId="77777777" w:rsidR="00902F18" w:rsidRPr="00731FE2" w:rsidRDefault="00902F18" w:rsidP="009B6BDD">
      <w:pPr>
        <w:rPr>
          <w:rFonts w:ascii="Times New Roman" w:eastAsia="Times New Roman" w:hAnsi="Times New Roman" w:cs="Times New Roman"/>
          <w:szCs w:val="24"/>
          <w:lang w:eastAsia="ru-RU"/>
        </w:rPr>
      </w:pPr>
      <w:r w:rsidRPr="00731FE2">
        <w:rPr>
          <w:rFonts w:ascii="Times New Roman" w:eastAsia="Times New Roman" w:hAnsi="Times New Roman" w:cs="Times New Roman"/>
          <w:color w:val="000000"/>
          <w:szCs w:val="24"/>
          <w:lang w:eastAsia="ru-RU"/>
        </w:rPr>
        <w:t>Система социального обслуживания населения Кисловодска включает в себя: учреждение социального обслуживания «Кисловодский комплексный центр социального обслуживания населения», 5 пансионатов для пожилых людей, ГКУ «Детский дом № 31» 2 дома-интерната, 17 реабилитационных центров.</w:t>
      </w:r>
      <w:r w:rsidR="009B6BDD" w:rsidRPr="00731FE2">
        <w:rPr>
          <w:rFonts w:ascii="Times New Roman" w:eastAsia="Times New Roman" w:hAnsi="Times New Roman" w:cs="Times New Roman"/>
          <w:color w:val="000000"/>
          <w:szCs w:val="24"/>
          <w:lang w:eastAsia="ru-RU"/>
        </w:rPr>
        <w:t xml:space="preserve"> </w:t>
      </w:r>
      <w:r w:rsidRPr="00731FE2">
        <w:rPr>
          <w:rFonts w:ascii="Times New Roman" w:eastAsia="Times New Roman" w:hAnsi="Times New Roman" w:cs="Times New Roman"/>
          <w:color w:val="000000"/>
          <w:szCs w:val="24"/>
          <w:lang w:eastAsia="ru-RU"/>
        </w:rPr>
        <w:t xml:space="preserve">Целью деятельности </w:t>
      </w:r>
      <w:r w:rsidR="009B6BDD" w:rsidRPr="00731FE2">
        <w:rPr>
          <w:rFonts w:ascii="Times New Roman" w:eastAsia="Times New Roman" w:hAnsi="Times New Roman" w:cs="Times New Roman"/>
          <w:color w:val="000000"/>
          <w:szCs w:val="24"/>
          <w:lang w:eastAsia="ru-RU"/>
        </w:rPr>
        <w:t xml:space="preserve">перечисленных </w:t>
      </w:r>
      <w:r w:rsidRPr="00731FE2">
        <w:rPr>
          <w:rFonts w:ascii="Times New Roman" w:eastAsia="Times New Roman" w:hAnsi="Times New Roman" w:cs="Times New Roman"/>
          <w:color w:val="000000"/>
          <w:szCs w:val="24"/>
          <w:lang w:eastAsia="ru-RU"/>
        </w:rPr>
        <w:t>учреждени</w:t>
      </w:r>
      <w:r w:rsidR="009B6BDD" w:rsidRPr="00731FE2">
        <w:rPr>
          <w:rFonts w:ascii="Times New Roman" w:eastAsia="Times New Roman" w:hAnsi="Times New Roman" w:cs="Times New Roman"/>
          <w:color w:val="000000"/>
          <w:szCs w:val="24"/>
          <w:lang w:eastAsia="ru-RU"/>
        </w:rPr>
        <w:t xml:space="preserve">й </w:t>
      </w:r>
      <w:r w:rsidRPr="00731FE2">
        <w:rPr>
          <w:rFonts w:ascii="Times New Roman" w:eastAsia="Times New Roman" w:hAnsi="Times New Roman" w:cs="Times New Roman"/>
          <w:color w:val="000000"/>
          <w:szCs w:val="24"/>
          <w:lang w:eastAsia="ru-RU"/>
        </w:rPr>
        <w:t xml:space="preserve">является улучшение условий жизни граждан, нуждающихся в социальной помощи и расширение их возможностей самостоятельно обеспечивать свои основные </w:t>
      </w:r>
      <w:r w:rsidRPr="00731FE2">
        <w:rPr>
          <w:rFonts w:ascii="Times New Roman" w:eastAsia="Times New Roman" w:hAnsi="Times New Roman" w:cs="Times New Roman"/>
          <w:color w:val="000000"/>
          <w:szCs w:val="24"/>
          <w:lang w:eastAsia="ru-RU"/>
        </w:rPr>
        <w:lastRenderedPageBreak/>
        <w:t>жизненные потребности. За всеми государственными бюджетными учреждениями закреплены территориальные зоны обслуживания.</w:t>
      </w:r>
    </w:p>
    <w:p w14:paraId="50EE4989" w14:textId="77777777" w:rsidR="00902F18" w:rsidRPr="00731FE2" w:rsidRDefault="00902F18" w:rsidP="009B6BDD">
      <w:pPr>
        <w:rPr>
          <w:rFonts w:ascii="Times New Roman" w:eastAsia="Times New Roman" w:hAnsi="Times New Roman" w:cs="Times New Roman"/>
          <w:szCs w:val="24"/>
          <w:lang w:eastAsia="ru-RU"/>
        </w:rPr>
      </w:pPr>
      <w:r w:rsidRPr="00731FE2">
        <w:rPr>
          <w:rFonts w:ascii="Times New Roman" w:eastAsia="Times New Roman" w:hAnsi="Times New Roman" w:cs="Times New Roman"/>
          <w:b/>
          <w:bCs/>
          <w:color w:val="000000"/>
          <w:szCs w:val="24"/>
          <w:lang w:eastAsia="ru-RU"/>
        </w:rPr>
        <w:t>Система социального обслуживания населения Кисловодска сформирована. Её инфраструктура требует улучшения материально-технического оснащения.</w:t>
      </w:r>
    </w:p>
    <w:p w14:paraId="6087E88E" w14:textId="77777777" w:rsidR="00171AA8" w:rsidRPr="00731FE2" w:rsidRDefault="00171AA8" w:rsidP="009B6BDD">
      <w:pPr>
        <w:pBdr>
          <w:top w:val="none" w:sz="4" w:space="0" w:color="000000"/>
          <w:left w:val="none" w:sz="4" w:space="0" w:color="000000"/>
          <w:bottom w:val="none" w:sz="4" w:space="0" w:color="000000"/>
          <w:right w:val="none" w:sz="4" w:space="0" w:color="000000"/>
        </w:pBdr>
        <w:tabs>
          <w:tab w:val="left" w:pos="993"/>
        </w:tabs>
        <w:rPr>
          <w:rFonts w:ascii="Times New Roman" w:eastAsia="Times New Roman" w:hAnsi="Times New Roman" w:cs="Times New Roman"/>
          <w:color w:val="000000"/>
          <w:szCs w:val="24"/>
        </w:rPr>
      </w:pPr>
    </w:p>
    <w:p w14:paraId="58F17CFB" w14:textId="77777777" w:rsidR="00171AA8" w:rsidRPr="00731FE2" w:rsidRDefault="007935AB" w:rsidP="009B6BDD">
      <w:pPr>
        <w:pStyle w:val="24"/>
        <w:rPr>
          <w:rFonts w:ascii="Times New Roman" w:hAnsi="Times New Roman" w:cs="Times New Roman"/>
        </w:rPr>
      </w:pPr>
      <w:bookmarkStart w:id="35" w:name="_Toc177392786"/>
      <w:r w:rsidRPr="00731FE2">
        <w:rPr>
          <w:rFonts w:ascii="Times New Roman" w:hAnsi="Times New Roman" w:cs="Times New Roman"/>
        </w:rPr>
        <w:t>2.9 Общая характеристика экономики городского округа</w:t>
      </w:r>
      <w:bookmarkEnd w:id="35"/>
    </w:p>
    <w:p w14:paraId="43548A84" w14:textId="77777777" w:rsidR="00171AA8" w:rsidRPr="00731FE2" w:rsidRDefault="007935AB" w:rsidP="009B6BDD">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Современная экономическая база городского округа города-курорта Кисловодска специализируется на предоставлении услуг, прежде всего, курортно-рекреационного характера. Это обусловлено наличием здесь уникальных и богатейших природных бальнеологических ресурсов.</w:t>
      </w:r>
    </w:p>
    <w:p w14:paraId="1D52C1EC" w14:textId="77777777" w:rsidR="00171AA8" w:rsidRPr="00731FE2" w:rsidRDefault="007935AB" w:rsidP="009B6BDD">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Город-курорт Кисловодск – всемирно известный и старейший бальнеологический курорт России. Он занимает лидирующее положение в туристско-рекреационной сфере среди городов Кавказских Минеральных Вод, принимая на отдых и лечение около 40% от числа всех отдыхающих в регионе КМВ.</w:t>
      </w:r>
    </w:p>
    <w:p w14:paraId="0AE637A8" w14:textId="77777777" w:rsidR="00171AA8" w:rsidRPr="00731FE2" w:rsidRDefault="007935AB" w:rsidP="009B6BDD">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 xml:space="preserve">Город-курорт Кисловодск относится к городам с незначительным развитием промышленного сектора экономики ввиду ограничений функционирования, связанных с особенностями использования лечебно-оздоровительных и курортных территорий. </w:t>
      </w:r>
    </w:p>
    <w:p w14:paraId="3CF1CEFF"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Лидирующее положение в секторе экономики города-курорта занимает сфера санаторно-курортного отдыха и реабилитации, оказывающая значительное влияние на развитие смежных отраслей, задействованных в формировании туристского продукта.</w:t>
      </w:r>
    </w:p>
    <w:p w14:paraId="239ED17F"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Перспективы развития экономической базы городского округа города-курорта Кисловодска в проекте настоящего Генерального плана базируются на предложениях программных и прогнозных документов регионального и муниципального уровней, а также градостроительных документов, действующих на территории округа на момент разработки Генерального плана.</w:t>
      </w:r>
    </w:p>
    <w:p w14:paraId="1ED7CC35"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proofErr w:type="gramStart"/>
      <w:r w:rsidRPr="00731FE2">
        <w:rPr>
          <w:rFonts w:ascii="Times New Roman" w:eastAsia="Times New Roman" w:hAnsi="Times New Roman" w:cs="Times New Roman"/>
          <w:color w:val="000000"/>
          <w:szCs w:val="24"/>
        </w:rPr>
        <w:t>В соответствии со Стратегией социально-экономического развития города-курорта Кисловодска на период до 2035 года ключевой точкой роста экономической базы города-курорта является туристско-рекреационная сфера, а стратегическим направлением перспективного развития – укрепление позиций города-курорта как ведущего отечественного курорта и места проведения деловых встреч и форумов федерального и регионального масштаба, что обеспечит приток государственных и частных инвестиций в его экономику.</w:t>
      </w:r>
      <w:proofErr w:type="gramEnd"/>
      <w:r w:rsidRPr="00731FE2">
        <w:rPr>
          <w:rFonts w:ascii="Times New Roman" w:eastAsia="Times New Roman" w:hAnsi="Times New Roman" w:cs="Times New Roman"/>
          <w:color w:val="000000"/>
          <w:szCs w:val="24"/>
        </w:rPr>
        <w:t xml:space="preserve"> Усиление статуса Кисловодска как федерального курорта и использование его потенциала будет способствовать решению приоритетной государственной задачи – снижению смертности от </w:t>
      </w:r>
      <w:proofErr w:type="gramStart"/>
      <w:r w:rsidRPr="00731FE2">
        <w:rPr>
          <w:rFonts w:ascii="Times New Roman" w:eastAsia="Times New Roman" w:hAnsi="Times New Roman" w:cs="Times New Roman"/>
          <w:color w:val="000000"/>
          <w:szCs w:val="24"/>
        </w:rPr>
        <w:t>сердечно-сосудистых</w:t>
      </w:r>
      <w:proofErr w:type="gramEnd"/>
      <w:r w:rsidRPr="00731FE2">
        <w:rPr>
          <w:rFonts w:ascii="Times New Roman" w:eastAsia="Times New Roman" w:hAnsi="Times New Roman" w:cs="Times New Roman"/>
          <w:color w:val="000000"/>
          <w:szCs w:val="24"/>
        </w:rPr>
        <w:t xml:space="preserve"> заболеваний.</w:t>
      </w:r>
    </w:p>
    <w:p w14:paraId="57C1C347"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proofErr w:type="gramStart"/>
      <w:r w:rsidRPr="00731FE2">
        <w:rPr>
          <w:rFonts w:ascii="Times New Roman" w:eastAsia="Times New Roman" w:hAnsi="Times New Roman" w:cs="Times New Roman"/>
          <w:color w:val="000000"/>
          <w:szCs w:val="24"/>
        </w:rPr>
        <w:t>В основу проектных предложений Генерального плана городского округа города-курорта Кисловодска положены прогнозные параметры в соответствии с инвестиционным сценарием социально-экономического развития города-курорта, который предполагает технологическую модернизацию существующих санаторно-курортных учреждений, предприятий туриндустрии и индустрии развлечений, а также реализацию новых инвестиционных проектов в санаторно-курортной и туристской сферах и в области сохранения благоприятной экологической ситуации.</w:t>
      </w:r>
      <w:proofErr w:type="gramEnd"/>
    </w:p>
    <w:p w14:paraId="3F6D5335"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 xml:space="preserve">В инвестиционном сценарии приоритетным направлением развития экономической базы города-курорта определено создание конкурентоспособного туристско-рекреационного хозяйства как динамичной и конкурентной сети близко локализованных </w:t>
      </w:r>
      <w:r w:rsidRPr="00731FE2">
        <w:rPr>
          <w:rFonts w:ascii="Times New Roman" w:eastAsia="Times New Roman" w:hAnsi="Times New Roman" w:cs="Times New Roman"/>
          <w:color w:val="000000"/>
          <w:szCs w:val="24"/>
        </w:rPr>
        <w:lastRenderedPageBreak/>
        <w:t xml:space="preserve">учреждений и предприятий, встраивающихся в единую воспроизводственную цепочку в целях капитализации всей собственности. </w:t>
      </w:r>
    </w:p>
    <w:p w14:paraId="601DFEFB"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Экономику городского округа города-курорта Кисловодска отличает ряд специфических и достаточно контрастных черт, определяющих как общие тенденции развития социально-экономической сферы города-курорта, так и особенности ее пространственной организации.</w:t>
      </w:r>
    </w:p>
    <w:p w14:paraId="79CBBE25"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1. Значительный экономический потенциал, который определяется, прежде всего, уникальной природно-ресурсной базой, достаточной для развития многочисленных отраслей рекреационно-туристического хозяйства (природно-климатические условия и ресурсы, наличие минеральных вод), трудоресурсный потенциал, особенности историко-географического развития и формирования территории и экономики.</w:t>
      </w:r>
    </w:p>
    <w:p w14:paraId="184A7EEA"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2. Особая роль малого и среднего предпринимательства как одного из «локомотивов» роста экономики городского округа города-курорта Кисловодска – концентрация количественных показателей по данному сегменту (число субъектов) при относительно малой роли качественных данных (относительно небольшой объем производства), при высоком потенциале для дальнейшего развития. Предпринимательство – важнейшая составляющая социально-экономической жизни округа, основа его поступательного развития.</w:t>
      </w:r>
    </w:p>
    <w:p w14:paraId="7CF39904"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 xml:space="preserve">3. </w:t>
      </w:r>
      <w:proofErr w:type="gramStart"/>
      <w:r w:rsidRPr="00731FE2">
        <w:rPr>
          <w:rFonts w:ascii="Times New Roman" w:eastAsia="Times New Roman" w:hAnsi="Times New Roman" w:cs="Times New Roman"/>
          <w:color w:val="000000"/>
          <w:szCs w:val="24"/>
        </w:rPr>
        <w:t>Сильная зависимость от внешних макроэкономических факторов – общей социально-экономической ситуации в стране, Северо-Кавказском федеральном округе, Ставропольском крае, что определяет высокую и неравнозначную амплитуду изменений социально-экономических индикаторов и неравномерность в тенденциях развития экономики округа – периоды спада в последние годы чередуются периодами относительной стабилизации и роста, что не позволяет говорить о поступательном социально-экономическом развитии последних лет.</w:t>
      </w:r>
      <w:proofErr w:type="gramEnd"/>
    </w:p>
    <w:p w14:paraId="28422FA2"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Среди крупных и средних организаций города-курорта Кисловодска (без организаций с численностью менее 15 чел.) по наблюдаемым статистикой «хозяйственным» видам экономической деятельности 75,8% всех организаций работали по итогам 2022 г. с прибылью.</w:t>
      </w:r>
    </w:p>
    <w:p w14:paraId="0E2A1306"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proofErr w:type="gramStart"/>
      <w:r w:rsidRPr="00731FE2">
        <w:rPr>
          <w:rFonts w:ascii="Times New Roman" w:eastAsia="Times New Roman" w:hAnsi="Times New Roman" w:cs="Times New Roman"/>
          <w:color w:val="000000"/>
          <w:szCs w:val="24"/>
        </w:rPr>
        <w:t>В 2022 г. отмечается рост количества прибыльных организаций (75,8%) по сравнению с 2020 г. (53,8%) или 140,9 %. В результате, показатель 2022 г. приблизился к среднегодовому показателю за 2021-2022 гг. – 80,3% по количеству прибыльных организаций города, показывая отставание на 4,5 %. Таким образом, в 2022 г. крупные и средние организации города-курорта Кисловодска практически достигли докризисного уровня, связанного с распространением коронавирусной инфекции.</w:t>
      </w:r>
      <w:proofErr w:type="gramEnd"/>
      <w:r w:rsidRPr="00731FE2">
        <w:rPr>
          <w:rFonts w:ascii="Times New Roman" w:eastAsia="Times New Roman" w:hAnsi="Times New Roman" w:cs="Times New Roman"/>
          <w:color w:val="000000"/>
          <w:szCs w:val="24"/>
        </w:rPr>
        <w:t xml:space="preserve"> Показатели свидетельствует о том, что крупные и средние организации города – курорта Кисловодска выходят на уровень стабильной деятельности, успешно справляясь со всеми современными вызовами. При этом</w:t>
      </w:r>
      <w:proofErr w:type="gramStart"/>
      <w:r w:rsidRPr="00731FE2">
        <w:rPr>
          <w:rFonts w:ascii="Times New Roman" w:eastAsia="Times New Roman" w:hAnsi="Times New Roman" w:cs="Times New Roman"/>
          <w:color w:val="000000"/>
          <w:szCs w:val="24"/>
        </w:rPr>
        <w:t>,</w:t>
      </w:r>
      <w:proofErr w:type="gramEnd"/>
      <w:r w:rsidRPr="00731FE2">
        <w:rPr>
          <w:rFonts w:ascii="Times New Roman" w:eastAsia="Times New Roman" w:hAnsi="Times New Roman" w:cs="Times New Roman"/>
          <w:color w:val="000000"/>
          <w:szCs w:val="24"/>
        </w:rPr>
        <w:t xml:space="preserve"> численность работников крупных организаций в 2022 г. составила 14230 человек и уменьшилась по сравнению с 2020 г. на 710 человек или на 4,8% (2020 г.- 14940 чел.) в виду оптимизации численности работников на крупных организациях города.</w:t>
      </w:r>
    </w:p>
    <w:p w14:paraId="7F28975B"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Подтверждением сформировавшегося общего благоприятного предпринимательского климата в городе-курорте Кисловодске являются показатели по обороту организаций и объему отгруженных товаров.</w:t>
      </w:r>
    </w:p>
    <w:p w14:paraId="53437784" w14:textId="77777777" w:rsidR="00171AA8" w:rsidRPr="00731FE2" w:rsidRDefault="00171AA8">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p>
    <w:p w14:paraId="5E4CEDB9" w14:textId="77777777" w:rsidR="00171AA8" w:rsidRPr="00731FE2" w:rsidRDefault="007935AB">
      <w:pPr>
        <w:pBdr>
          <w:top w:val="none" w:sz="4" w:space="0" w:color="000000"/>
          <w:left w:val="none" w:sz="4" w:space="0" w:color="000000"/>
          <w:bottom w:val="none" w:sz="4" w:space="0" w:color="000000"/>
          <w:right w:val="none" w:sz="4" w:space="0" w:color="000000"/>
        </w:pBdr>
        <w:spacing w:line="240" w:lineRule="auto"/>
        <w:ind w:firstLine="0"/>
        <w:rPr>
          <w:rFonts w:ascii="Times New Roman" w:eastAsia="Times New Roman" w:hAnsi="Times New Roman" w:cs="Times New Roman"/>
          <w:b/>
          <w:bCs/>
          <w:color w:val="000000"/>
          <w:szCs w:val="24"/>
        </w:rPr>
      </w:pPr>
      <w:r w:rsidRPr="00731FE2">
        <w:rPr>
          <w:rFonts w:ascii="Times New Roman" w:eastAsia="Times New Roman" w:hAnsi="Times New Roman" w:cs="Times New Roman"/>
          <w:b/>
          <w:bCs/>
          <w:color w:val="000000"/>
          <w:szCs w:val="24"/>
        </w:rPr>
        <w:lastRenderedPageBreak/>
        <w:t xml:space="preserve">Таблица </w:t>
      </w:r>
      <w:r w:rsidRPr="00731FE2">
        <w:rPr>
          <w:rFonts w:ascii="Times New Roman" w:eastAsia="Times New Roman" w:hAnsi="Times New Roman" w:cs="Times New Roman"/>
          <w:b/>
          <w:bCs/>
          <w:color w:val="000000"/>
          <w:szCs w:val="24"/>
        </w:rPr>
        <w:fldChar w:fldCharType="begin"/>
      </w:r>
      <w:r w:rsidRPr="00731FE2">
        <w:rPr>
          <w:rFonts w:ascii="Times New Roman" w:eastAsia="Times New Roman" w:hAnsi="Times New Roman" w:cs="Times New Roman"/>
          <w:b/>
          <w:bCs/>
          <w:color w:val="000000"/>
          <w:szCs w:val="24"/>
        </w:rPr>
        <w:instrText xml:space="preserve"> SEQ Таблица \* Arabic </w:instrText>
      </w:r>
      <w:r w:rsidRPr="00731FE2">
        <w:rPr>
          <w:rFonts w:ascii="Times New Roman" w:eastAsia="Times New Roman" w:hAnsi="Times New Roman" w:cs="Times New Roman"/>
          <w:b/>
          <w:bCs/>
          <w:color w:val="000000"/>
          <w:szCs w:val="24"/>
        </w:rPr>
        <w:fldChar w:fldCharType="separate"/>
      </w:r>
      <w:r w:rsidR="00C50915" w:rsidRPr="00731FE2">
        <w:rPr>
          <w:rFonts w:ascii="Times New Roman" w:eastAsia="Times New Roman" w:hAnsi="Times New Roman" w:cs="Times New Roman"/>
          <w:b/>
          <w:bCs/>
          <w:noProof/>
          <w:color w:val="000000"/>
          <w:szCs w:val="24"/>
        </w:rPr>
        <w:t>19</w:t>
      </w:r>
      <w:r w:rsidRPr="00731FE2">
        <w:rPr>
          <w:rFonts w:ascii="Times New Roman" w:eastAsia="Times New Roman" w:hAnsi="Times New Roman" w:cs="Times New Roman"/>
          <w:b/>
          <w:bCs/>
          <w:color w:val="000000"/>
          <w:szCs w:val="24"/>
        </w:rPr>
        <w:fldChar w:fldCharType="end"/>
      </w:r>
      <w:r w:rsidRPr="00731FE2">
        <w:rPr>
          <w:rFonts w:ascii="Times New Roman" w:eastAsia="Times New Roman" w:hAnsi="Times New Roman" w:cs="Times New Roman"/>
          <w:b/>
          <w:bCs/>
          <w:color w:val="000000"/>
          <w:szCs w:val="24"/>
        </w:rPr>
        <w:t xml:space="preserve"> – Объем отгруженных товаров собственного производства, выполненных работ и услуг, по основным видам деятельности крупными и средними предприятиями и организациям городского округа города-курорта Кисловодска в 2022 – 2023 гг. (</w:t>
      </w:r>
      <w:proofErr w:type="gramStart"/>
      <w:r w:rsidRPr="00731FE2">
        <w:rPr>
          <w:rFonts w:ascii="Times New Roman" w:eastAsia="Times New Roman" w:hAnsi="Times New Roman" w:cs="Times New Roman"/>
          <w:b/>
          <w:bCs/>
          <w:color w:val="000000"/>
          <w:szCs w:val="24"/>
        </w:rPr>
        <w:t>млн</w:t>
      </w:r>
      <w:proofErr w:type="gramEnd"/>
      <w:r w:rsidRPr="00731FE2">
        <w:rPr>
          <w:rFonts w:ascii="Times New Roman" w:eastAsia="Times New Roman" w:hAnsi="Times New Roman" w:cs="Times New Roman"/>
          <w:b/>
          <w:bCs/>
          <w:color w:val="000000"/>
          <w:szCs w:val="24"/>
        </w:rPr>
        <w:t xml:space="preserve"> руб.)</w:t>
      </w:r>
      <w:r w:rsidRPr="00731FE2">
        <w:rPr>
          <w:rFonts w:ascii="Times New Roman" w:eastAsia="Times New Roman" w:hAnsi="Times New Roman" w:cs="Times New Roman"/>
          <w:b/>
          <w:bCs/>
          <w:color w:val="000000"/>
          <w:szCs w:val="24"/>
          <w:vertAlign w:val="superscript"/>
        </w:rPr>
        <w:footnoteReference w:id="39"/>
      </w:r>
    </w:p>
    <w:tbl>
      <w:tblPr>
        <w:tblStyle w:val="afe"/>
        <w:tblW w:w="9355" w:type="dxa"/>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ayout w:type="fixed"/>
        <w:tblLook w:val="04A0" w:firstRow="1" w:lastRow="0" w:firstColumn="1" w:lastColumn="0" w:noHBand="0" w:noVBand="1"/>
      </w:tblPr>
      <w:tblGrid>
        <w:gridCol w:w="846"/>
        <w:gridCol w:w="4536"/>
        <w:gridCol w:w="1324"/>
        <w:gridCol w:w="1324"/>
        <w:gridCol w:w="1325"/>
      </w:tblGrid>
      <w:tr w:rsidR="00171AA8" w:rsidRPr="00731FE2" w14:paraId="7AB797AD" w14:textId="77777777" w:rsidTr="00E13A80">
        <w:trPr>
          <w:trHeight w:val="966"/>
        </w:trPr>
        <w:tc>
          <w:tcPr>
            <w:tcW w:w="8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848CC31" w14:textId="77777777" w:rsidR="00171AA8" w:rsidRPr="00731FE2" w:rsidRDefault="007935AB" w:rsidP="00E13A80">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b/>
                <w:color w:val="000000"/>
                <w:sz w:val="22"/>
              </w:rPr>
            </w:pPr>
            <w:r w:rsidRPr="00731FE2">
              <w:rPr>
                <w:rFonts w:ascii="Times New Roman" w:eastAsia="Times New Roman" w:hAnsi="Times New Roman" w:cs="Times New Roman"/>
                <w:b/>
                <w:color w:val="000000"/>
                <w:sz w:val="22"/>
              </w:rPr>
              <w:t xml:space="preserve">№ </w:t>
            </w:r>
            <w:proofErr w:type="gramStart"/>
            <w:r w:rsidRPr="00731FE2">
              <w:rPr>
                <w:rFonts w:ascii="Times New Roman" w:eastAsia="Times New Roman" w:hAnsi="Times New Roman" w:cs="Times New Roman"/>
                <w:b/>
                <w:color w:val="000000"/>
                <w:sz w:val="22"/>
              </w:rPr>
              <w:t>п</w:t>
            </w:r>
            <w:proofErr w:type="gramEnd"/>
            <w:r w:rsidRPr="00731FE2">
              <w:rPr>
                <w:rFonts w:ascii="Times New Roman" w:eastAsia="Times New Roman" w:hAnsi="Times New Roman" w:cs="Times New Roman"/>
                <w:b/>
                <w:color w:val="000000"/>
                <w:sz w:val="22"/>
              </w:rPr>
              <w:t>/п</w:t>
            </w:r>
          </w:p>
        </w:tc>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BCE428D" w14:textId="77777777" w:rsidR="00171AA8" w:rsidRPr="00731FE2" w:rsidRDefault="007935AB" w:rsidP="00E13A80">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b/>
                <w:color w:val="000000"/>
                <w:sz w:val="22"/>
              </w:rPr>
            </w:pPr>
            <w:r w:rsidRPr="00731FE2">
              <w:rPr>
                <w:rFonts w:ascii="Times New Roman" w:eastAsia="Times New Roman" w:hAnsi="Times New Roman" w:cs="Times New Roman"/>
                <w:b/>
                <w:color w:val="000000"/>
                <w:sz w:val="22"/>
              </w:rPr>
              <w:t>Наименование</w:t>
            </w:r>
          </w:p>
        </w:tc>
        <w:tc>
          <w:tcPr>
            <w:tcW w:w="13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2DBF164" w14:textId="77777777" w:rsidR="00171AA8" w:rsidRPr="00731FE2" w:rsidRDefault="007935AB" w:rsidP="00E13A80">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b/>
                <w:color w:val="000000"/>
                <w:sz w:val="22"/>
              </w:rPr>
            </w:pPr>
            <w:r w:rsidRPr="00731FE2">
              <w:rPr>
                <w:rFonts w:ascii="Times New Roman" w:eastAsia="Times New Roman" w:hAnsi="Times New Roman" w:cs="Times New Roman"/>
                <w:b/>
                <w:color w:val="000000"/>
                <w:sz w:val="22"/>
              </w:rPr>
              <w:t>2022</w:t>
            </w:r>
          </w:p>
        </w:tc>
        <w:tc>
          <w:tcPr>
            <w:tcW w:w="13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AC85ED2" w14:textId="77777777" w:rsidR="00171AA8" w:rsidRPr="00731FE2" w:rsidRDefault="007935AB" w:rsidP="00E13A80">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b/>
                <w:color w:val="000000"/>
                <w:sz w:val="22"/>
              </w:rPr>
            </w:pPr>
            <w:r w:rsidRPr="00731FE2">
              <w:rPr>
                <w:rFonts w:ascii="Times New Roman" w:eastAsia="Times New Roman" w:hAnsi="Times New Roman" w:cs="Times New Roman"/>
                <w:b/>
                <w:color w:val="000000"/>
                <w:sz w:val="22"/>
              </w:rPr>
              <w:t>2023</w:t>
            </w:r>
          </w:p>
        </w:tc>
        <w:tc>
          <w:tcPr>
            <w:tcW w:w="13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3EA81CC" w14:textId="77777777" w:rsidR="00171AA8" w:rsidRPr="00731FE2" w:rsidRDefault="007935AB" w:rsidP="00E13A80">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b/>
                <w:color w:val="000000"/>
                <w:sz w:val="22"/>
              </w:rPr>
            </w:pPr>
            <w:r w:rsidRPr="00731FE2">
              <w:rPr>
                <w:rFonts w:ascii="Times New Roman" w:eastAsia="Times New Roman" w:hAnsi="Times New Roman" w:cs="Times New Roman"/>
                <w:b/>
                <w:color w:val="000000"/>
                <w:sz w:val="22"/>
              </w:rPr>
              <w:t>Темп роста,</w:t>
            </w:r>
          </w:p>
          <w:p w14:paraId="76822AF9" w14:textId="77777777" w:rsidR="00171AA8" w:rsidRPr="00731FE2" w:rsidRDefault="007935AB" w:rsidP="00E13A80">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b/>
                <w:color w:val="000000"/>
                <w:sz w:val="22"/>
              </w:rPr>
            </w:pPr>
            <w:r w:rsidRPr="00731FE2">
              <w:rPr>
                <w:rFonts w:ascii="Times New Roman" w:eastAsia="Times New Roman" w:hAnsi="Times New Roman" w:cs="Times New Roman"/>
                <w:b/>
                <w:color w:val="000000"/>
                <w:sz w:val="22"/>
              </w:rPr>
              <w:t>%</w:t>
            </w:r>
          </w:p>
        </w:tc>
      </w:tr>
      <w:tr w:rsidR="00171AA8" w:rsidRPr="00731FE2" w14:paraId="7DDEA27B" w14:textId="77777777" w:rsidTr="00E13A80">
        <w:trPr>
          <w:trHeight w:val="926"/>
        </w:trPr>
        <w:tc>
          <w:tcPr>
            <w:tcW w:w="8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42C68C" w14:textId="77777777" w:rsidR="00171AA8" w:rsidRPr="00731FE2" w:rsidRDefault="007935AB" w:rsidP="00E13A80">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w:t>
            </w:r>
          </w:p>
        </w:tc>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CC7EF0E" w14:textId="77777777" w:rsidR="00171AA8" w:rsidRPr="00731FE2" w:rsidRDefault="007935AB" w:rsidP="00E13A80">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 xml:space="preserve">Отгружено товаров собственного производства, выполнено работ и услуг собственными силами (без субъектов малого предпринимательства), средняя численность работников которых превышает 15 человек, по фактическим видам экономической деятельности </w:t>
            </w:r>
          </w:p>
        </w:tc>
        <w:tc>
          <w:tcPr>
            <w:tcW w:w="13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D2AD237" w14:textId="77777777" w:rsidR="00171AA8" w:rsidRPr="00731FE2" w:rsidRDefault="007935AB" w:rsidP="00E13A80">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26811,237</w:t>
            </w:r>
          </w:p>
        </w:tc>
        <w:tc>
          <w:tcPr>
            <w:tcW w:w="13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ECF518F" w14:textId="77777777" w:rsidR="00171AA8" w:rsidRPr="00731FE2" w:rsidRDefault="007935AB" w:rsidP="00E13A80">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31786,899</w:t>
            </w:r>
          </w:p>
        </w:tc>
        <w:tc>
          <w:tcPr>
            <w:tcW w:w="13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278C306" w14:textId="77777777" w:rsidR="00171AA8" w:rsidRPr="00731FE2" w:rsidRDefault="007935AB" w:rsidP="00E13A80">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118,56</w:t>
            </w:r>
          </w:p>
        </w:tc>
      </w:tr>
      <w:tr w:rsidR="00171AA8" w:rsidRPr="00731FE2" w14:paraId="58E486BC" w14:textId="77777777" w:rsidTr="00E13A80">
        <w:trPr>
          <w:trHeight w:val="146"/>
        </w:trPr>
        <w:tc>
          <w:tcPr>
            <w:tcW w:w="8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0C38B3" w14:textId="77777777" w:rsidR="00171AA8" w:rsidRPr="00731FE2" w:rsidRDefault="007935AB" w:rsidP="00E13A80">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1.1.</w:t>
            </w:r>
          </w:p>
        </w:tc>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CE81A26" w14:textId="77777777" w:rsidR="00171AA8" w:rsidRPr="00731FE2" w:rsidRDefault="007935AB" w:rsidP="00E13A80">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 xml:space="preserve">обрабатывающие производства </w:t>
            </w:r>
          </w:p>
        </w:tc>
        <w:tc>
          <w:tcPr>
            <w:tcW w:w="13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F3FE597" w14:textId="77777777" w:rsidR="00171AA8" w:rsidRPr="00731FE2" w:rsidRDefault="007935AB" w:rsidP="00E13A80">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3662,944</w:t>
            </w:r>
          </w:p>
        </w:tc>
        <w:tc>
          <w:tcPr>
            <w:tcW w:w="13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157BE21" w14:textId="77777777" w:rsidR="00171AA8" w:rsidRPr="00731FE2" w:rsidRDefault="007935AB" w:rsidP="00E13A80">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3771,062</w:t>
            </w:r>
          </w:p>
        </w:tc>
        <w:tc>
          <w:tcPr>
            <w:tcW w:w="13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E25BD86" w14:textId="77777777" w:rsidR="00171AA8" w:rsidRPr="00731FE2" w:rsidRDefault="007935AB" w:rsidP="00E13A80">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102,95</w:t>
            </w:r>
          </w:p>
        </w:tc>
      </w:tr>
      <w:tr w:rsidR="00171AA8" w:rsidRPr="00731FE2" w14:paraId="113B579E" w14:textId="77777777" w:rsidTr="00E13A80">
        <w:trPr>
          <w:trHeight w:val="135"/>
        </w:trPr>
        <w:tc>
          <w:tcPr>
            <w:tcW w:w="8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11B7F5" w14:textId="77777777" w:rsidR="00171AA8" w:rsidRPr="00731FE2" w:rsidRDefault="007935AB" w:rsidP="00E13A80">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1.2.</w:t>
            </w:r>
          </w:p>
        </w:tc>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CCB0DCB" w14:textId="77777777" w:rsidR="00171AA8" w:rsidRPr="00731FE2" w:rsidRDefault="007935AB" w:rsidP="00E13A80">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 xml:space="preserve">из них </w:t>
            </w:r>
          </w:p>
          <w:p w14:paraId="64DCEBC7" w14:textId="77777777" w:rsidR="00171AA8" w:rsidRPr="00731FE2" w:rsidRDefault="007935AB" w:rsidP="00E13A80">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 xml:space="preserve">производство пищевых продуктов, включая напитки и табака </w:t>
            </w:r>
          </w:p>
        </w:tc>
        <w:tc>
          <w:tcPr>
            <w:tcW w:w="13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A4E12A1" w14:textId="77777777" w:rsidR="00171AA8" w:rsidRPr="00731FE2" w:rsidRDefault="007935AB" w:rsidP="00E13A80">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3418,755</w:t>
            </w:r>
          </w:p>
        </w:tc>
        <w:tc>
          <w:tcPr>
            <w:tcW w:w="13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02D5C17" w14:textId="77777777" w:rsidR="00171AA8" w:rsidRPr="00731FE2" w:rsidRDefault="007935AB" w:rsidP="00E13A80">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3080,620</w:t>
            </w:r>
          </w:p>
        </w:tc>
        <w:tc>
          <w:tcPr>
            <w:tcW w:w="13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732C1A3" w14:textId="77777777" w:rsidR="00171AA8" w:rsidRPr="00731FE2" w:rsidRDefault="007935AB" w:rsidP="00E13A80">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90,11</w:t>
            </w:r>
          </w:p>
        </w:tc>
      </w:tr>
      <w:tr w:rsidR="00171AA8" w:rsidRPr="00731FE2" w14:paraId="6FBC93F8" w14:textId="77777777" w:rsidTr="00E13A80">
        <w:trPr>
          <w:trHeight w:val="542"/>
        </w:trPr>
        <w:tc>
          <w:tcPr>
            <w:tcW w:w="8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9D143A" w14:textId="77777777" w:rsidR="00171AA8" w:rsidRPr="00731FE2" w:rsidRDefault="007935AB" w:rsidP="00E13A80">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1.1.2.</w:t>
            </w:r>
          </w:p>
        </w:tc>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11DC805" w14:textId="77777777" w:rsidR="00171AA8" w:rsidRPr="00731FE2" w:rsidRDefault="007935AB" w:rsidP="00E13A80">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 xml:space="preserve">производство, передача и распределение электроэнергии, газа и воды </w:t>
            </w:r>
          </w:p>
        </w:tc>
        <w:tc>
          <w:tcPr>
            <w:tcW w:w="13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E8F1E38" w14:textId="77777777" w:rsidR="00171AA8" w:rsidRPr="00731FE2" w:rsidRDefault="007935AB" w:rsidP="00E13A80">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1701,813</w:t>
            </w:r>
          </w:p>
        </w:tc>
        <w:tc>
          <w:tcPr>
            <w:tcW w:w="13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386F8E0" w14:textId="77777777" w:rsidR="00171AA8" w:rsidRPr="00731FE2" w:rsidRDefault="007935AB" w:rsidP="00E13A80">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1800,161</w:t>
            </w:r>
          </w:p>
        </w:tc>
        <w:tc>
          <w:tcPr>
            <w:tcW w:w="13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C067B80" w14:textId="77777777" w:rsidR="00171AA8" w:rsidRPr="00731FE2" w:rsidRDefault="007935AB" w:rsidP="00E13A80">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105,78</w:t>
            </w:r>
          </w:p>
        </w:tc>
      </w:tr>
      <w:tr w:rsidR="00171AA8" w:rsidRPr="00731FE2" w14:paraId="1D6A0594" w14:textId="77777777" w:rsidTr="00E13A80">
        <w:trPr>
          <w:trHeight w:val="142"/>
        </w:trPr>
        <w:tc>
          <w:tcPr>
            <w:tcW w:w="8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859352" w14:textId="77777777" w:rsidR="00171AA8" w:rsidRPr="00731FE2" w:rsidRDefault="007935AB" w:rsidP="00E13A80">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1.1.3.</w:t>
            </w:r>
          </w:p>
        </w:tc>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F717EF1" w14:textId="77777777" w:rsidR="00171AA8" w:rsidRPr="00731FE2" w:rsidRDefault="007935AB" w:rsidP="00E13A80">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 xml:space="preserve">транспорт и связь </w:t>
            </w:r>
          </w:p>
        </w:tc>
        <w:tc>
          <w:tcPr>
            <w:tcW w:w="13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01FA857" w14:textId="77777777" w:rsidR="00171AA8" w:rsidRPr="00731FE2" w:rsidRDefault="007935AB" w:rsidP="00E13A80">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4100,844</w:t>
            </w:r>
          </w:p>
        </w:tc>
        <w:tc>
          <w:tcPr>
            <w:tcW w:w="13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989BB58" w14:textId="77777777" w:rsidR="00171AA8" w:rsidRPr="00731FE2" w:rsidRDefault="007935AB" w:rsidP="00E13A80">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3608,187</w:t>
            </w:r>
          </w:p>
        </w:tc>
        <w:tc>
          <w:tcPr>
            <w:tcW w:w="13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3E4D91D" w14:textId="77777777" w:rsidR="00171AA8" w:rsidRPr="00731FE2" w:rsidRDefault="007935AB" w:rsidP="00E13A80">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87,99</w:t>
            </w:r>
          </w:p>
        </w:tc>
      </w:tr>
      <w:tr w:rsidR="00171AA8" w:rsidRPr="00731FE2" w14:paraId="7C19BCE9" w14:textId="77777777" w:rsidTr="00E13A80">
        <w:trPr>
          <w:trHeight w:val="274"/>
        </w:trPr>
        <w:tc>
          <w:tcPr>
            <w:tcW w:w="8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64C2A8" w14:textId="77777777" w:rsidR="00171AA8" w:rsidRPr="00731FE2" w:rsidRDefault="007935AB" w:rsidP="00E13A80">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1.1.4.</w:t>
            </w:r>
          </w:p>
        </w:tc>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F8C49E0" w14:textId="77777777" w:rsidR="00171AA8" w:rsidRPr="00731FE2" w:rsidRDefault="007935AB" w:rsidP="00E13A80">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операции с недвижимым имуществом, аренда и предоставление услуг</w:t>
            </w:r>
          </w:p>
        </w:tc>
        <w:tc>
          <w:tcPr>
            <w:tcW w:w="13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3FADB9D" w14:textId="77777777" w:rsidR="00171AA8" w:rsidRPr="00731FE2" w:rsidRDefault="007935AB" w:rsidP="00E13A80">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570,914</w:t>
            </w:r>
          </w:p>
        </w:tc>
        <w:tc>
          <w:tcPr>
            <w:tcW w:w="13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9C7C337" w14:textId="77777777" w:rsidR="00171AA8" w:rsidRPr="00731FE2" w:rsidRDefault="007935AB" w:rsidP="00E13A80">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607,783</w:t>
            </w:r>
          </w:p>
        </w:tc>
        <w:tc>
          <w:tcPr>
            <w:tcW w:w="13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F990321" w14:textId="77777777" w:rsidR="00171AA8" w:rsidRPr="00731FE2" w:rsidRDefault="007935AB" w:rsidP="00E13A80">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106,46</w:t>
            </w:r>
          </w:p>
        </w:tc>
      </w:tr>
      <w:tr w:rsidR="00171AA8" w:rsidRPr="00731FE2" w14:paraId="12379D3B" w14:textId="77777777" w:rsidTr="00E13A80">
        <w:trPr>
          <w:trHeight w:val="139"/>
        </w:trPr>
        <w:tc>
          <w:tcPr>
            <w:tcW w:w="8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713221" w14:textId="77777777" w:rsidR="00171AA8" w:rsidRPr="00731FE2" w:rsidRDefault="007935AB" w:rsidP="00E13A80">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1.1.5.</w:t>
            </w:r>
          </w:p>
        </w:tc>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B9CDCA7" w14:textId="77777777" w:rsidR="00171AA8" w:rsidRPr="00731FE2" w:rsidRDefault="007935AB" w:rsidP="00E13A80">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здравоохранение и предоставление социальных услуг</w:t>
            </w:r>
          </w:p>
        </w:tc>
        <w:tc>
          <w:tcPr>
            <w:tcW w:w="13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BC9C324" w14:textId="77777777" w:rsidR="00171AA8" w:rsidRPr="00731FE2" w:rsidRDefault="007935AB" w:rsidP="00E13A80">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7909,318</w:t>
            </w:r>
          </w:p>
        </w:tc>
        <w:tc>
          <w:tcPr>
            <w:tcW w:w="13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6503011" w14:textId="77777777" w:rsidR="00171AA8" w:rsidRPr="00731FE2" w:rsidRDefault="007935AB" w:rsidP="00E13A80">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8322,926</w:t>
            </w:r>
          </w:p>
        </w:tc>
        <w:tc>
          <w:tcPr>
            <w:tcW w:w="13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D50DCE9" w14:textId="77777777" w:rsidR="00171AA8" w:rsidRPr="00731FE2" w:rsidRDefault="007935AB" w:rsidP="00E13A80">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105,23</w:t>
            </w:r>
          </w:p>
        </w:tc>
      </w:tr>
      <w:tr w:rsidR="00171AA8" w:rsidRPr="00731FE2" w14:paraId="233F1CA9" w14:textId="77777777" w:rsidTr="00E13A80">
        <w:trPr>
          <w:trHeight w:val="131"/>
        </w:trPr>
        <w:tc>
          <w:tcPr>
            <w:tcW w:w="8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9797F4" w14:textId="77777777" w:rsidR="00171AA8" w:rsidRPr="00731FE2" w:rsidRDefault="007935AB" w:rsidP="00E13A80">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1.1.6.</w:t>
            </w:r>
          </w:p>
        </w:tc>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4AD5C56" w14:textId="77777777" w:rsidR="00171AA8" w:rsidRPr="00731FE2" w:rsidRDefault="007935AB" w:rsidP="00E13A80">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образование</w:t>
            </w:r>
          </w:p>
        </w:tc>
        <w:tc>
          <w:tcPr>
            <w:tcW w:w="13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9BC09EA" w14:textId="77777777" w:rsidR="00171AA8" w:rsidRPr="00731FE2" w:rsidRDefault="007935AB" w:rsidP="00E13A80">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248,309</w:t>
            </w:r>
          </w:p>
        </w:tc>
        <w:tc>
          <w:tcPr>
            <w:tcW w:w="13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DD5121A" w14:textId="77777777" w:rsidR="00171AA8" w:rsidRPr="00731FE2" w:rsidRDefault="007935AB" w:rsidP="00E13A80">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224,028</w:t>
            </w:r>
          </w:p>
        </w:tc>
        <w:tc>
          <w:tcPr>
            <w:tcW w:w="13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2243CD8" w14:textId="77777777" w:rsidR="00171AA8" w:rsidRPr="00731FE2" w:rsidRDefault="007935AB" w:rsidP="00E13A80">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90,22</w:t>
            </w:r>
          </w:p>
        </w:tc>
      </w:tr>
      <w:tr w:rsidR="00171AA8" w:rsidRPr="00731FE2" w14:paraId="42DD9629" w14:textId="77777777" w:rsidTr="00E13A80">
        <w:trPr>
          <w:trHeight w:val="562"/>
        </w:trPr>
        <w:tc>
          <w:tcPr>
            <w:tcW w:w="8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3B5257" w14:textId="77777777" w:rsidR="00171AA8" w:rsidRPr="00731FE2" w:rsidRDefault="007935AB" w:rsidP="00E13A80">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1.1.7.</w:t>
            </w:r>
          </w:p>
        </w:tc>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9D2B05E" w14:textId="77777777" w:rsidR="00171AA8" w:rsidRPr="00731FE2" w:rsidRDefault="007935AB" w:rsidP="00E13A80">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предоставление прочих коммунальных, социальных и персональных услуг</w:t>
            </w:r>
          </w:p>
        </w:tc>
        <w:tc>
          <w:tcPr>
            <w:tcW w:w="13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2C4DB0B" w14:textId="77777777" w:rsidR="00171AA8" w:rsidRPr="00731FE2" w:rsidRDefault="007935AB" w:rsidP="00E13A80">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282,427</w:t>
            </w:r>
          </w:p>
        </w:tc>
        <w:tc>
          <w:tcPr>
            <w:tcW w:w="13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514071E" w14:textId="77777777" w:rsidR="00171AA8" w:rsidRPr="00731FE2" w:rsidRDefault="007935AB" w:rsidP="00E13A80">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320,544</w:t>
            </w:r>
          </w:p>
        </w:tc>
        <w:tc>
          <w:tcPr>
            <w:tcW w:w="13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C61E6BC" w14:textId="77777777" w:rsidR="00171AA8" w:rsidRPr="00731FE2" w:rsidRDefault="007935AB" w:rsidP="00E13A80">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113,5</w:t>
            </w:r>
          </w:p>
        </w:tc>
      </w:tr>
      <w:tr w:rsidR="00171AA8" w:rsidRPr="00731FE2" w14:paraId="113233E9" w14:textId="77777777" w:rsidTr="00E13A80">
        <w:trPr>
          <w:trHeight w:val="125"/>
        </w:trPr>
        <w:tc>
          <w:tcPr>
            <w:tcW w:w="8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D670E5" w14:textId="77777777" w:rsidR="00171AA8" w:rsidRPr="00731FE2" w:rsidRDefault="007935AB" w:rsidP="00E13A80">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2.</w:t>
            </w:r>
          </w:p>
        </w:tc>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2B5DE67" w14:textId="77777777" w:rsidR="00171AA8" w:rsidRPr="00731FE2" w:rsidRDefault="007935AB" w:rsidP="00E13A80">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Объем платных услуг населению (по крупным и средним предприятиям)</w:t>
            </w:r>
          </w:p>
        </w:tc>
        <w:tc>
          <w:tcPr>
            <w:tcW w:w="13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621EDC2" w14:textId="77777777" w:rsidR="00171AA8" w:rsidRPr="00731FE2" w:rsidRDefault="007935AB" w:rsidP="00E13A80">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12780,155</w:t>
            </w:r>
          </w:p>
        </w:tc>
        <w:tc>
          <w:tcPr>
            <w:tcW w:w="13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EAB0B3B" w14:textId="77777777" w:rsidR="00171AA8" w:rsidRPr="00731FE2" w:rsidRDefault="007935AB" w:rsidP="00E13A80">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12471,773</w:t>
            </w:r>
          </w:p>
        </w:tc>
        <w:tc>
          <w:tcPr>
            <w:tcW w:w="13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2DADBE2" w14:textId="77777777" w:rsidR="00171AA8" w:rsidRPr="00731FE2" w:rsidRDefault="007935AB" w:rsidP="00E13A80">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97,59</w:t>
            </w:r>
          </w:p>
        </w:tc>
      </w:tr>
      <w:tr w:rsidR="00171AA8" w:rsidRPr="00731FE2" w14:paraId="7C00FE6A" w14:textId="77777777" w:rsidTr="00E13A80">
        <w:trPr>
          <w:trHeight w:val="70"/>
        </w:trPr>
        <w:tc>
          <w:tcPr>
            <w:tcW w:w="8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FE3E12" w14:textId="77777777" w:rsidR="00171AA8" w:rsidRPr="00731FE2" w:rsidRDefault="007935AB" w:rsidP="00E13A80">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3.</w:t>
            </w:r>
          </w:p>
        </w:tc>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DA01CDF" w14:textId="77777777" w:rsidR="00171AA8" w:rsidRPr="00731FE2" w:rsidRDefault="007935AB" w:rsidP="00E13A80">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Оборот розничной торговли (по крупным и средним предприятиям)</w:t>
            </w:r>
          </w:p>
        </w:tc>
        <w:tc>
          <w:tcPr>
            <w:tcW w:w="13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28052CD" w14:textId="77777777" w:rsidR="00171AA8" w:rsidRPr="00731FE2" w:rsidRDefault="007935AB" w:rsidP="00E13A80">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1823,570</w:t>
            </w:r>
          </w:p>
        </w:tc>
        <w:tc>
          <w:tcPr>
            <w:tcW w:w="13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FF580BA" w14:textId="77777777" w:rsidR="00171AA8" w:rsidRPr="00731FE2" w:rsidRDefault="007935AB" w:rsidP="00E13A80">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1908,335</w:t>
            </w:r>
          </w:p>
        </w:tc>
        <w:tc>
          <w:tcPr>
            <w:tcW w:w="13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8583BF5" w14:textId="77777777" w:rsidR="00171AA8" w:rsidRPr="00731FE2" w:rsidRDefault="007935AB" w:rsidP="00E13A80">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104,65</w:t>
            </w:r>
          </w:p>
        </w:tc>
      </w:tr>
      <w:tr w:rsidR="00171AA8" w:rsidRPr="00731FE2" w14:paraId="071A18C7" w14:textId="77777777" w:rsidTr="00E13A80">
        <w:trPr>
          <w:trHeight w:val="70"/>
        </w:trPr>
        <w:tc>
          <w:tcPr>
            <w:tcW w:w="84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2D3599" w14:textId="77777777" w:rsidR="00171AA8" w:rsidRPr="00731FE2" w:rsidRDefault="007935AB" w:rsidP="00E13A80">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4.</w:t>
            </w:r>
          </w:p>
        </w:tc>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A6E099E" w14:textId="77777777" w:rsidR="00171AA8" w:rsidRPr="00731FE2" w:rsidRDefault="007935AB" w:rsidP="00E13A80">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Оборот общественного питания (по крупным и средним предприятиям)</w:t>
            </w:r>
          </w:p>
        </w:tc>
        <w:tc>
          <w:tcPr>
            <w:tcW w:w="13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A73E6D6" w14:textId="77777777" w:rsidR="00171AA8" w:rsidRPr="00731FE2" w:rsidRDefault="007935AB" w:rsidP="00E13A80">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35,727</w:t>
            </w:r>
          </w:p>
        </w:tc>
        <w:tc>
          <w:tcPr>
            <w:tcW w:w="132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B6B83EC" w14:textId="77777777" w:rsidR="00171AA8" w:rsidRPr="00731FE2" w:rsidRDefault="007935AB" w:rsidP="00E13A80">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36,871</w:t>
            </w:r>
          </w:p>
        </w:tc>
        <w:tc>
          <w:tcPr>
            <w:tcW w:w="13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6B0C8F4" w14:textId="77777777" w:rsidR="00171AA8" w:rsidRPr="00731FE2" w:rsidRDefault="007935AB" w:rsidP="00E13A80">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103,2</w:t>
            </w:r>
          </w:p>
        </w:tc>
      </w:tr>
    </w:tbl>
    <w:p w14:paraId="0F353F7F" w14:textId="77777777" w:rsidR="00171AA8" w:rsidRPr="00731FE2" w:rsidRDefault="00171AA8">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p>
    <w:p w14:paraId="08D19D44"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proofErr w:type="gramStart"/>
      <w:r w:rsidRPr="00731FE2">
        <w:rPr>
          <w:rFonts w:ascii="Times New Roman" w:eastAsia="Times New Roman" w:hAnsi="Times New Roman" w:cs="Times New Roman"/>
          <w:color w:val="000000"/>
          <w:szCs w:val="24"/>
        </w:rPr>
        <w:t xml:space="preserve">Наибольший рост показателя оборот организаций по видам экономической </w:t>
      </w:r>
      <w:r w:rsidR="00E13A80" w:rsidRPr="00731FE2">
        <w:rPr>
          <w:rFonts w:ascii="Times New Roman" w:eastAsia="Times New Roman" w:hAnsi="Times New Roman" w:cs="Times New Roman"/>
          <w:color w:val="000000"/>
          <w:szCs w:val="24"/>
        </w:rPr>
        <w:t>деятельности в</w:t>
      </w:r>
      <w:r w:rsidRPr="00731FE2">
        <w:rPr>
          <w:rFonts w:ascii="Times New Roman" w:eastAsia="Times New Roman" w:hAnsi="Times New Roman" w:cs="Times New Roman"/>
          <w:color w:val="000000"/>
          <w:szCs w:val="24"/>
        </w:rPr>
        <w:t xml:space="preserve"> 2022 г. по отношению к 2020 г. отмечен по видам деятельности: деятельность в области здравоохранения и социальных услуг (санаторно-курортный сектор) – 209 %, торговля оптовая и розничная, ремонт автотранспортных средств – рост 217%, транспортировка и хранение – рост 184,6%, деятельность по операциям с недвижимым имуществом – 182,3%, обрабатывающие производства – 144%.</w:t>
      </w:r>
      <w:proofErr w:type="gramEnd"/>
    </w:p>
    <w:p w14:paraId="6C8B0108"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Объем отгруженных товаров собственного производства, выполненных работ и услуг собственными силами (без организаций с численностью менее 15 чел.) по «чистым» видам экономической деятельности по итогам 2023 г. увеличился в сравнении с 2022 годом на 118,6%.</w:t>
      </w:r>
    </w:p>
    <w:p w14:paraId="2BB38D1D"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 xml:space="preserve">Наибольший рост объема отгруженных товаров в 2023 г. по отношению к 2022 г. отмечен в сферах санаторно-курортной, медицинской деятельности (деятельность в </w:t>
      </w:r>
      <w:r w:rsidRPr="00731FE2">
        <w:rPr>
          <w:rFonts w:ascii="Times New Roman" w:eastAsia="Times New Roman" w:hAnsi="Times New Roman" w:cs="Times New Roman"/>
          <w:color w:val="000000"/>
          <w:szCs w:val="24"/>
        </w:rPr>
        <w:lastRenderedPageBreak/>
        <w:t>области здравоохранения и социальных услуг), деятельности гостиниц и общественного питания, деятельность по операциям с недвижимым имуществом. Показатели свидетельствую о высоком спросе на услуги организаций санаторно-курортной, гостиничной и медицинской деятельности, а также на услуги по продаже недвижимости в городе-курорте Кисловодске.</w:t>
      </w:r>
    </w:p>
    <w:p w14:paraId="22395918"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b/>
          <w:bCs/>
          <w:color w:val="000000"/>
        </w:rPr>
      </w:pPr>
      <w:r w:rsidRPr="00731FE2">
        <w:rPr>
          <w:rFonts w:ascii="Times New Roman" w:eastAsia="Times New Roman" w:hAnsi="Times New Roman" w:cs="Times New Roman"/>
          <w:b/>
          <w:bCs/>
          <w:color w:val="000000"/>
          <w:szCs w:val="24"/>
        </w:rPr>
        <w:t xml:space="preserve">Таким образом, анализ общих </w:t>
      </w:r>
      <w:proofErr w:type="gramStart"/>
      <w:r w:rsidRPr="00731FE2">
        <w:rPr>
          <w:rFonts w:ascii="Times New Roman" w:eastAsia="Times New Roman" w:hAnsi="Times New Roman" w:cs="Times New Roman"/>
          <w:b/>
          <w:bCs/>
          <w:color w:val="000000"/>
          <w:szCs w:val="24"/>
        </w:rPr>
        <w:t>особенностей развития экономики города-курорта Кисловодска</w:t>
      </w:r>
      <w:proofErr w:type="gramEnd"/>
      <w:r w:rsidRPr="00731FE2">
        <w:rPr>
          <w:rFonts w:ascii="Times New Roman" w:eastAsia="Times New Roman" w:hAnsi="Times New Roman" w:cs="Times New Roman"/>
          <w:b/>
          <w:bCs/>
          <w:color w:val="000000"/>
          <w:szCs w:val="24"/>
        </w:rPr>
        <w:t xml:space="preserve"> позволяет сделать вывод о том, что одни социально-экономические показатели имеют тенденцию к росту, а по другим наблюдается незначительный спад. Снижение затронуло промышленное производство, образование, транспорт и связь, производство пищевых продуктов. Рост отгрузки отмечается в сферах деятельности: области здравоохранения и социальных услуг (санаторно-курортный сектор), торговля оптовая и розничная, ремонт автотранспортных средств, транспортировка и хранение, деятельность по операциям с недвижимым имуществом, обрабатывающие производства.</w:t>
      </w:r>
    </w:p>
    <w:p w14:paraId="0D1BB31B" w14:textId="77777777" w:rsidR="00171AA8" w:rsidRPr="00731FE2" w:rsidRDefault="007935AB">
      <w:pPr>
        <w:pStyle w:val="33"/>
        <w:rPr>
          <w:rFonts w:ascii="Times New Roman" w:hAnsi="Times New Roman" w:cs="Times New Roman"/>
        </w:rPr>
      </w:pPr>
      <w:bookmarkStart w:id="36" w:name="_Toc177392787"/>
      <w:r w:rsidRPr="00731FE2">
        <w:rPr>
          <w:rFonts w:ascii="Times New Roman" w:hAnsi="Times New Roman" w:cs="Times New Roman"/>
        </w:rPr>
        <w:t>2.9.1 Санаторно-курортный и рекреационно-туристический комплекс</w:t>
      </w:r>
      <w:bookmarkEnd w:id="36"/>
    </w:p>
    <w:p w14:paraId="7AB2CDEC"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proofErr w:type="gramStart"/>
      <w:r w:rsidRPr="00731FE2">
        <w:rPr>
          <w:rFonts w:ascii="Times New Roman" w:eastAsia="Times New Roman" w:hAnsi="Times New Roman" w:cs="Times New Roman"/>
          <w:color w:val="000000"/>
          <w:szCs w:val="24"/>
        </w:rPr>
        <w:t xml:space="preserve">Территория городского округа города-курорта Кисловодска входит в состав особо охраняемого эколого-курортного региона Российской Федерации – Кавказские Минеральные Воды (в соответствии с Указом Президента Российской Федерации от 27.03.1992 № 309 «Об особо охраняемом эколого-курортном регионе Российской Федерации» и Постановлением Правительства РФ от 06.07.1992 года № 462 «Об особо охраняемом эколого-курортном регионе Российской Федерации – Кавказских Минеральных Водах»). </w:t>
      </w:r>
      <w:proofErr w:type="gramEnd"/>
    </w:p>
    <w:p w14:paraId="3892E300"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Город-курорт Кисловодск является курортом федерального значения</w:t>
      </w:r>
      <w:r w:rsidRPr="00731FE2">
        <w:rPr>
          <w:rFonts w:ascii="Times New Roman" w:eastAsia="Times New Roman" w:hAnsi="Times New Roman" w:cs="Times New Roman"/>
          <w:color w:val="000000"/>
          <w:szCs w:val="24"/>
          <w:vertAlign w:val="superscript"/>
        </w:rPr>
        <w:footnoteReference w:id="40"/>
      </w:r>
      <w:r w:rsidRPr="00731FE2">
        <w:rPr>
          <w:rFonts w:ascii="Times New Roman" w:eastAsia="Times New Roman" w:hAnsi="Times New Roman" w:cs="Times New Roman"/>
          <w:color w:val="000000"/>
          <w:szCs w:val="24"/>
        </w:rPr>
        <w:t>и занимает лидирующее положение в туристско-рекреационной сфере среди городов Кавказских Минеральных Вод, принимая ежегодно на отдых и лечение более 300 тысяч человек, что составляет 33-35% от общего объема турпотока региона. Благодаря своим уникальным природным и лечебным ресурсам город Кисловодск является неповторимым в Евро-Азиатском регионе. Город Кисловодск является ведущим курортом кардиологического профиля в России</w:t>
      </w:r>
    </w:p>
    <w:p w14:paraId="761B5209"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Санаторно-курортный комплекс в городе Кисловодске специализируется на лечении заболеваний, связанных с кровообращением, дыханием и нервной системой, что является высоко востребованным направлением.</w:t>
      </w:r>
    </w:p>
    <w:p w14:paraId="112717B6" w14:textId="77777777" w:rsidR="00171AA8" w:rsidRPr="00731FE2" w:rsidRDefault="007935AB">
      <w:pPr>
        <w:pBdr>
          <w:top w:val="none" w:sz="4" w:space="0" w:color="000000"/>
          <w:left w:val="none" w:sz="4" w:space="0" w:color="000000"/>
          <w:bottom w:val="none" w:sz="4" w:space="0" w:color="000000"/>
          <w:right w:val="none" w:sz="4" w:space="0" w:color="000000"/>
        </w:pBdr>
      </w:pPr>
      <w:r w:rsidRPr="00731FE2">
        <w:rPr>
          <w:rFonts w:ascii="Times New Roman" w:eastAsia="Times New Roman" w:hAnsi="Times New Roman" w:cs="Times New Roman"/>
          <w:color w:val="000000"/>
        </w:rPr>
        <w:t>В 2022 году город-курорт Кисловодск посетили 489 358 туристов, что на 20,1% больше в сравнении с показателем 2021 года (2021 год – 407 561 турист). Загрузка коллективных средств размещения по количеству койко-дней составила 3 784,0 тысяч койко-дней (в 2021 году – 3 085,0 тысяч койко-дней) и превысила показатель 2021 года на 699 койко-дней или на 122,66 %. Это свидетельствует о том, что в Кисловодске культурно-исторический, спортивный, гастрономический и другие виды туризма не уступают по популярности оздоровительному туризму. Продолжительность пребывания в санаторно-курортных учреждениях города-курорта Кисловодска в среднем составляет от 10 до 14 дней.</w:t>
      </w:r>
      <w:r w:rsidRPr="00731FE2">
        <w:rPr>
          <w:rStyle w:val="afb"/>
          <w:rFonts w:ascii="Times New Roman" w:eastAsia="Times New Roman" w:hAnsi="Times New Roman" w:cs="Times New Roman"/>
          <w:color w:val="000000"/>
          <w:vertAlign w:val="superscript"/>
        </w:rPr>
        <w:footnoteReference w:id="41"/>
      </w:r>
    </w:p>
    <w:p w14:paraId="23C55F16" w14:textId="77777777" w:rsidR="00171AA8" w:rsidRPr="00731FE2" w:rsidRDefault="007935AB">
      <w:pPr>
        <w:pBdr>
          <w:top w:val="none" w:sz="4" w:space="0" w:color="000000"/>
          <w:left w:val="none" w:sz="4" w:space="0" w:color="000000"/>
          <w:bottom w:val="none" w:sz="4" w:space="0" w:color="000000"/>
          <w:right w:val="none" w:sz="4" w:space="0" w:color="000000"/>
        </w:pBdr>
      </w:pPr>
      <w:r w:rsidRPr="00731FE2">
        <w:rPr>
          <w:rFonts w:ascii="Times New Roman" w:eastAsia="Times New Roman" w:hAnsi="Times New Roman" w:cs="Times New Roman"/>
          <w:color w:val="000000"/>
        </w:rPr>
        <w:lastRenderedPageBreak/>
        <w:t xml:space="preserve">Средний показатель загрузки в коллективных средствах размещения составил 79,2%, что выше значения показателя 2021 года на 10,3%. За 2022 год от санаторно-курортного и гостиничного комплексов в бюджет города поступило 144190,5 тыс. рублей налогов и сборов, что составляет 97,5% к показателю 2021 года. </w:t>
      </w:r>
    </w:p>
    <w:p w14:paraId="65DD8AC8"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rPr>
        <w:t xml:space="preserve">В городе в 2023 году насчитывалось 162 средства размещения, общей коечной емкостью 17551 мест. Санаторно-курортный комплекс федерального курорта представлен 42 санаториями, 13 пансионатами, 3 клиниками, 1 детским оздоровительным лагерем, 88 гостиницами. </w:t>
      </w:r>
    </w:p>
    <w:p w14:paraId="7F2218E8" w14:textId="77777777" w:rsidR="00171AA8" w:rsidRPr="00731FE2" w:rsidRDefault="00171AA8">
      <w:pPr>
        <w:pBdr>
          <w:top w:val="none" w:sz="4" w:space="0" w:color="000000"/>
          <w:left w:val="none" w:sz="4" w:space="0" w:color="000000"/>
          <w:bottom w:val="none" w:sz="4" w:space="0" w:color="000000"/>
          <w:right w:val="none" w:sz="4" w:space="0" w:color="000000"/>
        </w:pBdr>
        <w:spacing w:line="253" w:lineRule="atLeast"/>
      </w:pPr>
    </w:p>
    <w:p w14:paraId="5A227EF4" w14:textId="77777777" w:rsidR="00171AA8" w:rsidRPr="00731FE2" w:rsidRDefault="007935AB">
      <w:pPr>
        <w:pBdr>
          <w:top w:val="none" w:sz="4" w:space="0" w:color="000000"/>
          <w:left w:val="none" w:sz="4" w:space="0" w:color="000000"/>
          <w:bottom w:val="none" w:sz="4" w:space="0" w:color="000000"/>
          <w:right w:val="none" w:sz="4" w:space="0" w:color="000000"/>
        </w:pBdr>
        <w:spacing w:line="253" w:lineRule="atLeast"/>
        <w:ind w:firstLine="0"/>
        <w:rPr>
          <w:rFonts w:ascii="Times New Roman" w:eastAsia="Times New Roman" w:hAnsi="Times New Roman" w:cs="Times New Roman"/>
          <w:b/>
          <w:bCs/>
          <w:color w:val="000000"/>
          <w:szCs w:val="24"/>
        </w:rPr>
      </w:pPr>
      <w:r w:rsidRPr="00731FE2">
        <w:rPr>
          <w:rFonts w:ascii="Times New Roman" w:eastAsia="Times New Roman" w:hAnsi="Times New Roman" w:cs="Times New Roman"/>
          <w:b/>
          <w:bCs/>
          <w:color w:val="000000"/>
          <w:szCs w:val="24"/>
        </w:rPr>
        <w:t xml:space="preserve">Таблица </w:t>
      </w:r>
      <w:r w:rsidRPr="00731FE2">
        <w:rPr>
          <w:rFonts w:ascii="Times New Roman" w:eastAsia="Times New Roman" w:hAnsi="Times New Roman" w:cs="Times New Roman"/>
          <w:b/>
          <w:bCs/>
          <w:color w:val="000000"/>
          <w:szCs w:val="24"/>
        </w:rPr>
        <w:fldChar w:fldCharType="begin"/>
      </w:r>
      <w:r w:rsidRPr="00731FE2">
        <w:rPr>
          <w:rFonts w:ascii="Times New Roman" w:eastAsia="Times New Roman" w:hAnsi="Times New Roman" w:cs="Times New Roman"/>
          <w:b/>
          <w:bCs/>
          <w:color w:val="000000"/>
          <w:szCs w:val="24"/>
        </w:rPr>
        <w:instrText xml:space="preserve"> SEQ Таблица \* Arabic </w:instrText>
      </w:r>
      <w:r w:rsidRPr="00731FE2">
        <w:rPr>
          <w:rFonts w:ascii="Times New Roman" w:eastAsia="Times New Roman" w:hAnsi="Times New Roman" w:cs="Times New Roman"/>
          <w:b/>
          <w:bCs/>
          <w:color w:val="000000"/>
          <w:szCs w:val="24"/>
        </w:rPr>
        <w:fldChar w:fldCharType="separate"/>
      </w:r>
      <w:r w:rsidR="00C50915" w:rsidRPr="00731FE2">
        <w:rPr>
          <w:rFonts w:ascii="Times New Roman" w:eastAsia="Times New Roman" w:hAnsi="Times New Roman" w:cs="Times New Roman"/>
          <w:b/>
          <w:bCs/>
          <w:noProof/>
          <w:color w:val="000000"/>
          <w:szCs w:val="24"/>
        </w:rPr>
        <w:t>20</w:t>
      </w:r>
      <w:r w:rsidRPr="00731FE2">
        <w:rPr>
          <w:rFonts w:ascii="Times New Roman" w:eastAsia="Times New Roman" w:hAnsi="Times New Roman" w:cs="Times New Roman"/>
          <w:b/>
          <w:bCs/>
          <w:color w:val="000000"/>
          <w:szCs w:val="24"/>
        </w:rPr>
        <w:fldChar w:fldCharType="end"/>
      </w:r>
      <w:r w:rsidRPr="00731FE2">
        <w:rPr>
          <w:rFonts w:ascii="Times New Roman" w:eastAsia="Times New Roman" w:hAnsi="Times New Roman" w:cs="Times New Roman"/>
          <w:b/>
          <w:bCs/>
          <w:color w:val="000000"/>
          <w:szCs w:val="24"/>
        </w:rPr>
        <w:t xml:space="preserve"> – Характеристика основных показателей коллективных средств размещения городского округа город-курорт Кисловодск, 2020-2023 гг.</w:t>
      </w:r>
      <w:r w:rsidRPr="00731FE2">
        <w:rPr>
          <w:rFonts w:ascii="Times New Roman" w:eastAsia="Times New Roman" w:hAnsi="Times New Roman" w:cs="Times New Roman"/>
          <w:b/>
          <w:bCs/>
          <w:color w:val="000000"/>
          <w:szCs w:val="24"/>
          <w:vertAlign w:val="superscript"/>
        </w:rPr>
        <w:footnoteReference w:id="42"/>
      </w:r>
    </w:p>
    <w:tbl>
      <w:tblPr>
        <w:tblStyle w:val="afe"/>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2813"/>
        <w:gridCol w:w="1308"/>
        <w:gridCol w:w="1308"/>
        <w:gridCol w:w="1308"/>
        <w:gridCol w:w="1308"/>
        <w:gridCol w:w="1308"/>
      </w:tblGrid>
      <w:tr w:rsidR="00171AA8" w:rsidRPr="00731FE2" w14:paraId="3775A0C7" w14:textId="77777777">
        <w:trPr>
          <w:trHeight w:val="58"/>
        </w:trPr>
        <w:tc>
          <w:tcPr>
            <w:tcW w:w="2813"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786D4E7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b/>
                <w:color w:val="000000"/>
                <w:sz w:val="22"/>
              </w:rPr>
              <w:t>Наименование показателя</w:t>
            </w:r>
          </w:p>
        </w:tc>
        <w:tc>
          <w:tcPr>
            <w:tcW w:w="1308"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14677CA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b/>
                <w:color w:val="000000"/>
                <w:sz w:val="22"/>
              </w:rPr>
              <w:t>2019</w:t>
            </w:r>
          </w:p>
        </w:tc>
        <w:tc>
          <w:tcPr>
            <w:tcW w:w="1308"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6124E0D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b/>
                <w:color w:val="000000"/>
                <w:sz w:val="22"/>
              </w:rPr>
              <w:t>2020</w:t>
            </w:r>
          </w:p>
        </w:tc>
        <w:tc>
          <w:tcPr>
            <w:tcW w:w="1308"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5ED356D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b/>
                <w:color w:val="000000"/>
                <w:sz w:val="22"/>
              </w:rPr>
              <w:t>2021</w:t>
            </w:r>
          </w:p>
        </w:tc>
        <w:tc>
          <w:tcPr>
            <w:tcW w:w="1308"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6CB7B77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b/>
                <w:color w:val="000000"/>
                <w:sz w:val="22"/>
              </w:rPr>
              <w:t>2022</w:t>
            </w:r>
          </w:p>
        </w:tc>
        <w:tc>
          <w:tcPr>
            <w:tcW w:w="1308"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5F0755D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b/>
                <w:color w:val="000000"/>
                <w:sz w:val="22"/>
              </w:rPr>
              <w:t>2023</w:t>
            </w:r>
          </w:p>
        </w:tc>
      </w:tr>
      <w:tr w:rsidR="00171AA8" w:rsidRPr="00731FE2" w14:paraId="768FE6DB" w14:textId="77777777">
        <w:trPr>
          <w:trHeight w:val="572"/>
        </w:trPr>
        <w:tc>
          <w:tcPr>
            <w:tcW w:w="2813"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36A5D38D" w14:textId="77777777" w:rsidR="00171AA8" w:rsidRPr="00731FE2" w:rsidRDefault="007935AB">
            <w:pPr>
              <w:pBdr>
                <w:top w:val="none" w:sz="4" w:space="0" w:color="000000"/>
                <w:left w:val="none" w:sz="4" w:space="0" w:color="000000"/>
                <w:bottom w:val="none" w:sz="4" w:space="0" w:color="000000"/>
                <w:right w:val="none" w:sz="4" w:space="0" w:color="000000"/>
              </w:pBdr>
              <w:ind w:firstLine="0"/>
            </w:pPr>
            <w:r w:rsidRPr="00731FE2">
              <w:rPr>
                <w:rFonts w:ascii="Times New Roman" w:eastAsia="Times New Roman" w:hAnsi="Times New Roman" w:cs="Times New Roman"/>
                <w:color w:val="000000"/>
                <w:sz w:val="22"/>
              </w:rPr>
              <w:t>Коллективные средства размещения общего назначения, из них</w:t>
            </w:r>
          </w:p>
        </w:tc>
        <w:tc>
          <w:tcPr>
            <w:tcW w:w="1308"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12B1993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129</w:t>
            </w:r>
          </w:p>
        </w:tc>
        <w:tc>
          <w:tcPr>
            <w:tcW w:w="1308"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424FE0B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135</w:t>
            </w:r>
          </w:p>
        </w:tc>
        <w:tc>
          <w:tcPr>
            <w:tcW w:w="1308"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0D6DCC5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139</w:t>
            </w:r>
          </w:p>
        </w:tc>
        <w:tc>
          <w:tcPr>
            <w:tcW w:w="1308"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4844EDF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147</w:t>
            </w:r>
          </w:p>
        </w:tc>
        <w:tc>
          <w:tcPr>
            <w:tcW w:w="1308"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176AC83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162</w:t>
            </w:r>
          </w:p>
        </w:tc>
      </w:tr>
      <w:tr w:rsidR="00171AA8" w:rsidRPr="00731FE2" w14:paraId="0639E77B" w14:textId="77777777">
        <w:trPr>
          <w:trHeight w:val="58"/>
        </w:trPr>
        <w:tc>
          <w:tcPr>
            <w:tcW w:w="2813"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09984996" w14:textId="77777777" w:rsidR="00171AA8" w:rsidRPr="00731FE2" w:rsidRDefault="007935AB">
            <w:pPr>
              <w:pBdr>
                <w:top w:val="none" w:sz="4" w:space="0" w:color="000000"/>
                <w:left w:val="none" w:sz="4" w:space="0" w:color="000000"/>
                <w:bottom w:val="none" w:sz="4" w:space="0" w:color="000000"/>
                <w:right w:val="none" w:sz="4" w:space="0" w:color="000000"/>
              </w:pBdr>
              <w:ind w:firstLine="0"/>
            </w:pPr>
            <w:r w:rsidRPr="00731FE2">
              <w:rPr>
                <w:rFonts w:ascii="Times New Roman" w:eastAsia="Times New Roman" w:hAnsi="Times New Roman" w:cs="Times New Roman"/>
                <w:color w:val="000000"/>
                <w:sz w:val="22"/>
              </w:rPr>
              <w:t>Гостиницы, в т.ч.</w:t>
            </w:r>
          </w:p>
        </w:tc>
        <w:tc>
          <w:tcPr>
            <w:tcW w:w="1308"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324BB3D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85</w:t>
            </w:r>
          </w:p>
        </w:tc>
        <w:tc>
          <w:tcPr>
            <w:tcW w:w="1308"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1D40243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91</w:t>
            </w:r>
          </w:p>
        </w:tc>
        <w:tc>
          <w:tcPr>
            <w:tcW w:w="1308"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40BA204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98</w:t>
            </w:r>
          </w:p>
        </w:tc>
        <w:tc>
          <w:tcPr>
            <w:tcW w:w="1308"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3F753CE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103</w:t>
            </w:r>
          </w:p>
        </w:tc>
        <w:tc>
          <w:tcPr>
            <w:tcW w:w="1308"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0FAD4B9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114</w:t>
            </w:r>
          </w:p>
        </w:tc>
      </w:tr>
      <w:tr w:rsidR="00171AA8" w:rsidRPr="00731FE2" w14:paraId="2E641D69" w14:textId="77777777">
        <w:trPr>
          <w:trHeight w:val="58"/>
        </w:trPr>
        <w:tc>
          <w:tcPr>
            <w:tcW w:w="2813"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76720451" w14:textId="77777777" w:rsidR="00171AA8" w:rsidRPr="00731FE2" w:rsidRDefault="007935AB">
            <w:pPr>
              <w:pBdr>
                <w:top w:val="none" w:sz="4" w:space="0" w:color="000000"/>
                <w:left w:val="none" w:sz="4" w:space="0" w:color="000000"/>
                <w:bottom w:val="none" w:sz="4" w:space="0" w:color="000000"/>
                <w:right w:val="none" w:sz="4" w:space="0" w:color="000000"/>
              </w:pBdr>
              <w:ind w:firstLine="0"/>
            </w:pPr>
            <w:r w:rsidRPr="00731FE2">
              <w:rPr>
                <w:rFonts w:ascii="Times New Roman" w:eastAsia="Times New Roman" w:hAnsi="Times New Roman" w:cs="Times New Roman"/>
                <w:color w:val="000000"/>
                <w:sz w:val="22"/>
              </w:rPr>
              <w:t>4 звезды</w:t>
            </w:r>
          </w:p>
        </w:tc>
        <w:tc>
          <w:tcPr>
            <w:tcW w:w="1308"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0F1C7ED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w:t>
            </w:r>
          </w:p>
        </w:tc>
        <w:tc>
          <w:tcPr>
            <w:tcW w:w="1308"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533A57F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w:t>
            </w:r>
          </w:p>
        </w:tc>
        <w:tc>
          <w:tcPr>
            <w:tcW w:w="1308"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004D8D7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w:t>
            </w:r>
          </w:p>
        </w:tc>
        <w:tc>
          <w:tcPr>
            <w:tcW w:w="1308"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3A3946A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11</w:t>
            </w:r>
          </w:p>
        </w:tc>
        <w:tc>
          <w:tcPr>
            <w:tcW w:w="1308"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4257690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13</w:t>
            </w:r>
          </w:p>
        </w:tc>
      </w:tr>
      <w:tr w:rsidR="00171AA8" w:rsidRPr="00731FE2" w14:paraId="7F4406BD" w14:textId="77777777">
        <w:trPr>
          <w:trHeight w:val="58"/>
        </w:trPr>
        <w:tc>
          <w:tcPr>
            <w:tcW w:w="2813"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51C91B03" w14:textId="77777777" w:rsidR="00171AA8" w:rsidRPr="00731FE2" w:rsidRDefault="007935AB">
            <w:pPr>
              <w:pBdr>
                <w:top w:val="none" w:sz="4" w:space="0" w:color="000000"/>
                <w:left w:val="none" w:sz="4" w:space="0" w:color="000000"/>
                <w:bottom w:val="none" w:sz="4" w:space="0" w:color="000000"/>
                <w:right w:val="none" w:sz="4" w:space="0" w:color="000000"/>
              </w:pBdr>
              <w:ind w:firstLine="0"/>
            </w:pPr>
            <w:r w:rsidRPr="00731FE2">
              <w:rPr>
                <w:rFonts w:ascii="Times New Roman" w:eastAsia="Times New Roman" w:hAnsi="Times New Roman" w:cs="Times New Roman"/>
                <w:color w:val="000000"/>
                <w:sz w:val="22"/>
              </w:rPr>
              <w:t>3 звезды</w:t>
            </w:r>
          </w:p>
        </w:tc>
        <w:tc>
          <w:tcPr>
            <w:tcW w:w="1308"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2B1E221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w:t>
            </w:r>
          </w:p>
        </w:tc>
        <w:tc>
          <w:tcPr>
            <w:tcW w:w="1308"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3E0E008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w:t>
            </w:r>
          </w:p>
        </w:tc>
        <w:tc>
          <w:tcPr>
            <w:tcW w:w="1308"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3A371BC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w:t>
            </w:r>
          </w:p>
        </w:tc>
        <w:tc>
          <w:tcPr>
            <w:tcW w:w="1308"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6F3167D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9</w:t>
            </w:r>
          </w:p>
        </w:tc>
        <w:tc>
          <w:tcPr>
            <w:tcW w:w="1308"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556ADA4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12</w:t>
            </w:r>
          </w:p>
        </w:tc>
      </w:tr>
      <w:tr w:rsidR="00171AA8" w:rsidRPr="00731FE2" w14:paraId="6261E263" w14:textId="77777777">
        <w:trPr>
          <w:trHeight w:val="58"/>
        </w:trPr>
        <w:tc>
          <w:tcPr>
            <w:tcW w:w="2813"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6FC38F05" w14:textId="77777777" w:rsidR="00171AA8" w:rsidRPr="00731FE2" w:rsidRDefault="007935AB">
            <w:pPr>
              <w:pBdr>
                <w:top w:val="none" w:sz="4" w:space="0" w:color="000000"/>
                <w:left w:val="none" w:sz="4" w:space="0" w:color="000000"/>
                <w:bottom w:val="none" w:sz="4" w:space="0" w:color="000000"/>
                <w:right w:val="none" w:sz="4" w:space="0" w:color="000000"/>
              </w:pBdr>
              <w:ind w:firstLine="0"/>
            </w:pPr>
            <w:r w:rsidRPr="00731FE2">
              <w:rPr>
                <w:rFonts w:ascii="Times New Roman" w:eastAsia="Times New Roman" w:hAnsi="Times New Roman" w:cs="Times New Roman"/>
                <w:color w:val="000000"/>
                <w:sz w:val="22"/>
              </w:rPr>
              <w:t>2 звезды</w:t>
            </w:r>
          </w:p>
        </w:tc>
        <w:tc>
          <w:tcPr>
            <w:tcW w:w="1308"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tcPr>
          <w:p w14:paraId="3C52B78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w:t>
            </w:r>
          </w:p>
        </w:tc>
        <w:tc>
          <w:tcPr>
            <w:tcW w:w="1308"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4C5710C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w:t>
            </w:r>
          </w:p>
        </w:tc>
        <w:tc>
          <w:tcPr>
            <w:tcW w:w="1308"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432C7E1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w:t>
            </w:r>
          </w:p>
        </w:tc>
        <w:tc>
          <w:tcPr>
            <w:tcW w:w="1308"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1CEED8C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3</w:t>
            </w:r>
          </w:p>
        </w:tc>
        <w:tc>
          <w:tcPr>
            <w:tcW w:w="1308"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11FE432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6</w:t>
            </w:r>
          </w:p>
        </w:tc>
      </w:tr>
      <w:tr w:rsidR="00171AA8" w:rsidRPr="00731FE2" w14:paraId="5859F4D1" w14:textId="77777777">
        <w:trPr>
          <w:trHeight w:val="58"/>
        </w:trPr>
        <w:tc>
          <w:tcPr>
            <w:tcW w:w="2813"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6036DFE8" w14:textId="77777777" w:rsidR="00171AA8" w:rsidRPr="00731FE2" w:rsidRDefault="007935AB">
            <w:pPr>
              <w:pBdr>
                <w:top w:val="none" w:sz="4" w:space="0" w:color="000000"/>
                <w:left w:val="none" w:sz="4" w:space="0" w:color="000000"/>
                <w:bottom w:val="none" w:sz="4" w:space="0" w:color="000000"/>
                <w:right w:val="none" w:sz="4" w:space="0" w:color="000000"/>
              </w:pBdr>
              <w:ind w:firstLine="0"/>
            </w:pPr>
            <w:r w:rsidRPr="00731FE2">
              <w:rPr>
                <w:rFonts w:ascii="Times New Roman" w:eastAsia="Times New Roman" w:hAnsi="Times New Roman" w:cs="Times New Roman"/>
                <w:color w:val="000000"/>
                <w:sz w:val="22"/>
              </w:rPr>
              <w:t>Число мест, тыс. ед.</w:t>
            </w:r>
          </w:p>
        </w:tc>
        <w:tc>
          <w:tcPr>
            <w:tcW w:w="1308"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3438AF5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14 873</w:t>
            </w:r>
          </w:p>
        </w:tc>
        <w:tc>
          <w:tcPr>
            <w:tcW w:w="1308"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7DAC1B5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15 556</w:t>
            </w:r>
          </w:p>
        </w:tc>
        <w:tc>
          <w:tcPr>
            <w:tcW w:w="1308"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4EA2887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15 950</w:t>
            </w:r>
          </w:p>
        </w:tc>
        <w:tc>
          <w:tcPr>
            <w:tcW w:w="1308"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4C591FC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16 992</w:t>
            </w:r>
          </w:p>
        </w:tc>
        <w:tc>
          <w:tcPr>
            <w:tcW w:w="1308"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122609F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17 551</w:t>
            </w:r>
          </w:p>
        </w:tc>
      </w:tr>
    </w:tbl>
    <w:p w14:paraId="0E11E1D3" w14:textId="77777777" w:rsidR="00171AA8" w:rsidRPr="00731FE2" w:rsidRDefault="00171AA8">
      <w:pPr>
        <w:pBdr>
          <w:top w:val="none" w:sz="4" w:space="0" w:color="000000"/>
          <w:left w:val="none" w:sz="4" w:space="0" w:color="000000"/>
          <w:bottom w:val="none" w:sz="4" w:space="0" w:color="000000"/>
          <w:right w:val="none" w:sz="4" w:space="0" w:color="000000"/>
        </w:pBdr>
        <w:spacing w:line="253" w:lineRule="atLeast"/>
        <w:rPr>
          <w:rFonts w:ascii="Calibri" w:eastAsia="Calibri" w:hAnsi="Calibri" w:cs="Calibri"/>
          <w:sz w:val="22"/>
        </w:rPr>
      </w:pPr>
    </w:p>
    <w:p w14:paraId="5F1124B5" w14:textId="75232A24" w:rsidR="00171AA8" w:rsidRPr="00731FE2" w:rsidRDefault="007935AB">
      <w:pPr>
        <w:pBdr>
          <w:top w:val="none" w:sz="4" w:space="0" w:color="000000"/>
          <w:left w:val="none" w:sz="4" w:space="0" w:color="000000"/>
          <w:bottom w:val="none" w:sz="4" w:space="0" w:color="000000"/>
          <w:right w:val="none" w:sz="4" w:space="0" w:color="000000"/>
        </w:pBdr>
      </w:pPr>
      <w:r w:rsidRPr="00731FE2">
        <w:rPr>
          <w:rFonts w:ascii="Times New Roman" w:eastAsia="Times New Roman" w:hAnsi="Times New Roman" w:cs="Times New Roman"/>
          <w:color w:val="000000"/>
        </w:rPr>
        <w:t>В городе-курорте Кисловодске отдыхающие наряду с оздоровлением в санаториях могут воспользоваться туристским ресурсом. В городе функционируют 33 туристск</w:t>
      </w:r>
      <w:r w:rsidR="007C1F6E" w:rsidRPr="00731FE2">
        <w:rPr>
          <w:rFonts w:ascii="Times New Roman" w:eastAsia="Times New Roman" w:hAnsi="Times New Roman" w:cs="Times New Roman"/>
          <w:color w:val="000000"/>
        </w:rPr>
        <w:t>их</w:t>
      </w:r>
      <w:r w:rsidRPr="00731FE2">
        <w:rPr>
          <w:rFonts w:ascii="Times New Roman" w:eastAsia="Times New Roman" w:hAnsi="Times New Roman" w:cs="Times New Roman"/>
          <w:color w:val="000000"/>
        </w:rPr>
        <w:t xml:space="preserve"> организаци</w:t>
      </w:r>
      <w:r w:rsidR="007C1F6E" w:rsidRPr="00731FE2">
        <w:rPr>
          <w:rFonts w:ascii="Times New Roman" w:eastAsia="Times New Roman" w:hAnsi="Times New Roman" w:cs="Times New Roman"/>
          <w:color w:val="000000"/>
        </w:rPr>
        <w:t>й</w:t>
      </w:r>
      <w:r w:rsidRPr="00731FE2">
        <w:rPr>
          <w:rFonts w:ascii="Times New Roman" w:eastAsia="Times New Roman" w:hAnsi="Times New Roman" w:cs="Times New Roman"/>
          <w:color w:val="000000"/>
        </w:rPr>
        <w:t>, из них 23 предоставляют экскурсионное обслуживание по Кисловодску, городам КМВ и Северному Кавказу, организуют спортивные, экстремальные, познавательные туры для жителей и гостей города-курорта.</w:t>
      </w:r>
    </w:p>
    <w:p w14:paraId="2FBA116A" w14:textId="77777777" w:rsidR="00171AA8" w:rsidRPr="00731FE2" w:rsidRDefault="00171AA8">
      <w:pPr>
        <w:pBdr>
          <w:top w:val="none" w:sz="4" w:space="0" w:color="000000"/>
          <w:left w:val="none" w:sz="4" w:space="0" w:color="000000"/>
          <w:bottom w:val="none" w:sz="4" w:space="0" w:color="000000"/>
          <w:right w:val="none" w:sz="4" w:space="0" w:color="000000"/>
        </w:pBdr>
        <w:spacing w:line="253" w:lineRule="atLeast"/>
        <w:ind w:firstLine="0"/>
      </w:pPr>
    </w:p>
    <w:p w14:paraId="103AEB4C" w14:textId="77777777" w:rsidR="00171AA8" w:rsidRPr="00731FE2" w:rsidRDefault="007935AB">
      <w:pPr>
        <w:pBdr>
          <w:top w:val="none" w:sz="4" w:space="0" w:color="000000"/>
          <w:left w:val="none" w:sz="4" w:space="0" w:color="000000"/>
          <w:bottom w:val="none" w:sz="4" w:space="0" w:color="000000"/>
          <w:right w:val="none" w:sz="4" w:space="0" w:color="000000"/>
        </w:pBdr>
        <w:spacing w:line="276" w:lineRule="atLeast"/>
        <w:ind w:firstLine="0"/>
        <w:rPr>
          <w:rFonts w:ascii="Times New Roman" w:eastAsia="Times New Roman" w:hAnsi="Times New Roman" w:cs="Times New Roman"/>
          <w:b/>
          <w:bCs/>
          <w:color w:val="000000"/>
          <w:szCs w:val="24"/>
        </w:rPr>
      </w:pPr>
      <w:r w:rsidRPr="00731FE2">
        <w:rPr>
          <w:rFonts w:ascii="Times New Roman" w:eastAsia="Times New Roman" w:hAnsi="Times New Roman" w:cs="Times New Roman"/>
          <w:b/>
          <w:bCs/>
          <w:color w:val="000000"/>
          <w:szCs w:val="24"/>
        </w:rPr>
        <w:t xml:space="preserve">Таблица </w:t>
      </w:r>
      <w:r w:rsidRPr="00731FE2">
        <w:rPr>
          <w:rFonts w:ascii="Times New Roman" w:eastAsia="Times New Roman" w:hAnsi="Times New Roman" w:cs="Times New Roman"/>
          <w:b/>
          <w:bCs/>
          <w:color w:val="000000"/>
          <w:szCs w:val="24"/>
        </w:rPr>
        <w:fldChar w:fldCharType="begin"/>
      </w:r>
      <w:r w:rsidRPr="00731FE2">
        <w:rPr>
          <w:rFonts w:ascii="Times New Roman" w:eastAsia="Times New Roman" w:hAnsi="Times New Roman" w:cs="Times New Roman"/>
          <w:b/>
          <w:bCs/>
          <w:color w:val="000000"/>
          <w:szCs w:val="24"/>
        </w:rPr>
        <w:instrText xml:space="preserve"> SEQ Таблица \* Arabic </w:instrText>
      </w:r>
      <w:r w:rsidRPr="00731FE2">
        <w:rPr>
          <w:rFonts w:ascii="Times New Roman" w:eastAsia="Times New Roman" w:hAnsi="Times New Roman" w:cs="Times New Roman"/>
          <w:b/>
          <w:bCs/>
          <w:color w:val="000000"/>
          <w:szCs w:val="24"/>
        </w:rPr>
        <w:fldChar w:fldCharType="separate"/>
      </w:r>
      <w:r w:rsidR="00C50915" w:rsidRPr="00731FE2">
        <w:rPr>
          <w:rFonts w:ascii="Times New Roman" w:eastAsia="Times New Roman" w:hAnsi="Times New Roman" w:cs="Times New Roman"/>
          <w:b/>
          <w:bCs/>
          <w:noProof/>
          <w:color w:val="000000"/>
          <w:szCs w:val="24"/>
        </w:rPr>
        <w:t>21</w:t>
      </w:r>
      <w:r w:rsidRPr="00731FE2">
        <w:rPr>
          <w:rFonts w:ascii="Times New Roman" w:eastAsia="Times New Roman" w:hAnsi="Times New Roman" w:cs="Times New Roman"/>
          <w:b/>
          <w:bCs/>
          <w:color w:val="000000"/>
          <w:szCs w:val="24"/>
        </w:rPr>
        <w:fldChar w:fldCharType="end"/>
      </w:r>
      <w:r w:rsidRPr="00731FE2">
        <w:rPr>
          <w:rFonts w:ascii="Times New Roman" w:eastAsia="Times New Roman" w:hAnsi="Times New Roman" w:cs="Times New Roman"/>
          <w:b/>
          <w:bCs/>
          <w:color w:val="000000"/>
          <w:szCs w:val="24"/>
        </w:rPr>
        <w:t xml:space="preserve"> – Перечень туристических фирм на территории города-курорта Кисловодска</w:t>
      </w:r>
    </w:p>
    <w:tbl>
      <w:tblPr>
        <w:tblStyle w:val="afe"/>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ayout w:type="fixed"/>
        <w:tblLook w:val="04A0" w:firstRow="1" w:lastRow="0" w:firstColumn="1" w:lastColumn="0" w:noHBand="0" w:noVBand="1"/>
      </w:tblPr>
      <w:tblGrid>
        <w:gridCol w:w="708"/>
        <w:gridCol w:w="4845"/>
        <w:gridCol w:w="3801"/>
      </w:tblGrid>
      <w:tr w:rsidR="00171AA8" w:rsidRPr="00731FE2" w14:paraId="70457EF3" w14:textId="77777777">
        <w:trPr>
          <w:trHeight w:val="330"/>
        </w:trPr>
        <w:tc>
          <w:tcPr>
            <w:tcW w:w="7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F6189A4"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b/>
                <w:bCs/>
                <w:color w:val="000000"/>
                <w:sz w:val="22"/>
              </w:rPr>
            </w:pPr>
            <w:r w:rsidRPr="00731FE2">
              <w:rPr>
                <w:rFonts w:ascii="Times New Roman" w:eastAsia="Times New Roman" w:hAnsi="Times New Roman" w:cs="Times New Roman"/>
                <w:b/>
                <w:bCs/>
                <w:color w:val="000000"/>
                <w:sz w:val="22"/>
              </w:rPr>
              <w:t xml:space="preserve">№ </w:t>
            </w:r>
            <w:proofErr w:type="gramStart"/>
            <w:r w:rsidRPr="00731FE2">
              <w:rPr>
                <w:rFonts w:ascii="Times New Roman" w:eastAsia="Times New Roman" w:hAnsi="Times New Roman" w:cs="Times New Roman"/>
                <w:b/>
                <w:bCs/>
                <w:color w:val="000000"/>
                <w:sz w:val="22"/>
              </w:rPr>
              <w:t>п</w:t>
            </w:r>
            <w:proofErr w:type="gramEnd"/>
            <w:r w:rsidRPr="00731FE2">
              <w:rPr>
                <w:rFonts w:ascii="Times New Roman" w:eastAsia="Times New Roman" w:hAnsi="Times New Roman" w:cs="Times New Roman"/>
                <w:b/>
                <w:bCs/>
                <w:color w:val="000000"/>
                <w:sz w:val="22"/>
              </w:rPr>
              <w:t>/п</w:t>
            </w:r>
          </w:p>
        </w:tc>
        <w:tc>
          <w:tcPr>
            <w:tcW w:w="48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BEA39EA"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b/>
                <w:bCs/>
                <w:color w:val="000000"/>
                <w:sz w:val="22"/>
              </w:rPr>
            </w:pPr>
            <w:r w:rsidRPr="00731FE2">
              <w:rPr>
                <w:rFonts w:ascii="Times New Roman" w:eastAsia="Times New Roman" w:hAnsi="Times New Roman" w:cs="Times New Roman"/>
                <w:b/>
                <w:bCs/>
                <w:color w:val="000000"/>
                <w:sz w:val="22"/>
              </w:rPr>
              <w:t>Наименование предприятия</w:t>
            </w:r>
          </w:p>
        </w:tc>
        <w:tc>
          <w:tcPr>
            <w:tcW w:w="38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3BC779D"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b/>
                <w:bCs/>
                <w:color w:val="000000"/>
                <w:sz w:val="22"/>
              </w:rPr>
            </w:pPr>
            <w:r w:rsidRPr="00731FE2">
              <w:rPr>
                <w:rFonts w:ascii="Times New Roman" w:eastAsia="Times New Roman" w:hAnsi="Times New Roman" w:cs="Times New Roman"/>
                <w:b/>
                <w:bCs/>
                <w:color w:val="000000"/>
                <w:sz w:val="22"/>
              </w:rPr>
              <w:t>Место расположения</w:t>
            </w:r>
          </w:p>
        </w:tc>
      </w:tr>
      <w:tr w:rsidR="00171AA8" w:rsidRPr="00731FE2" w14:paraId="385AF424" w14:textId="77777777">
        <w:trPr>
          <w:trHeight w:val="448"/>
        </w:trPr>
        <w:tc>
          <w:tcPr>
            <w:tcW w:w="7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52423F8" w14:textId="77777777" w:rsidR="00171AA8" w:rsidRPr="00731FE2" w:rsidRDefault="00171AA8">
            <w:pPr>
              <w:pStyle w:val="a3"/>
              <w:numPr>
                <w:ilvl w:val="0"/>
                <w:numId w:val="25"/>
              </w:numPr>
              <w:ind w:left="0" w:firstLine="0"/>
              <w:rPr>
                <w:sz w:val="20"/>
                <w:szCs w:val="20"/>
              </w:rPr>
            </w:pPr>
          </w:p>
        </w:tc>
        <w:tc>
          <w:tcPr>
            <w:tcW w:w="48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684A5F4"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ООО «Алеан – КМВ»</w:t>
            </w:r>
          </w:p>
        </w:tc>
        <w:tc>
          <w:tcPr>
            <w:tcW w:w="38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9DF58B4"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Курортный бульвар, 10</w:t>
            </w:r>
          </w:p>
        </w:tc>
      </w:tr>
      <w:tr w:rsidR="00171AA8" w:rsidRPr="00731FE2" w14:paraId="3DDE218B" w14:textId="77777777">
        <w:trPr>
          <w:trHeight w:val="146"/>
        </w:trPr>
        <w:tc>
          <w:tcPr>
            <w:tcW w:w="7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454E17F" w14:textId="77777777" w:rsidR="00171AA8" w:rsidRPr="00731FE2" w:rsidRDefault="00171AA8">
            <w:pPr>
              <w:pStyle w:val="a3"/>
              <w:numPr>
                <w:ilvl w:val="0"/>
                <w:numId w:val="25"/>
              </w:numPr>
              <w:ind w:left="0" w:firstLine="0"/>
              <w:rPr>
                <w:sz w:val="20"/>
                <w:szCs w:val="20"/>
              </w:rPr>
            </w:pPr>
          </w:p>
        </w:tc>
        <w:tc>
          <w:tcPr>
            <w:tcW w:w="48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75B8581"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ООО «Ариана»</w:t>
            </w:r>
          </w:p>
          <w:p w14:paraId="2D1D5A77"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Терского казачьего войска</w:t>
            </w:r>
          </w:p>
        </w:tc>
        <w:tc>
          <w:tcPr>
            <w:tcW w:w="38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A244E56"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Курортный бульвар, 14Б</w:t>
            </w:r>
          </w:p>
        </w:tc>
      </w:tr>
      <w:tr w:rsidR="00171AA8" w:rsidRPr="00731FE2" w14:paraId="60B1B40F" w14:textId="77777777">
        <w:trPr>
          <w:trHeight w:val="146"/>
        </w:trPr>
        <w:tc>
          <w:tcPr>
            <w:tcW w:w="7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DB9A558" w14:textId="77777777" w:rsidR="00171AA8" w:rsidRPr="00731FE2" w:rsidRDefault="00171AA8">
            <w:pPr>
              <w:pStyle w:val="a3"/>
              <w:numPr>
                <w:ilvl w:val="0"/>
                <w:numId w:val="25"/>
              </w:numPr>
              <w:ind w:left="0" w:firstLine="0"/>
              <w:rPr>
                <w:sz w:val="20"/>
                <w:szCs w:val="20"/>
              </w:rPr>
            </w:pPr>
          </w:p>
        </w:tc>
        <w:tc>
          <w:tcPr>
            <w:tcW w:w="48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608DE43"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ООО Туристическая компания «Баттерфляй»</w:t>
            </w:r>
          </w:p>
        </w:tc>
        <w:tc>
          <w:tcPr>
            <w:tcW w:w="38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D437A25"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ул. Островского 27</w:t>
            </w:r>
          </w:p>
        </w:tc>
      </w:tr>
      <w:tr w:rsidR="00171AA8" w:rsidRPr="00731FE2" w14:paraId="4224BB9D" w14:textId="77777777">
        <w:trPr>
          <w:trHeight w:val="146"/>
        </w:trPr>
        <w:tc>
          <w:tcPr>
            <w:tcW w:w="7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C557C64" w14:textId="77777777" w:rsidR="00171AA8" w:rsidRPr="00731FE2" w:rsidRDefault="00171AA8">
            <w:pPr>
              <w:pStyle w:val="a3"/>
              <w:numPr>
                <w:ilvl w:val="0"/>
                <w:numId w:val="25"/>
              </w:numPr>
              <w:ind w:left="0" w:firstLine="0"/>
              <w:rPr>
                <w:sz w:val="20"/>
                <w:szCs w:val="20"/>
              </w:rPr>
            </w:pPr>
          </w:p>
        </w:tc>
        <w:tc>
          <w:tcPr>
            <w:tcW w:w="48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691D31C"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ООО Турфирма «Вояж»</w:t>
            </w:r>
          </w:p>
        </w:tc>
        <w:tc>
          <w:tcPr>
            <w:tcW w:w="38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35C9749"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ул. Гастелло, 28А</w:t>
            </w:r>
          </w:p>
        </w:tc>
      </w:tr>
      <w:tr w:rsidR="00171AA8" w:rsidRPr="00731FE2" w14:paraId="08E12F7A" w14:textId="77777777">
        <w:trPr>
          <w:trHeight w:val="146"/>
        </w:trPr>
        <w:tc>
          <w:tcPr>
            <w:tcW w:w="7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63E45B0" w14:textId="77777777" w:rsidR="00171AA8" w:rsidRPr="00731FE2" w:rsidRDefault="00171AA8">
            <w:pPr>
              <w:pStyle w:val="a3"/>
              <w:numPr>
                <w:ilvl w:val="0"/>
                <w:numId w:val="25"/>
              </w:numPr>
              <w:ind w:left="0" w:firstLine="0"/>
              <w:rPr>
                <w:sz w:val="20"/>
                <w:szCs w:val="20"/>
              </w:rPr>
            </w:pPr>
          </w:p>
        </w:tc>
        <w:tc>
          <w:tcPr>
            <w:tcW w:w="48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E0427A2"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ИП «Лавина»</w:t>
            </w:r>
          </w:p>
        </w:tc>
        <w:tc>
          <w:tcPr>
            <w:tcW w:w="38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071629F"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ул. Курганная, 32</w:t>
            </w:r>
          </w:p>
        </w:tc>
      </w:tr>
      <w:tr w:rsidR="00171AA8" w:rsidRPr="00731FE2" w14:paraId="5DFFD49B" w14:textId="77777777">
        <w:trPr>
          <w:trHeight w:val="146"/>
        </w:trPr>
        <w:tc>
          <w:tcPr>
            <w:tcW w:w="7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1E71A43" w14:textId="77777777" w:rsidR="00171AA8" w:rsidRPr="00731FE2" w:rsidRDefault="00171AA8">
            <w:pPr>
              <w:pStyle w:val="a3"/>
              <w:numPr>
                <w:ilvl w:val="0"/>
                <w:numId w:val="25"/>
              </w:numPr>
              <w:ind w:left="0" w:firstLine="0"/>
              <w:rPr>
                <w:sz w:val="20"/>
                <w:szCs w:val="20"/>
              </w:rPr>
            </w:pPr>
          </w:p>
        </w:tc>
        <w:tc>
          <w:tcPr>
            <w:tcW w:w="48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9E745FE"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ООО «Кавказ – Трэвел»</w:t>
            </w:r>
          </w:p>
        </w:tc>
        <w:tc>
          <w:tcPr>
            <w:tcW w:w="38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8751052"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пр. Победы, 33А</w:t>
            </w:r>
          </w:p>
        </w:tc>
      </w:tr>
      <w:tr w:rsidR="00171AA8" w:rsidRPr="00731FE2" w14:paraId="7DD3B15F" w14:textId="77777777">
        <w:trPr>
          <w:trHeight w:val="146"/>
        </w:trPr>
        <w:tc>
          <w:tcPr>
            <w:tcW w:w="7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A8C2EB4" w14:textId="77777777" w:rsidR="00171AA8" w:rsidRPr="00731FE2" w:rsidRDefault="00171AA8">
            <w:pPr>
              <w:pStyle w:val="a3"/>
              <w:numPr>
                <w:ilvl w:val="0"/>
                <w:numId w:val="25"/>
              </w:numPr>
              <w:ind w:left="0" w:firstLine="0"/>
              <w:rPr>
                <w:sz w:val="20"/>
                <w:szCs w:val="20"/>
              </w:rPr>
            </w:pPr>
          </w:p>
        </w:tc>
        <w:tc>
          <w:tcPr>
            <w:tcW w:w="48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EE8748D"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ООО «Вершина»</w:t>
            </w:r>
          </w:p>
        </w:tc>
        <w:tc>
          <w:tcPr>
            <w:tcW w:w="38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6CC11CD"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ул. Горького, 17Б</w:t>
            </w:r>
          </w:p>
        </w:tc>
      </w:tr>
      <w:tr w:rsidR="00171AA8" w:rsidRPr="00731FE2" w14:paraId="4D503460" w14:textId="77777777">
        <w:trPr>
          <w:trHeight w:val="146"/>
        </w:trPr>
        <w:tc>
          <w:tcPr>
            <w:tcW w:w="7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D4889CA" w14:textId="77777777" w:rsidR="00171AA8" w:rsidRPr="00731FE2" w:rsidRDefault="00171AA8">
            <w:pPr>
              <w:pStyle w:val="a3"/>
              <w:numPr>
                <w:ilvl w:val="0"/>
                <w:numId w:val="25"/>
              </w:numPr>
              <w:ind w:left="0" w:firstLine="0"/>
              <w:rPr>
                <w:sz w:val="20"/>
                <w:szCs w:val="20"/>
              </w:rPr>
            </w:pPr>
          </w:p>
        </w:tc>
        <w:tc>
          <w:tcPr>
            <w:tcW w:w="48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2DAE306"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ООО Единая курортная сеть «Курортный магазин»</w:t>
            </w:r>
          </w:p>
        </w:tc>
        <w:tc>
          <w:tcPr>
            <w:tcW w:w="38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2443273"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 xml:space="preserve">пр. Первомайский, 25 </w:t>
            </w:r>
          </w:p>
        </w:tc>
      </w:tr>
      <w:tr w:rsidR="00171AA8" w:rsidRPr="00731FE2" w14:paraId="38F29F57" w14:textId="77777777">
        <w:trPr>
          <w:trHeight w:val="146"/>
        </w:trPr>
        <w:tc>
          <w:tcPr>
            <w:tcW w:w="7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8F63579" w14:textId="77777777" w:rsidR="00171AA8" w:rsidRPr="00731FE2" w:rsidRDefault="00171AA8">
            <w:pPr>
              <w:pStyle w:val="a3"/>
              <w:numPr>
                <w:ilvl w:val="0"/>
                <w:numId w:val="25"/>
              </w:numPr>
              <w:ind w:left="0" w:firstLine="0"/>
              <w:rPr>
                <w:sz w:val="20"/>
                <w:szCs w:val="20"/>
              </w:rPr>
            </w:pPr>
          </w:p>
        </w:tc>
        <w:tc>
          <w:tcPr>
            <w:tcW w:w="48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86E1A54"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ООО «КМВ-Курорт»</w:t>
            </w:r>
          </w:p>
        </w:tc>
        <w:tc>
          <w:tcPr>
            <w:tcW w:w="38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2F4EB45"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ул. Марцинкевича, 88/13</w:t>
            </w:r>
          </w:p>
        </w:tc>
      </w:tr>
      <w:tr w:rsidR="00171AA8" w:rsidRPr="00731FE2" w14:paraId="3FFBC152" w14:textId="77777777">
        <w:trPr>
          <w:trHeight w:val="146"/>
        </w:trPr>
        <w:tc>
          <w:tcPr>
            <w:tcW w:w="7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ED7AE63" w14:textId="77777777" w:rsidR="00171AA8" w:rsidRPr="00731FE2" w:rsidRDefault="00171AA8">
            <w:pPr>
              <w:pStyle w:val="a3"/>
              <w:numPr>
                <w:ilvl w:val="0"/>
                <w:numId w:val="25"/>
              </w:numPr>
              <w:ind w:left="0" w:firstLine="0"/>
              <w:rPr>
                <w:sz w:val="20"/>
                <w:szCs w:val="20"/>
              </w:rPr>
            </w:pPr>
          </w:p>
        </w:tc>
        <w:tc>
          <w:tcPr>
            <w:tcW w:w="48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349E761"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ООО «Курортное Бюро Кисловодска»</w:t>
            </w:r>
          </w:p>
        </w:tc>
        <w:tc>
          <w:tcPr>
            <w:tcW w:w="38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53E3ECC"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ул. Вокзальная, 17</w:t>
            </w:r>
          </w:p>
        </w:tc>
      </w:tr>
      <w:tr w:rsidR="00171AA8" w:rsidRPr="00731FE2" w14:paraId="6D7B9C9B" w14:textId="77777777">
        <w:trPr>
          <w:trHeight w:val="146"/>
        </w:trPr>
        <w:tc>
          <w:tcPr>
            <w:tcW w:w="7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8343CE2" w14:textId="77777777" w:rsidR="00171AA8" w:rsidRPr="00731FE2" w:rsidRDefault="00171AA8">
            <w:pPr>
              <w:pStyle w:val="a3"/>
              <w:numPr>
                <w:ilvl w:val="0"/>
                <w:numId w:val="25"/>
              </w:numPr>
              <w:ind w:left="0" w:firstLine="0"/>
              <w:rPr>
                <w:sz w:val="20"/>
                <w:szCs w:val="20"/>
              </w:rPr>
            </w:pPr>
          </w:p>
        </w:tc>
        <w:tc>
          <w:tcPr>
            <w:tcW w:w="48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71078A0"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ИП «Отдых дикарем»</w:t>
            </w:r>
          </w:p>
        </w:tc>
        <w:tc>
          <w:tcPr>
            <w:tcW w:w="38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DF079C0"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ул. Вокзальная, 17А</w:t>
            </w:r>
          </w:p>
        </w:tc>
      </w:tr>
      <w:tr w:rsidR="00171AA8" w:rsidRPr="00731FE2" w14:paraId="74E1CD58" w14:textId="77777777">
        <w:trPr>
          <w:trHeight w:val="146"/>
        </w:trPr>
        <w:tc>
          <w:tcPr>
            <w:tcW w:w="7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A33C8B1" w14:textId="77777777" w:rsidR="00171AA8" w:rsidRPr="00731FE2" w:rsidRDefault="00171AA8">
            <w:pPr>
              <w:pStyle w:val="a3"/>
              <w:numPr>
                <w:ilvl w:val="0"/>
                <w:numId w:val="25"/>
              </w:numPr>
              <w:ind w:left="0" w:firstLine="0"/>
              <w:rPr>
                <w:sz w:val="20"/>
                <w:szCs w:val="20"/>
              </w:rPr>
            </w:pPr>
          </w:p>
        </w:tc>
        <w:tc>
          <w:tcPr>
            <w:tcW w:w="48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FA6F4CE"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ООО Профессиональная компания «Олимп»</w:t>
            </w:r>
          </w:p>
        </w:tc>
        <w:tc>
          <w:tcPr>
            <w:tcW w:w="38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30A801D"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ул. Горького, 1</w:t>
            </w:r>
          </w:p>
        </w:tc>
      </w:tr>
      <w:tr w:rsidR="00171AA8" w:rsidRPr="00731FE2" w14:paraId="1B1D2602" w14:textId="77777777">
        <w:trPr>
          <w:trHeight w:val="146"/>
        </w:trPr>
        <w:tc>
          <w:tcPr>
            <w:tcW w:w="7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58FB011" w14:textId="77777777" w:rsidR="00171AA8" w:rsidRPr="00731FE2" w:rsidRDefault="00171AA8">
            <w:pPr>
              <w:pStyle w:val="a3"/>
              <w:numPr>
                <w:ilvl w:val="0"/>
                <w:numId w:val="25"/>
              </w:numPr>
              <w:ind w:left="0" w:firstLine="0"/>
              <w:rPr>
                <w:sz w:val="20"/>
                <w:szCs w:val="20"/>
              </w:rPr>
            </w:pPr>
          </w:p>
        </w:tc>
        <w:tc>
          <w:tcPr>
            <w:tcW w:w="48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46242D5"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ООО «Региональный Туристический Центр»</w:t>
            </w:r>
          </w:p>
        </w:tc>
        <w:tc>
          <w:tcPr>
            <w:tcW w:w="38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8AACA3C"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ул. Азербайджанская, 43</w:t>
            </w:r>
          </w:p>
        </w:tc>
      </w:tr>
      <w:tr w:rsidR="00171AA8" w:rsidRPr="00731FE2" w14:paraId="0AA48719" w14:textId="77777777">
        <w:trPr>
          <w:trHeight w:val="146"/>
        </w:trPr>
        <w:tc>
          <w:tcPr>
            <w:tcW w:w="7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847D5C5" w14:textId="77777777" w:rsidR="00171AA8" w:rsidRPr="00731FE2" w:rsidRDefault="00171AA8">
            <w:pPr>
              <w:pStyle w:val="a3"/>
              <w:numPr>
                <w:ilvl w:val="0"/>
                <w:numId w:val="25"/>
              </w:numPr>
              <w:ind w:left="0" w:firstLine="0"/>
              <w:rPr>
                <w:sz w:val="20"/>
                <w:szCs w:val="20"/>
              </w:rPr>
            </w:pPr>
          </w:p>
        </w:tc>
        <w:tc>
          <w:tcPr>
            <w:tcW w:w="48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6E0C581"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ИП «Магазин горящих путевок»</w:t>
            </w:r>
          </w:p>
        </w:tc>
        <w:tc>
          <w:tcPr>
            <w:tcW w:w="38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8059EA8"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пр. Первомайский, 25А</w:t>
            </w:r>
          </w:p>
        </w:tc>
      </w:tr>
      <w:tr w:rsidR="00171AA8" w:rsidRPr="00731FE2" w14:paraId="7EF1AD2E" w14:textId="77777777">
        <w:trPr>
          <w:trHeight w:val="146"/>
        </w:trPr>
        <w:tc>
          <w:tcPr>
            <w:tcW w:w="7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4DF8B7E" w14:textId="77777777" w:rsidR="00171AA8" w:rsidRPr="00731FE2" w:rsidRDefault="00171AA8">
            <w:pPr>
              <w:pStyle w:val="a3"/>
              <w:numPr>
                <w:ilvl w:val="0"/>
                <w:numId w:val="25"/>
              </w:numPr>
              <w:ind w:left="0" w:firstLine="0"/>
              <w:rPr>
                <w:sz w:val="20"/>
                <w:szCs w:val="20"/>
              </w:rPr>
            </w:pPr>
          </w:p>
        </w:tc>
        <w:tc>
          <w:tcPr>
            <w:tcW w:w="48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EF75090"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ООО «Русские курорты»</w:t>
            </w:r>
          </w:p>
        </w:tc>
        <w:tc>
          <w:tcPr>
            <w:tcW w:w="38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0DAA4D1"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Курортный бульвар, 10</w:t>
            </w:r>
          </w:p>
        </w:tc>
      </w:tr>
      <w:tr w:rsidR="00171AA8" w:rsidRPr="00731FE2" w14:paraId="3315E9FC" w14:textId="77777777">
        <w:trPr>
          <w:trHeight w:val="146"/>
        </w:trPr>
        <w:tc>
          <w:tcPr>
            <w:tcW w:w="7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88DB3F3" w14:textId="77777777" w:rsidR="00171AA8" w:rsidRPr="00731FE2" w:rsidRDefault="00171AA8">
            <w:pPr>
              <w:pStyle w:val="a3"/>
              <w:numPr>
                <w:ilvl w:val="0"/>
                <w:numId w:val="25"/>
              </w:numPr>
              <w:ind w:left="0" w:firstLine="0"/>
              <w:rPr>
                <w:sz w:val="20"/>
                <w:szCs w:val="20"/>
              </w:rPr>
            </w:pPr>
          </w:p>
        </w:tc>
        <w:tc>
          <w:tcPr>
            <w:tcW w:w="48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F3D3D08"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ООО Бюро экскурсий и путешествий «Танекс»</w:t>
            </w:r>
          </w:p>
        </w:tc>
        <w:tc>
          <w:tcPr>
            <w:tcW w:w="38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B5B27E2"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ул. Шаляпина, 17</w:t>
            </w:r>
          </w:p>
        </w:tc>
      </w:tr>
      <w:tr w:rsidR="00171AA8" w:rsidRPr="00731FE2" w14:paraId="0130A124" w14:textId="77777777">
        <w:trPr>
          <w:trHeight w:val="146"/>
        </w:trPr>
        <w:tc>
          <w:tcPr>
            <w:tcW w:w="7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ABE3D10" w14:textId="77777777" w:rsidR="00171AA8" w:rsidRPr="00731FE2" w:rsidRDefault="00171AA8">
            <w:pPr>
              <w:pStyle w:val="a3"/>
              <w:numPr>
                <w:ilvl w:val="0"/>
                <w:numId w:val="25"/>
              </w:numPr>
              <w:ind w:left="0" w:firstLine="0"/>
              <w:rPr>
                <w:sz w:val="20"/>
                <w:szCs w:val="20"/>
              </w:rPr>
            </w:pPr>
          </w:p>
        </w:tc>
        <w:tc>
          <w:tcPr>
            <w:tcW w:w="48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F398AD2"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ООО «Дарина-Тур»</w:t>
            </w:r>
          </w:p>
        </w:tc>
        <w:tc>
          <w:tcPr>
            <w:tcW w:w="38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D8F655D"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Курортный бульвар, 10/15</w:t>
            </w:r>
          </w:p>
        </w:tc>
      </w:tr>
      <w:tr w:rsidR="00171AA8" w:rsidRPr="00731FE2" w14:paraId="12335368" w14:textId="77777777">
        <w:trPr>
          <w:trHeight w:val="146"/>
        </w:trPr>
        <w:tc>
          <w:tcPr>
            <w:tcW w:w="7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1A29B66" w14:textId="77777777" w:rsidR="00171AA8" w:rsidRPr="00731FE2" w:rsidRDefault="00171AA8">
            <w:pPr>
              <w:pStyle w:val="a3"/>
              <w:numPr>
                <w:ilvl w:val="0"/>
                <w:numId w:val="25"/>
              </w:numPr>
              <w:ind w:left="0" w:firstLine="0"/>
              <w:rPr>
                <w:sz w:val="20"/>
                <w:szCs w:val="20"/>
              </w:rPr>
            </w:pPr>
          </w:p>
        </w:tc>
        <w:tc>
          <w:tcPr>
            <w:tcW w:w="48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630702D"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ИП «Кавказ Вояж Тур»</w:t>
            </w:r>
          </w:p>
        </w:tc>
        <w:tc>
          <w:tcPr>
            <w:tcW w:w="38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B4C1E4D"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пр. Первомайский, 27</w:t>
            </w:r>
          </w:p>
        </w:tc>
      </w:tr>
      <w:tr w:rsidR="00171AA8" w:rsidRPr="00731FE2" w14:paraId="1151F0BF" w14:textId="77777777">
        <w:trPr>
          <w:trHeight w:val="146"/>
        </w:trPr>
        <w:tc>
          <w:tcPr>
            <w:tcW w:w="7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61371AE" w14:textId="77777777" w:rsidR="00171AA8" w:rsidRPr="00731FE2" w:rsidRDefault="00171AA8">
            <w:pPr>
              <w:pStyle w:val="a3"/>
              <w:numPr>
                <w:ilvl w:val="0"/>
                <w:numId w:val="25"/>
              </w:numPr>
              <w:ind w:left="0" w:firstLine="0"/>
              <w:rPr>
                <w:sz w:val="20"/>
                <w:szCs w:val="20"/>
              </w:rPr>
            </w:pPr>
          </w:p>
        </w:tc>
        <w:tc>
          <w:tcPr>
            <w:tcW w:w="48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2FD0331"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ООО «Кисловодск-тур»</w:t>
            </w:r>
          </w:p>
        </w:tc>
        <w:tc>
          <w:tcPr>
            <w:tcW w:w="38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F70469D"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ул. Тельмана, 42</w:t>
            </w:r>
          </w:p>
        </w:tc>
      </w:tr>
      <w:tr w:rsidR="00171AA8" w:rsidRPr="00731FE2" w14:paraId="31A2E690" w14:textId="77777777">
        <w:trPr>
          <w:trHeight w:val="146"/>
        </w:trPr>
        <w:tc>
          <w:tcPr>
            <w:tcW w:w="7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F8D7EAB" w14:textId="77777777" w:rsidR="00171AA8" w:rsidRPr="00731FE2" w:rsidRDefault="00171AA8">
            <w:pPr>
              <w:pStyle w:val="a3"/>
              <w:numPr>
                <w:ilvl w:val="0"/>
                <w:numId w:val="25"/>
              </w:numPr>
              <w:ind w:left="0" w:firstLine="0"/>
              <w:rPr>
                <w:sz w:val="20"/>
                <w:szCs w:val="20"/>
              </w:rPr>
            </w:pPr>
          </w:p>
        </w:tc>
        <w:tc>
          <w:tcPr>
            <w:tcW w:w="48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2413133"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ИП «Кавказский горный клуб»</w:t>
            </w:r>
          </w:p>
        </w:tc>
        <w:tc>
          <w:tcPr>
            <w:tcW w:w="38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A094B84"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ул. Жуковского, 8</w:t>
            </w:r>
          </w:p>
        </w:tc>
      </w:tr>
      <w:tr w:rsidR="00171AA8" w:rsidRPr="00731FE2" w14:paraId="340048D8" w14:textId="77777777">
        <w:trPr>
          <w:trHeight w:val="146"/>
        </w:trPr>
        <w:tc>
          <w:tcPr>
            <w:tcW w:w="7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173F376" w14:textId="77777777" w:rsidR="00171AA8" w:rsidRPr="00731FE2" w:rsidRDefault="00171AA8">
            <w:pPr>
              <w:pStyle w:val="a3"/>
              <w:numPr>
                <w:ilvl w:val="0"/>
                <w:numId w:val="25"/>
              </w:numPr>
              <w:ind w:left="0" w:firstLine="0"/>
              <w:rPr>
                <w:sz w:val="20"/>
                <w:szCs w:val="20"/>
              </w:rPr>
            </w:pPr>
          </w:p>
        </w:tc>
        <w:tc>
          <w:tcPr>
            <w:tcW w:w="48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84FC4D7"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ООО «Здравницы КМВ»</w:t>
            </w:r>
          </w:p>
        </w:tc>
        <w:tc>
          <w:tcPr>
            <w:tcW w:w="38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73F572D"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ул. Белинского, 15</w:t>
            </w:r>
          </w:p>
        </w:tc>
      </w:tr>
      <w:tr w:rsidR="00171AA8" w:rsidRPr="00731FE2" w14:paraId="22A98A9A" w14:textId="77777777">
        <w:trPr>
          <w:trHeight w:val="146"/>
        </w:trPr>
        <w:tc>
          <w:tcPr>
            <w:tcW w:w="7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9F744BD" w14:textId="77777777" w:rsidR="00171AA8" w:rsidRPr="00731FE2" w:rsidRDefault="00171AA8">
            <w:pPr>
              <w:pStyle w:val="a3"/>
              <w:numPr>
                <w:ilvl w:val="0"/>
                <w:numId w:val="25"/>
              </w:numPr>
              <w:ind w:left="0" w:firstLine="0"/>
              <w:rPr>
                <w:sz w:val="20"/>
                <w:szCs w:val="20"/>
              </w:rPr>
            </w:pPr>
          </w:p>
        </w:tc>
        <w:tc>
          <w:tcPr>
            <w:tcW w:w="48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E14B7F6"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ИП «Ваш отдых»</w:t>
            </w:r>
          </w:p>
        </w:tc>
        <w:tc>
          <w:tcPr>
            <w:tcW w:w="38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BE24624"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ул. Горького, 20</w:t>
            </w:r>
          </w:p>
        </w:tc>
      </w:tr>
      <w:tr w:rsidR="00171AA8" w:rsidRPr="00731FE2" w14:paraId="708BB88D" w14:textId="77777777">
        <w:trPr>
          <w:trHeight w:val="146"/>
        </w:trPr>
        <w:tc>
          <w:tcPr>
            <w:tcW w:w="7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D370046" w14:textId="77777777" w:rsidR="00171AA8" w:rsidRPr="00731FE2" w:rsidRDefault="00171AA8">
            <w:pPr>
              <w:pStyle w:val="a3"/>
              <w:numPr>
                <w:ilvl w:val="0"/>
                <w:numId w:val="25"/>
              </w:numPr>
              <w:ind w:left="0" w:firstLine="0"/>
              <w:rPr>
                <w:sz w:val="20"/>
                <w:szCs w:val="20"/>
              </w:rPr>
            </w:pPr>
          </w:p>
        </w:tc>
        <w:tc>
          <w:tcPr>
            <w:tcW w:w="48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2125E77"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ООО «Автотур»</w:t>
            </w:r>
          </w:p>
        </w:tc>
        <w:tc>
          <w:tcPr>
            <w:tcW w:w="38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5BEB753"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ул. Станичная, 17</w:t>
            </w:r>
          </w:p>
        </w:tc>
      </w:tr>
      <w:tr w:rsidR="00171AA8" w:rsidRPr="00731FE2" w14:paraId="6126ACCF" w14:textId="77777777">
        <w:trPr>
          <w:trHeight w:val="146"/>
        </w:trPr>
        <w:tc>
          <w:tcPr>
            <w:tcW w:w="7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B33EB6A" w14:textId="77777777" w:rsidR="00171AA8" w:rsidRPr="00731FE2" w:rsidRDefault="00171AA8">
            <w:pPr>
              <w:pStyle w:val="a3"/>
              <w:numPr>
                <w:ilvl w:val="0"/>
                <w:numId w:val="25"/>
              </w:numPr>
              <w:ind w:left="0" w:firstLine="0"/>
              <w:rPr>
                <w:sz w:val="20"/>
                <w:szCs w:val="20"/>
              </w:rPr>
            </w:pPr>
          </w:p>
        </w:tc>
        <w:tc>
          <w:tcPr>
            <w:tcW w:w="48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1DB1474"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ИП «Квант Тур»</w:t>
            </w:r>
          </w:p>
        </w:tc>
        <w:tc>
          <w:tcPr>
            <w:tcW w:w="38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CAC82E7"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ул. Тельмана, 6</w:t>
            </w:r>
          </w:p>
        </w:tc>
      </w:tr>
      <w:tr w:rsidR="00171AA8" w:rsidRPr="00731FE2" w14:paraId="1638F5BB" w14:textId="77777777">
        <w:trPr>
          <w:trHeight w:val="146"/>
        </w:trPr>
        <w:tc>
          <w:tcPr>
            <w:tcW w:w="7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3C079B0" w14:textId="77777777" w:rsidR="00171AA8" w:rsidRPr="00731FE2" w:rsidRDefault="00171AA8">
            <w:pPr>
              <w:pStyle w:val="a3"/>
              <w:numPr>
                <w:ilvl w:val="0"/>
                <w:numId w:val="25"/>
              </w:numPr>
              <w:ind w:left="0" w:firstLine="0"/>
              <w:rPr>
                <w:sz w:val="20"/>
                <w:szCs w:val="20"/>
              </w:rPr>
            </w:pPr>
          </w:p>
        </w:tc>
        <w:tc>
          <w:tcPr>
            <w:tcW w:w="48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A090B69"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ООО «Кавказ-тур»</w:t>
            </w:r>
          </w:p>
        </w:tc>
        <w:tc>
          <w:tcPr>
            <w:tcW w:w="38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8079702"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Курортный бульвар, 5</w:t>
            </w:r>
          </w:p>
        </w:tc>
      </w:tr>
      <w:tr w:rsidR="00171AA8" w:rsidRPr="00731FE2" w14:paraId="2FDB00C7" w14:textId="77777777">
        <w:trPr>
          <w:trHeight w:val="146"/>
        </w:trPr>
        <w:tc>
          <w:tcPr>
            <w:tcW w:w="7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237BDC9" w14:textId="77777777" w:rsidR="00171AA8" w:rsidRPr="00731FE2" w:rsidRDefault="00171AA8">
            <w:pPr>
              <w:pStyle w:val="a3"/>
              <w:numPr>
                <w:ilvl w:val="0"/>
                <w:numId w:val="25"/>
              </w:numPr>
              <w:ind w:left="0" w:firstLine="0"/>
              <w:rPr>
                <w:sz w:val="20"/>
                <w:szCs w:val="20"/>
              </w:rPr>
            </w:pPr>
          </w:p>
        </w:tc>
        <w:tc>
          <w:tcPr>
            <w:tcW w:w="48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F7879FF"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ИП «Эдельвейс»</w:t>
            </w:r>
          </w:p>
        </w:tc>
        <w:tc>
          <w:tcPr>
            <w:tcW w:w="38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BED0B65"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w:t>
            </w:r>
          </w:p>
        </w:tc>
      </w:tr>
      <w:tr w:rsidR="00171AA8" w:rsidRPr="00731FE2" w14:paraId="124D246F" w14:textId="77777777">
        <w:trPr>
          <w:trHeight w:val="146"/>
        </w:trPr>
        <w:tc>
          <w:tcPr>
            <w:tcW w:w="7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FB99906" w14:textId="77777777" w:rsidR="00171AA8" w:rsidRPr="00731FE2" w:rsidRDefault="00171AA8">
            <w:pPr>
              <w:pStyle w:val="a3"/>
              <w:numPr>
                <w:ilvl w:val="0"/>
                <w:numId w:val="25"/>
              </w:numPr>
              <w:ind w:left="0" w:firstLine="0"/>
              <w:rPr>
                <w:sz w:val="20"/>
                <w:szCs w:val="20"/>
              </w:rPr>
            </w:pPr>
          </w:p>
        </w:tc>
        <w:tc>
          <w:tcPr>
            <w:tcW w:w="48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E306701"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ООО «Пегас туристик»</w:t>
            </w:r>
          </w:p>
        </w:tc>
        <w:tc>
          <w:tcPr>
            <w:tcW w:w="38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1EC5386"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пр. Первомайский, 8</w:t>
            </w:r>
          </w:p>
        </w:tc>
      </w:tr>
      <w:tr w:rsidR="00171AA8" w:rsidRPr="00731FE2" w14:paraId="2DAB6E31" w14:textId="77777777">
        <w:trPr>
          <w:trHeight w:val="146"/>
        </w:trPr>
        <w:tc>
          <w:tcPr>
            <w:tcW w:w="7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47B6767" w14:textId="77777777" w:rsidR="00171AA8" w:rsidRPr="00731FE2" w:rsidRDefault="00171AA8">
            <w:pPr>
              <w:pStyle w:val="a3"/>
              <w:numPr>
                <w:ilvl w:val="0"/>
                <w:numId w:val="25"/>
              </w:numPr>
              <w:ind w:left="0" w:firstLine="0"/>
              <w:rPr>
                <w:sz w:val="20"/>
                <w:szCs w:val="20"/>
              </w:rPr>
            </w:pPr>
          </w:p>
        </w:tc>
        <w:tc>
          <w:tcPr>
            <w:tcW w:w="48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D3AB348"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ООО «Велес»</w:t>
            </w:r>
          </w:p>
        </w:tc>
        <w:tc>
          <w:tcPr>
            <w:tcW w:w="38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FFCBB54"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пр. Первомайский, 25А</w:t>
            </w:r>
          </w:p>
        </w:tc>
      </w:tr>
      <w:tr w:rsidR="00171AA8" w:rsidRPr="00731FE2" w14:paraId="1DE15834" w14:textId="77777777">
        <w:trPr>
          <w:trHeight w:val="146"/>
        </w:trPr>
        <w:tc>
          <w:tcPr>
            <w:tcW w:w="7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4AF1E20" w14:textId="77777777" w:rsidR="00171AA8" w:rsidRPr="00731FE2" w:rsidRDefault="00171AA8">
            <w:pPr>
              <w:pStyle w:val="a3"/>
              <w:numPr>
                <w:ilvl w:val="0"/>
                <w:numId w:val="25"/>
              </w:numPr>
              <w:ind w:left="0" w:firstLine="0"/>
              <w:rPr>
                <w:sz w:val="20"/>
                <w:szCs w:val="20"/>
              </w:rPr>
            </w:pPr>
          </w:p>
        </w:tc>
        <w:tc>
          <w:tcPr>
            <w:tcW w:w="48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D2380AC"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ООО «Триумф»</w:t>
            </w:r>
          </w:p>
        </w:tc>
        <w:tc>
          <w:tcPr>
            <w:tcW w:w="38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60C3887"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ул. Чернышевского, 40</w:t>
            </w:r>
          </w:p>
        </w:tc>
      </w:tr>
      <w:tr w:rsidR="00171AA8" w:rsidRPr="00731FE2" w14:paraId="5004EF5D" w14:textId="77777777">
        <w:trPr>
          <w:trHeight w:val="146"/>
        </w:trPr>
        <w:tc>
          <w:tcPr>
            <w:tcW w:w="7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9018F77" w14:textId="77777777" w:rsidR="00171AA8" w:rsidRPr="00731FE2" w:rsidRDefault="00171AA8">
            <w:pPr>
              <w:pStyle w:val="a3"/>
              <w:numPr>
                <w:ilvl w:val="0"/>
                <w:numId w:val="25"/>
              </w:numPr>
              <w:ind w:left="0" w:firstLine="0"/>
              <w:rPr>
                <w:sz w:val="20"/>
                <w:szCs w:val="20"/>
              </w:rPr>
            </w:pPr>
          </w:p>
        </w:tc>
        <w:tc>
          <w:tcPr>
            <w:tcW w:w="48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BE9BA7E"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ООО «КГБ»</w:t>
            </w:r>
          </w:p>
        </w:tc>
        <w:tc>
          <w:tcPr>
            <w:tcW w:w="38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0A4740D"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ул. Дзержинского, 24</w:t>
            </w:r>
          </w:p>
        </w:tc>
      </w:tr>
      <w:tr w:rsidR="00171AA8" w:rsidRPr="00731FE2" w14:paraId="61192E5B" w14:textId="77777777">
        <w:trPr>
          <w:trHeight w:val="146"/>
        </w:trPr>
        <w:tc>
          <w:tcPr>
            <w:tcW w:w="7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85F980D" w14:textId="77777777" w:rsidR="00171AA8" w:rsidRPr="00731FE2" w:rsidRDefault="00171AA8">
            <w:pPr>
              <w:pStyle w:val="a3"/>
              <w:numPr>
                <w:ilvl w:val="0"/>
                <w:numId w:val="25"/>
              </w:numPr>
              <w:ind w:left="0" w:firstLine="0"/>
              <w:rPr>
                <w:sz w:val="20"/>
                <w:szCs w:val="20"/>
              </w:rPr>
            </w:pPr>
          </w:p>
        </w:tc>
        <w:tc>
          <w:tcPr>
            <w:tcW w:w="48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6591FB0"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ИП Мационис А.И.</w:t>
            </w:r>
          </w:p>
        </w:tc>
        <w:tc>
          <w:tcPr>
            <w:tcW w:w="38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4216B2C"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ул. Коллективная, 18В</w:t>
            </w:r>
          </w:p>
        </w:tc>
      </w:tr>
      <w:tr w:rsidR="00171AA8" w:rsidRPr="00731FE2" w14:paraId="78613238" w14:textId="77777777">
        <w:trPr>
          <w:trHeight w:val="146"/>
        </w:trPr>
        <w:tc>
          <w:tcPr>
            <w:tcW w:w="7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E143BD1" w14:textId="77777777" w:rsidR="00171AA8" w:rsidRPr="00731FE2" w:rsidRDefault="00171AA8">
            <w:pPr>
              <w:pStyle w:val="a3"/>
              <w:numPr>
                <w:ilvl w:val="0"/>
                <w:numId w:val="25"/>
              </w:numPr>
              <w:ind w:left="0" w:firstLine="0"/>
              <w:rPr>
                <w:sz w:val="20"/>
                <w:szCs w:val="20"/>
              </w:rPr>
            </w:pPr>
          </w:p>
        </w:tc>
        <w:tc>
          <w:tcPr>
            <w:tcW w:w="48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94783D7"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Туристическая фирма "Лавина"</w:t>
            </w:r>
          </w:p>
        </w:tc>
        <w:tc>
          <w:tcPr>
            <w:tcW w:w="38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7998A74"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ул. Курганная, 32</w:t>
            </w:r>
          </w:p>
        </w:tc>
      </w:tr>
      <w:tr w:rsidR="00171AA8" w:rsidRPr="00731FE2" w14:paraId="172389E8" w14:textId="77777777">
        <w:trPr>
          <w:trHeight w:val="146"/>
        </w:trPr>
        <w:tc>
          <w:tcPr>
            <w:tcW w:w="7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3D08362" w14:textId="77777777" w:rsidR="00171AA8" w:rsidRPr="00731FE2" w:rsidRDefault="00171AA8">
            <w:pPr>
              <w:pStyle w:val="a3"/>
              <w:numPr>
                <w:ilvl w:val="0"/>
                <w:numId w:val="25"/>
              </w:numPr>
              <w:ind w:left="0" w:firstLine="0"/>
              <w:rPr>
                <w:sz w:val="20"/>
                <w:szCs w:val="20"/>
              </w:rPr>
            </w:pPr>
          </w:p>
        </w:tc>
        <w:tc>
          <w:tcPr>
            <w:tcW w:w="48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14D15F4"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1001 тур</w:t>
            </w:r>
          </w:p>
        </w:tc>
        <w:tc>
          <w:tcPr>
            <w:tcW w:w="38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54FF2D3"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пр. Победы, 2 (ТЦ "Триумф" 3 этаж)</w:t>
            </w:r>
          </w:p>
        </w:tc>
      </w:tr>
    </w:tbl>
    <w:p w14:paraId="496E497F" w14:textId="77777777" w:rsidR="00171AA8" w:rsidRPr="00731FE2" w:rsidRDefault="00171AA8">
      <w:pPr>
        <w:pBdr>
          <w:top w:val="none" w:sz="4" w:space="0" w:color="000000"/>
          <w:left w:val="none" w:sz="4" w:space="0" w:color="000000"/>
          <w:bottom w:val="none" w:sz="4" w:space="0" w:color="000000"/>
          <w:right w:val="none" w:sz="4" w:space="0" w:color="000000"/>
        </w:pBdr>
        <w:spacing w:line="65" w:lineRule="atLeast"/>
      </w:pPr>
    </w:p>
    <w:p w14:paraId="27065A2A" w14:textId="77777777" w:rsidR="00171AA8" w:rsidRPr="00731FE2" w:rsidRDefault="007935AB">
      <w:pPr>
        <w:pBdr>
          <w:top w:val="none" w:sz="4" w:space="0" w:color="000000"/>
          <w:left w:val="none" w:sz="4" w:space="0" w:color="000000"/>
          <w:bottom w:val="none" w:sz="4" w:space="0" w:color="000000"/>
          <w:right w:val="none" w:sz="4" w:space="0" w:color="000000"/>
        </w:pBdr>
      </w:pPr>
      <w:proofErr w:type="gramStart"/>
      <w:r w:rsidRPr="00731FE2">
        <w:rPr>
          <w:rFonts w:ascii="Times New Roman" w:eastAsia="Times New Roman" w:hAnsi="Times New Roman" w:cs="Times New Roman"/>
          <w:color w:val="000000"/>
        </w:rPr>
        <w:t xml:space="preserve">На территории городского округа развиты следующие виды туризма: лечебно-оздоровительный, внутренний и въездной туризм, событийный, спортивный, экстремальный, гастрономический, паломнический, детский, конный, агротуризм, деловой, культурно-познавательный. </w:t>
      </w:r>
      <w:proofErr w:type="gramEnd"/>
    </w:p>
    <w:p w14:paraId="39BDCC9C" w14:textId="77777777" w:rsidR="00171AA8" w:rsidRPr="00731FE2" w:rsidRDefault="007935AB">
      <w:pPr>
        <w:pBdr>
          <w:top w:val="none" w:sz="4" w:space="0" w:color="000000"/>
          <w:left w:val="none" w:sz="4" w:space="0" w:color="000000"/>
          <w:bottom w:val="none" w:sz="4" w:space="0" w:color="000000"/>
          <w:right w:val="none" w:sz="4" w:space="0" w:color="000000"/>
        </w:pBdr>
      </w:pPr>
      <w:r w:rsidRPr="00731FE2">
        <w:rPr>
          <w:rFonts w:ascii="Times New Roman" w:eastAsia="Times New Roman" w:hAnsi="Times New Roman" w:cs="Times New Roman"/>
          <w:b/>
          <w:color w:val="000000"/>
        </w:rPr>
        <w:t>Лечебно-оздоровительный туризм</w:t>
      </w:r>
      <w:r w:rsidRPr="00731FE2">
        <w:rPr>
          <w:rFonts w:ascii="Times New Roman" w:eastAsia="Times New Roman" w:hAnsi="Times New Roman" w:cs="Times New Roman"/>
          <w:color w:val="000000"/>
        </w:rPr>
        <w:t xml:space="preserve"> ориентирован на использование природных лечебных ресурсов и физиотерапевтических факторов, применяемых с целью улучшения состояния здоровья. Он остается одним из самых перспективных направлений в индустрии туризма. Лечебно-рекреационные ресурсы курорта Кисловодска представлены минеральными водами, лечебными грязями, курортным парком в условиях особо благоприятного климата.</w:t>
      </w:r>
    </w:p>
    <w:p w14:paraId="415F3DDC" w14:textId="77777777" w:rsidR="00171AA8" w:rsidRPr="00731FE2" w:rsidRDefault="007935AB">
      <w:pPr>
        <w:pBdr>
          <w:top w:val="none" w:sz="4" w:space="0" w:color="000000"/>
          <w:left w:val="none" w:sz="4" w:space="0" w:color="000000"/>
          <w:bottom w:val="none" w:sz="4" w:space="0" w:color="000000"/>
          <w:right w:val="none" w:sz="4" w:space="0" w:color="000000"/>
        </w:pBdr>
      </w:pPr>
      <w:r w:rsidRPr="00731FE2">
        <w:rPr>
          <w:rFonts w:ascii="Times New Roman" w:eastAsia="Times New Roman" w:hAnsi="Times New Roman" w:cs="Times New Roman"/>
          <w:b/>
          <w:color w:val="000000"/>
        </w:rPr>
        <w:t>Событийный туризм</w:t>
      </w:r>
      <w:r w:rsidRPr="00731FE2">
        <w:rPr>
          <w:rFonts w:ascii="Times New Roman" w:eastAsia="Times New Roman" w:hAnsi="Times New Roman" w:cs="Times New Roman"/>
          <w:color w:val="000000"/>
        </w:rPr>
        <w:t xml:space="preserve"> – направление сравнительно молодое</w:t>
      </w:r>
      <w:proofErr w:type="gramStart"/>
      <w:r w:rsidRPr="00731FE2">
        <w:rPr>
          <w:rFonts w:ascii="Times New Roman" w:eastAsia="Times New Roman" w:hAnsi="Times New Roman" w:cs="Times New Roman"/>
          <w:color w:val="000000"/>
        </w:rPr>
        <w:t>.</w:t>
      </w:r>
      <w:proofErr w:type="gramEnd"/>
      <w:r w:rsidRPr="00731FE2">
        <w:rPr>
          <w:rFonts w:ascii="Times New Roman" w:eastAsia="Times New Roman" w:hAnsi="Times New Roman" w:cs="Times New Roman"/>
          <w:color w:val="000000"/>
        </w:rPr>
        <w:t xml:space="preserve"> </w:t>
      </w:r>
      <w:proofErr w:type="gramStart"/>
      <w:r w:rsidRPr="00731FE2">
        <w:rPr>
          <w:rFonts w:ascii="Times New Roman" w:eastAsia="Times New Roman" w:hAnsi="Times New Roman" w:cs="Times New Roman"/>
          <w:color w:val="000000"/>
        </w:rPr>
        <w:t>о</w:t>
      </w:r>
      <w:proofErr w:type="gramEnd"/>
      <w:r w:rsidRPr="00731FE2">
        <w:rPr>
          <w:rFonts w:ascii="Times New Roman" w:eastAsia="Times New Roman" w:hAnsi="Times New Roman" w:cs="Times New Roman"/>
          <w:color w:val="000000"/>
        </w:rPr>
        <w:t xml:space="preserve">сновная цель поездки приурочена к какому-либо событию. Уникальные туры, сочетающие в себе традиционный отдых и участие в самых зрелищных мероприятиях планеты, постепенно завоевывают все большую популярность. Событийный туризм – это перспективный и динамично развивающийся вид туризма. В настоящее время большое внимание в Ставропольском крае уделяется развитию событийного туризма. В городе-курорте Кисловодске проходили такие яркие событийные мероприятия как кинофестиваль «Золотой витязь», Южно-Российский курортный форум «Кавказская здравница», межрегиональный фестиваль туризма «Туристское Ставрополье», международный форум «Здравоохранение. Курортная медицина», специализированная выставка гостинично-ресторанного бизнеса «Южное гостеприимство», специализированная оптово-розничная ювелирная выставка «ELITE–ЮВЕЛИР», Трофи-спринт «Кубок ФНПР» и многое другое. </w:t>
      </w:r>
    </w:p>
    <w:p w14:paraId="7DD4FBCE" w14:textId="77777777" w:rsidR="00171AA8" w:rsidRPr="00731FE2" w:rsidRDefault="007935AB">
      <w:pPr>
        <w:pBdr>
          <w:top w:val="none" w:sz="4" w:space="0" w:color="000000"/>
          <w:left w:val="none" w:sz="4" w:space="0" w:color="000000"/>
          <w:bottom w:val="none" w:sz="4" w:space="0" w:color="000000"/>
          <w:right w:val="none" w:sz="4" w:space="0" w:color="000000"/>
        </w:pBdr>
      </w:pPr>
      <w:r w:rsidRPr="00731FE2">
        <w:rPr>
          <w:rFonts w:ascii="Times New Roman" w:eastAsia="Times New Roman" w:hAnsi="Times New Roman" w:cs="Times New Roman"/>
          <w:b/>
          <w:color w:val="000000"/>
        </w:rPr>
        <w:t>Спортивный туризм.</w:t>
      </w:r>
      <w:r w:rsidRPr="00731FE2">
        <w:rPr>
          <w:rFonts w:ascii="Times New Roman" w:eastAsia="Times New Roman" w:hAnsi="Times New Roman" w:cs="Times New Roman"/>
          <w:color w:val="000000"/>
        </w:rPr>
        <w:t xml:space="preserve"> Активное развитие спортивного туризма позволяет рассматривать перспективу новых возможностей привлечения спортивных туристов, которые ранее эти регионы для отдыха не выбирали. На высоте 1250 м над уровнем моря в живописнейшем месте восточной части лечебного парка расположен спорткомплекс «Олимпийский» (Центра подготовки армейских спортсменов МО РФ) и занимает территорию 13,2 га. Сегодня это – единственная спортивная учебно-тренировочная база России, расположенная на среднегорье в курортной зоне. </w:t>
      </w:r>
    </w:p>
    <w:p w14:paraId="6ECD1AB3" w14:textId="77777777" w:rsidR="00171AA8" w:rsidRPr="00731FE2" w:rsidRDefault="007935AB">
      <w:pPr>
        <w:pBdr>
          <w:top w:val="none" w:sz="4" w:space="0" w:color="000000"/>
          <w:left w:val="none" w:sz="4" w:space="0" w:color="000000"/>
          <w:bottom w:val="none" w:sz="4" w:space="0" w:color="000000"/>
          <w:right w:val="none" w:sz="4" w:space="0" w:color="000000"/>
        </w:pBdr>
      </w:pPr>
      <w:r w:rsidRPr="00731FE2">
        <w:rPr>
          <w:rFonts w:ascii="Times New Roman" w:eastAsia="Times New Roman" w:hAnsi="Times New Roman" w:cs="Times New Roman"/>
          <w:color w:val="000000"/>
        </w:rPr>
        <w:lastRenderedPageBreak/>
        <w:t xml:space="preserve">Центр включает в себя: Нижний спортивный комплекс в центральной части Кисловодска (850 м над уровнем моря). Верхний спортивный комплекс на горе Малое Седло (1250 м над уровнем моря); подвесную канатную дорогу: «Малое Седло – Храм Воздуха». </w:t>
      </w:r>
    </w:p>
    <w:p w14:paraId="4D863173" w14:textId="77777777" w:rsidR="00171AA8" w:rsidRPr="00731FE2" w:rsidRDefault="007935AB">
      <w:pPr>
        <w:pBdr>
          <w:top w:val="none" w:sz="4" w:space="0" w:color="000000"/>
          <w:left w:val="none" w:sz="4" w:space="0" w:color="000000"/>
          <w:bottom w:val="none" w:sz="4" w:space="0" w:color="000000"/>
          <w:right w:val="none" w:sz="4" w:space="0" w:color="000000"/>
        </w:pBdr>
      </w:pPr>
      <w:r w:rsidRPr="00731FE2">
        <w:rPr>
          <w:rFonts w:ascii="Times New Roman" w:eastAsia="Times New Roman" w:hAnsi="Times New Roman" w:cs="Times New Roman"/>
          <w:color w:val="000000"/>
        </w:rPr>
        <w:t>Особый микроклимат и уникальные природные ресурсы городского округа, а также его положение в пределах среднегорий Кавказа способствуют привлечению спортсменов практически всех видов спорта для осуществления тренировочного процесса и позволяют рассматривать городской округ город-курорт Кисловодск (при условии проведения соответствующих мероприятий) как основную спортивно-тренировочную базу страны.</w:t>
      </w:r>
    </w:p>
    <w:p w14:paraId="3023DC53" w14:textId="77777777" w:rsidR="00171AA8" w:rsidRPr="00731FE2" w:rsidRDefault="007935AB">
      <w:pPr>
        <w:pBdr>
          <w:top w:val="none" w:sz="4" w:space="0" w:color="000000"/>
          <w:left w:val="none" w:sz="4" w:space="0" w:color="000000"/>
          <w:bottom w:val="none" w:sz="4" w:space="0" w:color="000000"/>
          <w:right w:val="none" w:sz="4" w:space="0" w:color="000000"/>
        </w:pBdr>
      </w:pPr>
      <w:r w:rsidRPr="00731FE2">
        <w:rPr>
          <w:rFonts w:ascii="Times New Roman" w:eastAsia="Times New Roman" w:hAnsi="Times New Roman" w:cs="Times New Roman"/>
          <w:b/>
          <w:color w:val="000000"/>
        </w:rPr>
        <w:t>Религиозный туризм.</w:t>
      </w:r>
      <w:r w:rsidRPr="00731FE2">
        <w:rPr>
          <w:rFonts w:ascii="Times New Roman" w:eastAsia="Times New Roman" w:hAnsi="Times New Roman" w:cs="Times New Roman"/>
          <w:color w:val="000000"/>
        </w:rPr>
        <w:t xml:space="preserve"> На сравнительно небольшой территории городского округа города-курорта Кисловодска располагаются культовые сооружения представителей различных религий: православный Свято-Никольский собор, Крестовоздвиженская церковь, храм целителя Пантелеймона, армянский храм «Сурб Вардан», Соборная мечеть мусульман, грузинской общиной ведется строительство храма «Равноапостольной Нины». Сегодня все эти объекты включены в экскурсионные маршруты по достопримечательностям города.</w:t>
      </w:r>
    </w:p>
    <w:p w14:paraId="6AC823EE" w14:textId="508DA4BF" w:rsidR="00171AA8" w:rsidRPr="00731FE2" w:rsidRDefault="007935AB">
      <w:pPr>
        <w:pBdr>
          <w:top w:val="none" w:sz="4" w:space="0" w:color="000000"/>
          <w:left w:val="none" w:sz="4" w:space="0" w:color="000000"/>
          <w:bottom w:val="none" w:sz="4" w:space="0" w:color="000000"/>
          <w:right w:val="none" w:sz="4" w:space="0" w:color="000000"/>
        </w:pBdr>
      </w:pPr>
      <w:r w:rsidRPr="00731FE2">
        <w:rPr>
          <w:rFonts w:ascii="Times New Roman" w:eastAsia="Times New Roman" w:hAnsi="Times New Roman" w:cs="Times New Roman"/>
          <w:b/>
          <w:color w:val="000000"/>
        </w:rPr>
        <w:t>Культурно-познавательный и экскурсионный туризм.</w:t>
      </w:r>
      <w:r w:rsidRPr="00731FE2">
        <w:rPr>
          <w:rFonts w:ascii="Times New Roman" w:eastAsia="Times New Roman" w:hAnsi="Times New Roman" w:cs="Times New Roman"/>
          <w:color w:val="000000"/>
        </w:rPr>
        <w:t xml:space="preserve"> Культурно-познавательный туризм имеет выраженный экскурсионный компонент. Культурно-познавательные туры позволяют познакомиться с историей, традициями, культурой места посещения, с его основными достопримечательностями. Работа по организации культурно-познавательного туризма и экскурсионного туризма ведется в городе-курорте Кисловодске на протяжении многих десятилетий. Экскурсионные программы для отдыхающих разнообразны. На сегодняшний день в городе-курорте Кисловодске работает 3</w:t>
      </w:r>
      <w:r w:rsidR="007C1F6E" w:rsidRPr="00731FE2">
        <w:rPr>
          <w:rFonts w:ascii="Times New Roman" w:eastAsia="Times New Roman" w:hAnsi="Times New Roman" w:cs="Times New Roman"/>
          <w:color w:val="000000"/>
        </w:rPr>
        <w:t>3</w:t>
      </w:r>
      <w:r w:rsidRPr="00731FE2">
        <w:rPr>
          <w:rFonts w:ascii="Times New Roman" w:eastAsia="Times New Roman" w:hAnsi="Times New Roman" w:cs="Times New Roman"/>
          <w:color w:val="000000"/>
        </w:rPr>
        <w:t xml:space="preserve"> туристических организаций, которые могут предложить более 30 видов экскурсий по Кисловодску, городам КМВ и Северному Кавказу, одни из самых популярных мест: Приэльбрусье, Домбай, Архыз, Чегемские водопады, Голубые озера и т.д.</w:t>
      </w:r>
    </w:p>
    <w:p w14:paraId="1B17621E" w14:textId="77777777" w:rsidR="00171AA8" w:rsidRPr="00731FE2" w:rsidRDefault="007935AB">
      <w:pPr>
        <w:pBdr>
          <w:top w:val="none" w:sz="4" w:space="0" w:color="000000"/>
          <w:left w:val="none" w:sz="4" w:space="0" w:color="000000"/>
          <w:bottom w:val="none" w:sz="4" w:space="0" w:color="000000"/>
          <w:right w:val="none" w:sz="4" w:space="0" w:color="000000"/>
        </w:pBdr>
      </w:pPr>
      <w:r w:rsidRPr="00731FE2">
        <w:rPr>
          <w:rFonts w:ascii="Times New Roman" w:eastAsia="Times New Roman" w:hAnsi="Times New Roman" w:cs="Times New Roman"/>
          <w:b/>
          <w:color w:val="000000"/>
        </w:rPr>
        <w:t>Деловой туризм.</w:t>
      </w:r>
      <w:r w:rsidRPr="00731FE2">
        <w:rPr>
          <w:rFonts w:ascii="Times New Roman" w:eastAsia="Times New Roman" w:hAnsi="Times New Roman" w:cs="Times New Roman"/>
          <w:color w:val="000000"/>
        </w:rPr>
        <w:t xml:space="preserve"> Основной задачей развития делового туризма является формирование положительного имиджа города-курорта как центра делового туризма высочайшего уровня, организация мероприятий по превращению нашего курорта в деловой центр Юга России. Все необходимые предпосылки для этого имеются. На сегодняшний день город-курорт Кисловодск имеет такие санаторно-курортные комплексы как «Долина Нарзанов», «Плаза», «Целебный Нарзан», «Виктория» «Солнечный», «Заря» и др., которые оснащены всем необходимым для организации проведения в городе семинаров, совещаний, конгрессных мероприятий Всероссийского и Международного уровней.</w:t>
      </w:r>
    </w:p>
    <w:p w14:paraId="6B1BC7BA" w14:textId="1C003247" w:rsidR="00171AA8" w:rsidRPr="00731FE2" w:rsidRDefault="007935AB">
      <w:pPr>
        <w:pBdr>
          <w:top w:val="none" w:sz="4" w:space="0" w:color="000000"/>
          <w:left w:val="none" w:sz="4" w:space="0" w:color="000000"/>
          <w:bottom w:val="none" w:sz="4" w:space="0" w:color="000000"/>
          <w:right w:val="none" w:sz="4" w:space="0" w:color="000000"/>
        </w:pBdr>
      </w:pPr>
      <w:r w:rsidRPr="00731FE2">
        <w:rPr>
          <w:rFonts w:ascii="Times New Roman" w:eastAsia="Times New Roman" w:hAnsi="Times New Roman" w:cs="Times New Roman"/>
          <w:b/>
          <w:color w:val="000000"/>
        </w:rPr>
        <w:t>Экстремальный туризм.</w:t>
      </w:r>
      <w:r w:rsidRPr="00731FE2">
        <w:rPr>
          <w:rFonts w:ascii="Times New Roman" w:eastAsia="Times New Roman" w:hAnsi="Times New Roman" w:cs="Times New Roman"/>
          <w:color w:val="000000"/>
        </w:rPr>
        <w:t xml:space="preserve"> Данный вид туризма является одним из наиболее </w:t>
      </w:r>
      <w:proofErr w:type="gramStart"/>
      <w:r w:rsidRPr="00731FE2">
        <w:rPr>
          <w:rFonts w:ascii="Times New Roman" w:eastAsia="Times New Roman" w:hAnsi="Times New Roman" w:cs="Times New Roman"/>
          <w:color w:val="000000"/>
        </w:rPr>
        <w:t>перспективных</w:t>
      </w:r>
      <w:proofErr w:type="gramEnd"/>
      <w:r w:rsidRPr="00731FE2">
        <w:rPr>
          <w:rFonts w:ascii="Times New Roman" w:eastAsia="Times New Roman" w:hAnsi="Times New Roman" w:cs="Times New Roman"/>
          <w:color w:val="000000"/>
        </w:rPr>
        <w:t xml:space="preserve"> для развития городского округа города-курорта Кисловодска. </w:t>
      </w:r>
      <w:proofErr w:type="gramStart"/>
      <w:r w:rsidRPr="00731FE2">
        <w:rPr>
          <w:rFonts w:ascii="Times New Roman" w:eastAsia="Times New Roman" w:hAnsi="Times New Roman" w:cs="Times New Roman"/>
          <w:color w:val="000000"/>
        </w:rPr>
        <w:t xml:space="preserve">К числу таких видов туризма, которые развивались, развиваются или могут потенциально развиваться на территории городского округа можно отнести: альпинизм, скалолазание, горный туризм, спелеотуризм, дельтапланеризм, парапланеризм, воздушный туризм на аэростатах (воздушных шарах), горнолыжный </w:t>
      </w:r>
      <w:r w:rsidR="007C1F6E" w:rsidRPr="00731FE2">
        <w:rPr>
          <w:rFonts w:ascii="Times New Roman" w:eastAsia="Times New Roman" w:hAnsi="Times New Roman" w:cs="Times New Roman"/>
          <w:color w:val="000000"/>
        </w:rPr>
        <w:t xml:space="preserve">виды спорта </w:t>
      </w:r>
      <w:r w:rsidRPr="00731FE2">
        <w:rPr>
          <w:rFonts w:ascii="Times New Roman" w:eastAsia="Times New Roman" w:hAnsi="Times New Roman" w:cs="Times New Roman"/>
          <w:color w:val="000000"/>
        </w:rPr>
        <w:t>и др. В городе-курорте Кисловодске функционирует несколько горных клубов (Кавказский горный клуб, горный физкультурно-спортивный клуб «Лакколит»), специализирующиеся на экстремальных видах туризма, предлагая активный и спортивный туризм</w:t>
      </w:r>
      <w:proofErr w:type="gramEnd"/>
      <w:r w:rsidRPr="00731FE2">
        <w:rPr>
          <w:rFonts w:ascii="Times New Roman" w:eastAsia="Times New Roman" w:hAnsi="Times New Roman" w:cs="Times New Roman"/>
          <w:color w:val="000000"/>
        </w:rPr>
        <w:t xml:space="preserve"> в горах Кавказа.</w:t>
      </w:r>
    </w:p>
    <w:p w14:paraId="23CA1891"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b/>
          <w:color w:val="000000"/>
        </w:rPr>
        <w:lastRenderedPageBreak/>
        <w:t xml:space="preserve">Гастрономический туризм. </w:t>
      </w:r>
      <w:r w:rsidRPr="00731FE2">
        <w:rPr>
          <w:rFonts w:ascii="Times New Roman" w:eastAsia="Times New Roman" w:hAnsi="Times New Roman" w:cs="Times New Roman"/>
          <w:color w:val="000000"/>
        </w:rPr>
        <w:t xml:space="preserve">Кисловодск является идеальной площадкой для развития данного вида туризма, потому что здесь присутствуют разнообразные кухни </w:t>
      </w:r>
      <w:r w:rsidRPr="00731FE2">
        <w:rPr>
          <w:rFonts w:ascii="Times New Roman" w:eastAsia="Times New Roman" w:hAnsi="Times New Roman" w:cs="Times New Roman"/>
          <w:color w:val="000000"/>
          <w:szCs w:val="24"/>
        </w:rPr>
        <w:t xml:space="preserve">народов Кавказа. </w:t>
      </w:r>
    </w:p>
    <w:p w14:paraId="1B1D3F08"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b/>
          <w:bCs/>
          <w:color w:val="000000"/>
        </w:rPr>
      </w:pPr>
      <w:r w:rsidRPr="00731FE2">
        <w:rPr>
          <w:rFonts w:ascii="Times New Roman" w:eastAsia="Times New Roman" w:hAnsi="Times New Roman" w:cs="Times New Roman"/>
          <w:b/>
          <w:bCs/>
          <w:color w:val="000000"/>
          <w:szCs w:val="24"/>
        </w:rPr>
        <w:t xml:space="preserve">К ключевым возможностям для дальнейшего социально-экономического развития Кисловодска следует отнести повышение разнообразия видов туризма, привлечение новых, более платежеспособных групп целевой аудитории и, как следствие, увеличение поступлений в городской бюджет. </w:t>
      </w:r>
    </w:p>
    <w:p w14:paraId="4C07CCE7" w14:textId="77777777" w:rsidR="00171AA8" w:rsidRPr="00731FE2" w:rsidRDefault="00171AA8">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b/>
          <w:bCs/>
          <w:color w:val="000000"/>
        </w:rPr>
      </w:pPr>
    </w:p>
    <w:p w14:paraId="624CA031" w14:textId="77777777" w:rsidR="00171AA8" w:rsidRPr="00731FE2" w:rsidRDefault="007935AB">
      <w:pPr>
        <w:pStyle w:val="33"/>
        <w:rPr>
          <w:rFonts w:ascii="Times New Roman" w:hAnsi="Times New Roman" w:cs="Times New Roman"/>
        </w:rPr>
      </w:pPr>
      <w:bookmarkStart w:id="37" w:name="_Toc177392788"/>
      <w:r w:rsidRPr="00731FE2">
        <w:rPr>
          <w:rFonts w:ascii="Times New Roman" w:hAnsi="Times New Roman" w:cs="Times New Roman"/>
        </w:rPr>
        <w:t>2.9.2 Промышленность и АПК</w:t>
      </w:r>
      <w:bookmarkEnd w:id="37"/>
    </w:p>
    <w:p w14:paraId="30AA75AE" w14:textId="77777777" w:rsidR="00171AA8" w:rsidRPr="00731FE2" w:rsidRDefault="007935AB" w:rsidP="0052190C">
      <w:pPr>
        <w:pBdr>
          <w:top w:val="none" w:sz="4" w:space="0" w:color="000000"/>
          <w:left w:val="none" w:sz="4" w:space="0" w:color="000000"/>
          <w:bottom w:val="none" w:sz="4" w:space="0" w:color="000000"/>
          <w:right w:val="none" w:sz="4" w:space="1"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 xml:space="preserve">Отрасли материального производства – промышленность и агропромышленный комплекс (АПК) не являются отраслями специализации города-курорта Кисловодска, играя вспомогательную роль в экономике округа. Промышленный комплекс городского округа представлен обрабатывающими производствами и предприятиями по производству и распределению электроэнергии, газа и воды. В структуре промышленного производства городского округа доминируют обрабатывающие производства. </w:t>
      </w:r>
    </w:p>
    <w:p w14:paraId="1671740C" w14:textId="77777777" w:rsidR="00171AA8" w:rsidRPr="00731FE2" w:rsidRDefault="007935AB" w:rsidP="0052190C">
      <w:pPr>
        <w:pBdr>
          <w:top w:val="none" w:sz="4" w:space="0" w:color="000000"/>
          <w:left w:val="none" w:sz="4" w:space="0" w:color="000000"/>
          <w:bottom w:val="none" w:sz="4" w:space="0" w:color="000000"/>
          <w:right w:val="none" w:sz="4" w:space="1"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 xml:space="preserve">Вместе с тем, предприятия промышленного комплекса Кисловодска выпускают товары народного потребления, которые пользуется спросом </w:t>
      </w:r>
      <w:proofErr w:type="gramStart"/>
      <w:r w:rsidRPr="00731FE2">
        <w:rPr>
          <w:rFonts w:ascii="Times New Roman" w:eastAsia="Times New Roman" w:hAnsi="Times New Roman" w:cs="Times New Roman"/>
          <w:color w:val="000000"/>
          <w:szCs w:val="24"/>
        </w:rPr>
        <w:t>на значительной части территории</w:t>
      </w:r>
      <w:proofErr w:type="gramEnd"/>
      <w:r w:rsidRPr="00731FE2">
        <w:rPr>
          <w:rFonts w:ascii="Times New Roman" w:eastAsia="Times New Roman" w:hAnsi="Times New Roman" w:cs="Times New Roman"/>
          <w:color w:val="000000"/>
          <w:szCs w:val="24"/>
        </w:rPr>
        <w:t xml:space="preserve"> Ставропольского края, а некоторые виды товаров – и в других регионах России.</w:t>
      </w:r>
    </w:p>
    <w:p w14:paraId="197DB00D" w14:textId="77777777" w:rsidR="00171AA8" w:rsidRPr="00731FE2" w:rsidRDefault="007935AB" w:rsidP="0052190C">
      <w:pPr>
        <w:pBdr>
          <w:top w:val="none" w:sz="4" w:space="0" w:color="000000"/>
          <w:left w:val="none" w:sz="4" w:space="0" w:color="000000"/>
          <w:bottom w:val="none" w:sz="4" w:space="0" w:color="000000"/>
          <w:right w:val="none" w:sz="4" w:space="1"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 xml:space="preserve">Промышленный комплекс городского округа города-курорта Кисловодска, включает в себя предприятия пищевой и перерабатывающей промышленности, в том числе 6 ведущих предприятий: </w:t>
      </w:r>
      <w:proofErr w:type="gramStart"/>
      <w:r w:rsidRPr="00731FE2">
        <w:rPr>
          <w:rFonts w:ascii="Times New Roman" w:eastAsia="Times New Roman" w:hAnsi="Times New Roman" w:cs="Times New Roman"/>
          <w:color w:val="000000"/>
          <w:szCs w:val="24"/>
        </w:rPr>
        <w:t>АО «Нарзан» (минеральная вода); ЗАО «Байсад» (макаронные изделия, майонез, мясные продукты); ООО «Луч Солнца» (молочные продукты); ООО «Лукойл-Ставропольэнерго» (выработкой электроэнергии и тепла); ООО «Теплоэнерго Кисловодск» (производство, передача и распределение пара и горячей воды; кондиционирование воздуха); АО «Передвижная механизированная колонна - 38» (производство: изделия из бетона, общестроительные работы); ООО «Стройжилсервис» (строительство жилья).</w:t>
      </w:r>
      <w:proofErr w:type="gramEnd"/>
    </w:p>
    <w:p w14:paraId="05D7A556" w14:textId="77777777" w:rsidR="00171AA8" w:rsidRPr="00731FE2" w:rsidRDefault="007935AB" w:rsidP="0052190C">
      <w:pPr>
        <w:pBdr>
          <w:top w:val="none" w:sz="4" w:space="0" w:color="000000"/>
          <w:left w:val="none" w:sz="4" w:space="0" w:color="000000"/>
          <w:bottom w:val="none" w:sz="4" w:space="0" w:color="000000"/>
          <w:right w:val="none" w:sz="4" w:space="1"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Промышленная зона в городском округе располагается на трех участках: в северной части города-курорта – на левом берегу реки Подкумок, в восточной части и в центральной части – вдоль полосы отвода под железную дорогу. Однако некоторые промышленные предприятия размещены непосредственно среди кварталов жилой застройки, что противоречит основной специализации города-курорта и ухудшает его экологическую ситуацию.</w:t>
      </w:r>
    </w:p>
    <w:p w14:paraId="3CEE9A13" w14:textId="77777777" w:rsidR="00171AA8" w:rsidRPr="00731FE2" w:rsidRDefault="007935AB" w:rsidP="0052190C">
      <w:pPr>
        <w:pBdr>
          <w:top w:val="none" w:sz="4" w:space="0" w:color="000000"/>
          <w:left w:val="none" w:sz="4" w:space="0" w:color="000000"/>
          <w:bottom w:val="none" w:sz="4" w:space="0" w:color="000000"/>
          <w:right w:val="none" w:sz="4" w:space="1"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 xml:space="preserve">В целом существующих промышленных мощностей на территории города-курорта вполне достаточно для обеспечения потребностей экономики и населения, как самого города-курорта, так и Ставропольского края. </w:t>
      </w:r>
    </w:p>
    <w:p w14:paraId="2899AFD5" w14:textId="77777777" w:rsidR="00171AA8" w:rsidRPr="00731FE2" w:rsidRDefault="007935AB" w:rsidP="0052190C">
      <w:pPr>
        <w:pBdr>
          <w:top w:val="none" w:sz="4" w:space="0" w:color="000000"/>
          <w:left w:val="none" w:sz="4" w:space="0" w:color="000000"/>
          <w:bottom w:val="none" w:sz="4" w:space="0" w:color="000000"/>
          <w:right w:val="none" w:sz="4" w:space="1"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 xml:space="preserve">На территории города-курорта Кисловодска производством сельскохозяйственной продукции занимаются хозяйства населения городского округа. Для предприятий пищевой и перерабатывающей промышленности сельскохозяйственная продукция завозится из других муниципальных образований Ставропольского края. </w:t>
      </w:r>
    </w:p>
    <w:p w14:paraId="2AFB4B8F" w14:textId="77777777" w:rsidR="00171AA8" w:rsidRPr="00731FE2" w:rsidRDefault="007935AB" w:rsidP="0052190C">
      <w:pPr>
        <w:pBdr>
          <w:top w:val="none" w:sz="4" w:space="0" w:color="000000"/>
          <w:left w:val="none" w:sz="4" w:space="0" w:color="000000"/>
          <w:bottom w:val="none" w:sz="4" w:space="0" w:color="000000"/>
          <w:right w:val="none" w:sz="4" w:space="1"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 xml:space="preserve">В поселках Белореченский, Индустрия, Нарзанный, Новокисловодский, Лучаначарский, Аликоновка, Зеленогорский и в городских подворьях имеются сельскохозяйственные животные (крупный и мелкий рогатый скот) и птица. </w:t>
      </w:r>
    </w:p>
    <w:p w14:paraId="058E63E0" w14:textId="77777777" w:rsidR="00171AA8" w:rsidRPr="00731FE2" w:rsidRDefault="007935AB" w:rsidP="0052190C">
      <w:pPr>
        <w:pBdr>
          <w:top w:val="none" w:sz="4" w:space="0" w:color="000000"/>
          <w:left w:val="none" w:sz="4" w:space="0" w:color="000000"/>
          <w:bottom w:val="none" w:sz="4" w:space="0" w:color="000000"/>
          <w:right w:val="none" w:sz="4" w:space="1"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lastRenderedPageBreak/>
        <w:t>Отрасль представлена 35 крестьянско-</w:t>
      </w:r>
      <w:r w:rsidR="002455DE" w:rsidRPr="00731FE2">
        <w:rPr>
          <w:rFonts w:ascii="Times New Roman" w:eastAsia="Times New Roman" w:hAnsi="Times New Roman" w:cs="Times New Roman"/>
          <w:color w:val="000000"/>
          <w:szCs w:val="24"/>
        </w:rPr>
        <w:t>фермерскими</w:t>
      </w:r>
      <w:r w:rsidRPr="00731FE2">
        <w:rPr>
          <w:rFonts w:ascii="Times New Roman" w:eastAsia="Times New Roman" w:hAnsi="Times New Roman" w:cs="Times New Roman"/>
          <w:color w:val="000000"/>
          <w:szCs w:val="24"/>
        </w:rPr>
        <w:t xml:space="preserve"> хозяйствами и предприятием ЗАО СПЗ «Форелевый», которое представляет собой производственный комплекс, решающий производственные, селекционно-племенные и научные задачи. ЗАО СПЗ «Форелевый» располагает 35 бетонными выростными, маточными, нагульными и карантинными бассейнами общей площадью 10000 м</w:t>
      </w:r>
      <w:proofErr w:type="gramStart"/>
      <w:r w:rsidRPr="00731FE2">
        <w:rPr>
          <w:rFonts w:ascii="Times New Roman" w:eastAsia="Times New Roman" w:hAnsi="Times New Roman" w:cs="Times New Roman"/>
          <w:color w:val="000000"/>
          <w:szCs w:val="24"/>
          <w:vertAlign w:val="superscript"/>
        </w:rPr>
        <w:t>2</w:t>
      </w:r>
      <w:proofErr w:type="gramEnd"/>
      <w:r w:rsidRPr="00731FE2">
        <w:rPr>
          <w:rFonts w:ascii="Times New Roman" w:eastAsia="Times New Roman" w:hAnsi="Times New Roman" w:cs="Times New Roman"/>
          <w:color w:val="000000"/>
          <w:szCs w:val="24"/>
        </w:rPr>
        <w:t>, 4 карповыми прудами общей площадью 15 га, цехом для инкубации икры форели мощностью 3 млн. икры, цехом подращивания личинок форели с единовременной мощностью 800 тысяч штук личинок. Племзавод является одним из крупнейших рыбохозяйственных предприятий России, сохранившим в чистоте крупное промышленное стадо производителей уни</w:t>
      </w:r>
      <w:r w:rsidR="002455DE" w:rsidRPr="00731FE2">
        <w:rPr>
          <w:rFonts w:ascii="Times New Roman" w:eastAsia="Times New Roman" w:hAnsi="Times New Roman" w:cs="Times New Roman"/>
          <w:color w:val="000000"/>
          <w:szCs w:val="24"/>
        </w:rPr>
        <w:t xml:space="preserve">кальной породы радужной форели – </w:t>
      </w:r>
      <w:r w:rsidRPr="00731FE2">
        <w:rPr>
          <w:rFonts w:ascii="Times New Roman" w:eastAsia="Times New Roman" w:hAnsi="Times New Roman" w:cs="Times New Roman"/>
          <w:color w:val="000000"/>
          <w:szCs w:val="24"/>
        </w:rPr>
        <w:t>камлоопс. «Форелевый» обеспечивает рыбохозяйственные предприятия России племенным рыбопосадочным материалом и оплодотворенной икрой. Среднесписочная численность работников предприятия составляет 26 человек</w:t>
      </w:r>
      <w:r w:rsidRPr="00731FE2">
        <w:rPr>
          <w:rStyle w:val="afb"/>
          <w:rFonts w:ascii="Times New Roman" w:eastAsia="Times New Roman" w:hAnsi="Times New Roman" w:cs="Times New Roman"/>
          <w:color w:val="000000"/>
          <w:szCs w:val="24"/>
          <w:vertAlign w:val="superscript"/>
        </w:rPr>
        <w:footnoteReference w:id="43"/>
      </w:r>
      <w:r w:rsidRPr="00731FE2">
        <w:rPr>
          <w:rFonts w:ascii="Times New Roman" w:eastAsia="Times New Roman" w:hAnsi="Times New Roman" w:cs="Times New Roman"/>
          <w:color w:val="000000"/>
          <w:szCs w:val="24"/>
        </w:rPr>
        <w:t xml:space="preserve">. </w:t>
      </w:r>
    </w:p>
    <w:p w14:paraId="429A4152" w14:textId="77777777" w:rsidR="00171AA8" w:rsidRPr="00731FE2" w:rsidRDefault="007935AB">
      <w:pPr>
        <w:pStyle w:val="33"/>
        <w:rPr>
          <w:rFonts w:ascii="Times New Roman" w:hAnsi="Times New Roman" w:cs="Times New Roman"/>
        </w:rPr>
      </w:pPr>
      <w:bookmarkStart w:id="38" w:name="_Toc177392789"/>
      <w:r w:rsidRPr="00731FE2">
        <w:rPr>
          <w:rFonts w:ascii="Times New Roman" w:hAnsi="Times New Roman" w:cs="Times New Roman"/>
        </w:rPr>
        <w:t>2.9.3 Строительство</w:t>
      </w:r>
      <w:bookmarkEnd w:id="38"/>
    </w:p>
    <w:p w14:paraId="32C8C26D"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 xml:space="preserve">Строительство – одна из ведущих отраслей материального производства в городском округе, обеспечивающая создание основных фондов и жилищное строительство. </w:t>
      </w:r>
    </w:p>
    <w:p w14:paraId="5AD7AF0E"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В 2022 году введено в действие жилых домов за счет всех источников финансирования общей площадью - 30,5 тыс. кв. м (к соответствующему показателю 2021 года – 55 %), в том числе индивидуальными застройщиками - 0,4 тыс. кв. м. (к соответствующему показателю 2021 года - 6,5%).</w:t>
      </w:r>
    </w:p>
    <w:p w14:paraId="1F6395A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noProof/>
          <w:color w:val="000000"/>
          <w:lang w:eastAsia="ru-RU"/>
        </w:rPr>
        <w:drawing>
          <wp:inline distT="0" distB="0" distL="0" distR="0" wp14:anchorId="7DB0B74B" wp14:editId="7F74A4E3">
            <wp:extent cx="5402997" cy="2964072"/>
            <wp:effectExtent l="4762" t="4762" r="4762" b="4762"/>
            <wp:docPr id="9"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bl>
      <w:tblPr>
        <w:tblStyle w:val="afe"/>
        <w:tblW w:w="0" w:type="auto"/>
        <w:tblInd w:w="425" w:type="dxa"/>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ayout w:type="fixed"/>
        <w:tblLook w:val="04A0" w:firstRow="1" w:lastRow="0" w:firstColumn="1" w:lastColumn="0" w:noHBand="0" w:noVBand="1"/>
      </w:tblPr>
      <w:tblGrid>
        <w:gridCol w:w="1843"/>
        <w:gridCol w:w="850"/>
        <w:gridCol w:w="850"/>
        <w:gridCol w:w="850"/>
        <w:gridCol w:w="850"/>
        <w:gridCol w:w="850"/>
        <w:gridCol w:w="850"/>
        <w:gridCol w:w="850"/>
        <w:gridCol w:w="853"/>
      </w:tblGrid>
      <w:tr w:rsidR="00171AA8" w:rsidRPr="00731FE2" w14:paraId="66B0CBCF" w14:textId="77777777">
        <w:tc>
          <w:tcPr>
            <w:tcW w:w="1843" w:type="dxa"/>
            <w:vMerge w:val="restar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Mar>
              <w:top w:w="0" w:type="dxa"/>
              <w:left w:w="108" w:type="dxa"/>
              <w:bottom w:w="0" w:type="dxa"/>
              <w:right w:w="108" w:type="dxa"/>
            </w:tcMar>
            <w:vAlign w:val="center"/>
          </w:tcPr>
          <w:p w14:paraId="4A714B9C" w14:textId="77777777" w:rsidR="00171AA8" w:rsidRPr="00731FE2" w:rsidRDefault="007935AB">
            <w:pPr>
              <w:pBdr>
                <w:top w:val="none" w:sz="4" w:space="0" w:color="000000"/>
                <w:left w:val="none" w:sz="4" w:space="0" w:color="000000"/>
                <w:bottom w:val="none" w:sz="4" w:space="0" w:color="000000"/>
                <w:right w:val="none" w:sz="4" w:space="0" w:color="000000"/>
              </w:pBdr>
              <w:ind w:firstLine="0"/>
              <w:rPr>
                <w:sz w:val="20"/>
                <w:szCs w:val="20"/>
              </w:rPr>
            </w:pPr>
            <w:r w:rsidRPr="00731FE2">
              <w:rPr>
                <w:rFonts w:ascii="Times New Roman" w:eastAsia="Times New Roman" w:hAnsi="Times New Roman" w:cs="Times New Roman"/>
                <w:b/>
                <w:color w:val="000000"/>
                <w:sz w:val="20"/>
                <w:szCs w:val="20"/>
              </w:rPr>
              <w:t>Показатель (тыс. кв. м)</w:t>
            </w:r>
          </w:p>
        </w:tc>
        <w:tc>
          <w:tcPr>
            <w:tcW w:w="6803" w:type="dxa"/>
            <w:gridSpan w:val="8"/>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Mar>
              <w:top w:w="0" w:type="dxa"/>
              <w:left w:w="108" w:type="dxa"/>
              <w:bottom w:w="0" w:type="dxa"/>
              <w:right w:w="108" w:type="dxa"/>
            </w:tcMar>
            <w:vAlign w:val="center"/>
          </w:tcPr>
          <w:p w14:paraId="776E89F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0"/>
                <w:szCs w:val="20"/>
              </w:rPr>
            </w:pPr>
            <w:r w:rsidRPr="00731FE2">
              <w:rPr>
                <w:rFonts w:ascii="Times New Roman" w:eastAsia="Times New Roman" w:hAnsi="Times New Roman" w:cs="Times New Roman"/>
                <w:b/>
                <w:color w:val="000000"/>
                <w:sz w:val="20"/>
                <w:szCs w:val="20"/>
              </w:rPr>
              <w:t>Год</w:t>
            </w:r>
          </w:p>
        </w:tc>
      </w:tr>
      <w:tr w:rsidR="00171AA8" w:rsidRPr="00731FE2" w14:paraId="59AE0770" w14:textId="77777777">
        <w:tc>
          <w:tcPr>
            <w:tcW w:w="1843" w:type="dxa"/>
            <w:vMerge/>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2787ABD4" w14:textId="77777777" w:rsidR="00171AA8" w:rsidRPr="00731FE2" w:rsidRDefault="00171AA8"/>
        </w:tc>
        <w:tc>
          <w:tcPr>
            <w:tcW w:w="85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Mar>
              <w:top w:w="0" w:type="dxa"/>
              <w:left w:w="108" w:type="dxa"/>
              <w:bottom w:w="0" w:type="dxa"/>
              <w:right w:w="108" w:type="dxa"/>
            </w:tcMar>
            <w:vAlign w:val="center"/>
          </w:tcPr>
          <w:p w14:paraId="1AD79F8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0"/>
                <w:szCs w:val="20"/>
              </w:rPr>
            </w:pPr>
            <w:r w:rsidRPr="00731FE2">
              <w:rPr>
                <w:rFonts w:ascii="Times New Roman" w:eastAsia="Times New Roman" w:hAnsi="Times New Roman" w:cs="Times New Roman"/>
                <w:b/>
                <w:color w:val="000000"/>
                <w:sz w:val="20"/>
                <w:szCs w:val="20"/>
              </w:rPr>
              <w:t>2015</w:t>
            </w:r>
          </w:p>
        </w:tc>
        <w:tc>
          <w:tcPr>
            <w:tcW w:w="85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Mar>
              <w:top w:w="0" w:type="dxa"/>
              <w:left w:w="108" w:type="dxa"/>
              <w:bottom w:w="0" w:type="dxa"/>
              <w:right w:w="108" w:type="dxa"/>
            </w:tcMar>
            <w:vAlign w:val="center"/>
          </w:tcPr>
          <w:p w14:paraId="5D0F209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0"/>
                <w:szCs w:val="20"/>
              </w:rPr>
            </w:pPr>
            <w:r w:rsidRPr="00731FE2">
              <w:rPr>
                <w:rFonts w:ascii="Times New Roman" w:eastAsia="Times New Roman" w:hAnsi="Times New Roman" w:cs="Times New Roman"/>
                <w:b/>
                <w:color w:val="000000"/>
                <w:sz w:val="20"/>
                <w:szCs w:val="20"/>
              </w:rPr>
              <w:t>2016</w:t>
            </w:r>
          </w:p>
        </w:tc>
        <w:tc>
          <w:tcPr>
            <w:tcW w:w="85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Mar>
              <w:top w:w="0" w:type="dxa"/>
              <w:left w:w="108" w:type="dxa"/>
              <w:bottom w:w="0" w:type="dxa"/>
              <w:right w:w="108" w:type="dxa"/>
            </w:tcMar>
            <w:vAlign w:val="center"/>
          </w:tcPr>
          <w:p w14:paraId="2862C71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0"/>
                <w:szCs w:val="20"/>
              </w:rPr>
            </w:pPr>
            <w:r w:rsidRPr="00731FE2">
              <w:rPr>
                <w:rFonts w:ascii="Times New Roman" w:eastAsia="Times New Roman" w:hAnsi="Times New Roman" w:cs="Times New Roman"/>
                <w:b/>
                <w:color w:val="000000"/>
                <w:sz w:val="20"/>
                <w:szCs w:val="20"/>
              </w:rPr>
              <w:t>2017</w:t>
            </w:r>
          </w:p>
        </w:tc>
        <w:tc>
          <w:tcPr>
            <w:tcW w:w="85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Mar>
              <w:top w:w="0" w:type="dxa"/>
              <w:left w:w="108" w:type="dxa"/>
              <w:bottom w:w="0" w:type="dxa"/>
              <w:right w:w="108" w:type="dxa"/>
            </w:tcMar>
            <w:vAlign w:val="center"/>
          </w:tcPr>
          <w:p w14:paraId="707D26C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0"/>
                <w:szCs w:val="20"/>
              </w:rPr>
            </w:pPr>
            <w:r w:rsidRPr="00731FE2">
              <w:rPr>
                <w:rFonts w:ascii="Times New Roman" w:eastAsia="Times New Roman" w:hAnsi="Times New Roman" w:cs="Times New Roman"/>
                <w:b/>
                <w:color w:val="000000"/>
                <w:sz w:val="20"/>
                <w:szCs w:val="20"/>
              </w:rPr>
              <w:t>2018</w:t>
            </w:r>
          </w:p>
        </w:tc>
        <w:tc>
          <w:tcPr>
            <w:tcW w:w="85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Mar>
              <w:top w:w="0" w:type="dxa"/>
              <w:left w:w="108" w:type="dxa"/>
              <w:bottom w:w="0" w:type="dxa"/>
              <w:right w:w="108" w:type="dxa"/>
            </w:tcMar>
            <w:vAlign w:val="center"/>
          </w:tcPr>
          <w:p w14:paraId="0C44B30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0"/>
                <w:szCs w:val="20"/>
              </w:rPr>
            </w:pPr>
            <w:r w:rsidRPr="00731FE2">
              <w:rPr>
                <w:rFonts w:ascii="Times New Roman" w:eastAsia="Times New Roman" w:hAnsi="Times New Roman" w:cs="Times New Roman"/>
                <w:b/>
                <w:color w:val="000000"/>
                <w:sz w:val="20"/>
                <w:szCs w:val="20"/>
              </w:rPr>
              <w:t>2019</w:t>
            </w:r>
          </w:p>
        </w:tc>
        <w:tc>
          <w:tcPr>
            <w:tcW w:w="85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Mar>
              <w:top w:w="0" w:type="dxa"/>
              <w:left w:w="108" w:type="dxa"/>
              <w:bottom w:w="0" w:type="dxa"/>
              <w:right w:w="108" w:type="dxa"/>
            </w:tcMar>
            <w:vAlign w:val="center"/>
          </w:tcPr>
          <w:p w14:paraId="4295B3C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0"/>
                <w:szCs w:val="20"/>
              </w:rPr>
            </w:pPr>
            <w:r w:rsidRPr="00731FE2">
              <w:rPr>
                <w:rFonts w:ascii="Times New Roman" w:eastAsia="Times New Roman" w:hAnsi="Times New Roman" w:cs="Times New Roman"/>
                <w:b/>
                <w:color w:val="000000"/>
                <w:sz w:val="20"/>
                <w:szCs w:val="20"/>
              </w:rPr>
              <w:t>2020</w:t>
            </w:r>
          </w:p>
        </w:tc>
        <w:tc>
          <w:tcPr>
            <w:tcW w:w="85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Mar>
              <w:top w:w="0" w:type="dxa"/>
              <w:left w:w="108" w:type="dxa"/>
              <w:bottom w:w="0" w:type="dxa"/>
              <w:right w:w="108" w:type="dxa"/>
            </w:tcMar>
            <w:vAlign w:val="center"/>
          </w:tcPr>
          <w:p w14:paraId="041F43D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0"/>
                <w:szCs w:val="20"/>
              </w:rPr>
            </w:pPr>
            <w:r w:rsidRPr="00731FE2">
              <w:rPr>
                <w:rFonts w:ascii="Times New Roman" w:eastAsia="Times New Roman" w:hAnsi="Times New Roman" w:cs="Times New Roman"/>
                <w:b/>
                <w:color w:val="000000"/>
                <w:sz w:val="20"/>
                <w:szCs w:val="20"/>
              </w:rPr>
              <w:t>2021</w:t>
            </w:r>
          </w:p>
        </w:tc>
        <w:tc>
          <w:tcPr>
            <w:tcW w:w="85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Mar>
              <w:top w:w="0" w:type="dxa"/>
              <w:left w:w="108" w:type="dxa"/>
              <w:bottom w:w="0" w:type="dxa"/>
              <w:right w:w="108" w:type="dxa"/>
            </w:tcMar>
            <w:vAlign w:val="center"/>
          </w:tcPr>
          <w:p w14:paraId="3E79974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0"/>
                <w:szCs w:val="20"/>
              </w:rPr>
            </w:pPr>
            <w:r w:rsidRPr="00731FE2">
              <w:rPr>
                <w:rFonts w:ascii="Times New Roman" w:eastAsia="Times New Roman" w:hAnsi="Times New Roman" w:cs="Times New Roman"/>
                <w:b/>
                <w:color w:val="000000"/>
                <w:sz w:val="20"/>
                <w:szCs w:val="20"/>
              </w:rPr>
              <w:t>2022</w:t>
            </w:r>
          </w:p>
        </w:tc>
      </w:tr>
      <w:tr w:rsidR="00171AA8" w:rsidRPr="00731FE2" w14:paraId="58154EC3" w14:textId="77777777">
        <w:tc>
          <w:tcPr>
            <w:tcW w:w="184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Mar>
              <w:top w:w="0" w:type="dxa"/>
              <w:left w:w="108" w:type="dxa"/>
              <w:bottom w:w="0" w:type="dxa"/>
              <w:right w:w="108" w:type="dxa"/>
            </w:tcMar>
            <w:vAlign w:val="center"/>
          </w:tcPr>
          <w:p w14:paraId="046042CF" w14:textId="77777777" w:rsidR="00171AA8" w:rsidRPr="00731FE2" w:rsidRDefault="007935AB">
            <w:pPr>
              <w:pBdr>
                <w:top w:val="none" w:sz="4" w:space="0" w:color="000000"/>
                <w:left w:val="none" w:sz="4" w:space="0" w:color="000000"/>
                <w:bottom w:val="none" w:sz="4" w:space="0" w:color="000000"/>
                <w:right w:val="none" w:sz="4" w:space="0" w:color="000000"/>
              </w:pBdr>
              <w:ind w:firstLine="0"/>
              <w:rPr>
                <w:sz w:val="20"/>
                <w:szCs w:val="20"/>
              </w:rPr>
            </w:pPr>
            <w:r w:rsidRPr="00731FE2">
              <w:rPr>
                <w:rFonts w:ascii="Times New Roman" w:eastAsia="Times New Roman" w:hAnsi="Times New Roman" w:cs="Times New Roman"/>
                <w:color w:val="000000"/>
                <w:sz w:val="20"/>
                <w:szCs w:val="20"/>
              </w:rPr>
              <w:t>Всего, тыс. кв. м</w:t>
            </w:r>
          </w:p>
        </w:tc>
        <w:tc>
          <w:tcPr>
            <w:tcW w:w="85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Mar>
              <w:top w:w="0" w:type="dxa"/>
              <w:left w:w="108" w:type="dxa"/>
              <w:bottom w:w="0" w:type="dxa"/>
              <w:right w:w="108" w:type="dxa"/>
            </w:tcMar>
            <w:vAlign w:val="center"/>
          </w:tcPr>
          <w:p w14:paraId="7BEFC0F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0"/>
                <w:szCs w:val="20"/>
              </w:rPr>
            </w:pPr>
            <w:r w:rsidRPr="00731FE2">
              <w:rPr>
                <w:rFonts w:ascii="Times New Roman" w:eastAsia="Times New Roman" w:hAnsi="Times New Roman" w:cs="Times New Roman"/>
                <w:color w:val="000000"/>
                <w:sz w:val="20"/>
                <w:szCs w:val="20"/>
              </w:rPr>
              <w:t>32,3</w:t>
            </w:r>
          </w:p>
        </w:tc>
        <w:tc>
          <w:tcPr>
            <w:tcW w:w="85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Mar>
              <w:top w:w="0" w:type="dxa"/>
              <w:left w:w="108" w:type="dxa"/>
              <w:bottom w:w="0" w:type="dxa"/>
              <w:right w:w="108" w:type="dxa"/>
            </w:tcMar>
            <w:vAlign w:val="center"/>
          </w:tcPr>
          <w:p w14:paraId="37CB6FD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0"/>
                <w:szCs w:val="20"/>
              </w:rPr>
            </w:pPr>
            <w:r w:rsidRPr="00731FE2">
              <w:rPr>
                <w:rFonts w:ascii="Times New Roman" w:eastAsia="Times New Roman" w:hAnsi="Times New Roman" w:cs="Times New Roman"/>
                <w:color w:val="000000"/>
                <w:sz w:val="20"/>
                <w:szCs w:val="20"/>
              </w:rPr>
              <w:t>40,1</w:t>
            </w:r>
          </w:p>
        </w:tc>
        <w:tc>
          <w:tcPr>
            <w:tcW w:w="85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Mar>
              <w:top w:w="0" w:type="dxa"/>
              <w:left w:w="108" w:type="dxa"/>
              <w:bottom w:w="0" w:type="dxa"/>
              <w:right w:w="108" w:type="dxa"/>
            </w:tcMar>
            <w:vAlign w:val="center"/>
          </w:tcPr>
          <w:p w14:paraId="128D90E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0"/>
                <w:szCs w:val="20"/>
              </w:rPr>
            </w:pPr>
            <w:r w:rsidRPr="00731FE2">
              <w:rPr>
                <w:rFonts w:ascii="Times New Roman" w:eastAsia="Times New Roman" w:hAnsi="Times New Roman" w:cs="Times New Roman"/>
                <w:color w:val="000000"/>
                <w:sz w:val="20"/>
                <w:szCs w:val="20"/>
              </w:rPr>
              <w:t>41,8</w:t>
            </w:r>
          </w:p>
        </w:tc>
        <w:tc>
          <w:tcPr>
            <w:tcW w:w="85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Mar>
              <w:top w:w="0" w:type="dxa"/>
              <w:left w:w="108" w:type="dxa"/>
              <w:bottom w:w="0" w:type="dxa"/>
              <w:right w:w="108" w:type="dxa"/>
            </w:tcMar>
            <w:vAlign w:val="center"/>
          </w:tcPr>
          <w:p w14:paraId="5BFC979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0"/>
                <w:szCs w:val="20"/>
              </w:rPr>
            </w:pPr>
            <w:r w:rsidRPr="00731FE2">
              <w:rPr>
                <w:rFonts w:ascii="Times New Roman" w:eastAsia="Times New Roman" w:hAnsi="Times New Roman" w:cs="Times New Roman"/>
                <w:color w:val="000000"/>
                <w:sz w:val="20"/>
                <w:szCs w:val="20"/>
              </w:rPr>
              <w:t>17,4</w:t>
            </w:r>
          </w:p>
        </w:tc>
        <w:tc>
          <w:tcPr>
            <w:tcW w:w="85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Mar>
              <w:top w:w="0" w:type="dxa"/>
              <w:left w:w="108" w:type="dxa"/>
              <w:bottom w:w="0" w:type="dxa"/>
              <w:right w:w="108" w:type="dxa"/>
            </w:tcMar>
            <w:vAlign w:val="center"/>
          </w:tcPr>
          <w:p w14:paraId="044FE24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0"/>
                <w:szCs w:val="20"/>
              </w:rPr>
            </w:pPr>
            <w:r w:rsidRPr="00731FE2">
              <w:rPr>
                <w:rFonts w:ascii="Times New Roman" w:eastAsia="Times New Roman" w:hAnsi="Times New Roman" w:cs="Times New Roman"/>
                <w:color w:val="000000"/>
                <w:sz w:val="20"/>
                <w:szCs w:val="20"/>
              </w:rPr>
              <w:t>28,6</w:t>
            </w:r>
          </w:p>
        </w:tc>
        <w:tc>
          <w:tcPr>
            <w:tcW w:w="85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Mar>
              <w:top w:w="0" w:type="dxa"/>
              <w:left w:w="108" w:type="dxa"/>
              <w:bottom w:w="0" w:type="dxa"/>
              <w:right w:w="108" w:type="dxa"/>
            </w:tcMar>
            <w:vAlign w:val="center"/>
          </w:tcPr>
          <w:p w14:paraId="07A9A68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0"/>
                <w:szCs w:val="20"/>
              </w:rPr>
            </w:pPr>
            <w:r w:rsidRPr="00731FE2">
              <w:rPr>
                <w:rFonts w:ascii="Times New Roman" w:eastAsia="Times New Roman" w:hAnsi="Times New Roman" w:cs="Times New Roman"/>
                <w:color w:val="000000"/>
                <w:sz w:val="20"/>
                <w:szCs w:val="20"/>
              </w:rPr>
              <w:t>77,4</w:t>
            </w:r>
          </w:p>
        </w:tc>
        <w:tc>
          <w:tcPr>
            <w:tcW w:w="85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Mar>
              <w:top w:w="0" w:type="dxa"/>
              <w:left w:w="108" w:type="dxa"/>
              <w:bottom w:w="0" w:type="dxa"/>
              <w:right w:w="108" w:type="dxa"/>
            </w:tcMar>
            <w:vAlign w:val="center"/>
          </w:tcPr>
          <w:p w14:paraId="1265400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0"/>
                <w:szCs w:val="20"/>
              </w:rPr>
            </w:pPr>
            <w:r w:rsidRPr="00731FE2">
              <w:rPr>
                <w:rFonts w:ascii="Times New Roman" w:eastAsia="Times New Roman" w:hAnsi="Times New Roman" w:cs="Times New Roman"/>
                <w:color w:val="000000"/>
                <w:sz w:val="20"/>
                <w:szCs w:val="20"/>
              </w:rPr>
              <w:t>55,5</w:t>
            </w:r>
          </w:p>
        </w:tc>
        <w:tc>
          <w:tcPr>
            <w:tcW w:w="85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Mar>
              <w:top w:w="0" w:type="dxa"/>
              <w:left w:w="108" w:type="dxa"/>
              <w:bottom w:w="0" w:type="dxa"/>
              <w:right w:w="108" w:type="dxa"/>
            </w:tcMar>
            <w:vAlign w:val="center"/>
          </w:tcPr>
          <w:p w14:paraId="51557FD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0"/>
                <w:szCs w:val="20"/>
              </w:rPr>
            </w:pPr>
            <w:r w:rsidRPr="00731FE2">
              <w:rPr>
                <w:rFonts w:ascii="Times New Roman" w:eastAsia="Times New Roman" w:hAnsi="Times New Roman" w:cs="Times New Roman"/>
                <w:color w:val="000000"/>
                <w:sz w:val="20"/>
                <w:szCs w:val="20"/>
              </w:rPr>
              <w:t>30,5</w:t>
            </w:r>
          </w:p>
        </w:tc>
      </w:tr>
      <w:tr w:rsidR="00171AA8" w:rsidRPr="00731FE2" w14:paraId="1787852D" w14:textId="77777777">
        <w:tc>
          <w:tcPr>
            <w:tcW w:w="184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Mar>
              <w:top w:w="0" w:type="dxa"/>
              <w:left w:w="108" w:type="dxa"/>
              <w:bottom w:w="0" w:type="dxa"/>
              <w:right w:w="108" w:type="dxa"/>
            </w:tcMar>
            <w:vAlign w:val="center"/>
          </w:tcPr>
          <w:p w14:paraId="447B86E0" w14:textId="77777777" w:rsidR="00171AA8" w:rsidRPr="00731FE2" w:rsidRDefault="007935AB">
            <w:pPr>
              <w:pBdr>
                <w:top w:val="none" w:sz="4" w:space="0" w:color="000000"/>
                <w:left w:val="none" w:sz="4" w:space="0" w:color="000000"/>
                <w:bottom w:val="none" w:sz="4" w:space="0" w:color="000000"/>
                <w:right w:val="none" w:sz="4" w:space="0" w:color="000000"/>
              </w:pBdr>
              <w:ind w:firstLine="0"/>
              <w:rPr>
                <w:sz w:val="20"/>
                <w:szCs w:val="20"/>
              </w:rPr>
            </w:pPr>
            <w:r w:rsidRPr="00731FE2">
              <w:rPr>
                <w:rFonts w:ascii="Times New Roman" w:eastAsia="Times New Roman" w:hAnsi="Times New Roman" w:cs="Times New Roman"/>
                <w:color w:val="000000"/>
                <w:sz w:val="20"/>
                <w:szCs w:val="20"/>
              </w:rPr>
              <w:t>Строительство многоквартирных домов</w:t>
            </w:r>
          </w:p>
        </w:tc>
        <w:tc>
          <w:tcPr>
            <w:tcW w:w="85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Mar>
              <w:top w:w="0" w:type="dxa"/>
              <w:left w:w="108" w:type="dxa"/>
              <w:bottom w:w="0" w:type="dxa"/>
              <w:right w:w="108" w:type="dxa"/>
            </w:tcMar>
            <w:vAlign w:val="center"/>
          </w:tcPr>
          <w:p w14:paraId="51F218C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0"/>
                <w:szCs w:val="20"/>
              </w:rPr>
            </w:pPr>
            <w:r w:rsidRPr="00731FE2">
              <w:rPr>
                <w:rFonts w:ascii="Times New Roman" w:eastAsia="Times New Roman" w:hAnsi="Times New Roman" w:cs="Times New Roman"/>
                <w:color w:val="000000"/>
                <w:sz w:val="20"/>
                <w:szCs w:val="20"/>
              </w:rPr>
              <w:t>9,6</w:t>
            </w:r>
          </w:p>
        </w:tc>
        <w:tc>
          <w:tcPr>
            <w:tcW w:w="85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Mar>
              <w:top w:w="0" w:type="dxa"/>
              <w:left w:w="108" w:type="dxa"/>
              <w:bottom w:w="0" w:type="dxa"/>
              <w:right w:w="108" w:type="dxa"/>
            </w:tcMar>
            <w:vAlign w:val="center"/>
          </w:tcPr>
          <w:p w14:paraId="4FACE56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0"/>
                <w:szCs w:val="20"/>
              </w:rPr>
            </w:pPr>
            <w:r w:rsidRPr="00731FE2">
              <w:rPr>
                <w:rFonts w:ascii="Times New Roman" w:eastAsia="Times New Roman" w:hAnsi="Times New Roman" w:cs="Times New Roman"/>
                <w:color w:val="000000"/>
                <w:sz w:val="20"/>
                <w:szCs w:val="20"/>
              </w:rPr>
              <w:t>24,4</w:t>
            </w:r>
          </w:p>
        </w:tc>
        <w:tc>
          <w:tcPr>
            <w:tcW w:w="85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Mar>
              <w:top w:w="0" w:type="dxa"/>
              <w:left w:w="108" w:type="dxa"/>
              <w:bottom w:w="0" w:type="dxa"/>
              <w:right w:w="108" w:type="dxa"/>
            </w:tcMar>
            <w:vAlign w:val="center"/>
          </w:tcPr>
          <w:p w14:paraId="36EA78B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0"/>
                <w:szCs w:val="20"/>
              </w:rPr>
            </w:pPr>
            <w:r w:rsidRPr="00731FE2">
              <w:rPr>
                <w:rFonts w:ascii="Times New Roman" w:eastAsia="Times New Roman" w:hAnsi="Times New Roman" w:cs="Times New Roman"/>
                <w:color w:val="000000"/>
                <w:sz w:val="20"/>
                <w:szCs w:val="20"/>
              </w:rPr>
              <w:t>28,4</w:t>
            </w:r>
          </w:p>
        </w:tc>
        <w:tc>
          <w:tcPr>
            <w:tcW w:w="85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Mar>
              <w:top w:w="0" w:type="dxa"/>
              <w:left w:w="108" w:type="dxa"/>
              <w:bottom w:w="0" w:type="dxa"/>
              <w:right w:w="108" w:type="dxa"/>
            </w:tcMar>
            <w:vAlign w:val="center"/>
          </w:tcPr>
          <w:p w14:paraId="5C25D07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0"/>
                <w:szCs w:val="20"/>
              </w:rPr>
            </w:pPr>
            <w:r w:rsidRPr="00731FE2">
              <w:rPr>
                <w:rFonts w:ascii="Times New Roman" w:eastAsia="Times New Roman" w:hAnsi="Times New Roman" w:cs="Times New Roman"/>
                <w:color w:val="000000"/>
                <w:sz w:val="20"/>
                <w:szCs w:val="20"/>
              </w:rPr>
              <w:t>5,3</w:t>
            </w:r>
          </w:p>
        </w:tc>
        <w:tc>
          <w:tcPr>
            <w:tcW w:w="85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Mar>
              <w:top w:w="0" w:type="dxa"/>
              <w:left w:w="108" w:type="dxa"/>
              <w:bottom w:w="0" w:type="dxa"/>
              <w:right w:w="108" w:type="dxa"/>
            </w:tcMar>
            <w:vAlign w:val="center"/>
          </w:tcPr>
          <w:p w14:paraId="31BAF96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0"/>
                <w:szCs w:val="20"/>
              </w:rPr>
            </w:pPr>
            <w:r w:rsidRPr="00731FE2">
              <w:rPr>
                <w:rFonts w:ascii="Times New Roman" w:eastAsia="Times New Roman" w:hAnsi="Times New Roman" w:cs="Times New Roman"/>
                <w:color w:val="000000"/>
                <w:sz w:val="20"/>
                <w:szCs w:val="20"/>
              </w:rPr>
              <w:t>21,2</w:t>
            </w:r>
          </w:p>
        </w:tc>
        <w:tc>
          <w:tcPr>
            <w:tcW w:w="85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Mar>
              <w:top w:w="0" w:type="dxa"/>
              <w:left w:w="108" w:type="dxa"/>
              <w:bottom w:w="0" w:type="dxa"/>
              <w:right w:w="108" w:type="dxa"/>
            </w:tcMar>
            <w:vAlign w:val="center"/>
          </w:tcPr>
          <w:p w14:paraId="6CFE1F7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0"/>
                <w:szCs w:val="20"/>
              </w:rPr>
            </w:pPr>
            <w:r w:rsidRPr="00731FE2">
              <w:rPr>
                <w:rFonts w:ascii="Times New Roman" w:eastAsia="Times New Roman" w:hAnsi="Times New Roman" w:cs="Times New Roman"/>
                <w:color w:val="000000"/>
                <w:sz w:val="20"/>
                <w:szCs w:val="20"/>
              </w:rPr>
              <w:t>69,3</w:t>
            </w:r>
          </w:p>
        </w:tc>
        <w:tc>
          <w:tcPr>
            <w:tcW w:w="85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Mar>
              <w:top w:w="0" w:type="dxa"/>
              <w:left w:w="108" w:type="dxa"/>
              <w:bottom w:w="0" w:type="dxa"/>
              <w:right w:w="108" w:type="dxa"/>
            </w:tcMar>
            <w:vAlign w:val="center"/>
          </w:tcPr>
          <w:p w14:paraId="6C0AADB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0"/>
                <w:szCs w:val="20"/>
              </w:rPr>
            </w:pPr>
            <w:r w:rsidRPr="00731FE2">
              <w:rPr>
                <w:rFonts w:ascii="Times New Roman" w:eastAsia="Times New Roman" w:hAnsi="Times New Roman" w:cs="Times New Roman"/>
                <w:color w:val="000000"/>
                <w:sz w:val="20"/>
                <w:szCs w:val="20"/>
              </w:rPr>
              <w:t>52,9</w:t>
            </w:r>
          </w:p>
        </w:tc>
        <w:tc>
          <w:tcPr>
            <w:tcW w:w="85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Mar>
              <w:top w:w="0" w:type="dxa"/>
              <w:left w:w="108" w:type="dxa"/>
              <w:bottom w:w="0" w:type="dxa"/>
              <w:right w:w="108" w:type="dxa"/>
            </w:tcMar>
            <w:vAlign w:val="center"/>
          </w:tcPr>
          <w:p w14:paraId="70B62A7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0"/>
                <w:szCs w:val="20"/>
              </w:rPr>
            </w:pPr>
            <w:r w:rsidRPr="00731FE2">
              <w:rPr>
                <w:rFonts w:ascii="Times New Roman" w:eastAsia="Times New Roman" w:hAnsi="Times New Roman" w:cs="Times New Roman"/>
                <w:color w:val="000000"/>
                <w:sz w:val="20"/>
                <w:szCs w:val="20"/>
              </w:rPr>
              <w:t>30,1</w:t>
            </w:r>
          </w:p>
        </w:tc>
      </w:tr>
      <w:tr w:rsidR="00171AA8" w:rsidRPr="00731FE2" w14:paraId="1F36CEBE" w14:textId="77777777">
        <w:tc>
          <w:tcPr>
            <w:tcW w:w="1843"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Mar>
              <w:top w:w="0" w:type="dxa"/>
              <w:left w:w="108" w:type="dxa"/>
              <w:bottom w:w="0" w:type="dxa"/>
              <w:right w:w="108" w:type="dxa"/>
            </w:tcMar>
            <w:vAlign w:val="center"/>
          </w:tcPr>
          <w:p w14:paraId="450CCB84" w14:textId="77777777" w:rsidR="00171AA8" w:rsidRPr="00731FE2" w:rsidRDefault="007935AB">
            <w:pPr>
              <w:pBdr>
                <w:top w:val="none" w:sz="4" w:space="0" w:color="000000"/>
                <w:left w:val="none" w:sz="4" w:space="0" w:color="000000"/>
                <w:bottom w:val="none" w:sz="4" w:space="0" w:color="000000"/>
                <w:right w:val="none" w:sz="4" w:space="0" w:color="000000"/>
              </w:pBdr>
              <w:ind w:firstLine="0"/>
              <w:rPr>
                <w:sz w:val="20"/>
                <w:szCs w:val="20"/>
              </w:rPr>
            </w:pPr>
            <w:r w:rsidRPr="00731FE2">
              <w:rPr>
                <w:rFonts w:ascii="Times New Roman" w:eastAsia="Times New Roman" w:hAnsi="Times New Roman" w:cs="Times New Roman"/>
                <w:color w:val="000000"/>
                <w:sz w:val="20"/>
                <w:szCs w:val="20"/>
              </w:rPr>
              <w:t>Индивидуальное строительство</w:t>
            </w:r>
          </w:p>
        </w:tc>
        <w:tc>
          <w:tcPr>
            <w:tcW w:w="85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Mar>
              <w:top w:w="0" w:type="dxa"/>
              <w:left w:w="108" w:type="dxa"/>
              <w:bottom w:w="0" w:type="dxa"/>
              <w:right w:w="108" w:type="dxa"/>
            </w:tcMar>
            <w:vAlign w:val="center"/>
          </w:tcPr>
          <w:p w14:paraId="16E85B5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0"/>
                <w:szCs w:val="20"/>
              </w:rPr>
            </w:pPr>
            <w:r w:rsidRPr="00731FE2">
              <w:rPr>
                <w:rFonts w:ascii="Times New Roman" w:eastAsia="Times New Roman" w:hAnsi="Times New Roman" w:cs="Times New Roman"/>
                <w:color w:val="000000"/>
                <w:sz w:val="20"/>
                <w:szCs w:val="20"/>
              </w:rPr>
              <w:t>22,7</w:t>
            </w:r>
          </w:p>
        </w:tc>
        <w:tc>
          <w:tcPr>
            <w:tcW w:w="85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Mar>
              <w:top w:w="0" w:type="dxa"/>
              <w:left w:w="108" w:type="dxa"/>
              <w:bottom w:w="0" w:type="dxa"/>
              <w:right w:w="108" w:type="dxa"/>
            </w:tcMar>
            <w:vAlign w:val="center"/>
          </w:tcPr>
          <w:p w14:paraId="6B0446D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0"/>
                <w:szCs w:val="20"/>
              </w:rPr>
            </w:pPr>
            <w:r w:rsidRPr="00731FE2">
              <w:rPr>
                <w:rFonts w:ascii="Times New Roman" w:eastAsia="Times New Roman" w:hAnsi="Times New Roman" w:cs="Times New Roman"/>
                <w:color w:val="000000"/>
                <w:sz w:val="20"/>
                <w:szCs w:val="20"/>
              </w:rPr>
              <w:t>15,3</w:t>
            </w:r>
          </w:p>
        </w:tc>
        <w:tc>
          <w:tcPr>
            <w:tcW w:w="85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Mar>
              <w:top w:w="0" w:type="dxa"/>
              <w:left w:w="108" w:type="dxa"/>
              <w:bottom w:w="0" w:type="dxa"/>
              <w:right w:w="108" w:type="dxa"/>
            </w:tcMar>
            <w:vAlign w:val="center"/>
          </w:tcPr>
          <w:p w14:paraId="1E1F393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0"/>
                <w:szCs w:val="20"/>
              </w:rPr>
            </w:pPr>
            <w:r w:rsidRPr="00731FE2">
              <w:rPr>
                <w:rFonts w:ascii="Times New Roman" w:eastAsia="Times New Roman" w:hAnsi="Times New Roman" w:cs="Times New Roman"/>
                <w:color w:val="000000"/>
                <w:sz w:val="20"/>
                <w:szCs w:val="20"/>
              </w:rPr>
              <w:t>13,4</w:t>
            </w:r>
          </w:p>
        </w:tc>
        <w:tc>
          <w:tcPr>
            <w:tcW w:w="85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Mar>
              <w:top w:w="0" w:type="dxa"/>
              <w:left w:w="108" w:type="dxa"/>
              <w:bottom w:w="0" w:type="dxa"/>
              <w:right w:w="108" w:type="dxa"/>
            </w:tcMar>
            <w:vAlign w:val="center"/>
          </w:tcPr>
          <w:p w14:paraId="2EE3D8C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0"/>
                <w:szCs w:val="20"/>
              </w:rPr>
            </w:pPr>
            <w:r w:rsidRPr="00731FE2">
              <w:rPr>
                <w:rFonts w:ascii="Times New Roman" w:eastAsia="Times New Roman" w:hAnsi="Times New Roman" w:cs="Times New Roman"/>
                <w:color w:val="000000"/>
                <w:sz w:val="20"/>
                <w:szCs w:val="20"/>
              </w:rPr>
              <w:t>12,1</w:t>
            </w:r>
          </w:p>
        </w:tc>
        <w:tc>
          <w:tcPr>
            <w:tcW w:w="85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Mar>
              <w:top w:w="0" w:type="dxa"/>
              <w:left w:w="108" w:type="dxa"/>
              <w:bottom w:w="0" w:type="dxa"/>
              <w:right w:w="108" w:type="dxa"/>
            </w:tcMar>
            <w:vAlign w:val="center"/>
          </w:tcPr>
          <w:p w14:paraId="75FF977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0"/>
                <w:szCs w:val="20"/>
              </w:rPr>
            </w:pPr>
            <w:r w:rsidRPr="00731FE2">
              <w:rPr>
                <w:rFonts w:ascii="Times New Roman" w:eastAsia="Times New Roman" w:hAnsi="Times New Roman" w:cs="Times New Roman"/>
                <w:color w:val="000000"/>
                <w:sz w:val="20"/>
                <w:szCs w:val="20"/>
              </w:rPr>
              <w:t>7,4</w:t>
            </w:r>
          </w:p>
        </w:tc>
        <w:tc>
          <w:tcPr>
            <w:tcW w:w="85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Mar>
              <w:top w:w="0" w:type="dxa"/>
              <w:left w:w="108" w:type="dxa"/>
              <w:bottom w:w="0" w:type="dxa"/>
              <w:right w:w="108" w:type="dxa"/>
            </w:tcMar>
            <w:vAlign w:val="center"/>
          </w:tcPr>
          <w:p w14:paraId="696390C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0"/>
                <w:szCs w:val="20"/>
              </w:rPr>
            </w:pPr>
            <w:r w:rsidRPr="00731FE2">
              <w:rPr>
                <w:rFonts w:ascii="Times New Roman" w:eastAsia="Times New Roman" w:hAnsi="Times New Roman" w:cs="Times New Roman"/>
                <w:color w:val="000000"/>
                <w:sz w:val="20"/>
                <w:szCs w:val="20"/>
              </w:rPr>
              <w:t>8,1</w:t>
            </w:r>
          </w:p>
        </w:tc>
        <w:tc>
          <w:tcPr>
            <w:tcW w:w="85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Mar>
              <w:top w:w="0" w:type="dxa"/>
              <w:left w:w="108" w:type="dxa"/>
              <w:bottom w:w="0" w:type="dxa"/>
              <w:right w:w="108" w:type="dxa"/>
            </w:tcMar>
            <w:vAlign w:val="center"/>
          </w:tcPr>
          <w:p w14:paraId="2BB5A0D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0"/>
                <w:szCs w:val="20"/>
              </w:rPr>
            </w:pPr>
            <w:r w:rsidRPr="00731FE2">
              <w:rPr>
                <w:rFonts w:ascii="Times New Roman" w:eastAsia="Times New Roman" w:hAnsi="Times New Roman" w:cs="Times New Roman"/>
                <w:color w:val="000000"/>
                <w:sz w:val="20"/>
                <w:szCs w:val="20"/>
              </w:rPr>
              <w:t>2,6</w:t>
            </w:r>
          </w:p>
        </w:tc>
        <w:tc>
          <w:tcPr>
            <w:tcW w:w="85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Mar>
              <w:top w:w="0" w:type="dxa"/>
              <w:left w:w="108" w:type="dxa"/>
              <w:bottom w:w="0" w:type="dxa"/>
              <w:right w:w="108" w:type="dxa"/>
            </w:tcMar>
            <w:vAlign w:val="center"/>
          </w:tcPr>
          <w:p w14:paraId="71E9538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0"/>
                <w:szCs w:val="20"/>
              </w:rPr>
            </w:pPr>
            <w:r w:rsidRPr="00731FE2">
              <w:rPr>
                <w:rFonts w:ascii="Times New Roman" w:eastAsia="Times New Roman" w:hAnsi="Times New Roman" w:cs="Times New Roman"/>
                <w:color w:val="000000"/>
                <w:sz w:val="20"/>
                <w:szCs w:val="20"/>
              </w:rPr>
              <w:t>0,4</w:t>
            </w:r>
          </w:p>
        </w:tc>
      </w:tr>
    </w:tbl>
    <w:p w14:paraId="14A6215F"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b/>
          <w:bCs/>
          <w:color w:val="000000"/>
          <w:szCs w:val="24"/>
          <w:vertAlign w:val="superscript"/>
        </w:rPr>
      </w:pPr>
      <w:r w:rsidRPr="00731FE2">
        <w:rPr>
          <w:rFonts w:ascii="Times New Roman" w:eastAsia="Times New Roman" w:hAnsi="Times New Roman" w:cs="Times New Roman"/>
          <w:b/>
          <w:bCs/>
          <w:color w:val="000000"/>
          <w:szCs w:val="24"/>
        </w:rPr>
        <w:t xml:space="preserve">Рисунок </w:t>
      </w:r>
      <w:r w:rsidRPr="00731FE2">
        <w:rPr>
          <w:rFonts w:ascii="Times New Roman" w:eastAsia="Times New Roman" w:hAnsi="Times New Roman" w:cs="Times New Roman"/>
          <w:b/>
          <w:bCs/>
          <w:color w:val="000000"/>
          <w:szCs w:val="24"/>
        </w:rPr>
        <w:fldChar w:fldCharType="begin"/>
      </w:r>
      <w:r w:rsidRPr="00731FE2">
        <w:rPr>
          <w:rFonts w:ascii="Times New Roman" w:eastAsia="Times New Roman" w:hAnsi="Times New Roman" w:cs="Times New Roman"/>
          <w:b/>
          <w:bCs/>
          <w:color w:val="000000"/>
          <w:szCs w:val="24"/>
        </w:rPr>
        <w:instrText xml:space="preserve"> SEQ Рисунок \* Arabic </w:instrText>
      </w:r>
      <w:r w:rsidRPr="00731FE2">
        <w:rPr>
          <w:rFonts w:ascii="Times New Roman" w:eastAsia="Times New Roman" w:hAnsi="Times New Roman" w:cs="Times New Roman"/>
          <w:b/>
          <w:bCs/>
          <w:color w:val="000000"/>
          <w:szCs w:val="24"/>
        </w:rPr>
        <w:fldChar w:fldCharType="separate"/>
      </w:r>
      <w:r w:rsidR="00C50915" w:rsidRPr="00731FE2">
        <w:rPr>
          <w:rFonts w:ascii="Times New Roman" w:eastAsia="Times New Roman" w:hAnsi="Times New Roman" w:cs="Times New Roman"/>
          <w:b/>
          <w:bCs/>
          <w:noProof/>
          <w:color w:val="000000"/>
          <w:szCs w:val="24"/>
        </w:rPr>
        <w:t>9</w:t>
      </w:r>
      <w:r w:rsidRPr="00731FE2">
        <w:rPr>
          <w:rFonts w:ascii="Times New Roman" w:eastAsia="Times New Roman" w:hAnsi="Times New Roman" w:cs="Times New Roman"/>
          <w:b/>
          <w:bCs/>
          <w:color w:val="000000"/>
          <w:szCs w:val="24"/>
        </w:rPr>
        <w:fldChar w:fldCharType="end"/>
      </w:r>
      <w:r w:rsidRPr="00731FE2">
        <w:rPr>
          <w:rFonts w:ascii="Times New Roman" w:eastAsia="Times New Roman" w:hAnsi="Times New Roman" w:cs="Times New Roman"/>
          <w:b/>
          <w:bCs/>
          <w:color w:val="000000"/>
          <w:szCs w:val="24"/>
        </w:rPr>
        <w:t xml:space="preserve"> – Динамика полезной площади жилья, возведенного всеми способами строительства, 2015-2022 гг. (тыс. м</w:t>
      </w:r>
      <w:proofErr w:type="gramStart"/>
      <w:r w:rsidRPr="00731FE2">
        <w:rPr>
          <w:rFonts w:ascii="Times New Roman" w:eastAsia="Times New Roman" w:hAnsi="Times New Roman" w:cs="Times New Roman"/>
          <w:b/>
          <w:bCs/>
          <w:color w:val="000000"/>
          <w:szCs w:val="24"/>
          <w:vertAlign w:val="superscript"/>
        </w:rPr>
        <w:t>2</w:t>
      </w:r>
      <w:proofErr w:type="gramEnd"/>
      <w:r w:rsidRPr="00731FE2">
        <w:rPr>
          <w:rFonts w:ascii="Times New Roman" w:eastAsia="Times New Roman" w:hAnsi="Times New Roman" w:cs="Times New Roman"/>
          <w:b/>
          <w:bCs/>
          <w:color w:val="000000"/>
          <w:szCs w:val="24"/>
        </w:rPr>
        <w:t>)</w:t>
      </w:r>
      <w:r w:rsidRPr="00731FE2">
        <w:rPr>
          <w:rStyle w:val="afb"/>
          <w:rFonts w:ascii="Times New Roman" w:eastAsia="Times New Roman" w:hAnsi="Times New Roman" w:cs="Times New Roman"/>
          <w:b/>
          <w:bCs/>
          <w:color w:val="000000"/>
          <w:szCs w:val="24"/>
          <w:vertAlign w:val="superscript"/>
        </w:rPr>
        <w:footnoteReference w:id="44"/>
      </w:r>
    </w:p>
    <w:p w14:paraId="445B04E4" w14:textId="77777777" w:rsidR="00171AA8" w:rsidRPr="00731FE2" w:rsidRDefault="00171AA8">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p>
    <w:p w14:paraId="72D76E53"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Пик освоения территории под многоквартирные дома приходится на 2020 г., затем следует снижение строительства, как многоквартирных домов, так и индивидуального жилищного строительства. В основном это связано с ограниченностью подходящих территорий для строительства.</w:t>
      </w:r>
    </w:p>
    <w:p w14:paraId="4DB05BA4" w14:textId="77777777" w:rsidR="00171AA8" w:rsidRPr="00731FE2" w:rsidRDefault="00171AA8">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p>
    <w:p w14:paraId="01B8753A" w14:textId="77777777" w:rsidR="00171AA8" w:rsidRPr="00731FE2" w:rsidRDefault="007935AB">
      <w:pPr>
        <w:pStyle w:val="af3"/>
        <w:rPr>
          <w:sz w:val="24"/>
          <w:szCs w:val="24"/>
        </w:rPr>
      </w:pPr>
      <w:r w:rsidRPr="00731FE2">
        <w:rPr>
          <w:sz w:val="24"/>
          <w:szCs w:val="24"/>
        </w:rPr>
        <w:t xml:space="preserve">Таблица </w:t>
      </w:r>
      <w:r w:rsidRPr="00731FE2">
        <w:rPr>
          <w:sz w:val="24"/>
          <w:szCs w:val="24"/>
        </w:rPr>
        <w:fldChar w:fldCharType="begin"/>
      </w:r>
      <w:r w:rsidRPr="00731FE2">
        <w:rPr>
          <w:sz w:val="24"/>
          <w:szCs w:val="24"/>
        </w:rPr>
        <w:instrText xml:space="preserve"> SEQ Таблица \* Arabic </w:instrText>
      </w:r>
      <w:r w:rsidRPr="00731FE2">
        <w:rPr>
          <w:sz w:val="24"/>
          <w:szCs w:val="24"/>
        </w:rPr>
        <w:fldChar w:fldCharType="separate"/>
      </w:r>
      <w:r w:rsidR="00C50915" w:rsidRPr="00731FE2">
        <w:rPr>
          <w:noProof/>
          <w:sz w:val="24"/>
          <w:szCs w:val="24"/>
        </w:rPr>
        <w:t>22</w:t>
      </w:r>
      <w:r w:rsidRPr="00731FE2">
        <w:rPr>
          <w:sz w:val="24"/>
          <w:szCs w:val="24"/>
        </w:rPr>
        <w:fldChar w:fldCharType="end"/>
      </w:r>
      <w:r w:rsidRPr="00731FE2">
        <w:rPr>
          <w:sz w:val="24"/>
          <w:szCs w:val="24"/>
        </w:rPr>
        <w:t xml:space="preserve"> – Характеристика показателей введенных в эксплуатацию объектов строительства, обеспечение жильем населения городского округа город-курорт Кисловодск, 2019-2022 гг.</w:t>
      </w:r>
      <w:r w:rsidRPr="00731FE2">
        <w:rPr>
          <w:rStyle w:val="afb"/>
          <w:sz w:val="24"/>
          <w:szCs w:val="24"/>
          <w:vertAlign w:val="superscript"/>
        </w:rPr>
        <w:footnoteReference w:id="45"/>
      </w:r>
    </w:p>
    <w:tbl>
      <w:tblPr>
        <w:tblStyle w:val="afe"/>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ayout w:type="fixed"/>
        <w:tblLook w:val="04A0" w:firstRow="1" w:lastRow="0" w:firstColumn="1" w:lastColumn="0" w:noHBand="0" w:noVBand="1"/>
      </w:tblPr>
      <w:tblGrid>
        <w:gridCol w:w="4819"/>
        <w:gridCol w:w="1134"/>
        <w:gridCol w:w="1134"/>
        <w:gridCol w:w="1134"/>
        <w:gridCol w:w="1100"/>
      </w:tblGrid>
      <w:tr w:rsidR="00171AA8" w:rsidRPr="00731FE2" w14:paraId="5E87A801" w14:textId="77777777">
        <w:tc>
          <w:tcPr>
            <w:tcW w:w="48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C75F2F6" w14:textId="77777777" w:rsidR="00171AA8" w:rsidRPr="00731FE2" w:rsidRDefault="007935AB">
            <w:pPr>
              <w:pBdr>
                <w:top w:val="none" w:sz="4" w:space="0" w:color="000000"/>
                <w:left w:val="none" w:sz="4" w:space="0" w:color="000000"/>
                <w:bottom w:val="none" w:sz="4" w:space="0" w:color="000000"/>
                <w:right w:val="none" w:sz="4" w:space="0" w:color="000000"/>
              </w:pBdr>
              <w:spacing w:line="276" w:lineRule="auto"/>
              <w:ind w:firstLine="0"/>
              <w:rPr>
                <w:rFonts w:ascii="Times New Roman" w:eastAsia="Times New Roman" w:hAnsi="Times New Roman" w:cs="Times New Roman"/>
                <w:b/>
                <w:bCs/>
                <w:color w:val="000000"/>
                <w:sz w:val="22"/>
              </w:rPr>
            </w:pPr>
            <w:r w:rsidRPr="00731FE2">
              <w:rPr>
                <w:rFonts w:ascii="Times New Roman" w:eastAsia="Times New Roman" w:hAnsi="Times New Roman" w:cs="Times New Roman"/>
                <w:b/>
                <w:bCs/>
                <w:color w:val="000000"/>
                <w:sz w:val="22"/>
              </w:rPr>
              <w:t>Наименование показателя</w:t>
            </w: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3F68662" w14:textId="77777777" w:rsidR="00171AA8" w:rsidRPr="00731FE2" w:rsidRDefault="007935AB">
            <w:pPr>
              <w:pBdr>
                <w:top w:val="none" w:sz="4" w:space="0" w:color="000000"/>
                <w:left w:val="none" w:sz="4" w:space="0" w:color="000000"/>
                <w:bottom w:val="none" w:sz="4" w:space="0" w:color="000000"/>
                <w:right w:val="none" w:sz="4" w:space="0" w:color="000000"/>
              </w:pBdr>
              <w:spacing w:line="276" w:lineRule="auto"/>
              <w:ind w:firstLine="0"/>
              <w:jc w:val="center"/>
              <w:rPr>
                <w:rFonts w:ascii="Times New Roman" w:eastAsia="Times New Roman" w:hAnsi="Times New Roman" w:cs="Times New Roman"/>
                <w:b/>
                <w:bCs/>
                <w:color w:val="000000"/>
                <w:sz w:val="22"/>
              </w:rPr>
            </w:pPr>
            <w:r w:rsidRPr="00731FE2">
              <w:rPr>
                <w:rFonts w:ascii="Times New Roman" w:eastAsia="Times New Roman" w:hAnsi="Times New Roman" w:cs="Times New Roman"/>
                <w:b/>
                <w:bCs/>
                <w:color w:val="000000"/>
                <w:sz w:val="22"/>
              </w:rPr>
              <w:t>2019 год</w:t>
            </w: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38E453A" w14:textId="77777777" w:rsidR="00171AA8" w:rsidRPr="00731FE2" w:rsidRDefault="007935AB">
            <w:pPr>
              <w:pBdr>
                <w:top w:val="none" w:sz="4" w:space="0" w:color="000000"/>
                <w:left w:val="none" w:sz="4" w:space="0" w:color="000000"/>
                <w:bottom w:val="none" w:sz="4" w:space="0" w:color="000000"/>
                <w:right w:val="none" w:sz="4" w:space="0" w:color="000000"/>
              </w:pBdr>
              <w:spacing w:line="276" w:lineRule="auto"/>
              <w:ind w:firstLine="0"/>
              <w:jc w:val="center"/>
              <w:rPr>
                <w:rFonts w:ascii="Times New Roman" w:eastAsia="Times New Roman" w:hAnsi="Times New Roman" w:cs="Times New Roman"/>
                <w:b/>
                <w:bCs/>
                <w:color w:val="000000"/>
                <w:sz w:val="22"/>
              </w:rPr>
            </w:pPr>
            <w:r w:rsidRPr="00731FE2">
              <w:rPr>
                <w:rFonts w:ascii="Times New Roman" w:eastAsia="Times New Roman" w:hAnsi="Times New Roman" w:cs="Times New Roman"/>
                <w:b/>
                <w:bCs/>
                <w:color w:val="000000"/>
                <w:sz w:val="22"/>
              </w:rPr>
              <w:t>2020 год</w:t>
            </w: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402A401" w14:textId="77777777" w:rsidR="00171AA8" w:rsidRPr="00731FE2" w:rsidRDefault="007935AB">
            <w:pPr>
              <w:pBdr>
                <w:top w:val="none" w:sz="4" w:space="0" w:color="000000"/>
                <w:left w:val="none" w:sz="4" w:space="0" w:color="000000"/>
                <w:bottom w:val="none" w:sz="4" w:space="0" w:color="000000"/>
                <w:right w:val="none" w:sz="4" w:space="0" w:color="000000"/>
              </w:pBdr>
              <w:spacing w:line="276" w:lineRule="auto"/>
              <w:ind w:firstLine="0"/>
              <w:jc w:val="center"/>
              <w:rPr>
                <w:rFonts w:ascii="Times New Roman" w:eastAsia="Times New Roman" w:hAnsi="Times New Roman" w:cs="Times New Roman"/>
                <w:b/>
                <w:bCs/>
                <w:color w:val="000000"/>
                <w:sz w:val="22"/>
              </w:rPr>
            </w:pPr>
            <w:r w:rsidRPr="00731FE2">
              <w:rPr>
                <w:rFonts w:ascii="Times New Roman" w:eastAsia="Times New Roman" w:hAnsi="Times New Roman" w:cs="Times New Roman"/>
                <w:b/>
                <w:bCs/>
                <w:color w:val="000000"/>
                <w:sz w:val="22"/>
              </w:rPr>
              <w:t>2021 год</w:t>
            </w:r>
          </w:p>
        </w:tc>
        <w:tc>
          <w:tcPr>
            <w:tcW w:w="11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45A7D59" w14:textId="77777777" w:rsidR="00171AA8" w:rsidRPr="00731FE2" w:rsidRDefault="007935AB">
            <w:pPr>
              <w:pBdr>
                <w:top w:val="none" w:sz="4" w:space="0" w:color="000000"/>
                <w:left w:val="none" w:sz="4" w:space="0" w:color="000000"/>
                <w:bottom w:val="none" w:sz="4" w:space="0" w:color="000000"/>
                <w:right w:val="none" w:sz="4" w:space="0" w:color="000000"/>
              </w:pBdr>
              <w:spacing w:line="276" w:lineRule="auto"/>
              <w:ind w:firstLine="0"/>
              <w:jc w:val="center"/>
              <w:rPr>
                <w:rFonts w:ascii="Times New Roman" w:eastAsia="Times New Roman" w:hAnsi="Times New Roman" w:cs="Times New Roman"/>
                <w:b/>
                <w:bCs/>
                <w:color w:val="000000"/>
                <w:sz w:val="22"/>
              </w:rPr>
            </w:pPr>
            <w:r w:rsidRPr="00731FE2">
              <w:rPr>
                <w:rFonts w:ascii="Times New Roman" w:eastAsia="Times New Roman" w:hAnsi="Times New Roman" w:cs="Times New Roman"/>
                <w:b/>
                <w:bCs/>
                <w:color w:val="000000"/>
                <w:sz w:val="22"/>
              </w:rPr>
              <w:t>2022 год</w:t>
            </w:r>
          </w:p>
        </w:tc>
      </w:tr>
      <w:tr w:rsidR="00171AA8" w:rsidRPr="00731FE2" w14:paraId="18AB32C6" w14:textId="77777777">
        <w:trPr>
          <w:trHeight w:val="223"/>
        </w:trPr>
        <w:tc>
          <w:tcPr>
            <w:tcW w:w="9320" w:type="dxa"/>
            <w:gridSpan w:val="5"/>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45250D" w14:textId="77777777" w:rsidR="00171AA8" w:rsidRPr="00731FE2" w:rsidRDefault="007935AB">
            <w:pPr>
              <w:pBdr>
                <w:top w:val="none" w:sz="4" w:space="0" w:color="000000"/>
                <w:left w:val="none" w:sz="4" w:space="0" w:color="000000"/>
                <w:bottom w:val="none" w:sz="4" w:space="0" w:color="000000"/>
                <w:right w:val="none" w:sz="4" w:space="0" w:color="000000"/>
              </w:pBdr>
              <w:spacing w:line="276" w:lineRule="auto"/>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Введено в эксплуатацию:</w:t>
            </w:r>
          </w:p>
        </w:tc>
      </w:tr>
      <w:tr w:rsidR="00171AA8" w:rsidRPr="00731FE2" w14:paraId="3A014545" w14:textId="77777777">
        <w:tc>
          <w:tcPr>
            <w:tcW w:w="48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C7A19B" w14:textId="77777777" w:rsidR="00171AA8" w:rsidRPr="00731FE2" w:rsidRDefault="007935AB">
            <w:pPr>
              <w:pStyle w:val="a3"/>
              <w:numPr>
                <w:ilvl w:val="0"/>
                <w:numId w:val="23"/>
              </w:numPr>
              <w:pBdr>
                <w:top w:val="none" w:sz="4" w:space="0" w:color="000000"/>
                <w:left w:val="none" w:sz="4" w:space="0" w:color="000000"/>
                <w:bottom w:val="none" w:sz="4" w:space="0" w:color="000000"/>
                <w:right w:val="none" w:sz="4" w:space="0" w:color="000000"/>
              </w:pBdr>
              <w:spacing w:line="276" w:lineRule="auto"/>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промышленных объектов</w:t>
            </w: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8FA2A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w:t>
            </w: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60D24A" w14:textId="77777777" w:rsidR="00171AA8" w:rsidRPr="00731FE2" w:rsidRDefault="007935AB">
            <w:pP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w:t>
            </w: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703BFE" w14:textId="77777777" w:rsidR="00171AA8" w:rsidRPr="00731FE2" w:rsidRDefault="007935AB">
            <w:pPr>
              <w:pBdr>
                <w:top w:val="none" w:sz="4" w:space="0" w:color="000000"/>
                <w:left w:val="none" w:sz="4" w:space="0" w:color="000000"/>
                <w:bottom w:val="none" w:sz="4" w:space="0" w:color="000000"/>
                <w:right w:val="none" w:sz="4" w:space="0" w:color="000000"/>
              </w:pBdr>
              <w:spacing w:line="276" w:lineRule="auto"/>
              <w:ind w:firstLine="0"/>
              <w:jc w:val="center"/>
              <w:rPr>
                <w:rFonts w:ascii="Times New Roman" w:eastAsia="Times New Roman" w:hAnsi="Times New Roman" w:cs="Times New Roman"/>
                <w:color w:val="000000"/>
              </w:rPr>
            </w:pPr>
            <w:r w:rsidRPr="00731FE2">
              <w:rPr>
                <w:rFonts w:ascii="Times New Roman" w:eastAsia="Times New Roman" w:hAnsi="Times New Roman" w:cs="Times New Roman"/>
                <w:color w:val="000000"/>
                <w:sz w:val="22"/>
              </w:rPr>
              <w:t>1</w:t>
            </w:r>
          </w:p>
        </w:tc>
        <w:tc>
          <w:tcPr>
            <w:tcW w:w="11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BA7AAF" w14:textId="77777777" w:rsidR="00171AA8" w:rsidRPr="00731FE2" w:rsidRDefault="007935AB">
            <w:pPr>
              <w:pBdr>
                <w:top w:val="none" w:sz="4" w:space="0" w:color="000000"/>
                <w:left w:val="none" w:sz="4" w:space="0" w:color="000000"/>
                <w:bottom w:val="none" w:sz="4" w:space="0" w:color="000000"/>
                <w:right w:val="none" w:sz="4" w:space="0" w:color="000000"/>
              </w:pBdr>
              <w:spacing w:line="276" w:lineRule="auto"/>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w:t>
            </w:r>
          </w:p>
        </w:tc>
      </w:tr>
      <w:tr w:rsidR="00171AA8" w:rsidRPr="00731FE2" w14:paraId="5EA80D55" w14:textId="77777777">
        <w:tc>
          <w:tcPr>
            <w:tcW w:w="48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CB3CA9" w14:textId="77777777" w:rsidR="00171AA8" w:rsidRPr="00731FE2" w:rsidRDefault="007935AB">
            <w:pPr>
              <w:pStyle w:val="a3"/>
              <w:numPr>
                <w:ilvl w:val="0"/>
                <w:numId w:val="23"/>
              </w:numPr>
              <w:pBdr>
                <w:top w:val="none" w:sz="4" w:space="0" w:color="000000"/>
                <w:left w:val="none" w:sz="4" w:space="0" w:color="000000"/>
                <w:bottom w:val="none" w:sz="4" w:space="0" w:color="000000"/>
                <w:right w:val="none" w:sz="4" w:space="0" w:color="000000"/>
              </w:pBdr>
              <w:spacing w:line="276" w:lineRule="auto"/>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торговых предприятий</w:t>
            </w: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E2FC0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9</w:t>
            </w: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EA9FB0" w14:textId="77777777" w:rsidR="00171AA8" w:rsidRPr="00731FE2" w:rsidRDefault="007935AB">
            <w:pP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w:t>
            </w: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FCD6F0" w14:textId="77777777" w:rsidR="00171AA8" w:rsidRPr="00731FE2" w:rsidRDefault="007935AB">
            <w:pPr>
              <w:pBdr>
                <w:top w:val="none" w:sz="4" w:space="0" w:color="000000"/>
                <w:left w:val="none" w:sz="4" w:space="0" w:color="000000"/>
                <w:bottom w:val="none" w:sz="4" w:space="0" w:color="000000"/>
                <w:right w:val="none" w:sz="4" w:space="0" w:color="000000"/>
              </w:pBdr>
              <w:spacing w:line="276" w:lineRule="auto"/>
              <w:ind w:firstLine="0"/>
              <w:jc w:val="center"/>
              <w:rPr>
                <w:rFonts w:ascii="Times New Roman" w:eastAsia="Times New Roman" w:hAnsi="Times New Roman" w:cs="Times New Roman"/>
                <w:color w:val="000000"/>
              </w:rPr>
            </w:pPr>
            <w:r w:rsidRPr="00731FE2">
              <w:rPr>
                <w:rFonts w:ascii="Times New Roman" w:eastAsia="Times New Roman" w:hAnsi="Times New Roman" w:cs="Times New Roman"/>
                <w:color w:val="000000"/>
                <w:sz w:val="22"/>
              </w:rPr>
              <w:t>3</w:t>
            </w:r>
          </w:p>
        </w:tc>
        <w:tc>
          <w:tcPr>
            <w:tcW w:w="11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CE9147" w14:textId="77777777" w:rsidR="00171AA8" w:rsidRPr="00731FE2" w:rsidRDefault="007935AB">
            <w:pPr>
              <w:pBdr>
                <w:top w:val="none" w:sz="4" w:space="0" w:color="000000"/>
                <w:left w:val="none" w:sz="4" w:space="0" w:color="000000"/>
                <w:bottom w:val="none" w:sz="4" w:space="0" w:color="000000"/>
                <w:right w:val="none" w:sz="4" w:space="0" w:color="000000"/>
              </w:pBdr>
              <w:spacing w:line="276" w:lineRule="auto"/>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w:t>
            </w:r>
          </w:p>
        </w:tc>
      </w:tr>
      <w:tr w:rsidR="00171AA8" w:rsidRPr="00731FE2" w14:paraId="54F3F614" w14:textId="77777777">
        <w:tc>
          <w:tcPr>
            <w:tcW w:w="48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146D16" w14:textId="77777777" w:rsidR="00171AA8" w:rsidRPr="00731FE2" w:rsidRDefault="007935AB">
            <w:pPr>
              <w:pStyle w:val="a3"/>
              <w:numPr>
                <w:ilvl w:val="0"/>
                <w:numId w:val="23"/>
              </w:numPr>
              <w:pBdr>
                <w:top w:val="none" w:sz="4" w:space="0" w:color="000000"/>
                <w:left w:val="none" w:sz="4" w:space="0" w:color="000000"/>
                <w:bottom w:val="none" w:sz="4" w:space="0" w:color="000000"/>
                <w:right w:val="none" w:sz="4" w:space="0" w:color="000000"/>
              </w:pBdr>
              <w:spacing w:line="276" w:lineRule="auto"/>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 xml:space="preserve">социальных объектов </w:t>
            </w: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A9E4D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2</w:t>
            </w: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BC21A2" w14:textId="77777777" w:rsidR="00171AA8" w:rsidRPr="00731FE2" w:rsidRDefault="007935AB">
            <w:pP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w:t>
            </w: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63196B" w14:textId="77777777" w:rsidR="00171AA8" w:rsidRPr="00731FE2" w:rsidRDefault="007935AB">
            <w:pPr>
              <w:pBdr>
                <w:top w:val="none" w:sz="4" w:space="0" w:color="000000"/>
                <w:left w:val="none" w:sz="4" w:space="0" w:color="000000"/>
                <w:bottom w:val="none" w:sz="4" w:space="0" w:color="000000"/>
                <w:right w:val="none" w:sz="4" w:space="0" w:color="000000"/>
              </w:pBdr>
              <w:spacing w:line="276" w:lineRule="auto"/>
              <w:ind w:firstLine="0"/>
              <w:jc w:val="center"/>
              <w:rPr>
                <w:rFonts w:ascii="Times New Roman" w:eastAsia="Times New Roman" w:hAnsi="Times New Roman" w:cs="Times New Roman"/>
                <w:color w:val="000000"/>
              </w:rPr>
            </w:pPr>
            <w:r w:rsidRPr="00731FE2">
              <w:rPr>
                <w:rFonts w:ascii="Times New Roman" w:eastAsia="Times New Roman" w:hAnsi="Times New Roman" w:cs="Times New Roman"/>
                <w:color w:val="000000"/>
                <w:sz w:val="22"/>
              </w:rPr>
              <w:t>3</w:t>
            </w:r>
          </w:p>
        </w:tc>
        <w:tc>
          <w:tcPr>
            <w:tcW w:w="11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D30858" w14:textId="77777777" w:rsidR="00171AA8" w:rsidRPr="00731FE2" w:rsidRDefault="007935AB">
            <w:pPr>
              <w:pBdr>
                <w:top w:val="none" w:sz="4" w:space="0" w:color="000000"/>
                <w:left w:val="none" w:sz="4" w:space="0" w:color="000000"/>
                <w:bottom w:val="none" w:sz="4" w:space="0" w:color="000000"/>
                <w:right w:val="none" w:sz="4" w:space="0" w:color="000000"/>
              </w:pBdr>
              <w:spacing w:line="276" w:lineRule="auto"/>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3</w:t>
            </w:r>
          </w:p>
        </w:tc>
      </w:tr>
      <w:tr w:rsidR="00171AA8" w:rsidRPr="00731FE2" w14:paraId="28479E44" w14:textId="77777777">
        <w:tc>
          <w:tcPr>
            <w:tcW w:w="48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343C80" w14:textId="77777777" w:rsidR="00171AA8" w:rsidRPr="00731FE2" w:rsidRDefault="007935AB">
            <w:pPr>
              <w:pStyle w:val="a3"/>
              <w:numPr>
                <w:ilvl w:val="0"/>
                <w:numId w:val="23"/>
              </w:numPr>
              <w:pBdr>
                <w:top w:val="none" w:sz="4" w:space="0" w:color="000000"/>
                <w:left w:val="none" w:sz="4" w:space="0" w:color="000000"/>
                <w:bottom w:val="none" w:sz="4" w:space="0" w:color="000000"/>
                <w:right w:val="none" w:sz="4" w:space="0" w:color="000000"/>
              </w:pBdr>
              <w:spacing w:line="276" w:lineRule="auto"/>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санаторно-курортных объектов</w:t>
            </w: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01CF2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w:t>
            </w: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758833" w14:textId="77777777" w:rsidR="00171AA8" w:rsidRPr="00731FE2" w:rsidRDefault="007935AB">
            <w:pP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w:t>
            </w: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F6F5BB" w14:textId="77777777" w:rsidR="00171AA8" w:rsidRPr="00731FE2" w:rsidRDefault="007935AB">
            <w:pPr>
              <w:pBdr>
                <w:top w:val="none" w:sz="4" w:space="0" w:color="000000"/>
                <w:left w:val="none" w:sz="4" w:space="0" w:color="000000"/>
                <w:bottom w:val="none" w:sz="4" w:space="0" w:color="000000"/>
                <w:right w:val="none" w:sz="4" w:space="0" w:color="000000"/>
              </w:pBdr>
              <w:spacing w:line="276" w:lineRule="auto"/>
              <w:ind w:firstLine="0"/>
              <w:jc w:val="center"/>
              <w:rPr>
                <w:rFonts w:ascii="Times New Roman" w:eastAsia="Times New Roman" w:hAnsi="Times New Roman" w:cs="Times New Roman"/>
                <w:color w:val="000000"/>
              </w:rPr>
            </w:pPr>
            <w:r w:rsidRPr="00731FE2">
              <w:rPr>
                <w:rFonts w:ascii="Times New Roman" w:eastAsia="Times New Roman" w:hAnsi="Times New Roman" w:cs="Times New Roman"/>
                <w:color w:val="000000"/>
                <w:sz w:val="22"/>
              </w:rPr>
              <w:t>1</w:t>
            </w:r>
          </w:p>
        </w:tc>
        <w:tc>
          <w:tcPr>
            <w:tcW w:w="11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3DBB4F" w14:textId="77777777" w:rsidR="00171AA8" w:rsidRPr="00731FE2" w:rsidRDefault="007935AB">
            <w:pPr>
              <w:pBdr>
                <w:top w:val="none" w:sz="4" w:space="0" w:color="000000"/>
                <w:left w:val="none" w:sz="4" w:space="0" w:color="000000"/>
                <w:bottom w:val="none" w:sz="4" w:space="0" w:color="000000"/>
                <w:right w:val="none" w:sz="4" w:space="0" w:color="000000"/>
              </w:pBdr>
              <w:spacing w:line="276" w:lineRule="auto"/>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w:t>
            </w:r>
          </w:p>
        </w:tc>
      </w:tr>
      <w:tr w:rsidR="00171AA8" w:rsidRPr="00731FE2" w14:paraId="7AC2FA18" w14:textId="77777777">
        <w:tc>
          <w:tcPr>
            <w:tcW w:w="48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8F6500" w14:textId="77777777" w:rsidR="00171AA8" w:rsidRPr="00731FE2" w:rsidRDefault="007935AB">
            <w:pPr>
              <w:pStyle w:val="a3"/>
              <w:numPr>
                <w:ilvl w:val="0"/>
                <w:numId w:val="23"/>
              </w:numPr>
              <w:pBdr>
                <w:top w:val="none" w:sz="4" w:space="0" w:color="000000"/>
                <w:left w:val="none" w:sz="4" w:space="0" w:color="000000"/>
                <w:bottom w:val="none" w:sz="4" w:space="0" w:color="000000"/>
                <w:right w:val="none" w:sz="4" w:space="0" w:color="000000"/>
              </w:pBdr>
              <w:spacing w:line="276" w:lineRule="auto"/>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 xml:space="preserve">многоквартирных жилых домов </w:t>
            </w: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22AA1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2</w:t>
            </w: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E3D5D9" w14:textId="77777777" w:rsidR="00171AA8" w:rsidRPr="00731FE2" w:rsidRDefault="007935AB">
            <w:pP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58</w:t>
            </w: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8FC718" w14:textId="77777777" w:rsidR="00171AA8" w:rsidRPr="00731FE2" w:rsidRDefault="007935AB">
            <w:pPr>
              <w:pBdr>
                <w:top w:val="none" w:sz="4" w:space="0" w:color="000000"/>
                <w:left w:val="none" w:sz="4" w:space="0" w:color="000000"/>
                <w:bottom w:val="none" w:sz="4" w:space="0" w:color="000000"/>
                <w:right w:val="none" w:sz="4" w:space="0" w:color="000000"/>
              </w:pBdr>
              <w:spacing w:line="276" w:lineRule="auto"/>
              <w:ind w:firstLine="0"/>
              <w:jc w:val="center"/>
              <w:rPr>
                <w:rFonts w:ascii="Times New Roman" w:eastAsia="Times New Roman" w:hAnsi="Times New Roman" w:cs="Times New Roman"/>
                <w:color w:val="000000"/>
              </w:rPr>
            </w:pPr>
            <w:r w:rsidRPr="00731FE2">
              <w:rPr>
                <w:rFonts w:ascii="Times New Roman" w:eastAsia="Times New Roman" w:hAnsi="Times New Roman" w:cs="Times New Roman"/>
                <w:color w:val="000000"/>
                <w:sz w:val="22"/>
              </w:rPr>
              <w:t>4</w:t>
            </w:r>
          </w:p>
        </w:tc>
        <w:tc>
          <w:tcPr>
            <w:tcW w:w="11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D58E5A" w14:textId="77777777" w:rsidR="00171AA8" w:rsidRPr="00731FE2" w:rsidRDefault="007935AB">
            <w:pPr>
              <w:pBdr>
                <w:top w:val="none" w:sz="4" w:space="0" w:color="000000"/>
                <w:left w:val="none" w:sz="4" w:space="0" w:color="000000"/>
                <w:bottom w:val="none" w:sz="4" w:space="0" w:color="000000"/>
                <w:right w:val="none" w:sz="4" w:space="0" w:color="000000"/>
              </w:pBdr>
              <w:spacing w:line="276" w:lineRule="auto"/>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3</w:t>
            </w:r>
          </w:p>
        </w:tc>
      </w:tr>
      <w:tr w:rsidR="00171AA8" w:rsidRPr="00731FE2" w14:paraId="248524F4" w14:textId="77777777">
        <w:tc>
          <w:tcPr>
            <w:tcW w:w="48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015E09" w14:textId="77777777" w:rsidR="00171AA8" w:rsidRPr="00731FE2" w:rsidRDefault="002455DE">
            <w:pPr>
              <w:pStyle w:val="a3"/>
              <w:numPr>
                <w:ilvl w:val="0"/>
                <w:numId w:val="23"/>
              </w:numPr>
              <w:pBdr>
                <w:top w:val="none" w:sz="4" w:space="0" w:color="000000"/>
                <w:left w:val="none" w:sz="4" w:space="0" w:color="000000"/>
                <w:bottom w:val="none" w:sz="4" w:space="0" w:color="000000"/>
                <w:right w:val="none" w:sz="4" w:space="0" w:color="000000"/>
              </w:pBdr>
              <w:spacing w:line="276" w:lineRule="auto"/>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домов,</w:t>
            </w:r>
            <w:r w:rsidR="007935AB" w:rsidRPr="00731FE2">
              <w:rPr>
                <w:rFonts w:ascii="Times New Roman" w:eastAsia="Times New Roman" w:hAnsi="Times New Roman" w:cs="Times New Roman"/>
                <w:color w:val="000000"/>
                <w:sz w:val="22"/>
              </w:rPr>
              <w:t xml:space="preserve"> построенных индивидуальным способом</w:t>
            </w: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8147B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37</w:t>
            </w: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A976D9" w14:textId="77777777" w:rsidR="00171AA8" w:rsidRPr="00731FE2" w:rsidRDefault="007935AB">
            <w:pP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51</w:t>
            </w: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41393A" w14:textId="77777777" w:rsidR="00171AA8" w:rsidRPr="00731FE2" w:rsidRDefault="007935AB">
            <w:pPr>
              <w:pBdr>
                <w:top w:val="none" w:sz="4" w:space="0" w:color="000000"/>
                <w:left w:val="none" w:sz="4" w:space="0" w:color="000000"/>
                <w:bottom w:val="none" w:sz="4" w:space="0" w:color="000000"/>
                <w:right w:val="none" w:sz="4" w:space="0" w:color="000000"/>
              </w:pBdr>
              <w:spacing w:line="276" w:lineRule="auto"/>
              <w:ind w:firstLine="0"/>
              <w:jc w:val="center"/>
              <w:rPr>
                <w:rFonts w:ascii="Times New Roman" w:eastAsia="Times New Roman" w:hAnsi="Times New Roman" w:cs="Times New Roman"/>
                <w:color w:val="000000"/>
              </w:rPr>
            </w:pPr>
            <w:r w:rsidRPr="00731FE2">
              <w:rPr>
                <w:rFonts w:ascii="Times New Roman" w:eastAsia="Times New Roman" w:hAnsi="Times New Roman" w:cs="Times New Roman"/>
                <w:color w:val="000000"/>
                <w:sz w:val="22"/>
              </w:rPr>
              <w:t>12</w:t>
            </w:r>
          </w:p>
        </w:tc>
        <w:tc>
          <w:tcPr>
            <w:tcW w:w="11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3D2A1A" w14:textId="77777777" w:rsidR="00171AA8" w:rsidRPr="00731FE2" w:rsidRDefault="007935AB">
            <w:pPr>
              <w:pBdr>
                <w:top w:val="none" w:sz="4" w:space="0" w:color="000000"/>
                <w:left w:val="none" w:sz="4" w:space="0" w:color="000000"/>
                <w:bottom w:val="none" w:sz="4" w:space="0" w:color="000000"/>
                <w:right w:val="none" w:sz="4" w:space="0" w:color="000000"/>
              </w:pBdr>
              <w:spacing w:line="276" w:lineRule="auto"/>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w:t>
            </w:r>
          </w:p>
        </w:tc>
      </w:tr>
      <w:tr w:rsidR="00171AA8" w:rsidRPr="00731FE2" w14:paraId="47C4106B" w14:textId="77777777">
        <w:tc>
          <w:tcPr>
            <w:tcW w:w="48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E761B6" w14:textId="77777777" w:rsidR="00171AA8" w:rsidRPr="00731FE2" w:rsidRDefault="007935AB">
            <w:pPr>
              <w:pStyle w:val="a3"/>
              <w:numPr>
                <w:ilvl w:val="0"/>
                <w:numId w:val="23"/>
              </w:numPr>
              <w:pBdr>
                <w:top w:val="none" w:sz="4" w:space="0" w:color="000000"/>
                <w:left w:val="none" w:sz="4" w:space="0" w:color="000000"/>
                <w:bottom w:val="none" w:sz="4" w:space="0" w:color="000000"/>
                <w:right w:val="none" w:sz="4" w:space="0" w:color="000000"/>
              </w:pBdr>
              <w:spacing w:line="276" w:lineRule="auto"/>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квартир</w:t>
            </w: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9C380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275</w:t>
            </w: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1DD470" w14:textId="77777777" w:rsidR="00171AA8" w:rsidRPr="00731FE2" w:rsidRDefault="007935AB">
            <w:pP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946</w:t>
            </w: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6B7E23" w14:textId="77777777" w:rsidR="00171AA8" w:rsidRPr="00731FE2" w:rsidRDefault="007935AB">
            <w:pPr>
              <w:pBdr>
                <w:top w:val="none" w:sz="4" w:space="0" w:color="000000"/>
                <w:left w:val="none" w:sz="4" w:space="0" w:color="000000"/>
                <w:bottom w:val="none" w:sz="4" w:space="0" w:color="000000"/>
                <w:right w:val="none" w:sz="4" w:space="0" w:color="000000"/>
              </w:pBdr>
              <w:spacing w:line="276" w:lineRule="auto"/>
              <w:ind w:firstLine="0"/>
              <w:jc w:val="center"/>
              <w:rPr>
                <w:rFonts w:ascii="Times New Roman" w:eastAsia="Times New Roman" w:hAnsi="Times New Roman" w:cs="Times New Roman"/>
                <w:color w:val="000000"/>
              </w:rPr>
            </w:pPr>
            <w:r w:rsidRPr="00731FE2">
              <w:rPr>
                <w:rFonts w:ascii="Times New Roman" w:eastAsia="Times New Roman" w:hAnsi="Times New Roman" w:cs="Times New Roman"/>
                <w:color w:val="000000"/>
                <w:sz w:val="22"/>
              </w:rPr>
              <w:t>785</w:t>
            </w:r>
          </w:p>
        </w:tc>
        <w:tc>
          <w:tcPr>
            <w:tcW w:w="11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D3006C" w14:textId="77777777" w:rsidR="00171AA8" w:rsidRPr="00731FE2" w:rsidRDefault="007935AB">
            <w:pPr>
              <w:pBdr>
                <w:top w:val="none" w:sz="4" w:space="0" w:color="000000"/>
                <w:left w:val="none" w:sz="4" w:space="0" w:color="000000"/>
                <w:bottom w:val="none" w:sz="4" w:space="0" w:color="000000"/>
                <w:right w:val="none" w:sz="4" w:space="0" w:color="000000"/>
              </w:pBdr>
              <w:spacing w:line="276" w:lineRule="auto"/>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335</w:t>
            </w:r>
          </w:p>
        </w:tc>
      </w:tr>
      <w:tr w:rsidR="00171AA8" w:rsidRPr="00731FE2" w14:paraId="6E27EA3C" w14:textId="77777777">
        <w:tc>
          <w:tcPr>
            <w:tcW w:w="48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B6A2E6" w14:textId="77777777" w:rsidR="00171AA8" w:rsidRPr="00731FE2" w:rsidRDefault="007935AB">
            <w:pPr>
              <w:pBdr>
                <w:top w:val="none" w:sz="4" w:space="0" w:color="000000"/>
                <w:left w:val="none" w:sz="4" w:space="0" w:color="000000"/>
                <w:bottom w:val="none" w:sz="4" w:space="0" w:color="000000"/>
                <w:right w:val="none" w:sz="4" w:space="0" w:color="000000"/>
              </w:pBdr>
              <w:spacing w:line="276" w:lineRule="auto"/>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Общей площадь</w:t>
            </w:r>
            <w:r w:rsidR="002455DE" w:rsidRPr="00731FE2">
              <w:rPr>
                <w:rFonts w:ascii="Times New Roman" w:eastAsia="Times New Roman" w:hAnsi="Times New Roman" w:cs="Times New Roman"/>
                <w:color w:val="000000"/>
                <w:sz w:val="22"/>
              </w:rPr>
              <w:t>ю (</w:t>
            </w:r>
            <w:r w:rsidRPr="00731FE2">
              <w:rPr>
                <w:rFonts w:ascii="Times New Roman" w:eastAsia="Times New Roman" w:hAnsi="Times New Roman" w:cs="Times New Roman"/>
                <w:color w:val="000000"/>
                <w:sz w:val="22"/>
              </w:rPr>
              <w:t>м</w:t>
            </w:r>
            <w:proofErr w:type="gramStart"/>
            <w:r w:rsidR="002455DE" w:rsidRPr="00731FE2">
              <w:rPr>
                <w:rFonts w:ascii="Times New Roman" w:eastAsia="Times New Roman" w:hAnsi="Times New Roman" w:cs="Times New Roman"/>
                <w:color w:val="000000"/>
                <w:sz w:val="22"/>
                <w:vertAlign w:val="superscript"/>
              </w:rPr>
              <w:t>2</w:t>
            </w:r>
            <w:proofErr w:type="gramEnd"/>
            <w:r w:rsidRPr="00731FE2">
              <w:rPr>
                <w:rFonts w:ascii="Times New Roman" w:eastAsia="Times New Roman" w:hAnsi="Times New Roman" w:cs="Times New Roman"/>
                <w:color w:val="000000"/>
                <w:sz w:val="22"/>
              </w:rPr>
              <w:t>)</w:t>
            </w: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943D1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28591</w:t>
            </w: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F7F4D9" w14:textId="77777777" w:rsidR="00171AA8" w:rsidRPr="00731FE2" w:rsidRDefault="007935AB">
            <w:pP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77400</w:t>
            </w: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78CE60" w14:textId="77777777" w:rsidR="00171AA8" w:rsidRPr="00731FE2" w:rsidRDefault="007935AB">
            <w:pPr>
              <w:pBdr>
                <w:top w:val="none" w:sz="4" w:space="0" w:color="000000"/>
                <w:left w:val="none" w:sz="4" w:space="0" w:color="000000"/>
                <w:bottom w:val="none" w:sz="4" w:space="0" w:color="000000"/>
                <w:right w:val="none" w:sz="4" w:space="0" w:color="000000"/>
              </w:pBdr>
              <w:spacing w:line="276" w:lineRule="auto"/>
              <w:ind w:firstLine="0"/>
              <w:jc w:val="center"/>
              <w:rPr>
                <w:rFonts w:ascii="Times New Roman" w:eastAsia="Times New Roman" w:hAnsi="Times New Roman" w:cs="Times New Roman"/>
                <w:color w:val="000000"/>
              </w:rPr>
            </w:pPr>
            <w:r w:rsidRPr="00731FE2">
              <w:rPr>
                <w:rFonts w:ascii="Times New Roman" w:eastAsia="Times New Roman" w:hAnsi="Times New Roman" w:cs="Times New Roman"/>
                <w:color w:val="000000"/>
                <w:sz w:val="22"/>
              </w:rPr>
              <w:t>55506,8</w:t>
            </w:r>
          </w:p>
        </w:tc>
        <w:tc>
          <w:tcPr>
            <w:tcW w:w="11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91EC6C" w14:textId="77777777" w:rsidR="00171AA8" w:rsidRPr="00731FE2" w:rsidRDefault="007935AB">
            <w:pPr>
              <w:pBdr>
                <w:top w:val="none" w:sz="4" w:space="0" w:color="000000"/>
                <w:left w:val="none" w:sz="4" w:space="0" w:color="000000"/>
                <w:bottom w:val="none" w:sz="4" w:space="0" w:color="000000"/>
                <w:right w:val="none" w:sz="4" w:space="0" w:color="000000"/>
              </w:pBdr>
              <w:spacing w:line="276" w:lineRule="auto"/>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30503,5</w:t>
            </w:r>
          </w:p>
        </w:tc>
      </w:tr>
      <w:tr w:rsidR="00171AA8" w:rsidRPr="00731FE2" w14:paraId="0BEF1DFE" w14:textId="77777777">
        <w:tc>
          <w:tcPr>
            <w:tcW w:w="48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51FB82" w14:textId="77777777" w:rsidR="00171AA8" w:rsidRPr="00731FE2" w:rsidRDefault="007935AB">
            <w:pPr>
              <w:pStyle w:val="a3"/>
              <w:numPr>
                <w:ilvl w:val="0"/>
                <w:numId w:val="23"/>
              </w:numPr>
              <w:pBdr>
                <w:top w:val="none" w:sz="4" w:space="0" w:color="000000"/>
                <w:left w:val="none" w:sz="4" w:space="0" w:color="000000"/>
                <w:bottom w:val="none" w:sz="4" w:space="0" w:color="000000"/>
                <w:right w:val="none" w:sz="4" w:space="0" w:color="000000"/>
              </w:pBdr>
              <w:spacing w:line="276" w:lineRule="auto"/>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 xml:space="preserve">в т.ч. </w:t>
            </w:r>
            <w:proofErr w:type="gramStart"/>
            <w:r w:rsidRPr="00731FE2">
              <w:rPr>
                <w:rFonts w:ascii="Times New Roman" w:eastAsia="Times New Roman" w:hAnsi="Times New Roman" w:cs="Times New Roman"/>
                <w:color w:val="000000"/>
                <w:sz w:val="22"/>
              </w:rPr>
              <w:t>построенных</w:t>
            </w:r>
            <w:proofErr w:type="gramEnd"/>
            <w:r w:rsidRPr="00731FE2">
              <w:rPr>
                <w:rFonts w:ascii="Times New Roman" w:eastAsia="Times New Roman" w:hAnsi="Times New Roman" w:cs="Times New Roman"/>
                <w:color w:val="000000"/>
                <w:sz w:val="22"/>
              </w:rPr>
              <w:t xml:space="preserve"> индивидуальным способом</w:t>
            </w: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2A598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7384</w:t>
            </w: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B89B4E" w14:textId="77777777" w:rsidR="00171AA8" w:rsidRPr="00731FE2" w:rsidRDefault="007935AB">
            <w:pP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8000</w:t>
            </w: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2AD953" w14:textId="77777777" w:rsidR="00171AA8" w:rsidRPr="00731FE2" w:rsidRDefault="007935AB">
            <w:pPr>
              <w:pBdr>
                <w:top w:val="none" w:sz="4" w:space="0" w:color="000000"/>
                <w:left w:val="none" w:sz="4" w:space="0" w:color="000000"/>
                <w:bottom w:val="none" w:sz="4" w:space="0" w:color="000000"/>
                <w:right w:val="none" w:sz="4" w:space="0" w:color="000000"/>
              </w:pBdr>
              <w:spacing w:line="276" w:lineRule="auto"/>
              <w:ind w:firstLine="0"/>
              <w:jc w:val="center"/>
              <w:rPr>
                <w:rFonts w:ascii="Times New Roman" w:eastAsia="Times New Roman" w:hAnsi="Times New Roman" w:cs="Times New Roman"/>
                <w:color w:val="000000"/>
              </w:rPr>
            </w:pPr>
            <w:r w:rsidRPr="00731FE2">
              <w:rPr>
                <w:rFonts w:ascii="Times New Roman" w:eastAsia="Times New Roman" w:hAnsi="Times New Roman" w:cs="Times New Roman"/>
                <w:color w:val="000000"/>
                <w:sz w:val="22"/>
              </w:rPr>
              <w:t>2639,7</w:t>
            </w:r>
          </w:p>
        </w:tc>
        <w:tc>
          <w:tcPr>
            <w:tcW w:w="11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E024C3" w14:textId="77777777" w:rsidR="00171AA8" w:rsidRPr="00731FE2" w:rsidRDefault="007935AB">
            <w:pPr>
              <w:pBdr>
                <w:top w:val="none" w:sz="4" w:space="0" w:color="000000"/>
                <w:left w:val="none" w:sz="4" w:space="0" w:color="000000"/>
                <w:bottom w:val="none" w:sz="4" w:space="0" w:color="000000"/>
                <w:right w:val="none" w:sz="4" w:space="0" w:color="000000"/>
              </w:pBdr>
              <w:spacing w:line="276" w:lineRule="auto"/>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362,2</w:t>
            </w:r>
          </w:p>
        </w:tc>
      </w:tr>
    </w:tbl>
    <w:p w14:paraId="6F5E41E2" w14:textId="77777777" w:rsidR="00171AA8" w:rsidRPr="00731FE2" w:rsidRDefault="00171AA8">
      <w:pPr>
        <w:pBdr>
          <w:top w:val="none" w:sz="4" w:space="0" w:color="000000"/>
          <w:left w:val="none" w:sz="4" w:space="0" w:color="000000"/>
          <w:bottom w:val="none" w:sz="4" w:space="0" w:color="000000"/>
          <w:right w:val="none" w:sz="4" w:space="0" w:color="000000"/>
        </w:pBdr>
        <w:ind w:firstLine="0"/>
        <w:jc w:val="center"/>
      </w:pPr>
    </w:p>
    <w:p w14:paraId="0E12662D"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 xml:space="preserve">Отрасль строительства динамично развивается. Всего за 2022 год введено в эксплуатацию 9 объектов, по большей части это многоквартирные дома и социальные объекты. </w:t>
      </w:r>
    </w:p>
    <w:p w14:paraId="72E6958D"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b/>
          <w:bCs/>
          <w:color w:val="000000"/>
          <w:szCs w:val="24"/>
        </w:rPr>
      </w:pPr>
      <w:r w:rsidRPr="00731FE2">
        <w:rPr>
          <w:rFonts w:ascii="Times New Roman" w:eastAsia="Times New Roman" w:hAnsi="Times New Roman" w:cs="Times New Roman"/>
          <w:b/>
          <w:bCs/>
          <w:color w:val="000000"/>
          <w:szCs w:val="24"/>
        </w:rPr>
        <w:t xml:space="preserve">Для отрасти строительства городского округа присущ </w:t>
      </w:r>
      <w:proofErr w:type="gramStart"/>
      <w:r w:rsidRPr="00731FE2">
        <w:rPr>
          <w:rFonts w:ascii="Times New Roman" w:eastAsia="Times New Roman" w:hAnsi="Times New Roman" w:cs="Times New Roman"/>
          <w:b/>
          <w:bCs/>
          <w:color w:val="000000"/>
          <w:szCs w:val="24"/>
        </w:rPr>
        <w:t>волнообразных</w:t>
      </w:r>
      <w:proofErr w:type="gramEnd"/>
      <w:r w:rsidRPr="00731FE2">
        <w:rPr>
          <w:rFonts w:ascii="Times New Roman" w:eastAsia="Times New Roman" w:hAnsi="Times New Roman" w:cs="Times New Roman"/>
          <w:b/>
          <w:bCs/>
          <w:color w:val="000000"/>
          <w:szCs w:val="24"/>
        </w:rPr>
        <w:t xml:space="preserve"> характер снижения и роста вводимого жилья. Снижение строительства отмечается в первую очередь предприятий и организаций. Здесь снижение составляет более 70%. Частное строительство также претерпело уменьшение числа вводимого жилья, но в значительно меньшей степени.</w:t>
      </w:r>
    </w:p>
    <w:p w14:paraId="13042DD3" w14:textId="77777777" w:rsidR="00171AA8" w:rsidRPr="00731FE2" w:rsidRDefault="007935AB">
      <w:pPr>
        <w:pStyle w:val="33"/>
        <w:rPr>
          <w:rFonts w:ascii="Times New Roman" w:hAnsi="Times New Roman" w:cs="Times New Roman"/>
        </w:rPr>
      </w:pPr>
      <w:bookmarkStart w:id="39" w:name="_Toc177392790"/>
      <w:r w:rsidRPr="00731FE2">
        <w:rPr>
          <w:rFonts w:ascii="Times New Roman" w:hAnsi="Times New Roman" w:cs="Times New Roman"/>
        </w:rPr>
        <w:t>2.9.4 Малое и среднее предпринимательство</w:t>
      </w:r>
      <w:bookmarkEnd w:id="39"/>
    </w:p>
    <w:p w14:paraId="225EA4D6"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 xml:space="preserve">Важнейшим сектором экономики города-курорта является малое и среднее предпринимательство. </w:t>
      </w:r>
      <w:proofErr w:type="gramStart"/>
      <w:r w:rsidRPr="00731FE2">
        <w:rPr>
          <w:rFonts w:ascii="Times New Roman" w:eastAsia="Times New Roman" w:hAnsi="Times New Roman" w:cs="Times New Roman"/>
          <w:color w:val="000000"/>
          <w:szCs w:val="24"/>
        </w:rPr>
        <w:t>Оно охватывает такие отрасли, как строительство, торговля, общественное питание, оказание бытовых услуг, производство потребительских товаров (сувенирные изделия, обувь, мебель, хлеб, кондитерские изделия и др.).</w:t>
      </w:r>
      <w:proofErr w:type="gramEnd"/>
    </w:p>
    <w:p w14:paraId="23E66D87"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Развитие малого и среднего предпринимательства городского округа города-курорта Кисловодска способствует решению социальных проблем, обеспечивая занятость населения и поступление налогов в местный бюджет.</w:t>
      </w:r>
    </w:p>
    <w:p w14:paraId="5A0487F8"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proofErr w:type="gramStart"/>
      <w:r w:rsidRPr="00731FE2">
        <w:rPr>
          <w:rFonts w:ascii="Times New Roman" w:eastAsia="Times New Roman" w:hAnsi="Times New Roman" w:cs="Times New Roman"/>
          <w:color w:val="000000"/>
          <w:szCs w:val="24"/>
        </w:rPr>
        <w:t>По состоянию на 01.01.2023 г. в городе зарегистрировано 7 938 субъектов малого и среднего предпринимательства (МСП), из них: индивидуальных предпринимат</w:t>
      </w:r>
      <w:r w:rsidR="0052190C" w:rsidRPr="00731FE2">
        <w:rPr>
          <w:rFonts w:ascii="Times New Roman" w:eastAsia="Times New Roman" w:hAnsi="Times New Roman" w:cs="Times New Roman"/>
          <w:color w:val="000000"/>
          <w:szCs w:val="24"/>
        </w:rPr>
        <w:t>елей 3 269 единицы, крестьянско-</w:t>
      </w:r>
      <w:r w:rsidRPr="00731FE2">
        <w:rPr>
          <w:rFonts w:ascii="Times New Roman" w:eastAsia="Times New Roman" w:hAnsi="Times New Roman" w:cs="Times New Roman"/>
          <w:color w:val="000000"/>
          <w:szCs w:val="24"/>
        </w:rPr>
        <w:t xml:space="preserve">фермерских хозяйств – 36 единиц, микро – предприятий – 850 единиц, малых предприятий – 60 единиц, средних предприятий – 12 единиц, </w:t>
      </w:r>
      <w:r w:rsidRPr="00731FE2">
        <w:rPr>
          <w:rFonts w:ascii="Times New Roman" w:eastAsia="Times New Roman" w:hAnsi="Times New Roman" w:cs="Times New Roman"/>
          <w:color w:val="000000"/>
          <w:szCs w:val="24"/>
        </w:rPr>
        <w:lastRenderedPageBreak/>
        <w:t xml:space="preserve">налогоплательщиков, применяющих специальный налоговый режим «Налог на профессиональный доход» (самозанятые) – 3711 единиц. </w:t>
      </w:r>
      <w:proofErr w:type="gramEnd"/>
    </w:p>
    <w:p w14:paraId="7AE10A36"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Общее число субъектов МСП в городе-курорте Кисловодске в 2022 г. по сравнению с аналогичным периодом 2020 г. увеличилось на 2 800 ед. или 154,5% (2021 год – 61 69 ед., 2020 год – 5 138 ед.).</w:t>
      </w:r>
    </w:p>
    <w:p w14:paraId="2651A0A5" w14:textId="77777777" w:rsidR="00171AA8" w:rsidRPr="00731FE2" w:rsidRDefault="00171AA8">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p>
    <w:p w14:paraId="248CAA7E" w14:textId="77777777" w:rsidR="00171AA8" w:rsidRPr="00731FE2" w:rsidRDefault="007935AB">
      <w:pPr>
        <w:pStyle w:val="af3"/>
        <w:pBdr>
          <w:top w:val="none" w:sz="4" w:space="0" w:color="000000"/>
          <w:left w:val="none" w:sz="4" w:space="0" w:color="000000"/>
          <w:bottom w:val="none" w:sz="4" w:space="0" w:color="000000"/>
          <w:right w:val="none" w:sz="4" w:space="0" w:color="000000"/>
        </w:pBdr>
        <w:rPr>
          <w:sz w:val="24"/>
          <w:szCs w:val="24"/>
        </w:rPr>
      </w:pPr>
      <w:r w:rsidRPr="00731FE2">
        <w:rPr>
          <w:sz w:val="24"/>
          <w:szCs w:val="24"/>
        </w:rPr>
        <w:t xml:space="preserve">Таблица </w:t>
      </w:r>
      <w:r w:rsidRPr="00731FE2">
        <w:rPr>
          <w:sz w:val="24"/>
          <w:szCs w:val="24"/>
        </w:rPr>
        <w:fldChar w:fldCharType="begin"/>
      </w:r>
      <w:r w:rsidRPr="00731FE2">
        <w:rPr>
          <w:sz w:val="24"/>
          <w:szCs w:val="24"/>
        </w:rPr>
        <w:instrText xml:space="preserve"> SEQ Таблица \* Arabic </w:instrText>
      </w:r>
      <w:r w:rsidRPr="00731FE2">
        <w:rPr>
          <w:sz w:val="24"/>
          <w:szCs w:val="24"/>
        </w:rPr>
        <w:fldChar w:fldCharType="separate"/>
      </w:r>
      <w:r w:rsidR="00C50915" w:rsidRPr="00731FE2">
        <w:rPr>
          <w:noProof/>
          <w:sz w:val="24"/>
          <w:szCs w:val="24"/>
        </w:rPr>
        <w:t>23</w:t>
      </w:r>
      <w:r w:rsidRPr="00731FE2">
        <w:rPr>
          <w:sz w:val="24"/>
          <w:szCs w:val="24"/>
        </w:rPr>
        <w:fldChar w:fldCharType="end"/>
      </w:r>
      <w:r w:rsidRPr="00731FE2">
        <w:rPr>
          <w:sz w:val="24"/>
          <w:szCs w:val="24"/>
        </w:rPr>
        <w:t xml:space="preserve"> – Число субъектов малого и среднего предпринимательства городского округа город-курорт Кисловодск, 2020-2022 гг.</w:t>
      </w:r>
      <w:r w:rsidRPr="00731FE2">
        <w:rPr>
          <w:rStyle w:val="afb"/>
          <w:sz w:val="24"/>
          <w:szCs w:val="24"/>
          <w:vertAlign w:val="superscript"/>
        </w:rPr>
        <w:footnoteReference w:id="46"/>
      </w:r>
    </w:p>
    <w:tbl>
      <w:tblPr>
        <w:tblStyle w:val="afe"/>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ayout w:type="fixed"/>
        <w:tblLook w:val="04A0" w:firstRow="1" w:lastRow="0" w:firstColumn="1" w:lastColumn="0" w:noHBand="0" w:noVBand="1"/>
      </w:tblPr>
      <w:tblGrid>
        <w:gridCol w:w="2976"/>
        <w:gridCol w:w="1134"/>
        <w:gridCol w:w="1041"/>
        <w:gridCol w:w="943"/>
        <w:gridCol w:w="1701"/>
        <w:gridCol w:w="1559"/>
      </w:tblGrid>
      <w:tr w:rsidR="00171AA8" w:rsidRPr="00731FE2" w14:paraId="43A72C2F" w14:textId="77777777">
        <w:trPr>
          <w:trHeight w:val="804"/>
        </w:trPr>
        <w:tc>
          <w:tcPr>
            <w:tcW w:w="2976" w:type="dxa"/>
            <w:vMerge w:val="restart"/>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4375615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b/>
                <w:bCs/>
                <w:sz w:val="22"/>
              </w:rPr>
            </w:pPr>
            <w:r w:rsidRPr="00731FE2">
              <w:rPr>
                <w:rFonts w:ascii="Times New Roman" w:eastAsia="Times New Roman" w:hAnsi="Times New Roman" w:cs="Times New Roman"/>
                <w:b/>
                <w:bCs/>
                <w:color w:val="000000"/>
                <w:sz w:val="22"/>
              </w:rPr>
              <w:t>Категория МСП, в ед.</w:t>
            </w:r>
          </w:p>
        </w:tc>
        <w:tc>
          <w:tcPr>
            <w:tcW w:w="1134" w:type="dxa"/>
            <w:vMerge w:val="restart"/>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0925127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b/>
                <w:bCs/>
                <w:sz w:val="22"/>
              </w:rPr>
            </w:pPr>
            <w:r w:rsidRPr="00731FE2">
              <w:rPr>
                <w:rFonts w:ascii="Times New Roman" w:eastAsia="Times New Roman" w:hAnsi="Times New Roman" w:cs="Times New Roman"/>
                <w:b/>
                <w:bCs/>
                <w:color w:val="000000"/>
                <w:sz w:val="22"/>
              </w:rPr>
              <w:t>2020 г.</w:t>
            </w:r>
          </w:p>
        </w:tc>
        <w:tc>
          <w:tcPr>
            <w:tcW w:w="1041" w:type="dxa"/>
            <w:vMerge w:val="restart"/>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6E42255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b/>
                <w:bCs/>
                <w:sz w:val="22"/>
              </w:rPr>
            </w:pPr>
            <w:r w:rsidRPr="00731FE2">
              <w:rPr>
                <w:rFonts w:ascii="Times New Roman" w:eastAsia="Times New Roman" w:hAnsi="Times New Roman" w:cs="Times New Roman"/>
                <w:b/>
                <w:bCs/>
                <w:color w:val="000000"/>
                <w:sz w:val="22"/>
              </w:rPr>
              <w:t>2021 г.</w:t>
            </w:r>
          </w:p>
        </w:tc>
        <w:tc>
          <w:tcPr>
            <w:tcW w:w="943" w:type="dxa"/>
            <w:vMerge w:val="restart"/>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7AA03B3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b/>
                <w:bCs/>
                <w:sz w:val="22"/>
              </w:rPr>
            </w:pPr>
            <w:r w:rsidRPr="00731FE2">
              <w:rPr>
                <w:rFonts w:ascii="Times New Roman" w:eastAsia="Times New Roman" w:hAnsi="Times New Roman" w:cs="Times New Roman"/>
                <w:b/>
                <w:bCs/>
                <w:color w:val="000000"/>
                <w:sz w:val="22"/>
              </w:rPr>
              <w:t>2022 г.</w:t>
            </w:r>
          </w:p>
        </w:tc>
        <w:tc>
          <w:tcPr>
            <w:tcW w:w="326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00CDCD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b/>
                <w:bCs/>
                <w:sz w:val="22"/>
              </w:rPr>
            </w:pPr>
            <w:r w:rsidRPr="00731FE2">
              <w:rPr>
                <w:rFonts w:ascii="Times New Roman" w:eastAsia="Times New Roman" w:hAnsi="Times New Roman" w:cs="Times New Roman"/>
                <w:b/>
                <w:bCs/>
                <w:color w:val="000000"/>
                <w:sz w:val="22"/>
              </w:rPr>
              <w:t xml:space="preserve">Темп роста 2022 г. </w:t>
            </w:r>
          </w:p>
          <w:p w14:paraId="3880E39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b/>
                <w:bCs/>
                <w:sz w:val="22"/>
              </w:rPr>
            </w:pPr>
            <w:r w:rsidRPr="00731FE2">
              <w:rPr>
                <w:rFonts w:ascii="Times New Roman" w:eastAsia="Times New Roman" w:hAnsi="Times New Roman" w:cs="Times New Roman"/>
                <w:b/>
                <w:bCs/>
                <w:color w:val="000000"/>
                <w:sz w:val="22"/>
              </w:rPr>
              <w:t>к 2020 г.</w:t>
            </w:r>
          </w:p>
        </w:tc>
      </w:tr>
      <w:tr w:rsidR="00171AA8" w:rsidRPr="00731FE2" w14:paraId="368814F3" w14:textId="77777777">
        <w:trPr>
          <w:trHeight w:val="264"/>
        </w:trPr>
        <w:tc>
          <w:tcPr>
            <w:tcW w:w="2976" w:type="dxa"/>
            <w:vMerge/>
            <w:tcBorders>
              <w:top w:val="single" w:sz="4" w:space="0" w:color="000000"/>
              <w:left w:val="single" w:sz="4" w:space="0" w:color="000000"/>
              <w:bottom w:val="single" w:sz="4" w:space="0" w:color="000000"/>
              <w:right w:val="single" w:sz="4" w:space="0" w:color="000000"/>
            </w:tcBorders>
          </w:tcPr>
          <w:p w14:paraId="7F56E03C" w14:textId="77777777" w:rsidR="00171AA8" w:rsidRPr="00731FE2" w:rsidRDefault="00171AA8"/>
        </w:tc>
        <w:tc>
          <w:tcPr>
            <w:tcW w:w="1134" w:type="dxa"/>
            <w:vMerge/>
            <w:tcBorders>
              <w:top w:val="single" w:sz="4" w:space="0" w:color="000000"/>
              <w:left w:val="single" w:sz="4" w:space="0" w:color="000000"/>
              <w:bottom w:val="single" w:sz="4" w:space="0" w:color="000000"/>
              <w:right w:val="single" w:sz="4" w:space="0" w:color="000000"/>
            </w:tcBorders>
          </w:tcPr>
          <w:p w14:paraId="42E563D8" w14:textId="77777777" w:rsidR="00171AA8" w:rsidRPr="00731FE2" w:rsidRDefault="00171AA8"/>
        </w:tc>
        <w:tc>
          <w:tcPr>
            <w:tcW w:w="1041" w:type="dxa"/>
            <w:vMerge/>
            <w:tcBorders>
              <w:top w:val="single" w:sz="4" w:space="0" w:color="000000"/>
              <w:left w:val="single" w:sz="4" w:space="0" w:color="000000"/>
              <w:bottom w:val="single" w:sz="4" w:space="0" w:color="000000"/>
              <w:right w:val="single" w:sz="4" w:space="0" w:color="000000"/>
            </w:tcBorders>
          </w:tcPr>
          <w:p w14:paraId="75342DA8" w14:textId="77777777" w:rsidR="00171AA8" w:rsidRPr="00731FE2" w:rsidRDefault="00171AA8"/>
        </w:tc>
        <w:tc>
          <w:tcPr>
            <w:tcW w:w="943" w:type="dxa"/>
            <w:vMerge/>
            <w:tcBorders>
              <w:top w:val="single" w:sz="4" w:space="0" w:color="000000"/>
              <w:left w:val="single" w:sz="4" w:space="0" w:color="000000"/>
              <w:bottom w:val="single" w:sz="4" w:space="0" w:color="000000"/>
              <w:right w:val="single" w:sz="4" w:space="0" w:color="000000"/>
            </w:tcBorders>
          </w:tcPr>
          <w:p w14:paraId="6DC87E37" w14:textId="77777777" w:rsidR="00171AA8" w:rsidRPr="00731FE2" w:rsidRDefault="00171AA8"/>
        </w:tc>
        <w:tc>
          <w:tcPr>
            <w:tcW w:w="1701"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3F9EEB4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b/>
                <w:bCs/>
                <w:sz w:val="22"/>
              </w:rPr>
            </w:pPr>
            <w:r w:rsidRPr="00731FE2">
              <w:rPr>
                <w:rFonts w:ascii="Times New Roman" w:eastAsia="Times New Roman" w:hAnsi="Times New Roman" w:cs="Times New Roman"/>
                <w:b/>
                <w:bCs/>
                <w:color w:val="000000"/>
                <w:sz w:val="22"/>
              </w:rPr>
              <w:t>в ед.</w:t>
            </w:r>
          </w:p>
        </w:tc>
        <w:tc>
          <w:tcPr>
            <w:tcW w:w="1559"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4EB5FBC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b/>
                <w:bCs/>
                <w:sz w:val="22"/>
              </w:rPr>
            </w:pPr>
            <w:r w:rsidRPr="00731FE2">
              <w:rPr>
                <w:rFonts w:ascii="Times New Roman" w:eastAsia="Times New Roman" w:hAnsi="Times New Roman" w:cs="Times New Roman"/>
                <w:b/>
                <w:bCs/>
                <w:color w:val="000000"/>
                <w:sz w:val="22"/>
              </w:rPr>
              <w:t>в %</w:t>
            </w:r>
          </w:p>
        </w:tc>
      </w:tr>
      <w:tr w:rsidR="00171AA8" w:rsidRPr="00731FE2" w14:paraId="7A66B9AD" w14:textId="77777777">
        <w:trPr>
          <w:trHeight w:val="696"/>
        </w:trPr>
        <w:tc>
          <w:tcPr>
            <w:tcW w:w="29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D986F1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sz w:val="22"/>
              </w:rPr>
            </w:pPr>
            <w:r w:rsidRPr="00731FE2">
              <w:rPr>
                <w:rFonts w:ascii="Times New Roman" w:eastAsia="Times New Roman" w:hAnsi="Times New Roman" w:cs="Times New Roman"/>
                <w:color w:val="000000"/>
                <w:sz w:val="22"/>
              </w:rPr>
              <w:t>Индивидуальные предприниматели</w:t>
            </w:r>
          </w:p>
        </w:tc>
        <w:tc>
          <w:tcPr>
            <w:tcW w:w="1134"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7BEAA3C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2"/>
              </w:rPr>
            </w:pPr>
            <w:r w:rsidRPr="00731FE2">
              <w:rPr>
                <w:rFonts w:ascii="Times New Roman" w:eastAsia="Times New Roman" w:hAnsi="Times New Roman" w:cs="Times New Roman"/>
                <w:color w:val="000000"/>
                <w:sz w:val="22"/>
              </w:rPr>
              <w:t>3176</w:t>
            </w:r>
          </w:p>
        </w:tc>
        <w:tc>
          <w:tcPr>
            <w:tcW w:w="1041"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73996AF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2"/>
              </w:rPr>
            </w:pPr>
            <w:r w:rsidRPr="00731FE2">
              <w:rPr>
                <w:rFonts w:ascii="Times New Roman" w:eastAsia="Times New Roman" w:hAnsi="Times New Roman" w:cs="Times New Roman"/>
                <w:color w:val="000000"/>
                <w:sz w:val="22"/>
              </w:rPr>
              <w:t>3156</w:t>
            </w:r>
          </w:p>
        </w:tc>
        <w:tc>
          <w:tcPr>
            <w:tcW w:w="943"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5FA8B08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2"/>
              </w:rPr>
            </w:pPr>
            <w:r w:rsidRPr="00731FE2">
              <w:rPr>
                <w:rFonts w:ascii="Times New Roman" w:eastAsia="Times New Roman" w:hAnsi="Times New Roman" w:cs="Times New Roman"/>
                <w:color w:val="000000"/>
                <w:sz w:val="22"/>
              </w:rPr>
              <w:t>3269</w:t>
            </w:r>
          </w:p>
        </w:tc>
        <w:tc>
          <w:tcPr>
            <w:tcW w:w="1701"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658963E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2"/>
              </w:rPr>
            </w:pPr>
            <w:r w:rsidRPr="00731FE2">
              <w:rPr>
                <w:rFonts w:ascii="Times New Roman" w:eastAsia="Times New Roman" w:hAnsi="Times New Roman" w:cs="Times New Roman"/>
                <w:color w:val="000000"/>
                <w:sz w:val="22"/>
              </w:rPr>
              <w:t>93</w:t>
            </w:r>
          </w:p>
        </w:tc>
        <w:tc>
          <w:tcPr>
            <w:tcW w:w="1559"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62C9FFC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2"/>
              </w:rPr>
            </w:pPr>
            <w:r w:rsidRPr="00731FE2">
              <w:rPr>
                <w:rFonts w:ascii="Times New Roman" w:eastAsia="Times New Roman" w:hAnsi="Times New Roman" w:cs="Times New Roman"/>
                <w:color w:val="000000"/>
                <w:sz w:val="22"/>
              </w:rPr>
              <w:t>102,9</w:t>
            </w:r>
          </w:p>
        </w:tc>
      </w:tr>
      <w:tr w:rsidR="00171AA8" w:rsidRPr="00731FE2" w14:paraId="6AD2B1D8" w14:textId="77777777">
        <w:trPr>
          <w:trHeight w:val="528"/>
        </w:trPr>
        <w:tc>
          <w:tcPr>
            <w:tcW w:w="29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1EE251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sz w:val="22"/>
              </w:rPr>
            </w:pPr>
            <w:r w:rsidRPr="00731FE2">
              <w:rPr>
                <w:rFonts w:ascii="Times New Roman" w:eastAsia="Times New Roman" w:hAnsi="Times New Roman" w:cs="Times New Roman"/>
                <w:color w:val="000000"/>
                <w:sz w:val="22"/>
              </w:rPr>
              <w:t>Главы крестьянско-фермерских хозяйств</w:t>
            </w:r>
          </w:p>
        </w:tc>
        <w:tc>
          <w:tcPr>
            <w:tcW w:w="1134"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3812F91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2"/>
              </w:rPr>
            </w:pPr>
            <w:r w:rsidRPr="00731FE2">
              <w:rPr>
                <w:rFonts w:ascii="Times New Roman" w:eastAsia="Times New Roman" w:hAnsi="Times New Roman" w:cs="Times New Roman"/>
                <w:color w:val="000000"/>
                <w:sz w:val="22"/>
              </w:rPr>
              <w:t>36</w:t>
            </w:r>
          </w:p>
        </w:tc>
        <w:tc>
          <w:tcPr>
            <w:tcW w:w="1041"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4AEAD79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2"/>
              </w:rPr>
            </w:pPr>
            <w:r w:rsidRPr="00731FE2">
              <w:rPr>
                <w:rFonts w:ascii="Times New Roman" w:eastAsia="Times New Roman" w:hAnsi="Times New Roman" w:cs="Times New Roman"/>
                <w:color w:val="000000"/>
                <w:sz w:val="22"/>
              </w:rPr>
              <w:t>38</w:t>
            </w:r>
          </w:p>
        </w:tc>
        <w:tc>
          <w:tcPr>
            <w:tcW w:w="943"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2E5DE62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2"/>
              </w:rPr>
            </w:pPr>
            <w:r w:rsidRPr="00731FE2">
              <w:rPr>
                <w:rFonts w:ascii="Times New Roman" w:eastAsia="Times New Roman" w:hAnsi="Times New Roman" w:cs="Times New Roman"/>
                <w:color w:val="000000"/>
                <w:sz w:val="22"/>
              </w:rPr>
              <w:t>36</w:t>
            </w:r>
          </w:p>
        </w:tc>
        <w:tc>
          <w:tcPr>
            <w:tcW w:w="1701"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6353D47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2"/>
              </w:rPr>
            </w:pPr>
            <w:r w:rsidRPr="00731FE2">
              <w:rPr>
                <w:rFonts w:ascii="Times New Roman" w:eastAsia="Times New Roman" w:hAnsi="Times New Roman" w:cs="Times New Roman"/>
                <w:color w:val="000000"/>
                <w:sz w:val="22"/>
              </w:rPr>
              <w:t>0</w:t>
            </w:r>
          </w:p>
        </w:tc>
        <w:tc>
          <w:tcPr>
            <w:tcW w:w="1559"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2209BE3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2"/>
              </w:rPr>
            </w:pPr>
            <w:r w:rsidRPr="00731FE2">
              <w:rPr>
                <w:rFonts w:ascii="Times New Roman" w:eastAsia="Times New Roman" w:hAnsi="Times New Roman" w:cs="Times New Roman"/>
                <w:color w:val="000000"/>
                <w:sz w:val="22"/>
              </w:rPr>
              <w:t>100,0</w:t>
            </w:r>
          </w:p>
        </w:tc>
      </w:tr>
      <w:tr w:rsidR="00171AA8" w:rsidRPr="00731FE2" w14:paraId="139F525A" w14:textId="77777777">
        <w:trPr>
          <w:trHeight w:val="264"/>
        </w:trPr>
        <w:tc>
          <w:tcPr>
            <w:tcW w:w="2976"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2FFDAD5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sz w:val="22"/>
              </w:rPr>
            </w:pPr>
            <w:r w:rsidRPr="00731FE2">
              <w:rPr>
                <w:rFonts w:ascii="Times New Roman" w:eastAsia="Times New Roman" w:hAnsi="Times New Roman" w:cs="Times New Roman"/>
                <w:color w:val="000000"/>
                <w:sz w:val="22"/>
              </w:rPr>
              <w:t>Малые предприятия</w:t>
            </w:r>
          </w:p>
        </w:tc>
        <w:tc>
          <w:tcPr>
            <w:tcW w:w="1134"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31EEF46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2"/>
              </w:rPr>
            </w:pPr>
            <w:r w:rsidRPr="00731FE2">
              <w:rPr>
                <w:rFonts w:ascii="Times New Roman" w:eastAsia="Times New Roman" w:hAnsi="Times New Roman" w:cs="Times New Roman"/>
                <w:color w:val="000000"/>
                <w:sz w:val="22"/>
              </w:rPr>
              <w:t>66</w:t>
            </w:r>
          </w:p>
        </w:tc>
        <w:tc>
          <w:tcPr>
            <w:tcW w:w="1041"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37224C6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2"/>
              </w:rPr>
            </w:pPr>
            <w:r w:rsidRPr="00731FE2">
              <w:rPr>
                <w:rFonts w:ascii="Times New Roman" w:eastAsia="Times New Roman" w:hAnsi="Times New Roman" w:cs="Times New Roman"/>
                <w:color w:val="000000"/>
                <w:sz w:val="22"/>
              </w:rPr>
              <w:t>66</w:t>
            </w:r>
          </w:p>
        </w:tc>
        <w:tc>
          <w:tcPr>
            <w:tcW w:w="943"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39D9445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2"/>
              </w:rPr>
            </w:pPr>
            <w:r w:rsidRPr="00731FE2">
              <w:rPr>
                <w:rFonts w:ascii="Times New Roman" w:eastAsia="Times New Roman" w:hAnsi="Times New Roman" w:cs="Times New Roman"/>
                <w:color w:val="000000"/>
                <w:sz w:val="22"/>
              </w:rPr>
              <w:t>60</w:t>
            </w:r>
          </w:p>
        </w:tc>
        <w:tc>
          <w:tcPr>
            <w:tcW w:w="1701"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5F1E7C7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2"/>
              </w:rPr>
            </w:pPr>
            <w:r w:rsidRPr="00731FE2">
              <w:rPr>
                <w:rFonts w:ascii="Times New Roman" w:eastAsia="Times New Roman" w:hAnsi="Times New Roman" w:cs="Times New Roman"/>
                <w:color w:val="000000"/>
                <w:sz w:val="22"/>
              </w:rPr>
              <w:t>-6</w:t>
            </w:r>
          </w:p>
        </w:tc>
        <w:tc>
          <w:tcPr>
            <w:tcW w:w="1559"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2F98CA8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2"/>
              </w:rPr>
            </w:pPr>
            <w:r w:rsidRPr="00731FE2">
              <w:rPr>
                <w:rFonts w:ascii="Times New Roman" w:eastAsia="Times New Roman" w:hAnsi="Times New Roman" w:cs="Times New Roman"/>
                <w:color w:val="000000"/>
                <w:sz w:val="22"/>
              </w:rPr>
              <w:t>90,9</w:t>
            </w:r>
          </w:p>
        </w:tc>
      </w:tr>
      <w:tr w:rsidR="00171AA8" w:rsidRPr="00731FE2" w14:paraId="4DF927DD" w14:textId="77777777">
        <w:trPr>
          <w:trHeight w:val="264"/>
        </w:trPr>
        <w:tc>
          <w:tcPr>
            <w:tcW w:w="2976"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6226F2FA" w14:textId="77777777" w:rsidR="00171AA8" w:rsidRPr="00731FE2" w:rsidRDefault="0052190C">
            <w:pPr>
              <w:pBdr>
                <w:top w:val="none" w:sz="4" w:space="0" w:color="000000"/>
                <w:left w:val="none" w:sz="4" w:space="0" w:color="000000"/>
                <w:bottom w:val="none" w:sz="4" w:space="0" w:color="000000"/>
                <w:right w:val="none" w:sz="4" w:space="0" w:color="000000"/>
              </w:pBdr>
              <w:ind w:firstLine="0"/>
              <w:jc w:val="left"/>
              <w:rPr>
                <w:sz w:val="22"/>
              </w:rPr>
            </w:pPr>
            <w:r w:rsidRPr="00731FE2">
              <w:rPr>
                <w:rFonts w:ascii="Times New Roman" w:eastAsia="Times New Roman" w:hAnsi="Times New Roman" w:cs="Times New Roman"/>
                <w:color w:val="000000"/>
                <w:sz w:val="22"/>
              </w:rPr>
              <w:t>Микропредприятия</w:t>
            </w:r>
          </w:p>
        </w:tc>
        <w:tc>
          <w:tcPr>
            <w:tcW w:w="1134"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0B44481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2"/>
              </w:rPr>
            </w:pPr>
            <w:r w:rsidRPr="00731FE2">
              <w:rPr>
                <w:rFonts w:ascii="Times New Roman" w:eastAsia="Times New Roman" w:hAnsi="Times New Roman" w:cs="Times New Roman"/>
                <w:color w:val="000000"/>
                <w:sz w:val="22"/>
              </w:rPr>
              <w:t>984</w:t>
            </w:r>
          </w:p>
        </w:tc>
        <w:tc>
          <w:tcPr>
            <w:tcW w:w="1041"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558DBFE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2"/>
              </w:rPr>
            </w:pPr>
            <w:r w:rsidRPr="00731FE2">
              <w:rPr>
                <w:rFonts w:ascii="Times New Roman" w:eastAsia="Times New Roman" w:hAnsi="Times New Roman" w:cs="Times New Roman"/>
                <w:color w:val="000000"/>
                <w:sz w:val="22"/>
              </w:rPr>
              <w:t>889</w:t>
            </w:r>
          </w:p>
        </w:tc>
        <w:tc>
          <w:tcPr>
            <w:tcW w:w="943"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3A086AF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2"/>
              </w:rPr>
            </w:pPr>
            <w:r w:rsidRPr="00731FE2">
              <w:rPr>
                <w:rFonts w:ascii="Times New Roman" w:eastAsia="Times New Roman" w:hAnsi="Times New Roman" w:cs="Times New Roman"/>
                <w:color w:val="000000"/>
                <w:sz w:val="22"/>
              </w:rPr>
              <w:t>850</w:t>
            </w:r>
          </w:p>
        </w:tc>
        <w:tc>
          <w:tcPr>
            <w:tcW w:w="1701"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6FFD7D3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2"/>
              </w:rPr>
            </w:pPr>
            <w:r w:rsidRPr="00731FE2">
              <w:rPr>
                <w:rFonts w:ascii="Times New Roman" w:eastAsia="Times New Roman" w:hAnsi="Times New Roman" w:cs="Times New Roman"/>
                <w:color w:val="000000"/>
                <w:sz w:val="22"/>
              </w:rPr>
              <w:t>-134</w:t>
            </w:r>
          </w:p>
        </w:tc>
        <w:tc>
          <w:tcPr>
            <w:tcW w:w="1559"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6AB8C8B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2"/>
              </w:rPr>
            </w:pPr>
            <w:r w:rsidRPr="00731FE2">
              <w:rPr>
                <w:rFonts w:ascii="Times New Roman" w:eastAsia="Times New Roman" w:hAnsi="Times New Roman" w:cs="Times New Roman"/>
                <w:color w:val="000000"/>
                <w:sz w:val="22"/>
              </w:rPr>
              <w:t>86,4</w:t>
            </w:r>
          </w:p>
        </w:tc>
      </w:tr>
      <w:tr w:rsidR="00171AA8" w:rsidRPr="00731FE2" w14:paraId="0CA8792A" w14:textId="77777777">
        <w:trPr>
          <w:trHeight w:val="264"/>
        </w:trPr>
        <w:tc>
          <w:tcPr>
            <w:tcW w:w="2976"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6A7B2E2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sz w:val="22"/>
              </w:rPr>
            </w:pPr>
            <w:r w:rsidRPr="00731FE2">
              <w:rPr>
                <w:rFonts w:ascii="Times New Roman" w:eastAsia="Times New Roman" w:hAnsi="Times New Roman" w:cs="Times New Roman"/>
                <w:color w:val="000000"/>
                <w:sz w:val="22"/>
              </w:rPr>
              <w:t>Средние предприятия</w:t>
            </w:r>
          </w:p>
        </w:tc>
        <w:tc>
          <w:tcPr>
            <w:tcW w:w="1134"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12A5E14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2"/>
              </w:rPr>
            </w:pPr>
            <w:r w:rsidRPr="00731FE2">
              <w:rPr>
                <w:rFonts w:ascii="Times New Roman" w:eastAsia="Times New Roman" w:hAnsi="Times New Roman" w:cs="Times New Roman"/>
                <w:color w:val="000000"/>
                <w:sz w:val="22"/>
              </w:rPr>
              <w:t>11</w:t>
            </w:r>
          </w:p>
        </w:tc>
        <w:tc>
          <w:tcPr>
            <w:tcW w:w="1041"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00C08EE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2"/>
              </w:rPr>
            </w:pPr>
            <w:r w:rsidRPr="00731FE2">
              <w:rPr>
                <w:rFonts w:ascii="Times New Roman" w:eastAsia="Times New Roman" w:hAnsi="Times New Roman" w:cs="Times New Roman"/>
                <w:color w:val="000000"/>
                <w:sz w:val="22"/>
              </w:rPr>
              <w:t>12</w:t>
            </w:r>
          </w:p>
        </w:tc>
        <w:tc>
          <w:tcPr>
            <w:tcW w:w="943"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7637F90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2"/>
              </w:rPr>
            </w:pPr>
            <w:r w:rsidRPr="00731FE2">
              <w:rPr>
                <w:rFonts w:ascii="Times New Roman" w:eastAsia="Times New Roman" w:hAnsi="Times New Roman" w:cs="Times New Roman"/>
                <w:color w:val="000000"/>
                <w:sz w:val="22"/>
              </w:rPr>
              <w:t>12</w:t>
            </w:r>
          </w:p>
        </w:tc>
        <w:tc>
          <w:tcPr>
            <w:tcW w:w="1701"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5C59871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2"/>
              </w:rPr>
            </w:pPr>
            <w:r w:rsidRPr="00731FE2">
              <w:rPr>
                <w:rFonts w:ascii="Times New Roman" w:eastAsia="Times New Roman" w:hAnsi="Times New Roman" w:cs="Times New Roman"/>
                <w:color w:val="000000"/>
                <w:sz w:val="22"/>
              </w:rPr>
              <w:t>1</w:t>
            </w:r>
          </w:p>
        </w:tc>
        <w:tc>
          <w:tcPr>
            <w:tcW w:w="1559"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719F706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2"/>
              </w:rPr>
            </w:pPr>
            <w:r w:rsidRPr="00731FE2">
              <w:rPr>
                <w:rFonts w:ascii="Times New Roman" w:eastAsia="Times New Roman" w:hAnsi="Times New Roman" w:cs="Times New Roman"/>
                <w:color w:val="000000"/>
                <w:sz w:val="22"/>
              </w:rPr>
              <w:t>109,1</w:t>
            </w:r>
          </w:p>
        </w:tc>
      </w:tr>
      <w:tr w:rsidR="00171AA8" w:rsidRPr="00731FE2" w14:paraId="64528A04" w14:textId="77777777">
        <w:trPr>
          <w:trHeight w:val="264"/>
        </w:trPr>
        <w:tc>
          <w:tcPr>
            <w:tcW w:w="2976"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363CEE0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sz w:val="22"/>
              </w:rPr>
            </w:pPr>
            <w:r w:rsidRPr="00731FE2">
              <w:rPr>
                <w:rFonts w:ascii="Times New Roman" w:eastAsia="Times New Roman" w:hAnsi="Times New Roman" w:cs="Times New Roman"/>
                <w:color w:val="000000"/>
                <w:sz w:val="22"/>
              </w:rPr>
              <w:t>Самозанятые</w:t>
            </w:r>
          </w:p>
        </w:tc>
        <w:tc>
          <w:tcPr>
            <w:tcW w:w="1134"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5A84CEC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2"/>
              </w:rPr>
            </w:pPr>
            <w:r w:rsidRPr="00731FE2">
              <w:rPr>
                <w:rFonts w:ascii="Times New Roman" w:eastAsia="Times New Roman" w:hAnsi="Times New Roman" w:cs="Times New Roman"/>
                <w:color w:val="000000"/>
                <w:sz w:val="22"/>
              </w:rPr>
              <w:t>865</w:t>
            </w:r>
          </w:p>
        </w:tc>
        <w:tc>
          <w:tcPr>
            <w:tcW w:w="1041"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33FE47C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2"/>
              </w:rPr>
            </w:pPr>
            <w:r w:rsidRPr="00731FE2">
              <w:rPr>
                <w:rFonts w:ascii="Times New Roman" w:eastAsia="Times New Roman" w:hAnsi="Times New Roman" w:cs="Times New Roman"/>
                <w:color w:val="000000"/>
                <w:sz w:val="22"/>
              </w:rPr>
              <w:t>2 008</w:t>
            </w:r>
          </w:p>
        </w:tc>
        <w:tc>
          <w:tcPr>
            <w:tcW w:w="943"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3D150ED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2"/>
              </w:rPr>
            </w:pPr>
            <w:r w:rsidRPr="00731FE2">
              <w:rPr>
                <w:rFonts w:ascii="Times New Roman" w:eastAsia="Times New Roman" w:hAnsi="Times New Roman" w:cs="Times New Roman"/>
                <w:color w:val="000000"/>
                <w:sz w:val="22"/>
              </w:rPr>
              <w:t>3 711</w:t>
            </w:r>
          </w:p>
        </w:tc>
        <w:tc>
          <w:tcPr>
            <w:tcW w:w="1701"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6BE7FF2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2"/>
              </w:rPr>
            </w:pPr>
            <w:r w:rsidRPr="00731FE2">
              <w:rPr>
                <w:rFonts w:ascii="Times New Roman" w:eastAsia="Times New Roman" w:hAnsi="Times New Roman" w:cs="Times New Roman"/>
                <w:color w:val="000000"/>
                <w:sz w:val="22"/>
              </w:rPr>
              <w:t>2 846</w:t>
            </w:r>
          </w:p>
        </w:tc>
        <w:tc>
          <w:tcPr>
            <w:tcW w:w="1559"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3E33CD2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2"/>
              </w:rPr>
            </w:pPr>
            <w:r w:rsidRPr="00731FE2">
              <w:rPr>
                <w:rFonts w:ascii="Times New Roman" w:eastAsia="Times New Roman" w:hAnsi="Times New Roman" w:cs="Times New Roman"/>
                <w:color w:val="000000"/>
                <w:sz w:val="22"/>
              </w:rPr>
              <w:t>429,0</w:t>
            </w:r>
          </w:p>
        </w:tc>
      </w:tr>
      <w:tr w:rsidR="00171AA8" w:rsidRPr="00731FE2" w14:paraId="0C9D94E2" w14:textId="77777777">
        <w:trPr>
          <w:trHeight w:val="264"/>
        </w:trPr>
        <w:tc>
          <w:tcPr>
            <w:tcW w:w="2976"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4D85996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sz w:val="22"/>
              </w:rPr>
            </w:pPr>
            <w:r w:rsidRPr="00731FE2">
              <w:rPr>
                <w:rFonts w:ascii="Times New Roman" w:eastAsia="Times New Roman" w:hAnsi="Times New Roman" w:cs="Times New Roman"/>
                <w:color w:val="000000"/>
                <w:sz w:val="22"/>
              </w:rPr>
              <w:t>ВСЕГО:</w:t>
            </w:r>
          </w:p>
        </w:tc>
        <w:tc>
          <w:tcPr>
            <w:tcW w:w="1134"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195B48C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2"/>
              </w:rPr>
            </w:pPr>
            <w:r w:rsidRPr="00731FE2">
              <w:rPr>
                <w:rFonts w:ascii="Times New Roman" w:eastAsia="Times New Roman" w:hAnsi="Times New Roman" w:cs="Times New Roman"/>
                <w:color w:val="000000"/>
                <w:sz w:val="22"/>
              </w:rPr>
              <w:t>5 138</w:t>
            </w:r>
          </w:p>
        </w:tc>
        <w:tc>
          <w:tcPr>
            <w:tcW w:w="1041"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5E04E3B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2"/>
              </w:rPr>
            </w:pPr>
            <w:r w:rsidRPr="00731FE2">
              <w:rPr>
                <w:rFonts w:ascii="Times New Roman" w:eastAsia="Times New Roman" w:hAnsi="Times New Roman" w:cs="Times New Roman"/>
                <w:color w:val="000000"/>
                <w:sz w:val="22"/>
              </w:rPr>
              <w:t>6 169</w:t>
            </w:r>
          </w:p>
        </w:tc>
        <w:tc>
          <w:tcPr>
            <w:tcW w:w="943"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7CA1F93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2"/>
              </w:rPr>
            </w:pPr>
            <w:r w:rsidRPr="00731FE2">
              <w:rPr>
                <w:rFonts w:ascii="Times New Roman" w:eastAsia="Times New Roman" w:hAnsi="Times New Roman" w:cs="Times New Roman"/>
                <w:color w:val="000000"/>
                <w:sz w:val="22"/>
              </w:rPr>
              <w:t>7 938</w:t>
            </w:r>
          </w:p>
        </w:tc>
        <w:tc>
          <w:tcPr>
            <w:tcW w:w="1701"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6CE2A33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2"/>
              </w:rPr>
            </w:pPr>
            <w:r w:rsidRPr="00731FE2">
              <w:rPr>
                <w:rFonts w:ascii="Times New Roman" w:eastAsia="Times New Roman" w:hAnsi="Times New Roman" w:cs="Times New Roman"/>
                <w:color w:val="000000"/>
                <w:sz w:val="22"/>
              </w:rPr>
              <w:t>2 800</w:t>
            </w:r>
          </w:p>
        </w:tc>
        <w:tc>
          <w:tcPr>
            <w:tcW w:w="1559"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4D9C9F7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2"/>
              </w:rPr>
            </w:pPr>
            <w:r w:rsidRPr="00731FE2">
              <w:rPr>
                <w:rFonts w:ascii="Times New Roman" w:eastAsia="Times New Roman" w:hAnsi="Times New Roman" w:cs="Times New Roman"/>
                <w:color w:val="000000"/>
                <w:sz w:val="22"/>
              </w:rPr>
              <w:t>154,5</w:t>
            </w:r>
          </w:p>
        </w:tc>
      </w:tr>
    </w:tbl>
    <w:p w14:paraId="14656BFC" w14:textId="77777777" w:rsidR="00171AA8" w:rsidRPr="00731FE2" w:rsidRDefault="00171AA8">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p>
    <w:p w14:paraId="11EC59C6"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 xml:space="preserve">Среднесписочная численность работников малого и среднего предпринимательства по итогам 2022 г. составила 15 261 человек, что больше показателя 2020 г. на 2 616 человек или 120,6 % (2020 год – 12 650 человек, 2021 г. – 12917 человек). Число субъектов малого и среднего предпринимательства в расчете на 10 тысяч человек населения – 562,44 единицы. Доля среднесписочной численности работников (без внешних совместителей) малых и средних предприятий в среднесписочной численности работников (без внешних совместителей) всех предприятий и организаций - 46,70%. </w:t>
      </w:r>
    </w:p>
    <w:p w14:paraId="333CAF63"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 xml:space="preserve">В сфере торговли занято более 50% индивидуальных предпринимателей, что определяется спецификой города-курорта, в промышленном производстве задействовано 9% граждан, а в сфере услуг – 20%. </w:t>
      </w:r>
    </w:p>
    <w:p w14:paraId="3A21341E" w14:textId="77777777" w:rsidR="00171AA8" w:rsidRPr="00731FE2" w:rsidRDefault="00171AA8">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p>
    <w:p w14:paraId="26D943DC" w14:textId="77777777" w:rsidR="00171AA8" w:rsidRPr="00731FE2" w:rsidRDefault="007935AB">
      <w:pPr>
        <w:pStyle w:val="af3"/>
        <w:pBdr>
          <w:top w:val="none" w:sz="4" w:space="0" w:color="000000"/>
          <w:left w:val="none" w:sz="4" w:space="0" w:color="000000"/>
          <w:bottom w:val="none" w:sz="4" w:space="0" w:color="000000"/>
          <w:right w:val="none" w:sz="4" w:space="0" w:color="000000"/>
        </w:pBdr>
        <w:rPr>
          <w:sz w:val="24"/>
          <w:szCs w:val="24"/>
        </w:rPr>
      </w:pPr>
      <w:r w:rsidRPr="00731FE2">
        <w:rPr>
          <w:sz w:val="24"/>
          <w:szCs w:val="24"/>
        </w:rPr>
        <w:t xml:space="preserve">Таблица </w:t>
      </w:r>
      <w:r w:rsidRPr="00731FE2">
        <w:rPr>
          <w:sz w:val="24"/>
          <w:szCs w:val="24"/>
        </w:rPr>
        <w:fldChar w:fldCharType="begin"/>
      </w:r>
      <w:r w:rsidRPr="00731FE2">
        <w:rPr>
          <w:sz w:val="24"/>
          <w:szCs w:val="24"/>
        </w:rPr>
        <w:instrText xml:space="preserve"> SEQ Таблица \* Arabic </w:instrText>
      </w:r>
      <w:r w:rsidRPr="00731FE2">
        <w:rPr>
          <w:sz w:val="24"/>
          <w:szCs w:val="24"/>
        </w:rPr>
        <w:fldChar w:fldCharType="separate"/>
      </w:r>
      <w:r w:rsidR="00C50915" w:rsidRPr="00731FE2">
        <w:rPr>
          <w:noProof/>
          <w:sz w:val="24"/>
          <w:szCs w:val="24"/>
        </w:rPr>
        <w:t>24</w:t>
      </w:r>
      <w:r w:rsidRPr="00731FE2">
        <w:rPr>
          <w:sz w:val="24"/>
          <w:szCs w:val="24"/>
        </w:rPr>
        <w:fldChar w:fldCharType="end"/>
      </w:r>
      <w:r w:rsidRPr="00731FE2">
        <w:rPr>
          <w:sz w:val="24"/>
          <w:szCs w:val="24"/>
        </w:rPr>
        <w:t xml:space="preserve"> – Среднесписочная численность работников у субъектов малого и среднего предпринимательства городского округа город-курорт Кисловодск, 2020-2022 гг.</w:t>
      </w:r>
      <w:r w:rsidRPr="00731FE2">
        <w:rPr>
          <w:rStyle w:val="afb"/>
          <w:sz w:val="24"/>
          <w:szCs w:val="24"/>
          <w:vertAlign w:val="superscript"/>
        </w:rPr>
        <w:footnoteReference w:id="47"/>
      </w:r>
    </w:p>
    <w:tbl>
      <w:tblPr>
        <w:tblStyle w:val="afe"/>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ayout w:type="fixed"/>
        <w:tblLook w:val="04A0" w:firstRow="1" w:lastRow="0" w:firstColumn="1" w:lastColumn="0" w:noHBand="0" w:noVBand="1"/>
      </w:tblPr>
      <w:tblGrid>
        <w:gridCol w:w="3044"/>
        <w:gridCol w:w="1245"/>
        <w:gridCol w:w="1245"/>
        <w:gridCol w:w="1127"/>
        <w:gridCol w:w="1225"/>
        <w:gridCol w:w="1468"/>
      </w:tblGrid>
      <w:tr w:rsidR="00171AA8" w:rsidRPr="00731FE2" w14:paraId="6E5E7B62" w14:textId="77777777">
        <w:trPr>
          <w:trHeight w:val="720"/>
        </w:trPr>
        <w:tc>
          <w:tcPr>
            <w:tcW w:w="3044" w:type="dxa"/>
            <w:vMerge w:val="restart"/>
            <w:tcBorders>
              <w:top w:val="single" w:sz="4" w:space="0" w:color="000000"/>
              <w:left w:val="single" w:sz="4" w:space="0" w:color="000000"/>
              <w:bottom w:val="single" w:sz="4" w:space="0" w:color="000000"/>
              <w:right w:val="single" w:sz="4" w:space="0" w:color="000000"/>
            </w:tcBorders>
            <w:shd w:val="clear" w:color="FFFFFF" w:fill="FFFFFF"/>
            <w:noWrap/>
            <w:tcMar>
              <w:top w:w="0" w:type="dxa"/>
              <w:left w:w="108" w:type="dxa"/>
              <w:bottom w:w="0" w:type="dxa"/>
              <w:right w:w="108" w:type="dxa"/>
            </w:tcMar>
            <w:vAlign w:val="center"/>
          </w:tcPr>
          <w:p w14:paraId="780D040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b/>
                <w:bCs/>
                <w:sz w:val="22"/>
              </w:rPr>
            </w:pPr>
            <w:r w:rsidRPr="00731FE2">
              <w:rPr>
                <w:rFonts w:ascii="Times New Roman" w:eastAsia="Times New Roman" w:hAnsi="Times New Roman" w:cs="Times New Roman"/>
                <w:b/>
                <w:bCs/>
                <w:color w:val="000000"/>
                <w:sz w:val="22"/>
              </w:rPr>
              <w:t>Категория МСП, ед.</w:t>
            </w:r>
          </w:p>
        </w:tc>
        <w:tc>
          <w:tcPr>
            <w:tcW w:w="1245" w:type="dxa"/>
            <w:vMerge w:val="restart"/>
            <w:tcBorders>
              <w:top w:val="single" w:sz="4" w:space="0" w:color="000000"/>
              <w:left w:val="single" w:sz="4" w:space="0" w:color="000000"/>
              <w:bottom w:val="single" w:sz="4" w:space="0" w:color="000000"/>
              <w:right w:val="single" w:sz="4" w:space="0" w:color="000000"/>
            </w:tcBorders>
            <w:shd w:val="clear" w:color="FFFFFF" w:fill="FFFFFF"/>
            <w:noWrap/>
            <w:tcMar>
              <w:top w:w="0" w:type="dxa"/>
              <w:left w:w="108" w:type="dxa"/>
              <w:bottom w:w="0" w:type="dxa"/>
              <w:right w:w="108" w:type="dxa"/>
            </w:tcMar>
            <w:vAlign w:val="center"/>
          </w:tcPr>
          <w:p w14:paraId="266111E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b/>
                <w:bCs/>
                <w:sz w:val="22"/>
              </w:rPr>
            </w:pPr>
            <w:r w:rsidRPr="00731FE2">
              <w:rPr>
                <w:rFonts w:ascii="Times New Roman" w:eastAsia="Times New Roman" w:hAnsi="Times New Roman" w:cs="Times New Roman"/>
                <w:b/>
                <w:bCs/>
                <w:color w:val="000000"/>
                <w:sz w:val="22"/>
              </w:rPr>
              <w:t>2020 г.</w:t>
            </w:r>
          </w:p>
        </w:tc>
        <w:tc>
          <w:tcPr>
            <w:tcW w:w="1245" w:type="dxa"/>
            <w:vMerge w:val="restart"/>
            <w:tcBorders>
              <w:top w:val="single" w:sz="4" w:space="0" w:color="000000"/>
              <w:left w:val="single" w:sz="4" w:space="0" w:color="000000"/>
              <w:bottom w:val="single" w:sz="4" w:space="0" w:color="000000"/>
              <w:right w:val="single" w:sz="4" w:space="0" w:color="000000"/>
            </w:tcBorders>
            <w:shd w:val="clear" w:color="FFFFFF" w:fill="FFFFFF"/>
            <w:noWrap/>
            <w:tcMar>
              <w:top w:w="0" w:type="dxa"/>
              <w:left w:w="108" w:type="dxa"/>
              <w:bottom w:w="0" w:type="dxa"/>
              <w:right w:w="108" w:type="dxa"/>
            </w:tcMar>
            <w:vAlign w:val="center"/>
          </w:tcPr>
          <w:p w14:paraId="74F7D68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b/>
                <w:bCs/>
                <w:sz w:val="22"/>
              </w:rPr>
            </w:pPr>
            <w:r w:rsidRPr="00731FE2">
              <w:rPr>
                <w:rFonts w:ascii="Times New Roman" w:eastAsia="Times New Roman" w:hAnsi="Times New Roman" w:cs="Times New Roman"/>
                <w:b/>
                <w:bCs/>
                <w:color w:val="000000"/>
                <w:sz w:val="22"/>
              </w:rPr>
              <w:t>2021 г.</w:t>
            </w:r>
          </w:p>
        </w:tc>
        <w:tc>
          <w:tcPr>
            <w:tcW w:w="1127" w:type="dxa"/>
            <w:vMerge w:val="restart"/>
            <w:tcBorders>
              <w:top w:val="single" w:sz="4" w:space="0" w:color="000000"/>
              <w:left w:val="single" w:sz="4" w:space="0" w:color="000000"/>
              <w:bottom w:val="single" w:sz="4" w:space="0" w:color="000000"/>
              <w:right w:val="single" w:sz="4" w:space="0" w:color="000000"/>
            </w:tcBorders>
            <w:shd w:val="clear" w:color="FFFFFF" w:fill="FFFFFF"/>
            <w:noWrap/>
            <w:tcMar>
              <w:top w:w="0" w:type="dxa"/>
              <w:left w:w="108" w:type="dxa"/>
              <w:bottom w:w="0" w:type="dxa"/>
              <w:right w:w="108" w:type="dxa"/>
            </w:tcMar>
            <w:vAlign w:val="center"/>
          </w:tcPr>
          <w:p w14:paraId="62EEDC0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b/>
                <w:bCs/>
                <w:sz w:val="22"/>
              </w:rPr>
            </w:pPr>
            <w:r w:rsidRPr="00731FE2">
              <w:rPr>
                <w:rFonts w:ascii="Times New Roman" w:eastAsia="Times New Roman" w:hAnsi="Times New Roman" w:cs="Times New Roman"/>
                <w:b/>
                <w:bCs/>
                <w:color w:val="000000"/>
                <w:sz w:val="22"/>
              </w:rPr>
              <w:t>2022 г.</w:t>
            </w:r>
          </w:p>
        </w:tc>
        <w:tc>
          <w:tcPr>
            <w:tcW w:w="2693" w:type="dxa"/>
            <w:gridSpan w:val="2"/>
            <w:tcBorders>
              <w:top w:val="single" w:sz="4" w:space="0" w:color="000000"/>
              <w:left w:val="single" w:sz="4" w:space="0" w:color="000000"/>
              <w:bottom w:val="single" w:sz="4" w:space="0" w:color="000000"/>
              <w:right w:val="single" w:sz="4" w:space="0" w:color="000000"/>
            </w:tcBorders>
            <w:shd w:val="clear" w:color="FFFFFF" w:fill="FFFFFF"/>
            <w:tcMar>
              <w:top w:w="0" w:type="dxa"/>
              <w:left w:w="108" w:type="dxa"/>
              <w:bottom w:w="0" w:type="dxa"/>
              <w:right w:w="108" w:type="dxa"/>
            </w:tcMar>
            <w:vAlign w:val="center"/>
          </w:tcPr>
          <w:p w14:paraId="007CD03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b/>
                <w:bCs/>
                <w:sz w:val="22"/>
              </w:rPr>
            </w:pPr>
            <w:r w:rsidRPr="00731FE2">
              <w:rPr>
                <w:rFonts w:ascii="Times New Roman" w:eastAsia="Times New Roman" w:hAnsi="Times New Roman" w:cs="Times New Roman"/>
                <w:b/>
                <w:bCs/>
                <w:color w:val="000000"/>
                <w:sz w:val="22"/>
              </w:rPr>
              <w:t>Динамика</w:t>
            </w:r>
          </w:p>
          <w:p w14:paraId="4F4D951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b/>
                <w:bCs/>
                <w:sz w:val="22"/>
              </w:rPr>
            </w:pPr>
            <w:r w:rsidRPr="00731FE2">
              <w:rPr>
                <w:rFonts w:ascii="Times New Roman" w:eastAsia="Times New Roman" w:hAnsi="Times New Roman" w:cs="Times New Roman"/>
                <w:b/>
                <w:bCs/>
                <w:color w:val="000000"/>
                <w:sz w:val="22"/>
              </w:rPr>
              <w:t>2022 г. к 2020 г.</w:t>
            </w:r>
          </w:p>
        </w:tc>
      </w:tr>
      <w:tr w:rsidR="00171AA8" w:rsidRPr="00731FE2" w14:paraId="7DE773C1" w14:textId="77777777">
        <w:trPr>
          <w:trHeight w:val="300"/>
        </w:trPr>
        <w:tc>
          <w:tcPr>
            <w:tcW w:w="3044" w:type="dxa"/>
            <w:vMerge/>
            <w:tcBorders>
              <w:top w:val="single" w:sz="4" w:space="0" w:color="000000"/>
              <w:left w:val="single" w:sz="4" w:space="0" w:color="000000"/>
              <w:bottom w:val="single" w:sz="4" w:space="0" w:color="000000"/>
              <w:right w:val="single" w:sz="4" w:space="0" w:color="000000"/>
            </w:tcBorders>
          </w:tcPr>
          <w:p w14:paraId="39B061F4" w14:textId="77777777" w:rsidR="00171AA8" w:rsidRPr="00731FE2" w:rsidRDefault="00171AA8"/>
        </w:tc>
        <w:tc>
          <w:tcPr>
            <w:tcW w:w="1245" w:type="dxa"/>
            <w:vMerge/>
            <w:tcBorders>
              <w:top w:val="single" w:sz="4" w:space="0" w:color="000000"/>
              <w:left w:val="single" w:sz="4" w:space="0" w:color="000000"/>
              <w:bottom w:val="single" w:sz="4" w:space="0" w:color="000000"/>
              <w:right w:val="single" w:sz="4" w:space="0" w:color="000000"/>
            </w:tcBorders>
          </w:tcPr>
          <w:p w14:paraId="3EAA9127" w14:textId="77777777" w:rsidR="00171AA8" w:rsidRPr="00731FE2" w:rsidRDefault="00171AA8"/>
        </w:tc>
        <w:tc>
          <w:tcPr>
            <w:tcW w:w="1245" w:type="dxa"/>
            <w:vMerge/>
            <w:tcBorders>
              <w:top w:val="single" w:sz="4" w:space="0" w:color="000000"/>
              <w:left w:val="single" w:sz="4" w:space="0" w:color="000000"/>
              <w:bottom w:val="single" w:sz="4" w:space="0" w:color="000000"/>
              <w:right w:val="single" w:sz="4" w:space="0" w:color="000000"/>
            </w:tcBorders>
          </w:tcPr>
          <w:p w14:paraId="308F51E5" w14:textId="77777777" w:rsidR="00171AA8" w:rsidRPr="00731FE2" w:rsidRDefault="00171AA8"/>
        </w:tc>
        <w:tc>
          <w:tcPr>
            <w:tcW w:w="1127" w:type="dxa"/>
            <w:vMerge/>
            <w:tcBorders>
              <w:top w:val="single" w:sz="4" w:space="0" w:color="000000"/>
              <w:left w:val="single" w:sz="4" w:space="0" w:color="000000"/>
              <w:bottom w:val="single" w:sz="4" w:space="0" w:color="000000"/>
              <w:right w:val="single" w:sz="4" w:space="0" w:color="000000"/>
            </w:tcBorders>
          </w:tcPr>
          <w:p w14:paraId="05459809" w14:textId="77777777" w:rsidR="00171AA8" w:rsidRPr="00731FE2" w:rsidRDefault="00171AA8"/>
        </w:tc>
        <w:tc>
          <w:tcPr>
            <w:tcW w:w="1225" w:type="dxa"/>
            <w:tcBorders>
              <w:top w:val="single" w:sz="4" w:space="0" w:color="000000"/>
              <w:left w:val="single" w:sz="4" w:space="0" w:color="000000"/>
              <w:bottom w:val="single" w:sz="4" w:space="0" w:color="000000"/>
              <w:right w:val="single" w:sz="4" w:space="0" w:color="000000"/>
            </w:tcBorders>
            <w:shd w:val="clear" w:color="FFFFFF" w:fill="FFFFFF"/>
            <w:noWrap/>
            <w:tcMar>
              <w:top w:w="0" w:type="dxa"/>
              <w:left w:w="108" w:type="dxa"/>
              <w:bottom w:w="0" w:type="dxa"/>
              <w:right w:w="108" w:type="dxa"/>
            </w:tcMar>
            <w:vAlign w:val="bottom"/>
          </w:tcPr>
          <w:p w14:paraId="59E63C9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b/>
                <w:bCs/>
                <w:sz w:val="22"/>
              </w:rPr>
            </w:pPr>
            <w:r w:rsidRPr="00731FE2">
              <w:rPr>
                <w:rFonts w:ascii="Times New Roman" w:eastAsia="Times New Roman" w:hAnsi="Times New Roman" w:cs="Times New Roman"/>
                <w:b/>
                <w:bCs/>
                <w:color w:val="000000"/>
                <w:sz w:val="22"/>
              </w:rPr>
              <w:t>в ед.</w:t>
            </w:r>
          </w:p>
        </w:tc>
        <w:tc>
          <w:tcPr>
            <w:tcW w:w="1468" w:type="dxa"/>
            <w:tcBorders>
              <w:top w:val="single" w:sz="4" w:space="0" w:color="000000"/>
              <w:left w:val="single" w:sz="4" w:space="0" w:color="000000"/>
              <w:bottom w:val="single" w:sz="4" w:space="0" w:color="000000"/>
              <w:right w:val="single" w:sz="4" w:space="0" w:color="000000"/>
            </w:tcBorders>
            <w:shd w:val="clear" w:color="FFFFFF" w:fill="FFFFFF"/>
            <w:noWrap/>
            <w:tcMar>
              <w:top w:w="0" w:type="dxa"/>
              <w:left w:w="108" w:type="dxa"/>
              <w:bottom w:w="0" w:type="dxa"/>
              <w:right w:w="108" w:type="dxa"/>
            </w:tcMar>
            <w:vAlign w:val="bottom"/>
          </w:tcPr>
          <w:p w14:paraId="70AED32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b/>
                <w:bCs/>
                <w:sz w:val="22"/>
              </w:rPr>
            </w:pPr>
            <w:r w:rsidRPr="00731FE2">
              <w:rPr>
                <w:rFonts w:ascii="Times New Roman" w:eastAsia="Times New Roman" w:hAnsi="Times New Roman" w:cs="Times New Roman"/>
                <w:b/>
                <w:bCs/>
                <w:color w:val="000000"/>
                <w:sz w:val="22"/>
              </w:rPr>
              <w:t>в %</w:t>
            </w:r>
          </w:p>
        </w:tc>
      </w:tr>
      <w:tr w:rsidR="00171AA8" w:rsidRPr="00731FE2" w14:paraId="5AA48106" w14:textId="77777777">
        <w:trPr>
          <w:trHeight w:val="600"/>
        </w:trPr>
        <w:tc>
          <w:tcPr>
            <w:tcW w:w="3044" w:type="dxa"/>
            <w:tcBorders>
              <w:top w:val="single" w:sz="4" w:space="0" w:color="000000"/>
              <w:left w:val="single" w:sz="4" w:space="0" w:color="000000"/>
              <w:bottom w:val="single" w:sz="4" w:space="0" w:color="000000"/>
              <w:right w:val="single" w:sz="4" w:space="0" w:color="000000"/>
            </w:tcBorders>
            <w:shd w:val="clear" w:color="FFFFFF" w:fill="FFFFFF"/>
            <w:tcMar>
              <w:top w:w="0" w:type="dxa"/>
              <w:left w:w="108" w:type="dxa"/>
              <w:bottom w:w="0" w:type="dxa"/>
              <w:right w:w="108" w:type="dxa"/>
            </w:tcMar>
            <w:vAlign w:val="center"/>
          </w:tcPr>
          <w:p w14:paraId="3350A53B" w14:textId="77777777" w:rsidR="00171AA8" w:rsidRPr="00731FE2" w:rsidRDefault="007935AB">
            <w:pPr>
              <w:pBdr>
                <w:top w:val="none" w:sz="4" w:space="0" w:color="000000"/>
                <w:left w:val="none" w:sz="4" w:space="0" w:color="000000"/>
                <w:bottom w:val="none" w:sz="4" w:space="0" w:color="000000"/>
                <w:right w:val="none" w:sz="4" w:space="0" w:color="000000"/>
              </w:pBdr>
              <w:ind w:firstLine="0"/>
              <w:rPr>
                <w:sz w:val="22"/>
              </w:rPr>
            </w:pPr>
            <w:r w:rsidRPr="00731FE2">
              <w:rPr>
                <w:rFonts w:ascii="Times New Roman" w:eastAsia="Times New Roman" w:hAnsi="Times New Roman" w:cs="Times New Roman"/>
                <w:color w:val="000000"/>
                <w:sz w:val="22"/>
              </w:rPr>
              <w:t>Численность работников средних предприятий</w:t>
            </w:r>
          </w:p>
        </w:tc>
        <w:tc>
          <w:tcPr>
            <w:tcW w:w="1245" w:type="dxa"/>
            <w:tcBorders>
              <w:top w:val="single" w:sz="4" w:space="0" w:color="000000"/>
              <w:left w:val="single" w:sz="4" w:space="0" w:color="000000"/>
              <w:bottom w:val="single" w:sz="4" w:space="0" w:color="000000"/>
              <w:right w:val="single" w:sz="4" w:space="0" w:color="000000"/>
            </w:tcBorders>
            <w:shd w:val="clear" w:color="FFFFFF" w:fill="FFFFFF"/>
            <w:tcMar>
              <w:top w:w="0" w:type="dxa"/>
              <w:left w:w="108" w:type="dxa"/>
              <w:bottom w:w="0" w:type="dxa"/>
              <w:right w:w="108" w:type="dxa"/>
            </w:tcMar>
            <w:vAlign w:val="center"/>
          </w:tcPr>
          <w:p w14:paraId="37DF947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2"/>
              </w:rPr>
            </w:pPr>
            <w:r w:rsidRPr="00731FE2">
              <w:rPr>
                <w:rFonts w:ascii="Times New Roman" w:eastAsia="Times New Roman" w:hAnsi="Times New Roman" w:cs="Times New Roman"/>
                <w:color w:val="000000"/>
                <w:sz w:val="22"/>
              </w:rPr>
              <w:t>1 694</w:t>
            </w:r>
          </w:p>
        </w:tc>
        <w:tc>
          <w:tcPr>
            <w:tcW w:w="1245" w:type="dxa"/>
            <w:tcBorders>
              <w:top w:val="single" w:sz="4" w:space="0" w:color="000000"/>
              <w:left w:val="single" w:sz="4" w:space="0" w:color="000000"/>
              <w:bottom w:val="single" w:sz="4" w:space="0" w:color="000000"/>
              <w:right w:val="single" w:sz="4" w:space="0" w:color="000000"/>
            </w:tcBorders>
            <w:shd w:val="clear" w:color="FFFFFF" w:fill="FFFFFF"/>
            <w:tcMar>
              <w:top w:w="0" w:type="dxa"/>
              <w:left w:w="108" w:type="dxa"/>
              <w:bottom w:w="0" w:type="dxa"/>
              <w:right w:w="108" w:type="dxa"/>
            </w:tcMar>
            <w:vAlign w:val="center"/>
          </w:tcPr>
          <w:p w14:paraId="175040E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2"/>
              </w:rPr>
            </w:pPr>
            <w:r w:rsidRPr="00731FE2">
              <w:rPr>
                <w:rFonts w:ascii="Times New Roman" w:eastAsia="Times New Roman" w:hAnsi="Times New Roman" w:cs="Times New Roman"/>
                <w:color w:val="000000"/>
                <w:sz w:val="22"/>
              </w:rPr>
              <w:t>1 773</w:t>
            </w:r>
          </w:p>
        </w:tc>
        <w:tc>
          <w:tcPr>
            <w:tcW w:w="1127" w:type="dxa"/>
            <w:tcBorders>
              <w:top w:val="single" w:sz="4" w:space="0" w:color="000000"/>
              <w:left w:val="single" w:sz="4" w:space="0" w:color="000000"/>
              <w:bottom w:val="single" w:sz="4" w:space="0" w:color="000000"/>
              <w:right w:val="single" w:sz="4" w:space="0" w:color="000000"/>
            </w:tcBorders>
            <w:shd w:val="clear" w:color="FFFFFF" w:fill="FFFFFF"/>
            <w:noWrap/>
            <w:tcMar>
              <w:top w:w="0" w:type="dxa"/>
              <w:left w:w="108" w:type="dxa"/>
              <w:bottom w:w="0" w:type="dxa"/>
              <w:right w:w="108" w:type="dxa"/>
            </w:tcMar>
            <w:vAlign w:val="center"/>
          </w:tcPr>
          <w:p w14:paraId="7CD687F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2"/>
              </w:rPr>
            </w:pPr>
            <w:r w:rsidRPr="00731FE2">
              <w:rPr>
                <w:rFonts w:ascii="Times New Roman" w:eastAsia="Times New Roman" w:hAnsi="Times New Roman" w:cs="Times New Roman"/>
                <w:color w:val="000000"/>
                <w:sz w:val="22"/>
              </w:rPr>
              <w:t>1 663</w:t>
            </w:r>
          </w:p>
        </w:tc>
        <w:tc>
          <w:tcPr>
            <w:tcW w:w="1225" w:type="dxa"/>
            <w:tcBorders>
              <w:top w:val="single" w:sz="4" w:space="0" w:color="000000"/>
              <w:left w:val="single" w:sz="4" w:space="0" w:color="000000"/>
              <w:bottom w:val="single" w:sz="4" w:space="0" w:color="000000"/>
              <w:right w:val="single" w:sz="4" w:space="0" w:color="000000"/>
            </w:tcBorders>
            <w:shd w:val="clear" w:color="FFFFFF" w:fill="FFFFFF"/>
            <w:noWrap/>
            <w:tcMar>
              <w:top w:w="0" w:type="dxa"/>
              <w:left w:w="108" w:type="dxa"/>
              <w:bottom w:w="0" w:type="dxa"/>
              <w:right w:w="108" w:type="dxa"/>
            </w:tcMar>
            <w:vAlign w:val="center"/>
          </w:tcPr>
          <w:p w14:paraId="4D2A71A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2"/>
              </w:rPr>
            </w:pPr>
            <w:r w:rsidRPr="00731FE2">
              <w:rPr>
                <w:rFonts w:ascii="Times New Roman" w:eastAsia="Times New Roman" w:hAnsi="Times New Roman" w:cs="Times New Roman"/>
                <w:color w:val="000000"/>
                <w:sz w:val="22"/>
              </w:rPr>
              <w:t>-31</w:t>
            </w:r>
          </w:p>
        </w:tc>
        <w:tc>
          <w:tcPr>
            <w:tcW w:w="1468" w:type="dxa"/>
            <w:tcBorders>
              <w:top w:val="single" w:sz="4" w:space="0" w:color="000000"/>
              <w:left w:val="single" w:sz="4" w:space="0" w:color="000000"/>
              <w:bottom w:val="single" w:sz="4" w:space="0" w:color="000000"/>
              <w:right w:val="single" w:sz="4" w:space="0" w:color="000000"/>
            </w:tcBorders>
            <w:shd w:val="clear" w:color="FFFFFF" w:fill="FFFFFF"/>
            <w:noWrap/>
            <w:tcMar>
              <w:top w:w="0" w:type="dxa"/>
              <w:left w:w="108" w:type="dxa"/>
              <w:bottom w:w="0" w:type="dxa"/>
              <w:right w:w="108" w:type="dxa"/>
            </w:tcMar>
            <w:vAlign w:val="center"/>
          </w:tcPr>
          <w:p w14:paraId="705727F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2"/>
              </w:rPr>
            </w:pPr>
            <w:r w:rsidRPr="00731FE2">
              <w:rPr>
                <w:rFonts w:ascii="Times New Roman" w:eastAsia="Times New Roman" w:hAnsi="Times New Roman" w:cs="Times New Roman"/>
                <w:color w:val="000000"/>
                <w:sz w:val="22"/>
              </w:rPr>
              <w:t>98,2</w:t>
            </w:r>
          </w:p>
        </w:tc>
      </w:tr>
      <w:tr w:rsidR="00171AA8" w:rsidRPr="00731FE2" w14:paraId="7D7CF8BF" w14:textId="77777777">
        <w:trPr>
          <w:trHeight w:val="600"/>
        </w:trPr>
        <w:tc>
          <w:tcPr>
            <w:tcW w:w="3044" w:type="dxa"/>
            <w:tcBorders>
              <w:top w:val="single" w:sz="4" w:space="0" w:color="000000"/>
              <w:left w:val="single" w:sz="4" w:space="0" w:color="000000"/>
              <w:bottom w:val="single" w:sz="4" w:space="0" w:color="000000"/>
              <w:right w:val="single" w:sz="4" w:space="0" w:color="000000"/>
            </w:tcBorders>
            <w:shd w:val="clear" w:color="FFFFFF" w:fill="FFFFFF"/>
            <w:tcMar>
              <w:top w:w="0" w:type="dxa"/>
              <w:left w:w="108" w:type="dxa"/>
              <w:bottom w:w="0" w:type="dxa"/>
              <w:right w:w="108" w:type="dxa"/>
            </w:tcMar>
            <w:vAlign w:val="center"/>
          </w:tcPr>
          <w:p w14:paraId="73F6A4CF" w14:textId="77777777" w:rsidR="00171AA8" w:rsidRPr="00731FE2" w:rsidRDefault="007935AB">
            <w:pPr>
              <w:pBdr>
                <w:top w:val="none" w:sz="4" w:space="0" w:color="000000"/>
                <w:left w:val="none" w:sz="4" w:space="0" w:color="000000"/>
                <w:bottom w:val="none" w:sz="4" w:space="0" w:color="000000"/>
                <w:right w:val="none" w:sz="4" w:space="0" w:color="000000"/>
              </w:pBdr>
              <w:ind w:firstLine="0"/>
              <w:rPr>
                <w:sz w:val="22"/>
              </w:rPr>
            </w:pPr>
            <w:r w:rsidRPr="00731FE2">
              <w:rPr>
                <w:rFonts w:ascii="Times New Roman" w:eastAsia="Times New Roman" w:hAnsi="Times New Roman" w:cs="Times New Roman"/>
                <w:color w:val="000000"/>
                <w:sz w:val="22"/>
              </w:rPr>
              <w:t>Численность работников малых предприятий</w:t>
            </w:r>
          </w:p>
        </w:tc>
        <w:tc>
          <w:tcPr>
            <w:tcW w:w="1245" w:type="dxa"/>
            <w:tcBorders>
              <w:top w:val="single" w:sz="4" w:space="0" w:color="000000"/>
              <w:left w:val="single" w:sz="4" w:space="0" w:color="000000"/>
              <w:bottom w:val="single" w:sz="4" w:space="0" w:color="000000"/>
              <w:right w:val="single" w:sz="4" w:space="0" w:color="000000"/>
            </w:tcBorders>
            <w:shd w:val="clear" w:color="FFFFFF" w:fill="FFFFFF"/>
            <w:tcMar>
              <w:top w:w="0" w:type="dxa"/>
              <w:left w:w="108" w:type="dxa"/>
              <w:bottom w:w="0" w:type="dxa"/>
              <w:right w:w="108" w:type="dxa"/>
            </w:tcMar>
            <w:vAlign w:val="center"/>
          </w:tcPr>
          <w:p w14:paraId="581D8D0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2"/>
              </w:rPr>
            </w:pPr>
            <w:r w:rsidRPr="00731FE2">
              <w:rPr>
                <w:rFonts w:ascii="Times New Roman" w:eastAsia="Times New Roman" w:hAnsi="Times New Roman" w:cs="Times New Roman"/>
                <w:color w:val="000000"/>
                <w:sz w:val="22"/>
              </w:rPr>
              <w:t>1 909</w:t>
            </w:r>
          </w:p>
        </w:tc>
        <w:tc>
          <w:tcPr>
            <w:tcW w:w="1245" w:type="dxa"/>
            <w:tcBorders>
              <w:top w:val="single" w:sz="4" w:space="0" w:color="000000"/>
              <w:left w:val="single" w:sz="4" w:space="0" w:color="000000"/>
              <w:bottom w:val="single" w:sz="4" w:space="0" w:color="000000"/>
              <w:right w:val="single" w:sz="4" w:space="0" w:color="000000"/>
            </w:tcBorders>
            <w:shd w:val="clear" w:color="FFFFFF" w:fill="FFFFFF"/>
            <w:tcMar>
              <w:top w:w="0" w:type="dxa"/>
              <w:left w:w="108" w:type="dxa"/>
              <w:bottom w:w="0" w:type="dxa"/>
              <w:right w:w="108" w:type="dxa"/>
            </w:tcMar>
            <w:vAlign w:val="center"/>
          </w:tcPr>
          <w:p w14:paraId="00B88B9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2"/>
              </w:rPr>
            </w:pPr>
            <w:r w:rsidRPr="00731FE2">
              <w:rPr>
                <w:rFonts w:ascii="Times New Roman" w:eastAsia="Times New Roman" w:hAnsi="Times New Roman" w:cs="Times New Roman"/>
                <w:color w:val="000000"/>
                <w:sz w:val="22"/>
              </w:rPr>
              <w:t>1 693</w:t>
            </w:r>
          </w:p>
        </w:tc>
        <w:tc>
          <w:tcPr>
            <w:tcW w:w="1127" w:type="dxa"/>
            <w:tcBorders>
              <w:top w:val="single" w:sz="4" w:space="0" w:color="000000"/>
              <w:left w:val="single" w:sz="4" w:space="0" w:color="000000"/>
              <w:bottom w:val="single" w:sz="4" w:space="0" w:color="000000"/>
              <w:right w:val="single" w:sz="4" w:space="0" w:color="000000"/>
            </w:tcBorders>
            <w:shd w:val="clear" w:color="FFFFFF" w:fill="FFFFFF"/>
            <w:noWrap/>
            <w:tcMar>
              <w:top w:w="0" w:type="dxa"/>
              <w:left w:w="108" w:type="dxa"/>
              <w:bottom w:w="0" w:type="dxa"/>
              <w:right w:w="108" w:type="dxa"/>
            </w:tcMar>
            <w:vAlign w:val="center"/>
          </w:tcPr>
          <w:p w14:paraId="42CF898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2"/>
              </w:rPr>
            </w:pPr>
            <w:r w:rsidRPr="00731FE2">
              <w:rPr>
                <w:rFonts w:ascii="Times New Roman" w:eastAsia="Times New Roman" w:hAnsi="Times New Roman" w:cs="Times New Roman"/>
                <w:color w:val="000000"/>
                <w:sz w:val="22"/>
              </w:rPr>
              <w:t>1 845</w:t>
            </w:r>
          </w:p>
        </w:tc>
        <w:tc>
          <w:tcPr>
            <w:tcW w:w="1225" w:type="dxa"/>
            <w:tcBorders>
              <w:top w:val="single" w:sz="4" w:space="0" w:color="000000"/>
              <w:left w:val="single" w:sz="4" w:space="0" w:color="000000"/>
              <w:bottom w:val="single" w:sz="4" w:space="0" w:color="000000"/>
              <w:right w:val="single" w:sz="4" w:space="0" w:color="000000"/>
            </w:tcBorders>
            <w:shd w:val="clear" w:color="FFFFFF" w:fill="FFFFFF"/>
            <w:noWrap/>
            <w:tcMar>
              <w:top w:w="0" w:type="dxa"/>
              <w:left w:w="108" w:type="dxa"/>
              <w:bottom w:w="0" w:type="dxa"/>
              <w:right w:w="108" w:type="dxa"/>
            </w:tcMar>
            <w:vAlign w:val="center"/>
          </w:tcPr>
          <w:p w14:paraId="2EDBD4F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2"/>
              </w:rPr>
            </w:pPr>
            <w:r w:rsidRPr="00731FE2">
              <w:rPr>
                <w:rFonts w:ascii="Times New Roman" w:eastAsia="Times New Roman" w:hAnsi="Times New Roman" w:cs="Times New Roman"/>
                <w:color w:val="000000"/>
                <w:sz w:val="22"/>
              </w:rPr>
              <w:t>-64</w:t>
            </w:r>
          </w:p>
        </w:tc>
        <w:tc>
          <w:tcPr>
            <w:tcW w:w="1468" w:type="dxa"/>
            <w:tcBorders>
              <w:top w:val="single" w:sz="4" w:space="0" w:color="000000"/>
              <w:left w:val="single" w:sz="4" w:space="0" w:color="000000"/>
              <w:bottom w:val="single" w:sz="4" w:space="0" w:color="000000"/>
              <w:right w:val="single" w:sz="4" w:space="0" w:color="000000"/>
            </w:tcBorders>
            <w:shd w:val="clear" w:color="FFFFFF" w:fill="FFFFFF"/>
            <w:noWrap/>
            <w:tcMar>
              <w:top w:w="0" w:type="dxa"/>
              <w:left w:w="108" w:type="dxa"/>
              <w:bottom w:w="0" w:type="dxa"/>
              <w:right w:w="108" w:type="dxa"/>
            </w:tcMar>
            <w:vAlign w:val="center"/>
          </w:tcPr>
          <w:p w14:paraId="4284D8C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2"/>
              </w:rPr>
            </w:pPr>
            <w:r w:rsidRPr="00731FE2">
              <w:rPr>
                <w:rFonts w:ascii="Times New Roman" w:eastAsia="Times New Roman" w:hAnsi="Times New Roman" w:cs="Times New Roman"/>
                <w:color w:val="000000"/>
                <w:sz w:val="22"/>
              </w:rPr>
              <w:t>96,6</w:t>
            </w:r>
          </w:p>
        </w:tc>
      </w:tr>
      <w:tr w:rsidR="00171AA8" w:rsidRPr="00731FE2" w14:paraId="3F2BD4EC" w14:textId="77777777">
        <w:trPr>
          <w:trHeight w:val="600"/>
        </w:trPr>
        <w:tc>
          <w:tcPr>
            <w:tcW w:w="3044" w:type="dxa"/>
            <w:tcBorders>
              <w:top w:val="single" w:sz="4" w:space="0" w:color="000000"/>
              <w:left w:val="single" w:sz="4" w:space="0" w:color="000000"/>
              <w:bottom w:val="single" w:sz="4" w:space="0" w:color="000000"/>
              <w:right w:val="single" w:sz="4" w:space="0" w:color="000000"/>
            </w:tcBorders>
            <w:shd w:val="clear" w:color="FFFFFF" w:fill="FFFFFF"/>
            <w:tcMar>
              <w:top w:w="0" w:type="dxa"/>
              <w:left w:w="108" w:type="dxa"/>
              <w:bottom w:w="0" w:type="dxa"/>
              <w:right w:w="108" w:type="dxa"/>
            </w:tcMar>
            <w:vAlign w:val="center"/>
          </w:tcPr>
          <w:p w14:paraId="3E5FA8E7" w14:textId="77777777" w:rsidR="00171AA8" w:rsidRPr="00731FE2" w:rsidRDefault="007935AB">
            <w:pPr>
              <w:pBdr>
                <w:top w:val="none" w:sz="4" w:space="0" w:color="000000"/>
                <w:left w:val="none" w:sz="4" w:space="0" w:color="000000"/>
                <w:bottom w:val="none" w:sz="4" w:space="0" w:color="000000"/>
                <w:right w:val="none" w:sz="4" w:space="0" w:color="000000"/>
              </w:pBdr>
              <w:ind w:firstLine="0"/>
              <w:rPr>
                <w:sz w:val="22"/>
              </w:rPr>
            </w:pPr>
            <w:r w:rsidRPr="00731FE2">
              <w:rPr>
                <w:rFonts w:ascii="Times New Roman" w:eastAsia="Times New Roman" w:hAnsi="Times New Roman" w:cs="Times New Roman"/>
                <w:color w:val="000000"/>
                <w:sz w:val="22"/>
              </w:rPr>
              <w:lastRenderedPageBreak/>
              <w:t xml:space="preserve">Численность работников </w:t>
            </w:r>
            <w:r w:rsidR="0052190C" w:rsidRPr="00731FE2">
              <w:rPr>
                <w:rFonts w:ascii="Times New Roman" w:eastAsia="Times New Roman" w:hAnsi="Times New Roman" w:cs="Times New Roman"/>
                <w:color w:val="000000"/>
                <w:sz w:val="22"/>
              </w:rPr>
              <w:t>микропредприятий</w:t>
            </w:r>
          </w:p>
        </w:tc>
        <w:tc>
          <w:tcPr>
            <w:tcW w:w="1245" w:type="dxa"/>
            <w:tcBorders>
              <w:top w:val="single" w:sz="4" w:space="0" w:color="000000"/>
              <w:left w:val="single" w:sz="4" w:space="0" w:color="000000"/>
              <w:bottom w:val="single" w:sz="4" w:space="0" w:color="000000"/>
              <w:right w:val="single" w:sz="4" w:space="0" w:color="000000"/>
            </w:tcBorders>
            <w:shd w:val="clear" w:color="FFFFFF" w:fill="FFFFFF"/>
            <w:tcMar>
              <w:top w:w="0" w:type="dxa"/>
              <w:left w:w="108" w:type="dxa"/>
              <w:bottom w:w="0" w:type="dxa"/>
              <w:right w:w="108" w:type="dxa"/>
            </w:tcMar>
            <w:vAlign w:val="center"/>
          </w:tcPr>
          <w:p w14:paraId="76DF86F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2"/>
              </w:rPr>
            </w:pPr>
            <w:r w:rsidRPr="00731FE2">
              <w:rPr>
                <w:rFonts w:ascii="Times New Roman" w:eastAsia="Times New Roman" w:hAnsi="Times New Roman" w:cs="Times New Roman"/>
                <w:color w:val="000000"/>
                <w:sz w:val="22"/>
              </w:rPr>
              <w:t>2 758</w:t>
            </w:r>
          </w:p>
        </w:tc>
        <w:tc>
          <w:tcPr>
            <w:tcW w:w="1245" w:type="dxa"/>
            <w:tcBorders>
              <w:top w:val="single" w:sz="4" w:space="0" w:color="000000"/>
              <w:left w:val="single" w:sz="4" w:space="0" w:color="000000"/>
              <w:bottom w:val="single" w:sz="4" w:space="0" w:color="000000"/>
              <w:right w:val="single" w:sz="4" w:space="0" w:color="000000"/>
            </w:tcBorders>
            <w:shd w:val="clear" w:color="FFFFFF" w:fill="FFFFFF"/>
            <w:tcMar>
              <w:top w:w="0" w:type="dxa"/>
              <w:left w:w="108" w:type="dxa"/>
              <w:bottom w:w="0" w:type="dxa"/>
              <w:right w:w="108" w:type="dxa"/>
            </w:tcMar>
            <w:vAlign w:val="center"/>
          </w:tcPr>
          <w:p w14:paraId="7848FAB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2"/>
              </w:rPr>
            </w:pPr>
            <w:r w:rsidRPr="00731FE2">
              <w:rPr>
                <w:rFonts w:ascii="Times New Roman" w:eastAsia="Times New Roman" w:hAnsi="Times New Roman" w:cs="Times New Roman"/>
                <w:color w:val="000000"/>
                <w:sz w:val="22"/>
              </w:rPr>
              <w:t>2 498</w:t>
            </w:r>
          </w:p>
        </w:tc>
        <w:tc>
          <w:tcPr>
            <w:tcW w:w="1127" w:type="dxa"/>
            <w:tcBorders>
              <w:top w:val="single" w:sz="4" w:space="0" w:color="000000"/>
              <w:left w:val="single" w:sz="4" w:space="0" w:color="000000"/>
              <w:bottom w:val="single" w:sz="4" w:space="0" w:color="000000"/>
              <w:right w:val="single" w:sz="4" w:space="0" w:color="000000"/>
            </w:tcBorders>
            <w:shd w:val="clear" w:color="FFFFFF" w:fill="FFFFFF"/>
            <w:noWrap/>
            <w:tcMar>
              <w:top w:w="0" w:type="dxa"/>
              <w:left w:w="108" w:type="dxa"/>
              <w:bottom w:w="0" w:type="dxa"/>
              <w:right w:w="108" w:type="dxa"/>
            </w:tcMar>
            <w:vAlign w:val="center"/>
          </w:tcPr>
          <w:p w14:paraId="22C7CBD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2"/>
              </w:rPr>
            </w:pPr>
            <w:r w:rsidRPr="00731FE2">
              <w:rPr>
                <w:rFonts w:ascii="Times New Roman" w:eastAsia="Times New Roman" w:hAnsi="Times New Roman" w:cs="Times New Roman"/>
                <w:color w:val="000000"/>
                <w:sz w:val="22"/>
              </w:rPr>
              <w:t>2 300</w:t>
            </w:r>
          </w:p>
        </w:tc>
        <w:tc>
          <w:tcPr>
            <w:tcW w:w="1225" w:type="dxa"/>
            <w:tcBorders>
              <w:top w:val="single" w:sz="4" w:space="0" w:color="000000"/>
              <w:left w:val="single" w:sz="4" w:space="0" w:color="000000"/>
              <w:bottom w:val="single" w:sz="4" w:space="0" w:color="000000"/>
              <w:right w:val="single" w:sz="4" w:space="0" w:color="000000"/>
            </w:tcBorders>
            <w:shd w:val="clear" w:color="FFFFFF" w:fill="FFFFFF"/>
            <w:noWrap/>
            <w:tcMar>
              <w:top w:w="0" w:type="dxa"/>
              <w:left w:w="108" w:type="dxa"/>
              <w:bottom w:w="0" w:type="dxa"/>
              <w:right w:w="108" w:type="dxa"/>
            </w:tcMar>
            <w:vAlign w:val="center"/>
          </w:tcPr>
          <w:p w14:paraId="65E41DA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2"/>
              </w:rPr>
            </w:pPr>
            <w:r w:rsidRPr="00731FE2">
              <w:rPr>
                <w:rFonts w:ascii="Times New Roman" w:eastAsia="Times New Roman" w:hAnsi="Times New Roman" w:cs="Times New Roman"/>
                <w:color w:val="000000"/>
                <w:sz w:val="22"/>
              </w:rPr>
              <w:t>-458</w:t>
            </w:r>
          </w:p>
        </w:tc>
        <w:tc>
          <w:tcPr>
            <w:tcW w:w="1468" w:type="dxa"/>
            <w:tcBorders>
              <w:top w:val="single" w:sz="4" w:space="0" w:color="000000"/>
              <w:left w:val="single" w:sz="4" w:space="0" w:color="000000"/>
              <w:bottom w:val="single" w:sz="4" w:space="0" w:color="000000"/>
              <w:right w:val="single" w:sz="4" w:space="0" w:color="000000"/>
            </w:tcBorders>
            <w:shd w:val="clear" w:color="FFFFFF" w:fill="FFFFFF"/>
            <w:noWrap/>
            <w:tcMar>
              <w:top w:w="0" w:type="dxa"/>
              <w:left w:w="108" w:type="dxa"/>
              <w:bottom w:w="0" w:type="dxa"/>
              <w:right w:w="108" w:type="dxa"/>
            </w:tcMar>
            <w:vAlign w:val="center"/>
          </w:tcPr>
          <w:p w14:paraId="7B53212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2"/>
              </w:rPr>
            </w:pPr>
            <w:r w:rsidRPr="00731FE2">
              <w:rPr>
                <w:rFonts w:ascii="Times New Roman" w:eastAsia="Times New Roman" w:hAnsi="Times New Roman" w:cs="Times New Roman"/>
                <w:color w:val="000000"/>
                <w:sz w:val="22"/>
              </w:rPr>
              <w:t>83,4</w:t>
            </w:r>
          </w:p>
        </w:tc>
      </w:tr>
      <w:tr w:rsidR="00171AA8" w:rsidRPr="00731FE2" w14:paraId="0B276578" w14:textId="77777777">
        <w:trPr>
          <w:trHeight w:val="300"/>
        </w:trPr>
        <w:tc>
          <w:tcPr>
            <w:tcW w:w="3044" w:type="dxa"/>
            <w:tcBorders>
              <w:top w:val="single" w:sz="4" w:space="0" w:color="000000"/>
              <w:left w:val="single" w:sz="4" w:space="0" w:color="000000"/>
              <w:bottom w:val="single" w:sz="4" w:space="0" w:color="000000"/>
              <w:right w:val="single" w:sz="4" w:space="0" w:color="000000"/>
            </w:tcBorders>
            <w:shd w:val="clear" w:color="FFFFFF" w:fill="FFFFFF"/>
            <w:tcMar>
              <w:top w:w="0" w:type="dxa"/>
              <w:left w:w="108" w:type="dxa"/>
              <w:bottom w:w="0" w:type="dxa"/>
              <w:right w:w="108" w:type="dxa"/>
            </w:tcMar>
            <w:vAlign w:val="bottom"/>
          </w:tcPr>
          <w:p w14:paraId="0F94300A" w14:textId="77777777" w:rsidR="00171AA8" w:rsidRPr="00731FE2" w:rsidRDefault="007935AB">
            <w:pPr>
              <w:pBdr>
                <w:top w:val="none" w:sz="4" w:space="0" w:color="000000"/>
                <w:left w:val="none" w:sz="4" w:space="0" w:color="000000"/>
                <w:bottom w:val="none" w:sz="4" w:space="0" w:color="000000"/>
                <w:right w:val="none" w:sz="4" w:space="0" w:color="000000"/>
              </w:pBdr>
              <w:ind w:firstLine="0"/>
              <w:rPr>
                <w:sz w:val="22"/>
              </w:rPr>
            </w:pPr>
            <w:r w:rsidRPr="00731FE2">
              <w:rPr>
                <w:rFonts w:ascii="Times New Roman" w:eastAsia="Times New Roman" w:hAnsi="Times New Roman" w:cs="Times New Roman"/>
                <w:color w:val="000000"/>
                <w:sz w:val="22"/>
              </w:rPr>
              <w:t>Индивидуальные предприниматели</w:t>
            </w:r>
          </w:p>
        </w:tc>
        <w:tc>
          <w:tcPr>
            <w:tcW w:w="1245" w:type="dxa"/>
            <w:tcBorders>
              <w:top w:val="single" w:sz="4" w:space="0" w:color="000000"/>
              <w:left w:val="single" w:sz="4" w:space="0" w:color="000000"/>
              <w:bottom w:val="single" w:sz="4" w:space="0" w:color="000000"/>
              <w:right w:val="single" w:sz="4" w:space="0" w:color="000000"/>
            </w:tcBorders>
            <w:shd w:val="clear" w:color="FFFFFF" w:fill="FFFFFF"/>
            <w:tcMar>
              <w:top w:w="0" w:type="dxa"/>
              <w:left w:w="108" w:type="dxa"/>
              <w:bottom w:w="0" w:type="dxa"/>
              <w:right w:w="108" w:type="dxa"/>
            </w:tcMar>
            <w:vAlign w:val="center"/>
          </w:tcPr>
          <w:p w14:paraId="43039BF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2"/>
              </w:rPr>
            </w:pPr>
            <w:r w:rsidRPr="00731FE2">
              <w:rPr>
                <w:rFonts w:ascii="Times New Roman" w:eastAsia="Times New Roman" w:hAnsi="Times New Roman" w:cs="Times New Roman"/>
                <w:color w:val="000000"/>
                <w:sz w:val="22"/>
              </w:rPr>
              <w:t>3 212</w:t>
            </w:r>
          </w:p>
        </w:tc>
        <w:tc>
          <w:tcPr>
            <w:tcW w:w="1245" w:type="dxa"/>
            <w:tcBorders>
              <w:top w:val="single" w:sz="4" w:space="0" w:color="000000"/>
              <w:left w:val="single" w:sz="4" w:space="0" w:color="000000"/>
              <w:bottom w:val="single" w:sz="4" w:space="0" w:color="000000"/>
              <w:right w:val="single" w:sz="4" w:space="0" w:color="000000"/>
            </w:tcBorders>
            <w:shd w:val="clear" w:color="FFFFFF" w:fill="FFFFFF"/>
            <w:tcMar>
              <w:top w:w="0" w:type="dxa"/>
              <w:left w:w="108" w:type="dxa"/>
              <w:bottom w:w="0" w:type="dxa"/>
              <w:right w:w="108" w:type="dxa"/>
            </w:tcMar>
            <w:vAlign w:val="center"/>
          </w:tcPr>
          <w:p w14:paraId="7C84272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2"/>
              </w:rPr>
            </w:pPr>
            <w:r w:rsidRPr="00731FE2">
              <w:rPr>
                <w:rFonts w:ascii="Times New Roman" w:eastAsia="Times New Roman" w:hAnsi="Times New Roman" w:cs="Times New Roman"/>
                <w:color w:val="000000"/>
                <w:sz w:val="22"/>
              </w:rPr>
              <w:t>3 156</w:t>
            </w:r>
          </w:p>
        </w:tc>
        <w:tc>
          <w:tcPr>
            <w:tcW w:w="1127" w:type="dxa"/>
            <w:tcBorders>
              <w:top w:val="single" w:sz="4" w:space="0" w:color="000000"/>
              <w:left w:val="single" w:sz="4" w:space="0" w:color="000000"/>
              <w:bottom w:val="single" w:sz="4" w:space="0" w:color="000000"/>
              <w:right w:val="single" w:sz="4" w:space="0" w:color="000000"/>
            </w:tcBorders>
            <w:shd w:val="clear" w:color="FFFFFF" w:fill="FFFFFF"/>
            <w:noWrap/>
            <w:tcMar>
              <w:top w:w="0" w:type="dxa"/>
              <w:left w:w="108" w:type="dxa"/>
              <w:bottom w:w="0" w:type="dxa"/>
              <w:right w:w="108" w:type="dxa"/>
            </w:tcMar>
            <w:vAlign w:val="center"/>
          </w:tcPr>
          <w:p w14:paraId="74DDFE3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2"/>
              </w:rPr>
            </w:pPr>
            <w:r w:rsidRPr="00731FE2">
              <w:rPr>
                <w:rFonts w:ascii="Times New Roman" w:eastAsia="Times New Roman" w:hAnsi="Times New Roman" w:cs="Times New Roman"/>
                <w:color w:val="000000"/>
                <w:sz w:val="22"/>
              </w:rPr>
              <w:t>3 060</w:t>
            </w:r>
          </w:p>
        </w:tc>
        <w:tc>
          <w:tcPr>
            <w:tcW w:w="1225" w:type="dxa"/>
            <w:tcBorders>
              <w:top w:val="single" w:sz="4" w:space="0" w:color="000000"/>
              <w:left w:val="single" w:sz="4" w:space="0" w:color="000000"/>
              <w:bottom w:val="single" w:sz="4" w:space="0" w:color="000000"/>
              <w:right w:val="single" w:sz="4" w:space="0" w:color="000000"/>
            </w:tcBorders>
            <w:shd w:val="clear" w:color="FFFFFF" w:fill="FFFFFF"/>
            <w:noWrap/>
            <w:tcMar>
              <w:top w:w="0" w:type="dxa"/>
              <w:left w:w="108" w:type="dxa"/>
              <w:bottom w:w="0" w:type="dxa"/>
              <w:right w:w="108" w:type="dxa"/>
            </w:tcMar>
            <w:vAlign w:val="center"/>
          </w:tcPr>
          <w:p w14:paraId="036F880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2"/>
              </w:rPr>
            </w:pPr>
            <w:r w:rsidRPr="00731FE2">
              <w:rPr>
                <w:rFonts w:ascii="Times New Roman" w:eastAsia="Times New Roman" w:hAnsi="Times New Roman" w:cs="Times New Roman"/>
                <w:color w:val="000000"/>
                <w:sz w:val="22"/>
              </w:rPr>
              <w:t>-152</w:t>
            </w:r>
          </w:p>
        </w:tc>
        <w:tc>
          <w:tcPr>
            <w:tcW w:w="1468" w:type="dxa"/>
            <w:tcBorders>
              <w:top w:val="single" w:sz="4" w:space="0" w:color="000000"/>
              <w:left w:val="single" w:sz="4" w:space="0" w:color="000000"/>
              <w:bottom w:val="single" w:sz="4" w:space="0" w:color="000000"/>
              <w:right w:val="single" w:sz="4" w:space="0" w:color="000000"/>
            </w:tcBorders>
            <w:shd w:val="clear" w:color="FFFFFF" w:fill="FFFFFF"/>
            <w:noWrap/>
            <w:tcMar>
              <w:top w:w="0" w:type="dxa"/>
              <w:left w:w="108" w:type="dxa"/>
              <w:bottom w:w="0" w:type="dxa"/>
              <w:right w:w="108" w:type="dxa"/>
            </w:tcMar>
            <w:vAlign w:val="center"/>
          </w:tcPr>
          <w:p w14:paraId="68C2905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2"/>
              </w:rPr>
            </w:pPr>
            <w:r w:rsidRPr="00731FE2">
              <w:rPr>
                <w:rFonts w:ascii="Times New Roman" w:eastAsia="Times New Roman" w:hAnsi="Times New Roman" w:cs="Times New Roman"/>
                <w:color w:val="000000"/>
                <w:sz w:val="22"/>
              </w:rPr>
              <w:t>95,3</w:t>
            </w:r>
          </w:p>
        </w:tc>
      </w:tr>
      <w:tr w:rsidR="00171AA8" w:rsidRPr="00731FE2" w14:paraId="18649D2C" w14:textId="77777777">
        <w:trPr>
          <w:trHeight w:val="600"/>
        </w:trPr>
        <w:tc>
          <w:tcPr>
            <w:tcW w:w="3044" w:type="dxa"/>
            <w:tcBorders>
              <w:top w:val="single" w:sz="4" w:space="0" w:color="000000"/>
              <w:left w:val="single" w:sz="4" w:space="0" w:color="000000"/>
              <w:bottom w:val="single" w:sz="4" w:space="0" w:color="000000"/>
              <w:right w:val="single" w:sz="4" w:space="0" w:color="000000"/>
            </w:tcBorders>
            <w:shd w:val="clear" w:color="FFFFFF" w:fill="FFFFFF"/>
            <w:tcMar>
              <w:top w:w="0" w:type="dxa"/>
              <w:left w:w="108" w:type="dxa"/>
              <w:bottom w:w="0" w:type="dxa"/>
              <w:right w:w="108" w:type="dxa"/>
            </w:tcMar>
            <w:vAlign w:val="center"/>
          </w:tcPr>
          <w:p w14:paraId="016C719B" w14:textId="77777777" w:rsidR="00171AA8" w:rsidRPr="00731FE2" w:rsidRDefault="007935AB">
            <w:pPr>
              <w:pBdr>
                <w:top w:val="none" w:sz="4" w:space="0" w:color="000000"/>
                <w:left w:val="none" w:sz="4" w:space="0" w:color="000000"/>
                <w:bottom w:val="none" w:sz="4" w:space="0" w:color="000000"/>
                <w:right w:val="none" w:sz="4" w:space="0" w:color="000000"/>
              </w:pBdr>
              <w:ind w:firstLine="0"/>
              <w:rPr>
                <w:sz w:val="22"/>
              </w:rPr>
            </w:pPr>
            <w:r w:rsidRPr="00731FE2">
              <w:rPr>
                <w:rFonts w:ascii="Times New Roman" w:eastAsia="Times New Roman" w:hAnsi="Times New Roman" w:cs="Times New Roman"/>
                <w:color w:val="000000"/>
                <w:sz w:val="22"/>
              </w:rPr>
              <w:t xml:space="preserve">Численность работников у индивидуальных предпринимателей </w:t>
            </w:r>
          </w:p>
        </w:tc>
        <w:tc>
          <w:tcPr>
            <w:tcW w:w="1245" w:type="dxa"/>
            <w:tcBorders>
              <w:top w:val="single" w:sz="4" w:space="0" w:color="000000"/>
              <w:left w:val="single" w:sz="4" w:space="0" w:color="000000"/>
              <w:bottom w:val="single" w:sz="4" w:space="0" w:color="000000"/>
              <w:right w:val="single" w:sz="4" w:space="0" w:color="000000"/>
            </w:tcBorders>
            <w:shd w:val="clear" w:color="FFFFFF" w:fill="FFFFFF"/>
            <w:tcMar>
              <w:top w:w="0" w:type="dxa"/>
              <w:left w:w="108" w:type="dxa"/>
              <w:bottom w:w="0" w:type="dxa"/>
              <w:right w:w="108" w:type="dxa"/>
            </w:tcMar>
            <w:vAlign w:val="center"/>
          </w:tcPr>
          <w:p w14:paraId="384F05F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2"/>
              </w:rPr>
            </w:pPr>
            <w:r w:rsidRPr="00731FE2">
              <w:rPr>
                <w:rFonts w:ascii="Times New Roman" w:eastAsia="Times New Roman" w:hAnsi="Times New Roman" w:cs="Times New Roman"/>
                <w:color w:val="000000"/>
                <w:sz w:val="22"/>
              </w:rPr>
              <w:t>2 176</w:t>
            </w:r>
          </w:p>
        </w:tc>
        <w:tc>
          <w:tcPr>
            <w:tcW w:w="1245" w:type="dxa"/>
            <w:tcBorders>
              <w:top w:val="single" w:sz="4" w:space="0" w:color="000000"/>
              <w:left w:val="single" w:sz="4" w:space="0" w:color="000000"/>
              <w:bottom w:val="single" w:sz="4" w:space="0" w:color="000000"/>
              <w:right w:val="single" w:sz="4" w:space="0" w:color="000000"/>
            </w:tcBorders>
            <w:shd w:val="clear" w:color="FFFFFF" w:fill="FFFFFF"/>
            <w:tcMar>
              <w:top w:w="0" w:type="dxa"/>
              <w:left w:w="108" w:type="dxa"/>
              <w:bottom w:w="0" w:type="dxa"/>
              <w:right w:w="108" w:type="dxa"/>
            </w:tcMar>
            <w:vAlign w:val="center"/>
          </w:tcPr>
          <w:p w14:paraId="4AA40F6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2"/>
              </w:rPr>
            </w:pPr>
            <w:r w:rsidRPr="00731FE2">
              <w:rPr>
                <w:rFonts w:ascii="Times New Roman" w:eastAsia="Times New Roman" w:hAnsi="Times New Roman" w:cs="Times New Roman"/>
                <w:color w:val="000000"/>
                <w:sz w:val="22"/>
              </w:rPr>
              <w:t>1 751</w:t>
            </w:r>
          </w:p>
        </w:tc>
        <w:tc>
          <w:tcPr>
            <w:tcW w:w="1127" w:type="dxa"/>
            <w:tcBorders>
              <w:top w:val="single" w:sz="4" w:space="0" w:color="000000"/>
              <w:left w:val="single" w:sz="4" w:space="0" w:color="000000"/>
              <w:bottom w:val="single" w:sz="4" w:space="0" w:color="000000"/>
              <w:right w:val="single" w:sz="4" w:space="0" w:color="000000"/>
            </w:tcBorders>
            <w:shd w:val="clear" w:color="FFFFFF" w:fill="FFFFFF"/>
            <w:noWrap/>
            <w:tcMar>
              <w:top w:w="0" w:type="dxa"/>
              <w:left w:w="108" w:type="dxa"/>
              <w:bottom w:w="0" w:type="dxa"/>
              <w:right w:w="108" w:type="dxa"/>
            </w:tcMar>
            <w:vAlign w:val="center"/>
          </w:tcPr>
          <w:p w14:paraId="12F086D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2"/>
              </w:rPr>
            </w:pPr>
            <w:r w:rsidRPr="00731FE2">
              <w:rPr>
                <w:rFonts w:ascii="Times New Roman" w:eastAsia="Times New Roman" w:hAnsi="Times New Roman" w:cs="Times New Roman"/>
                <w:color w:val="000000"/>
                <w:sz w:val="22"/>
              </w:rPr>
              <w:t>2 646</w:t>
            </w:r>
          </w:p>
        </w:tc>
        <w:tc>
          <w:tcPr>
            <w:tcW w:w="1225" w:type="dxa"/>
            <w:tcBorders>
              <w:top w:val="single" w:sz="4" w:space="0" w:color="000000"/>
              <w:left w:val="single" w:sz="4" w:space="0" w:color="000000"/>
              <w:bottom w:val="single" w:sz="4" w:space="0" w:color="000000"/>
              <w:right w:val="single" w:sz="4" w:space="0" w:color="000000"/>
            </w:tcBorders>
            <w:shd w:val="clear" w:color="FFFFFF" w:fill="FFFFFF"/>
            <w:noWrap/>
            <w:tcMar>
              <w:top w:w="0" w:type="dxa"/>
              <w:left w:w="108" w:type="dxa"/>
              <w:bottom w:w="0" w:type="dxa"/>
              <w:right w:w="108" w:type="dxa"/>
            </w:tcMar>
            <w:vAlign w:val="center"/>
          </w:tcPr>
          <w:p w14:paraId="3072A3F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2"/>
              </w:rPr>
            </w:pPr>
            <w:r w:rsidRPr="00731FE2">
              <w:rPr>
                <w:rFonts w:ascii="Times New Roman" w:eastAsia="Times New Roman" w:hAnsi="Times New Roman" w:cs="Times New Roman"/>
                <w:color w:val="000000"/>
                <w:sz w:val="22"/>
              </w:rPr>
              <w:t>470</w:t>
            </w:r>
          </w:p>
        </w:tc>
        <w:tc>
          <w:tcPr>
            <w:tcW w:w="1468" w:type="dxa"/>
            <w:tcBorders>
              <w:top w:val="single" w:sz="4" w:space="0" w:color="000000"/>
              <w:left w:val="single" w:sz="4" w:space="0" w:color="000000"/>
              <w:bottom w:val="single" w:sz="4" w:space="0" w:color="000000"/>
              <w:right w:val="single" w:sz="4" w:space="0" w:color="000000"/>
            </w:tcBorders>
            <w:shd w:val="clear" w:color="FFFFFF" w:fill="FFFFFF"/>
            <w:noWrap/>
            <w:tcMar>
              <w:top w:w="0" w:type="dxa"/>
              <w:left w:w="108" w:type="dxa"/>
              <w:bottom w:w="0" w:type="dxa"/>
              <w:right w:w="108" w:type="dxa"/>
            </w:tcMar>
            <w:vAlign w:val="center"/>
          </w:tcPr>
          <w:p w14:paraId="39088F0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2"/>
              </w:rPr>
            </w:pPr>
            <w:r w:rsidRPr="00731FE2">
              <w:rPr>
                <w:rFonts w:ascii="Times New Roman" w:eastAsia="Times New Roman" w:hAnsi="Times New Roman" w:cs="Times New Roman"/>
                <w:color w:val="000000"/>
                <w:sz w:val="22"/>
              </w:rPr>
              <w:t>121,6</w:t>
            </w:r>
          </w:p>
        </w:tc>
      </w:tr>
      <w:tr w:rsidR="00171AA8" w:rsidRPr="00731FE2" w14:paraId="34392863" w14:textId="77777777">
        <w:trPr>
          <w:trHeight w:val="600"/>
        </w:trPr>
        <w:tc>
          <w:tcPr>
            <w:tcW w:w="3044" w:type="dxa"/>
            <w:tcBorders>
              <w:top w:val="single" w:sz="4" w:space="0" w:color="000000"/>
              <w:left w:val="single" w:sz="4" w:space="0" w:color="000000"/>
              <w:bottom w:val="single" w:sz="4" w:space="0" w:color="000000"/>
              <w:right w:val="single" w:sz="4" w:space="0" w:color="000000"/>
            </w:tcBorders>
            <w:shd w:val="clear" w:color="FFFFFF" w:fill="FFFFFF"/>
            <w:tcMar>
              <w:top w:w="0" w:type="dxa"/>
              <w:left w:w="108" w:type="dxa"/>
              <w:bottom w:w="0" w:type="dxa"/>
              <w:right w:w="108" w:type="dxa"/>
            </w:tcMar>
            <w:vAlign w:val="bottom"/>
          </w:tcPr>
          <w:p w14:paraId="66EE6458" w14:textId="77777777" w:rsidR="00171AA8" w:rsidRPr="00731FE2" w:rsidRDefault="007935AB">
            <w:pPr>
              <w:pBdr>
                <w:top w:val="none" w:sz="4" w:space="0" w:color="000000"/>
                <w:left w:val="none" w:sz="4" w:space="0" w:color="000000"/>
                <w:bottom w:val="none" w:sz="4" w:space="0" w:color="000000"/>
                <w:right w:val="none" w:sz="4" w:space="0" w:color="000000"/>
              </w:pBdr>
              <w:ind w:firstLine="0"/>
              <w:rPr>
                <w:sz w:val="22"/>
              </w:rPr>
            </w:pPr>
            <w:r w:rsidRPr="00731FE2">
              <w:rPr>
                <w:rFonts w:ascii="Times New Roman" w:eastAsia="Times New Roman" w:hAnsi="Times New Roman" w:cs="Times New Roman"/>
                <w:color w:val="000000"/>
                <w:sz w:val="22"/>
              </w:rPr>
              <w:t>Главы крестьянско-фермерских хозяйств</w:t>
            </w:r>
          </w:p>
        </w:tc>
        <w:tc>
          <w:tcPr>
            <w:tcW w:w="1245" w:type="dxa"/>
            <w:tcBorders>
              <w:top w:val="single" w:sz="4" w:space="0" w:color="000000"/>
              <w:left w:val="single" w:sz="4" w:space="0" w:color="000000"/>
              <w:bottom w:val="single" w:sz="4" w:space="0" w:color="000000"/>
              <w:right w:val="single" w:sz="4" w:space="0" w:color="000000"/>
            </w:tcBorders>
            <w:shd w:val="clear" w:color="FFFFFF" w:fill="FFFFFF"/>
            <w:tcMar>
              <w:top w:w="0" w:type="dxa"/>
              <w:left w:w="108" w:type="dxa"/>
              <w:bottom w:w="0" w:type="dxa"/>
              <w:right w:w="108" w:type="dxa"/>
            </w:tcMar>
            <w:vAlign w:val="center"/>
          </w:tcPr>
          <w:p w14:paraId="628C691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2"/>
              </w:rPr>
            </w:pPr>
            <w:r w:rsidRPr="00731FE2">
              <w:rPr>
                <w:rFonts w:ascii="Times New Roman" w:eastAsia="Times New Roman" w:hAnsi="Times New Roman" w:cs="Times New Roman"/>
                <w:color w:val="000000"/>
                <w:sz w:val="22"/>
              </w:rPr>
              <w:t>36</w:t>
            </w:r>
          </w:p>
        </w:tc>
        <w:tc>
          <w:tcPr>
            <w:tcW w:w="1245" w:type="dxa"/>
            <w:tcBorders>
              <w:top w:val="single" w:sz="4" w:space="0" w:color="000000"/>
              <w:left w:val="single" w:sz="4" w:space="0" w:color="000000"/>
              <w:bottom w:val="single" w:sz="4" w:space="0" w:color="000000"/>
              <w:right w:val="single" w:sz="4" w:space="0" w:color="000000"/>
            </w:tcBorders>
            <w:shd w:val="clear" w:color="FFFFFF" w:fill="FFFFFF"/>
            <w:tcMar>
              <w:top w:w="0" w:type="dxa"/>
              <w:left w:w="108" w:type="dxa"/>
              <w:bottom w:w="0" w:type="dxa"/>
              <w:right w:w="108" w:type="dxa"/>
            </w:tcMar>
            <w:vAlign w:val="center"/>
          </w:tcPr>
          <w:p w14:paraId="3FA9AC5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2"/>
              </w:rPr>
            </w:pPr>
            <w:r w:rsidRPr="00731FE2">
              <w:rPr>
                <w:rFonts w:ascii="Times New Roman" w:eastAsia="Times New Roman" w:hAnsi="Times New Roman" w:cs="Times New Roman"/>
                <w:color w:val="000000"/>
                <w:sz w:val="22"/>
              </w:rPr>
              <w:t>38</w:t>
            </w:r>
          </w:p>
        </w:tc>
        <w:tc>
          <w:tcPr>
            <w:tcW w:w="1127" w:type="dxa"/>
            <w:tcBorders>
              <w:top w:val="single" w:sz="4" w:space="0" w:color="000000"/>
              <w:left w:val="single" w:sz="4" w:space="0" w:color="000000"/>
              <w:bottom w:val="single" w:sz="4" w:space="0" w:color="000000"/>
              <w:right w:val="single" w:sz="4" w:space="0" w:color="000000"/>
            </w:tcBorders>
            <w:shd w:val="clear" w:color="FFFFFF" w:fill="FFFFFF"/>
            <w:noWrap/>
            <w:tcMar>
              <w:top w:w="0" w:type="dxa"/>
              <w:left w:w="108" w:type="dxa"/>
              <w:bottom w:w="0" w:type="dxa"/>
              <w:right w:w="108" w:type="dxa"/>
            </w:tcMar>
            <w:vAlign w:val="center"/>
          </w:tcPr>
          <w:p w14:paraId="6B457CE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2"/>
              </w:rPr>
            </w:pPr>
            <w:r w:rsidRPr="00731FE2">
              <w:rPr>
                <w:rFonts w:ascii="Times New Roman" w:eastAsia="Times New Roman" w:hAnsi="Times New Roman" w:cs="Times New Roman"/>
                <w:color w:val="000000"/>
                <w:sz w:val="22"/>
              </w:rPr>
              <w:t>36</w:t>
            </w:r>
          </w:p>
        </w:tc>
        <w:tc>
          <w:tcPr>
            <w:tcW w:w="1225" w:type="dxa"/>
            <w:tcBorders>
              <w:top w:val="single" w:sz="4" w:space="0" w:color="000000"/>
              <w:left w:val="single" w:sz="4" w:space="0" w:color="000000"/>
              <w:bottom w:val="single" w:sz="4" w:space="0" w:color="000000"/>
              <w:right w:val="single" w:sz="4" w:space="0" w:color="000000"/>
            </w:tcBorders>
            <w:shd w:val="clear" w:color="FFFFFF" w:fill="FFFFFF"/>
            <w:noWrap/>
            <w:tcMar>
              <w:top w:w="0" w:type="dxa"/>
              <w:left w:w="108" w:type="dxa"/>
              <w:bottom w:w="0" w:type="dxa"/>
              <w:right w:w="108" w:type="dxa"/>
            </w:tcMar>
            <w:vAlign w:val="center"/>
          </w:tcPr>
          <w:p w14:paraId="63D5174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2"/>
              </w:rPr>
            </w:pPr>
            <w:r w:rsidRPr="00731FE2">
              <w:rPr>
                <w:rFonts w:ascii="Times New Roman" w:eastAsia="Times New Roman" w:hAnsi="Times New Roman" w:cs="Times New Roman"/>
                <w:color w:val="000000"/>
                <w:sz w:val="22"/>
              </w:rPr>
              <w:t>0</w:t>
            </w:r>
          </w:p>
        </w:tc>
        <w:tc>
          <w:tcPr>
            <w:tcW w:w="1468" w:type="dxa"/>
            <w:tcBorders>
              <w:top w:val="single" w:sz="4" w:space="0" w:color="000000"/>
              <w:left w:val="single" w:sz="4" w:space="0" w:color="000000"/>
              <w:bottom w:val="single" w:sz="4" w:space="0" w:color="000000"/>
              <w:right w:val="single" w:sz="4" w:space="0" w:color="000000"/>
            </w:tcBorders>
            <w:shd w:val="clear" w:color="FFFFFF" w:fill="FFFFFF"/>
            <w:noWrap/>
            <w:tcMar>
              <w:top w:w="0" w:type="dxa"/>
              <w:left w:w="108" w:type="dxa"/>
              <w:bottom w:w="0" w:type="dxa"/>
              <w:right w:w="108" w:type="dxa"/>
            </w:tcMar>
            <w:vAlign w:val="center"/>
          </w:tcPr>
          <w:p w14:paraId="00EA367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2"/>
              </w:rPr>
            </w:pPr>
            <w:r w:rsidRPr="00731FE2">
              <w:rPr>
                <w:rFonts w:ascii="Times New Roman" w:eastAsia="Times New Roman" w:hAnsi="Times New Roman" w:cs="Times New Roman"/>
                <w:color w:val="000000"/>
                <w:sz w:val="22"/>
              </w:rPr>
              <w:t>100,0</w:t>
            </w:r>
          </w:p>
        </w:tc>
      </w:tr>
      <w:tr w:rsidR="00171AA8" w:rsidRPr="00731FE2" w14:paraId="460582E4" w14:textId="77777777">
        <w:trPr>
          <w:trHeight w:val="400"/>
        </w:trPr>
        <w:tc>
          <w:tcPr>
            <w:tcW w:w="3044" w:type="dxa"/>
            <w:tcBorders>
              <w:top w:val="single" w:sz="4" w:space="0" w:color="000000"/>
              <w:left w:val="single" w:sz="4" w:space="0" w:color="000000"/>
              <w:bottom w:val="single" w:sz="4" w:space="0" w:color="000000"/>
              <w:right w:val="single" w:sz="4" w:space="0" w:color="000000"/>
            </w:tcBorders>
            <w:shd w:val="clear" w:color="FFFFFF" w:fill="FFFFFF"/>
            <w:tcMar>
              <w:top w:w="0" w:type="dxa"/>
              <w:left w:w="108" w:type="dxa"/>
              <w:bottom w:w="0" w:type="dxa"/>
              <w:right w:w="108" w:type="dxa"/>
            </w:tcMar>
            <w:vAlign w:val="center"/>
          </w:tcPr>
          <w:p w14:paraId="0FCF22AE" w14:textId="77777777" w:rsidR="00171AA8" w:rsidRPr="00731FE2" w:rsidRDefault="007935AB">
            <w:pPr>
              <w:pBdr>
                <w:top w:val="none" w:sz="4" w:space="0" w:color="000000"/>
                <w:left w:val="none" w:sz="4" w:space="0" w:color="000000"/>
                <w:bottom w:val="none" w:sz="4" w:space="0" w:color="000000"/>
                <w:right w:val="none" w:sz="4" w:space="0" w:color="000000"/>
              </w:pBdr>
              <w:ind w:firstLine="0"/>
              <w:rPr>
                <w:sz w:val="22"/>
              </w:rPr>
            </w:pPr>
            <w:r w:rsidRPr="00731FE2">
              <w:rPr>
                <w:rFonts w:ascii="Times New Roman" w:eastAsia="Times New Roman" w:hAnsi="Times New Roman" w:cs="Times New Roman"/>
                <w:color w:val="000000"/>
                <w:sz w:val="22"/>
              </w:rPr>
              <w:t xml:space="preserve">Самозанятые </w:t>
            </w:r>
          </w:p>
        </w:tc>
        <w:tc>
          <w:tcPr>
            <w:tcW w:w="1245" w:type="dxa"/>
            <w:tcBorders>
              <w:top w:val="single" w:sz="4" w:space="0" w:color="000000"/>
              <w:left w:val="single" w:sz="4" w:space="0" w:color="000000"/>
              <w:bottom w:val="single" w:sz="4" w:space="0" w:color="000000"/>
              <w:right w:val="single" w:sz="4" w:space="0" w:color="000000"/>
            </w:tcBorders>
            <w:shd w:val="clear" w:color="FFFFFF" w:fill="FFFFFF"/>
            <w:tcMar>
              <w:top w:w="0" w:type="dxa"/>
              <w:left w:w="108" w:type="dxa"/>
              <w:bottom w:w="0" w:type="dxa"/>
              <w:right w:w="108" w:type="dxa"/>
            </w:tcMar>
            <w:vAlign w:val="center"/>
          </w:tcPr>
          <w:p w14:paraId="18721B7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2"/>
              </w:rPr>
            </w:pPr>
            <w:r w:rsidRPr="00731FE2">
              <w:rPr>
                <w:rFonts w:ascii="Times New Roman" w:eastAsia="Times New Roman" w:hAnsi="Times New Roman" w:cs="Times New Roman"/>
                <w:color w:val="000000"/>
                <w:sz w:val="22"/>
              </w:rPr>
              <w:t>865</w:t>
            </w:r>
          </w:p>
        </w:tc>
        <w:tc>
          <w:tcPr>
            <w:tcW w:w="1245" w:type="dxa"/>
            <w:tcBorders>
              <w:top w:val="single" w:sz="4" w:space="0" w:color="000000"/>
              <w:left w:val="single" w:sz="4" w:space="0" w:color="000000"/>
              <w:bottom w:val="single" w:sz="4" w:space="0" w:color="000000"/>
              <w:right w:val="single" w:sz="4" w:space="0" w:color="000000"/>
            </w:tcBorders>
            <w:shd w:val="clear" w:color="FFFFFF" w:fill="FFFFFF"/>
            <w:tcMar>
              <w:top w:w="0" w:type="dxa"/>
              <w:left w:w="108" w:type="dxa"/>
              <w:bottom w:w="0" w:type="dxa"/>
              <w:right w:w="108" w:type="dxa"/>
            </w:tcMar>
            <w:vAlign w:val="center"/>
          </w:tcPr>
          <w:p w14:paraId="6C950A9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2"/>
              </w:rPr>
            </w:pPr>
            <w:r w:rsidRPr="00731FE2">
              <w:rPr>
                <w:rFonts w:ascii="Times New Roman" w:eastAsia="Times New Roman" w:hAnsi="Times New Roman" w:cs="Times New Roman"/>
                <w:color w:val="000000"/>
                <w:sz w:val="22"/>
              </w:rPr>
              <w:t>2 008</w:t>
            </w:r>
          </w:p>
        </w:tc>
        <w:tc>
          <w:tcPr>
            <w:tcW w:w="1127" w:type="dxa"/>
            <w:tcBorders>
              <w:top w:val="single" w:sz="4" w:space="0" w:color="000000"/>
              <w:left w:val="single" w:sz="4" w:space="0" w:color="000000"/>
              <w:bottom w:val="single" w:sz="4" w:space="0" w:color="000000"/>
              <w:right w:val="single" w:sz="4" w:space="0" w:color="000000"/>
            </w:tcBorders>
            <w:shd w:val="clear" w:color="FFFFFF" w:fill="FFFFFF"/>
            <w:noWrap/>
            <w:tcMar>
              <w:top w:w="0" w:type="dxa"/>
              <w:left w:w="108" w:type="dxa"/>
              <w:bottom w:w="0" w:type="dxa"/>
              <w:right w:w="108" w:type="dxa"/>
            </w:tcMar>
            <w:vAlign w:val="center"/>
          </w:tcPr>
          <w:p w14:paraId="2CC467A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2"/>
              </w:rPr>
            </w:pPr>
            <w:r w:rsidRPr="00731FE2">
              <w:rPr>
                <w:rFonts w:ascii="Times New Roman" w:eastAsia="Times New Roman" w:hAnsi="Times New Roman" w:cs="Times New Roman"/>
                <w:color w:val="000000"/>
                <w:sz w:val="22"/>
              </w:rPr>
              <w:t>3 711</w:t>
            </w:r>
          </w:p>
        </w:tc>
        <w:tc>
          <w:tcPr>
            <w:tcW w:w="1225" w:type="dxa"/>
            <w:tcBorders>
              <w:top w:val="single" w:sz="4" w:space="0" w:color="000000"/>
              <w:left w:val="single" w:sz="4" w:space="0" w:color="000000"/>
              <w:bottom w:val="single" w:sz="4" w:space="0" w:color="000000"/>
              <w:right w:val="single" w:sz="4" w:space="0" w:color="000000"/>
            </w:tcBorders>
            <w:shd w:val="clear" w:color="FFFFFF" w:fill="FFFFFF"/>
            <w:noWrap/>
            <w:tcMar>
              <w:top w:w="0" w:type="dxa"/>
              <w:left w:w="108" w:type="dxa"/>
              <w:bottom w:w="0" w:type="dxa"/>
              <w:right w:w="108" w:type="dxa"/>
            </w:tcMar>
            <w:vAlign w:val="center"/>
          </w:tcPr>
          <w:p w14:paraId="05C998F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2"/>
              </w:rPr>
            </w:pPr>
            <w:r w:rsidRPr="00731FE2">
              <w:rPr>
                <w:rFonts w:ascii="Times New Roman" w:eastAsia="Times New Roman" w:hAnsi="Times New Roman" w:cs="Times New Roman"/>
                <w:color w:val="000000"/>
                <w:sz w:val="22"/>
              </w:rPr>
              <w:t>2 846</w:t>
            </w:r>
          </w:p>
        </w:tc>
        <w:tc>
          <w:tcPr>
            <w:tcW w:w="1468" w:type="dxa"/>
            <w:tcBorders>
              <w:top w:val="single" w:sz="4" w:space="0" w:color="000000"/>
              <w:left w:val="single" w:sz="4" w:space="0" w:color="000000"/>
              <w:bottom w:val="single" w:sz="4" w:space="0" w:color="000000"/>
              <w:right w:val="single" w:sz="4" w:space="0" w:color="000000"/>
            </w:tcBorders>
            <w:shd w:val="clear" w:color="FFFFFF" w:fill="FFFFFF"/>
            <w:noWrap/>
            <w:tcMar>
              <w:top w:w="0" w:type="dxa"/>
              <w:left w:w="108" w:type="dxa"/>
              <w:bottom w:w="0" w:type="dxa"/>
              <w:right w:w="108" w:type="dxa"/>
            </w:tcMar>
            <w:vAlign w:val="center"/>
          </w:tcPr>
          <w:p w14:paraId="21FEC62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2"/>
              </w:rPr>
            </w:pPr>
            <w:r w:rsidRPr="00731FE2">
              <w:rPr>
                <w:rFonts w:ascii="Times New Roman" w:eastAsia="Times New Roman" w:hAnsi="Times New Roman" w:cs="Times New Roman"/>
                <w:color w:val="000000"/>
                <w:sz w:val="22"/>
              </w:rPr>
              <w:t>429,0</w:t>
            </w:r>
          </w:p>
        </w:tc>
      </w:tr>
      <w:tr w:rsidR="00171AA8" w:rsidRPr="00731FE2" w14:paraId="2E1B46BA" w14:textId="77777777">
        <w:trPr>
          <w:trHeight w:val="312"/>
        </w:trPr>
        <w:tc>
          <w:tcPr>
            <w:tcW w:w="3044" w:type="dxa"/>
            <w:tcBorders>
              <w:top w:val="single" w:sz="4" w:space="0" w:color="000000"/>
              <w:left w:val="single" w:sz="4" w:space="0" w:color="000000"/>
              <w:bottom w:val="single" w:sz="4" w:space="0" w:color="000000"/>
              <w:right w:val="single" w:sz="4" w:space="0" w:color="000000"/>
            </w:tcBorders>
            <w:shd w:val="clear" w:color="FFFFFF" w:fill="FFFFFF"/>
            <w:tcMar>
              <w:top w:w="0" w:type="dxa"/>
              <w:left w:w="108" w:type="dxa"/>
              <w:bottom w:w="0" w:type="dxa"/>
              <w:right w:w="108" w:type="dxa"/>
            </w:tcMar>
            <w:vAlign w:val="center"/>
          </w:tcPr>
          <w:p w14:paraId="5C7B36C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b/>
                <w:bCs/>
                <w:sz w:val="22"/>
              </w:rPr>
            </w:pPr>
            <w:r w:rsidRPr="00731FE2">
              <w:rPr>
                <w:rFonts w:ascii="Times New Roman" w:eastAsia="Times New Roman" w:hAnsi="Times New Roman" w:cs="Times New Roman"/>
                <w:b/>
                <w:bCs/>
                <w:color w:val="000000"/>
                <w:sz w:val="22"/>
              </w:rPr>
              <w:t>ВСЕГО:</w:t>
            </w:r>
          </w:p>
        </w:tc>
        <w:tc>
          <w:tcPr>
            <w:tcW w:w="1245" w:type="dxa"/>
            <w:tcBorders>
              <w:top w:val="single" w:sz="4" w:space="0" w:color="000000"/>
              <w:left w:val="single" w:sz="4" w:space="0" w:color="000000"/>
              <w:bottom w:val="single" w:sz="4" w:space="0" w:color="000000"/>
              <w:right w:val="single" w:sz="4" w:space="0" w:color="000000"/>
            </w:tcBorders>
            <w:shd w:val="clear" w:color="FFFFFF" w:fill="FFFFFF"/>
            <w:tcMar>
              <w:top w:w="0" w:type="dxa"/>
              <w:left w:w="108" w:type="dxa"/>
              <w:bottom w:w="0" w:type="dxa"/>
              <w:right w:w="108" w:type="dxa"/>
            </w:tcMar>
            <w:vAlign w:val="center"/>
          </w:tcPr>
          <w:p w14:paraId="7DF2255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b/>
                <w:bCs/>
                <w:sz w:val="22"/>
              </w:rPr>
            </w:pPr>
            <w:r w:rsidRPr="00731FE2">
              <w:rPr>
                <w:rFonts w:ascii="Times New Roman" w:eastAsia="Times New Roman" w:hAnsi="Times New Roman" w:cs="Times New Roman"/>
                <w:b/>
                <w:bCs/>
                <w:color w:val="000000"/>
                <w:sz w:val="22"/>
              </w:rPr>
              <w:t>12650</w:t>
            </w:r>
          </w:p>
        </w:tc>
        <w:tc>
          <w:tcPr>
            <w:tcW w:w="1245" w:type="dxa"/>
            <w:tcBorders>
              <w:top w:val="single" w:sz="4" w:space="0" w:color="000000"/>
              <w:left w:val="single" w:sz="4" w:space="0" w:color="000000"/>
              <w:bottom w:val="single" w:sz="4" w:space="0" w:color="000000"/>
              <w:right w:val="single" w:sz="4" w:space="0" w:color="000000"/>
            </w:tcBorders>
            <w:shd w:val="clear" w:color="FFFFFF" w:fill="FFFFFF"/>
            <w:tcMar>
              <w:top w:w="0" w:type="dxa"/>
              <w:left w:w="108" w:type="dxa"/>
              <w:bottom w:w="0" w:type="dxa"/>
              <w:right w:w="108" w:type="dxa"/>
            </w:tcMar>
            <w:vAlign w:val="center"/>
          </w:tcPr>
          <w:p w14:paraId="4D90919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b/>
                <w:bCs/>
                <w:sz w:val="22"/>
              </w:rPr>
            </w:pPr>
            <w:r w:rsidRPr="00731FE2">
              <w:rPr>
                <w:rFonts w:ascii="Times New Roman" w:eastAsia="Times New Roman" w:hAnsi="Times New Roman" w:cs="Times New Roman"/>
                <w:b/>
                <w:bCs/>
                <w:color w:val="000000"/>
                <w:sz w:val="22"/>
              </w:rPr>
              <w:t>12917</w:t>
            </w:r>
          </w:p>
        </w:tc>
        <w:tc>
          <w:tcPr>
            <w:tcW w:w="1127" w:type="dxa"/>
            <w:tcBorders>
              <w:top w:val="single" w:sz="4" w:space="0" w:color="000000"/>
              <w:left w:val="single" w:sz="4" w:space="0" w:color="000000"/>
              <w:bottom w:val="single" w:sz="4" w:space="0" w:color="000000"/>
              <w:right w:val="single" w:sz="4" w:space="0" w:color="000000"/>
            </w:tcBorders>
            <w:shd w:val="clear" w:color="FFFFFF" w:fill="FFFFFF"/>
            <w:tcMar>
              <w:top w:w="0" w:type="dxa"/>
              <w:left w:w="108" w:type="dxa"/>
              <w:bottom w:w="0" w:type="dxa"/>
              <w:right w:w="108" w:type="dxa"/>
            </w:tcMar>
            <w:vAlign w:val="center"/>
          </w:tcPr>
          <w:p w14:paraId="3E2F27A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b/>
                <w:bCs/>
                <w:sz w:val="22"/>
              </w:rPr>
            </w:pPr>
            <w:r w:rsidRPr="00731FE2">
              <w:rPr>
                <w:rFonts w:ascii="Times New Roman" w:eastAsia="Times New Roman" w:hAnsi="Times New Roman" w:cs="Times New Roman"/>
                <w:b/>
                <w:bCs/>
                <w:color w:val="000000"/>
                <w:sz w:val="22"/>
              </w:rPr>
              <w:t>15261</w:t>
            </w:r>
          </w:p>
        </w:tc>
        <w:tc>
          <w:tcPr>
            <w:tcW w:w="1225" w:type="dxa"/>
            <w:tcBorders>
              <w:top w:val="single" w:sz="4" w:space="0" w:color="000000"/>
              <w:left w:val="single" w:sz="4" w:space="0" w:color="000000"/>
              <w:bottom w:val="single" w:sz="4" w:space="0" w:color="000000"/>
              <w:right w:val="single" w:sz="4" w:space="0" w:color="000000"/>
            </w:tcBorders>
            <w:shd w:val="clear" w:color="FFFFFF" w:fill="FFFFFF"/>
            <w:noWrap/>
            <w:tcMar>
              <w:top w:w="0" w:type="dxa"/>
              <w:left w:w="108" w:type="dxa"/>
              <w:bottom w:w="0" w:type="dxa"/>
              <w:right w:w="108" w:type="dxa"/>
            </w:tcMar>
            <w:vAlign w:val="center"/>
          </w:tcPr>
          <w:p w14:paraId="3210EF8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b/>
                <w:bCs/>
                <w:sz w:val="22"/>
              </w:rPr>
            </w:pPr>
            <w:r w:rsidRPr="00731FE2">
              <w:rPr>
                <w:rFonts w:ascii="Times New Roman" w:eastAsia="Times New Roman" w:hAnsi="Times New Roman" w:cs="Times New Roman"/>
                <w:b/>
                <w:bCs/>
                <w:color w:val="000000"/>
                <w:sz w:val="22"/>
              </w:rPr>
              <w:t>2611</w:t>
            </w:r>
          </w:p>
        </w:tc>
        <w:tc>
          <w:tcPr>
            <w:tcW w:w="1468" w:type="dxa"/>
            <w:tcBorders>
              <w:top w:val="single" w:sz="4" w:space="0" w:color="000000"/>
              <w:left w:val="single" w:sz="4" w:space="0" w:color="000000"/>
              <w:bottom w:val="single" w:sz="4" w:space="0" w:color="000000"/>
              <w:right w:val="single" w:sz="4" w:space="0" w:color="000000"/>
            </w:tcBorders>
            <w:shd w:val="clear" w:color="FFFFFF" w:fill="FFFFFF"/>
            <w:noWrap/>
            <w:tcMar>
              <w:top w:w="0" w:type="dxa"/>
              <w:left w:w="108" w:type="dxa"/>
              <w:bottom w:w="0" w:type="dxa"/>
              <w:right w:w="108" w:type="dxa"/>
            </w:tcMar>
            <w:vAlign w:val="center"/>
          </w:tcPr>
          <w:p w14:paraId="4EC31C2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b/>
                <w:bCs/>
                <w:sz w:val="22"/>
              </w:rPr>
            </w:pPr>
            <w:r w:rsidRPr="00731FE2">
              <w:rPr>
                <w:rFonts w:ascii="Times New Roman" w:eastAsia="Times New Roman" w:hAnsi="Times New Roman" w:cs="Times New Roman"/>
                <w:b/>
                <w:bCs/>
                <w:color w:val="000000"/>
                <w:sz w:val="22"/>
              </w:rPr>
              <w:t>120,6</w:t>
            </w:r>
          </w:p>
        </w:tc>
      </w:tr>
    </w:tbl>
    <w:p w14:paraId="67752981" w14:textId="77777777" w:rsidR="00171AA8" w:rsidRPr="00731FE2" w:rsidRDefault="00171AA8">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p>
    <w:p w14:paraId="14C63533"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 xml:space="preserve">За 2022 год объем налоговых поступлений в бюджет города-курорта Кисловодска от деятельности субъектов малого и среднего составил 39,57 % в общем объеме собственных доходов городского бюджета. По сравнению с 2021 годом объем поступлений от деятельности субъектов малого и среднего предпринимательства увеличился на 134,42%. Это свидетельствует о росте экономической активности субъектов малого и среднего предпринимательства после окончания периода пандемии коронавирусной инфекции и успешной адаптации предпринимателей к условиям санкционных ограничений. </w:t>
      </w:r>
    </w:p>
    <w:p w14:paraId="12F39842"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 xml:space="preserve">В целях создания благоприятного предпринимательского климата в г. Кисловодске реализуются мероприятия по поддержке малого и среднего предпринимательства в рамках подпрограммы «Развитие малого и среднего предпринимательства» муниципальной программы «Экономическое развитие». Проводится ежегодный городской конкурс «Предприниматель года», </w:t>
      </w:r>
      <w:r w:rsidR="0052190C" w:rsidRPr="00731FE2">
        <w:rPr>
          <w:rFonts w:ascii="Times New Roman" w:eastAsia="Times New Roman" w:hAnsi="Times New Roman" w:cs="Times New Roman"/>
          <w:color w:val="000000"/>
          <w:szCs w:val="24"/>
        </w:rPr>
        <w:t>оказывается</w:t>
      </w:r>
      <w:r w:rsidRPr="00731FE2">
        <w:rPr>
          <w:rFonts w:ascii="Times New Roman" w:eastAsia="Times New Roman" w:hAnsi="Times New Roman" w:cs="Times New Roman"/>
          <w:color w:val="000000"/>
          <w:szCs w:val="24"/>
        </w:rPr>
        <w:t xml:space="preserve"> финансовая муниципальная поддержка на развитие частного бизнеса.</w:t>
      </w:r>
    </w:p>
    <w:p w14:paraId="2624CE55"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b/>
          <w:bCs/>
          <w:color w:val="000000"/>
          <w:szCs w:val="24"/>
        </w:rPr>
      </w:pPr>
      <w:r w:rsidRPr="00731FE2">
        <w:rPr>
          <w:rFonts w:ascii="Times New Roman" w:eastAsia="Times New Roman" w:hAnsi="Times New Roman" w:cs="Times New Roman"/>
          <w:b/>
          <w:bCs/>
          <w:color w:val="000000"/>
          <w:szCs w:val="24"/>
        </w:rPr>
        <w:t xml:space="preserve">Отраслевая структура малого и среднего бизнеса в городе-курорте Кисловодске в целом отличается положительной динамикой развития сферы торговли и услуг, что свидетельствует о достаточной емкости этих отраслей для обеспечения занятости населения. </w:t>
      </w:r>
    </w:p>
    <w:p w14:paraId="6D0C48C0" w14:textId="77777777" w:rsidR="00171AA8" w:rsidRPr="00731FE2" w:rsidRDefault="007935AB">
      <w:pPr>
        <w:pStyle w:val="33"/>
        <w:pBdr>
          <w:top w:val="none" w:sz="4" w:space="0" w:color="000000"/>
          <w:left w:val="none" w:sz="4" w:space="0" w:color="000000"/>
          <w:bottom w:val="none" w:sz="4" w:space="0" w:color="000000"/>
          <w:right w:val="none" w:sz="4" w:space="0" w:color="000000"/>
        </w:pBdr>
        <w:rPr>
          <w:rFonts w:ascii="Times New Roman" w:hAnsi="Times New Roman" w:cs="Times New Roman"/>
        </w:rPr>
      </w:pPr>
      <w:bookmarkStart w:id="40" w:name="_Toc177392791"/>
      <w:r w:rsidRPr="00731FE2">
        <w:rPr>
          <w:rFonts w:ascii="Times New Roman" w:hAnsi="Times New Roman" w:cs="Times New Roman"/>
        </w:rPr>
        <w:t>2.9.5 Инвестиционная деятельность</w:t>
      </w:r>
      <w:bookmarkEnd w:id="40"/>
    </w:p>
    <w:p w14:paraId="0B4FDE98"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Территория городского округа достаточно привлекательна для развития различных направлений инвестиционной деятельности. Структура экономики города-курорта Кисловодска говорит о ведущем положении следующих отраслей: санаторно-курортный сектор, транспорт и связь, обрабатывающие производства, представленные преимущественно пищевой промышленностью. Основной муниципальной мерой поддержки инвесторов является снижение на 50% ставки арендной платы в отношении земельных участков, используемых для реализации инвестиционных проектов в приоритетных отраслях (санаторно-курортная и туристско-рекреационная), на срок не более 7 лет. Региональные меры поддержки (от Ставропольского края) предоставляются в виде снижения ставки налога на прибыль от 3,5% до 4,5% процентных пункта, а также предусматривают полное освобождение от уплаты налога на имущество на срок до 5 лет.</w:t>
      </w:r>
    </w:p>
    <w:p w14:paraId="121B35FA"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 xml:space="preserve">По итогам 2022 года завершена реализация 20 инвестиционных проектов, в том числе 16 проектов за счет внебюджетных инвестиций, 4 проекта счет средств бюджета всех уровней. По итогам реализации проектов создано 354 новых рабочих мест, 1 042 новых мест размещения отдыхающих. </w:t>
      </w:r>
    </w:p>
    <w:p w14:paraId="38F2799C"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lastRenderedPageBreak/>
        <w:t>В настоящее время продолжается реализация 34 инвестиционных проектов, в том числе 18 проектов по строительству и реконструкции санаторно-курортных и гостиничных комплексов. По итогам реализации проектов планируется создать до 2178 коечных мест, а также до 2414 рабочих места к 2025 году.</w:t>
      </w:r>
    </w:p>
    <w:p w14:paraId="49301B94"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 xml:space="preserve">В соответствии с данными предоставленными Управлением архитектуры и градостроительства администрации города-курорта Кисловодска Ставропольского края ниже в таблице приведен перечень </w:t>
      </w:r>
      <w:r w:rsidR="002455DE" w:rsidRPr="00731FE2">
        <w:rPr>
          <w:rFonts w:ascii="Times New Roman" w:eastAsia="Times New Roman" w:hAnsi="Times New Roman" w:cs="Times New Roman"/>
          <w:color w:val="000000"/>
          <w:szCs w:val="24"/>
        </w:rPr>
        <w:t>инвестиционных проектов,</w:t>
      </w:r>
      <w:r w:rsidRPr="00731FE2">
        <w:rPr>
          <w:rFonts w:ascii="Times New Roman" w:eastAsia="Times New Roman" w:hAnsi="Times New Roman" w:cs="Times New Roman"/>
          <w:color w:val="000000"/>
          <w:szCs w:val="24"/>
        </w:rPr>
        <w:t xml:space="preserve"> намеченных к реализации до 2029 года.</w:t>
      </w:r>
    </w:p>
    <w:p w14:paraId="559EE8A9" w14:textId="77777777" w:rsidR="00171AA8" w:rsidRPr="00731FE2" w:rsidRDefault="00171AA8">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p>
    <w:p w14:paraId="4C508AD0" w14:textId="77777777" w:rsidR="00171AA8" w:rsidRPr="00731FE2" w:rsidRDefault="007935AB">
      <w:pPr>
        <w:pStyle w:val="af3"/>
        <w:pBdr>
          <w:top w:val="none" w:sz="4" w:space="0" w:color="000000"/>
          <w:left w:val="none" w:sz="4" w:space="0" w:color="000000"/>
          <w:bottom w:val="none" w:sz="4" w:space="0" w:color="000000"/>
          <w:right w:val="none" w:sz="4" w:space="0" w:color="000000"/>
        </w:pBdr>
        <w:rPr>
          <w:sz w:val="24"/>
          <w:szCs w:val="24"/>
        </w:rPr>
      </w:pPr>
      <w:r w:rsidRPr="00731FE2">
        <w:rPr>
          <w:sz w:val="24"/>
          <w:szCs w:val="24"/>
        </w:rPr>
        <w:t xml:space="preserve">Таблица </w:t>
      </w:r>
      <w:r w:rsidRPr="00731FE2">
        <w:rPr>
          <w:sz w:val="24"/>
          <w:szCs w:val="24"/>
        </w:rPr>
        <w:fldChar w:fldCharType="begin"/>
      </w:r>
      <w:r w:rsidRPr="00731FE2">
        <w:rPr>
          <w:sz w:val="24"/>
          <w:szCs w:val="24"/>
        </w:rPr>
        <w:instrText xml:space="preserve"> SEQ Таблица \* Arabic </w:instrText>
      </w:r>
      <w:r w:rsidRPr="00731FE2">
        <w:rPr>
          <w:sz w:val="24"/>
          <w:szCs w:val="24"/>
        </w:rPr>
        <w:fldChar w:fldCharType="separate"/>
      </w:r>
      <w:r w:rsidR="00C50915" w:rsidRPr="00731FE2">
        <w:rPr>
          <w:noProof/>
          <w:sz w:val="24"/>
          <w:szCs w:val="24"/>
        </w:rPr>
        <w:t>25</w:t>
      </w:r>
      <w:r w:rsidRPr="00731FE2">
        <w:rPr>
          <w:sz w:val="24"/>
          <w:szCs w:val="24"/>
        </w:rPr>
        <w:fldChar w:fldCharType="end"/>
      </w:r>
      <w:r w:rsidRPr="00731FE2">
        <w:rPr>
          <w:sz w:val="24"/>
          <w:szCs w:val="24"/>
        </w:rPr>
        <w:t xml:space="preserve"> – Перечень инвестиционных проектов на территории городского округа города-курорта Кисловодска, намеченных к реализации до 2029 г.</w:t>
      </w:r>
      <w:r w:rsidRPr="00731FE2">
        <w:rPr>
          <w:rStyle w:val="afb"/>
          <w:sz w:val="24"/>
          <w:szCs w:val="24"/>
          <w:vertAlign w:val="superscript"/>
        </w:rPr>
        <w:footnoteReference w:id="48"/>
      </w:r>
    </w:p>
    <w:tbl>
      <w:tblPr>
        <w:tblStyle w:val="afe"/>
        <w:tblW w:w="0" w:type="auto"/>
        <w:tblBorders>
          <w:top w:val="none" w:sz="4" w:space="0" w:color="000000"/>
          <w:left w:val="none" w:sz="4" w:space="0" w:color="000000"/>
          <w:bottom w:val="none" w:sz="4" w:space="0" w:color="000000"/>
          <w:right w:val="none" w:sz="4" w:space="0" w:color="000000"/>
        </w:tblBorders>
        <w:tblLayout w:type="fixed"/>
        <w:tblCellMar>
          <w:left w:w="57" w:type="dxa"/>
          <w:right w:w="57" w:type="dxa"/>
        </w:tblCellMar>
        <w:tblLook w:val="04A0" w:firstRow="1" w:lastRow="0" w:firstColumn="1" w:lastColumn="0" w:noHBand="0" w:noVBand="1"/>
      </w:tblPr>
      <w:tblGrid>
        <w:gridCol w:w="3402"/>
        <w:gridCol w:w="1843"/>
        <w:gridCol w:w="2126"/>
        <w:gridCol w:w="1984"/>
      </w:tblGrid>
      <w:tr w:rsidR="00171AA8" w:rsidRPr="00731FE2" w14:paraId="77C3D29A" w14:textId="77777777">
        <w:tc>
          <w:tcPr>
            <w:tcW w:w="3402" w:type="dxa"/>
            <w:tcBorders>
              <w:top w:val="single" w:sz="4" w:space="0" w:color="000000"/>
              <w:left w:val="single" w:sz="4" w:space="0" w:color="000000"/>
              <w:bottom w:val="single" w:sz="4" w:space="0" w:color="000000"/>
              <w:right w:val="single" w:sz="4" w:space="0" w:color="000000"/>
            </w:tcBorders>
            <w:shd w:val="clear" w:color="FFFFFF" w:themeColor="background1" w:fill="FFFFFF" w:themeFill="background1"/>
            <w:tcMar>
              <w:top w:w="0" w:type="dxa"/>
              <w:left w:w="57" w:type="dxa"/>
              <w:bottom w:w="0" w:type="dxa"/>
              <w:right w:w="57" w:type="dxa"/>
            </w:tcMar>
            <w:vAlign w:val="center"/>
          </w:tcPr>
          <w:p w14:paraId="48EA2B39" w14:textId="77777777" w:rsidR="00171AA8" w:rsidRPr="00731FE2" w:rsidRDefault="007935AB">
            <w:pPr>
              <w:pBdr>
                <w:top w:val="none" w:sz="4" w:space="0" w:color="000000"/>
                <w:left w:val="none" w:sz="4" w:space="0" w:color="000000"/>
                <w:bottom w:val="none" w:sz="4" w:space="0" w:color="000000"/>
                <w:right w:val="none" w:sz="4" w:space="0" w:color="000000"/>
              </w:pBdr>
              <w:shd w:val="clear" w:color="FFFFFF" w:themeColor="background1" w:fill="FFFFFF" w:themeFill="background1"/>
              <w:ind w:firstLine="0"/>
              <w:jc w:val="center"/>
              <w:rPr>
                <w:rFonts w:ascii="Times New Roman" w:eastAsia="Times New Roman" w:hAnsi="Times New Roman" w:cs="Times New Roman"/>
                <w:b/>
                <w:bCs/>
                <w:color w:val="000000"/>
                <w:sz w:val="22"/>
              </w:rPr>
            </w:pPr>
            <w:r w:rsidRPr="00731FE2">
              <w:rPr>
                <w:rFonts w:ascii="Times New Roman" w:eastAsia="Times New Roman" w:hAnsi="Times New Roman" w:cs="Times New Roman"/>
                <w:b/>
                <w:bCs/>
                <w:color w:val="000000"/>
                <w:sz w:val="22"/>
              </w:rPr>
              <w:t>Наименование объекта</w:t>
            </w:r>
          </w:p>
        </w:tc>
        <w:tc>
          <w:tcPr>
            <w:tcW w:w="1843" w:type="dxa"/>
            <w:tcBorders>
              <w:top w:val="single" w:sz="4" w:space="0" w:color="000000"/>
              <w:left w:val="single" w:sz="4" w:space="0" w:color="000000"/>
              <w:bottom w:val="single" w:sz="4" w:space="0" w:color="000000"/>
              <w:right w:val="single" w:sz="4" w:space="0" w:color="000000"/>
            </w:tcBorders>
            <w:shd w:val="clear" w:color="FFFFFF" w:themeColor="background1" w:fill="FFFFFF" w:themeFill="background1"/>
            <w:tcMar>
              <w:top w:w="0" w:type="dxa"/>
              <w:left w:w="57" w:type="dxa"/>
              <w:bottom w:w="0" w:type="dxa"/>
              <w:right w:w="57" w:type="dxa"/>
            </w:tcMar>
            <w:vAlign w:val="center"/>
          </w:tcPr>
          <w:p w14:paraId="5A89057E" w14:textId="77777777" w:rsidR="00171AA8" w:rsidRPr="00731FE2" w:rsidRDefault="007935AB">
            <w:pPr>
              <w:pBdr>
                <w:top w:val="none" w:sz="4" w:space="0" w:color="000000"/>
                <w:left w:val="none" w:sz="4" w:space="0" w:color="000000"/>
                <w:bottom w:val="none" w:sz="4" w:space="0" w:color="000000"/>
                <w:right w:val="none" w:sz="4" w:space="0" w:color="000000"/>
              </w:pBdr>
              <w:shd w:val="clear" w:color="FFFFFF" w:themeColor="background1" w:fill="FFFFFF" w:themeFill="background1"/>
              <w:ind w:firstLine="0"/>
              <w:jc w:val="center"/>
              <w:rPr>
                <w:rFonts w:ascii="Times New Roman" w:eastAsia="Times New Roman" w:hAnsi="Times New Roman" w:cs="Times New Roman"/>
                <w:b/>
                <w:bCs/>
                <w:color w:val="000000"/>
                <w:sz w:val="22"/>
              </w:rPr>
            </w:pPr>
            <w:r w:rsidRPr="00731FE2">
              <w:rPr>
                <w:rFonts w:ascii="Times New Roman" w:eastAsia="Times New Roman" w:hAnsi="Times New Roman" w:cs="Times New Roman"/>
                <w:b/>
                <w:bCs/>
                <w:color w:val="000000"/>
                <w:sz w:val="22"/>
              </w:rPr>
              <w:t>Местоположение объекта</w:t>
            </w:r>
          </w:p>
        </w:tc>
        <w:tc>
          <w:tcPr>
            <w:tcW w:w="2126" w:type="dxa"/>
            <w:tcBorders>
              <w:top w:val="single" w:sz="4" w:space="0" w:color="000000"/>
              <w:left w:val="single" w:sz="4" w:space="0" w:color="000000"/>
              <w:bottom w:val="single" w:sz="4" w:space="0" w:color="000000"/>
              <w:right w:val="single" w:sz="4" w:space="0" w:color="000000"/>
            </w:tcBorders>
            <w:shd w:val="clear" w:color="FFFFFF" w:themeColor="background1" w:fill="FFFFFF" w:themeFill="background1"/>
            <w:tcMar>
              <w:top w:w="0" w:type="dxa"/>
              <w:left w:w="57" w:type="dxa"/>
              <w:bottom w:w="0" w:type="dxa"/>
              <w:right w:w="57" w:type="dxa"/>
            </w:tcMar>
            <w:vAlign w:val="center"/>
          </w:tcPr>
          <w:p w14:paraId="55A4A02B" w14:textId="77777777" w:rsidR="00171AA8" w:rsidRPr="00731FE2" w:rsidRDefault="007935AB">
            <w:pPr>
              <w:pBdr>
                <w:top w:val="none" w:sz="4" w:space="0" w:color="000000"/>
                <w:left w:val="none" w:sz="4" w:space="0" w:color="000000"/>
                <w:bottom w:val="none" w:sz="4" w:space="0" w:color="000000"/>
                <w:right w:val="none" w:sz="4" w:space="0" w:color="000000"/>
              </w:pBdr>
              <w:shd w:val="clear" w:color="FFFFFF" w:themeColor="background1" w:fill="FFFFFF" w:themeFill="background1"/>
              <w:ind w:firstLine="0"/>
              <w:jc w:val="center"/>
              <w:rPr>
                <w:rFonts w:ascii="Times New Roman" w:eastAsia="Times New Roman" w:hAnsi="Times New Roman" w:cs="Times New Roman"/>
                <w:b/>
                <w:bCs/>
                <w:color w:val="000000"/>
                <w:sz w:val="22"/>
              </w:rPr>
            </w:pPr>
            <w:r w:rsidRPr="00731FE2">
              <w:rPr>
                <w:rFonts w:ascii="Times New Roman" w:eastAsia="Times New Roman" w:hAnsi="Times New Roman" w:cs="Times New Roman"/>
                <w:b/>
                <w:bCs/>
                <w:color w:val="000000"/>
                <w:sz w:val="22"/>
              </w:rPr>
              <w:t>Статус</w:t>
            </w:r>
          </w:p>
        </w:tc>
        <w:tc>
          <w:tcPr>
            <w:tcW w:w="1984" w:type="dxa"/>
            <w:tcBorders>
              <w:top w:val="single" w:sz="4" w:space="0" w:color="000000"/>
              <w:left w:val="single" w:sz="4" w:space="0" w:color="000000"/>
              <w:bottom w:val="single" w:sz="4" w:space="0" w:color="000000"/>
              <w:right w:val="single" w:sz="4" w:space="0" w:color="000000"/>
            </w:tcBorders>
            <w:shd w:val="clear" w:color="FFFFFF" w:themeColor="background1" w:fill="FFFFFF" w:themeFill="background1"/>
            <w:tcMar>
              <w:top w:w="0" w:type="dxa"/>
              <w:left w:w="57" w:type="dxa"/>
              <w:bottom w:w="0" w:type="dxa"/>
              <w:right w:w="57" w:type="dxa"/>
            </w:tcMar>
            <w:vAlign w:val="center"/>
          </w:tcPr>
          <w:p w14:paraId="27A172F4" w14:textId="77777777" w:rsidR="00171AA8" w:rsidRPr="00731FE2" w:rsidRDefault="007935AB">
            <w:pPr>
              <w:pBdr>
                <w:top w:val="none" w:sz="4" w:space="0" w:color="000000"/>
                <w:left w:val="none" w:sz="4" w:space="0" w:color="000000"/>
                <w:bottom w:val="none" w:sz="4" w:space="0" w:color="000000"/>
                <w:right w:val="none" w:sz="4" w:space="0" w:color="000000"/>
              </w:pBdr>
              <w:shd w:val="clear" w:color="FFFFFF" w:themeColor="background1" w:fill="FFFFFF" w:themeFill="background1"/>
              <w:ind w:firstLine="0"/>
              <w:jc w:val="center"/>
              <w:rPr>
                <w:rFonts w:ascii="Times New Roman" w:eastAsia="Times New Roman" w:hAnsi="Times New Roman" w:cs="Times New Roman"/>
                <w:b/>
                <w:bCs/>
                <w:color w:val="000000"/>
                <w:sz w:val="22"/>
              </w:rPr>
            </w:pPr>
            <w:r w:rsidRPr="00731FE2">
              <w:rPr>
                <w:rFonts w:ascii="Times New Roman" w:eastAsia="Times New Roman" w:hAnsi="Times New Roman" w:cs="Times New Roman"/>
                <w:b/>
                <w:bCs/>
                <w:color w:val="000000"/>
                <w:sz w:val="22"/>
              </w:rPr>
              <w:t>Примерный срок реализации, год</w:t>
            </w:r>
          </w:p>
        </w:tc>
      </w:tr>
      <w:tr w:rsidR="00171AA8" w:rsidRPr="00731FE2" w14:paraId="1C59D942" w14:textId="77777777">
        <w:trPr>
          <w:trHeight w:val="253"/>
        </w:trPr>
        <w:tc>
          <w:tcPr>
            <w:tcW w:w="9354" w:type="dxa"/>
            <w:gridSpan w:val="4"/>
            <w:vMerge w:val="restart"/>
            <w:tcBorders>
              <w:top w:val="single" w:sz="4" w:space="0" w:color="000000"/>
              <w:left w:val="single" w:sz="4" w:space="0" w:color="000000"/>
              <w:bottom w:val="single" w:sz="4" w:space="0" w:color="000000"/>
              <w:right w:val="single" w:sz="4" w:space="0" w:color="000000"/>
            </w:tcBorders>
            <w:shd w:val="clear" w:color="FFFFFF" w:fill="FFFFFF"/>
            <w:tcMar>
              <w:top w:w="0" w:type="dxa"/>
              <w:left w:w="57" w:type="dxa"/>
              <w:bottom w:w="0" w:type="dxa"/>
              <w:right w:w="57" w:type="dxa"/>
            </w:tcMar>
            <w:vAlign w:val="center"/>
          </w:tcPr>
          <w:p w14:paraId="2E736797" w14:textId="77777777" w:rsidR="00171AA8" w:rsidRPr="00731FE2" w:rsidRDefault="007935AB">
            <w:pPr>
              <w:pBdr>
                <w:top w:val="none" w:sz="4" w:space="0" w:color="000000"/>
                <w:left w:val="none" w:sz="4" w:space="0" w:color="000000"/>
                <w:bottom w:val="none" w:sz="4" w:space="0" w:color="000000"/>
                <w:right w:val="none" w:sz="4" w:space="0" w:color="000000"/>
              </w:pBdr>
              <w:shd w:val="clear" w:color="FFFFFF" w:themeColor="background1" w:fill="FFFFFF" w:themeFill="background1"/>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Транспорт</w:t>
            </w:r>
          </w:p>
        </w:tc>
      </w:tr>
      <w:tr w:rsidR="00171AA8" w:rsidRPr="00731FE2" w14:paraId="7FF0F052" w14:textId="77777777">
        <w:tc>
          <w:tcPr>
            <w:tcW w:w="3402" w:type="dxa"/>
            <w:tcBorders>
              <w:top w:val="single" w:sz="4" w:space="0" w:color="000000"/>
              <w:left w:val="single" w:sz="4" w:space="0" w:color="000000"/>
              <w:bottom w:val="single" w:sz="4" w:space="0" w:color="000000"/>
              <w:right w:val="single" w:sz="4" w:space="0" w:color="000000"/>
            </w:tcBorders>
            <w:shd w:val="clear" w:color="FFFFFF" w:fill="FFFFFF"/>
            <w:tcMar>
              <w:top w:w="0" w:type="dxa"/>
              <w:left w:w="57" w:type="dxa"/>
              <w:bottom w:w="0" w:type="dxa"/>
              <w:right w:w="57" w:type="dxa"/>
            </w:tcMar>
            <w:vAlign w:val="center"/>
          </w:tcPr>
          <w:p w14:paraId="3DF084CE" w14:textId="77777777" w:rsidR="00171AA8" w:rsidRPr="00731FE2" w:rsidRDefault="007935AB">
            <w:pPr>
              <w:pBdr>
                <w:top w:val="none" w:sz="4" w:space="0" w:color="000000"/>
                <w:left w:val="none" w:sz="4" w:space="0" w:color="000000"/>
                <w:bottom w:val="none" w:sz="4" w:space="0" w:color="000000"/>
                <w:right w:val="none" w:sz="4" w:space="0" w:color="000000"/>
              </w:pBdr>
              <w:shd w:val="clear" w:color="FFFFFF" w:themeColor="background1" w:fill="FFFFFF" w:themeFill="background1"/>
              <w:ind w:firstLine="0"/>
            </w:pPr>
            <w:r w:rsidRPr="00731FE2">
              <w:rPr>
                <w:rFonts w:ascii="Times New Roman" w:eastAsia="Times New Roman" w:hAnsi="Times New Roman" w:cs="Times New Roman"/>
                <w:color w:val="000000"/>
                <w:sz w:val="22"/>
              </w:rPr>
              <w:t>Реконструкция проспекта Победы в городе-курорте Кисловодске</w:t>
            </w:r>
          </w:p>
        </w:tc>
        <w:tc>
          <w:tcPr>
            <w:tcW w:w="1843" w:type="dxa"/>
            <w:tcBorders>
              <w:top w:val="single" w:sz="4" w:space="0" w:color="000000"/>
              <w:left w:val="single" w:sz="4" w:space="0" w:color="000000"/>
              <w:bottom w:val="single" w:sz="4" w:space="0" w:color="000000"/>
              <w:right w:val="single" w:sz="4" w:space="0" w:color="000000"/>
            </w:tcBorders>
            <w:shd w:val="clear" w:color="FFFFFF" w:fill="FFFFFF"/>
            <w:tcMar>
              <w:top w:w="0" w:type="dxa"/>
              <w:left w:w="57" w:type="dxa"/>
              <w:bottom w:w="0" w:type="dxa"/>
              <w:right w:w="57" w:type="dxa"/>
            </w:tcMar>
            <w:vAlign w:val="center"/>
          </w:tcPr>
          <w:p w14:paraId="4F23A5C8" w14:textId="77777777" w:rsidR="00171AA8" w:rsidRPr="00731FE2" w:rsidRDefault="007935AB">
            <w:pPr>
              <w:pBdr>
                <w:top w:val="none" w:sz="4" w:space="0" w:color="000000"/>
                <w:left w:val="none" w:sz="4" w:space="0" w:color="000000"/>
                <w:bottom w:val="none" w:sz="4" w:space="0" w:color="000000"/>
                <w:right w:val="none" w:sz="4" w:space="0" w:color="000000"/>
              </w:pBdr>
              <w:shd w:val="clear" w:color="FFFFFF" w:themeColor="background1" w:fill="FFFFFF" w:themeFill="background1"/>
              <w:ind w:firstLine="0"/>
              <w:jc w:val="center"/>
            </w:pPr>
            <w:r w:rsidRPr="00731FE2">
              <w:rPr>
                <w:rFonts w:ascii="Times New Roman" w:eastAsia="Times New Roman" w:hAnsi="Times New Roman" w:cs="Times New Roman"/>
                <w:color w:val="000000"/>
                <w:sz w:val="22"/>
              </w:rPr>
              <w:t>г. Кисловодск</w:t>
            </w:r>
          </w:p>
        </w:tc>
        <w:tc>
          <w:tcPr>
            <w:tcW w:w="2126" w:type="dxa"/>
            <w:tcBorders>
              <w:top w:val="single" w:sz="4" w:space="0" w:color="000000"/>
              <w:left w:val="single" w:sz="4" w:space="0" w:color="000000"/>
              <w:bottom w:val="single" w:sz="4" w:space="0" w:color="000000"/>
              <w:right w:val="single" w:sz="4" w:space="0" w:color="000000"/>
            </w:tcBorders>
            <w:shd w:val="clear" w:color="FFFFFF" w:fill="FFFFFF"/>
            <w:tcMar>
              <w:top w:w="0" w:type="dxa"/>
              <w:left w:w="57" w:type="dxa"/>
              <w:bottom w:w="0" w:type="dxa"/>
              <w:right w:w="57" w:type="dxa"/>
            </w:tcMar>
            <w:vAlign w:val="center"/>
          </w:tcPr>
          <w:p w14:paraId="259BC66B" w14:textId="77777777" w:rsidR="00171AA8" w:rsidRPr="00731FE2" w:rsidRDefault="007935AB">
            <w:pPr>
              <w:pBdr>
                <w:top w:val="none" w:sz="4" w:space="0" w:color="000000"/>
                <w:left w:val="none" w:sz="4" w:space="0" w:color="000000"/>
                <w:bottom w:val="none" w:sz="4" w:space="0" w:color="000000"/>
                <w:right w:val="none" w:sz="4" w:space="0" w:color="000000"/>
              </w:pBdr>
              <w:shd w:val="clear" w:color="FFFFFF" w:themeColor="background1" w:fill="FFFFFF" w:themeFill="background1"/>
              <w:ind w:firstLine="0"/>
              <w:jc w:val="center"/>
            </w:pPr>
            <w:r w:rsidRPr="00731FE2">
              <w:rPr>
                <w:rFonts w:ascii="Times New Roman" w:eastAsia="Times New Roman" w:hAnsi="Times New Roman" w:cs="Times New Roman"/>
                <w:color w:val="000000"/>
                <w:sz w:val="22"/>
              </w:rPr>
              <w:t>Осуществляется разработка ПСД</w:t>
            </w:r>
          </w:p>
        </w:tc>
        <w:tc>
          <w:tcPr>
            <w:tcW w:w="1984" w:type="dxa"/>
            <w:tcBorders>
              <w:top w:val="single" w:sz="4" w:space="0" w:color="000000"/>
              <w:left w:val="single" w:sz="4" w:space="0" w:color="000000"/>
              <w:bottom w:val="single" w:sz="4" w:space="0" w:color="000000"/>
              <w:right w:val="single" w:sz="4" w:space="0" w:color="000000"/>
            </w:tcBorders>
            <w:shd w:val="clear" w:color="FFFFFF" w:fill="FFFFFF"/>
            <w:tcMar>
              <w:top w:w="0" w:type="dxa"/>
              <w:left w:w="57" w:type="dxa"/>
              <w:bottom w:w="0" w:type="dxa"/>
              <w:right w:w="57" w:type="dxa"/>
            </w:tcMar>
            <w:vAlign w:val="center"/>
          </w:tcPr>
          <w:p w14:paraId="6417CBC3" w14:textId="77777777" w:rsidR="00171AA8" w:rsidRPr="00731FE2" w:rsidRDefault="007935AB">
            <w:pPr>
              <w:pBdr>
                <w:top w:val="none" w:sz="4" w:space="0" w:color="000000"/>
                <w:left w:val="none" w:sz="4" w:space="0" w:color="000000"/>
                <w:bottom w:val="none" w:sz="4" w:space="0" w:color="000000"/>
                <w:right w:val="none" w:sz="4" w:space="0" w:color="000000"/>
              </w:pBdr>
              <w:shd w:val="clear" w:color="FFFFFF" w:themeColor="background1" w:fill="FFFFFF" w:themeFill="background1"/>
              <w:ind w:firstLine="0"/>
              <w:jc w:val="center"/>
            </w:pPr>
            <w:r w:rsidRPr="00731FE2">
              <w:rPr>
                <w:rFonts w:ascii="Times New Roman" w:eastAsia="Times New Roman" w:hAnsi="Times New Roman" w:cs="Times New Roman"/>
                <w:color w:val="000000"/>
                <w:sz w:val="22"/>
              </w:rPr>
              <w:t>30.12.2026</w:t>
            </w:r>
          </w:p>
        </w:tc>
      </w:tr>
      <w:tr w:rsidR="00171AA8" w:rsidRPr="00731FE2" w14:paraId="0A3B1008" w14:textId="77777777">
        <w:tc>
          <w:tcPr>
            <w:tcW w:w="3402" w:type="dxa"/>
            <w:tcBorders>
              <w:top w:val="single" w:sz="4" w:space="0" w:color="000000"/>
              <w:left w:val="single" w:sz="4" w:space="0" w:color="000000"/>
              <w:bottom w:val="single" w:sz="4" w:space="0" w:color="000000"/>
              <w:right w:val="single" w:sz="4" w:space="0" w:color="000000"/>
            </w:tcBorders>
            <w:shd w:val="clear" w:color="FFFFFF" w:fill="FFFFFF"/>
            <w:tcMar>
              <w:top w:w="0" w:type="dxa"/>
              <w:left w:w="57" w:type="dxa"/>
              <w:bottom w:w="0" w:type="dxa"/>
              <w:right w:w="57" w:type="dxa"/>
            </w:tcMar>
            <w:vAlign w:val="center"/>
          </w:tcPr>
          <w:p w14:paraId="59407CFD" w14:textId="77777777" w:rsidR="00171AA8" w:rsidRPr="00731FE2" w:rsidRDefault="007935AB">
            <w:pPr>
              <w:pBdr>
                <w:top w:val="none" w:sz="4" w:space="0" w:color="000000"/>
                <w:left w:val="none" w:sz="4" w:space="0" w:color="000000"/>
                <w:bottom w:val="none" w:sz="4" w:space="0" w:color="000000"/>
                <w:right w:val="none" w:sz="4" w:space="0" w:color="000000"/>
              </w:pBdr>
              <w:shd w:val="clear" w:color="FFFFFF" w:themeColor="background1" w:fill="FFFFFF" w:themeFill="background1"/>
              <w:ind w:firstLine="0"/>
            </w:pPr>
            <w:r w:rsidRPr="00731FE2">
              <w:rPr>
                <w:rFonts w:ascii="Times New Roman" w:eastAsia="Times New Roman" w:hAnsi="Times New Roman" w:cs="Times New Roman"/>
                <w:color w:val="000000"/>
                <w:sz w:val="22"/>
              </w:rPr>
              <w:t>Строительство объездной дороги «Западный обход г.</w:t>
            </w:r>
            <w:r w:rsidR="0052190C" w:rsidRPr="00731FE2">
              <w:rPr>
                <w:rFonts w:ascii="Times New Roman" w:eastAsia="Times New Roman" w:hAnsi="Times New Roman" w:cs="Times New Roman"/>
                <w:color w:val="000000"/>
                <w:sz w:val="22"/>
              </w:rPr>
              <w:t xml:space="preserve"> </w:t>
            </w:r>
            <w:r w:rsidRPr="00731FE2">
              <w:rPr>
                <w:rFonts w:ascii="Times New Roman" w:eastAsia="Times New Roman" w:hAnsi="Times New Roman" w:cs="Times New Roman"/>
                <w:color w:val="000000"/>
                <w:sz w:val="22"/>
              </w:rPr>
              <w:t>Кисловодска» с выходом в п.</w:t>
            </w:r>
            <w:r w:rsidR="0052190C" w:rsidRPr="00731FE2">
              <w:rPr>
                <w:rFonts w:ascii="Times New Roman" w:eastAsia="Times New Roman" w:hAnsi="Times New Roman" w:cs="Times New Roman"/>
                <w:color w:val="000000"/>
                <w:sz w:val="22"/>
              </w:rPr>
              <w:t xml:space="preserve"> </w:t>
            </w:r>
            <w:r w:rsidRPr="00731FE2">
              <w:rPr>
                <w:rFonts w:ascii="Times New Roman" w:eastAsia="Times New Roman" w:hAnsi="Times New Roman" w:cs="Times New Roman"/>
                <w:color w:val="000000"/>
                <w:sz w:val="22"/>
              </w:rPr>
              <w:t>Аликоновка</w:t>
            </w:r>
          </w:p>
        </w:tc>
        <w:tc>
          <w:tcPr>
            <w:tcW w:w="1843" w:type="dxa"/>
            <w:tcBorders>
              <w:top w:val="single" w:sz="4" w:space="0" w:color="000000"/>
              <w:left w:val="single" w:sz="4" w:space="0" w:color="000000"/>
              <w:bottom w:val="single" w:sz="4" w:space="0" w:color="000000"/>
              <w:right w:val="single" w:sz="4" w:space="0" w:color="000000"/>
            </w:tcBorders>
            <w:shd w:val="clear" w:color="FFFFFF" w:fill="FFFFFF"/>
            <w:tcMar>
              <w:top w:w="0" w:type="dxa"/>
              <w:left w:w="57" w:type="dxa"/>
              <w:bottom w:w="0" w:type="dxa"/>
              <w:right w:w="57" w:type="dxa"/>
            </w:tcMar>
            <w:vAlign w:val="center"/>
          </w:tcPr>
          <w:p w14:paraId="1A07D1DA" w14:textId="77777777" w:rsidR="00171AA8" w:rsidRPr="00731FE2" w:rsidRDefault="007935AB">
            <w:pPr>
              <w:pBdr>
                <w:top w:val="none" w:sz="4" w:space="0" w:color="000000"/>
                <w:left w:val="none" w:sz="4" w:space="0" w:color="000000"/>
                <w:bottom w:val="none" w:sz="4" w:space="0" w:color="000000"/>
                <w:right w:val="none" w:sz="4" w:space="0" w:color="000000"/>
              </w:pBdr>
              <w:shd w:val="clear" w:color="FFFFFF" w:themeColor="background1" w:fill="FFFFFF" w:themeFill="background1"/>
              <w:ind w:firstLine="0"/>
              <w:jc w:val="center"/>
            </w:pPr>
            <w:r w:rsidRPr="00731FE2">
              <w:rPr>
                <w:rFonts w:ascii="Times New Roman" w:eastAsia="Times New Roman" w:hAnsi="Times New Roman" w:cs="Times New Roman"/>
                <w:color w:val="000000"/>
                <w:sz w:val="22"/>
              </w:rPr>
              <w:t>г. Кисловодск</w:t>
            </w:r>
          </w:p>
        </w:tc>
        <w:tc>
          <w:tcPr>
            <w:tcW w:w="2126" w:type="dxa"/>
            <w:tcBorders>
              <w:top w:val="single" w:sz="4" w:space="0" w:color="000000"/>
              <w:left w:val="single" w:sz="4" w:space="0" w:color="000000"/>
              <w:bottom w:val="single" w:sz="4" w:space="0" w:color="000000"/>
              <w:right w:val="single" w:sz="4" w:space="0" w:color="000000"/>
            </w:tcBorders>
            <w:shd w:val="clear" w:color="FFFFFF" w:fill="FFFFFF"/>
            <w:tcMar>
              <w:top w:w="0" w:type="dxa"/>
              <w:left w:w="57" w:type="dxa"/>
              <w:bottom w:w="0" w:type="dxa"/>
              <w:right w:w="57" w:type="dxa"/>
            </w:tcMar>
            <w:vAlign w:val="center"/>
          </w:tcPr>
          <w:p w14:paraId="390A46CD" w14:textId="77777777" w:rsidR="00171AA8" w:rsidRPr="00731FE2" w:rsidRDefault="007935AB">
            <w:pPr>
              <w:pBdr>
                <w:top w:val="none" w:sz="4" w:space="0" w:color="000000"/>
                <w:left w:val="none" w:sz="4" w:space="0" w:color="000000"/>
                <w:bottom w:val="none" w:sz="4" w:space="0" w:color="000000"/>
                <w:right w:val="none" w:sz="4" w:space="0" w:color="000000"/>
              </w:pBdr>
              <w:shd w:val="clear" w:color="FFFFFF" w:themeColor="background1" w:fill="FFFFFF" w:themeFill="background1"/>
              <w:ind w:firstLine="0"/>
              <w:jc w:val="center"/>
            </w:pPr>
            <w:r w:rsidRPr="00731FE2">
              <w:rPr>
                <w:rFonts w:ascii="Times New Roman" w:eastAsia="Times New Roman" w:hAnsi="Times New Roman" w:cs="Times New Roman"/>
                <w:color w:val="000000"/>
                <w:sz w:val="22"/>
              </w:rPr>
              <w:t>Заключен контракт на разработку ПСД</w:t>
            </w:r>
          </w:p>
        </w:tc>
        <w:tc>
          <w:tcPr>
            <w:tcW w:w="1984" w:type="dxa"/>
            <w:tcBorders>
              <w:top w:val="single" w:sz="4" w:space="0" w:color="000000"/>
              <w:left w:val="single" w:sz="4" w:space="0" w:color="000000"/>
              <w:bottom w:val="single" w:sz="4" w:space="0" w:color="000000"/>
              <w:right w:val="single" w:sz="4" w:space="0" w:color="000000"/>
            </w:tcBorders>
            <w:shd w:val="clear" w:color="FFFFFF" w:fill="FFFFFF"/>
            <w:tcMar>
              <w:top w:w="0" w:type="dxa"/>
              <w:left w:w="57" w:type="dxa"/>
              <w:bottom w:w="0" w:type="dxa"/>
              <w:right w:w="57" w:type="dxa"/>
            </w:tcMar>
            <w:vAlign w:val="center"/>
          </w:tcPr>
          <w:p w14:paraId="5A4AFF90" w14:textId="77777777" w:rsidR="00171AA8" w:rsidRPr="00731FE2" w:rsidRDefault="007935AB">
            <w:pPr>
              <w:pBdr>
                <w:top w:val="none" w:sz="4" w:space="0" w:color="000000"/>
                <w:left w:val="none" w:sz="4" w:space="0" w:color="000000"/>
                <w:bottom w:val="none" w:sz="4" w:space="0" w:color="000000"/>
                <w:right w:val="none" w:sz="4" w:space="0" w:color="000000"/>
              </w:pBdr>
              <w:shd w:val="clear" w:color="FFFFFF" w:themeColor="background1" w:fill="FFFFFF" w:themeFill="background1"/>
              <w:ind w:firstLine="0"/>
              <w:jc w:val="center"/>
            </w:pPr>
            <w:r w:rsidRPr="00731FE2">
              <w:rPr>
                <w:rFonts w:ascii="Times New Roman" w:eastAsia="Times New Roman" w:hAnsi="Times New Roman" w:cs="Times New Roman"/>
                <w:color w:val="000000"/>
                <w:sz w:val="22"/>
              </w:rPr>
              <w:t>30.12.2026</w:t>
            </w:r>
          </w:p>
        </w:tc>
      </w:tr>
      <w:tr w:rsidR="00171AA8" w:rsidRPr="00731FE2" w14:paraId="08278E84" w14:textId="77777777">
        <w:tc>
          <w:tcPr>
            <w:tcW w:w="3402" w:type="dxa"/>
            <w:tcBorders>
              <w:top w:val="single" w:sz="4" w:space="0" w:color="000000"/>
              <w:left w:val="single" w:sz="4" w:space="0" w:color="000000"/>
              <w:bottom w:val="single" w:sz="4" w:space="0" w:color="000000"/>
              <w:right w:val="single" w:sz="4" w:space="0" w:color="000000"/>
            </w:tcBorders>
            <w:shd w:val="clear" w:color="FFFFFF" w:fill="FFFFFF"/>
            <w:tcMar>
              <w:top w:w="0" w:type="dxa"/>
              <w:left w:w="57" w:type="dxa"/>
              <w:bottom w:w="0" w:type="dxa"/>
              <w:right w:w="57" w:type="dxa"/>
            </w:tcMar>
            <w:vAlign w:val="center"/>
          </w:tcPr>
          <w:p w14:paraId="16E2B8C8" w14:textId="77777777" w:rsidR="00171AA8" w:rsidRPr="00731FE2" w:rsidRDefault="007935AB">
            <w:pPr>
              <w:pBdr>
                <w:top w:val="none" w:sz="4" w:space="0" w:color="000000"/>
                <w:left w:val="none" w:sz="4" w:space="0" w:color="000000"/>
                <w:bottom w:val="none" w:sz="4" w:space="0" w:color="000000"/>
                <w:right w:val="none" w:sz="4" w:space="0" w:color="000000"/>
              </w:pBdr>
              <w:shd w:val="clear" w:color="FFFFFF" w:themeColor="background1" w:fill="FFFFFF" w:themeFill="background1"/>
              <w:ind w:firstLine="0"/>
            </w:pPr>
            <w:r w:rsidRPr="00731FE2">
              <w:rPr>
                <w:rFonts w:ascii="Times New Roman" w:eastAsia="Times New Roman" w:hAnsi="Times New Roman" w:cs="Times New Roman"/>
                <w:color w:val="000000"/>
                <w:sz w:val="22"/>
              </w:rPr>
              <w:t xml:space="preserve">Строительство путепроводной развязки на 63-м километре железной дороги Минеральные </w:t>
            </w:r>
            <w:proofErr w:type="gramStart"/>
            <w:r w:rsidRPr="00731FE2">
              <w:rPr>
                <w:rFonts w:ascii="Times New Roman" w:eastAsia="Times New Roman" w:hAnsi="Times New Roman" w:cs="Times New Roman"/>
                <w:color w:val="000000"/>
                <w:sz w:val="22"/>
              </w:rPr>
              <w:t>Воды-Кисловодск</w:t>
            </w:r>
            <w:proofErr w:type="gramEnd"/>
            <w:r w:rsidRPr="00731FE2">
              <w:rPr>
                <w:rFonts w:ascii="Times New Roman" w:eastAsia="Times New Roman" w:hAnsi="Times New Roman" w:cs="Times New Roman"/>
                <w:color w:val="000000"/>
                <w:sz w:val="22"/>
              </w:rPr>
              <w:t xml:space="preserve"> Северо-Кавказской железной дороги</w:t>
            </w:r>
          </w:p>
        </w:tc>
        <w:tc>
          <w:tcPr>
            <w:tcW w:w="1843" w:type="dxa"/>
            <w:tcBorders>
              <w:top w:val="single" w:sz="4" w:space="0" w:color="000000"/>
              <w:left w:val="single" w:sz="4" w:space="0" w:color="000000"/>
              <w:bottom w:val="single" w:sz="4" w:space="0" w:color="000000"/>
              <w:right w:val="single" w:sz="4" w:space="0" w:color="000000"/>
            </w:tcBorders>
            <w:shd w:val="clear" w:color="FFFFFF" w:fill="FFFFFF"/>
            <w:tcMar>
              <w:top w:w="0" w:type="dxa"/>
              <w:left w:w="57" w:type="dxa"/>
              <w:bottom w:w="0" w:type="dxa"/>
              <w:right w:w="57" w:type="dxa"/>
            </w:tcMar>
            <w:vAlign w:val="center"/>
          </w:tcPr>
          <w:p w14:paraId="12D79B23" w14:textId="77777777" w:rsidR="00171AA8" w:rsidRPr="00731FE2" w:rsidRDefault="007935AB">
            <w:pPr>
              <w:pBdr>
                <w:top w:val="none" w:sz="4" w:space="0" w:color="000000"/>
                <w:left w:val="none" w:sz="4" w:space="0" w:color="000000"/>
                <w:bottom w:val="none" w:sz="4" w:space="0" w:color="000000"/>
                <w:right w:val="none" w:sz="4" w:space="0" w:color="000000"/>
              </w:pBdr>
              <w:shd w:val="clear" w:color="FFFFFF" w:themeColor="background1" w:fill="FFFFFF" w:themeFill="background1"/>
              <w:ind w:firstLine="0"/>
              <w:jc w:val="center"/>
            </w:pPr>
            <w:r w:rsidRPr="00731FE2">
              <w:rPr>
                <w:rFonts w:ascii="Times New Roman" w:eastAsia="Times New Roman" w:hAnsi="Times New Roman" w:cs="Times New Roman"/>
                <w:color w:val="000000"/>
                <w:sz w:val="22"/>
              </w:rPr>
              <w:t>г. Кисловодск</w:t>
            </w:r>
          </w:p>
        </w:tc>
        <w:tc>
          <w:tcPr>
            <w:tcW w:w="2126" w:type="dxa"/>
            <w:tcBorders>
              <w:top w:val="single" w:sz="4" w:space="0" w:color="000000"/>
              <w:left w:val="single" w:sz="4" w:space="0" w:color="000000"/>
              <w:bottom w:val="single" w:sz="4" w:space="0" w:color="000000"/>
              <w:right w:val="single" w:sz="4" w:space="0" w:color="000000"/>
            </w:tcBorders>
            <w:shd w:val="clear" w:color="FFFFFF" w:fill="FFFFFF"/>
            <w:tcMar>
              <w:top w:w="0" w:type="dxa"/>
              <w:left w:w="57" w:type="dxa"/>
              <w:bottom w:w="0" w:type="dxa"/>
              <w:right w:w="57" w:type="dxa"/>
            </w:tcMar>
            <w:vAlign w:val="center"/>
          </w:tcPr>
          <w:p w14:paraId="74675651" w14:textId="77777777" w:rsidR="00171AA8" w:rsidRPr="00731FE2" w:rsidRDefault="007935AB">
            <w:pPr>
              <w:pBdr>
                <w:top w:val="none" w:sz="4" w:space="0" w:color="000000"/>
                <w:left w:val="none" w:sz="4" w:space="0" w:color="000000"/>
                <w:bottom w:val="none" w:sz="4" w:space="0" w:color="000000"/>
                <w:right w:val="none" w:sz="4" w:space="0" w:color="000000"/>
              </w:pBdr>
              <w:shd w:val="clear" w:color="FFFFFF" w:themeColor="background1" w:fill="FFFFFF" w:themeFill="background1"/>
              <w:ind w:firstLine="0"/>
              <w:jc w:val="center"/>
            </w:pPr>
            <w:r w:rsidRPr="00731FE2">
              <w:rPr>
                <w:rFonts w:ascii="Times New Roman" w:eastAsia="Times New Roman" w:hAnsi="Times New Roman" w:cs="Times New Roman"/>
                <w:color w:val="000000"/>
                <w:sz w:val="22"/>
              </w:rPr>
              <w:t xml:space="preserve">в Миндор СК направлен пакет документов для </w:t>
            </w:r>
            <w:r w:rsidR="002455DE" w:rsidRPr="00731FE2">
              <w:rPr>
                <w:rFonts w:ascii="Times New Roman" w:eastAsia="Times New Roman" w:hAnsi="Times New Roman" w:cs="Times New Roman"/>
                <w:color w:val="000000"/>
                <w:sz w:val="22"/>
              </w:rPr>
              <w:t>включения</w:t>
            </w:r>
            <w:r w:rsidRPr="00731FE2">
              <w:rPr>
                <w:rFonts w:ascii="Times New Roman" w:eastAsia="Times New Roman" w:hAnsi="Times New Roman" w:cs="Times New Roman"/>
                <w:color w:val="000000"/>
                <w:sz w:val="22"/>
              </w:rPr>
              <w:t xml:space="preserve"> в ФАИП.</w:t>
            </w:r>
          </w:p>
        </w:tc>
        <w:tc>
          <w:tcPr>
            <w:tcW w:w="1984" w:type="dxa"/>
            <w:tcBorders>
              <w:top w:val="single" w:sz="4" w:space="0" w:color="000000"/>
              <w:left w:val="single" w:sz="4" w:space="0" w:color="000000"/>
              <w:bottom w:val="single" w:sz="4" w:space="0" w:color="000000"/>
              <w:right w:val="single" w:sz="4" w:space="0" w:color="000000"/>
            </w:tcBorders>
            <w:shd w:val="clear" w:color="FFFFFF" w:fill="FFFFFF"/>
            <w:tcMar>
              <w:top w:w="0" w:type="dxa"/>
              <w:left w:w="57" w:type="dxa"/>
              <w:bottom w:w="0" w:type="dxa"/>
              <w:right w:w="57" w:type="dxa"/>
            </w:tcMar>
            <w:vAlign w:val="center"/>
          </w:tcPr>
          <w:p w14:paraId="3B676201" w14:textId="77777777" w:rsidR="00171AA8" w:rsidRPr="00731FE2" w:rsidRDefault="007935AB">
            <w:pPr>
              <w:pBdr>
                <w:top w:val="none" w:sz="4" w:space="0" w:color="000000"/>
                <w:left w:val="none" w:sz="4" w:space="0" w:color="000000"/>
                <w:bottom w:val="none" w:sz="4" w:space="0" w:color="000000"/>
                <w:right w:val="none" w:sz="4" w:space="0" w:color="000000"/>
              </w:pBdr>
              <w:shd w:val="clear" w:color="FFFFFF" w:themeColor="background1" w:fill="FFFFFF" w:themeFill="background1"/>
              <w:ind w:firstLine="0"/>
              <w:jc w:val="center"/>
            </w:pPr>
            <w:r w:rsidRPr="00731FE2">
              <w:rPr>
                <w:rFonts w:ascii="Times New Roman" w:eastAsia="Times New Roman" w:hAnsi="Times New Roman" w:cs="Times New Roman"/>
                <w:color w:val="000000"/>
                <w:sz w:val="22"/>
              </w:rPr>
              <w:t>30.12.2026</w:t>
            </w:r>
          </w:p>
        </w:tc>
      </w:tr>
      <w:tr w:rsidR="00171AA8" w:rsidRPr="00731FE2" w14:paraId="52918BA1" w14:textId="77777777">
        <w:tc>
          <w:tcPr>
            <w:tcW w:w="3402" w:type="dxa"/>
            <w:tcBorders>
              <w:top w:val="single" w:sz="4" w:space="0" w:color="000000"/>
              <w:left w:val="single" w:sz="4" w:space="0" w:color="000000"/>
              <w:bottom w:val="single" w:sz="4" w:space="0" w:color="000000"/>
              <w:right w:val="single" w:sz="4" w:space="0" w:color="000000"/>
            </w:tcBorders>
            <w:shd w:val="clear" w:color="FFFFFF" w:fill="FFFFFF"/>
            <w:tcMar>
              <w:top w:w="0" w:type="dxa"/>
              <w:left w:w="57" w:type="dxa"/>
              <w:bottom w:w="0" w:type="dxa"/>
              <w:right w:w="57" w:type="dxa"/>
            </w:tcMar>
            <w:vAlign w:val="center"/>
          </w:tcPr>
          <w:p w14:paraId="709322BC" w14:textId="77777777" w:rsidR="00171AA8" w:rsidRPr="00731FE2" w:rsidRDefault="007935AB">
            <w:pPr>
              <w:pBdr>
                <w:top w:val="none" w:sz="4" w:space="0" w:color="000000"/>
                <w:left w:val="none" w:sz="4" w:space="0" w:color="000000"/>
                <w:bottom w:val="none" w:sz="4" w:space="0" w:color="000000"/>
                <w:right w:val="none" w:sz="4" w:space="0" w:color="000000"/>
              </w:pBdr>
              <w:shd w:val="clear" w:color="FFFFFF" w:themeColor="background1" w:fill="FFFFFF" w:themeFill="background1"/>
              <w:ind w:firstLine="0"/>
            </w:pPr>
            <w:r w:rsidRPr="00731FE2">
              <w:rPr>
                <w:rFonts w:ascii="Times New Roman" w:eastAsia="Times New Roman" w:hAnsi="Times New Roman" w:cs="Times New Roman"/>
                <w:color w:val="000000"/>
                <w:sz w:val="22"/>
              </w:rPr>
              <w:t>Строительство автомобильной дороги к инвестиционной площадке «Солнечная долина» в городе-курорте Кисловодске</w:t>
            </w:r>
          </w:p>
        </w:tc>
        <w:tc>
          <w:tcPr>
            <w:tcW w:w="1843" w:type="dxa"/>
            <w:tcBorders>
              <w:top w:val="single" w:sz="4" w:space="0" w:color="000000"/>
              <w:left w:val="single" w:sz="4" w:space="0" w:color="000000"/>
              <w:bottom w:val="single" w:sz="4" w:space="0" w:color="000000"/>
              <w:right w:val="single" w:sz="4" w:space="0" w:color="000000"/>
            </w:tcBorders>
            <w:shd w:val="clear" w:color="FFFFFF" w:fill="FFFFFF"/>
            <w:tcMar>
              <w:top w:w="0" w:type="dxa"/>
              <w:left w:w="57" w:type="dxa"/>
              <w:bottom w:w="0" w:type="dxa"/>
              <w:right w:w="57" w:type="dxa"/>
            </w:tcMar>
            <w:vAlign w:val="center"/>
          </w:tcPr>
          <w:p w14:paraId="57A87CC2" w14:textId="77777777" w:rsidR="00171AA8" w:rsidRPr="00731FE2" w:rsidRDefault="007935AB">
            <w:pPr>
              <w:pBdr>
                <w:top w:val="none" w:sz="4" w:space="0" w:color="000000"/>
                <w:left w:val="none" w:sz="4" w:space="0" w:color="000000"/>
                <w:bottom w:val="none" w:sz="4" w:space="0" w:color="000000"/>
                <w:right w:val="none" w:sz="4" w:space="0" w:color="000000"/>
              </w:pBdr>
              <w:shd w:val="clear" w:color="FFFFFF" w:themeColor="background1" w:fill="FFFFFF" w:themeFill="background1"/>
              <w:ind w:firstLine="0"/>
              <w:jc w:val="center"/>
            </w:pPr>
            <w:r w:rsidRPr="00731FE2">
              <w:rPr>
                <w:rFonts w:ascii="Times New Roman" w:eastAsia="Times New Roman" w:hAnsi="Times New Roman" w:cs="Times New Roman"/>
                <w:color w:val="000000"/>
                <w:sz w:val="22"/>
              </w:rPr>
              <w:t>г. Кисловодск</w:t>
            </w:r>
          </w:p>
        </w:tc>
        <w:tc>
          <w:tcPr>
            <w:tcW w:w="2126" w:type="dxa"/>
            <w:tcBorders>
              <w:top w:val="single" w:sz="4" w:space="0" w:color="000000"/>
              <w:left w:val="single" w:sz="4" w:space="0" w:color="000000"/>
              <w:bottom w:val="single" w:sz="4" w:space="0" w:color="000000"/>
              <w:right w:val="single" w:sz="4" w:space="0" w:color="000000"/>
            </w:tcBorders>
            <w:shd w:val="clear" w:color="FFFFFF" w:fill="FFFFFF"/>
            <w:tcMar>
              <w:top w:w="0" w:type="dxa"/>
              <w:left w:w="57" w:type="dxa"/>
              <w:bottom w:w="0" w:type="dxa"/>
              <w:right w:w="57" w:type="dxa"/>
            </w:tcMar>
            <w:vAlign w:val="center"/>
          </w:tcPr>
          <w:p w14:paraId="75C6FF0E" w14:textId="77777777" w:rsidR="00171AA8" w:rsidRPr="00731FE2" w:rsidRDefault="007935AB">
            <w:pPr>
              <w:pBdr>
                <w:top w:val="none" w:sz="4" w:space="0" w:color="000000"/>
                <w:left w:val="none" w:sz="4" w:space="0" w:color="000000"/>
                <w:bottom w:val="none" w:sz="4" w:space="0" w:color="000000"/>
                <w:right w:val="none" w:sz="4" w:space="0" w:color="000000"/>
              </w:pBdr>
              <w:shd w:val="clear" w:color="FFFFFF" w:themeColor="background1" w:fill="FFFFFF" w:themeFill="background1"/>
              <w:ind w:firstLine="0"/>
              <w:jc w:val="center"/>
            </w:pPr>
            <w:r w:rsidRPr="00731FE2">
              <w:rPr>
                <w:rFonts w:ascii="Times New Roman" w:eastAsia="Times New Roman" w:hAnsi="Times New Roman" w:cs="Times New Roman"/>
                <w:color w:val="000000"/>
                <w:sz w:val="22"/>
              </w:rPr>
              <w:t>в Миндор СК направлен пакет документов для включения в ФАИП</w:t>
            </w:r>
          </w:p>
        </w:tc>
        <w:tc>
          <w:tcPr>
            <w:tcW w:w="1984" w:type="dxa"/>
            <w:tcBorders>
              <w:top w:val="single" w:sz="4" w:space="0" w:color="000000"/>
              <w:left w:val="single" w:sz="4" w:space="0" w:color="000000"/>
              <w:bottom w:val="single" w:sz="4" w:space="0" w:color="000000"/>
              <w:right w:val="single" w:sz="4" w:space="0" w:color="000000"/>
            </w:tcBorders>
            <w:shd w:val="clear" w:color="FFFFFF" w:fill="FFFFFF"/>
            <w:tcMar>
              <w:top w:w="0" w:type="dxa"/>
              <w:left w:w="57" w:type="dxa"/>
              <w:bottom w:w="0" w:type="dxa"/>
              <w:right w:w="57" w:type="dxa"/>
            </w:tcMar>
            <w:vAlign w:val="center"/>
          </w:tcPr>
          <w:p w14:paraId="6E33C175" w14:textId="77777777" w:rsidR="00171AA8" w:rsidRPr="00731FE2" w:rsidRDefault="007935AB">
            <w:pPr>
              <w:pBdr>
                <w:top w:val="none" w:sz="4" w:space="0" w:color="000000"/>
                <w:left w:val="none" w:sz="4" w:space="0" w:color="000000"/>
                <w:bottom w:val="none" w:sz="4" w:space="0" w:color="000000"/>
                <w:right w:val="none" w:sz="4" w:space="0" w:color="000000"/>
              </w:pBdr>
              <w:shd w:val="clear" w:color="FFFFFF" w:themeColor="background1" w:fill="FFFFFF" w:themeFill="background1"/>
              <w:ind w:firstLine="0"/>
              <w:jc w:val="center"/>
            </w:pPr>
            <w:r w:rsidRPr="00731FE2">
              <w:rPr>
                <w:rFonts w:ascii="Times New Roman" w:eastAsia="Times New Roman" w:hAnsi="Times New Roman" w:cs="Times New Roman"/>
                <w:color w:val="000000"/>
                <w:sz w:val="22"/>
              </w:rPr>
              <w:t>30.12.2026</w:t>
            </w:r>
          </w:p>
        </w:tc>
      </w:tr>
      <w:tr w:rsidR="00171AA8" w:rsidRPr="00731FE2" w14:paraId="4C2FBDF8" w14:textId="77777777">
        <w:tc>
          <w:tcPr>
            <w:tcW w:w="3402" w:type="dxa"/>
            <w:tcBorders>
              <w:top w:val="single" w:sz="4" w:space="0" w:color="000000"/>
              <w:left w:val="single" w:sz="4" w:space="0" w:color="000000"/>
              <w:bottom w:val="single" w:sz="4" w:space="0" w:color="000000"/>
              <w:right w:val="single" w:sz="4" w:space="0" w:color="000000"/>
            </w:tcBorders>
            <w:shd w:val="clear" w:color="FFFFFF" w:fill="FFFFFF"/>
            <w:tcMar>
              <w:top w:w="0" w:type="dxa"/>
              <w:left w:w="57" w:type="dxa"/>
              <w:bottom w:w="0" w:type="dxa"/>
              <w:right w:w="57" w:type="dxa"/>
            </w:tcMar>
            <w:vAlign w:val="center"/>
          </w:tcPr>
          <w:p w14:paraId="34A68F82" w14:textId="4080EA21" w:rsidR="00171AA8" w:rsidRPr="00731FE2" w:rsidRDefault="007935AB" w:rsidP="005E3E3A">
            <w:pPr>
              <w:shd w:val="clear" w:color="FFFFFF" w:themeColor="background1" w:fill="FFFFFF" w:themeFill="background1"/>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 xml:space="preserve">Реконструкция </w:t>
            </w:r>
            <w:r w:rsidR="005E3E3A" w:rsidRPr="00731FE2">
              <w:rPr>
                <w:rFonts w:ascii="Times New Roman" w:eastAsia="Times New Roman" w:hAnsi="Times New Roman" w:cs="Times New Roman"/>
                <w:color w:val="000000"/>
                <w:sz w:val="22"/>
              </w:rPr>
              <w:t>автомобильная дорога общего пользования регионального значения «Кисловодск – Карачаевск (в границах Ставропольского края)</w:t>
            </w:r>
            <w:r w:rsidRPr="00731FE2">
              <w:rPr>
                <w:rFonts w:ascii="Times New Roman" w:eastAsia="Times New Roman" w:hAnsi="Times New Roman" w:cs="Times New Roman"/>
                <w:color w:val="000000"/>
                <w:sz w:val="22"/>
              </w:rPr>
              <w:t xml:space="preserve">, </w:t>
            </w:r>
            <w:proofErr w:type="gramStart"/>
            <w:r w:rsidRPr="00731FE2">
              <w:rPr>
                <w:rFonts w:ascii="Times New Roman" w:eastAsia="Times New Roman" w:hAnsi="Times New Roman" w:cs="Times New Roman"/>
                <w:color w:val="000000"/>
                <w:sz w:val="22"/>
              </w:rPr>
              <w:t>км</w:t>
            </w:r>
            <w:proofErr w:type="gramEnd"/>
            <w:r w:rsidRPr="00731FE2">
              <w:rPr>
                <w:rFonts w:ascii="Times New Roman" w:eastAsia="Times New Roman" w:hAnsi="Times New Roman" w:cs="Times New Roman"/>
                <w:color w:val="000000"/>
                <w:sz w:val="22"/>
              </w:rPr>
              <w:t xml:space="preserve"> 0+000 - км 7+200</w:t>
            </w:r>
          </w:p>
        </w:tc>
        <w:tc>
          <w:tcPr>
            <w:tcW w:w="1843" w:type="dxa"/>
            <w:tcBorders>
              <w:top w:val="single" w:sz="4" w:space="0" w:color="000000"/>
              <w:left w:val="single" w:sz="4" w:space="0" w:color="000000"/>
              <w:bottom w:val="single" w:sz="4" w:space="0" w:color="000000"/>
              <w:right w:val="single" w:sz="4" w:space="0" w:color="000000"/>
            </w:tcBorders>
            <w:shd w:val="clear" w:color="FFFFFF" w:fill="FFFFFF"/>
            <w:tcMar>
              <w:top w:w="0" w:type="dxa"/>
              <w:left w:w="57" w:type="dxa"/>
              <w:bottom w:w="0" w:type="dxa"/>
              <w:right w:w="57" w:type="dxa"/>
            </w:tcMar>
            <w:vAlign w:val="center"/>
          </w:tcPr>
          <w:p w14:paraId="74DC36E7" w14:textId="77777777" w:rsidR="00171AA8" w:rsidRPr="00731FE2" w:rsidRDefault="007935AB">
            <w:pPr>
              <w:pBdr>
                <w:top w:val="none" w:sz="4" w:space="0" w:color="000000"/>
                <w:left w:val="none" w:sz="4" w:space="0" w:color="000000"/>
                <w:bottom w:val="none" w:sz="4" w:space="0" w:color="000000"/>
                <w:right w:val="none" w:sz="4" w:space="0" w:color="000000"/>
              </w:pBdr>
              <w:shd w:val="clear" w:color="FFFFFF" w:themeColor="background1" w:fill="FFFFFF" w:themeFill="background1"/>
              <w:ind w:firstLine="0"/>
              <w:jc w:val="center"/>
            </w:pPr>
            <w:r w:rsidRPr="00731FE2">
              <w:rPr>
                <w:rFonts w:ascii="Times New Roman" w:eastAsia="Times New Roman" w:hAnsi="Times New Roman" w:cs="Times New Roman"/>
                <w:color w:val="000000"/>
                <w:sz w:val="22"/>
              </w:rPr>
              <w:t>(в границах Ставропольского края)</w:t>
            </w:r>
          </w:p>
        </w:tc>
        <w:tc>
          <w:tcPr>
            <w:tcW w:w="2126" w:type="dxa"/>
            <w:tcBorders>
              <w:top w:val="single" w:sz="4" w:space="0" w:color="000000"/>
              <w:left w:val="single" w:sz="4" w:space="0" w:color="000000"/>
              <w:bottom w:val="single" w:sz="4" w:space="0" w:color="000000"/>
              <w:right w:val="single" w:sz="4" w:space="0" w:color="000000"/>
            </w:tcBorders>
            <w:shd w:val="clear" w:color="FFFFFF" w:fill="FFFFFF"/>
            <w:tcMar>
              <w:top w:w="0" w:type="dxa"/>
              <w:left w:w="57" w:type="dxa"/>
              <w:bottom w:w="0" w:type="dxa"/>
              <w:right w:w="57" w:type="dxa"/>
            </w:tcMar>
            <w:vAlign w:val="center"/>
          </w:tcPr>
          <w:p w14:paraId="3F334377" w14:textId="77777777" w:rsidR="00171AA8" w:rsidRPr="00731FE2" w:rsidRDefault="007935AB">
            <w:pPr>
              <w:pBdr>
                <w:top w:val="none" w:sz="4" w:space="0" w:color="000000"/>
                <w:left w:val="none" w:sz="4" w:space="0" w:color="000000"/>
                <w:bottom w:val="none" w:sz="4" w:space="0" w:color="000000"/>
                <w:right w:val="none" w:sz="4" w:space="0" w:color="000000"/>
              </w:pBdr>
              <w:shd w:val="clear" w:color="FFFFFF" w:themeColor="background1" w:fill="FFFFFF" w:themeFill="background1"/>
              <w:ind w:firstLine="0"/>
              <w:jc w:val="center"/>
            </w:pPr>
            <w:r w:rsidRPr="00731FE2">
              <w:rPr>
                <w:rFonts w:ascii="Times New Roman" w:eastAsia="Times New Roman" w:hAnsi="Times New Roman" w:cs="Times New Roman"/>
                <w:color w:val="000000"/>
                <w:sz w:val="22"/>
              </w:rPr>
              <w:t>ПСД - 2018 год.</w:t>
            </w:r>
          </w:p>
          <w:p w14:paraId="2CAFF656" w14:textId="77777777" w:rsidR="00171AA8" w:rsidRPr="00731FE2" w:rsidRDefault="007935AB">
            <w:pPr>
              <w:pBdr>
                <w:top w:val="none" w:sz="4" w:space="0" w:color="000000"/>
                <w:left w:val="none" w:sz="4" w:space="0" w:color="000000"/>
                <w:bottom w:val="none" w:sz="4" w:space="0" w:color="000000"/>
                <w:right w:val="none" w:sz="4" w:space="0" w:color="000000"/>
              </w:pBdr>
              <w:shd w:val="clear" w:color="FFFFFF" w:themeColor="background1" w:fill="FFFFFF" w:themeFill="background1"/>
              <w:ind w:firstLine="0"/>
              <w:jc w:val="center"/>
            </w:pPr>
            <w:r w:rsidRPr="00731FE2">
              <w:rPr>
                <w:rFonts w:ascii="Times New Roman" w:eastAsia="Times New Roman" w:hAnsi="Times New Roman" w:cs="Times New Roman"/>
                <w:color w:val="000000"/>
                <w:sz w:val="22"/>
              </w:rPr>
              <w:t>Гос</w:t>
            </w:r>
            <w:proofErr w:type="gramStart"/>
            <w:r w:rsidRPr="00731FE2">
              <w:rPr>
                <w:rFonts w:ascii="Times New Roman" w:eastAsia="Times New Roman" w:hAnsi="Times New Roman" w:cs="Times New Roman"/>
                <w:color w:val="000000"/>
                <w:sz w:val="22"/>
              </w:rPr>
              <w:t>.э</w:t>
            </w:r>
            <w:proofErr w:type="gramEnd"/>
            <w:r w:rsidRPr="00731FE2">
              <w:rPr>
                <w:rFonts w:ascii="Times New Roman" w:eastAsia="Times New Roman" w:hAnsi="Times New Roman" w:cs="Times New Roman"/>
                <w:color w:val="000000"/>
                <w:sz w:val="22"/>
              </w:rPr>
              <w:t>кспертиза - 29.11.2018 год</w:t>
            </w:r>
          </w:p>
        </w:tc>
        <w:tc>
          <w:tcPr>
            <w:tcW w:w="1984" w:type="dxa"/>
            <w:tcBorders>
              <w:top w:val="single" w:sz="4" w:space="0" w:color="000000"/>
              <w:left w:val="single" w:sz="4" w:space="0" w:color="000000"/>
              <w:bottom w:val="single" w:sz="4" w:space="0" w:color="000000"/>
              <w:right w:val="single" w:sz="4" w:space="0" w:color="000000"/>
            </w:tcBorders>
            <w:shd w:val="clear" w:color="FFFFFF" w:fill="FFFFFF"/>
            <w:tcMar>
              <w:top w:w="0" w:type="dxa"/>
              <w:left w:w="57" w:type="dxa"/>
              <w:bottom w:w="0" w:type="dxa"/>
              <w:right w:w="57" w:type="dxa"/>
            </w:tcMar>
            <w:vAlign w:val="center"/>
          </w:tcPr>
          <w:p w14:paraId="758A0D5E" w14:textId="77777777" w:rsidR="00171AA8" w:rsidRPr="00731FE2" w:rsidRDefault="007935AB">
            <w:pPr>
              <w:pBdr>
                <w:top w:val="none" w:sz="4" w:space="0" w:color="000000"/>
                <w:left w:val="none" w:sz="4" w:space="0" w:color="000000"/>
                <w:bottom w:val="none" w:sz="4" w:space="0" w:color="000000"/>
                <w:right w:val="none" w:sz="4" w:space="0" w:color="000000"/>
              </w:pBdr>
              <w:shd w:val="clear" w:color="FFFFFF" w:themeColor="background1" w:fill="FFFFFF" w:themeFill="background1"/>
              <w:ind w:firstLine="0"/>
              <w:jc w:val="center"/>
            </w:pPr>
            <w:r w:rsidRPr="00731FE2">
              <w:rPr>
                <w:rFonts w:ascii="Times New Roman" w:eastAsia="Times New Roman" w:hAnsi="Times New Roman" w:cs="Times New Roman"/>
                <w:color w:val="000000"/>
                <w:sz w:val="22"/>
              </w:rPr>
              <w:t>01.11.2026</w:t>
            </w:r>
          </w:p>
        </w:tc>
      </w:tr>
      <w:tr w:rsidR="00171AA8" w:rsidRPr="00731FE2" w14:paraId="35081845" w14:textId="77777777">
        <w:tc>
          <w:tcPr>
            <w:tcW w:w="3402" w:type="dxa"/>
            <w:tcBorders>
              <w:top w:val="single" w:sz="4" w:space="0" w:color="000000"/>
              <w:left w:val="single" w:sz="4" w:space="0" w:color="000000"/>
              <w:bottom w:val="single" w:sz="4" w:space="0" w:color="000000"/>
              <w:right w:val="single" w:sz="4" w:space="0" w:color="000000"/>
            </w:tcBorders>
            <w:shd w:val="clear" w:color="FFFFFF" w:fill="FFFFFF"/>
            <w:tcMar>
              <w:top w:w="0" w:type="dxa"/>
              <w:left w:w="57" w:type="dxa"/>
              <w:bottom w:w="0" w:type="dxa"/>
              <w:right w:w="57" w:type="dxa"/>
            </w:tcMar>
            <w:vAlign w:val="center"/>
          </w:tcPr>
          <w:p w14:paraId="5E979F72" w14:textId="756CB9C3" w:rsidR="00171AA8" w:rsidRPr="00731FE2" w:rsidRDefault="009F6F1D">
            <w:pPr>
              <w:pBdr>
                <w:top w:val="none" w:sz="4" w:space="0" w:color="000000"/>
                <w:left w:val="none" w:sz="4" w:space="0" w:color="000000"/>
                <w:bottom w:val="none" w:sz="4" w:space="0" w:color="000000"/>
                <w:right w:val="none" w:sz="4" w:space="0" w:color="000000"/>
              </w:pBdr>
              <w:shd w:val="clear" w:color="FFFFFF" w:themeColor="background1" w:fill="FFFFFF" w:themeFill="background1"/>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Строительство автомобильной дороги «Западный обход» г. Кисловодска до п. Левоберезовский</w:t>
            </w:r>
          </w:p>
        </w:tc>
        <w:tc>
          <w:tcPr>
            <w:tcW w:w="1843" w:type="dxa"/>
            <w:tcBorders>
              <w:top w:val="single" w:sz="4" w:space="0" w:color="000000"/>
              <w:left w:val="single" w:sz="4" w:space="0" w:color="000000"/>
              <w:bottom w:val="single" w:sz="4" w:space="0" w:color="000000"/>
              <w:right w:val="single" w:sz="4" w:space="0" w:color="000000"/>
            </w:tcBorders>
            <w:shd w:val="clear" w:color="FFFFFF" w:fill="FFFFFF"/>
            <w:tcMar>
              <w:top w:w="0" w:type="dxa"/>
              <w:left w:w="57" w:type="dxa"/>
              <w:bottom w:w="0" w:type="dxa"/>
              <w:right w:w="57" w:type="dxa"/>
            </w:tcMar>
            <w:vAlign w:val="center"/>
          </w:tcPr>
          <w:p w14:paraId="79CCB5C6" w14:textId="77777777" w:rsidR="00171AA8" w:rsidRPr="00731FE2" w:rsidRDefault="007935AB">
            <w:pPr>
              <w:pBdr>
                <w:top w:val="none" w:sz="4" w:space="0" w:color="000000"/>
                <w:left w:val="none" w:sz="4" w:space="0" w:color="000000"/>
                <w:bottom w:val="none" w:sz="4" w:space="0" w:color="000000"/>
                <w:right w:val="none" w:sz="4" w:space="0" w:color="000000"/>
              </w:pBdr>
              <w:shd w:val="clear" w:color="FFFFFF" w:themeColor="background1" w:fill="FFFFFF" w:themeFill="background1"/>
              <w:ind w:firstLine="0"/>
              <w:jc w:val="center"/>
            </w:pPr>
            <w:r w:rsidRPr="00731FE2">
              <w:rPr>
                <w:rFonts w:ascii="Times New Roman" w:eastAsia="Times New Roman" w:hAnsi="Times New Roman" w:cs="Times New Roman"/>
                <w:color w:val="000000"/>
                <w:sz w:val="22"/>
              </w:rPr>
              <w:t>г. Кисловодск</w:t>
            </w:r>
          </w:p>
        </w:tc>
        <w:tc>
          <w:tcPr>
            <w:tcW w:w="2126" w:type="dxa"/>
            <w:tcBorders>
              <w:top w:val="single" w:sz="4" w:space="0" w:color="000000"/>
              <w:left w:val="single" w:sz="4" w:space="0" w:color="000000"/>
              <w:bottom w:val="single" w:sz="4" w:space="0" w:color="000000"/>
              <w:right w:val="single" w:sz="4" w:space="0" w:color="000000"/>
            </w:tcBorders>
            <w:shd w:val="clear" w:color="FFFFFF" w:fill="FFFFFF"/>
            <w:tcMar>
              <w:top w:w="0" w:type="dxa"/>
              <w:left w:w="57" w:type="dxa"/>
              <w:bottom w:w="0" w:type="dxa"/>
              <w:right w:w="57" w:type="dxa"/>
            </w:tcMar>
            <w:vAlign w:val="center"/>
          </w:tcPr>
          <w:p w14:paraId="3D665335" w14:textId="77777777" w:rsidR="00171AA8" w:rsidRPr="00731FE2" w:rsidRDefault="007935AB">
            <w:pPr>
              <w:pBdr>
                <w:top w:val="none" w:sz="4" w:space="0" w:color="000000"/>
                <w:left w:val="none" w:sz="4" w:space="0" w:color="000000"/>
                <w:bottom w:val="none" w:sz="4" w:space="0" w:color="000000"/>
                <w:right w:val="none" w:sz="4" w:space="0" w:color="000000"/>
              </w:pBdr>
              <w:shd w:val="clear" w:color="FFFFFF" w:themeColor="background1" w:fill="FFFFFF" w:themeFill="background1"/>
              <w:ind w:firstLine="0"/>
              <w:jc w:val="center"/>
            </w:pPr>
            <w:r w:rsidRPr="00731FE2">
              <w:rPr>
                <w:rFonts w:ascii="Times New Roman" w:eastAsia="Times New Roman" w:hAnsi="Times New Roman" w:cs="Times New Roman"/>
                <w:color w:val="000000"/>
                <w:sz w:val="22"/>
              </w:rPr>
              <w:t>заключен контракт на разработку ПСД</w:t>
            </w:r>
          </w:p>
        </w:tc>
        <w:tc>
          <w:tcPr>
            <w:tcW w:w="1984" w:type="dxa"/>
            <w:tcBorders>
              <w:top w:val="single" w:sz="4" w:space="0" w:color="000000"/>
              <w:left w:val="single" w:sz="4" w:space="0" w:color="000000"/>
              <w:bottom w:val="single" w:sz="4" w:space="0" w:color="000000"/>
              <w:right w:val="single" w:sz="4" w:space="0" w:color="000000"/>
            </w:tcBorders>
            <w:shd w:val="clear" w:color="FFFFFF" w:fill="FFFFFF"/>
            <w:tcMar>
              <w:top w:w="0" w:type="dxa"/>
              <w:left w:w="57" w:type="dxa"/>
              <w:bottom w:w="0" w:type="dxa"/>
              <w:right w:w="57" w:type="dxa"/>
            </w:tcMar>
            <w:vAlign w:val="center"/>
          </w:tcPr>
          <w:p w14:paraId="1992EFD9" w14:textId="77777777" w:rsidR="00171AA8" w:rsidRPr="00731FE2" w:rsidRDefault="007935AB">
            <w:pPr>
              <w:pBdr>
                <w:top w:val="none" w:sz="4" w:space="0" w:color="000000"/>
                <w:left w:val="none" w:sz="4" w:space="0" w:color="000000"/>
                <w:bottom w:val="none" w:sz="4" w:space="0" w:color="000000"/>
                <w:right w:val="none" w:sz="4" w:space="0" w:color="000000"/>
              </w:pBdr>
              <w:shd w:val="clear" w:color="FFFFFF" w:themeColor="background1" w:fill="FFFFFF" w:themeFill="background1"/>
              <w:ind w:firstLine="0"/>
              <w:jc w:val="center"/>
            </w:pPr>
            <w:r w:rsidRPr="00731FE2">
              <w:rPr>
                <w:rFonts w:ascii="Times New Roman" w:eastAsia="Times New Roman" w:hAnsi="Times New Roman" w:cs="Times New Roman"/>
                <w:color w:val="000000"/>
                <w:sz w:val="22"/>
              </w:rPr>
              <w:t>30.12.2026</w:t>
            </w:r>
          </w:p>
        </w:tc>
      </w:tr>
      <w:tr w:rsidR="00171AA8" w:rsidRPr="00731FE2" w14:paraId="09E9A7F6" w14:textId="77777777">
        <w:tc>
          <w:tcPr>
            <w:tcW w:w="3402" w:type="dxa"/>
            <w:tcBorders>
              <w:top w:val="single" w:sz="4" w:space="0" w:color="000000"/>
              <w:left w:val="single" w:sz="4" w:space="0" w:color="000000"/>
              <w:bottom w:val="single" w:sz="4" w:space="0" w:color="000000"/>
              <w:right w:val="single" w:sz="4" w:space="0" w:color="000000"/>
            </w:tcBorders>
            <w:shd w:val="clear" w:color="FFFFFF" w:fill="FFFFFF"/>
            <w:tcMar>
              <w:top w:w="0" w:type="dxa"/>
              <w:left w:w="57" w:type="dxa"/>
              <w:bottom w:w="0" w:type="dxa"/>
              <w:right w:w="57" w:type="dxa"/>
            </w:tcMar>
            <w:vAlign w:val="center"/>
          </w:tcPr>
          <w:p w14:paraId="1297F100" w14:textId="77777777" w:rsidR="00171AA8" w:rsidRPr="00731FE2" w:rsidRDefault="007935AB">
            <w:pPr>
              <w:pBdr>
                <w:top w:val="none" w:sz="4" w:space="0" w:color="000000"/>
                <w:left w:val="none" w:sz="4" w:space="0" w:color="000000"/>
                <w:bottom w:val="none" w:sz="4" w:space="0" w:color="000000"/>
                <w:right w:val="none" w:sz="4" w:space="0" w:color="000000"/>
              </w:pBdr>
              <w:shd w:val="clear" w:color="FFFFFF" w:themeColor="background1" w:fill="FFFFFF" w:themeFill="background1"/>
              <w:ind w:firstLine="0"/>
            </w:pPr>
            <w:r w:rsidRPr="00731FE2">
              <w:rPr>
                <w:rFonts w:ascii="Times New Roman" w:eastAsia="Times New Roman" w:hAnsi="Times New Roman" w:cs="Times New Roman"/>
                <w:color w:val="000000"/>
                <w:sz w:val="22"/>
              </w:rPr>
              <w:t>Строительство автомобильной дороги «Южный обход» в городе-курорте Кисловодске</w:t>
            </w:r>
          </w:p>
        </w:tc>
        <w:tc>
          <w:tcPr>
            <w:tcW w:w="1843" w:type="dxa"/>
            <w:tcBorders>
              <w:top w:val="single" w:sz="4" w:space="0" w:color="000000"/>
              <w:left w:val="single" w:sz="4" w:space="0" w:color="000000"/>
              <w:bottom w:val="single" w:sz="4" w:space="0" w:color="000000"/>
              <w:right w:val="single" w:sz="4" w:space="0" w:color="000000"/>
            </w:tcBorders>
            <w:shd w:val="clear" w:color="FFFFFF" w:fill="FFFFFF"/>
            <w:tcMar>
              <w:top w:w="0" w:type="dxa"/>
              <w:left w:w="57" w:type="dxa"/>
              <w:bottom w:w="0" w:type="dxa"/>
              <w:right w:w="57" w:type="dxa"/>
            </w:tcMar>
            <w:vAlign w:val="center"/>
          </w:tcPr>
          <w:p w14:paraId="6A054FFC" w14:textId="77777777" w:rsidR="00171AA8" w:rsidRPr="00731FE2" w:rsidRDefault="007935AB">
            <w:pPr>
              <w:pBdr>
                <w:top w:val="none" w:sz="4" w:space="0" w:color="000000"/>
                <w:left w:val="none" w:sz="4" w:space="0" w:color="000000"/>
                <w:bottom w:val="none" w:sz="4" w:space="0" w:color="000000"/>
                <w:right w:val="none" w:sz="4" w:space="0" w:color="000000"/>
              </w:pBdr>
              <w:shd w:val="clear" w:color="FFFFFF" w:themeColor="background1" w:fill="FFFFFF" w:themeFill="background1"/>
              <w:ind w:firstLine="0"/>
              <w:jc w:val="center"/>
            </w:pPr>
            <w:r w:rsidRPr="00731FE2">
              <w:rPr>
                <w:rFonts w:ascii="Times New Roman" w:eastAsia="Times New Roman" w:hAnsi="Times New Roman" w:cs="Times New Roman"/>
                <w:color w:val="000000"/>
                <w:sz w:val="22"/>
              </w:rPr>
              <w:t>г. Кисловодск</w:t>
            </w:r>
          </w:p>
        </w:tc>
        <w:tc>
          <w:tcPr>
            <w:tcW w:w="2126" w:type="dxa"/>
            <w:tcBorders>
              <w:top w:val="single" w:sz="4" w:space="0" w:color="000000"/>
              <w:left w:val="single" w:sz="4" w:space="0" w:color="000000"/>
              <w:bottom w:val="single" w:sz="4" w:space="0" w:color="000000"/>
              <w:right w:val="single" w:sz="4" w:space="0" w:color="000000"/>
            </w:tcBorders>
            <w:shd w:val="clear" w:color="FFFFFF" w:fill="FFFFFF"/>
            <w:tcMar>
              <w:top w:w="0" w:type="dxa"/>
              <w:left w:w="57" w:type="dxa"/>
              <w:bottom w:w="0" w:type="dxa"/>
              <w:right w:w="57" w:type="dxa"/>
            </w:tcMar>
            <w:vAlign w:val="center"/>
          </w:tcPr>
          <w:p w14:paraId="68DA5F38" w14:textId="77777777" w:rsidR="00171AA8" w:rsidRPr="00731FE2" w:rsidRDefault="007935AB">
            <w:pPr>
              <w:pBdr>
                <w:top w:val="none" w:sz="4" w:space="0" w:color="000000"/>
                <w:left w:val="none" w:sz="4" w:space="0" w:color="000000"/>
                <w:bottom w:val="none" w:sz="4" w:space="0" w:color="000000"/>
                <w:right w:val="none" w:sz="4" w:space="0" w:color="000000"/>
              </w:pBdr>
              <w:shd w:val="clear" w:color="FFFFFF" w:themeColor="background1" w:fill="FFFFFF" w:themeFill="background1"/>
              <w:ind w:firstLine="0"/>
              <w:jc w:val="center"/>
            </w:pPr>
            <w:r w:rsidRPr="00731FE2">
              <w:rPr>
                <w:rFonts w:ascii="Times New Roman" w:eastAsia="Times New Roman" w:hAnsi="Times New Roman" w:cs="Times New Roman"/>
                <w:color w:val="000000"/>
                <w:sz w:val="22"/>
              </w:rPr>
              <w:t>-</w:t>
            </w:r>
          </w:p>
        </w:tc>
        <w:tc>
          <w:tcPr>
            <w:tcW w:w="1984" w:type="dxa"/>
            <w:tcBorders>
              <w:top w:val="single" w:sz="4" w:space="0" w:color="000000"/>
              <w:left w:val="single" w:sz="4" w:space="0" w:color="000000"/>
              <w:bottom w:val="single" w:sz="4" w:space="0" w:color="000000"/>
              <w:right w:val="single" w:sz="4" w:space="0" w:color="000000"/>
            </w:tcBorders>
            <w:shd w:val="clear" w:color="FFFFFF" w:fill="FFFFFF"/>
            <w:tcMar>
              <w:top w:w="0" w:type="dxa"/>
              <w:left w:w="57" w:type="dxa"/>
              <w:bottom w:w="0" w:type="dxa"/>
              <w:right w:w="57" w:type="dxa"/>
            </w:tcMar>
            <w:vAlign w:val="center"/>
          </w:tcPr>
          <w:p w14:paraId="1C83DE08" w14:textId="77777777" w:rsidR="00171AA8" w:rsidRPr="00731FE2" w:rsidRDefault="007935AB">
            <w:pPr>
              <w:pBdr>
                <w:top w:val="none" w:sz="4" w:space="0" w:color="000000"/>
                <w:left w:val="none" w:sz="4" w:space="0" w:color="000000"/>
                <w:bottom w:val="none" w:sz="4" w:space="0" w:color="000000"/>
                <w:right w:val="none" w:sz="4" w:space="0" w:color="000000"/>
              </w:pBdr>
              <w:shd w:val="clear" w:color="FFFFFF" w:themeColor="background1" w:fill="FFFFFF" w:themeFill="background1"/>
              <w:ind w:firstLine="0"/>
              <w:jc w:val="center"/>
            </w:pPr>
            <w:r w:rsidRPr="00731FE2">
              <w:rPr>
                <w:rFonts w:ascii="Times New Roman" w:eastAsia="Times New Roman" w:hAnsi="Times New Roman" w:cs="Times New Roman"/>
                <w:color w:val="000000"/>
                <w:sz w:val="22"/>
              </w:rPr>
              <w:t>30.12.2029</w:t>
            </w:r>
          </w:p>
        </w:tc>
      </w:tr>
      <w:tr w:rsidR="00171AA8" w:rsidRPr="00731FE2" w14:paraId="6D47114D" w14:textId="77777777">
        <w:tc>
          <w:tcPr>
            <w:tcW w:w="3402" w:type="dxa"/>
            <w:tcBorders>
              <w:top w:val="single" w:sz="4" w:space="0" w:color="000000"/>
              <w:left w:val="single" w:sz="4" w:space="0" w:color="000000"/>
              <w:bottom w:val="single" w:sz="4" w:space="0" w:color="000000"/>
              <w:right w:val="single" w:sz="4" w:space="0" w:color="000000"/>
            </w:tcBorders>
            <w:shd w:val="clear" w:color="FFFFFF" w:fill="FFFFFF"/>
            <w:tcMar>
              <w:top w:w="0" w:type="dxa"/>
              <w:left w:w="57" w:type="dxa"/>
              <w:bottom w:w="0" w:type="dxa"/>
              <w:right w:w="57" w:type="dxa"/>
            </w:tcMar>
            <w:vAlign w:val="center"/>
          </w:tcPr>
          <w:p w14:paraId="63DD2DAE" w14:textId="7CF5575D" w:rsidR="00171AA8" w:rsidRPr="00731FE2" w:rsidRDefault="009F6F1D" w:rsidP="009F6F1D">
            <w:pPr>
              <w:pBdr>
                <w:top w:val="none" w:sz="4" w:space="0" w:color="000000"/>
                <w:left w:val="none" w:sz="4" w:space="0" w:color="000000"/>
                <w:bottom w:val="none" w:sz="4" w:space="0" w:color="000000"/>
                <w:right w:val="none" w:sz="4" w:space="0" w:color="000000"/>
              </w:pBdr>
              <w:shd w:val="clear" w:color="FFFFFF" w:themeColor="background1" w:fill="FFFFFF" w:themeFill="background1"/>
              <w:ind w:firstLine="0"/>
            </w:pPr>
            <w:r w:rsidRPr="00731FE2">
              <w:rPr>
                <w:rFonts w:ascii="Times New Roman" w:eastAsia="Times New Roman" w:hAnsi="Times New Roman" w:cs="Times New Roman"/>
                <w:color w:val="000000"/>
                <w:sz w:val="22"/>
              </w:rPr>
              <w:t>С</w:t>
            </w:r>
            <w:r w:rsidR="007935AB" w:rsidRPr="00731FE2">
              <w:rPr>
                <w:rFonts w:ascii="Times New Roman" w:eastAsia="Times New Roman" w:hAnsi="Times New Roman" w:cs="Times New Roman"/>
                <w:color w:val="000000"/>
                <w:sz w:val="22"/>
              </w:rPr>
              <w:t>троительств</w:t>
            </w:r>
            <w:r w:rsidRPr="00731FE2">
              <w:rPr>
                <w:rFonts w:ascii="Times New Roman" w:eastAsia="Times New Roman" w:hAnsi="Times New Roman" w:cs="Times New Roman"/>
                <w:color w:val="000000"/>
                <w:sz w:val="22"/>
              </w:rPr>
              <w:t>о</w:t>
            </w:r>
            <w:r w:rsidR="007935AB" w:rsidRPr="00731FE2">
              <w:rPr>
                <w:rFonts w:ascii="Times New Roman" w:eastAsia="Times New Roman" w:hAnsi="Times New Roman" w:cs="Times New Roman"/>
                <w:color w:val="000000"/>
                <w:sz w:val="22"/>
              </w:rPr>
              <w:t xml:space="preserve"> объездной дороги «Северный обход г. Кисловодска»</w:t>
            </w:r>
          </w:p>
        </w:tc>
        <w:tc>
          <w:tcPr>
            <w:tcW w:w="1843" w:type="dxa"/>
            <w:tcBorders>
              <w:top w:val="single" w:sz="4" w:space="0" w:color="000000"/>
              <w:left w:val="single" w:sz="4" w:space="0" w:color="000000"/>
              <w:bottom w:val="single" w:sz="4" w:space="0" w:color="000000"/>
              <w:right w:val="single" w:sz="4" w:space="0" w:color="000000"/>
            </w:tcBorders>
            <w:shd w:val="clear" w:color="FFFFFF" w:fill="FFFFFF"/>
            <w:tcMar>
              <w:top w:w="0" w:type="dxa"/>
              <w:left w:w="57" w:type="dxa"/>
              <w:bottom w:w="0" w:type="dxa"/>
              <w:right w:w="57" w:type="dxa"/>
            </w:tcMar>
            <w:vAlign w:val="center"/>
          </w:tcPr>
          <w:p w14:paraId="372E5796" w14:textId="77777777" w:rsidR="00171AA8" w:rsidRPr="00731FE2" w:rsidRDefault="007935AB">
            <w:pPr>
              <w:pBdr>
                <w:top w:val="none" w:sz="4" w:space="0" w:color="000000"/>
                <w:left w:val="none" w:sz="4" w:space="0" w:color="000000"/>
                <w:bottom w:val="none" w:sz="4" w:space="0" w:color="000000"/>
                <w:right w:val="none" w:sz="4" w:space="0" w:color="000000"/>
              </w:pBdr>
              <w:shd w:val="clear" w:color="FFFFFF" w:themeColor="background1" w:fill="FFFFFF" w:themeFill="background1"/>
              <w:ind w:firstLine="0"/>
              <w:jc w:val="center"/>
            </w:pPr>
            <w:r w:rsidRPr="00731FE2">
              <w:rPr>
                <w:rFonts w:ascii="Times New Roman" w:eastAsia="Times New Roman" w:hAnsi="Times New Roman" w:cs="Times New Roman"/>
                <w:color w:val="000000"/>
                <w:sz w:val="22"/>
              </w:rPr>
              <w:t>г. Кисловодск</w:t>
            </w:r>
          </w:p>
        </w:tc>
        <w:tc>
          <w:tcPr>
            <w:tcW w:w="2126" w:type="dxa"/>
            <w:tcBorders>
              <w:top w:val="single" w:sz="4" w:space="0" w:color="000000"/>
              <w:left w:val="single" w:sz="4" w:space="0" w:color="000000"/>
              <w:bottom w:val="single" w:sz="4" w:space="0" w:color="000000"/>
              <w:right w:val="single" w:sz="4" w:space="0" w:color="000000"/>
            </w:tcBorders>
            <w:shd w:val="clear" w:color="FFFFFF" w:fill="FFFFFF"/>
            <w:tcMar>
              <w:top w:w="0" w:type="dxa"/>
              <w:left w:w="57" w:type="dxa"/>
              <w:bottom w:w="0" w:type="dxa"/>
              <w:right w:w="57" w:type="dxa"/>
            </w:tcMar>
            <w:vAlign w:val="center"/>
          </w:tcPr>
          <w:p w14:paraId="07E2D423" w14:textId="77777777" w:rsidR="00171AA8" w:rsidRPr="00731FE2" w:rsidRDefault="007935AB" w:rsidP="002455DE">
            <w:pPr>
              <w:pBdr>
                <w:top w:val="none" w:sz="4" w:space="0" w:color="000000"/>
                <w:left w:val="none" w:sz="4" w:space="0" w:color="000000"/>
                <w:bottom w:val="none" w:sz="4" w:space="0" w:color="000000"/>
                <w:right w:val="none" w:sz="4" w:space="0" w:color="000000"/>
              </w:pBdr>
              <w:shd w:val="clear" w:color="FFFFFF" w:themeColor="background1" w:fill="FFFFFF" w:themeFill="background1"/>
              <w:ind w:firstLine="0"/>
              <w:jc w:val="center"/>
            </w:pPr>
            <w:r w:rsidRPr="00731FE2">
              <w:rPr>
                <w:rFonts w:ascii="Times New Roman" w:eastAsia="Times New Roman" w:hAnsi="Times New Roman" w:cs="Times New Roman"/>
                <w:color w:val="000000"/>
                <w:sz w:val="22"/>
              </w:rPr>
              <w:t xml:space="preserve">15.05.2023 года </w:t>
            </w:r>
            <w:r w:rsidR="002455DE" w:rsidRPr="00731FE2">
              <w:rPr>
                <w:rFonts w:ascii="Times New Roman" w:eastAsia="Times New Roman" w:hAnsi="Times New Roman" w:cs="Times New Roman"/>
                <w:color w:val="000000"/>
                <w:sz w:val="22"/>
              </w:rPr>
              <w:t>заключен контракт №5</w:t>
            </w:r>
            <w:proofErr w:type="gramStart"/>
            <w:r w:rsidR="002455DE" w:rsidRPr="00731FE2">
              <w:rPr>
                <w:rFonts w:ascii="Times New Roman" w:eastAsia="Times New Roman" w:hAnsi="Times New Roman" w:cs="Times New Roman"/>
                <w:color w:val="000000"/>
                <w:sz w:val="22"/>
              </w:rPr>
              <w:t xml:space="preserve"> Б</w:t>
            </w:r>
            <w:proofErr w:type="gramEnd"/>
            <w:r w:rsidR="002455DE" w:rsidRPr="00731FE2">
              <w:rPr>
                <w:rFonts w:ascii="Times New Roman" w:eastAsia="Times New Roman" w:hAnsi="Times New Roman" w:cs="Times New Roman"/>
                <w:color w:val="000000"/>
                <w:sz w:val="22"/>
              </w:rPr>
              <w:t>/К с ООО «Севкавгеопроектсрой»</w:t>
            </w:r>
          </w:p>
        </w:tc>
        <w:tc>
          <w:tcPr>
            <w:tcW w:w="1984" w:type="dxa"/>
            <w:tcBorders>
              <w:top w:val="single" w:sz="4" w:space="0" w:color="000000"/>
              <w:left w:val="single" w:sz="4" w:space="0" w:color="000000"/>
              <w:bottom w:val="single" w:sz="4" w:space="0" w:color="000000"/>
              <w:right w:val="single" w:sz="4" w:space="0" w:color="000000"/>
            </w:tcBorders>
            <w:shd w:val="clear" w:color="FFFFFF" w:fill="FFFFFF"/>
            <w:tcMar>
              <w:top w:w="0" w:type="dxa"/>
              <w:left w:w="57" w:type="dxa"/>
              <w:bottom w:w="0" w:type="dxa"/>
              <w:right w:w="57" w:type="dxa"/>
            </w:tcMar>
            <w:vAlign w:val="center"/>
          </w:tcPr>
          <w:p w14:paraId="23F0F080" w14:textId="77777777" w:rsidR="00171AA8" w:rsidRPr="00731FE2" w:rsidRDefault="007935AB">
            <w:pPr>
              <w:pBdr>
                <w:top w:val="none" w:sz="4" w:space="0" w:color="000000"/>
                <w:left w:val="none" w:sz="4" w:space="0" w:color="000000"/>
                <w:bottom w:val="none" w:sz="4" w:space="0" w:color="000000"/>
                <w:right w:val="none" w:sz="4" w:space="0" w:color="000000"/>
              </w:pBdr>
              <w:shd w:val="clear" w:color="FFFFFF" w:themeColor="background1" w:fill="FFFFFF" w:themeFill="background1"/>
              <w:ind w:firstLine="0"/>
              <w:jc w:val="center"/>
            </w:pPr>
            <w:r w:rsidRPr="00731FE2">
              <w:rPr>
                <w:rFonts w:ascii="Times New Roman" w:eastAsia="Times New Roman" w:hAnsi="Times New Roman" w:cs="Times New Roman"/>
                <w:color w:val="000000"/>
                <w:sz w:val="22"/>
              </w:rPr>
              <w:t>31.12.2027</w:t>
            </w:r>
          </w:p>
        </w:tc>
      </w:tr>
      <w:tr w:rsidR="00171AA8" w:rsidRPr="00731FE2" w14:paraId="05F3833A" w14:textId="77777777">
        <w:trPr>
          <w:trHeight w:val="253"/>
        </w:trPr>
        <w:tc>
          <w:tcPr>
            <w:tcW w:w="9354" w:type="dxa"/>
            <w:gridSpan w:val="4"/>
            <w:vMerge w:val="restart"/>
            <w:tcBorders>
              <w:top w:val="single" w:sz="4" w:space="0" w:color="000000"/>
              <w:left w:val="single" w:sz="4" w:space="0" w:color="000000"/>
              <w:bottom w:val="single" w:sz="4" w:space="0" w:color="000000"/>
              <w:right w:val="single" w:sz="4" w:space="0" w:color="000000"/>
            </w:tcBorders>
            <w:shd w:val="clear" w:color="FFFFFF" w:fill="FFFFFF"/>
            <w:tcMar>
              <w:top w:w="0" w:type="dxa"/>
              <w:left w:w="57" w:type="dxa"/>
              <w:bottom w:w="0" w:type="dxa"/>
              <w:right w:w="57" w:type="dxa"/>
            </w:tcMar>
            <w:vAlign w:val="center"/>
          </w:tcPr>
          <w:p w14:paraId="5A6F96A8" w14:textId="77777777" w:rsidR="00171AA8" w:rsidRPr="00731FE2" w:rsidRDefault="007935AB">
            <w:pPr>
              <w:pBdr>
                <w:top w:val="none" w:sz="4" w:space="0" w:color="000000"/>
                <w:left w:val="none" w:sz="4" w:space="0" w:color="000000"/>
                <w:bottom w:val="none" w:sz="4" w:space="0" w:color="000000"/>
                <w:right w:val="none" w:sz="4" w:space="0" w:color="000000"/>
              </w:pBdr>
              <w:shd w:val="clear" w:color="FFFFFF" w:themeColor="background1" w:fill="FFFFFF" w:themeFill="background1"/>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Инженерная инфраструктура</w:t>
            </w:r>
          </w:p>
        </w:tc>
      </w:tr>
      <w:tr w:rsidR="00171AA8" w:rsidRPr="00731FE2" w14:paraId="6B29FB83" w14:textId="77777777">
        <w:tc>
          <w:tcPr>
            <w:tcW w:w="3402" w:type="dxa"/>
            <w:tcBorders>
              <w:top w:val="single" w:sz="4" w:space="0" w:color="000000"/>
              <w:left w:val="single" w:sz="4" w:space="0" w:color="000000"/>
              <w:bottom w:val="single" w:sz="4" w:space="0" w:color="000000"/>
              <w:right w:val="single" w:sz="4" w:space="0" w:color="000000"/>
            </w:tcBorders>
            <w:shd w:val="clear" w:color="FFFFFF" w:fill="FFFFFF"/>
            <w:tcMar>
              <w:top w:w="0" w:type="dxa"/>
              <w:left w:w="57" w:type="dxa"/>
              <w:bottom w:w="0" w:type="dxa"/>
              <w:right w:w="57" w:type="dxa"/>
            </w:tcMar>
            <w:vAlign w:val="center"/>
          </w:tcPr>
          <w:p w14:paraId="69FDF387" w14:textId="77777777" w:rsidR="00171AA8" w:rsidRPr="00731FE2" w:rsidRDefault="007935AB">
            <w:pPr>
              <w:pBdr>
                <w:top w:val="none" w:sz="4" w:space="0" w:color="000000"/>
                <w:left w:val="none" w:sz="4" w:space="0" w:color="000000"/>
                <w:bottom w:val="none" w:sz="4" w:space="0" w:color="000000"/>
                <w:right w:val="none" w:sz="4" w:space="0" w:color="000000"/>
              </w:pBdr>
              <w:shd w:val="clear" w:color="FFFFFF" w:themeColor="background1" w:fill="FFFFFF" w:themeFill="background1"/>
              <w:ind w:firstLine="0"/>
            </w:pPr>
            <w:r w:rsidRPr="00731FE2">
              <w:rPr>
                <w:rFonts w:ascii="Times New Roman" w:eastAsia="Times New Roman" w:hAnsi="Times New Roman" w:cs="Times New Roman"/>
                <w:color w:val="000000"/>
                <w:sz w:val="22"/>
              </w:rPr>
              <w:t>Строительство хозяйственно-бытовых инженерных сетей в городе-курорте Кисловодске</w:t>
            </w:r>
          </w:p>
        </w:tc>
        <w:tc>
          <w:tcPr>
            <w:tcW w:w="1843" w:type="dxa"/>
            <w:tcBorders>
              <w:top w:val="single" w:sz="4" w:space="0" w:color="000000"/>
              <w:left w:val="single" w:sz="4" w:space="0" w:color="000000"/>
              <w:bottom w:val="single" w:sz="4" w:space="0" w:color="000000"/>
              <w:right w:val="single" w:sz="4" w:space="0" w:color="000000"/>
            </w:tcBorders>
            <w:shd w:val="clear" w:color="FFFFFF" w:fill="FFFFFF"/>
            <w:tcMar>
              <w:top w:w="0" w:type="dxa"/>
              <w:left w:w="57" w:type="dxa"/>
              <w:bottom w:w="0" w:type="dxa"/>
              <w:right w:w="57" w:type="dxa"/>
            </w:tcMar>
            <w:vAlign w:val="center"/>
          </w:tcPr>
          <w:p w14:paraId="4E74695E" w14:textId="77777777" w:rsidR="00171AA8" w:rsidRPr="00731FE2" w:rsidRDefault="007935AB">
            <w:pPr>
              <w:pBdr>
                <w:top w:val="none" w:sz="4" w:space="0" w:color="000000"/>
                <w:left w:val="none" w:sz="4" w:space="0" w:color="000000"/>
                <w:bottom w:val="none" w:sz="4" w:space="0" w:color="000000"/>
                <w:right w:val="none" w:sz="4" w:space="0" w:color="000000"/>
              </w:pBdr>
              <w:shd w:val="clear" w:color="FFFFFF" w:themeColor="background1" w:fill="FFFFFF" w:themeFill="background1"/>
              <w:ind w:firstLine="0"/>
              <w:jc w:val="center"/>
            </w:pPr>
            <w:r w:rsidRPr="00731FE2">
              <w:rPr>
                <w:rFonts w:ascii="Times New Roman" w:eastAsia="Times New Roman" w:hAnsi="Times New Roman" w:cs="Times New Roman"/>
                <w:color w:val="000000"/>
                <w:sz w:val="22"/>
              </w:rPr>
              <w:t>г. Кисловодск</w:t>
            </w:r>
          </w:p>
        </w:tc>
        <w:tc>
          <w:tcPr>
            <w:tcW w:w="2126" w:type="dxa"/>
            <w:tcBorders>
              <w:top w:val="single" w:sz="4" w:space="0" w:color="000000"/>
              <w:left w:val="single" w:sz="4" w:space="0" w:color="000000"/>
              <w:bottom w:val="single" w:sz="4" w:space="0" w:color="000000"/>
              <w:right w:val="single" w:sz="4" w:space="0" w:color="000000"/>
            </w:tcBorders>
            <w:shd w:val="clear" w:color="FFFFFF" w:fill="FFFFFF"/>
            <w:tcMar>
              <w:top w:w="0" w:type="dxa"/>
              <w:left w:w="57" w:type="dxa"/>
              <w:bottom w:w="0" w:type="dxa"/>
              <w:right w:w="57" w:type="dxa"/>
            </w:tcMar>
            <w:vAlign w:val="center"/>
          </w:tcPr>
          <w:p w14:paraId="62FB277E" w14:textId="77777777" w:rsidR="00171AA8" w:rsidRPr="00731FE2" w:rsidRDefault="007935AB">
            <w:pPr>
              <w:pBdr>
                <w:top w:val="none" w:sz="4" w:space="0" w:color="000000"/>
                <w:left w:val="none" w:sz="4" w:space="0" w:color="000000"/>
                <w:bottom w:val="none" w:sz="4" w:space="0" w:color="000000"/>
                <w:right w:val="none" w:sz="4" w:space="0" w:color="000000"/>
              </w:pBdr>
              <w:shd w:val="clear" w:color="FFFFFF" w:themeColor="background1" w:fill="FFFFFF" w:themeFill="background1"/>
              <w:ind w:firstLine="0"/>
              <w:jc w:val="center"/>
            </w:pPr>
            <w:r w:rsidRPr="00731FE2">
              <w:rPr>
                <w:rFonts w:ascii="Times New Roman" w:eastAsia="Times New Roman" w:hAnsi="Times New Roman" w:cs="Times New Roman"/>
                <w:color w:val="000000"/>
                <w:sz w:val="22"/>
              </w:rPr>
              <w:t xml:space="preserve">Администрацией города-курорта Кисловодска осуществляется </w:t>
            </w:r>
            <w:r w:rsidRPr="00731FE2">
              <w:rPr>
                <w:rFonts w:ascii="Times New Roman" w:eastAsia="Times New Roman" w:hAnsi="Times New Roman" w:cs="Times New Roman"/>
                <w:color w:val="000000"/>
                <w:sz w:val="22"/>
              </w:rPr>
              <w:lastRenderedPageBreak/>
              <w:t>согласование с ГУП СК «Ставрополькрайводоканал» трассы прохождения инженерных систем водоснабжения и водоотведения</w:t>
            </w:r>
          </w:p>
        </w:tc>
        <w:tc>
          <w:tcPr>
            <w:tcW w:w="1984" w:type="dxa"/>
            <w:tcBorders>
              <w:top w:val="single" w:sz="4" w:space="0" w:color="000000"/>
              <w:left w:val="single" w:sz="4" w:space="0" w:color="000000"/>
              <w:bottom w:val="single" w:sz="4" w:space="0" w:color="000000"/>
              <w:right w:val="single" w:sz="4" w:space="0" w:color="000000"/>
            </w:tcBorders>
            <w:shd w:val="clear" w:color="FFFFFF" w:fill="FFFFFF"/>
            <w:tcMar>
              <w:top w:w="0" w:type="dxa"/>
              <w:left w:w="57" w:type="dxa"/>
              <w:bottom w:w="0" w:type="dxa"/>
              <w:right w:w="57" w:type="dxa"/>
            </w:tcMar>
            <w:vAlign w:val="center"/>
          </w:tcPr>
          <w:p w14:paraId="5826FFA3" w14:textId="77777777" w:rsidR="00171AA8" w:rsidRPr="00731FE2" w:rsidRDefault="007935AB">
            <w:pPr>
              <w:pBdr>
                <w:top w:val="none" w:sz="4" w:space="0" w:color="000000"/>
                <w:left w:val="none" w:sz="4" w:space="0" w:color="000000"/>
                <w:bottom w:val="none" w:sz="4" w:space="0" w:color="000000"/>
                <w:right w:val="none" w:sz="4" w:space="0" w:color="000000"/>
              </w:pBdr>
              <w:shd w:val="clear" w:color="FFFFFF" w:themeColor="background1" w:fill="FFFFFF" w:themeFill="background1"/>
              <w:ind w:firstLine="0"/>
              <w:jc w:val="center"/>
            </w:pPr>
            <w:r w:rsidRPr="00731FE2">
              <w:rPr>
                <w:rFonts w:ascii="Times New Roman" w:eastAsia="Times New Roman" w:hAnsi="Times New Roman" w:cs="Times New Roman"/>
                <w:color w:val="000000"/>
                <w:sz w:val="22"/>
              </w:rPr>
              <w:lastRenderedPageBreak/>
              <w:t>30.12.2027</w:t>
            </w:r>
          </w:p>
        </w:tc>
      </w:tr>
      <w:tr w:rsidR="00171AA8" w:rsidRPr="00731FE2" w14:paraId="66EF215E" w14:textId="77777777">
        <w:tc>
          <w:tcPr>
            <w:tcW w:w="3402" w:type="dxa"/>
            <w:tcBorders>
              <w:top w:val="single" w:sz="4" w:space="0" w:color="000000"/>
              <w:left w:val="single" w:sz="4" w:space="0" w:color="000000"/>
              <w:bottom w:val="single" w:sz="4" w:space="0" w:color="000000"/>
              <w:right w:val="single" w:sz="4" w:space="0" w:color="000000"/>
            </w:tcBorders>
            <w:shd w:val="clear" w:color="FFFFFF" w:fill="FFFFFF"/>
            <w:tcMar>
              <w:top w:w="0" w:type="dxa"/>
              <w:left w:w="57" w:type="dxa"/>
              <w:bottom w:w="0" w:type="dxa"/>
              <w:right w:w="57" w:type="dxa"/>
            </w:tcMar>
            <w:vAlign w:val="center"/>
          </w:tcPr>
          <w:p w14:paraId="44A2AEA0" w14:textId="77777777" w:rsidR="00171AA8" w:rsidRPr="00731FE2" w:rsidRDefault="007935AB">
            <w:pPr>
              <w:pBdr>
                <w:top w:val="none" w:sz="4" w:space="0" w:color="000000"/>
                <w:left w:val="none" w:sz="4" w:space="0" w:color="000000"/>
                <w:bottom w:val="none" w:sz="4" w:space="0" w:color="000000"/>
                <w:right w:val="none" w:sz="4" w:space="0" w:color="000000"/>
              </w:pBdr>
              <w:shd w:val="clear" w:color="FFFFFF" w:themeColor="background1" w:fill="FFFFFF" w:themeFill="background1"/>
              <w:ind w:firstLine="0"/>
            </w:pPr>
            <w:r w:rsidRPr="00731FE2">
              <w:rPr>
                <w:rFonts w:ascii="Times New Roman" w:eastAsia="Times New Roman" w:hAnsi="Times New Roman" w:cs="Times New Roman"/>
                <w:color w:val="000000"/>
                <w:sz w:val="22"/>
              </w:rPr>
              <w:lastRenderedPageBreak/>
              <w:t>Строительство объектов инженерной инфраструктуры к инвестиционной площадке «Солнечная долина»</w:t>
            </w:r>
          </w:p>
        </w:tc>
        <w:tc>
          <w:tcPr>
            <w:tcW w:w="1843" w:type="dxa"/>
            <w:tcBorders>
              <w:top w:val="single" w:sz="4" w:space="0" w:color="000000"/>
              <w:left w:val="single" w:sz="4" w:space="0" w:color="000000"/>
              <w:bottom w:val="single" w:sz="4" w:space="0" w:color="000000"/>
              <w:right w:val="single" w:sz="4" w:space="0" w:color="000000"/>
            </w:tcBorders>
            <w:shd w:val="clear" w:color="FFFFFF" w:fill="FFFFFF"/>
            <w:tcMar>
              <w:top w:w="0" w:type="dxa"/>
              <w:left w:w="57" w:type="dxa"/>
              <w:bottom w:w="0" w:type="dxa"/>
              <w:right w:w="57" w:type="dxa"/>
            </w:tcMar>
            <w:vAlign w:val="center"/>
          </w:tcPr>
          <w:p w14:paraId="30120877" w14:textId="77777777" w:rsidR="00171AA8" w:rsidRPr="00731FE2" w:rsidRDefault="007935AB">
            <w:pPr>
              <w:pBdr>
                <w:top w:val="none" w:sz="4" w:space="0" w:color="000000"/>
                <w:left w:val="none" w:sz="4" w:space="0" w:color="000000"/>
                <w:bottom w:val="none" w:sz="4" w:space="0" w:color="000000"/>
                <w:right w:val="none" w:sz="4" w:space="0" w:color="000000"/>
              </w:pBdr>
              <w:shd w:val="clear" w:color="FFFFFF" w:themeColor="background1" w:fill="FFFFFF" w:themeFill="background1"/>
              <w:ind w:firstLine="0"/>
              <w:jc w:val="center"/>
            </w:pPr>
            <w:r w:rsidRPr="00731FE2">
              <w:rPr>
                <w:rFonts w:ascii="Times New Roman" w:eastAsia="Times New Roman" w:hAnsi="Times New Roman" w:cs="Times New Roman"/>
                <w:color w:val="000000"/>
                <w:sz w:val="22"/>
              </w:rPr>
              <w:t>г. Кисловодск</w:t>
            </w:r>
          </w:p>
        </w:tc>
        <w:tc>
          <w:tcPr>
            <w:tcW w:w="2126" w:type="dxa"/>
            <w:tcBorders>
              <w:top w:val="single" w:sz="4" w:space="0" w:color="000000"/>
              <w:left w:val="single" w:sz="4" w:space="0" w:color="000000"/>
              <w:bottom w:val="single" w:sz="4" w:space="0" w:color="000000"/>
              <w:right w:val="single" w:sz="4" w:space="0" w:color="000000"/>
            </w:tcBorders>
            <w:shd w:val="clear" w:color="FFFFFF" w:fill="FFFFFF"/>
            <w:tcMar>
              <w:top w:w="0" w:type="dxa"/>
              <w:left w:w="57" w:type="dxa"/>
              <w:bottom w:w="0" w:type="dxa"/>
              <w:right w:w="57" w:type="dxa"/>
            </w:tcMar>
            <w:vAlign w:val="center"/>
          </w:tcPr>
          <w:p w14:paraId="3EDB9CFD" w14:textId="77777777" w:rsidR="00171AA8" w:rsidRPr="00731FE2" w:rsidRDefault="007935AB">
            <w:pPr>
              <w:pBdr>
                <w:top w:val="none" w:sz="4" w:space="0" w:color="000000"/>
                <w:left w:val="none" w:sz="4" w:space="0" w:color="000000"/>
                <w:bottom w:val="none" w:sz="4" w:space="0" w:color="000000"/>
                <w:right w:val="none" w:sz="4" w:space="0" w:color="000000"/>
              </w:pBdr>
              <w:shd w:val="clear" w:color="FFFFFF" w:themeColor="background1" w:fill="FFFFFF" w:themeFill="background1"/>
              <w:ind w:firstLine="0"/>
              <w:jc w:val="center"/>
            </w:pPr>
            <w:r w:rsidRPr="00731FE2">
              <w:rPr>
                <w:rFonts w:ascii="Times New Roman" w:eastAsia="Times New Roman" w:hAnsi="Times New Roman" w:cs="Times New Roman"/>
                <w:color w:val="000000"/>
                <w:sz w:val="22"/>
              </w:rPr>
              <w:t>получено ПСД на объекты</w:t>
            </w:r>
          </w:p>
        </w:tc>
        <w:tc>
          <w:tcPr>
            <w:tcW w:w="1984" w:type="dxa"/>
            <w:tcBorders>
              <w:top w:val="single" w:sz="4" w:space="0" w:color="000000"/>
              <w:left w:val="single" w:sz="4" w:space="0" w:color="000000"/>
              <w:bottom w:val="single" w:sz="4" w:space="0" w:color="000000"/>
              <w:right w:val="single" w:sz="4" w:space="0" w:color="000000"/>
            </w:tcBorders>
            <w:shd w:val="clear" w:color="FFFFFF" w:fill="FFFFFF"/>
            <w:tcMar>
              <w:top w:w="0" w:type="dxa"/>
              <w:left w:w="57" w:type="dxa"/>
              <w:bottom w:w="0" w:type="dxa"/>
              <w:right w:w="57" w:type="dxa"/>
            </w:tcMar>
            <w:vAlign w:val="center"/>
          </w:tcPr>
          <w:p w14:paraId="0A2274FF" w14:textId="77777777" w:rsidR="00171AA8" w:rsidRPr="00731FE2" w:rsidRDefault="007935AB">
            <w:pPr>
              <w:pBdr>
                <w:top w:val="none" w:sz="4" w:space="0" w:color="000000"/>
                <w:left w:val="none" w:sz="4" w:space="0" w:color="000000"/>
                <w:bottom w:val="none" w:sz="4" w:space="0" w:color="000000"/>
                <w:right w:val="none" w:sz="4" w:space="0" w:color="000000"/>
              </w:pBdr>
              <w:shd w:val="clear" w:color="FFFFFF" w:themeColor="background1" w:fill="FFFFFF" w:themeFill="background1"/>
              <w:ind w:firstLine="0"/>
              <w:jc w:val="center"/>
            </w:pPr>
            <w:r w:rsidRPr="00731FE2">
              <w:rPr>
                <w:rFonts w:ascii="Times New Roman" w:eastAsia="Times New Roman" w:hAnsi="Times New Roman" w:cs="Times New Roman"/>
                <w:color w:val="000000"/>
                <w:sz w:val="22"/>
              </w:rPr>
              <w:t>01.12.2027</w:t>
            </w:r>
          </w:p>
        </w:tc>
      </w:tr>
      <w:tr w:rsidR="00171AA8" w:rsidRPr="00731FE2" w14:paraId="36F83076" w14:textId="77777777">
        <w:tc>
          <w:tcPr>
            <w:tcW w:w="3402" w:type="dxa"/>
            <w:tcBorders>
              <w:top w:val="single" w:sz="4" w:space="0" w:color="000000"/>
              <w:left w:val="single" w:sz="4" w:space="0" w:color="000000"/>
              <w:bottom w:val="single" w:sz="4" w:space="0" w:color="000000"/>
              <w:right w:val="single" w:sz="4" w:space="0" w:color="000000"/>
            </w:tcBorders>
            <w:shd w:val="clear" w:color="FFFFFF" w:fill="FFFFFF"/>
            <w:tcMar>
              <w:top w:w="0" w:type="dxa"/>
              <w:left w:w="57" w:type="dxa"/>
              <w:bottom w:w="0" w:type="dxa"/>
              <w:right w:w="57" w:type="dxa"/>
            </w:tcMar>
            <w:vAlign w:val="center"/>
          </w:tcPr>
          <w:p w14:paraId="7EDFFEF7" w14:textId="77777777" w:rsidR="00171AA8" w:rsidRPr="00731FE2" w:rsidRDefault="007935AB">
            <w:pPr>
              <w:pBdr>
                <w:top w:val="none" w:sz="4" w:space="0" w:color="000000"/>
                <w:left w:val="none" w:sz="4" w:space="0" w:color="000000"/>
                <w:bottom w:val="none" w:sz="4" w:space="0" w:color="000000"/>
                <w:right w:val="none" w:sz="4" w:space="0" w:color="000000"/>
              </w:pBdr>
              <w:shd w:val="clear" w:color="FFFFFF" w:themeColor="background1" w:fill="FFFFFF" w:themeFill="background1"/>
              <w:ind w:firstLine="0"/>
            </w:pPr>
            <w:r w:rsidRPr="00731FE2">
              <w:rPr>
                <w:rFonts w:ascii="Times New Roman" w:eastAsia="Times New Roman" w:hAnsi="Times New Roman" w:cs="Times New Roman"/>
                <w:color w:val="000000"/>
                <w:sz w:val="22"/>
              </w:rPr>
              <w:t>Строительство внутренней инженерной инфраструктуры инвестиционной площадки «Солнечная долина» в городе-курорте Кисловодске</w:t>
            </w:r>
          </w:p>
        </w:tc>
        <w:tc>
          <w:tcPr>
            <w:tcW w:w="1843" w:type="dxa"/>
            <w:tcBorders>
              <w:top w:val="single" w:sz="4" w:space="0" w:color="000000"/>
              <w:left w:val="single" w:sz="4" w:space="0" w:color="000000"/>
              <w:bottom w:val="single" w:sz="4" w:space="0" w:color="000000"/>
              <w:right w:val="single" w:sz="4" w:space="0" w:color="000000"/>
            </w:tcBorders>
            <w:shd w:val="clear" w:color="FFFFFF" w:fill="FFFFFF"/>
            <w:tcMar>
              <w:top w:w="0" w:type="dxa"/>
              <w:left w:w="57" w:type="dxa"/>
              <w:bottom w:w="0" w:type="dxa"/>
              <w:right w:w="57" w:type="dxa"/>
            </w:tcMar>
            <w:vAlign w:val="center"/>
          </w:tcPr>
          <w:p w14:paraId="7245588B" w14:textId="77777777" w:rsidR="00171AA8" w:rsidRPr="00731FE2" w:rsidRDefault="007935AB">
            <w:pPr>
              <w:pBdr>
                <w:top w:val="none" w:sz="4" w:space="0" w:color="000000"/>
                <w:left w:val="none" w:sz="4" w:space="0" w:color="000000"/>
                <w:bottom w:val="none" w:sz="4" w:space="0" w:color="000000"/>
                <w:right w:val="none" w:sz="4" w:space="0" w:color="000000"/>
              </w:pBdr>
              <w:shd w:val="clear" w:color="FFFFFF" w:themeColor="background1" w:fill="FFFFFF" w:themeFill="background1"/>
              <w:ind w:firstLine="0"/>
              <w:jc w:val="center"/>
            </w:pPr>
            <w:r w:rsidRPr="00731FE2">
              <w:rPr>
                <w:rFonts w:ascii="Times New Roman" w:eastAsia="Times New Roman" w:hAnsi="Times New Roman" w:cs="Times New Roman"/>
                <w:color w:val="000000"/>
                <w:sz w:val="22"/>
              </w:rPr>
              <w:t>г. Кисловодск</w:t>
            </w:r>
          </w:p>
        </w:tc>
        <w:tc>
          <w:tcPr>
            <w:tcW w:w="2126" w:type="dxa"/>
            <w:tcBorders>
              <w:top w:val="single" w:sz="4" w:space="0" w:color="000000"/>
              <w:left w:val="single" w:sz="4" w:space="0" w:color="000000"/>
              <w:bottom w:val="single" w:sz="4" w:space="0" w:color="000000"/>
              <w:right w:val="single" w:sz="4" w:space="0" w:color="000000"/>
            </w:tcBorders>
            <w:shd w:val="clear" w:color="FFFFFF" w:fill="FFFFFF"/>
            <w:tcMar>
              <w:top w:w="0" w:type="dxa"/>
              <w:left w:w="57" w:type="dxa"/>
              <w:bottom w:w="0" w:type="dxa"/>
              <w:right w:w="57" w:type="dxa"/>
            </w:tcMar>
            <w:vAlign w:val="center"/>
          </w:tcPr>
          <w:p w14:paraId="6962AE6D" w14:textId="77777777" w:rsidR="00171AA8" w:rsidRPr="00731FE2" w:rsidRDefault="007935AB">
            <w:pPr>
              <w:pBdr>
                <w:top w:val="none" w:sz="4" w:space="0" w:color="000000"/>
                <w:left w:val="none" w:sz="4" w:space="0" w:color="000000"/>
                <w:bottom w:val="none" w:sz="4" w:space="0" w:color="000000"/>
                <w:right w:val="none" w:sz="4" w:space="0" w:color="000000"/>
              </w:pBdr>
              <w:shd w:val="clear" w:color="FFFFFF" w:themeColor="background1" w:fill="FFFFFF" w:themeFill="background1"/>
              <w:ind w:firstLine="0"/>
              <w:jc w:val="center"/>
            </w:pPr>
            <w:r w:rsidRPr="00731FE2">
              <w:rPr>
                <w:rFonts w:ascii="Times New Roman" w:eastAsia="Times New Roman" w:hAnsi="Times New Roman" w:cs="Times New Roman"/>
                <w:color w:val="000000"/>
                <w:sz w:val="22"/>
              </w:rPr>
              <w:t>-</w:t>
            </w:r>
          </w:p>
        </w:tc>
        <w:tc>
          <w:tcPr>
            <w:tcW w:w="1984" w:type="dxa"/>
            <w:tcBorders>
              <w:top w:val="single" w:sz="4" w:space="0" w:color="000000"/>
              <w:left w:val="single" w:sz="4" w:space="0" w:color="000000"/>
              <w:bottom w:val="single" w:sz="4" w:space="0" w:color="000000"/>
              <w:right w:val="single" w:sz="4" w:space="0" w:color="000000"/>
            </w:tcBorders>
            <w:shd w:val="clear" w:color="FFFFFF" w:fill="FFFFFF"/>
            <w:tcMar>
              <w:top w:w="0" w:type="dxa"/>
              <w:left w:w="57" w:type="dxa"/>
              <w:bottom w:w="0" w:type="dxa"/>
              <w:right w:w="57" w:type="dxa"/>
            </w:tcMar>
            <w:vAlign w:val="center"/>
          </w:tcPr>
          <w:p w14:paraId="09CA7507" w14:textId="77777777" w:rsidR="00171AA8" w:rsidRPr="00731FE2" w:rsidRDefault="007935AB">
            <w:pPr>
              <w:pBdr>
                <w:top w:val="none" w:sz="4" w:space="0" w:color="000000"/>
                <w:left w:val="none" w:sz="4" w:space="0" w:color="000000"/>
                <w:bottom w:val="none" w:sz="4" w:space="0" w:color="000000"/>
                <w:right w:val="none" w:sz="4" w:space="0" w:color="000000"/>
              </w:pBdr>
              <w:shd w:val="clear" w:color="FFFFFF" w:themeColor="background1" w:fill="FFFFFF" w:themeFill="background1"/>
              <w:ind w:firstLine="0"/>
              <w:jc w:val="center"/>
            </w:pPr>
            <w:r w:rsidRPr="00731FE2">
              <w:rPr>
                <w:rFonts w:ascii="Times New Roman" w:eastAsia="Times New Roman" w:hAnsi="Times New Roman" w:cs="Times New Roman"/>
                <w:color w:val="000000"/>
                <w:sz w:val="22"/>
              </w:rPr>
              <w:t>31.12.2028</w:t>
            </w:r>
          </w:p>
        </w:tc>
      </w:tr>
    </w:tbl>
    <w:p w14:paraId="6A67EB11" w14:textId="77777777" w:rsidR="00171AA8" w:rsidRPr="00731FE2" w:rsidRDefault="00171AA8">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p>
    <w:p w14:paraId="2FB1E0F7"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 xml:space="preserve">По состоянию на 01.01.2024 г. на территории города-курорта Кисловодска реализуется 60, </w:t>
      </w:r>
      <w:proofErr w:type="gramStart"/>
      <w:r w:rsidRPr="00731FE2">
        <w:rPr>
          <w:rFonts w:ascii="Times New Roman" w:eastAsia="Times New Roman" w:hAnsi="Times New Roman" w:cs="Times New Roman"/>
          <w:color w:val="000000"/>
          <w:szCs w:val="24"/>
        </w:rPr>
        <w:t>инвестиционных</w:t>
      </w:r>
      <w:proofErr w:type="gramEnd"/>
      <w:r w:rsidRPr="00731FE2">
        <w:rPr>
          <w:rFonts w:ascii="Times New Roman" w:eastAsia="Times New Roman" w:hAnsi="Times New Roman" w:cs="Times New Roman"/>
          <w:color w:val="000000"/>
          <w:szCs w:val="24"/>
        </w:rPr>
        <w:t xml:space="preserve"> проекта, в том числе</w:t>
      </w:r>
      <w:r w:rsidRPr="00731FE2">
        <w:rPr>
          <w:rStyle w:val="afb"/>
          <w:rFonts w:ascii="Times New Roman" w:eastAsia="Times New Roman" w:hAnsi="Times New Roman" w:cs="Times New Roman"/>
          <w:color w:val="000000"/>
          <w:szCs w:val="24"/>
          <w:vertAlign w:val="superscript"/>
        </w:rPr>
        <w:footnoteReference w:id="49"/>
      </w:r>
      <w:r w:rsidRPr="00731FE2">
        <w:rPr>
          <w:rFonts w:ascii="Times New Roman" w:eastAsia="Times New Roman" w:hAnsi="Times New Roman" w:cs="Times New Roman"/>
          <w:color w:val="000000"/>
          <w:szCs w:val="24"/>
        </w:rPr>
        <w:t>:</w:t>
      </w:r>
    </w:p>
    <w:p w14:paraId="56102BE3" w14:textId="77777777" w:rsidR="00171AA8" w:rsidRPr="00731FE2" w:rsidRDefault="007935AB" w:rsidP="007832E7">
      <w:pPr>
        <w:pStyle w:val="a3"/>
        <w:numPr>
          <w:ilvl w:val="0"/>
          <w:numId w:val="70"/>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 xml:space="preserve">39 проектов за счет внебюджетных (частных) источников финансирования, общей стоимостью 45,89 млрд. руб., по </w:t>
      </w:r>
      <w:proofErr w:type="gramStart"/>
      <w:r w:rsidRPr="00731FE2">
        <w:rPr>
          <w:rFonts w:ascii="Times New Roman" w:eastAsia="Times New Roman" w:hAnsi="Times New Roman" w:cs="Times New Roman"/>
          <w:color w:val="000000"/>
          <w:szCs w:val="24"/>
        </w:rPr>
        <w:t>итогам</w:t>
      </w:r>
      <w:proofErr w:type="gramEnd"/>
      <w:r w:rsidRPr="00731FE2">
        <w:rPr>
          <w:rFonts w:ascii="Times New Roman" w:eastAsia="Times New Roman" w:hAnsi="Times New Roman" w:cs="Times New Roman"/>
          <w:color w:val="000000"/>
          <w:szCs w:val="24"/>
        </w:rPr>
        <w:t xml:space="preserve"> реализации которых планируется создать до 6217 коечных мест, а также до 3381 рабочих мест;</w:t>
      </w:r>
    </w:p>
    <w:p w14:paraId="45707A3B" w14:textId="77777777" w:rsidR="00171AA8" w:rsidRPr="00731FE2" w:rsidRDefault="007935AB" w:rsidP="007832E7">
      <w:pPr>
        <w:pStyle w:val="a3"/>
        <w:numPr>
          <w:ilvl w:val="0"/>
          <w:numId w:val="70"/>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 xml:space="preserve">21 проект за счет бюджетных источников финансирования, общей стоимостью 21,08 млрд. руб., по </w:t>
      </w:r>
      <w:proofErr w:type="gramStart"/>
      <w:r w:rsidRPr="00731FE2">
        <w:rPr>
          <w:rFonts w:ascii="Times New Roman" w:eastAsia="Times New Roman" w:hAnsi="Times New Roman" w:cs="Times New Roman"/>
          <w:color w:val="000000"/>
          <w:szCs w:val="24"/>
        </w:rPr>
        <w:t>итогам</w:t>
      </w:r>
      <w:proofErr w:type="gramEnd"/>
      <w:r w:rsidRPr="00731FE2">
        <w:rPr>
          <w:rFonts w:ascii="Times New Roman" w:eastAsia="Times New Roman" w:hAnsi="Times New Roman" w:cs="Times New Roman"/>
          <w:color w:val="000000"/>
          <w:szCs w:val="24"/>
        </w:rPr>
        <w:t xml:space="preserve"> реализации которых планируется создать до 231 коечных мест, а также до 317 рабочих мест.</w:t>
      </w:r>
    </w:p>
    <w:p w14:paraId="070E1050"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В 2024-2030 годах планируется приступить к реализации 31 инвестиционного проекта общей стоимостью 90 млрд. 420,42 млн. руб., в том числе:</w:t>
      </w:r>
    </w:p>
    <w:p w14:paraId="41948F99" w14:textId="77777777" w:rsidR="00171AA8" w:rsidRPr="00731FE2" w:rsidRDefault="007935AB" w:rsidP="007832E7">
      <w:pPr>
        <w:pStyle w:val="a3"/>
        <w:numPr>
          <w:ilvl w:val="0"/>
          <w:numId w:val="71"/>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7 проектов стоимостью 51 млрд. 738,00 млн. руб. за счет внебюджетных (частных) средств инвесторов;</w:t>
      </w:r>
    </w:p>
    <w:p w14:paraId="7B55C5CF" w14:textId="77777777" w:rsidR="00171AA8" w:rsidRPr="00731FE2" w:rsidRDefault="007935AB" w:rsidP="007832E7">
      <w:pPr>
        <w:pStyle w:val="a3"/>
        <w:numPr>
          <w:ilvl w:val="0"/>
          <w:numId w:val="71"/>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24 проектов стоимостью 38 млрд. 682,42 млн. руб. за счет бюджетных источников финансирования.</w:t>
      </w:r>
    </w:p>
    <w:p w14:paraId="24927F40"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b/>
          <w:bCs/>
          <w:color w:val="000000"/>
          <w:szCs w:val="24"/>
        </w:rPr>
      </w:pPr>
      <w:r w:rsidRPr="00731FE2">
        <w:rPr>
          <w:rFonts w:ascii="Times New Roman" w:eastAsia="Times New Roman" w:hAnsi="Times New Roman" w:cs="Times New Roman"/>
          <w:b/>
          <w:bCs/>
          <w:color w:val="000000"/>
          <w:szCs w:val="24"/>
        </w:rPr>
        <w:t>В целом инвестиционная привлекательность городского округа находится на высоком уровне, в первую очередь благодаря уникальным природным ресурсам, развитой инфраструктуре и наличию трудовых ресурсов. Ежегодное количество туристов растет, что увеличивает спрос на объекты размещения и обслуживания, а также диктует новые условия в си</w:t>
      </w:r>
      <w:r w:rsidR="00422170" w:rsidRPr="00731FE2">
        <w:rPr>
          <w:rFonts w:ascii="Times New Roman" w:eastAsia="Times New Roman" w:hAnsi="Times New Roman" w:cs="Times New Roman"/>
          <w:b/>
          <w:bCs/>
          <w:color w:val="000000"/>
          <w:szCs w:val="24"/>
        </w:rPr>
        <w:t>с</w:t>
      </w:r>
      <w:r w:rsidRPr="00731FE2">
        <w:rPr>
          <w:rFonts w:ascii="Times New Roman" w:eastAsia="Times New Roman" w:hAnsi="Times New Roman" w:cs="Times New Roman"/>
          <w:b/>
          <w:bCs/>
          <w:color w:val="000000"/>
          <w:szCs w:val="24"/>
        </w:rPr>
        <w:t>теме благоустройства, комфорта и досуга отдыхающих. В городе отмечается благоприятный инвестиционный климат для развития крупного и мелкого бизнеса.</w:t>
      </w:r>
    </w:p>
    <w:p w14:paraId="23288734" w14:textId="77777777" w:rsidR="00171AA8" w:rsidRPr="00731FE2" w:rsidRDefault="00171AA8">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b/>
          <w:bCs/>
          <w:color w:val="000000"/>
          <w:szCs w:val="24"/>
        </w:rPr>
      </w:pPr>
    </w:p>
    <w:p w14:paraId="64D79E45" w14:textId="77777777" w:rsidR="00171AA8" w:rsidRPr="00731FE2" w:rsidRDefault="007935AB">
      <w:pPr>
        <w:pStyle w:val="24"/>
        <w:rPr>
          <w:rFonts w:ascii="Times New Roman" w:hAnsi="Times New Roman" w:cs="Times New Roman"/>
        </w:rPr>
      </w:pPr>
      <w:bookmarkStart w:id="41" w:name="_Toc177392792"/>
      <w:r w:rsidRPr="00731FE2">
        <w:rPr>
          <w:rFonts w:ascii="Times New Roman" w:hAnsi="Times New Roman" w:cs="Times New Roman"/>
        </w:rPr>
        <w:t>2.10 Транспортная инфраструктура</w:t>
      </w:r>
      <w:bookmarkEnd w:id="41"/>
    </w:p>
    <w:p w14:paraId="3EDFA8BD"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 xml:space="preserve">Транспорт играет важную роль в социально-экономическом развитии территории. Транспортная система определяет условия экономического роста, повышения конкурентоспособности экономики и качества жизни населения. Доступ к безопасным и качественным транспортным услугам определяет эффективность работы и развития всех сфер деятельности. Эффективное функционирование транспортного комплекса </w:t>
      </w:r>
      <w:r w:rsidRPr="00731FE2">
        <w:rPr>
          <w:rFonts w:ascii="Times New Roman" w:eastAsia="Times New Roman" w:hAnsi="Times New Roman" w:cs="Times New Roman"/>
          <w:color w:val="000000"/>
          <w:szCs w:val="24"/>
        </w:rPr>
        <w:lastRenderedPageBreak/>
        <w:t>городского округа города-курорта Кисловодска является важным условием для модернизации, перехода на инновационный путь развития и устойчивого роста экономики данной территории.</w:t>
      </w:r>
    </w:p>
    <w:p w14:paraId="2559352D"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 xml:space="preserve">На территории городского округа города-курорта Кисловодска отсутствуют объекты трубопроводного транспорта (газопроводы и нефтепроводы), за исключением минералопроводов, </w:t>
      </w:r>
      <w:proofErr w:type="gramStart"/>
      <w:r w:rsidRPr="00731FE2">
        <w:rPr>
          <w:rFonts w:ascii="Times New Roman" w:eastAsia="Times New Roman" w:hAnsi="Times New Roman" w:cs="Times New Roman"/>
          <w:color w:val="000000"/>
        </w:rPr>
        <w:t>обеспечивающих</w:t>
      </w:r>
      <w:proofErr w:type="gramEnd"/>
      <w:r w:rsidRPr="00731FE2">
        <w:rPr>
          <w:rFonts w:ascii="Times New Roman" w:eastAsia="Times New Roman" w:hAnsi="Times New Roman" w:cs="Times New Roman"/>
          <w:color w:val="000000"/>
        </w:rPr>
        <w:t xml:space="preserve"> поставку минеральной воды.</w:t>
      </w:r>
    </w:p>
    <w:p w14:paraId="6A59C301" w14:textId="77777777" w:rsidR="00171AA8" w:rsidRPr="00731FE2" w:rsidRDefault="007935AB">
      <w:pPr>
        <w:pStyle w:val="33"/>
        <w:rPr>
          <w:rFonts w:ascii="Times New Roman" w:hAnsi="Times New Roman" w:cs="Times New Roman"/>
        </w:rPr>
      </w:pPr>
      <w:bookmarkStart w:id="42" w:name="_Toc177392793"/>
      <w:r w:rsidRPr="00731FE2">
        <w:rPr>
          <w:rFonts w:ascii="Times New Roman" w:hAnsi="Times New Roman" w:cs="Times New Roman"/>
        </w:rPr>
        <w:t>2.10.1 Автомобильный транспорт и улично-дорожная сеть</w:t>
      </w:r>
      <w:bookmarkEnd w:id="42"/>
    </w:p>
    <w:p w14:paraId="109AFE65" w14:textId="77777777" w:rsidR="00171AA8" w:rsidRPr="00731FE2" w:rsidRDefault="007935AB" w:rsidP="005E3E3A">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Основа внешних связей городского округа города-курорта Кисловодска автомобильными дорогами общего пользования – автомобильная дорога общего пользования федерального значения А-157 «Минеральные Воды (аэропорт) – Кисловодск», подходящая непосредственно к городу Кисловодску. Большая часть внешних транспортных связей по автомобильным дорогам общего пользования регионального или межмуниципального, местного значения обеспечивает проходящая по территории Ставропольского края автомобильная дорога общего пользования федерального значения Р-217 «Кавказ», автомобильная дорога М-4 «Дон» – Владикавказ – Грозный – Махачкала – граница с Азербайджанской Республикой».</w:t>
      </w:r>
    </w:p>
    <w:p w14:paraId="251E13ED" w14:textId="29C72336" w:rsidR="00171AA8" w:rsidRPr="00731FE2" w:rsidRDefault="007935AB" w:rsidP="005E3E3A">
      <w:pPr>
        <w:autoSpaceDE w:val="0"/>
        <w:autoSpaceDN w:val="0"/>
        <w:adjustRightInd w:val="0"/>
      </w:pPr>
      <w:r w:rsidRPr="00731FE2">
        <w:rPr>
          <w:rFonts w:ascii="Times New Roman" w:eastAsia="Times New Roman" w:hAnsi="Times New Roman" w:cs="Times New Roman"/>
          <w:color w:val="000000"/>
        </w:rPr>
        <w:t xml:space="preserve">Городской округ «город-курорт Кисловодск» связан транспортной системой с городами КМВ и соседней Карачаево-Черкесской Республикой. По направлению к г. Карачаевску отходит </w:t>
      </w:r>
      <w:r w:rsidR="005E3E3A" w:rsidRPr="00731FE2">
        <w:rPr>
          <w:rFonts w:ascii="Times New Roman" w:eastAsia="Times New Roman" w:hAnsi="Times New Roman" w:cs="Times New Roman"/>
          <w:color w:val="000000"/>
        </w:rPr>
        <w:t>автомобильная дорога общего пользования регионального значения «Кисловодск – Карачаевск (в границах Ставропольского края)</w:t>
      </w:r>
      <w:r w:rsidRPr="00731FE2">
        <w:rPr>
          <w:rFonts w:ascii="Times New Roman" w:eastAsia="Times New Roman" w:hAnsi="Times New Roman" w:cs="Times New Roman"/>
          <w:color w:val="000000"/>
        </w:rPr>
        <w:t xml:space="preserve">. Таким </w:t>
      </w:r>
      <w:proofErr w:type="gramStart"/>
      <w:r w:rsidRPr="00731FE2">
        <w:rPr>
          <w:rFonts w:ascii="Times New Roman" w:eastAsia="Times New Roman" w:hAnsi="Times New Roman" w:cs="Times New Roman"/>
          <w:color w:val="000000"/>
        </w:rPr>
        <w:t>образом</w:t>
      </w:r>
      <w:proofErr w:type="gramEnd"/>
      <w:r w:rsidRPr="00731FE2">
        <w:rPr>
          <w:rFonts w:ascii="Times New Roman" w:eastAsia="Times New Roman" w:hAnsi="Times New Roman" w:cs="Times New Roman"/>
          <w:color w:val="000000"/>
        </w:rPr>
        <w:t xml:space="preserve"> </w:t>
      </w:r>
      <w:r w:rsidR="002455DE" w:rsidRPr="00731FE2">
        <w:rPr>
          <w:rFonts w:ascii="Times New Roman" w:eastAsia="Times New Roman" w:hAnsi="Times New Roman" w:cs="Times New Roman"/>
          <w:color w:val="000000"/>
        </w:rPr>
        <w:t>промышленная зона</w:t>
      </w:r>
      <w:r w:rsidRPr="00731FE2">
        <w:rPr>
          <w:rFonts w:ascii="Times New Roman" w:eastAsia="Times New Roman" w:hAnsi="Times New Roman" w:cs="Times New Roman"/>
          <w:color w:val="000000"/>
        </w:rPr>
        <w:t xml:space="preserve"> в северной части города является транзитной, а сам город федеральной и региональной трассами соединяет Кавминводскую агломерацию и курорты Карачаево-Черкесской республи</w:t>
      </w:r>
      <w:r w:rsidRPr="00731FE2">
        <w:rPr>
          <w:rFonts w:ascii="Times New Roman" w:eastAsia="Times New Roman" w:hAnsi="Times New Roman" w:cs="Times New Roman"/>
        </w:rPr>
        <w:t>ки</w:t>
      </w:r>
      <w:r w:rsidRPr="00731FE2">
        <w:rPr>
          <w:rFonts w:ascii="Times New Roman" w:eastAsia="Times New Roman" w:hAnsi="Times New Roman" w:cs="Times New Roman"/>
          <w:vertAlign w:val="superscript"/>
        </w:rPr>
        <w:footnoteReference w:id="50"/>
      </w:r>
      <w:r w:rsidRPr="00731FE2">
        <w:rPr>
          <w:rFonts w:ascii="Times New Roman" w:eastAsia="Times New Roman" w:hAnsi="Times New Roman" w:cs="Times New Roman"/>
        </w:rPr>
        <w:t>.</w:t>
      </w:r>
    </w:p>
    <w:p w14:paraId="0DEF3D86"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Другой транзитной, но и в то же время тупиковой дорогой местного значения является дорога «Кисловодск-Долина Нарзанов-Джилы-Су-Эльбрус». Данная дорога связывает город Кисловодск с популярными туристическими местами Кабардино-Балкарии. Следовательно, городской округ «город-курорт Кисловодск» расположен на стыке 3 туристических направлений курортов Карачаево-Черкесии, Кабардино-Балкарии и курортов Кавказских минеральных вод и Кавминводской агломерации на территории Ставропольского края и занимает центральное положение эколого-курортного региона Кавказских Минеральных Вод.</w:t>
      </w:r>
    </w:p>
    <w:p w14:paraId="2E17E9AA"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Кисловодск расположен вблизи других городов – региональных центров Северо-Кавказского федерального округа (таблица ниже). В то же время, город-курорт удален от крупнейших региональных центров Южного, Приволжского, Центрального и других федеральных округов.</w:t>
      </w:r>
    </w:p>
    <w:p w14:paraId="666BEA22" w14:textId="77777777" w:rsidR="00171AA8" w:rsidRPr="00731FE2" w:rsidRDefault="00171AA8" w:rsidP="00422170">
      <w:pPr>
        <w:pBdr>
          <w:top w:val="none" w:sz="4" w:space="0" w:color="000000"/>
          <w:left w:val="none" w:sz="4" w:space="0" w:color="000000"/>
          <w:bottom w:val="none" w:sz="4" w:space="0" w:color="000000"/>
          <w:right w:val="none" w:sz="4" w:space="0" w:color="000000"/>
        </w:pBdr>
        <w:spacing w:line="240" w:lineRule="auto"/>
        <w:ind w:firstLine="0"/>
        <w:rPr>
          <w:rFonts w:ascii="Times New Roman" w:eastAsia="Times New Roman" w:hAnsi="Times New Roman" w:cs="Times New Roman"/>
          <w:color w:val="000000"/>
          <w:szCs w:val="24"/>
        </w:rPr>
      </w:pPr>
    </w:p>
    <w:p w14:paraId="55021036" w14:textId="77777777" w:rsidR="00171AA8" w:rsidRPr="00731FE2" w:rsidRDefault="007935AB" w:rsidP="00422170">
      <w:pPr>
        <w:pBdr>
          <w:top w:val="none" w:sz="4" w:space="0" w:color="000000"/>
          <w:left w:val="none" w:sz="4" w:space="0" w:color="000000"/>
          <w:bottom w:val="none" w:sz="4" w:space="0" w:color="000000"/>
          <w:right w:val="none" w:sz="4" w:space="0" w:color="000000"/>
        </w:pBdr>
        <w:spacing w:line="240" w:lineRule="auto"/>
        <w:ind w:firstLine="0"/>
        <w:rPr>
          <w:rFonts w:ascii="Times New Roman" w:eastAsia="Times New Roman" w:hAnsi="Times New Roman" w:cs="Times New Roman"/>
          <w:b/>
          <w:bCs/>
          <w:color w:val="000000"/>
          <w:szCs w:val="24"/>
        </w:rPr>
      </w:pPr>
      <w:r w:rsidRPr="00731FE2">
        <w:rPr>
          <w:rFonts w:ascii="Times New Roman" w:eastAsia="Times New Roman" w:hAnsi="Times New Roman" w:cs="Times New Roman"/>
          <w:b/>
          <w:bCs/>
          <w:color w:val="000000"/>
          <w:szCs w:val="24"/>
        </w:rPr>
        <w:t xml:space="preserve">Таблица </w:t>
      </w:r>
      <w:r w:rsidRPr="00731FE2">
        <w:rPr>
          <w:rFonts w:ascii="Times New Roman" w:eastAsia="Times New Roman" w:hAnsi="Times New Roman" w:cs="Times New Roman"/>
          <w:b/>
          <w:bCs/>
          <w:color w:val="000000"/>
          <w:szCs w:val="24"/>
        </w:rPr>
        <w:fldChar w:fldCharType="begin"/>
      </w:r>
      <w:r w:rsidRPr="00731FE2">
        <w:rPr>
          <w:rFonts w:ascii="Times New Roman" w:eastAsia="Times New Roman" w:hAnsi="Times New Roman" w:cs="Times New Roman"/>
          <w:b/>
          <w:bCs/>
          <w:color w:val="000000"/>
          <w:szCs w:val="24"/>
        </w:rPr>
        <w:instrText xml:space="preserve"> SEQ Таблица \* Arabic </w:instrText>
      </w:r>
      <w:r w:rsidRPr="00731FE2">
        <w:rPr>
          <w:rFonts w:ascii="Times New Roman" w:eastAsia="Times New Roman" w:hAnsi="Times New Roman" w:cs="Times New Roman"/>
          <w:b/>
          <w:bCs/>
          <w:color w:val="000000"/>
          <w:szCs w:val="24"/>
        </w:rPr>
        <w:fldChar w:fldCharType="separate"/>
      </w:r>
      <w:r w:rsidR="00C50915" w:rsidRPr="00731FE2">
        <w:rPr>
          <w:rFonts w:ascii="Times New Roman" w:eastAsia="Times New Roman" w:hAnsi="Times New Roman" w:cs="Times New Roman"/>
          <w:b/>
          <w:bCs/>
          <w:noProof/>
          <w:color w:val="000000"/>
          <w:szCs w:val="24"/>
        </w:rPr>
        <w:t>26</w:t>
      </w:r>
      <w:r w:rsidRPr="00731FE2">
        <w:rPr>
          <w:rFonts w:ascii="Times New Roman" w:eastAsia="Times New Roman" w:hAnsi="Times New Roman" w:cs="Times New Roman"/>
          <w:b/>
          <w:bCs/>
          <w:color w:val="000000"/>
          <w:szCs w:val="24"/>
        </w:rPr>
        <w:fldChar w:fldCharType="end"/>
      </w:r>
      <w:r w:rsidRPr="00731FE2">
        <w:rPr>
          <w:rFonts w:ascii="Times New Roman" w:eastAsia="Times New Roman" w:hAnsi="Times New Roman" w:cs="Times New Roman"/>
          <w:b/>
          <w:bCs/>
          <w:color w:val="000000"/>
          <w:szCs w:val="24"/>
        </w:rPr>
        <w:t>– Транспортные связи городского округа города-курорта Кисловодска автомобильными дорогами общего пользования федерального и регионального значения с отдельными городами России</w:t>
      </w:r>
    </w:p>
    <w:tbl>
      <w:tblPr>
        <w:tblStyle w:val="afe"/>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3641"/>
        <w:gridCol w:w="5713"/>
      </w:tblGrid>
      <w:tr w:rsidR="00171AA8" w:rsidRPr="00731FE2" w14:paraId="67DD7464" w14:textId="77777777">
        <w:trPr>
          <w:trHeight w:val="319"/>
        </w:trPr>
        <w:tc>
          <w:tcPr>
            <w:tcW w:w="3641"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14:paraId="4B34DD1B" w14:textId="77777777" w:rsidR="00171AA8" w:rsidRPr="00731FE2" w:rsidRDefault="007935AB">
            <w:pPr>
              <w:pBdr>
                <w:top w:val="none" w:sz="4" w:space="0" w:color="000000"/>
                <w:left w:val="none" w:sz="4" w:space="0" w:color="000000"/>
                <w:bottom w:val="none" w:sz="4" w:space="0" w:color="000000"/>
                <w:right w:val="none" w:sz="4" w:space="0" w:color="000000"/>
              </w:pBdr>
              <w:spacing w:line="17" w:lineRule="atLeast"/>
              <w:ind w:firstLine="0"/>
              <w:jc w:val="center"/>
              <w:rPr>
                <w:rFonts w:ascii="Times New Roman" w:eastAsia="Times New Roman" w:hAnsi="Times New Roman" w:cs="Times New Roman"/>
                <w:b/>
                <w:bCs/>
                <w:color w:val="000000"/>
                <w:sz w:val="22"/>
              </w:rPr>
            </w:pPr>
            <w:r w:rsidRPr="00731FE2">
              <w:rPr>
                <w:rFonts w:ascii="Times New Roman" w:eastAsia="Times New Roman" w:hAnsi="Times New Roman" w:cs="Times New Roman"/>
                <w:b/>
                <w:bCs/>
                <w:color w:val="000000"/>
                <w:sz w:val="22"/>
              </w:rPr>
              <w:t>Город</w:t>
            </w:r>
          </w:p>
        </w:tc>
        <w:tc>
          <w:tcPr>
            <w:tcW w:w="5713" w:type="dxa"/>
            <w:tcBorders>
              <w:top w:val="single" w:sz="8" w:space="0" w:color="000000"/>
              <w:left w:val="none" w:sz="4" w:space="0" w:color="000000"/>
              <w:bottom w:val="single" w:sz="8" w:space="0" w:color="000000"/>
              <w:right w:val="single" w:sz="8" w:space="0" w:color="000000"/>
            </w:tcBorders>
            <w:tcMar>
              <w:top w:w="0" w:type="dxa"/>
              <w:left w:w="108" w:type="dxa"/>
              <w:bottom w:w="0" w:type="dxa"/>
              <w:right w:w="108" w:type="dxa"/>
            </w:tcMar>
          </w:tcPr>
          <w:p w14:paraId="46132774" w14:textId="77777777" w:rsidR="00171AA8" w:rsidRPr="00731FE2" w:rsidRDefault="007935AB">
            <w:pPr>
              <w:pBdr>
                <w:top w:val="none" w:sz="4" w:space="0" w:color="000000"/>
                <w:left w:val="none" w:sz="4" w:space="0" w:color="000000"/>
                <w:bottom w:val="none" w:sz="4" w:space="0" w:color="000000"/>
                <w:right w:val="none" w:sz="4" w:space="0" w:color="000000"/>
              </w:pBdr>
              <w:spacing w:line="17" w:lineRule="atLeast"/>
              <w:ind w:firstLine="0"/>
              <w:jc w:val="center"/>
              <w:rPr>
                <w:rFonts w:ascii="Times New Roman" w:eastAsia="Times New Roman" w:hAnsi="Times New Roman" w:cs="Times New Roman"/>
                <w:b/>
                <w:bCs/>
                <w:color w:val="000000"/>
                <w:sz w:val="22"/>
              </w:rPr>
            </w:pPr>
            <w:r w:rsidRPr="00731FE2">
              <w:rPr>
                <w:rFonts w:ascii="Times New Roman" w:eastAsia="Times New Roman" w:hAnsi="Times New Roman" w:cs="Times New Roman"/>
                <w:b/>
                <w:bCs/>
                <w:color w:val="000000"/>
                <w:sz w:val="22"/>
              </w:rPr>
              <w:t xml:space="preserve">Удаленность от Кисловодска, </w:t>
            </w:r>
            <w:proofErr w:type="gramStart"/>
            <w:r w:rsidRPr="00731FE2">
              <w:rPr>
                <w:rFonts w:ascii="Times New Roman" w:eastAsia="Times New Roman" w:hAnsi="Times New Roman" w:cs="Times New Roman"/>
                <w:b/>
                <w:bCs/>
                <w:color w:val="000000"/>
                <w:sz w:val="22"/>
              </w:rPr>
              <w:t>км</w:t>
            </w:r>
            <w:proofErr w:type="gramEnd"/>
          </w:p>
        </w:tc>
      </w:tr>
      <w:tr w:rsidR="00171AA8" w:rsidRPr="00731FE2" w14:paraId="49316ACC" w14:textId="77777777">
        <w:tc>
          <w:tcPr>
            <w:tcW w:w="3641"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tcPr>
          <w:p w14:paraId="35C705B5" w14:textId="77777777" w:rsidR="00171AA8" w:rsidRPr="00731FE2" w:rsidRDefault="007935AB">
            <w:pPr>
              <w:pBdr>
                <w:top w:val="none" w:sz="4" w:space="0" w:color="000000"/>
                <w:left w:val="none" w:sz="4" w:space="0" w:color="000000"/>
                <w:bottom w:val="none" w:sz="4" w:space="0" w:color="000000"/>
                <w:right w:val="none" w:sz="4" w:space="0" w:color="000000"/>
              </w:pBdr>
              <w:spacing w:line="17" w:lineRule="atLeast"/>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Москва</w:t>
            </w:r>
          </w:p>
        </w:tc>
        <w:tc>
          <w:tcPr>
            <w:tcW w:w="5713"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2F32C161" w14:textId="77777777" w:rsidR="00171AA8" w:rsidRPr="00731FE2" w:rsidRDefault="007935AB">
            <w:pPr>
              <w:pBdr>
                <w:top w:val="none" w:sz="4" w:space="0" w:color="000000"/>
                <w:left w:val="none" w:sz="4" w:space="0" w:color="000000"/>
                <w:bottom w:val="none" w:sz="4" w:space="0" w:color="000000"/>
                <w:right w:val="none" w:sz="4" w:space="0" w:color="000000"/>
              </w:pBdr>
              <w:spacing w:line="17" w:lineRule="atLeast"/>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1626</w:t>
            </w:r>
          </w:p>
        </w:tc>
      </w:tr>
      <w:tr w:rsidR="00171AA8" w:rsidRPr="00731FE2" w14:paraId="48076268" w14:textId="77777777">
        <w:tc>
          <w:tcPr>
            <w:tcW w:w="3641"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tcPr>
          <w:p w14:paraId="07DAF5AB" w14:textId="77777777" w:rsidR="00171AA8" w:rsidRPr="00731FE2" w:rsidRDefault="007935AB">
            <w:pPr>
              <w:pBdr>
                <w:top w:val="none" w:sz="4" w:space="0" w:color="000000"/>
                <w:left w:val="none" w:sz="4" w:space="0" w:color="000000"/>
                <w:bottom w:val="none" w:sz="4" w:space="0" w:color="000000"/>
                <w:right w:val="none" w:sz="4" w:space="0" w:color="000000"/>
              </w:pBdr>
              <w:spacing w:line="17" w:lineRule="atLeast"/>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Ростов-на-Дону</w:t>
            </w:r>
          </w:p>
        </w:tc>
        <w:tc>
          <w:tcPr>
            <w:tcW w:w="5713"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760F67A0" w14:textId="77777777" w:rsidR="00171AA8" w:rsidRPr="00731FE2" w:rsidRDefault="007935AB">
            <w:pPr>
              <w:pBdr>
                <w:top w:val="none" w:sz="4" w:space="0" w:color="000000"/>
                <w:left w:val="none" w:sz="4" w:space="0" w:color="000000"/>
                <w:bottom w:val="none" w:sz="4" w:space="0" w:color="000000"/>
                <w:right w:val="none" w:sz="4" w:space="0" w:color="000000"/>
              </w:pBdr>
              <w:spacing w:line="17" w:lineRule="atLeast"/>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532</w:t>
            </w:r>
          </w:p>
        </w:tc>
      </w:tr>
      <w:tr w:rsidR="00171AA8" w:rsidRPr="00731FE2" w14:paraId="79179E54" w14:textId="77777777">
        <w:tc>
          <w:tcPr>
            <w:tcW w:w="3641"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tcPr>
          <w:p w14:paraId="5E56FE3B" w14:textId="77777777" w:rsidR="00171AA8" w:rsidRPr="00731FE2" w:rsidRDefault="007935AB">
            <w:pPr>
              <w:pBdr>
                <w:top w:val="none" w:sz="4" w:space="0" w:color="000000"/>
                <w:left w:val="none" w:sz="4" w:space="0" w:color="000000"/>
                <w:bottom w:val="none" w:sz="4" w:space="0" w:color="000000"/>
                <w:right w:val="none" w:sz="4" w:space="0" w:color="000000"/>
              </w:pBdr>
              <w:spacing w:line="17" w:lineRule="atLeast"/>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Новороссийск</w:t>
            </w:r>
          </w:p>
        </w:tc>
        <w:tc>
          <w:tcPr>
            <w:tcW w:w="5713"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4A63FE17" w14:textId="77777777" w:rsidR="00171AA8" w:rsidRPr="00731FE2" w:rsidRDefault="007935AB">
            <w:pPr>
              <w:pBdr>
                <w:top w:val="none" w:sz="4" w:space="0" w:color="000000"/>
                <w:left w:val="none" w:sz="4" w:space="0" w:color="000000"/>
                <w:bottom w:val="none" w:sz="4" w:space="0" w:color="000000"/>
                <w:right w:val="none" w:sz="4" w:space="0" w:color="000000"/>
              </w:pBdr>
              <w:spacing w:line="17" w:lineRule="atLeast"/>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603</w:t>
            </w:r>
          </w:p>
        </w:tc>
      </w:tr>
      <w:tr w:rsidR="00171AA8" w:rsidRPr="00731FE2" w14:paraId="0B5AE76E" w14:textId="77777777">
        <w:tc>
          <w:tcPr>
            <w:tcW w:w="3641"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tcPr>
          <w:p w14:paraId="1A2204E3" w14:textId="77777777" w:rsidR="00171AA8" w:rsidRPr="00731FE2" w:rsidRDefault="007935AB">
            <w:pPr>
              <w:pBdr>
                <w:top w:val="none" w:sz="4" w:space="0" w:color="000000"/>
                <w:left w:val="none" w:sz="4" w:space="0" w:color="000000"/>
                <w:bottom w:val="none" w:sz="4" w:space="0" w:color="000000"/>
                <w:right w:val="none" w:sz="4" w:space="0" w:color="000000"/>
              </w:pBdr>
              <w:spacing w:line="17" w:lineRule="atLeast"/>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lastRenderedPageBreak/>
              <w:t>Сочи</w:t>
            </w:r>
          </w:p>
        </w:tc>
        <w:tc>
          <w:tcPr>
            <w:tcW w:w="5713"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2622426C" w14:textId="77777777" w:rsidR="00171AA8" w:rsidRPr="00731FE2" w:rsidRDefault="007935AB">
            <w:pPr>
              <w:pBdr>
                <w:top w:val="none" w:sz="4" w:space="0" w:color="000000"/>
                <w:left w:val="none" w:sz="4" w:space="0" w:color="000000"/>
                <w:bottom w:val="none" w:sz="4" w:space="0" w:color="000000"/>
                <w:right w:val="none" w:sz="4" w:space="0" w:color="000000"/>
              </w:pBdr>
              <w:spacing w:line="17" w:lineRule="atLeast"/>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596</w:t>
            </w:r>
          </w:p>
        </w:tc>
      </w:tr>
      <w:tr w:rsidR="00171AA8" w:rsidRPr="00731FE2" w14:paraId="55048826" w14:textId="77777777">
        <w:tc>
          <w:tcPr>
            <w:tcW w:w="3641"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tcPr>
          <w:p w14:paraId="396D114C" w14:textId="77777777" w:rsidR="00171AA8" w:rsidRPr="00731FE2" w:rsidRDefault="007935AB">
            <w:pPr>
              <w:pBdr>
                <w:top w:val="none" w:sz="4" w:space="0" w:color="000000"/>
                <w:left w:val="none" w:sz="4" w:space="0" w:color="000000"/>
                <w:bottom w:val="none" w:sz="4" w:space="0" w:color="000000"/>
                <w:right w:val="none" w:sz="4" w:space="0" w:color="000000"/>
              </w:pBdr>
              <w:spacing w:line="17" w:lineRule="atLeast"/>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Махачкала</w:t>
            </w:r>
          </w:p>
        </w:tc>
        <w:tc>
          <w:tcPr>
            <w:tcW w:w="5713"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283D5C24" w14:textId="77777777" w:rsidR="00171AA8" w:rsidRPr="00731FE2" w:rsidRDefault="007935AB">
            <w:pPr>
              <w:pBdr>
                <w:top w:val="none" w:sz="4" w:space="0" w:color="000000"/>
                <w:left w:val="none" w:sz="4" w:space="0" w:color="000000"/>
                <w:bottom w:val="none" w:sz="4" w:space="0" w:color="000000"/>
                <w:right w:val="none" w:sz="4" w:space="0" w:color="000000"/>
              </w:pBdr>
              <w:spacing w:line="17" w:lineRule="atLeast"/>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478</w:t>
            </w:r>
          </w:p>
        </w:tc>
      </w:tr>
      <w:tr w:rsidR="00171AA8" w:rsidRPr="00731FE2" w14:paraId="0E2BCC1C" w14:textId="77777777">
        <w:tc>
          <w:tcPr>
            <w:tcW w:w="3641"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tcPr>
          <w:p w14:paraId="29E8070D" w14:textId="77777777" w:rsidR="00171AA8" w:rsidRPr="00731FE2" w:rsidRDefault="007935AB">
            <w:pPr>
              <w:pBdr>
                <w:top w:val="none" w:sz="4" w:space="0" w:color="000000"/>
                <w:left w:val="none" w:sz="4" w:space="0" w:color="000000"/>
                <w:bottom w:val="none" w:sz="4" w:space="0" w:color="000000"/>
                <w:right w:val="none" w:sz="4" w:space="0" w:color="000000"/>
              </w:pBdr>
              <w:spacing w:line="17" w:lineRule="atLeast"/>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Астрахань</w:t>
            </w:r>
          </w:p>
        </w:tc>
        <w:tc>
          <w:tcPr>
            <w:tcW w:w="5713"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4563511E" w14:textId="77777777" w:rsidR="00171AA8" w:rsidRPr="00731FE2" w:rsidRDefault="007935AB">
            <w:pPr>
              <w:pBdr>
                <w:top w:val="none" w:sz="4" w:space="0" w:color="000000"/>
                <w:left w:val="none" w:sz="4" w:space="0" w:color="000000"/>
                <w:bottom w:val="none" w:sz="4" w:space="0" w:color="000000"/>
                <w:right w:val="none" w:sz="4" w:space="0" w:color="000000"/>
              </w:pBdr>
              <w:spacing w:line="17" w:lineRule="atLeast"/>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658</w:t>
            </w:r>
          </w:p>
        </w:tc>
      </w:tr>
      <w:tr w:rsidR="00171AA8" w:rsidRPr="00731FE2" w14:paraId="3EA16187" w14:textId="77777777">
        <w:tc>
          <w:tcPr>
            <w:tcW w:w="3641"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tcPr>
          <w:p w14:paraId="41420A57" w14:textId="77777777" w:rsidR="00171AA8" w:rsidRPr="00731FE2" w:rsidRDefault="007935AB">
            <w:pPr>
              <w:pBdr>
                <w:top w:val="none" w:sz="4" w:space="0" w:color="000000"/>
                <w:left w:val="none" w:sz="4" w:space="0" w:color="000000"/>
                <w:bottom w:val="none" w:sz="4" w:space="0" w:color="000000"/>
                <w:right w:val="none" w:sz="4" w:space="0" w:color="000000"/>
              </w:pBdr>
              <w:spacing w:line="17" w:lineRule="atLeast"/>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Назрань</w:t>
            </w:r>
          </w:p>
        </w:tc>
        <w:tc>
          <w:tcPr>
            <w:tcW w:w="5713"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1D937FFA" w14:textId="77777777" w:rsidR="00171AA8" w:rsidRPr="00731FE2" w:rsidRDefault="007935AB">
            <w:pPr>
              <w:pBdr>
                <w:top w:val="none" w:sz="4" w:space="0" w:color="000000"/>
                <w:left w:val="none" w:sz="4" w:space="0" w:color="000000"/>
                <w:bottom w:val="none" w:sz="4" w:space="0" w:color="000000"/>
                <w:right w:val="none" w:sz="4" w:space="0" w:color="000000"/>
              </w:pBdr>
              <w:spacing w:line="17" w:lineRule="atLeast"/>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236</w:t>
            </w:r>
          </w:p>
        </w:tc>
      </w:tr>
      <w:tr w:rsidR="00171AA8" w:rsidRPr="00731FE2" w14:paraId="53D7B4D5" w14:textId="77777777">
        <w:tc>
          <w:tcPr>
            <w:tcW w:w="3641"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tcPr>
          <w:p w14:paraId="50274B5D" w14:textId="77777777" w:rsidR="00171AA8" w:rsidRPr="00731FE2" w:rsidRDefault="007935AB">
            <w:pPr>
              <w:pBdr>
                <w:top w:val="none" w:sz="4" w:space="0" w:color="000000"/>
                <w:left w:val="none" w:sz="4" w:space="0" w:color="000000"/>
                <w:bottom w:val="none" w:sz="4" w:space="0" w:color="000000"/>
                <w:right w:val="none" w:sz="4" w:space="0" w:color="000000"/>
              </w:pBdr>
              <w:spacing w:line="17" w:lineRule="atLeast"/>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Грозный</w:t>
            </w:r>
          </w:p>
        </w:tc>
        <w:tc>
          <w:tcPr>
            <w:tcW w:w="5713"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0E830807" w14:textId="77777777" w:rsidR="00171AA8" w:rsidRPr="00731FE2" w:rsidRDefault="007935AB">
            <w:pPr>
              <w:pBdr>
                <w:top w:val="none" w:sz="4" w:space="0" w:color="000000"/>
                <w:left w:val="none" w:sz="4" w:space="0" w:color="000000"/>
                <w:bottom w:val="none" w:sz="4" w:space="0" w:color="000000"/>
                <w:right w:val="none" w:sz="4" w:space="0" w:color="000000"/>
              </w:pBdr>
              <w:spacing w:line="17" w:lineRule="atLeast"/>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320</w:t>
            </w:r>
          </w:p>
        </w:tc>
      </w:tr>
      <w:tr w:rsidR="00171AA8" w:rsidRPr="00731FE2" w14:paraId="60BFFE5F" w14:textId="77777777">
        <w:tc>
          <w:tcPr>
            <w:tcW w:w="3641"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tcPr>
          <w:p w14:paraId="15412360" w14:textId="77777777" w:rsidR="00171AA8" w:rsidRPr="00731FE2" w:rsidRDefault="007935AB">
            <w:pPr>
              <w:pBdr>
                <w:top w:val="none" w:sz="4" w:space="0" w:color="000000"/>
                <w:left w:val="none" w:sz="4" w:space="0" w:color="000000"/>
                <w:bottom w:val="none" w:sz="4" w:space="0" w:color="000000"/>
                <w:right w:val="none" w:sz="4" w:space="0" w:color="000000"/>
              </w:pBdr>
              <w:spacing w:line="17" w:lineRule="atLeast"/>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Майкоп</w:t>
            </w:r>
          </w:p>
        </w:tc>
        <w:tc>
          <w:tcPr>
            <w:tcW w:w="5713"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7EF6E519" w14:textId="77777777" w:rsidR="00171AA8" w:rsidRPr="00731FE2" w:rsidRDefault="007935AB">
            <w:pPr>
              <w:pBdr>
                <w:top w:val="none" w:sz="4" w:space="0" w:color="000000"/>
                <w:left w:val="none" w:sz="4" w:space="0" w:color="000000"/>
                <w:bottom w:val="none" w:sz="4" w:space="0" w:color="000000"/>
                <w:right w:val="none" w:sz="4" w:space="0" w:color="000000"/>
              </w:pBdr>
              <w:spacing w:line="17" w:lineRule="atLeast"/>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345</w:t>
            </w:r>
          </w:p>
        </w:tc>
      </w:tr>
      <w:tr w:rsidR="00171AA8" w:rsidRPr="00731FE2" w14:paraId="0022450A" w14:textId="77777777">
        <w:tc>
          <w:tcPr>
            <w:tcW w:w="3641"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tcPr>
          <w:p w14:paraId="408E59F4" w14:textId="77777777" w:rsidR="00171AA8" w:rsidRPr="00731FE2" w:rsidRDefault="007935AB">
            <w:pPr>
              <w:pBdr>
                <w:top w:val="none" w:sz="4" w:space="0" w:color="000000"/>
                <w:left w:val="none" w:sz="4" w:space="0" w:color="000000"/>
                <w:bottom w:val="none" w:sz="4" w:space="0" w:color="000000"/>
                <w:right w:val="none" w:sz="4" w:space="0" w:color="000000"/>
              </w:pBdr>
              <w:spacing w:line="17" w:lineRule="atLeast"/>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Нальчик</w:t>
            </w:r>
          </w:p>
        </w:tc>
        <w:tc>
          <w:tcPr>
            <w:tcW w:w="5713"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301DBE82" w14:textId="77777777" w:rsidR="00171AA8" w:rsidRPr="00731FE2" w:rsidRDefault="007935AB">
            <w:pPr>
              <w:pBdr>
                <w:top w:val="none" w:sz="4" w:space="0" w:color="000000"/>
                <w:left w:val="none" w:sz="4" w:space="0" w:color="000000"/>
                <w:bottom w:val="none" w:sz="4" w:space="0" w:color="000000"/>
                <w:right w:val="none" w:sz="4" w:space="0" w:color="000000"/>
              </w:pBdr>
              <w:spacing w:line="17" w:lineRule="atLeast"/>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132</w:t>
            </w:r>
          </w:p>
        </w:tc>
      </w:tr>
      <w:tr w:rsidR="00171AA8" w:rsidRPr="00731FE2" w14:paraId="3F5D3DB5" w14:textId="77777777">
        <w:tc>
          <w:tcPr>
            <w:tcW w:w="3641"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tcPr>
          <w:p w14:paraId="3DBF52DF" w14:textId="77777777" w:rsidR="00171AA8" w:rsidRPr="00731FE2" w:rsidRDefault="007935AB">
            <w:pPr>
              <w:pBdr>
                <w:top w:val="none" w:sz="4" w:space="0" w:color="000000"/>
                <w:left w:val="none" w:sz="4" w:space="0" w:color="000000"/>
                <w:bottom w:val="none" w:sz="4" w:space="0" w:color="000000"/>
                <w:right w:val="none" w:sz="4" w:space="0" w:color="000000"/>
              </w:pBdr>
              <w:spacing w:line="17" w:lineRule="atLeast"/>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Черкесск</w:t>
            </w:r>
          </w:p>
        </w:tc>
        <w:tc>
          <w:tcPr>
            <w:tcW w:w="5713"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6FDAFE5E" w14:textId="77777777" w:rsidR="00171AA8" w:rsidRPr="00731FE2" w:rsidRDefault="007935AB">
            <w:pPr>
              <w:pBdr>
                <w:top w:val="none" w:sz="4" w:space="0" w:color="000000"/>
                <w:left w:val="none" w:sz="4" w:space="0" w:color="000000"/>
                <w:bottom w:val="none" w:sz="4" w:space="0" w:color="000000"/>
                <w:right w:val="none" w:sz="4" w:space="0" w:color="000000"/>
              </w:pBdr>
              <w:spacing w:line="17" w:lineRule="atLeast"/>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93</w:t>
            </w:r>
          </w:p>
        </w:tc>
      </w:tr>
      <w:tr w:rsidR="00171AA8" w:rsidRPr="00731FE2" w14:paraId="70F50A5B" w14:textId="77777777">
        <w:tc>
          <w:tcPr>
            <w:tcW w:w="3641"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tcPr>
          <w:p w14:paraId="77150F69" w14:textId="77777777" w:rsidR="00171AA8" w:rsidRPr="00731FE2" w:rsidRDefault="007935AB">
            <w:pPr>
              <w:pBdr>
                <w:top w:val="none" w:sz="4" w:space="0" w:color="000000"/>
                <w:left w:val="none" w:sz="4" w:space="0" w:color="000000"/>
                <w:bottom w:val="none" w:sz="4" w:space="0" w:color="000000"/>
                <w:right w:val="none" w:sz="4" w:space="0" w:color="000000"/>
              </w:pBdr>
              <w:spacing w:line="17" w:lineRule="atLeast"/>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Самара</w:t>
            </w:r>
          </w:p>
        </w:tc>
        <w:tc>
          <w:tcPr>
            <w:tcW w:w="5713"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7DFD13FF" w14:textId="77777777" w:rsidR="00171AA8" w:rsidRPr="00731FE2" w:rsidRDefault="007935AB">
            <w:pPr>
              <w:pBdr>
                <w:top w:val="none" w:sz="4" w:space="0" w:color="000000"/>
                <w:left w:val="none" w:sz="4" w:space="0" w:color="000000"/>
                <w:bottom w:val="none" w:sz="4" w:space="0" w:color="000000"/>
                <w:right w:val="none" w:sz="4" w:space="0" w:color="000000"/>
              </w:pBdr>
              <w:spacing w:line="17" w:lineRule="atLeast"/>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1549</w:t>
            </w:r>
          </w:p>
        </w:tc>
      </w:tr>
      <w:tr w:rsidR="00171AA8" w:rsidRPr="00731FE2" w14:paraId="4B439DD7" w14:textId="77777777">
        <w:tc>
          <w:tcPr>
            <w:tcW w:w="3641"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tcPr>
          <w:p w14:paraId="039B347B" w14:textId="77777777" w:rsidR="00171AA8" w:rsidRPr="00731FE2" w:rsidRDefault="007935AB">
            <w:pPr>
              <w:pBdr>
                <w:top w:val="none" w:sz="4" w:space="0" w:color="000000"/>
                <w:left w:val="none" w:sz="4" w:space="0" w:color="000000"/>
                <w:bottom w:val="none" w:sz="4" w:space="0" w:color="000000"/>
                <w:right w:val="none" w:sz="4" w:space="0" w:color="000000"/>
              </w:pBdr>
              <w:spacing w:line="17" w:lineRule="atLeast"/>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Нижний Новгород</w:t>
            </w:r>
          </w:p>
        </w:tc>
        <w:tc>
          <w:tcPr>
            <w:tcW w:w="5713"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74390A0E" w14:textId="77777777" w:rsidR="00171AA8" w:rsidRPr="00731FE2" w:rsidRDefault="007935AB">
            <w:pPr>
              <w:pBdr>
                <w:top w:val="none" w:sz="4" w:space="0" w:color="000000"/>
                <w:left w:val="none" w:sz="4" w:space="0" w:color="000000"/>
                <w:bottom w:val="none" w:sz="4" w:space="0" w:color="000000"/>
                <w:right w:val="none" w:sz="4" w:space="0" w:color="000000"/>
              </w:pBdr>
              <w:spacing w:line="17" w:lineRule="atLeast"/>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1728</w:t>
            </w:r>
          </w:p>
        </w:tc>
      </w:tr>
      <w:tr w:rsidR="00171AA8" w:rsidRPr="00731FE2" w14:paraId="5B35684A" w14:textId="77777777">
        <w:tc>
          <w:tcPr>
            <w:tcW w:w="3641"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tcPr>
          <w:p w14:paraId="7C0B2A87" w14:textId="77777777" w:rsidR="00171AA8" w:rsidRPr="00731FE2" w:rsidRDefault="007935AB">
            <w:pPr>
              <w:pBdr>
                <w:top w:val="none" w:sz="4" w:space="0" w:color="000000"/>
                <w:left w:val="none" w:sz="4" w:space="0" w:color="000000"/>
                <w:bottom w:val="none" w:sz="4" w:space="0" w:color="000000"/>
                <w:right w:val="none" w:sz="4" w:space="0" w:color="000000"/>
              </w:pBdr>
              <w:spacing w:line="17" w:lineRule="atLeast"/>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Волгоград</w:t>
            </w:r>
          </w:p>
        </w:tc>
        <w:tc>
          <w:tcPr>
            <w:tcW w:w="5713"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536B6CAF" w14:textId="77777777" w:rsidR="00171AA8" w:rsidRPr="00731FE2" w:rsidRDefault="007935AB">
            <w:pPr>
              <w:pBdr>
                <w:top w:val="none" w:sz="4" w:space="0" w:color="000000"/>
                <w:left w:val="none" w:sz="4" w:space="0" w:color="000000"/>
                <w:bottom w:val="none" w:sz="4" w:space="0" w:color="000000"/>
                <w:right w:val="none" w:sz="4" w:space="0" w:color="000000"/>
              </w:pBdr>
              <w:spacing w:line="17" w:lineRule="atLeast"/>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695</w:t>
            </w:r>
          </w:p>
        </w:tc>
      </w:tr>
      <w:tr w:rsidR="00171AA8" w:rsidRPr="00731FE2" w14:paraId="77989BFC" w14:textId="77777777">
        <w:tc>
          <w:tcPr>
            <w:tcW w:w="3641"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tcPr>
          <w:p w14:paraId="2AEEBC3F" w14:textId="77777777" w:rsidR="00171AA8" w:rsidRPr="00731FE2" w:rsidRDefault="007935AB">
            <w:pPr>
              <w:pBdr>
                <w:top w:val="none" w:sz="4" w:space="0" w:color="000000"/>
                <w:left w:val="none" w:sz="4" w:space="0" w:color="000000"/>
                <w:bottom w:val="none" w:sz="4" w:space="0" w:color="000000"/>
                <w:right w:val="none" w:sz="4" w:space="0" w:color="000000"/>
              </w:pBdr>
              <w:spacing w:line="17" w:lineRule="atLeast"/>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Санкт-Петербург</w:t>
            </w:r>
          </w:p>
        </w:tc>
        <w:tc>
          <w:tcPr>
            <w:tcW w:w="5713"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23B87CCD" w14:textId="77777777" w:rsidR="00171AA8" w:rsidRPr="00731FE2" w:rsidRDefault="007935AB">
            <w:pPr>
              <w:pBdr>
                <w:top w:val="none" w:sz="4" w:space="0" w:color="000000"/>
                <w:left w:val="none" w:sz="4" w:space="0" w:color="000000"/>
                <w:bottom w:val="none" w:sz="4" w:space="0" w:color="000000"/>
                <w:right w:val="none" w:sz="4" w:space="0" w:color="000000"/>
              </w:pBdr>
              <w:spacing w:line="17" w:lineRule="atLeast"/>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2367</w:t>
            </w:r>
          </w:p>
        </w:tc>
      </w:tr>
      <w:tr w:rsidR="00171AA8" w:rsidRPr="00731FE2" w14:paraId="3D8BFCBF" w14:textId="77777777">
        <w:tc>
          <w:tcPr>
            <w:tcW w:w="3641"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tcPr>
          <w:p w14:paraId="34A518BF" w14:textId="77777777" w:rsidR="00171AA8" w:rsidRPr="00731FE2" w:rsidRDefault="007935AB">
            <w:pPr>
              <w:pBdr>
                <w:top w:val="none" w:sz="4" w:space="0" w:color="000000"/>
                <w:left w:val="none" w:sz="4" w:space="0" w:color="000000"/>
                <w:bottom w:val="none" w:sz="4" w:space="0" w:color="000000"/>
                <w:right w:val="none" w:sz="4" w:space="0" w:color="000000"/>
              </w:pBdr>
              <w:spacing w:line="17" w:lineRule="atLeast"/>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Екатеринбург</w:t>
            </w:r>
          </w:p>
        </w:tc>
        <w:tc>
          <w:tcPr>
            <w:tcW w:w="5713"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3CB31727" w14:textId="77777777" w:rsidR="00171AA8" w:rsidRPr="00731FE2" w:rsidRDefault="007935AB">
            <w:pPr>
              <w:pBdr>
                <w:top w:val="none" w:sz="4" w:space="0" w:color="000000"/>
                <w:left w:val="none" w:sz="4" w:space="0" w:color="000000"/>
                <w:bottom w:val="none" w:sz="4" w:space="0" w:color="000000"/>
                <w:right w:val="none" w:sz="4" w:space="0" w:color="000000"/>
              </w:pBdr>
              <w:spacing w:line="17" w:lineRule="atLeast"/>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2502</w:t>
            </w:r>
          </w:p>
        </w:tc>
      </w:tr>
      <w:tr w:rsidR="00171AA8" w:rsidRPr="00731FE2" w14:paraId="790910A3" w14:textId="77777777">
        <w:tc>
          <w:tcPr>
            <w:tcW w:w="3641"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tcPr>
          <w:p w14:paraId="3E6C1376" w14:textId="77777777" w:rsidR="00171AA8" w:rsidRPr="00731FE2" w:rsidRDefault="007935AB">
            <w:pPr>
              <w:pBdr>
                <w:top w:val="none" w:sz="4" w:space="0" w:color="000000"/>
                <w:left w:val="none" w:sz="4" w:space="0" w:color="000000"/>
                <w:bottom w:val="none" w:sz="4" w:space="0" w:color="000000"/>
                <w:right w:val="none" w:sz="4" w:space="0" w:color="000000"/>
              </w:pBdr>
              <w:spacing w:line="17" w:lineRule="atLeast"/>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Элиста</w:t>
            </w:r>
          </w:p>
        </w:tc>
        <w:tc>
          <w:tcPr>
            <w:tcW w:w="5713"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53337B2B" w14:textId="77777777" w:rsidR="00171AA8" w:rsidRPr="00731FE2" w:rsidRDefault="007935AB">
            <w:pPr>
              <w:pBdr>
                <w:top w:val="none" w:sz="4" w:space="0" w:color="000000"/>
                <w:left w:val="none" w:sz="4" w:space="0" w:color="000000"/>
                <w:bottom w:val="none" w:sz="4" w:space="0" w:color="000000"/>
                <w:right w:val="none" w:sz="4" w:space="0" w:color="000000"/>
              </w:pBdr>
              <w:spacing w:line="17" w:lineRule="atLeast"/>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394</w:t>
            </w:r>
          </w:p>
        </w:tc>
      </w:tr>
    </w:tbl>
    <w:p w14:paraId="6BD02C42" w14:textId="77777777" w:rsidR="00171AA8" w:rsidRPr="00731FE2" w:rsidRDefault="00171AA8">
      <w:pPr>
        <w:pBdr>
          <w:top w:val="none" w:sz="4" w:space="0" w:color="000000"/>
          <w:left w:val="none" w:sz="4" w:space="0" w:color="000000"/>
          <w:bottom w:val="none" w:sz="4" w:space="0" w:color="000000"/>
          <w:right w:val="none" w:sz="4" w:space="0" w:color="000000"/>
        </w:pBdr>
      </w:pPr>
    </w:p>
    <w:p w14:paraId="2C3EC14F" w14:textId="77777777" w:rsidR="00171AA8" w:rsidRPr="00731FE2" w:rsidRDefault="007935AB">
      <w:pPr>
        <w:pBdr>
          <w:top w:val="none" w:sz="4" w:space="0" w:color="000000"/>
          <w:left w:val="none" w:sz="4" w:space="0" w:color="000000"/>
          <w:bottom w:val="none" w:sz="4" w:space="0" w:color="000000"/>
          <w:right w:val="none" w:sz="4" w:space="0" w:color="000000"/>
        </w:pBdr>
      </w:pPr>
      <w:r w:rsidRPr="00731FE2">
        <w:rPr>
          <w:rFonts w:ascii="Times New Roman" w:eastAsia="Times New Roman" w:hAnsi="Times New Roman" w:cs="Times New Roman"/>
          <w:color w:val="000000"/>
        </w:rPr>
        <w:t>В настоящее время наблюдается увеличение среднегодовой суточной интенсивности движения на основных маршрутах Ставропольского края. Изменяется состав движения, за счет быстрого увеличения в потоке автомобильного транспорта, доли автомобилей большой грузоподъемности происходит увеличение средней нагрузки на региональные автомобильные дороги и местные автомобильные дороги.</w:t>
      </w:r>
    </w:p>
    <w:p w14:paraId="7E8ACBBD" w14:textId="77777777" w:rsidR="00171AA8" w:rsidRPr="00731FE2" w:rsidRDefault="007935AB">
      <w:pPr>
        <w:pBdr>
          <w:top w:val="none" w:sz="4" w:space="0" w:color="000000"/>
          <w:left w:val="none" w:sz="4" w:space="0" w:color="000000"/>
          <w:bottom w:val="none" w:sz="4" w:space="0" w:color="000000"/>
          <w:right w:val="none" w:sz="4" w:space="0" w:color="000000"/>
        </w:pBdr>
      </w:pPr>
      <w:r w:rsidRPr="00731FE2">
        <w:rPr>
          <w:rFonts w:ascii="Times New Roman" w:eastAsia="Times New Roman" w:hAnsi="Times New Roman" w:cs="Times New Roman"/>
          <w:color w:val="000000"/>
        </w:rPr>
        <w:t xml:space="preserve">Автобусными маршрутами город-курорт связан с соседними городами, поселками и </w:t>
      </w:r>
      <w:proofErr w:type="gramStart"/>
      <w:r w:rsidRPr="00731FE2">
        <w:rPr>
          <w:rFonts w:ascii="Times New Roman" w:eastAsia="Times New Roman" w:hAnsi="Times New Roman" w:cs="Times New Roman"/>
          <w:color w:val="000000"/>
        </w:rPr>
        <w:t>сельским</w:t>
      </w:r>
      <w:proofErr w:type="gramEnd"/>
      <w:r w:rsidRPr="00731FE2">
        <w:rPr>
          <w:rFonts w:ascii="Times New Roman" w:eastAsia="Times New Roman" w:hAnsi="Times New Roman" w:cs="Times New Roman"/>
          <w:color w:val="000000"/>
        </w:rPr>
        <w:t xml:space="preserve"> поселениями Ставропольского края (в первую очередь, с поселениями агломерации КМВ), Краснодарского края, Карачаево-Черкесской Республики, Кабардино-Балкарской Республики и др. регионов России.</w:t>
      </w:r>
    </w:p>
    <w:p w14:paraId="2DB6FBE9" w14:textId="77777777" w:rsidR="00171AA8" w:rsidRPr="00731FE2" w:rsidRDefault="007935AB">
      <w:pPr>
        <w:pBdr>
          <w:top w:val="none" w:sz="4" w:space="0" w:color="000000"/>
          <w:left w:val="none" w:sz="4" w:space="0" w:color="000000"/>
          <w:bottom w:val="none" w:sz="4" w:space="0" w:color="000000"/>
          <w:right w:val="none" w:sz="4" w:space="0" w:color="000000"/>
        </w:pBdr>
      </w:pPr>
      <w:r w:rsidRPr="00731FE2">
        <w:rPr>
          <w:rFonts w:ascii="Times New Roman" w:eastAsia="Times New Roman" w:hAnsi="Times New Roman" w:cs="Times New Roman"/>
          <w:color w:val="000000"/>
        </w:rPr>
        <w:t>Следует отметить близость города-курорта Кисловодска к международному аэропорту Минеральные Воды имени М.Ю. Лермонтова, а также наличие прямого железнодорожного сообщения с крупными города</w:t>
      </w:r>
      <w:r w:rsidRPr="00731FE2">
        <w:rPr>
          <w:rFonts w:ascii="Times New Roman" w:eastAsia="Times New Roman" w:hAnsi="Times New Roman" w:cs="Times New Roman"/>
        </w:rPr>
        <w:t>ми</w:t>
      </w:r>
      <w:r w:rsidRPr="00731FE2">
        <w:rPr>
          <w:rFonts w:ascii="Times New Roman" w:eastAsia="Times New Roman" w:hAnsi="Times New Roman" w:cs="Times New Roman"/>
          <w:vertAlign w:val="superscript"/>
        </w:rPr>
        <w:footnoteReference w:id="51"/>
      </w:r>
      <w:r w:rsidRPr="00731FE2">
        <w:rPr>
          <w:rFonts w:ascii="Times New Roman" w:eastAsia="Times New Roman" w:hAnsi="Times New Roman" w:cs="Times New Roman"/>
        </w:rPr>
        <w:t>.</w:t>
      </w:r>
    </w:p>
    <w:p w14:paraId="5FEAE2FF" w14:textId="77777777" w:rsidR="00171AA8" w:rsidRPr="00731FE2" w:rsidRDefault="007935AB">
      <w:pPr>
        <w:pBdr>
          <w:top w:val="none" w:sz="4" w:space="0" w:color="000000"/>
          <w:left w:val="none" w:sz="4" w:space="0" w:color="000000"/>
          <w:bottom w:val="none" w:sz="4" w:space="0" w:color="000000"/>
          <w:right w:val="none" w:sz="4" w:space="0" w:color="000000"/>
        </w:pBdr>
      </w:pPr>
      <w:r w:rsidRPr="00731FE2">
        <w:rPr>
          <w:rFonts w:ascii="Times New Roman" w:eastAsia="Times New Roman" w:hAnsi="Times New Roman" w:cs="Times New Roman"/>
          <w:color w:val="000000"/>
        </w:rPr>
        <w:t>Существование дальних и сверхдальних маршрутов автобусов общего пользования от Кисловодска (рейсы до Ростова-на-Дону, Москвы и др.) компенсирует менее доступный в ценовом отношении или менее регулярный авиационный и железнодорожный транспорт.</w:t>
      </w:r>
    </w:p>
    <w:p w14:paraId="51134A2B" w14:textId="77777777" w:rsidR="00171AA8" w:rsidRPr="00731FE2" w:rsidRDefault="007935AB">
      <w:pPr>
        <w:pBdr>
          <w:top w:val="none" w:sz="4" w:space="0" w:color="000000"/>
          <w:left w:val="none" w:sz="4" w:space="0" w:color="000000"/>
          <w:bottom w:val="none" w:sz="4" w:space="0" w:color="000000"/>
          <w:right w:val="none" w:sz="4" w:space="0" w:color="000000"/>
        </w:pBdr>
      </w:pPr>
      <w:r w:rsidRPr="00731FE2">
        <w:rPr>
          <w:rFonts w:ascii="Times New Roman" w:eastAsia="Times New Roman" w:hAnsi="Times New Roman" w:cs="Times New Roman"/>
          <w:color w:val="000000"/>
        </w:rPr>
        <w:t xml:space="preserve">По данным Паспорта городского округа города-курорта Кисловодска общее число автомобильного транспорта составляет 44201 ед., из </w:t>
      </w:r>
      <w:proofErr w:type="gramStart"/>
      <w:r w:rsidRPr="00731FE2">
        <w:rPr>
          <w:rFonts w:ascii="Times New Roman" w:eastAsia="Times New Roman" w:hAnsi="Times New Roman" w:cs="Times New Roman"/>
          <w:color w:val="000000"/>
        </w:rPr>
        <w:t>которых</w:t>
      </w:r>
      <w:proofErr w:type="gramEnd"/>
      <w:r w:rsidRPr="00731FE2">
        <w:rPr>
          <w:rFonts w:ascii="Times New Roman" w:eastAsia="Times New Roman" w:hAnsi="Times New Roman" w:cs="Times New Roman"/>
          <w:color w:val="000000"/>
        </w:rPr>
        <w:t xml:space="preserve"> 76 ед. – муниципальный, 44125 ед. – индивидуаль</w:t>
      </w:r>
      <w:r w:rsidRPr="00731FE2">
        <w:rPr>
          <w:rFonts w:ascii="Times New Roman" w:eastAsia="Times New Roman" w:hAnsi="Times New Roman" w:cs="Times New Roman"/>
        </w:rPr>
        <w:t>ный</w:t>
      </w:r>
      <w:r w:rsidRPr="00731FE2">
        <w:rPr>
          <w:rFonts w:ascii="Times New Roman" w:eastAsia="Times New Roman" w:hAnsi="Times New Roman" w:cs="Times New Roman"/>
          <w:vertAlign w:val="superscript"/>
        </w:rPr>
        <w:footnoteReference w:id="52"/>
      </w:r>
      <w:r w:rsidRPr="00731FE2">
        <w:rPr>
          <w:rFonts w:ascii="Times New Roman" w:eastAsia="Times New Roman" w:hAnsi="Times New Roman" w:cs="Times New Roman"/>
        </w:rPr>
        <w:t>.</w:t>
      </w:r>
    </w:p>
    <w:p w14:paraId="6C114549" w14:textId="77777777" w:rsidR="00171AA8" w:rsidRPr="00731FE2" w:rsidRDefault="007935AB">
      <w:pPr>
        <w:pBdr>
          <w:top w:val="none" w:sz="4" w:space="0" w:color="000000"/>
          <w:left w:val="none" w:sz="4" w:space="0" w:color="000000"/>
          <w:bottom w:val="none" w:sz="4" w:space="0" w:color="000000"/>
          <w:right w:val="none" w:sz="4" w:space="0" w:color="000000"/>
        </w:pBdr>
      </w:pPr>
      <w:r w:rsidRPr="00731FE2">
        <w:rPr>
          <w:rFonts w:ascii="Times New Roman" w:eastAsia="Times New Roman" w:hAnsi="Times New Roman" w:cs="Times New Roman"/>
          <w:color w:val="000000"/>
        </w:rPr>
        <w:t>Транспортная сеть города-курорта находится под воздействием больших внутригородских, пригородных и междугородних транспортных потоков (относительно масштабов города). Начертание транспортной сети города-курорта имеет сложную планировку. Центральная часть города-курорта Кисловодск характеризуется регулярной планировкой проспектов, улиц и других участков дорог. Окраины города-курорта (кроме северной) под влиянием предгорного рельефа характеризуются сложной планировкой улично-дорожной сети с множеством кривых участков с большими уклонами.</w:t>
      </w:r>
    </w:p>
    <w:p w14:paraId="6D9BF069" w14:textId="77777777" w:rsidR="00171AA8" w:rsidRPr="00731FE2" w:rsidRDefault="007935AB">
      <w:pPr>
        <w:pBdr>
          <w:top w:val="none" w:sz="4" w:space="0" w:color="000000"/>
          <w:left w:val="none" w:sz="4" w:space="0" w:color="000000"/>
          <w:bottom w:val="none" w:sz="4" w:space="0" w:color="000000"/>
          <w:right w:val="none" w:sz="4" w:space="0" w:color="000000"/>
        </w:pBdr>
      </w:pPr>
      <w:r w:rsidRPr="00731FE2">
        <w:rPr>
          <w:rFonts w:ascii="Times New Roman" w:eastAsia="Times New Roman" w:hAnsi="Times New Roman" w:cs="Times New Roman"/>
          <w:color w:val="000000"/>
        </w:rPr>
        <w:lastRenderedPageBreak/>
        <w:t>Улично-дорожная сеть представляет собой сложившуюся сеть улиц и проездов, обеспечивающих внешние и внутренние связи на территориях городского округа с курортной зоной, с кварталами жилых домов, с общественной зо</w:t>
      </w:r>
      <w:r w:rsidRPr="00731FE2">
        <w:rPr>
          <w:rFonts w:ascii="Times New Roman" w:eastAsia="Times New Roman" w:hAnsi="Times New Roman" w:cs="Times New Roman"/>
        </w:rPr>
        <w:t>ной.</w:t>
      </w:r>
    </w:p>
    <w:p w14:paraId="1262E5C2" w14:textId="77777777" w:rsidR="00171AA8" w:rsidRPr="00731FE2" w:rsidRDefault="007935AB">
      <w:pPr>
        <w:pBdr>
          <w:top w:val="none" w:sz="4" w:space="0" w:color="000000"/>
          <w:left w:val="none" w:sz="4" w:space="0" w:color="000000"/>
          <w:bottom w:val="none" w:sz="4" w:space="0" w:color="000000"/>
          <w:right w:val="none" w:sz="4" w:space="0" w:color="000000"/>
        </w:pBdr>
      </w:pPr>
      <w:r w:rsidRPr="00731FE2">
        <w:rPr>
          <w:rFonts w:ascii="Times New Roman" w:eastAsia="Times New Roman" w:hAnsi="Times New Roman" w:cs="Times New Roman"/>
          <w:color w:val="000000"/>
        </w:rPr>
        <w:t xml:space="preserve">Основу улично-дорожной сети (УДС) Кисловодска составляют улицы и проспекты: </w:t>
      </w:r>
      <w:proofErr w:type="gramStart"/>
      <w:r w:rsidRPr="00731FE2">
        <w:rPr>
          <w:rFonts w:ascii="Times New Roman" w:eastAsia="Times New Roman" w:hAnsi="Times New Roman" w:cs="Times New Roman"/>
          <w:color w:val="000000"/>
        </w:rPr>
        <w:t>Победы, Мира, Гагарина, Азербайджанская, 40 лет Октября, Красивая; Ленина, Желябова (в курортной части города).</w:t>
      </w:r>
      <w:proofErr w:type="gramEnd"/>
    </w:p>
    <w:p w14:paraId="7714EF75" w14:textId="77777777" w:rsidR="00171AA8" w:rsidRPr="00731FE2" w:rsidRDefault="007935AB">
      <w:pPr>
        <w:pBdr>
          <w:top w:val="none" w:sz="4" w:space="0" w:color="000000"/>
          <w:left w:val="none" w:sz="4" w:space="0" w:color="000000"/>
          <w:bottom w:val="none" w:sz="4" w:space="0" w:color="000000"/>
          <w:right w:val="none" w:sz="4" w:space="0" w:color="000000"/>
        </w:pBdr>
      </w:pPr>
      <w:r w:rsidRPr="00731FE2">
        <w:rPr>
          <w:rFonts w:ascii="Times New Roman" w:eastAsia="Times New Roman" w:hAnsi="Times New Roman" w:cs="Times New Roman"/>
          <w:color w:val="000000"/>
        </w:rPr>
        <w:t xml:space="preserve">Внешние связи в городе-курорте Кисловодске осуществляются по улицам: Промышленная, Проспект Победы, Улица </w:t>
      </w:r>
      <w:r w:rsidRPr="00731FE2">
        <w:rPr>
          <w:rFonts w:ascii="Times New Roman" w:eastAsia="Times New Roman" w:hAnsi="Times New Roman" w:cs="Times New Roman"/>
        </w:rPr>
        <w:t>Гагарина</w:t>
      </w:r>
      <w:r w:rsidRPr="00731FE2">
        <w:rPr>
          <w:rFonts w:ascii="Times New Roman" w:eastAsia="Times New Roman" w:hAnsi="Times New Roman" w:cs="Times New Roman"/>
          <w:vertAlign w:val="superscript"/>
        </w:rPr>
        <w:footnoteReference w:id="53"/>
      </w:r>
      <w:r w:rsidRPr="00731FE2">
        <w:rPr>
          <w:rFonts w:ascii="Times New Roman" w:eastAsia="Times New Roman" w:hAnsi="Times New Roman" w:cs="Times New Roman"/>
        </w:rPr>
        <w:t>.</w:t>
      </w:r>
    </w:p>
    <w:p w14:paraId="79334D3E" w14:textId="77777777" w:rsidR="00171AA8" w:rsidRPr="00731FE2" w:rsidRDefault="007935AB">
      <w:pPr>
        <w:pBdr>
          <w:top w:val="none" w:sz="4" w:space="0" w:color="000000"/>
          <w:left w:val="none" w:sz="4" w:space="0" w:color="000000"/>
          <w:bottom w:val="none" w:sz="4" w:space="0" w:color="000000"/>
          <w:right w:val="none" w:sz="4" w:space="0" w:color="000000"/>
        </w:pBdr>
      </w:pPr>
      <w:r w:rsidRPr="00731FE2">
        <w:rPr>
          <w:rFonts w:ascii="Times New Roman" w:eastAsia="Times New Roman" w:hAnsi="Times New Roman" w:cs="Times New Roman"/>
          <w:color w:val="000000"/>
        </w:rPr>
        <w:t>Связи внутри населенных пунктов городского округа осуществляются по семи основным направлениям (группы поселков). Некоторые поселки, такие как Луночарский и Новокисловодский практически полностью срослись с городом-курортом Кисловодском и составляют с ним единую городскую транспортную инфраструктуру.</w:t>
      </w:r>
    </w:p>
    <w:p w14:paraId="40273989" w14:textId="77777777" w:rsidR="00171AA8" w:rsidRPr="00731FE2" w:rsidRDefault="007935AB">
      <w:pPr>
        <w:pBdr>
          <w:top w:val="none" w:sz="4" w:space="0" w:color="000000"/>
          <w:left w:val="none" w:sz="4" w:space="0" w:color="000000"/>
          <w:bottom w:val="none" w:sz="4" w:space="0" w:color="000000"/>
          <w:right w:val="none" w:sz="4" w:space="0" w:color="000000"/>
        </w:pBdr>
      </w:pPr>
      <w:r w:rsidRPr="00731FE2">
        <w:rPr>
          <w:rFonts w:ascii="Times New Roman" w:eastAsia="Times New Roman" w:hAnsi="Times New Roman" w:cs="Times New Roman"/>
          <w:color w:val="000000"/>
        </w:rPr>
        <w:t xml:space="preserve">В соответствии с муниципальной программой города-курорта Кисловодска «Развитие транспортной системы и обеспечение безопасного дорожного движения» на 2022 г. </w:t>
      </w:r>
      <w:proofErr w:type="gramStart"/>
      <w:r w:rsidRPr="00731FE2">
        <w:rPr>
          <w:rFonts w:ascii="Times New Roman" w:eastAsia="Times New Roman" w:hAnsi="Times New Roman" w:cs="Times New Roman"/>
          <w:color w:val="000000"/>
        </w:rPr>
        <w:t>отмечается 54% протяженности автомобильных дорог общего пользования местного значения не отвечало</w:t>
      </w:r>
      <w:proofErr w:type="gramEnd"/>
      <w:r w:rsidRPr="00731FE2">
        <w:rPr>
          <w:rFonts w:ascii="Times New Roman" w:eastAsia="Times New Roman" w:hAnsi="Times New Roman" w:cs="Times New Roman"/>
          <w:color w:val="000000"/>
        </w:rPr>
        <w:t xml:space="preserve"> нормативным требованиям, на 2027 г. данный показатель планируется снизить до 48</w:t>
      </w:r>
      <w:r w:rsidRPr="00731FE2">
        <w:rPr>
          <w:rFonts w:ascii="Times New Roman" w:eastAsia="Times New Roman" w:hAnsi="Times New Roman" w:cs="Times New Roman"/>
        </w:rPr>
        <w:t>%</w:t>
      </w:r>
      <w:r w:rsidRPr="00731FE2">
        <w:rPr>
          <w:rFonts w:ascii="Times New Roman" w:eastAsia="Times New Roman" w:hAnsi="Times New Roman" w:cs="Times New Roman"/>
          <w:vertAlign w:val="superscript"/>
        </w:rPr>
        <w:footnoteReference w:id="54"/>
      </w:r>
      <w:r w:rsidRPr="00731FE2">
        <w:rPr>
          <w:rFonts w:ascii="Times New Roman" w:eastAsia="Times New Roman" w:hAnsi="Times New Roman" w:cs="Times New Roman"/>
        </w:rPr>
        <w:t>.</w:t>
      </w:r>
    </w:p>
    <w:p w14:paraId="3BD719E8" w14:textId="77777777" w:rsidR="00171AA8" w:rsidRPr="00731FE2" w:rsidRDefault="007935AB">
      <w:pPr>
        <w:pBdr>
          <w:top w:val="none" w:sz="4" w:space="0" w:color="000000"/>
          <w:left w:val="none" w:sz="4" w:space="0" w:color="000000"/>
          <w:bottom w:val="none" w:sz="4" w:space="0" w:color="000000"/>
          <w:right w:val="none" w:sz="4" w:space="0" w:color="000000"/>
        </w:pBdr>
      </w:pPr>
      <w:r w:rsidRPr="00731FE2">
        <w:rPr>
          <w:rFonts w:ascii="Times New Roman" w:eastAsia="Times New Roman" w:hAnsi="Times New Roman" w:cs="Times New Roman"/>
          <w:color w:val="000000"/>
        </w:rPr>
        <w:t>В таблице ниже представлена характеристика сложившейся улично-дорожной сети.</w:t>
      </w:r>
    </w:p>
    <w:p w14:paraId="4609AAA7" w14:textId="77777777" w:rsidR="00171AA8" w:rsidRPr="00731FE2" w:rsidRDefault="007935AB" w:rsidP="00A72799">
      <w:pPr>
        <w:pBdr>
          <w:top w:val="none" w:sz="4" w:space="0" w:color="000000"/>
          <w:left w:val="none" w:sz="4" w:space="0" w:color="000000"/>
          <w:bottom w:val="none" w:sz="4" w:space="0" w:color="000000"/>
          <w:right w:val="none" w:sz="4" w:space="0" w:color="000000"/>
        </w:pBdr>
        <w:spacing w:line="240" w:lineRule="auto"/>
        <w:ind w:firstLine="0"/>
        <w:rPr>
          <w:rFonts w:ascii="Times New Roman" w:hAnsi="Times New Roman" w:cs="Times New Roman"/>
          <w:b/>
          <w:bCs/>
          <w:szCs w:val="24"/>
        </w:rPr>
      </w:pPr>
      <w:r w:rsidRPr="00731FE2">
        <w:rPr>
          <w:rFonts w:ascii="Times New Roman" w:eastAsia="Times New Roman" w:hAnsi="Times New Roman" w:cs="Times New Roman"/>
          <w:b/>
          <w:bCs/>
          <w:szCs w:val="24"/>
        </w:rPr>
        <w:t xml:space="preserve">Таблица </w:t>
      </w:r>
      <w:r w:rsidRPr="00731FE2">
        <w:rPr>
          <w:rFonts w:ascii="Times New Roman" w:eastAsia="Times New Roman" w:hAnsi="Times New Roman" w:cs="Times New Roman"/>
          <w:b/>
          <w:bCs/>
          <w:szCs w:val="24"/>
        </w:rPr>
        <w:fldChar w:fldCharType="begin"/>
      </w:r>
      <w:r w:rsidRPr="00731FE2">
        <w:rPr>
          <w:rFonts w:ascii="Times New Roman" w:eastAsia="Times New Roman" w:hAnsi="Times New Roman" w:cs="Times New Roman"/>
          <w:b/>
          <w:bCs/>
          <w:szCs w:val="24"/>
        </w:rPr>
        <w:instrText xml:space="preserve"> SEQ Таблица \* Arabic </w:instrText>
      </w:r>
      <w:r w:rsidRPr="00731FE2">
        <w:rPr>
          <w:rFonts w:ascii="Times New Roman" w:eastAsia="Times New Roman" w:hAnsi="Times New Roman" w:cs="Times New Roman"/>
          <w:b/>
          <w:bCs/>
          <w:szCs w:val="24"/>
        </w:rPr>
        <w:fldChar w:fldCharType="separate"/>
      </w:r>
      <w:r w:rsidR="00C50915" w:rsidRPr="00731FE2">
        <w:rPr>
          <w:rFonts w:ascii="Times New Roman" w:eastAsia="Times New Roman" w:hAnsi="Times New Roman" w:cs="Times New Roman"/>
          <w:b/>
          <w:bCs/>
          <w:noProof/>
          <w:szCs w:val="24"/>
        </w:rPr>
        <w:t>27</w:t>
      </w:r>
      <w:r w:rsidRPr="00731FE2">
        <w:rPr>
          <w:rFonts w:ascii="Times New Roman" w:eastAsia="Times New Roman" w:hAnsi="Times New Roman" w:cs="Times New Roman"/>
          <w:b/>
          <w:bCs/>
          <w:szCs w:val="24"/>
        </w:rPr>
        <w:fldChar w:fldCharType="end"/>
      </w:r>
      <w:r w:rsidRPr="00731FE2">
        <w:rPr>
          <w:rFonts w:ascii="Times New Roman" w:eastAsia="Times New Roman" w:hAnsi="Times New Roman" w:cs="Times New Roman"/>
          <w:b/>
          <w:bCs/>
          <w:szCs w:val="24"/>
        </w:rPr>
        <w:t xml:space="preserve"> – </w:t>
      </w:r>
      <w:r w:rsidRPr="00731FE2">
        <w:rPr>
          <w:rFonts w:ascii="Times New Roman" w:eastAsia="Times New Roman" w:hAnsi="Times New Roman" w:cs="Times New Roman"/>
          <w:b/>
          <w:bCs/>
          <w:color w:val="000000"/>
          <w:szCs w:val="24"/>
        </w:rPr>
        <w:t>Характеристика транспортной инфраструктуры городского округа «город-курорт Кисловодск», 202</w:t>
      </w:r>
      <w:r w:rsidRPr="00731FE2">
        <w:rPr>
          <w:rFonts w:ascii="Times New Roman" w:eastAsia="Times New Roman" w:hAnsi="Times New Roman" w:cs="Times New Roman"/>
          <w:b/>
          <w:bCs/>
          <w:szCs w:val="24"/>
        </w:rPr>
        <w:t>2 г.</w:t>
      </w:r>
      <w:r w:rsidRPr="00731FE2">
        <w:rPr>
          <w:rFonts w:ascii="Times New Roman" w:eastAsia="Times New Roman" w:hAnsi="Times New Roman" w:cs="Times New Roman"/>
          <w:b/>
          <w:bCs/>
          <w:szCs w:val="24"/>
          <w:vertAlign w:val="superscript"/>
        </w:rPr>
        <w:footnoteReference w:id="55"/>
      </w:r>
    </w:p>
    <w:tbl>
      <w:tblPr>
        <w:tblStyle w:val="afe"/>
        <w:tblW w:w="0" w:type="auto"/>
        <w:tblLayout w:type="fixed"/>
        <w:tblCellMar>
          <w:left w:w="57" w:type="dxa"/>
          <w:right w:w="57" w:type="dxa"/>
        </w:tblCellMar>
        <w:tblLook w:val="04A0" w:firstRow="1" w:lastRow="0" w:firstColumn="1" w:lastColumn="0" w:noHBand="0" w:noVBand="1"/>
      </w:tblPr>
      <w:tblGrid>
        <w:gridCol w:w="7086"/>
        <w:gridCol w:w="2268"/>
      </w:tblGrid>
      <w:tr w:rsidR="00171AA8" w:rsidRPr="00731FE2" w14:paraId="6A2B8C4A" w14:textId="77777777">
        <w:tc>
          <w:tcPr>
            <w:tcW w:w="7086" w:type="dxa"/>
            <w:vAlign w:val="center"/>
          </w:tcPr>
          <w:p w14:paraId="7BE4AC8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b/>
                <w:color w:val="000000"/>
                <w:sz w:val="22"/>
              </w:rPr>
              <w:t>Наименование показателя, ед. изм.</w:t>
            </w:r>
          </w:p>
        </w:tc>
        <w:tc>
          <w:tcPr>
            <w:tcW w:w="2268" w:type="dxa"/>
            <w:vAlign w:val="center"/>
          </w:tcPr>
          <w:p w14:paraId="0EBC559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b/>
                <w:color w:val="000000"/>
                <w:sz w:val="22"/>
              </w:rPr>
              <w:t>Значение показателя</w:t>
            </w:r>
          </w:p>
        </w:tc>
      </w:tr>
      <w:tr w:rsidR="00171AA8" w:rsidRPr="00731FE2" w14:paraId="5340E4D2" w14:textId="77777777">
        <w:tc>
          <w:tcPr>
            <w:tcW w:w="7086" w:type="dxa"/>
            <w:vAlign w:val="center"/>
          </w:tcPr>
          <w:p w14:paraId="23B1F350" w14:textId="77777777" w:rsidR="00171AA8" w:rsidRPr="00731FE2" w:rsidRDefault="007935AB">
            <w:pPr>
              <w:pBdr>
                <w:top w:val="none" w:sz="4" w:space="0" w:color="000000"/>
                <w:left w:val="none" w:sz="4" w:space="0" w:color="000000"/>
                <w:bottom w:val="none" w:sz="4" w:space="0" w:color="000000"/>
                <w:right w:val="none" w:sz="4" w:space="0" w:color="000000"/>
              </w:pBdr>
              <w:ind w:firstLine="0"/>
            </w:pPr>
            <w:r w:rsidRPr="00731FE2">
              <w:rPr>
                <w:rFonts w:ascii="Times New Roman" w:eastAsia="Times New Roman" w:hAnsi="Times New Roman" w:cs="Times New Roman"/>
                <w:color w:val="000000"/>
                <w:sz w:val="22"/>
              </w:rPr>
              <w:t>Протяженность автодорог общего пользования местного значения, в том числе:</w:t>
            </w:r>
          </w:p>
        </w:tc>
        <w:tc>
          <w:tcPr>
            <w:tcW w:w="2268" w:type="dxa"/>
            <w:vAlign w:val="center"/>
          </w:tcPr>
          <w:p w14:paraId="7CD0044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259,1</w:t>
            </w:r>
          </w:p>
        </w:tc>
      </w:tr>
      <w:tr w:rsidR="00171AA8" w:rsidRPr="00731FE2" w14:paraId="3FC4F13E" w14:textId="77777777">
        <w:tc>
          <w:tcPr>
            <w:tcW w:w="7086" w:type="dxa"/>
            <w:vAlign w:val="center"/>
          </w:tcPr>
          <w:p w14:paraId="7B971BA3" w14:textId="77777777" w:rsidR="00171AA8" w:rsidRPr="00731FE2" w:rsidRDefault="007935AB">
            <w:pPr>
              <w:pBdr>
                <w:top w:val="none" w:sz="4" w:space="0" w:color="000000"/>
                <w:left w:val="none" w:sz="4" w:space="0" w:color="000000"/>
                <w:bottom w:val="none" w:sz="4" w:space="0" w:color="000000"/>
                <w:right w:val="none" w:sz="4" w:space="0" w:color="000000"/>
              </w:pBdr>
              <w:ind w:firstLine="0"/>
            </w:pPr>
            <w:r w:rsidRPr="00731FE2">
              <w:rPr>
                <w:rFonts w:ascii="Times New Roman" w:eastAsia="Times New Roman" w:hAnsi="Times New Roman" w:cs="Times New Roman"/>
                <w:color w:val="000000"/>
                <w:sz w:val="22"/>
              </w:rPr>
              <w:t xml:space="preserve">– с твердым покрытием, </w:t>
            </w:r>
            <w:proofErr w:type="gramStart"/>
            <w:r w:rsidRPr="00731FE2">
              <w:rPr>
                <w:rFonts w:ascii="Times New Roman" w:eastAsia="Times New Roman" w:hAnsi="Times New Roman" w:cs="Times New Roman"/>
                <w:color w:val="000000"/>
                <w:sz w:val="22"/>
              </w:rPr>
              <w:t>км</w:t>
            </w:r>
            <w:proofErr w:type="gramEnd"/>
          </w:p>
        </w:tc>
        <w:tc>
          <w:tcPr>
            <w:tcW w:w="2268" w:type="dxa"/>
            <w:vAlign w:val="center"/>
          </w:tcPr>
          <w:p w14:paraId="6F0C23C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236,3</w:t>
            </w:r>
          </w:p>
        </w:tc>
      </w:tr>
      <w:tr w:rsidR="00171AA8" w:rsidRPr="00731FE2" w14:paraId="70AAF0F3" w14:textId="77777777">
        <w:tc>
          <w:tcPr>
            <w:tcW w:w="7086" w:type="dxa"/>
            <w:vAlign w:val="center"/>
          </w:tcPr>
          <w:p w14:paraId="0167A5AE" w14:textId="77777777" w:rsidR="00171AA8" w:rsidRPr="00731FE2" w:rsidRDefault="007935AB">
            <w:pPr>
              <w:pBdr>
                <w:top w:val="none" w:sz="4" w:space="0" w:color="000000"/>
                <w:left w:val="none" w:sz="4" w:space="0" w:color="000000"/>
                <w:bottom w:val="none" w:sz="4" w:space="0" w:color="000000"/>
                <w:right w:val="none" w:sz="4" w:space="0" w:color="000000"/>
              </w:pBdr>
              <w:ind w:firstLine="0"/>
            </w:pPr>
            <w:proofErr w:type="gramStart"/>
            <w:r w:rsidRPr="00731FE2">
              <w:rPr>
                <w:rFonts w:ascii="Times New Roman" w:eastAsia="Times New Roman" w:hAnsi="Times New Roman" w:cs="Times New Roman"/>
                <w:color w:val="000000"/>
                <w:sz w:val="22"/>
              </w:rPr>
              <w:t>– с усовершенствованным покрытием (цементобетонные, асфальтобетонные и типа асфальтобетона, из щебня и гравия, обработанных вяжущими материалами), км</w:t>
            </w:r>
            <w:proofErr w:type="gramEnd"/>
          </w:p>
        </w:tc>
        <w:tc>
          <w:tcPr>
            <w:tcW w:w="2268" w:type="dxa"/>
            <w:vAlign w:val="center"/>
          </w:tcPr>
          <w:p w14:paraId="004BA2A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200,3</w:t>
            </w:r>
          </w:p>
        </w:tc>
      </w:tr>
      <w:tr w:rsidR="00171AA8" w:rsidRPr="00731FE2" w14:paraId="78B83F82" w14:textId="77777777">
        <w:tc>
          <w:tcPr>
            <w:tcW w:w="7086" w:type="dxa"/>
            <w:vAlign w:val="center"/>
          </w:tcPr>
          <w:p w14:paraId="68EA8648" w14:textId="77777777" w:rsidR="00171AA8" w:rsidRPr="00731FE2" w:rsidRDefault="007935AB">
            <w:pPr>
              <w:pBdr>
                <w:top w:val="none" w:sz="4" w:space="0" w:color="000000"/>
                <w:left w:val="none" w:sz="4" w:space="0" w:color="000000"/>
                <w:bottom w:val="none" w:sz="4" w:space="0" w:color="000000"/>
                <w:right w:val="none" w:sz="4" w:space="0" w:color="000000"/>
              </w:pBdr>
              <w:ind w:firstLine="0"/>
            </w:pPr>
            <w:r w:rsidRPr="00731FE2">
              <w:rPr>
                <w:rFonts w:ascii="Times New Roman" w:eastAsia="Times New Roman" w:hAnsi="Times New Roman" w:cs="Times New Roman"/>
                <w:color w:val="000000"/>
                <w:sz w:val="22"/>
              </w:rPr>
              <w:t>Количество автозаправочных станций (АЗС), расположенных на автомобильных дорогах общего пользования местного значения, в том числе:</w:t>
            </w:r>
          </w:p>
        </w:tc>
        <w:tc>
          <w:tcPr>
            <w:tcW w:w="2268" w:type="dxa"/>
            <w:vAlign w:val="center"/>
          </w:tcPr>
          <w:p w14:paraId="082E712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14</w:t>
            </w:r>
          </w:p>
        </w:tc>
      </w:tr>
      <w:tr w:rsidR="00171AA8" w:rsidRPr="00731FE2" w14:paraId="5DE3B241" w14:textId="77777777">
        <w:tc>
          <w:tcPr>
            <w:tcW w:w="7086" w:type="dxa"/>
            <w:vAlign w:val="center"/>
          </w:tcPr>
          <w:p w14:paraId="4F69439B" w14:textId="77777777" w:rsidR="00171AA8" w:rsidRPr="00731FE2" w:rsidRDefault="007935AB">
            <w:pPr>
              <w:pBdr>
                <w:top w:val="none" w:sz="4" w:space="0" w:color="000000"/>
                <w:left w:val="none" w:sz="4" w:space="0" w:color="000000"/>
                <w:bottom w:val="none" w:sz="4" w:space="0" w:color="000000"/>
                <w:right w:val="none" w:sz="4" w:space="0" w:color="000000"/>
              </w:pBdr>
              <w:ind w:firstLine="0"/>
            </w:pPr>
            <w:r w:rsidRPr="00731FE2">
              <w:rPr>
                <w:rFonts w:ascii="Times New Roman" w:eastAsia="Times New Roman" w:hAnsi="Times New Roman" w:cs="Times New Roman"/>
                <w:color w:val="000000"/>
                <w:sz w:val="22"/>
              </w:rPr>
              <w:t>– многотопливные заправочные станции (МТЗС), ед.</w:t>
            </w:r>
          </w:p>
        </w:tc>
        <w:tc>
          <w:tcPr>
            <w:tcW w:w="2268" w:type="dxa"/>
            <w:vAlign w:val="center"/>
          </w:tcPr>
          <w:p w14:paraId="1453620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7</w:t>
            </w:r>
          </w:p>
        </w:tc>
      </w:tr>
      <w:tr w:rsidR="00171AA8" w:rsidRPr="00731FE2" w14:paraId="27A46FB5" w14:textId="77777777">
        <w:tc>
          <w:tcPr>
            <w:tcW w:w="7086" w:type="dxa"/>
            <w:vAlign w:val="center"/>
          </w:tcPr>
          <w:p w14:paraId="033A450E" w14:textId="77777777" w:rsidR="00171AA8" w:rsidRPr="00731FE2" w:rsidRDefault="007935AB">
            <w:pPr>
              <w:pBdr>
                <w:top w:val="none" w:sz="4" w:space="0" w:color="000000"/>
                <w:left w:val="none" w:sz="4" w:space="0" w:color="000000"/>
                <w:bottom w:val="none" w:sz="4" w:space="0" w:color="000000"/>
                <w:right w:val="none" w:sz="4" w:space="0" w:color="000000"/>
              </w:pBdr>
              <w:ind w:firstLine="0"/>
            </w:pPr>
            <w:r w:rsidRPr="00731FE2">
              <w:rPr>
                <w:rFonts w:ascii="Times New Roman" w:eastAsia="Times New Roman" w:hAnsi="Times New Roman" w:cs="Times New Roman"/>
                <w:color w:val="000000"/>
                <w:sz w:val="22"/>
              </w:rPr>
              <w:t>– автомобильные газозаправочные станции (АГЗС), ед.</w:t>
            </w:r>
          </w:p>
        </w:tc>
        <w:tc>
          <w:tcPr>
            <w:tcW w:w="2268" w:type="dxa"/>
            <w:vAlign w:val="center"/>
          </w:tcPr>
          <w:p w14:paraId="6D77CA9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5</w:t>
            </w:r>
          </w:p>
        </w:tc>
      </w:tr>
      <w:tr w:rsidR="00171AA8" w:rsidRPr="00731FE2" w14:paraId="64D14556" w14:textId="77777777">
        <w:tc>
          <w:tcPr>
            <w:tcW w:w="7086" w:type="dxa"/>
            <w:vAlign w:val="center"/>
          </w:tcPr>
          <w:p w14:paraId="6A5E4399" w14:textId="77777777" w:rsidR="00171AA8" w:rsidRPr="00731FE2" w:rsidRDefault="007935AB">
            <w:pPr>
              <w:pBdr>
                <w:top w:val="none" w:sz="4" w:space="0" w:color="000000"/>
                <w:left w:val="none" w:sz="4" w:space="0" w:color="000000"/>
                <w:bottom w:val="none" w:sz="4" w:space="0" w:color="000000"/>
                <w:right w:val="none" w:sz="4" w:space="0" w:color="000000"/>
              </w:pBdr>
              <w:ind w:firstLine="0"/>
            </w:pPr>
            <w:r w:rsidRPr="00731FE2">
              <w:rPr>
                <w:rFonts w:ascii="Times New Roman" w:eastAsia="Times New Roman" w:hAnsi="Times New Roman" w:cs="Times New Roman"/>
                <w:color w:val="000000"/>
                <w:sz w:val="22"/>
              </w:rPr>
              <w:t>– электрозаправочные станции (ЭЗС), ед.</w:t>
            </w:r>
          </w:p>
        </w:tc>
        <w:tc>
          <w:tcPr>
            <w:tcW w:w="2268" w:type="dxa"/>
            <w:vAlign w:val="center"/>
          </w:tcPr>
          <w:p w14:paraId="3D54446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2</w:t>
            </w:r>
          </w:p>
        </w:tc>
      </w:tr>
      <w:tr w:rsidR="00171AA8" w:rsidRPr="00731FE2" w14:paraId="4E4920F3" w14:textId="77777777">
        <w:trPr>
          <w:trHeight w:val="276"/>
        </w:trPr>
        <w:tc>
          <w:tcPr>
            <w:tcW w:w="7086" w:type="dxa"/>
            <w:vMerge w:val="restart"/>
            <w:vAlign w:val="center"/>
          </w:tcPr>
          <w:p w14:paraId="4B5DE23D" w14:textId="77777777" w:rsidR="00171AA8" w:rsidRPr="00731FE2" w:rsidRDefault="007935AB">
            <w:pPr>
              <w:pBdr>
                <w:top w:val="none" w:sz="4" w:space="0" w:color="000000"/>
                <w:left w:val="none" w:sz="4" w:space="0" w:color="000000"/>
                <w:bottom w:val="none" w:sz="4" w:space="0" w:color="000000"/>
                <w:right w:val="none" w:sz="4" w:space="0" w:color="000000"/>
              </w:pBdr>
              <w:ind w:firstLine="0"/>
            </w:pPr>
            <w:r w:rsidRPr="00731FE2">
              <w:rPr>
                <w:rFonts w:ascii="Times New Roman" w:eastAsia="Times New Roman" w:hAnsi="Times New Roman" w:cs="Times New Roman"/>
                <w:color w:val="000000"/>
                <w:sz w:val="22"/>
              </w:rPr>
              <w:t xml:space="preserve">Общая протяженность улиц, проездов, набережных, </w:t>
            </w:r>
            <w:proofErr w:type="gramStart"/>
            <w:r w:rsidRPr="00731FE2">
              <w:rPr>
                <w:rFonts w:ascii="Times New Roman" w:eastAsia="Times New Roman" w:hAnsi="Times New Roman" w:cs="Times New Roman"/>
                <w:color w:val="000000"/>
                <w:sz w:val="22"/>
              </w:rPr>
              <w:t>км</w:t>
            </w:r>
            <w:proofErr w:type="gramEnd"/>
          </w:p>
        </w:tc>
        <w:tc>
          <w:tcPr>
            <w:tcW w:w="2268" w:type="dxa"/>
            <w:vMerge w:val="restart"/>
            <w:vAlign w:val="center"/>
          </w:tcPr>
          <w:p w14:paraId="6BBD0A8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259,1</w:t>
            </w:r>
          </w:p>
        </w:tc>
      </w:tr>
      <w:tr w:rsidR="00171AA8" w:rsidRPr="00731FE2" w14:paraId="5DD24C0F" w14:textId="77777777">
        <w:trPr>
          <w:trHeight w:val="276"/>
        </w:trPr>
        <w:tc>
          <w:tcPr>
            <w:tcW w:w="7086" w:type="dxa"/>
            <w:vMerge w:val="restart"/>
            <w:vAlign w:val="center"/>
          </w:tcPr>
          <w:p w14:paraId="6681F0B4" w14:textId="77777777" w:rsidR="00171AA8" w:rsidRPr="00731FE2" w:rsidRDefault="007935AB">
            <w:pPr>
              <w:pBdr>
                <w:top w:val="none" w:sz="4" w:space="0" w:color="000000"/>
                <w:left w:val="none" w:sz="4" w:space="0" w:color="000000"/>
                <w:bottom w:val="none" w:sz="4" w:space="0" w:color="000000"/>
                <w:right w:val="none" w:sz="4" w:space="0" w:color="000000"/>
              </w:pBdr>
              <w:ind w:firstLine="0"/>
            </w:pPr>
            <w:r w:rsidRPr="00731FE2">
              <w:rPr>
                <w:rFonts w:ascii="Times New Roman" w:eastAsia="Times New Roman" w:hAnsi="Times New Roman" w:cs="Times New Roman"/>
                <w:color w:val="000000"/>
                <w:sz w:val="22"/>
              </w:rPr>
              <w:t xml:space="preserve">Общее </w:t>
            </w:r>
            <w:r w:rsidR="002455DE" w:rsidRPr="00731FE2">
              <w:rPr>
                <w:rFonts w:ascii="Times New Roman" w:eastAsia="Times New Roman" w:hAnsi="Times New Roman" w:cs="Times New Roman"/>
                <w:color w:val="000000"/>
                <w:sz w:val="22"/>
              </w:rPr>
              <w:t>протяженность</w:t>
            </w:r>
            <w:r w:rsidRPr="00731FE2">
              <w:rPr>
                <w:rFonts w:ascii="Times New Roman" w:eastAsia="Times New Roman" w:hAnsi="Times New Roman" w:cs="Times New Roman"/>
                <w:color w:val="000000"/>
                <w:sz w:val="22"/>
              </w:rPr>
              <w:t xml:space="preserve"> освещенных частей улиц, проездов, набережных, </w:t>
            </w:r>
            <w:proofErr w:type="gramStart"/>
            <w:r w:rsidRPr="00731FE2">
              <w:rPr>
                <w:rFonts w:ascii="Times New Roman" w:eastAsia="Times New Roman" w:hAnsi="Times New Roman" w:cs="Times New Roman"/>
                <w:color w:val="000000"/>
                <w:sz w:val="22"/>
              </w:rPr>
              <w:t>км</w:t>
            </w:r>
            <w:proofErr w:type="gramEnd"/>
          </w:p>
        </w:tc>
        <w:tc>
          <w:tcPr>
            <w:tcW w:w="2268" w:type="dxa"/>
            <w:vMerge w:val="restart"/>
            <w:vAlign w:val="center"/>
          </w:tcPr>
          <w:p w14:paraId="21FC0ED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247,4</w:t>
            </w:r>
          </w:p>
        </w:tc>
      </w:tr>
      <w:tr w:rsidR="00171AA8" w:rsidRPr="00731FE2" w14:paraId="54A2150F" w14:textId="77777777">
        <w:trPr>
          <w:trHeight w:val="276"/>
        </w:trPr>
        <w:tc>
          <w:tcPr>
            <w:tcW w:w="7086" w:type="dxa"/>
            <w:vMerge w:val="restart"/>
            <w:vAlign w:val="center"/>
          </w:tcPr>
          <w:p w14:paraId="67BCC240" w14:textId="77777777" w:rsidR="00171AA8" w:rsidRPr="00731FE2" w:rsidRDefault="007935AB">
            <w:pPr>
              <w:pBdr>
                <w:top w:val="none" w:sz="4" w:space="0" w:color="000000"/>
                <w:left w:val="none" w:sz="4" w:space="0" w:color="000000"/>
                <w:bottom w:val="none" w:sz="4" w:space="0" w:color="000000"/>
                <w:right w:val="none" w:sz="4" w:space="0" w:color="000000"/>
              </w:pBdr>
              <w:ind w:firstLine="0"/>
            </w:pPr>
            <w:r w:rsidRPr="00731FE2">
              <w:rPr>
                <w:rFonts w:ascii="Times New Roman" w:eastAsia="Times New Roman" w:hAnsi="Times New Roman" w:cs="Times New Roman"/>
                <w:color w:val="000000"/>
                <w:sz w:val="22"/>
              </w:rPr>
              <w:t>Протяженность мостов, путепроводов и эстакад, расположенных на автомобильных дорогах общего пользования местного значения, погон</w:t>
            </w:r>
            <w:proofErr w:type="gramStart"/>
            <w:r w:rsidRPr="00731FE2">
              <w:rPr>
                <w:rFonts w:ascii="Times New Roman" w:eastAsia="Times New Roman" w:hAnsi="Times New Roman" w:cs="Times New Roman"/>
                <w:color w:val="000000"/>
                <w:sz w:val="22"/>
              </w:rPr>
              <w:t>.</w:t>
            </w:r>
            <w:proofErr w:type="gramEnd"/>
            <w:r w:rsidRPr="00731FE2">
              <w:rPr>
                <w:rFonts w:ascii="Times New Roman" w:eastAsia="Times New Roman" w:hAnsi="Times New Roman" w:cs="Times New Roman"/>
                <w:color w:val="000000"/>
                <w:sz w:val="22"/>
              </w:rPr>
              <w:t xml:space="preserve"> </w:t>
            </w:r>
            <w:proofErr w:type="gramStart"/>
            <w:r w:rsidRPr="00731FE2">
              <w:rPr>
                <w:rFonts w:ascii="Times New Roman" w:eastAsia="Times New Roman" w:hAnsi="Times New Roman" w:cs="Times New Roman"/>
                <w:color w:val="000000"/>
                <w:sz w:val="22"/>
              </w:rPr>
              <w:t>м</w:t>
            </w:r>
            <w:proofErr w:type="gramEnd"/>
          </w:p>
        </w:tc>
        <w:tc>
          <w:tcPr>
            <w:tcW w:w="2268" w:type="dxa"/>
            <w:vMerge w:val="restart"/>
            <w:vAlign w:val="center"/>
          </w:tcPr>
          <w:p w14:paraId="4F74F32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114,1</w:t>
            </w:r>
          </w:p>
        </w:tc>
      </w:tr>
      <w:tr w:rsidR="00171AA8" w:rsidRPr="00731FE2" w14:paraId="6B995953" w14:textId="77777777">
        <w:trPr>
          <w:trHeight w:val="276"/>
        </w:trPr>
        <w:tc>
          <w:tcPr>
            <w:tcW w:w="7086" w:type="dxa"/>
            <w:vMerge w:val="restart"/>
            <w:vAlign w:val="center"/>
          </w:tcPr>
          <w:p w14:paraId="690EC91F" w14:textId="77777777" w:rsidR="00171AA8" w:rsidRPr="00731FE2" w:rsidRDefault="007935AB">
            <w:pPr>
              <w:pBdr>
                <w:top w:val="none" w:sz="4" w:space="0" w:color="000000"/>
                <w:left w:val="none" w:sz="4" w:space="0" w:color="000000"/>
                <w:bottom w:val="none" w:sz="4" w:space="0" w:color="000000"/>
                <w:right w:val="none" w:sz="4" w:space="0" w:color="000000"/>
              </w:pBdr>
              <w:ind w:firstLine="0"/>
            </w:pPr>
            <w:r w:rsidRPr="00731FE2">
              <w:rPr>
                <w:rFonts w:ascii="Times New Roman" w:eastAsia="Times New Roman" w:hAnsi="Times New Roman" w:cs="Times New Roman"/>
                <w:color w:val="000000"/>
                <w:sz w:val="22"/>
              </w:rPr>
              <w:t>Доля протяженности автодорог общего пользования местного значения, не отвечающих нормативным требованиям, в общей протяженности автомобильных дорог общего пользования местного значения, % (</w:t>
            </w:r>
            <w:proofErr w:type="gramStart"/>
            <w:r w:rsidRPr="00731FE2">
              <w:rPr>
                <w:rFonts w:ascii="Times New Roman" w:eastAsia="Times New Roman" w:hAnsi="Times New Roman" w:cs="Times New Roman"/>
                <w:color w:val="000000"/>
                <w:sz w:val="22"/>
              </w:rPr>
              <w:t>км</w:t>
            </w:r>
            <w:proofErr w:type="gramEnd"/>
            <w:r w:rsidRPr="00731FE2">
              <w:rPr>
                <w:rFonts w:ascii="Times New Roman" w:eastAsia="Times New Roman" w:hAnsi="Times New Roman" w:cs="Times New Roman"/>
                <w:color w:val="000000"/>
                <w:sz w:val="22"/>
              </w:rPr>
              <w:t>)</w:t>
            </w:r>
          </w:p>
        </w:tc>
        <w:tc>
          <w:tcPr>
            <w:tcW w:w="2268" w:type="dxa"/>
            <w:vMerge w:val="restart"/>
            <w:vAlign w:val="center"/>
          </w:tcPr>
          <w:p w14:paraId="7746A0F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55,7 (144,3)</w:t>
            </w:r>
          </w:p>
        </w:tc>
      </w:tr>
    </w:tbl>
    <w:p w14:paraId="7504B744" w14:textId="77777777" w:rsidR="00171AA8" w:rsidRPr="00731FE2" w:rsidRDefault="00171AA8">
      <w:pPr>
        <w:rPr>
          <w:rFonts w:ascii="Times New Roman" w:hAnsi="Times New Roman" w:cs="Times New Roman"/>
          <w:color w:val="000000" w:themeColor="text1"/>
        </w:rPr>
      </w:pPr>
    </w:p>
    <w:p w14:paraId="50F79E1E" w14:textId="77777777" w:rsidR="00171AA8" w:rsidRPr="00731FE2" w:rsidRDefault="007935AB">
      <w:pPr>
        <w:pBdr>
          <w:top w:val="none" w:sz="4" w:space="0" w:color="000000"/>
          <w:left w:val="none" w:sz="4" w:space="0" w:color="000000"/>
          <w:bottom w:val="none" w:sz="4" w:space="0" w:color="000000"/>
          <w:right w:val="none" w:sz="4" w:space="0" w:color="000000"/>
        </w:pBdr>
      </w:pPr>
      <w:r w:rsidRPr="00731FE2">
        <w:rPr>
          <w:rFonts w:ascii="Times New Roman" w:eastAsia="Times New Roman" w:hAnsi="Times New Roman" w:cs="Times New Roman"/>
          <w:color w:val="000000"/>
        </w:rPr>
        <w:lastRenderedPageBreak/>
        <w:t>Согласно данным Администрации городского округа «город-курорт Кисловодск» в 2023 г. общая протяженность улично-дорожной сети не изменилась, протяженность улиц с твердым покрытием возросла на 12 км, дороги с усовершенствованным покрытием составили 212,3 км.</w:t>
      </w:r>
    </w:p>
    <w:p w14:paraId="4679CCD3" w14:textId="77777777" w:rsidR="00171AA8" w:rsidRPr="00731FE2" w:rsidRDefault="007935AB">
      <w:pPr>
        <w:pBdr>
          <w:top w:val="none" w:sz="4" w:space="0" w:color="000000"/>
          <w:left w:val="none" w:sz="4" w:space="0" w:color="000000"/>
          <w:bottom w:val="none" w:sz="4" w:space="0" w:color="000000"/>
          <w:right w:val="none" w:sz="4" w:space="0" w:color="000000"/>
        </w:pBdr>
      </w:pPr>
      <w:r w:rsidRPr="00731FE2">
        <w:rPr>
          <w:rFonts w:ascii="Times New Roman" w:eastAsia="Times New Roman" w:hAnsi="Times New Roman" w:cs="Times New Roman"/>
          <w:color w:val="000000"/>
        </w:rPr>
        <w:t xml:space="preserve">Перечень автомобильных дорог городского округа «город-курорт Кисловодск» </w:t>
      </w:r>
      <w:proofErr w:type="gramStart"/>
      <w:r w:rsidRPr="00731FE2">
        <w:rPr>
          <w:rFonts w:ascii="Times New Roman" w:eastAsia="Times New Roman" w:hAnsi="Times New Roman" w:cs="Times New Roman"/>
          <w:color w:val="000000"/>
        </w:rPr>
        <w:t>на конец</w:t>
      </w:r>
      <w:proofErr w:type="gramEnd"/>
      <w:r w:rsidRPr="00731FE2">
        <w:rPr>
          <w:rFonts w:ascii="Times New Roman" w:eastAsia="Times New Roman" w:hAnsi="Times New Roman" w:cs="Times New Roman"/>
          <w:color w:val="000000"/>
        </w:rPr>
        <w:t xml:space="preserve"> 2023 г. приведен в Приложении 5. Значительная часть, составляющая улично-дорожную сеть городского округа, относится к низким техническим категориям (Ⅳ и Ⅴ категории) и нуждаются в проведении реконструкции.</w:t>
      </w:r>
    </w:p>
    <w:p w14:paraId="49B39205" w14:textId="77777777" w:rsidR="00171AA8" w:rsidRPr="00731FE2" w:rsidRDefault="007935AB">
      <w:pPr>
        <w:pBdr>
          <w:top w:val="none" w:sz="4" w:space="0" w:color="000000"/>
          <w:left w:val="none" w:sz="4" w:space="0" w:color="000000"/>
          <w:bottom w:val="none" w:sz="4" w:space="0" w:color="000000"/>
          <w:right w:val="none" w:sz="4" w:space="0" w:color="000000"/>
        </w:pBdr>
        <w:rPr>
          <w:color w:val="000000" w:themeColor="text1"/>
        </w:rPr>
      </w:pPr>
      <w:r w:rsidRPr="00731FE2">
        <w:rPr>
          <w:rFonts w:ascii="Times New Roman" w:eastAsia="Times New Roman" w:hAnsi="Times New Roman" w:cs="Times New Roman"/>
          <w:color w:val="000000"/>
        </w:rPr>
        <w:t>Кроме этого, территориальная разобщенность городского округа связана с прохождением железной дороги и долинами рек, которые расчленяют территорию в меридиональном плане, затрудняя сообщение между главными транспортными осями.</w:t>
      </w:r>
    </w:p>
    <w:p w14:paraId="08F59BB7" w14:textId="77777777" w:rsidR="00171AA8" w:rsidRPr="00731FE2" w:rsidRDefault="007935AB">
      <w:pPr>
        <w:pStyle w:val="33"/>
        <w:rPr>
          <w:rFonts w:ascii="Times New Roman" w:hAnsi="Times New Roman" w:cs="Times New Roman"/>
        </w:rPr>
      </w:pPr>
      <w:bookmarkStart w:id="43" w:name="_Toc177392794"/>
      <w:r w:rsidRPr="00731FE2">
        <w:rPr>
          <w:rFonts w:ascii="Times New Roman" w:hAnsi="Times New Roman" w:cs="Times New Roman"/>
        </w:rPr>
        <w:t>2.10.2 Общественный транспорт</w:t>
      </w:r>
      <w:bookmarkEnd w:id="43"/>
    </w:p>
    <w:p w14:paraId="51638369" w14:textId="77777777" w:rsidR="00171AA8" w:rsidRPr="00731FE2" w:rsidRDefault="007935AB">
      <w:pPr>
        <w:pBdr>
          <w:top w:val="none" w:sz="4" w:space="0" w:color="000000"/>
          <w:left w:val="none" w:sz="4" w:space="0" w:color="000000"/>
          <w:bottom w:val="none" w:sz="4" w:space="0" w:color="000000"/>
          <w:right w:val="none" w:sz="4" w:space="0" w:color="000000"/>
        </w:pBdr>
        <w:rPr>
          <w:color w:val="000000" w:themeColor="text1"/>
        </w:rPr>
      </w:pPr>
      <w:r w:rsidRPr="00731FE2">
        <w:rPr>
          <w:rFonts w:ascii="Times New Roman" w:eastAsia="Times New Roman" w:hAnsi="Times New Roman" w:cs="Times New Roman"/>
          <w:color w:val="000000"/>
        </w:rPr>
        <w:t>На территории городского округа «город-курорт Кисловодск» основным видом пассажирского транспорта выступает маршрутный автобус и личный автомобильный трансп</w:t>
      </w:r>
      <w:r w:rsidRPr="00731FE2">
        <w:rPr>
          <w:rFonts w:ascii="Times New Roman" w:eastAsia="Times New Roman" w:hAnsi="Times New Roman" w:cs="Times New Roman"/>
          <w:color w:val="000000" w:themeColor="text1"/>
        </w:rPr>
        <w:t>орт.</w:t>
      </w:r>
    </w:p>
    <w:p w14:paraId="71B53B5E" w14:textId="77777777" w:rsidR="00171AA8" w:rsidRPr="00731FE2" w:rsidRDefault="007935AB">
      <w:pPr>
        <w:pBdr>
          <w:top w:val="none" w:sz="4" w:space="0" w:color="000000"/>
          <w:left w:val="none" w:sz="4" w:space="0" w:color="000000"/>
          <w:bottom w:val="none" w:sz="4" w:space="0" w:color="000000"/>
          <w:right w:val="none" w:sz="4" w:space="0" w:color="000000"/>
        </w:pBdr>
      </w:pPr>
      <w:r w:rsidRPr="00731FE2">
        <w:rPr>
          <w:rFonts w:ascii="Times New Roman" w:eastAsia="Times New Roman" w:hAnsi="Times New Roman" w:cs="Times New Roman"/>
          <w:color w:val="000000"/>
        </w:rPr>
        <w:t>Автобусный транспорт представлен автобусами малого и среднего класса. Осуществляются внутри муниципальные перевозки по 25 маршрутам, а также межмуниципальные и межрегиональные перевозки по 27 маршрутам (таблица).</w:t>
      </w:r>
    </w:p>
    <w:p w14:paraId="50B37863" w14:textId="77777777" w:rsidR="00171AA8" w:rsidRPr="00731FE2" w:rsidRDefault="00171AA8">
      <w:pPr>
        <w:rPr>
          <w:rFonts w:ascii="Times New Roman" w:hAnsi="Times New Roman" w:cs="Times New Roman"/>
          <w:color w:val="000000" w:themeColor="text1"/>
        </w:rPr>
      </w:pPr>
    </w:p>
    <w:p w14:paraId="101E55E5" w14:textId="77777777" w:rsidR="00171AA8" w:rsidRPr="00731FE2" w:rsidRDefault="007935AB">
      <w:pPr>
        <w:pBdr>
          <w:top w:val="none" w:sz="4" w:space="0" w:color="000000"/>
          <w:left w:val="none" w:sz="4" w:space="0" w:color="000000"/>
          <w:bottom w:val="none" w:sz="4" w:space="0" w:color="000000"/>
          <w:right w:val="none" w:sz="4" w:space="0" w:color="000000"/>
        </w:pBdr>
        <w:spacing w:line="240" w:lineRule="auto"/>
        <w:ind w:firstLine="0"/>
        <w:rPr>
          <w:rFonts w:ascii="Times New Roman" w:hAnsi="Times New Roman" w:cs="Times New Roman"/>
          <w:b/>
          <w:bCs/>
          <w:color w:val="000000" w:themeColor="text1"/>
          <w:szCs w:val="24"/>
        </w:rPr>
      </w:pPr>
      <w:r w:rsidRPr="00731FE2">
        <w:rPr>
          <w:rFonts w:ascii="Times New Roman" w:eastAsia="Times New Roman" w:hAnsi="Times New Roman" w:cs="Times New Roman"/>
          <w:b/>
          <w:bCs/>
          <w:color w:val="000000" w:themeColor="text1"/>
          <w:szCs w:val="24"/>
        </w:rPr>
        <w:t xml:space="preserve">Таблица </w:t>
      </w:r>
      <w:r w:rsidRPr="00731FE2">
        <w:rPr>
          <w:rFonts w:ascii="Times New Roman" w:eastAsia="Times New Roman" w:hAnsi="Times New Roman" w:cs="Times New Roman"/>
          <w:b/>
          <w:bCs/>
          <w:color w:val="000000" w:themeColor="text1"/>
          <w:szCs w:val="24"/>
        </w:rPr>
        <w:fldChar w:fldCharType="begin"/>
      </w:r>
      <w:r w:rsidRPr="00731FE2">
        <w:rPr>
          <w:rFonts w:ascii="Times New Roman" w:eastAsia="Times New Roman" w:hAnsi="Times New Roman" w:cs="Times New Roman"/>
          <w:b/>
          <w:bCs/>
          <w:color w:val="000000" w:themeColor="text1"/>
          <w:szCs w:val="24"/>
        </w:rPr>
        <w:instrText xml:space="preserve"> SEQ Таблица \* Arabic </w:instrText>
      </w:r>
      <w:r w:rsidRPr="00731FE2">
        <w:rPr>
          <w:rFonts w:ascii="Times New Roman" w:eastAsia="Times New Roman" w:hAnsi="Times New Roman" w:cs="Times New Roman"/>
          <w:b/>
          <w:bCs/>
          <w:color w:val="000000" w:themeColor="text1"/>
          <w:szCs w:val="24"/>
        </w:rPr>
        <w:fldChar w:fldCharType="separate"/>
      </w:r>
      <w:r w:rsidR="00C50915" w:rsidRPr="00731FE2">
        <w:rPr>
          <w:rFonts w:ascii="Times New Roman" w:eastAsia="Times New Roman" w:hAnsi="Times New Roman" w:cs="Times New Roman"/>
          <w:b/>
          <w:bCs/>
          <w:noProof/>
          <w:color w:val="000000" w:themeColor="text1"/>
          <w:szCs w:val="24"/>
        </w:rPr>
        <w:t>28</w:t>
      </w:r>
      <w:r w:rsidRPr="00731FE2">
        <w:rPr>
          <w:rFonts w:ascii="Times New Roman" w:eastAsia="Times New Roman" w:hAnsi="Times New Roman" w:cs="Times New Roman"/>
          <w:b/>
          <w:bCs/>
          <w:color w:val="000000" w:themeColor="text1"/>
          <w:szCs w:val="24"/>
        </w:rPr>
        <w:fldChar w:fldCharType="end"/>
      </w:r>
      <w:r w:rsidRPr="00731FE2">
        <w:rPr>
          <w:rFonts w:ascii="Times New Roman" w:eastAsia="Times New Roman" w:hAnsi="Times New Roman" w:cs="Times New Roman"/>
          <w:b/>
          <w:bCs/>
          <w:color w:val="000000" w:themeColor="text1"/>
          <w:szCs w:val="24"/>
        </w:rPr>
        <w:t xml:space="preserve"> – Пассажирские перевозки на территории городского округа «город-курорт Кисловодск» </w:t>
      </w:r>
      <w:proofErr w:type="gramStart"/>
      <w:r w:rsidRPr="00731FE2">
        <w:rPr>
          <w:rFonts w:ascii="Times New Roman" w:eastAsia="Times New Roman" w:hAnsi="Times New Roman" w:cs="Times New Roman"/>
          <w:b/>
          <w:bCs/>
          <w:color w:val="000000" w:themeColor="text1"/>
          <w:szCs w:val="24"/>
        </w:rPr>
        <w:t>на конец</w:t>
      </w:r>
      <w:proofErr w:type="gramEnd"/>
      <w:r w:rsidRPr="00731FE2">
        <w:rPr>
          <w:rFonts w:ascii="Times New Roman" w:eastAsia="Times New Roman" w:hAnsi="Times New Roman" w:cs="Times New Roman"/>
          <w:b/>
          <w:bCs/>
          <w:color w:val="000000" w:themeColor="text1"/>
          <w:szCs w:val="24"/>
        </w:rPr>
        <w:t xml:space="preserve"> 2023 г.</w:t>
      </w:r>
      <w:r w:rsidRPr="00731FE2">
        <w:rPr>
          <w:rStyle w:val="afb"/>
          <w:rFonts w:ascii="Times New Roman" w:eastAsia="Times New Roman" w:hAnsi="Times New Roman" w:cs="Times New Roman"/>
          <w:b/>
          <w:bCs/>
          <w:color w:val="000000" w:themeColor="text1"/>
          <w:szCs w:val="24"/>
          <w:vertAlign w:val="superscript"/>
        </w:rPr>
        <w:footnoteReference w:id="56"/>
      </w:r>
    </w:p>
    <w:tbl>
      <w:tblPr>
        <w:tblStyle w:val="afe"/>
        <w:tblW w:w="0" w:type="auto"/>
        <w:tblLayout w:type="fixed"/>
        <w:tblCellMar>
          <w:left w:w="57" w:type="dxa"/>
          <w:right w:w="57" w:type="dxa"/>
        </w:tblCellMar>
        <w:tblLook w:val="04A0" w:firstRow="1" w:lastRow="0" w:firstColumn="1" w:lastColumn="0" w:noHBand="0" w:noVBand="1"/>
      </w:tblPr>
      <w:tblGrid>
        <w:gridCol w:w="1701"/>
        <w:gridCol w:w="850"/>
        <w:gridCol w:w="5244"/>
        <w:gridCol w:w="1561"/>
      </w:tblGrid>
      <w:tr w:rsidR="00171AA8" w:rsidRPr="00731FE2" w14:paraId="3B8622E3" w14:textId="77777777">
        <w:tc>
          <w:tcPr>
            <w:tcW w:w="1701" w:type="dxa"/>
            <w:vAlign w:val="center"/>
          </w:tcPr>
          <w:p w14:paraId="76D1E33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b/>
                <w:color w:val="000000"/>
                <w:sz w:val="22"/>
              </w:rPr>
              <w:t>Показатель</w:t>
            </w:r>
          </w:p>
        </w:tc>
        <w:tc>
          <w:tcPr>
            <w:tcW w:w="850" w:type="dxa"/>
            <w:vAlign w:val="center"/>
          </w:tcPr>
          <w:p w14:paraId="6D05C70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b/>
                <w:color w:val="000000"/>
                <w:sz w:val="22"/>
              </w:rPr>
              <w:t>Кол-во</w:t>
            </w:r>
          </w:p>
        </w:tc>
        <w:tc>
          <w:tcPr>
            <w:tcW w:w="5244" w:type="dxa"/>
            <w:vAlign w:val="center"/>
          </w:tcPr>
          <w:p w14:paraId="11B278D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b/>
                <w:color w:val="000000"/>
                <w:sz w:val="22"/>
              </w:rPr>
              <w:t>Наименование маршрута</w:t>
            </w:r>
          </w:p>
        </w:tc>
        <w:tc>
          <w:tcPr>
            <w:tcW w:w="1561" w:type="dxa"/>
            <w:vAlign w:val="center"/>
          </w:tcPr>
          <w:p w14:paraId="06D1D93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b/>
                <w:color w:val="000000"/>
                <w:sz w:val="22"/>
              </w:rPr>
              <w:t>Кол-во перевезенных пассажиров, тыс. чел.</w:t>
            </w:r>
          </w:p>
        </w:tc>
      </w:tr>
      <w:tr w:rsidR="00171AA8" w:rsidRPr="00731FE2" w14:paraId="2B611290" w14:textId="77777777">
        <w:tc>
          <w:tcPr>
            <w:tcW w:w="1701" w:type="dxa"/>
            <w:vMerge w:val="restart"/>
            <w:vAlign w:val="center"/>
          </w:tcPr>
          <w:p w14:paraId="23F5427F" w14:textId="77777777" w:rsidR="00171AA8" w:rsidRPr="00731FE2" w:rsidRDefault="007935AB">
            <w:pPr>
              <w:pBdr>
                <w:top w:val="none" w:sz="4" w:space="0" w:color="000000"/>
                <w:left w:val="none" w:sz="4" w:space="0" w:color="000000"/>
                <w:bottom w:val="none" w:sz="4" w:space="0" w:color="000000"/>
                <w:right w:val="none" w:sz="4" w:space="0" w:color="000000"/>
              </w:pBdr>
              <w:ind w:firstLine="0"/>
            </w:pPr>
            <w:r w:rsidRPr="00731FE2">
              <w:rPr>
                <w:rFonts w:ascii="Times New Roman" w:eastAsia="Times New Roman" w:hAnsi="Times New Roman" w:cs="Times New Roman"/>
                <w:color w:val="000000"/>
                <w:sz w:val="22"/>
              </w:rPr>
              <w:t>Внутри муниципальные маршруты</w:t>
            </w:r>
          </w:p>
        </w:tc>
        <w:tc>
          <w:tcPr>
            <w:tcW w:w="850" w:type="dxa"/>
            <w:vMerge w:val="restart"/>
            <w:vAlign w:val="center"/>
          </w:tcPr>
          <w:p w14:paraId="1304C86C" w14:textId="77777777" w:rsidR="00171AA8" w:rsidRPr="00731FE2" w:rsidRDefault="007935AB">
            <w:pPr>
              <w:ind w:firstLine="0"/>
              <w:jc w:val="center"/>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25</w:t>
            </w:r>
          </w:p>
        </w:tc>
        <w:tc>
          <w:tcPr>
            <w:tcW w:w="5244" w:type="dxa"/>
          </w:tcPr>
          <w:p w14:paraId="3989993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№3 «п. Левоберезовский – п. Белореченский»</w:t>
            </w:r>
          </w:p>
        </w:tc>
        <w:tc>
          <w:tcPr>
            <w:tcW w:w="1561" w:type="dxa"/>
            <w:vMerge w:val="restart"/>
            <w:vAlign w:val="center"/>
          </w:tcPr>
          <w:p w14:paraId="6EC8E0B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6365,84</w:t>
            </w:r>
          </w:p>
        </w:tc>
      </w:tr>
      <w:tr w:rsidR="00171AA8" w:rsidRPr="00731FE2" w14:paraId="6D889AC9" w14:textId="77777777">
        <w:tc>
          <w:tcPr>
            <w:tcW w:w="1701" w:type="dxa"/>
            <w:vMerge/>
          </w:tcPr>
          <w:p w14:paraId="4611E891" w14:textId="77777777" w:rsidR="00171AA8" w:rsidRPr="00731FE2" w:rsidRDefault="00171AA8"/>
        </w:tc>
        <w:tc>
          <w:tcPr>
            <w:tcW w:w="850" w:type="dxa"/>
            <w:vMerge/>
          </w:tcPr>
          <w:p w14:paraId="3813DCBE" w14:textId="77777777" w:rsidR="00171AA8" w:rsidRPr="00731FE2" w:rsidRDefault="00171AA8"/>
        </w:tc>
        <w:tc>
          <w:tcPr>
            <w:tcW w:w="5244" w:type="dxa"/>
          </w:tcPr>
          <w:p w14:paraId="6D08253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№4 «МБОУ СОШ №7 – п. Левоберезовский»</w:t>
            </w:r>
          </w:p>
        </w:tc>
        <w:tc>
          <w:tcPr>
            <w:tcW w:w="1561" w:type="dxa"/>
            <w:vMerge/>
          </w:tcPr>
          <w:p w14:paraId="6C89622F" w14:textId="77777777" w:rsidR="00171AA8" w:rsidRPr="00731FE2" w:rsidRDefault="00171AA8"/>
        </w:tc>
      </w:tr>
      <w:tr w:rsidR="00171AA8" w:rsidRPr="00731FE2" w14:paraId="6D7FAC67" w14:textId="77777777">
        <w:tc>
          <w:tcPr>
            <w:tcW w:w="1701" w:type="dxa"/>
            <w:vMerge/>
          </w:tcPr>
          <w:p w14:paraId="2CA6F8A6" w14:textId="77777777" w:rsidR="00171AA8" w:rsidRPr="00731FE2" w:rsidRDefault="00171AA8"/>
        </w:tc>
        <w:tc>
          <w:tcPr>
            <w:tcW w:w="850" w:type="dxa"/>
            <w:vMerge/>
          </w:tcPr>
          <w:p w14:paraId="1C9DB3E0" w14:textId="77777777" w:rsidR="00171AA8" w:rsidRPr="00731FE2" w:rsidRDefault="00171AA8"/>
        </w:tc>
        <w:tc>
          <w:tcPr>
            <w:tcW w:w="5244" w:type="dxa"/>
          </w:tcPr>
          <w:p w14:paraId="690A5B5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№5 «ул. Б. Хмельницкого – п. Зеленогорский»</w:t>
            </w:r>
          </w:p>
        </w:tc>
        <w:tc>
          <w:tcPr>
            <w:tcW w:w="1561" w:type="dxa"/>
            <w:vMerge/>
          </w:tcPr>
          <w:p w14:paraId="4D5FC119" w14:textId="77777777" w:rsidR="00171AA8" w:rsidRPr="00731FE2" w:rsidRDefault="00171AA8"/>
        </w:tc>
      </w:tr>
      <w:tr w:rsidR="00171AA8" w:rsidRPr="00731FE2" w14:paraId="3129CF93" w14:textId="77777777">
        <w:tc>
          <w:tcPr>
            <w:tcW w:w="1701" w:type="dxa"/>
            <w:vMerge/>
          </w:tcPr>
          <w:p w14:paraId="5605E0D4" w14:textId="77777777" w:rsidR="00171AA8" w:rsidRPr="00731FE2" w:rsidRDefault="00171AA8"/>
        </w:tc>
        <w:tc>
          <w:tcPr>
            <w:tcW w:w="850" w:type="dxa"/>
            <w:vMerge/>
          </w:tcPr>
          <w:p w14:paraId="3A8F1722" w14:textId="77777777" w:rsidR="00171AA8" w:rsidRPr="00731FE2" w:rsidRDefault="00171AA8"/>
        </w:tc>
        <w:tc>
          <w:tcPr>
            <w:tcW w:w="5244" w:type="dxa"/>
          </w:tcPr>
          <w:p w14:paraId="1E773F5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№7 ул. Чехова (</w:t>
            </w:r>
            <w:proofErr w:type="gramStart"/>
            <w:r w:rsidRPr="00731FE2">
              <w:rPr>
                <w:rFonts w:ascii="Times New Roman" w:eastAsia="Times New Roman" w:hAnsi="Times New Roman" w:cs="Times New Roman"/>
                <w:color w:val="000000"/>
                <w:sz w:val="22"/>
              </w:rPr>
              <w:t>круговой</w:t>
            </w:r>
            <w:proofErr w:type="gramEnd"/>
            <w:r w:rsidRPr="00731FE2">
              <w:rPr>
                <w:rFonts w:ascii="Times New Roman" w:eastAsia="Times New Roman" w:hAnsi="Times New Roman" w:cs="Times New Roman"/>
                <w:color w:val="000000"/>
                <w:sz w:val="22"/>
              </w:rPr>
              <w:t>)</w:t>
            </w:r>
          </w:p>
        </w:tc>
        <w:tc>
          <w:tcPr>
            <w:tcW w:w="1561" w:type="dxa"/>
            <w:vMerge/>
          </w:tcPr>
          <w:p w14:paraId="5FC55A65" w14:textId="77777777" w:rsidR="00171AA8" w:rsidRPr="00731FE2" w:rsidRDefault="00171AA8"/>
        </w:tc>
      </w:tr>
      <w:tr w:rsidR="00171AA8" w:rsidRPr="00731FE2" w14:paraId="5DB7AAA6" w14:textId="77777777">
        <w:tc>
          <w:tcPr>
            <w:tcW w:w="1701" w:type="dxa"/>
            <w:vMerge/>
          </w:tcPr>
          <w:p w14:paraId="2C0D100C" w14:textId="77777777" w:rsidR="00171AA8" w:rsidRPr="00731FE2" w:rsidRDefault="00171AA8"/>
        </w:tc>
        <w:tc>
          <w:tcPr>
            <w:tcW w:w="850" w:type="dxa"/>
            <w:vMerge/>
          </w:tcPr>
          <w:p w14:paraId="0C2D6771" w14:textId="77777777" w:rsidR="00171AA8" w:rsidRPr="00731FE2" w:rsidRDefault="00171AA8"/>
        </w:tc>
        <w:tc>
          <w:tcPr>
            <w:tcW w:w="5244" w:type="dxa"/>
          </w:tcPr>
          <w:p w14:paraId="44E60DA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№7А ул. Чехова (</w:t>
            </w:r>
            <w:proofErr w:type="gramStart"/>
            <w:r w:rsidRPr="00731FE2">
              <w:rPr>
                <w:rFonts w:ascii="Times New Roman" w:eastAsia="Times New Roman" w:hAnsi="Times New Roman" w:cs="Times New Roman"/>
                <w:color w:val="000000"/>
                <w:sz w:val="22"/>
              </w:rPr>
              <w:t>круговой</w:t>
            </w:r>
            <w:proofErr w:type="gramEnd"/>
            <w:r w:rsidRPr="00731FE2">
              <w:rPr>
                <w:rFonts w:ascii="Times New Roman" w:eastAsia="Times New Roman" w:hAnsi="Times New Roman" w:cs="Times New Roman"/>
                <w:color w:val="000000"/>
                <w:sz w:val="22"/>
              </w:rPr>
              <w:t>)</w:t>
            </w:r>
          </w:p>
        </w:tc>
        <w:tc>
          <w:tcPr>
            <w:tcW w:w="1561" w:type="dxa"/>
            <w:vMerge/>
          </w:tcPr>
          <w:p w14:paraId="48A78575" w14:textId="77777777" w:rsidR="00171AA8" w:rsidRPr="00731FE2" w:rsidRDefault="00171AA8"/>
        </w:tc>
      </w:tr>
      <w:tr w:rsidR="00171AA8" w:rsidRPr="00731FE2" w14:paraId="779B4C53" w14:textId="77777777">
        <w:tc>
          <w:tcPr>
            <w:tcW w:w="1701" w:type="dxa"/>
            <w:vMerge/>
          </w:tcPr>
          <w:p w14:paraId="6A1A97A4" w14:textId="77777777" w:rsidR="00171AA8" w:rsidRPr="00731FE2" w:rsidRDefault="00171AA8"/>
        </w:tc>
        <w:tc>
          <w:tcPr>
            <w:tcW w:w="850" w:type="dxa"/>
            <w:vMerge/>
          </w:tcPr>
          <w:p w14:paraId="193859A7" w14:textId="77777777" w:rsidR="00171AA8" w:rsidRPr="00731FE2" w:rsidRDefault="00171AA8"/>
        </w:tc>
        <w:tc>
          <w:tcPr>
            <w:tcW w:w="5244" w:type="dxa"/>
          </w:tcPr>
          <w:p w14:paraId="21D424C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№8 ФГУ «Санаторий Вилла Арнест» - ООО «Кисловодский Автовокзал»</w:t>
            </w:r>
          </w:p>
        </w:tc>
        <w:tc>
          <w:tcPr>
            <w:tcW w:w="1561" w:type="dxa"/>
            <w:vMerge/>
          </w:tcPr>
          <w:p w14:paraId="62948ABC" w14:textId="77777777" w:rsidR="00171AA8" w:rsidRPr="00731FE2" w:rsidRDefault="00171AA8"/>
        </w:tc>
      </w:tr>
      <w:tr w:rsidR="00171AA8" w:rsidRPr="00731FE2" w14:paraId="50805D6C" w14:textId="77777777">
        <w:tc>
          <w:tcPr>
            <w:tcW w:w="1701" w:type="dxa"/>
            <w:vMerge/>
          </w:tcPr>
          <w:p w14:paraId="1BCBF9ED" w14:textId="77777777" w:rsidR="00171AA8" w:rsidRPr="00731FE2" w:rsidRDefault="00171AA8"/>
        </w:tc>
        <w:tc>
          <w:tcPr>
            <w:tcW w:w="850" w:type="dxa"/>
            <w:vMerge/>
          </w:tcPr>
          <w:p w14:paraId="7B3FB09E" w14:textId="77777777" w:rsidR="00171AA8" w:rsidRPr="00731FE2" w:rsidRDefault="00171AA8"/>
        </w:tc>
        <w:tc>
          <w:tcPr>
            <w:tcW w:w="5244" w:type="dxa"/>
          </w:tcPr>
          <w:p w14:paraId="55678E1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№9 ул. 40 лет Октября – ул. 8 марта</w:t>
            </w:r>
          </w:p>
        </w:tc>
        <w:tc>
          <w:tcPr>
            <w:tcW w:w="1561" w:type="dxa"/>
            <w:vMerge/>
          </w:tcPr>
          <w:p w14:paraId="00C2E964" w14:textId="77777777" w:rsidR="00171AA8" w:rsidRPr="00731FE2" w:rsidRDefault="00171AA8"/>
        </w:tc>
      </w:tr>
      <w:tr w:rsidR="00171AA8" w:rsidRPr="00731FE2" w14:paraId="1301BCFC" w14:textId="77777777">
        <w:tc>
          <w:tcPr>
            <w:tcW w:w="1701" w:type="dxa"/>
            <w:vMerge/>
          </w:tcPr>
          <w:p w14:paraId="678CC5A2" w14:textId="77777777" w:rsidR="00171AA8" w:rsidRPr="00731FE2" w:rsidRDefault="00171AA8"/>
        </w:tc>
        <w:tc>
          <w:tcPr>
            <w:tcW w:w="850" w:type="dxa"/>
            <w:vMerge/>
          </w:tcPr>
          <w:p w14:paraId="1E86D582" w14:textId="77777777" w:rsidR="00171AA8" w:rsidRPr="00731FE2" w:rsidRDefault="00171AA8"/>
        </w:tc>
        <w:tc>
          <w:tcPr>
            <w:tcW w:w="5244" w:type="dxa"/>
          </w:tcPr>
          <w:p w14:paraId="35B9A72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 xml:space="preserve">№10 «п. Нарзанный </w:t>
            </w:r>
            <w:proofErr w:type="gramStart"/>
            <w:r w:rsidRPr="00731FE2">
              <w:rPr>
                <w:rFonts w:ascii="Times New Roman" w:eastAsia="Times New Roman" w:hAnsi="Times New Roman" w:cs="Times New Roman"/>
                <w:color w:val="000000"/>
                <w:sz w:val="22"/>
              </w:rPr>
              <w:t>–Г</w:t>
            </w:r>
            <w:proofErr w:type="gramEnd"/>
            <w:r w:rsidRPr="00731FE2">
              <w:rPr>
                <w:rFonts w:ascii="Times New Roman" w:eastAsia="Times New Roman" w:hAnsi="Times New Roman" w:cs="Times New Roman"/>
                <w:color w:val="000000"/>
                <w:sz w:val="22"/>
              </w:rPr>
              <w:t>БУЗ СК «КГБ»</w:t>
            </w:r>
          </w:p>
        </w:tc>
        <w:tc>
          <w:tcPr>
            <w:tcW w:w="1561" w:type="dxa"/>
            <w:vMerge/>
          </w:tcPr>
          <w:p w14:paraId="2E4E7596" w14:textId="77777777" w:rsidR="00171AA8" w:rsidRPr="00731FE2" w:rsidRDefault="00171AA8"/>
        </w:tc>
      </w:tr>
      <w:tr w:rsidR="00171AA8" w:rsidRPr="00731FE2" w14:paraId="79AECFF8" w14:textId="77777777">
        <w:tc>
          <w:tcPr>
            <w:tcW w:w="1701" w:type="dxa"/>
            <w:vMerge/>
          </w:tcPr>
          <w:p w14:paraId="44BBB995" w14:textId="77777777" w:rsidR="00171AA8" w:rsidRPr="00731FE2" w:rsidRDefault="00171AA8"/>
        </w:tc>
        <w:tc>
          <w:tcPr>
            <w:tcW w:w="850" w:type="dxa"/>
            <w:vMerge/>
          </w:tcPr>
          <w:p w14:paraId="70CB5F25" w14:textId="77777777" w:rsidR="00171AA8" w:rsidRPr="00731FE2" w:rsidRDefault="00171AA8"/>
        </w:tc>
        <w:tc>
          <w:tcPr>
            <w:tcW w:w="5244" w:type="dxa"/>
          </w:tcPr>
          <w:p w14:paraId="450DFC5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 xml:space="preserve">№11 «ГБУЗ «КГБ» – ул. </w:t>
            </w:r>
            <w:proofErr w:type="gramStart"/>
            <w:r w:rsidRPr="00731FE2">
              <w:rPr>
                <w:rFonts w:ascii="Times New Roman" w:eastAsia="Times New Roman" w:hAnsi="Times New Roman" w:cs="Times New Roman"/>
                <w:color w:val="000000"/>
                <w:sz w:val="22"/>
              </w:rPr>
              <w:t>Донская</w:t>
            </w:r>
            <w:proofErr w:type="gramEnd"/>
            <w:r w:rsidRPr="00731FE2">
              <w:rPr>
                <w:rFonts w:ascii="Times New Roman" w:eastAsia="Times New Roman" w:hAnsi="Times New Roman" w:cs="Times New Roman"/>
                <w:color w:val="000000"/>
                <w:sz w:val="22"/>
              </w:rPr>
              <w:t>»</w:t>
            </w:r>
          </w:p>
        </w:tc>
        <w:tc>
          <w:tcPr>
            <w:tcW w:w="1561" w:type="dxa"/>
            <w:vMerge/>
          </w:tcPr>
          <w:p w14:paraId="4497413E" w14:textId="77777777" w:rsidR="00171AA8" w:rsidRPr="00731FE2" w:rsidRDefault="00171AA8"/>
        </w:tc>
      </w:tr>
      <w:tr w:rsidR="00171AA8" w:rsidRPr="00731FE2" w14:paraId="0D8C8B24" w14:textId="77777777">
        <w:tc>
          <w:tcPr>
            <w:tcW w:w="1701" w:type="dxa"/>
            <w:vMerge/>
          </w:tcPr>
          <w:p w14:paraId="426D653D" w14:textId="77777777" w:rsidR="00171AA8" w:rsidRPr="00731FE2" w:rsidRDefault="00171AA8"/>
        </w:tc>
        <w:tc>
          <w:tcPr>
            <w:tcW w:w="850" w:type="dxa"/>
            <w:vMerge/>
          </w:tcPr>
          <w:p w14:paraId="79D1B0A5" w14:textId="77777777" w:rsidR="00171AA8" w:rsidRPr="00731FE2" w:rsidRDefault="00171AA8"/>
        </w:tc>
        <w:tc>
          <w:tcPr>
            <w:tcW w:w="5244" w:type="dxa"/>
          </w:tcPr>
          <w:p w14:paraId="7C72A1D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№12 «Кисловодский «Автовокзал» – ГБУЗ «КГБ»</w:t>
            </w:r>
          </w:p>
        </w:tc>
        <w:tc>
          <w:tcPr>
            <w:tcW w:w="1561" w:type="dxa"/>
            <w:vMerge/>
          </w:tcPr>
          <w:p w14:paraId="54B70D78" w14:textId="77777777" w:rsidR="00171AA8" w:rsidRPr="00731FE2" w:rsidRDefault="00171AA8"/>
        </w:tc>
      </w:tr>
      <w:tr w:rsidR="00171AA8" w:rsidRPr="00731FE2" w14:paraId="2DF3D5F6" w14:textId="77777777">
        <w:tc>
          <w:tcPr>
            <w:tcW w:w="1701" w:type="dxa"/>
            <w:vMerge/>
          </w:tcPr>
          <w:p w14:paraId="63C28FAF" w14:textId="77777777" w:rsidR="00171AA8" w:rsidRPr="00731FE2" w:rsidRDefault="00171AA8"/>
        </w:tc>
        <w:tc>
          <w:tcPr>
            <w:tcW w:w="850" w:type="dxa"/>
            <w:vMerge/>
          </w:tcPr>
          <w:p w14:paraId="3A0F21D6" w14:textId="77777777" w:rsidR="00171AA8" w:rsidRPr="00731FE2" w:rsidRDefault="00171AA8"/>
        </w:tc>
        <w:tc>
          <w:tcPr>
            <w:tcW w:w="5244" w:type="dxa"/>
          </w:tcPr>
          <w:p w14:paraId="7191F2D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№13 «ГБУЗ «КГБ» – МКОУ СОШ №7»</w:t>
            </w:r>
          </w:p>
        </w:tc>
        <w:tc>
          <w:tcPr>
            <w:tcW w:w="1561" w:type="dxa"/>
            <w:vMerge/>
          </w:tcPr>
          <w:p w14:paraId="071E3C16" w14:textId="77777777" w:rsidR="00171AA8" w:rsidRPr="00731FE2" w:rsidRDefault="00171AA8"/>
        </w:tc>
      </w:tr>
      <w:tr w:rsidR="00171AA8" w:rsidRPr="00731FE2" w14:paraId="3B3E73E4" w14:textId="77777777">
        <w:tc>
          <w:tcPr>
            <w:tcW w:w="1701" w:type="dxa"/>
            <w:vMerge/>
          </w:tcPr>
          <w:p w14:paraId="7E63FA28" w14:textId="77777777" w:rsidR="00171AA8" w:rsidRPr="00731FE2" w:rsidRDefault="00171AA8"/>
        </w:tc>
        <w:tc>
          <w:tcPr>
            <w:tcW w:w="850" w:type="dxa"/>
            <w:vMerge/>
          </w:tcPr>
          <w:p w14:paraId="5C80CEC9" w14:textId="77777777" w:rsidR="00171AA8" w:rsidRPr="00731FE2" w:rsidRDefault="00171AA8"/>
        </w:tc>
        <w:tc>
          <w:tcPr>
            <w:tcW w:w="5244" w:type="dxa"/>
          </w:tcPr>
          <w:p w14:paraId="5489D16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№14 «ГБУЗ «КГБ» – ООО «Кисловодский Автовокзал»</w:t>
            </w:r>
          </w:p>
        </w:tc>
        <w:tc>
          <w:tcPr>
            <w:tcW w:w="1561" w:type="dxa"/>
            <w:vMerge/>
          </w:tcPr>
          <w:p w14:paraId="46335B32" w14:textId="77777777" w:rsidR="00171AA8" w:rsidRPr="00731FE2" w:rsidRDefault="00171AA8"/>
        </w:tc>
      </w:tr>
      <w:tr w:rsidR="00171AA8" w:rsidRPr="00731FE2" w14:paraId="722900D6" w14:textId="77777777">
        <w:tc>
          <w:tcPr>
            <w:tcW w:w="1701" w:type="dxa"/>
            <w:vMerge/>
          </w:tcPr>
          <w:p w14:paraId="65F0CCCA" w14:textId="77777777" w:rsidR="00171AA8" w:rsidRPr="00731FE2" w:rsidRDefault="00171AA8"/>
        </w:tc>
        <w:tc>
          <w:tcPr>
            <w:tcW w:w="850" w:type="dxa"/>
            <w:vMerge/>
          </w:tcPr>
          <w:p w14:paraId="61ED4EDA" w14:textId="77777777" w:rsidR="00171AA8" w:rsidRPr="00731FE2" w:rsidRDefault="00171AA8"/>
        </w:tc>
        <w:tc>
          <w:tcPr>
            <w:tcW w:w="5244" w:type="dxa"/>
          </w:tcPr>
          <w:p w14:paraId="67F6E97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№15 «ул. Римгорская – ЗАО «Санаторий Родник»</w:t>
            </w:r>
          </w:p>
        </w:tc>
        <w:tc>
          <w:tcPr>
            <w:tcW w:w="1561" w:type="dxa"/>
            <w:vMerge/>
          </w:tcPr>
          <w:p w14:paraId="066880FC" w14:textId="77777777" w:rsidR="00171AA8" w:rsidRPr="00731FE2" w:rsidRDefault="00171AA8"/>
        </w:tc>
      </w:tr>
      <w:tr w:rsidR="00171AA8" w:rsidRPr="00731FE2" w14:paraId="1E659A82" w14:textId="77777777">
        <w:tc>
          <w:tcPr>
            <w:tcW w:w="1701" w:type="dxa"/>
            <w:vMerge/>
          </w:tcPr>
          <w:p w14:paraId="2A1201E9" w14:textId="77777777" w:rsidR="00171AA8" w:rsidRPr="00731FE2" w:rsidRDefault="00171AA8"/>
        </w:tc>
        <w:tc>
          <w:tcPr>
            <w:tcW w:w="850" w:type="dxa"/>
            <w:vMerge/>
          </w:tcPr>
          <w:p w14:paraId="0FE01E57" w14:textId="77777777" w:rsidR="00171AA8" w:rsidRPr="00731FE2" w:rsidRDefault="00171AA8"/>
        </w:tc>
        <w:tc>
          <w:tcPr>
            <w:tcW w:w="5244" w:type="dxa"/>
          </w:tcPr>
          <w:p w14:paraId="23F8A92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№16 «п. Луначарского – ул. Декабристов»</w:t>
            </w:r>
          </w:p>
        </w:tc>
        <w:tc>
          <w:tcPr>
            <w:tcW w:w="1561" w:type="dxa"/>
            <w:vMerge/>
          </w:tcPr>
          <w:p w14:paraId="157E03D4" w14:textId="77777777" w:rsidR="00171AA8" w:rsidRPr="00731FE2" w:rsidRDefault="00171AA8"/>
        </w:tc>
      </w:tr>
      <w:tr w:rsidR="00171AA8" w:rsidRPr="00731FE2" w14:paraId="2F1EBFE7" w14:textId="77777777">
        <w:tc>
          <w:tcPr>
            <w:tcW w:w="1701" w:type="dxa"/>
            <w:vMerge/>
          </w:tcPr>
          <w:p w14:paraId="3AE5336F" w14:textId="77777777" w:rsidR="00171AA8" w:rsidRPr="00731FE2" w:rsidRDefault="00171AA8"/>
        </w:tc>
        <w:tc>
          <w:tcPr>
            <w:tcW w:w="850" w:type="dxa"/>
            <w:vMerge/>
          </w:tcPr>
          <w:p w14:paraId="05F30ABC" w14:textId="77777777" w:rsidR="00171AA8" w:rsidRPr="00731FE2" w:rsidRDefault="00171AA8"/>
        </w:tc>
        <w:tc>
          <w:tcPr>
            <w:tcW w:w="5244" w:type="dxa"/>
          </w:tcPr>
          <w:p w14:paraId="57EF86D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№17 «Свято-Никольский собор – Крестовоздвиженский храм»</w:t>
            </w:r>
          </w:p>
        </w:tc>
        <w:tc>
          <w:tcPr>
            <w:tcW w:w="1561" w:type="dxa"/>
            <w:vMerge/>
          </w:tcPr>
          <w:p w14:paraId="1B15D1CF" w14:textId="77777777" w:rsidR="00171AA8" w:rsidRPr="00731FE2" w:rsidRDefault="00171AA8"/>
        </w:tc>
      </w:tr>
      <w:tr w:rsidR="00171AA8" w:rsidRPr="00731FE2" w14:paraId="02CBDB6C" w14:textId="77777777">
        <w:tc>
          <w:tcPr>
            <w:tcW w:w="1701" w:type="dxa"/>
            <w:vMerge/>
          </w:tcPr>
          <w:p w14:paraId="49B4C241" w14:textId="77777777" w:rsidR="00171AA8" w:rsidRPr="00731FE2" w:rsidRDefault="00171AA8"/>
        </w:tc>
        <w:tc>
          <w:tcPr>
            <w:tcW w:w="850" w:type="dxa"/>
            <w:vMerge/>
          </w:tcPr>
          <w:p w14:paraId="368D2070" w14:textId="77777777" w:rsidR="00171AA8" w:rsidRPr="00731FE2" w:rsidRDefault="00171AA8"/>
        </w:tc>
        <w:tc>
          <w:tcPr>
            <w:tcW w:w="5244" w:type="dxa"/>
          </w:tcPr>
          <w:p w14:paraId="5F2246F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№18 «ул. Ермолова - ГБУЗ «КГБ»</w:t>
            </w:r>
          </w:p>
        </w:tc>
        <w:tc>
          <w:tcPr>
            <w:tcW w:w="1561" w:type="dxa"/>
            <w:vMerge/>
          </w:tcPr>
          <w:p w14:paraId="41089F16" w14:textId="77777777" w:rsidR="00171AA8" w:rsidRPr="00731FE2" w:rsidRDefault="00171AA8"/>
        </w:tc>
      </w:tr>
      <w:tr w:rsidR="00171AA8" w:rsidRPr="00731FE2" w14:paraId="27D52261" w14:textId="77777777">
        <w:tc>
          <w:tcPr>
            <w:tcW w:w="1701" w:type="dxa"/>
            <w:vMerge/>
          </w:tcPr>
          <w:p w14:paraId="61AD7C33" w14:textId="77777777" w:rsidR="00171AA8" w:rsidRPr="00731FE2" w:rsidRDefault="00171AA8"/>
        </w:tc>
        <w:tc>
          <w:tcPr>
            <w:tcW w:w="850" w:type="dxa"/>
            <w:vMerge/>
          </w:tcPr>
          <w:p w14:paraId="578292AF" w14:textId="77777777" w:rsidR="00171AA8" w:rsidRPr="00731FE2" w:rsidRDefault="00171AA8"/>
        </w:tc>
        <w:tc>
          <w:tcPr>
            <w:tcW w:w="5244" w:type="dxa"/>
          </w:tcPr>
          <w:p w14:paraId="4742327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 xml:space="preserve">№19 «ул. </w:t>
            </w:r>
            <w:proofErr w:type="gramStart"/>
            <w:r w:rsidRPr="00731FE2">
              <w:rPr>
                <w:rFonts w:ascii="Times New Roman" w:eastAsia="Times New Roman" w:hAnsi="Times New Roman" w:cs="Times New Roman"/>
                <w:color w:val="000000"/>
                <w:sz w:val="22"/>
              </w:rPr>
              <w:t>Октябрьская</w:t>
            </w:r>
            <w:proofErr w:type="gramEnd"/>
            <w:r w:rsidRPr="00731FE2">
              <w:rPr>
                <w:rFonts w:ascii="Times New Roman" w:eastAsia="Times New Roman" w:hAnsi="Times New Roman" w:cs="Times New Roman"/>
                <w:color w:val="000000"/>
                <w:sz w:val="22"/>
              </w:rPr>
              <w:t xml:space="preserve"> – ТЦ «Стройсам»</w:t>
            </w:r>
          </w:p>
        </w:tc>
        <w:tc>
          <w:tcPr>
            <w:tcW w:w="1561" w:type="dxa"/>
            <w:vMerge/>
          </w:tcPr>
          <w:p w14:paraId="5196F8D7" w14:textId="77777777" w:rsidR="00171AA8" w:rsidRPr="00731FE2" w:rsidRDefault="00171AA8"/>
        </w:tc>
      </w:tr>
      <w:tr w:rsidR="00171AA8" w:rsidRPr="00731FE2" w14:paraId="2CA7FC5E" w14:textId="77777777">
        <w:tc>
          <w:tcPr>
            <w:tcW w:w="1701" w:type="dxa"/>
            <w:vMerge/>
          </w:tcPr>
          <w:p w14:paraId="3694A7A6" w14:textId="77777777" w:rsidR="00171AA8" w:rsidRPr="00731FE2" w:rsidRDefault="00171AA8"/>
        </w:tc>
        <w:tc>
          <w:tcPr>
            <w:tcW w:w="850" w:type="dxa"/>
            <w:vMerge/>
          </w:tcPr>
          <w:p w14:paraId="7FF05EEC" w14:textId="77777777" w:rsidR="00171AA8" w:rsidRPr="00731FE2" w:rsidRDefault="00171AA8"/>
        </w:tc>
        <w:tc>
          <w:tcPr>
            <w:tcW w:w="5244" w:type="dxa"/>
          </w:tcPr>
          <w:p w14:paraId="437678D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№20 «ул. Калинина – ул. Островского»</w:t>
            </w:r>
          </w:p>
        </w:tc>
        <w:tc>
          <w:tcPr>
            <w:tcW w:w="1561" w:type="dxa"/>
            <w:vMerge/>
          </w:tcPr>
          <w:p w14:paraId="3306F313" w14:textId="77777777" w:rsidR="00171AA8" w:rsidRPr="00731FE2" w:rsidRDefault="00171AA8"/>
        </w:tc>
      </w:tr>
      <w:tr w:rsidR="00171AA8" w:rsidRPr="00731FE2" w14:paraId="7364D7A0" w14:textId="77777777">
        <w:tc>
          <w:tcPr>
            <w:tcW w:w="1701" w:type="dxa"/>
            <w:vMerge/>
          </w:tcPr>
          <w:p w14:paraId="43895B2B" w14:textId="77777777" w:rsidR="00171AA8" w:rsidRPr="00731FE2" w:rsidRDefault="00171AA8"/>
        </w:tc>
        <w:tc>
          <w:tcPr>
            <w:tcW w:w="850" w:type="dxa"/>
            <w:vMerge/>
          </w:tcPr>
          <w:p w14:paraId="077B633B" w14:textId="77777777" w:rsidR="00171AA8" w:rsidRPr="00731FE2" w:rsidRDefault="00171AA8"/>
        </w:tc>
        <w:tc>
          <w:tcPr>
            <w:tcW w:w="5244" w:type="dxa"/>
          </w:tcPr>
          <w:p w14:paraId="239A836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№22 «Кисловодский «Автовокзал» – МБОУ ЦО г. Кисловодска»</w:t>
            </w:r>
          </w:p>
        </w:tc>
        <w:tc>
          <w:tcPr>
            <w:tcW w:w="1561" w:type="dxa"/>
            <w:vMerge/>
          </w:tcPr>
          <w:p w14:paraId="79B016BA" w14:textId="77777777" w:rsidR="00171AA8" w:rsidRPr="00731FE2" w:rsidRDefault="00171AA8"/>
        </w:tc>
      </w:tr>
      <w:tr w:rsidR="00171AA8" w:rsidRPr="00731FE2" w14:paraId="0EA0D072" w14:textId="77777777">
        <w:tc>
          <w:tcPr>
            <w:tcW w:w="1701" w:type="dxa"/>
            <w:vMerge/>
          </w:tcPr>
          <w:p w14:paraId="7EB11147" w14:textId="77777777" w:rsidR="00171AA8" w:rsidRPr="00731FE2" w:rsidRDefault="00171AA8"/>
        </w:tc>
        <w:tc>
          <w:tcPr>
            <w:tcW w:w="850" w:type="dxa"/>
            <w:vMerge/>
          </w:tcPr>
          <w:p w14:paraId="69F0D03E" w14:textId="77777777" w:rsidR="00171AA8" w:rsidRPr="00731FE2" w:rsidRDefault="00171AA8"/>
        </w:tc>
        <w:tc>
          <w:tcPr>
            <w:tcW w:w="5244" w:type="dxa"/>
          </w:tcPr>
          <w:p w14:paraId="5671D9A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№23 «МБОУ СОШ №</w:t>
            </w:r>
            <w:r w:rsidR="002455DE" w:rsidRPr="00731FE2">
              <w:rPr>
                <w:rFonts w:ascii="Times New Roman" w:eastAsia="Times New Roman" w:hAnsi="Times New Roman" w:cs="Times New Roman"/>
                <w:color w:val="000000"/>
                <w:sz w:val="22"/>
              </w:rPr>
              <w:t>22 -</w:t>
            </w:r>
            <w:r w:rsidRPr="00731FE2">
              <w:rPr>
                <w:rFonts w:ascii="Times New Roman" w:eastAsia="Times New Roman" w:hAnsi="Times New Roman" w:cs="Times New Roman"/>
                <w:color w:val="000000"/>
                <w:sz w:val="22"/>
              </w:rPr>
              <w:t xml:space="preserve"> п. Белореченский»</w:t>
            </w:r>
          </w:p>
        </w:tc>
        <w:tc>
          <w:tcPr>
            <w:tcW w:w="1561" w:type="dxa"/>
            <w:vMerge/>
          </w:tcPr>
          <w:p w14:paraId="68B8A50D" w14:textId="77777777" w:rsidR="00171AA8" w:rsidRPr="00731FE2" w:rsidRDefault="00171AA8"/>
        </w:tc>
      </w:tr>
      <w:tr w:rsidR="00171AA8" w:rsidRPr="00731FE2" w14:paraId="1FEB0FD1" w14:textId="77777777">
        <w:tc>
          <w:tcPr>
            <w:tcW w:w="1701" w:type="dxa"/>
            <w:vMerge/>
          </w:tcPr>
          <w:p w14:paraId="4A696E65" w14:textId="77777777" w:rsidR="00171AA8" w:rsidRPr="00731FE2" w:rsidRDefault="00171AA8"/>
        </w:tc>
        <w:tc>
          <w:tcPr>
            <w:tcW w:w="850" w:type="dxa"/>
            <w:vMerge/>
          </w:tcPr>
          <w:p w14:paraId="49BCEF62" w14:textId="77777777" w:rsidR="00171AA8" w:rsidRPr="00731FE2" w:rsidRDefault="00171AA8"/>
        </w:tc>
        <w:tc>
          <w:tcPr>
            <w:tcW w:w="5244" w:type="dxa"/>
          </w:tcPr>
          <w:p w14:paraId="7038628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№25 «п. Белореченский - ул. Римгорская»</w:t>
            </w:r>
          </w:p>
        </w:tc>
        <w:tc>
          <w:tcPr>
            <w:tcW w:w="1561" w:type="dxa"/>
            <w:vMerge/>
          </w:tcPr>
          <w:p w14:paraId="3E28023F" w14:textId="77777777" w:rsidR="00171AA8" w:rsidRPr="00731FE2" w:rsidRDefault="00171AA8"/>
        </w:tc>
      </w:tr>
      <w:tr w:rsidR="00171AA8" w:rsidRPr="00731FE2" w14:paraId="4CF29B5A" w14:textId="77777777">
        <w:tc>
          <w:tcPr>
            <w:tcW w:w="1701" w:type="dxa"/>
            <w:vMerge/>
          </w:tcPr>
          <w:p w14:paraId="17CA921B" w14:textId="77777777" w:rsidR="00171AA8" w:rsidRPr="00731FE2" w:rsidRDefault="00171AA8"/>
        </w:tc>
        <w:tc>
          <w:tcPr>
            <w:tcW w:w="850" w:type="dxa"/>
            <w:vMerge/>
          </w:tcPr>
          <w:p w14:paraId="5153CCBB" w14:textId="77777777" w:rsidR="00171AA8" w:rsidRPr="00731FE2" w:rsidRDefault="00171AA8"/>
        </w:tc>
        <w:tc>
          <w:tcPr>
            <w:tcW w:w="5244" w:type="dxa"/>
          </w:tcPr>
          <w:p w14:paraId="16E2013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№26 «ГБУЗ «КГБ» – ООО «Монолит»</w:t>
            </w:r>
          </w:p>
        </w:tc>
        <w:tc>
          <w:tcPr>
            <w:tcW w:w="1561" w:type="dxa"/>
            <w:vMerge/>
          </w:tcPr>
          <w:p w14:paraId="77568328" w14:textId="77777777" w:rsidR="00171AA8" w:rsidRPr="00731FE2" w:rsidRDefault="00171AA8"/>
        </w:tc>
      </w:tr>
      <w:tr w:rsidR="00171AA8" w:rsidRPr="00731FE2" w14:paraId="04E5ECC7" w14:textId="77777777">
        <w:tc>
          <w:tcPr>
            <w:tcW w:w="1701" w:type="dxa"/>
            <w:vMerge/>
          </w:tcPr>
          <w:p w14:paraId="123EB56C" w14:textId="77777777" w:rsidR="00171AA8" w:rsidRPr="00731FE2" w:rsidRDefault="00171AA8"/>
        </w:tc>
        <w:tc>
          <w:tcPr>
            <w:tcW w:w="850" w:type="dxa"/>
            <w:vMerge/>
          </w:tcPr>
          <w:p w14:paraId="0AC2AF07" w14:textId="77777777" w:rsidR="00171AA8" w:rsidRPr="00731FE2" w:rsidRDefault="00171AA8"/>
        </w:tc>
        <w:tc>
          <w:tcPr>
            <w:tcW w:w="5244" w:type="dxa"/>
          </w:tcPr>
          <w:p w14:paraId="69C15B4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 xml:space="preserve">№27 «ул. Чайковского – ГБУЗ «КГБ» - ул. </w:t>
            </w:r>
            <w:proofErr w:type="gramStart"/>
            <w:r w:rsidRPr="00731FE2">
              <w:rPr>
                <w:rFonts w:ascii="Times New Roman" w:eastAsia="Times New Roman" w:hAnsi="Times New Roman" w:cs="Times New Roman"/>
                <w:color w:val="000000"/>
                <w:sz w:val="22"/>
              </w:rPr>
              <w:t>Санаторная</w:t>
            </w:r>
            <w:proofErr w:type="gramEnd"/>
            <w:r w:rsidRPr="00731FE2">
              <w:rPr>
                <w:rFonts w:ascii="Times New Roman" w:eastAsia="Times New Roman" w:hAnsi="Times New Roman" w:cs="Times New Roman"/>
                <w:color w:val="000000"/>
                <w:sz w:val="22"/>
              </w:rPr>
              <w:t>»</w:t>
            </w:r>
          </w:p>
        </w:tc>
        <w:tc>
          <w:tcPr>
            <w:tcW w:w="1561" w:type="dxa"/>
            <w:vMerge/>
          </w:tcPr>
          <w:p w14:paraId="39D6EA43" w14:textId="77777777" w:rsidR="00171AA8" w:rsidRPr="00731FE2" w:rsidRDefault="00171AA8"/>
        </w:tc>
      </w:tr>
      <w:tr w:rsidR="00171AA8" w:rsidRPr="00731FE2" w14:paraId="3FA6D55C" w14:textId="77777777">
        <w:tc>
          <w:tcPr>
            <w:tcW w:w="1701" w:type="dxa"/>
            <w:vMerge/>
          </w:tcPr>
          <w:p w14:paraId="03B93902" w14:textId="77777777" w:rsidR="00171AA8" w:rsidRPr="00731FE2" w:rsidRDefault="00171AA8"/>
        </w:tc>
        <w:tc>
          <w:tcPr>
            <w:tcW w:w="850" w:type="dxa"/>
            <w:vMerge/>
          </w:tcPr>
          <w:p w14:paraId="73CCA35E" w14:textId="77777777" w:rsidR="00171AA8" w:rsidRPr="00731FE2" w:rsidRDefault="00171AA8"/>
        </w:tc>
        <w:tc>
          <w:tcPr>
            <w:tcW w:w="5244" w:type="dxa"/>
          </w:tcPr>
          <w:p w14:paraId="0CA43C5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№28 «ГБУЗ «КЦГБ» – ул. Фоменко – садовые участки»</w:t>
            </w:r>
          </w:p>
        </w:tc>
        <w:tc>
          <w:tcPr>
            <w:tcW w:w="1561" w:type="dxa"/>
            <w:vMerge/>
          </w:tcPr>
          <w:p w14:paraId="13ABC4BA" w14:textId="77777777" w:rsidR="00171AA8" w:rsidRPr="00731FE2" w:rsidRDefault="00171AA8"/>
        </w:tc>
      </w:tr>
      <w:tr w:rsidR="00171AA8" w:rsidRPr="00731FE2" w14:paraId="1F65D631" w14:textId="77777777">
        <w:tc>
          <w:tcPr>
            <w:tcW w:w="1701" w:type="dxa"/>
            <w:vMerge/>
          </w:tcPr>
          <w:p w14:paraId="7E53F054" w14:textId="77777777" w:rsidR="00171AA8" w:rsidRPr="00731FE2" w:rsidRDefault="00171AA8"/>
        </w:tc>
        <w:tc>
          <w:tcPr>
            <w:tcW w:w="850" w:type="dxa"/>
            <w:vMerge/>
          </w:tcPr>
          <w:p w14:paraId="7537B269" w14:textId="77777777" w:rsidR="00171AA8" w:rsidRPr="00731FE2" w:rsidRDefault="00171AA8"/>
        </w:tc>
        <w:tc>
          <w:tcPr>
            <w:tcW w:w="5244" w:type="dxa"/>
          </w:tcPr>
          <w:p w14:paraId="74C4558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№29 «п. Правоберезовский – ГБУЗ «КГБ»</w:t>
            </w:r>
          </w:p>
        </w:tc>
        <w:tc>
          <w:tcPr>
            <w:tcW w:w="1561" w:type="dxa"/>
            <w:vMerge/>
          </w:tcPr>
          <w:p w14:paraId="2B13530D" w14:textId="77777777" w:rsidR="00171AA8" w:rsidRPr="00731FE2" w:rsidRDefault="00171AA8"/>
        </w:tc>
      </w:tr>
      <w:tr w:rsidR="00171AA8" w:rsidRPr="00731FE2" w14:paraId="0CE5BDFF" w14:textId="77777777">
        <w:tc>
          <w:tcPr>
            <w:tcW w:w="1701" w:type="dxa"/>
            <w:vMerge w:val="restart"/>
            <w:vAlign w:val="center"/>
          </w:tcPr>
          <w:p w14:paraId="20D6DFAF" w14:textId="77777777" w:rsidR="00171AA8" w:rsidRPr="00731FE2" w:rsidRDefault="007935AB">
            <w:pPr>
              <w:pBdr>
                <w:top w:val="none" w:sz="4" w:space="0" w:color="000000"/>
                <w:left w:val="none" w:sz="4" w:space="0" w:color="000000"/>
                <w:bottom w:val="none" w:sz="4" w:space="0" w:color="000000"/>
                <w:right w:val="none" w:sz="4" w:space="0" w:color="000000"/>
              </w:pBdr>
              <w:ind w:firstLine="0"/>
            </w:pPr>
            <w:r w:rsidRPr="00731FE2">
              <w:rPr>
                <w:rFonts w:ascii="Times New Roman" w:eastAsia="Times New Roman" w:hAnsi="Times New Roman" w:cs="Times New Roman"/>
                <w:color w:val="000000"/>
                <w:sz w:val="22"/>
              </w:rPr>
              <w:t>Межмуниципальные и межрегиональные маршруты</w:t>
            </w:r>
          </w:p>
        </w:tc>
        <w:tc>
          <w:tcPr>
            <w:tcW w:w="850" w:type="dxa"/>
            <w:vMerge w:val="restart"/>
            <w:vAlign w:val="center"/>
          </w:tcPr>
          <w:p w14:paraId="6E4FF3CB" w14:textId="77777777" w:rsidR="00171AA8" w:rsidRPr="00731FE2" w:rsidRDefault="007935AB">
            <w:pPr>
              <w:ind w:firstLine="0"/>
              <w:jc w:val="center"/>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27</w:t>
            </w:r>
          </w:p>
        </w:tc>
        <w:tc>
          <w:tcPr>
            <w:tcW w:w="5244" w:type="dxa"/>
          </w:tcPr>
          <w:p w14:paraId="0C48ADE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Кисловодск – Анапа</w:t>
            </w:r>
          </w:p>
        </w:tc>
        <w:tc>
          <w:tcPr>
            <w:tcW w:w="1561" w:type="dxa"/>
            <w:vMerge w:val="restart"/>
            <w:vAlign w:val="center"/>
          </w:tcPr>
          <w:p w14:paraId="5B454E9D" w14:textId="77777777" w:rsidR="00171AA8" w:rsidRPr="00731FE2" w:rsidRDefault="007935AB">
            <w:pPr>
              <w:ind w:firstLine="0"/>
              <w:jc w:val="center"/>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65</w:t>
            </w:r>
          </w:p>
        </w:tc>
      </w:tr>
      <w:tr w:rsidR="00171AA8" w:rsidRPr="00731FE2" w14:paraId="0A85967F" w14:textId="77777777">
        <w:tc>
          <w:tcPr>
            <w:tcW w:w="1701" w:type="dxa"/>
            <w:vMerge/>
          </w:tcPr>
          <w:p w14:paraId="64B694C2" w14:textId="77777777" w:rsidR="00171AA8" w:rsidRPr="00731FE2" w:rsidRDefault="00171AA8"/>
        </w:tc>
        <w:tc>
          <w:tcPr>
            <w:tcW w:w="850" w:type="dxa"/>
            <w:vMerge/>
          </w:tcPr>
          <w:p w14:paraId="4B75CE5D" w14:textId="77777777" w:rsidR="00171AA8" w:rsidRPr="00731FE2" w:rsidRDefault="00171AA8"/>
        </w:tc>
        <w:tc>
          <w:tcPr>
            <w:tcW w:w="5244" w:type="dxa"/>
          </w:tcPr>
          <w:p w14:paraId="017A913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Кисловодск – Архыз</w:t>
            </w:r>
          </w:p>
        </w:tc>
        <w:tc>
          <w:tcPr>
            <w:tcW w:w="1561" w:type="dxa"/>
            <w:vMerge/>
          </w:tcPr>
          <w:p w14:paraId="5622A7A0" w14:textId="77777777" w:rsidR="00171AA8" w:rsidRPr="00731FE2" w:rsidRDefault="00171AA8"/>
        </w:tc>
      </w:tr>
      <w:tr w:rsidR="00171AA8" w:rsidRPr="00731FE2" w14:paraId="6AA38B9F" w14:textId="77777777">
        <w:tc>
          <w:tcPr>
            <w:tcW w:w="1701" w:type="dxa"/>
            <w:vMerge/>
          </w:tcPr>
          <w:p w14:paraId="41EB3E42" w14:textId="77777777" w:rsidR="00171AA8" w:rsidRPr="00731FE2" w:rsidRDefault="00171AA8"/>
        </w:tc>
        <w:tc>
          <w:tcPr>
            <w:tcW w:w="850" w:type="dxa"/>
            <w:vMerge/>
          </w:tcPr>
          <w:p w14:paraId="78C045B0" w14:textId="77777777" w:rsidR="00171AA8" w:rsidRPr="00731FE2" w:rsidRDefault="00171AA8"/>
        </w:tc>
        <w:tc>
          <w:tcPr>
            <w:tcW w:w="5244" w:type="dxa"/>
          </w:tcPr>
          <w:p w14:paraId="033E575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Кисловодск – Астрахань</w:t>
            </w:r>
          </w:p>
        </w:tc>
        <w:tc>
          <w:tcPr>
            <w:tcW w:w="1561" w:type="dxa"/>
            <w:vMerge/>
          </w:tcPr>
          <w:p w14:paraId="09AA7051" w14:textId="77777777" w:rsidR="00171AA8" w:rsidRPr="00731FE2" w:rsidRDefault="00171AA8"/>
        </w:tc>
      </w:tr>
      <w:tr w:rsidR="00171AA8" w:rsidRPr="00731FE2" w14:paraId="77CF813F" w14:textId="77777777">
        <w:tc>
          <w:tcPr>
            <w:tcW w:w="1701" w:type="dxa"/>
            <w:vMerge/>
          </w:tcPr>
          <w:p w14:paraId="1F304C70" w14:textId="77777777" w:rsidR="00171AA8" w:rsidRPr="00731FE2" w:rsidRDefault="00171AA8"/>
        </w:tc>
        <w:tc>
          <w:tcPr>
            <w:tcW w:w="850" w:type="dxa"/>
            <w:vMerge/>
          </w:tcPr>
          <w:p w14:paraId="1AF12EA5" w14:textId="77777777" w:rsidR="00171AA8" w:rsidRPr="00731FE2" w:rsidRDefault="00171AA8"/>
        </w:tc>
        <w:tc>
          <w:tcPr>
            <w:tcW w:w="5244" w:type="dxa"/>
          </w:tcPr>
          <w:p w14:paraId="31972E2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Кисловодск – Благодарный</w:t>
            </w:r>
          </w:p>
        </w:tc>
        <w:tc>
          <w:tcPr>
            <w:tcW w:w="1561" w:type="dxa"/>
            <w:vMerge/>
          </w:tcPr>
          <w:p w14:paraId="0FD19F0D" w14:textId="77777777" w:rsidR="00171AA8" w:rsidRPr="00731FE2" w:rsidRDefault="00171AA8"/>
        </w:tc>
      </w:tr>
      <w:tr w:rsidR="00171AA8" w:rsidRPr="00731FE2" w14:paraId="47186C6E" w14:textId="77777777">
        <w:tc>
          <w:tcPr>
            <w:tcW w:w="1701" w:type="dxa"/>
            <w:vMerge/>
          </w:tcPr>
          <w:p w14:paraId="6E9E51AF" w14:textId="77777777" w:rsidR="00171AA8" w:rsidRPr="00731FE2" w:rsidRDefault="00171AA8"/>
        </w:tc>
        <w:tc>
          <w:tcPr>
            <w:tcW w:w="850" w:type="dxa"/>
            <w:vMerge/>
          </w:tcPr>
          <w:p w14:paraId="4AB093E5" w14:textId="77777777" w:rsidR="00171AA8" w:rsidRPr="00731FE2" w:rsidRDefault="00171AA8"/>
        </w:tc>
        <w:tc>
          <w:tcPr>
            <w:tcW w:w="5244" w:type="dxa"/>
          </w:tcPr>
          <w:p w14:paraId="732692A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Кисловодск – Будённовск</w:t>
            </w:r>
          </w:p>
        </w:tc>
        <w:tc>
          <w:tcPr>
            <w:tcW w:w="1561" w:type="dxa"/>
            <w:vMerge/>
          </w:tcPr>
          <w:p w14:paraId="29D40D8C" w14:textId="77777777" w:rsidR="00171AA8" w:rsidRPr="00731FE2" w:rsidRDefault="00171AA8"/>
        </w:tc>
      </w:tr>
      <w:tr w:rsidR="00171AA8" w:rsidRPr="00731FE2" w14:paraId="68748D42" w14:textId="77777777">
        <w:tc>
          <w:tcPr>
            <w:tcW w:w="1701" w:type="dxa"/>
            <w:vMerge/>
          </w:tcPr>
          <w:p w14:paraId="0F049720" w14:textId="77777777" w:rsidR="00171AA8" w:rsidRPr="00731FE2" w:rsidRDefault="00171AA8"/>
        </w:tc>
        <w:tc>
          <w:tcPr>
            <w:tcW w:w="850" w:type="dxa"/>
            <w:vMerge/>
          </w:tcPr>
          <w:p w14:paraId="3E264DF6" w14:textId="77777777" w:rsidR="00171AA8" w:rsidRPr="00731FE2" w:rsidRDefault="00171AA8"/>
        </w:tc>
        <w:tc>
          <w:tcPr>
            <w:tcW w:w="5244" w:type="dxa"/>
          </w:tcPr>
          <w:p w14:paraId="5E89BE1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Кисловодск – Владикавказ</w:t>
            </w:r>
          </w:p>
        </w:tc>
        <w:tc>
          <w:tcPr>
            <w:tcW w:w="1561" w:type="dxa"/>
            <w:vMerge/>
          </w:tcPr>
          <w:p w14:paraId="654D7B00" w14:textId="77777777" w:rsidR="00171AA8" w:rsidRPr="00731FE2" w:rsidRDefault="00171AA8"/>
        </w:tc>
      </w:tr>
      <w:tr w:rsidR="00171AA8" w:rsidRPr="00731FE2" w14:paraId="6E6FF386" w14:textId="77777777">
        <w:tc>
          <w:tcPr>
            <w:tcW w:w="1701" w:type="dxa"/>
            <w:vMerge/>
          </w:tcPr>
          <w:p w14:paraId="5A5C0A25" w14:textId="77777777" w:rsidR="00171AA8" w:rsidRPr="00731FE2" w:rsidRDefault="00171AA8"/>
        </w:tc>
        <w:tc>
          <w:tcPr>
            <w:tcW w:w="850" w:type="dxa"/>
            <w:vMerge/>
          </w:tcPr>
          <w:p w14:paraId="17FE203C" w14:textId="77777777" w:rsidR="00171AA8" w:rsidRPr="00731FE2" w:rsidRDefault="00171AA8"/>
        </w:tc>
        <w:tc>
          <w:tcPr>
            <w:tcW w:w="5244" w:type="dxa"/>
          </w:tcPr>
          <w:p w14:paraId="0B275BC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Кисловодск – Волгоград</w:t>
            </w:r>
          </w:p>
        </w:tc>
        <w:tc>
          <w:tcPr>
            <w:tcW w:w="1561" w:type="dxa"/>
            <w:vMerge/>
          </w:tcPr>
          <w:p w14:paraId="7FF829FE" w14:textId="77777777" w:rsidR="00171AA8" w:rsidRPr="00731FE2" w:rsidRDefault="00171AA8"/>
        </w:tc>
      </w:tr>
      <w:tr w:rsidR="00171AA8" w:rsidRPr="00731FE2" w14:paraId="55BE2AF4" w14:textId="77777777">
        <w:tc>
          <w:tcPr>
            <w:tcW w:w="1701" w:type="dxa"/>
            <w:vMerge/>
          </w:tcPr>
          <w:p w14:paraId="57DE5E6E" w14:textId="77777777" w:rsidR="00171AA8" w:rsidRPr="00731FE2" w:rsidRDefault="00171AA8"/>
        </w:tc>
        <w:tc>
          <w:tcPr>
            <w:tcW w:w="850" w:type="dxa"/>
            <w:vMerge/>
          </w:tcPr>
          <w:p w14:paraId="08D97A74" w14:textId="77777777" w:rsidR="00171AA8" w:rsidRPr="00731FE2" w:rsidRDefault="00171AA8"/>
        </w:tc>
        <w:tc>
          <w:tcPr>
            <w:tcW w:w="5244" w:type="dxa"/>
          </w:tcPr>
          <w:p w14:paraId="1A3B7B7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Кисловодск – Геленджик</w:t>
            </w:r>
          </w:p>
        </w:tc>
        <w:tc>
          <w:tcPr>
            <w:tcW w:w="1561" w:type="dxa"/>
            <w:vMerge/>
          </w:tcPr>
          <w:p w14:paraId="76FCA7CC" w14:textId="77777777" w:rsidR="00171AA8" w:rsidRPr="00731FE2" w:rsidRDefault="00171AA8"/>
        </w:tc>
      </w:tr>
      <w:tr w:rsidR="00171AA8" w:rsidRPr="00731FE2" w14:paraId="0FD1F283" w14:textId="77777777">
        <w:tc>
          <w:tcPr>
            <w:tcW w:w="1701" w:type="dxa"/>
            <w:vMerge/>
          </w:tcPr>
          <w:p w14:paraId="7B82B791" w14:textId="77777777" w:rsidR="00171AA8" w:rsidRPr="00731FE2" w:rsidRDefault="00171AA8"/>
        </w:tc>
        <w:tc>
          <w:tcPr>
            <w:tcW w:w="850" w:type="dxa"/>
            <w:vMerge/>
          </w:tcPr>
          <w:p w14:paraId="60C92937" w14:textId="77777777" w:rsidR="00171AA8" w:rsidRPr="00731FE2" w:rsidRDefault="00171AA8"/>
        </w:tc>
        <w:tc>
          <w:tcPr>
            <w:tcW w:w="5244" w:type="dxa"/>
          </w:tcPr>
          <w:p w14:paraId="203F006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Кисловодск – Георгиевск</w:t>
            </w:r>
          </w:p>
        </w:tc>
        <w:tc>
          <w:tcPr>
            <w:tcW w:w="1561" w:type="dxa"/>
            <w:vMerge/>
          </w:tcPr>
          <w:p w14:paraId="2BFFCFC1" w14:textId="77777777" w:rsidR="00171AA8" w:rsidRPr="00731FE2" w:rsidRDefault="00171AA8"/>
        </w:tc>
      </w:tr>
      <w:tr w:rsidR="00171AA8" w:rsidRPr="00731FE2" w14:paraId="0D1024F2" w14:textId="77777777">
        <w:tc>
          <w:tcPr>
            <w:tcW w:w="1701" w:type="dxa"/>
            <w:vMerge/>
          </w:tcPr>
          <w:p w14:paraId="04514570" w14:textId="77777777" w:rsidR="00171AA8" w:rsidRPr="00731FE2" w:rsidRDefault="00171AA8"/>
        </w:tc>
        <w:tc>
          <w:tcPr>
            <w:tcW w:w="850" w:type="dxa"/>
            <w:vMerge/>
          </w:tcPr>
          <w:p w14:paraId="3CE195DB" w14:textId="77777777" w:rsidR="00171AA8" w:rsidRPr="00731FE2" w:rsidRDefault="00171AA8"/>
        </w:tc>
        <w:tc>
          <w:tcPr>
            <w:tcW w:w="5244" w:type="dxa"/>
          </w:tcPr>
          <w:p w14:paraId="353EC6E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Кисловодск – Грозный</w:t>
            </w:r>
          </w:p>
        </w:tc>
        <w:tc>
          <w:tcPr>
            <w:tcW w:w="1561" w:type="dxa"/>
            <w:vMerge/>
          </w:tcPr>
          <w:p w14:paraId="4462602B" w14:textId="77777777" w:rsidR="00171AA8" w:rsidRPr="00731FE2" w:rsidRDefault="00171AA8"/>
        </w:tc>
      </w:tr>
      <w:tr w:rsidR="00171AA8" w:rsidRPr="00731FE2" w14:paraId="3AB21C63" w14:textId="77777777">
        <w:tc>
          <w:tcPr>
            <w:tcW w:w="1701" w:type="dxa"/>
            <w:vMerge/>
          </w:tcPr>
          <w:p w14:paraId="3F660ACA" w14:textId="77777777" w:rsidR="00171AA8" w:rsidRPr="00731FE2" w:rsidRDefault="00171AA8"/>
        </w:tc>
        <w:tc>
          <w:tcPr>
            <w:tcW w:w="850" w:type="dxa"/>
            <w:vMerge/>
          </w:tcPr>
          <w:p w14:paraId="48B8CE09" w14:textId="77777777" w:rsidR="00171AA8" w:rsidRPr="00731FE2" w:rsidRDefault="00171AA8"/>
        </w:tc>
        <w:tc>
          <w:tcPr>
            <w:tcW w:w="5244" w:type="dxa"/>
          </w:tcPr>
          <w:p w14:paraId="74C5034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Кисловодск – Дербент</w:t>
            </w:r>
          </w:p>
        </w:tc>
        <w:tc>
          <w:tcPr>
            <w:tcW w:w="1561" w:type="dxa"/>
            <w:vMerge/>
          </w:tcPr>
          <w:p w14:paraId="451B12EE" w14:textId="77777777" w:rsidR="00171AA8" w:rsidRPr="00731FE2" w:rsidRDefault="00171AA8"/>
        </w:tc>
      </w:tr>
      <w:tr w:rsidR="00171AA8" w:rsidRPr="00731FE2" w14:paraId="6722E0B3" w14:textId="77777777">
        <w:tc>
          <w:tcPr>
            <w:tcW w:w="1701" w:type="dxa"/>
            <w:vMerge/>
          </w:tcPr>
          <w:p w14:paraId="5DF7D954" w14:textId="77777777" w:rsidR="00171AA8" w:rsidRPr="00731FE2" w:rsidRDefault="00171AA8"/>
        </w:tc>
        <w:tc>
          <w:tcPr>
            <w:tcW w:w="850" w:type="dxa"/>
            <w:vMerge/>
          </w:tcPr>
          <w:p w14:paraId="085963C7" w14:textId="77777777" w:rsidR="00171AA8" w:rsidRPr="00731FE2" w:rsidRDefault="00171AA8"/>
        </w:tc>
        <w:tc>
          <w:tcPr>
            <w:tcW w:w="5244" w:type="dxa"/>
          </w:tcPr>
          <w:p w14:paraId="6855913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Кисловодск – Краснодар</w:t>
            </w:r>
          </w:p>
        </w:tc>
        <w:tc>
          <w:tcPr>
            <w:tcW w:w="1561" w:type="dxa"/>
            <w:vMerge/>
          </w:tcPr>
          <w:p w14:paraId="35B11FEF" w14:textId="77777777" w:rsidR="00171AA8" w:rsidRPr="00731FE2" w:rsidRDefault="00171AA8"/>
        </w:tc>
      </w:tr>
      <w:tr w:rsidR="00171AA8" w:rsidRPr="00731FE2" w14:paraId="45AB9C93" w14:textId="77777777">
        <w:tc>
          <w:tcPr>
            <w:tcW w:w="1701" w:type="dxa"/>
            <w:vMerge/>
          </w:tcPr>
          <w:p w14:paraId="40131ACE" w14:textId="77777777" w:rsidR="00171AA8" w:rsidRPr="00731FE2" w:rsidRDefault="00171AA8"/>
        </w:tc>
        <w:tc>
          <w:tcPr>
            <w:tcW w:w="850" w:type="dxa"/>
            <w:vMerge/>
          </w:tcPr>
          <w:p w14:paraId="37F81A44" w14:textId="77777777" w:rsidR="00171AA8" w:rsidRPr="00731FE2" w:rsidRDefault="00171AA8"/>
        </w:tc>
        <w:tc>
          <w:tcPr>
            <w:tcW w:w="5244" w:type="dxa"/>
          </w:tcPr>
          <w:p w14:paraId="44147CD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Кисловодск – Лабинск</w:t>
            </w:r>
          </w:p>
        </w:tc>
        <w:tc>
          <w:tcPr>
            <w:tcW w:w="1561" w:type="dxa"/>
            <w:vMerge/>
          </w:tcPr>
          <w:p w14:paraId="610631A6" w14:textId="77777777" w:rsidR="00171AA8" w:rsidRPr="00731FE2" w:rsidRDefault="00171AA8"/>
        </w:tc>
      </w:tr>
      <w:tr w:rsidR="00171AA8" w:rsidRPr="00731FE2" w14:paraId="76D1BD3E" w14:textId="77777777">
        <w:tc>
          <w:tcPr>
            <w:tcW w:w="1701" w:type="dxa"/>
            <w:vMerge/>
          </w:tcPr>
          <w:p w14:paraId="63A28320" w14:textId="77777777" w:rsidR="00171AA8" w:rsidRPr="00731FE2" w:rsidRDefault="00171AA8"/>
        </w:tc>
        <w:tc>
          <w:tcPr>
            <w:tcW w:w="850" w:type="dxa"/>
            <w:vMerge/>
          </w:tcPr>
          <w:p w14:paraId="6C8D46A7" w14:textId="77777777" w:rsidR="00171AA8" w:rsidRPr="00731FE2" w:rsidRDefault="00171AA8"/>
        </w:tc>
        <w:tc>
          <w:tcPr>
            <w:tcW w:w="5244" w:type="dxa"/>
          </w:tcPr>
          <w:p w14:paraId="02DC615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Кисловодск – Махачкала</w:t>
            </w:r>
          </w:p>
        </w:tc>
        <w:tc>
          <w:tcPr>
            <w:tcW w:w="1561" w:type="dxa"/>
            <w:vMerge/>
          </w:tcPr>
          <w:p w14:paraId="5B8E2296" w14:textId="77777777" w:rsidR="00171AA8" w:rsidRPr="00731FE2" w:rsidRDefault="00171AA8"/>
        </w:tc>
      </w:tr>
      <w:tr w:rsidR="00171AA8" w:rsidRPr="00731FE2" w14:paraId="26A70E70" w14:textId="77777777">
        <w:tc>
          <w:tcPr>
            <w:tcW w:w="1701" w:type="dxa"/>
            <w:vMerge/>
          </w:tcPr>
          <w:p w14:paraId="6755E1D1" w14:textId="77777777" w:rsidR="00171AA8" w:rsidRPr="00731FE2" w:rsidRDefault="00171AA8"/>
        </w:tc>
        <w:tc>
          <w:tcPr>
            <w:tcW w:w="850" w:type="dxa"/>
            <w:vMerge/>
          </w:tcPr>
          <w:p w14:paraId="64C4F726" w14:textId="77777777" w:rsidR="00171AA8" w:rsidRPr="00731FE2" w:rsidRDefault="00171AA8"/>
        </w:tc>
        <w:tc>
          <w:tcPr>
            <w:tcW w:w="5244" w:type="dxa"/>
          </w:tcPr>
          <w:p w14:paraId="734A600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Кисловодск – Моздок</w:t>
            </w:r>
          </w:p>
        </w:tc>
        <w:tc>
          <w:tcPr>
            <w:tcW w:w="1561" w:type="dxa"/>
            <w:vMerge/>
          </w:tcPr>
          <w:p w14:paraId="07536DC7" w14:textId="77777777" w:rsidR="00171AA8" w:rsidRPr="00731FE2" w:rsidRDefault="00171AA8"/>
        </w:tc>
      </w:tr>
      <w:tr w:rsidR="00171AA8" w:rsidRPr="00731FE2" w14:paraId="16C66D9E" w14:textId="77777777">
        <w:tc>
          <w:tcPr>
            <w:tcW w:w="1701" w:type="dxa"/>
            <w:vMerge/>
          </w:tcPr>
          <w:p w14:paraId="71E1996E" w14:textId="77777777" w:rsidR="00171AA8" w:rsidRPr="00731FE2" w:rsidRDefault="00171AA8"/>
        </w:tc>
        <w:tc>
          <w:tcPr>
            <w:tcW w:w="850" w:type="dxa"/>
            <w:vMerge/>
          </w:tcPr>
          <w:p w14:paraId="76C7FA62" w14:textId="77777777" w:rsidR="00171AA8" w:rsidRPr="00731FE2" w:rsidRDefault="00171AA8"/>
        </w:tc>
        <w:tc>
          <w:tcPr>
            <w:tcW w:w="5244" w:type="dxa"/>
          </w:tcPr>
          <w:p w14:paraId="70DD715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Кисловодск – Москва</w:t>
            </w:r>
          </w:p>
        </w:tc>
        <w:tc>
          <w:tcPr>
            <w:tcW w:w="1561" w:type="dxa"/>
            <w:vMerge/>
          </w:tcPr>
          <w:p w14:paraId="7A512A08" w14:textId="77777777" w:rsidR="00171AA8" w:rsidRPr="00731FE2" w:rsidRDefault="00171AA8"/>
        </w:tc>
      </w:tr>
      <w:tr w:rsidR="00171AA8" w:rsidRPr="00731FE2" w14:paraId="24CDA4A7" w14:textId="77777777">
        <w:tc>
          <w:tcPr>
            <w:tcW w:w="1701" w:type="dxa"/>
            <w:vMerge/>
          </w:tcPr>
          <w:p w14:paraId="556811DA" w14:textId="77777777" w:rsidR="00171AA8" w:rsidRPr="00731FE2" w:rsidRDefault="00171AA8"/>
        </w:tc>
        <w:tc>
          <w:tcPr>
            <w:tcW w:w="850" w:type="dxa"/>
            <w:vMerge/>
          </w:tcPr>
          <w:p w14:paraId="1481AEAA" w14:textId="77777777" w:rsidR="00171AA8" w:rsidRPr="00731FE2" w:rsidRDefault="00171AA8"/>
        </w:tc>
        <w:tc>
          <w:tcPr>
            <w:tcW w:w="5244" w:type="dxa"/>
          </w:tcPr>
          <w:p w14:paraId="4E167AC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Кисловодск – Назрань</w:t>
            </w:r>
          </w:p>
        </w:tc>
        <w:tc>
          <w:tcPr>
            <w:tcW w:w="1561" w:type="dxa"/>
            <w:vMerge/>
          </w:tcPr>
          <w:p w14:paraId="4F705DDC" w14:textId="77777777" w:rsidR="00171AA8" w:rsidRPr="00731FE2" w:rsidRDefault="00171AA8"/>
        </w:tc>
      </w:tr>
      <w:tr w:rsidR="00171AA8" w:rsidRPr="00731FE2" w14:paraId="77C7D659" w14:textId="77777777">
        <w:tc>
          <w:tcPr>
            <w:tcW w:w="1701" w:type="dxa"/>
            <w:vMerge/>
          </w:tcPr>
          <w:p w14:paraId="00326B72" w14:textId="77777777" w:rsidR="00171AA8" w:rsidRPr="00731FE2" w:rsidRDefault="00171AA8"/>
        </w:tc>
        <w:tc>
          <w:tcPr>
            <w:tcW w:w="850" w:type="dxa"/>
            <w:vMerge/>
          </w:tcPr>
          <w:p w14:paraId="2950A08C" w14:textId="77777777" w:rsidR="00171AA8" w:rsidRPr="00731FE2" w:rsidRDefault="00171AA8"/>
        </w:tc>
        <w:tc>
          <w:tcPr>
            <w:tcW w:w="5244" w:type="dxa"/>
          </w:tcPr>
          <w:p w14:paraId="152BF42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Кисловодск – Нальчик</w:t>
            </w:r>
          </w:p>
        </w:tc>
        <w:tc>
          <w:tcPr>
            <w:tcW w:w="1561" w:type="dxa"/>
            <w:vMerge/>
          </w:tcPr>
          <w:p w14:paraId="524337FD" w14:textId="77777777" w:rsidR="00171AA8" w:rsidRPr="00731FE2" w:rsidRDefault="00171AA8"/>
        </w:tc>
      </w:tr>
      <w:tr w:rsidR="00171AA8" w:rsidRPr="00731FE2" w14:paraId="70FD307C" w14:textId="77777777">
        <w:tc>
          <w:tcPr>
            <w:tcW w:w="1701" w:type="dxa"/>
            <w:vMerge/>
          </w:tcPr>
          <w:p w14:paraId="487714AF" w14:textId="77777777" w:rsidR="00171AA8" w:rsidRPr="00731FE2" w:rsidRDefault="00171AA8"/>
        </w:tc>
        <w:tc>
          <w:tcPr>
            <w:tcW w:w="850" w:type="dxa"/>
            <w:vMerge/>
          </w:tcPr>
          <w:p w14:paraId="1B615D43" w14:textId="77777777" w:rsidR="00171AA8" w:rsidRPr="00731FE2" w:rsidRDefault="00171AA8"/>
        </w:tc>
        <w:tc>
          <w:tcPr>
            <w:tcW w:w="5244" w:type="dxa"/>
          </w:tcPr>
          <w:p w14:paraId="0143851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Кисловодск – Нефтекумск</w:t>
            </w:r>
          </w:p>
        </w:tc>
        <w:tc>
          <w:tcPr>
            <w:tcW w:w="1561" w:type="dxa"/>
            <w:vMerge/>
          </w:tcPr>
          <w:p w14:paraId="1655B493" w14:textId="77777777" w:rsidR="00171AA8" w:rsidRPr="00731FE2" w:rsidRDefault="00171AA8"/>
        </w:tc>
      </w:tr>
      <w:tr w:rsidR="00171AA8" w:rsidRPr="00731FE2" w14:paraId="2C8FCDD7" w14:textId="77777777">
        <w:tc>
          <w:tcPr>
            <w:tcW w:w="1701" w:type="dxa"/>
            <w:vMerge/>
          </w:tcPr>
          <w:p w14:paraId="3C39FC85" w14:textId="77777777" w:rsidR="00171AA8" w:rsidRPr="00731FE2" w:rsidRDefault="00171AA8"/>
        </w:tc>
        <w:tc>
          <w:tcPr>
            <w:tcW w:w="850" w:type="dxa"/>
            <w:vMerge/>
          </w:tcPr>
          <w:p w14:paraId="1799591A" w14:textId="77777777" w:rsidR="00171AA8" w:rsidRPr="00731FE2" w:rsidRDefault="00171AA8"/>
        </w:tc>
        <w:tc>
          <w:tcPr>
            <w:tcW w:w="5244" w:type="dxa"/>
          </w:tcPr>
          <w:p w14:paraId="70FC0BA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Кисловодск – Новоромановское</w:t>
            </w:r>
          </w:p>
        </w:tc>
        <w:tc>
          <w:tcPr>
            <w:tcW w:w="1561" w:type="dxa"/>
            <w:vMerge/>
          </w:tcPr>
          <w:p w14:paraId="10587511" w14:textId="77777777" w:rsidR="00171AA8" w:rsidRPr="00731FE2" w:rsidRDefault="00171AA8"/>
        </w:tc>
      </w:tr>
      <w:tr w:rsidR="00171AA8" w:rsidRPr="00731FE2" w14:paraId="4EBBF325" w14:textId="77777777">
        <w:tc>
          <w:tcPr>
            <w:tcW w:w="1701" w:type="dxa"/>
            <w:vMerge/>
          </w:tcPr>
          <w:p w14:paraId="23D88195" w14:textId="77777777" w:rsidR="00171AA8" w:rsidRPr="00731FE2" w:rsidRDefault="00171AA8"/>
        </w:tc>
        <w:tc>
          <w:tcPr>
            <w:tcW w:w="850" w:type="dxa"/>
            <w:vMerge/>
          </w:tcPr>
          <w:p w14:paraId="43EFE7C0" w14:textId="77777777" w:rsidR="00171AA8" w:rsidRPr="00731FE2" w:rsidRDefault="00171AA8"/>
        </w:tc>
        <w:tc>
          <w:tcPr>
            <w:tcW w:w="5244" w:type="dxa"/>
          </w:tcPr>
          <w:p w14:paraId="659A9A8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Кисловодск – Прохладный</w:t>
            </w:r>
          </w:p>
        </w:tc>
        <w:tc>
          <w:tcPr>
            <w:tcW w:w="1561" w:type="dxa"/>
            <w:vMerge/>
          </w:tcPr>
          <w:p w14:paraId="7727D8FA" w14:textId="77777777" w:rsidR="00171AA8" w:rsidRPr="00731FE2" w:rsidRDefault="00171AA8"/>
        </w:tc>
      </w:tr>
      <w:tr w:rsidR="00171AA8" w:rsidRPr="00731FE2" w14:paraId="5C2EB426" w14:textId="77777777">
        <w:tc>
          <w:tcPr>
            <w:tcW w:w="1701" w:type="dxa"/>
            <w:vMerge/>
          </w:tcPr>
          <w:p w14:paraId="1B6BA3E4" w14:textId="77777777" w:rsidR="00171AA8" w:rsidRPr="00731FE2" w:rsidRDefault="00171AA8"/>
        </w:tc>
        <w:tc>
          <w:tcPr>
            <w:tcW w:w="850" w:type="dxa"/>
            <w:vMerge/>
          </w:tcPr>
          <w:p w14:paraId="0B7B2651" w14:textId="77777777" w:rsidR="00171AA8" w:rsidRPr="00731FE2" w:rsidRDefault="00171AA8"/>
        </w:tc>
        <w:tc>
          <w:tcPr>
            <w:tcW w:w="5244" w:type="dxa"/>
          </w:tcPr>
          <w:p w14:paraId="0E79A5A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Кисловодск – Сочи</w:t>
            </w:r>
          </w:p>
        </w:tc>
        <w:tc>
          <w:tcPr>
            <w:tcW w:w="1561" w:type="dxa"/>
            <w:vMerge/>
          </w:tcPr>
          <w:p w14:paraId="6BD4C24B" w14:textId="77777777" w:rsidR="00171AA8" w:rsidRPr="00731FE2" w:rsidRDefault="00171AA8"/>
        </w:tc>
      </w:tr>
      <w:tr w:rsidR="00171AA8" w:rsidRPr="00731FE2" w14:paraId="7B8B95F4" w14:textId="77777777">
        <w:tc>
          <w:tcPr>
            <w:tcW w:w="1701" w:type="dxa"/>
            <w:vMerge/>
          </w:tcPr>
          <w:p w14:paraId="06C20E38" w14:textId="77777777" w:rsidR="00171AA8" w:rsidRPr="00731FE2" w:rsidRDefault="00171AA8"/>
        </w:tc>
        <w:tc>
          <w:tcPr>
            <w:tcW w:w="850" w:type="dxa"/>
            <w:vMerge/>
          </w:tcPr>
          <w:p w14:paraId="5DA829D9" w14:textId="77777777" w:rsidR="00171AA8" w:rsidRPr="00731FE2" w:rsidRDefault="00171AA8"/>
        </w:tc>
        <w:tc>
          <w:tcPr>
            <w:tcW w:w="5244" w:type="dxa"/>
          </w:tcPr>
          <w:p w14:paraId="175A49D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Кисловодск – Ставрополь</w:t>
            </w:r>
          </w:p>
        </w:tc>
        <w:tc>
          <w:tcPr>
            <w:tcW w:w="1561" w:type="dxa"/>
            <w:vMerge/>
          </w:tcPr>
          <w:p w14:paraId="7DCEA48C" w14:textId="77777777" w:rsidR="00171AA8" w:rsidRPr="00731FE2" w:rsidRDefault="00171AA8"/>
        </w:tc>
      </w:tr>
      <w:tr w:rsidR="00171AA8" w:rsidRPr="00731FE2" w14:paraId="162C59C9" w14:textId="77777777">
        <w:tc>
          <w:tcPr>
            <w:tcW w:w="1701" w:type="dxa"/>
            <w:vMerge/>
          </w:tcPr>
          <w:p w14:paraId="35049EAA" w14:textId="77777777" w:rsidR="00171AA8" w:rsidRPr="00731FE2" w:rsidRDefault="00171AA8"/>
        </w:tc>
        <w:tc>
          <w:tcPr>
            <w:tcW w:w="850" w:type="dxa"/>
            <w:vMerge/>
          </w:tcPr>
          <w:p w14:paraId="0D479E54" w14:textId="77777777" w:rsidR="00171AA8" w:rsidRPr="00731FE2" w:rsidRDefault="00171AA8"/>
        </w:tc>
        <w:tc>
          <w:tcPr>
            <w:tcW w:w="5244" w:type="dxa"/>
          </w:tcPr>
          <w:p w14:paraId="0F91A35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 xml:space="preserve">Кисловодск – </w:t>
            </w:r>
            <w:proofErr w:type="gramStart"/>
            <w:r w:rsidRPr="00731FE2">
              <w:rPr>
                <w:rFonts w:ascii="Times New Roman" w:eastAsia="Times New Roman" w:hAnsi="Times New Roman" w:cs="Times New Roman"/>
                <w:color w:val="000000"/>
                <w:sz w:val="22"/>
              </w:rPr>
              <w:t>Степное</w:t>
            </w:r>
            <w:proofErr w:type="gramEnd"/>
          </w:p>
        </w:tc>
        <w:tc>
          <w:tcPr>
            <w:tcW w:w="1561" w:type="dxa"/>
            <w:vMerge/>
          </w:tcPr>
          <w:p w14:paraId="6133AACD" w14:textId="77777777" w:rsidR="00171AA8" w:rsidRPr="00731FE2" w:rsidRDefault="00171AA8"/>
        </w:tc>
      </w:tr>
      <w:tr w:rsidR="00171AA8" w:rsidRPr="00731FE2" w14:paraId="35D9D73D" w14:textId="77777777">
        <w:tc>
          <w:tcPr>
            <w:tcW w:w="1701" w:type="dxa"/>
            <w:vMerge/>
          </w:tcPr>
          <w:p w14:paraId="3E7D294B" w14:textId="77777777" w:rsidR="00171AA8" w:rsidRPr="00731FE2" w:rsidRDefault="00171AA8"/>
        </w:tc>
        <w:tc>
          <w:tcPr>
            <w:tcW w:w="850" w:type="dxa"/>
            <w:vMerge/>
          </w:tcPr>
          <w:p w14:paraId="62A601B4" w14:textId="77777777" w:rsidR="00171AA8" w:rsidRPr="00731FE2" w:rsidRDefault="00171AA8"/>
        </w:tc>
        <w:tc>
          <w:tcPr>
            <w:tcW w:w="5244" w:type="dxa"/>
          </w:tcPr>
          <w:p w14:paraId="159C3FF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Кисловодск – Учкекен</w:t>
            </w:r>
          </w:p>
        </w:tc>
        <w:tc>
          <w:tcPr>
            <w:tcW w:w="1561" w:type="dxa"/>
            <w:vMerge/>
          </w:tcPr>
          <w:p w14:paraId="264EBDF3" w14:textId="77777777" w:rsidR="00171AA8" w:rsidRPr="00731FE2" w:rsidRDefault="00171AA8"/>
        </w:tc>
      </w:tr>
      <w:tr w:rsidR="00171AA8" w:rsidRPr="00731FE2" w14:paraId="77B5FD4F" w14:textId="77777777">
        <w:tc>
          <w:tcPr>
            <w:tcW w:w="1701" w:type="dxa"/>
            <w:vMerge/>
          </w:tcPr>
          <w:p w14:paraId="01230F56" w14:textId="77777777" w:rsidR="00171AA8" w:rsidRPr="00731FE2" w:rsidRDefault="00171AA8"/>
        </w:tc>
        <w:tc>
          <w:tcPr>
            <w:tcW w:w="850" w:type="dxa"/>
            <w:vMerge/>
          </w:tcPr>
          <w:p w14:paraId="3910175B" w14:textId="77777777" w:rsidR="00171AA8" w:rsidRPr="00731FE2" w:rsidRDefault="00171AA8"/>
        </w:tc>
        <w:tc>
          <w:tcPr>
            <w:tcW w:w="5244" w:type="dxa"/>
          </w:tcPr>
          <w:p w14:paraId="395CD1F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Кисловодск – Черкесск</w:t>
            </w:r>
          </w:p>
        </w:tc>
        <w:tc>
          <w:tcPr>
            <w:tcW w:w="1561" w:type="dxa"/>
            <w:vMerge/>
          </w:tcPr>
          <w:p w14:paraId="38F059E8" w14:textId="77777777" w:rsidR="00171AA8" w:rsidRPr="00731FE2" w:rsidRDefault="00171AA8"/>
        </w:tc>
      </w:tr>
      <w:tr w:rsidR="00171AA8" w:rsidRPr="00731FE2" w14:paraId="6A56F862" w14:textId="77777777">
        <w:tc>
          <w:tcPr>
            <w:tcW w:w="1701" w:type="dxa"/>
            <w:vMerge/>
          </w:tcPr>
          <w:p w14:paraId="1BC3AC59" w14:textId="77777777" w:rsidR="00171AA8" w:rsidRPr="00731FE2" w:rsidRDefault="00171AA8"/>
        </w:tc>
        <w:tc>
          <w:tcPr>
            <w:tcW w:w="850" w:type="dxa"/>
            <w:vMerge/>
          </w:tcPr>
          <w:p w14:paraId="3CB7947F" w14:textId="77777777" w:rsidR="00171AA8" w:rsidRPr="00731FE2" w:rsidRDefault="00171AA8"/>
        </w:tc>
        <w:tc>
          <w:tcPr>
            <w:tcW w:w="5244" w:type="dxa"/>
          </w:tcPr>
          <w:p w14:paraId="69C88E8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Кисловодск – Элиста</w:t>
            </w:r>
          </w:p>
        </w:tc>
        <w:tc>
          <w:tcPr>
            <w:tcW w:w="1561" w:type="dxa"/>
            <w:vMerge/>
          </w:tcPr>
          <w:p w14:paraId="4E1081F8" w14:textId="77777777" w:rsidR="00171AA8" w:rsidRPr="00731FE2" w:rsidRDefault="00171AA8"/>
        </w:tc>
      </w:tr>
    </w:tbl>
    <w:p w14:paraId="2583BA05" w14:textId="77777777" w:rsidR="00171AA8" w:rsidRPr="00731FE2" w:rsidRDefault="00171AA8">
      <w:pPr>
        <w:rPr>
          <w:rFonts w:ascii="Times New Roman" w:hAnsi="Times New Roman" w:cs="Times New Roman"/>
          <w:color w:val="000000" w:themeColor="text1"/>
        </w:rPr>
      </w:pPr>
    </w:p>
    <w:p w14:paraId="4984134E" w14:textId="77777777" w:rsidR="00171AA8" w:rsidRPr="00731FE2" w:rsidRDefault="007935AB">
      <w:pPr>
        <w:pBdr>
          <w:top w:val="none" w:sz="4" w:space="0" w:color="000000"/>
          <w:left w:val="none" w:sz="4" w:space="0" w:color="000000"/>
          <w:bottom w:val="none" w:sz="4" w:space="0" w:color="000000"/>
          <w:right w:val="none" w:sz="4" w:space="0" w:color="000000"/>
        </w:pBdr>
        <w:rPr>
          <w:color w:val="000000" w:themeColor="text1"/>
        </w:rPr>
      </w:pPr>
      <w:r w:rsidRPr="00731FE2">
        <w:rPr>
          <w:rFonts w:ascii="Times New Roman" w:eastAsia="Times New Roman" w:hAnsi="Times New Roman" w:cs="Times New Roman"/>
          <w:color w:val="000000"/>
        </w:rPr>
        <w:t>Данные маршруты охватывают все жилые, индустриальные и курортные территории города. Особенности улично-дорожной сети приводят к заторам в часы пик на пересечении улиц: пр. Победы, ул. Кирова, ул. Куйбышева, ул. Вокзальная, Октябрьская площа</w:t>
      </w:r>
      <w:r w:rsidRPr="00731FE2">
        <w:rPr>
          <w:rFonts w:ascii="Times New Roman" w:eastAsia="Times New Roman" w:hAnsi="Times New Roman" w:cs="Times New Roman"/>
          <w:color w:val="000000" w:themeColor="text1"/>
        </w:rPr>
        <w:t>дь</w:t>
      </w:r>
      <w:r w:rsidRPr="00731FE2">
        <w:rPr>
          <w:rFonts w:ascii="Times New Roman" w:eastAsia="Times New Roman" w:hAnsi="Times New Roman" w:cs="Times New Roman"/>
          <w:color w:val="000000" w:themeColor="text1"/>
          <w:vertAlign w:val="superscript"/>
        </w:rPr>
        <w:footnoteReference w:id="57"/>
      </w:r>
      <w:r w:rsidRPr="00731FE2">
        <w:rPr>
          <w:rFonts w:ascii="Times New Roman" w:eastAsia="Times New Roman" w:hAnsi="Times New Roman" w:cs="Times New Roman"/>
          <w:color w:val="000000" w:themeColor="text1"/>
        </w:rPr>
        <w:t>.</w:t>
      </w:r>
    </w:p>
    <w:p w14:paraId="6AE567BB" w14:textId="77777777" w:rsidR="00171AA8" w:rsidRPr="00731FE2" w:rsidRDefault="007935AB">
      <w:pPr>
        <w:pBdr>
          <w:top w:val="none" w:sz="4" w:space="0" w:color="000000"/>
          <w:left w:val="none" w:sz="4" w:space="0" w:color="000000"/>
          <w:bottom w:val="none" w:sz="4" w:space="0" w:color="000000"/>
          <w:right w:val="none" w:sz="4" w:space="0" w:color="000000"/>
        </w:pBdr>
        <w:tabs>
          <w:tab w:val="left" w:pos="1843"/>
        </w:tabs>
      </w:pPr>
      <w:r w:rsidRPr="00731FE2">
        <w:rPr>
          <w:rFonts w:ascii="Times New Roman" w:eastAsia="Times New Roman" w:hAnsi="Times New Roman" w:cs="Times New Roman"/>
          <w:color w:val="000000"/>
        </w:rPr>
        <w:t>Сеть маршрутов автобусного транспорта охватывает все крупнейшие улицы и проспекты города-курорта и разделяется железнодорожной линией на две части (западную и восточную), соединяющиеся лишь в южной части центра города-курорта (ул. Шаляпина), что ограничивает мобильность жителей и гостей города.</w:t>
      </w:r>
    </w:p>
    <w:p w14:paraId="7DC96D50" w14:textId="77777777" w:rsidR="00171AA8" w:rsidRPr="00731FE2" w:rsidRDefault="007935AB">
      <w:pPr>
        <w:pBdr>
          <w:top w:val="none" w:sz="4" w:space="0" w:color="000000"/>
          <w:left w:val="none" w:sz="4" w:space="0" w:color="000000"/>
          <w:bottom w:val="none" w:sz="4" w:space="0" w:color="000000"/>
          <w:right w:val="none" w:sz="4" w:space="0" w:color="000000"/>
        </w:pBdr>
        <w:tabs>
          <w:tab w:val="left" w:pos="1843"/>
        </w:tabs>
        <w:rPr>
          <w:color w:val="000000" w:themeColor="text1"/>
        </w:rPr>
      </w:pPr>
      <w:proofErr w:type="gramStart"/>
      <w:r w:rsidRPr="00731FE2">
        <w:rPr>
          <w:rFonts w:ascii="Times New Roman" w:eastAsia="Times New Roman" w:hAnsi="Times New Roman" w:cs="Times New Roman"/>
          <w:color w:val="000000"/>
        </w:rPr>
        <w:t xml:space="preserve">На 01.01.2023 г. количество транспортных средств, осуществляющих пассажирские перевозки составило 118 ед., в т. ч. ЗАО «Автоколонна 1721» – 25 ед., ИП Гогричиани Ш.Г. – 48 ед., ОАО «ПАТП-2» – 12 ед., ИП Нариманян О.С. – 15 ед., ИП Давидян Г.А. – 15 ед., ИП Абдуллаев З.А. – 3 ед., которыми было перевезено 4895,64 тыс. чел. Среди </w:t>
      </w:r>
      <w:r w:rsidRPr="00731FE2">
        <w:rPr>
          <w:rFonts w:ascii="Times New Roman" w:eastAsia="Times New Roman" w:hAnsi="Times New Roman" w:cs="Times New Roman"/>
          <w:color w:val="000000"/>
        </w:rPr>
        <w:lastRenderedPageBreak/>
        <w:t>транспортных средств, осуществляющих пассажирские перевозки</w:t>
      </w:r>
      <w:proofErr w:type="gramEnd"/>
      <w:r w:rsidRPr="00731FE2">
        <w:rPr>
          <w:rFonts w:ascii="Times New Roman" w:eastAsia="Times New Roman" w:hAnsi="Times New Roman" w:cs="Times New Roman"/>
          <w:color w:val="000000"/>
        </w:rPr>
        <w:t xml:space="preserve"> 98 ед. относится к категории М</w:t>
      </w:r>
      <w:proofErr w:type="gramStart"/>
      <w:r w:rsidRPr="00731FE2">
        <w:rPr>
          <w:rFonts w:ascii="Times New Roman" w:eastAsia="Times New Roman" w:hAnsi="Times New Roman" w:cs="Times New Roman"/>
          <w:color w:val="000000"/>
        </w:rPr>
        <w:t>2</w:t>
      </w:r>
      <w:proofErr w:type="gramEnd"/>
      <w:r w:rsidRPr="00731FE2">
        <w:rPr>
          <w:rFonts w:ascii="Times New Roman" w:eastAsia="Times New Roman" w:hAnsi="Times New Roman" w:cs="Times New Roman"/>
          <w:color w:val="000000"/>
        </w:rPr>
        <w:t>, 20 ед. относится категории М</w:t>
      </w:r>
      <w:r w:rsidRPr="00731FE2">
        <w:rPr>
          <w:rFonts w:ascii="Times New Roman" w:eastAsia="Times New Roman" w:hAnsi="Times New Roman" w:cs="Times New Roman"/>
          <w:color w:val="000000" w:themeColor="text1"/>
        </w:rPr>
        <w:t>3</w:t>
      </w:r>
      <w:r w:rsidRPr="00731FE2">
        <w:rPr>
          <w:rFonts w:ascii="Times New Roman" w:eastAsia="Times New Roman" w:hAnsi="Times New Roman" w:cs="Times New Roman"/>
          <w:color w:val="000000" w:themeColor="text1"/>
          <w:vertAlign w:val="superscript"/>
        </w:rPr>
        <w:footnoteReference w:id="58"/>
      </w:r>
      <w:r w:rsidRPr="00731FE2">
        <w:rPr>
          <w:rFonts w:ascii="Times New Roman" w:eastAsia="Times New Roman" w:hAnsi="Times New Roman" w:cs="Times New Roman"/>
          <w:color w:val="000000" w:themeColor="text1"/>
        </w:rPr>
        <w:t>.</w:t>
      </w:r>
    </w:p>
    <w:p w14:paraId="337383FC" w14:textId="77777777" w:rsidR="00171AA8" w:rsidRPr="00731FE2" w:rsidRDefault="007935AB">
      <w:pPr>
        <w:pBdr>
          <w:top w:val="none" w:sz="4" w:space="0" w:color="000000"/>
          <w:left w:val="none" w:sz="4" w:space="0" w:color="000000"/>
          <w:bottom w:val="none" w:sz="4" w:space="0" w:color="000000"/>
          <w:right w:val="none" w:sz="4" w:space="0" w:color="000000"/>
        </w:pBdr>
      </w:pPr>
      <w:r w:rsidRPr="00731FE2">
        <w:rPr>
          <w:rFonts w:ascii="Times New Roman" w:eastAsia="Times New Roman" w:hAnsi="Times New Roman" w:cs="Times New Roman"/>
          <w:color w:val="000000"/>
        </w:rPr>
        <w:t>Среднедневное количество рейсов, осуществляемое междугородными автобусами – 21 ед., пригородными автобусами – 28 ед.</w:t>
      </w:r>
    </w:p>
    <w:p w14:paraId="719B2001" w14:textId="77777777" w:rsidR="00171AA8" w:rsidRPr="00731FE2" w:rsidRDefault="007935AB">
      <w:pPr>
        <w:pBdr>
          <w:top w:val="none" w:sz="4" w:space="0" w:color="000000"/>
          <w:left w:val="none" w:sz="4" w:space="0" w:color="000000"/>
          <w:bottom w:val="none" w:sz="4" w:space="0" w:color="000000"/>
          <w:right w:val="none" w:sz="4" w:space="0" w:color="000000"/>
        </w:pBdr>
        <w:rPr>
          <w:color w:val="000000" w:themeColor="text1"/>
        </w:rPr>
      </w:pPr>
      <w:r w:rsidRPr="00731FE2">
        <w:rPr>
          <w:rFonts w:ascii="Times New Roman" w:eastAsia="Times New Roman" w:hAnsi="Times New Roman" w:cs="Times New Roman"/>
          <w:color w:val="000000"/>
        </w:rPr>
        <w:t>Основные пересадочные узлы (остановки) автобусного транспорта г. Кисловод</w:t>
      </w:r>
      <w:r w:rsidRPr="00731FE2">
        <w:rPr>
          <w:rFonts w:ascii="Times New Roman" w:eastAsia="Times New Roman" w:hAnsi="Times New Roman" w:cs="Times New Roman"/>
          <w:color w:val="000000" w:themeColor="text1"/>
        </w:rPr>
        <w:t>ск</w:t>
      </w:r>
      <w:r w:rsidRPr="00731FE2">
        <w:rPr>
          <w:rFonts w:ascii="Times New Roman" w:eastAsia="Times New Roman" w:hAnsi="Times New Roman" w:cs="Times New Roman"/>
          <w:color w:val="000000" w:themeColor="text1"/>
          <w:vertAlign w:val="superscript"/>
        </w:rPr>
        <w:footnoteReference w:id="59"/>
      </w:r>
      <w:r w:rsidRPr="00731FE2">
        <w:rPr>
          <w:rFonts w:ascii="Times New Roman" w:eastAsia="Times New Roman" w:hAnsi="Times New Roman" w:cs="Times New Roman"/>
          <w:color w:val="000000" w:themeColor="text1"/>
        </w:rPr>
        <w:t>:</w:t>
      </w:r>
    </w:p>
    <w:p w14:paraId="6727AED0" w14:textId="77777777" w:rsidR="00171AA8" w:rsidRPr="00731FE2" w:rsidRDefault="007935AB" w:rsidP="007832E7">
      <w:pPr>
        <w:pStyle w:val="a3"/>
        <w:numPr>
          <w:ilvl w:val="0"/>
          <w:numId w:val="36"/>
        </w:numPr>
        <w:pBdr>
          <w:top w:val="none" w:sz="4" w:space="0" w:color="000000"/>
          <w:left w:val="none" w:sz="4" w:space="0" w:color="000000"/>
          <w:bottom w:val="none" w:sz="4" w:space="0" w:color="000000"/>
          <w:right w:val="none" w:sz="4" w:space="0" w:color="000000"/>
        </w:pBdr>
        <w:tabs>
          <w:tab w:val="left" w:pos="993"/>
        </w:tabs>
        <w:ind w:left="0" w:firstLine="709"/>
      </w:pPr>
      <w:r w:rsidRPr="00731FE2">
        <w:rPr>
          <w:rFonts w:ascii="Times New Roman" w:eastAsia="Times New Roman" w:hAnsi="Times New Roman" w:cs="Times New Roman"/>
          <w:color w:val="000000"/>
        </w:rPr>
        <w:t>«Дом связи» – крупнейший пересадочный узел;</w:t>
      </w:r>
    </w:p>
    <w:p w14:paraId="786A437E" w14:textId="77777777" w:rsidR="00171AA8" w:rsidRPr="00731FE2" w:rsidRDefault="007935AB" w:rsidP="007832E7">
      <w:pPr>
        <w:pStyle w:val="a3"/>
        <w:numPr>
          <w:ilvl w:val="0"/>
          <w:numId w:val="36"/>
        </w:numPr>
        <w:pBdr>
          <w:top w:val="none" w:sz="4" w:space="0" w:color="000000"/>
          <w:left w:val="none" w:sz="4" w:space="0" w:color="000000"/>
          <w:bottom w:val="none" w:sz="4" w:space="0" w:color="000000"/>
          <w:right w:val="none" w:sz="4" w:space="0" w:color="000000"/>
        </w:pBdr>
        <w:tabs>
          <w:tab w:val="left" w:pos="993"/>
        </w:tabs>
        <w:ind w:left="0" w:firstLine="709"/>
      </w:pPr>
      <w:r w:rsidRPr="00731FE2">
        <w:rPr>
          <w:rFonts w:ascii="Times New Roman" w:eastAsia="Times New Roman" w:hAnsi="Times New Roman" w:cs="Times New Roman"/>
          <w:color w:val="000000"/>
        </w:rPr>
        <w:t>«Центральный рынок»;</w:t>
      </w:r>
    </w:p>
    <w:p w14:paraId="1FAC2220" w14:textId="77777777" w:rsidR="00171AA8" w:rsidRPr="00731FE2" w:rsidRDefault="007935AB" w:rsidP="007832E7">
      <w:pPr>
        <w:pStyle w:val="a3"/>
        <w:numPr>
          <w:ilvl w:val="0"/>
          <w:numId w:val="36"/>
        </w:numPr>
        <w:pBdr>
          <w:top w:val="none" w:sz="4" w:space="0" w:color="000000"/>
          <w:left w:val="none" w:sz="4" w:space="0" w:color="000000"/>
          <w:bottom w:val="none" w:sz="4" w:space="0" w:color="000000"/>
          <w:right w:val="none" w:sz="4" w:space="0" w:color="000000"/>
        </w:pBdr>
        <w:tabs>
          <w:tab w:val="left" w:pos="993"/>
        </w:tabs>
        <w:ind w:left="0" w:firstLine="709"/>
      </w:pPr>
      <w:r w:rsidRPr="00731FE2">
        <w:rPr>
          <w:rFonts w:ascii="Times New Roman" w:eastAsia="Times New Roman" w:hAnsi="Times New Roman" w:cs="Times New Roman"/>
          <w:color w:val="000000"/>
        </w:rPr>
        <w:t>«Нарзанные ванны»;</w:t>
      </w:r>
    </w:p>
    <w:p w14:paraId="29A5E817" w14:textId="77777777" w:rsidR="00171AA8" w:rsidRPr="00731FE2" w:rsidRDefault="007935AB" w:rsidP="007832E7">
      <w:pPr>
        <w:pStyle w:val="a3"/>
        <w:numPr>
          <w:ilvl w:val="0"/>
          <w:numId w:val="36"/>
        </w:numPr>
        <w:pBdr>
          <w:top w:val="none" w:sz="4" w:space="0" w:color="000000"/>
          <w:left w:val="none" w:sz="4" w:space="0" w:color="000000"/>
          <w:bottom w:val="none" w:sz="4" w:space="0" w:color="000000"/>
          <w:right w:val="none" w:sz="4" w:space="0" w:color="000000"/>
        </w:pBdr>
        <w:tabs>
          <w:tab w:val="left" w:pos="993"/>
        </w:tabs>
        <w:ind w:left="0" w:firstLine="709"/>
      </w:pPr>
      <w:r w:rsidRPr="00731FE2">
        <w:rPr>
          <w:rFonts w:ascii="Times New Roman" w:eastAsia="Times New Roman" w:hAnsi="Times New Roman" w:cs="Times New Roman"/>
          <w:color w:val="000000"/>
        </w:rPr>
        <w:t>«Железнодорожный вокзал»;</w:t>
      </w:r>
    </w:p>
    <w:p w14:paraId="5CC57240" w14:textId="77777777" w:rsidR="00171AA8" w:rsidRPr="00731FE2" w:rsidRDefault="007935AB" w:rsidP="007832E7">
      <w:pPr>
        <w:pStyle w:val="a3"/>
        <w:numPr>
          <w:ilvl w:val="0"/>
          <w:numId w:val="36"/>
        </w:numPr>
        <w:pBdr>
          <w:top w:val="none" w:sz="4" w:space="0" w:color="000000"/>
          <w:left w:val="none" w:sz="4" w:space="0" w:color="000000"/>
          <w:bottom w:val="none" w:sz="4" w:space="0" w:color="000000"/>
          <w:right w:val="none" w:sz="4" w:space="0" w:color="000000"/>
        </w:pBdr>
        <w:tabs>
          <w:tab w:val="left" w:pos="993"/>
        </w:tabs>
        <w:ind w:left="0" w:firstLine="709"/>
      </w:pPr>
      <w:r w:rsidRPr="00731FE2">
        <w:rPr>
          <w:rFonts w:ascii="Times New Roman" w:eastAsia="Times New Roman" w:hAnsi="Times New Roman" w:cs="Times New Roman"/>
          <w:color w:val="000000"/>
        </w:rPr>
        <w:t>гостиница «Кавказ»;</w:t>
      </w:r>
    </w:p>
    <w:p w14:paraId="1DBCEE6C" w14:textId="77777777" w:rsidR="00171AA8" w:rsidRPr="00731FE2" w:rsidRDefault="007935AB" w:rsidP="007832E7">
      <w:pPr>
        <w:pStyle w:val="a3"/>
        <w:numPr>
          <w:ilvl w:val="0"/>
          <w:numId w:val="36"/>
        </w:numPr>
        <w:pBdr>
          <w:top w:val="none" w:sz="4" w:space="0" w:color="000000"/>
          <w:left w:val="none" w:sz="4" w:space="0" w:color="000000"/>
          <w:bottom w:val="none" w:sz="4" w:space="0" w:color="000000"/>
          <w:right w:val="none" w:sz="4" w:space="0" w:color="000000"/>
        </w:pBdr>
        <w:tabs>
          <w:tab w:val="left" w:pos="993"/>
        </w:tabs>
        <w:ind w:left="0" w:firstLine="709"/>
      </w:pPr>
      <w:r w:rsidRPr="00731FE2">
        <w:rPr>
          <w:rFonts w:ascii="Times New Roman" w:eastAsia="Times New Roman" w:hAnsi="Times New Roman" w:cs="Times New Roman"/>
          <w:color w:val="000000"/>
        </w:rPr>
        <w:t>санаторий «Москва».</w:t>
      </w:r>
    </w:p>
    <w:p w14:paraId="741371A9" w14:textId="77777777" w:rsidR="00171AA8" w:rsidRPr="00731FE2" w:rsidRDefault="007935AB">
      <w:pPr>
        <w:pBdr>
          <w:top w:val="none" w:sz="4" w:space="0" w:color="000000"/>
          <w:left w:val="none" w:sz="4" w:space="0" w:color="000000"/>
          <w:bottom w:val="none" w:sz="4" w:space="0" w:color="000000"/>
          <w:right w:val="none" w:sz="4" w:space="0" w:color="000000"/>
        </w:pBdr>
      </w:pPr>
      <w:r w:rsidRPr="00731FE2">
        <w:rPr>
          <w:rFonts w:ascii="Times New Roman" w:eastAsia="Times New Roman" w:hAnsi="Times New Roman" w:cs="Times New Roman"/>
          <w:color w:val="000000"/>
        </w:rPr>
        <w:t>На территории города-курорта Кисловодска расположены 234 остановочных пункта, из них: конечных остановок 34, промежуточных – 3, по требованию – 197.</w:t>
      </w:r>
    </w:p>
    <w:p w14:paraId="28FC44BA" w14:textId="77777777" w:rsidR="00171AA8" w:rsidRPr="00731FE2" w:rsidRDefault="007935AB">
      <w:pPr>
        <w:pBdr>
          <w:top w:val="none" w:sz="4" w:space="0" w:color="000000"/>
          <w:left w:val="none" w:sz="4" w:space="0" w:color="000000"/>
          <w:bottom w:val="none" w:sz="4" w:space="0" w:color="000000"/>
          <w:right w:val="none" w:sz="4" w:space="0" w:color="000000"/>
        </w:pBdr>
      </w:pPr>
      <w:r w:rsidRPr="00731FE2">
        <w:rPr>
          <w:rFonts w:ascii="Times New Roman" w:eastAsia="Times New Roman" w:hAnsi="Times New Roman" w:cs="Times New Roman"/>
          <w:color w:val="000000"/>
        </w:rPr>
        <w:t>Автовокзал расположен на въезде в город. Часть пригородных и междугородних перевозок (включая неорганизованные перевозки) осуществляется от железнодорожного вокзала.</w:t>
      </w:r>
    </w:p>
    <w:p w14:paraId="70E54F6F" w14:textId="77777777" w:rsidR="00171AA8" w:rsidRPr="00731FE2" w:rsidRDefault="007935AB">
      <w:pPr>
        <w:pBdr>
          <w:top w:val="none" w:sz="4" w:space="0" w:color="000000"/>
          <w:left w:val="none" w:sz="4" w:space="0" w:color="000000"/>
          <w:bottom w:val="none" w:sz="4" w:space="0" w:color="000000"/>
          <w:right w:val="none" w:sz="4" w:space="0" w:color="000000"/>
        </w:pBdr>
      </w:pPr>
      <w:r w:rsidRPr="00731FE2">
        <w:rPr>
          <w:rFonts w:ascii="Times New Roman" w:eastAsia="Times New Roman" w:hAnsi="Times New Roman" w:cs="Times New Roman"/>
          <w:color w:val="000000"/>
        </w:rPr>
        <w:t>Кроме общественного транспорта автомобильные перевозки пассажиров осуществляют более 10 таксомоторных фирм (таблица ниже).</w:t>
      </w:r>
    </w:p>
    <w:p w14:paraId="28255A8C" w14:textId="77777777" w:rsidR="00171AA8" w:rsidRPr="00731FE2" w:rsidRDefault="00171AA8">
      <w:pPr>
        <w:rPr>
          <w:rFonts w:ascii="Times New Roman" w:hAnsi="Times New Roman" w:cs="Times New Roman"/>
          <w:color w:val="000000" w:themeColor="text1"/>
        </w:rPr>
      </w:pPr>
    </w:p>
    <w:p w14:paraId="3C0F8533" w14:textId="77777777" w:rsidR="00171AA8" w:rsidRPr="00731FE2" w:rsidRDefault="007935AB" w:rsidP="00A72799">
      <w:pPr>
        <w:pBdr>
          <w:top w:val="none" w:sz="4" w:space="0" w:color="000000"/>
          <w:left w:val="none" w:sz="4" w:space="0" w:color="000000"/>
          <w:bottom w:val="none" w:sz="4" w:space="0" w:color="000000"/>
          <w:right w:val="none" w:sz="4" w:space="0" w:color="000000"/>
        </w:pBdr>
        <w:spacing w:line="240" w:lineRule="auto"/>
        <w:ind w:firstLine="0"/>
        <w:rPr>
          <w:rFonts w:ascii="Times New Roman" w:hAnsi="Times New Roman" w:cs="Times New Roman"/>
          <w:b/>
          <w:bCs/>
          <w:color w:val="000000" w:themeColor="text1"/>
          <w:szCs w:val="24"/>
        </w:rPr>
      </w:pPr>
      <w:r w:rsidRPr="00731FE2">
        <w:rPr>
          <w:rFonts w:ascii="Times New Roman" w:eastAsia="Times New Roman" w:hAnsi="Times New Roman" w:cs="Times New Roman"/>
          <w:b/>
          <w:bCs/>
          <w:color w:val="000000" w:themeColor="text1"/>
          <w:szCs w:val="24"/>
        </w:rPr>
        <w:t xml:space="preserve">Таблица </w:t>
      </w:r>
      <w:r w:rsidRPr="00731FE2">
        <w:rPr>
          <w:rFonts w:ascii="Times New Roman" w:eastAsia="Times New Roman" w:hAnsi="Times New Roman" w:cs="Times New Roman"/>
          <w:b/>
          <w:bCs/>
          <w:color w:val="000000" w:themeColor="text1"/>
          <w:szCs w:val="24"/>
        </w:rPr>
        <w:fldChar w:fldCharType="begin"/>
      </w:r>
      <w:r w:rsidRPr="00731FE2">
        <w:rPr>
          <w:rFonts w:ascii="Times New Roman" w:eastAsia="Times New Roman" w:hAnsi="Times New Roman" w:cs="Times New Roman"/>
          <w:b/>
          <w:bCs/>
          <w:color w:val="000000" w:themeColor="text1"/>
          <w:szCs w:val="24"/>
        </w:rPr>
        <w:instrText xml:space="preserve"> SEQ Таблица \* Arabic </w:instrText>
      </w:r>
      <w:r w:rsidRPr="00731FE2">
        <w:rPr>
          <w:rFonts w:ascii="Times New Roman" w:eastAsia="Times New Roman" w:hAnsi="Times New Roman" w:cs="Times New Roman"/>
          <w:b/>
          <w:bCs/>
          <w:color w:val="000000" w:themeColor="text1"/>
          <w:szCs w:val="24"/>
        </w:rPr>
        <w:fldChar w:fldCharType="separate"/>
      </w:r>
      <w:r w:rsidR="00C50915" w:rsidRPr="00731FE2">
        <w:rPr>
          <w:rFonts w:ascii="Times New Roman" w:eastAsia="Times New Roman" w:hAnsi="Times New Roman" w:cs="Times New Roman"/>
          <w:b/>
          <w:bCs/>
          <w:noProof/>
          <w:color w:val="000000" w:themeColor="text1"/>
          <w:szCs w:val="24"/>
        </w:rPr>
        <w:t>29</w:t>
      </w:r>
      <w:r w:rsidRPr="00731FE2">
        <w:rPr>
          <w:rFonts w:ascii="Times New Roman" w:eastAsia="Times New Roman" w:hAnsi="Times New Roman" w:cs="Times New Roman"/>
          <w:b/>
          <w:bCs/>
          <w:color w:val="000000" w:themeColor="text1"/>
          <w:szCs w:val="24"/>
        </w:rPr>
        <w:fldChar w:fldCharType="end"/>
      </w:r>
      <w:r w:rsidRPr="00731FE2">
        <w:rPr>
          <w:rFonts w:ascii="Times New Roman" w:eastAsia="Times New Roman" w:hAnsi="Times New Roman" w:cs="Times New Roman"/>
          <w:b/>
          <w:bCs/>
          <w:color w:val="000000" w:themeColor="text1"/>
          <w:szCs w:val="24"/>
        </w:rPr>
        <w:t xml:space="preserve"> – Перечень фирм легкового такси на территории городского округа «город-курорт Кисловодск» </w:t>
      </w:r>
      <w:proofErr w:type="gramStart"/>
      <w:r w:rsidRPr="00731FE2">
        <w:rPr>
          <w:rFonts w:ascii="Times New Roman" w:eastAsia="Times New Roman" w:hAnsi="Times New Roman" w:cs="Times New Roman"/>
          <w:b/>
          <w:bCs/>
          <w:color w:val="000000" w:themeColor="text1"/>
          <w:szCs w:val="24"/>
        </w:rPr>
        <w:t>на конец</w:t>
      </w:r>
      <w:proofErr w:type="gramEnd"/>
      <w:r w:rsidRPr="00731FE2">
        <w:rPr>
          <w:rFonts w:ascii="Times New Roman" w:eastAsia="Times New Roman" w:hAnsi="Times New Roman" w:cs="Times New Roman"/>
          <w:b/>
          <w:bCs/>
          <w:color w:val="000000" w:themeColor="text1"/>
          <w:szCs w:val="24"/>
        </w:rPr>
        <w:t xml:space="preserve"> 2023 г.</w:t>
      </w:r>
      <w:r w:rsidRPr="00731FE2">
        <w:rPr>
          <w:rFonts w:ascii="Times New Roman" w:eastAsia="Times New Roman" w:hAnsi="Times New Roman" w:cs="Times New Roman"/>
          <w:b/>
          <w:bCs/>
          <w:color w:val="000000" w:themeColor="text1"/>
          <w:szCs w:val="24"/>
          <w:vertAlign w:val="superscript"/>
        </w:rPr>
        <w:footnoteReference w:id="60"/>
      </w:r>
    </w:p>
    <w:tbl>
      <w:tblPr>
        <w:tblStyle w:val="afe"/>
        <w:tblW w:w="0" w:type="auto"/>
        <w:tblLayout w:type="fixed"/>
        <w:tblCellMar>
          <w:left w:w="57" w:type="dxa"/>
          <w:right w:w="57" w:type="dxa"/>
        </w:tblCellMar>
        <w:tblLook w:val="04A0" w:firstRow="1" w:lastRow="0" w:firstColumn="1" w:lastColumn="0" w:noHBand="0" w:noVBand="1"/>
      </w:tblPr>
      <w:tblGrid>
        <w:gridCol w:w="567"/>
        <w:gridCol w:w="3685"/>
        <w:gridCol w:w="5103"/>
      </w:tblGrid>
      <w:tr w:rsidR="00171AA8" w:rsidRPr="00731FE2" w14:paraId="5B827874" w14:textId="77777777">
        <w:tc>
          <w:tcPr>
            <w:tcW w:w="567" w:type="dxa"/>
          </w:tcPr>
          <w:p w14:paraId="3A75D549" w14:textId="77777777" w:rsidR="00171AA8" w:rsidRPr="00731FE2" w:rsidRDefault="007935AB">
            <w:pPr>
              <w:ind w:left="28" w:firstLine="0"/>
              <w:rPr>
                <w:rFonts w:ascii="Times New Roman" w:eastAsia="Times New Roman" w:hAnsi="Times New Roman" w:cs="Times New Roman"/>
                <w:b/>
                <w:bCs/>
                <w:color w:val="000000"/>
                <w:sz w:val="22"/>
              </w:rPr>
            </w:pPr>
            <w:r w:rsidRPr="00731FE2">
              <w:rPr>
                <w:rFonts w:ascii="Times New Roman" w:eastAsia="Times New Roman" w:hAnsi="Times New Roman" w:cs="Times New Roman"/>
                <w:b/>
                <w:bCs/>
                <w:color w:val="000000"/>
                <w:sz w:val="22"/>
              </w:rPr>
              <w:t>№</w:t>
            </w:r>
          </w:p>
        </w:tc>
        <w:tc>
          <w:tcPr>
            <w:tcW w:w="3685" w:type="dxa"/>
          </w:tcPr>
          <w:p w14:paraId="5584309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2"/>
              </w:rPr>
            </w:pPr>
            <w:r w:rsidRPr="00731FE2">
              <w:rPr>
                <w:rFonts w:ascii="Times New Roman" w:eastAsia="Times New Roman" w:hAnsi="Times New Roman" w:cs="Times New Roman"/>
                <w:b/>
                <w:color w:val="000000"/>
                <w:sz w:val="22"/>
              </w:rPr>
              <w:t>Наименование</w:t>
            </w:r>
          </w:p>
        </w:tc>
        <w:tc>
          <w:tcPr>
            <w:tcW w:w="5103" w:type="dxa"/>
          </w:tcPr>
          <w:p w14:paraId="4B49710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2"/>
              </w:rPr>
            </w:pPr>
            <w:r w:rsidRPr="00731FE2">
              <w:rPr>
                <w:rFonts w:ascii="Times New Roman" w:eastAsia="Times New Roman" w:hAnsi="Times New Roman" w:cs="Times New Roman"/>
                <w:b/>
                <w:color w:val="000000"/>
                <w:sz w:val="22"/>
              </w:rPr>
              <w:t>Местоположение</w:t>
            </w:r>
          </w:p>
        </w:tc>
      </w:tr>
      <w:tr w:rsidR="00171AA8" w:rsidRPr="00731FE2" w14:paraId="676E8F0A" w14:textId="77777777">
        <w:tc>
          <w:tcPr>
            <w:tcW w:w="567" w:type="dxa"/>
          </w:tcPr>
          <w:p w14:paraId="3753E297" w14:textId="77777777" w:rsidR="00171AA8" w:rsidRPr="00731FE2" w:rsidRDefault="00171AA8" w:rsidP="007832E7">
            <w:pPr>
              <w:pStyle w:val="a3"/>
              <w:numPr>
                <w:ilvl w:val="0"/>
                <w:numId w:val="101"/>
              </w:numPr>
              <w:ind w:left="28" w:firstLine="0"/>
              <w:rPr>
                <w:rFonts w:ascii="Times New Roman" w:eastAsia="Times New Roman" w:hAnsi="Times New Roman" w:cs="Times New Roman"/>
                <w:color w:val="000000"/>
                <w:sz w:val="22"/>
              </w:rPr>
            </w:pPr>
          </w:p>
        </w:tc>
        <w:tc>
          <w:tcPr>
            <w:tcW w:w="3685" w:type="dxa"/>
          </w:tcPr>
          <w:p w14:paraId="28289CA3"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22"/>
              </w:rPr>
            </w:pPr>
            <w:r w:rsidRPr="00731FE2">
              <w:rPr>
                <w:rFonts w:ascii="Times New Roman" w:eastAsia="Times New Roman" w:hAnsi="Times New Roman" w:cs="Times New Roman"/>
                <w:color w:val="000000"/>
                <w:sz w:val="22"/>
              </w:rPr>
              <w:t>«Пятерочка»</w:t>
            </w:r>
          </w:p>
        </w:tc>
        <w:tc>
          <w:tcPr>
            <w:tcW w:w="5103" w:type="dxa"/>
          </w:tcPr>
          <w:p w14:paraId="390DF4A1"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22"/>
              </w:rPr>
            </w:pPr>
            <w:r w:rsidRPr="00731FE2">
              <w:rPr>
                <w:rFonts w:ascii="Times New Roman" w:eastAsia="Times New Roman" w:hAnsi="Times New Roman" w:cs="Times New Roman"/>
                <w:color w:val="000000"/>
                <w:sz w:val="22"/>
              </w:rPr>
              <w:t>ул. Розы Люксембург, 20, г. Кисловодск</w:t>
            </w:r>
          </w:p>
        </w:tc>
      </w:tr>
      <w:tr w:rsidR="00171AA8" w:rsidRPr="00731FE2" w14:paraId="1FABBE01" w14:textId="77777777">
        <w:tc>
          <w:tcPr>
            <w:tcW w:w="567" w:type="dxa"/>
          </w:tcPr>
          <w:p w14:paraId="17726893" w14:textId="77777777" w:rsidR="00171AA8" w:rsidRPr="00731FE2" w:rsidRDefault="00171AA8" w:rsidP="007832E7">
            <w:pPr>
              <w:pStyle w:val="a3"/>
              <w:numPr>
                <w:ilvl w:val="0"/>
                <w:numId w:val="101"/>
              </w:numPr>
              <w:ind w:left="28" w:firstLine="0"/>
              <w:rPr>
                <w:rFonts w:ascii="Times New Roman" w:eastAsia="Times New Roman" w:hAnsi="Times New Roman" w:cs="Times New Roman"/>
                <w:color w:val="000000"/>
                <w:sz w:val="22"/>
              </w:rPr>
            </w:pPr>
          </w:p>
        </w:tc>
        <w:tc>
          <w:tcPr>
            <w:tcW w:w="3685" w:type="dxa"/>
          </w:tcPr>
          <w:p w14:paraId="1B227F22"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22"/>
              </w:rPr>
            </w:pPr>
            <w:r w:rsidRPr="00731FE2">
              <w:rPr>
                <w:rFonts w:ascii="Times New Roman" w:eastAsia="Times New Roman" w:hAnsi="Times New Roman" w:cs="Times New Roman"/>
                <w:color w:val="000000"/>
                <w:sz w:val="22"/>
              </w:rPr>
              <w:t>«Red Taxi»</w:t>
            </w:r>
          </w:p>
        </w:tc>
        <w:tc>
          <w:tcPr>
            <w:tcW w:w="5103" w:type="dxa"/>
          </w:tcPr>
          <w:p w14:paraId="157409E1"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22"/>
              </w:rPr>
            </w:pPr>
            <w:r w:rsidRPr="00731FE2">
              <w:rPr>
                <w:rFonts w:ascii="Times New Roman" w:eastAsia="Times New Roman" w:hAnsi="Times New Roman" w:cs="Times New Roman"/>
                <w:color w:val="000000"/>
                <w:sz w:val="22"/>
              </w:rPr>
              <w:t xml:space="preserve">ул. </w:t>
            </w:r>
            <w:proofErr w:type="gramStart"/>
            <w:r w:rsidRPr="00731FE2">
              <w:rPr>
                <w:rFonts w:ascii="Times New Roman" w:eastAsia="Times New Roman" w:hAnsi="Times New Roman" w:cs="Times New Roman"/>
                <w:color w:val="000000"/>
                <w:sz w:val="22"/>
              </w:rPr>
              <w:t>Азербайджанская</w:t>
            </w:r>
            <w:proofErr w:type="gramEnd"/>
            <w:r w:rsidRPr="00731FE2">
              <w:rPr>
                <w:rFonts w:ascii="Times New Roman" w:eastAsia="Times New Roman" w:hAnsi="Times New Roman" w:cs="Times New Roman"/>
                <w:color w:val="000000"/>
                <w:sz w:val="22"/>
              </w:rPr>
              <w:t>, 17, г. Кисловодск</w:t>
            </w:r>
          </w:p>
        </w:tc>
      </w:tr>
      <w:tr w:rsidR="00171AA8" w:rsidRPr="00731FE2" w14:paraId="1D60187F" w14:textId="77777777">
        <w:tc>
          <w:tcPr>
            <w:tcW w:w="567" w:type="dxa"/>
          </w:tcPr>
          <w:p w14:paraId="1AA4E7DC" w14:textId="77777777" w:rsidR="00171AA8" w:rsidRPr="00731FE2" w:rsidRDefault="00171AA8" w:rsidP="007832E7">
            <w:pPr>
              <w:pStyle w:val="a3"/>
              <w:numPr>
                <w:ilvl w:val="0"/>
                <w:numId w:val="101"/>
              </w:numPr>
              <w:ind w:left="28" w:firstLine="0"/>
              <w:rPr>
                <w:rFonts w:ascii="Times New Roman" w:eastAsia="Times New Roman" w:hAnsi="Times New Roman" w:cs="Times New Roman"/>
                <w:color w:val="000000"/>
                <w:sz w:val="22"/>
              </w:rPr>
            </w:pPr>
          </w:p>
        </w:tc>
        <w:tc>
          <w:tcPr>
            <w:tcW w:w="3685" w:type="dxa"/>
          </w:tcPr>
          <w:p w14:paraId="435F9EF1"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22"/>
              </w:rPr>
            </w:pPr>
            <w:r w:rsidRPr="00731FE2">
              <w:rPr>
                <w:rFonts w:ascii="Times New Roman" w:eastAsia="Times New Roman" w:hAnsi="Times New Roman" w:cs="Times New Roman"/>
                <w:color w:val="000000"/>
                <w:sz w:val="22"/>
              </w:rPr>
              <w:t>«Taxi Online – ТаксоМаркет»</w:t>
            </w:r>
          </w:p>
        </w:tc>
        <w:tc>
          <w:tcPr>
            <w:tcW w:w="5103" w:type="dxa"/>
          </w:tcPr>
          <w:p w14:paraId="466149FC"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22"/>
              </w:rPr>
            </w:pPr>
            <w:r w:rsidRPr="00731FE2">
              <w:rPr>
                <w:rFonts w:ascii="Times New Roman" w:eastAsia="Times New Roman" w:hAnsi="Times New Roman" w:cs="Times New Roman"/>
                <w:color w:val="000000"/>
                <w:sz w:val="22"/>
              </w:rPr>
              <w:t>пр. Цандера, 11, г. Кисловодск</w:t>
            </w:r>
          </w:p>
        </w:tc>
      </w:tr>
      <w:tr w:rsidR="00171AA8" w:rsidRPr="00731FE2" w14:paraId="249729D1" w14:textId="77777777">
        <w:tc>
          <w:tcPr>
            <w:tcW w:w="567" w:type="dxa"/>
          </w:tcPr>
          <w:p w14:paraId="0A9892B6" w14:textId="77777777" w:rsidR="00171AA8" w:rsidRPr="00731FE2" w:rsidRDefault="00171AA8" w:rsidP="007832E7">
            <w:pPr>
              <w:pStyle w:val="a3"/>
              <w:numPr>
                <w:ilvl w:val="0"/>
                <w:numId w:val="101"/>
              </w:numPr>
              <w:ind w:left="28" w:firstLine="0"/>
              <w:rPr>
                <w:rFonts w:ascii="Times New Roman" w:eastAsia="Times New Roman" w:hAnsi="Times New Roman" w:cs="Times New Roman"/>
                <w:color w:val="000000"/>
                <w:sz w:val="22"/>
              </w:rPr>
            </w:pPr>
          </w:p>
        </w:tc>
        <w:tc>
          <w:tcPr>
            <w:tcW w:w="3685" w:type="dxa"/>
          </w:tcPr>
          <w:p w14:paraId="1A410A0A"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22"/>
              </w:rPr>
            </w:pPr>
            <w:r w:rsidRPr="00731FE2">
              <w:rPr>
                <w:rFonts w:ascii="Times New Roman" w:eastAsia="Times New Roman" w:hAnsi="Times New Roman" w:cs="Times New Roman"/>
                <w:color w:val="000000"/>
                <w:sz w:val="22"/>
              </w:rPr>
              <w:t>«Taxi MAXi»</w:t>
            </w:r>
          </w:p>
        </w:tc>
        <w:tc>
          <w:tcPr>
            <w:tcW w:w="5103" w:type="dxa"/>
          </w:tcPr>
          <w:p w14:paraId="4C2AE4C5"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22"/>
              </w:rPr>
            </w:pPr>
            <w:r w:rsidRPr="00731FE2">
              <w:rPr>
                <w:rFonts w:ascii="Times New Roman" w:eastAsia="Times New Roman" w:hAnsi="Times New Roman" w:cs="Times New Roman"/>
                <w:color w:val="000000"/>
                <w:sz w:val="22"/>
              </w:rPr>
              <w:t>ул. Крутая Дорога, 17, г. Кисловодск</w:t>
            </w:r>
          </w:p>
        </w:tc>
      </w:tr>
      <w:tr w:rsidR="00171AA8" w:rsidRPr="00731FE2" w14:paraId="66086F5F" w14:textId="77777777">
        <w:tc>
          <w:tcPr>
            <w:tcW w:w="567" w:type="dxa"/>
          </w:tcPr>
          <w:p w14:paraId="562BFF01" w14:textId="77777777" w:rsidR="00171AA8" w:rsidRPr="00731FE2" w:rsidRDefault="00171AA8" w:rsidP="007832E7">
            <w:pPr>
              <w:pStyle w:val="a3"/>
              <w:numPr>
                <w:ilvl w:val="0"/>
                <w:numId w:val="101"/>
              </w:numPr>
              <w:ind w:left="28" w:firstLine="0"/>
              <w:rPr>
                <w:rFonts w:ascii="Times New Roman" w:eastAsia="Times New Roman" w:hAnsi="Times New Roman" w:cs="Times New Roman"/>
                <w:color w:val="000000"/>
                <w:sz w:val="22"/>
              </w:rPr>
            </w:pPr>
          </w:p>
        </w:tc>
        <w:tc>
          <w:tcPr>
            <w:tcW w:w="3685" w:type="dxa"/>
          </w:tcPr>
          <w:p w14:paraId="70E2BF86"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22"/>
              </w:rPr>
            </w:pPr>
            <w:r w:rsidRPr="00731FE2">
              <w:rPr>
                <w:rFonts w:ascii="Times New Roman" w:eastAsia="Times New Roman" w:hAnsi="Times New Roman" w:cs="Times New Roman"/>
                <w:color w:val="000000"/>
                <w:sz w:val="22"/>
              </w:rPr>
              <w:t>«Такси Море»</w:t>
            </w:r>
          </w:p>
        </w:tc>
        <w:tc>
          <w:tcPr>
            <w:tcW w:w="5103" w:type="dxa"/>
          </w:tcPr>
          <w:p w14:paraId="45DA62AD"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22"/>
              </w:rPr>
            </w:pPr>
            <w:r w:rsidRPr="00731FE2">
              <w:rPr>
                <w:rFonts w:ascii="Times New Roman" w:eastAsia="Times New Roman" w:hAnsi="Times New Roman" w:cs="Times New Roman"/>
                <w:color w:val="000000"/>
                <w:sz w:val="22"/>
              </w:rPr>
              <w:t>ул. Белоглинская, 20, Кисловодск</w:t>
            </w:r>
          </w:p>
        </w:tc>
      </w:tr>
      <w:tr w:rsidR="00171AA8" w:rsidRPr="00731FE2" w14:paraId="4D39D294" w14:textId="77777777">
        <w:tc>
          <w:tcPr>
            <w:tcW w:w="567" w:type="dxa"/>
          </w:tcPr>
          <w:p w14:paraId="6CA57842" w14:textId="77777777" w:rsidR="00171AA8" w:rsidRPr="00731FE2" w:rsidRDefault="00171AA8" w:rsidP="007832E7">
            <w:pPr>
              <w:pStyle w:val="a3"/>
              <w:numPr>
                <w:ilvl w:val="0"/>
                <w:numId w:val="101"/>
              </w:numPr>
              <w:ind w:left="28" w:firstLine="0"/>
              <w:rPr>
                <w:rFonts w:ascii="Times New Roman" w:eastAsia="Times New Roman" w:hAnsi="Times New Roman" w:cs="Times New Roman"/>
                <w:color w:val="000000"/>
                <w:sz w:val="22"/>
              </w:rPr>
            </w:pPr>
          </w:p>
        </w:tc>
        <w:tc>
          <w:tcPr>
            <w:tcW w:w="3685" w:type="dxa"/>
          </w:tcPr>
          <w:p w14:paraId="230379A2"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22"/>
              </w:rPr>
            </w:pPr>
            <w:r w:rsidRPr="00731FE2">
              <w:rPr>
                <w:rFonts w:ascii="Times New Roman" w:eastAsia="Times New Roman" w:hAnsi="Times New Roman" w:cs="Times New Roman"/>
                <w:color w:val="000000"/>
                <w:sz w:val="22"/>
              </w:rPr>
              <w:t>«Taxi online»</w:t>
            </w:r>
          </w:p>
        </w:tc>
        <w:tc>
          <w:tcPr>
            <w:tcW w:w="5103" w:type="dxa"/>
          </w:tcPr>
          <w:p w14:paraId="575E06DB"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22"/>
              </w:rPr>
            </w:pPr>
            <w:r w:rsidRPr="00731FE2">
              <w:rPr>
                <w:rFonts w:ascii="Times New Roman" w:eastAsia="Times New Roman" w:hAnsi="Times New Roman" w:cs="Times New Roman"/>
                <w:color w:val="000000"/>
                <w:sz w:val="22"/>
              </w:rPr>
              <w:t>пр. Победы, 10г, г. Кисловодск</w:t>
            </w:r>
          </w:p>
        </w:tc>
      </w:tr>
      <w:tr w:rsidR="00171AA8" w:rsidRPr="00731FE2" w14:paraId="079A4665" w14:textId="77777777">
        <w:tc>
          <w:tcPr>
            <w:tcW w:w="567" w:type="dxa"/>
          </w:tcPr>
          <w:p w14:paraId="3E505B7F" w14:textId="77777777" w:rsidR="00171AA8" w:rsidRPr="00731FE2" w:rsidRDefault="00171AA8" w:rsidP="007832E7">
            <w:pPr>
              <w:pStyle w:val="a3"/>
              <w:numPr>
                <w:ilvl w:val="0"/>
                <w:numId w:val="101"/>
              </w:numPr>
              <w:ind w:left="28" w:firstLine="0"/>
              <w:rPr>
                <w:rFonts w:ascii="Times New Roman" w:eastAsia="Times New Roman" w:hAnsi="Times New Roman" w:cs="Times New Roman"/>
                <w:color w:val="000000"/>
                <w:sz w:val="22"/>
              </w:rPr>
            </w:pPr>
          </w:p>
        </w:tc>
        <w:tc>
          <w:tcPr>
            <w:tcW w:w="3685" w:type="dxa"/>
          </w:tcPr>
          <w:p w14:paraId="2BD2E7E9"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22"/>
              </w:rPr>
            </w:pPr>
            <w:r w:rsidRPr="00731FE2">
              <w:rPr>
                <w:rFonts w:ascii="Times New Roman" w:eastAsia="Times New Roman" w:hAnsi="Times New Roman" w:cs="Times New Roman"/>
                <w:color w:val="000000"/>
                <w:sz w:val="22"/>
              </w:rPr>
              <w:t>«Логан-люкс»</w:t>
            </w:r>
          </w:p>
        </w:tc>
        <w:tc>
          <w:tcPr>
            <w:tcW w:w="5103" w:type="dxa"/>
          </w:tcPr>
          <w:p w14:paraId="5517A824"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22"/>
              </w:rPr>
            </w:pPr>
            <w:r w:rsidRPr="00731FE2">
              <w:rPr>
                <w:rFonts w:ascii="Times New Roman" w:eastAsia="Times New Roman" w:hAnsi="Times New Roman" w:cs="Times New Roman"/>
                <w:color w:val="000000"/>
                <w:sz w:val="22"/>
              </w:rPr>
              <w:t>пр. Дзержинского, 22, г. г. Кисловодск</w:t>
            </w:r>
          </w:p>
        </w:tc>
      </w:tr>
      <w:tr w:rsidR="00171AA8" w:rsidRPr="00731FE2" w14:paraId="144ADDF9" w14:textId="77777777">
        <w:tc>
          <w:tcPr>
            <w:tcW w:w="567" w:type="dxa"/>
          </w:tcPr>
          <w:p w14:paraId="448B57F3" w14:textId="77777777" w:rsidR="00171AA8" w:rsidRPr="00731FE2" w:rsidRDefault="00171AA8" w:rsidP="007832E7">
            <w:pPr>
              <w:pStyle w:val="a3"/>
              <w:numPr>
                <w:ilvl w:val="0"/>
                <w:numId w:val="101"/>
              </w:numPr>
              <w:ind w:left="28" w:firstLine="0"/>
              <w:rPr>
                <w:rFonts w:ascii="Times New Roman" w:eastAsia="Times New Roman" w:hAnsi="Times New Roman" w:cs="Times New Roman"/>
                <w:color w:val="000000"/>
                <w:sz w:val="22"/>
              </w:rPr>
            </w:pPr>
          </w:p>
        </w:tc>
        <w:tc>
          <w:tcPr>
            <w:tcW w:w="3685" w:type="dxa"/>
          </w:tcPr>
          <w:p w14:paraId="30B9D527"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22"/>
              </w:rPr>
            </w:pPr>
            <w:r w:rsidRPr="00731FE2">
              <w:rPr>
                <w:rFonts w:ascii="Times New Roman" w:eastAsia="Times New Roman" w:hAnsi="Times New Roman" w:cs="Times New Roman"/>
                <w:color w:val="000000"/>
                <w:sz w:val="22"/>
              </w:rPr>
              <w:t>«PickUp Такси»</w:t>
            </w:r>
          </w:p>
        </w:tc>
        <w:tc>
          <w:tcPr>
            <w:tcW w:w="5103" w:type="dxa"/>
          </w:tcPr>
          <w:p w14:paraId="643304C5"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22"/>
              </w:rPr>
            </w:pPr>
            <w:r w:rsidRPr="00731FE2">
              <w:rPr>
                <w:rFonts w:ascii="Times New Roman" w:eastAsia="Times New Roman" w:hAnsi="Times New Roman" w:cs="Times New Roman"/>
                <w:color w:val="000000"/>
                <w:sz w:val="22"/>
              </w:rPr>
              <w:t xml:space="preserve">ул. </w:t>
            </w:r>
            <w:proofErr w:type="gramStart"/>
            <w:r w:rsidRPr="00731FE2">
              <w:rPr>
                <w:rFonts w:ascii="Times New Roman" w:eastAsia="Times New Roman" w:hAnsi="Times New Roman" w:cs="Times New Roman"/>
                <w:color w:val="000000"/>
                <w:sz w:val="22"/>
              </w:rPr>
              <w:t>Азербайджанская</w:t>
            </w:r>
            <w:proofErr w:type="gramEnd"/>
            <w:r w:rsidRPr="00731FE2">
              <w:rPr>
                <w:rFonts w:ascii="Times New Roman" w:eastAsia="Times New Roman" w:hAnsi="Times New Roman" w:cs="Times New Roman"/>
                <w:color w:val="000000"/>
                <w:sz w:val="22"/>
              </w:rPr>
              <w:t>, 17, г. Кисловодск</w:t>
            </w:r>
          </w:p>
        </w:tc>
      </w:tr>
      <w:tr w:rsidR="00171AA8" w:rsidRPr="00731FE2" w14:paraId="54105DA2" w14:textId="77777777">
        <w:tc>
          <w:tcPr>
            <w:tcW w:w="567" w:type="dxa"/>
          </w:tcPr>
          <w:p w14:paraId="17325C39" w14:textId="77777777" w:rsidR="00171AA8" w:rsidRPr="00731FE2" w:rsidRDefault="00171AA8" w:rsidP="007832E7">
            <w:pPr>
              <w:pStyle w:val="a3"/>
              <w:numPr>
                <w:ilvl w:val="0"/>
                <w:numId w:val="101"/>
              </w:numPr>
              <w:ind w:left="28" w:firstLine="0"/>
              <w:rPr>
                <w:rFonts w:ascii="Times New Roman" w:eastAsia="Times New Roman" w:hAnsi="Times New Roman" w:cs="Times New Roman"/>
                <w:color w:val="000000"/>
                <w:sz w:val="22"/>
              </w:rPr>
            </w:pPr>
          </w:p>
        </w:tc>
        <w:tc>
          <w:tcPr>
            <w:tcW w:w="3685" w:type="dxa"/>
          </w:tcPr>
          <w:p w14:paraId="0208A41E"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22"/>
              </w:rPr>
            </w:pPr>
            <w:r w:rsidRPr="00731FE2">
              <w:rPr>
                <w:rFonts w:ascii="Times New Roman" w:eastAsia="Times New Roman" w:hAnsi="Times New Roman" w:cs="Times New Roman"/>
                <w:color w:val="000000"/>
                <w:sz w:val="22"/>
              </w:rPr>
              <w:t>«Лидер»</w:t>
            </w:r>
          </w:p>
        </w:tc>
        <w:tc>
          <w:tcPr>
            <w:tcW w:w="5103" w:type="dxa"/>
          </w:tcPr>
          <w:p w14:paraId="208CC939"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22"/>
              </w:rPr>
            </w:pPr>
            <w:r w:rsidRPr="00731FE2">
              <w:rPr>
                <w:rFonts w:ascii="Times New Roman" w:eastAsia="Times New Roman" w:hAnsi="Times New Roman" w:cs="Times New Roman"/>
                <w:color w:val="000000"/>
                <w:sz w:val="22"/>
              </w:rPr>
              <w:t>ул. Седлогорская, 116, г. Кисловодск</w:t>
            </w:r>
          </w:p>
        </w:tc>
      </w:tr>
      <w:tr w:rsidR="00171AA8" w:rsidRPr="00731FE2" w14:paraId="4A503893" w14:textId="77777777">
        <w:tc>
          <w:tcPr>
            <w:tcW w:w="567" w:type="dxa"/>
          </w:tcPr>
          <w:p w14:paraId="12E4FD1A" w14:textId="77777777" w:rsidR="00171AA8" w:rsidRPr="00731FE2" w:rsidRDefault="00171AA8" w:rsidP="007832E7">
            <w:pPr>
              <w:pStyle w:val="a3"/>
              <w:numPr>
                <w:ilvl w:val="0"/>
                <w:numId w:val="101"/>
              </w:numPr>
              <w:ind w:left="28" w:firstLine="0"/>
              <w:rPr>
                <w:rFonts w:ascii="Times New Roman" w:eastAsia="Times New Roman" w:hAnsi="Times New Roman" w:cs="Times New Roman"/>
                <w:color w:val="000000"/>
                <w:sz w:val="22"/>
              </w:rPr>
            </w:pPr>
          </w:p>
        </w:tc>
        <w:tc>
          <w:tcPr>
            <w:tcW w:w="3685" w:type="dxa"/>
          </w:tcPr>
          <w:p w14:paraId="75CE7B79"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22"/>
              </w:rPr>
            </w:pPr>
            <w:r w:rsidRPr="00731FE2">
              <w:rPr>
                <w:rFonts w:ascii="Times New Roman" w:eastAsia="Times New Roman" w:hAnsi="Times New Roman" w:cs="Times New Roman"/>
                <w:color w:val="000000"/>
                <w:sz w:val="22"/>
              </w:rPr>
              <w:t>«РАДА»</w:t>
            </w:r>
          </w:p>
        </w:tc>
        <w:tc>
          <w:tcPr>
            <w:tcW w:w="5103" w:type="dxa"/>
          </w:tcPr>
          <w:p w14:paraId="0D63D788"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22"/>
              </w:rPr>
            </w:pPr>
            <w:r w:rsidRPr="00731FE2">
              <w:rPr>
                <w:rFonts w:ascii="Times New Roman" w:eastAsia="Times New Roman" w:hAnsi="Times New Roman" w:cs="Times New Roman"/>
                <w:color w:val="000000"/>
                <w:sz w:val="22"/>
              </w:rPr>
              <w:t>ул. Кирова, 19, г. Кисловодск</w:t>
            </w:r>
          </w:p>
        </w:tc>
      </w:tr>
      <w:tr w:rsidR="00171AA8" w:rsidRPr="00731FE2" w14:paraId="2D310217" w14:textId="77777777">
        <w:tc>
          <w:tcPr>
            <w:tcW w:w="567" w:type="dxa"/>
          </w:tcPr>
          <w:p w14:paraId="029733C7" w14:textId="77777777" w:rsidR="00171AA8" w:rsidRPr="00731FE2" w:rsidRDefault="00171AA8" w:rsidP="007832E7">
            <w:pPr>
              <w:pStyle w:val="a3"/>
              <w:numPr>
                <w:ilvl w:val="0"/>
                <w:numId w:val="101"/>
              </w:numPr>
              <w:ind w:left="28" w:firstLine="0"/>
              <w:rPr>
                <w:rFonts w:ascii="Times New Roman" w:eastAsia="Times New Roman" w:hAnsi="Times New Roman" w:cs="Times New Roman"/>
                <w:color w:val="000000"/>
                <w:sz w:val="22"/>
              </w:rPr>
            </w:pPr>
          </w:p>
        </w:tc>
        <w:tc>
          <w:tcPr>
            <w:tcW w:w="3685" w:type="dxa"/>
          </w:tcPr>
          <w:p w14:paraId="7DA9FAA2"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22"/>
              </w:rPr>
            </w:pPr>
            <w:r w:rsidRPr="00731FE2">
              <w:rPr>
                <w:rFonts w:ascii="Times New Roman" w:eastAsia="Times New Roman" w:hAnsi="Times New Roman" w:cs="Times New Roman"/>
                <w:color w:val="000000"/>
                <w:sz w:val="22"/>
              </w:rPr>
              <w:t>«Дрим»</w:t>
            </w:r>
          </w:p>
        </w:tc>
        <w:tc>
          <w:tcPr>
            <w:tcW w:w="5103" w:type="dxa"/>
          </w:tcPr>
          <w:p w14:paraId="7D011289"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22"/>
              </w:rPr>
            </w:pPr>
            <w:r w:rsidRPr="00731FE2">
              <w:rPr>
                <w:rFonts w:ascii="Times New Roman" w:eastAsia="Times New Roman" w:hAnsi="Times New Roman" w:cs="Times New Roman"/>
                <w:color w:val="000000"/>
                <w:sz w:val="22"/>
              </w:rPr>
              <w:t>Набережная ул., г. Кисловодск</w:t>
            </w:r>
          </w:p>
        </w:tc>
      </w:tr>
      <w:tr w:rsidR="00171AA8" w:rsidRPr="00731FE2" w14:paraId="5D592008" w14:textId="77777777">
        <w:tc>
          <w:tcPr>
            <w:tcW w:w="567" w:type="dxa"/>
          </w:tcPr>
          <w:p w14:paraId="4C29EA9F" w14:textId="77777777" w:rsidR="00171AA8" w:rsidRPr="00731FE2" w:rsidRDefault="00171AA8" w:rsidP="007832E7">
            <w:pPr>
              <w:pStyle w:val="a3"/>
              <w:numPr>
                <w:ilvl w:val="0"/>
                <w:numId w:val="101"/>
              </w:numPr>
              <w:ind w:left="28" w:firstLine="0"/>
              <w:rPr>
                <w:rFonts w:ascii="Times New Roman" w:eastAsia="Times New Roman" w:hAnsi="Times New Roman" w:cs="Times New Roman"/>
                <w:color w:val="000000"/>
                <w:sz w:val="22"/>
              </w:rPr>
            </w:pPr>
          </w:p>
        </w:tc>
        <w:tc>
          <w:tcPr>
            <w:tcW w:w="3685" w:type="dxa"/>
          </w:tcPr>
          <w:p w14:paraId="7F1AAD6D"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22"/>
              </w:rPr>
            </w:pPr>
            <w:r w:rsidRPr="00731FE2">
              <w:rPr>
                <w:rFonts w:ascii="Times New Roman" w:eastAsia="Times New Roman" w:hAnsi="Times New Roman" w:cs="Times New Roman"/>
                <w:color w:val="000000"/>
                <w:sz w:val="22"/>
              </w:rPr>
              <w:t>«Фортуна»</w:t>
            </w:r>
          </w:p>
        </w:tc>
        <w:tc>
          <w:tcPr>
            <w:tcW w:w="5103" w:type="dxa"/>
          </w:tcPr>
          <w:p w14:paraId="3D7C1C5E"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22"/>
              </w:rPr>
            </w:pPr>
            <w:r w:rsidRPr="00731FE2">
              <w:rPr>
                <w:rFonts w:ascii="Times New Roman" w:eastAsia="Times New Roman" w:hAnsi="Times New Roman" w:cs="Times New Roman"/>
                <w:color w:val="000000"/>
                <w:sz w:val="22"/>
              </w:rPr>
              <w:t xml:space="preserve">ул. </w:t>
            </w:r>
            <w:proofErr w:type="gramStart"/>
            <w:r w:rsidRPr="00731FE2">
              <w:rPr>
                <w:rFonts w:ascii="Times New Roman" w:eastAsia="Times New Roman" w:hAnsi="Times New Roman" w:cs="Times New Roman"/>
                <w:color w:val="000000"/>
                <w:sz w:val="22"/>
              </w:rPr>
              <w:t>Железнодорожная</w:t>
            </w:r>
            <w:proofErr w:type="gramEnd"/>
            <w:r w:rsidRPr="00731FE2">
              <w:rPr>
                <w:rFonts w:ascii="Times New Roman" w:eastAsia="Times New Roman" w:hAnsi="Times New Roman" w:cs="Times New Roman"/>
                <w:color w:val="000000"/>
                <w:sz w:val="22"/>
              </w:rPr>
              <w:t>, 20, г. Кисловодск</w:t>
            </w:r>
          </w:p>
        </w:tc>
      </w:tr>
      <w:tr w:rsidR="00171AA8" w:rsidRPr="00731FE2" w14:paraId="4C64612D" w14:textId="77777777">
        <w:tc>
          <w:tcPr>
            <w:tcW w:w="567" w:type="dxa"/>
          </w:tcPr>
          <w:p w14:paraId="3F2EC399" w14:textId="77777777" w:rsidR="00171AA8" w:rsidRPr="00731FE2" w:rsidRDefault="00171AA8" w:rsidP="007832E7">
            <w:pPr>
              <w:pStyle w:val="a3"/>
              <w:numPr>
                <w:ilvl w:val="0"/>
                <w:numId w:val="101"/>
              </w:numPr>
              <w:ind w:left="28" w:firstLine="0"/>
              <w:rPr>
                <w:rFonts w:ascii="Times New Roman" w:eastAsia="Times New Roman" w:hAnsi="Times New Roman" w:cs="Times New Roman"/>
                <w:color w:val="000000"/>
                <w:sz w:val="22"/>
              </w:rPr>
            </w:pPr>
          </w:p>
        </w:tc>
        <w:tc>
          <w:tcPr>
            <w:tcW w:w="3685" w:type="dxa"/>
          </w:tcPr>
          <w:p w14:paraId="0012A59E"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22"/>
              </w:rPr>
            </w:pPr>
            <w:r w:rsidRPr="00731FE2">
              <w:rPr>
                <w:rFonts w:ascii="Times New Roman" w:eastAsia="Times New Roman" w:hAnsi="Times New Roman" w:cs="Times New Roman"/>
                <w:color w:val="000000"/>
                <w:sz w:val="22"/>
              </w:rPr>
              <w:t>«Такси 24»</w:t>
            </w:r>
          </w:p>
        </w:tc>
        <w:tc>
          <w:tcPr>
            <w:tcW w:w="5103" w:type="dxa"/>
          </w:tcPr>
          <w:p w14:paraId="66685A7D"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22"/>
              </w:rPr>
            </w:pPr>
            <w:r w:rsidRPr="00731FE2">
              <w:rPr>
                <w:rFonts w:ascii="Times New Roman" w:eastAsia="Times New Roman" w:hAnsi="Times New Roman" w:cs="Times New Roman"/>
                <w:color w:val="000000"/>
                <w:sz w:val="22"/>
              </w:rPr>
              <w:t>г. Кисловодск</w:t>
            </w:r>
          </w:p>
        </w:tc>
      </w:tr>
      <w:tr w:rsidR="00171AA8" w:rsidRPr="00731FE2" w14:paraId="2C815486" w14:textId="77777777">
        <w:tc>
          <w:tcPr>
            <w:tcW w:w="567" w:type="dxa"/>
          </w:tcPr>
          <w:p w14:paraId="41F0D4D0" w14:textId="77777777" w:rsidR="00171AA8" w:rsidRPr="00731FE2" w:rsidRDefault="00171AA8" w:rsidP="007832E7">
            <w:pPr>
              <w:pStyle w:val="a3"/>
              <w:numPr>
                <w:ilvl w:val="0"/>
                <w:numId w:val="101"/>
              </w:numPr>
              <w:ind w:left="28" w:firstLine="0"/>
              <w:rPr>
                <w:rFonts w:ascii="Times New Roman" w:eastAsia="Times New Roman" w:hAnsi="Times New Roman" w:cs="Times New Roman"/>
                <w:color w:val="000000"/>
                <w:sz w:val="22"/>
              </w:rPr>
            </w:pPr>
          </w:p>
        </w:tc>
        <w:tc>
          <w:tcPr>
            <w:tcW w:w="3685" w:type="dxa"/>
          </w:tcPr>
          <w:p w14:paraId="4F2104C1"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22"/>
              </w:rPr>
            </w:pPr>
            <w:r w:rsidRPr="00731FE2">
              <w:rPr>
                <w:rFonts w:ascii="Times New Roman" w:eastAsia="Times New Roman" w:hAnsi="Times New Roman" w:cs="Times New Roman"/>
                <w:color w:val="000000"/>
                <w:sz w:val="22"/>
              </w:rPr>
              <w:t>«Аметиз»</w:t>
            </w:r>
          </w:p>
        </w:tc>
        <w:tc>
          <w:tcPr>
            <w:tcW w:w="5103" w:type="dxa"/>
          </w:tcPr>
          <w:p w14:paraId="40C04E1C"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22"/>
              </w:rPr>
            </w:pPr>
            <w:r w:rsidRPr="00731FE2">
              <w:rPr>
                <w:rFonts w:ascii="Times New Roman" w:eastAsia="Times New Roman" w:hAnsi="Times New Roman" w:cs="Times New Roman"/>
                <w:color w:val="000000"/>
                <w:sz w:val="22"/>
              </w:rPr>
              <w:t>г. Кисловодск</w:t>
            </w:r>
          </w:p>
        </w:tc>
      </w:tr>
    </w:tbl>
    <w:p w14:paraId="7894760A" w14:textId="77777777" w:rsidR="00171AA8" w:rsidRPr="00731FE2" w:rsidRDefault="00171AA8">
      <w:pPr>
        <w:pBdr>
          <w:top w:val="none" w:sz="4" w:space="0" w:color="000000"/>
          <w:left w:val="none" w:sz="4" w:space="0" w:color="000000"/>
          <w:bottom w:val="none" w:sz="4" w:space="0" w:color="000000"/>
          <w:right w:val="none" w:sz="4" w:space="0" w:color="000000"/>
        </w:pBdr>
      </w:pPr>
    </w:p>
    <w:p w14:paraId="728143E8"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themeColor="text1"/>
        </w:rPr>
      </w:pPr>
      <w:r w:rsidRPr="00731FE2">
        <w:rPr>
          <w:rFonts w:ascii="Times New Roman" w:eastAsia="Times New Roman" w:hAnsi="Times New Roman" w:cs="Times New Roman"/>
          <w:color w:val="000000"/>
        </w:rPr>
        <w:t xml:space="preserve">В соответствии с Реестром выданных разрешений на осуществление деятельности по перевозке пассажиров и багажа легковым такси на территории Ставропольского края, по состоянию на 01.01.2019 года на территории города-курорта Кисловодска 127 </w:t>
      </w:r>
      <w:r w:rsidRPr="00731FE2">
        <w:rPr>
          <w:rFonts w:ascii="Times New Roman" w:eastAsia="Times New Roman" w:hAnsi="Times New Roman" w:cs="Times New Roman"/>
          <w:color w:val="000000"/>
        </w:rPr>
        <w:lastRenderedPageBreak/>
        <w:t>действующих разрешений на осуществление деятельности по перевозке пассажиров и багажа легковым такси на территории Ставропольского кр</w:t>
      </w:r>
      <w:r w:rsidRPr="00731FE2">
        <w:rPr>
          <w:rFonts w:ascii="Times New Roman" w:eastAsia="Times New Roman" w:hAnsi="Times New Roman" w:cs="Times New Roman"/>
          <w:color w:val="000000" w:themeColor="text1"/>
        </w:rPr>
        <w:t>ая</w:t>
      </w:r>
      <w:r w:rsidRPr="00731FE2">
        <w:rPr>
          <w:rFonts w:ascii="Times New Roman" w:eastAsia="Times New Roman" w:hAnsi="Times New Roman" w:cs="Times New Roman"/>
          <w:color w:val="000000" w:themeColor="text1"/>
          <w:vertAlign w:val="superscript"/>
        </w:rPr>
        <w:footnoteReference w:id="61"/>
      </w:r>
      <w:r w:rsidRPr="00731FE2">
        <w:rPr>
          <w:rFonts w:ascii="Times New Roman" w:eastAsia="Times New Roman" w:hAnsi="Times New Roman" w:cs="Times New Roman"/>
          <w:color w:val="000000" w:themeColor="text1"/>
        </w:rPr>
        <w:t>.</w:t>
      </w:r>
    </w:p>
    <w:p w14:paraId="6417193C"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 xml:space="preserve">Пригородные поезда </w:t>
      </w:r>
      <w:proofErr w:type="gramStart"/>
      <w:r w:rsidRPr="00731FE2">
        <w:rPr>
          <w:rFonts w:ascii="Times New Roman" w:eastAsia="Times New Roman" w:hAnsi="Times New Roman" w:cs="Times New Roman"/>
          <w:color w:val="000000"/>
        </w:rPr>
        <w:t>выполняют роль</w:t>
      </w:r>
      <w:proofErr w:type="gramEnd"/>
      <w:r w:rsidRPr="00731FE2">
        <w:rPr>
          <w:rFonts w:ascii="Times New Roman" w:eastAsia="Times New Roman" w:hAnsi="Times New Roman" w:cs="Times New Roman"/>
          <w:color w:val="000000"/>
        </w:rPr>
        <w:t xml:space="preserve"> внутригородского транспорта (с интенсивностью в 22 пары пригородных поездов в рабочие дни), так как в черте городского округа расположены две станции: «Кисловодск» и «Минутка».</w:t>
      </w:r>
    </w:p>
    <w:p w14:paraId="652FF9AC" w14:textId="77777777" w:rsidR="00171AA8" w:rsidRPr="00731FE2" w:rsidRDefault="007935AB">
      <w:pPr>
        <w:pStyle w:val="33"/>
        <w:rPr>
          <w:rFonts w:ascii="Times New Roman" w:hAnsi="Times New Roman" w:cs="Times New Roman"/>
        </w:rPr>
      </w:pPr>
      <w:bookmarkStart w:id="44" w:name="_Toc177392795"/>
      <w:r w:rsidRPr="00731FE2">
        <w:rPr>
          <w:rFonts w:ascii="Times New Roman" w:hAnsi="Times New Roman" w:cs="Times New Roman"/>
        </w:rPr>
        <w:t>2.10.3 Транспортно-инженерная инфраструктура</w:t>
      </w:r>
      <w:bookmarkEnd w:id="44"/>
    </w:p>
    <w:p w14:paraId="7C8A2461"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Транспортно-обслуживающая инфраструктура Кисловодска представлена следующими объектами:</w:t>
      </w:r>
    </w:p>
    <w:p w14:paraId="5AA2A8D4" w14:textId="77777777" w:rsidR="00171AA8" w:rsidRPr="00731FE2" w:rsidRDefault="007935AB" w:rsidP="007832E7">
      <w:pPr>
        <w:pStyle w:val="a3"/>
        <w:numPr>
          <w:ilvl w:val="0"/>
          <w:numId w:val="102"/>
        </w:numPr>
        <w:pBdr>
          <w:top w:val="none" w:sz="4" w:space="0" w:color="000000"/>
          <w:left w:val="none" w:sz="4" w:space="0" w:color="000000"/>
          <w:bottom w:val="none" w:sz="4" w:space="0" w:color="000000"/>
          <w:right w:val="none" w:sz="4" w:space="0" w:color="000000"/>
        </w:pBdr>
        <w:ind w:left="0" w:firstLine="360"/>
        <w:rPr>
          <w:rFonts w:ascii="Times New Roman" w:eastAsia="Times New Roman" w:hAnsi="Times New Roman" w:cs="Times New Roman"/>
          <w:color w:val="000000"/>
        </w:rPr>
      </w:pPr>
      <w:r w:rsidRPr="00731FE2">
        <w:rPr>
          <w:rFonts w:ascii="Times New Roman" w:eastAsia="Times New Roman" w:hAnsi="Times New Roman" w:cs="Times New Roman"/>
          <w:color w:val="000000"/>
        </w:rPr>
        <w:t>путепроводы (2 ед.: при въезде в город-курорт со стороны г. Пятигорска и на улице Кирова);</w:t>
      </w:r>
    </w:p>
    <w:p w14:paraId="2D33B624" w14:textId="77777777" w:rsidR="00171AA8" w:rsidRPr="00731FE2" w:rsidRDefault="007935AB" w:rsidP="007832E7">
      <w:pPr>
        <w:pStyle w:val="a3"/>
        <w:numPr>
          <w:ilvl w:val="0"/>
          <w:numId w:val="102"/>
        </w:numPr>
        <w:pBdr>
          <w:top w:val="none" w:sz="4" w:space="0" w:color="000000"/>
          <w:left w:val="none" w:sz="4" w:space="0" w:color="000000"/>
          <w:bottom w:val="none" w:sz="4" w:space="0" w:color="000000"/>
          <w:right w:val="none" w:sz="4" w:space="0" w:color="000000"/>
        </w:pBdr>
        <w:ind w:left="0" w:firstLine="360"/>
        <w:rPr>
          <w:rFonts w:ascii="Times New Roman" w:eastAsia="Times New Roman" w:hAnsi="Times New Roman" w:cs="Times New Roman"/>
          <w:color w:val="000000"/>
        </w:rPr>
      </w:pPr>
      <w:r w:rsidRPr="00731FE2">
        <w:rPr>
          <w:rFonts w:ascii="Times New Roman" w:eastAsia="Times New Roman" w:hAnsi="Times New Roman" w:cs="Times New Roman"/>
          <w:color w:val="000000"/>
        </w:rPr>
        <w:t>наземные пешеходные переходы (69 ед.);</w:t>
      </w:r>
    </w:p>
    <w:p w14:paraId="33DF56D9" w14:textId="77777777" w:rsidR="00171AA8" w:rsidRPr="00731FE2" w:rsidRDefault="007935AB" w:rsidP="007832E7">
      <w:pPr>
        <w:pStyle w:val="a3"/>
        <w:numPr>
          <w:ilvl w:val="0"/>
          <w:numId w:val="102"/>
        </w:numPr>
        <w:pBdr>
          <w:top w:val="none" w:sz="4" w:space="0" w:color="000000"/>
          <w:left w:val="none" w:sz="4" w:space="0" w:color="000000"/>
          <w:bottom w:val="none" w:sz="4" w:space="0" w:color="000000"/>
          <w:right w:val="none" w:sz="4" w:space="0" w:color="000000"/>
        </w:pBdr>
        <w:ind w:left="0" w:firstLine="360"/>
        <w:rPr>
          <w:rFonts w:ascii="Times New Roman" w:eastAsia="Times New Roman" w:hAnsi="Times New Roman" w:cs="Times New Roman"/>
          <w:color w:val="000000"/>
        </w:rPr>
      </w:pPr>
      <w:r w:rsidRPr="00731FE2">
        <w:rPr>
          <w:rFonts w:ascii="Times New Roman" w:eastAsia="Times New Roman" w:hAnsi="Times New Roman" w:cs="Times New Roman"/>
          <w:color w:val="000000"/>
        </w:rPr>
        <w:t>подземные пешеходные переходы (5 ед.);</w:t>
      </w:r>
    </w:p>
    <w:p w14:paraId="1A139F85" w14:textId="77777777" w:rsidR="00171AA8" w:rsidRPr="00731FE2" w:rsidRDefault="007935AB" w:rsidP="007832E7">
      <w:pPr>
        <w:pStyle w:val="a3"/>
        <w:numPr>
          <w:ilvl w:val="0"/>
          <w:numId w:val="102"/>
        </w:numPr>
        <w:pBdr>
          <w:top w:val="none" w:sz="4" w:space="0" w:color="000000"/>
          <w:left w:val="none" w:sz="4" w:space="0" w:color="000000"/>
          <w:bottom w:val="none" w:sz="4" w:space="0" w:color="000000"/>
          <w:right w:val="none" w:sz="4" w:space="0" w:color="000000"/>
        </w:pBdr>
        <w:ind w:left="0" w:firstLine="360"/>
        <w:rPr>
          <w:rFonts w:ascii="Times New Roman" w:eastAsia="Times New Roman" w:hAnsi="Times New Roman" w:cs="Times New Roman"/>
          <w:color w:val="000000"/>
        </w:rPr>
      </w:pPr>
      <w:r w:rsidRPr="00731FE2">
        <w:rPr>
          <w:rFonts w:ascii="Times New Roman" w:eastAsia="Times New Roman" w:hAnsi="Times New Roman" w:cs="Times New Roman"/>
          <w:color w:val="000000"/>
        </w:rPr>
        <w:t>переезды с железной дорогой (3 ед.).</w:t>
      </w:r>
    </w:p>
    <w:p w14:paraId="7DDB7F3D" w14:textId="77777777" w:rsidR="00171AA8" w:rsidRPr="00731FE2" w:rsidRDefault="00171AA8">
      <w:pPr>
        <w:ind w:firstLine="0"/>
        <w:rPr>
          <w:rFonts w:ascii="Times New Roman" w:hAnsi="Times New Roman" w:cs="Times New Roman"/>
          <w:color w:val="000000" w:themeColor="text1"/>
        </w:rPr>
      </w:pPr>
    </w:p>
    <w:p w14:paraId="68AD43C4" w14:textId="77777777" w:rsidR="00171AA8" w:rsidRPr="00731FE2" w:rsidRDefault="007935AB">
      <w:pPr>
        <w:pStyle w:val="af3"/>
        <w:rPr>
          <w:sz w:val="24"/>
          <w:szCs w:val="24"/>
        </w:rPr>
      </w:pPr>
      <w:r w:rsidRPr="00731FE2">
        <w:rPr>
          <w:sz w:val="24"/>
          <w:szCs w:val="24"/>
        </w:rPr>
        <w:t xml:space="preserve">Таблица </w:t>
      </w:r>
      <w:r w:rsidR="00D97880" w:rsidRPr="00731FE2">
        <w:rPr>
          <w:noProof/>
          <w:sz w:val="24"/>
          <w:szCs w:val="24"/>
        </w:rPr>
        <w:fldChar w:fldCharType="begin"/>
      </w:r>
      <w:r w:rsidR="00D97880" w:rsidRPr="00731FE2">
        <w:rPr>
          <w:noProof/>
          <w:sz w:val="24"/>
          <w:szCs w:val="24"/>
        </w:rPr>
        <w:instrText xml:space="preserve"> SEQ Таблица \* Arabic </w:instrText>
      </w:r>
      <w:r w:rsidR="00D97880" w:rsidRPr="00731FE2">
        <w:rPr>
          <w:noProof/>
          <w:sz w:val="24"/>
          <w:szCs w:val="24"/>
        </w:rPr>
        <w:fldChar w:fldCharType="separate"/>
      </w:r>
      <w:r w:rsidR="00C50915" w:rsidRPr="00731FE2">
        <w:rPr>
          <w:noProof/>
          <w:sz w:val="24"/>
          <w:szCs w:val="24"/>
        </w:rPr>
        <w:t>30</w:t>
      </w:r>
      <w:r w:rsidR="00D97880" w:rsidRPr="00731FE2">
        <w:rPr>
          <w:noProof/>
          <w:sz w:val="24"/>
          <w:szCs w:val="24"/>
        </w:rPr>
        <w:fldChar w:fldCharType="end"/>
      </w:r>
      <w:r w:rsidRPr="00731FE2">
        <w:rPr>
          <w:sz w:val="24"/>
          <w:szCs w:val="24"/>
        </w:rPr>
        <w:t xml:space="preserve"> – Перечень мест размещения объектов транспортной инфраструктуры на территории городского округа «город-курорт Кисловодск», 2019 г.</w:t>
      </w:r>
    </w:p>
    <w:tbl>
      <w:tblPr>
        <w:tblStyle w:val="afe"/>
        <w:tblW w:w="0" w:type="auto"/>
        <w:tblLayout w:type="fixed"/>
        <w:tblLook w:val="04A0" w:firstRow="1" w:lastRow="0" w:firstColumn="1" w:lastColumn="0" w:noHBand="0" w:noVBand="1"/>
      </w:tblPr>
      <w:tblGrid>
        <w:gridCol w:w="1842"/>
        <w:gridCol w:w="1843"/>
        <w:gridCol w:w="2409"/>
        <w:gridCol w:w="1559"/>
        <w:gridCol w:w="1702"/>
      </w:tblGrid>
      <w:tr w:rsidR="00171AA8" w:rsidRPr="00731FE2" w14:paraId="128DCBD3" w14:textId="77777777">
        <w:tc>
          <w:tcPr>
            <w:tcW w:w="1842" w:type="dxa"/>
            <w:vAlign w:val="center"/>
          </w:tcPr>
          <w:p w14:paraId="5A0D92B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2"/>
              </w:rPr>
            </w:pPr>
            <w:r w:rsidRPr="00731FE2">
              <w:rPr>
                <w:rFonts w:ascii="Times New Roman" w:eastAsia="Times New Roman" w:hAnsi="Times New Roman" w:cs="Times New Roman"/>
                <w:b/>
                <w:color w:val="000000"/>
                <w:sz w:val="22"/>
              </w:rPr>
              <w:t>Места размещения светофоров</w:t>
            </w:r>
          </w:p>
        </w:tc>
        <w:tc>
          <w:tcPr>
            <w:tcW w:w="1843" w:type="dxa"/>
            <w:vAlign w:val="center"/>
          </w:tcPr>
          <w:p w14:paraId="55C3430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2"/>
              </w:rPr>
            </w:pPr>
            <w:r w:rsidRPr="00731FE2">
              <w:rPr>
                <w:rFonts w:ascii="Times New Roman" w:eastAsia="Times New Roman" w:hAnsi="Times New Roman" w:cs="Times New Roman"/>
                <w:b/>
                <w:color w:val="000000"/>
                <w:sz w:val="22"/>
              </w:rPr>
              <w:t>Места размещения железнодорожных переездов</w:t>
            </w:r>
          </w:p>
        </w:tc>
        <w:tc>
          <w:tcPr>
            <w:tcW w:w="2409" w:type="dxa"/>
            <w:vAlign w:val="center"/>
          </w:tcPr>
          <w:p w14:paraId="3EEEA89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2"/>
              </w:rPr>
            </w:pPr>
            <w:r w:rsidRPr="00731FE2">
              <w:rPr>
                <w:rFonts w:ascii="Times New Roman" w:eastAsia="Times New Roman" w:hAnsi="Times New Roman" w:cs="Times New Roman"/>
                <w:b/>
                <w:color w:val="000000"/>
                <w:sz w:val="22"/>
              </w:rPr>
              <w:t>Места размещения наземных пешеходных переходов</w:t>
            </w:r>
          </w:p>
        </w:tc>
        <w:tc>
          <w:tcPr>
            <w:tcW w:w="1559" w:type="dxa"/>
            <w:vAlign w:val="center"/>
          </w:tcPr>
          <w:p w14:paraId="64C5EB1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2"/>
              </w:rPr>
            </w:pPr>
            <w:r w:rsidRPr="00731FE2">
              <w:rPr>
                <w:rFonts w:ascii="Times New Roman" w:eastAsia="Times New Roman" w:hAnsi="Times New Roman" w:cs="Times New Roman"/>
                <w:b/>
                <w:color w:val="000000"/>
                <w:sz w:val="22"/>
              </w:rPr>
              <w:t>Места размещения подземных пешеходных переходов</w:t>
            </w:r>
          </w:p>
        </w:tc>
        <w:tc>
          <w:tcPr>
            <w:tcW w:w="1702" w:type="dxa"/>
            <w:vAlign w:val="center"/>
          </w:tcPr>
          <w:p w14:paraId="17D99DF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2"/>
              </w:rPr>
            </w:pPr>
            <w:r w:rsidRPr="00731FE2">
              <w:rPr>
                <w:rFonts w:ascii="Times New Roman" w:eastAsia="Times New Roman" w:hAnsi="Times New Roman" w:cs="Times New Roman"/>
                <w:b/>
                <w:color w:val="000000"/>
                <w:sz w:val="22"/>
              </w:rPr>
              <w:t>Места размещения путепроводов</w:t>
            </w:r>
          </w:p>
        </w:tc>
      </w:tr>
      <w:tr w:rsidR="00171AA8" w:rsidRPr="00731FE2" w14:paraId="27E1DFB5" w14:textId="77777777">
        <w:tc>
          <w:tcPr>
            <w:tcW w:w="1842" w:type="dxa"/>
          </w:tcPr>
          <w:p w14:paraId="64D10EE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2"/>
              </w:rPr>
            </w:pPr>
            <w:r w:rsidRPr="00731FE2">
              <w:rPr>
                <w:rFonts w:ascii="Times New Roman" w:eastAsia="Times New Roman" w:hAnsi="Times New Roman" w:cs="Times New Roman"/>
                <w:color w:val="000000"/>
                <w:sz w:val="22"/>
              </w:rPr>
              <w:t>пр. Победы – ул. Седова;</w:t>
            </w:r>
          </w:p>
        </w:tc>
        <w:tc>
          <w:tcPr>
            <w:tcW w:w="1843" w:type="dxa"/>
          </w:tcPr>
          <w:p w14:paraId="4334B48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2"/>
              </w:rPr>
            </w:pPr>
            <w:r w:rsidRPr="00731FE2">
              <w:rPr>
                <w:rFonts w:ascii="Times New Roman" w:eastAsia="Times New Roman" w:hAnsi="Times New Roman" w:cs="Times New Roman"/>
                <w:color w:val="000000"/>
                <w:sz w:val="22"/>
              </w:rPr>
              <w:t>ул. Чехова (61 км Минераловодской дистанции пути);</w:t>
            </w:r>
          </w:p>
        </w:tc>
        <w:tc>
          <w:tcPr>
            <w:tcW w:w="2409" w:type="dxa"/>
          </w:tcPr>
          <w:p w14:paraId="57FEF41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2"/>
              </w:rPr>
            </w:pPr>
            <w:r w:rsidRPr="00731FE2">
              <w:rPr>
                <w:rFonts w:ascii="Times New Roman" w:eastAsia="Times New Roman" w:hAnsi="Times New Roman" w:cs="Times New Roman"/>
                <w:color w:val="000000"/>
                <w:sz w:val="22"/>
              </w:rPr>
              <w:t>пр. Победы (пост ГАИ);</w:t>
            </w:r>
          </w:p>
        </w:tc>
        <w:tc>
          <w:tcPr>
            <w:tcW w:w="1559" w:type="dxa"/>
          </w:tcPr>
          <w:p w14:paraId="6AE5F32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2"/>
              </w:rPr>
            </w:pPr>
            <w:r w:rsidRPr="00731FE2">
              <w:rPr>
                <w:rFonts w:ascii="Times New Roman" w:eastAsia="Times New Roman" w:hAnsi="Times New Roman" w:cs="Times New Roman"/>
                <w:color w:val="000000"/>
                <w:sz w:val="22"/>
              </w:rPr>
              <w:t>Октябрьская площадь (3 ед.);</w:t>
            </w:r>
          </w:p>
        </w:tc>
        <w:tc>
          <w:tcPr>
            <w:tcW w:w="1702" w:type="dxa"/>
            <w:vMerge w:val="restart"/>
          </w:tcPr>
          <w:p w14:paraId="12AE549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2"/>
              </w:rPr>
            </w:pPr>
            <w:r w:rsidRPr="00731FE2">
              <w:rPr>
                <w:rFonts w:ascii="Times New Roman" w:eastAsia="Times New Roman" w:hAnsi="Times New Roman" w:cs="Times New Roman"/>
                <w:color w:val="000000"/>
                <w:sz w:val="22"/>
              </w:rPr>
              <w:t>Въезд в город-курорт со стороны г. Пятигорска (61 км);</w:t>
            </w:r>
          </w:p>
          <w:p w14:paraId="44EF3570" w14:textId="77777777" w:rsidR="00171AA8" w:rsidRPr="00731FE2" w:rsidRDefault="007935AB">
            <w:pPr>
              <w:rPr>
                <w:rFonts w:ascii="Times New Roman" w:hAnsi="Times New Roman" w:cs="Times New Roman"/>
                <w:sz w:val="22"/>
              </w:rPr>
            </w:pPr>
            <w:r w:rsidRPr="00731FE2">
              <w:rPr>
                <w:rFonts w:ascii="Times New Roman" w:eastAsia="Times New Roman" w:hAnsi="Times New Roman" w:cs="Times New Roman"/>
                <w:color w:val="000000"/>
                <w:sz w:val="22"/>
              </w:rPr>
              <w:t>ул. Кирова.</w:t>
            </w:r>
          </w:p>
        </w:tc>
      </w:tr>
      <w:tr w:rsidR="00171AA8" w:rsidRPr="00731FE2" w14:paraId="5DC0A88D" w14:textId="77777777">
        <w:tc>
          <w:tcPr>
            <w:tcW w:w="1842" w:type="dxa"/>
          </w:tcPr>
          <w:p w14:paraId="1F4FEA5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2"/>
              </w:rPr>
            </w:pPr>
            <w:r w:rsidRPr="00731FE2">
              <w:rPr>
                <w:rFonts w:ascii="Times New Roman" w:eastAsia="Times New Roman" w:hAnsi="Times New Roman" w:cs="Times New Roman"/>
                <w:color w:val="000000"/>
                <w:sz w:val="22"/>
              </w:rPr>
              <w:t xml:space="preserve">пр. Победы – ул. </w:t>
            </w:r>
            <w:proofErr w:type="gramStart"/>
            <w:r w:rsidRPr="00731FE2">
              <w:rPr>
                <w:rFonts w:ascii="Times New Roman" w:eastAsia="Times New Roman" w:hAnsi="Times New Roman" w:cs="Times New Roman"/>
                <w:color w:val="000000"/>
                <w:sz w:val="22"/>
              </w:rPr>
              <w:t>Водопойная</w:t>
            </w:r>
            <w:proofErr w:type="gramEnd"/>
            <w:r w:rsidRPr="00731FE2">
              <w:rPr>
                <w:rFonts w:ascii="Times New Roman" w:eastAsia="Times New Roman" w:hAnsi="Times New Roman" w:cs="Times New Roman"/>
                <w:color w:val="000000"/>
                <w:sz w:val="22"/>
              </w:rPr>
              <w:t>;</w:t>
            </w:r>
          </w:p>
        </w:tc>
        <w:tc>
          <w:tcPr>
            <w:tcW w:w="1843" w:type="dxa"/>
          </w:tcPr>
          <w:p w14:paraId="57DCC47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2"/>
              </w:rPr>
            </w:pPr>
            <w:r w:rsidRPr="00731FE2">
              <w:rPr>
                <w:rFonts w:ascii="Times New Roman" w:eastAsia="Times New Roman" w:hAnsi="Times New Roman" w:cs="Times New Roman"/>
                <w:color w:val="000000"/>
                <w:sz w:val="22"/>
              </w:rPr>
              <w:t>ул. Дводненко (62 км Минераловодской дистанции пути);</w:t>
            </w:r>
          </w:p>
        </w:tc>
        <w:tc>
          <w:tcPr>
            <w:tcW w:w="2409" w:type="dxa"/>
          </w:tcPr>
          <w:p w14:paraId="4B692AE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2"/>
              </w:rPr>
            </w:pPr>
            <w:r w:rsidRPr="00731FE2">
              <w:rPr>
                <w:rFonts w:ascii="Times New Roman" w:eastAsia="Times New Roman" w:hAnsi="Times New Roman" w:cs="Times New Roman"/>
                <w:color w:val="000000"/>
                <w:sz w:val="22"/>
              </w:rPr>
              <w:t>пр. Победы – ул. Седова;</w:t>
            </w:r>
          </w:p>
        </w:tc>
        <w:tc>
          <w:tcPr>
            <w:tcW w:w="1559" w:type="dxa"/>
          </w:tcPr>
          <w:p w14:paraId="1C9F791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2"/>
              </w:rPr>
            </w:pPr>
            <w:r w:rsidRPr="00731FE2">
              <w:rPr>
                <w:rFonts w:ascii="Times New Roman" w:eastAsia="Times New Roman" w:hAnsi="Times New Roman" w:cs="Times New Roman"/>
                <w:color w:val="000000"/>
                <w:sz w:val="22"/>
              </w:rPr>
              <w:t xml:space="preserve">ул. </w:t>
            </w:r>
            <w:proofErr w:type="gramStart"/>
            <w:r w:rsidRPr="00731FE2">
              <w:rPr>
                <w:rFonts w:ascii="Times New Roman" w:eastAsia="Times New Roman" w:hAnsi="Times New Roman" w:cs="Times New Roman"/>
                <w:color w:val="000000"/>
                <w:sz w:val="22"/>
              </w:rPr>
              <w:t>Вокзальная</w:t>
            </w:r>
            <w:proofErr w:type="gramEnd"/>
            <w:r w:rsidRPr="00731FE2">
              <w:rPr>
                <w:rFonts w:ascii="Times New Roman" w:eastAsia="Times New Roman" w:hAnsi="Times New Roman" w:cs="Times New Roman"/>
                <w:color w:val="000000"/>
                <w:sz w:val="22"/>
              </w:rPr>
              <w:t xml:space="preserve"> (ж/д вокзал) – 1 ед.;</w:t>
            </w:r>
          </w:p>
        </w:tc>
        <w:tc>
          <w:tcPr>
            <w:tcW w:w="1702" w:type="dxa"/>
            <w:vMerge/>
          </w:tcPr>
          <w:p w14:paraId="2CF568C2" w14:textId="77777777" w:rsidR="00171AA8" w:rsidRPr="00731FE2" w:rsidRDefault="00171AA8">
            <w:pPr>
              <w:rPr>
                <w:rFonts w:ascii="Times New Roman" w:hAnsi="Times New Roman" w:cs="Times New Roman"/>
                <w:sz w:val="22"/>
              </w:rPr>
            </w:pPr>
          </w:p>
        </w:tc>
      </w:tr>
      <w:tr w:rsidR="00171AA8" w:rsidRPr="00731FE2" w14:paraId="24819BFC" w14:textId="77777777">
        <w:trPr>
          <w:trHeight w:val="276"/>
        </w:trPr>
        <w:tc>
          <w:tcPr>
            <w:tcW w:w="1842" w:type="dxa"/>
          </w:tcPr>
          <w:p w14:paraId="430F0D6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2"/>
              </w:rPr>
            </w:pPr>
            <w:r w:rsidRPr="00731FE2">
              <w:rPr>
                <w:rFonts w:ascii="Times New Roman" w:eastAsia="Times New Roman" w:hAnsi="Times New Roman" w:cs="Times New Roman"/>
                <w:color w:val="000000"/>
                <w:sz w:val="22"/>
              </w:rPr>
              <w:t xml:space="preserve">пр. Победы – пер. </w:t>
            </w:r>
            <w:proofErr w:type="gramStart"/>
            <w:r w:rsidRPr="00731FE2">
              <w:rPr>
                <w:rFonts w:ascii="Times New Roman" w:eastAsia="Times New Roman" w:hAnsi="Times New Roman" w:cs="Times New Roman"/>
                <w:color w:val="000000"/>
                <w:sz w:val="22"/>
              </w:rPr>
              <w:t>Аллейный</w:t>
            </w:r>
            <w:proofErr w:type="gramEnd"/>
            <w:r w:rsidRPr="00731FE2">
              <w:rPr>
                <w:rFonts w:ascii="Times New Roman" w:eastAsia="Times New Roman" w:hAnsi="Times New Roman" w:cs="Times New Roman"/>
                <w:color w:val="000000"/>
                <w:sz w:val="22"/>
              </w:rPr>
              <w:t>;</w:t>
            </w:r>
          </w:p>
        </w:tc>
        <w:tc>
          <w:tcPr>
            <w:tcW w:w="1843" w:type="dxa"/>
            <w:vMerge w:val="restart"/>
          </w:tcPr>
          <w:p w14:paraId="3381FCA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2"/>
              </w:rPr>
            </w:pPr>
            <w:r w:rsidRPr="00731FE2">
              <w:rPr>
                <w:rFonts w:ascii="Times New Roman" w:eastAsia="Times New Roman" w:hAnsi="Times New Roman" w:cs="Times New Roman"/>
                <w:color w:val="000000"/>
                <w:sz w:val="22"/>
              </w:rPr>
              <w:t>ул. Дводненко (Ранжирный переезд).</w:t>
            </w:r>
          </w:p>
        </w:tc>
        <w:tc>
          <w:tcPr>
            <w:tcW w:w="2409" w:type="dxa"/>
          </w:tcPr>
          <w:p w14:paraId="1CC5D95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2"/>
              </w:rPr>
            </w:pPr>
            <w:r w:rsidRPr="00731FE2">
              <w:rPr>
                <w:rFonts w:ascii="Times New Roman" w:eastAsia="Times New Roman" w:hAnsi="Times New Roman" w:cs="Times New Roman"/>
                <w:color w:val="000000"/>
                <w:sz w:val="22"/>
              </w:rPr>
              <w:t xml:space="preserve">пр. Победы – ул. </w:t>
            </w:r>
            <w:proofErr w:type="gramStart"/>
            <w:r w:rsidRPr="00731FE2">
              <w:rPr>
                <w:rFonts w:ascii="Times New Roman" w:eastAsia="Times New Roman" w:hAnsi="Times New Roman" w:cs="Times New Roman"/>
                <w:color w:val="000000"/>
                <w:sz w:val="22"/>
              </w:rPr>
              <w:t>Водопойная</w:t>
            </w:r>
            <w:proofErr w:type="gramEnd"/>
            <w:r w:rsidRPr="00731FE2">
              <w:rPr>
                <w:rFonts w:ascii="Times New Roman" w:eastAsia="Times New Roman" w:hAnsi="Times New Roman" w:cs="Times New Roman"/>
                <w:color w:val="000000"/>
                <w:sz w:val="22"/>
              </w:rPr>
              <w:t>;</w:t>
            </w:r>
          </w:p>
        </w:tc>
        <w:tc>
          <w:tcPr>
            <w:tcW w:w="1559" w:type="dxa"/>
            <w:vMerge w:val="restart"/>
          </w:tcPr>
          <w:p w14:paraId="6D3006E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2"/>
              </w:rPr>
            </w:pPr>
            <w:r w:rsidRPr="00731FE2">
              <w:rPr>
                <w:rFonts w:ascii="Times New Roman" w:eastAsia="Times New Roman" w:hAnsi="Times New Roman" w:cs="Times New Roman"/>
                <w:color w:val="000000"/>
                <w:sz w:val="22"/>
              </w:rPr>
              <w:t>ул. Кирова – ул. Желябова – 1 ед.</w:t>
            </w:r>
          </w:p>
        </w:tc>
        <w:tc>
          <w:tcPr>
            <w:tcW w:w="1702" w:type="dxa"/>
            <w:vMerge/>
          </w:tcPr>
          <w:p w14:paraId="668557AE" w14:textId="77777777" w:rsidR="00171AA8" w:rsidRPr="00731FE2" w:rsidRDefault="00171AA8">
            <w:pPr>
              <w:rPr>
                <w:rFonts w:ascii="Times New Roman" w:hAnsi="Times New Roman" w:cs="Times New Roman"/>
                <w:sz w:val="22"/>
              </w:rPr>
            </w:pPr>
          </w:p>
        </w:tc>
      </w:tr>
      <w:tr w:rsidR="00171AA8" w:rsidRPr="00731FE2" w14:paraId="45E43E41" w14:textId="77777777">
        <w:trPr>
          <w:trHeight w:val="253"/>
        </w:trPr>
        <w:tc>
          <w:tcPr>
            <w:tcW w:w="1842" w:type="dxa"/>
          </w:tcPr>
          <w:p w14:paraId="1B49C9F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2"/>
              </w:rPr>
            </w:pPr>
            <w:r w:rsidRPr="00731FE2">
              <w:rPr>
                <w:rFonts w:ascii="Times New Roman" w:eastAsia="Times New Roman" w:hAnsi="Times New Roman" w:cs="Times New Roman"/>
                <w:color w:val="000000"/>
                <w:sz w:val="22"/>
              </w:rPr>
              <w:t xml:space="preserve">пр. Победы – пер. </w:t>
            </w:r>
            <w:proofErr w:type="gramStart"/>
            <w:r w:rsidRPr="00731FE2">
              <w:rPr>
                <w:rFonts w:ascii="Times New Roman" w:eastAsia="Times New Roman" w:hAnsi="Times New Roman" w:cs="Times New Roman"/>
                <w:color w:val="000000"/>
                <w:sz w:val="22"/>
              </w:rPr>
              <w:t>Зеркальный</w:t>
            </w:r>
            <w:proofErr w:type="gramEnd"/>
            <w:r w:rsidRPr="00731FE2">
              <w:rPr>
                <w:rFonts w:ascii="Times New Roman" w:eastAsia="Times New Roman" w:hAnsi="Times New Roman" w:cs="Times New Roman"/>
                <w:color w:val="000000"/>
                <w:sz w:val="22"/>
              </w:rPr>
              <w:t>;</w:t>
            </w:r>
          </w:p>
        </w:tc>
        <w:tc>
          <w:tcPr>
            <w:tcW w:w="1843" w:type="dxa"/>
            <w:vMerge/>
          </w:tcPr>
          <w:p w14:paraId="78D6FEFE" w14:textId="77777777" w:rsidR="00171AA8" w:rsidRPr="00731FE2" w:rsidRDefault="00171AA8">
            <w:pPr>
              <w:rPr>
                <w:rFonts w:ascii="Times New Roman" w:hAnsi="Times New Roman" w:cs="Times New Roman"/>
                <w:sz w:val="22"/>
              </w:rPr>
            </w:pPr>
          </w:p>
        </w:tc>
        <w:tc>
          <w:tcPr>
            <w:tcW w:w="2409" w:type="dxa"/>
          </w:tcPr>
          <w:p w14:paraId="6B0161C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2"/>
              </w:rPr>
            </w:pPr>
            <w:r w:rsidRPr="00731FE2">
              <w:rPr>
                <w:rFonts w:ascii="Times New Roman" w:eastAsia="Times New Roman" w:hAnsi="Times New Roman" w:cs="Times New Roman"/>
                <w:color w:val="000000"/>
                <w:sz w:val="22"/>
              </w:rPr>
              <w:t xml:space="preserve">пр. Победы – ул. </w:t>
            </w:r>
            <w:proofErr w:type="gramStart"/>
            <w:r w:rsidRPr="00731FE2">
              <w:rPr>
                <w:rFonts w:ascii="Times New Roman" w:eastAsia="Times New Roman" w:hAnsi="Times New Roman" w:cs="Times New Roman"/>
                <w:color w:val="000000"/>
                <w:sz w:val="22"/>
              </w:rPr>
              <w:t>Главная</w:t>
            </w:r>
            <w:proofErr w:type="gramEnd"/>
            <w:r w:rsidRPr="00731FE2">
              <w:rPr>
                <w:rFonts w:ascii="Times New Roman" w:eastAsia="Times New Roman" w:hAnsi="Times New Roman" w:cs="Times New Roman"/>
                <w:color w:val="000000"/>
                <w:sz w:val="22"/>
              </w:rPr>
              <w:t>;</w:t>
            </w:r>
          </w:p>
        </w:tc>
        <w:tc>
          <w:tcPr>
            <w:tcW w:w="1559" w:type="dxa"/>
            <w:vMerge/>
          </w:tcPr>
          <w:p w14:paraId="2F11649D" w14:textId="77777777" w:rsidR="00171AA8" w:rsidRPr="00731FE2" w:rsidRDefault="00171AA8">
            <w:pPr>
              <w:rPr>
                <w:rFonts w:ascii="Times New Roman" w:hAnsi="Times New Roman" w:cs="Times New Roman"/>
                <w:sz w:val="22"/>
              </w:rPr>
            </w:pPr>
          </w:p>
        </w:tc>
        <w:tc>
          <w:tcPr>
            <w:tcW w:w="1702" w:type="dxa"/>
            <w:vMerge/>
          </w:tcPr>
          <w:p w14:paraId="494DB9F8" w14:textId="77777777" w:rsidR="00171AA8" w:rsidRPr="00731FE2" w:rsidRDefault="00171AA8">
            <w:pPr>
              <w:rPr>
                <w:rFonts w:ascii="Times New Roman" w:hAnsi="Times New Roman" w:cs="Times New Roman"/>
                <w:sz w:val="22"/>
              </w:rPr>
            </w:pPr>
          </w:p>
        </w:tc>
      </w:tr>
      <w:tr w:rsidR="00171AA8" w:rsidRPr="00731FE2" w14:paraId="06917C72" w14:textId="77777777">
        <w:tc>
          <w:tcPr>
            <w:tcW w:w="1842" w:type="dxa"/>
          </w:tcPr>
          <w:p w14:paraId="6035115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2"/>
              </w:rPr>
            </w:pPr>
            <w:r w:rsidRPr="00731FE2">
              <w:rPr>
                <w:rFonts w:ascii="Times New Roman" w:eastAsia="Times New Roman" w:hAnsi="Times New Roman" w:cs="Times New Roman"/>
                <w:color w:val="000000"/>
                <w:sz w:val="22"/>
              </w:rPr>
              <w:t>пр. Победы – Стадион;</w:t>
            </w:r>
          </w:p>
        </w:tc>
        <w:tc>
          <w:tcPr>
            <w:tcW w:w="1843" w:type="dxa"/>
            <w:vMerge/>
          </w:tcPr>
          <w:p w14:paraId="6EE611C3" w14:textId="77777777" w:rsidR="00171AA8" w:rsidRPr="00731FE2" w:rsidRDefault="00171AA8">
            <w:pPr>
              <w:rPr>
                <w:rFonts w:ascii="Times New Roman" w:hAnsi="Times New Roman" w:cs="Times New Roman"/>
                <w:sz w:val="22"/>
              </w:rPr>
            </w:pPr>
          </w:p>
        </w:tc>
        <w:tc>
          <w:tcPr>
            <w:tcW w:w="2409" w:type="dxa"/>
          </w:tcPr>
          <w:p w14:paraId="0B444EA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2"/>
              </w:rPr>
            </w:pPr>
            <w:r w:rsidRPr="00731FE2">
              <w:rPr>
                <w:rFonts w:ascii="Times New Roman" w:eastAsia="Times New Roman" w:hAnsi="Times New Roman" w:cs="Times New Roman"/>
                <w:color w:val="000000"/>
                <w:sz w:val="22"/>
              </w:rPr>
              <w:t xml:space="preserve">пр. Победы – пер. </w:t>
            </w:r>
            <w:proofErr w:type="gramStart"/>
            <w:r w:rsidRPr="00731FE2">
              <w:rPr>
                <w:rFonts w:ascii="Times New Roman" w:eastAsia="Times New Roman" w:hAnsi="Times New Roman" w:cs="Times New Roman"/>
                <w:color w:val="000000"/>
                <w:sz w:val="22"/>
              </w:rPr>
              <w:t>Аллейный</w:t>
            </w:r>
            <w:proofErr w:type="gramEnd"/>
            <w:r w:rsidRPr="00731FE2">
              <w:rPr>
                <w:rFonts w:ascii="Times New Roman" w:eastAsia="Times New Roman" w:hAnsi="Times New Roman" w:cs="Times New Roman"/>
                <w:color w:val="000000"/>
                <w:sz w:val="22"/>
              </w:rPr>
              <w:t>;</w:t>
            </w:r>
          </w:p>
        </w:tc>
        <w:tc>
          <w:tcPr>
            <w:tcW w:w="1559" w:type="dxa"/>
            <w:vMerge/>
          </w:tcPr>
          <w:p w14:paraId="568AAE17" w14:textId="77777777" w:rsidR="00171AA8" w:rsidRPr="00731FE2" w:rsidRDefault="00171AA8">
            <w:pPr>
              <w:rPr>
                <w:rFonts w:ascii="Times New Roman" w:hAnsi="Times New Roman" w:cs="Times New Roman"/>
                <w:sz w:val="22"/>
              </w:rPr>
            </w:pPr>
          </w:p>
        </w:tc>
        <w:tc>
          <w:tcPr>
            <w:tcW w:w="1702" w:type="dxa"/>
            <w:vMerge/>
          </w:tcPr>
          <w:p w14:paraId="21459C7F" w14:textId="77777777" w:rsidR="00171AA8" w:rsidRPr="00731FE2" w:rsidRDefault="00171AA8">
            <w:pPr>
              <w:rPr>
                <w:rFonts w:ascii="Times New Roman" w:hAnsi="Times New Roman" w:cs="Times New Roman"/>
                <w:sz w:val="22"/>
              </w:rPr>
            </w:pPr>
          </w:p>
        </w:tc>
      </w:tr>
      <w:tr w:rsidR="00171AA8" w:rsidRPr="00731FE2" w14:paraId="69DC354C" w14:textId="77777777">
        <w:tc>
          <w:tcPr>
            <w:tcW w:w="1842" w:type="dxa"/>
          </w:tcPr>
          <w:p w14:paraId="165FDFC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2"/>
              </w:rPr>
            </w:pPr>
            <w:r w:rsidRPr="00731FE2">
              <w:rPr>
                <w:rFonts w:ascii="Times New Roman" w:eastAsia="Times New Roman" w:hAnsi="Times New Roman" w:cs="Times New Roman"/>
                <w:color w:val="000000"/>
                <w:sz w:val="22"/>
              </w:rPr>
              <w:t>пр. Победы – ул. К. Либкнехта;</w:t>
            </w:r>
          </w:p>
        </w:tc>
        <w:tc>
          <w:tcPr>
            <w:tcW w:w="1843" w:type="dxa"/>
            <w:vMerge/>
          </w:tcPr>
          <w:p w14:paraId="7717CDBF" w14:textId="77777777" w:rsidR="00171AA8" w:rsidRPr="00731FE2" w:rsidRDefault="00171AA8">
            <w:pPr>
              <w:rPr>
                <w:rFonts w:ascii="Times New Roman" w:hAnsi="Times New Roman" w:cs="Times New Roman"/>
                <w:sz w:val="22"/>
              </w:rPr>
            </w:pPr>
          </w:p>
        </w:tc>
        <w:tc>
          <w:tcPr>
            <w:tcW w:w="2409" w:type="dxa"/>
          </w:tcPr>
          <w:p w14:paraId="673D020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2"/>
              </w:rPr>
            </w:pPr>
            <w:r w:rsidRPr="00731FE2">
              <w:rPr>
                <w:rFonts w:ascii="Times New Roman" w:eastAsia="Times New Roman" w:hAnsi="Times New Roman" w:cs="Times New Roman"/>
                <w:color w:val="000000"/>
                <w:sz w:val="22"/>
              </w:rPr>
              <w:t xml:space="preserve">пр. Победы – пер. </w:t>
            </w:r>
            <w:proofErr w:type="gramStart"/>
            <w:r w:rsidRPr="00731FE2">
              <w:rPr>
                <w:rFonts w:ascii="Times New Roman" w:eastAsia="Times New Roman" w:hAnsi="Times New Roman" w:cs="Times New Roman"/>
                <w:color w:val="000000"/>
                <w:sz w:val="22"/>
              </w:rPr>
              <w:t>Зеркальный</w:t>
            </w:r>
            <w:proofErr w:type="gramEnd"/>
            <w:r w:rsidRPr="00731FE2">
              <w:rPr>
                <w:rFonts w:ascii="Times New Roman" w:eastAsia="Times New Roman" w:hAnsi="Times New Roman" w:cs="Times New Roman"/>
                <w:color w:val="000000"/>
                <w:sz w:val="22"/>
              </w:rPr>
              <w:t>;</w:t>
            </w:r>
          </w:p>
        </w:tc>
        <w:tc>
          <w:tcPr>
            <w:tcW w:w="1559" w:type="dxa"/>
            <w:vMerge/>
          </w:tcPr>
          <w:p w14:paraId="2A83F19B" w14:textId="77777777" w:rsidR="00171AA8" w:rsidRPr="00731FE2" w:rsidRDefault="00171AA8">
            <w:pPr>
              <w:rPr>
                <w:rFonts w:ascii="Times New Roman" w:hAnsi="Times New Roman" w:cs="Times New Roman"/>
                <w:sz w:val="22"/>
              </w:rPr>
            </w:pPr>
          </w:p>
        </w:tc>
        <w:tc>
          <w:tcPr>
            <w:tcW w:w="1702" w:type="dxa"/>
            <w:vMerge/>
          </w:tcPr>
          <w:p w14:paraId="22D89516" w14:textId="77777777" w:rsidR="00171AA8" w:rsidRPr="00731FE2" w:rsidRDefault="00171AA8">
            <w:pPr>
              <w:rPr>
                <w:rFonts w:ascii="Times New Roman" w:hAnsi="Times New Roman" w:cs="Times New Roman"/>
                <w:sz w:val="22"/>
              </w:rPr>
            </w:pPr>
          </w:p>
        </w:tc>
      </w:tr>
      <w:tr w:rsidR="00171AA8" w:rsidRPr="00731FE2" w14:paraId="03945EE8" w14:textId="77777777">
        <w:tc>
          <w:tcPr>
            <w:tcW w:w="1842" w:type="dxa"/>
          </w:tcPr>
          <w:p w14:paraId="3FF5895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2"/>
              </w:rPr>
            </w:pPr>
            <w:r w:rsidRPr="00731FE2">
              <w:rPr>
                <w:rFonts w:ascii="Times New Roman" w:eastAsia="Times New Roman" w:hAnsi="Times New Roman" w:cs="Times New Roman"/>
                <w:color w:val="000000"/>
                <w:sz w:val="22"/>
              </w:rPr>
              <w:t>пр. Первомайский – ул. Красноармейская;</w:t>
            </w:r>
          </w:p>
        </w:tc>
        <w:tc>
          <w:tcPr>
            <w:tcW w:w="1843" w:type="dxa"/>
            <w:vMerge/>
          </w:tcPr>
          <w:p w14:paraId="49A1A0B2" w14:textId="77777777" w:rsidR="00171AA8" w:rsidRPr="00731FE2" w:rsidRDefault="00171AA8">
            <w:pPr>
              <w:rPr>
                <w:rFonts w:ascii="Times New Roman" w:hAnsi="Times New Roman" w:cs="Times New Roman"/>
                <w:sz w:val="22"/>
              </w:rPr>
            </w:pPr>
          </w:p>
        </w:tc>
        <w:tc>
          <w:tcPr>
            <w:tcW w:w="2409" w:type="dxa"/>
          </w:tcPr>
          <w:p w14:paraId="589EB65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2"/>
              </w:rPr>
            </w:pPr>
            <w:r w:rsidRPr="00731FE2">
              <w:rPr>
                <w:rFonts w:ascii="Times New Roman" w:eastAsia="Times New Roman" w:hAnsi="Times New Roman" w:cs="Times New Roman"/>
                <w:color w:val="000000"/>
                <w:sz w:val="22"/>
              </w:rPr>
              <w:t>пр. Победы – стадион;</w:t>
            </w:r>
          </w:p>
        </w:tc>
        <w:tc>
          <w:tcPr>
            <w:tcW w:w="1559" w:type="dxa"/>
            <w:vMerge/>
          </w:tcPr>
          <w:p w14:paraId="5BC4F93F" w14:textId="77777777" w:rsidR="00171AA8" w:rsidRPr="00731FE2" w:rsidRDefault="00171AA8">
            <w:pPr>
              <w:rPr>
                <w:rFonts w:ascii="Times New Roman" w:hAnsi="Times New Roman" w:cs="Times New Roman"/>
                <w:sz w:val="22"/>
              </w:rPr>
            </w:pPr>
          </w:p>
        </w:tc>
        <w:tc>
          <w:tcPr>
            <w:tcW w:w="1702" w:type="dxa"/>
            <w:vMerge/>
          </w:tcPr>
          <w:p w14:paraId="2E9ACC17" w14:textId="77777777" w:rsidR="00171AA8" w:rsidRPr="00731FE2" w:rsidRDefault="00171AA8">
            <w:pPr>
              <w:rPr>
                <w:rFonts w:ascii="Times New Roman" w:hAnsi="Times New Roman" w:cs="Times New Roman"/>
                <w:sz w:val="22"/>
              </w:rPr>
            </w:pPr>
          </w:p>
        </w:tc>
      </w:tr>
      <w:tr w:rsidR="00171AA8" w:rsidRPr="00731FE2" w14:paraId="7933122D" w14:textId="77777777">
        <w:tc>
          <w:tcPr>
            <w:tcW w:w="1842" w:type="dxa"/>
          </w:tcPr>
          <w:p w14:paraId="6E09A7D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2"/>
              </w:rPr>
            </w:pPr>
            <w:r w:rsidRPr="00731FE2">
              <w:rPr>
                <w:rFonts w:ascii="Times New Roman" w:eastAsia="Times New Roman" w:hAnsi="Times New Roman" w:cs="Times New Roman"/>
                <w:color w:val="000000"/>
                <w:sz w:val="22"/>
              </w:rPr>
              <w:t>ул. Авиации – ул. Чкалова;</w:t>
            </w:r>
          </w:p>
        </w:tc>
        <w:tc>
          <w:tcPr>
            <w:tcW w:w="1843" w:type="dxa"/>
            <w:vMerge/>
          </w:tcPr>
          <w:p w14:paraId="0379FBB2" w14:textId="77777777" w:rsidR="00171AA8" w:rsidRPr="00731FE2" w:rsidRDefault="00171AA8">
            <w:pPr>
              <w:rPr>
                <w:rFonts w:ascii="Times New Roman" w:hAnsi="Times New Roman" w:cs="Times New Roman"/>
                <w:sz w:val="22"/>
              </w:rPr>
            </w:pPr>
          </w:p>
        </w:tc>
        <w:tc>
          <w:tcPr>
            <w:tcW w:w="2409" w:type="dxa"/>
          </w:tcPr>
          <w:p w14:paraId="79B97B8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2"/>
              </w:rPr>
            </w:pPr>
            <w:r w:rsidRPr="00731FE2">
              <w:rPr>
                <w:rFonts w:ascii="Times New Roman" w:eastAsia="Times New Roman" w:hAnsi="Times New Roman" w:cs="Times New Roman"/>
                <w:color w:val="000000"/>
                <w:sz w:val="22"/>
              </w:rPr>
              <w:t>пр. Победы – плавательный бассейн;</w:t>
            </w:r>
          </w:p>
        </w:tc>
        <w:tc>
          <w:tcPr>
            <w:tcW w:w="1559" w:type="dxa"/>
            <w:vMerge/>
          </w:tcPr>
          <w:p w14:paraId="5BC40BA2" w14:textId="77777777" w:rsidR="00171AA8" w:rsidRPr="00731FE2" w:rsidRDefault="00171AA8">
            <w:pPr>
              <w:rPr>
                <w:rFonts w:ascii="Times New Roman" w:hAnsi="Times New Roman" w:cs="Times New Roman"/>
                <w:sz w:val="22"/>
              </w:rPr>
            </w:pPr>
          </w:p>
        </w:tc>
        <w:tc>
          <w:tcPr>
            <w:tcW w:w="1702" w:type="dxa"/>
            <w:vMerge/>
          </w:tcPr>
          <w:p w14:paraId="0AFF24CA" w14:textId="77777777" w:rsidR="00171AA8" w:rsidRPr="00731FE2" w:rsidRDefault="00171AA8">
            <w:pPr>
              <w:rPr>
                <w:rFonts w:ascii="Times New Roman" w:hAnsi="Times New Roman" w:cs="Times New Roman"/>
                <w:sz w:val="22"/>
              </w:rPr>
            </w:pPr>
          </w:p>
        </w:tc>
      </w:tr>
      <w:tr w:rsidR="00171AA8" w:rsidRPr="00731FE2" w14:paraId="23F02C11" w14:textId="77777777">
        <w:tc>
          <w:tcPr>
            <w:tcW w:w="1842" w:type="dxa"/>
          </w:tcPr>
          <w:p w14:paraId="374D3C6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2"/>
              </w:rPr>
            </w:pPr>
            <w:r w:rsidRPr="00731FE2">
              <w:rPr>
                <w:rFonts w:ascii="Times New Roman" w:eastAsia="Times New Roman" w:hAnsi="Times New Roman" w:cs="Times New Roman"/>
                <w:color w:val="000000"/>
                <w:sz w:val="22"/>
              </w:rPr>
              <w:t xml:space="preserve">ул. </w:t>
            </w:r>
            <w:proofErr w:type="gramStart"/>
            <w:r w:rsidRPr="00731FE2">
              <w:rPr>
                <w:rFonts w:ascii="Times New Roman" w:eastAsia="Times New Roman" w:hAnsi="Times New Roman" w:cs="Times New Roman"/>
                <w:color w:val="000000"/>
                <w:sz w:val="22"/>
              </w:rPr>
              <w:t>Вокзальная</w:t>
            </w:r>
            <w:proofErr w:type="gramEnd"/>
            <w:r w:rsidRPr="00731FE2">
              <w:rPr>
                <w:rFonts w:ascii="Times New Roman" w:eastAsia="Times New Roman" w:hAnsi="Times New Roman" w:cs="Times New Roman"/>
                <w:color w:val="000000"/>
                <w:sz w:val="22"/>
              </w:rPr>
              <w:t xml:space="preserve"> – Курортный бульвар;</w:t>
            </w:r>
          </w:p>
        </w:tc>
        <w:tc>
          <w:tcPr>
            <w:tcW w:w="1843" w:type="dxa"/>
            <w:vMerge/>
          </w:tcPr>
          <w:p w14:paraId="29136FEC" w14:textId="77777777" w:rsidR="00171AA8" w:rsidRPr="00731FE2" w:rsidRDefault="00171AA8">
            <w:pPr>
              <w:rPr>
                <w:rFonts w:ascii="Times New Roman" w:hAnsi="Times New Roman" w:cs="Times New Roman"/>
                <w:sz w:val="22"/>
              </w:rPr>
            </w:pPr>
          </w:p>
        </w:tc>
        <w:tc>
          <w:tcPr>
            <w:tcW w:w="2409" w:type="dxa"/>
          </w:tcPr>
          <w:p w14:paraId="69B97A2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2"/>
              </w:rPr>
            </w:pPr>
            <w:r w:rsidRPr="00731FE2">
              <w:rPr>
                <w:rFonts w:ascii="Times New Roman" w:eastAsia="Times New Roman" w:hAnsi="Times New Roman" w:cs="Times New Roman"/>
                <w:color w:val="000000"/>
                <w:sz w:val="22"/>
              </w:rPr>
              <w:t>пр. Победы – цирк;</w:t>
            </w:r>
          </w:p>
        </w:tc>
        <w:tc>
          <w:tcPr>
            <w:tcW w:w="1559" w:type="dxa"/>
            <w:vMerge/>
          </w:tcPr>
          <w:p w14:paraId="0B907766" w14:textId="77777777" w:rsidR="00171AA8" w:rsidRPr="00731FE2" w:rsidRDefault="00171AA8">
            <w:pPr>
              <w:rPr>
                <w:rFonts w:ascii="Times New Roman" w:hAnsi="Times New Roman" w:cs="Times New Roman"/>
                <w:sz w:val="22"/>
              </w:rPr>
            </w:pPr>
          </w:p>
        </w:tc>
        <w:tc>
          <w:tcPr>
            <w:tcW w:w="1702" w:type="dxa"/>
            <w:vMerge/>
          </w:tcPr>
          <w:p w14:paraId="40414B3D" w14:textId="77777777" w:rsidR="00171AA8" w:rsidRPr="00731FE2" w:rsidRDefault="00171AA8">
            <w:pPr>
              <w:rPr>
                <w:rFonts w:ascii="Times New Roman" w:hAnsi="Times New Roman" w:cs="Times New Roman"/>
                <w:sz w:val="22"/>
              </w:rPr>
            </w:pPr>
          </w:p>
        </w:tc>
      </w:tr>
      <w:tr w:rsidR="00171AA8" w:rsidRPr="00731FE2" w14:paraId="68875A56" w14:textId="77777777">
        <w:tc>
          <w:tcPr>
            <w:tcW w:w="1842" w:type="dxa"/>
          </w:tcPr>
          <w:p w14:paraId="4FD757E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2"/>
              </w:rPr>
            </w:pPr>
            <w:r w:rsidRPr="00731FE2">
              <w:rPr>
                <w:rFonts w:ascii="Times New Roman" w:eastAsia="Times New Roman" w:hAnsi="Times New Roman" w:cs="Times New Roman"/>
                <w:color w:val="000000"/>
                <w:sz w:val="22"/>
              </w:rPr>
              <w:lastRenderedPageBreak/>
              <w:t>ул. Широкая – ул. Кирова;</w:t>
            </w:r>
          </w:p>
        </w:tc>
        <w:tc>
          <w:tcPr>
            <w:tcW w:w="1843" w:type="dxa"/>
            <w:vMerge/>
          </w:tcPr>
          <w:p w14:paraId="1353F696" w14:textId="77777777" w:rsidR="00171AA8" w:rsidRPr="00731FE2" w:rsidRDefault="00171AA8">
            <w:pPr>
              <w:rPr>
                <w:rFonts w:ascii="Times New Roman" w:hAnsi="Times New Roman" w:cs="Times New Roman"/>
                <w:sz w:val="22"/>
              </w:rPr>
            </w:pPr>
          </w:p>
        </w:tc>
        <w:tc>
          <w:tcPr>
            <w:tcW w:w="2409" w:type="dxa"/>
          </w:tcPr>
          <w:p w14:paraId="17279EC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2"/>
              </w:rPr>
            </w:pPr>
            <w:r w:rsidRPr="00731FE2">
              <w:rPr>
                <w:rFonts w:ascii="Times New Roman" w:eastAsia="Times New Roman" w:hAnsi="Times New Roman" w:cs="Times New Roman"/>
                <w:color w:val="000000"/>
                <w:sz w:val="22"/>
              </w:rPr>
              <w:t>пр. Победы – администрация;</w:t>
            </w:r>
          </w:p>
        </w:tc>
        <w:tc>
          <w:tcPr>
            <w:tcW w:w="1559" w:type="dxa"/>
            <w:vMerge/>
          </w:tcPr>
          <w:p w14:paraId="6602FA4E" w14:textId="77777777" w:rsidR="00171AA8" w:rsidRPr="00731FE2" w:rsidRDefault="00171AA8">
            <w:pPr>
              <w:rPr>
                <w:rFonts w:ascii="Times New Roman" w:hAnsi="Times New Roman" w:cs="Times New Roman"/>
                <w:sz w:val="22"/>
              </w:rPr>
            </w:pPr>
          </w:p>
        </w:tc>
        <w:tc>
          <w:tcPr>
            <w:tcW w:w="1702" w:type="dxa"/>
            <w:vMerge/>
          </w:tcPr>
          <w:p w14:paraId="1B495D27" w14:textId="77777777" w:rsidR="00171AA8" w:rsidRPr="00731FE2" w:rsidRDefault="00171AA8">
            <w:pPr>
              <w:rPr>
                <w:rFonts w:ascii="Times New Roman" w:hAnsi="Times New Roman" w:cs="Times New Roman"/>
                <w:sz w:val="22"/>
              </w:rPr>
            </w:pPr>
          </w:p>
        </w:tc>
      </w:tr>
      <w:tr w:rsidR="00171AA8" w:rsidRPr="00731FE2" w14:paraId="55B26819" w14:textId="77777777">
        <w:tc>
          <w:tcPr>
            <w:tcW w:w="1842" w:type="dxa"/>
          </w:tcPr>
          <w:p w14:paraId="2BA185C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2"/>
              </w:rPr>
            </w:pPr>
            <w:r w:rsidRPr="00731FE2">
              <w:rPr>
                <w:rFonts w:ascii="Times New Roman" w:eastAsia="Times New Roman" w:hAnsi="Times New Roman" w:cs="Times New Roman"/>
                <w:color w:val="000000"/>
                <w:sz w:val="22"/>
              </w:rPr>
              <w:t>ул. Широкая – пр. Дзержинского;</w:t>
            </w:r>
          </w:p>
        </w:tc>
        <w:tc>
          <w:tcPr>
            <w:tcW w:w="1843" w:type="dxa"/>
            <w:vMerge/>
          </w:tcPr>
          <w:p w14:paraId="6E96431D" w14:textId="77777777" w:rsidR="00171AA8" w:rsidRPr="00731FE2" w:rsidRDefault="00171AA8">
            <w:pPr>
              <w:rPr>
                <w:rFonts w:ascii="Times New Roman" w:hAnsi="Times New Roman" w:cs="Times New Roman"/>
                <w:sz w:val="22"/>
              </w:rPr>
            </w:pPr>
          </w:p>
        </w:tc>
        <w:tc>
          <w:tcPr>
            <w:tcW w:w="2409" w:type="dxa"/>
          </w:tcPr>
          <w:p w14:paraId="15999A3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2"/>
              </w:rPr>
            </w:pPr>
            <w:r w:rsidRPr="00731FE2">
              <w:rPr>
                <w:rFonts w:ascii="Times New Roman" w:eastAsia="Times New Roman" w:hAnsi="Times New Roman" w:cs="Times New Roman"/>
                <w:color w:val="000000"/>
                <w:sz w:val="22"/>
              </w:rPr>
              <w:t>пр. Победы – ул. К. Либкнехта;</w:t>
            </w:r>
          </w:p>
        </w:tc>
        <w:tc>
          <w:tcPr>
            <w:tcW w:w="1559" w:type="dxa"/>
            <w:vMerge/>
          </w:tcPr>
          <w:p w14:paraId="40BEBC73" w14:textId="77777777" w:rsidR="00171AA8" w:rsidRPr="00731FE2" w:rsidRDefault="00171AA8">
            <w:pPr>
              <w:rPr>
                <w:rFonts w:ascii="Times New Roman" w:hAnsi="Times New Roman" w:cs="Times New Roman"/>
                <w:sz w:val="22"/>
              </w:rPr>
            </w:pPr>
          </w:p>
        </w:tc>
        <w:tc>
          <w:tcPr>
            <w:tcW w:w="1702" w:type="dxa"/>
            <w:vMerge/>
          </w:tcPr>
          <w:p w14:paraId="70505AA5" w14:textId="77777777" w:rsidR="00171AA8" w:rsidRPr="00731FE2" w:rsidRDefault="00171AA8">
            <w:pPr>
              <w:rPr>
                <w:rFonts w:ascii="Times New Roman" w:hAnsi="Times New Roman" w:cs="Times New Roman"/>
                <w:sz w:val="22"/>
              </w:rPr>
            </w:pPr>
          </w:p>
        </w:tc>
      </w:tr>
      <w:tr w:rsidR="00171AA8" w:rsidRPr="00731FE2" w14:paraId="6DA2E34E" w14:textId="77777777">
        <w:trPr>
          <w:trHeight w:val="276"/>
        </w:trPr>
        <w:tc>
          <w:tcPr>
            <w:tcW w:w="1842" w:type="dxa"/>
            <w:vMerge w:val="restart"/>
          </w:tcPr>
          <w:p w14:paraId="3850602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2"/>
              </w:rPr>
            </w:pPr>
            <w:r w:rsidRPr="00731FE2">
              <w:rPr>
                <w:rFonts w:ascii="Times New Roman" w:eastAsia="Times New Roman" w:hAnsi="Times New Roman" w:cs="Times New Roman"/>
                <w:color w:val="000000"/>
                <w:sz w:val="22"/>
              </w:rPr>
              <w:t>ул. Фоменко – ул. Калинина.</w:t>
            </w:r>
          </w:p>
        </w:tc>
        <w:tc>
          <w:tcPr>
            <w:tcW w:w="1843" w:type="dxa"/>
            <w:vMerge/>
          </w:tcPr>
          <w:p w14:paraId="7E8650B2" w14:textId="77777777" w:rsidR="00171AA8" w:rsidRPr="00731FE2" w:rsidRDefault="00171AA8">
            <w:pPr>
              <w:rPr>
                <w:rFonts w:ascii="Times New Roman" w:hAnsi="Times New Roman" w:cs="Times New Roman"/>
                <w:sz w:val="22"/>
              </w:rPr>
            </w:pPr>
          </w:p>
        </w:tc>
        <w:tc>
          <w:tcPr>
            <w:tcW w:w="2409" w:type="dxa"/>
          </w:tcPr>
          <w:p w14:paraId="01D2BF4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2"/>
              </w:rPr>
            </w:pPr>
            <w:r w:rsidRPr="00731FE2">
              <w:rPr>
                <w:rFonts w:ascii="Times New Roman" w:eastAsia="Times New Roman" w:hAnsi="Times New Roman" w:cs="Times New Roman"/>
                <w:color w:val="000000"/>
                <w:sz w:val="22"/>
              </w:rPr>
              <w:t>пр. Победы – универсам;</w:t>
            </w:r>
          </w:p>
        </w:tc>
        <w:tc>
          <w:tcPr>
            <w:tcW w:w="1559" w:type="dxa"/>
            <w:vMerge/>
          </w:tcPr>
          <w:p w14:paraId="0D005E43" w14:textId="77777777" w:rsidR="00171AA8" w:rsidRPr="00731FE2" w:rsidRDefault="00171AA8">
            <w:pPr>
              <w:rPr>
                <w:rFonts w:ascii="Times New Roman" w:hAnsi="Times New Roman" w:cs="Times New Roman"/>
                <w:sz w:val="22"/>
              </w:rPr>
            </w:pPr>
          </w:p>
        </w:tc>
        <w:tc>
          <w:tcPr>
            <w:tcW w:w="1702" w:type="dxa"/>
            <w:vMerge/>
          </w:tcPr>
          <w:p w14:paraId="622CD98D" w14:textId="77777777" w:rsidR="00171AA8" w:rsidRPr="00731FE2" w:rsidRDefault="00171AA8">
            <w:pPr>
              <w:rPr>
                <w:rFonts w:ascii="Times New Roman" w:hAnsi="Times New Roman" w:cs="Times New Roman"/>
                <w:sz w:val="22"/>
              </w:rPr>
            </w:pPr>
          </w:p>
        </w:tc>
      </w:tr>
      <w:tr w:rsidR="00171AA8" w:rsidRPr="00731FE2" w14:paraId="4E0327C3" w14:textId="77777777">
        <w:tc>
          <w:tcPr>
            <w:tcW w:w="1842" w:type="dxa"/>
            <w:vMerge/>
          </w:tcPr>
          <w:p w14:paraId="1CF72A3D" w14:textId="77777777" w:rsidR="00171AA8" w:rsidRPr="00731FE2" w:rsidRDefault="00171AA8">
            <w:pPr>
              <w:rPr>
                <w:rFonts w:ascii="Times New Roman" w:hAnsi="Times New Roman" w:cs="Times New Roman"/>
                <w:sz w:val="22"/>
              </w:rPr>
            </w:pPr>
          </w:p>
        </w:tc>
        <w:tc>
          <w:tcPr>
            <w:tcW w:w="1843" w:type="dxa"/>
            <w:vMerge/>
          </w:tcPr>
          <w:p w14:paraId="511C2639" w14:textId="77777777" w:rsidR="00171AA8" w:rsidRPr="00731FE2" w:rsidRDefault="00171AA8">
            <w:pPr>
              <w:rPr>
                <w:rFonts w:ascii="Times New Roman" w:hAnsi="Times New Roman" w:cs="Times New Roman"/>
                <w:sz w:val="22"/>
              </w:rPr>
            </w:pPr>
          </w:p>
        </w:tc>
        <w:tc>
          <w:tcPr>
            <w:tcW w:w="2409" w:type="dxa"/>
          </w:tcPr>
          <w:p w14:paraId="3FF33E2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2"/>
              </w:rPr>
            </w:pPr>
            <w:r w:rsidRPr="00731FE2">
              <w:rPr>
                <w:rFonts w:ascii="Times New Roman" w:eastAsia="Times New Roman" w:hAnsi="Times New Roman" w:cs="Times New Roman"/>
                <w:color w:val="000000"/>
                <w:sz w:val="22"/>
              </w:rPr>
              <w:t>пр. Первомайский (магазин «Проспект»);</w:t>
            </w:r>
          </w:p>
        </w:tc>
        <w:tc>
          <w:tcPr>
            <w:tcW w:w="1559" w:type="dxa"/>
            <w:vMerge/>
          </w:tcPr>
          <w:p w14:paraId="71A4827C" w14:textId="77777777" w:rsidR="00171AA8" w:rsidRPr="00731FE2" w:rsidRDefault="00171AA8">
            <w:pPr>
              <w:rPr>
                <w:rFonts w:ascii="Times New Roman" w:hAnsi="Times New Roman" w:cs="Times New Roman"/>
                <w:sz w:val="22"/>
              </w:rPr>
            </w:pPr>
          </w:p>
        </w:tc>
        <w:tc>
          <w:tcPr>
            <w:tcW w:w="1702" w:type="dxa"/>
            <w:vMerge/>
          </w:tcPr>
          <w:p w14:paraId="4F2EB5D9" w14:textId="77777777" w:rsidR="00171AA8" w:rsidRPr="00731FE2" w:rsidRDefault="00171AA8">
            <w:pPr>
              <w:rPr>
                <w:rFonts w:ascii="Times New Roman" w:hAnsi="Times New Roman" w:cs="Times New Roman"/>
                <w:sz w:val="22"/>
              </w:rPr>
            </w:pPr>
          </w:p>
        </w:tc>
      </w:tr>
      <w:tr w:rsidR="00171AA8" w:rsidRPr="00731FE2" w14:paraId="44F9F0B9" w14:textId="77777777">
        <w:tc>
          <w:tcPr>
            <w:tcW w:w="1842" w:type="dxa"/>
            <w:vMerge/>
          </w:tcPr>
          <w:p w14:paraId="6A194D30" w14:textId="77777777" w:rsidR="00171AA8" w:rsidRPr="00731FE2" w:rsidRDefault="00171AA8">
            <w:pPr>
              <w:rPr>
                <w:rFonts w:ascii="Times New Roman" w:hAnsi="Times New Roman" w:cs="Times New Roman"/>
                <w:sz w:val="22"/>
              </w:rPr>
            </w:pPr>
          </w:p>
        </w:tc>
        <w:tc>
          <w:tcPr>
            <w:tcW w:w="1843" w:type="dxa"/>
            <w:vMerge/>
          </w:tcPr>
          <w:p w14:paraId="67B3131C" w14:textId="77777777" w:rsidR="00171AA8" w:rsidRPr="00731FE2" w:rsidRDefault="00171AA8">
            <w:pPr>
              <w:rPr>
                <w:rFonts w:ascii="Times New Roman" w:hAnsi="Times New Roman" w:cs="Times New Roman"/>
                <w:sz w:val="22"/>
              </w:rPr>
            </w:pPr>
          </w:p>
        </w:tc>
        <w:tc>
          <w:tcPr>
            <w:tcW w:w="2409" w:type="dxa"/>
          </w:tcPr>
          <w:p w14:paraId="5BF10FD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2"/>
              </w:rPr>
            </w:pPr>
            <w:r w:rsidRPr="00731FE2">
              <w:rPr>
                <w:rFonts w:ascii="Times New Roman" w:eastAsia="Times New Roman" w:hAnsi="Times New Roman" w:cs="Times New Roman"/>
                <w:color w:val="000000"/>
                <w:sz w:val="22"/>
              </w:rPr>
              <w:t>пр. Первомайский – ул. Вокзальная;</w:t>
            </w:r>
          </w:p>
        </w:tc>
        <w:tc>
          <w:tcPr>
            <w:tcW w:w="1559" w:type="dxa"/>
            <w:vMerge/>
          </w:tcPr>
          <w:p w14:paraId="49FA39F9" w14:textId="77777777" w:rsidR="00171AA8" w:rsidRPr="00731FE2" w:rsidRDefault="00171AA8">
            <w:pPr>
              <w:rPr>
                <w:rFonts w:ascii="Times New Roman" w:hAnsi="Times New Roman" w:cs="Times New Roman"/>
                <w:sz w:val="22"/>
              </w:rPr>
            </w:pPr>
          </w:p>
        </w:tc>
        <w:tc>
          <w:tcPr>
            <w:tcW w:w="1702" w:type="dxa"/>
            <w:vMerge/>
          </w:tcPr>
          <w:p w14:paraId="1F8ED123" w14:textId="77777777" w:rsidR="00171AA8" w:rsidRPr="00731FE2" w:rsidRDefault="00171AA8">
            <w:pPr>
              <w:rPr>
                <w:rFonts w:ascii="Times New Roman" w:hAnsi="Times New Roman" w:cs="Times New Roman"/>
                <w:sz w:val="22"/>
              </w:rPr>
            </w:pPr>
          </w:p>
        </w:tc>
      </w:tr>
      <w:tr w:rsidR="00171AA8" w:rsidRPr="00731FE2" w14:paraId="6EFE482C" w14:textId="77777777">
        <w:tc>
          <w:tcPr>
            <w:tcW w:w="1842" w:type="dxa"/>
            <w:vMerge/>
          </w:tcPr>
          <w:p w14:paraId="4394CE36" w14:textId="77777777" w:rsidR="00171AA8" w:rsidRPr="00731FE2" w:rsidRDefault="00171AA8">
            <w:pPr>
              <w:rPr>
                <w:rFonts w:ascii="Times New Roman" w:hAnsi="Times New Roman" w:cs="Times New Roman"/>
                <w:sz w:val="22"/>
              </w:rPr>
            </w:pPr>
          </w:p>
        </w:tc>
        <w:tc>
          <w:tcPr>
            <w:tcW w:w="1843" w:type="dxa"/>
            <w:vMerge/>
          </w:tcPr>
          <w:p w14:paraId="3EB7C1C3" w14:textId="77777777" w:rsidR="00171AA8" w:rsidRPr="00731FE2" w:rsidRDefault="00171AA8">
            <w:pPr>
              <w:rPr>
                <w:rFonts w:ascii="Times New Roman" w:hAnsi="Times New Roman" w:cs="Times New Roman"/>
                <w:sz w:val="22"/>
              </w:rPr>
            </w:pPr>
          </w:p>
        </w:tc>
        <w:tc>
          <w:tcPr>
            <w:tcW w:w="2409" w:type="dxa"/>
          </w:tcPr>
          <w:p w14:paraId="2A912F0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2"/>
              </w:rPr>
            </w:pPr>
            <w:r w:rsidRPr="00731FE2">
              <w:rPr>
                <w:rFonts w:ascii="Times New Roman" w:eastAsia="Times New Roman" w:hAnsi="Times New Roman" w:cs="Times New Roman"/>
                <w:color w:val="000000"/>
                <w:sz w:val="22"/>
              </w:rPr>
              <w:t xml:space="preserve">пр. </w:t>
            </w:r>
            <w:proofErr w:type="gramStart"/>
            <w:r w:rsidRPr="00731FE2">
              <w:rPr>
                <w:rFonts w:ascii="Times New Roman" w:eastAsia="Times New Roman" w:hAnsi="Times New Roman" w:cs="Times New Roman"/>
                <w:color w:val="000000"/>
                <w:sz w:val="22"/>
              </w:rPr>
              <w:t>Первомайский</w:t>
            </w:r>
            <w:proofErr w:type="gramEnd"/>
            <w:r w:rsidRPr="00731FE2">
              <w:rPr>
                <w:rFonts w:ascii="Times New Roman" w:eastAsia="Times New Roman" w:hAnsi="Times New Roman" w:cs="Times New Roman"/>
                <w:color w:val="000000"/>
                <w:sz w:val="22"/>
              </w:rPr>
              <w:t xml:space="preserve"> – Казачья горка;</w:t>
            </w:r>
          </w:p>
        </w:tc>
        <w:tc>
          <w:tcPr>
            <w:tcW w:w="1559" w:type="dxa"/>
            <w:vMerge/>
          </w:tcPr>
          <w:p w14:paraId="1EC5190D" w14:textId="77777777" w:rsidR="00171AA8" w:rsidRPr="00731FE2" w:rsidRDefault="00171AA8">
            <w:pPr>
              <w:rPr>
                <w:rFonts w:ascii="Times New Roman" w:hAnsi="Times New Roman" w:cs="Times New Roman"/>
                <w:sz w:val="22"/>
              </w:rPr>
            </w:pPr>
          </w:p>
        </w:tc>
        <w:tc>
          <w:tcPr>
            <w:tcW w:w="1702" w:type="dxa"/>
            <w:vMerge/>
          </w:tcPr>
          <w:p w14:paraId="0A5EB97B" w14:textId="77777777" w:rsidR="00171AA8" w:rsidRPr="00731FE2" w:rsidRDefault="00171AA8">
            <w:pPr>
              <w:rPr>
                <w:rFonts w:ascii="Times New Roman" w:hAnsi="Times New Roman" w:cs="Times New Roman"/>
                <w:sz w:val="22"/>
              </w:rPr>
            </w:pPr>
          </w:p>
        </w:tc>
      </w:tr>
      <w:tr w:rsidR="00171AA8" w:rsidRPr="00731FE2" w14:paraId="5F603EE0" w14:textId="77777777">
        <w:tc>
          <w:tcPr>
            <w:tcW w:w="1842" w:type="dxa"/>
            <w:vMerge/>
          </w:tcPr>
          <w:p w14:paraId="2C23AB6F" w14:textId="77777777" w:rsidR="00171AA8" w:rsidRPr="00731FE2" w:rsidRDefault="00171AA8">
            <w:pPr>
              <w:rPr>
                <w:rFonts w:ascii="Times New Roman" w:hAnsi="Times New Roman" w:cs="Times New Roman"/>
                <w:sz w:val="22"/>
              </w:rPr>
            </w:pPr>
          </w:p>
        </w:tc>
        <w:tc>
          <w:tcPr>
            <w:tcW w:w="1843" w:type="dxa"/>
            <w:vMerge/>
          </w:tcPr>
          <w:p w14:paraId="6F748714" w14:textId="77777777" w:rsidR="00171AA8" w:rsidRPr="00731FE2" w:rsidRDefault="00171AA8">
            <w:pPr>
              <w:rPr>
                <w:rFonts w:ascii="Times New Roman" w:hAnsi="Times New Roman" w:cs="Times New Roman"/>
                <w:sz w:val="22"/>
              </w:rPr>
            </w:pPr>
          </w:p>
        </w:tc>
        <w:tc>
          <w:tcPr>
            <w:tcW w:w="2409" w:type="dxa"/>
          </w:tcPr>
          <w:p w14:paraId="646F0E9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2"/>
              </w:rPr>
            </w:pPr>
            <w:r w:rsidRPr="00731FE2">
              <w:rPr>
                <w:rFonts w:ascii="Times New Roman" w:eastAsia="Times New Roman" w:hAnsi="Times New Roman" w:cs="Times New Roman"/>
                <w:color w:val="000000"/>
                <w:sz w:val="22"/>
              </w:rPr>
              <w:t>пр. Первомайский – поворот в парк;</w:t>
            </w:r>
          </w:p>
        </w:tc>
        <w:tc>
          <w:tcPr>
            <w:tcW w:w="1559" w:type="dxa"/>
            <w:vMerge/>
          </w:tcPr>
          <w:p w14:paraId="138F884E" w14:textId="77777777" w:rsidR="00171AA8" w:rsidRPr="00731FE2" w:rsidRDefault="00171AA8">
            <w:pPr>
              <w:rPr>
                <w:rFonts w:ascii="Times New Roman" w:hAnsi="Times New Roman" w:cs="Times New Roman"/>
                <w:sz w:val="22"/>
              </w:rPr>
            </w:pPr>
          </w:p>
        </w:tc>
        <w:tc>
          <w:tcPr>
            <w:tcW w:w="1702" w:type="dxa"/>
            <w:vMerge/>
          </w:tcPr>
          <w:p w14:paraId="046CDCD3" w14:textId="77777777" w:rsidR="00171AA8" w:rsidRPr="00731FE2" w:rsidRDefault="00171AA8">
            <w:pPr>
              <w:rPr>
                <w:rFonts w:ascii="Times New Roman" w:hAnsi="Times New Roman" w:cs="Times New Roman"/>
                <w:sz w:val="22"/>
              </w:rPr>
            </w:pPr>
          </w:p>
        </w:tc>
      </w:tr>
      <w:tr w:rsidR="00171AA8" w:rsidRPr="00731FE2" w14:paraId="10A86B04" w14:textId="77777777">
        <w:tc>
          <w:tcPr>
            <w:tcW w:w="1842" w:type="dxa"/>
            <w:vMerge/>
          </w:tcPr>
          <w:p w14:paraId="0A59085F" w14:textId="77777777" w:rsidR="00171AA8" w:rsidRPr="00731FE2" w:rsidRDefault="00171AA8">
            <w:pPr>
              <w:rPr>
                <w:rFonts w:ascii="Times New Roman" w:hAnsi="Times New Roman" w:cs="Times New Roman"/>
                <w:sz w:val="22"/>
              </w:rPr>
            </w:pPr>
          </w:p>
        </w:tc>
        <w:tc>
          <w:tcPr>
            <w:tcW w:w="1843" w:type="dxa"/>
            <w:vMerge/>
          </w:tcPr>
          <w:p w14:paraId="14A2D4B2" w14:textId="77777777" w:rsidR="00171AA8" w:rsidRPr="00731FE2" w:rsidRDefault="00171AA8">
            <w:pPr>
              <w:rPr>
                <w:rFonts w:ascii="Times New Roman" w:hAnsi="Times New Roman" w:cs="Times New Roman"/>
                <w:sz w:val="22"/>
              </w:rPr>
            </w:pPr>
          </w:p>
        </w:tc>
        <w:tc>
          <w:tcPr>
            <w:tcW w:w="2409" w:type="dxa"/>
          </w:tcPr>
          <w:p w14:paraId="45C65C4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2"/>
              </w:rPr>
            </w:pPr>
            <w:r w:rsidRPr="00731FE2">
              <w:rPr>
                <w:rFonts w:ascii="Times New Roman" w:eastAsia="Times New Roman" w:hAnsi="Times New Roman" w:cs="Times New Roman"/>
                <w:color w:val="000000"/>
                <w:sz w:val="22"/>
              </w:rPr>
              <w:t>пр. Первомайский – ул. Красноармейская;</w:t>
            </w:r>
          </w:p>
        </w:tc>
        <w:tc>
          <w:tcPr>
            <w:tcW w:w="1559" w:type="dxa"/>
            <w:vMerge/>
          </w:tcPr>
          <w:p w14:paraId="65CEB854" w14:textId="77777777" w:rsidR="00171AA8" w:rsidRPr="00731FE2" w:rsidRDefault="00171AA8">
            <w:pPr>
              <w:rPr>
                <w:rFonts w:ascii="Times New Roman" w:hAnsi="Times New Roman" w:cs="Times New Roman"/>
                <w:sz w:val="22"/>
              </w:rPr>
            </w:pPr>
          </w:p>
        </w:tc>
        <w:tc>
          <w:tcPr>
            <w:tcW w:w="1702" w:type="dxa"/>
            <w:vMerge/>
          </w:tcPr>
          <w:p w14:paraId="4682529F" w14:textId="77777777" w:rsidR="00171AA8" w:rsidRPr="00731FE2" w:rsidRDefault="00171AA8">
            <w:pPr>
              <w:rPr>
                <w:rFonts w:ascii="Times New Roman" w:hAnsi="Times New Roman" w:cs="Times New Roman"/>
                <w:sz w:val="22"/>
              </w:rPr>
            </w:pPr>
          </w:p>
        </w:tc>
      </w:tr>
      <w:tr w:rsidR="00171AA8" w:rsidRPr="00731FE2" w14:paraId="42D7BC56" w14:textId="77777777">
        <w:tc>
          <w:tcPr>
            <w:tcW w:w="1842" w:type="dxa"/>
            <w:vMerge/>
          </w:tcPr>
          <w:p w14:paraId="281E3658" w14:textId="77777777" w:rsidR="00171AA8" w:rsidRPr="00731FE2" w:rsidRDefault="00171AA8">
            <w:pPr>
              <w:rPr>
                <w:rFonts w:ascii="Times New Roman" w:hAnsi="Times New Roman" w:cs="Times New Roman"/>
                <w:sz w:val="22"/>
              </w:rPr>
            </w:pPr>
          </w:p>
        </w:tc>
        <w:tc>
          <w:tcPr>
            <w:tcW w:w="1843" w:type="dxa"/>
            <w:vMerge/>
          </w:tcPr>
          <w:p w14:paraId="2A17A928" w14:textId="77777777" w:rsidR="00171AA8" w:rsidRPr="00731FE2" w:rsidRDefault="00171AA8">
            <w:pPr>
              <w:rPr>
                <w:rFonts w:ascii="Times New Roman" w:hAnsi="Times New Roman" w:cs="Times New Roman"/>
                <w:sz w:val="22"/>
              </w:rPr>
            </w:pPr>
          </w:p>
        </w:tc>
        <w:tc>
          <w:tcPr>
            <w:tcW w:w="2409" w:type="dxa"/>
          </w:tcPr>
          <w:p w14:paraId="68C13F8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2"/>
              </w:rPr>
            </w:pPr>
            <w:r w:rsidRPr="00731FE2">
              <w:rPr>
                <w:rFonts w:ascii="Times New Roman" w:eastAsia="Times New Roman" w:hAnsi="Times New Roman" w:cs="Times New Roman"/>
                <w:color w:val="000000"/>
                <w:sz w:val="22"/>
              </w:rPr>
              <w:t>пр. Мира – гастроном;</w:t>
            </w:r>
          </w:p>
        </w:tc>
        <w:tc>
          <w:tcPr>
            <w:tcW w:w="1559" w:type="dxa"/>
            <w:vMerge/>
          </w:tcPr>
          <w:p w14:paraId="58AF936F" w14:textId="77777777" w:rsidR="00171AA8" w:rsidRPr="00731FE2" w:rsidRDefault="00171AA8">
            <w:pPr>
              <w:rPr>
                <w:rFonts w:ascii="Times New Roman" w:hAnsi="Times New Roman" w:cs="Times New Roman"/>
                <w:sz w:val="22"/>
              </w:rPr>
            </w:pPr>
          </w:p>
        </w:tc>
        <w:tc>
          <w:tcPr>
            <w:tcW w:w="1702" w:type="dxa"/>
            <w:vMerge/>
          </w:tcPr>
          <w:p w14:paraId="62B7DE4B" w14:textId="77777777" w:rsidR="00171AA8" w:rsidRPr="00731FE2" w:rsidRDefault="00171AA8">
            <w:pPr>
              <w:rPr>
                <w:rFonts w:ascii="Times New Roman" w:hAnsi="Times New Roman" w:cs="Times New Roman"/>
                <w:sz w:val="22"/>
              </w:rPr>
            </w:pPr>
          </w:p>
        </w:tc>
      </w:tr>
      <w:tr w:rsidR="00171AA8" w:rsidRPr="00731FE2" w14:paraId="7227BDCB" w14:textId="77777777">
        <w:tc>
          <w:tcPr>
            <w:tcW w:w="1842" w:type="dxa"/>
            <w:vMerge/>
          </w:tcPr>
          <w:p w14:paraId="696107F5" w14:textId="77777777" w:rsidR="00171AA8" w:rsidRPr="00731FE2" w:rsidRDefault="00171AA8">
            <w:pPr>
              <w:rPr>
                <w:rFonts w:ascii="Times New Roman" w:hAnsi="Times New Roman" w:cs="Times New Roman"/>
                <w:sz w:val="22"/>
              </w:rPr>
            </w:pPr>
          </w:p>
        </w:tc>
        <w:tc>
          <w:tcPr>
            <w:tcW w:w="1843" w:type="dxa"/>
            <w:vMerge/>
          </w:tcPr>
          <w:p w14:paraId="4A7B1E3E" w14:textId="77777777" w:rsidR="00171AA8" w:rsidRPr="00731FE2" w:rsidRDefault="00171AA8">
            <w:pPr>
              <w:rPr>
                <w:rFonts w:ascii="Times New Roman" w:hAnsi="Times New Roman" w:cs="Times New Roman"/>
                <w:sz w:val="22"/>
              </w:rPr>
            </w:pPr>
          </w:p>
        </w:tc>
        <w:tc>
          <w:tcPr>
            <w:tcW w:w="2409" w:type="dxa"/>
          </w:tcPr>
          <w:p w14:paraId="7043FB0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2"/>
              </w:rPr>
            </w:pPr>
            <w:r w:rsidRPr="00731FE2">
              <w:rPr>
                <w:rFonts w:ascii="Times New Roman" w:eastAsia="Times New Roman" w:hAnsi="Times New Roman" w:cs="Times New Roman"/>
                <w:color w:val="000000"/>
                <w:sz w:val="22"/>
              </w:rPr>
              <w:t>пр. Мира – памятник «Журавли»;</w:t>
            </w:r>
          </w:p>
        </w:tc>
        <w:tc>
          <w:tcPr>
            <w:tcW w:w="1559" w:type="dxa"/>
            <w:vMerge/>
          </w:tcPr>
          <w:p w14:paraId="7B011DF7" w14:textId="77777777" w:rsidR="00171AA8" w:rsidRPr="00731FE2" w:rsidRDefault="00171AA8">
            <w:pPr>
              <w:rPr>
                <w:rFonts w:ascii="Times New Roman" w:hAnsi="Times New Roman" w:cs="Times New Roman"/>
                <w:sz w:val="22"/>
              </w:rPr>
            </w:pPr>
          </w:p>
        </w:tc>
        <w:tc>
          <w:tcPr>
            <w:tcW w:w="1702" w:type="dxa"/>
            <w:vMerge/>
          </w:tcPr>
          <w:p w14:paraId="74E78D61" w14:textId="77777777" w:rsidR="00171AA8" w:rsidRPr="00731FE2" w:rsidRDefault="00171AA8">
            <w:pPr>
              <w:rPr>
                <w:rFonts w:ascii="Times New Roman" w:hAnsi="Times New Roman" w:cs="Times New Roman"/>
                <w:sz w:val="22"/>
              </w:rPr>
            </w:pPr>
          </w:p>
        </w:tc>
      </w:tr>
      <w:tr w:rsidR="00171AA8" w:rsidRPr="00731FE2" w14:paraId="33B2B62F" w14:textId="77777777">
        <w:tc>
          <w:tcPr>
            <w:tcW w:w="1842" w:type="dxa"/>
            <w:vMerge/>
          </w:tcPr>
          <w:p w14:paraId="79A902D0" w14:textId="77777777" w:rsidR="00171AA8" w:rsidRPr="00731FE2" w:rsidRDefault="00171AA8">
            <w:pPr>
              <w:rPr>
                <w:rFonts w:ascii="Times New Roman" w:hAnsi="Times New Roman" w:cs="Times New Roman"/>
                <w:sz w:val="22"/>
              </w:rPr>
            </w:pPr>
          </w:p>
        </w:tc>
        <w:tc>
          <w:tcPr>
            <w:tcW w:w="1843" w:type="dxa"/>
            <w:vMerge/>
          </w:tcPr>
          <w:p w14:paraId="63DDDF52" w14:textId="77777777" w:rsidR="00171AA8" w:rsidRPr="00731FE2" w:rsidRDefault="00171AA8">
            <w:pPr>
              <w:rPr>
                <w:rFonts w:ascii="Times New Roman" w:hAnsi="Times New Roman" w:cs="Times New Roman"/>
                <w:sz w:val="22"/>
              </w:rPr>
            </w:pPr>
          </w:p>
        </w:tc>
        <w:tc>
          <w:tcPr>
            <w:tcW w:w="2409" w:type="dxa"/>
          </w:tcPr>
          <w:p w14:paraId="51CD2D1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2"/>
              </w:rPr>
            </w:pPr>
            <w:r w:rsidRPr="00731FE2">
              <w:rPr>
                <w:rFonts w:ascii="Times New Roman" w:eastAsia="Times New Roman" w:hAnsi="Times New Roman" w:cs="Times New Roman"/>
                <w:color w:val="000000"/>
                <w:sz w:val="22"/>
              </w:rPr>
              <w:t>пр. Мира – Собор;</w:t>
            </w:r>
          </w:p>
        </w:tc>
        <w:tc>
          <w:tcPr>
            <w:tcW w:w="1559" w:type="dxa"/>
            <w:vMerge/>
          </w:tcPr>
          <w:p w14:paraId="4746F50A" w14:textId="77777777" w:rsidR="00171AA8" w:rsidRPr="00731FE2" w:rsidRDefault="00171AA8">
            <w:pPr>
              <w:rPr>
                <w:rFonts w:ascii="Times New Roman" w:hAnsi="Times New Roman" w:cs="Times New Roman"/>
                <w:sz w:val="22"/>
              </w:rPr>
            </w:pPr>
          </w:p>
        </w:tc>
        <w:tc>
          <w:tcPr>
            <w:tcW w:w="1702" w:type="dxa"/>
            <w:vMerge/>
          </w:tcPr>
          <w:p w14:paraId="083350E2" w14:textId="77777777" w:rsidR="00171AA8" w:rsidRPr="00731FE2" w:rsidRDefault="00171AA8">
            <w:pPr>
              <w:rPr>
                <w:rFonts w:ascii="Times New Roman" w:hAnsi="Times New Roman" w:cs="Times New Roman"/>
                <w:sz w:val="22"/>
              </w:rPr>
            </w:pPr>
          </w:p>
        </w:tc>
      </w:tr>
      <w:tr w:rsidR="00171AA8" w:rsidRPr="00731FE2" w14:paraId="74BB7A2C" w14:textId="77777777">
        <w:tc>
          <w:tcPr>
            <w:tcW w:w="1842" w:type="dxa"/>
            <w:vMerge/>
          </w:tcPr>
          <w:p w14:paraId="6A03F8DF" w14:textId="77777777" w:rsidR="00171AA8" w:rsidRPr="00731FE2" w:rsidRDefault="00171AA8">
            <w:pPr>
              <w:rPr>
                <w:rFonts w:ascii="Times New Roman" w:hAnsi="Times New Roman" w:cs="Times New Roman"/>
                <w:sz w:val="22"/>
              </w:rPr>
            </w:pPr>
          </w:p>
        </w:tc>
        <w:tc>
          <w:tcPr>
            <w:tcW w:w="1843" w:type="dxa"/>
            <w:vMerge/>
          </w:tcPr>
          <w:p w14:paraId="356F6E03" w14:textId="77777777" w:rsidR="00171AA8" w:rsidRPr="00731FE2" w:rsidRDefault="00171AA8">
            <w:pPr>
              <w:rPr>
                <w:rFonts w:ascii="Times New Roman" w:hAnsi="Times New Roman" w:cs="Times New Roman"/>
                <w:sz w:val="22"/>
              </w:rPr>
            </w:pPr>
          </w:p>
        </w:tc>
        <w:tc>
          <w:tcPr>
            <w:tcW w:w="2409" w:type="dxa"/>
          </w:tcPr>
          <w:p w14:paraId="0EDC2B4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2"/>
              </w:rPr>
            </w:pPr>
            <w:r w:rsidRPr="00731FE2">
              <w:rPr>
                <w:rFonts w:ascii="Times New Roman" w:eastAsia="Times New Roman" w:hAnsi="Times New Roman" w:cs="Times New Roman"/>
                <w:color w:val="000000"/>
                <w:sz w:val="22"/>
              </w:rPr>
              <w:t>пр. Мира – ул. Лермонтова;</w:t>
            </w:r>
          </w:p>
        </w:tc>
        <w:tc>
          <w:tcPr>
            <w:tcW w:w="1559" w:type="dxa"/>
            <w:vMerge/>
          </w:tcPr>
          <w:p w14:paraId="2F741F00" w14:textId="77777777" w:rsidR="00171AA8" w:rsidRPr="00731FE2" w:rsidRDefault="00171AA8">
            <w:pPr>
              <w:rPr>
                <w:rFonts w:ascii="Times New Roman" w:hAnsi="Times New Roman" w:cs="Times New Roman"/>
                <w:sz w:val="22"/>
              </w:rPr>
            </w:pPr>
          </w:p>
        </w:tc>
        <w:tc>
          <w:tcPr>
            <w:tcW w:w="1702" w:type="dxa"/>
            <w:vMerge/>
          </w:tcPr>
          <w:p w14:paraId="14D61A4B" w14:textId="77777777" w:rsidR="00171AA8" w:rsidRPr="00731FE2" w:rsidRDefault="00171AA8">
            <w:pPr>
              <w:rPr>
                <w:rFonts w:ascii="Times New Roman" w:hAnsi="Times New Roman" w:cs="Times New Roman"/>
                <w:sz w:val="22"/>
              </w:rPr>
            </w:pPr>
          </w:p>
        </w:tc>
      </w:tr>
      <w:tr w:rsidR="00171AA8" w:rsidRPr="00731FE2" w14:paraId="67FF97CE" w14:textId="77777777">
        <w:tc>
          <w:tcPr>
            <w:tcW w:w="1842" w:type="dxa"/>
            <w:vMerge/>
          </w:tcPr>
          <w:p w14:paraId="574ADC66" w14:textId="77777777" w:rsidR="00171AA8" w:rsidRPr="00731FE2" w:rsidRDefault="00171AA8">
            <w:pPr>
              <w:rPr>
                <w:rFonts w:ascii="Times New Roman" w:hAnsi="Times New Roman" w:cs="Times New Roman"/>
                <w:sz w:val="22"/>
              </w:rPr>
            </w:pPr>
          </w:p>
        </w:tc>
        <w:tc>
          <w:tcPr>
            <w:tcW w:w="1843" w:type="dxa"/>
            <w:vMerge/>
          </w:tcPr>
          <w:p w14:paraId="6DF61CFA" w14:textId="77777777" w:rsidR="00171AA8" w:rsidRPr="00731FE2" w:rsidRDefault="00171AA8">
            <w:pPr>
              <w:rPr>
                <w:rFonts w:ascii="Times New Roman" w:hAnsi="Times New Roman" w:cs="Times New Roman"/>
                <w:sz w:val="22"/>
              </w:rPr>
            </w:pPr>
          </w:p>
        </w:tc>
        <w:tc>
          <w:tcPr>
            <w:tcW w:w="2409" w:type="dxa"/>
          </w:tcPr>
          <w:p w14:paraId="15C2A08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2"/>
              </w:rPr>
            </w:pPr>
            <w:r w:rsidRPr="00731FE2">
              <w:rPr>
                <w:rFonts w:ascii="Times New Roman" w:eastAsia="Times New Roman" w:hAnsi="Times New Roman" w:cs="Times New Roman"/>
                <w:color w:val="000000"/>
                <w:sz w:val="22"/>
              </w:rPr>
              <w:t>ул. Гагарина (школа №10);</w:t>
            </w:r>
          </w:p>
        </w:tc>
        <w:tc>
          <w:tcPr>
            <w:tcW w:w="1559" w:type="dxa"/>
            <w:vMerge/>
          </w:tcPr>
          <w:p w14:paraId="66961344" w14:textId="77777777" w:rsidR="00171AA8" w:rsidRPr="00731FE2" w:rsidRDefault="00171AA8">
            <w:pPr>
              <w:rPr>
                <w:rFonts w:ascii="Times New Roman" w:hAnsi="Times New Roman" w:cs="Times New Roman"/>
                <w:sz w:val="22"/>
              </w:rPr>
            </w:pPr>
          </w:p>
        </w:tc>
        <w:tc>
          <w:tcPr>
            <w:tcW w:w="1702" w:type="dxa"/>
            <w:vMerge/>
          </w:tcPr>
          <w:p w14:paraId="266E13F0" w14:textId="77777777" w:rsidR="00171AA8" w:rsidRPr="00731FE2" w:rsidRDefault="00171AA8">
            <w:pPr>
              <w:rPr>
                <w:rFonts w:ascii="Times New Roman" w:hAnsi="Times New Roman" w:cs="Times New Roman"/>
                <w:sz w:val="22"/>
              </w:rPr>
            </w:pPr>
          </w:p>
        </w:tc>
      </w:tr>
      <w:tr w:rsidR="00171AA8" w:rsidRPr="00731FE2" w14:paraId="68A6C271" w14:textId="77777777">
        <w:tc>
          <w:tcPr>
            <w:tcW w:w="1842" w:type="dxa"/>
            <w:vMerge/>
          </w:tcPr>
          <w:p w14:paraId="536FADD3" w14:textId="77777777" w:rsidR="00171AA8" w:rsidRPr="00731FE2" w:rsidRDefault="00171AA8">
            <w:pPr>
              <w:rPr>
                <w:rFonts w:ascii="Times New Roman" w:hAnsi="Times New Roman" w:cs="Times New Roman"/>
                <w:sz w:val="22"/>
              </w:rPr>
            </w:pPr>
          </w:p>
        </w:tc>
        <w:tc>
          <w:tcPr>
            <w:tcW w:w="1843" w:type="dxa"/>
            <w:vMerge/>
          </w:tcPr>
          <w:p w14:paraId="7E6C5862" w14:textId="77777777" w:rsidR="00171AA8" w:rsidRPr="00731FE2" w:rsidRDefault="00171AA8">
            <w:pPr>
              <w:rPr>
                <w:rFonts w:ascii="Times New Roman" w:hAnsi="Times New Roman" w:cs="Times New Roman"/>
                <w:sz w:val="22"/>
              </w:rPr>
            </w:pPr>
          </w:p>
        </w:tc>
        <w:tc>
          <w:tcPr>
            <w:tcW w:w="2409" w:type="dxa"/>
          </w:tcPr>
          <w:p w14:paraId="1D87948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2"/>
              </w:rPr>
            </w:pPr>
            <w:r w:rsidRPr="00731FE2">
              <w:rPr>
                <w:rFonts w:ascii="Times New Roman" w:eastAsia="Times New Roman" w:hAnsi="Times New Roman" w:cs="Times New Roman"/>
                <w:color w:val="000000"/>
                <w:sz w:val="22"/>
              </w:rPr>
              <w:t>ул. Цандера (школа №15);</w:t>
            </w:r>
          </w:p>
        </w:tc>
        <w:tc>
          <w:tcPr>
            <w:tcW w:w="1559" w:type="dxa"/>
            <w:vMerge/>
          </w:tcPr>
          <w:p w14:paraId="755A9CE4" w14:textId="77777777" w:rsidR="00171AA8" w:rsidRPr="00731FE2" w:rsidRDefault="00171AA8">
            <w:pPr>
              <w:rPr>
                <w:rFonts w:ascii="Times New Roman" w:hAnsi="Times New Roman" w:cs="Times New Roman"/>
                <w:sz w:val="22"/>
              </w:rPr>
            </w:pPr>
          </w:p>
        </w:tc>
        <w:tc>
          <w:tcPr>
            <w:tcW w:w="1702" w:type="dxa"/>
            <w:vMerge/>
          </w:tcPr>
          <w:p w14:paraId="3041D575" w14:textId="77777777" w:rsidR="00171AA8" w:rsidRPr="00731FE2" w:rsidRDefault="00171AA8">
            <w:pPr>
              <w:rPr>
                <w:rFonts w:ascii="Times New Roman" w:hAnsi="Times New Roman" w:cs="Times New Roman"/>
                <w:sz w:val="22"/>
              </w:rPr>
            </w:pPr>
          </w:p>
        </w:tc>
      </w:tr>
      <w:tr w:rsidR="00171AA8" w:rsidRPr="00731FE2" w14:paraId="3A9299FD" w14:textId="77777777">
        <w:tc>
          <w:tcPr>
            <w:tcW w:w="1842" w:type="dxa"/>
            <w:vMerge/>
          </w:tcPr>
          <w:p w14:paraId="607E5A31" w14:textId="77777777" w:rsidR="00171AA8" w:rsidRPr="00731FE2" w:rsidRDefault="00171AA8">
            <w:pPr>
              <w:rPr>
                <w:rFonts w:ascii="Times New Roman" w:hAnsi="Times New Roman" w:cs="Times New Roman"/>
                <w:sz w:val="22"/>
              </w:rPr>
            </w:pPr>
          </w:p>
        </w:tc>
        <w:tc>
          <w:tcPr>
            <w:tcW w:w="1843" w:type="dxa"/>
            <w:vMerge/>
          </w:tcPr>
          <w:p w14:paraId="6A56EE47" w14:textId="77777777" w:rsidR="00171AA8" w:rsidRPr="00731FE2" w:rsidRDefault="00171AA8">
            <w:pPr>
              <w:rPr>
                <w:rFonts w:ascii="Times New Roman" w:hAnsi="Times New Roman" w:cs="Times New Roman"/>
                <w:sz w:val="22"/>
              </w:rPr>
            </w:pPr>
          </w:p>
        </w:tc>
        <w:tc>
          <w:tcPr>
            <w:tcW w:w="2409" w:type="dxa"/>
          </w:tcPr>
          <w:p w14:paraId="240009E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2"/>
              </w:rPr>
            </w:pPr>
            <w:r w:rsidRPr="00731FE2">
              <w:rPr>
                <w:rFonts w:ascii="Times New Roman" w:eastAsia="Times New Roman" w:hAnsi="Times New Roman" w:cs="Times New Roman"/>
                <w:color w:val="000000"/>
                <w:sz w:val="22"/>
              </w:rPr>
              <w:t>ул. 40 лет Октября (школа №15);</w:t>
            </w:r>
          </w:p>
        </w:tc>
        <w:tc>
          <w:tcPr>
            <w:tcW w:w="1559" w:type="dxa"/>
            <w:vMerge/>
          </w:tcPr>
          <w:p w14:paraId="3088191D" w14:textId="77777777" w:rsidR="00171AA8" w:rsidRPr="00731FE2" w:rsidRDefault="00171AA8">
            <w:pPr>
              <w:rPr>
                <w:rFonts w:ascii="Times New Roman" w:hAnsi="Times New Roman" w:cs="Times New Roman"/>
                <w:sz w:val="22"/>
              </w:rPr>
            </w:pPr>
          </w:p>
        </w:tc>
        <w:tc>
          <w:tcPr>
            <w:tcW w:w="1702" w:type="dxa"/>
            <w:vMerge/>
          </w:tcPr>
          <w:p w14:paraId="70384A98" w14:textId="77777777" w:rsidR="00171AA8" w:rsidRPr="00731FE2" w:rsidRDefault="00171AA8">
            <w:pPr>
              <w:rPr>
                <w:rFonts w:ascii="Times New Roman" w:hAnsi="Times New Roman" w:cs="Times New Roman"/>
                <w:sz w:val="22"/>
              </w:rPr>
            </w:pPr>
          </w:p>
        </w:tc>
      </w:tr>
      <w:tr w:rsidR="00171AA8" w:rsidRPr="00731FE2" w14:paraId="609CF6E1" w14:textId="77777777">
        <w:tc>
          <w:tcPr>
            <w:tcW w:w="1842" w:type="dxa"/>
            <w:vMerge/>
          </w:tcPr>
          <w:p w14:paraId="252A40A0" w14:textId="77777777" w:rsidR="00171AA8" w:rsidRPr="00731FE2" w:rsidRDefault="00171AA8">
            <w:pPr>
              <w:rPr>
                <w:rFonts w:ascii="Times New Roman" w:hAnsi="Times New Roman" w:cs="Times New Roman"/>
                <w:sz w:val="22"/>
              </w:rPr>
            </w:pPr>
          </w:p>
        </w:tc>
        <w:tc>
          <w:tcPr>
            <w:tcW w:w="1843" w:type="dxa"/>
            <w:vMerge/>
          </w:tcPr>
          <w:p w14:paraId="60FDF910" w14:textId="77777777" w:rsidR="00171AA8" w:rsidRPr="00731FE2" w:rsidRDefault="00171AA8">
            <w:pPr>
              <w:rPr>
                <w:rFonts w:ascii="Times New Roman" w:hAnsi="Times New Roman" w:cs="Times New Roman"/>
                <w:sz w:val="22"/>
              </w:rPr>
            </w:pPr>
          </w:p>
        </w:tc>
        <w:tc>
          <w:tcPr>
            <w:tcW w:w="2409" w:type="dxa"/>
          </w:tcPr>
          <w:p w14:paraId="0A48CAD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2"/>
              </w:rPr>
            </w:pPr>
            <w:r w:rsidRPr="00731FE2">
              <w:rPr>
                <w:rFonts w:ascii="Times New Roman" w:eastAsia="Times New Roman" w:hAnsi="Times New Roman" w:cs="Times New Roman"/>
                <w:color w:val="000000"/>
                <w:sz w:val="22"/>
              </w:rPr>
              <w:t>ул. 40 лет Октября – ул. Горького;</w:t>
            </w:r>
          </w:p>
        </w:tc>
        <w:tc>
          <w:tcPr>
            <w:tcW w:w="1559" w:type="dxa"/>
            <w:vMerge/>
          </w:tcPr>
          <w:p w14:paraId="259A1610" w14:textId="77777777" w:rsidR="00171AA8" w:rsidRPr="00731FE2" w:rsidRDefault="00171AA8">
            <w:pPr>
              <w:rPr>
                <w:rFonts w:ascii="Times New Roman" w:hAnsi="Times New Roman" w:cs="Times New Roman"/>
                <w:sz w:val="22"/>
              </w:rPr>
            </w:pPr>
          </w:p>
        </w:tc>
        <w:tc>
          <w:tcPr>
            <w:tcW w:w="1702" w:type="dxa"/>
            <w:vMerge/>
          </w:tcPr>
          <w:p w14:paraId="234D1EA2" w14:textId="77777777" w:rsidR="00171AA8" w:rsidRPr="00731FE2" w:rsidRDefault="00171AA8">
            <w:pPr>
              <w:rPr>
                <w:rFonts w:ascii="Times New Roman" w:hAnsi="Times New Roman" w:cs="Times New Roman"/>
                <w:sz w:val="22"/>
              </w:rPr>
            </w:pPr>
          </w:p>
        </w:tc>
      </w:tr>
      <w:tr w:rsidR="00171AA8" w:rsidRPr="00731FE2" w14:paraId="63AD0D2A" w14:textId="77777777">
        <w:tc>
          <w:tcPr>
            <w:tcW w:w="1842" w:type="dxa"/>
            <w:vMerge/>
          </w:tcPr>
          <w:p w14:paraId="00B80144" w14:textId="77777777" w:rsidR="00171AA8" w:rsidRPr="00731FE2" w:rsidRDefault="00171AA8">
            <w:pPr>
              <w:rPr>
                <w:rFonts w:ascii="Times New Roman" w:hAnsi="Times New Roman" w:cs="Times New Roman"/>
                <w:sz w:val="22"/>
              </w:rPr>
            </w:pPr>
          </w:p>
        </w:tc>
        <w:tc>
          <w:tcPr>
            <w:tcW w:w="1843" w:type="dxa"/>
            <w:vMerge/>
          </w:tcPr>
          <w:p w14:paraId="2E1533EB" w14:textId="77777777" w:rsidR="00171AA8" w:rsidRPr="00731FE2" w:rsidRDefault="00171AA8">
            <w:pPr>
              <w:rPr>
                <w:rFonts w:ascii="Times New Roman" w:hAnsi="Times New Roman" w:cs="Times New Roman"/>
                <w:sz w:val="22"/>
              </w:rPr>
            </w:pPr>
          </w:p>
        </w:tc>
        <w:tc>
          <w:tcPr>
            <w:tcW w:w="2409" w:type="dxa"/>
          </w:tcPr>
          <w:p w14:paraId="7E758A4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2"/>
              </w:rPr>
            </w:pPr>
            <w:r w:rsidRPr="00731FE2">
              <w:rPr>
                <w:rFonts w:ascii="Times New Roman" w:eastAsia="Times New Roman" w:hAnsi="Times New Roman" w:cs="Times New Roman"/>
                <w:color w:val="000000"/>
                <w:sz w:val="22"/>
              </w:rPr>
              <w:t>ул. Седлогорская – ул. Энгельса (начальная школа №8);</w:t>
            </w:r>
          </w:p>
        </w:tc>
        <w:tc>
          <w:tcPr>
            <w:tcW w:w="1559" w:type="dxa"/>
            <w:vMerge/>
          </w:tcPr>
          <w:p w14:paraId="7E4684D7" w14:textId="77777777" w:rsidR="00171AA8" w:rsidRPr="00731FE2" w:rsidRDefault="00171AA8">
            <w:pPr>
              <w:rPr>
                <w:rFonts w:ascii="Times New Roman" w:hAnsi="Times New Roman" w:cs="Times New Roman"/>
                <w:sz w:val="22"/>
              </w:rPr>
            </w:pPr>
          </w:p>
        </w:tc>
        <w:tc>
          <w:tcPr>
            <w:tcW w:w="1702" w:type="dxa"/>
            <w:vMerge/>
          </w:tcPr>
          <w:p w14:paraId="726339CB" w14:textId="77777777" w:rsidR="00171AA8" w:rsidRPr="00731FE2" w:rsidRDefault="00171AA8">
            <w:pPr>
              <w:rPr>
                <w:rFonts w:ascii="Times New Roman" w:hAnsi="Times New Roman" w:cs="Times New Roman"/>
                <w:sz w:val="22"/>
              </w:rPr>
            </w:pPr>
          </w:p>
        </w:tc>
      </w:tr>
      <w:tr w:rsidR="00171AA8" w:rsidRPr="00731FE2" w14:paraId="481357C4" w14:textId="77777777">
        <w:tc>
          <w:tcPr>
            <w:tcW w:w="1842" w:type="dxa"/>
            <w:vMerge/>
          </w:tcPr>
          <w:p w14:paraId="00DEFE2C" w14:textId="77777777" w:rsidR="00171AA8" w:rsidRPr="00731FE2" w:rsidRDefault="00171AA8">
            <w:pPr>
              <w:rPr>
                <w:rFonts w:ascii="Times New Roman" w:hAnsi="Times New Roman" w:cs="Times New Roman"/>
                <w:sz w:val="22"/>
              </w:rPr>
            </w:pPr>
          </w:p>
        </w:tc>
        <w:tc>
          <w:tcPr>
            <w:tcW w:w="1843" w:type="dxa"/>
            <w:vMerge/>
          </w:tcPr>
          <w:p w14:paraId="05C97F68" w14:textId="77777777" w:rsidR="00171AA8" w:rsidRPr="00731FE2" w:rsidRDefault="00171AA8">
            <w:pPr>
              <w:rPr>
                <w:rFonts w:ascii="Times New Roman" w:hAnsi="Times New Roman" w:cs="Times New Roman"/>
                <w:sz w:val="22"/>
              </w:rPr>
            </w:pPr>
          </w:p>
        </w:tc>
        <w:tc>
          <w:tcPr>
            <w:tcW w:w="2409" w:type="dxa"/>
          </w:tcPr>
          <w:p w14:paraId="1E296CB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2"/>
              </w:rPr>
            </w:pPr>
            <w:r w:rsidRPr="00731FE2">
              <w:rPr>
                <w:rFonts w:ascii="Times New Roman" w:eastAsia="Times New Roman" w:hAnsi="Times New Roman" w:cs="Times New Roman"/>
                <w:color w:val="000000"/>
                <w:sz w:val="22"/>
              </w:rPr>
              <w:t>ул. Седлогорская;</w:t>
            </w:r>
          </w:p>
        </w:tc>
        <w:tc>
          <w:tcPr>
            <w:tcW w:w="1559" w:type="dxa"/>
            <w:vMerge/>
          </w:tcPr>
          <w:p w14:paraId="363C3C5F" w14:textId="77777777" w:rsidR="00171AA8" w:rsidRPr="00731FE2" w:rsidRDefault="00171AA8">
            <w:pPr>
              <w:rPr>
                <w:rFonts w:ascii="Times New Roman" w:hAnsi="Times New Roman" w:cs="Times New Roman"/>
                <w:sz w:val="22"/>
              </w:rPr>
            </w:pPr>
          </w:p>
        </w:tc>
        <w:tc>
          <w:tcPr>
            <w:tcW w:w="1702" w:type="dxa"/>
            <w:vMerge/>
          </w:tcPr>
          <w:p w14:paraId="3FE4D02E" w14:textId="77777777" w:rsidR="00171AA8" w:rsidRPr="00731FE2" w:rsidRDefault="00171AA8">
            <w:pPr>
              <w:rPr>
                <w:rFonts w:ascii="Times New Roman" w:hAnsi="Times New Roman" w:cs="Times New Roman"/>
                <w:sz w:val="22"/>
              </w:rPr>
            </w:pPr>
          </w:p>
        </w:tc>
      </w:tr>
      <w:tr w:rsidR="00171AA8" w:rsidRPr="00731FE2" w14:paraId="33C19704" w14:textId="77777777">
        <w:tc>
          <w:tcPr>
            <w:tcW w:w="1842" w:type="dxa"/>
            <w:vMerge/>
          </w:tcPr>
          <w:p w14:paraId="291AD8FD" w14:textId="77777777" w:rsidR="00171AA8" w:rsidRPr="00731FE2" w:rsidRDefault="00171AA8">
            <w:pPr>
              <w:rPr>
                <w:rFonts w:ascii="Times New Roman" w:hAnsi="Times New Roman" w:cs="Times New Roman"/>
                <w:sz w:val="22"/>
              </w:rPr>
            </w:pPr>
          </w:p>
        </w:tc>
        <w:tc>
          <w:tcPr>
            <w:tcW w:w="1843" w:type="dxa"/>
            <w:vMerge/>
          </w:tcPr>
          <w:p w14:paraId="06033323" w14:textId="77777777" w:rsidR="00171AA8" w:rsidRPr="00731FE2" w:rsidRDefault="00171AA8">
            <w:pPr>
              <w:rPr>
                <w:rFonts w:ascii="Times New Roman" w:hAnsi="Times New Roman" w:cs="Times New Roman"/>
                <w:sz w:val="22"/>
              </w:rPr>
            </w:pPr>
          </w:p>
        </w:tc>
        <w:tc>
          <w:tcPr>
            <w:tcW w:w="2409" w:type="dxa"/>
          </w:tcPr>
          <w:p w14:paraId="43CD754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2"/>
              </w:rPr>
            </w:pPr>
            <w:r w:rsidRPr="00731FE2">
              <w:rPr>
                <w:rFonts w:ascii="Times New Roman" w:eastAsia="Times New Roman" w:hAnsi="Times New Roman" w:cs="Times New Roman"/>
                <w:color w:val="000000"/>
                <w:sz w:val="22"/>
              </w:rPr>
              <w:t>ул. Седлогорская – ул. Аджарская;</w:t>
            </w:r>
          </w:p>
        </w:tc>
        <w:tc>
          <w:tcPr>
            <w:tcW w:w="1559" w:type="dxa"/>
            <w:vMerge/>
          </w:tcPr>
          <w:p w14:paraId="3C19A533" w14:textId="77777777" w:rsidR="00171AA8" w:rsidRPr="00731FE2" w:rsidRDefault="00171AA8">
            <w:pPr>
              <w:rPr>
                <w:rFonts w:ascii="Times New Roman" w:hAnsi="Times New Roman" w:cs="Times New Roman"/>
                <w:sz w:val="22"/>
              </w:rPr>
            </w:pPr>
          </w:p>
        </w:tc>
        <w:tc>
          <w:tcPr>
            <w:tcW w:w="1702" w:type="dxa"/>
            <w:vMerge/>
          </w:tcPr>
          <w:p w14:paraId="3EE35F08" w14:textId="77777777" w:rsidR="00171AA8" w:rsidRPr="00731FE2" w:rsidRDefault="00171AA8">
            <w:pPr>
              <w:rPr>
                <w:rFonts w:ascii="Times New Roman" w:hAnsi="Times New Roman" w:cs="Times New Roman"/>
                <w:sz w:val="22"/>
              </w:rPr>
            </w:pPr>
          </w:p>
        </w:tc>
      </w:tr>
      <w:tr w:rsidR="00171AA8" w:rsidRPr="00731FE2" w14:paraId="039D10E2" w14:textId="77777777">
        <w:tc>
          <w:tcPr>
            <w:tcW w:w="1842" w:type="dxa"/>
            <w:vMerge/>
          </w:tcPr>
          <w:p w14:paraId="24CB3784" w14:textId="77777777" w:rsidR="00171AA8" w:rsidRPr="00731FE2" w:rsidRDefault="00171AA8">
            <w:pPr>
              <w:rPr>
                <w:rFonts w:ascii="Times New Roman" w:hAnsi="Times New Roman" w:cs="Times New Roman"/>
                <w:sz w:val="22"/>
              </w:rPr>
            </w:pPr>
          </w:p>
        </w:tc>
        <w:tc>
          <w:tcPr>
            <w:tcW w:w="1843" w:type="dxa"/>
            <w:vMerge/>
          </w:tcPr>
          <w:p w14:paraId="231D8C3C" w14:textId="77777777" w:rsidR="00171AA8" w:rsidRPr="00731FE2" w:rsidRDefault="00171AA8">
            <w:pPr>
              <w:rPr>
                <w:rFonts w:ascii="Times New Roman" w:hAnsi="Times New Roman" w:cs="Times New Roman"/>
                <w:sz w:val="22"/>
              </w:rPr>
            </w:pPr>
          </w:p>
        </w:tc>
        <w:tc>
          <w:tcPr>
            <w:tcW w:w="2409" w:type="dxa"/>
          </w:tcPr>
          <w:p w14:paraId="3F99A60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2"/>
              </w:rPr>
            </w:pPr>
            <w:r w:rsidRPr="00731FE2">
              <w:rPr>
                <w:rFonts w:ascii="Times New Roman" w:eastAsia="Times New Roman" w:hAnsi="Times New Roman" w:cs="Times New Roman"/>
                <w:color w:val="000000"/>
                <w:sz w:val="22"/>
              </w:rPr>
              <w:t>ул. Октябрьская – ул. Энгельса (школа №8);</w:t>
            </w:r>
          </w:p>
        </w:tc>
        <w:tc>
          <w:tcPr>
            <w:tcW w:w="1559" w:type="dxa"/>
            <w:vMerge/>
          </w:tcPr>
          <w:p w14:paraId="04821D6E" w14:textId="77777777" w:rsidR="00171AA8" w:rsidRPr="00731FE2" w:rsidRDefault="00171AA8">
            <w:pPr>
              <w:rPr>
                <w:rFonts w:ascii="Times New Roman" w:hAnsi="Times New Roman" w:cs="Times New Roman"/>
                <w:sz w:val="22"/>
              </w:rPr>
            </w:pPr>
          </w:p>
        </w:tc>
        <w:tc>
          <w:tcPr>
            <w:tcW w:w="1702" w:type="dxa"/>
            <w:vMerge/>
          </w:tcPr>
          <w:p w14:paraId="0EAFA6C2" w14:textId="77777777" w:rsidR="00171AA8" w:rsidRPr="00731FE2" w:rsidRDefault="00171AA8">
            <w:pPr>
              <w:rPr>
                <w:rFonts w:ascii="Times New Roman" w:hAnsi="Times New Roman" w:cs="Times New Roman"/>
                <w:sz w:val="22"/>
              </w:rPr>
            </w:pPr>
          </w:p>
        </w:tc>
      </w:tr>
      <w:tr w:rsidR="00171AA8" w:rsidRPr="00731FE2" w14:paraId="3DD7347C" w14:textId="77777777">
        <w:tc>
          <w:tcPr>
            <w:tcW w:w="1842" w:type="dxa"/>
            <w:vMerge/>
          </w:tcPr>
          <w:p w14:paraId="3B9D6E9E" w14:textId="77777777" w:rsidR="00171AA8" w:rsidRPr="00731FE2" w:rsidRDefault="00171AA8">
            <w:pPr>
              <w:rPr>
                <w:rFonts w:ascii="Times New Roman" w:hAnsi="Times New Roman" w:cs="Times New Roman"/>
                <w:sz w:val="22"/>
              </w:rPr>
            </w:pPr>
          </w:p>
        </w:tc>
        <w:tc>
          <w:tcPr>
            <w:tcW w:w="1843" w:type="dxa"/>
            <w:vMerge/>
          </w:tcPr>
          <w:p w14:paraId="21A965F0" w14:textId="77777777" w:rsidR="00171AA8" w:rsidRPr="00731FE2" w:rsidRDefault="00171AA8">
            <w:pPr>
              <w:rPr>
                <w:rFonts w:ascii="Times New Roman" w:hAnsi="Times New Roman" w:cs="Times New Roman"/>
                <w:sz w:val="22"/>
              </w:rPr>
            </w:pPr>
          </w:p>
        </w:tc>
        <w:tc>
          <w:tcPr>
            <w:tcW w:w="2409" w:type="dxa"/>
          </w:tcPr>
          <w:p w14:paraId="7AB8670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2"/>
              </w:rPr>
            </w:pPr>
            <w:r w:rsidRPr="00731FE2">
              <w:rPr>
                <w:rFonts w:ascii="Times New Roman" w:eastAsia="Times New Roman" w:hAnsi="Times New Roman" w:cs="Times New Roman"/>
                <w:color w:val="000000"/>
                <w:sz w:val="22"/>
              </w:rPr>
              <w:t>ул. Октябрьская – ул. Аджарская;</w:t>
            </w:r>
          </w:p>
        </w:tc>
        <w:tc>
          <w:tcPr>
            <w:tcW w:w="1559" w:type="dxa"/>
            <w:vMerge/>
          </w:tcPr>
          <w:p w14:paraId="0F5646C7" w14:textId="77777777" w:rsidR="00171AA8" w:rsidRPr="00731FE2" w:rsidRDefault="00171AA8">
            <w:pPr>
              <w:rPr>
                <w:rFonts w:ascii="Times New Roman" w:hAnsi="Times New Roman" w:cs="Times New Roman"/>
                <w:sz w:val="22"/>
              </w:rPr>
            </w:pPr>
          </w:p>
        </w:tc>
        <w:tc>
          <w:tcPr>
            <w:tcW w:w="1702" w:type="dxa"/>
            <w:vMerge/>
          </w:tcPr>
          <w:p w14:paraId="7BE5E6E1" w14:textId="77777777" w:rsidR="00171AA8" w:rsidRPr="00731FE2" w:rsidRDefault="00171AA8">
            <w:pPr>
              <w:rPr>
                <w:rFonts w:ascii="Times New Roman" w:hAnsi="Times New Roman" w:cs="Times New Roman"/>
                <w:sz w:val="22"/>
              </w:rPr>
            </w:pPr>
          </w:p>
        </w:tc>
      </w:tr>
      <w:tr w:rsidR="00171AA8" w:rsidRPr="00731FE2" w14:paraId="0BCB4E9C" w14:textId="77777777">
        <w:tc>
          <w:tcPr>
            <w:tcW w:w="1842" w:type="dxa"/>
            <w:vMerge/>
          </w:tcPr>
          <w:p w14:paraId="04053E82" w14:textId="77777777" w:rsidR="00171AA8" w:rsidRPr="00731FE2" w:rsidRDefault="00171AA8">
            <w:pPr>
              <w:rPr>
                <w:rFonts w:ascii="Times New Roman" w:hAnsi="Times New Roman" w:cs="Times New Roman"/>
                <w:sz w:val="22"/>
              </w:rPr>
            </w:pPr>
          </w:p>
        </w:tc>
        <w:tc>
          <w:tcPr>
            <w:tcW w:w="1843" w:type="dxa"/>
            <w:vMerge/>
          </w:tcPr>
          <w:p w14:paraId="583BC350" w14:textId="77777777" w:rsidR="00171AA8" w:rsidRPr="00731FE2" w:rsidRDefault="00171AA8">
            <w:pPr>
              <w:rPr>
                <w:rFonts w:ascii="Times New Roman" w:hAnsi="Times New Roman" w:cs="Times New Roman"/>
                <w:sz w:val="22"/>
              </w:rPr>
            </w:pPr>
          </w:p>
        </w:tc>
        <w:tc>
          <w:tcPr>
            <w:tcW w:w="2409" w:type="dxa"/>
          </w:tcPr>
          <w:p w14:paraId="07C0B5D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2"/>
              </w:rPr>
            </w:pPr>
            <w:r w:rsidRPr="00731FE2">
              <w:rPr>
                <w:rFonts w:ascii="Times New Roman" w:eastAsia="Times New Roman" w:hAnsi="Times New Roman" w:cs="Times New Roman"/>
                <w:color w:val="000000"/>
                <w:sz w:val="22"/>
              </w:rPr>
              <w:t>ул. Фоменко – ул. Седлогорская;</w:t>
            </w:r>
          </w:p>
        </w:tc>
        <w:tc>
          <w:tcPr>
            <w:tcW w:w="1559" w:type="dxa"/>
            <w:vMerge/>
          </w:tcPr>
          <w:p w14:paraId="070CFAE3" w14:textId="77777777" w:rsidR="00171AA8" w:rsidRPr="00731FE2" w:rsidRDefault="00171AA8">
            <w:pPr>
              <w:rPr>
                <w:rFonts w:ascii="Times New Roman" w:hAnsi="Times New Roman" w:cs="Times New Roman"/>
                <w:sz w:val="22"/>
              </w:rPr>
            </w:pPr>
          </w:p>
        </w:tc>
        <w:tc>
          <w:tcPr>
            <w:tcW w:w="1702" w:type="dxa"/>
            <w:vMerge/>
          </w:tcPr>
          <w:p w14:paraId="18017AA8" w14:textId="77777777" w:rsidR="00171AA8" w:rsidRPr="00731FE2" w:rsidRDefault="00171AA8">
            <w:pPr>
              <w:rPr>
                <w:rFonts w:ascii="Times New Roman" w:hAnsi="Times New Roman" w:cs="Times New Roman"/>
                <w:sz w:val="22"/>
              </w:rPr>
            </w:pPr>
          </w:p>
        </w:tc>
      </w:tr>
      <w:tr w:rsidR="00171AA8" w:rsidRPr="00731FE2" w14:paraId="0CA410F1" w14:textId="77777777">
        <w:tc>
          <w:tcPr>
            <w:tcW w:w="1842" w:type="dxa"/>
            <w:vMerge/>
          </w:tcPr>
          <w:p w14:paraId="11936668" w14:textId="77777777" w:rsidR="00171AA8" w:rsidRPr="00731FE2" w:rsidRDefault="00171AA8">
            <w:pPr>
              <w:rPr>
                <w:rFonts w:ascii="Times New Roman" w:hAnsi="Times New Roman" w:cs="Times New Roman"/>
                <w:sz w:val="22"/>
              </w:rPr>
            </w:pPr>
          </w:p>
        </w:tc>
        <w:tc>
          <w:tcPr>
            <w:tcW w:w="1843" w:type="dxa"/>
            <w:vMerge/>
          </w:tcPr>
          <w:p w14:paraId="5ECC4BF1" w14:textId="77777777" w:rsidR="00171AA8" w:rsidRPr="00731FE2" w:rsidRDefault="00171AA8">
            <w:pPr>
              <w:rPr>
                <w:rFonts w:ascii="Times New Roman" w:hAnsi="Times New Roman" w:cs="Times New Roman"/>
                <w:sz w:val="22"/>
              </w:rPr>
            </w:pPr>
          </w:p>
        </w:tc>
        <w:tc>
          <w:tcPr>
            <w:tcW w:w="2409" w:type="dxa"/>
          </w:tcPr>
          <w:p w14:paraId="5E8A442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2"/>
              </w:rPr>
            </w:pPr>
            <w:r w:rsidRPr="00731FE2">
              <w:rPr>
                <w:rFonts w:ascii="Times New Roman" w:eastAsia="Times New Roman" w:hAnsi="Times New Roman" w:cs="Times New Roman"/>
                <w:color w:val="000000"/>
                <w:sz w:val="22"/>
              </w:rPr>
              <w:t>ул. Фоменко – ул. Октябрьская;</w:t>
            </w:r>
          </w:p>
        </w:tc>
        <w:tc>
          <w:tcPr>
            <w:tcW w:w="1559" w:type="dxa"/>
            <w:vMerge/>
          </w:tcPr>
          <w:p w14:paraId="79665433" w14:textId="77777777" w:rsidR="00171AA8" w:rsidRPr="00731FE2" w:rsidRDefault="00171AA8">
            <w:pPr>
              <w:rPr>
                <w:rFonts w:ascii="Times New Roman" w:hAnsi="Times New Roman" w:cs="Times New Roman"/>
                <w:sz w:val="22"/>
              </w:rPr>
            </w:pPr>
          </w:p>
        </w:tc>
        <w:tc>
          <w:tcPr>
            <w:tcW w:w="1702" w:type="dxa"/>
            <w:vMerge/>
          </w:tcPr>
          <w:p w14:paraId="65B93145" w14:textId="77777777" w:rsidR="00171AA8" w:rsidRPr="00731FE2" w:rsidRDefault="00171AA8">
            <w:pPr>
              <w:rPr>
                <w:rFonts w:ascii="Times New Roman" w:hAnsi="Times New Roman" w:cs="Times New Roman"/>
                <w:sz w:val="22"/>
              </w:rPr>
            </w:pPr>
          </w:p>
        </w:tc>
      </w:tr>
      <w:tr w:rsidR="00171AA8" w:rsidRPr="00731FE2" w14:paraId="0E41FB23" w14:textId="77777777">
        <w:tc>
          <w:tcPr>
            <w:tcW w:w="1842" w:type="dxa"/>
            <w:vMerge/>
          </w:tcPr>
          <w:p w14:paraId="0D2A9E1C" w14:textId="77777777" w:rsidR="00171AA8" w:rsidRPr="00731FE2" w:rsidRDefault="00171AA8">
            <w:pPr>
              <w:rPr>
                <w:rFonts w:ascii="Times New Roman" w:hAnsi="Times New Roman" w:cs="Times New Roman"/>
                <w:sz w:val="22"/>
              </w:rPr>
            </w:pPr>
          </w:p>
        </w:tc>
        <w:tc>
          <w:tcPr>
            <w:tcW w:w="1843" w:type="dxa"/>
            <w:vMerge/>
          </w:tcPr>
          <w:p w14:paraId="37004042" w14:textId="77777777" w:rsidR="00171AA8" w:rsidRPr="00731FE2" w:rsidRDefault="00171AA8">
            <w:pPr>
              <w:rPr>
                <w:rFonts w:ascii="Times New Roman" w:hAnsi="Times New Roman" w:cs="Times New Roman"/>
                <w:sz w:val="22"/>
              </w:rPr>
            </w:pPr>
          </w:p>
        </w:tc>
        <w:tc>
          <w:tcPr>
            <w:tcW w:w="2409" w:type="dxa"/>
          </w:tcPr>
          <w:p w14:paraId="1FAE04A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2"/>
              </w:rPr>
            </w:pPr>
            <w:r w:rsidRPr="00731FE2">
              <w:rPr>
                <w:rFonts w:ascii="Times New Roman" w:eastAsia="Times New Roman" w:hAnsi="Times New Roman" w:cs="Times New Roman"/>
                <w:color w:val="000000"/>
                <w:sz w:val="22"/>
              </w:rPr>
              <w:t>ул. Фоменко – ул. Школьная (школа №9);</w:t>
            </w:r>
          </w:p>
        </w:tc>
        <w:tc>
          <w:tcPr>
            <w:tcW w:w="1559" w:type="dxa"/>
            <w:vMerge/>
          </w:tcPr>
          <w:p w14:paraId="71F4A0D4" w14:textId="77777777" w:rsidR="00171AA8" w:rsidRPr="00731FE2" w:rsidRDefault="00171AA8">
            <w:pPr>
              <w:rPr>
                <w:rFonts w:ascii="Times New Roman" w:hAnsi="Times New Roman" w:cs="Times New Roman"/>
                <w:sz w:val="22"/>
              </w:rPr>
            </w:pPr>
          </w:p>
        </w:tc>
        <w:tc>
          <w:tcPr>
            <w:tcW w:w="1702" w:type="dxa"/>
            <w:vMerge/>
          </w:tcPr>
          <w:p w14:paraId="50CAC705" w14:textId="77777777" w:rsidR="00171AA8" w:rsidRPr="00731FE2" w:rsidRDefault="00171AA8">
            <w:pPr>
              <w:rPr>
                <w:rFonts w:ascii="Times New Roman" w:hAnsi="Times New Roman" w:cs="Times New Roman"/>
                <w:sz w:val="22"/>
              </w:rPr>
            </w:pPr>
          </w:p>
        </w:tc>
      </w:tr>
      <w:tr w:rsidR="00171AA8" w:rsidRPr="00731FE2" w14:paraId="01A40AFE" w14:textId="77777777">
        <w:tc>
          <w:tcPr>
            <w:tcW w:w="1842" w:type="dxa"/>
            <w:vMerge/>
          </w:tcPr>
          <w:p w14:paraId="144C2BE9" w14:textId="77777777" w:rsidR="00171AA8" w:rsidRPr="00731FE2" w:rsidRDefault="00171AA8">
            <w:pPr>
              <w:rPr>
                <w:rFonts w:ascii="Times New Roman" w:hAnsi="Times New Roman" w:cs="Times New Roman"/>
                <w:sz w:val="22"/>
              </w:rPr>
            </w:pPr>
          </w:p>
        </w:tc>
        <w:tc>
          <w:tcPr>
            <w:tcW w:w="1843" w:type="dxa"/>
            <w:vMerge/>
          </w:tcPr>
          <w:p w14:paraId="493D33FB" w14:textId="77777777" w:rsidR="00171AA8" w:rsidRPr="00731FE2" w:rsidRDefault="00171AA8">
            <w:pPr>
              <w:rPr>
                <w:rFonts w:ascii="Times New Roman" w:hAnsi="Times New Roman" w:cs="Times New Roman"/>
                <w:sz w:val="22"/>
              </w:rPr>
            </w:pPr>
          </w:p>
        </w:tc>
        <w:tc>
          <w:tcPr>
            <w:tcW w:w="2409" w:type="dxa"/>
          </w:tcPr>
          <w:p w14:paraId="4BFFEFB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2"/>
              </w:rPr>
            </w:pPr>
            <w:r w:rsidRPr="00731FE2">
              <w:rPr>
                <w:rFonts w:ascii="Times New Roman" w:eastAsia="Times New Roman" w:hAnsi="Times New Roman" w:cs="Times New Roman"/>
                <w:color w:val="000000"/>
                <w:sz w:val="22"/>
              </w:rPr>
              <w:t>ул. Фоменко – ул. Калинина;</w:t>
            </w:r>
          </w:p>
        </w:tc>
        <w:tc>
          <w:tcPr>
            <w:tcW w:w="1559" w:type="dxa"/>
            <w:vMerge/>
          </w:tcPr>
          <w:p w14:paraId="349BF68E" w14:textId="77777777" w:rsidR="00171AA8" w:rsidRPr="00731FE2" w:rsidRDefault="00171AA8">
            <w:pPr>
              <w:rPr>
                <w:rFonts w:ascii="Times New Roman" w:hAnsi="Times New Roman" w:cs="Times New Roman"/>
                <w:sz w:val="22"/>
              </w:rPr>
            </w:pPr>
          </w:p>
        </w:tc>
        <w:tc>
          <w:tcPr>
            <w:tcW w:w="1702" w:type="dxa"/>
            <w:vMerge/>
          </w:tcPr>
          <w:p w14:paraId="5E4E6C77" w14:textId="77777777" w:rsidR="00171AA8" w:rsidRPr="00731FE2" w:rsidRDefault="00171AA8">
            <w:pPr>
              <w:rPr>
                <w:rFonts w:ascii="Times New Roman" w:hAnsi="Times New Roman" w:cs="Times New Roman"/>
                <w:sz w:val="22"/>
              </w:rPr>
            </w:pPr>
          </w:p>
        </w:tc>
      </w:tr>
      <w:tr w:rsidR="00171AA8" w:rsidRPr="00731FE2" w14:paraId="4FD457FC" w14:textId="77777777">
        <w:tc>
          <w:tcPr>
            <w:tcW w:w="1842" w:type="dxa"/>
            <w:vMerge/>
          </w:tcPr>
          <w:p w14:paraId="0D466C1F" w14:textId="77777777" w:rsidR="00171AA8" w:rsidRPr="00731FE2" w:rsidRDefault="00171AA8">
            <w:pPr>
              <w:rPr>
                <w:rFonts w:ascii="Times New Roman" w:hAnsi="Times New Roman" w:cs="Times New Roman"/>
                <w:sz w:val="22"/>
              </w:rPr>
            </w:pPr>
          </w:p>
        </w:tc>
        <w:tc>
          <w:tcPr>
            <w:tcW w:w="1843" w:type="dxa"/>
            <w:vMerge/>
          </w:tcPr>
          <w:p w14:paraId="61AE9D6E" w14:textId="77777777" w:rsidR="00171AA8" w:rsidRPr="00731FE2" w:rsidRDefault="00171AA8">
            <w:pPr>
              <w:rPr>
                <w:rFonts w:ascii="Times New Roman" w:hAnsi="Times New Roman" w:cs="Times New Roman"/>
                <w:sz w:val="22"/>
              </w:rPr>
            </w:pPr>
          </w:p>
        </w:tc>
        <w:tc>
          <w:tcPr>
            <w:tcW w:w="2409" w:type="dxa"/>
          </w:tcPr>
          <w:p w14:paraId="02DA64D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2"/>
              </w:rPr>
            </w:pPr>
            <w:r w:rsidRPr="00731FE2">
              <w:rPr>
                <w:rFonts w:ascii="Times New Roman" w:eastAsia="Times New Roman" w:hAnsi="Times New Roman" w:cs="Times New Roman"/>
                <w:color w:val="000000"/>
                <w:sz w:val="22"/>
              </w:rPr>
              <w:t>ул. Кирова – ул. Тюленева;</w:t>
            </w:r>
          </w:p>
        </w:tc>
        <w:tc>
          <w:tcPr>
            <w:tcW w:w="1559" w:type="dxa"/>
            <w:vMerge/>
          </w:tcPr>
          <w:p w14:paraId="0F5B15B3" w14:textId="77777777" w:rsidR="00171AA8" w:rsidRPr="00731FE2" w:rsidRDefault="00171AA8">
            <w:pPr>
              <w:rPr>
                <w:rFonts w:ascii="Times New Roman" w:hAnsi="Times New Roman" w:cs="Times New Roman"/>
                <w:sz w:val="22"/>
              </w:rPr>
            </w:pPr>
          </w:p>
        </w:tc>
        <w:tc>
          <w:tcPr>
            <w:tcW w:w="1702" w:type="dxa"/>
            <w:vMerge/>
          </w:tcPr>
          <w:p w14:paraId="345C3119" w14:textId="77777777" w:rsidR="00171AA8" w:rsidRPr="00731FE2" w:rsidRDefault="00171AA8">
            <w:pPr>
              <w:rPr>
                <w:rFonts w:ascii="Times New Roman" w:hAnsi="Times New Roman" w:cs="Times New Roman"/>
                <w:sz w:val="22"/>
              </w:rPr>
            </w:pPr>
          </w:p>
        </w:tc>
      </w:tr>
      <w:tr w:rsidR="00171AA8" w:rsidRPr="00731FE2" w14:paraId="20E92B08" w14:textId="77777777">
        <w:tc>
          <w:tcPr>
            <w:tcW w:w="1842" w:type="dxa"/>
            <w:vMerge/>
          </w:tcPr>
          <w:p w14:paraId="20403877" w14:textId="77777777" w:rsidR="00171AA8" w:rsidRPr="00731FE2" w:rsidRDefault="00171AA8">
            <w:pPr>
              <w:rPr>
                <w:rFonts w:ascii="Times New Roman" w:hAnsi="Times New Roman" w:cs="Times New Roman"/>
                <w:sz w:val="22"/>
              </w:rPr>
            </w:pPr>
          </w:p>
        </w:tc>
        <w:tc>
          <w:tcPr>
            <w:tcW w:w="1843" w:type="dxa"/>
            <w:vMerge/>
          </w:tcPr>
          <w:p w14:paraId="5AC2DF82" w14:textId="77777777" w:rsidR="00171AA8" w:rsidRPr="00731FE2" w:rsidRDefault="00171AA8">
            <w:pPr>
              <w:rPr>
                <w:rFonts w:ascii="Times New Roman" w:hAnsi="Times New Roman" w:cs="Times New Roman"/>
                <w:sz w:val="22"/>
              </w:rPr>
            </w:pPr>
          </w:p>
        </w:tc>
        <w:tc>
          <w:tcPr>
            <w:tcW w:w="2409" w:type="dxa"/>
          </w:tcPr>
          <w:p w14:paraId="0105538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2"/>
              </w:rPr>
            </w:pPr>
            <w:r w:rsidRPr="00731FE2">
              <w:rPr>
                <w:rFonts w:ascii="Times New Roman" w:eastAsia="Times New Roman" w:hAnsi="Times New Roman" w:cs="Times New Roman"/>
                <w:color w:val="000000"/>
                <w:sz w:val="22"/>
              </w:rPr>
              <w:t>ул. Кирова – ул. Желябова;</w:t>
            </w:r>
          </w:p>
        </w:tc>
        <w:tc>
          <w:tcPr>
            <w:tcW w:w="1559" w:type="dxa"/>
            <w:vMerge/>
          </w:tcPr>
          <w:p w14:paraId="4460FDBD" w14:textId="77777777" w:rsidR="00171AA8" w:rsidRPr="00731FE2" w:rsidRDefault="00171AA8">
            <w:pPr>
              <w:rPr>
                <w:rFonts w:ascii="Times New Roman" w:hAnsi="Times New Roman" w:cs="Times New Roman"/>
                <w:sz w:val="22"/>
              </w:rPr>
            </w:pPr>
          </w:p>
        </w:tc>
        <w:tc>
          <w:tcPr>
            <w:tcW w:w="1702" w:type="dxa"/>
            <w:vMerge/>
          </w:tcPr>
          <w:p w14:paraId="57F303E4" w14:textId="77777777" w:rsidR="00171AA8" w:rsidRPr="00731FE2" w:rsidRDefault="00171AA8">
            <w:pPr>
              <w:rPr>
                <w:rFonts w:ascii="Times New Roman" w:hAnsi="Times New Roman" w:cs="Times New Roman"/>
                <w:sz w:val="22"/>
              </w:rPr>
            </w:pPr>
          </w:p>
        </w:tc>
      </w:tr>
      <w:tr w:rsidR="00171AA8" w:rsidRPr="00731FE2" w14:paraId="7C868B9B" w14:textId="77777777">
        <w:tc>
          <w:tcPr>
            <w:tcW w:w="1842" w:type="dxa"/>
            <w:vMerge/>
          </w:tcPr>
          <w:p w14:paraId="2C248648" w14:textId="77777777" w:rsidR="00171AA8" w:rsidRPr="00731FE2" w:rsidRDefault="00171AA8">
            <w:pPr>
              <w:rPr>
                <w:rFonts w:ascii="Times New Roman" w:hAnsi="Times New Roman" w:cs="Times New Roman"/>
                <w:sz w:val="22"/>
              </w:rPr>
            </w:pPr>
          </w:p>
        </w:tc>
        <w:tc>
          <w:tcPr>
            <w:tcW w:w="1843" w:type="dxa"/>
            <w:vMerge/>
          </w:tcPr>
          <w:p w14:paraId="104050BA" w14:textId="77777777" w:rsidR="00171AA8" w:rsidRPr="00731FE2" w:rsidRDefault="00171AA8">
            <w:pPr>
              <w:rPr>
                <w:rFonts w:ascii="Times New Roman" w:hAnsi="Times New Roman" w:cs="Times New Roman"/>
                <w:sz w:val="22"/>
              </w:rPr>
            </w:pPr>
          </w:p>
        </w:tc>
        <w:tc>
          <w:tcPr>
            <w:tcW w:w="2409" w:type="dxa"/>
          </w:tcPr>
          <w:p w14:paraId="0E65978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2"/>
              </w:rPr>
            </w:pPr>
            <w:r w:rsidRPr="00731FE2">
              <w:rPr>
                <w:rFonts w:ascii="Times New Roman" w:eastAsia="Times New Roman" w:hAnsi="Times New Roman" w:cs="Times New Roman"/>
                <w:color w:val="000000"/>
                <w:sz w:val="22"/>
              </w:rPr>
              <w:t xml:space="preserve">ул. Кирова – ул. </w:t>
            </w:r>
            <w:r w:rsidRPr="00731FE2">
              <w:rPr>
                <w:rFonts w:ascii="Times New Roman" w:eastAsia="Times New Roman" w:hAnsi="Times New Roman" w:cs="Times New Roman"/>
                <w:color w:val="000000"/>
                <w:sz w:val="22"/>
              </w:rPr>
              <w:lastRenderedPageBreak/>
              <w:t>Широкая;</w:t>
            </w:r>
          </w:p>
        </w:tc>
        <w:tc>
          <w:tcPr>
            <w:tcW w:w="1559" w:type="dxa"/>
            <w:vMerge/>
          </w:tcPr>
          <w:p w14:paraId="6A7228F2" w14:textId="77777777" w:rsidR="00171AA8" w:rsidRPr="00731FE2" w:rsidRDefault="00171AA8">
            <w:pPr>
              <w:rPr>
                <w:rFonts w:ascii="Times New Roman" w:hAnsi="Times New Roman" w:cs="Times New Roman"/>
                <w:sz w:val="22"/>
              </w:rPr>
            </w:pPr>
          </w:p>
        </w:tc>
        <w:tc>
          <w:tcPr>
            <w:tcW w:w="1702" w:type="dxa"/>
            <w:vMerge/>
          </w:tcPr>
          <w:p w14:paraId="3899BA22" w14:textId="77777777" w:rsidR="00171AA8" w:rsidRPr="00731FE2" w:rsidRDefault="00171AA8">
            <w:pPr>
              <w:rPr>
                <w:rFonts w:ascii="Times New Roman" w:hAnsi="Times New Roman" w:cs="Times New Roman"/>
                <w:sz w:val="22"/>
              </w:rPr>
            </w:pPr>
          </w:p>
        </w:tc>
      </w:tr>
      <w:tr w:rsidR="00171AA8" w:rsidRPr="00731FE2" w14:paraId="7979E7B0" w14:textId="77777777">
        <w:tc>
          <w:tcPr>
            <w:tcW w:w="1842" w:type="dxa"/>
            <w:vMerge/>
          </w:tcPr>
          <w:p w14:paraId="50A6B0AB" w14:textId="77777777" w:rsidR="00171AA8" w:rsidRPr="00731FE2" w:rsidRDefault="00171AA8">
            <w:pPr>
              <w:rPr>
                <w:rFonts w:ascii="Times New Roman" w:hAnsi="Times New Roman" w:cs="Times New Roman"/>
                <w:sz w:val="22"/>
              </w:rPr>
            </w:pPr>
          </w:p>
        </w:tc>
        <w:tc>
          <w:tcPr>
            <w:tcW w:w="1843" w:type="dxa"/>
            <w:vMerge/>
          </w:tcPr>
          <w:p w14:paraId="25D47799" w14:textId="77777777" w:rsidR="00171AA8" w:rsidRPr="00731FE2" w:rsidRDefault="00171AA8">
            <w:pPr>
              <w:rPr>
                <w:rFonts w:ascii="Times New Roman" w:hAnsi="Times New Roman" w:cs="Times New Roman"/>
                <w:sz w:val="22"/>
              </w:rPr>
            </w:pPr>
          </w:p>
        </w:tc>
        <w:tc>
          <w:tcPr>
            <w:tcW w:w="2409" w:type="dxa"/>
          </w:tcPr>
          <w:p w14:paraId="62FCFC8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2"/>
              </w:rPr>
            </w:pPr>
            <w:r w:rsidRPr="00731FE2">
              <w:rPr>
                <w:rFonts w:ascii="Times New Roman" w:eastAsia="Times New Roman" w:hAnsi="Times New Roman" w:cs="Times New Roman"/>
                <w:color w:val="000000"/>
                <w:sz w:val="22"/>
              </w:rPr>
              <w:t>ул. Кирова (Нарзанный завод);</w:t>
            </w:r>
          </w:p>
        </w:tc>
        <w:tc>
          <w:tcPr>
            <w:tcW w:w="1559" w:type="dxa"/>
            <w:vMerge/>
          </w:tcPr>
          <w:p w14:paraId="1E6FA520" w14:textId="77777777" w:rsidR="00171AA8" w:rsidRPr="00731FE2" w:rsidRDefault="00171AA8">
            <w:pPr>
              <w:rPr>
                <w:rFonts w:ascii="Times New Roman" w:hAnsi="Times New Roman" w:cs="Times New Roman"/>
                <w:sz w:val="22"/>
              </w:rPr>
            </w:pPr>
          </w:p>
        </w:tc>
        <w:tc>
          <w:tcPr>
            <w:tcW w:w="1702" w:type="dxa"/>
            <w:vMerge/>
          </w:tcPr>
          <w:p w14:paraId="3C1E824F" w14:textId="77777777" w:rsidR="00171AA8" w:rsidRPr="00731FE2" w:rsidRDefault="00171AA8">
            <w:pPr>
              <w:rPr>
                <w:rFonts w:ascii="Times New Roman" w:hAnsi="Times New Roman" w:cs="Times New Roman"/>
                <w:sz w:val="22"/>
              </w:rPr>
            </w:pPr>
          </w:p>
        </w:tc>
      </w:tr>
      <w:tr w:rsidR="00171AA8" w:rsidRPr="00731FE2" w14:paraId="23E889DB" w14:textId="77777777">
        <w:tc>
          <w:tcPr>
            <w:tcW w:w="1842" w:type="dxa"/>
            <w:vMerge/>
          </w:tcPr>
          <w:p w14:paraId="54BA46B8" w14:textId="77777777" w:rsidR="00171AA8" w:rsidRPr="00731FE2" w:rsidRDefault="00171AA8">
            <w:pPr>
              <w:rPr>
                <w:rFonts w:ascii="Times New Roman" w:hAnsi="Times New Roman" w:cs="Times New Roman"/>
                <w:sz w:val="22"/>
              </w:rPr>
            </w:pPr>
          </w:p>
        </w:tc>
        <w:tc>
          <w:tcPr>
            <w:tcW w:w="1843" w:type="dxa"/>
            <w:vMerge/>
          </w:tcPr>
          <w:p w14:paraId="0937DD62" w14:textId="77777777" w:rsidR="00171AA8" w:rsidRPr="00731FE2" w:rsidRDefault="00171AA8">
            <w:pPr>
              <w:rPr>
                <w:rFonts w:ascii="Times New Roman" w:hAnsi="Times New Roman" w:cs="Times New Roman"/>
                <w:sz w:val="22"/>
              </w:rPr>
            </w:pPr>
          </w:p>
        </w:tc>
        <w:tc>
          <w:tcPr>
            <w:tcW w:w="2409" w:type="dxa"/>
          </w:tcPr>
          <w:p w14:paraId="3F34B89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2"/>
              </w:rPr>
            </w:pPr>
            <w:r w:rsidRPr="00731FE2">
              <w:rPr>
                <w:rFonts w:ascii="Times New Roman" w:eastAsia="Times New Roman" w:hAnsi="Times New Roman" w:cs="Times New Roman"/>
                <w:color w:val="000000"/>
                <w:sz w:val="22"/>
              </w:rPr>
              <w:t xml:space="preserve">ул. </w:t>
            </w:r>
            <w:proofErr w:type="gramStart"/>
            <w:r w:rsidRPr="00731FE2">
              <w:rPr>
                <w:rFonts w:ascii="Times New Roman" w:eastAsia="Times New Roman" w:hAnsi="Times New Roman" w:cs="Times New Roman"/>
                <w:color w:val="000000"/>
                <w:sz w:val="22"/>
              </w:rPr>
              <w:t>Вокзальная</w:t>
            </w:r>
            <w:proofErr w:type="gramEnd"/>
            <w:r w:rsidRPr="00731FE2">
              <w:rPr>
                <w:rFonts w:ascii="Times New Roman" w:eastAsia="Times New Roman" w:hAnsi="Times New Roman" w:cs="Times New Roman"/>
                <w:color w:val="000000"/>
                <w:sz w:val="22"/>
              </w:rPr>
              <w:t xml:space="preserve"> – Курортный бульвар;</w:t>
            </w:r>
          </w:p>
        </w:tc>
        <w:tc>
          <w:tcPr>
            <w:tcW w:w="1559" w:type="dxa"/>
            <w:vMerge/>
          </w:tcPr>
          <w:p w14:paraId="649A5757" w14:textId="77777777" w:rsidR="00171AA8" w:rsidRPr="00731FE2" w:rsidRDefault="00171AA8">
            <w:pPr>
              <w:rPr>
                <w:rFonts w:ascii="Times New Roman" w:hAnsi="Times New Roman" w:cs="Times New Roman"/>
                <w:sz w:val="22"/>
              </w:rPr>
            </w:pPr>
          </w:p>
        </w:tc>
        <w:tc>
          <w:tcPr>
            <w:tcW w:w="1702" w:type="dxa"/>
            <w:vMerge/>
          </w:tcPr>
          <w:p w14:paraId="10158052" w14:textId="77777777" w:rsidR="00171AA8" w:rsidRPr="00731FE2" w:rsidRDefault="00171AA8">
            <w:pPr>
              <w:rPr>
                <w:rFonts w:ascii="Times New Roman" w:hAnsi="Times New Roman" w:cs="Times New Roman"/>
                <w:sz w:val="22"/>
              </w:rPr>
            </w:pPr>
          </w:p>
        </w:tc>
      </w:tr>
      <w:tr w:rsidR="00171AA8" w:rsidRPr="00731FE2" w14:paraId="1D409DFD" w14:textId="77777777">
        <w:tc>
          <w:tcPr>
            <w:tcW w:w="1842" w:type="dxa"/>
            <w:vMerge/>
          </w:tcPr>
          <w:p w14:paraId="2AFD55A6" w14:textId="77777777" w:rsidR="00171AA8" w:rsidRPr="00731FE2" w:rsidRDefault="00171AA8">
            <w:pPr>
              <w:rPr>
                <w:rFonts w:ascii="Times New Roman" w:hAnsi="Times New Roman" w:cs="Times New Roman"/>
                <w:sz w:val="22"/>
              </w:rPr>
            </w:pPr>
          </w:p>
        </w:tc>
        <w:tc>
          <w:tcPr>
            <w:tcW w:w="1843" w:type="dxa"/>
            <w:vMerge/>
          </w:tcPr>
          <w:p w14:paraId="53CB98E5" w14:textId="77777777" w:rsidR="00171AA8" w:rsidRPr="00731FE2" w:rsidRDefault="00171AA8">
            <w:pPr>
              <w:rPr>
                <w:rFonts w:ascii="Times New Roman" w:hAnsi="Times New Roman" w:cs="Times New Roman"/>
                <w:sz w:val="22"/>
              </w:rPr>
            </w:pPr>
          </w:p>
        </w:tc>
        <w:tc>
          <w:tcPr>
            <w:tcW w:w="2409" w:type="dxa"/>
          </w:tcPr>
          <w:p w14:paraId="44B56FF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2"/>
              </w:rPr>
            </w:pPr>
            <w:r w:rsidRPr="00731FE2">
              <w:rPr>
                <w:rFonts w:ascii="Times New Roman" w:eastAsia="Times New Roman" w:hAnsi="Times New Roman" w:cs="Times New Roman"/>
                <w:color w:val="000000"/>
                <w:sz w:val="22"/>
              </w:rPr>
              <w:t>Привокзальная площадь;</w:t>
            </w:r>
          </w:p>
        </w:tc>
        <w:tc>
          <w:tcPr>
            <w:tcW w:w="1559" w:type="dxa"/>
            <w:vMerge/>
          </w:tcPr>
          <w:p w14:paraId="7F964533" w14:textId="77777777" w:rsidR="00171AA8" w:rsidRPr="00731FE2" w:rsidRDefault="00171AA8">
            <w:pPr>
              <w:rPr>
                <w:rFonts w:ascii="Times New Roman" w:hAnsi="Times New Roman" w:cs="Times New Roman"/>
                <w:sz w:val="22"/>
              </w:rPr>
            </w:pPr>
          </w:p>
        </w:tc>
        <w:tc>
          <w:tcPr>
            <w:tcW w:w="1702" w:type="dxa"/>
            <w:vMerge/>
          </w:tcPr>
          <w:p w14:paraId="42E9C53D" w14:textId="77777777" w:rsidR="00171AA8" w:rsidRPr="00731FE2" w:rsidRDefault="00171AA8">
            <w:pPr>
              <w:rPr>
                <w:rFonts w:ascii="Times New Roman" w:hAnsi="Times New Roman" w:cs="Times New Roman"/>
                <w:sz w:val="22"/>
              </w:rPr>
            </w:pPr>
          </w:p>
        </w:tc>
      </w:tr>
      <w:tr w:rsidR="00171AA8" w:rsidRPr="00731FE2" w14:paraId="6E871E22" w14:textId="77777777">
        <w:tc>
          <w:tcPr>
            <w:tcW w:w="1842" w:type="dxa"/>
            <w:vMerge/>
          </w:tcPr>
          <w:p w14:paraId="52F9AACE" w14:textId="77777777" w:rsidR="00171AA8" w:rsidRPr="00731FE2" w:rsidRDefault="00171AA8">
            <w:pPr>
              <w:rPr>
                <w:rFonts w:ascii="Times New Roman" w:hAnsi="Times New Roman" w:cs="Times New Roman"/>
                <w:sz w:val="22"/>
              </w:rPr>
            </w:pPr>
          </w:p>
        </w:tc>
        <w:tc>
          <w:tcPr>
            <w:tcW w:w="1843" w:type="dxa"/>
            <w:vMerge/>
          </w:tcPr>
          <w:p w14:paraId="4F1A8E02" w14:textId="77777777" w:rsidR="00171AA8" w:rsidRPr="00731FE2" w:rsidRDefault="00171AA8">
            <w:pPr>
              <w:rPr>
                <w:rFonts w:ascii="Times New Roman" w:hAnsi="Times New Roman" w:cs="Times New Roman"/>
                <w:sz w:val="22"/>
              </w:rPr>
            </w:pPr>
          </w:p>
        </w:tc>
        <w:tc>
          <w:tcPr>
            <w:tcW w:w="2409" w:type="dxa"/>
          </w:tcPr>
          <w:p w14:paraId="48C6AF2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2"/>
              </w:rPr>
            </w:pPr>
            <w:r w:rsidRPr="00731FE2">
              <w:rPr>
                <w:rFonts w:ascii="Times New Roman" w:eastAsia="Times New Roman" w:hAnsi="Times New Roman" w:cs="Times New Roman"/>
                <w:color w:val="000000"/>
                <w:sz w:val="22"/>
              </w:rPr>
              <w:t>ул. Герцена – ул. Шаляпина;</w:t>
            </w:r>
          </w:p>
        </w:tc>
        <w:tc>
          <w:tcPr>
            <w:tcW w:w="1559" w:type="dxa"/>
            <w:vMerge/>
          </w:tcPr>
          <w:p w14:paraId="093A4F80" w14:textId="77777777" w:rsidR="00171AA8" w:rsidRPr="00731FE2" w:rsidRDefault="00171AA8">
            <w:pPr>
              <w:rPr>
                <w:rFonts w:ascii="Times New Roman" w:hAnsi="Times New Roman" w:cs="Times New Roman"/>
                <w:sz w:val="22"/>
              </w:rPr>
            </w:pPr>
          </w:p>
        </w:tc>
        <w:tc>
          <w:tcPr>
            <w:tcW w:w="1702" w:type="dxa"/>
            <w:vMerge/>
          </w:tcPr>
          <w:p w14:paraId="1D089D4C" w14:textId="77777777" w:rsidR="00171AA8" w:rsidRPr="00731FE2" w:rsidRDefault="00171AA8">
            <w:pPr>
              <w:rPr>
                <w:rFonts w:ascii="Times New Roman" w:hAnsi="Times New Roman" w:cs="Times New Roman"/>
                <w:sz w:val="22"/>
              </w:rPr>
            </w:pPr>
          </w:p>
        </w:tc>
      </w:tr>
      <w:tr w:rsidR="00171AA8" w:rsidRPr="00731FE2" w14:paraId="74698660" w14:textId="77777777">
        <w:tc>
          <w:tcPr>
            <w:tcW w:w="1842" w:type="dxa"/>
            <w:vMerge/>
          </w:tcPr>
          <w:p w14:paraId="509C0107" w14:textId="77777777" w:rsidR="00171AA8" w:rsidRPr="00731FE2" w:rsidRDefault="00171AA8">
            <w:pPr>
              <w:rPr>
                <w:rFonts w:ascii="Times New Roman" w:hAnsi="Times New Roman" w:cs="Times New Roman"/>
                <w:sz w:val="22"/>
              </w:rPr>
            </w:pPr>
          </w:p>
        </w:tc>
        <w:tc>
          <w:tcPr>
            <w:tcW w:w="1843" w:type="dxa"/>
            <w:vMerge/>
          </w:tcPr>
          <w:p w14:paraId="0BE03AFE" w14:textId="77777777" w:rsidR="00171AA8" w:rsidRPr="00731FE2" w:rsidRDefault="00171AA8">
            <w:pPr>
              <w:rPr>
                <w:rFonts w:ascii="Times New Roman" w:hAnsi="Times New Roman" w:cs="Times New Roman"/>
                <w:sz w:val="22"/>
              </w:rPr>
            </w:pPr>
          </w:p>
        </w:tc>
        <w:tc>
          <w:tcPr>
            <w:tcW w:w="2409" w:type="dxa"/>
          </w:tcPr>
          <w:p w14:paraId="3443E6C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2"/>
              </w:rPr>
            </w:pPr>
            <w:r w:rsidRPr="00731FE2">
              <w:rPr>
                <w:rFonts w:ascii="Times New Roman" w:eastAsia="Times New Roman" w:hAnsi="Times New Roman" w:cs="Times New Roman"/>
                <w:color w:val="000000"/>
                <w:sz w:val="22"/>
              </w:rPr>
              <w:t>пр. Ленина – ул. Желябова;</w:t>
            </w:r>
          </w:p>
        </w:tc>
        <w:tc>
          <w:tcPr>
            <w:tcW w:w="1559" w:type="dxa"/>
            <w:vMerge/>
          </w:tcPr>
          <w:p w14:paraId="2BF87B11" w14:textId="77777777" w:rsidR="00171AA8" w:rsidRPr="00731FE2" w:rsidRDefault="00171AA8">
            <w:pPr>
              <w:rPr>
                <w:rFonts w:ascii="Times New Roman" w:hAnsi="Times New Roman" w:cs="Times New Roman"/>
                <w:sz w:val="22"/>
              </w:rPr>
            </w:pPr>
          </w:p>
        </w:tc>
        <w:tc>
          <w:tcPr>
            <w:tcW w:w="1702" w:type="dxa"/>
            <w:vMerge/>
          </w:tcPr>
          <w:p w14:paraId="769605CD" w14:textId="77777777" w:rsidR="00171AA8" w:rsidRPr="00731FE2" w:rsidRDefault="00171AA8">
            <w:pPr>
              <w:rPr>
                <w:rFonts w:ascii="Times New Roman" w:hAnsi="Times New Roman" w:cs="Times New Roman"/>
                <w:sz w:val="22"/>
              </w:rPr>
            </w:pPr>
          </w:p>
        </w:tc>
      </w:tr>
      <w:tr w:rsidR="00171AA8" w:rsidRPr="00731FE2" w14:paraId="5455349F" w14:textId="77777777">
        <w:tc>
          <w:tcPr>
            <w:tcW w:w="1842" w:type="dxa"/>
            <w:vMerge/>
          </w:tcPr>
          <w:p w14:paraId="0F55094A" w14:textId="77777777" w:rsidR="00171AA8" w:rsidRPr="00731FE2" w:rsidRDefault="00171AA8">
            <w:pPr>
              <w:rPr>
                <w:rFonts w:ascii="Times New Roman" w:hAnsi="Times New Roman" w:cs="Times New Roman"/>
                <w:sz w:val="22"/>
              </w:rPr>
            </w:pPr>
          </w:p>
        </w:tc>
        <w:tc>
          <w:tcPr>
            <w:tcW w:w="1843" w:type="dxa"/>
            <w:vMerge/>
          </w:tcPr>
          <w:p w14:paraId="4C520B76" w14:textId="77777777" w:rsidR="00171AA8" w:rsidRPr="00731FE2" w:rsidRDefault="00171AA8">
            <w:pPr>
              <w:rPr>
                <w:rFonts w:ascii="Times New Roman" w:hAnsi="Times New Roman" w:cs="Times New Roman"/>
                <w:sz w:val="22"/>
              </w:rPr>
            </w:pPr>
          </w:p>
        </w:tc>
        <w:tc>
          <w:tcPr>
            <w:tcW w:w="2409" w:type="dxa"/>
          </w:tcPr>
          <w:p w14:paraId="028E94D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2"/>
              </w:rPr>
            </w:pPr>
            <w:r w:rsidRPr="00731FE2">
              <w:rPr>
                <w:rFonts w:ascii="Times New Roman" w:eastAsia="Times New Roman" w:hAnsi="Times New Roman" w:cs="Times New Roman"/>
                <w:color w:val="000000"/>
                <w:sz w:val="22"/>
              </w:rPr>
              <w:t>пр. Ленина – ул. Б. Хмельницкого;</w:t>
            </w:r>
          </w:p>
        </w:tc>
        <w:tc>
          <w:tcPr>
            <w:tcW w:w="1559" w:type="dxa"/>
            <w:vMerge/>
          </w:tcPr>
          <w:p w14:paraId="32F005CB" w14:textId="77777777" w:rsidR="00171AA8" w:rsidRPr="00731FE2" w:rsidRDefault="00171AA8">
            <w:pPr>
              <w:rPr>
                <w:rFonts w:ascii="Times New Roman" w:hAnsi="Times New Roman" w:cs="Times New Roman"/>
                <w:sz w:val="22"/>
              </w:rPr>
            </w:pPr>
          </w:p>
        </w:tc>
        <w:tc>
          <w:tcPr>
            <w:tcW w:w="1702" w:type="dxa"/>
            <w:vMerge/>
          </w:tcPr>
          <w:p w14:paraId="3D1B1DDB" w14:textId="77777777" w:rsidR="00171AA8" w:rsidRPr="00731FE2" w:rsidRDefault="00171AA8">
            <w:pPr>
              <w:rPr>
                <w:rFonts w:ascii="Times New Roman" w:hAnsi="Times New Roman" w:cs="Times New Roman"/>
                <w:sz w:val="22"/>
              </w:rPr>
            </w:pPr>
          </w:p>
        </w:tc>
      </w:tr>
      <w:tr w:rsidR="00171AA8" w:rsidRPr="00731FE2" w14:paraId="14F446AC" w14:textId="77777777">
        <w:tc>
          <w:tcPr>
            <w:tcW w:w="1842" w:type="dxa"/>
            <w:vMerge/>
          </w:tcPr>
          <w:p w14:paraId="63D09E56" w14:textId="77777777" w:rsidR="00171AA8" w:rsidRPr="00731FE2" w:rsidRDefault="00171AA8">
            <w:pPr>
              <w:rPr>
                <w:rFonts w:ascii="Times New Roman" w:hAnsi="Times New Roman" w:cs="Times New Roman"/>
                <w:sz w:val="22"/>
              </w:rPr>
            </w:pPr>
          </w:p>
        </w:tc>
        <w:tc>
          <w:tcPr>
            <w:tcW w:w="1843" w:type="dxa"/>
            <w:vMerge/>
          </w:tcPr>
          <w:p w14:paraId="55573CA1" w14:textId="77777777" w:rsidR="00171AA8" w:rsidRPr="00731FE2" w:rsidRDefault="00171AA8">
            <w:pPr>
              <w:rPr>
                <w:rFonts w:ascii="Times New Roman" w:hAnsi="Times New Roman" w:cs="Times New Roman"/>
                <w:sz w:val="22"/>
              </w:rPr>
            </w:pPr>
          </w:p>
        </w:tc>
        <w:tc>
          <w:tcPr>
            <w:tcW w:w="2409" w:type="dxa"/>
          </w:tcPr>
          <w:p w14:paraId="0EBDE23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2"/>
              </w:rPr>
            </w:pPr>
            <w:r w:rsidRPr="00731FE2">
              <w:rPr>
                <w:rFonts w:ascii="Times New Roman" w:eastAsia="Times New Roman" w:hAnsi="Times New Roman" w:cs="Times New Roman"/>
                <w:color w:val="000000"/>
                <w:sz w:val="22"/>
              </w:rPr>
              <w:t xml:space="preserve">пр. Ленина – пер. </w:t>
            </w:r>
            <w:proofErr w:type="gramStart"/>
            <w:r w:rsidRPr="00731FE2">
              <w:rPr>
                <w:rFonts w:ascii="Times New Roman" w:eastAsia="Times New Roman" w:hAnsi="Times New Roman" w:cs="Times New Roman"/>
                <w:color w:val="000000"/>
                <w:sz w:val="22"/>
              </w:rPr>
              <w:t>Бородинский</w:t>
            </w:r>
            <w:proofErr w:type="gramEnd"/>
            <w:r w:rsidRPr="00731FE2">
              <w:rPr>
                <w:rFonts w:ascii="Times New Roman" w:eastAsia="Times New Roman" w:hAnsi="Times New Roman" w:cs="Times New Roman"/>
                <w:color w:val="000000"/>
                <w:sz w:val="22"/>
              </w:rPr>
              <w:t>;</w:t>
            </w:r>
          </w:p>
        </w:tc>
        <w:tc>
          <w:tcPr>
            <w:tcW w:w="1559" w:type="dxa"/>
            <w:vMerge/>
          </w:tcPr>
          <w:p w14:paraId="259BA615" w14:textId="77777777" w:rsidR="00171AA8" w:rsidRPr="00731FE2" w:rsidRDefault="00171AA8">
            <w:pPr>
              <w:rPr>
                <w:rFonts w:ascii="Times New Roman" w:hAnsi="Times New Roman" w:cs="Times New Roman"/>
                <w:sz w:val="22"/>
              </w:rPr>
            </w:pPr>
          </w:p>
        </w:tc>
        <w:tc>
          <w:tcPr>
            <w:tcW w:w="1702" w:type="dxa"/>
            <w:vMerge/>
          </w:tcPr>
          <w:p w14:paraId="5F3F2827" w14:textId="77777777" w:rsidR="00171AA8" w:rsidRPr="00731FE2" w:rsidRDefault="00171AA8">
            <w:pPr>
              <w:rPr>
                <w:rFonts w:ascii="Times New Roman" w:hAnsi="Times New Roman" w:cs="Times New Roman"/>
                <w:sz w:val="22"/>
              </w:rPr>
            </w:pPr>
          </w:p>
        </w:tc>
      </w:tr>
      <w:tr w:rsidR="00171AA8" w:rsidRPr="00731FE2" w14:paraId="2923CCF4" w14:textId="77777777">
        <w:tc>
          <w:tcPr>
            <w:tcW w:w="1842" w:type="dxa"/>
            <w:vMerge/>
          </w:tcPr>
          <w:p w14:paraId="7A47FA8A" w14:textId="77777777" w:rsidR="00171AA8" w:rsidRPr="00731FE2" w:rsidRDefault="00171AA8">
            <w:pPr>
              <w:rPr>
                <w:rFonts w:ascii="Times New Roman" w:hAnsi="Times New Roman" w:cs="Times New Roman"/>
                <w:sz w:val="22"/>
              </w:rPr>
            </w:pPr>
          </w:p>
        </w:tc>
        <w:tc>
          <w:tcPr>
            <w:tcW w:w="1843" w:type="dxa"/>
            <w:vMerge/>
          </w:tcPr>
          <w:p w14:paraId="366379F8" w14:textId="77777777" w:rsidR="00171AA8" w:rsidRPr="00731FE2" w:rsidRDefault="00171AA8">
            <w:pPr>
              <w:rPr>
                <w:rFonts w:ascii="Times New Roman" w:hAnsi="Times New Roman" w:cs="Times New Roman"/>
                <w:sz w:val="22"/>
              </w:rPr>
            </w:pPr>
          </w:p>
        </w:tc>
        <w:tc>
          <w:tcPr>
            <w:tcW w:w="2409" w:type="dxa"/>
          </w:tcPr>
          <w:p w14:paraId="214AE00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2"/>
              </w:rPr>
            </w:pPr>
            <w:r w:rsidRPr="00731FE2">
              <w:rPr>
                <w:rFonts w:ascii="Times New Roman" w:eastAsia="Times New Roman" w:hAnsi="Times New Roman" w:cs="Times New Roman"/>
                <w:color w:val="000000"/>
                <w:sz w:val="22"/>
              </w:rPr>
              <w:t>пр. Ленина – пр. Дзержинского;</w:t>
            </w:r>
          </w:p>
        </w:tc>
        <w:tc>
          <w:tcPr>
            <w:tcW w:w="1559" w:type="dxa"/>
            <w:vMerge/>
          </w:tcPr>
          <w:p w14:paraId="5082656E" w14:textId="77777777" w:rsidR="00171AA8" w:rsidRPr="00731FE2" w:rsidRDefault="00171AA8">
            <w:pPr>
              <w:rPr>
                <w:rFonts w:ascii="Times New Roman" w:hAnsi="Times New Roman" w:cs="Times New Roman"/>
                <w:sz w:val="22"/>
              </w:rPr>
            </w:pPr>
          </w:p>
        </w:tc>
        <w:tc>
          <w:tcPr>
            <w:tcW w:w="1702" w:type="dxa"/>
            <w:vMerge/>
          </w:tcPr>
          <w:p w14:paraId="357A1FD4" w14:textId="77777777" w:rsidR="00171AA8" w:rsidRPr="00731FE2" w:rsidRDefault="00171AA8">
            <w:pPr>
              <w:rPr>
                <w:rFonts w:ascii="Times New Roman" w:hAnsi="Times New Roman" w:cs="Times New Roman"/>
                <w:sz w:val="22"/>
              </w:rPr>
            </w:pPr>
          </w:p>
        </w:tc>
      </w:tr>
      <w:tr w:rsidR="00171AA8" w:rsidRPr="00731FE2" w14:paraId="0EFF9B8B" w14:textId="77777777">
        <w:tc>
          <w:tcPr>
            <w:tcW w:w="1842" w:type="dxa"/>
            <w:vMerge/>
          </w:tcPr>
          <w:p w14:paraId="5D7A6450" w14:textId="77777777" w:rsidR="00171AA8" w:rsidRPr="00731FE2" w:rsidRDefault="00171AA8">
            <w:pPr>
              <w:rPr>
                <w:rFonts w:ascii="Times New Roman" w:hAnsi="Times New Roman" w:cs="Times New Roman"/>
                <w:sz w:val="22"/>
              </w:rPr>
            </w:pPr>
          </w:p>
        </w:tc>
        <w:tc>
          <w:tcPr>
            <w:tcW w:w="1843" w:type="dxa"/>
            <w:vMerge/>
          </w:tcPr>
          <w:p w14:paraId="3B672954" w14:textId="77777777" w:rsidR="00171AA8" w:rsidRPr="00731FE2" w:rsidRDefault="00171AA8">
            <w:pPr>
              <w:rPr>
                <w:rFonts w:ascii="Times New Roman" w:hAnsi="Times New Roman" w:cs="Times New Roman"/>
                <w:sz w:val="22"/>
              </w:rPr>
            </w:pPr>
          </w:p>
        </w:tc>
        <w:tc>
          <w:tcPr>
            <w:tcW w:w="2409" w:type="dxa"/>
          </w:tcPr>
          <w:p w14:paraId="7FA9544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2"/>
              </w:rPr>
            </w:pPr>
            <w:r w:rsidRPr="00731FE2">
              <w:rPr>
                <w:rFonts w:ascii="Times New Roman" w:eastAsia="Times New Roman" w:hAnsi="Times New Roman" w:cs="Times New Roman"/>
                <w:color w:val="000000"/>
                <w:sz w:val="22"/>
              </w:rPr>
              <w:t>пр. Ленина – ул. Санаторная;</w:t>
            </w:r>
          </w:p>
        </w:tc>
        <w:tc>
          <w:tcPr>
            <w:tcW w:w="1559" w:type="dxa"/>
            <w:vMerge/>
          </w:tcPr>
          <w:p w14:paraId="1E14178B" w14:textId="77777777" w:rsidR="00171AA8" w:rsidRPr="00731FE2" w:rsidRDefault="00171AA8">
            <w:pPr>
              <w:rPr>
                <w:rFonts w:ascii="Times New Roman" w:hAnsi="Times New Roman" w:cs="Times New Roman"/>
                <w:sz w:val="22"/>
              </w:rPr>
            </w:pPr>
          </w:p>
        </w:tc>
        <w:tc>
          <w:tcPr>
            <w:tcW w:w="1702" w:type="dxa"/>
            <w:vMerge/>
          </w:tcPr>
          <w:p w14:paraId="03D7F5DC" w14:textId="77777777" w:rsidR="00171AA8" w:rsidRPr="00731FE2" w:rsidRDefault="00171AA8">
            <w:pPr>
              <w:rPr>
                <w:rFonts w:ascii="Times New Roman" w:hAnsi="Times New Roman" w:cs="Times New Roman"/>
                <w:sz w:val="22"/>
              </w:rPr>
            </w:pPr>
          </w:p>
        </w:tc>
      </w:tr>
      <w:tr w:rsidR="00171AA8" w:rsidRPr="00731FE2" w14:paraId="0A9EDB75" w14:textId="77777777">
        <w:tc>
          <w:tcPr>
            <w:tcW w:w="1842" w:type="dxa"/>
            <w:vMerge/>
          </w:tcPr>
          <w:p w14:paraId="7EFED3D2" w14:textId="77777777" w:rsidR="00171AA8" w:rsidRPr="00731FE2" w:rsidRDefault="00171AA8">
            <w:pPr>
              <w:rPr>
                <w:rFonts w:ascii="Times New Roman" w:hAnsi="Times New Roman" w:cs="Times New Roman"/>
                <w:sz w:val="22"/>
              </w:rPr>
            </w:pPr>
          </w:p>
        </w:tc>
        <w:tc>
          <w:tcPr>
            <w:tcW w:w="1843" w:type="dxa"/>
            <w:vMerge/>
          </w:tcPr>
          <w:p w14:paraId="11112590" w14:textId="77777777" w:rsidR="00171AA8" w:rsidRPr="00731FE2" w:rsidRDefault="00171AA8">
            <w:pPr>
              <w:rPr>
                <w:rFonts w:ascii="Times New Roman" w:hAnsi="Times New Roman" w:cs="Times New Roman"/>
                <w:sz w:val="22"/>
              </w:rPr>
            </w:pPr>
          </w:p>
        </w:tc>
        <w:tc>
          <w:tcPr>
            <w:tcW w:w="2409" w:type="dxa"/>
          </w:tcPr>
          <w:p w14:paraId="59DACBF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2"/>
              </w:rPr>
            </w:pPr>
            <w:r w:rsidRPr="00731FE2">
              <w:rPr>
                <w:rFonts w:ascii="Times New Roman" w:eastAsia="Times New Roman" w:hAnsi="Times New Roman" w:cs="Times New Roman"/>
                <w:color w:val="000000"/>
                <w:sz w:val="22"/>
              </w:rPr>
              <w:t>ул. Жуковского (школа №2);</w:t>
            </w:r>
          </w:p>
        </w:tc>
        <w:tc>
          <w:tcPr>
            <w:tcW w:w="1559" w:type="dxa"/>
            <w:vMerge/>
          </w:tcPr>
          <w:p w14:paraId="39CFCDF3" w14:textId="77777777" w:rsidR="00171AA8" w:rsidRPr="00731FE2" w:rsidRDefault="00171AA8">
            <w:pPr>
              <w:rPr>
                <w:rFonts w:ascii="Times New Roman" w:hAnsi="Times New Roman" w:cs="Times New Roman"/>
                <w:sz w:val="22"/>
              </w:rPr>
            </w:pPr>
          </w:p>
        </w:tc>
        <w:tc>
          <w:tcPr>
            <w:tcW w:w="1702" w:type="dxa"/>
            <w:vMerge/>
          </w:tcPr>
          <w:p w14:paraId="741CA97B" w14:textId="77777777" w:rsidR="00171AA8" w:rsidRPr="00731FE2" w:rsidRDefault="00171AA8">
            <w:pPr>
              <w:rPr>
                <w:rFonts w:ascii="Times New Roman" w:hAnsi="Times New Roman" w:cs="Times New Roman"/>
                <w:sz w:val="22"/>
              </w:rPr>
            </w:pPr>
          </w:p>
        </w:tc>
      </w:tr>
      <w:tr w:rsidR="00171AA8" w:rsidRPr="00731FE2" w14:paraId="37E362E8" w14:textId="77777777">
        <w:tc>
          <w:tcPr>
            <w:tcW w:w="1842" w:type="dxa"/>
            <w:vMerge/>
          </w:tcPr>
          <w:p w14:paraId="0B55D014" w14:textId="77777777" w:rsidR="00171AA8" w:rsidRPr="00731FE2" w:rsidRDefault="00171AA8">
            <w:pPr>
              <w:rPr>
                <w:rFonts w:ascii="Times New Roman" w:hAnsi="Times New Roman" w:cs="Times New Roman"/>
                <w:sz w:val="22"/>
              </w:rPr>
            </w:pPr>
          </w:p>
        </w:tc>
        <w:tc>
          <w:tcPr>
            <w:tcW w:w="1843" w:type="dxa"/>
            <w:vMerge/>
          </w:tcPr>
          <w:p w14:paraId="761C480F" w14:textId="77777777" w:rsidR="00171AA8" w:rsidRPr="00731FE2" w:rsidRDefault="00171AA8">
            <w:pPr>
              <w:rPr>
                <w:rFonts w:ascii="Times New Roman" w:hAnsi="Times New Roman" w:cs="Times New Roman"/>
                <w:sz w:val="22"/>
              </w:rPr>
            </w:pPr>
          </w:p>
        </w:tc>
        <w:tc>
          <w:tcPr>
            <w:tcW w:w="2409" w:type="dxa"/>
          </w:tcPr>
          <w:p w14:paraId="36055B8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2"/>
              </w:rPr>
            </w:pPr>
            <w:r w:rsidRPr="00731FE2">
              <w:rPr>
                <w:rFonts w:ascii="Times New Roman" w:eastAsia="Times New Roman" w:hAnsi="Times New Roman" w:cs="Times New Roman"/>
                <w:color w:val="000000"/>
                <w:sz w:val="22"/>
              </w:rPr>
              <w:t>ул. Чкалова – ул. Авиации;</w:t>
            </w:r>
          </w:p>
        </w:tc>
        <w:tc>
          <w:tcPr>
            <w:tcW w:w="1559" w:type="dxa"/>
            <w:vMerge/>
          </w:tcPr>
          <w:p w14:paraId="0694985F" w14:textId="77777777" w:rsidR="00171AA8" w:rsidRPr="00731FE2" w:rsidRDefault="00171AA8">
            <w:pPr>
              <w:rPr>
                <w:rFonts w:ascii="Times New Roman" w:hAnsi="Times New Roman" w:cs="Times New Roman"/>
                <w:sz w:val="22"/>
              </w:rPr>
            </w:pPr>
          </w:p>
        </w:tc>
        <w:tc>
          <w:tcPr>
            <w:tcW w:w="1702" w:type="dxa"/>
            <w:vMerge/>
          </w:tcPr>
          <w:p w14:paraId="0DA61795" w14:textId="77777777" w:rsidR="00171AA8" w:rsidRPr="00731FE2" w:rsidRDefault="00171AA8">
            <w:pPr>
              <w:rPr>
                <w:rFonts w:ascii="Times New Roman" w:hAnsi="Times New Roman" w:cs="Times New Roman"/>
                <w:sz w:val="22"/>
              </w:rPr>
            </w:pPr>
          </w:p>
        </w:tc>
      </w:tr>
      <w:tr w:rsidR="00171AA8" w:rsidRPr="00731FE2" w14:paraId="0BFF9A01" w14:textId="77777777">
        <w:tc>
          <w:tcPr>
            <w:tcW w:w="1842" w:type="dxa"/>
            <w:vMerge/>
          </w:tcPr>
          <w:p w14:paraId="29562577" w14:textId="77777777" w:rsidR="00171AA8" w:rsidRPr="00731FE2" w:rsidRDefault="00171AA8">
            <w:pPr>
              <w:rPr>
                <w:rFonts w:ascii="Times New Roman" w:hAnsi="Times New Roman" w:cs="Times New Roman"/>
                <w:sz w:val="22"/>
              </w:rPr>
            </w:pPr>
          </w:p>
        </w:tc>
        <w:tc>
          <w:tcPr>
            <w:tcW w:w="1843" w:type="dxa"/>
            <w:vMerge/>
          </w:tcPr>
          <w:p w14:paraId="68E80F22" w14:textId="77777777" w:rsidR="00171AA8" w:rsidRPr="00731FE2" w:rsidRDefault="00171AA8">
            <w:pPr>
              <w:rPr>
                <w:rFonts w:ascii="Times New Roman" w:hAnsi="Times New Roman" w:cs="Times New Roman"/>
                <w:sz w:val="22"/>
              </w:rPr>
            </w:pPr>
          </w:p>
        </w:tc>
        <w:tc>
          <w:tcPr>
            <w:tcW w:w="2409" w:type="dxa"/>
          </w:tcPr>
          <w:p w14:paraId="2999817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2"/>
              </w:rPr>
            </w:pPr>
            <w:r w:rsidRPr="00731FE2">
              <w:rPr>
                <w:rFonts w:ascii="Times New Roman" w:eastAsia="Times New Roman" w:hAnsi="Times New Roman" w:cs="Times New Roman"/>
                <w:color w:val="000000"/>
                <w:sz w:val="22"/>
              </w:rPr>
              <w:t>ул. Чкалова (школы);</w:t>
            </w:r>
          </w:p>
        </w:tc>
        <w:tc>
          <w:tcPr>
            <w:tcW w:w="1559" w:type="dxa"/>
            <w:vMerge/>
          </w:tcPr>
          <w:p w14:paraId="010789B9" w14:textId="77777777" w:rsidR="00171AA8" w:rsidRPr="00731FE2" w:rsidRDefault="00171AA8">
            <w:pPr>
              <w:rPr>
                <w:rFonts w:ascii="Times New Roman" w:hAnsi="Times New Roman" w:cs="Times New Roman"/>
                <w:sz w:val="22"/>
              </w:rPr>
            </w:pPr>
          </w:p>
        </w:tc>
        <w:tc>
          <w:tcPr>
            <w:tcW w:w="1702" w:type="dxa"/>
            <w:vMerge/>
          </w:tcPr>
          <w:p w14:paraId="193B1E21" w14:textId="77777777" w:rsidR="00171AA8" w:rsidRPr="00731FE2" w:rsidRDefault="00171AA8">
            <w:pPr>
              <w:rPr>
                <w:rFonts w:ascii="Times New Roman" w:hAnsi="Times New Roman" w:cs="Times New Roman"/>
                <w:sz w:val="22"/>
              </w:rPr>
            </w:pPr>
          </w:p>
        </w:tc>
      </w:tr>
      <w:tr w:rsidR="00171AA8" w:rsidRPr="00731FE2" w14:paraId="329C3B13" w14:textId="77777777">
        <w:tc>
          <w:tcPr>
            <w:tcW w:w="1842" w:type="dxa"/>
            <w:vMerge/>
          </w:tcPr>
          <w:p w14:paraId="67C3D850" w14:textId="77777777" w:rsidR="00171AA8" w:rsidRPr="00731FE2" w:rsidRDefault="00171AA8">
            <w:pPr>
              <w:rPr>
                <w:rFonts w:ascii="Times New Roman" w:hAnsi="Times New Roman" w:cs="Times New Roman"/>
                <w:sz w:val="22"/>
              </w:rPr>
            </w:pPr>
          </w:p>
        </w:tc>
        <w:tc>
          <w:tcPr>
            <w:tcW w:w="1843" w:type="dxa"/>
            <w:vMerge/>
          </w:tcPr>
          <w:p w14:paraId="5F4E633E" w14:textId="77777777" w:rsidR="00171AA8" w:rsidRPr="00731FE2" w:rsidRDefault="00171AA8">
            <w:pPr>
              <w:rPr>
                <w:rFonts w:ascii="Times New Roman" w:hAnsi="Times New Roman" w:cs="Times New Roman"/>
                <w:sz w:val="22"/>
              </w:rPr>
            </w:pPr>
          </w:p>
        </w:tc>
        <w:tc>
          <w:tcPr>
            <w:tcW w:w="2409" w:type="dxa"/>
          </w:tcPr>
          <w:p w14:paraId="5D42328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2"/>
              </w:rPr>
            </w:pPr>
            <w:r w:rsidRPr="00731FE2">
              <w:rPr>
                <w:rFonts w:ascii="Times New Roman" w:eastAsia="Times New Roman" w:hAnsi="Times New Roman" w:cs="Times New Roman"/>
                <w:color w:val="000000"/>
                <w:sz w:val="22"/>
              </w:rPr>
              <w:t>ул. Кутузова (школа №12);</w:t>
            </w:r>
          </w:p>
        </w:tc>
        <w:tc>
          <w:tcPr>
            <w:tcW w:w="1559" w:type="dxa"/>
            <w:vMerge/>
          </w:tcPr>
          <w:p w14:paraId="4F98C87F" w14:textId="77777777" w:rsidR="00171AA8" w:rsidRPr="00731FE2" w:rsidRDefault="00171AA8">
            <w:pPr>
              <w:rPr>
                <w:rFonts w:ascii="Times New Roman" w:hAnsi="Times New Roman" w:cs="Times New Roman"/>
                <w:sz w:val="22"/>
              </w:rPr>
            </w:pPr>
          </w:p>
        </w:tc>
        <w:tc>
          <w:tcPr>
            <w:tcW w:w="1702" w:type="dxa"/>
            <w:vMerge/>
          </w:tcPr>
          <w:p w14:paraId="3350821C" w14:textId="77777777" w:rsidR="00171AA8" w:rsidRPr="00731FE2" w:rsidRDefault="00171AA8">
            <w:pPr>
              <w:rPr>
                <w:rFonts w:ascii="Times New Roman" w:hAnsi="Times New Roman" w:cs="Times New Roman"/>
                <w:sz w:val="22"/>
              </w:rPr>
            </w:pPr>
          </w:p>
        </w:tc>
      </w:tr>
      <w:tr w:rsidR="00171AA8" w:rsidRPr="00731FE2" w14:paraId="27B1B7FD" w14:textId="77777777">
        <w:tc>
          <w:tcPr>
            <w:tcW w:w="1842" w:type="dxa"/>
            <w:vMerge/>
          </w:tcPr>
          <w:p w14:paraId="2E9305A5" w14:textId="77777777" w:rsidR="00171AA8" w:rsidRPr="00731FE2" w:rsidRDefault="00171AA8">
            <w:pPr>
              <w:rPr>
                <w:rFonts w:ascii="Times New Roman" w:hAnsi="Times New Roman" w:cs="Times New Roman"/>
                <w:sz w:val="22"/>
              </w:rPr>
            </w:pPr>
          </w:p>
        </w:tc>
        <w:tc>
          <w:tcPr>
            <w:tcW w:w="1843" w:type="dxa"/>
            <w:vMerge/>
          </w:tcPr>
          <w:p w14:paraId="594C5831" w14:textId="77777777" w:rsidR="00171AA8" w:rsidRPr="00731FE2" w:rsidRDefault="00171AA8">
            <w:pPr>
              <w:rPr>
                <w:rFonts w:ascii="Times New Roman" w:hAnsi="Times New Roman" w:cs="Times New Roman"/>
                <w:sz w:val="22"/>
              </w:rPr>
            </w:pPr>
          </w:p>
        </w:tc>
        <w:tc>
          <w:tcPr>
            <w:tcW w:w="2409" w:type="dxa"/>
          </w:tcPr>
          <w:p w14:paraId="60E0340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2"/>
              </w:rPr>
            </w:pPr>
            <w:r w:rsidRPr="00731FE2">
              <w:rPr>
                <w:rFonts w:ascii="Times New Roman" w:eastAsia="Times New Roman" w:hAnsi="Times New Roman" w:cs="Times New Roman"/>
                <w:color w:val="000000"/>
                <w:sz w:val="22"/>
              </w:rPr>
              <w:t>ул. Водопойная – ул. Западная (школа №17);</w:t>
            </w:r>
          </w:p>
        </w:tc>
        <w:tc>
          <w:tcPr>
            <w:tcW w:w="1559" w:type="dxa"/>
            <w:vMerge/>
          </w:tcPr>
          <w:p w14:paraId="1439D847" w14:textId="77777777" w:rsidR="00171AA8" w:rsidRPr="00731FE2" w:rsidRDefault="00171AA8">
            <w:pPr>
              <w:rPr>
                <w:rFonts w:ascii="Times New Roman" w:hAnsi="Times New Roman" w:cs="Times New Roman"/>
                <w:sz w:val="22"/>
              </w:rPr>
            </w:pPr>
          </w:p>
        </w:tc>
        <w:tc>
          <w:tcPr>
            <w:tcW w:w="1702" w:type="dxa"/>
            <w:vMerge/>
          </w:tcPr>
          <w:p w14:paraId="0A2AD172" w14:textId="77777777" w:rsidR="00171AA8" w:rsidRPr="00731FE2" w:rsidRDefault="00171AA8">
            <w:pPr>
              <w:rPr>
                <w:rFonts w:ascii="Times New Roman" w:hAnsi="Times New Roman" w:cs="Times New Roman"/>
                <w:sz w:val="22"/>
              </w:rPr>
            </w:pPr>
          </w:p>
        </w:tc>
      </w:tr>
      <w:tr w:rsidR="00171AA8" w:rsidRPr="00731FE2" w14:paraId="15B00FD7" w14:textId="77777777">
        <w:tc>
          <w:tcPr>
            <w:tcW w:w="1842" w:type="dxa"/>
            <w:vMerge/>
          </w:tcPr>
          <w:p w14:paraId="67EC39E0" w14:textId="77777777" w:rsidR="00171AA8" w:rsidRPr="00731FE2" w:rsidRDefault="00171AA8">
            <w:pPr>
              <w:rPr>
                <w:rFonts w:ascii="Times New Roman" w:hAnsi="Times New Roman" w:cs="Times New Roman"/>
                <w:sz w:val="22"/>
              </w:rPr>
            </w:pPr>
          </w:p>
        </w:tc>
        <w:tc>
          <w:tcPr>
            <w:tcW w:w="1843" w:type="dxa"/>
            <w:vMerge/>
          </w:tcPr>
          <w:p w14:paraId="6C7545D3" w14:textId="77777777" w:rsidR="00171AA8" w:rsidRPr="00731FE2" w:rsidRDefault="00171AA8">
            <w:pPr>
              <w:rPr>
                <w:rFonts w:ascii="Times New Roman" w:hAnsi="Times New Roman" w:cs="Times New Roman"/>
                <w:sz w:val="22"/>
              </w:rPr>
            </w:pPr>
          </w:p>
        </w:tc>
        <w:tc>
          <w:tcPr>
            <w:tcW w:w="2409" w:type="dxa"/>
          </w:tcPr>
          <w:p w14:paraId="6A04AEB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2"/>
              </w:rPr>
            </w:pPr>
            <w:r w:rsidRPr="00731FE2">
              <w:rPr>
                <w:rFonts w:ascii="Times New Roman" w:eastAsia="Times New Roman" w:hAnsi="Times New Roman" w:cs="Times New Roman"/>
                <w:color w:val="000000"/>
                <w:sz w:val="22"/>
              </w:rPr>
              <w:t>ул. М. Расковой (школа №19);</w:t>
            </w:r>
          </w:p>
        </w:tc>
        <w:tc>
          <w:tcPr>
            <w:tcW w:w="1559" w:type="dxa"/>
            <w:vMerge/>
          </w:tcPr>
          <w:p w14:paraId="50B0182B" w14:textId="77777777" w:rsidR="00171AA8" w:rsidRPr="00731FE2" w:rsidRDefault="00171AA8">
            <w:pPr>
              <w:rPr>
                <w:rFonts w:ascii="Times New Roman" w:hAnsi="Times New Roman" w:cs="Times New Roman"/>
                <w:sz w:val="22"/>
              </w:rPr>
            </w:pPr>
          </w:p>
        </w:tc>
        <w:tc>
          <w:tcPr>
            <w:tcW w:w="1702" w:type="dxa"/>
            <w:vMerge/>
          </w:tcPr>
          <w:p w14:paraId="0E9C1A77" w14:textId="77777777" w:rsidR="00171AA8" w:rsidRPr="00731FE2" w:rsidRDefault="00171AA8">
            <w:pPr>
              <w:rPr>
                <w:rFonts w:ascii="Times New Roman" w:hAnsi="Times New Roman" w:cs="Times New Roman"/>
                <w:sz w:val="22"/>
              </w:rPr>
            </w:pPr>
          </w:p>
        </w:tc>
      </w:tr>
      <w:tr w:rsidR="00171AA8" w:rsidRPr="00731FE2" w14:paraId="569D1F59" w14:textId="77777777">
        <w:tc>
          <w:tcPr>
            <w:tcW w:w="1842" w:type="dxa"/>
            <w:vMerge/>
          </w:tcPr>
          <w:p w14:paraId="1E5C5EF5" w14:textId="77777777" w:rsidR="00171AA8" w:rsidRPr="00731FE2" w:rsidRDefault="00171AA8">
            <w:pPr>
              <w:rPr>
                <w:rFonts w:ascii="Times New Roman" w:hAnsi="Times New Roman" w:cs="Times New Roman"/>
                <w:sz w:val="22"/>
              </w:rPr>
            </w:pPr>
          </w:p>
        </w:tc>
        <w:tc>
          <w:tcPr>
            <w:tcW w:w="1843" w:type="dxa"/>
            <w:vMerge/>
          </w:tcPr>
          <w:p w14:paraId="58B3AB27" w14:textId="77777777" w:rsidR="00171AA8" w:rsidRPr="00731FE2" w:rsidRDefault="00171AA8">
            <w:pPr>
              <w:rPr>
                <w:rFonts w:ascii="Times New Roman" w:hAnsi="Times New Roman" w:cs="Times New Roman"/>
                <w:sz w:val="22"/>
              </w:rPr>
            </w:pPr>
          </w:p>
        </w:tc>
        <w:tc>
          <w:tcPr>
            <w:tcW w:w="2409" w:type="dxa"/>
          </w:tcPr>
          <w:p w14:paraId="7FB9E25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2"/>
              </w:rPr>
            </w:pPr>
            <w:r w:rsidRPr="00731FE2">
              <w:rPr>
                <w:rFonts w:ascii="Times New Roman" w:eastAsia="Times New Roman" w:hAnsi="Times New Roman" w:cs="Times New Roman"/>
                <w:color w:val="000000"/>
                <w:sz w:val="22"/>
              </w:rPr>
              <w:t>ул. Красивая, №31;</w:t>
            </w:r>
          </w:p>
        </w:tc>
        <w:tc>
          <w:tcPr>
            <w:tcW w:w="1559" w:type="dxa"/>
            <w:vMerge/>
          </w:tcPr>
          <w:p w14:paraId="192C0D87" w14:textId="77777777" w:rsidR="00171AA8" w:rsidRPr="00731FE2" w:rsidRDefault="00171AA8">
            <w:pPr>
              <w:rPr>
                <w:rFonts w:ascii="Times New Roman" w:hAnsi="Times New Roman" w:cs="Times New Roman"/>
                <w:sz w:val="22"/>
              </w:rPr>
            </w:pPr>
          </w:p>
        </w:tc>
        <w:tc>
          <w:tcPr>
            <w:tcW w:w="1702" w:type="dxa"/>
            <w:vMerge/>
          </w:tcPr>
          <w:p w14:paraId="4A0FAE43" w14:textId="77777777" w:rsidR="00171AA8" w:rsidRPr="00731FE2" w:rsidRDefault="00171AA8">
            <w:pPr>
              <w:rPr>
                <w:rFonts w:ascii="Times New Roman" w:hAnsi="Times New Roman" w:cs="Times New Roman"/>
                <w:sz w:val="22"/>
              </w:rPr>
            </w:pPr>
          </w:p>
        </w:tc>
      </w:tr>
      <w:tr w:rsidR="00171AA8" w:rsidRPr="00731FE2" w14:paraId="23342B4A" w14:textId="77777777">
        <w:tc>
          <w:tcPr>
            <w:tcW w:w="1842" w:type="dxa"/>
            <w:vMerge/>
          </w:tcPr>
          <w:p w14:paraId="64C87F75" w14:textId="77777777" w:rsidR="00171AA8" w:rsidRPr="00731FE2" w:rsidRDefault="00171AA8">
            <w:pPr>
              <w:rPr>
                <w:rFonts w:ascii="Times New Roman" w:hAnsi="Times New Roman" w:cs="Times New Roman"/>
                <w:sz w:val="22"/>
              </w:rPr>
            </w:pPr>
          </w:p>
        </w:tc>
        <w:tc>
          <w:tcPr>
            <w:tcW w:w="1843" w:type="dxa"/>
            <w:vMerge/>
          </w:tcPr>
          <w:p w14:paraId="7ACE9B72" w14:textId="77777777" w:rsidR="00171AA8" w:rsidRPr="00731FE2" w:rsidRDefault="00171AA8">
            <w:pPr>
              <w:rPr>
                <w:rFonts w:ascii="Times New Roman" w:hAnsi="Times New Roman" w:cs="Times New Roman"/>
                <w:sz w:val="22"/>
              </w:rPr>
            </w:pPr>
          </w:p>
        </w:tc>
        <w:tc>
          <w:tcPr>
            <w:tcW w:w="2409" w:type="dxa"/>
          </w:tcPr>
          <w:p w14:paraId="632E4C7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2"/>
              </w:rPr>
            </w:pPr>
            <w:r w:rsidRPr="00731FE2">
              <w:rPr>
                <w:rFonts w:ascii="Times New Roman" w:eastAsia="Times New Roman" w:hAnsi="Times New Roman" w:cs="Times New Roman"/>
                <w:color w:val="000000"/>
                <w:sz w:val="22"/>
              </w:rPr>
              <w:t>ул. Красивая, №6;</w:t>
            </w:r>
          </w:p>
        </w:tc>
        <w:tc>
          <w:tcPr>
            <w:tcW w:w="1559" w:type="dxa"/>
            <w:vMerge/>
          </w:tcPr>
          <w:p w14:paraId="02393CCB" w14:textId="77777777" w:rsidR="00171AA8" w:rsidRPr="00731FE2" w:rsidRDefault="00171AA8">
            <w:pPr>
              <w:rPr>
                <w:rFonts w:ascii="Times New Roman" w:hAnsi="Times New Roman" w:cs="Times New Roman"/>
                <w:sz w:val="22"/>
              </w:rPr>
            </w:pPr>
          </w:p>
        </w:tc>
        <w:tc>
          <w:tcPr>
            <w:tcW w:w="1702" w:type="dxa"/>
            <w:vMerge/>
          </w:tcPr>
          <w:p w14:paraId="68DDE201" w14:textId="77777777" w:rsidR="00171AA8" w:rsidRPr="00731FE2" w:rsidRDefault="00171AA8">
            <w:pPr>
              <w:rPr>
                <w:rFonts w:ascii="Times New Roman" w:hAnsi="Times New Roman" w:cs="Times New Roman"/>
                <w:sz w:val="22"/>
              </w:rPr>
            </w:pPr>
          </w:p>
        </w:tc>
      </w:tr>
      <w:tr w:rsidR="00171AA8" w:rsidRPr="00731FE2" w14:paraId="6F5AF6A2" w14:textId="77777777">
        <w:tc>
          <w:tcPr>
            <w:tcW w:w="1842" w:type="dxa"/>
            <w:vMerge/>
          </w:tcPr>
          <w:p w14:paraId="236D8815" w14:textId="77777777" w:rsidR="00171AA8" w:rsidRPr="00731FE2" w:rsidRDefault="00171AA8">
            <w:pPr>
              <w:rPr>
                <w:rFonts w:ascii="Times New Roman" w:hAnsi="Times New Roman" w:cs="Times New Roman"/>
                <w:sz w:val="22"/>
              </w:rPr>
            </w:pPr>
          </w:p>
        </w:tc>
        <w:tc>
          <w:tcPr>
            <w:tcW w:w="1843" w:type="dxa"/>
            <w:vMerge/>
          </w:tcPr>
          <w:p w14:paraId="3C0A4B12" w14:textId="77777777" w:rsidR="00171AA8" w:rsidRPr="00731FE2" w:rsidRDefault="00171AA8">
            <w:pPr>
              <w:rPr>
                <w:rFonts w:ascii="Times New Roman" w:hAnsi="Times New Roman" w:cs="Times New Roman"/>
                <w:sz w:val="22"/>
              </w:rPr>
            </w:pPr>
          </w:p>
        </w:tc>
        <w:tc>
          <w:tcPr>
            <w:tcW w:w="2409" w:type="dxa"/>
          </w:tcPr>
          <w:p w14:paraId="71EEC94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2"/>
              </w:rPr>
            </w:pPr>
            <w:r w:rsidRPr="00731FE2">
              <w:rPr>
                <w:rFonts w:ascii="Times New Roman" w:eastAsia="Times New Roman" w:hAnsi="Times New Roman" w:cs="Times New Roman"/>
                <w:color w:val="000000"/>
                <w:sz w:val="22"/>
              </w:rPr>
              <w:t>ул. Красивая, №24;</w:t>
            </w:r>
          </w:p>
        </w:tc>
        <w:tc>
          <w:tcPr>
            <w:tcW w:w="1559" w:type="dxa"/>
            <w:vMerge/>
          </w:tcPr>
          <w:p w14:paraId="70AC9D87" w14:textId="77777777" w:rsidR="00171AA8" w:rsidRPr="00731FE2" w:rsidRDefault="00171AA8">
            <w:pPr>
              <w:rPr>
                <w:rFonts w:ascii="Times New Roman" w:hAnsi="Times New Roman" w:cs="Times New Roman"/>
                <w:sz w:val="22"/>
              </w:rPr>
            </w:pPr>
          </w:p>
        </w:tc>
        <w:tc>
          <w:tcPr>
            <w:tcW w:w="1702" w:type="dxa"/>
            <w:vMerge/>
          </w:tcPr>
          <w:p w14:paraId="2924443F" w14:textId="77777777" w:rsidR="00171AA8" w:rsidRPr="00731FE2" w:rsidRDefault="00171AA8">
            <w:pPr>
              <w:rPr>
                <w:rFonts w:ascii="Times New Roman" w:hAnsi="Times New Roman" w:cs="Times New Roman"/>
                <w:sz w:val="22"/>
              </w:rPr>
            </w:pPr>
          </w:p>
        </w:tc>
      </w:tr>
      <w:tr w:rsidR="00171AA8" w:rsidRPr="00731FE2" w14:paraId="29CFA678" w14:textId="77777777">
        <w:tc>
          <w:tcPr>
            <w:tcW w:w="1842" w:type="dxa"/>
            <w:vMerge/>
          </w:tcPr>
          <w:p w14:paraId="0FB48536" w14:textId="77777777" w:rsidR="00171AA8" w:rsidRPr="00731FE2" w:rsidRDefault="00171AA8">
            <w:pPr>
              <w:rPr>
                <w:rFonts w:ascii="Times New Roman" w:hAnsi="Times New Roman" w:cs="Times New Roman"/>
                <w:sz w:val="22"/>
              </w:rPr>
            </w:pPr>
          </w:p>
        </w:tc>
        <w:tc>
          <w:tcPr>
            <w:tcW w:w="1843" w:type="dxa"/>
            <w:vMerge/>
          </w:tcPr>
          <w:p w14:paraId="1B6732E0" w14:textId="77777777" w:rsidR="00171AA8" w:rsidRPr="00731FE2" w:rsidRDefault="00171AA8">
            <w:pPr>
              <w:rPr>
                <w:rFonts w:ascii="Times New Roman" w:hAnsi="Times New Roman" w:cs="Times New Roman"/>
                <w:sz w:val="22"/>
              </w:rPr>
            </w:pPr>
          </w:p>
        </w:tc>
        <w:tc>
          <w:tcPr>
            <w:tcW w:w="2409" w:type="dxa"/>
          </w:tcPr>
          <w:p w14:paraId="61176F1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2"/>
              </w:rPr>
            </w:pPr>
            <w:r w:rsidRPr="00731FE2">
              <w:rPr>
                <w:rFonts w:ascii="Times New Roman" w:eastAsia="Times New Roman" w:hAnsi="Times New Roman" w:cs="Times New Roman"/>
                <w:color w:val="000000"/>
                <w:sz w:val="22"/>
              </w:rPr>
              <w:t>ул. Губина (школа №16 и №20);</w:t>
            </w:r>
          </w:p>
        </w:tc>
        <w:tc>
          <w:tcPr>
            <w:tcW w:w="1559" w:type="dxa"/>
            <w:vMerge/>
          </w:tcPr>
          <w:p w14:paraId="5B0D127A" w14:textId="77777777" w:rsidR="00171AA8" w:rsidRPr="00731FE2" w:rsidRDefault="00171AA8">
            <w:pPr>
              <w:rPr>
                <w:rFonts w:ascii="Times New Roman" w:hAnsi="Times New Roman" w:cs="Times New Roman"/>
                <w:sz w:val="22"/>
              </w:rPr>
            </w:pPr>
          </w:p>
        </w:tc>
        <w:tc>
          <w:tcPr>
            <w:tcW w:w="1702" w:type="dxa"/>
            <w:vMerge/>
          </w:tcPr>
          <w:p w14:paraId="1F8AC5B6" w14:textId="77777777" w:rsidR="00171AA8" w:rsidRPr="00731FE2" w:rsidRDefault="00171AA8">
            <w:pPr>
              <w:rPr>
                <w:rFonts w:ascii="Times New Roman" w:hAnsi="Times New Roman" w:cs="Times New Roman"/>
                <w:sz w:val="22"/>
              </w:rPr>
            </w:pPr>
          </w:p>
        </w:tc>
      </w:tr>
      <w:tr w:rsidR="00171AA8" w:rsidRPr="00731FE2" w14:paraId="5E8FD680" w14:textId="77777777">
        <w:tc>
          <w:tcPr>
            <w:tcW w:w="1842" w:type="dxa"/>
            <w:vMerge/>
          </w:tcPr>
          <w:p w14:paraId="1E320AC9" w14:textId="77777777" w:rsidR="00171AA8" w:rsidRPr="00731FE2" w:rsidRDefault="00171AA8">
            <w:pPr>
              <w:rPr>
                <w:rFonts w:ascii="Times New Roman" w:hAnsi="Times New Roman" w:cs="Times New Roman"/>
                <w:sz w:val="22"/>
              </w:rPr>
            </w:pPr>
          </w:p>
        </w:tc>
        <w:tc>
          <w:tcPr>
            <w:tcW w:w="1843" w:type="dxa"/>
            <w:vMerge/>
          </w:tcPr>
          <w:p w14:paraId="00D4758C" w14:textId="77777777" w:rsidR="00171AA8" w:rsidRPr="00731FE2" w:rsidRDefault="00171AA8">
            <w:pPr>
              <w:rPr>
                <w:rFonts w:ascii="Times New Roman" w:hAnsi="Times New Roman" w:cs="Times New Roman"/>
                <w:sz w:val="22"/>
              </w:rPr>
            </w:pPr>
          </w:p>
        </w:tc>
        <w:tc>
          <w:tcPr>
            <w:tcW w:w="2409" w:type="dxa"/>
          </w:tcPr>
          <w:p w14:paraId="71AE3BF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2"/>
              </w:rPr>
            </w:pPr>
            <w:r w:rsidRPr="00731FE2">
              <w:rPr>
                <w:rFonts w:ascii="Times New Roman" w:eastAsia="Times New Roman" w:hAnsi="Times New Roman" w:cs="Times New Roman"/>
                <w:color w:val="000000"/>
                <w:sz w:val="22"/>
              </w:rPr>
              <w:t>ул. Прямая (пос. Аликоновка, школа);</w:t>
            </w:r>
          </w:p>
        </w:tc>
        <w:tc>
          <w:tcPr>
            <w:tcW w:w="1559" w:type="dxa"/>
            <w:vMerge/>
          </w:tcPr>
          <w:p w14:paraId="4440920F" w14:textId="77777777" w:rsidR="00171AA8" w:rsidRPr="00731FE2" w:rsidRDefault="00171AA8">
            <w:pPr>
              <w:rPr>
                <w:rFonts w:ascii="Times New Roman" w:hAnsi="Times New Roman" w:cs="Times New Roman"/>
                <w:sz w:val="22"/>
              </w:rPr>
            </w:pPr>
          </w:p>
        </w:tc>
        <w:tc>
          <w:tcPr>
            <w:tcW w:w="1702" w:type="dxa"/>
            <w:vMerge/>
          </w:tcPr>
          <w:p w14:paraId="7C302888" w14:textId="77777777" w:rsidR="00171AA8" w:rsidRPr="00731FE2" w:rsidRDefault="00171AA8">
            <w:pPr>
              <w:rPr>
                <w:rFonts w:ascii="Times New Roman" w:hAnsi="Times New Roman" w:cs="Times New Roman"/>
                <w:sz w:val="22"/>
              </w:rPr>
            </w:pPr>
          </w:p>
        </w:tc>
      </w:tr>
      <w:tr w:rsidR="00171AA8" w:rsidRPr="00731FE2" w14:paraId="6A103117" w14:textId="77777777">
        <w:tc>
          <w:tcPr>
            <w:tcW w:w="1842" w:type="dxa"/>
            <w:vMerge/>
          </w:tcPr>
          <w:p w14:paraId="4F24D852" w14:textId="77777777" w:rsidR="00171AA8" w:rsidRPr="00731FE2" w:rsidRDefault="00171AA8">
            <w:pPr>
              <w:rPr>
                <w:rFonts w:ascii="Times New Roman" w:hAnsi="Times New Roman" w:cs="Times New Roman"/>
                <w:sz w:val="22"/>
              </w:rPr>
            </w:pPr>
          </w:p>
        </w:tc>
        <w:tc>
          <w:tcPr>
            <w:tcW w:w="1843" w:type="dxa"/>
            <w:vMerge/>
          </w:tcPr>
          <w:p w14:paraId="538BAA3D" w14:textId="77777777" w:rsidR="00171AA8" w:rsidRPr="00731FE2" w:rsidRDefault="00171AA8">
            <w:pPr>
              <w:rPr>
                <w:rFonts w:ascii="Times New Roman" w:hAnsi="Times New Roman" w:cs="Times New Roman"/>
                <w:sz w:val="22"/>
              </w:rPr>
            </w:pPr>
          </w:p>
        </w:tc>
        <w:tc>
          <w:tcPr>
            <w:tcW w:w="2409" w:type="dxa"/>
          </w:tcPr>
          <w:p w14:paraId="300EC7F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2"/>
              </w:rPr>
            </w:pPr>
            <w:r w:rsidRPr="00731FE2">
              <w:rPr>
                <w:rFonts w:ascii="Times New Roman" w:eastAsia="Times New Roman" w:hAnsi="Times New Roman" w:cs="Times New Roman"/>
                <w:color w:val="000000"/>
                <w:sz w:val="22"/>
              </w:rPr>
              <w:t>ул. Р. Люксембург (школа №4);</w:t>
            </w:r>
          </w:p>
        </w:tc>
        <w:tc>
          <w:tcPr>
            <w:tcW w:w="1559" w:type="dxa"/>
            <w:vMerge/>
          </w:tcPr>
          <w:p w14:paraId="421943F7" w14:textId="77777777" w:rsidR="00171AA8" w:rsidRPr="00731FE2" w:rsidRDefault="00171AA8">
            <w:pPr>
              <w:rPr>
                <w:rFonts w:ascii="Times New Roman" w:hAnsi="Times New Roman" w:cs="Times New Roman"/>
                <w:sz w:val="22"/>
              </w:rPr>
            </w:pPr>
          </w:p>
        </w:tc>
        <w:tc>
          <w:tcPr>
            <w:tcW w:w="1702" w:type="dxa"/>
            <w:vMerge/>
          </w:tcPr>
          <w:p w14:paraId="5E512548" w14:textId="77777777" w:rsidR="00171AA8" w:rsidRPr="00731FE2" w:rsidRDefault="00171AA8">
            <w:pPr>
              <w:rPr>
                <w:rFonts w:ascii="Times New Roman" w:hAnsi="Times New Roman" w:cs="Times New Roman"/>
                <w:sz w:val="22"/>
              </w:rPr>
            </w:pPr>
          </w:p>
        </w:tc>
      </w:tr>
      <w:tr w:rsidR="00171AA8" w:rsidRPr="00731FE2" w14:paraId="0054BF26" w14:textId="77777777">
        <w:tc>
          <w:tcPr>
            <w:tcW w:w="1842" w:type="dxa"/>
            <w:vMerge/>
          </w:tcPr>
          <w:p w14:paraId="0A383BD1" w14:textId="77777777" w:rsidR="00171AA8" w:rsidRPr="00731FE2" w:rsidRDefault="00171AA8">
            <w:pPr>
              <w:rPr>
                <w:rFonts w:ascii="Times New Roman" w:hAnsi="Times New Roman" w:cs="Times New Roman"/>
                <w:sz w:val="22"/>
              </w:rPr>
            </w:pPr>
          </w:p>
        </w:tc>
        <w:tc>
          <w:tcPr>
            <w:tcW w:w="1843" w:type="dxa"/>
            <w:vMerge/>
          </w:tcPr>
          <w:p w14:paraId="2A5B6917" w14:textId="77777777" w:rsidR="00171AA8" w:rsidRPr="00731FE2" w:rsidRDefault="00171AA8">
            <w:pPr>
              <w:rPr>
                <w:rFonts w:ascii="Times New Roman" w:hAnsi="Times New Roman" w:cs="Times New Roman"/>
                <w:sz w:val="22"/>
              </w:rPr>
            </w:pPr>
          </w:p>
        </w:tc>
        <w:tc>
          <w:tcPr>
            <w:tcW w:w="2409" w:type="dxa"/>
          </w:tcPr>
          <w:p w14:paraId="0FDB589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2"/>
              </w:rPr>
            </w:pPr>
            <w:r w:rsidRPr="00731FE2">
              <w:rPr>
                <w:rFonts w:ascii="Times New Roman" w:eastAsia="Times New Roman" w:hAnsi="Times New Roman" w:cs="Times New Roman"/>
                <w:color w:val="000000"/>
                <w:sz w:val="22"/>
              </w:rPr>
              <w:t>пр. Дзержинского – ул. Герцена;</w:t>
            </w:r>
          </w:p>
        </w:tc>
        <w:tc>
          <w:tcPr>
            <w:tcW w:w="1559" w:type="dxa"/>
            <w:vMerge/>
          </w:tcPr>
          <w:p w14:paraId="6CE38741" w14:textId="77777777" w:rsidR="00171AA8" w:rsidRPr="00731FE2" w:rsidRDefault="00171AA8">
            <w:pPr>
              <w:rPr>
                <w:rFonts w:ascii="Times New Roman" w:hAnsi="Times New Roman" w:cs="Times New Roman"/>
                <w:sz w:val="22"/>
              </w:rPr>
            </w:pPr>
          </w:p>
        </w:tc>
        <w:tc>
          <w:tcPr>
            <w:tcW w:w="1702" w:type="dxa"/>
            <w:vMerge/>
          </w:tcPr>
          <w:p w14:paraId="6FC8AAFE" w14:textId="77777777" w:rsidR="00171AA8" w:rsidRPr="00731FE2" w:rsidRDefault="00171AA8">
            <w:pPr>
              <w:rPr>
                <w:rFonts w:ascii="Times New Roman" w:hAnsi="Times New Roman" w:cs="Times New Roman"/>
                <w:sz w:val="22"/>
              </w:rPr>
            </w:pPr>
          </w:p>
        </w:tc>
      </w:tr>
      <w:tr w:rsidR="00171AA8" w:rsidRPr="00731FE2" w14:paraId="557FE209" w14:textId="77777777">
        <w:tc>
          <w:tcPr>
            <w:tcW w:w="1842" w:type="dxa"/>
            <w:vMerge/>
          </w:tcPr>
          <w:p w14:paraId="4E35C56F" w14:textId="77777777" w:rsidR="00171AA8" w:rsidRPr="00731FE2" w:rsidRDefault="00171AA8">
            <w:pPr>
              <w:rPr>
                <w:rFonts w:ascii="Times New Roman" w:hAnsi="Times New Roman" w:cs="Times New Roman"/>
                <w:sz w:val="22"/>
              </w:rPr>
            </w:pPr>
          </w:p>
        </w:tc>
        <w:tc>
          <w:tcPr>
            <w:tcW w:w="1843" w:type="dxa"/>
            <w:vMerge/>
          </w:tcPr>
          <w:p w14:paraId="7FE408BE" w14:textId="77777777" w:rsidR="00171AA8" w:rsidRPr="00731FE2" w:rsidRDefault="00171AA8">
            <w:pPr>
              <w:rPr>
                <w:rFonts w:ascii="Times New Roman" w:hAnsi="Times New Roman" w:cs="Times New Roman"/>
                <w:sz w:val="22"/>
              </w:rPr>
            </w:pPr>
          </w:p>
        </w:tc>
        <w:tc>
          <w:tcPr>
            <w:tcW w:w="2409" w:type="dxa"/>
          </w:tcPr>
          <w:p w14:paraId="6A304BF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2"/>
              </w:rPr>
            </w:pPr>
            <w:r w:rsidRPr="00731FE2">
              <w:rPr>
                <w:rFonts w:ascii="Times New Roman" w:eastAsia="Times New Roman" w:hAnsi="Times New Roman" w:cs="Times New Roman"/>
                <w:color w:val="000000"/>
                <w:sz w:val="22"/>
              </w:rPr>
              <w:t>пр. Дзержинского – ул. Желябова;</w:t>
            </w:r>
          </w:p>
        </w:tc>
        <w:tc>
          <w:tcPr>
            <w:tcW w:w="1559" w:type="dxa"/>
            <w:vMerge/>
          </w:tcPr>
          <w:p w14:paraId="59DE648B" w14:textId="77777777" w:rsidR="00171AA8" w:rsidRPr="00731FE2" w:rsidRDefault="00171AA8">
            <w:pPr>
              <w:rPr>
                <w:rFonts w:ascii="Times New Roman" w:hAnsi="Times New Roman" w:cs="Times New Roman"/>
                <w:sz w:val="22"/>
              </w:rPr>
            </w:pPr>
          </w:p>
        </w:tc>
        <w:tc>
          <w:tcPr>
            <w:tcW w:w="1702" w:type="dxa"/>
            <w:vMerge/>
          </w:tcPr>
          <w:p w14:paraId="43C41C56" w14:textId="77777777" w:rsidR="00171AA8" w:rsidRPr="00731FE2" w:rsidRDefault="00171AA8">
            <w:pPr>
              <w:rPr>
                <w:rFonts w:ascii="Times New Roman" w:hAnsi="Times New Roman" w:cs="Times New Roman"/>
                <w:sz w:val="22"/>
              </w:rPr>
            </w:pPr>
          </w:p>
        </w:tc>
      </w:tr>
      <w:tr w:rsidR="00171AA8" w:rsidRPr="00731FE2" w14:paraId="14FC4CC8" w14:textId="77777777">
        <w:tc>
          <w:tcPr>
            <w:tcW w:w="1842" w:type="dxa"/>
            <w:vMerge/>
          </w:tcPr>
          <w:p w14:paraId="260F6876" w14:textId="77777777" w:rsidR="00171AA8" w:rsidRPr="00731FE2" w:rsidRDefault="00171AA8">
            <w:pPr>
              <w:rPr>
                <w:rFonts w:ascii="Times New Roman" w:hAnsi="Times New Roman" w:cs="Times New Roman"/>
                <w:sz w:val="22"/>
              </w:rPr>
            </w:pPr>
          </w:p>
        </w:tc>
        <w:tc>
          <w:tcPr>
            <w:tcW w:w="1843" w:type="dxa"/>
            <w:vMerge/>
          </w:tcPr>
          <w:p w14:paraId="38272DA4" w14:textId="77777777" w:rsidR="00171AA8" w:rsidRPr="00731FE2" w:rsidRDefault="00171AA8">
            <w:pPr>
              <w:rPr>
                <w:rFonts w:ascii="Times New Roman" w:hAnsi="Times New Roman" w:cs="Times New Roman"/>
                <w:sz w:val="22"/>
              </w:rPr>
            </w:pPr>
          </w:p>
        </w:tc>
        <w:tc>
          <w:tcPr>
            <w:tcW w:w="2409" w:type="dxa"/>
          </w:tcPr>
          <w:p w14:paraId="520EBDF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2"/>
              </w:rPr>
            </w:pPr>
            <w:r w:rsidRPr="00731FE2">
              <w:rPr>
                <w:rFonts w:ascii="Times New Roman" w:eastAsia="Times New Roman" w:hAnsi="Times New Roman" w:cs="Times New Roman"/>
                <w:color w:val="000000"/>
                <w:sz w:val="22"/>
              </w:rPr>
              <w:t>пр. Дзержинского – ул. К. Цеткин;</w:t>
            </w:r>
          </w:p>
        </w:tc>
        <w:tc>
          <w:tcPr>
            <w:tcW w:w="1559" w:type="dxa"/>
            <w:vMerge/>
          </w:tcPr>
          <w:p w14:paraId="1A99F729" w14:textId="77777777" w:rsidR="00171AA8" w:rsidRPr="00731FE2" w:rsidRDefault="00171AA8">
            <w:pPr>
              <w:rPr>
                <w:rFonts w:ascii="Times New Roman" w:hAnsi="Times New Roman" w:cs="Times New Roman"/>
                <w:sz w:val="22"/>
              </w:rPr>
            </w:pPr>
          </w:p>
        </w:tc>
        <w:tc>
          <w:tcPr>
            <w:tcW w:w="1702" w:type="dxa"/>
            <w:vMerge/>
          </w:tcPr>
          <w:p w14:paraId="1FAB983E" w14:textId="77777777" w:rsidR="00171AA8" w:rsidRPr="00731FE2" w:rsidRDefault="00171AA8">
            <w:pPr>
              <w:rPr>
                <w:rFonts w:ascii="Times New Roman" w:hAnsi="Times New Roman" w:cs="Times New Roman"/>
                <w:sz w:val="22"/>
              </w:rPr>
            </w:pPr>
          </w:p>
        </w:tc>
      </w:tr>
      <w:tr w:rsidR="00171AA8" w:rsidRPr="00731FE2" w14:paraId="5AF87D33" w14:textId="77777777">
        <w:tc>
          <w:tcPr>
            <w:tcW w:w="1842" w:type="dxa"/>
            <w:vMerge/>
          </w:tcPr>
          <w:p w14:paraId="2E1A485C" w14:textId="77777777" w:rsidR="00171AA8" w:rsidRPr="00731FE2" w:rsidRDefault="00171AA8">
            <w:pPr>
              <w:rPr>
                <w:rFonts w:ascii="Times New Roman" w:hAnsi="Times New Roman" w:cs="Times New Roman"/>
                <w:sz w:val="22"/>
              </w:rPr>
            </w:pPr>
          </w:p>
        </w:tc>
        <w:tc>
          <w:tcPr>
            <w:tcW w:w="1843" w:type="dxa"/>
            <w:vMerge/>
          </w:tcPr>
          <w:p w14:paraId="4156B1A3" w14:textId="77777777" w:rsidR="00171AA8" w:rsidRPr="00731FE2" w:rsidRDefault="00171AA8">
            <w:pPr>
              <w:rPr>
                <w:rFonts w:ascii="Times New Roman" w:hAnsi="Times New Roman" w:cs="Times New Roman"/>
                <w:sz w:val="22"/>
              </w:rPr>
            </w:pPr>
          </w:p>
        </w:tc>
        <w:tc>
          <w:tcPr>
            <w:tcW w:w="2409" w:type="dxa"/>
          </w:tcPr>
          <w:p w14:paraId="35E9873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2"/>
              </w:rPr>
            </w:pPr>
            <w:r w:rsidRPr="00731FE2">
              <w:rPr>
                <w:rFonts w:ascii="Times New Roman" w:eastAsia="Times New Roman" w:hAnsi="Times New Roman" w:cs="Times New Roman"/>
                <w:color w:val="000000"/>
                <w:sz w:val="22"/>
              </w:rPr>
              <w:t>пр. Дзержинского – ул. Велинградская;</w:t>
            </w:r>
          </w:p>
        </w:tc>
        <w:tc>
          <w:tcPr>
            <w:tcW w:w="1559" w:type="dxa"/>
            <w:vMerge/>
          </w:tcPr>
          <w:p w14:paraId="5AF624DF" w14:textId="77777777" w:rsidR="00171AA8" w:rsidRPr="00731FE2" w:rsidRDefault="00171AA8">
            <w:pPr>
              <w:rPr>
                <w:rFonts w:ascii="Times New Roman" w:hAnsi="Times New Roman" w:cs="Times New Roman"/>
                <w:sz w:val="22"/>
              </w:rPr>
            </w:pPr>
          </w:p>
        </w:tc>
        <w:tc>
          <w:tcPr>
            <w:tcW w:w="1702" w:type="dxa"/>
            <w:vMerge/>
          </w:tcPr>
          <w:p w14:paraId="2FF16690" w14:textId="77777777" w:rsidR="00171AA8" w:rsidRPr="00731FE2" w:rsidRDefault="00171AA8">
            <w:pPr>
              <w:rPr>
                <w:rFonts w:ascii="Times New Roman" w:hAnsi="Times New Roman" w:cs="Times New Roman"/>
                <w:sz w:val="22"/>
              </w:rPr>
            </w:pPr>
          </w:p>
        </w:tc>
      </w:tr>
      <w:tr w:rsidR="00171AA8" w:rsidRPr="00731FE2" w14:paraId="425C5A37" w14:textId="77777777">
        <w:tc>
          <w:tcPr>
            <w:tcW w:w="1842" w:type="dxa"/>
            <w:vMerge/>
          </w:tcPr>
          <w:p w14:paraId="09E7F408" w14:textId="77777777" w:rsidR="00171AA8" w:rsidRPr="00731FE2" w:rsidRDefault="00171AA8">
            <w:pPr>
              <w:rPr>
                <w:rFonts w:ascii="Times New Roman" w:hAnsi="Times New Roman" w:cs="Times New Roman"/>
                <w:sz w:val="22"/>
              </w:rPr>
            </w:pPr>
          </w:p>
        </w:tc>
        <w:tc>
          <w:tcPr>
            <w:tcW w:w="1843" w:type="dxa"/>
            <w:vMerge/>
          </w:tcPr>
          <w:p w14:paraId="22899CF7" w14:textId="77777777" w:rsidR="00171AA8" w:rsidRPr="00731FE2" w:rsidRDefault="00171AA8">
            <w:pPr>
              <w:rPr>
                <w:rFonts w:ascii="Times New Roman" w:hAnsi="Times New Roman" w:cs="Times New Roman"/>
                <w:sz w:val="22"/>
              </w:rPr>
            </w:pPr>
          </w:p>
        </w:tc>
        <w:tc>
          <w:tcPr>
            <w:tcW w:w="2409" w:type="dxa"/>
          </w:tcPr>
          <w:p w14:paraId="1457833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2"/>
              </w:rPr>
            </w:pPr>
            <w:r w:rsidRPr="00731FE2">
              <w:rPr>
                <w:rFonts w:ascii="Times New Roman" w:eastAsia="Times New Roman" w:hAnsi="Times New Roman" w:cs="Times New Roman"/>
                <w:color w:val="000000"/>
                <w:sz w:val="22"/>
              </w:rPr>
              <w:t>пр. Дзержинского – ул. Жуковского (школа №2);</w:t>
            </w:r>
          </w:p>
        </w:tc>
        <w:tc>
          <w:tcPr>
            <w:tcW w:w="1559" w:type="dxa"/>
            <w:vMerge/>
          </w:tcPr>
          <w:p w14:paraId="7C5122B3" w14:textId="77777777" w:rsidR="00171AA8" w:rsidRPr="00731FE2" w:rsidRDefault="00171AA8">
            <w:pPr>
              <w:rPr>
                <w:rFonts w:ascii="Times New Roman" w:hAnsi="Times New Roman" w:cs="Times New Roman"/>
                <w:sz w:val="22"/>
              </w:rPr>
            </w:pPr>
          </w:p>
        </w:tc>
        <w:tc>
          <w:tcPr>
            <w:tcW w:w="1702" w:type="dxa"/>
            <w:vMerge/>
          </w:tcPr>
          <w:p w14:paraId="4FAD31CD" w14:textId="77777777" w:rsidR="00171AA8" w:rsidRPr="00731FE2" w:rsidRDefault="00171AA8">
            <w:pPr>
              <w:rPr>
                <w:rFonts w:ascii="Times New Roman" w:hAnsi="Times New Roman" w:cs="Times New Roman"/>
                <w:sz w:val="22"/>
              </w:rPr>
            </w:pPr>
          </w:p>
        </w:tc>
      </w:tr>
      <w:tr w:rsidR="00171AA8" w:rsidRPr="00731FE2" w14:paraId="4AA29CC2" w14:textId="77777777">
        <w:tc>
          <w:tcPr>
            <w:tcW w:w="1842" w:type="dxa"/>
            <w:vMerge/>
          </w:tcPr>
          <w:p w14:paraId="6BFDDA87" w14:textId="77777777" w:rsidR="00171AA8" w:rsidRPr="00731FE2" w:rsidRDefault="00171AA8">
            <w:pPr>
              <w:rPr>
                <w:rFonts w:ascii="Times New Roman" w:hAnsi="Times New Roman" w:cs="Times New Roman"/>
                <w:sz w:val="22"/>
              </w:rPr>
            </w:pPr>
          </w:p>
        </w:tc>
        <w:tc>
          <w:tcPr>
            <w:tcW w:w="1843" w:type="dxa"/>
            <w:vMerge/>
          </w:tcPr>
          <w:p w14:paraId="04B55220" w14:textId="77777777" w:rsidR="00171AA8" w:rsidRPr="00731FE2" w:rsidRDefault="00171AA8">
            <w:pPr>
              <w:rPr>
                <w:rFonts w:ascii="Times New Roman" w:hAnsi="Times New Roman" w:cs="Times New Roman"/>
                <w:sz w:val="22"/>
              </w:rPr>
            </w:pPr>
          </w:p>
        </w:tc>
        <w:tc>
          <w:tcPr>
            <w:tcW w:w="2409" w:type="dxa"/>
          </w:tcPr>
          <w:p w14:paraId="3B1C4A7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2"/>
              </w:rPr>
            </w:pPr>
            <w:r w:rsidRPr="00731FE2">
              <w:rPr>
                <w:rFonts w:ascii="Times New Roman" w:eastAsia="Times New Roman" w:hAnsi="Times New Roman" w:cs="Times New Roman"/>
                <w:color w:val="000000"/>
                <w:sz w:val="22"/>
              </w:rPr>
              <w:t xml:space="preserve">пр. Дзержинского – ул. </w:t>
            </w:r>
            <w:proofErr w:type="gramStart"/>
            <w:r w:rsidRPr="00731FE2">
              <w:rPr>
                <w:rFonts w:ascii="Times New Roman" w:eastAsia="Times New Roman" w:hAnsi="Times New Roman" w:cs="Times New Roman"/>
                <w:color w:val="000000"/>
                <w:sz w:val="22"/>
              </w:rPr>
              <w:t>Пятигорская</w:t>
            </w:r>
            <w:proofErr w:type="gramEnd"/>
            <w:r w:rsidRPr="00731FE2">
              <w:rPr>
                <w:rFonts w:ascii="Times New Roman" w:eastAsia="Times New Roman" w:hAnsi="Times New Roman" w:cs="Times New Roman"/>
                <w:color w:val="000000"/>
                <w:sz w:val="22"/>
              </w:rPr>
              <w:t>;</w:t>
            </w:r>
          </w:p>
        </w:tc>
        <w:tc>
          <w:tcPr>
            <w:tcW w:w="1559" w:type="dxa"/>
            <w:vMerge/>
          </w:tcPr>
          <w:p w14:paraId="4760F9CA" w14:textId="77777777" w:rsidR="00171AA8" w:rsidRPr="00731FE2" w:rsidRDefault="00171AA8">
            <w:pPr>
              <w:rPr>
                <w:rFonts w:ascii="Times New Roman" w:hAnsi="Times New Roman" w:cs="Times New Roman"/>
                <w:sz w:val="22"/>
              </w:rPr>
            </w:pPr>
          </w:p>
        </w:tc>
        <w:tc>
          <w:tcPr>
            <w:tcW w:w="1702" w:type="dxa"/>
            <w:vMerge/>
          </w:tcPr>
          <w:p w14:paraId="6E5B9651" w14:textId="77777777" w:rsidR="00171AA8" w:rsidRPr="00731FE2" w:rsidRDefault="00171AA8">
            <w:pPr>
              <w:rPr>
                <w:rFonts w:ascii="Times New Roman" w:hAnsi="Times New Roman" w:cs="Times New Roman"/>
                <w:sz w:val="22"/>
              </w:rPr>
            </w:pPr>
          </w:p>
        </w:tc>
      </w:tr>
      <w:tr w:rsidR="00171AA8" w:rsidRPr="00731FE2" w14:paraId="2E345CD1" w14:textId="77777777">
        <w:tc>
          <w:tcPr>
            <w:tcW w:w="1842" w:type="dxa"/>
            <w:vMerge/>
          </w:tcPr>
          <w:p w14:paraId="5B6497B7" w14:textId="77777777" w:rsidR="00171AA8" w:rsidRPr="00731FE2" w:rsidRDefault="00171AA8">
            <w:pPr>
              <w:rPr>
                <w:rFonts w:ascii="Times New Roman" w:hAnsi="Times New Roman" w:cs="Times New Roman"/>
                <w:sz w:val="22"/>
              </w:rPr>
            </w:pPr>
          </w:p>
        </w:tc>
        <w:tc>
          <w:tcPr>
            <w:tcW w:w="1843" w:type="dxa"/>
            <w:vMerge/>
          </w:tcPr>
          <w:p w14:paraId="3D1D2E22" w14:textId="77777777" w:rsidR="00171AA8" w:rsidRPr="00731FE2" w:rsidRDefault="00171AA8">
            <w:pPr>
              <w:rPr>
                <w:rFonts w:ascii="Times New Roman" w:hAnsi="Times New Roman" w:cs="Times New Roman"/>
                <w:sz w:val="22"/>
              </w:rPr>
            </w:pPr>
          </w:p>
        </w:tc>
        <w:tc>
          <w:tcPr>
            <w:tcW w:w="2409" w:type="dxa"/>
          </w:tcPr>
          <w:p w14:paraId="237FA25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2"/>
              </w:rPr>
            </w:pPr>
            <w:r w:rsidRPr="00731FE2">
              <w:rPr>
                <w:rFonts w:ascii="Times New Roman" w:eastAsia="Times New Roman" w:hAnsi="Times New Roman" w:cs="Times New Roman"/>
                <w:color w:val="000000"/>
                <w:sz w:val="22"/>
              </w:rPr>
              <w:t>ул. Широкая – пр. Дзержинского;</w:t>
            </w:r>
          </w:p>
        </w:tc>
        <w:tc>
          <w:tcPr>
            <w:tcW w:w="1559" w:type="dxa"/>
            <w:vMerge/>
          </w:tcPr>
          <w:p w14:paraId="7283FB8F" w14:textId="77777777" w:rsidR="00171AA8" w:rsidRPr="00731FE2" w:rsidRDefault="00171AA8">
            <w:pPr>
              <w:rPr>
                <w:rFonts w:ascii="Times New Roman" w:hAnsi="Times New Roman" w:cs="Times New Roman"/>
                <w:sz w:val="22"/>
              </w:rPr>
            </w:pPr>
          </w:p>
        </w:tc>
        <w:tc>
          <w:tcPr>
            <w:tcW w:w="1702" w:type="dxa"/>
            <w:vMerge/>
          </w:tcPr>
          <w:p w14:paraId="4C5684E0" w14:textId="77777777" w:rsidR="00171AA8" w:rsidRPr="00731FE2" w:rsidRDefault="00171AA8">
            <w:pPr>
              <w:rPr>
                <w:rFonts w:ascii="Times New Roman" w:hAnsi="Times New Roman" w:cs="Times New Roman"/>
                <w:sz w:val="22"/>
              </w:rPr>
            </w:pPr>
          </w:p>
        </w:tc>
      </w:tr>
      <w:tr w:rsidR="00171AA8" w:rsidRPr="00731FE2" w14:paraId="2547FFAD" w14:textId="77777777">
        <w:tc>
          <w:tcPr>
            <w:tcW w:w="1842" w:type="dxa"/>
            <w:vMerge/>
          </w:tcPr>
          <w:p w14:paraId="29D996CB" w14:textId="77777777" w:rsidR="00171AA8" w:rsidRPr="00731FE2" w:rsidRDefault="00171AA8">
            <w:pPr>
              <w:rPr>
                <w:rFonts w:ascii="Times New Roman" w:hAnsi="Times New Roman" w:cs="Times New Roman"/>
                <w:sz w:val="22"/>
              </w:rPr>
            </w:pPr>
          </w:p>
        </w:tc>
        <w:tc>
          <w:tcPr>
            <w:tcW w:w="1843" w:type="dxa"/>
            <w:vMerge/>
          </w:tcPr>
          <w:p w14:paraId="1B7AAD8F" w14:textId="77777777" w:rsidR="00171AA8" w:rsidRPr="00731FE2" w:rsidRDefault="00171AA8">
            <w:pPr>
              <w:rPr>
                <w:rFonts w:ascii="Times New Roman" w:hAnsi="Times New Roman" w:cs="Times New Roman"/>
                <w:sz w:val="22"/>
              </w:rPr>
            </w:pPr>
          </w:p>
        </w:tc>
        <w:tc>
          <w:tcPr>
            <w:tcW w:w="2409" w:type="dxa"/>
          </w:tcPr>
          <w:p w14:paraId="4C61092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2"/>
              </w:rPr>
            </w:pPr>
            <w:r w:rsidRPr="00731FE2">
              <w:rPr>
                <w:rFonts w:ascii="Times New Roman" w:eastAsia="Times New Roman" w:hAnsi="Times New Roman" w:cs="Times New Roman"/>
                <w:color w:val="000000"/>
                <w:sz w:val="22"/>
              </w:rPr>
              <w:t>ул. Горького (центральный рынок);</w:t>
            </w:r>
          </w:p>
        </w:tc>
        <w:tc>
          <w:tcPr>
            <w:tcW w:w="1559" w:type="dxa"/>
            <w:vMerge/>
          </w:tcPr>
          <w:p w14:paraId="41AA3FCB" w14:textId="77777777" w:rsidR="00171AA8" w:rsidRPr="00731FE2" w:rsidRDefault="00171AA8">
            <w:pPr>
              <w:rPr>
                <w:rFonts w:ascii="Times New Roman" w:hAnsi="Times New Roman" w:cs="Times New Roman"/>
                <w:sz w:val="22"/>
              </w:rPr>
            </w:pPr>
          </w:p>
        </w:tc>
        <w:tc>
          <w:tcPr>
            <w:tcW w:w="1702" w:type="dxa"/>
            <w:vMerge/>
          </w:tcPr>
          <w:p w14:paraId="3B5E21EB" w14:textId="77777777" w:rsidR="00171AA8" w:rsidRPr="00731FE2" w:rsidRDefault="00171AA8">
            <w:pPr>
              <w:rPr>
                <w:rFonts w:ascii="Times New Roman" w:hAnsi="Times New Roman" w:cs="Times New Roman"/>
                <w:sz w:val="22"/>
              </w:rPr>
            </w:pPr>
          </w:p>
        </w:tc>
      </w:tr>
      <w:tr w:rsidR="00171AA8" w:rsidRPr="00731FE2" w14:paraId="7FBCAD8D" w14:textId="77777777">
        <w:tc>
          <w:tcPr>
            <w:tcW w:w="1842" w:type="dxa"/>
            <w:vMerge/>
          </w:tcPr>
          <w:p w14:paraId="56285861" w14:textId="77777777" w:rsidR="00171AA8" w:rsidRPr="00731FE2" w:rsidRDefault="00171AA8">
            <w:pPr>
              <w:rPr>
                <w:rFonts w:ascii="Times New Roman" w:hAnsi="Times New Roman" w:cs="Times New Roman"/>
                <w:sz w:val="22"/>
              </w:rPr>
            </w:pPr>
          </w:p>
        </w:tc>
        <w:tc>
          <w:tcPr>
            <w:tcW w:w="1843" w:type="dxa"/>
            <w:vMerge/>
          </w:tcPr>
          <w:p w14:paraId="64D3547B" w14:textId="77777777" w:rsidR="00171AA8" w:rsidRPr="00731FE2" w:rsidRDefault="00171AA8">
            <w:pPr>
              <w:rPr>
                <w:rFonts w:ascii="Times New Roman" w:hAnsi="Times New Roman" w:cs="Times New Roman"/>
                <w:sz w:val="22"/>
              </w:rPr>
            </w:pPr>
          </w:p>
        </w:tc>
        <w:tc>
          <w:tcPr>
            <w:tcW w:w="2409" w:type="dxa"/>
          </w:tcPr>
          <w:p w14:paraId="1A5CEB5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2"/>
              </w:rPr>
            </w:pPr>
            <w:r w:rsidRPr="00731FE2">
              <w:rPr>
                <w:rFonts w:ascii="Times New Roman" w:eastAsia="Times New Roman" w:hAnsi="Times New Roman" w:cs="Times New Roman"/>
                <w:color w:val="000000"/>
                <w:sz w:val="22"/>
              </w:rPr>
              <w:t xml:space="preserve">ул. </w:t>
            </w:r>
            <w:proofErr w:type="gramStart"/>
            <w:r w:rsidRPr="00731FE2">
              <w:rPr>
                <w:rFonts w:ascii="Times New Roman" w:eastAsia="Times New Roman" w:hAnsi="Times New Roman" w:cs="Times New Roman"/>
                <w:color w:val="000000"/>
                <w:sz w:val="22"/>
              </w:rPr>
              <w:t>Азербайджанская</w:t>
            </w:r>
            <w:proofErr w:type="gramEnd"/>
            <w:r w:rsidRPr="00731FE2">
              <w:rPr>
                <w:rFonts w:ascii="Times New Roman" w:eastAsia="Times New Roman" w:hAnsi="Times New Roman" w:cs="Times New Roman"/>
                <w:color w:val="000000"/>
                <w:sz w:val="22"/>
              </w:rPr>
              <w:t xml:space="preserve"> – ул. М. Расковой;</w:t>
            </w:r>
          </w:p>
        </w:tc>
        <w:tc>
          <w:tcPr>
            <w:tcW w:w="1559" w:type="dxa"/>
            <w:vMerge/>
          </w:tcPr>
          <w:p w14:paraId="79BC6D32" w14:textId="77777777" w:rsidR="00171AA8" w:rsidRPr="00731FE2" w:rsidRDefault="00171AA8">
            <w:pPr>
              <w:rPr>
                <w:rFonts w:ascii="Times New Roman" w:hAnsi="Times New Roman" w:cs="Times New Roman"/>
                <w:sz w:val="22"/>
              </w:rPr>
            </w:pPr>
          </w:p>
        </w:tc>
        <w:tc>
          <w:tcPr>
            <w:tcW w:w="1702" w:type="dxa"/>
            <w:vMerge/>
          </w:tcPr>
          <w:p w14:paraId="4CB61126" w14:textId="77777777" w:rsidR="00171AA8" w:rsidRPr="00731FE2" w:rsidRDefault="00171AA8">
            <w:pPr>
              <w:rPr>
                <w:rFonts w:ascii="Times New Roman" w:hAnsi="Times New Roman" w:cs="Times New Roman"/>
                <w:sz w:val="22"/>
              </w:rPr>
            </w:pPr>
          </w:p>
        </w:tc>
      </w:tr>
      <w:tr w:rsidR="00171AA8" w:rsidRPr="00731FE2" w14:paraId="4A42B83D" w14:textId="77777777">
        <w:tc>
          <w:tcPr>
            <w:tcW w:w="1842" w:type="dxa"/>
            <w:vMerge/>
          </w:tcPr>
          <w:p w14:paraId="045AF6C2" w14:textId="77777777" w:rsidR="00171AA8" w:rsidRPr="00731FE2" w:rsidRDefault="00171AA8">
            <w:pPr>
              <w:rPr>
                <w:rFonts w:ascii="Times New Roman" w:hAnsi="Times New Roman" w:cs="Times New Roman"/>
                <w:sz w:val="22"/>
              </w:rPr>
            </w:pPr>
          </w:p>
        </w:tc>
        <w:tc>
          <w:tcPr>
            <w:tcW w:w="1843" w:type="dxa"/>
            <w:vMerge/>
          </w:tcPr>
          <w:p w14:paraId="30B91FC2" w14:textId="77777777" w:rsidR="00171AA8" w:rsidRPr="00731FE2" w:rsidRDefault="00171AA8">
            <w:pPr>
              <w:rPr>
                <w:rFonts w:ascii="Times New Roman" w:hAnsi="Times New Roman" w:cs="Times New Roman"/>
                <w:sz w:val="22"/>
              </w:rPr>
            </w:pPr>
          </w:p>
        </w:tc>
        <w:tc>
          <w:tcPr>
            <w:tcW w:w="2409" w:type="dxa"/>
          </w:tcPr>
          <w:p w14:paraId="4904208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2"/>
              </w:rPr>
            </w:pPr>
            <w:r w:rsidRPr="00731FE2">
              <w:rPr>
                <w:rFonts w:ascii="Times New Roman" w:eastAsia="Times New Roman" w:hAnsi="Times New Roman" w:cs="Times New Roman"/>
                <w:color w:val="000000"/>
                <w:sz w:val="22"/>
              </w:rPr>
              <w:t>ул. Красивая – ул. Азербайджанская;</w:t>
            </w:r>
          </w:p>
        </w:tc>
        <w:tc>
          <w:tcPr>
            <w:tcW w:w="1559" w:type="dxa"/>
            <w:vMerge/>
          </w:tcPr>
          <w:p w14:paraId="3E61C193" w14:textId="77777777" w:rsidR="00171AA8" w:rsidRPr="00731FE2" w:rsidRDefault="00171AA8">
            <w:pPr>
              <w:rPr>
                <w:rFonts w:ascii="Times New Roman" w:hAnsi="Times New Roman" w:cs="Times New Roman"/>
                <w:sz w:val="22"/>
              </w:rPr>
            </w:pPr>
          </w:p>
        </w:tc>
        <w:tc>
          <w:tcPr>
            <w:tcW w:w="1702" w:type="dxa"/>
            <w:vMerge/>
          </w:tcPr>
          <w:p w14:paraId="474C0403" w14:textId="77777777" w:rsidR="00171AA8" w:rsidRPr="00731FE2" w:rsidRDefault="00171AA8">
            <w:pPr>
              <w:rPr>
                <w:rFonts w:ascii="Times New Roman" w:hAnsi="Times New Roman" w:cs="Times New Roman"/>
                <w:sz w:val="22"/>
              </w:rPr>
            </w:pPr>
          </w:p>
        </w:tc>
      </w:tr>
      <w:tr w:rsidR="00171AA8" w:rsidRPr="00731FE2" w14:paraId="4AA47DC6" w14:textId="77777777">
        <w:tc>
          <w:tcPr>
            <w:tcW w:w="1842" w:type="dxa"/>
            <w:vMerge/>
          </w:tcPr>
          <w:p w14:paraId="7CA2CB22" w14:textId="77777777" w:rsidR="00171AA8" w:rsidRPr="00731FE2" w:rsidRDefault="00171AA8">
            <w:pPr>
              <w:rPr>
                <w:rFonts w:ascii="Times New Roman" w:hAnsi="Times New Roman" w:cs="Times New Roman"/>
                <w:sz w:val="22"/>
              </w:rPr>
            </w:pPr>
          </w:p>
        </w:tc>
        <w:tc>
          <w:tcPr>
            <w:tcW w:w="1843" w:type="dxa"/>
            <w:vMerge/>
          </w:tcPr>
          <w:p w14:paraId="0C57C26D" w14:textId="77777777" w:rsidR="00171AA8" w:rsidRPr="00731FE2" w:rsidRDefault="00171AA8">
            <w:pPr>
              <w:rPr>
                <w:rFonts w:ascii="Times New Roman" w:hAnsi="Times New Roman" w:cs="Times New Roman"/>
                <w:sz w:val="22"/>
              </w:rPr>
            </w:pPr>
          </w:p>
        </w:tc>
        <w:tc>
          <w:tcPr>
            <w:tcW w:w="2409" w:type="dxa"/>
          </w:tcPr>
          <w:p w14:paraId="1DCA98C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2"/>
              </w:rPr>
            </w:pPr>
            <w:r w:rsidRPr="00731FE2">
              <w:rPr>
                <w:rFonts w:ascii="Times New Roman" w:eastAsia="Times New Roman" w:hAnsi="Times New Roman" w:cs="Times New Roman"/>
                <w:color w:val="000000"/>
                <w:sz w:val="22"/>
              </w:rPr>
              <w:t>ул. Куйбышева (пенсионный фонд).</w:t>
            </w:r>
          </w:p>
        </w:tc>
        <w:tc>
          <w:tcPr>
            <w:tcW w:w="1559" w:type="dxa"/>
            <w:vMerge/>
          </w:tcPr>
          <w:p w14:paraId="0054DC13" w14:textId="77777777" w:rsidR="00171AA8" w:rsidRPr="00731FE2" w:rsidRDefault="00171AA8">
            <w:pPr>
              <w:rPr>
                <w:rFonts w:ascii="Times New Roman" w:hAnsi="Times New Roman" w:cs="Times New Roman"/>
                <w:sz w:val="22"/>
              </w:rPr>
            </w:pPr>
          </w:p>
        </w:tc>
        <w:tc>
          <w:tcPr>
            <w:tcW w:w="1702" w:type="dxa"/>
            <w:vMerge/>
          </w:tcPr>
          <w:p w14:paraId="528B7215" w14:textId="77777777" w:rsidR="00171AA8" w:rsidRPr="00731FE2" w:rsidRDefault="00171AA8">
            <w:pPr>
              <w:rPr>
                <w:rFonts w:ascii="Times New Roman" w:hAnsi="Times New Roman" w:cs="Times New Roman"/>
                <w:sz w:val="22"/>
              </w:rPr>
            </w:pPr>
          </w:p>
        </w:tc>
      </w:tr>
    </w:tbl>
    <w:p w14:paraId="2379FD9B" w14:textId="77777777" w:rsidR="00171AA8" w:rsidRPr="00731FE2" w:rsidRDefault="00171AA8">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themeColor="text1"/>
          <w:vertAlign w:val="superscript"/>
        </w:rPr>
      </w:pPr>
    </w:p>
    <w:p w14:paraId="1A02F3A2"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themeColor="text1"/>
          <w:vertAlign w:val="superscript"/>
        </w:rPr>
      </w:pPr>
      <w:r w:rsidRPr="00731FE2">
        <w:rPr>
          <w:rFonts w:ascii="Times New Roman" w:eastAsia="Times New Roman" w:hAnsi="Times New Roman" w:cs="Times New Roman"/>
          <w:color w:val="000000"/>
        </w:rPr>
        <w:t>Общее количество мостов и путепроводов на 01.01.2023 г. в городском округе «город-курорт Кисловодск» составляет 48 ед., в т. ч. пешеходных – 19 ед. Число пешеходных тоннеле</w:t>
      </w:r>
      <w:r w:rsidRPr="00731FE2">
        <w:rPr>
          <w:rFonts w:ascii="Times New Roman" w:eastAsia="Times New Roman" w:hAnsi="Times New Roman" w:cs="Times New Roman"/>
          <w:color w:val="000000" w:themeColor="text1"/>
        </w:rPr>
        <w:t>й – 5 ед.</w:t>
      </w:r>
      <w:r w:rsidRPr="00731FE2">
        <w:rPr>
          <w:rFonts w:ascii="Times New Roman" w:eastAsia="Times New Roman" w:hAnsi="Times New Roman" w:cs="Times New Roman"/>
          <w:color w:val="000000" w:themeColor="text1"/>
          <w:vertAlign w:val="superscript"/>
        </w:rPr>
        <w:footnoteReference w:id="62"/>
      </w:r>
    </w:p>
    <w:p w14:paraId="7E495CE6" w14:textId="77777777" w:rsidR="00171AA8" w:rsidRPr="00731FE2" w:rsidRDefault="00171AA8">
      <w:pPr>
        <w:rPr>
          <w:rFonts w:ascii="Times New Roman" w:hAnsi="Times New Roman" w:cs="Times New Roman"/>
          <w:color w:val="000000" w:themeColor="text1"/>
        </w:rPr>
      </w:pPr>
    </w:p>
    <w:p w14:paraId="5F7DD598" w14:textId="77777777" w:rsidR="00171AA8" w:rsidRPr="00731FE2" w:rsidRDefault="007935AB" w:rsidP="00A72799">
      <w:pPr>
        <w:pStyle w:val="af3"/>
        <w:rPr>
          <w:sz w:val="24"/>
          <w:szCs w:val="24"/>
        </w:rPr>
      </w:pPr>
      <w:r w:rsidRPr="00731FE2">
        <w:rPr>
          <w:sz w:val="24"/>
          <w:szCs w:val="24"/>
        </w:rPr>
        <w:t xml:space="preserve">Таблица </w:t>
      </w:r>
      <w:r w:rsidR="00D97880" w:rsidRPr="00731FE2">
        <w:rPr>
          <w:noProof/>
          <w:sz w:val="24"/>
          <w:szCs w:val="24"/>
        </w:rPr>
        <w:fldChar w:fldCharType="begin"/>
      </w:r>
      <w:r w:rsidR="00D97880" w:rsidRPr="00731FE2">
        <w:rPr>
          <w:noProof/>
          <w:sz w:val="24"/>
          <w:szCs w:val="24"/>
        </w:rPr>
        <w:instrText xml:space="preserve"> SEQ Таблица \* Arabic </w:instrText>
      </w:r>
      <w:r w:rsidR="00D97880" w:rsidRPr="00731FE2">
        <w:rPr>
          <w:noProof/>
          <w:sz w:val="24"/>
          <w:szCs w:val="24"/>
        </w:rPr>
        <w:fldChar w:fldCharType="separate"/>
      </w:r>
      <w:r w:rsidR="00C50915" w:rsidRPr="00731FE2">
        <w:rPr>
          <w:noProof/>
          <w:sz w:val="24"/>
          <w:szCs w:val="24"/>
        </w:rPr>
        <w:t>31</w:t>
      </w:r>
      <w:r w:rsidR="00D97880" w:rsidRPr="00731FE2">
        <w:rPr>
          <w:noProof/>
          <w:sz w:val="24"/>
          <w:szCs w:val="24"/>
        </w:rPr>
        <w:fldChar w:fldCharType="end"/>
      </w:r>
      <w:r w:rsidRPr="00731FE2">
        <w:rPr>
          <w:sz w:val="24"/>
          <w:szCs w:val="24"/>
        </w:rPr>
        <w:t xml:space="preserve"> – Перечень мостов в составе автомобильных дорог на территории городского округа «город-курорт Кисловодск» </w:t>
      </w:r>
    </w:p>
    <w:tbl>
      <w:tblPr>
        <w:tblStyle w:val="afe"/>
        <w:tblW w:w="0" w:type="auto"/>
        <w:tblLayout w:type="fixed"/>
        <w:tblCellMar>
          <w:left w:w="57" w:type="dxa"/>
          <w:right w:w="57" w:type="dxa"/>
        </w:tblCellMar>
        <w:tblLook w:val="04A0" w:firstRow="1" w:lastRow="0" w:firstColumn="1" w:lastColumn="0" w:noHBand="0" w:noVBand="1"/>
      </w:tblPr>
      <w:tblGrid>
        <w:gridCol w:w="567"/>
        <w:gridCol w:w="8788"/>
      </w:tblGrid>
      <w:tr w:rsidR="00171AA8" w:rsidRPr="00731FE2" w14:paraId="4BADDBFF" w14:textId="77777777">
        <w:tc>
          <w:tcPr>
            <w:tcW w:w="567" w:type="dxa"/>
            <w:vAlign w:val="center"/>
          </w:tcPr>
          <w:p w14:paraId="797813B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b/>
                <w:color w:val="000000"/>
                <w:sz w:val="22"/>
              </w:rPr>
              <w:t xml:space="preserve">№ </w:t>
            </w:r>
            <w:proofErr w:type="gramStart"/>
            <w:r w:rsidRPr="00731FE2">
              <w:rPr>
                <w:rFonts w:ascii="Times New Roman" w:eastAsia="Times New Roman" w:hAnsi="Times New Roman" w:cs="Times New Roman"/>
                <w:b/>
                <w:color w:val="000000"/>
                <w:sz w:val="22"/>
              </w:rPr>
              <w:t>п</w:t>
            </w:r>
            <w:proofErr w:type="gramEnd"/>
            <w:r w:rsidRPr="00731FE2">
              <w:rPr>
                <w:rFonts w:ascii="Times New Roman" w:eastAsia="Times New Roman" w:hAnsi="Times New Roman" w:cs="Times New Roman"/>
                <w:b/>
                <w:color w:val="000000"/>
                <w:sz w:val="22"/>
              </w:rPr>
              <w:t>/п</w:t>
            </w:r>
          </w:p>
        </w:tc>
        <w:tc>
          <w:tcPr>
            <w:tcW w:w="8788" w:type="dxa"/>
            <w:vAlign w:val="center"/>
          </w:tcPr>
          <w:p w14:paraId="0E9A2C9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b/>
                <w:color w:val="000000"/>
                <w:sz w:val="22"/>
              </w:rPr>
              <w:t>Наименование участка автомобильной дороги</w:t>
            </w:r>
          </w:p>
        </w:tc>
      </w:tr>
      <w:tr w:rsidR="00171AA8" w:rsidRPr="00731FE2" w14:paraId="6D092F37" w14:textId="77777777">
        <w:tc>
          <w:tcPr>
            <w:tcW w:w="567" w:type="dxa"/>
          </w:tcPr>
          <w:p w14:paraId="67DDAD7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1</w:t>
            </w:r>
          </w:p>
        </w:tc>
        <w:tc>
          <w:tcPr>
            <w:tcW w:w="8788" w:type="dxa"/>
          </w:tcPr>
          <w:p w14:paraId="3E5564CF" w14:textId="77777777" w:rsidR="00171AA8" w:rsidRPr="00731FE2" w:rsidRDefault="007935AB">
            <w:pPr>
              <w:pBdr>
                <w:top w:val="none" w:sz="4" w:space="0" w:color="000000"/>
                <w:left w:val="none" w:sz="4" w:space="0" w:color="000000"/>
                <w:bottom w:val="none" w:sz="4" w:space="0" w:color="000000"/>
                <w:right w:val="none" w:sz="4" w:space="0" w:color="000000"/>
              </w:pBdr>
              <w:ind w:firstLine="0"/>
            </w:pPr>
            <w:r w:rsidRPr="00731FE2">
              <w:rPr>
                <w:rFonts w:ascii="Times New Roman" w:eastAsia="Times New Roman" w:hAnsi="Times New Roman" w:cs="Times New Roman"/>
                <w:color w:val="000000"/>
                <w:sz w:val="22"/>
              </w:rPr>
              <w:t>ул. Еськова, в том числе мосты №04150007Б317 04150007Б316 (0+0,092; 0+0,013,0+0,032)</w:t>
            </w:r>
          </w:p>
        </w:tc>
      </w:tr>
      <w:tr w:rsidR="00171AA8" w:rsidRPr="00731FE2" w14:paraId="0847F054" w14:textId="77777777">
        <w:tc>
          <w:tcPr>
            <w:tcW w:w="567" w:type="dxa"/>
          </w:tcPr>
          <w:p w14:paraId="14653EE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2</w:t>
            </w:r>
          </w:p>
        </w:tc>
        <w:tc>
          <w:tcPr>
            <w:tcW w:w="8788" w:type="dxa"/>
          </w:tcPr>
          <w:p w14:paraId="0B2AE961" w14:textId="77777777" w:rsidR="00171AA8" w:rsidRPr="00731FE2" w:rsidRDefault="007935AB">
            <w:pPr>
              <w:pBdr>
                <w:top w:val="none" w:sz="4" w:space="0" w:color="000000"/>
                <w:left w:val="none" w:sz="4" w:space="0" w:color="000000"/>
                <w:bottom w:val="none" w:sz="4" w:space="0" w:color="000000"/>
                <w:right w:val="none" w:sz="4" w:space="0" w:color="000000"/>
              </w:pBdr>
              <w:ind w:firstLine="0"/>
            </w:pPr>
            <w:r w:rsidRPr="00731FE2">
              <w:rPr>
                <w:rFonts w:ascii="Times New Roman" w:eastAsia="Times New Roman" w:hAnsi="Times New Roman" w:cs="Times New Roman"/>
                <w:color w:val="000000"/>
                <w:sz w:val="22"/>
              </w:rPr>
              <w:t>пр. Мира, в том числе мост №04150007Б315 (0+0,013,0+0,028)</w:t>
            </w:r>
          </w:p>
        </w:tc>
      </w:tr>
      <w:tr w:rsidR="00171AA8" w:rsidRPr="00731FE2" w14:paraId="48E1B3B7" w14:textId="77777777">
        <w:tc>
          <w:tcPr>
            <w:tcW w:w="567" w:type="dxa"/>
          </w:tcPr>
          <w:p w14:paraId="4ADB81E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3</w:t>
            </w:r>
          </w:p>
        </w:tc>
        <w:tc>
          <w:tcPr>
            <w:tcW w:w="8788" w:type="dxa"/>
          </w:tcPr>
          <w:p w14:paraId="6214893C" w14:textId="77777777" w:rsidR="00171AA8" w:rsidRPr="00731FE2" w:rsidRDefault="007935AB">
            <w:pPr>
              <w:pBdr>
                <w:top w:val="none" w:sz="4" w:space="0" w:color="000000"/>
                <w:left w:val="none" w:sz="4" w:space="0" w:color="000000"/>
                <w:bottom w:val="none" w:sz="4" w:space="0" w:color="000000"/>
                <w:right w:val="none" w:sz="4" w:space="0" w:color="000000"/>
              </w:pBdr>
              <w:ind w:firstLine="0"/>
            </w:pPr>
            <w:r w:rsidRPr="00731FE2">
              <w:rPr>
                <w:rFonts w:ascii="Times New Roman" w:eastAsia="Times New Roman" w:hAnsi="Times New Roman" w:cs="Times New Roman"/>
                <w:color w:val="000000"/>
                <w:sz w:val="22"/>
              </w:rPr>
              <w:t>пр. Победы, в том числе мосты с №№04150007Б327,04150007Б300, 04150007Б305 (0+0,472,0+0,519; 0+0,563,0+0,663; 0+3,323,0+3,341; 0+3,524,0+3,569)</w:t>
            </w:r>
          </w:p>
        </w:tc>
      </w:tr>
      <w:tr w:rsidR="00171AA8" w:rsidRPr="00731FE2" w14:paraId="3B1E213D" w14:textId="77777777">
        <w:trPr>
          <w:trHeight w:val="221"/>
        </w:trPr>
        <w:tc>
          <w:tcPr>
            <w:tcW w:w="567" w:type="dxa"/>
          </w:tcPr>
          <w:p w14:paraId="15B8430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4</w:t>
            </w:r>
          </w:p>
        </w:tc>
        <w:tc>
          <w:tcPr>
            <w:tcW w:w="8788" w:type="dxa"/>
          </w:tcPr>
          <w:p w14:paraId="58F1462D" w14:textId="77777777" w:rsidR="00171AA8" w:rsidRPr="00731FE2" w:rsidRDefault="007935AB">
            <w:pPr>
              <w:pBdr>
                <w:top w:val="none" w:sz="4" w:space="0" w:color="000000"/>
                <w:left w:val="none" w:sz="4" w:space="0" w:color="000000"/>
                <w:bottom w:val="none" w:sz="4" w:space="0" w:color="000000"/>
                <w:right w:val="none" w:sz="4" w:space="0" w:color="000000"/>
              </w:pBdr>
              <w:ind w:firstLine="0"/>
            </w:pPr>
            <w:r w:rsidRPr="00731FE2">
              <w:rPr>
                <w:rFonts w:ascii="Times New Roman" w:eastAsia="Times New Roman" w:hAnsi="Times New Roman" w:cs="Times New Roman"/>
                <w:color w:val="000000"/>
                <w:sz w:val="22"/>
              </w:rPr>
              <w:t xml:space="preserve">ул. </w:t>
            </w:r>
            <w:r w:rsidR="002455DE" w:rsidRPr="00731FE2">
              <w:rPr>
                <w:rFonts w:ascii="Times New Roman" w:eastAsia="Times New Roman" w:hAnsi="Times New Roman" w:cs="Times New Roman"/>
                <w:color w:val="000000"/>
                <w:sz w:val="22"/>
              </w:rPr>
              <w:t>Березовская</w:t>
            </w:r>
            <w:r w:rsidRPr="00731FE2">
              <w:rPr>
                <w:rFonts w:ascii="Times New Roman" w:eastAsia="Times New Roman" w:hAnsi="Times New Roman" w:cs="Times New Roman"/>
                <w:color w:val="000000"/>
                <w:sz w:val="22"/>
              </w:rPr>
              <w:t>, в том числе мосты №04150007Б297,04150007Б294,04150007Б318,04150007Б319,04150007Б320 (0+0,0+0,013; 0+0,334,0+0,432; 0+0,412,0+0,418; 0+0,672,0+0,712; 0+0,861,0+0,870)</w:t>
            </w:r>
          </w:p>
        </w:tc>
      </w:tr>
      <w:tr w:rsidR="00171AA8" w:rsidRPr="00731FE2" w14:paraId="72C5F3BC" w14:textId="77777777">
        <w:tc>
          <w:tcPr>
            <w:tcW w:w="567" w:type="dxa"/>
          </w:tcPr>
          <w:p w14:paraId="0DEDE26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5</w:t>
            </w:r>
          </w:p>
        </w:tc>
        <w:tc>
          <w:tcPr>
            <w:tcW w:w="8788" w:type="dxa"/>
          </w:tcPr>
          <w:p w14:paraId="7A142B16" w14:textId="77777777" w:rsidR="00171AA8" w:rsidRPr="00731FE2" w:rsidRDefault="007935AB">
            <w:pPr>
              <w:pBdr>
                <w:top w:val="none" w:sz="4" w:space="0" w:color="000000"/>
                <w:left w:val="none" w:sz="4" w:space="0" w:color="000000"/>
                <w:bottom w:val="none" w:sz="4" w:space="0" w:color="000000"/>
                <w:right w:val="none" w:sz="4" w:space="0" w:color="000000"/>
              </w:pBdr>
              <w:ind w:firstLine="0"/>
            </w:pPr>
            <w:r w:rsidRPr="00731FE2">
              <w:rPr>
                <w:rFonts w:ascii="Times New Roman" w:eastAsia="Times New Roman" w:hAnsi="Times New Roman" w:cs="Times New Roman"/>
                <w:color w:val="000000"/>
                <w:sz w:val="22"/>
              </w:rPr>
              <w:t xml:space="preserve">ул. </w:t>
            </w:r>
            <w:proofErr w:type="gramStart"/>
            <w:r w:rsidRPr="00731FE2">
              <w:rPr>
                <w:rFonts w:ascii="Times New Roman" w:eastAsia="Times New Roman" w:hAnsi="Times New Roman" w:cs="Times New Roman"/>
                <w:color w:val="000000"/>
                <w:sz w:val="22"/>
              </w:rPr>
              <w:t>Вокзальная</w:t>
            </w:r>
            <w:proofErr w:type="gramEnd"/>
            <w:r w:rsidRPr="00731FE2">
              <w:rPr>
                <w:rFonts w:ascii="Times New Roman" w:eastAsia="Times New Roman" w:hAnsi="Times New Roman" w:cs="Times New Roman"/>
                <w:color w:val="000000"/>
                <w:sz w:val="22"/>
              </w:rPr>
              <w:t>, в том числе мост №04150007Б325 (0+0,087,0+0,103)</w:t>
            </w:r>
          </w:p>
        </w:tc>
      </w:tr>
      <w:tr w:rsidR="00171AA8" w:rsidRPr="00731FE2" w14:paraId="4C44E474" w14:textId="77777777">
        <w:tc>
          <w:tcPr>
            <w:tcW w:w="567" w:type="dxa"/>
          </w:tcPr>
          <w:p w14:paraId="2F24602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6</w:t>
            </w:r>
          </w:p>
        </w:tc>
        <w:tc>
          <w:tcPr>
            <w:tcW w:w="8788" w:type="dxa"/>
          </w:tcPr>
          <w:p w14:paraId="218A289D" w14:textId="77777777" w:rsidR="00171AA8" w:rsidRPr="00731FE2" w:rsidRDefault="007935AB">
            <w:pPr>
              <w:pBdr>
                <w:top w:val="none" w:sz="4" w:space="0" w:color="000000"/>
                <w:left w:val="none" w:sz="4" w:space="0" w:color="000000"/>
                <w:bottom w:val="none" w:sz="4" w:space="0" w:color="000000"/>
                <w:right w:val="none" w:sz="4" w:space="0" w:color="000000"/>
              </w:pBdr>
              <w:ind w:firstLine="0"/>
            </w:pPr>
            <w:r w:rsidRPr="00731FE2">
              <w:rPr>
                <w:rFonts w:ascii="Times New Roman" w:eastAsia="Times New Roman" w:hAnsi="Times New Roman" w:cs="Times New Roman"/>
                <w:color w:val="000000"/>
                <w:sz w:val="22"/>
              </w:rPr>
              <w:t xml:space="preserve">ул. </w:t>
            </w:r>
            <w:proofErr w:type="gramStart"/>
            <w:r w:rsidRPr="00731FE2">
              <w:rPr>
                <w:rFonts w:ascii="Times New Roman" w:eastAsia="Times New Roman" w:hAnsi="Times New Roman" w:cs="Times New Roman"/>
                <w:color w:val="000000"/>
                <w:sz w:val="22"/>
              </w:rPr>
              <w:t>Озёрная</w:t>
            </w:r>
            <w:proofErr w:type="gramEnd"/>
            <w:r w:rsidRPr="00731FE2">
              <w:rPr>
                <w:rFonts w:ascii="Times New Roman" w:eastAsia="Times New Roman" w:hAnsi="Times New Roman" w:cs="Times New Roman"/>
                <w:color w:val="000000"/>
                <w:sz w:val="22"/>
              </w:rPr>
              <w:t>, в том числе мост с №04150007Б312</w:t>
            </w:r>
          </w:p>
        </w:tc>
      </w:tr>
      <w:tr w:rsidR="00171AA8" w:rsidRPr="00731FE2" w14:paraId="577E4C03" w14:textId="77777777">
        <w:tc>
          <w:tcPr>
            <w:tcW w:w="567" w:type="dxa"/>
          </w:tcPr>
          <w:p w14:paraId="09FD12A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7</w:t>
            </w:r>
          </w:p>
        </w:tc>
        <w:tc>
          <w:tcPr>
            <w:tcW w:w="8788" w:type="dxa"/>
          </w:tcPr>
          <w:p w14:paraId="4CC25D33" w14:textId="77777777" w:rsidR="00171AA8" w:rsidRPr="00731FE2" w:rsidRDefault="007935AB">
            <w:pPr>
              <w:pBdr>
                <w:top w:val="none" w:sz="4" w:space="0" w:color="000000"/>
                <w:left w:val="none" w:sz="4" w:space="0" w:color="000000"/>
                <w:bottom w:val="none" w:sz="4" w:space="0" w:color="000000"/>
                <w:right w:val="none" w:sz="4" w:space="0" w:color="000000"/>
              </w:pBdr>
              <w:ind w:firstLine="0"/>
            </w:pPr>
            <w:r w:rsidRPr="00731FE2">
              <w:rPr>
                <w:rFonts w:ascii="Times New Roman" w:eastAsia="Times New Roman" w:hAnsi="Times New Roman" w:cs="Times New Roman"/>
                <w:color w:val="000000"/>
                <w:sz w:val="22"/>
              </w:rPr>
              <w:t>ул. Профинтерна, в том числе мост №04150007Б295 (0+0,364,0+0,383)</w:t>
            </w:r>
          </w:p>
        </w:tc>
      </w:tr>
      <w:tr w:rsidR="00171AA8" w:rsidRPr="00731FE2" w14:paraId="3A5B7D02" w14:textId="77777777">
        <w:trPr>
          <w:trHeight w:val="276"/>
        </w:trPr>
        <w:tc>
          <w:tcPr>
            <w:tcW w:w="567" w:type="dxa"/>
            <w:vMerge w:val="restart"/>
          </w:tcPr>
          <w:p w14:paraId="2336EAC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8</w:t>
            </w:r>
          </w:p>
        </w:tc>
        <w:tc>
          <w:tcPr>
            <w:tcW w:w="8788" w:type="dxa"/>
            <w:vMerge w:val="restart"/>
          </w:tcPr>
          <w:p w14:paraId="0CDAA0E7" w14:textId="77777777" w:rsidR="00171AA8" w:rsidRPr="00731FE2" w:rsidRDefault="007935AB">
            <w:pPr>
              <w:pBdr>
                <w:top w:val="none" w:sz="4" w:space="0" w:color="000000"/>
                <w:left w:val="none" w:sz="4" w:space="0" w:color="000000"/>
                <w:bottom w:val="none" w:sz="4" w:space="0" w:color="000000"/>
                <w:right w:val="none" w:sz="4" w:space="0" w:color="000000"/>
              </w:pBdr>
              <w:ind w:firstLine="0"/>
            </w:pPr>
            <w:r w:rsidRPr="00731FE2">
              <w:rPr>
                <w:rFonts w:ascii="Times New Roman" w:eastAsia="Times New Roman" w:hAnsi="Times New Roman" w:cs="Times New Roman"/>
                <w:color w:val="000000"/>
                <w:sz w:val="22"/>
              </w:rPr>
              <w:t>ул. Прудная, в том числе мост №04150007Б325 (0+0,0+0,027)</w:t>
            </w:r>
          </w:p>
        </w:tc>
      </w:tr>
      <w:tr w:rsidR="00171AA8" w:rsidRPr="00731FE2" w14:paraId="1C00EA01" w14:textId="77777777">
        <w:trPr>
          <w:trHeight w:val="276"/>
        </w:trPr>
        <w:tc>
          <w:tcPr>
            <w:tcW w:w="567" w:type="dxa"/>
            <w:vMerge w:val="restart"/>
          </w:tcPr>
          <w:p w14:paraId="62D78D5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9</w:t>
            </w:r>
          </w:p>
        </w:tc>
        <w:tc>
          <w:tcPr>
            <w:tcW w:w="8788" w:type="dxa"/>
            <w:vMerge w:val="restart"/>
          </w:tcPr>
          <w:p w14:paraId="0255433B" w14:textId="77777777" w:rsidR="00171AA8" w:rsidRPr="00731FE2" w:rsidRDefault="007935AB">
            <w:pPr>
              <w:pBdr>
                <w:top w:val="none" w:sz="4" w:space="0" w:color="000000"/>
                <w:left w:val="none" w:sz="4" w:space="0" w:color="000000"/>
                <w:bottom w:val="none" w:sz="4" w:space="0" w:color="000000"/>
                <w:right w:val="none" w:sz="4" w:space="0" w:color="000000"/>
              </w:pBdr>
              <w:ind w:firstLine="0"/>
            </w:pPr>
            <w:r w:rsidRPr="00731FE2">
              <w:rPr>
                <w:rFonts w:ascii="Times New Roman" w:eastAsia="Times New Roman" w:hAnsi="Times New Roman" w:cs="Times New Roman"/>
                <w:color w:val="000000"/>
                <w:sz w:val="22"/>
              </w:rPr>
              <w:t xml:space="preserve">ул. </w:t>
            </w:r>
            <w:proofErr w:type="gramStart"/>
            <w:r w:rsidRPr="00731FE2">
              <w:rPr>
                <w:rFonts w:ascii="Times New Roman" w:eastAsia="Times New Roman" w:hAnsi="Times New Roman" w:cs="Times New Roman"/>
                <w:color w:val="000000"/>
                <w:sz w:val="22"/>
              </w:rPr>
              <w:t>Кирова</w:t>
            </w:r>
            <w:proofErr w:type="gramEnd"/>
            <w:r w:rsidRPr="00731FE2">
              <w:rPr>
                <w:rFonts w:ascii="Times New Roman" w:eastAsia="Times New Roman" w:hAnsi="Times New Roman" w:cs="Times New Roman"/>
                <w:color w:val="000000"/>
                <w:sz w:val="22"/>
              </w:rPr>
              <w:t xml:space="preserve"> в том числе мост №04150007Б304</w:t>
            </w:r>
          </w:p>
        </w:tc>
      </w:tr>
      <w:tr w:rsidR="00171AA8" w:rsidRPr="00731FE2" w14:paraId="195EFB59" w14:textId="77777777">
        <w:trPr>
          <w:trHeight w:val="276"/>
        </w:trPr>
        <w:tc>
          <w:tcPr>
            <w:tcW w:w="567" w:type="dxa"/>
            <w:vMerge w:val="restart"/>
          </w:tcPr>
          <w:p w14:paraId="6A1DEB5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10</w:t>
            </w:r>
          </w:p>
        </w:tc>
        <w:tc>
          <w:tcPr>
            <w:tcW w:w="8788" w:type="dxa"/>
            <w:vMerge w:val="restart"/>
          </w:tcPr>
          <w:p w14:paraId="18DAB503" w14:textId="77777777" w:rsidR="00171AA8" w:rsidRPr="00731FE2" w:rsidRDefault="007935AB">
            <w:pPr>
              <w:pBdr>
                <w:top w:val="none" w:sz="4" w:space="0" w:color="000000"/>
                <w:left w:val="none" w:sz="4" w:space="0" w:color="000000"/>
                <w:bottom w:val="none" w:sz="4" w:space="0" w:color="000000"/>
                <w:right w:val="none" w:sz="4" w:space="0" w:color="000000"/>
              </w:pBdr>
              <w:ind w:firstLine="0"/>
            </w:pPr>
            <w:r w:rsidRPr="00731FE2">
              <w:rPr>
                <w:rFonts w:ascii="Times New Roman" w:eastAsia="Times New Roman" w:hAnsi="Times New Roman" w:cs="Times New Roman"/>
                <w:color w:val="000000"/>
                <w:sz w:val="22"/>
              </w:rPr>
              <w:t>50 лет Октября (Курортный Бульвар), в том числе мост №04150007Б314</w:t>
            </w:r>
          </w:p>
        </w:tc>
      </w:tr>
      <w:tr w:rsidR="00171AA8" w:rsidRPr="00731FE2" w14:paraId="0926BF0B" w14:textId="77777777">
        <w:trPr>
          <w:trHeight w:val="276"/>
        </w:trPr>
        <w:tc>
          <w:tcPr>
            <w:tcW w:w="567" w:type="dxa"/>
            <w:vMerge w:val="restart"/>
          </w:tcPr>
          <w:p w14:paraId="6BDD553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11</w:t>
            </w:r>
          </w:p>
        </w:tc>
        <w:tc>
          <w:tcPr>
            <w:tcW w:w="8788" w:type="dxa"/>
            <w:vMerge w:val="restart"/>
          </w:tcPr>
          <w:p w14:paraId="251A9DDC" w14:textId="77777777" w:rsidR="00171AA8" w:rsidRPr="00731FE2" w:rsidRDefault="007935AB">
            <w:pPr>
              <w:pBdr>
                <w:top w:val="none" w:sz="4" w:space="0" w:color="000000"/>
                <w:left w:val="none" w:sz="4" w:space="0" w:color="000000"/>
                <w:bottom w:val="none" w:sz="4" w:space="0" w:color="000000"/>
                <w:right w:val="none" w:sz="4" w:space="0" w:color="000000"/>
              </w:pBdr>
              <w:ind w:firstLine="0"/>
            </w:pPr>
            <w:r w:rsidRPr="00731FE2">
              <w:rPr>
                <w:rFonts w:ascii="Times New Roman" w:eastAsia="Times New Roman" w:hAnsi="Times New Roman" w:cs="Times New Roman"/>
                <w:color w:val="000000"/>
                <w:sz w:val="22"/>
              </w:rPr>
              <w:t xml:space="preserve">ул. </w:t>
            </w:r>
            <w:proofErr w:type="gramStart"/>
            <w:r w:rsidRPr="00731FE2">
              <w:rPr>
                <w:rFonts w:ascii="Times New Roman" w:eastAsia="Times New Roman" w:hAnsi="Times New Roman" w:cs="Times New Roman"/>
                <w:color w:val="000000"/>
                <w:sz w:val="22"/>
              </w:rPr>
              <w:t>Кисловодская</w:t>
            </w:r>
            <w:proofErr w:type="gramEnd"/>
            <w:r w:rsidRPr="00731FE2">
              <w:rPr>
                <w:rFonts w:ascii="Times New Roman" w:eastAsia="Times New Roman" w:hAnsi="Times New Roman" w:cs="Times New Roman"/>
                <w:color w:val="000000"/>
                <w:sz w:val="22"/>
              </w:rPr>
              <w:t>, в том числе мост №04150007Б330</w:t>
            </w:r>
          </w:p>
        </w:tc>
      </w:tr>
      <w:tr w:rsidR="00171AA8" w:rsidRPr="00731FE2" w14:paraId="0D44EE63" w14:textId="77777777">
        <w:trPr>
          <w:trHeight w:val="276"/>
        </w:trPr>
        <w:tc>
          <w:tcPr>
            <w:tcW w:w="567" w:type="dxa"/>
            <w:vMerge w:val="restart"/>
          </w:tcPr>
          <w:p w14:paraId="2E7BAC5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12</w:t>
            </w:r>
          </w:p>
        </w:tc>
        <w:tc>
          <w:tcPr>
            <w:tcW w:w="8788" w:type="dxa"/>
            <w:vMerge w:val="restart"/>
          </w:tcPr>
          <w:p w14:paraId="59903B6F" w14:textId="77777777" w:rsidR="00171AA8" w:rsidRPr="00731FE2" w:rsidRDefault="007935AB">
            <w:pPr>
              <w:pBdr>
                <w:top w:val="none" w:sz="4" w:space="0" w:color="000000"/>
                <w:left w:val="none" w:sz="4" w:space="0" w:color="000000"/>
                <w:bottom w:val="none" w:sz="4" w:space="0" w:color="000000"/>
                <w:right w:val="none" w:sz="4" w:space="0" w:color="000000"/>
              </w:pBdr>
              <w:ind w:firstLine="0"/>
            </w:pPr>
            <w:r w:rsidRPr="00731FE2">
              <w:rPr>
                <w:rFonts w:ascii="Times New Roman" w:eastAsia="Times New Roman" w:hAnsi="Times New Roman" w:cs="Times New Roman"/>
                <w:color w:val="000000"/>
                <w:sz w:val="22"/>
              </w:rPr>
              <w:t>ул. Набережная, в том числе мост 04150007Б329</w:t>
            </w:r>
          </w:p>
        </w:tc>
      </w:tr>
      <w:tr w:rsidR="00171AA8" w:rsidRPr="00731FE2" w14:paraId="49AE1C24" w14:textId="77777777">
        <w:trPr>
          <w:trHeight w:val="276"/>
        </w:trPr>
        <w:tc>
          <w:tcPr>
            <w:tcW w:w="567" w:type="dxa"/>
            <w:vMerge w:val="restart"/>
          </w:tcPr>
          <w:p w14:paraId="287A165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13</w:t>
            </w:r>
          </w:p>
        </w:tc>
        <w:tc>
          <w:tcPr>
            <w:tcW w:w="8788" w:type="dxa"/>
            <w:vMerge w:val="restart"/>
          </w:tcPr>
          <w:p w14:paraId="6EB8FC25" w14:textId="77777777" w:rsidR="00171AA8" w:rsidRPr="00731FE2" w:rsidRDefault="007935AB">
            <w:pPr>
              <w:pBdr>
                <w:top w:val="none" w:sz="4" w:space="0" w:color="000000"/>
                <w:left w:val="none" w:sz="4" w:space="0" w:color="000000"/>
                <w:bottom w:val="none" w:sz="4" w:space="0" w:color="000000"/>
                <w:right w:val="none" w:sz="4" w:space="0" w:color="000000"/>
              </w:pBdr>
              <w:ind w:firstLine="0"/>
            </w:pPr>
            <w:r w:rsidRPr="00731FE2">
              <w:rPr>
                <w:rFonts w:ascii="Times New Roman" w:eastAsia="Times New Roman" w:hAnsi="Times New Roman" w:cs="Times New Roman"/>
                <w:color w:val="000000"/>
                <w:sz w:val="22"/>
              </w:rPr>
              <w:t xml:space="preserve">ул. </w:t>
            </w:r>
            <w:proofErr w:type="gramStart"/>
            <w:r w:rsidRPr="00731FE2">
              <w:rPr>
                <w:rFonts w:ascii="Times New Roman" w:eastAsia="Times New Roman" w:hAnsi="Times New Roman" w:cs="Times New Roman"/>
                <w:color w:val="000000"/>
                <w:sz w:val="22"/>
              </w:rPr>
              <w:t>Водопойная</w:t>
            </w:r>
            <w:proofErr w:type="gramEnd"/>
            <w:r w:rsidRPr="00731FE2">
              <w:rPr>
                <w:rFonts w:ascii="Times New Roman" w:eastAsia="Times New Roman" w:hAnsi="Times New Roman" w:cs="Times New Roman"/>
                <w:color w:val="000000"/>
                <w:sz w:val="22"/>
              </w:rPr>
              <w:t>, в том числе мост №04150007Б328</w:t>
            </w:r>
          </w:p>
        </w:tc>
      </w:tr>
      <w:tr w:rsidR="00171AA8" w:rsidRPr="00731FE2" w14:paraId="3634CFE1" w14:textId="77777777">
        <w:trPr>
          <w:trHeight w:val="276"/>
        </w:trPr>
        <w:tc>
          <w:tcPr>
            <w:tcW w:w="567" w:type="dxa"/>
            <w:vMerge w:val="restart"/>
          </w:tcPr>
          <w:p w14:paraId="377A5EE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14</w:t>
            </w:r>
          </w:p>
        </w:tc>
        <w:tc>
          <w:tcPr>
            <w:tcW w:w="8788" w:type="dxa"/>
            <w:vMerge w:val="restart"/>
          </w:tcPr>
          <w:p w14:paraId="6C989FBC" w14:textId="77777777" w:rsidR="00171AA8" w:rsidRPr="00731FE2" w:rsidRDefault="007935AB">
            <w:pPr>
              <w:pBdr>
                <w:top w:val="none" w:sz="4" w:space="0" w:color="000000"/>
                <w:left w:val="none" w:sz="4" w:space="0" w:color="000000"/>
                <w:bottom w:val="none" w:sz="4" w:space="0" w:color="000000"/>
                <w:right w:val="none" w:sz="4" w:space="0" w:color="000000"/>
              </w:pBdr>
              <w:ind w:firstLine="0"/>
            </w:pPr>
            <w:r w:rsidRPr="00731FE2">
              <w:rPr>
                <w:rFonts w:ascii="Times New Roman" w:eastAsia="Times New Roman" w:hAnsi="Times New Roman" w:cs="Times New Roman"/>
                <w:color w:val="000000"/>
                <w:sz w:val="22"/>
              </w:rPr>
              <w:t>ул. Яновского, в том числе мост №04150007Б296</w:t>
            </w:r>
          </w:p>
        </w:tc>
      </w:tr>
      <w:tr w:rsidR="00171AA8" w:rsidRPr="00731FE2" w14:paraId="254C1D6D" w14:textId="77777777">
        <w:trPr>
          <w:trHeight w:val="276"/>
        </w:trPr>
        <w:tc>
          <w:tcPr>
            <w:tcW w:w="567" w:type="dxa"/>
            <w:vMerge w:val="restart"/>
          </w:tcPr>
          <w:p w14:paraId="2317C9D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15</w:t>
            </w:r>
          </w:p>
        </w:tc>
        <w:tc>
          <w:tcPr>
            <w:tcW w:w="8788" w:type="dxa"/>
            <w:vMerge w:val="restart"/>
          </w:tcPr>
          <w:p w14:paraId="62A66A62" w14:textId="77777777" w:rsidR="00171AA8" w:rsidRPr="00731FE2" w:rsidRDefault="007935AB">
            <w:pPr>
              <w:pBdr>
                <w:top w:val="none" w:sz="4" w:space="0" w:color="000000"/>
                <w:left w:val="none" w:sz="4" w:space="0" w:color="000000"/>
                <w:bottom w:val="none" w:sz="4" w:space="0" w:color="000000"/>
                <w:right w:val="none" w:sz="4" w:space="0" w:color="000000"/>
              </w:pBdr>
              <w:ind w:firstLine="0"/>
            </w:pPr>
            <w:r w:rsidRPr="00731FE2">
              <w:rPr>
                <w:rFonts w:ascii="Times New Roman" w:eastAsia="Times New Roman" w:hAnsi="Times New Roman" w:cs="Times New Roman"/>
                <w:color w:val="000000"/>
                <w:sz w:val="22"/>
              </w:rPr>
              <w:t>пер. Крестьянский, в том числе мост №04150007Б322</w:t>
            </w:r>
          </w:p>
        </w:tc>
      </w:tr>
    </w:tbl>
    <w:p w14:paraId="7411A0AE" w14:textId="77777777" w:rsidR="00171AA8" w:rsidRPr="00731FE2" w:rsidRDefault="00171AA8">
      <w:pPr>
        <w:rPr>
          <w:rFonts w:ascii="Times New Roman" w:hAnsi="Times New Roman" w:cs="Times New Roman"/>
          <w:color w:val="000000" w:themeColor="text1"/>
        </w:rPr>
      </w:pPr>
    </w:p>
    <w:p w14:paraId="634E3B5B"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Уровень развития транспортно-обслуживающей инфраструктуры можно считать удовлетворительным.</w:t>
      </w:r>
    </w:p>
    <w:p w14:paraId="4B47ED8C" w14:textId="77777777" w:rsidR="00171AA8" w:rsidRPr="00731FE2" w:rsidRDefault="007935AB">
      <w:pPr>
        <w:pBdr>
          <w:top w:val="none" w:sz="4" w:space="0" w:color="000000"/>
          <w:left w:val="none" w:sz="4" w:space="0" w:color="000000"/>
          <w:bottom w:val="none" w:sz="4" w:space="0" w:color="000000"/>
          <w:right w:val="none" w:sz="4" w:space="0" w:color="000000"/>
        </w:pBdr>
      </w:pPr>
      <w:r w:rsidRPr="00731FE2">
        <w:rPr>
          <w:rFonts w:ascii="Times New Roman" w:eastAsia="Times New Roman" w:hAnsi="Times New Roman" w:cs="Times New Roman"/>
          <w:color w:val="000000"/>
        </w:rPr>
        <w:t>Стоит отметить, что в восточной части города-курорта Кисловодска работает подвесная канатная дорога, связывающая олимпийский комплекс и видовые площадки с центральной частью города-курорта. Подвесная канатная дорога не имеет существенного транспортного значения, но обеспечивает развитие рекреации города-курорта.</w:t>
      </w:r>
    </w:p>
    <w:p w14:paraId="2170E562" w14:textId="77777777" w:rsidR="00171AA8" w:rsidRPr="00731FE2" w:rsidRDefault="007935AB">
      <w:pPr>
        <w:pBdr>
          <w:top w:val="none" w:sz="4" w:space="0" w:color="000000"/>
          <w:left w:val="none" w:sz="4" w:space="0" w:color="000000"/>
          <w:bottom w:val="none" w:sz="4" w:space="0" w:color="000000"/>
          <w:right w:val="none" w:sz="4" w:space="0" w:color="000000"/>
        </w:pBdr>
      </w:pPr>
      <w:r w:rsidRPr="00731FE2">
        <w:rPr>
          <w:rFonts w:ascii="Times New Roman" w:eastAsia="Times New Roman" w:hAnsi="Times New Roman" w:cs="Times New Roman"/>
          <w:color w:val="000000"/>
        </w:rPr>
        <w:t>Канатная дорога национального парка «Кисловодский» имеет протяженность более 1,7 км (продолжительность пути 8 минут). Нижняя станция расположена у павильона «Храм воздуха», а верхняя – на плато Джинальского хребта у Олимпийского комплекса</w:t>
      </w:r>
      <w:r w:rsidRPr="00731FE2">
        <w:rPr>
          <w:rFonts w:ascii="Times New Roman" w:eastAsia="Times New Roman" w:hAnsi="Times New Roman" w:cs="Times New Roman"/>
          <w:color w:val="0563C1"/>
          <w:vertAlign w:val="superscript"/>
        </w:rPr>
        <w:footnoteReference w:id="63"/>
      </w:r>
      <w:r w:rsidRPr="00731FE2">
        <w:rPr>
          <w:rFonts w:ascii="Times New Roman" w:eastAsia="Times New Roman" w:hAnsi="Times New Roman" w:cs="Times New Roman"/>
          <w:color w:val="000000"/>
        </w:rPr>
        <w:t>.</w:t>
      </w:r>
    </w:p>
    <w:p w14:paraId="031CAC0F" w14:textId="77777777" w:rsidR="00171AA8" w:rsidRPr="00731FE2" w:rsidRDefault="007935AB">
      <w:pPr>
        <w:pBdr>
          <w:top w:val="none" w:sz="4" w:space="0" w:color="000000"/>
          <w:left w:val="none" w:sz="4" w:space="0" w:color="000000"/>
          <w:bottom w:val="none" w:sz="4" w:space="0" w:color="000000"/>
          <w:right w:val="none" w:sz="4" w:space="0" w:color="000000"/>
        </w:pBdr>
        <w:ind w:firstLine="0"/>
      </w:pPr>
      <w:r w:rsidRPr="00731FE2">
        <w:rPr>
          <w:rFonts w:ascii="Times New Roman" w:eastAsia="Times New Roman" w:hAnsi="Times New Roman" w:cs="Times New Roman"/>
          <w:color w:val="000000"/>
        </w:rPr>
        <w:lastRenderedPageBreak/>
        <w:t xml:space="preserve">На территории городского округа объекты трубопроводного транспорта (газопроводы и нефтепроводы) отсутствуют, за исключением минералопроводов, </w:t>
      </w:r>
      <w:proofErr w:type="gramStart"/>
      <w:r w:rsidRPr="00731FE2">
        <w:rPr>
          <w:rFonts w:ascii="Times New Roman" w:eastAsia="Times New Roman" w:hAnsi="Times New Roman" w:cs="Times New Roman"/>
          <w:color w:val="000000"/>
        </w:rPr>
        <w:t>обеспечивающих</w:t>
      </w:r>
      <w:proofErr w:type="gramEnd"/>
      <w:r w:rsidRPr="00731FE2">
        <w:rPr>
          <w:rFonts w:ascii="Times New Roman" w:eastAsia="Times New Roman" w:hAnsi="Times New Roman" w:cs="Times New Roman"/>
          <w:color w:val="000000"/>
        </w:rPr>
        <w:t xml:space="preserve"> поставку минеральной воды.</w:t>
      </w:r>
    </w:p>
    <w:p w14:paraId="7E016B8D" w14:textId="77777777" w:rsidR="00171AA8" w:rsidRPr="00731FE2" w:rsidRDefault="007935AB">
      <w:pPr>
        <w:pStyle w:val="33"/>
        <w:rPr>
          <w:rFonts w:ascii="Times New Roman" w:hAnsi="Times New Roman" w:cs="Times New Roman"/>
        </w:rPr>
      </w:pPr>
      <w:bookmarkStart w:id="45" w:name="_Toc177392796"/>
      <w:r w:rsidRPr="00731FE2">
        <w:rPr>
          <w:rFonts w:ascii="Times New Roman" w:hAnsi="Times New Roman" w:cs="Times New Roman"/>
        </w:rPr>
        <w:t>2.10.4 Объекты транспортно-дорожного сервиса</w:t>
      </w:r>
      <w:bookmarkEnd w:id="45"/>
    </w:p>
    <w:p w14:paraId="1787F198" w14:textId="77777777" w:rsidR="00171AA8" w:rsidRPr="00731FE2" w:rsidRDefault="007935AB">
      <w:pPr>
        <w:pBdr>
          <w:top w:val="none" w:sz="4" w:space="0" w:color="000000"/>
          <w:left w:val="none" w:sz="4" w:space="0" w:color="000000"/>
          <w:bottom w:val="none" w:sz="4" w:space="0" w:color="000000"/>
          <w:right w:val="none" w:sz="4" w:space="0" w:color="000000"/>
        </w:pBdr>
      </w:pPr>
      <w:r w:rsidRPr="00731FE2">
        <w:rPr>
          <w:rFonts w:ascii="Times New Roman" w:eastAsia="Times New Roman" w:hAnsi="Times New Roman" w:cs="Times New Roman"/>
          <w:color w:val="000000"/>
        </w:rPr>
        <w:t>Городской округ «город-курорт Кисловодск» располагает различными объектами транспортно-дорожного сервиса.</w:t>
      </w:r>
    </w:p>
    <w:p w14:paraId="554C17E1" w14:textId="77777777" w:rsidR="00171AA8" w:rsidRPr="00731FE2" w:rsidRDefault="007935AB">
      <w:pPr>
        <w:pBdr>
          <w:top w:val="none" w:sz="4" w:space="0" w:color="000000"/>
          <w:left w:val="none" w:sz="4" w:space="0" w:color="000000"/>
          <w:bottom w:val="none" w:sz="4" w:space="0" w:color="000000"/>
          <w:right w:val="none" w:sz="4" w:space="0" w:color="000000"/>
        </w:pBdr>
      </w:pPr>
      <w:r w:rsidRPr="00731FE2">
        <w:rPr>
          <w:rFonts w:ascii="Times New Roman" w:eastAsia="Times New Roman" w:hAnsi="Times New Roman" w:cs="Times New Roman"/>
          <w:color w:val="000000"/>
        </w:rPr>
        <w:t>По данным Федеральной службы государственной статистики на 2022 г. в пределах городского округа отмечалось 14 ед. автозаправочных станций (АЗС), из которых:</w:t>
      </w:r>
    </w:p>
    <w:p w14:paraId="633CED66" w14:textId="77777777" w:rsidR="00171AA8" w:rsidRPr="00731FE2" w:rsidRDefault="007935AB" w:rsidP="007832E7">
      <w:pPr>
        <w:pStyle w:val="a3"/>
        <w:numPr>
          <w:ilvl w:val="0"/>
          <w:numId w:val="37"/>
        </w:numPr>
        <w:pBdr>
          <w:top w:val="none" w:sz="4" w:space="0" w:color="000000"/>
          <w:left w:val="none" w:sz="4" w:space="0" w:color="000000"/>
          <w:bottom w:val="none" w:sz="4" w:space="0" w:color="000000"/>
          <w:right w:val="none" w:sz="4" w:space="0" w:color="000000"/>
        </w:pBdr>
        <w:tabs>
          <w:tab w:val="left" w:pos="993"/>
        </w:tabs>
        <w:ind w:left="0" w:firstLine="709"/>
      </w:pPr>
      <w:r w:rsidRPr="00731FE2">
        <w:rPr>
          <w:rFonts w:ascii="Times New Roman" w:eastAsia="Times New Roman" w:hAnsi="Times New Roman" w:cs="Times New Roman"/>
          <w:color w:val="000000"/>
        </w:rPr>
        <w:t>многотопливные заправочные станции (МТЗС) – 7 ед.;</w:t>
      </w:r>
    </w:p>
    <w:p w14:paraId="336C5A04" w14:textId="77777777" w:rsidR="00171AA8" w:rsidRPr="00731FE2" w:rsidRDefault="007935AB" w:rsidP="007832E7">
      <w:pPr>
        <w:pStyle w:val="a3"/>
        <w:numPr>
          <w:ilvl w:val="0"/>
          <w:numId w:val="37"/>
        </w:numPr>
        <w:pBdr>
          <w:top w:val="none" w:sz="4" w:space="0" w:color="000000"/>
          <w:left w:val="none" w:sz="4" w:space="0" w:color="000000"/>
          <w:bottom w:val="none" w:sz="4" w:space="0" w:color="000000"/>
          <w:right w:val="none" w:sz="4" w:space="0" w:color="000000"/>
        </w:pBdr>
        <w:tabs>
          <w:tab w:val="left" w:pos="993"/>
        </w:tabs>
        <w:ind w:left="0" w:firstLine="709"/>
      </w:pPr>
      <w:r w:rsidRPr="00731FE2">
        <w:rPr>
          <w:rFonts w:ascii="Times New Roman" w:eastAsia="Times New Roman" w:hAnsi="Times New Roman" w:cs="Times New Roman"/>
          <w:color w:val="000000"/>
        </w:rPr>
        <w:t>автомобильные газозаправочные станции (АГЗС) – 5 ед.;</w:t>
      </w:r>
    </w:p>
    <w:p w14:paraId="5EC61DDF" w14:textId="77777777" w:rsidR="00171AA8" w:rsidRPr="00731FE2" w:rsidRDefault="007935AB" w:rsidP="007832E7">
      <w:pPr>
        <w:pStyle w:val="a3"/>
        <w:numPr>
          <w:ilvl w:val="0"/>
          <w:numId w:val="37"/>
        </w:numPr>
        <w:pBdr>
          <w:top w:val="none" w:sz="4" w:space="0" w:color="000000"/>
          <w:left w:val="none" w:sz="4" w:space="0" w:color="000000"/>
          <w:bottom w:val="none" w:sz="4" w:space="0" w:color="000000"/>
          <w:right w:val="none" w:sz="4" w:space="0" w:color="000000"/>
        </w:pBdr>
        <w:tabs>
          <w:tab w:val="left" w:pos="993"/>
        </w:tabs>
        <w:ind w:left="0" w:firstLine="709"/>
      </w:pPr>
      <w:r w:rsidRPr="00731FE2">
        <w:rPr>
          <w:rFonts w:ascii="Times New Roman" w:eastAsia="Times New Roman" w:hAnsi="Times New Roman" w:cs="Times New Roman"/>
          <w:color w:val="000000"/>
        </w:rPr>
        <w:t>электрозаправочные станции (ЭЗС) – 2 ед.</w:t>
      </w:r>
    </w:p>
    <w:p w14:paraId="7174ECB8" w14:textId="77777777" w:rsidR="00171AA8" w:rsidRPr="00731FE2" w:rsidRDefault="007935AB">
      <w:pPr>
        <w:pBdr>
          <w:top w:val="none" w:sz="4" w:space="0" w:color="000000"/>
          <w:left w:val="none" w:sz="4" w:space="0" w:color="000000"/>
          <w:bottom w:val="none" w:sz="4" w:space="0" w:color="000000"/>
          <w:right w:val="none" w:sz="4" w:space="0" w:color="000000"/>
        </w:pBdr>
      </w:pPr>
      <w:r w:rsidRPr="00731FE2">
        <w:rPr>
          <w:rFonts w:ascii="Times New Roman" w:eastAsia="Times New Roman" w:hAnsi="Times New Roman" w:cs="Times New Roman"/>
          <w:color w:val="000000"/>
        </w:rPr>
        <w:t xml:space="preserve">Данные </w:t>
      </w:r>
      <w:proofErr w:type="gramStart"/>
      <w:r w:rsidRPr="00731FE2">
        <w:rPr>
          <w:rFonts w:ascii="Times New Roman" w:eastAsia="Times New Roman" w:hAnsi="Times New Roman" w:cs="Times New Roman"/>
          <w:color w:val="000000"/>
        </w:rPr>
        <w:t>о</w:t>
      </w:r>
      <w:proofErr w:type="gramEnd"/>
      <w:r w:rsidRPr="00731FE2">
        <w:rPr>
          <w:rFonts w:ascii="Times New Roman" w:eastAsia="Times New Roman" w:hAnsi="Times New Roman" w:cs="Times New Roman"/>
          <w:color w:val="000000"/>
        </w:rPr>
        <w:t xml:space="preserve"> их местоположении и наименовании в таблице ниже.</w:t>
      </w:r>
    </w:p>
    <w:p w14:paraId="2DAA4096" w14:textId="77777777" w:rsidR="00171AA8" w:rsidRPr="00731FE2" w:rsidRDefault="00171AA8">
      <w:pPr>
        <w:rPr>
          <w:rFonts w:ascii="Times New Roman" w:hAnsi="Times New Roman" w:cs="Times New Roman"/>
          <w:color w:val="000000" w:themeColor="text1"/>
        </w:rPr>
      </w:pPr>
    </w:p>
    <w:p w14:paraId="777C8A23" w14:textId="77777777" w:rsidR="00171AA8" w:rsidRPr="00731FE2" w:rsidRDefault="007935AB" w:rsidP="00A72799">
      <w:pPr>
        <w:pBdr>
          <w:top w:val="none" w:sz="4" w:space="0" w:color="000000"/>
          <w:left w:val="none" w:sz="4" w:space="0" w:color="000000"/>
          <w:bottom w:val="none" w:sz="4" w:space="0" w:color="000000"/>
          <w:right w:val="none" w:sz="4" w:space="0" w:color="000000"/>
        </w:pBdr>
        <w:spacing w:line="240" w:lineRule="auto"/>
        <w:ind w:firstLine="0"/>
        <w:rPr>
          <w:rFonts w:ascii="Times New Roman" w:hAnsi="Times New Roman" w:cs="Times New Roman"/>
          <w:b/>
          <w:bCs/>
          <w:color w:val="000000" w:themeColor="text1"/>
          <w:szCs w:val="24"/>
        </w:rPr>
      </w:pPr>
      <w:r w:rsidRPr="00731FE2">
        <w:rPr>
          <w:rFonts w:ascii="Times New Roman" w:eastAsia="Times New Roman" w:hAnsi="Times New Roman" w:cs="Times New Roman"/>
          <w:b/>
          <w:bCs/>
          <w:color w:val="000000" w:themeColor="text1"/>
          <w:szCs w:val="24"/>
        </w:rPr>
        <w:t xml:space="preserve">Таблица </w:t>
      </w:r>
      <w:r w:rsidRPr="00731FE2">
        <w:rPr>
          <w:rFonts w:ascii="Times New Roman" w:eastAsia="Times New Roman" w:hAnsi="Times New Roman" w:cs="Times New Roman"/>
          <w:b/>
          <w:bCs/>
          <w:color w:val="000000" w:themeColor="text1"/>
          <w:szCs w:val="24"/>
        </w:rPr>
        <w:fldChar w:fldCharType="begin"/>
      </w:r>
      <w:r w:rsidRPr="00731FE2">
        <w:rPr>
          <w:rFonts w:ascii="Times New Roman" w:eastAsia="Times New Roman" w:hAnsi="Times New Roman" w:cs="Times New Roman"/>
          <w:b/>
          <w:bCs/>
          <w:color w:val="000000" w:themeColor="text1"/>
          <w:szCs w:val="24"/>
        </w:rPr>
        <w:instrText xml:space="preserve"> SEQ Таблица \* Arabic </w:instrText>
      </w:r>
      <w:r w:rsidRPr="00731FE2">
        <w:rPr>
          <w:rFonts w:ascii="Times New Roman" w:eastAsia="Times New Roman" w:hAnsi="Times New Roman" w:cs="Times New Roman"/>
          <w:b/>
          <w:bCs/>
          <w:color w:val="000000" w:themeColor="text1"/>
          <w:szCs w:val="24"/>
        </w:rPr>
        <w:fldChar w:fldCharType="separate"/>
      </w:r>
      <w:r w:rsidR="00C50915" w:rsidRPr="00731FE2">
        <w:rPr>
          <w:rFonts w:ascii="Times New Roman" w:eastAsia="Times New Roman" w:hAnsi="Times New Roman" w:cs="Times New Roman"/>
          <w:b/>
          <w:bCs/>
          <w:noProof/>
          <w:color w:val="000000" w:themeColor="text1"/>
          <w:szCs w:val="24"/>
        </w:rPr>
        <w:t>32</w:t>
      </w:r>
      <w:r w:rsidRPr="00731FE2">
        <w:rPr>
          <w:rFonts w:ascii="Times New Roman" w:eastAsia="Times New Roman" w:hAnsi="Times New Roman" w:cs="Times New Roman"/>
          <w:b/>
          <w:bCs/>
          <w:color w:val="000000" w:themeColor="text1"/>
          <w:szCs w:val="24"/>
        </w:rPr>
        <w:fldChar w:fldCharType="end"/>
      </w:r>
      <w:r w:rsidRPr="00731FE2">
        <w:rPr>
          <w:rFonts w:ascii="Times New Roman" w:eastAsia="Times New Roman" w:hAnsi="Times New Roman" w:cs="Times New Roman"/>
          <w:b/>
          <w:bCs/>
          <w:color w:val="000000" w:themeColor="text1"/>
          <w:szCs w:val="24"/>
        </w:rPr>
        <w:t xml:space="preserve"> – Перечень автозаправочных станций на территории городского округа «город-курорт Кисловодск», 2024 г.</w:t>
      </w:r>
      <w:r w:rsidRPr="00731FE2">
        <w:rPr>
          <w:rFonts w:ascii="Times New Roman" w:eastAsia="Times New Roman" w:hAnsi="Times New Roman" w:cs="Times New Roman"/>
          <w:b/>
          <w:bCs/>
          <w:color w:val="000000" w:themeColor="text1"/>
          <w:szCs w:val="24"/>
          <w:vertAlign w:val="superscript"/>
        </w:rPr>
        <w:footnoteReference w:id="64"/>
      </w:r>
    </w:p>
    <w:tbl>
      <w:tblPr>
        <w:tblStyle w:val="afe"/>
        <w:tblW w:w="0" w:type="auto"/>
        <w:tblLayout w:type="fixed"/>
        <w:tblCellMar>
          <w:left w:w="57" w:type="dxa"/>
          <w:right w:w="57" w:type="dxa"/>
        </w:tblCellMar>
        <w:tblLook w:val="04A0" w:firstRow="1" w:lastRow="0" w:firstColumn="1" w:lastColumn="0" w:noHBand="0" w:noVBand="1"/>
      </w:tblPr>
      <w:tblGrid>
        <w:gridCol w:w="386"/>
        <w:gridCol w:w="1673"/>
        <w:gridCol w:w="7304"/>
      </w:tblGrid>
      <w:tr w:rsidR="00171AA8" w:rsidRPr="00731FE2" w14:paraId="50F4E48F" w14:textId="77777777">
        <w:trPr>
          <w:trHeight w:val="511"/>
        </w:trPr>
        <w:tc>
          <w:tcPr>
            <w:tcW w:w="386" w:type="dxa"/>
            <w:vAlign w:val="center"/>
          </w:tcPr>
          <w:p w14:paraId="7FCC642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2"/>
              </w:rPr>
            </w:pPr>
            <w:r w:rsidRPr="00731FE2">
              <w:rPr>
                <w:rFonts w:ascii="Times New Roman" w:eastAsia="Times New Roman" w:hAnsi="Times New Roman" w:cs="Times New Roman"/>
                <w:b/>
                <w:color w:val="000000"/>
                <w:sz w:val="22"/>
              </w:rPr>
              <w:t>№</w:t>
            </w:r>
          </w:p>
        </w:tc>
        <w:tc>
          <w:tcPr>
            <w:tcW w:w="1673" w:type="dxa"/>
            <w:vAlign w:val="center"/>
          </w:tcPr>
          <w:p w14:paraId="5F2A83A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2"/>
              </w:rPr>
            </w:pPr>
            <w:r w:rsidRPr="00731FE2">
              <w:rPr>
                <w:rFonts w:ascii="Times New Roman" w:eastAsia="Times New Roman" w:hAnsi="Times New Roman" w:cs="Times New Roman"/>
                <w:b/>
                <w:color w:val="000000"/>
                <w:sz w:val="22"/>
              </w:rPr>
              <w:t>Наименование АЗС</w:t>
            </w:r>
          </w:p>
        </w:tc>
        <w:tc>
          <w:tcPr>
            <w:tcW w:w="7304" w:type="dxa"/>
            <w:vAlign w:val="center"/>
          </w:tcPr>
          <w:p w14:paraId="7D08AD7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2"/>
              </w:rPr>
            </w:pPr>
            <w:r w:rsidRPr="00731FE2">
              <w:rPr>
                <w:rFonts w:ascii="Times New Roman" w:eastAsia="Times New Roman" w:hAnsi="Times New Roman" w:cs="Times New Roman"/>
                <w:b/>
                <w:color w:val="000000"/>
                <w:sz w:val="22"/>
              </w:rPr>
              <w:t>Местоположение</w:t>
            </w:r>
          </w:p>
        </w:tc>
      </w:tr>
      <w:tr w:rsidR="00171AA8" w:rsidRPr="00731FE2" w14:paraId="60E714FF" w14:textId="77777777">
        <w:trPr>
          <w:trHeight w:val="260"/>
        </w:trPr>
        <w:tc>
          <w:tcPr>
            <w:tcW w:w="386" w:type="dxa"/>
            <w:vAlign w:val="center"/>
          </w:tcPr>
          <w:p w14:paraId="5DF132DD" w14:textId="77777777" w:rsidR="00171AA8" w:rsidRPr="00731FE2" w:rsidRDefault="007935AB" w:rsidP="007832E7">
            <w:pPr>
              <w:numPr>
                <w:ilvl w:val="0"/>
                <w:numId w:val="38"/>
              </w:numPr>
              <w:pBdr>
                <w:top w:val="none" w:sz="4" w:space="0" w:color="000000"/>
                <w:left w:val="none" w:sz="4" w:space="0" w:color="000000"/>
                <w:bottom w:val="none" w:sz="4" w:space="0" w:color="000000"/>
                <w:right w:val="none" w:sz="4" w:space="0" w:color="000000"/>
              </w:pBdr>
              <w:ind w:left="0" w:firstLine="0"/>
              <w:rPr>
                <w:sz w:val="22"/>
              </w:rPr>
            </w:pPr>
            <w:r w:rsidRPr="00731FE2">
              <w:rPr>
                <w:rFonts w:ascii="Times New Roman" w:eastAsia="Times New Roman" w:hAnsi="Times New Roman" w:cs="Times New Roman"/>
                <w:color w:val="000000"/>
                <w:sz w:val="22"/>
              </w:rPr>
              <w:t> </w:t>
            </w:r>
          </w:p>
        </w:tc>
        <w:tc>
          <w:tcPr>
            <w:tcW w:w="1673" w:type="dxa"/>
            <w:vAlign w:val="center"/>
          </w:tcPr>
          <w:p w14:paraId="09393E3A" w14:textId="77777777" w:rsidR="00171AA8" w:rsidRPr="00731FE2" w:rsidRDefault="007935AB">
            <w:pPr>
              <w:pBdr>
                <w:top w:val="none" w:sz="4" w:space="0" w:color="000000"/>
                <w:left w:val="none" w:sz="4" w:space="0" w:color="000000"/>
                <w:bottom w:val="none" w:sz="4" w:space="0" w:color="000000"/>
                <w:right w:val="none" w:sz="4" w:space="0" w:color="000000"/>
              </w:pBdr>
              <w:ind w:firstLine="0"/>
            </w:pPr>
            <w:r w:rsidRPr="00731FE2">
              <w:rPr>
                <w:rFonts w:ascii="Times New Roman" w:eastAsia="Times New Roman" w:hAnsi="Times New Roman" w:cs="Times New Roman"/>
                <w:color w:val="000000"/>
                <w:sz w:val="22"/>
              </w:rPr>
              <w:t>«Роснефть»</w:t>
            </w:r>
          </w:p>
        </w:tc>
        <w:tc>
          <w:tcPr>
            <w:tcW w:w="7304" w:type="dxa"/>
            <w:vAlign w:val="center"/>
          </w:tcPr>
          <w:p w14:paraId="7414E6CC" w14:textId="77777777" w:rsidR="00171AA8" w:rsidRPr="00731FE2" w:rsidRDefault="007935AB">
            <w:pPr>
              <w:pBdr>
                <w:top w:val="none" w:sz="4" w:space="0" w:color="000000"/>
                <w:left w:val="none" w:sz="4" w:space="0" w:color="000000"/>
                <w:bottom w:val="none" w:sz="4" w:space="0" w:color="000000"/>
                <w:right w:val="none" w:sz="4" w:space="0" w:color="000000"/>
              </w:pBdr>
              <w:ind w:firstLine="0"/>
            </w:pPr>
            <w:r w:rsidRPr="00731FE2">
              <w:rPr>
                <w:rFonts w:ascii="Times New Roman" w:eastAsia="Times New Roman" w:hAnsi="Times New Roman" w:cs="Times New Roman"/>
                <w:color w:val="000000"/>
                <w:sz w:val="22"/>
              </w:rPr>
              <w:t>пр. Победы, 8А, г. Кисловодск</w:t>
            </w:r>
          </w:p>
        </w:tc>
      </w:tr>
      <w:tr w:rsidR="00171AA8" w:rsidRPr="00731FE2" w14:paraId="0426D74C" w14:textId="77777777">
        <w:trPr>
          <w:trHeight w:val="260"/>
        </w:trPr>
        <w:tc>
          <w:tcPr>
            <w:tcW w:w="386" w:type="dxa"/>
            <w:vAlign w:val="center"/>
          </w:tcPr>
          <w:p w14:paraId="1C1D6244" w14:textId="77777777" w:rsidR="00171AA8" w:rsidRPr="00731FE2" w:rsidRDefault="007935AB" w:rsidP="007832E7">
            <w:pPr>
              <w:numPr>
                <w:ilvl w:val="0"/>
                <w:numId w:val="38"/>
              </w:numPr>
              <w:pBdr>
                <w:top w:val="none" w:sz="4" w:space="0" w:color="000000"/>
                <w:left w:val="none" w:sz="4" w:space="0" w:color="000000"/>
                <w:bottom w:val="none" w:sz="4" w:space="0" w:color="000000"/>
                <w:right w:val="none" w:sz="4" w:space="0" w:color="000000"/>
              </w:pBdr>
              <w:ind w:left="0" w:firstLine="0"/>
              <w:rPr>
                <w:sz w:val="22"/>
              </w:rPr>
            </w:pPr>
            <w:r w:rsidRPr="00731FE2">
              <w:rPr>
                <w:rFonts w:ascii="Times New Roman" w:eastAsia="Times New Roman" w:hAnsi="Times New Roman" w:cs="Times New Roman"/>
                <w:color w:val="000000"/>
                <w:sz w:val="22"/>
              </w:rPr>
              <w:t> </w:t>
            </w:r>
          </w:p>
        </w:tc>
        <w:tc>
          <w:tcPr>
            <w:tcW w:w="1673" w:type="dxa"/>
            <w:vAlign w:val="center"/>
          </w:tcPr>
          <w:p w14:paraId="2E4F8633" w14:textId="77777777" w:rsidR="00171AA8" w:rsidRPr="00731FE2" w:rsidRDefault="007935AB">
            <w:pPr>
              <w:pBdr>
                <w:top w:val="none" w:sz="4" w:space="0" w:color="000000"/>
                <w:left w:val="none" w:sz="4" w:space="0" w:color="000000"/>
                <w:bottom w:val="none" w:sz="4" w:space="0" w:color="000000"/>
                <w:right w:val="none" w:sz="4" w:space="0" w:color="000000"/>
              </w:pBdr>
              <w:ind w:firstLine="0"/>
            </w:pPr>
            <w:r w:rsidRPr="00731FE2">
              <w:rPr>
                <w:rFonts w:ascii="Times New Roman" w:eastAsia="Times New Roman" w:hAnsi="Times New Roman" w:cs="Times New Roman"/>
                <w:color w:val="000000"/>
                <w:sz w:val="22"/>
              </w:rPr>
              <w:t>«Роснефть»</w:t>
            </w:r>
          </w:p>
        </w:tc>
        <w:tc>
          <w:tcPr>
            <w:tcW w:w="7304" w:type="dxa"/>
            <w:vAlign w:val="center"/>
          </w:tcPr>
          <w:p w14:paraId="3BDC0E8C" w14:textId="77777777" w:rsidR="00171AA8" w:rsidRPr="00731FE2" w:rsidRDefault="007935AB">
            <w:pPr>
              <w:pBdr>
                <w:top w:val="none" w:sz="4" w:space="0" w:color="000000"/>
                <w:left w:val="none" w:sz="4" w:space="0" w:color="000000"/>
                <w:bottom w:val="none" w:sz="4" w:space="0" w:color="000000"/>
                <w:right w:val="none" w:sz="4" w:space="0" w:color="000000"/>
              </w:pBdr>
              <w:ind w:firstLine="0"/>
            </w:pPr>
            <w:r w:rsidRPr="00731FE2">
              <w:rPr>
                <w:rFonts w:ascii="Times New Roman" w:eastAsia="Times New Roman" w:hAnsi="Times New Roman" w:cs="Times New Roman"/>
                <w:color w:val="000000"/>
                <w:sz w:val="22"/>
              </w:rPr>
              <w:t xml:space="preserve">ул. </w:t>
            </w:r>
            <w:proofErr w:type="gramStart"/>
            <w:r w:rsidRPr="00731FE2">
              <w:rPr>
                <w:rFonts w:ascii="Times New Roman" w:eastAsia="Times New Roman" w:hAnsi="Times New Roman" w:cs="Times New Roman"/>
                <w:color w:val="000000"/>
                <w:sz w:val="22"/>
              </w:rPr>
              <w:t>Промышленная</w:t>
            </w:r>
            <w:proofErr w:type="gramEnd"/>
            <w:r w:rsidRPr="00731FE2">
              <w:rPr>
                <w:rFonts w:ascii="Times New Roman" w:eastAsia="Times New Roman" w:hAnsi="Times New Roman" w:cs="Times New Roman"/>
                <w:color w:val="000000"/>
                <w:sz w:val="22"/>
              </w:rPr>
              <w:t>, 1Б, г. Кисловодск</w:t>
            </w:r>
          </w:p>
        </w:tc>
      </w:tr>
      <w:tr w:rsidR="00171AA8" w:rsidRPr="00731FE2" w14:paraId="6FAE0B43" w14:textId="77777777">
        <w:trPr>
          <w:trHeight w:val="260"/>
        </w:trPr>
        <w:tc>
          <w:tcPr>
            <w:tcW w:w="386" w:type="dxa"/>
            <w:vAlign w:val="center"/>
          </w:tcPr>
          <w:p w14:paraId="611E2831" w14:textId="77777777" w:rsidR="00171AA8" w:rsidRPr="00731FE2" w:rsidRDefault="007935AB" w:rsidP="007832E7">
            <w:pPr>
              <w:numPr>
                <w:ilvl w:val="0"/>
                <w:numId w:val="38"/>
              </w:numPr>
              <w:pBdr>
                <w:top w:val="none" w:sz="4" w:space="0" w:color="000000"/>
                <w:left w:val="none" w:sz="4" w:space="0" w:color="000000"/>
                <w:bottom w:val="none" w:sz="4" w:space="0" w:color="000000"/>
                <w:right w:val="none" w:sz="4" w:space="0" w:color="000000"/>
              </w:pBdr>
              <w:ind w:left="0" w:firstLine="0"/>
              <w:rPr>
                <w:sz w:val="22"/>
              </w:rPr>
            </w:pPr>
            <w:r w:rsidRPr="00731FE2">
              <w:rPr>
                <w:rFonts w:ascii="Times New Roman" w:eastAsia="Times New Roman" w:hAnsi="Times New Roman" w:cs="Times New Roman"/>
                <w:color w:val="000000"/>
                <w:sz w:val="22"/>
              </w:rPr>
              <w:t> </w:t>
            </w:r>
          </w:p>
        </w:tc>
        <w:tc>
          <w:tcPr>
            <w:tcW w:w="1673" w:type="dxa"/>
            <w:vAlign w:val="center"/>
          </w:tcPr>
          <w:p w14:paraId="5CF8D8BC" w14:textId="77777777" w:rsidR="00171AA8" w:rsidRPr="00731FE2" w:rsidRDefault="007935AB">
            <w:pPr>
              <w:pBdr>
                <w:top w:val="none" w:sz="4" w:space="0" w:color="000000"/>
                <w:left w:val="none" w:sz="4" w:space="0" w:color="000000"/>
                <w:bottom w:val="none" w:sz="4" w:space="0" w:color="000000"/>
                <w:right w:val="none" w:sz="4" w:space="0" w:color="000000"/>
              </w:pBdr>
              <w:ind w:firstLine="0"/>
            </w:pPr>
            <w:r w:rsidRPr="00731FE2">
              <w:rPr>
                <w:rFonts w:ascii="Times New Roman" w:eastAsia="Times New Roman" w:hAnsi="Times New Roman" w:cs="Times New Roman"/>
                <w:color w:val="000000"/>
                <w:sz w:val="22"/>
              </w:rPr>
              <w:t>«Роснефть»</w:t>
            </w:r>
          </w:p>
        </w:tc>
        <w:tc>
          <w:tcPr>
            <w:tcW w:w="7304" w:type="dxa"/>
            <w:vAlign w:val="center"/>
          </w:tcPr>
          <w:p w14:paraId="519F8494" w14:textId="77777777" w:rsidR="00171AA8" w:rsidRPr="00731FE2" w:rsidRDefault="007935AB">
            <w:pPr>
              <w:pBdr>
                <w:top w:val="none" w:sz="4" w:space="0" w:color="000000"/>
                <w:left w:val="none" w:sz="4" w:space="0" w:color="000000"/>
                <w:bottom w:val="none" w:sz="4" w:space="0" w:color="000000"/>
                <w:right w:val="none" w:sz="4" w:space="0" w:color="000000"/>
              </w:pBdr>
              <w:ind w:firstLine="0"/>
            </w:pPr>
            <w:r w:rsidRPr="00731FE2">
              <w:rPr>
                <w:rFonts w:ascii="Times New Roman" w:eastAsia="Times New Roman" w:hAnsi="Times New Roman" w:cs="Times New Roman"/>
                <w:color w:val="000000"/>
                <w:sz w:val="22"/>
              </w:rPr>
              <w:t xml:space="preserve">ул. </w:t>
            </w:r>
            <w:r w:rsidR="002455DE" w:rsidRPr="00731FE2">
              <w:rPr>
                <w:rFonts w:ascii="Times New Roman" w:eastAsia="Times New Roman" w:hAnsi="Times New Roman" w:cs="Times New Roman"/>
                <w:color w:val="000000"/>
                <w:sz w:val="22"/>
              </w:rPr>
              <w:t>Кисловодская,</w:t>
            </w:r>
            <w:r w:rsidRPr="00731FE2">
              <w:rPr>
                <w:rFonts w:ascii="Times New Roman" w:eastAsia="Times New Roman" w:hAnsi="Times New Roman" w:cs="Times New Roman"/>
                <w:color w:val="000000"/>
                <w:sz w:val="22"/>
              </w:rPr>
              <w:t xml:space="preserve"> 6А, п. Белореченский</w:t>
            </w:r>
          </w:p>
        </w:tc>
      </w:tr>
      <w:tr w:rsidR="00171AA8" w:rsidRPr="00731FE2" w14:paraId="6E106A41" w14:textId="77777777">
        <w:trPr>
          <w:trHeight w:val="260"/>
        </w:trPr>
        <w:tc>
          <w:tcPr>
            <w:tcW w:w="386" w:type="dxa"/>
            <w:vAlign w:val="center"/>
          </w:tcPr>
          <w:p w14:paraId="02F2FFF5" w14:textId="77777777" w:rsidR="00171AA8" w:rsidRPr="00731FE2" w:rsidRDefault="007935AB" w:rsidP="007832E7">
            <w:pPr>
              <w:numPr>
                <w:ilvl w:val="0"/>
                <w:numId w:val="38"/>
              </w:numPr>
              <w:pBdr>
                <w:top w:val="none" w:sz="4" w:space="0" w:color="000000"/>
                <w:left w:val="none" w:sz="4" w:space="0" w:color="000000"/>
                <w:bottom w:val="none" w:sz="4" w:space="0" w:color="000000"/>
                <w:right w:val="none" w:sz="4" w:space="0" w:color="000000"/>
              </w:pBdr>
              <w:ind w:left="0" w:firstLine="0"/>
              <w:rPr>
                <w:sz w:val="22"/>
              </w:rPr>
            </w:pPr>
            <w:r w:rsidRPr="00731FE2">
              <w:rPr>
                <w:rFonts w:ascii="Times New Roman" w:eastAsia="Times New Roman" w:hAnsi="Times New Roman" w:cs="Times New Roman"/>
                <w:color w:val="000000"/>
                <w:sz w:val="22"/>
              </w:rPr>
              <w:t> </w:t>
            </w:r>
          </w:p>
        </w:tc>
        <w:tc>
          <w:tcPr>
            <w:tcW w:w="1673" w:type="dxa"/>
            <w:vAlign w:val="center"/>
          </w:tcPr>
          <w:p w14:paraId="3F51FBCC" w14:textId="77777777" w:rsidR="00171AA8" w:rsidRPr="00731FE2" w:rsidRDefault="007935AB">
            <w:pPr>
              <w:pBdr>
                <w:top w:val="none" w:sz="4" w:space="0" w:color="000000"/>
                <w:left w:val="none" w:sz="4" w:space="0" w:color="000000"/>
                <w:bottom w:val="none" w:sz="4" w:space="0" w:color="000000"/>
                <w:right w:val="none" w:sz="4" w:space="0" w:color="000000"/>
              </w:pBdr>
              <w:ind w:firstLine="0"/>
            </w:pPr>
            <w:r w:rsidRPr="00731FE2">
              <w:rPr>
                <w:rFonts w:ascii="Times New Roman" w:eastAsia="Times New Roman" w:hAnsi="Times New Roman" w:cs="Times New Roman"/>
                <w:color w:val="000000"/>
                <w:sz w:val="22"/>
              </w:rPr>
              <w:t>«Роснефть»</w:t>
            </w:r>
          </w:p>
        </w:tc>
        <w:tc>
          <w:tcPr>
            <w:tcW w:w="7304" w:type="dxa"/>
            <w:vAlign w:val="center"/>
          </w:tcPr>
          <w:p w14:paraId="473597E1" w14:textId="77777777" w:rsidR="00171AA8" w:rsidRPr="00731FE2" w:rsidRDefault="007935AB">
            <w:pPr>
              <w:pBdr>
                <w:top w:val="none" w:sz="4" w:space="0" w:color="000000"/>
                <w:left w:val="none" w:sz="4" w:space="0" w:color="000000"/>
                <w:bottom w:val="none" w:sz="4" w:space="0" w:color="000000"/>
                <w:right w:val="none" w:sz="4" w:space="0" w:color="000000"/>
              </w:pBdr>
              <w:ind w:firstLine="0"/>
            </w:pPr>
            <w:r w:rsidRPr="00731FE2">
              <w:rPr>
                <w:rFonts w:ascii="Times New Roman" w:eastAsia="Times New Roman" w:hAnsi="Times New Roman" w:cs="Times New Roman"/>
                <w:color w:val="000000"/>
                <w:sz w:val="22"/>
              </w:rPr>
              <w:t>пр. Победы, 151А, г. Кисловодск</w:t>
            </w:r>
          </w:p>
        </w:tc>
      </w:tr>
      <w:tr w:rsidR="00171AA8" w:rsidRPr="00731FE2" w14:paraId="74B8D520" w14:textId="77777777">
        <w:trPr>
          <w:trHeight w:val="260"/>
        </w:trPr>
        <w:tc>
          <w:tcPr>
            <w:tcW w:w="386" w:type="dxa"/>
            <w:vAlign w:val="center"/>
          </w:tcPr>
          <w:p w14:paraId="06C91F73" w14:textId="77777777" w:rsidR="00171AA8" w:rsidRPr="00731FE2" w:rsidRDefault="007935AB" w:rsidP="007832E7">
            <w:pPr>
              <w:numPr>
                <w:ilvl w:val="0"/>
                <w:numId w:val="38"/>
              </w:numPr>
              <w:pBdr>
                <w:top w:val="none" w:sz="4" w:space="0" w:color="000000"/>
                <w:left w:val="none" w:sz="4" w:space="0" w:color="000000"/>
                <w:bottom w:val="none" w:sz="4" w:space="0" w:color="000000"/>
                <w:right w:val="none" w:sz="4" w:space="0" w:color="000000"/>
              </w:pBdr>
              <w:ind w:left="0" w:firstLine="0"/>
              <w:rPr>
                <w:sz w:val="22"/>
              </w:rPr>
            </w:pPr>
            <w:r w:rsidRPr="00731FE2">
              <w:rPr>
                <w:rFonts w:ascii="Times New Roman" w:eastAsia="Times New Roman" w:hAnsi="Times New Roman" w:cs="Times New Roman"/>
                <w:color w:val="000000"/>
                <w:sz w:val="22"/>
              </w:rPr>
              <w:t> </w:t>
            </w:r>
          </w:p>
        </w:tc>
        <w:tc>
          <w:tcPr>
            <w:tcW w:w="1673" w:type="dxa"/>
            <w:vAlign w:val="center"/>
          </w:tcPr>
          <w:p w14:paraId="6CC83E8A" w14:textId="77777777" w:rsidR="00171AA8" w:rsidRPr="00731FE2" w:rsidRDefault="007935AB">
            <w:pPr>
              <w:pBdr>
                <w:top w:val="none" w:sz="4" w:space="0" w:color="000000"/>
                <w:left w:val="none" w:sz="4" w:space="0" w:color="000000"/>
                <w:bottom w:val="none" w:sz="4" w:space="0" w:color="000000"/>
                <w:right w:val="none" w:sz="4" w:space="0" w:color="000000"/>
              </w:pBdr>
              <w:ind w:firstLine="0"/>
            </w:pPr>
            <w:r w:rsidRPr="00731FE2">
              <w:rPr>
                <w:rFonts w:ascii="Times New Roman" w:eastAsia="Times New Roman" w:hAnsi="Times New Roman" w:cs="Times New Roman"/>
                <w:color w:val="000000"/>
                <w:sz w:val="22"/>
              </w:rPr>
              <w:t>«Роснефть»</w:t>
            </w:r>
          </w:p>
        </w:tc>
        <w:tc>
          <w:tcPr>
            <w:tcW w:w="7304" w:type="dxa"/>
            <w:vAlign w:val="center"/>
          </w:tcPr>
          <w:p w14:paraId="59142413" w14:textId="77777777" w:rsidR="00171AA8" w:rsidRPr="00731FE2" w:rsidRDefault="007935AB">
            <w:pPr>
              <w:pBdr>
                <w:top w:val="none" w:sz="4" w:space="0" w:color="000000"/>
                <w:left w:val="none" w:sz="4" w:space="0" w:color="000000"/>
                <w:bottom w:val="none" w:sz="4" w:space="0" w:color="000000"/>
                <w:right w:val="none" w:sz="4" w:space="0" w:color="000000"/>
              </w:pBdr>
              <w:ind w:firstLine="0"/>
            </w:pPr>
            <w:r w:rsidRPr="00731FE2">
              <w:rPr>
                <w:rFonts w:ascii="Times New Roman" w:eastAsia="Times New Roman" w:hAnsi="Times New Roman" w:cs="Times New Roman"/>
                <w:color w:val="000000"/>
                <w:sz w:val="22"/>
              </w:rPr>
              <w:t xml:space="preserve">ул. </w:t>
            </w:r>
            <w:proofErr w:type="gramStart"/>
            <w:r w:rsidRPr="00731FE2">
              <w:rPr>
                <w:rFonts w:ascii="Times New Roman" w:eastAsia="Times New Roman" w:hAnsi="Times New Roman" w:cs="Times New Roman"/>
                <w:color w:val="000000"/>
                <w:sz w:val="22"/>
              </w:rPr>
              <w:t>Промышленная</w:t>
            </w:r>
            <w:proofErr w:type="gramEnd"/>
            <w:r w:rsidRPr="00731FE2">
              <w:rPr>
                <w:rFonts w:ascii="Times New Roman" w:eastAsia="Times New Roman" w:hAnsi="Times New Roman" w:cs="Times New Roman"/>
                <w:color w:val="000000"/>
                <w:sz w:val="22"/>
              </w:rPr>
              <w:t>, 2Д, г. Кисловодск</w:t>
            </w:r>
          </w:p>
        </w:tc>
      </w:tr>
      <w:tr w:rsidR="00171AA8" w:rsidRPr="00731FE2" w14:paraId="1F163C51" w14:textId="77777777">
        <w:trPr>
          <w:trHeight w:val="260"/>
        </w:trPr>
        <w:tc>
          <w:tcPr>
            <w:tcW w:w="386" w:type="dxa"/>
            <w:vAlign w:val="center"/>
          </w:tcPr>
          <w:p w14:paraId="71D51FDD" w14:textId="77777777" w:rsidR="00171AA8" w:rsidRPr="00731FE2" w:rsidRDefault="007935AB" w:rsidP="007832E7">
            <w:pPr>
              <w:numPr>
                <w:ilvl w:val="0"/>
                <w:numId w:val="38"/>
              </w:numPr>
              <w:pBdr>
                <w:top w:val="none" w:sz="4" w:space="0" w:color="000000"/>
                <w:left w:val="none" w:sz="4" w:space="0" w:color="000000"/>
                <w:bottom w:val="none" w:sz="4" w:space="0" w:color="000000"/>
                <w:right w:val="none" w:sz="4" w:space="0" w:color="000000"/>
              </w:pBdr>
              <w:ind w:left="0" w:firstLine="0"/>
              <w:rPr>
                <w:sz w:val="22"/>
              </w:rPr>
            </w:pPr>
            <w:r w:rsidRPr="00731FE2">
              <w:rPr>
                <w:rFonts w:ascii="Times New Roman" w:eastAsia="Times New Roman" w:hAnsi="Times New Roman" w:cs="Times New Roman"/>
                <w:color w:val="000000"/>
                <w:sz w:val="22"/>
              </w:rPr>
              <w:t> </w:t>
            </w:r>
          </w:p>
        </w:tc>
        <w:tc>
          <w:tcPr>
            <w:tcW w:w="1673" w:type="dxa"/>
            <w:vAlign w:val="center"/>
          </w:tcPr>
          <w:p w14:paraId="18344937" w14:textId="77777777" w:rsidR="00171AA8" w:rsidRPr="00731FE2" w:rsidRDefault="007935AB">
            <w:pPr>
              <w:pBdr>
                <w:top w:val="none" w:sz="4" w:space="0" w:color="000000"/>
                <w:left w:val="none" w:sz="4" w:space="0" w:color="000000"/>
                <w:bottom w:val="none" w:sz="4" w:space="0" w:color="000000"/>
                <w:right w:val="none" w:sz="4" w:space="0" w:color="000000"/>
              </w:pBdr>
              <w:ind w:firstLine="0"/>
            </w:pPr>
            <w:r w:rsidRPr="00731FE2">
              <w:rPr>
                <w:rFonts w:ascii="Times New Roman" w:eastAsia="Times New Roman" w:hAnsi="Times New Roman" w:cs="Times New Roman"/>
                <w:color w:val="000000"/>
                <w:sz w:val="22"/>
              </w:rPr>
              <w:t>«Лукойл»</w:t>
            </w:r>
          </w:p>
        </w:tc>
        <w:tc>
          <w:tcPr>
            <w:tcW w:w="7304" w:type="dxa"/>
            <w:vAlign w:val="center"/>
          </w:tcPr>
          <w:p w14:paraId="28E9740F" w14:textId="77777777" w:rsidR="00171AA8" w:rsidRPr="00731FE2" w:rsidRDefault="007935AB">
            <w:pPr>
              <w:pBdr>
                <w:top w:val="none" w:sz="4" w:space="0" w:color="000000"/>
                <w:left w:val="none" w:sz="4" w:space="0" w:color="000000"/>
                <w:bottom w:val="none" w:sz="4" w:space="0" w:color="000000"/>
                <w:right w:val="none" w:sz="4" w:space="0" w:color="000000"/>
              </w:pBdr>
              <w:ind w:firstLine="0"/>
            </w:pPr>
            <w:r w:rsidRPr="00731FE2">
              <w:rPr>
                <w:rFonts w:ascii="Times New Roman" w:eastAsia="Times New Roman" w:hAnsi="Times New Roman" w:cs="Times New Roman"/>
                <w:color w:val="000000"/>
                <w:sz w:val="22"/>
              </w:rPr>
              <w:t xml:space="preserve">ул. </w:t>
            </w:r>
            <w:proofErr w:type="gramStart"/>
            <w:r w:rsidR="002455DE" w:rsidRPr="00731FE2">
              <w:rPr>
                <w:rFonts w:ascii="Times New Roman" w:eastAsia="Times New Roman" w:hAnsi="Times New Roman" w:cs="Times New Roman"/>
                <w:color w:val="000000"/>
                <w:sz w:val="22"/>
              </w:rPr>
              <w:t>Азербайджанская</w:t>
            </w:r>
            <w:proofErr w:type="gramEnd"/>
            <w:r w:rsidR="002455DE" w:rsidRPr="00731FE2">
              <w:rPr>
                <w:rFonts w:ascii="Times New Roman" w:eastAsia="Times New Roman" w:hAnsi="Times New Roman" w:cs="Times New Roman"/>
                <w:color w:val="000000"/>
                <w:sz w:val="22"/>
              </w:rPr>
              <w:t>,</w:t>
            </w:r>
            <w:r w:rsidRPr="00731FE2">
              <w:rPr>
                <w:rFonts w:ascii="Times New Roman" w:eastAsia="Times New Roman" w:hAnsi="Times New Roman" w:cs="Times New Roman"/>
                <w:color w:val="000000"/>
                <w:sz w:val="22"/>
              </w:rPr>
              <w:t xml:space="preserve"> 76А, г. Кисловодск</w:t>
            </w:r>
          </w:p>
        </w:tc>
      </w:tr>
      <w:tr w:rsidR="00171AA8" w:rsidRPr="00731FE2" w14:paraId="5C3A2E50" w14:textId="77777777">
        <w:trPr>
          <w:trHeight w:val="260"/>
        </w:trPr>
        <w:tc>
          <w:tcPr>
            <w:tcW w:w="386" w:type="dxa"/>
            <w:vAlign w:val="center"/>
          </w:tcPr>
          <w:p w14:paraId="3314B33D" w14:textId="77777777" w:rsidR="00171AA8" w:rsidRPr="00731FE2" w:rsidRDefault="007935AB" w:rsidP="007832E7">
            <w:pPr>
              <w:numPr>
                <w:ilvl w:val="0"/>
                <w:numId w:val="38"/>
              </w:numPr>
              <w:pBdr>
                <w:top w:val="none" w:sz="4" w:space="0" w:color="000000"/>
                <w:left w:val="none" w:sz="4" w:space="0" w:color="000000"/>
                <w:bottom w:val="none" w:sz="4" w:space="0" w:color="000000"/>
                <w:right w:val="none" w:sz="4" w:space="0" w:color="000000"/>
              </w:pBdr>
              <w:ind w:left="0" w:firstLine="0"/>
              <w:rPr>
                <w:sz w:val="22"/>
              </w:rPr>
            </w:pPr>
            <w:r w:rsidRPr="00731FE2">
              <w:rPr>
                <w:rFonts w:ascii="Times New Roman" w:eastAsia="Times New Roman" w:hAnsi="Times New Roman" w:cs="Times New Roman"/>
                <w:color w:val="000000"/>
                <w:sz w:val="22"/>
              </w:rPr>
              <w:t> </w:t>
            </w:r>
          </w:p>
        </w:tc>
        <w:tc>
          <w:tcPr>
            <w:tcW w:w="1673" w:type="dxa"/>
            <w:vAlign w:val="center"/>
          </w:tcPr>
          <w:p w14:paraId="3C2CED66" w14:textId="77777777" w:rsidR="00171AA8" w:rsidRPr="00731FE2" w:rsidRDefault="007935AB">
            <w:pPr>
              <w:pBdr>
                <w:top w:val="none" w:sz="4" w:space="0" w:color="000000"/>
                <w:left w:val="none" w:sz="4" w:space="0" w:color="000000"/>
                <w:bottom w:val="none" w:sz="4" w:space="0" w:color="000000"/>
                <w:right w:val="none" w:sz="4" w:space="0" w:color="000000"/>
              </w:pBdr>
              <w:ind w:firstLine="0"/>
            </w:pPr>
            <w:r w:rsidRPr="00731FE2">
              <w:rPr>
                <w:rFonts w:ascii="Times New Roman" w:eastAsia="Times New Roman" w:hAnsi="Times New Roman" w:cs="Times New Roman"/>
                <w:color w:val="000000"/>
                <w:sz w:val="22"/>
              </w:rPr>
              <w:t>«Радуга»</w:t>
            </w:r>
          </w:p>
        </w:tc>
        <w:tc>
          <w:tcPr>
            <w:tcW w:w="7304" w:type="dxa"/>
            <w:vAlign w:val="center"/>
          </w:tcPr>
          <w:p w14:paraId="229C2B69" w14:textId="77777777" w:rsidR="00171AA8" w:rsidRPr="00731FE2" w:rsidRDefault="002455DE">
            <w:pPr>
              <w:pBdr>
                <w:top w:val="none" w:sz="4" w:space="0" w:color="000000"/>
                <w:left w:val="none" w:sz="4" w:space="0" w:color="000000"/>
                <w:bottom w:val="none" w:sz="4" w:space="0" w:color="000000"/>
                <w:right w:val="none" w:sz="4" w:space="0" w:color="000000"/>
              </w:pBdr>
              <w:ind w:firstLine="0"/>
            </w:pPr>
            <w:r w:rsidRPr="00731FE2">
              <w:rPr>
                <w:rFonts w:ascii="Times New Roman" w:eastAsia="Times New Roman" w:hAnsi="Times New Roman" w:cs="Times New Roman"/>
                <w:color w:val="000000"/>
                <w:sz w:val="22"/>
              </w:rPr>
              <w:t>ул. Седлогорская</w:t>
            </w:r>
            <w:r w:rsidR="007935AB" w:rsidRPr="00731FE2">
              <w:rPr>
                <w:rFonts w:ascii="Times New Roman" w:eastAsia="Times New Roman" w:hAnsi="Times New Roman" w:cs="Times New Roman"/>
                <w:color w:val="000000"/>
                <w:sz w:val="22"/>
              </w:rPr>
              <w:t>, 2А, г. Кисловодск</w:t>
            </w:r>
          </w:p>
        </w:tc>
      </w:tr>
      <w:tr w:rsidR="00171AA8" w:rsidRPr="00731FE2" w14:paraId="46C01497" w14:textId="77777777">
        <w:trPr>
          <w:trHeight w:val="260"/>
        </w:trPr>
        <w:tc>
          <w:tcPr>
            <w:tcW w:w="386" w:type="dxa"/>
            <w:vAlign w:val="center"/>
          </w:tcPr>
          <w:p w14:paraId="3F0FA4BB" w14:textId="77777777" w:rsidR="00171AA8" w:rsidRPr="00731FE2" w:rsidRDefault="007935AB" w:rsidP="007832E7">
            <w:pPr>
              <w:numPr>
                <w:ilvl w:val="0"/>
                <w:numId w:val="38"/>
              </w:numPr>
              <w:pBdr>
                <w:top w:val="none" w:sz="4" w:space="0" w:color="000000"/>
                <w:left w:val="none" w:sz="4" w:space="0" w:color="000000"/>
                <w:bottom w:val="none" w:sz="4" w:space="0" w:color="000000"/>
                <w:right w:val="none" w:sz="4" w:space="0" w:color="000000"/>
              </w:pBdr>
              <w:ind w:left="0" w:firstLine="0"/>
              <w:rPr>
                <w:sz w:val="22"/>
              </w:rPr>
            </w:pPr>
            <w:r w:rsidRPr="00731FE2">
              <w:rPr>
                <w:rFonts w:ascii="Times New Roman" w:eastAsia="Times New Roman" w:hAnsi="Times New Roman" w:cs="Times New Roman"/>
                <w:color w:val="000000"/>
                <w:sz w:val="22"/>
              </w:rPr>
              <w:t> </w:t>
            </w:r>
          </w:p>
        </w:tc>
        <w:tc>
          <w:tcPr>
            <w:tcW w:w="1673" w:type="dxa"/>
            <w:vAlign w:val="center"/>
          </w:tcPr>
          <w:p w14:paraId="562F6277" w14:textId="77777777" w:rsidR="00171AA8" w:rsidRPr="00731FE2" w:rsidRDefault="007935AB">
            <w:pPr>
              <w:pBdr>
                <w:top w:val="none" w:sz="4" w:space="0" w:color="000000"/>
                <w:left w:val="none" w:sz="4" w:space="0" w:color="000000"/>
                <w:bottom w:val="none" w:sz="4" w:space="0" w:color="000000"/>
                <w:right w:val="none" w:sz="4" w:space="0" w:color="000000"/>
              </w:pBdr>
              <w:ind w:firstLine="0"/>
            </w:pPr>
            <w:r w:rsidRPr="00731FE2">
              <w:rPr>
                <w:rFonts w:ascii="Times New Roman" w:eastAsia="Times New Roman" w:hAnsi="Times New Roman" w:cs="Times New Roman"/>
                <w:color w:val="000000"/>
                <w:sz w:val="22"/>
              </w:rPr>
              <w:t>«АЗС № 125»</w:t>
            </w:r>
          </w:p>
        </w:tc>
        <w:tc>
          <w:tcPr>
            <w:tcW w:w="7304" w:type="dxa"/>
            <w:vAlign w:val="center"/>
          </w:tcPr>
          <w:p w14:paraId="72E14279" w14:textId="77777777" w:rsidR="00171AA8" w:rsidRPr="00731FE2" w:rsidRDefault="007935AB">
            <w:pPr>
              <w:pBdr>
                <w:top w:val="none" w:sz="4" w:space="0" w:color="000000"/>
                <w:left w:val="none" w:sz="4" w:space="0" w:color="000000"/>
                <w:bottom w:val="none" w:sz="4" w:space="0" w:color="000000"/>
                <w:right w:val="none" w:sz="4" w:space="0" w:color="000000"/>
              </w:pBdr>
              <w:ind w:firstLine="0"/>
            </w:pPr>
            <w:r w:rsidRPr="00731FE2">
              <w:rPr>
                <w:rFonts w:ascii="Times New Roman" w:eastAsia="Times New Roman" w:hAnsi="Times New Roman" w:cs="Times New Roman"/>
                <w:color w:val="000000"/>
                <w:sz w:val="22"/>
              </w:rPr>
              <w:t xml:space="preserve">ул. </w:t>
            </w:r>
            <w:proofErr w:type="gramStart"/>
            <w:r w:rsidRPr="00731FE2">
              <w:rPr>
                <w:rFonts w:ascii="Times New Roman" w:eastAsia="Times New Roman" w:hAnsi="Times New Roman" w:cs="Times New Roman"/>
                <w:color w:val="000000"/>
                <w:sz w:val="22"/>
              </w:rPr>
              <w:t>Московская</w:t>
            </w:r>
            <w:proofErr w:type="gramEnd"/>
            <w:r w:rsidRPr="00731FE2">
              <w:rPr>
                <w:rFonts w:ascii="Times New Roman" w:eastAsia="Times New Roman" w:hAnsi="Times New Roman" w:cs="Times New Roman"/>
                <w:color w:val="000000"/>
                <w:sz w:val="22"/>
              </w:rPr>
              <w:t>, г. Кисловодск</w:t>
            </w:r>
          </w:p>
        </w:tc>
      </w:tr>
      <w:tr w:rsidR="00171AA8" w:rsidRPr="00731FE2" w14:paraId="09437350" w14:textId="77777777">
        <w:trPr>
          <w:trHeight w:val="260"/>
        </w:trPr>
        <w:tc>
          <w:tcPr>
            <w:tcW w:w="386" w:type="dxa"/>
            <w:vAlign w:val="center"/>
          </w:tcPr>
          <w:p w14:paraId="51E2CFC7" w14:textId="77777777" w:rsidR="00171AA8" w:rsidRPr="00731FE2" w:rsidRDefault="007935AB" w:rsidP="007832E7">
            <w:pPr>
              <w:numPr>
                <w:ilvl w:val="0"/>
                <w:numId w:val="38"/>
              </w:numPr>
              <w:pBdr>
                <w:top w:val="none" w:sz="4" w:space="0" w:color="000000"/>
                <w:left w:val="none" w:sz="4" w:space="0" w:color="000000"/>
                <w:bottom w:val="none" w:sz="4" w:space="0" w:color="000000"/>
                <w:right w:val="none" w:sz="4" w:space="0" w:color="000000"/>
              </w:pBdr>
              <w:ind w:left="0" w:firstLine="0"/>
              <w:rPr>
                <w:sz w:val="22"/>
              </w:rPr>
            </w:pPr>
            <w:r w:rsidRPr="00731FE2">
              <w:rPr>
                <w:rFonts w:ascii="Times New Roman" w:eastAsia="Times New Roman" w:hAnsi="Times New Roman" w:cs="Times New Roman"/>
                <w:color w:val="000000"/>
                <w:sz w:val="22"/>
              </w:rPr>
              <w:t> </w:t>
            </w:r>
          </w:p>
        </w:tc>
        <w:tc>
          <w:tcPr>
            <w:tcW w:w="1673" w:type="dxa"/>
            <w:vAlign w:val="center"/>
          </w:tcPr>
          <w:p w14:paraId="0549E6DA" w14:textId="77777777" w:rsidR="00171AA8" w:rsidRPr="00731FE2" w:rsidRDefault="007935AB">
            <w:pPr>
              <w:pBdr>
                <w:top w:val="none" w:sz="4" w:space="0" w:color="000000"/>
                <w:left w:val="none" w:sz="4" w:space="0" w:color="000000"/>
                <w:bottom w:val="none" w:sz="4" w:space="0" w:color="000000"/>
                <w:right w:val="none" w:sz="4" w:space="0" w:color="000000"/>
              </w:pBdr>
              <w:ind w:firstLine="0"/>
            </w:pPr>
            <w:r w:rsidRPr="00731FE2">
              <w:rPr>
                <w:rFonts w:ascii="Times New Roman" w:eastAsia="Times New Roman" w:hAnsi="Times New Roman" w:cs="Times New Roman"/>
                <w:color w:val="000000"/>
                <w:sz w:val="22"/>
              </w:rPr>
              <w:t>«Росгаз»</w:t>
            </w:r>
          </w:p>
        </w:tc>
        <w:tc>
          <w:tcPr>
            <w:tcW w:w="7304" w:type="dxa"/>
            <w:vAlign w:val="center"/>
          </w:tcPr>
          <w:p w14:paraId="7F29FFB3" w14:textId="77777777" w:rsidR="00171AA8" w:rsidRPr="00731FE2" w:rsidRDefault="007935AB">
            <w:pPr>
              <w:pBdr>
                <w:top w:val="none" w:sz="4" w:space="0" w:color="000000"/>
                <w:left w:val="none" w:sz="4" w:space="0" w:color="000000"/>
                <w:bottom w:val="none" w:sz="4" w:space="0" w:color="000000"/>
                <w:right w:val="none" w:sz="4" w:space="0" w:color="000000"/>
              </w:pBdr>
              <w:ind w:firstLine="0"/>
            </w:pPr>
            <w:r w:rsidRPr="00731FE2">
              <w:rPr>
                <w:rFonts w:ascii="Times New Roman" w:eastAsia="Times New Roman" w:hAnsi="Times New Roman" w:cs="Times New Roman"/>
                <w:color w:val="000000"/>
                <w:sz w:val="22"/>
              </w:rPr>
              <w:t>ул. Седлогорская, 157а, г. Кисловодск</w:t>
            </w:r>
          </w:p>
        </w:tc>
      </w:tr>
      <w:tr w:rsidR="00171AA8" w:rsidRPr="00731FE2" w14:paraId="3F5E824B" w14:textId="77777777">
        <w:trPr>
          <w:trHeight w:val="260"/>
        </w:trPr>
        <w:tc>
          <w:tcPr>
            <w:tcW w:w="386" w:type="dxa"/>
            <w:vAlign w:val="center"/>
          </w:tcPr>
          <w:p w14:paraId="7BAB6C25" w14:textId="77777777" w:rsidR="00171AA8" w:rsidRPr="00731FE2" w:rsidRDefault="007935AB" w:rsidP="007832E7">
            <w:pPr>
              <w:numPr>
                <w:ilvl w:val="0"/>
                <w:numId w:val="38"/>
              </w:numPr>
              <w:pBdr>
                <w:top w:val="none" w:sz="4" w:space="0" w:color="000000"/>
                <w:left w:val="none" w:sz="4" w:space="0" w:color="000000"/>
                <w:bottom w:val="none" w:sz="4" w:space="0" w:color="000000"/>
                <w:right w:val="none" w:sz="4" w:space="0" w:color="000000"/>
              </w:pBdr>
              <w:ind w:left="0" w:firstLine="0"/>
              <w:rPr>
                <w:sz w:val="22"/>
              </w:rPr>
            </w:pPr>
            <w:r w:rsidRPr="00731FE2">
              <w:rPr>
                <w:rFonts w:ascii="Times New Roman" w:eastAsia="Times New Roman" w:hAnsi="Times New Roman" w:cs="Times New Roman"/>
                <w:color w:val="000000"/>
                <w:sz w:val="22"/>
              </w:rPr>
              <w:t> </w:t>
            </w:r>
          </w:p>
        </w:tc>
        <w:tc>
          <w:tcPr>
            <w:tcW w:w="1673" w:type="dxa"/>
            <w:vAlign w:val="center"/>
          </w:tcPr>
          <w:p w14:paraId="7A60CE75" w14:textId="77777777" w:rsidR="00171AA8" w:rsidRPr="00731FE2" w:rsidRDefault="007935AB">
            <w:pPr>
              <w:pBdr>
                <w:top w:val="none" w:sz="4" w:space="0" w:color="000000"/>
                <w:left w:val="none" w:sz="4" w:space="0" w:color="000000"/>
                <w:bottom w:val="none" w:sz="4" w:space="0" w:color="000000"/>
                <w:right w:val="none" w:sz="4" w:space="0" w:color="000000"/>
              </w:pBdr>
              <w:ind w:firstLine="0"/>
            </w:pPr>
            <w:r w:rsidRPr="00731FE2">
              <w:rPr>
                <w:rFonts w:ascii="Times New Roman" w:eastAsia="Times New Roman" w:hAnsi="Times New Roman" w:cs="Times New Roman"/>
                <w:color w:val="000000"/>
                <w:sz w:val="22"/>
              </w:rPr>
              <w:t>«Прогресс»</w:t>
            </w:r>
          </w:p>
        </w:tc>
        <w:tc>
          <w:tcPr>
            <w:tcW w:w="7304" w:type="dxa"/>
            <w:vAlign w:val="center"/>
          </w:tcPr>
          <w:p w14:paraId="6EDD6AFE" w14:textId="77777777" w:rsidR="00171AA8" w:rsidRPr="00731FE2" w:rsidRDefault="007935AB">
            <w:pPr>
              <w:pBdr>
                <w:top w:val="none" w:sz="4" w:space="0" w:color="000000"/>
                <w:left w:val="none" w:sz="4" w:space="0" w:color="000000"/>
                <w:bottom w:val="none" w:sz="4" w:space="0" w:color="000000"/>
                <w:right w:val="none" w:sz="4" w:space="0" w:color="000000"/>
              </w:pBdr>
              <w:ind w:firstLine="0"/>
            </w:pPr>
            <w:r w:rsidRPr="00731FE2">
              <w:rPr>
                <w:rFonts w:ascii="Times New Roman" w:eastAsia="Times New Roman" w:hAnsi="Times New Roman" w:cs="Times New Roman"/>
                <w:color w:val="000000"/>
                <w:sz w:val="22"/>
              </w:rPr>
              <w:t xml:space="preserve">ул. </w:t>
            </w:r>
            <w:proofErr w:type="gramStart"/>
            <w:r w:rsidRPr="00731FE2">
              <w:rPr>
                <w:rFonts w:ascii="Times New Roman" w:eastAsia="Times New Roman" w:hAnsi="Times New Roman" w:cs="Times New Roman"/>
                <w:color w:val="000000"/>
                <w:sz w:val="22"/>
              </w:rPr>
              <w:t>Промышленная</w:t>
            </w:r>
            <w:proofErr w:type="gramEnd"/>
            <w:r w:rsidRPr="00731FE2">
              <w:rPr>
                <w:rFonts w:ascii="Times New Roman" w:eastAsia="Times New Roman" w:hAnsi="Times New Roman" w:cs="Times New Roman"/>
                <w:color w:val="000000"/>
                <w:sz w:val="22"/>
              </w:rPr>
              <w:t>, 1А, г. Кисловодск</w:t>
            </w:r>
          </w:p>
        </w:tc>
      </w:tr>
      <w:tr w:rsidR="00171AA8" w:rsidRPr="00731FE2" w14:paraId="514F92CC" w14:textId="77777777">
        <w:trPr>
          <w:trHeight w:val="260"/>
        </w:trPr>
        <w:tc>
          <w:tcPr>
            <w:tcW w:w="386" w:type="dxa"/>
            <w:vAlign w:val="center"/>
          </w:tcPr>
          <w:p w14:paraId="27B94001" w14:textId="77777777" w:rsidR="00171AA8" w:rsidRPr="00731FE2" w:rsidRDefault="007935AB" w:rsidP="007832E7">
            <w:pPr>
              <w:numPr>
                <w:ilvl w:val="0"/>
                <w:numId w:val="38"/>
              </w:numPr>
              <w:pBdr>
                <w:top w:val="none" w:sz="4" w:space="0" w:color="000000"/>
                <w:left w:val="none" w:sz="4" w:space="0" w:color="000000"/>
                <w:bottom w:val="none" w:sz="4" w:space="0" w:color="000000"/>
                <w:right w:val="none" w:sz="4" w:space="0" w:color="000000"/>
              </w:pBdr>
              <w:ind w:left="0" w:firstLine="0"/>
              <w:rPr>
                <w:sz w:val="22"/>
              </w:rPr>
            </w:pPr>
            <w:r w:rsidRPr="00731FE2">
              <w:rPr>
                <w:rFonts w:ascii="Times New Roman" w:eastAsia="Times New Roman" w:hAnsi="Times New Roman" w:cs="Times New Roman"/>
                <w:color w:val="000000"/>
                <w:sz w:val="22"/>
              </w:rPr>
              <w:t> </w:t>
            </w:r>
          </w:p>
        </w:tc>
        <w:tc>
          <w:tcPr>
            <w:tcW w:w="1673" w:type="dxa"/>
            <w:vAlign w:val="center"/>
          </w:tcPr>
          <w:p w14:paraId="08D92827" w14:textId="77777777" w:rsidR="00171AA8" w:rsidRPr="00731FE2" w:rsidRDefault="007935AB">
            <w:pPr>
              <w:pBdr>
                <w:top w:val="none" w:sz="4" w:space="0" w:color="000000"/>
                <w:left w:val="none" w:sz="4" w:space="0" w:color="000000"/>
                <w:bottom w:val="none" w:sz="4" w:space="0" w:color="000000"/>
                <w:right w:val="none" w:sz="4" w:space="0" w:color="000000"/>
              </w:pBdr>
              <w:ind w:firstLine="0"/>
            </w:pPr>
            <w:r w:rsidRPr="00731FE2">
              <w:rPr>
                <w:rFonts w:ascii="Times New Roman" w:eastAsia="Times New Roman" w:hAnsi="Times New Roman" w:cs="Times New Roman"/>
                <w:color w:val="000000"/>
                <w:sz w:val="22"/>
              </w:rPr>
              <w:t>«КНК»</w:t>
            </w:r>
          </w:p>
        </w:tc>
        <w:tc>
          <w:tcPr>
            <w:tcW w:w="7304" w:type="dxa"/>
            <w:vAlign w:val="center"/>
          </w:tcPr>
          <w:p w14:paraId="0DE62614" w14:textId="77777777" w:rsidR="00171AA8" w:rsidRPr="00731FE2" w:rsidRDefault="007935AB">
            <w:pPr>
              <w:pBdr>
                <w:top w:val="none" w:sz="4" w:space="0" w:color="000000"/>
                <w:left w:val="none" w:sz="4" w:space="0" w:color="000000"/>
                <w:bottom w:val="none" w:sz="4" w:space="0" w:color="000000"/>
                <w:right w:val="none" w:sz="4" w:space="0" w:color="000000"/>
              </w:pBdr>
              <w:ind w:firstLine="0"/>
            </w:pPr>
            <w:r w:rsidRPr="00731FE2">
              <w:rPr>
                <w:rFonts w:ascii="Times New Roman" w:eastAsia="Times New Roman" w:hAnsi="Times New Roman" w:cs="Times New Roman"/>
                <w:color w:val="000000"/>
                <w:sz w:val="22"/>
              </w:rPr>
              <w:t xml:space="preserve">ул. </w:t>
            </w:r>
            <w:proofErr w:type="gramStart"/>
            <w:r w:rsidRPr="00731FE2">
              <w:rPr>
                <w:rFonts w:ascii="Times New Roman" w:eastAsia="Times New Roman" w:hAnsi="Times New Roman" w:cs="Times New Roman"/>
                <w:color w:val="000000"/>
                <w:sz w:val="22"/>
              </w:rPr>
              <w:t>Промышленная</w:t>
            </w:r>
            <w:proofErr w:type="gramEnd"/>
            <w:r w:rsidRPr="00731FE2">
              <w:rPr>
                <w:rFonts w:ascii="Times New Roman" w:eastAsia="Times New Roman" w:hAnsi="Times New Roman" w:cs="Times New Roman"/>
                <w:color w:val="000000"/>
                <w:sz w:val="22"/>
              </w:rPr>
              <w:t xml:space="preserve"> 2А, г. Кисловодск</w:t>
            </w:r>
          </w:p>
        </w:tc>
      </w:tr>
    </w:tbl>
    <w:p w14:paraId="74BF8B86" w14:textId="77777777" w:rsidR="00171AA8" w:rsidRPr="00731FE2" w:rsidRDefault="00171AA8">
      <w:pPr>
        <w:pBdr>
          <w:top w:val="none" w:sz="4" w:space="0" w:color="000000"/>
          <w:left w:val="none" w:sz="4" w:space="0" w:color="000000"/>
          <w:bottom w:val="none" w:sz="4" w:space="0" w:color="000000"/>
          <w:right w:val="none" w:sz="4" w:space="0" w:color="000000"/>
        </w:pBdr>
      </w:pPr>
    </w:p>
    <w:p w14:paraId="735897B3"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themeColor="text1"/>
          <w:szCs w:val="24"/>
        </w:rPr>
      </w:pPr>
      <w:r w:rsidRPr="00731FE2">
        <w:rPr>
          <w:rFonts w:ascii="Times New Roman" w:eastAsia="Times New Roman" w:hAnsi="Times New Roman" w:cs="Times New Roman"/>
          <w:color w:val="000000"/>
        </w:rPr>
        <w:t>Также в пределах городского округа расположено 43 гаражных коопер</w:t>
      </w:r>
      <w:r w:rsidRPr="00731FE2">
        <w:rPr>
          <w:rFonts w:ascii="Times New Roman" w:eastAsia="Times New Roman" w:hAnsi="Times New Roman" w:cs="Times New Roman"/>
          <w:color w:val="000000" w:themeColor="text1"/>
        </w:rPr>
        <w:t>атива</w:t>
      </w:r>
      <w:r w:rsidRPr="00731FE2">
        <w:rPr>
          <w:rFonts w:ascii="Times New Roman" w:eastAsia="Times New Roman" w:hAnsi="Times New Roman" w:cs="Times New Roman"/>
          <w:color w:val="000000" w:themeColor="text1"/>
          <w:vertAlign w:val="superscript"/>
        </w:rPr>
        <w:footnoteReference w:id="65"/>
      </w:r>
      <w:r w:rsidRPr="00731FE2">
        <w:rPr>
          <w:rFonts w:ascii="Times New Roman" w:eastAsia="Times New Roman" w:hAnsi="Times New Roman" w:cs="Times New Roman"/>
          <w:color w:val="000000" w:themeColor="text1"/>
        </w:rPr>
        <w:t>.</w:t>
      </w:r>
    </w:p>
    <w:p w14:paraId="28C0B054" w14:textId="77777777" w:rsidR="00171AA8" w:rsidRPr="00731FE2" w:rsidRDefault="00171AA8">
      <w:pPr>
        <w:rPr>
          <w:rFonts w:ascii="Times New Roman" w:hAnsi="Times New Roman" w:cs="Times New Roman"/>
          <w:color w:val="000000" w:themeColor="text1"/>
        </w:rPr>
      </w:pPr>
    </w:p>
    <w:p w14:paraId="03395B90" w14:textId="77777777" w:rsidR="00171AA8" w:rsidRPr="00731FE2" w:rsidRDefault="007935AB">
      <w:pPr>
        <w:pStyle w:val="af3"/>
        <w:rPr>
          <w:sz w:val="24"/>
          <w:szCs w:val="24"/>
        </w:rPr>
      </w:pPr>
      <w:r w:rsidRPr="00731FE2">
        <w:rPr>
          <w:sz w:val="24"/>
          <w:szCs w:val="24"/>
        </w:rPr>
        <w:t xml:space="preserve">Таблица </w:t>
      </w:r>
      <w:r w:rsidR="00D97880" w:rsidRPr="00731FE2">
        <w:rPr>
          <w:noProof/>
          <w:sz w:val="24"/>
          <w:szCs w:val="24"/>
        </w:rPr>
        <w:fldChar w:fldCharType="begin"/>
      </w:r>
      <w:r w:rsidR="00D97880" w:rsidRPr="00731FE2">
        <w:rPr>
          <w:noProof/>
          <w:sz w:val="24"/>
          <w:szCs w:val="24"/>
        </w:rPr>
        <w:instrText xml:space="preserve"> SEQ Таблица \* Arabic </w:instrText>
      </w:r>
      <w:r w:rsidR="00D97880" w:rsidRPr="00731FE2">
        <w:rPr>
          <w:noProof/>
          <w:sz w:val="24"/>
          <w:szCs w:val="24"/>
        </w:rPr>
        <w:fldChar w:fldCharType="separate"/>
      </w:r>
      <w:r w:rsidR="00C50915" w:rsidRPr="00731FE2">
        <w:rPr>
          <w:noProof/>
          <w:sz w:val="24"/>
          <w:szCs w:val="24"/>
        </w:rPr>
        <w:t>33</w:t>
      </w:r>
      <w:r w:rsidR="00D97880" w:rsidRPr="00731FE2">
        <w:rPr>
          <w:noProof/>
          <w:sz w:val="24"/>
          <w:szCs w:val="24"/>
        </w:rPr>
        <w:fldChar w:fldCharType="end"/>
      </w:r>
      <w:r w:rsidRPr="00731FE2">
        <w:rPr>
          <w:sz w:val="24"/>
          <w:szCs w:val="24"/>
        </w:rPr>
        <w:t xml:space="preserve"> – Перечень гаражных кооперативов на территории городского округа «город-курорт Кисловодск»</w:t>
      </w:r>
    </w:p>
    <w:tbl>
      <w:tblPr>
        <w:tblStyle w:val="afe"/>
        <w:tblW w:w="0" w:type="auto"/>
        <w:tblLayout w:type="fixed"/>
        <w:tblCellMar>
          <w:left w:w="57" w:type="dxa"/>
          <w:right w:w="57" w:type="dxa"/>
        </w:tblCellMar>
        <w:tblLook w:val="04A0" w:firstRow="1" w:lastRow="0" w:firstColumn="1" w:lastColumn="0" w:noHBand="0" w:noVBand="1"/>
      </w:tblPr>
      <w:tblGrid>
        <w:gridCol w:w="567"/>
        <w:gridCol w:w="2551"/>
        <w:gridCol w:w="3730"/>
        <w:gridCol w:w="2507"/>
      </w:tblGrid>
      <w:tr w:rsidR="00171AA8" w:rsidRPr="00731FE2" w14:paraId="39F73FAC" w14:textId="77777777">
        <w:tc>
          <w:tcPr>
            <w:tcW w:w="567" w:type="dxa"/>
            <w:vAlign w:val="center"/>
          </w:tcPr>
          <w:p w14:paraId="4A7A5D0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b/>
                <w:color w:val="000000"/>
                <w:sz w:val="22"/>
              </w:rPr>
              <w:t>№</w:t>
            </w:r>
          </w:p>
        </w:tc>
        <w:tc>
          <w:tcPr>
            <w:tcW w:w="2551" w:type="dxa"/>
            <w:vAlign w:val="center"/>
          </w:tcPr>
          <w:p w14:paraId="534EEA5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b/>
                <w:color w:val="000000"/>
                <w:sz w:val="22"/>
              </w:rPr>
              <w:t>Название кооператива</w:t>
            </w:r>
          </w:p>
        </w:tc>
        <w:tc>
          <w:tcPr>
            <w:tcW w:w="3730" w:type="dxa"/>
            <w:vAlign w:val="center"/>
          </w:tcPr>
          <w:p w14:paraId="15803F6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b/>
                <w:color w:val="000000"/>
                <w:sz w:val="22"/>
              </w:rPr>
              <w:t>Местоположение</w:t>
            </w:r>
          </w:p>
        </w:tc>
        <w:tc>
          <w:tcPr>
            <w:tcW w:w="2507" w:type="dxa"/>
            <w:vAlign w:val="center"/>
          </w:tcPr>
          <w:p w14:paraId="740D36A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b/>
                <w:color w:val="000000"/>
                <w:sz w:val="22"/>
              </w:rPr>
              <w:t>Кадастровый номер земельного участка</w:t>
            </w:r>
          </w:p>
        </w:tc>
      </w:tr>
      <w:tr w:rsidR="00171AA8" w:rsidRPr="00731FE2" w14:paraId="26412788" w14:textId="77777777">
        <w:tc>
          <w:tcPr>
            <w:tcW w:w="567" w:type="dxa"/>
          </w:tcPr>
          <w:p w14:paraId="5D52859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1</w:t>
            </w:r>
          </w:p>
        </w:tc>
        <w:tc>
          <w:tcPr>
            <w:tcW w:w="2551" w:type="dxa"/>
          </w:tcPr>
          <w:p w14:paraId="41DB14F2" w14:textId="77777777" w:rsidR="00171AA8" w:rsidRPr="00731FE2" w:rsidRDefault="007935AB">
            <w:pPr>
              <w:pBdr>
                <w:top w:val="none" w:sz="4" w:space="0" w:color="000000"/>
                <w:left w:val="none" w:sz="4" w:space="0" w:color="000000"/>
                <w:bottom w:val="none" w:sz="4" w:space="0" w:color="000000"/>
                <w:right w:val="none" w:sz="4" w:space="0" w:color="000000"/>
              </w:pBdr>
              <w:ind w:firstLine="0"/>
            </w:pPr>
            <w:r w:rsidRPr="00731FE2">
              <w:rPr>
                <w:rFonts w:ascii="Times New Roman" w:eastAsia="Times New Roman" w:hAnsi="Times New Roman" w:cs="Times New Roman"/>
                <w:color w:val="000000"/>
                <w:sz w:val="22"/>
              </w:rPr>
              <w:t>Кисловодск</w:t>
            </w:r>
          </w:p>
        </w:tc>
        <w:tc>
          <w:tcPr>
            <w:tcW w:w="3730" w:type="dxa"/>
          </w:tcPr>
          <w:p w14:paraId="0CBF58C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ул. 40 лет Октября, 39</w:t>
            </w:r>
          </w:p>
        </w:tc>
        <w:tc>
          <w:tcPr>
            <w:tcW w:w="2507" w:type="dxa"/>
          </w:tcPr>
          <w:p w14:paraId="23BD0A4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26:34:080220</w:t>
            </w:r>
          </w:p>
        </w:tc>
      </w:tr>
      <w:tr w:rsidR="00171AA8" w:rsidRPr="00731FE2" w14:paraId="0EF4B278" w14:textId="77777777">
        <w:tc>
          <w:tcPr>
            <w:tcW w:w="567" w:type="dxa"/>
          </w:tcPr>
          <w:p w14:paraId="2C96540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2</w:t>
            </w:r>
          </w:p>
        </w:tc>
        <w:tc>
          <w:tcPr>
            <w:tcW w:w="2551" w:type="dxa"/>
          </w:tcPr>
          <w:p w14:paraId="1E22CFFD" w14:textId="77777777" w:rsidR="00171AA8" w:rsidRPr="00731FE2" w:rsidRDefault="007935AB">
            <w:pPr>
              <w:pBdr>
                <w:top w:val="none" w:sz="4" w:space="0" w:color="000000"/>
                <w:left w:val="none" w:sz="4" w:space="0" w:color="000000"/>
                <w:bottom w:val="none" w:sz="4" w:space="0" w:color="000000"/>
                <w:right w:val="none" w:sz="4" w:space="0" w:color="000000"/>
              </w:pBdr>
              <w:ind w:firstLine="0"/>
            </w:pPr>
            <w:r w:rsidRPr="00731FE2">
              <w:rPr>
                <w:rFonts w:ascii="Times New Roman" w:eastAsia="Times New Roman" w:hAnsi="Times New Roman" w:cs="Times New Roman"/>
                <w:color w:val="000000"/>
                <w:sz w:val="22"/>
              </w:rPr>
              <w:t>Солнечный</w:t>
            </w:r>
          </w:p>
        </w:tc>
        <w:tc>
          <w:tcPr>
            <w:tcW w:w="3730" w:type="dxa"/>
          </w:tcPr>
          <w:p w14:paraId="3891D3E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ул. Седлогорская, 147</w:t>
            </w:r>
          </w:p>
        </w:tc>
        <w:tc>
          <w:tcPr>
            <w:tcW w:w="2507" w:type="dxa"/>
          </w:tcPr>
          <w:p w14:paraId="4D7B518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26:34:130250:1</w:t>
            </w:r>
          </w:p>
        </w:tc>
      </w:tr>
      <w:tr w:rsidR="00171AA8" w:rsidRPr="00731FE2" w14:paraId="519591E9" w14:textId="77777777">
        <w:tc>
          <w:tcPr>
            <w:tcW w:w="567" w:type="dxa"/>
          </w:tcPr>
          <w:p w14:paraId="5C6F5F1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3</w:t>
            </w:r>
          </w:p>
        </w:tc>
        <w:tc>
          <w:tcPr>
            <w:tcW w:w="2551" w:type="dxa"/>
          </w:tcPr>
          <w:p w14:paraId="379ECEDE" w14:textId="77777777" w:rsidR="00171AA8" w:rsidRPr="00731FE2" w:rsidRDefault="007935AB">
            <w:pPr>
              <w:pBdr>
                <w:top w:val="none" w:sz="4" w:space="0" w:color="000000"/>
                <w:left w:val="none" w:sz="4" w:space="0" w:color="000000"/>
                <w:bottom w:val="none" w:sz="4" w:space="0" w:color="000000"/>
                <w:right w:val="none" w:sz="4" w:space="0" w:color="000000"/>
              </w:pBdr>
              <w:ind w:firstLine="0"/>
            </w:pPr>
            <w:r w:rsidRPr="00731FE2">
              <w:rPr>
                <w:rFonts w:ascii="Times New Roman" w:eastAsia="Times New Roman" w:hAnsi="Times New Roman" w:cs="Times New Roman"/>
                <w:color w:val="000000"/>
                <w:sz w:val="22"/>
              </w:rPr>
              <w:t>Западный</w:t>
            </w:r>
          </w:p>
        </w:tc>
        <w:tc>
          <w:tcPr>
            <w:tcW w:w="3730" w:type="dxa"/>
          </w:tcPr>
          <w:p w14:paraId="6272DD4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ул. Дружбы, 1-А</w:t>
            </w:r>
          </w:p>
        </w:tc>
        <w:tc>
          <w:tcPr>
            <w:tcW w:w="2507" w:type="dxa"/>
          </w:tcPr>
          <w:p w14:paraId="6B9F192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26:34:080315</w:t>
            </w:r>
          </w:p>
        </w:tc>
      </w:tr>
      <w:tr w:rsidR="00171AA8" w:rsidRPr="00731FE2" w14:paraId="288313A6" w14:textId="77777777">
        <w:tc>
          <w:tcPr>
            <w:tcW w:w="567" w:type="dxa"/>
          </w:tcPr>
          <w:p w14:paraId="720B8B4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4</w:t>
            </w:r>
          </w:p>
        </w:tc>
        <w:tc>
          <w:tcPr>
            <w:tcW w:w="2551" w:type="dxa"/>
          </w:tcPr>
          <w:p w14:paraId="3FEA473B" w14:textId="77777777" w:rsidR="00171AA8" w:rsidRPr="00731FE2" w:rsidRDefault="007935AB">
            <w:pPr>
              <w:pBdr>
                <w:top w:val="none" w:sz="4" w:space="0" w:color="000000"/>
                <w:left w:val="none" w:sz="4" w:space="0" w:color="000000"/>
                <w:bottom w:val="none" w:sz="4" w:space="0" w:color="000000"/>
                <w:right w:val="none" w:sz="4" w:space="0" w:color="000000"/>
              </w:pBdr>
              <w:ind w:firstLine="0"/>
            </w:pPr>
            <w:r w:rsidRPr="00731FE2">
              <w:rPr>
                <w:rFonts w:ascii="Times New Roman" w:eastAsia="Times New Roman" w:hAnsi="Times New Roman" w:cs="Times New Roman"/>
                <w:color w:val="000000"/>
                <w:sz w:val="22"/>
              </w:rPr>
              <w:t>Горный</w:t>
            </w:r>
          </w:p>
        </w:tc>
        <w:tc>
          <w:tcPr>
            <w:tcW w:w="3730" w:type="dxa"/>
          </w:tcPr>
          <w:p w14:paraId="19BB7DC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ул. Авиации, 91</w:t>
            </w:r>
          </w:p>
        </w:tc>
        <w:tc>
          <w:tcPr>
            <w:tcW w:w="2507" w:type="dxa"/>
          </w:tcPr>
          <w:p w14:paraId="48D4D88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26:34:050141</w:t>
            </w:r>
          </w:p>
        </w:tc>
      </w:tr>
      <w:tr w:rsidR="00171AA8" w:rsidRPr="00731FE2" w14:paraId="07E47B9D" w14:textId="77777777">
        <w:tc>
          <w:tcPr>
            <w:tcW w:w="567" w:type="dxa"/>
          </w:tcPr>
          <w:p w14:paraId="47959D0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5</w:t>
            </w:r>
          </w:p>
        </w:tc>
        <w:tc>
          <w:tcPr>
            <w:tcW w:w="2551" w:type="dxa"/>
          </w:tcPr>
          <w:p w14:paraId="51B5C13A" w14:textId="77777777" w:rsidR="00171AA8" w:rsidRPr="00731FE2" w:rsidRDefault="007935AB">
            <w:pPr>
              <w:pBdr>
                <w:top w:val="none" w:sz="4" w:space="0" w:color="000000"/>
                <w:left w:val="none" w:sz="4" w:space="0" w:color="000000"/>
                <w:bottom w:val="none" w:sz="4" w:space="0" w:color="000000"/>
                <w:right w:val="none" w:sz="4" w:space="0" w:color="000000"/>
              </w:pBdr>
              <w:ind w:firstLine="0"/>
            </w:pPr>
            <w:r w:rsidRPr="00731FE2">
              <w:rPr>
                <w:rFonts w:ascii="Times New Roman" w:eastAsia="Times New Roman" w:hAnsi="Times New Roman" w:cs="Times New Roman"/>
                <w:color w:val="000000"/>
                <w:sz w:val="22"/>
              </w:rPr>
              <w:t>Южный</w:t>
            </w:r>
          </w:p>
        </w:tc>
        <w:tc>
          <w:tcPr>
            <w:tcW w:w="3730" w:type="dxa"/>
          </w:tcPr>
          <w:p w14:paraId="44C2A3F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УЛ. Катыхина, 177</w:t>
            </w:r>
          </w:p>
        </w:tc>
        <w:tc>
          <w:tcPr>
            <w:tcW w:w="2507" w:type="dxa"/>
          </w:tcPr>
          <w:p w14:paraId="7A180E2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26:34:050139</w:t>
            </w:r>
          </w:p>
        </w:tc>
      </w:tr>
      <w:tr w:rsidR="00171AA8" w:rsidRPr="00731FE2" w14:paraId="4AFCED77" w14:textId="77777777">
        <w:tc>
          <w:tcPr>
            <w:tcW w:w="567" w:type="dxa"/>
          </w:tcPr>
          <w:p w14:paraId="6366F06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6</w:t>
            </w:r>
          </w:p>
        </w:tc>
        <w:tc>
          <w:tcPr>
            <w:tcW w:w="2551" w:type="dxa"/>
          </w:tcPr>
          <w:p w14:paraId="7F218C5C" w14:textId="77777777" w:rsidR="00171AA8" w:rsidRPr="00731FE2" w:rsidRDefault="007935AB">
            <w:pPr>
              <w:pBdr>
                <w:top w:val="none" w:sz="4" w:space="0" w:color="000000"/>
                <w:left w:val="none" w:sz="4" w:space="0" w:color="000000"/>
                <w:bottom w:val="none" w:sz="4" w:space="0" w:color="000000"/>
                <w:right w:val="none" w:sz="4" w:space="0" w:color="000000"/>
              </w:pBdr>
              <w:ind w:firstLine="0"/>
            </w:pPr>
            <w:r w:rsidRPr="00731FE2">
              <w:rPr>
                <w:rFonts w:ascii="Times New Roman" w:eastAsia="Times New Roman" w:hAnsi="Times New Roman" w:cs="Times New Roman"/>
                <w:color w:val="000000"/>
                <w:sz w:val="22"/>
              </w:rPr>
              <w:t>Дружба-1</w:t>
            </w:r>
          </w:p>
        </w:tc>
        <w:tc>
          <w:tcPr>
            <w:tcW w:w="3730" w:type="dxa"/>
          </w:tcPr>
          <w:p w14:paraId="4512A9A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ул. 40 лет Октября, 39</w:t>
            </w:r>
          </w:p>
        </w:tc>
        <w:tc>
          <w:tcPr>
            <w:tcW w:w="2507" w:type="dxa"/>
          </w:tcPr>
          <w:p w14:paraId="7803F5E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26:34:080211</w:t>
            </w:r>
          </w:p>
        </w:tc>
      </w:tr>
      <w:tr w:rsidR="00171AA8" w:rsidRPr="00731FE2" w14:paraId="05FA3D69" w14:textId="77777777">
        <w:tc>
          <w:tcPr>
            <w:tcW w:w="567" w:type="dxa"/>
          </w:tcPr>
          <w:p w14:paraId="642ECC9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7</w:t>
            </w:r>
          </w:p>
        </w:tc>
        <w:tc>
          <w:tcPr>
            <w:tcW w:w="2551" w:type="dxa"/>
          </w:tcPr>
          <w:p w14:paraId="726AA473" w14:textId="77777777" w:rsidR="00171AA8" w:rsidRPr="00731FE2" w:rsidRDefault="007935AB">
            <w:pPr>
              <w:pBdr>
                <w:top w:val="none" w:sz="4" w:space="0" w:color="000000"/>
                <w:left w:val="none" w:sz="4" w:space="0" w:color="000000"/>
                <w:bottom w:val="none" w:sz="4" w:space="0" w:color="000000"/>
                <w:right w:val="none" w:sz="4" w:space="0" w:color="000000"/>
              </w:pBdr>
              <w:ind w:firstLine="0"/>
            </w:pPr>
            <w:r w:rsidRPr="00731FE2">
              <w:rPr>
                <w:rFonts w:ascii="Times New Roman" w:eastAsia="Times New Roman" w:hAnsi="Times New Roman" w:cs="Times New Roman"/>
                <w:color w:val="000000"/>
                <w:sz w:val="22"/>
              </w:rPr>
              <w:t>Волга</w:t>
            </w:r>
          </w:p>
        </w:tc>
        <w:tc>
          <w:tcPr>
            <w:tcW w:w="3730" w:type="dxa"/>
          </w:tcPr>
          <w:p w14:paraId="0033BE7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ул. Павших героев, 27</w:t>
            </w:r>
          </w:p>
        </w:tc>
        <w:tc>
          <w:tcPr>
            <w:tcW w:w="2507" w:type="dxa"/>
          </w:tcPr>
          <w:p w14:paraId="5C1E003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26:34:080219:1</w:t>
            </w:r>
          </w:p>
        </w:tc>
      </w:tr>
      <w:tr w:rsidR="00171AA8" w:rsidRPr="00731FE2" w14:paraId="3FCDBCC6" w14:textId="77777777">
        <w:tc>
          <w:tcPr>
            <w:tcW w:w="567" w:type="dxa"/>
          </w:tcPr>
          <w:p w14:paraId="6C128C5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8</w:t>
            </w:r>
          </w:p>
        </w:tc>
        <w:tc>
          <w:tcPr>
            <w:tcW w:w="2551" w:type="dxa"/>
          </w:tcPr>
          <w:p w14:paraId="1E9E72A5" w14:textId="77777777" w:rsidR="00171AA8" w:rsidRPr="00731FE2" w:rsidRDefault="007935AB">
            <w:pPr>
              <w:pBdr>
                <w:top w:val="none" w:sz="4" w:space="0" w:color="000000"/>
                <w:left w:val="none" w:sz="4" w:space="0" w:color="000000"/>
                <w:bottom w:val="none" w:sz="4" w:space="0" w:color="000000"/>
                <w:right w:val="none" w:sz="4" w:space="0" w:color="000000"/>
              </w:pBdr>
              <w:ind w:firstLine="0"/>
            </w:pPr>
            <w:r w:rsidRPr="00731FE2">
              <w:rPr>
                <w:rFonts w:ascii="Times New Roman" w:eastAsia="Times New Roman" w:hAnsi="Times New Roman" w:cs="Times New Roman"/>
                <w:color w:val="000000"/>
                <w:sz w:val="22"/>
              </w:rPr>
              <w:t>Белореченский</w:t>
            </w:r>
          </w:p>
        </w:tc>
        <w:tc>
          <w:tcPr>
            <w:tcW w:w="3730" w:type="dxa"/>
          </w:tcPr>
          <w:p w14:paraId="3FA0EEC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ул. Свердлова, 33</w:t>
            </w:r>
          </w:p>
        </w:tc>
        <w:tc>
          <w:tcPr>
            <w:tcW w:w="2507" w:type="dxa"/>
          </w:tcPr>
          <w:p w14:paraId="1BF5CD3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26:34:150201</w:t>
            </w:r>
          </w:p>
        </w:tc>
      </w:tr>
      <w:tr w:rsidR="00171AA8" w:rsidRPr="00731FE2" w14:paraId="08369E32" w14:textId="77777777">
        <w:tc>
          <w:tcPr>
            <w:tcW w:w="567" w:type="dxa"/>
          </w:tcPr>
          <w:p w14:paraId="52CFC7F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9</w:t>
            </w:r>
          </w:p>
        </w:tc>
        <w:tc>
          <w:tcPr>
            <w:tcW w:w="2551" w:type="dxa"/>
          </w:tcPr>
          <w:p w14:paraId="0836B52F" w14:textId="77777777" w:rsidR="00171AA8" w:rsidRPr="00731FE2" w:rsidRDefault="007935AB">
            <w:pPr>
              <w:pBdr>
                <w:top w:val="none" w:sz="4" w:space="0" w:color="000000"/>
                <w:left w:val="none" w:sz="4" w:space="0" w:color="000000"/>
                <w:bottom w:val="none" w:sz="4" w:space="0" w:color="000000"/>
                <w:right w:val="none" w:sz="4" w:space="0" w:color="000000"/>
              </w:pBdr>
              <w:ind w:firstLine="0"/>
            </w:pPr>
            <w:r w:rsidRPr="00731FE2">
              <w:rPr>
                <w:rFonts w:ascii="Times New Roman" w:eastAsia="Times New Roman" w:hAnsi="Times New Roman" w:cs="Times New Roman"/>
                <w:color w:val="000000"/>
                <w:sz w:val="22"/>
              </w:rPr>
              <w:t>Ветерок</w:t>
            </w:r>
          </w:p>
        </w:tc>
        <w:tc>
          <w:tcPr>
            <w:tcW w:w="3730" w:type="dxa"/>
          </w:tcPr>
          <w:p w14:paraId="35D181E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пер. Конечный, 15-А</w:t>
            </w:r>
          </w:p>
        </w:tc>
        <w:tc>
          <w:tcPr>
            <w:tcW w:w="2507" w:type="dxa"/>
          </w:tcPr>
          <w:p w14:paraId="417031E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26:34:140104</w:t>
            </w:r>
          </w:p>
        </w:tc>
      </w:tr>
      <w:tr w:rsidR="00171AA8" w:rsidRPr="00731FE2" w14:paraId="5CE21796" w14:textId="77777777">
        <w:tc>
          <w:tcPr>
            <w:tcW w:w="567" w:type="dxa"/>
          </w:tcPr>
          <w:p w14:paraId="325F97A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10</w:t>
            </w:r>
          </w:p>
        </w:tc>
        <w:tc>
          <w:tcPr>
            <w:tcW w:w="2551" w:type="dxa"/>
          </w:tcPr>
          <w:p w14:paraId="18494041" w14:textId="77777777" w:rsidR="00171AA8" w:rsidRPr="00731FE2" w:rsidRDefault="007935AB">
            <w:pPr>
              <w:pBdr>
                <w:top w:val="none" w:sz="4" w:space="0" w:color="000000"/>
                <w:left w:val="none" w:sz="4" w:space="0" w:color="000000"/>
                <w:bottom w:val="none" w:sz="4" w:space="0" w:color="000000"/>
                <w:right w:val="none" w:sz="4" w:space="0" w:color="000000"/>
              </w:pBdr>
              <w:ind w:firstLine="0"/>
            </w:pPr>
            <w:r w:rsidRPr="00731FE2">
              <w:rPr>
                <w:rFonts w:ascii="Times New Roman" w:eastAsia="Times New Roman" w:hAnsi="Times New Roman" w:cs="Times New Roman"/>
                <w:color w:val="000000"/>
                <w:sz w:val="22"/>
              </w:rPr>
              <w:t>Лада</w:t>
            </w:r>
          </w:p>
        </w:tc>
        <w:tc>
          <w:tcPr>
            <w:tcW w:w="3730" w:type="dxa"/>
          </w:tcPr>
          <w:p w14:paraId="4D32B0A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пер. Зашкольный, 3-А</w:t>
            </w:r>
          </w:p>
        </w:tc>
        <w:tc>
          <w:tcPr>
            <w:tcW w:w="2507" w:type="dxa"/>
          </w:tcPr>
          <w:p w14:paraId="2CAF51C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26:34:080124:2</w:t>
            </w:r>
          </w:p>
        </w:tc>
      </w:tr>
      <w:tr w:rsidR="00171AA8" w:rsidRPr="00731FE2" w14:paraId="4BE0BFC1" w14:textId="77777777">
        <w:tc>
          <w:tcPr>
            <w:tcW w:w="567" w:type="dxa"/>
          </w:tcPr>
          <w:p w14:paraId="68AFC7D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11</w:t>
            </w:r>
          </w:p>
        </w:tc>
        <w:tc>
          <w:tcPr>
            <w:tcW w:w="2551" w:type="dxa"/>
          </w:tcPr>
          <w:p w14:paraId="3A921743" w14:textId="77777777" w:rsidR="00171AA8" w:rsidRPr="00731FE2" w:rsidRDefault="007935AB">
            <w:pPr>
              <w:pBdr>
                <w:top w:val="none" w:sz="4" w:space="0" w:color="000000"/>
                <w:left w:val="none" w:sz="4" w:space="0" w:color="000000"/>
                <w:bottom w:val="none" w:sz="4" w:space="0" w:color="000000"/>
                <w:right w:val="none" w:sz="4" w:space="0" w:color="000000"/>
              </w:pBdr>
              <w:ind w:firstLine="0"/>
            </w:pPr>
            <w:r w:rsidRPr="00731FE2">
              <w:rPr>
                <w:rFonts w:ascii="Times New Roman" w:eastAsia="Times New Roman" w:hAnsi="Times New Roman" w:cs="Times New Roman"/>
                <w:color w:val="000000"/>
                <w:sz w:val="22"/>
              </w:rPr>
              <w:t>Дружба-2</w:t>
            </w:r>
          </w:p>
        </w:tc>
        <w:tc>
          <w:tcPr>
            <w:tcW w:w="3730" w:type="dxa"/>
          </w:tcPr>
          <w:p w14:paraId="119339D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пр. Цандера, 3-А</w:t>
            </w:r>
          </w:p>
        </w:tc>
        <w:tc>
          <w:tcPr>
            <w:tcW w:w="2507" w:type="dxa"/>
          </w:tcPr>
          <w:p w14:paraId="581F829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26:34:080211</w:t>
            </w:r>
          </w:p>
        </w:tc>
      </w:tr>
      <w:tr w:rsidR="00171AA8" w:rsidRPr="00731FE2" w14:paraId="5F2A98A3" w14:textId="77777777">
        <w:tc>
          <w:tcPr>
            <w:tcW w:w="567" w:type="dxa"/>
          </w:tcPr>
          <w:p w14:paraId="0829291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12</w:t>
            </w:r>
          </w:p>
        </w:tc>
        <w:tc>
          <w:tcPr>
            <w:tcW w:w="2551" w:type="dxa"/>
          </w:tcPr>
          <w:p w14:paraId="2E1AAA0E" w14:textId="77777777" w:rsidR="00171AA8" w:rsidRPr="00731FE2" w:rsidRDefault="007935AB">
            <w:pPr>
              <w:pBdr>
                <w:top w:val="none" w:sz="4" w:space="0" w:color="000000"/>
                <w:left w:val="none" w:sz="4" w:space="0" w:color="000000"/>
                <w:bottom w:val="none" w:sz="4" w:space="0" w:color="000000"/>
                <w:right w:val="none" w:sz="4" w:space="0" w:color="000000"/>
              </w:pBdr>
              <w:ind w:firstLine="0"/>
            </w:pPr>
            <w:r w:rsidRPr="00731FE2">
              <w:rPr>
                <w:rFonts w:ascii="Times New Roman" w:eastAsia="Times New Roman" w:hAnsi="Times New Roman" w:cs="Times New Roman"/>
                <w:color w:val="000000"/>
                <w:sz w:val="22"/>
              </w:rPr>
              <w:t>Запорожец</w:t>
            </w:r>
          </w:p>
        </w:tc>
        <w:tc>
          <w:tcPr>
            <w:tcW w:w="3730" w:type="dxa"/>
          </w:tcPr>
          <w:p w14:paraId="4FFAAC3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ул. Коллективная, 1А</w:t>
            </w:r>
          </w:p>
        </w:tc>
        <w:tc>
          <w:tcPr>
            <w:tcW w:w="2507" w:type="dxa"/>
          </w:tcPr>
          <w:p w14:paraId="5EAE48C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26:34:150110</w:t>
            </w:r>
          </w:p>
        </w:tc>
      </w:tr>
      <w:tr w:rsidR="00171AA8" w:rsidRPr="00731FE2" w14:paraId="31E2FBFD" w14:textId="77777777">
        <w:tc>
          <w:tcPr>
            <w:tcW w:w="567" w:type="dxa"/>
          </w:tcPr>
          <w:p w14:paraId="002E94B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lastRenderedPageBreak/>
              <w:t>13</w:t>
            </w:r>
          </w:p>
        </w:tc>
        <w:tc>
          <w:tcPr>
            <w:tcW w:w="2551" w:type="dxa"/>
          </w:tcPr>
          <w:p w14:paraId="160BC863" w14:textId="77777777" w:rsidR="00171AA8" w:rsidRPr="00731FE2" w:rsidRDefault="007935AB">
            <w:pPr>
              <w:pBdr>
                <w:top w:val="none" w:sz="4" w:space="0" w:color="000000"/>
                <w:left w:val="none" w:sz="4" w:space="0" w:color="000000"/>
                <w:bottom w:val="none" w:sz="4" w:space="0" w:color="000000"/>
                <w:right w:val="none" w:sz="4" w:space="0" w:color="000000"/>
              </w:pBdr>
              <w:ind w:firstLine="0"/>
            </w:pPr>
            <w:r w:rsidRPr="00731FE2">
              <w:rPr>
                <w:rFonts w:ascii="Times New Roman" w:eastAsia="Times New Roman" w:hAnsi="Times New Roman" w:cs="Times New Roman"/>
                <w:color w:val="000000"/>
                <w:sz w:val="22"/>
              </w:rPr>
              <w:t>Нива</w:t>
            </w:r>
          </w:p>
        </w:tc>
        <w:tc>
          <w:tcPr>
            <w:tcW w:w="3730" w:type="dxa"/>
          </w:tcPr>
          <w:p w14:paraId="5D132F4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ул. Линейная, 36-А</w:t>
            </w:r>
          </w:p>
        </w:tc>
        <w:tc>
          <w:tcPr>
            <w:tcW w:w="2507" w:type="dxa"/>
          </w:tcPr>
          <w:p w14:paraId="44093FD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26:34:050206</w:t>
            </w:r>
          </w:p>
        </w:tc>
      </w:tr>
      <w:tr w:rsidR="00171AA8" w:rsidRPr="00731FE2" w14:paraId="2AA96C24" w14:textId="77777777">
        <w:tc>
          <w:tcPr>
            <w:tcW w:w="567" w:type="dxa"/>
          </w:tcPr>
          <w:p w14:paraId="6BE9ED6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14</w:t>
            </w:r>
          </w:p>
        </w:tc>
        <w:tc>
          <w:tcPr>
            <w:tcW w:w="2551" w:type="dxa"/>
          </w:tcPr>
          <w:p w14:paraId="08466A9C" w14:textId="77777777" w:rsidR="00171AA8" w:rsidRPr="00731FE2" w:rsidRDefault="007935AB">
            <w:pPr>
              <w:pBdr>
                <w:top w:val="none" w:sz="4" w:space="0" w:color="000000"/>
                <w:left w:val="none" w:sz="4" w:space="0" w:color="000000"/>
                <w:bottom w:val="none" w:sz="4" w:space="0" w:color="000000"/>
                <w:right w:val="none" w:sz="4" w:space="0" w:color="000000"/>
              </w:pBdr>
              <w:ind w:firstLine="0"/>
            </w:pPr>
            <w:r w:rsidRPr="00731FE2">
              <w:rPr>
                <w:rFonts w:ascii="Times New Roman" w:eastAsia="Times New Roman" w:hAnsi="Times New Roman" w:cs="Times New Roman"/>
                <w:color w:val="000000"/>
                <w:sz w:val="22"/>
              </w:rPr>
              <w:t>Заря</w:t>
            </w:r>
          </w:p>
        </w:tc>
        <w:tc>
          <w:tcPr>
            <w:tcW w:w="3730" w:type="dxa"/>
          </w:tcPr>
          <w:p w14:paraId="1074877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ул. А. Губина, 42</w:t>
            </w:r>
          </w:p>
        </w:tc>
        <w:tc>
          <w:tcPr>
            <w:tcW w:w="2507" w:type="dxa"/>
          </w:tcPr>
          <w:p w14:paraId="617D9AD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26:34:080112</w:t>
            </w:r>
          </w:p>
        </w:tc>
      </w:tr>
      <w:tr w:rsidR="00171AA8" w:rsidRPr="00731FE2" w14:paraId="5ED5D3AB" w14:textId="77777777">
        <w:tc>
          <w:tcPr>
            <w:tcW w:w="567" w:type="dxa"/>
          </w:tcPr>
          <w:p w14:paraId="40A6729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15</w:t>
            </w:r>
          </w:p>
        </w:tc>
        <w:tc>
          <w:tcPr>
            <w:tcW w:w="2551" w:type="dxa"/>
          </w:tcPr>
          <w:p w14:paraId="4C874966" w14:textId="77777777" w:rsidR="00171AA8" w:rsidRPr="00731FE2" w:rsidRDefault="007935AB">
            <w:pPr>
              <w:pBdr>
                <w:top w:val="none" w:sz="4" w:space="0" w:color="000000"/>
                <w:left w:val="none" w:sz="4" w:space="0" w:color="000000"/>
                <w:bottom w:val="none" w:sz="4" w:space="0" w:color="000000"/>
                <w:right w:val="none" w:sz="4" w:space="0" w:color="000000"/>
              </w:pBdr>
              <w:ind w:firstLine="0"/>
            </w:pPr>
            <w:r w:rsidRPr="00731FE2">
              <w:rPr>
                <w:rFonts w:ascii="Times New Roman" w:eastAsia="Times New Roman" w:hAnsi="Times New Roman" w:cs="Times New Roman"/>
                <w:color w:val="000000"/>
                <w:sz w:val="22"/>
              </w:rPr>
              <w:t>Восточный</w:t>
            </w:r>
          </w:p>
        </w:tc>
        <w:tc>
          <w:tcPr>
            <w:tcW w:w="3730" w:type="dxa"/>
          </w:tcPr>
          <w:p w14:paraId="7D17A48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ул. Осипенко, 33</w:t>
            </w:r>
          </w:p>
        </w:tc>
        <w:tc>
          <w:tcPr>
            <w:tcW w:w="2507" w:type="dxa"/>
          </w:tcPr>
          <w:p w14:paraId="0F0F73B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26:34:150113:5</w:t>
            </w:r>
          </w:p>
        </w:tc>
      </w:tr>
      <w:tr w:rsidR="00171AA8" w:rsidRPr="00731FE2" w14:paraId="1FDB3B4D" w14:textId="77777777">
        <w:tc>
          <w:tcPr>
            <w:tcW w:w="567" w:type="dxa"/>
          </w:tcPr>
          <w:p w14:paraId="4C2631D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16</w:t>
            </w:r>
          </w:p>
        </w:tc>
        <w:tc>
          <w:tcPr>
            <w:tcW w:w="2551" w:type="dxa"/>
          </w:tcPr>
          <w:p w14:paraId="705211F0" w14:textId="77777777" w:rsidR="00171AA8" w:rsidRPr="00731FE2" w:rsidRDefault="007935AB">
            <w:pPr>
              <w:pBdr>
                <w:top w:val="none" w:sz="4" w:space="0" w:color="000000"/>
                <w:left w:val="none" w:sz="4" w:space="0" w:color="000000"/>
                <w:bottom w:val="none" w:sz="4" w:space="0" w:color="000000"/>
                <w:right w:val="none" w:sz="4" w:space="0" w:color="000000"/>
              </w:pBdr>
              <w:ind w:firstLine="0"/>
            </w:pPr>
            <w:r w:rsidRPr="00731FE2">
              <w:rPr>
                <w:rFonts w:ascii="Times New Roman" w:eastAsia="Times New Roman" w:hAnsi="Times New Roman" w:cs="Times New Roman"/>
                <w:color w:val="000000"/>
                <w:sz w:val="22"/>
              </w:rPr>
              <w:t>Жигули</w:t>
            </w:r>
          </w:p>
        </w:tc>
        <w:tc>
          <w:tcPr>
            <w:tcW w:w="3730" w:type="dxa"/>
          </w:tcPr>
          <w:p w14:paraId="17871D6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пр. Цандера, 14-А</w:t>
            </w:r>
          </w:p>
        </w:tc>
        <w:tc>
          <w:tcPr>
            <w:tcW w:w="2507" w:type="dxa"/>
          </w:tcPr>
          <w:p w14:paraId="35808E2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26:34:080109</w:t>
            </w:r>
          </w:p>
        </w:tc>
      </w:tr>
      <w:tr w:rsidR="00171AA8" w:rsidRPr="00731FE2" w14:paraId="63BB93F0" w14:textId="77777777">
        <w:tc>
          <w:tcPr>
            <w:tcW w:w="567" w:type="dxa"/>
          </w:tcPr>
          <w:p w14:paraId="387EC27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17</w:t>
            </w:r>
          </w:p>
        </w:tc>
        <w:tc>
          <w:tcPr>
            <w:tcW w:w="2551" w:type="dxa"/>
          </w:tcPr>
          <w:p w14:paraId="71F7A36D" w14:textId="77777777" w:rsidR="00171AA8" w:rsidRPr="00731FE2" w:rsidRDefault="007935AB">
            <w:pPr>
              <w:pBdr>
                <w:top w:val="none" w:sz="4" w:space="0" w:color="000000"/>
                <w:left w:val="none" w:sz="4" w:space="0" w:color="000000"/>
                <w:bottom w:val="none" w:sz="4" w:space="0" w:color="000000"/>
                <w:right w:val="none" w:sz="4" w:space="0" w:color="000000"/>
              </w:pBdr>
              <w:ind w:firstLine="0"/>
            </w:pPr>
            <w:r w:rsidRPr="00731FE2">
              <w:rPr>
                <w:rFonts w:ascii="Times New Roman" w:eastAsia="Times New Roman" w:hAnsi="Times New Roman" w:cs="Times New Roman"/>
                <w:color w:val="000000"/>
                <w:sz w:val="22"/>
              </w:rPr>
              <w:t>Ветеран</w:t>
            </w:r>
          </w:p>
        </w:tc>
        <w:tc>
          <w:tcPr>
            <w:tcW w:w="3730" w:type="dxa"/>
          </w:tcPr>
          <w:p w14:paraId="4445760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ул. Промышленная, 14А</w:t>
            </w:r>
          </w:p>
        </w:tc>
        <w:tc>
          <w:tcPr>
            <w:tcW w:w="2507" w:type="dxa"/>
          </w:tcPr>
          <w:p w14:paraId="37CD8D8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26:34:110108</w:t>
            </w:r>
          </w:p>
        </w:tc>
      </w:tr>
      <w:tr w:rsidR="00171AA8" w:rsidRPr="00731FE2" w14:paraId="7E0F64E6" w14:textId="77777777">
        <w:tc>
          <w:tcPr>
            <w:tcW w:w="567" w:type="dxa"/>
          </w:tcPr>
          <w:p w14:paraId="2E274FD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18</w:t>
            </w:r>
          </w:p>
        </w:tc>
        <w:tc>
          <w:tcPr>
            <w:tcW w:w="2551" w:type="dxa"/>
          </w:tcPr>
          <w:p w14:paraId="352F4D17" w14:textId="77777777" w:rsidR="00171AA8" w:rsidRPr="00731FE2" w:rsidRDefault="007935AB">
            <w:pPr>
              <w:pBdr>
                <w:top w:val="none" w:sz="4" w:space="0" w:color="000000"/>
                <w:left w:val="none" w:sz="4" w:space="0" w:color="000000"/>
                <w:bottom w:val="none" w:sz="4" w:space="0" w:color="000000"/>
                <w:right w:val="none" w:sz="4" w:space="0" w:color="000000"/>
              </w:pBdr>
              <w:ind w:firstLine="0"/>
            </w:pPr>
            <w:r w:rsidRPr="00731FE2">
              <w:rPr>
                <w:rFonts w:ascii="Times New Roman" w:eastAsia="Times New Roman" w:hAnsi="Times New Roman" w:cs="Times New Roman"/>
                <w:color w:val="000000"/>
                <w:sz w:val="22"/>
              </w:rPr>
              <w:t>Победа</w:t>
            </w:r>
          </w:p>
        </w:tc>
        <w:tc>
          <w:tcPr>
            <w:tcW w:w="3730" w:type="dxa"/>
          </w:tcPr>
          <w:p w14:paraId="72AD3E9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ул. Железнодорожная, 1А</w:t>
            </w:r>
          </w:p>
        </w:tc>
        <w:tc>
          <w:tcPr>
            <w:tcW w:w="2507" w:type="dxa"/>
          </w:tcPr>
          <w:p w14:paraId="7B476C3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26:34:130101</w:t>
            </w:r>
          </w:p>
        </w:tc>
      </w:tr>
      <w:tr w:rsidR="00171AA8" w:rsidRPr="00731FE2" w14:paraId="22DD4467" w14:textId="77777777">
        <w:tc>
          <w:tcPr>
            <w:tcW w:w="567" w:type="dxa"/>
          </w:tcPr>
          <w:p w14:paraId="2F9ED38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19</w:t>
            </w:r>
          </w:p>
        </w:tc>
        <w:tc>
          <w:tcPr>
            <w:tcW w:w="2551" w:type="dxa"/>
          </w:tcPr>
          <w:p w14:paraId="7B2695C5" w14:textId="77777777" w:rsidR="00171AA8" w:rsidRPr="00731FE2" w:rsidRDefault="007935AB">
            <w:pPr>
              <w:pBdr>
                <w:top w:val="none" w:sz="4" w:space="0" w:color="000000"/>
                <w:left w:val="none" w:sz="4" w:space="0" w:color="000000"/>
                <w:bottom w:val="none" w:sz="4" w:space="0" w:color="000000"/>
                <w:right w:val="none" w:sz="4" w:space="0" w:color="000000"/>
              </w:pBdr>
              <w:ind w:firstLine="0"/>
            </w:pPr>
            <w:r w:rsidRPr="00731FE2">
              <w:rPr>
                <w:rFonts w:ascii="Times New Roman" w:eastAsia="Times New Roman" w:hAnsi="Times New Roman" w:cs="Times New Roman"/>
                <w:color w:val="000000"/>
                <w:sz w:val="22"/>
              </w:rPr>
              <w:t>Северный</w:t>
            </w:r>
          </w:p>
        </w:tc>
        <w:tc>
          <w:tcPr>
            <w:tcW w:w="3730" w:type="dxa"/>
          </w:tcPr>
          <w:p w14:paraId="124CA6B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ул. Ессентукская, 49</w:t>
            </w:r>
          </w:p>
        </w:tc>
        <w:tc>
          <w:tcPr>
            <w:tcW w:w="2507" w:type="dxa"/>
          </w:tcPr>
          <w:p w14:paraId="21A3C58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26:34:100142</w:t>
            </w:r>
          </w:p>
        </w:tc>
      </w:tr>
      <w:tr w:rsidR="00171AA8" w:rsidRPr="00731FE2" w14:paraId="1C4A79F4" w14:textId="77777777">
        <w:tc>
          <w:tcPr>
            <w:tcW w:w="567" w:type="dxa"/>
          </w:tcPr>
          <w:p w14:paraId="1D95E90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20</w:t>
            </w:r>
          </w:p>
        </w:tc>
        <w:tc>
          <w:tcPr>
            <w:tcW w:w="2551" w:type="dxa"/>
          </w:tcPr>
          <w:p w14:paraId="1B198192" w14:textId="77777777" w:rsidR="00171AA8" w:rsidRPr="00731FE2" w:rsidRDefault="007935AB">
            <w:pPr>
              <w:pBdr>
                <w:top w:val="none" w:sz="4" w:space="0" w:color="000000"/>
                <w:left w:val="none" w:sz="4" w:space="0" w:color="000000"/>
                <w:bottom w:val="none" w:sz="4" w:space="0" w:color="000000"/>
                <w:right w:val="none" w:sz="4" w:space="0" w:color="000000"/>
              </w:pBdr>
              <w:ind w:firstLine="0"/>
            </w:pPr>
            <w:r w:rsidRPr="00731FE2">
              <w:rPr>
                <w:rFonts w:ascii="Times New Roman" w:eastAsia="Times New Roman" w:hAnsi="Times New Roman" w:cs="Times New Roman"/>
                <w:color w:val="000000"/>
                <w:sz w:val="22"/>
              </w:rPr>
              <w:t>Мотор</w:t>
            </w:r>
          </w:p>
        </w:tc>
        <w:tc>
          <w:tcPr>
            <w:tcW w:w="3730" w:type="dxa"/>
          </w:tcPr>
          <w:p w14:paraId="3C8C713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ул. Энгельса, 31</w:t>
            </w:r>
          </w:p>
        </w:tc>
        <w:tc>
          <w:tcPr>
            <w:tcW w:w="2507" w:type="dxa"/>
          </w:tcPr>
          <w:p w14:paraId="72E0272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26:34:130207</w:t>
            </w:r>
          </w:p>
        </w:tc>
      </w:tr>
      <w:tr w:rsidR="00171AA8" w:rsidRPr="00731FE2" w14:paraId="68DF5CE9" w14:textId="77777777">
        <w:tc>
          <w:tcPr>
            <w:tcW w:w="567" w:type="dxa"/>
          </w:tcPr>
          <w:p w14:paraId="7035527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21</w:t>
            </w:r>
          </w:p>
        </w:tc>
        <w:tc>
          <w:tcPr>
            <w:tcW w:w="2551" w:type="dxa"/>
          </w:tcPr>
          <w:p w14:paraId="48A899DC" w14:textId="77777777" w:rsidR="00171AA8" w:rsidRPr="00731FE2" w:rsidRDefault="007935AB">
            <w:pPr>
              <w:pBdr>
                <w:top w:val="none" w:sz="4" w:space="0" w:color="000000"/>
                <w:left w:val="none" w:sz="4" w:space="0" w:color="000000"/>
                <w:bottom w:val="none" w:sz="4" w:space="0" w:color="000000"/>
                <w:right w:val="none" w:sz="4" w:space="0" w:color="000000"/>
              </w:pBdr>
              <w:ind w:firstLine="0"/>
            </w:pPr>
            <w:r w:rsidRPr="00731FE2">
              <w:rPr>
                <w:rFonts w:ascii="Times New Roman" w:eastAsia="Times New Roman" w:hAnsi="Times New Roman" w:cs="Times New Roman"/>
                <w:color w:val="000000"/>
                <w:sz w:val="22"/>
              </w:rPr>
              <w:t>Березка</w:t>
            </w:r>
          </w:p>
        </w:tc>
        <w:tc>
          <w:tcPr>
            <w:tcW w:w="3730" w:type="dxa"/>
          </w:tcPr>
          <w:p w14:paraId="07235A7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ул. Набережная</w:t>
            </w:r>
          </w:p>
        </w:tc>
        <w:tc>
          <w:tcPr>
            <w:tcW w:w="2507" w:type="dxa"/>
          </w:tcPr>
          <w:p w14:paraId="7252ADB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26:34:100103</w:t>
            </w:r>
          </w:p>
        </w:tc>
      </w:tr>
      <w:tr w:rsidR="00171AA8" w:rsidRPr="00731FE2" w14:paraId="69A6B840" w14:textId="77777777">
        <w:tc>
          <w:tcPr>
            <w:tcW w:w="567" w:type="dxa"/>
          </w:tcPr>
          <w:p w14:paraId="5BFC343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22</w:t>
            </w:r>
          </w:p>
        </w:tc>
        <w:tc>
          <w:tcPr>
            <w:tcW w:w="2551" w:type="dxa"/>
          </w:tcPr>
          <w:p w14:paraId="756C9040" w14:textId="77777777" w:rsidR="00171AA8" w:rsidRPr="00731FE2" w:rsidRDefault="007935AB">
            <w:pPr>
              <w:pBdr>
                <w:top w:val="none" w:sz="4" w:space="0" w:color="000000"/>
                <w:left w:val="none" w:sz="4" w:space="0" w:color="000000"/>
                <w:bottom w:val="none" w:sz="4" w:space="0" w:color="000000"/>
                <w:right w:val="none" w:sz="4" w:space="0" w:color="000000"/>
              </w:pBdr>
              <w:ind w:firstLine="0"/>
            </w:pPr>
            <w:r w:rsidRPr="00731FE2">
              <w:rPr>
                <w:rFonts w:ascii="Times New Roman" w:eastAsia="Times New Roman" w:hAnsi="Times New Roman" w:cs="Times New Roman"/>
                <w:color w:val="000000"/>
                <w:sz w:val="22"/>
              </w:rPr>
              <w:t>Надежда</w:t>
            </w:r>
          </w:p>
        </w:tc>
        <w:tc>
          <w:tcPr>
            <w:tcW w:w="3730" w:type="dxa"/>
          </w:tcPr>
          <w:p w14:paraId="60E6D8C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пр. Победы, 134-А</w:t>
            </w:r>
          </w:p>
        </w:tc>
        <w:tc>
          <w:tcPr>
            <w:tcW w:w="2507" w:type="dxa"/>
          </w:tcPr>
          <w:p w14:paraId="1316B83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26:34:100141</w:t>
            </w:r>
          </w:p>
        </w:tc>
      </w:tr>
      <w:tr w:rsidR="00171AA8" w:rsidRPr="00731FE2" w14:paraId="5F625126" w14:textId="77777777">
        <w:tc>
          <w:tcPr>
            <w:tcW w:w="567" w:type="dxa"/>
          </w:tcPr>
          <w:p w14:paraId="3BF7630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23</w:t>
            </w:r>
          </w:p>
        </w:tc>
        <w:tc>
          <w:tcPr>
            <w:tcW w:w="2551" w:type="dxa"/>
          </w:tcPr>
          <w:p w14:paraId="1C9E5C48" w14:textId="77777777" w:rsidR="00171AA8" w:rsidRPr="00731FE2" w:rsidRDefault="007935AB">
            <w:pPr>
              <w:pBdr>
                <w:top w:val="none" w:sz="4" w:space="0" w:color="000000"/>
                <w:left w:val="none" w:sz="4" w:space="0" w:color="000000"/>
                <w:bottom w:val="none" w:sz="4" w:space="0" w:color="000000"/>
                <w:right w:val="none" w:sz="4" w:space="0" w:color="000000"/>
              </w:pBdr>
              <w:ind w:firstLine="0"/>
            </w:pPr>
            <w:r w:rsidRPr="00731FE2">
              <w:rPr>
                <w:rFonts w:ascii="Times New Roman" w:eastAsia="Times New Roman" w:hAnsi="Times New Roman" w:cs="Times New Roman"/>
                <w:color w:val="000000"/>
                <w:sz w:val="22"/>
              </w:rPr>
              <w:t>Кавказ</w:t>
            </w:r>
          </w:p>
        </w:tc>
        <w:tc>
          <w:tcPr>
            <w:tcW w:w="3730" w:type="dxa"/>
          </w:tcPr>
          <w:p w14:paraId="0247091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ул. Крылова, 10</w:t>
            </w:r>
          </w:p>
        </w:tc>
        <w:tc>
          <w:tcPr>
            <w:tcW w:w="2507" w:type="dxa"/>
          </w:tcPr>
          <w:p w14:paraId="7A35073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26:34:050132</w:t>
            </w:r>
          </w:p>
        </w:tc>
      </w:tr>
      <w:tr w:rsidR="00171AA8" w:rsidRPr="00731FE2" w14:paraId="47744FAE" w14:textId="77777777">
        <w:tc>
          <w:tcPr>
            <w:tcW w:w="567" w:type="dxa"/>
          </w:tcPr>
          <w:p w14:paraId="59D007E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24</w:t>
            </w:r>
          </w:p>
        </w:tc>
        <w:tc>
          <w:tcPr>
            <w:tcW w:w="2551" w:type="dxa"/>
          </w:tcPr>
          <w:p w14:paraId="1CCD093C" w14:textId="77777777" w:rsidR="00171AA8" w:rsidRPr="00731FE2" w:rsidRDefault="007935AB">
            <w:pPr>
              <w:pBdr>
                <w:top w:val="none" w:sz="4" w:space="0" w:color="000000"/>
                <w:left w:val="none" w:sz="4" w:space="0" w:color="000000"/>
                <w:bottom w:val="none" w:sz="4" w:space="0" w:color="000000"/>
                <w:right w:val="none" w:sz="4" w:space="0" w:color="000000"/>
              </w:pBdr>
              <w:ind w:firstLine="0"/>
            </w:pPr>
            <w:r w:rsidRPr="00731FE2">
              <w:rPr>
                <w:rFonts w:ascii="Times New Roman" w:eastAsia="Times New Roman" w:hAnsi="Times New Roman" w:cs="Times New Roman"/>
                <w:color w:val="000000"/>
                <w:sz w:val="22"/>
              </w:rPr>
              <w:t>Красивый</w:t>
            </w:r>
          </w:p>
        </w:tc>
        <w:tc>
          <w:tcPr>
            <w:tcW w:w="3730" w:type="dxa"/>
          </w:tcPr>
          <w:p w14:paraId="00E7F92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ул. Красивая, 23</w:t>
            </w:r>
          </w:p>
        </w:tc>
        <w:tc>
          <w:tcPr>
            <w:tcW w:w="2507" w:type="dxa"/>
          </w:tcPr>
          <w:p w14:paraId="5E4CE83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26:34:080150</w:t>
            </w:r>
          </w:p>
        </w:tc>
      </w:tr>
      <w:tr w:rsidR="00171AA8" w:rsidRPr="00731FE2" w14:paraId="756B5DAE" w14:textId="77777777">
        <w:tc>
          <w:tcPr>
            <w:tcW w:w="567" w:type="dxa"/>
          </w:tcPr>
          <w:p w14:paraId="5421AE2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25</w:t>
            </w:r>
          </w:p>
        </w:tc>
        <w:tc>
          <w:tcPr>
            <w:tcW w:w="2551" w:type="dxa"/>
          </w:tcPr>
          <w:p w14:paraId="2B224C15" w14:textId="77777777" w:rsidR="00171AA8" w:rsidRPr="00731FE2" w:rsidRDefault="007935AB">
            <w:pPr>
              <w:pBdr>
                <w:top w:val="none" w:sz="4" w:space="0" w:color="000000"/>
                <w:left w:val="none" w:sz="4" w:space="0" w:color="000000"/>
                <w:bottom w:val="none" w:sz="4" w:space="0" w:color="000000"/>
                <w:right w:val="none" w:sz="4" w:space="0" w:color="000000"/>
              </w:pBdr>
              <w:ind w:firstLine="0"/>
            </w:pPr>
            <w:r w:rsidRPr="00731FE2">
              <w:rPr>
                <w:rFonts w:ascii="Times New Roman" w:eastAsia="Times New Roman" w:hAnsi="Times New Roman" w:cs="Times New Roman"/>
                <w:color w:val="000000"/>
                <w:sz w:val="22"/>
              </w:rPr>
              <w:t>Красивый-2</w:t>
            </w:r>
          </w:p>
        </w:tc>
        <w:tc>
          <w:tcPr>
            <w:tcW w:w="3730" w:type="dxa"/>
          </w:tcPr>
          <w:p w14:paraId="5DCD938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ул. Красивая, 45</w:t>
            </w:r>
          </w:p>
        </w:tc>
        <w:tc>
          <w:tcPr>
            <w:tcW w:w="2507" w:type="dxa"/>
          </w:tcPr>
          <w:p w14:paraId="32A169F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26:34:080149</w:t>
            </w:r>
          </w:p>
        </w:tc>
      </w:tr>
      <w:tr w:rsidR="00171AA8" w:rsidRPr="00731FE2" w14:paraId="64E2FCCE" w14:textId="77777777">
        <w:tc>
          <w:tcPr>
            <w:tcW w:w="567" w:type="dxa"/>
          </w:tcPr>
          <w:p w14:paraId="32F5CF7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26</w:t>
            </w:r>
          </w:p>
        </w:tc>
        <w:tc>
          <w:tcPr>
            <w:tcW w:w="2551" w:type="dxa"/>
          </w:tcPr>
          <w:p w14:paraId="1B2456B5" w14:textId="77777777" w:rsidR="00171AA8" w:rsidRPr="00731FE2" w:rsidRDefault="007935AB">
            <w:pPr>
              <w:pBdr>
                <w:top w:val="none" w:sz="4" w:space="0" w:color="000000"/>
                <w:left w:val="none" w:sz="4" w:space="0" w:color="000000"/>
                <w:bottom w:val="none" w:sz="4" w:space="0" w:color="000000"/>
                <w:right w:val="none" w:sz="4" w:space="0" w:color="000000"/>
              </w:pBdr>
              <w:ind w:firstLine="0"/>
            </w:pPr>
            <w:r w:rsidRPr="00731FE2">
              <w:rPr>
                <w:rFonts w:ascii="Times New Roman" w:eastAsia="Times New Roman" w:hAnsi="Times New Roman" w:cs="Times New Roman"/>
                <w:color w:val="000000"/>
                <w:sz w:val="22"/>
              </w:rPr>
              <w:t>Орион</w:t>
            </w:r>
          </w:p>
        </w:tc>
        <w:tc>
          <w:tcPr>
            <w:tcW w:w="3730" w:type="dxa"/>
          </w:tcPr>
          <w:p w14:paraId="5C1F0EC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ул. Челюскинцев, 16</w:t>
            </w:r>
          </w:p>
        </w:tc>
        <w:tc>
          <w:tcPr>
            <w:tcW w:w="2507" w:type="dxa"/>
          </w:tcPr>
          <w:p w14:paraId="2E85FA6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26:34:080132</w:t>
            </w:r>
          </w:p>
        </w:tc>
      </w:tr>
      <w:tr w:rsidR="00171AA8" w:rsidRPr="00731FE2" w14:paraId="3ED55591" w14:textId="77777777">
        <w:tc>
          <w:tcPr>
            <w:tcW w:w="567" w:type="dxa"/>
          </w:tcPr>
          <w:p w14:paraId="7309530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27</w:t>
            </w:r>
          </w:p>
        </w:tc>
        <w:tc>
          <w:tcPr>
            <w:tcW w:w="2551" w:type="dxa"/>
          </w:tcPr>
          <w:p w14:paraId="47C459B0" w14:textId="77777777" w:rsidR="00171AA8" w:rsidRPr="00731FE2" w:rsidRDefault="007935AB">
            <w:pPr>
              <w:pBdr>
                <w:top w:val="none" w:sz="4" w:space="0" w:color="000000"/>
                <w:left w:val="none" w:sz="4" w:space="0" w:color="000000"/>
                <w:bottom w:val="none" w:sz="4" w:space="0" w:color="000000"/>
                <w:right w:val="none" w:sz="4" w:space="0" w:color="000000"/>
              </w:pBdr>
              <w:ind w:firstLine="0"/>
            </w:pPr>
            <w:r w:rsidRPr="00731FE2">
              <w:rPr>
                <w:rFonts w:ascii="Times New Roman" w:eastAsia="Times New Roman" w:hAnsi="Times New Roman" w:cs="Times New Roman"/>
                <w:color w:val="000000"/>
                <w:sz w:val="22"/>
              </w:rPr>
              <w:t>Озерный</w:t>
            </w:r>
          </w:p>
        </w:tc>
        <w:tc>
          <w:tcPr>
            <w:tcW w:w="3730" w:type="dxa"/>
          </w:tcPr>
          <w:p w14:paraId="52B19CD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ул. Белинского, 7</w:t>
            </w:r>
          </w:p>
        </w:tc>
        <w:tc>
          <w:tcPr>
            <w:tcW w:w="2507" w:type="dxa"/>
          </w:tcPr>
          <w:p w14:paraId="02DBA1A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26:34:080154:2</w:t>
            </w:r>
          </w:p>
        </w:tc>
      </w:tr>
      <w:tr w:rsidR="00171AA8" w:rsidRPr="00731FE2" w14:paraId="44177886" w14:textId="77777777">
        <w:tc>
          <w:tcPr>
            <w:tcW w:w="567" w:type="dxa"/>
          </w:tcPr>
          <w:p w14:paraId="1940639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28</w:t>
            </w:r>
          </w:p>
        </w:tc>
        <w:tc>
          <w:tcPr>
            <w:tcW w:w="2551" w:type="dxa"/>
          </w:tcPr>
          <w:p w14:paraId="563A3089" w14:textId="77777777" w:rsidR="00171AA8" w:rsidRPr="00731FE2" w:rsidRDefault="007935AB">
            <w:pPr>
              <w:pBdr>
                <w:top w:val="none" w:sz="4" w:space="0" w:color="000000"/>
                <w:left w:val="none" w:sz="4" w:space="0" w:color="000000"/>
                <w:bottom w:val="none" w:sz="4" w:space="0" w:color="000000"/>
                <w:right w:val="none" w:sz="4" w:space="0" w:color="000000"/>
              </w:pBdr>
              <w:ind w:firstLine="0"/>
            </w:pPr>
            <w:r w:rsidRPr="00731FE2">
              <w:rPr>
                <w:rFonts w:ascii="Times New Roman" w:eastAsia="Times New Roman" w:hAnsi="Times New Roman" w:cs="Times New Roman"/>
                <w:color w:val="000000"/>
                <w:sz w:val="22"/>
              </w:rPr>
              <w:t>Старт</w:t>
            </w:r>
          </w:p>
        </w:tc>
        <w:tc>
          <w:tcPr>
            <w:tcW w:w="3730" w:type="dxa"/>
          </w:tcPr>
          <w:p w14:paraId="1164E1F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ул. Окопная</w:t>
            </w:r>
          </w:p>
        </w:tc>
        <w:tc>
          <w:tcPr>
            <w:tcW w:w="2507" w:type="dxa"/>
          </w:tcPr>
          <w:p w14:paraId="663CC32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26:34:100138:1</w:t>
            </w:r>
          </w:p>
        </w:tc>
      </w:tr>
      <w:tr w:rsidR="00171AA8" w:rsidRPr="00731FE2" w14:paraId="193DC471" w14:textId="77777777">
        <w:tc>
          <w:tcPr>
            <w:tcW w:w="567" w:type="dxa"/>
          </w:tcPr>
          <w:p w14:paraId="53777FD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29</w:t>
            </w:r>
          </w:p>
        </w:tc>
        <w:tc>
          <w:tcPr>
            <w:tcW w:w="2551" w:type="dxa"/>
          </w:tcPr>
          <w:p w14:paraId="2A709980" w14:textId="77777777" w:rsidR="00171AA8" w:rsidRPr="00731FE2" w:rsidRDefault="007935AB">
            <w:pPr>
              <w:pBdr>
                <w:top w:val="none" w:sz="4" w:space="0" w:color="000000"/>
                <w:left w:val="none" w:sz="4" w:space="0" w:color="000000"/>
                <w:bottom w:val="none" w:sz="4" w:space="0" w:color="000000"/>
                <w:right w:val="none" w:sz="4" w:space="0" w:color="000000"/>
              </w:pBdr>
              <w:ind w:firstLine="0"/>
            </w:pPr>
            <w:r w:rsidRPr="00731FE2">
              <w:rPr>
                <w:rFonts w:ascii="Times New Roman" w:eastAsia="Times New Roman" w:hAnsi="Times New Roman" w:cs="Times New Roman"/>
                <w:color w:val="000000"/>
                <w:sz w:val="22"/>
              </w:rPr>
              <w:t>Звездочка</w:t>
            </w:r>
          </w:p>
        </w:tc>
        <w:tc>
          <w:tcPr>
            <w:tcW w:w="3730" w:type="dxa"/>
          </w:tcPr>
          <w:p w14:paraId="3CBD8C0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ул. Пионерская</w:t>
            </w:r>
          </w:p>
        </w:tc>
        <w:tc>
          <w:tcPr>
            <w:tcW w:w="2507" w:type="dxa"/>
          </w:tcPr>
          <w:p w14:paraId="4EB1E22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26:34:080145:8</w:t>
            </w:r>
          </w:p>
        </w:tc>
      </w:tr>
      <w:tr w:rsidR="00171AA8" w:rsidRPr="00731FE2" w14:paraId="3866E54E" w14:textId="77777777">
        <w:tc>
          <w:tcPr>
            <w:tcW w:w="567" w:type="dxa"/>
          </w:tcPr>
          <w:p w14:paraId="71A5E77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30</w:t>
            </w:r>
          </w:p>
        </w:tc>
        <w:tc>
          <w:tcPr>
            <w:tcW w:w="2551" w:type="dxa"/>
          </w:tcPr>
          <w:p w14:paraId="04AD6D7E" w14:textId="77777777" w:rsidR="00171AA8" w:rsidRPr="00731FE2" w:rsidRDefault="007935AB">
            <w:pPr>
              <w:pBdr>
                <w:top w:val="none" w:sz="4" w:space="0" w:color="000000"/>
                <w:left w:val="none" w:sz="4" w:space="0" w:color="000000"/>
                <w:bottom w:val="none" w:sz="4" w:space="0" w:color="000000"/>
                <w:right w:val="none" w:sz="4" w:space="0" w:color="000000"/>
              </w:pBdr>
              <w:ind w:firstLine="0"/>
            </w:pPr>
            <w:r w:rsidRPr="00731FE2">
              <w:rPr>
                <w:rFonts w:ascii="Times New Roman" w:eastAsia="Times New Roman" w:hAnsi="Times New Roman" w:cs="Times New Roman"/>
                <w:color w:val="000000"/>
                <w:sz w:val="22"/>
              </w:rPr>
              <w:t>Центральный</w:t>
            </w:r>
          </w:p>
        </w:tc>
        <w:tc>
          <w:tcPr>
            <w:tcW w:w="3730" w:type="dxa"/>
          </w:tcPr>
          <w:p w14:paraId="0C4E232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ул. Коллективная, 30</w:t>
            </w:r>
          </w:p>
        </w:tc>
        <w:tc>
          <w:tcPr>
            <w:tcW w:w="2507" w:type="dxa"/>
          </w:tcPr>
          <w:p w14:paraId="2CA7B21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26:34:150115:42</w:t>
            </w:r>
          </w:p>
        </w:tc>
      </w:tr>
      <w:tr w:rsidR="00171AA8" w:rsidRPr="00731FE2" w14:paraId="778FC009" w14:textId="77777777">
        <w:tc>
          <w:tcPr>
            <w:tcW w:w="567" w:type="dxa"/>
          </w:tcPr>
          <w:p w14:paraId="5E77C4D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31</w:t>
            </w:r>
          </w:p>
        </w:tc>
        <w:tc>
          <w:tcPr>
            <w:tcW w:w="2551" w:type="dxa"/>
          </w:tcPr>
          <w:p w14:paraId="33C74E56" w14:textId="77777777" w:rsidR="00171AA8" w:rsidRPr="00731FE2" w:rsidRDefault="007935AB">
            <w:pPr>
              <w:pBdr>
                <w:top w:val="none" w:sz="4" w:space="0" w:color="000000"/>
                <w:left w:val="none" w:sz="4" w:space="0" w:color="000000"/>
                <w:bottom w:val="none" w:sz="4" w:space="0" w:color="000000"/>
                <w:right w:val="none" w:sz="4" w:space="0" w:color="000000"/>
              </w:pBdr>
              <w:ind w:firstLine="0"/>
            </w:pPr>
            <w:r w:rsidRPr="00731FE2">
              <w:rPr>
                <w:rFonts w:ascii="Times New Roman" w:eastAsia="Times New Roman" w:hAnsi="Times New Roman" w:cs="Times New Roman"/>
                <w:color w:val="000000"/>
                <w:sz w:val="22"/>
              </w:rPr>
              <w:t>Юлия</w:t>
            </w:r>
          </w:p>
        </w:tc>
        <w:tc>
          <w:tcPr>
            <w:tcW w:w="3730" w:type="dxa"/>
          </w:tcPr>
          <w:p w14:paraId="0015181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ул. Островского, 36</w:t>
            </w:r>
          </w:p>
        </w:tc>
        <w:tc>
          <w:tcPr>
            <w:tcW w:w="2507" w:type="dxa"/>
          </w:tcPr>
          <w:p w14:paraId="444A75A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26:34:080114</w:t>
            </w:r>
          </w:p>
        </w:tc>
      </w:tr>
      <w:tr w:rsidR="00171AA8" w:rsidRPr="00731FE2" w14:paraId="22CDE857" w14:textId="77777777">
        <w:tc>
          <w:tcPr>
            <w:tcW w:w="567" w:type="dxa"/>
          </w:tcPr>
          <w:p w14:paraId="60C70E3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32</w:t>
            </w:r>
          </w:p>
        </w:tc>
        <w:tc>
          <w:tcPr>
            <w:tcW w:w="2551" w:type="dxa"/>
          </w:tcPr>
          <w:p w14:paraId="4F79DC1A" w14:textId="77777777" w:rsidR="00171AA8" w:rsidRPr="00731FE2" w:rsidRDefault="007935AB">
            <w:pPr>
              <w:pBdr>
                <w:top w:val="none" w:sz="4" w:space="0" w:color="000000"/>
                <w:left w:val="none" w:sz="4" w:space="0" w:color="000000"/>
                <w:bottom w:val="none" w:sz="4" w:space="0" w:color="000000"/>
                <w:right w:val="none" w:sz="4" w:space="0" w:color="000000"/>
              </w:pBdr>
              <w:ind w:firstLine="0"/>
            </w:pPr>
            <w:r w:rsidRPr="00731FE2">
              <w:rPr>
                <w:rFonts w:ascii="Times New Roman" w:eastAsia="Times New Roman" w:hAnsi="Times New Roman" w:cs="Times New Roman"/>
                <w:color w:val="000000"/>
                <w:sz w:val="22"/>
              </w:rPr>
              <w:t>Кисловодск-2</w:t>
            </w:r>
          </w:p>
        </w:tc>
        <w:tc>
          <w:tcPr>
            <w:tcW w:w="3730" w:type="dxa"/>
          </w:tcPr>
          <w:p w14:paraId="10FDB62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ул. Титова</w:t>
            </w:r>
          </w:p>
        </w:tc>
        <w:tc>
          <w:tcPr>
            <w:tcW w:w="2507" w:type="dxa"/>
          </w:tcPr>
          <w:p w14:paraId="7041AE7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26:34:080225:1</w:t>
            </w:r>
          </w:p>
        </w:tc>
      </w:tr>
      <w:tr w:rsidR="00171AA8" w:rsidRPr="00731FE2" w14:paraId="6D3D61FB" w14:textId="77777777">
        <w:tc>
          <w:tcPr>
            <w:tcW w:w="567" w:type="dxa"/>
          </w:tcPr>
          <w:p w14:paraId="5057099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33</w:t>
            </w:r>
          </w:p>
        </w:tc>
        <w:tc>
          <w:tcPr>
            <w:tcW w:w="2551" w:type="dxa"/>
          </w:tcPr>
          <w:p w14:paraId="3617408B" w14:textId="77777777" w:rsidR="00171AA8" w:rsidRPr="00731FE2" w:rsidRDefault="007935AB">
            <w:pPr>
              <w:pBdr>
                <w:top w:val="none" w:sz="4" w:space="0" w:color="000000"/>
                <w:left w:val="none" w:sz="4" w:space="0" w:color="000000"/>
                <w:bottom w:val="none" w:sz="4" w:space="0" w:color="000000"/>
                <w:right w:val="none" w:sz="4" w:space="0" w:color="000000"/>
              </w:pBdr>
              <w:ind w:firstLine="0"/>
            </w:pPr>
            <w:r w:rsidRPr="00731FE2">
              <w:rPr>
                <w:rFonts w:ascii="Times New Roman" w:eastAsia="Times New Roman" w:hAnsi="Times New Roman" w:cs="Times New Roman"/>
                <w:color w:val="000000"/>
                <w:sz w:val="22"/>
              </w:rPr>
              <w:t>Лидер</w:t>
            </w:r>
          </w:p>
        </w:tc>
        <w:tc>
          <w:tcPr>
            <w:tcW w:w="3730" w:type="dxa"/>
          </w:tcPr>
          <w:p w14:paraId="3513DCC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ул. 8 Марта</w:t>
            </w:r>
          </w:p>
        </w:tc>
        <w:tc>
          <w:tcPr>
            <w:tcW w:w="2507" w:type="dxa"/>
          </w:tcPr>
          <w:p w14:paraId="560A892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26:34:150119</w:t>
            </w:r>
          </w:p>
        </w:tc>
      </w:tr>
      <w:tr w:rsidR="00171AA8" w:rsidRPr="00731FE2" w14:paraId="3669949A" w14:textId="77777777">
        <w:tc>
          <w:tcPr>
            <w:tcW w:w="567" w:type="dxa"/>
          </w:tcPr>
          <w:p w14:paraId="66E4C3D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34</w:t>
            </w:r>
          </w:p>
        </w:tc>
        <w:tc>
          <w:tcPr>
            <w:tcW w:w="2551" w:type="dxa"/>
          </w:tcPr>
          <w:p w14:paraId="7139A0B6" w14:textId="77777777" w:rsidR="00171AA8" w:rsidRPr="00731FE2" w:rsidRDefault="007935AB">
            <w:pPr>
              <w:pBdr>
                <w:top w:val="none" w:sz="4" w:space="0" w:color="000000"/>
                <w:left w:val="none" w:sz="4" w:space="0" w:color="000000"/>
                <w:bottom w:val="none" w:sz="4" w:space="0" w:color="000000"/>
                <w:right w:val="none" w:sz="4" w:space="0" w:color="000000"/>
              </w:pBdr>
              <w:ind w:firstLine="0"/>
            </w:pPr>
            <w:r w:rsidRPr="00731FE2">
              <w:rPr>
                <w:rFonts w:ascii="Times New Roman" w:eastAsia="Times New Roman" w:hAnsi="Times New Roman" w:cs="Times New Roman"/>
                <w:color w:val="000000"/>
                <w:sz w:val="22"/>
              </w:rPr>
              <w:t>Пограничник</w:t>
            </w:r>
          </w:p>
        </w:tc>
        <w:tc>
          <w:tcPr>
            <w:tcW w:w="3730" w:type="dxa"/>
          </w:tcPr>
          <w:p w14:paraId="4AD75A4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ул. Озерная</w:t>
            </w:r>
          </w:p>
        </w:tc>
        <w:tc>
          <w:tcPr>
            <w:tcW w:w="2507" w:type="dxa"/>
          </w:tcPr>
          <w:p w14:paraId="42AE5E6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26:34:090301:4</w:t>
            </w:r>
          </w:p>
        </w:tc>
      </w:tr>
      <w:tr w:rsidR="00171AA8" w:rsidRPr="00731FE2" w14:paraId="027C9FD3" w14:textId="77777777">
        <w:tc>
          <w:tcPr>
            <w:tcW w:w="567" w:type="dxa"/>
          </w:tcPr>
          <w:p w14:paraId="0B76AE5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35</w:t>
            </w:r>
          </w:p>
        </w:tc>
        <w:tc>
          <w:tcPr>
            <w:tcW w:w="2551" w:type="dxa"/>
          </w:tcPr>
          <w:p w14:paraId="630B03A3" w14:textId="77777777" w:rsidR="00171AA8" w:rsidRPr="00731FE2" w:rsidRDefault="007935AB">
            <w:pPr>
              <w:pBdr>
                <w:top w:val="none" w:sz="4" w:space="0" w:color="000000"/>
                <w:left w:val="none" w:sz="4" w:space="0" w:color="000000"/>
                <w:bottom w:val="none" w:sz="4" w:space="0" w:color="000000"/>
                <w:right w:val="none" w:sz="4" w:space="0" w:color="000000"/>
              </w:pBdr>
              <w:ind w:firstLine="0"/>
            </w:pPr>
            <w:r w:rsidRPr="00731FE2">
              <w:rPr>
                <w:rFonts w:ascii="Times New Roman" w:eastAsia="Times New Roman" w:hAnsi="Times New Roman" w:cs="Times New Roman"/>
                <w:color w:val="000000"/>
                <w:sz w:val="22"/>
              </w:rPr>
              <w:t>Эльбрус</w:t>
            </w:r>
          </w:p>
        </w:tc>
        <w:tc>
          <w:tcPr>
            <w:tcW w:w="3730" w:type="dxa"/>
          </w:tcPr>
          <w:p w14:paraId="389781B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ул. Набережная, 73</w:t>
            </w:r>
          </w:p>
        </w:tc>
        <w:tc>
          <w:tcPr>
            <w:tcW w:w="2507" w:type="dxa"/>
          </w:tcPr>
          <w:p w14:paraId="2758533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26634:100103</w:t>
            </w:r>
          </w:p>
        </w:tc>
      </w:tr>
      <w:tr w:rsidR="00171AA8" w:rsidRPr="00731FE2" w14:paraId="4212C9CB" w14:textId="77777777">
        <w:tc>
          <w:tcPr>
            <w:tcW w:w="567" w:type="dxa"/>
          </w:tcPr>
          <w:p w14:paraId="020C226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36</w:t>
            </w:r>
          </w:p>
        </w:tc>
        <w:tc>
          <w:tcPr>
            <w:tcW w:w="2551" w:type="dxa"/>
          </w:tcPr>
          <w:p w14:paraId="26902DC6" w14:textId="77777777" w:rsidR="00171AA8" w:rsidRPr="00731FE2" w:rsidRDefault="007935AB">
            <w:pPr>
              <w:pBdr>
                <w:top w:val="none" w:sz="4" w:space="0" w:color="000000"/>
                <w:left w:val="none" w:sz="4" w:space="0" w:color="000000"/>
                <w:bottom w:val="none" w:sz="4" w:space="0" w:color="000000"/>
                <w:right w:val="none" w:sz="4" w:space="0" w:color="000000"/>
              </w:pBdr>
              <w:ind w:firstLine="0"/>
            </w:pPr>
            <w:r w:rsidRPr="00731FE2">
              <w:rPr>
                <w:rFonts w:ascii="Times New Roman" w:eastAsia="Times New Roman" w:hAnsi="Times New Roman" w:cs="Times New Roman"/>
                <w:color w:val="000000"/>
                <w:sz w:val="22"/>
              </w:rPr>
              <w:t>Горное эхо</w:t>
            </w:r>
          </w:p>
        </w:tc>
        <w:tc>
          <w:tcPr>
            <w:tcW w:w="3730" w:type="dxa"/>
          </w:tcPr>
          <w:p w14:paraId="0438CE6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ул. Целинная, 79-А</w:t>
            </w:r>
          </w:p>
        </w:tc>
        <w:tc>
          <w:tcPr>
            <w:tcW w:w="2507" w:type="dxa"/>
          </w:tcPr>
          <w:p w14:paraId="12542B6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26:34:140104</w:t>
            </w:r>
          </w:p>
        </w:tc>
      </w:tr>
      <w:tr w:rsidR="00171AA8" w:rsidRPr="00731FE2" w14:paraId="0FBB1E92" w14:textId="77777777">
        <w:tc>
          <w:tcPr>
            <w:tcW w:w="567" w:type="dxa"/>
          </w:tcPr>
          <w:p w14:paraId="65D4386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37</w:t>
            </w:r>
          </w:p>
        </w:tc>
        <w:tc>
          <w:tcPr>
            <w:tcW w:w="2551" w:type="dxa"/>
          </w:tcPr>
          <w:p w14:paraId="1983AD98" w14:textId="77777777" w:rsidR="00171AA8" w:rsidRPr="00731FE2" w:rsidRDefault="007935AB">
            <w:pPr>
              <w:pBdr>
                <w:top w:val="none" w:sz="4" w:space="0" w:color="000000"/>
                <w:left w:val="none" w:sz="4" w:space="0" w:color="000000"/>
                <w:bottom w:val="none" w:sz="4" w:space="0" w:color="000000"/>
                <w:right w:val="none" w:sz="4" w:space="0" w:color="000000"/>
              </w:pBdr>
              <w:ind w:firstLine="0"/>
            </w:pPr>
            <w:r w:rsidRPr="00731FE2">
              <w:rPr>
                <w:rFonts w:ascii="Times New Roman" w:eastAsia="Times New Roman" w:hAnsi="Times New Roman" w:cs="Times New Roman"/>
                <w:color w:val="000000"/>
                <w:sz w:val="22"/>
              </w:rPr>
              <w:t>Крутая дорога</w:t>
            </w:r>
          </w:p>
        </w:tc>
        <w:tc>
          <w:tcPr>
            <w:tcW w:w="3730" w:type="dxa"/>
          </w:tcPr>
          <w:p w14:paraId="6BA7573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ул. Крутая дорога, 14-А</w:t>
            </w:r>
          </w:p>
        </w:tc>
        <w:tc>
          <w:tcPr>
            <w:tcW w:w="2507" w:type="dxa"/>
          </w:tcPr>
          <w:p w14:paraId="0DC9BF4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26:34:020106 (020103)</w:t>
            </w:r>
          </w:p>
        </w:tc>
      </w:tr>
      <w:tr w:rsidR="00171AA8" w:rsidRPr="00731FE2" w14:paraId="3CCABB0B" w14:textId="77777777">
        <w:tc>
          <w:tcPr>
            <w:tcW w:w="567" w:type="dxa"/>
          </w:tcPr>
          <w:p w14:paraId="1890877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38</w:t>
            </w:r>
          </w:p>
        </w:tc>
        <w:tc>
          <w:tcPr>
            <w:tcW w:w="2551" w:type="dxa"/>
          </w:tcPr>
          <w:p w14:paraId="7BAA3540" w14:textId="77777777" w:rsidR="00171AA8" w:rsidRPr="00731FE2" w:rsidRDefault="007935AB">
            <w:pPr>
              <w:pBdr>
                <w:top w:val="none" w:sz="4" w:space="0" w:color="000000"/>
                <w:left w:val="none" w:sz="4" w:space="0" w:color="000000"/>
                <w:bottom w:val="none" w:sz="4" w:space="0" w:color="000000"/>
                <w:right w:val="none" w:sz="4" w:space="0" w:color="000000"/>
              </w:pBdr>
              <w:ind w:firstLine="0"/>
            </w:pPr>
            <w:r w:rsidRPr="00731FE2">
              <w:rPr>
                <w:rFonts w:ascii="Times New Roman" w:eastAsia="Times New Roman" w:hAnsi="Times New Roman" w:cs="Times New Roman"/>
                <w:color w:val="000000"/>
                <w:sz w:val="22"/>
              </w:rPr>
              <w:t>Зеркальный</w:t>
            </w:r>
          </w:p>
        </w:tc>
        <w:tc>
          <w:tcPr>
            <w:tcW w:w="3730" w:type="dxa"/>
          </w:tcPr>
          <w:p w14:paraId="4BC9C19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пер. Зеркальный, 12</w:t>
            </w:r>
          </w:p>
        </w:tc>
        <w:tc>
          <w:tcPr>
            <w:tcW w:w="2507" w:type="dxa"/>
          </w:tcPr>
          <w:p w14:paraId="1614F36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26:34:100102</w:t>
            </w:r>
          </w:p>
        </w:tc>
      </w:tr>
      <w:tr w:rsidR="00171AA8" w:rsidRPr="00731FE2" w14:paraId="31CA158E" w14:textId="77777777">
        <w:tc>
          <w:tcPr>
            <w:tcW w:w="567" w:type="dxa"/>
          </w:tcPr>
          <w:p w14:paraId="48765BC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39</w:t>
            </w:r>
          </w:p>
        </w:tc>
        <w:tc>
          <w:tcPr>
            <w:tcW w:w="2551" w:type="dxa"/>
          </w:tcPr>
          <w:p w14:paraId="7FACBA42" w14:textId="77777777" w:rsidR="00171AA8" w:rsidRPr="00731FE2" w:rsidRDefault="007935AB">
            <w:pPr>
              <w:pBdr>
                <w:top w:val="none" w:sz="4" w:space="0" w:color="000000"/>
                <w:left w:val="none" w:sz="4" w:space="0" w:color="000000"/>
                <w:bottom w:val="none" w:sz="4" w:space="0" w:color="000000"/>
                <w:right w:val="none" w:sz="4" w:space="0" w:color="000000"/>
              </w:pBdr>
              <w:ind w:firstLine="0"/>
            </w:pPr>
            <w:r w:rsidRPr="00731FE2">
              <w:rPr>
                <w:rFonts w:ascii="Times New Roman" w:eastAsia="Times New Roman" w:hAnsi="Times New Roman" w:cs="Times New Roman"/>
                <w:color w:val="000000"/>
                <w:sz w:val="22"/>
              </w:rPr>
              <w:t>Седлогорский</w:t>
            </w:r>
          </w:p>
        </w:tc>
        <w:tc>
          <w:tcPr>
            <w:tcW w:w="3730" w:type="dxa"/>
          </w:tcPr>
          <w:p w14:paraId="207280A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ул. Седлогорская, 79</w:t>
            </w:r>
          </w:p>
        </w:tc>
        <w:tc>
          <w:tcPr>
            <w:tcW w:w="2507" w:type="dxa"/>
          </w:tcPr>
          <w:p w14:paraId="63BF025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26:34:130236:520</w:t>
            </w:r>
          </w:p>
        </w:tc>
      </w:tr>
      <w:tr w:rsidR="00171AA8" w:rsidRPr="00731FE2" w14:paraId="52764270" w14:textId="77777777">
        <w:tc>
          <w:tcPr>
            <w:tcW w:w="567" w:type="dxa"/>
          </w:tcPr>
          <w:p w14:paraId="30A9C0C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40</w:t>
            </w:r>
          </w:p>
        </w:tc>
        <w:tc>
          <w:tcPr>
            <w:tcW w:w="2551" w:type="dxa"/>
          </w:tcPr>
          <w:p w14:paraId="7B55641D" w14:textId="77777777" w:rsidR="00171AA8" w:rsidRPr="00731FE2" w:rsidRDefault="007935AB">
            <w:pPr>
              <w:pBdr>
                <w:top w:val="none" w:sz="4" w:space="0" w:color="000000"/>
                <w:left w:val="none" w:sz="4" w:space="0" w:color="000000"/>
                <w:bottom w:val="none" w:sz="4" w:space="0" w:color="000000"/>
                <w:right w:val="none" w:sz="4" w:space="0" w:color="000000"/>
              </w:pBdr>
              <w:ind w:firstLine="0"/>
            </w:pPr>
            <w:r w:rsidRPr="00731FE2">
              <w:rPr>
                <w:rFonts w:ascii="Times New Roman" w:eastAsia="Times New Roman" w:hAnsi="Times New Roman" w:cs="Times New Roman"/>
                <w:color w:val="000000"/>
                <w:sz w:val="22"/>
              </w:rPr>
              <w:t>Радуга</w:t>
            </w:r>
          </w:p>
        </w:tc>
        <w:tc>
          <w:tcPr>
            <w:tcW w:w="3730" w:type="dxa"/>
          </w:tcPr>
          <w:p w14:paraId="15EE93D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ул. Жмакина, 56</w:t>
            </w:r>
          </w:p>
        </w:tc>
        <w:tc>
          <w:tcPr>
            <w:tcW w:w="2507" w:type="dxa"/>
          </w:tcPr>
          <w:p w14:paraId="7CAB4B5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26:34:080150</w:t>
            </w:r>
          </w:p>
        </w:tc>
      </w:tr>
      <w:tr w:rsidR="00171AA8" w:rsidRPr="00731FE2" w14:paraId="2154D856" w14:textId="77777777">
        <w:tc>
          <w:tcPr>
            <w:tcW w:w="567" w:type="dxa"/>
          </w:tcPr>
          <w:p w14:paraId="1DDFAA0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41</w:t>
            </w:r>
          </w:p>
        </w:tc>
        <w:tc>
          <w:tcPr>
            <w:tcW w:w="2551" w:type="dxa"/>
          </w:tcPr>
          <w:p w14:paraId="288A2170" w14:textId="77777777" w:rsidR="00171AA8" w:rsidRPr="00731FE2" w:rsidRDefault="007935AB">
            <w:pPr>
              <w:pBdr>
                <w:top w:val="none" w:sz="4" w:space="0" w:color="000000"/>
                <w:left w:val="none" w:sz="4" w:space="0" w:color="000000"/>
                <w:bottom w:val="none" w:sz="4" w:space="0" w:color="000000"/>
                <w:right w:val="none" w:sz="4" w:space="0" w:color="000000"/>
              </w:pBdr>
              <w:ind w:firstLine="0"/>
            </w:pPr>
            <w:r w:rsidRPr="00731FE2">
              <w:rPr>
                <w:rFonts w:ascii="Times New Roman" w:eastAsia="Times New Roman" w:hAnsi="Times New Roman" w:cs="Times New Roman"/>
                <w:color w:val="000000"/>
                <w:sz w:val="22"/>
              </w:rPr>
              <w:t>Кругозор</w:t>
            </w:r>
          </w:p>
        </w:tc>
        <w:tc>
          <w:tcPr>
            <w:tcW w:w="3730" w:type="dxa"/>
          </w:tcPr>
          <w:p w14:paraId="5631923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ул. Железнодорожная, 58</w:t>
            </w:r>
          </w:p>
        </w:tc>
        <w:tc>
          <w:tcPr>
            <w:tcW w:w="2507" w:type="dxa"/>
          </w:tcPr>
          <w:p w14:paraId="46C226B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26:34:130108:9</w:t>
            </w:r>
          </w:p>
        </w:tc>
      </w:tr>
      <w:tr w:rsidR="00171AA8" w:rsidRPr="00731FE2" w14:paraId="6DD6B03D" w14:textId="77777777">
        <w:tc>
          <w:tcPr>
            <w:tcW w:w="567" w:type="dxa"/>
          </w:tcPr>
          <w:p w14:paraId="4EFC0D2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42</w:t>
            </w:r>
          </w:p>
        </w:tc>
        <w:tc>
          <w:tcPr>
            <w:tcW w:w="2551" w:type="dxa"/>
          </w:tcPr>
          <w:p w14:paraId="36911D3B" w14:textId="77777777" w:rsidR="00171AA8" w:rsidRPr="00731FE2" w:rsidRDefault="007935AB">
            <w:pPr>
              <w:pBdr>
                <w:top w:val="none" w:sz="4" w:space="0" w:color="000000"/>
                <w:left w:val="none" w:sz="4" w:space="0" w:color="000000"/>
                <w:bottom w:val="none" w:sz="4" w:space="0" w:color="000000"/>
                <w:right w:val="none" w:sz="4" w:space="0" w:color="000000"/>
              </w:pBdr>
              <w:ind w:firstLine="0"/>
            </w:pPr>
            <w:r w:rsidRPr="00731FE2">
              <w:rPr>
                <w:rFonts w:ascii="Times New Roman" w:eastAsia="Times New Roman" w:hAnsi="Times New Roman" w:cs="Times New Roman"/>
                <w:color w:val="000000"/>
                <w:sz w:val="22"/>
              </w:rPr>
              <w:t>Зеркальный</w:t>
            </w:r>
          </w:p>
        </w:tc>
        <w:tc>
          <w:tcPr>
            <w:tcW w:w="3730" w:type="dxa"/>
          </w:tcPr>
          <w:p w14:paraId="781B43A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нет данных</w:t>
            </w:r>
          </w:p>
        </w:tc>
        <w:tc>
          <w:tcPr>
            <w:tcW w:w="2507" w:type="dxa"/>
          </w:tcPr>
          <w:p w14:paraId="48FEB0F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26:34:100103</w:t>
            </w:r>
          </w:p>
        </w:tc>
      </w:tr>
      <w:tr w:rsidR="00171AA8" w:rsidRPr="00731FE2" w14:paraId="69CDE1D8" w14:textId="77777777">
        <w:tc>
          <w:tcPr>
            <w:tcW w:w="567" w:type="dxa"/>
          </w:tcPr>
          <w:p w14:paraId="6034182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43</w:t>
            </w:r>
          </w:p>
        </w:tc>
        <w:tc>
          <w:tcPr>
            <w:tcW w:w="2551" w:type="dxa"/>
          </w:tcPr>
          <w:p w14:paraId="49909F03" w14:textId="77777777" w:rsidR="00171AA8" w:rsidRPr="00731FE2" w:rsidRDefault="007935AB">
            <w:pPr>
              <w:pBdr>
                <w:top w:val="none" w:sz="4" w:space="0" w:color="000000"/>
                <w:left w:val="none" w:sz="4" w:space="0" w:color="000000"/>
                <w:bottom w:val="none" w:sz="4" w:space="0" w:color="000000"/>
                <w:right w:val="none" w:sz="4" w:space="0" w:color="000000"/>
              </w:pBdr>
              <w:ind w:firstLine="0"/>
            </w:pPr>
            <w:r w:rsidRPr="00731FE2">
              <w:rPr>
                <w:rFonts w:ascii="Times New Roman" w:eastAsia="Times New Roman" w:hAnsi="Times New Roman" w:cs="Times New Roman"/>
                <w:color w:val="000000"/>
                <w:sz w:val="22"/>
              </w:rPr>
              <w:t>Набережная,75</w:t>
            </w:r>
          </w:p>
        </w:tc>
        <w:tc>
          <w:tcPr>
            <w:tcW w:w="3730" w:type="dxa"/>
          </w:tcPr>
          <w:p w14:paraId="4C310B0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ул. Набережная, 75</w:t>
            </w:r>
          </w:p>
        </w:tc>
        <w:tc>
          <w:tcPr>
            <w:tcW w:w="2507" w:type="dxa"/>
          </w:tcPr>
          <w:p w14:paraId="1082178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26:34:100103</w:t>
            </w:r>
          </w:p>
        </w:tc>
      </w:tr>
    </w:tbl>
    <w:p w14:paraId="1A5E1E12" w14:textId="77777777" w:rsidR="00171AA8" w:rsidRPr="00731FE2" w:rsidRDefault="00171AA8">
      <w:pPr>
        <w:rPr>
          <w:rFonts w:ascii="Times New Roman" w:hAnsi="Times New Roman" w:cs="Times New Roman"/>
          <w:color w:val="000000" w:themeColor="text1"/>
        </w:rPr>
      </w:pPr>
    </w:p>
    <w:p w14:paraId="27B46305" w14:textId="77777777" w:rsidR="00171AA8" w:rsidRPr="00731FE2" w:rsidRDefault="007935AB">
      <w:pPr>
        <w:pBdr>
          <w:top w:val="none" w:sz="4" w:space="0" w:color="000000"/>
          <w:left w:val="none" w:sz="4" w:space="0" w:color="000000"/>
          <w:bottom w:val="none" w:sz="4" w:space="0" w:color="000000"/>
          <w:right w:val="none" w:sz="4" w:space="0" w:color="000000"/>
        </w:pBdr>
      </w:pPr>
      <w:r w:rsidRPr="00731FE2">
        <w:rPr>
          <w:rFonts w:ascii="Times New Roman" w:eastAsia="Times New Roman" w:hAnsi="Times New Roman" w:cs="Times New Roman"/>
          <w:color w:val="000000"/>
        </w:rPr>
        <w:t xml:space="preserve">В городском округе отмечается наличие 13 групп гаражей, расположенных </w:t>
      </w:r>
      <w:proofErr w:type="gramStart"/>
      <w:r w:rsidRPr="00731FE2">
        <w:rPr>
          <w:rFonts w:ascii="Times New Roman" w:eastAsia="Times New Roman" w:hAnsi="Times New Roman" w:cs="Times New Roman"/>
          <w:color w:val="000000"/>
        </w:rPr>
        <w:t>на</w:t>
      </w:r>
      <w:proofErr w:type="gramEnd"/>
      <w:r w:rsidRPr="00731FE2">
        <w:rPr>
          <w:rFonts w:ascii="Times New Roman" w:eastAsia="Times New Roman" w:hAnsi="Times New Roman" w:cs="Times New Roman"/>
          <w:color w:val="000000"/>
        </w:rPr>
        <w:t>:</w:t>
      </w:r>
    </w:p>
    <w:p w14:paraId="4E477F6C" w14:textId="77777777" w:rsidR="00171AA8" w:rsidRPr="00731FE2" w:rsidRDefault="007935AB" w:rsidP="007832E7">
      <w:pPr>
        <w:pStyle w:val="a3"/>
        <w:numPr>
          <w:ilvl w:val="0"/>
          <w:numId w:val="39"/>
        </w:numPr>
        <w:pBdr>
          <w:top w:val="none" w:sz="4" w:space="0" w:color="000000"/>
          <w:left w:val="none" w:sz="4" w:space="0" w:color="000000"/>
          <w:bottom w:val="none" w:sz="4" w:space="0" w:color="000000"/>
          <w:right w:val="none" w:sz="4" w:space="0" w:color="000000"/>
        </w:pBdr>
        <w:tabs>
          <w:tab w:val="left" w:pos="993"/>
        </w:tabs>
        <w:ind w:left="0" w:firstLine="709"/>
      </w:pPr>
      <w:r w:rsidRPr="00731FE2">
        <w:rPr>
          <w:rFonts w:ascii="Times New Roman" w:eastAsia="Times New Roman" w:hAnsi="Times New Roman" w:cs="Times New Roman"/>
          <w:color w:val="000000"/>
        </w:rPr>
        <w:t>ул. Челюскинцев, 5;</w:t>
      </w:r>
    </w:p>
    <w:p w14:paraId="27F02C73" w14:textId="77777777" w:rsidR="00171AA8" w:rsidRPr="00731FE2" w:rsidRDefault="007935AB" w:rsidP="007832E7">
      <w:pPr>
        <w:pStyle w:val="a3"/>
        <w:numPr>
          <w:ilvl w:val="0"/>
          <w:numId w:val="39"/>
        </w:numPr>
        <w:pBdr>
          <w:top w:val="none" w:sz="4" w:space="0" w:color="000000"/>
          <w:left w:val="none" w:sz="4" w:space="0" w:color="000000"/>
          <w:bottom w:val="none" w:sz="4" w:space="0" w:color="000000"/>
          <w:right w:val="none" w:sz="4" w:space="0" w:color="000000"/>
        </w:pBdr>
        <w:tabs>
          <w:tab w:val="left" w:pos="993"/>
        </w:tabs>
        <w:ind w:left="0" w:firstLine="709"/>
      </w:pPr>
      <w:r w:rsidRPr="00731FE2">
        <w:rPr>
          <w:rFonts w:ascii="Times New Roman" w:eastAsia="Times New Roman" w:hAnsi="Times New Roman" w:cs="Times New Roman"/>
          <w:color w:val="000000"/>
        </w:rPr>
        <w:t>ул. Аджарская, 14;</w:t>
      </w:r>
    </w:p>
    <w:p w14:paraId="43E605ED" w14:textId="77777777" w:rsidR="00171AA8" w:rsidRPr="00731FE2" w:rsidRDefault="007935AB" w:rsidP="007832E7">
      <w:pPr>
        <w:pStyle w:val="a3"/>
        <w:numPr>
          <w:ilvl w:val="0"/>
          <w:numId w:val="39"/>
        </w:numPr>
        <w:pBdr>
          <w:top w:val="none" w:sz="4" w:space="0" w:color="000000"/>
          <w:left w:val="none" w:sz="4" w:space="0" w:color="000000"/>
          <w:bottom w:val="none" w:sz="4" w:space="0" w:color="000000"/>
          <w:right w:val="none" w:sz="4" w:space="0" w:color="000000"/>
        </w:pBdr>
        <w:tabs>
          <w:tab w:val="left" w:pos="993"/>
        </w:tabs>
        <w:ind w:left="0" w:firstLine="709"/>
      </w:pPr>
      <w:r w:rsidRPr="00731FE2">
        <w:rPr>
          <w:rFonts w:ascii="Times New Roman" w:eastAsia="Times New Roman" w:hAnsi="Times New Roman" w:cs="Times New Roman"/>
          <w:color w:val="000000"/>
        </w:rPr>
        <w:t xml:space="preserve">ул. </w:t>
      </w:r>
      <w:r w:rsidR="002455DE" w:rsidRPr="00731FE2">
        <w:rPr>
          <w:rFonts w:ascii="Times New Roman" w:eastAsia="Times New Roman" w:hAnsi="Times New Roman" w:cs="Times New Roman"/>
          <w:color w:val="000000"/>
        </w:rPr>
        <w:t>А. Губина</w:t>
      </w:r>
      <w:r w:rsidRPr="00731FE2">
        <w:rPr>
          <w:rFonts w:ascii="Times New Roman" w:eastAsia="Times New Roman" w:hAnsi="Times New Roman" w:cs="Times New Roman"/>
          <w:color w:val="000000"/>
        </w:rPr>
        <w:t>, 46;</w:t>
      </w:r>
    </w:p>
    <w:p w14:paraId="6A7E403E" w14:textId="77777777" w:rsidR="00171AA8" w:rsidRPr="00731FE2" w:rsidRDefault="007935AB" w:rsidP="007832E7">
      <w:pPr>
        <w:pStyle w:val="a3"/>
        <w:numPr>
          <w:ilvl w:val="0"/>
          <w:numId w:val="39"/>
        </w:numPr>
        <w:pBdr>
          <w:top w:val="none" w:sz="4" w:space="0" w:color="000000"/>
          <w:left w:val="none" w:sz="4" w:space="0" w:color="000000"/>
          <w:bottom w:val="none" w:sz="4" w:space="0" w:color="000000"/>
          <w:right w:val="none" w:sz="4" w:space="0" w:color="000000"/>
        </w:pBdr>
        <w:tabs>
          <w:tab w:val="left" w:pos="993"/>
        </w:tabs>
        <w:ind w:left="0" w:firstLine="709"/>
      </w:pPr>
      <w:r w:rsidRPr="00731FE2">
        <w:rPr>
          <w:rFonts w:ascii="Times New Roman" w:eastAsia="Times New Roman" w:hAnsi="Times New Roman" w:cs="Times New Roman"/>
          <w:color w:val="000000"/>
        </w:rPr>
        <w:t>ул. Куйбышева, 79;</w:t>
      </w:r>
    </w:p>
    <w:p w14:paraId="087380FD" w14:textId="77777777" w:rsidR="00171AA8" w:rsidRPr="00731FE2" w:rsidRDefault="007935AB" w:rsidP="007832E7">
      <w:pPr>
        <w:pStyle w:val="a3"/>
        <w:numPr>
          <w:ilvl w:val="0"/>
          <w:numId w:val="39"/>
        </w:numPr>
        <w:pBdr>
          <w:top w:val="none" w:sz="4" w:space="0" w:color="000000"/>
          <w:left w:val="none" w:sz="4" w:space="0" w:color="000000"/>
          <w:bottom w:val="none" w:sz="4" w:space="0" w:color="000000"/>
          <w:right w:val="none" w:sz="4" w:space="0" w:color="000000"/>
        </w:pBdr>
        <w:tabs>
          <w:tab w:val="left" w:pos="993"/>
        </w:tabs>
        <w:ind w:left="0" w:firstLine="709"/>
      </w:pPr>
      <w:r w:rsidRPr="00731FE2">
        <w:rPr>
          <w:rFonts w:ascii="Times New Roman" w:eastAsia="Times New Roman" w:hAnsi="Times New Roman" w:cs="Times New Roman"/>
          <w:color w:val="000000"/>
        </w:rPr>
        <w:t xml:space="preserve">ул. </w:t>
      </w:r>
      <w:r w:rsidR="002455DE" w:rsidRPr="00731FE2">
        <w:rPr>
          <w:rFonts w:ascii="Times New Roman" w:eastAsia="Times New Roman" w:hAnsi="Times New Roman" w:cs="Times New Roman"/>
          <w:color w:val="000000"/>
        </w:rPr>
        <w:t>А. Губина</w:t>
      </w:r>
      <w:r w:rsidRPr="00731FE2">
        <w:rPr>
          <w:rFonts w:ascii="Times New Roman" w:eastAsia="Times New Roman" w:hAnsi="Times New Roman" w:cs="Times New Roman"/>
          <w:color w:val="000000"/>
        </w:rPr>
        <w:t>, 37;</w:t>
      </w:r>
    </w:p>
    <w:p w14:paraId="5228240E" w14:textId="77777777" w:rsidR="00171AA8" w:rsidRPr="00731FE2" w:rsidRDefault="007935AB" w:rsidP="007832E7">
      <w:pPr>
        <w:pStyle w:val="a3"/>
        <w:numPr>
          <w:ilvl w:val="0"/>
          <w:numId w:val="39"/>
        </w:numPr>
        <w:pBdr>
          <w:top w:val="none" w:sz="4" w:space="0" w:color="000000"/>
          <w:left w:val="none" w:sz="4" w:space="0" w:color="000000"/>
          <w:bottom w:val="none" w:sz="4" w:space="0" w:color="000000"/>
          <w:right w:val="none" w:sz="4" w:space="0" w:color="000000"/>
        </w:pBdr>
        <w:tabs>
          <w:tab w:val="left" w:pos="993"/>
        </w:tabs>
        <w:ind w:left="0" w:firstLine="709"/>
      </w:pPr>
      <w:r w:rsidRPr="00731FE2">
        <w:rPr>
          <w:rFonts w:ascii="Times New Roman" w:eastAsia="Times New Roman" w:hAnsi="Times New Roman" w:cs="Times New Roman"/>
          <w:color w:val="000000"/>
        </w:rPr>
        <w:t>ул. Жуковского, 31;</w:t>
      </w:r>
    </w:p>
    <w:p w14:paraId="68FC0520" w14:textId="77777777" w:rsidR="00171AA8" w:rsidRPr="00731FE2" w:rsidRDefault="007935AB" w:rsidP="007832E7">
      <w:pPr>
        <w:pStyle w:val="a3"/>
        <w:numPr>
          <w:ilvl w:val="0"/>
          <w:numId w:val="39"/>
        </w:numPr>
        <w:pBdr>
          <w:top w:val="none" w:sz="4" w:space="0" w:color="000000"/>
          <w:left w:val="none" w:sz="4" w:space="0" w:color="000000"/>
          <w:bottom w:val="none" w:sz="4" w:space="0" w:color="000000"/>
          <w:right w:val="none" w:sz="4" w:space="0" w:color="000000"/>
        </w:pBdr>
        <w:tabs>
          <w:tab w:val="left" w:pos="993"/>
        </w:tabs>
        <w:ind w:left="0" w:firstLine="709"/>
      </w:pPr>
      <w:r w:rsidRPr="00731FE2">
        <w:rPr>
          <w:rFonts w:ascii="Times New Roman" w:eastAsia="Times New Roman" w:hAnsi="Times New Roman" w:cs="Times New Roman"/>
          <w:color w:val="000000"/>
        </w:rPr>
        <w:t>ул. Широкая, 28;</w:t>
      </w:r>
    </w:p>
    <w:p w14:paraId="275D86E0" w14:textId="77777777" w:rsidR="00171AA8" w:rsidRPr="00731FE2" w:rsidRDefault="007935AB" w:rsidP="007832E7">
      <w:pPr>
        <w:pStyle w:val="a3"/>
        <w:numPr>
          <w:ilvl w:val="0"/>
          <w:numId w:val="39"/>
        </w:numPr>
        <w:pBdr>
          <w:top w:val="none" w:sz="4" w:space="0" w:color="000000"/>
          <w:left w:val="none" w:sz="4" w:space="0" w:color="000000"/>
          <w:bottom w:val="none" w:sz="4" w:space="0" w:color="000000"/>
          <w:right w:val="none" w:sz="4" w:space="0" w:color="000000"/>
        </w:pBdr>
        <w:tabs>
          <w:tab w:val="left" w:pos="993"/>
        </w:tabs>
        <w:ind w:left="0" w:firstLine="709"/>
      </w:pPr>
      <w:r w:rsidRPr="00731FE2">
        <w:rPr>
          <w:rFonts w:ascii="Times New Roman" w:eastAsia="Times New Roman" w:hAnsi="Times New Roman" w:cs="Times New Roman"/>
          <w:color w:val="000000"/>
        </w:rPr>
        <w:t>ул. Набережная, 73-А;</w:t>
      </w:r>
    </w:p>
    <w:p w14:paraId="4A0C0894" w14:textId="77777777" w:rsidR="00171AA8" w:rsidRPr="00731FE2" w:rsidRDefault="007935AB" w:rsidP="007832E7">
      <w:pPr>
        <w:pStyle w:val="a3"/>
        <w:numPr>
          <w:ilvl w:val="0"/>
          <w:numId w:val="39"/>
        </w:numPr>
        <w:pBdr>
          <w:top w:val="none" w:sz="4" w:space="0" w:color="000000"/>
          <w:left w:val="none" w:sz="4" w:space="0" w:color="000000"/>
          <w:bottom w:val="none" w:sz="4" w:space="0" w:color="000000"/>
          <w:right w:val="none" w:sz="4" w:space="0" w:color="000000"/>
        </w:pBdr>
        <w:tabs>
          <w:tab w:val="left" w:pos="993"/>
        </w:tabs>
        <w:ind w:left="0" w:firstLine="709"/>
      </w:pPr>
      <w:r w:rsidRPr="00731FE2">
        <w:rPr>
          <w:rFonts w:ascii="Times New Roman" w:eastAsia="Times New Roman" w:hAnsi="Times New Roman" w:cs="Times New Roman"/>
          <w:color w:val="000000"/>
        </w:rPr>
        <w:t>ул. Куйбышева, 37;</w:t>
      </w:r>
    </w:p>
    <w:p w14:paraId="4AB2015D" w14:textId="77777777" w:rsidR="00171AA8" w:rsidRPr="00731FE2" w:rsidRDefault="007935AB" w:rsidP="007832E7">
      <w:pPr>
        <w:pStyle w:val="a3"/>
        <w:numPr>
          <w:ilvl w:val="0"/>
          <w:numId w:val="39"/>
        </w:numPr>
        <w:pBdr>
          <w:top w:val="none" w:sz="4" w:space="0" w:color="000000"/>
          <w:left w:val="none" w:sz="4" w:space="0" w:color="000000"/>
          <w:bottom w:val="none" w:sz="4" w:space="0" w:color="000000"/>
          <w:right w:val="none" w:sz="4" w:space="0" w:color="000000"/>
        </w:pBdr>
        <w:tabs>
          <w:tab w:val="left" w:pos="993"/>
        </w:tabs>
        <w:ind w:left="0" w:firstLine="709"/>
      </w:pPr>
      <w:r w:rsidRPr="00731FE2">
        <w:rPr>
          <w:rFonts w:ascii="Times New Roman" w:eastAsia="Times New Roman" w:hAnsi="Times New Roman" w:cs="Times New Roman"/>
          <w:color w:val="000000"/>
        </w:rPr>
        <w:t>ул. А. Губина, 31 – А;</w:t>
      </w:r>
    </w:p>
    <w:p w14:paraId="29EB2055" w14:textId="77777777" w:rsidR="00171AA8" w:rsidRPr="00731FE2" w:rsidRDefault="007935AB" w:rsidP="007832E7">
      <w:pPr>
        <w:pStyle w:val="a3"/>
        <w:numPr>
          <w:ilvl w:val="0"/>
          <w:numId w:val="39"/>
        </w:numPr>
        <w:pBdr>
          <w:top w:val="none" w:sz="4" w:space="0" w:color="000000"/>
          <w:left w:val="none" w:sz="4" w:space="0" w:color="000000"/>
          <w:bottom w:val="none" w:sz="4" w:space="0" w:color="000000"/>
          <w:right w:val="none" w:sz="4" w:space="0" w:color="000000"/>
        </w:pBdr>
        <w:tabs>
          <w:tab w:val="left" w:pos="993"/>
        </w:tabs>
        <w:ind w:left="0" w:firstLine="709"/>
      </w:pPr>
      <w:r w:rsidRPr="00731FE2">
        <w:rPr>
          <w:rFonts w:ascii="Times New Roman" w:eastAsia="Times New Roman" w:hAnsi="Times New Roman" w:cs="Times New Roman"/>
          <w:color w:val="000000"/>
        </w:rPr>
        <w:t>ул. А. Губина, 26;</w:t>
      </w:r>
    </w:p>
    <w:p w14:paraId="3C4424A9" w14:textId="77777777" w:rsidR="00171AA8" w:rsidRPr="00731FE2" w:rsidRDefault="007935AB" w:rsidP="007832E7">
      <w:pPr>
        <w:pStyle w:val="a3"/>
        <w:numPr>
          <w:ilvl w:val="0"/>
          <w:numId w:val="39"/>
        </w:numPr>
        <w:pBdr>
          <w:top w:val="none" w:sz="4" w:space="0" w:color="000000"/>
          <w:left w:val="none" w:sz="4" w:space="0" w:color="000000"/>
          <w:bottom w:val="none" w:sz="4" w:space="0" w:color="000000"/>
          <w:right w:val="none" w:sz="4" w:space="0" w:color="000000"/>
        </w:pBdr>
        <w:tabs>
          <w:tab w:val="left" w:pos="993"/>
        </w:tabs>
        <w:ind w:left="0" w:firstLine="709"/>
      </w:pPr>
      <w:r w:rsidRPr="00731FE2">
        <w:rPr>
          <w:rFonts w:ascii="Times New Roman" w:eastAsia="Times New Roman" w:hAnsi="Times New Roman" w:cs="Times New Roman"/>
          <w:color w:val="000000"/>
        </w:rPr>
        <w:t>ул. Набережная,1А;</w:t>
      </w:r>
    </w:p>
    <w:p w14:paraId="1D3F41B0" w14:textId="77777777" w:rsidR="00171AA8" w:rsidRPr="00731FE2" w:rsidRDefault="007935AB" w:rsidP="007832E7">
      <w:pPr>
        <w:pStyle w:val="a3"/>
        <w:numPr>
          <w:ilvl w:val="0"/>
          <w:numId w:val="39"/>
        </w:numPr>
        <w:pBdr>
          <w:top w:val="none" w:sz="4" w:space="0" w:color="000000"/>
          <w:left w:val="none" w:sz="4" w:space="0" w:color="000000"/>
          <w:bottom w:val="none" w:sz="4" w:space="0" w:color="000000"/>
          <w:right w:val="none" w:sz="4" w:space="0" w:color="000000"/>
        </w:pBdr>
        <w:tabs>
          <w:tab w:val="left" w:pos="993"/>
        </w:tabs>
        <w:ind w:left="0" w:firstLine="709"/>
      </w:pPr>
      <w:r w:rsidRPr="00731FE2">
        <w:rPr>
          <w:rFonts w:ascii="Times New Roman" w:eastAsia="Times New Roman" w:hAnsi="Times New Roman" w:cs="Times New Roman"/>
          <w:color w:val="000000"/>
        </w:rPr>
        <w:t>ул. Главная, 86.</w:t>
      </w:r>
    </w:p>
    <w:p w14:paraId="1EC7ABB2" w14:textId="77777777" w:rsidR="00171AA8" w:rsidRPr="00731FE2" w:rsidRDefault="007935AB">
      <w:pPr>
        <w:pBdr>
          <w:top w:val="none" w:sz="4" w:space="0" w:color="000000"/>
          <w:left w:val="none" w:sz="4" w:space="0" w:color="000000"/>
          <w:bottom w:val="none" w:sz="4" w:space="0" w:color="000000"/>
          <w:right w:val="none" w:sz="4" w:space="0" w:color="000000"/>
        </w:pBdr>
      </w:pPr>
      <w:r w:rsidRPr="00731FE2">
        <w:rPr>
          <w:rFonts w:ascii="Times New Roman" w:eastAsia="Times New Roman" w:hAnsi="Times New Roman" w:cs="Times New Roman"/>
          <w:color w:val="000000"/>
        </w:rPr>
        <w:t xml:space="preserve">Общее число парковок общего пользования в городе-курорте Кисловодск составляет 57 ед. (Приложение 6), </w:t>
      </w:r>
      <w:proofErr w:type="gramStart"/>
      <w:r w:rsidRPr="00731FE2">
        <w:rPr>
          <w:rFonts w:ascii="Times New Roman" w:eastAsia="Times New Roman" w:hAnsi="Times New Roman" w:cs="Times New Roman"/>
          <w:color w:val="000000"/>
        </w:rPr>
        <w:t>из</w:t>
      </w:r>
      <w:proofErr w:type="gramEnd"/>
      <w:r w:rsidRPr="00731FE2">
        <w:rPr>
          <w:rFonts w:ascii="Times New Roman" w:eastAsia="Times New Roman" w:hAnsi="Times New Roman" w:cs="Times New Roman"/>
          <w:color w:val="000000"/>
        </w:rPr>
        <w:t xml:space="preserve"> которых платных – 3 ед., охраняемых – 3 ед., круглосуточных – 53 ед. В основном они предназначены для легковых автомобилей.</w:t>
      </w:r>
    </w:p>
    <w:p w14:paraId="6D128C53" w14:textId="77777777" w:rsidR="00171AA8" w:rsidRPr="00731FE2" w:rsidRDefault="007935AB">
      <w:pPr>
        <w:pBdr>
          <w:top w:val="none" w:sz="4" w:space="0" w:color="000000"/>
          <w:left w:val="none" w:sz="4" w:space="0" w:color="000000"/>
          <w:bottom w:val="none" w:sz="4" w:space="0" w:color="000000"/>
          <w:right w:val="none" w:sz="4" w:space="0" w:color="000000"/>
        </w:pBdr>
      </w:pPr>
      <w:r w:rsidRPr="00731FE2">
        <w:rPr>
          <w:rFonts w:ascii="Times New Roman" w:eastAsia="Times New Roman" w:hAnsi="Times New Roman" w:cs="Times New Roman"/>
          <w:b/>
          <w:color w:val="000000"/>
        </w:rPr>
        <w:lastRenderedPageBreak/>
        <w:t>Транспортная инфраструктура городского округа «город-курорт Кисловодск» располагает недостаточным количеством пешеходных и автомобильных путепроводов через железную дорогу, парковочных мест, транспортных развязок (позволяют разгрузить центральную часть города-курорта Кисловодск).</w:t>
      </w:r>
    </w:p>
    <w:p w14:paraId="7B9E42FC" w14:textId="77777777" w:rsidR="00171AA8" w:rsidRPr="00731FE2" w:rsidRDefault="007935AB">
      <w:pPr>
        <w:pBdr>
          <w:top w:val="none" w:sz="4" w:space="0" w:color="000000"/>
          <w:left w:val="none" w:sz="4" w:space="0" w:color="000000"/>
          <w:bottom w:val="none" w:sz="4" w:space="0" w:color="000000"/>
          <w:right w:val="none" w:sz="4" w:space="0" w:color="000000"/>
        </w:pBdr>
      </w:pPr>
      <w:r w:rsidRPr="00731FE2">
        <w:rPr>
          <w:rFonts w:ascii="Times New Roman" w:eastAsia="Times New Roman" w:hAnsi="Times New Roman" w:cs="Times New Roman"/>
          <w:b/>
          <w:color w:val="000000"/>
        </w:rPr>
        <w:t>Также отмечается высокая доля протяженности автомобильных дорог общего пользования местного значения не отвечающих требованиям (55,75%), в результате чего необходимо проведение ремонтный работ с целью снижения данного показатели и обеспечения населения дорогами с качественным покрытием.</w:t>
      </w:r>
    </w:p>
    <w:p w14:paraId="017CC10D" w14:textId="77777777" w:rsidR="00171AA8" w:rsidRPr="00731FE2" w:rsidRDefault="007935AB">
      <w:pPr>
        <w:rPr>
          <w:rFonts w:ascii="Times New Roman" w:hAnsi="Times New Roman" w:cs="Times New Roman"/>
          <w:color w:val="000000" w:themeColor="text1"/>
        </w:rPr>
      </w:pPr>
      <w:r w:rsidRPr="00731FE2">
        <w:rPr>
          <w:rFonts w:ascii="Times New Roman" w:eastAsia="Times New Roman" w:hAnsi="Times New Roman" w:cs="Times New Roman"/>
          <w:b/>
          <w:color w:val="000000"/>
        </w:rPr>
        <w:t>Система общественного транспорта характеризуется как удовлетворительная, однако действующий подвижной состав не приспособлен для перевозки маломобильных групп граждан, отсутствуют льготные тарифы, а свою работу автобусы прекращают слишком рано для города-курорта.</w:t>
      </w:r>
    </w:p>
    <w:p w14:paraId="2A06BACF" w14:textId="77777777" w:rsidR="00171AA8" w:rsidRPr="00731FE2" w:rsidRDefault="007935AB">
      <w:pPr>
        <w:pStyle w:val="33"/>
        <w:rPr>
          <w:rFonts w:ascii="Times New Roman" w:hAnsi="Times New Roman" w:cs="Times New Roman"/>
        </w:rPr>
      </w:pPr>
      <w:bookmarkStart w:id="46" w:name="_Toc177392797"/>
      <w:r w:rsidRPr="00731FE2">
        <w:rPr>
          <w:rFonts w:ascii="Times New Roman" w:hAnsi="Times New Roman" w:cs="Times New Roman"/>
        </w:rPr>
        <w:t>2.10.5 Железнодорожный транспорт</w:t>
      </w:r>
      <w:bookmarkEnd w:id="46"/>
    </w:p>
    <w:p w14:paraId="5F395BAF" w14:textId="77777777" w:rsidR="00171AA8" w:rsidRPr="00731FE2" w:rsidRDefault="007935AB">
      <w:pPr>
        <w:pBdr>
          <w:top w:val="none" w:sz="4" w:space="0" w:color="000000"/>
          <w:left w:val="none" w:sz="4" w:space="0" w:color="000000"/>
          <w:bottom w:val="none" w:sz="4" w:space="0" w:color="000000"/>
          <w:right w:val="none" w:sz="4" w:space="0" w:color="000000"/>
        </w:pBdr>
      </w:pPr>
      <w:r w:rsidRPr="00731FE2">
        <w:rPr>
          <w:rFonts w:ascii="Times New Roman" w:eastAsia="Times New Roman" w:hAnsi="Times New Roman" w:cs="Times New Roman"/>
          <w:color w:val="000000"/>
        </w:rPr>
        <w:t>В городе-курорте Кисловодске находится конечная (тупиковая) станция участка железной дороги «Минеральные Воды – Кисловодск» Минераловодской дистанции пути Северо-Кавказской железной дороги – филиала ОАО «РЖД» (в центральной части города), а также остановочный пункт «Минутка» (в северной части города). Участок двухпутный, электрифицированный, рассчитан на большие сезонные объемы сообщениями поездами дальнего следования и круглогодично – пригородными поездами.</w:t>
      </w:r>
    </w:p>
    <w:p w14:paraId="367F2EAA" w14:textId="77777777" w:rsidR="00171AA8" w:rsidRPr="00731FE2" w:rsidRDefault="007935AB">
      <w:pPr>
        <w:pBdr>
          <w:top w:val="none" w:sz="4" w:space="0" w:color="000000"/>
          <w:left w:val="none" w:sz="4" w:space="0" w:color="000000"/>
          <w:bottom w:val="none" w:sz="4" w:space="0" w:color="000000"/>
          <w:right w:val="none" w:sz="4" w:space="0" w:color="000000"/>
        </w:pBdr>
      </w:pPr>
      <w:r w:rsidRPr="00731FE2">
        <w:rPr>
          <w:rFonts w:ascii="Times New Roman" w:eastAsia="Times New Roman" w:hAnsi="Times New Roman" w:cs="Times New Roman"/>
          <w:color w:val="000000"/>
        </w:rPr>
        <w:t>Поездами дальнего следования город-курорт связан со многими крупными и крупнейшими городами Европейской и азиатской частей России (Москва, Санкт-Петербург, Ростов-на-Дону, Воронеж, Самара, Челябинск, Омск, Новосибирск, Красноярск и др.). Транспортные связи железными дорогами имеют ярко выраженную сезонность, обусловленную рекреационной специализацией города-курорта.</w:t>
      </w:r>
    </w:p>
    <w:p w14:paraId="482E0912" w14:textId="77777777" w:rsidR="00171AA8" w:rsidRPr="00731FE2" w:rsidRDefault="007935AB">
      <w:pPr>
        <w:pBdr>
          <w:top w:val="none" w:sz="4" w:space="0" w:color="000000"/>
          <w:left w:val="none" w:sz="4" w:space="0" w:color="000000"/>
          <w:bottom w:val="none" w:sz="4" w:space="0" w:color="000000"/>
          <w:right w:val="none" w:sz="4" w:space="0" w:color="000000"/>
        </w:pBdr>
      </w:pPr>
      <w:r w:rsidRPr="00731FE2">
        <w:rPr>
          <w:rFonts w:ascii="Times New Roman" w:eastAsia="Times New Roman" w:hAnsi="Times New Roman" w:cs="Times New Roman"/>
          <w:color w:val="000000"/>
        </w:rPr>
        <w:t>Пригородное сообщение железнодорожным транспортом связывает Кисловодск с городами-центрами агломерации Кавказских Минеральных Вод – Ессентуки, Пятигорск и Минеральные Воды. Частота пассажирского сообщения составляет не менее 22 пар поездов в сутки.</w:t>
      </w:r>
    </w:p>
    <w:p w14:paraId="291EE529" w14:textId="77777777" w:rsidR="00171AA8" w:rsidRPr="00731FE2" w:rsidRDefault="007935AB">
      <w:pPr>
        <w:pBdr>
          <w:top w:val="none" w:sz="4" w:space="0" w:color="000000"/>
          <w:left w:val="none" w:sz="4" w:space="0" w:color="000000"/>
          <w:bottom w:val="none" w:sz="4" w:space="0" w:color="000000"/>
          <w:right w:val="none" w:sz="4" w:space="0" w:color="000000"/>
        </w:pBdr>
      </w:pPr>
      <w:r w:rsidRPr="00731FE2">
        <w:rPr>
          <w:rFonts w:ascii="Times New Roman" w:eastAsia="Times New Roman" w:hAnsi="Times New Roman" w:cs="Times New Roman"/>
          <w:color w:val="000000"/>
        </w:rPr>
        <w:t>В пределах Кисловодска и прилегающей территории района Кавказских Минеральных Вод выполняется большой объем работы пригородного железнодорожного транспорта.</w:t>
      </w:r>
      <w:r w:rsidR="00A72799" w:rsidRPr="00731FE2">
        <w:rPr>
          <w:rFonts w:ascii="Times New Roman" w:eastAsia="Times New Roman" w:hAnsi="Times New Roman" w:cs="Times New Roman"/>
          <w:color w:val="000000"/>
        </w:rPr>
        <w:t xml:space="preserve"> </w:t>
      </w:r>
      <w:r w:rsidRPr="00731FE2">
        <w:rPr>
          <w:rFonts w:ascii="Times New Roman" w:eastAsia="Times New Roman" w:hAnsi="Times New Roman" w:cs="Times New Roman"/>
          <w:color w:val="000000"/>
        </w:rPr>
        <w:t>Грузовое сообщение по станции Кисловодск развито незначительно (не более 5 пар грузовых поездов в сутки).</w:t>
      </w:r>
    </w:p>
    <w:p w14:paraId="214A25C5" w14:textId="77777777" w:rsidR="00171AA8" w:rsidRPr="00731FE2" w:rsidRDefault="007935AB">
      <w:pPr>
        <w:pBdr>
          <w:top w:val="none" w:sz="4" w:space="0" w:color="000000"/>
          <w:left w:val="none" w:sz="4" w:space="0" w:color="000000"/>
          <w:bottom w:val="none" w:sz="4" w:space="0" w:color="000000"/>
          <w:right w:val="none" w:sz="4" w:space="0" w:color="000000"/>
        </w:pBdr>
      </w:pPr>
      <w:r w:rsidRPr="00731FE2">
        <w:rPr>
          <w:rFonts w:ascii="Times New Roman" w:eastAsia="Times New Roman" w:hAnsi="Times New Roman" w:cs="Times New Roman"/>
          <w:b/>
          <w:color w:val="000000"/>
        </w:rPr>
        <w:t>Железнодорожный транспорт на территории городского округа города-курорта Кисловодска выполняет две важнейшие функции: во-первых, обеспечивает его связи с дальними территориями России, во-вторых, играет связующую роль в качестве линейного элемента опорного каркаса агломерации Кавказских Минеральных Вод.</w:t>
      </w:r>
    </w:p>
    <w:p w14:paraId="3497C22C" w14:textId="77777777" w:rsidR="00171AA8" w:rsidRPr="00731FE2" w:rsidRDefault="007935AB">
      <w:pPr>
        <w:pStyle w:val="33"/>
        <w:rPr>
          <w:rFonts w:ascii="Times New Roman" w:hAnsi="Times New Roman" w:cs="Times New Roman"/>
        </w:rPr>
      </w:pPr>
      <w:bookmarkStart w:id="47" w:name="_Toc177392798"/>
      <w:r w:rsidRPr="00731FE2">
        <w:rPr>
          <w:rFonts w:ascii="Times New Roman" w:hAnsi="Times New Roman" w:cs="Times New Roman"/>
        </w:rPr>
        <w:t>2.10.6 Воздушный транспорт</w:t>
      </w:r>
      <w:bookmarkEnd w:id="47"/>
    </w:p>
    <w:p w14:paraId="3D00D007" w14:textId="77777777" w:rsidR="00171AA8" w:rsidRPr="00731FE2" w:rsidRDefault="007935AB">
      <w:pPr>
        <w:pBdr>
          <w:top w:val="none" w:sz="4" w:space="0" w:color="000000"/>
          <w:left w:val="none" w:sz="4" w:space="0" w:color="000000"/>
          <w:bottom w:val="none" w:sz="4" w:space="0" w:color="000000"/>
          <w:right w:val="none" w:sz="4" w:space="0" w:color="000000"/>
        </w:pBdr>
      </w:pPr>
      <w:r w:rsidRPr="00731FE2">
        <w:rPr>
          <w:rFonts w:ascii="Times New Roman" w:eastAsia="Times New Roman" w:hAnsi="Times New Roman" w:cs="Times New Roman"/>
          <w:color w:val="000000"/>
        </w:rPr>
        <w:t>С 1961 г. и по 01.01.1978 г. в Кисловодске функционировал аэропорт. В силу ограничений развития, обусловленных местом размещения аэропорта (особенностями рельефа местности и др. факторы) он выполнял транспортные функции в недостаточной мере (выполнялись рейсы местных воздушных линий). С 1978 и до сих пор внешние транспортные функции авиатранспортом выполняет аэропорт города Минеральные Воды, расположенный на удалении около 60 км от города.</w:t>
      </w:r>
    </w:p>
    <w:p w14:paraId="63395F4D"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lastRenderedPageBreak/>
        <w:t>На территории городского округа существует одна вертолётная площадка, тогда как для обеспечения потребностей жителей и гостей города-курорта требуется ещё не менее 2-3 вертолётных площадок (в т.ч. для медицинских нужд, потребностей МЧС и иных служб).</w:t>
      </w:r>
    </w:p>
    <w:p w14:paraId="2B0A071B" w14:textId="77777777" w:rsidR="00187404" w:rsidRPr="00731FE2" w:rsidRDefault="00187404">
      <w:pPr>
        <w:pBdr>
          <w:top w:val="none" w:sz="4" w:space="0" w:color="000000"/>
          <w:left w:val="none" w:sz="4" w:space="0" w:color="000000"/>
          <w:bottom w:val="none" w:sz="4" w:space="0" w:color="000000"/>
          <w:right w:val="none" w:sz="4" w:space="0" w:color="000000"/>
        </w:pBdr>
      </w:pPr>
    </w:p>
    <w:p w14:paraId="3ABF737F" w14:textId="77777777" w:rsidR="00171AA8" w:rsidRPr="00731FE2" w:rsidRDefault="007935AB">
      <w:pPr>
        <w:pStyle w:val="24"/>
        <w:rPr>
          <w:rFonts w:ascii="Times New Roman" w:hAnsi="Times New Roman" w:cs="Times New Roman"/>
        </w:rPr>
      </w:pPr>
      <w:bookmarkStart w:id="48" w:name="_Toc177392799"/>
      <w:r w:rsidRPr="00731FE2">
        <w:rPr>
          <w:rFonts w:ascii="Times New Roman" w:hAnsi="Times New Roman" w:cs="Times New Roman"/>
        </w:rPr>
        <w:t>2.11 Инженерная инфраструктура</w:t>
      </w:r>
      <w:bookmarkEnd w:id="48"/>
    </w:p>
    <w:p w14:paraId="5DBE9D10" w14:textId="77777777" w:rsidR="00171AA8" w:rsidRPr="00731FE2" w:rsidRDefault="007935AB">
      <w:pPr>
        <w:rPr>
          <w:rFonts w:ascii="Times New Roman" w:hAnsi="Times New Roman" w:cs="Times New Roman"/>
          <w:color w:val="000000" w:themeColor="text1"/>
        </w:rPr>
      </w:pPr>
      <w:r w:rsidRPr="00731FE2">
        <w:rPr>
          <w:rFonts w:ascii="Times New Roman" w:hAnsi="Times New Roman" w:cs="Times New Roman"/>
          <w:color w:val="000000" w:themeColor="text1"/>
        </w:rPr>
        <w:t>При подготовке раздела использованы следующие материалы:</w:t>
      </w:r>
    </w:p>
    <w:p w14:paraId="749C450D" w14:textId="77777777" w:rsidR="00171AA8" w:rsidRPr="00731FE2" w:rsidRDefault="007935AB" w:rsidP="007832E7">
      <w:pPr>
        <w:pStyle w:val="a3"/>
        <w:numPr>
          <w:ilvl w:val="0"/>
          <w:numId w:val="40"/>
        </w:numPr>
        <w:tabs>
          <w:tab w:val="left" w:pos="992"/>
        </w:tabs>
        <w:ind w:left="0" w:firstLine="709"/>
        <w:rPr>
          <w:rFonts w:ascii="Times New Roman" w:hAnsi="Times New Roman" w:cs="Times New Roman"/>
          <w:color w:val="000000" w:themeColor="text1"/>
        </w:rPr>
      </w:pPr>
      <w:r w:rsidRPr="00731FE2">
        <w:rPr>
          <w:rFonts w:ascii="Times New Roman" w:hAnsi="Times New Roman" w:cs="Times New Roman"/>
          <w:color w:val="000000" w:themeColor="text1"/>
        </w:rPr>
        <w:t xml:space="preserve">Генеральный план городского округа города-курорта Кисловодска, разработанный ООО «Картфонд» в 2022 году; </w:t>
      </w:r>
    </w:p>
    <w:p w14:paraId="2A12068D" w14:textId="77777777" w:rsidR="00171AA8" w:rsidRPr="00731FE2" w:rsidRDefault="007935AB" w:rsidP="007832E7">
      <w:pPr>
        <w:pStyle w:val="a3"/>
        <w:numPr>
          <w:ilvl w:val="0"/>
          <w:numId w:val="40"/>
        </w:numPr>
        <w:tabs>
          <w:tab w:val="left" w:pos="992"/>
        </w:tabs>
        <w:ind w:left="0" w:firstLine="709"/>
        <w:rPr>
          <w:rFonts w:ascii="Times New Roman" w:hAnsi="Times New Roman" w:cs="Times New Roman"/>
          <w:color w:val="000000" w:themeColor="text1"/>
        </w:rPr>
      </w:pPr>
      <w:r w:rsidRPr="00731FE2">
        <w:rPr>
          <w:rFonts w:ascii="Times New Roman" w:hAnsi="Times New Roman" w:cs="Times New Roman"/>
          <w:color w:val="000000" w:themeColor="text1"/>
        </w:rPr>
        <w:t>«Схема водоснабжения и водоотведения муниципального образования город-курорт Кисловодск с 2013 по 2023 год», разработанная в 2013 году и утвержденная Постановлением Администрации МО города-курорта Кисловодска № 1330 от 31 декабря 2013 года»;</w:t>
      </w:r>
    </w:p>
    <w:p w14:paraId="10920865" w14:textId="77777777" w:rsidR="00171AA8" w:rsidRPr="00731FE2" w:rsidRDefault="007935AB" w:rsidP="007832E7">
      <w:pPr>
        <w:pStyle w:val="a3"/>
        <w:numPr>
          <w:ilvl w:val="0"/>
          <w:numId w:val="40"/>
        </w:numPr>
        <w:tabs>
          <w:tab w:val="left" w:pos="992"/>
        </w:tabs>
        <w:ind w:left="0" w:firstLine="709"/>
        <w:rPr>
          <w:rFonts w:ascii="Times New Roman" w:hAnsi="Times New Roman" w:cs="Times New Roman"/>
          <w:color w:val="000000" w:themeColor="text1"/>
        </w:rPr>
      </w:pPr>
      <w:r w:rsidRPr="00731FE2">
        <w:rPr>
          <w:rFonts w:ascii="Times New Roman" w:hAnsi="Times New Roman" w:cs="Times New Roman"/>
          <w:color w:val="000000" w:themeColor="text1"/>
        </w:rPr>
        <w:t>Муниципальная программа города-курорта Кисловодска «Развитие жилищно-коммунального хозяйства», утвержденная Постановлением администрации города-курорта Кисловодска от 29.12.2018 № 1218 (срок реализации 2019-2024 годы);</w:t>
      </w:r>
    </w:p>
    <w:p w14:paraId="4D58D4DF" w14:textId="77777777" w:rsidR="00171AA8" w:rsidRPr="00731FE2" w:rsidRDefault="007935AB" w:rsidP="007832E7">
      <w:pPr>
        <w:pStyle w:val="a3"/>
        <w:numPr>
          <w:ilvl w:val="0"/>
          <w:numId w:val="40"/>
        </w:numPr>
        <w:tabs>
          <w:tab w:val="left" w:pos="992"/>
        </w:tabs>
        <w:ind w:left="0" w:firstLine="709"/>
        <w:rPr>
          <w:rFonts w:ascii="Times New Roman" w:hAnsi="Times New Roman" w:cs="Times New Roman"/>
          <w:color w:val="000000" w:themeColor="text1"/>
        </w:rPr>
      </w:pPr>
      <w:r w:rsidRPr="00731FE2">
        <w:rPr>
          <w:rFonts w:ascii="Times New Roman" w:hAnsi="Times New Roman" w:cs="Times New Roman"/>
          <w:color w:val="000000" w:themeColor="text1"/>
        </w:rPr>
        <w:t>Инвестиционная программа ГУП СК «Ставрополькрайводоканал» в сфере холодного водоснабжение и водоотведения на 2020-2028 годы, утвержденная Приказом Министерства жилищно-коммунального хозяйства Ставропольского края от 28 декабря 2019 г. № 358;</w:t>
      </w:r>
    </w:p>
    <w:p w14:paraId="63EB421B" w14:textId="77777777" w:rsidR="00171AA8" w:rsidRPr="00731FE2" w:rsidRDefault="007935AB" w:rsidP="007832E7">
      <w:pPr>
        <w:pStyle w:val="a3"/>
        <w:numPr>
          <w:ilvl w:val="0"/>
          <w:numId w:val="40"/>
        </w:numPr>
        <w:tabs>
          <w:tab w:val="left" w:pos="992"/>
        </w:tabs>
        <w:ind w:left="0" w:firstLine="709"/>
        <w:rPr>
          <w:rFonts w:ascii="Times New Roman" w:hAnsi="Times New Roman" w:cs="Times New Roman"/>
          <w:color w:val="000000" w:themeColor="text1"/>
        </w:rPr>
      </w:pPr>
      <w:r w:rsidRPr="00731FE2">
        <w:rPr>
          <w:rFonts w:ascii="Times New Roman" w:hAnsi="Times New Roman" w:cs="Times New Roman"/>
          <w:color w:val="000000" w:themeColor="text1"/>
        </w:rPr>
        <w:t>«Схема и программа развития электроэнергетики Ставропольского края на 2023-2027 годы», утвержденная Распоряжением Губернатора Ставропольского края от 27 апреля 2022 г. № 216-р;</w:t>
      </w:r>
    </w:p>
    <w:p w14:paraId="5353F081" w14:textId="77777777" w:rsidR="00171AA8" w:rsidRPr="00731FE2" w:rsidRDefault="007935AB" w:rsidP="007832E7">
      <w:pPr>
        <w:pStyle w:val="a3"/>
        <w:numPr>
          <w:ilvl w:val="0"/>
          <w:numId w:val="40"/>
        </w:numPr>
        <w:tabs>
          <w:tab w:val="left" w:pos="992"/>
        </w:tabs>
        <w:ind w:left="0" w:firstLine="709"/>
        <w:rPr>
          <w:rFonts w:ascii="Times New Roman" w:hAnsi="Times New Roman" w:cs="Times New Roman"/>
          <w:color w:val="000000" w:themeColor="text1"/>
        </w:rPr>
      </w:pPr>
      <w:r w:rsidRPr="00731FE2">
        <w:rPr>
          <w:rFonts w:ascii="Times New Roman" w:hAnsi="Times New Roman" w:cs="Times New Roman"/>
          <w:color w:val="000000" w:themeColor="text1"/>
        </w:rPr>
        <w:t>Краевая программа «Газификация жилищно-коммунального хозяйства, промышленных и иных организаций Ставропольского края на 2022-2031 годы», утвержденная Распоряжением Губернатора Ставропольского края от 24 декабря 2021 года № 854-р.</w:t>
      </w:r>
    </w:p>
    <w:p w14:paraId="563E77E1" w14:textId="77777777" w:rsidR="00171AA8" w:rsidRPr="00731FE2" w:rsidRDefault="007935AB">
      <w:pPr>
        <w:pStyle w:val="33"/>
        <w:rPr>
          <w:rFonts w:ascii="Times New Roman" w:hAnsi="Times New Roman" w:cs="Times New Roman"/>
        </w:rPr>
      </w:pPr>
      <w:bookmarkStart w:id="49" w:name="_Toc177392800"/>
      <w:r w:rsidRPr="00731FE2">
        <w:rPr>
          <w:rFonts w:ascii="Times New Roman" w:hAnsi="Times New Roman" w:cs="Times New Roman"/>
        </w:rPr>
        <w:t>2.11.1 Водоснабжение и водоотведение</w:t>
      </w:r>
      <w:bookmarkEnd w:id="49"/>
    </w:p>
    <w:p w14:paraId="3589C59C" w14:textId="77777777" w:rsidR="00171AA8" w:rsidRPr="00731FE2" w:rsidRDefault="007935AB">
      <w:pPr>
        <w:rPr>
          <w:rFonts w:ascii="Times New Roman" w:hAnsi="Times New Roman" w:cs="Times New Roman"/>
          <w:color w:val="000000" w:themeColor="text1"/>
        </w:rPr>
      </w:pPr>
      <w:r w:rsidRPr="00731FE2">
        <w:rPr>
          <w:rFonts w:ascii="Times New Roman" w:hAnsi="Times New Roman" w:cs="Times New Roman"/>
          <w:color w:val="000000" w:themeColor="text1"/>
        </w:rPr>
        <w:t xml:space="preserve">Система централизованного водоснабжения городского округа представляет собой совокупность инженерных сооружений и технологических процессов, направленных на обеспечение питьевой и технической водой потребителей, которых условно можно разделить на три категории: население, бюджетные организации и прочие потребители. </w:t>
      </w:r>
    </w:p>
    <w:p w14:paraId="016EC778" w14:textId="77777777" w:rsidR="00171AA8" w:rsidRPr="00731FE2" w:rsidRDefault="007935AB">
      <w:pPr>
        <w:rPr>
          <w:rFonts w:ascii="Times New Roman" w:hAnsi="Times New Roman" w:cs="Times New Roman"/>
          <w:color w:val="000000" w:themeColor="text1"/>
        </w:rPr>
      </w:pPr>
      <w:r w:rsidRPr="00731FE2">
        <w:rPr>
          <w:rFonts w:ascii="Times New Roman" w:hAnsi="Times New Roman" w:cs="Times New Roman"/>
          <w:color w:val="000000" w:themeColor="text1"/>
        </w:rPr>
        <w:t xml:space="preserve">Процесс обеспечения потребителей водой условно разделен на три составляющих: </w:t>
      </w:r>
    </w:p>
    <w:p w14:paraId="11E6F940" w14:textId="77777777" w:rsidR="00171AA8" w:rsidRPr="00731FE2" w:rsidRDefault="007935AB">
      <w:pPr>
        <w:pStyle w:val="a3"/>
        <w:numPr>
          <w:ilvl w:val="0"/>
          <w:numId w:val="14"/>
        </w:numPr>
        <w:tabs>
          <w:tab w:val="left" w:pos="992"/>
        </w:tabs>
        <w:ind w:left="0" w:firstLine="709"/>
        <w:rPr>
          <w:rFonts w:ascii="Times New Roman" w:hAnsi="Times New Roman" w:cs="Times New Roman"/>
          <w:color w:val="000000" w:themeColor="text1"/>
        </w:rPr>
      </w:pPr>
      <w:r w:rsidRPr="00731FE2">
        <w:rPr>
          <w:rFonts w:ascii="Times New Roman" w:hAnsi="Times New Roman" w:cs="Times New Roman"/>
          <w:color w:val="000000" w:themeColor="text1"/>
        </w:rPr>
        <w:t>забор воды на источнике с последующей транспортировкой на сооружения водоподготовки;</w:t>
      </w:r>
    </w:p>
    <w:p w14:paraId="64F4B7A2" w14:textId="77777777" w:rsidR="00171AA8" w:rsidRPr="00731FE2" w:rsidRDefault="007935AB">
      <w:pPr>
        <w:pStyle w:val="a3"/>
        <w:numPr>
          <w:ilvl w:val="0"/>
          <w:numId w:val="14"/>
        </w:numPr>
        <w:tabs>
          <w:tab w:val="left" w:pos="992"/>
        </w:tabs>
        <w:ind w:left="0" w:firstLine="709"/>
        <w:rPr>
          <w:rFonts w:ascii="Times New Roman" w:hAnsi="Times New Roman" w:cs="Times New Roman"/>
          <w:color w:val="000000" w:themeColor="text1"/>
        </w:rPr>
      </w:pPr>
      <w:r w:rsidRPr="00731FE2">
        <w:rPr>
          <w:rFonts w:ascii="Times New Roman" w:hAnsi="Times New Roman" w:cs="Times New Roman"/>
          <w:color w:val="000000" w:themeColor="text1"/>
        </w:rPr>
        <w:t xml:space="preserve">приведение качества исходной воды в соответствие нормативным требованиям в процессе водоподготовки; </w:t>
      </w:r>
    </w:p>
    <w:p w14:paraId="1B35ADB7" w14:textId="77777777" w:rsidR="00171AA8" w:rsidRPr="00731FE2" w:rsidRDefault="007935AB">
      <w:pPr>
        <w:pStyle w:val="a3"/>
        <w:numPr>
          <w:ilvl w:val="0"/>
          <w:numId w:val="14"/>
        </w:numPr>
        <w:tabs>
          <w:tab w:val="left" w:pos="992"/>
        </w:tabs>
        <w:ind w:left="0" w:firstLine="709"/>
        <w:rPr>
          <w:rFonts w:ascii="Times New Roman" w:hAnsi="Times New Roman" w:cs="Times New Roman"/>
          <w:color w:val="000000" w:themeColor="text1"/>
        </w:rPr>
      </w:pPr>
      <w:r w:rsidRPr="00731FE2">
        <w:rPr>
          <w:rFonts w:ascii="Times New Roman" w:hAnsi="Times New Roman" w:cs="Times New Roman"/>
          <w:color w:val="000000" w:themeColor="text1"/>
        </w:rPr>
        <w:t>транспортировка воды потребителям.</w:t>
      </w:r>
    </w:p>
    <w:p w14:paraId="7555F7D4" w14:textId="77777777" w:rsidR="00171AA8" w:rsidRPr="00731FE2" w:rsidRDefault="007935AB">
      <w:pPr>
        <w:rPr>
          <w:rFonts w:ascii="Times New Roman" w:hAnsi="Times New Roman" w:cs="Times New Roman"/>
          <w:color w:val="000000" w:themeColor="text1"/>
        </w:rPr>
      </w:pPr>
      <w:r w:rsidRPr="00731FE2">
        <w:rPr>
          <w:rFonts w:ascii="Times New Roman" w:hAnsi="Times New Roman" w:cs="Times New Roman"/>
          <w:color w:val="000000" w:themeColor="text1"/>
        </w:rPr>
        <w:t>Поставщиком услуги централизованного холодного водоснабжения на территории городского округа является филиал ГУП Ставропольского края «Ставрополькрайводоканал» – Предгорный «Межрайводоканал» ПТП Кисловодское.</w:t>
      </w:r>
    </w:p>
    <w:p w14:paraId="7E11829D" w14:textId="77777777" w:rsidR="00171AA8" w:rsidRPr="00731FE2" w:rsidRDefault="007935AB">
      <w:r w:rsidRPr="00731FE2">
        <w:rPr>
          <w:rFonts w:ascii="Times New Roman" w:hAnsi="Times New Roman" w:cs="Times New Roman"/>
          <w:color w:val="000000" w:themeColor="text1"/>
        </w:rPr>
        <w:t xml:space="preserve">Общая продолжительность водопровода составляет 395,894 км, в том числе магистрального – 93,2 км, протяженность разводящей сети – 260,8 км, внутриквартальных и дворовых сетей – 43,9 км. Насосных станций – 11 штук. Общая протяженность сети </w:t>
      </w:r>
      <w:r w:rsidRPr="00731FE2">
        <w:rPr>
          <w:rFonts w:ascii="Times New Roman" w:hAnsi="Times New Roman" w:cs="Times New Roman"/>
          <w:color w:val="000000" w:themeColor="text1"/>
        </w:rPr>
        <w:lastRenderedPageBreak/>
        <w:t>канализации – 193,241 км, в том числе коллекторов – 53,883 км, уличных сетей – 105,9 км, внутриквартальных и дворовых – 36,348 км. Количество насосных станций – 2.</w:t>
      </w:r>
      <w:r w:rsidRPr="00731FE2">
        <w:rPr>
          <w:rStyle w:val="afb"/>
          <w:rFonts w:ascii="Times New Roman" w:hAnsi="Times New Roman" w:cs="Times New Roman"/>
          <w:color w:val="000000" w:themeColor="text1"/>
          <w:vertAlign w:val="superscript"/>
        </w:rPr>
        <w:footnoteReference w:id="66"/>
      </w:r>
    </w:p>
    <w:p w14:paraId="00CCB1F5" w14:textId="77777777" w:rsidR="00171AA8" w:rsidRPr="00731FE2" w:rsidRDefault="007935AB">
      <w:pPr>
        <w:rPr>
          <w:rFonts w:ascii="Times New Roman" w:hAnsi="Times New Roman" w:cs="Times New Roman"/>
          <w:color w:val="000000" w:themeColor="text1"/>
        </w:rPr>
      </w:pPr>
      <w:r w:rsidRPr="00731FE2">
        <w:rPr>
          <w:rFonts w:ascii="Times New Roman" w:hAnsi="Times New Roman" w:cs="Times New Roman"/>
          <w:color w:val="000000" w:themeColor="text1"/>
        </w:rPr>
        <w:t>Филиал обеспечивает питьевой водой г. Кисловодск и прилегающие поселки: п. Белореченский, п. Нарзанный, п. Зеленогорский, п. Аликоновский.</w:t>
      </w:r>
    </w:p>
    <w:p w14:paraId="47D3AD4A" w14:textId="77777777" w:rsidR="00171AA8" w:rsidRPr="00731FE2" w:rsidRDefault="007935AB">
      <w:pPr>
        <w:rPr>
          <w:rFonts w:ascii="Times New Roman" w:hAnsi="Times New Roman" w:cs="Times New Roman"/>
          <w:color w:val="000000" w:themeColor="text1"/>
        </w:rPr>
      </w:pPr>
      <w:r w:rsidRPr="00731FE2">
        <w:rPr>
          <w:rFonts w:ascii="Times New Roman" w:hAnsi="Times New Roman" w:cs="Times New Roman"/>
          <w:color w:val="000000" w:themeColor="text1"/>
        </w:rPr>
        <w:t>В ведении данной организации находятся источники «Лермонтовские №1, №2», а также сети водоснабжения и насосные станции, расположенные на территории городского округа города-курорта Кисловодска. Большая часть водного ресурса – покупная, подается в сеть из источников «Теплушка», «Близнецы», «Находка», а также из Эшкаконского водохранилища, которые эксплуатируются ГКУ Ставропольского Края «УСЭСПН».</w:t>
      </w:r>
    </w:p>
    <w:p w14:paraId="1EABCCF3" w14:textId="77777777" w:rsidR="00171AA8" w:rsidRPr="00731FE2" w:rsidRDefault="007935AB">
      <w:r w:rsidRPr="00731FE2">
        <w:rPr>
          <w:rFonts w:ascii="Times New Roman" w:hAnsi="Times New Roman" w:cs="Times New Roman"/>
          <w:b/>
          <w:bCs/>
          <w:color w:val="000000" w:themeColor="text1"/>
        </w:rPr>
        <w:t xml:space="preserve">Источниками хозяйственно-питьевого водоснабжения </w:t>
      </w:r>
      <w:r w:rsidRPr="00731FE2">
        <w:rPr>
          <w:rFonts w:ascii="Times New Roman" w:hAnsi="Times New Roman" w:cs="Times New Roman"/>
          <w:color w:val="000000" w:themeColor="text1"/>
        </w:rPr>
        <w:t xml:space="preserve">централизованной системы водоснабжения являются поверхностные и подземные воды. </w:t>
      </w:r>
    </w:p>
    <w:p w14:paraId="3FE235C8" w14:textId="77777777" w:rsidR="00171AA8" w:rsidRPr="00731FE2" w:rsidRDefault="007935AB">
      <w:r w:rsidRPr="00731FE2">
        <w:rPr>
          <w:rFonts w:ascii="Times New Roman" w:hAnsi="Times New Roman" w:cs="Times New Roman"/>
          <w:color w:val="000000" w:themeColor="text1"/>
        </w:rPr>
        <w:t xml:space="preserve">В качестве поверхностных источников используются Эшкаконское водохранилище и Большой Ставропольский канал. </w:t>
      </w:r>
    </w:p>
    <w:p w14:paraId="643619A3" w14:textId="77777777" w:rsidR="00171AA8" w:rsidRPr="00731FE2" w:rsidRDefault="007935AB">
      <w:r w:rsidRPr="00731FE2">
        <w:rPr>
          <w:rFonts w:ascii="Times New Roman" w:hAnsi="Times New Roman" w:cs="Times New Roman"/>
          <w:color w:val="000000" w:themeColor="text1"/>
        </w:rPr>
        <w:t xml:space="preserve">Запасы пресных подземных вод, используемых для хозяйственно-питьевого водоснабжения города-курорта, определены дебитом трех источников-каптированных родников, расположенных близ города-курорта. Кроме того, из подземных источников осуществляется техническое водоснабжение. </w:t>
      </w:r>
    </w:p>
    <w:p w14:paraId="0A827635" w14:textId="77777777" w:rsidR="00171AA8" w:rsidRPr="00731FE2" w:rsidRDefault="007935AB">
      <w:r w:rsidRPr="00731FE2">
        <w:rPr>
          <w:rFonts w:ascii="Times New Roman" w:hAnsi="Times New Roman" w:cs="Times New Roman"/>
          <w:color w:val="000000" w:themeColor="text1"/>
        </w:rPr>
        <w:t>Ниже приводится краткая характеристика источников централизованного водоснабжения городского округа.</w:t>
      </w:r>
    </w:p>
    <w:p w14:paraId="49FD899F" w14:textId="77777777" w:rsidR="00171AA8" w:rsidRPr="00731FE2" w:rsidRDefault="007935AB">
      <w:pPr>
        <w:rPr>
          <w:b/>
          <w:bCs/>
        </w:rPr>
      </w:pPr>
      <w:r w:rsidRPr="00731FE2">
        <w:rPr>
          <w:rFonts w:ascii="Times New Roman" w:hAnsi="Times New Roman" w:cs="Times New Roman"/>
          <w:b/>
          <w:bCs/>
          <w:color w:val="000000" w:themeColor="text1"/>
        </w:rPr>
        <w:t xml:space="preserve">Поверхностные источники. Эшкаконское водохранилище (р. Эшкакон). </w:t>
      </w:r>
      <w:r w:rsidRPr="00731FE2">
        <w:rPr>
          <w:rFonts w:ascii="Times New Roman" w:hAnsi="Times New Roman" w:cs="Times New Roman"/>
          <w:color w:val="000000" w:themeColor="text1"/>
        </w:rPr>
        <w:t>Забор воды производится из регулирующего водохранилища. Эксплуатация основного комплекса водозаборных и очистных сооружений ведется с 1956 года. Проектная производительность комплекса – 100,0 тыс. м</w:t>
      </w:r>
      <w:r w:rsidRPr="00731FE2">
        <w:rPr>
          <w:rFonts w:ascii="Times New Roman" w:hAnsi="Times New Roman" w:cs="Times New Roman"/>
          <w:color w:val="000000" w:themeColor="text1"/>
          <w:vertAlign w:val="superscript"/>
        </w:rPr>
        <w:t>3</w:t>
      </w:r>
      <w:r w:rsidRPr="00731FE2">
        <w:rPr>
          <w:rFonts w:ascii="Times New Roman" w:hAnsi="Times New Roman" w:cs="Times New Roman"/>
          <w:color w:val="000000" w:themeColor="text1"/>
        </w:rPr>
        <w:t>/сут., производительность на текущий момент составляет 85,0 тыс. м</w:t>
      </w:r>
      <w:r w:rsidRPr="00731FE2">
        <w:rPr>
          <w:rFonts w:ascii="Times New Roman" w:hAnsi="Times New Roman" w:cs="Times New Roman"/>
          <w:color w:val="000000" w:themeColor="text1"/>
          <w:vertAlign w:val="superscript"/>
        </w:rPr>
        <w:t>3</w:t>
      </w:r>
      <w:r w:rsidRPr="00731FE2">
        <w:rPr>
          <w:rFonts w:ascii="Times New Roman" w:hAnsi="Times New Roman" w:cs="Times New Roman"/>
          <w:color w:val="000000" w:themeColor="text1"/>
        </w:rPr>
        <w:t>/сут. (при хорошем качестве исходной воды в водохранилище). При ухудшении качества исходной воды в период паводка производительность сооружений снижается до 60,0 тыс. м</w:t>
      </w:r>
      <w:r w:rsidRPr="00731FE2">
        <w:rPr>
          <w:rFonts w:ascii="Times New Roman" w:hAnsi="Times New Roman" w:cs="Times New Roman"/>
          <w:color w:val="000000" w:themeColor="text1"/>
          <w:vertAlign w:val="superscript"/>
        </w:rPr>
        <w:t>3</w:t>
      </w:r>
      <w:r w:rsidRPr="00731FE2">
        <w:rPr>
          <w:rFonts w:ascii="Times New Roman" w:hAnsi="Times New Roman" w:cs="Times New Roman"/>
          <w:color w:val="000000" w:themeColor="text1"/>
        </w:rPr>
        <w:t>/сут.</w:t>
      </w:r>
    </w:p>
    <w:p w14:paraId="1E9585B6" w14:textId="77777777" w:rsidR="00171AA8" w:rsidRPr="00731FE2" w:rsidRDefault="007935AB">
      <w:r w:rsidRPr="00731FE2">
        <w:rPr>
          <w:rFonts w:ascii="Times New Roman" w:hAnsi="Times New Roman" w:cs="Times New Roman"/>
          <w:color w:val="000000" w:themeColor="text1"/>
        </w:rPr>
        <w:t>Основными технологическими процессами действующих очистных сооружений является: флокуляция, коагуляция, осветление и обеззараживание воды. Процесс осветления осуществляется по двухступенчатой схеме с отстаиванием в горизонтальных отстойниках и фильтрованием на скорых фильтрах. Обеззараживание очищенной фильтрацией воды производится жидким хлором перед резервуаром чистой воды (РЧВ) объемом 1000 м</w:t>
      </w:r>
      <w:r w:rsidRPr="00731FE2">
        <w:rPr>
          <w:rFonts w:ascii="Times New Roman" w:hAnsi="Times New Roman" w:cs="Times New Roman"/>
          <w:color w:val="000000" w:themeColor="text1"/>
          <w:vertAlign w:val="superscript"/>
        </w:rPr>
        <w:t>3</w:t>
      </w:r>
      <w:r w:rsidRPr="00731FE2">
        <w:rPr>
          <w:rFonts w:ascii="Times New Roman" w:hAnsi="Times New Roman" w:cs="Times New Roman"/>
          <w:color w:val="000000" w:themeColor="text1"/>
        </w:rPr>
        <w:t>.</w:t>
      </w:r>
    </w:p>
    <w:p w14:paraId="69374EA3" w14:textId="77777777" w:rsidR="00171AA8" w:rsidRPr="00731FE2" w:rsidRDefault="007935AB">
      <w:proofErr w:type="gramStart"/>
      <w:r w:rsidRPr="00731FE2">
        <w:rPr>
          <w:rFonts w:ascii="Times New Roman" w:hAnsi="Times New Roman" w:cs="Times New Roman"/>
          <w:color w:val="000000" w:themeColor="text1"/>
        </w:rPr>
        <w:t>От очистных сооружений вода поступает в РЧВ, и далее по двум водоводам диаметром 600 мм и 700 мм транспортируется в камеру переключений «Гора-Кольцо», расположенную в п. Мирный Предгорного муниципального района, откуда тремя трубопроводами диаметром 400,600 и 600 мм подается в распределительную сеть города-курорта Кисловодска, и отдельным трубопроводом диаметром 700 мм на НС №2 Кубанского водопровода, обеспечивающего водой г. Ессентуки, п</w:t>
      </w:r>
      <w:proofErr w:type="gramEnd"/>
      <w:r w:rsidRPr="00731FE2">
        <w:rPr>
          <w:rFonts w:ascii="Times New Roman" w:hAnsi="Times New Roman" w:cs="Times New Roman"/>
          <w:color w:val="000000" w:themeColor="text1"/>
        </w:rPr>
        <w:t>. Белый Уголь и п. Подкумок.</w:t>
      </w:r>
    </w:p>
    <w:p w14:paraId="09D0B3E9" w14:textId="77777777" w:rsidR="00171AA8" w:rsidRPr="00731FE2" w:rsidRDefault="007935AB">
      <w:r w:rsidRPr="00731FE2">
        <w:rPr>
          <w:rFonts w:ascii="Times New Roman" w:hAnsi="Times New Roman" w:cs="Times New Roman"/>
          <w:color w:val="000000" w:themeColor="text1"/>
        </w:rPr>
        <w:t xml:space="preserve">Большой Ставропольский канал – дополнительный источник водоснабжения. Транспортировка воды из Большого Ставропольского Канала (БСК) осуществляется через </w:t>
      </w:r>
      <w:r w:rsidRPr="00731FE2">
        <w:rPr>
          <w:rFonts w:ascii="Times New Roman" w:hAnsi="Times New Roman" w:cs="Times New Roman"/>
          <w:color w:val="000000" w:themeColor="text1"/>
        </w:rPr>
        <w:lastRenderedPageBreak/>
        <w:t xml:space="preserve">Кубанский водопровод. Забор воды на нужды водоснабжения осуществляется непосредственно из канала, а также из Кубанского водохранилища, входящего в систему БСК. </w:t>
      </w:r>
    </w:p>
    <w:p w14:paraId="2692AC51" w14:textId="77777777" w:rsidR="00171AA8" w:rsidRPr="00731FE2" w:rsidRDefault="007935AB">
      <w:r w:rsidRPr="00731FE2">
        <w:rPr>
          <w:rFonts w:ascii="Times New Roman" w:hAnsi="Times New Roman" w:cs="Times New Roman"/>
          <w:color w:val="000000" w:themeColor="text1"/>
        </w:rPr>
        <w:t>Из РЧВ, расположенных на территории сооружений водоподготовки (ОСВ) очищенная вода по трем самотечным водоводам поступает в резервуары Главной насосной станции (ГНС). От ГНС по водоводу диаметром 800 мм вода подается в РЧВ объемом 10000 м3 системы водоснабжения г. Ессентуки и в насосную станцию №1 (НС №1) Кубанского водопровода, расположенную в г. Ессентуки.</w:t>
      </w:r>
    </w:p>
    <w:p w14:paraId="63E95B84" w14:textId="77777777" w:rsidR="00171AA8" w:rsidRPr="00731FE2" w:rsidRDefault="007935AB">
      <w:r w:rsidRPr="00731FE2">
        <w:rPr>
          <w:rFonts w:ascii="Times New Roman" w:hAnsi="Times New Roman" w:cs="Times New Roman"/>
          <w:color w:val="000000" w:themeColor="text1"/>
        </w:rPr>
        <w:t>От НС №1 г. Ессентуки вода по водоводу диаметром 600 мм поступает в РЧВ объемом 3000 м</w:t>
      </w:r>
      <w:r w:rsidRPr="00731FE2">
        <w:rPr>
          <w:rFonts w:ascii="Times New Roman" w:hAnsi="Times New Roman" w:cs="Times New Roman"/>
          <w:color w:val="000000" w:themeColor="text1"/>
          <w:vertAlign w:val="superscript"/>
        </w:rPr>
        <w:t>3</w:t>
      </w:r>
      <w:r w:rsidRPr="00731FE2">
        <w:rPr>
          <w:rFonts w:ascii="Times New Roman" w:hAnsi="Times New Roman" w:cs="Times New Roman"/>
          <w:color w:val="000000" w:themeColor="text1"/>
        </w:rPr>
        <w:t xml:space="preserve"> на площадке НС №2, расположенной на Северной окраине город-курорт Кисловодск. От НС №2 вода по водоводу диаметром 700 мм подается в водопроводную сеть города-курорта. Проектная производительность сооружений системы для подачи Кубанской воды в город-курорт Кисловодск составляет 40,0 тыс. м</w:t>
      </w:r>
      <w:r w:rsidRPr="00731FE2">
        <w:rPr>
          <w:rFonts w:ascii="Times New Roman" w:hAnsi="Times New Roman" w:cs="Times New Roman"/>
          <w:color w:val="000000" w:themeColor="text1"/>
          <w:vertAlign w:val="superscript"/>
        </w:rPr>
        <w:t>3</w:t>
      </w:r>
      <w:r w:rsidRPr="00731FE2">
        <w:rPr>
          <w:rFonts w:ascii="Times New Roman" w:hAnsi="Times New Roman" w:cs="Times New Roman"/>
          <w:color w:val="000000" w:themeColor="text1"/>
        </w:rPr>
        <w:t>/сут., фактическая подача воды – до 20,0 тыс. м</w:t>
      </w:r>
      <w:r w:rsidRPr="00731FE2">
        <w:rPr>
          <w:rFonts w:ascii="Times New Roman" w:hAnsi="Times New Roman" w:cs="Times New Roman"/>
          <w:color w:val="000000" w:themeColor="text1"/>
          <w:vertAlign w:val="superscript"/>
        </w:rPr>
        <w:t>3</w:t>
      </w:r>
      <w:r w:rsidRPr="00731FE2">
        <w:rPr>
          <w:rFonts w:ascii="Times New Roman" w:hAnsi="Times New Roman" w:cs="Times New Roman"/>
          <w:color w:val="000000" w:themeColor="text1"/>
        </w:rPr>
        <w:t xml:space="preserve">/сут. </w:t>
      </w:r>
    </w:p>
    <w:p w14:paraId="0A68CAB9" w14:textId="77777777" w:rsidR="00171AA8" w:rsidRPr="00731FE2" w:rsidRDefault="007935AB">
      <w:pPr>
        <w:rPr>
          <w:b/>
          <w:bCs/>
        </w:rPr>
      </w:pPr>
      <w:r w:rsidRPr="00731FE2">
        <w:rPr>
          <w:rFonts w:ascii="Times New Roman" w:hAnsi="Times New Roman" w:cs="Times New Roman"/>
          <w:b/>
          <w:bCs/>
          <w:color w:val="000000" w:themeColor="text1"/>
        </w:rPr>
        <w:t xml:space="preserve">Подземные источники – каптированные родники. </w:t>
      </w:r>
      <w:r w:rsidRPr="00731FE2">
        <w:rPr>
          <w:rFonts w:ascii="Times New Roman" w:hAnsi="Times New Roman" w:cs="Times New Roman"/>
          <w:color w:val="000000" w:themeColor="text1"/>
        </w:rPr>
        <w:t>«Лермонтовские» источники №1 и №2 расположены в юго-восточной части города-курорта, в 300 м друг от друга в долине реки Ольховки. Отметки выхода родников 966,7 м и 953,5 м. Дебит колеблется в зависимости от атмосферных осадков. Лимит суточного забора воды на 01.01 2017 г. составил 5,28 тыс. м</w:t>
      </w:r>
      <w:r w:rsidRPr="00731FE2">
        <w:rPr>
          <w:rFonts w:ascii="Times New Roman" w:hAnsi="Times New Roman" w:cs="Times New Roman"/>
          <w:color w:val="000000" w:themeColor="text1"/>
          <w:vertAlign w:val="superscript"/>
        </w:rPr>
        <w:t>3</w:t>
      </w:r>
      <w:r w:rsidRPr="00731FE2">
        <w:rPr>
          <w:rFonts w:ascii="Times New Roman" w:hAnsi="Times New Roman" w:cs="Times New Roman"/>
          <w:color w:val="000000" w:themeColor="text1"/>
        </w:rPr>
        <w:t>/сут. Среднесуточный подъем воды за 2016 год – 2,11 тыс. м</w:t>
      </w:r>
      <w:r w:rsidRPr="00731FE2">
        <w:rPr>
          <w:rFonts w:ascii="Times New Roman" w:hAnsi="Times New Roman" w:cs="Times New Roman"/>
          <w:color w:val="000000" w:themeColor="text1"/>
          <w:vertAlign w:val="superscript"/>
        </w:rPr>
        <w:t>3</w:t>
      </w:r>
      <w:r w:rsidRPr="00731FE2">
        <w:rPr>
          <w:rFonts w:ascii="Times New Roman" w:hAnsi="Times New Roman" w:cs="Times New Roman"/>
          <w:color w:val="000000" w:themeColor="text1"/>
        </w:rPr>
        <w:t>/сут. На территории «Лермонтовских» источников расположены РЧВ объемом 250 м</w:t>
      </w:r>
      <w:r w:rsidRPr="00731FE2">
        <w:rPr>
          <w:rFonts w:ascii="Times New Roman" w:hAnsi="Times New Roman" w:cs="Times New Roman"/>
          <w:color w:val="000000" w:themeColor="text1"/>
          <w:vertAlign w:val="superscript"/>
        </w:rPr>
        <w:t>3</w:t>
      </w:r>
      <w:r w:rsidRPr="00731FE2">
        <w:rPr>
          <w:rFonts w:ascii="Times New Roman" w:hAnsi="Times New Roman" w:cs="Times New Roman"/>
          <w:color w:val="000000" w:themeColor="text1"/>
        </w:rPr>
        <w:t xml:space="preserve"> и насосная станция для подачи воды в п. Нарзанный и санатория «Сосновый бор».</w:t>
      </w:r>
    </w:p>
    <w:p w14:paraId="7135C0AB" w14:textId="77777777" w:rsidR="00171AA8" w:rsidRPr="00731FE2" w:rsidRDefault="007935AB">
      <w:r w:rsidRPr="00731FE2">
        <w:rPr>
          <w:rFonts w:ascii="Times New Roman" w:hAnsi="Times New Roman" w:cs="Times New Roman"/>
          <w:color w:val="000000" w:themeColor="text1"/>
        </w:rPr>
        <w:t>От каптажей вода по водоводу диаметром 300 мм подается непосредственно в городскую водопроводную сеть. Обработка воды каптажей «Лермонтовские источники №1 и №2» заключается в ее обеззараживании жидким хлором.</w:t>
      </w:r>
    </w:p>
    <w:p w14:paraId="362D596E" w14:textId="77777777" w:rsidR="00171AA8" w:rsidRPr="00731FE2" w:rsidRDefault="007935AB">
      <w:r w:rsidRPr="00731FE2">
        <w:rPr>
          <w:rFonts w:ascii="Times New Roman" w:hAnsi="Times New Roman" w:cs="Times New Roman"/>
          <w:color w:val="000000" w:themeColor="text1"/>
        </w:rPr>
        <w:t>Источник «Теплушка» расположен в бассейне реки Эшкакон в 18 км от города-курорта</w:t>
      </w:r>
      <w:proofErr w:type="gramStart"/>
      <w:r w:rsidRPr="00731FE2">
        <w:rPr>
          <w:rFonts w:ascii="Times New Roman" w:hAnsi="Times New Roman" w:cs="Times New Roman"/>
          <w:color w:val="000000" w:themeColor="text1"/>
        </w:rPr>
        <w:t>.О</w:t>
      </w:r>
      <w:proofErr w:type="gramEnd"/>
      <w:r w:rsidRPr="00731FE2">
        <w:rPr>
          <w:rFonts w:ascii="Times New Roman" w:hAnsi="Times New Roman" w:cs="Times New Roman"/>
          <w:color w:val="000000" w:themeColor="text1"/>
        </w:rPr>
        <w:t>тметка выхода каптажа 1305 м, дебит от 3,6-8,5 тыс. м</w:t>
      </w:r>
      <w:r w:rsidRPr="00731FE2">
        <w:rPr>
          <w:rFonts w:ascii="Times New Roman" w:hAnsi="Times New Roman" w:cs="Times New Roman"/>
          <w:color w:val="000000" w:themeColor="text1"/>
          <w:vertAlign w:val="superscript"/>
        </w:rPr>
        <w:t>3</w:t>
      </w:r>
      <w:r w:rsidRPr="00731FE2">
        <w:rPr>
          <w:rFonts w:ascii="Times New Roman" w:hAnsi="Times New Roman" w:cs="Times New Roman"/>
          <w:color w:val="000000" w:themeColor="text1"/>
        </w:rPr>
        <w:t>/сут.</w:t>
      </w:r>
    </w:p>
    <w:p w14:paraId="04CCADCD" w14:textId="77777777" w:rsidR="00171AA8" w:rsidRPr="00731FE2" w:rsidRDefault="007935AB">
      <w:r w:rsidRPr="00731FE2">
        <w:rPr>
          <w:rFonts w:ascii="Times New Roman" w:hAnsi="Times New Roman" w:cs="Times New Roman"/>
          <w:color w:val="000000" w:themeColor="text1"/>
        </w:rPr>
        <w:t>Источник «Находка» расположен в бассейне реки Аликоновка в 10 км от города-курорта. Отметка выхода источника 1297 м, дебит колеблется от 2,0 до 8,5 тыс. м</w:t>
      </w:r>
      <w:r w:rsidRPr="00731FE2">
        <w:rPr>
          <w:rFonts w:ascii="Times New Roman" w:hAnsi="Times New Roman" w:cs="Times New Roman"/>
          <w:color w:val="000000" w:themeColor="text1"/>
          <w:vertAlign w:val="superscript"/>
        </w:rPr>
        <w:t>3</w:t>
      </w:r>
      <w:r w:rsidRPr="00731FE2">
        <w:rPr>
          <w:rFonts w:ascii="Times New Roman" w:hAnsi="Times New Roman" w:cs="Times New Roman"/>
          <w:color w:val="000000" w:themeColor="text1"/>
        </w:rPr>
        <w:t>/сут.</w:t>
      </w:r>
    </w:p>
    <w:p w14:paraId="3B3446F9" w14:textId="77777777" w:rsidR="00171AA8" w:rsidRPr="00731FE2" w:rsidRDefault="007935AB">
      <w:r w:rsidRPr="00731FE2">
        <w:rPr>
          <w:rFonts w:ascii="Times New Roman" w:hAnsi="Times New Roman" w:cs="Times New Roman"/>
          <w:color w:val="000000" w:themeColor="text1"/>
        </w:rPr>
        <w:t>Источник «Близнецы» в количестве семи родников расположен в районе реки Аликоновка. Родники находятся в полосе выхода длиной 200 м на отметках 1400-1417 м. Суммарный дебит родников колеблется от 1,0-5,0 тыс. м</w:t>
      </w:r>
      <w:r w:rsidRPr="00731FE2">
        <w:rPr>
          <w:rFonts w:ascii="Times New Roman" w:hAnsi="Times New Roman" w:cs="Times New Roman"/>
          <w:color w:val="000000" w:themeColor="text1"/>
          <w:vertAlign w:val="superscript"/>
        </w:rPr>
        <w:t>3</w:t>
      </w:r>
      <w:r w:rsidRPr="00731FE2">
        <w:rPr>
          <w:rFonts w:ascii="Times New Roman" w:hAnsi="Times New Roman" w:cs="Times New Roman"/>
          <w:color w:val="000000" w:themeColor="text1"/>
        </w:rPr>
        <w:t>/сут.</w:t>
      </w:r>
    </w:p>
    <w:p w14:paraId="5F938C75" w14:textId="77777777" w:rsidR="00171AA8" w:rsidRPr="00731FE2" w:rsidRDefault="007935AB">
      <w:r w:rsidRPr="00731FE2">
        <w:rPr>
          <w:rFonts w:ascii="Times New Roman" w:hAnsi="Times New Roman" w:cs="Times New Roman"/>
          <w:color w:val="000000" w:themeColor="text1"/>
        </w:rPr>
        <w:t>Общая проектная производительность источников «Теплушка», «Находка» и «Близнецы» – 13,0 тыс. м</w:t>
      </w:r>
      <w:r w:rsidRPr="00731FE2">
        <w:rPr>
          <w:rFonts w:ascii="Times New Roman" w:hAnsi="Times New Roman" w:cs="Times New Roman"/>
          <w:color w:val="000000" w:themeColor="text1"/>
          <w:vertAlign w:val="superscript"/>
        </w:rPr>
        <w:t>3</w:t>
      </w:r>
      <w:r w:rsidRPr="00731FE2">
        <w:rPr>
          <w:rFonts w:ascii="Times New Roman" w:hAnsi="Times New Roman" w:cs="Times New Roman"/>
          <w:color w:val="000000" w:themeColor="text1"/>
        </w:rPr>
        <w:t>/сут., фактическая – 8,64 тыс. м</w:t>
      </w:r>
      <w:r w:rsidRPr="00731FE2">
        <w:rPr>
          <w:rFonts w:ascii="Times New Roman" w:hAnsi="Times New Roman" w:cs="Times New Roman"/>
          <w:color w:val="000000" w:themeColor="text1"/>
          <w:vertAlign w:val="superscript"/>
        </w:rPr>
        <w:t>3</w:t>
      </w:r>
      <w:r w:rsidRPr="00731FE2">
        <w:rPr>
          <w:rFonts w:ascii="Times New Roman" w:hAnsi="Times New Roman" w:cs="Times New Roman"/>
          <w:color w:val="000000" w:themeColor="text1"/>
        </w:rPr>
        <w:t>/сут. От источников «Теплушка», «Находка» и «Близнецы» вода по водоводам диаметром 200-300 мм поступает до сборной камеры, расположенной на отметке 1136 м, откуда по двум водоводам диаметром 300 мм подается в РЧВ городской системы водоснабжения «Зеленогорские» (объем 2×500 м</w:t>
      </w:r>
      <w:r w:rsidRPr="00731FE2">
        <w:rPr>
          <w:rFonts w:ascii="Times New Roman" w:hAnsi="Times New Roman" w:cs="Times New Roman"/>
          <w:color w:val="000000" w:themeColor="text1"/>
          <w:vertAlign w:val="superscript"/>
        </w:rPr>
        <w:t>3</w:t>
      </w:r>
      <w:r w:rsidRPr="00731FE2">
        <w:rPr>
          <w:rFonts w:ascii="Times New Roman" w:hAnsi="Times New Roman" w:cs="Times New Roman"/>
          <w:color w:val="000000" w:themeColor="text1"/>
        </w:rPr>
        <w:t>) и «Баязет» (объем 1000 м</w:t>
      </w:r>
      <w:r w:rsidRPr="00731FE2">
        <w:rPr>
          <w:rFonts w:ascii="Times New Roman" w:hAnsi="Times New Roman" w:cs="Times New Roman"/>
          <w:color w:val="000000" w:themeColor="text1"/>
          <w:vertAlign w:val="superscript"/>
        </w:rPr>
        <w:t>3</w:t>
      </w:r>
      <w:r w:rsidRPr="00731FE2">
        <w:rPr>
          <w:rFonts w:ascii="Times New Roman" w:hAnsi="Times New Roman" w:cs="Times New Roman"/>
          <w:color w:val="000000" w:themeColor="text1"/>
        </w:rPr>
        <w:t>), где производится ее обеззараживание жидким хлором.</w:t>
      </w:r>
    </w:p>
    <w:p w14:paraId="3A8041B7" w14:textId="77777777" w:rsidR="00171AA8" w:rsidRPr="00731FE2" w:rsidRDefault="007935AB">
      <w:pPr>
        <w:pBdr>
          <w:top w:val="none" w:sz="4" w:space="0" w:color="000000"/>
          <w:left w:val="none" w:sz="4" w:space="0" w:color="000000"/>
          <w:bottom w:val="none" w:sz="4" w:space="0" w:color="000000"/>
          <w:right w:val="none" w:sz="4" w:space="0" w:color="000000"/>
        </w:pBdr>
        <w:tabs>
          <w:tab w:val="left" w:pos="992"/>
        </w:tabs>
        <w:rPr>
          <w:rFonts w:ascii="Times New Roman" w:hAnsi="Times New Roman" w:cs="Times New Roman"/>
          <w:b/>
          <w:bCs/>
          <w:color w:val="000000" w:themeColor="text1"/>
        </w:rPr>
      </w:pPr>
      <w:r w:rsidRPr="00731FE2">
        <w:rPr>
          <w:rFonts w:ascii="Times New Roman" w:hAnsi="Times New Roman" w:cs="Times New Roman"/>
          <w:b/>
          <w:bCs/>
          <w:color w:val="000000" w:themeColor="text1"/>
        </w:rPr>
        <w:t>Наибольший объем воды, подаваемой в городскую распределительную сеть, забирается из Эшкаконского водопровода</w:t>
      </w:r>
    </w:p>
    <w:p w14:paraId="6565E1D2" w14:textId="77777777" w:rsidR="00171AA8" w:rsidRPr="00731FE2" w:rsidRDefault="007935AB">
      <w:pPr>
        <w:pBdr>
          <w:top w:val="none" w:sz="4" w:space="0" w:color="000000"/>
          <w:left w:val="none" w:sz="4" w:space="0" w:color="000000"/>
          <w:bottom w:val="none" w:sz="4" w:space="0" w:color="000000"/>
          <w:right w:val="none" w:sz="4" w:space="0" w:color="000000"/>
        </w:pBdr>
        <w:tabs>
          <w:tab w:val="left" w:pos="992"/>
        </w:tabs>
        <w:rPr>
          <w:rFonts w:ascii="Times New Roman" w:hAnsi="Times New Roman" w:cs="Times New Roman"/>
          <w:color w:val="000000" w:themeColor="text1"/>
        </w:rPr>
      </w:pPr>
      <w:r w:rsidRPr="00731FE2">
        <w:rPr>
          <w:rFonts w:ascii="Times New Roman" w:hAnsi="Times New Roman" w:cs="Times New Roman"/>
          <w:b/>
          <w:bCs/>
          <w:color w:val="000000" w:themeColor="text1"/>
        </w:rPr>
        <w:t xml:space="preserve">В качестве резервного источника хозяйственно-питьевого водоснабжения в перспективе возможно использование Малкинского месторождения подземных вод, объем природной подземной </w:t>
      </w:r>
      <w:proofErr w:type="gramStart"/>
      <w:r w:rsidRPr="00731FE2">
        <w:rPr>
          <w:rFonts w:ascii="Times New Roman" w:hAnsi="Times New Roman" w:cs="Times New Roman"/>
          <w:b/>
          <w:bCs/>
          <w:color w:val="000000" w:themeColor="text1"/>
        </w:rPr>
        <w:t>воды</w:t>
      </w:r>
      <w:proofErr w:type="gramEnd"/>
      <w:r w:rsidRPr="00731FE2">
        <w:rPr>
          <w:rFonts w:ascii="Times New Roman" w:hAnsi="Times New Roman" w:cs="Times New Roman"/>
          <w:b/>
          <w:bCs/>
          <w:color w:val="000000" w:themeColor="text1"/>
        </w:rPr>
        <w:t xml:space="preserve"> которого составляет более 525 тыс. м</w:t>
      </w:r>
      <w:r w:rsidRPr="00731FE2">
        <w:rPr>
          <w:rFonts w:ascii="Times New Roman" w:hAnsi="Times New Roman" w:cs="Times New Roman"/>
          <w:b/>
          <w:bCs/>
          <w:color w:val="000000" w:themeColor="text1"/>
          <w:vertAlign w:val="superscript"/>
        </w:rPr>
        <w:t>3</w:t>
      </w:r>
      <w:r w:rsidRPr="00731FE2">
        <w:rPr>
          <w:rFonts w:ascii="Times New Roman" w:hAnsi="Times New Roman" w:cs="Times New Roman"/>
          <w:b/>
          <w:bCs/>
          <w:color w:val="000000" w:themeColor="text1"/>
        </w:rPr>
        <w:t xml:space="preserve">. На сегодняшний день фактический водозабор составляет около 20% от разведывательной мощности месторождения. </w:t>
      </w:r>
      <w:r w:rsidRPr="00731FE2">
        <w:rPr>
          <w:rFonts w:ascii="Times New Roman" w:hAnsi="Times New Roman" w:cs="Times New Roman"/>
          <w:color w:val="000000" w:themeColor="text1"/>
        </w:rPr>
        <w:t xml:space="preserve">Круглосуточно эксплуатируются 40 </w:t>
      </w:r>
      <w:r w:rsidRPr="00731FE2">
        <w:rPr>
          <w:rFonts w:ascii="Times New Roman" w:hAnsi="Times New Roman" w:cs="Times New Roman"/>
          <w:color w:val="000000" w:themeColor="text1"/>
        </w:rPr>
        <w:lastRenderedPageBreak/>
        <w:t>скважин. Вода поднимается насосами и по магистральному водоводу поступает на площадку насосной станции третьего подъема. РЧВ объемом 2х10000 м</w:t>
      </w:r>
      <w:r w:rsidRPr="00731FE2">
        <w:rPr>
          <w:rFonts w:ascii="Times New Roman" w:hAnsi="Times New Roman" w:cs="Times New Roman"/>
          <w:color w:val="000000" w:themeColor="text1"/>
          <w:vertAlign w:val="superscript"/>
        </w:rPr>
        <w:t>3</w:t>
      </w:r>
      <w:r w:rsidRPr="00731FE2">
        <w:rPr>
          <w:rFonts w:ascii="Times New Roman" w:hAnsi="Times New Roman" w:cs="Times New Roman"/>
          <w:color w:val="000000" w:themeColor="text1"/>
        </w:rPr>
        <w:t>, обеспечивают аварийный запас и ежедневно снабжают чистой артезианской водой население городов Георгиевск, Новопавловск, Минеральные Воды.</w:t>
      </w:r>
    </w:p>
    <w:p w14:paraId="1095150D"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b/>
          <w:bCs/>
          <w:color w:val="000000" w:themeColor="text1"/>
        </w:rPr>
        <w:t>Источники технического водоснабжения.</w:t>
      </w:r>
      <w:r w:rsidRPr="00731FE2">
        <w:rPr>
          <w:rFonts w:ascii="Times New Roman" w:hAnsi="Times New Roman" w:cs="Times New Roman"/>
          <w:color w:val="000000" w:themeColor="text1"/>
        </w:rPr>
        <w:t xml:space="preserve"> Источник «Неволька». Год ввода в эксплуатацию – 1938 г. Проектная производительность – 0,15 тыс. м</w:t>
      </w:r>
      <w:r w:rsidRPr="00731FE2">
        <w:rPr>
          <w:rFonts w:ascii="Times New Roman" w:hAnsi="Times New Roman" w:cs="Times New Roman"/>
          <w:color w:val="000000" w:themeColor="text1"/>
          <w:vertAlign w:val="superscript"/>
        </w:rPr>
        <w:t>3</w:t>
      </w:r>
      <w:r w:rsidRPr="00731FE2">
        <w:rPr>
          <w:rFonts w:ascii="Times New Roman" w:hAnsi="Times New Roman" w:cs="Times New Roman"/>
          <w:color w:val="000000" w:themeColor="text1"/>
        </w:rPr>
        <w:t>/сут., фактическая – 0,009 тыс. м</w:t>
      </w:r>
      <w:r w:rsidRPr="00731FE2">
        <w:rPr>
          <w:rFonts w:ascii="Times New Roman" w:hAnsi="Times New Roman" w:cs="Times New Roman"/>
          <w:color w:val="000000" w:themeColor="text1"/>
          <w:vertAlign w:val="superscript"/>
        </w:rPr>
        <w:t>3</w:t>
      </w:r>
      <w:r w:rsidRPr="00731FE2">
        <w:rPr>
          <w:rFonts w:ascii="Times New Roman" w:hAnsi="Times New Roman" w:cs="Times New Roman"/>
          <w:color w:val="000000" w:themeColor="text1"/>
        </w:rPr>
        <w:t>/сут. Протяженность сетей – 2,034 км.</w:t>
      </w:r>
    </w:p>
    <w:p w14:paraId="42554C72"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Источник «Чивелли». Год ввода в эксплуатацию – 1936 г. Износ – 100%. Проектная производительность – 7,0 тыс. м3/сут., фактическая – 0,015 тыс. м</w:t>
      </w:r>
      <w:r w:rsidRPr="00731FE2">
        <w:rPr>
          <w:rFonts w:ascii="Times New Roman" w:hAnsi="Times New Roman" w:cs="Times New Roman"/>
          <w:color w:val="000000" w:themeColor="text1"/>
          <w:vertAlign w:val="superscript"/>
        </w:rPr>
        <w:t>3</w:t>
      </w:r>
      <w:r w:rsidRPr="00731FE2">
        <w:rPr>
          <w:rFonts w:ascii="Times New Roman" w:hAnsi="Times New Roman" w:cs="Times New Roman"/>
          <w:color w:val="000000" w:themeColor="text1"/>
        </w:rPr>
        <w:t>/сут. Протяженность сетей – 3,548 км.</w:t>
      </w:r>
    </w:p>
    <w:p w14:paraId="5D627825"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От источников вода в объеме 8,9 тыс. м</w:t>
      </w:r>
      <w:r w:rsidRPr="00731FE2">
        <w:rPr>
          <w:rFonts w:ascii="Times New Roman" w:hAnsi="Times New Roman" w:cs="Times New Roman"/>
          <w:color w:val="000000" w:themeColor="text1"/>
          <w:vertAlign w:val="superscript"/>
        </w:rPr>
        <w:t>3</w:t>
      </w:r>
      <w:r w:rsidRPr="00731FE2">
        <w:rPr>
          <w:rFonts w:ascii="Times New Roman" w:hAnsi="Times New Roman" w:cs="Times New Roman"/>
          <w:color w:val="000000" w:themeColor="text1"/>
        </w:rPr>
        <w:t>/год (данные на 01.01.2017 г.) поступает самотеком на технические нужды 13 абонентов. Износ систем технического водоснабжения – 100%.</w:t>
      </w:r>
    </w:p>
    <w:p w14:paraId="25A80F44"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b/>
          <w:bCs/>
          <w:color w:val="000000" w:themeColor="text1"/>
        </w:rPr>
        <w:t xml:space="preserve">Сети водоснабжения. </w:t>
      </w:r>
      <w:r w:rsidRPr="00731FE2">
        <w:rPr>
          <w:rFonts w:ascii="Times New Roman" w:hAnsi="Times New Roman" w:cs="Times New Roman"/>
          <w:color w:val="000000" w:themeColor="text1"/>
        </w:rPr>
        <w:t xml:space="preserve">Система централизованного водоснабжения городского округа города-курорта Кисловодска тупиковая, объединенная хозяйственно-питьевая и противопожарная. </w:t>
      </w:r>
    </w:p>
    <w:p w14:paraId="3B5E65CA"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Общая протяженность уличной водопроводной сети в 2022 г. составила 263,5 км, из которых 167,26 км – нуждается в замене</w:t>
      </w:r>
      <w:r w:rsidRPr="00731FE2">
        <w:rPr>
          <w:rStyle w:val="afb"/>
          <w:rFonts w:ascii="Times New Roman" w:hAnsi="Times New Roman" w:cs="Times New Roman"/>
          <w:color w:val="000000" w:themeColor="text1"/>
          <w:vertAlign w:val="superscript"/>
        </w:rPr>
        <w:footnoteReference w:id="67"/>
      </w:r>
      <w:r w:rsidRPr="00731FE2">
        <w:rPr>
          <w:rFonts w:ascii="Times New Roman" w:hAnsi="Times New Roman" w:cs="Times New Roman"/>
          <w:color w:val="000000" w:themeColor="text1"/>
        </w:rPr>
        <w:t>.</w:t>
      </w:r>
    </w:p>
    <w:p w14:paraId="2F73D82A"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Водопроводные сети проложены из различных материалов: сталь, чугун, полиэтилен (ПНД, ПВХ). Диаметр трубопроводов от 150 мм и ниже до 800 мм. Эксплуатируемые чугунные трубопроводы полностью выработали ресурс и требуют замены. Доля современных полиэтиленовых труб в системе водоснабжения составляет менее 5%.</w:t>
      </w:r>
    </w:p>
    <w:p w14:paraId="0A389EAD" w14:textId="77777777" w:rsidR="00171AA8" w:rsidRPr="00731FE2" w:rsidRDefault="007935AB">
      <w:pPr>
        <w:rPr>
          <w:rFonts w:ascii="Times New Roman" w:hAnsi="Times New Roman" w:cs="Times New Roman"/>
          <w:color w:val="000000" w:themeColor="text1"/>
        </w:rPr>
      </w:pPr>
      <w:r w:rsidRPr="00731FE2">
        <w:rPr>
          <w:rFonts w:ascii="Times New Roman" w:hAnsi="Times New Roman" w:cs="Times New Roman"/>
          <w:color w:val="000000" w:themeColor="text1"/>
        </w:rPr>
        <w:t>Достаточно высокая доля износа водопроводных сетей является причиной возникновения аварийных ситуаций, которые влекут за собой частые перебои водоснабжения и большой процент потерь воды.</w:t>
      </w:r>
    </w:p>
    <w:p w14:paraId="392BF70A"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b/>
          <w:bCs/>
          <w:color w:val="000000" w:themeColor="text1"/>
        </w:rPr>
        <w:t xml:space="preserve">Насосные станции и резервуары (РЧВ) в системе централизованного водоснабжения. </w:t>
      </w:r>
      <w:r w:rsidRPr="00731FE2">
        <w:rPr>
          <w:rFonts w:ascii="Times New Roman" w:hAnsi="Times New Roman" w:cs="Times New Roman"/>
          <w:color w:val="000000" w:themeColor="text1"/>
        </w:rPr>
        <w:t>В системе централизованного водоснабжения города-курорта Кисловодска действует 11 водопроводных насосных станций (ВНС)</w:t>
      </w:r>
      <w:r w:rsidRPr="00731FE2">
        <w:rPr>
          <w:rStyle w:val="afb"/>
          <w:rFonts w:ascii="Times New Roman" w:hAnsi="Times New Roman" w:cs="Times New Roman"/>
          <w:color w:val="000000" w:themeColor="text1"/>
          <w:vertAlign w:val="superscript"/>
        </w:rPr>
        <w:footnoteReference w:id="68"/>
      </w:r>
      <w:r w:rsidRPr="00731FE2">
        <w:rPr>
          <w:rFonts w:ascii="Times New Roman" w:hAnsi="Times New Roman" w:cs="Times New Roman"/>
          <w:color w:val="000000" w:themeColor="text1"/>
        </w:rPr>
        <w:t>, 7 из которых задействованы в общей схеме, остальные предназначены для локальных объектов, поселков и групп многоэтажных зданий.</w:t>
      </w:r>
    </w:p>
    <w:p w14:paraId="66B10A34"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xml:space="preserve">Насосные станции предназначены для бесперебойного обеспечения водой потребителей в требуемом объеме согласно зонам обслуживания. </w:t>
      </w:r>
    </w:p>
    <w:p w14:paraId="30E16959"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Суммарные производительности ВНС:</w:t>
      </w:r>
    </w:p>
    <w:p w14:paraId="529349DB" w14:textId="77777777" w:rsidR="00171AA8" w:rsidRPr="00731FE2" w:rsidRDefault="007935AB">
      <w:pPr>
        <w:pStyle w:val="a3"/>
        <w:numPr>
          <w:ilvl w:val="0"/>
          <w:numId w:val="14"/>
        </w:numPr>
        <w:pBdr>
          <w:top w:val="none" w:sz="4" w:space="0" w:color="000000"/>
          <w:left w:val="none" w:sz="4" w:space="0" w:color="000000"/>
          <w:bottom w:val="none" w:sz="4" w:space="0" w:color="000000"/>
          <w:right w:val="none" w:sz="4" w:space="0" w:color="000000"/>
        </w:pBdr>
        <w:tabs>
          <w:tab w:val="left" w:pos="992"/>
        </w:tabs>
        <w:ind w:left="0" w:firstLine="709"/>
        <w:rPr>
          <w:rFonts w:ascii="Times New Roman" w:hAnsi="Times New Roman" w:cs="Times New Roman"/>
          <w:color w:val="000000" w:themeColor="text1"/>
        </w:rPr>
      </w:pPr>
      <w:proofErr w:type="gramStart"/>
      <w:r w:rsidRPr="00731FE2">
        <w:rPr>
          <w:rFonts w:ascii="Times New Roman" w:hAnsi="Times New Roman" w:cs="Times New Roman"/>
          <w:color w:val="000000" w:themeColor="text1"/>
        </w:rPr>
        <w:t>установленная</w:t>
      </w:r>
      <w:proofErr w:type="gramEnd"/>
      <w:r w:rsidRPr="00731FE2">
        <w:rPr>
          <w:rFonts w:ascii="Times New Roman" w:hAnsi="Times New Roman" w:cs="Times New Roman"/>
          <w:color w:val="000000" w:themeColor="text1"/>
        </w:rPr>
        <w:t xml:space="preserve"> – 98,9 тыс. м</w:t>
      </w:r>
      <w:r w:rsidRPr="00731FE2">
        <w:rPr>
          <w:rFonts w:ascii="Times New Roman" w:hAnsi="Times New Roman" w:cs="Times New Roman"/>
          <w:color w:val="000000" w:themeColor="text1"/>
          <w:vertAlign w:val="superscript"/>
        </w:rPr>
        <w:t>3</w:t>
      </w:r>
      <w:r w:rsidRPr="00731FE2">
        <w:rPr>
          <w:rFonts w:ascii="Times New Roman" w:hAnsi="Times New Roman" w:cs="Times New Roman"/>
          <w:color w:val="000000" w:themeColor="text1"/>
        </w:rPr>
        <w:t>/сут.;</w:t>
      </w:r>
    </w:p>
    <w:p w14:paraId="77853E2E" w14:textId="77777777" w:rsidR="00171AA8" w:rsidRPr="00731FE2" w:rsidRDefault="007935AB">
      <w:pPr>
        <w:pStyle w:val="a3"/>
        <w:numPr>
          <w:ilvl w:val="0"/>
          <w:numId w:val="14"/>
        </w:numPr>
        <w:pBdr>
          <w:top w:val="none" w:sz="4" w:space="0" w:color="000000"/>
          <w:left w:val="none" w:sz="4" w:space="0" w:color="000000"/>
          <w:bottom w:val="none" w:sz="4" w:space="0" w:color="000000"/>
          <w:right w:val="none" w:sz="4" w:space="0" w:color="000000"/>
        </w:pBdr>
        <w:tabs>
          <w:tab w:val="left" w:pos="992"/>
        </w:tabs>
        <w:ind w:left="0" w:firstLine="709"/>
        <w:rPr>
          <w:rFonts w:ascii="Times New Roman" w:hAnsi="Times New Roman" w:cs="Times New Roman"/>
          <w:color w:val="000000" w:themeColor="text1"/>
        </w:rPr>
      </w:pPr>
      <w:r w:rsidRPr="00731FE2">
        <w:rPr>
          <w:rFonts w:ascii="Times New Roman" w:hAnsi="Times New Roman" w:cs="Times New Roman"/>
          <w:color w:val="000000" w:themeColor="text1"/>
        </w:rPr>
        <w:t>фактическая – 44,4 тыс. м</w:t>
      </w:r>
      <w:r w:rsidRPr="00731FE2">
        <w:rPr>
          <w:rFonts w:ascii="Times New Roman" w:hAnsi="Times New Roman" w:cs="Times New Roman"/>
          <w:color w:val="000000" w:themeColor="text1"/>
          <w:vertAlign w:val="superscript"/>
        </w:rPr>
        <w:t>3</w:t>
      </w:r>
      <w:r w:rsidRPr="00731FE2">
        <w:rPr>
          <w:rFonts w:ascii="Times New Roman" w:hAnsi="Times New Roman" w:cs="Times New Roman"/>
          <w:color w:val="000000" w:themeColor="text1"/>
        </w:rPr>
        <w:t>/сут.;</w:t>
      </w:r>
    </w:p>
    <w:p w14:paraId="4DAF72EE" w14:textId="77777777" w:rsidR="00171AA8" w:rsidRPr="00731FE2" w:rsidRDefault="007935AB">
      <w:pPr>
        <w:pStyle w:val="a3"/>
        <w:numPr>
          <w:ilvl w:val="0"/>
          <w:numId w:val="14"/>
        </w:numPr>
        <w:pBdr>
          <w:top w:val="none" w:sz="4" w:space="0" w:color="000000"/>
          <w:left w:val="none" w:sz="4" w:space="0" w:color="000000"/>
          <w:bottom w:val="none" w:sz="4" w:space="0" w:color="000000"/>
          <w:right w:val="none" w:sz="4" w:space="0" w:color="000000"/>
        </w:pBdr>
        <w:tabs>
          <w:tab w:val="left" w:pos="992"/>
        </w:tabs>
        <w:ind w:left="0" w:firstLine="709"/>
        <w:rPr>
          <w:rFonts w:ascii="Times New Roman" w:hAnsi="Times New Roman" w:cs="Times New Roman"/>
          <w:color w:val="000000" w:themeColor="text1"/>
        </w:rPr>
      </w:pPr>
      <w:r w:rsidRPr="00731FE2">
        <w:rPr>
          <w:rFonts w:ascii="Times New Roman" w:hAnsi="Times New Roman" w:cs="Times New Roman"/>
          <w:color w:val="000000" w:themeColor="text1"/>
        </w:rPr>
        <w:t>резервная – 54,5 тыс. м</w:t>
      </w:r>
      <w:r w:rsidRPr="00731FE2">
        <w:rPr>
          <w:rFonts w:ascii="Times New Roman" w:hAnsi="Times New Roman" w:cs="Times New Roman"/>
          <w:color w:val="000000" w:themeColor="text1"/>
          <w:vertAlign w:val="superscript"/>
        </w:rPr>
        <w:t>3</w:t>
      </w:r>
      <w:r w:rsidRPr="00731FE2">
        <w:rPr>
          <w:rFonts w:ascii="Times New Roman" w:hAnsi="Times New Roman" w:cs="Times New Roman"/>
          <w:color w:val="000000" w:themeColor="text1"/>
        </w:rPr>
        <w:t>/сут.</w:t>
      </w:r>
    </w:p>
    <w:p w14:paraId="5ED8F6FD" w14:textId="77777777" w:rsidR="00171AA8" w:rsidRPr="00731FE2" w:rsidRDefault="007935AB">
      <w:pPr>
        <w:rPr>
          <w:rFonts w:ascii="Times New Roman" w:hAnsi="Times New Roman" w:cs="Times New Roman"/>
          <w:color w:val="000000" w:themeColor="text1"/>
        </w:rPr>
      </w:pPr>
      <w:r w:rsidRPr="00731FE2">
        <w:rPr>
          <w:rFonts w:ascii="Times New Roman" w:hAnsi="Times New Roman" w:cs="Times New Roman"/>
          <w:color w:val="000000" w:themeColor="text1"/>
        </w:rPr>
        <w:t>Сводные характеристики ВНС приведены в таблице ниже.</w:t>
      </w:r>
    </w:p>
    <w:p w14:paraId="448842A5" w14:textId="77777777" w:rsidR="00171AA8" w:rsidRPr="00731FE2" w:rsidRDefault="00171AA8">
      <w:pPr>
        <w:rPr>
          <w:rFonts w:ascii="Times New Roman" w:hAnsi="Times New Roman" w:cs="Times New Roman"/>
          <w:color w:val="000000" w:themeColor="text1"/>
        </w:rPr>
      </w:pPr>
    </w:p>
    <w:p w14:paraId="3A717BA6" w14:textId="77777777" w:rsidR="00171AA8" w:rsidRPr="00731FE2" w:rsidRDefault="007935AB">
      <w:pPr>
        <w:pStyle w:val="af3"/>
        <w:rPr>
          <w:sz w:val="24"/>
          <w:szCs w:val="24"/>
        </w:rPr>
      </w:pPr>
      <w:r w:rsidRPr="00731FE2">
        <w:rPr>
          <w:sz w:val="24"/>
          <w:szCs w:val="24"/>
        </w:rPr>
        <w:lastRenderedPageBreak/>
        <w:t xml:space="preserve">Таблица </w:t>
      </w:r>
      <w:r w:rsidR="00D97880" w:rsidRPr="00731FE2">
        <w:rPr>
          <w:noProof/>
          <w:sz w:val="24"/>
          <w:szCs w:val="24"/>
        </w:rPr>
        <w:fldChar w:fldCharType="begin"/>
      </w:r>
      <w:r w:rsidR="00D97880" w:rsidRPr="00731FE2">
        <w:rPr>
          <w:noProof/>
          <w:sz w:val="24"/>
          <w:szCs w:val="24"/>
        </w:rPr>
        <w:instrText xml:space="preserve"> SEQ Таблица \* Arabic </w:instrText>
      </w:r>
      <w:r w:rsidR="00D97880" w:rsidRPr="00731FE2">
        <w:rPr>
          <w:noProof/>
          <w:sz w:val="24"/>
          <w:szCs w:val="24"/>
        </w:rPr>
        <w:fldChar w:fldCharType="separate"/>
      </w:r>
      <w:r w:rsidR="00C50915" w:rsidRPr="00731FE2">
        <w:rPr>
          <w:noProof/>
          <w:sz w:val="24"/>
          <w:szCs w:val="24"/>
        </w:rPr>
        <w:t>34</w:t>
      </w:r>
      <w:r w:rsidR="00D97880" w:rsidRPr="00731FE2">
        <w:rPr>
          <w:noProof/>
          <w:sz w:val="24"/>
          <w:szCs w:val="24"/>
        </w:rPr>
        <w:fldChar w:fldCharType="end"/>
      </w:r>
      <w:r w:rsidRPr="00731FE2">
        <w:rPr>
          <w:sz w:val="24"/>
          <w:szCs w:val="24"/>
        </w:rPr>
        <w:t xml:space="preserve"> – Характеристика водопроводных насосных станций городского округа города-курорта Кисловодска</w:t>
      </w:r>
    </w:p>
    <w:tbl>
      <w:tblPr>
        <w:tblStyle w:val="afe"/>
        <w:tblW w:w="0" w:type="auto"/>
        <w:tblLayout w:type="fixed"/>
        <w:tblLook w:val="04A0" w:firstRow="1" w:lastRow="0" w:firstColumn="1" w:lastColumn="0" w:noHBand="0" w:noVBand="1"/>
      </w:tblPr>
      <w:tblGrid>
        <w:gridCol w:w="850"/>
        <w:gridCol w:w="2235"/>
        <w:gridCol w:w="1332"/>
        <w:gridCol w:w="1536"/>
        <w:gridCol w:w="1134"/>
        <w:gridCol w:w="954"/>
        <w:gridCol w:w="1368"/>
      </w:tblGrid>
      <w:tr w:rsidR="00171AA8" w:rsidRPr="00731FE2" w14:paraId="73089B0F" w14:textId="77777777">
        <w:trPr>
          <w:trHeight w:val="255"/>
        </w:trPr>
        <w:tc>
          <w:tcPr>
            <w:tcW w:w="850" w:type="dxa"/>
            <w:vAlign w:val="center"/>
          </w:tcPr>
          <w:p w14:paraId="2EA162A0" w14:textId="77777777" w:rsidR="00171AA8" w:rsidRPr="00731FE2" w:rsidRDefault="007935AB">
            <w:pPr>
              <w:ind w:firstLine="0"/>
              <w:jc w:val="left"/>
              <w:rPr>
                <w:rFonts w:ascii="Times New Roman" w:hAnsi="Times New Roman" w:cs="Times New Roman"/>
                <w:b/>
                <w:bCs/>
                <w:color w:val="000000" w:themeColor="text1"/>
                <w:sz w:val="22"/>
              </w:rPr>
            </w:pPr>
            <w:r w:rsidRPr="00731FE2">
              <w:rPr>
                <w:rFonts w:ascii="Times New Roman" w:hAnsi="Times New Roman" w:cs="Times New Roman"/>
                <w:b/>
                <w:bCs/>
                <w:color w:val="000000" w:themeColor="text1"/>
                <w:sz w:val="22"/>
              </w:rPr>
              <w:t xml:space="preserve">№ </w:t>
            </w:r>
            <w:proofErr w:type="gramStart"/>
            <w:r w:rsidRPr="00731FE2">
              <w:rPr>
                <w:rFonts w:ascii="Times New Roman" w:hAnsi="Times New Roman" w:cs="Times New Roman"/>
                <w:b/>
                <w:bCs/>
                <w:color w:val="000000" w:themeColor="text1"/>
                <w:sz w:val="22"/>
              </w:rPr>
              <w:t>п</w:t>
            </w:r>
            <w:proofErr w:type="gramEnd"/>
            <w:r w:rsidRPr="00731FE2">
              <w:rPr>
                <w:rFonts w:ascii="Times New Roman" w:hAnsi="Times New Roman" w:cs="Times New Roman"/>
                <w:b/>
                <w:bCs/>
                <w:color w:val="000000" w:themeColor="text1"/>
                <w:sz w:val="22"/>
              </w:rPr>
              <w:t>/п</w:t>
            </w:r>
          </w:p>
        </w:tc>
        <w:tc>
          <w:tcPr>
            <w:tcW w:w="2235" w:type="dxa"/>
            <w:vAlign w:val="center"/>
          </w:tcPr>
          <w:p w14:paraId="00516D5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b/>
                <w:bCs/>
                <w:color w:val="000000" w:themeColor="text1"/>
                <w:sz w:val="22"/>
              </w:rPr>
            </w:pPr>
            <w:r w:rsidRPr="00731FE2">
              <w:rPr>
                <w:rFonts w:ascii="Times New Roman" w:hAnsi="Times New Roman" w:cs="Times New Roman"/>
                <w:b/>
                <w:bCs/>
                <w:color w:val="000000" w:themeColor="text1"/>
                <w:sz w:val="22"/>
              </w:rPr>
              <w:t>Наименование объекта, местоположение</w:t>
            </w:r>
          </w:p>
        </w:tc>
        <w:tc>
          <w:tcPr>
            <w:tcW w:w="1332" w:type="dxa"/>
            <w:vAlign w:val="center"/>
          </w:tcPr>
          <w:p w14:paraId="4EDD6F7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b/>
                <w:bCs/>
                <w:color w:val="000000" w:themeColor="text1"/>
                <w:sz w:val="22"/>
              </w:rPr>
            </w:pPr>
            <w:r w:rsidRPr="00731FE2">
              <w:rPr>
                <w:rFonts w:ascii="Times New Roman" w:hAnsi="Times New Roman" w:cs="Times New Roman"/>
                <w:b/>
                <w:bCs/>
                <w:color w:val="000000" w:themeColor="text1"/>
                <w:sz w:val="22"/>
              </w:rPr>
              <w:t>Перечень оборудования ВНС</w:t>
            </w:r>
          </w:p>
        </w:tc>
        <w:tc>
          <w:tcPr>
            <w:tcW w:w="1536" w:type="dxa"/>
            <w:vAlign w:val="center"/>
          </w:tcPr>
          <w:p w14:paraId="2008EFB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b/>
                <w:bCs/>
                <w:color w:val="000000" w:themeColor="text1"/>
                <w:sz w:val="22"/>
              </w:rPr>
            </w:pPr>
            <w:r w:rsidRPr="00731FE2">
              <w:rPr>
                <w:rFonts w:ascii="Times New Roman" w:hAnsi="Times New Roman" w:cs="Times New Roman"/>
                <w:b/>
                <w:bCs/>
                <w:color w:val="000000" w:themeColor="text1"/>
                <w:sz w:val="22"/>
              </w:rPr>
              <w:t>Марка насоса</w:t>
            </w:r>
          </w:p>
        </w:tc>
        <w:tc>
          <w:tcPr>
            <w:tcW w:w="1134" w:type="dxa"/>
            <w:vAlign w:val="center"/>
          </w:tcPr>
          <w:p w14:paraId="11DFE63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b/>
                <w:bCs/>
                <w:color w:val="000000" w:themeColor="text1"/>
                <w:sz w:val="22"/>
              </w:rPr>
            </w:pPr>
            <w:r w:rsidRPr="00731FE2">
              <w:rPr>
                <w:rFonts w:ascii="Times New Roman" w:hAnsi="Times New Roman" w:cs="Times New Roman"/>
                <w:b/>
                <w:bCs/>
                <w:color w:val="000000" w:themeColor="text1"/>
                <w:sz w:val="22"/>
              </w:rPr>
              <w:t>Производительность, м</w:t>
            </w:r>
            <w:r w:rsidRPr="00731FE2">
              <w:rPr>
                <w:rFonts w:ascii="Times New Roman" w:hAnsi="Times New Roman" w:cs="Times New Roman"/>
                <w:b/>
                <w:bCs/>
                <w:color w:val="000000" w:themeColor="text1"/>
                <w:sz w:val="22"/>
                <w:vertAlign w:val="superscript"/>
              </w:rPr>
              <w:t>3</w:t>
            </w:r>
            <w:r w:rsidRPr="00731FE2">
              <w:rPr>
                <w:rFonts w:ascii="Times New Roman" w:hAnsi="Times New Roman" w:cs="Times New Roman"/>
                <w:b/>
                <w:bCs/>
                <w:color w:val="000000" w:themeColor="text1"/>
                <w:sz w:val="22"/>
              </w:rPr>
              <w:t>/час</w:t>
            </w:r>
          </w:p>
        </w:tc>
        <w:tc>
          <w:tcPr>
            <w:tcW w:w="954" w:type="dxa"/>
            <w:vAlign w:val="center"/>
          </w:tcPr>
          <w:p w14:paraId="558EA29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b/>
                <w:bCs/>
                <w:color w:val="000000" w:themeColor="text1"/>
                <w:sz w:val="22"/>
              </w:rPr>
            </w:pPr>
            <w:r w:rsidRPr="00731FE2">
              <w:rPr>
                <w:rFonts w:ascii="Times New Roman" w:hAnsi="Times New Roman" w:cs="Times New Roman"/>
                <w:b/>
                <w:bCs/>
                <w:color w:val="000000" w:themeColor="text1"/>
                <w:sz w:val="22"/>
              </w:rPr>
              <w:t xml:space="preserve">Напор, </w:t>
            </w:r>
            <w:proofErr w:type="gramStart"/>
            <w:r w:rsidRPr="00731FE2">
              <w:rPr>
                <w:rFonts w:ascii="Times New Roman" w:hAnsi="Times New Roman" w:cs="Times New Roman"/>
                <w:b/>
                <w:bCs/>
                <w:color w:val="000000" w:themeColor="text1"/>
                <w:sz w:val="22"/>
              </w:rPr>
              <w:t>м</w:t>
            </w:r>
            <w:proofErr w:type="gramEnd"/>
          </w:p>
        </w:tc>
        <w:tc>
          <w:tcPr>
            <w:tcW w:w="1368" w:type="dxa"/>
            <w:vAlign w:val="center"/>
          </w:tcPr>
          <w:p w14:paraId="5BFF7A6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b/>
                <w:bCs/>
                <w:color w:val="000000" w:themeColor="text1"/>
                <w:sz w:val="22"/>
              </w:rPr>
            </w:pPr>
            <w:r w:rsidRPr="00731FE2">
              <w:rPr>
                <w:rFonts w:ascii="Times New Roman" w:hAnsi="Times New Roman" w:cs="Times New Roman"/>
                <w:b/>
                <w:bCs/>
                <w:color w:val="000000" w:themeColor="text1"/>
                <w:sz w:val="22"/>
              </w:rPr>
              <w:t>Год ввода в эксплуатацию</w:t>
            </w:r>
          </w:p>
        </w:tc>
      </w:tr>
      <w:tr w:rsidR="00171AA8" w:rsidRPr="00731FE2" w14:paraId="0FA5AAB9" w14:textId="77777777">
        <w:trPr>
          <w:trHeight w:val="255"/>
        </w:trPr>
        <w:tc>
          <w:tcPr>
            <w:tcW w:w="850" w:type="dxa"/>
            <w:vAlign w:val="center"/>
          </w:tcPr>
          <w:p w14:paraId="2C318B2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1.</w:t>
            </w:r>
          </w:p>
        </w:tc>
        <w:tc>
          <w:tcPr>
            <w:tcW w:w="2235" w:type="dxa"/>
            <w:vAlign w:val="center"/>
          </w:tcPr>
          <w:p w14:paraId="03B3546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 xml:space="preserve">ВНС «Осипенко», в начале ул. Осипенко </w:t>
            </w:r>
          </w:p>
        </w:tc>
        <w:tc>
          <w:tcPr>
            <w:tcW w:w="1332" w:type="dxa"/>
            <w:vAlign w:val="center"/>
          </w:tcPr>
          <w:p w14:paraId="11BA682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Насос 2 шт.</w:t>
            </w:r>
          </w:p>
        </w:tc>
        <w:tc>
          <w:tcPr>
            <w:tcW w:w="1536" w:type="dxa"/>
            <w:vAlign w:val="center"/>
          </w:tcPr>
          <w:p w14:paraId="3739C35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1Д3115-71</w:t>
            </w:r>
          </w:p>
        </w:tc>
        <w:tc>
          <w:tcPr>
            <w:tcW w:w="1134" w:type="dxa"/>
            <w:vAlign w:val="center"/>
          </w:tcPr>
          <w:p w14:paraId="3E076BB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300</w:t>
            </w:r>
          </w:p>
        </w:tc>
        <w:tc>
          <w:tcPr>
            <w:tcW w:w="954" w:type="dxa"/>
            <w:vAlign w:val="center"/>
          </w:tcPr>
          <w:p w14:paraId="3DBB610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70</w:t>
            </w:r>
          </w:p>
        </w:tc>
        <w:tc>
          <w:tcPr>
            <w:tcW w:w="1368" w:type="dxa"/>
            <w:vAlign w:val="center"/>
          </w:tcPr>
          <w:p w14:paraId="58855F4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2006/2006</w:t>
            </w:r>
          </w:p>
        </w:tc>
      </w:tr>
      <w:tr w:rsidR="00171AA8" w:rsidRPr="00731FE2" w14:paraId="22A85EF7" w14:textId="77777777">
        <w:trPr>
          <w:trHeight w:val="255"/>
        </w:trPr>
        <w:tc>
          <w:tcPr>
            <w:tcW w:w="850" w:type="dxa"/>
            <w:vAlign w:val="center"/>
          </w:tcPr>
          <w:p w14:paraId="619332F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2.</w:t>
            </w:r>
          </w:p>
        </w:tc>
        <w:tc>
          <w:tcPr>
            <w:tcW w:w="2235" w:type="dxa"/>
            <w:vAlign w:val="center"/>
          </w:tcPr>
          <w:p w14:paraId="671699D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ВНС «Гайдара», территория РЧВ «Гайдара»</w:t>
            </w:r>
          </w:p>
        </w:tc>
        <w:tc>
          <w:tcPr>
            <w:tcW w:w="1332" w:type="dxa"/>
            <w:vAlign w:val="center"/>
          </w:tcPr>
          <w:p w14:paraId="6919FB0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Насос 1 шт.</w:t>
            </w:r>
          </w:p>
          <w:p w14:paraId="24C0B89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Насос 2 шт.</w:t>
            </w:r>
          </w:p>
        </w:tc>
        <w:tc>
          <w:tcPr>
            <w:tcW w:w="1536" w:type="dxa"/>
            <w:vAlign w:val="center"/>
          </w:tcPr>
          <w:p w14:paraId="1075C89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1Д315-71 1Д315-71</w:t>
            </w:r>
          </w:p>
        </w:tc>
        <w:tc>
          <w:tcPr>
            <w:tcW w:w="1134" w:type="dxa"/>
            <w:vAlign w:val="center"/>
          </w:tcPr>
          <w:p w14:paraId="119D96B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300</w:t>
            </w:r>
          </w:p>
          <w:p w14:paraId="65AA902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300</w:t>
            </w:r>
          </w:p>
        </w:tc>
        <w:tc>
          <w:tcPr>
            <w:tcW w:w="954" w:type="dxa"/>
            <w:vAlign w:val="center"/>
          </w:tcPr>
          <w:p w14:paraId="5B68836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70</w:t>
            </w:r>
          </w:p>
          <w:p w14:paraId="5384F2F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70</w:t>
            </w:r>
          </w:p>
        </w:tc>
        <w:tc>
          <w:tcPr>
            <w:tcW w:w="1368" w:type="dxa"/>
            <w:vAlign w:val="center"/>
          </w:tcPr>
          <w:p w14:paraId="2E698F3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2000/2000 2000/2011</w:t>
            </w:r>
          </w:p>
        </w:tc>
      </w:tr>
      <w:tr w:rsidR="00171AA8" w:rsidRPr="00731FE2" w14:paraId="0F29A133" w14:textId="77777777">
        <w:trPr>
          <w:trHeight w:val="255"/>
        </w:trPr>
        <w:tc>
          <w:tcPr>
            <w:tcW w:w="850" w:type="dxa"/>
            <w:vAlign w:val="center"/>
          </w:tcPr>
          <w:p w14:paraId="304FFAB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3.</w:t>
            </w:r>
          </w:p>
        </w:tc>
        <w:tc>
          <w:tcPr>
            <w:tcW w:w="2235" w:type="dxa"/>
            <w:vAlign w:val="center"/>
          </w:tcPr>
          <w:p w14:paraId="075298F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ВНС «Суворовская», территория РЧВ «Суворовские», ул. Озерная, 4</w:t>
            </w:r>
          </w:p>
        </w:tc>
        <w:tc>
          <w:tcPr>
            <w:tcW w:w="1332" w:type="dxa"/>
            <w:vAlign w:val="center"/>
          </w:tcPr>
          <w:p w14:paraId="06C3556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Насос 2 шт.</w:t>
            </w:r>
          </w:p>
          <w:p w14:paraId="0EB0658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Насос 1 шт.</w:t>
            </w:r>
          </w:p>
        </w:tc>
        <w:tc>
          <w:tcPr>
            <w:tcW w:w="1536" w:type="dxa"/>
            <w:vAlign w:val="center"/>
          </w:tcPr>
          <w:p w14:paraId="2033B15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К160/30 К160/30</w:t>
            </w:r>
          </w:p>
        </w:tc>
        <w:tc>
          <w:tcPr>
            <w:tcW w:w="1134" w:type="dxa"/>
            <w:vAlign w:val="center"/>
          </w:tcPr>
          <w:p w14:paraId="7A27A43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160</w:t>
            </w:r>
          </w:p>
          <w:p w14:paraId="5DD36F4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160</w:t>
            </w:r>
          </w:p>
        </w:tc>
        <w:tc>
          <w:tcPr>
            <w:tcW w:w="954" w:type="dxa"/>
            <w:vAlign w:val="center"/>
          </w:tcPr>
          <w:p w14:paraId="1360D18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30</w:t>
            </w:r>
          </w:p>
          <w:p w14:paraId="045326F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30</w:t>
            </w:r>
          </w:p>
        </w:tc>
        <w:tc>
          <w:tcPr>
            <w:tcW w:w="1368" w:type="dxa"/>
            <w:vAlign w:val="center"/>
          </w:tcPr>
          <w:p w14:paraId="050AECC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1996/1996 2015/2015</w:t>
            </w:r>
          </w:p>
        </w:tc>
      </w:tr>
      <w:tr w:rsidR="00171AA8" w:rsidRPr="00731FE2" w14:paraId="65F1B092" w14:textId="77777777">
        <w:trPr>
          <w:trHeight w:val="255"/>
        </w:trPr>
        <w:tc>
          <w:tcPr>
            <w:tcW w:w="850" w:type="dxa"/>
            <w:vAlign w:val="center"/>
          </w:tcPr>
          <w:p w14:paraId="4B19E96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4.</w:t>
            </w:r>
          </w:p>
        </w:tc>
        <w:tc>
          <w:tcPr>
            <w:tcW w:w="2235" w:type="dxa"/>
            <w:vAlign w:val="center"/>
          </w:tcPr>
          <w:p w14:paraId="3C1B35D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ВНС «Мартовская», пер. Мартовский</w:t>
            </w:r>
          </w:p>
        </w:tc>
        <w:tc>
          <w:tcPr>
            <w:tcW w:w="1332" w:type="dxa"/>
            <w:vAlign w:val="center"/>
          </w:tcPr>
          <w:p w14:paraId="7AEE09E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Насос 2 шт.</w:t>
            </w:r>
          </w:p>
        </w:tc>
        <w:tc>
          <w:tcPr>
            <w:tcW w:w="1536" w:type="dxa"/>
            <w:vAlign w:val="center"/>
          </w:tcPr>
          <w:p w14:paraId="18FF63C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К100-65-250</w:t>
            </w:r>
          </w:p>
        </w:tc>
        <w:tc>
          <w:tcPr>
            <w:tcW w:w="1134" w:type="dxa"/>
            <w:vAlign w:val="center"/>
          </w:tcPr>
          <w:p w14:paraId="18A36FE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100</w:t>
            </w:r>
          </w:p>
        </w:tc>
        <w:tc>
          <w:tcPr>
            <w:tcW w:w="954" w:type="dxa"/>
            <w:vAlign w:val="center"/>
          </w:tcPr>
          <w:p w14:paraId="5107F97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80</w:t>
            </w:r>
          </w:p>
        </w:tc>
        <w:tc>
          <w:tcPr>
            <w:tcW w:w="1368" w:type="dxa"/>
            <w:vAlign w:val="center"/>
          </w:tcPr>
          <w:p w14:paraId="39FACF5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1997/1997</w:t>
            </w:r>
          </w:p>
        </w:tc>
      </w:tr>
      <w:tr w:rsidR="00171AA8" w:rsidRPr="00731FE2" w14:paraId="69B0D821" w14:textId="77777777">
        <w:trPr>
          <w:trHeight w:val="255"/>
        </w:trPr>
        <w:tc>
          <w:tcPr>
            <w:tcW w:w="850" w:type="dxa"/>
            <w:vAlign w:val="center"/>
          </w:tcPr>
          <w:p w14:paraId="040FBB1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5.</w:t>
            </w:r>
          </w:p>
        </w:tc>
        <w:tc>
          <w:tcPr>
            <w:tcW w:w="2235" w:type="dxa"/>
            <w:vAlign w:val="center"/>
          </w:tcPr>
          <w:p w14:paraId="6A882F7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ВНС «Набережная», ул. Набережная</w:t>
            </w:r>
          </w:p>
        </w:tc>
        <w:tc>
          <w:tcPr>
            <w:tcW w:w="1332" w:type="dxa"/>
            <w:vAlign w:val="center"/>
          </w:tcPr>
          <w:p w14:paraId="05922CE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Насос 2 шт.</w:t>
            </w:r>
          </w:p>
          <w:p w14:paraId="53D205C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Насос 1 шт.</w:t>
            </w:r>
          </w:p>
        </w:tc>
        <w:tc>
          <w:tcPr>
            <w:tcW w:w="1536" w:type="dxa"/>
            <w:vAlign w:val="center"/>
          </w:tcPr>
          <w:p w14:paraId="3B350F1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К80-50-200 К80-50-200</w:t>
            </w:r>
          </w:p>
        </w:tc>
        <w:tc>
          <w:tcPr>
            <w:tcW w:w="1134" w:type="dxa"/>
            <w:vAlign w:val="center"/>
          </w:tcPr>
          <w:p w14:paraId="7D90D71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50</w:t>
            </w:r>
          </w:p>
        </w:tc>
        <w:tc>
          <w:tcPr>
            <w:tcW w:w="954" w:type="dxa"/>
            <w:vAlign w:val="center"/>
          </w:tcPr>
          <w:p w14:paraId="3898A99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80</w:t>
            </w:r>
          </w:p>
        </w:tc>
        <w:tc>
          <w:tcPr>
            <w:tcW w:w="1368" w:type="dxa"/>
            <w:vAlign w:val="center"/>
          </w:tcPr>
          <w:p w14:paraId="53AE885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2002/2002 2011/2011</w:t>
            </w:r>
          </w:p>
        </w:tc>
      </w:tr>
      <w:tr w:rsidR="00171AA8" w:rsidRPr="00731FE2" w14:paraId="0AEA8056" w14:textId="77777777">
        <w:trPr>
          <w:trHeight w:val="255"/>
        </w:trPr>
        <w:tc>
          <w:tcPr>
            <w:tcW w:w="850" w:type="dxa"/>
            <w:vAlign w:val="center"/>
          </w:tcPr>
          <w:p w14:paraId="40604D1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6.</w:t>
            </w:r>
          </w:p>
        </w:tc>
        <w:tc>
          <w:tcPr>
            <w:tcW w:w="2235" w:type="dxa"/>
            <w:vAlign w:val="center"/>
          </w:tcPr>
          <w:p w14:paraId="497B5DA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ВНС «Запикетные», территория РЧВ «Запикетные»</w:t>
            </w:r>
          </w:p>
        </w:tc>
        <w:tc>
          <w:tcPr>
            <w:tcW w:w="1332" w:type="dxa"/>
            <w:vAlign w:val="center"/>
          </w:tcPr>
          <w:p w14:paraId="1CC49CC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Насос 1 шт.</w:t>
            </w:r>
          </w:p>
          <w:p w14:paraId="3DBF07E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Насос 1 шт.</w:t>
            </w:r>
          </w:p>
        </w:tc>
        <w:tc>
          <w:tcPr>
            <w:tcW w:w="1536" w:type="dxa"/>
            <w:vAlign w:val="center"/>
          </w:tcPr>
          <w:p w14:paraId="649E4C8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ЦН400/105 1Д200-90</w:t>
            </w:r>
          </w:p>
        </w:tc>
        <w:tc>
          <w:tcPr>
            <w:tcW w:w="1134" w:type="dxa"/>
            <w:vAlign w:val="center"/>
          </w:tcPr>
          <w:p w14:paraId="27EAD8A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400</w:t>
            </w:r>
          </w:p>
          <w:p w14:paraId="7786FB1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200</w:t>
            </w:r>
          </w:p>
        </w:tc>
        <w:tc>
          <w:tcPr>
            <w:tcW w:w="954" w:type="dxa"/>
            <w:vAlign w:val="center"/>
          </w:tcPr>
          <w:p w14:paraId="105BEC4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105</w:t>
            </w:r>
          </w:p>
          <w:p w14:paraId="31839BA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90</w:t>
            </w:r>
          </w:p>
        </w:tc>
        <w:tc>
          <w:tcPr>
            <w:tcW w:w="1368" w:type="dxa"/>
            <w:vAlign w:val="center"/>
          </w:tcPr>
          <w:p w14:paraId="20F85E2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1985/1985</w:t>
            </w:r>
          </w:p>
          <w:p w14:paraId="7340758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2012/2012</w:t>
            </w:r>
          </w:p>
        </w:tc>
      </w:tr>
      <w:tr w:rsidR="00171AA8" w:rsidRPr="00731FE2" w14:paraId="77EE09DC" w14:textId="77777777">
        <w:trPr>
          <w:trHeight w:val="255"/>
        </w:trPr>
        <w:tc>
          <w:tcPr>
            <w:tcW w:w="850" w:type="dxa"/>
            <w:vAlign w:val="center"/>
          </w:tcPr>
          <w:p w14:paraId="614A1C1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7.</w:t>
            </w:r>
          </w:p>
        </w:tc>
        <w:tc>
          <w:tcPr>
            <w:tcW w:w="2235" w:type="dxa"/>
            <w:vAlign w:val="center"/>
          </w:tcPr>
          <w:p w14:paraId="7325593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ВНС «Седлогорская», территория РЧВ «Седлогородские»</w:t>
            </w:r>
          </w:p>
        </w:tc>
        <w:tc>
          <w:tcPr>
            <w:tcW w:w="1332" w:type="dxa"/>
            <w:vAlign w:val="center"/>
          </w:tcPr>
          <w:p w14:paraId="7ADC037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Насос 2 шт.</w:t>
            </w:r>
          </w:p>
        </w:tc>
        <w:tc>
          <w:tcPr>
            <w:tcW w:w="1536" w:type="dxa"/>
            <w:vAlign w:val="center"/>
          </w:tcPr>
          <w:p w14:paraId="657DFBD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ЦНС 38-88</w:t>
            </w:r>
          </w:p>
        </w:tc>
        <w:tc>
          <w:tcPr>
            <w:tcW w:w="1134" w:type="dxa"/>
            <w:vAlign w:val="center"/>
          </w:tcPr>
          <w:p w14:paraId="2D34556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38</w:t>
            </w:r>
          </w:p>
        </w:tc>
        <w:tc>
          <w:tcPr>
            <w:tcW w:w="954" w:type="dxa"/>
            <w:vAlign w:val="center"/>
          </w:tcPr>
          <w:p w14:paraId="4BBE386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88</w:t>
            </w:r>
          </w:p>
        </w:tc>
        <w:tc>
          <w:tcPr>
            <w:tcW w:w="1368" w:type="dxa"/>
            <w:vAlign w:val="center"/>
          </w:tcPr>
          <w:p w14:paraId="5B85856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1995/1995</w:t>
            </w:r>
          </w:p>
          <w:p w14:paraId="2C5C9C8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 </w:t>
            </w:r>
          </w:p>
        </w:tc>
      </w:tr>
      <w:tr w:rsidR="00171AA8" w:rsidRPr="00731FE2" w14:paraId="5327F76F" w14:textId="77777777">
        <w:trPr>
          <w:trHeight w:val="255"/>
        </w:trPr>
        <w:tc>
          <w:tcPr>
            <w:tcW w:w="850" w:type="dxa"/>
            <w:vMerge w:val="restart"/>
            <w:vAlign w:val="center"/>
          </w:tcPr>
          <w:p w14:paraId="01FD31D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8.</w:t>
            </w:r>
          </w:p>
        </w:tc>
        <w:tc>
          <w:tcPr>
            <w:tcW w:w="2235" w:type="dxa"/>
            <w:vMerge w:val="restart"/>
            <w:vAlign w:val="center"/>
          </w:tcPr>
          <w:p w14:paraId="696CB9D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ВНС «Лермонтовская», территория РЧВ «Лермонтовские»</w:t>
            </w:r>
          </w:p>
        </w:tc>
        <w:tc>
          <w:tcPr>
            <w:tcW w:w="1332" w:type="dxa"/>
            <w:vMerge w:val="restart"/>
            <w:vAlign w:val="center"/>
          </w:tcPr>
          <w:p w14:paraId="0B21B58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Насос 1 шт.</w:t>
            </w:r>
          </w:p>
          <w:p w14:paraId="273D359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Насос 1 шт.</w:t>
            </w:r>
          </w:p>
          <w:p w14:paraId="723E856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Насос 1 шт.</w:t>
            </w:r>
          </w:p>
        </w:tc>
        <w:tc>
          <w:tcPr>
            <w:tcW w:w="1536" w:type="dxa"/>
            <w:vMerge w:val="restart"/>
            <w:vAlign w:val="center"/>
          </w:tcPr>
          <w:p w14:paraId="6390913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ЦНС 38-88 ЦН</w:t>
            </w:r>
            <w:proofErr w:type="gramStart"/>
            <w:r w:rsidRPr="00731FE2">
              <w:rPr>
                <w:rFonts w:ascii="Times New Roman" w:hAnsi="Times New Roman" w:cs="Times New Roman"/>
                <w:color w:val="000000" w:themeColor="text1"/>
                <w:sz w:val="22"/>
              </w:rPr>
              <w:t>С(</w:t>
            </w:r>
            <w:proofErr w:type="gramEnd"/>
            <w:r w:rsidRPr="00731FE2">
              <w:rPr>
                <w:rFonts w:ascii="Times New Roman" w:hAnsi="Times New Roman" w:cs="Times New Roman"/>
                <w:color w:val="000000" w:themeColor="text1"/>
                <w:sz w:val="22"/>
              </w:rPr>
              <w:t>Г)38- 176 ЦНС(Г)38- 176</w:t>
            </w:r>
          </w:p>
        </w:tc>
        <w:tc>
          <w:tcPr>
            <w:tcW w:w="1134" w:type="dxa"/>
            <w:vMerge w:val="restart"/>
            <w:vAlign w:val="center"/>
          </w:tcPr>
          <w:p w14:paraId="3C1ED77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38</w:t>
            </w:r>
          </w:p>
          <w:p w14:paraId="063C17A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38</w:t>
            </w:r>
          </w:p>
          <w:p w14:paraId="4A64BA2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38</w:t>
            </w:r>
          </w:p>
        </w:tc>
        <w:tc>
          <w:tcPr>
            <w:tcW w:w="954" w:type="dxa"/>
            <w:vMerge w:val="restart"/>
            <w:vAlign w:val="center"/>
          </w:tcPr>
          <w:p w14:paraId="1545A15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88</w:t>
            </w:r>
          </w:p>
          <w:p w14:paraId="2B4B4B2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176 176</w:t>
            </w:r>
          </w:p>
        </w:tc>
        <w:tc>
          <w:tcPr>
            <w:tcW w:w="1368" w:type="dxa"/>
            <w:vMerge w:val="restart"/>
            <w:vAlign w:val="center"/>
          </w:tcPr>
          <w:p w14:paraId="028F6BD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1998/1998 2005/2005 2005/2011</w:t>
            </w:r>
          </w:p>
        </w:tc>
      </w:tr>
      <w:tr w:rsidR="00171AA8" w:rsidRPr="00731FE2" w14:paraId="09B5C146" w14:textId="77777777">
        <w:trPr>
          <w:trHeight w:val="255"/>
        </w:trPr>
        <w:tc>
          <w:tcPr>
            <w:tcW w:w="850" w:type="dxa"/>
            <w:vMerge w:val="restart"/>
            <w:vAlign w:val="center"/>
          </w:tcPr>
          <w:p w14:paraId="3F4C343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9.</w:t>
            </w:r>
          </w:p>
        </w:tc>
        <w:tc>
          <w:tcPr>
            <w:tcW w:w="2235" w:type="dxa"/>
            <w:vMerge w:val="restart"/>
            <w:vAlign w:val="center"/>
          </w:tcPr>
          <w:p w14:paraId="697D13F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ВНС «Олимпийская», в Курортном парке в районе площадки резервуаров «Орджоникидзе»</w:t>
            </w:r>
          </w:p>
        </w:tc>
        <w:tc>
          <w:tcPr>
            <w:tcW w:w="1332" w:type="dxa"/>
            <w:vMerge w:val="restart"/>
            <w:vAlign w:val="center"/>
          </w:tcPr>
          <w:p w14:paraId="7E74356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Насос 1 шт.</w:t>
            </w:r>
          </w:p>
        </w:tc>
        <w:tc>
          <w:tcPr>
            <w:tcW w:w="1536" w:type="dxa"/>
            <w:vMerge w:val="restart"/>
            <w:vAlign w:val="center"/>
          </w:tcPr>
          <w:p w14:paraId="4B31E3F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ЦНС 105-294</w:t>
            </w:r>
          </w:p>
        </w:tc>
        <w:tc>
          <w:tcPr>
            <w:tcW w:w="1134" w:type="dxa"/>
            <w:vMerge w:val="restart"/>
            <w:vAlign w:val="center"/>
          </w:tcPr>
          <w:p w14:paraId="54029CD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105</w:t>
            </w:r>
          </w:p>
        </w:tc>
        <w:tc>
          <w:tcPr>
            <w:tcW w:w="954" w:type="dxa"/>
            <w:vMerge w:val="restart"/>
            <w:vAlign w:val="center"/>
          </w:tcPr>
          <w:p w14:paraId="0347F3D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294</w:t>
            </w:r>
          </w:p>
        </w:tc>
        <w:tc>
          <w:tcPr>
            <w:tcW w:w="1368" w:type="dxa"/>
            <w:vMerge w:val="restart"/>
            <w:vAlign w:val="center"/>
          </w:tcPr>
          <w:p w14:paraId="7A61819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1979/1979</w:t>
            </w:r>
          </w:p>
        </w:tc>
      </w:tr>
      <w:tr w:rsidR="00171AA8" w:rsidRPr="00731FE2" w14:paraId="36A1F44B" w14:textId="77777777">
        <w:trPr>
          <w:trHeight w:val="255"/>
        </w:trPr>
        <w:tc>
          <w:tcPr>
            <w:tcW w:w="850" w:type="dxa"/>
            <w:vMerge w:val="restart"/>
            <w:vAlign w:val="center"/>
          </w:tcPr>
          <w:p w14:paraId="1CC45A3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10.</w:t>
            </w:r>
          </w:p>
        </w:tc>
        <w:tc>
          <w:tcPr>
            <w:tcW w:w="2235" w:type="dxa"/>
            <w:vMerge w:val="restart"/>
            <w:vAlign w:val="center"/>
          </w:tcPr>
          <w:p w14:paraId="33C4F9B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ВНС «Индустрия-1», в конце ул. Гагарина</w:t>
            </w:r>
          </w:p>
        </w:tc>
        <w:tc>
          <w:tcPr>
            <w:tcW w:w="1332" w:type="dxa"/>
            <w:vMerge w:val="restart"/>
            <w:vAlign w:val="center"/>
          </w:tcPr>
          <w:p w14:paraId="26ADD61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Насос 1 шт.</w:t>
            </w:r>
          </w:p>
          <w:p w14:paraId="75FB626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Насос 1 шт.</w:t>
            </w:r>
          </w:p>
        </w:tc>
        <w:tc>
          <w:tcPr>
            <w:tcW w:w="1536" w:type="dxa"/>
            <w:vMerge w:val="restart"/>
            <w:vAlign w:val="center"/>
          </w:tcPr>
          <w:p w14:paraId="47FA399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ЭЦВ6-10-140 ЭЦВ6-10-140</w:t>
            </w:r>
          </w:p>
        </w:tc>
        <w:tc>
          <w:tcPr>
            <w:tcW w:w="1134" w:type="dxa"/>
            <w:vMerge w:val="restart"/>
            <w:vAlign w:val="center"/>
          </w:tcPr>
          <w:p w14:paraId="6581518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10</w:t>
            </w:r>
          </w:p>
          <w:p w14:paraId="2D211D1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10</w:t>
            </w:r>
          </w:p>
        </w:tc>
        <w:tc>
          <w:tcPr>
            <w:tcW w:w="954" w:type="dxa"/>
            <w:vMerge w:val="restart"/>
            <w:vAlign w:val="center"/>
          </w:tcPr>
          <w:p w14:paraId="6A665AB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12,5 12,5</w:t>
            </w:r>
          </w:p>
        </w:tc>
        <w:tc>
          <w:tcPr>
            <w:tcW w:w="1368" w:type="dxa"/>
            <w:vMerge w:val="restart"/>
            <w:vAlign w:val="center"/>
          </w:tcPr>
          <w:p w14:paraId="73B30A6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2004/2008 2012/2012</w:t>
            </w:r>
          </w:p>
        </w:tc>
      </w:tr>
      <w:tr w:rsidR="00171AA8" w:rsidRPr="00731FE2" w14:paraId="38BFF607" w14:textId="77777777">
        <w:trPr>
          <w:trHeight w:val="255"/>
        </w:trPr>
        <w:tc>
          <w:tcPr>
            <w:tcW w:w="850" w:type="dxa"/>
            <w:vMerge w:val="restart"/>
            <w:vAlign w:val="center"/>
          </w:tcPr>
          <w:p w14:paraId="7E25BEF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11.</w:t>
            </w:r>
          </w:p>
        </w:tc>
        <w:tc>
          <w:tcPr>
            <w:tcW w:w="2235" w:type="dxa"/>
            <w:vMerge w:val="restart"/>
            <w:vAlign w:val="center"/>
          </w:tcPr>
          <w:p w14:paraId="091C85F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ВНС «Индустрия-2», пос. Индустрия</w:t>
            </w:r>
          </w:p>
        </w:tc>
        <w:tc>
          <w:tcPr>
            <w:tcW w:w="1332" w:type="dxa"/>
            <w:vMerge w:val="restart"/>
            <w:vAlign w:val="center"/>
          </w:tcPr>
          <w:p w14:paraId="264B319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Насос 1 шт.</w:t>
            </w:r>
          </w:p>
        </w:tc>
        <w:tc>
          <w:tcPr>
            <w:tcW w:w="1536" w:type="dxa"/>
            <w:vMerge w:val="restart"/>
            <w:vAlign w:val="center"/>
          </w:tcPr>
          <w:p w14:paraId="2DBB1D5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ЭЦВ6-10-110</w:t>
            </w:r>
          </w:p>
        </w:tc>
        <w:tc>
          <w:tcPr>
            <w:tcW w:w="1134" w:type="dxa"/>
            <w:vMerge w:val="restart"/>
            <w:vAlign w:val="center"/>
          </w:tcPr>
          <w:p w14:paraId="7E6078A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10</w:t>
            </w:r>
          </w:p>
        </w:tc>
        <w:tc>
          <w:tcPr>
            <w:tcW w:w="954" w:type="dxa"/>
            <w:vMerge w:val="restart"/>
            <w:vAlign w:val="center"/>
          </w:tcPr>
          <w:p w14:paraId="560087E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12,5</w:t>
            </w:r>
          </w:p>
        </w:tc>
        <w:tc>
          <w:tcPr>
            <w:tcW w:w="1368" w:type="dxa"/>
            <w:vMerge w:val="restart"/>
            <w:vAlign w:val="center"/>
          </w:tcPr>
          <w:p w14:paraId="6D6AE42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2004/2004</w:t>
            </w:r>
          </w:p>
        </w:tc>
      </w:tr>
    </w:tbl>
    <w:p w14:paraId="374E2B35" w14:textId="77777777" w:rsidR="00171AA8" w:rsidRPr="00731FE2" w:rsidRDefault="00171AA8"/>
    <w:p w14:paraId="4CDC60BA"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xml:space="preserve">Количество резервуаров, находящихся на балансе филиала ГУП Ставропольского края «Ставрополькрайводоканал» – </w:t>
      </w:r>
      <w:proofErr w:type="gramStart"/>
      <w:r w:rsidRPr="00731FE2">
        <w:rPr>
          <w:rFonts w:ascii="Times New Roman" w:hAnsi="Times New Roman" w:cs="Times New Roman"/>
          <w:color w:val="000000" w:themeColor="text1"/>
        </w:rPr>
        <w:t>Предгорный</w:t>
      </w:r>
      <w:proofErr w:type="gramEnd"/>
      <w:r w:rsidRPr="00731FE2">
        <w:rPr>
          <w:rFonts w:ascii="Times New Roman" w:hAnsi="Times New Roman" w:cs="Times New Roman"/>
          <w:color w:val="000000" w:themeColor="text1"/>
        </w:rPr>
        <w:t xml:space="preserve"> «Межрайводоканал» – ПТП Кисловодское, – 33 шт. Суммарная емкость резервуарного парка 55750 м</w:t>
      </w:r>
      <w:r w:rsidRPr="00731FE2">
        <w:rPr>
          <w:rFonts w:ascii="Times New Roman" w:hAnsi="Times New Roman" w:cs="Times New Roman"/>
          <w:color w:val="000000" w:themeColor="text1"/>
          <w:vertAlign w:val="superscript"/>
        </w:rPr>
        <w:t>3</w:t>
      </w:r>
      <w:r w:rsidRPr="00731FE2">
        <w:rPr>
          <w:rFonts w:ascii="Times New Roman" w:hAnsi="Times New Roman" w:cs="Times New Roman"/>
          <w:color w:val="000000" w:themeColor="text1"/>
        </w:rPr>
        <w:t>.</w:t>
      </w:r>
      <w:r w:rsidRPr="00731FE2">
        <w:rPr>
          <w:rStyle w:val="afb"/>
          <w:rFonts w:ascii="Times New Roman" w:hAnsi="Times New Roman" w:cs="Times New Roman"/>
          <w:color w:val="000000" w:themeColor="text1"/>
          <w:vertAlign w:val="superscript"/>
        </w:rPr>
        <w:footnoteReference w:id="69"/>
      </w:r>
    </w:p>
    <w:p w14:paraId="3D779C8F"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Для возможности подачи дополнительного объема воды в часы максимального водопотребления построены резервуары «Кутузовский №2» объемом 3000 м</w:t>
      </w:r>
      <w:r w:rsidRPr="00731FE2">
        <w:rPr>
          <w:rFonts w:ascii="Times New Roman" w:hAnsi="Times New Roman" w:cs="Times New Roman"/>
          <w:color w:val="000000" w:themeColor="text1"/>
          <w:vertAlign w:val="superscript"/>
        </w:rPr>
        <w:t>3</w:t>
      </w:r>
      <w:r w:rsidRPr="00731FE2">
        <w:rPr>
          <w:rFonts w:ascii="Times New Roman" w:hAnsi="Times New Roman" w:cs="Times New Roman"/>
          <w:color w:val="000000" w:themeColor="text1"/>
        </w:rPr>
        <w:t xml:space="preserve"> и «Седлогорский №2» объемом 3000 м</w:t>
      </w:r>
      <w:r w:rsidRPr="00731FE2">
        <w:rPr>
          <w:rFonts w:ascii="Times New Roman" w:hAnsi="Times New Roman" w:cs="Times New Roman"/>
          <w:color w:val="000000" w:themeColor="text1"/>
          <w:vertAlign w:val="superscript"/>
        </w:rPr>
        <w:t>3</w:t>
      </w:r>
      <w:r w:rsidRPr="00731FE2">
        <w:rPr>
          <w:rFonts w:ascii="Times New Roman" w:hAnsi="Times New Roman" w:cs="Times New Roman"/>
          <w:color w:val="000000" w:themeColor="text1"/>
        </w:rPr>
        <w:t>.</w:t>
      </w:r>
    </w:p>
    <w:p w14:paraId="30BDDD63"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b/>
          <w:bCs/>
          <w:color w:val="000000" w:themeColor="text1"/>
        </w:rPr>
        <w:t>Существующее зонирование централизованной системы водоснабжения городского округа и общий баланс подачи и реализации воды питьевого качества.</w:t>
      </w:r>
      <w:r w:rsidRPr="00731FE2">
        <w:rPr>
          <w:rFonts w:ascii="Times New Roman" w:hAnsi="Times New Roman" w:cs="Times New Roman"/>
          <w:color w:val="000000" w:themeColor="text1"/>
        </w:rPr>
        <w:t xml:space="preserve"> В </w:t>
      </w:r>
      <w:r w:rsidRPr="00731FE2">
        <w:rPr>
          <w:rFonts w:ascii="Times New Roman" w:hAnsi="Times New Roman" w:cs="Times New Roman"/>
          <w:color w:val="000000" w:themeColor="text1"/>
        </w:rPr>
        <w:lastRenderedPageBreak/>
        <w:t>связи со сложным рельефом местности, при котором перепад в отметках земли составляет до 300 м, городская система водоснабжения разбита на 11 эксплуатационных зон.</w:t>
      </w:r>
    </w:p>
    <w:p w14:paraId="7EE2E4B8"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Зонирование водопроводной сети городского округа произведено на основании геодезических отметок земли городской территории, высотного расположения резервуаров, необходимых минимальных отметок свободных напоров в водопроводной сети, конфигурации и деталировки водопроводной сети. Функционирование каждой зоны обеспечивается совместной работой регулирующих резервуаров и насосных станций.</w:t>
      </w:r>
    </w:p>
    <w:p w14:paraId="616D6B2A"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iCs/>
          <w:color w:val="000000" w:themeColor="text1"/>
        </w:rPr>
        <w:t>Северная зона водоснабжения</w:t>
      </w:r>
      <w:r w:rsidRPr="00731FE2">
        <w:rPr>
          <w:rFonts w:ascii="Times New Roman" w:hAnsi="Times New Roman" w:cs="Times New Roman"/>
          <w:color w:val="000000" w:themeColor="text1"/>
        </w:rPr>
        <w:t xml:space="preserve"> включает в себя территорию города-курорта, расположенную на отметках местности 740-800 м (въездной р-н, ул. Замковая, Дружбы, Мичурина, нижняя часть ул. Чапаева, Калинина). Граница зоны проходит по ул. Замковая, Набережная, Зеркальная, Дводненко, Железнодорожная, Калинина, Белоглинская, Чапаева.</w:t>
      </w:r>
    </w:p>
    <w:p w14:paraId="3DB52212"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Водоснабжение зоны осуществляется от двух РЧВ «Чапаевские» объемом 2×5000 м</w:t>
      </w:r>
      <w:r w:rsidRPr="00731FE2">
        <w:rPr>
          <w:rFonts w:ascii="Times New Roman" w:hAnsi="Times New Roman" w:cs="Times New Roman"/>
          <w:color w:val="000000" w:themeColor="text1"/>
          <w:vertAlign w:val="superscript"/>
        </w:rPr>
        <w:t>3</w:t>
      </w:r>
      <w:r w:rsidRPr="00731FE2">
        <w:rPr>
          <w:rFonts w:ascii="Times New Roman" w:hAnsi="Times New Roman" w:cs="Times New Roman"/>
          <w:color w:val="000000" w:themeColor="text1"/>
        </w:rPr>
        <w:t>,</w:t>
      </w:r>
      <w:r w:rsidR="00A72799" w:rsidRPr="00731FE2">
        <w:rPr>
          <w:rFonts w:ascii="Times New Roman" w:hAnsi="Times New Roman" w:cs="Times New Roman"/>
          <w:color w:val="000000" w:themeColor="text1"/>
        </w:rPr>
        <w:t xml:space="preserve"> </w:t>
      </w:r>
      <w:r w:rsidRPr="00731FE2">
        <w:rPr>
          <w:rFonts w:ascii="Times New Roman" w:hAnsi="Times New Roman" w:cs="Times New Roman"/>
          <w:color w:val="000000" w:themeColor="text1"/>
        </w:rPr>
        <w:t>отметка дна резервуаров – 821,5 м. Площадка резервуаров расположена по ул. Чапаева, 87, в 3-ей зоне округа санитарной охраны минеральных источников Кисловодского месторождения. В настоящее время от резервуаров осуществляется водоснабжение р-на улиц: Пушкина, Чапаева, Чехова, Пороховая.</w:t>
      </w:r>
    </w:p>
    <w:p w14:paraId="68E8D105"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proofErr w:type="gramStart"/>
      <w:r w:rsidRPr="00731FE2">
        <w:rPr>
          <w:rFonts w:ascii="Times New Roman" w:hAnsi="Times New Roman" w:cs="Times New Roman"/>
          <w:iCs/>
          <w:color w:val="000000" w:themeColor="text1"/>
        </w:rPr>
        <w:t>Центральная зона водоснабжения</w:t>
      </w:r>
      <w:r w:rsidRPr="00731FE2">
        <w:rPr>
          <w:rFonts w:ascii="Times New Roman" w:hAnsi="Times New Roman" w:cs="Times New Roman"/>
          <w:color w:val="000000" w:themeColor="text1"/>
        </w:rPr>
        <w:t xml:space="preserve"> включает в себя территорию города-курорта, расположенную на отметках местности 800-820 м (р-н улиц:</w:t>
      </w:r>
      <w:proofErr w:type="gramEnd"/>
      <w:r w:rsidRPr="00731FE2">
        <w:rPr>
          <w:rFonts w:ascii="Times New Roman" w:hAnsi="Times New Roman" w:cs="Times New Roman"/>
          <w:color w:val="000000" w:themeColor="text1"/>
        </w:rPr>
        <w:t xml:space="preserve"> </w:t>
      </w:r>
      <w:proofErr w:type="gramStart"/>
      <w:r w:rsidRPr="00731FE2">
        <w:rPr>
          <w:rFonts w:ascii="Times New Roman" w:hAnsi="Times New Roman" w:cs="Times New Roman"/>
          <w:color w:val="000000" w:themeColor="text1"/>
        </w:rPr>
        <w:t>Красивая, Марцинкевича, Азербайджанская, Ленинградская, Куйбышева, Фоменко, Калинина, Энгельса, Пушкина).</w:t>
      </w:r>
      <w:proofErr w:type="gramEnd"/>
      <w:r w:rsidRPr="00731FE2">
        <w:rPr>
          <w:rFonts w:ascii="Times New Roman" w:hAnsi="Times New Roman" w:cs="Times New Roman"/>
          <w:color w:val="000000" w:themeColor="text1"/>
        </w:rPr>
        <w:t xml:space="preserve"> </w:t>
      </w:r>
      <w:proofErr w:type="gramStart"/>
      <w:r w:rsidRPr="00731FE2">
        <w:rPr>
          <w:rFonts w:ascii="Times New Roman" w:hAnsi="Times New Roman" w:cs="Times New Roman"/>
          <w:color w:val="000000" w:themeColor="text1"/>
        </w:rPr>
        <w:t>Граница зоны проходит по ул. Азербайджанская, Красивая, Набережная, Зеркальная, Дводненко, Железнодорожная, Калинина, Белоглинская, Чапаева, Энгельса, Зеленая, Коммунальная, Осипенко, Кирова, Красноармейской, Шаумяна, Р. Люксенбург, 40 Лет Октября, Курортный Бульвар.</w:t>
      </w:r>
      <w:proofErr w:type="gramEnd"/>
      <w:r w:rsidRPr="00731FE2">
        <w:rPr>
          <w:rFonts w:ascii="Times New Roman" w:hAnsi="Times New Roman" w:cs="Times New Roman"/>
          <w:color w:val="000000" w:themeColor="text1"/>
        </w:rPr>
        <w:t xml:space="preserve"> Водоснабжение зоны осуществляется от резервуаров:</w:t>
      </w:r>
    </w:p>
    <w:p w14:paraId="46A7ADC5" w14:textId="77777777" w:rsidR="00171AA8" w:rsidRPr="00731FE2" w:rsidRDefault="007935AB">
      <w:pPr>
        <w:pStyle w:val="a3"/>
        <w:numPr>
          <w:ilvl w:val="0"/>
          <w:numId w:val="14"/>
        </w:numPr>
        <w:pBdr>
          <w:top w:val="none" w:sz="4" w:space="0" w:color="000000"/>
          <w:left w:val="none" w:sz="4" w:space="0" w:color="000000"/>
          <w:bottom w:val="none" w:sz="4" w:space="0" w:color="000000"/>
          <w:right w:val="none" w:sz="4" w:space="0" w:color="000000"/>
        </w:pBdr>
        <w:tabs>
          <w:tab w:val="left" w:pos="992"/>
        </w:tabs>
        <w:ind w:left="0" w:firstLine="709"/>
        <w:rPr>
          <w:rFonts w:ascii="Times New Roman" w:hAnsi="Times New Roman" w:cs="Times New Roman"/>
          <w:color w:val="000000" w:themeColor="text1"/>
        </w:rPr>
      </w:pPr>
      <w:r w:rsidRPr="00731FE2">
        <w:rPr>
          <w:rFonts w:ascii="Times New Roman" w:hAnsi="Times New Roman" w:cs="Times New Roman"/>
          <w:color w:val="000000" w:themeColor="text1"/>
        </w:rPr>
        <w:t>РЧВ «Ракитной Горы» объемом 5000 м3 и 6000 м</w:t>
      </w:r>
      <w:r w:rsidRPr="00731FE2">
        <w:rPr>
          <w:rFonts w:ascii="Times New Roman" w:hAnsi="Times New Roman" w:cs="Times New Roman"/>
          <w:color w:val="000000" w:themeColor="text1"/>
          <w:vertAlign w:val="superscript"/>
        </w:rPr>
        <w:t>3</w:t>
      </w:r>
      <w:r w:rsidRPr="00731FE2">
        <w:rPr>
          <w:rFonts w:ascii="Times New Roman" w:hAnsi="Times New Roman" w:cs="Times New Roman"/>
          <w:color w:val="000000" w:themeColor="text1"/>
        </w:rPr>
        <w:t>,</w:t>
      </w:r>
      <w:r w:rsidR="00A72799" w:rsidRPr="00731FE2">
        <w:rPr>
          <w:rFonts w:ascii="Times New Roman" w:hAnsi="Times New Roman" w:cs="Times New Roman"/>
          <w:color w:val="000000" w:themeColor="text1"/>
        </w:rPr>
        <w:t xml:space="preserve"> </w:t>
      </w:r>
      <w:r w:rsidRPr="00731FE2">
        <w:rPr>
          <w:rFonts w:ascii="Times New Roman" w:hAnsi="Times New Roman" w:cs="Times New Roman"/>
          <w:color w:val="000000" w:themeColor="text1"/>
        </w:rPr>
        <w:t xml:space="preserve">отметка дна резервуаров – 861,0 м, расположены </w:t>
      </w:r>
      <w:proofErr w:type="gramStart"/>
      <w:r w:rsidRPr="00731FE2">
        <w:rPr>
          <w:rFonts w:ascii="Times New Roman" w:hAnsi="Times New Roman" w:cs="Times New Roman"/>
          <w:color w:val="000000" w:themeColor="text1"/>
        </w:rPr>
        <w:t>по</w:t>
      </w:r>
      <w:proofErr w:type="gramEnd"/>
      <w:r w:rsidRPr="00731FE2">
        <w:rPr>
          <w:rFonts w:ascii="Times New Roman" w:hAnsi="Times New Roman" w:cs="Times New Roman"/>
          <w:color w:val="000000" w:themeColor="text1"/>
        </w:rPr>
        <w:t xml:space="preserve"> пер. Ракитному. Наполнение резервуаров «Ракитные №1,2» осуществляется с Эшкаконского водохранилища, через КП «Кольцо-Гора» по водоводу диаметром 600. </w:t>
      </w:r>
      <w:proofErr w:type="gramStart"/>
      <w:r w:rsidRPr="00731FE2">
        <w:rPr>
          <w:rFonts w:ascii="Times New Roman" w:hAnsi="Times New Roman" w:cs="Times New Roman"/>
          <w:color w:val="000000" w:themeColor="text1"/>
        </w:rPr>
        <w:t>Резервуар «Ракитный № 1» предназначен для водоснабжения ул. Пограничная, Куйбышева, Станичная, Белорусская, Новая, Губина, Фоменко, Октябрьская, Толстого, Седлогорская и ближайших.</w:t>
      </w:r>
      <w:proofErr w:type="gramEnd"/>
      <w:r w:rsidRPr="00731FE2">
        <w:rPr>
          <w:rFonts w:ascii="Times New Roman" w:hAnsi="Times New Roman" w:cs="Times New Roman"/>
          <w:color w:val="000000" w:themeColor="text1"/>
        </w:rPr>
        <w:t xml:space="preserve"> </w:t>
      </w:r>
      <w:proofErr w:type="gramStart"/>
      <w:r w:rsidRPr="00731FE2">
        <w:rPr>
          <w:rFonts w:ascii="Times New Roman" w:hAnsi="Times New Roman" w:cs="Times New Roman"/>
          <w:color w:val="000000" w:themeColor="text1"/>
        </w:rPr>
        <w:t>Резервуар «Ракитный № 2» предназначен для водоснабжения ул. Красивая, Азербайджанская, Ленинградская, Марцинкевича, Челюскинцев, У. Алиева, М. Расковой, Форелевого хозяйства и ближайших.</w:t>
      </w:r>
      <w:proofErr w:type="gramEnd"/>
    </w:p>
    <w:p w14:paraId="29C22932" w14:textId="77777777" w:rsidR="00171AA8" w:rsidRPr="00731FE2" w:rsidRDefault="007935AB">
      <w:pPr>
        <w:pStyle w:val="a3"/>
        <w:numPr>
          <w:ilvl w:val="0"/>
          <w:numId w:val="14"/>
        </w:numPr>
        <w:pBdr>
          <w:top w:val="none" w:sz="4" w:space="0" w:color="000000"/>
          <w:left w:val="none" w:sz="4" w:space="0" w:color="000000"/>
          <w:bottom w:val="none" w:sz="4" w:space="0" w:color="000000"/>
          <w:right w:val="none" w:sz="4" w:space="0" w:color="000000"/>
        </w:pBdr>
        <w:tabs>
          <w:tab w:val="left" w:pos="992"/>
        </w:tabs>
        <w:ind w:left="0" w:firstLine="709"/>
        <w:rPr>
          <w:rFonts w:ascii="Times New Roman" w:hAnsi="Times New Roman" w:cs="Times New Roman"/>
          <w:color w:val="000000" w:themeColor="text1"/>
        </w:rPr>
      </w:pPr>
      <w:r w:rsidRPr="00731FE2">
        <w:rPr>
          <w:rFonts w:ascii="Times New Roman" w:hAnsi="Times New Roman" w:cs="Times New Roman"/>
          <w:color w:val="000000" w:themeColor="text1"/>
        </w:rPr>
        <w:t>РЧВ «Суворовские» объемом 2×1000 м</w:t>
      </w:r>
      <w:r w:rsidRPr="00731FE2">
        <w:rPr>
          <w:rFonts w:ascii="Times New Roman" w:hAnsi="Times New Roman" w:cs="Times New Roman"/>
          <w:color w:val="000000" w:themeColor="text1"/>
          <w:vertAlign w:val="superscript"/>
        </w:rPr>
        <w:t>3</w:t>
      </w:r>
      <w:r w:rsidRPr="00731FE2">
        <w:rPr>
          <w:rFonts w:ascii="Times New Roman" w:hAnsi="Times New Roman" w:cs="Times New Roman"/>
          <w:color w:val="000000" w:themeColor="text1"/>
        </w:rPr>
        <w:t>,</w:t>
      </w:r>
      <w:r w:rsidR="00A72799" w:rsidRPr="00731FE2">
        <w:rPr>
          <w:rFonts w:ascii="Times New Roman" w:hAnsi="Times New Roman" w:cs="Times New Roman"/>
          <w:color w:val="000000" w:themeColor="text1"/>
        </w:rPr>
        <w:t xml:space="preserve"> </w:t>
      </w:r>
      <w:r w:rsidRPr="00731FE2">
        <w:rPr>
          <w:rFonts w:ascii="Times New Roman" w:hAnsi="Times New Roman" w:cs="Times New Roman"/>
          <w:color w:val="000000" w:themeColor="text1"/>
        </w:rPr>
        <w:t xml:space="preserve">отметка дна резервуаров – 863,20 м, расположены по ул. </w:t>
      </w:r>
      <w:proofErr w:type="gramStart"/>
      <w:r w:rsidRPr="00731FE2">
        <w:rPr>
          <w:rFonts w:ascii="Times New Roman" w:hAnsi="Times New Roman" w:cs="Times New Roman"/>
          <w:color w:val="000000" w:themeColor="text1"/>
        </w:rPr>
        <w:t>Озерной</w:t>
      </w:r>
      <w:proofErr w:type="gramEnd"/>
      <w:r w:rsidRPr="00731FE2">
        <w:rPr>
          <w:rFonts w:ascii="Times New Roman" w:hAnsi="Times New Roman" w:cs="Times New Roman"/>
          <w:color w:val="000000" w:themeColor="text1"/>
        </w:rPr>
        <w:t>. Наполнение резервуаров «Суворовские» осуществляется из Эшкаконского водохранилища, через КП «Кольцо-Гора» по водоводу диаметром 400 м. Резервуары «Суворовские» оснащены насосной станцией для перекачки воды. Резервуары предназначены для водоснабжения многоэтажных домов и ближайшего микрорайона. Требуется замена и полная реконструкция запорной арматуры и резервуара.</w:t>
      </w:r>
    </w:p>
    <w:p w14:paraId="18B339B5" w14:textId="77777777" w:rsidR="00171AA8" w:rsidRPr="00731FE2" w:rsidRDefault="007935AB">
      <w:pPr>
        <w:pStyle w:val="a3"/>
        <w:numPr>
          <w:ilvl w:val="0"/>
          <w:numId w:val="14"/>
        </w:numPr>
        <w:pBdr>
          <w:top w:val="none" w:sz="4" w:space="0" w:color="000000"/>
          <w:left w:val="none" w:sz="4" w:space="0" w:color="000000"/>
          <w:bottom w:val="none" w:sz="4" w:space="0" w:color="000000"/>
          <w:right w:val="none" w:sz="4" w:space="0" w:color="000000"/>
        </w:pBdr>
        <w:tabs>
          <w:tab w:val="left" w:pos="992"/>
        </w:tabs>
        <w:ind w:left="0" w:firstLine="709"/>
        <w:rPr>
          <w:rFonts w:ascii="Times New Roman" w:hAnsi="Times New Roman" w:cs="Times New Roman"/>
          <w:color w:val="000000" w:themeColor="text1"/>
        </w:rPr>
      </w:pPr>
      <w:r w:rsidRPr="00731FE2">
        <w:rPr>
          <w:rFonts w:ascii="Times New Roman" w:hAnsi="Times New Roman" w:cs="Times New Roman"/>
          <w:color w:val="000000" w:themeColor="text1"/>
        </w:rPr>
        <w:t>РЧВ «Трудовой» объемом 1000 м</w:t>
      </w:r>
      <w:r w:rsidRPr="00731FE2">
        <w:rPr>
          <w:rFonts w:ascii="Times New Roman" w:hAnsi="Times New Roman" w:cs="Times New Roman"/>
          <w:color w:val="000000" w:themeColor="text1"/>
          <w:vertAlign w:val="superscript"/>
        </w:rPr>
        <w:t>3</w:t>
      </w:r>
      <w:r w:rsidRPr="00731FE2">
        <w:rPr>
          <w:rFonts w:ascii="Times New Roman" w:hAnsi="Times New Roman" w:cs="Times New Roman"/>
          <w:color w:val="000000" w:themeColor="text1"/>
        </w:rPr>
        <w:t>,</w:t>
      </w:r>
      <w:r w:rsidR="00A72799" w:rsidRPr="00731FE2">
        <w:rPr>
          <w:rFonts w:ascii="Times New Roman" w:hAnsi="Times New Roman" w:cs="Times New Roman"/>
          <w:color w:val="000000" w:themeColor="text1"/>
        </w:rPr>
        <w:t xml:space="preserve"> </w:t>
      </w:r>
      <w:r w:rsidRPr="00731FE2">
        <w:rPr>
          <w:rFonts w:ascii="Times New Roman" w:hAnsi="Times New Roman" w:cs="Times New Roman"/>
          <w:color w:val="000000" w:themeColor="text1"/>
        </w:rPr>
        <w:t xml:space="preserve">отметка дна резервуаров – 861,28 м, расположен по ул. Эльбрусская, во 2-ой зоне округа санитарной охраны минеральных источников Кисловодского месторождения. </w:t>
      </w:r>
      <w:proofErr w:type="gramStart"/>
      <w:r w:rsidRPr="00731FE2">
        <w:rPr>
          <w:rFonts w:ascii="Times New Roman" w:hAnsi="Times New Roman" w:cs="Times New Roman"/>
          <w:color w:val="000000" w:themeColor="text1"/>
        </w:rPr>
        <w:t>Резервуар предназначен для водоснабжения ул. Тельмана, ул. Кузнечная, ул. Горького, ул. Курортный Бульвар.</w:t>
      </w:r>
      <w:proofErr w:type="gramEnd"/>
      <w:r w:rsidRPr="00731FE2">
        <w:rPr>
          <w:rFonts w:ascii="Times New Roman" w:hAnsi="Times New Roman" w:cs="Times New Roman"/>
          <w:color w:val="000000" w:themeColor="text1"/>
        </w:rPr>
        <w:t xml:space="preserve"> Наполнение резервуара осуществляется от РЧВ «Кутузовский». </w:t>
      </w:r>
    </w:p>
    <w:p w14:paraId="2EB9A6BA"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proofErr w:type="gramStart"/>
      <w:r w:rsidRPr="00731FE2">
        <w:rPr>
          <w:rFonts w:ascii="Times New Roman" w:hAnsi="Times New Roman" w:cs="Times New Roman"/>
          <w:iCs/>
          <w:color w:val="000000" w:themeColor="text1"/>
        </w:rPr>
        <w:lastRenderedPageBreak/>
        <w:t>Восточная зона</w:t>
      </w:r>
      <w:r w:rsidRPr="00731FE2">
        <w:rPr>
          <w:rFonts w:ascii="Times New Roman" w:hAnsi="Times New Roman" w:cs="Times New Roman"/>
          <w:color w:val="000000" w:themeColor="text1"/>
        </w:rPr>
        <w:t xml:space="preserve"> водоснабжения включает в себя территорию города-курорта, расположенную на отметках местности 900-860 м (р-н улиц:</w:t>
      </w:r>
      <w:proofErr w:type="gramEnd"/>
      <w:r w:rsidRPr="00731FE2">
        <w:rPr>
          <w:rFonts w:ascii="Times New Roman" w:hAnsi="Times New Roman" w:cs="Times New Roman"/>
          <w:color w:val="000000" w:themeColor="text1"/>
        </w:rPr>
        <w:t xml:space="preserve"> </w:t>
      </w:r>
      <w:proofErr w:type="gramStart"/>
      <w:r w:rsidRPr="00731FE2">
        <w:rPr>
          <w:rFonts w:ascii="Times New Roman" w:hAnsi="Times New Roman" w:cs="Times New Roman"/>
          <w:color w:val="000000" w:themeColor="text1"/>
        </w:rPr>
        <w:t>Аджарская, Седлогорская, Целинная, Октябрьская, Орлиная, Кисловодская, Дзержинского, Революции, Красногвардейская, Пятигорская, Широкая, Ленина, Вокзальная, Коминтерна).</w:t>
      </w:r>
      <w:proofErr w:type="gramEnd"/>
      <w:r w:rsidRPr="00731FE2">
        <w:rPr>
          <w:rFonts w:ascii="Times New Roman" w:hAnsi="Times New Roman" w:cs="Times New Roman"/>
          <w:color w:val="000000" w:themeColor="text1"/>
        </w:rPr>
        <w:t xml:space="preserve"> Водоснабжение зоны осуществляется от резервуаров: </w:t>
      </w:r>
    </w:p>
    <w:p w14:paraId="233DFC79" w14:textId="77777777" w:rsidR="00171AA8" w:rsidRPr="00731FE2" w:rsidRDefault="007935AB">
      <w:pPr>
        <w:pStyle w:val="a3"/>
        <w:numPr>
          <w:ilvl w:val="0"/>
          <w:numId w:val="14"/>
        </w:numPr>
        <w:pBdr>
          <w:top w:val="none" w:sz="4" w:space="0" w:color="000000"/>
          <w:left w:val="none" w:sz="4" w:space="0" w:color="000000"/>
          <w:bottom w:val="none" w:sz="4" w:space="0" w:color="000000"/>
          <w:right w:val="none" w:sz="4" w:space="0" w:color="000000"/>
        </w:pBdr>
        <w:tabs>
          <w:tab w:val="left" w:pos="992"/>
        </w:tabs>
        <w:ind w:left="0" w:firstLine="709"/>
        <w:rPr>
          <w:rFonts w:ascii="Times New Roman" w:hAnsi="Times New Roman" w:cs="Times New Roman"/>
          <w:color w:val="000000" w:themeColor="text1"/>
        </w:rPr>
      </w:pPr>
      <w:r w:rsidRPr="00731FE2">
        <w:rPr>
          <w:rFonts w:ascii="Times New Roman" w:hAnsi="Times New Roman" w:cs="Times New Roman"/>
          <w:color w:val="000000" w:themeColor="text1"/>
        </w:rPr>
        <w:t xml:space="preserve">РЧВ «Красные камни», </w:t>
      </w:r>
      <w:proofErr w:type="gramStart"/>
      <w:r w:rsidRPr="00731FE2">
        <w:rPr>
          <w:rFonts w:ascii="Times New Roman" w:hAnsi="Times New Roman" w:cs="Times New Roman"/>
          <w:color w:val="000000" w:themeColor="text1"/>
        </w:rPr>
        <w:t>расположенных</w:t>
      </w:r>
      <w:proofErr w:type="gramEnd"/>
      <w:r w:rsidRPr="00731FE2">
        <w:rPr>
          <w:rFonts w:ascii="Times New Roman" w:hAnsi="Times New Roman" w:cs="Times New Roman"/>
          <w:color w:val="000000" w:themeColor="text1"/>
        </w:rPr>
        <w:t xml:space="preserve"> в курортном парке город-курорт Кисловодска в районе санатория «Красные камни». На площадке резервуаров находятся два резервуара объемом 1000 м</w:t>
      </w:r>
      <w:r w:rsidRPr="00731FE2">
        <w:rPr>
          <w:rFonts w:ascii="Times New Roman" w:hAnsi="Times New Roman" w:cs="Times New Roman"/>
          <w:color w:val="000000" w:themeColor="text1"/>
          <w:vertAlign w:val="superscript"/>
        </w:rPr>
        <w:t>3</w:t>
      </w:r>
      <w:r w:rsidRPr="00731FE2">
        <w:rPr>
          <w:rFonts w:ascii="Times New Roman" w:hAnsi="Times New Roman" w:cs="Times New Roman"/>
          <w:color w:val="000000" w:themeColor="text1"/>
        </w:rPr>
        <w:t xml:space="preserve"> и 350 м</w:t>
      </w:r>
      <w:r w:rsidRPr="00731FE2">
        <w:rPr>
          <w:rFonts w:ascii="Times New Roman" w:hAnsi="Times New Roman" w:cs="Times New Roman"/>
          <w:color w:val="000000" w:themeColor="text1"/>
          <w:vertAlign w:val="superscript"/>
        </w:rPr>
        <w:t>3</w:t>
      </w:r>
      <w:r w:rsidRPr="00731FE2">
        <w:rPr>
          <w:rFonts w:ascii="Times New Roman" w:hAnsi="Times New Roman" w:cs="Times New Roman"/>
          <w:color w:val="000000" w:themeColor="text1"/>
        </w:rPr>
        <w:t>, отметка дна резервуара – 914,5 м. РЧВ объемом 350 м3 выведен из эксплуатации и требует полного восстановления, РЧВ объемом 1000 м3 требует капитального ремонта. Наполнение РЧВ осуществляется от резервуаров «</w:t>
      </w:r>
      <w:proofErr w:type="gramStart"/>
      <w:r w:rsidRPr="00731FE2">
        <w:rPr>
          <w:rFonts w:ascii="Times New Roman" w:hAnsi="Times New Roman" w:cs="Times New Roman"/>
          <w:color w:val="000000" w:themeColor="text1"/>
        </w:rPr>
        <w:t>Главный</w:t>
      </w:r>
      <w:proofErr w:type="gramEnd"/>
      <w:r w:rsidRPr="00731FE2">
        <w:rPr>
          <w:rFonts w:ascii="Times New Roman" w:hAnsi="Times New Roman" w:cs="Times New Roman"/>
          <w:color w:val="000000" w:themeColor="text1"/>
        </w:rPr>
        <w:t xml:space="preserve"> Баязет». Резервуары предназначены для водоснабжения Курортной зоны, Вокзальной пл., сан. «Горького», «Луч», «Красный октябрь» и «Военный санаторий». </w:t>
      </w:r>
    </w:p>
    <w:p w14:paraId="1C0B6BB3" w14:textId="77777777" w:rsidR="00171AA8" w:rsidRPr="00731FE2" w:rsidRDefault="007935AB">
      <w:pPr>
        <w:pStyle w:val="a3"/>
        <w:numPr>
          <w:ilvl w:val="0"/>
          <w:numId w:val="14"/>
        </w:numPr>
        <w:pBdr>
          <w:top w:val="none" w:sz="4" w:space="0" w:color="000000"/>
          <w:left w:val="none" w:sz="4" w:space="0" w:color="000000"/>
          <w:bottom w:val="none" w:sz="4" w:space="0" w:color="000000"/>
          <w:right w:val="none" w:sz="4" w:space="0" w:color="000000"/>
        </w:pBdr>
        <w:tabs>
          <w:tab w:val="left" w:pos="992"/>
        </w:tabs>
        <w:ind w:left="0" w:firstLine="709"/>
        <w:rPr>
          <w:rFonts w:ascii="Times New Roman" w:hAnsi="Times New Roman" w:cs="Times New Roman"/>
          <w:color w:val="000000" w:themeColor="text1"/>
        </w:rPr>
      </w:pPr>
      <w:r w:rsidRPr="00731FE2">
        <w:rPr>
          <w:rFonts w:ascii="Times New Roman" w:hAnsi="Times New Roman" w:cs="Times New Roman"/>
          <w:color w:val="000000" w:themeColor="text1"/>
        </w:rPr>
        <w:t>РЧВ «Георгиевское плато» объемом 2×1000 м</w:t>
      </w:r>
      <w:r w:rsidRPr="00731FE2">
        <w:rPr>
          <w:rFonts w:ascii="Times New Roman" w:hAnsi="Times New Roman" w:cs="Times New Roman"/>
          <w:color w:val="000000" w:themeColor="text1"/>
          <w:vertAlign w:val="superscript"/>
        </w:rPr>
        <w:t>3</w:t>
      </w:r>
      <w:r w:rsidRPr="00731FE2">
        <w:rPr>
          <w:rFonts w:ascii="Times New Roman" w:hAnsi="Times New Roman" w:cs="Times New Roman"/>
          <w:color w:val="000000" w:themeColor="text1"/>
        </w:rPr>
        <w:t>, отметка дна резервуаров – 914,90 м, расположены в курортном районе город-курорт Кисловодска, выше проспекта Дзержинского, территория граничит с лесопарковой зоной Курортного парка. Наполнение резервуаров «Георгиевское плато № 1,2» осуществляется от насосной станции «Осипенко». Резервуары предназначены для водоснабжения ул. Широкая, Жуковского, Коллективная, Орджоникидзе, К. Цеткин. Также на территории площадки РЧВ «Георгиевское плато» находятся резервуар санатория «Смена», резервуар «Военного санатория» и резервуар гостиницы «Кавказ».</w:t>
      </w:r>
    </w:p>
    <w:p w14:paraId="7D2F7F46" w14:textId="77777777" w:rsidR="00171AA8" w:rsidRPr="00731FE2" w:rsidRDefault="007935AB">
      <w:pPr>
        <w:pStyle w:val="a3"/>
        <w:numPr>
          <w:ilvl w:val="0"/>
          <w:numId w:val="14"/>
        </w:numPr>
        <w:pBdr>
          <w:top w:val="none" w:sz="4" w:space="0" w:color="000000"/>
          <w:left w:val="none" w:sz="4" w:space="0" w:color="000000"/>
          <w:bottom w:val="none" w:sz="4" w:space="0" w:color="000000"/>
          <w:right w:val="none" w:sz="4" w:space="0" w:color="000000"/>
        </w:pBdr>
        <w:tabs>
          <w:tab w:val="left" w:pos="992"/>
        </w:tabs>
        <w:ind w:left="0" w:firstLine="709"/>
        <w:rPr>
          <w:rFonts w:ascii="Times New Roman" w:hAnsi="Times New Roman" w:cs="Times New Roman"/>
          <w:color w:val="000000" w:themeColor="text1"/>
        </w:rPr>
      </w:pPr>
      <w:r w:rsidRPr="00731FE2">
        <w:rPr>
          <w:rFonts w:ascii="Times New Roman" w:hAnsi="Times New Roman" w:cs="Times New Roman"/>
          <w:color w:val="000000" w:themeColor="text1"/>
        </w:rPr>
        <w:t>РЧВ «Гайдара» объемом 4×2000 м</w:t>
      </w:r>
      <w:r w:rsidRPr="00731FE2">
        <w:rPr>
          <w:rFonts w:ascii="Times New Roman" w:hAnsi="Times New Roman" w:cs="Times New Roman"/>
          <w:color w:val="000000" w:themeColor="text1"/>
          <w:vertAlign w:val="superscript"/>
        </w:rPr>
        <w:t>3</w:t>
      </w:r>
      <w:r w:rsidRPr="00731FE2">
        <w:rPr>
          <w:rFonts w:ascii="Times New Roman" w:hAnsi="Times New Roman" w:cs="Times New Roman"/>
          <w:color w:val="000000" w:themeColor="text1"/>
        </w:rPr>
        <w:t>, отметка дна резервуаров – 920,0 м, расположены в Восточной зоне города-курорта Кисловодск по ул. Гайдара, во второй зоне округа санитарной охраны минеральных источников Кисловодского месторождения. На площадке расположены четыре подземных РЧВ и насосная станция. Все резервуары предназначены для водоснабжения части Восточной зоны. Насосная станция «Гайдара» обеспечивает водоснабжение санатория «Джинал». Также насосная станция «Гайдара» перекачивает воду от резервуара «Гайдара №1» в резервуары «Седлогорские» и «Орджоникидзе».</w:t>
      </w:r>
    </w:p>
    <w:p w14:paraId="2232AB0D" w14:textId="77777777" w:rsidR="00171AA8" w:rsidRPr="00731FE2" w:rsidRDefault="007935AB">
      <w:pPr>
        <w:pStyle w:val="a3"/>
        <w:numPr>
          <w:ilvl w:val="0"/>
          <w:numId w:val="14"/>
        </w:numPr>
        <w:pBdr>
          <w:top w:val="none" w:sz="4" w:space="0" w:color="000000"/>
          <w:left w:val="none" w:sz="4" w:space="0" w:color="000000"/>
          <w:bottom w:val="none" w:sz="4" w:space="0" w:color="000000"/>
          <w:right w:val="none" w:sz="4" w:space="0" w:color="000000"/>
        </w:pBdr>
        <w:tabs>
          <w:tab w:val="left" w:pos="992"/>
        </w:tabs>
        <w:ind w:left="0" w:firstLine="709"/>
      </w:pPr>
      <w:r w:rsidRPr="00731FE2">
        <w:rPr>
          <w:rFonts w:ascii="Times New Roman" w:hAnsi="Times New Roman" w:cs="Times New Roman"/>
          <w:color w:val="000000" w:themeColor="text1"/>
        </w:rPr>
        <w:t>РЧВ «Седлогородские» объемом 1000 м</w:t>
      </w:r>
      <w:r w:rsidRPr="00731FE2">
        <w:rPr>
          <w:rFonts w:ascii="Times New Roman" w:hAnsi="Times New Roman" w:cs="Times New Roman"/>
          <w:color w:val="000000" w:themeColor="text1"/>
          <w:vertAlign w:val="superscript"/>
        </w:rPr>
        <w:t>3</w:t>
      </w:r>
      <w:r w:rsidRPr="00731FE2">
        <w:rPr>
          <w:rFonts w:ascii="Times New Roman" w:hAnsi="Times New Roman" w:cs="Times New Roman"/>
          <w:color w:val="000000" w:themeColor="text1"/>
        </w:rPr>
        <w:t xml:space="preserve"> и 3000 м</w:t>
      </w:r>
      <w:r w:rsidRPr="00731FE2">
        <w:rPr>
          <w:rFonts w:ascii="Times New Roman" w:hAnsi="Times New Roman" w:cs="Times New Roman"/>
          <w:color w:val="000000" w:themeColor="text1"/>
          <w:vertAlign w:val="superscript"/>
        </w:rPr>
        <w:t>3</w:t>
      </w:r>
      <w:r w:rsidRPr="00731FE2">
        <w:rPr>
          <w:rFonts w:ascii="Times New Roman" w:hAnsi="Times New Roman" w:cs="Times New Roman"/>
          <w:color w:val="000000" w:themeColor="text1"/>
        </w:rPr>
        <w:t>, отметка дна резервуаров – 936,17 м. Площадка резервуаров и насосной станции расположена в конце ул. Седлогорская на юго-восточной окраине городского округа.</w:t>
      </w:r>
    </w:p>
    <w:p w14:paraId="0CD8C6B3"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Дополнительный резервуар объемом 3000 м</w:t>
      </w:r>
      <w:r w:rsidRPr="00731FE2">
        <w:rPr>
          <w:rFonts w:ascii="Times New Roman" w:hAnsi="Times New Roman" w:cs="Times New Roman"/>
          <w:color w:val="000000" w:themeColor="text1"/>
          <w:vertAlign w:val="superscript"/>
        </w:rPr>
        <w:t>3</w:t>
      </w:r>
      <w:r w:rsidRPr="00731FE2">
        <w:rPr>
          <w:rFonts w:ascii="Times New Roman" w:hAnsi="Times New Roman" w:cs="Times New Roman"/>
          <w:color w:val="000000" w:themeColor="text1"/>
        </w:rPr>
        <w:t xml:space="preserve"> был построен в соответствии с программой «Расширение водоснабжения город-курорт Кисловодска», учитывая существующую ситуацию с недостаточным водоснабжением восточной зоны, и предназначен для водоснабжения районов, расположенных на отметках местности 920-860 м и пос. Белореченский. В перспективе данный резервуар будет задействован в схеме подачи воды в восточную часть города-курорта от резервуаров «Чапаевские».</w:t>
      </w:r>
    </w:p>
    <w:p w14:paraId="734B849C"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proofErr w:type="gramStart"/>
      <w:r w:rsidRPr="00731FE2">
        <w:rPr>
          <w:rFonts w:ascii="Times New Roman" w:hAnsi="Times New Roman" w:cs="Times New Roman"/>
          <w:iCs/>
          <w:color w:val="000000" w:themeColor="text1"/>
        </w:rPr>
        <w:t>Баязетская зона</w:t>
      </w:r>
      <w:r w:rsidRPr="00731FE2">
        <w:rPr>
          <w:rFonts w:ascii="Times New Roman" w:hAnsi="Times New Roman" w:cs="Times New Roman"/>
          <w:color w:val="000000" w:themeColor="text1"/>
        </w:rPr>
        <w:t xml:space="preserve"> водоснабжения включает в себя территорию городского округа, расположенную на отметках местности 980-940 м (р-н улиц:</w:t>
      </w:r>
      <w:proofErr w:type="gramEnd"/>
      <w:r w:rsidRPr="00731FE2">
        <w:rPr>
          <w:rFonts w:ascii="Times New Roman" w:hAnsi="Times New Roman" w:cs="Times New Roman"/>
          <w:color w:val="000000" w:themeColor="text1"/>
        </w:rPr>
        <w:t xml:space="preserve"> </w:t>
      </w:r>
      <w:proofErr w:type="gramStart"/>
      <w:r w:rsidRPr="00731FE2">
        <w:rPr>
          <w:rFonts w:ascii="Times New Roman" w:hAnsi="Times New Roman" w:cs="Times New Roman"/>
          <w:color w:val="000000" w:themeColor="text1"/>
        </w:rPr>
        <w:t>Крылова, Катыхина, Еромолова, Кабардинской, Гагарина, Профинтерна, пер. Пикетный).</w:t>
      </w:r>
      <w:proofErr w:type="gramEnd"/>
      <w:r w:rsidRPr="00731FE2">
        <w:rPr>
          <w:rFonts w:ascii="Times New Roman" w:hAnsi="Times New Roman" w:cs="Times New Roman"/>
          <w:color w:val="000000" w:themeColor="text1"/>
        </w:rPr>
        <w:t xml:space="preserve"> Водоснабжение зоны осуществляется от РЧВ «</w:t>
      </w:r>
      <w:proofErr w:type="gramStart"/>
      <w:r w:rsidRPr="00731FE2">
        <w:rPr>
          <w:rFonts w:ascii="Times New Roman" w:hAnsi="Times New Roman" w:cs="Times New Roman"/>
          <w:color w:val="000000" w:themeColor="text1"/>
        </w:rPr>
        <w:t>Главный</w:t>
      </w:r>
      <w:proofErr w:type="gramEnd"/>
      <w:r w:rsidRPr="00731FE2">
        <w:rPr>
          <w:rFonts w:ascii="Times New Roman" w:hAnsi="Times New Roman" w:cs="Times New Roman"/>
          <w:color w:val="000000" w:themeColor="text1"/>
        </w:rPr>
        <w:t xml:space="preserve"> Баязет».</w:t>
      </w:r>
    </w:p>
    <w:p w14:paraId="332B4EBB"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Резервуары «Баязет № 1, 2» объемом 2×5000 м</w:t>
      </w:r>
      <w:r w:rsidRPr="00731FE2">
        <w:rPr>
          <w:rFonts w:ascii="Times New Roman" w:hAnsi="Times New Roman" w:cs="Times New Roman"/>
          <w:color w:val="000000" w:themeColor="text1"/>
          <w:vertAlign w:val="superscript"/>
        </w:rPr>
        <w:t>3</w:t>
      </w:r>
      <w:r w:rsidRPr="00731FE2">
        <w:rPr>
          <w:rFonts w:ascii="Times New Roman" w:hAnsi="Times New Roman" w:cs="Times New Roman"/>
          <w:color w:val="000000" w:themeColor="text1"/>
        </w:rPr>
        <w:t xml:space="preserve"> были построены в 1990 году, в Юго-западной зоне города-курорта Кисловодск по ул. Кутузова, во 2-й санитарной зоне охраны курорта. Резервуар «Баязет № 3» объемом 1000 м3 был построен в 1938 году. Отметка дна резервуаров – 994 м.</w:t>
      </w:r>
    </w:p>
    <w:p w14:paraId="1F7831BB"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lastRenderedPageBreak/>
        <w:t>Наполнение резервуаров «Баязет № 1, 2» осуществляется с Эшкаконского водохранилища, через КП «Гора Кольцо» по водоводу диаметром 600 мм. Резервуары предназначены для водоснабжения парковой зоны, санаториев, производится наполнение резервуаров «Кутузовский», «Пикет» и «Красные Камни».</w:t>
      </w:r>
    </w:p>
    <w:p w14:paraId="61188595"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Наполнение резервуара «Баязет № 3» осуществляется с природных источников «Теплушка», «Находка», «Близнецы», которые соединяются на сборной камере в районе «Медовых водопадов», по двум водоводам из чугунных труб диаметром 300 мм. Резервуар предназначен для водоснабжения тех же зон, что и «Баязет № 1, 2», но дополнительно осуществляется подача на ЦГБ.</w:t>
      </w:r>
    </w:p>
    <w:p w14:paraId="04C99D3E"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proofErr w:type="gramStart"/>
      <w:r w:rsidRPr="00731FE2">
        <w:rPr>
          <w:rFonts w:ascii="Times New Roman" w:hAnsi="Times New Roman" w:cs="Times New Roman"/>
          <w:iCs/>
          <w:color w:val="000000" w:themeColor="text1"/>
        </w:rPr>
        <w:t>Кутузовская зона</w:t>
      </w:r>
      <w:r w:rsidRPr="00731FE2">
        <w:rPr>
          <w:rFonts w:ascii="Times New Roman" w:hAnsi="Times New Roman" w:cs="Times New Roman"/>
          <w:color w:val="000000" w:themeColor="text1"/>
        </w:rPr>
        <w:t xml:space="preserve"> водоснабжения включает в себя территорию городского округа, расположенную на отметках местности 920-860 м (р-н улиц:</w:t>
      </w:r>
      <w:proofErr w:type="gramEnd"/>
      <w:r w:rsidRPr="00731FE2">
        <w:rPr>
          <w:rFonts w:ascii="Times New Roman" w:hAnsi="Times New Roman" w:cs="Times New Roman"/>
          <w:color w:val="000000" w:themeColor="text1"/>
        </w:rPr>
        <w:t xml:space="preserve"> </w:t>
      </w:r>
      <w:proofErr w:type="gramStart"/>
      <w:r w:rsidRPr="00731FE2">
        <w:rPr>
          <w:rFonts w:ascii="Times New Roman" w:hAnsi="Times New Roman" w:cs="Times New Roman"/>
          <w:color w:val="000000" w:themeColor="text1"/>
        </w:rPr>
        <w:t>Кутузова, Линейной, Чкалова, Чернышевского, Авиации, Курганной).</w:t>
      </w:r>
      <w:proofErr w:type="gramEnd"/>
      <w:r w:rsidRPr="00731FE2">
        <w:rPr>
          <w:rFonts w:ascii="Times New Roman" w:hAnsi="Times New Roman" w:cs="Times New Roman"/>
          <w:color w:val="000000" w:themeColor="text1"/>
        </w:rPr>
        <w:t xml:space="preserve"> Водоснабжение зоны осуществляется от РЧВ «Кутузовский №1» объемом 1000 м</w:t>
      </w:r>
      <w:r w:rsidRPr="00731FE2">
        <w:rPr>
          <w:rFonts w:ascii="Times New Roman" w:hAnsi="Times New Roman" w:cs="Times New Roman"/>
          <w:color w:val="000000" w:themeColor="text1"/>
          <w:vertAlign w:val="superscript"/>
        </w:rPr>
        <w:t>3</w:t>
      </w:r>
      <w:r w:rsidRPr="00731FE2">
        <w:rPr>
          <w:rFonts w:ascii="Times New Roman" w:hAnsi="Times New Roman" w:cs="Times New Roman"/>
          <w:color w:val="000000" w:themeColor="text1"/>
        </w:rPr>
        <w:t xml:space="preserve"> и РЧВ «Кутузовский №2» объемом 3000 м</w:t>
      </w:r>
      <w:r w:rsidRPr="00731FE2">
        <w:rPr>
          <w:rFonts w:ascii="Times New Roman" w:hAnsi="Times New Roman" w:cs="Times New Roman"/>
          <w:color w:val="000000" w:themeColor="text1"/>
          <w:vertAlign w:val="superscript"/>
        </w:rPr>
        <w:t>3</w:t>
      </w:r>
      <w:r w:rsidRPr="00731FE2">
        <w:rPr>
          <w:rFonts w:ascii="Times New Roman" w:hAnsi="Times New Roman" w:cs="Times New Roman"/>
          <w:color w:val="000000" w:themeColor="text1"/>
        </w:rPr>
        <w:t xml:space="preserve">, отметка дна резервуаров – 934,5 м. </w:t>
      </w:r>
    </w:p>
    <w:p w14:paraId="45A20D85"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Площадка РЧВ расположена по ул. Кутузова, во 2-й зоне округа санитарной охраны минеральных источников Кисловодского месторождения. Наполнение РЧВ «Кутузовский» осуществляется от резервуаров «Главный Баязет».</w:t>
      </w:r>
    </w:p>
    <w:p w14:paraId="74ED716B"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proofErr w:type="gramStart"/>
      <w:r w:rsidRPr="00731FE2">
        <w:rPr>
          <w:rFonts w:ascii="Times New Roman" w:hAnsi="Times New Roman" w:cs="Times New Roman"/>
          <w:color w:val="000000" w:themeColor="text1"/>
        </w:rPr>
        <w:t>От РЧВ осуществляется водоснабжение медицинских учреждений: родильного дома, детской поликлиники, а также ул. Курганная, Рубина, Авиации, Чкалова, Чернышевского, Кутузова, Крупской, Озерная, Гастелло, Линейная, Титова и ближайших.</w:t>
      </w:r>
      <w:proofErr w:type="gramEnd"/>
    </w:p>
    <w:p w14:paraId="5425085C"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proofErr w:type="gramStart"/>
      <w:r w:rsidRPr="00731FE2">
        <w:rPr>
          <w:rFonts w:ascii="Times New Roman" w:hAnsi="Times New Roman" w:cs="Times New Roman"/>
          <w:iCs/>
          <w:color w:val="000000" w:themeColor="text1"/>
        </w:rPr>
        <w:t>Лермонтовская зона</w:t>
      </w:r>
      <w:r w:rsidRPr="00731FE2">
        <w:rPr>
          <w:rFonts w:ascii="Times New Roman" w:hAnsi="Times New Roman" w:cs="Times New Roman"/>
          <w:color w:val="000000" w:themeColor="text1"/>
        </w:rPr>
        <w:t xml:space="preserve"> водоснабжения включает в себя территорию округа, расположенную на отметках местности 900-850 м (р-н улиц:</w:t>
      </w:r>
      <w:proofErr w:type="gramEnd"/>
      <w:r w:rsidRPr="00731FE2">
        <w:rPr>
          <w:rFonts w:ascii="Times New Roman" w:hAnsi="Times New Roman" w:cs="Times New Roman"/>
          <w:color w:val="000000" w:themeColor="text1"/>
        </w:rPr>
        <w:t xml:space="preserve"> </w:t>
      </w:r>
      <w:proofErr w:type="gramStart"/>
      <w:r w:rsidRPr="00731FE2">
        <w:rPr>
          <w:rFonts w:ascii="Times New Roman" w:hAnsi="Times New Roman" w:cs="Times New Roman"/>
          <w:color w:val="000000" w:themeColor="text1"/>
        </w:rPr>
        <w:t>Донская, Прудная, Лермонтова, Мира, Кольцова).</w:t>
      </w:r>
      <w:proofErr w:type="gramEnd"/>
      <w:r w:rsidRPr="00731FE2">
        <w:rPr>
          <w:rFonts w:ascii="Times New Roman" w:hAnsi="Times New Roman" w:cs="Times New Roman"/>
          <w:color w:val="000000" w:themeColor="text1"/>
        </w:rPr>
        <w:t xml:space="preserve"> Водоснабжение зоны осуществляется от источников «Лермонтовские №1, №2». Ввиду недостаточного дебита «Лермонтовских» источников производится дополнительная подпитка зоны от РЧВ «Красные Камни». Включение в схему водоснабжения зоны РЧВ «Красные Камни» позволило избежать повышенных напоров в сети. </w:t>
      </w:r>
    </w:p>
    <w:p w14:paraId="2BBEA03E"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На площадке РЧВ «Лермонтовский» имеется насосная станция. Объем резервуара – 250 м</w:t>
      </w:r>
      <w:r w:rsidRPr="00731FE2">
        <w:rPr>
          <w:rFonts w:ascii="Times New Roman" w:hAnsi="Times New Roman" w:cs="Times New Roman"/>
          <w:color w:val="000000" w:themeColor="text1"/>
          <w:vertAlign w:val="superscript"/>
        </w:rPr>
        <w:t>3</w:t>
      </w:r>
      <w:r w:rsidRPr="00731FE2">
        <w:rPr>
          <w:rFonts w:ascii="Times New Roman" w:hAnsi="Times New Roman" w:cs="Times New Roman"/>
          <w:color w:val="000000" w:themeColor="text1"/>
        </w:rPr>
        <w:t>, отметка дна – 958,5 м. Резервуар предназначен для водоснабжения р-на улиц: Донская, Прудная, Резервуарная, Черкасская, Ольховская, пос. Нарзанный и Сосновый бор. Требуется замена центрального водопровода, расширение зоны и строительство дополнительного резервуара.</w:t>
      </w:r>
    </w:p>
    <w:p w14:paraId="4B1636CD"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proofErr w:type="gramStart"/>
      <w:r w:rsidRPr="00731FE2">
        <w:rPr>
          <w:rFonts w:ascii="Times New Roman" w:hAnsi="Times New Roman" w:cs="Times New Roman"/>
          <w:iCs/>
          <w:color w:val="000000" w:themeColor="text1"/>
        </w:rPr>
        <w:t>Курортная зона</w:t>
      </w:r>
      <w:r w:rsidRPr="00731FE2">
        <w:rPr>
          <w:rFonts w:ascii="Times New Roman" w:hAnsi="Times New Roman" w:cs="Times New Roman"/>
          <w:color w:val="000000" w:themeColor="text1"/>
        </w:rPr>
        <w:t xml:space="preserve"> водоснабжения включает в себя территорию города-курорта, расположенную на отметках местности 950-900 м (р-н улиц:</w:t>
      </w:r>
      <w:proofErr w:type="gramEnd"/>
      <w:r w:rsidRPr="00731FE2">
        <w:rPr>
          <w:rFonts w:ascii="Times New Roman" w:hAnsi="Times New Roman" w:cs="Times New Roman"/>
          <w:color w:val="000000" w:themeColor="text1"/>
        </w:rPr>
        <w:t xml:space="preserve"> </w:t>
      </w:r>
      <w:proofErr w:type="gramStart"/>
      <w:r w:rsidRPr="00731FE2">
        <w:rPr>
          <w:rFonts w:ascii="Times New Roman" w:hAnsi="Times New Roman" w:cs="Times New Roman"/>
          <w:color w:val="000000" w:themeColor="text1"/>
        </w:rPr>
        <w:t>Пятигорская (верх), Войкова, Добролюбова, Курортный парк).</w:t>
      </w:r>
      <w:proofErr w:type="gramEnd"/>
      <w:r w:rsidRPr="00731FE2">
        <w:rPr>
          <w:rFonts w:ascii="Times New Roman" w:hAnsi="Times New Roman" w:cs="Times New Roman"/>
          <w:color w:val="000000" w:themeColor="text1"/>
        </w:rPr>
        <w:t xml:space="preserve"> Водоснабжение зоны осуществляется от РЧВ «Орджоникидзе», расположенных в Курортном парке город-курорт Кисловодска в 1-й зоне округа санитарной охраны минеральных источников Кисловодского месторождения.</w:t>
      </w:r>
    </w:p>
    <w:p w14:paraId="2E412CDE"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В настоящее время в работе находятся два резервуара №1 и №2 объемом по 1000 м</w:t>
      </w:r>
      <w:r w:rsidRPr="00731FE2">
        <w:rPr>
          <w:rFonts w:ascii="Times New Roman" w:hAnsi="Times New Roman" w:cs="Times New Roman"/>
          <w:color w:val="000000" w:themeColor="text1"/>
          <w:vertAlign w:val="superscript"/>
        </w:rPr>
        <w:t>3</w:t>
      </w:r>
      <w:r w:rsidRPr="00731FE2">
        <w:rPr>
          <w:rFonts w:ascii="Times New Roman" w:hAnsi="Times New Roman" w:cs="Times New Roman"/>
          <w:color w:val="000000" w:themeColor="text1"/>
        </w:rPr>
        <w:t xml:space="preserve"> каждый. Еще два резервуара выведены из работы, так как нуждаются в капитальном ремонте. Наполнение резервуаров «Орджоникидзе № 1, 2» осуществляется от насосных станций «Гайдара» и «Запикетные» (</w:t>
      </w:r>
      <w:proofErr w:type="gramStart"/>
      <w:r w:rsidRPr="00731FE2">
        <w:rPr>
          <w:rFonts w:ascii="Times New Roman" w:hAnsi="Times New Roman" w:cs="Times New Roman"/>
          <w:color w:val="000000" w:themeColor="text1"/>
        </w:rPr>
        <w:t>верхней</w:t>
      </w:r>
      <w:proofErr w:type="gramEnd"/>
      <w:r w:rsidRPr="00731FE2">
        <w:rPr>
          <w:rFonts w:ascii="Times New Roman" w:hAnsi="Times New Roman" w:cs="Times New Roman"/>
          <w:color w:val="000000" w:themeColor="text1"/>
        </w:rPr>
        <w:t xml:space="preserve"> подзоны).</w:t>
      </w:r>
    </w:p>
    <w:p w14:paraId="156304B0"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От РЧВ «Орджоникидзе» осуществляется водоснабжение санатория «Орджоникидзе» и части восточной зоны, в дальнейшем планируется обеспечение санаториев: «Кисловодск», «Плаза», «Кирова», «Димитрова» и пансионата «Орлиное гнездо». Требуется реконструкция резервуаров «Орджоникидзе № 3, №4».</w:t>
      </w:r>
    </w:p>
    <w:p w14:paraId="12B784B8"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lastRenderedPageBreak/>
        <w:t>Для улучшения водоснабжения и наполнения резервуаров без насосных станций и резервуаров «</w:t>
      </w:r>
      <w:proofErr w:type="gramStart"/>
      <w:r w:rsidRPr="00731FE2">
        <w:rPr>
          <w:rFonts w:ascii="Times New Roman" w:hAnsi="Times New Roman" w:cs="Times New Roman"/>
          <w:color w:val="000000" w:themeColor="text1"/>
        </w:rPr>
        <w:t>Главный</w:t>
      </w:r>
      <w:proofErr w:type="gramEnd"/>
      <w:r w:rsidRPr="00731FE2">
        <w:rPr>
          <w:rFonts w:ascii="Times New Roman" w:hAnsi="Times New Roman" w:cs="Times New Roman"/>
          <w:color w:val="000000" w:themeColor="text1"/>
        </w:rPr>
        <w:t xml:space="preserve"> Баязет» предусмотрена прокладка нового водовода.</w:t>
      </w:r>
    </w:p>
    <w:p w14:paraId="256B43D6"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proofErr w:type="gramStart"/>
      <w:r w:rsidRPr="00731FE2">
        <w:rPr>
          <w:rFonts w:ascii="Times New Roman" w:hAnsi="Times New Roman" w:cs="Times New Roman"/>
          <w:color w:val="000000" w:themeColor="text1"/>
        </w:rPr>
        <w:t>Площадка резервуаров и насосной станции «Запикетные» объемом 2000 м</w:t>
      </w:r>
      <w:r w:rsidRPr="00731FE2">
        <w:rPr>
          <w:rFonts w:ascii="Times New Roman" w:hAnsi="Times New Roman" w:cs="Times New Roman"/>
          <w:color w:val="000000" w:themeColor="text1"/>
          <w:vertAlign w:val="superscript"/>
        </w:rPr>
        <w:t>3</w:t>
      </w:r>
      <w:r w:rsidRPr="00731FE2">
        <w:rPr>
          <w:rFonts w:ascii="Times New Roman" w:hAnsi="Times New Roman" w:cs="Times New Roman"/>
          <w:color w:val="000000" w:themeColor="text1"/>
        </w:rPr>
        <w:t xml:space="preserve"> (верхней подзоны) расположена в верхней части Национального парка «Кисловодский» городского округа города-курорта Кисловодска в районе санатория «Пикет», в 1-ой зоне округа санитарной охраны минеральных источников Кисловодского месторождения. </w:t>
      </w:r>
      <w:proofErr w:type="gramEnd"/>
    </w:p>
    <w:p w14:paraId="1F163D0A"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Площадка резервуаров и насосной станции «Запикетные» (нижней подзоны) расположена в самой верхней части Курортного парка город-курорт Кисловодска, район санатория «Каскад», в 1-ой зоне округа санитарной охраны минеральных источников Кисловодского месторождения. На площадке расположены два РЧВ и насосная станция. На данный момент сооружения не действуют, находятся на консервации.</w:t>
      </w:r>
    </w:p>
    <w:p w14:paraId="3330695F"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proofErr w:type="gramStart"/>
      <w:r w:rsidRPr="00731FE2">
        <w:rPr>
          <w:rFonts w:ascii="Times New Roman" w:hAnsi="Times New Roman" w:cs="Times New Roman"/>
          <w:iCs/>
          <w:color w:val="000000" w:themeColor="text1"/>
        </w:rPr>
        <w:t>Суворовская зона</w:t>
      </w:r>
      <w:r w:rsidRPr="00731FE2">
        <w:rPr>
          <w:rFonts w:ascii="Times New Roman" w:hAnsi="Times New Roman" w:cs="Times New Roman"/>
          <w:color w:val="000000" w:themeColor="text1"/>
        </w:rPr>
        <w:t xml:space="preserve"> водоснабжения расположена внутри центральной» зоны водоснабжения и включает в себя территорию городского округа, расположенную на отметках местности 850-830 м (р-н улиц:</w:t>
      </w:r>
      <w:proofErr w:type="gramEnd"/>
      <w:r w:rsidRPr="00731FE2">
        <w:rPr>
          <w:rFonts w:ascii="Times New Roman" w:hAnsi="Times New Roman" w:cs="Times New Roman"/>
          <w:color w:val="000000" w:themeColor="text1"/>
        </w:rPr>
        <w:t xml:space="preserve"> </w:t>
      </w:r>
      <w:proofErr w:type="gramStart"/>
      <w:r w:rsidRPr="00731FE2">
        <w:rPr>
          <w:rFonts w:ascii="Times New Roman" w:hAnsi="Times New Roman" w:cs="Times New Roman"/>
          <w:color w:val="000000" w:themeColor="text1"/>
        </w:rPr>
        <w:t>Героев Медиков, Цандера, Островского, Губина, Титова, Парковая).</w:t>
      </w:r>
      <w:proofErr w:type="gramEnd"/>
      <w:r w:rsidRPr="00731FE2">
        <w:rPr>
          <w:rFonts w:ascii="Times New Roman" w:hAnsi="Times New Roman" w:cs="Times New Roman"/>
          <w:color w:val="000000" w:themeColor="text1"/>
        </w:rPr>
        <w:t xml:space="preserve"> На площадке РЧВ «Суворовские», расположенной по ул. Озерная, 4,</w:t>
      </w:r>
      <w:r w:rsidR="00A72799" w:rsidRPr="00731FE2">
        <w:rPr>
          <w:rFonts w:ascii="Times New Roman" w:hAnsi="Times New Roman" w:cs="Times New Roman"/>
          <w:color w:val="000000" w:themeColor="text1"/>
        </w:rPr>
        <w:t xml:space="preserve"> </w:t>
      </w:r>
      <w:r w:rsidRPr="00731FE2">
        <w:rPr>
          <w:rFonts w:ascii="Times New Roman" w:hAnsi="Times New Roman" w:cs="Times New Roman"/>
          <w:color w:val="000000" w:themeColor="text1"/>
        </w:rPr>
        <w:t xml:space="preserve">находятся два резервуара и насосная станция, работающая непосредственно от РЧВ. В часы максимального водоразбора производится дополнительная подача воды в зону самотеком от РЧВ «Кутузовские» по трубопроводу диаметром 250 мм, проложенному по улицам Кутузова и Крупской. </w:t>
      </w:r>
    </w:p>
    <w:p w14:paraId="634738F4"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iCs/>
          <w:color w:val="000000" w:themeColor="text1"/>
        </w:rPr>
        <w:t>Белореченская зона</w:t>
      </w:r>
      <w:r w:rsidRPr="00731FE2">
        <w:rPr>
          <w:rFonts w:ascii="Times New Roman" w:hAnsi="Times New Roman" w:cs="Times New Roman"/>
          <w:color w:val="000000" w:themeColor="text1"/>
        </w:rPr>
        <w:t xml:space="preserve"> водоснабжения расположена в северо-восточной части городского округа на отметках местности 930-1040 м и включает в себя п. Белореченский. Водоснабжение зоны осуществляется от насосной станции «Седлогорская», расположенной на территории РЧВ «Седлогорские». Водопроводная сеть зоны водоснабжения обособлена от городской сети. </w:t>
      </w:r>
    </w:p>
    <w:p w14:paraId="3E60C182"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iCs/>
          <w:color w:val="000000" w:themeColor="text1"/>
        </w:rPr>
        <w:t>Зеленогорская зона</w:t>
      </w:r>
      <w:r w:rsidRPr="00731FE2">
        <w:rPr>
          <w:rFonts w:ascii="Times New Roman" w:hAnsi="Times New Roman" w:cs="Times New Roman"/>
          <w:color w:val="000000" w:themeColor="text1"/>
        </w:rPr>
        <w:t xml:space="preserve"> водоснабжения расположена на западной окраине городского округа в пос. Зеленогорский, на отметках местности 830-940 м. Водоснабжение зоны (пос. Зеленогорский) осуществляется от РЧВ «Зеленогорские» объемом 2×500 м</w:t>
      </w:r>
      <w:r w:rsidRPr="00731FE2">
        <w:rPr>
          <w:rFonts w:ascii="Times New Roman" w:hAnsi="Times New Roman" w:cs="Times New Roman"/>
          <w:color w:val="000000" w:themeColor="text1"/>
          <w:vertAlign w:val="superscript"/>
        </w:rPr>
        <w:t>3</w:t>
      </w:r>
      <w:r w:rsidRPr="00731FE2">
        <w:rPr>
          <w:rFonts w:ascii="Times New Roman" w:hAnsi="Times New Roman" w:cs="Times New Roman"/>
          <w:color w:val="000000" w:themeColor="text1"/>
        </w:rPr>
        <w:t>, отметка дна резервуара – 956,6 м.</w:t>
      </w:r>
    </w:p>
    <w:p w14:paraId="20EC5C0A"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iCs/>
          <w:color w:val="000000" w:themeColor="text1"/>
        </w:rPr>
        <w:t>Северная промзона</w:t>
      </w:r>
      <w:r w:rsidRPr="00731FE2">
        <w:rPr>
          <w:rFonts w:ascii="Times New Roman" w:hAnsi="Times New Roman" w:cs="Times New Roman"/>
          <w:color w:val="000000" w:themeColor="text1"/>
        </w:rPr>
        <w:t xml:space="preserve"> расположена в северной части округа на отметках местности 740-820 м. Водоснабжение зоны осуществляется от РЧВ «Чапаева».</w:t>
      </w:r>
    </w:p>
    <w:p w14:paraId="2693ADDF"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iCs/>
          <w:color w:val="000000" w:themeColor="text1"/>
        </w:rPr>
        <w:t>Поселок Индустрия.</w:t>
      </w:r>
      <w:r w:rsidRPr="00731FE2">
        <w:rPr>
          <w:rFonts w:ascii="Times New Roman" w:hAnsi="Times New Roman" w:cs="Times New Roman"/>
          <w:color w:val="000000" w:themeColor="text1"/>
        </w:rPr>
        <w:t xml:space="preserve"> Насосные станции «Индустрия-1» и «Индустрия-2» были построены для расширения зоны водоснабжения и обеспечения водой п. Индустрия. Насосная станция «Индустрия-1» и два РЧВ «Индустрия-1» объемом 2×50 м</w:t>
      </w:r>
      <w:r w:rsidRPr="00731FE2">
        <w:rPr>
          <w:rFonts w:ascii="Times New Roman" w:hAnsi="Times New Roman" w:cs="Times New Roman"/>
          <w:color w:val="000000" w:themeColor="text1"/>
          <w:vertAlign w:val="superscript"/>
        </w:rPr>
        <w:t>3</w:t>
      </w:r>
      <w:r w:rsidRPr="00731FE2">
        <w:rPr>
          <w:rFonts w:ascii="Times New Roman" w:hAnsi="Times New Roman" w:cs="Times New Roman"/>
          <w:color w:val="000000" w:themeColor="text1"/>
        </w:rPr>
        <w:t>,</w:t>
      </w:r>
      <w:r w:rsidR="00A72799" w:rsidRPr="00731FE2">
        <w:rPr>
          <w:rFonts w:ascii="Times New Roman" w:hAnsi="Times New Roman" w:cs="Times New Roman"/>
          <w:color w:val="000000" w:themeColor="text1"/>
        </w:rPr>
        <w:t xml:space="preserve"> </w:t>
      </w:r>
      <w:r w:rsidRPr="00731FE2">
        <w:rPr>
          <w:rFonts w:ascii="Times New Roman" w:hAnsi="Times New Roman" w:cs="Times New Roman"/>
          <w:color w:val="000000" w:themeColor="text1"/>
        </w:rPr>
        <w:t>расположены в конце ул. Гагарина, на окраине город-курорт Кисловодска. Насосная станция «Индустрия-2» и РЧВ «Индустрия-2» объемом 50 м</w:t>
      </w:r>
      <w:r w:rsidRPr="00731FE2">
        <w:rPr>
          <w:rFonts w:ascii="Times New Roman" w:hAnsi="Times New Roman" w:cs="Times New Roman"/>
          <w:color w:val="000000" w:themeColor="text1"/>
          <w:vertAlign w:val="superscript"/>
        </w:rPr>
        <w:t>3</w:t>
      </w:r>
      <w:r w:rsidRPr="00731FE2">
        <w:rPr>
          <w:rFonts w:ascii="Times New Roman" w:hAnsi="Times New Roman" w:cs="Times New Roman"/>
          <w:color w:val="000000" w:themeColor="text1"/>
        </w:rPr>
        <w:t xml:space="preserve"> расположены в верхней незастроенной части п. Индустрия.</w:t>
      </w:r>
    </w:p>
    <w:p w14:paraId="0A820D5F"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Наполнение РЧВ «Индустрия-1» осуществляется от РЧВ «</w:t>
      </w:r>
      <w:proofErr w:type="gramStart"/>
      <w:r w:rsidRPr="00731FE2">
        <w:rPr>
          <w:rFonts w:ascii="Times New Roman" w:hAnsi="Times New Roman" w:cs="Times New Roman"/>
          <w:color w:val="000000" w:themeColor="text1"/>
        </w:rPr>
        <w:t>Главный</w:t>
      </w:r>
      <w:proofErr w:type="gramEnd"/>
      <w:r w:rsidRPr="00731FE2">
        <w:rPr>
          <w:rFonts w:ascii="Times New Roman" w:hAnsi="Times New Roman" w:cs="Times New Roman"/>
          <w:color w:val="000000" w:themeColor="text1"/>
        </w:rPr>
        <w:t xml:space="preserve"> Баязет», по центральному водопроводу по ул. Гагарина. Резервуары предназначены для водоснабжения нижней части пос. Индустрия и части садовых товариществ. </w:t>
      </w:r>
    </w:p>
    <w:p w14:paraId="3A47A252"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xml:space="preserve">Водоснабжение верхней части пос. Индустрия осуществляется от РЧВ «Индустрия-2», </w:t>
      </w:r>
      <w:proofErr w:type="gramStart"/>
      <w:r w:rsidRPr="00731FE2">
        <w:rPr>
          <w:rFonts w:ascii="Times New Roman" w:hAnsi="Times New Roman" w:cs="Times New Roman"/>
          <w:color w:val="000000" w:themeColor="text1"/>
        </w:rPr>
        <w:t>который</w:t>
      </w:r>
      <w:proofErr w:type="gramEnd"/>
      <w:r w:rsidRPr="00731FE2">
        <w:rPr>
          <w:rFonts w:ascii="Times New Roman" w:hAnsi="Times New Roman" w:cs="Times New Roman"/>
          <w:color w:val="000000" w:themeColor="text1"/>
        </w:rPr>
        <w:t xml:space="preserve"> наполняется от насосной станции «Индустрия-1».</w:t>
      </w:r>
    </w:p>
    <w:p w14:paraId="692AEF17"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Городская сеть водоснабжения – единая, с зонированием и наличием аварийных перемычек между технологическими зонами.</w:t>
      </w:r>
    </w:p>
    <w:p w14:paraId="2F233440"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xml:space="preserve">Основная доля водопотребления попадает на зоны, снабжающиеся питьевой водой из Эшкаконского водохранилища. К ним относятся зоны: Северная, Центральная, </w:t>
      </w:r>
      <w:r w:rsidRPr="00731FE2">
        <w:rPr>
          <w:rFonts w:ascii="Times New Roman" w:hAnsi="Times New Roman" w:cs="Times New Roman"/>
          <w:color w:val="000000" w:themeColor="text1"/>
        </w:rPr>
        <w:lastRenderedPageBreak/>
        <w:t>Восточная, Баязетская, Кутузовская, Курортная, Суворовская, Белореченская (п. Белореченский), Северная промзона. От Эшкаконского водохранилища также снабжаются питьевой водой поселки Луначарский и Новокисловодский, а также, частично, поселок Индустрия.</w:t>
      </w:r>
    </w:p>
    <w:p w14:paraId="74984E7E"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Источники «Теплушка», «Находка», «Близнецы» снабжают водой Зеленогорскую зону, куда входят поселки Аликоновка и Зеленогорский, а также частично поселок Индустрия.</w:t>
      </w:r>
    </w:p>
    <w:p w14:paraId="12083069"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«Лермонтовские» источники, помимо небольшой части города-курорта, снабжают водой поселок Нарзанный и санаторий «Сосновый Бор».</w:t>
      </w:r>
    </w:p>
    <w:p w14:paraId="5F35F0B4"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xml:space="preserve">Расчет резервов и дефицитов системы централизованного водоснабжения город-курорт Кисловодск осуществляется исходя из минимальной производительности источников централизованной системы водоснабжения за вычетом объемов воды, поданной в сеть. Объем ежесуточного забора воды из источников водоснабжения выглядит следующим образом: </w:t>
      </w:r>
    </w:p>
    <w:p w14:paraId="33600AF3" w14:textId="77777777" w:rsidR="00171AA8" w:rsidRPr="00731FE2" w:rsidRDefault="007935AB">
      <w:pPr>
        <w:pStyle w:val="a3"/>
        <w:numPr>
          <w:ilvl w:val="0"/>
          <w:numId w:val="20"/>
        </w:numPr>
        <w:pBdr>
          <w:top w:val="none" w:sz="4" w:space="0" w:color="000000"/>
          <w:left w:val="none" w:sz="4" w:space="0" w:color="000000"/>
          <w:bottom w:val="none" w:sz="4" w:space="0" w:color="000000"/>
          <w:right w:val="none" w:sz="4" w:space="0" w:color="000000"/>
        </w:pBdr>
        <w:tabs>
          <w:tab w:val="left" w:pos="992"/>
        </w:tabs>
        <w:ind w:left="0" w:firstLine="709"/>
        <w:rPr>
          <w:rFonts w:ascii="Times New Roman" w:hAnsi="Times New Roman" w:cs="Times New Roman"/>
          <w:color w:val="000000" w:themeColor="text1"/>
        </w:rPr>
      </w:pPr>
      <w:r w:rsidRPr="00731FE2">
        <w:rPr>
          <w:rFonts w:ascii="Times New Roman" w:hAnsi="Times New Roman" w:cs="Times New Roman"/>
          <w:color w:val="000000" w:themeColor="text1"/>
        </w:rPr>
        <w:t>Эшкаконский водопровод – до 85,0 тыс. м</w:t>
      </w:r>
      <w:r w:rsidRPr="00731FE2">
        <w:rPr>
          <w:rFonts w:ascii="Times New Roman" w:hAnsi="Times New Roman" w:cs="Times New Roman"/>
          <w:color w:val="000000" w:themeColor="text1"/>
          <w:vertAlign w:val="superscript"/>
        </w:rPr>
        <w:t>3</w:t>
      </w:r>
      <w:r w:rsidRPr="00731FE2">
        <w:rPr>
          <w:rFonts w:ascii="Times New Roman" w:hAnsi="Times New Roman" w:cs="Times New Roman"/>
          <w:color w:val="000000" w:themeColor="text1"/>
        </w:rPr>
        <w:t>/сут.;</w:t>
      </w:r>
    </w:p>
    <w:p w14:paraId="0690D2CA" w14:textId="77777777" w:rsidR="00171AA8" w:rsidRPr="00731FE2" w:rsidRDefault="007935AB">
      <w:pPr>
        <w:pStyle w:val="a3"/>
        <w:numPr>
          <w:ilvl w:val="0"/>
          <w:numId w:val="20"/>
        </w:numPr>
        <w:pBdr>
          <w:top w:val="none" w:sz="4" w:space="0" w:color="000000"/>
          <w:left w:val="none" w:sz="4" w:space="0" w:color="000000"/>
          <w:bottom w:val="none" w:sz="4" w:space="0" w:color="000000"/>
          <w:right w:val="none" w:sz="4" w:space="0" w:color="000000"/>
        </w:pBdr>
        <w:tabs>
          <w:tab w:val="left" w:pos="992"/>
        </w:tabs>
        <w:ind w:left="0" w:firstLine="709"/>
        <w:rPr>
          <w:rFonts w:ascii="Times New Roman" w:hAnsi="Times New Roman" w:cs="Times New Roman"/>
          <w:color w:val="000000" w:themeColor="text1"/>
        </w:rPr>
      </w:pPr>
      <w:r w:rsidRPr="00731FE2">
        <w:rPr>
          <w:rFonts w:ascii="Times New Roman" w:hAnsi="Times New Roman" w:cs="Times New Roman"/>
          <w:color w:val="000000" w:themeColor="text1"/>
        </w:rPr>
        <w:t>источники Теплушка, Близнецы, Находка – от 6,6 до 22,0 тыс. м</w:t>
      </w:r>
      <w:r w:rsidRPr="00731FE2">
        <w:rPr>
          <w:rFonts w:ascii="Times New Roman" w:hAnsi="Times New Roman" w:cs="Times New Roman"/>
          <w:color w:val="000000" w:themeColor="text1"/>
          <w:vertAlign w:val="superscript"/>
        </w:rPr>
        <w:t>3</w:t>
      </w:r>
      <w:r w:rsidRPr="00731FE2">
        <w:rPr>
          <w:rFonts w:ascii="Times New Roman" w:hAnsi="Times New Roman" w:cs="Times New Roman"/>
          <w:color w:val="000000" w:themeColor="text1"/>
        </w:rPr>
        <w:t>/сут.;</w:t>
      </w:r>
    </w:p>
    <w:p w14:paraId="7CF33FEF" w14:textId="77777777" w:rsidR="00171AA8" w:rsidRPr="00731FE2" w:rsidRDefault="007935AB">
      <w:pPr>
        <w:pStyle w:val="a3"/>
        <w:numPr>
          <w:ilvl w:val="0"/>
          <w:numId w:val="20"/>
        </w:numPr>
        <w:pBdr>
          <w:top w:val="none" w:sz="4" w:space="0" w:color="000000"/>
          <w:left w:val="none" w:sz="4" w:space="0" w:color="000000"/>
          <w:bottom w:val="none" w:sz="4" w:space="0" w:color="000000"/>
          <w:right w:val="none" w:sz="4" w:space="0" w:color="000000"/>
        </w:pBdr>
        <w:tabs>
          <w:tab w:val="left" w:pos="992"/>
        </w:tabs>
        <w:ind w:left="0" w:firstLine="709"/>
        <w:rPr>
          <w:rFonts w:ascii="Times New Roman" w:hAnsi="Times New Roman" w:cs="Times New Roman"/>
          <w:color w:val="000000" w:themeColor="text1"/>
        </w:rPr>
      </w:pPr>
      <w:r w:rsidRPr="00731FE2">
        <w:rPr>
          <w:rFonts w:ascii="Times New Roman" w:hAnsi="Times New Roman" w:cs="Times New Roman"/>
          <w:color w:val="000000" w:themeColor="text1"/>
        </w:rPr>
        <w:t>Лермонтовские источники №1, №2 – от 1,6 до 7,5 тыс. м</w:t>
      </w:r>
      <w:r w:rsidRPr="00731FE2">
        <w:rPr>
          <w:rFonts w:ascii="Times New Roman" w:hAnsi="Times New Roman" w:cs="Times New Roman"/>
          <w:color w:val="000000" w:themeColor="text1"/>
          <w:vertAlign w:val="superscript"/>
        </w:rPr>
        <w:t>3</w:t>
      </w:r>
      <w:r w:rsidRPr="00731FE2">
        <w:rPr>
          <w:rFonts w:ascii="Times New Roman" w:hAnsi="Times New Roman" w:cs="Times New Roman"/>
          <w:color w:val="000000" w:themeColor="text1"/>
        </w:rPr>
        <w:t>/сут.</w:t>
      </w:r>
    </w:p>
    <w:p w14:paraId="1AE8A8A4"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Объем забора водного ресурса по всем источникам в 2016 году составил 17328,686 тыс. м</w:t>
      </w:r>
      <w:r w:rsidRPr="00731FE2">
        <w:rPr>
          <w:rFonts w:ascii="Times New Roman" w:hAnsi="Times New Roman" w:cs="Times New Roman"/>
          <w:color w:val="000000" w:themeColor="text1"/>
          <w:vertAlign w:val="superscript"/>
        </w:rPr>
        <w:t>3</w:t>
      </w:r>
      <w:r w:rsidRPr="00731FE2">
        <w:rPr>
          <w:rFonts w:ascii="Times New Roman" w:hAnsi="Times New Roman" w:cs="Times New Roman"/>
          <w:color w:val="000000" w:themeColor="text1"/>
        </w:rPr>
        <w:t xml:space="preserve"> (47,5 тыс. м</w:t>
      </w:r>
      <w:r w:rsidRPr="00731FE2">
        <w:rPr>
          <w:rFonts w:ascii="Times New Roman" w:hAnsi="Times New Roman" w:cs="Times New Roman"/>
          <w:color w:val="000000" w:themeColor="text1"/>
          <w:vertAlign w:val="superscript"/>
        </w:rPr>
        <w:t>3</w:t>
      </w:r>
      <w:r w:rsidRPr="00731FE2">
        <w:rPr>
          <w:rFonts w:ascii="Times New Roman" w:hAnsi="Times New Roman" w:cs="Times New Roman"/>
          <w:color w:val="000000" w:themeColor="text1"/>
        </w:rPr>
        <w:t>/сут.).</w:t>
      </w:r>
    </w:p>
    <w:p w14:paraId="6A9A55F2"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В таблице ниже приведены расчетные показатели наличия резервов и дефицитов источников водоснабжения, эксплуатируемых на территории городского округа. Необходимая суммарная производительность определена с учетом коэффициента суточной неравномерности – 1,3.</w:t>
      </w:r>
    </w:p>
    <w:p w14:paraId="3DE011DC" w14:textId="77777777" w:rsidR="00171AA8" w:rsidRPr="00731FE2" w:rsidRDefault="00171AA8">
      <w:pPr>
        <w:pStyle w:val="af3"/>
        <w:pBdr>
          <w:top w:val="none" w:sz="4" w:space="0" w:color="000000"/>
          <w:left w:val="none" w:sz="4" w:space="0" w:color="000000"/>
          <w:bottom w:val="none" w:sz="4" w:space="0" w:color="000000"/>
          <w:right w:val="none" w:sz="4" w:space="0" w:color="000000"/>
        </w:pBdr>
        <w:rPr>
          <w:sz w:val="24"/>
          <w:szCs w:val="24"/>
        </w:rPr>
      </w:pPr>
    </w:p>
    <w:p w14:paraId="581A02CE" w14:textId="77777777" w:rsidR="00171AA8" w:rsidRPr="00731FE2" w:rsidRDefault="007935AB">
      <w:pPr>
        <w:pStyle w:val="af3"/>
        <w:pBdr>
          <w:top w:val="none" w:sz="4" w:space="0" w:color="000000"/>
          <w:left w:val="none" w:sz="4" w:space="0" w:color="000000"/>
          <w:bottom w:val="none" w:sz="4" w:space="0" w:color="000000"/>
          <w:right w:val="none" w:sz="4" w:space="0" w:color="000000"/>
        </w:pBdr>
        <w:rPr>
          <w:sz w:val="24"/>
          <w:szCs w:val="24"/>
        </w:rPr>
      </w:pPr>
      <w:r w:rsidRPr="00731FE2">
        <w:rPr>
          <w:sz w:val="24"/>
          <w:szCs w:val="24"/>
        </w:rPr>
        <w:t xml:space="preserve">Таблица </w:t>
      </w:r>
      <w:r w:rsidRPr="00731FE2">
        <w:rPr>
          <w:sz w:val="24"/>
          <w:szCs w:val="24"/>
        </w:rPr>
        <w:fldChar w:fldCharType="begin"/>
      </w:r>
      <w:r w:rsidRPr="00731FE2">
        <w:rPr>
          <w:sz w:val="24"/>
          <w:szCs w:val="24"/>
        </w:rPr>
        <w:instrText xml:space="preserve"> SEQ Таблица \* Arabic </w:instrText>
      </w:r>
      <w:r w:rsidRPr="00731FE2">
        <w:rPr>
          <w:sz w:val="24"/>
          <w:szCs w:val="24"/>
        </w:rPr>
        <w:fldChar w:fldCharType="separate"/>
      </w:r>
      <w:r w:rsidR="00C50915" w:rsidRPr="00731FE2">
        <w:rPr>
          <w:noProof/>
          <w:sz w:val="24"/>
          <w:szCs w:val="24"/>
        </w:rPr>
        <w:t>35</w:t>
      </w:r>
      <w:r w:rsidRPr="00731FE2">
        <w:rPr>
          <w:sz w:val="24"/>
          <w:szCs w:val="24"/>
        </w:rPr>
        <w:fldChar w:fldCharType="end"/>
      </w:r>
      <w:r w:rsidRPr="00731FE2">
        <w:rPr>
          <w:sz w:val="24"/>
          <w:szCs w:val="24"/>
        </w:rPr>
        <w:t xml:space="preserve"> – Анализ резерва/дефицита производительности водозаборных сооружений в городском округе городе-курорте Кисловодске на 01.01.2019 г.</w:t>
      </w:r>
    </w:p>
    <w:tbl>
      <w:tblPr>
        <w:tblStyle w:val="afe"/>
        <w:tblW w:w="0" w:type="auto"/>
        <w:tblLook w:val="04A0" w:firstRow="1" w:lastRow="0" w:firstColumn="1" w:lastColumn="0" w:noHBand="0" w:noVBand="1"/>
      </w:tblPr>
      <w:tblGrid>
        <w:gridCol w:w="1871"/>
        <w:gridCol w:w="1871"/>
        <w:gridCol w:w="1871"/>
        <w:gridCol w:w="1871"/>
        <w:gridCol w:w="1871"/>
      </w:tblGrid>
      <w:tr w:rsidR="00171AA8" w:rsidRPr="00731FE2" w14:paraId="1E5731E9" w14:textId="77777777">
        <w:tc>
          <w:tcPr>
            <w:tcW w:w="1871" w:type="dxa"/>
            <w:vAlign w:val="center"/>
          </w:tcPr>
          <w:p w14:paraId="78EA898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b/>
                <w:bCs/>
                <w:color w:val="000000" w:themeColor="text1"/>
                <w:sz w:val="20"/>
                <w:szCs w:val="18"/>
              </w:rPr>
            </w:pPr>
            <w:r w:rsidRPr="00731FE2">
              <w:rPr>
                <w:rFonts w:ascii="Times New Roman" w:hAnsi="Times New Roman" w:cs="Times New Roman"/>
                <w:b/>
                <w:bCs/>
                <w:color w:val="000000" w:themeColor="text1"/>
                <w:sz w:val="20"/>
                <w:szCs w:val="18"/>
              </w:rPr>
              <w:t>Показатель</w:t>
            </w:r>
          </w:p>
        </w:tc>
        <w:tc>
          <w:tcPr>
            <w:tcW w:w="1871" w:type="dxa"/>
            <w:vAlign w:val="center"/>
          </w:tcPr>
          <w:p w14:paraId="58AAE11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b/>
                <w:bCs/>
                <w:color w:val="000000" w:themeColor="text1"/>
                <w:sz w:val="20"/>
                <w:szCs w:val="18"/>
              </w:rPr>
            </w:pPr>
            <w:r w:rsidRPr="00731FE2">
              <w:rPr>
                <w:rFonts w:ascii="Times New Roman" w:hAnsi="Times New Roman" w:cs="Times New Roman"/>
                <w:b/>
                <w:bCs/>
                <w:color w:val="000000" w:themeColor="text1"/>
                <w:sz w:val="20"/>
                <w:szCs w:val="18"/>
              </w:rPr>
              <w:t>Эшкаконский водопровод</w:t>
            </w:r>
          </w:p>
        </w:tc>
        <w:tc>
          <w:tcPr>
            <w:tcW w:w="1871" w:type="dxa"/>
            <w:vAlign w:val="center"/>
          </w:tcPr>
          <w:p w14:paraId="2E89786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b/>
                <w:bCs/>
                <w:color w:val="000000" w:themeColor="text1"/>
                <w:sz w:val="20"/>
                <w:szCs w:val="18"/>
              </w:rPr>
            </w:pPr>
            <w:r w:rsidRPr="00731FE2">
              <w:rPr>
                <w:rFonts w:ascii="Times New Roman" w:hAnsi="Times New Roman" w:cs="Times New Roman"/>
                <w:b/>
                <w:bCs/>
                <w:color w:val="000000" w:themeColor="text1"/>
                <w:sz w:val="20"/>
                <w:szCs w:val="18"/>
              </w:rPr>
              <w:t>Источники: Теплушка, Близнецы, Находка</w:t>
            </w:r>
          </w:p>
        </w:tc>
        <w:tc>
          <w:tcPr>
            <w:tcW w:w="1871" w:type="dxa"/>
            <w:vAlign w:val="center"/>
          </w:tcPr>
          <w:p w14:paraId="6ADE0EB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b/>
                <w:bCs/>
                <w:color w:val="000000" w:themeColor="text1"/>
                <w:sz w:val="20"/>
                <w:szCs w:val="18"/>
              </w:rPr>
            </w:pPr>
            <w:r w:rsidRPr="00731FE2">
              <w:rPr>
                <w:rFonts w:ascii="Times New Roman" w:hAnsi="Times New Roman" w:cs="Times New Roman"/>
                <w:b/>
                <w:bCs/>
                <w:color w:val="000000" w:themeColor="text1"/>
                <w:sz w:val="20"/>
                <w:szCs w:val="18"/>
              </w:rPr>
              <w:t>Лермонтовские источники №1, №2</w:t>
            </w:r>
          </w:p>
        </w:tc>
        <w:tc>
          <w:tcPr>
            <w:tcW w:w="1871" w:type="dxa"/>
            <w:vAlign w:val="center"/>
          </w:tcPr>
          <w:p w14:paraId="63E68A5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b/>
                <w:bCs/>
                <w:color w:val="000000" w:themeColor="text1"/>
                <w:sz w:val="20"/>
                <w:szCs w:val="18"/>
              </w:rPr>
            </w:pPr>
            <w:r w:rsidRPr="00731FE2">
              <w:rPr>
                <w:rFonts w:ascii="Times New Roman" w:hAnsi="Times New Roman" w:cs="Times New Roman"/>
                <w:b/>
                <w:bCs/>
                <w:color w:val="000000" w:themeColor="text1"/>
                <w:sz w:val="20"/>
                <w:szCs w:val="18"/>
              </w:rPr>
              <w:t>Всего</w:t>
            </w:r>
          </w:p>
        </w:tc>
      </w:tr>
      <w:tr w:rsidR="00171AA8" w:rsidRPr="00731FE2" w14:paraId="25EA1BC1" w14:textId="77777777">
        <w:tc>
          <w:tcPr>
            <w:tcW w:w="1871" w:type="dxa"/>
            <w:vAlign w:val="center"/>
          </w:tcPr>
          <w:p w14:paraId="1222717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hAnsi="Times New Roman" w:cs="Times New Roman"/>
                <w:color w:val="000000" w:themeColor="text1"/>
                <w:sz w:val="20"/>
                <w:szCs w:val="18"/>
              </w:rPr>
            </w:pPr>
            <w:r w:rsidRPr="00731FE2">
              <w:rPr>
                <w:rFonts w:ascii="Times New Roman" w:hAnsi="Times New Roman" w:cs="Times New Roman"/>
                <w:color w:val="000000" w:themeColor="text1"/>
                <w:sz w:val="20"/>
                <w:szCs w:val="18"/>
              </w:rPr>
              <w:t>Лимит суточного забора воды, тыс. м3/сут.</w:t>
            </w:r>
          </w:p>
        </w:tc>
        <w:tc>
          <w:tcPr>
            <w:tcW w:w="1871" w:type="dxa"/>
            <w:vAlign w:val="center"/>
          </w:tcPr>
          <w:p w14:paraId="4E68AAF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0"/>
                <w:szCs w:val="18"/>
              </w:rPr>
            </w:pPr>
            <w:r w:rsidRPr="00731FE2">
              <w:rPr>
                <w:rFonts w:ascii="Times New Roman" w:hAnsi="Times New Roman" w:cs="Times New Roman"/>
                <w:color w:val="000000" w:themeColor="text1"/>
                <w:sz w:val="20"/>
                <w:szCs w:val="18"/>
              </w:rPr>
              <w:t>85,0</w:t>
            </w:r>
          </w:p>
        </w:tc>
        <w:tc>
          <w:tcPr>
            <w:tcW w:w="1871" w:type="dxa"/>
            <w:vAlign w:val="center"/>
          </w:tcPr>
          <w:p w14:paraId="2072B3E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0"/>
                <w:szCs w:val="18"/>
              </w:rPr>
            </w:pPr>
            <w:r w:rsidRPr="00731FE2">
              <w:rPr>
                <w:rFonts w:ascii="Times New Roman" w:hAnsi="Times New Roman" w:cs="Times New Roman"/>
                <w:color w:val="000000" w:themeColor="text1"/>
                <w:sz w:val="20"/>
                <w:szCs w:val="18"/>
              </w:rPr>
              <w:t>6,6</w:t>
            </w:r>
          </w:p>
        </w:tc>
        <w:tc>
          <w:tcPr>
            <w:tcW w:w="1871" w:type="dxa"/>
            <w:vAlign w:val="center"/>
          </w:tcPr>
          <w:p w14:paraId="6B6D2C7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0"/>
                <w:szCs w:val="18"/>
              </w:rPr>
            </w:pPr>
            <w:r w:rsidRPr="00731FE2">
              <w:rPr>
                <w:rFonts w:ascii="Times New Roman" w:hAnsi="Times New Roman" w:cs="Times New Roman"/>
                <w:color w:val="000000" w:themeColor="text1"/>
                <w:sz w:val="20"/>
                <w:szCs w:val="18"/>
              </w:rPr>
              <w:t>5,3</w:t>
            </w:r>
          </w:p>
        </w:tc>
        <w:tc>
          <w:tcPr>
            <w:tcW w:w="1871" w:type="dxa"/>
            <w:vAlign w:val="center"/>
          </w:tcPr>
          <w:p w14:paraId="564EBE5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0"/>
                <w:szCs w:val="18"/>
              </w:rPr>
            </w:pPr>
            <w:r w:rsidRPr="00731FE2">
              <w:rPr>
                <w:rFonts w:ascii="Times New Roman" w:hAnsi="Times New Roman" w:cs="Times New Roman"/>
                <w:color w:val="000000" w:themeColor="text1"/>
                <w:sz w:val="20"/>
                <w:szCs w:val="18"/>
              </w:rPr>
              <w:t>96,9</w:t>
            </w:r>
          </w:p>
        </w:tc>
      </w:tr>
      <w:tr w:rsidR="00171AA8" w:rsidRPr="00731FE2" w14:paraId="30D7CBAC" w14:textId="77777777">
        <w:tc>
          <w:tcPr>
            <w:tcW w:w="1871" w:type="dxa"/>
            <w:vAlign w:val="center"/>
          </w:tcPr>
          <w:p w14:paraId="21377B6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hAnsi="Times New Roman" w:cs="Times New Roman"/>
                <w:color w:val="000000" w:themeColor="text1"/>
                <w:sz w:val="20"/>
                <w:szCs w:val="18"/>
              </w:rPr>
            </w:pPr>
            <w:r w:rsidRPr="00731FE2">
              <w:rPr>
                <w:rFonts w:ascii="Times New Roman" w:hAnsi="Times New Roman" w:cs="Times New Roman"/>
                <w:color w:val="000000" w:themeColor="text1"/>
                <w:sz w:val="20"/>
                <w:szCs w:val="18"/>
              </w:rPr>
              <w:t>Подъем воды за 2016 год, тыс. м</w:t>
            </w:r>
            <w:r w:rsidRPr="00731FE2">
              <w:rPr>
                <w:rFonts w:ascii="Times New Roman" w:hAnsi="Times New Roman" w:cs="Times New Roman"/>
                <w:color w:val="000000" w:themeColor="text1"/>
                <w:sz w:val="20"/>
                <w:szCs w:val="18"/>
                <w:vertAlign w:val="superscript"/>
              </w:rPr>
              <w:t>3</w:t>
            </w:r>
          </w:p>
        </w:tc>
        <w:tc>
          <w:tcPr>
            <w:tcW w:w="1871" w:type="dxa"/>
            <w:vAlign w:val="center"/>
          </w:tcPr>
          <w:p w14:paraId="6885F26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0"/>
                <w:szCs w:val="18"/>
              </w:rPr>
            </w:pPr>
            <w:r w:rsidRPr="00731FE2">
              <w:rPr>
                <w:rFonts w:ascii="Times New Roman" w:hAnsi="Times New Roman" w:cs="Times New Roman"/>
                <w:color w:val="000000" w:themeColor="text1"/>
                <w:sz w:val="20"/>
                <w:szCs w:val="18"/>
              </w:rPr>
              <w:t>15121,0</w:t>
            </w:r>
          </w:p>
        </w:tc>
        <w:tc>
          <w:tcPr>
            <w:tcW w:w="1871" w:type="dxa"/>
            <w:vAlign w:val="center"/>
          </w:tcPr>
          <w:p w14:paraId="75B197B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0"/>
                <w:szCs w:val="18"/>
              </w:rPr>
            </w:pPr>
            <w:r w:rsidRPr="00731FE2">
              <w:rPr>
                <w:rFonts w:ascii="Times New Roman" w:hAnsi="Times New Roman" w:cs="Times New Roman"/>
                <w:color w:val="000000" w:themeColor="text1"/>
                <w:sz w:val="20"/>
                <w:szCs w:val="18"/>
              </w:rPr>
              <w:t>1343,0</w:t>
            </w:r>
          </w:p>
        </w:tc>
        <w:tc>
          <w:tcPr>
            <w:tcW w:w="1871" w:type="dxa"/>
            <w:vAlign w:val="center"/>
          </w:tcPr>
          <w:p w14:paraId="3916EF3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0"/>
                <w:szCs w:val="18"/>
              </w:rPr>
            </w:pPr>
            <w:r w:rsidRPr="00731FE2">
              <w:rPr>
                <w:rFonts w:ascii="Times New Roman" w:hAnsi="Times New Roman" w:cs="Times New Roman"/>
                <w:color w:val="000000" w:themeColor="text1"/>
                <w:sz w:val="20"/>
                <w:szCs w:val="18"/>
              </w:rPr>
              <w:t>773,0</w:t>
            </w:r>
          </w:p>
        </w:tc>
        <w:tc>
          <w:tcPr>
            <w:tcW w:w="1871" w:type="dxa"/>
            <w:vAlign w:val="center"/>
          </w:tcPr>
          <w:p w14:paraId="3FE4352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0"/>
                <w:szCs w:val="18"/>
              </w:rPr>
            </w:pPr>
            <w:r w:rsidRPr="00731FE2">
              <w:rPr>
                <w:rFonts w:ascii="Times New Roman" w:hAnsi="Times New Roman" w:cs="Times New Roman"/>
                <w:color w:val="000000" w:themeColor="text1"/>
                <w:sz w:val="20"/>
                <w:szCs w:val="18"/>
              </w:rPr>
              <w:t>17237,0</w:t>
            </w:r>
          </w:p>
        </w:tc>
      </w:tr>
      <w:tr w:rsidR="00171AA8" w:rsidRPr="00731FE2" w14:paraId="54D7525A" w14:textId="77777777">
        <w:tc>
          <w:tcPr>
            <w:tcW w:w="1871" w:type="dxa"/>
            <w:vAlign w:val="center"/>
          </w:tcPr>
          <w:p w14:paraId="61AD494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hAnsi="Times New Roman" w:cs="Times New Roman"/>
                <w:color w:val="000000" w:themeColor="text1"/>
                <w:sz w:val="20"/>
                <w:szCs w:val="18"/>
              </w:rPr>
            </w:pPr>
            <w:r w:rsidRPr="00731FE2">
              <w:rPr>
                <w:rFonts w:ascii="Times New Roman" w:hAnsi="Times New Roman" w:cs="Times New Roman"/>
                <w:color w:val="000000" w:themeColor="text1"/>
                <w:sz w:val="20"/>
                <w:szCs w:val="18"/>
              </w:rPr>
              <w:t>Среднесуточный подъем воды, тыс. м</w:t>
            </w:r>
            <w:r w:rsidRPr="00731FE2">
              <w:rPr>
                <w:rFonts w:ascii="Times New Roman" w:hAnsi="Times New Roman" w:cs="Times New Roman"/>
                <w:color w:val="000000" w:themeColor="text1"/>
                <w:sz w:val="20"/>
                <w:szCs w:val="18"/>
                <w:vertAlign w:val="superscript"/>
              </w:rPr>
              <w:t>3</w:t>
            </w:r>
            <w:r w:rsidRPr="00731FE2">
              <w:rPr>
                <w:rFonts w:ascii="Times New Roman" w:hAnsi="Times New Roman" w:cs="Times New Roman"/>
                <w:color w:val="000000" w:themeColor="text1"/>
                <w:sz w:val="20"/>
                <w:szCs w:val="18"/>
              </w:rPr>
              <w:t>/сут.</w:t>
            </w:r>
          </w:p>
        </w:tc>
        <w:tc>
          <w:tcPr>
            <w:tcW w:w="1871" w:type="dxa"/>
            <w:vAlign w:val="center"/>
          </w:tcPr>
          <w:p w14:paraId="4FE1AAD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0"/>
                <w:szCs w:val="18"/>
              </w:rPr>
            </w:pPr>
            <w:r w:rsidRPr="00731FE2">
              <w:rPr>
                <w:rFonts w:ascii="Times New Roman" w:hAnsi="Times New Roman" w:cs="Times New Roman"/>
                <w:color w:val="000000" w:themeColor="text1"/>
                <w:sz w:val="20"/>
                <w:szCs w:val="18"/>
              </w:rPr>
              <w:t>41,4</w:t>
            </w:r>
          </w:p>
        </w:tc>
        <w:tc>
          <w:tcPr>
            <w:tcW w:w="1871" w:type="dxa"/>
            <w:vAlign w:val="center"/>
          </w:tcPr>
          <w:p w14:paraId="1F64103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0"/>
                <w:szCs w:val="18"/>
              </w:rPr>
            </w:pPr>
            <w:r w:rsidRPr="00731FE2">
              <w:rPr>
                <w:rFonts w:ascii="Times New Roman" w:hAnsi="Times New Roman" w:cs="Times New Roman"/>
                <w:color w:val="000000" w:themeColor="text1"/>
                <w:sz w:val="20"/>
                <w:szCs w:val="18"/>
              </w:rPr>
              <w:t>3,7</w:t>
            </w:r>
          </w:p>
        </w:tc>
        <w:tc>
          <w:tcPr>
            <w:tcW w:w="1871" w:type="dxa"/>
            <w:vAlign w:val="center"/>
          </w:tcPr>
          <w:p w14:paraId="5CCDD49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0"/>
                <w:szCs w:val="18"/>
              </w:rPr>
            </w:pPr>
            <w:r w:rsidRPr="00731FE2">
              <w:rPr>
                <w:rFonts w:ascii="Times New Roman" w:hAnsi="Times New Roman" w:cs="Times New Roman"/>
                <w:color w:val="000000" w:themeColor="text1"/>
                <w:sz w:val="20"/>
                <w:szCs w:val="18"/>
              </w:rPr>
              <w:t>2,1</w:t>
            </w:r>
          </w:p>
        </w:tc>
        <w:tc>
          <w:tcPr>
            <w:tcW w:w="1871" w:type="dxa"/>
            <w:vAlign w:val="center"/>
          </w:tcPr>
          <w:p w14:paraId="5F622FF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0"/>
                <w:szCs w:val="18"/>
              </w:rPr>
            </w:pPr>
            <w:r w:rsidRPr="00731FE2">
              <w:rPr>
                <w:rFonts w:ascii="Times New Roman" w:hAnsi="Times New Roman" w:cs="Times New Roman"/>
                <w:color w:val="000000" w:themeColor="text1"/>
                <w:sz w:val="20"/>
                <w:szCs w:val="18"/>
              </w:rPr>
              <w:t>47,2</w:t>
            </w:r>
          </w:p>
        </w:tc>
      </w:tr>
      <w:tr w:rsidR="00171AA8" w:rsidRPr="00731FE2" w14:paraId="58E8B012" w14:textId="77777777">
        <w:tc>
          <w:tcPr>
            <w:tcW w:w="1871" w:type="dxa"/>
            <w:vAlign w:val="center"/>
          </w:tcPr>
          <w:p w14:paraId="637F19F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hAnsi="Times New Roman" w:cs="Times New Roman"/>
                <w:color w:val="000000" w:themeColor="text1"/>
                <w:sz w:val="20"/>
                <w:szCs w:val="18"/>
              </w:rPr>
            </w:pPr>
            <w:r w:rsidRPr="00731FE2">
              <w:rPr>
                <w:rFonts w:ascii="Times New Roman" w:hAnsi="Times New Roman" w:cs="Times New Roman"/>
                <w:color w:val="000000" w:themeColor="text1"/>
                <w:sz w:val="20"/>
                <w:szCs w:val="18"/>
              </w:rPr>
              <w:t>Необходимый объем подачи воды в сутки максимального водопотребления, тыс. м</w:t>
            </w:r>
            <w:r w:rsidRPr="00731FE2">
              <w:rPr>
                <w:rFonts w:ascii="Times New Roman" w:hAnsi="Times New Roman" w:cs="Times New Roman"/>
                <w:color w:val="000000" w:themeColor="text1"/>
                <w:sz w:val="20"/>
                <w:szCs w:val="18"/>
                <w:vertAlign w:val="superscript"/>
              </w:rPr>
              <w:t>3</w:t>
            </w:r>
            <w:r w:rsidRPr="00731FE2">
              <w:rPr>
                <w:rFonts w:ascii="Times New Roman" w:hAnsi="Times New Roman" w:cs="Times New Roman"/>
                <w:color w:val="000000" w:themeColor="text1"/>
                <w:sz w:val="20"/>
                <w:szCs w:val="18"/>
              </w:rPr>
              <w:t>/сут (к=1,3)</w:t>
            </w:r>
          </w:p>
        </w:tc>
        <w:tc>
          <w:tcPr>
            <w:tcW w:w="1871" w:type="dxa"/>
            <w:vAlign w:val="center"/>
          </w:tcPr>
          <w:p w14:paraId="1E1304D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0"/>
                <w:szCs w:val="18"/>
              </w:rPr>
            </w:pPr>
            <w:r w:rsidRPr="00731FE2">
              <w:rPr>
                <w:rFonts w:ascii="Times New Roman" w:hAnsi="Times New Roman" w:cs="Times New Roman"/>
                <w:color w:val="000000" w:themeColor="text1"/>
                <w:sz w:val="20"/>
                <w:szCs w:val="18"/>
              </w:rPr>
              <w:t>53,8</w:t>
            </w:r>
          </w:p>
        </w:tc>
        <w:tc>
          <w:tcPr>
            <w:tcW w:w="1871" w:type="dxa"/>
            <w:vAlign w:val="center"/>
          </w:tcPr>
          <w:p w14:paraId="5AACD71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0"/>
                <w:szCs w:val="18"/>
              </w:rPr>
            </w:pPr>
            <w:r w:rsidRPr="00731FE2">
              <w:rPr>
                <w:rFonts w:ascii="Times New Roman" w:hAnsi="Times New Roman" w:cs="Times New Roman"/>
                <w:color w:val="000000" w:themeColor="text1"/>
                <w:sz w:val="20"/>
                <w:szCs w:val="18"/>
              </w:rPr>
              <w:t>4,8</w:t>
            </w:r>
          </w:p>
        </w:tc>
        <w:tc>
          <w:tcPr>
            <w:tcW w:w="1871" w:type="dxa"/>
            <w:vAlign w:val="center"/>
          </w:tcPr>
          <w:p w14:paraId="33C3546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0"/>
                <w:szCs w:val="18"/>
              </w:rPr>
            </w:pPr>
            <w:r w:rsidRPr="00731FE2">
              <w:rPr>
                <w:rFonts w:ascii="Times New Roman" w:hAnsi="Times New Roman" w:cs="Times New Roman"/>
                <w:color w:val="000000" w:themeColor="text1"/>
                <w:sz w:val="20"/>
                <w:szCs w:val="18"/>
              </w:rPr>
              <w:t>2,7</w:t>
            </w:r>
          </w:p>
        </w:tc>
        <w:tc>
          <w:tcPr>
            <w:tcW w:w="1871" w:type="dxa"/>
            <w:vAlign w:val="center"/>
          </w:tcPr>
          <w:p w14:paraId="678AF51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0"/>
                <w:szCs w:val="18"/>
              </w:rPr>
            </w:pPr>
            <w:r w:rsidRPr="00731FE2">
              <w:rPr>
                <w:rFonts w:ascii="Times New Roman" w:hAnsi="Times New Roman" w:cs="Times New Roman"/>
                <w:color w:val="000000" w:themeColor="text1"/>
                <w:sz w:val="20"/>
                <w:szCs w:val="18"/>
              </w:rPr>
              <w:t>61,3</w:t>
            </w:r>
          </w:p>
        </w:tc>
      </w:tr>
      <w:tr w:rsidR="00171AA8" w:rsidRPr="00731FE2" w14:paraId="2684AE6A" w14:textId="77777777">
        <w:tc>
          <w:tcPr>
            <w:tcW w:w="9355" w:type="dxa"/>
            <w:gridSpan w:val="5"/>
            <w:vAlign w:val="center"/>
          </w:tcPr>
          <w:p w14:paraId="71B77808"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pPr>
            <w:r w:rsidRPr="00731FE2">
              <w:t>Резерв/дефицит производительности водозаборных сооружений</w:t>
            </w:r>
          </w:p>
        </w:tc>
      </w:tr>
      <w:tr w:rsidR="00171AA8" w:rsidRPr="00731FE2" w14:paraId="055222D4" w14:textId="77777777">
        <w:tc>
          <w:tcPr>
            <w:tcW w:w="1871" w:type="dxa"/>
          </w:tcPr>
          <w:p w14:paraId="4B23D46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hAnsi="Times New Roman" w:cs="Times New Roman"/>
                <w:color w:val="000000" w:themeColor="text1"/>
                <w:sz w:val="20"/>
                <w:szCs w:val="20"/>
              </w:rPr>
            </w:pPr>
            <w:r w:rsidRPr="00731FE2">
              <w:rPr>
                <w:rFonts w:ascii="Times New Roman" w:hAnsi="Times New Roman" w:cs="Times New Roman"/>
                <w:color w:val="000000" w:themeColor="text1"/>
                <w:sz w:val="20"/>
                <w:szCs w:val="20"/>
              </w:rPr>
              <w:t>тыс. м</w:t>
            </w:r>
            <w:r w:rsidRPr="00731FE2">
              <w:rPr>
                <w:rFonts w:ascii="Times New Roman" w:hAnsi="Times New Roman" w:cs="Times New Roman"/>
                <w:color w:val="000000" w:themeColor="text1"/>
                <w:sz w:val="20"/>
                <w:szCs w:val="20"/>
                <w:vertAlign w:val="superscript"/>
              </w:rPr>
              <w:t>3</w:t>
            </w:r>
            <w:r w:rsidRPr="00731FE2">
              <w:rPr>
                <w:rFonts w:ascii="Times New Roman" w:hAnsi="Times New Roman" w:cs="Times New Roman"/>
                <w:color w:val="000000" w:themeColor="text1"/>
                <w:sz w:val="20"/>
                <w:szCs w:val="20"/>
              </w:rPr>
              <w:t>/сут</w:t>
            </w:r>
          </w:p>
        </w:tc>
        <w:tc>
          <w:tcPr>
            <w:tcW w:w="1871" w:type="dxa"/>
          </w:tcPr>
          <w:p w14:paraId="389745B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0"/>
                <w:szCs w:val="20"/>
              </w:rPr>
            </w:pPr>
            <w:r w:rsidRPr="00731FE2">
              <w:rPr>
                <w:rFonts w:ascii="Times New Roman" w:hAnsi="Times New Roman" w:cs="Times New Roman"/>
                <w:color w:val="000000" w:themeColor="text1"/>
                <w:sz w:val="20"/>
                <w:szCs w:val="20"/>
              </w:rPr>
              <w:t>31,2</w:t>
            </w:r>
          </w:p>
        </w:tc>
        <w:tc>
          <w:tcPr>
            <w:tcW w:w="1871" w:type="dxa"/>
          </w:tcPr>
          <w:p w14:paraId="1E5B157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0"/>
                <w:szCs w:val="20"/>
              </w:rPr>
            </w:pPr>
            <w:r w:rsidRPr="00731FE2">
              <w:rPr>
                <w:rFonts w:ascii="Times New Roman" w:hAnsi="Times New Roman" w:cs="Times New Roman"/>
                <w:color w:val="000000" w:themeColor="text1"/>
                <w:sz w:val="20"/>
                <w:szCs w:val="20"/>
              </w:rPr>
              <w:t>1,8</w:t>
            </w:r>
          </w:p>
        </w:tc>
        <w:tc>
          <w:tcPr>
            <w:tcW w:w="1871" w:type="dxa"/>
          </w:tcPr>
          <w:p w14:paraId="27542E3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0"/>
                <w:szCs w:val="20"/>
              </w:rPr>
            </w:pPr>
            <w:r w:rsidRPr="00731FE2">
              <w:rPr>
                <w:rFonts w:ascii="Times New Roman" w:hAnsi="Times New Roman" w:cs="Times New Roman"/>
                <w:color w:val="000000" w:themeColor="text1"/>
                <w:sz w:val="20"/>
                <w:szCs w:val="20"/>
              </w:rPr>
              <w:t>2,6</w:t>
            </w:r>
          </w:p>
        </w:tc>
        <w:tc>
          <w:tcPr>
            <w:tcW w:w="1871" w:type="dxa"/>
          </w:tcPr>
          <w:p w14:paraId="637E74C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0"/>
                <w:szCs w:val="20"/>
              </w:rPr>
            </w:pPr>
            <w:r w:rsidRPr="00731FE2">
              <w:rPr>
                <w:rFonts w:ascii="Times New Roman" w:hAnsi="Times New Roman" w:cs="Times New Roman"/>
                <w:color w:val="000000" w:themeColor="text1"/>
                <w:sz w:val="20"/>
                <w:szCs w:val="20"/>
              </w:rPr>
              <w:t>35,6</w:t>
            </w:r>
          </w:p>
        </w:tc>
      </w:tr>
      <w:tr w:rsidR="00171AA8" w:rsidRPr="00731FE2" w14:paraId="2538960D" w14:textId="77777777">
        <w:trPr>
          <w:trHeight w:val="230"/>
        </w:trPr>
        <w:tc>
          <w:tcPr>
            <w:tcW w:w="1871" w:type="dxa"/>
            <w:vMerge w:val="restart"/>
          </w:tcPr>
          <w:p w14:paraId="3B0EC52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hAnsi="Times New Roman" w:cs="Times New Roman"/>
                <w:color w:val="000000" w:themeColor="text1"/>
                <w:sz w:val="20"/>
                <w:szCs w:val="20"/>
              </w:rPr>
            </w:pPr>
            <w:r w:rsidRPr="00731FE2">
              <w:rPr>
                <w:rFonts w:ascii="Times New Roman" w:hAnsi="Times New Roman" w:cs="Times New Roman"/>
                <w:color w:val="000000" w:themeColor="text1"/>
                <w:sz w:val="20"/>
                <w:szCs w:val="20"/>
              </w:rPr>
              <w:t>%</w:t>
            </w:r>
          </w:p>
        </w:tc>
        <w:tc>
          <w:tcPr>
            <w:tcW w:w="1871" w:type="dxa"/>
            <w:vMerge w:val="restart"/>
          </w:tcPr>
          <w:p w14:paraId="40AE547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0"/>
                <w:szCs w:val="20"/>
              </w:rPr>
            </w:pPr>
            <w:r w:rsidRPr="00731FE2">
              <w:rPr>
                <w:rFonts w:ascii="Times New Roman" w:hAnsi="Times New Roman" w:cs="Times New Roman"/>
                <w:color w:val="000000" w:themeColor="text1"/>
                <w:sz w:val="20"/>
                <w:szCs w:val="20"/>
              </w:rPr>
              <w:t>36,7</w:t>
            </w:r>
          </w:p>
        </w:tc>
        <w:tc>
          <w:tcPr>
            <w:tcW w:w="1871" w:type="dxa"/>
            <w:vMerge w:val="restart"/>
          </w:tcPr>
          <w:p w14:paraId="7AEB374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0"/>
                <w:szCs w:val="20"/>
              </w:rPr>
            </w:pPr>
            <w:r w:rsidRPr="00731FE2">
              <w:rPr>
                <w:rFonts w:ascii="Times New Roman" w:hAnsi="Times New Roman" w:cs="Times New Roman"/>
                <w:color w:val="000000" w:themeColor="text1"/>
                <w:sz w:val="20"/>
                <w:szCs w:val="20"/>
              </w:rPr>
              <w:t>27,3</w:t>
            </w:r>
          </w:p>
        </w:tc>
        <w:tc>
          <w:tcPr>
            <w:tcW w:w="1871" w:type="dxa"/>
            <w:vMerge w:val="restart"/>
          </w:tcPr>
          <w:p w14:paraId="2CB403F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0"/>
                <w:szCs w:val="20"/>
              </w:rPr>
            </w:pPr>
            <w:r w:rsidRPr="00731FE2">
              <w:rPr>
                <w:rFonts w:ascii="Times New Roman" w:hAnsi="Times New Roman" w:cs="Times New Roman"/>
                <w:color w:val="000000" w:themeColor="text1"/>
                <w:sz w:val="20"/>
                <w:szCs w:val="20"/>
              </w:rPr>
              <w:t>49,1</w:t>
            </w:r>
          </w:p>
        </w:tc>
        <w:tc>
          <w:tcPr>
            <w:tcW w:w="1871" w:type="dxa"/>
            <w:vMerge w:val="restart"/>
          </w:tcPr>
          <w:p w14:paraId="11091A0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0"/>
                <w:szCs w:val="20"/>
              </w:rPr>
            </w:pPr>
            <w:r w:rsidRPr="00731FE2">
              <w:rPr>
                <w:rFonts w:ascii="Times New Roman" w:hAnsi="Times New Roman" w:cs="Times New Roman"/>
                <w:color w:val="000000" w:themeColor="text1"/>
                <w:sz w:val="20"/>
                <w:szCs w:val="20"/>
              </w:rPr>
              <w:t>36,7</w:t>
            </w:r>
          </w:p>
        </w:tc>
      </w:tr>
    </w:tbl>
    <w:p w14:paraId="06E12ED8" w14:textId="77777777" w:rsidR="00171AA8" w:rsidRPr="00731FE2" w:rsidRDefault="007935AB">
      <w:pPr>
        <w:pBdr>
          <w:top w:val="none" w:sz="4" w:space="0" w:color="000000"/>
          <w:left w:val="none" w:sz="4" w:space="0" w:color="000000"/>
          <w:bottom w:val="none" w:sz="4" w:space="0" w:color="000000"/>
          <w:right w:val="none" w:sz="4" w:space="0" w:color="000000"/>
        </w:pBdr>
      </w:pPr>
      <w:r w:rsidRPr="00731FE2">
        <w:rPr>
          <w:rFonts w:ascii="Times New Roman" w:hAnsi="Times New Roman" w:cs="Times New Roman"/>
          <w:color w:val="000000" w:themeColor="text1"/>
        </w:rPr>
        <w:t>Существующий резерв производительности водозаборных сооружений город-курорт Кисловодск составляет 35,6 тыс. м</w:t>
      </w:r>
      <w:r w:rsidRPr="00731FE2">
        <w:rPr>
          <w:rFonts w:ascii="Times New Roman" w:hAnsi="Times New Roman" w:cs="Times New Roman"/>
          <w:color w:val="000000" w:themeColor="text1"/>
          <w:vertAlign w:val="superscript"/>
        </w:rPr>
        <w:t>3</w:t>
      </w:r>
      <w:r w:rsidRPr="00731FE2">
        <w:rPr>
          <w:rFonts w:ascii="Times New Roman" w:hAnsi="Times New Roman" w:cs="Times New Roman"/>
          <w:color w:val="000000" w:themeColor="text1"/>
        </w:rPr>
        <w:t>/сут. или 36,7%. При этом стоит учесть, что в ходе расчета была учтена минимальная производительность источников водоснабжения.</w:t>
      </w:r>
    </w:p>
    <w:p w14:paraId="07CEB7D7" w14:textId="77777777" w:rsidR="00171AA8" w:rsidRPr="00731FE2" w:rsidRDefault="007935AB">
      <w:pPr>
        <w:pBdr>
          <w:top w:val="none" w:sz="4" w:space="0" w:color="000000"/>
          <w:left w:val="none" w:sz="4" w:space="0" w:color="000000"/>
          <w:bottom w:val="none" w:sz="4" w:space="0" w:color="000000"/>
          <w:right w:val="none" w:sz="4" w:space="0" w:color="000000"/>
        </w:pBdr>
      </w:pPr>
      <w:r w:rsidRPr="00731FE2">
        <w:rPr>
          <w:rFonts w:ascii="Times New Roman" w:hAnsi="Times New Roman" w:cs="Times New Roman"/>
          <w:color w:val="000000" w:themeColor="text1"/>
        </w:rPr>
        <w:lastRenderedPageBreak/>
        <w:t>Мощность городской системы водоснабжения (насосные станции, резервуары, трубопроводы) достаточна для существующего уровня водопотребления.</w:t>
      </w:r>
    </w:p>
    <w:p w14:paraId="206F5C65" w14:textId="77777777" w:rsidR="00171AA8" w:rsidRPr="00731FE2" w:rsidRDefault="007935AB">
      <w:pPr>
        <w:pBdr>
          <w:top w:val="none" w:sz="4" w:space="0" w:color="000000"/>
          <w:left w:val="none" w:sz="4" w:space="0" w:color="000000"/>
          <w:bottom w:val="none" w:sz="4" w:space="0" w:color="000000"/>
          <w:right w:val="none" w:sz="4" w:space="0" w:color="000000"/>
        </w:pBdr>
      </w:pPr>
      <w:r w:rsidRPr="00731FE2">
        <w:rPr>
          <w:rFonts w:ascii="Times New Roman" w:hAnsi="Times New Roman" w:cs="Times New Roman"/>
          <w:color w:val="000000" w:themeColor="text1"/>
        </w:rPr>
        <w:t xml:space="preserve">По данным ГУП СК «Ставрополькрайводоканал» – </w:t>
      </w:r>
      <w:proofErr w:type="gramStart"/>
      <w:r w:rsidRPr="00731FE2">
        <w:rPr>
          <w:rFonts w:ascii="Times New Roman" w:hAnsi="Times New Roman" w:cs="Times New Roman"/>
          <w:color w:val="000000" w:themeColor="text1"/>
        </w:rPr>
        <w:t>Предгорный</w:t>
      </w:r>
      <w:proofErr w:type="gramEnd"/>
      <w:r w:rsidRPr="00731FE2">
        <w:rPr>
          <w:rFonts w:ascii="Times New Roman" w:hAnsi="Times New Roman" w:cs="Times New Roman"/>
          <w:color w:val="000000" w:themeColor="text1"/>
        </w:rPr>
        <w:t xml:space="preserve"> «Межрайводоканал» – ПТП Кисловодское, вода как после проведения ее подготовки, так и взятая из распределительной сети в 100% случаев соответствует требованиям законодательства Российской Федерации. </w:t>
      </w:r>
    </w:p>
    <w:p w14:paraId="6B384563" w14:textId="77777777" w:rsidR="00171AA8" w:rsidRPr="00731FE2" w:rsidRDefault="007935AB">
      <w:pPr>
        <w:pBdr>
          <w:top w:val="none" w:sz="4" w:space="0" w:color="000000"/>
          <w:left w:val="none" w:sz="4" w:space="0" w:color="000000"/>
          <w:bottom w:val="none" w:sz="4" w:space="0" w:color="000000"/>
          <w:right w:val="none" w:sz="4" w:space="0" w:color="000000"/>
        </w:pBdr>
      </w:pPr>
      <w:r w:rsidRPr="00731FE2">
        <w:rPr>
          <w:rFonts w:ascii="Times New Roman" w:hAnsi="Times New Roman" w:cs="Times New Roman"/>
          <w:color w:val="000000" w:themeColor="text1"/>
        </w:rPr>
        <w:t xml:space="preserve">Основные проблемы централизованной системы хозяйственно-питьевого водоснабжения городского округа города-курорта Кисловодска и основные направления их решения. </w:t>
      </w:r>
    </w:p>
    <w:p w14:paraId="68CAD7BB" w14:textId="77777777" w:rsidR="00171AA8" w:rsidRPr="00731FE2" w:rsidRDefault="007935AB">
      <w:pPr>
        <w:pBdr>
          <w:top w:val="none" w:sz="4" w:space="0" w:color="000000"/>
          <w:left w:val="none" w:sz="4" w:space="0" w:color="000000"/>
          <w:bottom w:val="none" w:sz="4" w:space="0" w:color="000000"/>
          <w:right w:val="none" w:sz="4" w:space="0" w:color="000000"/>
        </w:pBdr>
      </w:pPr>
      <w:r w:rsidRPr="00731FE2">
        <w:rPr>
          <w:rFonts w:ascii="Times New Roman" w:hAnsi="Times New Roman" w:cs="Times New Roman"/>
          <w:color w:val="000000" w:themeColor="text1"/>
        </w:rPr>
        <w:t xml:space="preserve">Основными факторами, препятствующими бесперебойному водоснабжению города-курорта в настоящее время, являются: </w:t>
      </w:r>
    </w:p>
    <w:p w14:paraId="48C30902" w14:textId="77777777" w:rsidR="00171AA8" w:rsidRPr="00731FE2" w:rsidRDefault="007935AB">
      <w:pPr>
        <w:pStyle w:val="a3"/>
        <w:numPr>
          <w:ilvl w:val="0"/>
          <w:numId w:val="20"/>
        </w:numPr>
        <w:pBdr>
          <w:top w:val="none" w:sz="4" w:space="0" w:color="000000"/>
          <w:left w:val="none" w:sz="4" w:space="0" w:color="000000"/>
          <w:bottom w:val="none" w:sz="4" w:space="0" w:color="000000"/>
          <w:right w:val="none" w:sz="4" w:space="0" w:color="000000"/>
        </w:pBdr>
        <w:tabs>
          <w:tab w:val="left" w:pos="992"/>
        </w:tabs>
        <w:ind w:left="0" w:firstLine="709"/>
        <w:rPr>
          <w:rFonts w:ascii="Times New Roman" w:hAnsi="Times New Roman" w:cs="Times New Roman"/>
          <w:color w:val="000000" w:themeColor="text1"/>
        </w:rPr>
      </w:pPr>
      <w:r w:rsidRPr="00731FE2">
        <w:rPr>
          <w:rFonts w:ascii="Times New Roman" w:hAnsi="Times New Roman" w:cs="Times New Roman"/>
          <w:color w:val="000000" w:themeColor="text1"/>
        </w:rPr>
        <w:t>значительный (до 300 м) перепад отметок местности городской территории, вынуждающий делить водопроводную сеть на отдельные зоны и подзоны водоснабжения по геодезическому признаку;</w:t>
      </w:r>
    </w:p>
    <w:p w14:paraId="7D3D7707" w14:textId="77777777" w:rsidR="00171AA8" w:rsidRPr="00731FE2" w:rsidRDefault="007935AB">
      <w:pPr>
        <w:pStyle w:val="a3"/>
        <w:numPr>
          <w:ilvl w:val="0"/>
          <w:numId w:val="20"/>
        </w:numPr>
        <w:pBdr>
          <w:top w:val="none" w:sz="4" w:space="0" w:color="000000"/>
          <w:left w:val="none" w:sz="4" w:space="0" w:color="000000"/>
          <w:bottom w:val="none" w:sz="4" w:space="0" w:color="000000"/>
          <w:right w:val="none" w:sz="4" w:space="0" w:color="000000"/>
        </w:pBdr>
        <w:tabs>
          <w:tab w:val="left" w:pos="992"/>
        </w:tabs>
        <w:ind w:left="0" w:firstLine="709"/>
        <w:rPr>
          <w:rFonts w:ascii="Times New Roman" w:hAnsi="Times New Roman" w:cs="Times New Roman"/>
          <w:color w:val="000000" w:themeColor="text1"/>
        </w:rPr>
      </w:pPr>
      <w:r w:rsidRPr="00731FE2">
        <w:rPr>
          <w:rFonts w:ascii="Times New Roman" w:hAnsi="Times New Roman" w:cs="Times New Roman"/>
          <w:color w:val="000000" w:themeColor="text1"/>
        </w:rPr>
        <w:t>недостаточная емкость резервуаров в отдельных зонах водоснабжения (Лермонтовская и Курортная зоны водоснабжения) не позволяет компенсировать суточную неравномерность водопотребления и обеспечение запаса воды на пожаротушение;</w:t>
      </w:r>
    </w:p>
    <w:p w14:paraId="3A0C3790" w14:textId="77777777" w:rsidR="00171AA8" w:rsidRPr="00731FE2" w:rsidRDefault="007935AB">
      <w:pPr>
        <w:pStyle w:val="a3"/>
        <w:numPr>
          <w:ilvl w:val="0"/>
          <w:numId w:val="20"/>
        </w:numPr>
        <w:pBdr>
          <w:top w:val="none" w:sz="4" w:space="0" w:color="000000"/>
          <w:left w:val="none" w:sz="4" w:space="0" w:color="000000"/>
          <w:bottom w:val="none" w:sz="4" w:space="0" w:color="000000"/>
          <w:right w:val="none" w:sz="4" w:space="0" w:color="000000"/>
        </w:pBdr>
        <w:tabs>
          <w:tab w:val="left" w:pos="992"/>
        </w:tabs>
        <w:ind w:left="0" w:firstLine="709"/>
        <w:rPr>
          <w:rFonts w:ascii="Times New Roman" w:hAnsi="Times New Roman" w:cs="Times New Roman"/>
          <w:color w:val="000000" w:themeColor="text1"/>
        </w:rPr>
      </w:pPr>
      <w:r w:rsidRPr="00731FE2">
        <w:rPr>
          <w:rFonts w:ascii="Times New Roman" w:hAnsi="Times New Roman" w:cs="Times New Roman"/>
          <w:color w:val="000000" w:themeColor="text1"/>
        </w:rPr>
        <w:t>недостаточная пропускная способность магистральных водоводов, проложенных еще в 40-60-е годы и рассчитанных на существовавший в тот период уровень водопотребления, не позволяет обеспечить необходимые расходы воды для заполнения резервуаров;</w:t>
      </w:r>
    </w:p>
    <w:p w14:paraId="01BC5812" w14:textId="77777777" w:rsidR="00171AA8" w:rsidRPr="00731FE2" w:rsidRDefault="007935AB">
      <w:pPr>
        <w:pStyle w:val="a3"/>
        <w:numPr>
          <w:ilvl w:val="0"/>
          <w:numId w:val="20"/>
        </w:numPr>
        <w:pBdr>
          <w:top w:val="none" w:sz="4" w:space="0" w:color="000000"/>
          <w:left w:val="none" w:sz="4" w:space="0" w:color="000000"/>
          <w:bottom w:val="none" w:sz="4" w:space="0" w:color="000000"/>
          <w:right w:val="none" w:sz="4" w:space="0" w:color="000000"/>
        </w:pBdr>
        <w:tabs>
          <w:tab w:val="left" w:pos="992"/>
        </w:tabs>
        <w:ind w:left="0" w:firstLine="709"/>
        <w:rPr>
          <w:rFonts w:ascii="Times New Roman" w:hAnsi="Times New Roman" w:cs="Times New Roman"/>
          <w:color w:val="000000" w:themeColor="text1"/>
        </w:rPr>
      </w:pPr>
      <w:r w:rsidRPr="00731FE2">
        <w:rPr>
          <w:rFonts w:ascii="Times New Roman" w:hAnsi="Times New Roman" w:cs="Times New Roman"/>
          <w:color w:val="000000" w:themeColor="text1"/>
        </w:rPr>
        <w:t xml:space="preserve">высокий износ основного количества трубопроводов водопроводной сети, что приводит к значительным потерям воды через явные и скрытые утечки; </w:t>
      </w:r>
    </w:p>
    <w:p w14:paraId="318B6C54" w14:textId="77777777" w:rsidR="00171AA8" w:rsidRPr="00731FE2" w:rsidRDefault="007935AB">
      <w:pPr>
        <w:pStyle w:val="a3"/>
        <w:numPr>
          <w:ilvl w:val="0"/>
          <w:numId w:val="20"/>
        </w:numPr>
        <w:pBdr>
          <w:top w:val="none" w:sz="4" w:space="0" w:color="000000"/>
          <w:left w:val="none" w:sz="4" w:space="0" w:color="000000"/>
          <w:bottom w:val="none" w:sz="4" w:space="0" w:color="000000"/>
          <w:right w:val="none" w:sz="4" w:space="0" w:color="000000"/>
        </w:pBdr>
        <w:tabs>
          <w:tab w:val="left" w:pos="992"/>
        </w:tabs>
        <w:ind w:left="0" w:firstLine="709"/>
        <w:rPr>
          <w:rFonts w:ascii="Times New Roman" w:hAnsi="Times New Roman" w:cs="Times New Roman"/>
          <w:color w:val="000000" w:themeColor="text1"/>
        </w:rPr>
      </w:pPr>
      <w:r w:rsidRPr="00731FE2">
        <w:rPr>
          <w:rFonts w:ascii="Times New Roman" w:hAnsi="Times New Roman" w:cs="Times New Roman"/>
          <w:color w:val="000000" w:themeColor="text1"/>
        </w:rPr>
        <w:t xml:space="preserve">около 25% потребителей не </w:t>
      </w:r>
      <w:proofErr w:type="gramStart"/>
      <w:r w:rsidRPr="00731FE2">
        <w:rPr>
          <w:rFonts w:ascii="Times New Roman" w:hAnsi="Times New Roman" w:cs="Times New Roman"/>
          <w:color w:val="000000" w:themeColor="text1"/>
        </w:rPr>
        <w:t>оборудованы</w:t>
      </w:r>
      <w:proofErr w:type="gramEnd"/>
      <w:r w:rsidRPr="00731FE2">
        <w:rPr>
          <w:rFonts w:ascii="Times New Roman" w:hAnsi="Times New Roman" w:cs="Times New Roman"/>
          <w:color w:val="000000" w:themeColor="text1"/>
        </w:rPr>
        <w:t xml:space="preserve"> приборами коммерческого учета.</w:t>
      </w:r>
    </w:p>
    <w:p w14:paraId="4CC7986D" w14:textId="77777777" w:rsidR="00171AA8" w:rsidRPr="00731FE2" w:rsidRDefault="007935AB">
      <w:pPr>
        <w:pBdr>
          <w:top w:val="none" w:sz="4" w:space="0" w:color="000000"/>
          <w:left w:val="none" w:sz="4" w:space="0" w:color="000000"/>
          <w:bottom w:val="none" w:sz="4" w:space="0" w:color="000000"/>
          <w:right w:val="none" w:sz="4" w:space="0" w:color="000000"/>
        </w:pBdr>
      </w:pPr>
      <w:r w:rsidRPr="00731FE2">
        <w:rPr>
          <w:rFonts w:ascii="Times New Roman" w:hAnsi="Times New Roman" w:cs="Times New Roman"/>
          <w:color w:val="000000" w:themeColor="text1"/>
        </w:rPr>
        <w:t>Для оптимальной работы водопроводной сети требуется расширение перечня мероприятий по зонированию системы и устройству новых резервуаров. Также необходимо проведение ремонтных работ по замене выработавших эксплуатационный ресурс трубопроводов. Наладка гидравлического режима путем подбора необходимых диаметров также будет способствовать повышению надежности централизованного водоснабжения.</w:t>
      </w:r>
    </w:p>
    <w:p w14:paraId="202F6A23" w14:textId="77777777" w:rsidR="00171AA8" w:rsidRPr="00731FE2" w:rsidRDefault="007935AB">
      <w:pPr>
        <w:pBdr>
          <w:top w:val="none" w:sz="4" w:space="0" w:color="000000"/>
          <w:left w:val="none" w:sz="4" w:space="0" w:color="000000"/>
          <w:bottom w:val="none" w:sz="4" w:space="0" w:color="000000"/>
          <w:right w:val="none" w:sz="4" w:space="0" w:color="000000"/>
        </w:pBdr>
      </w:pPr>
      <w:r w:rsidRPr="00731FE2">
        <w:rPr>
          <w:rFonts w:ascii="Times New Roman" w:hAnsi="Times New Roman" w:cs="Times New Roman"/>
          <w:color w:val="000000" w:themeColor="text1"/>
        </w:rPr>
        <w:t xml:space="preserve">Водоотведение хозяйственно-бытовых сточных вод. В городском округе действует полная раздельная система водоотведения, принимающая хозяйственно-бытовые (канализационные) сточные воды от жилой застройки, промышленных предприятий и санаторно-курортного комплекса. Система водоотведения находится на балансе филиала ГУП Ставропольского края «Ставрополькрайводоканал» – </w:t>
      </w:r>
      <w:proofErr w:type="gramStart"/>
      <w:r w:rsidRPr="00731FE2">
        <w:rPr>
          <w:rFonts w:ascii="Times New Roman" w:hAnsi="Times New Roman" w:cs="Times New Roman"/>
          <w:color w:val="000000" w:themeColor="text1"/>
        </w:rPr>
        <w:t>Предгорный</w:t>
      </w:r>
      <w:proofErr w:type="gramEnd"/>
      <w:r w:rsidRPr="00731FE2">
        <w:rPr>
          <w:rFonts w:ascii="Times New Roman" w:hAnsi="Times New Roman" w:cs="Times New Roman"/>
          <w:color w:val="000000" w:themeColor="text1"/>
        </w:rPr>
        <w:t xml:space="preserve"> «Межрайводоканал» – ПТП Кисловодское.</w:t>
      </w:r>
    </w:p>
    <w:p w14:paraId="560780B4" w14:textId="77777777" w:rsidR="00171AA8" w:rsidRPr="00731FE2" w:rsidRDefault="007935AB">
      <w:pPr>
        <w:pBdr>
          <w:top w:val="none" w:sz="4" w:space="0" w:color="000000"/>
          <w:left w:val="none" w:sz="4" w:space="0" w:color="000000"/>
          <w:bottom w:val="none" w:sz="4" w:space="0" w:color="000000"/>
          <w:right w:val="none" w:sz="4" w:space="0" w:color="000000"/>
        </w:pBdr>
      </w:pPr>
      <w:r w:rsidRPr="00731FE2">
        <w:rPr>
          <w:rFonts w:ascii="Times New Roman" w:hAnsi="Times New Roman" w:cs="Times New Roman"/>
          <w:color w:val="000000" w:themeColor="text1"/>
        </w:rPr>
        <w:t xml:space="preserve">Структура системы водоотведения хозяйственно-бытовых сточных вод. Система водоотведения хозяйственно-бытовых стоков городского округа в основном самотечная. Исключение составляет восточная часть территории, отвод стоков от которой производится через перекачивающую насосную станцию КНС «Римгорская-2». </w:t>
      </w:r>
    </w:p>
    <w:p w14:paraId="78E157DF" w14:textId="77777777" w:rsidR="00171AA8" w:rsidRPr="00731FE2" w:rsidRDefault="007935AB">
      <w:pPr>
        <w:pBdr>
          <w:top w:val="none" w:sz="4" w:space="0" w:color="000000"/>
          <w:left w:val="none" w:sz="4" w:space="0" w:color="000000"/>
          <w:bottom w:val="none" w:sz="4" w:space="0" w:color="000000"/>
          <w:right w:val="none" w:sz="4" w:space="0" w:color="000000"/>
        </w:pBdr>
      </w:pPr>
      <w:r w:rsidRPr="00731FE2">
        <w:rPr>
          <w:rFonts w:ascii="Times New Roman" w:hAnsi="Times New Roman" w:cs="Times New Roman"/>
          <w:color w:val="000000" w:themeColor="text1"/>
        </w:rPr>
        <w:t xml:space="preserve">Сбор хозяйственно-бытовых стоков осуществляется в два городских канализационных коллектора диаметром 400-1000 мм: главный и разгрузочный. По основным городским коллекторам сточные воды поступают в междугородный канализационный коллектор «Кисловодск-Ессентуки-Пятигорск» (МГК), и далее на </w:t>
      </w:r>
      <w:r w:rsidRPr="00731FE2">
        <w:rPr>
          <w:rFonts w:ascii="Times New Roman" w:hAnsi="Times New Roman" w:cs="Times New Roman"/>
          <w:color w:val="000000" w:themeColor="text1"/>
        </w:rPr>
        <w:lastRenderedPageBreak/>
        <w:t>объединенные очистные сооружения канализации г. Пятигорска, находящиеся на балансе филиала ГУП Ставропольского края «Ставрополькрайводоканал» – «Кавминводские очистные сооружения канализации». Объединенные ОСК г. Пятигорска размещены на двух площадках: «старой» и «новой».</w:t>
      </w:r>
    </w:p>
    <w:p w14:paraId="77F50816" w14:textId="77777777" w:rsidR="00171AA8" w:rsidRPr="00731FE2" w:rsidRDefault="007935AB">
      <w:pPr>
        <w:pBdr>
          <w:top w:val="none" w:sz="4" w:space="0" w:color="000000"/>
          <w:left w:val="none" w:sz="4" w:space="0" w:color="000000"/>
          <w:bottom w:val="none" w:sz="4" w:space="0" w:color="000000"/>
          <w:right w:val="none" w:sz="4" w:space="0" w:color="000000"/>
        </w:pBdr>
      </w:pPr>
      <w:r w:rsidRPr="00731FE2">
        <w:rPr>
          <w:rFonts w:ascii="Times New Roman" w:hAnsi="Times New Roman" w:cs="Times New Roman"/>
          <w:color w:val="000000" w:themeColor="text1"/>
        </w:rPr>
        <w:t>«Старая» площадка ОСК производительностью 100,0 тыс. м</w:t>
      </w:r>
      <w:r w:rsidRPr="00731FE2">
        <w:rPr>
          <w:rFonts w:ascii="Times New Roman" w:hAnsi="Times New Roman" w:cs="Times New Roman"/>
          <w:color w:val="000000" w:themeColor="text1"/>
          <w:vertAlign w:val="superscript"/>
        </w:rPr>
        <w:t>3</w:t>
      </w:r>
      <w:r w:rsidRPr="00731FE2">
        <w:rPr>
          <w:rFonts w:ascii="Times New Roman" w:hAnsi="Times New Roman" w:cs="Times New Roman"/>
          <w:color w:val="000000" w:themeColor="text1"/>
        </w:rPr>
        <w:t>/сут., расположена в районе ст. Константиновская. Площадка начала осваиваться в 1969 г. Обработка сточных вод производится на сооружениях механической (песколовки, первичные отстойники) и биологической очистки (аэротенки). Осадки и ил, образующиеся на сооружениях, передаются для дальнейшей обработки на «новую» площадку ОСК г. Пятигорска. Выпуск сточных вод производится в реку Подкумок – водоем II категории рыбохозяйственного значения. Для очистки стоков до требований ПДК необходимо строительство комплекса глубокой доочистки сточных вод.</w:t>
      </w:r>
    </w:p>
    <w:p w14:paraId="0E441A6C" w14:textId="77777777" w:rsidR="00171AA8" w:rsidRPr="00731FE2" w:rsidRDefault="007935AB">
      <w:pPr>
        <w:pBdr>
          <w:top w:val="none" w:sz="4" w:space="0" w:color="000000"/>
          <w:left w:val="none" w:sz="4" w:space="0" w:color="000000"/>
          <w:bottom w:val="none" w:sz="4" w:space="0" w:color="000000"/>
          <w:right w:val="none" w:sz="4" w:space="0" w:color="000000"/>
        </w:pBdr>
      </w:pPr>
      <w:r w:rsidRPr="00731FE2">
        <w:rPr>
          <w:rFonts w:ascii="Times New Roman" w:hAnsi="Times New Roman" w:cs="Times New Roman"/>
          <w:color w:val="000000" w:themeColor="text1"/>
        </w:rPr>
        <w:t>На «новой» площадке ОСК г. Пятигорска, расположенной южнее ст. Константиновская, действуют очистные сооружения с полным комплексом механической и биологической очистки, глубокой доочистки стоков и обработкой осадка производительностью 170,0 тыс. м</w:t>
      </w:r>
      <w:r w:rsidRPr="00731FE2">
        <w:rPr>
          <w:rFonts w:ascii="Times New Roman" w:hAnsi="Times New Roman" w:cs="Times New Roman"/>
          <w:color w:val="000000" w:themeColor="text1"/>
          <w:vertAlign w:val="superscript"/>
        </w:rPr>
        <w:t>3</w:t>
      </w:r>
      <w:r w:rsidRPr="00731FE2">
        <w:rPr>
          <w:rFonts w:ascii="Times New Roman" w:hAnsi="Times New Roman" w:cs="Times New Roman"/>
          <w:color w:val="000000" w:themeColor="text1"/>
        </w:rPr>
        <w:t>/сут.</w:t>
      </w:r>
    </w:p>
    <w:p w14:paraId="65B66066" w14:textId="77777777" w:rsidR="00171AA8" w:rsidRPr="00731FE2" w:rsidRDefault="007935AB">
      <w:pPr>
        <w:pBdr>
          <w:top w:val="none" w:sz="4" w:space="0" w:color="000000"/>
          <w:left w:val="none" w:sz="4" w:space="0" w:color="000000"/>
          <w:bottom w:val="none" w:sz="4" w:space="0" w:color="000000"/>
          <w:right w:val="none" w:sz="4" w:space="0" w:color="000000"/>
        </w:pBdr>
      </w:pPr>
      <w:r w:rsidRPr="00731FE2">
        <w:rPr>
          <w:rFonts w:ascii="Times New Roman" w:hAnsi="Times New Roman" w:cs="Times New Roman"/>
          <w:color w:val="000000" w:themeColor="text1"/>
        </w:rPr>
        <w:t>На «старую» площадку ОСК г. Пятигорска стоки подаются самотеком по коллектору диаметром 900 мм, на «новую» площадку – по напорным трубопроводам. Общая производительность ОСК г. Пятигорска – 270,0 тыс. м</w:t>
      </w:r>
      <w:r w:rsidRPr="00731FE2">
        <w:rPr>
          <w:rFonts w:ascii="Times New Roman" w:hAnsi="Times New Roman" w:cs="Times New Roman"/>
          <w:color w:val="000000" w:themeColor="text1"/>
          <w:vertAlign w:val="superscript"/>
        </w:rPr>
        <w:t>3</w:t>
      </w:r>
      <w:r w:rsidRPr="00731FE2">
        <w:rPr>
          <w:rFonts w:ascii="Times New Roman" w:hAnsi="Times New Roman" w:cs="Times New Roman"/>
          <w:color w:val="000000" w:themeColor="text1"/>
        </w:rPr>
        <w:t>/сут.</w:t>
      </w:r>
    </w:p>
    <w:p w14:paraId="209D079E" w14:textId="77777777" w:rsidR="00171AA8" w:rsidRPr="00731FE2" w:rsidRDefault="007935AB">
      <w:pPr>
        <w:pBdr>
          <w:top w:val="none" w:sz="4" w:space="0" w:color="000000"/>
          <w:left w:val="none" w:sz="4" w:space="0" w:color="000000"/>
          <w:bottom w:val="none" w:sz="4" w:space="0" w:color="000000"/>
          <w:right w:val="none" w:sz="4" w:space="0" w:color="000000"/>
        </w:pBdr>
      </w:pPr>
      <w:r w:rsidRPr="00731FE2">
        <w:rPr>
          <w:rFonts w:ascii="Times New Roman" w:hAnsi="Times New Roman" w:cs="Times New Roman"/>
          <w:color w:val="000000" w:themeColor="text1"/>
        </w:rPr>
        <w:t xml:space="preserve">На сегодняшний день имеется разработанный проект реконструкции ОСК г. Пятигорска, утвержденный в 1995 г. </w:t>
      </w:r>
    </w:p>
    <w:p w14:paraId="4339F4B7" w14:textId="77777777" w:rsidR="00171AA8" w:rsidRPr="00731FE2" w:rsidRDefault="007935AB">
      <w:pPr>
        <w:pBdr>
          <w:top w:val="none" w:sz="4" w:space="0" w:color="000000"/>
          <w:left w:val="none" w:sz="4" w:space="0" w:color="000000"/>
          <w:bottom w:val="none" w:sz="4" w:space="0" w:color="000000"/>
          <w:right w:val="none" w:sz="4" w:space="0" w:color="000000"/>
        </w:pBdr>
      </w:pPr>
      <w:r w:rsidRPr="00731FE2">
        <w:rPr>
          <w:rFonts w:ascii="Times New Roman" w:hAnsi="Times New Roman" w:cs="Times New Roman"/>
          <w:color w:val="000000" w:themeColor="text1"/>
        </w:rPr>
        <w:t>Канализационные насосные станции. В системе водоотведения имеется три перекачивающие насосные станции (КНС) – КНС «Римгорская-1», КНС «Римгорская-2» и КНС «ОС». Общая производительность КНС (на 01.01.2017 г.):</w:t>
      </w:r>
    </w:p>
    <w:p w14:paraId="216DF2CA" w14:textId="77777777" w:rsidR="00171AA8" w:rsidRPr="00731FE2" w:rsidRDefault="007935AB">
      <w:pPr>
        <w:pStyle w:val="a3"/>
        <w:numPr>
          <w:ilvl w:val="0"/>
          <w:numId w:val="20"/>
        </w:numPr>
        <w:pBdr>
          <w:top w:val="none" w:sz="4" w:space="0" w:color="000000"/>
          <w:left w:val="none" w:sz="4" w:space="0" w:color="000000"/>
          <w:bottom w:val="none" w:sz="4" w:space="0" w:color="000000"/>
          <w:right w:val="none" w:sz="4" w:space="0" w:color="000000"/>
        </w:pBdr>
        <w:tabs>
          <w:tab w:val="left" w:pos="992"/>
        </w:tabs>
        <w:ind w:left="0" w:firstLine="709"/>
        <w:rPr>
          <w:rFonts w:ascii="Times New Roman" w:hAnsi="Times New Roman" w:cs="Times New Roman"/>
          <w:color w:val="000000" w:themeColor="text1"/>
        </w:rPr>
      </w:pPr>
      <w:proofErr w:type="gramStart"/>
      <w:r w:rsidRPr="00731FE2">
        <w:rPr>
          <w:rFonts w:ascii="Times New Roman" w:hAnsi="Times New Roman" w:cs="Times New Roman"/>
          <w:color w:val="000000" w:themeColor="text1"/>
        </w:rPr>
        <w:t>производственная</w:t>
      </w:r>
      <w:proofErr w:type="gramEnd"/>
      <w:r w:rsidRPr="00731FE2">
        <w:rPr>
          <w:rFonts w:ascii="Times New Roman" w:hAnsi="Times New Roman" w:cs="Times New Roman"/>
          <w:color w:val="000000" w:themeColor="text1"/>
        </w:rPr>
        <w:t xml:space="preserve"> – 1,48 тыс. м</w:t>
      </w:r>
      <w:r w:rsidRPr="00731FE2">
        <w:rPr>
          <w:rFonts w:ascii="Times New Roman" w:hAnsi="Times New Roman" w:cs="Times New Roman"/>
          <w:color w:val="000000" w:themeColor="text1"/>
          <w:vertAlign w:val="superscript"/>
        </w:rPr>
        <w:t>3</w:t>
      </w:r>
      <w:r w:rsidRPr="00731FE2">
        <w:rPr>
          <w:rFonts w:ascii="Times New Roman" w:hAnsi="Times New Roman" w:cs="Times New Roman"/>
          <w:color w:val="000000" w:themeColor="text1"/>
        </w:rPr>
        <w:t xml:space="preserve">/сут.; </w:t>
      </w:r>
    </w:p>
    <w:p w14:paraId="1207EEDA" w14:textId="77777777" w:rsidR="00171AA8" w:rsidRPr="00731FE2" w:rsidRDefault="007935AB">
      <w:pPr>
        <w:pStyle w:val="a3"/>
        <w:numPr>
          <w:ilvl w:val="0"/>
          <w:numId w:val="20"/>
        </w:numPr>
        <w:pBdr>
          <w:top w:val="none" w:sz="4" w:space="0" w:color="000000"/>
          <w:left w:val="none" w:sz="4" w:space="0" w:color="000000"/>
          <w:bottom w:val="none" w:sz="4" w:space="0" w:color="000000"/>
          <w:right w:val="none" w:sz="4" w:space="0" w:color="000000"/>
        </w:pBdr>
        <w:tabs>
          <w:tab w:val="left" w:pos="992"/>
        </w:tabs>
        <w:ind w:left="0" w:firstLine="709"/>
        <w:rPr>
          <w:rFonts w:ascii="Times New Roman" w:hAnsi="Times New Roman" w:cs="Times New Roman"/>
          <w:color w:val="000000" w:themeColor="text1"/>
        </w:rPr>
      </w:pPr>
      <w:proofErr w:type="gramStart"/>
      <w:r w:rsidRPr="00731FE2">
        <w:rPr>
          <w:rFonts w:ascii="Times New Roman" w:hAnsi="Times New Roman" w:cs="Times New Roman"/>
          <w:color w:val="000000" w:themeColor="text1"/>
        </w:rPr>
        <w:t>установленная</w:t>
      </w:r>
      <w:proofErr w:type="gramEnd"/>
      <w:r w:rsidRPr="00731FE2">
        <w:rPr>
          <w:rFonts w:ascii="Times New Roman" w:hAnsi="Times New Roman" w:cs="Times New Roman"/>
          <w:color w:val="000000" w:themeColor="text1"/>
        </w:rPr>
        <w:t xml:space="preserve"> – 39,6 тыс. м</w:t>
      </w:r>
      <w:r w:rsidRPr="00731FE2">
        <w:rPr>
          <w:rFonts w:ascii="Times New Roman" w:hAnsi="Times New Roman" w:cs="Times New Roman"/>
          <w:color w:val="000000" w:themeColor="text1"/>
          <w:vertAlign w:val="superscript"/>
        </w:rPr>
        <w:t>3</w:t>
      </w:r>
      <w:r w:rsidRPr="00731FE2">
        <w:rPr>
          <w:rFonts w:ascii="Times New Roman" w:hAnsi="Times New Roman" w:cs="Times New Roman"/>
          <w:color w:val="000000" w:themeColor="text1"/>
        </w:rPr>
        <w:t>/сут.;</w:t>
      </w:r>
    </w:p>
    <w:p w14:paraId="5562CEE7" w14:textId="77777777" w:rsidR="00171AA8" w:rsidRPr="00731FE2" w:rsidRDefault="007935AB">
      <w:pPr>
        <w:pStyle w:val="a3"/>
        <w:numPr>
          <w:ilvl w:val="0"/>
          <w:numId w:val="20"/>
        </w:numPr>
        <w:pBdr>
          <w:top w:val="none" w:sz="4" w:space="0" w:color="000000"/>
          <w:left w:val="none" w:sz="4" w:space="0" w:color="000000"/>
          <w:bottom w:val="none" w:sz="4" w:space="0" w:color="000000"/>
          <w:right w:val="none" w:sz="4" w:space="0" w:color="000000"/>
        </w:pBdr>
        <w:tabs>
          <w:tab w:val="left" w:pos="992"/>
        </w:tabs>
        <w:ind w:left="0" w:firstLine="709"/>
        <w:rPr>
          <w:rFonts w:ascii="Times New Roman" w:hAnsi="Times New Roman" w:cs="Times New Roman"/>
          <w:color w:val="000000" w:themeColor="text1"/>
        </w:rPr>
      </w:pPr>
      <w:r w:rsidRPr="00731FE2">
        <w:rPr>
          <w:rFonts w:ascii="Times New Roman" w:hAnsi="Times New Roman" w:cs="Times New Roman"/>
          <w:color w:val="000000" w:themeColor="text1"/>
        </w:rPr>
        <w:t>резервная – 38,12 тыс. м</w:t>
      </w:r>
      <w:r w:rsidRPr="00731FE2">
        <w:rPr>
          <w:rFonts w:ascii="Times New Roman" w:hAnsi="Times New Roman" w:cs="Times New Roman"/>
          <w:color w:val="000000" w:themeColor="text1"/>
          <w:vertAlign w:val="superscript"/>
        </w:rPr>
        <w:t>3</w:t>
      </w:r>
      <w:r w:rsidRPr="00731FE2">
        <w:rPr>
          <w:rFonts w:ascii="Times New Roman" w:hAnsi="Times New Roman" w:cs="Times New Roman"/>
          <w:color w:val="000000" w:themeColor="text1"/>
        </w:rPr>
        <w:t>/сут.;</w:t>
      </w:r>
    </w:p>
    <w:p w14:paraId="4AA8461D" w14:textId="77777777" w:rsidR="00171AA8" w:rsidRPr="00731FE2" w:rsidRDefault="007935AB">
      <w:pPr>
        <w:pStyle w:val="a3"/>
        <w:numPr>
          <w:ilvl w:val="0"/>
          <w:numId w:val="20"/>
        </w:numPr>
        <w:pBdr>
          <w:top w:val="none" w:sz="4" w:space="0" w:color="000000"/>
          <w:left w:val="none" w:sz="4" w:space="0" w:color="000000"/>
          <w:bottom w:val="none" w:sz="4" w:space="0" w:color="000000"/>
          <w:right w:val="none" w:sz="4" w:space="0" w:color="000000"/>
        </w:pBdr>
        <w:tabs>
          <w:tab w:val="left" w:pos="992"/>
        </w:tabs>
        <w:ind w:left="0" w:firstLine="709"/>
        <w:rPr>
          <w:rFonts w:ascii="Times New Roman" w:hAnsi="Times New Roman" w:cs="Times New Roman"/>
          <w:color w:val="000000" w:themeColor="text1"/>
        </w:rPr>
      </w:pPr>
      <w:r w:rsidRPr="00731FE2">
        <w:rPr>
          <w:rFonts w:ascii="Times New Roman" w:hAnsi="Times New Roman" w:cs="Times New Roman"/>
          <w:color w:val="000000" w:themeColor="text1"/>
        </w:rPr>
        <w:t>фактическая – 1,48 тыс. м</w:t>
      </w:r>
      <w:r w:rsidRPr="00731FE2">
        <w:rPr>
          <w:rFonts w:ascii="Times New Roman" w:hAnsi="Times New Roman" w:cs="Times New Roman"/>
          <w:color w:val="000000" w:themeColor="text1"/>
          <w:vertAlign w:val="superscript"/>
        </w:rPr>
        <w:t>3</w:t>
      </w:r>
      <w:r w:rsidRPr="00731FE2">
        <w:rPr>
          <w:rFonts w:ascii="Times New Roman" w:hAnsi="Times New Roman" w:cs="Times New Roman"/>
          <w:color w:val="000000" w:themeColor="text1"/>
        </w:rPr>
        <w:t>/сут.</w:t>
      </w:r>
    </w:p>
    <w:p w14:paraId="3496AA57"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proofErr w:type="gramStart"/>
      <w:r w:rsidRPr="00731FE2">
        <w:rPr>
          <w:rFonts w:ascii="Times New Roman" w:hAnsi="Times New Roman" w:cs="Times New Roman"/>
          <w:color w:val="000000" w:themeColor="text1"/>
        </w:rPr>
        <w:t>Резервная мощность насосно-силового оборудования почти вдвое превышает фактическую.</w:t>
      </w:r>
      <w:proofErr w:type="gramEnd"/>
      <w:r w:rsidRPr="00731FE2">
        <w:rPr>
          <w:rFonts w:ascii="Times New Roman" w:hAnsi="Times New Roman" w:cs="Times New Roman"/>
          <w:color w:val="000000" w:themeColor="text1"/>
        </w:rPr>
        <w:t xml:space="preserve"> Износ основного насосно-силового оборудования составляет от 15 до 70%. Краткая характеристика КНС приводится в таблице ниже.</w:t>
      </w:r>
    </w:p>
    <w:p w14:paraId="1311A359" w14:textId="77777777" w:rsidR="00187404" w:rsidRPr="00731FE2" w:rsidRDefault="00187404">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p>
    <w:p w14:paraId="26B45BB5" w14:textId="77777777" w:rsidR="00171AA8" w:rsidRPr="00731FE2" w:rsidRDefault="007935AB">
      <w:pPr>
        <w:pStyle w:val="af3"/>
        <w:pBdr>
          <w:top w:val="none" w:sz="4" w:space="0" w:color="000000"/>
          <w:left w:val="none" w:sz="4" w:space="0" w:color="000000"/>
          <w:bottom w:val="none" w:sz="4" w:space="0" w:color="000000"/>
          <w:right w:val="none" w:sz="4" w:space="0" w:color="000000"/>
        </w:pBdr>
        <w:rPr>
          <w:sz w:val="24"/>
          <w:szCs w:val="24"/>
        </w:rPr>
      </w:pPr>
      <w:r w:rsidRPr="00731FE2">
        <w:rPr>
          <w:sz w:val="24"/>
          <w:szCs w:val="24"/>
        </w:rPr>
        <w:t xml:space="preserve">Таблица </w:t>
      </w:r>
      <w:r w:rsidRPr="00731FE2">
        <w:rPr>
          <w:sz w:val="24"/>
          <w:szCs w:val="24"/>
        </w:rPr>
        <w:fldChar w:fldCharType="begin"/>
      </w:r>
      <w:r w:rsidRPr="00731FE2">
        <w:rPr>
          <w:sz w:val="24"/>
          <w:szCs w:val="24"/>
        </w:rPr>
        <w:instrText xml:space="preserve"> SEQ Таблица \* Arabic </w:instrText>
      </w:r>
      <w:r w:rsidRPr="00731FE2">
        <w:rPr>
          <w:sz w:val="24"/>
          <w:szCs w:val="24"/>
        </w:rPr>
        <w:fldChar w:fldCharType="separate"/>
      </w:r>
      <w:r w:rsidR="00C50915" w:rsidRPr="00731FE2">
        <w:rPr>
          <w:noProof/>
          <w:sz w:val="24"/>
          <w:szCs w:val="24"/>
        </w:rPr>
        <w:t>36</w:t>
      </w:r>
      <w:r w:rsidRPr="00731FE2">
        <w:rPr>
          <w:sz w:val="24"/>
          <w:szCs w:val="24"/>
        </w:rPr>
        <w:fldChar w:fldCharType="end"/>
      </w:r>
      <w:r w:rsidRPr="00731FE2">
        <w:rPr>
          <w:sz w:val="24"/>
          <w:szCs w:val="24"/>
        </w:rPr>
        <w:t xml:space="preserve"> – Краткая характеристика КНС городского округа города-курорта Кисловодска на 01.01.2019 г.</w:t>
      </w:r>
    </w:p>
    <w:tbl>
      <w:tblPr>
        <w:tblStyle w:val="afe"/>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0"/>
        <w:gridCol w:w="2268"/>
        <w:gridCol w:w="1559"/>
        <w:gridCol w:w="1559"/>
        <w:gridCol w:w="1559"/>
        <w:gridCol w:w="1559"/>
      </w:tblGrid>
      <w:tr w:rsidR="00171AA8" w:rsidRPr="00731FE2" w14:paraId="7837BEA6" w14:textId="77777777" w:rsidTr="00A72799">
        <w:tc>
          <w:tcPr>
            <w:tcW w:w="850" w:type="dxa"/>
            <w:vAlign w:val="center"/>
          </w:tcPr>
          <w:p w14:paraId="702F087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b/>
                <w:bCs/>
                <w:color w:val="000000" w:themeColor="text1"/>
                <w:sz w:val="20"/>
                <w:szCs w:val="18"/>
              </w:rPr>
            </w:pPr>
            <w:r w:rsidRPr="00731FE2">
              <w:rPr>
                <w:rFonts w:ascii="Times New Roman" w:hAnsi="Times New Roman" w:cs="Times New Roman"/>
                <w:b/>
                <w:bCs/>
                <w:color w:val="000000" w:themeColor="text1"/>
                <w:sz w:val="20"/>
                <w:szCs w:val="18"/>
              </w:rPr>
              <w:t xml:space="preserve">№ </w:t>
            </w:r>
            <w:proofErr w:type="gramStart"/>
            <w:r w:rsidRPr="00731FE2">
              <w:rPr>
                <w:rFonts w:ascii="Times New Roman" w:hAnsi="Times New Roman" w:cs="Times New Roman"/>
                <w:b/>
                <w:bCs/>
                <w:color w:val="000000" w:themeColor="text1"/>
                <w:sz w:val="20"/>
                <w:szCs w:val="18"/>
              </w:rPr>
              <w:t>п</w:t>
            </w:r>
            <w:proofErr w:type="gramEnd"/>
            <w:r w:rsidRPr="00731FE2">
              <w:rPr>
                <w:rFonts w:ascii="Times New Roman" w:hAnsi="Times New Roman" w:cs="Times New Roman"/>
                <w:b/>
                <w:bCs/>
                <w:color w:val="000000" w:themeColor="text1"/>
                <w:sz w:val="20"/>
                <w:szCs w:val="18"/>
              </w:rPr>
              <w:t>/п</w:t>
            </w:r>
          </w:p>
        </w:tc>
        <w:tc>
          <w:tcPr>
            <w:tcW w:w="2268" w:type="dxa"/>
            <w:vAlign w:val="center"/>
          </w:tcPr>
          <w:p w14:paraId="5763C12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b/>
                <w:bCs/>
                <w:color w:val="000000" w:themeColor="text1"/>
                <w:sz w:val="20"/>
                <w:szCs w:val="18"/>
              </w:rPr>
            </w:pPr>
            <w:r w:rsidRPr="00731FE2">
              <w:rPr>
                <w:rFonts w:ascii="Times New Roman" w:hAnsi="Times New Roman" w:cs="Times New Roman"/>
                <w:b/>
                <w:bCs/>
                <w:color w:val="000000" w:themeColor="text1"/>
                <w:sz w:val="20"/>
                <w:szCs w:val="18"/>
              </w:rPr>
              <w:t>Наименование объекта, местоположение</w:t>
            </w:r>
          </w:p>
        </w:tc>
        <w:tc>
          <w:tcPr>
            <w:tcW w:w="1559" w:type="dxa"/>
            <w:vAlign w:val="center"/>
          </w:tcPr>
          <w:p w14:paraId="28F5B07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b/>
                <w:bCs/>
                <w:color w:val="000000" w:themeColor="text1"/>
                <w:sz w:val="20"/>
                <w:szCs w:val="18"/>
              </w:rPr>
            </w:pPr>
            <w:r w:rsidRPr="00731FE2">
              <w:rPr>
                <w:rFonts w:ascii="Times New Roman" w:hAnsi="Times New Roman" w:cs="Times New Roman"/>
                <w:b/>
                <w:bCs/>
                <w:color w:val="000000" w:themeColor="text1"/>
                <w:sz w:val="20"/>
                <w:szCs w:val="18"/>
              </w:rPr>
              <w:t>Марка насоса</w:t>
            </w:r>
          </w:p>
        </w:tc>
        <w:tc>
          <w:tcPr>
            <w:tcW w:w="1559" w:type="dxa"/>
            <w:vAlign w:val="center"/>
          </w:tcPr>
          <w:p w14:paraId="747E862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b/>
                <w:bCs/>
                <w:color w:val="000000" w:themeColor="text1"/>
                <w:sz w:val="20"/>
                <w:szCs w:val="18"/>
              </w:rPr>
            </w:pPr>
            <w:r w:rsidRPr="00731FE2">
              <w:rPr>
                <w:rFonts w:ascii="Times New Roman" w:hAnsi="Times New Roman" w:cs="Times New Roman"/>
                <w:b/>
                <w:bCs/>
                <w:color w:val="000000" w:themeColor="text1"/>
                <w:sz w:val="20"/>
                <w:szCs w:val="18"/>
              </w:rPr>
              <w:t>Производительность факт, тыс. м</w:t>
            </w:r>
            <w:r w:rsidRPr="00731FE2">
              <w:rPr>
                <w:rFonts w:ascii="Times New Roman" w:hAnsi="Times New Roman" w:cs="Times New Roman"/>
                <w:b/>
                <w:bCs/>
                <w:color w:val="000000" w:themeColor="text1"/>
                <w:sz w:val="20"/>
                <w:szCs w:val="18"/>
                <w:vertAlign w:val="superscript"/>
              </w:rPr>
              <w:t>3</w:t>
            </w:r>
            <w:r w:rsidRPr="00731FE2">
              <w:rPr>
                <w:rFonts w:ascii="Times New Roman" w:hAnsi="Times New Roman" w:cs="Times New Roman"/>
                <w:b/>
                <w:bCs/>
                <w:color w:val="000000" w:themeColor="text1"/>
                <w:sz w:val="20"/>
                <w:szCs w:val="18"/>
              </w:rPr>
              <w:t>/сут.</w:t>
            </w:r>
          </w:p>
        </w:tc>
        <w:tc>
          <w:tcPr>
            <w:tcW w:w="1559" w:type="dxa"/>
            <w:vAlign w:val="center"/>
          </w:tcPr>
          <w:p w14:paraId="34EDCC0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b/>
                <w:bCs/>
                <w:color w:val="000000" w:themeColor="text1"/>
                <w:sz w:val="20"/>
                <w:szCs w:val="18"/>
              </w:rPr>
            </w:pPr>
            <w:r w:rsidRPr="00731FE2">
              <w:rPr>
                <w:rFonts w:ascii="Times New Roman" w:hAnsi="Times New Roman" w:cs="Times New Roman"/>
                <w:b/>
                <w:bCs/>
                <w:color w:val="000000" w:themeColor="text1"/>
                <w:sz w:val="20"/>
                <w:szCs w:val="18"/>
              </w:rPr>
              <w:t>Год ввода в эксплуатацию</w:t>
            </w:r>
          </w:p>
        </w:tc>
        <w:tc>
          <w:tcPr>
            <w:tcW w:w="1559" w:type="dxa"/>
            <w:vAlign w:val="center"/>
          </w:tcPr>
          <w:p w14:paraId="21BA03F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b/>
                <w:bCs/>
                <w:color w:val="000000" w:themeColor="text1"/>
                <w:sz w:val="20"/>
                <w:szCs w:val="18"/>
              </w:rPr>
            </w:pPr>
            <w:r w:rsidRPr="00731FE2">
              <w:rPr>
                <w:rFonts w:ascii="Times New Roman" w:hAnsi="Times New Roman" w:cs="Times New Roman"/>
                <w:b/>
                <w:bCs/>
                <w:color w:val="000000" w:themeColor="text1"/>
                <w:sz w:val="20"/>
                <w:szCs w:val="18"/>
              </w:rPr>
              <w:t>Износ, %</w:t>
            </w:r>
          </w:p>
        </w:tc>
      </w:tr>
      <w:tr w:rsidR="00171AA8" w:rsidRPr="00731FE2" w14:paraId="059D4B13" w14:textId="77777777" w:rsidTr="00A72799">
        <w:tc>
          <w:tcPr>
            <w:tcW w:w="850" w:type="dxa"/>
          </w:tcPr>
          <w:p w14:paraId="0D99D9E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0"/>
                <w:szCs w:val="18"/>
              </w:rPr>
            </w:pPr>
            <w:r w:rsidRPr="00731FE2">
              <w:rPr>
                <w:rFonts w:ascii="Times New Roman" w:hAnsi="Times New Roman" w:cs="Times New Roman"/>
                <w:color w:val="000000" w:themeColor="text1"/>
                <w:sz w:val="20"/>
                <w:szCs w:val="18"/>
              </w:rPr>
              <w:t>1.</w:t>
            </w:r>
          </w:p>
        </w:tc>
        <w:tc>
          <w:tcPr>
            <w:tcW w:w="2268" w:type="dxa"/>
            <w:vAlign w:val="center"/>
          </w:tcPr>
          <w:p w14:paraId="6249F0B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hAnsi="Times New Roman" w:cs="Times New Roman"/>
                <w:color w:val="000000" w:themeColor="text1"/>
                <w:sz w:val="20"/>
                <w:szCs w:val="18"/>
              </w:rPr>
            </w:pPr>
            <w:r w:rsidRPr="00731FE2">
              <w:rPr>
                <w:rFonts w:ascii="Times New Roman" w:hAnsi="Times New Roman" w:cs="Times New Roman"/>
                <w:color w:val="000000" w:themeColor="text1"/>
                <w:sz w:val="20"/>
                <w:szCs w:val="18"/>
              </w:rPr>
              <w:t xml:space="preserve">КНС «Римгорская-1», ул. Римгорская, 8 </w:t>
            </w:r>
          </w:p>
        </w:tc>
        <w:tc>
          <w:tcPr>
            <w:tcW w:w="1559" w:type="dxa"/>
            <w:vAlign w:val="center"/>
          </w:tcPr>
          <w:p w14:paraId="49A3E52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0"/>
                <w:szCs w:val="18"/>
              </w:rPr>
            </w:pPr>
            <w:r w:rsidRPr="00731FE2">
              <w:rPr>
                <w:rFonts w:ascii="Times New Roman" w:hAnsi="Times New Roman" w:cs="Times New Roman"/>
                <w:color w:val="000000" w:themeColor="text1"/>
                <w:sz w:val="20"/>
                <w:szCs w:val="18"/>
              </w:rPr>
              <w:t>СМ150- 125-315$</w:t>
            </w:r>
          </w:p>
          <w:p w14:paraId="2F9C13F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0"/>
                <w:szCs w:val="18"/>
              </w:rPr>
            </w:pPr>
            <w:r w:rsidRPr="00731FE2">
              <w:rPr>
                <w:rFonts w:ascii="Times New Roman" w:hAnsi="Times New Roman" w:cs="Times New Roman"/>
                <w:color w:val="000000" w:themeColor="text1"/>
                <w:sz w:val="20"/>
                <w:szCs w:val="18"/>
              </w:rPr>
              <w:t xml:space="preserve">К 45/30 </w:t>
            </w:r>
          </w:p>
        </w:tc>
        <w:tc>
          <w:tcPr>
            <w:tcW w:w="1559" w:type="dxa"/>
            <w:vAlign w:val="center"/>
          </w:tcPr>
          <w:p w14:paraId="11B6C70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0"/>
                <w:szCs w:val="18"/>
              </w:rPr>
            </w:pPr>
            <w:proofErr w:type="gramStart"/>
            <w:r w:rsidRPr="00731FE2">
              <w:rPr>
                <w:rFonts w:ascii="Times New Roman" w:hAnsi="Times New Roman" w:cs="Times New Roman"/>
                <w:color w:val="000000" w:themeColor="text1"/>
                <w:sz w:val="20"/>
                <w:szCs w:val="18"/>
              </w:rPr>
              <w:t>выведена</w:t>
            </w:r>
            <w:proofErr w:type="gramEnd"/>
            <w:r w:rsidRPr="00731FE2">
              <w:rPr>
                <w:rFonts w:ascii="Times New Roman" w:hAnsi="Times New Roman" w:cs="Times New Roman"/>
                <w:color w:val="000000" w:themeColor="text1"/>
                <w:sz w:val="20"/>
                <w:szCs w:val="18"/>
              </w:rPr>
              <w:t xml:space="preserve"> из работы</w:t>
            </w:r>
          </w:p>
        </w:tc>
        <w:tc>
          <w:tcPr>
            <w:tcW w:w="1559" w:type="dxa"/>
            <w:vAlign w:val="center"/>
          </w:tcPr>
          <w:p w14:paraId="2BFEC27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0"/>
                <w:szCs w:val="18"/>
              </w:rPr>
            </w:pPr>
            <w:r w:rsidRPr="00731FE2">
              <w:rPr>
                <w:rFonts w:ascii="Times New Roman" w:hAnsi="Times New Roman" w:cs="Times New Roman"/>
                <w:color w:val="000000" w:themeColor="text1"/>
                <w:sz w:val="20"/>
                <w:szCs w:val="18"/>
              </w:rPr>
              <w:t>1976</w:t>
            </w:r>
          </w:p>
          <w:p w14:paraId="677653E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0"/>
                <w:szCs w:val="18"/>
              </w:rPr>
            </w:pPr>
            <w:r w:rsidRPr="00731FE2">
              <w:rPr>
                <w:rFonts w:ascii="Times New Roman" w:hAnsi="Times New Roman" w:cs="Times New Roman"/>
                <w:color w:val="000000" w:themeColor="text1"/>
                <w:sz w:val="20"/>
                <w:szCs w:val="18"/>
              </w:rPr>
              <w:t> </w:t>
            </w:r>
          </w:p>
        </w:tc>
        <w:tc>
          <w:tcPr>
            <w:tcW w:w="1559" w:type="dxa"/>
            <w:vAlign w:val="center"/>
          </w:tcPr>
          <w:p w14:paraId="417D792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0"/>
                <w:szCs w:val="18"/>
              </w:rPr>
            </w:pPr>
            <w:r w:rsidRPr="00731FE2">
              <w:rPr>
                <w:rFonts w:ascii="Times New Roman" w:hAnsi="Times New Roman" w:cs="Times New Roman"/>
                <w:color w:val="000000" w:themeColor="text1"/>
                <w:sz w:val="20"/>
                <w:szCs w:val="18"/>
              </w:rPr>
              <w:t>43,5</w:t>
            </w:r>
          </w:p>
        </w:tc>
      </w:tr>
      <w:tr w:rsidR="00171AA8" w:rsidRPr="00731FE2" w14:paraId="02D0D5D7" w14:textId="77777777" w:rsidTr="00A72799">
        <w:tc>
          <w:tcPr>
            <w:tcW w:w="850" w:type="dxa"/>
          </w:tcPr>
          <w:p w14:paraId="7E55C81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0"/>
                <w:szCs w:val="18"/>
              </w:rPr>
            </w:pPr>
            <w:r w:rsidRPr="00731FE2">
              <w:rPr>
                <w:rFonts w:ascii="Times New Roman" w:hAnsi="Times New Roman" w:cs="Times New Roman"/>
                <w:color w:val="000000" w:themeColor="text1"/>
                <w:sz w:val="20"/>
                <w:szCs w:val="18"/>
              </w:rPr>
              <w:t>2.</w:t>
            </w:r>
          </w:p>
        </w:tc>
        <w:tc>
          <w:tcPr>
            <w:tcW w:w="2268" w:type="dxa"/>
            <w:vAlign w:val="center"/>
          </w:tcPr>
          <w:p w14:paraId="3BE99F9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hAnsi="Times New Roman" w:cs="Times New Roman"/>
                <w:color w:val="000000" w:themeColor="text1"/>
                <w:sz w:val="20"/>
                <w:szCs w:val="18"/>
              </w:rPr>
            </w:pPr>
            <w:r w:rsidRPr="00731FE2">
              <w:rPr>
                <w:rFonts w:ascii="Times New Roman" w:hAnsi="Times New Roman" w:cs="Times New Roman"/>
                <w:color w:val="000000" w:themeColor="text1"/>
                <w:sz w:val="20"/>
                <w:szCs w:val="18"/>
              </w:rPr>
              <w:t>КНС «Римгорская-2», ул. Римгорская, 8</w:t>
            </w:r>
          </w:p>
        </w:tc>
        <w:tc>
          <w:tcPr>
            <w:tcW w:w="1559" w:type="dxa"/>
            <w:vAlign w:val="center"/>
          </w:tcPr>
          <w:p w14:paraId="0C9CA60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0"/>
                <w:szCs w:val="18"/>
              </w:rPr>
            </w:pPr>
            <w:proofErr w:type="gramStart"/>
            <w:r w:rsidRPr="00731FE2">
              <w:rPr>
                <w:rFonts w:ascii="Times New Roman" w:hAnsi="Times New Roman" w:cs="Times New Roman"/>
                <w:color w:val="000000" w:themeColor="text1"/>
                <w:sz w:val="20"/>
                <w:szCs w:val="18"/>
              </w:rPr>
              <w:t>СМ</w:t>
            </w:r>
            <w:proofErr w:type="gramEnd"/>
            <w:r w:rsidRPr="00731FE2">
              <w:rPr>
                <w:rFonts w:ascii="Times New Roman" w:hAnsi="Times New Roman" w:cs="Times New Roman"/>
                <w:color w:val="000000" w:themeColor="text1"/>
                <w:sz w:val="20"/>
                <w:szCs w:val="18"/>
              </w:rPr>
              <w:t xml:space="preserve"> 200- 150-315/4 (3 шт.);</w:t>
            </w:r>
          </w:p>
          <w:p w14:paraId="7098F35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0"/>
                <w:szCs w:val="18"/>
              </w:rPr>
            </w:pPr>
            <w:r w:rsidRPr="00731FE2">
              <w:rPr>
                <w:rFonts w:ascii="Times New Roman" w:hAnsi="Times New Roman" w:cs="Times New Roman"/>
                <w:color w:val="000000" w:themeColor="text1"/>
                <w:sz w:val="20"/>
                <w:szCs w:val="18"/>
              </w:rPr>
              <w:t>ГНОМ «10х10»</w:t>
            </w:r>
          </w:p>
        </w:tc>
        <w:tc>
          <w:tcPr>
            <w:tcW w:w="1559" w:type="dxa"/>
            <w:vAlign w:val="center"/>
          </w:tcPr>
          <w:p w14:paraId="36BB2F7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0"/>
                <w:szCs w:val="18"/>
              </w:rPr>
            </w:pPr>
            <w:r w:rsidRPr="00731FE2">
              <w:rPr>
                <w:rFonts w:ascii="Times New Roman" w:hAnsi="Times New Roman" w:cs="Times New Roman"/>
                <w:color w:val="000000" w:themeColor="text1"/>
                <w:sz w:val="20"/>
                <w:szCs w:val="18"/>
              </w:rPr>
              <w:t>36,945</w:t>
            </w:r>
          </w:p>
        </w:tc>
        <w:tc>
          <w:tcPr>
            <w:tcW w:w="1559" w:type="dxa"/>
            <w:vAlign w:val="center"/>
          </w:tcPr>
          <w:p w14:paraId="46179A6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0"/>
                <w:szCs w:val="18"/>
              </w:rPr>
            </w:pPr>
            <w:r w:rsidRPr="00731FE2">
              <w:rPr>
                <w:rFonts w:ascii="Times New Roman" w:hAnsi="Times New Roman" w:cs="Times New Roman"/>
                <w:color w:val="000000" w:themeColor="text1"/>
                <w:sz w:val="20"/>
                <w:szCs w:val="18"/>
              </w:rPr>
              <w:t>2004</w:t>
            </w:r>
          </w:p>
          <w:p w14:paraId="128B3C8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0"/>
                <w:szCs w:val="18"/>
              </w:rPr>
            </w:pPr>
            <w:r w:rsidRPr="00731FE2">
              <w:rPr>
                <w:rFonts w:ascii="Times New Roman" w:hAnsi="Times New Roman" w:cs="Times New Roman"/>
                <w:color w:val="000000" w:themeColor="text1"/>
                <w:sz w:val="20"/>
                <w:szCs w:val="18"/>
              </w:rPr>
              <w:t> </w:t>
            </w:r>
          </w:p>
        </w:tc>
        <w:tc>
          <w:tcPr>
            <w:tcW w:w="1559" w:type="dxa"/>
            <w:vAlign w:val="center"/>
          </w:tcPr>
          <w:p w14:paraId="029E027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0"/>
                <w:szCs w:val="18"/>
              </w:rPr>
            </w:pPr>
            <w:r w:rsidRPr="00731FE2">
              <w:rPr>
                <w:rFonts w:ascii="Times New Roman" w:hAnsi="Times New Roman" w:cs="Times New Roman"/>
                <w:color w:val="000000" w:themeColor="text1"/>
                <w:sz w:val="20"/>
                <w:szCs w:val="18"/>
              </w:rPr>
              <w:t>21</w:t>
            </w:r>
          </w:p>
        </w:tc>
      </w:tr>
      <w:tr w:rsidR="00171AA8" w:rsidRPr="00731FE2" w14:paraId="6515B7C5" w14:textId="77777777" w:rsidTr="00A72799">
        <w:tc>
          <w:tcPr>
            <w:tcW w:w="850" w:type="dxa"/>
          </w:tcPr>
          <w:p w14:paraId="20A8475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0"/>
                <w:szCs w:val="18"/>
              </w:rPr>
            </w:pPr>
            <w:r w:rsidRPr="00731FE2">
              <w:rPr>
                <w:rFonts w:ascii="Times New Roman" w:hAnsi="Times New Roman" w:cs="Times New Roman"/>
                <w:color w:val="000000" w:themeColor="text1"/>
                <w:sz w:val="20"/>
                <w:szCs w:val="18"/>
              </w:rPr>
              <w:t>3.</w:t>
            </w:r>
          </w:p>
        </w:tc>
        <w:tc>
          <w:tcPr>
            <w:tcW w:w="2268" w:type="dxa"/>
            <w:vAlign w:val="center"/>
          </w:tcPr>
          <w:p w14:paraId="72C5A1D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hAnsi="Times New Roman" w:cs="Times New Roman"/>
                <w:color w:val="000000" w:themeColor="text1"/>
                <w:sz w:val="20"/>
                <w:szCs w:val="18"/>
              </w:rPr>
            </w:pPr>
            <w:r w:rsidRPr="00731FE2">
              <w:rPr>
                <w:rFonts w:ascii="Times New Roman" w:hAnsi="Times New Roman" w:cs="Times New Roman"/>
                <w:color w:val="000000" w:themeColor="text1"/>
                <w:sz w:val="20"/>
                <w:szCs w:val="18"/>
              </w:rPr>
              <w:t>КНС «ОС», ул. Чехова, 63</w:t>
            </w:r>
          </w:p>
        </w:tc>
        <w:tc>
          <w:tcPr>
            <w:tcW w:w="1559" w:type="dxa"/>
            <w:vAlign w:val="center"/>
          </w:tcPr>
          <w:p w14:paraId="22DF04C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0"/>
                <w:szCs w:val="18"/>
              </w:rPr>
            </w:pPr>
            <w:proofErr w:type="gramStart"/>
            <w:r w:rsidRPr="00731FE2">
              <w:rPr>
                <w:rFonts w:ascii="Times New Roman" w:hAnsi="Times New Roman" w:cs="Times New Roman"/>
                <w:color w:val="000000" w:themeColor="text1"/>
                <w:sz w:val="20"/>
                <w:szCs w:val="18"/>
              </w:rPr>
              <w:t>СМ</w:t>
            </w:r>
            <w:proofErr w:type="gramEnd"/>
            <w:r w:rsidRPr="00731FE2">
              <w:rPr>
                <w:rFonts w:ascii="Times New Roman" w:hAnsi="Times New Roman" w:cs="Times New Roman"/>
                <w:color w:val="000000" w:themeColor="text1"/>
                <w:sz w:val="20"/>
                <w:szCs w:val="18"/>
              </w:rPr>
              <w:t xml:space="preserve"> 80- 50-200 </w:t>
            </w:r>
          </w:p>
        </w:tc>
        <w:tc>
          <w:tcPr>
            <w:tcW w:w="1559" w:type="dxa"/>
            <w:vAlign w:val="center"/>
          </w:tcPr>
          <w:p w14:paraId="60C8402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0"/>
                <w:szCs w:val="18"/>
              </w:rPr>
            </w:pPr>
            <w:r w:rsidRPr="00731FE2">
              <w:rPr>
                <w:rFonts w:ascii="Times New Roman" w:hAnsi="Times New Roman" w:cs="Times New Roman"/>
                <w:color w:val="000000" w:themeColor="text1"/>
                <w:sz w:val="20"/>
                <w:szCs w:val="18"/>
              </w:rPr>
              <w:t>1,175</w:t>
            </w:r>
          </w:p>
        </w:tc>
        <w:tc>
          <w:tcPr>
            <w:tcW w:w="1559" w:type="dxa"/>
            <w:vAlign w:val="center"/>
          </w:tcPr>
          <w:p w14:paraId="7D5218E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0"/>
                <w:szCs w:val="18"/>
              </w:rPr>
            </w:pPr>
            <w:r w:rsidRPr="00731FE2">
              <w:rPr>
                <w:rFonts w:ascii="Times New Roman" w:hAnsi="Times New Roman" w:cs="Times New Roman"/>
                <w:color w:val="000000" w:themeColor="text1"/>
                <w:sz w:val="20"/>
                <w:szCs w:val="18"/>
              </w:rPr>
              <w:t>1949</w:t>
            </w:r>
          </w:p>
        </w:tc>
        <w:tc>
          <w:tcPr>
            <w:tcW w:w="1559" w:type="dxa"/>
            <w:vAlign w:val="center"/>
          </w:tcPr>
          <w:p w14:paraId="5191E54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0"/>
                <w:szCs w:val="18"/>
              </w:rPr>
            </w:pPr>
            <w:r w:rsidRPr="00731FE2">
              <w:rPr>
                <w:rFonts w:ascii="Times New Roman" w:hAnsi="Times New Roman" w:cs="Times New Roman"/>
                <w:color w:val="000000" w:themeColor="text1"/>
                <w:sz w:val="20"/>
                <w:szCs w:val="18"/>
              </w:rPr>
              <w:t>40</w:t>
            </w:r>
          </w:p>
        </w:tc>
      </w:tr>
    </w:tbl>
    <w:p w14:paraId="0D37FEC0" w14:textId="77777777" w:rsidR="00171AA8" w:rsidRPr="00731FE2" w:rsidRDefault="00171AA8"/>
    <w:p w14:paraId="3834BABB"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b/>
          <w:bCs/>
          <w:color w:val="000000" w:themeColor="text1"/>
        </w:rPr>
        <w:t>Коллектора и сети хозяйственно-бытового водоотведения.</w:t>
      </w:r>
      <w:r w:rsidRPr="00731FE2">
        <w:rPr>
          <w:rFonts w:ascii="Times New Roman" w:hAnsi="Times New Roman" w:cs="Times New Roman"/>
          <w:color w:val="000000" w:themeColor="text1"/>
        </w:rPr>
        <w:t xml:space="preserve"> Междугородный канализационный коллектор «Кисловодск-Ессентуки-Пятигорск» (МГК) является </w:t>
      </w:r>
      <w:r w:rsidRPr="00731FE2">
        <w:rPr>
          <w:rFonts w:ascii="Times New Roman" w:hAnsi="Times New Roman" w:cs="Times New Roman"/>
          <w:color w:val="000000" w:themeColor="text1"/>
        </w:rPr>
        <w:lastRenderedPageBreak/>
        <w:t>наиболее крупной системой водоотведения в регионе КМВ, построен из бетонных, стальных, чугунных труб. К коллектору подключены с. Учкекен и ряд других населенных пунктов Карачаево-Черкесской Республики и Предгорного района Ставропольского края.</w:t>
      </w:r>
    </w:p>
    <w:p w14:paraId="59EC6D80"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Начальный участок коллектора «Учкекен-Кисловодск» протяженностью 20,0 км проложен из труб диаметром 400 мм и работает в самотечно-напорном режиме.</w:t>
      </w:r>
    </w:p>
    <w:p w14:paraId="5E31B1F9"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Участок «</w:t>
      </w:r>
      <w:proofErr w:type="gramStart"/>
      <w:r w:rsidRPr="00731FE2">
        <w:rPr>
          <w:rFonts w:ascii="Times New Roman" w:hAnsi="Times New Roman" w:cs="Times New Roman"/>
          <w:color w:val="000000" w:themeColor="text1"/>
        </w:rPr>
        <w:t>Кисловодск-Ессентуки</w:t>
      </w:r>
      <w:proofErr w:type="gramEnd"/>
      <w:r w:rsidRPr="00731FE2">
        <w:rPr>
          <w:rFonts w:ascii="Times New Roman" w:hAnsi="Times New Roman" w:cs="Times New Roman"/>
          <w:color w:val="000000" w:themeColor="text1"/>
        </w:rPr>
        <w:t>» длиной 19 км уложен из труб диаметром 800-1000 мм. Участок «</w:t>
      </w:r>
      <w:proofErr w:type="gramStart"/>
      <w:r w:rsidRPr="00731FE2">
        <w:rPr>
          <w:rFonts w:ascii="Times New Roman" w:hAnsi="Times New Roman" w:cs="Times New Roman"/>
          <w:color w:val="000000" w:themeColor="text1"/>
        </w:rPr>
        <w:t>Ессентуки-Пятигорск</w:t>
      </w:r>
      <w:proofErr w:type="gramEnd"/>
      <w:r w:rsidRPr="00731FE2">
        <w:rPr>
          <w:rFonts w:ascii="Times New Roman" w:hAnsi="Times New Roman" w:cs="Times New Roman"/>
          <w:color w:val="000000" w:themeColor="text1"/>
        </w:rPr>
        <w:t>» протяженностью 21 км уложен из труб диаметром 1000 мм.</w:t>
      </w:r>
    </w:p>
    <w:p w14:paraId="33857B91"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По данным на 01.01.2019 года на балансе филиала ГУП Ставропольского края «Ставрополькрайводоканал» – Кисловодское ПТП – Предгорный «Межрайводоканал» находятся сети водоотведения город-курорт Кисловодск общей протяженностью 193,3 км, в том числе:</w:t>
      </w:r>
    </w:p>
    <w:p w14:paraId="22E248E9" w14:textId="77777777" w:rsidR="00171AA8" w:rsidRPr="00731FE2" w:rsidRDefault="007935AB">
      <w:pPr>
        <w:pStyle w:val="a3"/>
        <w:numPr>
          <w:ilvl w:val="0"/>
          <w:numId w:val="20"/>
        </w:numPr>
        <w:pBdr>
          <w:top w:val="none" w:sz="4" w:space="0" w:color="000000"/>
          <w:left w:val="none" w:sz="4" w:space="0" w:color="000000"/>
          <w:bottom w:val="none" w:sz="4" w:space="0" w:color="000000"/>
          <w:right w:val="none" w:sz="4" w:space="0" w:color="000000"/>
        </w:pBdr>
        <w:tabs>
          <w:tab w:val="left" w:pos="992"/>
        </w:tabs>
        <w:ind w:left="0" w:firstLine="709"/>
        <w:rPr>
          <w:rFonts w:ascii="Times New Roman" w:hAnsi="Times New Roman" w:cs="Times New Roman"/>
          <w:color w:val="000000" w:themeColor="text1"/>
        </w:rPr>
      </w:pPr>
      <w:r w:rsidRPr="00731FE2">
        <w:rPr>
          <w:rFonts w:ascii="Times New Roman" w:hAnsi="Times New Roman" w:cs="Times New Roman"/>
          <w:color w:val="000000" w:themeColor="text1"/>
        </w:rPr>
        <w:t>безнапорных (самотечных) коллекторов – 191,2 км, в том числе</w:t>
      </w:r>
    </w:p>
    <w:p w14:paraId="5E13E750" w14:textId="77777777" w:rsidR="00171AA8" w:rsidRPr="00731FE2" w:rsidRDefault="007935AB">
      <w:pPr>
        <w:pStyle w:val="a3"/>
        <w:numPr>
          <w:ilvl w:val="0"/>
          <w:numId w:val="20"/>
        </w:numPr>
        <w:pBdr>
          <w:top w:val="none" w:sz="4" w:space="0" w:color="000000"/>
          <w:left w:val="none" w:sz="4" w:space="0" w:color="000000"/>
          <w:bottom w:val="none" w:sz="4" w:space="0" w:color="000000"/>
          <w:right w:val="none" w:sz="4" w:space="0" w:color="000000"/>
        </w:pBdr>
        <w:tabs>
          <w:tab w:val="left" w:pos="992"/>
        </w:tabs>
        <w:ind w:left="0" w:firstLine="709"/>
        <w:rPr>
          <w:rFonts w:ascii="Times New Roman" w:hAnsi="Times New Roman" w:cs="Times New Roman"/>
          <w:color w:val="000000" w:themeColor="text1"/>
        </w:rPr>
      </w:pPr>
      <w:r w:rsidRPr="00731FE2">
        <w:rPr>
          <w:rFonts w:ascii="Times New Roman" w:hAnsi="Times New Roman" w:cs="Times New Roman"/>
          <w:color w:val="000000" w:themeColor="text1"/>
        </w:rPr>
        <w:t>сетей диаметром от 500 мм до 1000 мм – 40,0 км;</w:t>
      </w:r>
    </w:p>
    <w:p w14:paraId="3C9DCBA5" w14:textId="77777777" w:rsidR="00171AA8" w:rsidRPr="00731FE2" w:rsidRDefault="007935AB">
      <w:pPr>
        <w:pStyle w:val="a3"/>
        <w:numPr>
          <w:ilvl w:val="0"/>
          <w:numId w:val="20"/>
        </w:numPr>
        <w:pBdr>
          <w:top w:val="none" w:sz="4" w:space="0" w:color="000000"/>
          <w:left w:val="none" w:sz="4" w:space="0" w:color="000000"/>
          <w:bottom w:val="none" w:sz="4" w:space="0" w:color="000000"/>
          <w:right w:val="none" w:sz="4" w:space="0" w:color="000000"/>
        </w:pBdr>
        <w:tabs>
          <w:tab w:val="left" w:pos="992"/>
        </w:tabs>
        <w:ind w:left="0" w:firstLine="709"/>
        <w:rPr>
          <w:rFonts w:ascii="Times New Roman" w:hAnsi="Times New Roman" w:cs="Times New Roman"/>
          <w:color w:val="000000" w:themeColor="text1"/>
        </w:rPr>
      </w:pPr>
      <w:r w:rsidRPr="00731FE2">
        <w:rPr>
          <w:rFonts w:ascii="Times New Roman" w:hAnsi="Times New Roman" w:cs="Times New Roman"/>
          <w:color w:val="000000" w:themeColor="text1"/>
        </w:rPr>
        <w:t>сетей диаметром до 500 мм – 151,2 км;</w:t>
      </w:r>
    </w:p>
    <w:p w14:paraId="0C9A3BC8" w14:textId="77777777" w:rsidR="00171AA8" w:rsidRPr="00731FE2" w:rsidRDefault="007935AB">
      <w:pPr>
        <w:pStyle w:val="a3"/>
        <w:numPr>
          <w:ilvl w:val="0"/>
          <w:numId w:val="20"/>
        </w:numPr>
        <w:pBdr>
          <w:top w:val="none" w:sz="4" w:space="0" w:color="000000"/>
          <w:left w:val="none" w:sz="4" w:space="0" w:color="000000"/>
          <w:bottom w:val="none" w:sz="4" w:space="0" w:color="000000"/>
          <w:right w:val="none" w:sz="4" w:space="0" w:color="000000"/>
        </w:pBdr>
        <w:tabs>
          <w:tab w:val="left" w:pos="992"/>
        </w:tabs>
        <w:ind w:left="0" w:firstLine="709"/>
        <w:rPr>
          <w:rFonts w:ascii="Times New Roman" w:hAnsi="Times New Roman" w:cs="Times New Roman"/>
          <w:color w:val="000000" w:themeColor="text1"/>
        </w:rPr>
      </w:pPr>
      <w:r w:rsidRPr="00731FE2">
        <w:rPr>
          <w:rFonts w:ascii="Times New Roman" w:hAnsi="Times New Roman" w:cs="Times New Roman"/>
          <w:color w:val="000000" w:themeColor="text1"/>
        </w:rPr>
        <w:t>напорных коллекторов диаметром до 500 мм – 2,1 км.</w:t>
      </w:r>
    </w:p>
    <w:p w14:paraId="13F41C09"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b/>
          <w:bCs/>
          <w:color w:val="000000" w:themeColor="text1"/>
        </w:rPr>
      </w:pPr>
      <w:r w:rsidRPr="00731FE2">
        <w:rPr>
          <w:rFonts w:ascii="Times New Roman" w:hAnsi="Times New Roman" w:cs="Times New Roman"/>
          <w:b/>
          <w:bCs/>
          <w:color w:val="000000" w:themeColor="text1"/>
        </w:rPr>
        <w:t>Канализационные сети проложены из различных материалов: сталь, чугун, асбестоцемент, пластмасса (ПНД, ПВХ), железобетон, керамика. Удельный вес сетей, нуждающихся в замене – 63,7%. Общая протяженность сетей, нуждающихся в замене – 123,3 км.</w:t>
      </w:r>
    </w:p>
    <w:p w14:paraId="16E43779"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b/>
          <w:bCs/>
          <w:color w:val="000000" w:themeColor="text1"/>
        </w:rPr>
        <w:t xml:space="preserve">Технологические зоны водоотведения хозяйственно-бытовых стоков. </w:t>
      </w:r>
      <w:r w:rsidRPr="00731FE2">
        <w:rPr>
          <w:rFonts w:ascii="Times New Roman" w:hAnsi="Times New Roman" w:cs="Times New Roman"/>
          <w:color w:val="000000" w:themeColor="text1"/>
        </w:rPr>
        <w:t>Все сточные воды городского округа города-курорта Кисловодска организованно отводятся через централизованную систему хозяйственно-бытового водоотведения на ОСК г. Пятигорск.</w:t>
      </w:r>
    </w:p>
    <w:p w14:paraId="4C30EB42"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iCs/>
          <w:color w:val="000000" w:themeColor="text1"/>
        </w:rPr>
        <w:t xml:space="preserve">Зона канализования главного канализационного коллектора. </w:t>
      </w:r>
      <w:r w:rsidRPr="00731FE2">
        <w:rPr>
          <w:rFonts w:ascii="Times New Roman" w:hAnsi="Times New Roman" w:cs="Times New Roman"/>
          <w:color w:val="000000" w:themeColor="text1"/>
        </w:rPr>
        <w:t xml:space="preserve">Трасса главного канализационного коллектора проходит по Курортному Бульвару (диаметр 300 мм, 400 мм), ул. Тюленева (диаметр 500 мм), пр. </w:t>
      </w:r>
      <w:proofErr w:type="gramStart"/>
      <w:r w:rsidRPr="00731FE2">
        <w:rPr>
          <w:rFonts w:ascii="Times New Roman" w:hAnsi="Times New Roman" w:cs="Times New Roman"/>
          <w:color w:val="000000" w:themeColor="text1"/>
        </w:rPr>
        <w:t>Победы (диаметр 500 мм), ул. Набережная (диаметр 600 мм), ул. Главная (диаметр 600 мм), ул. Стародубовская (диаметр 900 мм), ул. Окопная, через пр.</w:t>
      </w:r>
      <w:proofErr w:type="gramEnd"/>
      <w:r w:rsidRPr="00731FE2">
        <w:rPr>
          <w:rFonts w:ascii="Times New Roman" w:hAnsi="Times New Roman" w:cs="Times New Roman"/>
          <w:color w:val="000000" w:themeColor="text1"/>
        </w:rPr>
        <w:t xml:space="preserve"> Победы (диаметр 800 мм) под железнодорожным мостом к сборной камере МГК.</w:t>
      </w:r>
    </w:p>
    <w:p w14:paraId="0BBE15B3"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xml:space="preserve">В главный канализационный коллектор поступают сточные воды от района п. Зеленогорский, п. Аликоновка, п. Нежинский, пансионата «Горное Эхо», улиц: </w:t>
      </w:r>
      <w:proofErr w:type="gramStart"/>
      <w:r w:rsidRPr="00731FE2">
        <w:rPr>
          <w:rFonts w:ascii="Times New Roman" w:hAnsi="Times New Roman" w:cs="Times New Roman"/>
          <w:color w:val="000000" w:themeColor="text1"/>
        </w:rPr>
        <w:t>Красивая, Азербайджанская, Шмидта, Редутная, Грозненская, М. Расковой, Умара Алиева, Боргустанская, Жмакина, Челюскинцев, пр.</w:t>
      </w:r>
      <w:proofErr w:type="gramEnd"/>
      <w:r w:rsidRPr="00731FE2">
        <w:rPr>
          <w:rFonts w:ascii="Times New Roman" w:hAnsi="Times New Roman" w:cs="Times New Roman"/>
          <w:color w:val="000000" w:themeColor="text1"/>
        </w:rPr>
        <w:t xml:space="preserve"> </w:t>
      </w:r>
      <w:proofErr w:type="gramStart"/>
      <w:r w:rsidRPr="00731FE2">
        <w:rPr>
          <w:rFonts w:ascii="Times New Roman" w:hAnsi="Times New Roman" w:cs="Times New Roman"/>
          <w:color w:val="000000" w:themeColor="text1"/>
        </w:rPr>
        <w:t>Цандера, Кирова, 8 Марта, Желябова, Широкая, Жуковского, Войкова, Чайковского, Западная, Щорса, пер. Казачий, Олимпийского комплекса и санаториев:</w:t>
      </w:r>
      <w:proofErr w:type="gramEnd"/>
      <w:r w:rsidRPr="00731FE2">
        <w:rPr>
          <w:rFonts w:ascii="Times New Roman" w:hAnsi="Times New Roman" w:cs="Times New Roman"/>
          <w:color w:val="000000" w:themeColor="text1"/>
        </w:rPr>
        <w:t xml:space="preserve"> </w:t>
      </w:r>
      <w:proofErr w:type="gramStart"/>
      <w:r w:rsidRPr="00731FE2">
        <w:rPr>
          <w:rFonts w:ascii="Times New Roman" w:hAnsi="Times New Roman" w:cs="Times New Roman"/>
          <w:color w:val="000000" w:themeColor="text1"/>
        </w:rPr>
        <w:t>«Россия», «Джинал», «Москва», «Орджоникидзе», «Кирова», «Димитрова», «Плаза», «Родина», «Нарзан», «Семашко», «М.О.», «Красные камни», «Красный Октябрь», «Центросоюз», «Горького».</w:t>
      </w:r>
      <w:proofErr w:type="gramEnd"/>
    </w:p>
    <w:p w14:paraId="16533BE3"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iCs/>
          <w:color w:val="000000" w:themeColor="text1"/>
        </w:rPr>
        <w:t>Зона канализования разгрузочного канализационного коллектора.</w:t>
      </w:r>
      <w:r w:rsidRPr="00731FE2">
        <w:rPr>
          <w:rFonts w:ascii="Times New Roman" w:hAnsi="Times New Roman" w:cs="Times New Roman"/>
          <w:color w:val="000000" w:themeColor="text1"/>
        </w:rPr>
        <w:t xml:space="preserve"> Трасса разгрузочного канализационного коллектора проходит по пр. Мира (диаметр 400 мм, 500 мм), пр. Первомайский (диаметр 500 мм, 600 мм), пр. </w:t>
      </w:r>
      <w:proofErr w:type="gramStart"/>
      <w:r w:rsidRPr="00731FE2">
        <w:rPr>
          <w:rFonts w:ascii="Times New Roman" w:hAnsi="Times New Roman" w:cs="Times New Roman"/>
          <w:color w:val="000000" w:themeColor="text1"/>
        </w:rPr>
        <w:t>Победы (диаметр 600 мм, 800 мм), ул. Набережная (диаметр 800 мм), ул. Украинская (диаметр 800 мм), ул. Ессентукская (диаметр 1000 мм) под железной дорогой, пер. Пороховой (диаметр 1000 мм) через садовое товарищество «Юбилейное» реку Подкумок до сборной камеры МГК.</w:t>
      </w:r>
      <w:proofErr w:type="gramEnd"/>
    </w:p>
    <w:p w14:paraId="122D2E5D"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lastRenderedPageBreak/>
        <w:t xml:space="preserve">В разгрузочный канализационный коллектор поступают сточные воды от санаториев: </w:t>
      </w:r>
      <w:proofErr w:type="gramStart"/>
      <w:r w:rsidRPr="00731FE2">
        <w:rPr>
          <w:rFonts w:ascii="Times New Roman" w:hAnsi="Times New Roman" w:cs="Times New Roman"/>
          <w:color w:val="000000" w:themeColor="text1"/>
        </w:rPr>
        <w:t>«Кавказ», «Узбекистан», «Заря», «Вилла Арнест», «Крепость», «Эльбрус», «Родник», «Пикет», «Жемчужина Кавказа», «Колос» и районы улиц:</w:t>
      </w:r>
      <w:proofErr w:type="gramEnd"/>
      <w:r w:rsidRPr="00731FE2">
        <w:rPr>
          <w:rFonts w:ascii="Times New Roman" w:hAnsi="Times New Roman" w:cs="Times New Roman"/>
          <w:color w:val="000000" w:themeColor="text1"/>
        </w:rPr>
        <w:t xml:space="preserve"> </w:t>
      </w:r>
      <w:proofErr w:type="gramStart"/>
      <w:r w:rsidRPr="00731FE2">
        <w:rPr>
          <w:rFonts w:ascii="Times New Roman" w:hAnsi="Times New Roman" w:cs="Times New Roman"/>
          <w:color w:val="000000" w:themeColor="text1"/>
        </w:rPr>
        <w:t xml:space="preserve">Ермолова, Березовская, Гагарина, Лермонтова, Подгорная, Кабардинская, Ярошенко, Кольцова, Катыхина, Ломоносова, Фрунзе, Крылова, Полевая, Кутузова, Авиации, Шаумяна, Яновского, Еськова, Розы Люксембург, Курганная, Рубина, Учительская, Тельмана, Горького, Крупской, Линейная, Гастелло, 40 лет Октября, Куйбышева, Андрея Губина, Ленинградская, Героев Медиков, Новая, Фоменко, Пушкина, Чапаева, Чехова, Пороховая. </w:t>
      </w:r>
      <w:proofErr w:type="gramEnd"/>
    </w:p>
    <w:p w14:paraId="6A58506B"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b/>
          <w:bCs/>
          <w:color w:val="000000" w:themeColor="text1"/>
        </w:rPr>
      </w:pPr>
      <w:r w:rsidRPr="00731FE2">
        <w:rPr>
          <w:rFonts w:ascii="Times New Roman" w:hAnsi="Times New Roman" w:cs="Times New Roman"/>
          <w:b/>
          <w:bCs/>
          <w:color w:val="000000" w:themeColor="text1"/>
        </w:rPr>
        <w:t xml:space="preserve">В настоящее время количество приборов, осуществляющих коммерческий учет сточных вод, составляет 15-20%. Объемы реализации сточных вод для подавляющего большинства абонентов производятся расчетным методом исходя из объемов потребления холодной и горячей воды. </w:t>
      </w:r>
    </w:p>
    <w:p w14:paraId="59120045"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b/>
          <w:bCs/>
          <w:color w:val="000000" w:themeColor="text1"/>
        </w:rPr>
        <w:t xml:space="preserve">Характеристика системы утилизации жидких бытовых отходов (ЖБО). </w:t>
      </w:r>
      <w:r w:rsidRPr="00731FE2">
        <w:rPr>
          <w:rFonts w:ascii="Times New Roman" w:hAnsi="Times New Roman" w:cs="Times New Roman"/>
          <w:color w:val="000000" w:themeColor="text1"/>
        </w:rPr>
        <w:t xml:space="preserve">В жилых </w:t>
      </w:r>
      <w:r w:rsidR="00A72799" w:rsidRPr="00731FE2">
        <w:rPr>
          <w:rFonts w:ascii="Times New Roman" w:hAnsi="Times New Roman" w:cs="Times New Roman"/>
          <w:color w:val="000000" w:themeColor="text1"/>
        </w:rPr>
        <w:t>не канализованных</w:t>
      </w:r>
      <w:r w:rsidRPr="00731FE2">
        <w:rPr>
          <w:rFonts w:ascii="Times New Roman" w:hAnsi="Times New Roman" w:cs="Times New Roman"/>
          <w:color w:val="000000" w:themeColor="text1"/>
        </w:rPr>
        <w:t xml:space="preserve"> районах города-курорта ЖБО накапливаются в специальных емкостях – септиках, выгребах туалетов и помойных ямах. Вывоз ЖБО производится ассенизационным транспортом.</w:t>
      </w:r>
    </w:p>
    <w:p w14:paraId="22A14A62"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xml:space="preserve">Жидкие отходы от не канализованного жилого фонда через сливной колодец поступают в объединенный канализационный коллектор, и далее сбрасываются на объединенные очистные сооружения г. Минеральные Воды. </w:t>
      </w:r>
    </w:p>
    <w:p w14:paraId="20AF59FC"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b/>
          <w:bCs/>
          <w:color w:val="000000" w:themeColor="text1"/>
        </w:rPr>
      </w:pPr>
      <w:r w:rsidRPr="00731FE2">
        <w:rPr>
          <w:rFonts w:ascii="Times New Roman" w:hAnsi="Times New Roman" w:cs="Times New Roman"/>
          <w:b/>
          <w:bCs/>
          <w:color w:val="000000" w:themeColor="text1"/>
        </w:rPr>
        <w:t xml:space="preserve">Анализ </w:t>
      </w:r>
      <w:proofErr w:type="gramStart"/>
      <w:r w:rsidRPr="00731FE2">
        <w:rPr>
          <w:rFonts w:ascii="Times New Roman" w:hAnsi="Times New Roman" w:cs="Times New Roman"/>
          <w:b/>
          <w:bCs/>
          <w:color w:val="000000" w:themeColor="text1"/>
        </w:rPr>
        <w:t>состояния системы централизованного водоотведения городского округа города-курорта Кисловодска</w:t>
      </w:r>
      <w:proofErr w:type="gramEnd"/>
      <w:r w:rsidRPr="00731FE2">
        <w:rPr>
          <w:rFonts w:ascii="Times New Roman" w:hAnsi="Times New Roman" w:cs="Times New Roman"/>
          <w:b/>
          <w:bCs/>
          <w:color w:val="000000" w:themeColor="text1"/>
        </w:rPr>
        <w:t xml:space="preserve"> позволил выявить следующие основные проблемы:</w:t>
      </w:r>
    </w:p>
    <w:p w14:paraId="021BDDDC" w14:textId="77777777" w:rsidR="00171AA8" w:rsidRPr="00731FE2" w:rsidRDefault="007935AB">
      <w:pPr>
        <w:pStyle w:val="a3"/>
        <w:numPr>
          <w:ilvl w:val="0"/>
          <w:numId w:val="20"/>
        </w:numPr>
        <w:pBdr>
          <w:top w:val="none" w:sz="4" w:space="0" w:color="000000"/>
          <w:left w:val="none" w:sz="4" w:space="0" w:color="000000"/>
          <w:bottom w:val="none" w:sz="4" w:space="0" w:color="000000"/>
          <w:right w:val="none" w:sz="4" w:space="0" w:color="000000"/>
        </w:pBdr>
        <w:tabs>
          <w:tab w:val="left" w:pos="992"/>
        </w:tabs>
        <w:ind w:left="0" w:firstLine="709"/>
        <w:rPr>
          <w:rFonts w:ascii="Times New Roman" w:hAnsi="Times New Roman" w:cs="Times New Roman"/>
          <w:b/>
          <w:bCs/>
          <w:color w:val="000000" w:themeColor="text1"/>
        </w:rPr>
      </w:pPr>
      <w:r w:rsidRPr="00731FE2">
        <w:rPr>
          <w:rFonts w:ascii="Times New Roman" w:hAnsi="Times New Roman" w:cs="Times New Roman"/>
          <w:b/>
          <w:bCs/>
          <w:color w:val="000000" w:themeColor="text1"/>
        </w:rPr>
        <w:t>нормативный срок эксплуатации большей части канализационных сетей превышен. В результате чего наблюдается положительная динамика возникновения аварийных ситуаций, засоров трубопроводов, утечек, а также увеличение времени ликвидации аварий;</w:t>
      </w:r>
    </w:p>
    <w:p w14:paraId="021AF513" w14:textId="77777777" w:rsidR="00171AA8" w:rsidRPr="00731FE2" w:rsidRDefault="007935AB">
      <w:pPr>
        <w:pStyle w:val="a3"/>
        <w:numPr>
          <w:ilvl w:val="0"/>
          <w:numId w:val="20"/>
        </w:numPr>
        <w:pBdr>
          <w:top w:val="none" w:sz="4" w:space="0" w:color="000000"/>
          <w:left w:val="none" w:sz="4" w:space="0" w:color="000000"/>
          <w:bottom w:val="none" w:sz="4" w:space="0" w:color="000000"/>
          <w:right w:val="none" w:sz="4" w:space="0" w:color="000000"/>
        </w:pBdr>
        <w:tabs>
          <w:tab w:val="left" w:pos="992"/>
        </w:tabs>
        <w:ind w:left="0" w:firstLine="709"/>
        <w:rPr>
          <w:rFonts w:ascii="Times New Roman" w:hAnsi="Times New Roman" w:cs="Times New Roman"/>
          <w:b/>
          <w:bCs/>
          <w:color w:val="000000" w:themeColor="text1"/>
        </w:rPr>
      </w:pPr>
      <w:r w:rsidRPr="00731FE2">
        <w:rPr>
          <w:rFonts w:ascii="Times New Roman" w:hAnsi="Times New Roman" w:cs="Times New Roman"/>
          <w:b/>
          <w:bCs/>
          <w:color w:val="000000" w:themeColor="text1"/>
        </w:rPr>
        <w:t>дефицит пропускной способности системы водоотведения. Решение текущей проблемы может быть достигнуто путем реконструкции сетей канализации с увеличением диаметров отдельных участков и нормализации гидравлического режима;</w:t>
      </w:r>
    </w:p>
    <w:p w14:paraId="5F389D90" w14:textId="77777777" w:rsidR="00171AA8" w:rsidRPr="00731FE2" w:rsidRDefault="007935AB">
      <w:pPr>
        <w:pStyle w:val="a3"/>
        <w:numPr>
          <w:ilvl w:val="0"/>
          <w:numId w:val="20"/>
        </w:numPr>
        <w:pBdr>
          <w:top w:val="none" w:sz="4" w:space="0" w:color="000000"/>
          <w:left w:val="none" w:sz="4" w:space="0" w:color="000000"/>
          <w:bottom w:val="none" w:sz="4" w:space="0" w:color="000000"/>
          <w:right w:val="none" w:sz="4" w:space="0" w:color="000000"/>
        </w:pBdr>
        <w:tabs>
          <w:tab w:val="left" w:pos="992"/>
        </w:tabs>
        <w:ind w:left="0" w:firstLine="709"/>
        <w:rPr>
          <w:rFonts w:ascii="Times New Roman" w:hAnsi="Times New Roman" w:cs="Times New Roman"/>
          <w:b/>
          <w:bCs/>
          <w:color w:val="000000" w:themeColor="text1"/>
        </w:rPr>
      </w:pPr>
      <w:r w:rsidRPr="00731FE2">
        <w:rPr>
          <w:rFonts w:ascii="Times New Roman" w:hAnsi="Times New Roman" w:cs="Times New Roman"/>
          <w:b/>
          <w:bCs/>
          <w:color w:val="000000" w:themeColor="text1"/>
        </w:rPr>
        <w:t>неполный охват территории города-курорта сетями канализации, 50% индивидуальных жилых домов, не имеют подключения к централизованной канализации. Главным образом это объясняется сложностью рельефа, где перепад высот достигает 400 м. Для ее решения необходимо разработать проекты трассировки сетей водоотведения для неохваченных районов с проектированием максимального количества самотечных участков с целью уменьшения количества канализационных насосных станций.</w:t>
      </w:r>
    </w:p>
    <w:p w14:paraId="1A018EFA" w14:textId="77777777" w:rsidR="00171AA8" w:rsidRPr="00731FE2" w:rsidRDefault="007935AB">
      <w:pPr>
        <w:pStyle w:val="33"/>
        <w:rPr>
          <w:rFonts w:ascii="Times New Roman" w:hAnsi="Times New Roman" w:cs="Times New Roman"/>
        </w:rPr>
      </w:pPr>
      <w:bookmarkStart w:id="50" w:name="_Toc177392801"/>
      <w:r w:rsidRPr="00731FE2">
        <w:rPr>
          <w:rFonts w:ascii="Times New Roman" w:hAnsi="Times New Roman" w:cs="Times New Roman"/>
        </w:rPr>
        <w:t>2.11.2 Теплоснабжение</w:t>
      </w:r>
      <w:bookmarkEnd w:id="50"/>
    </w:p>
    <w:p w14:paraId="48D6CDB5"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Теплоснабжение городского округа осуществляется как централизованно, так и децентрализовано. Основными источниками централизованного теплоснабжения являются КТЭЦ и котельные различной тепловой производительности. Эти источники обеспечивают теплом жилищно-коммунальную застройку, общественные здания, санаторно-курортные учреждения и промышленные предприятия города-курорта.</w:t>
      </w:r>
    </w:p>
    <w:p w14:paraId="739E7E21"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xml:space="preserve">Теплоснабжение жилой малоэтажной застройки – децентрализованное, от индивидуальных поквартирных источников тепла. </w:t>
      </w:r>
    </w:p>
    <w:p w14:paraId="2259AEFA"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lastRenderedPageBreak/>
        <w:t xml:space="preserve">Централизованное теплоснабжение городского округа город-курорт Кисловодск осуществляют ООО «ЛУКОЙЛ-Ростовэнерго» </w:t>
      </w:r>
      <w:proofErr w:type="gramStart"/>
      <w:r w:rsidRPr="00731FE2">
        <w:rPr>
          <w:rFonts w:ascii="Times New Roman" w:hAnsi="Times New Roman" w:cs="Times New Roman"/>
          <w:color w:val="000000" w:themeColor="text1"/>
        </w:rPr>
        <w:t>и ООО</w:t>
      </w:r>
      <w:proofErr w:type="gramEnd"/>
      <w:r w:rsidRPr="00731FE2">
        <w:rPr>
          <w:rFonts w:ascii="Times New Roman" w:hAnsi="Times New Roman" w:cs="Times New Roman"/>
          <w:color w:val="000000" w:themeColor="text1"/>
        </w:rPr>
        <w:t xml:space="preserve"> «Теплоэнерго Кисловодск».</w:t>
      </w:r>
    </w:p>
    <w:p w14:paraId="659A7161"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На балансе ООО «ЛУКОЙЛ-Ростовэнерго» находятся Кисловодская ТЭЦ (КТЭЦ), расположенная по ул. Тюленева, 18, «Запикетная» ГПА-ТЭЦ.</w:t>
      </w:r>
    </w:p>
    <w:p w14:paraId="70FC77CB"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КТЭЦ обслуживает правобережную санаторно-курортную часть города-курорта с установленной тепловой мощностью – 100,14 Гкал/час. Электрическая мощность – 12,1 МВт.</w:t>
      </w:r>
      <w:r w:rsidRPr="00731FE2">
        <w:rPr>
          <w:rStyle w:val="afb"/>
          <w:rFonts w:ascii="Times New Roman" w:hAnsi="Times New Roman" w:cs="Times New Roman"/>
          <w:color w:val="000000" w:themeColor="text1"/>
          <w:vertAlign w:val="superscript"/>
        </w:rPr>
        <w:footnoteReference w:id="70"/>
      </w:r>
    </w:p>
    <w:p w14:paraId="208C939F"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Кисловодская ТЭЦ оборудована двумя паровыми котлами БМ-35РФ и двумя паровыми котлами типа БГ-35. Так же в состав входят два турбины с генератором P-6-35/5M произведенных на Калужском турбинном заводе. Кроме этого в состав входят два водогрейных котла КВГМ 30 и теплофикационная установка.</w:t>
      </w:r>
    </w:p>
    <w:p w14:paraId="4C07EB64"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Паровые котлы КТЭЦ имеют большой процент износа (срок эксплуатации более 30 лет). Основным топливом для КТЭЦ является природный газ, аварийным – мазут, резервное топливо не предусмотрено. Приказом Министерства ЖКХ Ставропольского края № 217-О/Д от 9 июля 2013 г. утвержден нормативный аварийный запас топлива (мазута) на Кисловодской ТЭЦ, который составляет 98 т.</w:t>
      </w:r>
      <w:r w:rsidRPr="00731FE2">
        <w:rPr>
          <w:rStyle w:val="afb"/>
          <w:rFonts w:ascii="Times New Roman" w:hAnsi="Times New Roman" w:cs="Times New Roman"/>
          <w:color w:val="000000" w:themeColor="text1"/>
          <w:vertAlign w:val="superscript"/>
        </w:rPr>
        <w:footnoteReference w:id="71"/>
      </w:r>
    </w:p>
    <w:p w14:paraId="66DE30BF"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Работа КТЭЦ носит сезонный характер – пик нагрузки приходится на зимнее время, в то время как летом значительные мощности КТЭЦ простаивают.</w:t>
      </w:r>
    </w:p>
    <w:p w14:paraId="7500EBEC"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От КТЭЦ проложено четыре магистральных теплопровода: Северный Луч, Восточный Луч, Южный Луч и Западный Луч. Тепловые сети работают обособленно на свои тепловые районы. Горячее водоснабжение осуществляется через индивидуальные скоростные водонагреватели, подключенные к тепловым сетям по универсальной схеме. Водонагреватели установлены в индивидуальных тепловых пунктах (ИТП). Отпуск тепла осуществляется по отопительному графику при централизованном качественном регулировании.</w:t>
      </w:r>
    </w:p>
    <w:p w14:paraId="3F67A316"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Вид теплоносителя – вода, пар.</w:t>
      </w:r>
    </w:p>
    <w:p w14:paraId="05E861A1"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xml:space="preserve">Параметры теплоносителя: </w:t>
      </w:r>
    </w:p>
    <w:p w14:paraId="3EF620C6" w14:textId="77777777" w:rsidR="00171AA8" w:rsidRPr="00731FE2" w:rsidRDefault="007935AB">
      <w:pPr>
        <w:pStyle w:val="a3"/>
        <w:numPr>
          <w:ilvl w:val="0"/>
          <w:numId w:val="20"/>
        </w:numPr>
        <w:pBdr>
          <w:top w:val="none" w:sz="4" w:space="0" w:color="000000"/>
          <w:left w:val="none" w:sz="4" w:space="0" w:color="000000"/>
          <w:bottom w:val="none" w:sz="4" w:space="0" w:color="000000"/>
          <w:right w:val="none" w:sz="4" w:space="0" w:color="000000"/>
        </w:pBdr>
        <w:tabs>
          <w:tab w:val="left" w:pos="992"/>
        </w:tabs>
        <w:ind w:left="0" w:firstLine="709"/>
        <w:rPr>
          <w:rFonts w:ascii="Times New Roman" w:hAnsi="Times New Roman" w:cs="Times New Roman"/>
          <w:color w:val="000000" w:themeColor="text1"/>
        </w:rPr>
      </w:pPr>
      <w:r w:rsidRPr="00731FE2">
        <w:rPr>
          <w:rFonts w:ascii="Times New Roman" w:hAnsi="Times New Roman" w:cs="Times New Roman"/>
          <w:color w:val="000000" w:themeColor="text1"/>
        </w:rPr>
        <w:t>по воде – 130/70</w:t>
      </w:r>
      <w:r w:rsidRPr="00731FE2">
        <w:rPr>
          <w:rFonts w:ascii="Times New Roman" w:hAnsi="Times New Roman" w:cs="Times New Roman"/>
          <w:color w:val="000000" w:themeColor="text1"/>
          <w:vertAlign w:val="superscript"/>
        </w:rPr>
        <w:t>о</w:t>
      </w:r>
      <w:r w:rsidRPr="00731FE2">
        <w:rPr>
          <w:rFonts w:ascii="Times New Roman" w:hAnsi="Times New Roman" w:cs="Times New Roman"/>
          <w:color w:val="000000" w:themeColor="text1"/>
        </w:rPr>
        <w:t>С,</w:t>
      </w:r>
    </w:p>
    <w:p w14:paraId="03542A1E" w14:textId="77777777" w:rsidR="00171AA8" w:rsidRPr="00731FE2" w:rsidRDefault="007935AB">
      <w:pPr>
        <w:pStyle w:val="a3"/>
        <w:numPr>
          <w:ilvl w:val="0"/>
          <w:numId w:val="20"/>
        </w:numPr>
        <w:pBdr>
          <w:top w:val="none" w:sz="4" w:space="0" w:color="000000"/>
          <w:left w:val="none" w:sz="4" w:space="0" w:color="000000"/>
          <w:bottom w:val="none" w:sz="4" w:space="0" w:color="000000"/>
          <w:right w:val="none" w:sz="4" w:space="0" w:color="000000"/>
        </w:pBdr>
        <w:tabs>
          <w:tab w:val="left" w:pos="992"/>
        </w:tabs>
        <w:ind w:left="0" w:firstLine="709"/>
        <w:rPr>
          <w:rFonts w:ascii="Times New Roman" w:hAnsi="Times New Roman" w:cs="Times New Roman"/>
          <w:color w:val="000000" w:themeColor="text1"/>
        </w:rPr>
      </w:pPr>
      <w:r w:rsidRPr="00731FE2">
        <w:rPr>
          <w:rFonts w:ascii="Times New Roman" w:hAnsi="Times New Roman" w:cs="Times New Roman"/>
          <w:color w:val="000000" w:themeColor="text1"/>
        </w:rPr>
        <w:t>по пару – давлением 3,1 кгс/см</w:t>
      </w:r>
      <w:proofErr w:type="gramStart"/>
      <w:r w:rsidRPr="00731FE2">
        <w:rPr>
          <w:rFonts w:ascii="Times New Roman" w:hAnsi="Times New Roman" w:cs="Times New Roman"/>
          <w:color w:val="000000" w:themeColor="text1"/>
          <w:vertAlign w:val="superscript"/>
        </w:rPr>
        <w:t>2</w:t>
      </w:r>
      <w:proofErr w:type="gramEnd"/>
      <w:r w:rsidRPr="00731FE2">
        <w:rPr>
          <w:rFonts w:ascii="Times New Roman" w:hAnsi="Times New Roman" w:cs="Times New Roman"/>
          <w:color w:val="000000" w:themeColor="text1"/>
        </w:rPr>
        <w:t>, температура 220</w:t>
      </w:r>
      <w:r w:rsidRPr="00731FE2">
        <w:rPr>
          <w:rFonts w:ascii="Times New Roman" w:hAnsi="Times New Roman" w:cs="Times New Roman"/>
          <w:color w:val="000000" w:themeColor="text1"/>
          <w:vertAlign w:val="superscript"/>
        </w:rPr>
        <w:t>о</w:t>
      </w:r>
      <w:r w:rsidRPr="00731FE2">
        <w:rPr>
          <w:rFonts w:ascii="Times New Roman" w:hAnsi="Times New Roman" w:cs="Times New Roman"/>
          <w:color w:val="000000" w:themeColor="text1"/>
        </w:rPr>
        <w:t>С.</w:t>
      </w:r>
    </w:p>
    <w:p w14:paraId="4EE080BD"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Система теплоснабжения закрытая. Протяженность тепловых сетей составляет 64,87 км. Процент износа тепловых сетей составляет 95,7%.</w:t>
      </w:r>
    </w:p>
    <w:p w14:paraId="15B7A337"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Количество выработанного тепла:</w:t>
      </w:r>
    </w:p>
    <w:p w14:paraId="40FD2336" w14:textId="77777777" w:rsidR="00171AA8" w:rsidRPr="00731FE2" w:rsidRDefault="007935AB">
      <w:pPr>
        <w:pStyle w:val="a3"/>
        <w:numPr>
          <w:ilvl w:val="0"/>
          <w:numId w:val="20"/>
        </w:numPr>
        <w:pBdr>
          <w:top w:val="none" w:sz="4" w:space="0" w:color="000000"/>
          <w:left w:val="none" w:sz="4" w:space="0" w:color="000000"/>
          <w:bottom w:val="none" w:sz="4" w:space="0" w:color="000000"/>
          <w:right w:val="none" w:sz="4" w:space="0" w:color="000000"/>
        </w:pBdr>
        <w:tabs>
          <w:tab w:val="left" w:pos="992"/>
        </w:tabs>
        <w:ind w:left="0" w:firstLine="709"/>
        <w:rPr>
          <w:rFonts w:ascii="Times New Roman" w:hAnsi="Times New Roman" w:cs="Times New Roman"/>
          <w:color w:val="000000" w:themeColor="text1"/>
        </w:rPr>
      </w:pPr>
      <w:r w:rsidRPr="00731FE2">
        <w:rPr>
          <w:rFonts w:ascii="Times New Roman" w:hAnsi="Times New Roman" w:cs="Times New Roman"/>
          <w:color w:val="000000" w:themeColor="text1"/>
        </w:rPr>
        <w:t>на промышленность: по пару – 2,3 т/час, по воде – 94,81 Гкал/час;</w:t>
      </w:r>
    </w:p>
    <w:p w14:paraId="4A3CAB3A" w14:textId="77777777" w:rsidR="00171AA8" w:rsidRPr="00731FE2" w:rsidRDefault="007935AB">
      <w:pPr>
        <w:pStyle w:val="a3"/>
        <w:numPr>
          <w:ilvl w:val="0"/>
          <w:numId w:val="20"/>
        </w:numPr>
        <w:pBdr>
          <w:top w:val="none" w:sz="4" w:space="0" w:color="000000"/>
          <w:left w:val="none" w:sz="4" w:space="0" w:color="000000"/>
          <w:bottom w:val="none" w:sz="4" w:space="0" w:color="000000"/>
          <w:right w:val="none" w:sz="4" w:space="0" w:color="000000"/>
        </w:pBdr>
        <w:tabs>
          <w:tab w:val="left" w:pos="992"/>
        </w:tabs>
        <w:ind w:left="0" w:firstLine="709"/>
        <w:rPr>
          <w:rFonts w:ascii="Times New Roman" w:hAnsi="Times New Roman" w:cs="Times New Roman"/>
          <w:color w:val="000000" w:themeColor="text1"/>
        </w:rPr>
      </w:pPr>
      <w:r w:rsidRPr="00731FE2">
        <w:rPr>
          <w:rFonts w:ascii="Times New Roman" w:hAnsi="Times New Roman" w:cs="Times New Roman"/>
          <w:color w:val="000000" w:themeColor="text1"/>
        </w:rPr>
        <w:t>на жилищно-коммунальную застройку и соцкультбыт по воде 4,99 Гкал/час.</w:t>
      </w:r>
    </w:p>
    <w:p w14:paraId="1481BD65"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xml:space="preserve">«Запикетная» ГПА-ТЭЦ обслуживает санаторно-курортные объекты. </w:t>
      </w:r>
      <w:proofErr w:type="gramStart"/>
      <w:r w:rsidRPr="00731FE2">
        <w:rPr>
          <w:rFonts w:ascii="Times New Roman" w:hAnsi="Times New Roman" w:cs="Times New Roman"/>
          <w:color w:val="000000" w:themeColor="text1"/>
        </w:rPr>
        <w:t>Оборудована</w:t>
      </w:r>
      <w:proofErr w:type="gramEnd"/>
      <w:r w:rsidRPr="00731FE2">
        <w:rPr>
          <w:rFonts w:ascii="Times New Roman" w:hAnsi="Times New Roman" w:cs="Times New Roman"/>
          <w:color w:val="000000" w:themeColor="text1"/>
        </w:rPr>
        <w:t xml:space="preserve"> тремя котлами КВГМ-20. Электрическая мощность – 3,5 МВт. Тепловая мощность составляет 43,26 Гкал/ч.</w:t>
      </w:r>
      <w:r w:rsidRPr="00731FE2">
        <w:rPr>
          <w:rStyle w:val="afb"/>
          <w:rFonts w:ascii="Times New Roman" w:hAnsi="Times New Roman" w:cs="Times New Roman"/>
          <w:color w:val="000000" w:themeColor="text1"/>
          <w:vertAlign w:val="superscript"/>
        </w:rPr>
        <w:footnoteReference w:id="72"/>
      </w:r>
      <w:r w:rsidRPr="00731FE2">
        <w:rPr>
          <w:rFonts w:ascii="Times New Roman" w:hAnsi="Times New Roman" w:cs="Times New Roman"/>
          <w:color w:val="000000" w:themeColor="text1"/>
        </w:rPr>
        <w:t xml:space="preserve"> Год ввода в эксплуатацию – 1983. Основное топливо газ. Резервного топлива для Кисловодской ТЭЦ не предусмотрено</w:t>
      </w:r>
      <w:r w:rsidRPr="00731FE2">
        <w:rPr>
          <w:rStyle w:val="afb"/>
          <w:rFonts w:ascii="Times New Roman" w:hAnsi="Times New Roman" w:cs="Times New Roman"/>
          <w:color w:val="000000" w:themeColor="text1"/>
          <w:vertAlign w:val="superscript"/>
        </w:rPr>
        <w:footnoteReference w:id="73"/>
      </w:r>
      <w:r w:rsidRPr="00731FE2">
        <w:rPr>
          <w:rFonts w:ascii="Times New Roman" w:hAnsi="Times New Roman" w:cs="Times New Roman"/>
          <w:color w:val="000000" w:themeColor="text1"/>
        </w:rPr>
        <w:t>.</w:t>
      </w:r>
    </w:p>
    <w:p w14:paraId="504B7FB1"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Характеристика существующих ТЭЦ приведена в таблице ниже.</w:t>
      </w:r>
    </w:p>
    <w:p w14:paraId="7B6E8562" w14:textId="77777777" w:rsidR="00171AA8" w:rsidRPr="00731FE2" w:rsidRDefault="00171AA8">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p>
    <w:p w14:paraId="5A0009DE" w14:textId="77777777" w:rsidR="00171AA8" w:rsidRPr="00731FE2" w:rsidRDefault="007935AB">
      <w:pPr>
        <w:pStyle w:val="af3"/>
        <w:rPr>
          <w:sz w:val="24"/>
          <w:szCs w:val="24"/>
        </w:rPr>
      </w:pPr>
      <w:r w:rsidRPr="00731FE2">
        <w:rPr>
          <w:sz w:val="24"/>
          <w:szCs w:val="24"/>
        </w:rPr>
        <w:lastRenderedPageBreak/>
        <w:t xml:space="preserve">Таблица </w:t>
      </w:r>
      <w:r w:rsidR="00D97880" w:rsidRPr="00731FE2">
        <w:rPr>
          <w:noProof/>
          <w:sz w:val="24"/>
          <w:szCs w:val="24"/>
        </w:rPr>
        <w:fldChar w:fldCharType="begin"/>
      </w:r>
      <w:r w:rsidR="00D97880" w:rsidRPr="00731FE2">
        <w:rPr>
          <w:noProof/>
          <w:sz w:val="24"/>
          <w:szCs w:val="24"/>
        </w:rPr>
        <w:instrText xml:space="preserve"> SEQ Таблица \* Arabic </w:instrText>
      </w:r>
      <w:r w:rsidR="00D97880" w:rsidRPr="00731FE2">
        <w:rPr>
          <w:noProof/>
          <w:sz w:val="24"/>
          <w:szCs w:val="24"/>
        </w:rPr>
        <w:fldChar w:fldCharType="separate"/>
      </w:r>
      <w:r w:rsidR="00C50915" w:rsidRPr="00731FE2">
        <w:rPr>
          <w:noProof/>
          <w:sz w:val="24"/>
          <w:szCs w:val="24"/>
        </w:rPr>
        <w:t>37</w:t>
      </w:r>
      <w:r w:rsidR="00D97880" w:rsidRPr="00731FE2">
        <w:rPr>
          <w:noProof/>
          <w:sz w:val="24"/>
          <w:szCs w:val="24"/>
        </w:rPr>
        <w:fldChar w:fldCharType="end"/>
      </w:r>
      <w:r w:rsidRPr="00731FE2">
        <w:rPr>
          <w:sz w:val="24"/>
          <w:szCs w:val="24"/>
        </w:rPr>
        <w:t xml:space="preserve"> – Источники централизованного теплоснабжения ООО «ЛУКОЙЛ-Ростовэнерго» на территории городского округа города-курорта Кисловодска</w:t>
      </w:r>
      <w:r w:rsidRPr="00731FE2">
        <w:rPr>
          <w:rStyle w:val="afb"/>
          <w:color w:val="000000" w:themeColor="text1"/>
          <w:sz w:val="24"/>
          <w:szCs w:val="24"/>
          <w:vertAlign w:val="superscript"/>
        </w:rPr>
        <w:footnoteReference w:id="74"/>
      </w:r>
    </w:p>
    <w:tbl>
      <w:tblPr>
        <w:tblStyle w:val="afe"/>
        <w:tblW w:w="0" w:type="auto"/>
        <w:tblLayout w:type="fixed"/>
        <w:tblLook w:val="04A0" w:firstRow="1" w:lastRow="0" w:firstColumn="1" w:lastColumn="0" w:noHBand="0" w:noVBand="1"/>
      </w:tblPr>
      <w:tblGrid>
        <w:gridCol w:w="708"/>
        <w:gridCol w:w="2410"/>
        <w:gridCol w:w="1559"/>
        <w:gridCol w:w="1559"/>
        <w:gridCol w:w="1417"/>
        <w:gridCol w:w="1701"/>
      </w:tblGrid>
      <w:tr w:rsidR="00171AA8" w:rsidRPr="00731FE2" w14:paraId="463FB384" w14:textId="77777777">
        <w:tc>
          <w:tcPr>
            <w:tcW w:w="708" w:type="dxa"/>
            <w:vAlign w:val="center"/>
          </w:tcPr>
          <w:p w14:paraId="4E8780DC"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pPr>
            <w:r w:rsidRPr="00731FE2">
              <w:t xml:space="preserve">№ </w:t>
            </w:r>
            <w:proofErr w:type="gramStart"/>
            <w:r w:rsidRPr="00731FE2">
              <w:t>п</w:t>
            </w:r>
            <w:proofErr w:type="gramEnd"/>
            <w:r w:rsidRPr="00731FE2">
              <w:t>/п</w:t>
            </w:r>
          </w:p>
        </w:tc>
        <w:tc>
          <w:tcPr>
            <w:tcW w:w="2410" w:type="dxa"/>
            <w:vAlign w:val="center"/>
          </w:tcPr>
          <w:p w14:paraId="3F675163"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pPr>
            <w:r w:rsidRPr="00731FE2">
              <w:t>Наименование и адрес котельных</w:t>
            </w:r>
          </w:p>
        </w:tc>
        <w:tc>
          <w:tcPr>
            <w:tcW w:w="1559" w:type="dxa"/>
            <w:vAlign w:val="center"/>
          </w:tcPr>
          <w:p w14:paraId="79AA1828"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pPr>
            <w:r w:rsidRPr="00731FE2">
              <w:t>Марки установленных котлов</w:t>
            </w:r>
          </w:p>
        </w:tc>
        <w:tc>
          <w:tcPr>
            <w:tcW w:w="1559" w:type="dxa"/>
            <w:vAlign w:val="center"/>
          </w:tcPr>
          <w:p w14:paraId="0D6DA488"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pPr>
            <w:r w:rsidRPr="00731FE2">
              <w:t>Мощность, Гкал/час</w:t>
            </w:r>
          </w:p>
        </w:tc>
        <w:tc>
          <w:tcPr>
            <w:tcW w:w="1417" w:type="dxa"/>
            <w:vAlign w:val="center"/>
          </w:tcPr>
          <w:p w14:paraId="424D9B65"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pPr>
            <w:r w:rsidRPr="00731FE2">
              <w:t>Количество котлов,</w:t>
            </w:r>
          </w:p>
          <w:p w14:paraId="364F4F0E"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pPr>
            <w:r w:rsidRPr="00731FE2">
              <w:t>шт.</w:t>
            </w:r>
          </w:p>
        </w:tc>
        <w:tc>
          <w:tcPr>
            <w:tcW w:w="1701" w:type="dxa"/>
            <w:vAlign w:val="center"/>
          </w:tcPr>
          <w:p w14:paraId="1B988C01"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pPr>
            <w:r w:rsidRPr="00731FE2">
              <w:t>Год ввода котла в эксплуатацию</w:t>
            </w:r>
          </w:p>
        </w:tc>
      </w:tr>
      <w:tr w:rsidR="00171AA8" w:rsidRPr="00731FE2" w14:paraId="2B08B4E8" w14:textId="77777777">
        <w:tc>
          <w:tcPr>
            <w:tcW w:w="708" w:type="dxa"/>
            <w:vMerge w:val="restart"/>
            <w:vAlign w:val="center"/>
          </w:tcPr>
          <w:p w14:paraId="14D6AECA"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b w:val="0"/>
                <w:bCs w:val="0"/>
              </w:rPr>
            </w:pPr>
            <w:r w:rsidRPr="00731FE2">
              <w:rPr>
                <w:b w:val="0"/>
                <w:bCs w:val="0"/>
              </w:rPr>
              <w:t>1.</w:t>
            </w:r>
          </w:p>
        </w:tc>
        <w:tc>
          <w:tcPr>
            <w:tcW w:w="2410" w:type="dxa"/>
            <w:vMerge w:val="restart"/>
            <w:vAlign w:val="center"/>
          </w:tcPr>
          <w:p w14:paraId="0AFC3B13"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left"/>
              <w:rPr>
                <w:b w:val="0"/>
                <w:bCs w:val="0"/>
              </w:rPr>
            </w:pPr>
            <w:r w:rsidRPr="00731FE2">
              <w:rPr>
                <w:b w:val="0"/>
                <w:bCs w:val="0"/>
              </w:rPr>
              <w:t>Кисловодская ТЭЦ,</w:t>
            </w:r>
          </w:p>
          <w:p w14:paraId="09730A84"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left"/>
              <w:rPr>
                <w:b w:val="0"/>
                <w:bCs w:val="0"/>
              </w:rPr>
            </w:pPr>
            <w:r w:rsidRPr="00731FE2">
              <w:rPr>
                <w:b w:val="0"/>
                <w:bCs w:val="0"/>
              </w:rPr>
              <w:t>ул. Тюленева, 18</w:t>
            </w:r>
          </w:p>
        </w:tc>
        <w:tc>
          <w:tcPr>
            <w:tcW w:w="1559" w:type="dxa"/>
            <w:vAlign w:val="center"/>
          </w:tcPr>
          <w:p w14:paraId="1D672FCA"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b w:val="0"/>
                <w:bCs w:val="0"/>
              </w:rPr>
            </w:pPr>
            <w:r w:rsidRPr="00731FE2">
              <w:rPr>
                <w:b w:val="0"/>
                <w:bCs w:val="0"/>
              </w:rPr>
              <w:t>БМ-35РФ</w:t>
            </w:r>
          </w:p>
        </w:tc>
        <w:tc>
          <w:tcPr>
            <w:tcW w:w="1559" w:type="dxa"/>
            <w:vAlign w:val="center"/>
          </w:tcPr>
          <w:p w14:paraId="1AA116F3"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b w:val="0"/>
                <w:bCs w:val="0"/>
              </w:rPr>
            </w:pPr>
            <w:r w:rsidRPr="00731FE2">
              <w:rPr>
                <w:b w:val="0"/>
                <w:bCs w:val="0"/>
              </w:rPr>
              <w:t>35,0</w:t>
            </w:r>
          </w:p>
        </w:tc>
        <w:tc>
          <w:tcPr>
            <w:tcW w:w="1417" w:type="dxa"/>
            <w:vAlign w:val="center"/>
          </w:tcPr>
          <w:p w14:paraId="30FA3574"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b w:val="0"/>
                <w:bCs w:val="0"/>
              </w:rPr>
            </w:pPr>
            <w:r w:rsidRPr="00731FE2">
              <w:rPr>
                <w:b w:val="0"/>
                <w:bCs w:val="0"/>
              </w:rPr>
              <w:t>2</w:t>
            </w:r>
          </w:p>
        </w:tc>
        <w:tc>
          <w:tcPr>
            <w:tcW w:w="1701" w:type="dxa"/>
            <w:vAlign w:val="center"/>
          </w:tcPr>
          <w:p w14:paraId="09E1806E"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b w:val="0"/>
                <w:bCs w:val="0"/>
              </w:rPr>
            </w:pPr>
            <w:r w:rsidRPr="00731FE2">
              <w:rPr>
                <w:b w:val="0"/>
                <w:bCs w:val="0"/>
              </w:rPr>
              <w:t>1982,1984</w:t>
            </w:r>
          </w:p>
        </w:tc>
      </w:tr>
      <w:tr w:rsidR="00171AA8" w:rsidRPr="00731FE2" w14:paraId="1F4270FB" w14:textId="77777777">
        <w:tc>
          <w:tcPr>
            <w:tcW w:w="708" w:type="dxa"/>
            <w:vMerge/>
          </w:tcPr>
          <w:p w14:paraId="081103EC" w14:textId="77777777" w:rsidR="00171AA8" w:rsidRPr="00731FE2" w:rsidRDefault="00171AA8">
            <w:pPr>
              <w:rPr>
                <w:sz w:val="22"/>
              </w:rPr>
            </w:pPr>
          </w:p>
        </w:tc>
        <w:tc>
          <w:tcPr>
            <w:tcW w:w="2410" w:type="dxa"/>
            <w:vMerge/>
          </w:tcPr>
          <w:p w14:paraId="0FD02DD5" w14:textId="77777777" w:rsidR="00171AA8" w:rsidRPr="00731FE2" w:rsidRDefault="00171AA8">
            <w:pPr>
              <w:rPr>
                <w:sz w:val="22"/>
              </w:rPr>
            </w:pPr>
          </w:p>
        </w:tc>
        <w:tc>
          <w:tcPr>
            <w:tcW w:w="1559" w:type="dxa"/>
            <w:vAlign w:val="center"/>
          </w:tcPr>
          <w:p w14:paraId="407B0797"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b w:val="0"/>
                <w:bCs w:val="0"/>
              </w:rPr>
            </w:pPr>
            <w:r w:rsidRPr="00731FE2">
              <w:rPr>
                <w:b w:val="0"/>
                <w:bCs w:val="0"/>
              </w:rPr>
              <w:t>БГ-35</w:t>
            </w:r>
          </w:p>
        </w:tc>
        <w:tc>
          <w:tcPr>
            <w:tcW w:w="1559" w:type="dxa"/>
            <w:vAlign w:val="center"/>
          </w:tcPr>
          <w:p w14:paraId="4ADF0312"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b w:val="0"/>
                <w:bCs w:val="0"/>
              </w:rPr>
            </w:pPr>
            <w:r w:rsidRPr="00731FE2">
              <w:rPr>
                <w:b w:val="0"/>
                <w:bCs w:val="0"/>
              </w:rPr>
              <w:t>24,5</w:t>
            </w:r>
          </w:p>
        </w:tc>
        <w:tc>
          <w:tcPr>
            <w:tcW w:w="1417" w:type="dxa"/>
            <w:vAlign w:val="center"/>
          </w:tcPr>
          <w:p w14:paraId="6885B3DC"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b w:val="0"/>
                <w:bCs w:val="0"/>
              </w:rPr>
            </w:pPr>
            <w:r w:rsidRPr="00731FE2">
              <w:rPr>
                <w:b w:val="0"/>
                <w:bCs w:val="0"/>
              </w:rPr>
              <w:t>2</w:t>
            </w:r>
          </w:p>
        </w:tc>
        <w:tc>
          <w:tcPr>
            <w:tcW w:w="1701" w:type="dxa"/>
            <w:vAlign w:val="center"/>
          </w:tcPr>
          <w:p w14:paraId="6C51F575"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b w:val="0"/>
                <w:bCs w:val="0"/>
              </w:rPr>
            </w:pPr>
            <w:r w:rsidRPr="00731FE2">
              <w:rPr>
                <w:b w:val="0"/>
                <w:bCs w:val="0"/>
              </w:rPr>
              <w:t>1959</w:t>
            </w:r>
          </w:p>
        </w:tc>
      </w:tr>
      <w:tr w:rsidR="00171AA8" w:rsidRPr="00731FE2" w14:paraId="03470BBC" w14:textId="77777777">
        <w:tc>
          <w:tcPr>
            <w:tcW w:w="708" w:type="dxa"/>
            <w:vMerge/>
          </w:tcPr>
          <w:p w14:paraId="52F5212D" w14:textId="77777777" w:rsidR="00171AA8" w:rsidRPr="00731FE2" w:rsidRDefault="00171AA8">
            <w:pPr>
              <w:rPr>
                <w:sz w:val="22"/>
              </w:rPr>
            </w:pPr>
          </w:p>
        </w:tc>
        <w:tc>
          <w:tcPr>
            <w:tcW w:w="2410" w:type="dxa"/>
            <w:vMerge/>
          </w:tcPr>
          <w:p w14:paraId="2106ACF1" w14:textId="77777777" w:rsidR="00171AA8" w:rsidRPr="00731FE2" w:rsidRDefault="00171AA8">
            <w:pPr>
              <w:rPr>
                <w:sz w:val="22"/>
              </w:rPr>
            </w:pPr>
          </w:p>
        </w:tc>
        <w:tc>
          <w:tcPr>
            <w:tcW w:w="1559" w:type="dxa"/>
            <w:vAlign w:val="center"/>
          </w:tcPr>
          <w:p w14:paraId="18255B1E"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b w:val="0"/>
                <w:bCs w:val="0"/>
              </w:rPr>
            </w:pPr>
            <w:r w:rsidRPr="00731FE2">
              <w:rPr>
                <w:b w:val="0"/>
                <w:bCs w:val="0"/>
              </w:rPr>
              <w:t>КВГМ-30</w:t>
            </w:r>
          </w:p>
        </w:tc>
        <w:tc>
          <w:tcPr>
            <w:tcW w:w="1559" w:type="dxa"/>
            <w:vAlign w:val="center"/>
          </w:tcPr>
          <w:p w14:paraId="6C253EE6"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b w:val="0"/>
                <w:bCs w:val="0"/>
              </w:rPr>
            </w:pPr>
            <w:r w:rsidRPr="00731FE2">
              <w:rPr>
                <w:b w:val="0"/>
                <w:bCs w:val="0"/>
              </w:rPr>
              <w:t>30,0</w:t>
            </w:r>
          </w:p>
        </w:tc>
        <w:tc>
          <w:tcPr>
            <w:tcW w:w="1417" w:type="dxa"/>
            <w:vAlign w:val="center"/>
          </w:tcPr>
          <w:p w14:paraId="6BEAF5D0"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b w:val="0"/>
                <w:bCs w:val="0"/>
              </w:rPr>
            </w:pPr>
            <w:r w:rsidRPr="00731FE2">
              <w:rPr>
                <w:b w:val="0"/>
                <w:bCs w:val="0"/>
              </w:rPr>
              <w:t>2</w:t>
            </w:r>
          </w:p>
        </w:tc>
        <w:tc>
          <w:tcPr>
            <w:tcW w:w="1701" w:type="dxa"/>
            <w:vAlign w:val="center"/>
          </w:tcPr>
          <w:p w14:paraId="2FE51AEF"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b w:val="0"/>
                <w:bCs w:val="0"/>
              </w:rPr>
            </w:pPr>
            <w:r w:rsidRPr="00731FE2">
              <w:rPr>
                <w:b w:val="0"/>
                <w:bCs w:val="0"/>
              </w:rPr>
              <w:t>1989</w:t>
            </w:r>
          </w:p>
        </w:tc>
      </w:tr>
      <w:tr w:rsidR="00171AA8" w:rsidRPr="00731FE2" w14:paraId="4EAC7AE2" w14:textId="77777777">
        <w:tc>
          <w:tcPr>
            <w:tcW w:w="708" w:type="dxa"/>
            <w:vAlign w:val="center"/>
          </w:tcPr>
          <w:p w14:paraId="5799D4A8"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b w:val="0"/>
                <w:bCs w:val="0"/>
              </w:rPr>
            </w:pPr>
            <w:r w:rsidRPr="00731FE2">
              <w:rPr>
                <w:b w:val="0"/>
                <w:bCs w:val="0"/>
              </w:rPr>
              <w:t>2.</w:t>
            </w:r>
          </w:p>
        </w:tc>
        <w:tc>
          <w:tcPr>
            <w:tcW w:w="2410" w:type="dxa"/>
            <w:vAlign w:val="center"/>
          </w:tcPr>
          <w:p w14:paraId="43801510"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left"/>
              <w:rPr>
                <w:b w:val="0"/>
                <w:bCs w:val="0"/>
              </w:rPr>
            </w:pPr>
            <w:r w:rsidRPr="00731FE2">
              <w:rPr>
                <w:b w:val="0"/>
                <w:bCs w:val="0"/>
              </w:rPr>
              <w:t xml:space="preserve">«Запикетная» ГПА-ТЭЦ, ул. </w:t>
            </w:r>
            <w:proofErr w:type="gramStart"/>
            <w:r w:rsidRPr="00731FE2">
              <w:rPr>
                <w:b w:val="0"/>
                <w:bCs w:val="0"/>
              </w:rPr>
              <w:t>Донская</w:t>
            </w:r>
            <w:proofErr w:type="gramEnd"/>
            <w:r w:rsidRPr="00731FE2">
              <w:rPr>
                <w:b w:val="0"/>
                <w:bCs w:val="0"/>
              </w:rPr>
              <w:t>, 69</w:t>
            </w:r>
          </w:p>
        </w:tc>
        <w:tc>
          <w:tcPr>
            <w:tcW w:w="1559" w:type="dxa"/>
            <w:vAlign w:val="center"/>
          </w:tcPr>
          <w:p w14:paraId="23B4E41A"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b w:val="0"/>
                <w:bCs w:val="0"/>
              </w:rPr>
            </w:pPr>
            <w:r w:rsidRPr="00731FE2">
              <w:rPr>
                <w:b w:val="0"/>
                <w:bCs w:val="0"/>
              </w:rPr>
              <w:t>КВГМ-20</w:t>
            </w:r>
          </w:p>
        </w:tc>
        <w:tc>
          <w:tcPr>
            <w:tcW w:w="1559" w:type="dxa"/>
            <w:vAlign w:val="center"/>
          </w:tcPr>
          <w:p w14:paraId="6D9F7263"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b w:val="0"/>
                <w:bCs w:val="0"/>
              </w:rPr>
            </w:pPr>
            <w:r w:rsidRPr="00731FE2">
              <w:rPr>
                <w:b w:val="0"/>
                <w:bCs w:val="0"/>
              </w:rPr>
              <w:t>20,0</w:t>
            </w:r>
          </w:p>
        </w:tc>
        <w:tc>
          <w:tcPr>
            <w:tcW w:w="1417" w:type="dxa"/>
            <w:vAlign w:val="center"/>
          </w:tcPr>
          <w:p w14:paraId="18F441F8"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b w:val="0"/>
                <w:bCs w:val="0"/>
              </w:rPr>
            </w:pPr>
            <w:r w:rsidRPr="00731FE2">
              <w:rPr>
                <w:b w:val="0"/>
                <w:bCs w:val="0"/>
              </w:rPr>
              <w:t>3</w:t>
            </w:r>
          </w:p>
        </w:tc>
        <w:tc>
          <w:tcPr>
            <w:tcW w:w="1701" w:type="dxa"/>
            <w:vAlign w:val="center"/>
          </w:tcPr>
          <w:p w14:paraId="6D938043"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b w:val="0"/>
                <w:bCs w:val="0"/>
              </w:rPr>
            </w:pPr>
            <w:r w:rsidRPr="00731FE2">
              <w:rPr>
                <w:b w:val="0"/>
                <w:bCs w:val="0"/>
              </w:rPr>
              <w:t>2 котла 1983,2001</w:t>
            </w:r>
          </w:p>
        </w:tc>
      </w:tr>
    </w:tbl>
    <w:p w14:paraId="49F30359" w14:textId="77777777" w:rsidR="00171AA8" w:rsidRPr="00731FE2" w:rsidRDefault="00171AA8">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p>
    <w:p w14:paraId="0AD43F9B"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На балансе ООО «Теплоэнерго Кисловодск» находится 19 котельных. Суммарная мощность котельных составляет 233,91 Гкал/час.</w:t>
      </w:r>
      <w:r w:rsidRPr="00731FE2">
        <w:rPr>
          <w:rStyle w:val="afb"/>
          <w:rFonts w:ascii="Times New Roman" w:hAnsi="Times New Roman" w:cs="Times New Roman"/>
          <w:color w:val="000000" w:themeColor="text1"/>
        </w:rPr>
        <w:t xml:space="preserve"> </w:t>
      </w:r>
      <w:r w:rsidRPr="00731FE2">
        <w:rPr>
          <w:rFonts w:ascii="Times New Roman" w:hAnsi="Times New Roman" w:cs="Times New Roman"/>
          <w:color w:val="000000" w:themeColor="text1"/>
        </w:rPr>
        <w:t xml:space="preserve">Фактическая нагрузка котельных </w:t>
      </w:r>
      <w:proofErr w:type="gramStart"/>
      <w:r w:rsidRPr="00731FE2">
        <w:rPr>
          <w:rFonts w:ascii="Times New Roman" w:hAnsi="Times New Roman" w:cs="Times New Roman"/>
          <w:color w:val="000000" w:themeColor="text1"/>
        </w:rPr>
        <w:t>составляет 164,05 Гкал/час</w:t>
      </w:r>
      <w:r w:rsidRPr="00731FE2">
        <w:rPr>
          <w:rStyle w:val="afb"/>
          <w:rFonts w:ascii="Times New Roman" w:hAnsi="Times New Roman" w:cs="Times New Roman"/>
          <w:color w:val="000000" w:themeColor="text1"/>
        </w:rPr>
        <w:t>. Протяженность сетей в двухтрубном исчислении составляет 111,546 км.</w:t>
      </w:r>
      <w:r w:rsidRPr="00731FE2">
        <w:rPr>
          <w:rStyle w:val="afb"/>
          <w:rFonts w:ascii="Times New Roman" w:hAnsi="Times New Roman" w:cs="Times New Roman"/>
          <w:color w:val="000000" w:themeColor="text1"/>
          <w:vertAlign w:val="superscript"/>
        </w:rPr>
        <w:footnoteReference w:id="75"/>
      </w:r>
      <w:r w:rsidRPr="00731FE2">
        <w:rPr>
          <w:rFonts w:ascii="Times New Roman" w:hAnsi="Times New Roman" w:cs="Times New Roman"/>
          <w:color w:val="000000" w:themeColor="text1"/>
        </w:rPr>
        <w:t xml:space="preserve"> Основным топливом для котельных является</w:t>
      </w:r>
      <w:proofErr w:type="gramEnd"/>
      <w:r w:rsidRPr="00731FE2">
        <w:rPr>
          <w:rFonts w:ascii="Times New Roman" w:hAnsi="Times New Roman" w:cs="Times New Roman"/>
          <w:color w:val="000000" w:themeColor="text1"/>
        </w:rPr>
        <w:t xml:space="preserve"> природный газ.</w:t>
      </w:r>
    </w:p>
    <w:p w14:paraId="0B98E1B9"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Подача теплоносителя потребителям осуществляется через двухконтурную систему. Тепло от источников подается в центральные тепловые пункты, где посредствам теплообменников передается на второй контур системы теплоснабжения и на систему ГВС. Так же в городском округе город-курорт Кисловодск действуют котельные, работающие по принципу прямой подачи теплоносителя в здания (котельные «Форелевое хозяйство», «Новое озеро», Фоменко, 110, Толстого, 6, Седлогорская, 1 и др.).</w:t>
      </w:r>
    </w:p>
    <w:p w14:paraId="03182378"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xml:space="preserve">Общая протяженность тепловых сетей </w:t>
      </w:r>
      <w:proofErr w:type="gramStart"/>
      <w:r w:rsidRPr="00731FE2">
        <w:rPr>
          <w:rFonts w:ascii="Times New Roman" w:hAnsi="Times New Roman" w:cs="Times New Roman"/>
          <w:color w:val="000000" w:themeColor="text1"/>
        </w:rPr>
        <w:t>составляет 111,546 км</w:t>
      </w:r>
      <w:r w:rsidRPr="00731FE2">
        <w:rPr>
          <w:rStyle w:val="afb"/>
          <w:rFonts w:ascii="Times New Roman" w:hAnsi="Times New Roman" w:cs="Times New Roman"/>
          <w:color w:val="000000" w:themeColor="text1"/>
          <w:vertAlign w:val="superscript"/>
        </w:rPr>
        <w:footnoteReference w:id="76"/>
      </w:r>
      <w:r w:rsidRPr="00731FE2">
        <w:rPr>
          <w:rStyle w:val="afb"/>
          <w:rFonts w:ascii="Times New Roman" w:hAnsi="Times New Roman" w:cs="Times New Roman"/>
          <w:color w:val="000000" w:themeColor="text1"/>
        </w:rPr>
        <w:t xml:space="preserve">. </w:t>
      </w:r>
      <w:r w:rsidRPr="00731FE2">
        <w:rPr>
          <w:rFonts w:ascii="Times New Roman" w:hAnsi="Times New Roman" w:cs="Times New Roman"/>
          <w:color w:val="000000" w:themeColor="text1"/>
        </w:rPr>
        <w:t>Сети выполнены</w:t>
      </w:r>
      <w:proofErr w:type="gramEnd"/>
      <w:r w:rsidRPr="00731FE2">
        <w:rPr>
          <w:rFonts w:ascii="Times New Roman" w:hAnsi="Times New Roman" w:cs="Times New Roman"/>
          <w:color w:val="000000" w:themeColor="text1"/>
        </w:rPr>
        <w:t xml:space="preserve"> преимущественно из стальных труб с изоляцией минеральной ватой и ППУ диаметром от 100-200 мм.</w:t>
      </w:r>
    </w:p>
    <w:p w14:paraId="50155AFB"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Основная часть (60%) тепловых сетей была введена в эксплуатацию более 30 лет назад. Износ сетей составляет в некоторых случаях 100%.</w:t>
      </w:r>
    </w:p>
    <w:p w14:paraId="5E50255A"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В системе теплоснабжения городского округа города-курорта Кисловодска используется многоконтурная система – количество магистральных сетей ниже внутриквартальных. Ввиду этого, в городском округе городе-курорте Кисловодске преобладают сети с диаметром труб не превышающим 100 мм.</w:t>
      </w:r>
    </w:p>
    <w:p w14:paraId="43B5DA31"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Основные характеристики источников централизованного теплоснабжения ООО «Теплоэнерго Кисловодск» приведены в приложении 8 настоящего тома.</w:t>
      </w:r>
    </w:p>
    <w:p w14:paraId="3280643E"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Централизованным теплоснабжением охвачены потребители много- и малоэтажной жилой застройки, общественно-бытовые потребители, а также санаторно-курортные объекты.</w:t>
      </w:r>
    </w:p>
    <w:p w14:paraId="02925B38"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По данным на 2016 г. имеются резервы и дефициты мощностей источников централизованного теплоснабжения</w:t>
      </w:r>
      <w:r w:rsidRPr="00731FE2">
        <w:rPr>
          <w:rStyle w:val="afb"/>
          <w:rFonts w:ascii="Times New Roman" w:hAnsi="Times New Roman" w:cs="Times New Roman"/>
          <w:color w:val="000000" w:themeColor="text1"/>
          <w:vertAlign w:val="superscript"/>
        </w:rPr>
        <w:footnoteReference w:id="77"/>
      </w:r>
      <w:r w:rsidRPr="00731FE2">
        <w:rPr>
          <w:rFonts w:ascii="Times New Roman" w:hAnsi="Times New Roman" w:cs="Times New Roman"/>
          <w:color w:val="000000" w:themeColor="text1"/>
        </w:rPr>
        <w:t>, приведенные в приложении 9 настоящего тома.</w:t>
      </w:r>
    </w:p>
    <w:p w14:paraId="43C22BC4"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Анализ показывает, что дефицит имеется на четырех источниках, что является весьма высоким показателем. Однако</w:t>
      </w:r>
      <w:proofErr w:type="gramStart"/>
      <w:r w:rsidRPr="00731FE2">
        <w:rPr>
          <w:rFonts w:ascii="Times New Roman" w:hAnsi="Times New Roman" w:cs="Times New Roman"/>
          <w:color w:val="000000" w:themeColor="text1"/>
        </w:rPr>
        <w:t>,</w:t>
      </w:r>
      <w:proofErr w:type="gramEnd"/>
      <w:r w:rsidRPr="00731FE2">
        <w:rPr>
          <w:rFonts w:ascii="Times New Roman" w:hAnsi="Times New Roman" w:cs="Times New Roman"/>
          <w:color w:val="000000" w:themeColor="text1"/>
        </w:rPr>
        <w:t xml:space="preserve"> в большинстве случаев дефицит наблюдается на источниках малой единичной мощности и может быть ликвидирован путем </w:t>
      </w:r>
      <w:r w:rsidRPr="00731FE2">
        <w:rPr>
          <w:rFonts w:ascii="Times New Roman" w:hAnsi="Times New Roman" w:cs="Times New Roman"/>
          <w:color w:val="000000" w:themeColor="text1"/>
        </w:rPr>
        <w:lastRenderedPageBreak/>
        <w:t xml:space="preserve">перераспределения нагрузки между источниками и (или) использования пиковых котельных при низких температурах наружного воздуха. </w:t>
      </w:r>
    </w:p>
    <w:p w14:paraId="0B15CF6E"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xml:space="preserve">Индивидуальное (поквартирное) теплоснабжение применяется в индивидуальном малоэтажном жилищном фонде. Под индивидуальным теплоснабжением понимается печное отопление, либо теплоснабжение и обеспечение ГВС от индивидуальных источников энергии (котлов) работающих на природном газе. </w:t>
      </w:r>
    </w:p>
    <w:p w14:paraId="5EC3758B"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xml:space="preserve">Индивидуальный жилищный фонд характеризуется малыми расчетными тепловыми нагрузками и большим числом потребителей, что определяет необходимость строительства тепловых сетей большой протяженности и сильно разветвленной конфигурации. Капитальные вложения и расходы на техническое обслуживание тепловых сетей в этом случае велики, сроки окупаемости неприемлемы ввиду малых значений расчетных тепловых нагрузок потребителей. Наличие газификации определяет большую экономическую целесообразность введения индивидуальных источников тепловой энергии. </w:t>
      </w:r>
    </w:p>
    <w:p w14:paraId="0B813363"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xml:space="preserve">В перспективе перевода потребителей индивидуального малоэтажного жилого фонда на централизованное теплоснабжение осуществлять не планируется. </w:t>
      </w:r>
    </w:p>
    <w:p w14:paraId="769D00ED"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xml:space="preserve">Ввиду указанных выше причин, а также удаленности от действующих в настоящее время источников тепловой энергии, теплоснабжение потребителей перспективной индивидуальной жилищной застройки планируется осуществлять при помощи индивидуальных источников тепловой энергии. Исключение составляют потребители коттеджной застройки в южной части города-курорта, где в 2023 г. рекомендуется установить модульную котельную установленной мощностью порядка 25 Гкал/час. </w:t>
      </w:r>
    </w:p>
    <w:p w14:paraId="00398B7F"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xml:space="preserve">Индивидуальные квартирные источники тепловой энергии в многоквартирных жилых домах городского округа город-курорт Кисловодск в настоящий момент используются только в домах, расположенных у Форелевого хозяйства. </w:t>
      </w:r>
    </w:p>
    <w:p w14:paraId="3AA9434E"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xml:space="preserve">Потребителями тепловой энергии в системах централизованного теплоснабжения являются потребители многоэтажной и малоэтажной жилой застройки, общественные здания, санаторно-курортные объекты. </w:t>
      </w:r>
    </w:p>
    <w:p w14:paraId="0A87DBB6"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Промышленные потребители тепловой энергии к системам централизованного теплоснабжения не подключены.</w:t>
      </w:r>
    </w:p>
    <w:p w14:paraId="190484D9"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b/>
          <w:bCs/>
          <w:color w:val="000000" w:themeColor="text1"/>
        </w:rPr>
      </w:pPr>
      <w:r w:rsidRPr="00731FE2">
        <w:rPr>
          <w:rFonts w:ascii="Times New Roman" w:hAnsi="Times New Roman" w:cs="Times New Roman"/>
          <w:b/>
          <w:bCs/>
          <w:color w:val="000000" w:themeColor="text1"/>
        </w:rPr>
        <w:t>Проведенный анализ состояния системы теплоснабжения в городском округе городе-курорте Кисловодске позволяет сделать следующие выводы:</w:t>
      </w:r>
    </w:p>
    <w:p w14:paraId="5D69475B" w14:textId="77777777" w:rsidR="00171AA8" w:rsidRPr="00731FE2" w:rsidRDefault="007935AB">
      <w:pPr>
        <w:pStyle w:val="a3"/>
        <w:numPr>
          <w:ilvl w:val="0"/>
          <w:numId w:val="24"/>
        </w:numPr>
        <w:pBdr>
          <w:top w:val="none" w:sz="4" w:space="0" w:color="000000"/>
          <w:left w:val="none" w:sz="4" w:space="0" w:color="000000"/>
          <w:bottom w:val="none" w:sz="4" w:space="0" w:color="000000"/>
          <w:right w:val="none" w:sz="4" w:space="0" w:color="000000"/>
        </w:pBdr>
        <w:tabs>
          <w:tab w:val="left" w:pos="850"/>
          <w:tab w:val="left" w:pos="992"/>
        </w:tabs>
        <w:ind w:left="0" w:firstLine="709"/>
        <w:rPr>
          <w:rFonts w:ascii="Times New Roman" w:hAnsi="Times New Roman" w:cs="Times New Roman"/>
          <w:b/>
          <w:bCs/>
          <w:color w:val="000000" w:themeColor="text1"/>
        </w:rPr>
      </w:pPr>
      <w:r w:rsidRPr="00731FE2">
        <w:rPr>
          <w:rFonts w:ascii="Times New Roman" w:hAnsi="Times New Roman" w:cs="Times New Roman"/>
          <w:b/>
          <w:bCs/>
          <w:color w:val="000000" w:themeColor="text1"/>
        </w:rPr>
        <w:t>В городском округе действует централизованная система теплоснабжения, которая обеспечивает теплом жилищно-коммунальный, санаторно-курортный и промышленный сектор от КТЭЦ и котельных.</w:t>
      </w:r>
    </w:p>
    <w:p w14:paraId="2AE355B0" w14:textId="77777777" w:rsidR="00171AA8" w:rsidRPr="00731FE2" w:rsidRDefault="007935AB">
      <w:pPr>
        <w:pStyle w:val="a3"/>
        <w:numPr>
          <w:ilvl w:val="0"/>
          <w:numId w:val="24"/>
        </w:numPr>
        <w:pBdr>
          <w:top w:val="none" w:sz="4" w:space="0" w:color="000000"/>
          <w:left w:val="none" w:sz="4" w:space="0" w:color="000000"/>
          <w:bottom w:val="none" w:sz="4" w:space="0" w:color="000000"/>
          <w:right w:val="none" w:sz="4" w:space="0" w:color="000000"/>
        </w:pBdr>
        <w:tabs>
          <w:tab w:val="left" w:pos="850"/>
          <w:tab w:val="left" w:pos="992"/>
        </w:tabs>
        <w:ind w:left="0" w:firstLine="709"/>
        <w:rPr>
          <w:rFonts w:ascii="Times New Roman" w:hAnsi="Times New Roman" w:cs="Times New Roman"/>
          <w:b/>
          <w:bCs/>
          <w:color w:val="000000" w:themeColor="text1"/>
        </w:rPr>
      </w:pPr>
      <w:r w:rsidRPr="00731FE2">
        <w:rPr>
          <w:rFonts w:ascii="Times New Roman" w:hAnsi="Times New Roman" w:cs="Times New Roman"/>
          <w:b/>
          <w:bCs/>
          <w:color w:val="000000" w:themeColor="text1"/>
        </w:rPr>
        <w:t>Существует дефицит тепловой мощности котельных по ул. Минеральная, 25, ул. Набережная, 1, ул. Островского, 35 и ул. Катыхина, 155.</w:t>
      </w:r>
    </w:p>
    <w:p w14:paraId="6E5AFC6E" w14:textId="77777777" w:rsidR="00171AA8" w:rsidRPr="00731FE2" w:rsidRDefault="007935AB">
      <w:pPr>
        <w:pStyle w:val="a3"/>
        <w:numPr>
          <w:ilvl w:val="0"/>
          <w:numId w:val="24"/>
        </w:numPr>
        <w:pBdr>
          <w:top w:val="none" w:sz="4" w:space="0" w:color="000000"/>
          <w:left w:val="none" w:sz="4" w:space="0" w:color="000000"/>
          <w:bottom w:val="none" w:sz="4" w:space="0" w:color="000000"/>
          <w:right w:val="none" w:sz="4" w:space="0" w:color="000000"/>
        </w:pBdr>
        <w:tabs>
          <w:tab w:val="left" w:pos="850"/>
          <w:tab w:val="left" w:pos="992"/>
        </w:tabs>
        <w:ind w:left="0" w:firstLine="709"/>
        <w:rPr>
          <w:rFonts w:ascii="Times New Roman" w:hAnsi="Times New Roman" w:cs="Times New Roman"/>
          <w:b/>
          <w:bCs/>
          <w:color w:val="000000" w:themeColor="text1"/>
        </w:rPr>
      </w:pPr>
      <w:r w:rsidRPr="00731FE2">
        <w:rPr>
          <w:rFonts w:ascii="Times New Roman" w:hAnsi="Times New Roman" w:cs="Times New Roman"/>
          <w:b/>
          <w:bCs/>
          <w:color w:val="000000" w:themeColor="text1"/>
        </w:rPr>
        <w:t>Отсутствие резервного топлива в связи с невозможностью сжигания мазута на территории городского округа города-курорта Кисловодска.</w:t>
      </w:r>
    </w:p>
    <w:p w14:paraId="3392EA58" w14:textId="77777777" w:rsidR="00171AA8" w:rsidRPr="00731FE2" w:rsidRDefault="007935AB">
      <w:pPr>
        <w:pStyle w:val="a3"/>
        <w:numPr>
          <w:ilvl w:val="0"/>
          <w:numId w:val="24"/>
        </w:numPr>
        <w:pBdr>
          <w:top w:val="none" w:sz="4" w:space="0" w:color="000000"/>
          <w:left w:val="none" w:sz="4" w:space="0" w:color="000000"/>
          <w:bottom w:val="none" w:sz="4" w:space="0" w:color="000000"/>
          <w:right w:val="none" w:sz="4" w:space="0" w:color="000000"/>
        </w:pBdr>
        <w:tabs>
          <w:tab w:val="left" w:pos="850"/>
          <w:tab w:val="left" w:pos="992"/>
        </w:tabs>
        <w:ind w:left="0" w:firstLine="709"/>
        <w:rPr>
          <w:rFonts w:ascii="Times New Roman" w:hAnsi="Times New Roman" w:cs="Times New Roman"/>
          <w:b/>
          <w:bCs/>
          <w:color w:val="000000" w:themeColor="text1"/>
        </w:rPr>
      </w:pPr>
      <w:r w:rsidRPr="00731FE2">
        <w:rPr>
          <w:rFonts w:ascii="Times New Roman" w:hAnsi="Times New Roman" w:cs="Times New Roman"/>
          <w:b/>
          <w:bCs/>
          <w:color w:val="000000" w:themeColor="text1"/>
        </w:rPr>
        <w:t>Большой износ тепловых сетей п</w:t>
      </w:r>
      <w:proofErr w:type="gramStart"/>
      <w:r w:rsidRPr="00731FE2">
        <w:rPr>
          <w:rFonts w:ascii="Times New Roman" w:hAnsi="Times New Roman" w:cs="Times New Roman"/>
          <w:b/>
          <w:bCs/>
          <w:color w:val="000000" w:themeColor="text1"/>
        </w:rPr>
        <w:t>о ООО</w:t>
      </w:r>
      <w:proofErr w:type="gramEnd"/>
      <w:r w:rsidRPr="00731FE2">
        <w:rPr>
          <w:rFonts w:ascii="Times New Roman" w:hAnsi="Times New Roman" w:cs="Times New Roman"/>
          <w:b/>
          <w:bCs/>
          <w:color w:val="000000" w:themeColor="text1"/>
        </w:rPr>
        <w:t xml:space="preserve"> «Теплоэнерго Кисловодск» почти 100%, по ООО «ЛУКОЙЛ-Ростовэнерго» – 96%.</w:t>
      </w:r>
    </w:p>
    <w:p w14:paraId="2634F87A" w14:textId="77777777" w:rsidR="00171AA8" w:rsidRPr="00731FE2" w:rsidRDefault="007935AB">
      <w:pPr>
        <w:pStyle w:val="a3"/>
        <w:numPr>
          <w:ilvl w:val="0"/>
          <w:numId w:val="24"/>
        </w:numPr>
        <w:pBdr>
          <w:top w:val="none" w:sz="4" w:space="0" w:color="000000"/>
          <w:left w:val="none" w:sz="4" w:space="0" w:color="000000"/>
          <w:bottom w:val="none" w:sz="4" w:space="0" w:color="000000"/>
          <w:right w:val="none" w:sz="4" w:space="0" w:color="000000"/>
        </w:pBdr>
        <w:tabs>
          <w:tab w:val="left" w:pos="850"/>
          <w:tab w:val="left" w:pos="992"/>
        </w:tabs>
        <w:ind w:left="0" w:firstLine="709"/>
        <w:rPr>
          <w:rFonts w:ascii="Times New Roman" w:hAnsi="Times New Roman" w:cs="Times New Roman"/>
          <w:b/>
          <w:bCs/>
          <w:color w:val="000000" w:themeColor="text1"/>
        </w:rPr>
      </w:pPr>
      <w:r w:rsidRPr="00731FE2">
        <w:rPr>
          <w:rFonts w:ascii="Times New Roman" w:hAnsi="Times New Roman" w:cs="Times New Roman"/>
          <w:b/>
          <w:bCs/>
          <w:color w:val="000000" w:themeColor="text1"/>
        </w:rPr>
        <w:t>Большая часть сетей подвержена коррозии в связи с отсутствием деаэраторных установок и систем анодной защиты труб.</w:t>
      </w:r>
    </w:p>
    <w:p w14:paraId="592D373C" w14:textId="77777777" w:rsidR="00171AA8" w:rsidRPr="00731FE2" w:rsidRDefault="007935AB">
      <w:pPr>
        <w:pStyle w:val="a3"/>
        <w:numPr>
          <w:ilvl w:val="0"/>
          <w:numId w:val="24"/>
        </w:numPr>
        <w:pBdr>
          <w:top w:val="none" w:sz="4" w:space="0" w:color="000000"/>
          <w:left w:val="none" w:sz="4" w:space="0" w:color="000000"/>
          <w:bottom w:val="none" w:sz="4" w:space="0" w:color="000000"/>
          <w:right w:val="none" w:sz="4" w:space="0" w:color="000000"/>
        </w:pBdr>
        <w:tabs>
          <w:tab w:val="left" w:pos="850"/>
          <w:tab w:val="left" w:pos="992"/>
        </w:tabs>
        <w:ind w:left="0" w:firstLine="709"/>
        <w:rPr>
          <w:rFonts w:ascii="Times New Roman" w:hAnsi="Times New Roman" w:cs="Times New Roman"/>
          <w:b/>
          <w:bCs/>
          <w:color w:val="000000" w:themeColor="text1"/>
        </w:rPr>
      </w:pPr>
      <w:r w:rsidRPr="00731FE2">
        <w:rPr>
          <w:rFonts w:ascii="Times New Roman" w:hAnsi="Times New Roman" w:cs="Times New Roman"/>
          <w:b/>
          <w:bCs/>
          <w:color w:val="000000" w:themeColor="text1"/>
        </w:rPr>
        <w:t>Объем потерь тепловой энергии в сетях превышает нормативные значения.</w:t>
      </w:r>
    </w:p>
    <w:p w14:paraId="36ACED9C" w14:textId="77777777" w:rsidR="00171AA8" w:rsidRPr="00731FE2" w:rsidRDefault="007935AB">
      <w:pPr>
        <w:pStyle w:val="33"/>
        <w:rPr>
          <w:rFonts w:ascii="Times New Roman" w:hAnsi="Times New Roman" w:cs="Times New Roman"/>
        </w:rPr>
      </w:pPr>
      <w:bookmarkStart w:id="51" w:name="_Toc177392802"/>
      <w:r w:rsidRPr="00731FE2">
        <w:rPr>
          <w:rFonts w:ascii="Times New Roman" w:hAnsi="Times New Roman" w:cs="Times New Roman"/>
        </w:rPr>
        <w:t>2.11.3 Электроснабжение</w:t>
      </w:r>
      <w:bookmarkEnd w:id="51"/>
    </w:p>
    <w:p w14:paraId="23245A55" w14:textId="77777777" w:rsidR="00171AA8" w:rsidRPr="00731FE2" w:rsidRDefault="007935AB">
      <w:pPr>
        <w:pBdr>
          <w:top w:val="none" w:sz="4" w:space="0" w:color="000000"/>
          <w:left w:val="none" w:sz="4" w:space="0" w:color="000000"/>
          <w:bottom w:val="none" w:sz="4" w:space="0" w:color="000000"/>
          <w:right w:val="none" w:sz="4" w:space="0" w:color="000000"/>
        </w:pBdr>
      </w:pPr>
      <w:r w:rsidRPr="00731FE2">
        <w:rPr>
          <w:rFonts w:ascii="Times New Roman" w:hAnsi="Times New Roman" w:cs="Times New Roman"/>
          <w:color w:val="000000" w:themeColor="text1"/>
        </w:rPr>
        <w:lastRenderedPageBreak/>
        <w:t xml:space="preserve">Внешнее электроснабжение </w:t>
      </w:r>
      <w:proofErr w:type="gramStart"/>
      <w:r w:rsidRPr="00731FE2">
        <w:rPr>
          <w:rFonts w:ascii="Times New Roman" w:hAnsi="Times New Roman" w:cs="Times New Roman"/>
          <w:color w:val="000000" w:themeColor="text1"/>
        </w:rPr>
        <w:t>потребителей электрической энергии городского округа города-курорта Кисловодска</w:t>
      </w:r>
      <w:proofErr w:type="gramEnd"/>
      <w:r w:rsidRPr="00731FE2">
        <w:rPr>
          <w:rFonts w:ascii="Times New Roman" w:hAnsi="Times New Roman" w:cs="Times New Roman"/>
          <w:color w:val="000000" w:themeColor="text1"/>
        </w:rPr>
        <w:t xml:space="preserve"> осуществляется от центров питания ПС-110 кВ, входящих в энергосистему Ставропольского края.</w:t>
      </w:r>
    </w:p>
    <w:p w14:paraId="44AA2E7E" w14:textId="77777777" w:rsidR="00171AA8" w:rsidRPr="00731FE2" w:rsidRDefault="007935AB">
      <w:pPr>
        <w:pBdr>
          <w:top w:val="none" w:sz="4" w:space="0" w:color="000000"/>
          <w:left w:val="none" w:sz="4" w:space="0" w:color="000000"/>
          <w:bottom w:val="none" w:sz="4" w:space="0" w:color="000000"/>
          <w:right w:val="none" w:sz="4" w:space="0" w:color="000000"/>
        </w:pBdr>
      </w:pPr>
      <w:r w:rsidRPr="00731FE2">
        <w:rPr>
          <w:rFonts w:ascii="Times New Roman" w:hAnsi="Times New Roman" w:cs="Times New Roman"/>
          <w:color w:val="000000" w:themeColor="text1"/>
        </w:rPr>
        <w:t xml:space="preserve">Ставропольская энергосистема является частью Объединенной энергетической системы (ОЭС) Юга, которая граничит с ОЭС Центра и Средней Волги, а также энергосистемой Казахстана и обеспечивает параллельную работу Единой энергетической системы (ЕЭС) России с энергосистемами Украины, Азербайджана и Грузии. </w:t>
      </w:r>
    </w:p>
    <w:p w14:paraId="4FC679C7" w14:textId="77777777" w:rsidR="00171AA8" w:rsidRPr="00731FE2" w:rsidRDefault="007935AB">
      <w:pPr>
        <w:pBdr>
          <w:top w:val="none" w:sz="4" w:space="0" w:color="000000"/>
          <w:left w:val="none" w:sz="4" w:space="0" w:color="000000"/>
          <w:bottom w:val="none" w:sz="4" w:space="0" w:color="000000"/>
          <w:right w:val="none" w:sz="4" w:space="0" w:color="000000"/>
        </w:pBdr>
      </w:pPr>
      <w:r w:rsidRPr="00731FE2">
        <w:rPr>
          <w:rFonts w:ascii="Times New Roman" w:hAnsi="Times New Roman" w:cs="Times New Roman"/>
          <w:color w:val="000000" w:themeColor="text1"/>
        </w:rPr>
        <w:t>При управлении режимами ОЭС Юга всегда учитывается главная особенность – исторически сложившаяся схема электрической сети 330-500 кВ, протянувшаяся с северо-запада на юго-восток вдоль Кавказского хребта по районам с интенсивным гололедообразованием и неравномерностью стока рек Северного Кавказа (Дон, Кубань, Терек, Сулак). Сложившаяся схема оказывает существенное влияние на баланс электроэнергии, приводя к дефициту электроэнергии зимой, и профициту в летний период. Доля ГЭС в установленной мощности Ставропольского края составляет порядка 10%.</w:t>
      </w:r>
    </w:p>
    <w:p w14:paraId="0C3AB79D" w14:textId="77777777" w:rsidR="00171AA8" w:rsidRPr="00731FE2" w:rsidRDefault="007935AB">
      <w:pPr>
        <w:pBdr>
          <w:top w:val="none" w:sz="4" w:space="0" w:color="000000"/>
          <w:left w:val="none" w:sz="4" w:space="0" w:color="000000"/>
          <w:bottom w:val="none" w:sz="4" w:space="0" w:color="000000"/>
          <w:right w:val="none" w:sz="4" w:space="0" w:color="000000"/>
        </w:pBdr>
      </w:pPr>
      <w:r w:rsidRPr="00731FE2">
        <w:rPr>
          <w:rFonts w:ascii="Times New Roman" w:hAnsi="Times New Roman" w:cs="Times New Roman"/>
          <w:color w:val="000000" w:themeColor="text1"/>
        </w:rPr>
        <w:t>В целом, энергосистема Ставропольского края является избыточной, т.е. суммарная мощность всех электростанций Ставропольского края такова, что позволяет не только обеспечивать собственные потребности, но и снабжать электроэнергией соседние регионы.</w:t>
      </w:r>
    </w:p>
    <w:p w14:paraId="43A2C03A" w14:textId="77777777" w:rsidR="00171AA8" w:rsidRPr="00731FE2" w:rsidRDefault="007935AB">
      <w:pPr>
        <w:pBdr>
          <w:top w:val="none" w:sz="4" w:space="0" w:color="000000"/>
          <w:left w:val="none" w:sz="4" w:space="0" w:color="000000"/>
          <w:bottom w:val="none" w:sz="4" w:space="0" w:color="000000"/>
          <w:right w:val="none" w:sz="4" w:space="0" w:color="000000"/>
        </w:pBdr>
      </w:pPr>
      <w:r w:rsidRPr="00731FE2">
        <w:rPr>
          <w:rFonts w:ascii="Times New Roman" w:hAnsi="Times New Roman" w:cs="Times New Roman"/>
          <w:color w:val="000000" w:themeColor="text1"/>
        </w:rPr>
        <w:t xml:space="preserve">Оперативно-диспетчерское управление режимами параллельной работы Ставропольской энергосистемы осуществляет филиал АО «СО ЕЭС» «Региональное диспетчерское управление энергосистемами республик Северного Кавказа и Ставропольского края». </w:t>
      </w:r>
    </w:p>
    <w:p w14:paraId="55B541C4"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На территории городского округа город-курорт Кисловодск расположен один объект генерации. В центральной части в промышленной зоне расположена Кисловодская ТЭЦ-1, с установленной мощностью 12 МВт и включенная в энергосистему гор</w:t>
      </w:r>
      <w:r w:rsidR="002455DE" w:rsidRPr="00731FE2">
        <w:rPr>
          <w:rFonts w:ascii="Times New Roman" w:hAnsi="Times New Roman" w:cs="Times New Roman"/>
          <w:color w:val="000000" w:themeColor="text1"/>
        </w:rPr>
        <w:t>ода-курорта на напряжении 35 кВ</w:t>
      </w:r>
      <w:r w:rsidRPr="00731FE2">
        <w:rPr>
          <w:rFonts w:ascii="Times New Roman" w:hAnsi="Times New Roman" w:cs="Times New Roman"/>
          <w:color w:val="000000" w:themeColor="text1"/>
        </w:rPr>
        <w:t xml:space="preserve"> Кисловодская ТЭЦ оборудована двумя теплофикационными турбоагрегатами Р-6-35, которые были введены в эксплуатацию в 1981 и 1996 годах. Выработка электроэнергии является побочным видом деятельности, основным является выработка тепловой энергии. Электроэнергия по ВЛ-35 кВ передаётся напрямую в сеть филиала ПАО «Россети Северный Кавказ» – «Ставропольэнерго» (ПС «Зеленогорская», ПС «Машук» и тяговая ПС «Т-309»). Кисловодская ТЭЦ находится в эксплуатац</w:t>
      </w:r>
      <w:proofErr w:type="gramStart"/>
      <w:r w:rsidRPr="00731FE2">
        <w:rPr>
          <w:rFonts w:ascii="Times New Roman" w:hAnsi="Times New Roman" w:cs="Times New Roman"/>
          <w:color w:val="000000" w:themeColor="text1"/>
        </w:rPr>
        <w:t>ии ООО</w:t>
      </w:r>
      <w:proofErr w:type="gramEnd"/>
      <w:r w:rsidRPr="00731FE2">
        <w:rPr>
          <w:rFonts w:ascii="Times New Roman" w:hAnsi="Times New Roman" w:cs="Times New Roman"/>
          <w:color w:val="000000" w:themeColor="text1"/>
        </w:rPr>
        <w:t xml:space="preserve"> «ЛУКОЙЛ-Ростовэнерго».</w:t>
      </w:r>
    </w:p>
    <w:p w14:paraId="25A8EE19" w14:textId="77777777" w:rsidR="00171AA8" w:rsidRPr="00731FE2" w:rsidRDefault="007935AB">
      <w:pPr>
        <w:pBdr>
          <w:top w:val="none" w:sz="4" w:space="0" w:color="000000"/>
          <w:left w:val="none" w:sz="4" w:space="0" w:color="000000"/>
          <w:bottom w:val="none" w:sz="4" w:space="0" w:color="000000"/>
          <w:right w:val="none" w:sz="4" w:space="0" w:color="000000"/>
        </w:pBdr>
      </w:pPr>
      <w:r w:rsidRPr="00731FE2">
        <w:rPr>
          <w:rFonts w:ascii="Times New Roman" w:hAnsi="Times New Roman" w:cs="Times New Roman"/>
          <w:color w:val="000000" w:themeColor="text1"/>
        </w:rPr>
        <w:t>На Кисловодской ТЭЦ электроэнергия вырабатывается по паросиловому циклу. Срок службы турбоагрегатов к 2026 году будет составлять 30 и 45 лет соответственно. Эксплуатирующей организацией проводятся текущие и капитальные ремонты, оборудование электростанции поддерживается в работоспособном состоянии. При приемке оборудования из ремонта устанавливаются оценки качества соответствия требованиям нормативно-технической документации (НТД). После проведения ремонтов оборудования технико-экономические показатели его работы соответствуют нормативным характеристикам.</w:t>
      </w:r>
    </w:p>
    <w:p w14:paraId="5CC2EC27" w14:textId="77777777" w:rsidR="00171AA8" w:rsidRPr="00731FE2" w:rsidRDefault="007935AB">
      <w:pPr>
        <w:pBdr>
          <w:top w:val="none" w:sz="4" w:space="0" w:color="000000"/>
          <w:left w:val="none" w:sz="4" w:space="0" w:color="000000"/>
          <w:bottom w:val="none" w:sz="4" w:space="0" w:color="000000"/>
          <w:right w:val="none" w:sz="4" w:space="0" w:color="000000"/>
        </w:pBdr>
      </w:pPr>
      <w:r w:rsidRPr="00731FE2">
        <w:rPr>
          <w:rFonts w:ascii="Times New Roman" w:hAnsi="Times New Roman" w:cs="Times New Roman"/>
          <w:color w:val="000000" w:themeColor="text1"/>
        </w:rPr>
        <w:t xml:space="preserve">Несмотря на значительный износ основных фондов на объекте генерации электроэнергии техническое состояние оборудования находится в удовлетворительном состоянии. На предприятии составляются и корректируются ежегодные и многолетние графики ремонтов оборудования. Проводятся работы по экспертизе промышленной </w:t>
      </w:r>
      <w:r w:rsidRPr="00731FE2">
        <w:rPr>
          <w:rFonts w:ascii="Times New Roman" w:hAnsi="Times New Roman" w:cs="Times New Roman"/>
          <w:color w:val="000000" w:themeColor="text1"/>
        </w:rPr>
        <w:lastRenderedPageBreak/>
        <w:t>безопасности, техническое освидетельствование технологических схем и оборудования с истекшим, установленным нормативно-технической документацией, сроком службы, на основании заключения которой продлевается срок безопасной эксплуатации оборудования.</w:t>
      </w:r>
    </w:p>
    <w:p w14:paraId="3CEA816A" w14:textId="77777777" w:rsidR="00171AA8" w:rsidRPr="00731FE2" w:rsidRDefault="007935AB">
      <w:pPr>
        <w:pBdr>
          <w:top w:val="none" w:sz="4" w:space="0" w:color="000000"/>
          <w:left w:val="none" w:sz="4" w:space="0" w:color="000000"/>
          <w:bottom w:val="none" w:sz="4" w:space="0" w:color="000000"/>
          <w:right w:val="none" w:sz="4" w:space="0" w:color="000000"/>
        </w:pBdr>
      </w:pPr>
      <w:r w:rsidRPr="00731FE2">
        <w:rPr>
          <w:rFonts w:ascii="Times New Roman" w:hAnsi="Times New Roman" w:cs="Times New Roman"/>
          <w:color w:val="000000" w:themeColor="text1"/>
        </w:rPr>
        <w:t xml:space="preserve">С вводом в эксплуатацию нового источника питания – ПС 330 кВ «Ильенко», расположен рядом с городским округом город-курорт Кисловодск, несколько изменилась схема электроснабжения города-курорта. Если ранее электроэнергия напрямую передавалась от ПС 330/110/35/10 «Машук» по воздушной линии </w:t>
      </w:r>
      <w:proofErr w:type="gramStart"/>
      <w:r w:rsidRPr="00731FE2">
        <w:rPr>
          <w:rFonts w:ascii="Times New Roman" w:hAnsi="Times New Roman" w:cs="Times New Roman"/>
          <w:color w:val="000000" w:themeColor="text1"/>
        </w:rPr>
        <w:t>ВЛ</w:t>
      </w:r>
      <w:proofErr w:type="gramEnd"/>
      <w:r w:rsidRPr="00731FE2">
        <w:rPr>
          <w:rFonts w:ascii="Times New Roman" w:hAnsi="Times New Roman" w:cs="Times New Roman"/>
          <w:color w:val="000000" w:themeColor="text1"/>
        </w:rPr>
        <w:t xml:space="preserve"> 110 кВ на ПС 110/35/10 «Зеленогорская» и ПС 110/10 «Парковая» через глухую отпайку от ВЛ «Машук»</w:t>
      </w:r>
      <w:r w:rsidR="002455DE" w:rsidRPr="00731FE2">
        <w:rPr>
          <w:rFonts w:ascii="Times New Roman" w:hAnsi="Times New Roman" w:cs="Times New Roman"/>
          <w:color w:val="000000" w:themeColor="text1"/>
        </w:rPr>
        <w:t xml:space="preserve"> </w:t>
      </w:r>
      <w:r w:rsidRPr="00731FE2">
        <w:rPr>
          <w:rFonts w:ascii="Times New Roman" w:hAnsi="Times New Roman" w:cs="Times New Roman"/>
          <w:color w:val="000000" w:themeColor="text1"/>
        </w:rPr>
        <w:t>-</w:t>
      </w:r>
      <w:r w:rsidR="002455DE" w:rsidRPr="00731FE2">
        <w:rPr>
          <w:rFonts w:ascii="Times New Roman" w:hAnsi="Times New Roman" w:cs="Times New Roman"/>
          <w:color w:val="000000" w:themeColor="text1"/>
        </w:rPr>
        <w:t xml:space="preserve"> </w:t>
      </w:r>
      <w:r w:rsidRPr="00731FE2">
        <w:rPr>
          <w:rFonts w:ascii="Times New Roman" w:hAnsi="Times New Roman" w:cs="Times New Roman"/>
          <w:color w:val="000000" w:themeColor="text1"/>
        </w:rPr>
        <w:t xml:space="preserve">«Зеленогорская», то после ввода нового питающего центра ПС 330 кВ «Ильенко» для выдачи мощности по сети 110 кВ присоединение выполнено в рассечку ВЛ 110 кВ «Зеленогорская – Ясная Поляна-2» и «Зеленогорская – Парковая» по схеме «заход – выход» с образованием четырех новых </w:t>
      </w:r>
      <w:proofErr w:type="gramStart"/>
      <w:r w:rsidRPr="00731FE2">
        <w:rPr>
          <w:rFonts w:ascii="Times New Roman" w:hAnsi="Times New Roman" w:cs="Times New Roman"/>
          <w:color w:val="000000" w:themeColor="text1"/>
        </w:rPr>
        <w:t>ВЛ</w:t>
      </w:r>
      <w:proofErr w:type="gramEnd"/>
      <w:r w:rsidRPr="00731FE2">
        <w:rPr>
          <w:rFonts w:ascii="Times New Roman" w:hAnsi="Times New Roman" w:cs="Times New Roman"/>
          <w:color w:val="000000" w:themeColor="text1"/>
        </w:rPr>
        <w:t xml:space="preserve"> 110 кВ: </w:t>
      </w:r>
    </w:p>
    <w:p w14:paraId="0B7392E8" w14:textId="77777777" w:rsidR="00171AA8" w:rsidRPr="00731FE2" w:rsidRDefault="007935AB">
      <w:pPr>
        <w:pStyle w:val="a3"/>
        <w:numPr>
          <w:ilvl w:val="0"/>
          <w:numId w:val="30"/>
        </w:numPr>
        <w:pBdr>
          <w:top w:val="none" w:sz="4" w:space="0" w:color="000000"/>
          <w:left w:val="none" w:sz="4" w:space="0" w:color="000000"/>
          <w:bottom w:val="none" w:sz="4" w:space="0" w:color="000000"/>
          <w:right w:val="none" w:sz="4" w:space="0" w:color="000000"/>
        </w:pBdr>
        <w:tabs>
          <w:tab w:val="left" w:pos="992"/>
        </w:tabs>
        <w:ind w:left="0" w:firstLine="709"/>
      </w:pPr>
      <w:r w:rsidRPr="00731FE2">
        <w:rPr>
          <w:rFonts w:ascii="Times New Roman" w:hAnsi="Times New Roman" w:cs="Times New Roman"/>
          <w:color w:val="000000" w:themeColor="text1"/>
        </w:rPr>
        <w:t xml:space="preserve">«Ильенко – Зеленогорская» 1 и 2 цепь; </w:t>
      </w:r>
    </w:p>
    <w:p w14:paraId="6BD78820" w14:textId="77777777" w:rsidR="00171AA8" w:rsidRPr="00731FE2" w:rsidRDefault="007935AB">
      <w:pPr>
        <w:pStyle w:val="a3"/>
        <w:numPr>
          <w:ilvl w:val="0"/>
          <w:numId w:val="30"/>
        </w:numPr>
        <w:pBdr>
          <w:top w:val="none" w:sz="4" w:space="0" w:color="000000"/>
          <w:left w:val="none" w:sz="4" w:space="0" w:color="000000"/>
          <w:bottom w:val="none" w:sz="4" w:space="0" w:color="000000"/>
          <w:right w:val="none" w:sz="4" w:space="0" w:color="000000"/>
        </w:pBdr>
        <w:tabs>
          <w:tab w:val="left" w:pos="992"/>
        </w:tabs>
        <w:ind w:left="0" w:firstLine="709"/>
      </w:pPr>
      <w:r w:rsidRPr="00731FE2">
        <w:rPr>
          <w:rFonts w:ascii="Times New Roman" w:hAnsi="Times New Roman" w:cs="Times New Roman"/>
          <w:color w:val="000000" w:themeColor="text1"/>
        </w:rPr>
        <w:t>«Ильенко – Ясная Поляна-2»;</w:t>
      </w:r>
    </w:p>
    <w:p w14:paraId="468E1628" w14:textId="77777777" w:rsidR="00171AA8" w:rsidRPr="00731FE2" w:rsidRDefault="007935AB">
      <w:pPr>
        <w:pStyle w:val="a3"/>
        <w:numPr>
          <w:ilvl w:val="0"/>
          <w:numId w:val="30"/>
        </w:numPr>
        <w:pBdr>
          <w:top w:val="none" w:sz="4" w:space="0" w:color="000000"/>
          <w:left w:val="none" w:sz="4" w:space="0" w:color="000000"/>
          <w:bottom w:val="none" w:sz="4" w:space="0" w:color="000000"/>
          <w:right w:val="none" w:sz="4" w:space="0" w:color="000000"/>
        </w:pBdr>
        <w:tabs>
          <w:tab w:val="left" w:pos="992"/>
        </w:tabs>
        <w:ind w:left="0" w:firstLine="709"/>
      </w:pPr>
      <w:r w:rsidRPr="00731FE2">
        <w:rPr>
          <w:rFonts w:ascii="Times New Roman" w:hAnsi="Times New Roman" w:cs="Times New Roman"/>
          <w:color w:val="000000" w:themeColor="text1"/>
        </w:rPr>
        <w:t xml:space="preserve">«Ильенко – Парковая». </w:t>
      </w:r>
    </w:p>
    <w:p w14:paraId="53F4D0F9" w14:textId="77777777" w:rsidR="00171AA8" w:rsidRPr="00731FE2" w:rsidRDefault="007935AB">
      <w:pPr>
        <w:pBdr>
          <w:top w:val="none" w:sz="4" w:space="0" w:color="000000"/>
          <w:left w:val="none" w:sz="4" w:space="0" w:color="000000"/>
          <w:bottom w:val="none" w:sz="4" w:space="0" w:color="000000"/>
          <w:right w:val="none" w:sz="4" w:space="0" w:color="000000"/>
        </w:pBdr>
      </w:pPr>
      <w:r w:rsidRPr="00731FE2">
        <w:rPr>
          <w:rFonts w:ascii="Times New Roman" w:hAnsi="Times New Roman" w:cs="Times New Roman"/>
          <w:color w:val="000000" w:themeColor="text1"/>
        </w:rPr>
        <w:t>При вводе ПС 330 кВ «Ильенко» на 1 этапе установлен один АТ 330/110 кВ мощностью 125 МВА. С вводом в работу АТ-2 в 2015 году трансформаторная мощность подстанции увеличилась со 125 до 250 МВА. На ПС 330 кВ «Ильенко» также предусматривается установка двух трансформаторов 110/10 кВ мощностью по 16 МВА для создания нового центра питания сети 10 кВ.</w:t>
      </w:r>
    </w:p>
    <w:p w14:paraId="7201D57E" w14:textId="77777777" w:rsidR="00171AA8" w:rsidRPr="00731FE2" w:rsidRDefault="007935AB">
      <w:pPr>
        <w:pBdr>
          <w:top w:val="none" w:sz="4" w:space="0" w:color="000000"/>
          <w:left w:val="none" w:sz="4" w:space="0" w:color="000000"/>
          <w:bottom w:val="none" w:sz="4" w:space="0" w:color="000000"/>
          <w:right w:val="none" w:sz="4" w:space="0" w:color="000000"/>
        </w:pBdr>
      </w:pPr>
      <w:r w:rsidRPr="00731FE2">
        <w:rPr>
          <w:rFonts w:ascii="Times New Roman" w:hAnsi="Times New Roman" w:cs="Times New Roman"/>
          <w:color w:val="000000" w:themeColor="text1"/>
        </w:rPr>
        <w:t xml:space="preserve">Распределение электроэнергии на напряжении 110 кВ осуществляется по магистральной схеме. Электроснабжение потребителей городского округа город-курорт Кисловодск осуществляется от трех центров питания на напряжении 110 кВ – ПС «Зеленогорская», ПС «Парковая», ПС «Запикетная» и двух центров </w:t>
      </w:r>
      <w:r w:rsidR="008B0AA2" w:rsidRPr="00731FE2">
        <w:rPr>
          <w:rFonts w:ascii="Times New Roman" w:hAnsi="Times New Roman" w:cs="Times New Roman"/>
          <w:color w:val="000000" w:themeColor="text1"/>
        </w:rPr>
        <w:t>питания,</w:t>
      </w:r>
      <w:r w:rsidRPr="00731FE2">
        <w:rPr>
          <w:rFonts w:ascii="Times New Roman" w:hAnsi="Times New Roman" w:cs="Times New Roman"/>
          <w:color w:val="000000" w:themeColor="text1"/>
        </w:rPr>
        <w:t xml:space="preserve"> а напряжении 35 кВ – ПС «Тяговая-309», ПС «КТЭЦ». Центры питания 110 кВ имеют резервирование на стороне 10 кВ от соседних ПС 11010 кВ путем объединения нагрузок разных районов через коммутационные аппараты, разомкнутые в нормальном режиме.</w:t>
      </w:r>
    </w:p>
    <w:p w14:paraId="4B683856"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В соответствии с данными о пропускной способности центров питания филиала ПАО «Россети Северный Кавказ» – «Ставропольэнерго», максимальная нагрузка меньше номинальной мощности установленных трансформаторов. На всех ПС 110 кВ есть резерв мощности для подключения новых потребителей 10 кВ, однако необходимо увеличение пропускной способности центров питания для подключения новых потребителей в перспективе развития городского округа.</w:t>
      </w:r>
    </w:p>
    <w:p w14:paraId="784614EE" w14:textId="77777777" w:rsidR="00187404" w:rsidRPr="00731FE2" w:rsidRDefault="00187404">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p>
    <w:p w14:paraId="339DD88F" w14:textId="77777777" w:rsidR="00171AA8" w:rsidRPr="00731FE2" w:rsidRDefault="007935AB">
      <w:pPr>
        <w:pStyle w:val="af3"/>
        <w:rPr>
          <w:sz w:val="24"/>
          <w:szCs w:val="24"/>
        </w:rPr>
      </w:pPr>
      <w:r w:rsidRPr="00731FE2">
        <w:rPr>
          <w:sz w:val="24"/>
          <w:szCs w:val="24"/>
        </w:rPr>
        <w:t xml:space="preserve">Таблица </w:t>
      </w:r>
      <w:r w:rsidR="00D97880" w:rsidRPr="00731FE2">
        <w:rPr>
          <w:noProof/>
          <w:sz w:val="24"/>
          <w:szCs w:val="24"/>
        </w:rPr>
        <w:fldChar w:fldCharType="begin"/>
      </w:r>
      <w:r w:rsidR="00D97880" w:rsidRPr="00731FE2">
        <w:rPr>
          <w:noProof/>
          <w:sz w:val="24"/>
          <w:szCs w:val="24"/>
        </w:rPr>
        <w:instrText xml:space="preserve"> SEQ Таблица \* Arabic </w:instrText>
      </w:r>
      <w:r w:rsidR="00D97880" w:rsidRPr="00731FE2">
        <w:rPr>
          <w:noProof/>
          <w:sz w:val="24"/>
          <w:szCs w:val="24"/>
        </w:rPr>
        <w:fldChar w:fldCharType="separate"/>
      </w:r>
      <w:r w:rsidR="00C50915" w:rsidRPr="00731FE2">
        <w:rPr>
          <w:noProof/>
          <w:sz w:val="24"/>
          <w:szCs w:val="24"/>
        </w:rPr>
        <w:t>38</w:t>
      </w:r>
      <w:r w:rsidR="00D97880" w:rsidRPr="00731FE2">
        <w:rPr>
          <w:noProof/>
          <w:sz w:val="24"/>
          <w:szCs w:val="24"/>
        </w:rPr>
        <w:fldChar w:fldCharType="end"/>
      </w:r>
      <w:r w:rsidRPr="00731FE2">
        <w:rPr>
          <w:sz w:val="24"/>
          <w:szCs w:val="24"/>
        </w:rPr>
        <w:t xml:space="preserve"> – Краткая характеристика питающих центров городского округа города-курорта Кисловодска</w:t>
      </w:r>
      <w:r w:rsidRPr="00731FE2">
        <w:rPr>
          <w:rStyle w:val="afb"/>
          <w:sz w:val="24"/>
          <w:szCs w:val="24"/>
          <w:vertAlign w:val="superscript"/>
        </w:rPr>
        <w:footnoteReference w:id="78"/>
      </w:r>
    </w:p>
    <w:p w14:paraId="4989C795" w14:textId="77777777" w:rsidR="00187404" w:rsidRPr="00731FE2" w:rsidRDefault="00187404" w:rsidP="00187404">
      <w:pPr>
        <w:rPr>
          <w:lang w:eastAsia="ru-RU"/>
        </w:rPr>
      </w:pPr>
    </w:p>
    <w:tbl>
      <w:tblPr>
        <w:tblStyle w:val="afe"/>
        <w:tblW w:w="0" w:type="auto"/>
        <w:tblLayout w:type="fixed"/>
        <w:tblLook w:val="04A0" w:firstRow="1" w:lastRow="0" w:firstColumn="1" w:lastColumn="0" w:noHBand="0" w:noVBand="1"/>
      </w:tblPr>
      <w:tblGrid>
        <w:gridCol w:w="708"/>
        <w:gridCol w:w="2410"/>
        <w:gridCol w:w="1559"/>
        <w:gridCol w:w="1559"/>
        <w:gridCol w:w="1559"/>
        <w:gridCol w:w="1559"/>
      </w:tblGrid>
      <w:tr w:rsidR="00171AA8" w:rsidRPr="00731FE2" w14:paraId="79FBDB79" w14:textId="77777777">
        <w:tc>
          <w:tcPr>
            <w:tcW w:w="708" w:type="dxa"/>
            <w:vAlign w:val="center"/>
          </w:tcPr>
          <w:p w14:paraId="45BA6C9B" w14:textId="77777777" w:rsidR="00171AA8" w:rsidRPr="00731FE2" w:rsidRDefault="007935AB" w:rsidP="00187404">
            <w:pPr>
              <w:ind w:firstLine="0"/>
              <w:rPr>
                <w:rFonts w:ascii="Times New Roman" w:hAnsi="Times New Roman" w:cs="Times New Roman"/>
                <w:b/>
                <w:sz w:val="22"/>
              </w:rPr>
            </w:pPr>
            <w:r w:rsidRPr="00731FE2">
              <w:rPr>
                <w:rFonts w:ascii="Times New Roman" w:hAnsi="Times New Roman" w:cs="Times New Roman"/>
                <w:b/>
                <w:sz w:val="22"/>
              </w:rPr>
              <w:t xml:space="preserve">№ </w:t>
            </w:r>
            <w:proofErr w:type="gramStart"/>
            <w:r w:rsidRPr="00731FE2">
              <w:rPr>
                <w:rFonts w:ascii="Times New Roman" w:hAnsi="Times New Roman" w:cs="Times New Roman"/>
                <w:b/>
                <w:sz w:val="22"/>
              </w:rPr>
              <w:t>п</w:t>
            </w:r>
            <w:proofErr w:type="gramEnd"/>
            <w:r w:rsidRPr="00731FE2">
              <w:rPr>
                <w:rFonts w:ascii="Times New Roman" w:hAnsi="Times New Roman" w:cs="Times New Roman"/>
                <w:b/>
                <w:sz w:val="22"/>
              </w:rPr>
              <w:t>/п</w:t>
            </w:r>
          </w:p>
        </w:tc>
        <w:tc>
          <w:tcPr>
            <w:tcW w:w="2410" w:type="dxa"/>
            <w:vAlign w:val="center"/>
          </w:tcPr>
          <w:p w14:paraId="1BE5491B" w14:textId="77777777" w:rsidR="00171AA8" w:rsidRPr="00731FE2" w:rsidRDefault="007935AB" w:rsidP="00187404">
            <w:pPr>
              <w:ind w:firstLine="0"/>
              <w:rPr>
                <w:rFonts w:ascii="Times New Roman" w:hAnsi="Times New Roman" w:cs="Times New Roman"/>
                <w:b/>
                <w:sz w:val="22"/>
              </w:rPr>
            </w:pPr>
            <w:r w:rsidRPr="00731FE2">
              <w:rPr>
                <w:rFonts w:ascii="Times New Roman" w:hAnsi="Times New Roman" w:cs="Times New Roman"/>
                <w:b/>
                <w:sz w:val="22"/>
              </w:rPr>
              <w:t>Наименование питающего центра</w:t>
            </w:r>
          </w:p>
        </w:tc>
        <w:tc>
          <w:tcPr>
            <w:tcW w:w="1559" w:type="dxa"/>
            <w:vAlign w:val="center"/>
          </w:tcPr>
          <w:p w14:paraId="46325FA2" w14:textId="77777777" w:rsidR="00171AA8" w:rsidRPr="00731FE2" w:rsidRDefault="007935AB" w:rsidP="00187404">
            <w:pPr>
              <w:ind w:firstLine="0"/>
              <w:rPr>
                <w:rFonts w:ascii="Times New Roman" w:hAnsi="Times New Roman" w:cs="Times New Roman"/>
                <w:b/>
                <w:sz w:val="22"/>
              </w:rPr>
            </w:pPr>
            <w:r w:rsidRPr="00731FE2">
              <w:rPr>
                <w:rFonts w:ascii="Times New Roman" w:hAnsi="Times New Roman" w:cs="Times New Roman"/>
                <w:b/>
                <w:sz w:val="22"/>
              </w:rPr>
              <w:t>Напряжение,</w:t>
            </w:r>
          </w:p>
          <w:p w14:paraId="158BA6FE" w14:textId="77777777" w:rsidR="00171AA8" w:rsidRPr="00731FE2" w:rsidRDefault="007935AB" w:rsidP="00187404">
            <w:pPr>
              <w:ind w:firstLine="0"/>
              <w:rPr>
                <w:rFonts w:ascii="Times New Roman" w:hAnsi="Times New Roman" w:cs="Times New Roman"/>
                <w:b/>
                <w:sz w:val="22"/>
              </w:rPr>
            </w:pPr>
            <w:r w:rsidRPr="00731FE2">
              <w:rPr>
                <w:rFonts w:ascii="Times New Roman" w:hAnsi="Times New Roman" w:cs="Times New Roman"/>
                <w:b/>
                <w:sz w:val="22"/>
              </w:rPr>
              <w:t>кВ</w:t>
            </w:r>
          </w:p>
        </w:tc>
        <w:tc>
          <w:tcPr>
            <w:tcW w:w="1559" w:type="dxa"/>
            <w:vAlign w:val="center"/>
          </w:tcPr>
          <w:p w14:paraId="29920949" w14:textId="77777777" w:rsidR="00171AA8" w:rsidRPr="00731FE2" w:rsidRDefault="007935AB" w:rsidP="00187404">
            <w:pPr>
              <w:ind w:firstLine="0"/>
              <w:rPr>
                <w:rFonts w:ascii="Times New Roman" w:hAnsi="Times New Roman" w:cs="Times New Roman"/>
                <w:b/>
                <w:sz w:val="22"/>
              </w:rPr>
            </w:pPr>
            <w:r w:rsidRPr="00731FE2">
              <w:rPr>
                <w:rFonts w:ascii="Times New Roman" w:hAnsi="Times New Roman" w:cs="Times New Roman"/>
                <w:b/>
                <w:sz w:val="22"/>
              </w:rPr>
              <w:t>Мощность трансформаторов,</w:t>
            </w:r>
          </w:p>
          <w:p w14:paraId="627AF309" w14:textId="77777777" w:rsidR="00171AA8" w:rsidRPr="00731FE2" w:rsidRDefault="007935AB" w:rsidP="00187404">
            <w:pPr>
              <w:ind w:firstLine="0"/>
              <w:rPr>
                <w:rFonts w:ascii="Times New Roman" w:hAnsi="Times New Roman" w:cs="Times New Roman"/>
                <w:b/>
                <w:sz w:val="22"/>
              </w:rPr>
            </w:pPr>
            <w:r w:rsidRPr="00731FE2">
              <w:rPr>
                <w:rFonts w:ascii="Times New Roman" w:hAnsi="Times New Roman" w:cs="Times New Roman"/>
                <w:b/>
                <w:sz w:val="22"/>
              </w:rPr>
              <w:t>МВА</w:t>
            </w:r>
          </w:p>
        </w:tc>
        <w:tc>
          <w:tcPr>
            <w:tcW w:w="1559" w:type="dxa"/>
            <w:vAlign w:val="center"/>
          </w:tcPr>
          <w:p w14:paraId="21CA7EFB" w14:textId="77777777" w:rsidR="00171AA8" w:rsidRPr="00731FE2" w:rsidRDefault="007935AB" w:rsidP="00187404">
            <w:pPr>
              <w:ind w:firstLine="0"/>
              <w:rPr>
                <w:rFonts w:ascii="Times New Roman" w:hAnsi="Times New Roman" w:cs="Times New Roman"/>
                <w:b/>
                <w:sz w:val="22"/>
              </w:rPr>
            </w:pPr>
            <w:r w:rsidRPr="00731FE2">
              <w:rPr>
                <w:rFonts w:ascii="Times New Roman" w:hAnsi="Times New Roman" w:cs="Times New Roman"/>
                <w:b/>
                <w:sz w:val="22"/>
              </w:rPr>
              <w:t>Максимально возможная нагрузка на шинах 10 кВ,</w:t>
            </w:r>
          </w:p>
          <w:p w14:paraId="70762D6F" w14:textId="77777777" w:rsidR="00171AA8" w:rsidRPr="00731FE2" w:rsidRDefault="007935AB" w:rsidP="00187404">
            <w:pPr>
              <w:ind w:firstLine="0"/>
              <w:rPr>
                <w:rFonts w:ascii="Times New Roman" w:hAnsi="Times New Roman" w:cs="Times New Roman"/>
                <w:b/>
                <w:sz w:val="22"/>
              </w:rPr>
            </w:pPr>
            <w:r w:rsidRPr="00731FE2">
              <w:rPr>
                <w:rFonts w:ascii="Times New Roman" w:hAnsi="Times New Roman" w:cs="Times New Roman"/>
                <w:b/>
                <w:sz w:val="22"/>
              </w:rPr>
              <w:lastRenderedPageBreak/>
              <w:t>МВА</w:t>
            </w:r>
          </w:p>
        </w:tc>
        <w:tc>
          <w:tcPr>
            <w:tcW w:w="1559" w:type="dxa"/>
            <w:vAlign w:val="center"/>
          </w:tcPr>
          <w:p w14:paraId="00B9FBC1" w14:textId="77777777" w:rsidR="00171AA8" w:rsidRPr="00731FE2" w:rsidRDefault="007935AB" w:rsidP="00187404">
            <w:pPr>
              <w:ind w:firstLine="0"/>
              <w:rPr>
                <w:rFonts w:ascii="Times New Roman" w:hAnsi="Times New Roman" w:cs="Times New Roman"/>
                <w:b/>
                <w:sz w:val="22"/>
              </w:rPr>
            </w:pPr>
            <w:r w:rsidRPr="00731FE2">
              <w:rPr>
                <w:rFonts w:ascii="Times New Roman" w:hAnsi="Times New Roman" w:cs="Times New Roman"/>
                <w:b/>
                <w:sz w:val="22"/>
              </w:rPr>
              <w:lastRenderedPageBreak/>
              <w:t>Резерв мощности, МВА</w:t>
            </w:r>
          </w:p>
        </w:tc>
      </w:tr>
      <w:tr w:rsidR="00171AA8" w:rsidRPr="00731FE2" w14:paraId="201C1668" w14:textId="77777777">
        <w:trPr>
          <w:trHeight w:val="52"/>
        </w:trPr>
        <w:tc>
          <w:tcPr>
            <w:tcW w:w="708" w:type="dxa"/>
            <w:vAlign w:val="center"/>
          </w:tcPr>
          <w:p w14:paraId="4E1FB249" w14:textId="77777777" w:rsidR="00171AA8" w:rsidRPr="00731FE2" w:rsidRDefault="007935AB" w:rsidP="00187404">
            <w:pPr>
              <w:ind w:firstLine="0"/>
              <w:rPr>
                <w:rFonts w:ascii="Times New Roman" w:hAnsi="Times New Roman" w:cs="Times New Roman"/>
                <w:sz w:val="22"/>
              </w:rPr>
            </w:pPr>
            <w:r w:rsidRPr="00731FE2">
              <w:rPr>
                <w:rFonts w:ascii="Times New Roman" w:hAnsi="Times New Roman" w:cs="Times New Roman"/>
                <w:sz w:val="22"/>
              </w:rPr>
              <w:lastRenderedPageBreak/>
              <w:t>1.</w:t>
            </w:r>
          </w:p>
        </w:tc>
        <w:tc>
          <w:tcPr>
            <w:tcW w:w="2410" w:type="dxa"/>
            <w:vAlign w:val="center"/>
          </w:tcPr>
          <w:p w14:paraId="31076D2B" w14:textId="77777777" w:rsidR="00171AA8" w:rsidRPr="00731FE2" w:rsidRDefault="007935AB" w:rsidP="00187404">
            <w:pPr>
              <w:ind w:firstLine="0"/>
              <w:rPr>
                <w:rFonts w:ascii="Times New Roman" w:hAnsi="Times New Roman" w:cs="Times New Roman"/>
                <w:sz w:val="22"/>
              </w:rPr>
            </w:pPr>
            <w:r w:rsidRPr="00731FE2">
              <w:rPr>
                <w:rFonts w:ascii="Times New Roman" w:hAnsi="Times New Roman" w:cs="Times New Roman"/>
                <w:sz w:val="22"/>
              </w:rPr>
              <w:t>ПС «Зеленогорская»</w:t>
            </w:r>
          </w:p>
        </w:tc>
        <w:tc>
          <w:tcPr>
            <w:tcW w:w="1559" w:type="dxa"/>
            <w:vAlign w:val="center"/>
          </w:tcPr>
          <w:p w14:paraId="04F3CB83" w14:textId="77777777" w:rsidR="00171AA8" w:rsidRPr="00731FE2" w:rsidRDefault="007935AB" w:rsidP="00187404">
            <w:pPr>
              <w:ind w:firstLine="0"/>
              <w:rPr>
                <w:rFonts w:ascii="Times New Roman" w:hAnsi="Times New Roman" w:cs="Times New Roman"/>
                <w:sz w:val="22"/>
              </w:rPr>
            </w:pPr>
            <w:r w:rsidRPr="00731FE2">
              <w:rPr>
                <w:rFonts w:ascii="Times New Roman" w:hAnsi="Times New Roman" w:cs="Times New Roman"/>
                <w:sz w:val="22"/>
              </w:rPr>
              <w:t>110/35/10</w:t>
            </w:r>
          </w:p>
        </w:tc>
        <w:tc>
          <w:tcPr>
            <w:tcW w:w="1559" w:type="dxa"/>
            <w:vAlign w:val="center"/>
          </w:tcPr>
          <w:p w14:paraId="17D31F9B" w14:textId="77777777" w:rsidR="00171AA8" w:rsidRPr="00731FE2" w:rsidRDefault="007935AB" w:rsidP="00187404">
            <w:pPr>
              <w:ind w:firstLine="0"/>
              <w:rPr>
                <w:rFonts w:ascii="Times New Roman" w:hAnsi="Times New Roman" w:cs="Times New Roman"/>
                <w:sz w:val="22"/>
              </w:rPr>
            </w:pPr>
            <w:r w:rsidRPr="00731FE2">
              <w:rPr>
                <w:rFonts w:ascii="Times New Roman" w:hAnsi="Times New Roman" w:cs="Times New Roman"/>
                <w:sz w:val="22"/>
              </w:rPr>
              <w:t>Т1–25</w:t>
            </w:r>
          </w:p>
          <w:p w14:paraId="19704DEF" w14:textId="77777777" w:rsidR="00171AA8" w:rsidRPr="00731FE2" w:rsidRDefault="007935AB" w:rsidP="00187404">
            <w:pPr>
              <w:ind w:firstLine="0"/>
              <w:rPr>
                <w:rFonts w:ascii="Times New Roman" w:hAnsi="Times New Roman" w:cs="Times New Roman"/>
                <w:sz w:val="22"/>
              </w:rPr>
            </w:pPr>
            <w:r w:rsidRPr="00731FE2">
              <w:rPr>
                <w:rFonts w:ascii="Times New Roman" w:hAnsi="Times New Roman" w:cs="Times New Roman"/>
                <w:sz w:val="22"/>
              </w:rPr>
              <w:t>Т2–40</w:t>
            </w:r>
          </w:p>
        </w:tc>
        <w:tc>
          <w:tcPr>
            <w:tcW w:w="1559" w:type="dxa"/>
            <w:vAlign w:val="center"/>
          </w:tcPr>
          <w:p w14:paraId="046A8E63" w14:textId="77777777" w:rsidR="00171AA8" w:rsidRPr="00731FE2" w:rsidRDefault="007935AB" w:rsidP="00187404">
            <w:pPr>
              <w:ind w:firstLine="0"/>
              <w:rPr>
                <w:rFonts w:ascii="Times New Roman" w:hAnsi="Times New Roman" w:cs="Times New Roman"/>
                <w:sz w:val="22"/>
              </w:rPr>
            </w:pPr>
            <w:r w:rsidRPr="00731FE2">
              <w:rPr>
                <w:rFonts w:ascii="Times New Roman" w:hAnsi="Times New Roman" w:cs="Times New Roman"/>
                <w:sz w:val="22"/>
              </w:rPr>
              <w:t>42</w:t>
            </w:r>
          </w:p>
        </w:tc>
        <w:tc>
          <w:tcPr>
            <w:tcW w:w="1559" w:type="dxa"/>
            <w:vAlign w:val="center"/>
          </w:tcPr>
          <w:p w14:paraId="06E52729" w14:textId="77777777" w:rsidR="00171AA8" w:rsidRPr="00731FE2" w:rsidRDefault="007935AB" w:rsidP="00187404">
            <w:pPr>
              <w:ind w:firstLine="0"/>
              <w:rPr>
                <w:rFonts w:ascii="Times New Roman" w:hAnsi="Times New Roman" w:cs="Times New Roman"/>
                <w:sz w:val="22"/>
              </w:rPr>
            </w:pPr>
            <w:r w:rsidRPr="00731FE2">
              <w:rPr>
                <w:rFonts w:ascii="Times New Roman" w:hAnsi="Times New Roman" w:cs="Times New Roman"/>
                <w:sz w:val="22"/>
              </w:rPr>
              <w:t>4,54</w:t>
            </w:r>
          </w:p>
        </w:tc>
      </w:tr>
      <w:tr w:rsidR="00171AA8" w:rsidRPr="00731FE2" w14:paraId="589E7CF9" w14:textId="77777777">
        <w:tc>
          <w:tcPr>
            <w:tcW w:w="708" w:type="dxa"/>
            <w:vAlign w:val="center"/>
          </w:tcPr>
          <w:p w14:paraId="70944455" w14:textId="77777777" w:rsidR="00171AA8" w:rsidRPr="00731FE2" w:rsidRDefault="007935AB" w:rsidP="00187404">
            <w:pPr>
              <w:ind w:firstLine="0"/>
              <w:rPr>
                <w:rFonts w:ascii="Times New Roman" w:hAnsi="Times New Roman" w:cs="Times New Roman"/>
                <w:sz w:val="22"/>
              </w:rPr>
            </w:pPr>
            <w:r w:rsidRPr="00731FE2">
              <w:rPr>
                <w:rFonts w:ascii="Times New Roman" w:hAnsi="Times New Roman" w:cs="Times New Roman"/>
                <w:sz w:val="22"/>
              </w:rPr>
              <w:t>2.</w:t>
            </w:r>
          </w:p>
        </w:tc>
        <w:tc>
          <w:tcPr>
            <w:tcW w:w="2410" w:type="dxa"/>
            <w:vAlign w:val="center"/>
          </w:tcPr>
          <w:p w14:paraId="030E65B2" w14:textId="77777777" w:rsidR="00171AA8" w:rsidRPr="00731FE2" w:rsidRDefault="007935AB" w:rsidP="00187404">
            <w:pPr>
              <w:ind w:firstLine="0"/>
              <w:rPr>
                <w:rFonts w:ascii="Times New Roman" w:hAnsi="Times New Roman" w:cs="Times New Roman"/>
                <w:sz w:val="22"/>
              </w:rPr>
            </w:pPr>
            <w:r w:rsidRPr="00731FE2">
              <w:rPr>
                <w:rFonts w:ascii="Times New Roman" w:hAnsi="Times New Roman" w:cs="Times New Roman"/>
                <w:sz w:val="22"/>
              </w:rPr>
              <w:t>ПС «Парковая»</w:t>
            </w:r>
          </w:p>
        </w:tc>
        <w:tc>
          <w:tcPr>
            <w:tcW w:w="1559" w:type="dxa"/>
            <w:vAlign w:val="center"/>
          </w:tcPr>
          <w:p w14:paraId="5A601808" w14:textId="77777777" w:rsidR="00171AA8" w:rsidRPr="00731FE2" w:rsidRDefault="007935AB" w:rsidP="00187404">
            <w:pPr>
              <w:ind w:firstLine="0"/>
              <w:rPr>
                <w:rFonts w:ascii="Times New Roman" w:hAnsi="Times New Roman" w:cs="Times New Roman"/>
                <w:sz w:val="22"/>
              </w:rPr>
            </w:pPr>
            <w:r w:rsidRPr="00731FE2">
              <w:rPr>
                <w:rFonts w:ascii="Times New Roman" w:hAnsi="Times New Roman" w:cs="Times New Roman"/>
                <w:sz w:val="22"/>
              </w:rPr>
              <w:t>110/10</w:t>
            </w:r>
          </w:p>
        </w:tc>
        <w:tc>
          <w:tcPr>
            <w:tcW w:w="1559" w:type="dxa"/>
            <w:vAlign w:val="center"/>
          </w:tcPr>
          <w:p w14:paraId="3386D7DB" w14:textId="77777777" w:rsidR="00171AA8" w:rsidRPr="00731FE2" w:rsidRDefault="007935AB" w:rsidP="00187404">
            <w:pPr>
              <w:ind w:firstLine="0"/>
              <w:rPr>
                <w:rFonts w:ascii="Times New Roman" w:hAnsi="Times New Roman" w:cs="Times New Roman"/>
                <w:sz w:val="22"/>
              </w:rPr>
            </w:pPr>
            <w:r w:rsidRPr="00731FE2">
              <w:rPr>
                <w:rFonts w:ascii="Times New Roman" w:hAnsi="Times New Roman" w:cs="Times New Roman"/>
                <w:sz w:val="22"/>
              </w:rPr>
              <w:t>Т1–16</w:t>
            </w:r>
          </w:p>
          <w:p w14:paraId="5713BB15" w14:textId="77777777" w:rsidR="00171AA8" w:rsidRPr="00731FE2" w:rsidRDefault="007935AB" w:rsidP="00187404">
            <w:pPr>
              <w:ind w:firstLine="0"/>
              <w:rPr>
                <w:rFonts w:ascii="Times New Roman" w:hAnsi="Times New Roman" w:cs="Times New Roman"/>
                <w:sz w:val="22"/>
              </w:rPr>
            </w:pPr>
            <w:r w:rsidRPr="00731FE2">
              <w:rPr>
                <w:rFonts w:ascii="Times New Roman" w:hAnsi="Times New Roman" w:cs="Times New Roman"/>
                <w:sz w:val="22"/>
              </w:rPr>
              <w:t>Т2–16</w:t>
            </w:r>
          </w:p>
        </w:tc>
        <w:tc>
          <w:tcPr>
            <w:tcW w:w="1559" w:type="dxa"/>
            <w:vAlign w:val="center"/>
          </w:tcPr>
          <w:p w14:paraId="2AFCFC42" w14:textId="77777777" w:rsidR="00171AA8" w:rsidRPr="00731FE2" w:rsidRDefault="007935AB" w:rsidP="00187404">
            <w:pPr>
              <w:ind w:firstLine="0"/>
              <w:rPr>
                <w:rFonts w:ascii="Times New Roman" w:hAnsi="Times New Roman" w:cs="Times New Roman"/>
                <w:sz w:val="22"/>
              </w:rPr>
            </w:pPr>
            <w:r w:rsidRPr="00731FE2">
              <w:rPr>
                <w:rFonts w:ascii="Times New Roman" w:hAnsi="Times New Roman" w:cs="Times New Roman"/>
                <w:sz w:val="22"/>
              </w:rPr>
              <w:t>16,2</w:t>
            </w:r>
          </w:p>
        </w:tc>
        <w:tc>
          <w:tcPr>
            <w:tcW w:w="1559" w:type="dxa"/>
            <w:vAlign w:val="center"/>
          </w:tcPr>
          <w:p w14:paraId="46662B78" w14:textId="77777777" w:rsidR="00171AA8" w:rsidRPr="00731FE2" w:rsidRDefault="007935AB" w:rsidP="00187404">
            <w:pPr>
              <w:ind w:firstLine="0"/>
              <w:rPr>
                <w:rFonts w:ascii="Times New Roman" w:hAnsi="Times New Roman" w:cs="Times New Roman"/>
                <w:sz w:val="22"/>
              </w:rPr>
            </w:pPr>
            <w:r w:rsidRPr="00731FE2">
              <w:rPr>
                <w:rFonts w:ascii="Times New Roman" w:hAnsi="Times New Roman" w:cs="Times New Roman"/>
                <w:sz w:val="22"/>
              </w:rPr>
              <w:t>6,95</w:t>
            </w:r>
          </w:p>
        </w:tc>
      </w:tr>
      <w:tr w:rsidR="00171AA8" w:rsidRPr="00731FE2" w14:paraId="24314B64" w14:textId="77777777">
        <w:tc>
          <w:tcPr>
            <w:tcW w:w="708" w:type="dxa"/>
            <w:vAlign w:val="center"/>
          </w:tcPr>
          <w:p w14:paraId="532D4941" w14:textId="77777777" w:rsidR="00171AA8" w:rsidRPr="00731FE2" w:rsidRDefault="007935AB" w:rsidP="00187404">
            <w:pPr>
              <w:ind w:firstLine="0"/>
              <w:rPr>
                <w:rFonts w:ascii="Times New Roman" w:hAnsi="Times New Roman" w:cs="Times New Roman"/>
                <w:sz w:val="22"/>
              </w:rPr>
            </w:pPr>
            <w:r w:rsidRPr="00731FE2">
              <w:rPr>
                <w:rFonts w:ascii="Times New Roman" w:hAnsi="Times New Roman" w:cs="Times New Roman"/>
                <w:sz w:val="22"/>
              </w:rPr>
              <w:t>3.</w:t>
            </w:r>
          </w:p>
        </w:tc>
        <w:tc>
          <w:tcPr>
            <w:tcW w:w="2410" w:type="dxa"/>
            <w:vAlign w:val="center"/>
          </w:tcPr>
          <w:p w14:paraId="0B601291" w14:textId="77777777" w:rsidR="00171AA8" w:rsidRPr="00731FE2" w:rsidRDefault="007935AB" w:rsidP="00187404">
            <w:pPr>
              <w:ind w:firstLine="0"/>
              <w:rPr>
                <w:rFonts w:ascii="Times New Roman" w:hAnsi="Times New Roman" w:cs="Times New Roman"/>
                <w:sz w:val="22"/>
              </w:rPr>
            </w:pPr>
            <w:r w:rsidRPr="00731FE2">
              <w:rPr>
                <w:rFonts w:ascii="Times New Roman" w:hAnsi="Times New Roman" w:cs="Times New Roman"/>
                <w:sz w:val="22"/>
              </w:rPr>
              <w:t>ПС «Запикетная»</w:t>
            </w:r>
          </w:p>
        </w:tc>
        <w:tc>
          <w:tcPr>
            <w:tcW w:w="1559" w:type="dxa"/>
            <w:vAlign w:val="center"/>
          </w:tcPr>
          <w:p w14:paraId="7FB4F0E1" w14:textId="77777777" w:rsidR="00171AA8" w:rsidRPr="00731FE2" w:rsidRDefault="007935AB" w:rsidP="00187404">
            <w:pPr>
              <w:ind w:firstLine="0"/>
              <w:rPr>
                <w:rFonts w:ascii="Times New Roman" w:hAnsi="Times New Roman" w:cs="Times New Roman"/>
                <w:sz w:val="22"/>
              </w:rPr>
            </w:pPr>
            <w:r w:rsidRPr="00731FE2">
              <w:rPr>
                <w:rFonts w:ascii="Times New Roman" w:hAnsi="Times New Roman" w:cs="Times New Roman"/>
                <w:sz w:val="22"/>
              </w:rPr>
              <w:t>110/10</w:t>
            </w:r>
          </w:p>
        </w:tc>
        <w:tc>
          <w:tcPr>
            <w:tcW w:w="1559" w:type="dxa"/>
            <w:vAlign w:val="center"/>
          </w:tcPr>
          <w:p w14:paraId="5B89EE62" w14:textId="77777777" w:rsidR="00171AA8" w:rsidRPr="00731FE2" w:rsidRDefault="007935AB" w:rsidP="00187404">
            <w:pPr>
              <w:ind w:firstLine="0"/>
              <w:rPr>
                <w:rFonts w:ascii="Times New Roman" w:hAnsi="Times New Roman" w:cs="Times New Roman"/>
                <w:sz w:val="22"/>
              </w:rPr>
            </w:pPr>
            <w:r w:rsidRPr="00731FE2">
              <w:rPr>
                <w:rFonts w:ascii="Times New Roman" w:hAnsi="Times New Roman" w:cs="Times New Roman"/>
                <w:sz w:val="22"/>
              </w:rPr>
              <w:t>Т1–16</w:t>
            </w:r>
          </w:p>
          <w:p w14:paraId="558B0F2D" w14:textId="77777777" w:rsidR="00171AA8" w:rsidRPr="00731FE2" w:rsidRDefault="007935AB" w:rsidP="00187404">
            <w:pPr>
              <w:ind w:firstLine="0"/>
              <w:rPr>
                <w:rFonts w:ascii="Times New Roman" w:hAnsi="Times New Roman" w:cs="Times New Roman"/>
                <w:sz w:val="22"/>
              </w:rPr>
            </w:pPr>
            <w:r w:rsidRPr="00731FE2">
              <w:rPr>
                <w:rFonts w:ascii="Times New Roman" w:hAnsi="Times New Roman" w:cs="Times New Roman"/>
                <w:sz w:val="22"/>
              </w:rPr>
              <w:t>Т2–16</w:t>
            </w:r>
          </w:p>
        </w:tc>
        <w:tc>
          <w:tcPr>
            <w:tcW w:w="1559" w:type="dxa"/>
            <w:vAlign w:val="center"/>
          </w:tcPr>
          <w:p w14:paraId="52D20890" w14:textId="77777777" w:rsidR="00171AA8" w:rsidRPr="00731FE2" w:rsidRDefault="007935AB" w:rsidP="00187404">
            <w:pPr>
              <w:ind w:firstLine="0"/>
              <w:rPr>
                <w:rFonts w:ascii="Times New Roman" w:hAnsi="Times New Roman" w:cs="Times New Roman"/>
                <w:sz w:val="22"/>
              </w:rPr>
            </w:pPr>
            <w:r w:rsidRPr="00731FE2">
              <w:rPr>
                <w:rFonts w:ascii="Times New Roman" w:hAnsi="Times New Roman" w:cs="Times New Roman"/>
                <w:sz w:val="22"/>
              </w:rPr>
              <w:t>16,2</w:t>
            </w:r>
          </w:p>
        </w:tc>
        <w:tc>
          <w:tcPr>
            <w:tcW w:w="1559" w:type="dxa"/>
            <w:vAlign w:val="center"/>
          </w:tcPr>
          <w:p w14:paraId="5E9F66A2" w14:textId="77777777" w:rsidR="00171AA8" w:rsidRPr="00731FE2" w:rsidRDefault="007935AB" w:rsidP="00187404">
            <w:pPr>
              <w:ind w:firstLine="0"/>
              <w:rPr>
                <w:rFonts w:ascii="Times New Roman" w:hAnsi="Times New Roman" w:cs="Times New Roman"/>
                <w:sz w:val="22"/>
              </w:rPr>
            </w:pPr>
            <w:r w:rsidRPr="00731FE2">
              <w:rPr>
                <w:rFonts w:ascii="Times New Roman" w:hAnsi="Times New Roman" w:cs="Times New Roman"/>
                <w:sz w:val="22"/>
              </w:rPr>
              <w:t>7,42</w:t>
            </w:r>
          </w:p>
        </w:tc>
      </w:tr>
      <w:tr w:rsidR="00171AA8" w:rsidRPr="00731FE2" w14:paraId="4DE3464F" w14:textId="77777777">
        <w:tc>
          <w:tcPr>
            <w:tcW w:w="708" w:type="dxa"/>
            <w:vAlign w:val="center"/>
          </w:tcPr>
          <w:p w14:paraId="1225FC72" w14:textId="77777777" w:rsidR="00171AA8" w:rsidRPr="00731FE2" w:rsidRDefault="007935AB" w:rsidP="00187404">
            <w:pPr>
              <w:ind w:firstLine="0"/>
              <w:rPr>
                <w:rFonts w:ascii="Times New Roman" w:hAnsi="Times New Roman" w:cs="Times New Roman"/>
                <w:sz w:val="22"/>
              </w:rPr>
            </w:pPr>
            <w:r w:rsidRPr="00731FE2">
              <w:rPr>
                <w:rFonts w:ascii="Times New Roman" w:hAnsi="Times New Roman" w:cs="Times New Roman"/>
                <w:sz w:val="22"/>
              </w:rPr>
              <w:t>4.</w:t>
            </w:r>
          </w:p>
        </w:tc>
        <w:tc>
          <w:tcPr>
            <w:tcW w:w="2410" w:type="dxa"/>
            <w:vAlign w:val="center"/>
          </w:tcPr>
          <w:p w14:paraId="56524EF8" w14:textId="77777777" w:rsidR="00171AA8" w:rsidRPr="00731FE2" w:rsidRDefault="007935AB" w:rsidP="00187404">
            <w:pPr>
              <w:ind w:firstLine="0"/>
              <w:rPr>
                <w:rFonts w:ascii="Times New Roman" w:hAnsi="Times New Roman" w:cs="Times New Roman"/>
                <w:sz w:val="22"/>
              </w:rPr>
            </w:pPr>
            <w:r w:rsidRPr="00731FE2">
              <w:rPr>
                <w:rFonts w:ascii="Times New Roman" w:hAnsi="Times New Roman" w:cs="Times New Roman"/>
                <w:sz w:val="22"/>
              </w:rPr>
              <w:t>ПС «Тяговая-309» (Минутка)</w:t>
            </w:r>
          </w:p>
        </w:tc>
        <w:tc>
          <w:tcPr>
            <w:tcW w:w="1559" w:type="dxa"/>
            <w:vAlign w:val="center"/>
          </w:tcPr>
          <w:p w14:paraId="2EAC6AB8" w14:textId="77777777" w:rsidR="00171AA8" w:rsidRPr="00731FE2" w:rsidRDefault="007935AB" w:rsidP="00187404">
            <w:pPr>
              <w:ind w:firstLine="0"/>
              <w:rPr>
                <w:rFonts w:ascii="Times New Roman" w:hAnsi="Times New Roman" w:cs="Times New Roman"/>
                <w:sz w:val="22"/>
              </w:rPr>
            </w:pPr>
            <w:r w:rsidRPr="00731FE2">
              <w:rPr>
                <w:rFonts w:ascii="Times New Roman" w:hAnsi="Times New Roman" w:cs="Times New Roman"/>
                <w:sz w:val="22"/>
              </w:rPr>
              <w:t>35/10</w:t>
            </w:r>
          </w:p>
        </w:tc>
        <w:tc>
          <w:tcPr>
            <w:tcW w:w="1559" w:type="dxa"/>
            <w:vAlign w:val="center"/>
          </w:tcPr>
          <w:p w14:paraId="2786DA87" w14:textId="77777777" w:rsidR="00171AA8" w:rsidRPr="00731FE2" w:rsidRDefault="007935AB" w:rsidP="00187404">
            <w:pPr>
              <w:ind w:firstLine="0"/>
              <w:rPr>
                <w:rFonts w:ascii="Times New Roman" w:hAnsi="Times New Roman" w:cs="Times New Roman"/>
                <w:sz w:val="22"/>
              </w:rPr>
            </w:pPr>
            <w:r w:rsidRPr="00731FE2">
              <w:rPr>
                <w:rFonts w:ascii="Times New Roman" w:hAnsi="Times New Roman" w:cs="Times New Roman"/>
                <w:sz w:val="22"/>
              </w:rPr>
              <w:t>Т1–10</w:t>
            </w:r>
          </w:p>
          <w:p w14:paraId="7B7A4408" w14:textId="77777777" w:rsidR="00171AA8" w:rsidRPr="00731FE2" w:rsidRDefault="007935AB" w:rsidP="00187404">
            <w:pPr>
              <w:ind w:firstLine="0"/>
              <w:rPr>
                <w:rFonts w:ascii="Times New Roman" w:hAnsi="Times New Roman" w:cs="Times New Roman"/>
                <w:sz w:val="22"/>
              </w:rPr>
            </w:pPr>
            <w:r w:rsidRPr="00731FE2">
              <w:rPr>
                <w:rFonts w:ascii="Times New Roman" w:hAnsi="Times New Roman" w:cs="Times New Roman"/>
                <w:sz w:val="22"/>
              </w:rPr>
              <w:t>Т2–10</w:t>
            </w:r>
          </w:p>
        </w:tc>
        <w:tc>
          <w:tcPr>
            <w:tcW w:w="1559" w:type="dxa"/>
            <w:vAlign w:val="center"/>
          </w:tcPr>
          <w:p w14:paraId="1C90E2B1" w14:textId="77777777" w:rsidR="00171AA8" w:rsidRPr="00731FE2" w:rsidRDefault="007935AB" w:rsidP="00187404">
            <w:pPr>
              <w:ind w:firstLine="0"/>
              <w:rPr>
                <w:rFonts w:ascii="Times New Roman" w:hAnsi="Times New Roman" w:cs="Times New Roman"/>
                <w:sz w:val="22"/>
              </w:rPr>
            </w:pPr>
            <w:r w:rsidRPr="00731FE2">
              <w:rPr>
                <w:rFonts w:ascii="Times New Roman" w:hAnsi="Times New Roman" w:cs="Times New Roman"/>
                <w:sz w:val="22"/>
              </w:rPr>
              <w:t>-</w:t>
            </w:r>
          </w:p>
        </w:tc>
        <w:tc>
          <w:tcPr>
            <w:tcW w:w="1559" w:type="dxa"/>
            <w:vAlign w:val="center"/>
          </w:tcPr>
          <w:p w14:paraId="7D555678" w14:textId="77777777" w:rsidR="00171AA8" w:rsidRPr="00731FE2" w:rsidRDefault="007935AB" w:rsidP="00187404">
            <w:pPr>
              <w:ind w:firstLine="0"/>
              <w:rPr>
                <w:rFonts w:ascii="Times New Roman" w:hAnsi="Times New Roman" w:cs="Times New Roman"/>
                <w:sz w:val="22"/>
              </w:rPr>
            </w:pPr>
            <w:r w:rsidRPr="00731FE2">
              <w:rPr>
                <w:rFonts w:ascii="Times New Roman" w:hAnsi="Times New Roman" w:cs="Times New Roman"/>
                <w:sz w:val="22"/>
              </w:rPr>
              <w:t>-</w:t>
            </w:r>
          </w:p>
        </w:tc>
      </w:tr>
      <w:tr w:rsidR="00171AA8" w:rsidRPr="00731FE2" w14:paraId="5BCD2D9B" w14:textId="77777777">
        <w:tc>
          <w:tcPr>
            <w:tcW w:w="708" w:type="dxa"/>
            <w:vAlign w:val="center"/>
          </w:tcPr>
          <w:p w14:paraId="230D2356" w14:textId="77777777" w:rsidR="00171AA8" w:rsidRPr="00731FE2" w:rsidRDefault="007935AB" w:rsidP="00187404">
            <w:pPr>
              <w:ind w:firstLine="0"/>
              <w:rPr>
                <w:rFonts w:ascii="Times New Roman" w:hAnsi="Times New Roman" w:cs="Times New Roman"/>
                <w:sz w:val="22"/>
              </w:rPr>
            </w:pPr>
            <w:r w:rsidRPr="00731FE2">
              <w:rPr>
                <w:rFonts w:ascii="Times New Roman" w:hAnsi="Times New Roman" w:cs="Times New Roman"/>
                <w:sz w:val="22"/>
              </w:rPr>
              <w:t>5.</w:t>
            </w:r>
          </w:p>
        </w:tc>
        <w:tc>
          <w:tcPr>
            <w:tcW w:w="2410" w:type="dxa"/>
            <w:vAlign w:val="center"/>
          </w:tcPr>
          <w:p w14:paraId="4A115D87" w14:textId="77777777" w:rsidR="00171AA8" w:rsidRPr="00731FE2" w:rsidRDefault="007935AB" w:rsidP="00187404">
            <w:pPr>
              <w:ind w:firstLine="0"/>
              <w:rPr>
                <w:rFonts w:ascii="Times New Roman" w:hAnsi="Times New Roman" w:cs="Times New Roman"/>
                <w:sz w:val="22"/>
              </w:rPr>
            </w:pPr>
            <w:r w:rsidRPr="00731FE2">
              <w:rPr>
                <w:rFonts w:ascii="Times New Roman" w:hAnsi="Times New Roman" w:cs="Times New Roman"/>
                <w:sz w:val="22"/>
              </w:rPr>
              <w:t>ПС «КТЭЦ»</w:t>
            </w:r>
          </w:p>
        </w:tc>
        <w:tc>
          <w:tcPr>
            <w:tcW w:w="1559" w:type="dxa"/>
            <w:vAlign w:val="center"/>
          </w:tcPr>
          <w:p w14:paraId="173DE23B" w14:textId="77777777" w:rsidR="00171AA8" w:rsidRPr="00731FE2" w:rsidRDefault="007935AB" w:rsidP="00187404">
            <w:pPr>
              <w:ind w:firstLine="0"/>
              <w:rPr>
                <w:rFonts w:ascii="Times New Roman" w:hAnsi="Times New Roman" w:cs="Times New Roman"/>
                <w:sz w:val="22"/>
              </w:rPr>
            </w:pPr>
            <w:r w:rsidRPr="00731FE2">
              <w:rPr>
                <w:rFonts w:ascii="Times New Roman" w:hAnsi="Times New Roman" w:cs="Times New Roman"/>
                <w:sz w:val="22"/>
              </w:rPr>
              <w:t>35/10</w:t>
            </w:r>
          </w:p>
        </w:tc>
        <w:tc>
          <w:tcPr>
            <w:tcW w:w="1559" w:type="dxa"/>
            <w:vAlign w:val="center"/>
          </w:tcPr>
          <w:p w14:paraId="3C1CB146" w14:textId="77777777" w:rsidR="00171AA8" w:rsidRPr="00731FE2" w:rsidRDefault="007935AB" w:rsidP="00187404">
            <w:pPr>
              <w:ind w:firstLine="0"/>
              <w:rPr>
                <w:rFonts w:ascii="Times New Roman" w:hAnsi="Times New Roman" w:cs="Times New Roman"/>
                <w:sz w:val="22"/>
              </w:rPr>
            </w:pPr>
            <w:r w:rsidRPr="00731FE2">
              <w:rPr>
                <w:rFonts w:ascii="Times New Roman" w:hAnsi="Times New Roman" w:cs="Times New Roman"/>
                <w:sz w:val="22"/>
              </w:rPr>
              <w:t>10</w:t>
            </w:r>
          </w:p>
        </w:tc>
        <w:tc>
          <w:tcPr>
            <w:tcW w:w="1559" w:type="dxa"/>
            <w:vAlign w:val="center"/>
          </w:tcPr>
          <w:p w14:paraId="33C99AFB" w14:textId="77777777" w:rsidR="00171AA8" w:rsidRPr="00731FE2" w:rsidRDefault="007935AB" w:rsidP="00187404">
            <w:pPr>
              <w:ind w:firstLine="0"/>
              <w:rPr>
                <w:rFonts w:ascii="Times New Roman" w:hAnsi="Times New Roman" w:cs="Times New Roman"/>
                <w:sz w:val="22"/>
              </w:rPr>
            </w:pPr>
            <w:r w:rsidRPr="00731FE2">
              <w:rPr>
                <w:rFonts w:ascii="Times New Roman" w:hAnsi="Times New Roman" w:cs="Times New Roman"/>
                <w:sz w:val="22"/>
              </w:rPr>
              <w:t>−</w:t>
            </w:r>
          </w:p>
        </w:tc>
        <w:tc>
          <w:tcPr>
            <w:tcW w:w="1559" w:type="dxa"/>
            <w:vAlign w:val="center"/>
          </w:tcPr>
          <w:p w14:paraId="584B4CC6" w14:textId="77777777" w:rsidR="00171AA8" w:rsidRPr="00731FE2" w:rsidRDefault="007935AB" w:rsidP="00187404">
            <w:pPr>
              <w:ind w:firstLine="0"/>
              <w:rPr>
                <w:rFonts w:ascii="Times New Roman" w:hAnsi="Times New Roman" w:cs="Times New Roman"/>
                <w:sz w:val="22"/>
              </w:rPr>
            </w:pPr>
            <w:r w:rsidRPr="00731FE2">
              <w:rPr>
                <w:rFonts w:ascii="Times New Roman" w:hAnsi="Times New Roman" w:cs="Times New Roman"/>
                <w:sz w:val="22"/>
              </w:rPr>
              <w:t>-</w:t>
            </w:r>
          </w:p>
        </w:tc>
      </w:tr>
    </w:tbl>
    <w:p w14:paraId="695B7FCD" w14:textId="77777777" w:rsidR="00171AA8" w:rsidRPr="00731FE2" w:rsidRDefault="00171AA8">
      <w:pPr>
        <w:ind w:firstLine="0"/>
      </w:pPr>
    </w:p>
    <w:p w14:paraId="7642DC45" w14:textId="77777777" w:rsidR="00171AA8" w:rsidRPr="00731FE2" w:rsidRDefault="007935AB">
      <w:pPr>
        <w:pBdr>
          <w:top w:val="none" w:sz="4" w:space="0" w:color="000000"/>
          <w:left w:val="none" w:sz="4" w:space="0" w:color="000000"/>
          <w:bottom w:val="none" w:sz="4" w:space="0" w:color="000000"/>
          <w:right w:val="none" w:sz="4" w:space="0" w:color="000000"/>
        </w:pBdr>
      </w:pPr>
      <w:r w:rsidRPr="00731FE2">
        <w:rPr>
          <w:rFonts w:ascii="Times New Roman" w:hAnsi="Times New Roman" w:cs="Times New Roman"/>
          <w:color w:val="000000" w:themeColor="text1"/>
        </w:rPr>
        <w:t>Эксплуатирующими организациями проводятся текущие и капитальные ремонты. Оборудование центров питания поддерживается в работоспособном состоянии. На центрах питания установлены системы учета переданной и затрачиваемой на собственные нужды электроэнергии. Приборы учета установлены на каждом напряжении и позволяют также контролировать режим работы электрооборудования ПС.</w:t>
      </w:r>
    </w:p>
    <w:p w14:paraId="7E094C7B" w14:textId="77777777" w:rsidR="00171AA8" w:rsidRPr="00731FE2" w:rsidRDefault="007935AB">
      <w:pPr>
        <w:pBdr>
          <w:top w:val="none" w:sz="4" w:space="0" w:color="000000"/>
          <w:left w:val="none" w:sz="4" w:space="0" w:color="000000"/>
          <w:bottom w:val="none" w:sz="4" w:space="0" w:color="000000"/>
          <w:right w:val="none" w:sz="4" w:space="0" w:color="000000"/>
        </w:pBdr>
      </w:pPr>
      <w:r w:rsidRPr="00731FE2">
        <w:rPr>
          <w:rFonts w:ascii="Times New Roman" w:hAnsi="Times New Roman" w:cs="Times New Roman"/>
          <w:color w:val="000000" w:themeColor="text1"/>
        </w:rPr>
        <w:t xml:space="preserve">Воздушные линии электропередач, в соответствии с ПУЭ (Правила устройства электроустановок) имеют охранные зоны, ограничивающие минимальные допустимые расстояния по приближению к ним застройки. Охранные зоны составляют коридоры вдоль линий шириной, зависящей от напряжения линий. </w:t>
      </w:r>
    </w:p>
    <w:p w14:paraId="45C80FFB" w14:textId="77777777" w:rsidR="00171AA8" w:rsidRPr="00731FE2" w:rsidRDefault="007935AB">
      <w:pPr>
        <w:pBdr>
          <w:top w:val="none" w:sz="4" w:space="0" w:color="000000"/>
          <w:left w:val="none" w:sz="4" w:space="0" w:color="000000"/>
          <w:bottom w:val="none" w:sz="4" w:space="0" w:color="000000"/>
          <w:right w:val="none" w:sz="4" w:space="0" w:color="000000"/>
        </w:pBdr>
      </w:pPr>
      <w:r w:rsidRPr="00731FE2">
        <w:rPr>
          <w:rFonts w:ascii="Times New Roman" w:hAnsi="Times New Roman" w:cs="Times New Roman"/>
          <w:color w:val="000000" w:themeColor="text1"/>
        </w:rPr>
        <w:t>Жилищно-коммунальные потребности городского округа города-курорта Кисловодска в электроэнергии обеспечиваются в основном филиалом ПАО «Россети Северный Кавказ» – «Ставропольэнерго», предприятием АО «Кисловодская сетевая компания» и АО «Горэлектросеть».</w:t>
      </w:r>
    </w:p>
    <w:p w14:paraId="2719EF6B" w14:textId="77777777" w:rsidR="00171AA8" w:rsidRPr="00731FE2" w:rsidRDefault="007935AB">
      <w:pPr>
        <w:pBdr>
          <w:top w:val="none" w:sz="4" w:space="0" w:color="000000"/>
          <w:left w:val="none" w:sz="4" w:space="0" w:color="000000"/>
          <w:bottom w:val="none" w:sz="4" w:space="0" w:color="000000"/>
          <w:right w:val="none" w:sz="4" w:space="0" w:color="000000"/>
        </w:pBdr>
      </w:pPr>
      <w:r w:rsidRPr="00731FE2">
        <w:rPr>
          <w:rFonts w:ascii="Times New Roman" w:hAnsi="Times New Roman" w:cs="Times New Roman"/>
          <w:color w:val="000000" w:themeColor="text1"/>
        </w:rPr>
        <w:t>Распределение электроэнергии по потребителям ок</w:t>
      </w:r>
      <w:r w:rsidR="008B0AA2" w:rsidRPr="00731FE2">
        <w:rPr>
          <w:rFonts w:ascii="Times New Roman" w:hAnsi="Times New Roman" w:cs="Times New Roman"/>
          <w:color w:val="000000" w:themeColor="text1"/>
        </w:rPr>
        <w:t>ру</w:t>
      </w:r>
      <w:r w:rsidRPr="00731FE2">
        <w:rPr>
          <w:rFonts w:ascii="Times New Roman" w:hAnsi="Times New Roman" w:cs="Times New Roman"/>
          <w:color w:val="000000" w:themeColor="text1"/>
        </w:rPr>
        <w:t>га осуществляется от распределительных устройств (РУ) ПС через распределительные пункты РП-10 кВ и трансформаторные подстанции ТП 10/0,4 кВ по кабельным и воздушным сетям 10 кВ по комбинированным петлевым и двухлучевым схемам.</w:t>
      </w:r>
    </w:p>
    <w:p w14:paraId="2902B08B"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Для обеспечения надежности потребителей, относящихся, в соответствии с ПУЭ</w:t>
      </w:r>
      <w:r w:rsidR="008B0AA2" w:rsidRPr="00731FE2">
        <w:rPr>
          <w:rFonts w:ascii="Times New Roman" w:hAnsi="Times New Roman" w:cs="Times New Roman"/>
          <w:color w:val="000000" w:themeColor="text1"/>
        </w:rPr>
        <w:t xml:space="preserve"> (правила устройства электроустановок)</w:t>
      </w:r>
      <w:r w:rsidRPr="00731FE2">
        <w:rPr>
          <w:rFonts w:ascii="Times New Roman" w:hAnsi="Times New Roman" w:cs="Times New Roman"/>
          <w:color w:val="000000" w:themeColor="text1"/>
        </w:rPr>
        <w:t>, к I-ой категории надежности, в распределительных сетях 0,4-10 кВ применяется резервирование. Для двухтрансформаторных ТП, когда оба трансформатора несут нагрузку, предусматривается автоматический ввод резерва (АВР) на стороне высшего напряжения от резервного независимого источника, а для однотрансформаторных ТП – АВР на стороне низшего напряжения от сети 0,4 кВ соседних ТП (таблицы ниже).</w:t>
      </w:r>
    </w:p>
    <w:p w14:paraId="673B81B6" w14:textId="77777777" w:rsidR="00171AA8" w:rsidRPr="00731FE2" w:rsidRDefault="00171AA8">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p>
    <w:p w14:paraId="70EC0C50" w14:textId="77777777" w:rsidR="00171AA8" w:rsidRPr="00731FE2" w:rsidRDefault="007935AB">
      <w:pPr>
        <w:pStyle w:val="af3"/>
        <w:rPr>
          <w:sz w:val="24"/>
          <w:szCs w:val="24"/>
        </w:rPr>
      </w:pPr>
      <w:r w:rsidRPr="00731FE2">
        <w:rPr>
          <w:sz w:val="24"/>
          <w:szCs w:val="24"/>
        </w:rPr>
        <w:lastRenderedPageBreak/>
        <w:t xml:space="preserve">Таблица </w:t>
      </w:r>
      <w:r w:rsidR="00D97880" w:rsidRPr="00731FE2">
        <w:rPr>
          <w:noProof/>
          <w:sz w:val="24"/>
          <w:szCs w:val="24"/>
        </w:rPr>
        <w:fldChar w:fldCharType="begin"/>
      </w:r>
      <w:r w:rsidR="00D97880" w:rsidRPr="00731FE2">
        <w:rPr>
          <w:noProof/>
          <w:sz w:val="24"/>
          <w:szCs w:val="24"/>
        </w:rPr>
        <w:instrText xml:space="preserve"> SEQ Таблица \* Arabic </w:instrText>
      </w:r>
      <w:r w:rsidR="00D97880" w:rsidRPr="00731FE2">
        <w:rPr>
          <w:noProof/>
          <w:sz w:val="24"/>
          <w:szCs w:val="24"/>
        </w:rPr>
        <w:fldChar w:fldCharType="separate"/>
      </w:r>
      <w:r w:rsidR="00C50915" w:rsidRPr="00731FE2">
        <w:rPr>
          <w:noProof/>
          <w:sz w:val="24"/>
          <w:szCs w:val="24"/>
        </w:rPr>
        <w:t>39</w:t>
      </w:r>
      <w:r w:rsidR="00D97880" w:rsidRPr="00731FE2">
        <w:rPr>
          <w:noProof/>
          <w:sz w:val="24"/>
          <w:szCs w:val="24"/>
        </w:rPr>
        <w:fldChar w:fldCharType="end"/>
      </w:r>
      <w:r w:rsidRPr="00731FE2">
        <w:rPr>
          <w:sz w:val="24"/>
          <w:szCs w:val="24"/>
        </w:rPr>
        <w:t xml:space="preserve"> – Краткая характеристика линий электропередачи на напряжении 0,4-10 кВ</w:t>
      </w:r>
      <w:r w:rsidRPr="00731FE2">
        <w:rPr>
          <w:rStyle w:val="afb"/>
          <w:sz w:val="24"/>
          <w:szCs w:val="24"/>
          <w:vertAlign w:val="superscript"/>
        </w:rPr>
        <w:footnoteReference w:id="79"/>
      </w:r>
    </w:p>
    <w:tbl>
      <w:tblPr>
        <w:tblStyle w:val="afe"/>
        <w:tblW w:w="0" w:type="auto"/>
        <w:tblLayout w:type="fixed"/>
        <w:tblLook w:val="04A0" w:firstRow="1" w:lastRow="0" w:firstColumn="1" w:lastColumn="0" w:noHBand="0" w:noVBand="1"/>
      </w:tblPr>
      <w:tblGrid>
        <w:gridCol w:w="708"/>
        <w:gridCol w:w="1560"/>
        <w:gridCol w:w="1701"/>
        <w:gridCol w:w="1843"/>
        <w:gridCol w:w="1417"/>
        <w:gridCol w:w="2126"/>
      </w:tblGrid>
      <w:tr w:rsidR="00171AA8" w:rsidRPr="00731FE2" w14:paraId="0BCF44A6" w14:textId="77777777">
        <w:tc>
          <w:tcPr>
            <w:tcW w:w="708" w:type="dxa"/>
            <w:vAlign w:val="center"/>
          </w:tcPr>
          <w:p w14:paraId="2AA15A2A"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pPr>
            <w:r w:rsidRPr="00731FE2">
              <w:t xml:space="preserve">№ </w:t>
            </w:r>
            <w:proofErr w:type="gramStart"/>
            <w:r w:rsidRPr="00731FE2">
              <w:t>п</w:t>
            </w:r>
            <w:proofErr w:type="gramEnd"/>
            <w:r w:rsidRPr="00731FE2">
              <w:t>/п</w:t>
            </w:r>
          </w:p>
        </w:tc>
        <w:tc>
          <w:tcPr>
            <w:tcW w:w="1560" w:type="dxa"/>
            <w:vAlign w:val="center"/>
          </w:tcPr>
          <w:p w14:paraId="0B0CD5E7"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pPr>
            <w:r w:rsidRPr="00731FE2">
              <w:t>Класс напряжения, кВ</w:t>
            </w:r>
          </w:p>
        </w:tc>
        <w:tc>
          <w:tcPr>
            <w:tcW w:w="1701" w:type="dxa"/>
            <w:vAlign w:val="center"/>
          </w:tcPr>
          <w:p w14:paraId="0676ADD4"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pPr>
            <w:r w:rsidRPr="00731FE2">
              <w:t>Тип исполнения</w:t>
            </w:r>
          </w:p>
        </w:tc>
        <w:tc>
          <w:tcPr>
            <w:tcW w:w="1843" w:type="dxa"/>
            <w:vAlign w:val="center"/>
          </w:tcPr>
          <w:p w14:paraId="11F74641"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pPr>
            <w:r w:rsidRPr="00731FE2">
              <w:t xml:space="preserve">Общая протяженность, </w:t>
            </w:r>
            <w:proofErr w:type="gramStart"/>
            <w:r w:rsidRPr="00731FE2">
              <w:t>км</w:t>
            </w:r>
            <w:proofErr w:type="gramEnd"/>
          </w:p>
        </w:tc>
        <w:tc>
          <w:tcPr>
            <w:tcW w:w="1417" w:type="dxa"/>
            <w:vAlign w:val="center"/>
          </w:tcPr>
          <w:p w14:paraId="564EF3D8"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pPr>
            <w:r w:rsidRPr="00731FE2">
              <w:t>Степень износа</w:t>
            </w:r>
          </w:p>
        </w:tc>
        <w:tc>
          <w:tcPr>
            <w:tcW w:w="2126" w:type="dxa"/>
            <w:vAlign w:val="center"/>
          </w:tcPr>
          <w:p w14:paraId="2DED8335"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pPr>
            <w:r w:rsidRPr="00731FE2">
              <w:t>Ведомственная принадлежность</w:t>
            </w:r>
          </w:p>
        </w:tc>
      </w:tr>
      <w:tr w:rsidR="00171AA8" w:rsidRPr="00731FE2" w14:paraId="56B4FE60" w14:textId="77777777">
        <w:tc>
          <w:tcPr>
            <w:tcW w:w="708" w:type="dxa"/>
            <w:vAlign w:val="center"/>
          </w:tcPr>
          <w:p w14:paraId="29895738"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b w:val="0"/>
                <w:bCs w:val="0"/>
              </w:rPr>
            </w:pPr>
            <w:r w:rsidRPr="00731FE2">
              <w:rPr>
                <w:b w:val="0"/>
                <w:bCs w:val="0"/>
              </w:rPr>
              <w:t>1.</w:t>
            </w:r>
          </w:p>
        </w:tc>
        <w:tc>
          <w:tcPr>
            <w:tcW w:w="1560" w:type="dxa"/>
            <w:vAlign w:val="center"/>
          </w:tcPr>
          <w:p w14:paraId="14E3BAB1"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b w:val="0"/>
                <w:bCs w:val="0"/>
              </w:rPr>
            </w:pPr>
            <w:r w:rsidRPr="00731FE2">
              <w:rPr>
                <w:b w:val="0"/>
                <w:bCs w:val="0"/>
              </w:rPr>
              <w:t>10</w:t>
            </w:r>
          </w:p>
        </w:tc>
        <w:tc>
          <w:tcPr>
            <w:tcW w:w="1701" w:type="dxa"/>
            <w:vAlign w:val="center"/>
          </w:tcPr>
          <w:p w14:paraId="7F7DC661"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b w:val="0"/>
                <w:bCs w:val="0"/>
              </w:rPr>
            </w:pPr>
            <w:r w:rsidRPr="00731FE2">
              <w:rPr>
                <w:b w:val="0"/>
                <w:bCs w:val="0"/>
              </w:rPr>
              <w:t xml:space="preserve">Воздушная </w:t>
            </w:r>
            <w:proofErr w:type="gramStart"/>
            <w:r w:rsidRPr="00731FE2">
              <w:rPr>
                <w:b w:val="0"/>
                <w:bCs w:val="0"/>
              </w:rPr>
              <w:t>ВЛ</w:t>
            </w:r>
            <w:proofErr w:type="gramEnd"/>
          </w:p>
        </w:tc>
        <w:tc>
          <w:tcPr>
            <w:tcW w:w="1843" w:type="dxa"/>
            <w:vAlign w:val="center"/>
          </w:tcPr>
          <w:p w14:paraId="17306C47"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b w:val="0"/>
                <w:bCs w:val="0"/>
              </w:rPr>
            </w:pPr>
            <w:r w:rsidRPr="00731FE2">
              <w:rPr>
                <w:b w:val="0"/>
                <w:bCs w:val="0"/>
              </w:rPr>
              <w:t>61,288</w:t>
            </w:r>
          </w:p>
        </w:tc>
        <w:tc>
          <w:tcPr>
            <w:tcW w:w="1417" w:type="dxa"/>
            <w:vAlign w:val="center"/>
          </w:tcPr>
          <w:p w14:paraId="37B6AF25"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b w:val="0"/>
                <w:bCs w:val="0"/>
              </w:rPr>
            </w:pPr>
            <w:r w:rsidRPr="00731FE2">
              <w:rPr>
                <w:b w:val="0"/>
                <w:bCs w:val="0"/>
              </w:rPr>
              <w:t>78,5</w:t>
            </w:r>
          </w:p>
        </w:tc>
        <w:tc>
          <w:tcPr>
            <w:tcW w:w="2126" w:type="dxa"/>
            <w:vAlign w:val="center"/>
          </w:tcPr>
          <w:p w14:paraId="7669DFA0"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b w:val="0"/>
                <w:bCs w:val="0"/>
              </w:rPr>
            </w:pPr>
            <w:r w:rsidRPr="00731FE2">
              <w:rPr>
                <w:b w:val="0"/>
                <w:bCs w:val="0"/>
              </w:rPr>
              <w:t>АО «Кисловодская сетевая компания»</w:t>
            </w:r>
          </w:p>
        </w:tc>
      </w:tr>
      <w:tr w:rsidR="00171AA8" w:rsidRPr="00731FE2" w14:paraId="04E61661" w14:textId="77777777">
        <w:tc>
          <w:tcPr>
            <w:tcW w:w="708" w:type="dxa"/>
            <w:vAlign w:val="center"/>
          </w:tcPr>
          <w:p w14:paraId="788F8F73"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b w:val="0"/>
                <w:bCs w:val="0"/>
              </w:rPr>
            </w:pPr>
            <w:r w:rsidRPr="00731FE2">
              <w:rPr>
                <w:b w:val="0"/>
                <w:bCs w:val="0"/>
              </w:rPr>
              <w:t>2.</w:t>
            </w:r>
          </w:p>
        </w:tc>
        <w:tc>
          <w:tcPr>
            <w:tcW w:w="1560" w:type="dxa"/>
            <w:vAlign w:val="center"/>
          </w:tcPr>
          <w:p w14:paraId="367F222B"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b w:val="0"/>
                <w:bCs w:val="0"/>
              </w:rPr>
            </w:pPr>
            <w:r w:rsidRPr="00731FE2">
              <w:rPr>
                <w:b w:val="0"/>
                <w:bCs w:val="0"/>
              </w:rPr>
              <w:t>10</w:t>
            </w:r>
          </w:p>
        </w:tc>
        <w:tc>
          <w:tcPr>
            <w:tcW w:w="1701" w:type="dxa"/>
            <w:vAlign w:val="center"/>
          </w:tcPr>
          <w:p w14:paraId="464E9AF8"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b w:val="0"/>
                <w:bCs w:val="0"/>
              </w:rPr>
            </w:pPr>
            <w:proofErr w:type="gramStart"/>
            <w:r w:rsidRPr="00731FE2">
              <w:rPr>
                <w:b w:val="0"/>
                <w:bCs w:val="0"/>
              </w:rPr>
              <w:t>Кабельная</w:t>
            </w:r>
            <w:proofErr w:type="gramEnd"/>
            <w:r w:rsidRPr="00731FE2">
              <w:rPr>
                <w:b w:val="0"/>
                <w:bCs w:val="0"/>
              </w:rPr>
              <w:t xml:space="preserve"> КЛ</w:t>
            </w:r>
          </w:p>
        </w:tc>
        <w:tc>
          <w:tcPr>
            <w:tcW w:w="1843" w:type="dxa"/>
            <w:vAlign w:val="center"/>
          </w:tcPr>
          <w:p w14:paraId="509C03A5"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b w:val="0"/>
                <w:bCs w:val="0"/>
              </w:rPr>
            </w:pPr>
            <w:r w:rsidRPr="00731FE2">
              <w:rPr>
                <w:b w:val="0"/>
                <w:bCs w:val="0"/>
              </w:rPr>
              <w:t>328,782</w:t>
            </w:r>
          </w:p>
        </w:tc>
        <w:tc>
          <w:tcPr>
            <w:tcW w:w="1417" w:type="dxa"/>
            <w:vAlign w:val="center"/>
          </w:tcPr>
          <w:p w14:paraId="0C44ABD5"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b w:val="0"/>
                <w:bCs w:val="0"/>
              </w:rPr>
            </w:pPr>
            <w:r w:rsidRPr="00731FE2">
              <w:rPr>
                <w:b w:val="0"/>
                <w:bCs w:val="0"/>
              </w:rPr>
              <w:t>78,5</w:t>
            </w:r>
          </w:p>
        </w:tc>
        <w:tc>
          <w:tcPr>
            <w:tcW w:w="2126" w:type="dxa"/>
            <w:vAlign w:val="center"/>
          </w:tcPr>
          <w:p w14:paraId="4180CA85"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b w:val="0"/>
                <w:bCs w:val="0"/>
              </w:rPr>
            </w:pPr>
            <w:r w:rsidRPr="00731FE2">
              <w:rPr>
                <w:b w:val="0"/>
                <w:bCs w:val="0"/>
              </w:rPr>
              <w:t>АО «Кисловодская сетевая компания»</w:t>
            </w:r>
          </w:p>
        </w:tc>
      </w:tr>
      <w:tr w:rsidR="00171AA8" w:rsidRPr="00731FE2" w14:paraId="49F2F0C0" w14:textId="77777777">
        <w:tc>
          <w:tcPr>
            <w:tcW w:w="708" w:type="dxa"/>
            <w:vAlign w:val="center"/>
          </w:tcPr>
          <w:p w14:paraId="09F53459"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b w:val="0"/>
                <w:bCs w:val="0"/>
              </w:rPr>
            </w:pPr>
            <w:r w:rsidRPr="00731FE2">
              <w:rPr>
                <w:b w:val="0"/>
                <w:bCs w:val="0"/>
              </w:rPr>
              <w:t>3.</w:t>
            </w:r>
          </w:p>
        </w:tc>
        <w:tc>
          <w:tcPr>
            <w:tcW w:w="1560" w:type="dxa"/>
            <w:vAlign w:val="center"/>
          </w:tcPr>
          <w:p w14:paraId="1EE5FB26"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b w:val="0"/>
                <w:bCs w:val="0"/>
              </w:rPr>
            </w:pPr>
            <w:r w:rsidRPr="00731FE2">
              <w:rPr>
                <w:b w:val="0"/>
                <w:bCs w:val="0"/>
              </w:rPr>
              <w:t>0,4</w:t>
            </w:r>
          </w:p>
        </w:tc>
        <w:tc>
          <w:tcPr>
            <w:tcW w:w="1701" w:type="dxa"/>
            <w:vAlign w:val="center"/>
          </w:tcPr>
          <w:p w14:paraId="77E098D9"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b w:val="0"/>
                <w:bCs w:val="0"/>
              </w:rPr>
            </w:pPr>
            <w:r w:rsidRPr="00731FE2">
              <w:rPr>
                <w:b w:val="0"/>
                <w:bCs w:val="0"/>
              </w:rPr>
              <w:t xml:space="preserve">Воздушная </w:t>
            </w:r>
            <w:proofErr w:type="gramStart"/>
            <w:r w:rsidRPr="00731FE2">
              <w:rPr>
                <w:b w:val="0"/>
                <w:bCs w:val="0"/>
              </w:rPr>
              <w:t>ВЛ</w:t>
            </w:r>
            <w:proofErr w:type="gramEnd"/>
          </w:p>
        </w:tc>
        <w:tc>
          <w:tcPr>
            <w:tcW w:w="1843" w:type="dxa"/>
            <w:vAlign w:val="center"/>
          </w:tcPr>
          <w:p w14:paraId="7E54B7F0"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b w:val="0"/>
                <w:bCs w:val="0"/>
              </w:rPr>
            </w:pPr>
            <w:r w:rsidRPr="00731FE2">
              <w:rPr>
                <w:b w:val="0"/>
                <w:bCs w:val="0"/>
              </w:rPr>
              <w:t>229,325</w:t>
            </w:r>
          </w:p>
        </w:tc>
        <w:tc>
          <w:tcPr>
            <w:tcW w:w="1417" w:type="dxa"/>
            <w:vAlign w:val="center"/>
          </w:tcPr>
          <w:p w14:paraId="13215CD0"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b w:val="0"/>
                <w:bCs w:val="0"/>
              </w:rPr>
            </w:pPr>
            <w:r w:rsidRPr="00731FE2">
              <w:rPr>
                <w:b w:val="0"/>
                <w:bCs w:val="0"/>
              </w:rPr>
              <w:t>78,5</w:t>
            </w:r>
          </w:p>
        </w:tc>
        <w:tc>
          <w:tcPr>
            <w:tcW w:w="2126" w:type="dxa"/>
            <w:vAlign w:val="center"/>
          </w:tcPr>
          <w:p w14:paraId="01F25D53"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b w:val="0"/>
                <w:bCs w:val="0"/>
              </w:rPr>
            </w:pPr>
            <w:r w:rsidRPr="00731FE2">
              <w:rPr>
                <w:b w:val="0"/>
                <w:bCs w:val="0"/>
              </w:rPr>
              <w:t>АО «Кисловодская сетевая компания»</w:t>
            </w:r>
          </w:p>
        </w:tc>
      </w:tr>
      <w:tr w:rsidR="00171AA8" w:rsidRPr="00731FE2" w14:paraId="6E63A8BC" w14:textId="77777777">
        <w:tc>
          <w:tcPr>
            <w:tcW w:w="708" w:type="dxa"/>
            <w:vAlign w:val="center"/>
          </w:tcPr>
          <w:p w14:paraId="080AC70E"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b w:val="0"/>
                <w:bCs w:val="0"/>
              </w:rPr>
            </w:pPr>
            <w:r w:rsidRPr="00731FE2">
              <w:rPr>
                <w:b w:val="0"/>
                <w:bCs w:val="0"/>
              </w:rPr>
              <w:t>4.</w:t>
            </w:r>
          </w:p>
        </w:tc>
        <w:tc>
          <w:tcPr>
            <w:tcW w:w="1560" w:type="dxa"/>
            <w:vAlign w:val="center"/>
          </w:tcPr>
          <w:p w14:paraId="20830B47"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b w:val="0"/>
                <w:bCs w:val="0"/>
              </w:rPr>
            </w:pPr>
            <w:r w:rsidRPr="00731FE2">
              <w:rPr>
                <w:b w:val="0"/>
                <w:bCs w:val="0"/>
              </w:rPr>
              <w:t>0,4</w:t>
            </w:r>
          </w:p>
        </w:tc>
        <w:tc>
          <w:tcPr>
            <w:tcW w:w="1701" w:type="dxa"/>
            <w:vAlign w:val="center"/>
          </w:tcPr>
          <w:p w14:paraId="5E545631"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b w:val="0"/>
                <w:bCs w:val="0"/>
              </w:rPr>
            </w:pPr>
            <w:proofErr w:type="gramStart"/>
            <w:r w:rsidRPr="00731FE2">
              <w:rPr>
                <w:b w:val="0"/>
                <w:bCs w:val="0"/>
              </w:rPr>
              <w:t>Кабельная</w:t>
            </w:r>
            <w:proofErr w:type="gramEnd"/>
            <w:r w:rsidRPr="00731FE2">
              <w:rPr>
                <w:b w:val="0"/>
                <w:bCs w:val="0"/>
              </w:rPr>
              <w:t xml:space="preserve"> КЛ</w:t>
            </w:r>
          </w:p>
        </w:tc>
        <w:tc>
          <w:tcPr>
            <w:tcW w:w="1843" w:type="dxa"/>
            <w:vAlign w:val="center"/>
          </w:tcPr>
          <w:p w14:paraId="647B86DE"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b w:val="0"/>
                <w:bCs w:val="0"/>
              </w:rPr>
            </w:pPr>
            <w:r w:rsidRPr="00731FE2">
              <w:rPr>
                <w:b w:val="0"/>
                <w:bCs w:val="0"/>
              </w:rPr>
              <w:t>174,727</w:t>
            </w:r>
          </w:p>
        </w:tc>
        <w:tc>
          <w:tcPr>
            <w:tcW w:w="1417" w:type="dxa"/>
            <w:vAlign w:val="center"/>
          </w:tcPr>
          <w:p w14:paraId="71F1D028"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b w:val="0"/>
                <w:bCs w:val="0"/>
              </w:rPr>
            </w:pPr>
            <w:r w:rsidRPr="00731FE2">
              <w:rPr>
                <w:b w:val="0"/>
                <w:bCs w:val="0"/>
              </w:rPr>
              <w:t>78,5</w:t>
            </w:r>
          </w:p>
        </w:tc>
        <w:tc>
          <w:tcPr>
            <w:tcW w:w="2126" w:type="dxa"/>
            <w:vAlign w:val="center"/>
          </w:tcPr>
          <w:p w14:paraId="64CB82BE"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b w:val="0"/>
                <w:bCs w:val="0"/>
              </w:rPr>
            </w:pPr>
            <w:r w:rsidRPr="00731FE2">
              <w:rPr>
                <w:b w:val="0"/>
                <w:bCs w:val="0"/>
              </w:rPr>
              <w:t>АО «Кисловодская сетевая компания»</w:t>
            </w:r>
          </w:p>
        </w:tc>
      </w:tr>
    </w:tbl>
    <w:p w14:paraId="004D1BDA" w14:textId="77777777" w:rsidR="00171AA8" w:rsidRPr="00731FE2" w:rsidRDefault="00171AA8">
      <w:pPr>
        <w:pBdr>
          <w:top w:val="none" w:sz="4" w:space="0" w:color="000000"/>
          <w:left w:val="none" w:sz="4" w:space="0" w:color="000000"/>
          <w:bottom w:val="none" w:sz="4" w:space="0" w:color="000000"/>
          <w:right w:val="none" w:sz="4" w:space="0" w:color="000000"/>
        </w:pBdr>
        <w:ind w:firstLine="0"/>
        <w:rPr>
          <w:rFonts w:ascii="Times New Roman" w:hAnsi="Times New Roman" w:cs="Times New Roman"/>
          <w:color w:val="000000" w:themeColor="text1"/>
        </w:rPr>
      </w:pPr>
    </w:p>
    <w:p w14:paraId="29322EDF" w14:textId="77777777" w:rsidR="00171AA8" w:rsidRPr="00731FE2" w:rsidRDefault="007935AB">
      <w:pPr>
        <w:pStyle w:val="af3"/>
        <w:rPr>
          <w:sz w:val="24"/>
          <w:szCs w:val="24"/>
          <w:vertAlign w:val="superscript"/>
        </w:rPr>
      </w:pPr>
      <w:r w:rsidRPr="00731FE2">
        <w:rPr>
          <w:sz w:val="24"/>
          <w:szCs w:val="24"/>
        </w:rPr>
        <w:t xml:space="preserve">Таблица </w:t>
      </w:r>
      <w:r w:rsidR="00D97880" w:rsidRPr="00731FE2">
        <w:rPr>
          <w:noProof/>
          <w:sz w:val="24"/>
          <w:szCs w:val="24"/>
        </w:rPr>
        <w:fldChar w:fldCharType="begin"/>
      </w:r>
      <w:r w:rsidR="00D97880" w:rsidRPr="00731FE2">
        <w:rPr>
          <w:noProof/>
          <w:sz w:val="24"/>
          <w:szCs w:val="24"/>
        </w:rPr>
        <w:instrText xml:space="preserve"> SEQ Таблица \* Arabic </w:instrText>
      </w:r>
      <w:r w:rsidR="00D97880" w:rsidRPr="00731FE2">
        <w:rPr>
          <w:noProof/>
          <w:sz w:val="24"/>
          <w:szCs w:val="24"/>
        </w:rPr>
        <w:fldChar w:fldCharType="separate"/>
      </w:r>
      <w:r w:rsidR="00C50915" w:rsidRPr="00731FE2">
        <w:rPr>
          <w:noProof/>
          <w:sz w:val="24"/>
          <w:szCs w:val="24"/>
        </w:rPr>
        <w:t>40</w:t>
      </w:r>
      <w:r w:rsidR="00D97880" w:rsidRPr="00731FE2">
        <w:rPr>
          <w:noProof/>
          <w:sz w:val="24"/>
          <w:szCs w:val="24"/>
        </w:rPr>
        <w:fldChar w:fldCharType="end"/>
      </w:r>
      <w:r w:rsidRPr="00731FE2">
        <w:rPr>
          <w:sz w:val="24"/>
          <w:szCs w:val="24"/>
        </w:rPr>
        <w:t xml:space="preserve"> – Краткая характеристика трансформаторных подстанций ТП 10/0,4 кВ</w:t>
      </w:r>
      <w:r w:rsidRPr="00731FE2">
        <w:rPr>
          <w:rStyle w:val="afb"/>
          <w:sz w:val="24"/>
          <w:szCs w:val="24"/>
          <w:vertAlign w:val="superscript"/>
        </w:rPr>
        <w:footnoteReference w:id="80"/>
      </w:r>
    </w:p>
    <w:tbl>
      <w:tblPr>
        <w:tblStyle w:val="afe"/>
        <w:tblW w:w="0" w:type="auto"/>
        <w:tblLayout w:type="fixed"/>
        <w:tblLook w:val="04A0" w:firstRow="1" w:lastRow="0" w:firstColumn="1" w:lastColumn="0" w:noHBand="0" w:noVBand="1"/>
      </w:tblPr>
      <w:tblGrid>
        <w:gridCol w:w="708"/>
        <w:gridCol w:w="2947"/>
        <w:gridCol w:w="2742"/>
        <w:gridCol w:w="2971"/>
      </w:tblGrid>
      <w:tr w:rsidR="00171AA8" w:rsidRPr="00731FE2" w14:paraId="10E2E2AD" w14:textId="77777777">
        <w:trPr>
          <w:trHeight w:val="259"/>
        </w:trPr>
        <w:tc>
          <w:tcPr>
            <w:tcW w:w="708" w:type="dxa"/>
            <w:vAlign w:val="center"/>
          </w:tcPr>
          <w:p w14:paraId="053CEF18"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pPr>
            <w:r w:rsidRPr="00731FE2">
              <w:t xml:space="preserve">№ </w:t>
            </w:r>
            <w:proofErr w:type="gramStart"/>
            <w:r w:rsidRPr="00731FE2">
              <w:t>п</w:t>
            </w:r>
            <w:proofErr w:type="gramEnd"/>
            <w:r w:rsidRPr="00731FE2">
              <w:t>/п</w:t>
            </w:r>
          </w:p>
        </w:tc>
        <w:tc>
          <w:tcPr>
            <w:tcW w:w="2947" w:type="dxa"/>
            <w:vAlign w:val="center"/>
          </w:tcPr>
          <w:p w14:paraId="0DAD1190" w14:textId="77777777" w:rsidR="00171AA8" w:rsidRPr="00731FE2" w:rsidRDefault="002455DE">
            <w:pPr>
              <w:pStyle w:val="af3"/>
              <w:pBdr>
                <w:top w:val="none" w:sz="4" w:space="0" w:color="000000"/>
                <w:left w:val="none" w:sz="4" w:space="0" w:color="000000"/>
                <w:bottom w:val="none" w:sz="4" w:space="0" w:color="000000"/>
                <w:right w:val="none" w:sz="4" w:space="0" w:color="000000"/>
              </w:pBdr>
              <w:jc w:val="center"/>
            </w:pPr>
            <w:r w:rsidRPr="00731FE2">
              <w:t>Наименование Т</w:t>
            </w:r>
            <w:r w:rsidR="007935AB" w:rsidRPr="00731FE2">
              <w:t>П</w:t>
            </w:r>
          </w:p>
        </w:tc>
        <w:tc>
          <w:tcPr>
            <w:tcW w:w="2742" w:type="dxa"/>
            <w:vAlign w:val="center"/>
          </w:tcPr>
          <w:p w14:paraId="43876A60"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pPr>
            <w:r w:rsidRPr="00731FE2">
              <w:t>Количество ТП, ед.</w:t>
            </w:r>
          </w:p>
        </w:tc>
        <w:tc>
          <w:tcPr>
            <w:tcW w:w="2971" w:type="dxa"/>
            <w:vAlign w:val="center"/>
          </w:tcPr>
          <w:p w14:paraId="3D08AD08"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pPr>
            <w:r w:rsidRPr="00731FE2">
              <w:t>Установленная мощность, кВА</w:t>
            </w:r>
          </w:p>
        </w:tc>
      </w:tr>
      <w:tr w:rsidR="00171AA8" w:rsidRPr="00731FE2" w14:paraId="2E9433AB" w14:textId="77777777">
        <w:trPr>
          <w:trHeight w:val="255"/>
        </w:trPr>
        <w:tc>
          <w:tcPr>
            <w:tcW w:w="708" w:type="dxa"/>
            <w:vAlign w:val="center"/>
          </w:tcPr>
          <w:p w14:paraId="6B1EC75C"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b w:val="0"/>
                <w:bCs w:val="0"/>
              </w:rPr>
            </w:pPr>
            <w:r w:rsidRPr="00731FE2">
              <w:rPr>
                <w:b w:val="0"/>
                <w:bCs w:val="0"/>
              </w:rPr>
              <w:t>1.</w:t>
            </w:r>
          </w:p>
        </w:tc>
        <w:tc>
          <w:tcPr>
            <w:tcW w:w="2947" w:type="dxa"/>
            <w:vAlign w:val="center"/>
          </w:tcPr>
          <w:p w14:paraId="16D2FD53" w14:textId="77777777" w:rsidR="00171AA8" w:rsidRPr="00731FE2" w:rsidRDefault="007935AB">
            <w:pPr>
              <w:pStyle w:val="af3"/>
              <w:pBdr>
                <w:top w:val="none" w:sz="4" w:space="0" w:color="000000"/>
                <w:left w:val="none" w:sz="4" w:space="0" w:color="000000"/>
                <w:bottom w:val="none" w:sz="4" w:space="0" w:color="000000"/>
                <w:right w:val="none" w:sz="4" w:space="0" w:color="000000"/>
              </w:pBdr>
              <w:tabs>
                <w:tab w:val="right" w:pos="2731"/>
              </w:tabs>
              <w:jc w:val="left"/>
              <w:rPr>
                <w:b w:val="0"/>
                <w:bCs w:val="0"/>
              </w:rPr>
            </w:pPr>
            <w:r w:rsidRPr="00731FE2">
              <w:rPr>
                <w:b w:val="0"/>
                <w:bCs w:val="0"/>
              </w:rPr>
              <w:t>Мачтовая</w:t>
            </w:r>
            <w:r w:rsidRPr="00731FE2">
              <w:rPr>
                <w:b w:val="0"/>
                <w:bCs w:val="0"/>
              </w:rPr>
              <w:tab/>
            </w:r>
          </w:p>
        </w:tc>
        <w:tc>
          <w:tcPr>
            <w:tcW w:w="2742" w:type="dxa"/>
            <w:vAlign w:val="center"/>
          </w:tcPr>
          <w:p w14:paraId="374D1805"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b w:val="0"/>
                <w:bCs w:val="0"/>
              </w:rPr>
            </w:pPr>
            <w:r w:rsidRPr="00731FE2">
              <w:rPr>
                <w:b w:val="0"/>
                <w:bCs w:val="0"/>
              </w:rPr>
              <w:t>14</w:t>
            </w:r>
          </w:p>
        </w:tc>
        <w:tc>
          <w:tcPr>
            <w:tcW w:w="2971" w:type="dxa"/>
            <w:vAlign w:val="center"/>
          </w:tcPr>
          <w:p w14:paraId="239F3A81"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b w:val="0"/>
                <w:bCs w:val="0"/>
              </w:rPr>
            </w:pPr>
            <w:r w:rsidRPr="00731FE2">
              <w:rPr>
                <w:b w:val="0"/>
                <w:bCs w:val="0"/>
              </w:rPr>
              <w:t>1809</w:t>
            </w:r>
          </w:p>
        </w:tc>
      </w:tr>
      <w:tr w:rsidR="00171AA8" w:rsidRPr="00731FE2" w14:paraId="54F691EC" w14:textId="77777777">
        <w:trPr>
          <w:trHeight w:val="255"/>
        </w:trPr>
        <w:tc>
          <w:tcPr>
            <w:tcW w:w="708" w:type="dxa"/>
            <w:vAlign w:val="center"/>
          </w:tcPr>
          <w:p w14:paraId="068EE192"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b w:val="0"/>
                <w:bCs w:val="0"/>
              </w:rPr>
            </w:pPr>
            <w:r w:rsidRPr="00731FE2">
              <w:rPr>
                <w:b w:val="0"/>
                <w:bCs w:val="0"/>
              </w:rPr>
              <w:t>2.</w:t>
            </w:r>
          </w:p>
        </w:tc>
        <w:tc>
          <w:tcPr>
            <w:tcW w:w="2947" w:type="dxa"/>
            <w:vAlign w:val="center"/>
          </w:tcPr>
          <w:p w14:paraId="3270453A"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left"/>
              <w:rPr>
                <w:b w:val="0"/>
                <w:bCs w:val="0"/>
              </w:rPr>
            </w:pPr>
            <w:r w:rsidRPr="00731FE2">
              <w:rPr>
                <w:b w:val="0"/>
                <w:bCs w:val="0"/>
              </w:rPr>
              <w:t>Комплектная</w:t>
            </w:r>
          </w:p>
        </w:tc>
        <w:tc>
          <w:tcPr>
            <w:tcW w:w="2742" w:type="dxa"/>
            <w:vAlign w:val="center"/>
          </w:tcPr>
          <w:p w14:paraId="181C9BD6"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b w:val="0"/>
                <w:bCs w:val="0"/>
              </w:rPr>
            </w:pPr>
            <w:r w:rsidRPr="00731FE2">
              <w:rPr>
                <w:b w:val="0"/>
                <w:bCs w:val="0"/>
              </w:rPr>
              <w:t>80</w:t>
            </w:r>
          </w:p>
        </w:tc>
        <w:tc>
          <w:tcPr>
            <w:tcW w:w="2971" w:type="dxa"/>
            <w:vAlign w:val="center"/>
          </w:tcPr>
          <w:p w14:paraId="1C932B73"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b w:val="0"/>
                <w:bCs w:val="0"/>
              </w:rPr>
            </w:pPr>
            <w:r w:rsidRPr="00731FE2">
              <w:rPr>
                <w:b w:val="0"/>
                <w:bCs w:val="0"/>
              </w:rPr>
              <w:t>29133</w:t>
            </w:r>
          </w:p>
        </w:tc>
      </w:tr>
      <w:tr w:rsidR="00171AA8" w:rsidRPr="00731FE2" w14:paraId="22D63199" w14:textId="77777777">
        <w:trPr>
          <w:trHeight w:val="255"/>
        </w:trPr>
        <w:tc>
          <w:tcPr>
            <w:tcW w:w="708" w:type="dxa"/>
            <w:vAlign w:val="center"/>
          </w:tcPr>
          <w:p w14:paraId="1248FEF4"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b w:val="0"/>
                <w:bCs w:val="0"/>
              </w:rPr>
            </w:pPr>
            <w:r w:rsidRPr="00731FE2">
              <w:rPr>
                <w:b w:val="0"/>
                <w:bCs w:val="0"/>
              </w:rPr>
              <w:t>3.</w:t>
            </w:r>
          </w:p>
        </w:tc>
        <w:tc>
          <w:tcPr>
            <w:tcW w:w="2947" w:type="dxa"/>
            <w:vAlign w:val="center"/>
          </w:tcPr>
          <w:p w14:paraId="15697F8E"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left"/>
              <w:rPr>
                <w:b w:val="0"/>
                <w:bCs w:val="0"/>
              </w:rPr>
            </w:pPr>
            <w:r w:rsidRPr="00731FE2">
              <w:rPr>
                <w:b w:val="0"/>
                <w:bCs w:val="0"/>
              </w:rPr>
              <w:t>Однотрансформаторная</w:t>
            </w:r>
          </w:p>
        </w:tc>
        <w:tc>
          <w:tcPr>
            <w:tcW w:w="2742" w:type="dxa"/>
            <w:vAlign w:val="center"/>
          </w:tcPr>
          <w:p w14:paraId="0B4F24CF"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b w:val="0"/>
                <w:bCs w:val="0"/>
              </w:rPr>
            </w:pPr>
            <w:r w:rsidRPr="00731FE2">
              <w:rPr>
                <w:b w:val="0"/>
                <w:bCs w:val="0"/>
              </w:rPr>
              <w:t>42</w:t>
            </w:r>
          </w:p>
        </w:tc>
        <w:tc>
          <w:tcPr>
            <w:tcW w:w="2971" w:type="dxa"/>
            <w:vAlign w:val="center"/>
          </w:tcPr>
          <w:p w14:paraId="7643D1D8"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b w:val="0"/>
                <w:bCs w:val="0"/>
              </w:rPr>
            </w:pPr>
            <w:r w:rsidRPr="00731FE2">
              <w:rPr>
                <w:b w:val="0"/>
                <w:bCs w:val="0"/>
              </w:rPr>
              <w:t>13730</w:t>
            </w:r>
          </w:p>
        </w:tc>
      </w:tr>
      <w:tr w:rsidR="00171AA8" w:rsidRPr="00731FE2" w14:paraId="33D8372B" w14:textId="77777777">
        <w:trPr>
          <w:trHeight w:val="255"/>
        </w:trPr>
        <w:tc>
          <w:tcPr>
            <w:tcW w:w="708" w:type="dxa"/>
            <w:vAlign w:val="center"/>
          </w:tcPr>
          <w:p w14:paraId="0E39843D"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b w:val="0"/>
                <w:bCs w:val="0"/>
              </w:rPr>
            </w:pPr>
            <w:r w:rsidRPr="00731FE2">
              <w:rPr>
                <w:b w:val="0"/>
                <w:bCs w:val="0"/>
              </w:rPr>
              <w:t>4.</w:t>
            </w:r>
          </w:p>
        </w:tc>
        <w:tc>
          <w:tcPr>
            <w:tcW w:w="2947" w:type="dxa"/>
            <w:vAlign w:val="center"/>
          </w:tcPr>
          <w:p w14:paraId="4F92E0D7"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left"/>
              <w:rPr>
                <w:b w:val="0"/>
                <w:bCs w:val="0"/>
              </w:rPr>
            </w:pPr>
            <w:r w:rsidRPr="00731FE2">
              <w:rPr>
                <w:b w:val="0"/>
                <w:bCs w:val="0"/>
              </w:rPr>
              <w:t>Двухтрансформаторная</w:t>
            </w:r>
          </w:p>
        </w:tc>
        <w:tc>
          <w:tcPr>
            <w:tcW w:w="2742" w:type="dxa"/>
            <w:vAlign w:val="center"/>
          </w:tcPr>
          <w:p w14:paraId="50C87949"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b w:val="0"/>
                <w:bCs w:val="0"/>
              </w:rPr>
            </w:pPr>
            <w:r w:rsidRPr="00731FE2">
              <w:rPr>
                <w:b w:val="0"/>
                <w:bCs w:val="0"/>
              </w:rPr>
              <w:t>212</w:t>
            </w:r>
          </w:p>
        </w:tc>
        <w:tc>
          <w:tcPr>
            <w:tcW w:w="2971" w:type="dxa"/>
            <w:vAlign w:val="center"/>
          </w:tcPr>
          <w:p w14:paraId="35E1D5EA"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b w:val="0"/>
                <w:bCs w:val="0"/>
              </w:rPr>
            </w:pPr>
            <w:r w:rsidRPr="00731FE2">
              <w:rPr>
                <w:b w:val="0"/>
                <w:bCs w:val="0"/>
              </w:rPr>
              <w:t>201850</w:t>
            </w:r>
          </w:p>
        </w:tc>
      </w:tr>
    </w:tbl>
    <w:p w14:paraId="08C93934" w14:textId="77777777" w:rsidR="00171AA8" w:rsidRPr="00731FE2" w:rsidRDefault="00171AA8">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p>
    <w:p w14:paraId="2AA4256E" w14:textId="77777777" w:rsidR="00171AA8" w:rsidRPr="00731FE2" w:rsidRDefault="007935AB">
      <w:pPr>
        <w:pBdr>
          <w:top w:val="none" w:sz="4" w:space="0" w:color="000000"/>
          <w:left w:val="none" w:sz="4" w:space="0" w:color="000000"/>
          <w:bottom w:val="none" w:sz="4" w:space="0" w:color="000000"/>
          <w:right w:val="none" w:sz="4" w:space="0" w:color="000000"/>
        </w:pBdr>
      </w:pPr>
      <w:r w:rsidRPr="00731FE2">
        <w:rPr>
          <w:rFonts w:ascii="Times New Roman" w:hAnsi="Times New Roman" w:cs="Times New Roman"/>
          <w:color w:val="000000" w:themeColor="text1"/>
        </w:rPr>
        <w:t xml:space="preserve">Годовая реализация электроэнергии АО «Горэлектросеть» составила 281,56 </w:t>
      </w:r>
      <w:proofErr w:type="gramStart"/>
      <w:r w:rsidRPr="00731FE2">
        <w:rPr>
          <w:rFonts w:ascii="Times New Roman" w:hAnsi="Times New Roman" w:cs="Times New Roman"/>
          <w:color w:val="000000" w:themeColor="text1"/>
        </w:rPr>
        <w:t>млн</w:t>
      </w:r>
      <w:proofErr w:type="gramEnd"/>
      <w:r w:rsidRPr="00731FE2">
        <w:rPr>
          <w:rFonts w:ascii="Times New Roman" w:hAnsi="Times New Roman" w:cs="Times New Roman"/>
          <w:color w:val="000000" w:themeColor="text1"/>
        </w:rPr>
        <w:t xml:space="preserve"> кВт/ч, в том числе:</w:t>
      </w:r>
    </w:p>
    <w:p w14:paraId="763CC6DF" w14:textId="77777777" w:rsidR="00171AA8" w:rsidRPr="00731FE2" w:rsidRDefault="007935AB">
      <w:pPr>
        <w:pStyle w:val="a3"/>
        <w:numPr>
          <w:ilvl w:val="0"/>
          <w:numId w:val="30"/>
        </w:numPr>
        <w:pBdr>
          <w:top w:val="none" w:sz="4" w:space="0" w:color="000000"/>
          <w:left w:val="none" w:sz="4" w:space="0" w:color="000000"/>
          <w:bottom w:val="none" w:sz="4" w:space="0" w:color="000000"/>
          <w:right w:val="none" w:sz="4" w:space="0" w:color="000000"/>
        </w:pBdr>
        <w:tabs>
          <w:tab w:val="left" w:pos="992"/>
        </w:tabs>
        <w:ind w:left="0" w:firstLine="709"/>
        <w:rPr>
          <w:rFonts w:ascii="Times New Roman" w:hAnsi="Times New Roman" w:cs="Times New Roman"/>
          <w:color w:val="000000" w:themeColor="text1"/>
        </w:rPr>
      </w:pPr>
      <w:r w:rsidRPr="00731FE2">
        <w:rPr>
          <w:rFonts w:ascii="Times New Roman" w:hAnsi="Times New Roman" w:cs="Times New Roman"/>
          <w:color w:val="000000" w:themeColor="text1"/>
        </w:rPr>
        <w:t xml:space="preserve">населению – 81,8 </w:t>
      </w:r>
      <w:proofErr w:type="gramStart"/>
      <w:r w:rsidRPr="00731FE2">
        <w:rPr>
          <w:rFonts w:ascii="Times New Roman" w:hAnsi="Times New Roman" w:cs="Times New Roman"/>
          <w:color w:val="000000" w:themeColor="text1"/>
        </w:rPr>
        <w:t>млн</w:t>
      </w:r>
      <w:proofErr w:type="gramEnd"/>
      <w:r w:rsidRPr="00731FE2">
        <w:rPr>
          <w:rFonts w:ascii="Times New Roman" w:hAnsi="Times New Roman" w:cs="Times New Roman"/>
          <w:color w:val="000000" w:themeColor="text1"/>
        </w:rPr>
        <w:t xml:space="preserve"> кВт/ч;</w:t>
      </w:r>
    </w:p>
    <w:p w14:paraId="14A65805" w14:textId="77777777" w:rsidR="00171AA8" w:rsidRPr="00731FE2" w:rsidRDefault="007935AB">
      <w:pPr>
        <w:pStyle w:val="a3"/>
        <w:numPr>
          <w:ilvl w:val="0"/>
          <w:numId w:val="30"/>
        </w:numPr>
        <w:pBdr>
          <w:top w:val="none" w:sz="4" w:space="0" w:color="000000"/>
          <w:left w:val="none" w:sz="4" w:space="0" w:color="000000"/>
          <w:bottom w:val="none" w:sz="4" w:space="0" w:color="000000"/>
          <w:right w:val="none" w:sz="4" w:space="0" w:color="000000"/>
        </w:pBdr>
        <w:tabs>
          <w:tab w:val="left" w:pos="992"/>
        </w:tabs>
        <w:ind w:left="0" w:firstLine="709"/>
        <w:rPr>
          <w:rFonts w:ascii="Times New Roman" w:hAnsi="Times New Roman" w:cs="Times New Roman"/>
          <w:color w:val="000000" w:themeColor="text1"/>
        </w:rPr>
      </w:pPr>
      <w:r w:rsidRPr="00731FE2">
        <w:rPr>
          <w:rFonts w:ascii="Times New Roman" w:hAnsi="Times New Roman" w:cs="Times New Roman"/>
          <w:color w:val="000000" w:themeColor="text1"/>
        </w:rPr>
        <w:t xml:space="preserve">организациям бюджетной сферы – 46,35 </w:t>
      </w:r>
      <w:proofErr w:type="gramStart"/>
      <w:r w:rsidRPr="00731FE2">
        <w:rPr>
          <w:rFonts w:ascii="Times New Roman" w:hAnsi="Times New Roman" w:cs="Times New Roman"/>
          <w:color w:val="000000" w:themeColor="text1"/>
        </w:rPr>
        <w:t>млн</w:t>
      </w:r>
      <w:proofErr w:type="gramEnd"/>
      <w:r w:rsidRPr="00731FE2">
        <w:rPr>
          <w:rFonts w:ascii="Times New Roman" w:hAnsi="Times New Roman" w:cs="Times New Roman"/>
          <w:color w:val="000000" w:themeColor="text1"/>
        </w:rPr>
        <w:t xml:space="preserve"> кВт/ч;</w:t>
      </w:r>
    </w:p>
    <w:p w14:paraId="4C8B66CC" w14:textId="77777777" w:rsidR="00171AA8" w:rsidRPr="00731FE2" w:rsidRDefault="007935AB">
      <w:pPr>
        <w:pStyle w:val="a3"/>
        <w:numPr>
          <w:ilvl w:val="0"/>
          <w:numId w:val="30"/>
        </w:numPr>
        <w:pBdr>
          <w:top w:val="none" w:sz="4" w:space="0" w:color="000000"/>
          <w:left w:val="none" w:sz="4" w:space="0" w:color="000000"/>
          <w:bottom w:val="none" w:sz="4" w:space="0" w:color="000000"/>
          <w:right w:val="none" w:sz="4" w:space="0" w:color="000000"/>
        </w:pBdr>
        <w:tabs>
          <w:tab w:val="left" w:pos="992"/>
        </w:tabs>
        <w:ind w:left="0" w:firstLine="709"/>
        <w:rPr>
          <w:rFonts w:ascii="Times New Roman" w:hAnsi="Times New Roman" w:cs="Times New Roman"/>
          <w:color w:val="000000" w:themeColor="text1"/>
        </w:rPr>
      </w:pPr>
      <w:r w:rsidRPr="00731FE2">
        <w:rPr>
          <w:rFonts w:ascii="Times New Roman" w:hAnsi="Times New Roman" w:cs="Times New Roman"/>
          <w:color w:val="000000" w:themeColor="text1"/>
        </w:rPr>
        <w:t xml:space="preserve">производственные и промышленные потребители – 17,64 </w:t>
      </w:r>
      <w:proofErr w:type="gramStart"/>
      <w:r w:rsidRPr="00731FE2">
        <w:rPr>
          <w:rFonts w:ascii="Times New Roman" w:hAnsi="Times New Roman" w:cs="Times New Roman"/>
          <w:color w:val="000000" w:themeColor="text1"/>
        </w:rPr>
        <w:t>млн</w:t>
      </w:r>
      <w:proofErr w:type="gramEnd"/>
      <w:r w:rsidRPr="00731FE2">
        <w:rPr>
          <w:rFonts w:ascii="Times New Roman" w:hAnsi="Times New Roman" w:cs="Times New Roman"/>
          <w:color w:val="000000" w:themeColor="text1"/>
        </w:rPr>
        <w:t xml:space="preserve"> кВт/ч;</w:t>
      </w:r>
    </w:p>
    <w:p w14:paraId="1AF375AE" w14:textId="77777777" w:rsidR="00171AA8" w:rsidRPr="00731FE2" w:rsidRDefault="007935AB">
      <w:pPr>
        <w:pStyle w:val="a3"/>
        <w:numPr>
          <w:ilvl w:val="0"/>
          <w:numId w:val="30"/>
        </w:numPr>
        <w:pBdr>
          <w:top w:val="none" w:sz="4" w:space="0" w:color="000000"/>
          <w:left w:val="none" w:sz="4" w:space="0" w:color="000000"/>
          <w:bottom w:val="none" w:sz="4" w:space="0" w:color="000000"/>
          <w:right w:val="none" w:sz="4" w:space="0" w:color="000000"/>
        </w:pBdr>
        <w:tabs>
          <w:tab w:val="left" w:pos="992"/>
        </w:tabs>
        <w:ind w:left="0" w:firstLine="709"/>
        <w:rPr>
          <w:rFonts w:ascii="Times New Roman" w:hAnsi="Times New Roman" w:cs="Times New Roman"/>
          <w:color w:val="000000" w:themeColor="text1"/>
        </w:rPr>
      </w:pPr>
      <w:r w:rsidRPr="00731FE2">
        <w:rPr>
          <w:rFonts w:ascii="Times New Roman" w:hAnsi="Times New Roman" w:cs="Times New Roman"/>
          <w:color w:val="000000" w:themeColor="text1"/>
        </w:rPr>
        <w:t xml:space="preserve">прочие – 135,77 </w:t>
      </w:r>
      <w:proofErr w:type="gramStart"/>
      <w:r w:rsidRPr="00731FE2">
        <w:rPr>
          <w:rFonts w:ascii="Times New Roman" w:hAnsi="Times New Roman" w:cs="Times New Roman"/>
          <w:color w:val="000000" w:themeColor="text1"/>
        </w:rPr>
        <w:t>млн</w:t>
      </w:r>
      <w:proofErr w:type="gramEnd"/>
      <w:r w:rsidRPr="00731FE2">
        <w:rPr>
          <w:rFonts w:ascii="Times New Roman" w:hAnsi="Times New Roman" w:cs="Times New Roman"/>
          <w:color w:val="000000" w:themeColor="text1"/>
        </w:rPr>
        <w:t xml:space="preserve"> кВт/ч;</w:t>
      </w:r>
    </w:p>
    <w:p w14:paraId="08F65853" w14:textId="77777777" w:rsidR="00171AA8" w:rsidRPr="00731FE2" w:rsidRDefault="007935AB">
      <w:pPr>
        <w:pStyle w:val="a3"/>
        <w:numPr>
          <w:ilvl w:val="0"/>
          <w:numId w:val="30"/>
        </w:numPr>
        <w:pBdr>
          <w:top w:val="none" w:sz="4" w:space="0" w:color="000000"/>
          <w:left w:val="none" w:sz="4" w:space="0" w:color="000000"/>
          <w:bottom w:val="none" w:sz="4" w:space="0" w:color="000000"/>
          <w:right w:val="none" w:sz="4" w:space="0" w:color="000000"/>
        </w:pBdr>
        <w:tabs>
          <w:tab w:val="left" w:pos="992"/>
        </w:tabs>
        <w:ind w:left="0" w:firstLine="709"/>
        <w:rPr>
          <w:rFonts w:ascii="Times New Roman" w:hAnsi="Times New Roman" w:cs="Times New Roman"/>
          <w:color w:val="000000" w:themeColor="text1"/>
        </w:rPr>
      </w:pPr>
      <w:r w:rsidRPr="00731FE2">
        <w:rPr>
          <w:rFonts w:ascii="Times New Roman" w:hAnsi="Times New Roman" w:cs="Times New Roman"/>
          <w:color w:val="000000" w:themeColor="text1"/>
        </w:rPr>
        <w:t xml:space="preserve">потери электроэнергии при передаче – 44,01 </w:t>
      </w:r>
      <w:proofErr w:type="gramStart"/>
      <w:r w:rsidRPr="00731FE2">
        <w:rPr>
          <w:rFonts w:ascii="Times New Roman" w:hAnsi="Times New Roman" w:cs="Times New Roman"/>
          <w:color w:val="000000" w:themeColor="text1"/>
        </w:rPr>
        <w:t>млн</w:t>
      </w:r>
      <w:proofErr w:type="gramEnd"/>
      <w:r w:rsidRPr="00731FE2">
        <w:rPr>
          <w:rFonts w:ascii="Times New Roman" w:hAnsi="Times New Roman" w:cs="Times New Roman"/>
          <w:color w:val="000000" w:themeColor="text1"/>
        </w:rPr>
        <w:t xml:space="preserve"> кВт/ч.</w:t>
      </w:r>
    </w:p>
    <w:p w14:paraId="6DA71FE6" w14:textId="77777777" w:rsidR="00171AA8" w:rsidRPr="00731FE2" w:rsidRDefault="007935AB">
      <w:pPr>
        <w:pBdr>
          <w:top w:val="none" w:sz="4" w:space="0" w:color="000000"/>
          <w:left w:val="none" w:sz="4" w:space="0" w:color="000000"/>
          <w:bottom w:val="none" w:sz="4" w:space="0" w:color="000000"/>
          <w:right w:val="none" w:sz="4" w:space="0" w:color="000000"/>
        </w:pBdr>
      </w:pPr>
      <w:r w:rsidRPr="00731FE2">
        <w:rPr>
          <w:rFonts w:ascii="Times New Roman" w:hAnsi="Times New Roman" w:cs="Times New Roman"/>
          <w:color w:val="000000" w:themeColor="text1"/>
        </w:rPr>
        <w:t>Наружное освещение городского округа города-курорта Кисловодска выполнено в основном светильниками ЖКУ с лампами накаливания и ДРЛ (примерно 50% на 50%) на железобетонных опорах. Сеть наружного освещения воздушная и выполнена в основном, примерно в 80%, изолированными проводами типа СИП. Управление наружным освещением автоматическое, с помощью электронных блоков управления, установленных на городских ТП 10/0,4 кВ.</w:t>
      </w:r>
    </w:p>
    <w:p w14:paraId="3F7F99CA" w14:textId="77777777" w:rsidR="00171AA8" w:rsidRPr="00731FE2" w:rsidRDefault="007935AB">
      <w:pPr>
        <w:pBdr>
          <w:top w:val="none" w:sz="4" w:space="0" w:color="000000"/>
          <w:left w:val="none" w:sz="4" w:space="0" w:color="000000"/>
          <w:bottom w:val="none" w:sz="4" w:space="0" w:color="000000"/>
          <w:right w:val="none" w:sz="4" w:space="0" w:color="000000"/>
        </w:pBdr>
        <w:rPr>
          <w:b/>
          <w:bCs/>
        </w:rPr>
      </w:pPr>
      <w:r w:rsidRPr="00731FE2">
        <w:rPr>
          <w:rFonts w:ascii="Times New Roman" w:hAnsi="Times New Roman" w:cs="Times New Roman"/>
          <w:b/>
          <w:bCs/>
          <w:color w:val="000000" w:themeColor="text1"/>
        </w:rPr>
        <w:t xml:space="preserve">В среднем износ линий электропередачи составляет около 80%. Старение материала конструкции опор, проводов, арматуры и изоляторов вызывают увеличение повреждаемости </w:t>
      </w:r>
      <w:proofErr w:type="gramStart"/>
      <w:r w:rsidRPr="00731FE2">
        <w:rPr>
          <w:rFonts w:ascii="Times New Roman" w:hAnsi="Times New Roman" w:cs="Times New Roman"/>
          <w:b/>
          <w:bCs/>
          <w:color w:val="000000" w:themeColor="text1"/>
        </w:rPr>
        <w:t>ВЛ</w:t>
      </w:r>
      <w:proofErr w:type="gramEnd"/>
      <w:r w:rsidRPr="00731FE2">
        <w:rPr>
          <w:rFonts w:ascii="Times New Roman" w:hAnsi="Times New Roman" w:cs="Times New Roman"/>
          <w:b/>
          <w:bCs/>
          <w:color w:val="000000" w:themeColor="text1"/>
        </w:rPr>
        <w:t xml:space="preserve"> и рост количество отказов. </w:t>
      </w:r>
    </w:p>
    <w:p w14:paraId="1D3BAF21" w14:textId="77777777" w:rsidR="00171AA8" w:rsidRPr="00731FE2" w:rsidRDefault="007935AB">
      <w:pPr>
        <w:pBdr>
          <w:top w:val="none" w:sz="4" w:space="0" w:color="000000"/>
          <w:left w:val="none" w:sz="4" w:space="0" w:color="000000"/>
          <w:bottom w:val="none" w:sz="4" w:space="0" w:color="000000"/>
          <w:right w:val="none" w:sz="4" w:space="0" w:color="000000"/>
        </w:pBdr>
        <w:rPr>
          <w:b/>
          <w:bCs/>
        </w:rPr>
      </w:pPr>
      <w:r w:rsidRPr="00731FE2">
        <w:rPr>
          <w:rFonts w:ascii="Times New Roman" w:hAnsi="Times New Roman" w:cs="Times New Roman"/>
          <w:b/>
          <w:bCs/>
          <w:color w:val="000000" w:themeColor="text1"/>
        </w:rPr>
        <w:t xml:space="preserve">Большинство используемых силовых трансформаторов на подстанциях физически устарели, их степень износа составляет 75%. Они имеют значения потерь холостого хода и короткого замыкания, значительно уступающие характеристикам современных трансформаторов, что увеличивает годовые потери электроэнергии. </w:t>
      </w:r>
    </w:p>
    <w:p w14:paraId="15BA492D" w14:textId="77777777" w:rsidR="00171AA8" w:rsidRPr="00731FE2" w:rsidRDefault="007935AB">
      <w:pPr>
        <w:pBdr>
          <w:top w:val="none" w:sz="4" w:space="0" w:color="000000"/>
          <w:left w:val="none" w:sz="4" w:space="0" w:color="000000"/>
          <w:bottom w:val="none" w:sz="4" w:space="0" w:color="000000"/>
          <w:right w:val="none" w:sz="4" w:space="0" w:color="000000"/>
        </w:pBdr>
        <w:rPr>
          <w:b/>
          <w:bCs/>
        </w:rPr>
      </w:pPr>
      <w:r w:rsidRPr="00731FE2">
        <w:rPr>
          <w:rFonts w:ascii="Times New Roman" w:hAnsi="Times New Roman" w:cs="Times New Roman"/>
          <w:b/>
          <w:bCs/>
          <w:color w:val="000000" w:themeColor="text1"/>
        </w:rPr>
        <w:t xml:space="preserve">Старение основных производственных фондов является общей проблемой топливно-энергетических комплексов в условиях увеличения потребностей энергопотребления, что является источником повышенного риска возникновения </w:t>
      </w:r>
      <w:r w:rsidRPr="00731FE2">
        <w:rPr>
          <w:rFonts w:ascii="Times New Roman" w:hAnsi="Times New Roman" w:cs="Times New Roman"/>
          <w:b/>
          <w:bCs/>
          <w:color w:val="000000" w:themeColor="text1"/>
        </w:rPr>
        <w:lastRenderedPageBreak/>
        <w:t>крупных аварий. Для снижения риска возникновения аварийных ситуаций и уменьшения уровня технологических потерь в энергосистеме необходима реконструкция и техническое перевооружение основных фондов электроэнергетики.</w:t>
      </w:r>
    </w:p>
    <w:p w14:paraId="26960211" w14:textId="77777777" w:rsidR="00171AA8" w:rsidRPr="00731FE2" w:rsidRDefault="007935AB">
      <w:pPr>
        <w:pBdr>
          <w:top w:val="none" w:sz="4" w:space="0" w:color="000000"/>
          <w:left w:val="none" w:sz="4" w:space="0" w:color="000000"/>
          <w:bottom w:val="none" w:sz="4" w:space="0" w:color="000000"/>
          <w:right w:val="none" w:sz="4" w:space="0" w:color="000000"/>
        </w:pBdr>
        <w:rPr>
          <w:b/>
          <w:bCs/>
        </w:rPr>
      </w:pPr>
      <w:r w:rsidRPr="00731FE2">
        <w:rPr>
          <w:rFonts w:ascii="Times New Roman" w:hAnsi="Times New Roman" w:cs="Times New Roman"/>
          <w:b/>
          <w:bCs/>
          <w:color w:val="000000" w:themeColor="text1"/>
        </w:rPr>
        <w:t>На всех ПС 110 кВ есть резерв мощности для подключения новых потребителей 10 кВ, однако необходимо увеличение пропускной способности центров питания для подключения новых потребителей в перспективе развития городского округа.</w:t>
      </w:r>
    </w:p>
    <w:p w14:paraId="63D9FAEC" w14:textId="77777777" w:rsidR="00171AA8" w:rsidRPr="00731FE2" w:rsidRDefault="007935AB">
      <w:pPr>
        <w:pStyle w:val="33"/>
        <w:rPr>
          <w:rFonts w:ascii="Times New Roman" w:hAnsi="Times New Roman" w:cs="Times New Roman"/>
        </w:rPr>
      </w:pPr>
      <w:bookmarkStart w:id="52" w:name="_Toc177392803"/>
      <w:r w:rsidRPr="00731FE2">
        <w:rPr>
          <w:rFonts w:ascii="Times New Roman" w:hAnsi="Times New Roman" w:cs="Times New Roman"/>
        </w:rPr>
        <w:t>2.11.4 Газоснабжение</w:t>
      </w:r>
      <w:bookmarkEnd w:id="52"/>
    </w:p>
    <w:p w14:paraId="3C7C2B24" w14:textId="77777777" w:rsidR="00171AA8" w:rsidRPr="00731FE2" w:rsidRDefault="007935AB">
      <w:pPr>
        <w:pBdr>
          <w:top w:val="none" w:sz="4" w:space="0" w:color="000000"/>
          <w:left w:val="none" w:sz="4" w:space="0" w:color="000000"/>
          <w:bottom w:val="none" w:sz="4" w:space="0" w:color="000000"/>
          <w:right w:val="none" w:sz="4" w:space="0" w:color="000000"/>
        </w:pBdr>
      </w:pPr>
      <w:r w:rsidRPr="00731FE2">
        <w:rPr>
          <w:rFonts w:ascii="Times New Roman" w:hAnsi="Times New Roman" w:cs="Times New Roman"/>
          <w:color w:val="000000" w:themeColor="text1"/>
        </w:rPr>
        <w:t>Поставщиком природного газа в городском округе городе-курорте Кисловодске является ООО «Газпром межрегионгаз Ставрополь».</w:t>
      </w:r>
      <w:r w:rsidR="008B0AA2" w:rsidRPr="00731FE2">
        <w:rPr>
          <w:rFonts w:ascii="Times New Roman" w:hAnsi="Times New Roman" w:cs="Times New Roman"/>
          <w:color w:val="000000" w:themeColor="text1"/>
        </w:rPr>
        <w:t xml:space="preserve"> </w:t>
      </w:r>
      <w:r w:rsidRPr="00731FE2">
        <w:rPr>
          <w:rFonts w:ascii="Times New Roman" w:hAnsi="Times New Roman" w:cs="Times New Roman"/>
          <w:color w:val="000000" w:themeColor="text1"/>
        </w:rPr>
        <w:t xml:space="preserve">Источник газоснабжения города-курорта Кисловодска – автоматизированная газораспределительная станция (АГРС), расположенная в 4,5 км от северо-восточной границы города-курорта у ст. Подкумок. </w:t>
      </w:r>
    </w:p>
    <w:p w14:paraId="028FE424" w14:textId="77777777" w:rsidR="00171AA8" w:rsidRPr="00731FE2" w:rsidRDefault="007935AB">
      <w:pPr>
        <w:pBdr>
          <w:top w:val="none" w:sz="4" w:space="0" w:color="000000"/>
          <w:left w:val="none" w:sz="4" w:space="0" w:color="000000"/>
          <w:bottom w:val="none" w:sz="4" w:space="0" w:color="000000"/>
          <w:right w:val="none" w:sz="4" w:space="0" w:color="000000"/>
        </w:pBdr>
      </w:pPr>
      <w:r w:rsidRPr="00731FE2">
        <w:rPr>
          <w:rFonts w:ascii="Times New Roman" w:hAnsi="Times New Roman" w:cs="Times New Roman"/>
          <w:color w:val="000000" w:themeColor="text1"/>
        </w:rPr>
        <w:t>От АГРС проложены два распределительных газопровода-ввода:</w:t>
      </w:r>
    </w:p>
    <w:p w14:paraId="652FE74F" w14:textId="77777777" w:rsidR="00171AA8" w:rsidRPr="00731FE2" w:rsidRDefault="007935AB">
      <w:pPr>
        <w:pStyle w:val="a3"/>
        <w:numPr>
          <w:ilvl w:val="0"/>
          <w:numId w:val="30"/>
        </w:numPr>
        <w:pBdr>
          <w:top w:val="none" w:sz="4" w:space="0" w:color="000000"/>
          <w:left w:val="none" w:sz="4" w:space="0" w:color="000000"/>
          <w:bottom w:val="none" w:sz="4" w:space="0" w:color="000000"/>
          <w:right w:val="none" w:sz="4" w:space="0" w:color="000000"/>
        </w:pBdr>
        <w:tabs>
          <w:tab w:val="left" w:pos="992"/>
        </w:tabs>
        <w:ind w:left="0" w:firstLine="709"/>
        <w:rPr>
          <w:rFonts w:ascii="Times New Roman" w:hAnsi="Times New Roman" w:cs="Times New Roman"/>
          <w:color w:val="000000" w:themeColor="text1"/>
        </w:rPr>
      </w:pPr>
      <w:r w:rsidRPr="00731FE2">
        <w:rPr>
          <w:rFonts w:ascii="Times New Roman" w:hAnsi="Times New Roman" w:cs="Times New Roman"/>
          <w:color w:val="000000" w:themeColor="text1"/>
        </w:rPr>
        <w:t>высокого давления (</w:t>
      </w:r>
      <w:proofErr w:type="gramStart"/>
      <w:r w:rsidRPr="00731FE2">
        <w:rPr>
          <w:rFonts w:ascii="Times New Roman" w:hAnsi="Times New Roman" w:cs="Times New Roman"/>
          <w:color w:val="000000" w:themeColor="text1"/>
        </w:rPr>
        <w:t>Р</w:t>
      </w:r>
      <w:proofErr w:type="gramEnd"/>
      <w:r w:rsidRPr="00731FE2">
        <w:rPr>
          <w:rFonts w:ascii="Times New Roman" w:hAnsi="Times New Roman" w:cs="Times New Roman"/>
          <w:color w:val="000000" w:themeColor="text1"/>
        </w:rPr>
        <w:t>≤1,2 МПа, Д=377 мм) для обеспечения промышленных потребителей;</w:t>
      </w:r>
    </w:p>
    <w:p w14:paraId="79C99E4F" w14:textId="77777777" w:rsidR="00171AA8" w:rsidRPr="00731FE2" w:rsidRDefault="007935AB">
      <w:pPr>
        <w:pStyle w:val="a3"/>
        <w:numPr>
          <w:ilvl w:val="0"/>
          <w:numId w:val="30"/>
        </w:numPr>
        <w:pBdr>
          <w:top w:val="none" w:sz="4" w:space="0" w:color="000000"/>
          <w:left w:val="none" w:sz="4" w:space="0" w:color="000000"/>
          <w:bottom w:val="none" w:sz="4" w:space="0" w:color="000000"/>
          <w:right w:val="none" w:sz="4" w:space="0" w:color="000000"/>
        </w:pBdr>
        <w:tabs>
          <w:tab w:val="left" w:pos="992"/>
        </w:tabs>
        <w:ind w:left="0" w:firstLine="709"/>
        <w:rPr>
          <w:rFonts w:ascii="Times New Roman" w:hAnsi="Times New Roman" w:cs="Times New Roman"/>
          <w:color w:val="000000" w:themeColor="text1"/>
        </w:rPr>
      </w:pPr>
      <w:r w:rsidRPr="00731FE2">
        <w:rPr>
          <w:rFonts w:ascii="Times New Roman" w:hAnsi="Times New Roman" w:cs="Times New Roman"/>
          <w:color w:val="000000" w:themeColor="text1"/>
        </w:rPr>
        <w:t>среднего давления (</w:t>
      </w:r>
      <w:proofErr w:type="gramStart"/>
      <w:r w:rsidRPr="00731FE2">
        <w:rPr>
          <w:rFonts w:ascii="Times New Roman" w:hAnsi="Times New Roman" w:cs="Times New Roman"/>
          <w:color w:val="000000" w:themeColor="text1"/>
        </w:rPr>
        <w:t>Р</w:t>
      </w:r>
      <w:proofErr w:type="gramEnd"/>
      <w:r w:rsidRPr="00731FE2">
        <w:rPr>
          <w:rFonts w:ascii="Times New Roman" w:hAnsi="Times New Roman" w:cs="Times New Roman"/>
          <w:color w:val="000000" w:themeColor="text1"/>
        </w:rPr>
        <w:t>≤0,3 МПа, Д=530 мм) для обеспечения коммунально-бытовых потребителей.</w:t>
      </w:r>
    </w:p>
    <w:p w14:paraId="46CB4106"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xml:space="preserve">Эксплуатацией газопроводов и основного газового оборудования занимается АО «Кисловодскгоргаз». Общая протяженность газопроводов составляет 7,97 км. </w:t>
      </w:r>
    </w:p>
    <w:p w14:paraId="7E8A54A0"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xml:space="preserve">Газопровод высокого давления проложен в сторону ул. </w:t>
      </w:r>
      <w:proofErr w:type="gramStart"/>
      <w:r w:rsidRPr="00731FE2">
        <w:rPr>
          <w:rFonts w:ascii="Times New Roman" w:hAnsi="Times New Roman" w:cs="Times New Roman"/>
          <w:color w:val="000000" w:themeColor="text1"/>
        </w:rPr>
        <w:t>Промышленная</w:t>
      </w:r>
      <w:proofErr w:type="gramEnd"/>
      <w:r w:rsidRPr="00731FE2">
        <w:rPr>
          <w:rFonts w:ascii="Times New Roman" w:hAnsi="Times New Roman" w:cs="Times New Roman"/>
          <w:color w:val="000000" w:themeColor="text1"/>
        </w:rPr>
        <w:t xml:space="preserve"> через р. Подкумок и обеспечивает газом промышленную зону. Газопровод среднего давления от ГГРП расположенного по ул. Фоменко делится на три кольца – два Западных и одно Восточное</w:t>
      </w:r>
      <w:proofErr w:type="gramStart"/>
      <w:r w:rsidRPr="00731FE2">
        <w:rPr>
          <w:rFonts w:ascii="Times New Roman" w:hAnsi="Times New Roman" w:cs="Times New Roman"/>
          <w:color w:val="000000" w:themeColor="text1"/>
        </w:rPr>
        <w:t xml:space="preserve"> Д</w:t>
      </w:r>
      <w:proofErr w:type="gramEnd"/>
      <w:r w:rsidRPr="00731FE2">
        <w:rPr>
          <w:rFonts w:ascii="Times New Roman" w:hAnsi="Times New Roman" w:cs="Times New Roman"/>
          <w:color w:val="000000" w:themeColor="text1"/>
        </w:rPr>
        <w:t>=425 мм с последующим сужением, обеспечивая город-курорт Кисловодск газом в системах газоснабжения.</w:t>
      </w:r>
    </w:p>
    <w:p w14:paraId="1BDD68FA" w14:textId="77777777" w:rsidR="00171AA8" w:rsidRPr="00731FE2" w:rsidRDefault="007935AB">
      <w:pPr>
        <w:pBdr>
          <w:top w:val="none" w:sz="4" w:space="0" w:color="000000"/>
          <w:left w:val="none" w:sz="4" w:space="0" w:color="000000"/>
          <w:bottom w:val="none" w:sz="4" w:space="0" w:color="000000"/>
          <w:right w:val="none" w:sz="4" w:space="0" w:color="000000"/>
        </w:pBdr>
      </w:pPr>
      <w:proofErr w:type="gramStart"/>
      <w:r w:rsidRPr="00731FE2">
        <w:rPr>
          <w:rFonts w:ascii="Times New Roman" w:hAnsi="Times New Roman" w:cs="Times New Roman"/>
          <w:color w:val="000000" w:themeColor="text1"/>
        </w:rPr>
        <w:t xml:space="preserve">Прокладка распределительных газопроводов выполнена в подземном исполнении, через р. Подкумок – в надземном. </w:t>
      </w:r>
      <w:proofErr w:type="gramEnd"/>
    </w:p>
    <w:p w14:paraId="1810F333" w14:textId="77777777" w:rsidR="00171AA8" w:rsidRPr="00731FE2" w:rsidRDefault="007935AB">
      <w:pPr>
        <w:pBdr>
          <w:top w:val="none" w:sz="4" w:space="0" w:color="000000"/>
          <w:left w:val="none" w:sz="4" w:space="0" w:color="000000"/>
          <w:bottom w:val="none" w:sz="4" w:space="0" w:color="000000"/>
          <w:right w:val="none" w:sz="4" w:space="0" w:color="000000"/>
        </w:pBdr>
      </w:pPr>
      <w:r w:rsidRPr="00731FE2">
        <w:rPr>
          <w:rFonts w:ascii="Times New Roman" w:hAnsi="Times New Roman" w:cs="Times New Roman"/>
          <w:color w:val="000000" w:themeColor="text1"/>
        </w:rPr>
        <w:t>Газораспределительная система городского округа город-курорт Кислово</w:t>
      </w:r>
      <w:proofErr w:type="gramStart"/>
      <w:r w:rsidRPr="00731FE2">
        <w:rPr>
          <w:rFonts w:ascii="Times New Roman" w:hAnsi="Times New Roman" w:cs="Times New Roman"/>
          <w:color w:val="000000" w:themeColor="text1"/>
        </w:rPr>
        <w:t>дск пр</w:t>
      </w:r>
      <w:proofErr w:type="gramEnd"/>
      <w:r w:rsidRPr="00731FE2">
        <w:rPr>
          <w:rFonts w:ascii="Times New Roman" w:hAnsi="Times New Roman" w:cs="Times New Roman"/>
          <w:color w:val="000000" w:themeColor="text1"/>
        </w:rPr>
        <w:t xml:space="preserve">едставляет собой комплекс сооружений, состоящий из следующих элементов: </w:t>
      </w:r>
    </w:p>
    <w:p w14:paraId="5D4E9DBA" w14:textId="77777777" w:rsidR="00171AA8" w:rsidRPr="00731FE2" w:rsidRDefault="007935AB">
      <w:pPr>
        <w:pStyle w:val="a3"/>
        <w:numPr>
          <w:ilvl w:val="0"/>
          <w:numId w:val="30"/>
        </w:numPr>
        <w:pBdr>
          <w:top w:val="none" w:sz="4" w:space="0" w:color="000000"/>
          <w:left w:val="none" w:sz="4" w:space="0" w:color="000000"/>
          <w:bottom w:val="none" w:sz="4" w:space="0" w:color="000000"/>
          <w:right w:val="none" w:sz="4" w:space="0" w:color="000000"/>
        </w:pBdr>
        <w:tabs>
          <w:tab w:val="left" w:pos="992"/>
        </w:tabs>
        <w:ind w:left="0" w:firstLine="709"/>
        <w:rPr>
          <w:rFonts w:ascii="Times New Roman" w:hAnsi="Times New Roman" w:cs="Times New Roman"/>
          <w:color w:val="000000" w:themeColor="text1"/>
        </w:rPr>
      </w:pPr>
      <w:r w:rsidRPr="00731FE2">
        <w:rPr>
          <w:rFonts w:ascii="Times New Roman" w:hAnsi="Times New Roman" w:cs="Times New Roman"/>
          <w:color w:val="000000" w:themeColor="text1"/>
        </w:rPr>
        <w:t xml:space="preserve">трехступенчатой (высокого, среднего и низкого давлений) системы газопроводов; </w:t>
      </w:r>
    </w:p>
    <w:p w14:paraId="2C05DD3C" w14:textId="77777777" w:rsidR="00171AA8" w:rsidRPr="00731FE2" w:rsidRDefault="007935AB">
      <w:pPr>
        <w:pStyle w:val="a3"/>
        <w:numPr>
          <w:ilvl w:val="0"/>
          <w:numId w:val="30"/>
        </w:numPr>
        <w:pBdr>
          <w:top w:val="none" w:sz="4" w:space="0" w:color="000000"/>
          <w:left w:val="none" w:sz="4" w:space="0" w:color="000000"/>
          <w:bottom w:val="none" w:sz="4" w:space="0" w:color="000000"/>
          <w:right w:val="none" w:sz="4" w:space="0" w:color="000000"/>
        </w:pBdr>
        <w:tabs>
          <w:tab w:val="left" w:pos="992"/>
        </w:tabs>
        <w:ind w:left="0" w:firstLine="709"/>
        <w:rPr>
          <w:rFonts w:ascii="Times New Roman" w:hAnsi="Times New Roman" w:cs="Times New Roman"/>
          <w:color w:val="000000" w:themeColor="text1"/>
        </w:rPr>
      </w:pPr>
      <w:r w:rsidRPr="00731FE2">
        <w:rPr>
          <w:rFonts w:ascii="Times New Roman" w:hAnsi="Times New Roman" w:cs="Times New Roman"/>
          <w:color w:val="000000" w:themeColor="text1"/>
        </w:rPr>
        <w:t xml:space="preserve">пунктов редуцирования природного газа (ГРС, ГРП, ШРП, ГРУ); </w:t>
      </w:r>
    </w:p>
    <w:p w14:paraId="78051984" w14:textId="77777777" w:rsidR="00171AA8" w:rsidRPr="00731FE2" w:rsidRDefault="007935AB">
      <w:pPr>
        <w:pStyle w:val="a3"/>
        <w:numPr>
          <w:ilvl w:val="0"/>
          <w:numId w:val="30"/>
        </w:numPr>
        <w:pBdr>
          <w:top w:val="none" w:sz="4" w:space="0" w:color="000000"/>
          <w:left w:val="none" w:sz="4" w:space="0" w:color="000000"/>
          <w:bottom w:val="none" w:sz="4" w:space="0" w:color="000000"/>
          <w:right w:val="none" w:sz="4" w:space="0" w:color="000000"/>
        </w:pBdr>
        <w:tabs>
          <w:tab w:val="left" w:pos="992"/>
        </w:tabs>
        <w:ind w:left="0" w:firstLine="709"/>
        <w:rPr>
          <w:rFonts w:ascii="Times New Roman" w:hAnsi="Times New Roman" w:cs="Times New Roman"/>
          <w:color w:val="000000" w:themeColor="text1"/>
        </w:rPr>
      </w:pPr>
      <w:r w:rsidRPr="00731FE2">
        <w:rPr>
          <w:rFonts w:ascii="Times New Roman" w:hAnsi="Times New Roman" w:cs="Times New Roman"/>
          <w:color w:val="000000" w:themeColor="text1"/>
        </w:rPr>
        <w:t xml:space="preserve">системы защиты газопроводов от электрохимической коррозии (ЭХЗ); </w:t>
      </w:r>
    </w:p>
    <w:p w14:paraId="76B0CB2B" w14:textId="77777777" w:rsidR="00171AA8" w:rsidRPr="00731FE2" w:rsidRDefault="007935AB">
      <w:pPr>
        <w:pStyle w:val="a3"/>
        <w:numPr>
          <w:ilvl w:val="0"/>
          <w:numId w:val="30"/>
        </w:numPr>
        <w:pBdr>
          <w:top w:val="none" w:sz="4" w:space="0" w:color="000000"/>
          <w:left w:val="none" w:sz="4" w:space="0" w:color="000000"/>
          <w:bottom w:val="none" w:sz="4" w:space="0" w:color="000000"/>
          <w:right w:val="none" w:sz="4" w:space="0" w:color="000000"/>
        </w:pBdr>
        <w:tabs>
          <w:tab w:val="left" w:pos="992"/>
        </w:tabs>
        <w:ind w:left="0" w:firstLine="709"/>
        <w:rPr>
          <w:rFonts w:ascii="Times New Roman" w:hAnsi="Times New Roman" w:cs="Times New Roman"/>
          <w:color w:val="000000" w:themeColor="text1"/>
        </w:rPr>
      </w:pPr>
      <w:r w:rsidRPr="00731FE2">
        <w:rPr>
          <w:rFonts w:ascii="Times New Roman" w:hAnsi="Times New Roman" w:cs="Times New Roman"/>
          <w:color w:val="000000" w:themeColor="text1"/>
        </w:rPr>
        <w:t xml:space="preserve">средств телемеханизации; </w:t>
      </w:r>
    </w:p>
    <w:p w14:paraId="776F3850" w14:textId="77777777" w:rsidR="00171AA8" w:rsidRPr="00731FE2" w:rsidRDefault="007935AB">
      <w:pPr>
        <w:pStyle w:val="a3"/>
        <w:numPr>
          <w:ilvl w:val="0"/>
          <w:numId w:val="30"/>
        </w:numPr>
        <w:pBdr>
          <w:top w:val="none" w:sz="4" w:space="0" w:color="000000"/>
          <w:left w:val="none" w:sz="4" w:space="0" w:color="000000"/>
          <w:bottom w:val="none" w:sz="4" w:space="0" w:color="000000"/>
          <w:right w:val="none" w:sz="4" w:space="0" w:color="000000"/>
        </w:pBdr>
        <w:tabs>
          <w:tab w:val="left" w:pos="992"/>
        </w:tabs>
        <w:ind w:left="0" w:firstLine="709"/>
        <w:rPr>
          <w:rFonts w:ascii="Times New Roman" w:hAnsi="Times New Roman" w:cs="Times New Roman"/>
          <w:color w:val="000000" w:themeColor="text1"/>
        </w:rPr>
      </w:pPr>
      <w:r w:rsidRPr="00731FE2">
        <w:rPr>
          <w:rFonts w:ascii="Times New Roman" w:hAnsi="Times New Roman" w:cs="Times New Roman"/>
          <w:color w:val="000000" w:themeColor="text1"/>
        </w:rPr>
        <w:t xml:space="preserve">отключающих устройств; </w:t>
      </w:r>
    </w:p>
    <w:p w14:paraId="00D05379" w14:textId="77777777" w:rsidR="00171AA8" w:rsidRPr="00731FE2" w:rsidRDefault="007935AB">
      <w:pPr>
        <w:pStyle w:val="a3"/>
        <w:numPr>
          <w:ilvl w:val="0"/>
          <w:numId w:val="30"/>
        </w:numPr>
        <w:pBdr>
          <w:top w:val="none" w:sz="4" w:space="0" w:color="000000"/>
          <w:left w:val="none" w:sz="4" w:space="0" w:color="000000"/>
          <w:bottom w:val="none" w:sz="4" w:space="0" w:color="000000"/>
          <w:right w:val="none" w:sz="4" w:space="0" w:color="000000"/>
        </w:pBdr>
        <w:tabs>
          <w:tab w:val="left" w:pos="992"/>
        </w:tabs>
        <w:ind w:left="0" w:firstLine="709"/>
        <w:rPr>
          <w:rFonts w:ascii="Times New Roman" w:hAnsi="Times New Roman" w:cs="Times New Roman"/>
          <w:color w:val="000000" w:themeColor="text1"/>
        </w:rPr>
      </w:pPr>
      <w:r w:rsidRPr="00731FE2">
        <w:rPr>
          <w:rFonts w:ascii="Times New Roman" w:hAnsi="Times New Roman" w:cs="Times New Roman"/>
          <w:color w:val="000000" w:themeColor="text1"/>
        </w:rPr>
        <w:t>потребителей природного газа.</w:t>
      </w:r>
    </w:p>
    <w:p w14:paraId="531EE68E" w14:textId="77777777" w:rsidR="00171AA8" w:rsidRPr="00731FE2" w:rsidRDefault="00171AA8">
      <w:pPr>
        <w:pBdr>
          <w:top w:val="none" w:sz="4" w:space="0" w:color="000000"/>
          <w:left w:val="none" w:sz="4" w:space="0" w:color="000000"/>
          <w:bottom w:val="none" w:sz="4" w:space="0" w:color="000000"/>
          <w:right w:val="none" w:sz="4" w:space="0" w:color="000000"/>
        </w:pBdr>
        <w:tabs>
          <w:tab w:val="left" w:pos="992"/>
        </w:tabs>
        <w:ind w:left="709" w:firstLine="0"/>
        <w:rPr>
          <w:rFonts w:ascii="Times New Roman" w:hAnsi="Times New Roman" w:cs="Times New Roman"/>
          <w:color w:val="000000" w:themeColor="text1"/>
        </w:rPr>
      </w:pPr>
    </w:p>
    <w:p w14:paraId="637FA5C2" w14:textId="77777777" w:rsidR="00171AA8" w:rsidRPr="00731FE2" w:rsidRDefault="007935AB">
      <w:pPr>
        <w:pStyle w:val="af3"/>
        <w:rPr>
          <w:sz w:val="24"/>
          <w:szCs w:val="24"/>
          <w:vertAlign w:val="superscript"/>
        </w:rPr>
      </w:pPr>
      <w:r w:rsidRPr="00731FE2">
        <w:rPr>
          <w:sz w:val="24"/>
          <w:szCs w:val="24"/>
        </w:rPr>
        <w:t xml:space="preserve">Таблица </w:t>
      </w:r>
      <w:r w:rsidR="00D97880" w:rsidRPr="00731FE2">
        <w:rPr>
          <w:noProof/>
          <w:sz w:val="24"/>
          <w:szCs w:val="24"/>
        </w:rPr>
        <w:fldChar w:fldCharType="begin"/>
      </w:r>
      <w:r w:rsidR="00D97880" w:rsidRPr="00731FE2">
        <w:rPr>
          <w:noProof/>
          <w:sz w:val="24"/>
          <w:szCs w:val="24"/>
        </w:rPr>
        <w:instrText xml:space="preserve"> SEQ Таблица \* Arabic </w:instrText>
      </w:r>
      <w:r w:rsidR="00D97880" w:rsidRPr="00731FE2">
        <w:rPr>
          <w:noProof/>
          <w:sz w:val="24"/>
          <w:szCs w:val="24"/>
        </w:rPr>
        <w:fldChar w:fldCharType="separate"/>
      </w:r>
      <w:r w:rsidR="00C50915" w:rsidRPr="00731FE2">
        <w:rPr>
          <w:noProof/>
          <w:sz w:val="24"/>
          <w:szCs w:val="24"/>
        </w:rPr>
        <w:t>41</w:t>
      </w:r>
      <w:r w:rsidR="00D97880" w:rsidRPr="00731FE2">
        <w:rPr>
          <w:noProof/>
          <w:sz w:val="24"/>
          <w:szCs w:val="24"/>
        </w:rPr>
        <w:fldChar w:fldCharType="end"/>
      </w:r>
      <w:r w:rsidRPr="00731FE2">
        <w:rPr>
          <w:sz w:val="24"/>
          <w:szCs w:val="24"/>
        </w:rPr>
        <w:t xml:space="preserve"> – Технические характеристики системы централизованного газоснабжения природным газом потребителей городского округа город-курорт Кисловодск</w:t>
      </w:r>
      <w:r w:rsidRPr="00731FE2">
        <w:rPr>
          <w:rStyle w:val="afb"/>
          <w:sz w:val="24"/>
          <w:szCs w:val="24"/>
          <w:vertAlign w:val="superscript"/>
        </w:rPr>
        <w:footnoteReference w:id="81"/>
      </w:r>
    </w:p>
    <w:tbl>
      <w:tblPr>
        <w:tblStyle w:val="afe"/>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531"/>
        <w:gridCol w:w="5674"/>
        <w:gridCol w:w="1662"/>
        <w:gridCol w:w="1490"/>
      </w:tblGrid>
      <w:tr w:rsidR="00171AA8" w:rsidRPr="00731FE2" w14:paraId="23146984" w14:textId="77777777">
        <w:tc>
          <w:tcPr>
            <w:tcW w:w="52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306F66B"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b/>
                <w:bCs/>
                <w:sz w:val="22"/>
                <w:szCs w:val="22"/>
              </w:rPr>
            </w:pPr>
            <w:r w:rsidRPr="00731FE2">
              <w:rPr>
                <w:b/>
                <w:bCs/>
                <w:sz w:val="22"/>
                <w:szCs w:val="22"/>
              </w:rPr>
              <w:t xml:space="preserve">№ </w:t>
            </w:r>
            <w:proofErr w:type="gramStart"/>
            <w:r w:rsidRPr="00731FE2">
              <w:rPr>
                <w:b/>
                <w:bCs/>
                <w:sz w:val="22"/>
                <w:szCs w:val="22"/>
              </w:rPr>
              <w:t>п</w:t>
            </w:r>
            <w:proofErr w:type="gramEnd"/>
            <w:r w:rsidRPr="00731FE2">
              <w:rPr>
                <w:b/>
                <w:bCs/>
                <w:sz w:val="22"/>
                <w:szCs w:val="22"/>
              </w:rPr>
              <w:t>/п</w:t>
            </w:r>
          </w:p>
        </w:tc>
        <w:tc>
          <w:tcPr>
            <w:tcW w:w="56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D2832C6"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b/>
                <w:bCs/>
                <w:sz w:val="22"/>
                <w:szCs w:val="22"/>
              </w:rPr>
            </w:pPr>
            <w:r w:rsidRPr="00731FE2">
              <w:rPr>
                <w:b/>
                <w:bCs/>
                <w:sz w:val="22"/>
                <w:szCs w:val="22"/>
              </w:rPr>
              <w:t>Показатель</w:t>
            </w:r>
          </w:p>
        </w:tc>
        <w:tc>
          <w:tcPr>
            <w:tcW w:w="16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A30AFD7"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b/>
                <w:bCs/>
                <w:sz w:val="22"/>
                <w:szCs w:val="22"/>
              </w:rPr>
            </w:pPr>
            <w:r w:rsidRPr="00731FE2">
              <w:rPr>
                <w:b/>
                <w:bCs/>
                <w:sz w:val="22"/>
                <w:szCs w:val="22"/>
              </w:rPr>
              <w:t>Единица измерения</w:t>
            </w:r>
          </w:p>
        </w:tc>
        <w:tc>
          <w:tcPr>
            <w:tcW w:w="14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8D6CA1C"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b/>
                <w:bCs/>
                <w:sz w:val="22"/>
                <w:szCs w:val="22"/>
              </w:rPr>
            </w:pPr>
            <w:r w:rsidRPr="00731FE2">
              <w:rPr>
                <w:b/>
                <w:bCs/>
                <w:sz w:val="22"/>
                <w:szCs w:val="22"/>
              </w:rPr>
              <w:t>Значение на отчетный период</w:t>
            </w:r>
          </w:p>
        </w:tc>
      </w:tr>
      <w:tr w:rsidR="00171AA8" w:rsidRPr="00731FE2" w14:paraId="69225365" w14:textId="77777777">
        <w:tc>
          <w:tcPr>
            <w:tcW w:w="52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20C285"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both"/>
              <w:rPr>
                <w:sz w:val="22"/>
                <w:szCs w:val="22"/>
              </w:rPr>
            </w:pPr>
            <w:r w:rsidRPr="00731FE2">
              <w:rPr>
                <w:sz w:val="22"/>
                <w:szCs w:val="22"/>
              </w:rPr>
              <w:lastRenderedPageBreak/>
              <w:t>1</w:t>
            </w:r>
          </w:p>
        </w:tc>
        <w:tc>
          <w:tcPr>
            <w:tcW w:w="56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D352CA"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both"/>
              <w:rPr>
                <w:sz w:val="22"/>
                <w:szCs w:val="22"/>
              </w:rPr>
            </w:pPr>
            <w:r w:rsidRPr="00731FE2">
              <w:rPr>
                <w:sz w:val="22"/>
                <w:szCs w:val="22"/>
              </w:rPr>
              <w:t>Количество газифицированных квартир</w:t>
            </w:r>
          </w:p>
        </w:tc>
        <w:tc>
          <w:tcPr>
            <w:tcW w:w="16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1BED7F"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sz w:val="22"/>
                <w:szCs w:val="22"/>
              </w:rPr>
            </w:pPr>
            <w:r w:rsidRPr="00731FE2">
              <w:rPr>
                <w:sz w:val="22"/>
                <w:szCs w:val="22"/>
              </w:rPr>
              <w:t>единица</w:t>
            </w:r>
          </w:p>
        </w:tc>
        <w:tc>
          <w:tcPr>
            <w:tcW w:w="14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72DA01"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sz w:val="22"/>
                <w:szCs w:val="22"/>
              </w:rPr>
            </w:pPr>
            <w:r w:rsidRPr="00731FE2">
              <w:rPr>
                <w:sz w:val="22"/>
                <w:szCs w:val="22"/>
              </w:rPr>
              <w:t>38081</w:t>
            </w:r>
          </w:p>
        </w:tc>
      </w:tr>
      <w:tr w:rsidR="00171AA8" w:rsidRPr="00731FE2" w14:paraId="7874F561" w14:textId="77777777">
        <w:tc>
          <w:tcPr>
            <w:tcW w:w="52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E62D6B"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both"/>
              <w:rPr>
                <w:sz w:val="22"/>
                <w:szCs w:val="22"/>
              </w:rPr>
            </w:pPr>
            <w:r w:rsidRPr="00731FE2">
              <w:rPr>
                <w:sz w:val="22"/>
                <w:szCs w:val="22"/>
              </w:rPr>
              <w:t>2</w:t>
            </w:r>
          </w:p>
        </w:tc>
        <w:tc>
          <w:tcPr>
            <w:tcW w:w="56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695901"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both"/>
              <w:rPr>
                <w:sz w:val="22"/>
                <w:szCs w:val="22"/>
              </w:rPr>
            </w:pPr>
            <w:r w:rsidRPr="00731FE2">
              <w:rPr>
                <w:sz w:val="22"/>
                <w:szCs w:val="22"/>
              </w:rPr>
              <w:t>Протяженность наружных газопроводов всего, в том числе:</w:t>
            </w:r>
          </w:p>
        </w:tc>
        <w:tc>
          <w:tcPr>
            <w:tcW w:w="16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887438"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sz w:val="22"/>
                <w:szCs w:val="22"/>
              </w:rPr>
            </w:pPr>
            <w:r w:rsidRPr="00731FE2">
              <w:rPr>
                <w:sz w:val="22"/>
                <w:szCs w:val="22"/>
              </w:rPr>
              <w:t>км</w:t>
            </w:r>
          </w:p>
        </w:tc>
        <w:tc>
          <w:tcPr>
            <w:tcW w:w="14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DF8818"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sz w:val="22"/>
                <w:szCs w:val="22"/>
              </w:rPr>
            </w:pPr>
            <w:r w:rsidRPr="00731FE2">
              <w:rPr>
                <w:sz w:val="22"/>
                <w:szCs w:val="22"/>
              </w:rPr>
              <w:t>706,94</w:t>
            </w:r>
          </w:p>
        </w:tc>
      </w:tr>
      <w:tr w:rsidR="00171AA8" w:rsidRPr="00731FE2" w14:paraId="572C0778" w14:textId="77777777">
        <w:tc>
          <w:tcPr>
            <w:tcW w:w="52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F68366"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both"/>
              <w:rPr>
                <w:sz w:val="22"/>
                <w:szCs w:val="22"/>
              </w:rPr>
            </w:pPr>
            <w:r w:rsidRPr="00731FE2">
              <w:rPr>
                <w:sz w:val="22"/>
                <w:szCs w:val="22"/>
              </w:rPr>
              <w:t>2.1</w:t>
            </w:r>
          </w:p>
        </w:tc>
        <w:tc>
          <w:tcPr>
            <w:tcW w:w="56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1BAEF4"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both"/>
              <w:rPr>
                <w:sz w:val="22"/>
                <w:szCs w:val="22"/>
              </w:rPr>
            </w:pPr>
            <w:r w:rsidRPr="00731FE2">
              <w:rPr>
                <w:sz w:val="22"/>
                <w:szCs w:val="22"/>
              </w:rPr>
              <w:t>магистральный высокого давления I категории (</w:t>
            </w:r>
            <w:proofErr w:type="gramStart"/>
            <w:r w:rsidRPr="00731FE2">
              <w:rPr>
                <w:sz w:val="22"/>
                <w:szCs w:val="22"/>
              </w:rPr>
              <w:t>Р</w:t>
            </w:r>
            <w:proofErr w:type="gramEnd"/>
            <w:r w:rsidRPr="00731FE2">
              <w:rPr>
                <w:sz w:val="22"/>
                <w:szCs w:val="22"/>
              </w:rPr>
              <w:t>≤10 МПа)</w:t>
            </w:r>
          </w:p>
        </w:tc>
        <w:tc>
          <w:tcPr>
            <w:tcW w:w="16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13AABE"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sz w:val="22"/>
                <w:szCs w:val="22"/>
              </w:rPr>
            </w:pPr>
            <w:r w:rsidRPr="00731FE2">
              <w:rPr>
                <w:sz w:val="22"/>
                <w:szCs w:val="22"/>
              </w:rPr>
              <w:t>км</w:t>
            </w:r>
          </w:p>
        </w:tc>
        <w:tc>
          <w:tcPr>
            <w:tcW w:w="14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8A2EA4"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sz w:val="22"/>
                <w:szCs w:val="22"/>
              </w:rPr>
            </w:pPr>
            <w:r w:rsidRPr="00731FE2">
              <w:rPr>
                <w:sz w:val="22"/>
                <w:szCs w:val="22"/>
              </w:rPr>
              <w:t>-</w:t>
            </w:r>
          </w:p>
        </w:tc>
      </w:tr>
      <w:tr w:rsidR="00171AA8" w:rsidRPr="00731FE2" w14:paraId="3BF5D71C" w14:textId="77777777">
        <w:tc>
          <w:tcPr>
            <w:tcW w:w="52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2761C8"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both"/>
              <w:rPr>
                <w:sz w:val="22"/>
                <w:szCs w:val="22"/>
              </w:rPr>
            </w:pPr>
            <w:r w:rsidRPr="00731FE2">
              <w:rPr>
                <w:sz w:val="22"/>
                <w:szCs w:val="22"/>
              </w:rPr>
              <w:t>2.2</w:t>
            </w:r>
          </w:p>
        </w:tc>
        <w:tc>
          <w:tcPr>
            <w:tcW w:w="56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DF11AB"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both"/>
              <w:rPr>
                <w:sz w:val="22"/>
                <w:szCs w:val="22"/>
              </w:rPr>
            </w:pPr>
            <w:r w:rsidRPr="00731FE2">
              <w:rPr>
                <w:sz w:val="22"/>
                <w:szCs w:val="22"/>
              </w:rPr>
              <w:t>магистральный высокого давления II категории (</w:t>
            </w:r>
            <w:proofErr w:type="gramStart"/>
            <w:r w:rsidRPr="00731FE2">
              <w:rPr>
                <w:sz w:val="22"/>
                <w:szCs w:val="22"/>
              </w:rPr>
              <w:t>Р</w:t>
            </w:r>
            <w:proofErr w:type="gramEnd"/>
            <w:r w:rsidRPr="00731FE2">
              <w:rPr>
                <w:sz w:val="22"/>
                <w:szCs w:val="22"/>
              </w:rPr>
              <w:t>≤2,5 МПа)</w:t>
            </w:r>
          </w:p>
        </w:tc>
        <w:tc>
          <w:tcPr>
            <w:tcW w:w="16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B5A90E"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sz w:val="22"/>
                <w:szCs w:val="22"/>
              </w:rPr>
            </w:pPr>
            <w:r w:rsidRPr="00731FE2">
              <w:rPr>
                <w:sz w:val="22"/>
                <w:szCs w:val="22"/>
              </w:rPr>
              <w:t>км</w:t>
            </w:r>
          </w:p>
        </w:tc>
        <w:tc>
          <w:tcPr>
            <w:tcW w:w="14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23796C"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sz w:val="22"/>
                <w:szCs w:val="22"/>
              </w:rPr>
            </w:pPr>
            <w:r w:rsidRPr="00731FE2">
              <w:rPr>
                <w:sz w:val="22"/>
                <w:szCs w:val="22"/>
              </w:rPr>
              <w:t>-</w:t>
            </w:r>
          </w:p>
        </w:tc>
      </w:tr>
      <w:tr w:rsidR="00171AA8" w:rsidRPr="00731FE2" w14:paraId="7AE0393E" w14:textId="77777777">
        <w:tc>
          <w:tcPr>
            <w:tcW w:w="52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4A33D2"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both"/>
              <w:rPr>
                <w:sz w:val="22"/>
                <w:szCs w:val="22"/>
              </w:rPr>
            </w:pPr>
            <w:r w:rsidRPr="00731FE2">
              <w:rPr>
                <w:sz w:val="22"/>
                <w:szCs w:val="22"/>
              </w:rPr>
              <w:t>2.3</w:t>
            </w:r>
          </w:p>
        </w:tc>
        <w:tc>
          <w:tcPr>
            <w:tcW w:w="56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B2F9A5"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both"/>
              <w:rPr>
                <w:sz w:val="22"/>
                <w:szCs w:val="22"/>
              </w:rPr>
            </w:pPr>
            <w:r w:rsidRPr="00731FE2">
              <w:rPr>
                <w:sz w:val="22"/>
                <w:szCs w:val="22"/>
              </w:rPr>
              <w:t>распределительный высокого давления (</w:t>
            </w:r>
            <w:proofErr w:type="gramStart"/>
            <w:r w:rsidRPr="00731FE2">
              <w:rPr>
                <w:sz w:val="22"/>
                <w:szCs w:val="22"/>
              </w:rPr>
              <w:t>Р</w:t>
            </w:r>
            <w:proofErr w:type="gramEnd"/>
            <w:r w:rsidRPr="00731FE2">
              <w:rPr>
                <w:sz w:val="22"/>
                <w:szCs w:val="22"/>
              </w:rPr>
              <w:t>≤,2 МПа)</w:t>
            </w:r>
          </w:p>
        </w:tc>
        <w:tc>
          <w:tcPr>
            <w:tcW w:w="16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202088"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sz w:val="22"/>
                <w:szCs w:val="22"/>
              </w:rPr>
            </w:pPr>
            <w:r w:rsidRPr="00731FE2">
              <w:rPr>
                <w:sz w:val="22"/>
                <w:szCs w:val="22"/>
              </w:rPr>
              <w:t>км</w:t>
            </w:r>
          </w:p>
        </w:tc>
        <w:tc>
          <w:tcPr>
            <w:tcW w:w="14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8CE955"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sz w:val="22"/>
                <w:szCs w:val="22"/>
              </w:rPr>
            </w:pPr>
            <w:r w:rsidRPr="00731FE2">
              <w:rPr>
                <w:sz w:val="22"/>
                <w:szCs w:val="22"/>
              </w:rPr>
              <w:t>25,76</w:t>
            </w:r>
          </w:p>
        </w:tc>
      </w:tr>
      <w:tr w:rsidR="00171AA8" w:rsidRPr="00731FE2" w14:paraId="47FC0EA3" w14:textId="77777777">
        <w:tc>
          <w:tcPr>
            <w:tcW w:w="52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00F7CA"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both"/>
              <w:rPr>
                <w:sz w:val="22"/>
                <w:szCs w:val="22"/>
              </w:rPr>
            </w:pPr>
            <w:r w:rsidRPr="00731FE2">
              <w:rPr>
                <w:sz w:val="22"/>
                <w:szCs w:val="22"/>
              </w:rPr>
              <w:t>2.4</w:t>
            </w:r>
          </w:p>
        </w:tc>
        <w:tc>
          <w:tcPr>
            <w:tcW w:w="56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2EA206" w14:textId="77777777" w:rsidR="00171AA8" w:rsidRPr="00731FE2" w:rsidRDefault="007935AB">
            <w:pPr>
              <w:pStyle w:val="afc"/>
              <w:jc w:val="both"/>
              <w:rPr>
                <w:sz w:val="22"/>
                <w:szCs w:val="22"/>
              </w:rPr>
            </w:pPr>
            <w:r w:rsidRPr="00731FE2">
              <w:rPr>
                <w:sz w:val="22"/>
                <w:szCs w:val="22"/>
              </w:rPr>
              <w:t>распределительный среднего давления (</w:t>
            </w:r>
            <w:proofErr w:type="gramStart"/>
            <w:r w:rsidRPr="00731FE2">
              <w:rPr>
                <w:sz w:val="22"/>
                <w:szCs w:val="22"/>
              </w:rPr>
              <w:t>Р</w:t>
            </w:r>
            <w:proofErr w:type="gramEnd"/>
            <w:r w:rsidRPr="00731FE2">
              <w:rPr>
                <w:sz w:val="22"/>
                <w:szCs w:val="22"/>
              </w:rPr>
              <w:t xml:space="preserve">≤0,3 МПа) </w:t>
            </w:r>
          </w:p>
        </w:tc>
        <w:tc>
          <w:tcPr>
            <w:tcW w:w="16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0AAF5F"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sz w:val="22"/>
                <w:szCs w:val="22"/>
              </w:rPr>
            </w:pPr>
            <w:r w:rsidRPr="00731FE2">
              <w:rPr>
                <w:sz w:val="22"/>
                <w:szCs w:val="22"/>
              </w:rPr>
              <w:t>км</w:t>
            </w:r>
          </w:p>
        </w:tc>
        <w:tc>
          <w:tcPr>
            <w:tcW w:w="14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F6BEA1"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sz w:val="22"/>
                <w:szCs w:val="22"/>
              </w:rPr>
            </w:pPr>
            <w:r w:rsidRPr="00731FE2">
              <w:rPr>
                <w:sz w:val="22"/>
                <w:szCs w:val="22"/>
              </w:rPr>
              <w:t>127,27</w:t>
            </w:r>
          </w:p>
        </w:tc>
      </w:tr>
      <w:tr w:rsidR="00171AA8" w:rsidRPr="00731FE2" w14:paraId="2349DDE7" w14:textId="77777777">
        <w:tc>
          <w:tcPr>
            <w:tcW w:w="52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CA6F7D"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both"/>
              <w:rPr>
                <w:sz w:val="22"/>
                <w:szCs w:val="22"/>
              </w:rPr>
            </w:pPr>
            <w:r w:rsidRPr="00731FE2">
              <w:rPr>
                <w:sz w:val="22"/>
                <w:szCs w:val="22"/>
              </w:rPr>
              <w:t>2.5</w:t>
            </w:r>
          </w:p>
        </w:tc>
        <w:tc>
          <w:tcPr>
            <w:tcW w:w="56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23D3F2"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both"/>
              <w:rPr>
                <w:sz w:val="22"/>
                <w:szCs w:val="22"/>
              </w:rPr>
            </w:pPr>
            <w:r w:rsidRPr="00731FE2">
              <w:rPr>
                <w:sz w:val="22"/>
                <w:szCs w:val="22"/>
              </w:rPr>
              <w:t xml:space="preserve">распределительный низкого давления </w:t>
            </w:r>
            <w:proofErr w:type="gramStart"/>
            <w:r w:rsidRPr="00731FE2">
              <w:rPr>
                <w:sz w:val="22"/>
                <w:szCs w:val="22"/>
              </w:rPr>
              <w:t>Р</w:t>
            </w:r>
            <w:proofErr w:type="gramEnd"/>
            <w:r w:rsidRPr="00731FE2">
              <w:rPr>
                <w:sz w:val="22"/>
                <w:szCs w:val="22"/>
              </w:rPr>
              <w:t xml:space="preserve">≤0,05 МПа) </w:t>
            </w:r>
          </w:p>
        </w:tc>
        <w:tc>
          <w:tcPr>
            <w:tcW w:w="16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86B3F8"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sz w:val="22"/>
                <w:szCs w:val="22"/>
              </w:rPr>
            </w:pPr>
            <w:r w:rsidRPr="00731FE2">
              <w:rPr>
                <w:sz w:val="22"/>
                <w:szCs w:val="22"/>
              </w:rPr>
              <w:t>км</w:t>
            </w:r>
          </w:p>
        </w:tc>
        <w:tc>
          <w:tcPr>
            <w:tcW w:w="14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B30EC1"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sz w:val="22"/>
                <w:szCs w:val="22"/>
              </w:rPr>
            </w:pPr>
            <w:r w:rsidRPr="00731FE2">
              <w:rPr>
                <w:sz w:val="22"/>
                <w:szCs w:val="22"/>
              </w:rPr>
              <w:t>553,91</w:t>
            </w:r>
          </w:p>
        </w:tc>
      </w:tr>
      <w:tr w:rsidR="00171AA8" w:rsidRPr="00731FE2" w14:paraId="147E9177" w14:textId="77777777">
        <w:tc>
          <w:tcPr>
            <w:tcW w:w="52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D2ADF3"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both"/>
              <w:rPr>
                <w:sz w:val="22"/>
                <w:szCs w:val="22"/>
              </w:rPr>
            </w:pPr>
            <w:r w:rsidRPr="00731FE2">
              <w:rPr>
                <w:sz w:val="22"/>
                <w:szCs w:val="22"/>
              </w:rPr>
              <w:t>3</w:t>
            </w:r>
          </w:p>
        </w:tc>
        <w:tc>
          <w:tcPr>
            <w:tcW w:w="56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68249C"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both"/>
              <w:rPr>
                <w:sz w:val="22"/>
                <w:szCs w:val="22"/>
              </w:rPr>
            </w:pPr>
            <w:r w:rsidRPr="00731FE2">
              <w:rPr>
                <w:sz w:val="22"/>
                <w:szCs w:val="22"/>
              </w:rPr>
              <w:t>Количество ГРС</w:t>
            </w:r>
          </w:p>
        </w:tc>
        <w:tc>
          <w:tcPr>
            <w:tcW w:w="16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514CA3"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sz w:val="22"/>
                <w:szCs w:val="22"/>
              </w:rPr>
            </w:pPr>
            <w:r w:rsidRPr="00731FE2">
              <w:rPr>
                <w:sz w:val="22"/>
                <w:szCs w:val="22"/>
              </w:rPr>
              <w:t>единица</w:t>
            </w:r>
          </w:p>
        </w:tc>
        <w:tc>
          <w:tcPr>
            <w:tcW w:w="14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F5EC7F"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sz w:val="22"/>
                <w:szCs w:val="22"/>
              </w:rPr>
            </w:pPr>
            <w:r w:rsidRPr="00731FE2">
              <w:rPr>
                <w:sz w:val="22"/>
                <w:szCs w:val="22"/>
              </w:rPr>
              <w:t>1</w:t>
            </w:r>
          </w:p>
        </w:tc>
      </w:tr>
      <w:tr w:rsidR="00171AA8" w:rsidRPr="00731FE2" w14:paraId="71CE2812" w14:textId="77777777">
        <w:tc>
          <w:tcPr>
            <w:tcW w:w="52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9F4717"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both"/>
              <w:rPr>
                <w:sz w:val="22"/>
                <w:szCs w:val="22"/>
              </w:rPr>
            </w:pPr>
            <w:r w:rsidRPr="00731FE2">
              <w:rPr>
                <w:sz w:val="22"/>
                <w:szCs w:val="22"/>
              </w:rPr>
              <w:t>4</w:t>
            </w:r>
          </w:p>
        </w:tc>
        <w:tc>
          <w:tcPr>
            <w:tcW w:w="56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77146C"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both"/>
              <w:rPr>
                <w:sz w:val="22"/>
                <w:szCs w:val="22"/>
              </w:rPr>
            </w:pPr>
            <w:r w:rsidRPr="00731FE2">
              <w:rPr>
                <w:sz w:val="22"/>
                <w:szCs w:val="22"/>
              </w:rPr>
              <w:t>Количество ГРП, ГРПБ, ГРП, ГРПШ</w:t>
            </w:r>
          </w:p>
        </w:tc>
        <w:tc>
          <w:tcPr>
            <w:tcW w:w="16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574F9E"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sz w:val="22"/>
                <w:szCs w:val="22"/>
              </w:rPr>
            </w:pPr>
            <w:r w:rsidRPr="00731FE2">
              <w:rPr>
                <w:sz w:val="22"/>
                <w:szCs w:val="22"/>
              </w:rPr>
              <w:t>единица</w:t>
            </w:r>
          </w:p>
        </w:tc>
        <w:tc>
          <w:tcPr>
            <w:tcW w:w="14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965F2E"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sz w:val="22"/>
                <w:szCs w:val="22"/>
              </w:rPr>
            </w:pPr>
            <w:r w:rsidRPr="00731FE2">
              <w:rPr>
                <w:sz w:val="22"/>
                <w:szCs w:val="22"/>
              </w:rPr>
              <w:t>422</w:t>
            </w:r>
          </w:p>
        </w:tc>
      </w:tr>
      <w:tr w:rsidR="00171AA8" w:rsidRPr="00731FE2" w14:paraId="6B0FF4D4" w14:textId="77777777">
        <w:tc>
          <w:tcPr>
            <w:tcW w:w="52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E43BDE"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both"/>
              <w:rPr>
                <w:sz w:val="22"/>
                <w:szCs w:val="22"/>
              </w:rPr>
            </w:pPr>
            <w:r w:rsidRPr="00731FE2">
              <w:rPr>
                <w:sz w:val="22"/>
                <w:szCs w:val="22"/>
              </w:rPr>
              <w:t>5</w:t>
            </w:r>
          </w:p>
        </w:tc>
        <w:tc>
          <w:tcPr>
            <w:tcW w:w="56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D97AE8"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both"/>
              <w:rPr>
                <w:sz w:val="22"/>
                <w:szCs w:val="22"/>
              </w:rPr>
            </w:pPr>
            <w:r w:rsidRPr="00731FE2">
              <w:rPr>
                <w:sz w:val="22"/>
                <w:szCs w:val="22"/>
              </w:rPr>
              <w:t>Количество установок электрохимической защиты</w:t>
            </w:r>
          </w:p>
        </w:tc>
        <w:tc>
          <w:tcPr>
            <w:tcW w:w="16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4CE627"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sz w:val="22"/>
                <w:szCs w:val="22"/>
              </w:rPr>
            </w:pPr>
            <w:r w:rsidRPr="00731FE2">
              <w:rPr>
                <w:sz w:val="22"/>
                <w:szCs w:val="22"/>
              </w:rPr>
              <w:t>единица</w:t>
            </w:r>
          </w:p>
        </w:tc>
        <w:tc>
          <w:tcPr>
            <w:tcW w:w="14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265822"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sz w:val="22"/>
                <w:szCs w:val="22"/>
              </w:rPr>
            </w:pPr>
            <w:r w:rsidRPr="00731FE2">
              <w:rPr>
                <w:sz w:val="22"/>
                <w:szCs w:val="22"/>
              </w:rPr>
              <w:t>82</w:t>
            </w:r>
          </w:p>
        </w:tc>
      </w:tr>
      <w:tr w:rsidR="00171AA8" w:rsidRPr="00731FE2" w14:paraId="72209CD3" w14:textId="77777777">
        <w:tc>
          <w:tcPr>
            <w:tcW w:w="52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30591B"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both"/>
              <w:rPr>
                <w:sz w:val="22"/>
                <w:szCs w:val="22"/>
              </w:rPr>
            </w:pPr>
            <w:r w:rsidRPr="00731FE2">
              <w:rPr>
                <w:sz w:val="22"/>
                <w:szCs w:val="22"/>
              </w:rPr>
              <w:t>6</w:t>
            </w:r>
          </w:p>
        </w:tc>
        <w:tc>
          <w:tcPr>
            <w:tcW w:w="56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D756D1"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both"/>
              <w:rPr>
                <w:sz w:val="22"/>
                <w:szCs w:val="22"/>
              </w:rPr>
            </w:pPr>
            <w:r w:rsidRPr="00731FE2">
              <w:rPr>
                <w:sz w:val="22"/>
                <w:szCs w:val="22"/>
              </w:rPr>
              <w:t>Газифицированные промпредприятия, в том числе</w:t>
            </w:r>
          </w:p>
        </w:tc>
        <w:tc>
          <w:tcPr>
            <w:tcW w:w="16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2A935B"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sz w:val="22"/>
                <w:szCs w:val="22"/>
              </w:rPr>
            </w:pPr>
            <w:r w:rsidRPr="00731FE2">
              <w:rPr>
                <w:sz w:val="22"/>
                <w:szCs w:val="22"/>
              </w:rPr>
              <w:t>единица</w:t>
            </w:r>
          </w:p>
        </w:tc>
        <w:tc>
          <w:tcPr>
            <w:tcW w:w="14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63AE41"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sz w:val="22"/>
                <w:szCs w:val="22"/>
              </w:rPr>
            </w:pPr>
            <w:r w:rsidRPr="00731FE2">
              <w:rPr>
                <w:sz w:val="22"/>
                <w:szCs w:val="22"/>
              </w:rPr>
              <w:t>25</w:t>
            </w:r>
          </w:p>
        </w:tc>
      </w:tr>
      <w:tr w:rsidR="00171AA8" w:rsidRPr="00731FE2" w14:paraId="1D160166" w14:textId="77777777">
        <w:tc>
          <w:tcPr>
            <w:tcW w:w="52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2D37BF"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both"/>
              <w:rPr>
                <w:sz w:val="22"/>
                <w:szCs w:val="22"/>
              </w:rPr>
            </w:pPr>
            <w:r w:rsidRPr="00731FE2">
              <w:rPr>
                <w:sz w:val="22"/>
                <w:szCs w:val="22"/>
              </w:rPr>
              <w:t>6.1</w:t>
            </w:r>
          </w:p>
        </w:tc>
        <w:tc>
          <w:tcPr>
            <w:tcW w:w="56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C08636"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both"/>
              <w:rPr>
                <w:sz w:val="22"/>
                <w:szCs w:val="22"/>
              </w:rPr>
            </w:pPr>
            <w:r w:rsidRPr="00731FE2">
              <w:rPr>
                <w:sz w:val="22"/>
                <w:szCs w:val="22"/>
              </w:rPr>
              <w:t>ТЭЦ</w:t>
            </w:r>
          </w:p>
        </w:tc>
        <w:tc>
          <w:tcPr>
            <w:tcW w:w="16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E987B4"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sz w:val="22"/>
                <w:szCs w:val="22"/>
              </w:rPr>
            </w:pPr>
            <w:r w:rsidRPr="00731FE2">
              <w:rPr>
                <w:sz w:val="22"/>
                <w:szCs w:val="22"/>
              </w:rPr>
              <w:t>единица</w:t>
            </w:r>
          </w:p>
        </w:tc>
        <w:tc>
          <w:tcPr>
            <w:tcW w:w="14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07E62B"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sz w:val="22"/>
                <w:szCs w:val="22"/>
              </w:rPr>
            </w:pPr>
            <w:r w:rsidRPr="00731FE2">
              <w:rPr>
                <w:sz w:val="22"/>
                <w:szCs w:val="22"/>
              </w:rPr>
              <w:t>1</w:t>
            </w:r>
          </w:p>
        </w:tc>
      </w:tr>
      <w:tr w:rsidR="00171AA8" w:rsidRPr="00731FE2" w14:paraId="33F5F008" w14:textId="77777777">
        <w:tc>
          <w:tcPr>
            <w:tcW w:w="52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40709B"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both"/>
              <w:rPr>
                <w:sz w:val="22"/>
                <w:szCs w:val="22"/>
              </w:rPr>
            </w:pPr>
            <w:r w:rsidRPr="00731FE2">
              <w:rPr>
                <w:sz w:val="22"/>
                <w:szCs w:val="22"/>
              </w:rPr>
              <w:t>7</w:t>
            </w:r>
          </w:p>
        </w:tc>
        <w:tc>
          <w:tcPr>
            <w:tcW w:w="56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2CE03E"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both"/>
              <w:rPr>
                <w:sz w:val="22"/>
                <w:szCs w:val="22"/>
              </w:rPr>
            </w:pPr>
            <w:r w:rsidRPr="00731FE2">
              <w:rPr>
                <w:sz w:val="22"/>
                <w:szCs w:val="22"/>
              </w:rPr>
              <w:t>Газифицированные сельхозпредприятия</w:t>
            </w:r>
          </w:p>
        </w:tc>
        <w:tc>
          <w:tcPr>
            <w:tcW w:w="16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A3A722"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sz w:val="22"/>
                <w:szCs w:val="22"/>
              </w:rPr>
            </w:pPr>
            <w:r w:rsidRPr="00731FE2">
              <w:rPr>
                <w:sz w:val="22"/>
                <w:szCs w:val="22"/>
              </w:rPr>
              <w:t>единица</w:t>
            </w:r>
          </w:p>
        </w:tc>
        <w:tc>
          <w:tcPr>
            <w:tcW w:w="14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4F7986"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sz w:val="22"/>
                <w:szCs w:val="22"/>
              </w:rPr>
            </w:pPr>
            <w:r w:rsidRPr="00731FE2">
              <w:rPr>
                <w:sz w:val="22"/>
                <w:szCs w:val="22"/>
              </w:rPr>
              <w:t>5</w:t>
            </w:r>
          </w:p>
        </w:tc>
      </w:tr>
      <w:tr w:rsidR="00171AA8" w:rsidRPr="00731FE2" w14:paraId="19024AE7" w14:textId="77777777">
        <w:tc>
          <w:tcPr>
            <w:tcW w:w="52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06418A"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both"/>
              <w:rPr>
                <w:sz w:val="22"/>
                <w:szCs w:val="22"/>
              </w:rPr>
            </w:pPr>
            <w:r w:rsidRPr="00731FE2">
              <w:rPr>
                <w:sz w:val="22"/>
                <w:szCs w:val="22"/>
              </w:rPr>
              <w:t>8</w:t>
            </w:r>
          </w:p>
        </w:tc>
        <w:tc>
          <w:tcPr>
            <w:tcW w:w="56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0D34C7"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both"/>
              <w:rPr>
                <w:sz w:val="22"/>
                <w:szCs w:val="22"/>
              </w:rPr>
            </w:pPr>
            <w:r w:rsidRPr="00731FE2">
              <w:rPr>
                <w:sz w:val="22"/>
                <w:szCs w:val="22"/>
              </w:rPr>
              <w:t>Газифицированные коммунально-бытовые объекты, в том числе</w:t>
            </w:r>
          </w:p>
        </w:tc>
        <w:tc>
          <w:tcPr>
            <w:tcW w:w="16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AEBAFE"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sz w:val="22"/>
                <w:szCs w:val="22"/>
              </w:rPr>
            </w:pPr>
            <w:r w:rsidRPr="00731FE2">
              <w:rPr>
                <w:sz w:val="22"/>
                <w:szCs w:val="22"/>
              </w:rPr>
              <w:t>единица</w:t>
            </w:r>
          </w:p>
        </w:tc>
        <w:tc>
          <w:tcPr>
            <w:tcW w:w="14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48701F"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sz w:val="22"/>
                <w:szCs w:val="22"/>
              </w:rPr>
            </w:pPr>
            <w:r w:rsidRPr="00731FE2">
              <w:rPr>
                <w:sz w:val="22"/>
                <w:szCs w:val="22"/>
              </w:rPr>
              <w:t>604</w:t>
            </w:r>
          </w:p>
        </w:tc>
      </w:tr>
      <w:tr w:rsidR="00171AA8" w:rsidRPr="00731FE2" w14:paraId="36194D1A" w14:textId="77777777">
        <w:tc>
          <w:tcPr>
            <w:tcW w:w="52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003A4A"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both"/>
              <w:rPr>
                <w:sz w:val="22"/>
                <w:szCs w:val="22"/>
              </w:rPr>
            </w:pPr>
            <w:r w:rsidRPr="00731FE2">
              <w:rPr>
                <w:sz w:val="22"/>
                <w:szCs w:val="22"/>
              </w:rPr>
              <w:t>8.1</w:t>
            </w:r>
          </w:p>
        </w:tc>
        <w:tc>
          <w:tcPr>
            <w:tcW w:w="56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C8EF78"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both"/>
              <w:rPr>
                <w:sz w:val="22"/>
                <w:szCs w:val="22"/>
              </w:rPr>
            </w:pPr>
            <w:r w:rsidRPr="00731FE2">
              <w:rPr>
                <w:sz w:val="22"/>
                <w:szCs w:val="22"/>
              </w:rPr>
              <w:t xml:space="preserve">котельные </w:t>
            </w:r>
          </w:p>
        </w:tc>
        <w:tc>
          <w:tcPr>
            <w:tcW w:w="16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97861E"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sz w:val="22"/>
                <w:szCs w:val="22"/>
              </w:rPr>
            </w:pPr>
            <w:r w:rsidRPr="00731FE2">
              <w:rPr>
                <w:sz w:val="22"/>
                <w:szCs w:val="22"/>
              </w:rPr>
              <w:t>единица</w:t>
            </w:r>
          </w:p>
        </w:tc>
        <w:tc>
          <w:tcPr>
            <w:tcW w:w="14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00F73A"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sz w:val="22"/>
                <w:szCs w:val="22"/>
              </w:rPr>
            </w:pPr>
            <w:r w:rsidRPr="00731FE2">
              <w:rPr>
                <w:sz w:val="22"/>
                <w:szCs w:val="22"/>
              </w:rPr>
              <w:t>81</w:t>
            </w:r>
          </w:p>
        </w:tc>
      </w:tr>
      <w:tr w:rsidR="00171AA8" w:rsidRPr="00731FE2" w14:paraId="5C70B819" w14:textId="77777777">
        <w:tc>
          <w:tcPr>
            <w:tcW w:w="52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AFC0FB"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both"/>
              <w:rPr>
                <w:sz w:val="22"/>
                <w:szCs w:val="22"/>
              </w:rPr>
            </w:pPr>
            <w:r w:rsidRPr="00731FE2">
              <w:rPr>
                <w:sz w:val="22"/>
                <w:szCs w:val="22"/>
              </w:rPr>
              <w:t>9</w:t>
            </w:r>
          </w:p>
        </w:tc>
        <w:tc>
          <w:tcPr>
            <w:tcW w:w="56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8B0B31"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both"/>
              <w:rPr>
                <w:sz w:val="22"/>
                <w:szCs w:val="22"/>
              </w:rPr>
            </w:pPr>
            <w:r w:rsidRPr="00731FE2">
              <w:rPr>
                <w:sz w:val="22"/>
                <w:szCs w:val="22"/>
              </w:rPr>
              <w:t>Протяженность внутренних газопроводов</w:t>
            </w:r>
          </w:p>
        </w:tc>
        <w:tc>
          <w:tcPr>
            <w:tcW w:w="16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391E82"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sz w:val="22"/>
                <w:szCs w:val="22"/>
              </w:rPr>
            </w:pPr>
            <w:r w:rsidRPr="00731FE2">
              <w:rPr>
                <w:sz w:val="22"/>
                <w:szCs w:val="22"/>
              </w:rPr>
              <w:t>км</w:t>
            </w:r>
          </w:p>
        </w:tc>
        <w:tc>
          <w:tcPr>
            <w:tcW w:w="14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F54348B"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sz w:val="22"/>
                <w:szCs w:val="22"/>
              </w:rPr>
            </w:pPr>
            <w:r w:rsidRPr="00731FE2">
              <w:rPr>
                <w:sz w:val="22"/>
                <w:szCs w:val="22"/>
              </w:rPr>
              <w:t>454,51</w:t>
            </w:r>
          </w:p>
        </w:tc>
      </w:tr>
    </w:tbl>
    <w:p w14:paraId="6B537DCE" w14:textId="77777777" w:rsidR="00171AA8" w:rsidRPr="00731FE2" w:rsidRDefault="00171AA8">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p>
    <w:p w14:paraId="7D0E4929"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Уровень газификации городского округа составляет более 95%, протяженность наружных газопроводов города-курорта и прилегающих поселков составляет 706,94 км.</w:t>
      </w:r>
    </w:p>
    <w:p w14:paraId="28199784"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proofErr w:type="gramStart"/>
      <w:r w:rsidRPr="00731FE2">
        <w:rPr>
          <w:rFonts w:ascii="Times New Roman" w:hAnsi="Times New Roman" w:cs="Times New Roman"/>
          <w:color w:val="000000" w:themeColor="text1"/>
        </w:rPr>
        <w:t>На балансе АО «Кисловодскгоргаз» находятся 22 стационарных газорегуляторных пункта (ГРП), работающих на снижение среднего давления газа на низкое и поддержании его на заданном уровне, а также 105 шкафных газорегуляторных пункта (ШРП).</w:t>
      </w:r>
      <w:proofErr w:type="gramEnd"/>
      <w:r w:rsidRPr="00731FE2">
        <w:rPr>
          <w:rFonts w:ascii="Times New Roman" w:hAnsi="Times New Roman" w:cs="Times New Roman"/>
          <w:color w:val="000000" w:themeColor="text1"/>
        </w:rPr>
        <w:t xml:space="preserve"> Средний год ввода оборудования в эксплуатацию соответствует 1965-1976 гг., что превышает 30 лет. В соответствии с нормативами, эксплуатационный ресурс исчерпан и требуется замена существующих газорегуляторных пунктов ГРП.</w:t>
      </w:r>
    </w:p>
    <w:p w14:paraId="78D672E6" w14:textId="77777777" w:rsidR="00171AA8" w:rsidRPr="00731FE2" w:rsidRDefault="00171AA8">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p>
    <w:p w14:paraId="5602DA7D" w14:textId="77777777" w:rsidR="00171AA8" w:rsidRPr="00731FE2" w:rsidRDefault="007935AB">
      <w:pPr>
        <w:pStyle w:val="af3"/>
        <w:rPr>
          <w:sz w:val="24"/>
          <w:szCs w:val="24"/>
          <w:vertAlign w:val="superscript"/>
        </w:rPr>
      </w:pPr>
      <w:r w:rsidRPr="00731FE2">
        <w:rPr>
          <w:sz w:val="24"/>
          <w:szCs w:val="24"/>
        </w:rPr>
        <w:t xml:space="preserve">Таблица </w:t>
      </w:r>
      <w:r w:rsidR="00D97880" w:rsidRPr="00731FE2">
        <w:rPr>
          <w:noProof/>
          <w:sz w:val="24"/>
          <w:szCs w:val="24"/>
        </w:rPr>
        <w:fldChar w:fldCharType="begin"/>
      </w:r>
      <w:r w:rsidR="00D97880" w:rsidRPr="00731FE2">
        <w:rPr>
          <w:noProof/>
          <w:sz w:val="24"/>
          <w:szCs w:val="24"/>
        </w:rPr>
        <w:instrText xml:space="preserve"> SEQ Таблица \* Arabic </w:instrText>
      </w:r>
      <w:r w:rsidR="00D97880" w:rsidRPr="00731FE2">
        <w:rPr>
          <w:noProof/>
          <w:sz w:val="24"/>
          <w:szCs w:val="24"/>
        </w:rPr>
        <w:fldChar w:fldCharType="separate"/>
      </w:r>
      <w:r w:rsidR="00C50915" w:rsidRPr="00731FE2">
        <w:rPr>
          <w:noProof/>
          <w:sz w:val="24"/>
          <w:szCs w:val="24"/>
        </w:rPr>
        <w:t>42</w:t>
      </w:r>
      <w:r w:rsidR="00D97880" w:rsidRPr="00731FE2">
        <w:rPr>
          <w:noProof/>
          <w:sz w:val="24"/>
          <w:szCs w:val="24"/>
        </w:rPr>
        <w:fldChar w:fldCharType="end"/>
      </w:r>
      <w:r w:rsidRPr="00731FE2">
        <w:rPr>
          <w:sz w:val="24"/>
          <w:szCs w:val="24"/>
        </w:rPr>
        <w:t xml:space="preserve"> – Технические характеристики распределительных газопроводов городского округа города-курорта Кисловодска</w:t>
      </w:r>
      <w:r w:rsidRPr="00731FE2">
        <w:rPr>
          <w:rStyle w:val="afb"/>
          <w:sz w:val="24"/>
          <w:szCs w:val="24"/>
          <w:vertAlign w:val="superscript"/>
        </w:rPr>
        <w:footnoteReference w:id="82"/>
      </w:r>
    </w:p>
    <w:tbl>
      <w:tblPr>
        <w:tblStyle w:val="afe"/>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ayout w:type="fixed"/>
        <w:tblLook w:val="04A0" w:firstRow="1" w:lastRow="0" w:firstColumn="1" w:lastColumn="0" w:noHBand="0" w:noVBand="1"/>
      </w:tblPr>
      <w:tblGrid>
        <w:gridCol w:w="647"/>
        <w:gridCol w:w="1935"/>
        <w:gridCol w:w="1953"/>
        <w:gridCol w:w="2976"/>
        <w:gridCol w:w="1844"/>
      </w:tblGrid>
      <w:tr w:rsidR="00171AA8" w:rsidRPr="00731FE2" w14:paraId="4E6AB1C5" w14:textId="77777777">
        <w:trPr>
          <w:trHeight w:val="180"/>
        </w:trPr>
        <w:tc>
          <w:tcPr>
            <w:tcW w:w="647"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684CDD8"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b/>
                <w:bCs/>
                <w:sz w:val="20"/>
                <w:szCs w:val="20"/>
              </w:rPr>
            </w:pPr>
            <w:r w:rsidRPr="00731FE2">
              <w:rPr>
                <w:b/>
                <w:bCs/>
                <w:sz w:val="20"/>
                <w:szCs w:val="20"/>
              </w:rPr>
              <w:t xml:space="preserve">№ </w:t>
            </w:r>
            <w:proofErr w:type="gramStart"/>
            <w:r w:rsidRPr="00731FE2">
              <w:rPr>
                <w:b/>
                <w:bCs/>
                <w:sz w:val="20"/>
                <w:szCs w:val="20"/>
              </w:rPr>
              <w:t>п</w:t>
            </w:r>
            <w:proofErr w:type="gramEnd"/>
            <w:r w:rsidRPr="00731FE2">
              <w:rPr>
                <w:b/>
                <w:bCs/>
                <w:sz w:val="20"/>
                <w:szCs w:val="20"/>
              </w:rPr>
              <w:t>/п</w:t>
            </w:r>
          </w:p>
        </w:tc>
        <w:tc>
          <w:tcPr>
            <w:tcW w:w="1935"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FD9A88A"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b/>
                <w:bCs/>
                <w:sz w:val="20"/>
                <w:szCs w:val="20"/>
              </w:rPr>
            </w:pPr>
            <w:r w:rsidRPr="00731FE2">
              <w:rPr>
                <w:b/>
                <w:bCs/>
                <w:sz w:val="20"/>
                <w:szCs w:val="20"/>
              </w:rPr>
              <w:t xml:space="preserve">Диаметр, </w:t>
            </w:r>
            <w:proofErr w:type="gramStart"/>
            <w:r w:rsidRPr="00731FE2">
              <w:rPr>
                <w:b/>
                <w:bCs/>
                <w:sz w:val="20"/>
                <w:szCs w:val="20"/>
              </w:rPr>
              <w:t>мм</w:t>
            </w:r>
            <w:proofErr w:type="gramEnd"/>
          </w:p>
        </w:tc>
        <w:tc>
          <w:tcPr>
            <w:tcW w:w="6773"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C23A481"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b/>
                <w:bCs/>
                <w:sz w:val="20"/>
                <w:szCs w:val="20"/>
              </w:rPr>
            </w:pPr>
            <w:r w:rsidRPr="00731FE2">
              <w:rPr>
                <w:b/>
                <w:bCs/>
                <w:sz w:val="20"/>
                <w:szCs w:val="20"/>
              </w:rPr>
              <w:t xml:space="preserve">Протяженность, </w:t>
            </w:r>
            <w:proofErr w:type="gramStart"/>
            <w:r w:rsidRPr="00731FE2">
              <w:rPr>
                <w:b/>
                <w:bCs/>
                <w:sz w:val="20"/>
                <w:szCs w:val="20"/>
              </w:rPr>
              <w:t>км</w:t>
            </w:r>
            <w:proofErr w:type="gramEnd"/>
          </w:p>
        </w:tc>
      </w:tr>
      <w:tr w:rsidR="00171AA8" w:rsidRPr="00731FE2" w14:paraId="04F0F920" w14:textId="77777777">
        <w:trPr>
          <w:trHeight w:val="135"/>
        </w:trPr>
        <w:tc>
          <w:tcPr>
            <w:tcW w:w="647" w:type="dxa"/>
            <w:vMerge/>
            <w:tcBorders>
              <w:top w:val="single" w:sz="4" w:space="0" w:color="000000"/>
              <w:left w:val="single" w:sz="4" w:space="0" w:color="000000"/>
              <w:bottom w:val="single" w:sz="4" w:space="0" w:color="000000"/>
              <w:right w:val="single" w:sz="4" w:space="0" w:color="000000"/>
            </w:tcBorders>
          </w:tcPr>
          <w:p w14:paraId="6E32A24A" w14:textId="77777777" w:rsidR="00171AA8" w:rsidRPr="00731FE2" w:rsidRDefault="00171AA8"/>
        </w:tc>
        <w:tc>
          <w:tcPr>
            <w:tcW w:w="1935" w:type="dxa"/>
            <w:vMerge/>
            <w:tcBorders>
              <w:top w:val="single" w:sz="4" w:space="0" w:color="000000"/>
              <w:left w:val="single" w:sz="4" w:space="0" w:color="000000"/>
              <w:bottom w:val="single" w:sz="4" w:space="0" w:color="000000"/>
              <w:right w:val="single" w:sz="4" w:space="0" w:color="000000"/>
            </w:tcBorders>
          </w:tcPr>
          <w:p w14:paraId="2788D4EA" w14:textId="77777777" w:rsidR="00171AA8" w:rsidRPr="00731FE2" w:rsidRDefault="00171AA8"/>
        </w:tc>
        <w:tc>
          <w:tcPr>
            <w:tcW w:w="1953" w:type="dxa"/>
            <w:tcBorders>
              <w:top w:val="none" w:sz="4" w:space="0" w:color="000000"/>
              <w:left w:val="single" w:sz="4" w:space="0" w:color="000000"/>
              <w:bottom w:val="none" w:sz="4" w:space="0" w:color="000000"/>
              <w:right w:val="none" w:sz="4" w:space="0" w:color="000000"/>
            </w:tcBorders>
            <w:tcMar>
              <w:top w:w="0" w:type="dxa"/>
              <w:left w:w="108" w:type="dxa"/>
              <w:bottom w:w="0" w:type="dxa"/>
              <w:right w:w="108" w:type="dxa"/>
            </w:tcMar>
            <w:vAlign w:val="center"/>
          </w:tcPr>
          <w:p w14:paraId="475CDB5E"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b/>
                <w:bCs/>
                <w:sz w:val="20"/>
                <w:szCs w:val="20"/>
              </w:rPr>
            </w:pPr>
            <w:r w:rsidRPr="00731FE2">
              <w:rPr>
                <w:b/>
                <w:bCs/>
                <w:sz w:val="20"/>
                <w:szCs w:val="20"/>
              </w:rPr>
              <w:t>в черте города</w:t>
            </w:r>
          </w:p>
        </w:tc>
        <w:tc>
          <w:tcPr>
            <w:tcW w:w="2976" w:type="dxa"/>
            <w:tcBorders>
              <w:top w:val="none" w:sz="4" w:space="0" w:color="000000"/>
              <w:left w:val="none" w:sz="4" w:space="0" w:color="000000"/>
              <w:bottom w:val="none" w:sz="4" w:space="0" w:color="000000"/>
              <w:right w:val="none" w:sz="4" w:space="0" w:color="000000"/>
            </w:tcBorders>
            <w:tcMar>
              <w:top w:w="0" w:type="dxa"/>
              <w:left w:w="108" w:type="dxa"/>
              <w:bottom w:w="0" w:type="dxa"/>
              <w:right w:w="108" w:type="dxa"/>
            </w:tcMar>
            <w:vAlign w:val="center"/>
          </w:tcPr>
          <w:p w14:paraId="50586E21"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b/>
                <w:bCs/>
                <w:sz w:val="20"/>
                <w:szCs w:val="20"/>
              </w:rPr>
            </w:pPr>
            <w:r w:rsidRPr="00731FE2">
              <w:rPr>
                <w:b/>
                <w:bCs/>
                <w:sz w:val="20"/>
                <w:szCs w:val="20"/>
              </w:rPr>
              <w:t>в границах городского округа</w:t>
            </w:r>
          </w:p>
        </w:tc>
        <w:tc>
          <w:tcPr>
            <w:tcW w:w="1843" w:type="dxa"/>
            <w:tcBorders>
              <w:top w:val="none" w:sz="4" w:space="0" w:color="000000"/>
              <w:left w:val="none" w:sz="4" w:space="0" w:color="000000"/>
              <w:bottom w:val="none" w:sz="4" w:space="0" w:color="000000"/>
              <w:right w:val="none" w:sz="4" w:space="0" w:color="000000"/>
            </w:tcBorders>
            <w:tcMar>
              <w:top w:w="0" w:type="dxa"/>
              <w:left w:w="108" w:type="dxa"/>
              <w:bottom w:w="0" w:type="dxa"/>
              <w:right w:w="108" w:type="dxa"/>
            </w:tcMar>
            <w:vAlign w:val="center"/>
          </w:tcPr>
          <w:p w14:paraId="6B85BEAE"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b/>
                <w:bCs/>
                <w:sz w:val="20"/>
                <w:szCs w:val="20"/>
              </w:rPr>
            </w:pPr>
            <w:r w:rsidRPr="00731FE2">
              <w:rPr>
                <w:b/>
                <w:bCs/>
                <w:sz w:val="20"/>
                <w:szCs w:val="20"/>
              </w:rPr>
              <w:t>всего</w:t>
            </w:r>
          </w:p>
        </w:tc>
      </w:tr>
      <w:tr w:rsidR="00171AA8" w:rsidRPr="00731FE2" w14:paraId="00272108" w14:textId="77777777">
        <w:tc>
          <w:tcPr>
            <w:tcW w:w="6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91E0EC"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sz w:val="20"/>
                <w:szCs w:val="20"/>
              </w:rPr>
            </w:pPr>
            <w:r w:rsidRPr="00731FE2">
              <w:rPr>
                <w:sz w:val="20"/>
                <w:szCs w:val="20"/>
              </w:rPr>
              <w:t>1</w:t>
            </w:r>
          </w:p>
        </w:tc>
        <w:tc>
          <w:tcPr>
            <w:tcW w:w="19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6E7C3A"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sz w:val="20"/>
                <w:szCs w:val="20"/>
              </w:rPr>
            </w:pPr>
            <w:r w:rsidRPr="00731FE2">
              <w:rPr>
                <w:sz w:val="20"/>
                <w:szCs w:val="20"/>
              </w:rPr>
              <w:t>500</w:t>
            </w:r>
          </w:p>
        </w:tc>
        <w:tc>
          <w:tcPr>
            <w:tcW w:w="19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A08348"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sz w:val="20"/>
                <w:szCs w:val="20"/>
              </w:rPr>
            </w:pPr>
            <w:r w:rsidRPr="00731FE2">
              <w:rPr>
                <w:sz w:val="20"/>
                <w:szCs w:val="20"/>
              </w:rPr>
              <w:t>4,12</w:t>
            </w:r>
          </w:p>
        </w:tc>
        <w:tc>
          <w:tcPr>
            <w:tcW w:w="29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D91C33"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sz w:val="20"/>
                <w:szCs w:val="20"/>
              </w:rPr>
            </w:pPr>
            <w:r w:rsidRPr="00731FE2">
              <w:rPr>
                <w:sz w:val="20"/>
                <w:szCs w:val="20"/>
              </w:rPr>
              <w:t>-</w:t>
            </w:r>
          </w:p>
        </w:tc>
        <w:tc>
          <w:tcPr>
            <w:tcW w:w="18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1BAF76"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sz w:val="20"/>
                <w:szCs w:val="20"/>
              </w:rPr>
            </w:pPr>
            <w:r w:rsidRPr="00731FE2">
              <w:rPr>
                <w:sz w:val="20"/>
                <w:szCs w:val="20"/>
              </w:rPr>
              <w:t>4,12</w:t>
            </w:r>
          </w:p>
        </w:tc>
      </w:tr>
      <w:tr w:rsidR="00171AA8" w:rsidRPr="00731FE2" w14:paraId="332E3ED2" w14:textId="77777777">
        <w:tc>
          <w:tcPr>
            <w:tcW w:w="6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2AD73E"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sz w:val="20"/>
                <w:szCs w:val="20"/>
              </w:rPr>
            </w:pPr>
            <w:r w:rsidRPr="00731FE2">
              <w:rPr>
                <w:sz w:val="20"/>
                <w:szCs w:val="20"/>
              </w:rPr>
              <w:t>2</w:t>
            </w:r>
          </w:p>
        </w:tc>
        <w:tc>
          <w:tcPr>
            <w:tcW w:w="19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904D3A"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sz w:val="20"/>
                <w:szCs w:val="20"/>
              </w:rPr>
            </w:pPr>
            <w:r w:rsidRPr="00731FE2">
              <w:rPr>
                <w:sz w:val="20"/>
                <w:szCs w:val="20"/>
              </w:rPr>
              <w:t>400</w:t>
            </w:r>
          </w:p>
        </w:tc>
        <w:tc>
          <w:tcPr>
            <w:tcW w:w="19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EF7AEC"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sz w:val="20"/>
                <w:szCs w:val="20"/>
              </w:rPr>
            </w:pPr>
            <w:r w:rsidRPr="00731FE2">
              <w:rPr>
                <w:sz w:val="20"/>
                <w:szCs w:val="20"/>
              </w:rPr>
              <w:t>14,32</w:t>
            </w:r>
          </w:p>
        </w:tc>
        <w:tc>
          <w:tcPr>
            <w:tcW w:w="29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4B62D6"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sz w:val="20"/>
                <w:szCs w:val="20"/>
              </w:rPr>
            </w:pPr>
            <w:r w:rsidRPr="00731FE2">
              <w:rPr>
                <w:sz w:val="20"/>
                <w:szCs w:val="20"/>
              </w:rPr>
              <w:t>-</w:t>
            </w:r>
          </w:p>
        </w:tc>
        <w:tc>
          <w:tcPr>
            <w:tcW w:w="18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1B80EF"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sz w:val="20"/>
                <w:szCs w:val="20"/>
              </w:rPr>
            </w:pPr>
            <w:r w:rsidRPr="00731FE2">
              <w:rPr>
                <w:sz w:val="20"/>
                <w:szCs w:val="20"/>
              </w:rPr>
              <w:t>14,32</w:t>
            </w:r>
          </w:p>
        </w:tc>
      </w:tr>
      <w:tr w:rsidR="00171AA8" w:rsidRPr="00731FE2" w14:paraId="251F47E6" w14:textId="77777777">
        <w:tc>
          <w:tcPr>
            <w:tcW w:w="6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2CCAA5"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sz w:val="20"/>
                <w:szCs w:val="20"/>
              </w:rPr>
            </w:pPr>
            <w:r w:rsidRPr="00731FE2">
              <w:rPr>
                <w:sz w:val="20"/>
                <w:szCs w:val="20"/>
              </w:rPr>
              <w:t>3</w:t>
            </w:r>
          </w:p>
        </w:tc>
        <w:tc>
          <w:tcPr>
            <w:tcW w:w="19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66D2F1"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sz w:val="20"/>
                <w:szCs w:val="20"/>
              </w:rPr>
            </w:pPr>
            <w:r w:rsidRPr="00731FE2">
              <w:rPr>
                <w:sz w:val="20"/>
                <w:szCs w:val="20"/>
              </w:rPr>
              <w:t>300</w:t>
            </w:r>
          </w:p>
        </w:tc>
        <w:tc>
          <w:tcPr>
            <w:tcW w:w="19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B72778"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sz w:val="20"/>
                <w:szCs w:val="20"/>
              </w:rPr>
            </w:pPr>
            <w:r w:rsidRPr="00731FE2">
              <w:rPr>
                <w:sz w:val="20"/>
                <w:szCs w:val="20"/>
              </w:rPr>
              <w:t>15,3</w:t>
            </w:r>
          </w:p>
        </w:tc>
        <w:tc>
          <w:tcPr>
            <w:tcW w:w="29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71D7C0"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sz w:val="20"/>
                <w:szCs w:val="20"/>
              </w:rPr>
            </w:pPr>
            <w:r w:rsidRPr="00731FE2">
              <w:rPr>
                <w:sz w:val="20"/>
                <w:szCs w:val="20"/>
              </w:rPr>
              <w:t>2,24</w:t>
            </w:r>
          </w:p>
        </w:tc>
        <w:tc>
          <w:tcPr>
            <w:tcW w:w="18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6E9A38"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sz w:val="20"/>
                <w:szCs w:val="20"/>
              </w:rPr>
            </w:pPr>
            <w:r w:rsidRPr="00731FE2">
              <w:rPr>
                <w:sz w:val="20"/>
                <w:szCs w:val="20"/>
              </w:rPr>
              <w:t>17,54</w:t>
            </w:r>
          </w:p>
        </w:tc>
      </w:tr>
      <w:tr w:rsidR="00171AA8" w:rsidRPr="00731FE2" w14:paraId="26673C37" w14:textId="77777777">
        <w:tc>
          <w:tcPr>
            <w:tcW w:w="6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1613C7"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sz w:val="20"/>
                <w:szCs w:val="20"/>
              </w:rPr>
            </w:pPr>
            <w:r w:rsidRPr="00731FE2">
              <w:rPr>
                <w:sz w:val="20"/>
                <w:szCs w:val="20"/>
              </w:rPr>
              <w:t>4</w:t>
            </w:r>
          </w:p>
        </w:tc>
        <w:tc>
          <w:tcPr>
            <w:tcW w:w="19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018F3D"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sz w:val="20"/>
                <w:szCs w:val="20"/>
              </w:rPr>
            </w:pPr>
            <w:r w:rsidRPr="00731FE2">
              <w:rPr>
                <w:sz w:val="20"/>
                <w:szCs w:val="20"/>
              </w:rPr>
              <w:t>250</w:t>
            </w:r>
          </w:p>
        </w:tc>
        <w:tc>
          <w:tcPr>
            <w:tcW w:w="19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E0D7BF"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sz w:val="20"/>
                <w:szCs w:val="20"/>
              </w:rPr>
            </w:pPr>
            <w:r w:rsidRPr="00731FE2">
              <w:rPr>
                <w:sz w:val="20"/>
                <w:szCs w:val="20"/>
              </w:rPr>
              <w:t>14,17</w:t>
            </w:r>
          </w:p>
        </w:tc>
        <w:tc>
          <w:tcPr>
            <w:tcW w:w="29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C1AA41"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sz w:val="20"/>
                <w:szCs w:val="20"/>
              </w:rPr>
            </w:pPr>
            <w:r w:rsidRPr="00731FE2">
              <w:rPr>
                <w:sz w:val="20"/>
                <w:szCs w:val="20"/>
              </w:rPr>
              <w:t>2,97</w:t>
            </w:r>
          </w:p>
        </w:tc>
        <w:tc>
          <w:tcPr>
            <w:tcW w:w="18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AD60CB"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sz w:val="20"/>
                <w:szCs w:val="20"/>
              </w:rPr>
            </w:pPr>
            <w:r w:rsidRPr="00731FE2">
              <w:rPr>
                <w:sz w:val="20"/>
                <w:szCs w:val="20"/>
              </w:rPr>
              <w:t>17,14</w:t>
            </w:r>
          </w:p>
        </w:tc>
      </w:tr>
      <w:tr w:rsidR="00171AA8" w:rsidRPr="00731FE2" w14:paraId="7BD84289" w14:textId="77777777">
        <w:tc>
          <w:tcPr>
            <w:tcW w:w="6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7DD61B"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sz w:val="20"/>
                <w:szCs w:val="20"/>
              </w:rPr>
            </w:pPr>
            <w:r w:rsidRPr="00731FE2">
              <w:rPr>
                <w:sz w:val="20"/>
                <w:szCs w:val="20"/>
              </w:rPr>
              <w:t>5</w:t>
            </w:r>
          </w:p>
        </w:tc>
        <w:tc>
          <w:tcPr>
            <w:tcW w:w="19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8BB8A1"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sz w:val="20"/>
                <w:szCs w:val="20"/>
              </w:rPr>
            </w:pPr>
            <w:r w:rsidRPr="00731FE2">
              <w:rPr>
                <w:sz w:val="20"/>
                <w:szCs w:val="20"/>
              </w:rPr>
              <w:t>200</w:t>
            </w:r>
          </w:p>
        </w:tc>
        <w:tc>
          <w:tcPr>
            <w:tcW w:w="19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36C4C5"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sz w:val="20"/>
                <w:szCs w:val="20"/>
              </w:rPr>
            </w:pPr>
            <w:r w:rsidRPr="00731FE2">
              <w:rPr>
                <w:sz w:val="20"/>
                <w:szCs w:val="20"/>
              </w:rPr>
              <w:t>13,62</w:t>
            </w:r>
          </w:p>
        </w:tc>
        <w:tc>
          <w:tcPr>
            <w:tcW w:w="29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276998"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sz w:val="20"/>
                <w:szCs w:val="20"/>
              </w:rPr>
            </w:pPr>
            <w:r w:rsidRPr="00731FE2">
              <w:rPr>
                <w:sz w:val="20"/>
                <w:szCs w:val="20"/>
              </w:rPr>
              <w:t>6,79</w:t>
            </w:r>
          </w:p>
        </w:tc>
        <w:tc>
          <w:tcPr>
            <w:tcW w:w="18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0AD69E"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sz w:val="20"/>
                <w:szCs w:val="20"/>
              </w:rPr>
            </w:pPr>
            <w:r w:rsidRPr="00731FE2">
              <w:rPr>
                <w:sz w:val="20"/>
                <w:szCs w:val="20"/>
              </w:rPr>
              <w:t>20,41</w:t>
            </w:r>
          </w:p>
        </w:tc>
      </w:tr>
      <w:tr w:rsidR="00171AA8" w:rsidRPr="00731FE2" w14:paraId="4F3B0461" w14:textId="77777777">
        <w:tc>
          <w:tcPr>
            <w:tcW w:w="6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7D8B7D"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sz w:val="20"/>
                <w:szCs w:val="20"/>
              </w:rPr>
            </w:pPr>
            <w:r w:rsidRPr="00731FE2">
              <w:rPr>
                <w:sz w:val="20"/>
                <w:szCs w:val="20"/>
              </w:rPr>
              <w:t>6</w:t>
            </w:r>
          </w:p>
        </w:tc>
        <w:tc>
          <w:tcPr>
            <w:tcW w:w="19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5D0EDB"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sz w:val="20"/>
                <w:szCs w:val="20"/>
              </w:rPr>
            </w:pPr>
            <w:r w:rsidRPr="00731FE2">
              <w:rPr>
                <w:sz w:val="20"/>
                <w:szCs w:val="20"/>
              </w:rPr>
              <w:t>150</w:t>
            </w:r>
          </w:p>
        </w:tc>
        <w:tc>
          <w:tcPr>
            <w:tcW w:w="19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0FB63C"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sz w:val="20"/>
                <w:szCs w:val="20"/>
              </w:rPr>
            </w:pPr>
            <w:r w:rsidRPr="00731FE2">
              <w:rPr>
                <w:sz w:val="20"/>
                <w:szCs w:val="20"/>
              </w:rPr>
              <w:t>30,64</w:t>
            </w:r>
          </w:p>
        </w:tc>
        <w:tc>
          <w:tcPr>
            <w:tcW w:w="29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CEEAFF"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sz w:val="20"/>
                <w:szCs w:val="20"/>
              </w:rPr>
            </w:pPr>
            <w:r w:rsidRPr="00731FE2">
              <w:rPr>
                <w:sz w:val="20"/>
                <w:szCs w:val="20"/>
              </w:rPr>
              <w:t>17,87</w:t>
            </w:r>
          </w:p>
        </w:tc>
        <w:tc>
          <w:tcPr>
            <w:tcW w:w="18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1A1240"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sz w:val="20"/>
                <w:szCs w:val="20"/>
              </w:rPr>
            </w:pPr>
            <w:r w:rsidRPr="00731FE2">
              <w:rPr>
                <w:sz w:val="20"/>
                <w:szCs w:val="20"/>
              </w:rPr>
              <w:t>48,51</w:t>
            </w:r>
          </w:p>
        </w:tc>
      </w:tr>
      <w:tr w:rsidR="00171AA8" w:rsidRPr="00731FE2" w14:paraId="399850A5" w14:textId="77777777">
        <w:tc>
          <w:tcPr>
            <w:tcW w:w="6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23E2FE"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sz w:val="20"/>
                <w:szCs w:val="20"/>
              </w:rPr>
            </w:pPr>
            <w:r w:rsidRPr="00731FE2">
              <w:rPr>
                <w:sz w:val="20"/>
                <w:szCs w:val="20"/>
              </w:rPr>
              <w:t>7</w:t>
            </w:r>
          </w:p>
        </w:tc>
        <w:tc>
          <w:tcPr>
            <w:tcW w:w="19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C7F760"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sz w:val="20"/>
                <w:szCs w:val="20"/>
              </w:rPr>
            </w:pPr>
            <w:r w:rsidRPr="00731FE2">
              <w:rPr>
                <w:sz w:val="20"/>
                <w:szCs w:val="20"/>
              </w:rPr>
              <w:t>125</w:t>
            </w:r>
          </w:p>
        </w:tc>
        <w:tc>
          <w:tcPr>
            <w:tcW w:w="19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69F432"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sz w:val="20"/>
                <w:szCs w:val="20"/>
              </w:rPr>
            </w:pPr>
            <w:r w:rsidRPr="00731FE2">
              <w:rPr>
                <w:sz w:val="20"/>
                <w:szCs w:val="20"/>
              </w:rPr>
              <w:t>2,04</w:t>
            </w:r>
          </w:p>
        </w:tc>
        <w:tc>
          <w:tcPr>
            <w:tcW w:w="29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C9DF3B"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sz w:val="20"/>
                <w:szCs w:val="20"/>
              </w:rPr>
            </w:pPr>
            <w:r w:rsidRPr="00731FE2">
              <w:rPr>
                <w:sz w:val="20"/>
                <w:szCs w:val="20"/>
              </w:rPr>
              <w:t>0,89</w:t>
            </w:r>
          </w:p>
        </w:tc>
        <w:tc>
          <w:tcPr>
            <w:tcW w:w="18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85B5B3"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sz w:val="20"/>
                <w:szCs w:val="20"/>
              </w:rPr>
            </w:pPr>
            <w:r w:rsidRPr="00731FE2">
              <w:rPr>
                <w:sz w:val="20"/>
                <w:szCs w:val="20"/>
              </w:rPr>
              <w:t>2,93</w:t>
            </w:r>
          </w:p>
        </w:tc>
      </w:tr>
      <w:tr w:rsidR="00171AA8" w:rsidRPr="00731FE2" w14:paraId="1FB6468F" w14:textId="77777777">
        <w:tc>
          <w:tcPr>
            <w:tcW w:w="6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5AA1C2"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sz w:val="20"/>
                <w:szCs w:val="20"/>
              </w:rPr>
            </w:pPr>
            <w:r w:rsidRPr="00731FE2">
              <w:rPr>
                <w:sz w:val="20"/>
                <w:szCs w:val="20"/>
              </w:rPr>
              <w:t>8</w:t>
            </w:r>
          </w:p>
        </w:tc>
        <w:tc>
          <w:tcPr>
            <w:tcW w:w="19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FC64D1"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sz w:val="20"/>
                <w:szCs w:val="20"/>
              </w:rPr>
            </w:pPr>
            <w:r w:rsidRPr="00731FE2">
              <w:rPr>
                <w:sz w:val="20"/>
                <w:szCs w:val="20"/>
              </w:rPr>
              <w:t>100</w:t>
            </w:r>
          </w:p>
        </w:tc>
        <w:tc>
          <w:tcPr>
            <w:tcW w:w="19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B4A1DB"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sz w:val="20"/>
                <w:szCs w:val="20"/>
              </w:rPr>
            </w:pPr>
            <w:r w:rsidRPr="00731FE2">
              <w:rPr>
                <w:sz w:val="20"/>
                <w:szCs w:val="20"/>
              </w:rPr>
              <w:t>72,16</w:t>
            </w:r>
          </w:p>
        </w:tc>
        <w:tc>
          <w:tcPr>
            <w:tcW w:w="29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B23908"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sz w:val="20"/>
                <w:szCs w:val="20"/>
              </w:rPr>
            </w:pPr>
            <w:r w:rsidRPr="00731FE2">
              <w:rPr>
                <w:sz w:val="20"/>
                <w:szCs w:val="20"/>
              </w:rPr>
              <w:t>12,06</w:t>
            </w:r>
          </w:p>
        </w:tc>
        <w:tc>
          <w:tcPr>
            <w:tcW w:w="18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42C617"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sz w:val="20"/>
                <w:szCs w:val="20"/>
              </w:rPr>
            </w:pPr>
            <w:r w:rsidRPr="00731FE2">
              <w:rPr>
                <w:sz w:val="20"/>
                <w:szCs w:val="20"/>
              </w:rPr>
              <w:t>84,67</w:t>
            </w:r>
          </w:p>
        </w:tc>
      </w:tr>
      <w:tr w:rsidR="00171AA8" w:rsidRPr="00731FE2" w14:paraId="3C41309D" w14:textId="77777777">
        <w:tc>
          <w:tcPr>
            <w:tcW w:w="6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BDAC80"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sz w:val="20"/>
                <w:szCs w:val="20"/>
              </w:rPr>
            </w:pPr>
            <w:r w:rsidRPr="00731FE2">
              <w:rPr>
                <w:sz w:val="20"/>
                <w:szCs w:val="20"/>
              </w:rPr>
              <w:t>9</w:t>
            </w:r>
          </w:p>
        </w:tc>
        <w:tc>
          <w:tcPr>
            <w:tcW w:w="19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8F6817"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sz w:val="20"/>
                <w:szCs w:val="20"/>
              </w:rPr>
            </w:pPr>
            <w:r w:rsidRPr="00731FE2">
              <w:rPr>
                <w:sz w:val="20"/>
                <w:szCs w:val="20"/>
              </w:rPr>
              <w:t>89-76</w:t>
            </w:r>
          </w:p>
        </w:tc>
        <w:tc>
          <w:tcPr>
            <w:tcW w:w="19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992009"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sz w:val="20"/>
                <w:szCs w:val="20"/>
              </w:rPr>
            </w:pPr>
            <w:r w:rsidRPr="00731FE2">
              <w:rPr>
                <w:sz w:val="20"/>
                <w:szCs w:val="20"/>
              </w:rPr>
              <w:t>65,84</w:t>
            </w:r>
          </w:p>
        </w:tc>
        <w:tc>
          <w:tcPr>
            <w:tcW w:w="29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6EBF67"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sz w:val="20"/>
                <w:szCs w:val="20"/>
              </w:rPr>
            </w:pPr>
            <w:r w:rsidRPr="00731FE2">
              <w:rPr>
                <w:sz w:val="20"/>
                <w:szCs w:val="20"/>
              </w:rPr>
              <w:t>30,82</w:t>
            </w:r>
          </w:p>
        </w:tc>
        <w:tc>
          <w:tcPr>
            <w:tcW w:w="18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B1ACDA"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sz w:val="20"/>
                <w:szCs w:val="20"/>
              </w:rPr>
            </w:pPr>
            <w:r w:rsidRPr="00731FE2">
              <w:rPr>
                <w:sz w:val="20"/>
                <w:szCs w:val="20"/>
              </w:rPr>
              <w:t>96,66</w:t>
            </w:r>
          </w:p>
        </w:tc>
      </w:tr>
      <w:tr w:rsidR="00171AA8" w:rsidRPr="00731FE2" w14:paraId="71F59A17" w14:textId="77777777">
        <w:tc>
          <w:tcPr>
            <w:tcW w:w="6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F2D5F9"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sz w:val="20"/>
                <w:szCs w:val="20"/>
              </w:rPr>
            </w:pPr>
            <w:r w:rsidRPr="00731FE2">
              <w:rPr>
                <w:sz w:val="20"/>
                <w:szCs w:val="20"/>
              </w:rPr>
              <w:t>10</w:t>
            </w:r>
          </w:p>
        </w:tc>
        <w:tc>
          <w:tcPr>
            <w:tcW w:w="19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076A41"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sz w:val="20"/>
                <w:szCs w:val="20"/>
              </w:rPr>
            </w:pPr>
            <w:r w:rsidRPr="00731FE2">
              <w:rPr>
                <w:sz w:val="20"/>
                <w:szCs w:val="20"/>
              </w:rPr>
              <w:t>57</w:t>
            </w:r>
          </w:p>
        </w:tc>
        <w:tc>
          <w:tcPr>
            <w:tcW w:w="19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840D51"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sz w:val="20"/>
                <w:szCs w:val="20"/>
              </w:rPr>
            </w:pPr>
            <w:r w:rsidRPr="00731FE2">
              <w:rPr>
                <w:sz w:val="20"/>
                <w:szCs w:val="20"/>
              </w:rPr>
              <w:t>333,05</w:t>
            </w:r>
          </w:p>
        </w:tc>
        <w:tc>
          <w:tcPr>
            <w:tcW w:w="29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FF9DC3"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sz w:val="20"/>
                <w:szCs w:val="20"/>
              </w:rPr>
            </w:pPr>
            <w:r w:rsidRPr="00731FE2">
              <w:rPr>
                <w:sz w:val="20"/>
                <w:szCs w:val="20"/>
              </w:rPr>
              <w:t>67,56</w:t>
            </w:r>
          </w:p>
        </w:tc>
        <w:tc>
          <w:tcPr>
            <w:tcW w:w="18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542AAB"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sz w:val="20"/>
                <w:szCs w:val="20"/>
              </w:rPr>
            </w:pPr>
            <w:r w:rsidRPr="00731FE2">
              <w:rPr>
                <w:sz w:val="20"/>
                <w:szCs w:val="20"/>
              </w:rPr>
              <w:t>400,64</w:t>
            </w:r>
          </w:p>
        </w:tc>
      </w:tr>
      <w:tr w:rsidR="00171AA8" w:rsidRPr="00731FE2" w14:paraId="50846B4F" w14:textId="77777777">
        <w:tc>
          <w:tcPr>
            <w:tcW w:w="6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25587E"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b/>
                <w:bCs/>
                <w:sz w:val="20"/>
                <w:szCs w:val="20"/>
              </w:rPr>
            </w:pPr>
            <w:r w:rsidRPr="00731FE2">
              <w:rPr>
                <w:b/>
                <w:bCs/>
                <w:sz w:val="20"/>
                <w:szCs w:val="20"/>
              </w:rPr>
              <w:t> </w:t>
            </w:r>
          </w:p>
        </w:tc>
        <w:tc>
          <w:tcPr>
            <w:tcW w:w="19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C0DF86"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b/>
                <w:bCs/>
                <w:sz w:val="20"/>
                <w:szCs w:val="20"/>
              </w:rPr>
            </w:pPr>
            <w:r w:rsidRPr="00731FE2">
              <w:rPr>
                <w:b/>
                <w:bCs/>
                <w:sz w:val="20"/>
                <w:szCs w:val="20"/>
              </w:rPr>
              <w:t>ИТОГО</w:t>
            </w:r>
          </w:p>
        </w:tc>
        <w:tc>
          <w:tcPr>
            <w:tcW w:w="195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4BD400"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b/>
                <w:bCs/>
                <w:sz w:val="20"/>
                <w:szCs w:val="20"/>
              </w:rPr>
            </w:pPr>
            <w:r w:rsidRPr="00731FE2">
              <w:rPr>
                <w:b/>
                <w:bCs/>
                <w:sz w:val="20"/>
                <w:szCs w:val="20"/>
              </w:rPr>
              <w:t>565,74</w:t>
            </w:r>
          </w:p>
        </w:tc>
        <w:tc>
          <w:tcPr>
            <w:tcW w:w="29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10BFF2"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b/>
                <w:bCs/>
                <w:sz w:val="20"/>
                <w:szCs w:val="20"/>
              </w:rPr>
            </w:pPr>
            <w:r w:rsidRPr="00731FE2">
              <w:rPr>
                <w:b/>
                <w:bCs/>
                <w:sz w:val="20"/>
                <w:szCs w:val="20"/>
              </w:rPr>
              <w:t>141,2</w:t>
            </w:r>
          </w:p>
        </w:tc>
        <w:tc>
          <w:tcPr>
            <w:tcW w:w="18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A06661"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b/>
                <w:bCs/>
                <w:sz w:val="20"/>
                <w:szCs w:val="20"/>
              </w:rPr>
            </w:pPr>
            <w:r w:rsidRPr="00731FE2">
              <w:rPr>
                <w:b/>
                <w:bCs/>
                <w:sz w:val="20"/>
                <w:szCs w:val="20"/>
              </w:rPr>
              <w:t>706,94</w:t>
            </w:r>
          </w:p>
        </w:tc>
      </w:tr>
    </w:tbl>
    <w:p w14:paraId="031587E6" w14:textId="77777777" w:rsidR="00171AA8" w:rsidRPr="00731FE2" w:rsidRDefault="00171AA8">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p>
    <w:p w14:paraId="6C0B3FFE"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Прокладка распределительных газопроводов выполнена надземно (53%) и подземно (47%).</w:t>
      </w:r>
      <w:r w:rsidR="008B0AA2" w:rsidRPr="00731FE2">
        <w:rPr>
          <w:rFonts w:ascii="Times New Roman" w:hAnsi="Times New Roman" w:cs="Times New Roman"/>
          <w:color w:val="000000" w:themeColor="text1"/>
        </w:rPr>
        <w:t xml:space="preserve"> </w:t>
      </w:r>
      <w:r w:rsidRPr="00731FE2">
        <w:rPr>
          <w:rFonts w:ascii="Times New Roman" w:hAnsi="Times New Roman" w:cs="Times New Roman"/>
          <w:color w:val="000000" w:themeColor="text1"/>
        </w:rPr>
        <w:t xml:space="preserve">В соответствии со сведениями ресурсоснабжающей организации, дефицитов газового топлива на территории городского округа города-курорта Кисловодска не наблюдается. Пропускная способность существующих </w:t>
      </w:r>
      <w:r w:rsidRPr="00731FE2">
        <w:rPr>
          <w:rFonts w:ascii="Times New Roman" w:hAnsi="Times New Roman" w:cs="Times New Roman"/>
          <w:color w:val="000000" w:themeColor="text1"/>
        </w:rPr>
        <w:lastRenderedPageBreak/>
        <w:t>распределительных газопроводов позволяет в полном объеме удовлетворить потребность абонентов всех категорий.</w:t>
      </w:r>
    </w:p>
    <w:p w14:paraId="06A2F162"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Основными потребителями газа являются промышленные предприятия (порядка 63% от общей реализации) и коммунально-бытовые потребители – жилая и санаторно-курортная застройка.</w:t>
      </w:r>
    </w:p>
    <w:p w14:paraId="3412FB9E"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Потребителями природного газа являются 20 котельных, 26 крупных промышленных предприятий, в том числе 1 ТЭЦ, 14 предприятий производящих пищевую продукцию и 604 объекта коммунально-бытового назначения. Общее количество газифицированных квартир составляет 38081 ед.</w:t>
      </w:r>
      <w:r w:rsidRPr="00731FE2">
        <w:rPr>
          <w:rStyle w:val="afb"/>
          <w:vertAlign w:val="superscript"/>
        </w:rPr>
        <w:footnoteReference w:id="83"/>
      </w:r>
    </w:p>
    <w:p w14:paraId="574BAD05"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b/>
          <w:bCs/>
          <w:color w:val="000000" w:themeColor="text1"/>
        </w:rPr>
      </w:pPr>
      <w:r w:rsidRPr="00731FE2">
        <w:rPr>
          <w:rFonts w:ascii="Times New Roman" w:hAnsi="Times New Roman" w:cs="Times New Roman"/>
          <w:b/>
          <w:bCs/>
          <w:color w:val="000000" w:themeColor="text1"/>
        </w:rPr>
        <w:t xml:space="preserve">Система газоснабжения городского округа город-курорт Кисловодск насчитывает более 50 лет эксплуатации. На момент разработки проекта Генерального плана городского округа некоторые газопроводы и ГРП отслужили свой нормативный срок эксплуатации и требуют замены. </w:t>
      </w:r>
    </w:p>
    <w:p w14:paraId="0D3983BE"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b/>
          <w:bCs/>
          <w:color w:val="000000" w:themeColor="text1"/>
        </w:rPr>
      </w:pPr>
      <w:r w:rsidRPr="00731FE2">
        <w:rPr>
          <w:rFonts w:ascii="Times New Roman" w:hAnsi="Times New Roman" w:cs="Times New Roman"/>
          <w:b/>
          <w:bCs/>
          <w:color w:val="000000" w:themeColor="text1"/>
        </w:rPr>
        <w:t xml:space="preserve">Расчетная пропускная способность существующих газопроводов способна обеспечить перспективных потребителей газового ресурса в полном объеме. Но требуется частичная замена выработавших эксплуатационный ресурс распределительных сетей. </w:t>
      </w:r>
    </w:p>
    <w:p w14:paraId="727FCB37"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b/>
          <w:bCs/>
          <w:color w:val="000000" w:themeColor="text1"/>
        </w:rPr>
      </w:pPr>
      <w:r w:rsidRPr="00731FE2">
        <w:rPr>
          <w:rFonts w:ascii="Times New Roman" w:hAnsi="Times New Roman" w:cs="Times New Roman"/>
          <w:b/>
          <w:bCs/>
          <w:color w:val="000000" w:themeColor="text1"/>
        </w:rPr>
        <w:t>Для газоснабжения перспективных потребителей новых кварталов и микрорайонов в отдельных округах города-курорта возникает необходимость в строительстве новых ГРП и газопроводов среднего и низкого давлений.</w:t>
      </w:r>
    </w:p>
    <w:p w14:paraId="2BA3E9DA" w14:textId="77777777" w:rsidR="00171AA8" w:rsidRPr="00731FE2" w:rsidRDefault="007935AB">
      <w:pPr>
        <w:pStyle w:val="33"/>
        <w:rPr>
          <w:rFonts w:ascii="Times New Roman" w:hAnsi="Times New Roman" w:cs="Times New Roman"/>
        </w:rPr>
      </w:pPr>
      <w:bookmarkStart w:id="53" w:name="_Toc177392804"/>
      <w:r w:rsidRPr="00731FE2">
        <w:rPr>
          <w:rFonts w:ascii="Times New Roman" w:hAnsi="Times New Roman" w:cs="Times New Roman"/>
        </w:rPr>
        <w:t>2.11.5 Система обращения с твердыми коммунальными отходами (ТКО)</w:t>
      </w:r>
      <w:bookmarkEnd w:id="53"/>
      <w:r w:rsidRPr="00731FE2">
        <w:rPr>
          <w:rFonts w:ascii="Times New Roman" w:hAnsi="Times New Roman" w:cs="Times New Roman"/>
        </w:rPr>
        <w:t xml:space="preserve"> </w:t>
      </w:r>
    </w:p>
    <w:p w14:paraId="4A4F2730"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xml:space="preserve">При подготовке настоящего </w:t>
      </w:r>
      <w:proofErr w:type="gramStart"/>
      <w:r w:rsidRPr="00731FE2">
        <w:rPr>
          <w:rFonts w:ascii="Times New Roman" w:hAnsi="Times New Roman" w:cs="Times New Roman"/>
          <w:color w:val="000000" w:themeColor="text1"/>
        </w:rPr>
        <w:t>раздела проекта генерального плана городского округа города-курорта Кисловодска</w:t>
      </w:r>
      <w:proofErr w:type="gramEnd"/>
      <w:r w:rsidRPr="00731FE2">
        <w:rPr>
          <w:rFonts w:ascii="Times New Roman" w:hAnsi="Times New Roman" w:cs="Times New Roman"/>
          <w:color w:val="000000" w:themeColor="text1"/>
        </w:rPr>
        <w:t xml:space="preserve"> были использованы следующие материалы:</w:t>
      </w:r>
    </w:p>
    <w:p w14:paraId="599F31DB" w14:textId="0D6099B6" w:rsidR="00171AA8" w:rsidRPr="00731FE2" w:rsidRDefault="00D6507B" w:rsidP="007030E6">
      <w:pPr>
        <w:pStyle w:val="a3"/>
        <w:numPr>
          <w:ilvl w:val="0"/>
          <w:numId w:val="30"/>
        </w:numPr>
        <w:pBdr>
          <w:top w:val="none" w:sz="4" w:space="0" w:color="000000"/>
          <w:left w:val="none" w:sz="4" w:space="0" w:color="000000"/>
          <w:bottom w:val="none" w:sz="4" w:space="0" w:color="000000"/>
          <w:right w:val="none" w:sz="4" w:space="0" w:color="000000"/>
        </w:pBdr>
        <w:tabs>
          <w:tab w:val="left" w:pos="992"/>
        </w:tabs>
        <w:ind w:left="0" w:firstLine="709"/>
        <w:rPr>
          <w:rFonts w:ascii="Times New Roman" w:hAnsi="Times New Roman" w:cs="Times New Roman"/>
          <w:color w:val="000000" w:themeColor="text1"/>
        </w:rPr>
      </w:pPr>
      <w:r w:rsidRPr="00731FE2">
        <w:rPr>
          <w:rFonts w:ascii="Times New Roman" w:hAnsi="Times New Roman" w:cs="Times New Roman"/>
          <w:color w:val="000000" w:themeColor="text1"/>
        </w:rPr>
        <w:t xml:space="preserve">постановление Правительства Ставропольского края N 408-п от 22 сентября 2016 года </w:t>
      </w:r>
      <w:r w:rsidR="007935AB" w:rsidRPr="00731FE2">
        <w:rPr>
          <w:rFonts w:ascii="Times New Roman" w:hAnsi="Times New Roman" w:cs="Times New Roman"/>
          <w:color w:val="000000" w:themeColor="text1"/>
        </w:rPr>
        <w:t>«</w:t>
      </w:r>
      <w:r w:rsidRPr="00731FE2">
        <w:rPr>
          <w:rFonts w:ascii="Times New Roman" w:hAnsi="Times New Roman" w:cs="Times New Roman"/>
          <w:color w:val="000000" w:themeColor="text1"/>
        </w:rPr>
        <w:t>Об утверждении т</w:t>
      </w:r>
      <w:r w:rsidR="007935AB" w:rsidRPr="00731FE2">
        <w:rPr>
          <w:rFonts w:ascii="Times New Roman" w:hAnsi="Times New Roman" w:cs="Times New Roman"/>
          <w:color w:val="000000" w:themeColor="text1"/>
        </w:rPr>
        <w:t>ерриториальн</w:t>
      </w:r>
      <w:r w:rsidRPr="00731FE2">
        <w:rPr>
          <w:rFonts w:ascii="Times New Roman" w:hAnsi="Times New Roman" w:cs="Times New Roman"/>
          <w:color w:val="000000" w:themeColor="text1"/>
        </w:rPr>
        <w:t>ой</w:t>
      </w:r>
      <w:r w:rsidR="007935AB" w:rsidRPr="00731FE2">
        <w:rPr>
          <w:rFonts w:ascii="Times New Roman" w:hAnsi="Times New Roman" w:cs="Times New Roman"/>
          <w:color w:val="000000" w:themeColor="text1"/>
        </w:rPr>
        <w:t xml:space="preserve"> схем</w:t>
      </w:r>
      <w:r w:rsidRPr="00731FE2">
        <w:rPr>
          <w:rFonts w:ascii="Times New Roman" w:hAnsi="Times New Roman" w:cs="Times New Roman"/>
          <w:color w:val="000000" w:themeColor="text1"/>
        </w:rPr>
        <w:t xml:space="preserve">ы обращения с отходами </w:t>
      </w:r>
      <w:r w:rsidR="007935AB" w:rsidRPr="00731FE2">
        <w:rPr>
          <w:rFonts w:ascii="Times New Roman" w:hAnsi="Times New Roman" w:cs="Times New Roman"/>
          <w:color w:val="000000" w:themeColor="text1"/>
        </w:rPr>
        <w:t>в Ставропольском крае</w:t>
      </w:r>
      <w:r w:rsidRPr="00731FE2">
        <w:rPr>
          <w:rFonts w:ascii="Times New Roman" w:hAnsi="Times New Roman" w:cs="Times New Roman"/>
          <w:color w:val="000000" w:themeColor="text1"/>
        </w:rPr>
        <w:t>»</w:t>
      </w:r>
      <w:r w:rsidR="007935AB" w:rsidRPr="00731FE2">
        <w:rPr>
          <w:rFonts w:ascii="Times New Roman" w:hAnsi="Times New Roman" w:cs="Times New Roman"/>
          <w:color w:val="000000" w:themeColor="text1"/>
        </w:rPr>
        <w:t>;</w:t>
      </w:r>
    </w:p>
    <w:p w14:paraId="4B487B18" w14:textId="77777777" w:rsidR="00171AA8" w:rsidRPr="00731FE2" w:rsidRDefault="008B0AA2">
      <w:pPr>
        <w:pStyle w:val="a3"/>
        <w:numPr>
          <w:ilvl w:val="0"/>
          <w:numId w:val="30"/>
        </w:numPr>
        <w:pBdr>
          <w:top w:val="none" w:sz="4" w:space="0" w:color="000000"/>
          <w:left w:val="none" w:sz="4" w:space="0" w:color="000000"/>
          <w:bottom w:val="none" w:sz="4" w:space="0" w:color="000000"/>
          <w:right w:val="none" w:sz="4" w:space="0" w:color="000000"/>
        </w:pBdr>
        <w:tabs>
          <w:tab w:val="left" w:pos="992"/>
        </w:tabs>
        <w:ind w:left="0" w:firstLine="709"/>
        <w:rPr>
          <w:rFonts w:ascii="Times New Roman" w:hAnsi="Times New Roman" w:cs="Times New Roman"/>
          <w:color w:val="000000" w:themeColor="text1"/>
        </w:rPr>
      </w:pPr>
      <w:r w:rsidRPr="00731FE2">
        <w:rPr>
          <w:rFonts w:ascii="Times New Roman" w:hAnsi="Times New Roman" w:cs="Times New Roman"/>
          <w:color w:val="000000" w:themeColor="text1"/>
        </w:rPr>
        <w:t xml:space="preserve"> </w:t>
      </w:r>
      <w:r w:rsidR="007935AB" w:rsidRPr="00731FE2">
        <w:rPr>
          <w:rFonts w:ascii="Times New Roman" w:hAnsi="Times New Roman" w:cs="Times New Roman"/>
          <w:color w:val="000000" w:themeColor="text1"/>
        </w:rPr>
        <w:t>«Правила благоустройства и обеспечения чистоты в городском округе городе-курорте Кисловодске»</w:t>
      </w:r>
      <w:r w:rsidR="007935AB" w:rsidRPr="00731FE2">
        <w:rPr>
          <w:rFonts w:ascii="Times New Roman" w:hAnsi="Times New Roman" w:cs="Times New Roman"/>
          <w:color w:val="000000" w:themeColor="text1"/>
          <w:vertAlign w:val="superscript"/>
        </w:rPr>
        <w:footnoteReference w:id="84"/>
      </w:r>
      <w:r w:rsidR="007935AB" w:rsidRPr="00731FE2">
        <w:rPr>
          <w:rFonts w:ascii="Times New Roman" w:hAnsi="Times New Roman" w:cs="Times New Roman"/>
          <w:color w:val="000000" w:themeColor="text1"/>
        </w:rPr>
        <w:t>.</w:t>
      </w:r>
    </w:p>
    <w:p w14:paraId="36A72E12"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Твердые коммунальные отходы – это отходы, образующиеся в жилых помещениях в процессе потребления физическими лицами, а также товары, утратившие свои потребительские свойства в процессе их использования физическими лицами в жилых помещениях в целях удовлетворения личных и бытовых нужд. К ТКО также относятся отходы, образующиеся в процессе деятельности юридических лиц, индивидуальных предпринимателей и подобные по составу отходам, образующимся в жилых помещениях в процессе потребления физическими лицами.</w:t>
      </w:r>
    </w:p>
    <w:p w14:paraId="469F4706"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Источниками образования ТКО на территории городского округа города-курорта Кисловодска являются:</w:t>
      </w:r>
    </w:p>
    <w:p w14:paraId="67748CE4" w14:textId="77777777" w:rsidR="00171AA8" w:rsidRPr="00731FE2" w:rsidRDefault="007935AB">
      <w:pPr>
        <w:pStyle w:val="a3"/>
        <w:numPr>
          <w:ilvl w:val="0"/>
          <w:numId w:val="30"/>
        </w:numPr>
        <w:pBdr>
          <w:top w:val="none" w:sz="4" w:space="0" w:color="000000"/>
          <w:left w:val="none" w:sz="4" w:space="0" w:color="000000"/>
          <w:bottom w:val="none" w:sz="4" w:space="0" w:color="000000"/>
          <w:right w:val="none" w:sz="4" w:space="0" w:color="000000"/>
        </w:pBdr>
        <w:tabs>
          <w:tab w:val="left" w:pos="992"/>
        </w:tabs>
        <w:ind w:left="0" w:firstLine="709"/>
        <w:rPr>
          <w:rFonts w:ascii="Times New Roman" w:hAnsi="Times New Roman" w:cs="Times New Roman"/>
          <w:color w:val="000000" w:themeColor="text1"/>
        </w:rPr>
      </w:pPr>
      <w:r w:rsidRPr="00731FE2">
        <w:rPr>
          <w:rFonts w:ascii="Times New Roman" w:hAnsi="Times New Roman" w:cs="Times New Roman"/>
          <w:color w:val="000000" w:themeColor="text1"/>
        </w:rPr>
        <w:t>жилой фонд;</w:t>
      </w:r>
    </w:p>
    <w:p w14:paraId="7D4DED40" w14:textId="77777777" w:rsidR="00171AA8" w:rsidRPr="00731FE2" w:rsidRDefault="007935AB">
      <w:pPr>
        <w:pStyle w:val="a3"/>
        <w:numPr>
          <w:ilvl w:val="0"/>
          <w:numId w:val="30"/>
        </w:numPr>
        <w:pBdr>
          <w:top w:val="none" w:sz="4" w:space="0" w:color="000000"/>
          <w:left w:val="none" w:sz="4" w:space="0" w:color="000000"/>
          <w:bottom w:val="none" w:sz="4" w:space="0" w:color="000000"/>
          <w:right w:val="none" w:sz="4" w:space="0" w:color="000000"/>
        </w:pBdr>
        <w:tabs>
          <w:tab w:val="left" w:pos="992"/>
        </w:tabs>
        <w:ind w:left="0" w:firstLine="709"/>
        <w:rPr>
          <w:rFonts w:ascii="Times New Roman" w:hAnsi="Times New Roman" w:cs="Times New Roman"/>
          <w:color w:val="000000" w:themeColor="text1"/>
        </w:rPr>
      </w:pPr>
      <w:r w:rsidRPr="00731FE2">
        <w:rPr>
          <w:rFonts w:ascii="Times New Roman" w:hAnsi="Times New Roman" w:cs="Times New Roman"/>
          <w:color w:val="000000" w:themeColor="text1"/>
        </w:rPr>
        <w:t>санатории и пансионаты;</w:t>
      </w:r>
    </w:p>
    <w:p w14:paraId="3193BC11" w14:textId="77777777" w:rsidR="00171AA8" w:rsidRPr="00731FE2" w:rsidRDefault="007935AB">
      <w:pPr>
        <w:pStyle w:val="a3"/>
        <w:numPr>
          <w:ilvl w:val="0"/>
          <w:numId w:val="30"/>
        </w:numPr>
        <w:pBdr>
          <w:top w:val="none" w:sz="4" w:space="0" w:color="000000"/>
          <w:left w:val="none" w:sz="4" w:space="0" w:color="000000"/>
          <w:bottom w:val="none" w:sz="4" w:space="0" w:color="000000"/>
          <w:right w:val="none" w:sz="4" w:space="0" w:color="000000"/>
        </w:pBdr>
        <w:tabs>
          <w:tab w:val="left" w:pos="992"/>
        </w:tabs>
        <w:ind w:left="0" w:firstLine="709"/>
        <w:rPr>
          <w:rFonts w:ascii="Times New Roman" w:hAnsi="Times New Roman" w:cs="Times New Roman"/>
          <w:color w:val="000000" w:themeColor="text1"/>
        </w:rPr>
      </w:pPr>
      <w:r w:rsidRPr="00731FE2">
        <w:rPr>
          <w:rFonts w:ascii="Times New Roman" w:hAnsi="Times New Roman" w:cs="Times New Roman"/>
          <w:color w:val="000000" w:themeColor="text1"/>
        </w:rPr>
        <w:t>объекты социального назначения;</w:t>
      </w:r>
    </w:p>
    <w:p w14:paraId="0BA2AFEC" w14:textId="77777777" w:rsidR="00171AA8" w:rsidRPr="00731FE2" w:rsidRDefault="007935AB">
      <w:pPr>
        <w:pStyle w:val="a3"/>
        <w:numPr>
          <w:ilvl w:val="0"/>
          <w:numId w:val="30"/>
        </w:numPr>
        <w:pBdr>
          <w:top w:val="none" w:sz="4" w:space="0" w:color="000000"/>
          <w:left w:val="none" w:sz="4" w:space="0" w:color="000000"/>
          <w:bottom w:val="none" w:sz="4" w:space="0" w:color="000000"/>
          <w:right w:val="none" w:sz="4" w:space="0" w:color="000000"/>
        </w:pBdr>
        <w:tabs>
          <w:tab w:val="left" w:pos="992"/>
        </w:tabs>
        <w:ind w:left="0" w:firstLine="709"/>
        <w:rPr>
          <w:rFonts w:ascii="Times New Roman" w:hAnsi="Times New Roman" w:cs="Times New Roman"/>
          <w:color w:val="000000" w:themeColor="text1"/>
        </w:rPr>
      </w:pPr>
      <w:r w:rsidRPr="00731FE2">
        <w:rPr>
          <w:rFonts w:ascii="Times New Roman" w:hAnsi="Times New Roman" w:cs="Times New Roman"/>
          <w:color w:val="000000" w:themeColor="text1"/>
        </w:rPr>
        <w:t>промышленные и производственные предприятия (отходы 4-5 классов опасности).</w:t>
      </w:r>
    </w:p>
    <w:p w14:paraId="7B4398BE"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lastRenderedPageBreak/>
        <w:t>Опасные промышленные отходы (1-3 классов опасности) размещаются на территории предприятий и передаются специализированным организациям:</w:t>
      </w:r>
    </w:p>
    <w:p w14:paraId="6B47B113" w14:textId="77777777" w:rsidR="00171AA8" w:rsidRPr="00731FE2" w:rsidRDefault="007935AB" w:rsidP="007832E7">
      <w:pPr>
        <w:pStyle w:val="a3"/>
        <w:numPr>
          <w:ilvl w:val="0"/>
          <w:numId w:val="51"/>
        </w:numPr>
        <w:pBdr>
          <w:top w:val="none" w:sz="4" w:space="0" w:color="000000"/>
          <w:left w:val="none" w:sz="4" w:space="0" w:color="000000"/>
          <w:bottom w:val="none" w:sz="4" w:space="0" w:color="000000"/>
          <w:right w:val="none" w:sz="4" w:space="0" w:color="000000"/>
        </w:pBdr>
        <w:tabs>
          <w:tab w:val="left" w:pos="992"/>
        </w:tabs>
        <w:ind w:left="0" w:firstLine="709"/>
      </w:pPr>
      <w:r w:rsidRPr="00731FE2">
        <w:rPr>
          <w:rFonts w:ascii="Times New Roman" w:hAnsi="Times New Roman" w:cs="Times New Roman"/>
          <w:color w:val="000000" w:themeColor="text1"/>
        </w:rPr>
        <w:t>ФГУП «Центр дезинфекции в Ставропольском крае», г. Ессентуки;</w:t>
      </w:r>
    </w:p>
    <w:p w14:paraId="38611014" w14:textId="77777777" w:rsidR="00171AA8" w:rsidRPr="00731FE2" w:rsidRDefault="007935AB" w:rsidP="007832E7">
      <w:pPr>
        <w:pStyle w:val="a3"/>
        <w:numPr>
          <w:ilvl w:val="0"/>
          <w:numId w:val="51"/>
        </w:numPr>
        <w:pBdr>
          <w:top w:val="none" w:sz="4" w:space="0" w:color="000000"/>
          <w:left w:val="none" w:sz="4" w:space="0" w:color="000000"/>
          <w:bottom w:val="none" w:sz="4" w:space="0" w:color="000000"/>
          <w:right w:val="none" w:sz="4" w:space="0" w:color="000000"/>
        </w:pBdr>
        <w:tabs>
          <w:tab w:val="left" w:pos="992"/>
        </w:tabs>
        <w:ind w:left="0" w:firstLine="709"/>
      </w:pPr>
      <w:r w:rsidRPr="00731FE2">
        <w:rPr>
          <w:rFonts w:ascii="Times New Roman" w:hAnsi="Times New Roman" w:cs="Times New Roman"/>
          <w:color w:val="000000" w:themeColor="text1"/>
        </w:rPr>
        <w:t>ООО «Шалфей» (специализированное предприятие по термической утилизации медицинских и ветеринарных отходов), п. Иноземцево.</w:t>
      </w:r>
    </w:p>
    <w:p w14:paraId="7EB29193"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Промышленные отходы 4-5 классов складируются совместно с бытовыми отходами.</w:t>
      </w:r>
      <w:r w:rsidR="008B0AA2" w:rsidRPr="00731FE2">
        <w:rPr>
          <w:rFonts w:ascii="Times New Roman" w:hAnsi="Times New Roman" w:cs="Times New Roman"/>
          <w:color w:val="000000" w:themeColor="text1"/>
        </w:rPr>
        <w:t xml:space="preserve"> </w:t>
      </w:r>
      <w:r w:rsidRPr="00731FE2">
        <w:rPr>
          <w:rFonts w:ascii="Times New Roman" w:hAnsi="Times New Roman" w:cs="Times New Roman"/>
          <w:color w:val="000000" w:themeColor="text1"/>
        </w:rPr>
        <w:t xml:space="preserve">Порядок сбора бытовых отходов осуществляется двумя способами: с использованием контейнеров и бункеров, а также бестарным позвонковым методом, предусматривающим сбор отходов от населения частного сектора в контейнеры мусоровозов со специально оборудованным ковшом. </w:t>
      </w:r>
    </w:p>
    <w:p w14:paraId="2387AB17"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На большей части жилого фонда предусмотрена контейнерная система сбора ТКО. Для сбора отходов применяются, в основном, стандартные контейнеры объемом 0,75 м</w:t>
      </w:r>
      <w:r w:rsidRPr="00731FE2">
        <w:rPr>
          <w:rFonts w:ascii="Times New Roman" w:hAnsi="Times New Roman" w:cs="Times New Roman"/>
          <w:color w:val="000000" w:themeColor="text1"/>
          <w:vertAlign w:val="superscript"/>
        </w:rPr>
        <w:t>3</w:t>
      </w:r>
      <w:r w:rsidRPr="00731FE2">
        <w:rPr>
          <w:rFonts w:ascii="Times New Roman" w:hAnsi="Times New Roman" w:cs="Times New Roman"/>
          <w:color w:val="000000" w:themeColor="text1"/>
        </w:rPr>
        <w:t>, установленные на контейнерных площадках. На территории округа – более 1100 контейнеров. Большинство контейнеров требует замены. Контейнерные площадки в большинстве случаев не соответствуют современным требованиям, единые архитектурные формы контейнерных площадок отсутствуют.</w:t>
      </w:r>
      <w:r w:rsidR="008B0AA2" w:rsidRPr="00731FE2">
        <w:rPr>
          <w:rFonts w:ascii="Times New Roman" w:hAnsi="Times New Roman" w:cs="Times New Roman"/>
          <w:color w:val="000000" w:themeColor="text1"/>
        </w:rPr>
        <w:t xml:space="preserve"> </w:t>
      </w:r>
      <w:r w:rsidRPr="00731FE2">
        <w:rPr>
          <w:rFonts w:ascii="Times New Roman" w:hAnsi="Times New Roman" w:cs="Times New Roman"/>
          <w:color w:val="000000" w:themeColor="text1"/>
        </w:rPr>
        <w:t xml:space="preserve">Сбор и удаление отходов в городе осуществляется по плановой регулярной системе в сроки, предусмотренные санитарными правилами, по утвержденным маршрутным графикам. </w:t>
      </w:r>
    </w:p>
    <w:p w14:paraId="26BB6068"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В 2022 г. вывезено 62,33 тыс. т твердых коммунальных отходов (таблица).</w:t>
      </w:r>
      <w:r w:rsidRPr="00731FE2">
        <w:rPr>
          <w:rFonts w:ascii="Times New Roman" w:hAnsi="Times New Roman" w:cs="Times New Roman"/>
          <w:color w:val="000000" w:themeColor="text1"/>
          <w:vertAlign w:val="superscript"/>
        </w:rPr>
        <w:t xml:space="preserve"> </w:t>
      </w:r>
      <w:r w:rsidRPr="00731FE2">
        <w:rPr>
          <w:rFonts w:ascii="Times New Roman" w:hAnsi="Times New Roman" w:cs="Times New Roman"/>
          <w:color w:val="000000" w:themeColor="text1"/>
        </w:rPr>
        <w:t xml:space="preserve">Большая часть отходов размещается на полигонах. </w:t>
      </w:r>
    </w:p>
    <w:p w14:paraId="7D6E4175" w14:textId="77777777" w:rsidR="00171AA8" w:rsidRPr="00731FE2" w:rsidRDefault="00171AA8">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p>
    <w:p w14:paraId="09D210E1" w14:textId="77777777" w:rsidR="00171AA8" w:rsidRPr="00731FE2" w:rsidRDefault="007935AB">
      <w:pPr>
        <w:pStyle w:val="af3"/>
        <w:rPr>
          <w:sz w:val="24"/>
          <w:szCs w:val="24"/>
        </w:rPr>
      </w:pPr>
      <w:r w:rsidRPr="00731FE2">
        <w:rPr>
          <w:sz w:val="24"/>
          <w:szCs w:val="24"/>
        </w:rPr>
        <w:t xml:space="preserve">Таблица </w:t>
      </w:r>
      <w:r w:rsidR="00D97880" w:rsidRPr="00731FE2">
        <w:rPr>
          <w:noProof/>
          <w:sz w:val="24"/>
          <w:szCs w:val="24"/>
        </w:rPr>
        <w:fldChar w:fldCharType="begin"/>
      </w:r>
      <w:r w:rsidR="00D97880" w:rsidRPr="00731FE2">
        <w:rPr>
          <w:noProof/>
          <w:sz w:val="24"/>
          <w:szCs w:val="24"/>
        </w:rPr>
        <w:instrText xml:space="preserve"> SEQ Таблица \* Arabic </w:instrText>
      </w:r>
      <w:r w:rsidR="00D97880" w:rsidRPr="00731FE2">
        <w:rPr>
          <w:noProof/>
          <w:sz w:val="24"/>
          <w:szCs w:val="24"/>
        </w:rPr>
        <w:fldChar w:fldCharType="separate"/>
      </w:r>
      <w:r w:rsidR="00C50915" w:rsidRPr="00731FE2">
        <w:rPr>
          <w:noProof/>
          <w:sz w:val="24"/>
          <w:szCs w:val="24"/>
        </w:rPr>
        <w:t>43</w:t>
      </w:r>
      <w:r w:rsidR="00D97880" w:rsidRPr="00731FE2">
        <w:rPr>
          <w:noProof/>
          <w:sz w:val="24"/>
          <w:szCs w:val="24"/>
        </w:rPr>
        <w:fldChar w:fldCharType="end"/>
      </w:r>
      <w:r w:rsidRPr="00731FE2">
        <w:rPr>
          <w:sz w:val="24"/>
          <w:szCs w:val="24"/>
        </w:rPr>
        <w:t xml:space="preserve"> – Характеристика системы сбора ТКО на территории городского округа города-курорта Кисловодска, 2020-2022 гг.</w:t>
      </w:r>
      <w:r w:rsidRPr="00731FE2">
        <w:rPr>
          <w:rStyle w:val="afb"/>
          <w:sz w:val="24"/>
          <w:szCs w:val="24"/>
          <w:vertAlign w:val="superscript"/>
        </w:rPr>
        <w:footnoteReference w:id="85"/>
      </w:r>
    </w:p>
    <w:tbl>
      <w:tblPr>
        <w:tblStyle w:val="afe"/>
        <w:tblW w:w="0" w:type="auto"/>
        <w:tblLayout w:type="fixed"/>
        <w:tblLook w:val="04A0" w:firstRow="1" w:lastRow="0" w:firstColumn="1" w:lastColumn="0" w:noHBand="0" w:noVBand="1"/>
      </w:tblPr>
      <w:tblGrid>
        <w:gridCol w:w="681"/>
        <w:gridCol w:w="4280"/>
        <w:gridCol w:w="1559"/>
        <w:gridCol w:w="1417"/>
        <w:gridCol w:w="1424"/>
      </w:tblGrid>
      <w:tr w:rsidR="00171AA8" w:rsidRPr="00731FE2" w14:paraId="52E25EE3" w14:textId="77777777">
        <w:trPr>
          <w:trHeight w:val="415"/>
        </w:trPr>
        <w:tc>
          <w:tcPr>
            <w:tcW w:w="681" w:type="dxa"/>
            <w:vAlign w:val="center"/>
          </w:tcPr>
          <w:p w14:paraId="5ADE4674"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pPr>
            <w:r w:rsidRPr="00731FE2">
              <w:t xml:space="preserve">№ </w:t>
            </w:r>
            <w:proofErr w:type="gramStart"/>
            <w:r w:rsidRPr="00731FE2">
              <w:t>п</w:t>
            </w:r>
            <w:proofErr w:type="gramEnd"/>
            <w:r w:rsidRPr="00731FE2">
              <w:t>/п</w:t>
            </w:r>
          </w:p>
        </w:tc>
        <w:tc>
          <w:tcPr>
            <w:tcW w:w="4280" w:type="dxa"/>
            <w:vAlign w:val="center"/>
          </w:tcPr>
          <w:p w14:paraId="1C41AB42"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pPr>
            <w:r w:rsidRPr="00731FE2">
              <w:t>Показатель</w:t>
            </w:r>
          </w:p>
        </w:tc>
        <w:tc>
          <w:tcPr>
            <w:tcW w:w="1559" w:type="dxa"/>
            <w:vAlign w:val="center"/>
          </w:tcPr>
          <w:p w14:paraId="1E53B1A9"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pPr>
            <w:r w:rsidRPr="00731FE2">
              <w:t>2020</w:t>
            </w:r>
          </w:p>
        </w:tc>
        <w:tc>
          <w:tcPr>
            <w:tcW w:w="1417" w:type="dxa"/>
            <w:vAlign w:val="center"/>
          </w:tcPr>
          <w:p w14:paraId="0BD35A18"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pPr>
            <w:r w:rsidRPr="00731FE2">
              <w:t>2021</w:t>
            </w:r>
          </w:p>
        </w:tc>
        <w:tc>
          <w:tcPr>
            <w:tcW w:w="1424" w:type="dxa"/>
            <w:vAlign w:val="center"/>
          </w:tcPr>
          <w:p w14:paraId="4633F8F3" w14:textId="77777777" w:rsidR="00171AA8" w:rsidRPr="00731FE2" w:rsidRDefault="007935AB">
            <w:pPr>
              <w:pStyle w:val="af3"/>
              <w:jc w:val="center"/>
            </w:pPr>
            <w:r w:rsidRPr="00731FE2">
              <w:t>2022</w:t>
            </w:r>
          </w:p>
        </w:tc>
      </w:tr>
      <w:tr w:rsidR="00171AA8" w:rsidRPr="00731FE2" w14:paraId="3C5C2CE4" w14:textId="77777777">
        <w:trPr>
          <w:trHeight w:val="255"/>
        </w:trPr>
        <w:tc>
          <w:tcPr>
            <w:tcW w:w="681" w:type="dxa"/>
            <w:vAlign w:val="center"/>
          </w:tcPr>
          <w:p w14:paraId="515F17C9" w14:textId="77777777" w:rsidR="00171AA8" w:rsidRPr="00731FE2" w:rsidRDefault="00171AA8">
            <w:pPr>
              <w:pStyle w:val="af3"/>
              <w:numPr>
                <w:ilvl w:val="0"/>
                <w:numId w:val="31"/>
              </w:numPr>
              <w:pBdr>
                <w:top w:val="none" w:sz="4" w:space="0" w:color="000000"/>
                <w:left w:val="none" w:sz="4" w:space="0" w:color="000000"/>
                <w:bottom w:val="none" w:sz="4" w:space="0" w:color="000000"/>
                <w:right w:val="none" w:sz="4" w:space="0" w:color="000000"/>
              </w:pBdr>
              <w:rPr>
                <w:b w:val="0"/>
                <w:bCs w:val="0"/>
              </w:rPr>
            </w:pPr>
          </w:p>
        </w:tc>
        <w:tc>
          <w:tcPr>
            <w:tcW w:w="4280" w:type="dxa"/>
            <w:vAlign w:val="center"/>
          </w:tcPr>
          <w:p w14:paraId="48205462"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left"/>
              <w:rPr>
                <w:b w:val="0"/>
                <w:bCs w:val="0"/>
              </w:rPr>
            </w:pPr>
            <w:r w:rsidRPr="00731FE2">
              <w:rPr>
                <w:b w:val="0"/>
                <w:bCs w:val="0"/>
              </w:rPr>
              <w:t>Вывезено за год твердых бытовых отходов, тыс.  м</w:t>
            </w:r>
            <w:r w:rsidRPr="00731FE2">
              <w:rPr>
                <w:b w:val="0"/>
                <w:bCs w:val="0"/>
                <w:vertAlign w:val="superscript"/>
              </w:rPr>
              <w:t>3</w:t>
            </w:r>
          </w:p>
        </w:tc>
        <w:tc>
          <w:tcPr>
            <w:tcW w:w="1559" w:type="dxa"/>
            <w:vAlign w:val="center"/>
          </w:tcPr>
          <w:p w14:paraId="1B520FB1"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b w:val="0"/>
                <w:bCs w:val="0"/>
              </w:rPr>
            </w:pPr>
            <w:r w:rsidRPr="00731FE2">
              <w:rPr>
                <w:b w:val="0"/>
                <w:bCs w:val="0"/>
              </w:rPr>
              <w:t>413,50</w:t>
            </w:r>
          </w:p>
        </w:tc>
        <w:tc>
          <w:tcPr>
            <w:tcW w:w="1417" w:type="dxa"/>
            <w:vAlign w:val="center"/>
          </w:tcPr>
          <w:p w14:paraId="3630B5D8"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b w:val="0"/>
                <w:bCs w:val="0"/>
              </w:rPr>
            </w:pPr>
            <w:r w:rsidRPr="00731FE2">
              <w:rPr>
                <w:b w:val="0"/>
                <w:bCs w:val="0"/>
              </w:rPr>
              <w:t>366,00</w:t>
            </w:r>
          </w:p>
        </w:tc>
        <w:tc>
          <w:tcPr>
            <w:tcW w:w="1424" w:type="dxa"/>
            <w:vAlign w:val="center"/>
          </w:tcPr>
          <w:p w14:paraId="05BCF052" w14:textId="77777777" w:rsidR="00171AA8" w:rsidRPr="00731FE2" w:rsidRDefault="007935AB">
            <w:pPr>
              <w:pStyle w:val="af3"/>
              <w:jc w:val="center"/>
              <w:rPr>
                <w:b w:val="0"/>
                <w:bCs w:val="0"/>
              </w:rPr>
            </w:pPr>
            <w:r w:rsidRPr="00731FE2">
              <w:rPr>
                <w:b w:val="0"/>
                <w:bCs w:val="0"/>
              </w:rPr>
              <w:t>671,53</w:t>
            </w:r>
          </w:p>
        </w:tc>
      </w:tr>
      <w:tr w:rsidR="00171AA8" w:rsidRPr="00731FE2" w14:paraId="428CB2DB" w14:textId="77777777">
        <w:trPr>
          <w:trHeight w:val="255"/>
        </w:trPr>
        <w:tc>
          <w:tcPr>
            <w:tcW w:w="681" w:type="dxa"/>
            <w:vAlign w:val="center"/>
          </w:tcPr>
          <w:p w14:paraId="3732FC06" w14:textId="77777777" w:rsidR="00171AA8" w:rsidRPr="00731FE2" w:rsidRDefault="00171AA8">
            <w:pPr>
              <w:pStyle w:val="af3"/>
              <w:numPr>
                <w:ilvl w:val="0"/>
                <w:numId w:val="31"/>
              </w:numPr>
              <w:pBdr>
                <w:top w:val="none" w:sz="4" w:space="0" w:color="000000"/>
                <w:left w:val="none" w:sz="4" w:space="0" w:color="000000"/>
                <w:bottom w:val="none" w:sz="4" w:space="0" w:color="000000"/>
                <w:right w:val="none" w:sz="4" w:space="0" w:color="000000"/>
              </w:pBdr>
              <w:rPr>
                <w:b w:val="0"/>
                <w:bCs w:val="0"/>
              </w:rPr>
            </w:pPr>
          </w:p>
        </w:tc>
        <w:tc>
          <w:tcPr>
            <w:tcW w:w="4280" w:type="dxa"/>
            <w:vAlign w:val="center"/>
          </w:tcPr>
          <w:p w14:paraId="39FB39D0"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left"/>
              <w:rPr>
                <w:b w:val="0"/>
                <w:bCs w:val="0"/>
              </w:rPr>
            </w:pPr>
            <w:r w:rsidRPr="00731FE2">
              <w:rPr>
                <w:b w:val="0"/>
                <w:bCs w:val="0"/>
              </w:rPr>
              <w:t>Вывезено твердых коммунальных отходов на объекты обработки отходов, тыс. т</w:t>
            </w:r>
          </w:p>
        </w:tc>
        <w:tc>
          <w:tcPr>
            <w:tcW w:w="1559" w:type="dxa"/>
            <w:vAlign w:val="center"/>
          </w:tcPr>
          <w:p w14:paraId="75E5ACE9"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b w:val="0"/>
                <w:bCs w:val="0"/>
              </w:rPr>
            </w:pPr>
            <w:r w:rsidRPr="00731FE2">
              <w:rPr>
                <w:b w:val="0"/>
                <w:bCs w:val="0"/>
              </w:rPr>
              <w:t>-</w:t>
            </w:r>
          </w:p>
        </w:tc>
        <w:tc>
          <w:tcPr>
            <w:tcW w:w="1417" w:type="dxa"/>
            <w:vAlign w:val="center"/>
          </w:tcPr>
          <w:p w14:paraId="07276A5F"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b w:val="0"/>
                <w:bCs w:val="0"/>
              </w:rPr>
            </w:pPr>
            <w:r w:rsidRPr="00731FE2">
              <w:rPr>
                <w:b w:val="0"/>
                <w:bCs w:val="0"/>
              </w:rPr>
              <w:t>-</w:t>
            </w:r>
          </w:p>
        </w:tc>
        <w:tc>
          <w:tcPr>
            <w:tcW w:w="1424" w:type="dxa"/>
            <w:vAlign w:val="center"/>
          </w:tcPr>
          <w:p w14:paraId="0E287E94" w14:textId="77777777" w:rsidR="00171AA8" w:rsidRPr="00731FE2" w:rsidRDefault="007935AB">
            <w:pPr>
              <w:pStyle w:val="af3"/>
              <w:jc w:val="center"/>
              <w:rPr>
                <w:b w:val="0"/>
                <w:bCs w:val="0"/>
              </w:rPr>
            </w:pPr>
            <w:r w:rsidRPr="00731FE2">
              <w:rPr>
                <w:b w:val="0"/>
                <w:bCs w:val="0"/>
              </w:rPr>
              <w:t>31,60</w:t>
            </w:r>
          </w:p>
        </w:tc>
      </w:tr>
      <w:tr w:rsidR="00171AA8" w:rsidRPr="00731FE2" w14:paraId="4438153E" w14:textId="77777777">
        <w:trPr>
          <w:trHeight w:val="255"/>
        </w:trPr>
        <w:tc>
          <w:tcPr>
            <w:tcW w:w="681" w:type="dxa"/>
            <w:vAlign w:val="center"/>
          </w:tcPr>
          <w:p w14:paraId="2AB65327" w14:textId="77777777" w:rsidR="00171AA8" w:rsidRPr="00731FE2" w:rsidRDefault="00171AA8">
            <w:pPr>
              <w:pStyle w:val="af3"/>
              <w:numPr>
                <w:ilvl w:val="0"/>
                <w:numId w:val="31"/>
              </w:numPr>
              <w:pBdr>
                <w:top w:val="none" w:sz="4" w:space="0" w:color="000000"/>
                <w:left w:val="none" w:sz="4" w:space="0" w:color="000000"/>
                <w:bottom w:val="none" w:sz="4" w:space="0" w:color="000000"/>
                <w:right w:val="none" w:sz="4" w:space="0" w:color="000000"/>
              </w:pBdr>
              <w:rPr>
                <w:b w:val="0"/>
                <w:bCs w:val="0"/>
              </w:rPr>
            </w:pPr>
          </w:p>
        </w:tc>
        <w:tc>
          <w:tcPr>
            <w:tcW w:w="4280" w:type="dxa"/>
            <w:vAlign w:val="center"/>
          </w:tcPr>
          <w:p w14:paraId="2FA0BF9C"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left"/>
              <w:rPr>
                <w:b w:val="0"/>
                <w:bCs w:val="0"/>
              </w:rPr>
            </w:pPr>
            <w:r w:rsidRPr="00731FE2">
              <w:rPr>
                <w:b w:val="0"/>
                <w:bCs w:val="0"/>
              </w:rPr>
              <w:t>Вывезено за год твердых коммунальных отходов, тыс. т</w:t>
            </w:r>
          </w:p>
        </w:tc>
        <w:tc>
          <w:tcPr>
            <w:tcW w:w="1559" w:type="dxa"/>
            <w:vAlign w:val="center"/>
          </w:tcPr>
          <w:p w14:paraId="44E37F3D"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b w:val="0"/>
                <w:bCs w:val="0"/>
              </w:rPr>
            </w:pPr>
            <w:r w:rsidRPr="00731FE2">
              <w:rPr>
                <w:b w:val="0"/>
                <w:bCs w:val="0"/>
              </w:rPr>
              <w:t>37,40</w:t>
            </w:r>
          </w:p>
        </w:tc>
        <w:tc>
          <w:tcPr>
            <w:tcW w:w="1417" w:type="dxa"/>
            <w:vAlign w:val="center"/>
          </w:tcPr>
          <w:p w14:paraId="66953082"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b w:val="0"/>
                <w:bCs w:val="0"/>
              </w:rPr>
            </w:pPr>
            <w:r w:rsidRPr="00731FE2">
              <w:rPr>
                <w:b w:val="0"/>
                <w:bCs w:val="0"/>
              </w:rPr>
              <w:t>72,60</w:t>
            </w:r>
          </w:p>
        </w:tc>
        <w:tc>
          <w:tcPr>
            <w:tcW w:w="1424" w:type="dxa"/>
            <w:vAlign w:val="center"/>
          </w:tcPr>
          <w:p w14:paraId="0472D3E8" w14:textId="77777777" w:rsidR="00171AA8" w:rsidRPr="00731FE2" w:rsidRDefault="007935AB">
            <w:pPr>
              <w:pStyle w:val="af3"/>
              <w:jc w:val="center"/>
              <w:rPr>
                <w:b w:val="0"/>
                <w:bCs w:val="0"/>
              </w:rPr>
            </w:pPr>
            <w:r w:rsidRPr="00731FE2">
              <w:rPr>
                <w:b w:val="0"/>
                <w:bCs w:val="0"/>
              </w:rPr>
              <w:t>62,33</w:t>
            </w:r>
          </w:p>
        </w:tc>
      </w:tr>
      <w:tr w:rsidR="00171AA8" w:rsidRPr="00731FE2" w14:paraId="71CA5592" w14:textId="77777777">
        <w:trPr>
          <w:trHeight w:val="255"/>
        </w:trPr>
        <w:tc>
          <w:tcPr>
            <w:tcW w:w="681" w:type="dxa"/>
            <w:vAlign w:val="center"/>
          </w:tcPr>
          <w:p w14:paraId="3693BA93" w14:textId="77777777" w:rsidR="00171AA8" w:rsidRPr="00731FE2" w:rsidRDefault="00171AA8">
            <w:pPr>
              <w:pStyle w:val="af3"/>
              <w:numPr>
                <w:ilvl w:val="0"/>
                <w:numId w:val="31"/>
              </w:numPr>
              <w:pBdr>
                <w:top w:val="none" w:sz="4" w:space="0" w:color="000000"/>
                <w:left w:val="none" w:sz="4" w:space="0" w:color="000000"/>
                <w:bottom w:val="none" w:sz="4" w:space="0" w:color="000000"/>
                <w:right w:val="none" w:sz="4" w:space="0" w:color="000000"/>
              </w:pBdr>
              <w:rPr>
                <w:b w:val="0"/>
                <w:bCs w:val="0"/>
              </w:rPr>
            </w:pPr>
          </w:p>
        </w:tc>
        <w:tc>
          <w:tcPr>
            <w:tcW w:w="4280" w:type="dxa"/>
            <w:vAlign w:val="center"/>
          </w:tcPr>
          <w:p w14:paraId="5C696514"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left"/>
              <w:rPr>
                <w:b w:val="0"/>
                <w:bCs w:val="0"/>
                <w:vertAlign w:val="superscript"/>
              </w:rPr>
            </w:pPr>
            <w:r w:rsidRPr="00731FE2">
              <w:rPr>
                <w:b w:val="0"/>
                <w:bCs w:val="0"/>
              </w:rPr>
              <w:t>Вывезено твердых коммунальных отходов на объекты, используемые для обработки отходов, тыс. м</w:t>
            </w:r>
            <w:r w:rsidRPr="00731FE2">
              <w:rPr>
                <w:b w:val="0"/>
                <w:bCs w:val="0"/>
                <w:vertAlign w:val="superscript"/>
              </w:rPr>
              <w:t>3</w:t>
            </w:r>
          </w:p>
        </w:tc>
        <w:tc>
          <w:tcPr>
            <w:tcW w:w="1559" w:type="dxa"/>
            <w:vAlign w:val="center"/>
          </w:tcPr>
          <w:p w14:paraId="52579BA3"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b w:val="0"/>
                <w:bCs w:val="0"/>
              </w:rPr>
            </w:pPr>
            <w:r w:rsidRPr="00731FE2">
              <w:rPr>
                <w:b w:val="0"/>
                <w:bCs w:val="0"/>
              </w:rPr>
              <w:t>-</w:t>
            </w:r>
          </w:p>
        </w:tc>
        <w:tc>
          <w:tcPr>
            <w:tcW w:w="1417" w:type="dxa"/>
            <w:vAlign w:val="center"/>
          </w:tcPr>
          <w:p w14:paraId="05FAA139"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b w:val="0"/>
                <w:bCs w:val="0"/>
              </w:rPr>
            </w:pPr>
            <w:r w:rsidRPr="00731FE2">
              <w:rPr>
                <w:b w:val="0"/>
                <w:bCs w:val="0"/>
              </w:rPr>
              <w:t>-</w:t>
            </w:r>
          </w:p>
        </w:tc>
        <w:tc>
          <w:tcPr>
            <w:tcW w:w="1424" w:type="dxa"/>
            <w:vAlign w:val="center"/>
          </w:tcPr>
          <w:p w14:paraId="7B07B57C" w14:textId="77777777" w:rsidR="00171AA8" w:rsidRPr="00731FE2" w:rsidRDefault="007935AB">
            <w:pPr>
              <w:pStyle w:val="af3"/>
              <w:jc w:val="center"/>
              <w:rPr>
                <w:b w:val="0"/>
                <w:bCs w:val="0"/>
              </w:rPr>
            </w:pPr>
            <w:r w:rsidRPr="00731FE2">
              <w:rPr>
                <w:b w:val="0"/>
                <w:bCs w:val="0"/>
              </w:rPr>
              <w:t>339,61</w:t>
            </w:r>
          </w:p>
        </w:tc>
      </w:tr>
    </w:tbl>
    <w:p w14:paraId="7A41C83B" w14:textId="77777777" w:rsidR="00171AA8" w:rsidRPr="00731FE2" w:rsidRDefault="00171AA8">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p>
    <w:p w14:paraId="5EA8A02E" w14:textId="77777777" w:rsidR="007940EC" w:rsidRPr="00731FE2" w:rsidRDefault="007940EC">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p>
    <w:p w14:paraId="7162B6A2" w14:textId="778E4DCD" w:rsidR="001B22B7" w:rsidRPr="00731FE2" w:rsidRDefault="001B22B7" w:rsidP="001B22B7">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b/>
          <w:bCs/>
          <w:color w:val="000000"/>
          <w:szCs w:val="24"/>
          <w:lang w:eastAsia="ru-RU"/>
        </w:rPr>
      </w:pPr>
      <w:r w:rsidRPr="00731FE2">
        <w:rPr>
          <w:rFonts w:ascii="Times New Roman" w:eastAsia="Times New Roman" w:hAnsi="Times New Roman" w:cs="Times New Roman"/>
          <w:b/>
          <w:bCs/>
          <w:color w:val="000000"/>
          <w:szCs w:val="24"/>
          <w:lang w:eastAsia="ru-RU"/>
        </w:rPr>
        <w:t xml:space="preserve">Таблица </w:t>
      </w:r>
      <w:r w:rsidRPr="00731FE2">
        <w:rPr>
          <w:rFonts w:ascii="Times New Roman" w:eastAsia="Times New Roman" w:hAnsi="Times New Roman" w:cs="Times New Roman"/>
          <w:b/>
          <w:bCs/>
          <w:color w:val="000000"/>
          <w:szCs w:val="24"/>
          <w:lang w:eastAsia="ru-RU"/>
        </w:rPr>
        <w:fldChar w:fldCharType="begin"/>
      </w:r>
      <w:r w:rsidRPr="00731FE2">
        <w:rPr>
          <w:rFonts w:ascii="Times New Roman" w:eastAsia="Times New Roman" w:hAnsi="Times New Roman" w:cs="Times New Roman"/>
          <w:b/>
          <w:bCs/>
          <w:color w:val="000000"/>
          <w:szCs w:val="24"/>
          <w:lang w:eastAsia="ru-RU"/>
        </w:rPr>
        <w:instrText xml:space="preserve"> SEQ Таблица \* Arabic </w:instrText>
      </w:r>
      <w:r w:rsidRPr="00731FE2">
        <w:rPr>
          <w:rFonts w:ascii="Times New Roman" w:eastAsia="Times New Roman" w:hAnsi="Times New Roman" w:cs="Times New Roman"/>
          <w:b/>
          <w:bCs/>
          <w:color w:val="000000"/>
          <w:szCs w:val="24"/>
          <w:lang w:eastAsia="ru-RU"/>
        </w:rPr>
        <w:fldChar w:fldCharType="separate"/>
      </w:r>
      <w:r w:rsidR="00C50915" w:rsidRPr="00731FE2">
        <w:rPr>
          <w:rFonts w:ascii="Times New Roman" w:eastAsia="Times New Roman" w:hAnsi="Times New Roman" w:cs="Times New Roman"/>
          <w:b/>
          <w:bCs/>
          <w:noProof/>
          <w:color w:val="000000"/>
          <w:szCs w:val="24"/>
          <w:lang w:eastAsia="ru-RU"/>
        </w:rPr>
        <w:t>44</w:t>
      </w:r>
      <w:r w:rsidRPr="00731FE2">
        <w:rPr>
          <w:rFonts w:ascii="Times New Roman" w:eastAsia="Times New Roman" w:hAnsi="Times New Roman" w:cs="Times New Roman"/>
          <w:b/>
          <w:bCs/>
          <w:color w:val="000000"/>
          <w:szCs w:val="24"/>
          <w:lang w:eastAsia="ru-RU"/>
        </w:rPr>
        <w:fldChar w:fldCharType="end"/>
      </w:r>
      <w:r w:rsidRPr="00731FE2">
        <w:rPr>
          <w:rFonts w:ascii="Times New Roman" w:eastAsia="Times New Roman" w:hAnsi="Times New Roman" w:cs="Times New Roman"/>
          <w:b/>
          <w:bCs/>
          <w:color w:val="000000"/>
          <w:szCs w:val="24"/>
          <w:lang w:eastAsia="ru-RU"/>
        </w:rPr>
        <w:t xml:space="preserve"> – Схема транспортирования ТКО </w:t>
      </w:r>
      <w:r w:rsidR="009E5E9F" w:rsidRPr="00731FE2">
        <w:rPr>
          <w:rFonts w:ascii="Times New Roman" w:eastAsia="Times New Roman" w:hAnsi="Times New Roman" w:cs="Times New Roman"/>
          <w:b/>
          <w:bCs/>
          <w:color w:val="000000"/>
          <w:szCs w:val="24"/>
          <w:lang w:eastAsia="ru-RU"/>
        </w:rPr>
        <w:t xml:space="preserve">на территории городского округа города-курорта Кисловодска, </w:t>
      </w:r>
      <w:r w:rsidRPr="00731FE2">
        <w:rPr>
          <w:rFonts w:ascii="Times New Roman" w:eastAsia="Times New Roman" w:hAnsi="Times New Roman" w:cs="Times New Roman"/>
          <w:b/>
          <w:bCs/>
          <w:color w:val="000000"/>
          <w:szCs w:val="24"/>
          <w:lang w:eastAsia="ru-RU"/>
        </w:rPr>
        <w:t>2019 г</w:t>
      </w:r>
      <w:r w:rsidR="009E5E9F" w:rsidRPr="00731FE2">
        <w:rPr>
          <w:rFonts w:ascii="Times New Roman" w:eastAsia="Times New Roman" w:hAnsi="Times New Roman" w:cs="Times New Roman"/>
          <w:b/>
          <w:bCs/>
          <w:color w:val="000000"/>
          <w:szCs w:val="24"/>
          <w:lang w:eastAsia="ru-RU"/>
        </w:rPr>
        <w:t>.</w:t>
      </w:r>
      <w:r w:rsidR="009E5E9F" w:rsidRPr="00731FE2">
        <w:rPr>
          <w:rStyle w:val="afb"/>
          <w:rFonts w:ascii="Times New Roman" w:eastAsia="Times New Roman" w:hAnsi="Times New Roman" w:cs="Times New Roman"/>
          <w:b/>
          <w:bCs/>
          <w:color w:val="000000"/>
          <w:szCs w:val="24"/>
          <w:vertAlign w:val="superscript"/>
          <w:lang w:eastAsia="ru-RU"/>
        </w:rPr>
        <w:footnoteReference w:id="86"/>
      </w:r>
    </w:p>
    <w:tbl>
      <w:tblPr>
        <w:tblStyle w:val="afe"/>
        <w:tblW w:w="0" w:type="auto"/>
        <w:tblLook w:val="04A0" w:firstRow="1" w:lastRow="0" w:firstColumn="1" w:lastColumn="0" w:noHBand="0" w:noVBand="1"/>
      </w:tblPr>
      <w:tblGrid>
        <w:gridCol w:w="2622"/>
        <w:gridCol w:w="2051"/>
        <w:gridCol w:w="2507"/>
        <w:gridCol w:w="2165"/>
      </w:tblGrid>
      <w:tr w:rsidR="001B22B7" w:rsidRPr="00731FE2" w14:paraId="7C1F6964" w14:textId="77777777" w:rsidTr="009E5E9F">
        <w:tc>
          <w:tcPr>
            <w:tcW w:w="2622" w:type="dxa"/>
          </w:tcPr>
          <w:p w14:paraId="4724B371" w14:textId="70865847" w:rsidR="001B22B7" w:rsidRPr="00731FE2" w:rsidRDefault="001B22B7" w:rsidP="009E5E9F">
            <w:pPr>
              <w:ind w:firstLine="0"/>
              <w:rPr>
                <w:rFonts w:ascii="Times New Roman" w:hAnsi="Times New Roman" w:cs="Times New Roman"/>
                <w:b/>
                <w:color w:val="000000" w:themeColor="text1"/>
                <w:sz w:val="22"/>
              </w:rPr>
            </w:pPr>
            <w:r w:rsidRPr="00731FE2">
              <w:rPr>
                <w:rFonts w:ascii="Times New Roman" w:hAnsi="Times New Roman" w:cs="Times New Roman"/>
                <w:b/>
                <w:sz w:val="22"/>
              </w:rPr>
              <w:t>Зона деятельности/ региональный оператор</w:t>
            </w:r>
          </w:p>
        </w:tc>
        <w:tc>
          <w:tcPr>
            <w:tcW w:w="2051" w:type="dxa"/>
          </w:tcPr>
          <w:p w14:paraId="6604C373" w14:textId="17EA5B3F" w:rsidR="001B22B7" w:rsidRPr="00731FE2" w:rsidRDefault="001B22B7" w:rsidP="009E5E9F">
            <w:pPr>
              <w:ind w:firstLine="0"/>
              <w:rPr>
                <w:rFonts w:ascii="Times New Roman" w:hAnsi="Times New Roman" w:cs="Times New Roman"/>
                <w:b/>
                <w:color w:val="000000" w:themeColor="text1"/>
                <w:sz w:val="22"/>
              </w:rPr>
            </w:pPr>
            <w:r w:rsidRPr="00731FE2">
              <w:rPr>
                <w:rFonts w:ascii="Times New Roman" w:hAnsi="Times New Roman" w:cs="Times New Roman"/>
                <w:b/>
                <w:sz w:val="22"/>
              </w:rPr>
              <w:t>Наименование района/округа</w:t>
            </w:r>
          </w:p>
        </w:tc>
        <w:tc>
          <w:tcPr>
            <w:tcW w:w="2507" w:type="dxa"/>
          </w:tcPr>
          <w:p w14:paraId="5FCB04F7" w14:textId="39E8E74B" w:rsidR="001B22B7" w:rsidRPr="00731FE2" w:rsidRDefault="001B22B7" w:rsidP="009E5E9F">
            <w:pPr>
              <w:ind w:firstLine="0"/>
              <w:rPr>
                <w:rFonts w:ascii="Times New Roman" w:hAnsi="Times New Roman" w:cs="Times New Roman"/>
                <w:b/>
                <w:color w:val="000000" w:themeColor="text1"/>
                <w:sz w:val="22"/>
              </w:rPr>
            </w:pPr>
            <w:r w:rsidRPr="00731FE2">
              <w:rPr>
                <w:rFonts w:ascii="Times New Roman" w:hAnsi="Times New Roman" w:cs="Times New Roman"/>
                <w:b/>
                <w:sz w:val="22"/>
              </w:rPr>
              <w:t>Наименование объекта обращения с отходами</w:t>
            </w:r>
          </w:p>
        </w:tc>
        <w:tc>
          <w:tcPr>
            <w:tcW w:w="2165" w:type="dxa"/>
          </w:tcPr>
          <w:p w14:paraId="0A8A710B" w14:textId="591A3204" w:rsidR="001B22B7" w:rsidRPr="00731FE2" w:rsidRDefault="001B22B7" w:rsidP="009E5E9F">
            <w:pPr>
              <w:ind w:firstLine="0"/>
              <w:rPr>
                <w:rFonts w:ascii="Times New Roman" w:hAnsi="Times New Roman" w:cs="Times New Roman"/>
                <w:b/>
                <w:color w:val="000000" w:themeColor="text1"/>
                <w:sz w:val="22"/>
              </w:rPr>
            </w:pPr>
            <w:r w:rsidRPr="00731FE2">
              <w:rPr>
                <w:rFonts w:ascii="Times New Roman" w:hAnsi="Times New Roman" w:cs="Times New Roman"/>
                <w:b/>
                <w:sz w:val="22"/>
              </w:rPr>
              <w:t>Адрес объекта обращения с отходами</w:t>
            </w:r>
          </w:p>
        </w:tc>
      </w:tr>
      <w:tr w:rsidR="001B22B7" w:rsidRPr="00731FE2" w14:paraId="3FCD30A7" w14:textId="77777777" w:rsidTr="009E5E9F">
        <w:tc>
          <w:tcPr>
            <w:tcW w:w="2622" w:type="dxa"/>
            <w:vMerge w:val="restart"/>
          </w:tcPr>
          <w:p w14:paraId="5C1B1C95" w14:textId="5FDC9C8A" w:rsidR="001B22B7" w:rsidRPr="00731FE2" w:rsidRDefault="001B22B7" w:rsidP="009E5E9F">
            <w:pPr>
              <w:ind w:firstLine="0"/>
              <w:rPr>
                <w:rFonts w:ascii="Times New Roman" w:hAnsi="Times New Roman" w:cs="Times New Roman"/>
                <w:color w:val="000000" w:themeColor="text1"/>
                <w:sz w:val="22"/>
              </w:rPr>
            </w:pPr>
            <w:r w:rsidRPr="00731FE2">
              <w:rPr>
                <w:rFonts w:ascii="Times New Roman" w:hAnsi="Times New Roman" w:cs="Times New Roman"/>
                <w:sz w:val="22"/>
              </w:rPr>
              <w:t>2 зона, ООО «Жилищнокоммунальное хозяйство»</w:t>
            </w:r>
          </w:p>
        </w:tc>
        <w:tc>
          <w:tcPr>
            <w:tcW w:w="2051" w:type="dxa"/>
            <w:vMerge w:val="restart"/>
          </w:tcPr>
          <w:p w14:paraId="172478B1" w14:textId="489BB5E9" w:rsidR="001B22B7" w:rsidRPr="00731FE2" w:rsidRDefault="001B22B7" w:rsidP="009E5E9F">
            <w:pPr>
              <w:ind w:firstLine="0"/>
              <w:rPr>
                <w:rFonts w:ascii="Times New Roman" w:hAnsi="Times New Roman" w:cs="Times New Roman"/>
                <w:color w:val="000000" w:themeColor="text1"/>
                <w:sz w:val="22"/>
              </w:rPr>
            </w:pPr>
            <w:r w:rsidRPr="00731FE2">
              <w:rPr>
                <w:rFonts w:ascii="Times New Roman" w:hAnsi="Times New Roman" w:cs="Times New Roman"/>
                <w:sz w:val="22"/>
              </w:rPr>
              <w:t>Городской округ Городкурорт Кисловодск</w:t>
            </w:r>
          </w:p>
        </w:tc>
        <w:tc>
          <w:tcPr>
            <w:tcW w:w="2507" w:type="dxa"/>
          </w:tcPr>
          <w:p w14:paraId="6D36DBBD" w14:textId="75B8DA01" w:rsidR="001B22B7" w:rsidRPr="00731FE2" w:rsidRDefault="001B22B7" w:rsidP="009E5E9F">
            <w:pPr>
              <w:ind w:firstLine="0"/>
              <w:rPr>
                <w:rFonts w:ascii="Times New Roman" w:hAnsi="Times New Roman" w:cs="Times New Roman"/>
                <w:color w:val="000000" w:themeColor="text1"/>
                <w:sz w:val="22"/>
              </w:rPr>
            </w:pPr>
            <w:r w:rsidRPr="00731FE2">
              <w:rPr>
                <w:rFonts w:ascii="Times New Roman" w:hAnsi="Times New Roman" w:cs="Times New Roman"/>
                <w:sz w:val="22"/>
              </w:rPr>
              <w:t>ООО «Сортировка и переработка», ООО «Арго»</w:t>
            </w:r>
          </w:p>
        </w:tc>
        <w:tc>
          <w:tcPr>
            <w:tcW w:w="2165" w:type="dxa"/>
          </w:tcPr>
          <w:p w14:paraId="6C98DFC3" w14:textId="63989F75" w:rsidR="001B22B7" w:rsidRPr="00731FE2" w:rsidRDefault="001B22B7" w:rsidP="009E5E9F">
            <w:pPr>
              <w:ind w:firstLine="0"/>
              <w:rPr>
                <w:rFonts w:ascii="Times New Roman" w:hAnsi="Times New Roman" w:cs="Times New Roman"/>
                <w:color w:val="000000" w:themeColor="text1"/>
                <w:sz w:val="22"/>
              </w:rPr>
            </w:pPr>
            <w:r w:rsidRPr="00731FE2">
              <w:rPr>
                <w:rFonts w:ascii="Times New Roman" w:hAnsi="Times New Roman" w:cs="Times New Roman"/>
                <w:sz w:val="22"/>
              </w:rPr>
              <w:t>Предгорный район, 9-ый км Боргустанского шоссе</w:t>
            </w:r>
          </w:p>
        </w:tc>
      </w:tr>
      <w:tr w:rsidR="001B22B7" w:rsidRPr="00731FE2" w14:paraId="4ADA9CA6" w14:textId="77777777" w:rsidTr="009E5E9F">
        <w:tc>
          <w:tcPr>
            <w:tcW w:w="2622" w:type="dxa"/>
            <w:vMerge/>
          </w:tcPr>
          <w:p w14:paraId="3DD05767" w14:textId="77777777" w:rsidR="001B22B7" w:rsidRPr="00731FE2" w:rsidRDefault="001B22B7" w:rsidP="009E5E9F">
            <w:pPr>
              <w:ind w:firstLine="0"/>
              <w:rPr>
                <w:rFonts w:ascii="Times New Roman" w:hAnsi="Times New Roman" w:cs="Times New Roman"/>
                <w:color w:val="000000" w:themeColor="text1"/>
                <w:sz w:val="22"/>
              </w:rPr>
            </w:pPr>
          </w:p>
        </w:tc>
        <w:tc>
          <w:tcPr>
            <w:tcW w:w="2051" w:type="dxa"/>
            <w:vMerge/>
          </w:tcPr>
          <w:p w14:paraId="7CB5D0FF" w14:textId="77777777" w:rsidR="001B22B7" w:rsidRPr="00731FE2" w:rsidRDefault="001B22B7" w:rsidP="009E5E9F">
            <w:pPr>
              <w:ind w:firstLine="0"/>
              <w:rPr>
                <w:rFonts w:ascii="Times New Roman" w:hAnsi="Times New Roman" w:cs="Times New Roman"/>
                <w:color w:val="000000" w:themeColor="text1"/>
                <w:sz w:val="22"/>
              </w:rPr>
            </w:pPr>
          </w:p>
        </w:tc>
        <w:tc>
          <w:tcPr>
            <w:tcW w:w="2507" w:type="dxa"/>
          </w:tcPr>
          <w:p w14:paraId="661FCAE2" w14:textId="79284E90" w:rsidR="001B22B7" w:rsidRPr="00731FE2" w:rsidRDefault="001B22B7" w:rsidP="009E5E9F">
            <w:pPr>
              <w:ind w:firstLine="0"/>
              <w:rPr>
                <w:rFonts w:ascii="Times New Roman" w:hAnsi="Times New Roman" w:cs="Times New Roman"/>
                <w:color w:val="000000" w:themeColor="text1"/>
                <w:sz w:val="22"/>
              </w:rPr>
            </w:pPr>
            <w:r w:rsidRPr="00731FE2">
              <w:rPr>
                <w:rFonts w:ascii="Times New Roman" w:hAnsi="Times New Roman" w:cs="Times New Roman"/>
                <w:sz w:val="22"/>
              </w:rPr>
              <w:t>ООО «Уборочные технологии»</w:t>
            </w:r>
          </w:p>
        </w:tc>
        <w:tc>
          <w:tcPr>
            <w:tcW w:w="2165" w:type="dxa"/>
          </w:tcPr>
          <w:p w14:paraId="6CB730DE" w14:textId="04378B76" w:rsidR="001B22B7" w:rsidRPr="00731FE2" w:rsidRDefault="001B22B7" w:rsidP="009E5E9F">
            <w:pPr>
              <w:ind w:firstLine="0"/>
              <w:rPr>
                <w:rFonts w:ascii="Times New Roman" w:hAnsi="Times New Roman" w:cs="Times New Roman"/>
                <w:color w:val="000000" w:themeColor="text1"/>
                <w:sz w:val="22"/>
              </w:rPr>
            </w:pPr>
            <w:r w:rsidRPr="00731FE2">
              <w:rPr>
                <w:rFonts w:ascii="Times New Roman" w:hAnsi="Times New Roman" w:cs="Times New Roman"/>
                <w:sz w:val="22"/>
              </w:rPr>
              <w:t xml:space="preserve">г. Кисловодск, ул. </w:t>
            </w:r>
            <w:proofErr w:type="gramStart"/>
            <w:r w:rsidRPr="00731FE2">
              <w:rPr>
                <w:rFonts w:ascii="Times New Roman" w:hAnsi="Times New Roman" w:cs="Times New Roman"/>
                <w:sz w:val="22"/>
              </w:rPr>
              <w:t>Промышленная</w:t>
            </w:r>
            <w:proofErr w:type="gramEnd"/>
            <w:r w:rsidRPr="00731FE2">
              <w:rPr>
                <w:rFonts w:ascii="Times New Roman" w:hAnsi="Times New Roman" w:cs="Times New Roman"/>
                <w:sz w:val="22"/>
              </w:rPr>
              <w:t>, 14</w:t>
            </w:r>
          </w:p>
        </w:tc>
      </w:tr>
    </w:tbl>
    <w:p w14:paraId="4114ECF0" w14:textId="77777777" w:rsidR="001B22B7" w:rsidRPr="00731FE2" w:rsidRDefault="001B22B7">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p>
    <w:p w14:paraId="1072D0CC" w14:textId="3F17BEAA"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proofErr w:type="gramStart"/>
      <w:r w:rsidRPr="00731FE2">
        <w:rPr>
          <w:rFonts w:ascii="Times New Roman" w:hAnsi="Times New Roman" w:cs="Times New Roman"/>
          <w:color w:val="000000" w:themeColor="text1"/>
        </w:rPr>
        <w:t>На территории городского округа города-курорта Кисловодска отсутствует полигон ТКО, площадка для сортировки отходов расположена на землях Кисловодского лесничества (природоохранная зона), сортировка мусора не производится Расстояние до мусоросжигательного завода составляет 50 км, до полигона №1 ТКО «АРГО» (оборудованный на территории Предгорного муниципального округа Ставропольского края, 9 км Боргустанского шоссе (п. Санамер), полигон твердых бытовых отходов) – 15 км.</w:t>
      </w:r>
      <w:proofErr w:type="gramEnd"/>
      <w:r w:rsidR="009E5E9F" w:rsidRPr="00731FE2">
        <w:rPr>
          <w:rFonts w:ascii="Times New Roman" w:hAnsi="Times New Roman" w:cs="Times New Roman"/>
          <w:color w:val="000000" w:themeColor="text1"/>
        </w:rPr>
        <w:t xml:space="preserve"> </w:t>
      </w:r>
      <w:r w:rsidRPr="00731FE2">
        <w:rPr>
          <w:rFonts w:ascii="Times New Roman" w:hAnsi="Times New Roman" w:cs="Times New Roman"/>
          <w:color w:val="000000" w:themeColor="text1"/>
        </w:rPr>
        <w:t>Основная масса ТКО городского округа города-курорта Кисловодска (порядка 85%) размещается на полигоне ООО «АРГО». Полигон ООО «АРГО» включен в государственный реестр объектов размещения отходов (ГРОРО).</w:t>
      </w:r>
      <w:r w:rsidR="009E5E9F" w:rsidRPr="00731FE2">
        <w:rPr>
          <w:rFonts w:ascii="Times New Roman" w:hAnsi="Times New Roman" w:cs="Times New Roman"/>
          <w:color w:val="000000" w:themeColor="text1"/>
        </w:rPr>
        <w:t xml:space="preserve"> </w:t>
      </w:r>
      <w:r w:rsidRPr="00731FE2">
        <w:rPr>
          <w:rFonts w:ascii="Times New Roman" w:hAnsi="Times New Roman" w:cs="Times New Roman"/>
          <w:color w:val="000000" w:themeColor="text1"/>
        </w:rPr>
        <w:t>Остальная часть отходов (порядка 15%) направляется на мусоросжигательный завод МУП «ПТЭК».</w:t>
      </w:r>
    </w:p>
    <w:p w14:paraId="792135EA" w14:textId="77777777" w:rsidR="00F54D3D" w:rsidRPr="00731FE2" w:rsidRDefault="00F54D3D">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p>
    <w:p w14:paraId="64BA26AC" w14:textId="4E4EE9D0" w:rsidR="00F54D3D" w:rsidRPr="00731FE2" w:rsidRDefault="00F54D3D" w:rsidP="00594330">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b/>
          <w:bCs/>
          <w:color w:val="000000"/>
          <w:szCs w:val="24"/>
          <w:lang w:eastAsia="ru-RU"/>
        </w:rPr>
      </w:pPr>
      <w:r w:rsidRPr="00731FE2">
        <w:rPr>
          <w:rFonts w:ascii="Times New Roman" w:eastAsia="Times New Roman" w:hAnsi="Times New Roman" w:cs="Times New Roman"/>
          <w:b/>
          <w:bCs/>
          <w:color w:val="000000"/>
          <w:szCs w:val="24"/>
          <w:lang w:eastAsia="ru-RU"/>
        </w:rPr>
        <w:t xml:space="preserve">Таблица </w:t>
      </w:r>
      <w:r w:rsidRPr="00731FE2">
        <w:rPr>
          <w:rFonts w:ascii="Times New Roman" w:eastAsia="Times New Roman" w:hAnsi="Times New Roman" w:cs="Times New Roman"/>
          <w:b/>
          <w:bCs/>
          <w:color w:val="000000"/>
          <w:szCs w:val="24"/>
          <w:lang w:eastAsia="ru-RU"/>
        </w:rPr>
        <w:fldChar w:fldCharType="begin"/>
      </w:r>
      <w:r w:rsidRPr="00731FE2">
        <w:rPr>
          <w:rFonts w:ascii="Times New Roman" w:eastAsia="Times New Roman" w:hAnsi="Times New Roman" w:cs="Times New Roman"/>
          <w:b/>
          <w:bCs/>
          <w:color w:val="000000"/>
          <w:szCs w:val="24"/>
          <w:lang w:eastAsia="ru-RU"/>
        </w:rPr>
        <w:instrText xml:space="preserve"> SEQ Таблица \* Arabic </w:instrText>
      </w:r>
      <w:r w:rsidRPr="00731FE2">
        <w:rPr>
          <w:rFonts w:ascii="Times New Roman" w:eastAsia="Times New Roman" w:hAnsi="Times New Roman" w:cs="Times New Roman"/>
          <w:b/>
          <w:bCs/>
          <w:color w:val="000000"/>
          <w:szCs w:val="24"/>
          <w:lang w:eastAsia="ru-RU"/>
        </w:rPr>
        <w:fldChar w:fldCharType="separate"/>
      </w:r>
      <w:r w:rsidR="00C50915" w:rsidRPr="00731FE2">
        <w:rPr>
          <w:rFonts w:ascii="Times New Roman" w:eastAsia="Times New Roman" w:hAnsi="Times New Roman" w:cs="Times New Roman"/>
          <w:b/>
          <w:bCs/>
          <w:noProof/>
          <w:color w:val="000000"/>
          <w:szCs w:val="24"/>
          <w:lang w:eastAsia="ru-RU"/>
        </w:rPr>
        <w:t>45</w:t>
      </w:r>
      <w:r w:rsidRPr="00731FE2">
        <w:rPr>
          <w:rFonts w:ascii="Times New Roman" w:eastAsia="Times New Roman" w:hAnsi="Times New Roman" w:cs="Times New Roman"/>
          <w:b/>
          <w:bCs/>
          <w:color w:val="000000"/>
          <w:szCs w:val="24"/>
          <w:lang w:eastAsia="ru-RU"/>
        </w:rPr>
        <w:fldChar w:fldCharType="end"/>
      </w:r>
      <w:r w:rsidRPr="00731FE2">
        <w:rPr>
          <w:rFonts w:ascii="Times New Roman" w:eastAsia="Times New Roman" w:hAnsi="Times New Roman" w:cs="Times New Roman"/>
          <w:b/>
          <w:bCs/>
          <w:color w:val="000000"/>
          <w:szCs w:val="24"/>
          <w:lang w:eastAsia="ru-RU"/>
        </w:rPr>
        <w:t xml:space="preserve"> –</w:t>
      </w:r>
      <w:r w:rsidR="00D92011" w:rsidRPr="00731FE2">
        <w:rPr>
          <w:rFonts w:ascii="Times New Roman" w:eastAsia="Times New Roman" w:hAnsi="Times New Roman" w:cs="Times New Roman"/>
          <w:b/>
          <w:bCs/>
          <w:color w:val="000000"/>
          <w:szCs w:val="24"/>
          <w:lang w:eastAsia="ru-RU"/>
        </w:rPr>
        <w:t xml:space="preserve"> </w:t>
      </w:r>
      <w:r w:rsidRPr="00731FE2">
        <w:rPr>
          <w:rFonts w:ascii="Times New Roman" w:eastAsia="Times New Roman" w:hAnsi="Times New Roman" w:cs="Times New Roman"/>
          <w:b/>
          <w:bCs/>
          <w:color w:val="000000"/>
          <w:szCs w:val="24"/>
          <w:lang w:eastAsia="ru-RU"/>
        </w:rPr>
        <w:t xml:space="preserve">Табличное описание </w:t>
      </w:r>
      <w:r w:rsidR="009E5E9F" w:rsidRPr="00731FE2">
        <w:rPr>
          <w:rFonts w:ascii="Times New Roman" w:eastAsia="Times New Roman" w:hAnsi="Times New Roman" w:cs="Times New Roman"/>
          <w:b/>
          <w:bCs/>
          <w:color w:val="000000"/>
          <w:szCs w:val="24"/>
          <w:lang w:eastAsia="ru-RU"/>
        </w:rPr>
        <w:t xml:space="preserve">схемы потоков отходов, </w:t>
      </w:r>
      <w:r w:rsidRPr="00731FE2">
        <w:rPr>
          <w:rFonts w:ascii="Times New Roman" w:eastAsia="Times New Roman" w:hAnsi="Times New Roman" w:cs="Times New Roman"/>
          <w:b/>
          <w:bCs/>
          <w:color w:val="000000"/>
          <w:szCs w:val="24"/>
          <w:lang w:eastAsia="ru-RU"/>
        </w:rPr>
        <w:t xml:space="preserve">количество ТКО, направляемых на существующие объекты по обработке, утилизации, обезвреживанию, размещению отходов, </w:t>
      </w:r>
      <w:r w:rsidR="009E5E9F" w:rsidRPr="00731FE2">
        <w:rPr>
          <w:rFonts w:ascii="Times New Roman" w:eastAsia="Times New Roman" w:hAnsi="Times New Roman" w:cs="Times New Roman"/>
          <w:b/>
          <w:bCs/>
          <w:color w:val="000000"/>
          <w:szCs w:val="24"/>
          <w:lang w:eastAsia="ru-RU"/>
        </w:rPr>
        <w:t>на территории городского округа города-курорта Кисловодска</w:t>
      </w:r>
    </w:p>
    <w:tbl>
      <w:tblPr>
        <w:tblStyle w:val="afe"/>
        <w:tblW w:w="0" w:type="auto"/>
        <w:tblLayout w:type="fixed"/>
        <w:tblLook w:val="04A0" w:firstRow="1" w:lastRow="0" w:firstColumn="1" w:lastColumn="0" w:noHBand="0" w:noVBand="1"/>
      </w:tblPr>
      <w:tblGrid>
        <w:gridCol w:w="523"/>
        <w:gridCol w:w="1654"/>
        <w:gridCol w:w="1646"/>
        <w:gridCol w:w="2693"/>
        <w:gridCol w:w="1559"/>
        <w:gridCol w:w="1270"/>
      </w:tblGrid>
      <w:tr w:rsidR="00F54D3D" w:rsidRPr="00731FE2" w14:paraId="587BF8BF" w14:textId="77777777" w:rsidTr="00F54D3D">
        <w:tc>
          <w:tcPr>
            <w:tcW w:w="523" w:type="dxa"/>
            <w:vMerge w:val="restart"/>
          </w:tcPr>
          <w:p w14:paraId="4AD93123" w14:textId="40588D57" w:rsidR="00F54D3D" w:rsidRPr="00731FE2" w:rsidRDefault="00F54D3D" w:rsidP="00F54D3D">
            <w:pPr>
              <w:ind w:firstLine="0"/>
              <w:rPr>
                <w:rFonts w:ascii="Times New Roman" w:hAnsi="Times New Roman" w:cs="Times New Roman"/>
                <w:b/>
                <w:color w:val="000000" w:themeColor="text1"/>
                <w:sz w:val="22"/>
              </w:rPr>
            </w:pPr>
            <w:r w:rsidRPr="00731FE2">
              <w:rPr>
                <w:rFonts w:ascii="Times New Roman" w:hAnsi="Times New Roman" w:cs="Times New Roman"/>
                <w:b/>
                <w:color w:val="000000" w:themeColor="text1"/>
                <w:sz w:val="22"/>
              </w:rPr>
              <w:t xml:space="preserve">№ </w:t>
            </w:r>
            <w:proofErr w:type="gramStart"/>
            <w:r w:rsidRPr="00731FE2">
              <w:rPr>
                <w:rFonts w:ascii="Times New Roman" w:hAnsi="Times New Roman" w:cs="Times New Roman"/>
                <w:b/>
                <w:color w:val="000000" w:themeColor="text1"/>
                <w:sz w:val="22"/>
              </w:rPr>
              <w:t>п</w:t>
            </w:r>
            <w:proofErr w:type="gramEnd"/>
            <w:r w:rsidRPr="00731FE2">
              <w:rPr>
                <w:rFonts w:ascii="Times New Roman" w:hAnsi="Times New Roman" w:cs="Times New Roman"/>
                <w:b/>
                <w:color w:val="000000" w:themeColor="text1"/>
                <w:sz w:val="22"/>
              </w:rPr>
              <w:t>/п</w:t>
            </w:r>
          </w:p>
        </w:tc>
        <w:tc>
          <w:tcPr>
            <w:tcW w:w="1654" w:type="dxa"/>
            <w:vMerge w:val="restart"/>
          </w:tcPr>
          <w:p w14:paraId="093EE555" w14:textId="371DB86D" w:rsidR="00F54D3D" w:rsidRPr="00731FE2" w:rsidRDefault="00F54D3D" w:rsidP="00F54D3D">
            <w:pPr>
              <w:ind w:firstLine="0"/>
              <w:rPr>
                <w:rFonts w:ascii="Times New Roman" w:hAnsi="Times New Roman" w:cs="Times New Roman"/>
                <w:b/>
                <w:color w:val="000000" w:themeColor="text1"/>
                <w:sz w:val="22"/>
              </w:rPr>
            </w:pPr>
            <w:r w:rsidRPr="00731FE2">
              <w:rPr>
                <w:rFonts w:ascii="Times New Roman" w:hAnsi="Times New Roman" w:cs="Times New Roman"/>
                <w:b/>
                <w:sz w:val="22"/>
              </w:rPr>
              <w:t>Зона деятельности регионального оператора</w:t>
            </w:r>
          </w:p>
        </w:tc>
        <w:tc>
          <w:tcPr>
            <w:tcW w:w="1646" w:type="dxa"/>
            <w:vMerge w:val="restart"/>
          </w:tcPr>
          <w:p w14:paraId="4CF0AAA5" w14:textId="0F17C373" w:rsidR="00F54D3D" w:rsidRPr="00731FE2" w:rsidRDefault="00F54D3D" w:rsidP="00F54D3D">
            <w:pPr>
              <w:ind w:firstLine="0"/>
              <w:rPr>
                <w:rFonts w:ascii="Times New Roman" w:hAnsi="Times New Roman" w:cs="Times New Roman"/>
                <w:b/>
                <w:color w:val="000000" w:themeColor="text1"/>
                <w:sz w:val="22"/>
              </w:rPr>
            </w:pPr>
            <w:r w:rsidRPr="00731FE2">
              <w:rPr>
                <w:rFonts w:ascii="Times New Roman" w:hAnsi="Times New Roman" w:cs="Times New Roman"/>
                <w:b/>
                <w:sz w:val="22"/>
              </w:rPr>
              <w:t>Наименование объекта обработки, утилизации, обезвреживания, размещения ТКО</w:t>
            </w:r>
          </w:p>
        </w:tc>
        <w:tc>
          <w:tcPr>
            <w:tcW w:w="2693" w:type="dxa"/>
            <w:vMerge w:val="restart"/>
          </w:tcPr>
          <w:p w14:paraId="47CF61B2" w14:textId="3A9E78F9" w:rsidR="00F54D3D" w:rsidRPr="00731FE2" w:rsidRDefault="00F54D3D" w:rsidP="00F54D3D">
            <w:pPr>
              <w:ind w:firstLine="0"/>
              <w:rPr>
                <w:rFonts w:ascii="Times New Roman" w:hAnsi="Times New Roman" w:cs="Times New Roman"/>
                <w:b/>
                <w:color w:val="000000" w:themeColor="text1"/>
                <w:sz w:val="22"/>
              </w:rPr>
            </w:pPr>
            <w:r w:rsidRPr="00731FE2">
              <w:rPr>
                <w:rFonts w:ascii="Times New Roman" w:hAnsi="Times New Roman" w:cs="Times New Roman"/>
                <w:b/>
                <w:sz w:val="22"/>
              </w:rPr>
              <w:t>Обслуживаемые МО</w:t>
            </w:r>
          </w:p>
        </w:tc>
        <w:tc>
          <w:tcPr>
            <w:tcW w:w="2829" w:type="dxa"/>
            <w:gridSpan w:val="2"/>
          </w:tcPr>
          <w:p w14:paraId="2FE75386" w14:textId="2D79A438" w:rsidR="00F54D3D" w:rsidRPr="00731FE2" w:rsidRDefault="00F54D3D" w:rsidP="00F54D3D">
            <w:pPr>
              <w:ind w:firstLine="0"/>
              <w:rPr>
                <w:rFonts w:ascii="Times New Roman" w:hAnsi="Times New Roman" w:cs="Times New Roman"/>
                <w:b/>
                <w:color w:val="000000" w:themeColor="text1"/>
                <w:sz w:val="22"/>
              </w:rPr>
            </w:pPr>
            <w:r w:rsidRPr="00731FE2">
              <w:rPr>
                <w:rFonts w:ascii="Times New Roman" w:hAnsi="Times New Roman" w:cs="Times New Roman"/>
                <w:b/>
                <w:sz w:val="22"/>
              </w:rPr>
              <w:t>Направляется ТКО</w:t>
            </w:r>
          </w:p>
        </w:tc>
      </w:tr>
      <w:tr w:rsidR="00F54D3D" w:rsidRPr="00731FE2" w14:paraId="1619213F" w14:textId="77777777" w:rsidTr="00F54D3D">
        <w:tc>
          <w:tcPr>
            <w:tcW w:w="523" w:type="dxa"/>
            <w:vMerge/>
          </w:tcPr>
          <w:p w14:paraId="4AEBED87" w14:textId="77777777" w:rsidR="00F54D3D" w:rsidRPr="00731FE2" w:rsidRDefault="00F54D3D" w:rsidP="00F54D3D">
            <w:pPr>
              <w:ind w:firstLine="0"/>
              <w:rPr>
                <w:rFonts w:ascii="Times New Roman" w:hAnsi="Times New Roman" w:cs="Times New Roman"/>
                <w:b/>
                <w:color w:val="000000" w:themeColor="text1"/>
                <w:sz w:val="22"/>
              </w:rPr>
            </w:pPr>
          </w:p>
        </w:tc>
        <w:tc>
          <w:tcPr>
            <w:tcW w:w="1654" w:type="dxa"/>
            <w:vMerge/>
          </w:tcPr>
          <w:p w14:paraId="580432AD" w14:textId="77777777" w:rsidR="00F54D3D" w:rsidRPr="00731FE2" w:rsidRDefault="00F54D3D" w:rsidP="00F54D3D">
            <w:pPr>
              <w:ind w:firstLine="0"/>
              <w:rPr>
                <w:rFonts w:ascii="Times New Roman" w:hAnsi="Times New Roman" w:cs="Times New Roman"/>
                <w:b/>
                <w:sz w:val="22"/>
              </w:rPr>
            </w:pPr>
          </w:p>
        </w:tc>
        <w:tc>
          <w:tcPr>
            <w:tcW w:w="1646" w:type="dxa"/>
            <w:vMerge/>
          </w:tcPr>
          <w:p w14:paraId="3419007F" w14:textId="77777777" w:rsidR="00F54D3D" w:rsidRPr="00731FE2" w:rsidRDefault="00F54D3D" w:rsidP="00F54D3D">
            <w:pPr>
              <w:ind w:firstLine="0"/>
              <w:rPr>
                <w:rFonts w:ascii="Times New Roman" w:hAnsi="Times New Roman" w:cs="Times New Roman"/>
                <w:b/>
                <w:sz w:val="22"/>
              </w:rPr>
            </w:pPr>
          </w:p>
        </w:tc>
        <w:tc>
          <w:tcPr>
            <w:tcW w:w="2693" w:type="dxa"/>
            <w:vMerge/>
          </w:tcPr>
          <w:p w14:paraId="3E34E652" w14:textId="77777777" w:rsidR="00F54D3D" w:rsidRPr="00731FE2" w:rsidRDefault="00F54D3D" w:rsidP="00F54D3D">
            <w:pPr>
              <w:ind w:firstLine="0"/>
              <w:rPr>
                <w:rFonts w:ascii="Times New Roman" w:hAnsi="Times New Roman" w:cs="Times New Roman"/>
                <w:b/>
                <w:sz w:val="22"/>
              </w:rPr>
            </w:pPr>
          </w:p>
        </w:tc>
        <w:tc>
          <w:tcPr>
            <w:tcW w:w="1559" w:type="dxa"/>
          </w:tcPr>
          <w:p w14:paraId="0E74BDFF" w14:textId="0CD212BD" w:rsidR="00F54D3D" w:rsidRPr="00731FE2" w:rsidRDefault="00F54D3D" w:rsidP="00F54D3D">
            <w:pPr>
              <w:ind w:firstLine="0"/>
              <w:rPr>
                <w:rFonts w:ascii="Times New Roman" w:hAnsi="Times New Roman" w:cs="Times New Roman"/>
                <w:b/>
                <w:color w:val="000000" w:themeColor="text1"/>
                <w:sz w:val="22"/>
              </w:rPr>
            </w:pPr>
            <w:r w:rsidRPr="00731FE2">
              <w:rPr>
                <w:rFonts w:ascii="Times New Roman" w:hAnsi="Times New Roman" w:cs="Times New Roman"/>
                <w:b/>
                <w:sz w:val="22"/>
              </w:rPr>
              <w:t>в процентном отношении к общему количеству вывезенных ТКО (процентов)</w:t>
            </w:r>
          </w:p>
        </w:tc>
        <w:tc>
          <w:tcPr>
            <w:tcW w:w="1270" w:type="dxa"/>
          </w:tcPr>
          <w:p w14:paraId="2FA989D3" w14:textId="319E1674" w:rsidR="00F54D3D" w:rsidRPr="00731FE2" w:rsidRDefault="00F54D3D" w:rsidP="00F54D3D">
            <w:pPr>
              <w:ind w:firstLine="0"/>
              <w:rPr>
                <w:rFonts w:ascii="Times New Roman" w:hAnsi="Times New Roman" w:cs="Times New Roman"/>
                <w:b/>
                <w:color w:val="000000" w:themeColor="text1"/>
                <w:sz w:val="22"/>
              </w:rPr>
            </w:pPr>
            <w:r w:rsidRPr="00731FE2">
              <w:rPr>
                <w:rFonts w:ascii="Times New Roman" w:hAnsi="Times New Roman" w:cs="Times New Roman"/>
                <w:b/>
                <w:sz w:val="22"/>
              </w:rPr>
              <w:t>ориентировочное количество ТКО, направляемое на объект (тонн)</w:t>
            </w:r>
          </w:p>
        </w:tc>
      </w:tr>
      <w:tr w:rsidR="00F54D3D" w:rsidRPr="00731FE2" w14:paraId="5EBE99D8" w14:textId="77777777" w:rsidTr="00F54D3D">
        <w:tc>
          <w:tcPr>
            <w:tcW w:w="523" w:type="dxa"/>
          </w:tcPr>
          <w:p w14:paraId="270292A7" w14:textId="2FD7E2EB" w:rsidR="00F54D3D" w:rsidRPr="00731FE2" w:rsidRDefault="00F54D3D" w:rsidP="00F54D3D">
            <w:pPr>
              <w:ind w:firstLine="0"/>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1.</w:t>
            </w:r>
          </w:p>
        </w:tc>
        <w:tc>
          <w:tcPr>
            <w:tcW w:w="1654" w:type="dxa"/>
          </w:tcPr>
          <w:p w14:paraId="28C0CD49" w14:textId="792E1C66" w:rsidR="00F54D3D" w:rsidRPr="00731FE2" w:rsidRDefault="00F54D3D" w:rsidP="00F54D3D">
            <w:pPr>
              <w:ind w:firstLine="0"/>
              <w:rPr>
                <w:rFonts w:ascii="Times New Roman" w:hAnsi="Times New Roman" w:cs="Times New Roman"/>
                <w:color w:val="000000" w:themeColor="text1"/>
                <w:sz w:val="22"/>
              </w:rPr>
            </w:pPr>
            <w:r w:rsidRPr="00731FE2">
              <w:rPr>
                <w:rFonts w:ascii="Times New Roman" w:hAnsi="Times New Roman" w:cs="Times New Roman"/>
                <w:sz w:val="22"/>
              </w:rPr>
              <w:t xml:space="preserve">Зона деятельности №2 </w:t>
            </w:r>
          </w:p>
        </w:tc>
        <w:tc>
          <w:tcPr>
            <w:tcW w:w="1646" w:type="dxa"/>
          </w:tcPr>
          <w:p w14:paraId="07904157" w14:textId="79045C01" w:rsidR="00F54D3D" w:rsidRPr="00731FE2" w:rsidRDefault="00F54D3D" w:rsidP="00F54D3D">
            <w:pPr>
              <w:ind w:firstLine="0"/>
              <w:rPr>
                <w:rFonts w:ascii="Times New Roman" w:hAnsi="Times New Roman" w:cs="Times New Roman"/>
                <w:color w:val="000000" w:themeColor="text1"/>
                <w:sz w:val="22"/>
              </w:rPr>
            </w:pPr>
            <w:r w:rsidRPr="00731FE2">
              <w:rPr>
                <w:rFonts w:ascii="Times New Roman" w:hAnsi="Times New Roman" w:cs="Times New Roman"/>
                <w:sz w:val="22"/>
              </w:rPr>
              <w:t>МЗЦ «Советский»</w:t>
            </w:r>
          </w:p>
        </w:tc>
        <w:tc>
          <w:tcPr>
            <w:tcW w:w="2693" w:type="dxa"/>
          </w:tcPr>
          <w:p w14:paraId="44275596" w14:textId="2BB41518" w:rsidR="00F54D3D" w:rsidRPr="00731FE2" w:rsidRDefault="00F54D3D" w:rsidP="00F54D3D">
            <w:pPr>
              <w:ind w:firstLine="0"/>
              <w:rPr>
                <w:rFonts w:ascii="Times New Roman" w:hAnsi="Times New Roman" w:cs="Times New Roman"/>
                <w:color w:val="000000" w:themeColor="text1"/>
                <w:sz w:val="22"/>
              </w:rPr>
            </w:pPr>
            <w:proofErr w:type="gramStart"/>
            <w:r w:rsidRPr="00731FE2">
              <w:rPr>
                <w:rFonts w:ascii="Times New Roman" w:hAnsi="Times New Roman" w:cs="Times New Roman"/>
                <w:sz w:val="22"/>
              </w:rPr>
              <w:t xml:space="preserve">МО «Советский городской округ», МО «Курский район», МО «Степновский район», МО «Георгиевский городской округ», МО «Кировский городской округ», МО «Город Невинномысск», МО «Кочубеевский район», МО «Андроповский район», МО «Предгорный район», МО «Город-курорт Ессентуки», </w:t>
            </w:r>
            <w:r w:rsidRPr="00731FE2">
              <w:rPr>
                <w:rFonts w:ascii="Times New Roman" w:hAnsi="Times New Roman" w:cs="Times New Roman"/>
                <w:b/>
                <w:sz w:val="22"/>
              </w:rPr>
              <w:t>МО «Город-курорт Кисловодск»,</w:t>
            </w:r>
            <w:r w:rsidRPr="00731FE2">
              <w:rPr>
                <w:rFonts w:ascii="Times New Roman" w:hAnsi="Times New Roman" w:cs="Times New Roman"/>
                <w:sz w:val="22"/>
              </w:rPr>
              <w:t xml:space="preserve"> МО «Город Лермонтов», МО «Город-курорт Пятигорск», МО «Андроповский район», МО «Минераловодский городской округ», МО «Город-курорт Железноводск»</w:t>
            </w:r>
            <w:proofErr w:type="gramEnd"/>
          </w:p>
        </w:tc>
        <w:tc>
          <w:tcPr>
            <w:tcW w:w="1559" w:type="dxa"/>
          </w:tcPr>
          <w:p w14:paraId="340B3110" w14:textId="4C097B49" w:rsidR="00F54D3D" w:rsidRPr="00731FE2" w:rsidRDefault="00F54D3D" w:rsidP="00594330">
            <w:pPr>
              <w:ind w:firstLine="0"/>
              <w:jc w:val="center"/>
              <w:rPr>
                <w:rFonts w:ascii="Times New Roman" w:hAnsi="Times New Roman" w:cs="Times New Roman"/>
                <w:color w:val="000000" w:themeColor="text1"/>
                <w:sz w:val="22"/>
              </w:rPr>
            </w:pPr>
            <w:r w:rsidRPr="00731FE2">
              <w:rPr>
                <w:rFonts w:ascii="Times New Roman" w:hAnsi="Times New Roman" w:cs="Times New Roman"/>
                <w:sz w:val="22"/>
              </w:rPr>
              <w:t>13,43</w:t>
            </w:r>
          </w:p>
        </w:tc>
        <w:tc>
          <w:tcPr>
            <w:tcW w:w="1270" w:type="dxa"/>
          </w:tcPr>
          <w:p w14:paraId="2C65F6ED" w14:textId="259DB793" w:rsidR="00F54D3D" w:rsidRPr="00731FE2" w:rsidRDefault="00594330" w:rsidP="00594330">
            <w:pPr>
              <w:ind w:firstLine="0"/>
              <w:jc w:val="center"/>
              <w:rPr>
                <w:rFonts w:ascii="Times New Roman" w:hAnsi="Times New Roman" w:cs="Times New Roman"/>
                <w:color w:val="000000" w:themeColor="text1"/>
                <w:sz w:val="22"/>
              </w:rPr>
            </w:pPr>
            <w:r w:rsidRPr="00731FE2">
              <w:rPr>
                <w:rFonts w:ascii="Times New Roman" w:hAnsi="Times New Roman" w:cs="Times New Roman"/>
                <w:sz w:val="22"/>
              </w:rPr>
              <w:t>89</w:t>
            </w:r>
            <w:r w:rsidR="00F54D3D" w:rsidRPr="00731FE2">
              <w:rPr>
                <w:rFonts w:ascii="Times New Roman" w:hAnsi="Times New Roman" w:cs="Times New Roman"/>
                <w:sz w:val="22"/>
              </w:rPr>
              <w:t>107,32</w:t>
            </w:r>
          </w:p>
        </w:tc>
      </w:tr>
    </w:tbl>
    <w:p w14:paraId="546A88D9" w14:textId="77777777" w:rsidR="00F54D3D" w:rsidRPr="00731FE2" w:rsidRDefault="00F54D3D">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p>
    <w:p w14:paraId="59621D86" w14:textId="50615D11" w:rsidR="00F54D3D" w:rsidRPr="00731FE2" w:rsidRDefault="009E5E9F">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lastRenderedPageBreak/>
        <w:t>Поток ТКО с территории городского округа поступает на межмуниципальный зональный центр «Советский» - современный экологический отходоперерабатывающий комплекс, позволяющий производить селективную сортировку и переработку ТКО с последующим захоронением неутильной части на специализированном полигоне.</w:t>
      </w:r>
    </w:p>
    <w:p w14:paraId="53DA02E5" w14:textId="77777777" w:rsidR="009E5E9F" w:rsidRPr="00731FE2" w:rsidRDefault="009E5E9F">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p>
    <w:p w14:paraId="200D519F" w14:textId="7C6EAEFD" w:rsidR="00F54D3D" w:rsidRPr="00731FE2" w:rsidRDefault="00594330" w:rsidP="00594330">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b/>
          <w:bCs/>
          <w:color w:val="000000"/>
          <w:szCs w:val="24"/>
          <w:lang w:eastAsia="ru-RU"/>
        </w:rPr>
      </w:pPr>
      <w:r w:rsidRPr="00731FE2">
        <w:rPr>
          <w:rFonts w:ascii="Times New Roman" w:eastAsia="Times New Roman" w:hAnsi="Times New Roman" w:cs="Times New Roman"/>
          <w:b/>
          <w:bCs/>
          <w:color w:val="000000"/>
          <w:szCs w:val="24"/>
          <w:lang w:eastAsia="ru-RU"/>
        </w:rPr>
        <w:t xml:space="preserve">Таблица </w:t>
      </w:r>
      <w:r w:rsidRPr="00731FE2">
        <w:rPr>
          <w:rFonts w:ascii="Times New Roman" w:eastAsia="Times New Roman" w:hAnsi="Times New Roman" w:cs="Times New Roman"/>
          <w:b/>
          <w:bCs/>
          <w:color w:val="000000"/>
          <w:szCs w:val="24"/>
          <w:lang w:eastAsia="ru-RU"/>
        </w:rPr>
        <w:fldChar w:fldCharType="begin"/>
      </w:r>
      <w:r w:rsidRPr="00731FE2">
        <w:rPr>
          <w:rFonts w:ascii="Times New Roman" w:eastAsia="Times New Roman" w:hAnsi="Times New Roman" w:cs="Times New Roman"/>
          <w:b/>
          <w:bCs/>
          <w:color w:val="000000"/>
          <w:szCs w:val="24"/>
          <w:lang w:eastAsia="ru-RU"/>
        </w:rPr>
        <w:instrText xml:space="preserve"> SEQ Таблица \* Arabic </w:instrText>
      </w:r>
      <w:r w:rsidRPr="00731FE2">
        <w:rPr>
          <w:rFonts w:ascii="Times New Roman" w:eastAsia="Times New Roman" w:hAnsi="Times New Roman" w:cs="Times New Roman"/>
          <w:b/>
          <w:bCs/>
          <w:color w:val="000000"/>
          <w:szCs w:val="24"/>
          <w:lang w:eastAsia="ru-RU"/>
        </w:rPr>
        <w:fldChar w:fldCharType="separate"/>
      </w:r>
      <w:r w:rsidR="00C50915" w:rsidRPr="00731FE2">
        <w:rPr>
          <w:rFonts w:ascii="Times New Roman" w:eastAsia="Times New Roman" w:hAnsi="Times New Roman" w:cs="Times New Roman"/>
          <w:b/>
          <w:bCs/>
          <w:noProof/>
          <w:color w:val="000000"/>
          <w:szCs w:val="24"/>
          <w:lang w:eastAsia="ru-RU"/>
        </w:rPr>
        <w:t>46</w:t>
      </w:r>
      <w:r w:rsidRPr="00731FE2">
        <w:rPr>
          <w:rFonts w:ascii="Times New Roman" w:eastAsia="Times New Roman" w:hAnsi="Times New Roman" w:cs="Times New Roman"/>
          <w:b/>
          <w:bCs/>
          <w:color w:val="000000"/>
          <w:szCs w:val="24"/>
          <w:lang w:eastAsia="ru-RU"/>
        </w:rPr>
        <w:fldChar w:fldCharType="end"/>
      </w:r>
      <w:r w:rsidRPr="00731FE2">
        <w:rPr>
          <w:rFonts w:ascii="Times New Roman" w:eastAsia="Times New Roman" w:hAnsi="Times New Roman" w:cs="Times New Roman"/>
          <w:b/>
          <w:bCs/>
          <w:color w:val="000000"/>
          <w:szCs w:val="24"/>
          <w:lang w:eastAsia="ru-RU"/>
        </w:rPr>
        <w:t xml:space="preserve"> –</w:t>
      </w:r>
      <w:r w:rsidR="00D92011" w:rsidRPr="00731FE2">
        <w:rPr>
          <w:rFonts w:ascii="Times New Roman" w:eastAsia="Times New Roman" w:hAnsi="Times New Roman" w:cs="Times New Roman"/>
          <w:b/>
          <w:bCs/>
          <w:color w:val="000000"/>
          <w:szCs w:val="24"/>
          <w:lang w:eastAsia="ru-RU"/>
        </w:rPr>
        <w:t xml:space="preserve"> </w:t>
      </w:r>
      <w:r w:rsidR="00F54D3D" w:rsidRPr="00731FE2">
        <w:rPr>
          <w:rFonts w:ascii="Times New Roman" w:eastAsia="Times New Roman" w:hAnsi="Times New Roman" w:cs="Times New Roman"/>
          <w:b/>
          <w:bCs/>
          <w:color w:val="000000"/>
          <w:szCs w:val="24"/>
          <w:lang w:eastAsia="ru-RU"/>
        </w:rPr>
        <w:t>Охват населения услугой по вывозу ТКО</w:t>
      </w:r>
      <w:r w:rsidRPr="00731FE2">
        <w:rPr>
          <w:rFonts w:ascii="Times New Roman" w:eastAsia="Times New Roman" w:hAnsi="Times New Roman" w:cs="Times New Roman"/>
          <w:b/>
          <w:bCs/>
          <w:color w:val="000000"/>
          <w:szCs w:val="24"/>
          <w:lang w:eastAsia="ru-RU"/>
        </w:rPr>
        <w:t xml:space="preserve"> городского округа город-курорт Кисловодск</w:t>
      </w:r>
      <w:r w:rsidR="00CC75B2" w:rsidRPr="00731FE2">
        <w:rPr>
          <w:rStyle w:val="afb"/>
          <w:rFonts w:ascii="Times New Roman" w:eastAsia="Times New Roman" w:hAnsi="Times New Roman" w:cs="Times New Roman"/>
          <w:b/>
          <w:bCs/>
          <w:color w:val="000000"/>
          <w:szCs w:val="24"/>
          <w:vertAlign w:val="superscript"/>
          <w:lang w:eastAsia="ru-RU"/>
        </w:rPr>
        <w:footnoteReference w:id="87"/>
      </w:r>
    </w:p>
    <w:tbl>
      <w:tblPr>
        <w:tblStyle w:val="afe"/>
        <w:tblW w:w="0" w:type="auto"/>
        <w:tblLayout w:type="fixed"/>
        <w:tblLook w:val="04A0" w:firstRow="1" w:lastRow="0" w:firstColumn="1" w:lastColumn="0" w:noHBand="0" w:noVBand="1"/>
      </w:tblPr>
      <w:tblGrid>
        <w:gridCol w:w="421"/>
        <w:gridCol w:w="1417"/>
        <w:gridCol w:w="709"/>
        <w:gridCol w:w="850"/>
        <w:gridCol w:w="851"/>
        <w:gridCol w:w="992"/>
        <w:gridCol w:w="709"/>
        <w:gridCol w:w="850"/>
        <w:gridCol w:w="1276"/>
        <w:gridCol w:w="1270"/>
      </w:tblGrid>
      <w:tr w:rsidR="00594330" w:rsidRPr="00731FE2" w14:paraId="53526004" w14:textId="77777777" w:rsidTr="007940EC">
        <w:tc>
          <w:tcPr>
            <w:tcW w:w="421" w:type="dxa"/>
            <w:vMerge w:val="restart"/>
          </w:tcPr>
          <w:p w14:paraId="5B45DF1D" w14:textId="7957D19B" w:rsidR="00594330" w:rsidRPr="00731FE2" w:rsidRDefault="00594330">
            <w:pPr>
              <w:ind w:firstLine="0"/>
              <w:rPr>
                <w:rFonts w:ascii="Times New Roman" w:hAnsi="Times New Roman" w:cs="Times New Roman"/>
                <w:b/>
                <w:sz w:val="22"/>
              </w:rPr>
            </w:pPr>
            <w:r w:rsidRPr="00731FE2">
              <w:rPr>
                <w:rFonts w:ascii="Times New Roman" w:hAnsi="Times New Roman" w:cs="Times New Roman"/>
                <w:b/>
                <w:sz w:val="22"/>
              </w:rPr>
              <w:t xml:space="preserve">№ </w:t>
            </w:r>
            <w:proofErr w:type="gramStart"/>
            <w:r w:rsidRPr="00731FE2">
              <w:rPr>
                <w:rFonts w:ascii="Times New Roman" w:hAnsi="Times New Roman" w:cs="Times New Roman"/>
                <w:b/>
                <w:sz w:val="22"/>
              </w:rPr>
              <w:t>п</w:t>
            </w:r>
            <w:proofErr w:type="gramEnd"/>
            <w:r w:rsidRPr="00731FE2">
              <w:rPr>
                <w:rFonts w:ascii="Times New Roman" w:hAnsi="Times New Roman" w:cs="Times New Roman"/>
                <w:b/>
                <w:sz w:val="22"/>
              </w:rPr>
              <w:t>/п</w:t>
            </w:r>
          </w:p>
        </w:tc>
        <w:tc>
          <w:tcPr>
            <w:tcW w:w="1417" w:type="dxa"/>
            <w:vMerge w:val="restart"/>
          </w:tcPr>
          <w:p w14:paraId="228D5080" w14:textId="306C6336" w:rsidR="00594330" w:rsidRPr="00731FE2" w:rsidRDefault="00594330">
            <w:pPr>
              <w:ind w:firstLine="0"/>
              <w:rPr>
                <w:rFonts w:ascii="Times New Roman" w:hAnsi="Times New Roman" w:cs="Times New Roman"/>
                <w:b/>
                <w:sz w:val="22"/>
              </w:rPr>
            </w:pPr>
            <w:r w:rsidRPr="00731FE2">
              <w:rPr>
                <w:rFonts w:ascii="Times New Roman" w:hAnsi="Times New Roman" w:cs="Times New Roman"/>
                <w:b/>
                <w:sz w:val="22"/>
              </w:rPr>
              <w:t>Наименование муниципального образования</w:t>
            </w:r>
          </w:p>
        </w:tc>
        <w:tc>
          <w:tcPr>
            <w:tcW w:w="6237" w:type="dxa"/>
            <w:gridSpan w:val="7"/>
          </w:tcPr>
          <w:p w14:paraId="656F1E55" w14:textId="52FA3ADC" w:rsidR="00594330" w:rsidRPr="00731FE2" w:rsidRDefault="00594330" w:rsidP="00594330">
            <w:pPr>
              <w:ind w:firstLine="0"/>
              <w:jc w:val="center"/>
              <w:rPr>
                <w:rFonts w:ascii="Times New Roman" w:hAnsi="Times New Roman" w:cs="Times New Roman"/>
                <w:b/>
                <w:sz w:val="22"/>
              </w:rPr>
            </w:pPr>
            <w:r w:rsidRPr="00731FE2">
              <w:rPr>
                <w:rFonts w:ascii="Times New Roman" w:hAnsi="Times New Roman" w:cs="Times New Roman"/>
                <w:b/>
                <w:sz w:val="22"/>
              </w:rPr>
              <w:t>Система накопления ТКО</w:t>
            </w:r>
            <w:proofErr w:type="gramStart"/>
            <w:r w:rsidRPr="00731FE2">
              <w:rPr>
                <w:rFonts w:ascii="Times New Roman" w:hAnsi="Times New Roman" w:cs="Times New Roman"/>
                <w:b/>
                <w:sz w:val="22"/>
              </w:rPr>
              <w:t xml:space="preserve"> («+» - </w:t>
            </w:r>
            <w:proofErr w:type="gramEnd"/>
            <w:r w:rsidRPr="00731FE2">
              <w:rPr>
                <w:rFonts w:ascii="Times New Roman" w:hAnsi="Times New Roman" w:cs="Times New Roman"/>
                <w:b/>
                <w:sz w:val="22"/>
              </w:rPr>
              <w:t>наличие, «-» - отсутствие)</w:t>
            </w:r>
          </w:p>
        </w:tc>
        <w:tc>
          <w:tcPr>
            <w:tcW w:w="1270" w:type="dxa"/>
            <w:vMerge w:val="restart"/>
          </w:tcPr>
          <w:p w14:paraId="72EB98D0" w14:textId="1AB79A13" w:rsidR="00594330" w:rsidRPr="00731FE2" w:rsidRDefault="00594330">
            <w:pPr>
              <w:ind w:firstLine="0"/>
              <w:rPr>
                <w:rFonts w:ascii="Times New Roman" w:hAnsi="Times New Roman" w:cs="Times New Roman"/>
                <w:b/>
                <w:sz w:val="22"/>
              </w:rPr>
            </w:pPr>
            <w:r w:rsidRPr="00731FE2">
              <w:rPr>
                <w:rFonts w:ascii="Times New Roman" w:hAnsi="Times New Roman" w:cs="Times New Roman"/>
                <w:b/>
                <w:sz w:val="22"/>
              </w:rPr>
              <w:t>Комментарий</w:t>
            </w:r>
          </w:p>
        </w:tc>
      </w:tr>
      <w:tr w:rsidR="00594330" w:rsidRPr="00731FE2" w14:paraId="3A347E41" w14:textId="77777777" w:rsidTr="007940EC">
        <w:tc>
          <w:tcPr>
            <w:tcW w:w="421" w:type="dxa"/>
            <w:vMerge/>
          </w:tcPr>
          <w:p w14:paraId="1A3A6E6B" w14:textId="77777777" w:rsidR="00594330" w:rsidRPr="00731FE2" w:rsidRDefault="00594330">
            <w:pPr>
              <w:ind w:firstLine="0"/>
              <w:rPr>
                <w:rFonts w:ascii="Times New Roman" w:hAnsi="Times New Roman" w:cs="Times New Roman"/>
                <w:sz w:val="22"/>
              </w:rPr>
            </w:pPr>
          </w:p>
        </w:tc>
        <w:tc>
          <w:tcPr>
            <w:tcW w:w="1417" w:type="dxa"/>
            <w:vMerge/>
          </w:tcPr>
          <w:p w14:paraId="4EAAC71A" w14:textId="77777777" w:rsidR="00594330" w:rsidRPr="00731FE2" w:rsidRDefault="00594330">
            <w:pPr>
              <w:ind w:firstLine="0"/>
              <w:rPr>
                <w:rFonts w:ascii="Times New Roman" w:hAnsi="Times New Roman" w:cs="Times New Roman"/>
                <w:sz w:val="22"/>
              </w:rPr>
            </w:pPr>
          </w:p>
        </w:tc>
        <w:tc>
          <w:tcPr>
            <w:tcW w:w="709" w:type="dxa"/>
          </w:tcPr>
          <w:p w14:paraId="08A50E2F" w14:textId="35DF91A2" w:rsidR="00594330" w:rsidRPr="00731FE2" w:rsidRDefault="00594330">
            <w:pPr>
              <w:ind w:firstLine="0"/>
              <w:rPr>
                <w:rFonts w:ascii="Times New Roman" w:hAnsi="Times New Roman" w:cs="Times New Roman"/>
                <w:b/>
                <w:sz w:val="22"/>
              </w:rPr>
            </w:pPr>
            <w:r w:rsidRPr="00731FE2">
              <w:rPr>
                <w:rFonts w:ascii="Times New Roman" w:hAnsi="Times New Roman" w:cs="Times New Roman"/>
                <w:b/>
                <w:sz w:val="22"/>
              </w:rPr>
              <w:t>контейнерная</w:t>
            </w:r>
          </w:p>
        </w:tc>
        <w:tc>
          <w:tcPr>
            <w:tcW w:w="850" w:type="dxa"/>
          </w:tcPr>
          <w:p w14:paraId="3F1DDD78" w14:textId="2F3A7257" w:rsidR="00594330" w:rsidRPr="00731FE2" w:rsidRDefault="00594330">
            <w:pPr>
              <w:ind w:firstLine="0"/>
              <w:rPr>
                <w:rFonts w:ascii="Times New Roman" w:hAnsi="Times New Roman" w:cs="Times New Roman"/>
                <w:b/>
                <w:sz w:val="22"/>
              </w:rPr>
            </w:pPr>
            <w:r w:rsidRPr="00731FE2">
              <w:rPr>
                <w:rFonts w:ascii="Times New Roman" w:hAnsi="Times New Roman" w:cs="Times New Roman"/>
                <w:b/>
                <w:sz w:val="22"/>
              </w:rPr>
              <w:t>мусоропровод</w:t>
            </w:r>
          </w:p>
        </w:tc>
        <w:tc>
          <w:tcPr>
            <w:tcW w:w="851" w:type="dxa"/>
          </w:tcPr>
          <w:p w14:paraId="77C60780" w14:textId="46BD43DB" w:rsidR="00594330" w:rsidRPr="00731FE2" w:rsidRDefault="00594330">
            <w:pPr>
              <w:ind w:firstLine="0"/>
              <w:rPr>
                <w:rFonts w:ascii="Times New Roman" w:hAnsi="Times New Roman" w:cs="Times New Roman"/>
                <w:b/>
                <w:sz w:val="22"/>
              </w:rPr>
            </w:pPr>
            <w:r w:rsidRPr="00731FE2">
              <w:rPr>
                <w:rFonts w:ascii="Times New Roman" w:hAnsi="Times New Roman" w:cs="Times New Roman"/>
                <w:b/>
                <w:sz w:val="22"/>
              </w:rPr>
              <w:t>отдельная система КГО</w:t>
            </w:r>
          </w:p>
        </w:tc>
        <w:tc>
          <w:tcPr>
            <w:tcW w:w="992" w:type="dxa"/>
          </w:tcPr>
          <w:p w14:paraId="031AC193" w14:textId="2613D946" w:rsidR="00594330" w:rsidRPr="00731FE2" w:rsidRDefault="00594330">
            <w:pPr>
              <w:ind w:firstLine="0"/>
              <w:rPr>
                <w:rFonts w:ascii="Times New Roman" w:hAnsi="Times New Roman" w:cs="Times New Roman"/>
                <w:b/>
                <w:sz w:val="22"/>
              </w:rPr>
            </w:pPr>
            <w:r w:rsidRPr="00731FE2">
              <w:rPr>
                <w:rFonts w:ascii="Times New Roman" w:hAnsi="Times New Roman" w:cs="Times New Roman"/>
                <w:b/>
                <w:sz w:val="22"/>
              </w:rPr>
              <w:t>пакетированная</w:t>
            </w:r>
          </w:p>
        </w:tc>
        <w:tc>
          <w:tcPr>
            <w:tcW w:w="709" w:type="dxa"/>
          </w:tcPr>
          <w:p w14:paraId="3480D27C" w14:textId="022DAB92" w:rsidR="00594330" w:rsidRPr="00731FE2" w:rsidRDefault="00594330">
            <w:pPr>
              <w:ind w:firstLine="0"/>
              <w:rPr>
                <w:rFonts w:ascii="Times New Roman" w:hAnsi="Times New Roman" w:cs="Times New Roman"/>
                <w:b/>
                <w:sz w:val="22"/>
              </w:rPr>
            </w:pPr>
            <w:r w:rsidRPr="00731FE2">
              <w:rPr>
                <w:rFonts w:ascii="Times New Roman" w:hAnsi="Times New Roman" w:cs="Times New Roman"/>
                <w:b/>
                <w:sz w:val="22"/>
              </w:rPr>
              <w:t>по заявкам</w:t>
            </w:r>
          </w:p>
        </w:tc>
        <w:tc>
          <w:tcPr>
            <w:tcW w:w="850" w:type="dxa"/>
          </w:tcPr>
          <w:p w14:paraId="4D17ADB9" w14:textId="6938D87F" w:rsidR="00594330" w:rsidRPr="00731FE2" w:rsidRDefault="00594330">
            <w:pPr>
              <w:ind w:firstLine="0"/>
              <w:rPr>
                <w:rFonts w:ascii="Times New Roman" w:hAnsi="Times New Roman" w:cs="Times New Roman"/>
                <w:b/>
                <w:sz w:val="22"/>
              </w:rPr>
            </w:pPr>
            <w:r w:rsidRPr="00731FE2">
              <w:rPr>
                <w:rFonts w:ascii="Times New Roman" w:hAnsi="Times New Roman" w:cs="Times New Roman"/>
                <w:b/>
                <w:sz w:val="22"/>
              </w:rPr>
              <w:t>по графику</w:t>
            </w:r>
          </w:p>
        </w:tc>
        <w:tc>
          <w:tcPr>
            <w:tcW w:w="1276" w:type="dxa"/>
          </w:tcPr>
          <w:p w14:paraId="20707869" w14:textId="59B2C294" w:rsidR="00594330" w:rsidRPr="00731FE2" w:rsidRDefault="00594330">
            <w:pPr>
              <w:ind w:firstLine="0"/>
              <w:rPr>
                <w:rFonts w:ascii="Times New Roman" w:hAnsi="Times New Roman" w:cs="Times New Roman"/>
                <w:b/>
                <w:sz w:val="22"/>
              </w:rPr>
            </w:pPr>
            <w:r w:rsidRPr="00731FE2">
              <w:rPr>
                <w:rFonts w:ascii="Times New Roman" w:hAnsi="Times New Roman" w:cs="Times New Roman"/>
                <w:b/>
                <w:sz w:val="22"/>
              </w:rPr>
              <w:t>система раздельного накопления</w:t>
            </w:r>
          </w:p>
        </w:tc>
        <w:tc>
          <w:tcPr>
            <w:tcW w:w="1270" w:type="dxa"/>
            <w:vMerge/>
          </w:tcPr>
          <w:p w14:paraId="15C824B2" w14:textId="77777777" w:rsidR="00594330" w:rsidRPr="00731FE2" w:rsidRDefault="00594330">
            <w:pPr>
              <w:ind w:firstLine="0"/>
              <w:rPr>
                <w:rFonts w:ascii="Times New Roman" w:hAnsi="Times New Roman" w:cs="Times New Roman"/>
                <w:sz w:val="22"/>
              </w:rPr>
            </w:pPr>
          </w:p>
        </w:tc>
      </w:tr>
      <w:tr w:rsidR="00594330" w:rsidRPr="00731FE2" w14:paraId="184BAA63" w14:textId="77777777" w:rsidTr="007940EC">
        <w:tc>
          <w:tcPr>
            <w:tcW w:w="421" w:type="dxa"/>
          </w:tcPr>
          <w:p w14:paraId="0ADC694B" w14:textId="66ACE94B" w:rsidR="00F54D3D" w:rsidRPr="00731FE2" w:rsidRDefault="00594330">
            <w:pPr>
              <w:ind w:firstLine="0"/>
              <w:rPr>
                <w:rFonts w:ascii="Times New Roman" w:hAnsi="Times New Roman" w:cs="Times New Roman"/>
                <w:sz w:val="22"/>
              </w:rPr>
            </w:pPr>
            <w:r w:rsidRPr="00731FE2">
              <w:rPr>
                <w:rFonts w:ascii="Times New Roman" w:hAnsi="Times New Roman" w:cs="Times New Roman"/>
                <w:sz w:val="22"/>
              </w:rPr>
              <w:t>1.</w:t>
            </w:r>
          </w:p>
        </w:tc>
        <w:tc>
          <w:tcPr>
            <w:tcW w:w="1417" w:type="dxa"/>
          </w:tcPr>
          <w:p w14:paraId="44C02861" w14:textId="3BB3AC7D" w:rsidR="00F54D3D" w:rsidRPr="00731FE2" w:rsidRDefault="00594330" w:rsidP="00594330">
            <w:pPr>
              <w:ind w:firstLine="0"/>
              <w:rPr>
                <w:rFonts w:ascii="Times New Roman" w:hAnsi="Times New Roman" w:cs="Times New Roman"/>
                <w:sz w:val="22"/>
              </w:rPr>
            </w:pPr>
            <w:r w:rsidRPr="00731FE2">
              <w:rPr>
                <w:rFonts w:ascii="Times New Roman" w:hAnsi="Times New Roman" w:cs="Times New Roman"/>
                <w:sz w:val="22"/>
              </w:rPr>
              <w:t>Городской округ город-курорт Кисловодск</w:t>
            </w:r>
          </w:p>
        </w:tc>
        <w:tc>
          <w:tcPr>
            <w:tcW w:w="709" w:type="dxa"/>
          </w:tcPr>
          <w:p w14:paraId="1AD9EBAE" w14:textId="76ED1751" w:rsidR="00F54D3D" w:rsidRPr="00731FE2" w:rsidRDefault="00594330" w:rsidP="00594330">
            <w:pPr>
              <w:ind w:firstLine="0"/>
              <w:jc w:val="center"/>
              <w:rPr>
                <w:rFonts w:ascii="Times New Roman" w:hAnsi="Times New Roman" w:cs="Times New Roman"/>
                <w:sz w:val="22"/>
              </w:rPr>
            </w:pPr>
            <w:r w:rsidRPr="00731FE2">
              <w:rPr>
                <w:rFonts w:ascii="Times New Roman" w:hAnsi="Times New Roman" w:cs="Times New Roman"/>
                <w:sz w:val="22"/>
              </w:rPr>
              <w:t>+</w:t>
            </w:r>
          </w:p>
        </w:tc>
        <w:tc>
          <w:tcPr>
            <w:tcW w:w="850" w:type="dxa"/>
          </w:tcPr>
          <w:p w14:paraId="35332EE7" w14:textId="00A46B73" w:rsidR="00F54D3D" w:rsidRPr="00731FE2" w:rsidRDefault="00594330" w:rsidP="00594330">
            <w:pPr>
              <w:ind w:firstLine="0"/>
              <w:jc w:val="center"/>
              <w:rPr>
                <w:rFonts w:ascii="Times New Roman" w:hAnsi="Times New Roman" w:cs="Times New Roman"/>
                <w:sz w:val="22"/>
              </w:rPr>
            </w:pPr>
            <w:r w:rsidRPr="00731FE2">
              <w:rPr>
                <w:rFonts w:ascii="Times New Roman" w:hAnsi="Times New Roman" w:cs="Times New Roman"/>
                <w:sz w:val="22"/>
              </w:rPr>
              <w:t>+</w:t>
            </w:r>
          </w:p>
        </w:tc>
        <w:tc>
          <w:tcPr>
            <w:tcW w:w="851" w:type="dxa"/>
          </w:tcPr>
          <w:p w14:paraId="079B32B5" w14:textId="68FABE30" w:rsidR="00F54D3D" w:rsidRPr="00731FE2" w:rsidRDefault="00594330" w:rsidP="00594330">
            <w:pPr>
              <w:ind w:firstLine="0"/>
              <w:jc w:val="center"/>
              <w:rPr>
                <w:rFonts w:ascii="Times New Roman" w:hAnsi="Times New Roman" w:cs="Times New Roman"/>
                <w:sz w:val="22"/>
              </w:rPr>
            </w:pPr>
            <w:r w:rsidRPr="00731FE2">
              <w:rPr>
                <w:rFonts w:ascii="Times New Roman" w:hAnsi="Times New Roman" w:cs="Times New Roman"/>
                <w:sz w:val="22"/>
              </w:rPr>
              <w:t>-</w:t>
            </w:r>
          </w:p>
        </w:tc>
        <w:tc>
          <w:tcPr>
            <w:tcW w:w="992" w:type="dxa"/>
          </w:tcPr>
          <w:p w14:paraId="67F4F49C" w14:textId="765F3517" w:rsidR="00F54D3D" w:rsidRPr="00731FE2" w:rsidRDefault="00594330" w:rsidP="00594330">
            <w:pPr>
              <w:ind w:firstLine="0"/>
              <w:jc w:val="center"/>
              <w:rPr>
                <w:rFonts w:ascii="Times New Roman" w:hAnsi="Times New Roman" w:cs="Times New Roman"/>
                <w:sz w:val="22"/>
              </w:rPr>
            </w:pPr>
            <w:r w:rsidRPr="00731FE2">
              <w:rPr>
                <w:rFonts w:ascii="Times New Roman" w:hAnsi="Times New Roman" w:cs="Times New Roman"/>
                <w:sz w:val="22"/>
              </w:rPr>
              <w:t>-</w:t>
            </w:r>
          </w:p>
        </w:tc>
        <w:tc>
          <w:tcPr>
            <w:tcW w:w="709" w:type="dxa"/>
          </w:tcPr>
          <w:p w14:paraId="3B5900FB" w14:textId="3D84A4A6" w:rsidR="00F54D3D" w:rsidRPr="00731FE2" w:rsidRDefault="00594330" w:rsidP="00594330">
            <w:pPr>
              <w:ind w:firstLine="0"/>
              <w:jc w:val="center"/>
              <w:rPr>
                <w:rFonts w:ascii="Times New Roman" w:hAnsi="Times New Roman" w:cs="Times New Roman"/>
                <w:sz w:val="22"/>
              </w:rPr>
            </w:pPr>
            <w:r w:rsidRPr="00731FE2">
              <w:rPr>
                <w:rFonts w:ascii="Times New Roman" w:hAnsi="Times New Roman" w:cs="Times New Roman"/>
                <w:sz w:val="22"/>
              </w:rPr>
              <w:t>-</w:t>
            </w:r>
          </w:p>
        </w:tc>
        <w:tc>
          <w:tcPr>
            <w:tcW w:w="850" w:type="dxa"/>
          </w:tcPr>
          <w:p w14:paraId="60875DC5" w14:textId="24AD405C" w:rsidR="00F54D3D" w:rsidRPr="00731FE2" w:rsidRDefault="00594330" w:rsidP="00594330">
            <w:pPr>
              <w:ind w:firstLine="0"/>
              <w:jc w:val="center"/>
              <w:rPr>
                <w:rFonts w:ascii="Times New Roman" w:hAnsi="Times New Roman" w:cs="Times New Roman"/>
                <w:sz w:val="22"/>
              </w:rPr>
            </w:pPr>
            <w:r w:rsidRPr="00731FE2">
              <w:rPr>
                <w:rFonts w:ascii="Times New Roman" w:hAnsi="Times New Roman" w:cs="Times New Roman"/>
                <w:sz w:val="22"/>
              </w:rPr>
              <w:t>+</w:t>
            </w:r>
          </w:p>
        </w:tc>
        <w:tc>
          <w:tcPr>
            <w:tcW w:w="1276" w:type="dxa"/>
          </w:tcPr>
          <w:p w14:paraId="44253E6F" w14:textId="258ACAE9" w:rsidR="00F54D3D" w:rsidRPr="00731FE2" w:rsidRDefault="00594330" w:rsidP="00594330">
            <w:pPr>
              <w:ind w:firstLine="0"/>
              <w:jc w:val="center"/>
              <w:rPr>
                <w:rFonts w:ascii="Times New Roman" w:hAnsi="Times New Roman" w:cs="Times New Roman"/>
                <w:sz w:val="22"/>
              </w:rPr>
            </w:pPr>
            <w:r w:rsidRPr="00731FE2">
              <w:rPr>
                <w:rFonts w:ascii="Times New Roman" w:hAnsi="Times New Roman" w:cs="Times New Roman"/>
                <w:sz w:val="22"/>
              </w:rPr>
              <w:t>+</w:t>
            </w:r>
          </w:p>
        </w:tc>
        <w:tc>
          <w:tcPr>
            <w:tcW w:w="1270" w:type="dxa"/>
          </w:tcPr>
          <w:p w14:paraId="63D9096E" w14:textId="5C0FF6E4" w:rsidR="00F54D3D" w:rsidRPr="00731FE2" w:rsidRDefault="00594330" w:rsidP="00594330">
            <w:pPr>
              <w:ind w:firstLine="0"/>
              <w:rPr>
                <w:rFonts w:ascii="Times New Roman" w:hAnsi="Times New Roman" w:cs="Times New Roman"/>
                <w:sz w:val="22"/>
              </w:rPr>
            </w:pPr>
            <w:r w:rsidRPr="00731FE2">
              <w:rPr>
                <w:rFonts w:ascii="Times New Roman" w:hAnsi="Times New Roman" w:cs="Times New Roman"/>
                <w:sz w:val="22"/>
              </w:rPr>
              <w:t>по заявкам вывозится КГО</w:t>
            </w:r>
          </w:p>
        </w:tc>
      </w:tr>
    </w:tbl>
    <w:p w14:paraId="55BFCAA1" w14:textId="77777777" w:rsidR="00F54D3D" w:rsidRPr="00731FE2" w:rsidRDefault="00F54D3D">
      <w:pPr>
        <w:pBdr>
          <w:top w:val="none" w:sz="4" w:space="0" w:color="000000"/>
          <w:left w:val="none" w:sz="4" w:space="0" w:color="000000"/>
          <w:bottom w:val="none" w:sz="4" w:space="0" w:color="000000"/>
          <w:right w:val="none" w:sz="4" w:space="0" w:color="000000"/>
        </w:pBdr>
      </w:pPr>
    </w:p>
    <w:p w14:paraId="59DE68C7" w14:textId="77777777" w:rsidR="006B40AD" w:rsidRPr="00731FE2" w:rsidRDefault="006B40AD">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xml:space="preserve">Накопление твёрдых коммунальных отходов с территории городского округа может осуществляться несколькими различными способами: </w:t>
      </w:r>
    </w:p>
    <w:p w14:paraId="2D3F42F6" w14:textId="77777777" w:rsidR="006B40AD" w:rsidRPr="00731FE2" w:rsidRDefault="006B40AD" w:rsidP="00082C86">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szCs w:val="24"/>
        </w:rPr>
      </w:pPr>
      <w:r w:rsidRPr="00731FE2">
        <w:rPr>
          <w:rFonts w:ascii="Times New Roman" w:hAnsi="Times New Roman" w:cs="Times New Roman"/>
          <w:color w:val="000000" w:themeColor="text1"/>
        </w:rPr>
        <w:t xml:space="preserve">1. </w:t>
      </w:r>
      <w:r w:rsidRPr="00731FE2">
        <w:rPr>
          <w:rFonts w:ascii="Times New Roman" w:hAnsi="Times New Roman" w:cs="Times New Roman"/>
          <w:color w:val="000000" w:themeColor="text1"/>
          <w:szCs w:val="24"/>
        </w:rPr>
        <w:t>В контейнерах, расположенных на контейнерных площадках.</w:t>
      </w:r>
    </w:p>
    <w:p w14:paraId="152AF269" w14:textId="77777777" w:rsidR="006B40AD" w:rsidRPr="00731FE2" w:rsidRDefault="006B40AD" w:rsidP="00082C86">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szCs w:val="24"/>
        </w:rPr>
      </w:pPr>
      <w:r w:rsidRPr="00731FE2">
        <w:rPr>
          <w:rFonts w:ascii="Times New Roman" w:hAnsi="Times New Roman" w:cs="Times New Roman"/>
          <w:color w:val="000000" w:themeColor="text1"/>
          <w:szCs w:val="24"/>
        </w:rPr>
        <w:t xml:space="preserve">2. С использованием мусоропровода. </w:t>
      </w:r>
    </w:p>
    <w:p w14:paraId="2229CFE5" w14:textId="284BC913" w:rsidR="006B40AD" w:rsidRPr="00731FE2" w:rsidRDefault="00082C86" w:rsidP="00082C86">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szCs w:val="24"/>
        </w:rPr>
      </w:pPr>
      <w:r w:rsidRPr="00731FE2">
        <w:rPr>
          <w:rFonts w:ascii="Times New Roman" w:hAnsi="Times New Roman" w:cs="Times New Roman"/>
          <w:color w:val="000000" w:themeColor="text1"/>
          <w:szCs w:val="24"/>
        </w:rPr>
        <w:t>3</w:t>
      </w:r>
      <w:r w:rsidR="006B40AD" w:rsidRPr="00731FE2">
        <w:rPr>
          <w:rFonts w:ascii="Times New Roman" w:hAnsi="Times New Roman" w:cs="Times New Roman"/>
          <w:color w:val="000000" w:themeColor="text1"/>
          <w:szCs w:val="24"/>
        </w:rPr>
        <w:t xml:space="preserve">. </w:t>
      </w:r>
      <w:r w:rsidRPr="00731FE2">
        <w:rPr>
          <w:rFonts w:ascii="Times New Roman" w:hAnsi="Times New Roman" w:cs="Times New Roman"/>
          <w:color w:val="000000" w:themeColor="text1"/>
          <w:szCs w:val="24"/>
        </w:rPr>
        <w:t>Система раздельного накопления.</w:t>
      </w:r>
    </w:p>
    <w:p w14:paraId="0CBF772E" w14:textId="4D6EB33A" w:rsidR="00082C86" w:rsidRPr="00731FE2" w:rsidRDefault="00082C86" w:rsidP="00082C86">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szCs w:val="24"/>
        </w:rPr>
      </w:pPr>
      <w:r w:rsidRPr="00731FE2">
        <w:rPr>
          <w:rFonts w:ascii="Times New Roman" w:hAnsi="Times New Roman" w:cs="Times New Roman"/>
          <w:color w:val="000000" w:themeColor="text1"/>
          <w:szCs w:val="24"/>
        </w:rPr>
        <w:t>ТКО вывозится по графику, крупногабаритные отходы по заявкам.</w:t>
      </w:r>
    </w:p>
    <w:p w14:paraId="2ADEA23F" w14:textId="0E65C50B" w:rsidR="00082C86" w:rsidRPr="00731FE2" w:rsidRDefault="00CC75B2" w:rsidP="00082C86">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szCs w:val="24"/>
        </w:rPr>
      </w:pPr>
      <w:r w:rsidRPr="00731FE2">
        <w:rPr>
          <w:rFonts w:ascii="Times New Roman" w:hAnsi="Times New Roman" w:cs="Times New Roman"/>
          <w:color w:val="000000" w:themeColor="text1"/>
          <w:szCs w:val="24"/>
        </w:rPr>
        <w:t>По данным Территориальной схемы обращения с отходами в Ставропольском крае, в</w:t>
      </w:r>
      <w:r w:rsidR="00082C86" w:rsidRPr="00731FE2">
        <w:rPr>
          <w:rFonts w:ascii="Times New Roman" w:hAnsi="Times New Roman" w:cs="Times New Roman"/>
          <w:color w:val="000000" w:themeColor="text1"/>
          <w:szCs w:val="24"/>
        </w:rPr>
        <w:t xml:space="preserve">сего на территории городского округа </w:t>
      </w:r>
      <w:r w:rsidRPr="00731FE2">
        <w:rPr>
          <w:rFonts w:ascii="Times New Roman" w:hAnsi="Times New Roman" w:cs="Times New Roman"/>
          <w:color w:val="000000" w:themeColor="text1"/>
          <w:szCs w:val="24"/>
        </w:rPr>
        <w:t xml:space="preserve">расположены </w:t>
      </w:r>
      <w:r w:rsidR="00082C86" w:rsidRPr="00731FE2">
        <w:rPr>
          <w:rFonts w:ascii="Times New Roman" w:hAnsi="Times New Roman" w:cs="Times New Roman"/>
          <w:color w:val="000000" w:themeColor="text1"/>
          <w:szCs w:val="24"/>
        </w:rPr>
        <w:t>2 объекта обработки отходов (</w:t>
      </w:r>
      <w:r w:rsidR="00082C86" w:rsidRPr="00731FE2">
        <w:rPr>
          <w:rFonts w:ascii="Times New Roman" w:hAnsi="Times New Roman" w:cs="Times New Roman"/>
          <w:szCs w:val="24"/>
        </w:rPr>
        <w:t>ООО «Уборочные технологии», ЗАО «Ставмет») и 1 объект обезвреживания медицинских отходов.</w:t>
      </w:r>
    </w:p>
    <w:p w14:paraId="39CD53DC" w14:textId="6F704DA0" w:rsidR="00F54D3D" w:rsidRPr="00731FE2" w:rsidRDefault="00D92011" w:rsidP="006B40AD">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b/>
          <w:bCs/>
          <w:color w:val="000000"/>
          <w:szCs w:val="24"/>
          <w:lang w:eastAsia="ru-RU"/>
        </w:rPr>
      </w:pPr>
      <w:r w:rsidRPr="00731FE2">
        <w:rPr>
          <w:rFonts w:ascii="Times New Roman" w:eastAsia="Times New Roman" w:hAnsi="Times New Roman" w:cs="Times New Roman"/>
          <w:b/>
          <w:bCs/>
          <w:color w:val="000000"/>
          <w:szCs w:val="24"/>
          <w:lang w:eastAsia="ru-RU"/>
        </w:rPr>
        <w:t xml:space="preserve">Таблица </w:t>
      </w:r>
      <w:r w:rsidRPr="00731FE2">
        <w:rPr>
          <w:rFonts w:ascii="Times New Roman" w:eastAsia="Times New Roman" w:hAnsi="Times New Roman" w:cs="Times New Roman"/>
          <w:b/>
          <w:bCs/>
          <w:color w:val="000000"/>
          <w:szCs w:val="24"/>
          <w:lang w:eastAsia="ru-RU"/>
        </w:rPr>
        <w:fldChar w:fldCharType="begin"/>
      </w:r>
      <w:r w:rsidRPr="00731FE2">
        <w:rPr>
          <w:rFonts w:ascii="Times New Roman" w:eastAsia="Times New Roman" w:hAnsi="Times New Roman" w:cs="Times New Roman"/>
          <w:b/>
          <w:bCs/>
          <w:color w:val="000000"/>
          <w:szCs w:val="24"/>
          <w:lang w:eastAsia="ru-RU"/>
        </w:rPr>
        <w:instrText xml:space="preserve"> SEQ Таблица \* Arabic </w:instrText>
      </w:r>
      <w:r w:rsidRPr="00731FE2">
        <w:rPr>
          <w:rFonts w:ascii="Times New Roman" w:eastAsia="Times New Roman" w:hAnsi="Times New Roman" w:cs="Times New Roman"/>
          <w:b/>
          <w:bCs/>
          <w:color w:val="000000"/>
          <w:szCs w:val="24"/>
          <w:lang w:eastAsia="ru-RU"/>
        </w:rPr>
        <w:fldChar w:fldCharType="separate"/>
      </w:r>
      <w:r w:rsidR="00C50915" w:rsidRPr="00731FE2">
        <w:rPr>
          <w:rFonts w:ascii="Times New Roman" w:eastAsia="Times New Roman" w:hAnsi="Times New Roman" w:cs="Times New Roman"/>
          <w:b/>
          <w:bCs/>
          <w:noProof/>
          <w:color w:val="000000"/>
          <w:szCs w:val="24"/>
          <w:lang w:eastAsia="ru-RU"/>
        </w:rPr>
        <w:t>47</w:t>
      </w:r>
      <w:r w:rsidRPr="00731FE2">
        <w:rPr>
          <w:rFonts w:ascii="Times New Roman" w:eastAsia="Times New Roman" w:hAnsi="Times New Roman" w:cs="Times New Roman"/>
          <w:b/>
          <w:bCs/>
          <w:color w:val="000000"/>
          <w:szCs w:val="24"/>
          <w:lang w:eastAsia="ru-RU"/>
        </w:rPr>
        <w:fldChar w:fldCharType="end"/>
      </w:r>
      <w:r w:rsidRPr="00731FE2">
        <w:rPr>
          <w:rFonts w:ascii="Times New Roman" w:eastAsia="Times New Roman" w:hAnsi="Times New Roman" w:cs="Times New Roman"/>
          <w:b/>
          <w:bCs/>
          <w:color w:val="000000"/>
          <w:szCs w:val="24"/>
          <w:lang w:eastAsia="ru-RU"/>
        </w:rPr>
        <w:t xml:space="preserve"> – </w:t>
      </w:r>
      <w:r w:rsidR="007940EC" w:rsidRPr="00731FE2">
        <w:rPr>
          <w:rFonts w:ascii="Times New Roman" w:eastAsia="Times New Roman" w:hAnsi="Times New Roman" w:cs="Times New Roman"/>
          <w:b/>
          <w:bCs/>
          <w:color w:val="000000"/>
          <w:szCs w:val="24"/>
          <w:lang w:eastAsia="ru-RU"/>
        </w:rPr>
        <w:t>Объекты обработки отходов</w:t>
      </w:r>
    </w:p>
    <w:tbl>
      <w:tblPr>
        <w:tblStyle w:val="afe"/>
        <w:tblW w:w="0" w:type="auto"/>
        <w:tblLook w:val="04A0" w:firstRow="1" w:lastRow="0" w:firstColumn="1" w:lastColumn="0" w:noHBand="0" w:noVBand="1"/>
      </w:tblPr>
      <w:tblGrid>
        <w:gridCol w:w="562"/>
        <w:gridCol w:w="2552"/>
        <w:gridCol w:w="2630"/>
        <w:gridCol w:w="1927"/>
        <w:gridCol w:w="1674"/>
      </w:tblGrid>
      <w:tr w:rsidR="007940EC" w:rsidRPr="00731FE2" w14:paraId="5632A12B" w14:textId="77777777" w:rsidTr="006B40AD">
        <w:tc>
          <w:tcPr>
            <w:tcW w:w="562" w:type="dxa"/>
          </w:tcPr>
          <w:p w14:paraId="09602033" w14:textId="24E54C60" w:rsidR="007940EC" w:rsidRPr="00731FE2" w:rsidRDefault="007940EC" w:rsidP="007940EC">
            <w:pPr>
              <w:ind w:firstLine="0"/>
              <w:rPr>
                <w:rFonts w:ascii="Times New Roman" w:hAnsi="Times New Roman" w:cs="Times New Roman"/>
                <w:sz w:val="22"/>
              </w:rPr>
            </w:pPr>
            <w:r w:rsidRPr="00731FE2">
              <w:rPr>
                <w:rFonts w:ascii="Times New Roman" w:hAnsi="Times New Roman" w:cs="Times New Roman"/>
                <w:b/>
                <w:sz w:val="22"/>
              </w:rPr>
              <w:t xml:space="preserve">№ </w:t>
            </w:r>
            <w:proofErr w:type="gramStart"/>
            <w:r w:rsidRPr="00731FE2">
              <w:rPr>
                <w:rFonts w:ascii="Times New Roman" w:hAnsi="Times New Roman" w:cs="Times New Roman"/>
                <w:b/>
                <w:sz w:val="22"/>
              </w:rPr>
              <w:t>п</w:t>
            </w:r>
            <w:proofErr w:type="gramEnd"/>
            <w:r w:rsidRPr="00731FE2">
              <w:rPr>
                <w:rFonts w:ascii="Times New Roman" w:hAnsi="Times New Roman" w:cs="Times New Roman"/>
                <w:b/>
                <w:sz w:val="22"/>
              </w:rPr>
              <w:t>/п</w:t>
            </w:r>
          </w:p>
        </w:tc>
        <w:tc>
          <w:tcPr>
            <w:tcW w:w="2552" w:type="dxa"/>
          </w:tcPr>
          <w:p w14:paraId="47C008C9" w14:textId="34311AD3" w:rsidR="007940EC" w:rsidRPr="00731FE2" w:rsidRDefault="007940EC" w:rsidP="007940EC">
            <w:pPr>
              <w:ind w:firstLine="0"/>
              <w:rPr>
                <w:rFonts w:ascii="Times New Roman" w:hAnsi="Times New Roman" w:cs="Times New Roman"/>
                <w:b/>
                <w:sz w:val="22"/>
              </w:rPr>
            </w:pPr>
            <w:r w:rsidRPr="00731FE2">
              <w:rPr>
                <w:rFonts w:ascii="Times New Roman" w:hAnsi="Times New Roman" w:cs="Times New Roman"/>
                <w:b/>
                <w:sz w:val="22"/>
              </w:rPr>
              <w:t>Наименование эксплуатирующей организации</w:t>
            </w:r>
          </w:p>
        </w:tc>
        <w:tc>
          <w:tcPr>
            <w:tcW w:w="2630" w:type="dxa"/>
          </w:tcPr>
          <w:p w14:paraId="2D1DF311" w14:textId="1F9A91EE" w:rsidR="007940EC" w:rsidRPr="00731FE2" w:rsidRDefault="007940EC" w:rsidP="007940EC">
            <w:pPr>
              <w:ind w:firstLine="0"/>
              <w:rPr>
                <w:rFonts w:ascii="Times New Roman" w:hAnsi="Times New Roman" w:cs="Times New Roman"/>
                <w:b/>
                <w:sz w:val="22"/>
              </w:rPr>
            </w:pPr>
            <w:r w:rsidRPr="00731FE2">
              <w:rPr>
                <w:rFonts w:ascii="Times New Roman" w:hAnsi="Times New Roman" w:cs="Times New Roman"/>
                <w:b/>
                <w:sz w:val="22"/>
              </w:rPr>
              <w:t>Адрес</w:t>
            </w:r>
          </w:p>
        </w:tc>
        <w:tc>
          <w:tcPr>
            <w:tcW w:w="1927" w:type="dxa"/>
          </w:tcPr>
          <w:p w14:paraId="7102AA2A" w14:textId="6189B6BB" w:rsidR="007940EC" w:rsidRPr="00731FE2" w:rsidRDefault="007940EC" w:rsidP="007940EC">
            <w:pPr>
              <w:ind w:firstLine="0"/>
              <w:rPr>
                <w:rFonts w:ascii="Times New Roman" w:hAnsi="Times New Roman" w:cs="Times New Roman"/>
                <w:b/>
                <w:sz w:val="22"/>
              </w:rPr>
            </w:pPr>
            <w:r w:rsidRPr="00731FE2">
              <w:rPr>
                <w:rFonts w:ascii="Times New Roman" w:hAnsi="Times New Roman" w:cs="Times New Roman"/>
                <w:b/>
                <w:sz w:val="22"/>
              </w:rPr>
              <w:t>Коды ФККО обрабатываемых отходов/вид отходов</w:t>
            </w:r>
          </w:p>
        </w:tc>
        <w:tc>
          <w:tcPr>
            <w:tcW w:w="1674" w:type="dxa"/>
          </w:tcPr>
          <w:p w14:paraId="0E47090B" w14:textId="320DC741" w:rsidR="007940EC" w:rsidRPr="00731FE2" w:rsidRDefault="007940EC" w:rsidP="007940EC">
            <w:pPr>
              <w:ind w:firstLine="0"/>
              <w:rPr>
                <w:rFonts w:ascii="Times New Roman" w:hAnsi="Times New Roman" w:cs="Times New Roman"/>
                <w:b/>
                <w:sz w:val="22"/>
              </w:rPr>
            </w:pPr>
            <w:r w:rsidRPr="00731FE2">
              <w:rPr>
                <w:rFonts w:ascii="Times New Roman" w:hAnsi="Times New Roman" w:cs="Times New Roman"/>
                <w:b/>
                <w:sz w:val="22"/>
              </w:rPr>
              <w:t>Проектная мощность объекта (тонн/год)</w:t>
            </w:r>
          </w:p>
        </w:tc>
      </w:tr>
      <w:tr w:rsidR="007940EC" w:rsidRPr="00731FE2" w14:paraId="38E191B7" w14:textId="77777777" w:rsidTr="006B40AD">
        <w:tc>
          <w:tcPr>
            <w:tcW w:w="562" w:type="dxa"/>
          </w:tcPr>
          <w:p w14:paraId="6F5DD4F8" w14:textId="425ED56E" w:rsidR="007940EC" w:rsidRPr="00731FE2" w:rsidRDefault="006B40AD" w:rsidP="007940EC">
            <w:pPr>
              <w:ind w:firstLine="0"/>
              <w:rPr>
                <w:rFonts w:ascii="Times New Roman" w:hAnsi="Times New Roman" w:cs="Times New Roman"/>
                <w:sz w:val="22"/>
              </w:rPr>
            </w:pPr>
            <w:r w:rsidRPr="00731FE2">
              <w:rPr>
                <w:rFonts w:ascii="Times New Roman" w:hAnsi="Times New Roman" w:cs="Times New Roman"/>
                <w:sz w:val="22"/>
              </w:rPr>
              <w:t>1.</w:t>
            </w:r>
          </w:p>
        </w:tc>
        <w:tc>
          <w:tcPr>
            <w:tcW w:w="2552" w:type="dxa"/>
          </w:tcPr>
          <w:p w14:paraId="7DC032F0" w14:textId="64C8520B" w:rsidR="007940EC" w:rsidRPr="00731FE2" w:rsidRDefault="007940EC" w:rsidP="007940EC">
            <w:pPr>
              <w:ind w:firstLine="0"/>
              <w:rPr>
                <w:rFonts w:ascii="Times New Roman" w:hAnsi="Times New Roman" w:cs="Times New Roman"/>
                <w:sz w:val="22"/>
              </w:rPr>
            </w:pPr>
            <w:r w:rsidRPr="00731FE2">
              <w:rPr>
                <w:rFonts w:ascii="Times New Roman" w:hAnsi="Times New Roman" w:cs="Times New Roman"/>
                <w:sz w:val="22"/>
              </w:rPr>
              <w:t>ООО «Уборочные технологии»</w:t>
            </w:r>
          </w:p>
        </w:tc>
        <w:tc>
          <w:tcPr>
            <w:tcW w:w="2630" w:type="dxa"/>
          </w:tcPr>
          <w:p w14:paraId="516F2356" w14:textId="6E28BCCD" w:rsidR="007940EC" w:rsidRPr="00731FE2" w:rsidRDefault="007940EC" w:rsidP="007940EC">
            <w:pPr>
              <w:ind w:firstLine="0"/>
              <w:rPr>
                <w:rFonts w:ascii="Times New Roman" w:hAnsi="Times New Roman" w:cs="Times New Roman"/>
                <w:sz w:val="22"/>
              </w:rPr>
            </w:pPr>
            <w:r w:rsidRPr="00731FE2">
              <w:rPr>
                <w:rFonts w:ascii="Times New Roman" w:hAnsi="Times New Roman" w:cs="Times New Roman"/>
                <w:sz w:val="22"/>
              </w:rPr>
              <w:t xml:space="preserve">Ставропольский край, г. Кисловодск, ул. </w:t>
            </w:r>
            <w:proofErr w:type="gramStart"/>
            <w:r w:rsidRPr="00731FE2">
              <w:rPr>
                <w:rFonts w:ascii="Times New Roman" w:hAnsi="Times New Roman" w:cs="Times New Roman"/>
                <w:sz w:val="22"/>
              </w:rPr>
              <w:t>Промышленная</w:t>
            </w:r>
            <w:proofErr w:type="gramEnd"/>
            <w:r w:rsidRPr="00731FE2">
              <w:rPr>
                <w:rFonts w:ascii="Times New Roman" w:hAnsi="Times New Roman" w:cs="Times New Roman"/>
                <w:sz w:val="22"/>
              </w:rPr>
              <w:t>, 14</w:t>
            </w:r>
          </w:p>
        </w:tc>
        <w:tc>
          <w:tcPr>
            <w:tcW w:w="1927" w:type="dxa"/>
          </w:tcPr>
          <w:p w14:paraId="2FAB87B7" w14:textId="037E8C8B" w:rsidR="007940EC" w:rsidRPr="00731FE2" w:rsidRDefault="007940EC" w:rsidP="007940EC">
            <w:pPr>
              <w:ind w:firstLine="0"/>
              <w:rPr>
                <w:rFonts w:ascii="Times New Roman" w:hAnsi="Times New Roman" w:cs="Times New Roman"/>
                <w:sz w:val="22"/>
              </w:rPr>
            </w:pPr>
            <w:r w:rsidRPr="00731FE2">
              <w:rPr>
                <w:rFonts w:ascii="Times New Roman" w:hAnsi="Times New Roman" w:cs="Times New Roman"/>
                <w:sz w:val="22"/>
              </w:rPr>
              <w:t>90000000000</w:t>
            </w:r>
          </w:p>
        </w:tc>
        <w:tc>
          <w:tcPr>
            <w:tcW w:w="1674" w:type="dxa"/>
          </w:tcPr>
          <w:p w14:paraId="6282396A" w14:textId="0FB04ABB" w:rsidR="007940EC" w:rsidRPr="00731FE2" w:rsidRDefault="007940EC" w:rsidP="007940EC">
            <w:pPr>
              <w:ind w:firstLine="0"/>
              <w:rPr>
                <w:rFonts w:ascii="Times New Roman" w:hAnsi="Times New Roman" w:cs="Times New Roman"/>
                <w:sz w:val="22"/>
              </w:rPr>
            </w:pPr>
            <w:r w:rsidRPr="00731FE2">
              <w:rPr>
                <w:rFonts w:ascii="Times New Roman" w:hAnsi="Times New Roman" w:cs="Times New Roman"/>
                <w:sz w:val="22"/>
              </w:rPr>
              <w:t>69 000</w:t>
            </w:r>
          </w:p>
        </w:tc>
      </w:tr>
      <w:tr w:rsidR="007940EC" w:rsidRPr="00731FE2" w14:paraId="6830ACA9" w14:textId="77777777" w:rsidTr="006B40AD">
        <w:tc>
          <w:tcPr>
            <w:tcW w:w="562" w:type="dxa"/>
          </w:tcPr>
          <w:p w14:paraId="409FFD23" w14:textId="4B2EC2CA" w:rsidR="007940EC" w:rsidRPr="00731FE2" w:rsidRDefault="006B40AD" w:rsidP="007940EC">
            <w:pPr>
              <w:ind w:firstLine="0"/>
              <w:rPr>
                <w:rFonts w:ascii="Times New Roman" w:hAnsi="Times New Roman" w:cs="Times New Roman"/>
                <w:sz w:val="22"/>
              </w:rPr>
            </w:pPr>
            <w:r w:rsidRPr="00731FE2">
              <w:rPr>
                <w:rFonts w:ascii="Times New Roman" w:hAnsi="Times New Roman" w:cs="Times New Roman"/>
                <w:sz w:val="22"/>
              </w:rPr>
              <w:t>2.</w:t>
            </w:r>
          </w:p>
        </w:tc>
        <w:tc>
          <w:tcPr>
            <w:tcW w:w="2552" w:type="dxa"/>
          </w:tcPr>
          <w:p w14:paraId="54BEF185" w14:textId="3D75A3E3" w:rsidR="007940EC" w:rsidRPr="00731FE2" w:rsidRDefault="007940EC" w:rsidP="007940EC">
            <w:pPr>
              <w:ind w:firstLine="0"/>
              <w:rPr>
                <w:rFonts w:ascii="Times New Roman" w:hAnsi="Times New Roman" w:cs="Times New Roman"/>
                <w:sz w:val="22"/>
              </w:rPr>
            </w:pPr>
            <w:r w:rsidRPr="00731FE2">
              <w:rPr>
                <w:rFonts w:ascii="Times New Roman" w:hAnsi="Times New Roman" w:cs="Times New Roman"/>
                <w:sz w:val="22"/>
              </w:rPr>
              <w:t>ЗАО «Ставмет»</w:t>
            </w:r>
          </w:p>
        </w:tc>
        <w:tc>
          <w:tcPr>
            <w:tcW w:w="2630" w:type="dxa"/>
          </w:tcPr>
          <w:p w14:paraId="3C4451EF" w14:textId="2A65568F" w:rsidR="007940EC" w:rsidRPr="00731FE2" w:rsidRDefault="007940EC" w:rsidP="007940EC">
            <w:pPr>
              <w:ind w:firstLine="0"/>
              <w:rPr>
                <w:rFonts w:ascii="Times New Roman" w:hAnsi="Times New Roman" w:cs="Times New Roman"/>
                <w:sz w:val="22"/>
              </w:rPr>
            </w:pPr>
            <w:r w:rsidRPr="00731FE2">
              <w:rPr>
                <w:rFonts w:ascii="Times New Roman" w:hAnsi="Times New Roman" w:cs="Times New Roman"/>
                <w:sz w:val="22"/>
              </w:rPr>
              <w:t>Ставропольский край, г. Пятигорск, Кисловодское шоссе, № 25</w:t>
            </w:r>
          </w:p>
        </w:tc>
        <w:tc>
          <w:tcPr>
            <w:tcW w:w="1927" w:type="dxa"/>
          </w:tcPr>
          <w:p w14:paraId="240816C4" w14:textId="397DA092" w:rsidR="007940EC" w:rsidRPr="00731FE2" w:rsidRDefault="007940EC" w:rsidP="007940EC">
            <w:pPr>
              <w:ind w:firstLine="0"/>
              <w:rPr>
                <w:rFonts w:ascii="Times New Roman" w:hAnsi="Times New Roman" w:cs="Times New Roman"/>
                <w:sz w:val="22"/>
              </w:rPr>
            </w:pPr>
            <w:r w:rsidRPr="00731FE2">
              <w:rPr>
                <w:rFonts w:ascii="Times New Roman" w:hAnsi="Times New Roman" w:cs="Times New Roman"/>
                <w:sz w:val="22"/>
              </w:rPr>
              <w:t>отходы производства и потребления за исключением ТКО</w:t>
            </w:r>
          </w:p>
        </w:tc>
        <w:tc>
          <w:tcPr>
            <w:tcW w:w="1674" w:type="dxa"/>
          </w:tcPr>
          <w:p w14:paraId="655E27FB" w14:textId="7FF506FE" w:rsidR="007940EC" w:rsidRPr="00731FE2" w:rsidRDefault="007940EC" w:rsidP="007940EC">
            <w:pPr>
              <w:ind w:firstLine="0"/>
              <w:rPr>
                <w:rFonts w:ascii="Times New Roman" w:hAnsi="Times New Roman" w:cs="Times New Roman"/>
                <w:sz w:val="22"/>
              </w:rPr>
            </w:pPr>
            <w:r w:rsidRPr="00731FE2">
              <w:rPr>
                <w:rFonts w:ascii="Times New Roman" w:hAnsi="Times New Roman" w:cs="Times New Roman"/>
                <w:sz w:val="22"/>
              </w:rPr>
              <w:t>70 000</w:t>
            </w:r>
          </w:p>
        </w:tc>
      </w:tr>
    </w:tbl>
    <w:p w14:paraId="761A4404" w14:textId="52198DD2" w:rsidR="007940EC" w:rsidRPr="00731FE2" w:rsidRDefault="006B40AD" w:rsidP="006B40AD">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b/>
          <w:bCs/>
          <w:color w:val="000000"/>
          <w:szCs w:val="24"/>
          <w:lang w:eastAsia="ru-RU"/>
        </w:rPr>
      </w:pPr>
      <w:r w:rsidRPr="00731FE2">
        <w:rPr>
          <w:rFonts w:ascii="Times New Roman" w:eastAsia="Times New Roman" w:hAnsi="Times New Roman" w:cs="Times New Roman"/>
          <w:b/>
          <w:bCs/>
          <w:color w:val="000000"/>
          <w:szCs w:val="24"/>
          <w:lang w:eastAsia="ru-RU"/>
        </w:rPr>
        <w:t xml:space="preserve">Таблица </w:t>
      </w:r>
      <w:r w:rsidRPr="00731FE2">
        <w:rPr>
          <w:rFonts w:ascii="Times New Roman" w:eastAsia="Times New Roman" w:hAnsi="Times New Roman" w:cs="Times New Roman"/>
          <w:b/>
          <w:bCs/>
          <w:color w:val="000000"/>
          <w:szCs w:val="24"/>
          <w:lang w:eastAsia="ru-RU"/>
        </w:rPr>
        <w:fldChar w:fldCharType="begin"/>
      </w:r>
      <w:r w:rsidRPr="00731FE2">
        <w:rPr>
          <w:rFonts w:ascii="Times New Roman" w:eastAsia="Times New Roman" w:hAnsi="Times New Roman" w:cs="Times New Roman"/>
          <w:b/>
          <w:bCs/>
          <w:color w:val="000000"/>
          <w:szCs w:val="24"/>
          <w:lang w:eastAsia="ru-RU"/>
        </w:rPr>
        <w:instrText xml:space="preserve"> SEQ Таблица \* Arabic </w:instrText>
      </w:r>
      <w:r w:rsidRPr="00731FE2">
        <w:rPr>
          <w:rFonts w:ascii="Times New Roman" w:eastAsia="Times New Roman" w:hAnsi="Times New Roman" w:cs="Times New Roman"/>
          <w:b/>
          <w:bCs/>
          <w:color w:val="000000"/>
          <w:szCs w:val="24"/>
          <w:lang w:eastAsia="ru-RU"/>
        </w:rPr>
        <w:fldChar w:fldCharType="separate"/>
      </w:r>
      <w:r w:rsidR="00C50915" w:rsidRPr="00731FE2">
        <w:rPr>
          <w:rFonts w:ascii="Times New Roman" w:eastAsia="Times New Roman" w:hAnsi="Times New Roman" w:cs="Times New Roman"/>
          <w:b/>
          <w:bCs/>
          <w:noProof/>
          <w:color w:val="000000"/>
          <w:szCs w:val="24"/>
          <w:lang w:eastAsia="ru-RU"/>
        </w:rPr>
        <w:t>48</w:t>
      </w:r>
      <w:r w:rsidRPr="00731FE2">
        <w:rPr>
          <w:rFonts w:ascii="Times New Roman" w:eastAsia="Times New Roman" w:hAnsi="Times New Roman" w:cs="Times New Roman"/>
          <w:b/>
          <w:bCs/>
          <w:color w:val="000000"/>
          <w:szCs w:val="24"/>
          <w:lang w:eastAsia="ru-RU"/>
        </w:rPr>
        <w:fldChar w:fldCharType="end"/>
      </w:r>
      <w:r w:rsidRPr="00731FE2">
        <w:rPr>
          <w:rFonts w:ascii="Times New Roman" w:eastAsia="Times New Roman" w:hAnsi="Times New Roman" w:cs="Times New Roman"/>
          <w:b/>
          <w:bCs/>
          <w:color w:val="000000"/>
          <w:szCs w:val="24"/>
          <w:lang w:eastAsia="ru-RU"/>
        </w:rPr>
        <w:t xml:space="preserve"> – </w:t>
      </w:r>
      <w:r w:rsidR="007940EC" w:rsidRPr="00731FE2">
        <w:rPr>
          <w:rFonts w:ascii="Times New Roman" w:eastAsia="Times New Roman" w:hAnsi="Times New Roman" w:cs="Times New Roman"/>
          <w:b/>
          <w:bCs/>
          <w:color w:val="000000"/>
          <w:szCs w:val="24"/>
          <w:lang w:eastAsia="ru-RU"/>
        </w:rPr>
        <w:t>Объекты обезвреживания медицинских отходов</w:t>
      </w:r>
    </w:p>
    <w:tbl>
      <w:tblPr>
        <w:tblStyle w:val="afe"/>
        <w:tblW w:w="0" w:type="auto"/>
        <w:tblLook w:val="04A0" w:firstRow="1" w:lastRow="0" w:firstColumn="1" w:lastColumn="0" w:noHBand="0" w:noVBand="1"/>
      </w:tblPr>
      <w:tblGrid>
        <w:gridCol w:w="562"/>
        <w:gridCol w:w="5668"/>
        <w:gridCol w:w="3115"/>
      </w:tblGrid>
      <w:tr w:rsidR="007940EC" w:rsidRPr="00731FE2" w14:paraId="47F0AB1B" w14:textId="77777777" w:rsidTr="007940EC">
        <w:tc>
          <w:tcPr>
            <w:tcW w:w="562" w:type="dxa"/>
          </w:tcPr>
          <w:p w14:paraId="730B48FE" w14:textId="43C7AF9B" w:rsidR="007940EC" w:rsidRPr="00731FE2" w:rsidRDefault="007940EC" w:rsidP="006B40AD">
            <w:pPr>
              <w:ind w:firstLine="0"/>
              <w:rPr>
                <w:rFonts w:ascii="Times New Roman" w:hAnsi="Times New Roman" w:cs="Times New Roman"/>
                <w:b/>
                <w:sz w:val="22"/>
              </w:rPr>
            </w:pPr>
            <w:r w:rsidRPr="00731FE2">
              <w:rPr>
                <w:rFonts w:ascii="Times New Roman" w:hAnsi="Times New Roman" w:cs="Times New Roman"/>
                <w:b/>
                <w:sz w:val="22"/>
              </w:rPr>
              <w:t xml:space="preserve">№ </w:t>
            </w:r>
            <w:proofErr w:type="gramStart"/>
            <w:r w:rsidRPr="00731FE2">
              <w:rPr>
                <w:rFonts w:ascii="Times New Roman" w:hAnsi="Times New Roman" w:cs="Times New Roman"/>
                <w:b/>
                <w:sz w:val="22"/>
              </w:rPr>
              <w:t>п</w:t>
            </w:r>
            <w:proofErr w:type="gramEnd"/>
            <w:r w:rsidRPr="00731FE2">
              <w:rPr>
                <w:rFonts w:ascii="Times New Roman" w:hAnsi="Times New Roman" w:cs="Times New Roman"/>
                <w:b/>
                <w:sz w:val="22"/>
              </w:rPr>
              <w:t>/п</w:t>
            </w:r>
          </w:p>
        </w:tc>
        <w:tc>
          <w:tcPr>
            <w:tcW w:w="5668" w:type="dxa"/>
          </w:tcPr>
          <w:p w14:paraId="12FC20E0" w14:textId="2E3C1D15" w:rsidR="007940EC" w:rsidRPr="00731FE2" w:rsidRDefault="007940EC" w:rsidP="006B40AD">
            <w:pPr>
              <w:ind w:firstLine="0"/>
              <w:rPr>
                <w:rFonts w:ascii="Times New Roman" w:hAnsi="Times New Roman" w:cs="Times New Roman"/>
                <w:b/>
                <w:sz w:val="22"/>
              </w:rPr>
            </w:pPr>
            <w:r w:rsidRPr="00731FE2">
              <w:rPr>
                <w:rFonts w:ascii="Times New Roman" w:hAnsi="Times New Roman" w:cs="Times New Roman"/>
                <w:b/>
                <w:sz w:val="22"/>
              </w:rPr>
              <w:t>Наименование медицинского учреждения и адрес его местонахождения</w:t>
            </w:r>
          </w:p>
        </w:tc>
        <w:tc>
          <w:tcPr>
            <w:tcW w:w="3115" w:type="dxa"/>
          </w:tcPr>
          <w:p w14:paraId="6D85FABA" w14:textId="27222686" w:rsidR="007940EC" w:rsidRPr="00731FE2" w:rsidRDefault="007940EC" w:rsidP="006B40AD">
            <w:pPr>
              <w:ind w:firstLine="0"/>
              <w:rPr>
                <w:rFonts w:ascii="Times New Roman" w:hAnsi="Times New Roman" w:cs="Times New Roman"/>
                <w:b/>
                <w:sz w:val="22"/>
              </w:rPr>
            </w:pPr>
            <w:r w:rsidRPr="00731FE2">
              <w:rPr>
                <w:rFonts w:ascii="Times New Roman" w:hAnsi="Times New Roman" w:cs="Times New Roman"/>
                <w:b/>
                <w:sz w:val="22"/>
              </w:rPr>
              <w:t>Наименование установки по обеззараживанию</w:t>
            </w:r>
          </w:p>
        </w:tc>
      </w:tr>
      <w:tr w:rsidR="007940EC" w:rsidRPr="00731FE2" w14:paraId="17CF9BA8" w14:textId="77777777" w:rsidTr="007940EC">
        <w:tc>
          <w:tcPr>
            <w:tcW w:w="562" w:type="dxa"/>
          </w:tcPr>
          <w:p w14:paraId="76E0F642" w14:textId="1F207CE7" w:rsidR="007940EC" w:rsidRPr="00731FE2" w:rsidRDefault="006B40AD" w:rsidP="006B40AD">
            <w:pPr>
              <w:ind w:firstLine="0"/>
              <w:rPr>
                <w:rFonts w:ascii="Times New Roman" w:hAnsi="Times New Roman" w:cs="Times New Roman"/>
                <w:sz w:val="22"/>
              </w:rPr>
            </w:pPr>
            <w:r w:rsidRPr="00731FE2">
              <w:rPr>
                <w:rFonts w:ascii="Times New Roman" w:hAnsi="Times New Roman" w:cs="Times New Roman"/>
                <w:sz w:val="22"/>
              </w:rPr>
              <w:t>1.</w:t>
            </w:r>
          </w:p>
        </w:tc>
        <w:tc>
          <w:tcPr>
            <w:tcW w:w="5668" w:type="dxa"/>
          </w:tcPr>
          <w:p w14:paraId="2F543ECF" w14:textId="6D1ECF56" w:rsidR="007940EC" w:rsidRPr="00731FE2" w:rsidRDefault="007940EC" w:rsidP="006B40AD">
            <w:pPr>
              <w:ind w:firstLine="0"/>
              <w:rPr>
                <w:rFonts w:ascii="Times New Roman" w:hAnsi="Times New Roman" w:cs="Times New Roman"/>
                <w:sz w:val="22"/>
              </w:rPr>
            </w:pPr>
            <w:r w:rsidRPr="00731FE2">
              <w:rPr>
                <w:rFonts w:ascii="Times New Roman" w:hAnsi="Times New Roman" w:cs="Times New Roman"/>
                <w:sz w:val="22"/>
              </w:rPr>
              <w:t>ГБУЗ СК «Кисловодская центральная городская больница», г. Кисловодск, ул. Кутузова, 127</w:t>
            </w:r>
          </w:p>
        </w:tc>
        <w:tc>
          <w:tcPr>
            <w:tcW w:w="3115" w:type="dxa"/>
          </w:tcPr>
          <w:p w14:paraId="4DFA565A" w14:textId="7F1D550D" w:rsidR="007940EC" w:rsidRPr="00731FE2" w:rsidRDefault="007940EC" w:rsidP="006B40AD">
            <w:pPr>
              <w:ind w:firstLine="0"/>
              <w:rPr>
                <w:rFonts w:ascii="Times New Roman" w:hAnsi="Times New Roman" w:cs="Times New Roman"/>
                <w:sz w:val="22"/>
              </w:rPr>
            </w:pPr>
            <w:r w:rsidRPr="00731FE2">
              <w:rPr>
                <w:rFonts w:ascii="Times New Roman" w:hAnsi="Times New Roman" w:cs="Times New Roman"/>
                <w:sz w:val="22"/>
              </w:rPr>
              <w:t>установка «Балтнер»</w:t>
            </w:r>
          </w:p>
        </w:tc>
      </w:tr>
    </w:tbl>
    <w:p w14:paraId="0538AD0E" w14:textId="77777777" w:rsidR="007940EC" w:rsidRPr="00731FE2" w:rsidRDefault="007940EC">
      <w:pPr>
        <w:pBdr>
          <w:top w:val="none" w:sz="4" w:space="0" w:color="000000"/>
          <w:left w:val="none" w:sz="4" w:space="0" w:color="000000"/>
          <w:bottom w:val="none" w:sz="4" w:space="0" w:color="000000"/>
          <w:right w:val="none" w:sz="4" w:space="0" w:color="000000"/>
        </w:pBdr>
      </w:pPr>
    </w:p>
    <w:p w14:paraId="1FC0DD15" w14:textId="3A010F96"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Жидкие отходы от канализованного жилого фонда поступают в объединенный канализационный коллектор и далее сбрасываются в объединенные очистные сооружения г. Минеральные Воды.</w:t>
      </w:r>
    </w:p>
    <w:p w14:paraId="44EE203B"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Основная проблема в области обращения с жидкими бытовыми отходами – неканализованный жилой фонд. 50% индивидуальных жилых домов не имеют подключения к централизованной канализации.</w:t>
      </w:r>
      <w:r w:rsidRPr="00731FE2">
        <w:rPr>
          <w:rStyle w:val="afb"/>
          <w:vertAlign w:val="superscript"/>
        </w:rPr>
        <w:footnoteReference w:id="88"/>
      </w:r>
    </w:p>
    <w:p w14:paraId="7E575AB6"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xml:space="preserve">С точки зрения экологической безопасности политика обращения с </w:t>
      </w:r>
      <w:proofErr w:type="gramStart"/>
      <w:r w:rsidRPr="00731FE2">
        <w:rPr>
          <w:rFonts w:ascii="Times New Roman" w:hAnsi="Times New Roman" w:cs="Times New Roman"/>
          <w:color w:val="000000" w:themeColor="text1"/>
        </w:rPr>
        <w:t>отходами</w:t>
      </w:r>
      <w:proofErr w:type="gramEnd"/>
      <w:r w:rsidRPr="00731FE2">
        <w:rPr>
          <w:rFonts w:ascii="Times New Roman" w:hAnsi="Times New Roman" w:cs="Times New Roman"/>
          <w:color w:val="000000" w:themeColor="text1"/>
        </w:rPr>
        <w:t xml:space="preserve"> как в городском округе, так и в целом по региону ориентирована на постепенный переход от их размещения на свалках к использованию в качестве вторичного сырья.</w:t>
      </w:r>
    </w:p>
    <w:p w14:paraId="69A1FB97" w14:textId="30DCD024"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b/>
          <w:bCs/>
          <w:color w:val="000000" w:themeColor="text1"/>
        </w:rPr>
      </w:pPr>
      <w:r w:rsidRPr="00731FE2">
        <w:rPr>
          <w:rFonts w:ascii="Times New Roman" w:hAnsi="Times New Roman" w:cs="Times New Roman"/>
          <w:b/>
          <w:bCs/>
          <w:color w:val="000000" w:themeColor="text1"/>
        </w:rPr>
        <w:t>Вместе с тем, на территории городского округа города-курорта Кисловодска существует ряд проблем в функционировании системы обращения с ТКО.</w:t>
      </w:r>
      <w:r w:rsidR="006B40AD" w:rsidRPr="00731FE2">
        <w:rPr>
          <w:rFonts w:ascii="Times New Roman" w:hAnsi="Times New Roman" w:cs="Times New Roman"/>
          <w:b/>
          <w:bCs/>
          <w:color w:val="000000" w:themeColor="text1"/>
        </w:rPr>
        <w:t xml:space="preserve"> </w:t>
      </w:r>
      <w:r w:rsidRPr="00731FE2">
        <w:rPr>
          <w:rFonts w:ascii="Times New Roman" w:hAnsi="Times New Roman" w:cs="Times New Roman"/>
          <w:b/>
          <w:bCs/>
          <w:color w:val="000000" w:themeColor="text1"/>
        </w:rPr>
        <w:t>Существующая на сегодняшний день на территории городского округа система сбора и вывоза ТКО имеет недостатки и нуждается в модернизации для улучшения экологической ситуации в городе. Раздельный сбор ТКО (по видам отходов) в настоящее время не применяется.</w:t>
      </w:r>
    </w:p>
    <w:p w14:paraId="0810F2EA" w14:textId="77777777" w:rsidR="00171AA8" w:rsidRPr="00731FE2" w:rsidRDefault="007935AB">
      <w:pPr>
        <w:pStyle w:val="33"/>
        <w:rPr>
          <w:rFonts w:ascii="Times New Roman" w:hAnsi="Times New Roman" w:cs="Times New Roman"/>
        </w:rPr>
      </w:pPr>
      <w:bookmarkStart w:id="54" w:name="_Toc177392805"/>
      <w:r w:rsidRPr="00731FE2">
        <w:rPr>
          <w:rFonts w:ascii="Times New Roman" w:hAnsi="Times New Roman" w:cs="Times New Roman"/>
        </w:rPr>
        <w:t>2.11.6 Информационно-телекоммуникационная инфраструктура</w:t>
      </w:r>
      <w:bookmarkEnd w:id="54"/>
    </w:p>
    <w:p w14:paraId="0D43BBC0" w14:textId="77777777" w:rsidR="00171AA8" w:rsidRPr="00731FE2" w:rsidRDefault="007935AB">
      <w:pPr>
        <w:pBdr>
          <w:top w:val="none" w:sz="4" w:space="0" w:color="000000"/>
          <w:left w:val="none" w:sz="4" w:space="0" w:color="000000"/>
          <w:bottom w:val="none" w:sz="4" w:space="0" w:color="000000"/>
          <w:right w:val="none" w:sz="4" w:space="0" w:color="000000"/>
        </w:pBdr>
      </w:pPr>
      <w:r w:rsidRPr="00731FE2">
        <w:rPr>
          <w:rFonts w:ascii="Times New Roman" w:hAnsi="Times New Roman" w:cs="Times New Roman"/>
          <w:color w:val="000000" w:themeColor="text1"/>
        </w:rPr>
        <w:t>Службы связи предоставляют жителям городского округа города-курорта Кисловодска набор услуг, включающий: телефонную связь, мобильную связь, радиотрансляцию (проводное вещание), телевидение, услуги сети «Интернет», почтовую связь и др.</w:t>
      </w:r>
    </w:p>
    <w:p w14:paraId="7A8665D3"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xml:space="preserve">В таблице ниже представлены основные показатели </w:t>
      </w:r>
      <w:proofErr w:type="gramStart"/>
      <w:r w:rsidRPr="00731FE2">
        <w:rPr>
          <w:rFonts w:ascii="Times New Roman" w:hAnsi="Times New Roman" w:cs="Times New Roman"/>
          <w:color w:val="000000" w:themeColor="text1"/>
        </w:rPr>
        <w:t>инфраструктуры связи городского округа города-курорта Кисловодска</w:t>
      </w:r>
      <w:proofErr w:type="gramEnd"/>
      <w:r w:rsidRPr="00731FE2">
        <w:rPr>
          <w:rFonts w:ascii="Times New Roman" w:hAnsi="Times New Roman" w:cs="Times New Roman"/>
          <w:color w:val="000000" w:themeColor="text1"/>
        </w:rPr>
        <w:t>.</w:t>
      </w:r>
    </w:p>
    <w:p w14:paraId="10FD4EE2" w14:textId="77777777" w:rsidR="00171AA8" w:rsidRPr="00731FE2" w:rsidRDefault="00171AA8">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p>
    <w:p w14:paraId="60C7F80F" w14:textId="77777777" w:rsidR="00171AA8" w:rsidRPr="00731FE2" w:rsidRDefault="007935AB">
      <w:pPr>
        <w:pStyle w:val="af3"/>
        <w:rPr>
          <w:sz w:val="24"/>
          <w:szCs w:val="24"/>
        </w:rPr>
      </w:pPr>
      <w:r w:rsidRPr="00731FE2">
        <w:rPr>
          <w:sz w:val="24"/>
          <w:szCs w:val="24"/>
        </w:rPr>
        <w:t xml:space="preserve">Таблица </w:t>
      </w:r>
      <w:r w:rsidR="00D97880" w:rsidRPr="00731FE2">
        <w:rPr>
          <w:noProof/>
          <w:sz w:val="24"/>
          <w:szCs w:val="24"/>
        </w:rPr>
        <w:fldChar w:fldCharType="begin"/>
      </w:r>
      <w:r w:rsidR="00D97880" w:rsidRPr="00731FE2">
        <w:rPr>
          <w:noProof/>
          <w:sz w:val="24"/>
          <w:szCs w:val="24"/>
        </w:rPr>
        <w:instrText xml:space="preserve"> SEQ Таблица \* Arabic </w:instrText>
      </w:r>
      <w:r w:rsidR="00D97880" w:rsidRPr="00731FE2">
        <w:rPr>
          <w:noProof/>
          <w:sz w:val="24"/>
          <w:szCs w:val="24"/>
        </w:rPr>
        <w:fldChar w:fldCharType="separate"/>
      </w:r>
      <w:r w:rsidR="00C50915" w:rsidRPr="00731FE2">
        <w:rPr>
          <w:noProof/>
          <w:sz w:val="24"/>
          <w:szCs w:val="24"/>
        </w:rPr>
        <w:t>49</w:t>
      </w:r>
      <w:r w:rsidR="00D97880" w:rsidRPr="00731FE2">
        <w:rPr>
          <w:noProof/>
          <w:sz w:val="24"/>
          <w:szCs w:val="24"/>
        </w:rPr>
        <w:fldChar w:fldCharType="end"/>
      </w:r>
      <w:r w:rsidRPr="00731FE2">
        <w:rPr>
          <w:sz w:val="24"/>
          <w:szCs w:val="24"/>
        </w:rPr>
        <w:t xml:space="preserve"> – Показатели в области инфраструктуры связи на территории городского округа города-курорта Кисловодска, 2020-2022 гг.</w:t>
      </w:r>
      <w:r w:rsidRPr="00731FE2">
        <w:rPr>
          <w:rStyle w:val="afb"/>
          <w:sz w:val="24"/>
          <w:szCs w:val="24"/>
          <w:vertAlign w:val="superscript"/>
        </w:rPr>
        <w:footnoteReference w:id="89"/>
      </w:r>
    </w:p>
    <w:tbl>
      <w:tblPr>
        <w:tblStyle w:val="afe"/>
        <w:tblW w:w="0" w:type="auto"/>
        <w:tblLayout w:type="fixed"/>
        <w:tblLook w:val="04A0" w:firstRow="1" w:lastRow="0" w:firstColumn="1" w:lastColumn="0" w:noHBand="0" w:noVBand="1"/>
      </w:tblPr>
      <w:tblGrid>
        <w:gridCol w:w="850"/>
        <w:gridCol w:w="5103"/>
        <w:gridCol w:w="1134"/>
        <w:gridCol w:w="1134"/>
        <w:gridCol w:w="1135"/>
      </w:tblGrid>
      <w:tr w:rsidR="00171AA8" w:rsidRPr="00731FE2" w14:paraId="148657E3" w14:textId="77777777">
        <w:tc>
          <w:tcPr>
            <w:tcW w:w="850" w:type="dxa"/>
          </w:tcPr>
          <w:p w14:paraId="72844DFC"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pPr>
            <w:r w:rsidRPr="00731FE2">
              <w:t xml:space="preserve">№ </w:t>
            </w:r>
            <w:proofErr w:type="gramStart"/>
            <w:r w:rsidRPr="00731FE2">
              <w:t>п</w:t>
            </w:r>
            <w:proofErr w:type="gramEnd"/>
            <w:r w:rsidRPr="00731FE2">
              <w:t>/п</w:t>
            </w:r>
          </w:p>
        </w:tc>
        <w:tc>
          <w:tcPr>
            <w:tcW w:w="5103" w:type="dxa"/>
          </w:tcPr>
          <w:p w14:paraId="58B0A406"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pPr>
            <w:r w:rsidRPr="00731FE2">
              <w:t>Показатель</w:t>
            </w:r>
          </w:p>
        </w:tc>
        <w:tc>
          <w:tcPr>
            <w:tcW w:w="1134" w:type="dxa"/>
          </w:tcPr>
          <w:p w14:paraId="0B914E2E"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pPr>
            <w:r w:rsidRPr="00731FE2">
              <w:t>2020</w:t>
            </w:r>
          </w:p>
        </w:tc>
        <w:tc>
          <w:tcPr>
            <w:tcW w:w="1134" w:type="dxa"/>
          </w:tcPr>
          <w:p w14:paraId="6070DF93"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pPr>
            <w:r w:rsidRPr="00731FE2">
              <w:t>2021</w:t>
            </w:r>
          </w:p>
        </w:tc>
        <w:tc>
          <w:tcPr>
            <w:tcW w:w="1135" w:type="dxa"/>
          </w:tcPr>
          <w:p w14:paraId="653DF253" w14:textId="77777777" w:rsidR="00171AA8" w:rsidRPr="00731FE2" w:rsidRDefault="007935AB">
            <w:pPr>
              <w:pStyle w:val="af3"/>
              <w:jc w:val="center"/>
            </w:pPr>
            <w:r w:rsidRPr="00731FE2">
              <w:t>2022</w:t>
            </w:r>
          </w:p>
        </w:tc>
      </w:tr>
      <w:tr w:rsidR="00171AA8" w:rsidRPr="00731FE2" w14:paraId="0D2E8441" w14:textId="77777777">
        <w:tc>
          <w:tcPr>
            <w:tcW w:w="850" w:type="dxa"/>
            <w:vAlign w:val="center"/>
          </w:tcPr>
          <w:p w14:paraId="00E64B01" w14:textId="77777777" w:rsidR="00171AA8" w:rsidRPr="00731FE2" w:rsidRDefault="00171AA8">
            <w:pPr>
              <w:pStyle w:val="af3"/>
              <w:numPr>
                <w:ilvl w:val="0"/>
                <w:numId w:val="32"/>
              </w:numPr>
              <w:pBdr>
                <w:top w:val="none" w:sz="4" w:space="0" w:color="000000"/>
                <w:left w:val="none" w:sz="4" w:space="0" w:color="000000"/>
                <w:bottom w:val="none" w:sz="4" w:space="0" w:color="000000"/>
                <w:right w:val="none" w:sz="4" w:space="0" w:color="000000"/>
              </w:pBdr>
              <w:jc w:val="center"/>
              <w:rPr>
                <w:b w:val="0"/>
                <w:bCs w:val="0"/>
              </w:rPr>
            </w:pPr>
          </w:p>
        </w:tc>
        <w:tc>
          <w:tcPr>
            <w:tcW w:w="5103" w:type="dxa"/>
          </w:tcPr>
          <w:p w14:paraId="1DD806E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Число сельских населенных пунктов, обслуживаемых почтовой связью</w:t>
            </w:r>
          </w:p>
        </w:tc>
        <w:tc>
          <w:tcPr>
            <w:tcW w:w="1134" w:type="dxa"/>
            <w:vAlign w:val="center"/>
          </w:tcPr>
          <w:p w14:paraId="038EC0B1"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b w:val="0"/>
                <w:bCs w:val="0"/>
              </w:rPr>
            </w:pPr>
            <w:r w:rsidRPr="00731FE2">
              <w:rPr>
                <w:b w:val="0"/>
                <w:bCs w:val="0"/>
              </w:rPr>
              <w:t>7</w:t>
            </w:r>
          </w:p>
        </w:tc>
        <w:tc>
          <w:tcPr>
            <w:tcW w:w="1134" w:type="dxa"/>
            <w:vAlign w:val="center"/>
          </w:tcPr>
          <w:p w14:paraId="1682F851"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b w:val="0"/>
                <w:bCs w:val="0"/>
              </w:rPr>
            </w:pPr>
            <w:r w:rsidRPr="00731FE2">
              <w:rPr>
                <w:b w:val="0"/>
                <w:bCs w:val="0"/>
              </w:rPr>
              <w:t>10</w:t>
            </w:r>
          </w:p>
        </w:tc>
        <w:tc>
          <w:tcPr>
            <w:tcW w:w="1135" w:type="dxa"/>
            <w:vAlign w:val="center"/>
          </w:tcPr>
          <w:p w14:paraId="397D0B7D"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b w:val="0"/>
                <w:bCs w:val="0"/>
              </w:rPr>
            </w:pPr>
            <w:r w:rsidRPr="00731FE2">
              <w:rPr>
                <w:b w:val="0"/>
                <w:bCs w:val="0"/>
              </w:rPr>
              <w:t>10</w:t>
            </w:r>
          </w:p>
        </w:tc>
      </w:tr>
      <w:tr w:rsidR="00171AA8" w:rsidRPr="00731FE2" w14:paraId="0914FFF1" w14:textId="77777777">
        <w:tc>
          <w:tcPr>
            <w:tcW w:w="850" w:type="dxa"/>
            <w:vAlign w:val="center"/>
          </w:tcPr>
          <w:p w14:paraId="4C94787F" w14:textId="77777777" w:rsidR="00171AA8" w:rsidRPr="00731FE2" w:rsidRDefault="00171AA8">
            <w:pPr>
              <w:pStyle w:val="af3"/>
              <w:numPr>
                <w:ilvl w:val="0"/>
                <w:numId w:val="32"/>
              </w:numPr>
              <w:pBdr>
                <w:top w:val="none" w:sz="4" w:space="0" w:color="000000"/>
                <w:left w:val="none" w:sz="4" w:space="0" w:color="000000"/>
                <w:bottom w:val="none" w:sz="4" w:space="0" w:color="000000"/>
                <w:right w:val="none" w:sz="4" w:space="0" w:color="000000"/>
              </w:pBdr>
              <w:jc w:val="center"/>
              <w:rPr>
                <w:b w:val="0"/>
                <w:bCs w:val="0"/>
              </w:rPr>
            </w:pPr>
          </w:p>
        </w:tc>
        <w:tc>
          <w:tcPr>
            <w:tcW w:w="5103" w:type="dxa"/>
          </w:tcPr>
          <w:p w14:paraId="76DF738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Число телефонизированных сельских населенных пунктов</w:t>
            </w:r>
          </w:p>
        </w:tc>
        <w:tc>
          <w:tcPr>
            <w:tcW w:w="1134" w:type="dxa"/>
            <w:vAlign w:val="center"/>
          </w:tcPr>
          <w:p w14:paraId="7560089C"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b w:val="0"/>
                <w:bCs w:val="0"/>
              </w:rPr>
            </w:pPr>
            <w:r w:rsidRPr="00731FE2">
              <w:rPr>
                <w:b w:val="0"/>
                <w:bCs w:val="0"/>
              </w:rPr>
              <w:t>7</w:t>
            </w:r>
          </w:p>
        </w:tc>
        <w:tc>
          <w:tcPr>
            <w:tcW w:w="1134" w:type="dxa"/>
            <w:vAlign w:val="center"/>
          </w:tcPr>
          <w:p w14:paraId="00375192"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b w:val="0"/>
                <w:bCs w:val="0"/>
              </w:rPr>
            </w:pPr>
            <w:r w:rsidRPr="00731FE2">
              <w:rPr>
                <w:b w:val="0"/>
                <w:bCs w:val="0"/>
              </w:rPr>
              <w:t>10</w:t>
            </w:r>
          </w:p>
        </w:tc>
        <w:tc>
          <w:tcPr>
            <w:tcW w:w="1135" w:type="dxa"/>
            <w:vAlign w:val="center"/>
          </w:tcPr>
          <w:p w14:paraId="6540FC1E"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b w:val="0"/>
                <w:bCs w:val="0"/>
              </w:rPr>
            </w:pPr>
            <w:r w:rsidRPr="00731FE2">
              <w:rPr>
                <w:b w:val="0"/>
                <w:bCs w:val="0"/>
              </w:rPr>
              <w:t>10</w:t>
            </w:r>
          </w:p>
        </w:tc>
      </w:tr>
    </w:tbl>
    <w:p w14:paraId="05AB77C7" w14:textId="77777777" w:rsidR="00171AA8" w:rsidRPr="00731FE2" w:rsidRDefault="00171AA8">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p>
    <w:p w14:paraId="1E1EBBC0"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xml:space="preserve">На территории городского округа расположено 12 отделений почтовой связи АО «Почта России», из которых в настоящее время функционирует 9 отделений, обеспечивающих население услугами почтовой связи (таблица). </w:t>
      </w:r>
    </w:p>
    <w:p w14:paraId="1C157FE8" w14:textId="77777777" w:rsidR="00171AA8" w:rsidRPr="00731FE2" w:rsidRDefault="00171AA8">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p>
    <w:p w14:paraId="7FD8A1DF" w14:textId="77777777" w:rsidR="00171AA8" w:rsidRPr="00731FE2" w:rsidRDefault="007935AB">
      <w:pPr>
        <w:pStyle w:val="af3"/>
        <w:rPr>
          <w:sz w:val="24"/>
          <w:szCs w:val="24"/>
        </w:rPr>
      </w:pPr>
      <w:r w:rsidRPr="00731FE2">
        <w:rPr>
          <w:sz w:val="24"/>
          <w:szCs w:val="24"/>
        </w:rPr>
        <w:t xml:space="preserve">Таблица </w:t>
      </w:r>
      <w:r w:rsidR="00D97880" w:rsidRPr="00731FE2">
        <w:rPr>
          <w:noProof/>
          <w:sz w:val="24"/>
          <w:szCs w:val="24"/>
        </w:rPr>
        <w:fldChar w:fldCharType="begin"/>
      </w:r>
      <w:r w:rsidR="00D97880" w:rsidRPr="00731FE2">
        <w:rPr>
          <w:noProof/>
          <w:sz w:val="24"/>
          <w:szCs w:val="24"/>
        </w:rPr>
        <w:instrText xml:space="preserve"> SEQ Таблица \* Arabic </w:instrText>
      </w:r>
      <w:r w:rsidR="00D97880" w:rsidRPr="00731FE2">
        <w:rPr>
          <w:noProof/>
          <w:sz w:val="24"/>
          <w:szCs w:val="24"/>
        </w:rPr>
        <w:fldChar w:fldCharType="separate"/>
      </w:r>
      <w:r w:rsidR="00C50915" w:rsidRPr="00731FE2">
        <w:rPr>
          <w:noProof/>
          <w:sz w:val="24"/>
          <w:szCs w:val="24"/>
        </w:rPr>
        <w:t>50</w:t>
      </w:r>
      <w:r w:rsidR="00D97880" w:rsidRPr="00731FE2">
        <w:rPr>
          <w:noProof/>
          <w:sz w:val="24"/>
          <w:szCs w:val="24"/>
        </w:rPr>
        <w:fldChar w:fldCharType="end"/>
      </w:r>
      <w:r w:rsidRPr="00731FE2">
        <w:rPr>
          <w:sz w:val="24"/>
          <w:szCs w:val="24"/>
        </w:rPr>
        <w:t xml:space="preserve"> – Перечень отделений почтовой связи, расположенных на территории городского округа города-курорта Кисловодска, 2024 г.</w:t>
      </w:r>
    </w:p>
    <w:tbl>
      <w:tblPr>
        <w:tblStyle w:val="afe"/>
        <w:tblW w:w="0" w:type="auto"/>
        <w:tblLayout w:type="fixed"/>
        <w:tblLook w:val="04A0" w:firstRow="1" w:lastRow="0" w:firstColumn="1" w:lastColumn="0" w:noHBand="0" w:noVBand="1"/>
      </w:tblPr>
      <w:tblGrid>
        <w:gridCol w:w="708"/>
        <w:gridCol w:w="3685"/>
        <w:gridCol w:w="4962"/>
      </w:tblGrid>
      <w:tr w:rsidR="00171AA8" w:rsidRPr="00731FE2" w14:paraId="73A50B06" w14:textId="77777777">
        <w:tc>
          <w:tcPr>
            <w:tcW w:w="708" w:type="dxa"/>
          </w:tcPr>
          <w:p w14:paraId="34C6E9DD"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pPr>
            <w:r w:rsidRPr="00731FE2">
              <w:t xml:space="preserve">№ </w:t>
            </w:r>
            <w:proofErr w:type="gramStart"/>
            <w:r w:rsidRPr="00731FE2">
              <w:t>п</w:t>
            </w:r>
            <w:proofErr w:type="gramEnd"/>
            <w:r w:rsidRPr="00731FE2">
              <w:t>/п</w:t>
            </w:r>
          </w:p>
        </w:tc>
        <w:tc>
          <w:tcPr>
            <w:tcW w:w="3685" w:type="dxa"/>
          </w:tcPr>
          <w:p w14:paraId="4E0694E2"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pPr>
            <w:r w:rsidRPr="00731FE2">
              <w:t>Наименование отделения</w:t>
            </w:r>
          </w:p>
        </w:tc>
        <w:tc>
          <w:tcPr>
            <w:tcW w:w="4962" w:type="dxa"/>
          </w:tcPr>
          <w:p w14:paraId="6D8A7485"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pPr>
            <w:r w:rsidRPr="00731FE2">
              <w:t>Адрес</w:t>
            </w:r>
          </w:p>
        </w:tc>
      </w:tr>
      <w:tr w:rsidR="00171AA8" w:rsidRPr="00731FE2" w14:paraId="5A6A8979" w14:textId="77777777">
        <w:tc>
          <w:tcPr>
            <w:tcW w:w="708" w:type="dxa"/>
            <w:vAlign w:val="center"/>
          </w:tcPr>
          <w:p w14:paraId="1DA4D700" w14:textId="77777777" w:rsidR="00171AA8" w:rsidRPr="00731FE2" w:rsidRDefault="00171AA8">
            <w:pPr>
              <w:pStyle w:val="a3"/>
              <w:numPr>
                <w:ilvl w:val="0"/>
                <w:numId w:val="33"/>
              </w:numPr>
              <w:pBdr>
                <w:top w:val="none" w:sz="4" w:space="0" w:color="000000"/>
                <w:left w:val="none" w:sz="4" w:space="0" w:color="000000"/>
                <w:bottom w:val="none" w:sz="4" w:space="0" w:color="000000"/>
                <w:right w:val="none" w:sz="4" w:space="0" w:color="000000"/>
              </w:pBdr>
              <w:contextualSpacing w:val="0"/>
              <w:jc w:val="center"/>
              <w:rPr>
                <w:rFonts w:ascii="Times New Roman" w:hAnsi="Times New Roman" w:cs="Times New Roman"/>
                <w:color w:val="000000" w:themeColor="text1"/>
                <w:sz w:val="22"/>
              </w:rPr>
            </w:pPr>
          </w:p>
        </w:tc>
        <w:tc>
          <w:tcPr>
            <w:tcW w:w="3685" w:type="dxa"/>
            <w:vAlign w:val="center"/>
          </w:tcPr>
          <w:p w14:paraId="57D8CB2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Отделение почтовой связи №357700</w:t>
            </w:r>
          </w:p>
        </w:tc>
        <w:tc>
          <w:tcPr>
            <w:tcW w:w="4962" w:type="dxa"/>
            <w:vAlign w:val="center"/>
          </w:tcPr>
          <w:p w14:paraId="32F775A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 xml:space="preserve">город-курорт Кисловодск, ул. </w:t>
            </w:r>
            <w:proofErr w:type="gramStart"/>
            <w:r w:rsidRPr="00731FE2">
              <w:rPr>
                <w:rFonts w:ascii="Times New Roman" w:hAnsi="Times New Roman" w:cs="Times New Roman"/>
                <w:color w:val="000000" w:themeColor="text1"/>
                <w:sz w:val="22"/>
              </w:rPr>
              <w:t>Новая</w:t>
            </w:r>
            <w:proofErr w:type="gramEnd"/>
            <w:r w:rsidRPr="00731FE2">
              <w:rPr>
                <w:rFonts w:ascii="Times New Roman" w:hAnsi="Times New Roman" w:cs="Times New Roman"/>
                <w:color w:val="000000" w:themeColor="text1"/>
                <w:sz w:val="22"/>
              </w:rPr>
              <w:t>, 1</w:t>
            </w:r>
          </w:p>
        </w:tc>
      </w:tr>
      <w:tr w:rsidR="00171AA8" w:rsidRPr="00731FE2" w14:paraId="3D934B84" w14:textId="77777777">
        <w:tc>
          <w:tcPr>
            <w:tcW w:w="708" w:type="dxa"/>
            <w:vAlign w:val="center"/>
          </w:tcPr>
          <w:p w14:paraId="4428CB10" w14:textId="77777777" w:rsidR="00171AA8" w:rsidRPr="00731FE2" w:rsidRDefault="00171AA8">
            <w:pPr>
              <w:pStyle w:val="a3"/>
              <w:numPr>
                <w:ilvl w:val="0"/>
                <w:numId w:val="33"/>
              </w:numPr>
              <w:pBdr>
                <w:top w:val="none" w:sz="4" w:space="0" w:color="000000"/>
                <w:left w:val="none" w:sz="4" w:space="0" w:color="000000"/>
                <w:bottom w:val="none" w:sz="4" w:space="0" w:color="000000"/>
                <w:right w:val="none" w:sz="4" w:space="0" w:color="000000"/>
              </w:pBdr>
              <w:contextualSpacing w:val="0"/>
              <w:jc w:val="center"/>
              <w:rPr>
                <w:rFonts w:ascii="Times New Roman" w:hAnsi="Times New Roman" w:cs="Times New Roman"/>
                <w:color w:val="000000" w:themeColor="text1"/>
                <w:sz w:val="22"/>
              </w:rPr>
            </w:pPr>
          </w:p>
        </w:tc>
        <w:tc>
          <w:tcPr>
            <w:tcW w:w="3685" w:type="dxa"/>
            <w:vAlign w:val="center"/>
          </w:tcPr>
          <w:p w14:paraId="6C02F21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Отделение почтовой связи №357703</w:t>
            </w:r>
          </w:p>
        </w:tc>
        <w:tc>
          <w:tcPr>
            <w:tcW w:w="4962" w:type="dxa"/>
            <w:vAlign w:val="center"/>
          </w:tcPr>
          <w:p w14:paraId="480D341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город-курорт Кисловодск, ул. Дзержинского, 45</w:t>
            </w:r>
          </w:p>
        </w:tc>
      </w:tr>
      <w:tr w:rsidR="00171AA8" w:rsidRPr="00731FE2" w14:paraId="4F6C2B58" w14:textId="77777777">
        <w:trPr>
          <w:trHeight w:val="226"/>
        </w:trPr>
        <w:tc>
          <w:tcPr>
            <w:tcW w:w="708" w:type="dxa"/>
            <w:vAlign w:val="center"/>
          </w:tcPr>
          <w:p w14:paraId="56C4CA8A" w14:textId="77777777" w:rsidR="00171AA8" w:rsidRPr="00731FE2" w:rsidRDefault="00171AA8">
            <w:pPr>
              <w:pStyle w:val="a3"/>
              <w:numPr>
                <w:ilvl w:val="0"/>
                <w:numId w:val="33"/>
              </w:numPr>
              <w:pBdr>
                <w:top w:val="none" w:sz="4" w:space="0" w:color="000000"/>
                <w:left w:val="none" w:sz="4" w:space="0" w:color="000000"/>
                <w:bottom w:val="none" w:sz="4" w:space="0" w:color="000000"/>
                <w:right w:val="none" w:sz="4" w:space="0" w:color="000000"/>
              </w:pBdr>
              <w:contextualSpacing w:val="0"/>
              <w:jc w:val="center"/>
              <w:rPr>
                <w:rFonts w:ascii="Times New Roman" w:hAnsi="Times New Roman" w:cs="Times New Roman"/>
                <w:color w:val="000000" w:themeColor="text1"/>
                <w:sz w:val="22"/>
              </w:rPr>
            </w:pPr>
          </w:p>
        </w:tc>
        <w:tc>
          <w:tcPr>
            <w:tcW w:w="3685" w:type="dxa"/>
            <w:vAlign w:val="center"/>
          </w:tcPr>
          <w:p w14:paraId="569AE3D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Отделение почтовой связи №357746</w:t>
            </w:r>
          </w:p>
        </w:tc>
        <w:tc>
          <w:tcPr>
            <w:tcW w:w="4962" w:type="dxa"/>
            <w:vAlign w:val="center"/>
          </w:tcPr>
          <w:p w14:paraId="0F2311B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город-курорт Кисловодск, ул. Горького, 22</w:t>
            </w:r>
          </w:p>
        </w:tc>
      </w:tr>
      <w:tr w:rsidR="00171AA8" w:rsidRPr="00731FE2" w14:paraId="0CC5A4E6" w14:textId="77777777">
        <w:tc>
          <w:tcPr>
            <w:tcW w:w="708" w:type="dxa"/>
            <w:vAlign w:val="center"/>
          </w:tcPr>
          <w:p w14:paraId="03C7A4D7" w14:textId="77777777" w:rsidR="00171AA8" w:rsidRPr="00731FE2" w:rsidRDefault="00171AA8">
            <w:pPr>
              <w:pStyle w:val="a3"/>
              <w:numPr>
                <w:ilvl w:val="0"/>
                <w:numId w:val="33"/>
              </w:numPr>
              <w:pBdr>
                <w:top w:val="none" w:sz="4" w:space="0" w:color="000000"/>
                <w:left w:val="none" w:sz="4" w:space="0" w:color="000000"/>
                <w:bottom w:val="none" w:sz="4" w:space="0" w:color="000000"/>
                <w:right w:val="none" w:sz="4" w:space="0" w:color="000000"/>
              </w:pBdr>
              <w:contextualSpacing w:val="0"/>
              <w:jc w:val="center"/>
              <w:rPr>
                <w:rFonts w:ascii="Times New Roman" w:hAnsi="Times New Roman" w:cs="Times New Roman"/>
                <w:color w:val="000000" w:themeColor="text1"/>
                <w:sz w:val="22"/>
              </w:rPr>
            </w:pPr>
          </w:p>
        </w:tc>
        <w:tc>
          <w:tcPr>
            <w:tcW w:w="3685" w:type="dxa"/>
            <w:vAlign w:val="center"/>
          </w:tcPr>
          <w:p w14:paraId="1D0B85B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Отделение почтовой связи №357744</w:t>
            </w:r>
          </w:p>
        </w:tc>
        <w:tc>
          <w:tcPr>
            <w:tcW w:w="4962" w:type="dxa"/>
            <w:vAlign w:val="center"/>
          </w:tcPr>
          <w:p w14:paraId="5E15FE3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город-курорт Кисловодск, Нижний парк, 1</w:t>
            </w:r>
          </w:p>
        </w:tc>
      </w:tr>
      <w:tr w:rsidR="00171AA8" w:rsidRPr="00731FE2" w14:paraId="4AAA1A76" w14:textId="77777777">
        <w:tc>
          <w:tcPr>
            <w:tcW w:w="708" w:type="dxa"/>
            <w:vAlign w:val="center"/>
          </w:tcPr>
          <w:p w14:paraId="1553D224" w14:textId="77777777" w:rsidR="00171AA8" w:rsidRPr="00731FE2" w:rsidRDefault="00171AA8">
            <w:pPr>
              <w:pStyle w:val="a3"/>
              <w:numPr>
                <w:ilvl w:val="0"/>
                <w:numId w:val="33"/>
              </w:numPr>
              <w:pBdr>
                <w:top w:val="none" w:sz="4" w:space="0" w:color="000000"/>
                <w:left w:val="none" w:sz="4" w:space="0" w:color="000000"/>
                <w:bottom w:val="none" w:sz="4" w:space="0" w:color="000000"/>
                <w:right w:val="none" w:sz="4" w:space="0" w:color="000000"/>
              </w:pBdr>
              <w:contextualSpacing w:val="0"/>
              <w:jc w:val="center"/>
              <w:rPr>
                <w:rFonts w:ascii="Times New Roman" w:hAnsi="Times New Roman" w:cs="Times New Roman"/>
                <w:color w:val="000000" w:themeColor="text1"/>
                <w:sz w:val="22"/>
              </w:rPr>
            </w:pPr>
          </w:p>
        </w:tc>
        <w:tc>
          <w:tcPr>
            <w:tcW w:w="3685" w:type="dxa"/>
            <w:vAlign w:val="center"/>
          </w:tcPr>
          <w:p w14:paraId="4BB1669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Отделение почтовой связи №357736</w:t>
            </w:r>
          </w:p>
        </w:tc>
        <w:tc>
          <w:tcPr>
            <w:tcW w:w="4962" w:type="dxa"/>
            <w:vAlign w:val="center"/>
          </w:tcPr>
          <w:p w14:paraId="6FB9EC4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город-курорт Кисловодск, ул. Андрея Губина, 51</w:t>
            </w:r>
          </w:p>
        </w:tc>
      </w:tr>
      <w:tr w:rsidR="00171AA8" w:rsidRPr="00731FE2" w14:paraId="05B1A067" w14:textId="77777777">
        <w:tc>
          <w:tcPr>
            <w:tcW w:w="708" w:type="dxa"/>
            <w:vAlign w:val="center"/>
          </w:tcPr>
          <w:p w14:paraId="7AC60365" w14:textId="77777777" w:rsidR="00171AA8" w:rsidRPr="00731FE2" w:rsidRDefault="00171AA8">
            <w:pPr>
              <w:pStyle w:val="a3"/>
              <w:numPr>
                <w:ilvl w:val="0"/>
                <w:numId w:val="33"/>
              </w:numPr>
              <w:pBdr>
                <w:top w:val="none" w:sz="4" w:space="0" w:color="000000"/>
                <w:left w:val="none" w:sz="4" w:space="0" w:color="000000"/>
                <w:bottom w:val="none" w:sz="4" w:space="0" w:color="000000"/>
                <w:right w:val="none" w:sz="4" w:space="0" w:color="000000"/>
              </w:pBdr>
              <w:contextualSpacing w:val="0"/>
              <w:jc w:val="center"/>
              <w:rPr>
                <w:rFonts w:ascii="Times New Roman" w:hAnsi="Times New Roman" w:cs="Times New Roman"/>
                <w:color w:val="000000" w:themeColor="text1"/>
                <w:sz w:val="22"/>
              </w:rPr>
            </w:pPr>
          </w:p>
        </w:tc>
        <w:tc>
          <w:tcPr>
            <w:tcW w:w="3685" w:type="dxa"/>
            <w:vAlign w:val="center"/>
          </w:tcPr>
          <w:p w14:paraId="197D346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Отделение почтовой связи №357739</w:t>
            </w:r>
          </w:p>
        </w:tc>
        <w:tc>
          <w:tcPr>
            <w:tcW w:w="4962" w:type="dxa"/>
            <w:vAlign w:val="center"/>
          </w:tcPr>
          <w:p w14:paraId="7351017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город-курорт Кисловодск, пр. Цандера, 13</w:t>
            </w:r>
          </w:p>
        </w:tc>
      </w:tr>
      <w:tr w:rsidR="00171AA8" w:rsidRPr="00731FE2" w14:paraId="768B1A8D" w14:textId="77777777">
        <w:tc>
          <w:tcPr>
            <w:tcW w:w="708" w:type="dxa"/>
            <w:vAlign w:val="center"/>
          </w:tcPr>
          <w:p w14:paraId="0A633A35" w14:textId="77777777" w:rsidR="00171AA8" w:rsidRPr="00731FE2" w:rsidRDefault="00171AA8">
            <w:pPr>
              <w:pStyle w:val="a3"/>
              <w:numPr>
                <w:ilvl w:val="0"/>
                <w:numId w:val="33"/>
              </w:numPr>
              <w:pBdr>
                <w:top w:val="none" w:sz="4" w:space="0" w:color="000000"/>
                <w:left w:val="none" w:sz="4" w:space="0" w:color="000000"/>
                <w:bottom w:val="none" w:sz="4" w:space="0" w:color="000000"/>
                <w:right w:val="none" w:sz="4" w:space="0" w:color="000000"/>
              </w:pBdr>
              <w:contextualSpacing w:val="0"/>
              <w:jc w:val="center"/>
              <w:rPr>
                <w:rFonts w:ascii="Times New Roman" w:hAnsi="Times New Roman" w:cs="Times New Roman"/>
                <w:color w:val="000000" w:themeColor="text1"/>
                <w:sz w:val="22"/>
              </w:rPr>
            </w:pPr>
          </w:p>
        </w:tc>
        <w:tc>
          <w:tcPr>
            <w:tcW w:w="3685" w:type="dxa"/>
            <w:vAlign w:val="center"/>
          </w:tcPr>
          <w:p w14:paraId="1BBCABD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Отделение почтовой связи №357748</w:t>
            </w:r>
          </w:p>
        </w:tc>
        <w:tc>
          <w:tcPr>
            <w:tcW w:w="4962" w:type="dxa"/>
            <w:vAlign w:val="center"/>
          </w:tcPr>
          <w:p w14:paraId="301A285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город-курорт Кисловодск, ул. Калинина, 77</w:t>
            </w:r>
          </w:p>
        </w:tc>
      </w:tr>
      <w:tr w:rsidR="00171AA8" w:rsidRPr="00731FE2" w14:paraId="60656400" w14:textId="77777777">
        <w:tc>
          <w:tcPr>
            <w:tcW w:w="708" w:type="dxa"/>
            <w:vAlign w:val="center"/>
          </w:tcPr>
          <w:p w14:paraId="518677DA" w14:textId="77777777" w:rsidR="00171AA8" w:rsidRPr="00731FE2" w:rsidRDefault="00171AA8">
            <w:pPr>
              <w:pStyle w:val="a3"/>
              <w:numPr>
                <w:ilvl w:val="0"/>
                <w:numId w:val="33"/>
              </w:numPr>
              <w:pBdr>
                <w:top w:val="none" w:sz="4" w:space="0" w:color="000000"/>
                <w:left w:val="none" w:sz="4" w:space="0" w:color="000000"/>
                <w:bottom w:val="none" w:sz="4" w:space="0" w:color="000000"/>
                <w:right w:val="none" w:sz="4" w:space="0" w:color="000000"/>
              </w:pBdr>
              <w:contextualSpacing w:val="0"/>
              <w:jc w:val="center"/>
              <w:rPr>
                <w:rFonts w:ascii="Times New Roman" w:hAnsi="Times New Roman" w:cs="Times New Roman"/>
                <w:color w:val="000000" w:themeColor="text1"/>
                <w:sz w:val="22"/>
              </w:rPr>
            </w:pPr>
          </w:p>
        </w:tc>
        <w:tc>
          <w:tcPr>
            <w:tcW w:w="3685" w:type="dxa"/>
            <w:vAlign w:val="center"/>
          </w:tcPr>
          <w:p w14:paraId="2EB0BDF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Отделение почтовой связи №357722</w:t>
            </w:r>
          </w:p>
        </w:tc>
        <w:tc>
          <w:tcPr>
            <w:tcW w:w="4962" w:type="dxa"/>
            <w:vAlign w:val="center"/>
          </w:tcPr>
          <w:p w14:paraId="4D736E9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город-курорт Кисловодск, ул. Кольцова, 20</w:t>
            </w:r>
          </w:p>
        </w:tc>
      </w:tr>
      <w:tr w:rsidR="00171AA8" w:rsidRPr="00731FE2" w14:paraId="518514F3" w14:textId="77777777">
        <w:tc>
          <w:tcPr>
            <w:tcW w:w="708" w:type="dxa"/>
            <w:vAlign w:val="center"/>
          </w:tcPr>
          <w:p w14:paraId="2CBA3E1A" w14:textId="77777777" w:rsidR="00171AA8" w:rsidRPr="00731FE2" w:rsidRDefault="00171AA8">
            <w:pPr>
              <w:pStyle w:val="a3"/>
              <w:numPr>
                <w:ilvl w:val="0"/>
                <w:numId w:val="33"/>
              </w:numPr>
              <w:pBdr>
                <w:top w:val="none" w:sz="4" w:space="0" w:color="000000"/>
                <w:left w:val="none" w:sz="4" w:space="0" w:color="000000"/>
                <w:bottom w:val="none" w:sz="4" w:space="0" w:color="000000"/>
                <w:right w:val="none" w:sz="4" w:space="0" w:color="000000"/>
              </w:pBdr>
              <w:contextualSpacing w:val="0"/>
              <w:jc w:val="center"/>
              <w:rPr>
                <w:rFonts w:ascii="Times New Roman" w:hAnsi="Times New Roman" w:cs="Times New Roman"/>
                <w:color w:val="000000" w:themeColor="text1"/>
                <w:sz w:val="22"/>
              </w:rPr>
            </w:pPr>
          </w:p>
        </w:tc>
        <w:tc>
          <w:tcPr>
            <w:tcW w:w="3685" w:type="dxa"/>
            <w:vAlign w:val="center"/>
          </w:tcPr>
          <w:p w14:paraId="7FED26B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Отделение почтовой связи №357715</w:t>
            </w:r>
          </w:p>
        </w:tc>
        <w:tc>
          <w:tcPr>
            <w:tcW w:w="4962" w:type="dxa"/>
            <w:vAlign w:val="center"/>
          </w:tcPr>
          <w:p w14:paraId="47F307F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 xml:space="preserve">городской округ город-курорт Кисловодск, п. Аликоновка, ул. </w:t>
            </w:r>
            <w:proofErr w:type="gramStart"/>
            <w:r w:rsidRPr="00731FE2">
              <w:rPr>
                <w:rFonts w:ascii="Times New Roman" w:hAnsi="Times New Roman" w:cs="Times New Roman"/>
                <w:color w:val="000000" w:themeColor="text1"/>
                <w:sz w:val="22"/>
              </w:rPr>
              <w:t>Прямая</w:t>
            </w:r>
            <w:proofErr w:type="gramEnd"/>
            <w:r w:rsidRPr="00731FE2">
              <w:rPr>
                <w:rFonts w:ascii="Times New Roman" w:hAnsi="Times New Roman" w:cs="Times New Roman"/>
                <w:color w:val="000000" w:themeColor="text1"/>
                <w:sz w:val="22"/>
              </w:rPr>
              <w:t>, 10</w:t>
            </w:r>
          </w:p>
        </w:tc>
      </w:tr>
    </w:tbl>
    <w:p w14:paraId="79818B09" w14:textId="77777777" w:rsidR="00171AA8" w:rsidRPr="00731FE2" w:rsidRDefault="00171AA8">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p>
    <w:p w14:paraId="79BFD386"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Услуги местной телефонной связи общего пользования на территории городского округа города-курорта Кисловодска предоставляет Кисловодский узел электросвязи – структурное подразделение ставропольского филиала открытого акционерного общества «Южная телекоммуникационная компания».</w:t>
      </w:r>
    </w:p>
    <w:p w14:paraId="4F22B43D"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Услуги международной связи и интернета оказывает ОАО «Ростелеком».</w:t>
      </w:r>
      <w:r w:rsidR="008B0AA2" w:rsidRPr="00731FE2">
        <w:rPr>
          <w:rFonts w:ascii="Times New Roman" w:hAnsi="Times New Roman" w:cs="Times New Roman"/>
          <w:color w:val="000000" w:themeColor="text1"/>
        </w:rPr>
        <w:t xml:space="preserve"> </w:t>
      </w:r>
      <w:r w:rsidRPr="00731FE2">
        <w:rPr>
          <w:rFonts w:ascii="Times New Roman" w:hAnsi="Times New Roman" w:cs="Times New Roman"/>
          <w:color w:val="000000" w:themeColor="text1"/>
        </w:rPr>
        <w:t>Местные телефонные сети представляют собой сложную инженерную систему, которая состоит из 9 АТС разного типа (таблица ниже). Опорной является АТС-2, она же – междугородная.</w:t>
      </w:r>
    </w:p>
    <w:p w14:paraId="01696C0B" w14:textId="77777777" w:rsidR="00171AA8" w:rsidRPr="00731FE2" w:rsidRDefault="00171AA8">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p>
    <w:p w14:paraId="44629A58" w14:textId="77777777" w:rsidR="00171AA8" w:rsidRPr="00731FE2" w:rsidRDefault="007935AB">
      <w:pPr>
        <w:pStyle w:val="af3"/>
        <w:rPr>
          <w:sz w:val="24"/>
          <w:szCs w:val="24"/>
        </w:rPr>
      </w:pPr>
      <w:r w:rsidRPr="00731FE2">
        <w:rPr>
          <w:sz w:val="24"/>
          <w:szCs w:val="24"/>
        </w:rPr>
        <w:t xml:space="preserve">Таблица </w:t>
      </w:r>
      <w:r w:rsidR="00D97880" w:rsidRPr="00731FE2">
        <w:rPr>
          <w:noProof/>
          <w:sz w:val="24"/>
          <w:szCs w:val="24"/>
        </w:rPr>
        <w:fldChar w:fldCharType="begin"/>
      </w:r>
      <w:r w:rsidR="00D97880" w:rsidRPr="00731FE2">
        <w:rPr>
          <w:noProof/>
          <w:sz w:val="24"/>
          <w:szCs w:val="24"/>
        </w:rPr>
        <w:instrText xml:space="preserve"> SEQ Таблица \* Arabic </w:instrText>
      </w:r>
      <w:r w:rsidR="00D97880" w:rsidRPr="00731FE2">
        <w:rPr>
          <w:noProof/>
          <w:sz w:val="24"/>
          <w:szCs w:val="24"/>
        </w:rPr>
        <w:fldChar w:fldCharType="separate"/>
      </w:r>
      <w:r w:rsidR="00C50915" w:rsidRPr="00731FE2">
        <w:rPr>
          <w:noProof/>
          <w:sz w:val="24"/>
          <w:szCs w:val="24"/>
        </w:rPr>
        <w:t>51</w:t>
      </w:r>
      <w:r w:rsidR="00D97880" w:rsidRPr="00731FE2">
        <w:rPr>
          <w:noProof/>
          <w:sz w:val="24"/>
          <w:szCs w:val="24"/>
        </w:rPr>
        <w:fldChar w:fldCharType="end"/>
      </w:r>
      <w:r w:rsidRPr="00731FE2">
        <w:rPr>
          <w:sz w:val="24"/>
          <w:szCs w:val="24"/>
        </w:rPr>
        <w:t xml:space="preserve"> – Характеристика АТС, расположенных на территории городского округа города-курорта Кисловодска</w:t>
      </w:r>
    </w:p>
    <w:tbl>
      <w:tblPr>
        <w:tblStyle w:val="afe"/>
        <w:tblW w:w="9355" w:type="dxa"/>
        <w:tblLayout w:type="fixed"/>
        <w:tblLook w:val="04A0" w:firstRow="1" w:lastRow="0" w:firstColumn="1" w:lastColumn="0" w:noHBand="0" w:noVBand="1"/>
      </w:tblPr>
      <w:tblGrid>
        <w:gridCol w:w="708"/>
        <w:gridCol w:w="988"/>
        <w:gridCol w:w="1985"/>
        <w:gridCol w:w="1559"/>
        <w:gridCol w:w="1418"/>
        <w:gridCol w:w="1279"/>
        <w:gridCol w:w="1418"/>
      </w:tblGrid>
      <w:tr w:rsidR="00171AA8" w:rsidRPr="00731FE2" w14:paraId="7B370E02" w14:textId="77777777" w:rsidTr="007C46CA">
        <w:tc>
          <w:tcPr>
            <w:tcW w:w="708" w:type="dxa"/>
            <w:vAlign w:val="center"/>
          </w:tcPr>
          <w:p w14:paraId="15C7EC3A"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pPr>
            <w:r w:rsidRPr="00731FE2">
              <w:t xml:space="preserve">№ </w:t>
            </w:r>
            <w:proofErr w:type="gramStart"/>
            <w:r w:rsidRPr="00731FE2">
              <w:t>п</w:t>
            </w:r>
            <w:proofErr w:type="gramEnd"/>
            <w:r w:rsidRPr="00731FE2">
              <w:t>/п</w:t>
            </w:r>
          </w:p>
        </w:tc>
        <w:tc>
          <w:tcPr>
            <w:tcW w:w="988" w:type="dxa"/>
            <w:vAlign w:val="center"/>
          </w:tcPr>
          <w:p w14:paraId="31BE2C3C"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pPr>
            <w:r w:rsidRPr="00731FE2">
              <w:t>Наименование АТС</w:t>
            </w:r>
          </w:p>
        </w:tc>
        <w:tc>
          <w:tcPr>
            <w:tcW w:w="1985" w:type="dxa"/>
            <w:vAlign w:val="center"/>
          </w:tcPr>
          <w:p w14:paraId="67B3D85B"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pPr>
            <w:r w:rsidRPr="00731FE2">
              <w:t>Адрес</w:t>
            </w:r>
          </w:p>
        </w:tc>
        <w:tc>
          <w:tcPr>
            <w:tcW w:w="1559" w:type="dxa"/>
            <w:vAlign w:val="center"/>
          </w:tcPr>
          <w:p w14:paraId="797FFDBC"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pPr>
            <w:r w:rsidRPr="00731FE2">
              <w:t>Тип оборудования, год установки</w:t>
            </w:r>
          </w:p>
        </w:tc>
        <w:tc>
          <w:tcPr>
            <w:tcW w:w="1418" w:type="dxa"/>
            <w:vAlign w:val="center"/>
          </w:tcPr>
          <w:p w14:paraId="3E361DF7"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pPr>
            <w:r w:rsidRPr="00731FE2">
              <w:t>Монтированная емкость (абонентских линий)</w:t>
            </w:r>
          </w:p>
        </w:tc>
        <w:tc>
          <w:tcPr>
            <w:tcW w:w="1279" w:type="dxa"/>
            <w:vAlign w:val="center"/>
          </w:tcPr>
          <w:p w14:paraId="3D28728F"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pPr>
            <w:r w:rsidRPr="00731FE2">
              <w:t>Возможность расширения</w:t>
            </w:r>
          </w:p>
        </w:tc>
        <w:tc>
          <w:tcPr>
            <w:tcW w:w="1418" w:type="dxa"/>
            <w:vAlign w:val="center"/>
          </w:tcPr>
          <w:p w14:paraId="53BFAC05"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pPr>
            <w:r w:rsidRPr="00731FE2">
              <w:t>Техническое состояние</w:t>
            </w:r>
          </w:p>
        </w:tc>
      </w:tr>
      <w:tr w:rsidR="00171AA8" w:rsidRPr="00731FE2" w14:paraId="105993B5" w14:textId="77777777" w:rsidTr="007C46CA">
        <w:tc>
          <w:tcPr>
            <w:tcW w:w="708" w:type="dxa"/>
            <w:vAlign w:val="center"/>
          </w:tcPr>
          <w:p w14:paraId="0A216CE6" w14:textId="77777777" w:rsidR="00171AA8" w:rsidRPr="00731FE2" w:rsidRDefault="00171AA8" w:rsidP="008B0AA2">
            <w:pPr>
              <w:pStyle w:val="a3"/>
              <w:numPr>
                <w:ilvl w:val="0"/>
                <w:numId w:val="34"/>
              </w:numPr>
              <w:pBdr>
                <w:top w:val="none" w:sz="4" w:space="0" w:color="000000"/>
                <w:left w:val="none" w:sz="4" w:space="0" w:color="000000"/>
                <w:bottom w:val="none" w:sz="4" w:space="0" w:color="000000"/>
                <w:right w:val="none" w:sz="4" w:space="0" w:color="000000"/>
              </w:pBdr>
              <w:ind w:left="227" w:firstLine="0"/>
              <w:contextualSpacing w:val="0"/>
              <w:jc w:val="center"/>
              <w:rPr>
                <w:rFonts w:ascii="Times New Roman" w:hAnsi="Times New Roman" w:cs="Times New Roman"/>
                <w:color w:val="000000" w:themeColor="text1"/>
                <w:sz w:val="22"/>
              </w:rPr>
            </w:pPr>
          </w:p>
        </w:tc>
        <w:tc>
          <w:tcPr>
            <w:tcW w:w="988" w:type="dxa"/>
            <w:vAlign w:val="center"/>
          </w:tcPr>
          <w:p w14:paraId="3F5B64E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АТС-7</w:t>
            </w:r>
          </w:p>
        </w:tc>
        <w:tc>
          <w:tcPr>
            <w:tcW w:w="1985" w:type="dxa"/>
            <w:vAlign w:val="center"/>
          </w:tcPr>
          <w:p w14:paraId="303BF333" w14:textId="77777777" w:rsidR="00171AA8" w:rsidRPr="00731FE2" w:rsidRDefault="007935AB" w:rsidP="007C46CA">
            <w:pPr>
              <w:pBdr>
                <w:top w:val="none" w:sz="4" w:space="0" w:color="000000"/>
                <w:left w:val="none" w:sz="4" w:space="0" w:color="000000"/>
                <w:bottom w:val="none" w:sz="4" w:space="0" w:color="000000"/>
                <w:right w:val="none" w:sz="4" w:space="0" w:color="000000"/>
              </w:pBdr>
              <w:ind w:firstLine="0"/>
              <w:jc w:val="left"/>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ул.</w:t>
            </w:r>
            <w:r w:rsidR="007C46CA" w:rsidRPr="00731FE2">
              <w:rPr>
                <w:rFonts w:ascii="Times New Roman" w:hAnsi="Times New Roman" w:cs="Times New Roman"/>
                <w:color w:val="000000" w:themeColor="text1"/>
                <w:sz w:val="22"/>
              </w:rPr>
              <w:t xml:space="preserve"> </w:t>
            </w:r>
            <w:r w:rsidRPr="00731FE2">
              <w:rPr>
                <w:rFonts w:ascii="Times New Roman" w:hAnsi="Times New Roman" w:cs="Times New Roman"/>
                <w:color w:val="000000" w:themeColor="text1"/>
                <w:sz w:val="22"/>
              </w:rPr>
              <w:t>Цандера,</w:t>
            </w:r>
            <w:r w:rsidR="007C46CA" w:rsidRPr="00731FE2">
              <w:rPr>
                <w:rFonts w:ascii="Times New Roman" w:hAnsi="Times New Roman" w:cs="Times New Roman"/>
                <w:color w:val="000000" w:themeColor="text1"/>
                <w:sz w:val="22"/>
              </w:rPr>
              <w:t xml:space="preserve"> </w:t>
            </w:r>
            <w:r w:rsidRPr="00731FE2">
              <w:rPr>
                <w:rFonts w:ascii="Times New Roman" w:hAnsi="Times New Roman" w:cs="Times New Roman"/>
                <w:color w:val="000000" w:themeColor="text1"/>
                <w:sz w:val="22"/>
              </w:rPr>
              <w:t>8</w:t>
            </w:r>
          </w:p>
        </w:tc>
        <w:tc>
          <w:tcPr>
            <w:tcW w:w="1559" w:type="dxa"/>
            <w:vAlign w:val="center"/>
          </w:tcPr>
          <w:p w14:paraId="06EDC53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«STAREX-TX1»</w:t>
            </w:r>
          </w:p>
        </w:tc>
        <w:tc>
          <w:tcPr>
            <w:tcW w:w="1418" w:type="dxa"/>
            <w:vAlign w:val="center"/>
          </w:tcPr>
          <w:p w14:paraId="6AB3B914" w14:textId="77777777" w:rsidR="00171AA8" w:rsidRPr="00731FE2" w:rsidRDefault="007935AB">
            <w:pPr>
              <w:pBdr>
                <w:top w:val="none" w:sz="4" w:space="0" w:color="000000"/>
                <w:left w:val="none" w:sz="4" w:space="0" w:color="000000"/>
                <w:bottom w:val="none" w:sz="4" w:space="0" w:color="000000"/>
                <w:right w:val="none" w:sz="4" w:space="0" w:color="000000"/>
              </w:pBdr>
              <w:tabs>
                <w:tab w:val="center" w:pos="560"/>
              </w:tabs>
              <w:ind w:firstLine="0"/>
              <w:jc w:val="center"/>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7200</w:t>
            </w:r>
          </w:p>
        </w:tc>
        <w:tc>
          <w:tcPr>
            <w:tcW w:w="1279" w:type="dxa"/>
            <w:vAlign w:val="center"/>
          </w:tcPr>
          <w:p w14:paraId="0BD015E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есть</w:t>
            </w:r>
          </w:p>
        </w:tc>
        <w:tc>
          <w:tcPr>
            <w:tcW w:w="1418" w:type="dxa"/>
            <w:vAlign w:val="center"/>
          </w:tcPr>
          <w:p w14:paraId="48E4E60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хорошее</w:t>
            </w:r>
          </w:p>
        </w:tc>
      </w:tr>
      <w:tr w:rsidR="00171AA8" w:rsidRPr="00731FE2" w14:paraId="4F8D2DD4" w14:textId="77777777" w:rsidTr="007C46CA">
        <w:tc>
          <w:tcPr>
            <w:tcW w:w="708" w:type="dxa"/>
            <w:vAlign w:val="center"/>
          </w:tcPr>
          <w:p w14:paraId="57842F37" w14:textId="77777777" w:rsidR="00171AA8" w:rsidRPr="00731FE2" w:rsidRDefault="00171AA8" w:rsidP="008B0AA2">
            <w:pPr>
              <w:pStyle w:val="a3"/>
              <w:numPr>
                <w:ilvl w:val="0"/>
                <w:numId w:val="34"/>
              </w:numPr>
              <w:pBdr>
                <w:top w:val="none" w:sz="4" w:space="0" w:color="000000"/>
                <w:left w:val="none" w:sz="4" w:space="0" w:color="000000"/>
                <w:bottom w:val="none" w:sz="4" w:space="0" w:color="000000"/>
                <w:right w:val="none" w:sz="4" w:space="0" w:color="000000"/>
              </w:pBdr>
              <w:ind w:left="227" w:firstLine="0"/>
              <w:contextualSpacing w:val="0"/>
              <w:jc w:val="center"/>
              <w:rPr>
                <w:rFonts w:ascii="Times New Roman" w:hAnsi="Times New Roman" w:cs="Times New Roman"/>
                <w:color w:val="000000" w:themeColor="text1"/>
                <w:sz w:val="22"/>
              </w:rPr>
            </w:pPr>
          </w:p>
        </w:tc>
        <w:tc>
          <w:tcPr>
            <w:tcW w:w="988" w:type="dxa"/>
            <w:vAlign w:val="center"/>
          </w:tcPr>
          <w:p w14:paraId="05142E1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АТС-7к</w:t>
            </w:r>
          </w:p>
        </w:tc>
        <w:tc>
          <w:tcPr>
            <w:tcW w:w="1985" w:type="dxa"/>
            <w:vAlign w:val="center"/>
          </w:tcPr>
          <w:p w14:paraId="723A0645" w14:textId="77777777" w:rsidR="00171AA8" w:rsidRPr="00731FE2" w:rsidRDefault="007935AB" w:rsidP="007C46CA">
            <w:pPr>
              <w:pBdr>
                <w:top w:val="none" w:sz="4" w:space="0" w:color="000000"/>
                <w:left w:val="none" w:sz="4" w:space="0" w:color="000000"/>
                <w:bottom w:val="none" w:sz="4" w:space="0" w:color="000000"/>
                <w:right w:val="none" w:sz="4" w:space="0" w:color="000000"/>
              </w:pBdr>
              <w:ind w:firstLine="0"/>
              <w:jc w:val="left"/>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ул.</w:t>
            </w:r>
            <w:r w:rsidR="007C46CA" w:rsidRPr="00731FE2">
              <w:rPr>
                <w:rFonts w:ascii="Times New Roman" w:hAnsi="Times New Roman" w:cs="Times New Roman"/>
                <w:color w:val="000000" w:themeColor="text1"/>
                <w:sz w:val="22"/>
              </w:rPr>
              <w:t xml:space="preserve"> </w:t>
            </w:r>
            <w:r w:rsidRPr="00731FE2">
              <w:rPr>
                <w:rFonts w:ascii="Times New Roman" w:hAnsi="Times New Roman" w:cs="Times New Roman"/>
                <w:color w:val="000000" w:themeColor="text1"/>
                <w:sz w:val="22"/>
              </w:rPr>
              <w:t>Азербайджанская, 17а</w:t>
            </w:r>
          </w:p>
        </w:tc>
        <w:tc>
          <w:tcPr>
            <w:tcW w:w="1559" w:type="dxa"/>
            <w:vAlign w:val="center"/>
          </w:tcPr>
          <w:p w14:paraId="370F68F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«STAREX-TX1» RS-1</w:t>
            </w:r>
          </w:p>
        </w:tc>
        <w:tc>
          <w:tcPr>
            <w:tcW w:w="1418" w:type="dxa"/>
            <w:vAlign w:val="center"/>
          </w:tcPr>
          <w:p w14:paraId="6539EAB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6000</w:t>
            </w:r>
          </w:p>
        </w:tc>
        <w:tc>
          <w:tcPr>
            <w:tcW w:w="1279" w:type="dxa"/>
            <w:vAlign w:val="center"/>
          </w:tcPr>
          <w:p w14:paraId="79EDA63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есть</w:t>
            </w:r>
          </w:p>
        </w:tc>
        <w:tc>
          <w:tcPr>
            <w:tcW w:w="1418" w:type="dxa"/>
            <w:vAlign w:val="center"/>
          </w:tcPr>
          <w:p w14:paraId="2D0FBB3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хорошее</w:t>
            </w:r>
          </w:p>
        </w:tc>
      </w:tr>
      <w:tr w:rsidR="00171AA8" w:rsidRPr="00731FE2" w14:paraId="65D76924" w14:textId="77777777" w:rsidTr="007C46CA">
        <w:tc>
          <w:tcPr>
            <w:tcW w:w="708" w:type="dxa"/>
            <w:vAlign w:val="center"/>
          </w:tcPr>
          <w:p w14:paraId="7623EE7C" w14:textId="77777777" w:rsidR="00171AA8" w:rsidRPr="00731FE2" w:rsidRDefault="00171AA8" w:rsidP="008B0AA2">
            <w:pPr>
              <w:pStyle w:val="a3"/>
              <w:numPr>
                <w:ilvl w:val="0"/>
                <w:numId w:val="34"/>
              </w:numPr>
              <w:pBdr>
                <w:top w:val="none" w:sz="4" w:space="0" w:color="000000"/>
                <w:left w:val="none" w:sz="4" w:space="0" w:color="000000"/>
                <w:bottom w:val="none" w:sz="4" w:space="0" w:color="000000"/>
                <w:right w:val="none" w:sz="4" w:space="0" w:color="000000"/>
              </w:pBdr>
              <w:ind w:left="227" w:firstLine="0"/>
              <w:contextualSpacing w:val="0"/>
              <w:jc w:val="center"/>
              <w:rPr>
                <w:rFonts w:ascii="Times New Roman" w:hAnsi="Times New Roman" w:cs="Times New Roman"/>
                <w:color w:val="000000" w:themeColor="text1"/>
                <w:sz w:val="22"/>
              </w:rPr>
            </w:pPr>
          </w:p>
        </w:tc>
        <w:tc>
          <w:tcPr>
            <w:tcW w:w="988" w:type="dxa"/>
            <w:vAlign w:val="center"/>
          </w:tcPr>
          <w:p w14:paraId="5B810E6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АТС-3</w:t>
            </w:r>
          </w:p>
        </w:tc>
        <w:tc>
          <w:tcPr>
            <w:tcW w:w="1985" w:type="dxa"/>
            <w:vAlign w:val="center"/>
          </w:tcPr>
          <w:p w14:paraId="01122292" w14:textId="77777777" w:rsidR="00171AA8" w:rsidRPr="00731FE2" w:rsidRDefault="007935AB" w:rsidP="007C46CA">
            <w:pPr>
              <w:pBdr>
                <w:top w:val="none" w:sz="4" w:space="0" w:color="000000"/>
                <w:left w:val="none" w:sz="4" w:space="0" w:color="000000"/>
                <w:bottom w:val="none" w:sz="4" w:space="0" w:color="000000"/>
                <w:right w:val="none" w:sz="4" w:space="0" w:color="000000"/>
              </w:pBdr>
              <w:ind w:firstLine="0"/>
              <w:jc w:val="left"/>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пр.</w:t>
            </w:r>
            <w:r w:rsidR="007C46CA" w:rsidRPr="00731FE2">
              <w:rPr>
                <w:rFonts w:ascii="Times New Roman" w:hAnsi="Times New Roman" w:cs="Times New Roman"/>
                <w:color w:val="000000" w:themeColor="text1"/>
                <w:sz w:val="22"/>
              </w:rPr>
              <w:t xml:space="preserve"> </w:t>
            </w:r>
            <w:r w:rsidRPr="00731FE2">
              <w:rPr>
                <w:rFonts w:ascii="Times New Roman" w:hAnsi="Times New Roman" w:cs="Times New Roman"/>
                <w:color w:val="000000" w:themeColor="text1"/>
                <w:sz w:val="22"/>
              </w:rPr>
              <w:t>Мира, 16</w:t>
            </w:r>
          </w:p>
        </w:tc>
        <w:tc>
          <w:tcPr>
            <w:tcW w:w="1559" w:type="dxa"/>
            <w:vAlign w:val="center"/>
          </w:tcPr>
          <w:p w14:paraId="2FC4E16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«STAREX-TX1» RS-2</w:t>
            </w:r>
          </w:p>
        </w:tc>
        <w:tc>
          <w:tcPr>
            <w:tcW w:w="1418" w:type="dxa"/>
            <w:vAlign w:val="center"/>
          </w:tcPr>
          <w:p w14:paraId="2F08064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6112</w:t>
            </w:r>
          </w:p>
        </w:tc>
        <w:tc>
          <w:tcPr>
            <w:tcW w:w="1279" w:type="dxa"/>
            <w:vAlign w:val="center"/>
          </w:tcPr>
          <w:p w14:paraId="61E4EF2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есть</w:t>
            </w:r>
          </w:p>
        </w:tc>
        <w:tc>
          <w:tcPr>
            <w:tcW w:w="1418" w:type="dxa"/>
            <w:vAlign w:val="center"/>
          </w:tcPr>
          <w:p w14:paraId="26B76CD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хорошее</w:t>
            </w:r>
          </w:p>
        </w:tc>
      </w:tr>
      <w:tr w:rsidR="00171AA8" w:rsidRPr="00731FE2" w14:paraId="1DB3A99A" w14:textId="77777777" w:rsidTr="007C46CA">
        <w:tc>
          <w:tcPr>
            <w:tcW w:w="708" w:type="dxa"/>
            <w:vAlign w:val="center"/>
          </w:tcPr>
          <w:p w14:paraId="13E97FA5" w14:textId="77777777" w:rsidR="00171AA8" w:rsidRPr="00731FE2" w:rsidRDefault="00171AA8" w:rsidP="008B0AA2">
            <w:pPr>
              <w:pStyle w:val="a3"/>
              <w:numPr>
                <w:ilvl w:val="0"/>
                <w:numId w:val="34"/>
              </w:numPr>
              <w:pBdr>
                <w:top w:val="none" w:sz="4" w:space="0" w:color="000000"/>
                <w:left w:val="none" w:sz="4" w:space="0" w:color="000000"/>
                <w:bottom w:val="none" w:sz="4" w:space="0" w:color="000000"/>
                <w:right w:val="none" w:sz="4" w:space="0" w:color="000000"/>
              </w:pBdr>
              <w:ind w:left="227" w:firstLine="0"/>
              <w:contextualSpacing w:val="0"/>
              <w:jc w:val="center"/>
              <w:rPr>
                <w:rFonts w:ascii="Times New Roman" w:hAnsi="Times New Roman" w:cs="Times New Roman"/>
                <w:color w:val="000000" w:themeColor="text1"/>
                <w:sz w:val="22"/>
              </w:rPr>
            </w:pPr>
          </w:p>
        </w:tc>
        <w:tc>
          <w:tcPr>
            <w:tcW w:w="988" w:type="dxa"/>
            <w:vAlign w:val="center"/>
          </w:tcPr>
          <w:p w14:paraId="7FD2903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АТС-2</w:t>
            </w:r>
          </w:p>
        </w:tc>
        <w:tc>
          <w:tcPr>
            <w:tcW w:w="1985" w:type="dxa"/>
            <w:vAlign w:val="center"/>
          </w:tcPr>
          <w:p w14:paraId="4BF28AEE" w14:textId="77777777" w:rsidR="00171AA8" w:rsidRPr="00731FE2" w:rsidRDefault="007935AB" w:rsidP="007C46CA">
            <w:pPr>
              <w:pBdr>
                <w:top w:val="none" w:sz="4" w:space="0" w:color="000000"/>
                <w:left w:val="none" w:sz="4" w:space="0" w:color="000000"/>
                <w:bottom w:val="none" w:sz="4" w:space="0" w:color="000000"/>
                <w:right w:val="none" w:sz="4" w:space="0" w:color="000000"/>
              </w:pBdr>
              <w:ind w:firstLine="0"/>
              <w:jc w:val="left"/>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пр.</w:t>
            </w:r>
            <w:r w:rsidR="007C46CA" w:rsidRPr="00731FE2">
              <w:rPr>
                <w:rFonts w:ascii="Times New Roman" w:hAnsi="Times New Roman" w:cs="Times New Roman"/>
                <w:color w:val="000000" w:themeColor="text1"/>
                <w:sz w:val="22"/>
              </w:rPr>
              <w:t xml:space="preserve"> </w:t>
            </w:r>
            <w:r w:rsidRPr="00731FE2">
              <w:rPr>
                <w:rFonts w:ascii="Times New Roman" w:hAnsi="Times New Roman" w:cs="Times New Roman"/>
                <w:color w:val="000000" w:themeColor="text1"/>
                <w:sz w:val="22"/>
              </w:rPr>
              <w:t>Первомайский, 12</w:t>
            </w:r>
          </w:p>
        </w:tc>
        <w:tc>
          <w:tcPr>
            <w:tcW w:w="1559" w:type="dxa"/>
            <w:vAlign w:val="center"/>
          </w:tcPr>
          <w:p w14:paraId="32C8B24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Neax 61</w:t>
            </w:r>
          </w:p>
        </w:tc>
        <w:tc>
          <w:tcPr>
            <w:tcW w:w="1418" w:type="dxa"/>
            <w:vAlign w:val="center"/>
          </w:tcPr>
          <w:p w14:paraId="586C94F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11000</w:t>
            </w:r>
          </w:p>
        </w:tc>
        <w:tc>
          <w:tcPr>
            <w:tcW w:w="1279" w:type="dxa"/>
            <w:vAlign w:val="center"/>
          </w:tcPr>
          <w:p w14:paraId="589B26D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есть</w:t>
            </w:r>
          </w:p>
        </w:tc>
        <w:tc>
          <w:tcPr>
            <w:tcW w:w="1418" w:type="dxa"/>
            <w:vAlign w:val="center"/>
          </w:tcPr>
          <w:p w14:paraId="532DC38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хорошее</w:t>
            </w:r>
          </w:p>
        </w:tc>
      </w:tr>
      <w:tr w:rsidR="00171AA8" w:rsidRPr="00731FE2" w14:paraId="68FAA5A8" w14:textId="77777777" w:rsidTr="007C46CA">
        <w:tc>
          <w:tcPr>
            <w:tcW w:w="708" w:type="dxa"/>
            <w:vAlign w:val="center"/>
          </w:tcPr>
          <w:p w14:paraId="107E4753" w14:textId="77777777" w:rsidR="00171AA8" w:rsidRPr="00731FE2" w:rsidRDefault="00171AA8" w:rsidP="008B0AA2">
            <w:pPr>
              <w:pStyle w:val="a3"/>
              <w:numPr>
                <w:ilvl w:val="0"/>
                <w:numId w:val="34"/>
              </w:numPr>
              <w:pBdr>
                <w:top w:val="none" w:sz="4" w:space="0" w:color="000000"/>
                <w:left w:val="none" w:sz="4" w:space="0" w:color="000000"/>
                <w:bottom w:val="none" w:sz="4" w:space="0" w:color="000000"/>
                <w:right w:val="none" w:sz="4" w:space="0" w:color="000000"/>
              </w:pBdr>
              <w:ind w:left="227" w:firstLine="0"/>
              <w:contextualSpacing w:val="0"/>
              <w:jc w:val="center"/>
              <w:rPr>
                <w:rFonts w:ascii="Times New Roman" w:hAnsi="Times New Roman" w:cs="Times New Roman"/>
                <w:color w:val="000000" w:themeColor="text1"/>
                <w:sz w:val="22"/>
              </w:rPr>
            </w:pPr>
          </w:p>
        </w:tc>
        <w:tc>
          <w:tcPr>
            <w:tcW w:w="988" w:type="dxa"/>
            <w:vAlign w:val="center"/>
          </w:tcPr>
          <w:p w14:paraId="5782EE7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АТС-2 RLU</w:t>
            </w:r>
          </w:p>
        </w:tc>
        <w:tc>
          <w:tcPr>
            <w:tcW w:w="1985" w:type="dxa"/>
            <w:vAlign w:val="center"/>
          </w:tcPr>
          <w:p w14:paraId="5503A86B" w14:textId="77777777" w:rsidR="00171AA8" w:rsidRPr="00731FE2" w:rsidRDefault="007935AB" w:rsidP="007C46CA">
            <w:pPr>
              <w:pBdr>
                <w:top w:val="none" w:sz="4" w:space="0" w:color="000000"/>
                <w:left w:val="none" w:sz="4" w:space="0" w:color="000000"/>
                <w:bottom w:val="none" w:sz="4" w:space="0" w:color="000000"/>
                <w:right w:val="none" w:sz="4" w:space="0" w:color="000000"/>
              </w:pBdr>
              <w:ind w:firstLine="0"/>
              <w:jc w:val="left"/>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пр.</w:t>
            </w:r>
            <w:r w:rsidR="007C46CA" w:rsidRPr="00731FE2">
              <w:rPr>
                <w:rFonts w:ascii="Times New Roman" w:hAnsi="Times New Roman" w:cs="Times New Roman"/>
                <w:color w:val="000000" w:themeColor="text1"/>
                <w:sz w:val="22"/>
              </w:rPr>
              <w:t xml:space="preserve"> </w:t>
            </w:r>
            <w:r w:rsidRPr="00731FE2">
              <w:rPr>
                <w:rFonts w:ascii="Times New Roman" w:hAnsi="Times New Roman" w:cs="Times New Roman"/>
                <w:color w:val="000000" w:themeColor="text1"/>
                <w:sz w:val="22"/>
              </w:rPr>
              <w:t>Первомайский 12</w:t>
            </w:r>
          </w:p>
        </w:tc>
        <w:tc>
          <w:tcPr>
            <w:tcW w:w="1559" w:type="dxa"/>
            <w:vAlign w:val="center"/>
          </w:tcPr>
          <w:p w14:paraId="0860F28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Neax 61</w:t>
            </w:r>
          </w:p>
        </w:tc>
        <w:tc>
          <w:tcPr>
            <w:tcW w:w="1418" w:type="dxa"/>
            <w:vAlign w:val="center"/>
          </w:tcPr>
          <w:p w14:paraId="0A440C5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3000</w:t>
            </w:r>
          </w:p>
        </w:tc>
        <w:tc>
          <w:tcPr>
            <w:tcW w:w="1279" w:type="dxa"/>
            <w:vAlign w:val="center"/>
          </w:tcPr>
          <w:p w14:paraId="6F9A386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есть</w:t>
            </w:r>
          </w:p>
        </w:tc>
        <w:tc>
          <w:tcPr>
            <w:tcW w:w="1418" w:type="dxa"/>
            <w:vAlign w:val="center"/>
          </w:tcPr>
          <w:p w14:paraId="0A72963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хорошее</w:t>
            </w:r>
          </w:p>
        </w:tc>
      </w:tr>
      <w:tr w:rsidR="00171AA8" w:rsidRPr="00731FE2" w14:paraId="1DD17318" w14:textId="77777777" w:rsidTr="007C46CA">
        <w:tc>
          <w:tcPr>
            <w:tcW w:w="708" w:type="dxa"/>
            <w:vAlign w:val="center"/>
          </w:tcPr>
          <w:p w14:paraId="72B215C4" w14:textId="77777777" w:rsidR="00171AA8" w:rsidRPr="00731FE2" w:rsidRDefault="00171AA8" w:rsidP="008B0AA2">
            <w:pPr>
              <w:pStyle w:val="a3"/>
              <w:numPr>
                <w:ilvl w:val="0"/>
                <w:numId w:val="34"/>
              </w:numPr>
              <w:pBdr>
                <w:top w:val="none" w:sz="4" w:space="0" w:color="000000"/>
                <w:left w:val="none" w:sz="4" w:space="0" w:color="000000"/>
                <w:bottom w:val="none" w:sz="4" w:space="0" w:color="000000"/>
                <w:right w:val="none" w:sz="4" w:space="0" w:color="000000"/>
              </w:pBdr>
              <w:ind w:left="227" w:firstLine="0"/>
              <w:contextualSpacing w:val="0"/>
              <w:jc w:val="center"/>
              <w:rPr>
                <w:rFonts w:ascii="Times New Roman" w:hAnsi="Times New Roman" w:cs="Times New Roman"/>
                <w:color w:val="000000" w:themeColor="text1"/>
                <w:sz w:val="22"/>
              </w:rPr>
            </w:pPr>
          </w:p>
        </w:tc>
        <w:tc>
          <w:tcPr>
            <w:tcW w:w="988" w:type="dxa"/>
            <w:vAlign w:val="center"/>
          </w:tcPr>
          <w:p w14:paraId="34F9E41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 xml:space="preserve">АТС-4 </w:t>
            </w:r>
          </w:p>
        </w:tc>
        <w:tc>
          <w:tcPr>
            <w:tcW w:w="1985" w:type="dxa"/>
            <w:vAlign w:val="center"/>
          </w:tcPr>
          <w:p w14:paraId="71AFD869" w14:textId="77777777" w:rsidR="00171AA8" w:rsidRPr="00731FE2" w:rsidRDefault="007935AB" w:rsidP="007C46CA">
            <w:pPr>
              <w:pBdr>
                <w:top w:val="none" w:sz="4" w:space="0" w:color="000000"/>
                <w:left w:val="none" w:sz="4" w:space="0" w:color="000000"/>
                <w:bottom w:val="none" w:sz="4" w:space="0" w:color="000000"/>
                <w:right w:val="none" w:sz="4" w:space="0" w:color="000000"/>
              </w:pBdr>
              <w:ind w:firstLine="0"/>
              <w:jc w:val="left"/>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ул.</w:t>
            </w:r>
            <w:r w:rsidR="007C46CA" w:rsidRPr="00731FE2">
              <w:rPr>
                <w:rFonts w:ascii="Times New Roman" w:hAnsi="Times New Roman" w:cs="Times New Roman"/>
                <w:color w:val="000000" w:themeColor="text1"/>
                <w:sz w:val="22"/>
              </w:rPr>
              <w:t xml:space="preserve"> </w:t>
            </w:r>
            <w:r w:rsidRPr="00731FE2">
              <w:rPr>
                <w:rFonts w:ascii="Times New Roman" w:hAnsi="Times New Roman" w:cs="Times New Roman"/>
                <w:color w:val="000000" w:themeColor="text1"/>
                <w:sz w:val="22"/>
              </w:rPr>
              <w:t>Набережная</w:t>
            </w:r>
          </w:p>
        </w:tc>
        <w:tc>
          <w:tcPr>
            <w:tcW w:w="1559" w:type="dxa"/>
            <w:vAlign w:val="center"/>
          </w:tcPr>
          <w:p w14:paraId="020E2BB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АТСКУ</w:t>
            </w:r>
          </w:p>
        </w:tc>
        <w:tc>
          <w:tcPr>
            <w:tcW w:w="1418" w:type="dxa"/>
            <w:vAlign w:val="center"/>
          </w:tcPr>
          <w:p w14:paraId="74B07AE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6000</w:t>
            </w:r>
          </w:p>
        </w:tc>
        <w:tc>
          <w:tcPr>
            <w:tcW w:w="1279" w:type="dxa"/>
            <w:vAlign w:val="center"/>
          </w:tcPr>
          <w:p w14:paraId="3166CA5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нет</w:t>
            </w:r>
          </w:p>
        </w:tc>
        <w:tc>
          <w:tcPr>
            <w:tcW w:w="1418" w:type="dxa"/>
            <w:vAlign w:val="center"/>
          </w:tcPr>
          <w:p w14:paraId="4F6CD919" w14:textId="77777777" w:rsidR="00171AA8" w:rsidRPr="00731FE2" w:rsidRDefault="007935AB" w:rsidP="007C46CA">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удовл</w:t>
            </w:r>
            <w:r w:rsidR="007C46CA" w:rsidRPr="00731FE2">
              <w:rPr>
                <w:rFonts w:ascii="Times New Roman" w:hAnsi="Times New Roman" w:cs="Times New Roman"/>
                <w:color w:val="000000" w:themeColor="text1"/>
                <w:sz w:val="22"/>
              </w:rPr>
              <w:t>етворительное</w:t>
            </w:r>
          </w:p>
        </w:tc>
      </w:tr>
      <w:tr w:rsidR="007C46CA" w:rsidRPr="00731FE2" w14:paraId="3F9BB5A3" w14:textId="77777777" w:rsidTr="007C46CA">
        <w:tc>
          <w:tcPr>
            <w:tcW w:w="708" w:type="dxa"/>
            <w:vAlign w:val="center"/>
          </w:tcPr>
          <w:p w14:paraId="07391F7D" w14:textId="77777777" w:rsidR="007C46CA" w:rsidRPr="00731FE2" w:rsidRDefault="007C46CA" w:rsidP="007C46CA">
            <w:pPr>
              <w:pStyle w:val="a3"/>
              <w:numPr>
                <w:ilvl w:val="0"/>
                <w:numId w:val="34"/>
              </w:numPr>
              <w:pBdr>
                <w:top w:val="none" w:sz="4" w:space="0" w:color="000000"/>
                <w:left w:val="none" w:sz="4" w:space="0" w:color="000000"/>
                <w:bottom w:val="none" w:sz="4" w:space="0" w:color="000000"/>
                <w:right w:val="none" w:sz="4" w:space="0" w:color="000000"/>
              </w:pBdr>
              <w:ind w:left="227" w:firstLine="0"/>
              <w:contextualSpacing w:val="0"/>
              <w:jc w:val="center"/>
              <w:rPr>
                <w:rFonts w:ascii="Times New Roman" w:hAnsi="Times New Roman" w:cs="Times New Roman"/>
                <w:color w:val="000000" w:themeColor="text1"/>
                <w:sz w:val="22"/>
              </w:rPr>
            </w:pPr>
          </w:p>
        </w:tc>
        <w:tc>
          <w:tcPr>
            <w:tcW w:w="988" w:type="dxa"/>
            <w:vAlign w:val="center"/>
          </w:tcPr>
          <w:p w14:paraId="3579A1A1" w14:textId="77777777" w:rsidR="007C46CA" w:rsidRPr="00731FE2" w:rsidRDefault="007C46CA" w:rsidP="007C46CA">
            <w:pPr>
              <w:pBdr>
                <w:top w:val="none" w:sz="4" w:space="0" w:color="000000"/>
                <w:left w:val="none" w:sz="4" w:space="0" w:color="000000"/>
                <w:bottom w:val="none" w:sz="4" w:space="0" w:color="000000"/>
                <w:right w:val="none" w:sz="4" w:space="0" w:color="000000"/>
              </w:pBdr>
              <w:ind w:firstLine="0"/>
              <w:jc w:val="left"/>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АТС-66</w:t>
            </w:r>
          </w:p>
        </w:tc>
        <w:tc>
          <w:tcPr>
            <w:tcW w:w="1985" w:type="dxa"/>
            <w:vAlign w:val="center"/>
          </w:tcPr>
          <w:p w14:paraId="163A5F34" w14:textId="77777777" w:rsidR="007C46CA" w:rsidRPr="00731FE2" w:rsidRDefault="007C46CA" w:rsidP="007C46CA">
            <w:pPr>
              <w:pBdr>
                <w:top w:val="none" w:sz="4" w:space="0" w:color="000000"/>
                <w:left w:val="none" w:sz="4" w:space="0" w:color="000000"/>
                <w:bottom w:val="none" w:sz="4" w:space="0" w:color="000000"/>
                <w:right w:val="none" w:sz="4" w:space="0" w:color="000000"/>
              </w:pBdr>
              <w:ind w:firstLine="0"/>
              <w:jc w:val="left"/>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ул. Дзержинского, 24</w:t>
            </w:r>
          </w:p>
        </w:tc>
        <w:tc>
          <w:tcPr>
            <w:tcW w:w="1559" w:type="dxa"/>
            <w:vAlign w:val="center"/>
          </w:tcPr>
          <w:p w14:paraId="58630CD4" w14:textId="77777777" w:rsidR="007C46CA" w:rsidRPr="00731FE2" w:rsidRDefault="007C46CA" w:rsidP="007C46CA">
            <w:pPr>
              <w:pBdr>
                <w:top w:val="none" w:sz="4" w:space="0" w:color="000000"/>
                <w:left w:val="none" w:sz="4" w:space="0" w:color="000000"/>
                <w:bottom w:val="none" w:sz="4" w:space="0" w:color="000000"/>
                <w:right w:val="none" w:sz="4" w:space="0" w:color="000000"/>
              </w:pBdr>
              <w:ind w:firstLine="0"/>
              <w:jc w:val="left"/>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«Элком»</w:t>
            </w:r>
          </w:p>
        </w:tc>
        <w:tc>
          <w:tcPr>
            <w:tcW w:w="1418" w:type="dxa"/>
            <w:vAlign w:val="center"/>
          </w:tcPr>
          <w:p w14:paraId="6AF01108" w14:textId="77777777" w:rsidR="007C46CA" w:rsidRPr="00731FE2" w:rsidRDefault="007C46CA" w:rsidP="007C46CA">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3000</w:t>
            </w:r>
          </w:p>
        </w:tc>
        <w:tc>
          <w:tcPr>
            <w:tcW w:w="1279" w:type="dxa"/>
            <w:vAlign w:val="center"/>
          </w:tcPr>
          <w:p w14:paraId="16CA4EF4" w14:textId="77777777" w:rsidR="007C46CA" w:rsidRPr="00731FE2" w:rsidRDefault="007C46CA" w:rsidP="007C46CA">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нет</w:t>
            </w:r>
          </w:p>
        </w:tc>
        <w:tc>
          <w:tcPr>
            <w:tcW w:w="1418" w:type="dxa"/>
            <w:vAlign w:val="center"/>
          </w:tcPr>
          <w:p w14:paraId="6A43A19B" w14:textId="77777777" w:rsidR="007C46CA" w:rsidRPr="00731FE2" w:rsidRDefault="007C46CA" w:rsidP="007C46CA">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удовлетворительное</w:t>
            </w:r>
          </w:p>
        </w:tc>
      </w:tr>
      <w:tr w:rsidR="007C46CA" w:rsidRPr="00731FE2" w14:paraId="20E91C3D" w14:textId="77777777" w:rsidTr="007C46CA">
        <w:tc>
          <w:tcPr>
            <w:tcW w:w="708" w:type="dxa"/>
            <w:vAlign w:val="center"/>
          </w:tcPr>
          <w:p w14:paraId="5394117E" w14:textId="77777777" w:rsidR="007C46CA" w:rsidRPr="00731FE2" w:rsidRDefault="007C46CA" w:rsidP="007C46CA">
            <w:pPr>
              <w:pStyle w:val="a3"/>
              <w:numPr>
                <w:ilvl w:val="0"/>
                <w:numId w:val="34"/>
              </w:numPr>
              <w:pBdr>
                <w:top w:val="none" w:sz="4" w:space="0" w:color="000000"/>
                <w:left w:val="none" w:sz="4" w:space="0" w:color="000000"/>
                <w:bottom w:val="none" w:sz="4" w:space="0" w:color="000000"/>
                <w:right w:val="none" w:sz="4" w:space="0" w:color="000000"/>
              </w:pBdr>
              <w:ind w:left="227" w:firstLine="0"/>
              <w:contextualSpacing w:val="0"/>
              <w:jc w:val="center"/>
              <w:rPr>
                <w:rFonts w:ascii="Times New Roman" w:hAnsi="Times New Roman" w:cs="Times New Roman"/>
                <w:color w:val="000000" w:themeColor="text1"/>
                <w:sz w:val="22"/>
              </w:rPr>
            </w:pPr>
          </w:p>
        </w:tc>
        <w:tc>
          <w:tcPr>
            <w:tcW w:w="988" w:type="dxa"/>
            <w:vAlign w:val="center"/>
          </w:tcPr>
          <w:p w14:paraId="72700276" w14:textId="77777777" w:rsidR="007C46CA" w:rsidRPr="00731FE2" w:rsidRDefault="007C46CA" w:rsidP="007C46CA">
            <w:pPr>
              <w:pBdr>
                <w:top w:val="none" w:sz="4" w:space="0" w:color="000000"/>
                <w:left w:val="none" w:sz="4" w:space="0" w:color="000000"/>
                <w:bottom w:val="none" w:sz="4" w:space="0" w:color="000000"/>
                <w:right w:val="none" w:sz="4" w:space="0" w:color="000000"/>
              </w:pBdr>
              <w:ind w:firstLine="0"/>
              <w:jc w:val="left"/>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АТС-51</w:t>
            </w:r>
          </w:p>
        </w:tc>
        <w:tc>
          <w:tcPr>
            <w:tcW w:w="1985" w:type="dxa"/>
            <w:vAlign w:val="center"/>
          </w:tcPr>
          <w:p w14:paraId="4E1B5417" w14:textId="77777777" w:rsidR="007C46CA" w:rsidRPr="00731FE2" w:rsidRDefault="007C46CA" w:rsidP="007C46CA">
            <w:pPr>
              <w:pBdr>
                <w:top w:val="none" w:sz="4" w:space="0" w:color="000000"/>
                <w:left w:val="none" w:sz="4" w:space="0" w:color="000000"/>
                <w:bottom w:val="none" w:sz="4" w:space="0" w:color="000000"/>
                <w:right w:val="none" w:sz="4" w:space="0" w:color="000000"/>
              </w:pBdr>
              <w:ind w:firstLine="0"/>
              <w:jc w:val="left"/>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город-курорт Кисловодск</w:t>
            </w:r>
          </w:p>
        </w:tc>
        <w:tc>
          <w:tcPr>
            <w:tcW w:w="1559" w:type="dxa"/>
            <w:vAlign w:val="center"/>
          </w:tcPr>
          <w:p w14:paraId="0975CD80" w14:textId="77777777" w:rsidR="007C46CA" w:rsidRPr="00731FE2" w:rsidRDefault="007C46CA" w:rsidP="007C46CA">
            <w:pPr>
              <w:pBdr>
                <w:top w:val="none" w:sz="4" w:space="0" w:color="000000"/>
                <w:left w:val="none" w:sz="4" w:space="0" w:color="000000"/>
                <w:bottom w:val="none" w:sz="4" w:space="0" w:color="000000"/>
                <w:right w:val="none" w:sz="4" w:space="0" w:color="000000"/>
              </w:pBdr>
              <w:ind w:firstLine="0"/>
              <w:jc w:val="left"/>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w:t>
            </w:r>
            <w:proofErr w:type="gramStart"/>
            <w:r w:rsidRPr="00731FE2">
              <w:rPr>
                <w:rFonts w:ascii="Times New Roman" w:hAnsi="Times New Roman" w:cs="Times New Roman"/>
                <w:color w:val="000000" w:themeColor="text1"/>
                <w:sz w:val="22"/>
              </w:rPr>
              <w:t>Элком</w:t>
            </w:r>
            <w:proofErr w:type="gramEnd"/>
            <w:r w:rsidRPr="00731FE2">
              <w:rPr>
                <w:rFonts w:ascii="Times New Roman" w:hAnsi="Times New Roman" w:cs="Times New Roman"/>
                <w:color w:val="000000" w:themeColor="text1"/>
                <w:sz w:val="22"/>
              </w:rPr>
              <w:t>-Magelan»</w:t>
            </w:r>
          </w:p>
        </w:tc>
        <w:tc>
          <w:tcPr>
            <w:tcW w:w="1418" w:type="dxa"/>
            <w:vAlign w:val="center"/>
          </w:tcPr>
          <w:p w14:paraId="0759647F" w14:textId="77777777" w:rsidR="007C46CA" w:rsidRPr="00731FE2" w:rsidRDefault="007C46CA" w:rsidP="007C46CA">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2000</w:t>
            </w:r>
          </w:p>
        </w:tc>
        <w:tc>
          <w:tcPr>
            <w:tcW w:w="1279" w:type="dxa"/>
            <w:vAlign w:val="center"/>
          </w:tcPr>
          <w:p w14:paraId="0B710A12" w14:textId="77777777" w:rsidR="007C46CA" w:rsidRPr="00731FE2" w:rsidRDefault="007C46CA" w:rsidP="007C46CA">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нет</w:t>
            </w:r>
          </w:p>
        </w:tc>
        <w:tc>
          <w:tcPr>
            <w:tcW w:w="1418" w:type="dxa"/>
            <w:vAlign w:val="center"/>
          </w:tcPr>
          <w:p w14:paraId="0A9C1548" w14:textId="77777777" w:rsidR="007C46CA" w:rsidRPr="00731FE2" w:rsidRDefault="007C46CA" w:rsidP="007C46CA">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удовлетворительное</w:t>
            </w:r>
          </w:p>
        </w:tc>
      </w:tr>
      <w:tr w:rsidR="00171AA8" w:rsidRPr="00731FE2" w14:paraId="0B37DEBA" w14:textId="77777777" w:rsidTr="007C46CA">
        <w:tc>
          <w:tcPr>
            <w:tcW w:w="708" w:type="dxa"/>
            <w:vAlign w:val="center"/>
          </w:tcPr>
          <w:p w14:paraId="29ED02AA" w14:textId="77777777" w:rsidR="00171AA8" w:rsidRPr="00731FE2" w:rsidRDefault="00171AA8" w:rsidP="008B0AA2">
            <w:pPr>
              <w:pStyle w:val="a3"/>
              <w:numPr>
                <w:ilvl w:val="0"/>
                <w:numId w:val="34"/>
              </w:numPr>
              <w:pBdr>
                <w:top w:val="none" w:sz="4" w:space="0" w:color="000000"/>
                <w:left w:val="none" w:sz="4" w:space="0" w:color="000000"/>
                <w:bottom w:val="none" w:sz="4" w:space="0" w:color="000000"/>
                <w:right w:val="none" w:sz="4" w:space="0" w:color="000000"/>
              </w:pBdr>
              <w:ind w:left="227" w:firstLine="0"/>
              <w:contextualSpacing w:val="0"/>
              <w:jc w:val="center"/>
              <w:rPr>
                <w:rFonts w:ascii="Times New Roman" w:hAnsi="Times New Roman" w:cs="Times New Roman"/>
                <w:color w:val="000000" w:themeColor="text1"/>
                <w:sz w:val="22"/>
              </w:rPr>
            </w:pPr>
          </w:p>
        </w:tc>
        <w:tc>
          <w:tcPr>
            <w:tcW w:w="988" w:type="dxa"/>
            <w:vAlign w:val="center"/>
          </w:tcPr>
          <w:p w14:paraId="048BF79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АТС</w:t>
            </w:r>
          </w:p>
        </w:tc>
        <w:tc>
          <w:tcPr>
            <w:tcW w:w="1985" w:type="dxa"/>
            <w:vAlign w:val="center"/>
          </w:tcPr>
          <w:p w14:paraId="08A55E4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город-курорт Кисловодск</w:t>
            </w:r>
          </w:p>
        </w:tc>
        <w:tc>
          <w:tcPr>
            <w:tcW w:w="1559" w:type="dxa"/>
            <w:vAlign w:val="center"/>
          </w:tcPr>
          <w:p w14:paraId="4B1E932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«Квант</w:t>
            </w:r>
            <w:proofErr w:type="gramStart"/>
            <w:r w:rsidRPr="00731FE2">
              <w:rPr>
                <w:rFonts w:ascii="Times New Roman" w:hAnsi="Times New Roman" w:cs="Times New Roman"/>
                <w:color w:val="000000" w:themeColor="text1"/>
                <w:sz w:val="22"/>
              </w:rPr>
              <w:t xml:space="preserve"> Е</w:t>
            </w:r>
            <w:proofErr w:type="gramEnd"/>
            <w:r w:rsidRPr="00731FE2">
              <w:rPr>
                <w:rFonts w:ascii="Times New Roman" w:hAnsi="Times New Roman" w:cs="Times New Roman"/>
                <w:color w:val="000000" w:themeColor="text1"/>
                <w:sz w:val="22"/>
              </w:rPr>
              <w:t>»</w:t>
            </w:r>
          </w:p>
        </w:tc>
        <w:tc>
          <w:tcPr>
            <w:tcW w:w="1418" w:type="dxa"/>
            <w:vAlign w:val="center"/>
          </w:tcPr>
          <w:p w14:paraId="6EFFEBF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100</w:t>
            </w:r>
          </w:p>
        </w:tc>
        <w:tc>
          <w:tcPr>
            <w:tcW w:w="1279" w:type="dxa"/>
            <w:vAlign w:val="center"/>
          </w:tcPr>
          <w:p w14:paraId="6B0CA11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w:t>
            </w:r>
          </w:p>
        </w:tc>
        <w:tc>
          <w:tcPr>
            <w:tcW w:w="1418" w:type="dxa"/>
            <w:vAlign w:val="center"/>
          </w:tcPr>
          <w:p w14:paraId="5E8E113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w:t>
            </w:r>
          </w:p>
        </w:tc>
      </w:tr>
    </w:tbl>
    <w:p w14:paraId="79683453" w14:textId="77777777" w:rsidR="00171AA8" w:rsidRPr="00731FE2" w:rsidRDefault="00171AA8">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p>
    <w:p w14:paraId="2DAC3B2E" w14:textId="77777777" w:rsidR="00171AA8" w:rsidRPr="00731FE2" w:rsidRDefault="007935AB">
      <w:pPr>
        <w:pBdr>
          <w:top w:val="none" w:sz="4" w:space="0" w:color="000000"/>
          <w:left w:val="none" w:sz="4" w:space="0" w:color="000000"/>
          <w:bottom w:val="none" w:sz="4" w:space="0" w:color="000000"/>
          <w:right w:val="none" w:sz="4" w:space="0" w:color="000000"/>
        </w:pBdr>
      </w:pPr>
      <w:r w:rsidRPr="00731FE2">
        <w:rPr>
          <w:rFonts w:ascii="Times New Roman" w:hAnsi="Times New Roman" w:cs="Times New Roman"/>
          <w:color w:val="000000" w:themeColor="text1"/>
        </w:rPr>
        <w:t xml:space="preserve">Население и учреждения городского округа широко пользуются услугами операторов мобильной сотовой связи. </w:t>
      </w:r>
      <w:r w:rsidRPr="00731FE2">
        <w:rPr>
          <w:rFonts w:ascii="Times New Roman" w:eastAsia="Times New Roman" w:hAnsi="Times New Roman" w:cs="Times New Roman"/>
          <w:color w:val="000000"/>
        </w:rPr>
        <w:t>Популярными операторами мобильной связи на территории</w:t>
      </w:r>
      <w:r w:rsidRPr="00731FE2">
        <w:rPr>
          <w:rFonts w:ascii="Times New Roman" w:hAnsi="Times New Roman" w:cs="Times New Roman"/>
          <w:color w:val="000000" w:themeColor="text1"/>
        </w:rPr>
        <w:t xml:space="preserve"> городского округа являются: </w:t>
      </w:r>
      <w:r w:rsidRPr="00731FE2">
        <w:rPr>
          <w:rFonts w:ascii="Times New Roman" w:eastAsia="Times New Roman" w:hAnsi="Times New Roman" w:cs="Times New Roman"/>
          <w:color w:val="000000"/>
        </w:rPr>
        <w:t>«Мегафон», «МТС»</w:t>
      </w:r>
      <w:r w:rsidRPr="00731FE2">
        <w:rPr>
          <w:rFonts w:ascii="Times New Roman" w:hAnsi="Times New Roman" w:cs="Times New Roman"/>
          <w:color w:val="000000" w:themeColor="text1"/>
        </w:rPr>
        <w:t xml:space="preserve">, </w:t>
      </w:r>
      <w:r w:rsidRPr="00731FE2">
        <w:rPr>
          <w:rFonts w:ascii="Times New Roman" w:eastAsia="Times New Roman" w:hAnsi="Times New Roman" w:cs="Times New Roman"/>
          <w:color w:val="000000"/>
        </w:rPr>
        <w:t>«Билайн»</w:t>
      </w:r>
      <w:r w:rsidRPr="00731FE2">
        <w:rPr>
          <w:rFonts w:ascii="Times New Roman" w:hAnsi="Times New Roman" w:cs="Times New Roman"/>
          <w:color w:val="000000" w:themeColor="text1"/>
        </w:rPr>
        <w:t xml:space="preserve">. Операторы предоставляют все стандартные услуги сотовой связи, включая GPRS, SMS, передачу видеосигналов, мобильное телевидение, доступ в Интернет, высокоскоростную передачу данных (более 2 </w:t>
      </w:r>
      <w:proofErr w:type="gramStart"/>
      <w:r w:rsidRPr="00731FE2">
        <w:rPr>
          <w:rFonts w:ascii="Times New Roman" w:hAnsi="Times New Roman" w:cs="Times New Roman"/>
          <w:color w:val="000000" w:themeColor="text1"/>
        </w:rPr>
        <w:t>M</w:t>
      </w:r>
      <w:proofErr w:type="gramEnd"/>
      <w:r w:rsidRPr="00731FE2">
        <w:rPr>
          <w:rFonts w:ascii="Times New Roman" w:hAnsi="Times New Roman" w:cs="Times New Roman"/>
          <w:color w:val="000000" w:themeColor="text1"/>
        </w:rPr>
        <w:t>бит/сек.), голосовую почту и услуги по определению местонахождения объекта.</w:t>
      </w:r>
    </w:p>
    <w:p w14:paraId="43672442" w14:textId="77777777" w:rsidR="00171AA8" w:rsidRPr="00731FE2" w:rsidRDefault="007935AB">
      <w:pPr>
        <w:pBdr>
          <w:top w:val="none" w:sz="4" w:space="0" w:color="000000"/>
          <w:left w:val="none" w:sz="4" w:space="0" w:color="000000"/>
          <w:bottom w:val="none" w:sz="4" w:space="0" w:color="000000"/>
          <w:right w:val="none" w:sz="4" w:space="0" w:color="000000"/>
        </w:pBdr>
      </w:pPr>
      <w:r w:rsidRPr="00731FE2">
        <w:rPr>
          <w:rFonts w:ascii="Times New Roman" w:hAnsi="Times New Roman" w:cs="Times New Roman"/>
          <w:color w:val="000000" w:themeColor="text1"/>
        </w:rPr>
        <w:lastRenderedPageBreak/>
        <w:t>Телефонные сети в городе-курорте Кисловодске проложены в основном в телефонной канализации и в земле. Оборудование и линейные сооружения телефонной сети находятся в удовлетворительном состоянии.</w:t>
      </w:r>
    </w:p>
    <w:p w14:paraId="66E6DBEE" w14:textId="77777777" w:rsidR="00171AA8" w:rsidRPr="00731FE2" w:rsidRDefault="007935AB">
      <w:pPr>
        <w:pBdr>
          <w:top w:val="none" w:sz="4" w:space="0" w:color="000000"/>
          <w:left w:val="none" w:sz="4" w:space="0" w:color="000000"/>
          <w:bottom w:val="none" w:sz="4" w:space="0" w:color="000000"/>
          <w:right w:val="none" w:sz="4" w:space="0" w:color="000000"/>
        </w:pBdr>
      </w:pPr>
      <w:r w:rsidRPr="00731FE2">
        <w:rPr>
          <w:rFonts w:ascii="Times New Roman" w:hAnsi="Times New Roman" w:cs="Times New Roman"/>
          <w:color w:val="000000" w:themeColor="text1"/>
        </w:rPr>
        <w:t>Услуги радиотрансляции на территории города-курорта представляет Ставропольский филиал ОАО «Южная телекоммуникационная компания» (ЮТК).</w:t>
      </w:r>
    </w:p>
    <w:p w14:paraId="41901F24" w14:textId="77777777" w:rsidR="00171AA8" w:rsidRPr="00731FE2" w:rsidRDefault="007935AB">
      <w:pPr>
        <w:pBdr>
          <w:top w:val="none" w:sz="4" w:space="0" w:color="000000"/>
          <w:left w:val="none" w:sz="4" w:space="0" w:color="000000"/>
          <w:bottom w:val="none" w:sz="4" w:space="0" w:color="000000"/>
          <w:right w:val="none" w:sz="4" w:space="0" w:color="000000"/>
        </w:pBdr>
      </w:pPr>
      <w:r w:rsidRPr="00731FE2">
        <w:rPr>
          <w:rFonts w:ascii="Times New Roman" w:hAnsi="Times New Roman" w:cs="Times New Roman"/>
          <w:color w:val="000000" w:themeColor="text1"/>
        </w:rPr>
        <w:t>Городская радиотрансляционная сеть проводного вещания (РТС ПВ) города-курорта Кисловодска трёхзвенная, воздушно-кабельная. Общее количество радиотрансляционных точек составляет 18000. Линии проводного вещания выполнены на опорах ВЛ-0,4 кВ, на стойках и на столбах собственных сетей.</w:t>
      </w:r>
    </w:p>
    <w:p w14:paraId="51076E36"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В округе действуют три опорные усилительные станции проводного вещания и 6 трансформаторных подстанций, мощностью по 5 кВт каждая (таблица).</w:t>
      </w:r>
    </w:p>
    <w:p w14:paraId="251BE80F" w14:textId="77777777" w:rsidR="00171AA8" w:rsidRPr="00731FE2" w:rsidRDefault="00171AA8">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p>
    <w:p w14:paraId="3AA24424" w14:textId="77777777" w:rsidR="00171AA8" w:rsidRPr="00731FE2" w:rsidRDefault="007935AB">
      <w:pPr>
        <w:pStyle w:val="af3"/>
        <w:rPr>
          <w:sz w:val="24"/>
          <w:szCs w:val="24"/>
        </w:rPr>
      </w:pPr>
      <w:r w:rsidRPr="00731FE2">
        <w:rPr>
          <w:sz w:val="24"/>
          <w:szCs w:val="24"/>
        </w:rPr>
        <w:t xml:space="preserve">Таблица </w:t>
      </w:r>
      <w:r w:rsidR="00D97880" w:rsidRPr="00731FE2">
        <w:rPr>
          <w:noProof/>
          <w:sz w:val="24"/>
          <w:szCs w:val="24"/>
        </w:rPr>
        <w:fldChar w:fldCharType="begin"/>
      </w:r>
      <w:r w:rsidR="00D97880" w:rsidRPr="00731FE2">
        <w:rPr>
          <w:noProof/>
          <w:sz w:val="24"/>
          <w:szCs w:val="24"/>
        </w:rPr>
        <w:instrText xml:space="preserve"> SEQ Таблица \* Arabic </w:instrText>
      </w:r>
      <w:r w:rsidR="00D97880" w:rsidRPr="00731FE2">
        <w:rPr>
          <w:noProof/>
          <w:sz w:val="24"/>
          <w:szCs w:val="24"/>
        </w:rPr>
        <w:fldChar w:fldCharType="separate"/>
      </w:r>
      <w:r w:rsidR="00C50915" w:rsidRPr="00731FE2">
        <w:rPr>
          <w:noProof/>
          <w:sz w:val="24"/>
          <w:szCs w:val="24"/>
        </w:rPr>
        <w:t>52</w:t>
      </w:r>
      <w:r w:rsidR="00D97880" w:rsidRPr="00731FE2">
        <w:rPr>
          <w:noProof/>
          <w:sz w:val="24"/>
          <w:szCs w:val="24"/>
        </w:rPr>
        <w:fldChar w:fldCharType="end"/>
      </w:r>
      <w:r w:rsidRPr="00731FE2">
        <w:rPr>
          <w:sz w:val="24"/>
          <w:szCs w:val="24"/>
        </w:rPr>
        <w:t xml:space="preserve"> – Характеристика станционных сооружений, расположенных на территории городского округа города-курорта Кисловодска</w:t>
      </w:r>
    </w:p>
    <w:tbl>
      <w:tblPr>
        <w:tblStyle w:val="afe"/>
        <w:tblW w:w="0" w:type="auto"/>
        <w:tblLayout w:type="fixed"/>
        <w:tblLook w:val="04A0" w:firstRow="1" w:lastRow="0" w:firstColumn="1" w:lastColumn="0" w:noHBand="0" w:noVBand="1"/>
      </w:tblPr>
      <w:tblGrid>
        <w:gridCol w:w="708"/>
        <w:gridCol w:w="1417"/>
        <w:gridCol w:w="3685"/>
        <w:gridCol w:w="1417"/>
        <w:gridCol w:w="2127"/>
      </w:tblGrid>
      <w:tr w:rsidR="00171AA8" w:rsidRPr="00731FE2" w14:paraId="51AA6C34" w14:textId="77777777">
        <w:trPr>
          <w:trHeight w:val="310"/>
        </w:trPr>
        <w:tc>
          <w:tcPr>
            <w:tcW w:w="708" w:type="dxa"/>
            <w:vAlign w:val="center"/>
          </w:tcPr>
          <w:p w14:paraId="7E1CF7DC"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pPr>
            <w:r w:rsidRPr="00731FE2">
              <w:t xml:space="preserve">№ </w:t>
            </w:r>
            <w:proofErr w:type="gramStart"/>
            <w:r w:rsidRPr="00731FE2">
              <w:t>п</w:t>
            </w:r>
            <w:proofErr w:type="gramEnd"/>
            <w:r w:rsidRPr="00731FE2">
              <w:t>/п</w:t>
            </w:r>
          </w:p>
        </w:tc>
        <w:tc>
          <w:tcPr>
            <w:tcW w:w="1417" w:type="dxa"/>
            <w:vAlign w:val="center"/>
          </w:tcPr>
          <w:p w14:paraId="385DAA82"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pPr>
            <w:r w:rsidRPr="00731FE2">
              <w:t>Индекс</w:t>
            </w:r>
          </w:p>
        </w:tc>
        <w:tc>
          <w:tcPr>
            <w:tcW w:w="3685" w:type="dxa"/>
            <w:vAlign w:val="center"/>
          </w:tcPr>
          <w:p w14:paraId="7C63132A"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pPr>
            <w:r w:rsidRPr="00731FE2">
              <w:t>Адрес</w:t>
            </w:r>
          </w:p>
        </w:tc>
        <w:tc>
          <w:tcPr>
            <w:tcW w:w="1417" w:type="dxa"/>
            <w:vAlign w:val="center"/>
          </w:tcPr>
          <w:p w14:paraId="7FE33F92"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sz w:val="24"/>
                <w:szCs w:val="24"/>
              </w:rPr>
            </w:pPr>
            <w:r w:rsidRPr="00731FE2">
              <w:t>Количество ТП, УП</w:t>
            </w:r>
          </w:p>
        </w:tc>
        <w:tc>
          <w:tcPr>
            <w:tcW w:w="2127" w:type="dxa"/>
            <w:vAlign w:val="center"/>
          </w:tcPr>
          <w:p w14:paraId="4C0AB40E"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sz w:val="24"/>
                <w:szCs w:val="24"/>
              </w:rPr>
            </w:pPr>
            <w:r w:rsidRPr="00731FE2">
              <w:t xml:space="preserve">Мощность усилителей (основных, резервных), </w:t>
            </w:r>
            <w:proofErr w:type="gramStart"/>
            <w:r w:rsidRPr="00731FE2">
              <w:t>шт</w:t>
            </w:r>
            <w:proofErr w:type="gramEnd"/>
            <w:r w:rsidRPr="00731FE2">
              <w:t xml:space="preserve"> х Вт</w:t>
            </w:r>
          </w:p>
        </w:tc>
      </w:tr>
      <w:tr w:rsidR="00171AA8" w:rsidRPr="00731FE2" w14:paraId="1C3F2121" w14:textId="77777777">
        <w:tc>
          <w:tcPr>
            <w:tcW w:w="708" w:type="dxa"/>
            <w:vAlign w:val="center"/>
          </w:tcPr>
          <w:p w14:paraId="1205EF0B" w14:textId="77777777" w:rsidR="00171AA8" w:rsidRPr="00731FE2" w:rsidRDefault="00171AA8" w:rsidP="007832E7">
            <w:pPr>
              <w:pStyle w:val="a3"/>
              <w:numPr>
                <w:ilvl w:val="0"/>
                <w:numId w:val="112"/>
              </w:numPr>
              <w:pBdr>
                <w:top w:val="none" w:sz="4" w:space="0" w:color="000000"/>
                <w:left w:val="none" w:sz="4" w:space="0" w:color="000000"/>
                <w:bottom w:val="none" w:sz="4" w:space="0" w:color="000000"/>
                <w:right w:val="none" w:sz="4" w:space="0" w:color="000000"/>
              </w:pBdr>
              <w:ind w:left="227" w:firstLine="0"/>
              <w:contextualSpacing w:val="0"/>
              <w:jc w:val="center"/>
              <w:rPr>
                <w:rFonts w:ascii="Times New Roman" w:hAnsi="Times New Roman" w:cs="Times New Roman"/>
                <w:color w:val="000000" w:themeColor="text1"/>
                <w:sz w:val="20"/>
                <w:szCs w:val="20"/>
              </w:rPr>
            </w:pPr>
          </w:p>
        </w:tc>
        <w:tc>
          <w:tcPr>
            <w:tcW w:w="1417" w:type="dxa"/>
            <w:vAlign w:val="center"/>
          </w:tcPr>
          <w:p w14:paraId="08B03EE8"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b w:val="0"/>
                <w:bCs w:val="0"/>
              </w:rPr>
            </w:pPr>
            <w:r w:rsidRPr="00731FE2">
              <w:rPr>
                <w:b w:val="0"/>
                <w:bCs w:val="0"/>
              </w:rPr>
              <w:t>ЦУС</w:t>
            </w:r>
          </w:p>
        </w:tc>
        <w:tc>
          <w:tcPr>
            <w:tcW w:w="3685" w:type="dxa"/>
            <w:vAlign w:val="center"/>
          </w:tcPr>
          <w:p w14:paraId="6C6A0FD0" w14:textId="77777777" w:rsidR="00171AA8" w:rsidRPr="00731FE2" w:rsidRDefault="007935AB" w:rsidP="008B0AA2">
            <w:pPr>
              <w:pStyle w:val="af3"/>
              <w:pBdr>
                <w:top w:val="none" w:sz="4" w:space="0" w:color="000000"/>
                <w:left w:val="none" w:sz="4" w:space="0" w:color="000000"/>
                <w:bottom w:val="none" w:sz="4" w:space="0" w:color="000000"/>
                <w:right w:val="none" w:sz="4" w:space="0" w:color="000000"/>
              </w:pBdr>
              <w:jc w:val="center"/>
              <w:rPr>
                <w:b w:val="0"/>
                <w:bCs w:val="0"/>
              </w:rPr>
            </w:pPr>
            <w:r w:rsidRPr="00731FE2">
              <w:rPr>
                <w:b w:val="0"/>
                <w:bCs w:val="0"/>
              </w:rPr>
              <w:t>пр.</w:t>
            </w:r>
            <w:r w:rsidR="008B0AA2" w:rsidRPr="00731FE2">
              <w:rPr>
                <w:b w:val="0"/>
                <w:bCs w:val="0"/>
              </w:rPr>
              <w:t xml:space="preserve"> </w:t>
            </w:r>
            <w:proofErr w:type="gramStart"/>
            <w:r w:rsidRPr="00731FE2">
              <w:rPr>
                <w:b w:val="0"/>
                <w:bCs w:val="0"/>
              </w:rPr>
              <w:t>Первомайский</w:t>
            </w:r>
            <w:proofErr w:type="gramEnd"/>
            <w:r w:rsidRPr="00731FE2">
              <w:rPr>
                <w:b w:val="0"/>
                <w:bCs w:val="0"/>
              </w:rPr>
              <w:t>, 12 (здание АТС)</w:t>
            </w:r>
          </w:p>
        </w:tc>
        <w:tc>
          <w:tcPr>
            <w:tcW w:w="1417" w:type="dxa"/>
            <w:vAlign w:val="center"/>
          </w:tcPr>
          <w:p w14:paraId="3BED8DFB"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b w:val="0"/>
                <w:bCs w:val="0"/>
              </w:rPr>
            </w:pPr>
            <w:r w:rsidRPr="00731FE2">
              <w:rPr>
                <w:b w:val="0"/>
                <w:bCs w:val="0"/>
              </w:rPr>
              <w:t>1</w:t>
            </w:r>
          </w:p>
        </w:tc>
        <w:tc>
          <w:tcPr>
            <w:tcW w:w="2127" w:type="dxa"/>
            <w:vAlign w:val="center"/>
          </w:tcPr>
          <w:p w14:paraId="236CB3EC" w14:textId="77777777" w:rsidR="00171AA8" w:rsidRPr="00731FE2" w:rsidRDefault="007935AB" w:rsidP="008B0AA2">
            <w:pPr>
              <w:pStyle w:val="af3"/>
              <w:pBdr>
                <w:top w:val="none" w:sz="4" w:space="0" w:color="000000"/>
                <w:left w:val="none" w:sz="4" w:space="0" w:color="000000"/>
                <w:bottom w:val="none" w:sz="4" w:space="0" w:color="000000"/>
                <w:right w:val="none" w:sz="4" w:space="0" w:color="000000"/>
              </w:pBdr>
              <w:jc w:val="center"/>
              <w:rPr>
                <w:b w:val="0"/>
                <w:bCs w:val="0"/>
              </w:rPr>
            </w:pPr>
            <w:r w:rsidRPr="00731FE2">
              <w:rPr>
                <w:b w:val="0"/>
                <w:bCs w:val="0"/>
              </w:rPr>
              <w:t>3х5</w:t>
            </w:r>
            <w:r w:rsidR="008B0AA2" w:rsidRPr="00731FE2">
              <w:rPr>
                <w:b w:val="0"/>
                <w:bCs w:val="0"/>
              </w:rPr>
              <w:t xml:space="preserve"> </w:t>
            </w:r>
            <w:r w:rsidRPr="00731FE2">
              <w:rPr>
                <w:b w:val="0"/>
                <w:bCs w:val="0"/>
              </w:rPr>
              <w:t>кВт</w:t>
            </w:r>
          </w:p>
        </w:tc>
      </w:tr>
      <w:tr w:rsidR="00171AA8" w:rsidRPr="00731FE2" w14:paraId="72A201CA" w14:textId="77777777">
        <w:tc>
          <w:tcPr>
            <w:tcW w:w="708" w:type="dxa"/>
            <w:vAlign w:val="center"/>
          </w:tcPr>
          <w:p w14:paraId="3CE6B1E6" w14:textId="77777777" w:rsidR="00171AA8" w:rsidRPr="00731FE2" w:rsidRDefault="00171AA8" w:rsidP="007832E7">
            <w:pPr>
              <w:pStyle w:val="a3"/>
              <w:numPr>
                <w:ilvl w:val="0"/>
                <w:numId w:val="112"/>
              </w:numPr>
              <w:pBdr>
                <w:top w:val="none" w:sz="4" w:space="0" w:color="000000"/>
                <w:left w:val="none" w:sz="4" w:space="0" w:color="000000"/>
                <w:bottom w:val="none" w:sz="4" w:space="0" w:color="000000"/>
                <w:right w:val="none" w:sz="4" w:space="0" w:color="000000"/>
              </w:pBdr>
              <w:ind w:left="227" w:firstLine="0"/>
              <w:contextualSpacing w:val="0"/>
              <w:jc w:val="center"/>
              <w:rPr>
                <w:rFonts w:ascii="Times New Roman" w:hAnsi="Times New Roman" w:cs="Times New Roman"/>
                <w:color w:val="000000" w:themeColor="text1"/>
                <w:sz w:val="20"/>
                <w:szCs w:val="20"/>
              </w:rPr>
            </w:pPr>
          </w:p>
        </w:tc>
        <w:tc>
          <w:tcPr>
            <w:tcW w:w="1417" w:type="dxa"/>
            <w:vAlign w:val="center"/>
          </w:tcPr>
          <w:p w14:paraId="7943A642"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b w:val="0"/>
                <w:bCs w:val="0"/>
              </w:rPr>
            </w:pPr>
            <w:r w:rsidRPr="00731FE2">
              <w:rPr>
                <w:b w:val="0"/>
                <w:bCs w:val="0"/>
              </w:rPr>
              <w:t>ОУС</w:t>
            </w:r>
          </w:p>
        </w:tc>
        <w:tc>
          <w:tcPr>
            <w:tcW w:w="3685" w:type="dxa"/>
            <w:vAlign w:val="center"/>
          </w:tcPr>
          <w:p w14:paraId="334E2CC9" w14:textId="77777777" w:rsidR="00171AA8" w:rsidRPr="00731FE2" w:rsidRDefault="007935AB" w:rsidP="008B0AA2">
            <w:pPr>
              <w:pStyle w:val="af3"/>
              <w:pBdr>
                <w:top w:val="none" w:sz="4" w:space="0" w:color="000000"/>
                <w:left w:val="none" w:sz="4" w:space="0" w:color="000000"/>
                <w:bottom w:val="none" w:sz="4" w:space="0" w:color="000000"/>
                <w:right w:val="none" w:sz="4" w:space="0" w:color="000000"/>
              </w:pBdr>
              <w:jc w:val="center"/>
              <w:rPr>
                <w:b w:val="0"/>
                <w:bCs w:val="0"/>
              </w:rPr>
            </w:pPr>
            <w:r w:rsidRPr="00731FE2">
              <w:rPr>
                <w:b w:val="0"/>
                <w:bCs w:val="0"/>
              </w:rPr>
              <w:t>пр.</w:t>
            </w:r>
            <w:r w:rsidR="008B0AA2" w:rsidRPr="00731FE2">
              <w:rPr>
                <w:b w:val="0"/>
                <w:bCs w:val="0"/>
              </w:rPr>
              <w:t xml:space="preserve"> </w:t>
            </w:r>
            <w:proofErr w:type="gramStart"/>
            <w:r w:rsidRPr="00731FE2">
              <w:rPr>
                <w:b w:val="0"/>
                <w:bCs w:val="0"/>
              </w:rPr>
              <w:t>Первомайский</w:t>
            </w:r>
            <w:proofErr w:type="gramEnd"/>
            <w:r w:rsidRPr="00731FE2">
              <w:rPr>
                <w:b w:val="0"/>
                <w:bCs w:val="0"/>
              </w:rPr>
              <w:t>, 12 (здание АТС)</w:t>
            </w:r>
          </w:p>
        </w:tc>
        <w:tc>
          <w:tcPr>
            <w:tcW w:w="1417" w:type="dxa"/>
            <w:vAlign w:val="center"/>
          </w:tcPr>
          <w:p w14:paraId="5918E9C5"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b w:val="0"/>
                <w:bCs w:val="0"/>
              </w:rPr>
            </w:pPr>
            <w:r w:rsidRPr="00731FE2">
              <w:rPr>
                <w:b w:val="0"/>
                <w:bCs w:val="0"/>
              </w:rPr>
              <w:t>1</w:t>
            </w:r>
          </w:p>
        </w:tc>
        <w:tc>
          <w:tcPr>
            <w:tcW w:w="2127" w:type="dxa"/>
            <w:vAlign w:val="center"/>
          </w:tcPr>
          <w:p w14:paraId="2BCD00BC" w14:textId="77777777" w:rsidR="00171AA8" w:rsidRPr="00731FE2" w:rsidRDefault="007935AB" w:rsidP="008B0AA2">
            <w:pPr>
              <w:pStyle w:val="af3"/>
              <w:pBdr>
                <w:top w:val="none" w:sz="4" w:space="0" w:color="000000"/>
                <w:left w:val="none" w:sz="4" w:space="0" w:color="000000"/>
                <w:bottom w:val="none" w:sz="4" w:space="0" w:color="000000"/>
                <w:right w:val="none" w:sz="4" w:space="0" w:color="000000"/>
              </w:pBdr>
              <w:jc w:val="center"/>
              <w:rPr>
                <w:b w:val="0"/>
                <w:bCs w:val="0"/>
              </w:rPr>
            </w:pPr>
            <w:r w:rsidRPr="00731FE2">
              <w:rPr>
                <w:b w:val="0"/>
                <w:bCs w:val="0"/>
              </w:rPr>
              <w:t>4х5</w:t>
            </w:r>
            <w:r w:rsidR="008B0AA2" w:rsidRPr="00731FE2">
              <w:rPr>
                <w:b w:val="0"/>
                <w:bCs w:val="0"/>
              </w:rPr>
              <w:t xml:space="preserve"> </w:t>
            </w:r>
            <w:r w:rsidRPr="00731FE2">
              <w:rPr>
                <w:b w:val="0"/>
                <w:bCs w:val="0"/>
              </w:rPr>
              <w:t>кВт</w:t>
            </w:r>
          </w:p>
        </w:tc>
      </w:tr>
      <w:tr w:rsidR="00171AA8" w:rsidRPr="00731FE2" w14:paraId="341D88B5" w14:textId="77777777">
        <w:tc>
          <w:tcPr>
            <w:tcW w:w="708" w:type="dxa"/>
            <w:vAlign w:val="center"/>
          </w:tcPr>
          <w:p w14:paraId="4C2B85E3" w14:textId="77777777" w:rsidR="00171AA8" w:rsidRPr="00731FE2" w:rsidRDefault="00171AA8" w:rsidP="007832E7">
            <w:pPr>
              <w:pStyle w:val="a3"/>
              <w:numPr>
                <w:ilvl w:val="0"/>
                <w:numId w:val="112"/>
              </w:numPr>
              <w:pBdr>
                <w:top w:val="none" w:sz="4" w:space="0" w:color="000000"/>
                <w:left w:val="none" w:sz="4" w:space="0" w:color="000000"/>
                <w:bottom w:val="none" w:sz="4" w:space="0" w:color="000000"/>
                <w:right w:val="none" w:sz="4" w:space="0" w:color="000000"/>
              </w:pBdr>
              <w:ind w:left="227" w:firstLine="0"/>
              <w:contextualSpacing w:val="0"/>
              <w:jc w:val="center"/>
              <w:rPr>
                <w:rFonts w:ascii="Times New Roman" w:hAnsi="Times New Roman" w:cs="Times New Roman"/>
                <w:color w:val="000000" w:themeColor="text1"/>
                <w:sz w:val="20"/>
                <w:szCs w:val="20"/>
              </w:rPr>
            </w:pPr>
          </w:p>
        </w:tc>
        <w:tc>
          <w:tcPr>
            <w:tcW w:w="1417" w:type="dxa"/>
            <w:vAlign w:val="center"/>
          </w:tcPr>
          <w:p w14:paraId="3CBC37B2"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b w:val="0"/>
                <w:bCs w:val="0"/>
              </w:rPr>
            </w:pPr>
            <w:r w:rsidRPr="00731FE2">
              <w:rPr>
                <w:b w:val="0"/>
                <w:bCs w:val="0"/>
              </w:rPr>
              <w:t>ОУС</w:t>
            </w:r>
          </w:p>
        </w:tc>
        <w:tc>
          <w:tcPr>
            <w:tcW w:w="3685" w:type="dxa"/>
            <w:vAlign w:val="center"/>
          </w:tcPr>
          <w:p w14:paraId="1BB18687" w14:textId="77777777" w:rsidR="00171AA8" w:rsidRPr="00731FE2" w:rsidRDefault="007935AB" w:rsidP="008B0AA2">
            <w:pPr>
              <w:pStyle w:val="af3"/>
              <w:pBdr>
                <w:top w:val="none" w:sz="4" w:space="0" w:color="000000"/>
                <w:left w:val="none" w:sz="4" w:space="0" w:color="000000"/>
                <w:bottom w:val="none" w:sz="4" w:space="0" w:color="000000"/>
                <w:right w:val="none" w:sz="4" w:space="0" w:color="000000"/>
              </w:pBdr>
              <w:jc w:val="center"/>
              <w:rPr>
                <w:b w:val="0"/>
                <w:bCs w:val="0"/>
              </w:rPr>
            </w:pPr>
            <w:r w:rsidRPr="00731FE2">
              <w:rPr>
                <w:b w:val="0"/>
                <w:bCs w:val="0"/>
              </w:rPr>
              <w:t>ул.</w:t>
            </w:r>
            <w:r w:rsidR="008B0AA2" w:rsidRPr="00731FE2">
              <w:rPr>
                <w:b w:val="0"/>
                <w:bCs w:val="0"/>
              </w:rPr>
              <w:t xml:space="preserve"> </w:t>
            </w:r>
            <w:r w:rsidRPr="00731FE2">
              <w:rPr>
                <w:b w:val="0"/>
                <w:bCs w:val="0"/>
              </w:rPr>
              <w:t>Героев Медиков</w:t>
            </w:r>
          </w:p>
        </w:tc>
        <w:tc>
          <w:tcPr>
            <w:tcW w:w="1417" w:type="dxa"/>
            <w:vAlign w:val="center"/>
          </w:tcPr>
          <w:p w14:paraId="04829AE0"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b w:val="0"/>
                <w:bCs w:val="0"/>
              </w:rPr>
            </w:pPr>
            <w:r w:rsidRPr="00731FE2">
              <w:rPr>
                <w:b w:val="0"/>
                <w:bCs w:val="0"/>
              </w:rPr>
              <w:t>1</w:t>
            </w:r>
          </w:p>
        </w:tc>
        <w:tc>
          <w:tcPr>
            <w:tcW w:w="2127" w:type="dxa"/>
            <w:vAlign w:val="center"/>
          </w:tcPr>
          <w:p w14:paraId="217C2ED6" w14:textId="77777777" w:rsidR="00171AA8" w:rsidRPr="00731FE2" w:rsidRDefault="007935AB" w:rsidP="008B0AA2">
            <w:pPr>
              <w:pStyle w:val="af3"/>
              <w:pBdr>
                <w:top w:val="none" w:sz="4" w:space="0" w:color="000000"/>
                <w:left w:val="none" w:sz="4" w:space="0" w:color="000000"/>
                <w:bottom w:val="none" w:sz="4" w:space="0" w:color="000000"/>
                <w:right w:val="none" w:sz="4" w:space="0" w:color="000000"/>
              </w:pBdr>
              <w:jc w:val="center"/>
              <w:rPr>
                <w:b w:val="0"/>
                <w:bCs w:val="0"/>
              </w:rPr>
            </w:pPr>
            <w:r w:rsidRPr="00731FE2">
              <w:rPr>
                <w:b w:val="0"/>
                <w:bCs w:val="0"/>
              </w:rPr>
              <w:t>2х5</w:t>
            </w:r>
            <w:r w:rsidR="008B0AA2" w:rsidRPr="00731FE2">
              <w:rPr>
                <w:b w:val="0"/>
                <w:bCs w:val="0"/>
              </w:rPr>
              <w:t xml:space="preserve"> </w:t>
            </w:r>
            <w:r w:rsidRPr="00731FE2">
              <w:rPr>
                <w:b w:val="0"/>
                <w:bCs w:val="0"/>
              </w:rPr>
              <w:t>кВт</w:t>
            </w:r>
          </w:p>
        </w:tc>
      </w:tr>
      <w:tr w:rsidR="00171AA8" w:rsidRPr="00731FE2" w14:paraId="68CCFCCB" w14:textId="77777777">
        <w:tc>
          <w:tcPr>
            <w:tcW w:w="708" w:type="dxa"/>
            <w:vAlign w:val="center"/>
          </w:tcPr>
          <w:p w14:paraId="6C124DBC" w14:textId="77777777" w:rsidR="00171AA8" w:rsidRPr="00731FE2" w:rsidRDefault="00171AA8" w:rsidP="007832E7">
            <w:pPr>
              <w:pStyle w:val="a3"/>
              <w:numPr>
                <w:ilvl w:val="0"/>
                <w:numId w:val="112"/>
              </w:numPr>
              <w:pBdr>
                <w:top w:val="none" w:sz="4" w:space="0" w:color="000000"/>
                <w:left w:val="none" w:sz="4" w:space="0" w:color="000000"/>
                <w:bottom w:val="none" w:sz="4" w:space="0" w:color="000000"/>
                <w:right w:val="none" w:sz="4" w:space="0" w:color="000000"/>
              </w:pBdr>
              <w:ind w:left="227" w:firstLine="0"/>
              <w:contextualSpacing w:val="0"/>
              <w:jc w:val="center"/>
              <w:rPr>
                <w:rFonts w:ascii="Times New Roman" w:hAnsi="Times New Roman" w:cs="Times New Roman"/>
                <w:color w:val="000000" w:themeColor="text1"/>
                <w:sz w:val="20"/>
                <w:szCs w:val="20"/>
              </w:rPr>
            </w:pPr>
          </w:p>
        </w:tc>
        <w:tc>
          <w:tcPr>
            <w:tcW w:w="1417" w:type="dxa"/>
            <w:vAlign w:val="center"/>
          </w:tcPr>
          <w:p w14:paraId="153D182A"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b w:val="0"/>
                <w:bCs w:val="0"/>
              </w:rPr>
            </w:pPr>
            <w:r w:rsidRPr="00731FE2">
              <w:rPr>
                <w:b w:val="0"/>
                <w:bCs w:val="0"/>
              </w:rPr>
              <w:t>ТП-1</w:t>
            </w:r>
          </w:p>
        </w:tc>
        <w:tc>
          <w:tcPr>
            <w:tcW w:w="3685" w:type="dxa"/>
            <w:vAlign w:val="center"/>
          </w:tcPr>
          <w:p w14:paraId="63D4C844" w14:textId="77777777" w:rsidR="00171AA8" w:rsidRPr="00731FE2" w:rsidRDefault="007935AB" w:rsidP="008B0AA2">
            <w:pPr>
              <w:pStyle w:val="af3"/>
              <w:pBdr>
                <w:top w:val="none" w:sz="4" w:space="0" w:color="000000"/>
                <w:left w:val="none" w:sz="4" w:space="0" w:color="000000"/>
                <w:bottom w:val="none" w:sz="4" w:space="0" w:color="000000"/>
                <w:right w:val="none" w:sz="4" w:space="0" w:color="000000"/>
              </w:pBdr>
              <w:jc w:val="center"/>
              <w:rPr>
                <w:b w:val="0"/>
                <w:bCs w:val="0"/>
              </w:rPr>
            </w:pPr>
            <w:r w:rsidRPr="00731FE2">
              <w:rPr>
                <w:b w:val="0"/>
                <w:bCs w:val="0"/>
              </w:rPr>
              <w:t>пр.</w:t>
            </w:r>
            <w:r w:rsidR="008B0AA2" w:rsidRPr="00731FE2">
              <w:rPr>
                <w:b w:val="0"/>
                <w:bCs w:val="0"/>
              </w:rPr>
              <w:t xml:space="preserve"> </w:t>
            </w:r>
            <w:r w:rsidRPr="00731FE2">
              <w:rPr>
                <w:b w:val="0"/>
                <w:bCs w:val="0"/>
              </w:rPr>
              <w:t>Первомайский, 12</w:t>
            </w:r>
          </w:p>
        </w:tc>
        <w:tc>
          <w:tcPr>
            <w:tcW w:w="1417" w:type="dxa"/>
            <w:vAlign w:val="center"/>
          </w:tcPr>
          <w:p w14:paraId="7513BDB4"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b w:val="0"/>
                <w:bCs w:val="0"/>
              </w:rPr>
            </w:pPr>
            <w:r w:rsidRPr="00731FE2">
              <w:rPr>
                <w:b w:val="0"/>
                <w:bCs w:val="0"/>
              </w:rPr>
              <w:t>1</w:t>
            </w:r>
          </w:p>
        </w:tc>
        <w:tc>
          <w:tcPr>
            <w:tcW w:w="2127" w:type="dxa"/>
            <w:vAlign w:val="center"/>
          </w:tcPr>
          <w:p w14:paraId="11619CE7" w14:textId="77777777" w:rsidR="00171AA8" w:rsidRPr="00731FE2" w:rsidRDefault="007935AB" w:rsidP="008B0AA2">
            <w:pPr>
              <w:pStyle w:val="af3"/>
              <w:pBdr>
                <w:top w:val="none" w:sz="4" w:space="0" w:color="000000"/>
                <w:left w:val="none" w:sz="4" w:space="0" w:color="000000"/>
                <w:bottom w:val="none" w:sz="4" w:space="0" w:color="000000"/>
                <w:right w:val="none" w:sz="4" w:space="0" w:color="000000"/>
              </w:pBdr>
              <w:jc w:val="center"/>
              <w:rPr>
                <w:b w:val="0"/>
                <w:bCs w:val="0"/>
              </w:rPr>
            </w:pPr>
            <w:r w:rsidRPr="00731FE2">
              <w:rPr>
                <w:b w:val="0"/>
                <w:bCs w:val="0"/>
              </w:rPr>
              <w:t>5</w:t>
            </w:r>
            <w:r w:rsidR="008B0AA2" w:rsidRPr="00731FE2">
              <w:rPr>
                <w:b w:val="0"/>
                <w:bCs w:val="0"/>
              </w:rPr>
              <w:t xml:space="preserve"> </w:t>
            </w:r>
            <w:r w:rsidRPr="00731FE2">
              <w:rPr>
                <w:b w:val="0"/>
                <w:bCs w:val="0"/>
              </w:rPr>
              <w:t>кВт</w:t>
            </w:r>
          </w:p>
        </w:tc>
      </w:tr>
      <w:tr w:rsidR="00171AA8" w:rsidRPr="00731FE2" w14:paraId="3E8CD5E0" w14:textId="77777777">
        <w:tc>
          <w:tcPr>
            <w:tcW w:w="708" w:type="dxa"/>
            <w:vAlign w:val="center"/>
          </w:tcPr>
          <w:p w14:paraId="1B0ADE67" w14:textId="77777777" w:rsidR="00171AA8" w:rsidRPr="00731FE2" w:rsidRDefault="00171AA8" w:rsidP="007832E7">
            <w:pPr>
              <w:pStyle w:val="a3"/>
              <w:numPr>
                <w:ilvl w:val="0"/>
                <w:numId w:val="112"/>
              </w:numPr>
              <w:pBdr>
                <w:top w:val="none" w:sz="4" w:space="0" w:color="000000"/>
                <w:left w:val="none" w:sz="4" w:space="0" w:color="000000"/>
                <w:bottom w:val="none" w:sz="4" w:space="0" w:color="000000"/>
                <w:right w:val="none" w:sz="4" w:space="0" w:color="000000"/>
              </w:pBdr>
              <w:ind w:left="227" w:firstLine="0"/>
              <w:contextualSpacing w:val="0"/>
              <w:jc w:val="center"/>
              <w:rPr>
                <w:rFonts w:ascii="Times New Roman" w:hAnsi="Times New Roman" w:cs="Times New Roman"/>
                <w:color w:val="000000" w:themeColor="text1"/>
                <w:sz w:val="20"/>
                <w:szCs w:val="20"/>
              </w:rPr>
            </w:pPr>
          </w:p>
        </w:tc>
        <w:tc>
          <w:tcPr>
            <w:tcW w:w="1417" w:type="dxa"/>
            <w:vAlign w:val="center"/>
          </w:tcPr>
          <w:p w14:paraId="0B02C30E"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b w:val="0"/>
                <w:bCs w:val="0"/>
              </w:rPr>
            </w:pPr>
            <w:r w:rsidRPr="00731FE2">
              <w:rPr>
                <w:b w:val="0"/>
                <w:bCs w:val="0"/>
              </w:rPr>
              <w:t>ТП-2</w:t>
            </w:r>
          </w:p>
        </w:tc>
        <w:tc>
          <w:tcPr>
            <w:tcW w:w="3685" w:type="dxa"/>
            <w:vAlign w:val="center"/>
          </w:tcPr>
          <w:p w14:paraId="040194F4" w14:textId="77777777" w:rsidR="00171AA8" w:rsidRPr="00731FE2" w:rsidRDefault="007935AB" w:rsidP="008B0AA2">
            <w:pPr>
              <w:pStyle w:val="af3"/>
              <w:pBdr>
                <w:top w:val="none" w:sz="4" w:space="0" w:color="000000"/>
                <w:left w:val="none" w:sz="4" w:space="0" w:color="000000"/>
                <w:bottom w:val="none" w:sz="4" w:space="0" w:color="000000"/>
                <w:right w:val="none" w:sz="4" w:space="0" w:color="000000"/>
              </w:pBdr>
              <w:jc w:val="center"/>
              <w:rPr>
                <w:b w:val="0"/>
                <w:bCs w:val="0"/>
              </w:rPr>
            </w:pPr>
            <w:r w:rsidRPr="00731FE2">
              <w:rPr>
                <w:b w:val="0"/>
                <w:bCs w:val="0"/>
              </w:rPr>
              <w:t>ул.</w:t>
            </w:r>
            <w:r w:rsidR="008B0AA2" w:rsidRPr="00731FE2">
              <w:rPr>
                <w:b w:val="0"/>
                <w:bCs w:val="0"/>
              </w:rPr>
              <w:t xml:space="preserve"> </w:t>
            </w:r>
            <w:r w:rsidRPr="00731FE2">
              <w:rPr>
                <w:b w:val="0"/>
                <w:bCs w:val="0"/>
              </w:rPr>
              <w:t>Ярошенко, санаторий «Кавказ»</w:t>
            </w:r>
          </w:p>
        </w:tc>
        <w:tc>
          <w:tcPr>
            <w:tcW w:w="1417" w:type="dxa"/>
            <w:vAlign w:val="center"/>
          </w:tcPr>
          <w:p w14:paraId="4BBC1634"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b w:val="0"/>
                <w:bCs w:val="0"/>
              </w:rPr>
            </w:pPr>
            <w:r w:rsidRPr="00731FE2">
              <w:rPr>
                <w:b w:val="0"/>
                <w:bCs w:val="0"/>
              </w:rPr>
              <w:t>1</w:t>
            </w:r>
          </w:p>
        </w:tc>
        <w:tc>
          <w:tcPr>
            <w:tcW w:w="2127" w:type="dxa"/>
            <w:vAlign w:val="center"/>
          </w:tcPr>
          <w:p w14:paraId="09ACA043" w14:textId="77777777" w:rsidR="00171AA8" w:rsidRPr="00731FE2" w:rsidRDefault="007935AB" w:rsidP="008B0AA2">
            <w:pPr>
              <w:pStyle w:val="af3"/>
              <w:pBdr>
                <w:top w:val="none" w:sz="4" w:space="0" w:color="000000"/>
                <w:left w:val="none" w:sz="4" w:space="0" w:color="000000"/>
                <w:bottom w:val="none" w:sz="4" w:space="0" w:color="000000"/>
                <w:right w:val="none" w:sz="4" w:space="0" w:color="000000"/>
              </w:pBdr>
              <w:jc w:val="center"/>
              <w:rPr>
                <w:b w:val="0"/>
                <w:bCs w:val="0"/>
              </w:rPr>
            </w:pPr>
            <w:r w:rsidRPr="00731FE2">
              <w:rPr>
                <w:b w:val="0"/>
                <w:bCs w:val="0"/>
              </w:rPr>
              <w:t>5</w:t>
            </w:r>
            <w:r w:rsidR="008B0AA2" w:rsidRPr="00731FE2">
              <w:rPr>
                <w:b w:val="0"/>
                <w:bCs w:val="0"/>
              </w:rPr>
              <w:t xml:space="preserve"> </w:t>
            </w:r>
            <w:r w:rsidRPr="00731FE2">
              <w:rPr>
                <w:b w:val="0"/>
                <w:bCs w:val="0"/>
              </w:rPr>
              <w:t>кВт</w:t>
            </w:r>
          </w:p>
        </w:tc>
      </w:tr>
      <w:tr w:rsidR="00171AA8" w:rsidRPr="00731FE2" w14:paraId="0ECBF149" w14:textId="77777777">
        <w:tc>
          <w:tcPr>
            <w:tcW w:w="708" w:type="dxa"/>
            <w:vAlign w:val="center"/>
          </w:tcPr>
          <w:p w14:paraId="3BF5BA4F" w14:textId="77777777" w:rsidR="00171AA8" w:rsidRPr="00731FE2" w:rsidRDefault="00171AA8" w:rsidP="007832E7">
            <w:pPr>
              <w:pStyle w:val="a3"/>
              <w:numPr>
                <w:ilvl w:val="0"/>
                <w:numId w:val="112"/>
              </w:numPr>
              <w:pBdr>
                <w:top w:val="none" w:sz="4" w:space="0" w:color="000000"/>
                <w:left w:val="none" w:sz="4" w:space="0" w:color="000000"/>
                <w:bottom w:val="none" w:sz="4" w:space="0" w:color="000000"/>
                <w:right w:val="none" w:sz="4" w:space="0" w:color="000000"/>
              </w:pBdr>
              <w:ind w:left="227" w:firstLine="0"/>
              <w:contextualSpacing w:val="0"/>
              <w:jc w:val="center"/>
              <w:rPr>
                <w:rFonts w:ascii="Times New Roman" w:hAnsi="Times New Roman" w:cs="Times New Roman"/>
                <w:color w:val="000000" w:themeColor="text1"/>
                <w:sz w:val="20"/>
                <w:szCs w:val="20"/>
              </w:rPr>
            </w:pPr>
          </w:p>
        </w:tc>
        <w:tc>
          <w:tcPr>
            <w:tcW w:w="1417" w:type="dxa"/>
            <w:vAlign w:val="center"/>
          </w:tcPr>
          <w:p w14:paraId="5CF92A8F"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b w:val="0"/>
                <w:bCs w:val="0"/>
              </w:rPr>
            </w:pPr>
            <w:r w:rsidRPr="00731FE2">
              <w:rPr>
                <w:b w:val="0"/>
                <w:bCs w:val="0"/>
              </w:rPr>
              <w:t>ТП-3</w:t>
            </w:r>
          </w:p>
        </w:tc>
        <w:tc>
          <w:tcPr>
            <w:tcW w:w="3685" w:type="dxa"/>
            <w:vAlign w:val="center"/>
          </w:tcPr>
          <w:p w14:paraId="5DE2A330" w14:textId="77777777" w:rsidR="00171AA8" w:rsidRPr="00731FE2" w:rsidRDefault="007935AB" w:rsidP="008B0AA2">
            <w:pPr>
              <w:pStyle w:val="af3"/>
              <w:pBdr>
                <w:top w:val="none" w:sz="4" w:space="0" w:color="000000"/>
                <w:left w:val="none" w:sz="4" w:space="0" w:color="000000"/>
                <w:bottom w:val="none" w:sz="4" w:space="0" w:color="000000"/>
                <w:right w:val="none" w:sz="4" w:space="0" w:color="000000"/>
              </w:pBdr>
              <w:jc w:val="center"/>
              <w:rPr>
                <w:b w:val="0"/>
                <w:bCs w:val="0"/>
              </w:rPr>
            </w:pPr>
            <w:r w:rsidRPr="00731FE2">
              <w:rPr>
                <w:b w:val="0"/>
                <w:bCs w:val="0"/>
              </w:rPr>
              <w:t>пр.</w:t>
            </w:r>
            <w:r w:rsidR="008B0AA2" w:rsidRPr="00731FE2">
              <w:rPr>
                <w:b w:val="0"/>
                <w:bCs w:val="0"/>
              </w:rPr>
              <w:t xml:space="preserve"> </w:t>
            </w:r>
            <w:r w:rsidRPr="00731FE2">
              <w:rPr>
                <w:b w:val="0"/>
                <w:bCs w:val="0"/>
              </w:rPr>
              <w:t>Победы, 151</w:t>
            </w:r>
          </w:p>
        </w:tc>
        <w:tc>
          <w:tcPr>
            <w:tcW w:w="1417" w:type="dxa"/>
            <w:vAlign w:val="center"/>
          </w:tcPr>
          <w:p w14:paraId="5A9B5036"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b w:val="0"/>
                <w:bCs w:val="0"/>
              </w:rPr>
            </w:pPr>
            <w:r w:rsidRPr="00731FE2">
              <w:rPr>
                <w:b w:val="0"/>
                <w:bCs w:val="0"/>
              </w:rPr>
              <w:t>1</w:t>
            </w:r>
          </w:p>
        </w:tc>
        <w:tc>
          <w:tcPr>
            <w:tcW w:w="2127" w:type="dxa"/>
            <w:vAlign w:val="center"/>
          </w:tcPr>
          <w:p w14:paraId="1361176A" w14:textId="77777777" w:rsidR="00171AA8" w:rsidRPr="00731FE2" w:rsidRDefault="007935AB" w:rsidP="008B0AA2">
            <w:pPr>
              <w:pStyle w:val="af3"/>
              <w:pBdr>
                <w:top w:val="none" w:sz="4" w:space="0" w:color="000000"/>
                <w:left w:val="none" w:sz="4" w:space="0" w:color="000000"/>
                <w:bottom w:val="none" w:sz="4" w:space="0" w:color="000000"/>
                <w:right w:val="none" w:sz="4" w:space="0" w:color="000000"/>
              </w:pBdr>
              <w:jc w:val="center"/>
              <w:rPr>
                <w:b w:val="0"/>
                <w:bCs w:val="0"/>
              </w:rPr>
            </w:pPr>
            <w:r w:rsidRPr="00731FE2">
              <w:rPr>
                <w:b w:val="0"/>
                <w:bCs w:val="0"/>
              </w:rPr>
              <w:t>5</w:t>
            </w:r>
            <w:r w:rsidR="008B0AA2" w:rsidRPr="00731FE2">
              <w:rPr>
                <w:b w:val="0"/>
                <w:bCs w:val="0"/>
              </w:rPr>
              <w:t xml:space="preserve"> </w:t>
            </w:r>
            <w:r w:rsidRPr="00731FE2">
              <w:rPr>
                <w:b w:val="0"/>
                <w:bCs w:val="0"/>
              </w:rPr>
              <w:t>кВт</w:t>
            </w:r>
          </w:p>
        </w:tc>
      </w:tr>
      <w:tr w:rsidR="00171AA8" w:rsidRPr="00731FE2" w14:paraId="40CC3158" w14:textId="77777777">
        <w:tc>
          <w:tcPr>
            <w:tcW w:w="708" w:type="dxa"/>
            <w:vAlign w:val="center"/>
          </w:tcPr>
          <w:p w14:paraId="40F444B4" w14:textId="77777777" w:rsidR="00171AA8" w:rsidRPr="00731FE2" w:rsidRDefault="00171AA8" w:rsidP="007832E7">
            <w:pPr>
              <w:pStyle w:val="a3"/>
              <w:numPr>
                <w:ilvl w:val="0"/>
                <w:numId w:val="112"/>
              </w:numPr>
              <w:pBdr>
                <w:top w:val="none" w:sz="4" w:space="0" w:color="000000"/>
                <w:left w:val="none" w:sz="4" w:space="0" w:color="000000"/>
                <w:bottom w:val="none" w:sz="4" w:space="0" w:color="000000"/>
                <w:right w:val="none" w:sz="4" w:space="0" w:color="000000"/>
              </w:pBdr>
              <w:ind w:left="227" w:firstLine="0"/>
              <w:contextualSpacing w:val="0"/>
              <w:jc w:val="center"/>
              <w:rPr>
                <w:rFonts w:ascii="Times New Roman" w:hAnsi="Times New Roman" w:cs="Times New Roman"/>
                <w:color w:val="000000" w:themeColor="text1"/>
                <w:sz w:val="20"/>
                <w:szCs w:val="20"/>
              </w:rPr>
            </w:pPr>
          </w:p>
        </w:tc>
        <w:tc>
          <w:tcPr>
            <w:tcW w:w="1417" w:type="dxa"/>
            <w:vAlign w:val="center"/>
          </w:tcPr>
          <w:p w14:paraId="75FC764B"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b w:val="0"/>
                <w:bCs w:val="0"/>
              </w:rPr>
            </w:pPr>
            <w:r w:rsidRPr="00731FE2">
              <w:rPr>
                <w:b w:val="0"/>
                <w:bCs w:val="0"/>
              </w:rPr>
              <w:t>ТП-4</w:t>
            </w:r>
          </w:p>
        </w:tc>
        <w:tc>
          <w:tcPr>
            <w:tcW w:w="3685" w:type="dxa"/>
            <w:vAlign w:val="center"/>
          </w:tcPr>
          <w:p w14:paraId="71531155" w14:textId="77777777" w:rsidR="00171AA8" w:rsidRPr="00731FE2" w:rsidRDefault="007935AB" w:rsidP="008B0AA2">
            <w:pPr>
              <w:pStyle w:val="af3"/>
              <w:pBdr>
                <w:top w:val="none" w:sz="4" w:space="0" w:color="000000"/>
                <w:left w:val="none" w:sz="4" w:space="0" w:color="000000"/>
                <w:bottom w:val="none" w:sz="4" w:space="0" w:color="000000"/>
                <w:right w:val="none" w:sz="4" w:space="0" w:color="000000"/>
              </w:pBdr>
              <w:jc w:val="center"/>
              <w:rPr>
                <w:b w:val="0"/>
                <w:bCs w:val="0"/>
              </w:rPr>
            </w:pPr>
            <w:r w:rsidRPr="00731FE2">
              <w:rPr>
                <w:b w:val="0"/>
                <w:bCs w:val="0"/>
              </w:rPr>
              <w:t>ул.</w:t>
            </w:r>
            <w:r w:rsidR="008B0AA2" w:rsidRPr="00731FE2">
              <w:rPr>
                <w:b w:val="0"/>
                <w:bCs w:val="0"/>
              </w:rPr>
              <w:t xml:space="preserve"> </w:t>
            </w:r>
            <w:r w:rsidRPr="00731FE2">
              <w:rPr>
                <w:b w:val="0"/>
                <w:bCs w:val="0"/>
              </w:rPr>
              <w:t>Калинина, 12</w:t>
            </w:r>
          </w:p>
        </w:tc>
        <w:tc>
          <w:tcPr>
            <w:tcW w:w="1417" w:type="dxa"/>
            <w:vAlign w:val="center"/>
          </w:tcPr>
          <w:p w14:paraId="1ACCCDE9"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b w:val="0"/>
                <w:bCs w:val="0"/>
              </w:rPr>
            </w:pPr>
            <w:r w:rsidRPr="00731FE2">
              <w:rPr>
                <w:b w:val="0"/>
                <w:bCs w:val="0"/>
              </w:rPr>
              <w:t>1</w:t>
            </w:r>
          </w:p>
        </w:tc>
        <w:tc>
          <w:tcPr>
            <w:tcW w:w="2127" w:type="dxa"/>
            <w:vAlign w:val="center"/>
          </w:tcPr>
          <w:p w14:paraId="3E042A01" w14:textId="77777777" w:rsidR="00171AA8" w:rsidRPr="00731FE2" w:rsidRDefault="007935AB" w:rsidP="008B0AA2">
            <w:pPr>
              <w:pStyle w:val="af3"/>
              <w:pBdr>
                <w:top w:val="none" w:sz="4" w:space="0" w:color="000000"/>
                <w:left w:val="none" w:sz="4" w:space="0" w:color="000000"/>
                <w:bottom w:val="none" w:sz="4" w:space="0" w:color="000000"/>
                <w:right w:val="none" w:sz="4" w:space="0" w:color="000000"/>
              </w:pBdr>
              <w:jc w:val="center"/>
              <w:rPr>
                <w:b w:val="0"/>
                <w:bCs w:val="0"/>
              </w:rPr>
            </w:pPr>
            <w:r w:rsidRPr="00731FE2">
              <w:rPr>
                <w:b w:val="0"/>
                <w:bCs w:val="0"/>
              </w:rPr>
              <w:t>5</w:t>
            </w:r>
            <w:r w:rsidR="008B0AA2" w:rsidRPr="00731FE2">
              <w:rPr>
                <w:b w:val="0"/>
                <w:bCs w:val="0"/>
              </w:rPr>
              <w:t xml:space="preserve"> </w:t>
            </w:r>
            <w:r w:rsidRPr="00731FE2">
              <w:rPr>
                <w:b w:val="0"/>
                <w:bCs w:val="0"/>
              </w:rPr>
              <w:t>кВт</w:t>
            </w:r>
          </w:p>
        </w:tc>
      </w:tr>
      <w:tr w:rsidR="00171AA8" w:rsidRPr="00731FE2" w14:paraId="0B9D4677" w14:textId="77777777">
        <w:tc>
          <w:tcPr>
            <w:tcW w:w="708" w:type="dxa"/>
            <w:vAlign w:val="center"/>
          </w:tcPr>
          <w:p w14:paraId="748DD3A8" w14:textId="77777777" w:rsidR="00171AA8" w:rsidRPr="00731FE2" w:rsidRDefault="00171AA8" w:rsidP="007832E7">
            <w:pPr>
              <w:pStyle w:val="a3"/>
              <w:numPr>
                <w:ilvl w:val="0"/>
                <w:numId w:val="112"/>
              </w:numPr>
              <w:pBdr>
                <w:top w:val="none" w:sz="4" w:space="0" w:color="000000"/>
                <w:left w:val="none" w:sz="4" w:space="0" w:color="000000"/>
                <w:bottom w:val="none" w:sz="4" w:space="0" w:color="000000"/>
                <w:right w:val="none" w:sz="4" w:space="0" w:color="000000"/>
              </w:pBdr>
              <w:ind w:left="227" w:firstLine="0"/>
              <w:contextualSpacing w:val="0"/>
              <w:jc w:val="center"/>
              <w:rPr>
                <w:rFonts w:ascii="Times New Roman" w:hAnsi="Times New Roman" w:cs="Times New Roman"/>
                <w:color w:val="000000" w:themeColor="text1"/>
                <w:sz w:val="20"/>
                <w:szCs w:val="20"/>
              </w:rPr>
            </w:pPr>
          </w:p>
        </w:tc>
        <w:tc>
          <w:tcPr>
            <w:tcW w:w="1417" w:type="dxa"/>
            <w:vAlign w:val="center"/>
          </w:tcPr>
          <w:p w14:paraId="7FFDDA4D"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b w:val="0"/>
                <w:bCs w:val="0"/>
              </w:rPr>
            </w:pPr>
            <w:r w:rsidRPr="00731FE2">
              <w:rPr>
                <w:b w:val="0"/>
                <w:bCs w:val="0"/>
              </w:rPr>
              <w:t>ТП-5</w:t>
            </w:r>
          </w:p>
        </w:tc>
        <w:tc>
          <w:tcPr>
            <w:tcW w:w="3685" w:type="dxa"/>
            <w:vAlign w:val="center"/>
          </w:tcPr>
          <w:p w14:paraId="48ACA8FE" w14:textId="77777777" w:rsidR="00171AA8" w:rsidRPr="00731FE2" w:rsidRDefault="007935AB" w:rsidP="008B0AA2">
            <w:pPr>
              <w:pStyle w:val="af3"/>
              <w:pBdr>
                <w:top w:val="none" w:sz="4" w:space="0" w:color="000000"/>
                <w:left w:val="none" w:sz="4" w:space="0" w:color="000000"/>
                <w:bottom w:val="none" w:sz="4" w:space="0" w:color="000000"/>
                <w:right w:val="none" w:sz="4" w:space="0" w:color="000000"/>
              </w:pBdr>
              <w:jc w:val="center"/>
              <w:rPr>
                <w:b w:val="0"/>
                <w:bCs w:val="0"/>
              </w:rPr>
            </w:pPr>
            <w:r w:rsidRPr="00731FE2">
              <w:rPr>
                <w:b w:val="0"/>
                <w:bCs w:val="0"/>
              </w:rPr>
              <w:t>ул.</w:t>
            </w:r>
            <w:r w:rsidR="008B0AA2" w:rsidRPr="00731FE2">
              <w:rPr>
                <w:b w:val="0"/>
                <w:bCs w:val="0"/>
              </w:rPr>
              <w:t xml:space="preserve"> </w:t>
            </w:r>
            <w:r w:rsidRPr="00731FE2">
              <w:rPr>
                <w:b w:val="0"/>
                <w:bCs w:val="0"/>
              </w:rPr>
              <w:t>Дзержинского, 24</w:t>
            </w:r>
          </w:p>
        </w:tc>
        <w:tc>
          <w:tcPr>
            <w:tcW w:w="1417" w:type="dxa"/>
            <w:vAlign w:val="center"/>
          </w:tcPr>
          <w:p w14:paraId="22DBFD34"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b w:val="0"/>
                <w:bCs w:val="0"/>
              </w:rPr>
            </w:pPr>
            <w:r w:rsidRPr="00731FE2">
              <w:rPr>
                <w:b w:val="0"/>
                <w:bCs w:val="0"/>
              </w:rPr>
              <w:t>1</w:t>
            </w:r>
          </w:p>
        </w:tc>
        <w:tc>
          <w:tcPr>
            <w:tcW w:w="2127" w:type="dxa"/>
            <w:vAlign w:val="center"/>
          </w:tcPr>
          <w:p w14:paraId="6C8D8110" w14:textId="77777777" w:rsidR="00171AA8" w:rsidRPr="00731FE2" w:rsidRDefault="007935AB" w:rsidP="008B0AA2">
            <w:pPr>
              <w:pStyle w:val="af3"/>
              <w:pBdr>
                <w:top w:val="none" w:sz="4" w:space="0" w:color="000000"/>
                <w:left w:val="none" w:sz="4" w:space="0" w:color="000000"/>
                <w:bottom w:val="none" w:sz="4" w:space="0" w:color="000000"/>
                <w:right w:val="none" w:sz="4" w:space="0" w:color="000000"/>
              </w:pBdr>
              <w:jc w:val="center"/>
              <w:rPr>
                <w:b w:val="0"/>
                <w:bCs w:val="0"/>
              </w:rPr>
            </w:pPr>
            <w:r w:rsidRPr="00731FE2">
              <w:rPr>
                <w:b w:val="0"/>
                <w:bCs w:val="0"/>
              </w:rPr>
              <w:t>5</w:t>
            </w:r>
            <w:r w:rsidR="008B0AA2" w:rsidRPr="00731FE2">
              <w:rPr>
                <w:b w:val="0"/>
                <w:bCs w:val="0"/>
              </w:rPr>
              <w:t xml:space="preserve"> </w:t>
            </w:r>
            <w:r w:rsidRPr="00731FE2">
              <w:rPr>
                <w:b w:val="0"/>
                <w:bCs w:val="0"/>
              </w:rPr>
              <w:t>кВт</w:t>
            </w:r>
          </w:p>
        </w:tc>
      </w:tr>
      <w:tr w:rsidR="00171AA8" w:rsidRPr="00731FE2" w14:paraId="6A1D0789" w14:textId="77777777">
        <w:tc>
          <w:tcPr>
            <w:tcW w:w="708" w:type="dxa"/>
            <w:vAlign w:val="center"/>
          </w:tcPr>
          <w:p w14:paraId="2BA4FC41" w14:textId="77777777" w:rsidR="00171AA8" w:rsidRPr="00731FE2" w:rsidRDefault="00171AA8" w:rsidP="007832E7">
            <w:pPr>
              <w:pStyle w:val="a3"/>
              <w:numPr>
                <w:ilvl w:val="0"/>
                <w:numId w:val="112"/>
              </w:numPr>
              <w:pBdr>
                <w:top w:val="none" w:sz="4" w:space="0" w:color="000000"/>
                <w:left w:val="none" w:sz="4" w:space="0" w:color="000000"/>
                <w:bottom w:val="none" w:sz="4" w:space="0" w:color="000000"/>
                <w:right w:val="none" w:sz="4" w:space="0" w:color="000000"/>
              </w:pBdr>
              <w:ind w:left="227" w:firstLine="0"/>
              <w:contextualSpacing w:val="0"/>
              <w:jc w:val="center"/>
              <w:rPr>
                <w:rFonts w:ascii="Times New Roman" w:hAnsi="Times New Roman" w:cs="Times New Roman"/>
                <w:color w:val="000000" w:themeColor="text1"/>
                <w:sz w:val="20"/>
                <w:szCs w:val="20"/>
              </w:rPr>
            </w:pPr>
          </w:p>
        </w:tc>
        <w:tc>
          <w:tcPr>
            <w:tcW w:w="1417" w:type="dxa"/>
            <w:vAlign w:val="center"/>
          </w:tcPr>
          <w:p w14:paraId="736E05DA"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b w:val="0"/>
                <w:bCs w:val="0"/>
              </w:rPr>
            </w:pPr>
            <w:r w:rsidRPr="00731FE2">
              <w:rPr>
                <w:b w:val="0"/>
                <w:bCs w:val="0"/>
              </w:rPr>
              <w:t>ТП-6</w:t>
            </w:r>
          </w:p>
        </w:tc>
        <w:tc>
          <w:tcPr>
            <w:tcW w:w="3685" w:type="dxa"/>
            <w:vAlign w:val="center"/>
          </w:tcPr>
          <w:p w14:paraId="5EE37DE5"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b w:val="0"/>
                <w:bCs w:val="0"/>
              </w:rPr>
            </w:pPr>
            <w:r w:rsidRPr="00731FE2">
              <w:rPr>
                <w:b w:val="0"/>
                <w:bCs w:val="0"/>
              </w:rPr>
              <w:t>«Велинград»</w:t>
            </w:r>
          </w:p>
        </w:tc>
        <w:tc>
          <w:tcPr>
            <w:tcW w:w="1417" w:type="dxa"/>
            <w:vAlign w:val="center"/>
          </w:tcPr>
          <w:p w14:paraId="5861A437"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b w:val="0"/>
                <w:bCs w:val="0"/>
              </w:rPr>
            </w:pPr>
            <w:r w:rsidRPr="00731FE2">
              <w:rPr>
                <w:b w:val="0"/>
                <w:bCs w:val="0"/>
              </w:rPr>
              <w:t>1</w:t>
            </w:r>
          </w:p>
        </w:tc>
        <w:tc>
          <w:tcPr>
            <w:tcW w:w="2127" w:type="dxa"/>
            <w:vAlign w:val="center"/>
          </w:tcPr>
          <w:p w14:paraId="34E5ACA5" w14:textId="77777777" w:rsidR="00171AA8" w:rsidRPr="00731FE2" w:rsidRDefault="007935AB" w:rsidP="008B0AA2">
            <w:pPr>
              <w:pStyle w:val="af3"/>
              <w:pBdr>
                <w:top w:val="none" w:sz="4" w:space="0" w:color="000000"/>
                <w:left w:val="none" w:sz="4" w:space="0" w:color="000000"/>
                <w:bottom w:val="none" w:sz="4" w:space="0" w:color="000000"/>
                <w:right w:val="none" w:sz="4" w:space="0" w:color="000000"/>
              </w:pBdr>
              <w:jc w:val="center"/>
              <w:rPr>
                <w:b w:val="0"/>
                <w:bCs w:val="0"/>
              </w:rPr>
            </w:pPr>
            <w:r w:rsidRPr="00731FE2">
              <w:rPr>
                <w:b w:val="0"/>
                <w:bCs w:val="0"/>
              </w:rPr>
              <w:t>5</w:t>
            </w:r>
            <w:r w:rsidR="008B0AA2" w:rsidRPr="00731FE2">
              <w:rPr>
                <w:b w:val="0"/>
                <w:bCs w:val="0"/>
              </w:rPr>
              <w:t xml:space="preserve"> </w:t>
            </w:r>
            <w:r w:rsidRPr="00731FE2">
              <w:rPr>
                <w:b w:val="0"/>
                <w:bCs w:val="0"/>
              </w:rPr>
              <w:t>кВт</w:t>
            </w:r>
          </w:p>
        </w:tc>
      </w:tr>
    </w:tbl>
    <w:p w14:paraId="76B70B8D" w14:textId="77777777" w:rsidR="00171AA8" w:rsidRPr="00731FE2" w:rsidRDefault="00171AA8">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p>
    <w:p w14:paraId="674318EE"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b/>
          <w:bCs/>
          <w:color w:val="000000" w:themeColor="text1"/>
        </w:rPr>
      </w:pPr>
      <w:r w:rsidRPr="00731FE2">
        <w:rPr>
          <w:rFonts w:ascii="Times New Roman" w:hAnsi="Times New Roman" w:cs="Times New Roman"/>
          <w:b/>
          <w:bCs/>
          <w:color w:val="000000" w:themeColor="text1"/>
        </w:rPr>
        <w:t>Техническое состояние сетей и сооружений РТС ПВ удовлетворительное. Наблюдается отсев радиоточек. Для дальнейшей нормальной эксплуатации требуется проведение реконструкции части сетей и оборудования РТС.</w:t>
      </w:r>
    </w:p>
    <w:p w14:paraId="14205448" w14:textId="77777777" w:rsidR="00171AA8" w:rsidRPr="00731FE2" w:rsidRDefault="00171AA8">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p>
    <w:p w14:paraId="374DFE43" w14:textId="77777777" w:rsidR="00171AA8" w:rsidRPr="00731FE2" w:rsidRDefault="007935AB" w:rsidP="007C46CA">
      <w:pPr>
        <w:pStyle w:val="24"/>
        <w:tabs>
          <w:tab w:val="left" w:pos="2835"/>
        </w:tabs>
        <w:rPr>
          <w:rFonts w:ascii="Times New Roman" w:hAnsi="Times New Roman" w:cs="Times New Roman"/>
        </w:rPr>
      </w:pPr>
      <w:bookmarkStart w:id="55" w:name="_Toc177392806"/>
      <w:r w:rsidRPr="00731FE2">
        <w:rPr>
          <w:rFonts w:ascii="Times New Roman" w:hAnsi="Times New Roman" w:cs="Times New Roman"/>
        </w:rPr>
        <w:t>2.12 Жилищный фонд и жилищное строительство</w:t>
      </w:r>
      <w:bookmarkEnd w:id="55"/>
    </w:p>
    <w:p w14:paraId="46201B58"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b/>
          <w:bCs/>
          <w:color w:val="000000" w:themeColor="text1"/>
        </w:rPr>
      </w:pPr>
      <w:r w:rsidRPr="00731FE2">
        <w:rPr>
          <w:rFonts w:ascii="Times New Roman" w:hAnsi="Times New Roman" w:cs="Times New Roman"/>
          <w:b/>
          <w:bCs/>
          <w:color w:val="000000" w:themeColor="text1"/>
        </w:rPr>
        <w:t>Общая характеристика жилищного фонда.</w:t>
      </w:r>
      <w:r w:rsidRPr="00731FE2">
        <w:rPr>
          <w:rFonts w:ascii="Times New Roman" w:hAnsi="Times New Roman" w:cs="Times New Roman"/>
          <w:color w:val="000000" w:themeColor="text1"/>
        </w:rPr>
        <w:t xml:space="preserve"> Общая площадь существующего жилищного фонда городского округа города-курорта Кисловодска на 01.01.2022 составила 3426,35 тыс. м</w:t>
      </w:r>
      <w:proofErr w:type="gramStart"/>
      <w:r w:rsidRPr="00731FE2">
        <w:rPr>
          <w:rFonts w:ascii="Times New Roman" w:hAnsi="Times New Roman" w:cs="Times New Roman"/>
          <w:color w:val="000000" w:themeColor="text1"/>
          <w:vertAlign w:val="superscript"/>
        </w:rPr>
        <w:t>2</w:t>
      </w:r>
      <w:proofErr w:type="gramEnd"/>
      <w:r w:rsidRPr="00731FE2">
        <w:rPr>
          <w:rFonts w:ascii="Times New Roman" w:hAnsi="Times New Roman" w:cs="Times New Roman"/>
          <w:color w:val="000000" w:themeColor="text1"/>
        </w:rPr>
        <w:t>.</w:t>
      </w:r>
      <w:r w:rsidRPr="00731FE2">
        <w:rPr>
          <w:rStyle w:val="afb"/>
          <w:rFonts w:ascii="Times New Roman" w:hAnsi="Times New Roman" w:cs="Times New Roman"/>
          <w:color w:val="000000" w:themeColor="text1"/>
          <w:vertAlign w:val="superscript"/>
        </w:rPr>
        <w:footnoteReference w:id="90"/>
      </w:r>
    </w:p>
    <w:p w14:paraId="58C5D1FD"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За период 2018-2022 гг. общий объем жилищного фонда городского округа города-курорта Кисловодска увеличился на 232,45 тыс. м</w:t>
      </w:r>
      <w:proofErr w:type="gramStart"/>
      <w:r w:rsidRPr="00731FE2">
        <w:rPr>
          <w:rFonts w:ascii="Times New Roman" w:hAnsi="Times New Roman" w:cs="Times New Roman"/>
          <w:color w:val="000000" w:themeColor="text1"/>
          <w:vertAlign w:val="superscript"/>
        </w:rPr>
        <w:t>2</w:t>
      </w:r>
      <w:proofErr w:type="gramEnd"/>
      <w:r w:rsidRPr="00731FE2">
        <w:rPr>
          <w:rFonts w:ascii="Times New Roman" w:hAnsi="Times New Roman" w:cs="Times New Roman"/>
          <w:color w:val="000000" w:themeColor="text1"/>
        </w:rPr>
        <w:t xml:space="preserve"> или на 7,28%. Динамика площади жилищного фонда за период 2019-2022 гг. отображена на рисунке ниже.</w:t>
      </w:r>
    </w:p>
    <w:p w14:paraId="3815BAA4" w14:textId="77777777" w:rsidR="00171AA8" w:rsidRPr="00731FE2" w:rsidRDefault="00171AA8">
      <w:pPr>
        <w:pBdr>
          <w:top w:val="none" w:sz="4" w:space="0" w:color="000000"/>
          <w:left w:val="none" w:sz="4" w:space="0" w:color="000000"/>
          <w:bottom w:val="none" w:sz="4" w:space="0" w:color="000000"/>
          <w:right w:val="none" w:sz="4" w:space="0" w:color="000000"/>
        </w:pBdr>
        <w:rPr>
          <w:rFonts w:ascii="Times New Roman" w:hAnsi="Times New Roman" w:cs="Times New Roman"/>
          <w:b/>
          <w:bCs/>
          <w:color w:val="000000" w:themeColor="text1"/>
        </w:rPr>
      </w:pPr>
    </w:p>
    <w:p w14:paraId="34A5F65A" w14:textId="77777777" w:rsidR="00171AA8" w:rsidRPr="00731FE2" w:rsidRDefault="007935AB">
      <w:pPr>
        <w:ind w:firstLine="0"/>
        <w:jc w:val="center"/>
        <w:rPr>
          <w:rFonts w:ascii="Times New Roman" w:hAnsi="Times New Roman" w:cs="Times New Roman"/>
          <w:color w:val="000000" w:themeColor="text1"/>
        </w:rPr>
      </w:pPr>
      <w:r w:rsidRPr="00731FE2">
        <w:rPr>
          <w:rFonts w:ascii="Times New Roman" w:hAnsi="Times New Roman" w:cs="Times New Roman"/>
          <w:noProof/>
          <w:color w:val="000000" w:themeColor="text1"/>
          <w:lang w:eastAsia="ru-RU"/>
        </w:rPr>
        <w:lastRenderedPageBreak/>
        <w:drawing>
          <wp:inline distT="0" distB="0" distL="0" distR="0" wp14:anchorId="38E6A75B" wp14:editId="03AF1086">
            <wp:extent cx="5231549" cy="3125999"/>
            <wp:effectExtent l="0" t="0" r="0" b="0"/>
            <wp:docPr id="10" name="Диаграмма 9"/>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5DE8AD31" w14:textId="77777777" w:rsidR="00171AA8" w:rsidRPr="00731FE2" w:rsidRDefault="007935AB" w:rsidP="007C46CA">
      <w:pPr>
        <w:spacing w:line="240" w:lineRule="auto"/>
        <w:ind w:firstLine="0"/>
        <w:rPr>
          <w:rFonts w:ascii="Times New Roman" w:hAnsi="Times New Roman" w:cs="Times New Roman"/>
          <w:b/>
          <w:bCs/>
          <w:color w:val="000000" w:themeColor="text1"/>
          <w:szCs w:val="24"/>
          <w:vertAlign w:val="superscript"/>
        </w:rPr>
      </w:pPr>
      <w:r w:rsidRPr="00731FE2">
        <w:rPr>
          <w:rFonts w:ascii="Times New Roman" w:hAnsi="Times New Roman" w:cs="Times New Roman"/>
          <w:b/>
          <w:bCs/>
          <w:color w:val="000000" w:themeColor="text1"/>
          <w:szCs w:val="24"/>
        </w:rPr>
        <w:t xml:space="preserve">Рисунок </w:t>
      </w:r>
      <w:r w:rsidRPr="00731FE2">
        <w:rPr>
          <w:rFonts w:ascii="Times New Roman" w:hAnsi="Times New Roman" w:cs="Times New Roman"/>
          <w:b/>
          <w:bCs/>
          <w:color w:val="000000" w:themeColor="text1"/>
          <w:szCs w:val="24"/>
        </w:rPr>
        <w:fldChar w:fldCharType="begin"/>
      </w:r>
      <w:r w:rsidRPr="00731FE2">
        <w:rPr>
          <w:rFonts w:ascii="Times New Roman" w:hAnsi="Times New Roman" w:cs="Times New Roman"/>
          <w:b/>
          <w:bCs/>
          <w:color w:val="000000" w:themeColor="text1"/>
          <w:szCs w:val="24"/>
        </w:rPr>
        <w:instrText xml:space="preserve"> SEQ Рисунок \* Arabic </w:instrText>
      </w:r>
      <w:r w:rsidRPr="00731FE2">
        <w:rPr>
          <w:rFonts w:ascii="Times New Roman" w:hAnsi="Times New Roman" w:cs="Times New Roman"/>
          <w:b/>
          <w:bCs/>
          <w:color w:val="000000" w:themeColor="text1"/>
          <w:szCs w:val="24"/>
        </w:rPr>
        <w:fldChar w:fldCharType="separate"/>
      </w:r>
      <w:r w:rsidR="00C50915" w:rsidRPr="00731FE2">
        <w:rPr>
          <w:rFonts w:ascii="Times New Roman" w:hAnsi="Times New Roman" w:cs="Times New Roman"/>
          <w:b/>
          <w:bCs/>
          <w:noProof/>
          <w:color w:val="000000" w:themeColor="text1"/>
          <w:szCs w:val="24"/>
        </w:rPr>
        <w:t>10</w:t>
      </w:r>
      <w:r w:rsidRPr="00731FE2">
        <w:rPr>
          <w:rFonts w:ascii="Times New Roman" w:hAnsi="Times New Roman" w:cs="Times New Roman"/>
          <w:b/>
          <w:bCs/>
          <w:color w:val="000000" w:themeColor="text1"/>
          <w:szCs w:val="24"/>
        </w:rPr>
        <w:fldChar w:fldCharType="end"/>
      </w:r>
      <w:r w:rsidRPr="00731FE2">
        <w:rPr>
          <w:rFonts w:ascii="Times New Roman" w:hAnsi="Times New Roman" w:cs="Times New Roman"/>
          <w:b/>
          <w:bCs/>
          <w:color w:val="000000" w:themeColor="text1"/>
          <w:szCs w:val="24"/>
        </w:rPr>
        <w:t xml:space="preserve"> – </w:t>
      </w:r>
      <w:r w:rsidRPr="00731FE2">
        <w:rPr>
          <w:rFonts w:ascii="Times New Roman" w:eastAsia="Times New Roman" w:hAnsi="Times New Roman" w:cs="Times New Roman"/>
          <w:b/>
          <w:color w:val="000000"/>
          <w:szCs w:val="24"/>
        </w:rPr>
        <w:t xml:space="preserve">Динамика общей площади жилых помещений </w:t>
      </w:r>
      <w:r w:rsidRPr="00731FE2">
        <w:rPr>
          <w:rFonts w:ascii="Times New Roman" w:hAnsi="Times New Roman" w:cs="Times New Roman"/>
          <w:b/>
          <w:bCs/>
          <w:color w:val="000000" w:themeColor="text1"/>
          <w:szCs w:val="24"/>
        </w:rPr>
        <w:t>городского округа</w:t>
      </w:r>
      <w:r w:rsidR="007C46CA" w:rsidRPr="00731FE2">
        <w:rPr>
          <w:rFonts w:ascii="Times New Roman" w:hAnsi="Times New Roman" w:cs="Times New Roman"/>
          <w:b/>
          <w:bCs/>
          <w:color w:val="000000" w:themeColor="text1"/>
          <w:szCs w:val="24"/>
        </w:rPr>
        <w:t xml:space="preserve"> города-курорта Кисловодска за </w:t>
      </w:r>
      <w:r w:rsidRPr="00731FE2">
        <w:rPr>
          <w:rFonts w:ascii="Times New Roman" w:hAnsi="Times New Roman" w:cs="Times New Roman"/>
          <w:b/>
          <w:bCs/>
          <w:color w:val="000000" w:themeColor="text1"/>
          <w:szCs w:val="24"/>
        </w:rPr>
        <w:t>период 2019-2022 гг., тыс. м</w:t>
      </w:r>
      <w:proofErr w:type="gramStart"/>
      <w:r w:rsidRPr="00731FE2">
        <w:rPr>
          <w:rFonts w:ascii="Times New Roman" w:hAnsi="Times New Roman" w:cs="Times New Roman"/>
          <w:b/>
          <w:bCs/>
          <w:color w:val="000000" w:themeColor="text1"/>
          <w:szCs w:val="24"/>
          <w:vertAlign w:val="superscript"/>
        </w:rPr>
        <w:t>2</w:t>
      </w:r>
      <w:proofErr w:type="gramEnd"/>
    </w:p>
    <w:p w14:paraId="42490A1E" w14:textId="77777777" w:rsidR="00171AA8" w:rsidRPr="00731FE2" w:rsidRDefault="00171AA8" w:rsidP="007C46CA">
      <w:pPr>
        <w:spacing w:line="240" w:lineRule="auto"/>
        <w:rPr>
          <w:rFonts w:ascii="Times New Roman" w:hAnsi="Times New Roman" w:cs="Times New Roman"/>
          <w:szCs w:val="24"/>
        </w:rPr>
      </w:pPr>
    </w:p>
    <w:p w14:paraId="0715E829"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В жилищном фонде городского округа города-курорта Кисловодска (как и в целом в Ставропольском крае) преобладает частный жилой фонд – 95,7%, при этом в собственности граждан всего 88,2%, что заметно ниже общекраевого уровня (таблица ниже). Напротив – доля жилья в муниципальной и иной собственности немного выше, чем в целом по краю.</w:t>
      </w:r>
    </w:p>
    <w:p w14:paraId="6E781667" w14:textId="77777777" w:rsidR="00171AA8" w:rsidRPr="00731FE2" w:rsidRDefault="00171AA8">
      <w:pPr>
        <w:pBdr>
          <w:top w:val="none" w:sz="4" w:space="0" w:color="000000"/>
          <w:left w:val="none" w:sz="4" w:space="0" w:color="000000"/>
          <w:bottom w:val="none" w:sz="4" w:space="0" w:color="000000"/>
          <w:right w:val="none" w:sz="4" w:space="0" w:color="000000"/>
        </w:pBdr>
        <w:rPr>
          <w:rFonts w:ascii="Times New Roman" w:hAnsi="Times New Roman" w:cs="Times New Roman"/>
        </w:rPr>
      </w:pPr>
    </w:p>
    <w:p w14:paraId="10005F63" w14:textId="77777777" w:rsidR="00171AA8" w:rsidRPr="00731FE2" w:rsidRDefault="007935AB">
      <w:pPr>
        <w:pStyle w:val="af3"/>
        <w:rPr>
          <w:sz w:val="24"/>
          <w:szCs w:val="24"/>
        </w:rPr>
      </w:pPr>
      <w:r w:rsidRPr="00731FE2">
        <w:rPr>
          <w:sz w:val="24"/>
          <w:szCs w:val="24"/>
        </w:rPr>
        <w:t xml:space="preserve">Таблица </w:t>
      </w:r>
      <w:r w:rsidR="00D97880" w:rsidRPr="00731FE2">
        <w:rPr>
          <w:noProof/>
          <w:sz w:val="24"/>
          <w:szCs w:val="24"/>
        </w:rPr>
        <w:fldChar w:fldCharType="begin"/>
      </w:r>
      <w:r w:rsidR="00D97880" w:rsidRPr="00731FE2">
        <w:rPr>
          <w:noProof/>
          <w:sz w:val="24"/>
          <w:szCs w:val="24"/>
        </w:rPr>
        <w:instrText xml:space="preserve"> SEQ Таблица \* Arabic </w:instrText>
      </w:r>
      <w:r w:rsidR="00D97880" w:rsidRPr="00731FE2">
        <w:rPr>
          <w:noProof/>
          <w:sz w:val="24"/>
          <w:szCs w:val="24"/>
        </w:rPr>
        <w:fldChar w:fldCharType="separate"/>
      </w:r>
      <w:r w:rsidR="00C50915" w:rsidRPr="00731FE2">
        <w:rPr>
          <w:noProof/>
          <w:sz w:val="24"/>
          <w:szCs w:val="24"/>
        </w:rPr>
        <w:t>53</w:t>
      </w:r>
      <w:r w:rsidR="00D97880" w:rsidRPr="00731FE2">
        <w:rPr>
          <w:noProof/>
          <w:sz w:val="24"/>
          <w:szCs w:val="24"/>
        </w:rPr>
        <w:fldChar w:fldCharType="end"/>
      </w:r>
      <w:r w:rsidRPr="00731FE2">
        <w:rPr>
          <w:sz w:val="24"/>
          <w:szCs w:val="24"/>
        </w:rPr>
        <w:t xml:space="preserve"> – Структура жилищного фонда Ставропольского края и городского округа города-курорта Кисловодска по формам собственности, 2022 г., %</w:t>
      </w:r>
      <w:r w:rsidRPr="00731FE2">
        <w:rPr>
          <w:rStyle w:val="afb"/>
          <w:sz w:val="24"/>
          <w:szCs w:val="24"/>
          <w:vertAlign w:val="superscript"/>
        </w:rPr>
        <w:footnoteReference w:id="91"/>
      </w:r>
    </w:p>
    <w:tbl>
      <w:tblPr>
        <w:tblStyle w:val="afe"/>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ayout w:type="fixed"/>
        <w:tblLook w:val="04A0" w:firstRow="1" w:lastRow="0" w:firstColumn="1" w:lastColumn="0" w:noHBand="0" w:noVBand="1"/>
      </w:tblPr>
      <w:tblGrid>
        <w:gridCol w:w="1701"/>
        <w:gridCol w:w="1559"/>
        <w:gridCol w:w="1559"/>
        <w:gridCol w:w="1701"/>
        <w:gridCol w:w="1843"/>
        <w:gridCol w:w="993"/>
      </w:tblGrid>
      <w:tr w:rsidR="00171AA8" w:rsidRPr="00731FE2" w14:paraId="57BFA536" w14:textId="77777777">
        <w:trPr>
          <w:trHeight w:val="20"/>
        </w:trPr>
        <w:tc>
          <w:tcPr>
            <w:tcW w:w="1701"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79581714" w14:textId="77777777" w:rsidR="00171AA8" w:rsidRPr="00731FE2" w:rsidRDefault="00171AA8">
            <w:pPr>
              <w:pStyle w:val="afc"/>
              <w:jc w:val="center"/>
              <w:rPr>
                <w:b/>
                <w:bCs/>
                <w:sz w:val="20"/>
                <w:szCs w:val="20"/>
              </w:rPr>
            </w:pPr>
          </w:p>
        </w:tc>
        <w:tc>
          <w:tcPr>
            <w:tcW w:w="1559" w:type="dxa"/>
            <w:tcBorders>
              <w:top w:val="single" w:sz="8"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437A4A5C"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b/>
                <w:bCs/>
                <w:sz w:val="20"/>
                <w:szCs w:val="20"/>
              </w:rPr>
            </w:pPr>
            <w:r w:rsidRPr="00731FE2">
              <w:rPr>
                <w:b/>
                <w:bCs/>
                <w:sz w:val="20"/>
                <w:szCs w:val="20"/>
              </w:rPr>
              <w:t>Частная собственность</w:t>
            </w:r>
          </w:p>
        </w:tc>
        <w:tc>
          <w:tcPr>
            <w:tcW w:w="1559" w:type="dxa"/>
            <w:tcBorders>
              <w:top w:val="single" w:sz="8"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45837B12"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b/>
                <w:bCs/>
                <w:sz w:val="20"/>
                <w:szCs w:val="20"/>
              </w:rPr>
            </w:pPr>
            <w:r w:rsidRPr="00731FE2">
              <w:rPr>
                <w:b/>
                <w:bCs/>
                <w:sz w:val="20"/>
                <w:szCs w:val="20"/>
              </w:rPr>
              <w:t>Из нее: в собственности граждан</w:t>
            </w:r>
          </w:p>
        </w:tc>
        <w:tc>
          <w:tcPr>
            <w:tcW w:w="1701" w:type="dxa"/>
            <w:tcBorders>
              <w:top w:val="single" w:sz="8"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60153E99"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b/>
                <w:bCs/>
                <w:sz w:val="20"/>
                <w:szCs w:val="20"/>
              </w:rPr>
            </w:pPr>
            <w:r w:rsidRPr="00731FE2">
              <w:rPr>
                <w:b/>
                <w:bCs/>
                <w:sz w:val="20"/>
                <w:szCs w:val="20"/>
              </w:rPr>
              <w:t>Государственная собственность</w:t>
            </w:r>
          </w:p>
        </w:tc>
        <w:tc>
          <w:tcPr>
            <w:tcW w:w="1843" w:type="dxa"/>
            <w:tcBorders>
              <w:top w:val="single" w:sz="8"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2A0F645A"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b/>
                <w:bCs/>
                <w:sz w:val="20"/>
                <w:szCs w:val="20"/>
              </w:rPr>
            </w:pPr>
            <w:r w:rsidRPr="00731FE2">
              <w:rPr>
                <w:b/>
                <w:bCs/>
                <w:sz w:val="20"/>
                <w:szCs w:val="20"/>
              </w:rPr>
              <w:t>Муниципальная собственность</w:t>
            </w:r>
          </w:p>
        </w:tc>
        <w:tc>
          <w:tcPr>
            <w:tcW w:w="993" w:type="dxa"/>
            <w:tcBorders>
              <w:top w:val="single" w:sz="8"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2B899256"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b/>
                <w:bCs/>
                <w:sz w:val="20"/>
                <w:szCs w:val="20"/>
              </w:rPr>
            </w:pPr>
            <w:r w:rsidRPr="00731FE2">
              <w:rPr>
                <w:b/>
                <w:bCs/>
                <w:sz w:val="20"/>
                <w:szCs w:val="20"/>
              </w:rPr>
              <w:t>Другая</w:t>
            </w:r>
          </w:p>
        </w:tc>
      </w:tr>
      <w:tr w:rsidR="00171AA8" w:rsidRPr="00731FE2" w14:paraId="218E8342" w14:textId="77777777">
        <w:trPr>
          <w:trHeight w:val="20"/>
        </w:trPr>
        <w:tc>
          <w:tcPr>
            <w:tcW w:w="1701"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6E31FCC1" w14:textId="77777777" w:rsidR="00171AA8" w:rsidRPr="00731FE2" w:rsidRDefault="007935AB">
            <w:pPr>
              <w:pStyle w:val="afc"/>
              <w:pBdr>
                <w:top w:val="none" w:sz="4" w:space="0" w:color="000000"/>
                <w:left w:val="none" w:sz="4" w:space="0" w:color="000000"/>
                <w:bottom w:val="none" w:sz="4" w:space="0" w:color="000000"/>
                <w:right w:val="none" w:sz="4" w:space="0" w:color="000000"/>
              </w:pBdr>
              <w:rPr>
                <w:sz w:val="20"/>
                <w:szCs w:val="20"/>
              </w:rPr>
            </w:pPr>
            <w:r w:rsidRPr="00731FE2">
              <w:rPr>
                <w:sz w:val="20"/>
                <w:szCs w:val="20"/>
              </w:rPr>
              <w:t>Ставропольский край, в т.ч.:</w:t>
            </w:r>
          </w:p>
        </w:tc>
        <w:tc>
          <w:tcPr>
            <w:tcW w:w="1559"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0EBA66C9"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both"/>
              <w:rPr>
                <w:sz w:val="20"/>
                <w:szCs w:val="20"/>
              </w:rPr>
            </w:pPr>
            <w:r w:rsidRPr="00731FE2">
              <w:rPr>
                <w:sz w:val="20"/>
                <w:szCs w:val="20"/>
              </w:rPr>
              <w:t>98,7</w:t>
            </w:r>
          </w:p>
        </w:tc>
        <w:tc>
          <w:tcPr>
            <w:tcW w:w="1559"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2005EB70" w14:textId="77777777" w:rsidR="00171AA8" w:rsidRPr="00731FE2" w:rsidRDefault="007935AB">
            <w:r w:rsidRPr="00731FE2">
              <w:t>-</w:t>
            </w:r>
          </w:p>
        </w:tc>
        <w:tc>
          <w:tcPr>
            <w:tcW w:w="1701"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1E25E6EE"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both"/>
              <w:rPr>
                <w:sz w:val="20"/>
                <w:szCs w:val="20"/>
              </w:rPr>
            </w:pPr>
            <w:r w:rsidRPr="00731FE2">
              <w:rPr>
                <w:sz w:val="20"/>
                <w:szCs w:val="20"/>
              </w:rPr>
              <w:t>1,0</w:t>
            </w:r>
          </w:p>
        </w:tc>
        <w:tc>
          <w:tcPr>
            <w:tcW w:w="1843"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2F18F7A0"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both"/>
              <w:rPr>
                <w:sz w:val="20"/>
                <w:szCs w:val="20"/>
              </w:rPr>
            </w:pPr>
            <w:r w:rsidRPr="00731FE2">
              <w:rPr>
                <w:sz w:val="20"/>
                <w:szCs w:val="20"/>
              </w:rPr>
              <w:t>1,0</w:t>
            </w:r>
          </w:p>
        </w:tc>
        <w:tc>
          <w:tcPr>
            <w:tcW w:w="993"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6BE093AF"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both"/>
              <w:rPr>
                <w:sz w:val="20"/>
                <w:szCs w:val="20"/>
              </w:rPr>
            </w:pPr>
            <w:r w:rsidRPr="00731FE2">
              <w:rPr>
                <w:sz w:val="20"/>
                <w:szCs w:val="20"/>
              </w:rPr>
              <w:t>0,3</w:t>
            </w:r>
          </w:p>
        </w:tc>
      </w:tr>
      <w:tr w:rsidR="00171AA8" w:rsidRPr="00731FE2" w14:paraId="55B5632E" w14:textId="77777777">
        <w:trPr>
          <w:trHeight w:val="20"/>
        </w:trPr>
        <w:tc>
          <w:tcPr>
            <w:tcW w:w="1701"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734E36FE" w14:textId="77777777" w:rsidR="00171AA8" w:rsidRPr="00731FE2" w:rsidRDefault="007935AB">
            <w:pPr>
              <w:pStyle w:val="afc"/>
              <w:pBdr>
                <w:top w:val="none" w:sz="4" w:space="0" w:color="000000"/>
                <w:left w:val="none" w:sz="4" w:space="0" w:color="000000"/>
                <w:bottom w:val="none" w:sz="4" w:space="0" w:color="000000"/>
                <w:right w:val="none" w:sz="4" w:space="0" w:color="000000"/>
              </w:pBdr>
              <w:rPr>
                <w:b/>
                <w:bCs/>
                <w:sz w:val="20"/>
                <w:szCs w:val="20"/>
              </w:rPr>
            </w:pPr>
            <w:r w:rsidRPr="00731FE2">
              <w:rPr>
                <w:b/>
                <w:bCs/>
                <w:sz w:val="20"/>
                <w:szCs w:val="20"/>
              </w:rPr>
              <w:t>город-курорт Кисловодск</w:t>
            </w:r>
          </w:p>
        </w:tc>
        <w:tc>
          <w:tcPr>
            <w:tcW w:w="1559"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1AA09B12" w14:textId="77777777" w:rsidR="00171AA8" w:rsidRPr="00731FE2" w:rsidRDefault="00171AA8"/>
        </w:tc>
        <w:tc>
          <w:tcPr>
            <w:tcW w:w="1559"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1E69D17D" w14:textId="77777777" w:rsidR="00171AA8" w:rsidRPr="00731FE2" w:rsidRDefault="00171AA8"/>
        </w:tc>
        <w:tc>
          <w:tcPr>
            <w:tcW w:w="1701"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5C967AFB" w14:textId="77777777" w:rsidR="00171AA8" w:rsidRPr="00731FE2" w:rsidRDefault="00171AA8"/>
        </w:tc>
        <w:tc>
          <w:tcPr>
            <w:tcW w:w="1843"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13F8CF78" w14:textId="77777777" w:rsidR="00171AA8" w:rsidRPr="00731FE2" w:rsidRDefault="00171AA8"/>
        </w:tc>
        <w:tc>
          <w:tcPr>
            <w:tcW w:w="993"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4B3BF1BB" w14:textId="77777777" w:rsidR="00171AA8" w:rsidRPr="00731FE2" w:rsidRDefault="00171AA8"/>
        </w:tc>
      </w:tr>
    </w:tbl>
    <w:p w14:paraId="2AAACA28" w14:textId="77777777" w:rsidR="00171AA8" w:rsidRPr="00731FE2" w:rsidRDefault="00171AA8">
      <w:pPr>
        <w:pBdr>
          <w:top w:val="none" w:sz="4" w:space="0" w:color="000000"/>
          <w:left w:val="none" w:sz="4" w:space="0" w:color="000000"/>
          <w:bottom w:val="none" w:sz="4" w:space="0" w:color="000000"/>
          <w:right w:val="none" w:sz="4" w:space="0" w:color="000000"/>
        </w:pBdr>
        <w:ind w:firstLine="0"/>
        <w:rPr>
          <w:rFonts w:ascii="Times New Roman" w:hAnsi="Times New Roman" w:cs="Times New Roman"/>
        </w:rPr>
      </w:pPr>
    </w:p>
    <w:p w14:paraId="751A3054"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Распределение общей площади жилищного фонда по зданиям различной капитальности приведено в таблице ниже.</w:t>
      </w:r>
    </w:p>
    <w:p w14:paraId="08BCF184" w14:textId="77777777" w:rsidR="00171AA8" w:rsidRPr="00731FE2" w:rsidRDefault="00171AA8">
      <w:pPr>
        <w:pBdr>
          <w:top w:val="none" w:sz="4" w:space="0" w:color="000000"/>
          <w:left w:val="none" w:sz="4" w:space="0" w:color="000000"/>
          <w:bottom w:val="none" w:sz="4" w:space="0" w:color="000000"/>
          <w:right w:val="none" w:sz="4" w:space="0" w:color="000000"/>
        </w:pBdr>
        <w:rPr>
          <w:rFonts w:ascii="Times New Roman" w:hAnsi="Times New Roman" w:cs="Times New Roman"/>
        </w:rPr>
      </w:pPr>
    </w:p>
    <w:p w14:paraId="538A171D" w14:textId="77777777" w:rsidR="00171AA8" w:rsidRPr="00731FE2" w:rsidRDefault="007935AB">
      <w:pPr>
        <w:pStyle w:val="af3"/>
        <w:rPr>
          <w:sz w:val="24"/>
          <w:szCs w:val="24"/>
        </w:rPr>
      </w:pPr>
      <w:r w:rsidRPr="00731FE2">
        <w:rPr>
          <w:sz w:val="24"/>
          <w:szCs w:val="24"/>
        </w:rPr>
        <w:t xml:space="preserve">Таблица </w:t>
      </w:r>
      <w:r w:rsidR="00D97880" w:rsidRPr="00731FE2">
        <w:rPr>
          <w:noProof/>
          <w:sz w:val="24"/>
          <w:szCs w:val="24"/>
        </w:rPr>
        <w:fldChar w:fldCharType="begin"/>
      </w:r>
      <w:r w:rsidR="00D97880" w:rsidRPr="00731FE2">
        <w:rPr>
          <w:noProof/>
          <w:sz w:val="24"/>
          <w:szCs w:val="24"/>
        </w:rPr>
        <w:instrText xml:space="preserve"> SEQ Таблица \* Arabic </w:instrText>
      </w:r>
      <w:r w:rsidR="00D97880" w:rsidRPr="00731FE2">
        <w:rPr>
          <w:noProof/>
          <w:sz w:val="24"/>
          <w:szCs w:val="24"/>
        </w:rPr>
        <w:fldChar w:fldCharType="separate"/>
      </w:r>
      <w:r w:rsidR="00C50915" w:rsidRPr="00731FE2">
        <w:rPr>
          <w:noProof/>
          <w:sz w:val="24"/>
          <w:szCs w:val="24"/>
        </w:rPr>
        <w:t>54</w:t>
      </w:r>
      <w:r w:rsidR="00D97880" w:rsidRPr="00731FE2">
        <w:rPr>
          <w:noProof/>
          <w:sz w:val="24"/>
          <w:szCs w:val="24"/>
        </w:rPr>
        <w:fldChar w:fldCharType="end"/>
      </w:r>
      <w:r w:rsidRPr="00731FE2">
        <w:rPr>
          <w:sz w:val="24"/>
          <w:szCs w:val="24"/>
        </w:rPr>
        <w:t xml:space="preserve"> – Распределение общей площади жилищного фонда по материалу стен городского округа города-курорта Кисловодска</w:t>
      </w:r>
      <w:r w:rsidRPr="00731FE2">
        <w:rPr>
          <w:rStyle w:val="afb"/>
          <w:sz w:val="24"/>
          <w:szCs w:val="24"/>
          <w:vertAlign w:val="superscript"/>
        </w:rPr>
        <w:footnoteReference w:id="92"/>
      </w:r>
    </w:p>
    <w:tbl>
      <w:tblPr>
        <w:tblStyle w:val="afe"/>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1339"/>
        <w:gridCol w:w="1211"/>
        <w:gridCol w:w="1124"/>
        <w:gridCol w:w="1247"/>
        <w:gridCol w:w="1250"/>
        <w:gridCol w:w="1199"/>
        <w:gridCol w:w="1200"/>
        <w:gridCol w:w="1001"/>
      </w:tblGrid>
      <w:tr w:rsidR="00171AA8" w:rsidRPr="00731FE2" w14:paraId="6F8CBD90" w14:textId="77777777">
        <w:trPr>
          <w:trHeight w:val="156"/>
        </w:trPr>
        <w:tc>
          <w:tcPr>
            <w:tcW w:w="1269" w:type="dxa"/>
            <w:vMerge w:val="restart"/>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73A59C48"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b/>
                <w:bCs/>
                <w:sz w:val="18"/>
                <w:szCs w:val="18"/>
              </w:rPr>
            </w:pPr>
            <w:r w:rsidRPr="00731FE2">
              <w:rPr>
                <w:b/>
                <w:bCs/>
                <w:sz w:val="18"/>
                <w:szCs w:val="18"/>
              </w:rPr>
              <w:t>Ед. измерения</w:t>
            </w:r>
          </w:p>
        </w:tc>
        <w:tc>
          <w:tcPr>
            <w:tcW w:w="7910" w:type="dxa"/>
            <w:gridSpan w:val="7"/>
            <w:tcBorders>
              <w:top w:val="single" w:sz="8"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336973D0"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b/>
                <w:bCs/>
                <w:sz w:val="18"/>
                <w:szCs w:val="18"/>
              </w:rPr>
            </w:pPr>
            <w:r w:rsidRPr="00731FE2">
              <w:rPr>
                <w:b/>
                <w:bCs/>
                <w:sz w:val="18"/>
                <w:szCs w:val="18"/>
              </w:rPr>
              <w:t>Площадь жилых помещений по материалу стен</w:t>
            </w:r>
          </w:p>
        </w:tc>
      </w:tr>
      <w:tr w:rsidR="00171AA8" w:rsidRPr="00731FE2" w14:paraId="07E824D7" w14:textId="77777777">
        <w:trPr>
          <w:trHeight w:val="331"/>
        </w:trPr>
        <w:tc>
          <w:tcPr>
            <w:tcW w:w="1443" w:type="dxa"/>
            <w:vMerge/>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055136B3" w14:textId="77777777" w:rsidR="00171AA8" w:rsidRPr="00731FE2" w:rsidRDefault="00171AA8"/>
        </w:tc>
        <w:tc>
          <w:tcPr>
            <w:tcW w:w="1229" w:type="dxa"/>
            <w:vMerge w:val="restart"/>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17AC2E65"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b/>
                <w:bCs/>
                <w:sz w:val="18"/>
                <w:szCs w:val="18"/>
              </w:rPr>
            </w:pPr>
            <w:r w:rsidRPr="00731FE2">
              <w:rPr>
                <w:b/>
                <w:bCs/>
                <w:sz w:val="18"/>
                <w:szCs w:val="18"/>
              </w:rPr>
              <w:t>каменных, кирпичных</w:t>
            </w:r>
          </w:p>
        </w:tc>
        <w:tc>
          <w:tcPr>
            <w:tcW w:w="958" w:type="dxa"/>
            <w:vMerge w:val="restart"/>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437CA977"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b/>
                <w:bCs/>
                <w:sz w:val="18"/>
                <w:szCs w:val="18"/>
              </w:rPr>
            </w:pPr>
            <w:r w:rsidRPr="00731FE2">
              <w:rPr>
                <w:b/>
                <w:bCs/>
                <w:sz w:val="18"/>
                <w:szCs w:val="18"/>
              </w:rPr>
              <w:t>панельных</w:t>
            </w:r>
          </w:p>
        </w:tc>
        <w:tc>
          <w:tcPr>
            <w:tcW w:w="1374" w:type="dxa"/>
            <w:vMerge w:val="restart"/>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207E0CBB"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b/>
                <w:bCs/>
                <w:sz w:val="18"/>
                <w:szCs w:val="18"/>
              </w:rPr>
            </w:pPr>
            <w:r w:rsidRPr="00731FE2">
              <w:rPr>
                <w:b/>
                <w:bCs/>
                <w:sz w:val="18"/>
                <w:szCs w:val="18"/>
              </w:rPr>
              <w:t>блочных</w:t>
            </w:r>
          </w:p>
        </w:tc>
        <w:tc>
          <w:tcPr>
            <w:tcW w:w="1004" w:type="dxa"/>
            <w:vMerge w:val="restart"/>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1EBB14E3"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b/>
                <w:bCs/>
                <w:sz w:val="18"/>
                <w:szCs w:val="18"/>
              </w:rPr>
            </w:pPr>
            <w:r w:rsidRPr="00731FE2">
              <w:rPr>
                <w:b/>
                <w:bCs/>
                <w:sz w:val="18"/>
                <w:szCs w:val="18"/>
              </w:rPr>
              <w:t>монолитных</w:t>
            </w:r>
          </w:p>
        </w:tc>
        <w:tc>
          <w:tcPr>
            <w:tcW w:w="1207" w:type="dxa"/>
            <w:vMerge w:val="restart"/>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0A1D0FBA"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b/>
                <w:bCs/>
                <w:sz w:val="18"/>
                <w:szCs w:val="18"/>
              </w:rPr>
            </w:pPr>
            <w:r w:rsidRPr="00731FE2">
              <w:rPr>
                <w:b/>
                <w:bCs/>
                <w:sz w:val="18"/>
                <w:szCs w:val="18"/>
              </w:rPr>
              <w:t>смешанных</w:t>
            </w:r>
          </w:p>
        </w:tc>
        <w:tc>
          <w:tcPr>
            <w:tcW w:w="1059" w:type="dxa"/>
            <w:vMerge w:val="restart"/>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17F0FC15"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b/>
                <w:bCs/>
                <w:sz w:val="18"/>
                <w:szCs w:val="18"/>
              </w:rPr>
            </w:pPr>
            <w:r w:rsidRPr="00731FE2">
              <w:rPr>
                <w:b/>
                <w:bCs/>
                <w:sz w:val="18"/>
                <w:szCs w:val="18"/>
              </w:rPr>
              <w:t>деревянных</w:t>
            </w:r>
          </w:p>
        </w:tc>
        <w:tc>
          <w:tcPr>
            <w:tcW w:w="1080" w:type="dxa"/>
            <w:vMerge w:val="restart"/>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13037D3C"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b/>
                <w:bCs/>
                <w:sz w:val="18"/>
                <w:szCs w:val="18"/>
              </w:rPr>
            </w:pPr>
            <w:r w:rsidRPr="00731FE2">
              <w:rPr>
                <w:b/>
                <w:bCs/>
                <w:sz w:val="18"/>
                <w:szCs w:val="18"/>
              </w:rPr>
              <w:t>прочих</w:t>
            </w:r>
          </w:p>
        </w:tc>
      </w:tr>
      <w:tr w:rsidR="00171AA8" w:rsidRPr="00731FE2" w14:paraId="7D7FA468" w14:textId="77777777">
        <w:trPr>
          <w:trHeight w:val="380"/>
        </w:trPr>
        <w:tc>
          <w:tcPr>
            <w:tcW w:w="1443"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6FDA0EDD"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both"/>
              <w:rPr>
                <w:b/>
                <w:bCs/>
                <w:sz w:val="18"/>
                <w:szCs w:val="18"/>
              </w:rPr>
            </w:pPr>
            <w:r w:rsidRPr="00731FE2">
              <w:rPr>
                <w:b/>
                <w:bCs/>
                <w:sz w:val="18"/>
                <w:szCs w:val="18"/>
              </w:rPr>
              <w:t>тыс. м</w:t>
            </w:r>
            <w:proofErr w:type="gramStart"/>
            <w:r w:rsidRPr="00731FE2">
              <w:rPr>
                <w:b/>
                <w:bCs/>
                <w:sz w:val="18"/>
                <w:szCs w:val="18"/>
                <w:vertAlign w:val="superscript"/>
              </w:rPr>
              <w:t>2</w:t>
            </w:r>
            <w:proofErr w:type="gramEnd"/>
          </w:p>
        </w:tc>
        <w:tc>
          <w:tcPr>
            <w:tcW w:w="1229"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1B792E6C"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sz w:val="18"/>
                <w:szCs w:val="18"/>
              </w:rPr>
            </w:pPr>
            <w:r w:rsidRPr="00731FE2">
              <w:rPr>
                <w:sz w:val="18"/>
                <w:szCs w:val="18"/>
              </w:rPr>
              <w:t>1252,3</w:t>
            </w:r>
          </w:p>
        </w:tc>
        <w:tc>
          <w:tcPr>
            <w:tcW w:w="958"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12F69BB6"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sz w:val="18"/>
                <w:szCs w:val="18"/>
              </w:rPr>
            </w:pPr>
            <w:r w:rsidRPr="00731FE2">
              <w:rPr>
                <w:sz w:val="18"/>
                <w:szCs w:val="18"/>
              </w:rPr>
              <w:t>486,5</w:t>
            </w:r>
          </w:p>
        </w:tc>
        <w:tc>
          <w:tcPr>
            <w:tcW w:w="1374"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19C04A9E"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sz w:val="18"/>
                <w:szCs w:val="18"/>
              </w:rPr>
            </w:pPr>
            <w:r w:rsidRPr="00731FE2">
              <w:rPr>
                <w:sz w:val="18"/>
                <w:szCs w:val="18"/>
              </w:rPr>
              <w:t>1,5</w:t>
            </w:r>
          </w:p>
        </w:tc>
        <w:tc>
          <w:tcPr>
            <w:tcW w:w="1004"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00FB5D67"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sz w:val="18"/>
                <w:szCs w:val="18"/>
              </w:rPr>
            </w:pPr>
            <w:r w:rsidRPr="00731FE2">
              <w:rPr>
                <w:sz w:val="18"/>
                <w:szCs w:val="18"/>
              </w:rPr>
              <w:t>-</w:t>
            </w:r>
          </w:p>
        </w:tc>
        <w:tc>
          <w:tcPr>
            <w:tcW w:w="1207"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463AEF44"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sz w:val="18"/>
                <w:szCs w:val="18"/>
              </w:rPr>
            </w:pPr>
            <w:r w:rsidRPr="00731FE2">
              <w:rPr>
                <w:sz w:val="18"/>
                <w:szCs w:val="18"/>
              </w:rPr>
              <w:t>-</w:t>
            </w:r>
          </w:p>
        </w:tc>
        <w:tc>
          <w:tcPr>
            <w:tcW w:w="1059"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5DF9DC0B"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sz w:val="18"/>
                <w:szCs w:val="18"/>
              </w:rPr>
            </w:pPr>
            <w:r w:rsidRPr="00731FE2">
              <w:rPr>
                <w:sz w:val="18"/>
                <w:szCs w:val="18"/>
              </w:rPr>
              <w:t>34</w:t>
            </w:r>
          </w:p>
        </w:tc>
        <w:tc>
          <w:tcPr>
            <w:tcW w:w="1080"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557B7D38"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sz w:val="18"/>
                <w:szCs w:val="18"/>
              </w:rPr>
            </w:pPr>
            <w:r w:rsidRPr="00731FE2">
              <w:rPr>
                <w:sz w:val="18"/>
                <w:szCs w:val="18"/>
              </w:rPr>
              <w:t>402,4</w:t>
            </w:r>
          </w:p>
        </w:tc>
      </w:tr>
      <w:tr w:rsidR="00171AA8" w:rsidRPr="00731FE2" w14:paraId="6646FDF5" w14:textId="77777777">
        <w:trPr>
          <w:trHeight w:val="405"/>
        </w:trPr>
        <w:tc>
          <w:tcPr>
            <w:tcW w:w="1443"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24D32C88"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both"/>
              <w:rPr>
                <w:b/>
                <w:bCs/>
                <w:sz w:val="18"/>
                <w:szCs w:val="18"/>
              </w:rPr>
            </w:pPr>
            <w:r w:rsidRPr="00731FE2">
              <w:rPr>
                <w:b/>
                <w:bCs/>
                <w:sz w:val="18"/>
                <w:szCs w:val="18"/>
              </w:rPr>
              <w:lastRenderedPageBreak/>
              <w:t>%</w:t>
            </w:r>
          </w:p>
        </w:tc>
        <w:tc>
          <w:tcPr>
            <w:tcW w:w="1229"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546035E5"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sz w:val="18"/>
                <w:szCs w:val="18"/>
              </w:rPr>
            </w:pPr>
            <w:r w:rsidRPr="00731FE2">
              <w:rPr>
                <w:sz w:val="18"/>
                <w:szCs w:val="18"/>
              </w:rPr>
              <w:t>57,5</w:t>
            </w:r>
          </w:p>
        </w:tc>
        <w:tc>
          <w:tcPr>
            <w:tcW w:w="958"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0A007FE4"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sz w:val="18"/>
                <w:szCs w:val="18"/>
              </w:rPr>
            </w:pPr>
            <w:r w:rsidRPr="00731FE2">
              <w:rPr>
                <w:sz w:val="18"/>
                <w:szCs w:val="18"/>
              </w:rPr>
              <w:t>22,4</w:t>
            </w:r>
          </w:p>
        </w:tc>
        <w:tc>
          <w:tcPr>
            <w:tcW w:w="1374"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5036FE4E"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sz w:val="18"/>
                <w:szCs w:val="18"/>
              </w:rPr>
            </w:pPr>
            <w:r w:rsidRPr="00731FE2">
              <w:rPr>
                <w:sz w:val="18"/>
                <w:szCs w:val="18"/>
              </w:rPr>
              <w:t>0,1</w:t>
            </w:r>
          </w:p>
        </w:tc>
        <w:tc>
          <w:tcPr>
            <w:tcW w:w="1004"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68C6E42E"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sz w:val="18"/>
                <w:szCs w:val="18"/>
              </w:rPr>
            </w:pPr>
            <w:r w:rsidRPr="00731FE2">
              <w:rPr>
                <w:sz w:val="18"/>
                <w:szCs w:val="18"/>
              </w:rPr>
              <w:t>-</w:t>
            </w:r>
          </w:p>
        </w:tc>
        <w:tc>
          <w:tcPr>
            <w:tcW w:w="1207"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312C9D7E"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sz w:val="18"/>
                <w:szCs w:val="18"/>
              </w:rPr>
            </w:pPr>
            <w:r w:rsidRPr="00731FE2">
              <w:rPr>
                <w:sz w:val="18"/>
                <w:szCs w:val="18"/>
              </w:rPr>
              <w:t>-</w:t>
            </w:r>
          </w:p>
        </w:tc>
        <w:tc>
          <w:tcPr>
            <w:tcW w:w="1059"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17A2AA04"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sz w:val="18"/>
                <w:szCs w:val="18"/>
              </w:rPr>
            </w:pPr>
            <w:r w:rsidRPr="00731FE2">
              <w:rPr>
                <w:sz w:val="18"/>
                <w:szCs w:val="18"/>
              </w:rPr>
              <w:t>1,6</w:t>
            </w:r>
          </w:p>
        </w:tc>
        <w:tc>
          <w:tcPr>
            <w:tcW w:w="1080"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56611A9E"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sz w:val="18"/>
                <w:szCs w:val="18"/>
              </w:rPr>
            </w:pPr>
            <w:r w:rsidRPr="00731FE2">
              <w:rPr>
                <w:sz w:val="18"/>
                <w:szCs w:val="18"/>
              </w:rPr>
              <w:t>18,5</w:t>
            </w:r>
          </w:p>
        </w:tc>
      </w:tr>
    </w:tbl>
    <w:p w14:paraId="4C8982AF" w14:textId="77777777" w:rsidR="00171AA8" w:rsidRPr="00731FE2" w:rsidRDefault="00171AA8">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p>
    <w:p w14:paraId="526755E1"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rPr>
      </w:pPr>
      <w:r w:rsidRPr="00731FE2">
        <w:rPr>
          <w:rFonts w:ascii="Times New Roman" w:hAnsi="Times New Roman" w:cs="Times New Roman"/>
          <w:color w:val="000000" w:themeColor="text1"/>
        </w:rPr>
        <w:t>Как показывают данные таблицы, 1,6% жилищного фонда городского округа находилось в деревянных строениях, что относительно ниже средних показателей по Ставропольскому краю (1,9%), а в капитальных зданиях (каменных, кирпичных, панельных и блочных) находилось 80% жилищного фонда городского округа, что существенно выше средних показателей по Ставропольскому краю (66,1%).</w:t>
      </w:r>
    </w:p>
    <w:p w14:paraId="61567E90"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rPr>
      </w:pPr>
      <w:r w:rsidRPr="00731FE2">
        <w:rPr>
          <w:rFonts w:ascii="Times New Roman" w:hAnsi="Times New Roman" w:cs="Times New Roman"/>
        </w:rPr>
        <w:t>Характеристика жилищного фонда городского округа по техническому состоянию приведена в таблице ниже.</w:t>
      </w:r>
    </w:p>
    <w:p w14:paraId="4E4254BF" w14:textId="77777777" w:rsidR="00171AA8" w:rsidRPr="00731FE2" w:rsidRDefault="00171AA8">
      <w:pPr>
        <w:pBdr>
          <w:top w:val="none" w:sz="4" w:space="0" w:color="000000"/>
          <w:left w:val="none" w:sz="4" w:space="0" w:color="000000"/>
          <w:bottom w:val="none" w:sz="4" w:space="0" w:color="000000"/>
          <w:right w:val="none" w:sz="4" w:space="0" w:color="000000"/>
        </w:pBdr>
        <w:rPr>
          <w:rFonts w:ascii="Times New Roman" w:hAnsi="Times New Roman" w:cs="Times New Roman"/>
        </w:rPr>
      </w:pPr>
    </w:p>
    <w:p w14:paraId="61B9F595" w14:textId="77777777" w:rsidR="00171AA8" w:rsidRPr="00731FE2" w:rsidRDefault="007935AB" w:rsidP="007C46CA">
      <w:pPr>
        <w:pStyle w:val="af3"/>
        <w:rPr>
          <w:sz w:val="24"/>
          <w:szCs w:val="24"/>
        </w:rPr>
      </w:pPr>
      <w:r w:rsidRPr="00731FE2">
        <w:rPr>
          <w:sz w:val="24"/>
          <w:szCs w:val="24"/>
        </w:rPr>
        <w:t xml:space="preserve">Таблица </w:t>
      </w:r>
      <w:r w:rsidR="00D97880" w:rsidRPr="00731FE2">
        <w:rPr>
          <w:noProof/>
          <w:sz w:val="24"/>
          <w:szCs w:val="24"/>
        </w:rPr>
        <w:fldChar w:fldCharType="begin"/>
      </w:r>
      <w:r w:rsidR="00D97880" w:rsidRPr="00731FE2">
        <w:rPr>
          <w:noProof/>
          <w:sz w:val="24"/>
          <w:szCs w:val="24"/>
        </w:rPr>
        <w:instrText xml:space="preserve"> SEQ Таблица \* Arabic </w:instrText>
      </w:r>
      <w:r w:rsidR="00D97880" w:rsidRPr="00731FE2">
        <w:rPr>
          <w:noProof/>
          <w:sz w:val="24"/>
          <w:szCs w:val="24"/>
        </w:rPr>
        <w:fldChar w:fldCharType="separate"/>
      </w:r>
      <w:r w:rsidR="00C50915" w:rsidRPr="00731FE2">
        <w:rPr>
          <w:noProof/>
          <w:sz w:val="24"/>
          <w:szCs w:val="24"/>
        </w:rPr>
        <w:t>55</w:t>
      </w:r>
      <w:r w:rsidR="00D97880" w:rsidRPr="00731FE2">
        <w:rPr>
          <w:noProof/>
          <w:sz w:val="24"/>
          <w:szCs w:val="24"/>
        </w:rPr>
        <w:fldChar w:fldCharType="end"/>
      </w:r>
      <w:r w:rsidRPr="00731FE2">
        <w:rPr>
          <w:sz w:val="24"/>
          <w:szCs w:val="24"/>
        </w:rPr>
        <w:t xml:space="preserve"> – Распределение общей площади жилищного фонда по проценту износа городского округа города-курорта Кисловодска</w:t>
      </w:r>
      <w:r w:rsidRPr="00731FE2">
        <w:rPr>
          <w:rStyle w:val="afb"/>
          <w:sz w:val="24"/>
          <w:szCs w:val="24"/>
          <w:vertAlign w:val="superscript"/>
        </w:rPr>
        <w:footnoteReference w:id="93"/>
      </w:r>
    </w:p>
    <w:tbl>
      <w:tblPr>
        <w:tblStyle w:val="afe"/>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1506"/>
        <w:gridCol w:w="1959"/>
        <w:gridCol w:w="1959"/>
        <w:gridCol w:w="1873"/>
        <w:gridCol w:w="2018"/>
      </w:tblGrid>
      <w:tr w:rsidR="00171AA8" w:rsidRPr="00731FE2" w14:paraId="2B0A890D" w14:textId="77777777">
        <w:trPr>
          <w:trHeight w:val="219"/>
          <w:tblHeader/>
        </w:trPr>
        <w:tc>
          <w:tcPr>
            <w:tcW w:w="1506" w:type="dxa"/>
            <w:vMerge w:val="restart"/>
            <w:tcBorders>
              <w:top w:val="single" w:sz="8" w:space="0" w:color="000000"/>
              <w:left w:val="single" w:sz="8" w:space="0" w:color="000000"/>
              <w:bottom w:val="single" w:sz="8" w:space="0" w:color="000000"/>
              <w:right w:val="single" w:sz="8" w:space="0" w:color="000000"/>
            </w:tcBorders>
            <w:tcMar>
              <w:top w:w="13" w:type="dxa"/>
              <w:left w:w="13" w:type="dxa"/>
              <w:bottom w:w="0" w:type="dxa"/>
              <w:right w:w="13" w:type="dxa"/>
            </w:tcMar>
            <w:vAlign w:val="center"/>
          </w:tcPr>
          <w:p w14:paraId="360F38EF"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b/>
                <w:bCs/>
                <w:sz w:val="20"/>
                <w:szCs w:val="20"/>
              </w:rPr>
            </w:pPr>
            <w:r w:rsidRPr="00731FE2">
              <w:rPr>
                <w:b/>
                <w:bCs/>
                <w:sz w:val="20"/>
                <w:szCs w:val="20"/>
              </w:rPr>
              <w:t>Ед. измерения</w:t>
            </w:r>
          </w:p>
        </w:tc>
        <w:tc>
          <w:tcPr>
            <w:tcW w:w="7809" w:type="dxa"/>
            <w:gridSpan w:val="4"/>
            <w:tcBorders>
              <w:top w:val="single" w:sz="8" w:space="0" w:color="000000"/>
              <w:left w:val="none" w:sz="4" w:space="0" w:color="000000"/>
              <w:bottom w:val="single" w:sz="8" w:space="0" w:color="000000"/>
              <w:right w:val="single" w:sz="8" w:space="0" w:color="000000"/>
            </w:tcBorders>
            <w:tcMar>
              <w:top w:w="13" w:type="dxa"/>
              <w:left w:w="13" w:type="dxa"/>
              <w:bottom w:w="0" w:type="dxa"/>
              <w:right w:w="13" w:type="dxa"/>
            </w:tcMar>
            <w:vAlign w:val="center"/>
          </w:tcPr>
          <w:p w14:paraId="01080092"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b/>
                <w:bCs/>
                <w:sz w:val="20"/>
                <w:szCs w:val="20"/>
              </w:rPr>
            </w:pPr>
            <w:r w:rsidRPr="00731FE2">
              <w:rPr>
                <w:b/>
                <w:bCs/>
                <w:sz w:val="20"/>
                <w:szCs w:val="20"/>
              </w:rPr>
              <w:t xml:space="preserve">Площадь жилых помещений по степени </w:t>
            </w:r>
            <w:r w:rsidR="007C46CA" w:rsidRPr="00731FE2">
              <w:rPr>
                <w:b/>
                <w:bCs/>
                <w:sz w:val="20"/>
                <w:szCs w:val="20"/>
              </w:rPr>
              <w:t>износа, %</w:t>
            </w:r>
          </w:p>
        </w:tc>
      </w:tr>
      <w:tr w:rsidR="00171AA8" w:rsidRPr="00731FE2" w14:paraId="560BC053" w14:textId="77777777">
        <w:trPr>
          <w:trHeight w:val="276"/>
        </w:trPr>
        <w:tc>
          <w:tcPr>
            <w:tcW w:w="1506" w:type="dxa"/>
            <w:vMerge/>
            <w:tcBorders>
              <w:top w:val="none" w:sz="4" w:space="0" w:color="000000"/>
              <w:left w:val="single" w:sz="8" w:space="0" w:color="000000"/>
              <w:bottom w:val="single" w:sz="8" w:space="0" w:color="000000"/>
              <w:right w:val="single" w:sz="8" w:space="0" w:color="000000"/>
            </w:tcBorders>
            <w:tcMar>
              <w:top w:w="13" w:type="dxa"/>
              <w:left w:w="13" w:type="dxa"/>
              <w:bottom w:w="0" w:type="dxa"/>
              <w:right w:w="13" w:type="dxa"/>
            </w:tcMar>
            <w:vAlign w:val="center"/>
          </w:tcPr>
          <w:p w14:paraId="4E38916A" w14:textId="77777777" w:rsidR="00171AA8" w:rsidRPr="00731FE2" w:rsidRDefault="00171AA8"/>
        </w:tc>
        <w:tc>
          <w:tcPr>
            <w:tcW w:w="1959" w:type="dxa"/>
            <w:vMerge w:val="restart"/>
            <w:tcBorders>
              <w:top w:val="none" w:sz="4" w:space="0" w:color="000000"/>
              <w:left w:val="none" w:sz="4" w:space="0" w:color="000000"/>
              <w:bottom w:val="single" w:sz="8" w:space="0" w:color="000000"/>
              <w:right w:val="single" w:sz="8" w:space="0" w:color="000000"/>
            </w:tcBorders>
            <w:tcMar>
              <w:top w:w="13" w:type="dxa"/>
              <w:left w:w="13" w:type="dxa"/>
              <w:bottom w:w="0" w:type="dxa"/>
              <w:right w:w="13" w:type="dxa"/>
            </w:tcMar>
            <w:vAlign w:val="center"/>
          </w:tcPr>
          <w:p w14:paraId="6B2F5EBE"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b/>
                <w:bCs/>
                <w:sz w:val="20"/>
                <w:szCs w:val="20"/>
              </w:rPr>
            </w:pPr>
            <w:r w:rsidRPr="00731FE2">
              <w:rPr>
                <w:b/>
                <w:bCs/>
                <w:sz w:val="20"/>
                <w:szCs w:val="20"/>
              </w:rPr>
              <w:t>0-30</w:t>
            </w:r>
          </w:p>
        </w:tc>
        <w:tc>
          <w:tcPr>
            <w:tcW w:w="1959" w:type="dxa"/>
            <w:vMerge w:val="restart"/>
            <w:tcBorders>
              <w:top w:val="none" w:sz="4" w:space="0" w:color="000000"/>
              <w:left w:val="none" w:sz="4" w:space="0" w:color="000000"/>
              <w:bottom w:val="single" w:sz="8" w:space="0" w:color="000000"/>
              <w:right w:val="single" w:sz="8" w:space="0" w:color="000000"/>
            </w:tcBorders>
            <w:tcMar>
              <w:top w:w="13" w:type="dxa"/>
              <w:left w:w="13" w:type="dxa"/>
              <w:bottom w:w="0" w:type="dxa"/>
              <w:right w:w="13" w:type="dxa"/>
            </w:tcMar>
            <w:vAlign w:val="center"/>
          </w:tcPr>
          <w:p w14:paraId="13528F45"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b/>
                <w:bCs/>
                <w:sz w:val="20"/>
                <w:szCs w:val="20"/>
              </w:rPr>
            </w:pPr>
            <w:r w:rsidRPr="00731FE2">
              <w:rPr>
                <w:b/>
                <w:bCs/>
                <w:sz w:val="20"/>
                <w:szCs w:val="20"/>
              </w:rPr>
              <w:t>31-65</w:t>
            </w:r>
          </w:p>
        </w:tc>
        <w:tc>
          <w:tcPr>
            <w:tcW w:w="1873" w:type="dxa"/>
            <w:vMerge w:val="restart"/>
            <w:tcBorders>
              <w:top w:val="none" w:sz="4" w:space="0" w:color="000000"/>
              <w:left w:val="none" w:sz="4" w:space="0" w:color="000000"/>
              <w:bottom w:val="single" w:sz="8" w:space="0" w:color="000000"/>
              <w:right w:val="single" w:sz="8" w:space="0" w:color="000000"/>
            </w:tcBorders>
            <w:tcMar>
              <w:top w:w="13" w:type="dxa"/>
              <w:left w:w="13" w:type="dxa"/>
              <w:bottom w:w="0" w:type="dxa"/>
              <w:right w:w="13" w:type="dxa"/>
            </w:tcMar>
            <w:vAlign w:val="center"/>
          </w:tcPr>
          <w:p w14:paraId="614F0170"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b/>
                <w:bCs/>
                <w:sz w:val="20"/>
                <w:szCs w:val="20"/>
              </w:rPr>
            </w:pPr>
            <w:r w:rsidRPr="00731FE2">
              <w:rPr>
                <w:b/>
                <w:bCs/>
                <w:sz w:val="20"/>
                <w:szCs w:val="20"/>
              </w:rPr>
              <w:t>66-70</w:t>
            </w:r>
          </w:p>
        </w:tc>
        <w:tc>
          <w:tcPr>
            <w:tcW w:w="2018" w:type="dxa"/>
            <w:vMerge w:val="restart"/>
            <w:tcBorders>
              <w:top w:val="none" w:sz="4" w:space="0" w:color="000000"/>
              <w:left w:val="none" w:sz="4" w:space="0" w:color="000000"/>
              <w:bottom w:val="single" w:sz="8" w:space="0" w:color="000000"/>
              <w:right w:val="single" w:sz="8" w:space="0" w:color="000000"/>
            </w:tcBorders>
            <w:tcMar>
              <w:top w:w="13" w:type="dxa"/>
              <w:left w:w="13" w:type="dxa"/>
              <w:bottom w:w="0" w:type="dxa"/>
              <w:right w:w="13" w:type="dxa"/>
            </w:tcMar>
            <w:vAlign w:val="center"/>
          </w:tcPr>
          <w:p w14:paraId="2EF70872"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b/>
                <w:bCs/>
                <w:sz w:val="20"/>
                <w:szCs w:val="20"/>
              </w:rPr>
            </w:pPr>
            <w:r w:rsidRPr="00731FE2">
              <w:rPr>
                <w:b/>
                <w:bCs/>
                <w:sz w:val="20"/>
                <w:szCs w:val="20"/>
              </w:rPr>
              <w:t>Более 70</w:t>
            </w:r>
          </w:p>
        </w:tc>
      </w:tr>
      <w:tr w:rsidR="00171AA8" w:rsidRPr="00731FE2" w14:paraId="33D72E55" w14:textId="77777777">
        <w:trPr>
          <w:trHeight w:val="392"/>
        </w:trPr>
        <w:tc>
          <w:tcPr>
            <w:tcW w:w="1506" w:type="dxa"/>
            <w:tcBorders>
              <w:top w:val="none" w:sz="4" w:space="0" w:color="000000"/>
              <w:left w:val="single" w:sz="8" w:space="0" w:color="000000"/>
              <w:bottom w:val="single" w:sz="8" w:space="0" w:color="000000"/>
              <w:right w:val="single" w:sz="8" w:space="0" w:color="000000"/>
            </w:tcBorders>
            <w:tcMar>
              <w:top w:w="13" w:type="dxa"/>
              <w:left w:w="13" w:type="dxa"/>
              <w:bottom w:w="0" w:type="dxa"/>
              <w:right w:w="13" w:type="dxa"/>
            </w:tcMar>
            <w:vAlign w:val="center"/>
          </w:tcPr>
          <w:p w14:paraId="1BDE11DD"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b/>
                <w:bCs/>
                <w:sz w:val="20"/>
                <w:szCs w:val="20"/>
              </w:rPr>
            </w:pPr>
            <w:r w:rsidRPr="00731FE2">
              <w:rPr>
                <w:b/>
                <w:bCs/>
                <w:sz w:val="20"/>
                <w:szCs w:val="20"/>
              </w:rPr>
              <w:t>тыс. м</w:t>
            </w:r>
            <w:proofErr w:type="gramStart"/>
            <w:r w:rsidRPr="00731FE2">
              <w:rPr>
                <w:b/>
                <w:bCs/>
                <w:sz w:val="20"/>
                <w:szCs w:val="20"/>
                <w:vertAlign w:val="superscript"/>
              </w:rPr>
              <w:t>2</w:t>
            </w:r>
            <w:proofErr w:type="gramEnd"/>
          </w:p>
        </w:tc>
        <w:tc>
          <w:tcPr>
            <w:tcW w:w="1959" w:type="dxa"/>
            <w:tcBorders>
              <w:top w:val="none" w:sz="4" w:space="0" w:color="000000"/>
              <w:left w:val="none" w:sz="4" w:space="0" w:color="000000"/>
              <w:bottom w:val="single" w:sz="8" w:space="0" w:color="000000"/>
              <w:right w:val="single" w:sz="8" w:space="0" w:color="000000"/>
            </w:tcBorders>
            <w:tcMar>
              <w:top w:w="13" w:type="dxa"/>
              <w:left w:w="13" w:type="dxa"/>
              <w:bottom w:w="0" w:type="dxa"/>
              <w:right w:w="13" w:type="dxa"/>
            </w:tcMar>
            <w:vAlign w:val="center"/>
          </w:tcPr>
          <w:p w14:paraId="315FF95E"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sz w:val="20"/>
                <w:szCs w:val="20"/>
              </w:rPr>
            </w:pPr>
            <w:r w:rsidRPr="00731FE2">
              <w:rPr>
                <w:sz w:val="20"/>
                <w:szCs w:val="20"/>
              </w:rPr>
              <w:t>1679,4</w:t>
            </w:r>
          </w:p>
        </w:tc>
        <w:tc>
          <w:tcPr>
            <w:tcW w:w="1959" w:type="dxa"/>
            <w:tcBorders>
              <w:top w:val="none" w:sz="4" w:space="0" w:color="000000"/>
              <w:left w:val="none" w:sz="4" w:space="0" w:color="000000"/>
              <w:bottom w:val="single" w:sz="8" w:space="0" w:color="000000"/>
              <w:right w:val="single" w:sz="8" w:space="0" w:color="000000"/>
            </w:tcBorders>
            <w:tcMar>
              <w:top w:w="13" w:type="dxa"/>
              <w:left w:w="13" w:type="dxa"/>
              <w:bottom w:w="0" w:type="dxa"/>
              <w:right w:w="13" w:type="dxa"/>
            </w:tcMar>
            <w:vAlign w:val="center"/>
          </w:tcPr>
          <w:p w14:paraId="49EE59D3"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sz w:val="20"/>
                <w:szCs w:val="20"/>
              </w:rPr>
            </w:pPr>
            <w:r w:rsidRPr="00731FE2">
              <w:rPr>
                <w:sz w:val="20"/>
                <w:szCs w:val="20"/>
              </w:rPr>
              <w:t>346,0</w:t>
            </w:r>
          </w:p>
        </w:tc>
        <w:tc>
          <w:tcPr>
            <w:tcW w:w="1873" w:type="dxa"/>
            <w:tcBorders>
              <w:top w:val="none" w:sz="4" w:space="0" w:color="000000"/>
              <w:left w:val="none" w:sz="4" w:space="0" w:color="000000"/>
              <w:bottom w:val="single" w:sz="8" w:space="0" w:color="000000"/>
              <w:right w:val="single" w:sz="8" w:space="0" w:color="000000"/>
            </w:tcBorders>
            <w:tcMar>
              <w:top w:w="13" w:type="dxa"/>
              <w:left w:w="13" w:type="dxa"/>
              <w:bottom w:w="0" w:type="dxa"/>
              <w:right w:w="13" w:type="dxa"/>
            </w:tcMar>
            <w:vAlign w:val="center"/>
          </w:tcPr>
          <w:p w14:paraId="57F8C2DA"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sz w:val="20"/>
                <w:szCs w:val="20"/>
              </w:rPr>
            </w:pPr>
            <w:r w:rsidRPr="00731FE2">
              <w:rPr>
                <w:sz w:val="20"/>
                <w:szCs w:val="20"/>
              </w:rPr>
              <w:t>133,0</w:t>
            </w:r>
          </w:p>
        </w:tc>
        <w:tc>
          <w:tcPr>
            <w:tcW w:w="2018" w:type="dxa"/>
            <w:tcBorders>
              <w:top w:val="none" w:sz="4" w:space="0" w:color="000000"/>
              <w:left w:val="none" w:sz="4" w:space="0" w:color="000000"/>
              <w:bottom w:val="single" w:sz="8" w:space="0" w:color="000000"/>
              <w:right w:val="single" w:sz="8" w:space="0" w:color="000000"/>
            </w:tcBorders>
            <w:tcMar>
              <w:top w:w="13" w:type="dxa"/>
              <w:left w:w="13" w:type="dxa"/>
              <w:bottom w:w="0" w:type="dxa"/>
              <w:right w:w="13" w:type="dxa"/>
            </w:tcMar>
            <w:vAlign w:val="center"/>
          </w:tcPr>
          <w:p w14:paraId="7D57FECE"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sz w:val="20"/>
                <w:szCs w:val="20"/>
              </w:rPr>
            </w:pPr>
            <w:r w:rsidRPr="00731FE2">
              <w:rPr>
                <w:sz w:val="20"/>
                <w:szCs w:val="20"/>
              </w:rPr>
              <w:t>-</w:t>
            </w:r>
          </w:p>
        </w:tc>
      </w:tr>
      <w:tr w:rsidR="00171AA8" w:rsidRPr="00731FE2" w14:paraId="26931C48" w14:textId="77777777">
        <w:trPr>
          <w:trHeight w:val="392"/>
        </w:trPr>
        <w:tc>
          <w:tcPr>
            <w:tcW w:w="1506" w:type="dxa"/>
            <w:tcBorders>
              <w:top w:val="none" w:sz="4" w:space="0" w:color="000000"/>
              <w:left w:val="single" w:sz="8" w:space="0" w:color="000000"/>
              <w:bottom w:val="single" w:sz="8" w:space="0" w:color="000000"/>
              <w:right w:val="single" w:sz="8" w:space="0" w:color="000000"/>
            </w:tcBorders>
            <w:tcMar>
              <w:top w:w="13" w:type="dxa"/>
              <w:left w:w="13" w:type="dxa"/>
              <w:bottom w:w="0" w:type="dxa"/>
              <w:right w:w="13" w:type="dxa"/>
            </w:tcMar>
            <w:vAlign w:val="center"/>
          </w:tcPr>
          <w:p w14:paraId="61193257"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b/>
                <w:bCs/>
                <w:sz w:val="20"/>
                <w:szCs w:val="20"/>
              </w:rPr>
            </w:pPr>
            <w:r w:rsidRPr="00731FE2">
              <w:rPr>
                <w:b/>
                <w:bCs/>
                <w:sz w:val="20"/>
                <w:szCs w:val="20"/>
              </w:rPr>
              <w:t>%</w:t>
            </w:r>
          </w:p>
        </w:tc>
        <w:tc>
          <w:tcPr>
            <w:tcW w:w="1959" w:type="dxa"/>
            <w:tcBorders>
              <w:top w:val="none" w:sz="4" w:space="0" w:color="000000"/>
              <w:left w:val="none" w:sz="4" w:space="0" w:color="000000"/>
              <w:bottom w:val="single" w:sz="8" w:space="0" w:color="000000"/>
              <w:right w:val="single" w:sz="8" w:space="0" w:color="000000"/>
            </w:tcBorders>
            <w:tcMar>
              <w:top w:w="13" w:type="dxa"/>
              <w:left w:w="13" w:type="dxa"/>
              <w:bottom w:w="0" w:type="dxa"/>
              <w:right w:w="13" w:type="dxa"/>
            </w:tcMar>
            <w:vAlign w:val="center"/>
          </w:tcPr>
          <w:p w14:paraId="1EAD2E0A"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sz w:val="20"/>
                <w:szCs w:val="20"/>
              </w:rPr>
            </w:pPr>
            <w:r w:rsidRPr="00731FE2">
              <w:rPr>
                <w:sz w:val="20"/>
                <w:szCs w:val="20"/>
              </w:rPr>
              <w:t>77,2</w:t>
            </w:r>
          </w:p>
        </w:tc>
        <w:tc>
          <w:tcPr>
            <w:tcW w:w="1959" w:type="dxa"/>
            <w:tcBorders>
              <w:top w:val="none" w:sz="4" w:space="0" w:color="000000"/>
              <w:left w:val="none" w:sz="4" w:space="0" w:color="000000"/>
              <w:bottom w:val="single" w:sz="8" w:space="0" w:color="000000"/>
              <w:right w:val="single" w:sz="8" w:space="0" w:color="000000"/>
            </w:tcBorders>
            <w:tcMar>
              <w:top w:w="13" w:type="dxa"/>
              <w:left w:w="13" w:type="dxa"/>
              <w:bottom w:w="0" w:type="dxa"/>
              <w:right w:w="13" w:type="dxa"/>
            </w:tcMar>
            <w:vAlign w:val="center"/>
          </w:tcPr>
          <w:p w14:paraId="74CC07D4"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sz w:val="20"/>
                <w:szCs w:val="20"/>
              </w:rPr>
            </w:pPr>
            <w:r w:rsidRPr="00731FE2">
              <w:rPr>
                <w:sz w:val="20"/>
                <w:szCs w:val="20"/>
              </w:rPr>
              <w:t>15,9</w:t>
            </w:r>
          </w:p>
        </w:tc>
        <w:tc>
          <w:tcPr>
            <w:tcW w:w="1873" w:type="dxa"/>
            <w:tcBorders>
              <w:top w:val="none" w:sz="4" w:space="0" w:color="000000"/>
              <w:left w:val="none" w:sz="4" w:space="0" w:color="000000"/>
              <w:bottom w:val="single" w:sz="8" w:space="0" w:color="000000"/>
              <w:right w:val="single" w:sz="8" w:space="0" w:color="000000"/>
            </w:tcBorders>
            <w:tcMar>
              <w:top w:w="13" w:type="dxa"/>
              <w:left w:w="13" w:type="dxa"/>
              <w:bottom w:w="0" w:type="dxa"/>
              <w:right w:w="13" w:type="dxa"/>
            </w:tcMar>
            <w:vAlign w:val="center"/>
          </w:tcPr>
          <w:p w14:paraId="525533D2"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sz w:val="20"/>
                <w:szCs w:val="20"/>
              </w:rPr>
            </w:pPr>
            <w:r w:rsidRPr="00731FE2">
              <w:rPr>
                <w:sz w:val="20"/>
                <w:szCs w:val="20"/>
              </w:rPr>
              <w:t>6,1</w:t>
            </w:r>
          </w:p>
        </w:tc>
        <w:tc>
          <w:tcPr>
            <w:tcW w:w="2018" w:type="dxa"/>
            <w:tcBorders>
              <w:top w:val="none" w:sz="4" w:space="0" w:color="000000"/>
              <w:left w:val="none" w:sz="4" w:space="0" w:color="000000"/>
              <w:bottom w:val="single" w:sz="8" w:space="0" w:color="000000"/>
              <w:right w:val="single" w:sz="8" w:space="0" w:color="000000"/>
            </w:tcBorders>
            <w:tcMar>
              <w:top w:w="13" w:type="dxa"/>
              <w:left w:w="13" w:type="dxa"/>
              <w:bottom w:w="0" w:type="dxa"/>
              <w:right w:w="13" w:type="dxa"/>
            </w:tcMar>
            <w:vAlign w:val="center"/>
          </w:tcPr>
          <w:p w14:paraId="29B1D708"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sz w:val="20"/>
                <w:szCs w:val="20"/>
              </w:rPr>
            </w:pPr>
            <w:r w:rsidRPr="00731FE2">
              <w:rPr>
                <w:sz w:val="20"/>
                <w:szCs w:val="20"/>
              </w:rPr>
              <w:t>-</w:t>
            </w:r>
          </w:p>
        </w:tc>
      </w:tr>
    </w:tbl>
    <w:p w14:paraId="74B0CFD8" w14:textId="77777777" w:rsidR="00171AA8" w:rsidRPr="00731FE2" w:rsidRDefault="00171AA8">
      <w:pPr>
        <w:pBdr>
          <w:top w:val="none" w:sz="4" w:space="0" w:color="000000"/>
          <w:left w:val="none" w:sz="4" w:space="0" w:color="000000"/>
          <w:bottom w:val="none" w:sz="4" w:space="0" w:color="000000"/>
          <w:right w:val="none" w:sz="4" w:space="0" w:color="000000"/>
        </w:pBdr>
        <w:ind w:firstLine="0"/>
        <w:rPr>
          <w:rFonts w:ascii="Times New Roman" w:hAnsi="Times New Roman" w:cs="Times New Roman"/>
        </w:rPr>
      </w:pPr>
    </w:p>
    <w:p w14:paraId="3E227B91"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Таким образом, общая площадь жилых помещений в жилых зданиях с процентом износа до 30%, которые находятся в хорошем и удовлетворительном техническом состоянии и подлежат сохранению на расчетный срок, составляла 1679,4 тыс. м</w:t>
      </w:r>
      <w:proofErr w:type="gramStart"/>
      <w:r w:rsidRPr="00731FE2">
        <w:rPr>
          <w:rFonts w:ascii="Times New Roman" w:hAnsi="Times New Roman" w:cs="Times New Roman"/>
          <w:color w:val="000000" w:themeColor="text1"/>
          <w:vertAlign w:val="superscript"/>
        </w:rPr>
        <w:t>2</w:t>
      </w:r>
      <w:proofErr w:type="gramEnd"/>
      <w:r w:rsidRPr="00731FE2">
        <w:rPr>
          <w:rFonts w:ascii="Times New Roman" w:hAnsi="Times New Roman" w:cs="Times New Roman"/>
          <w:color w:val="000000" w:themeColor="text1"/>
        </w:rPr>
        <w:t xml:space="preserve"> или 77,2% площади всего жилищного фонда городского округа. Данный показатель был существенно выше средних показателей по Ставропольскому краю (59,7%).</w:t>
      </w:r>
    </w:p>
    <w:p w14:paraId="4BEB4B4F"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rPr>
      </w:pPr>
      <w:r w:rsidRPr="00731FE2">
        <w:rPr>
          <w:rFonts w:ascii="Times New Roman" w:hAnsi="Times New Roman" w:cs="Times New Roman"/>
          <w:color w:val="000000" w:themeColor="text1"/>
        </w:rPr>
        <w:t>Общая площадь жилых помещений в жилых зданиях с процентом износа от 31 до 65% составляла 346,0 тыс. м</w:t>
      </w:r>
      <w:proofErr w:type="gramStart"/>
      <w:r w:rsidRPr="00731FE2">
        <w:rPr>
          <w:rFonts w:ascii="Times New Roman" w:hAnsi="Times New Roman" w:cs="Times New Roman"/>
          <w:color w:val="000000" w:themeColor="text1"/>
          <w:vertAlign w:val="superscript"/>
        </w:rPr>
        <w:t>2</w:t>
      </w:r>
      <w:proofErr w:type="gramEnd"/>
      <w:r w:rsidRPr="00731FE2">
        <w:rPr>
          <w:rFonts w:ascii="Times New Roman" w:hAnsi="Times New Roman" w:cs="Times New Roman"/>
          <w:color w:val="000000" w:themeColor="text1"/>
        </w:rPr>
        <w:t xml:space="preserve"> или 15,9% от всего жилищного фонда городского округа. Эти жилые здания в настоящее время находятся не вполне в удовлетворительном состоянии и в перс</w:t>
      </w:r>
      <w:r w:rsidRPr="00731FE2">
        <w:rPr>
          <w:rFonts w:ascii="Times New Roman" w:hAnsi="Times New Roman" w:cs="Times New Roman"/>
        </w:rPr>
        <w:t>пективе должны подлежать модернизации и частичной убыли.</w:t>
      </w:r>
    </w:p>
    <w:p w14:paraId="1CB4E32D"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rPr>
      </w:pPr>
      <w:r w:rsidRPr="00731FE2">
        <w:rPr>
          <w:rFonts w:ascii="Times New Roman" w:hAnsi="Times New Roman" w:cs="Times New Roman"/>
        </w:rPr>
        <w:t>Площадь ветхого жилищного фонда городского округа города-курорта Кисловодска на начало 2010 г. составляла 2,7 тыс. м</w:t>
      </w:r>
      <w:proofErr w:type="gramStart"/>
      <w:r w:rsidRPr="00731FE2">
        <w:rPr>
          <w:rFonts w:ascii="Times New Roman" w:hAnsi="Times New Roman" w:cs="Times New Roman"/>
          <w:vertAlign w:val="superscript"/>
        </w:rPr>
        <w:t>2</w:t>
      </w:r>
      <w:proofErr w:type="gramEnd"/>
      <w:r w:rsidRPr="00731FE2">
        <w:rPr>
          <w:rFonts w:ascii="Times New Roman" w:hAnsi="Times New Roman" w:cs="Times New Roman"/>
        </w:rPr>
        <w:t xml:space="preserve"> (0,1% от общей площади жилфонда), а площадь аварийного жилищного фонда – 24,3 тыс. м</w:t>
      </w:r>
      <w:r w:rsidRPr="00731FE2">
        <w:rPr>
          <w:rFonts w:ascii="Times New Roman" w:hAnsi="Times New Roman" w:cs="Times New Roman"/>
          <w:vertAlign w:val="superscript"/>
        </w:rPr>
        <w:t>2</w:t>
      </w:r>
      <w:r w:rsidRPr="00731FE2">
        <w:rPr>
          <w:rFonts w:ascii="Times New Roman" w:hAnsi="Times New Roman" w:cs="Times New Roman"/>
        </w:rPr>
        <w:t xml:space="preserve"> (0,9% от общей площади жилищного фонда).</w:t>
      </w:r>
    </w:p>
    <w:p w14:paraId="627C0824"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rPr>
      </w:pPr>
      <w:r w:rsidRPr="00731FE2">
        <w:rPr>
          <w:rFonts w:ascii="Times New Roman" w:hAnsi="Times New Roman" w:cs="Times New Roman"/>
        </w:rPr>
        <w:t>Аварийный жилищный фонд в проектируемые периоды подлежит убыли в первую очередь.</w:t>
      </w:r>
    </w:p>
    <w:p w14:paraId="4B514244" w14:textId="77777777" w:rsidR="00171AA8" w:rsidRPr="00731FE2" w:rsidRDefault="00171AA8">
      <w:pPr>
        <w:pBdr>
          <w:top w:val="none" w:sz="4" w:space="0" w:color="000000"/>
          <w:left w:val="none" w:sz="4" w:space="0" w:color="000000"/>
          <w:bottom w:val="none" w:sz="4" w:space="0" w:color="000000"/>
          <w:right w:val="none" w:sz="4" w:space="0" w:color="000000"/>
        </w:pBdr>
        <w:rPr>
          <w:rFonts w:ascii="Times New Roman" w:hAnsi="Times New Roman" w:cs="Times New Roman"/>
        </w:rPr>
      </w:pPr>
    </w:p>
    <w:p w14:paraId="076807D8" w14:textId="77777777" w:rsidR="00171AA8" w:rsidRPr="00731FE2" w:rsidRDefault="007935AB">
      <w:pPr>
        <w:pStyle w:val="af3"/>
        <w:rPr>
          <w:sz w:val="24"/>
          <w:szCs w:val="24"/>
        </w:rPr>
      </w:pPr>
      <w:r w:rsidRPr="00731FE2">
        <w:rPr>
          <w:sz w:val="24"/>
          <w:szCs w:val="24"/>
        </w:rPr>
        <w:t xml:space="preserve">Таблица </w:t>
      </w:r>
      <w:r w:rsidR="00D97880" w:rsidRPr="00731FE2">
        <w:rPr>
          <w:noProof/>
          <w:sz w:val="24"/>
          <w:szCs w:val="24"/>
        </w:rPr>
        <w:fldChar w:fldCharType="begin"/>
      </w:r>
      <w:r w:rsidR="00D97880" w:rsidRPr="00731FE2">
        <w:rPr>
          <w:noProof/>
          <w:sz w:val="24"/>
          <w:szCs w:val="24"/>
        </w:rPr>
        <w:instrText xml:space="preserve"> SEQ Таблица \* Arabic </w:instrText>
      </w:r>
      <w:r w:rsidR="00D97880" w:rsidRPr="00731FE2">
        <w:rPr>
          <w:noProof/>
          <w:sz w:val="24"/>
          <w:szCs w:val="24"/>
        </w:rPr>
        <w:fldChar w:fldCharType="separate"/>
      </w:r>
      <w:r w:rsidR="00C50915" w:rsidRPr="00731FE2">
        <w:rPr>
          <w:noProof/>
          <w:sz w:val="24"/>
          <w:szCs w:val="24"/>
        </w:rPr>
        <w:t>56</w:t>
      </w:r>
      <w:r w:rsidR="00D97880" w:rsidRPr="00731FE2">
        <w:rPr>
          <w:noProof/>
          <w:sz w:val="24"/>
          <w:szCs w:val="24"/>
        </w:rPr>
        <w:fldChar w:fldCharType="end"/>
      </w:r>
      <w:r w:rsidRPr="00731FE2">
        <w:rPr>
          <w:sz w:val="24"/>
          <w:szCs w:val="24"/>
        </w:rPr>
        <w:t xml:space="preserve"> – Площадь аварийного и ветхого жилищного фонда городского округа города-курорта Кисловодска, 2023 г.</w:t>
      </w:r>
      <w:r w:rsidRPr="00731FE2">
        <w:rPr>
          <w:rStyle w:val="afb"/>
          <w:sz w:val="24"/>
          <w:szCs w:val="24"/>
          <w:vertAlign w:val="superscript"/>
        </w:rPr>
        <w:footnoteReference w:id="94"/>
      </w:r>
    </w:p>
    <w:tbl>
      <w:tblPr>
        <w:tblStyle w:val="afe"/>
        <w:tblW w:w="0" w:type="auto"/>
        <w:tblLayout w:type="fixed"/>
        <w:tblLook w:val="04A0" w:firstRow="1" w:lastRow="0" w:firstColumn="1" w:lastColumn="0" w:noHBand="0" w:noVBand="1"/>
      </w:tblPr>
      <w:tblGrid>
        <w:gridCol w:w="1932"/>
        <w:gridCol w:w="1294"/>
        <w:gridCol w:w="1969"/>
        <w:gridCol w:w="1772"/>
        <w:gridCol w:w="2364"/>
      </w:tblGrid>
      <w:tr w:rsidR="00171AA8" w:rsidRPr="00731FE2" w14:paraId="322DACC4" w14:textId="77777777">
        <w:trPr>
          <w:trHeight w:val="1266"/>
        </w:trPr>
        <w:tc>
          <w:tcPr>
            <w:tcW w:w="1932" w:type="dxa"/>
            <w:vAlign w:val="center"/>
          </w:tcPr>
          <w:p w14:paraId="3D01947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b/>
                <w:bCs/>
                <w:sz w:val="20"/>
                <w:szCs w:val="20"/>
              </w:rPr>
            </w:pPr>
            <w:r w:rsidRPr="00731FE2">
              <w:rPr>
                <w:rFonts w:ascii="Times New Roman" w:hAnsi="Times New Roman" w:cs="Times New Roman"/>
                <w:b/>
                <w:bCs/>
                <w:sz w:val="20"/>
                <w:szCs w:val="20"/>
              </w:rPr>
              <w:t>Территория</w:t>
            </w:r>
          </w:p>
        </w:tc>
        <w:tc>
          <w:tcPr>
            <w:tcW w:w="1294" w:type="dxa"/>
            <w:vAlign w:val="center"/>
          </w:tcPr>
          <w:p w14:paraId="00A9F03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b/>
                <w:bCs/>
                <w:sz w:val="20"/>
                <w:szCs w:val="20"/>
                <w:vertAlign w:val="superscript"/>
              </w:rPr>
            </w:pPr>
            <w:r w:rsidRPr="00731FE2">
              <w:rPr>
                <w:rFonts w:ascii="Times New Roman" w:hAnsi="Times New Roman" w:cs="Times New Roman"/>
                <w:b/>
                <w:bCs/>
                <w:sz w:val="20"/>
                <w:szCs w:val="20"/>
              </w:rPr>
              <w:t>Общая площадь жилья, тыс. м</w:t>
            </w:r>
            <w:proofErr w:type="gramStart"/>
            <w:r w:rsidRPr="00731FE2">
              <w:rPr>
                <w:rFonts w:ascii="Times New Roman" w:hAnsi="Times New Roman" w:cs="Times New Roman"/>
                <w:b/>
                <w:bCs/>
                <w:sz w:val="20"/>
                <w:szCs w:val="20"/>
                <w:vertAlign w:val="superscript"/>
              </w:rPr>
              <w:t>2</w:t>
            </w:r>
            <w:proofErr w:type="gramEnd"/>
          </w:p>
        </w:tc>
        <w:tc>
          <w:tcPr>
            <w:tcW w:w="1969" w:type="dxa"/>
            <w:vAlign w:val="center"/>
          </w:tcPr>
          <w:p w14:paraId="1270B33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b/>
                <w:bCs/>
                <w:sz w:val="20"/>
                <w:szCs w:val="20"/>
              </w:rPr>
            </w:pPr>
            <w:r w:rsidRPr="00731FE2">
              <w:rPr>
                <w:rFonts w:ascii="Times New Roman" w:hAnsi="Times New Roman" w:cs="Times New Roman"/>
                <w:b/>
                <w:bCs/>
                <w:sz w:val="20"/>
                <w:szCs w:val="20"/>
              </w:rPr>
              <w:t>Площадь ветхого жилищного фонда, тыс. м</w:t>
            </w:r>
            <w:proofErr w:type="gramStart"/>
            <w:r w:rsidRPr="00731FE2">
              <w:rPr>
                <w:rFonts w:ascii="Times New Roman" w:hAnsi="Times New Roman" w:cs="Times New Roman"/>
                <w:b/>
                <w:bCs/>
                <w:sz w:val="20"/>
                <w:szCs w:val="20"/>
                <w:vertAlign w:val="superscript"/>
              </w:rPr>
              <w:t>2</w:t>
            </w:r>
            <w:proofErr w:type="gramEnd"/>
          </w:p>
        </w:tc>
        <w:tc>
          <w:tcPr>
            <w:tcW w:w="1772" w:type="dxa"/>
            <w:vAlign w:val="center"/>
          </w:tcPr>
          <w:p w14:paraId="0898F56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b/>
                <w:bCs/>
                <w:sz w:val="20"/>
                <w:szCs w:val="20"/>
              </w:rPr>
            </w:pPr>
            <w:r w:rsidRPr="00731FE2">
              <w:rPr>
                <w:rFonts w:ascii="Times New Roman" w:hAnsi="Times New Roman" w:cs="Times New Roman"/>
                <w:b/>
                <w:bCs/>
                <w:sz w:val="20"/>
                <w:szCs w:val="20"/>
              </w:rPr>
              <w:t>Площадь аварийного жилищного фонда, тыс. м</w:t>
            </w:r>
            <w:proofErr w:type="gramStart"/>
            <w:r w:rsidRPr="00731FE2">
              <w:rPr>
                <w:rFonts w:ascii="Times New Roman" w:hAnsi="Times New Roman" w:cs="Times New Roman"/>
                <w:b/>
                <w:bCs/>
                <w:sz w:val="20"/>
                <w:szCs w:val="20"/>
                <w:vertAlign w:val="superscript"/>
              </w:rPr>
              <w:t>2</w:t>
            </w:r>
            <w:proofErr w:type="gramEnd"/>
          </w:p>
        </w:tc>
        <w:tc>
          <w:tcPr>
            <w:tcW w:w="2364" w:type="dxa"/>
            <w:vAlign w:val="center"/>
          </w:tcPr>
          <w:p w14:paraId="6F0BC91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b/>
                <w:bCs/>
                <w:sz w:val="20"/>
                <w:szCs w:val="20"/>
              </w:rPr>
            </w:pPr>
            <w:r w:rsidRPr="00731FE2">
              <w:rPr>
                <w:rFonts w:ascii="Times New Roman" w:hAnsi="Times New Roman" w:cs="Times New Roman"/>
                <w:b/>
                <w:bCs/>
                <w:sz w:val="20"/>
                <w:szCs w:val="20"/>
              </w:rPr>
              <w:t>Удельный вес ветхого и аварийного жилищного фонда в общей площади жилья, %</w:t>
            </w:r>
          </w:p>
        </w:tc>
      </w:tr>
      <w:tr w:rsidR="00171AA8" w:rsidRPr="00731FE2" w14:paraId="1283C789" w14:textId="77777777">
        <w:trPr>
          <w:trHeight w:val="904"/>
        </w:trPr>
        <w:tc>
          <w:tcPr>
            <w:tcW w:w="1932" w:type="dxa"/>
            <w:vAlign w:val="center"/>
          </w:tcPr>
          <w:p w14:paraId="1D49A8C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hAnsi="Times New Roman" w:cs="Times New Roman"/>
                <w:b/>
                <w:bCs/>
                <w:sz w:val="20"/>
                <w:szCs w:val="20"/>
              </w:rPr>
            </w:pPr>
            <w:r w:rsidRPr="00731FE2">
              <w:rPr>
                <w:rFonts w:ascii="Times New Roman" w:hAnsi="Times New Roman" w:cs="Times New Roman"/>
                <w:b/>
                <w:bCs/>
                <w:sz w:val="20"/>
                <w:szCs w:val="20"/>
              </w:rPr>
              <w:t>Городской округ город-курорт Кисловодска – всего</w:t>
            </w:r>
          </w:p>
        </w:tc>
        <w:tc>
          <w:tcPr>
            <w:tcW w:w="1294" w:type="dxa"/>
            <w:vAlign w:val="center"/>
          </w:tcPr>
          <w:p w14:paraId="2DDBCDE1" w14:textId="77777777" w:rsidR="00171AA8" w:rsidRPr="00731FE2" w:rsidRDefault="00171AA8">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p>
        </w:tc>
        <w:tc>
          <w:tcPr>
            <w:tcW w:w="1969" w:type="dxa"/>
            <w:vAlign w:val="center"/>
          </w:tcPr>
          <w:p w14:paraId="6475FB71" w14:textId="77777777" w:rsidR="00171AA8" w:rsidRPr="00731FE2" w:rsidRDefault="00171AA8">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p>
        </w:tc>
        <w:tc>
          <w:tcPr>
            <w:tcW w:w="1772" w:type="dxa"/>
            <w:vAlign w:val="center"/>
          </w:tcPr>
          <w:p w14:paraId="1D3BFB90" w14:textId="77777777" w:rsidR="00171AA8" w:rsidRPr="00731FE2" w:rsidRDefault="00171AA8">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p>
        </w:tc>
        <w:tc>
          <w:tcPr>
            <w:tcW w:w="2364" w:type="dxa"/>
            <w:vAlign w:val="center"/>
          </w:tcPr>
          <w:p w14:paraId="212E912A" w14:textId="77777777" w:rsidR="00171AA8" w:rsidRPr="00731FE2" w:rsidRDefault="00171AA8">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p>
        </w:tc>
      </w:tr>
    </w:tbl>
    <w:p w14:paraId="648A8CFD"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rPr>
      </w:pPr>
      <w:r w:rsidRPr="00731FE2">
        <w:rPr>
          <w:rFonts w:ascii="Times New Roman" w:hAnsi="Times New Roman" w:cs="Times New Roman"/>
        </w:rPr>
        <w:lastRenderedPageBreak/>
        <w:t>Жилищный фонд города-курорта Кисловодска характеризуется высоким уровнем благоустройства (таблица ниже). Показатели уровня благоустройства жилищного фонда городского округа выше показателей Ставропольского края по всем видам инженерного оборудования, кроме оборудования жилых помещений газом.</w:t>
      </w:r>
    </w:p>
    <w:p w14:paraId="324FA4EC" w14:textId="77777777" w:rsidR="00171AA8" w:rsidRPr="00731FE2" w:rsidRDefault="007935AB">
      <w:pPr>
        <w:pStyle w:val="af3"/>
        <w:rPr>
          <w:sz w:val="24"/>
          <w:szCs w:val="24"/>
        </w:rPr>
      </w:pPr>
      <w:r w:rsidRPr="00731FE2">
        <w:rPr>
          <w:sz w:val="24"/>
          <w:szCs w:val="24"/>
        </w:rPr>
        <w:t xml:space="preserve">Таблица </w:t>
      </w:r>
      <w:r w:rsidR="00D97880" w:rsidRPr="00731FE2">
        <w:rPr>
          <w:noProof/>
          <w:sz w:val="24"/>
          <w:szCs w:val="24"/>
        </w:rPr>
        <w:fldChar w:fldCharType="begin"/>
      </w:r>
      <w:r w:rsidR="00D97880" w:rsidRPr="00731FE2">
        <w:rPr>
          <w:noProof/>
          <w:sz w:val="24"/>
          <w:szCs w:val="24"/>
        </w:rPr>
        <w:instrText xml:space="preserve"> SEQ Таблица \* Arabic </w:instrText>
      </w:r>
      <w:r w:rsidR="00D97880" w:rsidRPr="00731FE2">
        <w:rPr>
          <w:noProof/>
          <w:sz w:val="24"/>
          <w:szCs w:val="24"/>
        </w:rPr>
        <w:fldChar w:fldCharType="separate"/>
      </w:r>
      <w:r w:rsidR="00C50915" w:rsidRPr="00731FE2">
        <w:rPr>
          <w:noProof/>
          <w:sz w:val="24"/>
          <w:szCs w:val="24"/>
        </w:rPr>
        <w:t>57</w:t>
      </w:r>
      <w:r w:rsidR="00D97880" w:rsidRPr="00731FE2">
        <w:rPr>
          <w:noProof/>
          <w:sz w:val="24"/>
          <w:szCs w:val="24"/>
        </w:rPr>
        <w:fldChar w:fldCharType="end"/>
      </w:r>
      <w:r w:rsidRPr="00731FE2">
        <w:rPr>
          <w:sz w:val="24"/>
          <w:szCs w:val="24"/>
        </w:rPr>
        <w:t xml:space="preserve"> – Уровень благоустройства жилищного фонда Ставропольского края и города-курорта Кисловодска, 2022 г., %</w:t>
      </w:r>
      <w:r w:rsidRPr="00731FE2">
        <w:rPr>
          <w:rStyle w:val="afb"/>
          <w:sz w:val="24"/>
          <w:szCs w:val="24"/>
          <w:vertAlign w:val="superscript"/>
        </w:rPr>
        <w:footnoteReference w:id="95"/>
      </w:r>
    </w:p>
    <w:tbl>
      <w:tblPr>
        <w:tblStyle w:val="afe"/>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ayout w:type="fixed"/>
        <w:tblLook w:val="04A0" w:firstRow="1" w:lastRow="0" w:firstColumn="1" w:lastColumn="0" w:noHBand="0" w:noVBand="1"/>
      </w:tblPr>
      <w:tblGrid>
        <w:gridCol w:w="1842"/>
        <w:gridCol w:w="1101"/>
        <w:gridCol w:w="1167"/>
        <w:gridCol w:w="1031"/>
        <w:gridCol w:w="1095"/>
        <w:gridCol w:w="1066"/>
        <w:gridCol w:w="918"/>
        <w:gridCol w:w="1135"/>
      </w:tblGrid>
      <w:tr w:rsidR="00171AA8" w:rsidRPr="00731FE2" w14:paraId="155AF858" w14:textId="77777777">
        <w:trPr>
          <w:trHeight w:val="389"/>
        </w:trPr>
        <w:tc>
          <w:tcPr>
            <w:tcW w:w="1842" w:type="dxa"/>
            <w:vMerge w:val="restart"/>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3476B180"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sz w:val="18"/>
                <w:szCs w:val="18"/>
              </w:rPr>
            </w:pPr>
            <w:r w:rsidRPr="00731FE2">
              <w:rPr>
                <w:sz w:val="18"/>
                <w:szCs w:val="18"/>
              </w:rPr>
              <w:t>Ед. измерения</w:t>
            </w:r>
          </w:p>
        </w:tc>
        <w:tc>
          <w:tcPr>
            <w:tcW w:w="7513" w:type="dxa"/>
            <w:gridSpan w:val="7"/>
            <w:tcBorders>
              <w:top w:val="single" w:sz="8"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48844514"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sz w:val="18"/>
                <w:szCs w:val="18"/>
              </w:rPr>
            </w:pPr>
            <w:r w:rsidRPr="00731FE2">
              <w:rPr>
                <w:sz w:val="18"/>
                <w:szCs w:val="18"/>
              </w:rPr>
              <w:t>Оборудование жилищного фонда</w:t>
            </w:r>
          </w:p>
        </w:tc>
      </w:tr>
      <w:tr w:rsidR="00171AA8" w:rsidRPr="00731FE2" w14:paraId="60AE458E" w14:textId="77777777">
        <w:trPr>
          <w:trHeight w:val="1855"/>
        </w:trPr>
        <w:tc>
          <w:tcPr>
            <w:tcW w:w="1842" w:type="dxa"/>
            <w:vMerge/>
            <w:tcBorders>
              <w:top w:val="single" w:sz="8" w:space="0" w:color="000000"/>
              <w:left w:val="single" w:sz="8" w:space="0" w:color="000000"/>
              <w:bottom w:val="single" w:sz="8" w:space="0" w:color="000000"/>
              <w:right w:val="single" w:sz="8" w:space="0" w:color="000000"/>
            </w:tcBorders>
          </w:tcPr>
          <w:p w14:paraId="5DF606E8" w14:textId="77777777" w:rsidR="00171AA8" w:rsidRPr="00731FE2" w:rsidRDefault="00171AA8"/>
        </w:tc>
        <w:tc>
          <w:tcPr>
            <w:tcW w:w="1101"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4273E24D"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sz w:val="18"/>
                <w:szCs w:val="18"/>
              </w:rPr>
            </w:pPr>
            <w:r w:rsidRPr="00731FE2">
              <w:rPr>
                <w:sz w:val="18"/>
                <w:szCs w:val="18"/>
              </w:rPr>
              <w:t>водопроводом</w:t>
            </w:r>
          </w:p>
        </w:tc>
        <w:tc>
          <w:tcPr>
            <w:tcW w:w="1167" w:type="dxa"/>
            <w:tcBorders>
              <w:top w:val="single" w:sz="8"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72BD6CA6"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sz w:val="18"/>
                <w:szCs w:val="18"/>
              </w:rPr>
            </w:pPr>
            <w:r w:rsidRPr="00731FE2">
              <w:rPr>
                <w:sz w:val="18"/>
                <w:szCs w:val="18"/>
              </w:rPr>
              <w:t>канализацией</w:t>
            </w:r>
          </w:p>
        </w:tc>
        <w:tc>
          <w:tcPr>
            <w:tcW w:w="1031" w:type="dxa"/>
            <w:tcBorders>
              <w:top w:val="single" w:sz="8"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67FE23D9"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sz w:val="18"/>
                <w:szCs w:val="18"/>
              </w:rPr>
            </w:pPr>
            <w:r w:rsidRPr="00731FE2">
              <w:rPr>
                <w:sz w:val="18"/>
                <w:szCs w:val="18"/>
              </w:rPr>
              <w:t>отоплением</w:t>
            </w:r>
          </w:p>
        </w:tc>
        <w:tc>
          <w:tcPr>
            <w:tcW w:w="1095" w:type="dxa"/>
            <w:tcBorders>
              <w:top w:val="single" w:sz="8"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1BB22C4D"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sz w:val="18"/>
                <w:szCs w:val="18"/>
              </w:rPr>
            </w:pPr>
            <w:r w:rsidRPr="00731FE2">
              <w:rPr>
                <w:sz w:val="18"/>
                <w:szCs w:val="18"/>
              </w:rPr>
              <w:t>горячим водоснабжением</w:t>
            </w:r>
          </w:p>
        </w:tc>
        <w:tc>
          <w:tcPr>
            <w:tcW w:w="1066" w:type="dxa"/>
            <w:tcBorders>
              <w:top w:val="single" w:sz="8"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1D5A521A"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sz w:val="18"/>
                <w:szCs w:val="18"/>
              </w:rPr>
            </w:pPr>
            <w:r w:rsidRPr="00731FE2">
              <w:rPr>
                <w:sz w:val="18"/>
                <w:szCs w:val="18"/>
              </w:rPr>
              <w:t>ваннами (душем)</w:t>
            </w:r>
          </w:p>
        </w:tc>
        <w:tc>
          <w:tcPr>
            <w:tcW w:w="918" w:type="dxa"/>
            <w:tcBorders>
              <w:top w:val="single" w:sz="8"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2D0C77E7"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sz w:val="18"/>
                <w:szCs w:val="18"/>
              </w:rPr>
            </w:pPr>
            <w:r w:rsidRPr="00731FE2">
              <w:rPr>
                <w:sz w:val="18"/>
                <w:szCs w:val="18"/>
              </w:rPr>
              <w:t>газом</w:t>
            </w:r>
          </w:p>
        </w:tc>
        <w:tc>
          <w:tcPr>
            <w:tcW w:w="1135" w:type="dxa"/>
            <w:tcBorders>
              <w:top w:val="single" w:sz="8"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5260A532"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sz w:val="18"/>
                <w:szCs w:val="18"/>
              </w:rPr>
            </w:pPr>
            <w:r w:rsidRPr="00731FE2">
              <w:rPr>
                <w:sz w:val="18"/>
                <w:szCs w:val="18"/>
              </w:rPr>
              <w:t>напольными электрическими плитами</w:t>
            </w:r>
          </w:p>
        </w:tc>
      </w:tr>
      <w:tr w:rsidR="00171AA8" w:rsidRPr="00731FE2" w14:paraId="16A994B1" w14:textId="77777777">
        <w:tc>
          <w:tcPr>
            <w:tcW w:w="9355" w:type="dxa"/>
            <w:gridSpan w:val="8"/>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tcPr>
          <w:p w14:paraId="18AF42FD"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sz w:val="18"/>
                <w:szCs w:val="18"/>
              </w:rPr>
            </w:pPr>
            <w:r w:rsidRPr="00731FE2">
              <w:rPr>
                <w:sz w:val="18"/>
                <w:szCs w:val="18"/>
              </w:rPr>
              <w:t> Ставропольский край, в т.ч.:</w:t>
            </w:r>
          </w:p>
        </w:tc>
      </w:tr>
      <w:tr w:rsidR="00171AA8" w:rsidRPr="00731FE2" w14:paraId="4F0A8354" w14:textId="77777777">
        <w:tc>
          <w:tcPr>
            <w:tcW w:w="1842"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02BA074C"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sz w:val="18"/>
                <w:szCs w:val="18"/>
              </w:rPr>
            </w:pPr>
            <w:r w:rsidRPr="00731FE2">
              <w:rPr>
                <w:sz w:val="18"/>
                <w:szCs w:val="18"/>
              </w:rPr>
              <w:t>тыс. м</w:t>
            </w:r>
            <w:proofErr w:type="gramStart"/>
            <w:r w:rsidRPr="00731FE2">
              <w:rPr>
                <w:sz w:val="18"/>
                <w:szCs w:val="18"/>
                <w:vertAlign w:val="superscript"/>
              </w:rPr>
              <w:t>2</w:t>
            </w:r>
            <w:proofErr w:type="gramEnd"/>
          </w:p>
        </w:tc>
        <w:tc>
          <w:tcPr>
            <w:tcW w:w="1101"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35B69C8B" w14:textId="77777777" w:rsidR="00171AA8" w:rsidRPr="00731FE2" w:rsidRDefault="007935AB">
            <w:pPr>
              <w:ind w:firstLine="0"/>
              <w:jc w:val="center"/>
            </w:pPr>
            <w:r w:rsidRPr="00731FE2">
              <w:t>-</w:t>
            </w:r>
          </w:p>
        </w:tc>
        <w:tc>
          <w:tcPr>
            <w:tcW w:w="1167"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39A0413D" w14:textId="77777777" w:rsidR="00171AA8" w:rsidRPr="00731FE2" w:rsidRDefault="007935AB">
            <w:pPr>
              <w:ind w:firstLine="0"/>
              <w:jc w:val="center"/>
            </w:pPr>
            <w:r w:rsidRPr="00731FE2">
              <w:t>-</w:t>
            </w:r>
          </w:p>
        </w:tc>
        <w:tc>
          <w:tcPr>
            <w:tcW w:w="1031"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53F3893E" w14:textId="77777777" w:rsidR="00171AA8" w:rsidRPr="00731FE2" w:rsidRDefault="007935AB">
            <w:pPr>
              <w:ind w:firstLine="0"/>
              <w:jc w:val="center"/>
            </w:pPr>
            <w:r w:rsidRPr="00731FE2">
              <w:t>-</w:t>
            </w:r>
          </w:p>
        </w:tc>
        <w:tc>
          <w:tcPr>
            <w:tcW w:w="1095"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40E4DF53" w14:textId="77777777" w:rsidR="00171AA8" w:rsidRPr="00731FE2" w:rsidRDefault="007935AB">
            <w:pPr>
              <w:ind w:firstLine="0"/>
              <w:jc w:val="center"/>
            </w:pPr>
            <w:r w:rsidRPr="00731FE2">
              <w:t>-</w:t>
            </w:r>
          </w:p>
        </w:tc>
        <w:tc>
          <w:tcPr>
            <w:tcW w:w="1066"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275837CA" w14:textId="77777777" w:rsidR="00171AA8" w:rsidRPr="00731FE2" w:rsidRDefault="007935AB">
            <w:pPr>
              <w:ind w:firstLine="0"/>
              <w:jc w:val="center"/>
            </w:pPr>
            <w:r w:rsidRPr="00731FE2">
              <w:t>-</w:t>
            </w:r>
          </w:p>
        </w:tc>
        <w:tc>
          <w:tcPr>
            <w:tcW w:w="918"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7E61028A" w14:textId="77777777" w:rsidR="00171AA8" w:rsidRPr="00731FE2" w:rsidRDefault="007935AB">
            <w:pPr>
              <w:ind w:firstLine="0"/>
              <w:jc w:val="center"/>
            </w:pPr>
            <w:r w:rsidRPr="00731FE2">
              <w:t>-</w:t>
            </w:r>
          </w:p>
        </w:tc>
        <w:tc>
          <w:tcPr>
            <w:tcW w:w="1135"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6AAB773E" w14:textId="77777777" w:rsidR="00171AA8" w:rsidRPr="00731FE2" w:rsidRDefault="007935AB">
            <w:pPr>
              <w:ind w:firstLine="0"/>
              <w:jc w:val="center"/>
            </w:pPr>
            <w:r w:rsidRPr="00731FE2">
              <w:t>-</w:t>
            </w:r>
          </w:p>
        </w:tc>
      </w:tr>
      <w:tr w:rsidR="00171AA8" w:rsidRPr="00731FE2" w14:paraId="7EAC8148" w14:textId="77777777">
        <w:trPr>
          <w:trHeight w:val="315"/>
        </w:trPr>
        <w:tc>
          <w:tcPr>
            <w:tcW w:w="1842"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615D0661"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sz w:val="18"/>
                <w:szCs w:val="18"/>
              </w:rPr>
            </w:pPr>
            <w:r w:rsidRPr="00731FE2">
              <w:rPr>
                <w:sz w:val="18"/>
                <w:szCs w:val="18"/>
              </w:rPr>
              <w:t>%</w:t>
            </w:r>
          </w:p>
        </w:tc>
        <w:tc>
          <w:tcPr>
            <w:tcW w:w="1101"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48CAA169"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b w:val="0"/>
                <w:bCs w:val="0"/>
                <w:sz w:val="18"/>
                <w:szCs w:val="18"/>
              </w:rPr>
            </w:pPr>
            <w:r w:rsidRPr="00731FE2">
              <w:rPr>
                <w:b w:val="0"/>
                <w:bCs w:val="0"/>
                <w:sz w:val="18"/>
                <w:szCs w:val="18"/>
              </w:rPr>
              <w:t>95,6</w:t>
            </w:r>
          </w:p>
        </w:tc>
        <w:tc>
          <w:tcPr>
            <w:tcW w:w="1167"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209F21BF"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b w:val="0"/>
                <w:bCs w:val="0"/>
                <w:sz w:val="18"/>
                <w:szCs w:val="18"/>
              </w:rPr>
            </w:pPr>
            <w:r w:rsidRPr="00731FE2">
              <w:rPr>
                <w:b w:val="0"/>
                <w:bCs w:val="0"/>
                <w:sz w:val="18"/>
                <w:szCs w:val="18"/>
              </w:rPr>
              <w:t>91,2</w:t>
            </w:r>
          </w:p>
        </w:tc>
        <w:tc>
          <w:tcPr>
            <w:tcW w:w="1031"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13DE65BF"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b w:val="0"/>
                <w:bCs w:val="0"/>
                <w:sz w:val="18"/>
                <w:szCs w:val="18"/>
              </w:rPr>
            </w:pPr>
            <w:r w:rsidRPr="00731FE2">
              <w:rPr>
                <w:b w:val="0"/>
                <w:bCs w:val="0"/>
                <w:sz w:val="18"/>
                <w:szCs w:val="18"/>
              </w:rPr>
              <w:t>96,6</w:t>
            </w:r>
          </w:p>
        </w:tc>
        <w:tc>
          <w:tcPr>
            <w:tcW w:w="1095"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55F1FD31"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b w:val="0"/>
                <w:bCs w:val="0"/>
                <w:sz w:val="18"/>
                <w:szCs w:val="18"/>
              </w:rPr>
            </w:pPr>
            <w:r w:rsidRPr="00731FE2">
              <w:rPr>
                <w:b w:val="0"/>
                <w:bCs w:val="0"/>
                <w:sz w:val="18"/>
                <w:szCs w:val="18"/>
              </w:rPr>
              <w:t>87,9</w:t>
            </w:r>
          </w:p>
        </w:tc>
        <w:tc>
          <w:tcPr>
            <w:tcW w:w="1066"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3F8B3278"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b w:val="0"/>
                <w:bCs w:val="0"/>
                <w:sz w:val="18"/>
                <w:szCs w:val="18"/>
              </w:rPr>
            </w:pPr>
            <w:r w:rsidRPr="00731FE2">
              <w:rPr>
                <w:b w:val="0"/>
                <w:bCs w:val="0"/>
                <w:sz w:val="18"/>
                <w:szCs w:val="18"/>
              </w:rPr>
              <w:t>87,0</w:t>
            </w:r>
          </w:p>
        </w:tc>
        <w:tc>
          <w:tcPr>
            <w:tcW w:w="918"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5A1BEE20"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b w:val="0"/>
                <w:bCs w:val="0"/>
                <w:sz w:val="18"/>
                <w:szCs w:val="18"/>
              </w:rPr>
            </w:pPr>
            <w:r w:rsidRPr="00731FE2">
              <w:rPr>
                <w:b w:val="0"/>
                <w:bCs w:val="0"/>
                <w:sz w:val="18"/>
                <w:szCs w:val="18"/>
              </w:rPr>
              <w:t>91,1</w:t>
            </w:r>
          </w:p>
        </w:tc>
        <w:tc>
          <w:tcPr>
            <w:tcW w:w="1135"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7C8B14DE"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b w:val="0"/>
                <w:bCs w:val="0"/>
                <w:sz w:val="18"/>
                <w:szCs w:val="18"/>
              </w:rPr>
            </w:pPr>
            <w:r w:rsidRPr="00731FE2">
              <w:rPr>
                <w:b w:val="0"/>
                <w:bCs w:val="0"/>
                <w:sz w:val="18"/>
                <w:szCs w:val="18"/>
              </w:rPr>
              <w:t>7,3</w:t>
            </w:r>
          </w:p>
        </w:tc>
      </w:tr>
      <w:tr w:rsidR="00171AA8" w:rsidRPr="00731FE2" w14:paraId="0738EAE7" w14:textId="77777777">
        <w:trPr>
          <w:trHeight w:val="367"/>
        </w:trPr>
        <w:tc>
          <w:tcPr>
            <w:tcW w:w="9355" w:type="dxa"/>
            <w:gridSpan w:val="8"/>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tcPr>
          <w:p w14:paraId="3AE89214"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sz w:val="18"/>
                <w:szCs w:val="18"/>
              </w:rPr>
            </w:pPr>
            <w:r w:rsidRPr="00731FE2">
              <w:rPr>
                <w:sz w:val="18"/>
                <w:szCs w:val="18"/>
              </w:rPr>
              <w:t> городская местность</w:t>
            </w:r>
          </w:p>
        </w:tc>
      </w:tr>
      <w:tr w:rsidR="00171AA8" w:rsidRPr="00731FE2" w14:paraId="14B7BC32" w14:textId="77777777">
        <w:trPr>
          <w:trHeight w:val="136"/>
        </w:trPr>
        <w:tc>
          <w:tcPr>
            <w:tcW w:w="1842"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2D984708"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sz w:val="18"/>
                <w:szCs w:val="18"/>
              </w:rPr>
            </w:pPr>
            <w:r w:rsidRPr="00731FE2">
              <w:rPr>
                <w:sz w:val="18"/>
                <w:szCs w:val="18"/>
              </w:rPr>
              <w:t>тыс. м</w:t>
            </w:r>
            <w:proofErr w:type="gramStart"/>
            <w:r w:rsidRPr="00731FE2">
              <w:rPr>
                <w:sz w:val="18"/>
                <w:szCs w:val="18"/>
                <w:vertAlign w:val="superscript"/>
              </w:rPr>
              <w:t>2</w:t>
            </w:r>
            <w:proofErr w:type="gramEnd"/>
          </w:p>
        </w:tc>
        <w:tc>
          <w:tcPr>
            <w:tcW w:w="1101"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45E9D0B4" w14:textId="77777777" w:rsidR="00171AA8" w:rsidRPr="00731FE2" w:rsidRDefault="007935AB">
            <w:pPr>
              <w:ind w:firstLine="0"/>
              <w:jc w:val="center"/>
            </w:pPr>
            <w:r w:rsidRPr="00731FE2">
              <w:t>-</w:t>
            </w:r>
          </w:p>
        </w:tc>
        <w:tc>
          <w:tcPr>
            <w:tcW w:w="1167"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35F85837" w14:textId="77777777" w:rsidR="00171AA8" w:rsidRPr="00731FE2" w:rsidRDefault="007935AB">
            <w:pPr>
              <w:ind w:firstLine="0"/>
              <w:jc w:val="center"/>
            </w:pPr>
            <w:r w:rsidRPr="00731FE2">
              <w:t>-</w:t>
            </w:r>
          </w:p>
        </w:tc>
        <w:tc>
          <w:tcPr>
            <w:tcW w:w="1031"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135D131F" w14:textId="77777777" w:rsidR="00171AA8" w:rsidRPr="00731FE2" w:rsidRDefault="007935AB">
            <w:pPr>
              <w:ind w:firstLine="0"/>
              <w:jc w:val="center"/>
            </w:pPr>
            <w:r w:rsidRPr="00731FE2">
              <w:t>-</w:t>
            </w:r>
          </w:p>
        </w:tc>
        <w:tc>
          <w:tcPr>
            <w:tcW w:w="1095"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74B33745" w14:textId="77777777" w:rsidR="00171AA8" w:rsidRPr="00731FE2" w:rsidRDefault="007935AB">
            <w:pPr>
              <w:ind w:firstLine="0"/>
              <w:jc w:val="center"/>
            </w:pPr>
            <w:r w:rsidRPr="00731FE2">
              <w:t>-</w:t>
            </w:r>
          </w:p>
        </w:tc>
        <w:tc>
          <w:tcPr>
            <w:tcW w:w="1066"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1A5C35F3" w14:textId="77777777" w:rsidR="00171AA8" w:rsidRPr="00731FE2" w:rsidRDefault="007935AB">
            <w:pPr>
              <w:ind w:firstLine="0"/>
              <w:jc w:val="center"/>
            </w:pPr>
            <w:r w:rsidRPr="00731FE2">
              <w:t>-</w:t>
            </w:r>
          </w:p>
        </w:tc>
        <w:tc>
          <w:tcPr>
            <w:tcW w:w="918"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5E8E63B2" w14:textId="77777777" w:rsidR="00171AA8" w:rsidRPr="00731FE2" w:rsidRDefault="007935AB">
            <w:pPr>
              <w:ind w:firstLine="0"/>
              <w:jc w:val="center"/>
            </w:pPr>
            <w:r w:rsidRPr="00731FE2">
              <w:t>-</w:t>
            </w:r>
          </w:p>
        </w:tc>
        <w:tc>
          <w:tcPr>
            <w:tcW w:w="1135"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17939B41" w14:textId="77777777" w:rsidR="00171AA8" w:rsidRPr="00731FE2" w:rsidRDefault="007935AB">
            <w:pPr>
              <w:ind w:firstLine="0"/>
              <w:jc w:val="center"/>
            </w:pPr>
            <w:r w:rsidRPr="00731FE2">
              <w:t>-</w:t>
            </w:r>
          </w:p>
        </w:tc>
      </w:tr>
      <w:tr w:rsidR="00171AA8" w:rsidRPr="00731FE2" w14:paraId="0E7C3F30" w14:textId="77777777">
        <w:trPr>
          <w:trHeight w:val="315"/>
        </w:trPr>
        <w:tc>
          <w:tcPr>
            <w:tcW w:w="1842"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67BB8AC0"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sz w:val="18"/>
                <w:szCs w:val="18"/>
              </w:rPr>
            </w:pPr>
            <w:r w:rsidRPr="00731FE2">
              <w:rPr>
                <w:sz w:val="18"/>
                <w:szCs w:val="18"/>
              </w:rPr>
              <w:t>%</w:t>
            </w:r>
          </w:p>
        </w:tc>
        <w:tc>
          <w:tcPr>
            <w:tcW w:w="1101"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20C6D79F"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b w:val="0"/>
                <w:bCs w:val="0"/>
                <w:sz w:val="18"/>
                <w:szCs w:val="18"/>
              </w:rPr>
            </w:pPr>
            <w:r w:rsidRPr="00731FE2">
              <w:rPr>
                <w:b w:val="0"/>
                <w:bCs w:val="0"/>
                <w:sz w:val="18"/>
                <w:szCs w:val="18"/>
              </w:rPr>
              <w:t>97,6</w:t>
            </w:r>
          </w:p>
        </w:tc>
        <w:tc>
          <w:tcPr>
            <w:tcW w:w="1167"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074AA982"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b w:val="0"/>
                <w:bCs w:val="0"/>
                <w:sz w:val="18"/>
                <w:szCs w:val="18"/>
              </w:rPr>
            </w:pPr>
            <w:r w:rsidRPr="00731FE2">
              <w:rPr>
                <w:b w:val="0"/>
                <w:bCs w:val="0"/>
                <w:sz w:val="18"/>
                <w:szCs w:val="18"/>
              </w:rPr>
              <w:t>95,8</w:t>
            </w:r>
          </w:p>
        </w:tc>
        <w:tc>
          <w:tcPr>
            <w:tcW w:w="1031"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5655A349"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b w:val="0"/>
                <w:bCs w:val="0"/>
                <w:sz w:val="18"/>
                <w:szCs w:val="18"/>
              </w:rPr>
            </w:pPr>
            <w:r w:rsidRPr="00731FE2">
              <w:rPr>
                <w:b w:val="0"/>
                <w:bCs w:val="0"/>
                <w:sz w:val="18"/>
                <w:szCs w:val="18"/>
              </w:rPr>
              <w:t>97,9</w:t>
            </w:r>
          </w:p>
        </w:tc>
        <w:tc>
          <w:tcPr>
            <w:tcW w:w="1095"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2E66172A"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b w:val="0"/>
                <w:bCs w:val="0"/>
                <w:sz w:val="18"/>
                <w:szCs w:val="18"/>
              </w:rPr>
            </w:pPr>
            <w:r w:rsidRPr="00731FE2">
              <w:rPr>
                <w:b w:val="0"/>
                <w:bCs w:val="0"/>
                <w:sz w:val="18"/>
                <w:szCs w:val="18"/>
              </w:rPr>
              <w:t>93,0</w:t>
            </w:r>
          </w:p>
        </w:tc>
        <w:tc>
          <w:tcPr>
            <w:tcW w:w="1066"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1D937276"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b w:val="0"/>
                <w:bCs w:val="0"/>
                <w:sz w:val="18"/>
                <w:szCs w:val="18"/>
              </w:rPr>
            </w:pPr>
            <w:r w:rsidRPr="00731FE2">
              <w:rPr>
                <w:b w:val="0"/>
                <w:bCs w:val="0"/>
                <w:sz w:val="18"/>
                <w:szCs w:val="18"/>
              </w:rPr>
              <w:t>92,3</w:t>
            </w:r>
          </w:p>
        </w:tc>
        <w:tc>
          <w:tcPr>
            <w:tcW w:w="918"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3C9AE84B"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b w:val="0"/>
                <w:bCs w:val="0"/>
                <w:sz w:val="18"/>
                <w:szCs w:val="18"/>
              </w:rPr>
            </w:pPr>
            <w:r w:rsidRPr="00731FE2">
              <w:rPr>
                <w:b w:val="0"/>
                <w:bCs w:val="0"/>
                <w:sz w:val="18"/>
                <w:szCs w:val="18"/>
              </w:rPr>
              <w:t>88,2</w:t>
            </w:r>
          </w:p>
        </w:tc>
        <w:tc>
          <w:tcPr>
            <w:tcW w:w="1135"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1DCE4D68"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b w:val="0"/>
                <w:bCs w:val="0"/>
                <w:sz w:val="18"/>
                <w:szCs w:val="18"/>
              </w:rPr>
            </w:pPr>
            <w:r w:rsidRPr="00731FE2">
              <w:rPr>
                <w:b w:val="0"/>
                <w:bCs w:val="0"/>
                <w:sz w:val="18"/>
                <w:szCs w:val="18"/>
              </w:rPr>
              <w:t>10,8</w:t>
            </w:r>
          </w:p>
        </w:tc>
      </w:tr>
      <w:tr w:rsidR="00171AA8" w:rsidRPr="00731FE2" w14:paraId="0246572E" w14:textId="77777777">
        <w:trPr>
          <w:trHeight w:val="315"/>
        </w:trPr>
        <w:tc>
          <w:tcPr>
            <w:tcW w:w="9355" w:type="dxa"/>
            <w:gridSpan w:val="8"/>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tcPr>
          <w:p w14:paraId="4F90D4F3"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sz w:val="18"/>
                <w:szCs w:val="18"/>
              </w:rPr>
            </w:pPr>
            <w:r w:rsidRPr="00731FE2">
              <w:rPr>
                <w:sz w:val="18"/>
                <w:szCs w:val="18"/>
              </w:rPr>
              <w:t> сельская местность</w:t>
            </w:r>
          </w:p>
        </w:tc>
      </w:tr>
      <w:tr w:rsidR="00171AA8" w:rsidRPr="00731FE2" w14:paraId="24815661" w14:textId="77777777">
        <w:trPr>
          <w:trHeight w:val="315"/>
        </w:trPr>
        <w:tc>
          <w:tcPr>
            <w:tcW w:w="1842"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5F8B3E93"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sz w:val="18"/>
                <w:szCs w:val="18"/>
                <w:vertAlign w:val="superscript"/>
              </w:rPr>
            </w:pPr>
            <w:r w:rsidRPr="00731FE2">
              <w:rPr>
                <w:sz w:val="18"/>
                <w:szCs w:val="18"/>
              </w:rPr>
              <w:t>тыс. м</w:t>
            </w:r>
            <w:proofErr w:type="gramStart"/>
            <w:r w:rsidRPr="00731FE2">
              <w:rPr>
                <w:sz w:val="18"/>
                <w:szCs w:val="18"/>
                <w:vertAlign w:val="superscript"/>
              </w:rPr>
              <w:t>2</w:t>
            </w:r>
            <w:proofErr w:type="gramEnd"/>
          </w:p>
        </w:tc>
        <w:tc>
          <w:tcPr>
            <w:tcW w:w="1101"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7BEC7673" w14:textId="77777777" w:rsidR="00171AA8" w:rsidRPr="00731FE2" w:rsidRDefault="007935AB">
            <w:pPr>
              <w:ind w:firstLine="0"/>
              <w:jc w:val="center"/>
            </w:pPr>
            <w:r w:rsidRPr="00731FE2">
              <w:t>-</w:t>
            </w:r>
          </w:p>
        </w:tc>
        <w:tc>
          <w:tcPr>
            <w:tcW w:w="1167"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398923F2" w14:textId="77777777" w:rsidR="00171AA8" w:rsidRPr="00731FE2" w:rsidRDefault="007935AB">
            <w:pPr>
              <w:ind w:firstLine="0"/>
              <w:jc w:val="center"/>
            </w:pPr>
            <w:r w:rsidRPr="00731FE2">
              <w:t>-</w:t>
            </w:r>
          </w:p>
        </w:tc>
        <w:tc>
          <w:tcPr>
            <w:tcW w:w="1031"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5D34D2A7" w14:textId="77777777" w:rsidR="00171AA8" w:rsidRPr="00731FE2" w:rsidRDefault="007935AB">
            <w:pPr>
              <w:ind w:firstLine="0"/>
              <w:jc w:val="center"/>
            </w:pPr>
            <w:r w:rsidRPr="00731FE2">
              <w:t>-</w:t>
            </w:r>
          </w:p>
        </w:tc>
        <w:tc>
          <w:tcPr>
            <w:tcW w:w="1095"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4E824568" w14:textId="77777777" w:rsidR="00171AA8" w:rsidRPr="00731FE2" w:rsidRDefault="007935AB">
            <w:pPr>
              <w:ind w:firstLine="0"/>
              <w:jc w:val="center"/>
            </w:pPr>
            <w:r w:rsidRPr="00731FE2">
              <w:t>-</w:t>
            </w:r>
          </w:p>
        </w:tc>
        <w:tc>
          <w:tcPr>
            <w:tcW w:w="1066"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76AD8078" w14:textId="77777777" w:rsidR="00171AA8" w:rsidRPr="00731FE2" w:rsidRDefault="007935AB">
            <w:pPr>
              <w:ind w:firstLine="0"/>
              <w:jc w:val="center"/>
            </w:pPr>
            <w:r w:rsidRPr="00731FE2">
              <w:t>-</w:t>
            </w:r>
          </w:p>
        </w:tc>
        <w:tc>
          <w:tcPr>
            <w:tcW w:w="918"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792665B0" w14:textId="77777777" w:rsidR="00171AA8" w:rsidRPr="00731FE2" w:rsidRDefault="007935AB">
            <w:pPr>
              <w:ind w:firstLine="0"/>
              <w:jc w:val="center"/>
            </w:pPr>
            <w:r w:rsidRPr="00731FE2">
              <w:t>-</w:t>
            </w:r>
          </w:p>
        </w:tc>
        <w:tc>
          <w:tcPr>
            <w:tcW w:w="1135"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511818EE" w14:textId="77777777" w:rsidR="00171AA8" w:rsidRPr="00731FE2" w:rsidRDefault="007935AB">
            <w:pPr>
              <w:ind w:firstLine="0"/>
              <w:jc w:val="center"/>
            </w:pPr>
            <w:r w:rsidRPr="00731FE2">
              <w:t>-</w:t>
            </w:r>
          </w:p>
        </w:tc>
      </w:tr>
      <w:tr w:rsidR="00171AA8" w:rsidRPr="00731FE2" w14:paraId="71DF73B7" w14:textId="77777777">
        <w:trPr>
          <w:trHeight w:val="315"/>
        </w:trPr>
        <w:tc>
          <w:tcPr>
            <w:tcW w:w="1842"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10DB7AA4"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sz w:val="18"/>
                <w:szCs w:val="18"/>
              </w:rPr>
            </w:pPr>
            <w:r w:rsidRPr="00731FE2">
              <w:rPr>
                <w:sz w:val="18"/>
                <w:szCs w:val="18"/>
              </w:rPr>
              <w:t>%</w:t>
            </w:r>
          </w:p>
        </w:tc>
        <w:tc>
          <w:tcPr>
            <w:tcW w:w="1101"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4EFCB048"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b w:val="0"/>
                <w:bCs w:val="0"/>
                <w:sz w:val="18"/>
                <w:szCs w:val="18"/>
              </w:rPr>
            </w:pPr>
            <w:r w:rsidRPr="00731FE2">
              <w:rPr>
                <w:b w:val="0"/>
                <w:bCs w:val="0"/>
                <w:sz w:val="18"/>
                <w:szCs w:val="18"/>
              </w:rPr>
              <w:t>92,0</w:t>
            </w:r>
          </w:p>
        </w:tc>
        <w:tc>
          <w:tcPr>
            <w:tcW w:w="1167"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4F0397AB"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b w:val="0"/>
                <w:bCs w:val="0"/>
                <w:sz w:val="18"/>
                <w:szCs w:val="18"/>
              </w:rPr>
            </w:pPr>
            <w:r w:rsidRPr="00731FE2">
              <w:rPr>
                <w:b w:val="0"/>
                <w:bCs w:val="0"/>
                <w:sz w:val="18"/>
                <w:szCs w:val="18"/>
              </w:rPr>
              <w:t>82,8</w:t>
            </w:r>
          </w:p>
        </w:tc>
        <w:tc>
          <w:tcPr>
            <w:tcW w:w="1031"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57DE48F8"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b w:val="0"/>
                <w:bCs w:val="0"/>
                <w:sz w:val="18"/>
                <w:szCs w:val="18"/>
              </w:rPr>
            </w:pPr>
            <w:r w:rsidRPr="00731FE2">
              <w:rPr>
                <w:b w:val="0"/>
                <w:bCs w:val="0"/>
                <w:sz w:val="18"/>
                <w:szCs w:val="18"/>
              </w:rPr>
              <w:t>94,2</w:t>
            </w:r>
          </w:p>
        </w:tc>
        <w:tc>
          <w:tcPr>
            <w:tcW w:w="1095"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05A247BC"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b w:val="0"/>
                <w:bCs w:val="0"/>
                <w:sz w:val="18"/>
                <w:szCs w:val="18"/>
              </w:rPr>
            </w:pPr>
            <w:r w:rsidRPr="00731FE2">
              <w:rPr>
                <w:b w:val="0"/>
                <w:bCs w:val="0"/>
                <w:sz w:val="18"/>
                <w:szCs w:val="18"/>
              </w:rPr>
              <w:t>78,5</w:t>
            </w:r>
          </w:p>
        </w:tc>
        <w:tc>
          <w:tcPr>
            <w:tcW w:w="1066"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3DA6B184"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b w:val="0"/>
                <w:bCs w:val="0"/>
                <w:sz w:val="18"/>
                <w:szCs w:val="18"/>
              </w:rPr>
            </w:pPr>
            <w:r w:rsidRPr="00731FE2">
              <w:rPr>
                <w:b w:val="0"/>
                <w:bCs w:val="0"/>
                <w:sz w:val="18"/>
                <w:szCs w:val="18"/>
              </w:rPr>
              <w:t>77,3</w:t>
            </w:r>
          </w:p>
        </w:tc>
        <w:tc>
          <w:tcPr>
            <w:tcW w:w="918"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3EF4F3F6"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b w:val="0"/>
                <w:bCs w:val="0"/>
                <w:sz w:val="18"/>
                <w:szCs w:val="18"/>
              </w:rPr>
            </w:pPr>
            <w:r w:rsidRPr="00731FE2">
              <w:rPr>
                <w:b w:val="0"/>
                <w:bCs w:val="0"/>
                <w:sz w:val="18"/>
                <w:szCs w:val="18"/>
              </w:rPr>
              <w:t>96,4</w:t>
            </w:r>
          </w:p>
        </w:tc>
        <w:tc>
          <w:tcPr>
            <w:tcW w:w="1135"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56400A7E"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b w:val="0"/>
                <w:bCs w:val="0"/>
                <w:sz w:val="18"/>
                <w:szCs w:val="18"/>
              </w:rPr>
            </w:pPr>
            <w:r w:rsidRPr="00731FE2">
              <w:rPr>
                <w:b w:val="0"/>
                <w:bCs w:val="0"/>
                <w:sz w:val="18"/>
                <w:szCs w:val="18"/>
              </w:rPr>
              <w:t>0,9</w:t>
            </w:r>
          </w:p>
        </w:tc>
      </w:tr>
      <w:tr w:rsidR="00171AA8" w:rsidRPr="00731FE2" w14:paraId="2298FBF7" w14:textId="77777777">
        <w:trPr>
          <w:trHeight w:val="315"/>
        </w:trPr>
        <w:tc>
          <w:tcPr>
            <w:tcW w:w="9355" w:type="dxa"/>
            <w:gridSpan w:val="8"/>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tcPr>
          <w:p w14:paraId="24671B8F"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sz w:val="18"/>
                <w:szCs w:val="18"/>
              </w:rPr>
            </w:pPr>
            <w:r w:rsidRPr="00731FE2">
              <w:rPr>
                <w:sz w:val="18"/>
                <w:szCs w:val="18"/>
              </w:rPr>
              <w:t> город-курорт Кисловодск</w:t>
            </w:r>
          </w:p>
        </w:tc>
      </w:tr>
      <w:tr w:rsidR="00171AA8" w:rsidRPr="00731FE2" w14:paraId="5F34731C" w14:textId="77777777">
        <w:trPr>
          <w:trHeight w:val="315"/>
        </w:trPr>
        <w:tc>
          <w:tcPr>
            <w:tcW w:w="1842"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6207035A"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sz w:val="18"/>
                <w:szCs w:val="18"/>
              </w:rPr>
            </w:pPr>
            <w:r w:rsidRPr="00731FE2">
              <w:rPr>
                <w:sz w:val="18"/>
                <w:szCs w:val="18"/>
              </w:rPr>
              <w:t>тыс. м</w:t>
            </w:r>
            <w:proofErr w:type="gramStart"/>
            <w:r w:rsidRPr="00731FE2">
              <w:rPr>
                <w:sz w:val="18"/>
                <w:szCs w:val="18"/>
                <w:vertAlign w:val="superscript"/>
              </w:rPr>
              <w:t>2</w:t>
            </w:r>
            <w:proofErr w:type="gramEnd"/>
          </w:p>
        </w:tc>
        <w:tc>
          <w:tcPr>
            <w:tcW w:w="1101"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42187E9E"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sz w:val="18"/>
                <w:szCs w:val="18"/>
              </w:rPr>
            </w:pPr>
            <w:r w:rsidRPr="00731FE2">
              <w:rPr>
                <w:sz w:val="18"/>
                <w:szCs w:val="18"/>
              </w:rPr>
              <w:t>2523,7</w:t>
            </w:r>
          </w:p>
        </w:tc>
        <w:tc>
          <w:tcPr>
            <w:tcW w:w="1167"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40BE54F5"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sz w:val="18"/>
                <w:szCs w:val="18"/>
              </w:rPr>
            </w:pPr>
            <w:r w:rsidRPr="00731FE2">
              <w:rPr>
                <w:sz w:val="18"/>
                <w:szCs w:val="18"/>
              </w:rPr>
              <w:t>2523,7</w:t>
            </w:r>
          </w:p>
        </w:tc>
        <w:tc>
          <w:tcPr>
            <w:tcW w:w="1031"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60CE0182"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sz w:val="18"/>
                <w:szCs w:val="18"/>
              </w:rPr>
            </w:pPr>
            <w:r w:rsidRPr="00731FE2">
              <w:rPr>
                <w:sz w:val="18"/>
                <w:szCs w:val="18"/>
              </w:rPr>
              <w:t>2662,4</w:t>
            </w:r>
          </w:p>
        </w:tc>
        <w:tc>
          <w:tcPr>
            <w:tcW w:w="1095"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5A1CD581"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sz w:val="18"/>
                <w:szCs w:val="18"/>
              </w:rPr>
            </w:pPr>
            <w:r w:rsidRPr="00731FE2">
              <w:rPr>
                <w:sz w:val="18"/>
                <w:szCs w:val="18"/>
              </w:rPr>
              <w:t>2240,8</w:t>
            </w:r>
          </w:p>
        </w:tc>
        <w:tc>
          <w:tcPr>
            <w:tcW w:w="1066"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1F37AAAE"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sz w:val="18"/>
                <w:szCs w:val="18"/>
              </w:rPr>
            </w:pPr>
            <w:r w:rsidRPr="00731FE2">
              <w:rPr>
                <w:sz w:val="18"/>
                <w:szCs w:val="18"/>
              </w:rPr>
              <w:t>2122,0</w:t>
            </w:r>
          </w:p>
        </w:tc>
        <w:tc>
          <w:tcPr>
            <w:tcW w:w="918"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359B8F82"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sz w:val="18"/>
                <w:szCs w:val="18"/>
              </w:rPr>
            </w:pPr>
            <w:r w:rsidRPr="00731FE2">
              <w:rPr>
                <w:sz w:val="18"/>
                <w:szCs w:val="18"/>
              </w:rPr>
              <w:t>2532,2</w:t>
            </w:r>
          </w:p>
        </w:tc>
        <w:tc>
          <w:tcPr>
            <w:tcW w:w="1135"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2BDD2DD8"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sz w:val="18"/>
                <w:szCs w:val="18"/>
              </w:rPr>
            </w:pPr>
            <w:r w:rsidRPr="00731FE2">
              <w:rPr>
                <w:sz w:val="18"/>
                <w:szCs w:val="18"/>
              </w:rPr>
              <w:t>147,1</w:t>
            </w:r>
          </w:p>
        </w:tc>
      </w:tr>
      <w:tr w:rsidR="00171AA8" w:rsidRPr="00731FE2" w14:paraId="34DBCCF8" w14:textId="77777777">
        <w:trPr>
          <w:trHeight w:val="315"/>
        </w:trPr>
        <w:tc>
          <w:tcPr>
            <w:tcW w:w="1842"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7A30E97C"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sz w:val="18"/>
                <w:szCs w:val="18"/>
              </w:rPr>
            </w:pPr>
            <w:r w:rsidRPr="00731FE2">
              <w:rPr>
                <w:sz w:val="18"/>
                <w:szCs w:val="18"/>
              </w:rPr>
              <w:t>%</w:t>
            </w:r>
          </w:p>
        </w:tc>
        <w:tc>
          <w:tcPr>
            <w:tcW w:w="1101"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417A44F7"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sz w:val="18"/>
                <w:szCs w:val="18"/>
              </w:rPr>
            </w:pPr>
            <w:r w:rsidRPr="00731FE2">
              <w:rPr>
                <w:sz w:val="18"/>
                <w:szCs w:val="18"/>
              </w:rPr>
              <w:t>89,2</w:t>
            </w:r>
          </w:p>
        </w:tc>
        <w:tc>
          <w:tcPr>
            <w:tcW w:w="1167"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0AB48895"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sz w:val="18"/>
                <w:szCs w:val="18"/>
              </w:rPr>
            </w:pPr>
            <w:r w:rsidRPr="00731FE2">
              <w:rPr>
                <w:sz w:val="18"/>
                <w:szCs w:val="18"/>
              </w:rPr>
              <w:t>89,2</w:t>
            </w:r>
          </w:p>
        </w:tc>
        <w:tc>
          <w:tcPr>
            <w:tcW w:w="1031"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4AE86F3B"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sz w:val="18"/>
                <w:szCs w:val="18"/>
              </w:rPr>
            </w:pPr>
            <w:r w:rsidRPr="00731FE2">
              <w:rPr>
                <w:sz w:val="18"/>
                <w:szCs w:val="18"/>
              </w:rPr>
              <w:t>94,1</w:t>
            </w:r>
          </w:p>
        </w:tc>
        <w:tc>
          <w:tcPr>
            <w:tcW w:w="1095"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51FFFFA0"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sz w:val="18"/>
                <w:szCs w:val="18"/>
              </w:rPr>
            </w:pPr>
            <w:r w:rsidRPr="00731FE2">
              <w:rPr>
                <w:sz w:val="18"/>
                <w:szCs w:val="18"/>
              </w:rPr>
              <w:t>79,2</w:t>
            </w:r>
          </w:p>
        </w:tc>
        <w:tc>
          <w:tcPr>
            <w:tcW w:w="1066"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64FE8B1E"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sz w:val="18"/>
                <w:szCs w:val="18"/>
              </w:rPr>
            </w:pPr>
            <w:r w:rsidRPr="00731FE2">
              <w:rPr>
                <w:sz w:val="18"/>
                <w:szCs w:val="18"/>
              </w:rPr>
              <w:t>75,0</w:t>
            </w:r>
          </w:p>
        </w:tc>
        <w:tc>
          <w:tcPr>
            <w:tcW w:w="918"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142BF09E"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sz w:val="18"/>
                <w:szCs w:val="18"/>
              </w:rPr>
            </w:pPr>
            <w:r w:rsidRPr="00731FE2">
              <w:rPr>
                <w:sz w:val="18"/>
                <w:szCs w:val="18"/>
              </w:rPr>
              <w:t>89,5</w:t>
            </w:r>
          </w:p>
        </w:tc>
        <w:tc>
          <w:tcPr>
            <w:tcW w:w="1135"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74BA9465"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sz w:val="18"/>
                <w:szCs w:val="18"/>
              </w:rPr>
            </w:pPr>
            <w:r w:rsidRPr="00731FE2">
              <w:rPr>
                <w:sz w:val="18"/>
                <w:szCs w:val="18"/>
              </w:rPr>
              <w:t>5,2</w:t>
            </w:r>
          </w:p>
        </w:tc>
      </w:tr>
    </w:tbl>
    <w:p w14:paraId="6F531DAF" w14:textId="77777777" w:rsidR="00171AA8" w:rsidRPr="00731FE2" w:rsidRDefault="00171AA8">
      <w:pPr>
        <w:pBdr>
          <w:top w:val="none" w:sz="4" w:space="0" w:color="000000"/>
          <w:left w:val="none" w:sz="4" w:space="0" w:color="000000"/>
          <w:bottom w:val="none" w:sz="4" w:space="0" w:color="000000"/>
          <w:right w:val="none" w:sz="4" w:space="0" w:color="000000"/>
        </w:pBdr>
        <w:ind w:firstLine="0"/>
        <w:rPr>
          <w:rFonts w:ascii="Times New Roman" w:hAnsi="Times New Roman" w:cs="Times New Roman"/>
        </w:rPr>
      </w:pPr>
    </w:p>
    <w:p w14:paraId="62A6A960"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xml:space="preserve">Показатель площади жилищного фонда, приходящейся в среднем на одного жителя городского округа сравним с </w:t>
      </w:r>
      <w:r w:rsidRPr="00731FE2">
        <w:rPr>
          <w:rFonts w:ascii="Times New Roman" w:eastAsia="Times New Roman" w:hAnsi="Times New Roman" w:cs="Times New Roman"/>
          <w:color w:val="000000"/>
        </w:rPr>
        <w:t>краевым показателем (25,5 м</w:t>
      </w:r>
      <w:proofErr w:type="gramStart"/>
      <w:r w:rsidRPr="00731FE2">
        <w:rPr>
          <w:rFonts w:ascii="Times New Roman" w:eastAsia="Times New Roman" w:hAnsi="Times New Roman" w:cs="Times New Roman"/>
          <w:color w:val="000000"/>
          <w:sz w:val="20"/>
          <w:vertAlign w:val="superscript"/>
        </w:rPr>
        <w:t>2</w:t>
      </w:r>
      <w:proofErr w:type="gramEnd"/>
      <w:r w:rsidRPr="00731FE2">
        <w:rPr>
          <w:rFonts w:ascii="Times New Roman" w:eastAsia="Times New Roman" w:hAnsi="Times New Roman" w:cs="Times New Roman"/>
          <w:color w:val="000000"/>
        </w:rPr>
        <w:t>) и составил в 2022 г. 25,59 м</w:t>
      </w:r>
      <w:r w:rsidRPr="00731FE2">
        <w:rPr>
          <w:rFonts w:ascii="Times New Roman" w:eastAsia="Times New Roman" w:hAnsi="Times New Roman" w:cs="Times New Roman"/>
          <w:color w:val="000000"/>
          <w:sz w:val="20"/>
          <w:vertAlign w:val="superscript"/>
        </w:rPr>
        <w:t>2</w:t>
      </w:r>
      <w:r w:rsidRPr="00731FE2">
        <w:rPr>
          <w:rFonts w:ascii="Times New Roman" w:hAnsi="Times New Roman" w:cs="Times New Roman"/>
          <w:color w:val="000000" w:themeColor="text1"/>
        </w:rPr>
        <w:t xml:space="preserve"> (таблица ниже). Показатель растет с каждым годом.</w:t>
      </w:r>
    </w:p>
    <w:p w14:paraId="2EBCA9CF" w14:textId="77777777" w:rsidR="00171AA8" w:rsidRPr="00731FE2" w:rsidRDefault="00171AA8">
      <w:pPr>
        <w:pBdr>
          <w:top w:val="none" w:sz="4" w:space="0" w:color="000000"/>
          <w:left w:val="none" w:sz="4" w:space="0" w:color="000000"/>
          <w:bottom w:val="none" w:sz="4" w:space="0" w:color="000000"/>
          <w:right w:val="none" w:sz="4" w:space="0" w:color="000000"/>
        </w:pBdr>
        <w:ind w:firstLine="0"/>
        <w:rPr>
          <w:rFonts w:ascii="Times New Roman" w:hAnsi="Times New Roman" w:cs="Times New Roman"/>
        </w:rPr>
      </w:pPr>
    </w:p>
    <w:p w14:paraId="16CB2D30" w14:textId="77777777" w:rsidR="00171AA8" w:rsidRPr="00731FE2" w:rsidRDefault="007935AB">
      <w:pPr>
        <w:pStyle w:val="af3"/>
        <w:rPr>
          <w:sz w:val="24"/>
          <w:szCs w:val="24"/>
        </w:rPr>
      </w:pPr>
      <w:r w:rsidRPr="00731FE2">
        <w:rPr>
          <w:sz w:val="24"/>
          <w:szCs w:val="24"/>
        </w:rPr>
        <w:t xml:space="preserve">Таблица </w:t>
      </w:r>
      <w:r w:rsidR="00D97880" w:rsidRPr="00731FE2">
        <w:rPr>
          <w:noProof/>
          <w:sz w:val="24"/>
          <w:szCs w:val="24"/>
        </w:rPr>
        <w:fldChar w:fldCharType="begin"/>
      </w:r>
      <w:r w:rsidR="00D97880" w:rsidRPr="00731FE2">
        <w:rPr>
          <w:noProof/>
          <w:sz w:val="24"/>
          <w:szCs w:val="24"/>
        </w:rPr>
        <w:instrText xml:space="preserve"> SEQ Таблица \* Arabic </w:instrText>
      </w:r>
      <w:r w:rsidR="00D97880" w:rsidRPr="00731FE2">
        <w:rPr>
          <w:noProof/>
          <w:sz w:val="24"/>
          <w:szCs w:val="24"/>
        </w:rPr>
        <w:fldChar w:fldCharType="separate"/>
      </w:r>
      <w:r w:rsidR="00C50915" w:rsidRPr="00731FE2">
        <w:rPr>
          <w:noProof/>
          <w:sz w:val="24"/>
          <w:szCs w:val="24"/>
        </w:rPr>
        <w:t>58</w:t>
      </w:r>
      <w:r w:rsidR="00D97880" w:rsidRPr="00731FE2">
        <w:rPr>
          <w:noProof/>
          <w:sz w:val="24"/>
          <w:szCs w:val="24"/>
        </w:rPr>
        <w:fldChar w:fldCharType="end"/>
      </w:r>
      <w:r w:rsidRPr="00731FE2">
        <w:rPr>
          <w:sz w:val="24"/>
          <w:szCs w:val="24"/>
        </w:rPr>
        <w:t xml:space="preserve"> – Сравнительная характеристика жилищного фонда Ставропольского края и городского округа города-курорта Кисловодска, 2022 г., %</w:t>
      </w:r>
      <w:r w:rsidRPr="00731FE2">
        <w:rPr>
          <w:rStyle w:val="afb"/>
          <w:sz w:val="24"/>
          <w:szCs w:val="24"/>
          <w:vertAlign w:val="superscript"/>
        </w:rPr>
        <w:footnoteReference w:id="96"/>
      </w:r>
    </w:p>
    <w:tbl>
      <w:tblPr>
        <w:tblStyle w:val="afe"/>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ayout w:type="fixed"/>
        <w:tblLook w:val="04A0" w:firstRow="1" w:lastRow="0" w:firstColumn="1" w:lastColumn="0" w:noHBand="0" w:noVBand="1"/>
      </w:tblPr>
      <w:tblGrid>
        <w:gridCol w:w="2976"/>
        <w:gridCol w:w="3094"/>
        <w:gridCol w:w="3289"/>
      </w:tblGrid>
      <w:tr w:rsidR="00171AA8" w:rsidRPr="00731FE2" w14:paraId="15464952" w14:textId="77777777">
        <w:trPr>
          <w:trHeight w:val="533"/>
        </w:trPr>
        <w:tc>
          <w:tcPr>
            <w:tcW w:w="2976"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0B914CC1" w14:textId="77777777" w:rsidR="00171AA8" w:rsidRPr="00731FE2" w:rsidRDefault="007935AB">
            <w:pPr>
              <w:pStyle w:val="afc"/>
              <w:jc w:val="center"/>
              <w:rPr>
                <w:b/>
                <w:bCs/>
                <w:sz w:val="20"/>
                <w:szCs w:val="20"/>
              </w:rPr>
            </w:pPr>
            <w:r w:rsidRPr="00731FE2">
              <w:rPr>
                <w:b/>
                <w:bCs/>
                <w:sz w:val="20"/>
                <w:szCs w:val="20"/>
              </w:rPr>
              <w:t>Территория</w:t>
            </w:r>
          </w:p>
        </w:tc>
        <w:tc>
          <w:tcPr>
            <w:tcW w:w="3094" w:type="dxa"/>
            <w:tcBorders>
              <w:top w:val="single" w:sz="8"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603A3212"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b/>
                <w:bCs/>
                <w:sz w:val="20"/>
                <w:szCs w:val="20"/>
              </w:rPr>
            </w:pPr>
            <w:r w:rsidRPr="00731FE2">
              <w:rPr>
                <w:b/>
                <w:bCs/>
                <w:sz w:val="20"/>
                <w:szCs w:val="20"/>
              </w:rPr>
              <w:t>Общая площадь жилья, тыс. м</w:t>
            </w:r>
            <w:proofErr w:type="gramStart"/>
            <w:r w:rsidRPr="00731FE2">
              <w:rPr>
                <w:b/>
                <w:bCs/>
                <w:sz w:val="20"/>
                <w:szCs w:val="20"/>
                <w:vertAlign w:val="superscript"/>
              </w:rPr>
              <w:t>2</w:t>
            </w:r>
            <w:proofErr w:type="gramEnd"/>
          </w:p>
        </w:tc>
        <w:tc>
          <w:tcPr>
            <w:tcW w:w="3289" w:type="dxa"/>
            <w:tcBorders>
              <w:top w:val="single" w:sz="8"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339FD1F4"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b/>
                <w:bCs/>
                <w:sz w:val="20"/>
                <w:szCs w:val="20"/>
              </w:rPr>
            </w:pPr>
            <w:r w:rsidRPr="00731FE2">
              <w:rPr>
                <w:b/>
                <w:bCs/>
                <w:sz w:val="20"/>
                <w:szCs w:val="20"/>
              </w:rPr>
              <w:t>Площадь жилья, приходящаяся в среднем на одного жителя, м</w:t>
            </w:r>
            <w:proofErr w:type="gramStart"/>
            <w:r w:rsidRPr="00731FE2">
              <w:rPr>
                <w:b/>
                <w:bCs/>
                <w:sz w:val="20"/>
                <w:szCs w:val="20"/>
                <w:vertAlign w:val="superscript"/>
              </w:rPr>
              <w:t>2</w:t>
            </w:r>
            <w:proofErr w:type="gramEnd"/>
          </w:p>
        </w:tc>
      </w:tr>
      <w:tr w:rsidR="00171AA8" w:rsidRPr="00731FE2" w14:paraId="1C153661" w14:textId="77777777">
        <w:trPr>
          <w:trHeight w:val="263"/>
        </w:trPr>
        <w:tc>
          <w:tcPr>
            <w:tcW w:w="2976"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447793CC" w14:textId="77777777" w:rsidR="00171AA8" w:rsidRPr="00731FE2" w:rsidRDefault="007935AB">
            <w:pPr>
              <w:pStyle w:val="afc"/>
              <w:pBdr>
                <w:top w:val="none" w:sz="4" w:space="0" w:color="000000"/>
                <w:left w:val="none" w:sz="4" w:space="0" w:color="000000"/>
                <w:bottom w:val="none" w:sz="4" w:space="0" w:color="000000"/>
                <w:right w:val="none" w:sz="4" w:space="0" w:color="000000"/>
              </w:pBdr>
              <w:rPr>
                <w:sz w:val="20"/>
                <w:szCs w:val="20"/>
              </w:rPr>
            </w:pPr>
            <w:r w:rsidRPr="00731FE2">
              <w:rPr>
                <w:sz w:val="20"/>
                <w:szCs w:val="20"/>
              </w:rPr>
              <w:t>Ставропольский край, в т.ч.:</w:t>
            </w:r>
          </w:p>
        </w:tc>
        <w:tc>
          <w:tcPr>
            <w:tcW w:w="3094"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3A6DDE1D"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sz w:val="20"/>
                <w:szCs w:val="20"/>
              </w:rPr>
            </w:pPr>
            <w:r w:rsidRPr="00731FE2">
              <w:rPr>
                <w:sz w:val="20"/>
                <w:szCs w:val="20"/>
              </w:rPr>
              <w:t>73700,00</w:t>
            </w:r>
          </w:p>
        </w:tc>
        <w:tc>
          <w:tcPr>
            <w:tcW w:w="3289"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23EED2AF"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sz w:val="20"/>
                <w:szCs w:val="20"/>
              </w:rPr>
            </w:pPr>
            <w:r w:rsidRPr="00731FE2">
              <w:rPr>
                <w:sz w:val="20"/>
                <w:szCs w:val="20"/>
              </w:rPr>
              <w:t>25,50</w:t>
            </w:r>
          </w:p>
        </w:tc>
      </w:tr>
      <w:tr w:rsidR="00171AA8" w:rsidRPr="00731FE2" w14:paraId="7B44E910" w14:textId="77777777">
        <w:trPr>
          <w:trHeight w:val="263"/>
        </w:trPr>
        <w:tc>
          <w:tcPr>
            <w:tcW w:w="2976" w:type="dxa"/>
            <w:vMerge w:val="restart"/>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74D3E08E" w14:textId="77777777" w:rsidR="00171AA8" w:rsidRPr="00731FE2" w:rsidRDefault="007935AB">
            <w:pPr>
              <w:pStyle w:val="afc"/>
              <w:pBdr>
                <w:top w:val="none" w:sz="4" w:space="0" w:color="000000"/>
                <w:left w:val="none" w:sz="4" w:space="0" w:color="000000"/>
                <w:bottom w:val="none" w:sz="4" w:space="0" w:color="000000"/>
                <w:right w:val="none" w:sz="4" w:space="0" w:color="000000"/>
              </w:pBdr>
              <w:rPr>
                <w:sz w:val="20"/>
                <w:szCs w:val="20"/>
              </w:rPr>
            </w:pPr>
            <w:r w:rsidRPr="00731FE2">
              <w:rPr>
                <w:sz w:val="20"/>
                <w:szCs w:val="20"/>
              </w:rPr>
              <w:t>городская местность</w:t>
            </w:r>
          </w:p>
        </w:tc>
        <w:tc>
          <w:tcPr>
            <w:tcW w:w="3094" w:type="dxa"/>
            <w:vMerge w:val="restart"/>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7F5AA610"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sz w:val="20"/>
                <w:szCs w:val="20"/>
              </w:rPr>
            </w:pPr>
            <w:r w:rsidRPr="00731FE2">
              <w:rPr>
                <w:sz w:val="20"/>
                <w:szCs w:val="20"/>
              </w:rPr>
              <w:t>47600,00</w:t>
            </w:r>
          </w:p>
        </w:tc>
        <w:tc>
          <w:tcPr>
            <w:tcW w:w="3289" w:type="dxa"/>
            <w:vMerge w:val="restart"/>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53A1A507"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sz w:val="20"/>
                <w:szCs w:val="20"/>
              </w:rPr>
            </w:pPr>
            <w:r w:rsidRPr="00731FE2">
              <w:rPr>
                <w:sz w:val="20"/>
                <w:szCs w:val="20"/>
              </w:rPr>
              <w:t>27,10</w:t>
            </w:r>
          </w:p>
        </w:tc>
      </w:tr>
      <w:tr w:rsidR="00171AA8" w:rsidRPr="00731FE2" w14:paraId="3C43F292" w14:textId="77777777">
        <w:trPr>
          <w:trHeight w:val="230"/>
        </w:trPr>
        <w:tc>
          <w:tcPr>
            <w:tcW w:w="2976" w:type="dxa"/>
            <w:vMerge w:val="restart"/>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1DADFDC1" w14:textId="77777777" w:rsidR="00171AA8" w:rsidRPr="00731FE2" w:rsidRDefault="007935AB">
            <w:pPr>
              <w:pStyle w:val="afc"/>
              <w:pBdr>
                <w:top w:val="none" w:sz="4" w:space="0" w:color="000000"/>
                <w:left w:val="none" w:sz="4" w:space="0" w:color="000000"/>
                <w:bottom w:val="none" w:sz="4" w:space="0" w:color="000000"/>
                <w:right w:val="none" w:sz="4" w:space="0" w:color="000000"/>
              </w:pBdr>
              <w:rPr>
                <w:sz w:val="20"/>
                <w:szCs w:val="20"/>
              </w:rPr>
            </w:pPr>
            <w:r w:rsidRPr="00731FE2">
              <w:rPr>
                <w:sz w:val="20"/>
                <w:szCs w:val="20"/>
              </w:rPr>
              <w:t>сельская местность</w:t>
            </w:r>
          </w:p>
        </w:tc>
        <w:tc>
          <w:tcPr>
            <w:tcW w:w="3094" w:type="dxa"/>
            <w:vMerge w:val="restart"/>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36ECA12B"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sz w:val="20"/>
                <w:szCs w:val="20"/>
              </w:rPr>
            </w:pPr>
            <w:r w:rsidRPr="00731FE2">
              <w:rPr>
                <w:sz w:val="20"/>
                <w:szCs w:val="20"/>
              </w:rPr>
              <w:t>26100,00</w:t>
            </w:r>
          </w:p>
        </w:tc>
        <w:tc>
          <w:tcPr>
            <w:tcW w:w="3289" w:type="dxa"/>
            <w:vMerge w:val="restart"/>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2EEFB01C"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sz w:val="20"/>
                <w:szCs w:val="20"/>
              </w:rPr>
            </w:pPr>
            <w:r w:rsidRPr="00731FE2">
              <w:rPr>
                <w:sz w:val="20"/>
                <w:szCs w:val="20"/>
              </w:rPr>
              <w:t>22,90</w:t>
            </w:r>
          </w:p>
        </w:tc>
      </w:tr>
      <w:tr w:rsidR="00171AA8" w:rsidRPr="00731FE2" w14:paraId="34F041A8" w14:textId="77777777">
        <w:trPr>
          <w:trHeight w:val="263"/>
        </w:trPr>
        <w:tc>
          <w:tcPr>
            <w:tcW w:w="2976"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15BDA10F" w14:textId="77777777" w:rsidR="00171AA8" w:rsidRPr="00731FE2" w:rsidRDefault="007935AB">
            <w:pPr>
              <w:pStyle w:val="afc"/>
              <w:pBdr>
                <w:top w:val="none" w:sz="4" w:space="0" w:color="000000"/>
                <w:left w:val="none" w:sz="4" w:space="0" w:color="000000"/>
                <w:bottom w:val="none" w:sz="4" w:space="0" w:color="000000"/>
                <w:right w:val="none" w:sz="4" w:space="0" w:color="000000"/>
              </w:pBdr>
              <w:rPr>
                <w:b/>
                <w:bCs/>
                <w:sz w:val="20"/>
                <w:szCs w:val="20"/>
              </w:rPr>
            </w:pPr>
            <w:r w:rsidRPr="00731FE2">
              <w:rPr>
                <w:b/>
                <w:bCs/>
                <w:sz w:val="20"/>
                <w:szCs w:val="20"/>
              </w:rPr>
              <w:t>город-курорт Кисловодск</w:t>
            </w:r>
          </w:p>
        </w:tc>
        <w:tc>
          <w:tcPr>
            <w:tcW w:w="3094"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26D88402"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sz w:val="20"/>
                <w:szCs w:val="20"/>
              </w:rPr>
            </w:pPr>
            <w:r w:rsidRPr="00731FE2">
              <w:rPr>
                <w:sz w:val="20"/>
                <w:szCs w:val="20"/>
              </w:rPr>
              <w:t>3426,35</w:t>
            </w:r>
          </w:p>
        </w:tc>
        <w:tc>
          <w:tcPr>
            <w:tcW w:w="3289"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5B4D061C" w14:textId="77777777" w:rsidR="00171AA8" w:rsidRPr="00731FE2" w:rsidRDefault="007935AB">
            <w:pPr>
              <w:pStyle w:val="afc"/>
              <w:pBdr>
                <w:top w:val="none" w:sz="4" w:space="0" w:color="000000"/>
                <w:left w:val="none" w:sz="4" w:space="0" w:color="000000"/>
                <w:bottom w:val="none" w:sz="4" w:space="0" w:color="000000"/>
                <w:right w:val="none" w:sz="4" w:space="0" w:color="000000"/>
              </w:pBdr>
              <w:jc w:val="center"/>
              <w:rPr>
                <w:sz w:val="20"/>
                <w:szCs w:val="20"/>
              </w:rPr>
            </w:pPr>
            <w:r w:rsidRPr="00731FE2">
              <w:rPr>
                <w:sz w:val="20"/>
                <w:szCs w:val="20"/>
              </w:rPr>
              <w:t>25,59</w:t>
            </w:r>
          </w:p>
        </w:tc>
      </w:tr>
    </w:tbl>
    <w:p w14:paraId="00138993" w14:textId="77777777" w:rsidR="00171AA8" w:rsidRPr="00731FE2" w:rsidRDefault="00171AA8">
      <w:pPr>
        <w:pBdr>
          <w:top w:val="none" w:sz="4" w:space="0" w:color="000000"/>
          <w:left w:val="none" w:sz="4" w:space="0" w:color="000000"/>
          <w:bottom w:val="none" w:sz="4" w:space="0" w:color="000000"/>
          <w:right w:val="none" w:sz="4" w:space="0" w:color="000000"/>
        </w:pBdr>
        <w:rPr>
          <w:rFonts w:ascii="Times New Roman" w:hAnsi="Times New Roman" w:cs="Times New Roman"/>
        </w:rPr>
      </w:pPr>
    </w:p>
    <w:p w14:paraId="08918115"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 xml:space="preserve">В городском округе в конце 2023 г. на учете на получение жилой площади состояло 3347 семей (около 7% от общего числа семей городского округа), что явилось следствием </w:t>
      </w:r>
      <w:r w:rsidRPr="00731FE2">
        <w:rPr>
          <w:rFonts w:ascii="Times New Roman" w:eastAsia="Times New Roman" w:hAnsi="Times New Roman" w:cs="Times New Roman"/>
          <w:color w:val="000000"/>
          <w:szCs w:val="24"/>
        </w:rPr>
        <w:lastRenderedPageBreak/>
        <w:t>относительно невысоких средних показателей жилищной обеспеченности населения (таблица ниже).</w:t>
      </w:r>
    </w:p>
    <w:p w14:paraId="5111AA57"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szCs w:val="24"/>
        </w:rPr>
        <w:t>В течение 2015 г. получили жилую площадь и улучшили свои жилищные условия 37 семей, что составляло 1,1% от числа семей, состоящих в 2015 г. на учете на получение жилищной площади.</w:t>
      </w:r>
    </w:p>
    <w:p w14:paraId="2DC0BD71" w14:textId="77777777" w:rsidR="00171AA8" w:rsidRPr="00731FE2" w:rsidRDefault="00171AA8">
      <w:pPr>
        <w:pBdr>
          <w:top w:val="none" w:sz="4" w:space="0" w:color="000000"/>
          <w:left w:val="none" w:sz="4" w:space="0" w:color="000000"/>
          <w:bottom w:val="none" w:sz="4" w:space="0" w:color="000000"/>
          <w:right w:val="none" w:sz="4" w:space="0" w:color="000000"/>
        </w:pBdr>
        <w:rPr>
          <w:rFonts w:ascii="Times New Roman" w:hAnsi="Times New Roman" w:cs="Times New Roman"/>
        </w:rPr>
      </w:pPr>
    </w:p>
    <w:p w14:paraId="563066A6" w14:textId="77777777" w:rsidR="00171AA8" w:rsidRPr="00731FE2" w:rsidRDefault="007935AB">
      <w:pPr>
        <w:pStyle w:val="af3"/>
      </w:pPr>
      <w:r w:rsidRPr="00731FE2">
        <w:t xml:space="preserve">Таблица </w:t>
      </w:r>
      <w:r w:rsidR="00D97880" w:rsidRPr="00731FE2">
        <w:rPr>
          <w:noProof/>
        </w:rPr>
        <w:fldChar w:fldCharType="begin"/>
      </w:r>
      <w:r w:rsidR="00D97880" w:rsidRPr="00731FE2">
        <w:rPr>
          <w:noProof/>
        </w:rPr>
        <w:instrText xml:space="preserve"> SEQ Таблица \* Arabic </w:instrText>
      </w:r>
      <w:r w:rsidR="00D97880" w:rsidRPr="00731FE2">
        <w:rPr>
          <w:noProof/>
        </w:rPr>
        <w:fldChar w:fldCharType="separate"/>
      </w:r>
      <w:r w:rsidR="00C50915" w:rsidRPr="00731FE2">
        <w:rPr>
          <w:noProof/>
        </w:rPr>
        <w:t>59</w:t>
      </w:r>
      <w:r w:rsidR="00D97880" w:rsidRPr="00731FE2">
        <w:rPr>
          <w:noProof/>
        </w:rPr>
        <w:fldChar w:fldCharType="end"/>
      </w:r>
      <w:r w:rsidRPr="00731FE2">
        <w:t xml:space="preserve"> – Сравнительная характеристика жилищного фонда Ставропольского края и городского округа города-курорта Кисловодска, 2022 г., %</w:t>
      </w:r>
      <w:r w:rsidRPr="00731FE2">
        <w:rPr>
          <w:rStyle w:val="afb"/>
          <w:vertAlign w:val="superscript"/>
        </w:rPr>
        <w:footnoteReference w:id="97"/>
      </w:r>
    </w:p>
    <w:tbl>
      <w:tblPr>
        <w:tblStyle w:val="afe"/>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ayout w:type="fixed"/>
        <w:tblLook w:val="04A0" w:firstRow="1" w:lastRow="0" w:firstColumn="1" w:lastColumn="0" w:noHBand="0" w:noVBand="1"/>
      </w:tblPr>
      <w:tblGrid>
        <w:gridCol w:w="3968"/>
        <w:gridCol w:w="2578"/>
        <w:gridCol w:w="2793"/>
      </w:tblGrid>
      <w:tr w:rsidR="00171AA8" w:rsidRPr="00731FE2" w14:paraId="27F5D47E" w14:textId="77777777">
        <w:trPr>
          <w:trHeight w:val="578"/>
        </w:trPr>
        <w:tc>
          <w:tcPr>
            <w:tcW w:w="3968" w:type="dxa"/>
            <w:tcBorders>
              <w:top w:val="single" w:sz="8" w:space="0" w:color="000000"/>
              <w:left w:val="single" w:sz="8" w:space="0" w:color="000000"/>
              <w:bottom w:val="single" w:sz="8" w:space="0" w:color="000000"/>
              <w:right w:val="single" w:sz="8" w:space="0" w:color="000000"/>
            </w:tcBorders>
            <w:tcMar>
              <w:top w:w="13" w:type="dxa"/>
              <w:left w:w="13" w:type="dxa"/>
              <w:bottom w:w="0" w:type="dxa"/>
              <w:right w:w="13" w:type="dxa"/>
            </w:tcMar>
            <w:vAlign w:val="center"/>
          </w:tcPr>
          <w:p w14:paraId="19DEDCE7"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sz w:val="20"/>
                <w:szCs w:val="20"/>
              </w:rPr>
            </w:pPr>
            <w:r w:rsidRPr="00731FE2">
              <w:rPr>
                <w:sz w:val="20"/>
                <w:szCs w:val="20"/>
              </w:rPr>
              <w:t> Показатель</w:t>
            </w:r>
          </w:p>
        </w:tc>
        <w:tc>
          <w:tcPr>
            <w:tcW w:w="2578" w:type="dxa"/>
            <w:tcBorders>
              <w:top w:val="single" w:sz="8" w:space="0" w:color="000000"/>
              <w:left w:val="none" w:sz="4" w:space="0" w:color="000000"/>
              <w:bottom w:val="single" w:sz="8" w:space="0" w:color="000000"/>
              <w:right w:val="single" w:sz="8" w:space="0" w:color="000000"/>
            </w:tcBorders>
            <w:tcMar>
              <w:top w:w="13" w:type="dxa"/>
              <w:left w:w="13" w:type="dxa"/>
              <w:bottom w:w="0" w:type="dxa"/>
              <w:right w:w="13" w:type="dxa"/>
            </w:tcMar>
            <w:vAlign w:val="center"/>
          </w:tcPr>
          <w:p w14:paraId="15CD414B"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sz w:val="20"/>
                <w:szCs w:val="20"/>
              </w:rPr>
            </w:pPr>
            <w:r w:rsidRPr="00731FE2">
              <w:rPr>
                <w:sz w:val="20"/>
                <w:szCs w:val="20"/>
              </w:rPr>
              <w:t xml:space="preserve">Ставропольский край </w:t>
            </w:r>
          </w:p>
        </w:tc>
        <w:tc>
          <w:tcPr>
            <w:tcW w:w="2793" w:type="dxa"/>
            <w:tcBorders>
              <w:top w:val="single" w:sz="8" w:space="0" w:color="000000"/>
              <w:left w:val="none" w:sz="4" w:space="0" w:color="000000"/>
              <w:bottom w:val="single" w:sz="8" w:space="0" w:color="000000"/>
              <w:right w:val="single" w:sz="8" w:space="0" w:color="000000"/>
            </w:tcBorders>
            <w:tcMar>
              <w:top w:w="13" w:type="dxa"/>
              <w:left w:w="13" w:type="dxa"/>
              <w:bottom w:w="0" w:type="dxa"/>
              <w:right w:w="13" w:type="dxa"/>
            </w:tcMar>
            <w:vAlign w:val="center"/>
          </w:tcPr>
          <w:p w14:paraId="7E4E96A3"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sz w:val="20"/>
                <w:szCs w:val="20"/>
              </w:rPr>
            </w:pPr>
            <w:r w:rsidRPr="00731FE2">
              <w:rPr>
                <w:sz w:val="20"/>
                <w:szCs w:val="20"/>
              </w:rPr>
              <w:t>Городской округ город-курорт Кисловодск</w:t>
            </w:r>
          </w:p>
        </w:tc>
      </w:tr>
      <w:tr w:rsidR="00171AA8" w:rsidRPr="00731FE2" w14:paraId="73BC6F57" w14:textId="77777777">
        <w:trPr>
          <w:trHeight w:val="544"/>
        </w:trPr>
        <w:tc>
          <w:tcPr>
            <w:tcW w:w="3968" w:type="dxa"/>
            <w:tcBorders>
              <w:top w:val="none" w:sz="4" w:space="0" w:color="000000"/>
              <w:left w:val="single" w:sz="8" w:space="0" w:color="000000"/>
              <w:bottom w:val="single" w:sz="8" w:space="0" w:color="000000"/>
              <w:right w:val="single" w:sz="8" w:space="0" w:color="000000"/>
            </w:tcBorders>
            <w:tcMar>
              <w:top w:w="13" w:type="dxa"/>
              <w:left w:w="13" w:type="dxa"/>
              <w:bottom w:w="0" w:type="dxa"/>
              <w:right w:w="13" w:type="dxa"/>
            </w:tcMar>
            <w:vAlign w:val="center"/>
          </w:tcPr>
          <w:p w14:paraId="1CE5A132"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left"/>
              <w:rPr>
                <w:b w:val="0"/>
                <w:bCs w:val="0"/>
                <w:sz w:val="20"/>
                <w:szCs w:val="20"/>
              </w:rPr>
            </w:pPr>
            <w:r w:rsidRPr="00731FE2">
              <w:rPr>
                <w:b w:val="0"/>
                <w:bCs w:val="0"/>
                <w:sz w:val="20"/>
                <w:szCs w:val="20"/>
              </w:rPr>
              <w:t>Число семей, состоящих на учете для получения жилой площади, ед.</w:t>
            </w:r>
          </w:p>
        </w:tc>
        <w:tc>
          <w:tcPr>
            <w:tcW w:w="2578" w:type="dxa"/>
            <w:tcBorders>
              <w:top w:val="none" w:sz="4" w:space="0" w:color="000000"/>
              <w:left w:val="none" w:sz="4" w:space="0" w:color="000000"/>
              <w:bottom w:val="single" w:sz="8" w:space="0" w:color="000000"/>
              <w:right w:val="single" w:sz="8" w:space="0" w:color="000000"/>
            </w:tcBorders>
            <w:tcMar>
              <w:top w:w="13" w:type="dxa"/>
              <w:left w:w="13" w:type="dxa"/>
              <w:bottom w:w="0" w:type="dxa"/>
              <w:right w:w="13" w:type="dxa"/>
            </w:tcMar>
            <w:vAlign w:val="center"/>
          </w:tcPr>
          <w:p w14:paraId="3065B037"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b w:val="0"/>
                <w:bCs w:val="0"/>
                <w:sz w:val="20"/>
                <w:szCs w:val="20"/>
              </w:rPr>
            </w:pPr>
            <w:r w:rsidRPr="00731FE2">
              <w:rPr>
                <w:b w:val="0"/>
                <w:bCs w:val="0"/>
                <w:sz w:val="20"/>
                <w:szCs w:val="20"/>
              </w:rPr>
              <w:t>45179</w:t>
            </w:r>
          </w:p>
        </w:tc>
        <w:tc>
          <w:tcPr>
            <w:tcW w:w="2793" w:type="dxa"/>
            <w:tcBorders>
              <w:top w:val="none" w:sz="4" w:space="0" w:color="000000"/>
              <w:left w:val="none" w:sz="4" w:space="0" w:color="000000"/>
              <w:bottom w:val="single" w:sz="8" w:space="0" w:color="000000"/>
              <w:right w:val="single" w:sz="8" w:space="0" w:color="000000"/>
            </w:tcBorders>
            <w:tcMar>
              <w:top w:w="13" w:type="dxa"/>
              <w:left w:w="13" w:type="dxa"/>
              <w:bottom w:w="0" w:type="dxa"/>
              <w:right w:w="13" w:type="dxa"/>
            </w:tcMar>
            <w:vAlign w:val="center"/>
          </w:tcPr>
          <w:p w14:paraId="4825F889"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b w:val="0"/>
                <w:bCs w:val="0"/>
                <w:sz w:val="20"/>
                <w:szCs w:val="20"/>
              </w:rPr>
            </w:pPr>
            <w:r w:rsidRPr="00731FE2">
              <w:rPr>
                <w:b w:val="0"/>
                <w:bCs w:val="0"/>
                <w:sz w:val="20"/>
                <w:szCs w:val="20"/>
              </w:rPr>
              <w:t>3295</w:t>
            </w:r>
          </w:p>
        </w:tc>
      </w:tr>
      <w:tr w:rsidR="00171AA8" w:rsidRPr="00731FE2" w14:paraId="75D48364" w14:textId="77777777">
        <w:trPr>
          <w:trHeight w:val="538"/>
        </w:trPr>
        <w:tc>
          <w:tcPr>
            <w:tcW w:w="3968" w:type="dxa"/>
            <w:tcBorders>
              <w:top w:val="none" w:sz="4" w:space="0" w:color="000000"/>
              <w:left w:val="single" w:sz="8" w:space="0" w:color="000000"/>
              <w:bottom w:val="single" w:sz="8" w:space="0" w:color="000000"/>
              <w:right w:val="single" w:sz="8" w:space="0" w:color="000000"/>
            </w:tcBorders>
            <w:tcMar>
              <w:top w:w="13" w:type="dxa"/>
              <w:left w:w="13" w:type="dxa"/>
              <w:bottom w:w="0" w:type="dxa"/>
              <w:right w:w="13" w:type="dxa"/>
            </w:tcMar>
            <w:vAlign w:val="center"/>
          </w:tcPr>
          <w:p w14:paraId="1F085910"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left"/>
              <w:rPr>
                <w:b w:val="0"/>
                <w:bCs w:val="0"/>
                <w:sz w:val="20"/>
                <w:szCs w:val="20"/>
              </w:rPr>
            </w:pPr>
            <w:r w:rsidRPr="00731FE2">
              <w:rPr>
                <w:b w:val="0"/>
                <w:bCs w:val="0"/>
                <w:sz w:val="20"/>
                <w:szCs w:val="20"/>
              </w:rPr>
              <w:t>Число семей, получивших жилую площадь и улучшивших жилищные условия, ед.</w:t>
            </w:r>
          </w:p>
        </w:tc>
        <w:tc>
          <w:tcPr>
            <w:tcW w:w="2578" w:type="dxa"/>
            <w:tcBorders>
              <w:top w:val="none" w:sz="4" w:space="0" w:color="000000"/>
              <w:left w:val="none" w:sz="4" w:space="0" w:color="000000"/>
              <w:bottom w:val="single" w:sz="8" w:space="0" w:color="000000"/>
              <w:right w:val="single" w:sz="8" w:space="0" w:color="000000"/>
            </w:tcBorders>
            <w:tcMar>
              <w:top w:w="13" w:type="dxa"/>
              <w:left w:w="13" w:type="dxa"/>
              <w:bottom w:w="0" w:type="dxa"/>
              <w:right w:w="13" w:type="dxa"/>
            </w:tcMar>
            <w:vAlign w:val="center"/>
          </w:tcPr>
          <w:p w14:paraId="1E4D896A"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b w:val="0"/>
                <w:bCs w:val="0"/>
                <w:sz w:val="20"/>
                <w:szCs w:val="20"/>
              </w:rPr>
            </w:pPr>
            <w:r w:rsidRPr="00731FE2">
              <w:rPr>
                <w:b w:val="0"/>
                <w:bCs w:val="0"/>
                <w:sz w:val="20"/>
                <w:szCs w:val="20"/>
              </w:rPr>
              <w:t>1524</w:t>
            </w:r>
          </w:p>
        </w:tc>
        <w:tc>
          <w:tcPr>
            <w:tcW w:w="2793" w:type="dxa"/>
            <w:tcBorders>
              <w:top w:val="none" w:sz="4" w:space="0" w:color="000000"/>
              <w:left w:val="none" w:sz="4" w:space="0" w:color="000000"/>
              <w:bottom w:val="single" w:sz="8" w:space="0" w:color="000000"/>
              <w:right w:val="single" w:sz="8" w:space="0" w:color="000000"/>
            </w:tcBorders>
            <w:tcMar>
              <w:top w:w="13" w:type="dxa"/>
              <w:left w:w="13" w:type="dxa"/>
              <w:bottom w:w="0" w:type="dxa"/>
              <w:right w:w="13" w:type="dxa"/>
            </w:tcMar>
            <w:vAlign w:val="center"/>
          </w:tcPr>
          <w:p w14:paraId="1F9D6FBE"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b w:val="0"/>
                <w:bCs w:val="0"/>
                <w:sz w:val="20"/>
                <w:szCs w:val="20"/>
              </w:rPr>
            </w:pPr>
            <w:r w:rsidRPr="00731FE2">
              <w:rPr>
                <w:b w:val="0"/>
                <w:bCs w:val="0"/>
                <w:sz w:val="20"/>
                <w:szCs w:val="20"/>
              </w:rPr>
              <w:t>25</w:t>
            </w:r>
          </w:p>
        </w:tc>
      </w:tr>
      <w:tr w:rsidR="00171AA8" w:rsidRPr="00731FE2" w14:paraId="3758590A" w14:textId="77777777">
        <w:trPr>
          <w:trHeight w:val="546"/>
        </w:trPr>
        <w:tc>
          <w:tcPr>
            <w:tcW w:w="3968" w:type="dxa"/>
            <w:tcBorders>
              <w:top w:val="none" w:sz="4" w:space="0" w:color="000000"/>
              <w:left w:val="single" w:sz="8" w:space="0" w:color="000000"/>
              <w:bottom w:val="single" w:sz="8" w:space="0" w:color="000000"/>
              <w:right w:val="single" w:sz="8" w:space="0" w:color="000000"/>
            </w:tcBorders>
            <w:tcMar>
              <w:top w:w="13" w:type="dxa"/>
              <w:left w:w="13" w:type="dxa"/>
              <w:bottom w:w="0" w:type="dxa"/>
              <w:right w:w="13" w:type="dxa"/>
            </w:tcMar>
            <w:vAlign w:val="center"/>
          </w:tcPr>
          <w:p w14:paraId="74C19C72"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left"/>
              <w:rPr>
                <w:b w:val="0"/>
                <w:bCs w:val="0"/>
                <w:sz w:val="20"/>
                <w:szCs w:val="20"/>
              </w:rPr>
            </w:pPr>
            <w:r w:rsidRPr="00731FE2">
              <w:rPr>
                <w:b w:val="0"/>
                <w:bCs w:val="0"/>
                <w:sz w:val="20"/>
                <w:szCs w:val="20"/>
              </w:rPr>
              <w:t>Удельный вес семей, получивших жилье, в числе семей, состоявших на учете, %</w:t>
            </w:r>
          </w:p>
        </w:tc>
        <w:tc>
          <w:tcPr>
            <w:tcW w:w="2578" w:type="dxa"/>
            <w:tcBorders>
              <w:top w:val="none" w:sz="4" w:space="0" w:color="000000"/>
              <w:left w:val="none" w:sz="4" w:space="0" w:color="000000"/>
              <w:bottom w:val="single" w:sz="8" w:space="0" w:color="000000"/>
              <w:right w:val="single" w:sz="8" w:space="0" w:color="000000"/>
            </w:tcBorders>
            <w:tcMar>
              <w:top w:w="13" w:type="dxa"/>
              <w:left w:w="13" w:type="dxa"/>
              <w:bottom w:w="0" w:type="dxa"/>
              <w:right w:w="13" w:type="dxa"/>
            </w:tcMar>
            <w:vAlign w:val="center"/>
          </w:tcPr>
          <w:p w14:paraId="429BAAD7"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b w:val="0"/>
                <w:bCs w:val="0"/>
                <w:sz w:val="20"/>
                <w:szCs w:val="20"/>
              </w:rPr>
            </w:pPr>
            <w:r w:rsidRPr="00731FE2">
              <w:rPr>
                <w:b w:val="0"/>
                <w:bCs w:val="0"/>
                <w:sz w:val="20"/>
                <w:szCs w:val="20"/>
              </w:rPr>
              <w:t>3,4</w:t>
            </w:r>
          </w:p>
        </w:tc>
        <w:tc>
          <w:tcPr>
            <w:tcW w:w="2793" w:type="dxa"/>
            <w:tcBorders>
              <w:top w:val="none" w:sz="4" w:space="0" w:color="000000"/>
              <w:left w:val="none" w:sz="4" w:space="0" w:color="000000"/>
              <w:bottom w:val="single" w:sz="8" w:space="0" w:color="000000"/>
              <w:right w:val="single" w:sz="8" w:space="0" w:color="000000"/>
            </w:tcBorders>
            <w:tcMar>
              <w:top w:w="13" w:type="dxa"/>
              <w:left w:w="13" w:type="dxa"/>
              <w:bottom w:w="0" w:type="dxa"/>
              <w:right w:w="13" w:type="dxa"/>
            </w:tcMar>
            <w:vAlign w:val="center"/>
          </w:tcPr>
          <w:p w14:paraId="68F5C375"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b w:val="0"/>
                <w:bCs w:val="0"/>
                <w:sz w:val="20"/>
                <w:szCs w:val="20"/>
              </w:rPr>
            </w:pPr>
            <w:r w:rsidRPr="00731FE2">
              <w:rPr>
                <w:b w:val="0"/>
                <w:bCs w:val="0"/>
                <w:sz w:val="20"/>
                <w:szCs w:val="20"/>
              </w:rPr>
              <w:t>0,8</w:t>
            </w:r>
          </w:p>
        </w:tc>
      </w:tr>
    </w:tbl>
    <w:p w14:paraId="535C9FEF" w14:textId="77777777" w:rsidR="00171AA8" w:rsidRPr="00731FE2" w:rsidRDefault="00171AA8">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p>
    <w:p w14:paraId="237082B8"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b/>
          <w:bCs/>
        </w:rPr>
      </w:pPr>
      <w:r w:rsidRPr="00731FE2">
        <w:rPr>
          <w:rFonts w:ascii="Times New Roman" w:eastAsia="Times New Roman" w:hAnsi="Times New Roman" w:cs="Times New Roman"/>
          <w:b/>
          <w:bCs/>
          <w:color w:val="000000"/>
          <w:szCs w:val="24"/>
        </w:rPr>
        <w:t>Кроме тенденций, отмеченных выше, в городском округе происходит естественное старение существующего жилищного фонда, повышается доля ветхого фонда.</w:t>
      </w:r>
    </w:p>
    <w:p w14:paraId="2E53A017"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b/>
          <w:bCs/>
          <w:color w:val="000000"/>
          <w:szCs w:val="24"/>
        </w:rPr>
        <w:t xml:space="preserve">Жилищное строительство. </w:t>
      </w:r>
      <w:r w:rsidRPr="00731FE2">
        <w:rPr>
          <w:rFonts w:ascii="Times New Roman" w:eastAsia="Times New Roman" w:hAnsi="Times New Roman" w:cs="Times New Roman"/>
          <w:color w:val="000000"/>
          <w:szCs w:val="24"/>
        </w:rPr>
        <w:t>За период 2019-2022 гг. введено в эксплуатацию 197,1 тыс. м</w:t>
      </w:r>
      <w:proofErr w:type="gramStart"/>
      <w:r w:rsidRPr="00731FE2">
        <w:rPr>
          <w:rFonts w:ascii="Times New Roman" w:eastAsia="Times New Roman" w:hAnsi="Times New Roman" w:cs="Times New Roman"/>
          <w:color w:val="000000"/>
          <w:szCs w:val="24"/>
          <w:vertAlign w:val="superscript"/>
        </w:rPr>
        <w:t>2</w:t>
      </w:r>
      <w:proofErr w:type="gramEnd"/>
      <w:r w:rsidRPr="00731FE2">
        <w:rPr>
          <w:rFonts w:ascii="Times New Roman" w:eastAsia="Times New Roman" w:hAnsi="Times New Roman" w:cs="Times New Roman"/>
          <w:color w:val="000000"/>
          <w:szCs w:val="24"/>
        </w:rPr>
        <w:t xml:space="preserve"> жилой площади, из которых в 2022 г. введено 30,5 тыс. м</w:t>
      </w:r>
      <w:r w:rsidRPr="00731FE2">
        <w:rPr>
          <w:rFonts w:ascii="Times New Roman" w:eastAsia="Times New Roman" w:hAnsi="Times New Roman" w:cs="Times New Roman"/>
          <w:color w:val="000000"/>
          <w:szCs w:val="24"/>
          <w:vertAlign w:val="superscript"/>
        </w:rPr>
        <w:t>2</w:t>
      </w:r>
      <w:r w:rsidRPr="00731FE2">
        <w:rPr>
          <w:rFonts w:ascii="Times New Roman" w:eastAsia="Times New Roman" w:hAnsi="Times New Roman" w:cs="Times New Roman"/>
          <w:color w:val="000000"/>
          <w:szCs w:val="24"/>
        </w:rPr>
        <w:t xml:space="preserve"> общей площади жилых домов</w:t>
      </w:r>
      <w:r w:rsidRPr="00731FE2">
        <w:rPr>
          <w:rStyle w:val="afb"/>
          <w:rFonts w:ascii="Times New Roman" w:eastAsia="Times New Roman" w:hAnsi="Times New Roman" w:cs="Times New Roman"/>
          <w:color w:val="000000"/>
          <w:szCs w:val="24"/>
        </w:rPr>
        <w:t xml:space="preserve">, в том числе многоквартирных домов – 30,1 </w:t>
      </w:r>
      <w:r w:rsidRPr="00731FE2">
        <w:rPr>
          <w:rFonts w:ascii="Times New Roman" w:eastAsia="Times New Roman" w:hAnsi="Times New Roman" w:cs="Times New Roman"/>
          <w:color w:val="000000"/>
          <w:szCs w:val="24"/>
        </w:rPr>
        <w:t>тыс. м</w:t>
      </w:r>
      <w:r w:rsidRPr="00731FE2">
        <w:rPr>
          <w:rFonts w:ascii="Times New Roman" w:eastAsia="Times New Roman" w:hAnsi="Times New Roman" w:cs="Times New Roman"/>
          <w:color w:val="000000"/>
          <w:szCs w:val="24"/>
          <w:vertAlign w:val="superscript"/>
        </w:rPr>
        <w:t>2</w:t>
      </w:r>
      <w:r w:rsidRPr="00731FE2">
        <w:rPr>
          <w:rFonts w:ascii="Times New Roman" w:eastAsia="Times New Roman" w:hAnsi="Times New Roman" w:cs="Times New Roman"/>
          <w:color w:val="000000"/>
          <w:szCs w:val="24"/>
        </w:rPr>
        <w:t>. Объемы строительства снизились в сравнении с предыдущим годом. В 2021 году введено в эксплуатацию общей 55,5 тыс. м</w:t>
      </w:r>
      <w:proofErr w:type="gramStart"/>
      <w:r w:rsidRPr="00731FE2">
        <w:rPr>
          <w:rFonts w:ascii="Times New Roman" w:eastAsia="Times New Roman" w:hAnsi="Times New Roman" w:cs="Times New Roman"/>
          <w:color w:val="000000"/>
          <w:szCs w:val="24"/>
          <w:vertAlign w:val="superscript"/>
        </w:rPr>
        <w:t>2</w:t>
      </w:r>
      <w:proofErr w:type="gramEnd"/>
      <w:r w:rsidRPr="00731FE2">
        <w:rPr>
          <w:rFonts w:ascii="Times New Roman" w:eastAsia="Times New Roman" w:hAnsi="Times New Roman" w:cs="Times New Roman"/>
          <w:color w:val="000000"/>
          <w:szCs w:val="24"/>
        </w:rPr>
        <w:t xml:space="preserve"> площади жилых домов </w:t>
      </w:r>
      <w:r w:rsidRPr="00731FE2">
        <w:rPr>
          <w:rStyle w:val="afb"/>
          <w:rFonts w:ascii="Times New Roman" w:eastAsia="Times New Roman" w:hAnsi="Times New Roman" w:cs="Times New Roman"/>
          <w:color w:val="000000"/>
          <w:szCs w:val="24"/>
        </w:rPr>
        <w:t xml:space="preserve">, в том числе многоквартирных домов – </w:t>
      </w:r>
      <w:r w:rsidRPr="00731FE2">
        <w:rPr>
          <w:rFonts w:ascii="Times New Roman" w:eastAsia="Times New Roman" w:hAnsi="Times New Roman" w:cs="Times New Roman"/>
          <w:color w:val="000000"/>
          <w:szCs w:val="24"/>
        </w:rPr>
        <w:t>52,9 тыс. м</w:t>
      </w:r>
      <w:r w:rsidRPr="00731FE2">
        <w:rPr>
          <w:rFonts w:ascii="Times New Roman" w:eastAsia="Times New Roman" w:hAnsi="Times New Roman" w:cs="Times New Roman"/>
          <w:color w:val="000000"/>
          <w:szCs w:val="24"/>
          <w:vertAlign w:val="superscript"/>
        </w:rPr>
        <w:t xml:space="preserve">2 </w:t>
      </w:r>
      <w:r w:rsidRPr="00731FE2">
        <w:rPr>
          <w:rStyle w:val="afb"/>
          <w:rFonts w:ascii="Times New Roman" w:eastAsia="Times New Roman" w:hAnsi="Times New Roman" w:cs="Times New Roman"/>
          <w:color w:val="000000"/>
          <w:szCs w:val="24"/>
          <w:vertAlign w:val="superscript"/>
        </w:rPr>
        <w:footnoteReference w:id="98"/>
      </w:r>
      <w:r w:rsidRPr="00731FE2">
        <w:rPr>
          <w:rFonts w:ascii="Times New Roman" w:eastAsia="Times New Roman" w:hAnsi="Times New Roman" w:cs="Times New Roman"/>
          <w:color w:val="000000"/>
          <w:szCs w:val="24"/>
        </w:rPr>
        <w:t>.</w:t>
      </w:r>
    </w:p>
    <w:p w14:paraId="593164A0"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Объем введенного жилья на одного человека в 2022 г. составил 0,227 м</w:t>
      </w:r>
      <w:proofErr w:type="gramStart"/>
      <w:r w:rsidRPr="00731FE2">
        <w:rPr>
          <w:rFonts w:ascii="Times New Roman" w:eastAsia="Times New Roman" w:hAnsi="Times New Roman" w:cs="Times New Roman"/>
          <w:color w:val="000000"/>
          <w:szCs w:val="24"/>
          <w:vertAlign w:val="superscript"/>
        </w:rPr>
        <w:t>2</w:t>
      </w:r>
      <w:proofErr w:type="gramEnd"/>
      <w:r w:rsidRPr="00731FE2">
        <w:rPr>
          <w:rFonts w:ascii="Times New Roman" w:eastAsia="Times New Roman" w:hAnsi="Times New Roman" w:cs="Times New Roman"/>
          <w:color w:val="000000"/>
          <w:szCs w:val="24"/>
        </w:rPr>
        <w:t>. В среднем на одного жителя округа ежегодно вводится 0,364 м</w:t>
      </w:r>
      <w:proofErr w:type="gramStart"/>
      <w:r w:rsidRPr="00731FE2">
        <w:rPr>
          <w:rFonts w:ascii="Times New Roman" w:eastAsia="Times New Roman" w:hAnsi="Times New Roman" w:cs="Times New Roman"/>
          <w:color w:val="000000"/>
          <w:szCs w:val="24"/>
          <w:vertAlign w:val="superscript"/>
        </w:rPr>
        <w:t>2</w:t>
      </w:r>
      <w:proofErr w:type="gramEnd"/>
      <w:r w:rsidRPr="00731FE2">
        <w:rPr>
          <w:rFonts w:ascii="Times New Roman" w:eastAsia="Times New Roman" w:hAnsi="Times New Roman" w:cs="Times New Roman"/>
          <w:color w:val="000000"/>
          <w:szCs w:val="24"/>
        </w:rPr>
        <w:t xml:space="preserve"> жилья. Показатель ниже краевого значения – 0,484 м</w:t>
      </w:r>
      <w:proofErr w:type="gramStart"/>
      <w:r w:rsidRPr="00731FE2">
        <w:rPr>
          <w:rFonts w:ascii="Times New Roman" w:eastAsia="Times New Roman" w:hAnsi="Times New Roman" w:cs="Times New Roman"/>
          <w:color w:val="000000"/>
          <w:szCs w:val="24"/>
          <w:vertAlign w:val="superscript"/>
        </w:rPr>
        <w:t>2</w:t>
      </w:r>
      <w:proofErr w:type="gramEnd"/>
      <w:r w:rsidRPr="00731FE2">
        <w:rPr>
          <w:rFonts w:ascii="Times New Roman" w:eastAsia="Times New Roman" w:hAnsi="Times New Roman" w:cs="Times New Roman"/>
          <w:color w:val="000000"/>
          <w:szCs w:val="24"/>
        </w:rPr>
        <w:t>.</w:t>
      </w:r>
    </w:p>
    <w:p w14:paraId="56EE38E6"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b/>
          <w:bCs/>
          <w:color w:val="000000"/>
          <w:szCs w:val="24"/>
        </w:rPr>
      </w:pPr>
      <w:r w:rsidRPr="00731FE2">
        <w:rPr>
          <w:rFonts w:ascii="Times New Roman" w:eastAsia="Times New Roman" w:hAnsi="Times New Roman" w:cs="Times New Roman"/>
          <w:b/>
          <w:bCs/>
          <w:color w:val="000000"/>
          <w:szCs w:val="24"/>
        </w:rPr>
        <w:t>Для обеспечения соответствия жилых помещений городского округа установленным санитарным, техническим правилам и нормам, эффективного использования жилищного фонда необходимо своевременное осуществление мероприятий по восстановлению и улучшению состояния зданий, снижению уровня их износа.</w:t>
      </w:r>
    </w:p>
    <w:p w14:paraId="0C09A32E"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b/>
          <w:bCs/>
          <w:color w:val="000000"/>
          <w:szCs w:val="24"/>
        </w:rPr>
      </w:pPr>
      <w:r w:rsidRPr="00731FE2">
        <w:rPr>
          <w:rFonts w:ascii="Times New Roman" w:eastAsia="Times New Roman" w:hAnsi="Times New Roman" w:cs="Times New Roman"/>
          <w:b/>
          <w:bCs/>
          <w:color w:val="000000"/>
          <w:szCs w:val="24"/>
        </w:rPr>
        <w:t xml:space="preserve">Показатель ежегодно вводимого жилья на одного человека в округе ниже краевого значения, что отражает необходимость увеличения темпов </w:t>
      </w:r>
      <w:r w:rsidR="007C46CA" w:rsidRPr="00731FE2">
        <w:rPr>
          <w:rFonts w:ascii="Times New Roman" w:eastAsia="Times New Roman" w:hAnsi="Times New Roman" w:cs="Times New Roman"/>
          <w:b/>
          <w:bCs/>
          <w:color w:val="000000"/>
          <w:szCs w:val="24"/>
        </w:rPr>
        <w:t>строительства</w:t>
      </w:r>
      <w:r w:rsidRPr="00731FE2">
        <w:rPr>
          <w:rFonts w:ascii="Times New Roman" w:eastAsia="Times New Roman" w:hAnsi="Times New Roman" w:cs="Times New Roman"/>
          <w:b/>
          <w:bCs/>
          <w:color w:val="000000"/>
          <w:szCs w:val="24"/>
        </w:rPr>
        <w:t xml:space="preserve"> жилья.</w:t>
      </w:r>
    </w:p>
    <w:p w14:paraId="68C5C418" w14:textId="77777777" w:rsidR="00171AA8" w:rsidRPr="00731FE2" w:rsidRDefault="007935AB">
      <w:pPr>
        <w:pBdr>
          <w:top w:val="none" w:sz="4" w:space="0" w:color="000000"/>
          <w:left w:val="none" w:sz="4" w:space="0" w:color="000000"/>
          <w:bottom w:val="none" w:sz="4" w:space="0" w:color="000000"/>
          <w:right w:val="none" w:sz="4" w:space="0" w:color="000000"/>
        </w:pBdr>
        <w:ind w:firstLine="0"/>
      </w:pPr>
      <w:r w:rsidRPr="00731FE2">
        <w:br/>
      </w:r>
    </w:p>
    <w:p w14:paraId="0600C941"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rPr>
      </w:pPr>
      <w:r w:rsidRPr="00731FE2">
        <w:rPr>
          <w:rFonts w:ascii="Times New Roman" w:hAnsi="Times New Roman" w:cs="Times New Roman"/>
        </w:rPr>
        <w:br w:type="page" w:clear="all"/>
      </w:r>
    </w:p>
    <w:p w14:paraId="673571BE" w14:textId="77777777" w:rsidR="00171AA8" w:rsidRPr="00731FE2" w:rsidRDefault="007935AB">
      <w:pPr>
        <w:pStyle w:val="13"/>
        <w:rPr>
          <w:rFonts w:ascii="Times New Roman" w:hAnsi="Times New Roman" w:cs="Times New Roman"/>
        </w:rPr>
      </w:pPr>
      <w:bookmarkStart w:id="56" w:name="_Toc177392807"/>
      <w:r w:rsidRPr="00731FE2">
        <w:rPr>
          <w:rFonts w:ascii="Times New Roman" w:hAnsi="Times New Roman" w:cs="Times New Roman"/>
        </w:rPr>
        <w:lastRenderedPageBreak/>
        <w:t>3. ОЦЕНКА ВОЗМОЖНОГО ВЛИЯНИЯ ПЛАНИРУЕМЫХ ДЛЯ РАЗМЕЩЕНИЯ ОБЪЕКТОВ МЕСТНОГО ЗНАЧЕНИЯ НА КОМПЛЕКСНОЕ РАЗВИТИЕ ТЕРРИТОРИИ</w:t>
      </w:r>
      <w:bookmarkEnd w:id="56"/>
    </w:p>
    <w:p w14:paraId="08596988" w14:textId="77777777" w:rsidR="00171AA8" w:rsidRPr="00731FE2" w:rsidRDefault="007935AB">
      <w:pPr>
        <w:pStyle w:val="24"/>
        <w:rPr>
          <w:rFonts w:ascii="Times New Roman" w:hAnsi="Times New Roman" w:cs="Times New Roman"/>
        </w:rPr>
      </w:pPr>
      <w:bookmarkStart w:id="57" w:name="_Toc177392808"/>
      <w:r w:rsidRPr="00731FE2">
        <w:rPr>
          <w:rFonts w:ascii="Times New Roman" w:hAnsi="Times New Roman" w:cs="Times New Roman"/>
        </w:rPr>
        <w:t>3.1 Анализ градостроительного развития города-курорта Кисловодска в документах территориального планирования</w:t>
      </w:r>
      <w:bookmarkEnd w:id="57"/>
    </w:p>
    <w:p w14:paraId="69324246"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Один из первых документов территориального планирования города-курорта Кисловодска – проект планировки (генеральный план) был выполнен в 1968 году Государственным институтом проектирования городов «ГИПРОГОР» по заданию Государственного комитета Совета Министров РСФСР по делам строительства (Госстроя РСФСР).</w:t>
      </w:r>
    </w:p>
    <w:p w14:paraId="4825564A"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В структуре документа авторами было выделено 15 глав. Была проведена подробная характеристика природных условий и ресурсов территории города, современного (на тот момент времени) состояния населения, планировочной структуры, уровня социально-экономического развития, озеленения, обеспеченности объектами транспортной и инженерной инфраструктур. Особое внимание в проекте планировки 1968 года уделялось архитектурно-</w:t>
      </w:r>
      <w:proofErr w:type="gramStart"/>
      <w:r w:rsidRPr="00731FE2">
        <w:rPr>
          <w:rFonts w:ascii="Times New Roman" w:hAnsi="Times New Roman" w:cs="Times New Roman"/>
          <w:color w:val="000000" w:themeColor="text1"/>
        </w:rPr>
        <w:t>планировочному решению</w:t>
      </w:r>
      <w:proofErr w:type="gramEnd"/>
      <w:r w:rsidRPr="00731FE2">
        <w:rPr>
          <w:rFonts w:ascii="Times New Roman" w:hAnsi="Times New Roman" w:cs="Times New Roman"/>
          <w:color w:val="000000" w:themeColor="text1"/>
        </w:rPr>
        <w:t xml:space="preserve"> генерального плана.</w:t>
      </w:r>
    </w:p>
    <w:p w14:paraId="5B6C2D12"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Анализ обозначенного документа показал, что еще в 1960-е годы проектировщиками был определен перечень недостатков (ограничений) города-курорта, «…препятствующих его дальнейшему гармоничному развитию на уровне современных градостроительных требований»</w:t>
      </w:r>
      <w:r w:rsidRPr="00731FE2">
        <w:rPr>
          <w:rFonts w:ascii="Times New Roman" w:hAnsi="Times New Roman" w:cs="Times New Roman"/>
          <w:color w:val="000000" w:themeColor="text1"/>
          <w:vertAlign w:val="superscript"/>
        </w:rPr>
        <w:footnoteReference w:id="99"/>
      </w:r>
      <w:r w:rsidRPr="00731FE2">
        <w:rPr>
          <w:rFonts w:ascii="Times New Roman" w:hAnsi="Times New Roman" w:cs="Times New Roman"/>
          <w:color w:val="000000" w:themeColor="text1"/>
        </w:rPr>
        <w:t>.</w:t>
      </w:r>
    </w:p>
    <w:p w14:paraId="600A03B9"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xml:space="preserve">В качестве </w:t>
      </w:r>
      <w:proofErr w:type="gramStart"/>
      <w:r w:rsidRPr="00731FE2">
        <w:rPr>
          <w:rFonts w:ascii="Times New Roman" w:hAnsi="Times New Roman" w:cs="Times New Roman"/>
          <w:color w:val="000000" w:themeColor="text1"/>
        </w:rPr>
        <w:t>основных</w:t>
      </w:r>
      <w:proofErr w:type="gramEnd"/>
      <w:r w:rsidRPr="00731FE2">
        <w:rPr>
          <w:rFonts w:ascii="Times New Roman" w:hAnsi="Times New Roman" w:cs="Times New Roman"/>
          <w:color w:val="000000" w:themeColor="text1"/>
        </w:rPr>
        <w:t xml:space="preserve"> были указаны недостатки (ограничения):</w:t>
      </w:r>
    </w:p>
    <w:p w14:paraId="7B3DB788" w14:textId="77777777" w:rsidR="00171AA8" w:rsidRPr="00731FE2" w:rsidRDefault="007935AB">
      <w:pPr>
        <w:pStyle w:val="a3"/>
        <w:numPr>
          <w:ilvl w:val="0"/>
          <w:numId w:val="27"/>
        </w:num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В курортной зоне среди курортных учреждений размещается еще много ветхой неблагоустроенной жилой застройки.</w:t>
      </w:r>
    </w:p>
    <w:p w14:paraId="09B6C8C2" w14:textId="77777777" w:rsidR="00171AA8" w:rsidRPr="00731FE2" w:rsidRDefault="007935AB">
      <w:pPr>
        <w:pStyle w:val="a3"/>
        <w:numPr>
          <w:ilvl w:val="0"/>
          <w:numId w:val="27"/>
        </w:num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В городе расположен ряд промышленных предприятий, не имеющих отношения к обслуживанию курорта. Предприятия хаотично разбросаны среди жилой застройки без необходимых санитарных разрывов, что резко ухудшает состояние города-курорта.</w:t>
      </w:r>
    </w:p>
    <w:p w14:paraId="444060C4" w14:textId="77777777" w:rsidR="00171AA8" w:rsidRPr="00731FE2" w:rsidRDefault="007935AB">
      <w:pPr>
        <w:pStyle w:val="a3"/>
        <w:numPr>
          <w:ilvl w:val="0"/>
          <w:numId w:val="27"/>
        </w:num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Жилая застройка в городе преимущественно одноэтажная турлучно-саманная с низкой степенью благоустройства.</w:t>
      </w:r>
    </w:p>
    <w:p w14:paraId="74CD1212" w14:textId="77777777" w:rsidR="00171AA8" w:rsidRPr="00731FE2" w:rsidRDefault="007935AB">
      <w:pPr>
        <w:pStyle w:val="a3"/>
        <w:numPr>
          <w:ilvl w:val="0"/>
          <w:numId w:val="27"/>
        </w:num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Уличная сеть в основном сложилась хаотически, нет четкой системы дифференцированных по назначению магистралей, не выделены необходимые в городе-курорте системы пешеходных связей.</w:t>
      </w:r>
    </w:p>
    <w:p w14:paraId="7A3B38B1" w14:textId="77777777" w:rsidR="00171AA8" w:rsidRPr="00731FE2" w:rsidRDefault="007935AB">
      <w:pPr>
        <w:pStyle w:val="a3"/>
        <w:numPr>
          <w:ilvl w:val="0"/>
          <w:numId w:val="27"/>
        </w:num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Отдельные здания и сооружения в городе привязываются случайно без единого композиционного плана, что не дает возможность создать законченные архитектурно-композиционные узлы в системе города.</w:t>
      </w:r>
    </w:p>
    <w:p w14:paraId="4CFADDC1" w14:textId="77777777" w:rsidR="00171AA8" w:rsidRPr="00731FE2" w:rsidRDefault="007935AB">
      <w:pPr>
        <w:pStyle w:val="a3"/>
        <w:numPr>
          <w:ilvl w:val="0"/>
          <w:numId w:val="27"/>
        </w:num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В городе очень мало зеленых насаждений общественного пользования, мало внимания уделяется организации и сохранению ландшафта.</w:t>
      </w:r>
    </w:p>
    <w:p w14:paraId="4F1A0DE7"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xml:space="preserve">Для преодоления обозначенных ограничений проектом планировки предполагалась реализация основных направлений пространственно-планировочного развития города: </w:t>
      </w:r>
    </w:p>
    <w:p w14:paraId="35943A20" w14:textId="77777777" w:rsidR="00171AA8" w:rsidRPr="00731FE2" w:rsidRDefault="007935AB">
      <w:pPr>
        <w:pStyle w:val="a3"/>
        <w:numPr>
          <w:ilvl w:val="0"/>
          <w:numId w:val="28"/>
        </w:num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Четкое отделение курортной зоны от селитебных территорий путем вывода ветхого и аварийного жилого фонда с территории курортной зоны.</w:t>
      </w:r>
    </w:p>
    <w:p w14:paraId="1286A3FC" w14:textId="77777777" w:rsidR="00171AA8" w:rsidRPr="00731FE2" w:rsidRDefault="007935AB">
      <w:pPr>
        <w:pStyle w:val="a3"/>
        <w:numPr>
          <w:ilvl w:val="0"/>
          <w:numId w:val="28"/>
        </w:num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lastRenderedPageBreak/>
        <w:t>Развитие композиционной структуры курорта за счет озеленения, благоустройства курортной зоны, создания в ней системы центров с многоступенчатым бальнеологическим и культурным обслуживанием лечащихся на курорте, а также путем организации пешеходных связей, соединяющих наиболее важные центры курорта и города, и имеющих выходы в лесопарковые зоны.</w:t>
      </w:r>
    </w:p>
    <w:p w14:paraId="524DC387" w14:textId="77777777" w:rsidR="00171AA8" w:rsidRPr="00731FE2" w:rsidRDefault="007935AB">
      <w:pPr>
        <w:pStyle w:val="a3"/>
        <w:numPr>
          <w:ilvl w:val="0"/>
          <w:numId w:val="28"/>
        </w:num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Проектирование и размещение районов нового курортного строительства на наиболее благоприятных (комфортных) территориях по условиям освещенности, проветриваемости и защищенности от зимних ветров.</w:t>
      </w:r>
    </w:p>
    <w:p w14:paraId="0C52E8BD" w14:textId="77777777" w:rsidR="00171AA8" w:rsidRPr="00731FE2" w:rsidRDefault="007935AB">
      <w:pPr>
        <w:pStyle w:val="a3"/>
        <w:numPr>
          <w:ilvl w:val="0"/>
          <w:numId w:val="28"/>
        </w:num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Ликвидация ряда промышленных предприятий, не соответствующих по профилю и санитарной вредности требованиям города-курорта, а также организация специальной промышленно-складской зоны, необходимой для обслуживания города-курорта.</w:t>
      </w:r>
    </w:p>
    <w:p w14:paraId="63B75434" w14:textId="77777777" w:rsidR="00171AA8" w:rsidRPr="00731FE2" w:rsidRDefault="007935AB">
      <w:pPr>
        <w:pStyle w:val="a3"/>
        <w:numPr>
          <w:ilvl w:val="0"/>
          <w:numId w:val="28"/>
        </w:num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Отделение движения транспорта от основных пешеходных улиц и аллей курортной части и центра города. Исключение транзитного движения через курортные территории, центр города и жилые районы. Упорядочение железнодорожного транспорта.</w:t>
      </w:r>
    </w:p>
    <w:p w14:paraId="0B263BEA" w14:textId="77777777" w:rsidR="00171AA8" w:rsidRPr="00731FE2" w:rsidRDefault="007935AB">
      <w:pPr>
        <w:pStyle w:val="a3"/>
        <w:numPr>
          <w:ilvl w:val="0"/>
          <w:numId w:val="28"/>
        </w:num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Организация развитой системы зеленых насаждений, пронизывающих, как курортные, так и жилые территории, и имеющих выходы к наиболее примечательным местам города-курорта. Создание ряда водоемов, обогащающих природные условия Кисловодска.</w:t>
      </w:r>
    </w:p>
    <w:p w14:paraId="54D53E7F" w14:textId="77777777" w:rsidR="00171AA8" w:rsidRPr="00731FE2" w:rsidRDefault="007935AB">
      <w:pPr>
        <w:pStyle w:val="a3"/>
        <w:numPr>
          <w:ilvl w:val="0"/>
          <w:numId w:val="28"/>
        </w:num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Необходимость сохранения ландшафта при проведении реконструкции селитебной территории делает целесообразным применение в повышенном размере точечной высотной застройки в сочетании с 1-2 этажными домами коттеджного типа.</w:t>
      </w:r>
    </w:p>
    <w:p w14:paraId="13CB7AB6"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Как видно из текста, приведенного выше, основная часть направлений градостроительного развития города-курорта предполагала оптимизацию его территориальной структуры, решение транспортных проблем, реконструкцию курортной зоны, масштабное озеленение территории. Однако не все указанные направления имели рациональный характер. Так, например, необходимость развития точечной многоэтажной жилой застройки вызывает сомнения.</w:t>
      </w:r>
    </w:p>
    <w:p w14:paraId="002F532A"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Вместо ветхого жилого фонда намечалось создание зеленых насаждений общекурортного назначения с размещением в них бальнеологических и курортно-зрелищных учреждений.</w:t>
      </w:r>
    </w:p>
    <w:p w14:paraId="32962AD4"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Проектом планировки были намечены (определены) районы нового санаторного строительства. Так, например, в районе Васюковой балки предполагалась реконструкция ветхого жилого фонда с размещением на этой территории площадок курортного строительства.</w:t>
      </w:r>
    </w:p>
    <w:p w14:paraId="45F5E62D"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Кроме этого, одним из районов развития курортной зоны был намечен район Широкой балки, в котором предлагалось создание оптимального по размерам комплекса санаториев с самостоятельным центром бальнеологического и культурно-бытового обслуживания. В проекте планировки 1968 г. был сформулирован ряд конструктивных проектных предложений по преобразованию (реконструкции) центральной части города для усиления его курортных преимуществ.</w:t>
      </w:r>
    </w:p>
    <w:p w14:paraId="058C2870"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Проспект Победы определялся как главная композиционная ось курорта, с особым значением жилого района на въезде в город, в силу «фасадной» роли этой части города.</w:t>
      </w:r>
    </w:p>
    <w:p w14:paraId="6CF80D3A"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lastRenderedPageBreak/>
        <w:t>Транспортная проблема и ее решение проходит «красной линией» через все документы территориального планирования города-курорта Кисловодска. Не является исключением и проект планировки 1968 г. Так, в нем особое место занимали вопросы создание системы городского транспорта. Проектом предлагалось создание сети дорог, удобно обслуживающих курортные комплексы и жилые районы, при этом эта сеть, согласно проекту, должна быть достаточно изолированной от пешеходных путей.</w:t>
      </w:r>
    </w:p>
    <w:p w14:paraId="03206149"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xml:space="preserve">Проект предполагал устройство двух кольцевых автодорог, частично по существующим улицам, частично с «пробивкой» новых магистралей: </w:t>
      </w:r>
    </w:p>
    <w:p w14:paraId="0C40E0B3"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«Малого кольца» – центральная часть города;</w:t>
      </w:r>
    </w:p>
    <w:p w14:paraId="2FF8E8D4"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«Большого кольца», охватывающего по периферии курортный район города и жилые районы «малого кольца».</w:t>
      </w:r>
    </w:p>
    <w:p w14:paraId="7B08E784"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С «Большого кольца» предусматривались выходы в Долину Нарзанов и к другим достопримечательностям. Широтные магистрали должны были соединить город и курортный район с городским парком и новым лесопарком. В общую единую систему должны быть завязаны парки и районы горы «Кольцо» и «Замка коварства и любви». Предлагалось, что проект планировки будет реализован в ряд последовательных очередей (этапов), на каждом из которых предполагалось сохранение целостности архитектурно-пространственной композиции и необходимых удо</w:t>
      </w:r>
      <w:proofErr w:type="gramStart"/>
      <w:r w:rsidRPr="00731FE2">
        <w:rPr>
          <w:rFonts w:ascii="Times New Roman" w:hAnsi="Times New Roman" w:cs="Times New Roman"/>
          <w:color w:val="000000" w:themeColor="text1"/>
        </w:rPr>
        <w:t>бств дл</w:t>
      </w:r>
      <w:proofErr w:type="gramEnd"/>
      <w:r w:rsidRPr="00731FE2">
        <w:rPr>
          <w:rFonts w:ascii="Times New Roman" w:hAnsi="Times New Roman" w:cs="Times New Roman"/>
          <w:color w:val="000000" w:themeColor="text1"/>
        </w:rPr>
        <w:t>я отдыхающих и жителей города.</w:t>
      </w:r>
    </w:p>
    <w:p w14:paraId="1FA6B418"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Таким образом, проект планировки (генеральный план) 1968 г. предполагал реализацию в рамках первой очереди (1975 г.) и расчетного срока (1990 г.). Намечалось увеличение объемов жилищного (исходя из нормы обеспеченности жильем в 12 м</w:t>
      </w:r>
      <w:proofErr w:type="gramStart"/>
      <w:r w:rsidRPr="00731FE2">
        <w:rPr>
          <w:rFonts w:ascii="Times New Roman" w:hAnsi="Times New Roman" w:cs="Times New Roman"/>
          <w:color w:val="000000" w:themeColor="text1"/>
        </w:rPr>
        <w:t>2</w:t>
      </w:r>
      <w:proofErr w:type="gramEnd"/>
      <w:r w:rsidRPr="00731FE2">
        <w:rPr>
          <w:rFonts w:ascii="Times New Roman" w:hAnsi="Times New Roman" w:cs="Times New Roman"/>
          <w:color w:val="000000" w:themeColor="text1"/>
        </w:rPr>
        <w:t xml:space="preserve"> на человека) и санаторно-курортного строительства (до 16 тыс. койко-мест).</w:t>
      </w:r>
    </w:p>
    <w:p w14:paraId="5957C59F"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Проектом предусматривалась организация 3-х крупных планировочных районов – Западного, Восточного и Юго-Западного. В итоге, к концу 1980-х гг. застройка Западного планировочного района была осуществлена на 80%, Восточного – не более чем на 60%. Реконструкция центральной части города оказалась невозможной в связи со сложностью сноса индивидуального жилого фонда. Намеченные проектом планировки (генеральным планом) объемы реконструкции были реализованы не более чем на 50%.</w:t>
      </w:r>
    </w:p>
    <w:p w14:paraId="17455ADA"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Были превышены запланированные показатели численности населения (на 19,5%), проектной мощности курортно-рекреационных учреждений (на 1 тыс. мест), кроме этого на стадии строительства в этот период находилось еще 1,3 тыс. мест.</w:t>
      </w:r>
    </w:p>
    <w:p w14:paraId="5ABB1ADC"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В целом, масштабы развития многоэтажного жилищного строительства (35% от общей площади жилой застройки) оказались завышенными и неоправданными.</w:t>
      </w:r>
    </w:p>
    <w:p w14:paraId="57025691"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Генеральный план города-курорта Кисловодска 1989 года также разработан государственным институтом проектирования городов «ГИПРОГОР». Данный генеральный план предполагал реализацию проектных мероприятий и предложений на расчетный срок – 2010 г. с выделением 1-й очереди строительства (1995 г.) и промежуточного срока (2000 г.).</w:t>
      </w:r>
    </w:p>
    <w:p w14:paraId="0FBFE10E"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Проект генерального плана 1989 г. содержит детальный и подробный анализ современной (на 1989 г.) планировочной ситуации, учитывает масштабы развития хозяйственного комплекса города-курорта.</w:t>
      </w:r>
    </w:p>
    <w:p w14:paraId="4F298A89"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xml:space="preserve">В нем были сформулированы предложения по территориальному развитию, функциональному зонированию и архитектурно-планировочной структуре города, развитию санаторно-курортного комплекса, системы транспортного обслуживания, </w:t>
      </w:r>
      <w:r w:rsidRPr="00731FE2">
        <w:rPr>
          <w:rFonts w:ascii="Times New Roman" w:hAnsi="Times New Roman" w:cs="Times New Roman"/>
          <w:color w:val="000000" w:themeColor="text1"/>
        </w:rPr>
        <w:lastRenderedPageBreak/>
        <w:t>инженерного оборудования, благоустройства территории. Кроме этого исключительную важность представляет тот факт, что проект содержал комплекс градостроительных мероприятий, обеспечивающих охрану окружающей среды и ее рациональное использование.</w:t>
      </w:r>
    </w:p>
    <w:p w14:paraId="07B4894F"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Согласно генеральному плану численность постоянного населения города-курорта Кисловодска проектировалась на уровне 113 тыс. человек на 1-ю очередь и 130 тыс. человек на расчетный срок. Анализ указанного генерального плана показывает, что в его структуре было выделено 16 глав. Структура данного проекта отличалось полнотой и большим охватом тематических разделов.</w:t>
      </w:r>
    </w:p>
    <w:p w14:paraId="34043F84"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При характеристике планировочной структуры города-курорта авторами так же были выделены неблагоприятные факторы:</w:t>
      </w:r>
    </w:p>
    <w:p w14:paraId="22057E0D"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1. В некоторых районах сохраняется «чересполосица» рекреационных и жилых территорий.</w:t>
      </w:r>
    </w:p>
    <w:p w14:paraId="47C17D0F"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2. Среди жилой застройки мозаично разбросаны многочисленные коммунально-складские территории и промышленные предприятия – источники загрязнения окружающей среды, не имеющие непосредственного отношения к обслуживанию курорта.</w:t>
      </w:r>
    </w:p>
    <w:p w14:paraId="64E77519"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3. В пределах 1-й зоны санитарной охраны курорта находится около 3% имеющегося жилого фонда и свыше 4% размещается в курортной зоне.</w:t>
      </w:r>
    </w:p>
    <w:p w14:paraId="1E843952"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4. Уличная сеть характеризуется отсутствием четкой системы дифференцированных по назначению магистралей.</w:t>
      </w:r>
    </w:p>
    <w:p w14:paraId="5197AE38"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xml:space="preserve">5. С юга, востока и запада к городской застройке примыкают сельские населенные пункты, жилой фонд которых имеет невысокое инженерное обустройство. Кроме того, 2 поселка – Индустрия и </w:t>
      </w:r>
      <w:proofErr w:type="gramStart"/>
      <w:r w:rsidRPr="00731FE2">
        <w:rPr>
          <w:rFonts w:ascii="Times New Roman" w:hAnsi="Times New Roman" w:cs="Times New Roman"/>
          <w:color w:val="000000" w:themeColor="text1"/>
        </w:rPr>
        <w:t>Нарзанный</w:t>
      </w:r>
      <w:proofErr w:type="gramEnd"/>
      <w:r w:rsidRPr="00731FE2">
        <w:rPr>
          <w:rFonts w:ascii="Times New Roman" w:hAnsi="Times New Roman" w:cs="Times New Roman"/>
          <w:color w:val="000000" w:themeColor="text1"/>
        </w:rPr>
        <w:t xml:space="preserve"> находятся в пределах 2-й зоны санитарной охраны курорта.</w:t>
      </w:r>
    </w:p>
    <w:p w14:paraId="4303735C"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6. Несмотря на курортную специализацию города, селитебные территории характеризуются достаточно низким показателем озеленения.</w:t>
      </w:r>
    </w:p>
    <w:p w14:paraId="766D622A"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Как видно из текста выше, несмотря на то, что в разных генеральных планах проблемы планировочной структуры определяются по-разному (в 1968 г. – недостатки, в 1989 г. – неблагоприятные факторы), в целом, они представляют собой комплекс ограничений и относятся к одним и тем же сферам, определяя систему градостроительных и планировочных проблем.</w:t>
      </w:r>
    </w:p>
    <w:p w14:paraId="5D5BEBFA"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proofErr w:type="gramStart"/>
      <w:r w:rsidRPr="00731FE2">
        <w:rPr>
          <w:rFonts w:ascii="Times New Roman" w:hAnsi="Times New Roman" w:cs="Times New Roman"/>
          <w:color w:val="000000" w:themeColor="text1"/>
        </w:rPr>
        <w:t>Архитектурно-планировочные решения генерального плана 1989 г. были направлены на «…преодоление негативных моментов путем создания единой градостроительной структуры на основе объединения разрозненных жилых образований…, выявление и использование природных факторов…, обеспечение благоприятных условий для совершенствования планировочной организации города при максимальном сохранении и развитии сложившейся городской среды в особенности исторической части города» [Город Кисловодск.</w:t>
      </w:r>
      <w:proofErr w:type="gramEnd"/>
      <w:r w:rsidRPr="00731FE2">
        <w:rPr>
          <w:rFonts w:ascii="Times New Roman" w:hAnsi="Times New Roman" w:cs="Times New Roman"/>
          <w:color w:val="000000" w:themeColor="text1"/>
        </w:rPr>
        <w:t xml:space="preserve"> Генеральный план. Пояснительная записка. – Государственный комитет Совета Министров РСФСР по делам строительства (ГОССТРОЙ РСФСР). Государственный Ордена Трудового Красного Знамени Институт проектирования городов «ГИПРОГОР». – М., 1989. – </w:t>
      </w:r>
      <w:proofErr w:type="gramStart"/>
      <w:r w:rsidRPr="00731FE2">
        <w:rPr>
          <w:rFonts w:ascii="Times New Roman" w:hAnsi="Times New Roman" w:cs="Times New Roman"/>
          <w:color w:val="000000" w:themeColor="text1"/>
        </w:rPr>
        <w:t>С. 137].</w:t>
      </w:r>
      <w:proofErr w:type="gramEnd"/>
    </w:p>
    <w:p w14:paraId="2A78C670"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Архитектурно-</w:t>
      </w:r>
      <w:proofErr w:type="gramStart"/>
      <w:r w:rsidRPr="00731FE2">
        <w:rPr>
          <w:rFonts w:ascii="Times New Roman" w:hAnsi="Times New Roman" w:cs="Times New Roman"/>
          <w:color w:val="000000" w:themeColor="text1"/>
        </w:rPr>
        <w:t>планировочные решения</w:t>
      </w:r>
      <w:proofErr w:type="gramEnd"/>
      <w:r w:rsidRPr="00731FE2">
        <w:rPr>
          <w:rFonts w:ascii="Times New Roman" w:hAnsi="Times New Roman" w:cs="Times New Roman"/>
          <w:color w:val="000000" w:themeColor="text1"/>
        </w:rPr>
        <w:t xml:space="preserve"> проекта генерального плана 1989 г. использовали и развивали предложения предыдущего проекта (1968 г.). В первую очередь для курортной зоны и отдельных жилых районов.</w:t>
      </w:r>
    </w:p>
    <w:p w14:paraId="766190C0"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lastRenderedPageBreak/>
        <w:t>В этом генеральном плане было проведено достаточно четкое функциональное зонирование территории города. Были выделены курортная зона, селитебные территории, промышленные и коммунально-складские территории.</w:t>
      </w:r>
    </w:p>
    <w:p w14:paraId="17FAFC54"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Для решения задач функционального зонирования территории проектом предусматривалось:</w:t>
      </w:r>
    </w:p>
    <w:p w14:paraId="12AEEF9F"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вывод ряда промышленных предприятий, находящихся в пределах селитебной зоны в специально формируемую северо-западную промышленно-коммунальную зону;</w:t>
      </w:r>
    </w:p>
    <w:p w14:paraId="5C2B56B7"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«очищение» курортной зоны от жилой застройки, расположенной в ней, и представленной, в основном, ветхим малоэтажным фондом;</w:t>
      </w:r>
    </w:p>
    <w:p w14:paraId="05AA8DEA"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вывод рекреационных учреждений из зоны жилой застройки.</w:t>
      </w:r>
    </w:p>
    <w:p w14:paraId="7B12FEE7"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Как видно в генеральном плане 1989 г. были предусмотрены направления градостроительного развития, заложенные еще в проекте планировки 1968 года.</w:t>
      </w:r>
    </w:p>
    <w:p w14:paraId="22C9ED43"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xml:space="preserve">Проектом также предусматривалось включение в городскую черту пос. Зеленогорский, где проектировался район первоочередного малоэтажного жилищного строительства. В качестве </w:t>
      </w:r>
      <w:proofErr w:type="gramStart"/>
      <w:r w:rsidRPr="00731FE2">
        <w:rPr>
          <w:rFonts w:ascii="Times New Roman" w:hAnsi="Times New Roman" w:cs="Times New Roman"/>
          <w:color w:val="000000" w:themeColor="text1"/>
        </w:rPr>
        <w:t>резервных</w:t>
      </w:r>
      <w:proofErr w:type="gramEnd"/>
      <w:r w:rsidRPr="00731FE2">
        <w:rPr>
          <w:rFonts w:ascii="Times New Roman" w:hAnsi="Times New Roman" w:cs="Times New Roman"/>
          <w:color w:val="000000" w:themeColor="text1"/>
        </w:rPr>
        <w:t xml:space="preserve"> для селитебной зоны (жилой и общественно-деловой застройки) предусматривались территории, примыкающие к западной части города за рекой Аликоновкой.</w:t>
      </w:r>
    </w:p>
    <w:p w14:paraId="379FFB3B"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По проекту новое жилищное строительство распределялось по этажности следующим образом:</w:t>
      </w:r>
    </w:p>
    <w:p w14:paraId="0F75E2C0"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малоэтажная высокоплотная застройка коттеджного типа – 13% от общей площади нового строительства;</w:t>
      </w:r>
    </w:p>
    <w:p w14:paraId="38888AD6"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среднеэтажная (определялась в проекте как 3-4-5 этажей) – 55%;</w:t>
      </w:r>
    </w:p>
    <w:p w14:paraId="6942F839"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дома повышенной этажности – 32%.</w:t>
      </w:r>
    </w:p>
    <w:p w14:paraId="4939A3A9"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Кроме этого, в основу концепции развития санаторно-курортного комплекса составило положение об ограничении потенциала Кисловодского курорта на уровне 22,6 тыс. мест в санаториях и пансионатах.</w:t>
      </w:r>
    </w:p>
    <w:p w14:paraId="43485506"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Число временно прибывающего населения проектом генерального плана оценивалось в 20 тыс. человек в месяц. Проектом предлагалось размещать данный контингент (состоящий на 70% из неорганизованно лечащихся – «курсовочников») в курортных гостиницах-пансионатах.</w:t>
      </w:r>
    </w:p>
    <w:p w14:paraId="48F29DB9"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Для кратковременного отдыха населения предусматривалось вовлечение в градостроительную деятельность территорий в отрогах Боргустанского хребта к северу от городской застройки и на юге – в междуречье рек Березовки и Ольховки.</w:t>
      </w:r>
    </w:p>
    <w:p w14:paraId="1E99942E"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Здесь планировалось реализовать комплекс мероприятий по планировочной организации лесопарковых площадей, оборудование специальных площадок, дорожек, спусков.</w:t>
      </w:r>
    </w:p>
    <w:p w14:paraId="04D6779D"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Решение проблем внешнего железнодорожного сообщения предлагалось за счет реализации одного из вариантов развития железнодорожной станции «Кисловодск», предложенного Промтранспроектом в конце 1960 годов. Этот вариант подразумевал вынос пассажирской станции дальнего сообщения в район платформы «Минутка».</w:t>
      </w:r>
    </w:p>
    <w:p w14:paraId="32B77FC7"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Особое внимание в генеральном плане 1989 года было уделено проектированию улично-дорожной сети. Это проектирование осуществлялось по следующим принципам:</w:t>
      </w:r>
    </w:p>
    <w:p w14:paraId="44ADC28B"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четкое дифференцирование уличной сети города по функциональному назначению;</w:t>
      </w:r>
    </w:p>
    <w:p w14:paraId="590D32C0"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обеспечение удобных выходов на внешнюю автодорожную сеть;</w:t>
      </w:r>
    </w:p>
    <w:p w14:paraId="6A60CAEF"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lastRenderedPageBreak/>
        <w:t>- максимальный вывод транспорта из центра города и курортного района;</w:t>
      </w:r>
    </w:p>
    <w:p w14:paraId="1E563534"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строительство в наиболее «серьезных» (перегруженных) транспортных узлах города развязок в разных уровнях с железной дорогой.</w:t>
      </w:r>
    </w:p>
    <w:p w14:paraId="6C43C176"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В проекте было предусмотрено, что главная планировочная ось города – проспект Победы будет «отдан» преимущественно общественному транспорту и такси. Предусматривалось (как и в предыдущем генеральном плане) масштабное развитие системы пешеходных связей.</w:t>
      </w:r>
    </w:p>
    <w:p w14:paraId="7E61C732"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xml:space="preserve">Особого внимания, в рамках данного проекта, заслуживает письмо Главного государственного санитарного врача города Кисловодска В.Н. </w:t>
      </w:r>
      <w:proofErr w:type="gramStart"/>
      <w:r w:rsidRPr="00731FE2">
        <w:rPr>
          <w:rFonts w:ascii="Times New Roman" w:hAnsi="Times New Roman" w:cs="Times New Roman"/>
          <w:color w:val="000000" w:themeColor="text1"/>
        </w:rPr>
        <w:t>Борискина</w:t>
      </w:r>
      <w:proofErr w:type="gramEnd"/>
      <w:r w:rsidRPr="00731FE2">
        <w:rPr>
          <w:rFonts w:ascii="Times New Roman" w:hAnsi="Times New Roman" w:cs="Times New Roman"/>
          <w:color w:val="000000" w:themeColor="text1"/>
        </w:rPr>
        <w:t xml:space="preserve"> от 29 марта 1988 года № 814-013, содержащее санитарное задание для разработки генерального плана Кисловодска.</w:t>
      </w:r>
    </w:p>
    <w:p w14:paraId="0823C8C5"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В нем, в частности, был сформулирован ряд требований и проблем, которые должны были быть решены (соблюдены) при разработке проекта. Актуальность большинства этих предложений сохраняется и в настоящее время.</w:t>
      </w:r>
    </w:p>
    <w:p w14:paraId="5FD9EDEE"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xml:space="preserve">Так, например, предлагалось генеральным планом четко определить профиль и окончательную емкость курорта с учетом запасов гидроминеральных ресурсов. Также предлагалось предусмотреть ликвидацию 11 мелких межведомственных пансионатов и домов колхозника (общей емкостью на 620 мест), расположенных вне курортной зоны, на территории жилой застройки, в приспособленных помещениях, имеющих низкую степень благоустройства. Предусмотреть перепрофилирование или ликвидацию санаторно-курортных учреждений, расположенных вне курортной зоны или на территории 1-й зоны округа санитарной охраны курорта, а </w:t>
      </w:r>
      <w:r w:rsidR="00D823C7" w:rsidRPr="00731FE2">
        <w:rPr>
          <w:rFonts w:ascii="Times New Roman" w:hAnsi="Times New Roman" w:cs="Times New Roman"/>
          <w:color w:val="000000" w:themeColor="text1"/>
        </w:rPr>
        <w:t>также</w:t>
      </w:r>
      <w:r w:rsidRPr="00731FE2">
        <w:rPr>
          <w:rFonts w:ascii="Times New Roman" w:hAnsi="Times New Roman" w:cs="Times New Roman"/>
          <w:color w:val="000000" w:themeColor="text1"/>
        </w:rPr>
        <w:t xml:space="preserve"> вывод из этой зоны всех учреждений и организаций, не связанных с эксплуатацией минеральных вод. При разработке проектов жилых районов не предусматривать многоэтажную жилую застройку. Предусмотреть строительство канализационных сетей на всей территории города (на тот момент около 20% от общей протяженности улично-дорожной сети).</w:t>
      </w:r>
    </w:p>
    <w:p w14:paraId="46899E6C"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Перечень объектов, подлежащих выводу из 1-й зоны округа санитарной охраны курорта, содержал 54 наименования, из 2-й зоны – 25 организаций и учреждений.</w:t>
      </w:r>
    </w:p>
    <w:p w14:paraId="288F82B5"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Как видно, указанные предложения не были реализованы в генеральном плане 1989 г. в полном объеме. Однако, при разработке новой редакции генерального плана и выполнении данной научно-исследовательской работы, значительная часть этих предложений была принята за основу проектных предложений.</w:t>
      </w:r>
    </w:p>
    <w:p w14:paraId="24961BB1"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Вместе с тем, анализ показывает, что отмечается существенная преемственность в проектных решениях генерального плана 1989 г. и 1968 г.</w:t>
      </w:r>
    </w:p>
    <w:p w14:paraId="2DB12926"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xml:space="preserve">Корректура генерального плана города-курорта Кисловодска 1994 года также и предыдущие редакции (вне зависимости от их названий) разработана Государственным институтом проектирования городов «ГИПРОГОР». </w:t>
      </w:r>
    </w:p>
    <w:p w14:paraId="0084541A"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Необходимость корректировки предыдущей редакции генерального плана курорта связывалась в первую очередь с изменением социально-экономической ситуации и сложным периодом развития в стране.</w:t>
      </w:r>
    </w:p>
    <w:p w14:paraId="6F9B0CE2"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proofErr w:type="gramStart"/>
      <w:r w:rsidRPr="00731FE2">
        <w:rPr>
          <w:rFonts w:ascii="Times New Roman" w:hAnsi="Times New Roman" w:cs="Times New Roman"/>
          <w:color w:val="000000" w:themeColor="text1"/>
        </w:rPr>
        <w:t>Вместе с тем, несмотря на существенные и масштабные преобразования, проходившие в России в это время, проект 1994 года учитывал и опирался на основные положения и проектные предложения генеральных планов 1968 и 1989 гг., а также Проекта районной планировки района КМВ (разработанной ГИПРОГОРом в 1993 году) и Территориальной комплексной схемы охраны природы (ГИПРОГОР, 1991 г.).</w:t>
      </w:r>
      <w:proofErr w:type="gramEnd"/>
    </w:p>
    <w:p w14:paraId="2A4A3716"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lastRenderedPageBreak/>
        <w:t>Данная редакция генерального плана города-курорта была разработана на 10-15 лет, с выделением 1-й очереди строительства – 5-7 лет. Структура генерального плана 1994 г. отличалась меньшим количеством и большей емкостью структурных элементов содержания.</w:t>
      </w:r>
    </w:p>
    <w:p w14:paraId="7C30051B"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Проект разрабатывался в границах предлагаемой черты города-курорта Кисловодска. При определении расчетной численности постоянного населения города были учтены масштабы курортного хозяйства, резкое сокращение лечащихся по «курсовкам» и неорганизованных отдыхающих, сохранение на проектный срок промышленности и коммунально-складского хозяйства города.</w:t>
      </w:r>
    </w:p>
    <w:p w14:paraId="5940CCE6"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Общая вместимость санаторно-курортных учреждений была принята на сложившемся к тому времени уровне (11,6 тыс. мест), с резервом в 1 тыс. мест, исходя из реальных запасов минеральных вод для бальнеолечения.</w:t>
      </w:r>
    </w:p>
    <w:p w14:paraId="26018992"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В генеральном плане 1994 года предлагалось гораздо более четкое и обоснованное функциональное зонирование территории с выделением курортной, селитебной, коммунально-складской зон, зоны городского центра, зон индивидуальной усадебной застройки на свободных территориях.</w:t>
      </w:r>
    </w:p>
    <w:p w14:paraId="24075CBD"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Предлагалось создание единой системы зеленых насаждений, рациональное построение пешеходных связей. Важное место отводилось полному инженерному оборудованию и благоустройству территории с максимальным использованием существовавших и строящихся тогда коммуникаций.</w:t>
      </w:r>
    </w:p>
    <w:p w14:paraId="497D8910"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Проектом генерального плана 1994 года предлагалось развивать жилищное строительство, в основном, на реконструируемых территориях в Северо-Западном, Западном и Восточном жилых районах. При этом обращает на себя внимание тот факт, что проектировалось в этих районах, в первую очередь, среднеэтажная и многоэтажная жилая застройка (4 этажа и выше). Этот факт и некоторые другие проектные предложения определили низкую степень реализации проектных предложений генерального плана.</w:t>
      </w:r>
    </w:p>
    <w:p w14:paraId="700012CF"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На свободных территориях в Заозерном и Западном жилых районах предлагалось капитальное строительство жилья на свободных территориях (3-4-5 этажное). В районах поселков Аликоновка и Зеленогорский – малоэтажными индивидуальными домами усадебного типа.</w:t>
      </w:r>
    </w:p>
    <w:p w14:paraId="4DDE93E6"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xml:space="preserve">В генеральном плане предусматривалось обеспечение города-курорта необходимыми учреждениями культурно-бытового обслуживания, в том числе с учетом потребностей временного населения. </w:t>
      </w:r>
    </w:p>
    <w:p w14:paraId="6EDCAC67"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В условиях сложной социально-экономической ситуации того времени это был единственный генеральный план, который не предусматривал вывод промышленных и коммунально-складских предприятий, а был ориентирован на проведение природоохранных мероприятий, обеспечивающих нормативное состояние окружающей среды и охрану минеральных вод.</w:t>
      </w:r>
    </w:p>
    <w:p w14:paraId="22CEE10F"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xml:space="preserve">Особенностью данного проекта являлось то, что в нем впервые была дана оценка общего потока отдыхающих в городе-курорте Кисловодске на начало 1990 годов. «Фактический заезд больных в санатории и пансионаты в 1992 г. составил 149 тыс. человек (в 1987 г – 416 тыс. чел.). Кроме того, до последнего времени часть больных лечилась амбулаторно (по курсовкам) и расселялась в жилом фонде местного населения и в коммунальных гостиницах. Число курсовчников, обслуженных амбулаторно, достигало 270 тыс. человек в год. Таким образом, общее количество больных, осуществлявших </w:t>
      </w:r>
      <w:r w:rsidRPr="00731FE2">
        <w:rPr>
          <w:rFonts w:ascii="Times New Roman" w:hAnsi="Times New Roman" w:cs="Times New Roman"/>
          <w:color w:val="000000" w:themeColor="text1"/>
        </w:rPr>
        <w:lastRenderedPageBreak/>
        <w:t xml:space="preserve">организованное лечение на Кисловодском курорте, составляло к началу 1990 гг. около 700 тыс. человек, а единовременное пребывание оценивалось в 20-21 тыс. человек». </w:t>
      </w:r>
      <w:proofErr w:type="gramStart"/>
      <w:r w:rsidRPr="00731FE2">
        <w:rPr>
          <w:rFonts w:ascii="Times New Roman" w:hAnsi="Times New Roman" w:cs="Times New Roman"/>
          <w:color w:val="000000" w:themeColor="text1"/>
        </w:rPr>
        <w:t>[Город Кисловодск.</w:t>
      </w:r>
      <w:proofErr w:type="gramEnd"/>
      <w:r w:rsidRPr="00731FE2">
        <w:rPr>
          <w:rFonts w:ascii="Times New Roman" w:hAnsi="Times New Roman" w:cs="Times New Roman"/>
          <w:color w:val="000000" w:themeColor="text1"/>
        </w:rPr>
        <w:t xml:space="preserve"> Генеральный план (корректура). Пояснительная записка. Госстрой России. Государственный институт проектирования городов «ГИПРОГОР». – М., 1994. – </w:t>
      </w:r>
      <w:proofErr w:type="gramStart"/>
      <w:r w:rsidRPr="00731FE2">
        <w:rPr>
          <w:rFonts w:ascii="Times New Roman" w:hAnsi="Times New Roman" w:cs="Times New Roman"/>
          <w:color w:val="000000" w:themeColor="text1"/>
        </w:rPr>
        <w:t>С. 31].</w:t>
      </w:r>
      <w:proofErr w:type="gramEnd"/>
    </w:p>
    <w:p w14:paraId="759CB6D1"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xml:space="preserve">По нашему мнению, в проекте генерального плана города-курорта Кисловодска 1994 г. было сформулировано достаточно ценное предложение: «Территориальные ресурсы в сложившемся курортном районе ограничены, поэтому увеличение площади участков и удельной обеспеченности на 1 место в существующих здравницах возможно лишь за счет выборочной реконструкции спальных корпусов ряда санаториев с повышением комфортности проживания при уменьшении коечной емкости». </w:t>
      </w:r>
    </w:p>
    <w:p w14:paraId="181E5CE0"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Численность постоянного населения города-курорта оценивалась на проектный срок в 130 тыс. человек. С учетом временного населения общая численность наличного населения на проектный срок достигала 138 – 143 тыс. человек.</w:t>
      </w:r>
    </w:p>
    <w:p w14:paraId="5FDDB50C"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В гипотезе пространственного развития округа, в разделе 1. «Архитектурно-</w:t>
      </w:r>
      <w:proofErr w:type="gramStart"/>
      <w:r w:rsidRPr="00731FE2">
        <w:rPr>
          <w:rFonts w:ascii="Times New Roman" w:hAnsi="Times New Roman" w:cs="Times New Roman"/>
          <w:color w:val="000000" w:themeColor="text1"/>
        </w:rPr>
        <w:t>планировочные решения</w:t>
      </w:r>
      <w:proofErr w:type="gramEnd"/>
      <w:r w:rsidRPr="00731FE2">
        <w:rPr>
          <w:rFonts w:ascii="Times New Roman" w:hAnsi="Times New Roman" w:cs="Times New Roman"/>
          <w:color w:val="000000" w:themeColor="text1"/>
        </w:rPr>
        <w:t>» был приведен перечень неблагоприятных факторов, сформулированный в предыдущем генеральном плане 1989 года. Это подтверждает низкую степень реализации проектных предложений генеральных планов, направленных на преодоление ограничений градостроительного развития.</w:t>
      </w:r>
    </w:p>
    <w:p w14:paraId="577765A0"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Вместе с тем, в проекте 1994 года предполагалось, что курортная зона должна быть разделена 6 курортных комплексов, объединяемых вдоль центров, насыщенных учреждениями лечебного и культурно-бытового обслуживания. Центры курортных районов, приуроченные к определенным природным образованиям, должны были носить линейный характер.</w:t>
      </w:r>
    </w:p>
    <w:p w14:paraId="1A8283EB"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В пределах курортной зоны предусматривалось упорядочение санаторного фонда, расширение территории ряда здравниц без увеличения емкости санаториев за счет постепенного вывода жилого фонда из курортного района для достижения нормы обеспеченности земельной площадью на 1 отдыхающего и повышения комфортности проживания.</w:t>
      </w:r>
      <w:r w:rsidR="00D823C7" w:rsidRPr="00731FE2">
        <w:rPr>
          <w:rFonts w:ascii="Times New Roman" w:hAnsi="Times New Roman" w:cs="Times New Roman"/>
          <w:color w:val="000000" w:themeColor="text1"/>
        </w:rPr>
        <w:t xml:space="preserve"> </w:t>
      </w:r>
      <w:r w:rsidRPr="00731FE2">
        <w:rPr>
          <w:rFonts w:ascii="Times New Roman" w:hAnsi="Times New Roman" w:cs="Times New Roman"/>
          <w:color w:val="000000" w:themeColor="text1"/>
        </w:rPr>
        <w:t xml:space="preserve">В этом проекте генерального плана особое место уделено градостроительным подходам к исторической зоне города. </w:t>
      </w:r>
      <w:r w:rsidR="00D823C7" w:rsidRPr="00731FE2">
        <w:rPr>
          <w:rFonts w:ascii="Times New Roman" w:hAnsi="Times New Roman" w:cs="Times New Roman"/>
          <w:color w:val="000000" w:themeColor="text1"/>
        </w:rPr>
        <w:t>В частности,</w:t>
      </w:r>
      <w:r w:rsidRPr="00731FE2">
        <w:rPr>
          <w:rFonts w:ascii="Times New Roman" w:hAnsi="Times New Roman" w:cs="Times New Roman"/>
          <w:color w:val="000000" w:themeColor="text1"/>
        </w:rPr>
        <w:t xml:space="preserve"> выявлено 158 культурно-исторических памятников и сформулировано предложение о расширении зоны исторического центра.</w:t>
      </w:r>
    </w:p>
    <w:p w14:paraId="1C0B8B37"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proofErr w:type="gramStart"/>
      <w:r w:rsidRPr="00731FE2">
        <w:rPr>
          <w:rFonts w:ascii="Times New Roman" w:hAnsi="Times New Roman" w:cs="Times New Roman"/>
          <w:color w:val="000000" w:themeColor="text1"/>
        </w:rPr>
        <w:t>Для создания плавного перехода от высокоэтажной застройки к существовавшей малоэтажной, ликвидации сложившегося диссонанса в композиционном построении жилых районов, проектом 1994 г. предусматривалась реконструкция части малоэтажного жилого фонда с введением застройки в 1-3 этажа с участками 0,02 – 0,03 га, которые должны были сформировать фронтальную застройку улиц с использованием первых этажей под учреждения общественного назначения.</w:t>
      </w:r>
      <w:proofErr w:type="gramEnd"/>
    </w:p>
    <w:p w14:paraId="01E88358"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В районе городского озера и городского парка намечалось создание Озерного жилого района, который должен был объединить территории поселков Аликоновка и Зеленогорский и примыкающих к ним свободных территорий – основных районов нового индивидуального жилищного строительства – и ряд существовавших жилых микрорайонов, окаймляющих городской парк.</w:t>
      </w:r>
    </w:p>
    <w:p w14:paraId="50036996"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Возможным перспективным направлением территориального развития города-курорта Кисловодска рассматривались земли в западной части города, прилегающие к поселку Нежинский.</w:t>
      </w:r>
    </w:p>
    <w:p w14:paraId="2DF67630"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lastRenderedPageBreak/>
        <w:t>Традиционно большое место в проекте генерального плана 1994 г. было отведено решению инфраструктурных проблем – транспортных, инженерных, благоустройства. Вместе с тем, анализ показывает, что проектные предложения 1994 года практически полностью повторяют положения предыдущих редакций генеральных планов города-курорта.</w:t>
      </w:r>
    </w:p>
    <w:p w14:paraId="6320DFFC"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Таким образом, комплексный анализ генеральных планов города-курорта Кисловодска показывает: во-первых, существенную преемственность проектных решений (что, несомненно, носит положительный характер); во-вторых, низкую степень реализации проектных предложений.</w:t>
      </w:r>
    </w:p>
    <w:p w14:paraId="7F3DAA7F"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xml:space="preserve">Генеральный план городского округа города-курорта Кисловодска 2011 года выполнялся в совершенно новых условиях, что определило его некоторые отличия от предыдущих редакций. </w:t>
      </w:r>
    </w:p>
    <w:p w14:paraId="7BC2D62D"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К моменту его разработки – в 2010 году, в стране действовал Градостроительный кодекс РФ, определяющий несколько отличные от нормативно-правовых актов «советского» времени требования к градостроительной документации.</w:t>
      </w:r>
    </w:p>
    <w:p w14:paraId="7C9F68EA"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Так, в структуре генерального плана города-курорта выделено 2 тома: Том I. «Положение о территориальном планировании» и Том II. «Материалы по обоснованию».</w:t>
      </w:r>
    </w:p>
    <w:p w14:paraId="0A88E0DB"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В вышеуказанном генеральном плане с позиций градостроительного и пространственного развития были разработаны основные направления динамики территории города-курорта и предложен комплекс мероприятий по территориальной организации экономической базы, социальной сферы, курортно-рекреационной системы, инженерно-транспортной инфраструктуры, экологического каркаса и охране окружающей среды</w:t>
      </w:r>
    </w:p>
    <w:p w14:paraId="4026F12C"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xml:space="preserve">В генеральном плане 2011 г. на основе ретроспективного анализа и анализа современного состояния проектом были определены социально-экономические и градостроительные перспективы города-курорта на расчетный период до 2033 г., в том числе основные направления развития: </w:t>
      </w:r>
    </w:p>
    <w:p w14:paraId="30FF06FE" w14:textId="77777777" w:rsidR="00171AA8" w:rsidRPr="00731FE2" w:rsidRDefault="007935AB" w:rsidP="007832E7">
      <w:pPr>
        <w:pStyle w:val="a3"/>
        <w:numPr>
          <w:ilvl w:val="0"/>
          <w:numId w:val="55"/>
        </w:num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зон различного функционального назначения и ограничения на использование территорий в этих зонах;</w:t>
      </w:r>
    </w:p>
    <w:p w14:paraId="42BC083A" w14:textId="77777777" w:rsidR="00171AA8" w:rsidRPr="00731FE2" w:rsidRDefault="007935AB" w:rsidP="007832E7">
      <w:pPr>
        <w:pStyle w:val="a3"/>
        <w:numPr>
          <w:ilvl w:val="0"/>
          <w:numId w:val="55"/>
        </w:num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территории города-курорта;</w:t>
      </w:r>
    </w:p>
    <w:p w14:paraId="42947DA0" w14:textId="77777777" w:rsidR="00171AA8" w:rsidRPr="00731FE2" w:rsidRDefault="007935AB" w:rsidP="007832E7">
      <w:pPr>
        <w:pStyle w:val="a3"/>
        <w:numPr>
          <w:ilvl w:val="0"/>
          <w:numId w:val="55"/>
        </w:num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производственно-хозяйственного комплекса;</w:t>
      </w:r>
    </w:p>
    <w:p w14:paraId="55A433D2" w14:textId="77777777" w:rsidR="00171AA8" w:rsidRPr="00731FE2" w:rsidRDefault="007935AB" w:rsidP="007832E7">
      <w:pPr>
        <w:pStyle w:val="a3"/>
        <w:numPr>
          <w:ilvl w:val="0"/>
          <w:numId w:val="55"/>
        </w:num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санаторно-курортной системы;</w:t>
      </w:r>
    </w:p>
    <w:p w14:paraId="1764F12F" w14:textId="77777777" w:rsidR="00171AA8" w:rsidRPr="00731FE2" w:rsidRDefault="007935AB" w:rsidP="007832E7">
      <w:pPr>
        <w:pStyle w:val="a3"/>
        <w:numPr>
          <w:ilvl w:val="0"/>
          <w:numId w:val="55"/>
        </w:num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инженерно-транспортной и социальной инфраструктур;</w:t>
      </w:r>
    </w:p>
    <w:p w14:paraId="16854F26" w14:textId="77777777" w:rsidR="00171AA8" w:rsidRPr="00731FE2" w:rsidRDefault="007935AB" w:rsidP="007832E7">
      <w:pPr>
        <w:pStyle w:val="a3"/>
        <w:numPr>
          <w:ilvl w:val="0"/>
          <w:numId w:val="55"/>
        </w:num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территорий объектов природного и культурного наследия;</w:t>
      </w:r>
    </w:p>
    <w:p w14:paraId="133A2BB1" w14:textId="77777777" w:rsidR="00171AA8" w:rsidRPr="00731FE2" w:rsidRDefault="007935AB" w:rsidP="007832E7">
      <w:pPr>
        <w:pStyle w:val="a3"/>
        <w:numPr>
          <w:ilvl w:val="0"/>
          <w:numId w:val="55"/>
        </w:num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экологической обстановки градостроительными средствами.</w:t>
      </w:r>
    </w:p>
    <w:p w14:paraId="39AAD255"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Конечным результатом проекта генерального плана 2011 г. стали проектные предложения по комплексному развитию территории городского округа города-курорта Кисловодска, его преимущественному функциональному использованию и назначению (с учетом планировочных ограничений).</w:t>
      </w:r>
    </w:p>
    <w:p w14:paraId="6953E716"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Предусмотренный предыдущим генеральным планом поэтапный вывод всех промышленных и коммунально-бытовых предприятий, расположенных во 2-й зоне округа санитарной охраны курорта, в 2010 г. не осуществлялся и сохранен как мероприятие на перспективу.</w:t>
      </w:r>
    </w:p>
    <w:p w14:paraId="52D51986"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xml:space="preserve">Проектируемая ранее в генплане дифференциация уличной дорожной сети не достигла своей цели. В условиях непредсказуемо высокой автомобилизации и насыщения </w:t>
      </w:r>
      <w:r w:rsidRPr="00731FE2">
        <w:rPr>
          <w:rFonts w:ascii="Times New Roman" w:hAnsi="Times New Roman" w:cs="Times New Roman"/>
          <w:color w:val="000000" w:themeColor="text1"/>
        </w:rPr>
        <w:lastRenderedPageBreak/>
        <w:t>города низкотехническим автопарком создаются условия для частых и долговременных пробок, особенно в центре (в районе почты, в первую очередь, на проспекте Победы, проспекте Мира и пр.). Предлагаемое зонирование застройки не осуществляется, многочисленные территории и участки детских учреждений, курортных и лечебных учреждений выходят на магистрали с оживленным автомобильным движением. Кроме того, в городе-курорте не была реализована административно-планировочная организация территории, приспособленная к пользованию маломобильным контингентом населения.</w:t>
      </w:r>
    </w:p>
    <w:p w14:paraId="5440FE0C"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Низкая степень реализации проектных предложений предыдущих редакций генеральных планов определила перенос их части в редакцию 2011 года.</w:t>
      </w:r>
    </w:p>
    <w:p w14:paraId="5C5F006D"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Демографический прогноз в редакции генерального плана 2011 года был выполнен достаточно тщательно и на высоком уровне. Прогноз численности населения города-курорта Кисловодска был выполнен методом «передвижек возрастов» (методом компонент) и рассчитан в трёх вариантах, в каждом из которых заложены различные тенденции изменения демографических показателей. Прогноз выполнен с учетом сложившихся демографических тенденций, а также основных направлений социально-экономического и градостроительного развития территории. Соответственно, были определены следующие варианты: инерционный, средний и целевой.</w:t>
      </w:r>
    </w:p>
    <w:p w14:paraId="43A04F48"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proofErr w:type="gramStart"/>
      <w:r w:rsidRPr="00731FE2">
        <w:rPr>
          <w:rFonts w:ascii="Times New Roman" w:hAnsi="Times New Roman" w:cs="Times New Roman"/>
          <w:color w:val="000000" w:themeColor="text1"/>
        </w:rPr>
        <w:t>Средний вариант был выбран базовым, как наиболее вероятный основывался на предположении о поэтапном преломлении негативных демографических тенденций.</w:t>
      </w:r>
      <w:proofErr w:type="gramEnd"/>
      <w:r w:rsidRPr="00731FE2">
        <w:rPr>
          <w:rFonts w:ascii="Times New Roman" w:hAnsi="Times New Roman" w:cs="Times New Roman"/>
          <w:color w:val="000000" w:themeColor="text1"/>
        </w:rPr>
        <w:t xml:space="preserve"> Все показатели и характеристики, необходимые для стабилизации численности населения, имеют прирост. Прогноз предполагал постепенное увеличение показателей рождаемости за счет различных, комплексных программ по демографической политике, решению проблем высокого уровня смертности трудоспособного населения, улучшению уровня жизни. </w:t>
      </w:r>
    </w:p>
    <w:p w14:paraId="780E5665"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proofErr w:type="gramStart"/>
      <w:r w:rsidRPr="00731FE2">
        <w:rPr>
          <w:rFonts w:ascii="Times New Roman" w:hAnsi="Times New Roman" w:cs="Times New Roman"/>
          <w:color w:val="000000" w:themeColor="text1"/>
        </w:rPr>
        <w:t xml:space="preserve">Данный вариант прогноза основан на предположении об эволюционном развитии города-курорта Кисловодска, стабильных темпахсоциально-экономического роста, а как следствие, и о возможных умеренных темпах роста численности населения. </w:t>
      </w:r>
      <w:proofErr w:type="gramEnd"/>
    </w:p>
    <w:p w14:paraId="59154758"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В перспективном периоде по среднему варианту численность населения должна была составить:</w:t>
      </w:r>
    </w:p>
    <w:p w14:paraId="205ECF1E" w14:textId="77777777" w:rsidR="00171AA8" w:rsidRPr="00731FE2" w:rsidRDefault="007935AB" w:rsidP="007832E7">
      <w:pPr>
        <w:pStyle w:val="a3"/>
        <w:numPr>
          <w:ilvl w:val="0"/>
          <w:numId w:val="56"/>
        </w:num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к 2015 г. – 139,5 тыс. человек;</w:t>
      </w:r>
    </w:p>
    <w:p w14:paraId="703C64B2" w14:textId="77777777" w:rsidR="00171AA8" w:rsidRPr="00731FE2" w:rsidRDefault="007935AB" w:rsidP="007832E7">
      <w:pPr>
        <w:pStyle w:val="a3"/>
        <w:numPr>
          <w:ilvl w:val="0"/>
          <w:numId w:val="56"/>
        </w:num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xml:space="preserve">к 2033 г. – 150,0 тыс. человек. </w:t>
      </w:r>
    </w:p>
    <w:p w14:paraId="57F006B6"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xml:space="preserve">Развитие планировочной и пространственно-композиционной структуры городской территории основывалось на взаимодействии традиционной планировочной оси (проспекта Победы и железной дороги) с природно-экологическим каркасом Кисловодской долины и Курортного парка. </w:t>
      </w:r>
    </w:p>
    <w:p w14:paraId="2E3E4C4F"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xml:space="preserve">Приоритетным направлением формирования городской территории, </w:t>
      </w:r>
      <w:proofErr w:type="gramStart"/>
      <w:r w:rsidRPr="00731FE2">
        <w:rPr>
          <w:rFonts w:ascii="Times New Roman" w:hAnsi="Times New Roman" w:cs="Times New Roman"/>
          <w:color w:val="000000" w:themeColor="text1"/>
        </w:rPr>
        <w:t>согласно проекта</w:t>
      </w:r>
      <w:proofErr w:type="gramEnd"/>
      <w:r w:rsidRPr="00731FE2">
        <w:rPr>
          <w:rFonts w:ascii="Times New Roman" w:hAnsi="Times New Roman" w:cs="Times New Roman"/>
          <w:color w:val="000000" w:themeColor="text1"/>
        </w:rPr>
        <w:t xml:space="preserve"> 2011 г., является безусловное сохранение границ функциональных зон с особыми условиями использования и особо охраняемых природных территорий. </w:t>
      </w:r>
    </w:p>
    <w:p w14:paraId="27024486"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Проектом предлагалось выделение следующих функциональных зон:</w:t>
      </w:r>
    </w:p>
    <w:p w14:paraId="1D0B89A5"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1. Зоны с особыми условиями использования.</w:t>
      </w:r>
    </w:p>
    <w:p w14:paraId="5EAC44EC"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2. Особо охраняемые природные территории.</w:t>
      </w:r>
    </w:p>
    <w:p w14:paraId="11DD049A"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xml:space="preserve">3. </w:t>
      </w:r>
      <w:proofErr w:type="gramStart"/>
      <w:r w:rsidRPr="00731FE2">
        <w:rPr>
          <w:rFonts w:ascii="Times New Roman" w:hAnsi="Times New Roman" w:cs="Times New Roman"/>
          <w:color w:val="000000" w:themeColor="text1"/>
        </w:rPr>
        <w:t>Жилая зона (в том числе:</w:t>
      </w:r>
      <w:proofErr w:type="gramEnd"/>
      <w:r w:rsidRPr="00731FE2">
        <w:rPr>
          <w:rFonts w:ascii="Times New Roman" w:hAnsi="Times New Roman" w:cs="Times New Roman"/>
          <w:color w:val="000000" w:themeColor="text1"/>
        </w:rPr>
        <w:t xml:space="preserve"> </w:t>
      </w:r>
      <w:proofErr w:type="gramStart"/>
      <w:r w:rsidRPr="00731FE2">
        <w:rPr>
          <w:rFonts w:ascii="Times New Roman" w:hAnsi="Times New Roman" w:cs="Times New Roman"/>
          <w:color w:val="000000" w:themeColor="text1"/>
        </w:rPr>
        <w:t>Западный жилой район, жилой район «Аликоновский», жилые районы юго-западной части города).</w:t>
      </w:r>
      <w:proofErr w:type="gramEnd"/>
      <w:r w:rsidRPr="00731FE2">
        <w:rPr>
          <w:rFonts w:ascii="Times New Roman" w:hAnsi="Times New Roman" w:cs="Times New Roman"/>
          <w:color w:val="000000" w:themeColor="text1"/>
        </w:rPr>
        <w:t xml:space="preserve"> Учитывая острую нехватку территорий для строительства жилого фонда, в генплане на восточной границе города-курорта намечен микрорайон перспективной застройки, рассчитанной на реализацию в 2025 – 203 гг. </w:t>
      </w:r>
      <w:r w:rsidRPr="00731FE2">
        <w:rPr>
          <w:rFonts w:ascii="Times New Roman" w:hAnsi="Times New Roman" w:cs="Times New Roman"/>
          <w:color w:val="000000" w:themeColor="text1"/>
        </w:rPr>
        <w:lastRenderedPageBreak/>
        <w:t xml:space="preserve">Резервы для перспективного развития жилой зоны города предусматривались на территориях, примыкающих к западной части города за рекой Аликоновкой (пашни бывшего совхоза «Тепличный»). Периферийные районы предусматривалось застраивать преимущественно 1-2-3 этажными домами усадебного типа, с земельными участками до 0,06 га (6 соток), включая площадь застройки. </w:t>
      </w:r>
    </w:p>
    <w:p w14:paraId="67064CE1"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4. Общественно-деловая зона.</w:t>
      </w:r>
    </w:p>
    <w:p w14:paraId="77C031C5"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5. Производственно-коммунальная зона.</w:t>
      </w:r>
    </w:p>
    <w:p w14:paraId="23425133"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6. Природно-рекреационная зона.</w:t>
      </w:r>
    </w:p>
    <w:p w14:paraId="4231C41B"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7. Санаторно-курортная зона.</w:t>
      </w:r>
    </w:p>
    <w:p w14:paraId="0A3D0A97"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8. Территории специального назначения.</w:t>
      </w:r>
    </w:p>
    <w:p w14:paraId="62CC00F8"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9. Зоны транспортной инфраструктуры.</w:t>
      </w:r>
    </w:p>
    <w:p w14:paraId="474E1A30"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В проекте генерального плана 2011 года была проведена комплексная оценка архитектурно-планировочной структуры города-курорта. Был сделан вывод о том, что территориальные ресурсы в сложившихся жилых районах Кисловодска ограничены. В курортных и жилых районах планировочная организация характеризовалась рядом неблагоприятных факторов:</w:t>
      </w:r>
    </w:p>
    <w:p w14:paraId="1A4F7317" w14:textId="77777777" w:rsidR="00171AA8" w:rsidRPr="00731FE2" w:rsidRDefault="007935AB" w:rsidP="007832E7">
      <w:pPr>
        <w:pStyle w:val="a3"/>
        <w:numPr>
          <w:ilvl w:val="0"/>
          <w:numId w:val="57"/>
        </w:num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сохранялась чересполосица рекреационных и жилых территорий;</w:t>
      </w:r>
    </w:p>
    <w:p w14:paraId="74FEF00D" w14:textId="77777777" w:rsidR="00171AA8" w:rsidRPr="00731FE2" w:rsidRDefault="007935AB" w:rsidP="007832E7">
      <w:pPr>
        <w:pStyle w:val="a3"/>
        <w:numPr>
          <w:ilvl w:val="0"/>
          <w:numId w:val="57"/>
        </w:num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среди жилой застройки оставались многочисленные коммунально-складские и промышленные предприятия – источники загрязнения окружающей среды, не имеющие непосредственного отношения к обслуживанию курорта</w:t>
      </w:r>
    </w:p>
    <w:p w14:paraId="734C137D" w14:textId="77777777" w:rsidR="00171AA8" w:rsidRPr="00731FE2" w:rsidRDefault="007935AB" w:rsidP="007832E7">
      <w:pPr>
        <w:pStyle w:val="a3"/>
        <w:numPr>
          <w:ilvl w:val="0"/>
          <w:numId w:val="57"/>
        </w:num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в пределах 1-й зоны санитарной охраны курорта находилось около 2,2% имеющегося жилого фонда и свыше 4% – размещалось в курортной зоне;</w:t>
      </w:r>
    </w:p>
    <w:p w14:paraId="48948A7C" w14:textId="77777777" w:rsidR="00171AA8" w:rsidRPr="00731FE2" w:rsidRDefault="007935AB" w:rsidP="007832E7">
      <w:pPr>
        <w:pStyle w:val="a3"/>
        <w:numPr>
          <w:ilvl w:val="0"/>
          <w:numId w:val="57"/>
        </w:num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с юга, востока и запада к городской застройке примыкают сельские населенные пункты, жилой фонд которых имеет не соответствующие требованиям инженерное обустройство;</w:t>
      </w:r>
    </w:p>
    <w:p w14:paraId="05919C6E" w14:textId="77777777" w:rsidR="00171AA8" w:rsidRPr="00731FE2" w:rsidRDefault="007935AB" w:rsidP="007832E7">
      <w:pPr>
        <w:pStyle w:val="a3"/>
        <w:numPr>
          <w:ilvl w:val="0"/>
          <w:numId w:val="57"/>
        </w:num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несмотря на курортную специализацию города, селитебные территории характеризовались довольно низким показателем озелененности;</w:t>
      </w:r>
    </w:p>
    <w:p w14:paraId="3E2AD239" w14:textId="77777777" w:rsidR="00171AA8" w:rsidRPr="00731FE2" w:rsidRDefault="007935AB" w:rsidP="007832E7">
      <w:pPr>
        <w:pStyle w:val="a3"/>
        <w:numPr>
          <w:ilvl w:val="0"/>
          <w:numId w:val="57"/>
        </w:num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уличная сеть отличалась отсутствием четкой системы дифференцированных по назначению магистралей и не рассчитана на существовавший уровень автомобилизации;</w:t>
      </w:r>
    </w:p>
    <w:p w14:paraId="0BCF9945" w14:textId="77777777" w:rsidR="00171AA8" w:rsidRPr="00731FE2" w:rsidRDefault="007935AB" w:rsidP="007832E7">
      <w:pPr>
        <w:pStyle w:val="a3"/>
        <w:numPr>
          <w:ilvl w:val="0"/>
          <w:numId w:val="57"/>
        </w:num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энергообеспечение курортной и жилой застройки не отвечает экологообусловленным современным технологиям;</w:t>
      </w:r>
    </w:p>
    <w:p w14:paraId="3637A743" w14:textId="77777777" w:rsidR="00171AA8" w:rsidRPr="00731FE2" w:rsidRDefault="007935AB" w:rsidP="007832E7">
      <w:pPr>
        <w:pStyle w:val="a3"/>
        <w:numPr>
          <w:ilvl w:val="0"/>
          <w:numId w:val="57"/>
        </w:num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не развиты и территориально не обеспечены туристско-рекреационная и спортивная деятельность постоянного и прибывающего населения города;</w:t>
      </w:r>
    </w:p>
    <w:p w14:paraId="10187BDA" w14:textId="77777777" w:rsidR="00171AA8" w:rsidRPr="00731FE2" w:rsidRDefault="007935AB" w:rsidP="007832E7">
      <w:pPr>
        <w:pStyle w:val="a3"/>
        <w:numPr>
          <w:ilvl w:val="0"/>
          <w:numId w:val="57"/>
        </w:num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не упорядочена ландшафтно-визуальная структура застройки города;</w:t>
      </w:r>
    </w:p>
    <w:p w14:paraId="16540AC0" w14:textId="77777777" w:rsidR="00171AA8" w:rsidRPr="00731FE2" w:rsidRDefault="007935AB" w:rsidP="007832E7">
      <w:pPr>
        <w:pStyle w:val="a3"/>
        <w:numPr>
          <w:ilvl w:val="0"/>
          <w:numId w:val="57"/>
        </w:num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многочисленные историко-культурные объекты города не объединены в системы маршрутов и пешеходных путей для осмотра уникальных природных комплексов города-курорта.</w:t>
      </w:r>
    </w:p>
    <w:p w14:paraId="312D3633"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Территориальные ресурсы в пределах курортных зон были почти полностью исчерпаны. Резервными территориями для возможного курортного освоения в проекте рассматривались районы Васюковой Балки и Запикетный район.</w:t>
      </w:r>
    </w:p>
    <w:p w14:paraId="2E852330"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Индивидуальный жилой фонд прилегающих поселков (в долинах рек Ольховки, Березовки, Кабардинки, Аликоновки), находится в особенно неблагоприятных в коммунальном отношении, неприемлемых для курорта условиях.</w:t>
      </w:r>
    </w:p>
    <w:p w14:paraId="44A3A80D"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lastRenderedPageBreak/>
        <w:t xml:space="preserve">Деление города железной дорогой на две части и недостаточное число путепроводов через нее – дало предпосылку к обособленному развитию этих частей, а также к незавершенности формирования единой системы пешеходных связей и центров обслуживания (предлагаемых предыдущими генеральными планами). </w:t>
      </w:r>
    </w:p>
    <w:p w14:paraId="5572DCBA"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Структура общегородских центров представлена многофункциональными комплексами, частично выполняющими функции районных центров. Анализ территориального размещения объектов социального и культурно-бытового обслуживания, административно-деловых, учебно-просветительских и культурных центров подтверждает неравномерность их развития.</w:t>
      </w:r>
    </w:p>
    <w:p w14:paraId="328ABBE4"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xml:space="preserve">Было отмечено недостаточное количество градостроительных структурных элементов, участвующих в формировании, как городского центра, так и в оформлении главных направлений центральных улиц. </w:t>
      </w:r>
    </w:p>
    <w:p w14:paraId="0F56D806"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xml:space="preserve">Промышленные и коммунальные территории располагались на окраинах города, но с его развитием оказались глубоко в массивах жилой застройки, а с ростом их мощностей были нарушены все санитарные нормы. Промышленные территории, несмотря на положение в удобной транспортной доступности к жилым районам, в то же время являются экологической угрозой для этих же жилых районов. </w:t>
      </w:r>
    </w:p>
    <w:p w14:paraId="11AA0884"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xml:space="preserve">Проектом определялась необходимость прекращения процесса дробления промышленных территорий, предложив мероприятия по упорядочению построения их функционально-планировочной структуры и повышению эффективности использования, проведение процесса деструктуризации промышленных территорий. </w:t>
      </w:r>
    </w:p>
    <w:p w14:paraId="43157B7B"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xml:space="preserve">Коммунально-складские территории в городе-курорте представлены складскими территориями, принадлежащими промышленным предприятиям, предприятиям торговли и пищевой промышленности, гаражами, автопредприятиями. </w:t>
      </w:r>
    </w:p>
    <w:p w14:paraId="2A2EFB1F"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xml:space="preserve">Было отмечено, что при общем дефиците свободных территорий для развития, значительные территории занимали частные гаражи, зачастую в рекреационных зонах, охранных зонах рек и водотоков. Это негативно воздействует на состояние окружающей среды и требует </w:t>
      </w:r>
      <w:r w:rsidR="00D823C7" w:rsidRPr="00731FE2">
        <w:rPr>
          <w:rFonts w:ascii="Times New Roman" w:hAnsi="Times New Roman" w:cs="Times New Roman"/>
          <w:color w:val="000000" w:themeColor="text1"/>
        </w:rPr>
        <w:t>решения эколого-</w:t>
      </w:r>
      <w:r w:rsidRPr="00731FE2">
        <w:rPr>
          <w:rFonts w:ascii="Times New Roman" w:hAnsi="Times New Roman" w:cs="Times New Roman"/>
          <w:color w:val="000000" w:themeColor="text1"/>
        </w:rPr>
        <w:t>планировочного</w:t>
      </w:r>
      <w:r w:rsidR="00D823C7" w:rsidRPr="00731FE2">
        <w:rPr>
          <w:rFonts w:ascii="Times New Roman" w:hAnsi="Times New Roman" w:cs="Times New Roman"/>
          <w:color w:val="000000" w:themeColor="text1"/>
        </w:rPr>
        <w:t xml:space="preserve"> н</w:t>
      </w:r>
      <w:r w:rsidRPr="00731FE2">
        <w:rPr>
          <w:rFonts w:ascii="Times New Roman" w:hAnsi="Times New Roman" w:cs="Times New Roman"/>
          <w:color w:val="000000" w:themeColor="text1"/>
        </w:rPr>
        <w:t>а</w:t>
      </w:r>
      <w:r w:rsidR="00D823C7" w:rsidRPr="00731FE2">
        <w:rPr>
          <w:rFonts w:ascii="Times New Roman" w:hAnsi="Times New Roman" w:cs="Times New Roman"/>
          <w:color w:val="000000" w:themeColor="text1"/>
        </w:rPr>
        <w:t>пра</w:t>
      </w:r>
      <w:r w:rsidRPr="00731FE2">
        <w:rPr>
          <w:rFonts w:ascii="Times New Roman" w:hAnsi="Times New Roman" w:cs="Times New Roman"/>
          <w:color w:val="000000" w:themeColor="text1"/>
        </w:rPr>
        <w:t>влен</w:t>
      </w:r>
      <w:r w:rsidR="00D823C7" w:rsidRPr="00731FE2">
        <w:rPr>
          <w:rFonts w:ascii="Times New Roman" w:hAnsi="Times New Roman" w:cs="Times New Roman"/>
          <w:color w:val="000000" w:themeColor="text1"/>
        </w:rPr>
        <w:t>ия.</w:t>
      </w:r>
    </w:p>
    <w:p w14:paraId="67649B24"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Результаты комплексного анализа территории города-курорта Кисловодска были представлены в проекте генерального плана 2011 г. на схеме «Комплексная оценка территории». По степени ограничения для целей строительства территория города-курорта была подразделена на следующие группы территорий:</w:t>
      </w:r>
    </w:p>
    <w:p w14:paraId="19A0ADD7" w14:textId="77777777" w:rsidR="00171AA8" w:rsidRPr="00731FE2" w:rsidRDefault="007935AB" w:rsidP="007832E7">
      <w:pPr>
        <w:pStyle w:val="a3"/>
        <w:numPr>
          <w:ilvl w:val="0"/>
          <w:numId w:val="58"/>
        </w:num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средней сложности, уровень паводковых вод (УПВ) на глубине свыше 5 м, сейсмичность 7-8 баллов;</w:t>
      </w:r>
    </w:p>
    <w:p w14:paraId="4439CAF3" w14:textId="77777777" w:rsidR="00171AA8" w:rsidRPr="00731FE2" w:rsidRDefault="007935AB" w:rsidP="007832E7">
      <w:pPr>
        <w:pStyle w:val="a3"/>
        <w:numPr>
          <w:ilvl w:val="0"/>
          <w:numId w:val="58"/>
        </w:num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сложные, УПВ на глубине свыше 3-5 м, сейсмичность 8-9 баллов;</w:t>
      </w:r>
    </w:p>
    <w:p w14:paraId="782BAECE" w14:textId="77777777" w:rsidR="00171AA8" w:rsidRPr="00731FE2" w:rsidRDefault="007935AB" w:rsidP="007832E7">
      <w:pPr>
        <w:pStyle w:val="a3"/>
        <w:numPr>
          <w:ilvl w:val="0"/>
          <w:numId w:val="58"/>
        </w:num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особо сложные, УПВ на глубине меньше 2 м, сейсмичность 9 баллов;</w:t>
      </w:r>
    </w:p>
    <w:p w14:paraId="3EDE0F92" w14:textId="77777777" w:rsidR="00171AA8" w:rsidRPr="00731FE2" w:rsidRDefault="007935AB" w:rsidP="007832E7">
      <w:pPr>
        <w:pStyle w:val="a3"/>
        <w:numPr>
          <w:ilvl w:val="0"/>
          <w:numId w:val="58"/>
        </w:num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proofErr w:type="gramStart"/>
      <w:r w:rsidRPr="00731FE2">
        <w:rPr>
          <w:rFonts w:ascii="Times New Roman" w:hAnsi="Times New Roman" w:cs="Times New Roman"/>
          <w:color w:val="000000" w:themeColor="text1"/>
        </w:rPr>
        <w:t>не рекомендуемые для градостроительного освоения, сейсмичность 9 баллов.</w:t>
      </w:r>
      <w:proofErr w:type="gramEnd"/>
    </w:p>
    <w:p w14:paraId="68081BE5"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В результате комплексной оценки территории по комплексу природных и градостроительных факторов были выбраны наиболее пригодные площадки для размещения жилой и общественной застройки, производственных объектов, организации рекреационных зон. Это позволило целенаправленно регулировать использование территории по основным функциям, установить оптимальный режим застройки каждой зоны, определить очередность освоения площадок с учетом сложности их освоения.</w:t>
      </w:r>
    </w:p>
    <w:p w14:paraId="1A230173"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lastRenderedPageBreak/>
        <w:t xml:space="preserve">По результатам анализа градостроительной ситуации были определены территории наиболее пригодные для конкретных видов использования – селитебного, в т.ч. жилого, общественно-делового, рекреационного, промышленного и коммунально-складского. </w:t>
      </w:r>
    </w:p>
    <w:p w14:paraId="4BFB69C6"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xml:space="preserve">В этой градации выделены зоны строительства на свободных и реконструируемых территориях, для многоэтажных, среднеэтажных и малоэтажных жилых зон, для наиболее удобного, с планировочной точки зрения, размещения административно-деловых, культурно-развлекательных, торговых и комплексных центров обслуживания и рекреации. </w:t>
      </w:r>
    </w:p>
    <w:p w14:paraId="0715B856"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Учитывая фактор износа жилого фонда, определены районы проведения строительства и реконструкции с полным или частичным сносом. Так, например, в исторической части города, по предложениям проекта генерального плана 2011 г., должна вестись реконструкция с частичным сносом при сохранении и реставрации памятников исторического наследия. На основании проведенной оценки планировочной структуры, структуры центров и обеспеченности объектами обслуживания в социальной сфере и рекреации в проекте были сделаны выводы, о необходимости строительства дополнительных центров обслуживания в районах новостроек и сельских населенных пунктов. Выявлены объекты, функционирование которых не совместимо с жилыми зонами. Результаты комплексной оценки территории позволили выявить различные функциональные зоны, провести функциональное зонирование территории и дать проектные предложения по развитию города-курорта.</w:t>
      </w:r>
    </w:p>
    <w:p w14:paraId="674D61D4"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В целом проект генерального плана города-курорта Кисловодска 2011 года в максимальной степени учитывал особенности и ограничения его градостроительного развития и был выполнен на достаточно высоком уровне.</w:t>
      </w:r>
    </w:p>
    <w:p w14:paraId="1EAEF0C3"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Последние внесения изменений в генеральный план городского округа были выполнены в 2022 году. Данным генеральным планом были решены следующие задачи:</w:t>
      </w:r>
    </w:p>
    <w:p w14:paraId="38572E26"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1. Дана комплексная характеристика современных особенностей пространственного и социально-экономического состояния городского округа города-курорта Кисловодска.</w:t>
      </w:r>
    </w:p>
    <w:p w14:paraId="03924252"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2. Проведен анализ документов территориального планирования федерального, регионального и муниципального уровней для определения перечня и характеристик объектов (федерального, регионального и местного значения), планируемых для размещения на территории округа.</w:t>
      </w:r>
    </w:p>
    <w:p w14:paraId="1D070774"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3. Определены основные проблемы, ограничивающие пространственное, градостроительное и социально-экономическое развитие городского округа.</w:t>
      </w:r>
    </w:p>
    <w:p w14:paraId="31B5A171"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xml:space="preserve">4. Выполнено обоснование вариантов размещения на территории округа объектов федерального, регионального и местного значения. </w:t>
      </w:r>
    </w:p>
    <w:p w14:paraId="1FFF3DA6"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xml:space="preserve">5. Разработаны предложения по развитию социальной, транспортной, инженерной инфраструктуры и направления </w:t>
      </w:r>
      <w:proofErr w:type="gramStart"/>
      <w:r w:rsidRPr="00731FE2">
        <w:rPr>
          <w:rFonts w:ascii="Times New Roman" w:hAnsi="Times New Roman" w:cs="Times New Roman"/>
          <w:color w:val="000000" w:themeColor="text1"/>
        </w:rPr>
        <w:t>развития экономики городского округа города-курорта Кисловодска</w:t>
      </w:r>
      <w:proofErr w:type="gramEnd"/>
      <w:r w:rsidRPr="00731FE2">
        <w:rPr>
          <w:rFonts w:ascii="Times New Roman" w:hAnsi="Times New Roman" w:cs="Times New Roman"/>
          <w:color w:val="000000" w:themeColor="text1"/>
        </w:rPr>
        <w:t>.</w:t>
      </w:r>
    </w:p>
    <w:p w14:paraId="1DECDBBA"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xml:space="preserve">6. Выявлены и проанализированы градостроительные ограничения развития округа в целом и населенных пунктов в его составе. </w:t>
      </w:r>
    </w:p>
    <w:p w14:paraId="22B640EB"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xml:space="preserve">7. Сформированы и обоснованы предложения по изменению </w:t>
      </w:r>
      <w:proofErr w:type="gramStart"/>
      <w:r w:rsidRPr="00731FE2">
        <w:rPr>
          <w:rFonts w:ascii="Times New Roman" w:hAnsi="Times New Roman" w:cs="Times New Roman"/>
          <w:color w:val="000000" w:themeColor="text1"/>
        </w:rPr>
        <w:t>границ территории городского округа города-курорта Кисловодска</w:t>
      </w:r>
      <w:proofErr w:type="gramEnd"/>
      <w:r w:rsidRPr="00731FE2">
        <w:rPr>
          <w:rFonts w:ascii="Times New Roman" w:hAnsi="Times New Roman" w:cs="Times New Roman"/>
          <w:color w:val="000000" w:themeColor="text1"/>
        </w:rPr>
        <w:t>.</w:t>
      </w:r>
    </w:p>
    <w:p w14:paraId="44E542C0"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lastRenderedPageBreak/>
        <w:t>8. Установлены границы функциональных зон с указанием планируемых для размещения в них объектов федерального значения, объектов регионального значения, объектов местного значения городского округа.</w:t>
      </w:r>
    </w:p>
    <w:p w14:paraId="2A3E8F40" w14:textId="77777777" w:rsidR="00171AA8" w:rsidRPr="00731FE2" w:rsidRDefault="00171AA8">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p>
    <w:p w14:paraId="3D0A5960" w14:textId="77777777" w:rsidR="00171AA8" w:rsidRPr="00731FE2" w:rsidRDefault="007935AB">
      <w:pPr>
        <w:pStyle w:val="24"/>
        <w:rPr>
          <w:rFonts w:ascii="Times New Roman" w:hAnsi="Times New Roman" w:cs="Times New Roman"/>
        </w:rPr>
      </w:pPr>
      <w:bookmarkStart w:id="58" w:name="_Toc177392809"/>
      <w:r w:rsidRPr="00731FE2">
        <w:rPr>
          <w:rFonts w:ascii="Times New Roman" w:hAnsi="Times New Roman" w:cs="Times New Roman"/>
        </w:rPr>
        <w:t>3.2 Пространственно-планировочная организация территории города-курорта Кисловодска</w:t>
      </w:r>
      <w:bookmarkEnd w:id="58"/>
    </w:p>
    <w:p w14:paraId="51138A85" w14:textId="77777777" w:rsidR="00171AA8" w:rsidRPr="00731FE2" w:rsidRDefault="007935AB">
      <w:pPr>
        <w:pStyle w:val="33"/>
        <w:rPr>
          <w:rFonts w:ascii="Times New Roman" w:hAnsi="Times New Roman" w:cs="Times New Roman"/>
        </w:rPr>
      </w:pPr>
      <w:bookmarkStart w:id="59" w:name="_Toc177392810"/>
      <w:r w:rsidRPr="00731FE2">
        <w:rPr>
          <w:rFonts w:ascii="Times New Roman" w:hAnsi="Times New Roman" w:cs="Times New Roman"/>
        </w:rPr>
        <w:t>3.2.1 Пространственно-территориальное развитие округа</w:t>
      </w:r>
      <w:bookmarkEnd w:id="59"/>
    </w:p>
    <w:p w14:paraId="75B5F791"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Пространственно-территориальное развитие городского округа города-курорта Кисловодска в значительной степени определяется внешними и внутренними природными и социально-экономическими факторами, и определено с учетом долгосрочных целей и перспективных направлений развития Ставропольского края и региона КМВ. Кроме этого, перспективы социально-экономического развития округа определены в Распоряжении Правительства Российской Федерации от 29 декабря 2016 г. № 2899-р.</w:t>
      </w:r>
    </w:p>
    <w:p w14:paraId="60E75B0D"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Комплекс внешних факторов создает благоприятные условия для использования конкурентных преимуществ городского округа города-курорта Кисловодска, связанных с выгодным географическим положением, обеспеченностью природно-климатическими ресурсами, динамикой социально-экономического развития Ставропольского края и региона КМВ.</w:t>
      </w:r>
    </w:p>
    <w:p w14:paraId="269CF8C9"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Одним из основных факторов, предоставляющих возможности для дальнейшего развития города-курорта, является его географическое положение. Прежде всего, это касается обеспеченности уникальными природно-климатическими ресурсами, определяющими курортную специализацию городского округа.</w:t>
      </w:r>
    </w:p>
    <w:p w14:paraId="6F01028B"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Положение города-курорта Кисловодска в пределах агломерации КМВ также благоприятно сказывается на его перспективном развитии. Во-первых, это касается относительной близости к международному аэропорту Минеральные Воды и транспортно-логистическому комплексу, который формируется на территории Минераловодского городского округа.</w:t>
      </w:r>
    </w:p>
    <w:p w14:paraId="14CB924C"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Во-вторых, положение города-курорта в агломерации КМВ предоставляет широкие возможности для использования ресурсов всех городов-курортов КМВ для комплексного социально-экономического развития. Вся территория региона КМВ, определена как «особо охраняемая курортно-рекреационная зона РФ» с преимущественно курортно-рекреационной функцией, что особенно важно для города-курорта Кисловодска, поскольку он обладает максимальным потенциалом в этой сфере среди других городов-курортов региона.</w:t>
      </w:r>
    </w:p>
    <w:p w14:paraId="60B83491"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Анализ пространственно-территориального развития городского округа города-курорта Кисловодска выполнен:</w:t>
      </w:r>
    </w:p>
    <w:p w14:paraId="15C5790B"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с учетом прогноза демографической ситуации, миграционных процессов, которые легли в основу расчета численности населения городского округа на перспективу (135,1 тыс. человек к 2044 году по инерционному варианту прогноза);</w:t>
      </w:r>
    </w:p>
    <w:p w14:paraId="53C150B8"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xml:space="preserve">- на основе анализа развития территории с учетом градостроительных ограничений и условий, а также роли города-курорта Кисловодска как центра городского округа; </w:t>
      </w:r>
    </w:p>
    <w:p w14:paraId="3A4285C0"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с учетом ранее разработанных документов территориального планирования – генеральных планов города-курорта Кисловодска (1968,1989,1994,2011, 2022 гг.).</w:t>
      </w:r>
    </w:p>
    <w:p w14:paraId="2511E799"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Также учтены основные положения схемы территориального планирования КМВ, в соответствии с которой город-курорт Кислово</w:t>
      </w:r>
      <w:proofErr w:type="gramStart"/>
      <w:r w:rsidRPr="00731FE2">
        <w:rPr>
          <w:rFonts w:ascii="Times New Roman" w:hAnsi="Times New Roman" w:cs="Times New Roman"/>
          <w:color w:val="000000" w:themeColor="text1"/>
        </w:rPr>
        <w:t>дск вх</w:t>
      </w:r>
      <w:proofErr w:type="gramEnd"/>
      <w:r w:rsidRPr="00731FE2">
        <w:rPr>
          <w:rFonts w:ascii="Times New Roman" w:hAnsi="Times New Roman" w:cs="Times New Roman"/>
          <w:color w:val="000000" w:themeColor="text1"/>
        </w:rPr>
        <w:t>одит в состав туристско-</w:t>
      </w:r>
      <w:r w:rsidRPr="00731FE2">
        <w:rPr>
          <w:rFonts w:ascii="Times New Roman" w:hAnsi="Times New Roman" w:cs="Times New Roman"/>
          <w:color w:val="000000" w:themeColor="text1"/>
        </w:rPr>
        <w:lastRenderedPageBreak/>
        <w:t>рекреационного ядра Кавминводской агломерации в качестве рекреационного центра общероссийского и международного значения</w:t>
      </w:r>
      <w:r w:rsidRPr="00731FE2">
        <w:rPr>
          <w:rFonts w:ascii="Times New Roman" w:hAnsi="Times New Roman" w:cs="Times New Roman"/>
          <w:color w:val="000000" w:themeColor="text1"/>
          <w:vertAlign w:val="superscript"/>
        </w:rPr>
        <w:footnoteReference w:id="100"/>
      </w:r>
      <w:r w:rsidRPr="00731FE2">
        <w:rPr>
          <w:rFonts w:ascii="Times New Roman" w:hAnsi="Times New Roman" w:cs="Times New Roman"/>
          <w:color w:val="000000" w:themeColor="text1"/>
        </w:rPr>
        <w:t>.</w:t>
      </w:r>
    </w:p>
    <w:p w14:paraId="3AEEB20C"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xml:space="preserve">Пространственное развитие городского округа города-курорта Кисловодска связано с сохранением санаторно-курортной специализации, освоением рекреационных ресурсов и развитием рекреационной деятельности, что определяет расширение спектра услуг, прежде всего в сфере различных видов туризма и рекреации. </w:t>
      </w:r>
    </w:p>
    <w:p w14:paraId="72314B8D"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xml:space="preserve">Внутренние связи характеризуются системой местных автомобильных дорог. Существующая улично-дорожная сеть городского округа используется для реализации обслуживающих население функций и развития внутренних связей курорта. </w:t>
      </w:r>
    </w:p>
    <w:p w14:paraId="682C4E37"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xml:space="preserve">Территориальное развитие города-курорта Кисловодска имеет серьезные планировочные ограничения, связанные с особо сложными инженерно-геологическими условиями, режимом эколого-курортного региона, зонами горно-санитарной охраны источников минеральных вод. </w:t>
      </w:r>
    </w:p>
    <w:p w14:paraId="06C186B3"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Большее влияние на пространственное развитие городского округа города-курорта Кисловодска оказывают агломерационные процессы. Они характеризуются усилением взаимных связей и влияния между городами – центрами агломерации. В связи с дефицитом земельных ресурсов в пределах границ центра городского округа – города-курорта Кисловодска, прилегающие территории станут значительным территориальным ресурсом, местом возможного развития туристско-рекреационных и эколого-градостроительных функций.</w:t>
      </w:r>
    </w:p>
    <w:p w14:paraId="49593806"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Градостроительное и планировочное развитие города-курорта направлено на: расширение туристско-рекреационной специализации городского округа, обеспечение удовлетворения потребностей широкого круга потребителей санаторно-курортных, туристических услуг, уход от монопрофильной специализации, увеличение туристического потока, а также формирование природного «буфера» отделяющего уникальный город-курорт от прилегающих территорий и снижение антропогенного воздействия на природно-экологические системы округа.</w:t>
      </w:r>
    </w:p>
    <w:p w14:paraId="7EC72474"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Населенные пункты, входящие в состав городского округа города-курорта Кисловодска, связаны с административным центром градостроительным, транспортным и природно-ландшафтным каркасами, объединены в единое целое интенсивными хозяйственными, трудовыми, транспортными, образовательными, бытовыми, культурными, рекреационными и иными связями.</w:t>
      </w:r>
    </w:p>
    <w:p w14:paraId="38CE7405"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Главным структурно-планировочным центром городского округа является город-курорт Кисловодск, развивающийся в северо-западном направлении.</w:t>
      </w:r>
    </w:p>
    <w:p w14:paraId="6345C3A6"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К главному планировочному центру тяготеют территории населенных пунктов (11 поселков) в виде линейных форм расселения, исторически формирующихся возле водотоков, рекреационных зон, и связанных местными автомобильными дорогами.</w:t>
      </w:r>
    </w:p>
    <w:p w14:paraId="066F9D5C"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xml:space="preserve">Части линейных форм расселения имеют возможность формирования новых планировочных структур, учитывая новые функциональные требования и инвестиционные возможности, образуя локальные структурно-планировочные </w:t>
      </w:r>
      <w:r w:rsidRPr="00731FE2">
        <w:rPr>
          <w:rFonts w:ascii="Times New Roman" w:hAnsi="Times New Roman" w:cs="Times New Roman"/>
          <w:color w:val="000000" w:themeColor="text1"/>
        </w:rPr>
        <w:lastRenderedPageBreak/>
        <w:t xml:space="preserve">образования в виде линейно-полосовых групп взаимосвязанных застроенных территорий. Прежде всего, это касается поселков Аликоновка и Луначарский, непосредственно примыкающих к территории города-курорта Кисловодска, </w:t>
      </w:r>
      <w:proofErr w:type="gramStart"/>
      <w:r w:rsidRPr="00731FE2">
        <w:rPr>
          <w:rFonts w:ascii="Times New Roman" w:hAnsi="Times New Roman" w:cs="Times New Roman"/>
          <w:color w:val="000000" w:themeColor="text1"/>
        </w:rPr>
        <w:t>образуя</w:t>
      </w:r>
      <w:proofErr w:type="gramEnd"/>
      <w:r w:rsidRPr="00731FE2">
        <w:rPr>
          <w:rFonts w:ascii="Times New Roman" w:hAnsi="Times New Roman" w:cs="Times New Roman"/>
          <w:color w:val="000000" w:themeColor="text1"/>
        </w:rPr>
        <w:t xml:space="preserve"> по сути с ним единое планировочное образование.</w:t>
      </w:r>
    </w:p>
    <w:p w14:paraId="02F4950A"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xml:space="preserve">В зоне градостроительного освоения линейно-полосовые группы в виду близкого расположения, композиционного единства, могут рассматриваться как структурно-планировочные элементы застроенных территорий городского округа. </w:t>
      </w:r>
    </w:p>
    <w:p w14:paraId="7C064019"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xml:space="preserve">Несмотря на их территориальную обособленность (поселки </w:t>
      </w:r>
      <w:proofErr w:type="gramStart"/>
      <w:r w:rsidRPr="00731FE2">
        <w:rPr>
          <w:rFonts w:ascii="Times New Roman" w:hAnsi="Times New Roman" w:cs="Times New Roman"/>
          <w:color w:val="000000" w:themeColor="text1"/>
        </w:rPr>
        <w:t>Нарзанный</w:t>
      </w:r>
      <w:proofErr w:type="gramEnd"/>
      <w:r w:rsidRPr="00731FE2">
        <w:rPr>
          <w:rFonts w:ascii="Times New Roman" w:hAnsi="Times New Roman" w:cs="Times New Roman"/>
          <w:color w:val="000000" w:themeColor="text1"/>
        </w:rPr>
        <w:t xml:space="preserve">, Индустрия и др.), планировочные образования линейно-полосовых групп застроенных территорий населенных пунктов рассматриваются как жилые районы, с элементами социального обслуживания микрорайонного уровня и уровня жилого района, включая центры обслуживания и многофункциональные общественные центры. </w:t>
      </w:r>
    </w:p>
    <w:p w14:paraId="16D60A61"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proofErr w:type="gramStart"/>
      <w:r w:rsidRPr="00731FE2">
        <w:rPr>
          <w:rFonts w:ascii="Times New Roman" w:hAnsi="Times New Roman" w:cs="Times New Roman"/>
          <w:color w:val="000000" w:themeColor="text1"/>
        </w:rPr>
        <w:t>Мероприятиями территориального планирования предусмотрена реализация целого ряда проектов практически во всех сферах жизнедеятельности городского округа (полный перечень мероприятий представлен в Томе I.</w:t>
      </w:r>
      <w:proofErr w:type="gramEnd"/>
      <w:r w:rsidRPr="00731FE2">
        <w:rPr>
          <w:rFonts w:ascii="Times New Roman" w:hAnsi="Times New Roman" w:cs="Times New Roman"/>
          <w:color w:val="000000" w:themeColor="text1"/>
        </w:rPr>
        <w:t xml:space="preserve"> </w:t>
      </w:r>
      <w:proofErr w:type="gramStart"/>
      <w:r w:rsidRPr="00731FE2">
        <w:rPr>
          <w:rFonts w:ascii="Times New Roman" w:hAnsi="Times New Roman" w:cs="Times New Roman"/>
          <w:color w:val="000000" w:themeColor="text1"/>
        </w:rPr>
        <w:t>Положение о территориальном планировании), предусматривающих возможности его дальнейшего пространственно-территориального и социально-экономического развития.</w:t>
      </w:r>
      <w:proofErr w:type="gramEnd"/>
    </w:p>
    <w:p w14:paraId="5DB4A791" w14:textId="3831F9E4" w:rsidR="00171AA8" w:rsidRPr="00731FE2" w:rsidRDefault="00E9502A">
      <w:pPr>
        <w:pStyle w:val="33"/>
        <w:rPr>
          <w:rFonts w:ascii="Times New Roman" w:hAnsi="Times New Roman" w:cs="Times New Roman"/>
        </w:rPr>
      </w:pPr>
      <w:bookmarkStart w:id="60" w:name="_Toc177392811"/>
      <w:r w:rsidRPr="00731FE2">
        <w:rPr>
          <w:rFonts w:ascii="Times New Roman" w:hAnsi="Times New Roman" w:cs="Times New Roman"/>
        </w:rPr>
        <w:t>3.2.2</w:t>
      </w:r>
      <w:r w:rsidR="007935AB" w:rsidRPr="00731FE2">
        <w:rPr>
          <w:rFonts w:ascii="Times New Roman" w:hAnsi="Times New Roman" w:cs="Times New Roman"/>
        </w:rPr>
        <w:t xml:space="preserve"> Основные направления и приоритеты градостроительного развития</w:t>
      </w:r>
      <w:bookmarkEnd w:id="60"/>
    </w:p>
    <w:p w14:paraId="768D594A"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Пространственно-территориальное развитие городского округа города-курорта Кисловодска напрямую связано с его градостроительным развитием, поскольку именно эти направления формируют основные инструменты и механизмы управления территорией округа.</w:t>
      </w:r>
    </w:p>
    <w:p w14:paraId="27A75024"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xml:space="preserve">Основные проблемы градостроительного развития городского округа связаны со сложившейся экстенсивной пространственно-территориальной динамикой, основанной на использовании внутренних резервов территории округа. Это порождает ряд диспропорций в пространственной организации. Для устранения указанных диспропорций необходимо определить новую стратегию градостроительного развития городского округа. </w:t>
      </w:r>
    </w:p>
    <w:p w14:paraId="58BA2A0D"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Пространственная организация городского округа тесно связана с документами стратегического и территориального планирования Российской Федерации, Стратегией социально-экономического развития Ставропольского края и особо охраняемого эколого-курортного региона Российской Федерации – Кавказских Минеральных Вод, Стратегией социально-экономического развития города-курорта Кисловодска.</w:t>
      </w:r>
    </w:p>
    <w:p w14:paraId="78EC1EAB"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xml:space="preserve">Основным направлением градостроительного развития городского округа является приоритетное развитие санаторно-курортных и туристско-рекреационных систем, как основной специализации города-курорта. </w:t>
      </w:r>
    </w:p>
    <w:p w14:paraId="1561802F"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xml:space="preserve">Вторым важным направлением является сохранение уникальных природных факторов формирования города-курорта Кисловодска: воздуха, месторождений минеральных вод, природных и природоохранных территорий, Национального парка «Кисловодский» путем формирования особого градо-экологического каркаса территории. Такой подход к градостроительному развитию городского круга позволяет строить градостроительную политику в тесной взаимосвязи с экологическим состоянием территории. </w:t>
      </w:r>
    </w:p>
    <w:p w14:paraId="587F3A81"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Градостроительное развитие городского округа города-курорта Кисловодска связано с совершенствованием функционально-планировочной организации территории и определено задачами социально-экономической динамики территории города:</w:t>
      </w:r>
    </w:p>
    <w:p w14:paraId="23F43FE1"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proofErr w:type="gramStart"/>
      <w:r w:rsidRPr="00731FE2">
        <w:rPr>
          <w:rFonts w:ascii="Times New Roman" w:hAnsi="Times New Roman" w:cs="Times New Roman"/>
          <w:color w:val="000000" w:themeColor="text1"/>
        </w:rPr>
        <w:lastRenderedPageBreak/>
        <w:t>- формирование и развитие высокоэффективного и конкурентоспособного туристско-рекреационного комплекса (помимо санаторно-курортного), обеспечивающего широкие возможности для удовлетворения разнообразных потребностей как российских, так и зарубежных граждан в туристско-рекреационных услугах;</w:t>
      </w:r>
      <w:proofErr w:type="gramEnd"/>
    </w:p>
    <w:p w14:paraId="6C436C7C"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сохранение и возрождение ценных архитектурных и природных объектов;</w:t>
      </w:r>
    </w:p>
    <w:p w14:paraId="71A5B167"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определение направлений градостроительной политики и градостроительного контроля на территории округа;</w:t>
      </w:r>
    </w:p>
    <w:p w14:paraId="7C93AD08"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улучшение условий проживания населения, создание комфортной среды и предоставление качественного жилищно-коммунального обслуживания;</w:t>
      </w:r>
    </w:p>
    <w:p w14:paraId="48620C68"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формирование градо-экологического каркаса территории.</w:t>
      </w:r>
    </w:p>
    <w:p w14:paraId="7482DF66"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xml:space="preserve">На территории городского округа города-курорта Кисловодска предполагается реализация большого числа проектов по созданию (реконструкции) объектов капитального строительства. Предлагаемые к реализации инвестиционные проекты будут интегрированы в планировочную структуру городского округа. </w:t>
      </w:r>
    </w:p>
    <w:p w14:paraId="5BC1424A"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Таким образом, на территории города-курорта Кисловодска можно выделить следующие приоритеты градостроительного развития:</w:t>
      </w:r>
    </w:p>
    <w:p w14:paraId="20190300" w14:textId="77777777" w:rsidR="00171AA8" w:rsidRPr="00731FE2" w:rsidRDefault="007935AB" w:rsidP="007832E7">
      <w:pPr>
        <w:pStyle w:val="a3"/>
        <w:numPr>
          <w:ilvl w:val="0"/>
          <w:numId w:val="72"/>
        </w:num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последовательное освобождение территорий, пригодных для санаторно-курортного строительства, от любой застройки некурортного назначения в центральной части города-курорта;</w:t>
      </w:r>
    </w:p>
    <w:p w14:paraId="7A94E2F9" w14:textId="77777777" w:rsidR="00171AA8" w:rsidRPr="00731FE2" w:rsidRDefault="007935AB" w:rsidP="007832E7">
      <w:pPr>
        <w:pStyle w:val="a3"/>
        <w:numPr>
          <w:ilvl w:val="0"/>
          <w:numId w:val="72"/>
        </w:num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сохранение и восстановление архитектурно-градостроительной среды исторического центра городского округа;</w:t>
      </w:r>
    </w:p>
    <w:p w14:paraId="3CD471B4" w14:textId="77777777" w:rsidR="00171AA8" w:rsidRPr="00731FE2" w:rsidRDefault="007935AB" w:rsidP="007832E7">
      <w:pPr>
        <w:pStyle w:val="a3"/>
        <w:numPr>
          <w:ilvl w:val="0"/>
          <w:numId w:val="72"/>
        </w:num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разработка единых нормативов архитектурно-планировочного облика территории малоэтажной застройки по типу европейских курортов;</w:t>
      </w:r>
    </w:p>
    <w:p w14:paraId="3D1ADAFC" w14:textId="77777777" w:rsidR="00171AA8" w:rsidRPr="00731FE2" w:rsidRDefault="007935AB" w:rsidP="007832E7">
      <w:pPr>
        <w:pStyle w:val="a3"/>
        <w:numPr>
          <w:ilvl w:val="0"/>
          <w:numId w:val="72"/>
        </w:num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вывод за границы 1-й зоны горно-санитарной охраны промышленных и коммунально-складских предприятий и сооружений в специальные зоны;</w:t>
      </w:r>
    </w:p>
    <w:p w14:paraId="4A4FD228" w14:textId="77777777" w:rsidR="00171AA8" w:rsidRPr="00731FE2" w:rsidRDefault="007935AB" w:rsidP="007832E7">
      <w:pPr>
        <w:pStyle w:val="a3"/>
        <w:numPr>
          <w:ilvl w:val="0"/>
          <w:numId w:val="72"/>
        </w:num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создание системы новых общественных пространств различного уровня;</w:t>
      </w:r>
    </w:p>
    <w:p w14:paraId="733E35D9" w14:textId="77777777" w:rsidR="00171AA8" w:rsidRPr="00731FE2" w:rsidRDefault="007935AB" w:rsidP="007832E7">
      <w:pPr>
        <w:pStyle w:val="a3"/>
        <w:numPr>
          <w:ilvl w:val="0"/>
          <w:numId w:val="72"/>
        </w:num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формирование территории городского округа по принципу «непересекающихся потоков и зон» с разграничением пространства санаторно-курортной, рекреационно-туристической и спортивной зон;</w:t>
      </w:r>
    </w:p>
    <w:p w14:paraId="34A4C68F" w14:textId="77777777" w:rsidR="00171AA8" w:rsidRPr="00731FE2" w:rsidRDefault="007935AB" w:rsidP="007832E7">
      <w:pPr>
        <w:pStyle w:val="a3"/>
        <w:numPr>
          <w:ilvl w:val="0"/>
          <w:numId w:val="72"/>
        </w:num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сохранение и развитие природно-экологического каркаса территории и формирование на его основе градо-экологического каркаса;</w:t>
      </w:r>
    </w:p>
    <w:p w14:paraId="30623830" w14:textId="77777777" w:rsidR="00171AA8" w:rsidRPr="00731FE2" w:rsidRDefault="007935AB" w:rsidP="007832E7">
      <w:pPr>
        <w:pStyle w:val="a3"/>
        <w:numPr>
          <w:ilvl w:val="0"/>
          <w:numId w:val="72"/>
        </w:num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оптимизация структуры и территориального распределения жилищного фонда за счет формирования новых жилых зон преимущественно средне- и малоэтажной застройки;</w:t>
      </w:r>
    </w:p>
    <w:p w14:paraId="431253EB" w14:textId="77777777" w:rsidR="00171AA8" w:rsidRPr="00731FE2" w:rsidRDefault="007935AB" w:rsidP="007832E7">
      <w:pPr>
        <w:pStyle w:val="a3"/>
        <w:numPr>
          <w:ilvl w:val="0"/>
          <w:numId w:val="72"/>
        </w:num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развитие социальной сферы с учетом перспектив пространственно-территориального развития и демографического прогноза;</w:t>
      </w:r>
    </w:p>
    <w:p w14:paraId="312A26FA" w14:textId="77777777" w:rsidR="00171AA8" w:rsidRPr="00731FE2" w:rsidRDefault="007935AB" w:rsidP="007832E7">
      <w:pPr>
        <w:pStyle w:val="a3"/>
        <w:numPr>
          <w:ilvl w:val="0"/>
          <w:numId w:val="72"/>
        </w:num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создание единого транспортно-коммуникационного каркаса городского округа и его интеграция во внешнее транспортное пространство;</w:t>
      </w:r>
    </w:p>
    <w:p w14:paraId="39261F09" w14:textId="77777777" w:rsidR="00171AA8" w:rsidRPr="00731FE2" w:rsidRDefault="007935AB" w:rsidP="007832E7">
      <w:pPr>
        <w:pStyle w:val="a3"/>
        <w:numPr>
          <w:ilvl w:val="0"/>
          <w:numId w:val="72"/>
        </w:num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создание современной системы понятной и доступной навигации для отдыхающих и туристов.</w:t>
      </w:r>
    </w:p>
    <w:p w14:paraId="06816A6C"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Для реализации этих направлений необходимо в первую очередь:</w:t>
      </w:r>
    </w:p>
    <w:p w14:paraId="2DDC7605" w14:textId="77777777" w:rsidR="00171AA8" w:rsidRPr="00731FE2" w:rsidRDefault="007935AB" w:rsidP="007832E7">
      <w:pPr>
        <w:pStyle w:val="a3"/>
        <w:numPr>
          <w:ilvl w:val="0"/>
          <w:numId w:val="73"/>
        </w:num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xml:space="preserve">произвести выбор наиболее пригодных земельных участков для организации новых инвестиционных площадок; </w:t>
      </w:r>
    </w:p>
    <w:p w14:paraId="7DA86DE9" w14:textId="77777777" w:rsidR="00171AA8" w:rsidRPr="00731FE2" w:rsidRDefault="007935AB" w:rsidP="007832E7">
      <w:pPr>
        <w:pStyle w:val="a3"/>
        <w:numPr>
          <w:ilvl w:val="0"/>
          <w:numId w:val="73"/>
        </w:num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lastRenderedPageBreak/>
        <w:t xml:space="preserve">сформировать перечень основных инфраструктурных проектов, необходимых для развития новых санаторно-курортных, туристических и спортивных комплексов и объектов; </w:t>
      </w:r>
    </w:p>
    <w:p w14:paraId="418D8A84" w14:textId="77777777" w:rsidR="00171AA8" w:rsidRPr="00731FE2" w:rsidRDefault="007935AB" w:rsidP="007832E7">
      <w:pPr>
        <w:pStyle w:val="a3"/>
        <w:numPr>
          <w:ilvl w:val="0"/>
          <w:numId w:val="73"/>
        </w:num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разработать муниципальную программу комплексного градостроительного развития городского округа города-курорта Кисловодска.</w:t>
      </w:r>
    </w:p>
    <w:p w14:paraId="6E07C1FE" w14:textId="77777777" w:rsidR="00171AA8" w:rsidRPr="00731FE2" w:rsidRDefault="00171AA8">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p>
    <w:p w14:paraId="3AAA1786" w14:textId="522FC2FA" w:rsidR="00171AA8" w:rsidRPr="00731FE2" w:rsidRDefault="00E9502A">
      <w:pPr>
        <w:pStyle w:val="33"/>
        <w:rPr>
          <w:rFonts w:ascii="Times New Roman" w:hAnsi="Times New Roman" w:cs="Times New Roman"/>
        </w:rPr>
      </w:pPr>
      <w:bookmarkStart w:id="61" w:name="_Toc177392812"/>
      <w:r w:rsidRPr="00731FE2">
        <w:rPr>
          <w:rFonts w:ascii="Times New Roman" w:hAnsi="Times New Roman" w:cs="Times New Roman"/>
        </w:rPr>
        <w:t>3.2.3</w:t>
      </w:r>
      <w:r w:rsidR="007935AB" w:rsidRPr="00731FE2">
        <w:rPr>
          <w:rFonts w:ascii="Times New Roman" w:hAnsi="Times New Roman" w:cs="Times New Roman"/>
        </w:rPr>
        <w:t xml:space="preserve"> Функционально-планировочные условия формирования планировочной структуры</w:t>
      </w:r>
      <w:bookmarkEnd w:id="61"/>
    </w:p>
    <w:p w14:paraId="2A553909"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xml:space="preserve">Планировочная структура города-курорта Кисловодска обусловлена в первую очередь природно-ландшафтными особенностями местности, а также сложившейся структурой транспортных осей городского округа. </w:t>
      </w:r>
    </w:p>
    <w:p w14:paraId="2279E171"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Особенности сложившейся планировочной структуры городского округа заключаются в следующем:</w:t>
      </w:r>
    </w:p>
    <w:p w14:paraId="38CA775B" w14:textId="77777777" w:rsidR="00171AA8" w:rsidRPr="00731FE2" w:rsidRDefault="007935AB" w:rsidP="007832E7">
      <w:pPr>
        <w:pStyle w:val="a3"/>
        <w:numPr>
          <w:ilvl w:val="0"/>
          <w:numId w:val="74"/>
        </w:num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xml:space="preserve">Планировочная структура городского округа города-курорта Кисловодска формируется с учетом взаимодействия планировочного и природного каркаса территории. </w:t>
      </w:r>
    </w:p>
    <w:p w14:paraId="4A51A697" w14:textId="77777777" w:rsidR="00171AA8" w:rsidRPr="00731FE2" w:rsidRDefault="007935AB" w:rsidP="007832E7">
      <w:pPr>
        <w:pStyle w:val="a3"/>
        <w:numPr>
          <w:ilvl w:val="0"/>
          <w:numId w:val="74"/>
        </w:num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xml:space="preserve">Основные направления транспортных магистралей совпадают с направлениями природного каркаса, связанного с поймами рек. </w:t>
      </w:r>
      <w:proofErr w:type="gramStart"/>
      <w:r w:rsidRPr="00731FE2">
        <w:rPr>
          <w:rFonts w:ascii="Times New Roman" w:hAnsi="Times New Roman" w:cs="Times New Roman"/>
          <w:color w:val="000000" w:themeColor="text1"/>
        </w:rPr>
        <w:t xml:space="preserve">Главная планировочная ось пересекает территорию городского округа в направлении «север – юг», второстепенные оси – в юго-западном и юго-восточном направлениях. </w:t>
      </w:r>
      <w:proofErr w:type="gramEnd"/>
    </w:p>
    <w:p w14:paraId="3970C21A" w14:textId="77777777" w:rsidR="00171AA8" w:rsidRPr="00731FE2" w:rsidRDefault="007935AB" w:rsidP="007832E7">
      <w:pPr>
        <w:pStyle w:val="a3"/>
        <w:numPr>
          <w:ilvl w:val="0"/>
          <w:numId w:val="74"/>
        </w:num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Вдоль планировочных осей располагаются населенные пункты, входящие в состав территории городского округа.</w:t>
      </w:r>
    </w:p>
    <w:p w14:paraId="35D331B8" w14:textId="77777777" w:rsidR="00171AA8" w:rsidRPr="00731FE2" w:rsidRDefault="007935AB" w:rsidP="007832E7">
      <w:pPr>
        <w:pStyle w:val="a3"/>
        <w:numPr>
          <w:ilvl w:val="0"/>
          <w:numId w:val="74"/>
        </w:num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Природные и природоохранные территории являются важной составляющей планировочной структуры – Национальный парк «Кисловодский», памятники природы и др.</w:t>
      </w:r>
    </w:p>
    <w:p w14:paraId="02272442"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Основными элементами планировочной структуры городского округа являются</w:t>
      </w:r>
      <w:r w:rsidRPr="00731FE2">
        <w:rPr>
          <w:rFonts w:ascii="Times New Roman" w:hAnsi="Times New Roman" w:cs="Times New Roman"/>
          <w:color w:val="000000" w:themeColor="text1"/>
          <w:vertAlign w:val="superscript"/>
        </w:rPr>
        <w:footnoteReference w:id="101"/>
      </w:r>
      <w:r w:rsidRPr="00731FE2">
        <w:rPr>
          <w:rFonts w:ascii="Times New Roman" w:hAnsi="Times New Roman" w:cs="Times New Roman"/>
          <w:color w:val="000000" w:themeColor="text1"/>
        </w:rPr>
        <w:t>:</w:t>
      </w:r>
    </w:p>
    <w:p w14:paraId="32A6A53C" w14:textId="77777777" w:rsidR="00171AA8" w:rsidRPr="00731FE2" w:rsidRDefault="007935AB" w:rsidP="007832E7">
      <w:pPr>
        <w:pStyle w:val="a3"/>
        <w:numPr>
          <w:ilvl w:val="0"/>
          <w:numId w:val="75"/>
        </w:num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Район;</w:t>
      </w:r>
    </w:p>
    <w:p w14:paraId="3E1DBD8D" w14:textId="77777777" w:rsidR="00171AA8" w:rsidRPr="00731FE2" w:rsidRDefault="007935AB" w:rsidP="007832E7">
      <w:pPr>
        <w:pStyle w:val="a3"/>
        <w:numPr>
          <w:ilvl w:val="0"/>
          <w:numId w:val="75"/>
        </w:num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Микрорайон;</w:t>
      </w:r>
    </w:p>
    <w:p w14:paraId="15FD9108" w14:textId="77777777" w:rsidR="00171AA8" w:rsidRPr="00731FE2" w:rsidRDefault="007935AB" w:rsidP="007832E7">
      <w:pPr>
        <w:pStyle w:val="a3"/>
        <w:numPr>
          <w:ilvl w:val="0"/>
          <w:numId w:val="75"/>
        </w:num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Квартал;</w:t>
      </w:r>
    </w:p>
    <w:p w14:paraId="3BB1AC55" w14:textId="77777777" w:rsidR="00171AA8" w:rsidRPr="00731FE2" w:rsidRDefault="007935AB" w:rsidP="007832E7">
      <w:pPr>
        <w:pStyle w:val="a3"/>
        <w:numPr>
          <w:ilvl w:val="0"/>
          <w:numId w:val="75"/>
        </w:num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Территория общего пользования (за исключением улично-дорожной сети);</w:t>
      </w:r>
    </w:p>
    <w:p w14:paraId="2A2D1D36" w14:textId="77777777" w:rsidR="00171AA8" w:rsidRPr="00731FE2" w:rsidRDefault="007935AB" w:rsidP="007832E7">
      <w:pPr>
        <w:pStyle w:val="a3"/>
        <w:numPr>
          <w:ilvl w:val="0"/>
          <w:numId w:val="75"/>
        </w:num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Территория садоводческого, огороднического или дачного некоммерческого объединения граждан;</w:t>
      </w:r>
    </w:p>
    <w:p w14:paraId="1FC65C6A" w14:textId="77777777" w:rsidR="00171AA8" w:rsidRPr="00731FE2" w:rsidRDefault="007935AB" w:rsidP="007832E7">
      <w:pPr>
        <w:pStyle w:val="a3"/>
        <w:numPr>
          <w:ilvl w:val="0"/>
          <w:numId w:val="75"/>
        </w:num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Территория транспортно-пересадочного узла;</w:t>
      </w:r>
    </w:p>
    <w:p w14:paraId="17D4000A" w14:textId="77777777" w:rsidR="00171AA8" w:rsidRPr="00731FE2" w:rsidRDefault="007935AB" w:rsidP="007832E7">
      <w:pPr>
        <w:pStyle w:val="a3"/>
        <w:numPr>
          <w:ilvl w:val="0"/>
          <w:numId w:val="75"/>
        </w:num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Территория, занятая линейным объектом и (или) предназначенная для строительства линейного объекта (за исключением улично-дорожной сети).</w:t>
      </w:r>
    </w:p>
    <w:p w14:paraId="3B123595"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Кроме этого в планировочной структуре города-курорта Кисловодска выделяются:</w:t>
      </w:r>
    </w:p>
    <w:p w14:paraId="449E6693"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b/>
          <w:bCs/>
          <w:color w:val="000000" w:themeColor="text1"/>
        </w:rPr>
        <w:t>Главные планировочные оси</w:t>
      </w:r>
      <w:r w:rsidRPr="00731FE2">
        <w:rPr>
          <w:rFonts w:ascii="Times New Roman" w:hAnsi="Times New Roman" w:cs="Times New Roman"/>
          <w:color w:val="000000" w:themeColor="text1"/>
        </w:rPr>
        <w:t xml:space="preserve"> – градостроительные (транспортные магистрали) и природные (реки);</w:t>
      </w:r>
    </w:p>
    <w:p w14:paraId="0BD20041"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b/>
          <w:bCs/>
          <w:color w:val="000000" w:themeColor="text1"/>
        </w:rPr>
      </w:pPr>
      <w:r w:rsidRPr="00731FE2">
        <w:rPr>
          <w:rFonts w:ascii="Times New Roman" w:hAnsi="Times New Roman" w:cs="Times New Roman"/>
          <w:b/>
          <w:bCs/>
          <w:color w:val="000000" w:themeColor="text1"/>
        </w:rPr>
        <w:t xml:space="preserve">Планировочные центры: </w:t>
      </w:r>
    </w:p>
    <w:p w14:paraId="126071D7" w14:textId="77777777" w:rsidR="00171AA8" w:rsidRPr="00731FE2" w:rsidRDefault="007935AB" w:rsidP="007832E7">
      <w:pPr>
        <w:pStyle w:val="a3"/>
        <w:numPr>
          <w:ilvl w:val="0"/>
          <w:numId w:val="76"/>
        </w:num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основные градостроительные центры – общественно-деловые центры;</w:t>
      </w:r>
    </w:p>
    <w:p w14:paraId="18FC0FBD" w14:textId="77777777" w:rsidR="00171AA8" w:rsidRPr="00731FE2" w:rsidRDefault="007935AB" w:rsidP="007832E7">
      <w:pPr>
        <w:pStyle w:val="a3"/>
        <w:numPr>
          <w:ilvl w:val="0"/>
          <w:numId w:val="76"/>
        </w:num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второстепенные – центры населенных пунктов;</w:t>
      </w:r>
    </w:p>
    <w:p w14:paraId="18F475D7" w14:textId="77777777" w:rsidR="00171AA8" w:rsidRPr="00731FE2" w:rsidRDefault="007935AB" w:rsidP="007832E7">
      <w:pPr>
        <w:pStyle w:val="a3"/>
        <w:numPr>
          <w:ilvl w:val="0"/>
          <w:numId w:val="76"/>
        </w:num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природные центры – Кисловодское и Новое озеро.</w:t>
      </w:r>
    </w:p>
    <w:p w14:paraId="75598B13"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b/>
          <w:bCs/>
          <w:color w:val="000000" w:themeColor="text1"/>
        </w:rPr>
      </w:pPr>
      <w:r w:rsidRPr="00731FE2">
        <w:rPr>
          <w:rFonts w:ascii="Times New Roman" w:hAnsi="Times New Roman" w:cs="Times New Roman"/>
          <w:b/>
          <w:bCs/>
          <w:color w:val="000000" w:themeColor="text1"/>
        </w:rPr>
        <w:t>Планировочные зоны:</w:t>
      </w:r>
    </w:p>
    <w:p w14:paraId="07394D2B" w14:textId="77777777" w:rsidR="00171AA8" w:rsidRPr="00731FE2" w:rsidRDefault="007935AB" w:rsidP="007832E7">
      <w:pPr>
        <w:pStyle w:val="a3"/>
        <w:numPr>
          <w:ilvl w:val="0"/>
          <w:numId w:val="77"/>
        </w:num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lastRenderedPageBreak/>
        <w:t xml:space="preserve">обширные территории с резко выраженными природными особенностями; </w:t>
      </w:r>
    </w:p>
    <w:p w14:paraId="3C522870" w14:textId="77777777" w:rsidR="00171AA8" w:rsidRPr="00731FE2" w:rsidRDefault="007935AB" w:rsidP="007832E7">
      <w:pPr>
        <w:pStyle w:val="a3"/>
        <w:numPr>
          <w:ilvl w:val="0"/>
          <w:numId w:val="77"/>
        </w:num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зоны градостроительного освоения.</w:t>
      </w:r>
    </w:p>
    <w:p w14:paraId="36E624E8" w14:textId="0395163E"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Основными планировочными осями являются – автомобильная дорога общего пользования регионального значения «Кисловодск – Карачаевск»</w:t>
      </w:r>
      <w:r w:rsidR="005E3E3A" w:rsidRPr="00731FE2">
        <w:rPr>
          <w:rFonts w:ascii="Times New Roman" w:hAnsi="Times New Roman" w:cs="Times New Roman"/>
          <w:color w:val="000000" w:themeColor="text1"/>
        </w:rPr>
        <w:t xml:space="preserve"> (в границах Ставропольского края) </w:t>
      </w:r>
      <w:r w:rsidRPr="00731FE2">
        <w:rPr>
          <w:rFonts w:ascii="Times New Roman" w:hAnsi="Times New Roman" w:cs="Times New Roman"/>
          <w:color w:val="000000" w:themeColor="text1"/>
        </w:rPr>
        <w:t>идентификационный № 07 ОП РЗ 07К-088</w:t>
      </w:r>
      <w:r w:rsidRPr="00731FE2">
        <w:rPr>
          <w:rFonts w:ascii="Times New Roman" w:hAnsi="Times New Roman" w:cs="Times New Roman"/>
          <w:color w:val="000000" w:themeColor="text1"/>
          <w:vertAlign w:val="superscript"/>
        </w:rPr>
        <w:footnoteReference w:id="102"/>
      </w:r>
      <w:r w:rsidRPr="00731FE2">
        <w:rPr>
          <w:rFonts w:ascii="Times New Roman" w:hAnsi="Times New Roman" w:cs="Times New Roman"/>
          <w:color w:val="000000" w:themeColor="text1"/>
        </w:rPr>
        <w:t>, а также система местных дорог – магистральная улица общегородского значения, магистральные улицы районного значения, железнодорожная магистраль. Межмагистральные пространства городского округа связаны сложной системой улиц и пешеходных бульваров.</w:t>
      </w:r>
    </w:p>
    <w:p w14:paraId="3622B86A"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proofErr w:type="gramStart"/>
      <w:r w:rsidRPr="00731FE2">
        <w:rPr>
          <w:rFonts w:ascii="Times New Roman" w:hAnsi="Times New Roman" w:cs="Times New Roman"/>
          <w:color w:val="000000" w:themeColor="text1"/>
        </w:rPr>
        <w:t xml:space="preserve">Через узловую станцию «Минеральные Воды» к железнодорожной магистрали «Ростов – Баку» примыкает Кисловодская железнодорожная ветка «Минеральные Воды – Пятигорск – Ессентуки – Кисловодск», </w:t>
      </w:r>
      <w:proofErr w:type="gramEnd"/>
    </w:p>
    <w:p w14:paraId="6D099611"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Природными планировочными осями являются главные реки городского округа – Подкумок, Березовая, Ольховка, Аликоновка, Кабардинка, которые вытянуты с юга, юго-запада, юго-востока в северном направлении.</w:t>
      </w:r>
    </w:p>
    <w:p w14:paraId="23CF0908"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proofErr w:type="gramStart"/>
      <w:r w:rsidRPr="00731FE2">
        <w:rPr>
          <w:rFonts w:ascii="Times New Roman" w:hAnsi="Times New Roman" w:cs="Times New Roman"/>
          <w:color w:val="000000" w:themeColor="text1"/>
        </w:rPr>
        <w:t>Главный планировочный центр – общественно-деловой центр города-курорта Кисловодска, расположенный в центре городского округа, связанный с центрами Ставропольского края и других регионов автомобильной дорогой общего пользования федерального значения А-157 «Минеральные Воды (аэропорт) – Кисловодск» и железной дорогой.</w:t>
      </w:r>
      <w:proofErr w:type="gramEnd"/>
    </w:p>
    <w:p w14:paraId="589A3F50"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xml:space="preserve">Второстепенными планировочными центрами являются населенные пункты, расположенные на планировочных осях, – Аликоновка, Индустрия, </w:t>
      </w:r>
      <w:proofErr w:type="gramStart"/>
      <w:r w:rsidRPr="00731FE2">
        <w:rPr>
          <w:rFonts w:ascii="Times New Roman" w:hAnsi="Times New Roman" w:cs="Times New Roman"/>
          <w:color w:val="000000" w:themeColor="text1"/>
        </w:rPr>
        <w:t>Нарзанный</w:t>
      </w:r>
      <w:proofErr w:type="gramEnd"/>
      <w:r w:rsidRPr="00731FE2">
        <w:rPr>
          <w:rFonts w:ascii="Times New Roman" w:hAnsi="Times New Roman" w:cs="Times New Roman"/>
          <w:color w:val="000000" w:themeColor="text1"/>
        </w:rPr>
        <w:t>, фактически выполняющие функции центров планировочных районов.</w:t>
      </w:r>
    </w:p>
    <w:p w14:paraId="307BBDE0"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Планировочными природными зонами являются обширные территории с резко выраженными природными особенностями – массивы лесных территорий, Национальный парк «Кисловодский».</w:t>
      </w:r>
    </w:p>
    <w:p w14:paraId="162FFDBD"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Планировочные зоны градостроительного освоения территории представляют собой комплекс санаторно-курортных объектов на базе месторождений минеральных вод в юго-восточной части городского округа.</w:t>
      </w:r>
    </w:p>
    <w:p w14:paraId="4A25FA73"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xml:space="preserve">Предложения настоящего </w:t>
      </w:r>
      <w:proofErr w:type="gramStart"/>
      <w:r w:rsidRPr="00731FE2">
        <w:rPr>
          <w:rFonts w:ascii="Times New Roman" w:hAnsi="Times New Roman" w:cs="Times New Roman"/>
          <w:color w:val="000000" w:themeColor="text1"/>
        </w:rPr>
        <w:t>проекта Генерального плана городского округа города-курорта Кисловодска</w:t>
      </w:r>
      <w:proofErr w:type="gramEnd"/>
      <w:r w:rsidRPr="00731FE2">
        <w:rPr>
          <w:rFonts w:ascii="Times New Roman" w:hAnsi="Times New Roman" w:cs="Times New Roman"/>
          <w:color w:val="000000" w:themeColor="text1"/>
        </w:rPr>
        <w:t xml:space="preserve"> по формированию планировочной структуры направлены на оптимальную градостроительную организацию территории и развитие планировочного и природного каркаса территории. Перспектива развития планировочной структуры, основанной на природном, градостроительном каркасах, и эколого-обусловленные объемы жилищного строительства зависят от освоения рекреационных и курортологических ресурсов городского округа. </w:t>
      </w:r>
    </w:p>
    <w:p w14:paraId="2E05EFDC"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С целью формирования планировочной структуры и градостроительной организации городского округа возникает необходимость структуризации его территории, т.е. формирование планировочных и жилых районов.</w:t>
      </w:r>
    </w:p>
    <w:p w14:paraId="34CF9BD8"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Предыдущим генеральным планом были формированы:</w:t>
      </w:r>
    </w:p>
    <w:p w14:paraId="1B9A8DE7" w14:textId="77777777" w:rsidR="00171AA8" w:rsidRPr="00731FE2" w:rsidRDefault="007935AB" w:rsidP="007832E7">
      <w:pPr>
        <w:pStyle w:val="a3"/>
        <w:numPr>
          <w:ilvl w:val="0"/>
          <w:numId w:val="78"/>
        </w:num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lastRenderedPageBreak/>
        <w:t xml:space="preserve">планировочные районы в сложившейся территории городского округа: Центрального, Аликоновского. </w:t>
      </w:r>
      <w:proofErr w:type="gramStart"/>
      <w:r w:rsidRPr="00731FE2">
        <w:rPr>
          <w:rFonts w:ascii="Times New Roman" w:hAnsi="Times New Roman" w:cs="Times New Roman"/>
          <w:color w:val="000000" w:themeColor="text1"/>
        </w:rPr>
        <w:t>Юго-Западного, Восточного, Северного, Курортного, Южного, Района лесных территорий;</w:t>
      </w:r>
      <w:proofErr w:type="gramEnd"/>
    </w:p>
    <w:p w14:paraId="1342A7FE" w14:textId="77777777" w:rsidR="00171AA8" w:rsidRPr="00731FE2" w:rsidRDefault="007935AB" w:rsidP="007832E7">
      <w:pPr>
        <w:pStyle w:val="a3"/>
        <w:numPr>
          <w:ilvl w:val="0"/>
          <w:numId w:val="78"/>
        </w:num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проектируемые планировочные районы: Нового перспективного жилого района, проектируемые объекты спортивной, туристической и рекреационной инфраструктур, Нового курортного района, Нового парка, Парка зимних видов спорта, природно-экологических лесопарков.</w:t>
      </w:r>
    </w:p>
    <w:p w14:paraId="7F338347"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xml:space="preserve">Формирование планировочной структуры городского округа направлено на объединение планировочных районов, имеющих возможность развития, магистральными улицами общегородского и районного значения, с созданием системы социально-культурного обслуживания и благоустройства территорий. </w:t>
      </w:r>
    </w:p>
    <w:p w14:paraId="764029FC"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Дальнейшее развитие планировочной структуры, увеличение территории городского округа, стабилизация численности населения, застройка новых территорий, развитие транспортной сети могут привести к загрязнению природной среды и утрате уникальных лечебных природных ресурсов.</w:t>
      </w:r>
    </w:p>
    <w:p w14:paraId="169797AB"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xml:space="preserve">Поэтому при проектировании и строительстве объектов следует строго учитывать нормативы нагрузки на природную среду, режимы использования территории в первой, второй и третьей зонах округа горно-санитарной охраны города-курорта Кисловодска, в санаторно-курортной зоне установить регламент ограничения нового строительства. </w:t>
      </w:r>
    </w:p>
    <w:p w14:paraId="50A23CFB"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Городской округ город-курорт Кислово</w:t>
      </w:r>
      <w:proofErr w:type="gramStart"/>
      <w:r w:rsidRPr="00731FE2">
        <w:rPr>
          <w:rFonts w:ascii="Times New Roman" w:hAnsi="Times New Roman" w:cs="Times New Roman"/>
          <w:color w:val="000000" w:themeColor="text1"/>
        </w:rPr>
        <w:t>дск пр</w:t>
      </w:r>
      <w:proofErr w:type="gramEnd"/>
      <w:r w:rsidRPr="00731FE2">
        <w:rPr>
          <w:rFonts w:ascii="Times New Roman" w:hAnsi="Times New Roman" w:cs="Times New Roman"/>
          <w:color w:val="000000" w:themeColor="text1"/>
        </w:rPr>
        <w:t>едставляет собой сложное многофункциональное территориальное образование. Изменение его границ и освоение новых территорий изменит существующую планировочную структуру территории, основанную на взаимодействии главных планировочных осей (проспект Победы, железная дорога) с природным каркасом территории.</w:t>
      </w:r>
    </w:p>
    <w:p w14:paraId="7B0A5C6C"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b/>
          <w:bCs/>
          <w:color w:val="000000" w:themeColor="text1"/>
        </w:rPr>
      </w:pPr>
      <w:r w:rsidRPr="00731FE2">
        <w:rPr>
          <w:rFonts w:ascii="Times New Roman" w:hAnsi="Times New Roman" w:cs="Times New Roman"/>
          <w:b/>
          <w:bCs/>
          <w:color w:val="000000" w:themeColor="text1"/>
        </w:rPr>
        <w:t>В новой концепции пространственного развития города-курорта, в проектной планировочной структуре, вытянутые вдоль главной оси основные урбанизированные территории города-курорта получают развитие в направлении нового жилого района в западном направлении. Со строительством западной объездной автомобильной дороги общего пользования местного значения, планировочная структура приобретает сложный характер, линейной в основной части, радиально-кольцевой в западной и южной частях города-курорта, свободной ландшафтной – в восточной части.</w:t>
      </w:r>
    </w:p>
    <w:p w14:paraId="57888302" w14:textId="1FB0A99C" w:rsidR="00171AA8" w:rsidRPr="00731FE2" w:rsidRDefault="00E9502A">
      <w:pPr>
        <w:pStyle w:val="33"/>
        <w:rPr>
          <w:rFonts w:ascii="Times New Roman" w:hAnsi="Times New Roman" w:cs="Times New Roman"/>
        </w:rPr>
      </w:pPr>
      <w:bookmarkStart w:id="62" w:name="_Toc177392813"/>
      <w:r w:rsidRPr="00731FE2">
        <w:rPr>
          <w:rFonts w:ascii="Times New Roman" w:hAnsi="Times New Roman" w:cs="Times New Roman"/>
        </w:rPr>
        <w:t>3.2.4</w:t>
      </w:r>
      <w:r w:rsidR="007935AB" w:rsidRPr="00731FE2">
        <w:rPr>
          <w:rFonts w:ascii="Times New Roman" w:hAnsi="Times New Roman" w:cs="Times New Roman"/>
        </w:rPr>
        <w:t xml:space="preserve"> Предложения по функциональному зонированию</w:t>
      </w:r>
      <w:bookmarkEnd w:id="62"/>
    </w:p>
    <w:p w14:paraId="2B16D399"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proofErr w:type="gramStart"/>
      <w:r w:rsidRPr="00731FE2">
        <w:rPr>
          <w:rFonts w:ascii="Times New Roman" w:hAnsi="Times New Roman" w:cs="Times New Roman"/>
          <w:color w:val="000000" w:themeColor="text1"/>
        </w:rPr>
        <w:t xml:space="preserve">Планировочная организация территории городского округа, включающая функциональное зонирование, определяется градо-экологическим подходом к территории городского округа города-курорта Кисловодска, расположенного в особо-охраняемом экологокурортном регионе КМВ, с целью рационального использования гидроминеральной базы, максимального сохранения особенностей природного ландшафта и территорий. </w:t>
      </w:r>
      <w:proofErr w:type="gramEnd"/>
    </w:p>
    <w:p w14:paraId="25C04F54"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xml:space="preserve">Критериями для выделения функциональных зон являются уровень интенсивности градостроительного освоения территории, допустимый уровень экологического воздействия, степень урбанизации с учетом градостроительных ограничений использования территории. </w:t>
      </w:r>
    </w:p>
    <w:p w14:paraId="5DB00C93"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lastRenderedPageBreak/>
        <w:t>Основой функционального зонирования, в рамках которого определены территориальные и природные ресурсы для развития основных видов использования территории, является комплексная оценка территории.</w:t>
      </w:r>
    </w:p>
    <w:p w14:paraId="45DF530C"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Главной задачей комплексной оценки территории является определение планировочных ограничений при осуществлении градостроительной деятельности, второй задачей – определение благоприятных условий для градостроительного освоения территории.</w:t>
      </w:r>
    </w:p>
    <w:p w14:paraId="2381BF90"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Функциональное зонирование территории городского округа заключается в выделении целевых зон землепользования (жилых, общественно-деловых, промышленных, коммунально-хозяйственных, рекреационных и др.) на основе анализа социально-экономических и природных условий, сложившейся планировочной структуры городского округа,</w:t>
      </w:r>
    </w:p>
    <w:p w14:paraId="439EC6BD"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Основная цель функционального зонирования – оптимизация городского пространства, упорядочение планировочной структуры, создание необходимых условий для градостроительного развития городского округа при учете охраны окружающей среды и сохранения уникальных ландшафтов.</w:t>
      </w:r>
    </w:p>
    <w:p w14:paraId="3D3B08D1"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Функциональное использование территории имеет ряд особенностей, базирующихся на следующих основных принципах:</w:t>
      </w:r>
    </w:p>
    <w:p w14:paraId="1CCE10B2"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учет существующего функционального использования территории и соблюдение условия пространственной дифференциации функций;</w:t>
      </w:r>
    </w:p>
    <w:p w14:paraId="28633D2E"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принцип приоритета разработанных предложений проекта;</w:t>
      </w:r>
    </w:p>
    <w:p w14:paraId="022ED040"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xml:space="preserve">- сохранение ценных природных ландшафтов, развитие системы озеленения и рекреационных территорий; </w:t>
      </w:r>
    </w:p>
    <w:p w14:paraId="58F7E61D"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учет неоднородности территории по природно-экологическим, инженерно-геологическим, условиям проживания населения и его хозяйственной деятельности;</w:t>
      </w:r>
    </w:p>
    <w:p w14:paraId="3943CF96"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обеспечение благоприятной среды жизнедеятельности, защиты территорий от воздействия чрезвычайных ситуаций природного и техногенного характера, предотвращение чрезмерной концентрации населения;</w:t>
      </w:r>
    </w:p>
    <w:p w14:paraId="797F914B"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установление ограничений на использование территорий для осуществления градостроительной деятельности в некоторых зонах;</w:t>
      </w:r>
    </w:p>
    <w:p w14:paraId="2DF5E85A"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комплексной однородности функциональных зон.</w:t>
      </w:r>
    </w:p>
    <w:p w14:paraId="4DDF9325"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Ограничения на использование территорий для осуществления градостроительной деятельности устанавливаются в следующих зонах:</w:t>
      </w:r>
    </w:p>
    <w:p w14:paraId="151CD31A"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xml:space="preserve">- </w:t>
      </w:r>
      <w:proofErr w:type="gramStart"/>
      <w:r w:rsidRPr="00731FE2">
        <w:rPr>
          <w:rFonts w:ascii="Times New Roman" w:hAnsi="Times New Roman" w:cs="Times New Roman"/>
          <w:color w:val="000000" w:themeColor="text1"/>
        </w:rPr>
        <w:t>зонах</w:t>
      </w:r>
      <w:proofErr w:type="gramEnd"/>
      <w:r w:rsidRPr="00731FE2">
        <w:rPr>
          <w:rFonts w:ascii="Times New Roman" w:hAnsi="Times New Roman" w:cs="Times New Roman"/>
          <w:color w:val="000000" w:themeColor="text1"/>
        </w:rPr>
        <w:t xml:space="preserve"> исторического центра городского округа;</w:t>
      </w:r>
    </w:p>
    <w:p w14:paraId="0DDB4C10"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охраняемого ландшафта;</w:t>
      </w:r>
    </w:p>
    <w:p w14:paraId="3101BD75"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xml:space="preserve">- водоохранных </w:t>
      </w:r>
      <w:proofErr w:type="gramStart"/>
      <w:r w:rsidRPr="00731FE2">
        <w:rPr>
          <w:rFonts w:ascii="Times New Roman" w:hAnsi="Times New Roman" w:cs="Times New Roman"/>
          <w:color w:val="000000" w:themeColor="text1"/>
        </w:rPr>
        <w:t>зонах</w:t>
      </w:r>
      <w:proofErr w:type="gramEnd"/>
      <w:r w:rsidRPr="00731FE2">
        <w:rPr>
          <w:rFonts w:ascii="Times New Roman" w:hAnsi="Times New Roman" w:cs="Times New Roman"/>
          <w:color w:val="000000" w:themeColor="text1"/>
        </w:rPr>
        <w:t xml:space="preserve"> малых рек;</w:t>
      </w:r>
    </w:p>
    <w:p w14:paraId="2ACDFB76"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xml:space="preserve">- </w:t>
      </w:r>
      <w:proofErr w:type="gramStart"/>
      <w:r w:rsidRPr="00731FE2">
        <w:rPr>
          <w:rFonts w:ascii="Times New Roman" w:hAnsi="Times New Roman" w:cs="Times New Roman"/>
          <w:color w:val="000000" w:themeColor="text1"/>
        </w:rPr>
        <w:t>зонах</w:t>
      </w:r>
      <w:proofErr w:type="gramEnd"/>
      <w:r w:rsidRPr="00731FE2">
        <w:rPr>
          <w:rFonts w:ascii="Times New Roman" w:hAnsi="Times New Roman" w:cs="Times New Roman"/>
          <w:color w:val="000000" w:themeColor="text1"/>
        </w:rPr>
        <w:t xml:space="preserve"> санитарной охраны источников водоснабжения;</w:t>
      </w:r>
    </w:p>
    <w:p w14:paraId="3B349C0F"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xml:space="preserve">- </w:t>
      </w:r>
      <w:proofErr w:type="gramStart"/>
      <w:r w:rsidRPr="00731FE2">
        <w:rPr>
          <w:rFonts w:ascii="Times New Roman" w:hAnsi="Times New Roman" w:cs="Times New Roman"/>
          <w:color w:val="000000" w:themeColor="text1"/>
        </w:rPr>
        <w:t>зонах</w:t>
      </w:r>
      <w:proofErr w:type="gramEnd"/>
      <w:r w:rsidRPr="00731FE2">
        <w:rPr>
          <w:rFonts w:ascii="Times New Roman" w:hAnsi="Times New Roman" w:cs="Times New Roman"/>
          <w:color w:val="000000" w:themeColor="text1"/>
        </w:rPr>
        <w:t xml:space="preserve"> залегания минеральных источников воды;</w:t>
      </w:r>
    </w:p>
    <w:p w14:paraId="6C53BC25"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xml:space="preserve">- </w:t>
      </w:r>
      <w:proofErr w:type="gramStart"/>
      <w:r w:rsidRPr="00731FE2">
        <w:rPr>
          <w:rFonts w:ascii="Times New Roman" w:hAnsi="Times New Roman" w:cs="Times New Roman"/>
          <w:color w:val="000000" w:themeColor="text1"/>
        </w:rPr>
        <w:t>зонах</w:t>
      </w:r>
      <w:proofErr w:type="gramEnd"/>
      <w:r w:rsidRPr="00731FE2">
        <w:rPr>
          <w:rFonts w:ascii="Times New Roman" w:hAnsi="Times New Roman" w:cs="Times New Roman"/>
          <w:color w:val="000000" w:themeColor="text1"/>
        </w:rPr>
        <w:t xml:space="preserve"> линейных объектов: газопроводов, ЛЭП;</w:t>
      </w:r>
    </w:p>
    <w:p w14:paraId="6365C955"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xml:space="preserve">- санитарно-защитных </w:t>
      </w:r>
      <w:proofErr w:type="gramStart"/>
      <w:r w:rsidRPr="00731FE2">
        <w:rPr>
          <w:rFonts w:ascii="Times New Roman" w:hAnsi="Times New Roman" w:cs="Times New Roman"/>
          <w:color w:val="000000" w:themeColor="text1"/>
        </w:rPr>
        <w:t>зонах</w:t>
      </w:r>
      <w:proofErr w:type="gramEnd"/>
      <w:r w:rsidRPr="00731FE2">
        <w:rPr>
          <w:rFonts w:ascii="Times New Roman" w:hAnsi="Times New Roman" w:cs="Times New Roman"/>
          <w:color w:val="000000" w:themeColor="text1"/>
        </w:rPr>
        <w:t xml:space="preserve"> производственно-коммунальных предприятий.</w:t>
      </w:r>
    </w:p>
    <w:p w14:paraId="52E99F50"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В результате проектное функциональное зонирование, предлагаемое для городского округа города-курорта Кисловодска, включает следующие зоны.</w:t>
      </w:r>
    </w:p>
    <w:p w14:paraId="6791AD4E"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b/>
          <w:bCs/>
          <w:color w:val="000000" w:themeColor="text1"/>
        </w:rPr>
        <w:t>Жилые зоны</w:t>
      </w:r>
      <w:r w:rsidRPr="00731FE2">
        <w:rPr>
          <w:rFonts w:ascii="Times New Roman" w:hAnsi="Times New Roman" w:cs="Times New Roman"/>
          <w:color w:val="000000" w:themeColor="text1"/>
        </w:rPr>
        <w:t xml:space="preserve"> – зоны различных типов застройки, в соответствии с этажностью и плотностью застройки многоэтажными, среднеэтажными, малоэтажными жилыми домами. </w:t>
      </w:r>
    </w:p>
    <w:p w14:paraId="5AB28318"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b/>
          <w:bCs/>
          <w:color w:val="000000" w:themeColor="text1"/>
        </w:rPr>
        <w:lastRenderedPageBreak/>
        <w:t>Общественно-деловые зоны</w:t>
      </w:r>
      <w:r w:rsidRPr="00731FE2">
        <w:rPr>
          <w:rFonts w:ascii="Times New Roman" w:hAnsi="Times New Roman" w:cs="Times New Roman"/>
          <w:color w:val="000000" w:themeColor="text1"/>
        </w:rPr>
        <w:t xml:space="preserve"> – общественно-деловой центр города-курорта, районные центры, резервные территории общественно-деловых зон, включающие административные, деловые, культурно-зрелищные, торговые объекты.</w:t>
      </w:r>
    </w:p>
    <w:p w14:paraId="0D5C0FEE"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b/>
          <w:bCs/>
          <w:color w:val="000000" w:themeColor="text1"/>
        </w:rPr>
        <w:t>Производственно-коммунальные зоны</w:t>
      </w:r>
      <w:r w:rsidRPr="00731FE2">
        <w:rPr>
          <w:rFonts w:ascii="Times New Roman" w:hAnsi="Times New Roman" w:cs="Times New Roman"/>
          <w:color w:val="000000" w:themeColor="text1"/>
        </w:rPr>
        <w:t xml:space="preserve"> включают объекты промышленности, коммунально-складские объекты, и другие объекты, требующие санитарно-защитных зон и разрывов.</w:t>
      </w:r>
    </w:p>
    <w:p w14:paraId="1FDBD9A1"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b/>
          <w:bCs/>
          <w:color w:val="000000" w:themeColor="text1"/>
        </w:rPr>
        <w:t>Природно-рекреационные зоны</w:t>
      </w:r>
      <w:r w:rsidRPr="00731FE2">
        <w:rPr>
          <w:rFonts w:ascii="Times New Roman" w:hAnsi="Times New Roman" w:cs="Times New Roman"/>
          <w:color w:val="000000" w:themeColor="text1"/>
        </w:rPr>
        <w:t xml:space="preserve"> – формируются в составе природного каркаса, включают парки, скверы, бульвары, городские леса, зоны отдыха, а также новые специализированные зоны туристско-рекреационного назначения. Формирование рекреационных зон осуществляется по предложениям проекта. Территории с особо ценными природными ресурсами (леса Государственного лесного фонда) проектом определены как особо-ценные, использование которых для рекреации и туризма возможно при соблюдении ограничений и особого режима использования.</w:t>
      </w:r>
    </w:p>
    <w:p w14:paraId="5038C9DB"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b/>
          <w:bCs/>
          <w:color w:val="000000" w:themeColor="text1"/>
        </w:rPr>
        <w:t>Санаторно-курортные зоны</w:t>
      </w:r>
      <w:r w:rsidRPr="00731FE2">
        <w:rPr>
          <w:rFonts w:ascii="Times New Roman" w:hAnsi="Times New Roman" w:cs="Times New Roman"/>
          <w:color w:val="000000" w:themeColor="text1"/>
        </w:rPr>
        <w:t xml:space="preserve"> – зоны в виде комплекса санаторно-курортных объектов. Рекреационные ресурсы санаторно-курортных объектов связаны с наличием месторождений минеральных вод. </w:t>
      </w:r>
    </w:p>
    <w:p w14:paraId="2DA4C4A1"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b/>
          <w:bCs/>
          <w:color w:val="000000" w:themeColor="text1"/>
        </w:rPr>
        <w:t>Зоны инженерно-транспортных коммуникаций</w:t>
      </w:r>
      <w:r w:rsidRPr="00731FE2">
        <w:rPr>
          <w:rFonts w:ascii="Times New Roman" w:hAnsi="Times New Roman" w:cs="Times New Roman"/>
          <w:color w:val="000000" w:themeColor="text1"/>
        </w:rPr>
        <w:t xml:space="preserve"> включают линейные сооружения и объекты инженерно-транспортной инфраструктуры, автомобильные дороги, железную дорогу, развязки, канатную дорогу, мосты, путепроводы, пешеходные внеуличные переходы.</w:t>
      </w:r>
    </w:p>
    <w:p w14:paraId="251827CF"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b/>
          <w:bCs/>
          <w:color w:val="000000" w:themeColor="text1"/>
        </w:rPr>
        <w:t>Зоны специального и режимного назначения</w:t>
      </w:r>
      <w:r w:rsidRPr="00731FE2">
        <w:rPr>
          <w:rFonts w:ascii="Times New Roman" w:hAnsi="Times New Roman" w:cs="Times New Roman"/>
          <w:color w:val="000000" w:themeColor="text1"/>
        </w:rPr>
        <w:t xml:space="preserve"> – кладбища и др. специальные объекты.</w:t>
      </w:r>
    </w:p>
    <w:p w14:paraId="2ABC0971"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b/>
          <w:bCs/>
          <w:color w:val="000000" w:themeColor="text1"/>
        </w:rPr>
        <w:t>Зоны перспективного градостроительного развития</w:t>
      </w:r>
      <w:r w:rsidRPr="00731FE2">
        <w:rPr>
          <w:rFonts w:ascii="Times New Roman" w:hAnsi="Times New Roman" w:cs="Times New Roman"/>
          <w:color w:val="000000" w:themeColor="text1"/>
        </w:rPr>
        <w:t xml:space="preserve"> – зоны размещения инвестиционных проектов. Являются зонами экономической инвестиционной активности, обладающими потенциалом для дальнейшего развития. Наиболее инвестиционн</w:t>
      </w:r>
      <w:proofErr w:type="gramStart"/>
      <w:r w:rsidRPr="00731FE2">
        <w:rPr>
          <w:rFonts w:ascii="Times New Roman" w:hAnsi="Times New Roman" w:cs="Times New Roman"/>
          <w:color w:val="000000" w:themeColor="text1"/>
        </w:rPr>
        <w:t>о</w:t>
      </w:r>
      <w:r w:rsidR="007C46CA" w:rsidRPr="00731FE2">
        <w:rPr>
          <w:rFonts w:ascii="Times New Roman" w:hAnsi="Times New Roman" w:cs="Times New Roman"/>
          <w:color w:val="000000" w:themeColor="text1"/>
        </w:rPr>
        <w:t>-</w:t>
      </w:r>
      <w:proofErr w:type="gramEnd"/>
      <w:r w:rsidRPr="00731FE2">
        <w:rPr>
          <w:rFonts w:ascii="Times New Roman" w:hAnsi="Times New Roman" w:cs="Times New Roman"/>
          <w:color w:val="000000" w:themeColor="text1"/>
        </w:rPr>
        <w:t xml:space="preserve"> привлекательные зоны, главными факторами, определяющими формирование которых, являются территориальные ресурсы и удобное транспортное сообщение, обеспечивающее внешние и внутренние связи. В зонах перспективного градостроительного развития выделяются территории для размещения современных жилых и общественно-деловых зон, экологически безопасных производственных зон, зон инженерно-транспортной инфраструктуры, зон рекреационно-туристической инфраструктуры. </w:t>
      </w:r>
    </w:p>
    <w:p w14:paraId="0AC2F458"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b/>
          <w:bCs/>
          <w:color w:val="000000" w:themeColor="text1"/>
        </w:rPr>
      </w:pPr>
      <w:r w:rsidRPr="00731FE2">
        <w:rPr>
          <w:rFonts w:ascii="Times New Roman" w:hAnsi="Times New Roman" w:cs="Times New Roman"/>
          <w:b/>
          <w:bCs/>
          <w:color w:val="000000" w:themeColor="text1"/>
        </w:rPr>
        <w:t>Количественные параметры предлагаемых настоящим проектом генерального плана функциональных зон, а также перечень объектов капитального строительства, планируемых для размещения в каждой функциональной зоне, приведены в томе I. Положение о территориальном планировании настоящего генерального плана.</w:t>
      </w:r>
    </w:p>
    <w:p w14:paraId="74248199" w14:textId="47FC49E9" w:rsidR="00171AA8" w:rsidRPr="00731FE2" w:rsidRDefault="00E9502A">
      <w:pPr>
        <w:pStyle w:val="33"/>
        <w:rPr>
          <w:rFonts w:ascii="Times New Roman" w:hAnsi="Times New Roman" w:cs="Times New Roman"/>
        </w:rPr>
      </w:pPr>
      <w:bookmarkStart w:id="63" w:name="_Toc177392814"/>
      <w:r w:rsidRPr="00731FE2">
        <w:rPr>
          <w:rFonts w:ascii="Times New Roman" w:hAnsi="Times New Roman" w:cs="Times New Roman"/>
        </w:rPr>
        <w:t>3.2.5</w:t>
      </w:r>
      <w:r w:rsidR="007935AB" w:rsidRPr="00731FE2">
        <w:rPr>
          <w:rFonts w:ascii="Times New Roman" w:hAnsi="Times New Roman" w:cs="Times New Roman"/>
        </w:rPr>
        <w:t xml:space="preserve"> Природный каркас и общественные пространства округа</w:t>
      </w:r>
      <w:bookmarkEnd w:id="63"/>
    </w:p>
    <w:p w14:paraId="378CBC2D"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xml:space="preserve">В проекте разработаны предложения по развитию природного каркаса городского округа города-курорта Кисловодска, системы озеленения и формированию градо-экологического каркаса территории. </w:t>
      </w:r>
    </w:p>
    <w:p w14:paraId="2D1BCBE9"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Природный каркас территории городского округа выполняет важные природоохранные, рекреационные, ландшафтообразующие функции и включает различные по своему назначению территории природного комплекса:</w:t>
      </w:r>
    </w:p>
    <w:p w14:paraId="1E6A8103"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особо охраняемые природные территории, памятники природы;</w:t>
      </w:r>
    </w:p>
    <w:p w14:paraId="76E421FC"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городские зеленые насаждения общего пользования – парки, скверы, бульвары;</w:t>
      </w:r>
    </w:p>
    <w:p w14:paraId="28F8AED8"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lastRenderedPageBreak/>
        <w:t>- лесные массивы;</w:t>
      </w:r>
    </w:p>
    <w:p w14:paraId="67585654"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xml:space="preserve">- природные парки; </w:t>
      </w:r>
    </w:p>
    <w:p w14:paraId="42F4C7C1"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ландшафты природных пространств;</w:t>
      </w:r>
    </w:p>
    <w:p w14:paraId="43A01EE4"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ландшафты водных пространств рек и прибрежные зоны Кисловодского и Нового озера;</w:t>
      </w:r>
    </w:p>
    <w:p w14:paraId="70CDDA41"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озелененные территории ограниченного пользования и специального назначения (озеленения улиц, учебных заведений и пр.).</w:t>
      </w:r>
    </w:p>
    <w:p w14:paraId="243AF01E"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xml:space="preserve">Природный каркас территории городского округа включает разветвленную гидрографическую сеть, в связи с чем, его структуру определяет конфигурация водоохранных зон. </w:t>
      </w:r>
      <w:proofErr w:type="gramStart"/>
      <w:r w:rsidRPr="00731FE2">
        <w:rPr>
          <w:rFonts w:ascii="Times New Roman" w:hAnsi="Times New Roman" w:cs="Times New Roman"/>
          <w:color w:val="000000" w:themeColor="text1"/>
        </w:rPr>
        <w:t>Конфигурация природного каркаса сформирована естественными планировочными осями – малыми реками, вытянутыми в направлениях: север – юг, север – юго-запад, север – юго-восток.</w:t>
      </w:r>
      <w:proofErr w:type="gramEnd"/>
    </w:p>
    <w:p w14:paraId="041A7629"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На территории городского округа имеются линейные, площадные и точечные элементы природного каркаса.</w:t>
      </w:r>
    </w:p>
    <w:p w14:paraId="0633AC69"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b/>
          <w:bCs/>
          <w:color w:val="000000" w:themeColor="text1"/>
        </w:rPr>
        <w:t>Линейные элементы</w:t>
      </w:r>
      <w:r w:rsidRPr="00731FE2">
        <w:rPr>
          <w:rFonts w:ascii="Times New Roman" w:hAnsi="Times New Roman" w:cs="Times New Roman"/>
          <w:color w:val="000000" w:themeColor="text1"/>
        </w:rPr>
        <w:t xml:space="preserve"> природного каркаса – реки Подкумок, Березовая, Ольховка, Аликоновка, Кабардинка, Белая и их притоки. Основная функция линейных элементов – поддержание целостности природного каркаса.</w:t>
      </w:r>
    </w:p>
    <w:p w14:paraId="0769DD63"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b/>
          <w:bCs/>
          <w:color w:val="000000" w:themeColor="text1"/>
        </w:rPr>
        <w:t>Площадные элементы</w:t>
      </w:r>
      <w:r w:rsidRPr="00731FE2">
        <w:rPr>
          <w:rFonts w:ascii="Times New Roman" w:hAnsi="Times New Roman" w:cs="Times New Roman"/>
          <w:color w:val="000000" w:themeColor="text1"/>
        </w:rPr>
        <w:t xml:space="preserve"> – Национальный парк «Кисловодский», озера Новое и Кисловодское, лесные массивы округа.</w:t>
      </w:r>
    </w:p>
    <w:p w14:paraId="035EDD02"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b/>
          <w:bCs/>
          <w:color w:val="000000" w:themeColor="text1"/>
        </w:rPr>
        <w:t>Точечные элементы</w:t>
      </w:r>
      <w:r w:rsidRPr="00731FE2">
        <w:rPr>
          <w:rFonts w:ascii="Times New Roman" w:hAnsi="Times New Roman" w:cs="Times New Roman"/>
          <w:color w:val="000000" w:themeColor="text1"/>
        </w:rPr>
        <w:t xml:space="preserve"> природного каркаса – отдельные памятники природы. На территории городского округа имеется 6 памятников природы. Для улучшения функционирования природного каркаса необходимы определенные меры по укреплению его потенциала (замена зеленых насаждений, увеличение площади естественных природных ландшафтов и территорий).</w:t>
      </w:r>
    </w:p>
    <w:p w14:paraId="6951587C"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Согласно предыдущему утвержденному генеральному плану городского округа структура распределения площадных элементов природного каркаса территории городского округа представлена на рисунке ниже.</w:t>
      </w:r>
    </w:p>
    <w:p w14:paraId="70BC872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color w:val="000000" w:themeColor="text1"/>
        </w:rPr>
      </w:pPr>
      <w:r w:rsidRPr="00731FE2">
        <w:rPr>
          <w:rFonts w:ascii="Times New Roman" w:hAnsi="Times New Roman" w:cs="Times New Roman"/>
          <w:noProof/>
          <w:color w:val="000000" w:themeColor="text1"/>
          <w:lang w:eastAsia="ru-RU"/>
        </w:rPr>
        <w:drawing>
          <wp:inline distT="0" distB="0" distL="0" distR="0" wp14:anchorId="6E199C93" wp14:editId="6798A092">
            <wp:extent cx="5471998" cy="3203998"/>
            <wp:effectExtent l="4762" t="4762" r="4762" b="4762"/>
            <wp:docPr id="11" name="Диаграмма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0B9ACC67" w14:textId="77777777" w:rsidR="00171AA8" w:rsidRPr="00731FE2" w:rsidRDefault="007935AB">
      <w:pPr>
        <w:ind w:firstLine="0"/>
        <w:rPr>
          <w:rFonts w:ascii="Times New Roman" w:hAnsi="Times New Roman" w:cs="Times New Roman"/>
          <w:b/>
          <w:bCs/>
          <w:color w:val="000000" w:themeColor="text1"/>
        </w:rPr>
      </w:pPr>
      <w:r w:rsidRPr="00731FE2">
        <w:rPr>
          <w:rFonts w:ascii="Times New Roman" w:hAnsi="Times New Roman" w:cs="Times New Roman"/>
          <w:b/>
          <w:bCs/>
          <w:color w:val="000000" w:themeColor="text1"/>
        </w:rPr>
        <w:t xml:space="preserve">Рисунок </w:t>
      </w:r>
      <w:r w:rsidRPr="00731FE2">
        <w:rPr>
          <w:rFonts w:ascii="Times New Roman" w:hAnsi="Times New Roman" w:cs="Times New Roman"/>
          <w:b/>
          <w:bCs/>
          <w:color w:val="000000" w:themeColor="text1"/>
        </w:rPr>
        <w:fldChar w:fldCharType="begin"/>
      </w:r>
      <w:r w:rsidRPr="00731FE2">
        <w:rPr>
          <w:rFonts w:ascii="Times New Roman" w:hAnsi="Times New Roman" w:cs="Times New Roman"/>
          <w:b/>
          <w:bCs/>
          <w:color w:val="000000" w:themeColor="text1"/>
        </w:rPr>
        <w:instrText xml:space="preserve"> SEQ Рисунок \* Arabic </w:instrText>
      </w:r>
      <w:r w:rsidRPr="00731FE2">
        <w:rPr>
          <w:rFonts w:ascii="Times New Roman" w:hAnsi="Times New Roman" w:cs="Times New Roman"/>
          <w:b/>
          <w:bCs/>
          <w:color w:val="000000" w:themeColor="text1"/>
        </w:rPr>
        <w:fldChar w:fldCharType="separate"/>
      </w:r>
      <w:r w:rsidR="00C50915" w:rsidRPr="00731FE2">
        <w:rPr>
          <w:rFonts w:ascii="Times New Roman" w:hAnsi="Times New Roman" w:cs="Times New Roman"/>
          <w:b/>
          <w:bCs/>
          <w:noProof/>
          <w:color w:val="000000" w:themeColor="text1"/>
        </w:rPr>
        <w:t>11</w:t>
      </w:r>
      <w:r w:rsidRPr="00731FE2">
        <w:rPr>
          <w:rFonts w:ascii="Times New Roman" w:hAnsi="Times New Roman" w:cs="Times New Roman"/>
          <w:b/>
          <w:bCs/>
          <w:color w:val="000000" w:themeColor="text1"/>
        </w:rPr>
        <w:fldChar w:fldCharType="end"/>
      </w:r>
      <w:r w:rsidRPr="00731FE2">
        <w:rPr>
          <w:rFonts w:ascii="Times New Roman" w:hAnsi="Times New Roman" w:cs="Times New Roman"/>
          <w:b/>
          <w:bCs/>
          <w:color w:val="000000" w:themeColor="text1"/>
        </w:rPr>
        <w:t xml:space="preserve"> – Распределение площадных </w:t>
      </w:r>
      <w:proofErr w:type="gramStart"/>
      <w:r w:rsidRPr="00731FE2">
        <w:rPr>
          <w:rFonts w:ascii="Times New Roman" w:hAnsi="Times New Roman" w:cs="Times New Roman"/>
          <w:b/>
          <w:bCs/>
          <w:color w:val="000000" w:themeColor="text1"/>
        </w:rPr>
        <w:t>элементов природного каркаса территории городского округа города-курорта Кисловодска</w:t>
      </w:r>
      <w:proofErr w:type="gramEnd"/>
      <w:r w:rsidRPr="00731FE2">
        <w:rPr>
          <w:rFonts w:ascii="Times New Roman" w:hAnsi="Times New Roman" w:cs="Times New Roman"/>
          <w:b/>
          <w:bCs/>
          <w:color w:val="000000" w:themeColor="text1"/>
        </w:rPr>
        <w:t xml:space="preserve"> по площади, га</w:t>
      </w:r>
    </w:p>
    <w:p w14:paraId="4CA0330E" w14:textId="77777777" w:rsidR="00171AA8" w:rsidRPr="00731FE2" w:rsidRDefault="00171AA8">
      <w:pPr>
        <w:ind w:firstLine="0"/>
        <w:rPr>
          <w:rFonts w:ascii="Times New Roman" w:hAnsi="Times New Roman" w:cs="Times New Roman"/>
          <w:color w:val="000000" w:themeColor="text1"/>
        </w:rPr>
      </w:pPr>
    </w:p>
    <w:p w14:paraId="38D37D4C"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Площадь общей территории покрытой лесом, составляет 6881 га (в том числе с учетом расширения территории городского округа и проектных предложений генплана), из них городские леса – 2328 га лесопарки – 1250 га, Леса Гослесфонда – 2355 га, Национальный парк «Кисловодский» – 966 га. По выполняемым функциям леса относятся к защитным лесам. Основным их назначением является выполнение природ</w:t>
      </w:r>
      <w:proofErr w:type="gramStart"/>
      <w:r w:rsidRPr="00731FE2">
        <w:rPr>
          <w:rFonts w:ascii="Times New Roman" w:hAnsi="Times New Roman" w:cs="Times New Roman"/>
          <w:color w:val="000000" w:themeColor="text1"/>
        </w:rPr>
        <w:t>о-</w:t>
      </w:r>
      <w:proofErr w:type="gramEnd"/>
      <w:r w:rsidRPr="00731FE2">
        <w:rPr>
          <w:rFonts w:ascii="Times New Roman" w:hAnsi="Times New Roman" w:cs="Times New Roman"/>
          <w:color w:val="000000" w:themeColor="text1"/>
        </w:rPr>
        <w:t xml:space="preserve"> и водоохранных защитных функций.</w:t>
      </w:r>
    </w:p>
    <w:p w14:paraId="247AA4F4"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xml:space="preserve">В пространственном построении </w:t>
      </w:r>
      <w:proofErr w:type="gramStart"/>
      <w:r w:rsidRPr="00731FE2">
        <w:rPr>
          <w:rFonts w:ascii="Times New Roman" w:hAnsi="Times New Roman" w:cs="Times New Roman"/>
          <w:color w:val="000000" w:themeColor="text1"/>
        </w:rPr>
        <w:t>системы озеленения городского округа города-курорта Кисловодска</w:t>
      </w:r>
      <w:proofErr w:type="gramEnd"/>
      <w:r w:rsidRPr="00731FE2">
        <w:rPr>
          <w:rFonts w:ascii="Times New Roman" w:hAnsi="Times New Roman" w:cs="Times New Roman"/>
          <w:color w:val="000000" w:themeColor="text1"/>
        </w:rPr>
        <w:t xml:space="preserve"> доминируют крупные зеленые массивы – леса Государственного лесного фонда, городские леса, Национальный парк «Кисловодский».</w:t>
      </w:r>
    </w:p>
    <w:p w14:paraId="1016DE0A"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Целесообразно создание на территории городского округа города-курорта Кисловодска градо-экологического каркаса, как средостабилизирующей территориальной системы, целенаправленно формируемой для улучшения экологической ситуации на территории городского округа, состоящей из различных по типу (леса, парки, пойменные пространства), размерности (крупные межмагистральные клинья и «пятна» растительности придомовых пространств) и функциональному назначению (озеленительные, рекреационные, санитарно-защитные и инженерн</w:t>
      </w:r>
      <w:proofErr w:type="gramStart"/>
      <w:r w:rsidRPr="00731FE2">
        <w:rPr>
          <w:rFonts w:ascii="Times New Roman" w:hAnsi="Times New Roman" w:cs="Times New Roman"/>
          <w:color w:val="000000" w:themeColor="text1"/>
        </w:rPr>
        <w:t>о-</w:t>
      </w:r>
      <w:proofErr w:type="gramEnd"/>
      <w:r w:rsidRPr="00731FE2">
        <w:rPr>
          <w:rFonts w:ascii="Times New Roman" w:hAnsi="Times New Roman" w:cs="Times New Roman"/>
          <w:color w:val="000000" w:themeColor="text1"/>
        </w:rPr>
        <w:t xml:space="preserve"> защитные) элементов культурного ландшафта, пространственно связанных в единую «живую» сеть из «ядер» (ареальных блоков каркаса) и «коридоров» (линейных блоков каркаса)</w:t>
      </w:r>
      <w:r w:rsidRPr="00731FE2">
        <w:rPr>
          <w:rFonts w:ascii="Times New Roman" w:hAnsi="Times New Roman" w:cs="Times New Roman"/>
          <w:color w:val="000000" w:themeColor="text1"/>
          <w:vertAlign w:val="superscript"/>
        </w:rPr>
        <w:footnoteReference w:id="103"/>
      </w:r>
      <w:r w:rsidRPr="00731FE2">
        <w:rPr>
          <w:rFonts w:ascii="Times New Roman" w:hAnsi="Times New Roman" w:cs="Times New Roman"/>
          <w:color w:val="000000" w:themeColor="text1"/>
          <w:vertAlign w:val="superscript"/>
        </w:rPr>
        <w:t>.</w:t>
      </w:r>
    </w:p>
    <w:p w14:paraId="5850DE5A"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Градо-экологический каркас должен выполнять ряд функций, главными из которых являются</w:t>
      </w:r>
      <w:r w:rsidRPr="00731FE2">
        <w:rPr>
          <w:rFonts w:ascii="Times New Roman" w:hAnsi="Times New Roman" w:cs="Times New Roman"/>
          <w:color w:val="000000" w:themeColor="text1"/>
          <w:vertAlign w:val="superscript"/>
        </w:rPr>
        <w:footnoteReference w:id="104"/>
      </w:r>
      <w:r w:rsidRPr="00731FE2">
        <w:rPr>
          <w:rFonts w:ascii="Times New Roman" w:hAnsi="Times New Roman" w:cs="Times New Roman"/>
          <w:color w:val="000000" w:themeColor="text1"/>
        </w:rPr>
        <w:t xml:space="preserve">: </w:t>
      </w:r>
    </w:p>
    <w:p w14:paraId="316F0FCB"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xml:space="preserve">- средоформирующая, </w:t>
      </w:r>
      <w:proofErr w:type="gramStart"/>
      <w:r w:rsidRPr="00731FE2">
        <w:rPr>
          <w:rFonts w:ascii="Times New Roman" w:hAnsi="Times New Roman" w:cs="Times New Roman"/>
          <w:color w:val="000000" w:themeColor="text1"/>
        </w:rPr>
        <w:t>определяющая</w:t>
      </w:r>
      <w:proofErr w:type="gramEnd"/>
      <w:r w:rsidRPr="00731FE2">
        <w:rPr>
          <w:rFonts w:ascii="Times New Roman" w:hAnsi="Times New Roman" w:cs="Times New Roman"/>
          <w:color w:val="000000" w:themeColor="text1"/>
        </w:rPr>
        <w:t xml:space="preserve"> качество каркаса как системы, способствующей созданию благоприятного экологического состояния городской среды; </w:t>
      </w:r>
    </w:p>
    <w:p w14:paraId="0CBDA435"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xml:space="preserve">- функция поддержания устойчивости природной среды, определяющая способность каркаса как системы в силу ее целостного состояния поддерживать устойчивость природных комплексов; </w:t>
      </w:r>
    </w:p>
    <w:p w14:paraId="62514757"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xml:space="preserve">- средозащитная, характеризующая способность каркаса поддерживать оптимальное состояние входящих в него градо-экологических систем; </w:t>
      </w:r>
    </w:p>
    <w:p w14:paraId="632AB663"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xml:space="preserve">- средостабилизирующая, направленная, в первую очередь, на потенциально уязвимые природные территории (овраги, оползни, промоины, промзоны и др.) и на решение экологических конфликтов, вызванных антропогенной деятельностью. </w:t>
      </w:r>
    </w:p>
    <w:p w14:paraId="78A3CF60"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xml:space="preserve">Формирование градо-экологического каркаса должно строиться на эколого-функциональном зонировании территории городского округа, предполагающем ранжирование экосистем с позиции их устойчивости и рекреационной ценности, с дальнейшей разработкой индивидуального режима природопользования для каждого участка, предотвращая деградацию ландшафта. </w:t>
      </w:r>
    </w:p>
    <w:p w14:paraId="3F5786CB"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В целом, градоэкологический каркас – это система, которая должна складываться с учетом оптимальных природоохранных и функционально-планировочных решений с целью создания наиболее благоприятных градо-экологических условий.</w:t>
      </w:r>
    </w:p>
    <w:p w14:paraId="1BDAE966"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xml:space="preserve">Одним из ключевых аспектов формирования градо-экологического каркаса территории является целостность данной системы. Обеспечение пространственной непрерывности градо-экологического каркаса может быть осуществлено путем </w:t>
      </w:r>
      <w:r w:rsidRPr="00731FE2">
        <w:rPr>
          <w:rFonts w:ascii="Times New Roman" w:hAnsi="Times New Roman" w:cs="Times New Roman"/>
          <w:color w:val="000000" w:themeColor="text1"/>
        </w:rPr>
        <w:lastRenderedPageBreak/>
        <w:t xml:space="preserve">формирования разветвленной системы зеленых «связок», объединяющих отдельные территории природного и градостроительного комплексов, в результате проведения следующих мероприятий: </w:t>
      </w:r>
    </w:p>
    <w:p w14:paraId="3838A4C1"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xml:space="preserve">- формирование системы особо охраняемых природных территорий; </w:t>
      </w:r>
    </w:p>
    <w:p w14:paraId="70154A84"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xml:space="preserve">- сохранение существующих и реабилитация утраченных ландшафтов рек в качестве экологических коридоров, являющихся важнейшим связующим звеном его структуры, обеспечивающим поддержание и возможность восстановления природного разнообразия территорий, их устойчивость и экологическую эффективность; </w:t>
      </w:r>
    </w:p>
    <w:p w14:paraId="7BD891F3"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xml:space="preserve">- восстановление, очистка и реконструкция русел, освобождение пойм и притеррасных понижений от несанкционированной застройки и объектов промышленной инфраструктуры; </w:t>
      </w:r>
    </w:p>
    <w:p w14:paraId="3E641BFA"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xml:space="preserve">- выделение в каждом планировочном районе и сохранение ключевых межмагистральных клиньев, «территорий-связок», включающих существующие и резервные территории природного каркаса и обеспечивающих связь основных его элементов между собой; </w:t>
      </w:r>
    </w:p>
    <w:p w14:paraId="219213AC"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xml:space="preserve">- реабилитация и создание новых лесопарков и городских парков (как площадных ареалов каркаса) взамен стареющих и утраченных, особенно в районах новой застройки; </w:t>
      </w:r>
    </w:p>
    <w:p w14:paraId="7C097CC1"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xml:space="preserve">- формирование в контактных зонах природного каркаса и территориях застройки малозастроенных и озелененных зон, способствующих снижению нагрузок на природный комплекс; </w:t>
      </w:r>
    </w:p>
    <w:p w14:paraId="1303FF10"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xml:space="preserve">- развитие системы внутриквартального озеленения и озеленение пешеходных зон, улиц, технических зон, инженерных коммуникаций; </w:t>
      </w:r>
    </w:p>
    <w:p w14:paraId="1B5CC189"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xml:space="preserve">- сохранение и создание новых озелененных территорий общего пользования (бульваров, скверов) и специального назначения (защитных полос вдоль железнодорожных путей, инженерно-технических зон и коммуникаций); </w:t>
      </w:r>
    </w:p>
    <w:p w14:paraId="50796B80"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xml:space="preserve">- рекультивация и реабилитация «бедлендов»; </w:t>
      </w:r>
    </w:p>
    <w:p w14:paraId="5D1DF952"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xml:space="preserve">- развитие экологически чистого городского транспорта (электромобили и др.); </w:t>
      </w:r>
    </w:p>
    <w:p w14:paraId="61F2A73D"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соблюдение правил инсоляц</w:t>
      </w:r>
      <w:proofErr w:type="gramStart"/>
      <w:r w:rsidRPr="00731FE2">
        <w:rPr>
          <w:rFonts w:ascii="Times New Roman" w:hAnsi="Times New Roman" w:cs="Times New Roman"/>
          <w:color w:val="000000" w:themeColor="text1"/>
        </w:rPr>
        <w:t>ии и аэ</w:t>
      </w:r>
      <w:proofErr w:type="gramEnd"/>
      <w:r w:rsidRPr="00731FE2">
        <w:rPr>
          <w:rFonts w:ascii="Times New Roman" w:hAnsi="Times New Roman" w:cs="Times New Roman"/>
          <w:color w:val="000000" w:themeColor="text1"/>
        </w:rPr>
        <w:t xml:space="preserve">рации при создании новых жилых массивов; </w:t>
      </w:r>
    </w:p>
    <w:p w14:paraId="3506B0F1"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xml:space="preserve">- создание устойчивых функциональных взаимосвязей элементов «градо-экологического» каркаса, обеспечивающих их непрерывность; </w:t>
      </w:r>
    </w:p>
    <w:p w14:paraId="5CBEE8F6"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xml:space="preserve">- модернизация инженерной инфраструктуры, в первую очередь, в сфере очистки сточных вод, очистки стоков хозяйственно-бытовой канализации, утилизации бытовых отходов (несанкционированных свалок); </w:t>
      </w:r>
    </w:p>
    <w:p w14:paraId="22FC1649"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xml:space="preserve">- обеспечение </w:t>
      </w:r>
      <w:proofErr w:type="gramStart"/>
      <w:r w:rsidRPr="00731FE2">
        <w:rPr>
          <w:rFonts w:ascii="Times New Roman" w:hAnsi="Times New Roman" w:cs="Times New Roman"/>
          <w:color w:val="000000" w:themeColor="text1"/>
        </w:rPr>
        <w:t>возможности к самовосстановлению</w:t>
      </w:r>
      <w:proofErr w:type="gramEnd"/>
      <w:r w:rsidRPr="00731FE2">
        <w:rPr>
          <w:rFonts w:ascii="Times New Roman" w:hAnsi="Times New Roman" w:cs="Times New Roman"/>
          <w:color w:val="000000" w:themeColor="text1"/>
        </w:rPr>
        <w:t xml:space="preserve"> – специфической особенности природных систем, которая при чрезмерном антропогенном воздействии может быть нарушена.</w:t>
      </w:r>
    </w:p>
    <w:p w14:paraId="3BEFBE18"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xml:space="preserve">- выявление и включение в состав территорий градо-экологического каркаса ценных природных объектов – деревьев, источников минеральных вод, фрагментов ландшафта, мест произрастания и обитания редких растений. </w:t>
      </w:r>
    </w:p>
    <w:p w14:paraId="775C74CF"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xml:space="preserve">Таким образом, к числу мероприятий по конструированию полноценного градо-экологического каркаса городского округа города-курорта Кисловодска можно отнести следующие направления деятельности: </w:t>
      </w:r>
    </w:p>
    <w:p w14:paraId="30FA1E17"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xml:space="preserve">1. Сохранение существующих территорий природного каркаса и его развитие за счет воссоздания природных сообществ и нового озеленения резервных территорий. </w:t>
      </w:r>
    </w:p>
    <w:p w14:paraId="0661199F"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lastRenderedPageBreak/>
        <w:t xml:space="preserve">2. Сохранение и восстановление территориальной связи природного каркаса с антропогенными ландшафтами округа. </w:t>
      </w:r>
    </w:p>
    <w:p w14:paraId="5620A441"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xml:space="preserve">3. Формирование системы особо охраняемых природных территорий разных правовых категорий и статуса регионального и местного значения. </w:t>
      </w:r>
    </w:p>
    <w:p w14:paraId="3D4A33FF"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xml:space="preserve">4. Формирование системы рекреационных зон (центров) городского и окружного значения. </w:t>
      </w:r>
    </w:p>
    <w:p w14:paraId="62B98411"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xml:space="preserve">5. Развитие градо-экологического каркаса при реорганизации промышленно-коммунальных зон за счет реабилитации и создания новых объектов озеленения. </w:t>
      </w:r>
    </w:p>
    <w:p w14:paraId="020C767E"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xml:space="preserve">6. Закрепление приоритета экологических (средозащитных, средоформирующих, оздоровительных, природоохранных) функций территорий градо-экологического каркаса при всех видах их использования. </w:t>
      </w:r>
    </w:p>
    <w:p w14:paraId="332A6BFB"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xml:space="preserve">7. Установление границ территорий градо-экологического каркаса и их закрепление в градостроительной документации линиями градостроительного регулирования. </w:t>
      </w:r>
    </w:p>
    <w:p w14:paraId="7D7D5C77"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8. Установление для территорий градо-экологического каркаса особых режимов использования, в том числе, градостроительной деятельности, создание нормативных правовых документов, регламентирующих охрану и использование таких территорий, а также градостроительную деятельность на них.</w:t>
      </w:r>
    </w:p>
    <w:p w14:paraId="4D5141BB"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color w:val="000000" w:themeColor="text1"/>
        </w:rPr>
      </w:pPr>
      <w:r w:rsidRPr="00731FE2">
        <w:rPr>
          <w:noProof/>
          <w:lang w:eastAsia="ru-RU"/>
        </w:rPr>
        <w:drawing>
          <wp:inline distT="0" distB="0" distL="0" distR="0" wp14:anchorId="6554F3E7" wp14:editId="071DD038">
            <wp:extent cx="5940425" cy="5098763"/>
            <wp:effectExtent l="0" t="0" r="0" b="0"/>
            <wp:docPr id="12"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61087" name=""/>
                    <pic:cNvPicPr>
                      <a:picLocks noChangeAspect="1"/>
                    </pic:cNvPicPr>
                  </pic:nvPicPr>
                  <pic:blipFill>
                    <a:blip r:embed="rId22"/>
                    <a:stretch/>
                  </pic:blipFill>
                  <pic:spPr bwMode="auto">
                    <a:xfrm>
                      <a:off x="0" y="0"/>
                      <a:ext cx="5940424" cy="5098762"/>
                    </a:xfrm>
                    <a:prstGeom prst="rect">
                      <a:avLst/>
                    </a:prstGeom>
                  </pic:spPr>
                </pic:pic>
              </a:graphicData>
            </a:graphic>
          </wp:inline>
        </w:drawing>
      </w:r>
    </w:p>
    <w:p w14:paraId="4153908E"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b/>
          <w:bCs/>
          <w:color w:val="000000" w:themeColor="text1"/>
        </w:rPr>
      </w:pPr>
      <w:r w:rsidRPr="00731FE2">
        <w:rPr>
          <w:rFonts w:ascii="Times New Roman" w:hAnsi="Times New Roman" w:cs="Times New Roman"/>
          <w:b/>
          <w:bCs/>
          <w:color w:val="000000" w:themeColor="text1"/>
        </w:rPr>
        <w:lastRenderedPageBreak/>
        <w:t xml:space="preserve">Рисунок </w:t>
      </w:r>
      <w:r w:rsidRPr="00731FE2">
        <w:rPr>
          <w:rFonts w:ascii="Times New Roman" w:hAnsi="Times New Roman" w:cs="Times New Roman"/>
          <w:b/>
          <w:bCs/>
          <w:color w:val="000000" w:themeColor="text1"/>
        </w:rPr>
        <w:fldChar w:fldCharType="begin"/>
      </w:r>
      <w:r w:rsidRPr="00731FE2">
        <w:rPr>
          <w:rFonts w:ascii="Times New Roman" w:hAnsi="Times New Roman" w:cs="Times New Roman"/>
          <w:b/>
          <w:bCs/>
          <w:color w:val="000000" w:themeColor="text1"/>
        </w:rPr>
        <w:instrText xml:space="preserve"> SEQ Рисунок \* Arabic </w:instrText>
      </w:r>
      <w:r w:rsidRPr="00731FE2">
        <w:rPr>
          <w:rFonts w:ascii="Times New Roman" w:hAnsi="Times New Roman" w:cs="Times New Roman"/>
          <w:b/>
          <w:bCs/>
          <w:color w:val="000000" w:themeColor="text1"/>
        </w:rPr>
        <w:fldChar w:fldCharType="separate"/>
      </w:r>
      <w:r w:rsidR="00C50915" w:rsidRPr="00731FE2">
        <w:rPr>
          <w:rFonts w:ascii="Times New Roman" w:hAnsi="Times New Roman" w:cs="Times New Roman"/>
          <w:b/>
          <w:bCs/>
          <w:noProof/>
          <w:color w:val="000000" w:themeColor="text1"/>
        </w:rPr>
        <w:t>12</w:t>
      </w:r>
      <w:r w:rsidRPr="00731FE2">
        <w:rPr>
          <w:rFonts w:ascii="Times New Roman" w:hAnsi="Times New Roman" w:cs="Times New Roman"/>
          <w:b/>
          <w:bCs/>
          <w:color w:val="000000" w:themeColor="text1"/>
        </w:rPr>
        <w:fldChar w:fldCharType="end"/>
      </w:r>
      <w:r w:rsidRPr="00731FE2">
        <w:rPr>
          <w:rFonts w:ascii="Times New Roman" w:hAnsi="Times New Roman" w:cs="Times New Roman"/>
          <w:b/>
          <w:bCs/>
          <w:color w:val="000000" w:themeColor="text1"/>
        </w:rPr>
        <w:t xml:space="preserve"> – Система общественных пространств городского округа города-курорта Кисловодска</w:t>
      </w:r>
      <w:r w:rsidRPr="00731FE2">
        <w:rPr>
          <w:rStyle w:val="afb"/>
          <w:rFonts w:ascii="Times New Roman" w:hAnsi="Times New Roman" w:cs="Times New Roman"/>
          <w:b/>
          <w:bCs/>
          <w:color w:val="000000" w:themeColor="text1"/>
          <w:vertAlign w:val="superscript"/>
        </w:rPr>
        <w:footnoteReference w:id="105"/>
      </w:r>
      <w:r w:rsidRPr="00731FE2">
        <w:rPr>
          <w:rFonts w:ascii="Times New Roman" w:hAnsi="Times New Roman" w:cs="Times New Roman"/>
          <w:b/>
          <w:bCs/>
          <w:color w:val="000000" w:themeColor="text1"/>
        </w:rPr>
        <w:t xml:space="preserve"> </w:t>
      </w:r>
    </w:p>
    <w:p w14:paraId="3DDD6776"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Общественные пространства городского округа города-курорта Кисловодска не выделяются в отдельную функциональную зону, но играют важнейшую роль в формировании планировочной структуры города-курорта и достижении основной цели его стратегического развития – формирование курорта мирового значения.</w:t>
      </w:r>
    </w:p>
    <w:p w14:paraId="71D6E578"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К общественным пространствам окружного (общегородского) значения относятся:</w:t>
      </w:r>
    </w:p>
    <w:p w14:paraId="5C2E10FF"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«Национальный парк «Кисловодский» – основное пространство для пользователей санаторно-курортных услуг.</w:t>
      </w:r>
    </w:p>
    <w:p w14:paraId="6E4EEFC2"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«Новое озеро» с комплексом специализированных рекреационных сооружений и спортивных объектов в его восточной части.</w:t>
      </w:r>
    </w:p>
    <w:p w14:paraId="6550DF9C"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xml:space="preserve">- «Курортный бульвар» – общественное пространство общего пользования широкой </w:t>
      </w:r>
      <w:proofErr w:type="gramStart"/>
      <w:r w:rsidRPr="00731FE2">
        <w:rPr>
          <w:rFonts w:ascii="Times New Roman" w:hAnsi="Times New Roman" w:cs="Times New Roman"/>
          <w:color w:val="000000" w:themeColor="text1"/>
        </w:rPr>
        <w:t>специализации</w:t>
      </w:r>
      <w:proofErr w:type="gramEnd"/>
      <w:r w:rsidRPr="00731FE2">
        <w:rPr>
          <w:rFonts w:ascii="Times New Roman" w:hAnsi="Times New Roman" w:cs="Times New Roman"/>
          <w:color w:val="000000" w:themeColor="text1"/>
        </w:rPr>
        <w:t xml:space="preserve"> предназначенное для всех категорий населения.</w:t>
      </w:r>
    </w:p>
    <w:p w14:paraId="6A9F4081"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xml:space="preserve">- «Старое озеро» – формируется в рамках существующего городского парка культуры и </w:t>
      </w:r>
      <w:r w:rsidR="00A4523A" w:rsidRPr="00731FE2">
        <w:rPr>
          <w:rFonts w:ascii="Times New Roman" w:hAnsi="Times New Roman" w:cs="Times New Roman"/>
          <w:color w:val="000000" w:themeColor="text1"/>
        </w:rPr>
        <w:t>отдыха,</w:t>
      </w:r>
      <w:r w:rsidRPr="00731FE2">
        <w:rPr>
          <w:rFonts w:ascii="Times New Roman" w:hAnsi="Times New Roman" w:cs="Times New Roman"/>
          <w:color w:val="000000" w:themeColor="text1"/>
        </w:rPr>
        <w:t xml:space="preserve"> и территории Старого озера, ориентировано на широкий спектр потребителей с четким внутренним делением на функциональные зоны: спортивную, массовых мероприятий, рекреационную, зону тихого отдыха, детскую – с Музеем сказок, детским парком развлечений «Праздник непослушания», творческой мастерской «Город мастеров».</w:t>
      </w:r>
    </w:p>
    <w:p w14:paraId="7A7A9716"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Пешеходная зона «Променад» (набережная просп. Победы).</w:t>
      </w:r>
    </w:p>
    <w:p w14:paraId="4C031B5B"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Зона общественно-деловых функций – «Россия».</w:t>
      </w:r>
    </w:p>
    <w:p w14:paraId="2E3D4F59"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xml:space="preserve">Предлагается создание в юго-западной части городского округа (на границе с Карачаево-Черкесской Республикой) зоны совместных интересов («Территории партнерства») в развитии общественного пространства в районе дороги «Кисловодск – Джылы-Су» и проектируемых объектов спортивной, рекреационной и туристической инфраструктуры. </w:t>
      </w:r>
    </w:p>
    <w:p w14:paraId="0119C248"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Главная задача обеспечить связь проектируемых общественных пространств и объектов друг с другом для формирования целостной общегородской системы общественных пространств, оснащенной единой системой интерактивной, картографической и наглядной навигации.</w:t>
      </w:r>
    </w:p>
    <w:p w14:paraId="543EF96E"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Анализ показывает, что в существующих общественных пространствах территориальной социально-экономической системы городского округа города-курорта Кисловодска можно выделить ряд недостатков и ограничений, препятствующих формированию полноценной и современной системы общественных пространств (ОП):</w:t>
      </w:r>
    </w:p>
    <w:p w14:paraId="0EF3D06D" w14:textId="77777777" w:rsidR="00171AA8" w:rsidRPr="00731FE2" w:rsidRDefault="007935AB" w:rsidP="007832E7">
      <w:pPr>
        <w:pStyle w:val="a3"/>
        <w:numPr>
          <w:ilvl w:val="0"/>
          <w:numId w:val="84"/>
        </w:num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Недостаточная плотность.</w:t>
      </w:r>
    </w:p>
    <w:p w14:paraId="3A8F8DE9" w14:textId="77777777" w:rsidR="00171AA8" w:rsidRPr="00731FE2" w:rsidRDefault="007935AB" w:rsidP="007832E7">
      <w:pPr>
        <w:pStyle w:val="a3"/>
        <w:numPr>
          <w:ilvl w:val="0"/>
          <w:numId w:val="84"/>
        </w:num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Отсутствие исследований и архитектурной артикуляции.</w:t>
      </w:r>
    </w:p>
    <w:p w14:paraId="3043F2D8" w14:textId="77777777" w:rsidR="00171AA8" w:rsidRPr="00731FE2" w:rsidRDefault="007935AB" w:rsidP="007832E7">
      <w:pPr>
        <w:pStyle w:val="a3"/>
        <w:numPr>
          <w:ilvl w:val="0"/>
          <w:numId w:val="84"/>
        </w:num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Отсутствие связанной структуры.</w:t>
      </w:r>
    </w:p>
    <w:p w14:paraId="39C82215" w14:textId="77777777" w:rsidR="00171AA8" w:rsidRPr="00731FE2" w:rsidRDefault="007935AB" w:rsidP="007832E7">
      <w:pPr>
        <w:pStyle w:val="a3"/>
        <w:numPr>
          <w:ilvl w:val="0"/>
          <w:numId w:val="84"/>
        </w:num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Удаленность друг от друга.</w:t>
      </w:r>
    </w:p>
    <w:p w14:paraId="4DD062C2" w14:textId="77777777" w:rsidR="00171AA8" w:rsidRPr="00731FE2" w:rsidRDefault="007935AB" w:rsidP="007832E7">
      <w:pPr>
        <w:pStyle w:val="a3"/>
        <w:numPr>
          <w:ilvl w:val="0"/>
          <w:numId w:val="84"/>
        </w:num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Несоответствие потребность разных социальных групп (аудиторий).</w:t>
      </w:r>
    </w:p>
    <w:p w14:paraId="4E69923B"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b/>
          <w:bCs/>
          <w:color w:val="000000" w:themeColor="text1"/>
        </w:rPr>
      </w:pPr>
      <w:r w:rsidRPr="00731FE2">
        <w:rPr>
          <w:rFonts w:ascii="Times New Roman" w:hAnsi="Times New Roman" w:cs="Times New Roman"/>
          <w:b/>
          <w:bCs/>
          <w:color w:val="000000" w:themeColor="text1"/>
        </w:rPr>
        <w:lastRenderedPageBreak/>
        <w:t>Таким образом, реализация проектов развития существующих и создания новых общественных простран</w:t>
      </w:r>
      <w:proofErr w:type="gramStart"/>
      <w:r w:rsidRPr="00731FE2">
        <w:rPr>
          <w:rFonts w:ascii="Times New Roman" w:hAnsi="Times New Roman" w:cs="Times New Roman"/>
          <w:b/>
          <w:bCs/>
          <w:color w:val="000000" w:themeColor="text1"/>
        </w:rPr>
        <w:t>ств тр</w:t>
      </w:r>
      <w:proofErr w:type="gramEnd"/>
      <w:r w:rsidRPr="00731FE2">
        <w:rPr>
          <w:rFonts w:ascii="Times New Roman" w:hAnsi="Times New Roman" w:cs="Times New Roman"/>
          <w:b/>
          <w:bCs/>
          <w:color w:val="000000" w:themeColor="text1"/>
        </w:rPr>
        <w:t xml:space="preserve">ебуют разработок концептуально-художественного замысла и стилистических решений композиционной организации общественных пространств, как условия улучшения эстетических качеств и повышения инвестиционной привлекательности городского округа. </w:t>
      </w:r>
    </w:p>
    <w:p w14:paraId="431BAE89" w14:textId="77777777" w:rsidR="00171AA8" w:rsidRPr="00731FE2" w:rsidRDefault="00171AA8">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p>
    <w:p w14:paraId="18039417" w14:textId="77777777" w:rsidR="00171AA8" w:rsidRPr="00731FE2" w:rsidRDefault="007935AB">
      <w:pPr>
        <w:pStyle w:val="24"/>
        <w:rPr>
          <w:rFonts w:ascii="Times New Roman" w:hAnsi="Times New Roman" w:cs="Times New Roman"/>
        </w:rPr>
      </w:pPr>
      <w:bookmarkStart w:id="64" w:name="_Toc177392815"/>
      <w:r w:rsidRPr="00731FE2">
        <w:rPr>
          <w:rFonts w:ascii="Times New Roman" w:hAnsi="Times New Roman" w:cs="Times New Roman"/>
        </w:rPr>
        <w:t>3.3 Прогноз численности населения городского округа</w:t>
      </w:r>
      <w:bookmarkEnd w:id="64"/>
    </w:p>
    <w:p w14:paraId="5C54F36C"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xml:space="preserve">На основе тенденций, сложившихся в последние годы, таких как демографические тенденции, изменение половозрастной структуры, воспроизводство населения, миграция и демографическая нагрузка можно сделать прогнозы численности населения </w:t>
      </w:r>
      <w:r w:rsidRPr="00731FE2">
        <w:rPr>
          <w:rFonts w:ascii="Times New Roman" w:eastAsia="Times New Roman" w:hAnsi="Times New Roman" w:cs="Times New Roman"/>
          <w:color w:val="000000"/>
          <w:szCs w:val="24"/>
        </w:rPr>
        <w:t>городского округа города-курорта Кисловодск</w:t>
      </w:r>
      <w:r w:rsidRPr="00731FE2">
        <w:rPr>
          <w:rFonts w:ascii="Times New Roman" w:hAnsi="Times New Roman" w:cs="Times New Roman"/>
          <w:color w:val="000000" w:themeColor="text1"/>
        </w:rPr>
        <w:t xml:space="preserve"> на будущее.</w:t>
      </w:r>
    </w:p>
    <w:p w14:paraId="420B517F"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Расчет и анализ ожидаемых изменений численности населения и других показателей за расчетный период проводился по трем сценариям (вариантам) развития: целевому, инерционному и пессимистическому. Они важны в условиях поливариантности социально-экономического развития региона.</w:t>
      </w:r>
    </w:p>
    <w:p w14:paraId="4742581E"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Расчетные показатели были установлены на две даты: 2034 (первый этап реализации генерального плана) и 2044 (расчетный период планирования). Прогнозирование осуществлялось на уровне городского округа. Отправная точка была установлена на 2023 г.</w:t>
      </w:r>
    </w:p>
    <w:p w14:paraId="573B4EB7"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xml:space="preserve">Вероятность развития демографической ситуации в </w:t>
      </w:r>
      <w:r w:rsidRPr="00731FE2">
        <w:rPr>
          <w:rFonts w:ascii="Times New Roman" w:eastAsia="Times New Roman" w:hAnsi="Times New Roman" w:cs="Times New Roman"/>
          <w:color w:val="000000"/>
          <w:szCs w:val="24"/>
        </w:rPr>
        <w:t>городском округе городе-курорте Кисловодск</w:t>
      </w:r>
      <w:r w:rsidRPr="00731FE2">
        <w:rPr>
          <w:rFonts w:ascii="Times New Roman" w:hAnsi="Times New Roman" w:cs="Times New Roman"/>
          <w:color w:val="000000" w:themeColor="text1"/>
        </w:rPr>
        <w:t xml:space="preserve"> по сценарию зависит от сложного сочетания политических, экономических и социальных факторов. Они включают в себя масштаб и эффективность мер преодоления кризисных явлений, демографическую и миграционную политику руководящих структур, реализация крупных инвестиционных проектов.</w:t>
      </w:r>
    </w:p>
    <w:p w14:paraId="194797D4"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Демографический прогноз обусловлен основными параметрами, формирующими численность населения и возрастную структуру в целом (рождаемость, смертность и миграционный прирост).</w:t>
      </w:r>
    </w:p>
    <w:p w14:paraId="6A984F38" w14:textId="77777777" w:rsidR="00171AA8" w:rsidRPr="00731FE2" w:rsidRDefault="00171AA8">
      <w:pPr>
        <w:rPr>
          <w:rFonts w:ascii="Times New Roman" w:hAnsi="Times New Roman" w:cs="Times New Roman"/>
          <w:color w:val="000000" w:themeColor="text1"/>
        </w:rPr>
      </w:pPr>
    </w:p>
    <w:p w14:paraId="702401D0" w14:textId="77777777" w:rsidR="00171AA8" w:rsidRPr="00731FE2" w:rsidRDefault="007935AB">
      <w:pPr>
        <w:ind w:firstLine="0"/>
        <w:jc w:val="center"/>
        <w:rPr>
          <w:rFonts w:ascii="Times New Roman" w:hAnsi="Times New Roman" w:cs="Times New Roman"/>
          <w:color w:val="000000" w:themeColor="text1"/>
          <w:sz w:val="20"/>
          <w:szCs w:val="18"/>
        </w:rPr>
      </w:pPr>
      <w:r w:rsidRPr="00731FE2">
        <w:rPr>
          <w:rFonts w:ascii="Times New Roman" w:hAnsi="Times New Roman" w:cs="Times New Roman"/>
          <w:noProof/>
          <w:color w:val="000000" w:themeColor="text1"/>
          <w:sz w:val="22"/>
          <w:szCs w:val="20"/>
          <w:lang w:eastAsia="ru-RU"/>
        </w:rPr>
        <w:drawing>
          <wp:inline distT="0" distB="0" distL="0" distR="0" wp14:anchorId="1DC9AC05" wp14:editId="5CD8EDB8">
            <wp:extent cx="5769261" cy="2769635"/>
            <wp:effectExtent l="4762" t="4762" r="4762" b="4762"/>
            <wp:docPr id="13" name="Диаграмма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30668D09" w14:textId="77777777" w:rsidR="00171AA8" w:rsidRPr="00731FE2" w:rsidRDefault="007935AB" w:rsidP="0058161E">
      <w:pPr>
        <w:pBdr>
          <w:top w:val="none" w:sz="4" w:space="0" w:color="000000"/>
          <w:left w:val="none" w:sz="4" w:space="0" w:color="000000"/>
          <w:bottom w:val="none" w:sz="4" w:space="0" w:color="000000"/>
          <w:right w:val="none" w:sz="4" w:space="0" w:color="000000"/>
        </w:pBdr>
        <w:spacing w:line="240" w:lineRule="auto"/>
        <w:ind w:firstLine="0"/>
        <w:rPr>
          <w:rFonts w:ascii="Times New Roman" w:hAnsi="Times New Roman" w:cs="Times New Roman"/>
          <w:b/>
          <w:bCs/>
          <w:color w:val="000000" w:themeColor="text1"/>
          <w:szCs w:val="24"/>
        </w:rPr>
      </w:pPr>
      <w:r w:rsidRPr="00731FE2">
        <w:rPr>
          <w:rFonts w:ascii="Times New Roman" w:hAnsi="Times New Roman" w:cs="Times New Roman"/>
          <w:b/>
          <w:bCs/>
          <w:color w:val="000000" w:themeColor="text1"/>
          <w:szCs w:val="24"/>
        </w:rPr>
        <w:t xml:space="preserve">Рисунок </w:t>
      </w:r>
      <w:r w:rsidRPr="00731FE2">
        <w:rPr>
          <w:rFonts w:ascii="Times New Roman" w:hAnsi="Times New Roman" w:cs="Times New Roman"/>
          <w:b/>
          <w:bCs/>
          <w:color w:val="000000" w:themeColor="text1"/>
          <w:szCs w:val="24"/>
        </w:rPr>
        <w:fldChar w:fldCharType="begin"/>
      </w:r>
      <w:r w:rsidRPr="00731FE2">
        <w:rPr>
          <w:rFonts w:ascii="Times New Roman" w:hAnsi="Times New Roman" w:cs="Times New Roman"/>
          <w:b/>
          <w:bCs/>
          <w:color w:val="000000" w:themeColor="text1"/>
          <w:szCs w:val="24"/>
        </w:rPr>
        <w:instrText xml:space="preserve"> SEQ Рисунок \* Arabic </w:instrText>
      </w:r>
      <w:r w:rsidRPr="00731FE2">
        <w:rPr>
          <w:rFonts w:ascii="Times New Roman" w:hAnsi="Times New Roman" w:cs="Times New Roman"/>
          <w:b/>
          <w:bCs/>
          <w:color w:val="000000" w:themeColor="text1"/>
          <w:szCs w:val="24"/>
        </w:rPr>
        <w:fldChar w:fldCharType="separate"/>
      </w:r>
      <w:r w:rsidR="00C50915" w:rsidRPr="00731FE2">
        <w:rPr>
          <w:rFonts w:ascii="Times New Roman" w:hAnsi="Times New Roman" w:cs="Times New Roman"/>
          <w:b/>
          <w:bCs/>
          <w:noProof/>
          <w:color w:val="000000" w:themeColor="text1"/>
          <w:szCs w:val="24"/>
        </w:rPr>
        <w:t>13</w:t>
      </w:r>
      <w:r w:rsidRPr="00731FE2">
        <w:rPr>
          <w:rFonts w:ascii="Times New Roman" w:hAnsi="Times New Roman" w:cs="Times New Roman"/>
          <w:b/>
          <w:bCs/>
          <w:color w:val="000000" w:themeColor="text1"/>
          <w:szCs w:val="24"/>
        </w:rPr>
        <w:fldChar w:fldCharType="end"/>
      </w:r>
      <w:r w:rsidRPr="00731FE2">
        <w:rPr>
          <w:rFonts w:ascii="Times New Roman" w:hAnsi="Times New Roman" w:cs="Times New Roman"/>
          <w:b/>
          <w:bCs/>
          <w:color w:val="000000" w:themeColor="text1"/>
          <w:szCs w:val="24"/>
        </w:rPr>
        <w:t xml:space="preserve"> – Прогнозная оценка численности населения на расчетную перспективу в городском округе городе-курорте Кисловодске до 2049 г. по всем сценариям развития</w:t>
      </w:r>
    </w:p>
    <w:p w14:paraId="693D7180" w14:textId="77777777" w:rsidR="00171AA8" w:rsidRPr="00731FE2" w:rsidRDefault="00171AA8">
      <w:pPr>
        <w:pStyle w:val="af3"/>
        <w:spacing w:line="283" w:lineRule="atLeast"/>
        <w:rPr>
          <w:sz w:val="24"/>
          <w:szCs w:val="24"/>
        </w:rPr>
      </w:pPr>
    </w:p>
    <w:p w14:paraId="75383688"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proofErr w:type="gramStart"/>
      <w:r w:rsidRPr="00731FE2">
        <w:rPr>
          <w:rFonts w:ascii="Times New Roman" w:eastAsia="Times New Roman" w:hAnsi="Times New Roman" w:cs="Times New Roman"/>
          <w:color w:val="000000"/>
        </w:rPr>
        <w:t xml:space="preserve">Прогнозные расчеты показывают, что согласно целевому сценарию численность населения </w:t>
      </w:r>
      <w:r w:rsidRPr="00731FE2">
        <w:rPr>
          <w:rFonts w:ascii="Times New Roman" w:hAnsi="Times New Roman" w:cs="Times New Roman"/>
          <w:color w:val="000000" w:themeColor="text1"/>
        </w:rPr>
        <w:t>городского округа города-курорта Кисловодска</w:t>
      </w:r>
      <w:r w:rsidRPr="00731FE2">
        <w:rPr>
          <w:rFonts w:ascii="Times New Roman" w:eastAsia="Times New Roman" w:hAnsi="Times New Roman" w:cs="Times New Roman"/>
          <w:color w:val="000000"/>
        </w:rPr>
        <w:t xml:space="preserve"> к 2044 г. повысится на 7,0 %, по инерционному сценарию на 0,9 %, по пессимистическому – спад на 8,1%.</w:t>
      </w:r>
      <w:proofErr w:type="gramEnd"/>
    </w:p>
    <w:p w14:paraId="0890E2FD" w14:textId="77777777" w:rsidR="00171AA8" w:rsidRPr="00731FE2" w:rsidRDefault="00171AA8">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szCs w:val="24"/>
        </w:rPr>
      </w:pPr>
    </w:p>
    <w:p w14:paraId="3960C6D2" w14:textId="77777777" w:rsidR="00171AA8" w:rsidRPr="00731FE2" w:rsidRDefault="007935AB" w:rsidP="0058161E">
      <w:pPr>
        <w:pBdr>
          <w:top w:val="none" w:sz="4" w:space="0" w:color="000000"/>
          <w:left w:val="none" w:sz="4" w:space="0" w:color="000000"/>
          <w:bottom w:val="none" w:sz="4" w:space="0" w:color="000000"/>
          <w:right w:val="none" w:sz="4" w:space="0" w:color="000000"/>
        </w:pBdr>
        <w:spacing w:line="240" w:lineRule="auto"/>
        <w:ind w:firstLine="0"/>
        <w:rPr>
          <w:rFonts w:ascii="Times New Roman" w:eastAsia="Times New Roman" w:hAnsi="Times New Roman" w:cs="Times New Roman"/>
          <w:szCs w:val="24"/>
        </w:rPr>
      </w:pPr>
      <w:r w:rsidRPr="00731FE2">
        <w:rPr>
          <w:rFonts w:ascii="Times New Roman" w:hAnsi="Times New Roman" w:cs="Times New Roman"/>
          <w:b/>
          <w:bCs/>
          <w:color w:val="000000" w:themeColor="text1"/>
          <w:szCs w:val="24"/>
        </w:rPr>
        <w:t xml:space="preserve">Таблица </w:t>
      </w:r>
      <w:r w:rsidRPr="00731FE2">
        <w:rPr>
          <w:rFonts w:ascii="Times New Roman" w:hAnsi="Times New Roman" w:cs="Times New Roman"/>
          <w:b/>
          <w:bCs/>
          <w:color w:val="000000" w:themeColor="text1"/>
          <w:szCs w:val="24"/>
        </w:rPr>
        <w:fldChar w:fldCharType="begin"/>
      </w:r>
      <w:r w:rsidRPr="00731FE2">
        <w:rPr>
          <w:rFonts w:ascii="Times New Roman" w:hAnsi="Times New Roman" w:cs="Times New Roman"/>
          <w:b/>
          <w:bCs/>
          <w:color w:val="000000" w:themeColor="text1"/>
          <w:szCs w:val="24"/>
        </w:rPr>
        <w:instrText xml:space="preserve"> SEQ Таблица \* Arabic </w:instrText>
      </w:r>
      <w:r w:rsidRPr="00731FE2">
        <w:rPr>
          <w:rFonts w:ascii="Times New Roman" w:hAnsi="Times New Roman" w:cs="Times New Roman"/>
          <w:b/>
          <w:bCs/>
          <w:color w:val="000000" w:themeColor="text1"/>
          <w:szCs w:val="24"/>
        </w:rPr>
        <w:fldChar w:fldCharType="separate"/>
      </w:r>
      <w:r w:rsidR="00C50915" w:rsidRPr="00731FE2">
        <w:rPr>
          <w:rFonts w:ascii="Times New Roman" w:hAnsi="Times New Roman" w:cs="Times New Roman"/>
          <w:b/>
          <w:bCs/>
          <w:noProof/>
          <w:color w:val="000000" w:themeColor="text1"/>
          <w:szCs w:val="24"/>
        </w:rPr>
        <w:t>60</w:t>
      </w:r>
      <w:r w:rsidRPr="00731FE2">
        <w:rPr>
          <w:rFonts w:ascii="Times New Roman" w:hAnsi="Times New Roman" w:cs="Times New Roman"/>
          <w:b/>
          <w:bCs/>
          <w:color w:val="000000" w:themeColor="text1"/>
          <w:szCs w:val="24"/>
        </w:rPr>
        <w:fldChar w:fldCharType="end"/>
      </w:r>
      <w:r w:rsidRPr="00731FE2">
        <w:rPr>
          <w:rFonts w:ascii="Times New Roman" w:hAnsi="Times New Roman" w:cs="Times New Roman"/>
          <w:b/>
          <w:bCs/>
          <w:color w:val="000000" w:themeColor="text1"/>
          <w:szCs w:val="24"/>
        </w:rPr>
        <w:t xml:space="preserve"> – Прогнозная оценка численности населения в городском округе городе-курорте Кисловодске</w:t>
      </w:r>
      <w:r w:rsidRPr="00731FE2">
        <w:rPr>
          <w:rFonts w:ascii="Times New Roman" w:eastAsia="Times New Roman" w:hAnsi="Times New Roman" w:cs="Times New Roman"/>
          <w:b/>
          <w:color w:val="000000"/>
          <w:szCs w:val="24"/>
        </w:rPr>
        <w:t xml:space="preserve"> до 2049 г. по всем сценариям развития</w:t>
      </w:r>
    </w:p>
    <w:tbl>
      <w:tblPr>
        <w:tblStyle w:val="TableGridReport1"/>
        <w:tblW w:w="0" w:type="auto"/>
        <w:tblLayout w:type="fixed"/>
        <w:tblLook w:val="04A0" w:firstRow="1" w:lastRow="0" w:firstColumn="1" w:lastColumn="0" w:noHBand="0" w:noVBand="1"/>
      </w:tblPr>
      <w:tblGrid>
        <w:gridCol w:w="2126"/>
        <w:gridCol w:w="850"/>
        <w:gridCol w:w="850"/>
        <w:gridCol w:w="850"/>
        <w:gridCol w:w="850"/>
        <w:gridCol w:w="850"/>
        <w:gridCol w:w="850"/>
        <w:gridCol w:w="992"/>
        <w:gridCol w:w="1136"/>
      </w:tblGrid>
      <w:tr w:rsidR="00171AA8" w:rsidRPr="00731FE2" w14:paraId="2EE15DB1" w14:textId="77777777">
        <w:trPr>
          <w:trHeight w:val="1130"/>
        </w:trPr>
        <w:tc>
          <w:tcPr>
            <w:tcW w:w="2126" w:type="dxa"/>
            <w:vAlign w:val="center"/>
          </w:tcPr>
          <w:p w14:paraId="50B847F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Cs w:val="24"/>
              </w:rPr>
            </w:pPr>
            <w:r w:rsidRPr="00731FE2">
              <w:rPr>
                <w:rFonts w:ascii="Times New Roman" w:eastAsia="Times New Roman" w:hAnsi="Times New Roman" w:cs="Times New Roman"/>
                <w:b/>
                <w:color w:val="000000"/>
                <w:sz w:val="22"/>
              </w:rPr>
              <w:t>Прогнозная оценка</w:t>
            </w:r>
          </w:p>
        </w:tc>
        <w:tc>
          <w:tcPr>
            <w:tcW w:w="850" w:type="dxa"/>
            <w:noWrap/>
            <w:vAlign w:val="center"/>
          </w:tcPr>
          <w:p w14:paraId="48AED61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Cs w:val="24"/>
              </w:rPr>
            </w:pPr>
            <w:r w:rsidRPr="00731FE2">
              <w:rPr>
                <w:rFonts w:ascii="Times New Roman" w:eastAsia="Times New Roman" w:hAnsi="Times New Roman" w:cs="Times New Roman"/>
                <w:b/>
                <w:color w:val="000000"/>
                <w:sz w:val="22"/>
              </w:rPr>
              <w:t>2023</w:t>
            </w:r>
          </w:p>
        </w:tc>
        <w:tc>
          <w:tcPr>
            <w:tcW w:w="850" w:type="dxa"/>
            <w:noWrap/>
            <w:vAlign w:val="center"/>
          </w:tcPr>
          <w:p w14:paraId="7657B24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Cs w:val="24"/>
              </w:rPr>
            </w:pPr>
            <w:r w:rsidRPr="00731FE2">
              <w:rPr>
                <w:rFonts w:ascii="Times New Roman" w:eastAsia="Times New Roman" w:hAnsi="Times New Roman" w:cs="Times New Roman"/>
                <w:b/>
                <w:color w:val="000000"/>
                <w:sz w:val="22"/>
              </w:rPr>
              <w:t>2029</w:t>
            </w:r>
          </w:p>
        </w:tc>
        <w:tc>
          <w:tcPr>
            <w:tcW w:w="850" w:type="dxa"/>
            <w:noWrap/>
            <w:vAlign w:val="center"/>
          </w:tcPr>
          <w:p w14:paraId="1D60298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Cs w:val="24"/>
              </w:rPr>
            </w:pPr>
            <w:r w:rsidRPr="00731FE2">
              <w:rPr>
                <w:rFonts w:ascii="Times New Roman" w:eastAsia="Times New Roman" w:hAnsi="Times New Roman" w:cs="Times New Roman"/>
                <w:b/>
                <w:color w:val="000000"/>
                <w:sz w:val="22"/>
              </w:rPr>
              <w:t>2034</w:t>
            </w:r>
          </w:p>
        </w:tc>
        <w:tc>
          <w:tcPr>
            <w:tcW w:w="850" w:type="dxa"/>
            <w:noWrap/>
            <w:vAlign w:val="center"/>
          </w:tcPr>
          <w:p w14:paraId="0D26467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Cs w:val="24"/>
              </w:rPr>
            </w:pPr>
            <w:r w:rsidRPr="00731FE2">
              <w:rPr>
                <w:rFonts w:ascii="Times New Roman" w:eastAsia="Times New Roman" w:hAnsi="Times New Roman" w:cs="Times New Roman"/>
                <w:b/>
                <w:color w:val="000000"/>
                <w:sz w:val="22"/>
              </w:rPr>
              <w:t>2039</w:t>
            </w:r>
          </w:p>
        </w:tc>
        <w:tc>
          <w:tcPr>
            <w:tcW w:w="850" w:type="dxa"/>
            <w:noWrap/>
            <w:vAlign w:val="center"/>
          </w:tcPr>
          <w:p w14:paraId="1069E09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Cs w:val="24"/>
              </w:rPr>
            </w:pPr>
            <w:r w:rsidRPr="00731FE2">
              <w:rPr>
                <w:rFonts w:ascii="Times New Roman" w:eastAsia="Times New Roman" w:hAnsi="Times New Roman" w:cs="Times New Roman"/>
                <w:b/>
                <w:color w:val="000000"/>
                <w:sz w:val="22"/>
              </w:rPr>
              <w:t>2044</w:t>
            </w:r>
          </w:p>
        </w:tc>
        <w:tc>
          <w:tcPr>
            <w:tcW w:w="850" w:type="dxa"/>
            <w:noWrap/>
            <w:vAlign w:val="center"/>
          </w:tcPr>
          <w:p w14:paraId="48DA559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Cs w:val="24"/>
              </w:rPr>
            </w:pPr>
            <w:r w:rsidRPr="00731FE2">
              <w:rPr>
                <w:rFonts w:ascii="Times New Roman" w:eastAsia="Times New Roman" w:hAnsi="Times New Roman" w:cs="Times New Roman"/>
                <w:b/>
                <w:color w:val="000000"/>
                <w:sz w:val="22"/>
              </w:rPr>
              <w:t>2049</w:t>
            </w:r>
          </w:p>
        </w:tc>
        <w:tc>
          <w:tcPr>
            <w:tcW w:w="992" w:type="dxa"/>
            <w:vAlign w:val="center"/>
          </w:tcPr>
          <w:p w14:paraId="7B11DC3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Cs w:val="24"/>
              </w:rPr>
            </w:pPr>
            <w:r w:rsidRPr="00731FE2">
              <w:rPr>
                <w:rFonts w:ascii="Times New Roman" w:eastAsia="Times New Roman" w:hAnsi="Times New Roman" w:cs="Times New Roman"/>
                <w:b/>
                <w:color w:val="000000"/>
                <w:sz w:val="22"/>
              </w:rPr>
              <w:t xml:space="preserve">Темп </w:t>
            </w:r>
            <w:r w:rsidRPr="00731FE2">
              <w:rPr>
                <w:rFonts w:ascii="Times New Roman" w:eastAsia="Times New Roman" w:hAnsi="Times New Roman" w:cs="Times New Roman"/>
                <w:b/>
                <w:color w:val="000000"/>
                <w:sz w:val="18"/>
                <w:szCs w:val="18"/>
              </w:rPr>
              <w:t>прироста</w:t>
            </w:r>
            <w:r w:rsidRPr="00731FE2">
              <w:rPr>
                <w:rFonts w:ascii="Times New Roman" w:eastAsia="Times New Roman" w:hAnsi="Times New Roman" w:cs="Times New Roman"/>
                <w:b/>
                <w:color w:val="000000"/>
                <w:sz w:val="22"/>
              </w:rPr>
              <w:t xml:space="preserve"> 2034 к 2023, %</w:t>
            </w:r>
          </w:p>
        </w:tc>
        <w:tc>
          <w:tcPr>
            <w:tcW w:w="1136" w:type="dxa"/>
            <w:vAlign w:val="center"/>
          </w:tcPr>
          <w:p w14:paraId="773B095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Cs w:val="24"/>
              </w:rPr>
            </w:pPr>
            <w:r w:rsidRPr="00731FE2">
              <w:rPr>
                <w:rFonts w:ascii="Times New Roman" w:eastAsia="Times New Roman" w:hAnsi="Times New Roman" w:cs="Times New Roman"/>
                <w:b/>
                <w:color w:val="000000"/>
                <w:sz w:val="22"/>
              </w:rPr>
              <w:t xml:space="preserve">Темп </w:t>
            </w:r>
            <w:r w:rsidRPr="00731FE2">
              <w:rPr>
                <w:rFonts w:ascii="Times New Roman" w:eastAsia="Times New Roman" w:hAnsi="Times New Roman" w:cs="Times New Roman"/>
                <w:b/>
                <w:color w:val="000000"/>
                <w:sz w:val="18"/>
                <w:szCs w:val="18"/>
              </w:rPr>
              <w:t>прироста</w:t>
            </w:r>
            <w:r w:rsidRPr="00731FE2">
              <w:rPr>
                <w:rFonts w:ascii="Times New Roman" w:eastAsia="Times New Roman" w:hAnsi="Times New Roman" w:cs="Times New Roman"/>
                <w:b/>
                <w:color w:val="000000"/>
                <w:sz w:val="20"/>
                <w:szCs w:val="20"/>
              </w:rPr>
              <w:t xml:space="preserve"> </w:t>
            </w:r>
            <w:r w:rsidRPr="00731FE2">
              <w:rPr>
                <w:rFonts w:ascii="Times New Roman" w:eastAsia="Times New Roman" w:hAnsi="Times New Roman" w:cs="Times New Roman"/>
                <w:b/>
                <w:color w:val="000000"/>
                <w:sz w:val="22"/>
              </w:rPr>
              <w:t>2044 к 2023, %</w:t>
            </w:r>
          </w:p>
        </w:tc>
      </w:tr>
      <w:tr w:rsidR="00171AA8" w:rsidRPr="00731FE2" w14:paraId="0C931174" w14:textId="77777777">
        <w:trPr>
          <w:trHeight w:val="437"/>
        </w:trPr>
        <w:tc>
          <w:tcPr>
            <w:tcW w:w="2126" w:type="dxa"/>
            <w:vAlign w:val="center"/>
          </w:tcPr>
          <w:p w14:paraId="16D40D1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szCs w:val="24"/>
              </w:rPr>
            </w:pPr>
            <w:r w:rsidRPr="00731FE2">
              <w:rPr>
                <w:rFonts w:ascii="Times New Roman" w:eastAsia="Times New Roman" w:hAnsi="Times New Roman" w:cs="Times New Roman"/>
                <w:color w:val="000000"/>
                <w:sz w:val="22"/>
              </w:rPr>
              <w:t>по целевому сценарию, тыс. чел.</w:t>
            </w:r>
          </w:p>
        </w:tc>
        <w:tc>
          <w:tcPr>
            <w:tcW w:w="850" w:type="dxa"/>
            <w:noWrap/>
            <w:vAlign w:val="center"/>
          </w:tcPr>
          <w:p w14:paraId="60080C1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 w:val="22"/>
              </w:rPr>
              <w:t>133,9</w:t>
            </w:r>
          </w:p>
        </w:tc>
        <w:tc>
          <w:tcPr>
            <w:tcW w:w="850" w:type="dxa"/>
            <w:noWrap/>
            <w:vAlign w:val="center"/>
          </w:tcPr>
          <w:p w14:paraId="2FC5BB0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 w:val="22"/>
              </w:rPr>
              <w:t>134,2</w:t>
            </w:r>
          </w:p>
        </w:tc>
        <w:tc>
          <w:tcPr>
            <w:tcW w:w="850" w:type="dxa"/>
            <w:noWrap/>
            <w:vAlign w:val="center"/>
          </w:tcPr>
          <w:p w14:paraId="4FA4FD7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 w:val="22"/>
              </w:rPr>
              <w:t>136,0</w:t>
            </w:r>
          </w:p>
        </w:tc>
        <w:tc>
          <w:tcPr>
            <w:tcW w:w="850" w:type="dxa"/>
            <w:noWrap/>
            <w:vAlign w:val="center"/>
          </w:tcPr>
          <w:p w14:paraId="079CBD1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 w:val="22"/>
              </w:rPr>
              <w:t>139,1</w:t>
            </w:r>
          </w:p>
        </w:tc>
        <w:tc>
          <w:tcPr>
            <w:tcW w:w="850" w:type="dxa"/>
            <w:noWrap/>
            <w:vAlign w:val="center"/>
          </w:tcPr>
          <w:p w14:paraId="230EBC5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 w:val="22"/>
              </w:rPr>
              <w:t>143,2</w:t>
            </w:r>
          </w:p>
        </w:tc>
        <w:tc>
          <w:tcPr>
            <w:tcW w:w="850" w:type="dxa"/>
            <w:noWrap/>
            <w:vAlign w:val="center"/>
          </w:tcPr>
          <w:p w14:paraId="075B92F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 w:val="22"/>
              </w:rPr>
              <w:t>148,1</w:t>
            </w:r>
          </w:p>
        </w:tc>
        <w:tc>
          <w:tcPr>
            <w:tcW w:w="992" w:type="dxa"/>
            <w:noWrap/>
            <w:vAlign w:val="center"/>
          </w:tcPr>
          <w:p w14:paraId="5F23081E" w14:textId="77777777" w:rsidR="00171AA8" w:rsidRPr="00731FE2" w:rsidRDefault="007935AB">
            <w:pPr>
              <w:pBdr>
                <w:top w:val="none" w:sz="4" w:space="0" w:color="000000"/>
                <w:left w:val="none" w:sz="4" w:space="0" w:color="000000"/>
                <w:bottom w:val="none" w:sz="4" w:space="0" w:color="000000"/>
                <w:right w:val="none" w:sz="4" w:space="0" w:color="000000"/>
              </w:pBdr>
              <w:tabs>
                <w:tab w:val="center" w:pos="504"/>
              </w:tabs>
              <w:ind w:firstLine="0"/>
              <w:jc w:val="cente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 w:val="22"/>
              </w:rPr>
              <w:t>1,6</w:t>
            </w:r>
          </w:p>
        </w:tc>
        <w:tc>
          <w:tcPr>
            <w:tcW w:w="1136" w:type="dxa"/>
            <w:noWrap/>
            <w:vAlign w:val="center"/>
          </w:tcPr>
          <w:p w14:paraId="5DFB4BA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 w:val="22"/>
              </w:rPr>
              <w:t>7,0</w:t>
            </w:r>
          </w:p>
        </w:tc>
      </w:tr>
      <w:tr w:rsidR="00171AA8" w:rsidRPr="00731FE2" w14:paraId="7A5EAC72" w14:textId="77777777">
        <w:trPr>
          <w:trHeight w:val="288"/>
        </w:trPr>
        <w:tc>
          <w:tcPr>
            <w:tcW w:w="2126" w:type="dxa"/>
            <w:vAlign w:val="center"/>
          </w:tcPr>
          <w:p w14:paraId="01114E4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szCs w:val="24"/>
              </w:rPr>
            </w:pPr>
            <w:r w:rsidRPr="00731FE2">
              <w:rPr>
                <w:rFonts w:ascii="Times New Roman" w:eastAsia="Times New Roman" w:hAnsi="Times New Roman" w:cs="Times New Roman"/>
                <w:color w:val="000000"/>
                <w:sz w:val="22"/>
              </w:rPr>
              <w:t>по инерционному варианту, тыс. чел.</w:t>
            </w:r>
          </w:p>
        </w:tc>
        <w:tc>
          <w:tcPr>
            <w:tcW w:w="850" w:type="dxa"/>
            <w:noWrap/>
            <w:vAlign w:val="center"/>
          </w:tcPr>
          <w:p w14:paraId="0FF5E4E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 w:val="22"/>
              </w:rPr>
              <w:t>133,9</w:t>
            </w:r>
          </w:p>
        </w:tc>
        <w:tc>
          <w:tcPr>
            <w:tcW w:w="850" w:type="dxa"/>
            <w:noWrap/>
            <w:vAlign w:val="center"/>
          </w:tcPr>
          <w:p w14:paraId="675B07D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 w:val="22"/>
              </w:rPr>
              <w:t>132,9</w:t>
            </w:r>
          </w:p>
        </w:tc>
        <w:tc>
          <w:tcPr>
            <w:tcW w:w="850" w:type="dxa"/>
            <w:noWrap/>
            <w:vAlign w:val="center"/>
          </w:tcPr>
          <w:p w14:paraId="2A49E3D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 w:val="22"/>
              </w:rPr>
              <w:t>132,7</w:t>
            </w:r>
          </w:p>
        </w:tc>
        <w:tc>
          <w:tcPr>
            <w:tcW w:w="850" w:type="dxa"/>
            <w:noWrap/>
            <w:vAlign w:val="center"/>
          </w:tcPr>
          <w:p w14:paraId="6FB5BD5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 w:val="22"/>
              </w:rPr>
              <w:t>133,6</w:t>
            </w:r>
          </w:p>
        </w:tc>
        <w:tc>
          <w:tcPr>
            <w:tcW w:w="850" w:type="dxa"/>
            <w:noWrap/>
            <w:vAlign w:val="center"/>
          </w:tcPr>
          <w:p w14:paraId="2A2E7CF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 w:val="22"/>
              </w:rPr>
              <w:t>135,1</w:t>
            </w:r>
          </w:p>
        </w:tc>
        <w:tc>
          <w:tcPr>
            <w:tcW w:w="850" w:type="dxa"/>
            <w:noWrap/>
            <w:vAlign w:val="center"/>
          </w:tcPr>
          <w:p w14:paraId="547CE40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 w:val="22"/>
              </w:rPr>
              <w:t>137,0</w:t>
            </w:r>
          </w:p>
        </w:tc>
        <w:tc>
          <w:tcPr>
            <w:tcW w:w="992" w:type="dxa"/>
            <w:noWrap/>
            <w:vAlign w:val="center"/>
          </w:tcPr>
          <w:p w14:paraId="5644A14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 w:val="22"/>
              </w:rPr>
              <w:t>-0,9</w:t>
            </w:r>
          </w:p>
        </w:tc>
        <w:tc>
          <w:tcPr>
            <w:tcW w:w="1136" w:type="dxa"/>
            <w:noWrap/>
            <w:vAlign w:val="center"/>
          </w:tcPr>
          <w:p w14:paraId="21EC1E9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 w:val="22"/>
              </w:rPr>
              <w:t>0,9</w:t>
            </w:r>
          </w:p>
        </w:tc>
      </w:tr>
      <w:tr w:rsidR="00171AA8" w:rsidRPr="00731FE2" w14:paraId="32F750DA" w14:textId="77777777">
        <w:trPr>
          <w:trHeight w:val="288"/>
        </w:trPr>
        <w:tc>
          <w:tcPr>
            <w:tcW w:w="2126" w:type="dxa"/>
            <w:vAlign w:val="center"/>
          </w:tcPr>
          <w:p w14:paraId="1D0A7B9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szCs w:val="24"/>
              </w:rPr>
            </w:pPr>
            <w:r w:rsidRPr="00731FE2">
              <w:rPr>
                <w:rFonts w:ascii="Times New Roman" w:eastAsia="Times New Roman" w:hAnsi="Times New Roman" w:cs="Times New Roman"/>
                <w:color w:val="000000"/>
                <w:sz w:val="22"/>
              </w:rPr>
              <w:t>по пессимистическому сценарию, тыс. чел.</w:t>
            </w:r>
          </w:p>
        </w:tc>
        <w:tc>
          <w:tcPr>
            <w:tcW w:w="850" w:type="dxa"/>
            <w:noWrap/>
            <w:vAlign w:val="center"/>
          </w:tcPr>
          <w:p w14:paraId="3634122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 w:val="22"/>
              </w:rPr>
              <w:t>133,9</w:t>
            </w:r>
          </w:p>
        </w:tc>
        <w:tc>
          <w:tcPr>
            <w:tcW w:w="850" w:type="dxa"/>
            <w:noWrap/>
            <w:vAlign w:val="center"/>
          </w:tcPr>
          <w:p w14:paraId="06A9CBF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 w:val="22"/>
              </w:rPr>
              <w:t>131,2</w:t>
            </w:r>
          </w:p>
        </w:tc>
        <w:tc>
          <w:tcPr>
            <w:tcW w:w="850" w:type="dxa"/>
            <w:noWrap/>
            <w:vAlign w:val="center"/>
          </w:tcPr>
          <w:p w14:paraId="3B01D1F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 w:val="22"/>
              </w:rPr>
              <w:t>128,2</w:t>
            </w:r>
          </w:p>
        </w:tc>
        <w:tc>
          <w:tcPr>
            <w:tcW w:w="850" w:type="dxa"/>
            <w:noWrap/>
            <w:vAlign w:val="center"/>
          </w:tcPr>
          <w:p w14:paraId="4FE0BC6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 w:val="22"/>
              </w:rPr>
              <w:t>125,4</w:t>
            </w:r>
          </w:p>
        </w:tc>
        <w:tc>
          <w:tcPr>
            <w:tcW w:w="850" w:type="dxa"/>
            <w:noWrap/>
            <w:vAlign w:val="center"/>
          </w:tcPr>
          <w:p w14:paraId="7BA8CD2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 w:val="22"/>
              </w:rPr>
              <w:t>123,1</w:t>
            </w:r>
          </w:p>
        </w:tc>
        <w:tc>
          <w:tcPr>
            <w:tcW w:w="850" w:type="dxa"/>
            <w:noWrap/>
            <w:vAlign w:val="center"/>
          </w:tcPr>
          <w:p w14:paraId="15D3362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 w:val="22"/>
              </w:rPr>
              <w:t>121,4</w:t>
            </w:r>
          </w:p>
        </w:tc>
        <w:tc>
          <w:tcPr>
            <w:tcW w:w="992" w:type="dxa"/>
            <w:noWrap/>
            <w:vAlign w:val="center"/>
          </w:tcPr>
          <w:p w14:paraId="62D20A2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 w:val="22"/>
              </w:rPr>
              <w:t>-4,3</w:t>
            </w:r>
          </w:p>
        </w:tc>
        <w:tc>
          <w:tcPr>
            <w:tcW w:w="1136" w:type="dxa"/>
            <w:noWrap/>
            <w:vAlign w:val="center"/>
          </w:tcPr>
          <w:p w14:paraId="2EDB6D2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 w:val="22"/>
              </w:rPr>
              <w:t>-8,1</w:t>
            </w:r>
          </w:p>
        </w:tc>
      </w:tr>
    </w:tbl>
    <w:p w14:paraId="54E5934F" w14:textId="77777777" w:rsidR="00171AA8" w:rsidRPr="00731FE2" w:rsidRDefault="00171AA8">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szCs w:val="24"/>
        </w:rPr>
      </w:pPr>
    </w:p>
    <w:p w14:paraId="06512EEB"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rPr>
        <w:t xml:space="preserve">Согласно целевому сценарию на первую очередь прогнозирования численность к 2034 г. увеличится на 2113 чел. В предыдущие 10 лет (с 2013 по 2023 г.) наблюдался спад на 4558 чел. В перспективе численность населения и </w:t>
      </w:r>
      <w:r w:rsidR="00A4523A" w:rsidRPr="00731FE2">
        <w:rPr>
          <w:rFonts w:ascii="Times New Roman" w:eastAsia="Times New Roman" w:hAnsi="Times New Roman" w:cs="Times New Roman"/>
          <w:color w:val="000000"/>
        </w:rPr>
        <w:t>достигнет,</w:t>
      </w:r>
      <w:r w:rsidRPr="00731FE2">
        <w:rPr>
          <w:rFonts w:ascii="Times New Roman" w:eastAsia="Times New Roman" w:hAnsi="Times New Roman" w:cs="Times New Roman"/>
          <w:color w:val="000000"/>
        </w:rPr>
        <w:t xml:space="preserve"> и превзойдет показатель 2010 года (135,4 тыс. чел.). Такая динамика возможна </w:t>
      </w:r>
      <w:proofErr w:type="gramStart"/>
      <w:r w:rsidRPr="00731FE2">
        <w:rPr>
          <w:rFonts w:ascii="Times New Roman" w:eastAsia="Times New Roman" w:hAnsi="Times New Roman" w:cs="Times New Roman"/>
          <w:color w:val="000000"/>
        </w:rPr>
        <w:t>при</w:t>
      </w:r>
      <w:proofErr w:type="gramEnd"/>
      <w:r w:rsidRPr="00731FE2">
        <w:rPr>
          <w:rFonts w:ascii="Times New Roman" w:eastAsia="Times New Roman" w:hAnsi="Times New Roman" w:cs="Times New Roman"/>
          <w:color w:val="000000"/>
        </w:rPr>
        <w:t xml:space="preserve"> </w:t>
      </w:r>
      <w:proofErr w:type="gramStart"/>
      <w:r w:rsidRPr="00731FE2">
        <w:rPr>
          <w:rFonts w:ascii="Times New Roman" w:eastAsia="Times New Roman" w:hAnsi="Times New Roman" w:cs="Times New Roman"/>
          <w:color w:val="000000"/>
        </w:rPr>
        <w:t>улучшения</w:t>
      </w:r>
      <w:proofErr w:type="gramEnd"/>
      <w:r w:rsidRPr="00731FE2">
        <w:rPr>
          <w:rFonts w:ascii="Times New Roman" w:eastAsia="Times New Roman" w:hAnsi="Times New Roman" w:cs="Times New Roman"/>
          <w:color w:val="000000"/>
        </w:rPr>
        <w:t xml:space="preserve"> текущей демографической ситуации, которая зависит от рождаемости, смертности, естественного и миграционного движения населения. </w:t>
      </w:r>
    </w:p>
    <w:p w14:paraId="7381B274" w14:textId="77777777" w:rsidR="00171AA8" w:rsidRPr="00731FE2" w:rsidRDefault="007935AB" w:rsidP="0058161E">
      <w:pPr>
        <w:pBdr>
          <w:top w:val="none" w:sz="4" w:space="0" w:color="000000"/>
          <w:left w:val="none" w:sz="4" w:space="0" w:color="000000"/>
          <w:bottom w:val="none" w:sz="4" w:space="0" w:color="000000"/>
          <w:right w:val="none" w:sz="4" w:space="0" w:color="000000"/>
        </w:pBdr>
        <w:spacing w:line="240" w:lineRule="auto"/>
        <w:ind w:firstLine="0"/>
        <w:rPr>
          <w:szCs w:val="24"/>
        </w:rPr>
      </w:pPr>
      <w:r w:rsidRPr="00731FE2">
        <w:rPr>
          <w:rFonts w:ascii="Times New Roman" w:hAnsi="Times New Roman" w:cs="Times New Roman"/>
          <w:b/>
          <w:bCs/>
          <w:color w:val="000000" w:themeColor="text1"/>
          <w:szCs w:val="24"/>
        </w:rPr>
        <w:t xml:space="preserve">Таблица </w:t>
      </w:r>
      <w:r w:rsidRPr="00731FE2">
        <w:rPr>
          <w:rFonts w:ascii="Times New Roman" w:hAnsi="Times New Roman" w:cs="Times New Roman"/>
          <w:b/>
          <w:bCs/>
          <w:color w:val="000000" w:themeColor="text1"/>
          <w:szCs w:val="24"/>
        </w:rPr>
        <w:fldChar w:fldCharType="begin"/>
      </w:r>
      <w:r w:rsidRPr="00731FE2">
        <w:rPr>
          <w:rFonts w:ascii="Times New Roman" w:hAnsi="Times New Roman" w:cs="Times New Roman"/>
          <w:b/>
          <w:bCs/>
          <w:color w:val="000000" w:themeColor="text1"/>
          <w:szCs w:val="24"/>
        </w:rPr>
        <w:instrText xml:space="preserve"> SEQ Таблица \* Arabic </w:instrText>
      </w:r>
      <w:r w:rsidRPr="00731FE2">
        <w:rPr>
          <w:rFonts w:ascii="Times New Roman" w:hAnsi="Times New Roman" w:cs="Times New Roman"/>
          <w:b/>
          <w:bCs/>
          <w:color w:val="000000" w:themeColor="text1"/>
          <w:szCs w:val="24"/>
        </w:rPr>
        <w:fldChar w:fldCharType="separate"/>
      </w:r>
      <w:r w:rsidR="00C50915" w:rsidRPr="00731FE2">
        <w:rPr>
          <w:rFonts w:ascii="Times New Roman" w:hAnsi="Times New Roman" w:cs="Times New Roman"/>
          <w:b/>
          <w:bCs/>
          <w:noProof/>
          <w:color w:val="000000" w:themeColor="text1"/>
          <w:szCs w:val="24"/>
        </w:rPr>
        <w:t>61</w:t>
      </w:r>
      <w:r w:rsidRPr="00731FE2">
        <w:rPr>
          <w:rFonts w:ascii="Times New Roman" w:hAnsi="Times New Roman" w:cs="Times New Roman"/>
          <w:b/>
          <w:bCs/>
          <w:color w:val="000000" w:themeColor="text1"/>
          <w:szCs w:val="24"/>
        </w:rPr>
        <w:fldChar w:fldCharType="end"/>
      </w:r>
      <w:r w:rsidRPr="00731FE2">
        <w:rPr>
          <w:rFonts w:ascii="Times New Roman" w:hAnsi="Times New Roman" w:cs="Times New Roman"/>
          <w:b/>
          <w:bCs/>
          <w:color w:val="000000" w:themeColor="text1"/>
          <w:szCs w:val="24"/>
        </w:rPr>
        <w:t xml:space="preserve"> – Прогнозная оценка среднегодовой дина</w:t>
      </w:r>
      <w:r w:rsidR="0058161E" w:rsidRPr="00731FE2">
        <w:rPr>
          <w:rFonts w:ascii="Times New Roman" w:hAnsi="Times New Roman" w:cs="Times New Roman"/>
          <w:b/>
          <w:bCs/>
          <w:color w:val="000000" w:themeColor="text1"/>
          <w:szCs w:val="24"/>
        </w:rPr>
        <w:t>мики рождаемости и смертности в</w:t>
      </w:r>
      <w:r w:rsidRPr="00731FE2">
        <w:rPr>
          <w:rFonts w:ascii="Times New Roman" w:hAnsi="Times New Roman" w:cs="Times New Roman"/>
          <w:b/>
          <w:bCs/>
          <w:color w:val="000000" w:themeColor="text1"/>
          <w:szCs w:val="24"/>
        </w:rPr>
        <w:t xml:space="preserve"> городском округе городе-курорте Кисловодске</w:t>
      </w:r>
      <w:r w:rsidRPr="00731FE2">
        <w:rPr>
          <w:rFonts w:ascii="Times New Roman" w:eastAsia="Times New Roman" w:hAnsi="Times New Roman" w:cs="Times New Roman"/>
          <w:b/>
          <w:color w:val="000000"/>
          <w:szCs w:val="24"/>
        </w:rPr>
        <w:t xml:space="preserve"> по целевому прогнозу на период 2023 – 2044 гг. </w:t>
      </w:r>
    </w:p>
    <w:tbl>
      <w:tblPr>
        <w:tblStyle w:val="TableGridReport1"/>
        <w:tblW w:w="0" w:type="auto"/>
        <w:tblLook w:val="04A0" w:firstRow="1" w:lastRow="0" w:firstColumn="1" w:lastColumn="0" w:noHBand="0" w:noVBand="1"/>
      </w:tblPr>
      <w:tblGrid>
        <w:gridCol w:w="3709"/>
        <w:gridCol w:w="1035"/>
        <w:gridCol w:w="1175"/>
        <w:gridCol w:w="1175"/>
        <w:gridCol w:w="1236"/>
        <w:gridCol w:w="1024"/>
      </w:tblGrid>
      <w:tr w:rsidR="00171AA8" w:rsidRPr="00731FE2" w14:paraId="318515C9" w14:textId="77777777">
        <w:trPr>
          <w:trHeight w:val="78"/>
        </w:trPr>
        <w:tc>
          <w:tcPr>
            <w:tcW w:w="3709" w:type="dxa"/>
            <w:noWrap/>
            <w:vAlign w:val="center"/>
          </w:tcPr>
          <w:p w14:paraId="51A7F81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b/>
                <w:color w:val="000000"/>
                <w:sz w:val="22"/>
              </w:rPr>
              <w:t>Показатель</w:t>
            </w:r>
          </w:p>
        </w:tc>
        <w:tc>
          <w:tcPr>
            <w:tcW w:w="1035" w:type="dxa"/>
            <w:noWrap/>
            <w:vAlign w:val="center"/>
          </w:tcPr>
          <w:p w14:paraId="33E640A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b/>
                <w:color w:val="000000"/>
                <w:sz w:val="22"/>
              </w:rPr>
              <w:t>2023</w:t>
            </w:r>
          </w:p>
        </w:tc>
        <w:tc>
          <w:tcPr>
            <w:tcW w:w="1175" w:type="dxa"/>
            <w:noWrap/>
            <w:vAlign w:val="center"/>
          </w:tcPr>
          <w:p w14:paraId="234A675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b/>
                <w:color w:val="000000"/>
                <w:sz w:val="22"/>
              </w:rPr>
              <w:t>2029</w:t>
            </w:r>
          </w:p>
        </w:tc>
        <w:tc>
          <w:tcPr>
            <w:tcW w:w="1175" w:type="dxa"/>
            <w:noWrap/>
            <w:vAlign w:val="center"/>
          </w:tcPr>
          <w:p w14:paraId="786C0C7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b/>
                <w:color w:val="000000"/>
                <w:sz w:val="22"/>
              </w:rPr>
              <w:t>2034</w:t>
            </w:r>
          </w:p>
        </w:tc>
        <w:tc>
          <w:tcPr>
            <w:tcW w:w="1236" w:type="dxa"/>
            <w:noWrap/>
            <w:vAlign w:val="center"/>
          </w:tcPr>
          <w:p w14:paraId="6426F51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b/>
                <w:color w:val="000000"/>
                <w:sz w:val="22"/>
              </w:rPr>
              <w:t>2039</w:t>
            </w:r>
          </w:p>
        </w:tc>
        <w:tc>
          <w:tcPr>
            <w:tcW w:w="1024" w:type="dxa"/>
            <w:noWrap/>
            <w:vAlign w:val="center"/>
          </w:tcPr>
          <w:p w14:paraId="4596494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b/>
                <w:color w:val="000000"/>
                <w:sz w:val="22"/>
              </w:rPr>
              <w:t>2044</w:t>
            </w:r>
          </w:p>
        </w:tc>
      </w:tr>
      <w:tr w:rsidR="00171AA8" w:rsidRPr="00731FE2" w14:paraId="333310A3" w14:textId="77777777">
        <w:trPr>
          <w:trHeight w:val="58"/>
        </w:trPr>
        <w:tc>
          <w:tcPr>
            <w:tcW w:w="3709" w:type="dxa"/>
            <w:vAlign w:val="center"/>
          </w:tcPr>
          <w:p w14:paraId="59A18B52" w14:textId="77777777" w:rsidR="00171AA8" w:rsidRPr="00731FE2" w:rsidRDefault="007935AB">
            <w:pPr>
              <w:pBdr>
                <w:top w:val="none" w:sz="4" w:space="0" w:color="000000"/>
                <w:left w:val="none" w:sz="4" w:space="0" w:color="000000"/>
                <w:bottom w:val="none" w:sz="4" w:space="0" w:color="000000"/>
                <w:right w:val="none" w:sz="4" w:space="0" w:color="000000"/>
              </w:pBdr>
              <w:ind w:firstLine="0"/>
            </w:pPr>
            <w:r w:rsidRPr="00731FE2">
              <w:rPr>
                <w:rFonts w:ascii="Times New Roman" w:eastAsia="Times New Roman" w:hAnsi="Times New Roman" w:cs="Times New Roman"/>
                <w:color w:val="000000"/>
                <w:sz w:val="22"/>
              </w:rPr>
              <w:t>Число родившихся, чел.</w:t>
            </w:r>
          </w:p>
        </w:tc>
        <w:tc>
          <w:tcPr>
            <w:tcW w:w="1035" w:type="dxa"/>
            <w:noWrap/>
            <w:vAlign w:val="center"/>
          </w:tcPr>
          <w:p w14:paraId="256AB7A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1290</w:t>
            </w:r>
          </w:p>
        </w:tc>
        <w:tc>
          <w:tcPr>
            <w:tcW w:w="1175" w:type="dxa"/>
            <w:noWrap/>
            <w:vAlign w:val="center"/>
          </w:tcPr>
          <w:p w14:paraId="0A1587D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1186</w:t>
            </w:r>
          </w:p>
        </w:tc>
        <w:tc>
          <w:tcPr>
            <w:tcW w:w="1175" w:type="dxa"/>
            <w:noWrap/>
            <w:vAlign w:val="center"/>
          </w:tcPr>
          <w:p w14:paraId="7708558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1179</w:t>
            </w:r>
          </w:p>
        </w:tc>
        <w:tc>
          <w:tcPr>
            <w:tcW w:w="1236" w:type="dxa"/>
            <w:noWrap/>
            <w:vAlign w:val="center"/>
          </w:tcPr>
          <w:p w14:paraId="15C739B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1205</w:t>
            </w:r>
          </w:p>
        </w:tc>
        <w:tc>
          <w:tcPr>
            <w:tcW w:w="1024" w:type="dxa"/>
            <w:noWrap/>
            <w:vAlign w:val="center"/>
          </w:tcPr>
          <w:p w14:paraId="16FE41E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1225</w:t>
            </w:r>
          </w:p>
        </w:tc>
      </w:tr>
      <w:tr w:rsidR="00171AA8" w:rsidRPr="00731FE2" w14:paraId="232A988D" w14:textId="77777777">
        <w:trPr>
          <w:trHeight w:val="58"/>
        </w:trPr>
        <w:tc>
          <w:tcPr>
            <w:tcW w:w="3709" w:type="dxa"/>
            <w:vAlign w:val="center"/>
          </w:tcPr>
          <w:p w14:paraId="49120F43" w14:textId="77777777" w:rsidR="00171AA8" w:rsidRPr="00731FE2" w:rsidRDefault="007935AB">
            <w:pPr>
              <w:pBdr>
                <w:top w:val="none" w:sz="4" w:space="0" w:color="000000"/>
                <w:left w:val="none" w:sz="4" w:space="0" w:color="000000"/>
                <w:bottom w:val="none" w:sz="4" w:space="0" w:color="000000"/>
                <w:right w:val="none" w:sz="4" w:space="0" w:color="000000"/>
              </w:pBdr>
              <w:ind w:firstLine="0"/>
            </w:pPr>
            <w:r w:rsidRPr="00731FE2">
              <w:rPr>
                <w:rFonts w:ascii="Times New Roman" w:eastAsia="Times New Roman" w:hAnsi="Times New Roman" w:cs="Times New Roman"/>
                <w:color w:val="000000"/>
                <w:sz w:val="22"/>
              </w:rPr>
              <w:t>Число умерших, чел.</w:t>
            </w:r>
          </w:p>
        </w:tc>
        <w:tc>
          <w:tcPr>
            <w:tcW w:w="1035" w:type="dxa"/>
            <w:noWrap/>
            <w:vAlign w:val="center"/>
          </w:tcPr>
          <w:p w14:paraId="54E0533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1263</w:t>
            </w:r>
          </w:p>
        </w:tc>
        <w:tc>
          <w:tcPr>
            <w:tcW w:w="1175" w:type="dxa"/>
            <w:noWrap/>
            <w:vAlign w:val="center"/>
          </w:tcPr>
          <w:p w14:paraId="3CE4F83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1223</w:t>
            </w:r>
          </w:p>
        </w:tc>
        <w:tc>
          <w:tcPr>
            <w:tcW w:w="1175" w:type="dxa"/>
            <w:noWrap/>
            <w:vAlign w:val="center"/>
          </w:tcPr>
          <w:p w14:paraId="371409C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1244</w:t>
            </w:r>
          </w:p>
        </w:tc>
        <w:tc>
          <w:tcPr>
            <w:tcW w:w="1236" w:type="dxa"/>
            <w:noWrap/>
            <w:vAlign w:val="center"/>
          </w:tcPr>
          <w:p w14:paraId="16C844C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1229</w:t>
            </w:r>
          </w:p>
        </w:tc>
        <w:tc>
          <w:tcPr>
            <w:tcW w:w="1024" w:type="dxa"/>
            <w:noWrap/>
            <w:vAlign w:val="center"/>
          </w:tcPr>
          <w:p w14:paraId="1C0266B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1204</w:t>
            </w:r>
          </w:p>
        </w:tc>
      </w:tr>
      <w:tr w:rsidR="00171AA8" w:rsidRPr="00731FE2" w14:paraId="13EFAF22" w14:textId="77777777">
        <w:trPr>
          <w:trHeight w:val="58"/>
        </w:trPr>
        <w:tc>
          <w:tcPr>
            <w:tcW w:w="3709" w:type="dxa"/>
            <w:vAlign w:val="center"/>
          </w:tcPr>
          <w:p w14:paraId="342B238D" w14:textId="77777777" w:rsidR="00171AA8" w:rsidRPr="00731FE2" w:rsidRDefault="007935AB">
            <w:pPr>
              <w:pBdr>
                <w:top w:val="none" w:sz="4" w:space="0" w:color="000000"/>
                <w:left w:val="none" w:sz="4" w:space="0" w:color="000000"/>
                <w:bottom w:val="none" w:sz="4" w:space="0" w:color="000000"/>
                <w:right w:val="none" w:sz="4" w:space="0" w:color="000000"/>
              </w:pBdr>
              <w:ind w:firstLine="0"/>
            </w:pPr>
            <w:r w:rsidRPr="00731FE2">
              <w:rPr>
                <w:rFonts w:ascii="Times New Roman" w:eastAsia="Times New Roman" w:hAnsi="Times New Roman" w:cs="Times New Roman"/>
                <w:color w:val="000000"/>
                <w:sz w:val="22"/>
              </w:rPr>
              <w:t>Естественный прирост (убыль), чел.</w:t>
            </w:r>
          </w:p>
        </w:tc>
        <w:tc>
          <w:tcPr>
            <w:tcW w:w="1035" w:type="dxa"/>
            <w:noWrap/>
            <w:vAlign w:val="center"/>
          </w:tcPr>
          <w:p w14:paraId="75FFB94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27</w:t>
            </w:r>
          </w:p>
        </w:tc>
        <w:tc>
          <w:tcPr>
            <w:tcW w:w="1175" w:type="dxa"/>
            <w:noWrap/>
            <w:vAlign w:val="center"/>
          </w:tcPr>
          <w:p w14:paraId="6E72D51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-37</w:t>
            </w:r>
          </w:p>
        </w:tc>
        <w:tc>
          <w:tcPr>
            <w:tcW w:w="1175" w:type="dxa"/>
            <w:noWrap/>
            <w:vAlign w:val="center"/>
          </w:tcPr>
          <w:p w14:paraId="4664E11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-64</w:t>
            </w:r>
          </w:p>
        </w:tc>
        <w:tc>
          <w:tcPr>
            <w:tcW w:w="1236" w:type="dxa"/>
            <w:noWrap/>
            <w:vAlign w:val="center"/>
          </w:tcPr>
          <w:p w14:paraId="271C093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-24</w:t>
            </w:r>
          </w:p>
        </w:tc>
        <w:tc>
          <w:tcPr>
            <w:tcW w:w="1024" w:type="dxa"/>
            <w:noWrap/>
            <w:vAlign w:val="center"/>
          </w:tcPr>
          <w:p w14:paraId="799994D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21</w:t>
            </w:r>
          </w:p>
        </w:tc>
      </w:tr>
      <w:tr w:rsidR="00171AA8" w:rsidRPr="00731FE2" w14:paraId="53FF423E" w14:textId="77777777">
        <w:trPr>
          <w:trHeight w:val="58"/>
        </w:trPr>
        <w:tc>
          <w:tcPr>
            <w:tcW w:w="3709" w:type="dxa"/>
            <w:vAlign w:val="center"/>
          </w:tcPr>
          <w:p w14:paraId="6D1E79A6" w14:textId="77777777" w:rsidR="00171AA8" w:rsidRPr="00731FE2" w:rsidRDefault="007935AB">
            <w:pPr>
              <w:pBdr>
                <w:top w:val="none" w:sz="4" w:space="0" w:color="000000"/>
                <w:left w:val="none" w:sz="4" w:space="0" w:color="000000"/>
                <w:bottom w:val="none" w:sz="4" w:space="0" w:color="000000"/>
                <w:right w:val="none" w:sz="4" w:space="0" w:color="000000"/>
              </w:pBdr>
              <w:ind w:firstLine="0"/>
            </w:pPr>
            <w:r w:rsidRPr="00731FE2">
              <w:rPr>
                <w:rFonts w:ascii="Times New Roman" w:eastAsia="Times New Roman" w:hAnsi="Times New Roman" w:cs="Times New Roman"/>
                <w:color w:val="000000"/>
                <w:sz w:val="22"/>
              </w:rPr>
              <w:t>Коэффициенты рождаемости, ‰</w:t>
            </w:r>
          </w:p>
        </w:tc>
        <w:tc>
          <w:tcPr>
            <w:tcW w:w="1035" w:type="dxa"/>
            <w:noWrap/>
            <w:vAlign w:val="center"/>
          </w:tcPr>
          <w:p w14:paraId="452DCE6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9,6</w:t>
            </w:r>
          </w:p>
        </w:tc>
        <w:tc>
          <w:tcPr>
            <w:tcW w:w="1175" w:type="dxa"/>
            <w:noWrap/>
            <w:vAlign w:val="center"/>
          </w:tcPr>
          <w:p w14:paraId="09539A3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8,8</w:t>
            </w:r>
          </w:p>
        </w:tc>
        <w:tc>
          <w:tcPr>
            <w:tcW w:w="1175" w:type="dxa"/>
            <w:noWrap/>
            <w:vAlign w:val="center"/>
          </w:tcPr>
          <w:p w14:paraId="674EDE5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8,7</w:t>
            </w:r>
          </w:p>
        </w:tc>
        <w:tc>
          <w:tcPr>
            <w:tcW w:w="1236" w:type="dxa"/>
            <w:noWrap/>
            <w:vAlign w:val="center"/>
          </w:tcPr>
          <w:p w14:paraId="57B433E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8,7</w:t>
            </w:r>
          </w:p>
        </w:tc>
        <w:tc>
          <w:tcPr>
            <w:tcW w:w="1024" w:type="dxa"/>
            <w:noWrap/>
            <w:vAlign w:val="center"/>
          </w:tcPr>
          <w:p w14:paraId="3736FFC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8,6</w:t>
            </w:r>
          </w:p>
        </w:tc>
      </w:tr>
      <w:tr w:rsidR="00171AA8" w:rsidRPr="00731FE2" w14:paraId="104928AC" w14:textId="77777777">
        <w:trPr>
          <w:trHeight w:val="58"/>
        </w:trPr>
        <w:tc>
          <w:tcPr>
            <w:tcW w:w="3709" w:type="dxa"/>
            <w:vAlign w:val="center"/>
          </w:tcPr>
          <w:p w14:paraId="029D3346" w14:textId="77777777" w:rsidR="00171AA8" w:rsidRPr="00731FE2" w:rsidRDefault="007935AB">
            <w:pPr>
              <w:pBdr>
                <w:top w:val="none" w:sz="4" w:space="0" w:color="000000"/>
                <w:left w:val="none" w:sz="4" w:space="0" w:color="000000"/>
                <w:bottom w:val="none" w:sz="4" w:space="0" w:color="000000"/>
                <w:right w:val="none" w:sz="4" w:space="0" w:color="000000"/>
              </w:pBdr>
              <w:ind w:firstLine="0"/>
            </w:pPr>
            <w:r w:rsidRPr="00731FE2">
              <w:rPr>
                <w:rFonts w:ascii="Times New Roman" w:eastAsia="Times New Roman" w:hAnsi="Times New Roman" w:cs="Times New Roman"/>
                <w:color w:val="000000"/>
                <w:sz w:val="22"/>
              </w:rPr>
              <w:t>Коэффициенты смертности, ‰</w:t>
            </w:r>
          </w:p>
        </w:tc>
        <w:tc>
          <w:tcPr>
            <w:tcW w:w="1035" w:type="dxa"/>
            <w:noWrap/>
            <w:vAlign w:val="center"/>
          </w:tcPr>
          <w:p w14:paraId="63C4A36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9,4</w:t>
            </w:r>
          </w:p>
        </w:tc>
        <w:tc>
          <w:tcPr>
            <w:tcW w:w="1175" w:type="dxa"/>
            <w:noWrap/>
            <w:vAlign w:val="center"/>
          </w:tcPr>
          <w:p w14:paraId="09BC746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9,1</w:t>
            </w:r>
          </w:p>
        </w:tc>
        <w:tc>
          <w:tcPr>
            <w:tcW w:w="1175" w:type="dxa"/>
            <w:noWrap/>
            <w:vAlign w:val="center"/>
          </w:tcPr>
          <w:p w14:paraId="1DC9FAF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9,1</w:t>
            </w:r>
          </w:p>
        </w:tc>
        <w:tc>
          <w:tcPr>
            <w:tcW w:w="1236" w:type="dxa"/>
            <w:noWrap/>
            <w:vAlign w:val="center"/>
          </w:tcPr>
          <w:p w14:paraId="68AEB3D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8,8</w:t>
            </w:r>
          </w:p>
        </w:tc>
        <w:tc>
          <w:tcPr>
            <w:tcW w:w="1024" w:type="dxa"/>
            <w:noWrap/>
            <w:vAlign w:val="center"/>
          </w:tcPr>
          <w:p w14:paraId="1137447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8,4</w:t>
            </w:r>
          </w:p>
        </w:tc>
      </w:tr>
      <w:tr w:rsidR="00171AA8" w:rsidRPr="00731FE2" w14:paraId="42AE8A8A" w14:textId="77777777">
        <w:trPr>
          <w:trHeight w:val="58"/>
        </w:trPr>
        <w:tc>
          <w:tcPr>
            <w:tcW w:w="3709" w:type="dxa"/>
            <w:vAlign w:val="center"/>
          </w:tcPr>
          <w:p w14:paraId="61AA19D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pPr>
            <w:r w:rsidRPr="00731FE2">
              <w:rPr>
                <w:rFonts w:ascii="Times New Roman" w:eastAsia="Times New Roman" w:hAnsi="Times New Roman" w:cs="Times New Roman"/>
                <w:color w:val="000000"/>
                <w:sz w:val="22"/>
              </w:rPr>
              <w:t>Коэффициенты естественного прироста (убыли), ‰</w:t>
            </w:r>
          </w:p>
        </w:tc>
        <w:tc>
          <w:tcPr>
            <w:tcW w:w="1035" w:type="dxa"/>
            <w:noWrap/>
            <w:vAlign w:val="center"/>
          </w:tcPr>
          <w:p w14:paraId="55AF02C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0,2</w:t>
            </w:r>
          </w:p>
        </w:tc>
        <w:tc>
          <w:tcPr>
            <w:tcW w:w="1175" w:type="dxa"/>
            <w:noWrap/>
            <w:vAlign w:val="center"/>
          </w:tcPr>
          <w:p w14:paraId="360AA82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-0,3</w:t>
            </w:r>
          </w:p>
        </w:tc>
        <w:tc>
          <w:tcPr>
            <w:tcW w:w="1175" w:type="dxa"/>
            <w:noWrap/>
            <w:vAlign w:val="center"/>
          </w:tcPr>
          <w:p w14:paraId="51E1661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-0,5</w:t>
            </w:r>
          </w:p>
        </w:tc>
        <w:tc>
          <w:tcPr>
            <w:tcW w:w="1236" w:type="dxa"/>
            <w:noWrap/>
            <w:vAlign w:val="center"/>
          </w:tcPr>
          <w:p w14:paraId="4F16413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-0,2</w:t>
            </w:r>
          </w:p>
        </w:tc>
        <w:tc>
          <w:tcPr>
            <w:tcW w:w="1024" w:type="dxa"/>
            <w:noWrap/>
            <w:vAlign w:val="center"/>
          </w:tcPr>
          <w:p w14:paraId="23D1CCE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0,1</w:t>
            </w:r>
          </w:p>
        </w:tc>
      </w:tr>
    </w:tbl>
    <w:p w14:paraId="3D05BB0E" w14:textId="77777777" w:rsidR="00171AA8" w:rsidRPr="00731FE2" w:rsidRDefault="00171AA8">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szCs w:val="24"/>
        </w:rPr>
      </w:pPr>
    </w:p>
    <w:p w14:paraId="1FE5E9A5" w14:textId="77777777" w:rsidR="00171AA8" w:rsidRPr="00731FE2" w:rsidRDefault="007935AB" w:rsidP="0058161E">
      <w:pPr>
        <w:pBdr>
          <w:top w:val="none" w:sz="4" w:space="0" w:color="000000"/>
          <w:left w:val="none" w:sz="4" w:space="0" w:color="000000"/>
          <w:bottom w:val="none" w:sz="4" w:space="0" w:color="000000"/>
          <w:right w:val="none" w:sz="4" w:space="0" w:color="000000"/>
        </w:pBdr>
        <w:spacing w:line="240" w:lineRule="auto"/>
        <w:ind w:firstLine="0"/>
        <w:rPr>
          <w:rFonts w:ascii="Times New Roman" w:eastAsia="Times New Roman" w:hAnsi="Times New Roman" w:cs="Times New Roman"/>
          <w:b/>
          <w:bCs/>
          <w:color w:val="000000"/>
          <w:szCs w:val="24"/>
        </w:rPr>
      </w:pPr>
      <w:r w:rsidRPr="00731FE2">
        <w:rPr>
          <w:rFonts w:ascii="Times New Roman" w:hAnsi="Times New Roman" w:cs="Times New Roman"/>
          <w:b/>
          <w:bCs/>
          <w:color w:val="000000" w:themeColor="text1"/>
          <w:szCs w:val="24"/>
        </w:rPr>
        <w:t xml:space="preserve">Таблица </w:t>
      </w:r>
      <w:r w:rsidRPr="00731FE2">
        <w:rPr>
          <w:rFonts w:ascii="Times New Roman" w:hAnsi="Times New Roman" w:cs="Times New Roman"/>
          <w:b/>
          <w:bCs/>
          <w:color w:val="000000" w:themeColor="text1"/>
          <w:szCs w:val="24"/>
        </w:rPr>
        <w:fldChar w:fldCharType="begin"/>
      </w:r>
      <w:r w:rsidRPr="00731FE2">
        <w:rPr>
          <w:rFonts w:ascii="Times New Roman" w:hAnsi="Times New Roman" w:cs="Times New Roman"/>
          <w:b/>
          <w:bCs/>
          <w:color w:val="000000" w:themeColor="text1"/>
          <w:szCs w:val="24"/>
        </w:rPr>
        <w:instrText xml:space="preserve"> SEQ Таблица \* Arabic </w:instrText>
      </w:r>
      <w:r w:rsidRPr="00731FE2">
        <w:rPr>
          <w:rFonts w:ascii="Times New Roman" w:hAnsi="Times New Roman" w:cs="Times New Roman"/>
          <w:b/>
          <w:bCs/>
          <w:color w:val="000000" w:themeColor="text1"/>
          <w:szCs w:val="24"/>
        </w:rPr>
        <w:fldChar w:fldCharType="separate"/>
      </w:r>
      <w:r w:rsidR="00C50915" w:rsidRPr="00731FE2">
        <w:rPr>
          <w:rFonts w:ascii="Times New Roman" w:hAnsi="Times New Roman" w:cs="Times New Roman"/>
          <w:b/>
          <w:bCs/>
          <w:noProof/>
          <w:color w:val="000000" w:themeColor="text1"/>
          <w:szCs w:val="24"/>
        </w:rPr>
        <w:t>62</w:t>
      </w:r>
      <w:r w:rsidRPr="00731FE2">
        <w:rPr>
          <w:rFonts w:ascii="Times New Roman" w:hAnsi="Times New Roman" w:cs="Times New Roman"/>
          <w:b/>
          <w:bCs/>
          <w:color w:val="000000" w:themeColor="text1"/>
          <w:szCs w:val="24"/>
        </w:rPr>
        <w:fldChar w:fldCharType="end"/>
      </w:r>
      <w:r w:rsidRPr="00731FE2">
        <w:rPr>
          <w:rFonts w:ascii="Times New Roman" w:eastAsia="Times New Roman" w:hAnsi="Times New Roman" w:cs="Times New Roman"/>
          <w:b/>
          <w:color w:val="000000"/>
          <w:szCs w:val="24"/>
        </w:rPr>
        <w:t xml:space="preserve"> – Прогнозная оценка среднегодовой динам</w:t>
      </w:r>
      <w:r w:rsidR="0058161E" w:rsidRPr="00731FE2">
        <w:rPr>
          <w:rFonts w:ascii="Times New Roman" w:eastAsia="Times New Roman" w:hAnsi="Times New Roman" w:cs="Times New Roman"/>
          <w:b/>
          <w:color w:val="000000"/>
          <w:szCs w:val="24"/>
        </w:rPr>
        <w:t xml:space="preserve">ики рождаемости и смертности в </w:t>
      </w:r>
      <w:r w:rsidRPr="00731FE2">
        <w:rPr>
          <w:rFonts w:ascii="Times New Roman" w:hAnsi="Times New Roman" w:cs="Times New Roman"/>
          <w:b/>
          <w:bCs/>
          <w:color w:val="000000" w:themeColor="text1"/>
          <w:szCs w:val="24"/>
        </w:rPr>
        <w:t>городском округе городе-курорте Кисловодске</w:t>
      </w:r>
      <w:r w:rsidRPr="00731FE2">
        <w:rPr>
          <w:rFonts w:ascii="Times New Roman" w:eastAsia="Times New Roman" w:hAnsi="Times New Roman" w:cs="Times New Roman"/>
          <w:b/>
          <w:color w:val="000000"/>
          <w:szCs w:val="24"/>
        </w:rPr>
        <w:t xml:space="preserve"> по инерционному прогнозу на период 2023 – 2044 гг. </w:t>
      </w:r>
    </w:p>
    <w:tbl>
      <w:tblPr>
        <w:tblStyle w:val="TableGridReport1"/>
        <w:tblW w:w="0" w:type="auto"/>
        <w:tblLook w:val="04A0" w:firstRow="1" w:lastRow="0" w:firstColumn="1" w:lastColumn="0" w:noHBand="0" w:noVBand="1"/>
      </w:tblPr>
      <w:tblGrid>
        <w:gridCol w:w="3713"/>
        <w:gridCol w:w="1035"/>
        <w:gridCol w:w="1175"/>
        <w:gridCol w:w="1175"/>
        <w:gridCol w:w="1236"/>
        <w:gridCol w:w="1020"/>
      </w:tblGrid>
      <w:tr w:rsidR="00171AA8" w:rsidRPr="00731FE2" w14:paraId="07526BEE" w14:textId="77777777">
        <w:trPr>
          <w:trHeight w:val="78"/>
        </w:trPr>
        <w:tc>
          <w:tcPr>
            <w:tcW w:w="3713" w:type="dxa"/>
            <w:noWrap/>
            <w:vAlign w:val="center"/>
          </w:tcPr>
          <w:p w14:paraId="5241257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b/>
                <w:color w:val="000000"/>
                <w:sz w:val="22"/>
              </w:rPr>
              <w:t>Показатель</w:t>
            </w:r>
          </w:p>
        </w:tc>
        <w:tc>
          <w:tcPr>
            <w:tcW w:w="1035" w:type="dxa"/>
            <w:noWrap/>
            <w:vAlign w:val="center"/>
          </w:tcPr>
          <w:p w14:paraId="284683B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b/>
                <w:color w:val="000000"/>
                <w:sz w:val="22"/>
              </w:rPr>
              <w:t>2023</w:t>
            </w:r>
          </w:p>
        </w:tc>
        <w:tc>
          <w:tcPr>
            <w:tcW w:w="1175" w:type="dxa"/>
            <w:noWrap/>
            <w:vAlign w:val="center"/>
          </w:tcPr>
          <w:p w14:paraId="3437121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b/>
                <w:color w:val="000000"/>
                <w:sz w:val="22"/>
              </w:rPr>
              <w:t>2029</w:t>
            </w:r>
          </w:p>
        </w:tc>
        <w:tc>
          <w:tcPr>
            <w:tcW w:w="1175" w:type="dxa"/>
            <w:noWrap/>
            <w:vAlign w:val="center"/>
          </w:tcPr>
          <w:p w14:paraId="3FBEC33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b/>
                <w:color w:val="000000"/>
                <w:sz w:val="22"/>
              </w:rPr>
              <w:t>2034</w:t>
            </w:r>
          </w:p>
        </w:tc>
        <w:tc>
          <w:tcPr>
            <w:tcW w:w="1236" w:type="dxa"/>
            <w:noWrap/>
            <w:vAlign w:val="center"/>
          </w:tcPr>
          <w:p w14:paraId="145314C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b/>
                <w:color w:val="000000"/>
                <w:sz w:val="22"/>
              </w:rPr>
              <w:t>2039</w:t>
            </w:r>
          </w:p>
        </w:tc>
        <w:tc>
          <w:tcPr>
            <w:tcW w:w="1020" w:type="dxa"/>
            <w:noWrap/>
            <w:vAlign w:val="center"/>
          </w:tcPr>
          <w:p w14:paraId="5250F84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b/>
                <w:color w:val="000000"/>
                <w:sz w:val="22"/>
              </w:rPr>
              <w:t>2044</w:t>
            </w:r>
          </w:p>
        </w:tc>
      </w:tr>
      <w:tr w:rsidR="00171AA8" w:rsidRPr="00731FE2" w14:paraId="4E915420" w14:textId="77777777">
        <w:trPr>
          <w:trHeight w:val="58"/>
        </w:trPr>
        <w:tc>
          <w:tcPr>
            <w:tcW w:w="3713" w:type="dxa"/>
            <w:vAlign w:val="center"/>
          </w:tcPr>
          <w:p w14:paraId="000347A8" w14:textId="77777777" w:rsidR="00171AA8" w:rsidRPr="00731FE2" w:rsidRDefault="007935AB">
            <w:pPr>
              <w:pBdr>
                <w:top w:val="none" w:sz="4" w:space="0" w:color="000000"/>
                <w:left w:val="none" w:sz="4" w:space="0" w:color="000000"/>
                <w:bottom w:val="none" w:sz="4" w:space="0" w:color="000000"/>
                <w:right w:val="none" w:sz="4" w:space="0" w:color="000000"/>
              </w:pBdr>
              <w:ind w:firstLine="0"/>
            </w:pPr>
            <w:r w:rsidRPr="00731FE2">
              <w:rPr>
                <w:rFonts w:ascii="Times New Roman" w:eastAsia="Times New Roman" w:hAnsi="Times New Roman" w:cs="Times New Roman"/>
                <w:color w:val="000000"/>
                <w:sz w:val="22"/>
              </w:rPr>
              <w:t>Число родившихся, чел.</w:t>
            </w:r>
          </w:p>
        </w:tc>
        <w:tc>
          <w:tcPr>
            <w:tcW w:w="1035" w:type="dxa"/>
            <w:noWrap/>
            <w:vAlign w:val="center"/>
          </w:tcPr>
          <w:p w14:paraId="18E0A25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1292</w:t>
            </w:r>
          </w:p>
        </w:tc>
        <w:tc>
          <w:tcPr>
            <w:tcW w:w="1175" w:type="dxa"/>
            <w:noWrap/>
            <w:vAlign w:val="center"/>
          </w:tcPr>
          <w:p w14:paraId="7CC1BBA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1179</w:t>
            </w:r>
          </w:p>
        </w:tc>
        <w:tc>
          <w:tcPr>
            <w:tcW w:w="1175" w:type="dxa"/>
            <w:noWrap/>
            <w:vAlign w:val="center"/>
          </w:tcPr>
          <w:p w14:paraId="2F49C71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1157</w:t>
            </w:r>
          </w:p>
        </w:tc>
        <w:tc>
          <w:tcPr>
            <w:tcW w:w="1236" w:type="dxa"/>
            <w:noWrap/>
            <w:vAlign w:val="center"/>
          </w:tcPr>
          <w:p w14:paraId="3C68449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1169</w:t>
            </w:r>
          </w:p>
        </w:tc>
        <w:tc>
          <w:tcPr>
            <w:tcW w:w="1020" w:type="dxa"/>
            <w:noWrap/>
            <w:vAlign w:val="center"/>
          </w:tcPr>
          <w:p w14:paraId="071BBF9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1178</w:t>
            </w:r>
          </w:p>
        </w:tc>
      </w:tr>
      <w:tr w:rsidR="00171AA8" w:rsidRPr="00731FE2" w14:paraId="55E51C30" w14:textId="77777777">
        <w:trPr>
          <w:trHeight w:val="58"/>
        </w:trPr>
        <w:tc>
          <w:tcPr>
            <w:tcW w:w="3713" w:type="dxa"/>
            <w:vAlign w:val="center"/>
          </w:tcPr>
          <w:p w14:paraId="385534C7" w14:textId="77777777" w:rsidR="00171AA8" w:rsidRPr="00731FE2" w:rsidRDefault="007935AB">
            <w:pPr>
              <w:pBdr>
                <w:top w:val="none" w:sz="4" w:space="0" w:color="000000"/>
                <w:left w:val="none" w:sz="4" w:space="0" w:color="000000"/>
                <w:bottom w:val="none" w:sz="4" w:space="0" w:color="000000"/>
                <w:right w:val="none" w:sz="4" w:space="0" w:color="000000"/>
              </w:pBdr>
              <w:ind w:firstLine="0"/>
            </w:pPr>
            <w:r w:rsidRPr="00731FE2">
              <w:rPr>
                <w:rFonts w:ascii="Times New Roman" w:eastAsia="Times New Roman" w:hAnsi="Times New Roman" w:cs="Times New Roman"/>
                <w:color w:val="000000"/>
                <w:sz w:val="22"/>
              </w:rPr>
              <w:t>Число умерших, чел.</w:t>
            </w:r>
          </w:p>
        </w:tc>
        <w:tc>
          <w:tcPr>
            <w:tcW w:w="1035" w:type="dxa"/>
            <w:noWrap/>
            <w:vAlign w:val="center"/>
          </w:tcPr>
          <w:p w14:paraId="37D6986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1383</w:t>
            </w:r>
          </w:p>
        </w:tc>
        <w:tc>
          <w:tcPr>
            <w:tcW w:w="1175" w:type="dxa"/>
            <w:noWrap/>
            <w:vAlign w:val="center"/>
          </w:tcPr>
          <w:p w14:paraId="3EA06BC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1384</w:t>
            </w:r>
          </w:p>
        </w:tc>
        <w:tc>
          <w:tcPr>
            <w:tcW w:w="1175" w:type="dxa"/>
            <w:noWrap/>
            <w:vAlign w:val="center"/>
          </w:tcPr>
          <w:p w14:paraId="2B54518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1364</w:t>
            </w:r>
          </w:p>
        </w:tc>
        <w:tc>
          <w:tcPr>
            <w:tcW w:w="1236" w:type="dxa"/>
            <w:noWrap/>
            <w:vAlign w:val="center"/>
          </w:tcPr>
          <w:p w14:paraId="5CC9129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1393</w:t>
            </w:r>
          </w:p>
        </w:tc>
        <w:tc>
          <w:tcPr>
            <w:tcW w:w="1020" w:type="dxa"/>
            <w:noWrap/>
            <w:vAlign w:val="center"/>
          </w:tcPr>
          <w:p w14:paraId="28DA330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1388</w:t>
            </w:r>
          </w:p>
        </w:tc>
      </w:tr>
      <w:tr w:rsidR="00171AA8" w:rsidRPr="00731FE2" w14:paraId="54494A0B" w14:textId="77777777">
        <w:trPr>
          <w:trHeight w:val="58"/>
        </w:trPr>
        <w:tc>
          <w:tcPr>
            <w:tcW w:w="3713" w:type="dxa"/>
            <w:vAlign w:val="center"/>
          </w:tcPr>
          <w:p w14:paraId="51774C8E" w14:textId="77777777" w:rsidR="00171AA8" w:rsidRPr="00731FE2" w:rsidRDefault="007935AB">
            <w:pPr>
              <w:pBdr>
                <w:top w:val="none" w:sz="4" w:space="0" w:color="000000"/>
                <w:left w:val="none" w:sz="4" w:space="0" w:color="000000"/>
                <w:bottom w:val="none" w:sz="4" w:space="0" w:color="000000"/>
                <w:right w:val="none" w:sz="4" w:space="0" w:color="000000"/>
              </w:pBdr>
              <w:ind w:firstLine="0"/>
            </w:pPr>
            <w:r w:rsidRPr="00731FE2">
              <w:rPr>
                <w:rFonts w:ascii="Times New Roman" w:eastAsia="Times New Roman" w:hAnsi="Times New Roman" w:cs="Times New Roman"/>
                <w:color w:val="000000"/>
                <w:sz w:val="22"/>
              </w:rPr>
              <w:t>Естественный прирост (убыль), чел.</w:t>
            </w:r>
          </w:p>
        </w:tc>
        <w:tc>
          <w:tcPr>
            <w:tcW w:w="1035" w:type="dxa"/>
            <w:noWrap/>
            <w:vAlign w:val="center"/>
          </w:tcPr>
          <w:p w14:paraId="68C0CBB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-91</w:t>
            </w:r>
          </w:p>
        </w:tc>
        <w:tc>
          <w:tcPr>
            <w:tcW w:w="1175" w:type="dxa"/>
            <w:noWrap/>
            <w:vAlign w:val="center"/>
          </w:tcPr>
          <w:p w14:paraId="4754D79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-206</w:t>
            </w:r>
          </w:p>
        </w:tc>
        <w:tc>
          <w:tcPr>
            <w:tcW w:w="1175" w:type="dxa"/>
            <w:noWrap/>
            <w:vAlign w:val="center"/>
          </w:tcPr>
          <w:p w14:paraId="1CDEC19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-207</w:t>
            </w:r>
          </w:p>
        </w:tc>
        <w:tc>
          <w:tcPr>
            <w:tcW w:w="1236" w:type="dxa"/>
            <w:noWrap/>
            <w:vAlign w:val="center"/>
          </w:tcPr>
          <w:p w14:paraId="28B4ED7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-223</w:t>
            </w:r>
          </w:p>
        </w:tc>
        <w:tc>
          <w:tcPr>
            <w:tcW w:w="1020" w:type="dxa"/>
            <w:noWrap/>
            <w:vAlign w:val="center"/>
          </w:tcPr>
          <w:p w14:paraId="40067F2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-210</w:t>
            </w:r>
          </w:p>
        </w:tc>
      </w:tr>
      <w:tr w:rsidR="00171AA8" w:rsidRPr="00731FE2" w14:paraId="0E4A6CD9" w14:textId="77777777">
        <w:trPr>
          <w:trHeight w:val="58"/>
        </w:trPr>
        <w:tc>
          <w:tcPr>
            <w:tcW w:w="3713" w:type="dxa"/>
            <w:vAlign w:val="center"/>
          </w:tcPr>
          <w:p w14:paraId="1AAA7565" w14:textId="77777777" w:rsidR="00171AA8" w:rsidRPr="00731FE2" w:rsidRDefault="007935AB">
            <w:pPr>
              <w:pBdr>
                <w:top w:val="none" w:sz="4" w:space="0" w:color="000000"/>
                <w:left w:val="none" w:sz="4" w:space="0" w:color="000000"/>
                <w:bottom w:val="none" w:sz="4" w:space="0" w:color="000000"/>
                <w:right w:val="none" w:sz="4" w:space="0" w:color="000000"/>
              </w:pBdr>
              <w:ind w:firstLine="0"/>
            </w:pPr>
            <w:r w:rsidRPr="00731FE2">
              <w:rPr>
                <w:rFonts w:ascii="Times New Roman" w:eastAsia="Times New Roman" w:hAnsi="Times New Roman" w:cs="Times New Roman"/>
                <w:color w:val="000000"/>
                <w:sz w:val="22"/>
              </w:rPr>
              <w:t>Коэффициенты рождаемости, ‰</w:t>
            </w:r>
          </w:p>
        </w:tc>
        <w:tc>
          <w:tcPr>
            <w:tcW w:w="1035" w:type="dxa"/>
            <w:noWrap/>
            <w:vAlign w:val="center"/>
          </w:tcPr>
          <w:p w14:paraId="18665EA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9,6</w:t>
            </w:r>
          </w:p>
        </w:tc>
        <w:tc>
          <w:tcPr>
            <w:tcW w:w="1175" w:type="dxa"/>
            <w:noWrap/>
            <w:vAlign w:val="center"/>
          </w:tcPr>
          <w:p w14:paraId="2A4A515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8,9</w:t>
            </w:r>
          </w:p>
        </w:tc>
        <w:tc>
          <w:tcPr>
            <w:tcW w:w="1175" w:type="dxa"/>
            <w:noWrap/>
            <w:vAlign w:val="center"/>
          </w:tcPr>
          <w:p w14:paraId="002019B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8,7</w:t>
            </w:r>
          </w:p>
        </w:tc>
        <w:tc>
          <w:tcPr>
            <w:tcW w:w="1236" w:type="dxa"/>
            <w:noWrap/>
            <w:vAlign w:val="center"/>
          </w:tcPr>
          <w:p w14:paraId="6A86DBB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8,8</w:t>
            </w:r>
          </w:p>
        </w:tc>
        <w:tc>
          <w:tcPr>
            <w:tcW w:w="1020" w:type="dxa"/>
            <w:noWrap/>
            <w:vAlign w:val="center"/>
          </w:tcPr>
          <w:p w14:paraId="52A7E6B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8,7</w:t>
            </w:r>
          </w:p>
        </w:tc>
      </w:tr>
      <w:tr w:rsidR="00171AA8" w:rsidRPr="00731FE2" w14:paraId="00555F89" w14:textId="77777777">
        <w:trPr>
          <w:trHeight w:val="58"/>
        </w:trPr>
        <w:tc>
          <w:tcPr>
            <w:tcW w:w="3713" w:type="dxa"/>
            <w:vAlign w:val="center"/>
          </w:tcPr>
          <w:p w14:paraId="583E720F" w14:textId="77777777" w:rsidR="00171AA8" w:rsidRPr="00731FE2" w:rsidRDefault="007935AB">
            <w:pPr>
              <w:pBdr>
                <w:top w:val="none" w:sz="4" w:space="0" w:color="000000"/>
                <w:left w:val="none" w:sz="4" w:space="0" w:color="000000"/>
                <w:bottom w:val="none" w:sz="4" w:space="0" w:color="000000"/>
                <w:right w:val="none" w:sz="4" w:space="0" w:color="000000"/>
              </w:pBdr>
              <w:ind w:firstLine="0"/>
            </w:pPr>
            <w:r w:rsidRPr="00731FE2">
              <w:rPr>
                <w:rFonts w:ascii="Times New Roman" w:eastAsia="Times New Roman" w:hAnsi="Times New Roman" w:cs="Times New Roman"/>
                <w:color w:val="000000"/>
                <w:sz w:val="22"/>
              </w:rPr>
              <w:t>Коэффициенты смертности, ‰</w:t>
            </w:r>
          </w:p>
        </w:tc>
        <w:tc>
          <w:tcPr>
            <w:tcW w:w="1035" w:type="dxa"/>
            <w:noWrap/>
            <w:vAlign w:val="center"/>
          </w:tcPr>
          <w:p w14:paraId="6EAA904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10,3</w:t>
            </w:r>
          </w:p>
        </w:tc>
        <w:tc>
          <w:tcPr>
            <w:tcW w:w="1175" w:type="dxa"/>
            <w:noWrap/>
            <w:vAlign w:val="center"/>
          </w:tcPr>
          <w:p w14:paraId="206CC92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10,4</w:t>
            </w:r>
          </w:p>
        </w:tc>
        <w:tc>
          <w:tcPr>
            <w:tcW w:w="1175" w:type="dxa"/>
            <w:noWrap/>
            <w:vAlign w:val="center"/>
          </w:tcPr>
          <w:p w14:paraId="086ED32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10,3</w:t>
            </w:r>
          </w:p>
        </w:tc>
        <w:tc>
          <w:tcPr>
            <w:tcW w:w="1236" w:type="dxa"/>
            <w:noWrap/>
            <w:vAlign w:val="center"/>
          </w:tcPr>
          <w:p w14:paraId="1EA6AEF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10,4</w:t>
            </w:r>
          </w:p>
        </w:tc>
        <w:tc>
          <w:tcPr>
            <w:tcW w:w="1020" w:type="dxa"/>
            <w:noWrap/>
            <w:vAlign w:val="center"/>
          </w:tcPr>
          <w:p w14:paraId="7B9438D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10,3</w:t>
            </w:r>
          </w:p>
        </w:tc>
      </w:tr>
      <w:tr w:rsidR="00171AA8" w:rsidRPr="00731FE2" w14:paraId="2EC22ECB" w14:textId="77777777">
        <w:trPr>
          <w:trHeight w:val="58"/>
        </w:trPr>
        <w:tc>
          <w:tcPr>
            <w:tcW w:w="3713" w:type="dxa"/>
            <w:vAlign w:val="center"/>
          </w:tcPr>
          <w:p w14:paraId="663EAC8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pPr>
            <w:r w:rsidRPr="00731FE2">
              <w:rPr>
                <w:rFonts w:ascii="Times New Roman" w:eastAsia="Times New Roman" w:hAnsi="Times New Roman" w:cs="Times New Roman"/>
                <w:color w:val="000000"/>
                <w:sz w:val="22"/>
              </w:rPr>
              <w:t>Коэффициенты естественного прироста (убыли), ‰</w:t>
            </w:r>
          </w:p>
        </w:tc>
        <w:tc>
          <w:tcPr>
            <w:tcW w:w="1035" w:type="dxa"/>
            <w:noWrap/>
            <w:vAlign w:val="center"/>
          </w:tcPr>
          <w:p w14:paraId="0D6EE71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-0,7</w:t>
            </w:r>
          </w:p>
        </w:tc>
        <w:tc>
          <w:tcPr>
            <w:tcW w:w="1175" w:type="dxa"/>
            <w:noWrap/>
            <w:vAlign w:val="center"/>
          </w:tcPr>
          <w:p w14:paraId="72A3DF8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-1,5</w:t>
            </w:r>
          </w:p>
        </w:tc>
        <w:tc>
          <w:tcPr>
            <w:tcW w:w="1175" w:type="dxa"/>
            <w:noWrap/>
            <w:vAlign w:val="center"/>
          </w:tcPr>
          <w:p w14:paraId="13C3222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-1,6</w:t>
            </w:r>
          </w:p>
        </w:tc>
        <w:tc>
          <w:tcPr>
            <w:tcW w:w="1236" w:type="dxa"/>
            <w:noWrap/>
            <w:vAlign w:val="center"/>
          </w:tcPr>
          <w:p w14:paraId="4001D90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-1,7</w:t>
            </w:r>
          </w:p>
        </w:tc>
        <w:tc>
          <w:tcPr>
            <w:tcW w:w="1020" w:type="dxa"/>
            <w:noWrap/>
            <w:vAlign w:val="center"/>
          </w:tcPr>
          <w:p w14:paraId="21F0D25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-1,6</w:t>
            </w:r>
          </w:p>
        </w:tc>
      </w:tr>
    </w:tbl>
    <w:p w14:paraId="6A89FDC1" w14:textId="77777777" w:rsidR="00171AA8" w:rsidRPr="00731FE2" w:rsidRDefault="00171AA8">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szCs w:val="24"/>
        </w:rPr>
      </w:pPr>
    </w:p>
    <w:p w14:paraId="4AD8D76A" w14:textId="77777777" w:rsidR="00171AA8" w:rsidRPr="00731FE2" w:rsidRDefault="007935AB" w:rsidP="0058161E">
      <w:pPr>
        <w:pBdr>
          <w:top w:val="none" w:sz="4" w:space="0" w:color="000000"/>
          <w:left w:val="none" w:sz="4" w:space="0" w:color="000000"/>
          <w:bottom w:val="none" w:sz="4" w:space="0" w:color="000000"/>
          <w:right w:val="none" w:sz="4" w:space="0" w:color="000000"/>
        </w:pBdr>
        <w:spacing w:line="240" w:lineRule="auto"/>
        <w:ind w:firstLine="0"/>
        <w:rPr>
          <w:rFonts w:ascii="Times New Roman" w:eastAsia="Times New Roman" w:hAnsi="Times New Roman" w:cs="Times New Roman"/>
          <w:b/>
          <w:bCs/>
          <w:color w:val="000000"/>
          <w:szCs w:val="24"/>
        </w:rPr>
      </w:pPr>
      <w:r w:rsidRPr="00731FE2">
        <w:rPr>
          <w:rFonts w:ascii="Times New Roman" w:hAnsi="Times New Roman" w:cs="Times New Roman"/>
          <w:b/>
          <w:bCs/>
          <w:color w:val="000000" w:themeColor="text1"/>
          <w:szCs w:val="24"/>
        </w:rPr>
        <w:lastRenderedPageBreak/>
        <w:t xml:space="preserve">Таблица </w:t>
      </w:r>
      <w:r w:rsidRPr="00731FE2">
        <w:rPr>
          <w:rFonts w:ascii="Times New Roman" w:hAnsi="Times New Roman" w:cs="Times New Roman"/>
          <w:b/>
          <w:bCs/>
          <w:color w:val="000000" w:themeColor="text1"/>
          <w:szCs w:val="24"/>
        </w:rPr>
        <w:fldChar w:fldCharType="begin"/>
      </w:r>
      <w:r w:rsidRPr="00731FE2">
        <w:rPr>
          <w:rFonts w:ascii="Times New Roman" w:hAnsi="Times New Roman" w:cs="Times New Roman"/>
          <w:b/>
          <w:bCs/>
          <w:color w:val="000000" w:themeColor="text1"/>
          <w:szCs w:val="24"/>
        </w:rPr>
        <w:instrText xml:space="preserve"> SEQ Таблица \* Arabic </w:instrText>
      </w:r>
      <w:r w:rsidRPr="00731FE2">
        <w:rPr>
          <w:rFonts w:ascii="Times New Roman" w:hAnsi="Times New Roman" w:cs="Times New Roman"/>
          <w:b/>
          <w:bCs/>
          <w:color w:val="000000" w:themeColor="text1"/>
          <w:szCs w:val="24"/>
        </w:rPr>
        <w:fldChar w:fldCharType="separate"/>
      </w:r>
      <w:r w:rsidR="00C50915" w:rsidRPr="00731FE2">
        <w:rPr>
          <w:rFonts w:ascii="Times New Roman" w:hAnsi="Times New Roman" w:cs="Times New Roman"/>
          <w:b/>
          <w:bCs/>
          <w:noProof/>
          <w:color w:val="000000" w:themeColor="text1"/>
          <w:szCs w:val="24"/>
        </w:rPr>
        <w:t>63</w:t>
      </w:r>
      <w:r w:rsidRPr="00731FE2">
        <w:rPr>
          <w:rFonts w:ascii="Times New Roman" w:hAnsi="Times New Roman" w:cs="Times New Roman"/>
          <w:b/>
          <w:bCs/>
          <w:color w:val="000000" w:themeColor="text1"/>
          <w:szCs w:val="24"/>
        </w:rPr>
        <w:fldChar w:fldCharType="end"/>
      </w:r>
      <w:r w:rsidRPr="00731FE2">
        <w:rPr>
          <w:rFonts w:ascii="Times New Roman" w:eastAsia="Times New Roman" w:hAnsi="Times New Roman" w:cs="Times New Roman"/>
          <w:b/>
          <w:color w:val="000000"/>
          <w:szCs w:val="24"/>
        </w:rPr>
        <w:t xml:space="preserve"> – Прогнозная оценка среднегодовой динамики рождаемости и смертности в </w:t>
      </w:r>
      <w:r w:rsidRPr="00731FE2">
        <w:rPr>
          <w:rFonts w:ascii="Times New Roman" w:hAnsi="Times New Roman" w:cs="Times New Roman"/>
          <w:b/>
          <w:bCs/>
          <w:color w:val="000000" w:themeColor="text1"/>
          <w:szCs w:val="24"/>
        </w:rPr>
        <w:t>городском округе городе-курорте Кисловодске</w:t>
      </w:r>
      <w:r w:rsidRPr="00731FE2">
        <w:rPr>
          <w:rFonts w:ascii="Times New Roman" w:eastAsia="Times New Roman" w:hAnsi="Times New Roman" w:cs="Times New Roman"/>
          <w:b/>
          <w:color w:val="000000"/>
          <w:szCs w:val="24"/>
        </w:rPr>
        <w:t xml:space="preserve"> по пессимистическому прогнозу на период 2023 – 2044 гг. </w:t>
      </w:r>
    </w:p>
    <w:tbl>
      <w:tblPr>
        <w:tblStyle w:val="TableGridReport1"/>
        <w:tblW w:w="0" w:type="auto"/>
        <w:tblLook w:val="04A0" w:firstRow="1" w:lastRow="0" w:firstColumn="1" w:lastColumn="0" w:noHBand="0" w:noVBand="1"/>
      </w:tblPr>
      <w:tblGrid>
        <w:gridCol w:w="3713"/>
        <w:gridCol w:w="1035"/>
        <w:gridCol w:w="1175"/>
        <w:gridCol w:w="1175"/>
        <w:gridCol w:w="1236"/>
        <w:gridCol w:w="1020"/>
      </w:tblGrid>
      <w:tr w:rsidR="00171AA8" w:rsidRPr="00731FE2" w14:paraId="48B1BD78" w14:textId="77777777">
        <w:trPr>
          <w:trHeight w:val="78"/>
        </w:trPr>
        <w:tc>
          <w:tcPr>
            <w:tcW w:w="3713" w:type="dxa"/>
            <w:noWrap/>
            <w:vAlign w:val="center"/>
          </w:tcPr>
          <w:p w14:paraId="7BCCD27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b/>
                <w:color w:val="000000"/>
                <w:sz w:val="22"/>
              </w:rPr>
              <w:t>Показатель</w:t>
            </w:r>
          </w:p>
        </w:tc>
        <w:tc>
          <w:tcPr>
            <w:tcW w:w="1035" w:type="dxa"/>
            <w:noWrap/>
            <w:vAlign w:val="center"/>
          </w:tcPr>
          <w:p w14:paraId="7BB36B6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b/>
                <w:color w:val="000000"/>
                <w:sz w:val="22"/>
              </w:rPr>
              <w:t>2023</w:t>
            </w:r>
          </w:p>
        </w:tc>
        <w:tc>
          <w:tcPr>
            <w:tcW w:w="1175" w:type="dxa"/>
            <w:noWrap/>
            <w:vAlign w:val="center"/>
          </w:tcPr>
          <w:p w14:paraId="2D2C73F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b/>
                <w:color w:val="000000"/>
                <w:sz w:val="22"/>
              </w:rPr>
              <w:t>2029</w:t>
            </w:r>
          </w:p>
        </w:tc>
        <w:tc>
          <w:tcPr>
            <w:tcW w:w="1175" w:type="dxa"/>
            <w:noWrap/>
            <w:vAlign w:val="center"/>
          </w:tcPr>
          <w:p w14:paraId="1D687B1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b/>
                <w:color w:val="000000"/>
                <w:sz w:val="22"/>
              </w:rPr>
              <w:t>2034</w:t>
            </w:r>
          </w:p>
        </w:tc>
        <w:tc>
          <w:tcPr>
            <w:tcW w:w="1236" w:type="dxa"/>
            <w:noWrap/>
            <w:vAlign w:val="center"/>
          </w:tcPr>
          <w:p w14:paraId="4C47882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b/>
                <w:color w:val="000000"/>
                <w:sz w:val="22"/>
              </w:rPr>
              <w:t>2039</w:t>
            </w:r>
          </w:p>
        </w:tc>
        <w:tc>
          <w:tcPr>
            <w:tcW w:w="1020" w:type="dxa"/>
            <w:noWrap/>
            <w:vAlign w:val="center"/>
          </w:tcPr>
          <w:p w14:paraId="6F3E6B9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b/>
                <w:color w:val="000000"/>
                <w:sz w:val="22"/>
              </w:rPr>
              <w:t>2044</w:t>
            </w:r>
          </w:p>
        </w:tc>
      </w:tr>
      <w:tr w:rsidR="00171AA8" w:rsidRPr="00731FE2" w14:paraId="54BD96A5" w14:textId="77777777">
        <w:trPr>
          <w:trHeight w:val="265"/>
        </w:trPr>
        <w:tc>
          <w:tcPr>
            <w:tcW w:w="3713" w:type="dxa"/>
            <w:vAlign w:val="center"/>
          </w:tcPr>
          <w:p w14:paraId="65BE8121" w14:textId="77777777" w:rsidR="00171AA8" w:rsidRPr="00731FE2" w:rsidRDefault="007935AB">
            <w:pPr>
              <w:pBdr>
                <w:top w:val="none" w:sz="4" w:space="0" w:color="000000"/>
                <w:left w:val="none" w:sz="4" w:space="0" w:color="000000"/>
                <w:bottom w:val="none" w:sz="4" w:space="0" w:color="000000"/>
                <w:right w:val="none" w:sz="4" w:space="0" w:color="000000"/>
              </w:pBdr>
              <w:ind w:firstLine="0"/>
            </w:pPr>
            <w:r w:rsidRPr="00731FE2">
              <w:rPr>
                <w:rFonts w:ascii="Times New Roman" w:eastAsia="Times New Roman" w:hAnsi="Times New Roman" w:cs="Times New Roman"/>
                <w:color w:val="000000"/>
                <w:sz w:val="22"/>
              </w:rPr>
              <w:t>Число родившихся, чел.</w:t>
            </w:r>
          </w:p>
        </w:tc>
        <w:tc>
          <w:tcPr>
            <w:tcW w:w="1035" w:type="dxa"/>
            <w:noWrap/>
            <w:vAlign w:val="center"/>
          </w:tcPr>
          <w:p w14:paraId="586CB55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1284</w:t>
            </w:r>
          </w:p>
        </w:tc>
        <w:tc>
          <w:tcPr>
            <w:tcW w:w="1175" w:type="dxa"/>
            <w:noWrap/>
            <w:vAlign w:val="center"/>
          </w:tcPr>
          <w:p w14:paraId="5D75A91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1150</w:t>
            </w:r>
          </w:p>
        </w:tc>
        <w:tc>
          <w:tcPr>
            <w:tcW w:w="1175" w:type="dxa"/>
            <w:noWrap/>
            <w:vAlign w:val="center"/>
          </w:tcPr>
          <w:p w14:paraId="05E4B31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1101</w:t>
            </w:r>
          </w:p>
        </w:tc>
        <w:tc>
          <w:tcPr>
            <w:tcW w:w="1236" w:type="dxa"/>
            <w:noWrap/>
            <w:vAlign w:val="center"/>
          </w:tcPr>
          <w:p w14:paraId="31B6799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1082</w:t>
            </w:r>
          </w:p>
        </w:tc>
        <w:tc>
          <w:tcPr>
            <w:tcW w:w="1020" w:type="dxa"/>
            <w:noWrap/>
            <w:vAlign w:val="center"/>
          </w:tcPr>
          <w:p w14:paraId="4063EE6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1062</w:t>
            </w:r>
          </w:p>
        </w:tc>
      </w:tr>
      <w:tr w:rsidR="00171AA8" w:rsidRPr="00731FE2" w14:paraId="183529CC" w14:textId="77777777">
        <w:trPr>
          <w:trHeight w:val="58"/>
        </w:trPr>
        <w:tc>
          <w:tcPr>
            <w:tcW w:w="3713" w:type="dxa"/>
            <w:vAlign w:val="center"/>
          </w:tcPr>
          <w:p w14:paraId="08491EBF" w14:textId="77777777" w:rsidR="00171AA8" w:rsidRPr="00731FE2" w:rsidRDefault="007935AB">
            <w:pPr>
              <w:pBdr>
                <w:top w:val="none" w:sz="4" w:space="0" w:color="000000"/>
                <w:left w:val="none" w:sz="4" w:space="0" w:color="000000"/>
                <w:bottom w:val="none" w:sz="4" w:space="0" w:color="000000"/>
                <w:right w:val="none" w:sz="4" w:space="0" w:color="000000"/>
              </w:pBdr>
              <w:ind w:firstLine="0"/>
            </w:pPr>
            <w:r w:rsidRPr="00731FE2">
              <w:rPr>
                <w:rFonts w:ascii="Times New Roman" w:eastAsia="Times New Roman" w:hAnsi="Times New Roman" w:cs="Times New Roman"/>
                <w:color w:val="000000"/>
                <w:sz w:val="22"/>
              </w:rPr>
              <w:t>Число умерших, чел.</w:t>
            </w:r>
          </w:p>
        </w:tc>
        <w:tc>
          <w:tcPr>
            <w:tcW w:w="1035" w:type="dxa"/>
            <w:noWrap/>
            <w:vAlign w:val="center"/>
          </w:tcPr>
          <w:p w14:paraId="782D40F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1512</w:t>
            </w:r>
          </w:p>
        </w:tc>
        <w:tc>
          <w:tcPr>
            <w:tcW w:w="1175" w:type="dxa"/>
            <w:noWrap/>
            <w:vAlign w:val="center"/>
          </w:tcPr>
          <w:p w14:paraId="7B21B9F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1542</w:t>
            </w:r>
          </w:p>
        </w:tc>
        <w:tc>
          <w:tcPr>
            <w:tcW w:w="1175" w:type="dxa"/>
            <w:noWrap/>
            <w:vAlign w:val="center"/>
          </w:tcPr>
          <w:p w14:paraId="57E907B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1567</w:t>
            </w:r>
          </w:p>
        </w:tc>
        <w:tc>
          <w:tcPr>
            <w:tcW w:w="1236" w:type="dxa"/>
            <w:noWrap/>
            <w:vAlign w:val="center"/>
          </w:tcPr>
          <w:p w14:paraId="21DA95A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1619</w:t>
            </w:r>
          </w:p>
        </w:tc>
        <w:tc>
          <w:tcPr>
            <w:tcW w:w="1020" w:type="dxa"/>
            <w:noWrap/>
            <w:vAlign w:val="center"/>
          </w:tcPr>
          <w:p w14:paraId="59AB35A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1623</w:t>
            </w:r>
          </w:p>
        </w:tc>
      </w:tr>
      <w:tr w:rsidR="00171AA8" w:rsidRPr="00731FE2" w14:paraId="4548E74A" w14:textId="77777777">
        <w:trPr>
          <w:trHeight w:val="58"/>
        </w:trPr>
        <w:tc>
          <w:tcPr>
            <w:tcW w:w="3713" w:type="dxa"/>
            <w:vAlign w:val="center"/>
          </w:tcPr>
          <w:p w14:paraId="4A913573" w14:textId="77777777" w:rsidR="00171AA8" w:rsidRPr="00731FE2" w:rsidRDefault="007935AB">
            <w:pPr>
              <w:pBdr>
                <w:top w:val="none" w:sz="4" w:space="0" w:color="000000"/>
                <w:left w:val="none" w:sz="4" w:space="0" w:color="000000"/>
                <w:bottom w:val="none" w:sz="4" w:space="0" w:color="000000"/>
                <w:right w:val="none" w:sz="4" w:space="0" w:color="000000"/>
              </w:pBdr>
              <w:ind w:firstLine="0"/>
            </w:pPr>
            <w:r w:rsidRPr="00731FE2">
              <w:rPr>
                <w:rFonts w:ascii="Times New Roman" w:eastAsia="Times New Roman" w:hAnsi="Times New Roman" w:cs="Times New Roman"/>
                <w:color w:val="000000"/>
                <w:sz w:val="22"/>
              </w:rPr>
              <w:t>Естественный прирост (убыль), чел.</w:t>
            </w:r>
          </w:p>
        </w:tc>
        <w:tc>
          <w:tcPr>
            <w:tcW w:w="1035" w:type="dxa"/>
            <w:noWrap/>
            <w:vAlign w:val="center"/>
          </w:tcPr>
          <w:p w14:paraId="3FBC5B6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-228</w:t>
            </w:r>
          </w:p>
        </w:tc>
        <w:tc>
          <w:tcPr>
            <w:tcW w:w="1175" w:type="dxa"/>
            <w:noWrap/>
            <w:vAlign w:val="center"/>
          </w:tcPr>
          <w:p w14:paraId="380BB4C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-392</w:t>
            </w:r>
          </w:p>
        </w:tc>
        <w:tc>
          <w:tcPr>
            <w:tcW w:w="1175" w:type="dxa"/>
            <w:noWrap/>
            <w:vAlign w:val="center"/>
          </w:tcPr>
          <w:p w14:paraId="3423ADE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-466</w:t>
            </w:r>
          </w:p>
        </w:tc>
        <w:tc>
          <w:tcPr>
            <w:tcW w:w="1236" w:type="dxa"/>
            <w:noWrap/>
            <w:vAlign w:val="center"/>
          </w:tcPr>
          <w:p w14:paraId="57D469A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-537</w:t>
            </w:r>
          </w:p>
        </w:tc>
        <w:tc>
          <w:tcPr>
            <w:tcW w:w="1020" w:type="dxa"/>
            <w:noWrap/>
            <w:vAlign w:val="center"/>
          </w:tcPr>
          <w:p w14:paraId="0AE66F4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-561</w:t>
            </w:r>
          </w:p>
        </w:tc>
      </w:tr>
      <w:tr w:rsidR="00171AA8" w:rsidRPr="00731FE2" w14:paraId="65F245A9" w14:textId="77777777">
        <w:tc>
          <w:tcPr>
            <w:tcW w:w="3713" w:type="dxa"/>
            <w:vAlign w:val="center"/>
          </w:tcPr>
          <w:p w14:paraId="18DDE790" w14:textId="77777777" w:rsidR="00171AA8" w:rsidRPr="00731FE2" w:rsidRDefault="007935AB">
            <w:pPr>
              <w:pBdr>
                <w:top w:val="none" w:sz="4" w:space="0" w:color="000000"/>
                <w:left w:val="none" w:sz="4" w:space="0" w:color="000000"/>
                <w:bottom w:val="none" w:sz="4" w:space="0" w:color="000000"/>
                <w:right w:val="none" w:sz="4" w:space="0" w:color="000000"/>
              </w:pBdr>
              <w:ind w:firstLine="0"/>
            </w:pPr>
            <w:r w:rsidRPr="00731FE2">
              <w:rPr>
                <w:rFonts w:ascii="Times New Roman" w:eastAsia="Times New Roman" w:hAnsi="Times New Roman" w:cs="Times New Roman"/>
                <w:color w:val="000000"/>
                <w:sz w:val="22"/>
              </w:rPr>
              <w:t>Коэффициенты рождаемости, ‰</w:t>
            </w:r>
          </w:p>
        </w:tc>
        <w:tc>
          <w:tcPr>
            <w:tcW w:w="1035" w:type="dxa"/>
            <w:noWrap/>
            <w:vAlign w:val="center"/>
          </w:tcPr>
          <w:p w14:paraId="1409457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9,6</w:t>
            </w:r>
          </w:p>
        </w:tc>
        <w:tc>
          <w:tcPr>
            <w:tcW w:w="1175" w:type="dxa"/>
            <w:noWrap/>
            <w:vAlign w:val="center"/>
          </w:tcPr>
          <w:p w14:paraId="42BA00D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8,8</w:t>
            </w:r>
          </w:p>
        </w:tc>
        <w:tc>
          <w:tcPr>
            <w:tcW w:w="1175" w:type="dxa"/>
            <w:noWrap/>
            <w:vAlign w:val="center"/>
          </w:tcPr>
          <w:p w14:paraId="74BF8E3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8,6</w:t>
            </w:r>
          </w:p>
        </w:tc>
        <w:tc>
          <w:tcPr>
            <w:tcW w:w="1236" w:type="dxa"/>
            <w:noWrap/>
            <w:vAlign w:val="center"/>
          </w:tcPr>
          <w:p w14:paraId="73C10C0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8,6</w:t>
            </w:r>
          </w:p>
        </w:tc>
        <w:tc>
          <w:tcPr>
            <w:tcW w:w="1020" w:type="dxa"/>
            <w:noWrap/>
            <w:vAlign w:val="center"/>
          </w:tcPr>
          <w:p w14:paraId="4FF7869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8,6</w:t>
            </w:r>
          </w:p>
        </w:tc>
      </w:tr>
      <w:tr w:rsidR="00171AA8" w:rsidRPr="00731FE2" w14:paraId="2FE8BD01" w14:textId="77777777">
        <w:trPr>
          <w:trHeight w:val="58"/>
        </w:trPr>
        <w:tc>
          <w:tcPr>
            <w:tcW w:w="3713" w:type="dxa"/>
            <w:vAlign w:val="center"/>
          </w:tcPr>
          <w:p w14:paraId="1A674E32" w14:textId="77777777" w:rsidR="00171AA8" w:rsidRPr="00731FE2" w:rsidRDefault="007935AB">
            <w:pPr>
              <w:pBdr>
                <w:top w:val="none" w:sz="4" w:space="0" w:color="000000"/>
                <w:left w:val="none" w:sz="4" w:space="0" w:color="000000"/>
                <w:bottom w:val="none" w:sz="4" w:space="0" w:color="000000"/>
                <w:right w:val="none" w:sz="4" w:space="0" w:color="000000"/>
              </w:pBdr>
              <w:ind w:firstLine="0"/>
            </w:pPr>
            <w:r w:rsidRPr="00731FE2">
              <w:rPr>
                <w:rFonts w:ascii="Times New Roman" w:eastAsia="Times New Roman" w:hAnsi="Times New Roman" w:cs="Times New Roman"/>
                <w:color w:val="000000"/>
                <w:sz w:val="22"/>
              </w:rPr>
              <w:t>Коэффициенты смертности, ‰</w:t>
            </w:r>
          </w:p>
        </w:tc>
        <w:tc>
          <w:tcPr>
            <w:tcW w:w="1035" w:type="dxa"/>
            <w:noWrap/>
            <w:vAlign w:val="center"/>
          </w:tcPr>
          <w:p w14:paraId="082F99E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11,3</w:t>
            </w:r>
          </w:p>
        </w:tc>
        <w:tc>
          <w:tcPr>
            <w:tcW w:w="1175" w:type="dxa"/>
            <w:noWrap/>
            <w:vAlign w:val="center"/>
          </w:tcPr>
          <w:p w14:paraId="2530D0B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11,8</w:t>
            </w:r>
          </w:p>
        </w:tc>
        <w:tc>
          <w:tcPr>
            <w:tcW w:w="1175" w:type="dxa"/>
            <w:noWrap/>
            <w:vAlign w:val="center"/>
          </w:tcPr>
          <w:p w14:paraId="5CC30DF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12,2</w:t>
            </w:r>
          </w:p>
        </w:tc>
        <w:tc>
          <w:tcPr>
            <w:tcW w:w="1236" w:type="dxa"/>
            <w:noWrap/>
            <w:vAlign w:val="center"/>
          </w:tcPr>
          <w:p w14:paraId="41FB734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12,9</w:t>
            </w:r>
          </w:p>
        </w:tc>
        <w:tc>
          <w:tcPr>
            <w:tcW w:w="1020" w:type="dxa"/>
            <w:noWrap/>
            <w:vAlign w:val="center"/>
          </w:tcPr>
          <w:p w14:paraId="66824D9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13,2</w:t>
            </w:r>
          </w:p>
        </w:tc>
      </w:tr>
      <w:tr w:rsidR="00171AA8" w:rsidRPr="00731FE2" w14:paraId="124B29FB" w14:textId="77777777">
        <w:trPr>
          <w:trHeight w:val="58"/>
        </w:trPr>
        <w:tc>
          <w:tcPr>
            <w:tcW w:w="3713" w:type="dxa"/>
            <w:vAlign w:val="center"/>
          </w:tcPr>
          <w:p w14:paraId="0EA7ACF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pPr>
            <w:r w:rsidRPr="00731FE2">
              <w:rPr>
                <w:rFonts w:ascii="Times New Roman" w:eastAsia="Times New Roman" w:hAnsi="Times New Roman" w:cs="Times New Roman"/>
                <w:color w:val="000000"/>
                <w:sz w:val="22"/>
              </w:rPr>
              <w:t>Коэффициенты естественного прироста (убыли), ‰</w:t>
            </w:r>
          </w:p>
        </w:tc>
        <w:tc>
          <w:tcPr>
            <w:tcW w:w="1035" w:type="dxa"/>
            <w:noWrap/>
            <w:vAlign w:val="center"/>
          </w:tcPr>
          <w:p w14:paraId="51A2BB1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-1,7</w:t>
            </w:r>
          </w:p>
        </w:tc>
        <w:tc>
          <w:tcPr>
            <w:tcW w:w="1175" w:type="dxa"/>
            <w:noWrap/>
            <w:vAlign w:val="center"/>
          </w:tcPr>
          <w:p w14:paraId="6AF0793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-3,0</w:t>
            </w:r>
          </w:p>
        </w:tc>
        <w:tc>
          <w:tcPr>
            <w:tcW w:w="1175" w:type="dxa"/>
            <w:noWrap/>
            <w:vAlign w:val="center"/>
          </w:tcPr>
          <w:p w14:paraId="2667D3C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-3,6</w:t>
            </w:r>
          </w:p>
        </w:tc>
        <w:tc>
          <w:tcPr>
            <w:tcW w:w="1236" w:type="dxa"/>
            <w:noWrap/>
            <w:vAlign w:val="center"/>
          </w:tcPr>
          <w:p w14:paraId="78336EB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-4,3</w:t>
            </w:r>
          </w:p>
        </w:tc>
        <w:tc>
          <w:tcPr>
            <w:tcW w:w="1020" w:type="dxa"/>
            <w:noWrap/>
            <w:vAlign w:val="center"/>
          </w:tcPr>
          <w:p w14:paraId="682C9B3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-4,6</w:t>
            </w:r>
          </w:p>
        </w:tc>
      </w:tr>
    </w:tbl>
    <w:p w14:paraId="689640F9" w14:textId="77777777" w:rsidR="00171AA8" w:rsidRPr="00731FE2" w:rsidRDefault="00171AA8">
      <w:pPr>
        <w:rPr>
          <w:rFonts w:ascii="Times New Roman" w:hAnsi="Times New Roman" w:cs="Times New Roman"/>
          <w:color w:val="000000" w:themeColor="text1"/>
        </w:rPr>
      </w:pPr>
    </w:p>
    <w:p w14:paraId="67477289"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rPr>
        <w:t>Прогнозные сценарии рождаемости слабо связаны с социально-экономическими перспективами территории. Начало экономического роста не обязательно приведет к повышению рождаемости. Изменения в рождаемости могут быть необратимыми.</w:t>
      </w:r>
    </w:p>
    <w:p w14:paraId="3B01E90E" w14:textId="77777777" w:rsidR="00171AA8" w:rsidRPr="00731FE2" w:rsidRDefault="007935AB">
      <w:pPr>
        <w:pBdr>
          <w:top w:val="none" w:sz="4" w:space="0" w:color="000000"/>
          <w:left w:val="none" w:sz="4" w:space="0" w:color="000000"/>
          <w:bottom w:val="none" w:sz="4" w:space="0" w:color="000000"/>
          <w:right w:val="none" w:sz="4" w:space="0" w:color="000000"/>
        </w:pBdr>
      </w:pPr>
      <w:r w:rsidRPr="00731FE2">
        <w:rPr>
          <w:rFonts w:ascii="Times New Roman" w:eastAsia="Times New Roman" w:hAnsi="Times New Roman" w:cs="Times New Roman"/>
          <w:color w:val="000000"/>
        </w:rPr>
        <w:t xml:space="preserve">Целевой вариант прогноза основан на тенденции снижения темпов уровня рождаемости, в 2044 г. коэффициент рождаемости станет </w:t>
      </w:r>
      <w:r w:rsidRPr="00731FE2">
        <w:rPr>
          <w:rFonts w:ascii="Times New Roman" w:eastAsia="Times New Roman" w:hAnsi="Times New Roman" w:cs="Times New Roman"/>
          <w:color w:val="000000"/>
          <w:szCs w:val="24"/>
        </w:rPr>
        <w:t>равен 8,7 ‰.</w:t>
      </w:r>
      <w:r w:rsidR="00A4523A" w:rsidRPr="00731FE2">
        <w:rPr>
          <w:rFonts w:ascii="Times New Roman" w:eastAsia="Times New Roman" w:hAnsi="Times New Roman" w:cs="Times New Roman"/>
          <w:color w:val="000000"/>
          <w:szCs w:val="24"/>
        </w:rPr>
        <w:t xml:space="preserve"> </w:t>
      </w:r>
      <w:r w:rsidRPr="00731FE2">
        <w:rPr>
          <w:rFonts w:ascii="Times New Roman" w:eastAsia="Times New Roman" w:hAnsi="Times New Roman" w:cs="Times New Roman"/>
          <w:color w:val="000000"/>
          <w:szCs w:val="24"/>
        </w:rPr>
        <w:t>П</w:t>
      </w:r>
      <w:r w:rsidRPr="00731FE2">
        <w:rPr>
          <w:rFonts w:ascii="Times New Roman" w:eastAsia="Times New Roman" w:hAnsi="Times New Roman" w:cs="Times New Roman"/>
          <w:color w:val="000000"/>
        </w:rPr>
        <w:t>редполагается, что семьи,</w:t>
      </w:r>
      <w:r w:rsidR="00A4523A" w:rsidRPr="00731FE2">
        <w:rPr>
          <w:rFonts w:ascii="Times New Roman" w:eastAsia="Times New Roman" w:hAnsi="Times New Roman" w:cs="Times New Roman"/>
          <w:color w:val="000000"/>
        </w:rPr>
        <w:t xml:space="preserve"> </w:t>
      </w:r>
      <w:r w:rsidRPr="00731FE2">
        <w:rPr>
          <w:rFonts w:ascii="Times New Roman" w:eastAsia="Times New Roman" w:hAnsi="Times New Roman" w:cs="Times New Roman"/>
          <w:color w:val="000000"/>
        </w:rPr>
        <w:t xml:space="preserve">к расчетному сроку, начнут реализовывать свои репродуктивные намерения об ожидаемом числе детей. </w:t>
      </w:r>
    </w:p>
    <w:p w14:paraId="53569E85" w14:textId="77777777" w:rsidR="00171AA8" w:rsidRPr="00731FE2" w:rsidRDefault="007935AB">
      <w:pPr>
        <w:pBdr>
          <w:top w:val="none" w:sz="4" w:space="0" w:color="000000"/>
          <w:left w:val="none" w:sz="4" w:space="0" w:color="000000"/>
          <w:bottom w:val="none" w:sz="4" w:space="0" w:color="000000"/>
          <w:right w:val="none" w:sz="4" w:space="0" w:color="000000"/>
        </w:pBdr>
      </w:pPr>
      <w:r w:rsidRPr="00731FE2">
        <w:rPr>
          <w:rFonts w:ascii="Times New Roman" w:eastAsia="Times New Roman" w:hAnsi="Times New Roman" w:cs="Times New Roman"/>
          <w:color w:val="000000"/>
        </w:rPr>
        <w:t xml:space="preserve">Смертность – второй важнейший показатель воспроизводства населения. В количественном выражении после 2023 г. и до конца расчетного периода по целевому прогнозу показатель смертности снизится на 59 чел. Коэффициент смертности к расчетному периоду также уменьшится и в 2044 г. составит 8,4 ‰. </w:t>
      </w:r>
    </w:p>
    <w:p w14:paraId="3D0C2564" w14:textId="77777777" w:rsidR="00171AA8" w:rsidRPr="00731FE2" w:rsidRDefault="007935AB">
      <w:pPr>
        <w:pBdr>
          <w:top w:val="none" w:sz="4" w:space="0" w:color="000000"/>
          <w:left w:val="none" w:sz="4" w:space="0" w:color="000000"/>
          <w:bottom w:val="none" w:sz="4" w:space="0" w:color="000000"/>
          <w:right w:val="none" w:sz="4" w:space="0" w:color="000000"/>
        </w:pBdr>
      </w:pPr>
      <w:r w:rsidRPr="00731FE2">
        <w:rPr>
          <w:rFonts w:ascii="Times New Roman" w:eastAsia="Times New Roman" w:hAnsi="Times New Roman" w:cs="Times New Roman"/>
          <w:color w:val="000000"/>
        </w:rPr>
        <w:t>Увеличение рождаемости и снижение смертности согласно целевому сценарию в данном периоде приведет к формированию положительного естественного прироста.</w:t>
      </w:r>
    </w:p>
    <w:p w14:paraId="16033556"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rPr>
        <w:t xml:space="preserve">На показатели рождаемости существенное влияние оказывает число женщин в фертильном (детородном) возрасте – возрасте 15-49 лет, на который приходится абсолютное большинство рождений детей. При этом доминирующая </w:t>
      </w:r>
      <w:proofErr w:type="gramStart"/>
      <w:r w:rsidRPr="00731FE2">
        <w:rPr>
          <w:rFonts w:ascii="Times New Roman" w:eastAsia="Times New Roman" w:hAnsi="Times New Roman" w:cs="Times New Roman"/>
          <w:color w:val="000000"/>
        </w:rPr>
        <w:t>роль</w:t>
      </w:r>
      <w:proofErr w:type="gramEnd"/>
      <w:r w:rsidRPr="00731FE2">
        <w:rPr>
          <w:rFonts w:ascii="Times New Roman" w:eastAsia="Times New Roman" w:hAnsi="Times New Roman" w:cs="Times New Roman"/>
          <w:color w:val="000000"/>
        </w:rPr>
        <w:t xml:space="preserve"> в динамике численности родившихся будет принадлежать количеству женщин детородного возраста в самых активных детородных возрастах от 20 до 35 лет.</w:t>
      </w:r>
    </w:p>
    <w:p w14:paraId="1421ED13" w14:textId="77777777" w:rsidR="00171AA8" w:rsidRPr="00731FE2" w:rsidRDefault="00171AA8">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p>
    <w:p w14:paraId="7490BAA8" w14:textId="77777777" w:rsidR="00171AA8" w:rsidRPr="00731FE2" w:rsidRDefault="007935AB" w:rsidP="0058161E">
      <w:pPr>
        <w:pBdr>
          <w:top w:val="none" w:sz="4" w:space="0" w:color="000000"/>
          <w:left w:val="none" w:sz="4" w:space="0" w:color="000000"/>
          <w:bottom w:val="none" w:sz="4" w:space="0" w:color="000000"/>
          <w:right w:val="none" w:sz="4" w:space="0" w:color="000000"/>
        </w:pBdr>
        <w:spacing w:line="240" w:lineRule="auto"/>
        <w:ind w:firstLine="0"/>
        <w:rPr>
          <w:rFonts w:ascii="Times New Roman" w:hAnsi="Times New Roman" w:cs="Times New Roman"/>
          <w:b/>
          <w:bCs/>
          <w:color w:val="000000" w:themeColor="text1"/>
          <w:szCs w:val="24"/>
        </w:rPr>
      </w:pPr>
      <w:r w:rsidRPr="00731FE2">
        <w:rPr>
          <w:rFonts w:ascii="Times New Roman" w:hAnsi="Times New Roman" w:cs="Times New Roman"/>
          <w:b/>
          <w:bCs/>
          <w:color w:val="000000" w:themeColor="text1"/>
          <w:szCs w:val="24"/>
        </w:rPr>
        <w:t xml:space="preserve">Таблица </w:t>
      </w:r>
      <w:r w:rsidRPr="00731FE2">
        <w:rPr>
          <w:rFonts w:ascii="Times New Roman" w:hAnsi="Times New Roman" w:cs="Times New Roman"/>
          <w:b/>
          <w:bCs/>
          <w:color w:val="000000" w:themeColor="text1"/>
          <w:szCs w:val="24"/>
        </w:rPr>
        <w:fldChar w:fldCharType="begin"/>
      </w:r>
      <w:r w:rsidRPr="00731FE2">
        <w:rPr>
          <w:rFonts w:ascii="Times New Roman" w:hAnsi="Times New Roman" w:cs="Times New Roman"/>
          <w:b/>
          <w:bCs/>
          <w:color w:val="000000" w:themeColor="text1"/>
          <w:szCs w:val="24"/>
        </w:rPr>
        <w:instrText xml:space="preserve"> SEQ Таблица \* Arabic </w:instrText>
      </w:r>
      <w:r w:rsidRPr="00731FE2">
        <w:rPr>
          <w:rFonts w:ascii="Times New Roman" w:hAnsi="Times New Roman" w:cs="Times New Roman"/>
          <w:b/>
          <w:bCs/>
          <w:color w:val="000000" w:themeColor="text1"/>
          <w:szCs w:val="24"/>
        </w:rPr>
        <w:fldChar w:fldCharType="separate"/>
      </w:r>
      <w:r w:rsidR="00C50915" w:rsidRPr="00731FE2">
        <w:rPr>
          <w:rFonts w:ascii="Times New Roman" w:hAnsi="Times New Roman" w:cs="Times New Roman"/>
          <w:b/>
          <w:bCs/>
          <w:noProof/>
          <w:color w:val="000000" w:themeColor="text1"/>
          <w:szCs w:val="24"/>
        </w:rPr>
        <w:t>64</w:t>
      </w:r>
      <w:r w:rsidRPr="00731FE2">
        <w:rPr>
          <w:rFonts w:ascii="Times New Roman" w:hAnsi="Times New Roman" w:cs="Times New Roman"/>
          <w:b/>
          <w:bCs/>
          <w:color w:val="000000" w:themeColor="text1"/>
          <w:szCs w:val="24"/>
        </w:rPr>
        <w:fldChar w:fldCharType="end"/>
      </w:r>
      <w:r w:rsidRPr="00731FE2">
        <w:rPr>
          <w:rFonts w:ascii="Times New Roman" w:hAnsi="Times New Roman" w:cs="Times New Roman"/>
          <w:b/>
          <w:bCs/>
          <w:color w:val="000000" w:themeColor="text1"/>
          <w:szCs w:val="24"/>
        </w:rPr>
        <w:t xml:space="preserve"> – Прогнозная оценка численности женщин фертильного (детородного) возраста в городском округе городе-курорте Кисловодске до 2049 г. по всем сценариям развития</w:t>
      </w:r>
    </w:p>
    <w:tbl>
      <w:tblPr>
        <w:tblStyle w:val="TableGridReport1"/>
        <w:tblW w:w="0" w:type="auto"/>
        <w:tblLook w:val="04A0" w:firstRow="1" w:lastRow="0" w:firstColumn="1" w:lastColumn="0" w:noHBand="0" w:noVBand="1"/>
      </w:tblPr>
      <w:tblGrid>
        <w:gridCol w:w="2573"/>
        <w:gridCol w:w="766"/>
        <w:gridCol w:w="766"/>
        <w:gridCol w:w="766"/>
        <w:gridCol w:w="766"/>
        <w:gridCol w:w="766"/>
        <w:gridCol w:w="766"/>
        <w:gridCol w:w="1136"/>
        <w:gridCol w:w="1266"/>
      </w:tblGrid>
      <w:tr w:rsidR="00171AA8" w:rsidRPr="00731FE2" w14:paraId="7A4A68E2" w14:textId="77777777">
        <w:trPr>
          <w:trHeight w:val="774"/>
        </w:trPr>
        <w:tc>
          <w:tcPr>
            <w:tcW w:w="3563" w:type="dxa"/>
            <w:vAlign w:val="center"/>
          </w:tcPr>
          <w:p w14:paraId="6F55A72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2"/>
                <w:szCs w:val="20"/>
              </w:rPr>
            </w:pPr>
            <w:r w:rsidRPr="00731FE2">
              <w:rPr>
                <w:rFonts w:ascii="Times New Roman" w:eastAsia="Times New Roman" w:hAnsi="Times New Roman" w:cs="Times New Roman"/>
                <w:b/>
                <w:color w:val="000000"/>
                <w:sz w:val="22"/>
                <w:szCs w:val="20"/>
              </w:rPr>
              <w:t>Прогнозная оценка</w:t>
            </w:r>
          </w:p>
        </w:tc>
        <w:tc>
          <w:tcPr>
            <w:tcW w:w="565" w:type="dxa"/>
            <w:noWrap/>
            <w:vAlign w:val="center"/>
          </w:tcPr>
          <w:p w14:paraId="43FB7C2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2"/>
                <w:szCs w:val="20"/>
              </w:rPr>
            </w:pPr>
            <w:r w:rsidRPr="00731FE2">
              <w:rPr>
                <w:rFonts w:ascii="Times New Roman" w:eastAsia="Times New Roman" w:hAnsi="Times New Roman" w:cs="Times New Roman"/>
                <w:b/>
                <w:color w:val="000000"/>
                <w:sz w:val="22"/>
                <w:szCs w:val="20"/>
              </w:rPr>
              <w:t>2023</w:t>
            </w:r>
          </w:p>
        </w:tc>
        <w:tc>
          <w:tcPr>
            <w:tcW w:w="565" w:type="dxa"/>
            <w:noWrap/>
            <w:vAlign w:val="center"/>
          </w:tcPr>
          <w:p w14:paraId="21D5F7E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2"/>
                <w:szCs w:val="20"/>
              </w:rPr>
            </w:pPr>
            <w:r w:rsidRPr="00731FE2">
              <w:rPr>
                <w:rFonts w:ascii="Times New Roman" w:eastAsia="Times New Roman" w:hAnsi="Times New Roman" w:cs="Times New Roman"/>
                <w:b/>
                <w:color w:val="000000"/>
                <w:sz w:val="22"/>
                <w:szCs w:val="20"/>
              </w:rPr>
              <w:t>2029</w:t>
            </w:r>
          </w:p>
        </w:tc>
        <w:tc>
          <w:tcPr>
            <w:tcW w:w="563" w:type="dxa"/>
            <w:noWrap/>
            <w:vAlign w:val="center"/>
          </w:tcPr>
          <w:p w14:paraId="2893FA5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2"/>
                <w:szCs w:val="20"/>
              </w:rPr>
            </w:pPr>
            <w:r w:rsidRPr="00731FE2">
              <w:rPr>
                <w:rFonts w:ascii="Times New Roman" w:eastAsia="Times New Roman" w:hAnsi="Times New Roman" w:cs="Times New Roman"/>
                <w:b/>
                <w:color w:val="000000"/>
                <w:sz w:val="22"/>
                <w:szCs w:val="20"/>
              </w:rPr>
              <w:t>2034</w:t>
            </w:r>
          </w:p>
        </w:tc>
        <w:tc>
          <w:tcPr>
            <w:tcW w:w="565" w:type="dxa"/>
            <w:noWrap/>
            <w:vAlign w:val="center"/>
          </w:tcPr>
          <w:p w14:paraId="4FF78F8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2"/>
                <w:szCs w:val="20"/>
              </w:rPr>
            </w:pPr>
            <w:r w:rsidRPr="00731FE2">
              <w:rPr>
                <w:rFonts w:ascii="Times New Roman" w:eastAsia="Times New Roman" w:hAnsi="Times New Roman" w:cs="Times New Roman"/>
                <w:b/>
                <w:color w:val="000000"/>
                <w:sz w:val="22"/>
                <w:szCs w:val="20"/>
              </w:rPr>
              <w:t>2039</w:t>
            </w:r>
          </w:p>
        </w:tc>
        <w:tc>
          <w:tcPr>
            <w:tcW w:w="563" w:type="dxa"/>
            <w:noWrap/>
            <w:vAlign w:val="center"/>
          </w:tcPr>
          <w:p w14:paraId="674A298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2"/>
                <w:szCs w:val="20"/>
              </w:rPr>
            </w:pPr>
            <w:r w:rsidRPr="00731FE2">
              <w:rPr>
                <w:rFonts w:ascii="Times New Roman" w:eastAsia="Times New Roman" w:hAnsi="Times New Roman" w:cs="Times New Roman"/>
                <w:b/>
                <w:color w:val="000000"/>
                <w:sz w:val="22"/>
                <w:szCs w:val="20"/>
              </w:rPr>
              <w:t>2044</w:t>
            </w:r>
          </w:p>
        </w:tc>
        <w:tc>
          <w:tcPr>
            <w:tcW w:w="567" w:type="dxa"/>
            <w:noWrap/>
            <w:vAlign w:val="center"/>
          </w:tcPr>
          <w:p w14:paraId="2327E0B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2"/>
                <w:szCs w:val="20"/>
              </w:rPr>
            </w:pPr>
            <w:r w:rsidRPr="00731FE2">
              <w:rPr>
                <w:rFonts w:ascii="Times New Roman" w:eastAsia="Times New Roman" w:hAnsi="Times New Roman" w:cs="Times New Roman"/>
                <w:b/>
                <w:color w:val="000000"/>
                <w:sz w:val="22"/>
                <w:szCs w:val="20"/>
              </w:rPr>
              <w:t>2049</w:t>
            </w:r>
          </w:p>
        </w:tc>
        <w:tc>
          <w:tcPr>
            <w:tcW w:w="1136" w:type="dxa"/>
            <w:vAlign w:val="center"/>
          </w:tcPr>
          <w:p w14:paraId="4BE4503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2"/>
                <w:szCs w:val="20"/>
              </w:rPr>
            </w:pPr>
            <w:r w:rsidRPr="00731FE2">
              <w:rPr>
                <w:rFonts w:ascii="Times New Roman" w:eastAsia="Times New Roman" w:hAnsi="Times New Roman" w:cs="Times New Roman"/>
                <w:b/>
                <w:color w:val="000000"/>
                <w:sz w:val="22"/>
                <w:szCs w:val="20"/>
              </w:rPr>
              <w:t xml:space="preserve">Темп </w:t>
            </w:r>
            <w:r w:rsidRPr="00731FE2">
              <w:rPr>
                <w:rFonts w:ascii="Times New Roman" w:eastAsia="Times New Roman" w:hAnsi="Times New Roman" w:cs="Times New Roman"/>
                <w:b/>
                <w:color w:val="000000"/>
                <w:sz w:val="20"/>
                <w:szCs w:val="18"/>
              </w:rPr>
              <w:t>прироста</w:t>
            </w:r>
            <w:r w:rsidRPr="00731FE2">
              <w:rPr>
                <w:rFonts w:ascii="Times New Roman" w:eastAsia="Times New Roman" w:hAnsi="Times New Roman" w:cs="Times New Roman"/>
                <w:b/>
                <w:color w:val="000000"/>
                <w:sz w:val="22"/>
                <w:szCs w:val="20"/>
              </w:rPr>
              <w:t xml:space="preserve"> 2034 к 2023, %</w:t>
            </w:r>
          </w:p>
        </w:tc>
        <w:tc>
          <w:tcPr>
            <w:tcW w:w="1266" w:type="dxa"/>
            <w:vAlign w:val="center"/>
          </w:tcPr>
          <w:p w14:paraId="10E69E0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2"/>
                <w:szCs w:val="20"/>
              </w:rPr>
            </w:pPr>
            <w:r w:rsidRPr="00731FE2">
              <w:rPr>
                <w:rFonts w:ascii="Times New Roman" w:eastAsia="Times New Roman" w:hAnsi="Times New Roman" w:cs="Times New Roman"/>
                <w:b/>
                <w:color w:val="000000"/>
                <w:sz w:val="22"/>
                <w:szCs w:val="20"/>
              </w:rPr>
              <w:t xml:space="preserve">Темп </w:t>
            </w:r>
            <w:r w:rsidRPr="00731FE2">
              <w:rPr>
                <w:rFonts w:ascii="Times New Roman" w:eastAsia="Times New Roman" w:hAnsi="Times New Roman" w:cs="Times New Roman"/>
                <w:b/>
                <w:color w:val="000000"/>
                <w:sz w:val="20"/>
                <w:szCs w:val="18"/>
              </w:rPr>
              <w:t>прироста</w:t>
            </w:r>
            <w:r w:rsidRPr="00731FE2">
              <w:rPr>
                <w:rFonts w:ascii="Times New Roman" w:eastAsia="Times New Roman" w:hAnsi="Times New Roman" w:cs="Times New Roman"/>
                <w:b/>
                <w:color w:val="000000"/>
                <w:sz w:val="22"/>
                <w:szCs w:val="20"/>
              </w:rPr>
              <w:t xml:space="preserve"> 2044 к 2023, %</w:t>
            </w:r>
          </w:p>
        </w:tc>
      </w:tr>
      <w:tr w:rsidR="00171AA8" w:rsidRPr="00731FE2" w14:paraId="43E8725E" w14:textId="77777777">
        <w:trPr>
          <w:trHeight w:val="288"/>
        </w:trPr>
        <w:tc>
          <w:tcPr>
            <w:tcW w:w="3563" w:type="dxa"/>
            <w:vAlign w:val="center"/>
          </w:tcPr>
          <w:p w14:paraId="13A6923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по оптимистическому сценарию</w:t>
            </w:r>
          </w:p>
        </w:tc>
        <w:tc>
          <w:tcPr>
            <w:tcW w:w="565" w:type="dxa"/>
            <w:noWrap/>
            <w:vAlign w:val="center"/>
          </w:tcPr>
          <w:p w14:paraId="784472B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34924</w:t>
            </w:r>
          </w:p>
        </w:tc>
        <w:tc>
          <w:tcPr>
            <w:tcW w:w="565" w:type="dxa"/>
            <w:noWrap/>
            <w:vAlign w:val="center"/>
          </w:tcPr>
          <w:p w14:paraId="74F2BB4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33818</w:t>
            </w:r>
          </w:p>
        </w:tc>
        <w:tc>
          <w:tcPr>
            <w:tcW w:w="563" w:type="dxa"/>
            <w:noWrap/>
            <w:vAlign w:val="center"/>
          </w:tcPr>
          <w:p w14:paraId="1F07DED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32961</w:t>
            </w:r>
          </w:p>
        </w:tc>
        <w:tc>
          <w:tcPr>
            <w:tcW w:w="565" w:type="dxa"/>
            <w:noWrap/>
            <w:vAlign w:val="center"/>
          </w:tcPr>
          <w:p w14:paraId="0BFC0F8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31669</w:t>
            </w:r>
          </w:p>
        </w:tc>
        <w:tc>
          <w:tcPr>
            <w:tcW w:w="563" w:type="dxa"/>
            <w:noWrap/>
            <w:vAlign w:val="center"/>
          </w:tcPr>
          <w:p w14:paraId="5FEBB34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30511</w:t>
            </w:r>
          </w:p>
        </w:tc>
        <w:tc>
          <w:tcPr>
            <w:tcW w:w="567" w:type="dxa"/>
            <w:noWrap/>
            <w:vAlign w:val="center"/>
          </w:tcPr>
          <w:p w14:paraId="704AC9A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30966</w:t>
            </w:r>
          </w:p>
        </w:tc>
        <w:tc>
          <w:tcPr>
            <w:tcW w:w="1136" w:type="dxa"/>
            <w:noWrap/>
            <w:vAlign w:val="center"/>
          </w:tcPr>
          <w:p w14:paraId="00279B8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-5,6</w:t>
            </w:r>
          </w:p>
        </w:tc>
        <w:tc>
          <w:tcPr>
            <w:tcW w:w="1266" w:type="dxa"/>
            <w:noWrap/>
            <w:vAlign w:val="center"/>
          </w:tcPr>
          <w:p w14:paraId="0A85A3C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-12,6</w:t>
            </w:r>
          </w:p>
        </w:tc>
      </w:tr>
      <w:tr w:rsidR="00171AA8" w:rsidRPr="00731FE2" w14:paraId="6831C5C1" w14:textId="77777777">
        <w:trPr>
          <w:trHeight w:val="288"/>
        </w:trPr>
        <w:tc>
          <w:tcPr>
            <w:tcW w:w="3563" w:type="dxa"/>
            <w:vAlign w:val="center"/>
          </w:tcPr>
          <w:p w14:paraId="4778520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по среднему варианту</w:t>
            </w:r>
          </w:p>
        </w:tc>
        <w:tc>
          <w:tcPr>
            <w:tcW w:w="565" w:type="dxa"/>
            <w:noWrap/>
            <w:vAlign w:val="center"/>
          </w:tcPr>
          <w:p w14:paraId="6DF0024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34924</w:t>
            </w:r>
          </w:p>
        </w:tc>
        <w:tc>
          <w:tcPr>
            <w:tcW w:w="565" w:type="dxa"/>
            <w:noWrap/>
            <w:vAlign w:val="center"/>
          </w:tcPr>
          <w:p w14:paraId="2B9443E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33553</w:t>
            </w:r>
          </w:p>
        </w:tc>
        <w:tc>
          <w:tcPr>
            <w:tcW w:w="563" w:type="dxa"/>
            <w:noWrap/>
            <w:vAlign w:val="center"/>
          </w:tcPr>
          <w:p w14:paraId="71FE7E6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32311</w:t>
            </w:r>
          </w:p>
        </w:tc>
        <w:tc>
          <w:tcPr>
            <w:tcW w:w="565" w:type="dxa"/>
            <w:noWrap/>
            <w:vAlign w:val="center"/>
          </w:tcPr>
          <w:p w14:paraId="4B438B0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30558</w:t>
            </w:r>
          </w:p>
        </w:tc>
        <w:tc>
          <w:tcPr>
            <w:tcW w:w="563" w:type="dxa"/>
            <w:noWrap/>
            <w:vAlign w:val="center"/>
          </w:tcPr>
          <w:p w14:paraId="7938AD0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28961</w:t>
            </w:r>
          </w:p>
        </w:tc>
        <w:tc>
          <w:tcPr>
            <w:tcW w:w="567" w:type="dxa"/>
            <w:noWrap/>
            <w:vAlign w:val="center"/>
          </w:tcPr>
          <w:p w14:paraId="0E53F06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28953</w:t>
            </w:r>
          </w:p>
        </w:tc>
        <w:tc>
          <w:tcPr>
            <w:tcW w:w="1136" w:type="dxa"/>
            <w:noWrap/>
            <w:vAlign w:val="center"/>
          </w:tcPr>
          <w:p w14:paraId="453AF5F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-7,5</w:t>
            </w:r>
          </w:p>
        </w:tc>
        <w:tc>
          <w:tcPr>
            <w:tcW w:w="1266" w:type="dxa"/>
            <w:noWrap/>
            <w:vAlign w:val="center"/>
          </w:tcPr>
          <w:p w14:paraId="01F9D37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-17,1</w:t>
            </w:r>
          </w:p>
        </w:tc>
      </w:tr>
      <w:tr w:rsidR="00171AA8" w:rsidRPr="00731FE2" w14:paraId="24C3A053" w14:textId="77777777">
        <w:trPr>
          <w:trHeight w:val="288"/>
        </w:trPr>
        <w:tc>
          <w:tcPr>
            <w:tcW w:w="3563" w:type="dxa"/>
            <w:vAlign w:val="center"/>
          </w:tcPr>
          <w:p w14:paraId="587C7B4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по пессимистическому сценарию</w:t>
            </w:r>
          </w:p>
        </w:tc>
        <w:tc>
          <w:tcPr>
            <w:tcW w:w="565" w:type="dxa"/>
            <w:noWrap/>
            <w:vAlign w:val="center"/>
          </w:tcPr>
          <w:p w14:paraId="3A92D89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34924</w:t>
            </w:r>
          </w:p>
        </w:tc>
        <w:tc>
          <w:tcPr>
            <w:tcW w:w="565" w:type="dxa"/>
            <w:noWrap/>
            <w:vAlign w:val="center"/>
          </w:tcPr>
          <w:p w14:paraId="2E8C0BB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33198</w:t>
            </w:r>
          </w:p>
        </w:tc>
        <w:tc>
          <w:tcPr>
            <w:tcW w:w="563" w:type="dxa"/>
            <w:noWrap/>
            <w:vAlign w:val="center"/>
          </w:tcPr>
          <w:p w14:paraId="4DAA7D2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31345</w:t>
            </w:r>
          </w:p>
        </w:tc>
        <w:tc>
          <w:tcPr>
            <w:tcW w:w="565" w:type="dxa"/>
            <w:noWrap/>
            <w:vAlign w:val="center"/>
          </w:tcPr>
          <w:p w14:paraId="208FAC1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28867</w:t>
            </w:r>
          </w:p>
        </w:tc>
        <w:tc>
          <w:tcPr>
            <w:tcW w:w="563" w:type="dxa"/>
            <w:noWrap/>
            <w:vAlign w:val="center"/>
          </w:tcPr>
          <w:p w14:paraId="42CAACC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26635</w:t>
            </w:r>
          </w:p>
        </w:tc>
        <w:tc>
          <w:tcPr>
            <w:tcW w:w="567" w:type="dxa"/>
            <w:noWrap/>
            <w:vAlign w:val="center"/>
          </w:tcPr>
          <w:p w14:paraId="74540D4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26077</w:t>
            </w:r>
          </w:p>
        </w:tc>
        <w:tc>
          <w:tcPr>
            <w:tcW w:w="1136" w:type="dxa"/>
            <w:noWrap/>
            <w:vAlign w:val="center"/>
          </w:tcPr>
          <w:p w14:paraId="578DA68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-10,2</w:t>
            </w:r>
          </w:p>
        </w:tc>
        <w:tc>
          <w:tcPr>
            <w:tcW w:w="1266" w:type="dxa"/>
            <w:noWrap/>
            <w:vAlign w:val="center"/>
          </w:tcPr>
          <w:p w14:paraId="703B0F3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-23,7</w:t>
            </w:r>
          </w:p>
        </w:tc>
      </w:tr>
    </w:tbl>
    <w:p w14:paraId="7FEA66FE" w14:textId="77777777" w:rsidR="00171AA8" w:rsidRPr="00731FE2" w:rsidRDefault="00171AA8">
      <w:pPr>
        <w:pBdr>
          <w:top w:val="none" w:sz="4" w:space="0" w:color="000000"/>
          <w:left w:val="none" w:sz="4" w:space="0" w:color="000000"/>
          <w:bottom w:val="none" w:sz="4" w:space="0" w:color="000000"/>
          <w:right w:val="none" w:sz="4" w:space="0" w:color="000000"/>
        </w:pBdr>
        <w:spacing w:line="276" w:lineRule="atLeast"/>
      </w:pPr>
    </w:p>
    <w:p w14:paraId="5E7E0C1E"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rPr>
      </w:pPr>
      <w:r w:rsidRPr="00731FE2">
        <w:rPr>
          <w:rFonts w:ascii="Times New Roman" w:eastAsia="Times New Roman" w:hAnsi="Times New Roman" w:cs="Times New Roman"/>
          <w:szCs w:val="24"/>
        </w:rPr>
        <w:t xml:space="preserve">Все сценарии развития предполагают снижение численности женщин детородного возраста в Кисловодске. Изменившиеся условия не позволят рассчитывать на высокую рождаемость в молодых возрастах. В связи с этим станет актуальной проблема стимулирования женщин рожать и оставаться в регионе. </w:t>
      </w:r>
    </w:p>
    <w:p w14:paraId="24A3BFD4"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rPr>
      </w:pPr>
      <w:r w:rsidRPr="00731FE2">
        <w:rPr>
          <w:rFonts w:ascii="Times New Roman" w:eastAsia="Times New Roman" w:hAnsi="Times New Roman" w:cs="Times New Roman"/>
          <w:szCs w:val="24"/>
        </w:rPr>
        <w:lastRenderedPageBreak/>
        <w:t>Среди основных демографических показателей по прогнозам миграция является наиболее сложной. Точный объем и направление миграции трудно определить из-за сложности учета, поэтому с помощью имеющейся информации можно оценить тенденции миграции.</w:t>
      </w:r>
    </w:p>
    <w:p w14:paraId="3902F531" w14:textId="77777777" w:rsidR="00171AA8" w:rsidRPr="00731FE2" w:rsidRDefault="00171AA8">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rPr>
      </w:pPr>
    </w:p>
    <w:p w14:paraId="41853616" w14:textId="77777777" w:rsidR="00171AA8" w:rsidRPr="00731FE2" w:rsidRDefault="0058161E" w:rsidP="0058161E">
      <w:pPr>
        <w:pBdr>
          <w:top w:val="none" w:sz="4" w:space="0" w:color="000000"/>
          <w:left w:val="none" w:sz="4" w:space="0" w:color="000000"/>
          <w:bottom w:val="none" w:sz="4" w:space="0" w:color="000000"/>
          <w:right w:val="none" w:sz="4" w:space="0" w:color="000000"/>
        </w:pBdr>
        <w:spacing w:line="240" w:lineRule="auto"/>
        <w:ind w:firstLine="0"/>
        <w:rPr>
          <w:rFonts w:ascii="Times New Roman" w:hAnsi="Times New Roman" w:cs="Times New Roman"/>
          <w:b/>
          <w:bCs/>
          <w:color w:val="000000" w:themeColor="text1"/>
          <w:szCs w:val="24"/>
        </w:rPr>
      </w:pPr>
      <w:r w:rsidRPr="00731FE2">
        <w:rPr>
          <w:rFonts w:ascii="Times New Roman" w:hAnsi="Times New Roman" w:cs="Times New Roman"/>
          <w:b/>
          <w:bCs/>
          <w:color w:val="000000" w:themeColor="text1"/>
          <w:szCs w:val="24"/>
        </w:rPr>
        <w:t xml:space="preserve">Таблица </w:t>
      </w:r>
      <w:r w:rsidRPr="00731FE2">
        <w:rPr>
          <w:rFonts w:ascii="Times New Roman" w:hAnsi="Times New Roman" w:cs="Times New Roman"/>
          <w:b/>
          <w:bCs/>
          <w:color w:val="000000" w:themeColor="text1"/>
          <w:szCs w:val="24"/>
        </w:rPr>
        <w:fldChar w:fldCharType="begin"/>
      </w:r>
      <w:r w:rsidRPr="00731FE2">
        <w:rPr>
          <w:rFonts w:ascii="Times New Roman" w:hAnsi="Times New Roman" w:cs="Times New Roman"/>
          <w:b/>
          <w:bCs/>
          <w:color w:val="000000" w:themeColor="text1"/>
          <w:szCs w:val="24"/>
        </w:rPr>
        <w:instrText xml:space="preserve"> SEQ Таблица \* Arabic </w:instrText>
      </w:r>
      <w:r w:rsidRPr="00731FE2">
        <w:rPr>
          <w:rFonts w:ascii="Times New Roman" w:hAnsi="Times New Roman" w:cs="Times New Roman"/>
          <w:b/>
          <w:bCs/>
          <w:color w:val="000000" w:themeColor="text1"/>
          <w:szCs w:val="24"/>
        </w:rPr>
        <w:fldChar w:fldCharType="separate"/>
      </w:r>
      <w:r w:rsidR="00C50915" w:rsidRPr="00731FE2">
        <w:rPr>
          <w:rFonts w:ascii="Times New Roman" w:hAnsi="Times New Roman" w:cs="Times New Roman"/>
          <w:b/>
          <w:bCs/>
          <w:noProof/>
          <w:color w:val="000000" w:themeColor="text1"/>
          <w:szCs w:val="24"/>
        </w:rPr>
        <w:t>65</w:t>
      </w:r>
      <w:r w:rsidRPr="00731FE2">
        <w:rPr>
          <w:rFonts w:ascii="Times New Roman" w:hAnsi="Times New Roman" w:cs="Times New Roman"/>
          <w:b/>
          <w:bCs/>
          <w:color w:val="000000" w:themeColor="text1"/>
          <w:szCs w:val="24"/>
        </w:rPr>
        <w:fldChar w:fldCharType="end"/>
      </w:r>
      <w:r w:rsidRPr="00731FE2">
        <w:rPr>
          <w:rFonts w:ascii="Times New Roman" w:hAnsi="Times New Roman" w:cs="Times New Roman"/>
          <w:b/>
          <w:bCs/>
          <w:color w:val="000000" w:themeColor="text1"/>
          <w:szCs w:val="24"/>
        </w:rPr>
        <w:t xml:space="preserve"> – </w:t>
      </w:r>
      <w:r w:rsidR="007935AB" w:rsidRPr="00731FE2">
        <w:rPr>
          <w:rFonts w:ascii="Times New Roman" w:hAnsi="Times New Roman" w:cs="Times New Roman"/>
          <w:b/>
          <w:bCs/>
          <w:color w:val="000000" w:themeColor="text1"/>
          <w:szCs w:val="24"/>
        </w:rPr>
        <w:t xml:space="preserve">Прогнозная оценка миграции населения в городском округе городе-курорте Кисловодске по целевому сценарию в 2024-2048 гг., чел. </w:t>
      </w:r>
    </w:p>
    <w:tbl>
      <w:tblPr>
        <w:tblStyle w:val="TableGridReport1"/>
        <w:tblW w:w="0" w:type="auto"/>
        <w:tblLook w:val="04A0" w:firstRow="1" w:lastRow="0" w:firstColumn="1" w:lastColumn="0" w:noHBand="0" w:noVBand="1"/>
      </w:tblPr>
      <w:tblGrid>
        <w:gridCol w:w="2845"/>
        <w:gridCol w:w="1417"/>
        <w:gridCol w:w="1419"/>
        <w:gridCol w:w="1275"/>
        <w:gridCol w:w="1226"/>
        <w:gridCol w:w="1172"/>
      </w:tblGrid>
      <w:tr w:rsidR="00171AA8" w:rsidRPr="00731FE2" w14:paraId="6DED6377" w14:textId="77777777">
        <w:trPr>
          <w:trHeight w:val="588"/>
        </w:trPr>
        <w:tc>
          <w:tcPr>
            <w:tcW w:w="2845" w:type="dxa"/>
            <w:noWrap/>
            <w:vAlign w:val="center"/>
          </w:tcPr>
          <w:p w14:paraId="2E78C94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b/>
                <w:bCs/>
                <w:color w:val="000000"/>
                <w:sz w:val="22"/>
                <w:szCs w:val="20"/>
              </w:rPr>
            </w:pPr>
            <w:r w:rsidRPr="00731FE2">
              <w:rPr>
                <w:rFonts w:ascii="Times New Roman" w:eastAsia="Times New Roman" w:hAnsi="Times New Roman" w:cs="Times New Roman"/>
                <w:b/>
                <w:bCs/>
                <w:color w:val="000000"/>
                <w:sz w:val="22"/>
                <w:szCs w:val="20"/>
              </w:rPr>
              <w:t>Показатель</w:t>
            </w:r>
          </w:p>
        </w:tc>
        <w:tc>
          <w:tcPr>
            <w:tcW w:w="1417" w:type="dxa"/>
            <w:vAlign w:val="center"/>
          </w:tcPr>
          <w:p w14:paraId="6ACF6A9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2"/>
                <w:szCs w:val="20"/>
              </w:rPr>
            </w:pPr>
            <w:r w:rsidRPr="00731FE2">
              <w:rPr>
                <w:rFonts w:ascii="Times New Roman" w:eastAsia="Times New Roman" w:hAnsi="Times New Roman" w:cs="Times New Roman"/>
                <w:b/>
                <w:color w:val="000000"/>
                <w:sz w:val="22"/>
                <w:szCs w:val="20"/>
              </w:rPr>
              <w:t>2024-2028</w:t>
            </w:r>
          </w:p>
        </w:tc>
        <w:tc>
          <w:tcPr>
            <w:tcW w:w="1419" w:type="dxa"/>
            <w:noWrap/>
            <w:vAlign w:val="center"/>
          </w:tcPr>
          <w:p w14:paraId="3239C22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2"/>
                <w:szCs w:val="20"/>
              </w:rPr>
            </w:pPr>
            <w:r w:rsidRPr="00731FE2">
              <w:rPr>
                <w:rFonts w:ascii="Times New Roman" w:eastAsia="Times New Roman" w:hAnsi="Times New Roman" w:cs="Times New Roman"/>
                <w:b/>
                <w:color w:val="000000"/>
                <w:sz w:val="22"/>
                <w:szCs w:val="20"/>
              </w:rPr>
              <w:t>2029-2033</w:t>
            </w:r>
          </w:p>
        </w:tc>
        <w:tc>
          <w:tcPr>
            <w:tcW w:w="1275" w:type="dxa"/>
            <w:noWrap/>
            <w:vAlign w:val="center"/>
          </w:tcPr>
          <w:p w14:paraId="6CD955B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2"/>
                <w:szCs w:val="20"/>
              </w:rPr>
            </w:pPr>
            <w:r w:rsidRPr="00731FE2">
              <w:rPr>
                <w:rFonts w:ascii="Times New Roman" w:eastAsia="Times New Roman" w:hAnsi="Times New Roman" w:cs="Times New Roman"/>
                <w:b/>
                <w:color w:val="000000"/>
                <w:sz w:val="22"/>
                <w:szCs w:val="20"/>
              </w:rPr>
              <w:t>2034-2038</w:t>
            </w:r>
          </w:p>
        </w:tc>
        <w:tc>
          <w:tcPr>
            <w:tcW w:w="1226" w:type="dxa"/>
            <w:noWrap/>
            <w:vAlign w:val="center"/>
          </w:tcPr>
          <w:p w14:paraId="68BA0C4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2"/>
                <w:szCs w:val="20"/>
              </w:rPr>
            </w:pPr>
            <w:r w:rsidRPr="00731FE2">
              <w:rPr>
                <w:rFonts w:ascii="Times New Roman" w:eastAsia="Times New Roman" w:hAnsi="Times New Roman" w:cs="Times New Roman"/>
                <w:b/>
                <w:color w:val="000000"/>
                <w:sz w:val="22"/>
                <w:szCs w:val="20"/>
              </w:rPr>
              <w:t>2039-2044</w:t>
            </w:r>
          </w:p>
        </w:tc>
        <w:tc>
          <w:tcPr>
            <w:tcW w:w="1172" w:type="dxa"/>
            <w:noWrap/>
            <w:vAlign w:val="center"/>
          </w:tcPr>
          <w:p w14:paraId="4475954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2"/>
                <w:szCs w:val="20"/>
              </w:rPr>
            </w:pPr>
            <w:r w:rsidRPr="00731FE2">
              <w:rPr>
                <w:rFonts w:ascii="Times New Roman" w:eastAsia="Times New Roman" w:hAnsi="Times New Roman" w:cs="Times New Roman"/>
                <w:b/>
                <w:color w:val="000000"/>
                <w:sz w:val="22"/>
                <w:szCs w:val="20"/>
              </w:rPr>
              <w:t>2044-2048</w:t>
            </w:r>
          </w:p>
        </w:tc>
      </w:tr>
      <w:tr w:rsidR="00171AA8" w:rsidRPr="00731FE2" w14:paraId="308EEE98" w14:textId="77777777">
        <w:trPr>
          <w:trHeight w:val="220"/>
        </w:trPr>
        <w:tc>
          <w:tcPr>
            <w:tcW w:w="2845" w:type="dxa"/>
            <w:noWrap/>
            <w:vAlign w:val="center"/>
          </w:tcPr>
          <w:p w14:paraId="470DCAC9" w14:textId="77777777" w:rsidR="00171AA8" w:rsidRPr="00731FE2" w:rsidRDefault="007935AB">
            <w:pPr>
              <w:pBdr>
                <w:top w:val="none" w:sz="4" w:space="0" w:color="000000"/>
                <w:left w:val="none" w:sz="4" w:space="0" w:color="000000"/>
                <w:bottom w:val="none" w:sz="4" w:space="0" w:color="000000"/>
                <w:right w:val="none" w:sz="4" w:space="0" w:color="000000"/>
              </w:pBdr>
              <w:ind w:firstLine="0"/>
              <w:rPr>
                <w:sz w:val="22"/>
                <w:szCs w:val="20"/>
              </w:rPr>
            </w:pPr>
            <w:r w:rsidRPr="00731FE2">
              <w:rPr>
                <w:rFonts w:ascii="Times New Roman" w:eastAsia="Times New Roman" w:hAnsi="Times New Roman" w:cs="Times New Roman"/>
                <w:color w:val="000000"/>
                <w:sz w:val="22"/>
                <w:szCs w:val="20"/>
              </w:rPr>
              <w:t>Прибыло</w:t>
            </w:r>
          </w:p>
        </w:tc>
        <w:tc>
          <w:tcPr>
            <w:tcW w:w="1417" w:type="dxa"/>
            <w:vAlign w:val="bottom"/>
          </w:tcPr>
          <w:p w14:paraId="772952E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13505</w:t>
            </w:r>
          </w:p>
        </w:tc>
        <w:tc>
          <w:tcPr>
            <w:tcW w:w="1419" w:type="dxa"/>
            <w:noWrap/>
            <w:vAlign w:val="bottom"/>
          </w:tcPr>
          <w:p w14:paraId="075EC94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14451</w:t>
            </w:r>
          </w:p>
        </w:tc>
        <w:tc>
          <w:tcPr>
            <w:tcW w:w="1275" w:type="dxa"/>
            <w:noWrap/>
            <w:vAlign w:val="bottom"/>
          </w:tcPr>
          <w:p w14:paraId="5A5D773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15318</w:t>
            </w:r>
          </w:p>
        </w:tc>
        <w:tc>
          <w:tcPr>
            <w:tcW w:w="1226" w:type="dxa"/>
            <w:noWrap/>
            <w:vAlign w:val="bottom"/>
          </w:tcPr>
          <w:p w14:paraId="4EB2AC6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15931</w:t>
            </w:r>
          </w:p>
        </w:tc>
        <w:tc>
          <w:tcPr>
            <w:tcW w:w="1172" w:type="dxa"/>
            <w:noWrap/>
            <w:vAlign w:val="bottom"/>
          </w:tcPr>
          <w:p w14:paraId="378CD33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16408</w:t>
            </w:r>
          </w:p>
        </w:tc>
      </w:tr>
      <w:tr w:rsidR="00171AA8" w:rsidRPr="00731FE2" w14:paraId="7A017844" w14:textId="77777777">
        <w:trPr>
          <w:trHeight w:val="220"/>
        </w:trPr>
        <w:tc>
          <w:tcPr>
            <w:tcW w:w="2845" w:type="dxa"/>
            <w:noWrap/>
            <w:vAlign w:val="center"/>
          </w:tcPr>
          <w:p w14:paraId="7664175B" w14:textId="77777777" w:rsidR="00171AA8" w:rsidRPr="00731FE2" w:rsidRDefault="007935AB">
            <w:pPr>
              <w:pBdr>
                <w:top w:val="none" w:sz="4" w:space="0" w:color="000000"/>
                <w:left w:val="none" w:sz="4" w:space="0" w:color="000000"/>
                <w:bottom w:val="none" w:sz="4" w:space="0" w:color="000000"/>
                <w:right w:val="none" w:sz="4" w:space="0" w:color="000000"/>
              </w:pBdr>
              <w:tabs>
                <w:tab w:val="center" w:pos="1314"/>
              </w:tabs>
              <w:ind w:firstLine="0"/>
              <w:rPr>
                <w:sz w:val="22"/>
                <w:szCs w:val="20"/>
              </w:rPr>
            </w:pPr>
            <w:r w:rsidRPr="00731FE2">
              <w:rPr>
                <w:rFonts w:ascii="Times New Roman" w:eastAsia="Times New Roman" w:hAnsi="Times New Roman" w:cs="Times New Roman"/>
                <w:color w:val="000000"/>
                <w:sz w:val="22"/>
                <w:szCs w:val="20"/>
              </w:rPr>
              <w:t>Выбыло</w:t>
            </w:r>
          </w:p>
        </w:tc>
        <w:tc>
          <w:tcPr>
            <w:tcW w:w="1417" w:type="dxa"/>
            <w:vAlign w:val="bottom"/>
          </w:tcPr>
          <w:p w14:paraId="78E0EB9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13335</w:t>
            </w:r>
          </w:p>
        </w:tc>
        <w:tc>
          <w:tcPr>
            <w:tcW w:w="1419" w:type="dxa"/>
            <w:noWrap/>
            <w:vAlign w:val="bottom"/>
          </w:tcPr>
          <w:p w14:paraId="67BB625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12458</w:t>
            </w:r>
          </w:p>
        </w:tc>
        <w:tc>
          <w:tcPr>
            <w:tcW w:w="1275" w:type="dxa"/>
            <w:noWrap/>
            <w:vAlign w:val="bottom"/>
          </w:tcPr>
          <w:p w14:paraId="1AB9678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11894</w:t>
            </w:r>
          </w:p>
        </w:tc>
        <w:tc>
          <w:tcPr>
            <w:tcW w:w="1226" w:type="dxa"/>
            <w:noWrap/>
            <w:vAlign w:val="bottom"/>
          </w:tcPr>
          <w:p w14:paraId="55C53C1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11703</w:t>
            </w:r>
          </w:p>
        </w:tc>
        <w:tc>
          <w:tcPr>
            <w:tcW w:w="1172" w:type="dxa"/>
            <w:noWrap/>
            <w:vAlign w:val="bottom"/>
          </w:tcPr>
          <w:p w14:paraId="0A9E67D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11703</w:t>
            </w:r>
          </w:p>
        </w:tc>
      </w:tr>
      <w:tr w:rsidR="00171AA8" w:rsidRPr="00731FE2" w14:paraId="12125EB1" w14:textId="77777777">
        <w:trPr>
          <w:trHeight w:val="220"/>
        </w:trPr>
        <w:tc>
          <w:tcPr>
            <w:tcW w:w="2845" w:type="dxa"/>
            <w:noWrap/>
            <w:vAlign w:val="center"/>
          </w:tcPr>
          <w:p w14:paraId="256FC383" w14:textId="77777777" w:rsidR="00171AA8" w:rsidRPr="00731FE2" w:rsidRDefault="007935AB">
            <w:pPr>
              <w:pBdr>
                <w:top w:val="none" w:sz="4" w:space="0" w:color="000000"/>
                <w:left w:val="none" w:sz="4" w:space="0" w:color="000000"/>
                <w:bottom w:val="none" w:sz="4" w:space="0" w:color="000000"/>
                <w:right w:val="none" w:sz="4" w:space="0" w:color="000000"/>
              </w:pBdr>
              <w:ind w:firstLine="0"/>
              <w:rPr>
                <w:sz w:val="22"/>
                <w:szCs w:val="20"/>
              </w:rPr>
            </w:pPr>
            <w:r w:rsidRPr="00731FE2">
              <w:rPr>
                <w:rFonts w:ascii="Times New Roman" w:eastAsia="Times New Roman" w:hAnsi="Times New Roman" w:cs="Times New Roman"/>
                <w:color w:val="000000"/>
                <w:sz w:val="22"/>
                <w:szCs w:val="20"/>
              </w:rPr>
              <w:t>Миграционный прирост</w:t>
            </w:r>
          </w:p>
        </w:tc>
        <w:tc>
          <w:tcPr>
            <w:tcW w:w="1417" w:type="dxa"/>
            <w:vAlign w:val="bottom"/>
          </w:tcPr>
          <w:p w14:paraId="4BAC475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170</w:t>
            </w:r>
          </w:p>
        </w:tc>
        <w:tc>
          <w:tcPr>
            <w:tcW w:w="1419" w:type="dxa"/>
            <w:noWrap/>
            <w:vAlign w:val="bottom"/>
          </w:tcPr>
          <w:p w14:paraId="2B39AAC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1993</w:t>
            </w:r>
          </w:p>
        </w:tc>
        <w:tc>
          <w:tcPr>
            <w:tcW w:w="1275" w:type="dxa"/>
            <w:noWrap/>
            <w:vAlign w:val="bottom"/>
          </w:tcPr>
          <w:p w14:paraId="5E59436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3424</w:t>
            </w:r>
          </w:p>
        </w:tc>
        <w:tc>
          <w:tcPr>
            <w:tcW w:w="1226" w:type="dxa"/>
            <w:noWrap/>
            <w:vAlign w:val="bottom"/>
          </w:tcPr>
          <w:p w14:paraId="217C69B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4228</w:t>
            </w:r>
          </w:p>
        </w:tc>
        <w:tc>
          <w:tcPr>
            <w:tcW w:w="1172" w:type="dxa"/>
            <w:noWrap/>
            <w:vAlign w:val="bottom"/>
          </w:tcPr>
          <w:p w14:paraId="3CF159E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4705</w:t>
            </w:r>
          </w:p>
        </w:tc>
      </w:tr>
    </w:tbl>
    <w:p w14:paraId="65C75E20" w14:textId="77777777" w:rsidR="00171AA8" w:rsidRPr="00731FE2" w:rsidRDefault="00171AA8">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szCs w:val="24"/>
        </w:rPr>
      </w:pPr>
    </w:p>
    <w:p w14:paraId="2C72E9D0" w14:textId="77777777" w:rsidR="00171AA8" w:rsidRPr="00731FE2" w:rsidRDefault="0058161E" w:rsidP="0058161E">
      <w:pPr>
        <w:pBdr>
          <w:top w:val="none" w:sz="4" w:space="0" w:color="000000"/>
          <w:left w:val="none" w:sz="4" w:space="0" w:color="000000"/>
          <w:bottom w:val="none" w:sz="4" w:space="0" w:color="000000"/>
          <w:right w:val="none" w:sz="4" w:space="0" w:color="000000"/>
        </w:pBdr>
        <w:spacing w:line="240" w:lineRule="auto"/>
        <w:ind w:firstLine="0"/>
        <w:rPr>
          <w:rFonts w:ascii="Times New Roman" w:hAnsi="Times New Roman" w:cs="Times New Roman"/>
          <w:b/>
          <w:bCs/>
          <w:color w:val="000000" w:themeColor="text1"/>
          <w:szCs w:val="24"/>
        </w:rPr>
      </w:pPr>
      <w:r w:rsidRPr="00731FE2">
        <w:rPr>
          <w:rFonts w:ascii="Times New Roman" w:hAnsi="Times New Roman" w:cs="Times New Roman"/>
          <w:b/>
          <w:bCs/>
          <w:color w:val="000000" w:themeColor="text1"/>
          <w:szCs w:val="24"/>
        </w:rPr>
        <w:t xml:space="preserve">Таблица </w:t>
      </w:r>
      <w:r w:rsidRPr="00731FE2">
        <w:rPr>
          <w:rFonts w:ascii="Times New Roman" w:hAnsi="Times New Roman" w:cs="Times New Roman"/>
          <w:b/>
          <w:bCs/>
          <w:color w:val="000000" w:themeColor="text1"/>
          <w:szCs w:val="24"/>
        </w:rPr>
        <w:fldChar w:fldCharType="begin"/>
      </w:r>
      <w:r w:rsidRPr="00731FE2">
        <w:rPr>
          <w:rFonts w:ascii="Times New Roman" w:hAnsi="Times New Roman" w:cs="Times New Roman"/>
          <w:b/>
          <w:bCs/>
          <w:color w:val="000000" w:themeColor="text1"/>
          <w:szCs w:val="24"/>
        </w:rPr>
        <w:instrText xml:space="preserve"> SEQ Таблица \* Arabic </w:instrText>
      </w:r>
      <w:r w:rsidRPr="00731FE2">
        <w:rPr>
          <w:rFonts w:ascii="Times New Roman" w:hAnsi="Times New Roman" w:cs="Times New Roman"/>
          <w:b/>
          <w:bCs/>
          <w:color w:val="000000" w:themeColor="text1"/>
          <w:szCs w:val="24"/>
        </w:rPr>
        <w:fldChar w:fldCharType="separate"/>
      </w:r>
      <w:r w:rsidR="00C50915" w:rsidRPr="00731FE2">
        <w:rPr>
          <w:rFonts w:ascii="Times New Roman" w:hAnsi="Times New Roman" w:cs="Times New Roman"/>
          <w:b/>
          <w:bCs/>
          <w:noProof/>
          <w:color w:val="000000" w:themeColor="text1"/>
          <w:szCs w:val="24"/>
        </w:rPr>
        <w:t>66</w:t>
      </w:r>
      <w:r w:rsidRPr="00731FE2">
        <w:rPr>
          <w:rFonts w:ascii="Times New Roman" w:hAnsi="Times New Roman" w:cs="Times New Roman"/>
          <w:b/>
          <w:bCs/>
          <w:color w:val="000000" w:themeColor="text1"/>
          <w:szCs w:val="24"/>
        </w:rPr>
        <w:fldChar w:fldCharType="end"/>
      </w:r>
      <w:r w:rsidRPr="00731FE2">
        <w:rPr>
          <w:rFonts w:ascii="Times New Roman" w:hAnsi="Times New Roman" w:cs="Times New Roman"/>
          <w:b/>
          <w:bCs/>
          <w:color w:val="000000" w:themeColor="text1"/>
          <w:szCs w:val="24"/>
        </w:rPr>
        <w:t xml:space="preserve"> – </w:t>
      </w:r>
      <w:r w:rsidR="007935AB" w:rsidRPr="00731FE2">
        <w:rPr>
          <w:rFonts w:ascii="Times New Roman" w:hAnsi="Times New Roman" w:cs="Times New Roman"/>
          <w:b/>
          <w:bCs/>
          <w:color w:val="000000" w:themeColor="text1"/>
          <w:szCs w:val="24"/>
        </w:rPr>
        <w:t>Прогнозная оценка миграции населения в городском округе городе-курорте Кисловодске по инерционному варианту в 2024-2048 гг., чел.</w:t>
      </w:r>
    </w:p>
    <w:tbl>
      <w:tblPr>
        <w:tblStyle w:val="TableGridReport1"/>
        <w:tblW w:w="0" w:type="auto"/>
        <w:tblLook w:val="04A0" w:firstRow="1" w:lastRow="0" w:firstColumn="1" w:lastColumn="0" w:noHBand="0" w:noVBand="1"/>
      </w:tblPr>
      <w:tblGrid>
        <w:gridCol w:w="2845"/>
        <w:gridCol w:w="1417"/>
        <w:gridCol w:w="1419"/>
        <w:gridCol w:w="1275"/>
        <w:gridCol w:w="1226"/>
        <w:gridCol w:w="1172"/>
      </w:tblGrid>
      <w:tr w:rsidR="00171AA8" w:rsidRPr="00731FE2" w14:paraId="76712905" w14:textId="77777777">
        <w:trPr>
          <w:trHeight w:val="58"/>
        </w:trPr>
        <w:tc>
          <w:tcPr>
            <w:tcW w:w="2845" w:type="dxa"/>
            <w:noWrap/>
            <w:vAlign w:val="center"/>
          </w:tcPr>
          <w:p w14:paraId="4F80918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szCs w:val="20"/>
              </w:rPr>
            </w:pPr>
            <w:r w:rsidRPr="00731FE2">
              <w:rPr>
                <w:rFonts w:ascii="Times New Roman" w:eastAsia="Times New Roman" w:hAnsi="Times New Roman" w:cs="Times New Roman"/>
                <w:b/>
                <w:bCs/>
                <w:color w:val="000000"/>
                <w:sz w:val="22"/>
                <w:szCs w:val="20"/>
              </w:rPr>
              <w:t>Показатель</w:t>
            </w:r>
          </w:p>
        </w:tc>
        <w:tc>
          <w:tcPr>
            <w:tcW w:w="1417" w:type="dxa"/>
            <w:vAlign w:val="center"/>
          </w:tcPr>
          <w:p w14:paraId="125BAE0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2"/>
                <w:szCs w:val="20"/>
              </w:rPr>
            </w:pPr>
            <w:r w:rsidRPr="00731FE2">
              <w:rPr>
                <w:rFonts w:ascii="Times New Roman" w:eastAsia="Times New Roman" w:hAnsi="Times New Roman" w:cs="Times New Roman"/>
                <w:b/>
                <w:color w:val="000000"/>
                <w:sz w:val="22"/>
                <w:szCs w:val="20"/>
              </w:rPr>
              <w:t>2024-2028</w:t>
            </w:r>
          </w:p>
        </w:tc>
        <w:tc>
          <w:tcPr>
            <w:tcW w:w="1419" w:type="dxa"/>
            <w:noWrap/>
            <w:vAlign w:val="center"/>
          </w:tcPr>
          <w:p w14:paraId="62300F0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2"/>
                <w:szCs w:val="20"/>
              </w:rPr>
            </w:pPr>
            <w:r w:rsidRPr="00731FE2">
              <w:rPr>
                <w:rFonts w:ascii="Times New Roman" w:eastAsia="Times New Roman" w:hAnsi="Times New Roman" w:cs="Times New Roman"/>
                <w:b/>
                <w:color w:val="000000"/>
                <w:sz w:val="22"/>
                <w:szCs w:val="20"/>
              </w:rPr>
              <w:t>2029-2033</w:t>
            </w:r>
          </w:p>
        </w:tc>
        <w:tc>
          <w:tcPr>
            <w:tcW w:w="1275" w:type="dxa"/>
            <w:noWrap/>
            <w:vAlign w:val="center"/>
          </w:tcPr>
          <w:p w14:paraId="68BE044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2"/>
                <w:szCs w:val="20"/>
              </w:rPr>
            </w:pPr>
            <w:r w:rsidRPr="00731FE2">
              <w:rPr>
                <w:rFonts w:ascii="Times New Roman" w:eastAsia="Times New Roman" w:hAnsi="Times New Roman" w:cs="Times New Roman"/>
                <w:b/>
                <w:color w:val="000000"/>
                <w:sz w:val="22"/>
                <w:szCs w:val="20"/>
              </w:rPr>
              <w:t>2034-2038</w:t>
            </w:r>
          </w:p>
        </w:tc>
        <w:tc>
          <w:tcPr>
            <w:tcW w:w="1226" w:type="dxa"/>
            <w:noWrap/>
            <w:vAlign w:val="center"/>
          </w:tcPr>
          <w:p w14:paraId="5CB78F4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2"/>
                <w:szCs w:val="20"/>
              </w:rPr>
            </w:pPr>
            <w:r w:rsidRPr="00731FE2">
              <w:rPr>
                <w:rFonts w:ascii="Times New Roman" w:eastAsia="Times New Roman" w:hAnsi="Times New Roman" w:cs="Times New Roman"/>
                <w:b/>
                <w:color w:val="000000"/>
                <w:sz w:val="22"/>
                <w:szCs w:val="20"/>
              </w:rPr>
              <w:t>2039-2044</w:t>
            </w:r>
          </w:p>
        </w:tc>
        <w:tc>
          <w:tcPr>
            <w:tcW w:w="1172" w:type="dxa"/>
            <w:noWrap/>
            <w:vAlign w:val="center"/>
          </w:tcPr>
          <w:p w14:paraId="0900956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2"/>
                <w:szCs w:val="20"/>
              </w:rPr>
            </w:pPr>
            <w:r w:rsidRPr="00731FE2">
              <w:rPr>
                <w:rFonts w:ascii="Times New Roman" w:eastAsia="Times New Roman" w:hAnsi="Times New Roman" w:cs="Times New Roman"/>
                <w:b/>
                <w:color w:val="000000"/>
                <w:sz w:val="22"/>
                <w:szCs w:val="20"/>
              </w:rPr>
              <w:t>2044-2048</w:t>
            </w:r>
          </w:p>
        </w:tc>
      </w:tr>
      <w:tr w:rsidR="00171AA8" w:rsidRPr="00731FE2" w14:paraId="5A06B431" w14:textId="77777777">
        <w:trPr>
          <w:trHeight w:val="220"/>
        </w:trPr>
        <w:tc>
          <w:tcPr>
            <w:tcW w:w="2845" w:type="dxa"/>
            <w:noWrap/>
            <w:vAlign w:val="center"/>
          </w:tcPr>
          <w:p w14:paraId="6E3FAE62" w14:textId="77777777" w:rsidR="00171AA8" w:rsidRPr="00731FE2" w:rsidRDefault="007935AB">
            <w:pPr>
              <w:pBdr>
                <w:top w:val="none" w:sz="4" w:space="0" w:color="000000"/>
                <w:left w:val="none" w:sz="4" w:space="0" w:color="000000"/>
                <w:bottom w:val="none" w:sz="4" w:space="0" w:color="000000"/>
                <w:right w:val="none" w:sz="4" w:space="0" w:color="000000"/>
              </w:pBdr>
              <w:ind w:firstLine="0"/>
              <w:rPr>
                <w:sz w:val="22"/>
                <w:szCs w:val="20"/>
              </w:rPr>
            </w:pPr>
            <w:r w:rsidRPr="00731FE2">
              <w:rPr>
                <w:rFonts w:ascii="Times New Roman" w:eastAsia="Times New Roman" w:hAnsi="Times New Roman" w:cs="Times New Roman"/>
                <w:color w:val="000000"/>
                <w:sz w:val="22"/>
                <w:szCs w:val="20"/>
              </w:rPr>
              <w:t>Прибыло</w:t>
            </w:r>
          </w:p>
        </w:tc>
        <w:tc>
          <w:tcPr>
            <w:tcW w:w="1417" w:type="dxa"/>
            <w:vAlign w:val="bottom"/>
          </w:tcPr>
          <w:p w14:paraId="1C11D25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13130</w:t>
            </w:r>
          </w:p>
        </w:tc>
        <w:tc>
          <w:tcPr>
            <w:tcW w:w="1419" w:type="dxa"/>
            <w:noWrap/>
            <w:vAlign w:val="bottom"/>
          </w:tcPr>
          <w:p w14:paraId="72BE833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13787</w:t>
            </w:r>
          </w:p>
        </w:tc>
        <w:tc>
          <w:tcPr>
            <w:tcW w:w="1275" w:type="dxa"/>
            <w:noWrap/>
            <w:vAlign w:val="bottom"/>
          </w:tcPr>
          <w:p w14:paraId="11BC65E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14338</w:t>
            </w:r>
          </w:p>
        </w:tc>
        <w:tc>
          <w:tcPr>
            <w:tcW w:w="1226" w:type="dxa"/>
            <w:noWrap/>
            <w:vAlign w:val="bottom"/>
          </w:tcPr>
          <w:p w14:paraId="039E9DF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14768</w:t>
            </w:r>
          </w:p>
        </w:tc>
        <w:tc>
          <w:tcPr>
            <w:tcW w:w="1172" w:type="dxa"/>
            <w:noWrap/>
            <w:vAlign w:val="bottom"/>
          </w:tcPr>
          <w:p w14:paraId="771E21E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15064</w:t>
            </w:r>
          </w:p>
        </w:tc>
      </w:tr>
      <w:tr w:rsidR="00171AA8" w:rsidRPr="00731FE2" w14:paraId="6C4B6319" w14:textId="77777777">
        <w:trPr>
          <w:trHeight w:val="220"/>
        </w:trPr>
        <w:tc>
          <w:tcPr>
            <w:tcW w:w="2845" w:type="dxa"/>
            <w:noWrap/>
            <w:vAlign w:val="center"/>
          </w:tcPr>
          <w:p w14:paraId="4E3B9497" w14:textId="77777777" w:rsidR="00171AA8" w:rsidRPr="00731FE2" w:rsidRDefault="007935AB">
            <w:pPr>
              <w:pBdr>
                <w:top w:val="none" w:sz="4" w:space="0" w:color="000000"/>
                <w:left w:val="none" w:sz="4" w:space="0" w:color="000000"/>
                <w:bottom w:val="none" w:sz="4" w:space="0" w:color="000000"/>
                <w:right w:val="none" w:sz="4" w:space="0" w:color="000000"/>
              </w:pBdr>
              <w:ind w:firstLine="0"/>
              <w:rPr>
                <w:sz w:val="22"/>
                <w:szCs w:val="20"/>
              </w:rPr>
            </w:pPr>
            <w:r w:rsidRPr="00731FE2">
              <w:rPr>
                <w:rFonts w:ascii="Times New Roman" w:eastAsia="Times New Roman" w:hAnsi="Times New Roman" w:cs="Times New Roman"/>
                <w:color w:val="000000"/>
                <w:sz w:val="22"/>
                <w:szCs w:val="20"/>
              </w:rPr>
              <w:t>Выбыло</w:t>
            </w:r>
          </w:p>
        </w:tc>
        <w:tc>
          <w:tcPr>
            <w:tcW w:w="1417" w:type="dxa"/>
            <w:vAlign w:val="bottom"/>
          </w:tcPr>
          <w:p w14:paraId="5EC0480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13719</w:t>
            </w:r>
          </w:p>
        </w:tc>
        <w:tc>
          <w:tcPr>
            <w:tcW w:w="1419" w:type="dxa"/>
            <w:noWrap/>
            <w:vAlign w:val="bottom"/>
          </w:tcPr>
          <w:p w14:paraId="1199542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12939</w:t>
            </w:r>
          </w:p>
        </w:tc>
        <w:tc>
          <w:tcPr>
            <w:tcW w:w="1275" w:type="dxa"/>
            <w:noWrap/>
            <w:vAlign w:val="bottom"/>
          </w:tcPr>
          <w:p w14:paraId="423EE4F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12429</w:t>
            </w:r>
          </w:p>
        </w:tc>
        <w:tc>
          <w:tcPr>
            <w:tcW w:w="1226" w:type="dxa"/>
            <w:noWrap/>
            <w:vAlign w:val="bottom"/>
          </w:tcPr>
          <w:p w14:paraId="01E2AE6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12149</w:t>
            </w:r>
          </w:p>
        </w:tc>
        <w:tc>
          <w:tcPr>
            <w:tcW w:w="1172" w:type="dxa"/>
            <w:noWrap/>
            <w:vAlign w:val="bottom"/>
          </w:tcPr>
          <w:p w14:paraId="704A452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12051</w:t>
            </w:r>
          </w:p>
        </w:tc>
      </w:tr>
      <w:tr w:rsidR="00171AA8" w:rsidRPr="00731FE2" w14:paraId="043CDF54" w14:textId="77777777">
        <w:trPr>
          <w:trHeight w:val="220"/>
        </w:trPr>
        <w:tc>
          <w:tcPr>
            <w:tcW w:w="2845" w:type="dxa"/>
            <w:noWrap/>
            <w:vAlign w:val="center"/>
          </w:tcPr>
          <w:p w14:paraId="2325B1F1" w14:textId="77777777" w:rsidR="00171AA8" w:rsidRPr="00731FE2" w:rsidRDefault="007935AB">
            <w:pPr>
              <w:pBdr>
                <w:top w:val="none" w:sz="4" w:space="0" w:color="000000"/>
                <w:left w:val="none" w:sz="4" w:space="0" w:color="000000"/>
                <w:bottom w:val="none" w:sz="4" w:space="0" w:color="000000"/>
                <w:right w:val="none" w:sz="4" w:space="0" w:color="000000"/>
              </w:pBdr>
              <w:ind w:firstLine="0"/>
              <w:rPr>
                <w:sz w:val="22"/>
                <w:szCs w:val="20"/>
              </w:rPr>
            </w:pPr>
            <w:r w:rsidRPr="00731FE2">
              <w:rPr>
                <w:rFonts w:ascii="Times New Roman" w:eastAsia="Times New Roman" w:hAnsi="Times New Roman" w:cs="Times New Roman"/>
                <w:color w:val="000000"/>
                <w:sz w:val="22"/>
                <w:szCs w:val="20"/>
              </w:rPr>
              <w:t>Миграционный прирост</w:t>
            </w:r>
          </w:p>
        </w:tc>
        <w:tc>
          <w:tcPr>
            <w:tcW w:w="1417" w:type="dxa"/>
            <w:vAlign w:val="bottom"/>
          </w:tcPr>
          <w:p w14:paraId="782827C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-589</w:t>
            </w:r>
          </w:p>
        </w:tc>
        <w:tc>
          <w:tcPr>
            <w:tcW w:w="1419" w:type="dxa"/>
            <w:noWrap/>
            <w:vAlign w:val="bottom"/>
          </w:tcPr>
          <w:p w14:paraId="378A736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848</w:t>
            </w:r>
          </w:p>
        </w:tc>
        <w:tc>
          <w:tcPr>
            <w:tcW w:w="1275" w:type="dxa"/>
            <w:noWrap/>
            <w:vAlign w:val="bottom"/>
          </w:tcPr>
          <w:p w14:paraId="557A112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1909</w:t>
            </w:r>
          </w:p>
        </w:tc>
        <w:tc>
          <w:tcPr>
            <w:tcW w:w="1226" w:type="dxa"/>
            <w:noWrap/>
            <w:vAlign w:val="bottom"/>
          </w:tcPr>
          <w:p w14:paraId="46F1041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2620</w:t>
            </w:r>
          </w:p>
        </w:tc>
        <w:tc>
          <w:tcPr>
            <w:tcW w:w="1172" w:type="dxa"/>
            <w:noWrap/>
            <w:vAlign w:val="bottom"/>
          </w:tcPr>
          <w:p w14:paraId="2737016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3012</w:t>
            </w:r>
          </w:p>
        </w:tc>
      </w:tr>
    </w:tbl>
    <w:p w14:paraId="2E503B03" w14:textId="77777777" w:rsidR="00171AA8" w:rsidRPr="00731FE2" w:rsidRDefault="00171AA8">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szCs w:val="24"/>
        </w:rPr>
      </w:pPr>
    </w:p>
    <w:p w14:paraId="56F49CFB" w14:textId="77777777" w:rsidR="00171AA8" w:rsidRPr="00731FE2" w:rsidRDefault="0058161E" w:rsidP="0058161E">
      <w:pPr>
        <w:pBdr>
          <w:top w:val="none" w:sz="4" w:space="0" w:color="000000"/>
          <w:left w:val="none" w:sz="4" w:space="0" w:color="000000"/>
          <w:bottom w:val="none" w:sz="4" w:space="0" w:color="000000"/>
          <w:right w:val="none" w:sz="4" w:space="0" w:color="000000"/>
        </w:pBdr>
        <w:spacing w:line="240" w:lineRule="auto"/>
        <w:ind w:firstLine="0"/>
        <w:rPr>
          <w:rFonts w:ascii="Times New Roman" w:hAnsi="Times New Roman" w:cs="Times New Roman"/>
          <w:b/>
          <w:bCs/>
          <w:color w:val="000000" w:themeColor="text1"/>
          <w:szCs w:val="24"/>
        </w:rPr>
      </w:pPr>
      <w:r w:rsidRPr="00731FE2">
        <w:rPr>
          <w:rFonts w:ascii="Times New Roman" w:hAnsi="Times New Roman" w:cs="Times New Roman"/>
          <w:b/>
          <w:bCs/>
          <w:color w:val="000000" w:themeColor="text1"/>
          <w:szCs w:val="24"/>
        </w:rPr>
        <w:t xml:space="preserve">Таблица </w:t>
      </w:r>
      <w:r w:rsidRPr="00731FE2">
        <w:rPr>
          <w:rFonts w:ascii="Times New Roman" w:hAnsi="Times New Roman" w:cs="Times New Roman"/>
          <w:b/>
          <w:bCs/>
          <w:color w:val="000000" w:themeColor="text1"/>
          <w:szCs w:val="24"/>
        </w:rPr>
        <w:fldChar w:fldCharType="begin"/>
      </w:r>
      <w:r w:rsidRPr="00731FE2">
        <w:rPr>
          <w:rFonts w:ascii="Times New Roman" w:hAnsi="Times New Roman" w:cs="Times New Roman"/>
          <w:b/>
          <w:bCs/>
          <w:color w:val="000000" w:themeColor="text1"/>
          <w:szCs w:val="24"/>
        </w:rPr>
        <w:instrText xml:space="preserve"> SEQ Таблица \* Arabic </w:instrText>
      </w:r>
      <w:r w:rsidRPr="00731FE2">
        <w:rPr>
          <w:rFonts w:ascii="Times New Roman" w:hAnsi="Times New Roman" w:cs="Times New Roman"/>
          <w:b/>
          <w:bCs/>
          <w:color w:val="000000" w:themeColor="text1"/>
          <w:szCs w:val="24"/>
        </w:rPr>
        <w:fldChar w:fldCharType="separate"/>
      </w:r>
      <w:r w:rsidR="00C50915" w:rsidRPr="00731FE2">
        <w:rPr>
          <w:rFonts w:ascii="Times New Roman" w:hAnsi="Times New Roman" w:cs="Times New Roman"/>
          <w:b/>
          <w:bCs/>
          <w:noProof/>
          <w:color w:val="000000" w:themeColor="text1"/>
          <w:szCs w:val="24"/>
        </w:rPr>
        <w:t>67</w:t>
      </w:r>
      <w:r w:rsidRPr="00731FE2">
        <w:rPr>
          <w:rFonts w:ascii="Times New Roman" w:hAnsi="Times New Roman" w:cs="Times New Roman"/>
          <w:b/>
          <w:bCs/>
          <w:color w:val="000000" w:themeColor="text1"/>
          <w:szCs w:val="24"/>
        </w:rPr>
        <w:fldChar w:fldCharType="end"/>
      </w:r>
      <w:r w:rsidRPr="00731FE2">
        <w:rPr>
          <w:rFonts w:ascii="Times New Roman" w:hAnsi="Times New Roman" w:cs="Times New Roman"/>
          <w:b/>
          <w:bCs/>
          <w:color w:val="000000" w:themeColor="text1"/>
          <w:szCs w:val="24"/>
        </w:rPr>
        <w:t xml:space="preserve"> – </w:t>
      </w:r>
      <w:r w:rsidR="007935AB" w:rsidRPr="00731FE2">
        <w:rPr>
          <w:rFonts w:ascii="Times New Roman" w:hAnsi="Times New Roman" w:cs="Times New Roman"/>
          <w:b/>
          <w:bCs/>
          <w:color w:val="000000" w:themeColor="text1"/>
          <w:szCs w:val="24"/>
        </w:rPr>
        <w:t>Прогнозная оценка миграции населения в городском округе городе-курорте Кисловодске по пессимистическому сценарию в 2024-2048 гг., чел.</w:t>
      </w:r>
    </w:p>
    <w:tbl>
      <w:tblPr>
        <w:tblStyle w:val="TableGridReport1"/>
        <w:tblW w:w="0" w:type="auto"/>
        <w:tblLook w:val="04A0" w:firstRow="1" w:lastRow="0" w:firstColumn="1" w:lastColumn="0" w:noHBand="0" w:noVBand="1"/>
      </w:tblPr>
      <w:tblGrid>
        <w:gridCol w:w="2845"/>
        <w:gridCol w:w="1417"/>
        <w:gridCol w:w="1419"/>
        <w:gridCol w:w="1275"/>
        <w:gridCol w:w="1226"/>
        <w:gridCol w:w="1172"/>
      </w:tblGrid>
      <w:tr w:rsidR="00171AA8" w:rsidRPr="00731FE2" w14:paraId="659A69C0" w14:textId="77777777">
        <w:trPr>
          <w:trHeight w:val="58"/>
        </w:trPr>
        <w:tc>
          <w:tcPr>
            <w:tcW w:w="2845" w:type="dxa"/>
            <w:noWrap/>
            <w:vAlign w:val="center"/>
          </w:tcPr>
          <w:p w14:paraId="0137408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b/>
                <w:bCs/>
                <w:color w:val="000000"/>
                <w:sz w:val="20"/>
                <w:szCs w:val="18"/>
              </w:rPr>
            </w:pPr>
            <w:r w:rsidRPr="00731FE2">
              <w:rPr>
                <w:rFonts w:ascii="Times New Roman" w:eastAsia="Times New Roman" w:hAnsi="Times New Roman" w:cs="Times New Roman"/>
                <w:b/>
                <w:bCs/>
                <w:color w:val="000000"/>
                <w:sz w:val="22"/>
                <w:szCs w:val="20"/>
              </w:rPr>
              <w:t>Показатель</w:t>
            </w:r>
          </w:p>
        </w:tc>
        <w:tc>
          <w:tcPr>
            <w:tcW w:w="1417" w:type="dxa"/>
            <w:vAlign w:val="center"/>
          </w:tcPr>
          <w:p w14:paraId="3FB3FBE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2"/>
                <w:szCs w:val="20"/>
              </w:rPr>
            </w:pPr>
            <w:r w:rsidRPr="00731FE2">
              <w:rPr>
                <w:rFonts w:ascii="Times New Roman" w:eastAsia="Times New Roman" w:hAnsi="Times New Roman" w:cs="Times New Roman"/>
                <w:b/>
                <w:color w:val="000000"/>
                <w:sz w:val="22"/>
                <w:szCs w:val="20"/>
              </w:rPr>
              <w:t>2024-2028</w:t>
            </w:r>
          </w:p>
        </w:tc>
        <w:tc>
          <w:tcPr>
            <w:tcW w:w="1419" w:type="dxa"/>
            <w:noWrap/>
            <w:vAlign w:val="center"/>
          </w:tcPr>
          <w:p w14:paraId="76D3738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2"/>
                <w:szCs w:val="20"/>
              </w:rPr>
            </w:pPr>
            <w:r w:rsidRPr="00731FE2">
              <w:rPr>
                <w:rFonts w:ascii="Times New Roman" w:eastAsia="Times New Roman" w:hAnsi="Times New Roman" w:cs="Times New Roman"/>
                <w:b/>
                <w:color w:val="000000"/>
                <w:sz w:val="22"/>
                <w:szCs w:val="20"/>
              </w:rPr>
              <w:t>2029-2033</w:t>
            </w:r>
          </w:p>
        </w:tc>
        <w:tc>
          <w:tcPr>
            <w:tcW w:w="1275" w:type="dxa"/>
            <w:noWrap/>
            <w:vAlign w:val="center"/>
          </w:tcPr>
          <w:p w14:paraId="2903161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2"/>
                <w:szCs w:val="20"/>
              </w:rPr>
            </w:pPr>
            <w:r w:rsidRPr="00731FE2">
              <w:rPr>
                <w:rFonts w:ascii="Times New Roman" w:eastAsia="Times New Roman" w:hAnsi="Times New Roman" w:cs="Times New Roman"/>
                <w:b/>
                <w:color w:val="000000"/>
                <w:sz w:val="22"/>
                <w:szCs w:val="20"/>
              </w:rPr>
              <w:t>2034-2038</w:t>
            </w:r>
          </w:p>
        </w:tc>
        <w:tc>
          <w:tcPr>
            <w:tcW w:w="1226" w:type="dxa"/>
            <w:noWrap/>
            <w:vAlign w:val="center"/>
          </w:tcPr>
          <w:p w14:paraId="7672944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2"/>
                <w:szCs w:val="20"/>
              </w:rPr>
            </w:pPr>
            <w:r w:rsidRPr="00731FE2">
              <w:rPr>
                <w:rFonts w:ascii="Times New Roman" w:eastAsia="Times New Roman" w:hAnsi="Times New Roman" w:cs="Times New Roman"/>
                <w:b/>
                <w:color w:val="000000"/>
                <w:sz w:val="22"/>
                <w:szCs w:val="20"/>
              </w:rPr>
              <w:t>2039-2044</w:t>
            </w:r>
          </w:p>
        </w:tc>
        <w:tc>
          <w:tcPr>
            <w:tcW w:w="1172" w:type="dxa"/>
            <w:noWrap/>
            <w:vAlign w:val="center"/>
          </w:tcPr>
          <w:p w14:paraId="24AEEBD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2"/>
                <w:szCs w:val="20"/>
              </w:rPr>
            </w:pPr>
            <w:r w:rsidRPr="00731FE2">
              <w:rPr>
                <w:rFonts w:ascii="Times New Roman" w:eastAsia="Times New Roman" w:hAnsi="Times New Roman" w:cs="Times New Roman"/>
                <w:b/>
                <w:color w:val="000000"/>
                <w:sz w:val="22"/>
                <w:szCs w:val="20"/>
              </w:rPr>
              <w:t>2044-2048</w:t>
            </w:r>
          </w:p>
        </w:tc>
      </w:tr>
      <w:tr w:rsidR="00171AA8" w:rsidRPr="00731FE2" w14:paraId="74363502" w14:textId="77777777">
        <w:trPr>
          <w:trHeight w:val="220"/>
        </w:trPr>
        <w:tc>
          <w:tcPr>
            <w:tcW w:w="2845" w:type="dxa"/>
            <w:noWrap/>
            <w:vAlign w:val="center"/>
          </w:tcPr>
          <w:p w14:paraId="6FD7D200" w14:textId="77777777" w:rsidR="00171AA8" w:rsidRPr="00731FE2" w:rsidRDefault="007935AB">
            <w:pPr>
              <w:pBdr>
                <w:top w:val="none" w:sz="4" w:space="0" w:color="000000"/>
                <w:left w:val="none" w:sz="4" w:space="0" w:color="000000"/>
                <w:bottom w:val="none" w:sz="4" w:space="0" w:color="000000"/>
                <w:right w:val="none" w:sz="4" w:space="0" w:color="000000"/>
              </w:pBdr>
              <w:ind w:firstLine="0"/>
              <w:rPr>
                <w:sz w:val="22"/>
                <w:szCs w:val="20"/>
              </w:rPr>
            </w:pPr>
            <w:r w:rsidRPr="00731FE2">
              <w:rPr>
                <w:rFonts w:ascii="Times New Roman" w:eastAsia="Times New Roman" w:hAnsi="Times New Roman" w:cs="Times New Roman"/>
                <w:color w:val="000000"/>
                <w:sz w:val="22"/>
                <w:szCs w:val="20"/>
              </w:rPr>
              <w:t>Прибыло</w:t>
            </w:r>
          </w:p>
        </w:tc>
        <w:tc>
          <w:tcPr>
            <w:tcW w:w="1417" w:type="dxa"/>
            <w:vAlign w:val="bottom"/>
          </w:tcPr>
          <w:p w14:paraId="45A02F6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12630</w:t>
            </w:r>
          </w:p>
        </w:tc>
        <w:tc>
          <w:tcPr>
            <w:tcW w:w="1419" w:type="dxa"/>
            <w:noWrap/>
            <w:vAlign w:val="bottom"/>
          </w:tcPr>
          <w:p w14:paraId="2D466CF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12756</w:t>
            </w:r>
          </w:p>
        </w:tc>
        <w:tc>
          <w:tcPr>
            <w:tcW w:w="1275" w:type="dxa"/>
            <w:noWrap/>
            <w:vAlign w:val="bottom"/>
          </w:tcPr>
          <w:p w14:paraId="01CDFEB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12884</w:t>
            </w:r>
          </w:p>
        </w:tc>
        <w:tc>
          <w:tcPr>
            <w:tcW w:w="1226" w:type="dxa"/>
            <w:noWrap/>
            <w:vAlign w:val="bottom"/>
          </w:tcPr>
          <w:p w14:paraId="56B18FE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13142</w:t>
            </w:r>
          </w:p>
        </w:tc>
        <w:tc>
          <w:tcPr>
            <w:tcW w:w="1172" w:type="dxa"/>
            <w:noWrap/>
            <w:vAlign w:val="bottom"/>
          </w:tcPr>
          <w:p w14:paraId="74EAF14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13404</w:t>
            </w:r>
          </w:p>
        </w:tc>
      </w:tr>
      <w:tr w:rsidR="00171AA8" w:rsidRPr="00731FE2" w14:paraId="7A8F81E8" w14:textId="77777777">
        <w:trPr>
          <w:trHeight w:val="220"/>
        </w:trPr>
        <w:tc>
          <w:tcPr>
            <w:tcW w:w="2845" w:type="dxa"/>
            <w:noWrap/>
            <w:vAlign w:val="center"/>
          </w:tcPr>
          <w:p w14:paraId="5E9C8B3B" w14:textId="77777777" w:rsidR="00171AA8" w:rsidRPr="00731FE2" w:rsidRDefault="007935AB">
            <w:pPr>
              <w:pBdr>
                <w:top w:val="none" w:sz="4" w:space="0" w:color="000000"/>
                <w:left w:val="none" w:sz="4" w:space="0" w:color="000000"/>
                <w:bottom w:val="none" w:sz="4" w:space="0" w:color="000000"/>
                <w:right w:val="none" w:sz="4" w:space="0" w:color="000000"/>
              </w:pBdr>
              <w:ind w:firstLine="0"/>
              <w:rPr>
                <w:sz w:val="22"/>
                <w:szCs w:val="20"/>
              </w:rPr>
            </w:pPr>
            <w:r w:rsidRPr="00731FE2">
              <w:rPr>
                <w:rFonts w:ascii="Times New Roman" w:eastAsia="Times New Roman" w:hAnsi="Times New Roman" w:cs="Times New Roman"/>
                <w:color w:val="000000"/>
                <w:sz w:val="22"/>
                <w:szCs w:val="20"/>
              </w:rPr>
              <w:t>Выбыло</w:t>
            </w:r>
          </w:p>
        </w:tc>
        <w:tc>
          <w:tcPr>
            <w:tcW w:w="1417" w:type="dxa"/>
            <w:vAlign w:val="bottom"/>
          </w:tcPr>
          <w:p w14:paraId="369639D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14231</w:t>
            </w:r>
          </w:p>
        </w:tc>
        <w:tc>
          <w:tcPr>
            <w:tcW w:w="1419" w:type="dxa"/>
            <w:noWrap/>
            <w:vAlign w:val="bottom"/>
          </w:tcPr>
          <w:p w14:paraId="3C36AE8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13770</w:t>
            </w:r>
          </w:p>
        </w:tc>
        <w:tc>
          <w:tcPr>
            <w:tcW w:w="1275" w:type="dxa"/>
            <w:noWrap/>
            <w:vAlign w:val="bottom"/>
          </w:tcPr>
          <w:p w14:paraId="18D313D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13316</w:t>
            </w:r>
          </w:p>
        </w:tc>
        <w:tc>
          <w:tcPr>
            <w:tcW w:w="1226" w:type="dxa"/>
            <w:noWrap/>
            <w:vAlign w:val="bottom"/>
          </w:tcPr>
          <w:p w14:paraId="74ACF6E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12768</w:t>
            </w:r>
          </w:p>
        </w:tc>
        <w:tc>
          <w:tcPr>
            <w:tcW w:w="1172" w:type="dxa"/>
            <w:noWrap/>
            <w:vAlign w:val="bottom"/>
          </w:tcPr>
          <w:p w14:paraId="2A89911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12293</w:t>
            </w:r>
          </w:p>
        </w:tc>
      </w:tr>
      <w:tr w:rsidR="00171AA8" w:rsidRPr="00731FE2" w14:paraId="302AC634" w14:textId="77777777">
        <w:trPr>
          <w:trHeight w:val="220"/>
        </w:trPr>
        <w:tc>
          <w:tcPr>
            <w:tcW w:w="2845" w:type="dxa"/>
            <w:noWrap/>
            <w:vAlign w:val="center"/>
          </w:tcPr>
          <w:p w14:paraId="6E7792B8" w14:textId="77777777" w:rsidR="00171AA8" w:rsidRPr="00731FE2" w:rsidRDefault="007935AB">
            <w:pPr>
              <w:pBdr>
                <w:top w:val="none" w:sz="4" w:space="0" w:color="000000"/>
                <w:left w:val="none" w:sz="4" w:space="0" w:color="000000"/>
                <w:bottom w:val="none" w:sz="4" w:space="0" w:color="000000"/>
                <w:right w:val="none" w:sz="4" w:space="0" w:color="000000"/>
              </w:pBdr>
              <w:ind w:firstLine="0"/>
              <w:rPr>
                <w:sz w:val="22"/>
                <w:szCs w:val="20"/>
              </w:rPr>
            </w:pPr>
            <w:r w:rsidRPr="00731FE2">
              <w:rPr>
                <w:rFonts w:ascii="Times New Roman" w:eastAsia="Times New Roman" w:hAnsi="Times New Roman" w:cs="Times New Roman"/>
                <w:color w:val="000000"/>
                <w:sz w:val="22"/>
                <w:szCs w:val="20"/>
              </w:rPr>
              <w:t>Миграционный прирост</w:t>
            </w:r>
          </w:p>
        </w:tc>
        <w:tc>
          <w:tcPr>
            <w:tcW w:w="1417" w:type="dxa"/>
            <w:vAlign w:val="bottom"/>
          </w:tcPr>
          <w:p w14:paraId="7C449D5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-1601</w:t>
            </w:r>
          </w:p>
        </w:tc>
        <w:tc>
          <w:tcPr>
            <w:tcW w:w="1419" w:type="dxa"/>
            <w:noWrap/>
            <w:vAlign w:val="bottom"/>
          </w:tcPr>
          <w:p w14:paraId="6F55269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-1013</w:t>
            </w:r>
          </w:p>
        </w:tc>
        <w:tc>
          <w:tcPr>
            <w:tcW w:w="1275" w:type="dxa"/>
            <w:noWrap/>
            <w:vAlign w:val="bottom"/>
          </w:tcPr>
          <w:p w14:paraId="30B63EC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-432</w:t>
            </w:r>
          </w:p>
        </w:tc>
        <w:tc>
          <w:tcPr>
            <w:tcW w:w="1226" w:type="dxa"/>
            <w:noWrap/>
            <w:vAlign w:val="bottom"/>
          </w:tcPr>
          <w:p w14:paraId="5A94377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374</w:t>
            </w:r>
          </w:p>
        </w:tc>
        <w:tc>
          <w:tcPr>
            <w:tcW w:w="1172" w:type="dxa"/>
            <w:noWrap/>
            <w:vAlign w:val="bottom"/>
          </w:tcPr>
          <w:p w14:paraId="032150F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1112</w:t>
            </w:r>
          </w:p>
        </w:tc>
      </w:tr>
    </w:tbl>
    <w:p w14:paraId="74028983" w14:textId="77777777" w:rsidR="00171AA8" w:rsidRPr="00731FE2" w:rsidRDefault="00171AA8">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szCs w:val="24"/>
        </w:rPr>
      </w:pPr>
    </w:p>
    <w:p w14:paraId="20626885"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rPr>
        <w:t xml:space="preserve">Все три сценария предполагают постепенное увеличение числа прибывших к 2044-2048 г., при этом, максимальные показатели характерны для целевого прогноза. </w:t>
      </w:r>
    </w:p>
    <w:p w14:paraId="7A506897"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rPr>
        <w:t>Разные объемы прямого и обратного миграционного потока влияют на миграционный прирост населения. Только в целевом сценарии с 2024-2028 гг., формируются положительные значения миграционного прироста, в инерционном сценарии миграционный прирост достигает положительных показателей в 2029-2033 гг., а в пессимистическом в 2039-2044 гг.</w:t>
      </w:r>
    </w:p>
    <w:p w14:paraId="79C9647C" w14:textId="77777777" w:rsidR="00171AA8" w:rsidRPr="00731FE2" w:rsidRDefault="00171AA8">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szCs w:val="24"/>
        </w:rPr>
      </w:pPr>
    </w:p>
    <w:p w14:paraId="3E20DE29" w14:textId="77777777" w:rsidR="00171AA8" w:rsidRPr="00731FE2" w:rsidRDefault="0058161E" w:rsidP="0058161E">
      <w:pPr>
        <w:pBdr>
          <w:top w:val="none" w:sz="4" w:space="0" w:color="000000"/>
          <w:left w:val="none" w:sz="4" w:space="0" w:color="000000"/>
          <w:bottom w:val="none" w:sz="4" w:space="0" w:color="000000"/>
          <w:right w:val="none" w:sz="4" w:space="0" w:color="000000"/>
        </w:pBdr>
        <w:spacing w:line="240" w:lineRule="auto"/>
        <w:ind w:firstLine="0"/>
        <w:rPr>
          <w:rFonts w:ascii="Times New Roman" w:hAnsi="Times New Roman" w:cs="Times New Roman"/>
          <w:b/>
          <w:bCs/>
          <w:color w:val="000000" w:themeColor="text1"/>
          <w:szCs w:val="24"/>
        </w:rPr>
      </w:pPr>
      <w:r w:rsidRPr="00731FE2">
        <w:rPr>
          <w:rFonts w:ascii="Times New Roman" w:hAnsi="Times New Roman" w:cs="Times New Roman"/>
          <w:b/>
          <w:bCs/>
          <w:color w:val="000000" w:themeColor="text1"/>
          <w:szCs w:val="24"/>
        </w:rPr>
        <w:t xml:space="preserve">Таблица </w:t>
      </w:r>
      <w:r w:rsidRPr="00731FE2">
        <w:rPr>
          <w:rFonts w:ascii="Times New Roman" w:hAnsi="Times New Roman" w:cs="Times New Roman"/>
          <w:b/>
          <w:bCs/>
          <w:color w:val="000000" w:themeColor="text1"/>
          <w:szCs w:val="24"/>
        </w:rPr>
        <w:fldChar w:fldCharType="begin"/>
      </w:r>
      <w:r w:rsidRPr="00731FE2">
        <w:rPr>
          <w:rFonts w:ascii="Times New Roman" w:hAnsi="Times New Roman" w:cs="Times New Roman"/>
          <w:b/>
          <w:bCs/>
          <w:color w:val="000000" w:themeColor="text1"/>
          <w:szCs w:val="24"/>
        </w:rPr>
        <w:instrText xml:space="preserve"> SEQ Таблица \* Arabic </w:instrText>
      </w:r>
      <w:r w:rsidRPr="00731FE2">
        <w:rPr>
          <w:rFonts w:ascii="Times New Roman" w:hAnsi="Times New Roman" w:cs="Times New Roman"/>
          <w:b/>
          <w:bCs/>
          <w:color w:val="000000" w:themeColor="text1"/>
          <w:szCs w:val="24"/>
        </w:rPr>
        <w:fldChar w:fldCharType="separate"/>
      </w:r>
      <w:r w:rsidR="00C50915" w:rsidRPr="00731FE2">
        <w:rPr>
          <w:rFonts w:ascii="Times New Roman" w:hAnsi="Times New Roman" w:cs="Times New Roman"/>
          <w:b/>
          <w:bCs/>
          <w:noProof/>
          <w:color w:val="000000" w:themeColor="text1"/>
          <w:szCs w:val="24"/>
        </w:rPr>
        <w:t>68</w:t>
      </w:r>
      <w:r w:rsidRPr="00731FE2">
        <w:rPr>
          <w:rFonts w:ascii="Times New Roman" w:hAnsi="Times New Roman" w:cs="Times New Roman"/>
          <w:b/>
          <w:bCs/>
          <w:color w:val="000000" w:themeColor="text1"/>
          <w:szCs w:val="24"/>
        </w:rPr>
        <w:fldChar w:fldCharType="end"/>
      </w:r>
      <w:r w:rsidRPr="00731FE2">
        <w:rPr>
          <w:rFonts w:ascii="Times New Roman" w:hAnsi="Times New Roman" w:cs="Times New Roman"/>
          <w:b/>
          <w:bCs/>
          <w:color w:val="000000" w:themeColor="text1"/>
          <w:szCs w:val="24"/>
        </w:rPr>
        <w:t xml:space="preserve"> – </w:t>
      </w:r>
      <w:r w:rsidR="007935AB" w:rsidRPr="00731FE2">
        <w:rPr>
          <w:rFonts w:ascii="Times New Roman" w:hAnsi="Times New Roman" w:cs="Times New Roman"/>
          <w:b/>
          <w:bCs/>
          <w:color w:val="000000" w:themeColor="text1"/>
          <w:szCs w:val="24"/>
        </w:rPr>
        <w:t>Прогнозная оценка естественного и миграционного движения населения в городском округе городе-курорте Кисловодск на расчетный срок</w:t>
      </w:r>
    </w:p>
    <w:tbl>
      <w:tblPr>
        <w:tblStyle w:val="TableGridReport1"/>
        <w:tblW w:w="0" w:type="auto"/>
        <w:tblLayout w:type="fixed"/>
        <w:tblLook w:val="04A0" w:firstRow="1" w:lastRow="0" w:firstColumn="1" w:lastColumn="0" w:noHBand="0" w:noVBand="1"/>
      </w:tblPr>
      <w:tblGrid>
        <w:gridCol w:w="4960"/>
        <w:gridCol w:w="992"/>
        <w:gridCol w:w="850"/>
        <w:gridCol w:w="850"/>
        <w:gridCol w:w="850"/>
        <w:gridCol w:w="853"/>
      </w:tblGrid>
      <w:tr w:rsidR="00171AA8" w:rsidRPr="00731FE2" w14:paraId="13EF2766" w14:textId="77777777">
        <w:trPr>
          <w:trHeight w:val="58"/>
        </w:trPr>
        <w:tc>
          <w:tcPr>
            <w:tcW w:w="4960" w:type="dxa"/>
            <w:noWrap/>
            <w:vAlign w:val="center"/>
          </w:tcPr>
          <w:p w14:paraId="0DF7A12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b/>
                <w:bCs/>
                <w:color w:val="000000"/>
                <w:sz w:val="22"/>
                <w:szCs w:val="20"/>
              </w:rPr>
            </w:pPr>
            <w:r w:rsidRPr="00731FE2">
              <w:rPr>
                <w:rFonts w:ascii="Times New Roman" w:eastAsia="Times New Roman" w:hAnsi="Times New Roman" w:cs="Times New Roman"/>
                <w:b/>
                <w:bCs/>
                <w:color w:val="000000"/>
                <w:sz w:val="22"/>
                <w:szCs w:val="20"/>
              </w:rPr>
              <w:t>Прогнозная оценка</w:t>
            </w:r>
          </w:p>
        </w:tc>
        <w:tc>
          <w:tcPr>
            <w:tcW w:w="992" w:type="dxa"/>
            <w:noWrap/>
            <w:vAlign w:val="center"/>
          </w:tcPr>
          <w:p w14:paraId="6FED982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2"/>
                <w:szCs w:val="20"/>
              </w:rPr>
            </w:pPr>
            <w:r w:rsidRPr="00731FE2">
              <w:rPr>
                <w:rFonts w:ascii="Times New Roman" w:eastAsia="Times New Roman" w:hAnsi="Times New Roman" w:cs="Times New Roman"/>
                <w:b/>
                <w:color w:val="000000"/>
                <w:sz w:val="22"/>
                <w:szCs w:val="20"/>
              </w:rPr>
              <w:t>2023*</w:t>
            </w:r>
          </w:p>
        </w:tc>
        <w:tc>
          <w:tcPr>
            <w:tcW w:w="850" w:type="dxa"/>
            <w:noWrap/>
            <w:vAlign w:val="center"/>
          </w:tcPr>
          <w:p w14:paraId="08F3D5B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2"/>
                <w:szCs w:val="20"/>
              </w:rPr>
            </w:pPr>
            <w:r w:rsidRPr="00731FE2">
              <w:rPr>
                <w:rFonts w:ascii="Times New Roman" w:eastAsia="Times New Roman" w:hAnsi="Times New Roman" w:cs="Times New Roman"/>
                <w:b/>
                <w:color w:val="000000"/>
                <w:sz w:val="22"/>
                <w:szCs w:val="20"/>
              </w:rPr>
              <w:t>2029*</w:t>
            </w:r>
          </w:p>
        </w:tc>
        <w:tc>
          <w:tcPr>
            <w:tcW w:w="850" w:type="dxa"/>
            <w:noWrap/>
            <w:vAlign w:val="center"/>
          </w:tcPr>
          <w:p w14:paraId="0D5B499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2"/>
                <w:szCs w:val="20"/>
              </w:rPr>
            </w:pPr>
            <w:r w:rsidRPr="00731FE2">
              <w:rPr>
                <w:rFonts w:ascii="Times New Roman" w:eastAsia="Times New Roman" w:hAnsi="Times New Roman" w:cs="Times New Roman"/>
                <w:b/>
                <w:color w:val="000000"/>
                <w:sz w:val="22"/>
                <w:szCs w:val="20"/>
              </w:rPr>
              <w:t>2034*</w:t>
            </w:r>
          </w:p>
        </w:tc>
        <w:tc>
          <w:tcPr>
            <w:tcW w:w="850" w:type="dxa"/>
            <w:noWrap/>
            <w:vAlign w:val="center"/>
          </w:tcPr>
          <w:p w14:paraId="0223EE5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2"/>
                <w:szCs w:val="20"/>
              </w:rPr>
            </w:pPr>
            <w:r w:rsidRPr="00731FE2">
              <w:rPr>
                <w:rFonts w:ascii="Times New Roman" w:eastAsia="Times New Roman" w:hAnsi="Times New Roman" w:cs="Times New Roman"/>
                <w:b/>
                <w:color w:val="000000"/>
                <w:sz w:val="22"/>
                <w:szCs w:val="20"/>
              </w:rPr>
              <w:t>2039*</w:t>
            </w:r>
          </w:p>
        </w:tc>
        <w:tc>
          <w:tcPr>
            <w:tcW w:w="851" w:type="dxa"/>
            <w:vAlign w:val="center"/>
          </w:tcPr>
          <w:p w14:paraId="377B656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2"/>
                <w:szCs w:val="20"/>
              </w:rPr>
            </w:pPr>
            <w:r w:rsidRPr="00731FE2">
              <w:rPr>
                <w:rFonts w:ascii="Times New Roman" w:eastAsia="Times New Roman" w:hAnsi="Times New Roman" w:cs="Times New Roman"/>
                <w:b/>
                <w:color w:val="000000"/>
                <w:sz w:val="22"/>
                <w:szCs w:val="20"/>
              </w:rPr>
              <w:t>2044*</w:t>
            </w:r>
          </w:p>
        </w:tc>
      </w:tr>
      <w:tr w:rsidR="00171AA8" w:rsidRPr="00731FE2" w14:paraId="6D91A390" w14:textId="77777777">
        <w:trPr>
          <w:trHeight w:val="154"/>
        </w:trPr>
        <w:tc>
          <w:tcPr>
            <w:tcW w:w="9355" w:type="dxa"/>
            <w:gridSpan w:val="6"/>
            <w:noWrap/>
            <w:vAlign w:val="center"/>
          </w:tcPr>
          <w:p w14:paraId="58C736E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2"/>
                <w:szCs w:val="20"/>
              </w:rPr>
            </w:pPr>
            <w:r w:rsidRPr="00731FE2">
              <w:rPr>
                <w:rFonts w:ascii="Times New Roman" w:eastAsia="Times New Roman" w:hAnsi="Times New Roman" w:cs="Times New Roman"/>
                <w:b/>
                <w:color w:val="000000"/>
                <w:sz w:val="22"/>
                <w:szCs w:val="20"/>
              </w:rPr>
              <w:t>Целевой сценарий прогноза, на 1000 чел. населения</w:t>
            </w:r>
          </w:p>
        </w:tc>
      </w:tr>
      <w:tr w:rsidR="00171AA8" w:rsidRPr="00731FE2" w14:paraId="04645538" w14:textId="77777777">
        <w:trPr>
          <w:trHeight w:val="229"/>
        </w:trPr>
        <w:tc>
          <w:tcPr>
            <w:tcW w:w="4960" w:type="dxa"/>
            <w:noWrap/>
            <w:vAlign w:val="center"/>
          </w:tcPr>
          <w:p w14:paraId="073CCA3F" w14:textId="77777777" w:rsidR="00171AA8" w:rsidRPr="00731FE2" w:rsidRDefault="007935AB">
            <w:pPr>
              <w:pBdr>
                <w:top w:val="none" w:sz="4" w:space="0" w:color="000000"/>
                <w:left w:val="none" w:sz="4" w:space="0" w:color="000000"/>
                <w:bottom w:val="none" w:sz="4" w:space="0" w:color="000000"/>
                <w:right w:val="none" w:sz="4" w:space="0" w:color="000000"/>
              </w:pBdr>
              <w:ind w:firstLine="0"/>
              <w:rPr>
                <w:sz w:val="22"/>
                <w:szCs w:val="20"/>
              </w:rPr>
            </w:pPr>
            <w:r w:rsidRPr="00731FE2">
              <w:rPr>
                <w:rFonts w:ascii="Times New Roman" w:eastAsia="Times New Roman" w:hAnsi="Times New Roman" w:cs="Times New Roman"/>
                <w:color w:val="000000"/>
                <w:sz w:val="22"/>
                <w:szCs w:val="20"/>
              </w:rPr>
              <w:t>Естественный прирост (убыль)</w:t>
            </w:r>
          </w:p>
        </w:tc>
        <w:tc>
          <w:tcPr>
            <w:tcW w:w="992" w:type="dxa"/>
            <w:noWrap/>
            <w:vAlign w:val="bottom"/>
          </w:tcPr>
          <w:p w14:paraId="42277AF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0,2</w:t>
            </w:r>
          </w:p>
        </w:tc>
        <w:tc>
          <w:tcPr>
            <w:tcW w:w="850" w:type="dxa"/>
            <w:noWrap/>
            <w:vAlign w:val="bottom"/>
          </w:tcPr>
          <w:p w14:paraId="7FA5831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-0,3</w:t>
            </w:r>
          </w:p>
        </w:tc>
        <w:tc>
          <w:tcPr>
            <w:tcW w:w="850" w:type="dxa"/>
            <w:noWrap/>
            <w:vAlign w:val="bottom"/>
          </w:tcPr>
          <w:p w14:paraId="0BA3D58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-0,5</w:t>
            </w:r>
          </w:p>
        </w:tc>
        <w:tc>
          <w:tcPr>
            <w:tcW w:w="850" w:type="dxa"/>
            <w:noWrap/>
            <w:vAlign w:val="bottom"/>
          </w:tcPr>
          <w:p w14:paraId="2742E4A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-0,2</w:t>
            </w:r>
          </w:p>
        </w:tc>
        <w:tc>
          <w:tcPr>
            <w:tcW w:w="851" w:type="dxa"/>
            <w:noWrap/>
            <w:vAlign w:val="bottom"/>
          </w:tcPr>
          <w:p w14:paraId="4C4B6B6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0,1</w:t>
            </w:r>
          </w:p>
        </w:tc>
      </w:tr>
      <w:tr w:rsidR="00171AA8" w:rsidRPr="00731FE2" w14:paraId="7CC21F1D" w14:textId="77777777">
        <w:trPr>
          <w:trHeight w:val="234"/>
        </w:trPr>
        <w:tc>
          <w:tcPr>
            <w:tcW w:w="4960" w:type="dxa"/>
            <w:noWrap/>
            <w:vAlign w:val="center"/>
          </w:tcPr>
          <w:p w14:paraId="1825F00E" w14:textId="77777777" w:rsidR="00171AA8" w:rsidRPr="00731FE2" w:rsidRDefault="007935AB">
            <w:pPr>
              <w:pBdr>
                <w:top w:val="none" w:sz="4" w:space="0" w:color="000000"/>
                <w:left w:val="none" w:sz="4" w:space="0" w:color="000000"/>
                <w:bottom w:val="none" w:sz="4" w:space="0" w:color="000000"/>
                <w:right w:val="none" w:sz="4" w:space="0" w:color="000000"/>
              </w:pBdr>
              <w:ind w:firstLine="0"/>
              <w:rPr>
                <w:sz w:val="22"/>
                <w:szCs w:val="20"/>
              </w:rPr>
            </w:pPr>
            <w:r w:rsidRPr="00731FE2">
              <w:rPr>
                <w:rFonts w:ascii="Times New Roman" w:eastAsia="Times New Roman" w:hAnsi="Times New Roman" w:cs="Times New Roman"/>
                <w:color w:val="000000"/>
                <w:sz w:val="22"/>
                <w:szCs w:val="20"/>
              </w:rPr>
              <w:t>Миграционный прирост (убыль)</w:t>
            </w:r>
          </w:p>
        </w:tc>
        <w:tc>
          <w:tcPr>
            <w:tcW w:w="992" w:type="dxa"/>
            <w:noWrap/>
            <w:vAlign w:val="bottom"/>
          </w:tcPr>
          <w:p w14:paraId="0277111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0,3</w:t>
            </w:r>
          </w:p>
        </w:tc>
        <w:tc>
          <w:tcPr>
            <w:tcW w:w="850" w:type="dxa"/>
            <w:noWrap/>
            <w:vAlign w:val="bottom"/>
          </w:tcPr>
          <w:p w14:paraId="2CD78E8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3,0</w:t>
            </w:r>
          </w:p>
        </w:tc>
        <w:tc>
          <w:tcPr>
            <w:tcW w:w="850" w:type="dxa"/>
            <w:noWrap/>
            <w:vAlign w:val="bottom"/>
          </w:tcPr>
          <w:p w14:paraId="64847FF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5,0</w:t>
            </w:r>
          </w:p>
        </w:tc>
        <w:tc>
          <w:tcPr>
            <w:tcW w:w="850" w:type="dxa"/>
            <w:noWrap/>
            <w:vAlign w:val="bottom"/>
          </w:tcPr>
          <w:p w14:paraId="4A2E98F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6,1</w:t>
            </w:r>
          </w:p>
        </w:tc>
        <w:tc>
          <w:tcPr>
            <w:tcW w:w="851" w:type="dxa"/>
            <w:noWrap/>
            <w:vAlign w:val="bottom"/>
          </w:tcPr>
          <w:p w14:paraId="78AF6BA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6,6</w:t>
            </w:r>
          </w:p>
        </w:tc>
      </w:tr>
      <w:tr w:rsidR="00171AA8" w:rsidRPr="00731FE2" w14:paraId="46D157E7" w14:textId="77777777">
        <w:trPr>
          <w:trHeight w:val="109"/>
        </w:trPr>
        <w:tc>
          <w:tcPr>
            <w:tcW w:w="4960" w:type="dxa"/>
            <w:noWrap/>
            <w:vAlign w:val="center"/>
          </w:tcPr>
          <w:p w14:paraId="3E308AF4" w14:textId="77777777" w:rsidR="00171AA8" w:rsidRPr="00731FE2" w:rsidRDefault="007935AB">
            <w:pPr>
              <w:pBdr>
                <w:top w:val="none" w:sz="4" w:space="0" w:color="000000"/>
                <w:left w:val="none" w:sz="4" w:space="0" w:color="000000"/>
                <w:bottom w:val="none" w:sz="4" w:space="0" w:color="000000"/>
                <w:right w:val="none" w:sz="4" w:space="0" w:color="000000"/>
              </w:pBdr>
              <w:ind w:firstLine="0"/>
              <w:rPr>
                <w:sz w:val="22"/>
                <w:szCs w:val="20"/>
              </w:rPr>
            </w:pPr>
            <w:r w:rsidRPr="00731FE2">
              <w:rPr>
                <w:rFonts w:ascii="Times New Roman" w:eastAsia="Times New Roman" w:hAnsi="Times New Roman" w:cs="Times New Roman"/>
                <w:color w:val="000000"/>
                <w:sz w:val="22"/>
                <w:szCs w:val="20"/>
              </w:rPr>
              <w:t>Общий прирост (убыль)</w:t>
            </w:r>
          </w:p>
        </w:tc>
        <w:tc>
          <w:tcPr>
            <w:tcW w:w="992" w:type="dxa"/>
            <w:noWrap/>
            <w:vAlign w:val="bottom"/>
          </w:tcPr>
          <w:p w14:paraId="674F906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0,5</w:t>
            </w:r>
          </w:p>
        </w:tc>
        <w:tc>
          <w:tcPr>
            <w:tcW w:w="850" w:type="dxa"/>
            <w:noWrap/>
            <w:vAlign w:val="bottom"/>
          </w:tcPr>
          <w:p w14:paraId="726295A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2,7</w:t>
            </w:r>
          </w:p>
        </w:tc>
        <w:tc>
          <w:tcPr>
            <w:tcW w:w="850" w:type="dxa"/>
            <w:noWrap/>
            <w:vAlign w:val="bottom"/>
          </w:tcPr>
          <w:p w14:paraId="4B132AC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4,6</w:t>
            </w:r>
          </w:p>
        </w:tc>
        <w:tc>
          <w:tcPr>
            <w:tcW w:w="850" w:type="dxa"/>
            <w:noWrap/>
            <w:vAlign w:val="bottom"/>
          </w:tcPr>
          <w:p w14:paraId="395C5C9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5,9</w:t>
            </w:r>
          </w:p>
        </w:tc>
        <w:tc>
          <w:tcPr>
            <w:tcW w:w="851" w:type="dxa"/>
            <w:noWrap/>
            <w:vAlign w:val="bottom"/>
          </w:tcPr>
          <w:p w14:paraId="275A1B2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6,7</w:t>
            </w:r>
          </w:p>
        </w:tc>
      </w:tr>
      <w:tr w:rsidR="00171AA8" w:rsidRPr="00731FE2" w14:paraId="16209FDE" w14:textId="77777777">
        <w:trPr>
          <w:trHeight w:val="58"/>
        </w:trPr>
        <w:tc>
          <w:tcPr>
            <w:tcW w:w="9355" w:type="dxa"/>
            <w:gridSpan w:val="6"/>
            <w:noWrap/>
            <w:vAlign w:val="center"/>
          </w:tcPr>
          <w:p w14:paraId="6826087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2"/>
                <w:szCs w:val="20"/>
              </w:rPr>
            </w:pPr>
            <w:r w:rsidRPr="00731FE2">
              <w:rPr>
                <w:rFonts w:ascii="Times New Roman" w:eastAsia="Times New Roman" w:hAnsi="Times New Roman" w:cs="Times New Roman"/>
                <w:b/>
                <w:color w:val="000000"/>
                <w:sz w:val="22"/>
                <w:szCs w:val="20"/>
              </w:rPr>
              <w:t>Инерционный</w:t>
            </w:r>
            <w:r w:rsidRPr="00731FE2">
              <w:rPr>
                <w:rFonts w:ascii="Times New Roman" w:eastAsia="Times New Roman" w:hAnsi="Times New Roman" w:cs="Times New Roman"/>
                <w:color w:val="000000"/>
                <w:sz w:val="22"/>
                <w:szCs w:val="20"/>
              </w:rPr>
              <w:t xml:space="preserve"> </w:t>
            </w:r>
            <w:r w:rsidRPr="00731FE2">
              <w:rPr>
                <w:rFonts w:ascii="Times New Roman" w:eastAsia="Times New Roman" w:hAnsi="Times New Roman" w:cs="Times New Roman"/>
                <w:b/>
                <w:color w:val="000000"/>
                <w:sz w:val="22"/>
                <w:szCs w:val="20"/>
              </w:rPr>
              <w:t>вариант прогноза,</w:t>
            </w:r>
            <w:r w:rsidRPr="00731FE2">
              <w:rPr>
                <w:rFonts w:ascii="Times New Roman" w:eastAsia="Times New Roman" w:hAnsi="Times New Roman" w:cs="Times New Roman"/>
                <w:color w:val="000000"/>
                <w:sz w:val="22"/>
                <w:szCs w:val="20"/>
              </w:rPr>
              <w:t xml:space="preserve"> </w:t>
            </w:r>
            <w:r w:rsidRPr="00731FE2">
              <w:rPr>
                <w:rFonts w:ascii="Times New Roman" w:eastAsia="Times New Roman" w:hAnsi="Times New Roman" w:cs="Times New Roman"/>
                <w:b/>
                <w:color w:val="000000"/>
                <w:sz w:val="22"/>
                <w:szCs w:val="20"/>
              </w:rPr>
              <w:t>на 1000 чел. населения</w:t>
            </w:r>
          </w:p>
        </w:tc>
      </w:tr>
      <w:tr w:rsidR="00171AA8" w:rsidRPr="00731FE2" w14:paraId="0E2C2901" w14:textId="77777777">
        <w:trPr>
          <w:trHeight w:val="248"/>
        </w:trPr>
        <w:tc>
          <w:tcPr>
            <w:tcW w:w="4960" w:type="dxa"/>
            <w:noWrap/>
            <w:vAlign w:val="center"/>
          </w:tcPr>
          <w:p w14:paraId="7CA1D62B" w14:textId="77777777" w:rsidR="00171AA8" w:rsidRPr="00731FE2" w:rsidRDefault="007935AB">
            <w:pPr>
              <w:pBdr>
                <w:top w:val="none" w:sz="4" w:space="0" w:color="000000"/>
                <w:left w:val="none" w:sz="4" w:space="0" w:color="000000"/>
                <w:bottom w:val="none" w:sz="4" w:space="0" w:color="000000"/>
                <w:right w:val="none" w:sz="4" w:space="0" w:color="000000"/>
              </w:pBdr>
              <w:ind w:firstLine="0"/>
              <w:rPr>
                <w:sz w:val="22"/>
                <w:szCs w:val="20"/>
              </w:rPr>
            </w:pPr>
            <w:r w:rsidRPr="00731FE2">
              <w:rPr>
                <w:rFonts w:ascii="Times New Roman" w:eastAsia="Times New Roman" w:hAnsi="Times New Roman" w:cs="Times New Roman"/>
                <w:color w:val="000000"/>
                <w:sz w:val="22"/>
                <w:szCs w:val="20"/>
              </w:rPr>
              <w:t>Естественный прирост (убыль)</w:t>
            </w:r>
          </w:p>
        </w:tc>
        <w:tc>
          <w:tcPr>
            <w:tcW w:w="992" w:type="dxa"/>
            <w:noWrap/>
            <w:vAlign w:val="bottom"/>
          </w:tcPr>
          <w:p w14:paraId="67A23D9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-0,7</w:t>
            </w:r>
          </w:p>
        </w:tc>
        <w:tc>
          <w:tcPr>
            <w:tcW w:w="850" w:type="dxa"/>
            <w:noWrap/>
            <w:vAlign w:val="bottom"/>
          </w:tcPr>
          <w:p w14:paraId="56226B9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-1,5</w:t>
            </w:r>
          </w:p>
        </w:tc>
        <w:tc>
          <w:tcPr>
            <w:tcW w:w="850" w:type="dxa"/>
            <w:noWrap/>
            <w:vAlign w:val="bottom"/>
          </w:tcPr>
          <w:p w14:paraId="0186DC4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-1,6</w:t>
            </w:r>
          </w:p>
        </w:tc>
        <w:tc>
          <w:tcPr>
            <w:tcW w:w="850" w:type="dxa"/>
            <w:noWrap/>
            <w:vAlign w:val="bottom"/>
          </w:tcPr>
          <w:p w14:paraId="2DBE11E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-1,7</w:t>
            </w:r>
          </w:p>
        </w:tc>
        <w:tc>
          <w:tcPr>
            <w:tcW w:w="851" w:type="dxa"/>
            <w:noWrap/>
            <w:vAlign w:val="bottom"/>
          </w:tcPr>
          <w:p w14:paraId="6FC25B0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-1,6</w:t>
            </w:r>
          </w:p>
        </w:tc>
      </w:tr>
      <w:tr w:rsidR="00171AA8" w:rsidRPr="00731FE2" w14:paraId="64B25C7A" w14:textId="77777777">
        <w:trPr>
          <w:trHeight w:val="266"/>
        </w:trPr>
        <w:tc>
          <w:tcPr>
            <w:tcW w:w="4960" w:type="dxa"/>
            <w:noWrap/>
            <w:vAlign w:val="center"/>
          </w:tcPr>
          <w:p w14:paraId="4F2DBF70" w14:textId="77777777" w:rsidR="00171AA8" w:rsidRPr="00731FE2" w:rsidRDefault="007935AB">
            <w:pPr>
              <w:pBdr>
                <w:top w:val="none" w:sz="4" w:space="0" w:color="000000"/>
                <w:left w:val="none" w:sz="4" w:space="0" w:color="000000"/>
                <w:bottom w:val="none" w:sz="4" w:space="0" w:color="000000"/>
                <w:right w:val="none" w:sz="4" w:space="0" w:color="000000"/>
              </w:pBdr>
              <w:ind w:firstLine="0"/>
              <w:rPr>
                <w:sz w:val="22"/>
                <w:szCs w:val="20"/>
              </w:rPr>
            </w:pPr>
            <w:r w:rsidRPr="00731FE2">
              <w:rPr>
                <w:rFonts w:ascii="Times New Roman" w:eastAsia="Times New Roman" w:hAnsi="Times New Roman" w:cs="Times New Roman"/>
                <w:color w:val="000000"/>
                <w:sz w:val="22"/>
                <w:szCs w:val="20"/>
              </w:rPr>
              <w:t>Миграционный прирост (убыль)</w:t>
            </w:r>
          </w:p>
        </w:tc>
        <w:tc>
          <w:tcPr>
            <w:tcW w:w="992" w:type="dxa"/>
            <w:noWrap/>
            <w:vAlign w:val="bottom"/>
          </w:tcPr>
          <w:p w14:paraId="29160EB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-0,9</w:t>
            </w:r>
          </w:p>
        </w:tc>
        <w:tc>
          <w:tcPr>
            <w:tcW w:w="850" w:type="dxa"/>
            <w:noWrap/>
            <w:vAlign w:val="bottom"/>
          </w:tcPr>
          <w:p w14:paraId="4E406DC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1,3</w:t>
            </w:r>
          </w:p>
        </w:tc>
        <w:tc>
          <w:tcPr>
            <w:tcW w:w="850" w:type="dxa"/>
            <w:noWrap/>
            <w:vAlign w:val="bottom"/>
          </w:tcPr>
          <w:p w14:paraId="18C16F6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2,9</w:t>
            </w:r>
          </w:p>
        </w:tc>
        <w:tc>
          <w:tcPr>
            <w:tcW w:w="850" w:type="dxa"/>
            <w:noWrap/>
            <w:vAlign w:val="bottom"/>
          </w:tcPr>
          <w:p w14:paraId="4FDC582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3,9</w:t>
            </w:r>
          </w:p>
        </w:tc>
        <w:tc>
          <w:tcPr>
            <w:tcW w:w="851" w:type="dxa"/>
            <w:noWrap/>
            <w:vAlign w:val="bottom"/>
          </w:tcPr>
          <w:p w14:paraId="532F9D4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4,5</w:t>
            </w:r>
          </w:p>
        </w:tc>
      </w:tr>
      <w:tr w:rsidR="00171AA8" w:rsidRPr="00731FE2" w14:paraId="7F6C6960" w14:textId="77777777">
        <w:trPr>
          <w:trHeight w:val="269"/>
        </w:trPr>
        <w:tc>
          <w:tcPr>
            <w:tcW w:w="4960" w:type="dxa"/>
            <w:noWrap/>
            <w:vAlign w:val="center"/>
          </w:tcPr>
          <w:p w14:paraId="2992956E" w14:textId="77777777" w:rsidR="00171AA8" w:rsidRPr="00731FE2" w:rsidRDefault="007935AB">
            <w:pPr>
              <w:pBdr>
                <w:top w:val="none" w:sz="4" w:space="0" w:color="000000"/>
                <w:left w:val="none" w:sz="4" w:space="0" w:color="000000"/>
                <w:bottom w:val="none" w:sz="4" w:space="0" w:color="000000"/>
                <w:right w:val="none" w:sz="4" w:space="0" w:color="000000"/>
              </w:pBdr>
              <w:ind w:firstLine="0"/>
              <w:rPr>
                <w:sz w:val="22"/>
                <w:szCs w:val="20"/>
              </w:rPr>
            </w:pPr>
            <w:r w:rsidRPr="00731FE2">
              <w:rPr>
                <w:rFonts w:ascii="Times New Roman" w:eastAsia="Times New Roman" w:hAnsi="Times New Roman" w:cs="Times New Roman"/>
                <w:color w:val="000000"/>
                <w:sz w:val="22"/>
                <w:szCs w:val="20"/>
              </w:rPr>
              <w:t>Общий прирост (убыль)</w:t>
            </w:r>
          </w:p>
        </w:tc>
        <w:tc>
          <w:tcPr>
            <w:tcW w:w="992" w:type="dxa"/>
            <w:noWrap/>
            <w:vAlign w:val="bottom"/>
          </w:tcPr>
          <w:p w14:paraId="777B600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-1,6</w:t>
            </w:r>
          </w:p>
        </w:tc>
        <w:tc>
          <w:tcPr>
            <w:tcW w:w="850" w:type="dxa"/>
            <w:noWrap/>
            <w:vAlign w:val="bottom"/>
          </w:tcPr>
          <w:p w14:paraId="531F8F7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-0,3</w:t>
            </w:r>
          </w:p>
        </w:tc>
        <w:tc>
          <w:tcPr>
            <w:tcW w:w="850" w:type="dxa"/>
            <w:noWrap/>
            <w:vAlign w:val="bottom"/>
          </w:tcPr>
          <w:p w14:paraId="7CCF6E3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1,3</w:t>
            </w:r>
          </w:p>
        </w:tc>
        <w:tc>
          <w:tcPr>
            <w:tcW w:w="850" w:type="dxa"/>
            <w:noWrap/>
            <w:vAlign w:val="bottom"/>
          </w:tcPr>
          <w:p w14:paraId="3CC437B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2,3</w:t>
            </w:r>
          </w:p>
        </w:tc>
        <w:tc>
          <w:tcPr>
            <w:tcW w:w="851" w:type="dxa"/>
            <w:noWrap/>
            <w:vAlign w:val="bottom"/>
          </w:tcPr>
          <w:p w14:paraId="4E99DAD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2,9</w:t>
            </w:r>
          </w:p>
        </w:tc>
      </w:tr>
      <w:tr w:rsidR="00171AA8" w:rsidRPr="00731FE2" w14:paraId="7101FCE4" w14:textId="77777777">
        <w:trPr>
          <w:trHeight w:val="58"/>
        </w:trPr>
        <w:tc>
          <w:tcPr>
            <w:tcW w:w="9355" w:type="dxa"/>
            <w:gridSpan w:val="6"/>
            <w:noWrap/>
            <w:vAlign w:val="center"/>
          </w:tcPr>
          <w:p w14:paraId="7D1385D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2"/>
                <w:szCs w:val="20"/>
              </w:rPr>
            </w:pPr>
            <w:r w:rsidRPr="00731FE2">
              <w:rPr>
                <w:rFonts w:ascii="Times New Roman" w:eastAsia="Times New Roman" w:hAnsi="Times New Roman" w:cs="Times New Roman"/>
                <w:b/>
                <w:color w:val="000000"/>
                <w:sz w:val="22"/>
                <w:szCs w:val="20"/>
              </w:rPr>
              <w:t>Пессимистический вариант прогноза, на 1000 чел. населения</w:t>
            </w:r>
          </w:p>
        </w:tc>
      </w:tr>
      <w:tr w:rsidR="00171AA8" w:rsidRPr="00731FE2" w14:paraId="0760D26D" w14:textId="77777777">
        <w:trPr>
          <w:trHeight w:val="122"/>
        </w:trPr>
        <w:tc>
          <w:tcPr>
            <w:tcW w:w="4960" w:type="dxa"/>
            <w:noWrap/>
            <w:vAlign w:val="center"/>
          </w:tcPr>
          <w:p w14:paraId="744F9FCD" w14:textId="77777777" w:rsidR="00171AA8" w:rsidRPr="00731FE2" w:rsidRDefault="007935AB">
            <w:pPr>
              <w:pBdr>
                <w:top w:val="none" w:sz="4" w:space="0" w:color="000000"/>
                <w:left w:val="none" w:sz="4" w:space="0" w:color="000000"/>
                <w:bottom w:val="none" w:sz="4" w:space="0" w:color="000000"/>
                <w:right w:val="none" w:sz="4" w:space="0" w:color="000000"/>
              </w:pBdr>
              <w:ind w:firstLine="0"/>
              <w:rPr>
                <w:sz w:val="22"/>
                <w:szCs w:val="20"/>
              </w:rPr>
            </w:pPr>
            <w:r w:rsidRPr="00731FE2">
              <w:rPr>
                <w:rFonts w:ascii="Times New Roman" w:eastAsia="Times New Roman" w:hAnsi="Times New Roman" w:cs="Times New Roman"/>
                <w:color w:val="000000"/>
                <w:sz w:val="22"/>
                <w:szCs w:val="20"/>
              </w:rPr>
              <w:t>Естественный прирост (убыль)</w:t>
            </w:r>
          </w:p>
        </w:tc>
        <w:tc>
          <w:tcPr>
            <w:tcW w:w="992" w:type="dxa"/>
            <w:noWrap/>
            <w:vAlign w:val="bottom"/>
          </w:tcPr>
          <w:p w14:paraId="2DB267B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-1,7</w:t>
            </w:r>
          </w:p>
        </w:tc>
        <w:tc>
          <w:tcPr>
            <w:tcW w:w="850" w:type="dxa"/>
            <w:noWrap/>
            <w:vAlign w:val="bottom"/>
          </w:tcPr>
          <w:p w14:paraId="3042CFF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-3,0</w:t>
            </w:r>
          </w:p>
        </w:tc>
        <w:tc>
          <w:tcPr>
            <w:tcW w:w="850" w:type="dxa"/>
            <w:noWrap/>
            <w:vAlign w:val="bottom"/>
          </w:tcPr>
          <w:p w14:paraId="0E3239A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-3,6</w:t>
            </w:r>
          </w:p>
        </w:tc>
        <w:tc>
          <w:tcPr>
            <w:tcW w:w="850" w:type="dxa"/>
            <w:noWrap/>
            <w:vAlign w:val="bottom"/>
          </w:tcPr>
          <w:p w14:paraId="37DAE1E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-4,3</w:t>
            </w:r>
          </w:p>
        </w:tc>
        <w:tc>
          <w:tcPr>
            <w:tcW w:w="851" w:type="dxa"/>
            <w:noWrap/>
            <w:vAlign w:val="bottom"/>
          </w:tcPr>
          <w:p w14:paraId="631A69F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-4,6</w:t>
            </w:r>
          </w:p>
        </w:tc>
      </w:tr>
      <w:tr w:rsidR="00171AA8" w:rsidRPr="00731FE2" w14:paraId="1C773A13" w14:textId="77777777">
        <w:trPr>
          <w:trHeight w:val="140"/>
        </w:trPr>
        <w:tc>
          <w:tcPr>
            <w:tcW w:w="4960" w:type="dxa"/>
            <w:noWrap/>
            <w:vAlign w:val="center"/>
          </w:tcPr>
          <w:p w14:paraId="287545F6" w14:textId="77777777" w:rsidR="00171AA8" w:rsidRPr="00731FE2" w:rsidRDefault="007935AB">
            <w:pPr>
              <w:pBdr>
                <w:top w:val="none" w:sz="4" w:space="0" w:color="000000"/>
                <w:left w:val="none" w:sz="4" w:space="0" w:color="000000"/>
                <w:bottom w:val="none" w:sz="4" w:space="0" w:color="000000"/>
                <w:right w:val="none" w:sz="4" w:space="0" w:color="000000"/>
              </w:pBdr>
              <w:ind w:firstLine="0"/>
              <w:rPr>
                <w:sz w:val="22"/>
                <w:szCs w:val="20"/>
              </w:rPr>
            </w:pPr>
            <w:r w:rsidRPr="00731FE2">
              <w:rPr>
                <w:rFonts w:ascii="Times New Roman" w:eastAsia="Times New Roman" w:hAnsi="Times New Roman" w:cs="Times New Roman"/>
                <w:color w:val="000000"/>
                <w:sz w:val="22"/>
                <w:szCs w:val="20"/>
              </w:rPr>
              <w:t>Миграционный прирост (убыль)</w:t>
            </w:r>
          </w:p>
        </w:tc>
        <w:tc>
          <w:tcPr>
            <w:tcW w:w="992" w:type="dxa"/>
            <w:noWrap/>
            <w:vAlign w:val="bottom"/>
          </w:tcPr>
          <w:p w14:paraId="3609C83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-2,4</w:t>
            </w:r>
          </w:p>
        </w:tc>
        <w:tc>
          <w:tcPr>
            <w:tcW w:w="850" w:type="dxa"/>
            <w:noWrap/>
            <w:vAlign w:val="bottom"/>
          </w:tcPr>
          <w:p w14:paraId="30526AE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-1,5</w:t>
            </w:r>
          </w:p>
        </w:tc>
        <w:tc>
          <w:tcPr>
            <w:tcW w:w="850" w:type="dxa"/>
            <w:noWrap/>
            <w:vAlign w:val="bottom"/>
          </w:tcPr>
          <w:p w14:paraId="64DCDF7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-0,7</w:t>
            </w:r>
          </w:p>
        </w:tc>
        <w:tc>
          <w:tcPr>
            <w:tcW w:w="850" w:type="dxa"/>
            <w:noWrap/>
            <w:vAlign w:val="bottom"/>
          </w:tcPr>
          <w:p w14:paraId="08768CA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0,6</w:t>
            </w:r>
          </w:p>
        </w:tc>
        <w:tc>
          <w:tcPr>
            <w:tcW w:w="851" w:type="dxa"/>
            <w:noWrap/>
            <w:vAlign w:val="bottom"/>
          </w:tcPr>
          <w:p w14:paraId="46FE14F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1,8</w:t>
            </w:r>
          </w:p>
        </w:tc>
      </w:tr>
      <w:tr w:rsidR="00171AA8" w:rsidRPr="00731FE2" w14:paraId="7F1ABE1B" w14:textId="77777777">
        <w:trPr>
          <w:trHeight w:val="143"/>
        </w:trPr>
        <w:tc>
          <w:tcPr>
            <w:tcW w:w="4960" w:type="dxa"/>
            <w:noWrap/>
            <w:vAlign w:val="center"/>
          </w:tcPr>
          <w:p w14:paraId="24FBA56C" w14:textId="77777777" w:rsidR="00171AA8" w:rsidRPr="00731FE2" w:rsidRDefault="007935AB">
            <w:pPr>
              <w:pBdr>
                <w:top w:val="none" w:sz="4" w:space="0" w:color="000000"/>
                <w:left w:val="none" w:sz="4" w:space="0" w:color="000000"/>
                <w:bottom w:val="none" w:sz="4" w:space="0" w:color="000000"/>
                <w:right w:val="none" w:sz="4" w:space="0" w:color="000000"/>
              </w:pBdr>
              <w:ind w:firstLine="0"/>
              <w:rPr>
                <w:sz w:val="22"/>
                <w:szCs w:val="20"/>
              </w:rPr>
            </w:pPr>
            <w:r w:rsidRPr="00731FE2">
              <w:rPr>
                <w:rFonts w:ascii="Times New Roman" w:eastAsia="Times New Roman" w:hAnsi="Times New Roman" w:cs="Times New Roman"/>
                <w:color w:val="000000"/>
                <w:sz w:val="22"/>
                <w:szCs w:val="20"/>
              </w:rPr>
              <w:t>Общий прирост (убыль)</w:t>
            </w:r>
          </w:p>
        </w:tc>
        <w:tc>
          <w:tcPr>
            <w:tcW w:w="992" w:type="dxa"/>
            <w:noWrap/>
            <w:vAlign w:val="bottom"/>
          </w:tcPr>
          <w:p w14:paraId="6505F4C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-4,1</w:t>
            </w:r>
          </w:p>
        </w:tc>
        <w:tc>
          <w:tcPr>
            <w:tcW w:w="850" w:type="dxa"/>
            <w:noWrap/>
            <w:vAlign w:val="bottom"/>
          </w:tcPr>
          <w:p w14:paraId="308B65C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-4,5</w:t>
            </w:r>
          </w:p>
        </w:tc>
        <w:tc>
          <w:tcPr>
            <w:tcW w:w="850" w:type="dxa"/>
            <w:noWrap/>
            <w:vAlign w:val="bottom"/>
          </w:tcPr>
          <w:p w14:paraId="6ECB8E8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-4,3</w:t>
            </w:r>
          </w:p>
        </w:tc>
        <w:tc>
          <w:tcPr>
            <w:tcW w:w="850" w:type="dxa"/>
            <w:noWrap/>
            <w:vAlign w:val="bottom"/>
          </w:tcPr>
          <w:p w14:paraId="1228B79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-3,7</w:t>
            </w:r>
          </w:p>
        </w:tc>
        <w:tc>
          <w:tcPr>
            <w:tcW w:w="851" w:type="dxa"/>
            <w:noWrap/>
            <w:vAlign w:val="bottom"/>
          </w:tcPr>
          <w:p w14:paraId="3F17621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-2,8</w:t>
            </w:r>
          </w:p>
        </w:tc>
      </w:tr>
    </w:tbl>
    <w:p w14:paraId="3FFC0307" w14:textId="77777777" w:rsidR="00171AA8" w:rsidRPr="00731FE2" w:rsidRDefault="007935AB">
      <w:pPr>
        <w:pBdr>
          <w:top w:val="none" w:sz="4" w:space="0" w:color="000000"/>
          <w:left w:val="none" w:sz="4" w:space="0" w:color="000000"/>
          <w:bottom w:val="none" w:sz="4" w:space="0" w:color="000000"/>
          <w:right w:val="none" w:sz="4" w:space="0" w:color="000000"/>
        </w:pBdr>
        <w:ind w:firstLine="0"/>
      </w:pPr>
      <w:r w:rsidRPr="00731FE2">
        <w:rPr>
          <w:rFonts w:ascii="Times New Roman" w:eastAsia="Times New Roman" w:hAnsi="Times New Roman" w:cs="Times New Roman"/>
          <w:color w:val="000000"/>
          <w:sz w:val="20"/>
        </w:rPr>
        <w:lastRenderedPageBreak/>
        <w:t>* В среднем за данный год и каждый год пятилетнего периода 2023-2028 и т.д.</w:t>
      </w:r>
    </w:p>
    <w:p w14:paraId="420CE8B4" w14:textId="77777777" w:rsidR="00171AA8" w:rsidRPr="00731FE2" w:rsidRDefault="00171AA8">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szCs w:val="24"/>
        </w:rPr>
      </w:pPr>
    </w:p>
    <w:p w14:paraId="04480DF9" w14:textId="77777777" w:rsidR="00171AA8" w:rsidRPr="00731FE2" w:rsidRDefault="007935AB">
      <w:pPr>
        <w:pBdr>
          <w:top w:val="none" w:sz="4" w:space="0" w:color="000000"/>
          <w:left w:val="none" w:sz="4" w:space="0" w:color="000000"/>
          <w:bottom w:val="none" w:sz="4" w:space="0" w:color="000000"/>
          <w:right w:val="none" w:sz="4" w:space="0" w:color="000000"/>
        </w:pBdr>
      </w:pPr>
      <w:r w:rsidRPr="00731FE2">
        <w:rPr>
          <w:rFonts w:ascii="Times New Roman" w:eastAsia="Times New Roman" w:hAnsi="Times New Roman" w:cs="Times New Roman"/>
          <w:color w:val="000000"/>
        </w:rPr>
        <w:t>Результативностью естественного и миграционного движения определяется прирост или убыль общей численности населения.</w:t>
      </w:r>
    </w:p>
    <w:p w14:paraId="5B4CAEFF" w14:textId="77777777" w:rsidR="00171AA8" w:rsidRPr="00731FE2" w:rsidRDefault="007935AB">
      <w:pPr>
        <w:pBdr>
          <w:top w:val="none" w:sz="4" w:space="0" w:color="000000"/>
          <w:left w:val="none" w:sz="4" w:space="0" w:color="000000"/>
          <w:bottom w:val="none" w:sz="4" w:space="0" w:color="000000"/>
          <w:right w:val="none" w:sz="4" w:space="0" w:color="000000"/>
        </w:pBdr>
      </w:pPr>
      <w:proofErr w:type="gramStart"/>
      <w:r w:rsidRPr="00731FE2">
        <w:rPr>
          <w:rFonts w:ascii="Times New Roman" w:eastAsia="Times New Roman" w:hAnsi="Times New Roman" w:cs="Times New Roman"/>
          <w:color w:val="000000"/>
        </w:rPr>
        <w:t>Согласно целевому сценарию прогноза при положительном увеличивающимся миграционном приросте, естественный прирост достигнет положительных значений лишь к 2044 г. Подобное соотношение естественного и миграционного приростов сформирует положительный общий прирост на протяжении всего периода до 2049 г.</w:t>
      </w:r>
      <w:proofErr w:type="gramEnd"/>
    </w:p>
    <w:p w14:paraId="27E2468D" w14:textId="77777777" w:rsidR="00171AA8" w:rsidRPr="00731FE2" w:rsidRDefault="007935AB">
      <w:pPr>
        <w:pBdr>
          <w:top w:val="none" w:sz="4" w:space="0" w:color="000000"/>
          <w:left w:val="none" w:sz="4" w:space="0" w:color="000000"/>
          <w:bottom w:val="none" w:sz="4" w:space="0" w:color="000000"/>
          <w:right w:val="none" w:sz="4" w:space="0" w:color="000000"/>
        </w:pBdr>
      </w:pPr>
      <w:r w:rsidRPr="00731FE2">
        <w:rPr>
          <w:rFonts w:ascii="Times New Roman" w:eastAsia="Times New Roman" w:hAnsi="Times New Roman" w:cs="Times New Roman"/>
          <w:color w:val="000000"/>
        </w:rPr>
        <w:t xml:space="preserve">Тренд инерционного варианта отличается </w:t>
      </w:r>
      <w:proofErr w:type="gramStart"/>
      <w:r w:rsidRPr="00731FE2">
        <w:rPr>
          <w:rFonts w:ascii="Times New Roman" w:eastAsia="Times New Roman" w:hAnsi="Times New Roman" w:cs="Times New Roman"/>
          <w:color w:val="000000"/>
        </w:rPr>
        <w:t>от</w:t>
      </w:r>
      <w:proofErr w:type="gramEnd"/>
      <w:r w:rsidRPr="00731FE2">
        <w:rPr>
          <w:rFonts w:ascii="Times New Roman" w:eastAsia="Times New Roman" w:hAnsi="Times New Roman" w:cs="Times New Roman"/>
          <w:color w:val="000000"/>
        </w:rPr>
        <w:t xml:space="preserve"> целевого. При увеличении миграционного прироста, естественный прирост остается в отрицательных значениях. Такое соотношение сформирует положительный общий прирост с 2034 г. до конца расчетного срока.</w:t>
      </w:r>
    </w:p>
    <w:p w14:paraId="2EB967DD" w14:textId="77777777" w:rsidR="00171AA8" w:rsidRPr="00731FE2" w:rsidRDefault="007935AB">
      <w:pPr>
        <w:pBdr>
          <w:top w:val="none" w:sz="4" w:space="0" w:color="000000"/>
          <w:left w:val="none" w:sz="4" w:space="0" w:color="000000"/>
          <w:bottom w:val="none" w:sz="4" w:space="0" w:color="000000"/>
          <w:right w:val="none" w:sz="4" w:space="0" w:color="000000"/>
        </w:pBdr>
      </w:pPr>
      <w:r w:rsidRPr="00731FE2">
        <w:rPr>
          <w:rFonts w:ascii="Times New Roman" w:eastAsia="Times New Roman" w:hAnsi="Times New Roman" w:cs="Times New Roman"/>
          <w:color w:val="000000"/>
        </w:rPr>
        <w:t xml:space="preserve">При пессимистическом сценарии прогноза общий прирост повторяет отрицательные значения естественного прироста, но миграционный остаётся положительным. </w:t>
      </w:r>
    </w:p>
    <w:p w14:paraId="19D25E8E" w14:textId="77777777" w:rsidR="00171AA8" w:rsidRPr="00731FE2" w:rsidRDefault="007935AB">
      <w:pPr>
        <w:pBdr>
          <w:top w:val="none" w:sz="4" w:space="0" w:color="000000"/>
          <w:left w:val="none" w:sz="4" w:space="0" w:color="000000"/>
          <w:bottom w:val="none" w:sz="4" w:space="0" w:color="000000"/>
          <w:right w:val="none" w:sz="4" w:space="0" w:color="000000"/>
        </w:pBdr>
      </w:pPr>
      <w:r w:rsidRPr="00731FE2">
        <w:rPr>
          <w:rFonts w:ascii="Times New Roman" w:eastAsia="Times New Roman" w:hAnsi="Times New Roman" w:cs="Times New Roman"/>
          <w:color w:val="000000"/>
        </w:rPr>
        <w:t xml:space="preserve">Естественная миграция и отток населения влияют на трансформацию возрастной структуры. Естественная убыль и отток наиболее продуктивных слоев населения приводит к трансформации оставшегося населения. Процесс «старения населения» усиливается. В результате формирования этой структуры показатели естественного прироста долгое время остаются в отрицательных </w:t>
      </w:r>
      <w:r w:rsidR="00A4523A" w:rsidRPr="00731FE2">
        <w:rPr>
          <w:rFonts w:ascii="Times New Roman" w:eastAsia="Times New Roman" w:hAnsi="Times New Roman" w:cs="Times New Roman"/>
          <w:color w:val="000000"/>
        </w:rPr>
        <w:t>значениях</w:t>
      </w:r>
      <w:r w:rsidRPr="00731FE2">
        <w:rPr>
          <w:rFonts w:ascii="Times New Roman" w:eastAsia="Times New Roman" w:hAnsi="Times New Roman" w:cs="Times New Roman"/>
          <w:color w:val="000000"/>
        </w:rPr>
        <w:t>.</w:t>
      </w:r>
    </w:p>
    <w:p w14:paraId="36823C30" w14:textId="77777777" w:rsidR="00171AA8" w:rsidRPr="00731FE2" w:rsidRDefault="00171AA8">
      <w:pPr>
        <w:rPr>
          <w:rFonts w:ascii="Times New Roman" w:hAnsi="Times New Roman" w:cs="Times New Roman"/>
          <w:color w:val="000000" w:themeColor="text1"/>
        </w:rPr>
      </w:pPr>
    </w:p>
    <w:p w14:paraId="3D4BC5AB" w14:textId="77777777" w:rsidR="00171AA8" w:rsidRPr="00731FE2" w:rsidRDefault="007935AB">
      <w:pPr>
        <w:ind w:firstLine="0"/>
        <w:rPr>
          <w:rFonts w:ascii="Times New Roman" w:hAnsi="Times New Roman" w:cs="Times New Roman"/>
          <w:color w:val="000000" w:themeColor="text1"/>
        </w:rPr>
      </w:pPr>
      <w:r w:rsidRPr="00731FE2">
        <w:rPr>
          <w:noProof/>
          <w:lang w:eastAsia="ru-RU"/>
        </w:rPr>
        <w:drawing>
          <wp:inline distT="0" distB="0" distL="0" distR="0" wp14:anchorId="092484A3" wp14:editId="59011E0E">
            <wp:extent cx="5940425" cy="2756993"/>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163440" name=""/>
                    <pic:cNvPicPr>
                      <a:picLocks noChangeAspect="1"/>
                    </pic:cNvPicPr>
                  </pic:nvPicPr>
                  <pic:blipFill>
                    <a:blip r:embed="rId24"/>
                    <a:srcRect t="3449" b="1995"/>
                    <a:stretch/>
                  </pic:blipFill>
                  <pic:spPr bwMode="auto">
                    <a:xfrm>
                      <a:off x="0" y="0"/>
                      <a:ext cx="5940424" cy="2756993"/>
                    </a:xfrm>
                    <a:prstGeom prst="rect">
                      <a:avLst/>
                    </a:prstGeom>
                  </pic:spPr>
                </pic:pic>
              </a:graphicData>
            </a:graphic>
          </wp:inline>
        </w:drawing>
      </w:r>
    </w:p>
    <w:p w14:paraId="1EEB0EDC" w14:textId="77777777" w:rsidR="00171AA8" w:rsidRPr="00731FE2" w:rsidRDefault="007935AB" w:rsidP="0058161E">
      <w:pPr>
        <w:pBdr>
          <w:top w:val="none" w:sz="4" w:space="0" w:color="000000"/>
          <w:left w:val="none" w:sz="4" w:space="0" w:color="000000"/>
          <w:bottom w:val="none" w:sz="4" w:space="0" w:color="000000"/>
          <w:right w:val="none" w:sz="4" w:space="0" w:color="000000"/>
        </w:pBdr>
        <w:spacing w:line="240" w:lineRule="auto"/>
        <w:ind w:firstLine="0"/>
        <w:rPr>
          <w:rFonts w:ascii="Times New Roman" w:hAnsi="Times New Roman" w:cs="Times New Roman"/>
          <w:b/>
          <w:bCs/>
          <w:color w:val="000000" w:themeColor="text1"/>
          <w:szCs w:val="24"/>
        </w:rPr>
      </w:pPr>
      <w:r w:rsidRPr="00731FE2">
        <w:rPr>
          <w:rFonts w:ascii="Times New Roman" w:hAnsi="Times New Roman" w:cs="Times New Roman"/>
          <w:b/>
          <w:bCs/>
          <w:color w:val="000000" w:themeColor="text1"/>
          <w:szCs w:val="24"/>
        </w:rPr>
        <w:t xml:space="preserve">Рисунок </w:t>
      </w:r>
      <w:r w:rsidRPr="00731FE2">
        <w:rPr>
          <w:rFonts w:ascii="Times New Roman" w:hAnsi="Times New Roman" w:cs="Times New Roman"/>
          <w:b/>
          <w:bCs/>
          <w:color w:val="000000" w:themeColor="text1"/>
          <w:szCs w:val="24"/>
        </w:rPr>
        <w:fldChar w:fldCharType="begin"/>
      </w:r>
      <w:r w:rsidRPr="00731FE2">
        <w:rPr>
          <w:rFonts w:ascii="Times New Roman" w:hAnsi="Times New Roman" w:cs="Times New Roman"/>
          <w:b/>
          <w:bCs/>
          <w:color w:val="000000" w:themeColor="text1"/>
          <w:szCs w:val="24"/>
        </w:rPr>
        <w:instrText xml:space="preserve"> SEQ Рисунок \* Arabic </w:instrText>
      </w:r>
      <w:r w:rsidRPr="00731FE2">
        <w:rPr>
          <w:rFonts w:ascii="Times New Roman" w:hAnsi="Times New Roman" w:cs="Times New Roman"/>
          <w:b/>
          <w:bCs/>
          <w:color w:val="000000" w:themeColor="text1"/>
          <w:szCs w:val="24"/>
        </w:rPr>
        <w:fldChar w:fldCharType="separate"/>
      </w:r>
      <w:r w:rsidR="00C50915" w:rsidRPr="00731FE2">
        <w:rPr>
          <w:rFonts w:ascii="Times New Roman" w:hAnsi="Times New Roman" w:cs="Times New Roman"/>
          <w:b/>
          <w:bCs/>
          <w:noProof/>
          <w:color w:val="000000" w:themeColor="text1"/>
          <w:szCs w:val="24"/>
        </w:rPr>
        <w:t>14</w:t>
      </w:r>
      <w:r w:rsidRPr="00731FE2">
        <w:rPr>
          <w:rFonts w:ascii="Times New Roman" w:hAnsi="Times New Roman" w:cs="Times New Roman"/>
          <w:b/>
          <w:bCs/>
          <w:color w:val="000000" w:themeColor="text1"/>
          <w:szCs w:val="24"/>
        </w:rPr>
        <w:fldChar w:fldCharType="end"/>
      </w:r>
      <w:r w:rsidRPr="00731FE2">
        <w:rPr>
          <w:rFonts w:ascii="Times New Roman" w:hAnsi="Times New Roman" w:cs="Times New Roman"/>
          <w:b/>
          <w:bCs/>
          <w:color w:val="000000" w:themeColor="text1"/>
          <w:szCs w:val="24"/>
        </w:rPr>
        <w:t xml:space="preserve"> – Половозрастная структура населения городского округа города-курорта Кисловодска в 2044 г. по целевому сценарию</w:t>
      </w:r>
    </w:p>
    <w:p w14:paraId="3AA5CA51" w14:textId="77777777" w:rsidR="00171AA8" w:rsidRPr="00731FE2" w:rsidRDefault="00171AA8" w:rsidP="0058161E">
      <w:pPr>
        <w:pBdr>
          <w:top w:val="none" w:sz="4" w:space="0" w:color="000000"/>
          <w:left w:val="none" w:sz="4" w:space="0" w:color="000000"/>
          <w:bottom w:val="none" w:sz="4" w:space="0" w:color="000000"/>
          <w:right w:val="none" w:sz="4" w:space="0" w:color="000000"/>
        </w:pBdr>
        <w:spacing w:line="240" w:lineRule="auto"/>
        <w:ind w:firstLine="0"/>
        <w:rPr>
          <w:rFonts w:ascii="Times New Roman" w:hAnsi="Times New Roman" w:cs="Times New Roman"/>
          <w:b/>
          <w:bCs/>
          <w:color w:val="000000" w:themeColor="text1"/>
          <w:szCs w:val="24"/>
        </w:rPr>
      </w:pPr>
    </w:p>
    <w:p w14:paraId="054F4857" w14:textId="77777777" w:rsidR="00171AA8" w:rsidRPr="00731FE2" w:rsidRDefault="007935AB">
      <w:pPr>
        <w:pBdr>
          <w:top w:val="none" w:sz="4" w:space="0" w:color="000000"/>
          <w:left w:val="none" w:sz="4" w:space="0" w:color="000000"/>
          <w:bottom w:val="none" w:sz="4" w:space="0" w:color="000000"/>
          <w:right w:val="none" w:sz="4" w:space="0" w:color="000000"/>
        </w:pBdr>
      </w:pPr>
      <w:r w:rsidRPr="00731FE2">
        <w:rPr>
          <w:rFonts w:ascii="Times New Roman" w:eastAsia="Times New Roman" w:hAnsi="Times New Roman" w:cs="Times New Roman"/>
          <w:color w:val="000000"/>
        </w:rPr>
        <w:t xml:space="preserve">Согласно целевому сценарию развития к 2044 г. тенденция преобладания численности женщин над мужчинами сохраняется. </w:t>
      </w:r>
    </w:p>
    <w:p w14:paraId="4D96ECF3" w14:textId="77777777" w:rsidR="00171AA8" w:rsidRPr="00731FE2" w:rsidRDefault="00171AA8">
      <w:pPr>
        <w:pBdr>
          <w:top w:val="none" w:sz="4" w:space="0" w:color="000000"/>
          <w:left w:val="none" w:sz="4" w:space="0" w:color="000000"/>
          <w:bottom w:val="none" w:sz="4" w:space="0" w:color="000000"/>
          <w:right w:val="none" w:sz="4" w:space="0" w:color="000000"/>
        </w:pBdr>
        <w:ind w:firstLine="0"/>
        <w:rPr>
          <w:b/>
          <w:bCs/>
          <w:sz w:val="22"/>
          <w:szCs w:val="20"/>
        </w:rPr>
      </w:pPr>
    </w:p>
    <w:p w14:paraId="320CFAB9" w14:textId="77777777" w:rsidR="00171AA8" w:rsidRPr="00731FE2" w:rsidRDefault="007935AB" w:rsidP="0058161E">
      <w:pPr>
        <w:pBdr>
          <w:top w:val="none" w:sz="4" w:space="0" w:color="000000"/>
          <w:left w:val="none" w:sz="4" w:space="0" w:color="000000"/>
          <w:bottom w:val="none" w:sz="4" w:space="0" w:color="000000"/>
          <w:right w:val="none" w:sz="4" w:space="0" w:color="000000"/>
        </w:pBdr>
        <w:spacing w:line="240" w:lineRule="auto"/>
        <w:ind w:firstLine="0"/>
        <w:rPr>
          <w:rFonts w:ascii="Times New Roman" w:hAnsi="Times New Roman" w:cs="Times New Roman"/>
          <w:b/>
          <w:bCs/>
          <w:color w:val="000000" w:themeColor="text1"/>
          <w:szCs w:val="24"/>
        </w:rPr>
      </w:pPr>
      <w:r w:rsidRPr="00731FE2">
        <w:rPr>
          <w:rFonts w:ascii="Times New Roman" w:hAnsi="Times New Roman" w:cs="Times New Roman"/>
          <w:b/>
          <w:bCs/>
          <w:color w:val="000000" w:themeColor="text1"/>
          <w:szCs w:val="24"/>
        </w:rPr>
        <w:t xml:space="preserve">Таблица </w:t>
      </w:r>
      <w:r w:rsidRPr="00731FE2">
        <w:rPr>
          <w:rFonts w:ascii="Times New Roman" w:hAnsi="Times New Roman" w:cs="Times New Roman"/>
          <w:b/>
          <w:bCs/>
          <w:color w:val="000000" w:themeColor="text1"/>
          <w:szCs w:val="24"/>
        </w:rPr>
        <w:fldChar w:fldCharType="begin"/>
      </w:r>
      <w:r w:rsidRPr="00731FE2">
        <w:rPr>
          <w:rFonts w:ascii="Times New Roman" w:hAnsi="Times New Roman" w:cs="Times New Roman"/>
          <w:b/>
          <w:bCs/>
          <w:color w:val="000000" w:themeColor="text1"/>
          <w:szCs w:val="24"/>
        </w:rPr>
        <w:instrText xml:space="preserve"> SEQ Таблица \* Arabic </w:instrText>
      </w:r>
      <w:r w:rsidRPr="00731FE2">
        <w:rPr>
          <w:rFonts w:ascii="Times New Roman" w:hAnsi="Times New Roman" w:cs="Times New Roman"/>
          <w:b/>
          <w:bCs/>
          <w:color w:val="000000" w:themeColor="text1"/>
          <w:szCs w:val="24"/>
        </w:rPr>
        <w:fldChar w:fldCharType="separate"/>
      </w:r>
      <w:r w:rsidR="00C50915" w:rsidRPr="00731FE2">
        <w:rPr>
          <w:rFonts w:ascii="Times New Roman" w:hAnsi="Times New Roman" w:cs="Times New Roman"/>
          <w:b/>
          <w:bCs/>
          <w:noProof/>
          <w:color w:val="000000" w:themeColor="text1"/>
          <w:szCs w:val="24"/>
        </w:rPr>
        <w:t>69</w:t>
      </w:r>
      <w:r w:rsidRPr="00731FE2">
        <w:rPr>
          <w:rFonts w:ascii="Times New Roman" w:hAnsi="Times New Roman" w:cs="Times New Roman"/>
          <w:b/>
          <w:bCs/>
          <w:color w:val="000000" w:themeColor="text1"/>
          <w:szCs w:val="24"/>
        </w:rPr>
        <w:fldChar w:fldCharType="end"/>
      </w:r>
      <w:r w:rsidRPr="00731FE2">
        <w:rPr>
          <w:rFonts w:ascii="Times New Roman" w:hAnsi="Times New Roman" w:cs="Times New Roman"/>
          <w:b/>
          <w:bCs/>
          <w:color w:val="000000" w:themeColor="text1"/>
          <w:szCs w:val="24"/>
        </w:rPr>
        <w:t xml:space="preserve"> – Прогнозная оценка возрастной </w:t>
      </w:r>
      <w:proofErr w:type="gramStart"/>
      <w:r w:rsidRPr="00731FE2">
        <w:rPr>
          <w:rFonts w:ascii="Times New Roman" w:hAnsi="Times New Roman" w:cs="Times New Roman"/>
          <w:b/>
          <w:bCs/>
          <w:color w:val="000000" w:themeColor="text1"/>
          <w:szCs w:val="24"/>
        </w:rPr>
        <w:t>структуры населения городского округа города-курорта Кисловодска</w:t>
      </w:r>
      <w:proofErr w:type="gramEnd"/>
      <w:r w:rsidRPr="00731FE2">
        <w:rPr>
          <w:rFonts w:ascii="Times New Roman" w:hAnsi="Times New Roman" w:cs="Times New Roman"/>
          <w:b/>
          <w:bCs/>
          <w:color w:val="000000" w:themeColor="text1"/>
          <w:szCs w:val="24"/>
        </w:rPr>
        <w:t xml:space="preserve"> в 2023-2044 гг. по всем сценариям развития, %</w:t>
      </w:r>
    </w:p>
    <w:tbl>
      <w:tblPr>
        <w:tblStyle w:val="TableGridReport1"/>
        <w:tblW w:w="0" w:type="auto"/>
        <w:tblLayout w:type="fixed"/>
        <w:tblCellMar>
          <w:left w:w="57" w:type="dxa"/>
          <w:right w:w="57" w:type="dxa"/>
        </w:tblCellMar>
        <w:tblLook w:val="04A0" w:firstRow="1" w:lastRow="0" w:firstColumn="1" w:lastColumn="0" w:noHBand="0" w:noVBand="1"/>
      </w:tblPr>
      <w:tblGrid>
        <w:gridCol w:w="850"/>
        <w:gridCol w:w="709"/>
        <w:gridCol w:w="850"/>
        <w:gridCol w:w="709"/>
        <w:gridCol w:w="850"/>
        <w:gridCol w:w="851"/>
        <w:gridCol w:w="925"/>
        <w:gridCol w:w="713"/>
        <w:gridCol w:w="771"/>
        <w:gridCol w:w="709"/>
        <w:gridCol w:w="709"/>
        <w:gridCol w:w="711"/>
      </w:tblGrid>
      <w:tr w:rsidR="00171AA8" w:rsidRPr="00731FE2" w14:paraId="0BC91D97" w14:textId="77777777">
        <w:trPr>
          <w:trHeight w:val="20"/>
        </w:trPr>
        <w:tc>
          <w:tcPr>
            <w:tcW w:w="4819" w:type="dxa"/>
            <w:gridSpan w:val="6"/>
            <w:noWrap/>
            <w:vAlign w:val="center"/>
          </w:tcPr>
          <w:p w14:paraId="36FB59E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0"/>
                <w:szCs w:val="20"/>
              </w:rPr>
            </w:pPr>
            <w:r w:rsidRPr="00731FE2">
              <w:rPr>
                <w:rFonts w:ascii="Times New Roman" w:eastAsia="Times New Roman" w:hAnsi="Times New Roman" w:cs="Times New Roman"/>
                <w:b/>
                <w:color w:val="000000"/>
                <w:sz w:val="20"/>
                <w:szCs w:val="20"/>
              </w:rPr>
              <w:t>2023</w:t>
            </w:r>
          </w:p>
        </w:tc>
        <w:tc>
          <w:tcPr>
            <w:tcW w:w="4537" w:type="dxa"/>
            <w:gridSpan w:val="6"/>
            <w:vAlign w:val="center"/>
          </w:tcPr>
          <w:p w14:paraId="63B4024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0"/>
                <w:szCs w:val="20"/>
              </w:rPr>
            </w:pPr>
            <w:r w:rsidRPr="00731FE2">
              <w:rPr>
                <w:rFonts w:ascii="Times New Roman" w:eastAsia="Times New Roman" w:hAnsi="Times New Roman" w:cs="Times New Roman"/>
                <w:b/>
                <w:color w:val="000000"/>
                <w:sz w:val="20"/>
                <w:szCs w:val="20"/>
              </w:rPr>
              <w:t>2044</w:t>
            </w:r>
          </w:p>
        </w:tc>
      </w:tr>
      <w:tr w:rsidR="00171AA8" w:rsidRPr="00731FE2" w14:paraId="3873C8B3" w14:textId="77777777">
        <w:trPr>
          <w:trHeight w:val="240"/>
        </w:trPr>
        <w:tc>
          <w:tcPr>
            <w:tcW w:w="1559" w:type="dxa"/>
            <w:gridSpan w:val="2"/>
            <w:noWrap/>
            <w:vAlign w:val="center"/>
          </w:tcPr>
          <w:p w14:paraId="3D80E69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0"/>
                <w:szCs w:val="20"/>
              </w:rPr>
            </w:pPr>
            <w:r w:rsidRPr="00731FE2">
              <w:rPr>
                <w:rFonts w:ascii="Times New Roman" w:eastAsia="Times New Roman" w:hAnsi="Times New Roman" w:cs="Times New Roman"/>
                <w:b/>
                <w:color w:val="000000"/>
                <w:sz w:val="20"/>
                <w:szCs w:val="20"/>
              </w:rPr>
              <w:t>Моложе трудоспособного</w:t>
            </w:r>
          </w:p>
        </w:tc>
        <w:tc>
          <w:tcPr>
            <w:tcW w:w="1559" w:type="dxa"/>
            <w:gridSpan w:val="2"/>
            <w:noWrap/>
            <w:vAlign w:val="center"/>
          </w:tcPr>
          <w:p w14:paraId="151C478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0"/>
                <w:szCs w:val="20"/>
              </w:rPr>
            </w:pPr>
            <w:r w:rsidRPr="00731FE2">
              <w:rPr>
                <w:rFonts w:ascii="Times New Roman" w:eastAsia="Times New Roman" w:hAnsi="Times New Roman" w:cs="Times New Roman"/>
                <w:b/>
                <w:color w:val="000000"/>
                <w:sz w:val="20"/>
                <w:szCs w:val="20"/>
              </w:rPr>
              <w:t>Трудоспособное</w:t>
            </w:r>
          </w:p>
        </w:tc>
        <w:tc>
          <w:tcPr>
            <w:tcW w:w="1701" w:type="dxa"/>
            <w:gridSpan w:val="2"/>
            <w:noWrap/>
            <w:vAlign w:val="center"/>
          </w:tcPr>
          <w:p w14:paraId="78F0600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0"/>
                <w:szCs w:val="20"/>
              </w:rPr>
            </w:pPr>
            <w:r w:rsidRPr="00731FE2">
              <w:rPr>
                <w:rFonts w:ascii="Times New Roman" w:eastAsia="Times New Roman" w:hAnsi="Times New Roman" w:cs="Times New Roman"/>
                <w:b/>
                <w:color w:val="000000"/>
                <w:sz w:val="20"/>
                <w:szCs w:val="20"/>
              </w:rPr>
              <w:t>Старше трудоспособного</w:t>
            </w:r>
          </w:p>
        </w:tc>
        <w:tc>
          <w:tcPr>
            <w:tcW w:w="1638" w:type="dxa"/>
            <w:gridSpan w:val="2"/>
            <w:vAlign w:val="center"/>
          </w:tcPr>
          <w:p w14:paraId="38A1CF6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0"/>
                <w:szCs w:val="20"/>
              </w:rPr>
            </w:pPr>
            <w:r w:rsidRPr="00731FE2">
              <w:rPr>
                <w:rFonts w:ascii="Times New Roman" w:eastAsia="Times New Roman" w:hAnsi="Times New Roman" w:cs="Times New Roman"/>
                <w:b/>
                <w:color w:val="000000"/>
                <w:sz w:val="20"/>
                <w:szCs w:val="20"/>
              </w:rPr>
              <w:t>Моложе трудоспособного</w:t>
            </w:r>
          </w:p>
        </w:tc>
        <w:tc>
          <w:tcPr>
            <w:tcW w:w="1480" w:type="dxa"/>
            <w:gridSpan w:val="2"/>
            <w:vAlign w:val="center"/>
          </w:tcPr>
          <w:p w14:paraId="329E85D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0"/>
                <w:szCs w:val="20"/>
              </w:rPr>
            </w:pPr>
            <w:r w:rsidRPr="00731FE2">
              <w:rPr>
                <w:rFonts w:ascii="Times New Roman" w:eastAsia="Times New Roman" w:hAnsi="Times New Roman" w:cs="Times New Roman"/>
                <w:b/>
                <w:color w:val="000000"/>
                <w:sz w:val="20"/>
                <w:szCs w:val="20"/>
              </w:rPr>
              <w:t>Трудоспособное</w:t>
            </w:r>
          </w:p>
        </w:tc>
        <w:tc>
          <w:tcPr>
            <w:tcW w:w="1419" w:type="dxa"/>
            <w:gridSpan w:val="2"/>
            <w:noWrap/>
            <w:vAlign w:val="center"/>
          </w:tcPr>
          <w:p w14:paraId="0681B11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0"/>
                <w:szCs w:val="20"/>
              </w:rPr>
            </w:pPr>
            <w:r w:rsidRPr="00731FE2">
              <w:rPr>
                <w:rFonts w:ascii="Times New Roman" w:eastAsia="Times New Roman" w:hAnsi="Times New Roman" w:cs="Times New Roman"/>
                <w:b/>
                <w:color w:val="000000"/>
                <w:sz w:val="20"/>
                <w:szCs w:val="20"/>
              </w:rPr>
              <w:t>Старше трудоспособного</w:t>
            </w:r>
          </w:p>
        </w:tc>
      </w:tr>
      <w:tr w:rsidR="00171AA8" w:rsidRPr="00731FE2" w14:paraId="09AC06D0" w14:textId="77777777">
        <w:trPr>
          <w:trHeight w:val="20"/>
        </w:trPr>
        <w:tc>
          <w:tcPr>
            <w:tcW w:w="850" w:type="dxa"/>
            <w:noWrap/>
            <w:vAlign w:val="center"/>
          </w:tcPr>
          <w:p w14:paraId="4CE752D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0"/>
                <w:szCs w:val="20"/>
              </w:rPr>
            </w:pPr>
            <w:r w:rsidRPr="00731FE2">
              <w:rPr>
                <w:rFonts w:ascii="Times New Roman" w:eastAsia="Times New Roman" w:hAnsi="Times New Roman" w:cs="Times New Roman"/>
                <w:color w:val="000000"/>
                <w:sz w:val="20"/>
                <w:szCs w:val="20"/>
              </w:rPr>
              <w:lastRenderedPageBreak/>
              <w:t>чел.</w:t>
            </w:r>
          </w:p>
        </w:tc>
        <w:tc>
          <w:tcPr>
            <w:tcW w:w="709" w:type="dxa"/>
            <w:noWrap/>
            <w:vAlign w:val="center"/>
          </w:tcPr>
          <w:p w14:paraId="6161FDC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0"/>
                <w:szCs w:val="20"/>
              </w:rPr>
            </w:pPr>
            <w:r w:rsidRPr="00731FE2">
              <w:rPr>
                <w:rFonts w:ascii="Times New Roman" w:eastAsia="Times New Roman" w:hAnsi="Times New Roman" w:cs="Times New Roman"/>
                <w:color w:val="000000"/>
                <w:sz w:val="20"/>
                <w:szCs w:val="20"/>
              </w:rPr>
              <w:t>%</w:t>
            </w:r>
          </w:p>
        </w:tc>
        <w:tc>
          <w:tcPr>
            <w:tcW w:w="850" w:type="dxa"/>
            <w:noWrap/>
            <w:vAlign w:val="center"/>
          </w:tcPr>
          <w:p w14:paraId="0752EA2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0"/>
                <w:szCs w:val="20"/>
              </w:rPr>
            </w:pPr>
            <w:r w:rsidRPr="00731FE2">
              <w:rPr>
                <w:rFonts w:ascii="Times New Roman" w:eastAsia="Times New Roman" w:hAnsi="Times New Roman" w:cs="Times New Roman"/>
                <w:color w:val="000000"/>
                <w:sz w:val="20"/>
                <w:szCs w:val="20"/>
              </w:rPr>
              <w:t>чел.</w:t>
            </w:r>
          </w:p>
        </w:tc>
        <w:tc>
          <w:tcPr>
            <w:tcW w:w="709" w:type="dxa"/>
            <w:noWrap/>
            <w:vAlign w:val="center"/>
          </w:tcPr>
          <w:p w14:paraId="12ECDE7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0"/>
                <w:szCs w:val="20"/>
              </w:rPr>
            </w:pPr>
            <w:r w:rsidRPr="00731FE2">
              <w:rPr>
                <w:rFonts w:ascii="Times New Roman" w:eastAsia="Times New Roman" w:hAnsi="Times New Roman" w:cs="Times New Roman"/>
                <w:color w:val="000000"/>
                <w:sz w:val="20"/>
                <w:szCs w:val="20"/>
              </w:rPr>
              <w:t>%</w:t>
            </w:r>
          </w:p>
        </w:tc>
        <w:tc>
          <w:tcPr>
            <w:tcW w:w="850" w:type="dxa"/>
            <w:noWrap/>
            <w:vAlign w:val="center"/>
          </w:tcPr>
          <w:p w14:paraId="241F32F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0"/>
                <w:szCs w:val="20"/>
              </w:rPr>
            </w:pPr>
            <w:r w:rsidRPr="00731FE2">
              <w:rPr>
                <w:rFonts w:ascii="Times New Roman" w:eastAsia="Times New Roman" w:hAnsi="Times New Roman" w:cs="Times New Roman"/>
                <w:color w:val="000000"/>
                <w:sz w:val="20"/>
                <w:szCs w:val="20"/>
              </w:rPr>
              <w:t>чел.</w:t>
            </w:r>
          </w:p>
        </w:tc>
        <w:tc>
          <w:tcPr>
            <w:tcW w:w="850" w:type="dxa"/>
            <w:noWrap/>
            <w:vAlign w:val="center"/>
          </w:tcPr>
          <w:p w14:paraId="5BF3800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0"/>
                <w:szCs w:val="20"/>
              </w:rPr>
            </w:pPr>
            <w:r w:rsidRPr="00731FE2">
              <w:rPr>
                <w:rFonts w:ascii="Times New Roman" w:eastAsia="Times New Roman" w:hAnsi="Times New Roman" w:cs="Times New Roman"/>
                <w:color w:val="000000"/>
                <w:sz w:val="20"/>
                <w:szCs w:val="20"/>
              </w:rPr>
              <w:t>%</w:t>
            </w:r>
          </w:p>
        </w:tc>
        <w:tc>
          <w:tcPr>
            <w:tcW w:w="925" w:type="dxa"/>
            <w:vAlign w:val="center"/>
          </w:tcPr>
          <w:p w14:paraId="27846DC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0"/>
                <w:szCs w:val="20"/>
              </w:rPr>
            </w:pPr>
            <w:r w:rsidRPr="00731FE2">
              <w:rPr>
                <w:rFonts w:ascii="Times New Roman" w:eastAsia="Times New Roman" w:hAnsi="Times New Roman" w:cs="Times New Roman"/>
                <w:color w:val="000000"/>
                <w:sz w:val="20"/>
                <w:szCs w:val="20"/>
              </w:rPr>
              <w:t>чел.</w:t>
            </w:r>
          </w:p>
        </w:tc>
        <w:tc>
          <w:tcPr>
            <w:tcW w:w="713" w:type="dxa"/>
            <w:vAlign w:val="center"/>
          </w:tcPr>
          <w:p w14:paraId="1E7368B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0"/>
                <w:szCs w:val="20"/>
              </w:rPr>
            </w:pPr>
            <w:r w:rsidRPr="00731FE2">
              <w:rPr>
                <w:rFonts w:ascii="Times New Roman" w:eastAsia="Times New Roman" w:hAnsi="Times New Roman" w:cs="Times New Roman"/>
                <w:color w:val="000000"/>
                <w:sz w:val="20"/>
                <w:szCs w:val="20"/>
              </w:rPr>
              <w:t>%</w:t>
            </w:r>
          </w:p>
        </w:tc>
        <w:tc>
          <w:tcPr>
            <w:tcW w:w="771" w:type="dxa"/>
            <w:vAlign w:val="center"/>
          </w:tcPr>
          <w:p w14:paraId="4C84378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0"/>
                <w:szCs w:val="20"/>
              </w:rPr>
            </w:pPr>
            <w:r w:rsidRPr="00731FE2">
              <w:rPr>
                <w:rFonts w:ascii="Times New Roman" w:eastAsia="Times New Roman" w:hAnsi="Times New Roman" w:cs="Times New Roman"/>
                <w:color w:val="000000"/>
                <w:sz w:val="20"/>
                <w:szCs w:val="20"/>
              </w:rPr>
              <w:t>чел.</w:t>
            </w:r>
          </w:p>
        </w:tc>
        <w:tc>
          <w:tcPr>
            <w:tcW w:w="709" w:type="dxa"/>
            <w:vAlign w:val="center"/>
          </w:tcPr>
          <w:p w14:paraId="0752043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0"/>
                <w:szCs w:val="20"/>
              </w:rPr>
            </w:pPr>
            <w:r w:rsidRPr="00731FE2">
              <w:rPr>
                <w:rFonts w:ascii="Times New Roman" w:eastAsia="Times New Roman" w:hAnsi="Times New Roman" w:cs="Times New Roman"/>
                <w:color w:val="000000"/>
                <w:sz w:val="20"/>
                <w:szCs w:val="20"/>
              </w:rPr>
              <w:t>%</w:t>
            </w:r>
          </w:p>
        </w:tc>
        <w:tc>
          <w:tcPr>
            <w:tcW w:w="709" w:type="dxa"/>
            <w:noWrap/>
            <w:vAlign w:val="center"/>
          </w:tcPr>
          <w:p w14:paraId="707970B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0"/>
                <w:szCs w:val="20"/>
              </w:rPr>
            </w:pPr>
            <w:r w:rsidRPr="00731FE2">
              <w:rPr>
                <w:rFonts w:ascii="Times New Roman" w:eastAsia="Times New Roman" w:hAnsi="Times New Roman" w:cs="Times New Roman"/>
                <w:color w:val="000000"/>
                <w:sz w:val="20"/>
                <w:szCs w:val="20"/>
              </w:rPr>
              <w:t>чел.</w:t>
            </w:r>
          </w:p>
        </w:tc>
        <w:tc>
          <w:tcPr>
            <w:tcW w:w="711" w:type="dxa"/>
            <w:noWrap/>
            <w:vAlign w:val="center"/>
          </w:tcPr>
          <w:p w14:paraId="7DE65DD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0"/>
                <w:szCs w:val="20"/>
              </w:rPr>
            </w:pPr>
            <w:r w:rsidRPr="00731FE2">
              <w:rPr>
                <w:rFonts w:ascii="Times New Roman" w:eastAsia="Times New Roman" w:hAnsi="Times New Roman" w:cs="Times New Roman"/>
                <w:color w:val="000000"/>
                <w:sz w:val="20"/>
                <w:szCs w:val="20"/>
              </w:rPr>
              <w:t>%</w:t>
            </w:r>
          </w:p>
        </w:tc>
      </w:tr>
      <w:tr w:rsidR="00171AA8" w:rsidRPr="00731FE2" w14:paraId="2CF32058" w14:textId="77777777">
        <w:trPr>
          <w:trHeight w:val="20"/>
        </w:trPr>
        <w:tc>
          <w:tcPr>
            <w:tcW w:w="850" w:type="dxa"/>
            <w:vMerge w:val="restart"/>
            <w:noWrap/>
            <w:vAlign w:val="center"/>
          </w:tcPr>
          <w:p w14:paraId="278E021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22216</w:t>
            </w:r>
          </w:p>
        </w:tc>
        <w:tc>
          <w:tcPr>
            <w:tcW w:w="709" w:type="dxa"/>
            <w:vMerge w:val="restart"/>
            <w:noWrap/>
            <w:vAlign w:val="center"/>
          </w:tcPr>
          <w:p w14:paraId="0DF35D3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16,6</w:t>
            </w:r>
          </w:p>
        </w:tc>
        <w:tc>
          <w:tcPr>
            <w:tcW w:w="850" w:type="dxa"/>
            <w:vMerge w:val="restart"/>
            <w:noWrap/>
            <w:vAlign w:val="center"/>
          </w:tcPr>
          <w:p w14:paraId="4C4AC7B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86035</w:t>
            </w:r>
          </w:p>
        </w:tc>
        <w:tc>
          <w:tcPr>
            <w:tcW w:w="709" w:type="dxa"/>
            <w:vMerge w:val="restart"/>
            <w:noWrap/>
            <w:vAlign w:val="center"/>
          </w:tcPr>
          <w:p w14:paraId="6BDB8F3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64,2</w:t>
            </w:r>
          </w:p>
        </w:tc>
        <w:tc>
          <w:tcPr>
            <w:tcW w:w="850" w:type="dxa"/>
            <w:vMerge w:val="restart"/>
            <w:noWrap/>
            <w:vAlign w:val="center"/>
          </w:tcPr>
          <w:p w14:paraId="611125F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25662</w:t>
            </w:r>
          </w:p>
        </w:tc>
        <w:tc>
          <w:tcPr>
            <w:tcW w:w="850" w:type="dxa"/>
            <w:vMerge w:val="restart"/>
            <w:noWrap/>
            <w:vAlign w:val="center"/>
          </w:tcPr>
          <w:p w14:paraId="69EB36F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19,2</w:t>
            </w:r>
          </w:p>
        </w:tc>
        <w:tc>
          <w:tcPr>
            <w:tcW w:w="4537" w:type="dxa"/>
            <w:gridSpan w:val="6"/>
            <w:noWrap/>
            <w:vAlign w:val="center"/>
          </w:tcPr>
          <w:p w14:paraId="7FA9B78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целевой сценарий</w:t>
            </w:r>
          </w:p>
        </w:tc>
      </w:tr>
      <w:tr w:rsidR="00171AA8" w:rsidRPr="00731FE2" w14:paraId="0B79374B" w14:textId="77777777">
        <w:trPr>
          <w:trHeight w:val="20"/>
        </w:trPr>
        <w:tc>
          <w:tcPr>
            <w:tcW w:w="850" w:type="dxa"/>
            <w:vMerge/>
            <w:noWrap/>
            <w:vAlign w:val="center"/>
          </w:tcPr>
          <w:p w14:paraId="062CA983" w14:textId="77777777" w:rsidR="00171AA8" w:rsidRPr="00731FE2" w:rsidRDefault="00171AA8"/>
        </w:tc>
        <w:tc>
          <w:tcPr>
            <w:tcW w:w="709" w:type="dxa"/>
            <w:vMerge/>
            <w:noWrap/>
            <w:vAlign w:val="center"/>
          </w:tcPr>
          <w:p w14:paraId="7A6FBC63" w14:textId="77777777" w:rsidR="00171AA8" w:rsidRPr="00731FE2" w:rsidRDefault="00171AA8"/>
        </w:tc>
        <w:tc>
          <w:tcPr>
            <w:tcW w:w="850" w:type="dxa"/>
            <w:vMerge/>
            <w:noWrap/>
            <w:vAlign w:val="center"/>
          </w:tcPr>
          <w:p w14:paraId="2B9B0BD7" w14:textId="77777777" w:rsidR="00171AA8" w:rsidRPr="00731FE2" w:rsidRDefault="00171AA8"/>
        </w:tc>
        <w:tc>
          <w:tcPr>
            <w:tcW w:w="709" w:type="dxa"/>
            <w:vMerge/>
            <w:noWrap/>
            <w:vAlign w:val="center"/>
          </w:tcPr>
          <w:p w14:paraId="762203E7" w14:textId="77777777" w:rsidR="00171AA8" w:rsidRPr="00731FE2" w:rsidRDefault="00171AA8"/>
        </w:tc>
        <w:tc>
          <w:tcPr>
            <w:tcW w:w="850" w:type="dxa"/>
            <w:vMerge/>
            <w:noWrap/>
            <w:vAlign w:val="center"/>
          </w:tcPr>
          <w:p w14:paraId="11FCBC17" w14:textId="77777777" w:rsidR="00171AA8" w:rsidRPr="00731FE2" w:rsidRDefault="00171AA8"/>
        </w:tc>
        <w:tc>
          <w:tcPr>
            <w:tcW w:w="850" w:type="dxa"/>
            <w:vMerge/>
            <w:noWrap/>
            <w:vAlign w:val="center"/>
          </w:tcPr>
          <w:p w14:paraId="27C88BE8" w14:textId="77777777" w:rsidR="00171AA8" w:rsidRPr="00731FE2" w:rsidRDefault="00171AA8"/>
        </w:tc>
        <w:tc>
          <w:tcPr>
            <w:tcW w:w="925" w:type="dxa"/>
            <w:vAlign w:val="center"/>
          </w:tcPr>
          <w:p w14:paraId="53AC1D0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18869</w:t>
            </w:r>
          </w:p>
        </w:tc>
        <w:tc>
          <w:tcPr>
            <w:tcW w:w="713" w:type="dxa"/>
            <w:vAlign w:val="center"/>
          </w:tcPr>
          <w:p w14:paraId="0CE3201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13,2</w:t>
            </w:r>
          </w:p>
        </w:tc>
        <w:tc>
          <w:tcPr>
            <w:tcW w:w="771" w:type="dxa"/>
            <w:vAlign w:val="center"/>
          </w:tcPr>
          <w:p w14:paraId="0051E35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86895</w:t>
            </w:r>
          </w:p>
        </w:tc>
        <w:tc>
          <w:tcPr>
            <w:tcW w:w="709" w:type="dxa"/>
            <w:vAlign w:val="center"/>
          </w:tcPr>
          <w:p w14:paraId="608AB50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61,0</w:t>
            </w:r>
          </w:p>
        </w:tc>
        <w:tc>
          <w:tcPr>
            <w:tcW w:w="709" w:type="dxa"/>
            <w:noWrap/>
            <w:vAlign w:val="center"/>
          </w:tcPr>
          <w:p w14:paraId="444EB6A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36680</w:t>
            </w:r>
          </w:p>
        </w:tc>
        <w:tc>
          <w:tcPr>
            <w:tcW w:w="711" w:type="dxa"/>
            <w:noWrap/>
            <w:vAlign w:val="center"/>
          </w:tcPr>
          <w:p w14:paraId="1AC17A3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34,7</w:t>
            </w:r>
          </w:p>
        </w:tc>
      </w:tr>
      <w:tr w:rsidR="00171AA8" w:rsidRPr="00731FE2" w14:paraId="52C63A94" w14:textId="77777777">
        <w:trPr>
          <w:trHeight w:val="20"/>
        </w:trPr>
        <w:tc>
          <w:tcPr>
            <w:tcW w:w="850" w:type="dxa"/>
            <w:vMerge/>
            <w:noWrap/>
            <w:vAlign w:val="center"/>
          </w:tcPr>
          <w:p w14:paraId="444AE008" w14:textId="77777777" w:rsidR="00171AA8" w:rsidRPr="00731FE2" w:rsidRDefault="00171AA8"/>
        </w:tc>
        <w:tc>
          <w:tcPr>
            <w:tcW w:w="709" w:type="dxa"/>
            <w:vMerge/>
            <w:noWrap/>
            <w:vAlign w:val="center"/>
          </w:tcPr>
          <w:p w14:paraId="07817E0F" w14:textId="77777777" w:rsidR="00171AA8" w:rsidRPr="00731FE2" w:rsidRDefault="00171AA8"/>
        </w:tc>
        <w:tc>
          <w:tcPr>
            <w:tcW w:w="850" w:type="dxa"/>
            <w:vMerge/>
            <w:noWrap/>
            <w:vAlign w:val="center"/>
          </w:tcPr>
          <w:p w14:paraId="0DCDAF30" w14:textId="77777777" w:rsidR="00171AA8" w:rsidRPr="00731FE2" w:rsidRDefault="00171AA8"/>
        </w:tc>
        <w:tc>
          <w:tcPr>
            <w:tcW w:w="709" w:type="dxa"/>
            <w:vMerge/>
            <w:noWrap/>
            <w:vAlign w:val="center"/>
          </w:tcPr>
          <w:p w14:paraId="26C67E95" w14:textId="77777777" w:rsidR="00171AA8" w:rsidRPr="00731FE2" w:rsidRDefault="00171AA8"/>
        </w:tc>
        <w:tc>
          <w:tcPr>
            <w:tcW w:w="850" w:type="dxa"/>
            <w:vMerge/>
            <w:noWrap/>
            <w:vAlign w:val="center"/>
          </w:tcPr>
          <w:p w14:paraId="27F2F22C" w14:textId="77777777" w:rsidR="00171AA8" w:rsidRPr="00731FE2" w:rsidRDefault="00171AA8"/>
        </w:tc>
        <w:tc>
          <w:tcPr>
            <w:tcW w:w="850" w:type="dxa"/>
            <w:vMerge/>
            <w:noWrap/>
            <w:vAlign w:val="center"/>
          </w:tcPr>
          <w:p w14:paraId="2E4145DF" w14:textId="77777777" w:rsidR="00171AA8" w:rsidRPr="00731FE2" w:rsidRDefault="00171AA8"/>
        </w:tc>
        <w:tc>
          <w:tcPr>
            <w:tcW w:w="4537" w:type="dxa"/>
            <w:gridSpan w:val="6"/>
            <w:noWrap/>
            <w:vAlign w:val="center"/>
          </w:tcPr>
          <w:p w14:paraId="1922453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0"/>
                <w:szCs w:val="20"/>
              </w:rPr>
            </w:pPr>
            <w:r w:rsidRPr="00731FE2">
              <w:rPr>
                <w:rFonts w:ascii="Times New Roman" w:eastAsia="Times New Roman" w:hAnsi="Times New Roman" w:cs="Times New Roman"/>
                <w:color w:val="000000"/>
                <w:sz w:val="20"/>
                <w:szCs w:val="20"/>
              </w:rPr>
              <w:t>инерционный сценарий</w:t>
            </w:r>
          </w:p>
        </w:tc>
      </w:tr>
      <w:tr w:rsidR="00171AA8" w:rsidRPr="00731FE2" w14:paraId="734F2D46" w14:textId="77777777">
        <w:trPr>
          <w:trHeight w:val="20"/>
        </w:trPr>
        <w:tc>
          <w:tcPr>
            <w:tcW w:w="850" w:type="dxa"/>
            <w:vMerge/>
            <w:noWrap/>
            <w:vAlign w:val="center"/>
          </w:tcPr>
          <w:p w14:paraId="19C21350" w14:textId="77777777" w:rsidR="00171AA8" w:rsidRPr="00731FE2" w:rsidRDefault="00171AA8"/>
        </w:tc>
        <w:tc>
          <w:tcPr>
            <w:tcW w:w="709" w:type="dxa"/>
            <w:vMerge/>
            <w:noWrap/>
            <w:vAlign w:val="center"/>
          </w:tcPr>
          <w:p w14:paraId="456BABD8" w14:textId="77777777" w:rsidR="00171AA8" w:rsidRPr="00731FE2" w:rsidRDefault="00171AA8"/>
        </w:tc>
        <w:tc>
          <w:tcPr>
            <w:tcW w:w="850" w:type="dxa"/>
            <w:vMerge/>
            <w:noWrap/>
            <w:vAlign w:val="center"/>
          </w:tcPr>
          <w:p w14:paraId="4EAC57C2" w14:textId="77777777" w:rsidR="00171AA8" w:rsidRPr="00731FE2" w:rsidRDefault="00171AA8"/>
        </w:tc>
        <w:tc>
          <w:tcPr>
            <w:tcW w:w="709" w:type="dxa"/>
            <w:vMerge/>
            <w:noWrap/>
            <w:vAlign w:val="center"/>
          </w:tcPr>
          <w:p w14:paraId="44AF8298" w14:textId="77777777" w:rsidR="00171AA8" w:rsidRPr="00731FE2" w:rsidRDefault="00171AA8"/>
        </w:tc>
        <w:tc>
          <w:tcPr>
            <w:tcW w:w="850" w:type="dxa"/>
            <w:vMerge/>
            <w:noWrap/>
            <w:vAlign w:val="center"/>
          </w:tcPr>
          <w:p w14:paraId="1C31E83F" w14:textId="77777777" w:rsidR="00171AA8" w:rsidRPr="00731FE2" w:rsidRDefault="00171AA8"/>
        </w:tc>
        <w:tc>
          <w:tcPr>
            <w:tcW w:w="850" w:type="dxa"/>
            <w:vMerge/>
            <w:noWrap/>
            <w:vAlign w:val="center"/>
          </w:tcPr>
          <w:p w14:paraId="41A7895C" w14:textId="77777777" w:rsidR="00171AA8" w:rsidRPr="00731FE2" w:rsidRDefault="00171AA8"/>
        </w:tc>
        <w:tc>
          <w:tcPr>
            <w:tcW w:w="925" w:type="dxa"/>
            <w:vAlign w:val="center"/>
          </w:tcPr>
          <w:p w14:paraId="534D6B6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18869</w:t>
            </w:r>
          </w:p>
        </w:tc>
        <w:tc>
          <w:tcPr>
            <w:tcW w:w="713" w:type="dxa"/>
            <w:vAlign w:val="center"/>
          </w:tcPr>
          <w:p w14:paraId="5C1E5E9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14,0</w:t>
            </w:r>
          </w:p>
        </w:tc>
        <w:tc>
          <w:tcPr>
            <w:tcW w:w="771" w:type="dxa"/>
            <w:vAlign w:val="center"/>
          </w:tcPr>
          <w:p w14:paraId="141F3FE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82682</w:t>
            </w:r>
          </w:p>
        </w:tc>
        <w:tc>
          <w:tcPr>
            <w:tcW w:w="709" w:type="dxa"/>
            <w:vAlign w:val="center"/>
          </w:tcPr>
          <w:p w14:paraId="0DE2C56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61,2</w:t>
            </w:r>
          </w:p>
        </w:tc>
        <w:tc>
          <w:tcPr>
            <w:tcW w:w="709" w:type="dxa"/>
            <w:noWrap/>
            <w:vAlign w:val="center"/>
          </w:tcPr>
          <w:p w14:paraId="4FBCB7E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33516</w:t>
            </w:r>
          </w:p>
        </w:tc>
        <w:tc>
          <w:tcPr>
            <w:tcW w:w="711" w:type="dxa"/>
            <w:noWrap/>
            <w:vAlign w:val="center"/>
          </w:tcPr>
          <w:p w14:paraId="15E7A91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24,8</w:t>
            </w:r>
          </w:p>
        </w:tc>
      </w:tr>
      <w:tr w:rsidR="00171AA8" w:rsidRPr="00731FE2" w14:paraId="1CC61520" w14:textId="77777777">
        <w:trPr>
          <w:trHeight w:val="20"/>
        </w:trPr>
        <w:tc>
          <w:tcPr>
            <w:tcW w:w="850" w:type="dxa"/>
            <w:vMerge/>
            <w:noWrap/>
            <w:vAlign w:val="center"/>
          </w:tcPr>
          <w:p w14:paraId="3F88C6AC" w14:textId="77777777" w:rsidR="00171AA8" w:rsidRPr="00731FE2" w:rsidRDefault="00171AA8"/>
        </w:tc>
        <w:tc>
          <w:tcPr>
            <w:tcW w:w="709" w:type="dxa"/>
            <w:vMerge/>
            <w:noWrap/>
            <w:vAlign w:val="center"/>
          </w:tcPr>
          <w:p w14:paraId="7D3A9237" w14:textId="77777777" w:rsidR="00171AA8" w:rsidRPr="00731FE2" w:rsidRDefault="00171AA8"/>
        </w:tc>
        <w:tc>
          <w:tcPr>
            <w:tcW w:w="850" w:type="dxa"/>
            <w:vMerge/>
            <w:noWrap/>
            <w:vAlign w:val="center"/>
          </w:tcPr>
          <w:p w14:paraId="4B085119" w14:textId="77777777" w:rsidR="00171AA8" w:rsidRPr="00731FE2" w:rsidRDefault="00171AA8"/>
        </w:tc>
        <w:tc>
          <w:tcPr>
            <w:tcW w:w="709" w:type="dxa"/>
            <w:vMerge/>
            <w:noWrap/>
            <w:vAlign w:val="center"/>
          </w:tcPr>
          <w:p w14:paraId="191C1582" w14:textId="77777777" w:rsidR="00171AA8" w:rsidRPr="00731FE2" w:rsidRDefault="00171AA8"/>
        </w:tc>
        <w:tc>
          <w:tcPr>
            <w:tcW w:w="850" w:type="dxa"/>
            <w:vMerge/>
            <w:noWrap/>
            <w:vAlign w:val="center"/>
          </w:tcPr>
          <w:p w14:paraId="6571E581" w14:textId="77777777" w:rsidR="00171AA8" w:rsidRPr="00731FE2" w:rsidRDefault="00171AA8"/>
        </w:tc>
        <w:tc>
          <w:tcPr>
            <w:tcW w:w="850" w:type="dxa"/>
            <w:vMerge/>
            <w:noWrap/>
            <w:vAlign w:val="center"/>
          </w:tcPr>
          <w:p w14:paraId="5D7E786D" w14:textId="77777777" w:rsidR="00171AA8" w:rsidRPr="00731FE2" w:rsidRDefault="00171AA8"/>
        </w:tc>
        <w:tc>
          <w:tcPr>
            <w:tcW w:w="4537" w:type="dxa"/>
            <w:gridSpan w:val="6"/>
            <w:noWrap/>
            <w:vAlign w:val="center"/>
          </w:tcPr>
          <w:p w14:paraId="57DEE36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пессимистический сценарий</w:t>
            </w:r>
          </w:p>
        </w:tc>
      </w:tr>
      <w:tr w:rsidR="00171AA8" w:rsidRPr="00731FE2" w14:paraId="026EEAD3" w14:textId="77777777">
        <w:trPr>
          <w:trHeight w:val="20"/>
        </w:trPr>
        <w:tc>
          <w:tcPr>
            <w:tcW w:w="850" w:type="dxa"/>
            <w:vMerge/>
            <w:noWrap/>
            <w:vAlign w:val="center"/>
          </w:tcPr>
          <w:p w14:paraId="76251D07" w14:textId="77777777" w:rsidR="00171AA8" w:rsidRPr="00731FE2" w:rsidRDefault="00171AA8"/>
        </w:tc>
        <w:tc>
          <w:tcPr>
            <w:tcW w:w="709" w:type="dxa"/>
            <w:vMerge/>
            <w:noWrap/>
            <w:vAlign w:val="center"/>
          </w:tcPr>
          <w:p w14:paraId="08D77C6C" w14:textId="77777777" w:rsidR="00171AA8" w:rsidRPr="00731FE2" w:rsidRDefault="00171AA8"/>
        </w:tc>
        <w:tc>
          <w:tcPr>
            <w:tcW w:w="850" w:type="dxa"/>
            <w:vMerge/>
            <w:noWrap/>
            <w:vAlign w:val="center"/>
          </w:tcPr>
          <w:p w14:paraId="4DCCFDD8" w14:textId="77777777" w:rsidR="00171AA8" w:rsidRPr="00731FE2" w:rsidRDefault="00171AA8"/>
        </w:tc>
        <w:tc>
          <w:tcPr>
            <w:tcW w:w="709" w:type="dxa"/>
            <w:vMerge/>
            <w:noWrap/>
            <w:vAlign w:val="center"/>
          </w:tcPr>
          <w:p w14:paraId="4C3333AA" w14:textId="77777777" w:rsidR="00171AA8" w:rsidRPr="00731FE2" w:rsidRDefault="00171AA8"/>
        </w:tc>
        <w:tc>
          <w:tcPr>
            <w:tcW w:w="850" w:type="dxa"/>
            <w:vMerge/>
            <w:noWrap/>
            <w:vAlign w:val="center"/>
          </w:tcPr>
          <w:p w14:paraId="6351E5AF" w14:textId="77777777" w:rsidR="00171AA8" w:rsidRPr="00731FE2" w:rsidRDefault="00171AA8"/>
        </w:tc>
        <w:tc>
          <w:tcPr>
            <w:tcW w:w="850" w:type="dxa"/>
            <w:vMerge/>
            <w:noWrap/>
            <w:vAlign w:val="center"/>
          </w:tcPr>
          <w:p w14:paraId="57E55E1D" w14:textId="77777777" w:rsidR="00171AA8" w:rsidRPr="00731FE2" w:rsidRDefault="00171AA8"/>
        </w:tc>
        <w:tc>
          <w:tcPr>
            <w:tcW w:w="925" w:type="dxa"/>
            <w:vAlign w:val="center"/>
          </w:tcPr>
          <w:p w14:paraId="15585BD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17370</w:t>
            </w:r>
          </w:p>
        </w:tc>
        <w:tc>
          <w:tcPr>
            <w:tcW w:w="713" w:type="dxa"/>
            <w:vAlign w:val="center"/>
          </w:tcPr>
          <w:p w14:paraId="79C7669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14,1</w:t>
            </w:r>
          </w:p>
        </w:tc>
        <w:tc>
          <w:tcPr>
            <w:tcW w:w="771" w:type="dxa"/>
            <w:vAlign w:val="center"/>
          </w:tcPr>
          <w:p w14:paraId="71B7D73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76327</w:t>
            </w:r>
          </w:p>
        </w:tc>
        <w:tc>
          <w:tcPr>
            <w:tcW w:w="709" w:type="dxa"/>
            <w:vAlign w:val="center"/>
          </w:tcPr>
          <w:p w14:paraId="34C85EE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62,0</w:t>
            </w:r>
          </w:p>
        </w:tc>
        <w:tc>
          <w:tcPr>
            <w:tcW w:w="709" w:type="dxa"/>
            <w:noWrap/>
            <w:vAlign w:val="center"/>
          </w:tcPr>
          <w:p w14:paraId="05ECA7F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29427</w:t>
            </w:r>
          </w:p>
        </w:tc>
        <w:tc>
          <w:tcPr>
            <w:tcW w:w="711" w:type="dxa"/>
            <w:noWrap/>
            <w:vAlign w:val="center"/>
          </w:tcPr>
          <w:p w14:paraId="62F5955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23,9</w:t>
            </w:r>
          </w:p>
        </w:tc>
      </w:tr>
    </w:tbl>
    <w:p w14:paraId="74334750" w14:textId="77777777" w:rsidR="00171AA8" w:rsidRPr="00731FE2" w:rsidRDefault="00171AA8">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p>
    <w:p w14:paraId="6E43BDC6"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 xml:space="preserve">Во всех сценариях развития в городском округе городе-курорте Кисловодске происходит сокращение доли лиц трудоспособного возраста с 64,2% до 61,0-62,0% в 2044 г. и до 23,9-34,7% повышается удельный вес населения старше трудоспособного возраста. Прогнозируемый рост доли и численности населения в возрастной категории старше трудоспособного возраста будет происходить, в том числе, и за счет роста ожидаемой продолжительности жизни. Снижается на 2,6-3,4% доля лиц моложе трудоспособного возраста. </w:t>
      </w:r>
    </w:p>
    <w:p w14:paraId="37D4537C"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В со</w:t>
      </w:r>
      <w:r w:rsidR="0058161E" w:rsidRPr="00731FE2">
        <w:rPr>
          <w:rFonts w:ascii="Times New Roman" w:eastAsia="Times New Roman" w:hAnsi="Times New Roman" w:cs="Times New Roman"/>
          <w:color w:val="000000"/>
        </w:rPr>
        <w:t xml:space="preserve">ответствии с целевым прогнозом </w:t>
      </w:r>
      <w:r w:rsidRPr="00731FE2">
        <w:rPr>
          <w:rFonts w:ascii="Times New Roman" w:eastAsia="Times New Roman" w:hAnsi="Times New Roman" w:cs="Times New Roman"/>
          <w:color w:val="000000"/>
        </w:rPr>
        <w:t>численность детей снизится с 22,2 до 18,9 тыс. (на 15,1 %), пенсионеров возрастет с 25,7 до 36,7 тыс. (</w:t>
      </w:r>
      <w:proofErr w:type="gramStart"/>
      <w:r w:rsidRPr="00731FE2">
        <w:rPr>
          <w:rFonts w:ascii="Times New Roman" w:eastAsia="Times New Roman" w:hAnsi="Times New Roman" w:cs="Times New Roman"/>
          <w:color w:val="000000"/>
        </w:rPr>
        <w:t>на</w:t>
      </w:r>
      <w:proofErr w:type="gramEnd"/>
      <w:r w:rsidRPr="00731FE2">
        <w:rPr>
          <w:rFonts w:ascii="Times New Roman" w:eastAsia="Times New Roman" w:hAnsi="Times New Roman" w:cs="Times New Roman"/>
          <w:color w:val="000000"/>
        </w:rPr>
        <w:t xml:space="preserve"> 42,9%). К концу периода абсолютная численность лиц старше трудоспособного возраста на 17,8 тыс. чел. превысит показатели детских возрастов (в 2023 г. превышение составляло 3,5 тыс. чел.). Сокращение числа детей и увеличение количества пенсионеров усилит проблемы в области образования и здравоохранения, создаст проблемы для бюджета округа и т.д. Сокращение лиц моложе трудоспособного населения потребует сокращения мощности детских садов и общеобразовательных </w:t>
      </w:r>
      <w:proofErr w:type="gramStart"/>
      <w:r w:rsidRPr="00731FE2">
        <w:rPr>
          <w:rFonts w:ascii="Times New Roman" w:eastAsia="Times New Roman" w:hAnsi="Times New Roman" w:cs="Times New Roman"/>
          <w:color w:val="000000"/>
        </w:rPr>
        <w:t>школ полного дня</w:t>
      </w:r>
      <w:proofErr w:type="gramEnd"/>
      <w:r w:rsidRPr="00731FE2">
        <w:rPr>
          <w:rFonts w:ascii="Times New Roman" w:eastAsia="Times New Roman" w:hAnsi="Times New Roman" w:cs="Times New Roman"/>
          <w:color w:val="000000"/>
        </w:rPr>
        <w:t>. При этом необходимо учитывать, что количество детей дошкольного и школьного возраста в разные отрезки рассматриваемого периода будет разным.</w:t>
      </w:r>
    </w:p>
    <w:p w14:paraId="67938DF1"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При перераспределении по возрастным категориям доля трудоспособного населения снизится с 64,2 до 61,0 %. Этот показатель со временем будет снижаться в связи со вступлением в трудоспособный возраст относительно малочисленных групп населения. Однако</w:t>
      </w:r>
      <w:proofErr w:type="gramStart"/>
      <w:r w:rsidRPr="00731FE2">
        <w:rPr>
          <w:rFonts w:ascii="Times New Roman" w:eastAsia="Times New Roman" w:hAnsi="Times New Roman" w:cs="Times New Roman"/>
          <w:color w:val="000000"/>
        </w:rPr>
        <w:t>,</w:t>
      </w:r>
      <w:proofErr w:type="gramEnd"/>
      <w:r w:rsidRPr="00731FE2">
        <w:rPr>
          <w:rFonts w:ascii="Times New Roman" w:eastAsia="Times New Roman" w:hAnsi="Times New Roman" w:cs="Times New Roman"/>
          <w:color w:val="000000"/>
        </w:rPr>
        <w:t xml:space="preserve"> это снижение должно компенсироваться миграционным приростом населения.</w:t>
      </w:r>
    </w:p>
    <w:p w14:paraId="22B944D9"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 xml:space="preserve">Следует иметь </w:t>
      </w:r>
      <w:proofErr w:type="gramStart"/>
      <w:r w:rsidRPr="00731FE2">
        <w:rPr>
          <w:rFonts w:ascii="Times New Roman" w:eastAsia="Times New Roman" w:hAnsi="Times New Roman" w:cs="Times New Roman"/>
          <w:color w:val="000000"/>
        </w:rPr>
        <w:t>ввиду</w:t>
      </w:r>
      <w:proofErr w:type="gramEnd"/>
      <w:r w:rsidRPr="00731FE2">
        <w:rPr>
          <w:rFonts w:ascii="Times New Roman" w:eastAsia="Times New Roman" w:hAnsi="Times New Roman" w:cs="Times New Roman"/>
          <w:color w:val="000000"/>
        </w:rPr>
        <w:t xml:space="preserve">, что если </w:t>
      </w:r>
      <w:proofErr w:type="gramStart"/>
      <w:r w:rsidRPr="00731FE2">
        <w:rPr>
          <w:rFonts w:ascii="Times New Roman" w:eastAsia="Times New Roman" w:hAnsi="Times New Roman" w:cs="Times New Roman"/>
          <w:color w:val="000000"/>
        </w:rPr>
        <w:t>доля</w:t>
      </w:r>
      <w:proofErr w:type="gramEnd"/>
      <w:r w:rsidRPr="00731FE2">
        <w:rPr>
          <w:rFonts w:ascii="Times New Roman" w:eastAsia="Times New Roman" w:hAnsi="Times New Roman" w:cs="Times New Roman"/>
          <w:color w:val="000000"/>
        </w:rPr>
        <w:t xml:space="preserve"> населения пенсионного возраста – это предопределенный процесс, то доля молодого населения является вероятностной оценкой и может меняться, и реагировать на изменения основных демографических показателей естественного воспроизводства. Увеличение доли детей может быть следствием резкого повышения рождаемости населения или резкого увеличения миграции.</w:t>
      </w:r>
    </w:p>
    <w:p w14:paraId="3892FAB2"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Изменение характера демографических процессов будет сопровождаться существенной трансформацией демографической нагрузки на население трудоспособного возраста городского округа.</w:t>
      </w:r>
    </w:p>
    <w:p w14:paraId="79A84B8A" w14:textId="77777777" w:rsidR="00171AA8" w:rsidRPr="00731FE2" w:rsidRDefault="00171AA8">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p>
    <w:p w14:paraId="4866D4E9" w14:textId="77777777" w:rsidR="00171AA8" w:rsidRPr="00731FE2" w:rsidRDefault="007935AB" w:rsidP="00E605B1">
      <w:pPr>
        <w:pBdr>
          <w:top w:val="none" w:sz="4" w:space="0" w:color="000000"/>
          <w:left w:val="none" w:sz="4" w:space="0" w:color="000000"/>
          <w:bottom w:val="none" w:sz="4" w:space="0" w:color="000000"/>
          <w:right w:val="none" w:sz="4" w:space="0" w:color="000000"/>
        </w:pBdr>
        <w:spacing w:line="240" w:lineRule="auto"/>
        <w:ind w:firstLine="0"/>
        <w:rPr>
          <w:rFonts w:ascii="Times New Roman" w:hAnsi="Times New Roman" w:cs="Times New Roman"/>
          <w:b/>
          <w:bCs/>
          <w:color w:val="000000" w:themeColor="text1"/>
          <w:szCs w:val="24"/>
        </w:rPr>
      </w:pPr>
      <w:r w:rsidRPr="00731FE2">
        <w:rPr>
          <w:rFonts w:ascii="Times New Roman" w:hAnsi="Times New Roman" w:cs="Times New Roman"/>
          <w:b/>
          <w:bCs/>
          <w:color w:val="000000" w:themeColor="text1"/>
          <w:szCs w:val="24"/>
        </w:rPr>
        <w:t xml:space="preserve">Таблица </w:t>
      </w:r>
      <w:r w:rsidRPr="00731FE2">
        <w:rPr>
          <w:rFonts w:ascii="Times New Roman" w:hAnsi="Times New Roman" w:cs="Times New Roman"/>
          <w:b/>
          <w:bCs/>
          <w:color w:val="000000" w:themeColor="text1"/>
          <w:szCs w:val="24"/>
        </w:rPr>
        <w:fldChar w:fldCharType="begin"/>
      </w:r>
      <w:r w:rsidRPr="00731FE2">
        <w:rPr>
          <w:rFonts w:ascii="Times New Roman" w:hAnsi="Times New Roman" w:cs="Times New Roman"/>
          <w:b/>
          <w:bCs/>
          <w:color w:val="000000" w:themeColor="text1"/>
          <w:szCs w:val="24"/>
        </w:rPr>
        <w:instrText xml:space="preserve"> SEQ Таблица \* Arabic </w:instrText>
      </w:r>
      <w:r w:rsidRPr="00731FE2">
        <w:rPr>
          <w:rFonts w:ascii="Times New Roman" w:hAnsi="Times New Roman" w:cs="Times New Roman"/>
          <w:b/>
          <w:bCs/>
          <w:color w:val="000000" w:themeColor="text1"/>
          <w:szCs w:val="24"/>
        </w:rPr>
        <w:fldChar w:fldCharType="separate"/>
      </w:r>
      <w:r w:rsidR="00C50915" w:rsidRPr="00731FE2">
        <w:rPr>
          <w:rFonts w:ascii="Times New Roman" w:hAnsi="Times New Roman" w:cs="Times New Roman"/>
          <w:b/>
          <w:bCs/>
          <w:noProof/>
          <w:color w:val="000000" w:themeColor="text1"/>
          <w:szCs w:val="24"/>
        </w:rPr>
        <w:t>70</w:t>
      </w:r>
      <w:r w:rsidRPr="00731FE2">
        <w:rPr>
          <w:rFonts w:ascii="Times New Roman" w:hAnsi="Times New Roman" w:cs="Times New Roman"/>
          <w:b/>
          <w:bCs/>
          <w:color w:val="000000" w:themeColor="text1"/>
          <w:szCs w:val="24"/>
        </w:rPr>
        <w:fldChar w:fldCharType="end"/>
      </w:r>
      <w:r w:rsidRPr="00731FE2">
        <w:rPr>
          <w:rFonts w:ascii="Times New Roman" w:hAnsi="Times New Roman" w:cs="Times New Roman"/>
          <w:b/>
          <w:bCs/>
          <w:color w:val="000000" w:themeColor="text1"/>
          <w:szCs w:val="24"/>
        </w:rPr>
        <w:t xml:space="preserve"> – Прогнозная оценка динамики демографической нагрузки городского округа города Кисловодска на расчетный срок</w:t>
      </w:r>
    </w:p>
    <w:tbl>
      <w:tblPr>
        <w:tblStyle w:val="TableGridReport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984"/>
        <w:gridCol w:w="2126"/>
        <w:gridCol w:w="2126"/>
        <w:gridCol w:w="3118"/>
      </w:tblGrid>
      <w:tr w:rsidR="00171AA8" w:rsidRPr="00731FE2" w14:paraId="75CF595C" w14:textId="77777777" w:rsidTr="00E605B1">
        <w:trPr>
          <w:trHeight w:val="627"/>
        </w:trPr>
        <w:tc>
          <w:tcPr>
            <w:tcW w:w="1984" w:type="dxa"/>
            <w:vAlign w:val="center"/>
          </w:tcPr>
          <w:p w14:paraId="2C02B82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2"/>
                <w:szCs w:val="20"/>
              </w:rPr>
            </w:pPr>
            <w:r w:rsidRPr="00731FE2">
              <w:rPr>
                <w:rFonts w:ascii="Times New Roman" w:eastAsia="Times New Roman" w:hAnsi="Times New Roman" w:cs="Times New Roman"/>
                <w:b/>
                <w:color w:val="000000"/>
                <w:sz w:val="22"/>
                <w:szCs w:val="20"/>
              </w:rPr>
              <w:t>Сценарий</w:t>
            </w:r>
          </w:p>
        </w:tc>
        <w:tc>
          <w:tcPr>
            <w:tcW w:w="2126" w:type="dxa"/>
            <w:noWrap/>
            <w:vAlign w:val="center"/>
          </w:tcPr>
          <w:p w14:paraId="7F5F6AE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2"/>
                <w:szCs w:val="20"/>
              </w:rPr>
            </w:pPr>
            <w:r w:rsidRPr="00731FE2">
              <w:rPr>
                <w:rFonts w:ascii="Times New Roman" w:eastAsia="Times New Roman" w:hAnsi="Times New Roman" w:cs="Times New Roman"/>
                <w:b/>
                <w:color w:val="000000"/>
                <w:sz w:val="22"/>
                <w:szCs w:val="20"/>
              </w:rPr>
              <w:t>Демографическая нагрузка в 2023 г.</w:t>
            </w:r>
          </w:p>
        </w:tc>
        <w:tc>
          <w:tcPr>
            <w:tcW w:w="2126" w:type="dxa"/>
            <w:noWrap/>
            <w:vAlign w:val="center"/>
          </w:tcPr>
          <w:p w14:paraId="0A95561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2"/>
                <w:szCs w:val="20"/>
              </w:rPr>
            </w:pPr>
            <w:r w:rsidRPr="00731FE2">
              <w:rPr>
                <w:rFonts w:ascii="Times New Roman" w:eastAsia="Times New Roman" w:hAnsi="Times New Roman" w:cs="Times New Roman"/>
                <w:b/>
                <w:color w:val="000000"/>
                <w:sz w:val="22"/>
                <w:szCs w:val="20"/>
              </w:rPr>
              <w:t>Демографическая нагрузка в 2044 г.</w:t>
            </w:r>
          </w:p>
        </w:tc>
        <w:tc>
          <w:tcPr>
            <w:tcW w:w="3118" w:type="dxa"/>
            <w:noWrap/>
            <w:vAlign w:val="center"/>
          </w:tcPr>
          <w:p w14:paraId="1E13B9E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2"/>
                <w:szCs w:val="20"/>
              </w:rPr>
            </w:pPr>
            <w:r w:rsidRPr="00731FE2">
              <w:rPr>
                <w:rFonts w:ascii="Times New Roman" w:eastAsia="Times New Roman" w:hAnsi="Times New Roman" w:cs="Times New Roman"/>
                <w:b/>
                <w:color w:val="000000"/>
                <w:sz w:val="22"/>
                <w:szCs w:val="20"/>
              </w:rPr>
              <w:t xml:space="preserve">Динамика изменения демографической нагрузки в 2023-2044 гг. </w:t>
            </w:r>
            <w:proofErr w:type="gramStart"/>
            <w:r w:rsidRPr="00731FE2">
              <w:rPr>
                <w:rFonts w:ascii="Times New Roman" w:eastAsia="Times New Roman" w:hAnsi="Times New Roman" w:cs="Times New Roman"/>
                <w:b/>
                <w:color w:val="000000"/>
                <w:sz w:val="22"/>
                <w:szCs w:val="20"/>
              </w:rPr>
              <w:t>в</w:t>
            </w:r>
            <w:proofErr w:type="gramEnd"/>
            <w:r w:rsidRPr="00731FE2">
              <w:rPr>
                <w:rFonts w:ascii="Times New Roman" w:eastAsia="Times New Roman" w:hAnsi="Times New Roman" w:cs="Times New Roman"/>
                <w:b/>
                <w:color w:val="000000"/>
                <w:sz w:val="22"/>
                <w:szCs w:val="20"/>
              </w:rPr>
              <w:t xml:space="preserve"> %</w:t>
            </w:r>
          </w:p>
        </w:tc>
      </w:tr>
      <w:tr w:rsidR="00171AA8" w:rsidRPr="00731FE2" w14:paraId="5E0CC9F0" w14:textId="77777777" w:rsidTr="00E605B1">
        <w:trPr>
          <w:trHeight w:val="58"/>
        </w:trPr>
        <w:tc>
          <w:tcPr>
            <w:tcW w:w="1984" w:type="dxa"/>
            <w:vAlign w:val="center"/>
          </w:tcPr>
          <w:p w14:paraId="2EA41017" w14:textId="77777777" w:rsidR="00171AA8" w:rsidRPr="00731FE2" w:rsidRDefault="007935AB">
            <w:pPr>
              <w:pBdr>
                <w:top w:val="none" w:sz="4" w:space="0" w:color="000000"/>
                <w:left w:val="none" w:sz="4" w:space="0" w:color="000000"/>
                <w:bottom w:val="none" w:sz="4" w:space="0" w:color="000000"/>
                <w:right w:val="none" w:sz="4" w:space="0" w:color="000000"/>
              </w:pBdr>
              <w:ind w:firstLine="0"/>
              <w:rPr>
                <w:sz w:val="22"/>
                <w:szCs w:val="20"/>
              </w:rPr>
            </w:pPr>
            <w:r w:rsidRPr="00731FE2">
              <w:rPr>
                <w:rFonts w:ascii="Times New Roman" w:eastAsia="Times New Roman" w:hAnsi="Times New Roman" w:cs="Times New Roman"/>
                <w:color w:val="000000"/>
                <w:sz w:val="22"/>
                <w:szCs w:val="20"/>
              </w:rPr>
              <w:t xml:space="preserve">Оптимистический </w:t>
            </w:r>
          </w:p>
        </w:tc>
        <w:tc>
          <w:tcPr>
            <w:tcW w:w="2126" w:type="dxa"/>
            <w:vMerge w:val="restart"/>
            <w:noWrap/>
            <w:vAlign w:val="center"/>
          </w:tcPr>
          <w:p w14:paraId="670A0AF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556</w:t>
            </w:r>
          </w:p>
        </w:tc>
        <w:tc>
          <w:tcPr>
            <w:tcW w:w="2126" w:type="dxa"/>
            <w:noWrap/>
            <w:vAlign w:val="bottom"/>
          </w:tcPr>
          <w:p w14:paraId="0753599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639</w:t>
            </w:r>
          </w:p>
        </w:tc>
        <w:tc>
          <w:tcPr>
            <w:tcW w:w="3118" w:type="dxa"/>
            <w:vAlign w:val="bottom"/>
          </w:tcPr>
          <w:p w14:paraId="23A0774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14,9</w:t>
            </w:r>
          </w:p>
        </w:tc>
      </w:tr>
      <w:tr w:rsidR="00171AA8" w:rsidRPr="00731FE2" w14:paraId="3B1F1A3E" w14:textId="77777777" w:rsidTr="00E605B1">
        <w:trPr>
          <w:trHeight w:val="58"/>
        </w:trPr>
        <w:tc>
          <w:tcPr>
            <w:tcW w:w="1984" w:type="dxa"/>
            <w:vAlign w:val="center"/>
          </w:tcPr>
          <w:p w14:paraId="2BABF2A7" w14:textId="77777777" w:rsidR="00171AA8" w:rsidRPr="00731FE2" w:rsidRDefault="007935AB">
            <w:pPr>
              <w:pBdr>
                <w:top w:val="none" w:sz="4" w:space="0" w:color="000000"/>
                <w:left w:val="none" w:sz="4" w:space="0" w:color="000000"/>
                <w:bottom w:val="none" w:sz="4" w:space="0" w:color="000000"/>
                <w:right w:val="none" w:sz="4" w:space="0" w:color="000000"/>
              </w:pBdr>
              <w:ind w:firstLine="0"/>
              <w:rPr>
                <w:sz w:val="22"/>
                <w:szCs w:val="20"/>
              </w:rPr>
            </w:pPr>
            <w:r w:rsidRPr="00731FE2">
              <w:rPr>
                <w:rFonts w:ascii="Times New Roman" w:eastAsia="Times New Roman" w:hAnsi="Times New Roman" w:cs="Times New Roman"/>
                <w:color w:val="000000"/>
                <w:sz w:val="22"/>
                <w:szCs w:val="20"/>
              </w:rPr>
              <w:t>Инерционный</w:t>
            </w:r>
          </w:p>
        </w:tc>
        <w:tc>
          <w:tcPr>
            <w:tcW w:w="2126" w:type="dxa"/>
            <w:vMerge/>
            <w:noWrap/>
            <w:vAlign w:val="bottom"/>
          </w:tcPr>
          <w:p w14:paraId="7E88AACF" w14:textId="77777777" w:rsidR="00171AA8" w:rsidRPr="00731FE2" w:rsidRDefault="00171AA8"/>
        </w:tc>
        <w:tc>
          <w:tcPr>
            <w:tcW w:w="2126" w:type="dxa"/>
            <w:noWrap/>
            <w:vAlign w:val="bottom"/>
          </w:tcPr>
          <w:p w14:paraId="5C0DC59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634</w:t>
            </w:r>
          </w:p>
        </w:tc>
        <w:tc>
          <w:tcPr>
            <w:tcW w:w="3118" w:type="dxa"/>
            <w:vAlign w:val="bottom"/>
          </w:tcPr>
          <w:p w14:paraId="17628F4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13,8</w:t>
            </w:r>
          </w:p>
        </w:tc>
      </w:tr>
      <w:tr w:rsidR="00171AA8" w:rsidRPr="00731FE2" w14:paraId="4BB9BBBA" w14:textId="77777777" w:rsidTr="00E605B1">
        <w:trPr>
          <w:trHeight w:val="58"/>
        </w:trPr>
        <w:tc>
          <w:tcPr>
            <w:tcW w:w="1984" w:type="dxa"/>
            <w:vAlign w:val="center"/>
          </w:tcPr>
          <w:p w14:paraId="333E7DA3" w14:textId="77777777" w:rsidR="00171AA8" w:rsidRPr="00731FE2" w:rsidRDefault="007935AB">
            <w:pPr>
              <w:pBdr>
                <w:top w:val="none" w:sz="4" w:space="0" w:color="000000"/>
                <w:left w:val="none" w:sz="4" w:space="0" w:color="000000"/>
                <w:bottom w:val="none" w:sz="4" w:space="0" w:color="000000"/>
                <w:right w:val="none" w:sz="4" w:space="0" w:color="000000"/>
              </w:pBdr>
              <w:ind w:firstLine="0"/>
              <w:rPr>
                <w:sz w:val="22"/>
                <w:szCs w:val="20"/>
              </w:rPr>
            </w:pPr>
            <w:r w:rsidRPr="00731FE2">
              <w:rPr>
                <w:rFonts w:ascii="Times New Roman" w:eastAsia="Times New Roman" w:hAnsi="Times New Roman" w:cs="Times New Roman"/>
                <w:color w:val="000000"/>
                <w:sz w:val="22"/>
                <w:szCs w:val="20"/>
              </w:rPr>
              <w:t>Пессимистический</w:t>
            </w:r>
          </w:p>
        </w:tc>
        <w:tc>
          <w:tcPr>
            <w:tcW w:w="2126" w:type="dxa"/>
            <w:vMerge/>
            <w:noWrap/>
            <w:vAlign w:val="bottom"/>
          </w:tcPr>
          <w:p w14:paraId="7F66AA22" w14:textId="77777777" w:rsidR="00171AA8" w:rsidRPr="00731FE2" w:rsidRDefault="00171AA8"/>
        </w:tc>
        <w:tc>
          <w:tcPr>
            <w:tcW w:w="2126" w:type="dxa"/>
            <w:noWrap/>
            <w:vAlign w:val="bottom"/>
          </w:tcPr>
          <w:p w14:paraId="2099C4F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613</w:t>
            </w:r>
          </w:p>
        </w:tc>
        <w:tc>
          <w:tcPr>
            <w:tcW w:w="3118" w:type="dxa"/>
            <w:vAlign w:val="bottom"/>
          </w:tcPr>
          <w:p w14:paraId="4626709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10,2</w:t>
            </w:r>
          </w:p>
        </w:tc>
      </w:tr>
    </w:tbl>
    <w:p w14:paraId="2F639FDE" w14:textId="77777777" w:rsidR="00171AA8" w:rsidRPr="00731FE2" w:rsidRDefault="00171AA8">
      <w:pPr>
        <w:rPr>
          <w:rFonts w:ascii="Times New Roman" w:hAnsi="Times New Roman" w:cs="Times New Roman"/>
          <w:color w:val="000000" w:themeColor="text1"/>
        </w:rPr>
      </w:pPr>
    </w:p>
    <w:p w14:paraId="1BF8E490"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lastRenderedPageBreak/>
        <w:t xml:space="preserve">Трансформация, в первую очередь, будет связана с большой численностью лиц старше трудоспособного возраста и сокращением – моложе трудоспособного. </w:t>
      </w:r>
    </w:p>
    <w:p w14:paraId="366524C8"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В 2023 г. на 1000 человек трудоспособного возраста приходиться 556 лиц нетрудоспособных возрастных категорий. Согласно целевому сценарию развития к 2044 г. данный показатель увеличится до 639 лиц нетрудоспособных возрастных категорий на 1000 человек трудоспособного возраста, что свидетельствует о преувеличении средней демографической нагрузке.</w:t>
      </w:r>
    </w:p>
    <w:p w14:paraId="6140D689"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Вместе с тем, пенсионная реформа, проведенная в России в 2019 году, повлияла на перераспределение населения по возрастным категориям, в определенной степени искусственно стабилизировав возрастную структуру по региону.</w:t>
      </w:r>
    </w:p>
    <w:p w14:paraId="0F73235C" w14:textId="77777777" w:rsidR="00171AA8" w:rsidRPr="00731FE2" w:rsidRDefault="007935AB">
      <w:pPr>
        <w:rPr>
          <w:b/>
          <w:bCs/>
        </w:rPr>
      </w:pPr>
      <w:r w:rsidRPr="00731FE2">
        <w:rPr>
          <w:rFonts w:ascii="Times New Roman" w:hAnsi="Times New Roman" w:cs="Times New Roman"/>
          <w:b/>
          <w:bCs/>
          <w:color w:val="000000" w:themeColor="text1"/>
        </w:rPr>
        <w:t>Демографическое развитие региона, а именно занятость, жилищные условия и инфраструктура, играют важную роль. Повышение рождаемости будет зависеть от механизмов социальной защиты населения и поддержки молодых семей.</w:t>
      </w:r>
    </w:p>
    <w:p w14:paraId="4F202EE0" w14:textId="77777777" w:rsidR="00171AA8" w:rsidRPr="00731FE2" w:rsidRDefault="007935AB">
      <w:pPr>
        <w:rPr>
          <w:b/>
          <w:bCs/>
        </w:rPr>
      </w:pPr>
      <w:r w:rsidRPr="00731FE2">
        <w:rPr>
          <w:rFonts w:ascii="Times New Roman" w:hAnsi="Times New Roman" w:cs="Times New Roman"/>
          <w:b/>
          <w:bCs/>
          <w:color w:val="000000" w:themeColor="text1"/>
        </w:rPr>
        <w:t xml:space="preserve">В целом, ситуация в городском округе городе-курорте Кисловодске будет иметь свои особенности. В </w:t>
      </w:r>
      <w:proofErr w:type="gramStart"/>
      <w:r w:rsidRPr="00731FE2">
        <w:rPr>
          <w:rFonts w:ascii="Times New Roman" w:hAnsi="Times New Roman" w:cs="Times New Roman"/>
          <w:b/>
          <w:bCs/>
          <w:color w:val="000000" w:themeColor="text1"/>
        </w:rPr>
        <w:t>целевом</w:t>
      </w:r>
      <w:proofErr w:type="gramEnd"/>
      <w:r w:rsidRPr="00731FE2">
        <w:rPr>
          <w:rFonts w:ascii="Times New Roman" w:hAnsi="Times New Roman" w:cs="Times New Roman"/>
          <w:b/>
          <w:bCs/>
          <w:color w:val="000000" w:themeColor="text1"/>
        </w:rPr>
        <w:t xml:space="preserve"> и инерционном сценариях численность населения будет расти, в пессимистическом – сокращаться. Ожидается прирост рождаемости в целевом сценарии, стабилизация смертности и постепенное увеличение миграционного прироста, который к концу расчетного периода будет положителен во всех трех сценариях.</w:t>
      </w:r>
    </w:p>
    <w:p w14:paraId="20B338E5" w14:textId="77777777" w:rsidR="00171AA8" w:rsidRPr="00731FE2" w:rsidRDefault="007935AB">
      <w:pPr>
        <w:rPr>
          <w:rFonts w:ascii="Times New Roman" w:hAnsi="Times New Roman" w:cs="Times New Roman"/>
          <w:b/>
          <w:bCs/>
          <w:color w:val="000000" w:themeColor="text1"/>
        </w:rPr>
      </w:pPr>
      <w:r w:rsidRPr="00731FE2">
        <w:rPr>
          <w:rFonts w:ascii="Times New Roman" w:hAnsi="Times New Roman" w:cs="Times New Roman"/>
          <w:b/>
          <w:bCs/>
          <w:color w:val="000000" w:themeColor="text1"/>
        </w:rPr>
        <w:t>Также прогнозируется изменение возрастной структуры – усиливается старение населения. В целом сокращается доля населения младше и среднего возраста, увеличивается доля старше трудоспособного населения, что увеличивает показатель демографической нагрузки.</w:t>
      </w:r>
    </w:p>
    <w:p w14:paraId="169A63CA" w14:textId="77777777" w:rsidR="00171AA8" w:rsidRPr="00731FE2" w:rsidRDefault="007935AB">
      <w:pPr>
        <w:pStyle w:val="24"/>
        <w:rPr>
          <w:rFonts w:ascii="Times New Roman" w:hAnsi="Times New Roman" w:cs="Times New Roman"/>
        </w:rPr>
      </w:pPr>
      <w:bookmarkStart w:id="65" w:name="_Toc177392816"/>
      <w:r w:rsidRPr="00731FE2">
        <w:rPr>
          <w:rFonts w:ascii="Times New Roman" w:hAnsi="Times New Roman" w:cs="Times New Roman"/>
        </w:rPr>
        <w:t>3.4. Развитие жилищного фонда, оценка объемов жилищного строительства на перспективу, реновация и выбор основных площадок для строительства</w:t>
      </w:r>
      <w:bookmarkEnd w:id="65"/>
    </w:p>
    <w:p w14:paraId="3BF2F182"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По официальным данным площадь жилого фонда в городском округе городе-курорте Кисловодске на 2022 год составляет 3426,35 тыс. м</w:t>
      </w:r>
      <w:proofErr w:type="gramStart"/>
      <w:r w:rsidRPr="00731FE2">
        <w:rPr>
          <w:rFonts w:ascii="Times New Roman" w:hAnsi="Times New Roman" w:cs="Times New Roman"/>
          <w:color w:val="000000" w:themeColor="text1"/>
          <w:vertAlign w:val="superscript"/>
        </w:rPr>
        <w:t>2</w:t>
      </w:r>
      <w:proofErr w:type="gramEnd"/>
      <w:r w:rsidRPr="00731FE2">
        <w:rPr>
          <w:rFonts w:ascii="Times New Roman" w:hAnsi="Times New Roman" w:cs="Times New Roman"/>
          <w:color w:val="000000" w:themeColor="text1"/>
        </w:rPr>
        <w:t>.</w:t>
      </w:r>
    </w:p>
    <w:p w14:paraId="7227D9BF"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cs="Times New Roman"/>
          <w:szCs w:val="24"/>
        </w:rPr>
        <w:t>С</w:t>
      </w:r>
      <w:r w:rsidRPr="00731FE2">
        <w:rPr>
          <w:rFonts w:ascii="Times New Roman" w:eastAsia="Times New Roman" w:hAnsi="Times New Roman" w:cs="Times New Roman"/>
          <w:color w:val="000000"/>
        </w:rPr>
        <w:t xml:space="preserve"> учетом потребностей населения округа на расчетный срок генерального плана </w:t>
      </w:r>
      <w:r w:rsidRPr="00731FE2">
        <w:rPr>
          <w:rFonts w:ascii="Times New Roman" w:hAnsi="Times New Roman" w:cs="Times New Roman"/>
          <w:color w:val="000000" w:themeColor="text1"/>
        </w:rPr>
        <w:t>(к 2044 году)</w:t>
      </w:r>
      <w:r w:rsidRPr="00731FE2">
        <w:rPr>
          <w:rFonts w:ascii="Times New Roman" w:eastAsia="Times New Roman" w:hAnsi="Times New Roman" w:cs="Times New Roman"/>
          <w:color w:val="000000"/>
        </w:rPr>
        <w:t xml:space="preserve"> рассчитано количество необходимого жилья. </w:t>
      </w:r>
      <w:r w:rsidRPr="00731FE2">
        <w:rPr>
          <w:rFonts w:ascii="Times New Roman" w:hAnsi="Times New Roman" w:cs="Times New Roman"/>
          <w:color w:val="000000" w:themeColor="text1"/>
        </w:rPr>
        <w:t>За основу расчетов выбран инерционный сценарий демографического прогноза (см. п. 3.3), как наиболее реалистичный. Согласно этому варианту, численность населения составит 135,0 тыс. человек.</w:t>
      </w:r>
    </w:p>
    <w:p w14:paraId="7DD96633" w14:textId="77777777" w:rsidR="00171AA8" w:rsidRPr="00731FE2" w:rsidRDefault="007935AB">
      <w:pPr>
        <w:rPr>
          <w:rFonts w:ascii="Times New Roman" w:hAnsi="Times New Roman" w:cs="Times New Roman"/>
          <w:color w:val="000000" w:themeColor="text1"/>
        </w:rPr>
      </w:pPr>
      <w:r w:rsidRPr="00731FE2">
        <w:rPr>
          <w:rFonts w:ascii="Times New Roman" w:eastAsia="Times New Roman" w:hAnsi="Times New Roman" w:cs="Times New Roman"/>
          <w:color w:val="000000"/>
        </w:rPr>
        <w:t xml:space="preserve">Для обеспечения жителей городского округа </w:t>
      </w:r>
      <w:r w:rsidRPr="00731FE2">
        <w:rPr>
          <w:rFonts w:ascii="Times New Roman" w:hAnsi="Times New Roman" w:cs="Times New Roman"/>
          <w:color w:val="000000" w:themeColor="text1"/>
        </w:rPr>
        <w:t>города-курорта Кисловодска</w:t>
      </w:r>
      <w:r w:rsidRPr="00731FE2">
        <w:rPr>
          <w:rFonts w:ascii="Times New Roman" w:eastAsia="Times New Roman" w:hAnsi="Times New Roman" w:cs="Times New Roman"/>
          <w:color w:val="000000"/>
        </w:rPr>
        <w:t xml:space="preserve"> жилищными условиями суммарно будет необходимо 4497,7 тыс. м</w:t>
      </w:r>
      <w:proofErr w:type="gramStart"/>
      <w:r w:rsidRPr="00731FE2">
        <w:rPr>
          <w:rFonts w:ascii="Times New Roman" w:eastAsia="Times New Roman" w:hAnsi="Times New Roman" w:cs="Times New Roman"/>
          <w:color w:val="000000"/>
          <w:sz w:val="20"/>
          <w:vertAlign w:val="superscript"/>
        </w:rPr>
        <w:t>2</w:t>
      </w:r>
      <w:proofErr w:type="gramEnd"/>
      <w:r w:rsidRPr="00731FE2">
        <w:rPr>
          <w:rFonts w:ascii="Times New Roman" w:eastAsia="Times New Roman" w:hAnsi="Times New Roman" w:cs="Times New Roman"/>
          <w:color w:val="000000"/>
        </w:rPr>
        <w:t xml:space="preserve"> при </w:t>
      </w:r>
      <w:r w:rsidRPr="00731FE2">
        <w:rPr>
          <w:rFonts w:ascii="Times New Roman" w:hAnsi="Times New Roman" w:cs="Times New Roman"/>
          <w:color w:val="000000" w:themeColor="text1"/>
        </w:rPr>
        <w:t>обеспеченности населения жильем на уровне не менее 33,3 </w:t>
      </w:r>
      <w:r w:rsidRPr="00731FE2">
        <w:rPr>
          <w:rFonts w:ascii="Times New Roman" w:eastAsia="Times New Roman" w:hAnsi="Times New Roman" w:cs="Times New Roman"/>
          <w:color w:val="000000"/>
        </w:rPr>
        <w:t>м</w:t>
      </w:r>
      <w:r w:rsidRPr="00731FE2">
        <w:rPr>
          <w:rFonts w:ascii="Times New Roman" w:eastAsia="Times New Roman" w:hAnsi="Times New Roman" w:cs="Times New Roman"/>
          <w:color w:val="000000"/>
          <w:sz w:val="20"/>
          <w:vertAlign w:val="superscript"/>
        </w:rPr>
        <w:t>2</w:t>
      </w:r>
      <w:r w:rsidRPr="00731FE2">
        <w:rPr>
          <w:rFonts w:ascii="Times New Roman" w:hAnsi="Times New Roman" w:cs="Times New Roman"/>
          <w:color w:val="000000" w:themeColor="text1"/>
        </w:rPr>
        <w:t xml:space="preserve"> на 1 человека</w:t>
      </w:r>
      <w:r w:rsidRPr="00731FE2">
        <w:rPr>
          <w:rStyle w:val="afb"/>
          <w:rFonts w:cs="Times New Roman"/>
          <w:szCs w:val="24"/>
          <w:vertAlign w:val="superscript"/>
        </w:rPr>
        <w:footnoteReference w:id="106"/>
      </w:r>
      <w:r w:rsidRPr="00731FE2">
        <w:rPr>
          <w:rFonts w:ascii="Times New Roman" w:hAnsi="Times New Roman" w:cs="Times New Roman"/>
          <w:color w:val="000000" w:themeColor="text1"/>
        </w:rPr>
        <w:t xml:space="preserve">. </w:t>
      </w:r>
    </w:p>
    <w:p w14:paraId="1832AF70" w14:textId="77777777" w:rsidR="00171AA8" w:rsidRPr="00731FE2" w:rsidRDefault="007935AB">
      <w:pPr>
        <w:rPr>
          <w:rFonts w:cs="Times New Roman"/>
        </w:rPr>
      </w:pPr>
      <w:r w:rsidRPr="00731FE2">
        <w:rPr>
          <w:rFonts w:ascii="Times New Roman" w:eastAsia="Times New Roman" w:hAnsi="Times New Roman" w:cs="Times New Roman"/>
          <w:color w:val="000000"/>
        </w:rPr>
        <w:t xml:space="preserve">Для решения проблемы обеспеченности жилыми помещениями семей, состоящих на учете в качестве нуждающихся (000 семей, при среднем размере семьи в РФ 2,4 человека – 000 чел.), </w:t>
      </w:r>
      <w:r w:rsidR="00A4523A" w:rsidRPr="00731FE2">
        <w:rPr>
          <w:rFonts w:ascii="Times New Roman" w:eastAsia="Times New Roman" w:hAnsi="Times New Roman" w:cs="Times New Roman"/>
          <w:color w:val="000000"/>
        </w:rPr>
        <w:t>потребуется тыс.</w:t>
      </w:r>
      <w:r w:rsidRPr="00731FE2">
        <w:rPr>
          <w:rFonts w:ascii="Times New Roman" w:eastAsia="Times New Roman" w:hAnsi="Times New Roman" w:cs="Times New Roman"/>
          <w:color w:val="000000"/>
        </w:rPr>
        <w:t xml:space="preserve"> м</w:t>
      </w:r>
      <w:proofErr w:type="gramStart"/>
      <w:r w:rsidRPr="00731FE2">
        <w:rPr>
          <w:rFonts w:ascii="Times New Roman" w:eastAsia="Times New Roman" w:hAnsi="Times New Roman" w:cs="Times New Roman"/>
          <w:color w:val="000000"/>
          <w:sz w:val="20"/>
          <w:vertAlign w:val="superscript"/>
        </w:rPr>
        <w:t>2</w:t>
      </w:r>
      <w:proofErr w:type="gramEnd"/>
      <w:r w:rsidRPr="00731FE2">
        <w:rPr>
          <w:rFonts w:ascii="Times New Roman" w:eastAsia="Times New Roman" w:hAnsi="Times New Roman" w:cs="Times New Roman"/>
          <w:color w:val="000000"/>
        </w:rPr>
        <w:t xml:space="preserve"> жилья</w:t>
      </w:r>
      <w:r w:rsidRPr="00731FE2">
        <w:rPr>
          <w:rFonts w:cs="Times New Roman"/>
          <w:szCs w:val="24"/>
        </w:rPr>
        <w:t xml:space="preserve">. </w:t>
      </w:r>
    </w:p>
    <w:p w14:paraId="6B81075E"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eastAsia="Times New Roman" w:hAnsi="Times New Roman" w:cs="Times New Roman"/>
          <w:color w:val="000000"/>
        </w:rPr>
        <w:t xml:space="preserve">Ежегодные объемы жилищного строительства до 2044 года должны составить не </w:t>
      </w:r>
      <w:r w:rsidR="00A4523A" w:rsidRPr="00731FE2">
        <w:rPr>
          <w:rFonts w:ascii="Times New Roman" w:eastAsia="Times New Roman" w:hAnsi="Times New Roman" w:cs="Times New Roman"/>
          <w:color w:val="000000"/>
        </w:rPr>
        <w:t>менее тыс.</w:t>
      </w:r>
      <w:r w:rsidRPr="00731FE2">
        <w:rPr>
          <w:rFonts w:ascii="Times New Roman" w:eastAsia="Times New Roman" w:hAnsi="Times New Roman" w:cs="Times New Roman"/>
          <w:color w:val="000000"/>
        </w:rPr>
        <w:t xml:space="preserve"> м</w:t>
      </w:r>
      <w:proofErr w:type="gramStart"/>
      <w:r w:rsidRPr="00731FE2">
        <w:rPr>
          <w:rFonts w:ascii="Times New Roman" w:eastAsia="Times New Roman" w:hAnsi="Times New Roman" w:cs="Times New Roman"/>
          <w:color w:val="000000"/>
          <w:sz w:val="20"/>
          <w:vertAlign w:val="superscript"/>
        </w:rPr>
        <w:t>2</w:t>
      </w:r>
      <w:proofErr w:type="gramEnd"/>
      <w:r w:rsidRPr="00731FE2">
        <w:rPr>
          <w:rFonts w:ascii="Times New Roman" w:eastAsia="Times New Roman" w:hAnsi="Times New Roman" w:cs="Times New Roman"/>
          <w:color w:val="000000"/>
        </w:rPr>
        <w:t xml:space="preserve"> (таблица ниже).</w:t>
      </w:r>
    </w:p>
    <w:p w14:paraId="50049D61" w14:textId="77777777" w:rsidR="00171AA8" w:rsidRPr="00731FE2" w:rsidRDefault="00171AA8">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p>
    <w:p w14:paraId="5C16725F" w14:textId="77777777" w:rsidR="00171AA8" w:rsidRPr="00731FE2" w:rsidRDefault="007935AB" w:rsidP="00E605B1">
      <w:pPr>
        <w:pBdr>
          <w:top w:val="none" w:sz="4" w:space="0" w:color="000000"/>
          <w:left w:val="none" w:sz="4" w:space="0" w:color="000000"/>
          <w:bottom w:val="none" w:sz="4" w:space="0" w:color="000000"/>
          <w:right w:val="none" w:sz="4" w:space="0" w:color="000000"/>
        </w:pBdr>
        <w:spacing w:line="240" w:lineRule="auto"/>
        <w:ind w:firstLine="0"/>
        <w:rPr>
          <w:rFonts w:ascii="Times New Roman" w:hAnsi="Times New Roman" w:cs="Times New Roman"/>
          <w:b/>
          <w:bCs/>
          <w:color w:val="000000" w:themeColor="text1"/>
          <w:szCs w:val="24"/>
        </w:rPr>
      </w:pPr>
      <w:r w:rsidRPr="00731FE2">
        <w:rPr>
          <w:rFonts w:ascii="Times New Roman" w:hAnsi="Times New Roman" w:cs="Times New Roman"/>
          <w:b/>
          <w:bCs/>
          <w:color w:val="000000" w:themeColor="text1"/>
          <w:szCs w:val="24"/>
        </w:rPr>
        <w:t xml:space="preserve">Таблица </w:t>
      </w:r>
      <w:r w:rsidRPr="00731FE2">
        <w:rPr>
          <w:rFonts w:ascii="Times New Roman" w:hAnsi="Times New Roman" w:cs="Times New Roman"/>
          <w:b/>
          <w:bCs/>
          <w:color w:val="000000" w:themeColor="text1"/>
          <w:szCs w:val="24"/>
        </w:rPr>
        <w:fldChar w:fldCharType="begin"/>
      </w:r>
      <w:r w:rsidRPr="00731FE2">
        <w:rPr>
          <w:rFonts w:ascii="Times New Roman" w:hAnsi="Times New Roman" w:cs="Times New Roman"/>
          <w:b/>
          <w:bCs/>
          <w:color w:val="000000" w:themeColor="text1"/>
          <w:szCs w:val="24"/>
        </w:rPr>
        <w:instrText xml:space="preserve"> SEQ Таблица \* Arabic </w:instrText>
      </w:r>
      <w:r w:rsidRPr="00731FE2">
        <w:rPr>
          <w:rFonts w:ascii="Times New Roman" w:hAnsi="Times New Roman" w:cs="Times New Roman"/>
          <w:b/>
          <w:bCs/>
          <w:color w:val="000000" w:themeColor="text1"/>
          <w:szCs w:val="24"/>
        </w:rPr>
        <w:fldChar w:fldCharType="separate"/>
      </w:r>
      <w:r w:rsidR="00C50915" w:rsidRPr="00731FE2">
        <w:rPr>
          <w:rFonts w:ascii="Times New Roman" w:hAnsi="Times New Roman" w:cs="Times New Roman"/>
          <w:b/>
          <w:bCs/>
          <w:noProof/>
          <w:color w:val="000000" w:themeColor="text1"/>
          <w:szCs w:val="24"/>
        </w:rPr>
        <w:t>71</w:t>
      </w:r>
      <w:r w:rsidRPr="00731FE2">
        <w:rPr>
          <w:rFonts w:ascii="Times New Roman" w:hAnsi="Times New Roman" w:cs="Times New Roman"/>
          <w:b/>
          <w:bCs/>
          <w:color w:val="000000" w:themeColor="text1"/>
          <w:szCs w:val="24"/>
        </w:rPr>
        <w:fldChar w:fldCharType="end"/>
      </w:r>
      <w:r w:rsidRPr="00731FE2">
        <w:rPr>
          <w:rFonts w:ascii="Times New Roman" w:hAnsi="Times New Roman" w:cs="Times New Roman"/>
          <w:b/>
          <w:bCs/>
          <w:color w:val="000000" w:themeColor="text1"/>
          <w:szCs w:val="24"/>
        </w:rPr>
        <w:t xml:space="preserve"> – Дв</w:t>
      </w:r>
      <w:r w:rsidR="00A4523A" w:rsidRPr="00731FE2">
        <w:rPr>
          <w:rFonts w:ascii="Times New Roman" w:hAnsi="Times New Roman" w:cs="Times New Roman"/>
          <w:b/>
          <w:bCs/>
          <w:color w:val="000000" w:themeColor="text1"/>
          <w:szCs w:val="24"/>
        </w:rPr>
        <w:t xml:space="preserve">ижение объёмов жилищного фонда </w:t>
      </w:r>
      <w:r w:rsidRPr="00731FE2">
        <w:rPr>
          <w:rFonts w:ascii="Times New Roman" w:hAnsi="Times New Roman" w:cs="Times New Roman"/>
          <w:b/>
          <w:bCs/>
          <w:color w:val="000000" w:themeColor="text1"/>
          <w:szCs w:val="24"/>
        </w:rPr>
        <w:t>на территории городского округа города-курорта Кисловодска, 2044 г., тыс. м</w:t>
      </w:r>
      <w:proofErr w:type="gramStart"/>
      <w:r w:rsidRPr="00731FE2">
        <w:rPr>
          <w:rFonts w:ascii="Times New Roman" w:hAnsi="Times New Roman" w:cs="Times New Roman"/>
          <w:b/>
          <w:bCs/>
          <w:color w:val="000000" w:themeColor="text1"/>
          <w:szCs w:val="24"/>
        </w:rPr>
        <w:t>2</w:t>
      </w:r>
      <w:proofErr w:type="gramEnd"/>
    </w:p>
    <w:tbl>
      <w:tblPr>
        <w:tblStyle w:val="afe"/>
        <w:tblW w:w="0" w:type="auto"/>
        <w:tblLayout w:type="fixed"/>
        <w:tblLook w:val="04A0" w:firstRow="1" w:lastRow="0" w:firstColumn="1" w:lastColumn="0" w:noHBand="0" w:noVBand="1"/>
      </w:tblPr>
      <w:tblGrid>
        <w:gridCol w:w="1345"/>
        <w:gridCol w:w="1345"/>
        <w:gridCol w:w="1345"/>
        <w:gridCol w:w="1209"/>
        <w:gridCol w:w="1843"/>
        <w:gridCol w:w="1321"/>
        <w:gridCol w:w="968"/>
      </w:tblGrid>
      <w:tr w:rsidR="00171AA8" w:rsidRPr="00731FE2" w14:paraId="60A2A7A9" w14:textId="77777777">
        <w:trPr>
          <w:trHeight w:val="16"/>
        </w:trPr>
        <w:tc>
          <w:tcPr>
            <w:tcW w:w="1345" w:type="dxa"/>
            <w:vMerge w:val="restart"/>
            <w:vAlign w:val="center"/>
          </w:tcPr>
          <w:p w14:paraId="642E8212" w14:textId="77777777" w:rsidR="00171AA8" w:rsidRPr="00731FE2" w:rsidRDefault="007935AB">
            <w:pPr>
              <w:ind w:firstLine="0"/>
              <w:jc w:val="center"/>
              <w:rPr>
                <w:rFonts w:ascii="Times New Roman" w:eastAsia="Times New Roman" w:hAnsi="Times New Roman" w:cs="Times New Roman"/>
                <w:color w:val="000000"/>
                <w:sz w:val="16"/>
                <w:szCs w:val="16"/>
              </w:rPr>
            </w:pPr>
            <w:r w:rsidRPr="00731FE2">
              <w:rPr>
                <w:rFonts w:ascii="Times New Roman" w:eastAsia="Times New Roman" w:hAnsi="Times New Roman" w:cs="Times New Roman"/>
                <w:b/>
                <w:bCs/>
                <w:color w:val="000000"/>
                <w:sz w:val="20"/>
                <w:szCs w:val="20"/>
              </w:rPr>
              <w:t>Существующий жилищный фонд</w:t>
            </w:r>
          </w:p>
        </w:tc>
        <w:tc>
          <w:tcPr>
            <w:tcW w:w="1345" w:type="dxa"/>
            <w:vMerge w:val="restart"/>
            <w:vAlign w:val="center"/>
          </w:tcPr>
          <w:p w14:paraId="6740EB64" w14:textId="77777777" w:rsidR="00171AA8" w:rsidRPr="00731FE2" w:rsidRDefault="007935AB">
            <w:pPr>
              <w:ind w:firstLine="0"/>
              <w:jc w:val="center"/>
              <w:rPr>
                <w:rFonts w:ascii="Times New Roman" w:eastAsia="Times New Roman" w:hAnsi="Times New Roman" w:cs="Times New Roman"/>
                <w:b/>
                <w:bCs/>
                <w:color w:val="000000"/>
                <w:sz w:val="20"/>
                <w:szCs w:val="20"/>
              </w:rPr>
            </w:pPr>
            <w:r w:rsidRPr="00731FE2">
              <w:rPr>
                <w:rFonts w:ascii="Times New Roman" w:eastAsia="Times New Roman" w:hAnsi="Times New Roman" w:cs="Times New Roman"/>
                <w:b/>
                <w:bCs/>
                <w:color w:val="000000"/>
                <w:sz w:val="20"/>
                <w:szCs w:val="20"/>
              </w:rPr>
              <w:t>Убыль жилищного фонда</w:t>
            </w:r>
          </w:p>
        </w:tc>
        <w:tc>
          <w:tcPr>
            <w:tcW w:w="1345" w:type="dxa"/>
            <w:vAlign w:val="center"/>
          </w:tcPr>
          <w:p w14:paraId="40934906" w14:textId="77777777" w:rsidR="00171AA8" w:rsidRPr="00731FE2" w:rsidRDefault="00171AA8">
            <w:pPr>
              <w:rPr>
                <w:rFonts w:ascii="Times New Roman" w:eastAsia="Times New Roman" w:hAnsi="Times New Roman" w:cs="Times New Roman"/>
                <w:b/>
                <w:bCs/>
                <w:color w:val="000000"/>
                <w:sz w:val="20"/>
                <w:szCs w:val="20"/>
              </w:rPr>
            </w:pPr>
          </w:p>
        </w:tc>
        <w:tc>
          <w:tcPr>
            <w:tcW w:w="5341" w:type="dxa"/>
            <w:gridSpan w:val="4"/>
            <w:vAlign w:val="center"/>
          </w:tcPr>
          <w:p w14:paraId="6D654205" w14:textId="77777777" w:rsidR="00171AA8" w:rsidRPr="00731FE2" w:rsidRDefault="007935AB">
            <w:pPr>
              <w:ind w:firstLine="0"/>
              <w:jc w:val="center"/>
              <w:rPr>
                <w:rFonts w:ascii="Times New Roman" w:eastAsia="Times New Roman" w:hAnsi="Times New Roman" w:cs="Times New Roman"/>
                <w:b/>
                <w:bCs/>
                <w:color w:val="000000"/>
                <w:sz w:val="16"/>
                <w:szCs w:val="16"/>
              </w:rPr>
            </w:pPr>
            <w:r w:rsidRPr="00731FE2">
              <w:rPr>
                <w:rFonts w:ascii="Times New Roman" w:eastAsia="Times New Roman" w:hAnsi="Times New Roman" w:cs="Times New Roman"/>
                <w:b/>
                <w:bCs/>
                <w:color w:val="000000"/>
                <w:sz w:val="20"/>
                <w:szCs w:val="20"/>
              </w:rPr>
              <w:t>Расчетный срок (2044 г.)</w:t>
            </w:r>
          </w:p>
        </w:tc>
      </w:tr>
      <w:tr w:rsidR="00171AA8" w:rsidRPr="00731FE2" w14:paraId="0D4A66F3" w14:textId="77777777">
        <w:trPr>
          <w:trHeight w:val="987"/>
        </w:trPr>
        <w:tc>
          <w:tcPr>
            <w:tcW w:w="1345" w:type="dxa"/>
            <w:vMerge/>
          </w:tcPr>
          <w:p w14:paraId="5B06E352" w14:textId="77777777" w:rsidR="00171AA8" w:rsidRPr="00731FE2" w:rsidRDefault="00171AA8"/>
        </w:tc>
        <w:tc>
          <w:tcPr>
            <w:tcW w:w="1345" w:type="dxa"/>
            <w:vMerge/>
            <w:vAlign w:val="center"/>
          </w:tcPr>
          <w:p w14:paraId="324BB454" w14:textId="77777777" w:rsidR="00171AA8" w:rsidRPr="00731FE2" w:rsidRDefault="00171AA8"/>
        </w:tc>
        <w:tc>
          <w:tcPr>
            <w:tcW w:w="1345" w:type="dxa"/>
            <w:vAlign w:val="center"/>
          </w:tcPr>
          <w:p w14:paraId="1D51D7CE" w14:textId="77777777" w:rsidR="00171AA8" w:rsidRPr="00731FE2" w:rsidRDefault="007935AB">
            <w:pPr>
              <w:ind w:firstLine="0"/>
              <w:jc w:val="center"/>
              <w:rPr>
                <w:rFonts w:ascii="Times New Roman" w:eastAsia="Times New Roman" w:hAnsi="Times New Roman" w:cs="Times New Roman"/>
                <w:b/>
                <w:bCs/>
                <w:color w:val="000000"/>
                <w:sz w:val="20"/>
                <w:szCs w:val="20"/>
              </w:rPr>
            </w:pPr>
            <w:r w:rsidRPr="00731FE2">
              <w:rPr>
                <w:rFonts w:ascii="Times New Roman" w:eastAsia="Times New Roman" w:hAnsi="Times New Roman" w:cs="Times New Roman"/>
                <w:b/>
                <w:bCs/>
                <w:color w:val="000000"/>
                <w:sz w:val="20"/>
                <w:szCs w:val="20"/>
              </w:rPr>
              <w:t>Существующий сохраняемый жилищный фонд</w:t>
            </w:r>
          </w:p>
        </w:tc>
        <w:tc>
          <w:tcPr>
            <w:tcW w:w="1209" w:type="dxa"/>
            <w:vAlign w:val="center"/>
          </w:tcPr>
          <w:p w14:paraId="67D0B2C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16"/>
                <w:szCs w:val="16"/>
              </w:rPr>
            </w:pPr>
            <w:r w:rsidRPr="00731FE2">
              <w:rPr>
                <w:rFonts w:ascii="Times New Roman" w:eastAsia="Times New Roman" w:hAnsi="Times New Roman" w:cs="Times New Roman"/>
                <w:b/>
                <w:bCs/>
                <w:color w:val="000000"/>
                <w:sz w:val="20"/>
                <w:szCs w:val="20"/>
              </w:rPr>
              <w:t>Необходимый объем жилищного фонда на конец периода</w:t>
            </w:r>
          </w:p>
        </w:tc>
        <w:tc>
          <w:tcPr>
            <w:tcW w:w="1843" w:type="dxa"/>
            <w:vAlign w:val="center"/>
          </w:tcPr>
          <w:p w14:paraId="4C677E4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b/>
                <w:bCs/>
                <w:color w:val="000000"/>
                <w:sz w:val="16"/>
                <w:szCs w:val="16"/>
              </w:rPr>
            </w:pPr>
            <w:r w:rsidRPr="00731FE2">
              <w:rPr>
                <w:rFonts w:ascii="Times New Roman" w:eastAsia="Times New Roman" w:hAnsi="Times New Roman" w:cs="Times New Roman"/>
                <w:b/>
                <w:bCs/>
                <w:color w:val="000000"/>
                <w:sz w:val="20"/>
                <w:szCs w:val="20"/>
              </w:rPr>
              <w:t>Новое жилищное строительство для обеспечения жилыми помещениями семей, состоящих на учете в качестве нуждающихся</w:t>
            </w:r>
          </w:p>
        </w:tc>
        <w:tc>
          <w:tcPr>
            <w:tcW w:w="1321" w:type="dxa"/>
            <w:vAlign w:val="center"/>
          </w:tcPr>
          <w:p w14:paraId="3964E2B5" w14:textId="77777777" w:rsidR="00171AA8" w:rsidRPr="00731FE2" w:rsidRDefault="007935AB">
            <w:pPr>
              <w:ind w:firstLine="0"/>
              <w:jc w:val="center"/>
              <w:rPr>
                <w:rFonts w:ascii="Times New Roman" w:eastAsia="Times New Roman" w:hAnsi="Times New Roman" w:cs="Times New Roman"/>
                <w:color w:val="000000"/>
                <w:sz w:val="16"/>
                <w:szCs w:val="16"/>
              </w:rPr>
            </w:pPr>
            <w:r w:rsidRPr="00731FE2">
              <w:rPr>
                <w:rFonts w:ascii="Times New Roman" w:eastAsia="Times New Roman" w:hAnsi="Times New Roman" w:cs="Times New Roman"/>
                <w:b/>
                <w:bCs/>
                <w:color w:val="000000"/>
                <w:sz w:val="20"/>
                <w:szCs w:val="20"/>
              </w:rPr>
              <w:t>Новое жилищное строительство для обеспечения жилыми помещениями всех категорий населения</w:t>
            </w:r>
          </w:p>
        </w:tc>
        <w:tc>
          <w:tcPr>
            <w:tcW w:w="968" w:type="dxa"/>
            <w:vAlign w:val="center"/>
          </w:tcPr>
          <w:p w14:paraId="6E59FCF6" w14:textId="77777777" w:rsidR="00171AA8" w:rsidRPr="00731FE2" w:rsidRDefault="007935AB">
            <w:pPr>
              <w:ind w:firstLine="0"/>
              <w:jc w:val="center"/>
              <w:rPr>
                <w:rFonts w:ascii="Times New Roman" w:eastAsia="Times New Roman" w:hAnsi="Times New Roman" w:cs="Times New Roman"/>
                <w:b/>
                <w:bCs/>
                <w:color w:val="000000"/>
                <w:sz w:val="16"/>
                <w:szCs w:val="16"/>
              </w:rPr>
            </w:pPr>
            <w:r w:rsidRPr="00731FE2">
              <w:rPr>
                <w:rFonts w:ascii="Times New Roman" w:eastAsia="Times New Roman" w:hAnsi="Times New Roman" w:cs="Times New Roman"/>
                <w:b/>
                <w:bCs/>
                <w:color w:val="000000"/>
                <w:sz w:val="20"/>
                <w:szCs w:val="20"/>
              </w:rPr>
              <w:t>Планируемые ежегодные объемы жилищного строительства</w:t>
            </w:r>
          </w:p>
        </w:tc>
      </w:tr>
      <w:tr w:rsidR="00171AA8" w:rsidRPr="00731FE2" w14:paraId="30C57422" w14:textId="77777777">
        <w:trPr>
          <w:trHeight w:val="255"/>
        </w:trPr>
        <w:tc>
          <w:tcPr>
            <w:tcW w:w="1345" w:type="dxa"/>
          </w:tcPr>
          <w:p w14:paraId="7A5C3C3C" w14:textId="77777777" w:rsidR="00171AA8" w:rsidRPr="00731FE2" w:rsidRDefault="007935AB">
            <w:pPr>
              <w:ind w:firstLine="0"/>
              <w:jc w:val="center"/>
              <w:rPr>
                <w:sz w:val="22"/>
                <w:szCs w:val="20"/>
              </w:rPr>
            </w:pPr>
            <w:r w:rsidRPr="00731FE2">
              <w:rPr>
                <w:rFonts w:ascii="Times New Roman" w:hAnsi="Times New Roman" w:cs="Times New Roman"/>
                <w:color w:val="000000" w:themeColor="text1"/>
                <w:sz w:val="22"/>
                <w:szCs w:val="20"/>
              </w:rPr>
              <w:t>3426,35</w:t>
            </w:r>
          </w:p>
        </w:tc>
        <w:tc>
          <w:tcPr>
            <w:tcW w:w="1345" w:type="dxa"/>
          </w:tcPr>
          <w:p w14:paraId="3F7FC055" w14:textId="77777777" w:rsidR="00171AA8" w:rsidRPr="00731FE2" w:rsidRDefault="00171AA8">
            <w:pPr>
              <w:rPr>
                <w:rFonts w:ascii="Times New Roman" w:hAnsi="Times New Roman" w:cs="Times New Roman"/>
                <w:color w:val="000000" w:themeColor="text1"/>
                <w:sz w:val="22"/>
              </w:rPr>
            </w:pPr>
          </w:p>
        </w:tc>
        <w:tc>
          <w:tcPr>
            <w:tcW w:w="1345" w:type="dxa"/>
          </w:tcPr>
          <w:p w14:paraId="23026482" w14:textId="77777777" w:rsidR="00171AA8" w:rsidRPr="00731FE2" w:rsidRDefault="00171AA8">
            <w:pPr>
              <w:rPr>
                <w:rFonts w:ascii="Times New Roman" w:hAnsi="Times New Roman" w:cs="Times New Roman"/>
                <w:color w:val="000000" w:themeColor="text1"/>
                <w:sz w:val="22"/>
              </w:rPr>
            </w:pPr>
          </w:p>
        </w:tc>
        <w:tc>
          <w:tcPr>
            <w:tcW w:w="1209" w:type="dxa"/>
          </w:tcPr>
          <w:p w14:paraId="2DD68AB9" w14:textId="77777777" w:rsidR="00171AA8" w:rsidRPr="00731FE2" w:rsidRDefault="007935AB">
            <w:pPr>
              <w:ind w:firstLine="0"/>
              <w:jc w:val="center"/>
              <w:rPr>
                <w:rFonts w:ascii="Times New Roman" w:hAnsi="Times New Roman" w:cs="Times New Roman"/>
                <w:color w:val="000000" w:themeColor="text1"/>
                <w:sz w:val="22"/>
              </w:rPr>
            </w:pPr>
            <w:r w:rsidRPr="00731FE2">
              <w:rPr>
                <w:rFonts w:ascii="Times New Roman" w:hAnsi="Times New Roman" w:cs="Times New Roman"/>
                <w:color w:val="000000" w:themeColor="text1"/>
                <w:sz w:val="22"/>
              </w:rPr>
              <w:t>4497,7</w:t>
            </w:r>
          </w:p>
        </w:tc>
        <w:tc>
          <w:tcPr>
            <w:tcW w:w="1843" w:type="dxa"/>
          </w:tcPr>
          <w:p w14:paraId="1A94973A" w14:textId="77777777" w:rsidR="00171AA8" w:rsidRPr="00731FE2" w:rsidRDefault="00171AA8"/>
        </w:tc>
        <w:tc>
          <w:tcPr>
            <w:tcW w:w="1321" w:type="dxa"/>
          </w:tcPr>
          <w:p w14:paraId="517A5281" w14:textId="77777777" w:rsidR="00171AA8" w:rsidRPr="00731FE2" w:rsidRDefault="00171AA8"/>
        </w:tc>
        <w:tc>
          <w:tcPr>
            <w:tcW w:w="968" w:type="dxa"/>
          </w:tcPr>
          <w:p w14:paraId="5CBBEECF" w14:textId="77777777" w:rsidR="00171AA8" w:rsidRPr="00731FE2" w:rsidRDefault="00171AA8"/>
        </w:tc>
      </w:tr>
    </w:tbl>
    <w:p w14:paraId="22051CA3" w14:textId="77777777" w:rsidR="00171AA8" w:rsidRPr="00731FE2" w:rsidRDefault="00171AA8">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p>
    <w:p w14:paraId="39285C5A"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 xml:space="preserve">Проектом генерального плана городского округа </w:t>
      </w:r>
      <w:r w:rsidRPr="00731FE2">
        <w:rPr>
          <w:rFonts w:ascii="Times New Roman" w:hAnsi="Times New Roman" w:cs="Times New Roman"/>
          <w:color w:val="000000" w:themeColor="text1"/>
        </w:rPr>
        <w:t>города-курорта Кисловодска</w:t>
      </w:r>
      <w:r w:rsidRPr="00731FE2">
        <w:rPr>
          <w:rFonts w:ascii="Times New Roman" w:eastAsia="Times New Roman" w:hAnsi="Times New Roman" w:cs="Times New Roman"/>
          <w:color w:val="000000"/>
          <w:szCs w:val="24"/>
        </w:rPr>
        <w:t xml:space="preserve"> предполагается выделение на первую очередь и расчетный срок проекта земельных участков под жилую застройку общей площадью </w:t>
      </w:r>
      <w:proofErr w:type="gramStart"/>
      <w:r w:rsidRPr="00731FE2">
        <w:rPr>
          <w:rFonts w:ascii="Times New Roman" w:eastAsia="Times New Roman" w:hAnsi="Times New Roman" w:cs="Times New Roman"/>
          <w:color w:val="000000"/>
          <w:szCs w:val="24"/>
        </w:rPr>
        <w:t>га</w:t>
      </w:r>
      <w:proofErr w:type="gramEnd"/>
      <w:r w:rsidRPr="00731FE2">
        <w:rPr>
          <w:rFonts w:ascii="Times New Roman" w:eastAsia="Times New Roman" w:hAnsi="Times New Roman" w:cs="Times New Roman"/>
          <w:color w:val="000000"/>
          <w:szCs w:val="24"/>
        </w:rPr>
        <w:t xml:space="preserve"> (таблица ниже).</w:t>
      </w:r>
    </w:p>
    <w:p w14:paraId="5C6BB8F1" w14:textId="77777777" w:rsidR="00171AA8" w:rsidRPr="00731FE2" w:rsidRDefault="00171AA8">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p>
    <w:p w14:paraId="2BA2E3FF" w14:textId="77777777" w:rsidR="00171AA8" w:rsidRPr="00731FE2" w:rsidRDefault="007935AB" w:rsidP="00E605B1">
      <w:pPr>
        <w:pBdr>
          <w:top w:val="none" w:sz="4" w:space="0" w:color="000000"/>
          <w:left w:val="none" w:sz="4" w:space="0" w:color="000000"/>
          <w:bottom w:val="none" w:sz="4" w:space="0" w:color="000000"/>
          <w:right w:val="none" w:sz="4" w:space="0" w:color="000000"/>
        </w:pBdr>
        <w:spacing w:line="240" w:lineRule="auto"/>
        <w:ind w:firstLine="0"/>
        <w:rPr>
          <w:rFonts w:ascii="Times New Roman" w:hAnsi="Times New Roman" w:cs="Times New Roman"/>
          <w:b/>
          <w:bCs/>
          <w:color w:val="000000" w:themeColor="text1"/>
          <w:szCs w:val="24"/>
        </w:rPr>
      </w:pPr>
      <w:r w:rsidRPr="00731FE2">
        <w:rPr>
          <w:rFonts w:ascii="Times New Roman" w:hAnsi="Times New Roman" w:cs="Times New Roman"/>
          <w:b/>
          <w:bCs/>
          <w:color w:val="000000" w:themeColor="text1"/>
          <w:szCs w:val="24"/>
        </w:rPr>
        <w:t xml:space="preserve">Таблица </w:t>
      </w:r>
      <w:r w:rsidRPr="00731FE2">
        <w:rPr>
          <w:rFonts w:ascii="Times New Roman" w:hAnsi="Times New Roman" w:cs="Times New Roman"/>
          <w:b/>
          <w:bCs/>
          <w:color w:val="000000" w:themeColor="text1"/>
          <w:szCs w:val="24"/>
        </w:rPr>
        <w:fldChar w:fldCharType="begin"/>
      </w:r>
      <w:r w:rsidRPr="00731FE2">
        <w:rPr>
          <w:rFonts w:ascii="Times New Roman" w:hAnsi="Times New Roman" w:cs="Times New Roman"/>
          <w:b/>
          <w:bCs/>
          <w:color w:val="000000" w:themeColor="text1"/>
          <w:szCs w:val="24"/>
        </w:rPr>
        <w:instrText xml:space="preserve"> SEQ Таблица \* Arabic </w:instrText>
      </w:r>
      <w:r w:rsidRPr="00731FE2">
        <w:rPr>
          <w:rFonts w:ascii="Times New Roman" w:hAnsi="Times New Roman" w:cs="Times New Roman"/>
          <w:b/>
          <w:bCs/>
          <w:color w:val="000000" w:themeColor="text1"/>
          <w:szCs w:val="24"/>
        </w:rPr>
        <w:fldChar w:fldCharType="separate"/>
      </w:r>
      <w:r w:rsidR="00C50915" w:rsidRPr="00731FE2">
        <w:rPr>
          <w:rFonts w:ascii="Times New Roman" w:hAnsi="Times New Roman" w:cs="Times New Roman"/>
          <w:b/>
          <w:bCs/>
          <w:noProof/>
          <w:color w:val="000000" w:themeColor="text1"/>
          <w:szCs w:val="24"/>
        </w:rPr>
        <w:t>72</w:t>
      </w:r>
      <w:r w:rsidRPr="00731FE2">
        <w:rPr>
          <w:rFonts w:ascii="Times New Roman" w:hAnsi="Times New Roman" w:cs="Times New Roman"/>
          <w:b/>
          <w:bCs/>
          <w:color w:val="000000" w:themeColor="text1"/>
          <w:szCs w:val="24"/>
        </w:rPr>
        <w:fldChar w:fldCharType="end"/>
      </w:r>
      <w:r w:rsidRPr="00731FE2">
        <w:rPr>
          <w:rFonts w:ascii="Times New Roman" w:hAnsi="Times New Roman" w:cs="Times New Roman"/>
          <w:b/>
          <w:bCs/>
          <w:color w:val="000000" w:themeColor="text1"/>
          <w:szCs w:val="24"/>
        </w:rPr>
        <w:t xml:space="preserve"> – Резервируемые земли для жилищного строительства на территории городского округа города-курорта Кисловодска, 2044 г., тыс. м</w:t>
      </w:r>
      <w:proofErr w:type="gramStart"/>
      <w:r w:rsidRPr="00731FE2">
        <w:rPr>
          <w:rFonts w:ascii="Times New Roman" w:hAnsi="Times New Roman" w:cs="Times New Roman"/>
          <w:b/>
          <w:bCs/>
          <w:color w:val="000000" w:themeColor="text1"/>
          <w:szCs w:val="24"/>
        </w:rPr>
        <w:t>2</w:t>
      </w:r>
      <w:proofErr w:type="gramEnd"/>
    </w:p>
    <w:tbl>
      <w:tblPr>
        <w:tblStyle w:val="afe"/>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4882"/>
        <w:gridCol w:w="2335"/>
        <w:gridCol w:w="2138"/>
      </w:tblGrid>
      <w:tr w:rsidR="00171AA8" w:rsidRPr="00731FE2" w14:paraId="5EF835E3" w14:textId="77777777">
        <w:trPr>
          <w:trHeight w:val="58"/>
        </w:trPr>
        <w:tc>
          <w:tcPr>
            <w:tcW w:w="4882"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23117D70" w14:textId="77777777" w:rsidR="00171AA8" w:rsidRPr="00731FE2" w:rsidRDefault="007935AB">
            <w:pPr>
              <w:keepLines/>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b/>
                <w:color w:val="000000"/>
                <w:sz w:val="22"/>
              </w:rPr>
              <w:t>Наименование показателя</w:t>
            </w:r>
          </w:p>
        </w:tc>
        <w:tc>
          <w:tcPr>
            <w:tcW w:w="2335" w:type="dxa"/>
            <w:tcBorders>
              <w:top w:val="single" w:sz="8"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7105F652" w14:textId="77777777" w:rsidR="00171AA8" w:rsidRPr="00731FE2" w:rsidRDefault="007935AB">
            <w:pPr>
              <w:keepLines/>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b/>
                <w:color w:val="000000"/>
                <w:sz w:val="22"/>
              </w:rPr>
              <w:t>Единица измерения</w:t>
            </w:r>
          </w:p>
        </w:tc>
        <w:tc>
          <w:tcPr>
            <w:tcW w:w="2138" w:type="dxa"/>
            <w:tcBorders>
              <w:top w:val="single" w:sz="8"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0CC79051" w14:textId="77777777" w:rsidR="00171AA8" w:rsidRPr="00731FE2" w:rsidRDefault="007935AB">
            <w:pPr>
              <w:keepLines/>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b/>
                <w:color w:val="000000"/>
                <w:sz w:val="22"/>
              </w:rPr>
              <w:t>Расчетный срок</w:t>
            </w:r>
          </w:p>
        </w:tc>
      </w:tr>
      <w:tr w:rsidR="00171AA8" w:rsidRPr="00731FE2" w14:paraId="269E23F6" w14:textId="77777777">
        <w:trPr>
          <w:trHeight w:val="58"/>
        </w:trPr>
        <w:tc>
          <w:tcPr>
            <w:tcW w:w="4882"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733823B9" w14:textId="77777777" w:rsidR="00171AA8" w:rsidRPr="00731FE2" w:rsidRDefault="007935AB">
            <w:pPr>
              <w:pBdr>
                <w:top w:val="none" w:sz="4" w:space="0" w:color="000000"/>
                <w:left w:val="none" w:sz="4" w:space="0" w:color="000000"/>
                <w:bottom w:val="none" w:sz="4" w:space="0" w:color="000000"/>
                <w:right w:val="none" w:sz="4" w:space="0" w:color="000000"/>
              </w:pBdr>
              <w:ind w:firstLine="0"/>
            </w:pPr>
            <w:r w:rsidRPr="00731FE2">
              <w:rPr>
                <w:rFonts w:ascii="Times New Roman" w:eastAsia="Times New Roman" w:hAnsi="Times New Roman" w:cs="Times New Roman"/>
                <w:b/>
                <w:color w:val="000000"/>
                <w:sz w:val="22"/>
              </w:rPr>
              <w:t xml:space="preserve">Жилые зоны, </w:t>
            </w:r>
            <w:r w:rsidRPr="00731FE2">
              <w:rPr>
                <w:rFonts w:ascii="Times New Roman" w:eastAsia="Times New Roman" w:hAnsi="Times New Roman" w:cs="Times New Roman"/>
                <w:color w:val="000000"/>
                <w:sz w:val="22"/>
              </w:rPr>
              <w:t>в том числе:</w:t>
            </w:r>
          </w:p>
        </w:tc>
        <w:tc>
          <w:tcPr>
            <w:tcW w:w="2335"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4BBF5D6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b/>
                <w:color w:val="000000"/>
                <w:sz w:val="22"/>
              </w:rPr>
              <w:t>га</w:t>
            </w:r>
          </w:p>
        </w:tc>
        <w:tc>
          <w:tcPr>
            <w:tcW w:w="2138"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076E1EBE" w14:textId="77777777" w:rsidR="00171AA8" w:rsidRPr="00731FE2" w:rsidRDefault="00171AA8">
            <w:pPr>
              <w:ind w:firstLine="0"/>
              <w:jc w:val="center"/>
            </w:pPr>
          </w:p>
        </w:tc>
      </w:tr>
      <w:tr w:rsidR="00171AA8" w:rsidRPr="00731FE2" w14:paraId="5936EE2C" w14:textId="77777777">
        <w:trPr>
          <w:trHeight w:val="58"/>
        </w:trPr>
        <w:tc>
          <w:tcPr>
            <w:tcW w:w="4882"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1BD64C0B" w14:textId="77777777" w:rsidR="00171AA8" w:rsidRPr="00731FE2" w:rsidRDefault="007935AB">
            <w:pPr>
              <w:pBdr>
                <w:top w:val="none" w:sz="4" w:space="0" w:color="000000"/>
                <w:left w:val="none" w:sz="4" w:space="0" w:color="000000"/>
                <w:bottom w:val="none" w:sz="4" w:space="0" w:color="000000"/>
                <w:right w:val="none" w:sz="4" w:space="0" w:color="000000"/>
              </w:pBdr>
              <w:ind w:firstLine="0"/>
            </w:pPr>
            <w:r w:rsidRPr="00731FE2">
              <w:rPr>
                <w:rFonts w:ascii="Times New Roman" w:eastAsia="Times New Roman" w:hAnsi="Times New Roman" w:cs="Times New Roman"/>
                <w:color w:val="000000"/>
                <w:sz w:val="22"/>
              </w:rPr>
              <w:t>Зона застройки индивидуальными жилыми домами</w:t>
            </w:r>
          </w:p>
        </w:tc>
        <w:tc>
          <w:tcPr>
            <w:tcW w:w="2335"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072FF3E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га</w:t>
            </w:r>
          </w:p>
        </w:tc>
        <w:tc>
          <w:tcPr>
            <w:tcW w:w="2138"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55AC9758" w14:textId="77777777" w:rsidR="00171AA8" w:rsidRPr="00731FE2" w:rsidRDefault="00171AA8">
            <w:pPr>
              <w:ind w:firstLine="0"/>
              <w:jc w:val="center"/>
            </w:pPr>
          </w:p>
        </w:tc>
      </w:tr>
      <w:tr w:rsidR="00171AA8" w:rsidRPr="00731FE2" w14:paraId="321D8DD2" w14:textId="77777777">
        <w:trPr>
          <w:trHeight w:val="58"/>
        </w:trPr>
        <w:tc>
          <w:tcPr>
            <w:tcW w:w="4882"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2B5BFAB5" w14:textId="77777777" w:rsidR="00171AA8" w:rsidRPr="00731FE2" w:rsidRDefault="007935AB">
            <w:pPr>
              <w:pBdr>
                <w:top w:val="none" w:sz="4" w:space="0" w:color="000000"/>
                <w:left w:val="none" w:sz="4" w:space="0" w:color="000000"/>
                <w:bottom w:val="none" w:sz="4" w:space="0" w:color="000000"/>
                <w:right w:val="none" w:sz="4" w:space="0" w:color="000000"/>
              </w:pBdr>
              <w:ind w:firstLine="0"/>
            </w:pPr>
            <w:r w:rsidRPr="00731FE2">
              <w:rPr>
                <w:rFonts w:ascii="Times New Roman" w:eastAsia="Times New Roman" w:hAnsi="Times New Roman" w:cs="Times New Roman"/>
                <w:color w:val="000000"/>
                <w:sz w:val="22"/>
              </w:rPr>
              <w:t xml:space="preserve">Зона застройки малоэтажными жилыми домами (до 4 этажей, включая </w:t>
            </w:r>
            <w:proofErr w:type="gramStart"/>
            <w:r w:rsidRPr="00731FE2">
              <w:rPr>
                <w:rFonts w:ascii="Times New Roman" w:eastAsia="Times New Roman" w:hAnsi="Times New Roman" w:cs="Times New Roman"/>
                <w:color w:val="000000"/>
                <w:sz w:val="22"/>
              </w:rPr>
              <w:t>мансардный</w:t>
            </w:r>
            <w:proofErr w:type="gramEnd"/>
            <w:r w:rsidRPr="00731FE2">
              <w:rPr>
                <w:rFonts w:ascii="Times New Roman" w:eastAsia="Times New Roman" w:hAnsi="Times New Roman" w:cs="Times New Roman"/>
                <w:color w:val="000000"/>
                <w:sz w:val="22"/>
              </w:rPr>
              <w:t>)</w:t>
            </w:r>
          </w:p>
        </w:tc>
        <w:tc>
          <w:tcPr>
            <w:tcW w:w="2335"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02ADBAB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га</w:t>
            </w:r>
          </w:p>
        </w:tc>
        <w:tc>
          <w:tcPr>
            <w:tcW w:w="2138"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5DE194FD" w14:textId="77777777" w:rsidR="00171AA8" w:rsidRPr="00731FE2" w:rsidRDefault="00171AA8">
            <w:pPr>
              <w:ind w:firstLine="0"/>
              <w:jc w:val="center"/>
            </w:pPr>
          </w:p>
        </w:tc>
      </w:tr>
      <w:tr w:rsidR="00171AA8" w:rsidRPr="00731FE2" w14:paraId="5176B596" w14:textId="77777777">
        <w:trPr>
          <w:trHeight w:val="58"/>
        </w:trPr>
        <w:tc>
          <w:tcPr>
            <w:tcW w:w="4882"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32D68EF3" w14:textId="77777777" w:rsidR="00171AA8" w:rsidRPr="00731FE2" w:rsidRDefault="007935AB">
            <w:pPr>
              <w:pBdr>
                <w:top w:val="none" w:sz="4" w:space="0" w:color="000000"/>
                <w:left w:val="none" w:sz="4" w:space="0" w:color="000000"/>
                <w:bottom w:val="none" w:sz="4" w:space="0" w:color="000000"/>
                <w:right w:val="none" w:sz="4" w:space="0" w:color="000000"/>
              </w:pBdr>
              <w:ind w:firstLine="0"/>
            </w:pPr>
            <w:r w:rsidRPr="00731FE2">
              <w:rPr>
                <w:rFonts w:ascii="Times New Roman" w:eastAsia="Times New Roman" w:hAnsi="Times New Roman" w:cs="Times New Roman"/>
                <w:color w:val="000000"/>
                <w:sz w:val="22"/>
              </w:rPr>
              <w:t>Зона застройки среднеэтажными жилыми домами (от 5 до 8 этажей)</w:t>
            </w:r>
          </w:p>
        </w:tc>
        <w:tc>
          <w:tcPr>
            <w:tcW w:w="2335"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6C36DC1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га</w:t>
            </w:r>
          </w:p>
        </w:tc>
        <w:tc>
          <w:tcPr>
            <w:tcW w:w="2138"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0FA53F36" w14:textId="77777777" w:rsidR="00171AA8" w:rsidRPr="00731FE2" w:rsidRDefault="00171AA8">
            <w:pPr>
              <w:ind w:firstLine="0"/>
              <w:jc w:val="center"/>
            </w:pPr>
          </w:p>
        </w:tc>
      </w:tr>
      <w:tr w:rsidR="00171AA8" w:rsidRPr="00731FE2" w14:paraId="08183932" w14:textId="77777777">
        <w:trPr>
          <w:trHeight w:val="276"/>
        </w:trPr>
        <w:tc>
          <w:tcPr>
            <w:tcW w:w="4882" w:type="dxa"/>
            <w:vMerge w:val="restart"/>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52211375" w14:textId="77777777" w:rsidR="00171AA8" w:rsidRPr="00731FE2" w:rsidRDefault="007935AB">
            <w:pPr>
              <w:pBdr>
                <w:top w:val="none" w:sz="4" w:space="0" w:color="000000"/>
                <w:left w:val="none" w:sz="4" w:space="0" w:color="000000"/>
                <w:bottom w:val="none" w:sz="4" w:space="0" w:color="000000"/>
                <w:right w:val="none" w:sz="4" w:space="0" w:color="000000"/>
              </w:pBdr>
              <w:ind w:firstLine="0"/>
            </w:pPr>
            <w:r w:rsidRPr="00731FE2">
              <w:rPr>
                <w:rFonts w:ascii="Times New Roman" w:eastAsia="Times New Roman" w:hAnsi="Times New Roman" w:cs="Times New Roman"/>
                <w:color w:val="000000"/>
                <w:sz w:val="22"/>
              </w:rPr>
              <w:t>Зона застройки многоэтажными жилыми домами (9 этажей и выше)</w:t>
            </w:r>
          </w:p>
        </w:tc>
        <w:tc>
          <w:tcPr>
            <w:tcW w:w="2335" w:type="dxa"/>
            <w:vMerge w:val="restart"/>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59F452C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га</w:t>
            </w:r>
          </w:p>
        </w:tc>
        <w:tc>
          <w:tcPr>
            <w:tcW w:w="2138" w:type="dxa"/>
            <w:vMerge w:val="restart"/>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0D18B659" w14:textId="77777777" w:rsidR="00171AA8" w:rsidRPr="00731FE2" w:rsidRDefault="00171AA8">
            <w:pPr>
              <w:ind w:firstLine="0"/>
              <w:jc w:val="center"/>
            </w:pPr>
          </w:p>
        </w:tc>
      </w:tr>
    </w:tbl>
    <w:p w14:paraId="2456E3DF" w14:textId="77777777" w:rsidR="00171AA8" w:rsidRPr="00731FE2" w:rsidRDefault="00171AA8">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p>
    <w:p w14:paraId="34709809"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Большая часть всех резервируемых земель для жилищного строительства в городском округе выделяется под многоэтажное строительство.</w:t>
      </w:r>
    </w:p>
    <w:p w14:paraId="5E8569AF"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b/>
          <w:bCs/>
          <w:color w:val="000000"/>
          <w:szCs w:val="24"/>
        </w:rPr>
      </w:pPr>
      <w:r w:rsidRPr="00731FE2">
        <w:rPr>
          <w:rFonts w:ascii="Times New Roman" w:eastAsia="Times New Roman" w:hAnsi="Times New Roman" w:cs="Times New Roman"/>
          <w:b/>
          <w:bCs/>
          <w:color w:val="000000"/>
          <w:szCs w:val="24"/>
        </w:rPr>
        <w:t xml:space="preserve">С учетом прогнозируемой численности населения и сохранения положительной тенденции по объему ввода жилья имеющихся и запланированных к строительству к расчетному сроку генерального плана площадей достаточно для обеспечения жильем всех (включая льготные) категорий населения городского округа </w:t>
      </w:r>
      <w:r w:rsidRPr="00731FE2">
        <w:rPr>
          <w:rFonts w:ascii="Times New Roman" w:hAnsi="Times New Roman" w:cs="Times New Roman"/>
          <w:b/>
          <w:bCs/>
          <w:color w:val="000000" w:themeColor="text1"/>
        </w:rPr>
        <w:t>города-курорта Кисловодска.</w:t>
      </w:r>
      <w:r w:rsidRPr="00731FE2">
        <w:rPr>
          <w:rFonts w:ascii="Times New Roman" w:eastAsia="Times New Roman" w:hAnsi="Times New Roman" w:cs="Times New Roman"/>
          <w:b/>
          <w:bCs/>
          <w:color w:val="000000"/>
          <w:szCs w:val="24"/>
        </w:rPr>
        <w:t xml:space="preserve"> </w:t>
      </w:r>
    </w:p>
    <w:p w14:paraId="3F34454D" w14:textId="77777777" w:rsidR="00171AA8" w:rsidRPr="00731FE2" w:rsidRDefault="00171AA8">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b/>
          <w:bCs/>
          <w:color w:val="000000"/>
          <w:szCs w:val="24"/>
        </w:rPr>
      </w:pPr>
    </w:p>
    <w:p w14:paraId="535375EF" w14:textId="77777777" w:rsidR="00171AA8" w:rsidRPr="00731FE2" w:rsidRDefault="007935AB">
      <w:pPr>
        <w:pStyle w:val="24"/>
        <w:rPr>
          <w:rFonts w:ascii="Times New Roman" w:hAnsi="Times New Roman" w:cs="Times New Roman"/>
        </w:rPr>
      </w:pPr>
      <w:bookmarkStart w:id="66" w:name="_Toc177392817"/>
      <w:r w:rsidRPr="00731FE2">
        <w:rPr>
          <w:rFonts w:ascii="Times New Roman" w:hAnsi="Times New Roman" w:cs="Times New Roman"/>
        </w:rPr>
        <w:t>3.5 Развитие социальной инфраструктуры</w:t>
      </w:r>
      <w:bookmarkEnd w:id="66"/>
    </w:p>
    <w:p w14:paraId="43E03F4B"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Социальная сфера является одной из наиболее проблемных сфер города-курорта, поэтому одной из важных задач социально-экономического и градостроительного развития Кисловодска является приведение его социальной сферы в соответствие со структурой расселения на основе имеющихся нормативов.</w:t>
      </w:r>
    </w:p>
    <w:p w14:paraId="0CE9088D"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 xml:space="preserve">Цель проектных предложений генерального плана – формирование социально-культурной системы обслуживания, которая позволяет обеспечить человека всем необходимым в экономически оправданных пределах по радиусу доступности и </w:t>
      </w:r>
      <w:r w:rsidRPr="00731FE2">
        <w:rPr>
          <w:rFonts w:ascii="Times New Roman" w:eastAsia="Times New Roman" w:hAnsi="Times New Roman" w:cs="Times New Roman"/>
          <w:color w:val="000000"/>
          <w:szCs w:val="24"/>
        </w:rPr>
        <w:lastRenderedPageBreak/>
        <w:t>ассортименту услуг, повысить уровень жизни населения, создать полноценные условия труда, быта и отдыха жителей и гостей города-курорта.</w:t>
      </w:r>
    </w:p>
    <w:p w14:paraId="62F9B6B4"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Задачи: модернизация инфраструктуры; сохранение и развитие объектов, представляющих историко-культурную ценность; развитие инфраструктуры массового отдыха и благоустройство города-курорта Кисловодска; реконструкция и строительство объектов образования; реконструкция и строительство объектов физической культуры и спорта; увеличение объемов и расширение рынка бытовых услуг, повышение качества услуг и культуры бытового обслуживания, создание рабочих мест по социально значимым услугам, сохранение и техническая модернизация существующей материально-технической базы ателье, цехов, мастерских.</w:t>
      </w:r>
    </w:p>
    <w:p w14:paraId="20E2FB0C"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Далее в разрезе отраслей социальной сферы (образование, здравоохранение культура и искусство, физическая культура и спорт) представлен перечень мероприятий по реконструкции действующих объектов капитального строительства и строительству новых объектов капитального строительства, предусмотренных к размещению в действующих границах городского округа. Оставшаяся потребность в объектах социально-бытового и культурного обслуживания населения (согласно выполненным расчетам в таблице 82) будет реализована за счет мероприятий по строительству новых объектов капитального строительства, предусмотренных к размещению на прилегающих территориях города-курорта, при условии расширения действующих границ городского округа.</w:t>
      </w:r>
    </w:p>
    <w:p w14:paraId="3EC5C52A"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Полученные расчетные данные перспективной численности населения муниципального образования позволят прогнозировать спрос на услуги объектов социальной инфраструктуры, учитывая мероприятия по выбытию из эксплуатации объектов, находящихся в неудовлетворительном техническом состоянии или расположенных в приспособленных помещениях.</w:t>
      </w:r>
    </w:p>
    <w:p w14:paraId="4429B2E0"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b/>
          <w:bCs/>
          <w:color w:val="000000"/>
          <w:szCs w:val="24"/>
        </w:rPr>
        <w:t>Образование.</w:t>
      </w:r>
      <w:r w:rsidRPr="00731FE2">
        <w:rPr>
          <w:rFonts w:eastAsia="Arial" w:cs="Arial"/>
          <w:b/>
          <w:color w:val="000000"/>
        </w:rPr>
        <w:t xml:space="preserve"> </w:t>
      </w:r>
      <w:r w:rsidRPr="00731FE2">
        <w:rPr>
          <w:rFonts w:ascii="Times New Roman" w:eastAsia="Times New Roman" w:hAnsi="Times New Roman" w:cs="Times New Roman"/>
          <w:color w:val="000000"/>
          <w:szCs w:val="24"/>
        </w:rPr>
        <w:t>Сохранение образовательных учреждений в населенных пунктах позволяет замедлить процессы снижения численности населения за счет формирования полноценной системы ключевых социально-значимых объектов.</w:t>
      </w:r>
    </w:p>
    <w:p w14:paraId="0EC01451"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Потребность населения в местах общеобразовательных учреждений в данной работе рассчитана в соответствии со средним вариантом прогноза численности населения соответствующего возраста.</w:t>
      </w:r>
    </w:p>
    <w:p w14:paraId="79D83233"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Расчетные показатели потребности территории в учреждениях образования представлены в таблице ниже.</w:t>
      </w:r>
    </w:p>
    <w:p w14:paraId="760AD95E" w14:textId="77777777" w:rsidR="00171AA8" w:rsidRPr="00731FE2" w:rsidRDefault="00171AA8">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p>
    <w:p w14:paraId="1941DB52" w14:textId="77777777" w:rsidR="00171AA8" w:rsidRPr="00731FE2" w:rsidRDefault="0058161E" w:rsidP="00E605B1">
      <w:pPr>
        <w:pBdr>
          <w:top w:val="none" w:sz="4" w:space="0" w:color="000000"/>
          <w:left w:val="none" w:sz="4" w:space="0" w:color="000000"/>
          <w:bottom w:val="none" w:sz="4" w:space="0" w:color="000000"/>
          <w:right w:val="none" w:sz="4" w:space="0" w:color="000000"/>
        </w:pBdr>
        <w:spacing w:line="240" w:lineRule="auto"/>
        <w:ind w:firstLine="0"/>
        <w:rPr>
          <w:rFonts w:ascii="Times New Roman" w:hAnsi="Times New Roman" w:cs="Times New Roman"/>
          <w:b/>
          <w:bCs/>
          <w:color w:val="000000" w:themeColor="text1"/>
          <w:szCs w:val="24"/>
        </w:rPr>
      </w:pPr>
      <w:r w:rsidRPr="00731FE2">
        <w:rPr>
          <w:rFonts w:ascii="Times New Roman" w:hAnsi="Times New Roman" w:cs="Times New Roman"/>
          <w:b/>
          <w:bCs/>
          <w:color w:val="000000" w:themeColor="text1"/>
          <w:szCs w:val="24"/>
        </w:rPr>
        <w:t xml:space="preserve">Таблица </w:t>
      </w:r>
      <w:r w:rsidRPr="00731FE2">
        <w:rPr>
          <w:rFonts w:ascii="Times New Roman" w:hAnsi="Times New Roman" w:cs="Times New Roman"/>
          <w:b/>
          <w:bCs/>
          <w:color w:val="000000" w:themeColor="text1"/>
          <w:szCs w:val="24"/>
        </w:rPr>
        <w:fldChar w:fldCharType="begin"/>
      </w:r>
      <w:r w:rsidRPr="00731FE2">
        <w:rPr>
          <w:rFonts w:ascii="Times New Roman" w:hAnsi="Times New Roman" w:cs="Times New Roman"/>
          <w:b/>
          <w:bCs/>
          <w:color w:val="000000" w:themeColor="text1"/>
          <w:szCs w:val="24"/>
        </w:rPr>
        <w:instrText xml:space="preserve"> SEQ Таблица \* Arabic </w:instrText>
      </w:r>
      <w:r w:rsidRPr="00731FE2">
        <w:rPr>
          <w:rFonts w:ascii="Times New Roman" w:hAnsi="Times New Roman" w:cs="Times New Roman"/>
          <w:b/>
          <w:bCs/>
          <w:color w:val="000000" w:themeColor="text1"/>
          <w:szCs w:val="24"/>
        </w:rPr>
        <w:fldChar w:fldCharType="separate"/>
      </w:r>
      <w:r w:rsidR="00C50915" w:rsidRPr="00731FE2">
        <w:rPr>
          <w:rFonts w:ascii="Times New Roman" w:hAnsi="Times New Roman" w:cs="Times New Roman"/>
          <w:b/>
          <w:bCs/>
          <w:noProof/>
          <w:color w:val="000000" w:themeColor="text1"/>
          <w:szCs w:val="24"/>
        </w:rPr>
        <w:t>73</w:t>
      </w:r>
      <w:r w:rsidRPr="00731FE2">
        <w:rPr>
          <w:rFonts w:ascii="Times New Roman" w:hAnsi="Times New Roman" w:cs="Times New Roman"/>
          <w:b/>
          <w:bCs/>
          <w:color w:val="000000" w:themeColor="text1"/>
          <w:szCs w:val="24"/>
        </w:rPr>
        <w:fldChar w:fldCharType="end"/>
      </w:r>
      <w:r w:rsidRPr="00731FE2">
        <w:rPr>
          <w:rFonts w:ascii="Times New Roman" w:hAnsi="Times New Roman" w:cs="Times New Roman"/>
          <w:b/>
          <w:bCs/>
          <w:color w:val="000000" w:themeColor="text1"/>
          <w:szCs w:val="24"/>
        </w:rPr>
        <w:t xml:space="preserve"> – </w:t>
      </w:r>
      <w:r w:rsidR="007935AB" w:rsidRPr="00731FE2">
        <w:rPr>
          <w:rFonts w:ascii="Times New Roman" w:hAnsi="Times New Roman" w:cs="Times New Roman"/>
          <w:b/>
          <w:bCs/>
          <w:color w:val="000000" w:themeColor="text1"/>
          <w:szCs w:val="24"/>
        </w:rPr>
        <w:t>Прогнозная оценка численности детей дошкольного возраста (0 – 7 лет) города-курорта Кисловодска до 2044 года (средний сценарий)</w:t>
      </w:r>
    </w:p>
    <w:tbl>
      <w:tblPr>
        <w:tblStyle w:val="afe"/>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ayout w:type="fixed"/>
        <w:tblLook w:val="04A0" w:firstRow="1" w:lastRow="0" w:firstColumn="1" w:lastColumn="0" w:noHBand="0" w:noVBand="1"/>
      </w:tblPr>
      <w:tblGrid>
        <w:gridCol w:w="1666"/>
        <w:gridCol w:w="955"/>
        <w:gridCol w:w="955"/>
        <w:gridCol w:w="955"/>
        <w:gridCol w:w="2414"/>
        <w:gridCol w:w="2409"/>
      </w:tblGrid>
      <w:tr w:rsidR="00171AA8" w:rsidRPr="00731FE2" w14:paraId="362D628D" w14:textId="77777777">
        <w:trPr>
          <w:trHeight w:val="20"/>
        </w:trPr>
        <w:tc>
          <w:tcPr>
            <w:tcW w:w="1666"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0E87891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b/>
                <w:bCs/>
                <w:color w:val="000000"/>
                <w:sz w:val="22"/>
              </w:rPr>
            </w:pPr>
            <w:r w:rsidRPr="00731FE2">
              <w:rPr>
                <w:rFonts w:ascii="Times New Roman" w:eastAsia="Times New Roman" w:hAnsi="Times New Roman" w:cs="Times New Roman"/>
                <w:b/>
                <w:bCs/>
                <w:color w:val="000000"/>
                <w:sz w:val="22"/>
              </w:rPr>
              <w:t>Территория</w:t>
            </w:r>
          </w:p>
        </w:tc>
        <w:tc>
          <w:tcPr>
            <w:tcW w:w="955" w:type="dxa"/>
            <w:tcBorders>
              <w:top w:val="single" w:sz="8" w:space="0" w:color="000000"/>
              <w:left w:val="none" w:sz="4" w:space="0" w:color="000000"/>
              <w:bottom w:val="single" w:sz="8" w:space="0" w:color="000000"/>
              <w:right w:val="single" w:sz="8" w:space="0" w:color="000000"/>
            </w:tcBorders>
            <w:tcMar>
              <w:top w:w="0" w:type="dxa"/>
              <w:left w:w="108" w:type="dxa"/>
              <w:bottom w:w="0" w:type="dxa"/>
              <w:right w:w="108" w:type="dxa"/>
            </w:tcMar>
            <w:vAlign w:val="bottom"/>
          </w:tcPr>
          <w:p w14:paraId="00A423D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b/>
                <w:bCs/>
                <w:color w:val="000000"/>
                <w:sz w:val="22"/>
              </w:rPr>
            </w:pPr>
            <w:r w:rsidRPr="00731FE2">
              <w:rPr>
                <w:rFonts w:ascii="Times New Roman" w:eastAsia="Times New Roman" w:hAnsi="Times New Roman" w:cs="Times New Roman"/>
                <w:b/>
                <w:bCs/>
                <w:color w:val="000000"/>
                <w:sz w:val="22"/>
              </w:rPr>
              <w:t>2024</w:t>
            </w:r>
          </w:p>
        </w:tc>
        <w:tc>
          <w:tcPr>
            <w:tcW w:w="955" w:type="dxa"/>
            <w:tcBorders>
              <w:top w:val="single" w:sz="8" w:space="0" w:color="000000"/>
              <w:left w:val="none" w:sz="4" w:space="0" w:color="000000"/>
              <w:bottom w:val="single" w:sz="8" w:space="0" w:color="000000"/>
              <w:right w:val="single" w:sz="8" w:space="0" w:color="000000"/>
            </w:tcBorders>
            <w:tcMar>
              <w:top w:w="0" w:type="dxa"/>
              <w:left w:w="108" w:type="dxa"/>
              <w:bottom w:w="0" w:type="dxa"/>
              <w:right w:w="108" w:type="dxa"/>
            </w:tcMar>
            <w:vAlign w:val="bottom"/>
          </w:tcPr>
          <w:p w14:paraId="33FE82D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b/>
                <w:bCs/>
                <w:color w:val="000000"/>
                <w:sz w:val="22"/>
              </w:rPr>
            </w:pPr>
            <w:r w:rsidRPr="00731FE2">
              <w:rPr>
                <w:rFonts w:ascii="Times New Roman" w:eastAsia="Times New Roman" w:hAnsi="Times New Roman" w:cs="Times New Roman"/>
                <w:b/>
                <w:bCs/>
                <w:color w:val="000000"/>
                <w:sz w:val="22"/>
              </w:rPr>
              <w:t>2029</w:t>
            </w:r>
          </w:p>
        </w:tc>
        <w:tc>
          <w:tcPr>
            <w:tcW w:w="955" w:type="dxa"/>
            <w:tcBorders>
              <w:top w:val="single" w:sz="8" w:space="0" w:color="000000"/>
              <w:left w:val="none" w:sz="4" w:space="0" w:color="000000"/>
              <w:bottom w:val="single" w:sz="8" w:space="0" w:color="000000"/>
              <w:right w:val="single" w:sz="8" w:space="0" w:color="000000"/>
            </w:tcBorders>
            <w:tcMar>
              <w:top w:w="0" w:type="dxa"/>
              <w:left w:w="108" w:type="dxa"/>
              <w:bottom w:w="0" w:type="dxa"/>
              <w:right w:w="108" w:type="dxa"/>
            </w:tcMar>
            <w:vAlign w:val="bottom"/>
          </w:tcPr>
          <w:p w14:paraId="45EEF06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b/>
                <w:bCs/>
                <w:color w:val="000000"/>
                <w:sz w:val="22"/>
              </w:rPr>
            </w:pPr>
            <w:r w:rsidRPr="00731FE2">
              <w:rPr>
                <w:rFonts w:ascii="Times New Roman" w:eastAsia="Times New Roman" w:hAnsi="Times New Roman" w:cs="Times New Roman"/>
                <w:b/>
                <w:bCs/>
                <w:color w:val="000000"/>
                <w:sz w:val="22"/>
              </w:rPr>
              <w:t>2044</w:t>
            </w:r>
          </w:p>
        </w:tc>
        <w:tc>
          <w:tcPr>
            <w:tcW w:w="2414" w:type="dxa"/>
            <w:tcBorders>
              <w:top w:val="single" w:sz="8"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7A89E43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b/>
                <w:bCs/>
                <w:color w:val="000000"/>
                <w:sz w:val="22"/>
              </w:rPr>
            </w:pPr>
            <w:r w:rsidRPr="00731FE2">
              <w:rPr>
                <w:rFonts w:ascii="Times New Roman" w:eastAsia="Times New Roman" w:hAnsi="Times New Roman" w:cs="Times New Roman"/>
                <w:b/>
                <w:bCs/>
                <w:color w:val="000000"/>
                <w:sz w:val="22"/>
              </w:rPr>
              <w:t>Темп прироста 2029 к 2024, %</w:t>
            </w:r>
          </w:p>
        </w:tc>
        <w:tc>
          <w:tcPr>
            <w:tcW w:w="2409" w:type="dxa"/>
            <w:tcBorders>
              <w:top w:val="single" w:sz="8"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1705021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b/>
                <w:bCs/>
                <w:color w:val="000000"/>
                <w:sz w:val="22"/>
              </w:rPr>
            </w:pPr>
            <w:r w:rsidRPr="00731FE2">
              <w:rPr>
                <w:rFonts w:ascii="Times New Roman" w:eastAsia="Times New Roman" w:hAnsi="Times New Roman" w:cs="Times New Roman"/>
                <w:b/>
                <w:bCs/>
                <w:color w:val="000000"/>
                <w:sz w:val="22"/>
              </w:rPr>
              <w:t>Темп прироста 2044 к 2024, %</w:t>
            </w:r>
          </w:p>
        </w:tc>
      </w:tr>
      <w:tr w:rsidR="00171AA8" w:rsidRPr="00731FE2" w14:paraId="3CE4DD73" w14:textId="77777777">
        <w:trPr>
          <w:trHeight w:val="20"/>
        </w:trPr>
        <w:tc>
          <w:tcPr>
            <w:tcW w:w="1666"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062A984A"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город-курорт Кисловодск</w:t>
            </w:r>
          </w:p>
        </w:tc>
        <w:tc>
          <w:tcPr>
            <w:tcW w:w="955"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bottom"/>
          </w:tcPr>
          <w:p w14:paraId="2B20F2ED"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8085</w:t>
            </w:r>
          </w:p>
        </w:tc>
        <w:tc>
          <w:tcPr>
            <w:tcW w:w="955"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bottom"/>
          </w:tcPr>
          <w:p w14:paraId="2A142FBD"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7793</w:t>
            </w:r>
          </w:p>
        </w:tc>
        <w:tc>
          <w:tcPr>
            <w:tcW w:w="955"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bottom"/>
          </w:tcPr>
          <w:p w14:paraId="63781DA1"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7226</w:t>
            </w:r>
          </w:p>
        </w:tc>
        <w:tc>
          <w:tcPr>
            <w:tcW w:w="2414"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12159DA1"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- 3,6</w:t>
            </w:r>
          </w:p>
        </w:tc>
        <w:tc>
          <w:tcPr>
            <w:tcW w:w="2409"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624CF1CB"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- 10,6</w:t>
            </w:r>
          </w:p>
        </w:tc>
      </w:tr>
    </w:tbl>
    <w:p w14:paraId="3310636A" w14:textId="77777777" w:rsidR="00171AA8" w:rsidRPr="00731FE2" w:rsidRDefault="00171AA8">
      <w:pPr>
        <w:pBdr>
          <w:top w:val="none" w:sz="4" w:space="0" w:color="000000"/>
          <w:left w:val="none" w:sz="4" w:space="0" w:color="000000"/>
          <w:bottom w:val="none" w:sz="4" w:space="0" w:color="000000"/>
          <w:right w:val="none" w:sz="4" w:space="0" w:color="000000"/>
        </w:pBdr>
        <w:spacing w:line="253" w:lineRule="atLeast"/>
      </w:pPr>
    </w:p>
    <w:p w14:paraId="16C29CCC"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Потребность населения в местах образовательных учреждений рассчитана в соответствии со средним вариантом прогноза численности населения соответствующего возраста и на основе показателей, заложенных в методических рекомендациях Министерства образования и науки РФ (таблица).</w:t>
      </w:r>
    </w:p>
    <w:p w14:paraId="4305F5EE" w14:textId="77777777" w:rsidR="00171AA8" w:rsidRPr="00731FE2" w:rsidRDefault="00171AA8">
      <w:pPr>
        <w:pBdr>
          <w:top w:val="none" w:sz="4" w:space="0" w:color="000000"/>
          <w:left w:val="none" w:sz="4" w:space="0" w:color="000000"/>
          <w:bottom w:val="none" w:sz="4" w:space="0" w:color="000000"/>
          <w:right w:val="none" w:sz="4" w:space="0" w:color="000000"/>
        </w:pBdr>
        <w:ind w:firstLine="0"/>
        <w:rPr>
          <w:rFonts w:ascii="Times New Roman" w:hAnsi="Times New Roman" w:cs="Times New Roman"/>
          <w:b/>
          <w:bCs/>
          <w:color w:val="000000" w:themeColor="text1"/>
          <w:sz w:val="22"/>
        </w:rPr>
      </w:pPr>
    </w:p>
    <w:p w14:paraId="56B891A9" w14:textId="77777777" w:rsidR="00171AA8" w:rsidRPr="00731FE2" w:rsidRDefault="0058161E" w:rsidP="00E605B1">
      <w:pPr>
        <w:pBdr>
          <w:top w:val="none" w:sz="4" w:space="0" w:color="000000"/>
          <w:left w:val="none" w:sz="4" w:space="0" w:color="000000"/>
          <w:bottom w:val="none" w:sz="4" w:space="0" w:color="000000"/>
          <w:right w:val="none" w:sz="4" w:space="0" w:color="000000"/>
        </w:pBdr>
        <w:spacing w:line="240" w:lineRule="auto"/>
        <w:ind w:firstLine="0"/>
        <w:rPr>
          <w:rFonts w:ascii="Times New Roman" w:hAnsi="Times New Roman" w:cs="Times New Roman"/>
          <w:b/>
          <w:bCs/>
          <w:color w:val="000000" w:themeColor="text1"/>
          <w:szCs w:val="24"/>
        </w:rPr>
      </w:pPr>
      <w:r w:rsidRPr="00731FE2">
        <w:rPr>
          <w:rFonts w:ascii="Times New Roman" w:hAnsi="Times New Roman" w:cs="Times New Roman"/>
          <w:b/>
          <w:bCs/>
          <w:color w:val="000000" w:themeColor="text1"/>
          <w:szCs w:val="24"/>
        </w:rPr>
        <w:lastRenderedPageBreak/>
        <w:t xml:space="preserve">Таблица </w:t>
      </w:r>
      <w:r w:rsidRPr="00731FE2">
        <w:rPr>
          <w:rFonts w:ascii="Times New Roman" w:hAnsi="Times New Roman" w:cs="Times New Roman"/>
          <w:b/>
          <w:bCs/>
          <w:color w:val="000000" w:themeColor="text1"/>
          <w:szCs w:val="24"/>
        </w:rPr>
        <w:fldChar w:fldCharType="begin"/>
      </w:r>
      <w:r w:rsidRPr="00731FE2">
        <w:rPr>
          <w:rFonts w:ascii="Times New Roman" w:hAnsi="Times New Roman" w:cs="Times New Roman"/>
          <w:b/>
          <w:bCs/>
          <w:color w:val="000000" w:themeColor="text1"/>
          <w:szCs w:val="24"/>
        </w:rPr>
        <w:instrText xml:space="preserve"> SEQ Таблица \* Arabic </w:instrText>
      </w:r>
      <w:r w:rsidRPr="00731FE2">
        <w:rPr>
          <w:rFonts w:ascii="Times New Roman" w:hAnsi="Times New Roman" w:cs="Times New Roman"/>
          <w:b/>
          <w:bCs/>
          <w:color w:val="000000" w:themeColor="text1"/>
          <w:szCs w:val="24"/>
        </w:rPr>
        <w:fldChar w:fldCharType="separate"/>
      </w:r>
      <w:r w:rsidR="00C50915" w:rsidRPr="00731FE2">
        <w:rPr>
          <w:rFonts w:ascii="Times New Roman" w:hAnsi="Times New Roman" w:cs="Times New Roman"/>
          <w:b/>
          <w:bCs/>
          <w:noProof/>
          <w:color w:val="000000" w:themeColor="text1"/>
          <w:szCs w:val="24"/>
        </w:rPr>
        <w:t>74</w:t>
      </w:r>
      <w:r w:rsidRPr="00731FE2">
        <w:rPr>
          <w:rFonts w:ascii="Times New Roman" w:hAnsi="Times New Roman" w:cs="Times New Roman"/>
          <w:b/>
          <w:bCs/>
          <w:color w:val="000000" w:themeColor="text1"/>
          <w:szCs w:val="24"/>
        </w:rPr>
        <w:fldChar w:fldCharType="end"/>
      </w:r>
      <w:r w:rsidRPr="00731FE2">
        <w:rPr>
          <w:rFonts w:ascii="Times New Roman" w:hAnsi="Times New Roman" w:cs="Times New Roman"/>
          <w:b/>
          <w:bCs/>
          <w:color w:val="000000" w:themeColor="text1"/>
          <w:szCs w:val="24"/>
        </w:rPr>
        <w:t xml:space="preserve"> – </w:t>
      </w:r>
      <w:r w:rsidR="007935AB" w:rsidRPr="00731FE2">
        <w:rPr>
          <w:rFonts w:ascii="Times New Roman" w:hAnsi="Times New Roman" w:cs="Times New Roman"/>
          <w:b/>
          <w:bCs/>
          <w:color w:val="000000" w:themeColor="text1"/>
          <w:szCs w:val="24"/>
        </w:rPr>
        <w:t>Нормативные показатели развития сети образовательных учреждений на территории города-курорта Кисловодска</w:t>
      </w:r>
    </w:p>
    <w:tbl>
      <w:tblPr>
        <w:tblStyle w:val="afe"/>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2148"/>
        <w:gridCol w:w="2401"/>
        <w:gridCol w:w="2260"/>
        <w:gridCol w:w="2546"/>
      </w:tblGrid>
      <w:tr w:rsidR="00171AA8" w:rsidRPr="00731FE2" w14:paraId="7CC58125" w14:textId="77777777">
        <w:trPr>
          <w:trHeight w:val="20"/>
        </w:trPr>
        <w:tc>
          <w:tcPr>
            <w:tcW w:w="2148"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01B8F74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b/>
                <w:bCs/>
                <w:color w:val="000000"/>
                <w:sz w:val="22"/>
              </w:rPr>
            </w:pPr>
            <w:r w:rsidRPr="00731FE2">
              <w:rPr>
                <w:rFonts w:ascii="Times New Roman" w:eastAsia="Times New Roman" w:hAnsi="Times New Roman" w:cs="Times New Roman"/>
                <w:b/>
                <w:bCs/>
                <w:color w:val="000000"/>
                <w:sz w:val="22"/>
              </w:rPr>
              <w:t>Учреждения, организации, предприятия, сооружения</w:t>
            </w:r>
          </w:p>
        </w:tc>
        <w:tc>
          <w:tcPr>
            <w:tcW w:w="2401" w:type="dxa"/>
            <w:tcBorders>
              <w:top w:val="single" w:sz="8"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2FF44F4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b/>
                <w:bCs/>
                <w:color w:val="000000"/>
                <w:sz w:val="22"/>
              </w:rPr>
            </w:pPr>
            <w:r w:rsidRPr="00731FE2">
              <w:rPr>
                <w:rFonts w:ascii="Times New Roman" w:eastAsia="Times New Roman" w:hAnsi="Times New Roman" w:cs="Times New Roman"/>
                <w:b/>
                <w:bCs/>
                <w:color w:val="000000"/>
                <w:sz w:val="22"/>
              </w:rPr>
              <w:t>Ед. изм.</w:t>
            </w:r>
          </w:p>
        </w:tc>
        <w:tc>
          <w:tcPr>
            <w:tcW w:w="2260" w:type="dxa"/>
            <w:tcBorders>
              <w:top w:val="single" w:sz="8"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4A92AF9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b/>
                <w:bCs/>
                <w:color w:val="000000"/>
                <w:sz w:val="22"/>
              </w:rPr>
            </w:pPr>
            <w:r w:rsidRPr="00731FE2">
              <w:rPr>
                <w:rFonts w:ascii="Times New Roman" w:eastAsia="Times New Roman" w:hAnsi="Times New Roman" w:cs="Times New Roman"/>
                <w:b/>
                <w:bCs/>
                <w:color w:val="000000"/>
                <w:sz w:val="22"/>
              </w:rPr>
              <w:t>Минимальный уровень обеспеченности, мест</w:t>
            </w:r>
          </w:p>
        </w:tc>
        <w:tc>
          <w:tcPr>
            <w:tcW w:w="2546" w:type="dxa"/>
            <w:tcBorders>
              <w:top w:val="single" w:sz="8"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7866047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b/>
                <w:bCs/>
                <w:color w:val="000000"/>
                <w:sz w:val="22"/>
              </w:rPr>
            </w:pPr>
            <w:r w:rsidRPr="00731FE2">
              <w:rPr>
                <w:rFonts w:ascii="Times New Roman" w:eastAsia="Times New Roman" w:hAnsi="Times New Roman" w:cs="Times New Roman"/>
                <w:b/>
                <w:bCs/>
                <w:color w:val="000000"/>
                <w:sz w:val="22"/>
              </w:rPr>
              <w:t>Уровень максимальной территориальной доступности</w:t>
            </w:r>
          </w:p>
        </w:tc>
      </w:tr>
      <w:tr w:rsidR="00171AA8" w:rsidRPr="00731FE2" w14:paraId="05486468" w14:textId="77777777">
        <w:trPr>
          <w:trHeight w:val="20"/>
        </w:trPr>
        <w:tc>
          <w:tcPr>
            <w:tcW w:w="2148"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3FF872D6"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Дошкольные образовательные учреждения</w:t>
            </w:r>
          </w:p>
        </w:tc>
        <w:tc>
          <w:tcPr>
            <w:tcW w:w="2401"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395A421A"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Мест на 100 детей в возрасте от 0 до 7 лет</w:t>
            </w:r>
          </w:p>
        </w:tc>
        <w:tc>
          <w:tcPr>
            <w:tcW w:w="2260"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56A6A86D"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proofErr w:type="gramStart"/>
            <w:r w:rsidRPr="00731FE2">
              <w:rPr>
                <w:rFonts w:ascii="Times New Roman" w:eastAsia="Times New Roman" w:hAnsi="Times New Roman" w:cs="Times New Roman"/>
                <w:color w:val="000000"/>
                <w:sz w:val="22"/>
              </w:rPr>
              <w:t>65 – в городской местности, 45 – в сельской</w:t>
            </w:r>
            <w:proofErr w:type="gramEnd"/>
          </w:p>
        </w:tc>
        <w:tc>
          <w:tcPr>
            <w:tcW w:w="2546"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5298344A"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300 м – в городской местности,</w:t>
            </w:r>
          </w:p>
          <w:p w14:paraId="341ADACB"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 xml:space="preserve">500 м – в </w:t>
            </w:r>
            <w:proofErr w:type="gramStart"/>
            <w:r w:rsidRPr="00731FE2">
              <w:rPr>
                <w:rFonts w:ascii="Times New Roman" w:eastAsia="Times New Roman" w:hAnsi="Times New Roman" w:cs="Times New Roman"/>
                <w:color w:val="000000"/>
                <w:sz w:val="22"/>
              </w:rPr>
              <w:t>сельской</w:t>
            </w:r>
            <w:proofErr w:type="gramEnd"/>
          </w:p>
        </w:tc>
      </w:tr>
      <w:tr w:rsidR="00171AA8" w:rsidRPr="00731FE2" w14:paraId="253E6E5B" w14:textId="77777777">
        <w:trPr>
          <w:trHeight w:val="20"/>
        </w:trPr>
        <w:tc>
          <w:tcPr>
            <w:tcW w:w="2148"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4540A845"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Учреждения общего образования</w:t>
            </w:r>
          </w:p>
        </w:tc>
        <w:tc>
          <w:tcPr>
            <w:tcW w:w="2401"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5C844BA3"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Мест на 100 детей в возрасте от 7 до 18 лет</w:t>
            </w:r>
          </w:p>
        </w:tc>
        <w:tc>
          <w:tcPr>
            <w:tcW w:w="2260"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5A568D9F"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proofErr w:type="gramStart"/>
            <w:r w:rsidRPr="00731FE2">
              <w:rPr>
                <w:rFonts w:ascii="Times New Roman" w:eastAsia="Times New Roman" w:hAnsi="Times New Roman" w:cs="Times New Roman"/>
                <w:color w:val="000000"/>
                <w:sz w:val="22"/>
              </w:rPr>
              <w:t>95 – в городской местности, 45 – в сельской</w:t>
            </w:r>
            <w:proofErr w:type="gramEnd"/>
          </w:p>
        </w:tc>
        <w:tc>
          <w:tcPr>
            <w:tcW w:w="2546"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4583EBB2"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300-500 м – в городской местности,</w:t>
            </w:r>
          </w:p>
          <w:p w14:paraId="70F5EAD2"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30 мин. – в сельской</w:t>
            </w:r>
          </w:p>
        </w:tc>
      </w:tr>
    </w:tbl>
    <w:p w14:paraId="671C5A78" w14:textId="77777777" w:rsidR="00171AA8" w:rsidRPr="00731FE2" w:rsidRDefault="00171AA8">
      <w:pPr>
        <w:pBdr>
          <w:top w:val="none" w:sz="4" w:space="0" w:color="000000"/>
          <w:left w:val="none" w:sz="4" w:space="0" w:color="000000"/>
          <w:bottom w:val="none" w:sz="4" w:space="0" w:color="000000"/>
          <w:right w:val="none" w:sz="4" w:space="0" w:color="000000"/>
        </w:pBdr>
        <w:spacing w:line="253" w:lineRule="atLeast"/>
      </w:pPr>
    </w:p>
    <w:p w14:paraId="45C79D63" w14:textId="77777777" w:rsidR="00171AA8" w:rsidRPr="00731FE2" w:rsidRDefault="0058161E" w:rsidP="00E605B1">
      <w:pPr>
        <w:pBdr>
          <w:top w:val="none" w:sz="4" w:space="0" w:color="000000"/>
          <w:left w:val="none" w:sz="4" w:space="0" w:color="000000"/>
          <w:bottom w:val="none" w:sz="4" w:space="0" w:color="000000"/>
          <w:right w:val="none" w:sz="4" w:space="0" w:color="000000"/>
        </w:pBdr>
        <w:spacing w:line="240" w:lineRule="auto"/>
        <w:ind w:firstLine="0"/>
        <w:rPr>
          <w:rFonts w:ascii="Times New Roman" w:hAnsi="Times New Roman" w:cs="Times New Roman"/>
          <w:b/>
          <w:bCs/>
          <w:color w:val="000000" w:themeColor="text1"/>
          <w:szCs w:val="24"/>
        </w:rPr>
      </w:pPr>
      <w:r w:rsidRPr="00731FE2">
        <w:rPr>
          <w:rFonts w:ascii="Times New Roman" w:hAnsi="Times New Roman" w:cs="Times New Roman"/>
          <w:b/>
          <w:bCs/>
          <w:color w:val="000000" w:themeColor="text1"/>
          <w:szCs w:val="24"/>
        </w:rPr>
        <w:t xml:space="preserve">Таблица </w:t>
      </w:r>
      <w:r w:rsidRPr="00731FE2">
        <w:rPr>
          <w:rFonts w:ascii="Times New Roman" w:hAnsi="Times New Roman" w:cs="Times New Roman"/>
          <w:b/>
          <w:bCs/>
          <w:color w:val="000000" w:themeColor="text1"/>
          <w:szCs w:val="24"/>
        </w:rPr>
        <w:fldChar w:fldCharType="begin"/>
      </w:r>
      <w:r w:rsidRPr="00731FE2">
        <w:rPr>
          <w:rFonts w:ascii="Times New Roman" w:hAnsi="Times New Roman" w:cs="Times New Roman"/>
          <w:b/>
          <w:bCs/>
          <w:color w:val="000000" w:themeColor="text1"/>
          <w:szCs w:val="24"/>
        </w:rPr>
        <w:instrText xml:space="preserve"> SEQ Таблица \* Arabic </w:instrText>
      </w:r>
      <w:r w:rsidRPr="00731FE2">
        <w:rPr>
          <w:rFonts w:ascii="Times New Roman" w:hAnsi="Times New Roman" w:cs="Times New Roman"/>
          <w:b/>
          <w:bCs/>
          <w:color w:val="000000" w:themeColor="text1"/>
          <w:szCs w:val="24"/>
        </w:rPr>
        <w:fldChar w:fldCharType="separate"/>
      </w:r>
      <w:r w:rsidR="00C50915" w:rsidRPr="00731FE2">
        <w:rPr>
          <w:rFonts w:ascii="Times New Roman" w:hAnsi="Times New Roman" w:cs="Times New Roman"/>
          <w:b/>
          <w:bCs/>
          <w:noProof/>
          <w:color w:val="000000" w:themeColor="text1"/>
          <w:szCs w:val="24"/>
        </w:rPr>
        <w:t>75</w:t>
      </w:r>
      <w:r w:rsidRPr="00731FE2">
        <w:rPr>
          <w:rFonts w:ascii="Times New Roman" w:hAnsi="Times New Roman" w:cs="Times New Roman"/>
          <w:b/>
          <w:bCs/>
          <w:color w:val="000000" w:themeColor="text1"/>
          <w:szCs w:val="24"/>
        </w:rPr>
        <w:fldChar w:fldCharType="end"/>
      </w:r>
      <w:r w:rsidRPr="00731FE2">
        <w:rPr>
          <w:rFonts w:ascii="Times New Roman" w:hAnsi="Times New Roman" w:cs="Times New Roman"/>
          <w:b/>
          <w:bCs/>
          <w:color w:val="000000" w:themeColor="text1"/>
          <w:szCs w:val="24"/>
        </w:rPr>
        <w:t xml:space="preserve"> – </w:t>
      </w:r>
      <w:r w:rsidR="007935AB" w:rsidRPr="00731FE2">
        <w:rPr>
          <w:rFonts w:ascii="Times New Roman" w:hAnsi="Times New Roman" w:cs="Times New Roman"/>
          <w:b/>
          <w:bCs/>
          <w:color w:val="000000" w:themeColor="text1"/>
          <w:szCs w:val="24"/>
        </w:rPr>
        <w:t>Расчет потребности населения города-курорта Кисловодска в местах в дошкольных образовательных учреждениях до 2044 года</w:t>
      </w:r>
    </w:p>
    <w:tbl>
      <w:tblPr>
        <w:tblStyle w:val="afe"/>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1940"/>
        <w:gridCol w:w="1397"/>
        <w:gridCol w:w="1406"/>
        <w:gridCol w:w="1083"/>
        <w:gridCol w:w="1305"/>
        <w:gridCol w:w="1325"/>
        <w:gridCol w:w="1115"/>
      </w:tblGrid>
      <w:tr w:rsidR="00171AA8" w:rsidRPr="00731FE2" w14:paraId="1729144C" w14:textId="77777777">
        <w:trPr>
          <w:trHeight w:val="20"/>
        </w:trPr>
        <w:tc>
          <w:tcPr>
            <w:tcW w:w="2203"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15EDB91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b/>
                <w:bCs/>
                <w:color w:val="000000"/>
                <w:sz w:val="22"/>
              </w:rPr>
            </w:pPr>
            <w:r w:rsidRPr="00731FE2">
              <w:rPr>
                <w:rFonts w:ascii="Times New Roman" w:eastAsia="Times New Roman" w:hAnsi="Times New Roman" w:cs="Times New Roman"/>
                <w:b/>
                <w:bCs/>
                <w:color w:val="000000"/>
                <w:sz w:val="22"/>
              </w:rPr>
              <w:t>Территория</w:t>
            </w:r>
          </w:p>
        </w:tc>
        <w:tc>
          <w:tcPr>
            <w:tcW w:w="1182" w:type="dxa"/>
            <w:tcBorders>
              <w:top w:val="single" w:sz="8"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5BE307F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b/>
                <w:bCs/>
                <w:color w:val="000000"/>
                <w:sz w:val="22"/>
              </w:rPr>
            </w:pPr>
            <w:r w:rsidRPr="00731FE2">
              <w:rPr>
                <w:rFonts w:ascii="Times New Roman" w:eastAsia="Times New Roman" w:hAnsi="Times New Roman" w:cs="Times New Roman"/>
                <w:b/>
                <w:bCs/>
                <w:color w:val="000000"/>
                <w:sz w:val="22"/>
              </w:rPr>
              <w:t>Проектная мощность действующих объектов</w:t>
            </w:r>
          </w:p>
        </w:tc>
        <w:tc>
          <w:tcPr>
            <w:tcW w:w="1347" w:type="dxa"/>
            <w:tcBorders>
              <w:top w:val="single" w:sz="8"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2FB6642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b/>
                <w:bCs/>
                <w:color w:val="000000"/>
                <w:sz w:val="22"/>
              </w:rPr>
            </w:pPr>
            <w:r w:rsidRPr="00731FE2">
              <w:rPr>
                <w:rFonts w:ascii="Times New Roman" w:eastAsia="Times New Roman" w:hAnsi="Times New Roman" w:cs="Times New Roman"/>
                <w:b/>
                <w:bCs/>
                <w:color w:val="000000"/>
                <w:sz w:val="22"/>
              </w:rPr>
              <w:t xml:space="preserve">Фактическое количество </w:t>
            </w:r>
            <w:proofErr w:type="gramStart"/>
            <w:r w:rsidRPr="00731FE2">
              <w:rPr>
                <w:rFonts w:ascii="Times New Roman" w:eastAsia="Times New Roman" w:hAnsi="Times New Roman" w:cs="Times New Roman"/>
                <w:b/>
                <w:bCs/>
                <w:color w:val="000000"/>
                <w:sz w:val="22"/>
              </w:rPr>
              <w:t>обучающихся</w:t>
            </w:r>
            <w:proofErr w:type="gramEnd"/>
          </w:p>
        </w:tc>
        <w:tc>
          <w:tcPr>
            <w:tcW w:w="1032" w:type="dxa"/>
            <w:tcBorders>
              <w:top w:val="single" w:sz="8"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032E087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b/>
                <w:bCs/>
                <w:color w:val="000000"/>
                <w:sz w:val="22"/>
              </w:rPr>
            </w:pPr>
            <w:r w:rsidRPr="00731FE2">
              <w:rPr>
                <w:rFonts w:ascii="Times New Roman" w:eastAsia="Times New Roman" w:hAnsi="Times New Roman" w:cs="Times New Roman"/>
                <w:b/>
                <w:bCs/>
                <w:color w:val="000000"/>
                <w:sz w:val="22"/>
              </w:rPr>
              <w:t>Дефицит</w:t>
            </w:r>
            <w:proofErr w:type="gramStart"/>
            <w:r w:rsidRPr="00731FE2">
              <w:rPr>
                <w:rFonts w:ascii="Times New Roman" w:eastAsia="Times New Roman" w:hAnsi="Times New Roman" w:cs="Times New Roman"/>
                <w:b/>
                <w:bCs/>
                <w:color w:val="000000"/>
                <w:sz w:val="22"/>
              </w:rPr>
              <w:t xml:space="preserve"> (-)/ </w:t>
            </w:r>
            <w:proofErr w:type="gramEnd"/>
            <w:r w:rsidRPr="00731FE2">
              <w:rPr>
                <w:rFonts w:ascii="Times New Roman" w:eastAsia="Times New Roman" w:hAnsi="Times New Roman" w:cs="Times New Roman"/>
                <w:b/>
                <w:bCs/>
                <w:color w:val="000000"/>
                <w:sz w:val="22"/>
              </w:rPr>
              <w:t>профицит (+) в 2024 г.</w:t>
            </w:r>
          </w:p>
        </w:tc>
        <w:tc>
          <w:tcPr>
            <w:tcW w:w="1447" w:type="dxa"/>
            <w:tcBorders>
              <w:top w:val="single" w:sz="8"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18066E5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b/>
                <w:bCs/>
                <w:color w:val="000000"/>
                <w:sz w:val="22"/>
              </w:rPr>
            </w:pPr>
            <w:r w:rsidRPr="00731FE2">
              <w:rPr>
                <w:rFonts w:ascii="Times New Roman" w:eastAsia="Times New Roman" w:hAnsi="Times New Roman" w:cs="Times New Roman"/>
                <w:b/>
                <w:bCs/>
                <w:color w:val="000000"/>
                <w:sz w:val="22"/>
              </w:rPr>
              <w:t>Прогнозная численность детей (2044)</w:t>
            </w:r>
          </w:p>
        </w:tc>
        <w:tc>
          <w:tcPr>
            <w:tcW w:w="1093" w:type="dxa"/>
            <w:tcBorders>
              <w:top w:val="single" w:sz="8"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49C45F5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b/>
                <w:bCs/>
                <w:color w:val="000000"/>
                <w:sz w:val="22"/>
              </w:rPr>
            </w:pPr>
            <w:r w:rsidRPr="00731FE2">
              <w:rPr>
                <w:rFonts w:ascii="Times New Roman" w:eastAsia="Times New Roman" w:hAnsi="Times New Roman" w:cs="Times New Roman"/>
                <w:b/>
                <w:bCs/>
                <w:color w:val="000000"/>
                <w:sz w:val="22"/>
              </w:rPr>
              <w:t>Потребность мест к 2044 г.</w:t>
            </w:r>
          </w:p>
        </w:tc>
        <w:tc>
          <w:tcPr>
            <w:tcW w:w="1051" w:type="dxa"/>
            <w:tcBorders>
              <w:top w:val="single" w:sz="8"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0D8A8BF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b/>
                <w:bCs/>
                <w:color w:val="000000"/>
                <w:sz w:val="22"/>
              </w:rPr>
            </w:pPr>
            <w:r w:rsidRPr="00731FE2">
              <w:rPr>
                <w:rFonts w:ascii="Times New Roman" w:eastAsia="Times New Roman" w:hAnsi="Times New Roman" w:cs="Times New Roman"/>
                <w:b/>
                <w:bCs/>
                <w:color w:val="000000"/>
                <w:sz w:val="22"/>
              </w:rPr>
              <w:t>Дефици</w:t>
            </w:r>
            <w:proofErr w:type="gramStart"/>
            <w:r w:rsidRPr="00731FE2">
              <w:rPr>
                <w:rFonts w:ascii="Times New Roman" w:eastAsia="Times New Roman" w:hAnsi="Times New Roman" w:cs="Times New Roman"/>
                <w:b/>
                <w:bCs/>
                <w:color w:val="000000"/>
                <w:sz w:val="22"/>
              </w:rPr>
              <w:t>т(</w:t>
            </w:r>
            <w:proofErr w:type="gramEnd"/>
            <w:r w:rsidRPr="00731FE2">
              <w:rPr>
                <w:rFonts w:ascii="Times New Roman" w:eastAsia="Times New Roman" w:hAnsi="Times New Roman" w:cs="Times New Roman"/>
                <w:b/>
                <w:bCs/>
                <w:color w:val="000000"/>
                <w:sz w:val="22"/>
              </w:rPr>
              <w:t>-)/ профицит (+) в 2044 г.</w:t>
            </w:r>
          </w:p>
        </w:tc>
      </w:tr>
      <w:tr w:rsidR="00171AA8" w:rsidRPr="00731FE2" w14:paraId="43133485" w14:textId="77777777">
        <w:trPr>
          <w:trHeight w:val="20"/>
        </w:trPr>
        <w:tc>
          <w:tcPr>
            <w:tcW w:w="2203" w:type="dxa"/>
            <w:tcBorders>
              <w:top w:val="none" w:sz="4" w:space="0" w:color="000000"/>
              <w:left w:val="single" w:sz="8" w:space="0" w:color="000000"/>
              <w:bottom w:val="single" w:sz="8" w:space="0" w:color="000000"/>
              <w:right w:val="single" w:sz="8" w:space="0" w:color="000000"/>
            </w:tcBorders>
            <w:noWrap/>
            <w:tcMar>
              <w:top w:w="0" w:type="dxa"/>
              <w:left w:w="108" w:type="dxa"/>
              <w:bottom w:w="0" w:type="dxa"/>
              <w:right w:w="108" w:type="dxa"/>
            </w:tcMar>
            <w:vAlign w:val="center"/>
          </w:tcPr>
          <w:p w14:paraId="1DFC619B"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город-курорт Кисловодск</w:t>
            </w:r>
          </w:p>
        </w:tc>
        <w:tc>
          <w:tcPr>
            <w:tcW w:w="1182" w:type="dxa"/>
            <w:tcBorders>
              <w:top w:val="none" w:sz="4" w:space="0" w:color="000000"/>
              <w:left w:val="none" w:sz="4" w:space="0" w:color="000000"/>
              <w:bottom w:val="single" w:sz="8" w:space="0" w:color="000000"/>
              <w:right w:val="single" w:sz="8" w:space="0" w:color="000000"/>
            </w:tcBorders>
            <w:noWrap/>
            <w:tcMar>
              <w:top w:w="0" w:type="dxa"/>
              <w:left w:w="108" w:type="dxa"/>
              <w:bottom w:w="0" w:type="dxa"/>
              <w:right w:w="108" w:type="dxa"/>
            </w:tcMar>
            <w:vAlign w:val="center"/>
          </w:tcPr>
          <w:p w14:paraId="76394169"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3726</w:t>
            </w:r>
          </w:p>
        </w:tc>
        <w:tc>
          <w:tcPr>
            <w:tcW w:w="1347" w:type="dxa"/>
            <w:tcBorders>
              <w:top w:val="none" w:sz="4" w:space="0" w:color="000000"/>
              <w:left w:val="none" w:sz="4" w:space="0" w:color="000000"/>
              <w:bottom w:val="single" w:sz="8" w:space="0" w:color="000000"/>
              <w:right w:val="single" w:sz="8" w:space="0" w:color="000000"/>
            </w:tcBorders>
            <w:noWrap/>
            <w:tcMar>
              <w:top w:w="0" w:type="dxa"/>
              <w:left w:w="108" w:type="dxa"/>
              <w:bottom w:w="0" w:type="dxa"/>
              <w:right w:w="108" w:type="dxa"/>
            </w:tcMar>
            <w:vAlign w:val="center"/>
          </w:tcPr>
          <w:p w14:paraId="0D8F4BA3"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3586</w:t>
            </w:r>
          </w:p>
        </w:tc>
        <w:tc>
          <w:tcPr>
            <w:tcW w:w="1032" w:type="dxa"/>
            <w:tcBorders>
              <w:top w:val="none" w:sz="4" w:space="0" w:color="000000"/>
              <w:left w:val="none" w:sz="4" w:space="0" w:color="000000"/>
              <w:bottom w:val="single" w:sz="8" w:space="0" w:color="000000"/>
              <w:right w:val="single" w:sz="8" w:space="0" w:color="000000"/>
            </w:tcBorders>
            <w:noWrap/>
            <w:tcMar>
              <w:top w:w="0" w:type="dxa"/>
              <w:left w:w="108" w:type="dxa"/>
              <w:bottom w:w="0" w:type="dxa"/>
              <w:right w:w="108" w:type="dxa"/>
            </w:tcMar>
            <w:vAlign w:val="center"/>
          </w:tcPr>
          <w:p w14:paraId="4D5574AC"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+ 140</w:t>
            </w:r>
          </w:p>
        </w:tc>
        <w:tc>
          <w:tcPr>
            <w:tcW w:w="1447" w:type="dxa"/>
            <w:tcBorders>
              <w:top w:val="none" w:sz="4" w:space="0" w:color="000000"/>
              <w:left w:val="none" w:sz="4" w:space="0" w:color="000000"/>
              <w:bottom w:val="single" w:sz="8" w:space="0" w:color="000000"/>
              <w:right w:val="single" w:sz="8" w:space="0" w:color="000000"/>
            </w:tcBorders>
            <w:noWrap/>
            <w:tcMar>
              <w:top w:w="0" w:type="dxa"/>
              <w:left w:w="108" w:type="dxa"/>
              <w:bottom w:w="0" w:type="dxa"/>
              <w:right w:w="108" w:type="dxa"/>
            </w:tcMar>
            <w:vAlign w:val="center"/>
          </w:tcPr>
          <w:p w14:paraId="6269B6C2"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7226</w:t>
            </w:r>
          </w:p>
        </w:tc>
        <w:tc>
          <w:tcPr>
            <w:tcW w:w="1093" w:type="dxa"/>
            <w:tcBorders>
              <w:top w:val="none" w:sz="4" w:space="0" w:color="000000"/>
              <w:left w:val="none" w:sz="4" w:space="0" w:color="000000"/>
              <w:bottom w:val="single" w:sz="8" w:space="0" w:color="000000"/>
              <w:right w:val="single" w:sz="8" w:space="0" w:color="000000"/>
            </w:tcBorders>
            <w:noWrap/>
            <w:tcMar>
              <w:top w:w="0" w:type="dxa"/>
              <w:left w:w="108" w:type="dxa"/>
              <w:bottom w:w="0" w:type="dxa"/>
              <w:right w:w="108" w:type="dxa"/>
            </w:tcMar>
            <w:vAlign w:val="center"/>
          </w:tcPr>
          <w:p w14:paraId="0C952D3C"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4697</w:t>
            </w:r>
          </w:p>
        </w:tc>
        <w:tc>
          <w:tcPr>
            <w:tcW w:w="1051" w:type="dxa"/>
            <w:tcBorders>
              <w:top w:val="none" w:sz="4" w:space="0" w:color="000000"/>
              <w:left w:val="none" w:sz="4" w:space="0" w:color="000000"/>
              <w:bottom w:val="single" w:sz="8" w:space="0" w:color="000000"/>
              <w:right w:val="single" w:sz="8" w:space="0" w:color="000000"/>
            </w:tcBorders>
            <w:noWrap/>
            <w:tcMar>
              <w:top w:w="0" w:type="dxa"/>
              <w:left w:w="108" w:type="dxa"/>
              <w:bottom w:w="0" w:type="dxa"/>
              <w:right w:w="108" w:type="dxa"/>
            </w:tcMar>
            <w:vAlign w:val="center"/>
          </w:tcPr>
          <w:p w14:paraId="51F51AD5"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-917</w:t>
            </w:r>
          </w:p>
        </w:tc>
      </w:tr>
    </w:tbl>
    <w:p w14:paraId="52D2B5AC" w14:textId="77777777" w:rsidR="00171AA8" w:rsidRPr="00731FE2" w:rsidRDefault="00171AA8">
      <w:pPr>
        <w:pBdr>
          <w:top w:val="none" w:sz="4" w:space="0" w:color="000000"/>
          <w:left w:val="none" w:sz="4" w:space="0" w:color="000000"/>
          <w:bottom w:val="none" w:sz="4" w:space="0" w:color="000000"/>
          <w:right w:val="none" w:sz="4" w:space="0" w:color="000000"/>
        </w:pBdr>
        <w:spacing w:line="253" w:lineRule="atLeast"/>
      </w:pPr>
    </w:p>
    <w:p w14:paraId="78905BC7"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Фактического количества мест в дошкольных учреждениях Города-курорта Кисловодска в настоящее время недостаточно (таблица).</w:t>
      </w:r>
    </w:p>
    <w:p w14:paraId="551DC865"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 xml:space="preserve">Из таблицы видно, что вследствие увеличения численности населения, дефицит мест </w:t>
      </w:r>
      <w:proofErr w:type="gramStart"/>
      <w:r w:rsidRPr="00731FE2">
        <w:rPr>
          <w:rFonts w:ascii="Times New Roman" w:eastAsia="Times New Roman" w:hAnsi="Times New Roman" w:cs="Times New Roman"/>
          <w:color w:val="000000"/>
          <w:szCs w:val="24"/>
        </w:rPr>
        <w:t>в</w:t>
      </w:r>
      <w:proofErr w:type="gramEnd"/>
      <w:r w:rsidRPr="00731FE2">
        <w:rPr>
          <w:rFonts w:ascii="Times New Roman" w:eastAsia="Times New Roman" w:hAnsi="Times New Roman" w:cs="Times New Roman"/>
          <w:color w:val="000000"/>
          <w:szCs w:val="24"/>
        </w:rPr>
        <w:t xml:space="preserve"> дошкольных ОУ будет только возрастать. Поэтому потребность в дополнительных местах будет только возрастать.</w:t>
      </w:r>
    </w:p>
    <w:p w14:paraId="729DA221" w14:textId="77777777" w:rsidR="00171AA8" w:rsidRPr="00731FE2" w:rsidRDefault="00171AA8">
      <w:pPr>
        <w:pBdr>
          <w:top w:val="none" w:sz="4" w:space="0" w:color="000000"/>
          <w:left w:val="none" w:sz="4" w:space="0" w:color="000000"/>
          <w:bottom w:val="none" w:sz="4" w:space="0" w:color="000000"/>
          <w:right w:val="none" w:sz="4" w:space="0" w:color="000000"/>
        </w:pBdr>
        <w:ind w:firstLine="0"/>
        <w:rPr>
          <w:rFonts w:ascii="Times New Roman" w:hAnsi="Times New Roman" w:cs="Times New Roman"/>
          <w:b/>
          <w:bCs/>
          <w:color w:val="000000" w:themeColor="text1"/>
          <w:sz w:val="22"/>
        </w:rPr>
      </w:pPr>
    </w:p>
    <w:p w14:paraId="2461CB38" w14:textId="77777777" w:rsidR="00171AA8" w:rsidRPr="00731FE2" w:rsidRDefault="0058161E" w:rsidP="00E605B1">
      <w:pPr>
        <w:pBdr>
          <w:top w:val="none" w:sz="4" w:space="0" w:color="000000"/>
          <w:left w:val="none" w:sz="4" w:space="0" w:color="000000"/>
          <w:bottom w:val="none" w:sz="4" w:space="0" w:color="000000"/>
          <w:right w:val="none" w:sz="4" w:space="0" w:color="000000"/>
        </w:pBdr>
        <w:spacing w:line="240" w:lineRule="auto"/>
        <w:ind w:firstLine="0"/>
        <w:rPr>
          <w:rFonts w:ascii="Times New Roman" w:hAnsi="Times New Roman" w:cs="Times New Roman"/>
          <w:b/>
          <w:bCs/>
          <w:color w:val="000000" w:themeColor="text1"/>
          <w:szCs w:val="24"/>
        </w:rPr>
      </w:pPr>
      <w:r w:rsidRPr="00731FE2">
        <w:rPr>
          <w:rFonts w:ascii="Times New Roman" w:hAnsi="Times New Roman" w:cs="Times New Roman"/>
          <w:b/>
          <w:bCs/>
          <w:color w:val="000000" w:themeColor="text1"/>
          <w:szCs w:val="24"/>
        </w:rPr>
        <w:t xml:space="preserve">Таблица </w:t>
      </w:r>
      <w:r w:rsidRPr="00731FE2">
        <w:rPr>
          <w:rFonts w:ascii="Times New Roman" w:hAnsi="Times New Roman" w:cs="Times New Roman"/>
          <w:b/>
          <w:bCs/>
          <w:color w:val="000000" w:themeColor="text1"/>
          <w:szCs w:val="24"/>
        </w:rPr>
        <w:fldChar w:fldCharType="begin"/>
      </w:r>
      <w:r w:rsidRPr="00731FE2">
        <w:rPr>
          <w:rFonts w:ascii="Times New Roman" w:hAnsi="Times New Roman" w:cs="Times New Roman"/>
          <w:b/>
          <w:bCs/>
          <w:color w:val="000000" w:themeColor="text1"/>
          <w:szCs w:val="24"/>
        </w:rPr>
        <w:instrText xml:space="preserve"> SEQ Таблица \* Arabic </w:instrText>
      </w:r>
      <w:r w:rsidRPr="00731FE2">
        <w:rPr>
          <w:rFonts w:ascii="Times New Roman" w:hAnsi="Times New Roman" w:cs="Times New Roman"/>
          <w:b/>
          <w:bCs/>
          <w:color w:val="000000" w:themeColor="text1"/>
          <w:szCs w:val="24"/>
        </w:rPr>
        <w:fldChar w:fldCharType="separate"/>
      </w:r>
      <w:r w:rsidR="00C50915" w:rsidRPr="00731FE2">
        <w:rPr>
          <w:rFonts w:ascii="Times New Roman" w:hAnsi="Times New Roman" w:cs="Times New Roman"/>
          <w:b/>
          <w:bCs/>
          <w:noProof/>
          <w:color w:val="000000" w:themeColor="text1"/>
          <w:szCs w:val="24"/>
        </w:rPr>
        <w:t>76</w:t>
      </w:r>
      <w:r w:rsidRPr="00731FE2">
        <w:rPr>
          <w:rFonts w:ascii="Times New Roman" w:hAnsi="Times New Roman" w:cs="Times New Roman"/>
          <w:b/>
          <w:bCs/>
          <w:color w:val="000000" w:themeColor="text1"/>
          <w:szCs w:val="24"/>
        </w:rPr>
        <w:fldChar w:fldCharType="end"/>
      </w:r>
      <w:r w:rsidRPr="00731FE2">
        <w:rPr>
          <w:rFonts w:ascii="Times New Roman" w:hAnsi="Times New Roman" w:cs="Times New Roman"/>
          <w:b/>
          <w:bCs/>
          <w:color w:val="000000" w:themeColor="text1"/>
          <w:szCs w:val="24"/>
        </w:rPr>
        <w:t xml:space="preserve"> – </w:t>
      </w:r>
      <w:r w:rsidR="007935AB" w:rsidRPr="00731FE2">
        <w:rPr>
          <w:rFonts w:ascii="Times New Roman" w:hAnsi="Times New Roman" w:cs="Times New Roman"/>
          <w:b/>
          <w:bCs/>
          <w:color w:val="000000" w:themeColor="text1"/>
          <w:szCs w:val="24"/>
        </w:rPr>
        <w:t xml:space="preserve">Прогнозная оценка </w:t>
      </w:r>
      <w:proofErr w:type="gramStart"/>
      <w:r w:rsidR="007935AB" w:rsidRPr="00731FE2">
        <w:rPr>
          <w:rFonts w:ascii="Times New Roman" w:hAnsi="Times New Roman" w:cs="Times New Roman"/>
          <w:b/>
          <w:bCs/>
          <w:color w:val="000000" w:themeColor="text1"/>
          <w:szCs w:val="24"/>
        </w:rPr>
        <w:t>численности детей школьного возраста города-курорта Кисловодска</w:t>
      </w:r>
      <w:proofErr w:type="gramEnd"/>
      <w:r w:rsidR="007935AB" w:rsidRPr="00731FE2">
        <w:rPr>
          <w:rFonts w:ascii="Times New Roman" w:hAnsi="Times New Roman" w:cs="Times New Roman"/>
          <w:b/>
          <w:bCs/>
          <w:color w:val="000000" w:themeColor="text1"/>
          <w:szCs w:val="24"/>
        </w:rPr>
        <w:t xml:space="preserve"> до 2044 года, человек (средний сценарий)</w:t>
      </w:r>
    </w:p>
    <w:tbl>
      <w:tblPr>
        <w:tblStyle w:val="afe"/>
        <w:tblW w:w="93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041"/>
        <w:gridCol w:w="1041"/>
        <w:gridCol w:w="1041"/>
        <w:gridCol w:w="2267"/>
        <w:gridCol w:w="2409"/>
      </w:tblGrid>
      <w:tr w:rsidR="00171AA8" w:rsidRPr="00731FE2" w14:paraId="1BD6C4E3" w14:textId="77777777" w:rsidTr="00E605B1">
        <w:trPr>
          <w:trHeight w:val="20"/>
        </w:trPr>
        <w:tc>
          <w:tcPr>
            <w:tcW w:w="1555" w:type="dxa"/>
            <w:tcMar>
              <w:top w:w="0" w:type="dxa"/>
              <w:left w:w="108" w:type="dxa"/>
              <w:bottom w:w="0" w:type="dxa"/>
              <w:right w:w="108" w:type="dxa"/>
            </w:tcMar>
            <w:vAlign w:val="center"/>
          </w:tcPr>
          <w:p w14:paraId="56BDE74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b/>
                <w:bCs/>
                <w:color w:val="000000"/>
                <w:sz w:val="22"/>
              </w:rPr>
            </w:pPr>
            <w:r w:rsidRPr="00731FE2">
              <w:rPr>
                <w:rFonts w:ascii="Times New Roman" w:eastAsia="Times New Roman" w:hAnsi="Times New Roman" w:cs="Times New Roman"/>
                <w:b/>
                <w:bCs/>
                <w:color w:val="000000"/>
                <w:sz w:val="22"/>
              </w:rPr>
              <w:t>Территория</w:t>
            </w:r>
          </w:p>
        </w:tc>
        <w:tc>
          <w:tcPr>
            <w:tcW w:w="1041" w:type="dxa"/>
            <w:tcMar>
              <w:top w:w="0" w:type="dxa"/>
              <w:left w:w="108" w:type="dxa"/>
              <w:bottom w:w="0" w:type="dxa"/>
              <w:right w:w="108" w:type="dxa"/>
            </w:tcMar>
            <w:vAlign w:val="center"/>
          </w:tcPr>
          <w:p w14:paraId="4E5F6B8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b/>
                <w:bCs/>
                <w:color w:val="000000"/>
                <w:sz w:val="22"/>
              </w:rPr>
            </w:pPr>
            <w:r w:rsidRPr="00731FE2">
              <w:rPr>
                <w:rFonts w:ascii="Times New Roman" w:eastAsia="Times New Roman" w:hAnsi="Times New Roman" w:cs="Times New Roman"/>
                <w:b/>
                <w:bCs/>
                <w:color w:val="000000"/>
                <w:sz w:val="22"/>
              </w:rPr>
              <w:t>2024</w:t>
            </w:r>
          </w:p>
        </w:tc>
        <w:tc>
          <w:tcPr>
            <w:tcW w:w="1041" w:type="dxa"/>
            <w:tcMar>
              <w:top w:w="0" w:type="dxa"/>
              <w:left w:w="108" w:type="dxa"/>
              <w:bottom w:w="0" w:type="dxa"/>
              <w:right w:w="108" w:type="dxa"/>
            </w:tcMar>
            <w:vAlign w:val="center"/>
          </w:tcPr>
          <w:p w14:paraId="3DAC41B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b/>
                <w:bCs/>
                <w:color w:val="000000"/>
                <w:sz w:val="22"/>
              </w:rPr>
            </w:pPr>
            <w:r w:rsidRPr="00731FE2">
              <w:rPr>
                <w:rFonts w:ascii="Times New Roman" w:eastAsia="Times New Roman" w:hAnsi="Times New Roman" w:cs="Times New Roman"/>
                <w:b/>
                <w:bCs/>
                <w:color w:val="000000"/>
                <w:sz w:val="22"/>
              </w:rPr>
              <w:t>2029</w:t>
            </w:r>
          </w:p>
        </w:tc>
        <w:tc>
          <w:tcPr>
            <w:tcW w:w="1041" w:type="dxa"/>
            <w:tcMar>
              <w:top w:w="0" w:type="dxa"/>
              <w:left w:w="108" w:type="dxa"/>
              <w:bottom w:w="0" w:type="dxa"/>
              <w:right w:w="108" w:type="dxa"/>
            </w:tcMar>
            <w:vAlign w:val="center"/>
          </w:tcPr>
          <w:p w14:paraId="14616A5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b/>
                <w:bCs/>
                <w:color w:val="000000"/>
                <w:sz w:val="22"/>
              </w:rPr>
            </w:pPr>
            <w:r w:rsidRPr="00731FE2">
              <w:rPr>
                <w:rFonts w:ascii="Times New Roman" w:eastAsia="Times New Roman" w:hAnsi="Times New Roman" w:cs="Times New Roman"/>
                <w:b/>
                <w:bCs/>
                <w:color w:val="000000"/>
                <w:sz w:val="22"/>
              </w:rPr>
              <w:t>2044</w:t>
            </w:r>
          </w:p>
        </w:tc>
        <w:tc>
          <w:tcPr>
            <w:tcW w:w="2267" w:type="dxa"/>
            <w:tcMar>
              <w:top w:w="0" w:type="dxa"/>
              <w:left w:w="108" w:type="dxa"/>
              <w:bottom w:w="0" w:type="dxa"/>
              <w:right w:w="108" w:type="dxa"/>
            </w:tcMar>
            <w:vAlign w:val="center"/>
          </w:tcPr>
          <w:p w14:paraId="7838435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b/>
                <w:bCs/>
                <w:color w:val="000000"/>
                <w:sz w:val="22"/>
              </w:rPr>
            </w:pPr>
            <w:r w:rsidRPr="00731FE2">
              <w:rPr>
                <w:rFonts w:ascii="Times New Roman" w:eastAsia="Times New Roman" w:hAnsi="Times New Roman" w:cs="Times New Roman"/>
                <w:b/>
                <w:bCs/>
                <w:color w:val="000000"/>
                <w:sz w:val="22"/>
              </w:rPr>
              <w:t>Темп прироста 2029 к 2024, %</w:t>
            </w:r>
          </w:p>
        </w:tc>
        <w:tc>
          <w:tcPr>
            <w:tcW w:w="2409" w:type="dxa"/>
            <w:tcMar>
              <w:top w:w="0" w:type="dxa"/>
              <w:left w:w="108" w:type="dxa"/>
              <w:bottom w:w="0" w:type="dxa"/>
              <w:right w:w="108" w:type="dxa"/>
            </w:tcMar>
            <w:vAlign w:val="center"/>
          </w:tcPr>
          <w:p w14:paraId="217B8CD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b/>
                <w:bCs/>
                <w:color w:val="000000"/>
                <w:sz w:val="22"/>
              </w:rPr>
            </w:pPr>
            <w:r w:rsidRPr="00731FE2">
              <w:rPr>
                <w:rFonts w:ascii="Times New Roman" w:eastAsia="Times New Roman" w:hAnsi="Times New Roman" w:cs="Times New Roman"/>
                <w:b/>
                <w:bCs/>
                <w:color w:val="000000"/>
                <w:sz w:val="22"/>
              </w:rPr>
              <w:t>Темп прироста 2044 к 2024, %</w:t>
            </w:r>
          </w:p>
        </w:tc>
      </w:tr>
      <w:tr w:rsidR="00171AA8" w:rsidRPr="00731FE2" w14:paraId="03713667" w14:textId="77777777" w:rsidTr="00E605B1">
        <w:trPr>
          <w:trHeight w:val="20"/>
        </w:trPr>
        <w:tc>
          <w:tcPr>
            <w:tcW w:w="1555" w:type="dxa"/>
            <w:tcMar>
              <w:top w:w="0" w:type="dxa"/>
              <w:left w:w="108" w:type="dxa"/>
              <w:bottom w:w="0" w:type="dxa"/>
              <w:right w:w="108" w:type="dxa"/>
            </w:tcMar>
            <w:vAlign w:val="center"/>
          </w:tcPr>
          <w:p w14:paraId="194BF576"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город-курорт Кисловодск</w:t>
            </w:r>
          </w:p>
        </w:tc>
        <w:tc>
          <w:tcPr>
            <w:tcW w:w="1041" w:type="dxa"/>
            <w:noWrap/>
            <w:tcMar>
              <w:top w:w="0" w:type="dxa"/>
              <w:left w:w="108" w:type="dxa"/>
              <w:bottom w:w="0" w:type="dxa"/>
              <w:right w:w="108" w:type="dxa"/>
            </w:tcMar>
            <w:vAlign w:val="bottom"/>
          </w:tcPr>
          <w:p w14:paraId="12145DCD"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18083</w:t>
            </w:r>
          </w:p>
        </w:tc>
        <w:tc>
          <w:tcPr>
            <w:tcW w:w="1041" w:type="dxa"/>
            <w:noWrap/>
            <w:tcMar>
              <w:top w:w="0" w:type="dxa"/>
              <w:left w:w="108" w:type="dxa"/>
              <w:bottom w:w="0" w:type="dxa"/>
              <w:right w:w="108" w:type="dxa"/>
            </w:tcMar>
            <w:vAlign w:val="bottom"/>
          </w:tcPr>
          <w:p w14:paraId="325F4236"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18007</w:t>
            </w:r>
          </w:p>
        </w:tc>
        <w:tc>
          <w:tcPr>
            <w:tcW w:w="1041" w:type="dxa"/>
            <w:noWrap/>
            <w:tcMar>
              <w:top w:w="0" w:type="dxa"/>
              <w:left w:w="108" w:type="dxa"/>
              <w:bottom w:w="0" w:type="dxa"/>
              <w:right w:w="108" w:type="dxa"/>
            </w:tcMar>
            <w:vAlign w:val="bottom"/>
          </w:tcPr>
          <w:p w14:paraId="0B7BE910"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15928</w:t>
            </w:r>
          </w:p>
        </w:tc>
        <w:tc>
          <w:tcPr>
            <w:tcW w:w="2267" w:type="dxa"/>
            <w:noWrap/>
            <w:tcMar>
              <w:top w:w="0" w:type="dxa"/>
              <w:left w:w="108" w:type="dxa"/>
              <w:bottom w:w="0" w:type="dxa"/>
              <w:right w:w="108" w:type="dxa"/>
            </w:tcMar>
            <w:vAlign w:val="center"/>
          </w:tcPr>
          <w:p w14:paraId="2BA8BD51" w14:textId="77777777" w:rsidR="00171AA8" w:rsidRPr="00731FE2" w:rsidRDefault="007935AB" w:rsidP="00E605B1">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-0,4</w:t>
            </w:r>
          </w:p>
        </w:tc>
        <w:tc>
          <w:tcPr>
            <w:tcW w:w="2409" w:type="dxa"/>
            <w:noWrap/>
            <w:tcMar>
              <w:top w:w="0" w:type="dxa"/>
              <w:left w:w="108" w:type="dxa"/>
              <w:bottom w:w="0" w:type="dxa"/>
              <w:right w:w="108" w:type="dxa"/>
            </w:tcMar>
            <w:vAlign w:val="center"/>
          </w:tcPr>
          <w:p w14:paraId="0373903D" w14:textId="77777777" w:rsidR="00171AA8" w:rsidRPr="00731FE2" w:rsidRDefault="007935AB" w:rsidP="00E605B1">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-11,9</w:t>
            </w:r>
          </w:p>
        </w:tc>
      </w:tr>
    </w:tbl>
    <w:p w14:paraId="2940B069" w14:textId="77777777" w:rsidR="00171AA8" w:rsidRPr="00731FE2" w:rsidRDefault="00171AA8">
      <w:pPr>
        <w:pBdr>
          <w:top w:val="none" w:sz="4" w:space="0" w:color="000000"/>
          <w:left w:val="none" w:sz="4" w:space="0" w:color="000000"/>
          <w:bottom w:val="none" w:sz="4" w:space="0" w:color="000000"/>
          <w:right w:val="none" w:sz="4" w:space="0" w:color="000000"/>
        </w:pBdr>
        <w:spacing w:line="253" w:lineRule="atLeast"/>
      </w:pPr>
    </w:p>
    <w:p w14:paraId="31BC7F51"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Несмотря на небольшое снижение численности детей (в возрасте от 7 до 18 лет), нехватка образовательных мест огромная. Потребность ме</w:t>
      </w:r>
      <w:proofErr w:type="gramStart"/>
      <w:r w:rsidRPr="00731FE2">
        <w:rPr>
          <w:rFonts w:ascii="Times New Roman" w:eastAsia="Times New Roman" w:hAnsi="Times New Roman" w:cs="Times New Roman"/>
          <w:color w:val="000000"/>
          <w:szCs w:val="24"/>
        </w:rPr>
        <w:t>ст в шк</w:t>
      </w:r>
      <w:proofErr w:type="gramEnd"/>
      <w:r w:rsidRPr="00731FE2">
        <w:rPr>
          <w:rFonts w:ascii="Times New Roman" w:eastAsia="Times New Roman" w:hAnsi="Times New Roman" w:cs="Times New Roman"/>
          <w:color w:val="000000"/>
          <w:szCs w:val="24"/>
        </w:rPr>
        <w:t>ольных учреждениях отражена в таблице ниже.</w:t>
      </w:r>
    </w:p>
    <w:p w14:paraId="276D11BB" w14:textId="77777777" w:rsidR="00171AA8" w:rsidRPr="00731FE2" w:rsidRDefault="00171AA8">
      <w:pPr>
        <w:pBdr>
          <w:top w:val="none" w:sz="4" w:space="0" w:color="000000"/>
          <w:left w:val="none" w:sz="4" w:space="0" w:color="000000"/>
          <w:bottom w:val="none" w:sz="4" w:space="0" w:color="000000"/>
          <w:right w:val="none" w:sz="4" w:space="0" w:color="000000"/>
        </w:pBdr>
        <w:ind w:firstLine="0"/>
        <w:rPr>
          <w:rFonts w:ascii="Times New Roman" w:hAnsi="Times New Roman" w:cs="Times New Roman"/>
          <w:b/>
          <w:bCs/>
          <w:color w:val="000000" w:themeColor="text1"/>
          <w:sz w:val="22"/>
        </w:rPr>
      </w:pPr>
    </w:p>
    <w:p w14:paraId="1E4DFB77" w14:textId="77777777" w:rsidR="00171AA8" w:rsidRPr="00731FE2" w:rsidRDefault="0058161E" w:rsidP="00E605B1">
      <w:pPr>
        <w:pBdr>
          <w:top w:val="none" w:sz="4" w:space="0" w:color="000000"/>
          <w:left w:val="none" w:sz="4" w:space="0" w:color="000000"/>
          <w:bottom w:val="none" w:sz="4" w:space="0" w:color="000000"/>
          <w:right w:val="none" w:sz="4" w:space="0" w:color="000000"/>
        </w:pBdr>
        <w:spacing w:line="240" w:lineRule="auto"/>
        <w:ind w:firstLine="0"/>
        <w:rPr>
          <w:rFonts w:ascii="Times New Roman" w:hAnsi="Times New Roman" w:cs="Times New Roman"/>
          <w:b/>
          <w:bCs/>
          <w:color w:val="000000" w:themeColor="text1"/>
          <w:szCs w:val="24"/>
        </w:rPr>
      </w:pPr>
      <w:r w:rsidRPr="00731FE2">
        <w:rPr>
          <w:rFonts w:ascii="Times New Roman" w:hAnsi="Times New Roman" w:cs="Times New Roman"/>
          <w:b/>
          <w:bCs/>
          <w:color w:val="000000" w:themeColor="text1"/>
          <w:szCs w:val="24"/>
        </w:rPr>
        <w:t xml:space="preserve">Таблица </w:t>
      </w:r>
      <w:r w:rsidRPr="00731FE2">
        <w:rPr>
          <w:rFonts w:ascii="Times New Roman" w:hAnsi="Times New Roman" w:cs="Times New Roman"/>
          <w:b/>
          <w:bCs/>
          <w:color w:val="000000" w:themeColor="text1"/>
          <w:szCs w:val="24"/>
        </w:rPr>
        <w:fldChar w:fldCharType="begin"/>
      </w:r>
      <w:r w:rsidRPr="00731FE2">
        <w:rPr>
          <w:rFonts w:ascii="Times New Roman" w:hAnsi="Times New Roman" w:cs="Times New Roman"/>
          <w:b/>
          <w:bCs/>
          <w:color w:val="000000" w:themeColor="text1"/>
          <w:szCs w:val="24"/>
        </w:rPr>
        <w:instrText xml:space="preserve"> SEQ Таблица \* Arabic </w:instrText>
      </w:r>
      <w:r w:rsidRPr="00731FE2">
        <w:rPr>
          <w:rFonts w:ascii="Times New Roman" w:hAnsi="Times New Roman" w:cs="Times New Roman"/>
          <w:b/>
          <w:bCs/>
          <w:color w:val="000000" w:themeColor="text1"/>
          <w:szCs w:val="24"/>
        </w:rPr>
        <w:fldChar w:fldCharType="separate"/>
      </w:r>
      <w:r w:rsidR="00C50915" w:rsidRPr="00731FE2">
        <w:rPr>
          <w:rFonts w:ascii="Times New Roman" w:hAnsi="Times New Roman" w:cs="Times New Roman"/>
          <w:b/>
          <w:bCs/>
          <w:noProof/>
          <w:color w:val="000000" w:themeColor="text1"/>
          <w:szCs w:val="24"/>
        </w:rPr>
        <w:t>77</w:t>
      </w:r>
      <w:r w:rsidRPr="00731FE2">
        <w:rPr>
          <w:rFonts w:ascii="Times New Roman" w:hAnsi="Times New Roman" w:cs="Times New Roman"/>
          <w:b/>
          <w:bCs/>
          <w:color w:val="000000" w:themeColor="text1"/>
          <w:szCs w:val="24"/>
        </w:rPr>
        <w:fldChar w:fldCharType="end"/>
      </w:r>
      <w:r w:rsidRPr="00731FE2">
        <w:rPr>
          <w:rFonts w:ascii="Times New Roman" w:hAnsi="Times New Roman" w:cs="Times New Roman"/>
          <w:b/>
          <w:bCs/>
          <w:color w:val="000000" w:themeColor="text1"/>
          <w:szCs w:val="24"/>
        </w:rPr>
        <w:t xml:space="preserve"> – </w:t>
      </w:r>
      <w:r w:rsidR="007935AB" w:rsidRPr="00731FE2">
        <w:rPr>
          <w:rFonts w:ascii="Times New Roman" w:hAnsi="Times New Roman" w:cs="Times New Roman"/>
          <w:b/>
          <w:bCs/>
          <w:color w:val="000000" w:themeColor="text1"/>
          <w:szCs w:val="24"/>
        </w:rPr>
        <w:t>Расчет потребности населения города-курорта Кисловодска в местах в школьных образовательных учреждениях до 2044 года</w:t>
      </w:r>
    </w:p>
    <w:tbl>
      <w:tblPr>
        <w:tblStyle w:val="afe"/>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ayout w:type="fixed"/>
        <w:tblLook w:val="04A0" w:firstRow="1" w:lastRow="0" w:firstColumn="1" w:lastColumn="0" w:noHBand="0" w:noVBand="1"/>
      </w:tblPr>
      <w:tblGrid>
        <w:gridCol w:w="1408"/>
        <w:gridCol w:w="1381"/>
        <w:gridCol w:w="1478"/>
        <w:gridCol w:w="1136"/>
        <w:gridCol w:w="1371"/>
        <w:gridCol w:w="1391"/>
        <w:gridCol w:w="1170"/>
      </w:tblGrid>
      <w:tr w:rsidR="00171AA8" w:rsidRPr="00731FE2" w14:paraId="46EA81A6" w14:textId="77777777" w:rsidTr="00E605B1">
        <w:trPr>
          <w:trHeight w:val="20"/>
        </w:trPr>
        <w:tc>
          <w:tcPr>
            <w:tcW w:w="1408"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30B4D77A"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b/>
                <w:bCs/>
                <w:color w:val="000000"/>
                <w:sz w:val="22"/>
              </w:rPr>
            </w:pPr>
            <w:r w:rsidRPr="00731FE2">
              <w:rPr>
                <w:rFonts w:ascii="Times New Roman" w:eastAsia="Times New Roman" w:hAnsi="Times New Roman" w:cs="Times New Roman"/>
                <w:b/>
                <w:bCs/>
                <w:color w:val="000000"/>
                <w:sz w:val="22"/>
              </w:rPr>
              <w:t>Территория</w:t>
            </w:r>
          </w:p>
        </w:tc>
        <w:tc>
          <w:tcPr>
            <w:tcW w:w="1381" w:type="dxa"/>
            <w:tcBorders>
              <w:top w:val="single" w:sz="8"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24BB3598"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b/>
                <w:bCs/>
                <w:color w:val="000000"/>
                <w:sz w:val="22"/>
              </w:rPr>
            </w:pPr>
            <w:r w:rsidRPr="00731FE2">
              <w:rPr>
                <w:rFonts w:ascii="Times New Roman" w:eastAsia="Times New Roman" w:hAnsi="Times New Roman" w:cs="Times New Roman"/>
                <w:b/>
                <w:bCs/>
                <w:color w:val="000000"/>
                <w:sz w:val="22"/>
              </w:rPr>
              <w:t>Проектная мощность действующих объектов</w:t>
            </w:r>
          </w:p>
        </w:tc>
        <w:tc>
          <w:tcPr>
            <w:tcW w:w="1478" w:type="dxa"/>
            <w:tcBorders>
              <w:top w:val="single" w:sz="8"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3D03CCA1"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b/>
                <w:bCs/>
                <w:color w:val="000000"/>
                <w:sz w:val="22"/>
              </w:rPr>
            </w:pPr>
            <w:r w:rsidRPr="00731FE2">
              <w:rPr>
                <w:rFonts w:ascii="Times New Roman" w:eastAsia="Times New Roman" w:hAnsi="Times New Roman" w:cs="Times New Roman"/>
                <w:b/>
                <w:bCs/>
                <w:color w:val="000000"/>
                <w:sz w:val="22"/>
              </w:rPr>
              <w:t xml:space="preserve">Фактическое количество </w:t>
            </w:r>
            <w:proofErr w:type="gramStart"/>
            <w:r w:rsidRPr="00731FE2">
              <w:rPr>
                <w:rFonts w:ascii="Times New Roman" w:eastAsia="Times New Roman" w:hAnsi="Times New Roman" w:cs="Times New Roman"/>
                <w:b/>
                <w:bCs/>
                <w:color w:val="000000"/>
                <w:sz w:val="22"/>
              </w:rPr>
              <w:t>обучающихся</w:t>
            </w:r>
            <w:proofErr w:type="gramEnd"/>
          </w:p>
        </w:tc>
        <w:tc>
          <w:tcPr>
            <w:tcW w:w="1136" w:type="dxa"/>
            <w:tcBorders>
              <w:top w:val="single" w:sz="8"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55CE101B"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b/>
                <w:bCs/>
                <w:color w:val="000000"/>
                <w:sz w:val="22"/>
              </w:rPr>
            </w:pPr>
            <w:r w:rsidRPr="00731FE2">
              <w:rPr>
                <w:rFonts w:ascii="Times New Roman" w:eastAsia="Times New Roman" w:hAnsi="Times New Roman" w:cs="Times New Roman"/>
                <w:b/>
                <w:bCs/>
                <w:color w:val="000000"/>
                <w:sz w:val="22"/>
              </w:rPr>
              <w:t>Дефицит</w:t>
            </w:r>
            <w:proofErr w:type="gramStart"/>
            <w:r w:rsidRPr="00731FE2">
              <w:rPr>
                <w:rFonts w:ascii="Times New Roman" w:eastAsia="Times New Roman" w:hAnsi="Times New Roman" w:cs="Times New Roman"/>
                <w:b/>
                <w:bCs/>
                <w:color w:val="000000"/>
                <w:sz w:val="22"/>
              </w:rPr>
              <w:t xml:space="preserve"> (-)/ </w:t>
            </w:r>
            <w:proofErr w:type="gramEnd"/>
            <w:r w:rsidRPr="00731FE2">
              <w:rPr>
                <w:rFonts w:ascii="Times New Roman" w:eastAsia="Times New Roman" w:hAnsi="Times New Roman" w:cs="Times New Roman"/>
                <w:b/>
                <w:bCs/>
                <w:color w:val="000000"/>
                <w:sz w:val="22"/>
              </w:rPr>
              <w:t>профицит (+) в 2024 г.</w:t>
            </w:r>
          </w:p>
        </w:tc>
        <w:tc>
          <w:tcPr>
            <w:tcW w:w="1371" w:type="dxa"/>
            <w:tcBorders>
              <w:top w:val="single" w:sz="8"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5D4CD0EC"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b/>
                <w:bCs/>
                <w:color w:val="000000"/>
                <w:sz w:val="22"/>
              </w:rPr>
            </w:pPr>
            <w:r w:rsidRPr="00731FE2">
              <w:rPr>
                <w:rFonts w:ascii="Times New Roman" w:eastAsia="Times New Roman" w:hAnsi="Times New Roman" w:cs="Times New Roman"/>
                <w:b/>
                <w:bCs/>
                <w:color w:val="000000"/>
                <w:sz w:val="22"/>
              </w:rPr>
              <w:t>Прогнозная численность детей (2045)</w:t>
            </w:r>
          </w:p>
        </w:tc>
        <w:tc>
          <w:tcPr>
            <w:tcW w:w="1391" w:type="dxa"/>
            <w:tcBorders>
              <w:top w:val="single" w:sz="8"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66F7C3E6"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b/>
                <w:bCs/>
                <w:color w:val="000000"/>
                <w:sz w:val="22"/>
              </w:rPr>
            </w:pPr>
            <w:r w:rsidRPr="00731FE2">
              <w:rPr>
                <w:rFonts w:ascii="Times New Roman" w:eastAsia="Times New Roman" w:hAnsi="Times New Roman" w:cs="Times New Roman"/>
                <w:b/>
                <w:bCs/>
                <w:color w:val="000000"/>
                <w:sz w:val="22"/>
              </w:rPr>
              <w:t>Потребность мест к 2044 г.</w:t>
            </w:r>
          </w:p>
        </w:tc>
        <w:tc>
          <w:tcPr>
            <w:tcW w:w="1170" w:type="dxa"/>
            <w:tcBorders>
              <w:top w:val="single" w:sz="8"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4A234A69"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b/>
                <w:bCs/>
                <w:color w:val="000000"/>
                <w:sz w:val="22"/>
              </w:rPr>
            </w:pPr>
            <w:r w:rsidRPr="00731FE2">
              <w:rPr>
                <w:rFonts w:ascii="Times New Roman" w:eastAsia="Times New Roman" w:hAnsi="Times New Roman" w:cs="Times New Roman"/>
                <w:b/>
                <w:bCs/>
                <w:color w:val="000000"/>
                <w:sz w:val="22"/>
              </w:rPr>
              <w:t>Дефици</w:t>
            </w:r>
            <w:proofErr w:type="gramStart"/>
            <w:r w:rsidRPr="00731FE2">
              <w:rPr>
                <w:rFonts w:ascii="Times New Roman" w:eastAsia="Times New Roman" w:hAnsi="Times New Roman" w:cs="Times New Roman"/>
                <w:b/>
                <w:bCs/>
                <w:color w:val="000000"/>
                <w:sz w:val="22"/>
              </w:rPr>
              <w:t>т(</w:t>
            </w:r>
            <w:proofErr w:type="gramEnd"/>
            <w:r w:rsidRPr="00731FE2">
              <w:rPr>
                <w:rFonts w:ascii="Times New Roman" w:eastAsia="Times New Roman" w:hAnsi="Times New Roman" w:cs="Times New Roman"/>
                <w:b/>
                <w:bCs/>
                <w:color w:val="000000"/>
                <w:sz w:val="22"/>
              </w:rPr>
              <w:t>-)/ профицит (+) в 2044 г.</w:t>
            </w:r>
          </w:p>
        </w:tc>
      </w:tr>
      <w:tr w:rsidR="00171AA8" w:rsidRPr="00731FE2" w14:paraId="5E28A5D4" w14:textId="77777777" w:rsidTr="00E605B1">
        <w:trPr>
          <w:trHeight w:val="20"/>
        </w:trPr>
        <w:tc>
          <w:tcPr>
            <w:tcW w:w="1408"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2D7C9F8A"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город-курорт Кисловодск</w:t>
            </w:r>
          </w:p>
        </w:tc>
        <w:tc>
          <w:tcPr>
            <w:tcW w:w="1381"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210129A2"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12972</w:t>
            </w:r>
          </w:p>
        </w:tc>
        <w:tc>
          <w:tcPr>
            <w:tcW w:w="1478"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44A6DDAE"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15984</w:t>
            </w:r>
          </w:p>
        </w:tc>
        <w:tc>
          <w:tcPr>
            <w:tcW w:w="1136"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50932E08"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-3012</w:t>
            </w:r>
          </w:p>
        </w:tc>
        <w:tc>
          <w:tcPr>
            <w:tcW w:w="1371"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3959D03C"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15928</w:t>
            </w:r>
          </w:p>
        </w:tc>
        <w:tc>
          <w:tcPr>
            <w:tcW w:w="1391"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459653C8"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15131</w:t>
            </w:r>
          </w:p>
        </w:tc>
        <w:tc>
          <w:tcPr>
            <w:tcW w:w="1170"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3318EC29"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-2159</w:t>
            </w:r>
          </w:p>
        </w:tc>
      </w:tr>
    </w:tbl>
    <w:p w14:paraId="586E940D" w14:textId="77777777" w:rsidR="00171AA8" w:rsidRPr="00731FE2" w:rsidRDefault="00171AA8">
      <w:pPr>
        <w:pBdr>
          <w:top w:val="none" w:sz="4" w:space="0" w:color="000000"/>
          <w:left w:val="none" w:sz="4" w:space="0" w:color="000000"/>
          <w:bottom w:val="none" w:sz="4" w:space="0" w:color="000000"/>
          <w:right w:val="none" w:sz="4" w:space="0" w:color="000000"/>
        </w:pBdr>
        <w:spacing w:line="253" w:lineRule="atLeast"/>
      </w:pPr>
    </w:p>
    <w:p w14:paraId="25328EFD"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proofErr w:type="gramStart"/>
      <w:r w:rsidRPr="00731FE2">
        <w:rPr>
          <w:rFonts w:ascii="Times New Roman" w:eastAsia="Times New Roman" w:hAnsi="Times New Roman" w:cs="Times New Roman"/>
          <w:color w:val="000000"/>
          <w:szCs w:val="24"/>
        </w:rPr>
        <w:lastRenderedPageBreak/>
        <w:t>Главная проблема системы дошкольного и общего образования Города-курорта Кисловодска – это дефицит мест, а также высокая доля учреждений, требующих капитального ремонта</w:t>
      </w:r>
      <w:r w:rsidR="0058161E" w:rsidRPr="00731FE2">
        <w:rPr>
          <w:rFonts w:ascii="Times New Roman" w:eastAsia="Times New Roman" w:hAnsi="Times New Roman" w:cs="Times New Roman"/>
          <w:color w:val="000000"/>
          <w:szCs w:val="24"/>
        </w:rPr>
        <w:t xml:space="preserve"> и реконструкции </w:t>
      </w:r>
      <w:r w:rsidRPr="00731FE2">
        <w:rPr>
          <w:rFonts w:ascii="Times New Roman" w:eastAsia="Times New Roman" w:hAnsi="Times New Roman" w:cs="Times New Roman"/>
          <w:color w:val="000000"/>
          <w:szCs w:val="24"/>
        </w:rPr>
        <w:t>(см. Том 1.</w:t>
      </w:r>
      <w:proofErr w:type="gramEnd"/>
      <w:r w:rsidRPr="00731FE2">
        <w:rPr>
          <w:rFonts w:ascii="Times New Roman" w:eastAsia="Times New Roman" w:hAnsi="Times New Roman" w:cs="Times New Roman"/>
          <w:color w:val="000000"/>
          <w:szCs w:val="24"/>
        </w:rPr>
        <w:t xml:space="preserve"> </w:t>
      </w:r>
      <w:proofErr w:type="gramStart"/>
      <w:r w:rsidRPr="00731FE2">
        <w:rPr>
          <w:rFonts w:ascii="Times New Roman" w:eastAsia="Times New Roman" w:hAnsi="Times New Roman" w:cs="Times New Roman"/>
          <w:color w:val="000000"/>
          <w:szCs w:val="24"/>
        </w:rPr>
        <w:t xml:space="preserve">Положение о территориальном планировании). </w:t>
      </w:r>
      <w:proofErr w:type="gramEnd"/>
    </w:p>
    <w:p w14:paraId="1FA458B4"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b/>
          <w:bCs/>
          <w:color w:val="000000"/>
          <w:szCs w:val="24"/>
        </w:rPr>
        <w:t>Здравоохранение.</w:t>
      </w:r>
      <w:r w:rsidRPr="00731FE2">
        <w:rPr>
          <w:rFonts w:eastAsia="Arial" w:cs="Arial"/>
          <w:b/>
          <w:color w:val="000000"/>
        </w:rPr>
        <w:t xml:space="preserve"> </w:t>
      </w:r>
      <w:r w:rsidRPr="00731FE2">
        <w:rPr>
          <w:rFonts w:ascii="Times New Roman" w:eastAsia="Times New Roman" w:hAnsi="Times New Roman" w:cs="Times New Roman"/>
          <w:color w:val="000000"/>
          <w:szCs w:val="24"/>
        </w:rPr>
        <w:t>Существующие учреждения здравоохранения должны в целом решить проблему обеспечения населения города-курорта соответствующими услугами.</w:t>
      </w:r>
    </w:p>
    <w:p w14:paraId="7EEBAE3B"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В Национальном проекте «Здравоохранение» определены основные стратегические цели развития отрасли:</w:t>
      </w:r>
    </w:p>
    <w:p w14:paraId="3287FA28" w14:textId="77777777" w:rsidR="00171AA8" w:rsidRPr="00731FE2" w:rsidRDefault="007935AB" w:rsidP="007832E7">
      <w:pPr>
        <w:pStyle w:val="a3"/>
        <w:numPr>
          <w:ilvl w:val="0"/>
          <w:numId w:val="119"/>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развитие первичной медико-санитарной помощи;</w:t>
      </w:r>
    </w:p>
    <w:p w14:paraId="25949997" w14:textId="77777777" w:rsidR="00171AA8" w:rsidRPr="00731FE2" w:rsidRDefault="007935AB" w:rsidP="007832E7">
      <w:pPr>
        <w:pStyle w:val="a3"/>
        <w:numPr>
          <w:ilvl w:val="0"/>
          <w:numId w:val="119"/>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 xml:space="preserve">перенос акцента </w:t>
      </w:r>
      <w:proofErr w:type="gramStart"/>
      <w:r w:rsidRPr="00731FE2">
        <w:rPr>
          <w:rFonts w:ascii="Times New Roman" w:eastAsia="Times New Roman" w:hAnsi="Times New Roman" w:cs="Times New Roman"/>
          <w:color w:val="000000"/>
          <w:szCs w:val="24"/>
        </w:rPr>
        <w:t>со</w:t>
      </w:r>
      <w:proofErr w:type="gramEnd"/>
      <w:r w:rsidRPr="00731FE2">
        <w:rPr>
          <w:rFonts w:ascii="Times New Roman" w:eastAsia="Times New Roman" w:hAnsi="Times New Roman" w:cs="Times New Roman"/>
          <w:color w:val="000000"/>
          <w:szCs w:val="24"/>
        </w:rPr>
        <w:t xml:space="preserve"> стационарного на амбулаторное звено;</w:t>
      </w:r>
    </w:p>
    <w:p w14:paraId="50D4ED27" w14:textId="77777777" w:rsidR="00171AA8" w:rsidRPr="00731FE2" w:rsidRDefault="007935AB" w:rsidP="007832E7">
      <w:pPr>
        <w:pStyle w:val="a3"/>
        <w:numPr>
          <w:ilvl w:val="0"/>
          <w:numId w:val="119"/>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рост доступности медицинской помощи населению;</w:t>
      </w:r>
    </w:p>
    <w:p w14:paraId="139ACCF5" w14:textId="77777777" w:rsidR="00171AA8" w:rsidRPr="00731FE2" w:rsidRDefault="007935AB" w:rsidP="007832E7">
      <w:pPr>
        <w:pStyle w:val="a3"/>
        <w:numPr>
          <w:ilvl w:val="0"/>
          <w:numId w:val="119"/>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улучшение медицинской инфраструктуры.</w:t>
      </w:r>
    </w:p>
    <w:p w14:paraId="34B59A09" w14:textId="77777777" w:rsidR="0058161E"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sectPr w:rsidR="0058161E" w:rsidRPr="00731FE2" w:rsidSect="00EB796A">
          <w:footerReference w:type="default" r:id="rId25"/>
          <w:pgSz w:w="11906" w:h="16838"/>
          <w:pgMar w:top="1134" w:right="850" w:bottom="1134" w:left="1701" w:header="709" w:footer="709" w:gutter="0"/>
          <w:cols w:space="708"/>
          <w:titlePg/>
          <w:docGrid w:linePitch="360"/>
        </w:sectPr>
      </w:pPr>
      <w:r w:rsidRPr="00731FE2">
        <w:rPr>
          <w:rFonts w:ascii="Times New Roman" w:eastAsia="Times New Roman" w:hAnsi="Times New Roman" w:cs="Times New Roman"/>
          <w:color w:val="000000"/>
          <w:szCs w:val="24"/>
        </w:rPr>
        <w:t>Требования к размещению медицинских организаций государственной системы здравоохранения и муниципальной системы здравоохранения исходя из потребностей населения утверждены приказом Министерства здравоохранения РФ от 27.02.2016 № 132н</w:t>
      </w:r>
      <w:r w:rsidR="0058161E" w:rsidRPr="00731FE2">
        <w:rPr>
          <w:rFonts w:ascii="Times New Roman" w:eastAsia="Times New Roman" w:hAnsi="Times New Roman" w:cs="Times New Roman"/>
          <w:color w:val="000000"/>
          <w:szCs w:val="24"/>
        </w:rPr>
        <w:t>.</w:t>
      </w:r>
    </w:p>
    <w:p w14:paraId="35E32C9A" w14:textId="77777777" w:rsidR="00171AA8" w:rsidRPr="00731FE2" w:rsidRDefault="0058161E" w:rsidP="00E605B1">
      <w:pPr>
        <w:pBdr>
          <w:top w:val="none" w:sz="4" w:space="0" w:color="000000"/>
          <w:left w:val="none" w:sz="4" w:space="0" w:color="000000"/>
          <w:bottom w:val="none" w:sz="4" w:space="0" w:color="000000"/>
          <w:right w:val="none" w:sz="4" w:space="0" w:color="000000"/>
        </w:pBdr>
        <w:spacing w:line="240" w:lineRule="auto"/>
        <w:ind w:firstLine="0"/>
        <w:rPr>
          <w:rFonts w:ascii="Times New Roman" w:hAnsi="Times New Roman" w:cs="Times New Roman"/>
          <w:b/>
          <w:bCs/>
          <w:color w:val="000000" w:themeColor="text1"/>
          <w:szCs w:val="24"/>
        </w:rPr>
      </w:pPr>
      <w:r w:rsidRPr="00731FE2">
        <w:rPr>
          <w:rFonts w:ascii="Times New Roman" w:hAnsi="Times New Roman" w:cs="Times New Roman"/>
          <w:b/>
          <w:bCs/>
          <w:color w:val="000000" w:themeColor="text1"/>
          <w:szCs w:val="24"/>
        </w:rPr>
        <w:lastRenderedPageBreak/>
        <w:t xml:space="preserve">Таблица </w:t>
      </w:r>
      <w:r w:rsidRPr="00731FE2">
        <w:rPr>
          <w:rFonts w:ascii="Times New Roman" w:hAnsi="Times New Roman" w:cs="Times New Roman"/>
          <w:b/>
          <w:bCs/>
          <w:color w:val="000000" w:themeColor="text1"/>
          <w:szCs w:val="24"/>
        </w:rPr>
        <w:fldChar w:fldCharType="begin"/>
      </w:r>
      <w:r w:rsidRPr="00731FE2">
        <w:rPr>
          <w:rFonts w:ascii="Times New Roman" w:hAnsi="Times New Roman" w:cs="Times New Roman"/>
          <w:b/>
          <w:bCs/>
          <w:color w:val="000000" w:themeColor="text1"/>
          <w:szCs w:val="24"/>
        </w:rPr>
        <w:instrText xml:space="preserve"> SEQ Таблица \* Arabic </w:instrText>
      </w:r>
      <w:r w:rsidRPr="00731FE2">
        <w:rPr>
          <w:rFonts w:ascii="Times New Roman" w:hAnsi="Times New Roman" w:cs="Times New Roman"/>
          <w:b/>
          <w:bCs/>
          <w:color w:val="000000" w:themeColor="text1"/>
          <w:szCs w:val="24"/>
        </w:rPr>
        <w:fldChar w:fldCharType="separate"/>
      </w:r>
      <w:r w:rsidR="00C50915" w:rsidRPr="00731FE2">
        <w:rPr>
          <w:rFonts w:ascii="Times New Roman" w:hAnsi="Times New Roman" w:cs="Times New Roman"/>
          <w:b/>
          <w:bCs/>
          <w:noProof/>
          <w:color w:val="000000" w:themeColor="text1"/>
          <w:szCs w:val="24"/>
        </w:rPr>
        <w:t>78</w:t>
      </w:r>
      <w:r w:rsidRPr="00731FE2">
        <w:rPr>
          <w:rFonts w:ascii="Times New Roman" w:hAnsi="Times New Roman" w:cs="Times New Roman"/>
          <w:b/>
          <w:bCs/>
          <w:color w:val="000000" w:themeColor="text1"/>
          <w:szCs w:val="24"/>
        </w:rPr>
        <w:fldChar w:fldCharType="end"/>
      </w:r>
      <w:r w:rsidRPr="00731FE2">
        <w:rPr>
          <w:rFonts w:ascii="Times New Roman" w:hAnsi="Times New Roman" w:cs="Times New Roman"/>
          <w:b/>
          <w:bCs/>
          <w:color w:val="000000" w:themeColor="text1"/>
          <w:szCs w:val="24"/>
        </w:rPr>
        <w:t xml:space="preserve"> – </w:t>
      </w:r>
      <w:r w:rsidR="007935AB" w:rsidRPr="00731FE2">
        <w:rPr>
          <w:rFonts w:ascii="Times New Roman" w:hAnsi="Times New Roman" w:cs="Times New Roman"/>
          <w:b/>
          <w:bCs/>
          <w:color w:val="000000" w:themeColor="text1"/>
          <w:szCs w:val="24"/>
        </w:rPr>
        <w:t>Размещение отдельных видов медицинских организации, включенных в номенклатуру медицинских организаций, исходя из условий, видов, форм оказания медицинской помощи и рекомендуемой численности обслуживаемого населения</w:t>
      </w:r>
    </w:p>
    <w:tbl>
      <w:tblPr>
        <w:tblStyle w:val="afe"/>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1451"/>
        <w:gridCol w:w="2792"/>
        <w:gridCol w:w="3905"/>
        <w:gridCol w:w="2048"/>
        <w:gridCol w:w="2268"/>
        <w:gridCol w:w="1985"/>
      </w:tblGrid>
      <w:tr w:rsidR="00171AA8" w:rsidRPr="00731FE2" w14:paraId="3A2B28C1" w14:textId="77777777" w:rsidTr="00E605B1">
        <w:trPr>
          <w:trHeight w:val="20"/>
        </w:trPr>
        <w:tc>
          <w:tcPr>
            <w:tcW w:w="1451"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6732E7E9"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b/>
                <w:bCs/>
                <w:color w:val="000000"/>
                <w:sz w:val="20"/>
                <w:szCs w:val="20"/>
              </w:rPr>
            </w:pPr>
            <w:r w:rsidRPr="00731FE2">
              <w:rPr>
                <w:rFonts w:ascii="Times New Roman" w:eastAsia="Times New Roman" w:hAnsi="Times New Roman" w:cs="Times New Roman"/>
                <w:b/>
                <w:bCs/>
                <w:color w:val="000000"/>
                <w:sz w:val="20"/>
                <w:szCs w:val="20"/>
              </w:rPr>
              <w:t>Условия оказания медицинской помощи</w:t>
            </w:r>
          </w:p>
        </w:tc>
        <w:tc>
          <w:tcPr>
            <w:tcW w:w="2792" w:type="dxa"/>
            <w:tcBorders>
              <w:top w:val="single" w:sz="8"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26F7B8ED"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b/>
                <w:bCs/>
                <w:color w:val="000000"/>
                <w:sz w:val="20"/>
                <w:szCs w:val="20"/>
              </w:rPr>
            </w:pPr>
            <w:r w:rsidRPr="00731FE2">
              <w:rPr>
                <w:rFonts w:ascii="Times New Roman" w:eastAsia="Times New Roman" w:hAnsi="Times New Roman" w:cs="Times New Roman"/>
                <w:b/>
                <w:bCs/>
                <w:color w:val="000000"/>
                <w:sz w:val="20"/>
                <w:szCs w:val="20"/>
              </w:rPr>
              <w:t>Вид медицинской организации</w:t>
            </w:r>
          </w:p>
        </w:tc>
        <w:tc>
          <w:tcPr>
            <w:tcW w:w="3905" w:type="dxa"/>
            <w:tcBorders>
              <w:top w:val="single" w:sz="8"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087E296D"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b/>
                <w:bCs/>
                <w:color w:val="000000"/>
                <w:sz w:val="20"/>
                <w:szCs w:val="20"/>
              </w:rPr>
            </w:pPr>
            <w:r w:rsidRPr="00731FE2">
              <w:rPr>
                <w:rFonts w:ascii="Times New Roman" w:eastAsia="Times New Roman" w:hAnsi="Times New Roman" w:cs="Times New Roman"/>
                <w:b/>
                <w:bCs/>
                <w:color w:val="000000"/>
                <w:sz w:val="20"/>
                <w:szCs w:val="20"/>
              </w:rPr>
              <w:t>Вид медицинской помощи</w:t>
            </w:r>
          </w:p>
        </w:tc>
        <w:tc>
          <w:tcPr>
            <w:tcW w:w="2048" w:type="dxa"/>
            <w:tcBorders>
              <w:top w:val="single" w:sz="8"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6B07FF74"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b/>
                <w:bCs/>
                <w:color w:val="000000"/>
                <w:sz w:val="20"/>
                <w:szCs w:val="20"/>
              </w:rPr>
            </w:pPr>
            <w:r w:rsidRPr="00731FE2">
              <w:rPr>
                <w:rFonts w:ascii="Times New Roman" w:eastAsia="Times New Roman" w:hAnsi="Times New Roman" w:cs="Times New Roman"/>
                <w:b/>
                <w:bCs/>
                <w:color w:val="000000"/>
                <w:sz w:val="20"/>
                <w:szCs w:val="20"/>
              </w:rPr>
              <w:t>Форма оказания медицинской помощи</w:t>
            </w:r>
          </w:p>
        </w:tc>
        <w:tc>
          <w:tcPr>
            <w:tcW w:w="2268" w:type="dxa"/>
            <w:tcBorders>
              <w:top w:val="single" w:sz="8"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2CE00292"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b/>
                <w:bCs/>
                <w:color w:val="000000"/>
                <w:sz w:val="20"/>
                <w:szCs w:val="20"/>
              </w:rPr>
            </w:pPr>
            <w:r w:rsidRPr="00731FE2">
              <w:rPr>
                <w:rFonts w:ascii="Times New Roman" w:eastAsia="Times New Roman" w:hAnsi="Times New Roman" w:cs="Times New Roman"/>
                <w:b/>
                <w:bCs/>
                <w:color w:val="000000"/>
                <w:sz w:val="20"/>
                <w:szCs w:val="20"/>
              </w:rPr>
              <w:t>Рекомендуемая численность обслуживаемого населения</w:t>
            </w:r>
          </w:p>
        </w:tc>
        <w:tc>
          <w:tcPr>
            <w:tcW w:w="1985" w:type="dxa"/>
            <w:tcBorders>
              <w:top w:val="single" w:sz="8"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28CF7794" w14:textId="77777777" w:rsidR="00171AA8" w:rsidRPr="00731FE2" w:rsidRDefault="00E605B1">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b/>
                <w:bCs/>
                <w:color w:val="000000"/>
                <w:sz w:val="20"/>
                <w:szCs w:val="20"/>
              </w:rPr>
            </w:pPr>
            <w:r w:rsidRPr="00731FE2">
              <w:rPr>
                <w:rFonts w:ascii="Times New Roman" w:eastAsia="Times New Roman" w:hAnsi="Times New Roman" w:cs="Times New Roman"/>
                <w:b/>
                <w:bCs/>
                <w:color w:val="000000"/>
                <w:sz w:val="20"/>
                <w:szCs w:val="20"/>
              </w:rPr>
              <w:t>Потребность к 2044</w:t>
            </w:r>
            <w:r w:rsidR="007935AB" w:rsidRPr="00731FE2">
              <w:rPr>
                <w:rFonts w:ascii="Times New Roman" w:eastAsia="Times New Roman" w:hAnsi="Times New Roman" w:cs="Times New Roman"/>
                <w:b/>
                <w:bCs/>
                <w:color w:val="000000"/>
                <w:sz w:val="20"/>
                <w:szCs w:val="20"/>
              </w:rPr>
              <w:t xml:space="preserve"> г.</w:t>
            </w:r>
          </w:p>
        </w:tc>
      </w:tr>
      <w:tr w:rsidR="00171AA8" w:rsidRPr="00731FE2" w14:paraId="4DF7426E" w14:textId="77777777" w:rsidTr="00E605B1">
        <w:trPr>
          <w:trHeight w:val="20"/>
        </w:trPr>
        <w:tc>
          <w:tcPr>
            <w:tcW w:w="1451"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24C7529A"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Вне медицинской организации</w:t>
            </w:r>
          </w:p>
        </w:tc>
        <w:tc>
          <w:tcPr>
            <w:tcW w:w="2792" w:type="dxa"/>
            <w:tcBorders>
              <w:top w:val="none" w:sz="4" w:space="0" w:color="000000"/>
              <w:left w:val="none" w:sz="4" w:space="0" w:color="000000"/>
              <w:bottom w:val="single" w:sz="8" w:space="0" w:color="000000"/>
              <w:right w:val="single" w:sz="8" w:space="0" w:color="000000"/>
            </w:tcBorders>
            <w:noWrap/>
            <w:tcMar>
              <w:top w:w="0" w:type="dxa"/>
              <w:left w:w="108" w:type="dxa"/>
              <w:bottom w:w="0" w:type="dxa"/>
              <w:right w:w="108" w:type="dxa"/>
            </w:tcMar>
            <w:vAlign w:val="center"/>
          </w:tcPr>
          <w:p w14:paraId="0DB8934C"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Станция скорой медицинской помощи</w:t>
            </w:r>
          </w:p>
        </w:tc>
        <w:tc>
          <w:tcPr>
            <w:tcW w:w="3905" w:type="dxa"/>
            <w:tcBorders>
              <w:top w:val="none" w:sz="4" w:space="0" w:color="000000"/>
              <w:left w:val="none" w:sz="4" w:space="0" w:color="000000"/>
              <w:bottom w:val="single" w:sz="8" w:space="0" w:color="000000"/>
              <w:right w:val="single" w:sz="8" w:space="0" w:color="000000"/>
            </w:tcBorders>
            <w:noWrap/>
            <w:tcMar>
              <w:top w:w="0" w:type="dxa"/>
              <w:left w:w="108" w:type="dxa"/>
              <w:bottom w:w="0" w:type="dxa"/>
              <w:right w:w="108" w:type="dxa"/>
            </w:tcMar>
            <w:vAlign w:val="center"/>
          </w:tcPr>
          <w:p w14:paraId="7CF78AAB"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скорая, в том числе скорая специализированная, медицинская помощь</w:t>
            </w:r>
          </w:p>
        </w:tc>
        <w:tc>
          <w:tcPr>
            <w:tcW w:w="2048" w:type="dxa"/>
            <w:tcBorders>
              <w:top w:val="none" w:sz="4" w:space="0" w:color="000000"/>
              <w:left w:val="none" w:sz="4" w:space="0" w:color="000000"/>
              <w:bottom w:val="single" w:sz="8" w:space="0" w:color="000000"/>
              <w:right w:val="single" w:sz="8" w:space="0" w:color="000000"/>
            </w:tcBorders>
            <w:noWrap/>
            <w:tcMar>
              <w:top w:w="0" w:type="dxa"/>
              <w:left w:w="108" w:type="dxa"/>
              <w:bottom w:w="0" w:type="dxa"/>
              <w:right w:w="108" w:type="dxa"/>
            </w:tcMar>
            <w:vAlign w:val="center"/>
          </w:tcPr>
          <w:p w14:paraId="3F8FCDF0" w14:textId="77777777" w:rsidR="00171AA8" w:rsidRPr="00731FE2" w:rsidRDefault="007935AB" w:rsidP="0058161E">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экстренная; неотложная</w:t>
            </w:r>
          </w:p>
        </w:tc>
        <w:tc>
          <w:tcPr>
            <w:tcW w:w="2268" w:type="dxa"/>
            <w:tcBorders>
              <w:top w:val="none" w:sz="4" w:space="0" w:color="000000"/>
              <w:left w:val="none" w:sz="4" w:space="0" w:color="000000"/>
              <w:bottom w:val="single" w:sz="8" w:space="0" w:color="000000"/>
              <w:right w:val="single" w:sz="8" w:space="0" w:color="000000"/>
            </w:tcBorders>
            <w:noWrap/>
            <w:tcMar>
              <w:top w:w="0" w:type="dxa"/>
              <w:left w:w="108" w:type="dxa"/>
              <w:bottom w:w="0" w:type="dxa"/>
              <w:right w:w="108" w:type="dxa"/>
            </w:tcMar>
            <w:vAlign w:val="center"/>
          </w:tcPr>
          <w:p w14:paraId="0ADC47EF"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1 свыше 50 тыс. человек</w:t>
            </w:r>
          </w:p>
        </w:tc>
        <w:tc>
          <w:tcPr>
            <w:tcW w:w="1985" w:type="dxa"/>
            <w:tcBorders>
              <w:top w:val="none" w:sz="4" w:space="0" w:color="000000"/>
              <w:left w:val="none" w:sz="4" w:space="0" w:color="000000"/>
              <w:bottom w:val="single" w:sz="8" w:space="0" w:color="000000"/>
              <w:right w:val="single" w:sz="8" w:space="0" w:color="000000"/>
            </w:tcBorders>
            <w:noWrap/>
            <w:tcMar>
              <w:top w:w="0" w:type="dxa"/>
              <w:left w:w="108" w:type="dxa"/>
              <w:bottom w:w="0" w:type="dxa"/>
              <w:right w:w="108" w:type="dxa"/>
            </w:tcMar>
            <w:vAlign w:val="center"/>
          </w:tcPr>
          <w:p w14:paraId="3FC043D6"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7</w:t>
            </w:r>
          </w:p>
        </w:tc>
      </w:tr>
      <w:tr w:rsidR="00171AA8" w:rsidRPr="00731FE2" w14:paraId="1E2544C9" w14:textId="77777777" w:rsidTr="00E605B1">
        <w:trPr>
          <w:trHeight w:val="20"/>
        </w:trPr>
        <w:tc>
          <w:tcPr>
            <w:tcW w:w="1451" w:type="dxa"/>
            <w:vMerge w:val="restart"/>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21BC6010"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В амбулаторных условиях, в условиях дневного стационара</w:t>
            </w:r>
          </w:p>
        </w:tc>
        <w:tc>
          <w:tcPr>
            <w:tcW w:w="2792" w:type="dxa"/>
            <w:tcBorders>
              <w:top w:val="none" w:sz="4" w:space="0" w:color="000000"/>
              <w:left w:val="none" w:sz="4" w:space="0" w:color="000000"/>
              <w:bottom w:val="single" w:sz="8" w:space="0" w:color="000000"/>
              <w:right w:val="single" w:sz="8" w:space="0" w:color="000000"/>
            </w:tcBorders>
            <w:noWrap/>
            <w:tcMar>
              <w:top w:w="0" w:type="dxa"/>
              <w:left w:w="108" w:type="dxa"/>
              <w:bottom w:w="0" w:type="dxa"/>
              <w:right w:w="108" w:type="dxa"/>
            </w:tcMar>
            <w:vAlign w:val="center"/>
          </w:tcPr>
          <w:p w14:paraId="52BE0114"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Поликлиника</w:t>
            </w:r>
          </w:p>
        </w:tc>
        <w:tc>
          <w:tcPr>
            <w:tcW w:w="3905" w:type="dxa"/>
            <w:tcBorders>
              <w:top w:val="none" w:sz="4" w:space="0" w:color="000000"/>
              <w:left w:val="none" w:sz="4" w:space="0" w:color="000000"/>
              <w:bottom w:val="single" w:sz="8" w:space="0" w:color="000000"/>
              <w:right w:val="single" w:sz="8" w:space="0" w:color="000000"/>
            </w:tcBorders>
            <w:noWrap/>
            <w:tcMar>
              <w:top w:w="0" w:type="dxa"/>
              <w:left w:w="108" w:type="dxa"/>
              <w:bottom w:w="0" w:type="dxa"/>
              <w:right w:w="108" w:type="dxa"/>
            </w:tcMar>
            <w:vAlign w:val="center"/>
          </w:tcPr>
          <w:p w14:paraId="5E3C501A" w14:textId="77777777" w:rsidR="00171AA8" w:rsidRPr="00731FE2" w:rsidRDefault="007935AB" w:rsidP="00E605B1">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первичная врачебная медико-санитарная помощь; первичная специализированная медико-санитарная помощь</w:t>
            </w:r>
          </w:p>
        </w:tc>
        <w:tc>
          <w:tcPr>
            <w:tcW w:w="2048" w:type="dxa"/>
            <w:tcBorders>
              <w:top w:val="none" w:sz="4" w:space="0" w:color="000000"/>
              <w:left w:val="none" w:sz="4" w:space="0" w:color="000000"/>
              <w:bottom w:val="single" w:sz="8" w:space="0" w:color="000000"/>
              <w:right w:val="single" w:sz="8" w:space="0" w:color="000000"/>
            </w:tcBorders>
            <w:noWrap/>
            <w:tcMar>
              <w:top w:w="0" w:type="dxa"/>
              <w:left w:w="108" w:type="dxa"/>
              <w:bottom w:w="0" w:type="dxa"/>
              <w:right w:w="108" w:type="dxa"/>
            </w:tcMar>
            <w:vAlign w:val="center"/>
          </w:tcPr>
          <w:p w14:paraId="4AD9EE9B" w14:textId="77777777" w:rsidR="00171AA8" w:rsidRPr="00731FE2" w:rsidRDefault="007935AB" w:rsidP="00E605B1">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плановая; неотложная</w:t>
            </w:r>
          </w:p>
        </w:tc>
        <w:tc>
          <w:tcPr>
            <w:tcW w:w="2268" w:type="dxa"/>
            <w:tcBorders>
              <w:top w:val="none" w:sz="4" w:space="0" w:color="000000"/>
              <w:left w:val="none" w:sz="4" w:space="0" w:color="000000"/>
              <w:bottom w:val="single" w:sz="8" w:space="0" w:color="000000"/>
              <w:right w:val="single" w:sz="8" w:space="0" w:color="000000"/>
            </w:tcBorders>
            <w:noWrap/>
            <w:tcMar>
              <w:top w:w="0" w:type="dxa"/>
              <w:left w:w="108" w:type="dxa"/>
              <w:bottom w:w="0" w:type="dxa"/>
              <w:right w:w="108" w:type="dxa"/>
            </w:tcMar>
            <w:vAlign w:val="center"/>
          </w:tcPr>
          <w:p w14:paraId="25A37F23"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1 на 20-50 тыс. человек</w:t>
            </w:r>
          </w:p>
        </w:tc>
        <w:tc>
          <w:tcPr>
            <w:tcW w:w="1985" w:type="dxa"/>
            <w:tcBorders>
              <w:top w:val="none" w:sz="4" w:space="0" w:color="000000"/>
              <w:left w:val="none" w:sz="4" w:space="0" w:color="000000"/>
              <w:bottom w:val="single" w:sz="8" w:space="0" w:color="000000"/>
              <w:right w:val="single" w:sz="8" w:space="0" w:color="000000"/>
            </w:tcBorders>
            <w:noWrap/>
            <w:tcMar>
              <w:top w:w="0" w:type="dxa"/>
              <w:left w:w="108" w:type="dxa"/>
              <w:bottom w:w="0" w:type="dxa"/>
              <w:right w:w="108" w:type="dxa"/>
            </w:tcMar>
            <w:vAlign w:val="center"/>
          </w:tcPr>
          <w:p w14:paraId="0C51187E"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8</w:t>
            </w:r>
          </w:p>
        </w:tc>
      </w:tr>
      <w:tr w:rsidR="00171AA8" w:rsidRPr="00731FE2" w14:paraId="13EAEF59" w14:textId="77777777" w:rsidTr="00E605B1">
        <w:trPr>
          <w:trHeight w:val="20"/>
        </w:trPr>
        <w:tc>
          <w:tcPr>
            <w:tcW w:w="0" w:type="auto"/>
            <w:vMerge/>
            <w:tcBorders>
              <w:top w:val="none" w:sz="4" w:space="0" w:color="000000"/>
              <w:left w:val="single" w:sz="8" w:space="0" w:color="000000"/>
              <w:bottom w:val="single" w:sz="8" w:space="0" w:color="000000"/>
              <w:right w:val="single" w:sz="8" w:space="0" w:color="000000"/>
            </w:tcBorders>
          </w:tcPr>
          <w:p w14:paraId="16CC908A" w14:textId="77777777" w:rsidR="00171AA8" w:rsidRPr="00731FE2" w:rsidRDefault="00171AA8">
            <w:pPr>
              <w:rPr>
                <w:rFonts w:ascii="Times New Roman" w:hAnsi="Times New Roman" w:cs="Times New Roman"/>
                <w:sz w:val="20"/>
                <w:szCs w:val="20"/>
              </w:rPr>
            </w:pPr>
          </w:p>
        </w:tc>
        <w:tc>
          <w:tcPr>
            <w:tcW w:w="2792" w:type="dxa"/>
            <w:tcBorders>
              <w:top w:val="none" w:sz="4" w:space="0" w:color="000000"/>
              <w:left w:val="none" w:sz="4" w:space="0" w:color="000000"/>
              <w:bottom w:val="single" w:sz="8" w:space="0" w:color="000000"/>
              <w:right w:val="single" w:sz="8" w:space="0" w:color="000000"/>
            </w:tcBorders>
            <w:noWrap/>
            <w:tcMar>
              <w:top w:w="0" w:type="dxa"/>
              <w:left w:w="108" w:type="dxa"/>
              <w:bottom w:w="0" w:type="dxa"/>
              <w:right w:w="108" w:type="dxa"/>
            </w:tcMar>
            <w:vAlign w:val="center"/>
          </w:tcPr>
          <w:p w14:paraId="40D1B67B"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Детская поликлиника</w:t>
            </w:r>
          </w:p>
        </w:tc>
        <w:tc>
          <w:tcPr>
            <w:tcW w:w="3905" w:type="dxa"/>
            <w:tcBorders>
              <w:top w:val="none" w:sz="4" w:space="0" w:color="000000"/>
              <w:left w:val="none" w:sz="4" w:space="0" w:color="000000"/>
              <w:bottom w:val="single" w:sz="8" w:space="0" w:color="000000"/>
              <w:right w:val="single" w:sz="8" w:space="0" w:color="000000"/>
            </w:tcBorders>
            <w:noWrap/>
            <w:tcMar>
              <w:top w:w="0" w:type="dxa"/>
              <w:left w:w="108" w:type="dxa"/>
              <w:bottom w:w="0" w:type="dxa"/>
              <w:right w:w="108" w:type="dxa"/>
            </w:tcMar>
            <w:vAlign w:val="center"/>
          </w:tcPr>
          <w:p w14:paraId="485256F0" w14:textId="77777777" w:rsidR="00171AA8" w:rsidRPr="00731FE2" w:rsidRDefault="007935AB" w:rsidP="00E605B1">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первичная врачебная медико-санитарная помощь; первичная специализированная медико-санитарная помощь</w:t>
            </w:r>
          </w:p>
        </w:tc>
        <w:tc>
          <w:tcPr>
            <w:tcW w:w="2048" w:type="dxa"/>
            <w:tcBorders>
              <w:top w:val="none" w:sz="4" w:space="0" w:color="000000"/>
              <w:left w:val="none" w:sz="4" w:space="0" w:color="000000"/>
              <w:bottom w:val="single" w:sz="8" w:space="0" w:color="000000"/>
              <w:right w:val="single" w:sz="8" w:space="0" w:color="000000"/>
            </w:tcBorders>
            <w:noWrap/>
            <w:tcMar>
              <w:top w:w="0" w:type="dxa"/>
              <w:left w:w="108" w:type="dxa"/>
              <w:bottom w:w="0" w:type="dxa"/>
              <w:right w:w="108" w:type="dxa"/>
            </w:tcMar>
            <w:vAlign w:val="center"/>
          </w:tcPr>
          <w:p w14:paraId="19DE0F41" w14:textId="77777777" w:rsidR="00171AA8" w:rsidRPr="00731FE2" w:rsidRDefault="007935AB" w:rsidP="00E605B1">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плановая; неотложная</w:t>
            </w:r>
          </w:p>
        </w:tc>
        <w:tc>
          <w:tcPr>
            <w:tcW w:w="2268" w:type="dxa"/>
            <w:tcBorders>
              <w:top w:val="none" w:sz="4" w:space="0" w:color="000000"/>
              <w:left w:val="none" w:sz="4" w:space="0" w:color="000000"/>
              <w:bottom w:val="single" w:sz="8" w:space="0" w:color="000000"/>
              <w:right w:val="single" w:sz="8" w:space="0" w:color="000000"/>
            </w:tcBorders>
            <w:noWrap/>
            <w:tcMar>
              <w:top w:w="0" w:type="dxa"/>
              <w:left w:w="108" w:type="dxa"/>
              <w:bottom w:w="0" w:type="dxa"/>
              <w:right w:w="108" w:type="dxa"/>
            </w:tcMar>
            <w:vAlign w:val="center"/>
          </w:tcPr>
          <w:p w14:paraId="76FBF0D3"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1 на 10-30 тыс. детей</w:t>
            </w:r>
          </w:p>
        </w:tc>
        <w:tc>
          <w:tcPr>
            <w:tcW w:w="1985" w:type="dxa"/>
            <w:tcBorders>
              <w:top w:val="none" w:sz="4" w:space="0" w:color="000000"/>
              <w:left w:val="none" w:sz="4" w:space="0" w:color="000000"/>
              <w:bottom w:val="single" w:sz="8" w:space="0" w:color="000000"/>
              <w:right w:val="single" w:sz="8" w:space="0" w:color="000000"/>
            </w:tcBorders>
            <w:noWrap/>
            <w:tcMar>
              <w:top w:w="0" w:type="dxa"/>
              <w:left w:w="108" w:type="dxa"/>
              <w:bottom w:w="0" w:type="dxa"/>
              <w:right w:w="108" w:type="dxa"/>
            </w:tcMar>
            <w:vAlign w:val="center"/>
          </w:tcPr>
          <w:p w14:paraId="3A52C20B"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4</w:t>
            </w:r>
          </w:p>
        </w:tc>
      </w:tr>
      <w:tr w:rsidR="00171AA8" w:rsidRPr="00731FE2" w14:paraId="12038EC5" w14:textId="77777777" w:rsidTr="00E605B1">
        <w:trPr>
          <w:trHeight w:val="20"/>
        </w:trPr>
        <w:tc>
          <w:tcPr>
            <w:tcW w:w="0" w:type="auto"/>
            <w:vMerge/>
            <w:tcBorders>
              <w:top w:val="none" w:sz="4" w:space="0" w:color="000000"/>
              <w:left w:val="single" w:sz="8" w:space="0" w:color="000000"/>
              <w:bottom w:val="single" w:sz="8" w:space="0" w:color="000000"/>
              <w:right w:val="single" w:sz="8" w:space="0" w:color="000000"/>
            </w:tcBorders>
          </w:tcPr>
          <w:p w14:paraId="36ECEA85" w14:textId="77777777" w:rsidR="00171AA8" w:rsidRPr="00731FE2" w:rsidRDefault="00171AA8">
            <w:pPr>
              <w:rPr>
                <w:rFonts w:ascii="Times New Roman" w:hAnsi="Times New Roman" w:cs="Times New Roman"/>
                <w:sz w:val="20"/>
                <w:szCs w:val="20"/>
              </w:rPr>
            </w:pPr>
          </w:p>
        </w:tc>
        <w:tc>
          <w:tcPr>
            <w:tcW w:w="2792" w:type="dxa"/>
            <w:tcBorders>
              <w:top w:val="none" w:sz="4" w:space="0" w:color="000000"/>
              <w:left w:val="none" w:sz="4" w:space="0" w:color="000000"/>
              <w:bottom w:val="single" w:sz="8" w:space="0" w:color="000000"/>
              <w:right w:val="single" w:sz="8" w:space="0" w:color="000000"/>
            </w:tcBorders>
            <w:noWrap/>
            <w:tcMar>
              <w:top w:w="0" w:type="dxa"/>
              <w:left w:w="108" w:type="dxa"/>
              <w:bottom w:w="0" w:type="dxa"/>
              <w:right w:w="108" w:type="dxa"/>
            </w:tcMar>
            <w:vAlign w:val="center"/>
          </w:tcPr>
          <w:p w14:paraId="39EDCB35"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Центр консультативно-диагностический (поликлиника консультативно-диагностическая)</w:t>
            </w:r>
          </w:p>
        </w:tc>
        <w:tc>
          <w:tcPr>
            <w:tcW w:w="3905" w:type="dxa"/>
            <w:tcBorders>
              <w:top w:val="none" w:sz="4" w:space="0" w:color="000000"/>
              <w:left w:val="none" w:sz="4" w:space="0" w:color="000000"/>
              <w:bottom w:val="single" w:sz="8" w:space="0" w:color="000000"/>
              <w:right w:val="single" w:sz="8" w:space="0" w:color="000000"/>
            </w:tcBorders>
            <w:noWrap/>
            <w:tcMar>
              <w:top w:w="0" w:type="dxa"/>
              <w:left w:w="108" w:type="dxa"/>
              <w:bottom w:w="0" w:type="dxa"/>
              <w:right w:w="108" w:type="dxa"/>
            </w:tcMar>
            <w:vAlign w:val="center"/>
          </w:tcPr>
          <w:p w14:paraId="72997064" w14:textId="77777777" w:rsidR="00171AA8" w:rsidRPr="00731FE2" w:rsidRDefault="007935AB" w:rsidP="00E605B1">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первичная специализированная медико-санитарная помощь; специализированная медицинская помощь</w:t>
            </w:r>
          </w:p>
        </w:tc>
        <w:tc>
          <w:tcPr>
            <w:tcW w:w="2048" w:type="dxa"/>
            <w:tcBorders>
              <w:top w:val="none" w:sz="4" w:space="0" w:color="000000"/>
              <w:left w:val="none" w:sz="4" w:space="0" w:color="000000"/>
              <w:bottom w:val="single" w:sz="8" w:space="0" w:color="000000"/>
              <w:right w:val="single" w:sz="8" w:space="0" w:color="000000"/>
            </w:tcBorders>
            <w:noWrap/>
            <w:tcMar>
              <w:top w:w="0" w:type="dxa"/>
              <w:left w:w="108" w:type="dxa"/>
              <w:bottom w:w="0" w:type="dxa"/>
              <w:right w:w="108" w:type="dxa"/>
            </w:tcMar>
            <w:vAlign w:val="center"/>
          </w:tcPr>
          <w:p w14:paraId="037998C1" w14:textId="77777777" w:rsidR="00171AA8" w:rsidRPr="00731FE2" w:rsidRDefault="007935AB" w:rsidP="00E605B1">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плановая; неотложная</w:t>
            </w:r>
          </w:p>
        </w:tc>
        <w:tc>
          <w:tcPr>
            <w:tcW w:w="2268" w:type="dxa"/>
            <w:tcBorders>
              <w:top w:val="none" w:sz="4" w:space="0" w:color="000000"/>
              <w:left w:val="none" w:sz="4" w:space="0" w:color="000000"/>
              <w:bottom w:val="single" w:sz="8" w:space="0" w:color="000000"/>
              <w:right w:val="single" w:sz="8" w:space="0" w:color="000000"/>
            </w:tcBorders>
            <w:noWrap/>
            <w:tcMar>
              <w:top w:w="0" w:type="dxa"/>
              <w:left w:w="108" w:type="dxa"/>
              <w:bottom w:w="0" w:type="dxa"/>
              <w:right w:w="108" w:type="dxa"/>
            </w:tcMar>
            <w:vAlign w:val="center"/>
          </w:tcPr>
          <w:p w14:paraId="6AE5D14B"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1 на 250 тыс. человек</w:t>
            </w:r>
          </w:p>
        </w:tc>
        <w:tc>
          <w:tcPr>
            <w:tcW w:w="1985" w:type="dxa"/>
            <w:tcBorders>
              <w:top w:val="none" w:sz="4" w:space="0" w:color="000000"/>
              <w:left w:val="none" w:sz="4" w:space="0" w:color="000000"/>
              <w:bottom w:val="single" w:sz="8" w:space="0" w:color="000000"/>
              <w:right w:val="single" w:sz="8" w:space="0" w:color="000000"/>
            </w:tcBorders>
            <w:noWrap/>
            <w:tcMar>
              <w:top w:w="0" w:type="dxa"/>
              <w:left w:w="108" w:type="dxa"/>
              <w:bottom w:w="0" w:type="dxa"/>
              <w:right w:w="108" w:type="dxa"/>
            </w:tcMar>
            <w:vAlign w:val="center"/>
          </w:tcPr>
          <w:p w14:paraId="0D9B1865"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2</w:t>
            </w:r>
          </w:p>
        </w:tc>
      </w:tr>
      <w:tr w:rsidR="00171AA8" w:rsidRPr="00731FE2" w14:paraId="3E178365" w14:textId="77777777" w:rsidTr="00E605B1">
        <w:trPr>
          <w:trHeight w:val="20"/>
        </w:trPr>
        <w:tc>
          <w:tcPr>
            <w:tcW w:w="0" w:type="auto"/>
            <w:vMerge/>
            <w:tcBorders>
              <w:top w:val="none" w:sz="4" w:space="0" w:color="000000"/>
              <w:left w:val="single" w:sz="8" w:space="0" w:color="000000"/>
              <w:bottom w:val="single" w:sz="8" w:space="0" w:color="000000"/>
              <w:right w:val="single" w:sz="8" w:space="0" w:color="000000"/>
            </w:tcBorders>
          </w:tcPr>
          <w:p w14:paraId="2D88D843" w14:textId="77777777" w:rsidR="00171AA8" w:rsidRPr="00731FE2" w:rsidRDefault="00171AA8">
            <w:pPr>
              <w:rPr>
                <w:rFonts w:ascii="Times New Roman" w:hAnsi="Times New Roman" w:cs="Times New Roman"/>
                <w:sz w:val="20"/>
                <w:szCs w:val="20"/>
              </w:rPr>
            </w:pPr>
          </w:p>
        </w:tc>
        <w:tc>
          <w:tcPr>
            <w:tcW w:w="2792" w:type="dxa"/>
            <w:tcBorders>
              <w:top w:val="none" w:sz="4" w:space="0" w:color="000000"/>
              <w:left w:val="none" w:sz="4" w:space="0" w:color="000000"/>
              <w:bottom w:val="single" w:sz="8" w:space="0" w:color="000000"/>
              <w:right w:val="single" w:sz="8" w:space="0" w:color="000000"/>
            </w:tcBorders>
            <w:noWrap/>
            <w:tcMar>
              <w:top w:w="0" w:type="dxa"/>
              <w:left w:w="108" w:type="dxa"/>
              <w:bottom w:w="0" w:type="dxa"/>
              <w:right w:w="108" w:type="dxa"/>
            </w:tcMar>
            <w:vAlign w:val="center"/>
          </w:tcPr>
          <w:p w14:paraId="75DD3AC2"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Центр консультативно-диагностический детский (поликлиника консультативно-диагностическая детская)</w:t>
            </w:r>
          </w:p>
        </w:tc>
        <w:tc>
          <w:tcPr>
            <w:tcW w:w="3905" w:type="dxa"/>
            <w:tcBorders>
              <w:top w:val="none" w:sz="4" w:space="0" w:color="000000"/>
              <w:left w:val="none" w:sz="4" w:space="0" w:color="000000"/>
              <w:bottom w:val="single" w:sz="8" w:space="0" w:color="000000"/>
              <w:right w:val="single" w:sz="8" w:space="0" w:color="000000"/>
            </w:tcBorders>
            <w:noWrap/>
            <w:tcMar>
              <w:top w:w="0" w:type="dxa"/>
              <w:left w:w="108" w:type="dxa"/>
              <w:bottom w:w="0" w:type="dxa"/>
              <w:right w:w="108" w:type="dxa"/>
            </w:tcMar>
            <w:vAlign w:val="center"/>
          </w:tcPr>
          <w:p w14:paraId="43241C10" w14:textId="77777777" w:rsidR="00171AA8" w:rsidRPr="00731FE2" w:rsidRDefault="007935AB" w:rsidP="00E605B1">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первичная специализированная медико-санитарная помощь; специализированная медицинская помощь</w:t>
            </w:r>
          </w:p>
        </w:tc>
        <w:tc>
          <w:tcPr>
            <w:tcW w:w="2048" w:type="dxa"/>
            <w:tcBorders>
              <w:top w:val="none" w:sz="4" w:space="0" w:color="000000"/>
              <w:left w:val="none" w:sz="4" w:space="0" w:color="000000"/>
              <w:bottom w:val="single" w:sz="8" w:space="0" w:color="000000"/>
              <w:right w:val="single" w:sz="8" w:space="0" w:color="000000"/>
            </w:tcBorders>
            <w:noWrap/>
            <w:tcMar>
              <w:top w:w="0" w:type="dxa"/>
              <w:left w:w="108" w:type="dxa"/>
              <w:bottom w:w="0" w:type="dxa"/>
              <w:right w:w="108" w:type="dxa"/>
            </w:tcMar>
            <w:vAlign w:val="center"/>
          </w:tcPr>
          <w:p w14:paraId="5B5567C1" w14:textId="77777777" w:rsidR="00171AA8" w:rsidRPr="00731FE2" w:rsidRDefault="007935AB" w:rsidP="00E605B1">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плановая; неотложная</w:t>
            </w:r>
          </w:p>
        </w:tc>
        <w:tc>
          <w:tcPr>
            <w:tcW w:w="2268" w:type="dxa"/>
            <w:tcBorders>
              <w:top w:val="none" w:sz="4" w:space="0" w:color="000000"/>
              <w:left w:val="none" w:sz="4" w:space="0" w:color="000000"/>
              <w:bottom w:val="single" w:sz="8" w:space="0" w:color="000000"/>
              <w:right w:val="single" w:sz="8" w:space="0" w:color="000000"/>
            </w:tcBorders>
            <w:noWrap/>
            <w:tcMar>
              <w:top w:w="0" w:type="dxa"/>
              <w:left w:w="108" w:type="dxa"/>
              <w:bottom w:w="0" w:type="dxa"/>
              <w:right w:w="108" w:type="dxa"/>
            </w:tcMar>
            <w:vAlign w:val="center"/>
          </w:tcPr>
          <w:p w14:paraId="767A3E10"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1 на 100 тыс. детей</w:t>
            </w:r>
          </w:p>
        </w:tc>
        <w:tc>
          <w:tcPr>
            <w:tcW w:w="1985" w:type="dxa"/>
            <w:tcBorders>
              <w:top w:val="none" w:sz="4" w:space="0" w:color="000000"/>
              <w:left w:val="none" w:sz="4" w:space="0" w:color="000000"/>
              <w:bottom w:val="single" w:sz="8" w:space="0" w:color="000000"/>
              <w:right w:val="single" w:sz="8" w:space="0" w:color="000000"/>
            </w:tcBorders>
            <w:noWrap/>
            <w:tcMar>
              <w:top w:w="0" w:type="dxa"/>
              <w:left w:w="108" w:type="dxa"/>
              <w:bottom w:w="0" w:type="dxa"/>
              <w:right w:w="108" w:type="dxa"/>
            </w:tcMar>
            <w:vAlign w:val="center"/>
          </w:tcPr>
          <w:p w14:paraId="4AABDBAE"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1</w:t>
            </w:r>
          </w:p>
        </w:tc>
      </w:tr>
      <w:tr w:rsidR="00171AA8" w:rsidRPr="00731FE2" w14:paraId="0F3E306C" w14:textId="77777777" w:rsidTr="00E605B1">
        <w:trPr>
          <w:trHeight w:val="20"/>
        </w:trPr>
        <w:tc>
          <w:tcPr>
            <w:tcW w:w="0" w:type="auto"/>
            <w:vMerge/>
            <w:tcBorders>
              <w:top w:val="none" w:sz="4" w:space="0" w:color="000000"/>
              <w:left w:val="single" w:sz="8" w:space="0" w:color="000000"/>
              <w:bottom w:val="single" w:sz="8" w:space="0" w:color="000000"/>
              <w:right w:val="single" w:sz="8" w:space="0" w:color="000000"/>
            </w:tcBorders>
          </w:tcPr>
          <w:p w14:paraId="271883B9" w14:textId="77777777" w:rsidR="00171AA8" w:rsidRPr="00731FE2" w:rsidRDefault="00171AA8">
            <w:pPr>
              <w:rPr>
                <w:rFonts w:ascii="Times New Roman" w:hAnsi="Times New Roman" w:cs="Times New Roman"/>
                <w:sz w:val="20"/>
                <w:szCs w:val="20"/>
              </w:rPr>
            </w:pPr>
          </w:p>
        </w:tc>
        <w:tc>
          <w:tcPr>
            <w:tcW w:w="2792" w:type="dxa"/>
            <w:tcBorders>
              <w:top w:val="none" w:sz="4" w:space="0" w:color="000000"/>
              <w:left w:val="none" w:sz="4" w:space="0" w:color="000000"/>
              <w:bottom w:val="single" w:sz="8" w:space="0" w:color="000000"/>
              <w:right w:val="single" w:sz="8" w:space="0" w:color="000000"/>
            </w:tcBorders>
            <w:noWrap/>
            <w:tcMar>
              <w:top w:w="0" w:type="dxa"/>
              <w:left w:w="108" w:type="dxa"/>
              <w:bottom w:w="0" w:type="dxa"/>
              <w:right w:w="108" w:type="dxa"/>
            </w:tcMar>
            <w:vAlign w:val="center"/>
          </w:tcPr>
          <w:p w14:paraId="7282155D"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Поликлиника стоматологическая</w:t>
            </w:r>
          </w:p>
        </w:tc>
        <w:tc>
          <w:tcPr>
            <w:tcW w:w="3905" w:type="dxa"/>
            <w:tcBorders>
              <w:top w:val="none" w:sz="4" w:space="0" w:color="000000"/>
              <w:left w:val="none" w:sz="4" w:space="0" w:color="000000"/>
              <w:bottom w:val="single" w:sz="8" w:space="0" w:color="000000"/>
              <w:right w:val="single" w:sz="8" w:space="0" w:color="000000"/>
            </w:tcBorders>
            <w:noWrap/>
            <w:tcMar>
              <w:top w:w="0" w:type="dxa"/>
              <w:left w:w="108" w:type="dxa"/>
              <w:bottom w:w="0" w:type="dxa"/>
              <w:right w:w="108" w:type="dxa"/>
            </w:tcMar>
            <w:vAlign w:val="center"/>
          </w:tcPr>
          <w:p w14:paraId="037A83BB" w14:textId="77777777" w:rsidR="00171AA8" w:rsidRPr="00731FE2" w:rsidRDefault="007935AB" w:rsidP="00E605B1">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первичная доврачебная медико-санитарная помощь; первичная специализированная медико-санитарная помощь</w:t>
            </w:r>
          </w:p>
        </w:tc>
        <w:tc>
          <w:tcPr>
            <w:tcW w:w="2048" w:type="dxa"/>
            <w:tcBorders>
              <w:top w:val="none" w:sz="4" w:space="0" w:color="000000"/>
              <w:left w:val="none" w:sz="4" w:space="0" w:color="000000"/>
              <w:bottom w:val="single" w:sz="8" w:space="0" w:color="000000"/>
              <w:right w:val="single" w:sz="8" w:space="0" w:color="000000"/>
            </w:tcBorders>
            <w:noWrap/>
            <w:tcMar>
              <w:top w:w="0" w:type="dxa"/>
              <w:left w:w="108" w:type="dxa"/>
              <w:bottom w:w="0" w:type="dxa"/>
              <w:right w:w="108" w:type="dxa"/>
            </w:tcMar>
            <w:vAlign w:val="center"/>
          </w:tcPr>
          <w:p w14:paraId="0E1C42A0" w14:textId="77777777" w:rsidR="00171AA8" w:rsidRPr="00731FE2" w:rsidRDefault="007935AB" w:rsidP="00E605B1">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плановая; неотложная</w:t>
            </w:r>
          </w:p>
        </w:tc>
        <w:tc>
          <w:tcPr>
            <w:tcW w:w="2268" w:type="dxa"/>
            <w:tcBorders>
              <w:top w:val="none" w:sz="4" w:space="0" w:color="000000"/>
              <w:left w:val="none" w:sz="4" w:space="0" w:color="000000"/>
              <w:bottom w:val="single" w:sz="8" w:space="0" w:color="000000"/>
              <w:right w:val="single" w:sz="8" w:space="0" w:color="000000"/>
            </w:tcBorders>
            <w:noWrap/>
            <w:tcMar>
              <w:top w:w="0" w:type="dxa"/>
              <w:left w:w="108" w:type="dxa"/>
              <w:bottom w:w="0" w:type="dxa"/>
              <w:right w:w="108" w:type="dxa"/>
            </w:tcMar>
            <w:vAlign w:val="center"/>
          </w:tcPr>
          <w:p w14:paraId="6D34B59C"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не менее 1 до 100 тыс. человек</w:t>
            </w:r>
          </w:p>
        </w:tc>
        <w:tc>
          <w:tcPr>
            <w:tcW w:w="1985" w:type="dxa"/>
            <w:tcBorders>
              <w:top w:val="none" w:sz="4" w:space="0" w:color="000000"/>
              <w:left w:val="none" w:sz="4" w:space="0" w:color="000000"/>
              <w:bottom w:val="single" w:sz="8" w:space="0" w:color="000000"/>
              <w:right w:val="single" w:sz="8" w:space="0" w:color="000000"/>
            </w:tcBorders>
            <w:noWrap/>
            <w:tcMar>
              <w:top w:w="0" w:type="dxa"/>
              <w:left w:w="108" w:type="dxa"/>
              <w:bottom w:w="0" w:type="dxa"/>
              <w:right w:w="108" w:type="dxa"/>
            </w:tcMar>
            <w:vAlign w:val="center"/>
          </w:tcPr>
          <w:p w14:paraId="1A281870"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1</w:t>
            </w:r>
          </w:p>
        </w:tc>
      </w:tr>
      <w:tr w:rsidR="00171AA8" w:rsidRPr="00731FE2" w14:paraId="78AC4519" w14:textId="77777777" w:rsidTr="00E605B1">
        <w:trPr>
          <w:trHeight w:val="20"/>
        </w:trPr>
        <w:tc>
          <w:tcPr>
            <w:tcW w:w="0" w:type="auto"/>
            <w:vMerge/>
            <w:tcBorders>
              <w:top w:val="none" w:sz="4" w:space="0" w:color="000000"/>
              <w:left w:val="single" w:sz="8" w:space="0" w:color="000000"/>
              <w:bottom w:val="single" w:sz="8" w:space="0" w:color="000000"/>
              <w:right w:val="single" w:sz="8" w:space="0" w:color="000000"/>
            </w:tcBorders>
          </w:tcPr>
          <w:p w14:paraId="5FD44765" w14:textId="77777777" w:rsidR="00171AA8" w:rsidRPr="00731FE2" w:rsidRDefault="00171AA8">
            <w:pPr>
              <w:rPr>
                <w:rFonts w:ascii="Times New Roman" w:hAnsi="Times New Roman" w:cs="Times New Roman"/>
                <w:sz w:val="20"/>
                <w:szCs w:val="20"/>
              </w:rPr>
            </w:pPr>
          </w:p>
        </w:tc>
        <w:tc>
          <w:tcPr>
            <w:tcW w:w="2792" w:type="dxa"/>
            <w:tcBorders>
              <w:top w:val="none" w:sz="4" w:space="0" w:color="000000"/>
              <w:left w:val="none" w:sz="4" w:space="0" w:color="000000"/>
              <w:bottom w:val="single" w:sz="8" w:space="0" w:color="000000"/>
              <w:right w:val="single" w:sz="8" w:space="0" w:color="000000"/>
            </w:tcBorders>
            <w:noWrap/>
            <w:tcMar>
              <w:top w:w="0" w:type="dxa"/>
              <w:left w:w="108" w:type="dxa"/>
              <w:bottom w:w="0" w:type="dxa"/>
              <w:right w:w="108" w:type="dxa"/>
            </w:tcMar>
            <w:vAlign w:val="center"/>
          </w:tcPr>
          <w:p w14:paraId="6DC3D551"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Детская стоматологическая поликлиника</w:t>
            </w:r>
          </w:p>
        </w:tc>
        <w:tc>
          <w:tcPr>
            <w:tcW w:w="3905" w:type="dxa"/>
            <w:tcBorders>
              <w:top w:val="none" w:sz="4" w:space="0" w:color="000000"/>
              <w:left w:val="none" w:sz="4" w:space="0" w:color="000000"/>
              <w:bottom w:val="single" w:sz="8" w:space="0" w:color="000000"/>
              <w:right w:val="single" w:sz="8" w:space="0" w:color="000000"/>
            </w:tcBorders>
            <w:noWrap/>
            <w:tcMar>
              <w:top w:w="0" w:type="dxa"/>
              <w:left w:w="108" w:type="dxa"/>
              <w:bottom w:w="0" w:type="dxa"/>
              <w:right w:w="108" w:type="dxa"/>
            </w:tcMar>
            <w:vAlign w:val="center"/>
          </w:tcPr>
          <w:p w14:paraId="0CDB6649" w14:textId="77777777" w:rsidR="00171AA8" w:rsidRPr="00731FE2" w:rsidRDefault="007935AB" w:rsidP="00E605B1">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первичная доврачебная медико-санитарная помощь; первичная специализированная медико-санитарная помощь</w:t>
            </w:r>
          </w:p>
        </w:tc>
        <w:tc>
          <w:tcPr>
            <w:tcW w:w="2048" w:type="dxa"/>
            <w:tcBorders>
              <w:top w:val="none" w:sz="4" w:space="0" w:color="000000"/>
              <w:left w:val="none" w:sz="4" w:space="0" w:color="000000"/>
              <w:bottom w:val="single" w:sz="8" w:space="0" w:color="000000"/>
              <w:right w:val="single" w:sz="8" w:space="0" w:color="000000"/>
            </w:tcBorders>
            <w:noWrap/>
            <w:tcMar>
              <w:top w:w="0" w:type="dxa"/>
              <w:left w:w="108" w:type="dxa"/>
              <w:bottom w:w="0" w:type="dxa"/>
              <w:right w:w="108" w:type="dxa"/>
            </w:tcMar>
            <w:vAlign w:val="center"/>
          </w:tcPr>
          <w:p w14:paraId="57EFBAB0" w14:textId="77777777" w:rsidR="00171AA8" w:rsidRPr="00731FE2" w:rsidRDefault="007935AB" w:rsidP="00E605B1">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плановая; неотложная</w:t>
            </w:r>
          </w:p>
        </w:tc>
        <w:tc>
          <w:tcPr>
            <w:tcW w:w="2268" w:type="dxa"/>
            <w:tcBorders>
              <w:top w:val="none" w:sz="4" w:space="0" w:color="000000"/>
              <w:left w:val="none" w:sz="4" w:space="0" w:color="000000"/>
              <w:bottom w:val="single" w:sz="8" w:space="0" w:color="000000"/>
              <w:right w:val="single" w:sz="8" w:space="0" w:color="000000"/>
            </w:tcBorders>
            <w:noWrap/>
            <w:tcMar>
              <w:top w:w="0" w:type="dxa"/>
              <w:left w:w="108" w:type="dxa"/>
              <w:bottom w:w="0" w:type="dxa"/>
              <w:right w:w="108" w:type="dxa"/>
            </w:tcMar>
            <w:vAlign w:val="center"/>
          </w:tcPr>
          <w:p w14:paraId="22D9C64F"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1 на 20-50 тыс. детей</w:t>
            </w:r>
          </w:p>
        </w:tc>
        <w:tc>
          <w:tcPr>
            <w:tcW w:w="1985" w:type="dxa"/>
            <w:tcBorders>
              <w:top w:val="none" w:sz="4" w:space="0" w:color="000000"/>
              <w:left w:val="none" w:sz="4" w:space="0" w:color="000000"/>
              <w:bottom w:val="single" w:sz="8" w:space="0" w:color="000000"/>
              <w:right w:val="single" w:sz="8" w:space="0" w:color="000000"/>
            </w:tcBorders>
            <w:noWrap/>
            <w:tcMar>
              <w:top w:w="0" w:type="dxa"/>
              <w:left w:w="108" w:type="dxa"/>
              <w:bottom w:w="0" w:type="dxa"/>
              <w:right w:w="108" w:type="dxa"/>
            </w:tcMar>
            <w:vAlign w:val="center"/>
          </w:tcPr>
          <w:p w14:paraId="17998C69"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3</w:t>
            </w:r>
          </w:p>
        </w:tc>
      </w:tr>
      <w:tr w:rsidR="00171AA8" w:rsidRPr="00731FE2" w14:paraId="66415AEF" w14:textId="77777777" w:rsidTr="00E605B1">
        <w:trPr>
          <w:trHeight w:val="20"/>
        </w:trPr>
        <w:tc>
          <w:tcPr>
            <w:tcW w:w="0" w:type="auto"/>
            <w:vMerge/>
            <w:tcBorders>
              <w:top w:val="none" w:sz="4" w:space="0" w:color="000000"/>
              <w:left w:val="single" w:sz="8" w:space="0" w:color="000000"/>
              <w:bottom w:val="single" w:sz="8" w:space="0" w:color="000000"/>
              <w:right w:val="single" w:sz="8" w:space="0" w:color="000000"/>
            </w:tcBorders>
          </w:tcPr>
          <w:p w14:paraId="03E3CFB0" w14:textId="77777777" w:rsidR="00171AA8" w:rsidRPr="00731FE2" w:rsidRDefault="00171AA8">
            <w:pPr>
              <w:rPr>
                <w:rFonts w:ascii="Times New Roman" w:hAnsi="Times New Roman" w:cs="Times New Roman"/>
                <w:sz w:val="20"/>
                <w:szCs w:val="20"/>
              </w:rPr>
            </w:pPr>
          </w:p>
        </w:tc>
        <w:tc>
          <w:tcPr>
            <w:tcW w:w="2792" w:type="dxa"/>
            <w:tcBorders>
              <w:top w:val="none" w:sz="4" w:space="0" w:color="000000"/>
              <w:left w:val="none" w:sz="4" w:space="0" w:color="000000"/>
              <w:bottom w:val="single" w:sz="8" w:space="0" w:color="000000"/>
              <w:right w:val="single" w:sz="8" w:space="0" w:color="000000"/>
            </w:tcBorders>
            <w:noWrap/>
            <w:tcMar>
              <w:top w:w="0" w:type="dxa"/>
              <w:left w:w="108" w:type="dxa"/>
              <w:bottom w:w="0" w:type="dxa"/>
              <w:right w:w="108" w:type="dxa"/>
            </w:tcMar>
            <w:vAlign w:val="center"/>
          </w:tcPr>
          <w:p w14:paraId="55A3534D"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Диспансер психоневрологический</w:t>
            </w:r>
          </w:p>
        </w:tc>
        <w:tc>
          <w:tcPr>
            <w:tcW w:w="3905" w:type="dxa"/>
            <w:tcBorders>
              <w:top w:val="none" w:sz="4" w:space="0" w:color="000000"/>
              <w:left w:val="none" w:sz="4" w:space="0" w:color="000000"/>
              <w:bottom w:val="single" w:sz="8" w:space="0" w:color="000000"/>
              <w:right w:val="single" w:sz="8" w:space="0" w:color="000000"/>
            </w:tcBorders>
            <w:noWrap/>
            <w:tcMar>
              <w:top w:w="0" w:type="dxa"/>
              <w:left w:w="108" w:type="dxa"/>
              <w:bottom w:w="0" w:type="dxa"/>
              <w:right w:w="108" w:type="dxa"/>
            </w:tcMar>
            <w:vAlign w:val="center"/>
          </w:tcPr>
          <w:p w14:paraId="75BF8BEF" w14:textId="77777777" w:rsidR="00171AA8" w:rsidRPr="00731FE2" w:rsidRDefault="007935AB" w:rsidP="00E605B1">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первичная специализированная медико-санитарная помощь; специализированная медицинская помощь</w:t>
            </w:r>
          </w:p>
        </w:tc>
        <w:tc>
          <w:tcPr>
            <w:tcW w:w="2048" w:type="dxa"/>
            <w:tcBorders>
              <w:top w:val="none" w:sz="4" w:space="0" w:color="000000"/>
              <w:left w:val="none" w:sz="4" w:space="0" w:color="000000"/>
              <w:bottom w:val="single" w:sz="8" w:space="0" w:color="000000"/>
              <w:right w:val="single" w:sz="8" w:space="0" w:color="000000"/>
            </w:tcBorders>
            <w:noWrap/>
            <w:tcMar>
              <w:top w:w="0" w:type="dxa"/>
              <w:left w:w="108" w:type="dxa"/>
              <w:bottom w:w="0" w:type="dxa"/>
              <w:right w:w="108" w:type="dxa"/>
            </w:tcMar>
            <w:vAlign w:val="center"/>
          </w:tcPr>
          <w:p w14:paraId="50683D4B" w14:textId="77777777" w:rsidR="00171AA8" w:rsidRPr="00731FE2" w:rsidRDefault="007935AB" w:rsidP="00E605B1">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плановая; неотложная; экстренная</w:t>
            </w:r>
          </w:p>
        </w:tc>
        <w:tc>
          <w:tcPr>
            <w:tcW w:w="2268" w:type="dxa"/>
            <w:tcBorders>
              <w:top w:val="none" w:sz="4" w:space="0" w:color="000000"/>
              <w:left w:val="none" w:sz="4" w:space="0" w:color="000000"/>
              <w:bottom w:val="single" w:sz="8" w:space="0" w:color="000000"/>
              <w:right w:val="single" w:sz="8" w:space="0" w:color="000000"/>
            </w:tcBorders>
            <w:noWrap/>
            <w:tcMar>
              <w:top w:w="0" w:type="dxa"/>
              <w:left w:w="108" w:type="dxa"/>
              <w:bottom w:w="0" w:type="dxa"/>
              <w:right w:w="108" w:type="dxa"/>
            </w:tcMar>
            <w:vAlign w:val="center"/>
          </w:tcPr>
          <w:p w14:paraId="4A044E9F"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не менее 1 на субъект РФ</w:t>
            </w:r>
          </w:p>
        </w:tc>
        <w:tc>
          <w:tcPr>
            <w:tcW w:w="1985" w:type="dxa"/>
            <w:tcBorders>
              <w:top w:val="none" w:sz="4" w:space="0" w:color="000000"/>
              <w:left w:val="none" w:sz="4" w:space="0" w:color="000000"/>
              <w:bottom w:val="single" w:sz="8" w:space="0" w:color="000000"/>
              <w:right w:val="single" w:sz="8" w:space="0" w:color="000000"/>
            </w:tcBorders>
            <w:noWrap/>
            <w:tcMar>
              <w:top w:w="0" w:type="dxa"/>
              <w:left w:w="108" w:type="dxa"/>
              <w:bottom w:w="0" w:type="dxa"/>
              <w:right w:w="108" w:type="dxa"/>
            </w:tcMar>
            <w:vAlign w:val="center"/>
          </w:tcPr>
          <w:p w14:paraId="22490494"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1</w:t>
            </w:r>
          </w:p>
        </w:tc>
      </w:tr>
      <w:tr w:rsidR="00171AA8" w:rsidRPr="00731FE2" w14:paraId="42E55AE3" w14:textId="77777777" w:rsidTr="00E605B1">
        <w:trPr>
          <w:trHeight w:val="20"/>
        </w:trPr>
        <w:tc>
          <w:tcPr>
            <w:tcW w:w="1451" w:type="dxa"/>
            <w:vMerge w:val="restart"/>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744A735D"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 xml:space="preserve">В </w:t>
            </w:r>
            <w:r w:rsidRPr="00731FE2">
              <w:rPr>
                <w:rFonts w:ascii="Times New Roman" w:eastAsia="Times New Roman" w:hAnsi="Times New Roman" w:cs="Times New Roman"/>
                <w:color w:val="000000"/>
                <w:sz w:val="20"/>
                <w:szCs w:val="20"/>
              </w:rPr>
              <w:lastRenderedPageBreak/>
              <w:t>амбулаторных условиях, в стационарных условиях, в условиях дневного стационара</w:t>
            </w:r>
          </w:p>
        </w:tc>
        <w:tc>
          <w:tcPr>
            <w:tcW w:w="2792" w:type="dxa"/>
            <w:tcBorders>
              <w:top w:val="none" w:sz="4" w:space="0" w:color="000000"/>
              <w:left w:val="none" w:sz="4" w:space="0" w:color="000000"/>
              <w:bottom w:val="single" w:sz="8" w:space="0" w:color="000000"/>
              <w:right w:val="single" w:sz="8" w:space="0" w:color="000000"/>
            </w:tcBorders>
            <w:noWrap/>
            <w:tcMar>
              <w:top w:w="0" w:type="dxa"/>
              <w:left w:w="108" w:type="dxa"/>
              <w:bottom w:w="0" w:type="dxa"/>
              <w:right w:w="108" w:type="dxa"/>
            </w:tcMar>
            <w:vAlign w:val="center"/>
          </w:tcPr>
          <w:p w14:paraId="6738B03E"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lastRenderedPageBreak/>
              <w:t>Диспансер наркологический</w:t>
            </w:r>
          </w:p>
        </w:tc>
        <w:tc>
          <w:tcPr>
            <w:tcW w:w="3905" w:type="dxa"/>
            <w:tcBorders>
              <w:top w:val="none" w:sz="4" w:space="0" w:color="000000"/>
              <w:left w:val="none" w:sz="4" w:space="0" w:color="000000"/>
              <w:bottom w:val="single" w:sz="8" w:space="0" w:color="000000"/>
              <w:right w:val="single" w:sz="8" w:space="0" w:color="000000"/>
            </w:tcBorders>
            <w:noWrap/>
            <w:tcMar>
              <w:top w:w="0" w:type="dxa"/>
              <w:left w:w="108" w:type="dxa"/>
              <w:bottom w:w="0" w:type="dxa"/>
              <w:right w:w="108" w:type="dxa"/>
            </w:tcMar>
            <w:vAlign w:val="center"/>
          </w:tcPr>
          <w:p w14:paraId="04CE254D" w14:textId="77777777" w:rsidR="00171AA8" w:rsidRPr="00731FE2" w:rsidRDefault="007935AB" w:rsidP="00E605B1">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первичная специализированная медико-</w:t>
            </w:r>
            <w:r w:rsidRPr="00731FE2">
              <w:rPr>
                <w:rFonts w:ascii="Times New Roman" w:eastAsia="Times New Roman" w:hAnsi="Times New Roman" w:cs="Times New Roman"/>
                <w:color w:val="000000"/>
                <w:sz w:val="20"/>
                <w:szCs w:val="20"/>
              </w:rPr>
              <w:lastRenderedPageBreak/>
              <w:t>санитарная помощь; специализированная медицинская помощь</w:t>
            </w:r>
          </w:p>
        </w:tc>
        <w:tc>
          <w:tcPr>
            <w:tcW w:w="2048" w:type="dxa"/>
            <w:tcBorders>
              <w:top w:val="none" w:sz="4" w:space="0" w:color="000000"/>
              <w:left w:val="none" w:sz="4" w:space="0" w:color="000000"/>
              <w:bottom w:val="single" w:sz="8" w:space="0" w:color="000000"/>
              <w:right w:val="single" w:sz="8" w:space="0" w:color="000000"/>
            </w:tcBorders>
            <w:noWrap/>
            <w:tcMar>
              <w:top w:w="0" w:type="dxa"/>
              <w:left w:w="108" w:type="dxa"/>
              <w:bottom w:w="0" w:type="dxa"/>
              <w:right w:w="108" w:type="dxa"/>
            </w:tcMar>
            <w:vAlign w:val="center"/>
          </w:tcPr>
          <w:p w14:paraId="7379A83A"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lastRenderedPageBreak/>
              <w:t>плановая;</w:t>
            </w:r>
            <w:r w:rsidRPr="00731FE2">
              <w:rPr>
                <w:rFonts w:ascii="Times New Roman" w:eastAsia="Times New Roman" w:hAnsi="Times New Roman" w:cs="Times New Roman"/>
                <w:color w:val="000000"/>
                <w:sz w:val="20"/>
                <w:szCs w:val="20"/>
              </w:rPr>
              <w:br/>
            </w:r>
            <w:r w:rsidRPr="00731FE2">
              <w:rPr>
                <w:rFonts w:ascii="Times New Roman" w:eastAsia="Times New Roman" w:hAnsi="Times New Roman" w:cs="Times New Roman"/>
                <w:color w:val="000000"/>
                <w:sz w:val="20"/>
                <w:szCs w:val="20"/>
              </w:rPr>
              <w:lastRenderedPageBreak/>
              <w:t xml:space="preserve"> неотложная;</w:t>
            </w:r>
            <w:r w:rsidRPr="00731FE2">
              <w:rPr>
                <w:rFonts w:ascii="Times New Roman" w:eastAsia="Times New Roman" w:hAnsi="Times New Roman" w:cs="Times New Roman"/>
                <w:color w:val="000000"/>
                <w:sz w:val="20"/>
                <w:szCs w:val="20"/>
              </w:rPr>
              <w:br/>
              <w:t xml:space="preserve"> экстренная</w:t>
            </w:r>
          </w:p>
        </w:tc>
        <w:tc>
          <w:tcPr>
            <w:tcW w:w="2268" w:type="dxa"/>
            <w:tcBorders>
              <w:top w:val="none" w:sz="4" w:space="0" w:color="000000"/>
              <w:left w:val="none" w:sz="4" w:space="0" w:color="000000"/>
              <w:bottom w:val="single" w:sz="8" w:space="0" w:color="000000"/>
              <w:right w:val="single" w:sz="8" w:space="0" w:color="000000"/>
            </w:tcBorders>
            <w:noWrap/>
            <w:tcMar>
              <w:top w:w="0" w:type="dxa"/>
              <w:left w:w="108" w:type="dxa"/>
              <w:bottom w:w="0" w:type="dxa"/>
              <w:right w:w="108" w:type="dxa"/>
            </w:tcMar>
            <w:vAlign w:val="center"/>
          </w:tcPr>
          <w:p w14:paraId="1D37AE30"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lastRenderedPageBreak/>
              <w:t xml:space="preserve">не менее 1 на субъект </w:t>
            </w:r>
            <w:r w:rsidRPr="00731FE2">
              <w:rPr>
                <w:rFonts w:ascii="Times New Roman" w:eastAsia="Times New Roman" w:hAnsi="Times New Roman" w:cs="Times New Roman"/>
                <w:color w:val="000000"/>
                <w:sz w:val="20"/>
                <w:szCs w:val="20"/>
              </w:rPr>
              <w:lastRenderedPageBreak/>
              <w:t>РФ</w:t>
            </w:r>
          </w:p>
        </w:tc>
        <w:tc>
          <w:tcPr>
            <w:tcW w:w="1985" w:type="dxa"/>
            <w:tcBorders>
              <w:top w:val="none" w:sz="4" w:space="0" w:color="000000"/>
              <w:left w:val="none" w:sz="4" w:space="0" w:color="000000"/>
              <w:bottom w:val="single" w:sz="8" w:space="0" w:color="000000"/>
              <w:right w:val="single" w:sz="8" w:space="0" w:color="000000"/>
            </w:tcBorders>
            <w:noWrap/>
            <w:tcMar>
              <w:top w:w="0" w:type="dxa"/>
              <w:left w:w="108" w:type="dxa"/>
              <w:bottom w:w="0" w:type="dxa"/>
              <w:right w:w="108" w:type="dxa"/>
            </w:tcMar>
            <w:vAlign w:val="center"/>
          </w:tcPr>
          <w:p w14:paraId="7C221750"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lastRenderedPageBreak/>
              <w:t>1</w:t>
            </w:r>
          </w:p>
        </w:tc>
      </w:tr>
      <w:tr w:rsidR="00171AA8" w:rsidRPr="00731FE2" w14:paraId="6CDF4A48" w14:textId="77777777" w:rsidTr="00E605B1">
        <w:trPr>
          <w:trHeight w:val="20"/>
        </w:trPr>
        <w:tc>
          <w:tcPr>
            <w:tcW w:w="0" w:type="auto"/>
            <w:vMerge/>
            <w:tcBorders>
              <w:top w:val="none" w:sz="4" w:space="0" w:color="000000"/>
              <w:left w:val="single" w:sz="8" w:space="0" w:color="000000"/>
              <w:bottom w:val="single" w:sz="8" w:space="0" w:color="000000"/>
              <w:right w:val="single" w:sz="8" w:space="0" w:color="000000"/>
            </w:tcBorders>
          </w:tcPr>
          <w:p w14:paraId="73DC95FF" w14:textId="77777777" w:rsidR="00171AA8" w:rsidRPr="00731FE2" w:rsidRDefault="00171AA8">
            <w:pPr>
              <w:rPr>
                <w:rFonts w:ascii="Times New Roman" w:hAnsi="Times New Roman" w:cs="Times New Roman"/>
                <w:sz w:val="20"/>
                <w:szCs w:val="20"/>
              </w:rPr>
            </w:pPr>
          </w:p>
        </w:tc>
        <w:tc>
          <w:tcPr>
            <w:tcW w:w="2792" w:type="dxa"/>
            <w:tcBorders>
              <w:top w:val="none" w:sz="4" w:space="0" w:color="000000"/>
              <w:left w:val="none" w:sz="4" w:space="0" w:color="000000"/>
              <w:bottom w:val="single" w:sz="8" w:space="0" w:color="000000"/>
              <w:right w:val="single" w:sz="8" w:space="0" w:color="000000"/>
            </w:tcBorders>
            <w:noWrap/>
            <w:tcMar>
              <w:top w:w="0" w:type="dxa"/>
              <w:left w:w="108" w:type="dxa"/>
              <w:bottom w:w="0" w:type="dxa"/>
              <w:right w:w="108" w:type="dxa"/>
            </w:tcMar>
            <w:vAlign w:val="center"/>
          </w:tcPr>
          <w:p w14:paraId="7073482D"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Диспансер кожно-</w:t>
            </w:r>
            <w:r w:rsidRPr="00731FE2">
              <w:rPr>
                <w:rFonts w:ascii="Times New Roman" w:eastAsia="Times New Roman" w:hAnsi="Times New Roman" w:cs="Times New Roman"/>
                <w:color w:val="000000"/>
                <w:sz w:val="20"/>
                <w:szCs w:val="20"/>
              </w:rPr>
              <w:br/>
              <w:t xml:space="preserve"> венерологический</w:t>
            </w:r>
          </w:p>
        </w:tc>
        <w:tc>
          <w:tcPr>
            <w:tcW w:w="3905" w:type="dxa"/>
            <w:tcBorders>
              <w:top w:val="none" w:sz="4" w:space="0" w:color="000000"/>
              <w:left w:val="none" w:sz="4" w:space="0" w:color="000000"/>
              <w:bottom w:val="single" w:sz="8" w:space="0" w:color="000000"/>
              <w:right w:val="single" w:sz="8" w:space="0" w:color="000000"/>
            </w:tcBorders>
            <w:noWrap/>
            <w:tcMar>
              <w:top w:w="0" w:type="dxa"/>
              <w:left w:w="108" w:type="dxa"/>
              <w:bottom w:w="0" w:type="dxa"/>
              <w:right w:w="108" w:type="dxa"/>
            </w:tcMar>
            <w:vAlign w:val="center"/>
          </w:tcPr>
          <w:p w14:paraId="11A4DFF6" w14:textId="77777777" w:rsidR="00171AA8" w:rsidRPr="00731FE2" w:rsidRDefault="007935AB" w:rsidP="00E605B1">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первичная специализированная медико-санитарная помощь; специализированная медицинская помощь</w:t>
            </w:r>
          </w:p>
        </w:tc>
        <w:tc>
          <w:tcPr>
            <w:tcW w:w="2048" w:type="dxa"/>
            <w:tcBorders>
              <w:top w:val="none" w:sz="4" w:space="0" w:color="000000"/>
              <w:left w:val="none" w:sz="4" w:space="0" w:color="000000"/>
              <w:bottom w:val="single" w:sz="8" w:space="0" w:color="000000"/>
              <w:right w:val="single" w:sz="8" w:space="0" w:color="000000"/>
            </w:tcBorders>
            <w:noWrap/>
            <w:tcMar>
              <w:top w:w="0" w:type="dxa"/>
              <w:left w:w="108" w:type="dxa"/>
              <w:bottom w:w="0" w:type="dxa"/>
              <w:right w:w="108" w:type="dxa"/>
            </w:tcMar>
            <w:vAlign w:val="center"/>
          </w:tcPr>
          <w:p w14:paraId="7D308C59"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плановая</w:t>
            </w:r>
          </w:p>
        </w:tc>
        <w:tc>
          <w:tcPr>
            <w:tcW w:w="2268" w:type="dxa"/>
            <w:tcBorders>
              <w:top w:val="none" w:sz="4" w:space="0" w:color="000000"/>
              <w:left w:val="none" w:sz="4" w:space="0" w:color="000000"/>
              <w:bottom w:val="single" w:sz="8" w:space="0" w:color="000000"/>
              <w:right w:val="single" w:sz="8" w:space="0" w:color="000000"/>
            </w:tcBorders>
            <w:noWrap/>
            <w:tcMar>
              <w:top w:w="0" w:type="dxa"/>
              <w:left w:w="108" w:type="dxa"/>
              <w:bottom w:w="0" w:type="dxa"/>
              <w:right w:w="108" w:type="dxa"/>
            </w:tcMar>
            <w:vAlign w:val="center"/>
          </w:tcPr>
          <w:p w14:paraId="4A852413"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не менее 1 на субъект РФ</w:t>
            </w:r>
          </w:p>
        </w:tc>
        <w:tc>
          <w:tcPr>
            <w:tcW w:w="1985" w:type="dxa"/>
            <w:tcBorders>
              <w:top w:val="none" w:sz="4" w:space="0" w:color="000000"/>
              <w:left w:val="none" w:sz="4" w:space="0" w:color="000000"/>
              <w:bottom w:val="single" w:sz="8" w:space="0" w:color="000000"/>
              <w:right w:val="single" w:sz="8" w:space="0" w:color="000000"/>
            </w:tcBorders>
            <w:noWrap/>
            <w:tcMar>
              <w:top w:w="0" w:type="dxa"/>
              <w:left w:w="108" w:type="dxa"/>
              <w:bottom w:w="0" w:type="dxa"/>
              <w:right w:w="108" w:type="dxa"/>
            </w:tcMar>
            <w:vAlign w:val="center"/>
          </w:tcPr>
          <w:p w14:paraId="70C5BC8C"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1</w:t>
            </w:r>
          </w:p>
        </w:tc>
      </w:tr>
      <w:tr w:rsidR="00171AA8" w:rsidRPr="00731FE2" w14:paraId="2160C0A1" w14:textId="77777777" w:rsidTr="00E605B1">
        <w:trPr>
          <w:trHeight w:val="20"/>
        </w:trPr>
        <w:tc>
          <w:tcPr>
            <w:tcW w:w="0" w:type="auto"/>
            <w:vMerge/>
            <w:tcBorders>
              <w:top w:val="none" w:sz="4" w:space="0" w:color="000000"/>
              <w:left w:val="single" w:sz="8" w:space="0" w:color="000000"/>
              <w:bottom w:val="single" w:sz="8" w:space="0" w:color="000000"/>
              <w:right w:val="single" w:sz="8" w:space="0" w:color="000000"/>
            </w:tcBorders>
          </w:tcPr>
          <w:p w14:paraId="4D319D13" w14:textId="77777777" w:rsidR="00171AA8" w:rsidRPr="00731FE2" w:rsidRDefault="00171AA8">
            <w:pPr>
              <w:rPr>
                <w:rFonts w:ascii="Times New Roman" w:hAnsi="Times New Roman" w:cs="Times New Roman"/>
                <w:sz w:val="20"/>
                <w:szCs w:val="20"/>
              </w:rPr>
            </w:pPr>
          </w:p>
        </w:tc>
        <w:tc>
          <w:tcPr>
            <w:tcW w:w="2792" w:type="dxa"/>
            <w:tcBorders>
              <w:top w:val="none" w:sz="4" w:space="0" w:color="000000"/>
              <w:left w:val="none" w:sz="4" w:space="0" w:color="000000"/>
              <w:bottom w:val="single" w:sz="8" w:space="0" w:color="000000"/>
              <w:right w:val="single" w:sz="8" w:space="0" w:color="000000"/>
            </w:tcBorders>
            <w:noWrap/>
            <w:tcMar>
              <w:top w:w="0" w:type="dxa"/>
              <w:left w:w="108" w:type="dxa"/>
              <w:bottom w:w="0" w:type="dxa"/>
              <w:right w:w="108" w:type="dxa"/>
            </w:tcMar>
            <w:vAlign w:val="center"/>
          </w:tcPr>
          <w:p w14:paraId="0363B18E"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Диспансер противотуберкулезный</w:t>
            </w:r>
          </w:p>
        </w:tc>
        <w:tc>
          <w:tcPr>
            <w:tcW w:w="3905" w:type="dxa"/>
            <w:tcBorders>
              <w:top w:val="none" w:sz="4" w:space="0" w:color="000000"/>
              <w:left w:val="none" w:sz="4" w:space="0" w:color="000000"/>
              <w:bottom w:val="single" w:sz="8" w:space="0" w:color="000000"/>
              <w:right w:val="single" w:sz="8" w:space="0" w:color="000000"/>
            </w:tcBorders>
            <w:noWrap/>
            <w:tcMar>
              <w:top w:w="0" w:type="dxa"/>
              <w:left w:w="108" w:type="dxa"/>
              <w:bottom w:w="0" w:type="dxa"/>
              <w:right w:w="108" w:type="dxa"/>
            </w:tcMar>
            <w:vAlign w:val="center"/>
          </w:tcPr>
          <w:p w14:paraId="229F4B49" w14:textId="77777777" w:rsidR="00171AA8" w:rsidRPr="00731FE2" w:rsidRDefault="007935AB" w:rsidP="00E605B1">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первичная специализированная медико-санитарная помощь; специализированная медицинская помощь</w:t>
            </w:r>
          </w:p>
        </w:tc>
        <w:tc>
          <w:tcPr>
            <w:tcW w:w="2048" w:type="dxa"/>
            <w:tcBorders>
              <w:top w:val="none" w:sz="4" w:space="0" w:color="000000"/>
              <w:left w:val="none" w:sz="4" w:space="0" w:color="000000"/>
              <w:bottom w:val="single" w:sz="8" w:space="0" w:color="000000"/>
              <w:right w:val="single" w:sz="8" w:space="0" w:color="000000"/>
            </w:tcBorders>
            <w:noWrap/>
            <w:tcMar>
              <w:top w:w="0" w:type="dxa"/>
              <w:left w:w="108" w:type="dxa"/>
              <w:bottom w:w="0" w:type="dxa"/>
              <w:right w:w="108" w:type="dxa"/>
            </w:tcMar>
            <w:vAlign w:val="center"/>
          </w:tcPr>
          <w:p w14:paraId="5417F9EC" w14:textId="77777777" w:rsidR="00171AA8" w:rsidRPr="00731FE2" w:rsidRDefault="007935AB" w:rsidP="00E605B1">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плановая; неотложная; экстренная</w:t>
            </w:r>
          </w:p>
        </w:tc>
        <w:tc>
          <w:tcPr>
            <w:tcW w:w="2268" w:type="dxa"/>
            <w:tcBorders>
              <w:top w:val="none" w:sz="4" w:space="0" w:color="000000"/>
              <w:left w:val="none" w:sz="4" w:space="0" w:color="000000"/>
              <w:bottom w:val="single" w:sz="8" w:space="0" w:color="000000"/>
              <w:right w:val="single" w:sz="8" w:space="0" w:color="000000"/>
            </w:tcBorders>
            <w:noWrap/>
            <w:tcMar>
              <w:top w:w="0" w:type="dxa"/>
              <w:left w:w="108" w:type="dxa"/>
              <w:bottom w:w="0" w:type="dxa"/>
              <w:right w:w="108" w:type="dxa"/>
            </w:tcMar>
            <w:vAlign w:val="center"/>
          </w:tcPr>
          <w:p w14:paraId="36DBBABC"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не менее 1 на субъект РФ</w:t>
            </w:r>
          </w:p>
        </w:tc>
        <w:tc>
          <w:tcPr>
            <w:tcW w:w="1985" w:type="dxa"/>
            <w:tcBorders>
              <w:top w:val="none" w:sz="4" w:space="0" w:color="000000"/>
              <w:left w:val="none" w:sz="4" w:space="0" w:color="000000"/>
              <w:bottom w:val="single" w:sz="8" w:space="0" w:color="000000"/>
              <w:right w:val="single" w:sz="8" w:space="0" w:color="000000"/>
            </w:tcBorders>
            <w:noWrap/>
            <w:tcMar>
              <w:top w:w="0" w:type="dxa"/>
              <w:left w:w="108" w:type="dxa"/>
              <w:bottom w:w="0" w:type="dxa"/>
              <w:right w:w="108" w:type="dxa"/>
            </w:tcMar>
            <w:vAlign w:val="center"/>
          </w:tcPr>
          <w:p w14:paraId="26979CA2"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1</w:t>
            </w:r>
          </w:p>
        </w:tc>
      </w:tr>
      <w:tr w:rsidR="00171AA8" w:rsidRPr="00731FE2" w14:paraId="72AFD64E" w14:textId="77777777" w:rsidTr="00E605B1">
        <w:trPr>
          <w:trHeight w:val="20"/>
        </w:trPr>
        <w:tc>
          <w:tcPr>
            <w:tcW w:w="0" w:type="auto"/>
            <w:vMerge/>
            <w:tcBorders>
              <w:top w:val="none" w:sz="4" w:space="0" w:color="000000"/>
              <w:left w:val="single" w:sz="8" w:space="0" w:color="000000"/>
              <w:bottom w:val="single" w:sz="8" w:space="0" w:color="000000"/>
              <w:right w:val="single" w:sz="8" w:space="0" w:color="000000"/>
            </w:tcBorders>
          </w:tcPr>
          <w:p w14:paraId="17CAA8CC" w14:textId="77777777" w:rsidR="00171AA8" w:rsidRPr="00731FE2" w:rsidRDefault="00171AA8">
            <w:pPr>
              <w:rPr>
                <w:rFonts w:ascii="Times New Roman" w:hAnsi="Times New Roman" w:cs="Times New Roman"/>
                <w:sz w:val="20"/>
                <w:szCs w:val="20"/>
              </w:rPr>
            </w:pPr>
          </w:p>
        </w:tc>
        <w:tc>
          <w:tcPr>
            <w:tcW w:w="2792" w:type="dxa"/>
            <w:tcBorders>
              <w:top w:val="none" w:sz="4" w:space="0" w:color="000000"/>
              <w:left w:val="none" w:sz="4" w:space="0" w:color="000000"/>
              <w:bottom w:val="single" w:sz="8" w:space="0" w:color="000000"/>
              <w:right w:val="single" w:sz="8" w:space="0" w:color="000000"/>
            </w:tcBorders>
            <w:noWrap/>
            <w:tcMar>
              <w:top w:w="0" w:type="dxa"/>
              <w:left w:w="108" w:type="dxa"/>
              <w:bottom w:w="0" w:type="dxa"/>
              <w:right w:w="108" w:type="dxa"/>
            </w:tcMar>
            <w:vAlign w:val="center"/>
          </w:tcPr>
          <w:p w14:paraId="54BA5873"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Диспансер онкологический</w:t>
            </w:r>
          </w:p>
        </w:tc>
        <w:tc>
          <w:tcPr>
            <w:tcW w:w="3905" w:type="dxa"/>
            <w:tcBorders>
              <w:top w:val="none" w:sz="4" w:space="0" w:color="000000"/>
              <w:left w:val="none" w:sz="4" w:space="0" w:color="000000"/>
              <w:bottom w:val="single" w:sz="8" w:space="0" w:color="000000"/>
              <w:right w:val="single" w:sz="8" w:space="0" w:color="000000"/>
            </w:tcBorders>
            <w:noWrap/>
            <w:tcMar>
              <w:top w:w="0" w:type="dxa"/>
              <w:left w:w="108" w:type="dxa"/>
              <w:bottom w:w="0" w:type="dxa"/>
              <w:right w:w="108" w:type="dxa"/>
            </w:tcMar>
            <w:vAlign w:val="center"/>
          </w:tcPr>
          <w:p w14:paraId="0BE0126A" w14:textId="77777777" w:rsidR="00171AA8" w:rsidRPr="00731FE2" w:rsidRDefault="007935AB" w:rsidP="00E605B1">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первичная специализированная медико-санитарная помощь; специализированная, в том числе высокотехнологичная, медицинская помощь</w:t>
            </w:r>
          </w:p>
        </w:tc>
        <w:tc>
          <w:tcPr>
            <w:tcW w:w="2048" w:type="dxa"/>
            <w:tcBorders>
              <w:top w:val="none" w:sz="4" w:space="0" w:color="000000"/>
              <w:left w:val="none" w:sz="4" w:space="0" w:color="000000"/>
              <w:bottom w:val="single" w:sz="8" w:space="0" w:color="000000"/>
              <w:right w:val="single" w:sz="8" w:space="0" w:color="000000"/>
            </w:tcBorders>
            <w:noWrap/>
            <w:tcMar>
              <w:top w:w="0" w:type="dxa"/>
              <w:left w:w="108" w:type="dxa"/>
              <w:bottom w:w="0" w:type="dxa"/>
              <w:right w:w="108" w:type="dxa"/>
            </w:tcMar>
            <w:vAlign w:val="center"/>
          </w:tcPr>
          <w:p w14:paraId="2E2F2FCB" w14:textId="77777777" w:rsidR="00171AA8" w:rsidRPr="00731FE2" w:rsidRDefault="007935AB" w:rsidP="00E605B1">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плановая; неотложная; экстренная</w:t>
            </w:r>
          </w:p>
        </w:tc>
        <w:tc>
          <w:tcPr>
            <w:tcW w:w="2268" w:type="dxa"/>
            <w:tcBorders>
              <w:top w:val="none" w:sz="4" w:space="0" w:color="000000"/>
              <w:left w:val="none" w:sz="4" w:space="0" w:color="000000"/>
              <w:bottom w:val="single" w:sz="8" w:space="0" w:color="000000"/>
              <w:right w:val="single" w:sz="8" w:space="0" w:color="000000"/>
            </w:tcBorders>
            <w:noWrap/>
            <w:tcMar>
              <w:top w:w="0" w:type="dxa"/>
              <w:left w:w="108" w:type="dxa"/>
              <w:bottom w:w="0" w:type="dxa"/>
              <w:right w:w="108" w:type="dxa"/>
            </w:tcMar>
            <w:vAlign w:val="center"/>
          </w:tcPr>
          <w:p w14:paraId="63495CEE"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не менее 1 на субъект РФ</w:t>
            </w:r>
          </w:p>
        </w:tc>
        <w:tc>
          <w:tcPr>
            <w:tcW w:w="1985" w:type="dxa"/>
            <w:tcBorders>
              <w:top w:val="none" w:sz="4" w:space="0" w:color="000000"/>
              <w:left w:val="none" w:sz="4" w:space="0" w:color="000000"/>
              <w:bottom w:val="single" w:sz="8" w:space="0" w:color="000000"/>
              <w:right w:val="single" w:sz="8" w:space="0" w:color="000000"/>
            </w:tcBorders>
            <w:noWrap/>
            <w:tcMar>
              <w:top w:w="0" w:type="dxa"/>
              <w:left w:w="108" w:type="dxa"/>
              <w:bottom w:w="0" w:type="dxa"/>
              <w:right w:w="108" w:type="dxa"/>
            </w:tcMar>
            <w:vAlign w:val="center"/>
          </w:tcPr>
          <w:p w14:paraId="107EFCAB"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1</w:t>
            </w:r>
          </w:p>
        </w:tc>
      </w:tr>
      <w:tr w:rsidR="00171AA8" w:rsidRPr="00731FE2" w14:paraId="0B127F62" w14:textId="77777777" w:rsidTr="00E605B1">
        <w:trPr>
          <w:trHeight w:val="20"/>
        </w:trPr>
        <w:tc>
          <w:tcPr>
            <w:tcW w:w="0" w:type="auto"/>
            <w:vMerge/>
            <w:tcBorders>
              <w:top w:val="none" w:sz="4" w:space="0" w:color="000000"/>
              <w:left w:val="single" w:sz="8" w:space="0" w:color="000000"/>
              <w:bottom w:val="single" w:sz="8" w:space="0" w:color="000000"/>
              <w:right w:val="single" w:sz="8" w:space="0" w:color="000000"/>
            </w:tcBorders>
          </w:tcPr>
          <w:p w14:paraId="5EBD524A" w14:textId="77777777" w:rsidR="00171AA8" w:rsidRPr="00731FE2" w:rsidRDefault="00171AA8">
            <w:pPr>
              <w:rPr>
                <w:rFonts w:ascii="Times New Roman" w:hAnsi="Times New Roman" w:cs="Times New Roman"/>
                <w:sz w:val="20"/>
                <w:szCs w:val="20"/>
              </w:rPr>
            </w:pPr>
          </w:p>
        </w:tc>
        <w:tc>
          <w:tcPr>
            <w:tcW w:w="2792" w:type="dxa"/>
            <w:tcBorders>
              <w:top w:val="none" w:sz="4" w:space="0" w:color="000000"/>
              <w:left w:val="none" w:sz="4" w:space="0" w:color="000000"/>
              <w:bottom w:val="single" w:sz="8" w:space="0" w:color="000000"/>
              <w:right w:val="single" w:sz="8" w:space="0" w:color="000000"/>
            </w:tcBorders>
            <w:noWrap/>
            <w:tcMar>
              <w:top w:w="0" w:type="dxa"/>
              <w:left w:w="108" w:type="dxa"/>
              <w:bottom w:w="0" w:type="dxa"/>
              <w:right w:w="108" w:type="dxa"/>
            </w:tcMar>
            <w:vAlign w:val="center"/>
          </w:tcPr>
          <w:p w14:paraId="200AC6B6"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Участковая больница</w:t>
            </w:r>
          </w:p>
        </w:tc>
        <w:tc>
          <w:tcPr>
            <w:tcW w:w="3905" w:type="dxa"/>
            <w:tcBorders>
              <w:top w:val="none" w:sz="4" w:space="0" w:color="000000"/>
              <w:left w:val="none" w:sz="4" w:space="0" w:color="000000"/>
              <w:bottom w:val="single" w:sz="8" w:space="0" w:color="000000"/>
              <w:right w:val="single" w:sz="8" w:space="0" w:color="000000"/>
            </w:tcBorders>
            <w:noWrap/>
            <w:tcMar>
              <w:top w:w="0" w:type="dxa"/>
              <w:left w:w="108" w:type="dxa"/>
              <w:bottom w:w="0" w:type="dxa"/>
              <w:right w:w="108" w:type="dxa"/>
            </w:tcMar>
            <w:vAlign w:val="center"/>
          </w:tcPr>
          <w:p w14:paraId="58760830" w14:textId="77777777" w:rsidR="00171AA8" w:rsidRPr="00731FE2" w:rsidRDefault="007935AB" w:rsidP="00E605B1">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первичная специализированная медико-санитарная помощь; специализированная медицинская помощь</w:t>
            </w:r>
          </w:p>
        </w:tc>
        <w:tc>
          <w:tcPr>
            <w:tcW w:w="2048" w:type="dxa"/>
            <w:tcBorders>
              <w:top w:val="none" w:sz="4" w:space="0" w:color="000000"/>
              <w:left w:val="none" w:sz="4" w:space="0" w:color="000000"/>
              <w:bottom w:val="single" w:sz="8" w:space="0" w:color="000000"/>
              <w:right w:val="single" w:sz="8" w:space="0" w:color="000000"/>
            </w:tcBorders>
            <w:noWrap/>
            <w:tcMar>
              <w:top w:w="0" w:type="dxa"/>
              <w:left w:w="108" w:type="dxa"/>
              <w:bottom w:w="0" w:type="dxa"/>
              <w:right w:w="108" w:type="dxa"/>
            </w:tcMar>
            <w:vAlign w:val="center"/>
          </w:tcPr>
          <w:p w14:paraId="4324EBA2" w14:textId="77777777" w:rsidR="00171AA8" w:rsidRPr="00731FE2" w:rsidRDefault="007935AB" w:rsidP="00E605B1">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плановая; неотложная</w:t>
            </w:r>
          </w:p>
        </w:tc>
        <w:tc>
          <w:tcPr>
            <w:tcW w:w="2268" w:type="dxa"/>
            <w:tcBorders>
              <w:top w:val="none" w:sz="4" w:space="0" w:color="000000"/>
              <w:left w:val="none" w:sz="4" w:space="0" w:color="000000"/>
              <w:bottom w:val="single" w:sz="8" w:space="0" w:color="000000"/>
              <w:right w:val="single" w:sz="8" w:space="0" w:color="000000"/>
            </w:tcBorders>
            <w:noWrap/>
            <w:tcMar>
              <w:top w:w="0" w:type="dxa"/>
              <w:left w:w="108" w:type="dxa"/>
              <w:bottom w:w="0" w:type="dxa"/>
              <w:right w:w="108" w:type="dxa"/>
            </w:tcMar>
            <w:vAlign w:val="center"/>
          </w:tcPr>
          <w:p w14:paraId="7A7089A7"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1 на 5-20 тыс. человек</w:t>
            </w:r>
          </w:p>
        </w:tc>
        <w:tc>
          <w:tcPr>
            <w:tcW w:w="1985" w:type="dxa"/>
            <w:tcBorders>
              <w:top w:val="none" w:sz="4" w:space="0" w:color="000000"/>
              <w:left w:val="none" w:sz="4" w:space="0" w:color="000000"/>
              <w:bottom w:val="single" w:sz="8" w:space="0" w:color="000000"/>
              <w:right w:val="single" w:sz="8" w:space="0" w:color="000000"/>
            </w:tcBorders>
            <w:noWrap/>
            <w:tcMar>
              <w:top w:w="0" w:type="dxa"/>
              <w:left w:w="108" w:type="dxa"/>
              <w:bottom w:w="0" w:type="dxa"/>
              <w:right w:w="108" w:type="dxa"/>
            </w:tcMar>
            <w:vAlign w:val="center"/>
          </w:tcPr>
          <w:p w14:paraId="4A5DC9C6"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18</w:t>
            </w:r>
          </w:p>
        </w:tc>
      </w:tr>
      <w:tr w:rsidR="00171AA8" w:rsidRPr="00731FE2" w14:paraId="5979AE41" w14:textId="77777777" w:rsidTr="00E605B1">
        <w:trPr>
          <w:trHeight w:val="20"/>
        </w:trPr>
        <w:tc>
          <w:tcPr>
            <w:tcW w:w="1451" w:type="dxa"/>
            <w:vMerge w:val="restart"/>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5FAD8CE5"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В стационарных условиях, в условиях дневного стационара</w:t>
            </w:r>
          </w:p>
        </w:tc>
        <w:tc>
          <w:tcPr>
            <w:tcW w:w="2792" w:type="dxa"/>
            <w:tcBorders>
              <w:top w:val="none" w:sz="4" w:space="0" w:color="000000"/>
              <w:left w:val="none" w:sz="4" w:space="0" w:color="000000"/>
              <w:bottom w:val="single" w:sz="8" w:space="0" w:color="000000"/>
              <w:right w:val="single" w:sz="8" w:space="0" w:color="000000"/>
            </w:tcBorders>
            <w:noWrap/>
            <w:tcMar>
              <w:top w:w="0" w:type="dxa"/>
              <w:left w:w="108" w:type="dxa"/>
              <w:bottom w:w="0" w:type="dxa"/>
              <w:right w:w="108" w:type="dxa"/>
            </w:tcMar>
            <w:vAlign w:val="center"/>
          </w:tcPr>
          <w:p w14:paraId="2003132C"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Городская больница</w:t>
            </w:r>
          </w:p>
        </w:tc>
        <w:tc>
          <w:tcPr>
            <w:tcW w:w="3905" w:type="dxa"/>
            <w:tcBorders>
              <w:top w:val="none" w:sz="4" w:space="0" w:color="000000"/>
              <w:left w:val="none" w:sz="4" w:space="0" w:color="000000"/>
              <w:bottom w:val="single" w:sz="8" w:space="0" w:color="000000"/>
              <w:right w:val="single" w:sz="8" w:space="0" w:color="000000"/>
            </w:tcBorders>
            <w:noWrap/>
            <w:tcMar>
              <w:top w:w="0" w:type="dxa"/>
              <w:left w:w="108" w:type="dxa"/>
              <w:bottom w:w="0" w:type="dxa"/>
              <w:right w:w="108" w:type="dxa"/>
            </w:tcMar>
            <w:vAlign w:val="center"/>
          </w:tcPr>
          <w:p w14:paraId="31033AA1"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специализированная, в том числе высокотехнологичная, медицинская помощь</w:t>
            </w:r>
          </w:p>
        </w:tc>
        <w:tc>
          <w:tcPr>
            <w:tcW w:w="2048" w:type="dxa"/>
            <w:tcBorders>
              <w:top w:val="none" w:sz="4" w:space="0" w:color="000000"/>
              <w:left w:val="none" w:sz="4" w:space="0" w:color="000000"/>
              <w:bottom w:val="single" w:sz="8" w:space="0" w:color="000000"/>
              <w:right w:val="single" w:sz="8" w:space="0" w:color="000000"/>
            </w:tcBorders>
            <w:noWrap/>
            <w:tcMar>
              <w:top w:w="0" w:type="dxa"/>
              <w:left w:w="108" w:type="dxa"/>
              <w:bottom w:w="0" w:type="dxa"/>
              <w:right w:w="108" w:type="dxa"/>
            </w:tcMar>
            <w:vAlign w:val="center"/>
          </w:tcPr>
          <w:p w14:paraId="63ECFC71" w14:textId="77777777" w:rsidR="00171AA8" w:rsidRPr="00731FE2" w:rsidRDefault="007935AB" w:rsidP="00E605B1">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плановая; неотложная; экстренная</w:t>
            </w:r>
          </w:p>
        </w:tc>
        <w:tc>
          <w:tcPr>
            <w:tcW w:w="2268" w:type="dxa"/>
            <w:tcBorders>
              <w:top w:val="none" w:sz="4" w:space="0" w:color="000000"/>
              <w:left w:val="none" w:sz="4" w:space="0" w:color="000000"/>
              <w:bottom w:val="single" w:sz="8" w:space="0" w:color="000000"/>
              <w:right w:val="single" w:sz="8" w:space="0" w:color="000000"/>
            </w:tcBorders>
            <w:noWrap/>
            <w:tcMar>
              <w:top w:w="0" w:type="dxa"/>
              <w:left w:w="108" w:type="dxa"/>
              <w:bottom w:w="0" w:type="dxa"/>
              <w:right w:w="108" w:type="dxa"/>
            </w:tcMar>
            <w:vAlign w:val="center"/>
          </w:tcPr>
          <w:p w14:paraId="159D5F9C"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1 на 20-300 тыс. человек</w:t>
            </w:r>
          </w:p>
        </w:tc>
        <w:tc>
          <w:tcPr>
            <w:tcW w:w="1985" w:type="dxa"/>
            <w:tcBorders>
              <w:top w:val="none" w:sz="4" w:space="0" w:color="000000"/>
              <w:left w:val="none" w:sz="4" w:space="0" w:color="000000"/>
              <w:bottom w:val="single" w:sz="8" w:space="0" w:color="000000"/>
              <w:right w:val="single" w:sz="8" w:space="0" w:color="000000"/>
            </w:tcBorders>
            <w:noWrap/>
            <w:tcMar>
              <w:top w:w="0" w:type="dxa"/>
              <w:left w:w="108" w:type="dxa"/>
              <w:bottom w:w="0" w:type="dxa"/>
              <w:right w:w="108" w:type="dxa"/>
            </w:tcMar>
            <w:vAlign w:val="center"/>
          </w:tcPr>
          <w:p w14:paraId="51698E01"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2</w:t>
            </w:r>
          </w:p>
        </w:tc>
      </w:tr>
      <w:tr w:rsidR="00171AA8" w:rsidRPr="00731FE2" w14:paraId="42EB5FFD" w14:textId="77777777" w:rsidTr="00E605B1">
        <w:trPr>
          <w:trHeight w:val="20"/>
        </w:trPr>
        <w:tc>
          <w:tcPr>
            <w:tcW w:w="0" w:type="auto"/>
            <w:vMerge/>
            <w:tcBorders>
              <w:top w:val="none" w:sz="4" w:space="0" w:color="000000"/>
              <w:left w:val="single" w:sz="8" w:space="0" w:color="000000"/>
              <w:bottom w:val="single" w:sz="8" w:space="0" w:color="000000"/>
              <w:right w:val="single" w:sz="8" w:space="0" w:color="000000"/>
            </w:tcBorders>
          </w:tcPr>
          <w:p w14:paraId="2C1ED10D" w14:textId="77777777" w:rsidR="00171AA8" w:rsidRPr="00731FE2" w:rsidRDefault="00171AA8">
            <w:pPr>
              <w:rPr>
                <w:rFonts w:ascii="Times New Roman" w:hAnsi="Times New Roman" w:cs="Times New Roman"/>
                <w:sz w:val="20"/>
                <w:szCs w:val="20"/>
              </w:rPr>
            </w:pPr>
          </w:p>
        </w:tc>
        <w:tc>
          <w:tcPr>
            <w:tcW w:w="2792" w:type="dxa"/>
            <w:tcBorders>
              <w:top w:val="none" w:sz="4" w:space="0" w:color="000000"/>
              <w:left w:val="none" w:sz="4" w:space="0" w:color="000000"/>
              <w:bottom w:val="single" w:sz="8" w:space="0" w:color="000000"/>
              <w:right w:val="single" w:sz="8" w:space="0" w:color="000000"/>
            </w:tcBorders>
            <w:noWrap/>
            <w:tcMar>
              <w:top w:w="0" w:type="dxa"/>
              <w:left w:w="108" w:type="dxa"/>
              <w:bottom w:w="0" w:type="dxa"/>
              <w:right w:w="108" w:type="dxa"/>
            </w:tcMar>
            <w:vAlign w:val="center"/>
          </w:tcPr>
          <w:p w14:paraId="3546A69B"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Детская городская больница</w:t>
            </w:r>
          </w:p>
        </w:tc>
        <w:tc>
          <w:tcPr>
            <w:tcW w:w="3905" w:type="dxa"/>
            <w:tcBorders>
              <w:top w:val="none" w:sz="4" w:space="0" w:color="000000"/>
              <w:left w:val="none" w:sz="4" w:space="0" w:color="000000"/>
              <w:bottom w:val="single" w:sz="8" w:space="0" w:color="000000"/>
              <w:right w:val="single" w:sz="8" w:space="0" w:color="000000"/>
            </w:tcBorders>
            <w:noWrap/>
            <w:tcMar>
              <w:top w:w="0" w:type="dxa"/>
              <w:left w:w="108" w:type="dxa"/>
              <w:bottom w:w="0" w:type="dxa"/>
              <w:right w:w="108" w:type="dxa"/>
            </w:tcMar>
            <w:vAlign w:val="center"/>
          </w:tcPr>
          <w:p w14:paraId="72725BB3"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специализированная, в том числе высокотехнологичная, медицинская помощь</w:t>
            </w:r>
          </w:p>
        </w:tc>
        <w:tc>
          <w:tcPr>
            <w:tcW w:w="2048" w:type="dxa"/>
            <w:tcBorders>
              <w:top w:val="none" w:sz="4" w:space="0" w:color="000000"/>
              <w:left w:val="none" w:sz="4" w:space="0" w:color="000000"/>
              <w:bottom w:val="single" w:sz="8" w:space="0" w:color="000000"/>
              <w:right w:val="single" w:sz="8" w:space="0" w:color="000000"/>
            </w:tcBorders>
            <w:noWrap/>
            <w:tcMar>
              <w:top w:w="0" w:type="dxa"/>
              <w:left w:w="108" w:type="dxa"/>
              <w:bottom w:w="0" w:type="dxa"/>
              <w:right w:w="108" w:type="dxa"/>
            </w:tcMar>
            <w:vAlign w:val="center"/>
          </w:tcPr>
          <w:p w14:paraId="2834E89A" w14:textId="77777777" w:rsidR="00171AA8" w:rsidRPr="00731FE2" w:rsidRDefault="007935AB" w:rsidP="00E605B1">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плановая; неотложная; экстренная</w:t>
            </w:r>
          </w:p>
        </w:tc>
        <w:tc>
          <w:tcPr>
            <w:tcW w:w="2268" w:type="dxa"/>
            <w:tcBorders>
              <w:top w:val="none" w:sz="4" w:space="0" w:color="000000"/>
              <w:left w:val="none" w:sz="4" w:space="0" w:color="000000"/>
              <w:bottom w:val="single" w:sz="8" w:space="0" w:color="000000"/>
              <w:right w:val="single" w:sz="8" w:space="0" w:color="000000"/>
            </w:tcBorders>
            <w:noWrap/>
            <w:tcMar>
              <w:top w:w="0" w:type="dxa"/>
              <w:left w:w="108" w:type="dxa"/>
              <w:bottom w:w="0" w:type="dxa"/>
              <w:right w:w="108" w:type="dxa"/>
            </w:tcMar>
            <w:vAlign w:val="center"/>
          </w:tcPr>
          <w:p w14:paraId="10CC181E"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1 на 20-200 тыс. детей</w:t>
            </w:r>
          </w:p>
        </w:tc>
        <w:tc>
          <w:tcPr>
            <w:tcW w:w="1985" w:type="dxa"/>
            <w:tcBorders>
              <w:top w:val="none" w:sz="4" w:space="0" w:color="000000"/>
              <w:left w:val="none" w:sz="4" w:space="0" w:color="000000"/>
              <w:bottom w:val="single" w:sz="8" w:space="0" w:color="000000"/>
              <w:right w:val="single" w:sz="8" w:space="0" w:color="000000"/>
            </w:tcBorders>
            <w:noWrap/>
            <w:tcMar>
              <w:top w:w="0" w:type="dxa"/>
              <w:left w:w="108" w:type="dxa"/>
              <w:bottom w:w="0" w:type="dxa"/>
              <w:right w:w="108" w:type="dxa"/>
            </w:tcMar>
            <w:vAlign w:val="center"/>
          </w:tcPr>
          <w:p w14:paraId="00C5E4E9"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1</w:t>
            </w:r>
          </w:p>
        </w:tc>
      </w:tr>
      <w:tr w:rsidR="00171AA8" w:rsidRPr="00731FE2" w14:paraId="32D17407" w14:textId="77777777" w:rsidTr="00E605B1">
        <w:trPr>
          <w:trHeight w:val="20"/>
        </w:trPr>
        <w:tc>
          <w:tcPr>
            <w:tcW w:w="0" w:type="auto"/>
            <w:vMerge/>
            <w:tcBorders>
              <w:top w:val="none" w:sz="4" w:space="0" w:color="000000"/>
              <w:left w:val="single" w:sz="8" w:space="0" w:color="000000"/>
              <w:bottom w:val="single" w:sz="8" w:space="0" w:color="000000"/>
              <w:right w:val="single" w:sz="8" w:space="0" w:color="000000"/>
            </w:tcBorders>
          </w:tcPr>
          <w:p w14:paraId="5ACE403B" w14:textId="77777777" w:rsidR="00171AA8" w:rsidRPr="00731FE2" w:rsidRDefault="00171AA8">
            <w:pPr>
              <w:rPr>
                <w:rFonts w:ascii="Times New Roman" w:hAnsi="Times New Roman" w:cs="Times New Roman"/>
                <w:sz w:val="20"/>
                <w:szCs w:val="20"/>
              </w:rPr>
            </w:pPr>
          </w:p>
        </w:tc>
        <w:tc>
          <w:tcPr>
            <w:tcW w:w="2792" w:type="dxa"/>
            <w:tcBorders>
              <w:top w:val="none" w:sz="4" w:space="0" w:color="000000"/>
              <w:left w:val="none" w:sz="4" w:space="0" w:color="000000"/>
              <w:bottom w:val="single" w:sz="8" w:space="0" w:color="000000"/>
              <w:right w:val="single" w:sz="8" w:space="0" w:color="000000"/>
            </w:tcBorders>
            <w:noWrap/>
            <w:tcMar>
              <w:top w:w="0" w:type="dxa"/>
              <w:left w:w="108" w:type="dxa"/>
              <w:bottom w:w="0" w:type="dxa"/>
              <w:right w:w="108" w:type="dxa"/>
            </w:tcMar>
            <w:vAlign w:val="center"/>
          </w:tcPr>
          <w:p w14:paraId="3582FC23"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Районная больница</w:t>
            </w:r>
          </w:p>
        </w:tc>
        <w:tc>
          <w:tcPr>
            <w:tcW w:w="3905" w:type="dxa"/>
            <w:tcBorders>
              <w:top w:val="none" w:sz="4" w:space="0" w:color="000000"/>
              <w:left w:val="none" w:sz="4" w:space="0" w:color="000000"/>
              <w:bottom w:val="single" w:sz="8" w:space="0" w:color="000000"/>
              <w:right w:val="single" w:sz="8" w:space="0" w:color="000000"/>
            </w:tcBorders>
            <w:noWrap/>
            <w:tcMar>
              <w:top w:w="0" w:type="dxa"/>
              <w:left w:w="108" w:type="dxa"/>
              <w:bottom w:w="0" w:type="dxa"/>
              <w:right w:w="108" w:type="dxa"/>
            </w:tcMar>
            <w:vAlign w:val="center"/>
          </w:tcPr>
          <w:p w14:paraId="7D0FA959"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специализированная медицинская помощь</w:t>
            </w:r>
          </w:p>
        </w:tc>
        <w:tc>
          <w:tcPr>
            <w:tcW w:w="2048" w:type="dxa"/>
            <w:tcBorders>
              <w:top w:val="none" w:sz="4" w:space="0" w:color="000000"/>
              <w:left w:val="none" w:sz="4" w:space="0" w:color="000000"/>
              <w:bottom w:val="single" w:sz="8" w:space="0" w:color="000000"/>
              <w:right w:val="single" w:sz="8" w:space="0" w:color="000000"/>
            </w:tcBorders>
            <w:noWrap/>
            <w:tcMar>
              <w:top w:w="0" w:type="dxa"/>
              <w:left w:w="108" w:type="dxa"/>
              <w:bottom w:w="0" w:type="dxa"/>
              <w:right w:w="108" w:type="dxa"/>
            </w:tcMar>
            <w:vAlign w:val="center"/>
          </w:tcPr>
          <w:p w14:paraId="5CE0A4FB" w14:textId="77777777" w:rsidR="00171AA8" w:rsidRPr="00731FE2" w:rsidRDefault="007935AB" w:rsidP="00E605B1">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плановая; неотложная; экстренная</w:t>
            </w:r>
          </w:p>
        </w:tc>
        <w:tc>
          <w:tcPr>
            <w:tcW w:w="2268" w:type="dxa"/>
            <w:tcBorders>
              <w:top w:val="none" w:sz="4" w:space="0" w:color="000000"/>
              <w:left w:val="none" w:sz="4" w:space="0" w:color="000000"/>
              <w:bottom w:val="single" w:sz="8" w:space="0" w:color="000000"/>
              <w:right w:val="single" w:sz="8" w:space="0" w:color="000000"/>
            </w:tcBorders>
            <w:noWrap/>
            <w:tcMar>
              <w:top w:w="0" w:type="dxa"/>
              <w:left w:w="108" w:type="dxa"/>
              <w:bottom w:w="0" w:type="dxa"/>
              <w:right w:w="108" w:type="dxa"/>
            </w:tcMar>
            <w:vAlign w:val="center"/>
          </w:tcPr>
          <w:p w14:paraId="31260F85"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1 на 20-100 тыс. человек</w:t>
            </w:r>
          </w:p>
        </w:tc>
        <w:tc>
          <w:tcPr>
            <w:tcW w:w="1985" w:type="dxa"/>
            <w:tcBorders>
              <w:top w:val="none" w:sz="4" w:space="0" w:color="000000"/>
              <w:left w:val="none" w:sz="4" w:space="0" w:color="000000"/>
              <w:bottom w:val="single" w:sz="8" w:space="0" w:color="000000"/>
              <w:right w:val="single" w:sz="8" w:space="0" w:color="000000"/>
            </w:tcBorders>
            <w:noWrap/>
            <w:tcMar>
              <w:top w:w="0" w:type="dxa"/>
              <w:left w:w="108" w:type="dxa"/>
              <w:bottom w:w="0" w:type="dxa"/>
              <w:right w:w="108" w:type="dxa"/>
            </w:tcMar>
            <w:vAlign w:val="center"/>
          </w:tcPr>
          <w:p w14:paraId="1C2E2F18"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3</w:t>
            </w:r>
          </w:p>
        </w:tc>
      </w:tr>
      <w:tr w:rsidR="00171AA8" w:rsidRPr="00731FE2" w14:paraId="3F833321" w14:textId="77777777" w:rsidTr="00E605B1">
        <w:trPr>
          <w:trHeight w:val="20"/>
        </w:trPr>
        <w:tc>
          <w:tcPr>
            <w:tcW w:w="0" w:type="auto"/>
            <w:vMerge/>
            <w:tcBorders>
              <w:top w:val="none" w:sz="4" w:space="0" w:color="000000"/>
              <w:left w:val="single" w:sz="8" w:space="0" w:color="000000"/>
              <w:bottom w:val="single" w:sz="8" w:space="0" w:color="000000"/>
              <w:right w:val="single" w:sz="8" w:space="0" w:color="000000"/>
            </w:tcBorders>
          </w:tcPr>
          <w:p w14:paraId="285CEEE3" w14:textId="77777777" w:rsidR="00171AA8" w:rsidRPr="00731FE2" w:rsidRDefault="00171AA8">
            <w:pPr>
              <w:rPr>
                <w:rFonts w:ascii="Times New Roman" w:hAnsi="Times New Roman" w:cs="Times New Roman"/>
                <w:sz w:val="20"/>
                <w:szCs w:val="20"/>
              </w:rPr>
            </w:pPr>
          </w:p>
        </w:tc>
        <w:tc>
          <w:tcPr>
            <w:tcW w:w="2792" w:type="dxa"/>
            <w:tcBorders>
              <w:top w:val="none" w:sz="4" w:space="0" w:color="000000"/>
              <w:left w:val="none" w:sz="4" w:space="0" w:color="000000"/>
              <w:bottom w:val="single" w:sz="8" w:space="0" w:color="000000"/>
              <w:right w:val="single" w:sz="8" w:space="0" w:color="000000"/>
            </w:tcBorders>
            <w:noWrap/>
            <w:tcMar>
              <w:top w:w="0" w:type="dxa"/>
              <w:left w:w="108" w:type="dxa"/>
              <w:bottom w:w="0" w:type="dxa"/>
              <w:right w:w="108" w:type="dxa"/>
            </w:tcMar>
            <w:vAlign w:val="center"/>
          </w:tcPr>
          <w:p w14:paraId="104532BD"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Краевая, республиканская, областная, окружная больница</w:t>
            </w:r>
          </w:p>
        </w:tc>
        <w:tc>
          <w:tcPr>
            <w:tcW w:w="3905" w:type="dxa"/>
            <w:tcBorders>
              <w:top w:val="none" w:sz="4" w:space="0" w:color="000000"/>
              <w:left w:val="none" w:sz="4" w:space="0" w:color="000000"/>
              <w:bottom w:val="single" w:sz="8" w:space="0" w:color="000000"/>
              <w:right w:val="single" w:sz="8" w:space="0" w:color="000000"/>
            </w:tcBorders>
            <w:noWrap/>
            <w:tcMar>
              <w:top w:w="0" w:type="dxa"/>
              <w:left w:w="108" w:type="dxa"/>
              <w:bottom w:w="0" w:type="dxa"/>
              <w:right w:w="108" w:type="dxa"/>
            </w:tcMar>
            <w:vAlign w:val="center"/>
          </w:tcPr>
          <w:p w14:paraId="49B83FF2"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специализированная, в том числе высокотехнологичная, медицинская помощь</w:t>
            </w:r>
          </w:p>
        </w:tc>
        <w:tc>
          <w:tcPr>
            <w:tcW w:w="2048" w:type="dxa"/>
            <w:tcBorders>
              <w:top w:val="none" w:sz="4" w:space="0" w:color="000000"/>
              <w:left w:val="none" w:sz="4" w:space="0" w:color="000000"/>
              <w:bottom w:val="single" w:sz="8" w:space="0" w:color="000000"/>
              <w:right w:val="single" w:sz="8" w:space="0" w:color="000000"/>
            </w:tcBorders>
            <w:noWrap/>
            <w:tcMar>
              <w:top w:w="0" w:type="dxa"/>
              <w:left w:w="108" w:type="dxa"/>
              <w:bottom w:w="0" w:type="dxa"/>
              <w:right w:w="108" w:type="dxa"/>
            </w:tcMar>
            <w:vAlign w:val="center"/>
          </w:tcPr>
          <w:p w14:paraId="3C7A0519" w14:textId="77777777" w:rsidR="00171AA8" w:rsidRPr="00731FE2" w:rsidRDefault="007935AB" w:rsidP="00E605B1">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плановая; неотложная; экстренная</w:t>
            </w:r>
          </w:p>
        </w:tc>
        <w:tc>
          <w:tcPr>
            <w:tcW w:w="2268" w:type="dxa"/>
            <w:tcBorders>
              <w:top w:val="none" w:sz="4" w:space="0" w:color="000000"/>
              <w:left w:val="none" w:sz="4" w:space="0" w:color="000000"/>
              <w:bottom w:val="single" w:sz="8" w:space="0" w:color="000000"/>
              <w:right w:val="single" w:sz="8" w:space="0" w:color="000000"/>
            </w:tcBorders>
            <w:noWrap/>
            <w:tcMar>
              <w:top w:w="0" w:type="dxa"/>
              <w:left w:w="108" w:type="dxa"/>
              <w:bottom w:w="0" w:type="dxa"/>
              <w:right w:w="108" w:type="dxa"/>
            </w:tcMar>
            <w:vAlign w:val="center"/>
          </w:tcPr>
          <w:p w14:paraId="30227649"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не менее 1 на субъект РФ</w:t>
            </w:r>
          </w:p>
        </w:tc>
        <w:tc>
          <w:tcPr>
            <w:tcW w:w="1985" w:type="dxa"/>
            <w:tcBorders>
              <w:top w:val="none" w:sz="4" w:space="0" w:color="000000"/>
              <w:left w:val="none" w:sz="4" w:space="0" w:color="000000"/>
              <w:bottom w:val="single" w:sz="8" w:space="0" w:color="000000"/>
              <w:right w:val="single" w:sz="8" w:space="0" w:color="000000"/>
            </w:tcBorders>
            <w:noWrap/>
            <w:tcMar>
              <w:top w:w="0" w:type="dxa"/>
              <w:left w:w="108" w:type="dxa"/>
              <w:bottom w:w="0" w:type="dxa"/>
              <w:right w:w="108" w:type="dxa"/>
            </w:tcMar>
            <w:vAlign w:val="center"/>
          </w:tcPr>
          <w:p w14:paraId="35209F12"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1</w:t>
            </w:r>
          </w:p>
        </w:tc>
      </w:tr>
      <w:tr w:rsidR="00171AA8" w:rsidRPr="00731FE2" w14:paraId="449EF75A" w14:textId="77777777" w:rsidTr="00E605B1">
        <w:trPr>
          <w:trHeight w:val="20"/>
        </w:trPr>
        <w:tc>
          <w:tcPr>
            <w:tcW w:w="0" w:type="auto"/>
            <w:vMerge/>
            <w:tcBorders>
              <w:top w:val="none" w:sz="4" w:space="0" w:color="000000"/>
              <w:left w:val="single" w:sz="8" w:space="0" w:color="000000"/>
              <w:bottom w:val="single" w:sz="8" w:space="0" w:color="000000"/>
              <w:right w:val="single" w:sz="8" w:space="0" w:color="000000"/>
            </w:tcBorders>
          </w:tcPr>
          <w:p w14:paraId="274D5EAB" w14:textId="77777777" w:rsidR="00171AA8" w:rsidRPr="00731FE2" w:rsidRDefault="00171AA8">
            <w:pPr>
              <w:rPr>
                <w:rFonts w:ascii="Times New Roman" w:hAnsi="Times New Roman" w:cs="Times New Roman"/>
                <w:sz w:val="20"/>
                <w:szCs w:val="20"/>
              </w:rPr>
            </w:pPr>
          </w:p>
        </w:tc>
        <w:tc>
          <w:tcPr>
            <w:tcW w:w="2792" w:type="dxa"/>
            <w:tcBorders>
              <w:top w:val="none" w:sz="4" w:space="0" w:color="000000"/>
              <w:left w:val="none" w:sz="4" w:space="0" w:color="000000"/>
              <w:bottom w:val="single" w:sz="8" w:space="0" w:color="000000"/>
              <w:right w:val="single" w:sz="8" w:space="0" w:color="000000"/>
            </w:tcBorders>
            <w:noWrap/>
            <w:tcMar>
              <w:top w:w="0" w:type="dxa"/>
              <w:left w:w="108" w:type="dxa"/>
              <w:bottom w:w="0" w:type="dxa"/>
              <w:right w:w="108" w:type="dxa"/>
            </w:tcMar>
            <w:vAlign w:val="center"/>
          </w:tcPr>
          <w:p w14:paraId="5E358C41"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Детская краевая, республиканская, областная, окружная больница</w:t>
            </w:r>
          </w:p>
        </w:tc>
        <w:tc>
          <w:tcPr>
            <w:tcW w:w="3905" w:type="dxa"/>
            <w:tcBorders>
              <w:top w:val="none" w:sz="4" w:space="0" w:color="000000"/>
              <w:left w:val="none" w:sz="4" w:space="0" w:color="000000"/>
              <w:bottom w:val="single" w:sz="8" w:space="0" w:color="000000"/>
              <w:right w:val="single" w:sz="8" w:space="0" w:color="000000"/>
            </w:tcBorders>
            <w:noWrap/>
            <w:tcMar>
              <w:top w:w="0" w:type="dxa"/>
              <w:left w:w="108" w:type="dxa"/>
              <w:bottom w:w="0" w:type="dxa"/>
              <w:right w:w="108" w:type="dxa"/>
            </w:tcMar>
            <w:vAlign w:val="center"/>
          </w:tcPr>
          <w:p w14:paraId="4752740D"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специализированная, в том числе высокотехнологичная, медицинская помощь</w:t>
            </w:r>
          </w:p>
        </w:tc>
        <w:tc>
          <w:tcPr>
            <w:tcW w:w="2048" w:type="dxa"/>
            <w:tcBorders>
              <w:top w:val="none" w:sz="4" w:space="0" w:color="000000"/>
              <w:left w:val="none" w:sz="4" w:space="0" w:color="000000"/>
              <w:bottom w:val="single" w:sz="8" w:space="0" w:color="000000"/>
              <w:right w:val="single" w:sz="8" w:space="0" w:color="000000"/>
            </w:tcBorders>
            <w:noWrap/>
            <w:tcMar>
              <w:top w:w="0" w:type="dxa"/>
              <w:left w:w="108" w:type="dxa"/>
              <w:bottom w:w="0" w:type="dxa"/>
              <w:right w:w="108" w:type="dxa"/>
            </w:tcMar>
            <w:vAlign w:val="center"/>
          </w:tcPr>
          <w:p w14:paraId="413AF9C7" w14:textId="77777777" w:rsidR="00171AA8" w:rsidRPr="00731FE2" w:rsidRDefault="007935AB" w:rsidP="00E605B1">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плановая; неотложная; экстренная</w:t>
            </w:r>
          </w:p>
        </w:tc>
        <w:tc>
          <w:tcPr>
            <w:tcW w:w="2268" w:type="dxa"/>
            <w:tcBorders>
              <w:top w:val="none" w:sz="4" w:space="0" w:color="000000"/>
              <w:left w:val="none" w:sz="4" w:space="0" w:color="000000"/>
              <w:bottom w:val="single" w:sz="8" w:space="0" w:color="000000"/>
              <w:right w:val="single" w:sz="8" w:space="0" w:color="000000"/>
            </w:tcBorders>
            <w:noWrap/>
            <w:tcMar>
              <w:top w:w="0" w:type="dxa"/>
              <w:left w:w="108" w:type="dxa"/>
              <w:bottom w:w="0" w:type="dxa"/>
              <w:right w:w="108" w:type="dxa"/>
            </w:tcMar>
            <w:vAlign w:val="center"/>
          </w:tcPr>
          <w:p w14:paraId="0E8D2615"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не менее 1 на субъект РФ</w:t>
            </w:r>
          </w:p>
        </w:tc>
        <w:tc>
          <w:tcPr>
            <w:tcW w:w="1985" w:type="dxa"/>
            <w:tcBorders>
              <w:top w:val="none" w:sz="4" w:space="0" w:color="000000"/>
              <w:left w:val="none" w:sz="4" w:space="0" w:color="000000"/>
              <w:bottom w:val="single" w:sz="8" w:space="0" w:color="000000"/>
              <w:right w:val="single" w:sz="8" w:space="0" w:color="000000"/>
            </w:tcBorders>
            <w:noWrap/>
            <w:tcMar>
              <w:top w:w="0" w:type="dxa"/>
              <w:left w:w="108" w:type="dxa"/>
              <w:bottom w:w="0" w:type="dxa"/>
              <w:right w:w="108" w:type="dxa"/>
            </w:tcMar>
            <w:vAlign w:val="center"/>
          </w:tcPr>
          <w:p w14:paraId="57FA9E7D"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1</w:t>
            </w:r>
          </w:p>
        </w:tc>
      </w:tr>
      <w:tr w:rsidR="00171AA8" w:rsidRPr="00731FE2" w14:paraId="2B5469BB" w14:textId="77777777" w:rsidTr="00E605B1">
        <w:trPr>
          <w:trHeight w:val="20"/>
        </w:trPr>
        <w:tc>
          <w:tcPr>
            <w:tcW w:w="0" w:type="auto"/>
            <w:vMerge/>
            <w:tcBorders>
              <w:top w:val="none" w:sz="4" w:space="0" w:color="000000"/>
              <w:left w:val="single" w:sz="8" w:space="0" w:color="000000"/>
              <w:bottom w:val="single" w:sz="8" w:space="0" w:color="000000"/>
              <w:right w:val="single" w:sz="8" w:space="0" w:color="000000"/>
            </w:tcBorders>
          </w:tcPr>
          <w:p w14:paraId="21841EA6" w14:textId="77777777" w:rsidR="00171AA8" w:rsidRPr="00731FE2" w:rsidRDefault="00171AA8">
            <w:pPr>
              <w:rPr>
                <w:rFonts w:ascii="Times New Roman" w:hAnsi="Times New Roman" w:cs="Times New Roman"/>
                <w:sz w:val="20"/>
                <w:szCs w:val="20"/>
              </w:rPr>
            </w:pPr>
          </w:p>
        </w:tc>
        <w:tc>
          <w:tcPr>
            <w:tcW w:w="2792" w:type="dxa"/>
            <w:tcBorders>
              <w:top w:val="none" w:sz="4" w:space="0" w:color="000000"/>
              <w:left w:val="none" w:sz="4" w:space="0" w:color="000000"/>
              <w:bottom w:val="single" w:sz="8" w:space="0" w:color="000000"/>
              <w:right w:val="single" w:sz="8" w:space="0" w:color="000000"/>
            </w:tcBorders>
            <w:noWrap/>
            <w:tcMar>
              <w:top w:w="0" w:type="dxa"/>
              <w:left w:w="108" w:type="dxa"/>
              <w:bottom w:w="0" w:type="dxa"/>
              <w:right w:w="108" w:type="dxa"/>
            </w:tcMar>
            <w:vAlign w:val="center"/>
          </w:tcPr>
          <w:p w14:paraId="64988FCF"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Больница инфекционная</w:t>
            </w:r>
          </w:p>
        </w:tc>
        <w:tc>
          <w:tcPr>
            <w:tcW w:w="3905" w:type="dxa"/>
            <w:tcBorders>
              <w:top w:val="none" w:sz="4" w:space="0" w:color="000000"/>
              <w:left w:val="none" w:sz="4" w:space="0" w:color="000000"/>
              <w:bottom w:val="single" w:sz="8" w:space="0" w:color="000000"/>
              <w:right w:val="single" w:sz="8" w:space="0" w:color="000000"/>
            </w:tcBorders>
            <w:noWrap/>
            <w:tcMar>
              <w:top w:w="0" w:type="dxa"/>
              <w:left w:w="108" w:type="dxa"/>
              <w:bottom w:w="0" w:type="dxa"/>
              <w:right w:w="108" w:type="dxa"/>
            </w:tcMar>
            <w:vAlign w:val="center"/>
          </w:tcPr>
          <w:p w14:paraId="4BD1D94E"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специализированная медицинская помощь</w:t>
            </w:r>
          </w:p>
        </w:tc>
        <w:tc>
          <w:tcPr>
            <w:tcW w:w="2048" w:type="dxa"/>
            <w:tcBorders>
              <w:top w:val="none" w:sz="4" w:space="0" w:color="000000"/>
              <w:left w:val="none" w:sz="4" w:space="0" w:color="000000"/>
              <w:bottom w:val="single" w:sz="8" w:space="0" w:color="000000"/>
              <w:right w:val="single" w:sz="8" w:space="0" w:color="000000"/>
            </w:tcBorders>
            <w:noWrap/>
            <w:tcMar>
              <w:top w:w="0" w:type="dxa"/>
              <w:left w:w="108" w:type="dxa"/>
              <w:bottom w:w="0" w:type="dxa"/>
              <w:right w:w="108" w:type="dxa"/>
            </w:tcMar>
            <w:vAlign w:val="center"/>
          </w:tcPr>
          <w:p w14:paraId="4C8A6EC2" w14:textId="77777777" w:rsidR="00171AA8" w:rsidRPr="00731FE2" w:rsidRDefault="007935AB" w:rsidP="00E605B1">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плановая; неотложная; экстренная</w:t>
            </w:r>
          </w:p>
        </w:tc>
        <w:tc>
          <w:tcPr>
            <w:tcW w:w="2268" w:type="dxa"/>
            <w:tcBorders>
              <w:top w:val="none" w:sz="4" w:space="0" w:color="000000"/>
              <w:left w:val="none" w:sz="4" w:space="0" w:color="000000"/>
              <w:bottom w:val="single" w:sz="8" w:space="0" w:color="000000"/>
              <w:right w:val="single" w:sz="8" w:space="0" w:color="000000"/>
            </w:tcBorders>
            <w:noWrap/>
            <w:tcMar>
              <w:top w:w="0" w:type="dxa"/>
              <w:left w:w="108" w:type="dxa"/>
              <w:bottom w:w="0" w:type="dxa"/>
              <w:right w:w="108" w:type="dxa"/>
            </w:tcMar>
            <w:vAlign w:val="center"/>
          </w:tcPr>
          <w:p w14:paraId="75C7F81E"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не менее 1 на субъект РФ</w:t>
            </w:r>
          </w:p>
        </w:tc>
        <w:tc>
          <w:tcPr>
            <w:tcW w:w="1985" w:type="dxa"/>
            <w:tcBorders>
              <w:top w:val="none" w:sz="4" w:space="0" w:color="000000"/>
              <w:left w:val="none" w:sz="4" w:space="0" w:color="000000"/>
              <w:bottom w:val="single" w:sz="8" w:space="0" w:color="000000"/>
              <w:right w:val="single" w:sz="8" w:space="0" w:color="000000"/>
            </w:tcBorders>
            <w:noWrap/>
            <w:tcMar>
              <w:top w:w="0" w:type="dxa"/>
              <w:left w:w="108" w:type="dxa"/>
              <w:bottom w:w="0" w:type="dxa"/>
              <w:right w:w="108" w:type="dxa"/>
            </w:tcMar>
            <w:vAlign w:val="center"/>
          </w:tcPr>
          <w:p w14:paraId="13868978"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1</w:t>
            </w:r>
          </w:p>
        </w:tc>
      </w:tr>
      <w:tr w:rsidR="00171AA8" w:rsidRPr="00731FE2" w14:paraId="6C3C0991" w14:textId="77777777" w:rsidTr="00E605B1">
        <w:trPr>
          <w:trHeight w:val="759"/>
        </w:trPr>
        <w:tc>
          <w:tcPr>
            <w:tcW w:w="0" w:type="auto"/>
            <w:vMerge/>
            <w:tcBorders>
              <w:top w:val="none" w:sz="4" w:space="0" w:color="000000"/>
              <w:left w:val="single" w:sz="8" w:space="0" w:color="000000"/>
              <w:bottom w:val="single" w:sz="8" w:space="0" w:color="000000"/>
              <w:right w:val="single" w:sz="8" w:space="0" w:color="000000"/>
            </w:tcBorders>
          </w:tcPr>
          <w:p w14:paraId="6068FA0E" w14:textId="77777777" w:rsidR="00171AA8" w:rsidRPr="00731FE2" w:rsidRDefault="00171AA8">
            <w:pPr>
              <w:rPr>
                <w:rFonts w:ascii="Times New Roman" w:hAnsi="Times New Roman" w:cs="Times New Roman"/>
                <w:sz w:val="20"/>
                <w:szCs w:val="20"/>
              </w:rPr>
            </w:pPr>
          </w:p>
        </w:tc>
        <w:tc>
          <w:tcPr>
            <w:tcW w:w="2792" w:type="dxa"/>
            <w:tcBorders>
              <w:top w:val="none" w:sz="4" w:space="0" w:color="000000"/>
              <w:left w:val="none" w:sz="4" w:space="0" w:color="000000"/>
              <w:bottom w:val="single" w:sz="8" w:space="0" w:color="000000"/>
              <w:right w:val="single" w:sz="8" w:space="0" w:color="000000"/>
            </w:tcBorders>
            <w:noWrap/>
            <w:tcMar>
              <w:top w:w="0" w:type="dxa"/>
              <w:left w:w="108" w:type="dxa"/>
              <w:bottom w:w="0" w:type="dxa"/>
              <w:right w:w="108" w:type="dxa"/>
            </w:tcMar>
            <w:vAlign w:val="center"/>
          </w:tcPr>
          <w:p w14:paraId="364DE419"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Больница инфекционная детская</w:t>
            </w:r>
          </w:p>
        </w:tc>
        <w:tc>
          <w:tcPr>
            <w:tcW w:w="3905" w:type="dxa"/>
            <w:tcBorders>
              <w:top w:val="none" w:sz="4" w:space="0" w:color="000000"/>
              <w:left w:val="none" w:sz="4" w:space="0" w:color="000000"/>
              <w:bottom w:val="single" w:sz="8" w:space="0" w:color="000000"/>
              <w:right w:val="single" w:sz="8" w:space="0" w:color="000000"/>
            </w:tcBorders>
            <w:noWrap/>
            <w:tcMar>
              <w:top w:w="0" w:type="dxa"/>
              <w:left w:w="108" w:type="dxa"/>
              <w:bottom w:w="0" w:type="dxa"/>
              <w:right w:w="108" w:type="dxa"/>
            </w:tcMar>
            <w:vAlign w:val="center"/>
          </w:tcPr>
          <w:p w14:paraId="653453F8"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специализированная медицинская помощь</w:t>
            </w:r>
          </w:p>
        </w:tc>
        <w:tc>
          <w:tcPr>
            <w:tcW w:w="2048" w:type="dxa"/>
            <w:tcBorders>
              <w:top w:val="none" w:sz="4" w:space="0" w:color="000000"/>
              <w:left w:val="none" w:sz="4" w:space="0" w:color="000000"/>
              <w:bottom w:val="single" w:sz="8" w:space="0" w:color="000000"/>
              <w:right w:val="single" w:sz="8" w:space="0" w:color="000000"/>
            </w:tcBorders>
            <w:noWrap/>
            <w:tcMar>
              <w:top w:w="0" w:type="dxa"/>
              <w:left w:w="108" w:type="dxa"/>
              <w:bottom w:w="0" w:type="dxa"/>
              <w:right w:w="108" w:type="dxa"/>
            </w:tcMar>
            <w:vAlign w:val="center"/>
          </w:tcPr>
          <w:p w14:paraId="23863679" w14:textId="77777777" w:rsidR="00171AA8" w:rsidRPr="00731FE2" w:rsidRDefault="007935AB" w:rsidP="00E605B1">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плановая; неотложная; экстренная</w:t>
            </w:r>
          </w:p>
        </w:tc>
        <w:tc>
          <w:tcPr>
            <w:tcW w:w="2268" w:type="dxa"/>
            <w:tcBorders>
              <w:top w:val="none" w:sz="4" w:space="0" w:color="000000"/>
              <w:left w:val="none" w:sz="4" w:space="0" w:color="000000"/>
              <w:bottom w:val="single" w:sz="8" w:space="0" w:color="000000"/>
              <w:right w:val="single" w:sz="8" w:space="0" w:color="000000"/>
            </w:tcBorders>
            <w:noWrap/>
            <w:tcMar>
              <w:top w:w="0" w:type="dxa"/>
              <w:left w:w="108" w:type="dxa"/>
              <w:bottom w:w="0" w:type="dxa"/>
              <w:right w:w="108" w:type="dxa"/>
            </w:tcMar>
            <w:vAlign w:val="center"/>
          </w:tcPr>
          <w:p w14:paraId="6EE49094"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1 на 500 тыс. детей</w:t>
            </w:r>
          </w:p>
        </w:tc>
        <w:tc>
          <w:tcPr>
            <w:tcW w:w="1985" w:type="dxa"/>
            <w:tcBorders>
              <w:top w:val="none" w:sz="4" w:space="0" w:color="000000"/>
              <w:left w:val="none" w:sz="4" w:space="0" w:color="000000"/>
              <w:bottom w:val="single" w:sz="8" w:space="0" w:color="000000"/>
              <w:right w:val="single" w:sz="8" w:space="0" w:color="000000"/>
            </w:tcBorders>
            <w:noWrap/>
            <w:tcMar>
              <w:top w:w="0" w:type="dxa"/>
              <w:left w:w="108" w:type="dxa"/>
              <w:bottom w:w="0" w:type="dxa"/>
              <w:right w:w="108" w:type="dxa"/>
            </w:tcMar>
            <w:vAlign w:val="center"/>
          </w:tcPr>
          <w:p w14:paraId="518B68B0"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1</w:t>
            </w:r>
          </w:p>
        </w:tc>
      </w:tr>
    </w:tbl>
    <w:p w14:paraId="5647F384" w14:textId="77777777" w:rsidR="0058161E" w:rsidRPr="00731FE2" w:rsidRDefault="0058161E">
      <w:pPr>
        <w:pBdr>
          <w:top w:val="none" w:sz="4" w:space="0" w:color="000000"/>
          <w:left w:val="none" w:sz="4" w:space="0" w:color="000000"/>
          <w:bottom w:val="none" w:sz="4" w:space="0" w:color="000000"/>
          <w:right w:val="none" w:sz="4" w:space="0" w:color="000000"/>
        </w:pBdr>
        <w:spacing w:line="253" w:lineRule="atLeast"/>
        <w:rPr>
          <w:rFonts w:ascii="Calibri" w:eastAsia="Calibri" w:hAnsi="Calibri" w:cs="Calibri"/>
          <w:color w:val="000000"/>
          <w:sz w:val="22"/>
        </w:rPr>
        <w:sectPr w:rsidR="0058161E" w:rsidRPr="00731FE2" w:rsidSect="0058161E">
          <w:pgSz w:w="16838" w:h="11906" w:orient="landscape"/>
          <w:pgMar w:top="1701" w:right="1134" w:bottom="850" w:left="1134" w:header="709" w:footer="709" w:gutter="0"/>
          <w:cols w:space="708"/>
          <w:docGrid w:linePitch="360"/>
        </w:sectPr>
      </w:pPr>
    </w:p>
    <w:p w14:paraId="2155E1E7" w14:textId="77777777" w:rsidR="00171AA8" w:rsidRPr="00731FE2" w:rsidRDefault="007935AB" w:rsidP="00E605B1">
      <w:pPr>
        <w:pBdr>
          <w:top w:val="none" w:sz="4" w:space="0" w:color="000000"/>
          <w:left w:val="none" w:sz="4" w:space="0" w:color="000000"/>
          <w:bottom w:val="none" w:sz="4" w:space="0" w:color="000000"/>
          <w:right w:val="none" w:sz="4" w:space="0" w:color="000000"/>
        </w:pBdr>
        <w:rPr>
          <w:rFonts w:ascii="Times New Roman" w:hAnsi="Times New Roman" w:cs="Times New Roman"/>
          <w:szCs w:val="24"/>
        </w:rPr>
      </w:pPr>
      <w:r w:rsidRPr="00731FE2">
        <w:rPr>
          <w:rFonts w:ascii="Times New Roman" w:eastAsia="Calibri" w:hAnsi="Times New Roman" w:cs="Times New Roman"/>
          <w:b/>
          <w:color w:val="000000"/>
          <w:szCs w:val="24"/>
        </w:rPr>
        <w:lastRenderedPageBreak/>
        <w:t>Основными стратегическими целями отрасли здравоохранения на расчетный срок реализации генерального плана должны стать:</w:t>
      </w:r>
    </w:p>
    <w:p w14:paraId="76C81150" w14:textId="77777777" w:rsidR="00171AA8" w:rsidRPr="00731FE2" w:rsidRDefault="007935AB" w:rsidP="007832E7">
      <w:pPr>
        <w:numPr>
          <w:ilvl w:val="0"/>
          <w:numId w:val="120"/>
        </w:numPr>
        <w:pBdr>
          <w:top w:val="none" w:sz="4" w:space="0" w:color="000000"/>
          <w:left w:val="none" w:sz="4" w:space="0" w:color="000000"/>
          <w:bottom w:val="none" w:sz="4" w:space="0" w:color="000000"/>
          <w:right w:val="none" w:sz="4" w:space="0" w:color="000000"/>
        </w:pBdr>
        <w:rPr>
          <w:rFonts w:ascii="Times New Roman" w:hAnsi="Times New Roman" w:cs="Times New Roman"/>
          <w:szCs w:val="24"/>
        </w:rPr>
      </w:pPr>
      <w:r w:rsidRPr="00731FE2">
        <w:rPr>
          <w:rFonts w:ascii="Times New Roman" w:eastAsia="Calibri" w:hAnsi="Times New Roman" w:cs="Times New Roman"/>
          <w:b/>
          <w:color w:val="000000"/>
          <w:szCs w:val="24"/>
        </w:rPr>
        <w:t>развитие первичной медико-санитарной помощи;</w:t>
      </w:r>
    </w:p>
    <w:p w14:paraId="744D2551" w14:textId="77777777" w:rsidR="00171AA8" w:rsidRPr="00731FE2" w:rsidRDefault="007935AB" w:rsidP="007832E7">
      <w:pPr>
        <w:numPr>
          <w:ilvl w:val="0"/>
          <w:numId w:val="120"/>
        </w:numPr>
        <w:pBdr>
          <w:top w:val="none" w:sz="4" w:space="0" w:color="000000"/>
          <w:left w:val="none" w:sz="4" w:space="0" w:color="000000"/>
          <w:bottom w:val="none" w:sz="4" w:space="0" w:color="000000"/>
          <w:right w:val="none" w:sz="4" w:space="0" w:color="000000"/>
        </w:pBdr>
        <w:rPr>
          <w:rFonts w:ascii="Times New Roman" w:hAnsi="Times New Roman" w:cs="Times New Roman"/>
          <w:szCs w:val="24"/>
        </w:rPr>
      </w:pPr>
      <w:r w:rsidRPr="00731FE2">
        <w:rPr>
          <w:rFonts w:ascii="Times New Roman" w:eastAsia="Calibri" w:hAnsi="Times New Roman" w:cs="Times New Roman"/>
          <w:b/>
          <w:color w:val="000000"/>
          <w:szCs w:val="24"/>
        </w:rPr>
        <w:t>развитие стационарного медицинского обслуживания по отдельным направлениям (педиатрия, специализированные виды помощи).</w:t>
      </w:r>
    </w:p>
    <w:p w14:paraId="4E9D8CFC" w14:textId="77777777" w:rsidR="00171AA8" w:rsidRPr="00731FE2" w:rsidRDefault="007935AB" w:rsidP="00E605B1">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b/>
          <w:bCs/>
          <w:color w:val="000000"/>
          <w:szCs w:val="24"/>
        </w:rPr>
        <w:t>Культура и искусство</w:t>
      </w:r>
      <w:r w:rsidRPr="00731FE2">
        <w:rPr>
          <w:rFonts w:ascii="Times New Roman" w:eastAsia="Times New Roman" w:hAnsi="Times New Roman" w:cs="Times New Roman"/>
          <w:color w:val="000000"/>
          <w:szCs w:val="24"/>
        </w:rPr>
        <w:t>.</w:t>
      </w:r>
      <w:r w:rsidRPr="00731FE2">
        <w:rPr>
          <w:rFonts w:ascii="Times New Roman" w:eastAsia="Arial" w:hAnsi="Times New Roman" w:cs="Times New Roman"/>
          <w:b/>
          <w:color w:val="000000"/>
          <w:szCs w:val="24"/>
        </w:rPr>
        <w:t xml:space="preserve"> </w:t>
      </w:r>
      <w:r w:rsidRPr="00731FE2">
        <w:rPr>
          <w:rFonts w:ascii="Times New Roman" w:eastAsia="Times New Roman" w:hAnsi="Times New Roman" w:cs="Times New Roman"/>
          <w:color w:val="000000"/>
          <w:szCs w:val="24"/>
        </w:rPr>
        <w:t>Потребность мест в учреждениях культуры в данной работе рассчитана по среднему варианту прогноза численности населения и в соответствии с «Методическими рекомендациями субъектам Российской Федерации и органам местного самоуправления по развитию сети организаций культуры и обеспеченности населения услугами организаций культуры».</w:t>
      </w:r>
    </w:p>
    <w:p w14:paraId="0D36836E" w14:textId="77777777" w:rsidR="00171AA8" w:rsidRPr="00731FE2" w:rsidRDefault="00171AA8" w:rsidP="00E605B1">
      <w:pPr>
        <w:pBdr>
          <w:top w:val="none" w:sz="4" w:space="0" w:color="000000"/>
          <w:left w:val="none" w:sz="4" w:space="0" w:color="000000"/>
          <w:bottom w:val="none" w:sz="4" w:space="0" w:color="000000"/>
          <w:right w:val="none" w:sz="4" w:space="0" w:color="000000"/>
        </w:pBdr>
        <w:rPr>
          <w:rFonts w:ascii="Times New Roman" w:hAnsi="Times New Roman" w:cs="Times New Roman"/>
          <w:szCs w:val="24"/>
        </w:rPr>
      </w:pPr>
    </w:p>
    <w:p w14:paraId="7F5CCB4E" w14:textId="77777777" w:rsidR="00171AA8" w:rsidRPr="00731FE2" w:rsidRDefault="00E605B1" w:rsidP="00E605B1">
      <w:pPr>
        <w:pBdr>
          <w:top w:val="none" w:sz="4" w:space="0" w:color="000000"/>
          <w:left w:val="none" w:sz="4" w:space="0" w:color="000000"/>
          <w:bottom w:val="none" w:sz="4" w:space="0" w:color="000000"/>
          <w:right w:val="none" w:sz="4" w:space="0" w:color="000000"/>
        </w:pBdr>
        <w:spacing w:line="240" w:lineRule="auto"/>
        <w:ind w:firstLine="0"/>
        <w:rPr>
          <w:rFonts w:ascii="Times New Roman" w:hAnsi="Times New Roman" w:cs="Times New Roman"/>
          <w:b/>
          <w:bCs/>
          <w:color w:val="000000" w:themeColor="text1"/>
          <w:szCs w:val="24"/>
        </w:rPr>
      </w:pPr>
      <w:r w:rsidRPr="00731FE2">
        <w:rPr>
          <w:rFonts w:ascii="Times New Roman" w:hAnsi="Times New Roman" w:cs="Times New Roman"/>
          <w:b/>
          <w:bCs/>
          <w:color w:val="000000" w:themeColor="text1"/>
          <w:szCs w:val="24"/>
        </w:rPr>
        <w:t xml:space="preserve">Таблица </w:t>
      </w:r>
      <w:r w:rsidRPr="00731FE2">
        <w:rPr>
          <w:rFonts w:ascii="Times New Roman" w:hAnsi="Times New Roman" w:cs="Times New Roman"/>
          <w:b/>
          <w:bCs/>
          <w:color w:val="000000" w:themeColor="text1"/>
          <w:szCs w:val="24"/>
        </w:rPr>
        <w:fldChar w:fldCharType="begin"/>
      </w:r>
      <w:r w:rsidRPr="00731FE2">
        <w:rPr>
          <w:rFonts w:ascii="Times New Roman" w:hAnsi="Times New Roman" w:cs="Times New Roman"/>
          <w:b/>
          <w:bCs/>
          <w:color w:val="000000" w:themeColor="text1"/>
          <w:szCs w:val="24"/>
        </w:rPr>
        <w:instrText xml:space="preserve"> SEQ Таблица \* Arabic </w:instrText>
      </w:r>
      <w:r w:rsidRPr="00731FE2">
        <w:rPr>
          <w:rFonts w:ascii="Times New Roman" w:hAnsi="Times New Roman" w:cs="Times New Roman"/>
          <w:b/>
          <w:bCs/>
          <w:color w:val="000000" w:themeColor="text1"/>
          <w:szCs w:val="24"/>
        </w:rPr>
        <w:fldChar w:fldCharType="separate"/>
      </w:r>
      <w:r w:rsidR="00C50915" w:rsidRPr="00731FE2">
        <w:rPr>
          <w:rFonts w:ascii="Times New Roman" w:hAnsi="Times New Roman" w:cs="Times New Roman"/>
          <w:b/>
          <w:bCs/>
          <w:noProof/>
          <w:color w:val="000000" w:themeColor="text1"/>
          <w:szCs w:val="24"/>
        </w:rPr>
        <w:t>79</w:t>
      </w:r>
      <w:r w:rsidRPr="00731FE2">
        <w:rPr>
          <w:rFonts w:ascii="Times New Roman" w:hAnsi="Times New Roman" w:cs="Times New Roman"/>
          <w:b/>
          <w:bCs/>
          <w:color w:val="000000" w:themeColor="text1"/>
          <w:szCs w:val="24"/>
        </w:rPr>
        <w:fldChar w:fldCharType="end"/>
      </w:r>
      <w:r w:rsidRPr="00731FE2">
        <w:rPr>
          <w:rFonts w:ascii="Times New Roman" w:hAnsi="Times New Roman" w:cs="Times New Roman"/>
          <w:b/>
          <w:bCs/>
          <w:color w:val="000000" w:themeColor="text1"/>
          <w:szCs w:val="24"/>
        </w:rPr>
        <w:t xml:space="preserve"> – </w:t>
      </w:r>
      <w:r w:rsidR="007935AB" w:rsidRPr="00731FE2">
        <w:rPr>
          <w:rFonts w:ascii="Times New Roman" w:hAnsi="Times New Roman" w:cs="Times New Roman"/>
          <w:b/>
          <w:bCs/>
          <w:color w:val="000000" w:themeColor="text1"/>
          <w:szCs w:val="24"/>
        </w:rPr>
        <w:t xml:space="preserve">Расчет фактических и нормативных показателей культурной сферы городского округа города-курорта Кисловодска </w:t>
      </w:r>
    </w:p>
    <w:tbl>
      <w:tblPr>
        <w:tblStyle w:val="afe"/>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2165"/>
        <w:gridCol w:w="2004"/>
        <w:gridCol w:w="1577"/>
        <w:gridCol w:w="1222"/>
        <w:gridCol w:w="1225"/>
        <w:gridCol w:w="1378"/>
      </w:tblGrid>
      <w:tr w:rsidR="00171AA8" w:rsidRPr="00731FE2" w14:paraId="5B709964" w14:textId="77777777" w:rsidTr="00E605B1">
        <w:trPr>
          <w:trHeight w:val="740"/>
        </w:trPr>
        <w:tc>
          <w:tcPr>
            <w:tcW w:w="2168" w:type="dxa"/>
            <w:vMerge w:val="restart"/>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14:paraId="25F05FF5"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b/>
                <w:bCs/>
                <w:color w:val="000000"/>
                <w:sz w:val="22"/>
              </w:rPr>
            </w:pPr>
            <w:r w:rsidRPr="00731FE2">
              <w:rPr>
                <w:rFonts w:ascii="Times New Roman" w:eastAsia="Times New Roman" w:hAnsi="Times New Roman" w:cs="Times New Roman"/>
                <w:b/>
                <w:bCs/>
                <w:color w:val="000000"/>
                <w:sz w:val="22"/>
              </w:rPr>
              <w:t>Наименование</w:t>
            </w:r>
          </w:p>
        </w:tc>
        <w:tc>
          <w:tcPr>
            <w:tcW w:w="2010" w:type="dxa"/>
            <w:vMerge w:val="restart"/>
            <w:tcBorders>
              <w:top w:val="single" w:sz="8" w:space="0" w:color="000000"/>
              <w:left w:val="none" w:sz="4" w:space="0" w:color="000000"/>
              <w:bottom w:val="single" w:sz="8" w:space="0" w:color="000000"/>
              <w:right w:val="single" w:sz="8" w:space="0" w:color="000000"/>
            </w:tcBorders>
            <w:tcMar>
              <w:top w:w="0" w:type="dxa"/>
              <w:left w:w="108" w:type="dxa"/>
              <w:bottom w:w="0" w:type="dxa"/>
              <w:right w:w="108" w:type="dxa"/>
            </w:tcMar>
          </w:tcPr>
          <w:p w14:paraId="119DEDC8"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b/>
                <w:bCs/>
                <w:color w:val="000000"/>
                <w:sz w:val="22"/>
              </w:rPr>
            </w:pPr>
            <w:r w:rsidRPr="00731FE2">
              <w:rPr>
                <w:rFonts w:ascii="Times New Roman" w:eastAsia="Times New Roman" w:hAnsi="Times New Roman" w:cs="Times New Roman"/>
                <w:b/>
                <w:bCs/>
                <w:color w:val="000000"/>
                <w:sz w:val="22"/>
              </w:rPr>
              <w:t>Норматив</w:t>
            </w:r>
          </w:p>
        </w:tc>
        <w:tc>
          <w:tcPr>
            <w:tcW w:w="1345" w:type="dxa"/>
            <w:vMerge w:val="restart"/>
            <w:tcBorders>
              <w:top w:val="single" w:sz="8" w:space="0" w:color="000000"/>
              <w:left w:val="none" w:sz="4" w:space="0" w:color="000000"/>
              <w:bottom w:val="single" w:sz="8" w:space="0" w:color="000000"/>
              <w:right w:val="single" w:sz="8" w:space="0" w:color="000000"/>
            </w:tcBorders>
            <w:tcMar>
              <w:top w:w="0" w:type="dxa"/>
              <w:left w:w="108" w:type="dxa"/>
              <w:bottom w:w="0" w:type="dxa"/>
              <w:right w:w="108" w:type="dxa"/>
            </w:tcMar>
          </w:tcPr>
          <w:p w14:paraId="72B7D8D6"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b/>
                <w:bCs/>
                <w:color w:val="000000"/>
                <w:sz w:val="22"/>
              </w:rPr>
            </w:pPr>
            <w:r w:rsidRPr="00731FE2">
              <w:rPr>
                <w:rFonts w:ascii="Times New Roman" w:eastAsia="Times New Roman" w:hAnsi="Times New Roman" w:cs="Times New Roman"/>
                <w:b/>
                <w:bCs/>
                <w:color w:val="000000"/>
                <w:sz w:val="22"/>
              </w:rPr>
              <w:t>Сохраняемая мощность действующих объектов</w:t>
            </w:r>
          </w:p>
        </w:tc>
        <w:tc>
          <w:tcPr>
            <w:tcW w:w="1226" w:type="dxa"/>
            <w:tcBorders>
              <w:top w:val="single" w:sz="8"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12067904" w14:textId="77777777" w:rsidR="00171AA8" w:rsidRPr="00731FE2" w:rsidRDefault="007935AB" w:rsidP="00E605B1">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b/>
                <w:bCs/>
                <w:color w:val="000000"/>
                <w:sz w:val="22"/>
              </w:rPr>
            </w:pPr>
            <w:r w:rsidRPr="00731FE2">
              <w:rPr>
                <w:rFonts w:ascii="Times New Roman" w:eastAsia="Times New Roman" w:hAnsi="Times New Roman" w:cs="Times New Roman"/>
                <w:b/>
                <w:bCs/>
                <w:color w:val="000000"/>
                <w:sz w:val="22"/>
              </w:rPr>
              <w:t>2024</w:t>
            </w:r>
          </w:p>
        </w:tc>
        <w:tc>
          <w:tcPr>
            <w:tcW w:w="1226" w:type="dxa"/>
            <w:tcBorders>
              <w:top w:val="single" w:sz="8"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1D5D37E4" w14:textId="77777777" w:rsidR="00171AA8" w:rsidRPr="00731FE2" w:rsidRDefault="007935AB" w:rsidP="00E605B1">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b/>
                <w:bCs/>
                <w:color w:val="000000"/>
                <w:sz w:val="22"/>
              </w:rPr>
            </w:pPr>
            <w:r w:rsidRPr="00731FE2">
              <w:rPr>
                <w:rFonts w:ascii="Times New Roman" w:eastAsia="Times New Roman" w:hAnsi="Times New Roman" w:cs="Times New Roman"/>
                <w:b/>
                <w:bCs/>
                <w:color w:val="000000"/>
                <w:sz w:val="22"/>
              </w:rPr>
              <w:t>2044</w:t>
            </w:r>
          </w:p>
        </w:tc>
        <w:tc>
          <w:tcPr>
            <w:tcW w:w="1379" w:type="dxa"/>
            <w:vMerge w:val="restart"/>
            <w:tcBorders>
              <w:top w:val="single" w:sz="8" w:space="0" w:color="000000"/>
              <w:left w:val="none" w:sz="4" w:space="0" w:color="000000"/>
              <w:bottom w:val="single" w:sz="8" w:space="0" w:color="000000"/>
              <w:right w:val="single" w:sz="8" w:space="0" w:color="000000"/>
            </w:tcBorders>
            <w:tcMar>
              <w:top w:w="0" w:type="dxa"/>
              <w:left w:w="108" w:type="dxa"/>
              <w:bottom w:w="0" w:type="dxa"/>
              <w:right w:w="108" w:type="dxa"/>
            </w:tcMar>
          </w:tcPr>
          <w:p w14:paraId="1C35EA77"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b/>
                <w:bCs/>
                <w:color w:val="000000"/>
                <w:sz w:val="22"/>
              </w:rPr>
            </w:pPr>
            <w:r w:rsidRPr="00731FE2">
              <w:rPr>
                <w:rFonts w:ascii="Times New Roman" w:eastAsia="Times New Roman" w:hAnsi="Times New Roman" w:cs="Times New Roman"/>
                <w:b/>
                <w:bCs/>
                <w:color w:val="000000"/>
                <w:sz w:val="22"/>
              </w:rPr>
              <w:t>Дефицит (-), профицит (+) на 2044 год</w:t>
            </w:r>
          </w:p>
        </w:tc>
      </w:tr>
      <w:tr w:rsidR="00171AA8" w:rsidRPr="00731FE2" w14:paraId="2FE7A8A2" w14:textId="77777777" w:rsidTr="00E605B1">
        <w:trPr>
          <w:trHeight w:val="58"/>
        </w:trPr>
        <w:tc>
          <w:tcPr>
            <w:tcW w:w="0" w:type="auto"/>
            <w:vMerge/>
            <w:tcBorders>
              <w:top w:val="single" w:sz="8" w:space="0" w:color="000000"/>
              <w:left w:val="single" w:sz="8" w:space="0" w:color="000000"/>
              <w:bottom w:val="single" w:sz="8" w:space="0" w:color="000000"/>
              <w:right w:val="single" w:sz="8" w:space="0" w:color="000000"/>
            </w:tcBorders>
          </w:tcPr>
          <w:p w14:paraId="09B97A15" w14:textId="77777777" w:rsidR="00171AA8" w:rsidRPr="00731FE2" w:rsidRDefault="00171AA8">
            <w:pPr>
              <w:rPr>
                <w:rFonts w:ascii="Times New Roman" w:hAnsi="Times New Roman" w:cs="Times New Roman"/>
                <w:sz w:val="22"/>
              </w:rPr>
            </w:pPr>
          </w:p>
        </w:tc>
        <w:tc>
          <w:tcPr>
            <w:tcW w:w="0" w:type="auto"/>
            <w:vMerge/>
            <w:tcBorders>
              <w:top w:val="single" w:sz="8" w:space="0" w:color="000000"/>
              <w:left w:val="none" w:sz="4" w:space="0" w:color="000000"/>
              <w:bottom w:val="single" w:sz="8" w:space="0" w:color="000000"/>
              <w:right w:val="single" w:sz="8" w:space="0" w:color="000000"/>
            </w:tcBorders>
          </w:tcPr>
          <w:p w14:paraId="2B8D288F" w14:textId="77777777" w:rsidR="00171AA8" w:rsidRPr="00731FE2" w:rsidRDefault="00171AA8">
            <w:pPr>
              <w:rPr>
                <w:rFonts w:ascii="Times New Roman" w:hAnsi="Times New Roman" w:cs="Times New Roman"/>
                <w:sz w:val="22"/>
              </w:rPr>
            </w:pPr>
          </w:p>
        </w:tc>
        <w:tc>
          <w:tcPr>
            <w:tcW w:w="0" w:type="auto"/>
            <w:vMerge/>
            <w:tcBorders>
              <w:top w:val="single" w:sz="8" w:space="0" w:color="000000"/>
              <w:left w:val="none" w:sz="4" w:space="0" w:color="000000"/>
              <w:bottom w:val="single" w:sz="8" w:space="0" w:color="000000"/>
              <w:right w:val="single" w:sz="8" w:space="0" w:color="000000"/>
            </w:tcBorders>
          </w:tcPr>
          <w:p w14:paraId="6159C0E0" w14:textId="77777777" w:rsidR="00171AA8" w:rsidRPr="00731FE2" w:rsidRDefault="00171AA8">
            <w:pPr>
              <w:rPr>
                <w:rFonts w:ascii="Times New Roman" w:hAnsi="Times New Roman" w:cs="Times New Roman"/>
                <w:sz w:val="22"/>
              </w:rPr>
            </w:pPr>
          </w:p>
        </w:tc>
        <w:tc>
          <w:tcPr>
            <w:tcW w:w="1226"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4B4943CA" w14:textId="77777777" w:rsidR="00171AA8" w:rsidRPr="00731FE2" w:rsidRDefault="007935AB" w:rsidP="00E605B1">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b/>
                <w:bCs/>
                <w:color w:val="000000"/>
                <w:sz w:val="22"/>
              </w:rPr>
            </w:pPr>
            <w:r w:rsidRPr="00731FE2">
              <w:rPr>
                <w:rFonts w:ascii="Times New Roman" w:eastAsia="Times New Roman" w:hAnsi="Times New Roman" w:cs="Times New Roman"/>
                <w:b/>
                <w:bCs/>
                <w:color w:val="000000"/>
                <w:sz w:val="22"/>
              </w:rPr>
              <w:t>Факт,</w:t>
            </w:r>
          </w:p>
          <w:p w14:paraId="54BA843C" w14:textId="77777777" w:rsidR="00171AA8" w:rsidRPr="00731FE2" w:rsidRDefault="007935AB" w:rsidP="00E605B1">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b/>
                <w:bCs/>
                <w:color w:val="000000"/>
                <w:sz w:val="22"/>
              </w:rPr>
            </w:pPr>
            <w:r w:rsidRPr="00731FE2">
              <w:rPr>
                <w:rFonts w:ascii="Times New Roman" w:eastAsia="Times New Roman" w:hAnsi="Times New Roman" w:cs="Times New Roman"/>
                <w:b/>
                <w:bCs/>
                <w:color w:val="000000"/>
                <w:sz w:val="22"/>
              </w:rPr>
              <w:t>тыс. чел.</w:t>
            </w:r>
          </w:p>
        </w:tc>
        <w:tc>
          <w:tcPr>
            <w:tcW w:w="1226"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126FC233" w14:textId="77777777" w:rsidR="00171AA8" w:rsidRPr="00731FE2" w:rsidRDefault="007935AB" w:rsidP="00E605B1">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b/>
                <w:bCs/>
                <w:color w:val="000000"/>
                <w:sz w:val="22"/>
              </w:rPr>
            </w:pPr>
            <w:r w:rsidRPr="00731FE2">
              <w:rPr>
                <w:rFonts w:ascii="Times New Roman" w:eastAsia="Times New Roman" w:hAnsi="Times New Roman" w:cs="Times New Roman"/>
                <w:b/>
                <w:bCs/>
                <w:color w:val="000000"/>
                <w:sz w:val="22"/>
              </w:rPr>
              <w:t>Прогноз, тыс. чел.</w:t>
            </w:r>
          </w:p>
        </w:tc>
        <w:tc>
          <w:tcPr>
            <w:tcW w:w="0" w:type="auto"/>
            <w:vMerge/>
            <w:tcBorders>
              <w:top w:val="single" w:sz="8" w:space="0" w:color="000000"/>
              <w:left w:val="none" w:sz="4" w:space="0" w:color="000000"/>
              <w:bottom w:val="single" w:sz="8" w:space="0" w:color="000000"/>
              <w:right w:val="single" w:sz="8" w:space="0" w:color="000000"/>
            </w:tcBorders>
          </w:tcPr>
          <w:p w14:paraId="6479CE2E" w14:textId="77777777" w:rsidR="00171AA8" w:rsidRPr="00731FE2" w:rsidRDefault="00171AA8">
            <w:pPr>
              <w:rPr>
                <w:rFonts w:ascii="Times New Roman" w:hAnsi="Times New Roman" w:cs="Times New Roman"/>
                <w:sz w:val="22"/>
              </w:rPr>
            </w:pPr>
          </w:p>
        </w:tc>
      </w:tr>
      <w:tr w:rsidR="00171AA8" w:rsidRPr="00731FE2" w14:paraId="2EAFE75E" w14:textId="77777777" w:rsidTr="00E605B1">
        <w:trPr>
          <w:trHeight w:val="58"/>
        </w:trPr>
        <w:tc>
          <w:tcPr>
            <w:tcW w:w="0" w:type="auto"/>
            <w:vMerge/>
            <w:tcBorders>
              <w:top w:val="single" w:sz="8" w:space="0" w:color="000000"/>
              <w:left w:val="single" w:sz="8" w:space="0" w:color="000000"/>
              <w:bottom w:val="single" w:sz="8" w:space="0" w:color="000000"/>
              <w:right w:val="single" w:sz="8" w:space="0" w:color="000000"/>
            </w:tcBorders>
          </w:tcPr>
          <w:p w14:paraId="653D143C" w14:textId="77777777" w:rsidR="00171AA8" w:rsidRPr="00731FE2" w:rsidRDefault="00171AA8">
            <w:pPr>
              <w:rPr>
                <w:rFonts w:ascii="Times New Roman" w:hAnsi="Times New Roman" w:cs="Times New Roman"/>
                <w:sz w:val="22"/>
              </w:rPr>
            </w:pPr>
          </w:p>
        </w:tc>
        <w:tc>
          <w:tcPr>
            <w:tcW w:w="0" w:type="auto"/>
            <w:vMerge/>
            <w:tcBorders>
              <w:top w:val="single" w:sz="8" w:space="0" w:color="000000"/>
              <w:left w:val="none" w:sz="4" w:space="0" w:color="000000"/>
              <w:bottom w:val="single" w:sz="8" w:space="0" w:color="000000"/>
              <w:right w:val="single" w:sz="8" w:space="0" w:color="000000"/>
            </w:tcBorders>
          </w:tcPr>
          <w:p w14:paraId="733E2347" w14:textId="77777777" w:rsidR="00171AA8" w:rsidRPr="00731FE2" w:rsidRDefault="00171AA8">
            <w:pPr>
              <w:rPr>
                <w:rFonts w:ascii="Times New Roman" w:hAnsi="Times New Roman" w:cs="Times New Roman"/>
                <w:sz w:val="22"/>
              </w:rPr>
            </w:pPr>
          </w:p>
        </w:tc>
        <w:tc>
          <w:tcPr>
            <w:tcW w:w="0" w:type="auto"/>
            <w:vMerge/>
            <w:tcBorders>
              <w:top w:val="single" w:sz="8" w:space="0" w:color="000000"/>
              <w:left w:val="none" w:sz="4" w:space="0" w:color="000000"/>
              <w:bottom w:val="single" w:sz="8" w:space="0" w:color="000000"/>
              <w:right w:val="single" w:sz="8" w:space="0" w:color="000000"/>
            </w:tcBorders>
          </w:tcPr>
          <w:p w14:paraId="31DC40B2" w14:textId="77777777" w:rsidR="00171AA8" w:rsidRPr="00731FE2" w:rsidRDefault="00171AA8">
            <w:pPr>
              <w:rPr>
                <w:rFonts w:ascii="Times New Roman" w:hAnsi="Times New Roman" w:cs="Times New Roman"/>
                <w:sz w:val="22"/>
              </w:rPr>
            </w:pPr>
          </w:p>
        </w:tc>
        <w:tc>
          <w:tcPr>
            <w:tcW w:w="1226"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69AAC7B3" w14:textId="77777777" w:rsidR="00171AA8" w:rsidRPr="00731FE2" w:rsidRDefault="007935AB" w:rsidP="00E605B1">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b/>
                <w:bCs/>
                <w:color w:val="000000"/>
                <w:sz w:val="22"/>
              </w:rPr>
            </w:pPr>
            <w:r w:rsidRPr="00731FE2">
              <w:rPr>
                <w:rFonts w:ascii="Times New Roman" w:eastAsia="Times New Roman" w:hAnsi="Times New Roman" w:cs="Times New Roman"/>
                <w:b/>
                <w:bCs/>
                <w:color w:val="000000"/>
                <w:sz w:val="22"/>
              </w:rPr>
              <w:t>331,4</w:t>
            </w:r>
          </w:p>
        </w:tc>
        <w:tc>
          <w:tcPr>
            <w:tcW w:w="1226"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57BC1277" w14:textId="77777777" w:rsidR="00171AA8" w:rsidRPr="00731FE2" w:rsidRDefault="007935AB" w:rsidP="00E605B1">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b/>
                <w:bCs/>
                <w:color w:val="000000"/>
                <w:sz w:val="22"/>
              </w:rPr>
            </w:pPr>
            <w:r w:rsidRPr="00731FE2">
              <w:rPr>
                <w:rFonts w:ascii="Times New Roman" w:eastAsia="Times New Roman" w:hAnsi="Times New Roman" w:cs="Times New Roman"/>
                <w:b/>
                <w:bCs/>
                <w:color w:val="000000"/>
                <w:sz w:val="22"/>
              </w:rPr>
              <w:t>366,2</w:t>
            </w:r>
          </w:p>
        </w:tc>
        <w:tc>
          <w:tcPr>
            <w:tcW w:w="0" w:type="auto"/>
            <w:vMerge/>
            <w:tcBorders>
              <w:top w:val="single" w:sz="8" w:space="0" w:color="000000"/>
              <w:left w:val="none" w:sz="4" w:space="0" w:color="000000"/>
              <w:bottom w:val="single" w:sz="8" w:space="0" w:color="000000"/>
              <w:right w:val="single" w:sz="8" w:space="0" w:color="000000"/>
            </w:tcBorders>
          </w:tcPr>
          <w:p w14:paraId="651D4368" w14:textId="77777777" w:rsidR="00171AA8" w:rsidRPr="00731FE2" w:rsidRDefault="00171AA8">
            <w:pPr>
              <w:rPr>
                <w:rFonts w:ascii="Times New Roman" w:hAnsi="Times New Roman" w:cs="Times New Roman"/>
                <w:sz w:val="22"/>
              </w:rPr>
            </w:pPr>
          </w:p>
        </w:tc>
      </w:tr>
      <w:tr w:rsidR="00171AA8" w:rsidRPr="00731FE2" w14:paraId="54E8B8D8" w14:textId="77777777">
        <w:tc>
          <w:tcPr>
            <w:tcW w:w="2168"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tcPr>
          <w:p w14:paraId="2D4BBAEB"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 xml:space="preserve">Театр по видам искусств </w:t>
            </w:r>
          </w:p>
        </w:tc>
        <w:tc>
          <w:tcPr>
            <w:tcW w:w="2010"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4D4EA4EF"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 на население от 100 до 200 тыс. чел.</w:t>
            </w:r>
          </w:p>
        </w:tc>
        <w:tc>
          <w:tcPr>
            <w:tcW w:w="1345"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5D1A3D50"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w:t>
            </w:r>
          </w:p>
        </w:tc>
        <w:tc>
          <w:tcPr>
            <w:tcW w:w="1226"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52AF13C2"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w:t>
            </w:r>
          </w:p>
        </w:tc>
        <w:tc>
          <w:tcPr>
            <w:tcW w:w="1226"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2195D052"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2</w:t>
            </w:r>
          </w:p>
        </w:tc>
        <w:tc>
          <w:tcPr>
            <w:tcW w:w="1379"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0B65A146"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- 2</w:t>
            </w:r>
          </w:p>
        </w:tc>
      </w:tr>
      <w:tr w:rsidR="00171AA8" w:rsidRPr="00731FE2" w14:paraId="138ECFC9" w14:textId="77777777">
        <w:tc>
          <w:tcPr>
            <w:tcW w:w="2168"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tcPr>
          <w:p w14:paraId="7F081C11"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 xml:space="preserve">Концертный зал </w:t>
            </w:r>
          </w:p>
        </w:tc>
        <w:tc>
          <w:tcPr>
            <w:tcW w:w="2010"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7529C410"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 независимо от количества населения</w:t>
            </w:r>
          </w:p>
        </w:tc>
        <w:tc>
          <w:tcPr>
            <w:tcW w:w="1345"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5E539ECF"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w:t>
            </w:r>
          </w:p>
        </w:tc>
        <w:tc>
          <w:tcPr>
            <w:tcW w:w="1226"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490054EC"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w:t>
            </w:r>
          </w:p>
        </w:tc>
        <w:tc>
          <w:tcPr>
            <w:tcW w:w="1226"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2CC6C6E4"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w:t>
            </w:r>
          </w:p>
        </w:tc>
        <w:tc>
          <w:tcPr>
            <w:tcW w:w="1379"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60C8D48B"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 xml:space="preserve">- 1 </w:t>
            </w:r>
          </w:p>
        </w:tc>
      </w:tr>
      <w:tr w:rsidR="00171AA8" w:rsidRPr="00731FE2" w14:paraId="29BDCF64" w14:textId="77777777">
        <w:tc>
          <w:tcPr>
            <w:tcW w:w="2168"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tcPr>
          <w:p w14:paraId="68C60C16"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Концертный творческий коллектив</w:t>
            </w:r>
          </w:p>
        </w:tc>
        <w:tc>
          <w:tcPr>
            <w:tcW w:w="2010"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10CA9F6E"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 независимо от количества населения</w:t>
            </w:r>
          </w:p>
        </w:tc>
        <w:tc>
          <w:tcPr>
            <w:tcW w:w="1345"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485306F8"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4</w:t>
            </w:r>
          </w:p>
        </w:tc>
        <w:tc>
          <w:tcPr>
            <w:tcW w:w="1226"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343F20ED"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4</w:t>
            </w:r>
          </w:p>
        </w:tc>
        <w:tc>
          <w:tcPr>
            <w:tcW w:w="1226"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74DEECDA"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4</w:t>
            </w:r>
          </w:p>
        </w:tc>
        <w:tc>
          <w:tcPr>
            <w:tcW w:w="1379"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27314F59"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w:t>
            </w:r>
          </w:p>
        </w:tc>
      </w:tr>
      <w:tr w:rsidR="00171AA8" w:rsidRPr="00731FE2" w14:paraId="236137E4" w14:textId="77777777">
        <w:tc>
          <w:tcPr>
            <w:tcW w:w="2168"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tcPr>
          <w:p w14:paraId="71CA02CC"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Цирковая площадка (цирковой коллектив)</w:t>
            </w:r>
          </w:p>
        </w:tc>
        <w:tc>
          <w:tcPr>
            <w:tcW w:w="2010"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6DDA3348"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 на население от 100 до 500 тыс. чел.</w:t>
            </w:r>
          </w:p>
        </w:tc>
        <w:tc>
          <w:tcPr>
            <w:tcW w:w="1345"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66EE5601"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w:t>
            </w:r>
          </w:p>
        </w:tc>
        <w:tc>
          <w:tcPr>
            <w:tcW w:w="1226"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60664026"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w:t>
            </w:r>
          </w:p>
        </w:tc>
        <w:tc>
          <w:tcPr>
            <w:tcW w:w="1226"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4DB7DF33"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w:t>
            </w:r>
          </w:p>
        </w:tc>
        <w:tc>
          <w:tcPr>
            <w:tcW w:w="1379"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21FA88DD"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w:t>
            </w:r>
          </w:p>
        </w:tc>
      </w:tr>
      <w:tr w:rsidR="00171AA8" w:rsidRPr="00731FE2" w14:paraId="09B53454" w14:textId="77777777">
        <w:tc>
          <w:tcPr>
            <w:tcW w:w="2168"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tcPr>
          <w:p w14:paraId="63A9E2BE"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Музейные учреждения</w:t>
            </w:r>
          </w:p>
        </w:tc>
        <w:tc>
          <w:tcPr>
            <w:tcW w:w="2010"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076C86B7"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 xml:space="preserve">1 независимо от количества населения </w:t>
            </w:r>
          </w:p>
        </w:tc>
        <w:tc>
          <w:tcPr>
            <w:tcW w:w="1345"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6978DF56"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4</w:t>
            </w:r>
          </w:p>
        </w:tc>
        <w:tc>
          <w:tcPr>
            <w:tcW w:w="1226"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5D1CE3AC"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4</w:t>
            </w:r>
          </w:p>
        </w:tc>
        <w:tc>
          <w:tcPr>
            <w:tcW w:w="1226"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385719DF"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6</w:t>
            </w:r>
          </w:p>
        </w:tc>
        <w:tc>
          <w:tcPr>
            <w:tcW w:w="1379"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0088586E"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-2</w:t>
            </w:r>
          </w:p>
        </w:tc>
      </w:tr>
      <w:tr w:rsidR="00171AA8" w:rsidRPr="00731FE2" w14:paraId="1E9ED39F" w14:textId="77777777">
        <w:trPr>
          <w:trHeight w:val="435"/>
        </w:trPr>
        <w:tc>
          <w:tcPr>
            <w:tcW w:w="2168" w:type="dxa"/>
            <w:vMerge w:val="restart"/>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tcPr>
          <w:p w14:paraId="07A52F1F"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 xml:space="preserve">Общедоступная библиотека </w:t>
            </w:r>
          </w:p>
          <w:p w14:paraId="670D6481"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Детская библиотека</w:t>
            </w:r>
          </w:p>
          <w:p w14:paraId="07D59FD1"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 </w:t>
            </w:r>
          </w:p>
          <w:p w14:paraId="2960C2C9"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 xml:space="preserve">Точка доступа к полнотекстовым информационным ресурсам </w:t>
            </w:r>
          </w:p>
        </w:tc>
        <w:tc>
          <w:tcPr>
            <w:tcW w:w="2010"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001D52CB"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 xml:space="preserve">1 на 25 тыс. чел. </w:t>
            </w:r>
          </w:p>
        </w:tc>
        <w:tc>
          <w:tcPr>
            <w:tcW w:w="1345" w:type="dxa"/>
            <w:vMerge w:val="restart"/>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7FFDEAF1"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11</w:t>
            </w:r>
          </w:p>
        </w:tc>
        <w:tc>
          <w:tcPr>
            <w:tcW w:w="1226" w:type="dxa"/>
            <w:vMerge w:val="restart"/>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4B2B1E68"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11</w:t>
            </w:r>
          </w:p>
        </w:tc>
        <w:tc>
          <w:tcPr>
            <w:tcW w:w="1226" w:type="dxa"/>
            <w:vMerge w:val="restart"/>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503A5193"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11</w:t>
            </w:r>
          </w:p>
        </w:tc>
        <w:tc>
          <w:tcPr>
            <w:tcW w:w="1379" w:type="dxa"/>
            <w:vMerge w:val="restart"/>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68584D6A"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w:t>
            </w:r>
          </w:p>
        </w:tc>
      </w:tr>
      <w:tr w:rsidR="00171AA8" w:rsidRPr="00731FE2" w14:paraId="392869A4" w14:textId="77777777">
        <w:tc>
          <w:tcPr>
            <w:tcW w:w="0" w:type="auto"/>
            <w:vMerge/>
            <w:tcBorders>
              <w:top w:val="none" w:sz="4" w:space="0" w:color="000000"/>
              <w:left w:val="single" w:sz="8" w:space="0" w:color="000000"/>
              <w:bottom w:val="single" w:sz="8" w:space="0" w:color="000000"/>
              <w:right w:val="single" w:sz="8" w:space="0" w:color="000000"/>
            </w:tcBorders>
          </w:tcPr>
          <w:p w14:paraId="4E2934C1" w14:textId="77777777" w:rsidR="00171AA8" w:rsidRPr="00731FE2" w:rsidRDefault="00171AA8">
            <w:pPr>
              <w:rPr>
                <w:rFonts w:ascii="Times New Roman" w:hAnsi="Times New Roman" w:cs="Times New Roman"/>
                <w:sz w:val="22"/>
              </w:rPr>
            </w:pPr>
          </w:p>
        </w:tc>
        <w:tc>
          <w:tcPr>
            <w:tcW w:w="2010"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1DD9C095"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 xml:space="preserve">1 на 15 тыс. детей до 14 лет </w:t>
            </w:r>
          </w:p>
        </w:tc>
        <w:tc>
          <w:tcPr>
            <w:tcW w:w="0" w:type="auto"/>
            <w:vMerge/>
            <w:tcBorders>
              <w:top w:val="none" w:sz="4" w:space="0" w:color="000000"/>
              <w:left w:val="none" w:sz="4" w:space="0" w:color="000000"/>
              <w:bottom w:val="single" w:sz="8" w:space="0" w:color="000000"/>
              <w:right w:val="single" w:sz="8" w:space="0" w:color="000000"/>
            </w:tcBorders>
          </w:tcPr>
          <w:p w14:paraId="45BDE042" w14:textId="77777777" w:rsidR="00171AA8" w:rsidRPr="00731FE2" w:rsidRDefault="00171AA8">
            <w:pPr>
              <w:rPr>
                <w:rFonts w:ascii="Times New Roman" w:hAnsi="Times New Roman" w:cs="Times New Roman"/>
                <w:sz w:val="22"/>
              </w:rPr>
            </w:pPr>
          </w:p>
        </w:tc>
        <w:tc>
          <w:tcPr>
            <w:tcW w:w="0" w:type="auto"/>
            <w:vMerge/>
            <w:tcBorders>
              <w:top w:val="none" w:sz="4" w:space="0" w:color="000000"/>
              <w:left w:val="none" w:sz="4" w:space="0" w:color="000000"/>
              <w:bottom w:val="single" w:sz="8" w:space="0" w:color="000000"/>
              <w:right w:val="single" w:sz="8" w:space="0" w:color="000000"/>
            </w:tcBorders>
          </w:tcPr>
          <w:p w14:paraId="20510C6F" w14:textId="77777777" w:rsidR="00171AA8" w:rsidRPr="00731FE2" w:rsidRDefault="00171AA8">
            <w:pPr>
              <w:rPr>
                <w:rFonts w:ascii="Times New Roman" w:hAnsi="Times New Roman" w:cs="Times New Roman"/>
                <w:sz w:val="22"/>
              </w:rPr>
            </w:pPr>
          </w:p>
        </w:tc>
        <w:tc>
          <w:tcPr>
            <w:tcW w:w="0" w:type="auto"/>
            <w:vMerge/>
            <w:tcBorders>
              <w:top w:val="none" w:sz="4" w:space="0" w:color="000000"/>
              <w:left w:val="none" w:sz="4" w:space="0" w:color="000000"/>
              <w:bottom w:val="single" w:sz="8" w:space="0" w:color="000000"/>
              <w:right w:val="single" w:sz="8" w:space="0" w:color="000000"/>
            </w:tcBorders>
          </w:tcPr>
          <w:p w14:paraId="6056CA99" w14:textId="77777777" w:rsidR="00171AA8" w:rsidRPr="00731FE2" w:rsidRDefault="00171AA8">
            <w:pPr>
              <w:rPr>
                <w:rFonts w:ascii="Times New Roman" w:hAnsi="Times New Roman" w:cs="Times New Roman"/>
                <w:sz w:val="22"/>
              </w:rPr>
            </w:pPr>
          </w:p>
        </w:tc>
        <w:tc>
          <w:tcPr>
            <w:tcW w:w="0" w:type="auto"/>
            <w:vMerge/>
            <w:tcBorders>
              <w:top w:val="none" w:sz="4" w:space="0" w:color="000000"/>
              <w:left w:val="none" w:sz="4" w:space="0" w:color="000000"/>
              <w:bottom w:val="single" w:sz="8" w:space="0" w:color="000000"/>
              <w:right w:val="single" w:sz="8" w:space="0" w:color="000000"/>
            </w:tcBorders>
          </w:tcPr>
          <w:p w14:paraId="7CA74C56" w14:textId="77777777" w:rsidR="00171AA8" w:rsidRPr="00731FE2" w:rsidRDefault="00171AA8">
            <w:pPr>
              <w:rPr>
                <w:rFonts w:ascii="Times New Roman" w:hAnsi="Times New Roman" w:cs="Times New Roman"/>
                <w:sz w:val="22"/>
              </w:rPr>
            </w:pPr>
          </w:p>
        </w:tc>
      </w:tr>
      <w:tr w:rsidR="00171AA8" w:rsidRPr="00731FE2" w14:paraId="31C53F23" w14:textId="77777777">
        <w:tc>
          <w:tcPr>
            <w:tcW w:w="0" w:type="auto"/>
            <w:vMerge/>
            <w:tcBorders>
              <w:top w:val="none" w:sz="4" w:space="0" w:color="000000"/>
              <w:left w:val="single" w:sz="8" w:space="0" w:color="000000"/>
              <w:bottom w:val="single" w:sz="8" w:space="0" w:color="000000"/>
              <w:right w:val="single" w:sz="8" w:space="0" w:color="000000"/>
            </w:tcBorders>
          </w:tcPr>
          <w:p w14:paraId="5E698FB8" w14:textId="77777777" w:rsidR="00171AA8" w:rsidRPr="00731FE2" w:rsidRDefault="00171AA8">
            <w:pPr>
              <w:rPr>
                <w:rFonts w:ascii="Times New Roman" w:hAnsi="Times New Roman" w:cs="Times New Roman"/>
                <w:sz w:val="22"/>
              </w:rPr>
            </w:pPr>
          </w:p>
        </w:tc>
        <w:tc>
          <w:tcPr>
            <w:tcW w:w="2010"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12BB6934"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2</w:t>
            </w:r>
          </w:p>
        </w:tc>
        <w:tc>
          <w:tcPr>
            <w:tcW w:w="1345"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3ABF9DD3"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w:t>
            </w:r>
          </w:p>
        </w:tc>
        <w:tc>
          <w:tcPr>
            <w:tcW w:w="1226"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64166863"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w:t>
            </w:r>
          </w:p>
        </w:tc>
        <w:tc>
          <w:tcPr>
            <w:tcW w:w="1226"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4AAF9BC5"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w:t>
            </w:r>
          </w:p>
        </w:tc>
        <w:tc>
          <w:tcPr>
            <w:tcW w:w="1379"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4DF7AD6E"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- 2</w:t>
            </w:r>
          </w:p>
        </w:tc>
      </w:tr>
      <w:tr w:rsidR="00171AA8" w:rsidRPr="00731FE2" w14:paraId="76085FD3" w14:textId="77777777">
        <w:tc>
          <w:tcPr>
            <w:tcW w:w="2168"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tcPr>
          <w:p w14:paraId="7713E3F3"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 xml:space="preserve">Кинозал </w:t>
            </w:r>
          </w:p>
        </w:tc>
        <w:tc>
          <w:tcPr>
            <w:tcW w:w="2010"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511CD0FF"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 на 15 тыс. чел.</w:t>
            </w:r>
          </w:p>
        </w:tc>
        <w:tc>
          <w:tcPr>
            <w:tcW w:w="1345"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598A99E1"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w:t>
            </w:r>
          </w:p>
        </w:tc>
        <w:tc>
          <w:tcPr>
            <w:tcW w:w="1226"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353E4560"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w:t>
            </w:r>
          </w:p>
        </w:tc>
        <w:tc>
          <w:tcPr>
            <w:tcW w:w="1226"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30F83849"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9</w:t>
            </w:r>
          </w:p>
        </w:tc>
        <w:tc>
          <w:tcPr>
            <w:tcW w:w="1379"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3D941C24"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- 8</w:t>
            </w:r>
          </w:p>
        </w:tc>
      </w:tr>
      <w:tr w:rsidR="00171AA8" w:rsidRPr="00731FE2" w14:paraId="54226EC4" w14:textId="77777777">
        <w:tc>
          <w:tcPr>
            <w:tcW w:w="2168"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tcPr>
          <w:p w14:paraId="3A511E2F"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Культурно-досуговые учреждения</w:t>
            </w:r>
          </w:p>
        </w:tc>
        <w:tc>
          <w:tcPr>
            <w:tcW w:w="2010"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54FFC6B7"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 на 100 тыс. чел.</w:t>
            </w:r>
          </w:p>
        </w:tc>
        <w:tc>
          <w:tcPr>
            <w:tcW w:w="1345"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73774BEB"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2</w:t>
            </w:r>
          </w:p>
        </w:tc>
        <w:tc>
          <w:tcPr>
            <w:tcW w:w="1226"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42A876B9"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2</w:t>
            </w:r>
          </w:p>
        </w:tc>
        <w:tc>
          <w:tcPr>
            <w:tcW w:w="1226"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53DF76E4"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2</w:t>
            </w:r>
          </w:p>
        </w:tc>
        <w:tc>
          <w:tcPr>
            <w:tcW w:w="1379"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3EE0E0F2"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w:t>
            </w:r>
          </w:p>
        </w:tc>
      </w:tr>
      <w:tr w:rsidR="00171AA8" w:rsidRPr="00731FE2" w14:paraId="0AD3F4B2" w14:textId="77777777">
        <w:tc>
          <w:tcPr>
            <w:tcW w:w="2168"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tcPr>
          <w:p w14:paraId="480040A6"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Парки культуры и отдыха</w:t>
            </w:r>
          </w:p>
        </w:tc>
        <w:tc>
          <w:tcPr>
            <w:tcW w:w="2010"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4CBD0C47"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 на население более 30 тыс. чел.</w:t>
            </w:r>
          </w:p>
        </w:tc>
        <w:tc>
          <w:tcPr>
            <w:tcW w:w="1345"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0B8CCFD2"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w:t>
            </w:r>
          </w:p>
        </w:tc>
        <w:tc>
          <w:tcPr>
            <w:tcW w:w="1226"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340D5E77"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2</w:t>
            </w:r>
          </w:p>
        </w:tc>
        <w:tc>
          <w:tcPr>
            <w:tcW w:w="1226"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7FEDD764"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5</w:t>
            </w:r>
          </w:p>
        </w:tc>
        <w:tc>
          <w:tcPr>
            <w:tcW w:w="1379"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626D0133"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- 3</w:t>
            </w:r>
          </w:p>
        </w:tc>
      </w:tr>
    </w:tbl>
    <w:p w14:paraId="005F0B1D" w14:textId="77777777" w:rsidR="00171AA8" w:rsidRPr="00731FE2" w:rsidRDefault="00171AA8">
      <w:pPr>
        <w:pBdr>
          <w:top w:val="none" w:sz="4" w:space="0" w:color="000000"/>
          <w:left w:val="none" w:sz="4" w:space="0" w:color="000000"/>
          <w:bottom w:val="none" w:sz="4" w:space="0" w:color="000000"/>
          <w:right w:val="none" w:sz="4" w:space="0" w:color="000000"/>
        </w:pBdr>
        <w:spacing w:line="253" w:lineRule="atLeast"/>
      </w:pPr>
    </w:p>
    <w:p w14:paraId="5939FEB9" w14:textId="77777777" w:rsidR="00171AA8" w:rsidRPr="00731FE2" w:rsidRDefault="007935AB" w:rsidP="00E605B1">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В городском округе сеть культурно-просветительных учреждений развита крайне слабо.</w:t>
      </w:r>
    </w:p>
    <w:p w14:paraId="20EDD8FA" w14:textId="77777777" w:rsidR="00171AA8" w:rsidRPr="00731FE2" w:rsidRDefault="007935AB" w:rsidP="00E605B1">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lastRenderedPageBreak/>
        <w:t>В Кисловодске функционирует «Централизованная библиотечная система», включающая 11 филиалов. Однако, отсутствует точка доступа к полнотекстовым информационным ресурсам, таких точек доступа в соответствии с методическими рекомендациями в городском округе должно быть две. Виртуальные читальные залы создаются на базе центральной библиотеки городского округа, но территориально могут находиться в помещении любого из филиалов центральной библиотеки или структурных подразделений центральной библиотеки.</w:t>
      </w:r>
    </w:p>
    <w:p w14:paraId="5FA9A18C" w14:textId="77777777" w:rsidR="00171AA8" w:rsidRPr="00731FE2" w:rsidRDefault="007935AB" w:rsidP="00E605B1">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b/>
          <w:bCs/>
          <w:color w:val="000000"/>
          <w:szCs w:val="24"/>
        </w:rPr>
        <w:t>Физическая культура и спорт.</w:t>
      </w:r>
      <w:r w:rsidRPr="00731FE2">
        <w:rPr>
          <w:rFonts w:ascii="Times New Roman" w:eastAsia="Times New Roman" w:hAnsi="Times New Roman" w:cs="Times New Roman"/>
          <w:color w:val="000000"/>
          <w:szCs w:val="24"/>
        </w:rPr>
        <w:t xml:space="preserve"> В части обеспеченности учреждениями физкультуры и спорта в городском округе сохраняется серьезный недостаток всех видов объектов социальной инфраструктуры. </w:t>
      </w:r>
    </w:p>
    <w:p w14:paraId="09A75094" w14:textId="77777777" w:rsidR="00171AA8" w:rsidRPr="00731FE2" w:rsidRDefault="007935AB" w:rsidP="00E605B1">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Существующая инфраструктура большей своей частью нуждается в ремонте, а также строительстве новых объектов для обеспечения всех населенных пунктов объектами спорта.</w:t>
      </w:r>
    </w:p>
    <w:p w14:paraId="72CAF3A3" w14:textId="77777777" w:rsidR="00171AA8" w:rsidRPr="00731FE2" w:rsidRDefault="007935AB" w:rsidP="00E605B1">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Необходимость развития спортивного направления в области обусловлена стремлением городского и сельского населения к занятиям спортом и ведению здорового образа жизни, а также необходимостью повышения уровня физического здоровья граждан.</w:t>
      </w:r>
    </w:p>
    <w:p w14:paraId="6EF1A50E" w14:textId="77777777" w:rsidR="00171AA8" w:rsidRPr="00731FE2" w:rsidRDefault="007935AB" w:rsidP="00E605B1">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В соответствии со средним сценарием изменения численности населения области до 2043 г. и на основе Приказа Министерства спорта Российской Федерации от 19 августа 2021 года № 649 «О рекомендованных нормативах и нормах обеспеченности населения объектами спортивной инфраст</w:t>
      </w:r>
      <w:r w:rsidR="00E605B1" w:rsidRPr="00731FE2">
        <w:rPr>
          <w:rFonts w:ascii="Times New Roman" w:eastAsia="Times New Roman" w:hAnsi="Times New Roman" w:cs="Times New Roman"/>
          <w:color w:val="000000"/>
          <w:szCs w:val="24"/>
        </w:rPr>
        <w:t>руктуры» определена потребность</w:t>
      </w:r>
      <w:r w:rsidRPr="00731FE2">
        <w:rPr>
          <w:rFonts w:ascii="Times New Roman" w:eastAsia="Times New Roman" w:hAnsi="Times New Roman" w:cs="Times New Roman"/>
          <w:color w:val="000000"/>
          <w:szCs w:val="24"/>
        </w:rPr>
        <w:t xml:space="preserve"> в объектах физической культуры и спорта (таблица).</w:t>
      </w:r>
    </w:p>
    <w:p w14:paraId="4755F934" w14:textId="77777777" w:rsidR="00171AA8" w:rsidRPr="00731FE2" w:rsidRDefault="00171AA8" w:rsidP="00E605B1">
      <w:pPr>
        <w:pBdr>
          <w:top w:val="none" w:sz="4" w:space="0" w:color="000000"/>
          <w:left w:val="none" w:sz="4" w:space="0" w:color="000000"/>
          <w:bottom w:val="none" w:sz="4" w:space="0" w:color="000000"/>
          <w:right w:val="none" w:sz="4" w:space="0" w:color="000000"/>
        </w:pBdr>
        <w:rPr>
          <w:rFonts w:ascii="Times New Roman" w:hAnsi="Times New Roman" w:cs="Times New Roman"/>
          <w:b/>
          <w:bCs/>
          <w:color w:val="000000" w:themeColor="text1"/>
          <w:szCs w:val="24"/>
        </w:rPr>
      </w:pPr>
    </w:p>
    <w:p w14:paraId="4846281E" w14:textId="77777777" w:rsidR="00171AA8" w:rsidRPr="00731FE2" w:rsidRDefault="00E605B1" w:rsidP="00E605B1">
      <w:pPr>
        <w:pBdr>
          <w:top w:val="none" w:sz="4" w:space="0" w:color="000000"/>
          <w:left w:val="none" w:sz="4" w:space="0" w:color="000000"/>
          <w:bottom w:val="none" w:sz="4" w:space="0" w:color="000000"/>
          <w:right w:val="none" w:sz="4" w:space="0" w:color="000000"/>
        </w:pBdr>
        <w:spacing w:line="240" w:lineRule="auto"/>
        <w:ind w:firstLine="0"/>
        <w:rPr>
          <w:rFonts w:ascii="Times New Roman" w:hAnsi="Times New Roman" w:cs="Times New Roman"/>
          <w:b/>
          <w:bCs/>
          <w:color w:val="000000" w:themeColor="text1"/>
          <w:szCs w:val="24"/>
        </w:rPr>
      </w:pPr>
      <w:r w:rsidRPr="00731FE2">
        <w:rPr>
          <w:rFonts w:ascii="Times New Roman" w:hAnsi="Times New Roman" w:cs="Times New Roman"/>
          <w:b/>
          <w:bCs/>
          <w:color w:val="000000" w:themeColor="text1"/>
          <w:szCs w:val="24"/>
        </w:rPr>
        <w:t xml:space="preserve">Таблица </w:t>
      </w:r>
      <w:r w:rsidRPr="00731FE2">
        <w:rPr>
          <w:rFonts w:ascii="Times New Roman" w:hAnsi="Times New Roman" w:cs="Times New Roman"/>
          <w:b/>
          <w:bCs/>
          <w:color w:val="000000" w:themeColor="text1"/>
          <w:szCs w:val="24"/>
        </w:rPr>
        <w:fldChar w:fldCharType="begin"/>
      </w:r>
      <w:r w:rsidRPr="00731FE2">
        <w:rPr>
          <w:rFonts w:ascii="Times New Roman" w:hAnsi="Times New Roman" w:cs="Times New Roman"/>
          <w:b/>
          <w:bCs/>
          <w:color w:val="000000" w:themeColor="text1"/>
          <w:szCs w:val="24"/>
        </w:rPr>
        <w:instrText xml:space="preserve"> SEQ Таблица \* Arabic </w:instrText>
      </w:r>
      <w:r w:rsidRPr="00731FE2">
        <w:rPr>
          <w:rFonts w:ascii="Times New Roman" w:hAnsi="Times New Roman" w:cs="Times New Roman"/>
          <w:b/>
          <w:bCs/>
          <w:color w:val="000000" w:themeColor="text1"/>
          <w:szCs w:val="24"/>
        </w:rPr>
        <w:fldChar w:fldCharType="separate"/>
      </w:r>
      <w:r w:rsidR="00C50915" w:rsidRPr="00731FE2">
        <w:rPr>
          <w:rFonts w:ascii="Times New Roman" w:hAnsi="Times New Roman" w:cs="Times New Roman"/>
          <w:b/>
          <w:bCs/>
          <w:noProof/>
          <w:color w:val="000000" w:themeColor="text1"/>
          <w:szCs w:val="24"/>
        </w:rPr>
        <w:t>80</w:t>
      </w:r>
      <w:r w:rsidRPr="00731FE2">
        <w:rPr>
          <w:rFonts w:ascii="Times New Roman" w:hAnsi="Times New Roman" w:cs="Times New Roman"/>
          <w:b/>
          <w:bCs/>
          <w:color w:val="000000" w:themeColor="text1"/>
          <w:szCs w:val="24"/>
        </w:rPr>
        <w:fldChar w:fldCharType="end"/>
      </w:r>
      <w:r w:rsidRPr="00731FE2">
        <w:rPr>
          <w:rFonts w:ascii="Times New Roman" w:hAnsi="Times New Roman" w:cs="Times New Roman"/>
          <w:b/>
          <w:bCs/>
          <w:color w:val="000000" w:themeColor="text1"/>
          <w:szCs w:val="24"/>
        </w:rPr>
        <w:t xml:space="preserve"> – </w:t>
      </w:r>
      <w:r w:rsidR="007935AB" w:rsidRPr="00731FE2">
        <w:rPr>
          <w:rFonts w:ascii="Times New Roman" w:hAnsi="Times New Roman" w:cs="Times New Roman"/>
          <w:b/>
          <w:bCs/>
          <w:color w:val="000000" w:themeColor="text1"/>
          <w:szCs w:val="24"/>
        </w:rPr>
        <w:t>Нормативы минима</w:t>
      </w:r>
      <w:r w:rsidRPr="00731FE2">
        <w:rPr>
          <w:rFonts w:ascii="Times New Roman" w:hAnsi="Times New Roman" w:cs="Times New Roman"/>
          <w:b/>
          <w:bCs/>
          <w:color w:val="000000" w:themeColor="text1"/>
          <w:szCs w:val="24"/>
        </w:rPr>
        <w:t xml:space="preserve">льной обеспеченности населения </w:t>
      </w:r>
      <w:r w:rsidR="007935AB" w:rsidRPr="00731FE2">
        <w:rPr>
          <w:rFonts w:ascii="Times New Roman" w:hAnsi="Times New Roman" w:cs="Times New Roman"/>
          <w:b/>
          <w:bCs/>
          <w:color w:val="000000" w:themeColor="text1"/>
          <w:szCs w:val="24"/>
        </w:rPr>
        <w:t>объектами физической культуры и спорта и максимально допустимый уровень их территориальной доступности для населения</w:t>
      </w:r>
    </w:p>
    <w:tbl>
      <w:tblPr>
        <w:tblStyle w:val="afe"/>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3021"/>
        <w:gridCol w:w="2013"/>
        <w:gridCol w:w="1874"/>
        <w:gridCol w:w="2446"/>
      </w:tblGrid>
      <w:tr w:rsidR="00171AA8" w:rsidRPr="00731FE2" w14:paraId="05F3493E" w14:textId="77777777">
        <w:trPr>
          <w:trHeight w:val="1020"/>
        </w:trPr>
        <w:tc>
          <w:tcPr>
            <w:tcW w:w="3021"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14:paraId="467DD3C6"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b/>
                <w:bCs/>
                <w:color w:val="000000"/>
                <w:sz w:val="22"/>
              </w:rPr>
            </w:pPr>
            <w:r w:rsidRPr="00731FE2">
              <w:rPr>
                <w:rFonts w:ascii="Times New Roman" w:eastAsia="Times New Roman" w:hAnsi="Times New Roman" w:cs="Times New Roman"/>
                <w:b/>
                <w:bCs/>
                <w:color w:val="000000"/>
                <w:sz w:val="22"/>
              </w:rPr>
              <w:t>Наименование объекта</w:t>
            </w:r>
          </w:p>
        </w:tc>
        <w:tc>
          <w:tcPr>
            <w:tcW w:w="2013" w:type="dxa"/>
            <w:tcBorders>
              <w:top w:val="single" w:sz="8" w:space="0" w:color="000000"/>
              <w:left w:val="none" w:sz="4" w:space="0" w:color="000000"/>
              <w:bottom w:val="single" w:sz="8" w:space="0" w:color="000000"/>
              <w:right w:val="single" w:sz="8" w:space="0" w:color="000000"/>
            </w:tcBorders>
            <w:tcMar>
              <w:top w:w="0" w:type="dxa"/>
              <w:left w:w="28" w:type="dxa"/>
              <w:bottom w:w="0" w:type="dxa"/>
              <w:right w:w="28" w:type="dxa"/>
            </w:tcMar>
            <w:vAlign w:val="center"/>
          </w:tcPr>
          <w:p w14:paraId="64323AB4"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b/>
                <w:bCs/>
                <w:color w:val="000000"/>
                <w:sz w:val="22"/>
              </w:rPr>
            </w:pPr>
            <w:r w:rsidRPr="00731FE2">
              <w:rPr>
                <w:rFonts w:ascii="Times New Roman" w:eastAsia="Times New Roman" w:hAnsi="Times New Roman" w:cs="Times New Roman"/>
                <w:b/>
                <w:bCs/>
                <w:color w:val="000000"/>
                <w:sz w:val="22"/>
              </w:rPr>
              <w:t>Единица измерения</w:t>
            </w:r>
          </w:p>
        </w:tc>
        <w:tc>
          <w:tcPr>
            <w:tcW w:w="1874" w:type="dxa"/>
            <w:tcBorders>
              <w:top w:val="single" w:sz="8" w:space="0" w:color="000000"/>
              <w:left w:val="none" w:sz="4" w:space="0" w:color="000000"/>
              <w:bottom w:val="single" w:sz="8" w:space="0" w:color="000000"/>
              <w:right w:val="single" w:sz="8" w:space="0" w:color="000000"/>
            </w:tcBorders>
            <w:tcMar>
              <w:top w:w="0" w:type="dxa"/>
              <w:left w:w="28" w:type="dxa"/>
              <w:bottom w:w="0" w:type="dxa"/>
              <w:right w:w="28" w:type="dxa"/>
            </w:tcMar>
            <w:vAlign w:val="center"/>
          </w:tcPr>
          <w:p w14:paraId="7602FB2E"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b/>
                <w:bCs/>
                <w:color w:val="000000"/>
                <w:sz w:val="22"/>
              </w:rPr>
            </w:pPr>
            <w:r w:rsidRPr="00731FE2">
              <w:rPr>
                <w:rFonts w:ascii="Times New Roman" w:eastAsia="Times New Roman" w:hAnsi="Times New Roman" w:cs="Times New Roman"/>
                <w:b/>
                <w:bCs/>
                <w:color w:val="000000"/>
                <w:sz w:val="22"/>
              </w:rPr>
              <w:t>Минимальный уровень обеспеченности</w:t>
            </w:r>
          </w:p>
        </w:tc>
        <w:tc>
          <w:tcPr>
            <w:tcW w:w="2446" w:type="dxa"/>
            <w:tcBorders>
              <w:top w:val="single" w:sz="8" w:space="0" w:color="000000"/>
              <w:left w:val="none" w:sz="4" w:space="0" w:color="000000"/>
              <w:bottom w:val="single" w:sz="8" w:space="0" w:color="000000"/>
              <w:right w:val="single" w:sz="8" w:space="0" w:color="000000"/>
            </w:tcBorders>
            <w:tcMar>
              <w:top w:w="0" w:type="dxa"/>
              <w:left w:w="28" w:type="dxa"/>
              <w:bottom w:w="0" w:type="dxa"/>
              <w:right w:w="28" w:type="dxa"/>
            </w:tcMar>
            <w:vAlign w:val="center"/>
          </w:tcPr>
          <w:p w14:paraId="6B6B1436"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b/>
                <w:bCs/>
                <w:color w:val="000000"/>
                <w:sz w:val="22"/>
              </w:rPr>
            </w:pPr>
            <w:r w:rsidRPr="00731FE2">
              <w:rPr>
                <w:rFonts w:ascii="Times New Roman" w:eastAsia="Times New Roman" w:hAnsi="Times New Roman" w:cs="Times New Roman"/>
                <w:b/>
                <w:bCs/>
                <w:color w:val="000000"/>
                <w:sz w:val="22"/>
              </w:rPr>
              <w:t>Максимальный уровень территориальной доступности</w:t>
            </w:r>
          </w:p>
        </w:tc>
      </w:tr>
      <w:tr w:rsidR="00171AA8" w:rsidRPr="00731FE2" w14:paraId="356514DD" w14:textId="77777777">
        <w:trPr>
          <w:trHeight w:val="1020"/>
        </w:trPr>
        <w:tc>
          <w:tcPr>
            <w:tcW w:w="3021" w:type="dxa"/>
            <w:tcBorders>
              <w:top w:val="none" w:sz="4" w:space="0" w:color="000000"/>
              <w:left w:val="single" w:sz="8" w:space="0" w:color="000000"/>
              <w:bottom w:val="single" w:sz="8" w:space="0" w:color="000000"/>
              <w:right w:val="single" w:sz="8" w:space="0" w:color="000000"/>
            </w:tcBorders>
            <w:tcMar>
              <w:top w:w="0" w:type="dxa"/>
              <w:left w:w="28" w:type="dxa"/>
              <w:bottom w:w="0" w:type="dxa"/>
              <w:right w:w="28" w:type="dxa"/>
            </w:tcMar>
          </w:tcPr>
          <w:p w14:paraId="614D791B"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Физкультурно-спортивные сооружения общего пользования*</w:t>
            </w:r>
          </w:p>
        </w:tc>
        <w:tc>
          <w:tcPr>
            <w:tcW w:w="2013" w:type="dxa"/>
            <w:tcBorders>
              <w:top w:val="none" w:sz="4" w:space="0" w:color="000000"/>
              <w:left w:val="none" w:sz="4" w:space="0" w:color="000000"/>
              <w:bottom w:val="single" w:sz="8" w:space="0" w:color="000000"/>
              <w:right w:val="single" w:sz="8" w:space="0" w:color="000000"/>
            </w:tcBorders>
            <w:tcMar>
              <w:top w:w="0" w:type="dxa"/>
              <w:left w:w="28" w:type="dxa"/>
              <w:bottom w:w="0" w:type="dxa"/>
              <w:right w:w="28" w:type="dxa"/>
            </w:tcMar>
            <w:vAlign w:val="center"/>
          </w:tcPr>
          <w:p w14:paraId="742BF9BD"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га на 1 тыс. человек</w:t>
            </w:r>
          </w:p>
        </w:tc>
        <w:tc>
          <w:tcPr>
            <w:tcW w:w="1874" w:type="dxa"/>
            <w:tcBorders>
              <w:top w:val="none" w:sz="4" w:space="0" w:color="000000"/>
              <w:left w:val="none" w:sz="4" w:space="0" w:color="000000"/>
              <w:bottom w:val="single" w:sz="8" w:space="0" w:color="000000"/>
              <w:right w:val="single" w:sz="8" w:space="0" w:color="000000"/>
            </w:tcBorders>
            <w:tcMar>
              <w:top w:w="0" w:type="dxa"/>
              <w:left w:w="28" w:type="dxa"/>
              <w:bottom w:w="0" w:type="dxa"/>
              <w:right w:w="28" w:type="dxa"/>
            </w:tcMar>
            <w:vAlign w:val="center"/>
          </w:tcPr>
          <w:p w14:paraId="5618CE4E"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0,7 – 0,9</w:t>
            </w:r>
          </w:p>
        </w:tc>
        <w:tc>
          <w:tcPr>
            <w:tcW w:w="2446" w:type="dxa"/>
            <w:tcBorders>
              <w:top w:val="none" w:sz="4" w:space="0" w:color="000000"/>
              <w:left w:val="none" w:sz="4" w:space="0" w:color="000000"/>
              <w:bottom w:val="single" w:sz="8" w:space="0" w:color="000000"/>
              <w:right w:val="single" w:sz="8" w:space="0" w:color="000000"/>
            </w:tcBorders>
            <w:tcMar>
              <w:top w:w="0" w:type="dxa"/>
              <w:left w:w="28" w:type="dxa"/>
              <w:bottom w:w="0" w:type="dxa"/>
              <w:right w:w="28" w:type="dxa"/>
            </w:tcMar>
            <w:vAlign w:val="center"/>
          </w:tcPr>
          <w:p w14:paraId="10AF6FEA"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1500 м</w:t>
            </w:r>
          </w:p>
        </w:tc>
      </w:tr>
      <w:tr w:rsidR="00171AA8" w:rsidRPr="00731FE2" w14:paraId="18F11560" w14:textId="77777777">
        <w:trPr>
          <w:trHeight w:val="1020"/>
        </w:trPr>
        <w:tc>
          <w:tcPr>
            <w:tcW w:w="3021" w:type="dxa"/>
            <w:tcBorders>
              <w:top w:val="none" w:sz="4" w:space="0" w:color="000000"/>
              <w:left w:val="single" w:sz="8" w:space="0" w:color="000000"/>
              <w:bottom w:val="single" w:sz="8" w:space="0" w:color="000000"/>
              <w:right w:val="single" w:sz="8" w:space="0" w:color="000000"/>
            </w:tcBorders>
            <w:tcMar>
              <w:top w:w="0" w:type="dxa"/>
              <w:left w:w="28" w:type="dxa"/>
              <w:bottom w:w="0" w:type="dxa"/>
              <w:right w:w="28" w:type="dxa"/>
            </w:tcMar>
          </w:tcPr>
          <w:p w14:paraId="01DE2640"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Спортивные залы общего пользования</w:t>
            </w:r>
          </w:p>
        </w:tc>
        <w:tc>
          <w:tcPr>
            <w:tcW w:w="2013" w:type="dxa"/>
            <w:tcBorders>
              <w:top w:val="none" w:sz="4" w:space="0" w:color="000000"/>
              <w:left w:val="none" w:sz="4" w:space="0" w:color="000000"/>
              <w:bottom w:val="single" w:sz="8" w:space="0" w:color="000000"/>
              <w:right w:val="single" w:sz="8" w:space="0" w:color="000000"/>
            </w:tcBorders>
            <w:tcMar>
              <w:top w:w="0" w:type="dxa"/>
              <w:left w:w="28" w:type="dxa"/>
              <w:bottom w:w="0" w:type="dxa"/>
              <w:right w:w="28" w:type="dxa"/>
            </w:tcMar>
            <w:vAlign w:val="center"/>
          </w:tcPr>
          <w:p w14:paraId="426E0F0F"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м2 площади пола на 1 тыс. человек</w:t>
            </w:r>
          </w:p>
        </w:tc>
        <w:tc>
          <w:tcPr>
            <w:tcW w:w="1874" w:type="dxa"/>
            <w:tcBorders>
              <w:top w:val="none" w:sz="4" w:space="0" w:color="000000"/>
              <w:left w:val="none" w:sz="4" w:space="0" w:color="000000"/>
              <w:bottom w:val="single" w:sz="8" w:space="0" w:color="000000"/>
              <w:right w:val="single" w:sz="8" w:space="0" w:color="000000"/>
            </w:tcBorders>
            <w:tcMar>
              <w:top w:w="0" w:type="dxa"/>
              <w:left w:w="28" w:type="dxa"/>
              <w:bottom w:w="0" w:type="dxa"/>
              <w:right w:w="28" w:type="dxa"/>
            </w:tcMar>
            <w:vAlign w:val="center"/>
          </w:tcPr>
          <w:p w14:paraId="134499EE"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150-200</w:t>
            </w:r>
          </w:p>
        </w:tc>
        <w:tc>
          <w:tcPr>
            <w:tcW w:w="2446" w:type="dxa"/>
            <w:tcBorders>
              <w:top w:val="none" w:sz="4" w:space="0" w:color="000000"/>
              <w:left w:val="none" w:sz="4" w:space="0" w:color="000000"/>
              <w:bottom w:val="single" w:sz="8" w:space="0" w:color="000000"/>
              <w:right w:val="single" w:sz="8" w:space="0" w:color="000000"/>
            </w:tcBorders>
            <w:tcMar>
              <w:top w:w="0" w:type="dxa"/>
              <w:left w:w="28" w:type="dxa"/>
              <w:bottom w:w="0" w:type="dxa"/>
              <w:right w:w="28" w:type="dxa"/>
            </w:tcMar>
            <w:vAlign w:val="center"/>
          </w:tcPr>
          <w:p w14:paraId="49D20405"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1500 м</w:t>
            </w:r>
          </w:p>
        </w:tc>
      </w:tr>
      <w:tr w:rsidR="00171AA8" w:rsidRPr="00731FE2" w14:paraId="0BE1E4E7" w14:textId="77777777">
        <w:trPr>
          <w:trHeight w:val="1020"/>
        </w:trPr>
        <w:tc>
          <w:tcPr>
            <w:tcW w:w="3021" w:type="dxa"/>
            <w:tcBorders>
              <w:top w:val="none" w:sz="4" w:space="0" w:color="000000"/>
              <w:left w:val="single" w:sz="8" w:space="0" w:color="000000"/>
              <w:bottom w:val="single" w:sz="8" w:space="0" w:color="000000"/>
              <w:right w:val="single" w:sz="8" w:space="0" w:color="000000"/>
            </w:tcBorders>
            <w:tcMar>
              <w:top w:w="0" w:type="dxa"/>
              <w:left w:w="28" w:type="dxa"/>
              <w:bottom w:w="0" w:type="dxa"/>
              <w:right w:w="28" w:type="dxa"/>
            </w:tcMar>
          </w:tcPr>
          <w:p w14:paraId="73CDCA61"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Бассейны крытые и открытые общего пользования**</w:t>
            </w:r>
          </w:p>
        </w:tc>
        <w:tc>
          <w:tcPr>
            <w:tcW w:w="2013" w:type="dxa"/>
            <w:tcBorders>
              <w:top w:val="none" w:sz="4" w:space="0" w:color="000000"/>
              <w:left w:val="none" w:sz="4" w:space="0" w:color="000000"/>
              <w:bottom w:val="single" w:sz="8" w:space="0" w:color="000000"/>
              <w:right w:val="single" w:sz="8" w:space="0" w:color="000000"/>
            </w:tcBorders>
            <w:tcMar>
              <w:top w:w="0" w:type="dxa"/>
              <w:left w:w="28" w:type="dxa"/>
              <w:bottom w:w="0" w:type="dxa"/>
              <w:right w:w="28" w:type="dxa"/>
            </w:tcMar>
            <w:vAlign w:val="center"/>
          </w:tcPr>
          <w:p w14:paraId="38D9E885"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м</w:t>
            </w:r>
            <w:r w:rsidRPr="00731FE2">
              <w:rPr>
                <w:rFonts w:ascii="Times New Roman" w:eastAsia="Times New Roman" w:hAnsi="Times New Roman" w:cs="Times New Roman"/>
                <w:color w:val="000000"/>
                <w:sz w:val="22"/>
                <w:vertAlign w:val="superscript"/>
              </w:rPr>
              <w:t>2</w:t>
            </w:r>
            <w:r w:rsidRPr="00731FE2">
              <w:rPr>
                <w:rFonts w:ascii="Times New Roman" w:eastAsia="Times New Roman" w:hAnsi="Times New Roman" w:cs="Times New Roman"/>
                <w:color w:val="000000"/>
                <w:sz w:val="22"/>
              </w:rPr>
              <w:t xml:space="preserve"> зеркала воды на 1 тыс. человек</w:t>
            </w:r>
          </w:p>
        </w:tc>
        <w:tc>
          <w:tcPr>
            <w:tcW w:w="1874" w:type="dxa"/>
            <w:tcBorders>
              <w:top w:val="none" w:sz="4" w:space="0" w:color="000000"/>
              <w:left w:val="none" w:sz="4" w:space="0" w:color="000000"/>
              <w:bottom w:val="single" w:sz="8" w:space="0" w:color="000000"/>
              <w:right w:val="single" w:sz="8" w:space="0" w:color="000000"/>
            </w:tcBorders>
            <w:tcMar>
              <w:top w:w="0" w:type="dxa"/>
              <w:left w:w="28" w:type="dxa"/>
              <w:bottom w:w="0" w:type="dxa"/>
              <w:right w:w="28" w:type="dxa"/>
            </w:tcMar>
            <w:vAlign w:val="center"/>
          </w:tcPr>
          <w:p w14:paraId="1ABA04C5"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20 – 25</w:t>
            </w:r>
          </w:p>
        </w:tc>
        <w:tc>
          <w:tcPr>
            <w:tcW w:w="2446" w:type="dxa"/>
            <w:tcBorders>
              <w:top w:val="none" w:sz="4" w:space="0" w:color="000000"/>
              <w:left w:val="none" w:sz="4" w:space="0" w:color="000000"/>
              <w:bottom w:val="single" w:sz="8" w:space="0" w:color="000000"/>
              <w:right w:val="single" w:sz="8" w:space="0" w:color="000000"/>
            </w:tcBorders>
            <w:tcMar>
              <w:top w:w="0" w:type="dxa"/>
              <w:left w:w="28" w:type="dxa"/>
              <w:bottom w:w="0" w:type="dxa"/>
              <w:right w:w="28" w:type="dxa"/>
            </w:tcMar>
            <w:vAlign w:val="center"/>
          </w:tcPr>
          <w:p w14:paraId="6D55B3DC"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1500 м</w:t>
            </w:r>
          </w:p>
        </w:tc>
      </w:tr>
      <w:tr w:rsidR="00171AA8" w:rsidRPr="00731FE2" w14:paraId="678203BE" w14:textId="77777777">
        <w:trPr>
          <w:trHeight w:val="1020"/>
        </w:trPr>
        <w:tc>
          <w:tcPr>
            <w:tcW w:w="3021" w:type="dxa"/>
            <w:tcBorders>
              <w:top w:val="none" w:sz="4" w:space="0" w:color="000000"/>
              <w:left w:val="single" w:sz="8" w:space="0" w:color="000000"/>
              <w:bottom w:val="single" w:sz="8" w:space="0" w:color="000000"/>
              <w:right w:val="single" w:sz="8" w:space="0" w:color="000000"/>
            </w:tcBorders>
            <w:tcMar>
              <w:top w:w="0" w:type="dxa"/>
              <w:left w:w="28" w:type="dxa"/>
              <w:bottom w:w="0" w:type="dxa"/>
              <w:right w:w="28" w:type="dxa"/>
            </w:tcMar>
          </w:tcPr>
          <w:p w14:paraId="74172DA2"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Физкультурно-оздоровительные площадки (комплексы)</w:t>
            </w:r>
          </w:p>
        </w:tc>
        <w:tc>
          <w:tcPr>
            <w:tcW w:w="2013" w:type="dxa"/>
            <w:tcBorders>
              <w:top w:val="none" w:sz="4" w:space="0" w:color="000000"/>
              <w:left w:val="none" w:sz="4" w:space="0" w:color="000000"/>
              <w:bottom w:val="single" w:sz="8" w:space="0" w:color="000000"/>
              <w:right w:val="single" w:sz="8" w:space="0" w:color="000000"/>
            </w:tcBorders>
            <w:tcMar>
              <w:top w:w="0" w:type="dxa"/>
              <w:left w:w="28" w:type="dxa"/>
              <w:bottom w:w="0" w:type="dxa"/>
              <w:right w:w="28" w:type="dxa"/>
            </w:tcMar>
            <w:vAlign w:val="center"/>
          </w:tcPr>
          <w:p w14:paraId="383E9723"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единиц</w:t>
            </w:r>
          </w:p>
        </w:tc>
        <w:tc>
          <w:tcPr>
            <w:tcW w:w="1874" w:type="dxa"/>
            <w:tcBorders>
              <w:top w:val="none" w:sz="4" w:space="0" w:color="000000"/>
              <w:left w:val="none" w:sz="4" w:space="0" w:color="000000"/>
              <w:bottom w:val="single" w:sz="8" w:space="0" w:color="000000"/>
              <w:right w:val="single" w:sz="8" w:space="0" w:color="000000"/>
            </w:tcBorders>
            <w:tcMar>
              <w:top w:w="0" w:type="dxa"/>
              <w:left w:w="28" w:type="dxa"/>
              <w:bottom w:w="0" w:type="dxa"/>
              <w:right w:w="28" w:type="dxa"/>
            </w:tcMar>
            <w:vAlign w:val="center"/>
          </w:tcPr>
          <w:p w14:paraId="5438FA26"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w:t>
            </w:r>
          </w:p>
        </w:tc>
        <w:tc>
          <w:tcPr>
            <w:tcW w:w="2446" w:type="dxa"/>
            <w:tcBorders>
              <w:top w:val="none" w:sz="4" w:space="0" w:color="000000"/>
              <w:left w:val="none" w:sz="4" w:space="0" w:color="000000"/>
              <w:bottom w:val="single" w:sz="8" w:space="0" w:color="000000"/>
              <w:right w:val="single" w:sz="8" w:space="0" w:color="000000"/>
            </w:tcBorders>
            <w:tcMar>
              <w:top w:w="0" w:type="dxa"/>
              <w:left w:w="28" w:type="dxa"/>
              <w:bottom w:w="0" w:type="dxa"/>
              <w:right w:w="28" w:type="dxa"/>
            </w:tcMar>
            <w:vAlign w:val="center"/>
          </w:tcPr>
          <w:p w14:paraId="28E154E1"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500 м</w:t>
            </w:r>
          </w:p>
        </w:tc>
      </w:tr>
    </w:tbl>
    <w:p w14:paraId="01D67F39" w14:textId="77777777" w:rsidR="00171AA8" w:rsidRPr="00731FE2" w:rsidRDefault="007935AB" w:rsidP="00E605B1">
      <w:pPr>
        <w:pBdr>
          <w:top w:val="none" w:sz="4" w:space="0" w:color="000000"/>
          <w:left w:val="none" w:sz="4" w:space="0" w:color="000000"/>
          <w:bottom w:val="none" w:sz="4" w:space="0" w:color="000000"/>
          <w:right w:val="none" w:sz="4" w:space="0" w:color="000000"/>
        </w:pBdr>
        <w:spacing w:line="240" w:lineRule="auto"/>
        <w:rPr>
          <w:rFonts w:ascii="Times New Roman" w:hAnsi="Times New Roman" w:cs="Times New Roman"/>
          <w:sz w:val="18"/>
          <w:szCs w:val="18"/>
        </w:rPr>
      </w:pPr>
      <w:r w:rsidRPr="00731FE2">
        <w:rPr>
          <w:rFonts w:ascii="Times New Roman" w:eastAsia="Calibri" w:hAnsi="Times New Roman" w:cs="Times New Roman"/>
          <w:color w:val="000000"/>
          <w:sz w:val="18"/>
          <w:szCs w:val="18"/>
        </w:rPr>
        <w:t>* – Физкультурно-спортивные сооружения сети общего пользования следует объединять со спортивными объектами общеобразовательных организаций и других образовательных организаций, учреждений отдыха и культуры с возможным сокращением территории.</w:t>
      </w:r>
    </w:p>
    <w:p w14:paraId="1CDB501A" w14:textId="77777777" w:rsidR="00171AA8" w:rsidRPr="00731FE2" w:rsidRDefault="007935AB" w:rsidP="00E605B1">
      <w:pPr>
        <w:pBdr>
          <w:top w:val="none" w:sz="4" w:space="0" w:color="000000"/>
          <w:left w:val="none" w:sz="4" w:space="0" w:color="000000"/>
          <w:bottom w:val="none" w:sz="4" w:space="0" w:color="000000"/>
          <w:right w:val="none" w:sz="4" w:space="0" w:color="000000"/>
        </w:pBdr>
        <w:spacing w:line="240" w:lineRule="auto"/>
        <w:rPr>
          <w:rFonts w:ascii="Times New Roman" w:eastAsia="Calibri" w:hAnsi="Times New Roman" w:cs="Times New Roman"/>
          <w:color w:val="000000"/>
          <w:sz w:val="18"/>
          <w:szCs w:val="18"/>
        </w:rPr>
      </w:pPr>
      <w:r w:rsidRPr="00731FE2">
        <w:rPr>
          <w:rFonts w:ascii="Times New Roman" w:eastAsia="Calibri" w:hAnsi="Times New Roman" w:cs="Times New Roman"/>
          <w:color w:val="000000"/>
          <w:sz w:val="18"/>
          <w:szCs w:val="18"/>
        </w:rPr>
        <w:t>** – Для малых поселений нормы расчета залов и бассейнов необходимо принимать с учетом минимальной вместимости объектов по технологическим требованиям.</w:t>
      </w:r>
    </w:p>
    <w:p w14:paraId="249CB73D" w14:textId="77777777" w:rsidR="00171AA8" w:rsidRPr="00731FE2" w:rsidRDefault="00171AA8">
      <w:pPr>
        <w:pBdr>
          <w:top w:val="none" w:sz="4" w:space="0" w:color="000000"/>
          <w:left w:val="none" w:sz="4" w:space="0" w:color="000000"/>
          <w:bottom w:val="none" w:sz="4" w:space="0" w:color="000000"/>
          <w:right w:val="none" w:sz="4" w:space="0" w:color="000000"/>
        </w:pBdr>
        <w:spacing w:line="253" w:lineRule="atLeast"/>
        <w:rPr>
          <w:rFonts w:ascii="Calibri" w:eastAsia="Calibri" w:hAnsi="Calibri" w:cs="Calibri"/>
          <w:sz w:val="22"/>
        </w:rPr>
      </w:pPr>
    </w:p>
    <w:p w14:paraId="2B2E55B6" w14:textId="77777777" w:rsidR="00171AA8" w:rsidRPr="00731FE2" w:rsidRDefault="00E605B1" w:rsidP="00E605B1">
      <w:pPr>
        <w:pBdr>
          <w:top w:val="none" w:sz="4" w:space="0" w:color="000000"/>
          <w:left w:val="none" w:sz="4" w:space="0" w:color="000000"/>
          <w:bottom w:val="none" w:sz="4" w:space="0" w:color="000000"/>
          <w:right w:val="none" w:sz="4" w:space="0" w:color="000000"/>
        </w:pBdr>
        <w:spacing w:line="240" w:lineRule="auto"/>
        <w:ind w:firstLine="0"/>
        <w:rPr>
          <w:rFonts w:ascii="Times New Roman" w:hAnsi="Times New Roman" w:cs="Times New Roman"/>
          <w:b/>
          <w:bCs/>
          <w:color w:val="000000" w:themeColor="text1"/>
          <w:szCs w:val="24"/>
        </w:rPr>
      </w:pPr>
      <w:r w:rsidRPr="00731FE2">
        <w:rPr>
          <w:rFonts w:ascii="Times New Roman" w:hAnsi="Times New Roman" w:cs="Times New Roman"/>
          <w:b/>
          <w:bCs/>
          <w:color w:val="000000" w:themeColor="text1"/>
          <w:szCs w:val="24"/>
        </w:rPr>
        <w:t xml:space="preserve">Таблица </w:t>
      </w:r>
      <w:r w:rsidRPr="00731FE2">
        <w:rPr>
          <w:rFonts w:ascii="Times New Roman" w:hAnsi="Times New Roman" w:cs="Times New Roman"/>
          <w:b/>
          <w:bCs/>
          <w:color w:val="000000" w:themeColor="text1"/>
          <w:szCs w:val="24"/>
        </w:rPr>
        <w:fldChar w:fldCharType="begin"/>
      </w:r>
      <w:r w:rsidRPr="00731FE2">
        <w:rPr>
          <w:rFonts w:ascii="Times New Roman" w:hAnsi="Times New Roman" w:cs="Times New Roman"/>
          <w:b/>
          <w:bCs/>
          <w:color w:val="000000" w:themeColor="text1"/>
          <w:szCs w:val="24"/>
        </w:rPr>
        <w:instrText xml:space="preserve"> SEQ Таблица \* Arabic </w:instrText>
      </w:r>
      <w:r w:rsidRPr="00731FE2">
        <w:rPr>
          <w:rFonts w:ascii="Times New Roman" w:hAnsi="Times New Roman" w:cs="Times New Roman"/>
          <w:b/>
          <w:bCs/>
          <w:color w:val="000000" w:themeColor="text1"/>
          <w:szCs w:val="24"/>
        </w:rPr>
        <w:fldChar w:fldCharType="separate"/>
      </w:r>
      <w:r w:rsidR="00C50915" w:rsidRPr="00731FE2">
        <w:rPr>
          <w:rFonts w:ascii="Times New Roman" w:hAnsi="Times New Roman" w:cs="Times New Roman"/>
          <w:b/>
          <w:bCs/>
          <w:noProof/>
          <w:color w:val="000000" w:themeColor="text1"/>
          <w:szCs w:val="24"/>
        </w:rPr>
        <w:t>81</w:t>
      </w:r>
      <w:r w:rsidRPr="00731FE2">
        <w:rPr>
          <w:rFonts w:ascii="Times New Roman" w:hAnsi="Times New Roman" w:cs="Times New Roman"/>
          <w:b/>
          <w:bCs/>
          <w:color w:val="000000" w:themeColor="text1"/>
          <w:szCs w:val="24"/>
        </w:rPr>
        <w:fldChar w:fldCharType="end"/>
      </w:r>
      <w:r w:rsidRPr="00731FE2">
        <w:rPr>
          <w:rFonts w:ascii="Times New Roman" w:hAnsi="Times New Roman" w:cs="Times New Roman"/>
          <w:b/>
          <w:bCs/>
          <w:color w:val="000000" w:themeColor="text1"/>
          <w:szCs w:val="24"/>
        </w:rPr>
        <w:t xml:space="preserve"> – </w:t>
      </w:r>
      <w:r w:rsidR="007935AB" w:rsidRPr="00731FE2">
        <w:rPr>
          <w:rFonts w:ascii="Times New Roman" w:hAnsi="Times New Roman" w:cs="Times New Roman"/>
          <w:b/>
          <w:bCs/>
          <w:color w:val="000000" w:themeColor="text1"/>
          <w:szCs w:val="24"/>
        </w:rPr>
        <w:t>Расчет существующей и необходимой обеспеченности населения объектами физической культуры и спорта на расчетный срок схемы территориального планирования</w:t>
      </w:r>
    </w:p>
    <w:tbl>
      <w:tblPr>
        <w:tblStyle w:val="afe"/>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2998"/>
        <w:gridCol w:w="2819"/>
        <w:gridCol w:w="3537"/>
      </w:tblGrid>
      <w:tr w:rsidR="00171AA8" w:rsidRPr="00731FE2" w14:paraId="0207D8FB" w14:textId="77777777">
        <w:trPr>
          <w:trHeight w:val="510"/>
        </w:trPr>
        <w:tc>
          <w:tcPr>
            <w:tcW w:w="2998" w:type="dxa"/>
            <w:tcBorders>
              <w:top w:val="single" w:sz="8"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14:paraId="2B9AE396"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b/>
                <w:bCs/>
                <w:color w:val="000000"/>
                <w:sz w:val="22"/>
              </w:rPr>
            </w:pPr>
            <w:r w:rsidRPr="00731FE2">
              <w:rPr>
                <w:rFonts w:ascii="Times New Roman" w:eastAsia="Times New Roman" w:hAnsi="Times New Roman" w:cs="Times New Roman"/>
                <w:b/>
                <w:bCs/>
                <w:color w:val="000000"/>
                <w:sz w:val="22"/>
              </w:rPr>
              <w:t>Наименование объекта</w:t>
            </w:r>
          </w:p>
        </w:tc>
        <w:tc>
          <w:tcPr>
            <w:tcW w:w="2819" w:type="dxa"/>
            <w:tcBorders>
              <w:top w:val="single" w:sz="8"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7019BB5E"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b/>
                <w:bCs/>
                <w:color w:val="000000"/>
                <w:sz w:val="22"/>
              </w:rPr>
            </w:pPr>
            <w:r w:rsidRPr="00731FE2">
              <w:rPr>
                <w:rFonts w:ascii="Times New Roman" w:eastAsia="Times New Roman" w:hAnsi="Times New Roman" w:cs="Times New Roman"/>
                <w:b/>
                <w:bCs/>
                <w:color w:val="000000"/>
                <w:sz w:val="22"/>
              </w:rPr>
              <w:t>Потребность на 2024 г.</w:t>
            </w:r>
          </w:p>
        </w:tc>
        <w:tc>
          <w:tcPr>
            <w:tcW w:w="3537" w:type="dxa"/>
            <w:tcBorders>
              <w:top w:val="single" w:sz="8" w:space="0" w:color="000000"/>
              <w:left w:val="none" w:sz="4" w:space="0" w:color="000000"/>
              <w:bottom w:val="single" w:sz="8" w:space="0" w:color="000000"/>
              <w:right w:val="single" w:sz="8" w:space="0" w:color="000000"/>
            </w:tcBorders>
            <w:tcMar>
              <w:top w:w="0" w:type="dxa"/>
              <w:left w:w="28" w:type="dxa"/>
              <w:bottom w:w="0" w:type="dxa"/>
              <w:right w:w="28" w:type="dxa"/>
            </w:tcMar>
            <w:vAlign w:val="center"/>
          </w:tcPr>
          <w:p w14:paraId="26360919"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b/>
                <w:bCs/>
                <w:color w:val="000000"/>
                <w:sz w:val="22"/>
              </w:rPr>
            </w:pPr>
            <w:r w:rsidRPr="00731FE2">
              <w:rPr>
                <w:rFonts w:ascii="Times New Roman" w:eastAsia="Times New Roman" w:hAnsi="Times New Roman" w:cs="Times New Roman"/>
                <w:b/>
                <w:bCs/>
                <w:color w:val="000000"/>
                <w:sz w:val="22"/>
              </w:rPr>
              <w:t>Перспективная потребность к 2044 г.</w:t>
            </w:r>
          </w:p>
        </w:tc>
      </w:tr>
      <w:tr w:rsidR="00171AA8" w:rsidRPr="00731FE2" w14:paraId="14853463" w14:textId="77777777">
        <w:trPr>
          <w:trHeight w:val="510"/>
        </w:trPr>
        <w:tc>
          <w:tcPr>
            <w:tcW w:w="2998" w:type="dxa"/>
            <w:tcBorders>
              <w:top w:val="none" w:sz="4"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14:paraId="021BC0F2"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Физкультурно-спортивные сооружения общего пользования, га</w:t>
            </w:r>
          </w:p>
        </w:tc>
        <w:tc>
          <w:tcPr>
            <w:tcW w:w="2819"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7DC5BA63"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232</w:t>
            </w:r>
          </w:p>
        </w:tc>
        <w:tc>
          <w:tcPr>
            <w:tcW w:w="3537" w:type="dxa"/>
            <w:tcBorders>
              <w:top w:val="none" w:sz="4" w:space="0" w:color="000000"/>
              <w:left w:val="none" w:sz="4" w:space="0" w:color="000000"/>
              <w:bottom w:val="single" w:sz="8" w:space="0" w:color="000000"/>
              <w:right w:val="single" w:sz="8" w:space="0" w:color="000000"/>
            </w:tcBorders>
            <w:tcMar>
              <w:top w:w="0" w:type="dxa"/>
              <w:left w:w="28" w:type="dxa"/>
              <w:bottom w:w="0" w:type="dxa"/>
              <w:right w:w="28" w:type="dxa"/>
            </w:tcMar>
            <w:vAlign w:val="center"/>
          </w:tcPr>
          <w:p w14:paraId="258C5AD4"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257</w:t>
            </w:r>
          </w:p>
        </w:tc>
      </w:tr>
      <w:tr w:rsidR="00171AA8" w:rsidRPr="00731FE2" w14:paraId="3ED3BE46" w14:textId="77777777">
        <w:trPr>
          <w:trHeight w:val="510"/>
        </w:trPr>
        <w:tc>
          <w:tcPr>
            <w:tcW w:w="2998" w:type="dxa"/>
            <w:tcBorders>
              <w:top w:val="none" w:sz="4"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14:paraId="55376460"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Спортивные залы общего пользования, м</w:t>
            </w:r>
            <w:r w:rsidRPr="00731FE2">
              <w:rPr>
                <w:rFonts w:ascii="Times New Roman" w:eastAsia="Times New Roman" w:hAnsi="Times New Roman" w:cs="Times New Roman"/>
                <w:color w:val="000000"/>
                <w:sz w:val="22"/>
                <w:vertAlign w:val="superscript"/>
              </w:rPr>
              <w:t>2</w:t>
            </w:r>
          </w:p>
        </w:tc>
        <w:tc>
          <w:tcPr>
            <w:tcW w:w="2819"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4912895F"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49800</w:t>
            </w:r>
          </w:p>
        </w:tc>
        <w:tc>
          <w:tcPr>
            <w:tcW w:w="3537" w:type="dxa"/>
            <w:tcBorders>
              <w:top w:val="none" w:sz="4" w:space="0" w:color="000000"/>
              <w:left w:val="none" w:sz="4" w:space="0" w:color="000000"/>
              <w:bottom w:val="single" w:sz="8" w:space="0" w:color="000000"/>
              <w:right w:val="single" w:sz="8" w:space="0" w:color="000000"/>
            </w:tcBorders>
            <w:tcMar>
              <w:top w:w="0" w:type="dxa"/>
              <w:left w:w="28" w:type="dxa"/>
              <w:bottom w:w="0" w:type="dxa"/>
              <w:right w:w="28" w:type="dxa"/>
            </w:tcMar>
            <w:vAlign w:val="center"/>
          </w:tcPr>
          <w:p w14:paraId="672CDAD3"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55050</w:t>
            </w:r>
          </w:p>
        </w:tc>
      </w:tr>
      <w:tr w:rsidR="00171AA8" w:rsidRPr="00731FE2" w14:paraId="49594AFB" w14:textId="77777777">
        <w:trPr>
          <w:trHeight w:val="510"/>
        </w:trPr>
        <w:tc>
          <w:tcPr>
            <w:tcW w:w="2998" w:type="dxa"/>
            <w:tcBorders>
              <w:top w:val="none" w:sz="4" w:space="0" w:color="000000"/>
              <w:left w:val="single" w:sz="8" w:space="0" w:color="000000"/>
              <w:bottom w:val="single" w:sz="8" w:space="0" w:color="000000"/>
              <w:right w:val="single" w:sz="8" w:space="0" w:color="000000"/>
            </w:tcBorders>
            <w:tcMar>
              <w:top w:w="0" w:type="dxa"/>
              <w:left w:w="28" w:type="dxa"/>
              <w:bottom w:w="0" w:type="dxa"/>
              <w:right w:w="28" w:type="dxa"/>
            </w:tcMar>
            <w:vAlign w:val="center"/>
          </w:tcPr>
          <w:p w14:paraId="5C37534D"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Бассейны крытые и открытые общего пользования, м</w:t>
            </w:r>
            <w:r w:rsidRPr="00731FE2">
              <w:rPr>
                <w:rFonts w:ascii="Times New Roman" w:eastAsia="Times New Roman" w:hAnsi="Times New Roman" w:cs="Times New Roman"/>
                <w:color w:val="000000"/>
                <w:sz w:val="22"/>
                <w:vertAlign w:val="superscript"/>
              </w:rPr>
              <w:t>2</w:t>
            </w:r>
          </w:p>
        </w:tc>
        <w:tc>
          <w:tcPr>
            <w:tcW w:w="2819"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5183A2F0"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6640</w:t>
            </w:r>
          </w:p>
        </w:tc>
        <w:tc>
          <w:tcPr>
            <w:tcW w:w="3537" w:type="dxa"/>
            <w:tcBorders>
              <w:top w:val="none" w:sz="4" w:space="0" w:color="000000"/>
              <w:left w:val="none" w:sz="4" w:space="0" w:color="000000"/>
              <w:bottom w:val="single" w:sz="8" w:space="0" w:color="000000"/>
              <w:right w:val="single" w:sz="8" w:space="0" w:color="000000"/>
            </w:tcBorders>
            <w:tcMar>
              <w:top w:w="0" w:type="dxa"/>
              <w:left w:w="28" w:type="dxa"/>
              <w:bottom w:w="0" w:type="dxa"/>
              <w:right w:w="28" w:type="dxa"/>
            </w:tcMar>
            <w:vAlign w:val="center"/>
          </w:tcPr>
          <w:p w14:paraId="420EB597"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7320</w:t>
            </w:r>
          </w:p>
        </w:tc>
      </w:tr>
    </w:tbl>
    <w:p w14:paraId="019E52F5"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 </w:t>
      </w:r>
    </w:p>
    <w:p w14:paraId="31E13754"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В целях повышения качества спортивной сферы необходимо выполнение мероприятий, заложенных в Томе 1.</w:t>
      </w:r>
    </w:p>
    <w:p w14:paraId="28145F72" w14:textId="77777777" w:rsidR="00171AA8" w:rsidRPr="00731FE2" w:rsidRDefault="00171AA8">
      <w:pPr>
        <w:pBdr>
          <w:top w:val="none" w:sz="4" w:space="0" w:color="000000"/>
          <w:left w:val="none" w:sz="4" w:space="0" w:color="000000"/>
          <w:bottom w:val="none" w:sz="4" w:space="0" w:color="000000"/>
          <w:right w:val="none" w:sz="4" w:space="0" w:color="000000"/>
        </w:pBdr>
        <w:ind w:firstLine="0"/>
        <w:rPr>
          <w:rFonts w:ascii="Times New Roman" w:hAnsi="Times New Roman" w:cs="Times New Roman"/>
          <w:color w:val="000000" w:themeColor="text1"/>
        </w:rPr>
      </w:pPr>
    </w:p>
    <w:p w14:paraId="309E53CC" w14:textId="77777777" w:rsidR="00171AA8" w:rsidRPr="00731FE2" w:rsidRDefault="007935AB">
      <w:pPr>
        <w:pStyle w:val="24"/>
        <w:rPr>
          <w:rFonts w:ascii="Times New Roman" w:hAnsi="Times New Roman" w:cs="Times New Roman"/>
        </w:rPr>
      </w:pPr>
      <w:bookmarkStart w:id="67" w:name="_Toc177392818"/>
      <w:r w:rsidRPr="00731FE2">
        <w:rPr>
          <w:rFonts w:ascii="Times New Roman" w:hAnsi="Times New Roman" w:cs="Times New Roman"/>
        </w:rPr>
        <w:t>3.6 Направления развития экономики и гипотеза социально-экономического развития</w:t>
      </w:r>
      <w:bookmarkEnd w:id="67"/>
    </w:p>
    <w:p w14:paraId="45017DDB" w14:textId="77777777" w:rsidR="00171AA8" w:rsidRPr="00731FE2" w:rsidRDefault="007935AB">
      <w:pPr>
        <w:pStyle w:val="33"/>
        <w:rPr>
          <w:rFonts w:ascii="Times New Roman" w:hAnsi="Times New Roman" w:cs="Times New Roman"/>
        </w:rPr>
      </w:pPr>
      <w:bookmarkStart w:id="68" w:name="_Toc177392819"/>
      <w:r w:rsidRPr="00731FE2">
        <w:rPr>
          <w:rFonts w:ascii="Times New Roman" w:hAnsi="Times New Roman" w:cs="Times New Roman"/>
        </w:rPr>
        <w:t>3.6.1 Гипотеза социально-экономического развития</w:t>
      </w:r>
      <w:bookmarkEnd w:id="68"/>
    </w:p>
    <w:p w14:paraId="65461A5A"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Гипотеза социально-экономического развития городского округа города-курорта Кисловодска исходит из согласованной системы взглядов на функции и роль органов местного самоуправления, субъектов хозяйствования, общественных организаций и населения в поступательном и сбалансированном развитии муниципального образования.</w:t>
      </w:r>
    </w:p>
    <w:p w14:paraId="4D6DE47B"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xml:space="preserve">При формулировке гипотезы социально-экономического развития города-курорта учитывались: </w:t>
      </w:r>
    </w:p>
    <w:p w14:paraId="0BE33135" w14:textId="77777777" w:rsidR="00171AA8" w:rsidRPr="00731FE2" w:rsidRDefault="007935AB" w:rsidP="007832E7">
      <w:pPr>
        <w:pStyle w:val="a3"/>
        <w:numPr>
          <w:ilvl w:val="0"/>
          <w:numId w:val="85"/>
        </w:num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факторы внешней среды, оказывающие влияние на развитие городского округа, как единой территориальной социально-экономической системы – развитие социально-экономической ситуации в России, Северо-Кавказском федеральном округе, Ставропольском крае, особо охраняемом эколого-курортном регионе Кавказских Минеральных Вод;</w:t>
      </w:r>
    </w:p>
    <w:p w14:paraId="25E36EA9" w14:textId="77777777" w:rsidR="00171AA8" w:rsidRPr="00731FE2" w:rsidRDefault="007935AB" w:rsidP="007832E7">
      <w:pPr>
        <w:pStyle w:val="a3"/>
        <w:numPr>
          <w:ilvl w:val="0"/>
          <w:numId w:val="85"/>
        </w:num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факторы внутренней организации территории округа – динамика и прогноз основных показателей его развития, эффективность принятия управленческих решений муниципальными органами власти;</w:t>
      </w:r>
    </w:p>
    <w:p w14:paraId="211909E9" w14:textId="77777777" w:rsidR="00171AA8" w:rsidRPr="00731FE2" w:rsidRDefault="007935AB" w:rsidP="007832E7">
      <w:pPr>
        <w:pStyle w:val="a3"/>
        <w:numPr>
          <w:ilvl w:val="0"/>
          <w:numId w:val="85"/>
        </w:num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документы стратегического и территориального планирования различных иерархических уровней;</w:t>
      </w:r>
    </w:p>
    <w:p w14:paraId="589DF22E" w14:textId="77777777" w:rsidR="00171AA8" w:rsidRPr="00731FE2" w:rsidRDefault="007935AB" w:rsidP="007832E7">
      <w:pPr>
        <w:pStyle w:val="a3"/>
        <w:numPr>
          <w:ilvl w:val="0"/>
          <w:numId w:val="85"/>
        </w:num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Распоряжение Правительства Российской Федерации от 29 декабря 2016 г. № 2899-р «Об утверждении перечня мероприятий по комплексному развитию города-курорта Кисловодска до 2030 года»;</w:t>
      </w:r>
    </w:p>
    <w:p w14:paraId="3E60B3F1" w14:textId="77777777" w:rsidR="00171AA8" w:rsidRPr="00731FE2" w:rsidRDefault="007935AB" w:rsidP="007832E7">
      <w:pPr>
        <w:pStyle w:val="a3"/>
        <w:numPr>
          <w:ilvl w:val="0"/>
          <w:numId w:val="85"/>
        </w:num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План мероприятий «Дорожная карта» по комплексному развитию города-курорта Кисловодска на период 2015-2030 годы;</w:t>
      </w:r>
    </w:p>
    <w:p w14:paraId="1EE3E73D" w14:textId="77777777" w:rsidR="00171AA8" w:rsidRPr="00731FE2" w:rsidRDefault="007935AB" w:rsidP="007832E7">
      <w:pPr>
        <w:pStyle w:val="a3"/>
        <w:numPr>
          <w:ilvl w:val="0"/>
          <w:numId w:val="85"/>
        </w:num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Стратегия пространственного развития (мастер-план) города-курорта Кисловодска до 2030 г.;</w:t>
      </w:r>
    </w:p>
    <w:p w14:paraId="282ADBF7" w14:textId="77777777" w:rsidR="00171AA8" w:rsidRPr="00731FE2" w:rsidRDefault="007935AB" w:rsidP="007832E7">
      <w:pPr>
        <w:pStyle w:val="a3"/>
        <w:numPr>
          <w:ilvl w:val="0"/>
          <w:numId w:val="85"/>
        </w:num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Стратегия пространственного развития (мастер-плана) Агломерации Кавказских Минеральных Вод;</w:t>
      </w:r>
    </w:p>
    <w:p w14:paraId="0F454D2E" w14:textId="77777777" w:rsidR="00171AA8" w:rsidRPr="00731FE2" w:rsidRDefault="007935AB" w:rsidP="007832E7">
      <w:pPr>
        <w:pStyle w:val="a3"/>
        <w:numPr>
          <w:ilvl w:val="0"/>
          <w:numId w:val="85"/>
        </w:num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xml:space="preserve">Муниципальные программы города-курорта Кисловодска. </w:t>
      </w:r>
    </w:p>
    <w:p w14:paraId="70AE84E5"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lastRenderedPageBreak/>
        <w:t xml:space="preserve">Гипотеза социально-экономического развития города-курорта Кисловодска сформулирована, в том числе, исходя из нескольких основных аспектов и </w:t>
      </w:r>
      <w:r w:rsidR="00A4523A" w:rsidRPr="00731FE2">
        <w:rPr>
          <w:rFonts w:ascii="Times New Roman" w:hAnsi="Times New Roman" w:cs="Times New Roman"/>
          <w:color w:val="000000" w:themeColor="text1"/>
        </w:rPr>
        <w:t>специфики</w:t>
      </w:r>
      <w:r w:rsidRPr="00731FE2">
        <w:rPr>
          <w:rFonts w:ascii="Times New Roman" w:hAnsi="Times New Roman" w:cs="Times New Roman"/>
          <w:color w:val="000000" w:themeColor="text1"/>
        </w:rPr>
        <w:t xml:space="preserve"> территории городского округа:</w:t>
      </w:r>
    </w:p>
    <w:p w14:paraId="722D4551"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монопрофильной специализации города-курорта и возможностей ее снижения;</w:t>
      </w:r>
    </w:p>
    <w:p w14:paraId="4DC925A4"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положения городского округа в системе агломерированного расселения Кавказских Минеральных Вод и укрепления позиций города-курорта в этой системе;</w:t>
      </w:r>
    </w:p>
    <w:p w14:paraId="38B5F01A"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возможного расширения связей территории городского округа с муниципальными образованиями Ставропольского края и субъектами Северо-Кавказского федерального округа.</w:t>
      </w:r>
    </w:p>
    <w:p w14:paraId="36C8E206"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xml:space="preserve">Агломерационные связи города-курорта Кисловодска с одной стороны обеспечивают его развитие за счет максимальной санаторно-курортной мощности среди всех городов агломерации. С другой стороны – компенсируют монопрофильность городского округа, восполняя недостающие хозяйственные цепочки в его социально-экономической системе. </w:t>
      </w:r>
    </w:p>
    <w:p w14:paraId="5393CC15"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xml:space="preserve">В этом и проявляется агломерационный эффект, суть которого заключается в суммировании экономического и демографического потенциала территориальных образований агломерации КМВ и достижении максимально эффективного результата за счет комплексного перераспределения ресурсов и минимизации издержек. </w:t>
      </w:r>
    </w:p>
    <w:p w14:paraId="68091B8A"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xml:space="preserve">Приоритетные направления социально-экономического развития на первую очередь (2027 г.) реализации настоящего проекта генерального плана связаны с увеличением мощности санаторно-курортного комплекса главным образом за счет реконструкции существующих учреждений. </w:t>
      </w:r>
    </w:p>
    <w:p w14:paraId="40727C23"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На втором этапе (расчетный срок – 2042 г.) завершается реконструкция существующих санаторно-курортных учреждений и происходит освоение новых территорий под санаторно-курортную зону в центрально-восточной части городского округа, прилегающей к территории национального парка «Кисловодский».</w:t>
      </w:r>
    </w:p>
    <w:p w14:paraId="03111FFD"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Параллельно с этими процессами осуществляется укрепление позиций города-курорта как центра спорта, туризма и рекреации. При этом предлагаемое настоящим генеральным планом функциональное зонирование территории завершается окончательно с формированием также зон «непересекающихся потоков» – спортивных, туристических, санаторно-курортных, рекреационных, жилых, промышленных и др. (см. п. 3.1 настоящего тома).</w:t>
      </w:r>
    </w:p>
    <w:p w14:paraId="4304D526"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Этому способствует реализация проектов создания объектов различной специализации, как в пределах населенных пунктов, входящих в состав округа (прежде всего города-курорта Кисловодска), так и в южной, юго-восточной и юго-западной частях городского округа.</w:t>
      </w:r>
    </w:p>
    <w:p w14:paraId="2B71DB0A"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xml:space="preserve">Обеспечение экономики округа (в первую очередь санаторно-курортного комплекса) квалифицированными кадрами осуществляется за счет собственных трудовых ресурсов, использования трудоресурсного потенциала других городов-курортов КМВ, целевой контрактной подготовки кадров в образовательных учреждениях Северо-Кавказского федерального округа. </w:t>
      </w:r>
    </w:p>
    <w:p w14:paraId="49ECDD02"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xml:space="preserve">Одной из «ключевых» организаций в формировании трудовых ресурсов города-курорта является Ставропольский государственный медицинский университет (СтГМУ), выступающий в качестве научно-исследовательского и кадрового центра медицинских и </w:t>
      </w:r>
      <w:r w:rsidRPr="00731FE2">
        <w:rPr>
          <w:rFonts w:ascii="Times New Roman" w:hAnsi="Times New Roman" w:cs="Times New Roman"/>
          <w:color w:val="000000" w:themeColor="text1"/>
        </w:rPr>
        <w:lastRenderedPageBreak/>
        <w:t xml:space="preserve">фармацевтических технологий, ориентированный на потребности реального сектора экономики и системы здравоохранения. </w:t>
      </w:r>
    </w:p>
    <w:p w14:paraId="1EE76F6B"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xml:space="preserve">СтГМУ является координатором Научно-образовательного медицинского кластера Северо-Кавказского федерального округа – «Северо-Кавказский». </w:t>
      </w:r>
    </w:p>
    <w:p w14:paraId="2FAA1F9C" w14:textId="77777777" w:rsidR="00171AA8" w:rsidRPr="00731FE2" w:rsidRDefault="00171AA8">
      <w:pPr>
        <w:pBdr>
          <w:top w:val="none" w:sz="4" w:space="0" w:color="000000"/>
          <w:left w:val="none" w:sz="4" w:space="0" w:color="000000"/>
          <w:bottom w:val="none" w:sz="4" w:space="0" w:color="000000"/>
          <w:right w:val="none" w:sz="4" w:space="0" w:color="000000"/>
        </w:pBdr>
        <w:spacing w:line="253" w:lineRule="atLeast"/>
        <w:ind w:firstLine="0"/>
        <w:jc w:val="center"/>
      </w:pPr>
    </w:p>
    <w:p w14:paraId="2C8B5EF1" w14:textId="77777777" w:rsidR="00171AA8" w:rsidRPr="00731FE2" w:rsidRDefault="007935AB">
      <w:pPr>
        <w:pBdr>
          <w:top w:val="none" w:sz="4" w:space="0" w:color="000000"/>
          <w:left w:val="none" w:sz="4" w:space="0" w:color="000000"/>
          <w:bottom w:val="none" w:sz="4" w:space="0" w:color="000000"/>
          <w:right w:val="none" w:sz="4" w:space="0" w:color="000000"/>
        </w:pBdr>
        <w:spacing w:line="276" w:lineRule="atLeast"/>
        <w:ind w:firstLine="0"/>
        <w:rPr>
          <w:rFonts w:eastAsia="Arial" w:cs="Arial"/>
          <w:szCs w:val="24"/>
        </w:rPr>
      </w:pPr>
      <w:r w:rsidRPr="00731FE2">
        <w:rPr>
          <w:noProof/>
          <w:lang w:eastAsia="ru-RU"/>
        </w:rPr>
        <w:drawing>
          <wp:inline distT="0" distB="0" distL="0" distR="0" wp14:anchorId="1AEAEBCF" wp14:editId="41652D2E">
            <wp:extent cx="5940425" cy="3685188"/>
            <wp:effectExtent l="0" t="0" r="0" b="0"/>
            <wp:docPr id="15"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258" name=""/>
                    <pic:cNvPicPr>
                      <a:picLocks noChangeAspect="1"/>
                    </pic:cNvPicPr>
                  </pic:nvPicPr>
                  <pic:blipFill>
                    <a:blip r:embed="rId26"/>
                    <a:stretch/>
                  </pic:blipFill>
                  <pic:spPr bwMode="auto">
                    <a:xfrm>
                      <a:off x="0" y="0"/>
                      <a:ext cx="5940424" cy="3685187"/>
                    </a:xfrm>
                    <a:prstGeom prst="rect">
                      <a:avLst/>
                    </a:prstGeom>
                  </pic:spPr>
                </pic:pic>
              </a:graphicData>
            </a:graphic>
          </wp:inline>
        </w:drawing>
      </w:r>
    </w:p>
    <w:p w14:paraId="79C61106" w14:textId="77777777" w:rsidR="00171AA8" w:rsidRPr="00731FE2" w:rsidRDefault="007935AB">
      <w:pPr>
        <w:pBdr>
          <w:top w:val="none" w:sz="4" w:space="0" w:color="000000"/>
          <w:left w:val="none" w:sz="4" w:space="0" w:color="000000"/>
          <w:bottom w:val="none" w:sz="4" w:space="0" w:color="000000"/>
          <w:right w:val="none" w:sz="4" w:space="0" w:color="000000"/>
        </w:pBdr>
        <w:spacing w:line="276" w:lineRule="atLeast"/>
        <w:ind w:firstLine="0"/>
        <w:rPr>
          <w:rFonts w:eastAsia="Arial" w:cs="Arial"/>
          <w:b/>
          <w:bCs/>
          <w:color w:val="000000"/>
          <w:szCs w:val="24"/>
        </w:rPr>
      </w:pPr>
      <w:r w:rsidRPr="00731FE2">
        <w:rPr>
          <w:rFonts w:ascii="Times New Roman" w:hAnsi="Times New Roman" w:cs="Times New Roman"/>
          <w:b/>
          <w:bCs/>
          <w:color w:val="000000" w:themeColor="text1"/>
        </w:rPr>
        <w:t xml:space="preserve">Рисунок </w:t>
      </w:r>
      <w:r w:rsidRPr="00731FE2">
        <w:rPr>
          <w:rFonts w:ascii="Times New Roman" w:hAnsi="Times New Roman" w:cs="Times New Roman"/>
          <w:b/>
          <w:bCs/>
          <w:color w:val="000000" w:themeColor="text1"/>
        </w:rPr>
        <w:fldChar w:fldCharType="begin"/>
      </w:r>
      <w:r w:rsidRPr="00731FE2">
        <w:rPr>
          <w:rFonts w:ascii="Times New Roman" w:hAnsi="Times New Roman" w:cs="Times New Roman"/>
          <w:b/>
          <w:bCs/>
          <w:color w:val="000000" w:themeColor="text1"/>
        </w:rPr>
        <w:instrText xml:space="preserve"> SEQ Рисунок \* Arabic </w:instrText>
      </w:r>
      <w:r w:rsidRPr="00731FE2">
        <w:rPr>
          <w:rFonts w:ascii="Times New Roman" w:hAnsi="Times New Roman" w:cs="Times New Roman"/>
          <w:b/>
          <w:bCs/>
          <w:color w:val="000000" w:themeColor="text1"/>
        </w:rPr>
        <w:fldChar w:fldCharType="separate"/>
      </w:r>
      <w:r w:rsidR="00C50915" w:rsidRPr="00731FE2">
        <w:rPr>
          <w:rFonts w:ascii="Times New Roman" w:hAnsi="Times New Roman" w:cs="Times New Roman"/>
          <w:b/>
          <w:bCs/>
          <w:noProof/>
          <w:color w:val="000000" w:themeColor="text1"/>
        </w:rPr>
        <w:t>15</w:t>
      </w:r>
      <w:r w:rsidRPr="00731FE2">
        <w:rPr>
          <w:rFonts w:ascii="Times New Roman" w:hAnsi="Times New Roman" w:cs="Times New Roman"/>
          <w:b/>
          <w:bCs/>
          <w:color w:val="000000" w:themeColor="text1"/>
        </w:rPr>
        <w:fldChar w:fldCharType="end"/>
      </w:r>
      <w:r w:rsidRPr="00731FE2">
        <w:rPr>
          <w:rFonts w:ascii="Times New Roman" w:hAnsi="Times New Roman" w:cs="Times New Roman"/>
          <w:b/>
          <w:bCs/>
          <w:color w:val="000000" w:themeColor="text1"/>
        </w:rPr>
        <w:t xml:space="preserve"> – Научно-образовательный медицинский кластер Северо-Кавказского федерального округа «Северо-Кавказский»</w:t>
      </w:r>
    </w:p>
    <w:p w14:paraId="3E880C57" w14:textId="77777777" w:rsidR="00171AA8" w:rsidRPr="00731FE2" w:rsidRDefault="00171AA8">
      <w:pPr>
        <w:pBdr>
          <w:top w:val="none" w:sz="4" w:space="0" w:color="000000"/>
          <w:left w:val="none" w:sz="4" w:space="0" w:color="000000"/>
          <w:bottom w:val="none" w:sz="4" w:space="0" w:color="000000"/>
          <w:right w:val="none" w:sz="4" w:space="0" w:color="000000"/>
        </w:pBdr>
        <w:spacing w:line="253" w:lineRule="atLeast"/>
      </w:pPr>
    </w:p>
    <w:p w14:paraId="044E3482"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Реализация научно-образовательной программы целенаправленной подготовки кадров для санаторно-курортного комплекса и других сфер экономики (рекреационно-туристической, спортивной) города-курорта Кисловодска позволит преодолеть дефицит трудовых ресурсов, ожидаемый согласно базовому сценарию демографического прогноза.</w:t>
      </w:r>
    </w:p>
    <w:p w14:paraId="47411CF8"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В результате реализации предлагаемых настоящим генеральным планом мероприятий и проектов на территории города-курорта формируется несколько социально-экономических зон.</w:t>
      </w:r>
    </w:p>
    <w:p w14:paraId="28012359"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xml:space="preserve">Главную роль здесь призвана сыграть </w:t>
      </w:r>
      <w:r w:rsidRPr="00731FE2">
        <w:rPr>
          <w:rFonts w:ascii="Times New Roman" w:hAnsi="Times New Roman" w:cs="Times New Roman"/>
          <w:b/>
          <w:bCs/>
          <w:color w:val="000000" w:themeColor="text1"/>
        </w:rPr>
        <w:t>зона основной экономической активности</w:t>
      </w:r>
      <w:r w:rsidRPr="00731FE2">
        <w:rPr>
          <w:rFonts w:ascii="Times New Roman" w:hAnsi="Times New Roman" w:cs="Times New Roman"/>
          <w:color w:val="000000" w:themeColor="text1"/>
        </w:rPr>
        <w:t>, включающая сложившуюся санаторно-курортную зону и зону аналогичной специализации, намеченную на ближайшую перспективу. Эта зона выполняет и поддерживает главную функцию города-курорта, обеспечивая его статус как федерального центра санаторно-курортного хозяйства страны.</w:t>
      </w:r>
    </w:p>
    <w:p w14:paraId="4EB5CB39"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xml:space="preserve">Не менее важную роль играет </w:t>
      </w:r>
      <w:r w:rsidRPr="00731FE2">
        <w:rPr>
          <w:rFonts w:ascii="Times New Roman" w:hAnsi="Times New Roman" w:cs="Times New Roman"/>
          <w:b/>
          <w:bCs/>
          <w:color w:val="000000" w:themeColor="text1"/>
        </w:rPr>
        <w:t>зона концентрации человеческого потенциала и инфраструктуры</w:t>
      </w:r>
      <w:r w:rsidRPr="00731FE2">
        <w:rPr>
          <w:rFonts w:ascii="Times New Roman" w:hAnsi="Times New Roman" w:cs="Times New Roman"/>
          <w:color w:val="000000" w:themeColor="text1"/>
        </w:rPr>
        <w:t xml:space="preserve"> («зона людей»). Зона преимущественно располагается в северной и северо-западной частях городского округа и включает районы сложившейся и формирующейся жилой застройки с элементами общественно-деловых зон. В этой зоне сосредоточена основная часть жителей города-курорта Кисловодска, объекты социальной и транспортной инфраструктуры, обеспечивающие население и основные отрасли специализации.</w:t>
      </w:r>
    </w:p>
    <w:p w14:paraId="2F4224E5"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lastRenderedPageBreak/>
        <w:t xml:space="preserve">В южной и западной частях городского округа формируется </w:t>
      </w:r>
      <w:r w:rsidRPr="00731FE2">
        <w:rPr>
          <w:rFonts w:ascii="Times New Roman" w:hAnsi="Times New Roman" w:cs="Times New Roman"/>
          <w:b/>
          <w:bCs/>
          <w:color w:val="000000" w:themeColor="text1"/>
        </w:rPr>
        <w:t>зона потенциальной экономической активности</w:t>
      </w:r>
      <w:r w:rsidRPr="00731FE2">
        <w:rPr>
          <w:rFonts w:ascii="Times New Roman" w:hAnsi="Times New Roman" w:cs="Times New Roman"/>
          <w:color w:val="000000" w:themeColor="text1"/>
        </w:rPr>
        <w:t xml:space="preserve">. Эта зона включает территории до настоящего времени слабо вовлеченные в экономическую деятельность. Анализ показывает, что данная зона обладает существенным потенциалом для размещения инвестиционных площадок по развитию рекреационно-туристической и спортивной специализации города-курорта. </w:t>
      </w:r>
    </w:p>
    <w:p w14:paraId="178E4135"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xml:space="preserve">Важнейшее значение с точки зрения устойчивого развития городского округа имеет </w:t>
      </w:r>
      <w:r w:rsidRPr="00731FE2">
        <w:rPr>
          <w:rFonts w:ascii="Times New Roman" w:hAnsi="Times New Roman" w:cs="Times New Roman"/>
          <w:b/>
          <w:bCs/>
          <w:color w:val="000000" w:themeColor="text1"/>
        </w:rPr>
        <w:t>зона «экономической тишины»</w:t>
      </w:r>
      <w:r w:rsidRPr="00731FE2">
        <w:rPr>
          <w:rFonts w:ascii="Times New Roman" w:hAnsi="Times New Roman" w:cs="Times New Roman"/>
          <w:color w:val="000000" w:themeColor="text1"/>
        </w:rPr>
        <w:t>, располагающаяся в восточной части округа. Эта зона предназначена для формирования «буфера» – зоны, на которой предполагается развитие лесопокрытых площадей и выполнение двух важнейших функций: 1) обеспечение «изоляции» курортной зоны округа от внешних территорий; 2) формирование «новой» зоны питания ресурсов минеральных вод.</w:t>
      </w:r>
    </w:p>
    <w:p w14:paraId="476843D4"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b/>
          <w:bCs/>
          <w:color w:val="000000" w:themeColor="text1"/>
        </w:rPr>
      </w:pPr>
      <w:r w:rsidRPr="00731FE2">
        <w:rPr>
          <w:rFonts w:ascii="Times New Roman" w:hAnsi="Times New Roman" w:cs="Times New Roman"/>
          <w:b/>
          <w:bCs/>
          <w:color w:val="000000" w:themeColor="text1"/>
        </w:rPr>
        <w:t>Таким образом, гипотеза социально-экономического развития городского округа города-курорта Кисловодска предполагает:</w:t>
      </w:r>
    </w:p>
    <w:p w14:paraId="05FEF0FD" w14:textId="77777777" w:rsidR="00171AA8" w:rsidRPr="00731FE2" w:rsidRDefault="007935AB" w:rsidP="007832E7">
      <w:pPr>
        <w:pStyle w:val="a3"/>
        <w:numPr>
          <w:ilvl w:val="0"/>
          <w:numId w:val="86"/>
        </w:numPr>
        <w:pBdr>
          <w:top w:val="none" w:sz="4" w:space="0" w:color="000000"/>
          <w:left w:val="none" w:sz="4" w:space="0" w:color="000000"/>
          <w:bottom w:val="none" w:sz="4" w:space="0" w:color="000000"/>
          <w:right w:val="none" w:sz="4" w:space="0" w:color="000000"/>
        </w:pBdr>
        <w:rPr>
          <w:rFonts w:ascii="Times New Roman" w:hAnsi="Times New Roman" w:cs="Times New Roman"/>
          <w:b/>
          <w:bCs/>
          <w:color w:val="000000" w:themeColor="text1"/>
        </w:rPr>
      </w:pPr>
      <w:r w:rsidRPr="00731FE2">
        <w:rPr>
          <w:rFonts w:ascii="Times New Roman" w:hAnsi="Times New Roman" w:cs="Times New Roman"/>
          <w:b/>
          <w:bCs/>
          <w:color w:val="000000" w:themeColor="text1"/>
        </w:rPr>
        <w:t>усиление роли города-курорта Кисловодска в качестве одного из ведущих ядер агломерации Кавказских Минеральных Вод;</w:t>
      </w:r>
    </w:p>
    <w:p w14:paraId="206FCCA4" w14:textId="77777777" w:rsidR="00171AA8" w:rsidRPr="00731FE2" w:rsidRDefault="007935AB" w:rsidP="007832E7">
      <w:pPr>
        <w:pStyle w:val="a3"/>
        <w:numPr>
          <w:ilvl w:val="0"/>
          <w:numId w:val="86"/>
        </w:numPr>
        <w:pBdr>
          <w:top w:val="none" w:sz="4" w:space="0" w:color="000000"/>
          <w:left w:val="none" w:sz="4" w:space="0" w:color="000000"/>
          <w:bottom w:val="none" w:sz="4" w:space="0" w:color="000000"/>
          <w:right w:val="none" w:sz="4" w:space="0" w:color="000000"/>
        </w:pBdr>
        <w:rPr>
          <w:rFonts w:ascii="Times New Roman" w:hAnsi="Times New Roman" w:cs="Times New Roman"/>
          <w:b/>
          <w:bCs/>
          <w:color w:val="000000" w:themeColor="text1"/>
        </w:rPr>
      </w:pPr>
      <w:r w:rsidRPr="00731FE2">
        <w:rPr>
          <w:rFonts w:ascii="Times New Roman" w:hAnsi="Times New Roman" w:cs="Times New Roman"/>
          <w:b/>
          <w:bCs/>
          <w:color w:val="000000" w:themeColor="text1"/>
        </w:rPr>
        <w:t>увеличение потенциала санаторно-курортного комплекса за счет развития существующей и создания новой курортной зоны;</w:t>
      </w:r>
    </w:p>
    <w:p w14:paraId="7C0A61ED" w14:textId="77777777" w:rsidR="00171AA8" w:rsidRPr="00731FE2" w:rsidRDefault="007935AB" w:rsidP="007832E7">
      <w:pPr>
        <w:pStyle w:val="a3"/>
        <w:numPr>
          <w:ilvl w:val="0"/>
          <w:numId w:val="86"/>
        </w:numPr>
        <w:pBdr>
          <w:top w:val="none" w:sz="4" w:space="0" w:color="000000"/>
          <w:left w:val="none" w:sz="4" w:space="0" w:color="000000"/>
          <w:bottom w:val="none" w:sz="4" w:space="0" w:color="000000"/>
          <w:right w:val="none" w:sz="4" w:space="0" w:color="000000"/>
        </w:pBdr>
        <w:rPr>
          <w:rFonts w:ascii="Times New Roman" w:hAnsi="Times New Roman" w:cs="Times New Roman"/>
          <w:b/>
          <w:bCs/>
          <w:color w:val="000000" w:themeColor="text1"/>
        </w:rPr>
      </w:pPr>
      <w:r w:rsidRPr="00731FE2">
        <w:rPr>
          <w:rFonts w:ascii="Times New Roman" w:hAnsi="Times New Roman" w:cs="Times New Roman"/>
          <w:b/>
          <w:bCs/>
          <w:color w:val="000000" w:themeColor="text1"/>
        </w:rPr>
        <w:t>расширение специализации города-курорта на основе интенсивного развития рекреационно-туристического комплекса и снижения «монопрофильности» экономики;</w:t>
      </w:r>
    </w:p>
    <w:p w14:paraId="355BC3B3" w14:textId="77777777" w:rsidR="00171AA8" w:rsidRPr="00731FE2" w:rsidRDefault="007935AB" w:rsidP="007832E7">
      <w:pPr>
        <w:pStyle w:val="a3"/>
        <w:numPr>
          <w:ilvl w:val="0"/>
          <w:numId w:val="86"/>
        </w:numPr>
        <w:pBdr>
          <w:top w:val="none" w:sz="4" w:space="0" w:color="000000"/>
          <w:left w:val="none" w:sz="4" w:space="0" w:color="000000"/>
          <w:bottom w:val="none" w:sz="4" w:space="0" w:color="000000"/>
          <w:right w:val="none" w:sz="4" w:space="0" w:color="000000"/>
        </w:pBdr>
        <w:rPr>
          <w:rFonts w:ascii="Times New Roman" w:hAnsi="Times New Roman" w:cs="Times New Roman"/>
          <w:b/>
          <w:bCs/>
          <w:color w:val="000000" w:themeColor="text1"/>
        </w:rPr>
      </w:pPr>
      <w:r w:rsidRPr="00731FE2">
        <w:rPr>
          <w:rFonts w:ascii="Times New Roman" w:hAnsi="Times New Roman" w:cs="Times New Roman"/>
          <w:b/>
          <w:bCs/>
          <w:color w:val="000000" w:themeColor="text1"/>
        </w:rPr>
        <w:t xml:space="preserve">формирование на территории городского округа зон социально-экономической активности, как «точек» роста экономического потенциала. </w:t>
      </w:r>
    </w:p>
    <w:p w14:paraId="1C6F7495" w14:textId="77777777" w:rsidR="00171AA8" w:rsidRPr="00731FE2" w:rsidRDefault="007935AB">
      <w:pPr>
        <w:pStyle w:val="33"/>
        <w:rPr>
          <w:rFonts w:ascii="Times New Roman" w:hAnsi="Times New Roman" w:cs="Times New Roman"/>
        </w:rPr>
      </w:pPr>
      <w:bookmarkStart w:id="69" w:name="_Toc177392820"/>
      <w:r w:rsidRPr="00731FE2">
        <w:rPr>
          <w:rFonts w:ascii="Times New Roman" w:hAnsi="Times New Roman" w:cs="Times New Roman"/>
        </w:rPr>
        <w:t>3.6.2 Санаторно-курортный комплекс</w:t>
      </w:r>
      <w:bookmarkEnd w:id="69"/>
    </w:p>
    <w:p w14:paraId="7AD847B3"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С целью формирования на базе городского округа курорта мирового значения требуется увеличение объемов туристического потока. Для достижения этой стратегической цели настоящим проектом предусмотрена реализация проектных мероприятий по реконструкции существующих и строительству новых санаторно-курортных учреждений.</w:t>
      </w:r>
    </w:p>
    <w:p w14:paraId="56439A7B"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Запланированные к реализации проекты до 2026 года за счет бюджетных и внебюджетных средств в сфере развития санаторно-курортного, событийного и конгрессно-делового туризма, а также проекты в области благоустройства общественных территорий представлены в таблице ниже.</w:t>
      </w:r>
    </w:p>
    <w:p w14:paraId="7A8A55A5" w14:textId="77777777" w:rsidR="00171AA8" w:rsidRPr="00731FE2" w:rsidRDefault="00171AA8">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p>
    <w:p w14:paraId="2804898A" w14:textId="77777777" w:rsidR="00171AA8" w:rsidRPr="00731FE2" w:rsidRDefault="007935AB">
      <w:pPr>
        <w:pStyle w:val="af3"/>
        <w:pBdr>
          <w:top w:val="none" w:sz="4" w:space="0" w:color="000000"/>
          <w:left w:val="none" w:sz="4" w:space="0" w:color="000000"/>
          <w:bottom w:val="none" w:sz="4" w:space="0" w:color="000000"/>
          <w:right w:val="none" w:sz="4" w:space="0" w:color="000000"/>
        </w:pBdr>
        <w:rPr>
          <w:sz w:val="24"/>
          <w:szCs w:val="24"/>
        </w:rPr>
      </w:pPr>
      <w:r w:rsidRPr="00731FE2">
        <w:rPr>
          <w:sz w:val="24"/>
          <w:szCs w:val="24"/>
        </w:rPr>
        <w:t xml:space="preserve">Таблица </w:t>
      </w:r>
      <w:r w:rsidRPr="00731FE2">
        <w:rPr>
          <w:sz w:val="24"/>
          <w:szCs w:val="24"/>
        </w:rPr>
        <w:fldChar w:fldCharType="begin"/>
      </w:r>
      <w:r w:rsidRPr="00731FE2">
        <w:rPr>
          <w:sz w:val="24"/>
          <w:szCs w:val="24"/>
        </w:rPr>
        <w:instrText xml:space="preserve"> SEQ Таблица \* Arabic </w:instrText>
      </w:r>
      <w:r w:rsidRPr="00731FE2">
        <w:rPr>
          <w:sz w:val="24"/>
          <w:szCs w:val="24"/>
        </w:rPr>
        <w:fldChar w:fldCharType="separate"/>
      </w:r>
      <w:r w:rsidR="00C50915" w:rsidRPr="00731FE2">
        <w:rPr>
          <w:noProof/>
          <w:sz w:val="24"/>
          <w:szCs w:val="24"/>
        </w:rPr>
        <w:t>82</w:t>
      </w:r>
      <w:r w:rsidRPr="00731FE2">
        <w:rPr>
          <w:sz w:val="24"/>
          <w:szCs w:val="24"/>
        </w:rPr>
        <w:fldChar w:fldCharType="end"/>
      </w:r>
      <w:r w:rsidRPr="00731FE2">
        <w:rPr>
          <w:sz w:val="24"/>
          <w:szCs w:val="24"/>
        </w:rPr>
        <w:t xml:space="preserve"> – Планируемые к реализации инвестиционные проекты на территории городского округа города-курорта Кисловодска в сфере туризма и благоустройства</w:t>
      </w:r>
      <w:r w:rsidRPr="00731FE2">
        <w:rPr>
          <w:sz w:val="24"/>
          <w:szCs w:val="24"/>
          <w:vertAlign w:val="superscript"/>
        </w:rPr>
        <w:footnoteReference w:id="107"/>
      </w:r>
      <w:r w:rsidRPr="00731FE2">
        <w:rPr>
          <w:sz w:val="24"/>
          <w:szCs w:val="24"/>
          <w:vertAlign w:val="superscript"/>
        </w:rPr>
        <w:t xml:space="preserve"> </w:t>
      </w:r>
    </w:p>
    <w:tbl>
      <w:tblPr>
        <w:tblStyle w:val="afe"/>
        <w:tblW w:w="0" w:type="auto"/>
        <w:tblLayout w:type="fixed"/>
        <w:tblLook w:val="04A0" w:firstRow="1" w:lastRow="0" w:firstColumn="1" w:lastColumn="0" w:noHBand="0" w:noVBand="1"/>
      </w:tblPr>
      <w:tblGrid>
        <w:gridCol w:w="5527"/>
        <w:gridCol w:w="2268"/>
        <w:gridCol w:w="1559"/>
      </w:tblGrid>
      <w:tr w:rsidR="00171AA8" w:rsidRPr="00731FE2" w14:paraId="7FFD2730" w14:textId="77777777">
        <w:tc>
          <w:tcPr>
            <w:tcW w:w="5527" w:type="dxa"/>
          </w:tcPr>
          <w:p w14:paraId="511D2A81" w14:textId="77777777" w:rsidR="00171AA8" w:rsidRPr="00731FE2" w:rsidRDefault="007935AB">
            <w:pPr>
              <w:pBdr>
                <w:top w:val="none" w:sz="4" w:space="0" w:color="000000"/>
                <w:left w:val="none" w:sz="4" w:space="0" w:color="000000"/>
                <w:bottom w:val="none" w:sz="4" w:space="0" w:color="000000"/>
                <w:right w:val="none" w:sz="4" w:space="0" w:color="000000"/>
              </w:pBdr>
              <w:shd w:val="clear" w:color="FFFFFF" w:themeColor="background1" w:fill="FFFFFF" w:themeFill="background1"/>
              <w:ind w:firstLine="0"/>
              <w:jc w:val="center"/>
              <w:rPr>
                <w:rFonts w:ascii="Times New Roman" w:eastAsia="Times New Roman" w:hAnsi="Times New Roman" w:cs="Times New Roman"/>
                <w:b/>
                <w:bCs/>
                <w:color w:val="000000"/>
              </w:rPr>
            </w:pPr>
            <w:r w:rsidRPr="00731FE2">
              <w:rPr>
                <w:rFonts w:ascii="Times New Roman" w:eastAsia="Times New Roman" w:hAnsi="Times New Roman" w:cs="Times New Roman"/>
                <w:b/>
                <w:bCs/>
                <w:color w:val="000000"/>
                <w:sz w:val="22"/>
              </w:rPr>
              <w:t>Наименование проекта</w:t>
            </w:r>
          </w:p>
        </w:tc>
        <w:tc>
          <w:tcPr>
            <w:tcW w:w="2268" w:type="dxa"/>
          </w:tcPr>
          <w:p w14:paraId="66F4799E" w14:textId="77777777" w:rsidR="00171AA8" w:rsidRPr="00731FE2" w:rsidRDefault="007935AB">
            <w:pPr>
              <w:pBdr>
                <w:top w:val="none" w:sz="4" w:space="0" w:color="000000"/>
                <w:left w:val="none" w:sz="4" w:space="0" w:color="000000"/>
                <w:bottom w:val="none" w:sz="4" w:space="0" w:color="000000"/>
                <w:right w:val="none" w:sz="4" w:space="0" w:color="000000"/>
              </w:pBdr>
              <w:shd w:val="clear" w:color="FFFFFF" w:themeColor="background1" w:fill="FFFFFF" w:themeFill="background1"/>
              <w:ind w:firstLine="0"/>
              <w:jc w:val="center"/>
              <w:rPr>
                <w:rFonts w:ascii="Times New Roman" w:eastAsia="Times New Roman" w:hAnsi="Times New Roman" w:cs="Times New Roman"/>
                <w:b/>
                <w:bCs/>
                <w:color w:val="000000"/>
              </w:rPr>
            </w:pPr>
            <w:r w:rsidRPr="00731FE2">
              <w:rPr>
                <w:rFonts w:ascii="Times New Roman" w:eastAsia="Times New Roman" w:hAnsi="Times New Roman" w:cs="Times New Roman"/>
                <w:b/>
                <w:bCs/>
                <w:color w:val="000000"/>
                <w:sz w:val="22"/>
              </w:rPr>
              <w:t>Предполагаемая стоимость, млн. руб.</w:t>
            </w:r>
          </w:p>
        </w:tc>
        <w:tc>
          <w:tcPr>
            <w:tcW w:w="1559" w:type="dxa"/>
          </w:tcPr>
          <w:p w14:paraId="4BEA8BAC" w14:textId="77777777" w:rsidR="00171AA8" w:rsidRPr="00731FE2" w:rsidRDefault="007935AB">
            <w:pPr>
              <w:pBdr>
                <w:top w:val="none" w:sz="4" w:space="0" w:color="000000"/>
                <w:left w:val="none" w:sz="4" w:space="0" w:color="000000"/>
                <w:bottom w:val="none" w:sz="4" w:space="0" w:color="000000"/>
                <w:right w:val="none" w:sz="4" w:space="0" w:color="000000"/>
              </w:pBdr>
              <w:shd w:val="clear" w:color="FFFFFF" w:themeColor="background1" w:fill="FFFFFF" w:themeFill="background1"/>
              <w:ind w:firstLine="0"/>
              <w:jc w:val="center"/>
              <w:rPr>
                <w:rFonts w:ascii="Times New Roman" w:eastAsia="Times New Roman" w:hAnsi="Times New Roman" w:cs="Times New Roman"/>
                <w:b/>
                <w:bCs/>
                <w:color w:val="000000"/>
              </w:rPr>
            </w:pPr>
            <w:r w:rsidRPr="00731FE2">
              <w:rPr>
                <w:rFonts w:ascii="Times New Roman" w:eastAsia="Times New Roman" w:hAnsi="Times New Roman" w:cs="Times New Roman"/>
                <w:b/>
                <w:bCs/>
                <w:color w:val="000000"/>
                <w:sz w:val="22"/>
              </w:rPr>
              <w:t>Койко-места, ед.</w:t>
            </w:r>
          </w:p>
        </w:tc>
      </w:tr>
      <w:tr w:rsidR="00171AA8" w:rsidRPr="00731FE2" w14:paraId="6C80DAA2" w14:textId="77777777">
        <w:tc>
          <w:tcPr>
            <w:tcW w:w="9354" w:type="dxa"/>
            <w:gridSpan w:val="3"/>
          </w:tcPr>
          <w:p w14:paraId="2DD5573F" w14:textId="77777777" w:rsidR="00171AA8" w:rsidRPr="00731FE2" w:rsidRDefault="007935AB">
            <w:pPr>
              <w:pBdr>
                <w:top w:val="none" w:sz="4" w:space="0" w:color="000000"/>
                <w:left w:val="none" w:sz="4" w:space="0" w:color="000000"/>
                <w:bottom w:val="none" w:sz="4" w:space="0" w:color="000000"/>
                <w:right w:val="none" w:sz="4" w:space="0" w:color="000000"/>
              </w:pBdr>
              <w:shd w:val="clear" w:color="FFFFFF" w:themeColor="background1" w:fill="FFFFFF" w:themeFill="background1"/>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За счет внебюджетных средств</w:t>
            </w:r>
          </w:p>
        </w:tc>
      </w:tr>
      <w:tr w:rsidR="00171AA8" w:rsidRPr="00731FE2" w14:paraId="77B4063E" w14:textId="77777777">
        <w:tc>
          <w:tcPr>
            <w:tcW w:w="9354" w:type="dxa"/>
            <w:gridSpan w:val="3"/>
          </w:tcPr>
          <w:p w14:paraId="26507562" w14:textId="77777777" w:rsidR="00171AA8" w:rsidRPr="00731FE2" w:rsidRDefault="007935AB">
            <w:pPr>
              <w:pBdr>
                <w:top w:val="none" w:sz="4" w:space="0" w:color="000000"/>
                <w:left w:val="none" w:sz="4" w:space="0" w:color="000000"/>
                <w:bottom w:val="none" w:sz="4" w:space="0" w:color="000000"/>
                <w:right w:val="none" w:sz="4" w:space="0" w:color="000000"/>
              </w:pBdr>
              <w:shd w:val="clear" w:color="FFFFFF" w:themeColor="background1" w:fill="FFFFFF" w:themeFill="background1"/>
              <w:ind w:firstLine="0"/>
              <w:rPr>
                <w:rFonts w:ascii="Times New Roman" w:eastAsia="Times New Roman" w:hAnsi="Times New Roman" w:cs="Times New Roman"/>
                <w:b/>
                <w:bCs/>
                <w:color w:val="000000"/>
                <w:sz w:val="22"/>
              </w:rPr>
            </w:pPr>
            <w:r w:rsidRPr="00731FE2">
              <w:rPr>
                <w:rFonts w:ascii="Times New Roman" w:eastAsia="Times New Roman" w:hAnsi="Times New Roman" w:cs="Times New Roman"/>
                <w:b/>
                <w:bCs/>
                <w:color w:val="000000"/>
                <w:sz w:val="22"/>
              </w:rPr>
              <w:t>Санаторно-курортные учреждения и гостиницы</w:t>
            </w:r>
          </w:p>
        </w:tc>
      </w:tr>
      <w:tr w:rsidR="00171AA8" w:rsidRPr="00731FE2" w14:paraId="52820312" w14:textId="77777777">
        <w:tc>
          <w:tcPr>
            <w:tcW w:w="5527" w:type="dxa"/>
          </w:tcPr>
          <w:p w14:paraId="506069F7" w14:textId="77777777" w:rsidR="00171AA8" w:rsidRPr="00731FE2" w:rsidRDefault="007935AB">
            <w:pPr>
              <w:pBdr>
                <w:top w:val="none" w:sz="4" w:space="0" w:color="000000"/>
                <w:left w:val="none" w:sz="4" w:space="0" w:color="000000"/>
                <w:bottom w:val="none" w:sz="4" w:space="0" w:color="000000"/>
                <w:right w:val="none" w:sz="4" w:space="0" w:color="000000"/>
              </w:pBdr>
              <w:shd w:val="clear" w:color="FFFFFF" w:themeColor="background1" w:fill="FFFFFF" w:themeFill="background1"/>
              <w:ind w:firstLine="0"/>
              <w:jc w:val="left"/>
              <w:rPr>
                <w:rFonts w:ascii="Times New Roman" w:eastAsia="Times New Roman" w:hAnsi="Times New Roman" w:cs="Times New Roman"/>
                <w:color w:val="000000"/>
              </w:rPr>
            </w:pPr>
            <w:r w:rsidRPr="00731FE2">
              <w:rPr>
                <w:rFonts w:ascii="Times New Roman" w:eastAsia="Times New Roman" w:hAnsi="Times New Roman" w:cs="Times New Roman"/>
                <w:color w:val="000000"/>
                <w:sz w:val="22"/>
              </w:rPr>
              <w:t>Строительство гостиницы «Дружба Ростов» по пр. Дзержинского, 22</w:t>
            </w:r>
          </w:p>
        </w:tc>
        <w:tc>
          <w:tcPr>
            <w:tcW w:w="2268" w:type="dxa"/>
          </w:tcPr>
          <w:p w14:paraId="1DCE02DF" w14:textId="77777777" w:rsidR="00171AA8" w:rsidRPr="00731FE2" w:rsidRDefault="007935AB">
            <w:pPr>
              <w:pBdr>
                <w:top w:val="none" w:sz="4" w:space="0" w:color="000000"/>
                <w:left w:val="none" w:sz="4" w:space="0" w:color="000000"/>
                <w:bottom w:val="none" w:sz="4" w:space="0" w:color="000000"/>
                <w:right w:val="none" w:sz="4" w:space="0" w:color="000000"/>
              </w:pBdr>
              <w:shd w:val="clear" w:color="FFFFFF" w:themeColor="background1" w:fill="FFFFFF" w:themeFill="background1"/>
              <w:ind w:firstLine="0"/>
              <w:jc w:val="center"/>
              <w:rPr>
                <w:rFonts w:ascii="Times New Roman" w:eastAsia="Times New Roman" w:hAnsi="Times New Roman" w:cs="Times New Roman"/>
                <w:color w:val="000000"/>
              </w:rPr>
            </w:pPr>
            <w:r w:rsidRPr="00731FE2">
              <w:rPr>
                <w:rFonts w:ascii="Times New Roman" w:eastAsia="Times New Roman" w:hAnsi="Times New Roman" w:cs="Times New Roman"/>
                <w:color w:val="000000"/>
                <w:sz w:val="22"/>
              </w:rPr>
              <w:t>180</w:t>
            </w:r>
          </w:p>
        </w:tc>
        <w:tc>
          <w:tcPr>
            <w:tcW w:w="1559" w:type="dxa"/>
          </w:tcPr>
          <w:p w14:paraId="0350EC33" w14:textId="77777777" w:rsidR="00171AA8" w:rsidRPr="00731FE2" w:rsidRDefault="007935AB">
            <w:pPr>
              <w:pBdr>
                <w:top w:val="none" w:sz="4" w:space="0" w:color="000000"/>
                <w:left w:val="none" w:sz="4" w:space="0" w:color="000000"/>
                <w:bottom w:val="none" w:sz="4" w:space="0" w:color="000000"/>
                <w:right w:val="none" w:sz="4" w:space="0" w:color="000000"/>
              </w:pBdr>
              <w:shd w:val="clear" w:color="FFFFFF" w:themeColor="background1" w:fill="FFFFFF" w:themeFill="background1"/>
              <w:ind w:firstLine="0"/>
              <w:jc w:val="center"/>
              <w:rPr>
                <w:rFonts w:ascii="Times New Roman" w:eastAsia="Times New Roman" w:hAnsi="Times New Roman" w:cs="Times New Roman"/>
                <w:color w:val="000000"/>
              </w:rPr>
            </w:pPr>
            <w:r w:rsidRPr="00731FE2">
              <w:rPr>
                <w:rFonts w:ascii="Times New Roman" w:eastAsia="Times New Roman" w:hAnsi="Times New Roman" w:cs="Times New Roman"/>
                <w:color w:val="000000"/>
                <w:sz w:val="22"/>
              </w:rPr>
              <w:t xml:space="preserve">133 </w:t>
            </w:r>
          </w:p>
        </w:tc>
      </w:tr>
      <w:tr w:rsidR="00171AA8" w:rsidRPr="00731FE2" w14:paraId="4FA5E58E" w14:textId="77777777">
        <w:tc>
          <w:tcPr>
            <w:tcW w:w="5527" w:type="dxa"/>
          </w:tcPr>
          <w:p w14:paraId="60BC9943" w14:textId="77777777" w:rsidR="00171AA8" w:rsidRPr="00731FE2" w:rsidRDefault="007935AB">
            <w:pPr>
              <w:pBdr>
                <w:top w:val="none" w:sz="4" w:space="0" w:color="000000"/>
                <w:left w:val="none" w:sz="4" w:space="0" w:color="000000"/>
                <w:bottom w:val="none" w:sz="4" w:space="0" w:color="000000"/>
                <w:right w:val="none" w:sz="4" w:space="0" w:color="000000"/>
              </w:pBdr>
              <w:shd w:val="clear" w:color="FFFFFF" w:themeColor="background1" w:fill="FFFFFF" w:themeFill="background1"/>
              <w:ind w:firstLine="0"/>
              <w:jc w:val="left"/>
              <w:rPr>
                <w:rFonts w:ascii="Times New Roman" w:eastAsia="Times New Roman" w:hAnsi="Times New Roman" w:cs="Times New Roman"/>
                <w:color w:val="000000"/>
              </w:rPr>
            </w:pPr>
            <w:r w:rsidRPr="00731FE2">
              <w:rPr>
                <w:rFonts w:ascii="Times New Roman" w:eastAsia="Times New Roman" w:hAnsi="Times New Roman" w:cs="Times New Roman"/>
                <w:color w:val="000000"/>
                <w:sz w:val="22"/>
              </w:rPr>
              <w:t>Строительство гостиницы по пр. Первомайскому, 12 (здание «Дом связи»)</w:t>
            </w:r>
          </w:p>
        </w:tc>
        <w:tc>
          <w:tcPr>
            <w:tcW w:w="2268" w:type="dxa"/>
          </w:tcPr>
          <w:p w14:paraId="3E509A5F" w14:textId="77777777" w:rsidR="00171AA8" w:rsidRPr="00731FE2" w:rsidRDefault="007935AB">
            <w:pPr>
              <w:pBdr>
                <w:top w:val="none" w:sz="4" w:space="0" w:color="000000"/>
                <w:left w:val="none" w:sz="4" w:space="0" w:color="000000"/>
                <w:bottom w:val="none" w:sz="4" w:space="0" w:color="000000"/>
                <w:right w:val="none" w:sz="4" w:space="0" w:color="000000"/>
              </w:pBdr>
              <w:shd w:val="clear" w:color="FFFFFF" w:themeColor="background1" w:fill="FFFFFF" w:themeFill="background1"/>
              <w:ind w:firstLine="0"/>
              <w:jc w:val="center"/>
              <w:rPr>
                <w:rFonts w:ascii="Times New Roman" w:eastAsia="Times New Roman" w:hAnsi="Times New Roman" w:cs="Times New Roman"/>
                <w:color w:val="000000"/>
              </w:rPr>
            </w:pPr>
            <w:r w:rsidRPr="00731FE2">
              <w:rPr>
                <w:rFonts w:ascii="Times New Roman" w:eastAsia="Times New Roman" w:hAnsi="Times New Roman" w:cs="Times New Roman"/>
                <w:color w:val="000000"/>
                <w:sz w:val="22"/>
              </w:rPr>
              <w:t>800</w:t>
            </w:r>
          </w:p>
        </w:tc>
        <w:tc>
          <w:tcPr>
            <w:tcW w:w="1559" w:type="dxa"/>
          </w:tcPr>
          <w:p w14:paraId="353F1218" w14:textId="77777777" w:rsidR="00171AA8" w:rsidRPr="00731FE2" w:rsidRDefault="007935AB">
            <w:pPr>
              <w:pBdr>
                <w:top w:val="none" w:sz="4" w:space="0" w:color="000000"/>
                <w:left w:val="none" w:sz="4" w:space="0" w:color="000000"/>
                <w:bottom w:val="none" w:sz="4" w:space="0" w:color="000000"/>
                <w:right w:val="none" w:sz="4" w:space="0" w:color="000000"/>
              </w:pBdr>
              <w:shd w:val="clear" w:color="FFFFFF" w:themeColor="background1" w:fill="FFFFFF" w:themeFill="background1"/>
              <w:ind w:firstLine="0"/>
              <w:jc w:val="center"/>
              <w:rPr>
                <w:rFonts w:ascii="Times New Roman" w:eastAsia="Times New Roman" w:hAnsi="Times New Roman" w:cs="Times New Roman"/>
                <w:color w:val="000000"/>
              </w:rPr>
            </w:pPr>
            <w:r w:rsidRPr="00731FE2">
              <w:rPr>
                <w:rFonts w:ascii="Times New Roman" w:eastAsia="Times New Roman" w:hAnsi="Times New Roman" w:cs="Times New Roman"/>
                <w:color w:val="000000"/>
                <w:sz w:val="22"/>
              </w:rPr>
              <w:t>200</w:t>
            </w:r>
          </w:p>
        </w:tc>
      </w:tr>
      <w:tr w:rsidR="00171AA8" w:rsidRPr="00731FE2" w14:paraId="3DF2C22A" w14:textId="77777777">
        <w:trPr>
          <w:trHeight w:val="276"/>
        </w:trPr>
        <w:tc>
          <w:tcPr>
            <w:tcW w:w="5527" w:type="dxa"/>
            <w:vMerge w:val="restart"/>
          </w:tcPr>
          <w:p w14:paraId="2A645353" w14:textId="77777777" w:rsidR="00171AA8" w:rsidRPr="00731FE2" w:rsidRDefault="007935AB">
            <w:pPr>
              <w:pBdr>
                <w:top w:val="none" w:sz="4" w:space="0" w:color="000000"/>
                <w:left w:val="none" w:sz="4" w:space="0" w:color="000000"/>
                <w:bottom w:val="none" w:sz="4" w:space="0" w:color="000000"/>
                <w:right w:val="none" w:sz="4" w:space="0" w:color="000000"/>
              </w:pBdr>
              <w:shd w:val="clear" w:color="FFFFFF" w:themeColor="background1" w:fill="FFFFFF" w:themeFill="background1"/>
              <w:ind w:firstLine="0"/>
              <w:jc w:val="left"/>
              <w:rPr>
                <w:rFonts w:ascii="Times New Roman" w:eastAsia="Times New Roman" w:hAnsi="Times New Roman" w:cs="Times New Roman"/>
                <w:color w:val="000000"/>
              </w:rPr>
            </w:pPr>
            <w:r w:rsidRPr="00731FE2">
              <w:rPr>
                <w:rFonts w:ascii="Times New Roman" w:eastAsia="Times New Roman" w:hAnsi="Times New Roman" w:cs="Times New Roman"/>
                <w:color w:val="000000"/>
                <w:sz w:val="22"/>
              </w:rPr>
              <w:t xml:space="preserve">Строительство новых и реконструкция существующих </w:t>
            </w:r>
            <w:r w:rsidRPr="00731FE2">
              <w:rPr>
                <w:rFonts w:ascii="Times New Roman" w:eastAsia="Times New Roman" w:hAnsi="Times New Roman" w:cs="Times New Roman"/>
                <w:color w:val="000000"/>
                <w:sz w:val="22"/>
              </w:rPr>
              <w:lastRenderedPageBreak/>
              <w:t>объектов спортивно-оздоровительного комплекса (Запикетный район, ул. Прудная, 105а)</w:t>
            </w:r>
          </w:p>
        </w:tc>
        <w:tc>
          <w:tcPr>
            <w:tcW w:w="2268" w:type="dxa"/>
            <w:vMerge w:val="restart"/>
          </w:tcPr>
          <w:p w14:paraId="65DD6FB7" w14:textId="77777777" w:rsidR="00171AA8" w:rsidRPr="00731FE2" w:rsidRDefault="007935AB">
            <w:pPr>
              <w:pBdr>
                <w:top w:val="none" w:sz="4" w:space="0" w:color="000000"/>
                <w:left w:val="none" w:sz="4" w:space="0" w:color="000000"/>
                <w:bottom w:val="none" w:sz="4" w:space="0" w:color="000000"/>
                <w:right w:val="none" w:sz="4" w:space="0" w:color="000000"/>
              </w:pBdr>
              <w:shd w:val="clear" w:color="FFFFFF" w:themeColor="background1" w:fill="FFFFFF" w:themeFill="background1"/>
              <w:ind w:firstLine="0"/>
              <w:jc w:val="center"/>
              <w:rPr>
                <w:rFonts w:ascii="Times New Roman" w:eastAsia="Times New Roman" w:hAnsi="Times New Roman" w:cs="Times New Roman"/>
                <w:color w:val="000000"/>
              </w:rPr>
            </w:pPr>
            <w:r w:rsidRPr="00731FE2">
              <w:rPr>
                <w:rFonts w:ascii="Times New Roman" w:eastAsia="Times New Roman" w:hAnsi="Times New Roman" w:cs="Times New Roman"/>
                <w:color w:val="000000"/>
                <w:sz w:val="22"/>
              </w:rPr>
              <w:lastRenderedPageBreak/>
              <w:t>500</w:t>
            </w:r>
          </w:p>
        </w:tc>
        <w:tc>
          <w:tcPr>
            <w:tcW w:w="1559" w:type="dxa"/>
            <w:vMerge w:val="restart"/>
          </w:tcPr>
          <w:p w14:paraId="7B13B424" w14:textId="77777777" w:rsidR="00171AA8" w:rsidRPr="00731FE2" w:rsidRDefault="007935AB">
            <w:pPr>
              <w:pBdr>
                <w:top w:val="none" w:sz="4" w:space="0" w:color="000000"/>
                <w:left w:val="none" w:sz="4" w:space="0" w:color="000000"/>
                <w:bottom w:val="none" w:sz="4" w:space="0" w:color="000000"/>
                <w:right w:val="none" w:sz="4" w:space="0" w:color="000000"/>
              </w:pBdr>
              <w:shd w:val="clear" w:color="FFFFFF" w:themeColor="background1" w:fill="FFFFFF" w:themeFill="background1"/>
              <w:ind w:firstLine="0"/>
              <w:jc w:val="center"/>
              <w:rPr>
                <w:rFonts w:ascii="Times New Roman" w:eastAsia="Times New Roman" w:hAnsi="Times New Roman" w:cs="Times New Roman"/>
                <w:color w:val="000000"/>
              </w:rPr>
            </w:pPr>
            <w:r w:rsidRPr="00731FE2">
              <w:rPr>
                <w:rFonts w:ascii="Times New Roman" w:eastAsia="Times New Roman" w:hAnsi="Times New Roman" w:cs="Times New Roman"/>
                <w:color w:val="000000"/>
                <w:sz w:val="22"/>
              </w:rPr>
              <w:t>220</w:t>
            </w:r>
          </w:p>
        </w:tc>
      </w:tr>
      <w:tr w:rsidR="00171AA8" w:rsidRPr="00731FE2" w14:paraId="79D6AE6C" w14:textId="77777777">
        <w:trPr>
          <w:trHeight w:val="276"/>
        </w:trPr>
        <w:tc>
          <w:tcPr>
            <w:tcW w:w="5527" w:type="dxa"/>
            <w:vMerge w:val="restart"/>
          </w:tcPr>
          <w:p w14:paraId="250F8D1E" w14:textId="77777777" w:rsidR="00171AA8" w:rsidRPr="00731FE2" w:rsidRDefault="007935AB">
            <w:pPr>
              <w:pBdr>
                <w:top w:val="none" w:sz="4" w:space="0" w:color="000000"/>
                <w:left w:val="none" w:sz="4" w:space="0" w:color="000000"/>
                <w:bottom w:val="none" w:sz="4" w:space="0" w:color="000000"/>
                <w:right w:val="none" w:sz="4" w:space="0" w:color="000000"/>
              </w:pBdr>
              <w:shd w:val="clear" w:color="FFFFFF" w:themeColor="background1" w:fill="FFFFFF" w:themeFill="background1"/>
              <w:ind w:firstLine="0"/>
              <w:jc w:val="left"/>
              <w:rPr>
                <w:rFonts w:ascii="Times New Roman" w:eastAsia="Times New Roman" w:hAnsi="Times New Roman" w:cs="Times New Roman"/>
                <w:color w:val="000000"/>
              </w:rPr>
            </w:pPr>
            <w:r w:rsidRPr="00731FE2">
              <w:rPr>
                <w:rFonts w:ascii="Times New Roman" w:eastAsia="Times New Roman" w:hAnsi="Times New Roman" w:cs="Times New Roman"/>
                <w:color w:val="000000"/>
                <w:sz w:val="22"/>
              </w:rPr>
              <w:lastRenderedPageBreak/>
              <w:t>Создание мини-гостиницы в здании «Дом купца Якова Очакова» по пр. Дзержинского, 17</w:t>
            </w:r>
          </w:p>
        </w:tc>
        <w:tc>
          <w:tcPr>
            <w:tcW w:w="2268" w:type="dxa"/>
            <w:vMerge w:val="restart"/>
          </w:tcPr>
          <w:p w14:paraId="60A572CA" w14:textId="77777777" w:rsidR="00171AA8" w:rsidRPr="00731FE2" w:rsidRDefault="007935AB">
            <w:pPr>
              <w:pBdr>
                <w:top w:val="none" w:sz="4" w:space="0" w:color="000000"/>
                <w:left w:val="none" w:sz="4" w:space="0" w:color="000000"/>
                <w:bottom w:val="none" w:sz="4" w:space="0" w:color="000000"/>
                <w:right w:val="none" w:sz="4" w:space="0" w:color="000000"/>
              </w:pBdr>
              <w:shd w:val="clear" w:color="FFFFFF" w:themeColor="background1" w:fill="FFFFFF" w:themeFill="background1"/>
              <w:ind w:firstLine="0"/>
              <w:jc w:val="center"/>
              <w:rPr>
                <w:rFonts w:ascii="Times New Roman" w:eastAsia="Times New Roman" w:hAnsi="Times New Roman" w:cs="Times New Roman"/>
                <w:color w:val="000000"/>
              </w:rPr>
            </w:pPr>
            <w:r w:rsidRPr="00731FE2">
              <w:rPr>
                <w:rFonts w:ascii="Times New Roman" w:eastAsia="Times New Roman" w:hAnsi="Times New Roman" w:cs="Times New Roman"/>
                <w:color w:val="000000"/>
                <w:sz w:val="22"/>
              </w:rPr>
              <w:t>120</w:t>
            </w:r>
          </w:p>
        </w:tc>
        <w:tc>
          <w:tcPr>
            <w:tcW w:w="1559" w:type="dxa"/>
            <w:vMerge w:val="restart"/>
          </w:tcPr>
          <w:p w14:paraId="4631A6BE" w14:textId="77777777" w:rsidR="00171AA8" w:rsidRPr="00731FE2" w:rsidRDefault="007935AB">
            <w:pPr>
              <w:pBdr>
                <w:top w:val="none" w:sz="4" w:space="0" w:color="000000"/>
                <w:left w:val="none" w:sz="4" w:space="0" w:color="000000"/>
                <w:bottom w:val="none" w:sz="4" w:space="0" w:color="000000"/>
                <w:right w:val="none" w:sz="4" w:space="0" w:color="000000"/>
              </w:pBdr>
              <w:shd w:val="clear" w:color="FFFFFF" w:themeColor="background1" w:fill="FFFFFF" w:themeFill="background1"/>
              <w:ind w:firstLine="0"/>
              <w:jc w:val="center"/>
              <w:rPr>
                <w:rFonts w:ascii="Times New Roman" w:eastAsia="Times New Roman" w:hAnsi="Times New Roman" w:cs="Times New Roman"/>
                <w:color w:val="000000"/>
              </w:rPr>
            </w:pPr>
            <w:r w:rsidRPr="00731FE2">
              <w:rPr>
                <w:rFonts w:ascii="Times New Roman" w:eastAsia="Times New Roman" w:hAnsi="Times New Roman" w:cs="Times New Roman"/>
                <w:color w:val="000000"/>
                <w:sz w:val="22"/>
              </w:rPr>
              <w:t>35</w:t>
            </w:r>
          </w:p>
        </w:tc>
      </w:tr>
      <w:tr w:rsidR="00171AA8" w:rsidRPr="00731FE2" w14:paraId="53653DCD" w14:textId="77777777">
        <w:trPr>
          <w:trHeight w:val="276"/>
        </w:trPr>
        <w:tc>
          <w:tcPr>
            <w:tcW w:w="5527" w:type="dxa"/>
            <w:vMerge w:val="restart"/>
          </w:tcPr>
          <w:p w14:paraId="3BEE588D" w14:textId="77777777" w:rsidR="00171AA8" w:rsidRPr="00731FE2" w:rsidRDefault="007935AB">
            <w:pPr>
              <w:pBdr>
                <w:top w:val="none" w:sz="4" w:space="0" w:color="000000"/>
                <w:left w:val="none" w:sz="4" w:space="0" w:color="000000"/>
                <w:bottom w:val="none" w:sz="4" w:space="0" w:color="000000"/>
                <w:right w:val="none" w:sz="4" w:space="0" w:color="000000"/>
              </w:pBdr>
              <w:shd w:val="clear" w:color="FFFFFF" w:themeColor="background1" w:fill="FFFFFF" w:themeFill="background1"/>
              <w:ind w:firstLine="0"/>
              <w:jc w:val="left"/>
              <w:rPr>
                <w:rFonts w:ascii="Times New Roman" w:eastAsia="Times New Roman" w:hAnsi="Times New Roman" w:cs="Times New Roman"/>
                <w:color w:val="000000"/>
              </w:rPr>
            </w:pPr>
            <w:r w:rsidRPr="00731FE2">
              <w:rPr>
                <w:rFonts w:ascii="Times New Roman" w:eastAsia="Times New Roman" w:hAnsi="Times New Roman" w:cs="Times New Roman"/>
                <w:color w:val="000000"/>
                <w:sz w:val="22"/>
              </w:rPr>
              <w:t>Создание экосистемоного экологического курорта в пос. Левоберезовском</w:t>
            </w:r>
          </w:p>
        </w:tc>
        <w:tc>
          <w:tcPr>
            <w:tcW w:w="2268" w:type="dxa"/>
            <w:vMerge w:val="restart"/>
          </w:tcPr>
          <w:p w14:paraId="41C7E1AE" w14:textId="77777777" w:rsidR="00171AA8" w:rsidRPr="00731FE2" w:rsidRDefault="007935AB">
            <w:pPr>
              <w:pBdr>
                <w:top w:val="none" w:sz="4" w:space="0" w:color="000000"/>
                <w:left w:val="none" w:sz="4" w:space="0" w:color="000000"/>
                <w:bottom w:val="none" w:sz="4" w:space="0" w:color="000000"/>
                <w:right w:val="none" w:sz="4" w:space="0" w:color="000000"/>
              </w:pBdr>
              <w:shd w:val="clear" w:color="FFFFFF" w:themeColor="background1" w:fill="FFFFFF" w:themeFill="background1"/>
              <w:ind w:firstLine="0"/>
              <w:jc w:val="center"/>
              <w:rPr>
                <w:rFonts w:ascii="Times New Roman" w:eastAsia="Times New Roman" w:hAnsi="Times New Roman" w:cs="Times New Roman"/>
                <w:color w:val="000000"/>
              </w:rPr>
            </w:pPr>
            <w:r w:rsidRPr="00731FE2">
              <w:rPr>
                <w:rFonts w:ascii="Times New Roman" w:eastAsia="Times New Roman" w:hAnsi="Times New Roman" w:cs="Times New Roman"/>
                <w:color w:val="000000"/>
                <w:sz w:val="22"/>
              </w:rPr>
              <w:t>6426</w:t>
            </w:r>
          </w:p>
        </w:tc>
        <w:tc>
          <w:tcPr>
            <w:tcW w:w="1559" w:type="dxa"/>
            <w:vMerge w:val="restart"/>
          </w:tcPr>
          <w:p w14:paraId="2C299C7D" w14:textId="77777777" w:rsidR="00171AA8" w:rsidRPr="00731FE2" w:rsidRDefault="007935AB">
            <w:pPr>
              <w:pBdr>
                <w:top w:val="none" w:sz="4" w:space="0" w:color="000000"/>
                <w:left w:val="none" w:sz="4" w:space="0" w:color="000000"/>
                <w:bottom w:val="none" w:sz="4" w:space="0" w:color="000000"/>
                <w:right w:val="none" w:sz="4" w:space="0" w:color="000000"/>
              </w:pBdr>
              <w:shd w:val="clear" w:color="FFFFFF" w:themeColor="background1" w:fill="FFFFFF" w:themeFill="background1"/>
              <w:ind w:firstLine="0"/>
              <w:jc w:val="center"/>
              <w:rPr>
                <w:rFonts w:ascii="Times New Roman" w:eastAsia="Times New Roman" w:hAnsi="Times New Roman" w:cs="Times New Roman"/>
                <w:color w:val="000000"/>
              </w:rPr>
            </w:pPr>
            <w:r w:rsidRPr="00731FE2">
              <w:rPr>
                <w:rFonts w:ascii="Times New Roman" w:eastAsia="Times New Roman" w:hAnsi="Times New Roman" w:cs="Times New Roman"/>
                <w:color w:val="000000"/>
                <w:sz w:val="22"/>
              </w:rPr>
              <w:t>1242</w:t>
            </w:r>
          </w:p>
        </w:tc>
      </w:tr>
      <w:tr w:rsidR="00171AA8" w:rsidRPr="00731FE2" w14:paraId="0A5B80D9" w14:textId="77777777">
        <w:trPr>
          <w:trHeight w:val="276"/>
        </w:trPr>
        <w:tc>
          <w:tcPr>
            <w:tcW w:w="5527" w:type="dxa"/>
            <w:vMerge w:val="restart"/>
          </w:tcPr>
          <w:p w14:paraId="6E00CBDE" w14:textId="77777777" w:rsidR="00171AA8" w:rsidRPr="00731FE2" w:rsidRDefault="007935AB">
            <w:pPr>
              <w:pBdr>
                <w:top w:val="none" w:sz="4" w:space="0" w:color="000000"/>
                <w:left w:val="none" w:sz="4" w:space="0" w:color="000000"/>
                <w:bottom w:val="none" w:sz="4" w:space="0" w:color="000000"/>
                <w:right w:val="none" w:sz="4" w:space="0" w:color="000000"/>
              </w:pBdr>
              <w:shd w:val="clear" w:color="FFFFFF" w:themeColor="background1" w:fill="FFFFFF" w:themeFill="background1"/>
              <w:ind w:firstLine="0"/>
              <w:rPr>
                <w:rFonts w:ascii="Times New Roman" w:eastAsia="Times New Roman" w:hAnsi="Times New Roman" w:cs="Times New Roman"/>
                <w:color w:val="000000"/>
              </w:rPr>
            </w:pPr>
            <w:r w:rsidRPr="00731FE2">
              <w:rPr>
                <w:rFonts w:ascii="Times New Roman" w:eastAsia="Times New Roman" w:hAnsi="Times New Roman" w:cs="Times New Roman"/>
                <w:color w:val="000000"/>
                <w:sz w:val="22"/>
              </w:rPr>
              <w:t>Итого</w:t>
            </w:r>
          </w:p>
        </w:tc>
        <w:tc>
          <w:tcPr>
            <w:tcW w:w="2268" w:type="dxa"/>
            <w:vMerge w:val="restart"/>
          </w:tcPr>
          <w:p w14:paraId="2F9A0128" w14:textId="77777777" w:rsidR="00171AA8" w:rsidRPr="00731FE2" w:rsidRDefault="007935AB">
            <w:pPr>
              <w:pBdr>
                <w:top w:val="none" w:sz="4" w:space="0" w:color="000000"/>
                <w:left w:val="none" w:sz="4" w:space="0" w:color="000000"/>
                <w:bottom w:val="none" w:sz="4" w:space="0" w:color="000000"/>
                <w:right w:val="none" w:sz="4" w:space="0" w:color="000000"/>
              </w:pBdr>
              <w:shd w:val="clear" w:color="FFFFFF" w:themeColor="background1" w:fill="FFFFFF" w:themeFill="background1"/>
              <w:ind w:firstLine="0"/>
              <w:rPr>
                <w:rFonts w:ascii="Times New Roman" w:eastAsia="Times New Roman" w:hAnsi="Times New Roman" w:cs="Times New Roman"/>
                <w:color w:val="000000"/>
              </w:rPr>
            </w:pPr>
            <w:r w:rsidRPr="00731FE2">
              <w:rPr>
                <w:rFonts w:ascii="Times New Roman" w:eastAsia="Times New Roman" w:hAnsi="Times New Roman" w:cs="Times New Roman"/>
                <w:color w:val="000000"/>
                <w:sz w:val="22"/>
              </w:rPr>
              <w:t>8026,0</w:t>
            </w:r>
          </w:p>
        </w:tc>
        <w:tc>
          <w:tcPr>
            <w:tcW w:w="1559" w:type="dxa"/>
            <w:vMerge w:val="restart"/>
          </w:tcPr>
          <w:p w14:paraId="422B1899" w14:textId="77777777" w:rsidR="00171AA8" w:rsidRPr="00731FE2" w:rsidRDefault="007935AB">
            <w:pPr>
              <w:pBdr>
                <w:top w:val="none" w:sz="4" w:space="0" w:color="000000"/>
                <w:left w:val="none" w:sz="4" w:space="0" w:color="000000"/>
                <w:bottom w:val="none" w:sz="4" w:space="0" w:color="000000"/>
                <w:right w:val="none" w:sz="4" w:space="0" w:color="000000"/>
              </w:pBdr>
              <w:shd w:val="clear" w:color="FFFFFF" w:themeColor="background1" w:fill="FFFFFF" w:themeFill="background1"/>
              <w:ind w:firstLine="0"/>
              <w:rPr>
                <w:rFonts w:ascii="Times New Roman" w:eastAsia="Times New Roman" w:hAnsi="Times New Roman" w:cs="Times New Roman"/>
                <w:color w:val="000000"/>
              </w:rPr>
            </w:pPr>
            <w:r w:rsidRPr="00731FE2">
              <w:rPr>
                <w:rFonts w:ascii="Times New Roman" w:eastAsia="Times New Roman" w:hAnsi="Times New Roman" w:cs="Times New Roman"/>
                <w:color w:val="000000"/>
                <w:sz w:val="22"/>
              </w:rPr>
              <w:t>1830</w:t>
            </w:r>
          </w:p>
        </w:tc>
      </w:tr>
      <w:tr w:rsidR="00171AA8" w:rsidRPr="00731FE2" w14:paraId="618C3097" w14:textId="77777777">
        <w:trPr>
          <w:trHeight w:val="253"/>
        </w:trPr>
        <w:tc>
          <w:tcPr>
            <w:tcW w:w="9354" w:type="dxa"/>
            <w:gridSpan w:val="3"/>
            <w:vMerge w:val="restart"/>
          </w:tcPr>
          <w:p w14:paraId="736AC172" w14:textId="77777777" w:rsidR="00171AA8" w:rsidRPr="00731FE2" w:rsidRDefault="007935AB">
            <w:pPr>
              <w:pBdr>
                <w:top w:val="none" w:sz="4" w:space="0" w:color="000000"/>
                <w:left w:val="none" w:sz="4" w:space="0" w:color="000000"/>
                <w:bottom w:val="none" w:sz="4" w:space="0" w:color="000000"/>
                <w:right w:val="none" w:sz="4" w:space="0" w:color="000000"/>
              </w:pBdr>
              <w:shd w:val="clear" w:color="FFFFFF" w:themeColor="background1" w:fill="FFFFFF" w:themeFill="background1"/>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За счет бюджетных средств</w:t>
            </w:r>
          </w:p>
        </w:tc>
      </w:tr>
      <w:tr w:rsidR="00171AA8" w:rsidRPr="00731FE2" w14:paraId="26BBC5E2" w14:textId="77777777">
        <w:trPr>
          <w:trHeight w:val="253"/>
        </w:trPr>
        <w:tc>
          <w:tcPr>
            <w:tcW w:w="9354" w:type="dxa"/>
            <w:gridSpan w:val="3"/>
            <w:vMerge w:val="restart"/>
          </w:tcPr>
          <w:p w14:paraId="5A310C90" w14:textId="77777777" w:rsidR="00171AA8" w:rsidRPr="00731FE2" w:rsidRDefault="007935AB">
            <w:pPr>
              <w:pBdr>
                <w:top w:val="none" w:sz="4" w:space="0" w:color="000000"/>
                <w:left w:val="none" w:sz="4" w:space="0" w:color="000000"/>
                <w:bottom w:val="none" w:sz="4" w:space="0" w:color="000000"/>
                <w:right w:val="none" w:sz="4" w:space="0" w:color="000000"/>
              </w:pBdr>
              <w:shd w:val="clear" w:color="FFFFFF" w:themeColor="background1" w:fill="FFFFFF" w:themeFill="background1"/>
              <w:ind w:firstLine="0"/>
              <w:rPr>
                <w:rFonts w:ascii="Times New Roman" w:eastAsia="Times New Roman" w:hAnsi="Times New Roman" w:cs="Times New Roman"/>
                <w:b/>
                <w:bCs/>
                <w:color w:val="000000"/>
                <w:sz w:val="22"/>
              </w:rPr>
            </w:pPr>
            <w:r w:rsidRPr="00731FE2">
              <w:rPr>
                <w:rFonts w:ascii="Times New Roman" w:eastAsia="Times New Roman" w:hAnsi="Times New Roman" w:cs="Times New Roman"/>
                <w:b/>
                <w:bCs/>
                <w:color w:val="000000"/>
                <w:sz w:val="22"/>
              </w:rPr>
              <w:t>Санаторно-курортные учреждения и гостиницы</w:t>
            </w:r>
          </w:p>
        </w:tc>
      </w:tr>
      <w:tr w:rsidR="00171AA8" w:rsidRPr="00731FE2" w14:paraId="548A1594" w14:textId="77777777">
        <w:trPr>
          <w:trHeight w:val="276"/>
        </w:trPr>
        <w:tc>
          <w:tcPr>
            <w:tcW w:w="5527" w:type="dxa"/>
            <w:vMerge w:val="restart"/>
          </w:tcPr>
          <w:p w14:paraId="0CA33337" w14:textId="77777777" w:rsidR="00171AA8" w:rsidRPr="00731FE2" w:rsidRDefault="007935AB">
            <w:pPr>
              <w:pBdr>
                <w:top w:val="none" w:sz="4" w:space="0" w:color="000000"/>
                <w:left w:val="none" w:sz="4" w:space="0" w:color="000000"/>
                <w:bottom w:val="none" w:sz="4" w:space="0" w:color="000000"/>
                <w:right w:val="none" w:sz="4" w:space="0" w:color="000000"/>
              </w:pBdr>
              <w:shd w:val="clear" w:color="FFFFFF" w:themeColor="background1" w:fill="FFFFFF" w:themeFill="background1"/>
              <w:ind w:firstLine="0"/>
              <w:jc w:val="left"/>
              <w:rPr>
                <w:rFonts w:ascii="Times New Roman" w:eastAsia="Times New Roman" w:hAnsi="Times New Roman" w:cs="Times New Roman"/>
                <w:color w:val="000000"/>
              </w:rPr>
            </w:pPr>
            <w:r w:rsidRPr="00731FE2">
              <w:rPr>
                <w:rFonts w:ascii="Times New Roman" w:eastAsia="Times New Roman" w:hAnsi="Times New Roman" w:cs="Times New Roman"/>
                <w:color w:val="000000"/>
                <w:sz w:val="22"/>
              </w:rPr>
              <w:t xml:space="preserve">Строительство спального корпуса санатория Федеральной таможенной службы России «Электроника» </w:t>
            </w:r>
          </w:p>
        </w:tc>
        <w:tc>
          <w:tcPr>
            <w:tcW w:w="2268" w:type="dxa"/>
            <w:vMerge w:val="restart"/>
          </w:tcPr>
          <w:p w14:paraId="6BF07CBA" w14:textId="77777777" w:rsidR="00171AA8" w:rsidRPr="00731FE2" w:rsidRDefault="007935AB">
            <w:pPr>
              <w:pBdr>
                <w:top w:val="none" w:sz="4" w:space="0" w:color="000000"/>
                <w:left w:val="none" w:sz="4" w:space="0" w:color="000000"/>
                <w:bottom w:val="none" w:sz="4" w:space="0" w:color="000000"/>
                <w:right w:val="none" w:sz="4" w:space="0" w:color="000000"/>
              </w:pBdr>
              <w:shd w:val="clear" w:color="FFFFFF" w:themeColor="background1" w:fill="FFFFFF" w:themeFill="background1"/>
              <w:ind w:firstLine="0"/>
              <w:jc w:val="center"/>
              <w:rPr>
                <w:rFonts w:ascii="Times New Roman" w:eastAsia="Times New Roman" w:hAnsi="Times New Roman" w:cs="Times New Roman"/>
                <w:color w:val="000000"/>
              </w:rPr>
            </w:pPr>
            <w:r w:rsidRPr="00731FE2">
              <w:rPr>
                <w:rFonts w:ascii="Times New Roman" w:eastAsia="Times New Roman" w:hAnsi="Times New Roman" w:cs="Times New Roman"/>
                <w:color w:val="000000"/>
                <w:sz w:val="22"/>
              </w:rPr>
              <w:t>214,9</w:t>
            </w:r>
          </w:p>
        </w:tc>
        <w:tc>
          <w:tcPr>
            <w:tcW w:w="1559" w:type="dxa"/>
            <w:vMerge w:val="restart"/>
          </w:tcPr>
          <w:p w14:paraId="03EDCACF" w14:textId="77777777" w:rsidR="00171AA8" w:rsidRPr="00731FE2" w:rsidRDefault="007935AB">
            <w:pPr>
              <w:pBdr>
                <w:top w:val="none" w:sz="4" w:space="0" w:color="000000"/>
                <w:left w:val="none" w:sz="4" w:space="0" w:color="000000"/>
                <w:bottom w:val="none" w:sz="4" w:space="0" w:color="000000"/>
                <w:right w:val="none" w:sz="4" w:space="0" w:color="000000"/>
              </w:pBdr>
              <w:shd w:val="clear" w:color="FFFFFF" w:themeColor="background1" w:fill="FFFFFF" w:themeFill="background1"/>
              <w:ind w:firstLine="0"/>
              <w:jc w:val="center"/>
              <w:rPr>
                <w:rFonts w:ascii="Times New Roman" w:eastAsia="Times New Roman" w:hAnsi="Times New Roman" w:cs="Times New Roman"/>
                <w:color w:val="000000"/>
              </w:rPr>
            </w:pPr>
            <w:r w:rsidRPr="00731FE2">
              <w:rPr>
                <w:rFonts w:ascii="Times New Roman" w:eastAsia="Times New Roman" w:hAnsi="Times New Roman" w:cs="Times New Roman"/>
                <w:color w:val="000000"/>
                <w:sz w:val="22"/>
              </w:rPr>
              <w:t>51 мест</w:t>
            </w:r>
          </w:p>
        </w:tc>
      </w:tr>
      <w:tr w:rsidR="00171AA8" w:rsidRPr="00731FE2" w14:paraId="57367BD8" w14:textId="77777777">
        <w:trPr>
          <w:trHeight w:val="276"/>
        </w:trPr>
        <w:tc>
          <w:tcPr>
            <w:tcW w:w="5527" w:type="dxa"/>
            <w:vMerge w:val="restart"/>
          </w:tcPr>
          <w:p w14:paraId="506AB950" w14:textId="77777777" w:rsidR="00171AA8" w:rsidRPr="00731FE2" w:rsidRDefault="007935AB">
            <w:pPr>
              <w:pBdr>
                <w:top w:val="none" w:sz="4" w:space="0" w:color="000000"/>
                <w:left w:val="none" w:sz="4" w:space="0" w:color="000000"/>
                <w:bottom w:val="none" w:sz="4" w:space="0" w:color="000000"/>
                <w:right w:val="none" w:sz="4" w:space="0" w:color="000000"/>
              </w:pBdr>
              <w:shd w:val="clear" w:color="FFFFFF" w:themeColor="background1" w:fill="FFFFFF" w:themeFill="background1"/>
              <w:ind w:firstLine="0"/>
              <w:jc w:val="left"/>
              <w:rPr>
                <w:rFonts w:ascii="Times New Roman" w:eastAsia="Times New Roman" w:hAnsi="Times New Roman" w:cs="Times New Roman"/>
                <w:color w:val="000000"/>
              </w:rPr>
            </w:pPr>
            <w:r w:rsidRPr="00731FE2">
              <w:rPr>
                <w:rFonts w:ascii="Times New Roman" w:eastAsia="Times New Roman" w:hAnsi="Times New Roman" w:cs="Times New Roman"/>
                <w:color w:val="000000"/>
                <w:sz w:val="22"/>
              </w:rPr>
              <w:t>Создание реабилитационно-восстановительного кардиологического центра на базе объекта незавершенного строительства «Корпус клиники им. Ленина»</w:t>
            </w:r>
          </w:p>
        </w:tc>
        <w:tc>
          <w:tcPr>
            <w:tcW w:w="2268" w:type="dxa"/>
            <w:vMerge w:val="restart"/>
          </w:tcPr>
          <w:p w14:paraId="29541724" w14:textId="77777777" w:rsidR="00171AA8" w:rsidRPr="00731FE2" w:rsidRDefault="007935AB">
            <w:pPr>
              <w:pBdr>
                <w:top w:val="none" w:sz="4" w:space="0" w:color="000000"/>
                <w:left w:val="none" w:sz="4" w:space="0" w:color="000000"/>
                <w:bottom w:val="none" w:sz="4" w:space="0" w:color="000000"/>
                <w:right w:val="none" w:sz="4" w:space="0" w:color="000000"/>
              </w:pBdr>
              <w:shd w:val="clear" w:color="FFFFFF" w:themeColor="background1" w:fill="FFFFFF" w:themeFill="background1"/>
              <w:ind w:firstLine="0"/>
              <w:jc w:val="center"/>
              <w:rPr>
                <w:rFonts w:ascii="Times New Roman" w:eastAsia="Times New Roman" w:hAnsi="Times New Roman" w:cs="Times New Roman"/>
                <w:color w:val="000000"/>
              </w:rPr>
            </w:pPr>
            <w:r w:rsidRPr="00731FE2">
              <w:rPr>
                <w:rFonts w:ascii="Times New Roman" w:eastAsia="Times New Roman" w:hAnsi="Times New Roman" w:cs="Times New Roman"/>
                <w:color w:val="000000"/>
                <w:sz w:val="22"/>
              </w:rPr>
              <w:t>2500,0</w:t>
            </w:r>
          </w:p>
        </w:tc>
        <w:tc>
          <w:tcPr>
            <w:tcW w:w="1559" w:type="dxa"/>
            <w:vMerge w:val="restart"/>
          </w:tcPr>
          <w:p w14:paraId="1A089B32" w14:textId="77777777" w:rsidR="00171AA8" w:rsidRPr="00731FE2" w:rsidRDefault="007935AB">
            <w:pPr>
              <w:pBdr>
                <w:top w:val="none" w:sz="4" w:space="0" w:color="000000"/>
                <w:left w:val="none" w:sz="4" w:space="0" w:color="000000"/>
                <w:bottom w:val="none" w:sz="4" w:space="0" w:color="000000"/>
                <w:right w:val="none" w:sz="4" w:space="0" w:color="000000"/>
              </w:pBdr>
              <w:shd w:val="clear" w:color="FFFFFF" w:themeColor="background1" w:fill="FFFFFF" w:themeFill="background1"/>
              <w:ind w:firstLine="0"/>
              <w:jc w:val="center"/>
              <w:rPr>
                <w:rFonts w:ascii="Times New Roman" w:eastAsia="Times New Roman" w:hAnsi="Times New Roman" w:cs="Times New Roman"/>
                <w:color w:val="000000"/>
              </w:rPr>
            </w:pPr>
            <w:r w:rsidRPr="00731FE2">
              <w:rPr>
                <w:rFonts w:ascii="Times New Roman" w:eastAsia="Times New Roman" w:hAnsi="Times New Roman" w:cs="Times New Roman"/>
                <w:color w:val="000000"/>
                <w:sz w:val="22"/>
              </w:rPr>
              <w:t>250 мест</w:t>
            </w:r>
          </w:p>
        </w:tc>
      </w:tr>
      <w:tr w:rsidR="00171AA8" w:rsidRPr="00731FE2" w14:paraId="295A28A4" w14:textId="77777777">
        <w:trPr>
          <w:trHeight w:val="253"/>
        </w:trPr>
        <w:tc>
          <w:tcPr>
            <w:tcW w:w="9354" w:type="dxa"/>
            <w:gridSpan w:val="3"/>
            <w:vMerge w:val="restart"/>
          </w:tcPr>
          <w:p w14:paraId="6039ED86" w14:textId="77777777" w:rsidR="00171AA8" w:rsidRPr="00731FE2" w:rsidRDefault="007935AB">
            <w:pPr>
              <w:pBdr>
                <w:top w:val="none" w:sz="4" w:space="0" w:color="000000"/>
                <w:left w:val="none" w:sz="4" w:space="0" w:color="000000"/>
                <w:bottom w:val="none" w:sz="4" w:space="0" w:color="000000"/>
                <w:right w:val="none" w:sz="4" w:space="0" w:color="000000"/>
              </w:pBdr>
              <w:shd w:val="clear" w:color="FFFFFF" w:themeColor="background1" w:fill="FFFFFF" w:themeFill="background1"/>
              <w:ind w:firstLine="0"/>
              <w:rPr>
                <w:rFonts w:ascii="Times New Roman" w:eastAsia="Times New Roman" w:hAnsi="Times New Roman" w:cs="Times New Roman"/>
                <w:b/>
                <w:bCs/>
                <w:color w:val="000000"/>
                <w:sz w:val="22"/>
              </w:rPr>
            </w:pPr>
            <w:r w:rsidRPr="00731FE2">
              <w:rPr>
                <w:rFonts w:ascii="Times New Roman" w:eastAsia="Times New Roman" w:hAnsi="Times New Roman" w:cs="Times New Roman"/>
                <w:b/>
                <w:bCs/>
                <w:color w:val="000000"/>
                <w:sz w:val="22"/>
              </w:rPr>
              <w:t>Объекты по развитию событийного и конгрессно-делового туризма</w:t>
            </w:r>
          </w:p>
        </w:tc>
      </w:tr>
      <w:tr w:rsidR="00171AA8" w:rsidRPr="00731FE2" w14:paraId="38AEE561" w14:textId="77777777">
        <w:trPr>
          <w:trHeight w:val="276"/>
        </w:trPr>
        <w:tc>
          <w:tcPr>
            <w:tcW w:w="5527" w:type="dxa"/>
            <w:vMerge w:val="restart"/>
          </w:tcPr>
          <w:p w14:paraId="02D5D1D5" w14:textId="77777777" w:rsidR="00171AA8" w:rsidRPr="00731FE2" w:rsidRDefault="007935AB">
            <w:pPr>
              <w:pBdr>
                <w:top w:val="none" w:sz="4" w:space="0" w:color="000000"/>
                <w:left w:val="none" w:sz="4" w:space="0" w:color="000000"/>
                <w:bottom w:val="none" w:sz="4" w:space="0" w:color="000000"/>
                <w:right w:val="none" w:sz="4" w:space="0" w:color="000000"/>
              </w:pBdr>
              <w:shd w:val="clear" w:color="FFFFFF" w:themeColor="background1" w:fill="FFFFFF" w:themeFill="background1"/>
              <w:ind w:firstLine="0"/>
              <w:jc w:val="left"/>
              <w:rPr>
                <w:rFonts w:ascii="Times New Roman" w:eastAsia="Times New Roman" w:hAnsi="Times New Roman" w:cs="Times New Roman"/>
                <w:color w:val="000000"/>
              </w:rPr>
            </w:pPr>
            <w:r w:rsidRPr="00731FE2">
              <w:rPr>
                <w:rFonts w:ascii="Times New Roman" w:eastAsia="Times New Roman" w:hAnsi="Times New Roman" w:cs="Times New Roman"/>
                <w:color w:val="000000"/>
                <w:sz w:val="22"/>
              </w:rPr>
              <w:t>Строительство многофункционального культурного центра «Россия»</w:t>
            </w:r>
          </w:p>
        </w:tc>
        <w:tc>
          <w:tcPr>
            <w:tcW w:w="2268" w:type="dxa"/>
            <w:vMerge w:val="restart"/>
          </w:tcPr>
          <w:p w14:paraId="5FDF78F9" w14:textId="77777777" w:rsidR="00171AA8" w:rsidRPr="00731FE2" w:rsidRDefault="007935AB">
            <w:pPr>
              <w:pBdr>
                <w:top w:val="none" w:sz="4" w:space="0" w:color="000000"/>
                <w:left w:val="none" w:sz="4" w:space="0" w:color="000000"/>
                <w:bottom w:val="none" w:sz="4" w:space="0" w:color="000000"/>
                <w:right w:val="none" w:sz="4" w:space="0" w:color="000000"/>
              </w:pBdr>
              <w:shd w:val="clear" w:color="FFFFFF" w:themeColor="background1" w:fill="FFFFFF" w:themeFill="background1"/>
              <w:ind w:firstLine="0"/>
              <w:jc w:val="center"/>
              <w:rPr>
                <w:rFonts w:ascii="Times New Roman" w:eastAsia="Times New Roman" w:hAnsi="Times New Roman" w:cs="Times New Roman"/>
                <w:color w:val="000000"/>
              </w:rPr>
            </w:pPr>
            <w:r w:rsidRPr="00731FE2">
              <w:rPr>
                <w:rFonts w:ascii="Times New Roman" w:eastAsia="Times New Roman" w:hAnsi="Times New Roman" w:cs="Times New Roman"/>
                <w:color w:val="000000"/>
                <w:sz w:val="22"/>
              </w:rPr>
              <w:t>3600,0</w:t>
            </w:r>
          </w:p>
        </w:tc>
        <w:tc>
          <w:tcPr>
            <w:tcW w:w="1559" w:type="dxa"/>
            <w:vMerge w:val="restart"/>
          </w:tcPr>
          <w:p w14:paraId="1B30C2D3" w14:textId="77777777" w:rsidR="00171AA8" w:rsidRPr="00731FE2" w:rsidRDefault="007935AB">
            <w:pPr>
              <w:pBdr>
                <w:top w:val="none" w:sz="4" w:space="0" w:color="000000"/>
                <w:left w:val="none" w:sz="4" w:space="0" w:color="000000"/>
                <w:bottom w:val="none" w:sz="4" w:space="0" w:color="000000"/>
                <w:right w:val="none" w:sz="4" w:space="0" w:color="000000"/>
              </w:pBdr>
              <w:shd w:val="clear" w:color="FFFFFF" w:themeColor="background1" w:fill="FFFFFF" w:themeFill="background1"/>
              <w:ind w:firstLine="0"/>
              <w:jc w:val="center"/>
              <w:rPr>
                <w:rFonts w:ascii="Times New Roman" w:eastAsia="Times New Roman" w:hAnsi="Times New Roman" w:cs="Times New Roman"/>
                <w:color w:val="000000"/>
              </w:rPr>
            </w:pPr>
            <w:r w:rsidRPr="00731FE2">
              <w:rPr>
                <w:rFonts w:ascii="Times New Roman" w:eastAsia="Times New Roman" w:hAnsi="Times New Roman" w:cs="Times New Roman"/>
                <w:color w:val="000000"/>
                <w:sz w:val="22"/>
              </w:rPr>
              <w:t>ЕПС- 1200 чел.</w:t>
            </w:r>
          </w:p>
        </w:tc>
      </w:tr>
      <w:tr w:rsidR="00171AA8" w:rsidRPr="00731FE2" w14:paraId="001794F1" w14:textId="77777777">
        <w:trPr>
          <w:trHeight w:val="253"/>
        </w:trPr>
        <w:tc>
          <w:tcPr>
            <w:tcW w:w="9354" w:type="dxa"/>
            <w:gridSpan w:val="3"/>
            <w:vMerge w:val="restart"/>
          </w:tcPr>
          <w:p w14:paraId="28A29414" w14:textId="77777777" w:rsidR="00171AA8" w:rsidRPr="00731FE2" w:rsidRDefault="007935AB">
            <w:pPr>
              <w:pBdr>
                <w:top w:val="none" w:sz="4" w:space="0" w:color="000000"/>
                <w:left w:val="none" w:sz="4" w:space="0" w:color="000000"/>
                <w:bottom w:val="none" w:sz="4" w:space="0" w:color="000000"/>
                <w:right w:val="none" w:sz="4" w:space="0" w:color="000000"/>
              </w:pBdr>
              <w:shd w:val="clear" w:color="FFFFFF" w:themeColor="background1" w:fill="FFFFFF" w:themeFill="background1"/>
              <w:ind w:firstLine="0"/>
              <w:rPr>
                <w:rFonts w:ascii="Times New Roman" w:eastAsia="Times New Roman" w:hAnsi="Times New Roman" w:cs="Times New Roman"/>
                <w:b/>
                <w:bCs/>
                <w:color w:val="000000"/>
                <w:sz w:val="22"/>
              </w:rPr>
            </w:pPr>
            <w:r w:rsidRPr="00731FE2">
              <w:rPr>
                <w:rFonts w:ascii="Times New Roman" w:eastAsia="Times New Roman" w:hAnsi="Times New Roman" w:cs="Times New Roman"/>
                <w:b/>
                <w:bCs/>
                <w:color w:val="000000"/>
                <w:sz w:val="22"/>
              </w:rPr>
              <w:t>Проекты в области благоустройства общественных территорий</w:t>
            </w:r>
          </w:p>
        </w:tc>
      </w:tr>
      <w:tr w:rsidR="00171AA8" w:rsidRPr="00731FE2" w14:paraId="1C40E3FC" w14:textId="77777777">
        <w:trPr>
          <w:trHeight w:val="276"/>
        </w:trPr>
        <w:tc>
          <w:tcPr>
            <w:tcW w:w="5527" w:type="dxa"/>
            <w:vMerge w:val="restart"/>
          </w:tcPr>
          <w:p w14:paraId="23B99494" w14:textId="77777777" w:rsidR="00171AA8" w:rsidRPr="00731FE2" w:rsidRDefault="007935AB">
            <w:pPr>
              <w:pBdr>
                <w:top w:val="none" w:sz="4" w:space="0" w:color="000000"/>
                <w:left w:val="none" w:sz="4" w:space="0" w:color="000000"/>
                <w:bottom w:val="none" w:sz="4" w:space="0" w:color="000000"/>
                <w:right w:val="none" w:sz="4" w:space="0" w:color="000000"/>
              </w:pBdr>
              <w:shd w:val="clear" w:color="FFFFFF" w:themeColor="background1" w:fill="FFFFFF" w:themeFill="background1"/>
              <w:ind w:firstLine="0"/>
              <w:jc w:val="left"/>
              <w:rPr>
                <w:rFonts w:ascii="Times New Roman" w:eastAsia="Times New Roman" w:hAnsi="Times New Roman" w:cs="Times New Roman"/>
                <w:color w:val="000000"/>
              </w:rPr>
            </w:pPr>
            <w:r w:rsidRPr="00731FE2">
              <w:rPr>
                <w:rFonts w:ascii="Times New Roman" w:eastAsia="Times New Roman" w:hAnsi="Times New Roman" w:cs="Times New Roman"/>
                <w:color w:val="000000"/>
                <w:sz w:val="22"/>
              </w:rPr>
              <w:t>Реконструкция городского парка культуры и отдыха «Парк имени Ленинского комсомола»</w:t>
            </w:r>
          </w:p>
        </w:tc>
        <w:tc>
          <w:tcPr>
            <w:tcW w:w="2268" w:type="dxa"/>
            <w:vMerge w:val="restart"/>
          </w:tcPr>
          <w:p w14:paraId="2185BFFF" w14:textId="77777777" w:rsidR="00171AA8" w:rsidRPr="00731FE2" w:rsidRDefault="007935AB">
            <w:pPr>
              <w:pBdr>
                <w:top w:val="none" w:sz="4" w:space="0" w:color="000000"/>
                <w:left w:val="none" w:sz="4" w:space="0" w:color="000000"/>
                <w:bottom w:val="none" w:sz="4" w:space="0" w:color="000000"/>
                <w:right w:val="none" w:sz="4" w:space="0" w:color="000000"/>
              </w:pBdr>
              <w:shd w:val="clear" w:color="FFFFFF" w:themeColor="background1" w:fill="FFFFFF" w:themeFill="background1"/>
              <w:ind w:firstLine="0"/>
              <w:jc w:val="center"/>
              <w:rPr>
                <w:rFonts w:ascii="Times New Roman" w:eastAsia="Times New Roman" w:hAnsi="Times New Roman" w:cs="Times New Roman"/>
                <w:color w:val="000000"/>
              </w:rPr>
            </w:pPr>
            <w:r w:rsidRPr="00731FE2">
              <w:rPr>
                <w:rFonts w:ascii="Times New Roman" w:eastAsia="Times New Roman" w:hAnsi="Times New Roman" w:cs="Times New Roman"/>
                <w:color w:val="000000"/>
                <w:sz w:val="22"/>
              </w:rPr>
              <w:t>350,0</w:t>
            </w:r>
          </w:p>
        </w:tc>
        <w:tc>
          <w:tcPr>
            <w:tcW w:w="1559" w:type="dxa"/>
            <w:vMerge w:val="restart"/>
          </w:tcPr>
          <w:p w14:paraId="23234CAA" w14:textId="77777777" w:rsidR="00171AA8" w:rsidRPr="00731FE2" w:rsidRDefault="007935AB">
            <w:pPr>
              <w:pBdr>
                <w:top w:val="none" w:sz="4" w:space="0" w:color="000000"/>
                <w:left w:val="none" w:sz="4" w:space="0" w:color="000000"/>
                <w:bottom w:val="none" w:sz="4" w:space="0" w:color="000000"/>
                <w:right w:val="none" w:sz="4" w:space="0" w:color="000000"/>
              </w:pBdr>
              <w:shd w:val="clear" w:color="FFFFFF" w:themeColor="background1" w:fill="FFFFFF" w:themeFill="background1"/>
              <w:ind w:firstLine="0"/>
              <w:jc w:val="center"/>
              <w:rPr>
                <w:rFonts w:ascii="Times New Roman" w:eastAsia="Times New Roman" w:hAnsi="Times New Roman" w:cs="Times New Roman"/>
                <w:color w:val="000000"/>
              </w:rPr>
            </w:pPr>
            <w:r w:rsidRPr="00731FE2">
              <w:rPr>
                <w:rFonts w:ascii="Times New Roman" w:eastAsia="Times New Roman" w:hAnsi="Times New Roman" w:cs="Times New Roman"/>
                <w:color w:val="000000"/>
                <w:sz w:val="22"/>
              </w:rPr>
              <w:t>34,84 га</w:t>
            </w:r>
          </w:p>
        </w:tc>
      </w:tr>
      <w:tr w:rsidR="00171AA8" w:rsidRPr="00731FE2" w14:paraId="65FC1F07" w14:textId="77777777">
        <w:trPr>
          <w:trHeight w:val="276"/>
        </w:trPr>
        <w:tc>
          <w:tcPr>
            <w:tcW w:w="5527" w:type="dxa"/>
            <w:vMerge w:val="restart"/>
          </w:tcPr>
          <w:p w14:paraId="0077064E" w14:textId="77777777" w:rsidR="00171AA8" w:rsidRPr="00731FE2" w:rsidRDefault="007935AB">
            <w:pPr>
              <w:pBdr>
                <w:top w:val="none" w:sz="4" w:space="0" w:color="000000"/>
                <w:left w:val="none" w:sz="4" w:space="0" w:color="000000"/>
                <w:bottom w:val="none" w:sz="4" w:space="0" w:color="000000"/>
                <w:right w:val="none" w:sz="4" w:space="0" w:color="000000"/>
              </w:pBdr>
              <w:shd w:val="clear" w:color="FFFFFF" w:themeColor="background1" w:fill="FFFFFF" w:themeFill="background1"/>
              <w:ind w:firstLine="0"/>
              <w:jc w:val="left"/>
              <w:rPr>
                <w:rFonts w:ascii="Times New Roman" w:eastAsia="Times New Roman" w:hAnsi="Times New Roman" w:cs="Times New Roman"/>
                <w:color w:val="000000"/>
              </w:rPr>
            </w:pPr>
            <w:r w:rsidRPr="00731FE2">
              <w:rPr>
                <w:rFonts w:ascii="Times New Roman" w:eastAsia="Times New Roman" w:hAnsi="Times New Roman" w:cs="Times New Roman"/>
                <w:color w:val="000000"/>
                <w:sz w:val="22"/>
              </w:rPr>
              <w:t>Реконструкция проспекта Победы</w:t>
            </w:r>
          </w:p>
        </w:tc>
        <w:tc>
          <w:tcPr>
            <w:tcW w:w="2268" w:type="dxa"/>
            <w:vMerge w:val="restart"/>
          </w:tcPr>
          <w:p w14:paraId="713983F3" w14:textId="77777777" w:rsidR="00171AA8" w:rsidRPr="00731FE2" w:rsidRDefault="007935AB">
            <w:pPr>
              <w:pBdr>
                <w:top w:val="none" w:sz="4" w:space="0" w:color="000000"/>
                <w:left w:val="none" w:sz="4" w:space="0" w:color="000000"/>
                <w:bottom w:val="none" w:sz="4" w:space="0" w:color="000000"/>
                <w:right w:val="none" w:sz="4" w:space="0" w:color="000000"/>
              </w:pBdr>
              <w:shd w:val="clear" w:color="FFFFFF" w:themeColor="background1" w:fill="FFFFFF" w:themeFill="background1"/>
              <w:ind w:firstLine="0"/>
              <w:jc w:val="center"/>
              <w:rPr>
                <w:rFonts w:ascii="Times New Roman" w:eastAsia="Times New Roman" w:hAnsi="Times New Roman" w:cs="Times New Roman"/>
                <w:color w:val="000000"/>
              </w:rPr>
            </w:pPr>
            <w:r w:rsidRPr="00731FE2">
              <w:rPr>
                <w:rFonts w:ascii="Times New Roman" w:eastAsia="Times New Roman" w:hAnsi="Times New Roman" w:cs="Times New Roman"/>
                <w:color w:val="000000"/>
                <w:sz w:val="22"/>
              </w:rPr>
              <w:t>856,0</w:t>
            </w:r>
          </w:p>
        </w:tc>
        <w:tc>
          <w:tcPr>
            <w:tcW w:w="1559" w:type="dxa"/>
            <w:vMerge w:val="restart"/>
          </w:tcPr>
          <w:p w14:paraId="4687E229" w14:textId="77777777" w:rsidR="00171AA8" w:rsidRPr="00731FE2" w:rsidRDefault="007935AB">
            <w:pPr>
              <w:pBdr>
                <w:top w:val="none" w:sz="4" w:space="0" w:color="000000"/>
                <w:left w:val="none" w:sz="4" w:space="0" w:color="000000"/>
                <w:bottom w:val="none" w:sz="4" w:space="0" w:color="000000"/>
                <w:right w:val="none" w:sz="4" w:space="0" w:color="000000"/>
              </w:pBdr>
              <w:shd w:val="clear" w:color="FFFFFF" w:themeColor="background1" w:fill="FFFFFF" w:themeFill="background1"/>
              <w:ind w:firstLine="0"/>
              <w:jc w:val="center"/>
              <w:rPr>
                <w:rFonts w:ascii="Times New Roman" w:eastAsia="Times New Roman" w:hAnsi="Times New Roman" w:cs="Times New Roman"/>
                <w:color w:val="000000"/>
              </w:rPr>
            </w:pPr>
            <w:r w:rsidRPr="00731FE2">
              <w:rPr>
                <w:rFonts w:ascii="Times New Roman" w:eastAsia="Times New Roman" w:hAnsi="Times New Roman" w:cs="Times New Roman"/>
                <w:color w:val="000000"/>
                <w:sz w:val="22"/>
              </w:rPr>
              <w:t>4,078 км</w:t>
            </w:r>
          </w:p>
        </w:tc>
      </w:tr>
      <w:tr w:rsidR="00171AA8" w:rsidRPr="00731FE2" w14:paraId="135ECF2E" w14:textId="77777777">
        <w:trPr>
          <w:trHeight w:val="276"/>
        </w:trPr>
        <w:tc>
          <w:tcPr>
            <w:tcW w:w="5527" w:type="dxa"/>
            <w:vMerge w:val="restart"/>
          </w:tcPr>
          <w:p w14:paraId="143F2B1C" w14:textId="77777777" w:rsidR="00171AA8" w:rsidRPr="00731FE2" w:rsidRDefault="007935AB">
            <w:pPr>
              <w:pBdr>
                <w:top w:val="none" w:sz="4" w:space="0" w:color="000000"/>
                <w:left w:val="none" w:sz="4" w:space="0" w:color="000000"/>
                <w:bottom w:val="none" w:sz="4" w:space="0" w:color="000000"/>
                <w:right w:val="none" w:sz="4" w:space="0" w:color="000000"/>
              </w:pBdr>
              <w:shd w:val="clear" w:color="FFFFFF" w:themeColor="background1" w:fill="FFFFFF" w:themeFill="background1"/>
              <w:ind w:firstLine="0"/>
              <w:jc w:val="left"/>
              <w:rPr>
                <w:rFonts w:ascii="Times New Roman" w:eastAsia="Times New Roman" w:hAnsi="Times New Roman" w:cs="Times New Roman"/>
                <w:color w:val="000000"/>
              </w:rPr>
            </w:pPr>
            <w:r w:rsidRPr="00731FE2">
              <w:rPr>
                <w:rFonts w:ascii="Times New Roman" w:eastAsia="Times New Roman" w:hAnsi="Times New Roman" w:cs="Times New Roman"/>
                <w:color w:val="000000"/>
                <w:sz w:val="22"/>
              </w:rPr>
              <w:t>Итого</w:t>
            </w:r>
          </w:p>
        </w:tc>
        <w:tc>
          <w:tcPr>
            <w:tcW w:w="2268" w:type="dxa"/>
            <w:vMerge w:val="restart"/>
          </w:tcPr>
          <w:p w14:paraId="5665834C" w14:textId="77777777" w:rsidR="00171AA8" w:rsidRPr="00731FE2" w:rsidRDefault="007935AB">
            <w:pPr>
              <w:pBdr>
                <w:top w:val="none" w:sz="4" w:space="0" w:color="000000"/>
                <w:left w:val="none" w:sz="4" w:space="0" w:color="000000"/>
                <w:bottom w:val="none" w:sz="4" w:space="0" w:color="000000"/>
                <w:right w:val="none" w:sz="4" w:space="0" w:color="000000"/>
              </w:pBdr>
              <w:shd w:val="clear" w:color="FFFFFF" w:themeColor="background1" w:fill="FFFFFF" w:themeFill="background1"/>
              <w:ind w:firstLine="0"/>
              <w:jc w:val="left"/>
              <w:rPr>
                <w:rFonts w:ascii="Times New Roman" w:eastAsia="Times New Roman" w:hAnsi="Times New Roman" w:cs="Times New Roman"/>
                <w:color w:val="000000"/>
              </w:rPr>
            </w:pPr>
            <w:r w:rsidRPr="00731FE2">
              <w:rPr>
                <w:rFonts w:ascii="Times New Roman" w:eastAsia="Times New Roman" w:hAnsi="Times New Roman" w:cs="Times New Roman"/>
                <w:color w:val="000000"/>
                <w:sz w:val="22"/>
              </w:rPr>
              <w:t>7520,9</w:t>
            </w:r>
          </w:p>
        </w:tc>
        <w:tc>
          <w:tcPr>
            <w:tcW w:w="1559" w:type="dxa"/>
            <w:vMerge w:val="restart"/>
          </w:tcPr>
          <w:p w14:paraId="0F6AE84F" w14:textId="77777777" w:rsidR="00171AA8" w:rsidRPr="00731FE2" w:rsidRDefault="00171AA8">
            <w:pPr>
              <w:pBdr>
                <w:top w:val="none" w:sz="4" w:space="0" w:color="000000"/>
                <w:left w:val="none" w:sz="4" w:space="0" w:color="000000"/>
                <w:bottom w:val="none" w:sz="4" w:space="0" w:color="000000"/>
                <w:right w:val="none" w:sz="4" w:space="0" w:color="000000"/>
              </w:pBdr>
              <w:shd w:val="clear" w:color="FFFFFF" w:themeColor="background1" w:fill="FFFFFF" w:themeFill="background1"/>
              <w:ind w:firstLine="0"/>
              <w:jc w:val="center"/>
              <w:rPr>
                <w:rFonts w:ascii="Times New Roman" w:eastAsia="Times New Roman" w:hAnsi="Times New Roman" w:cs="Times New Roman"/>
                <w:color w:val="000000"/>
                <w:sz w:val="22"/>
              </w:rPr>
            </w:pPr>
          </w:p>
        </w:tc>
      </w:tr>
    </w:tbl>
    <w:p w14:paraId="373EDF32" w14:textId="77777777" w:rsidR="00171AA8" w:rsidRPr="00731FE2" w:rsidRDefault="00171AA8">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p>
    <w:p w14:paraId="02053F95"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В настоящее время в стадии реализации (к завершению до 2026 г.) находятся мероприятия по восстановлению объектов незавершенного строительства, реконструкции и строительству санаториев, клиник, объектов лечебно-оздоровительного комплекса, пансионатов, центров реабилитации, гостиниц общей емкостью 2650 мест размещения в г. Кисловодске</w:t>
      </w:r>
      <w:r w:rsidRPr="00731FE2">
        <w:rPr>
          <w:rFonts w:ascii="Times New Roman" w:hAnsi="Times New Roman" w:cs="Times New Roman"/>
          <w:color w:val="000000" w:themeColor="text1"/>
          <w:vertAlign w:val="superscript"/>
        </w:rPr>
        <w:footnoteReference w:id="108"/>
      </w:r>
      <w:r w:rsidRPr="00731FE2">
        <w:rPr>
          <w:rFonts w:ascii="Times New Roman" w:hAnsi="Times New Roman" w:cs="Times New Roman"/>
          <w:color w:val="000000" w:themeColor="text1"/>
        </w:rPr>
        <w:t xml:space="preserve">: </w:t>
      </w:r>
    </w:p>
    <w:p w14:paraId="1E64F65F" w14:textId="77777777" w:rsidR="00171AA8" w:rsidRPr="00731FE2" w:rsidRDefault="007935AB" w:rsidP="007832E7">
      <w:pPr>
        <w:pStyle w:val="a3"/>
        <w:numPr>
          <w:ilvl w:val="0"/>
          <w:numId w:val="87"/>
        </w:num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восстановление санатория имени Кирова;</w:t>
      </w:r>
    </w:p>
    <w:p w14:paraId="224C59AE" w14:textId="77777777" w:rsidR="00171AA8" w:rsidRPr="00731FE2" w:rsidRDefault="007935AB" w:rsidP="007832E7">
      <w:pPr>
        <w:pStyle w:val="a3"/>
        <w:numPr>
          <w:ilvl w:val="0"/>
          <w:numId w:val="87"/>
        </w:num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восстановление санатория «Белая Вежа»;</w:t>
      </w:r>
    </w:p>
    <w:p w14:paraId="66193768" w14:textId="77777777" w:rsidR="00171AA8" w:rsidRPr="00731FE2" w:rsidRDefault="007935AB" w:rsidP="007832E7">
      <w:pPr>
        <w:pStyle w:val="a3"/>
        <w:numPr>
          <w:ilvl w:val="0"/>
          <w:numId w:val="87"/>
        </w:num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восстановление корпуса клиники им. Ленина;</w:t>
      </w:r>
    </w:p>
    <w:p w14:paraId="706F90C2" w14:textId="77777777" w:rsidR="00171AA8" w:rsidRPr="00731FE2" w:rsidRDefault="007935AB" w:rsidP="007832E7">
      <w:pPr>
        <w:pStyle w:val="a3"/>
        <w:numPr>
          <w:ilvl w:val="0"/>
          <w:numId w:val="87"/>
        </w:num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завершение строительства корпуса санатория «Джинал»;</w:t>
      </w:r>
    </w:p>
    <w:p w14:paraId="0311459C" w14:textId="77777777" w:rsidR="00171AA8" w:rsidRPr="00731FE2" w:rsidRDefault="007935AB" w:rsidP="007832E7">
      <w:pPr>
        <w:pStyle w:val="a3"/>
        <w:numPr>
          <w:ilvl w:val="0"/>
          <w:numId w:val="87"/>
        </w:num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реконструкция санатория «Сосновая роща» в элитный санаторий категории 4*;</w:t>
      </w:r>
    </w:p>
    <w:p w14:paraId="48A83123" w14:textId="77777777" w:rsidR="00171AA8" w:rsidRPr="00731FE2" w:rsidRDefault="007935AB" w:rsidP="007832E7">
      <w:pPr>
        <w:pStyle w:val="a3"/>
        <w:numPr>
          <w:ilvl w:val="0"/>
          <w:numId w:val="87"/>
        </w:num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строительство санатория «Стеклянная струя»;</w:t>
      </w:r>
    </w:p>
    <w:p w14:paraId="7771DFC9" w14:textId="77777777" w:rsidR="00171AA8" w:rsidRPr="00731FE2" w:rsidRDefault="007935AB" w:rsidP="007832E7">
      <w:pPr>
        <w:pStyle w:val="a3"/>
        <w:numPr>
          <w:ilvl w:val="0"/>
          <w:numId w:val="87"/>
        </w:num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восстановление санатория «Версаль»;</w:t>
      </w:r>
    </w:p>
    <w:p w14:paraId="66A30B38" w14:textId="77777777" w:rsidR="00171AA8" w:rsidRPr="00731FE2" w:rsidRDefault="007935AB" w:rsidP="007832E7">
      <w:pPr>
        <w:pStyle w:val="a3"/>
        <w:numPr>
          <w:ilvl w:val="0"/>
          <w:numId w:val="87"/>
        </w:num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восстановление лечебно-оздоровительного комплекса;</w:t>
      </w:r>
    </w:p>
    <w:p w14:paraId="17F23E16" w14:textId="77777777" w:rsidR="00171AA8" w:rsidRPr="00731FE2" w:rsidRDefault="007935AB" w:rsidP="007832E7">
      <w:pPr>
        <w:pStyle w:val="a3"/>
        <w:numPr>
          <w:ilvl w:val="0"/>
          <w:numId w:val="87"/>
        </w:num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восстановление спортивно-оздоровительного комплекса;</w:t>
      </w:r>
    </w:p>
    <w:p w14:paraId="43448432" w14:textId="77777777" w:rsidR="00171AA8" w:rsidRPr="00731FE2" w:rsidRDefault="007935AB" w:rsidP="007832E7">
      <w:pPr>
        <w:pStyle w:val="a3"/>
        <w:numPr>
          <w:ilvl w:val="0"/>
          <w:numId w:val="87"/>
        </w:num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восстановление здания гостиницы;</w:t>
      </w:r>
    </w:p>
    <w:p w14:paraId="36904077" w14:textId="77777777" w:rsidR="00171AA8" w:rsidRPr="00731FE2" w:rsidRDefault="007935AB" w:rsidP="007832E7">
      <w:pPr>
        <w:pStyle w:val="a3"/>
        <w:numPr>
          <w:ilvl w:val="0"/>
          <w:numId w:val="87"/>
        </w:num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восстановление пансионата «Белая скала»;</w:t>
      </w:r>
    </w:p>
    <w:p w14:paraId="5705E7F3" w14:textId="77777777" w:rsidR="00171AA8" w:rsidRPr="00731FE2" w:rsidRDefault="007935AB" w:rsidP="007832E7">
      <w:pPr>
        <w:pStyle w:val="a3"/>
        <w:numPr>
          <w:ilvl w:val="0"/>
          <w:numId w:val="87"/>
        </w:num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восстановление санаторно-курортного комплекса «Золотой колос Кубани»;</w:t>
      </w:r>
    </w:p>
    <w:p w14:paraId="18A04380" w14:textId="77777777" w:rsidR="00171AA8" w:rsidRPr="00731FE2" w:rsidRDefault="007935AB" w:rsidP="007832E7">
      <w:pPr>
        <w:pStyle w:val="a3"/>
        <w:numPr>
          <w:ilvl w:val="0"/>
          <w:numId w:val="87"/>
        </w:num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восстановление здания гостиницы «Кавказ»;</w:t>
      </w:r>
    </w:p>
    <w:p w14:paraId="574A4064" w14:textId="77777777" w:rsidR="00171AA8" w:rsidRPr="00731FE2" w:rsidRDefault="007935AB" w:rsidP="007832E7">
      <w:pPr>
        <w:pStyle w:val="a3"/>
        <w:numPr>
          <w:ilvl w:val="0"/>
          <w:numId w:val="87"/>
        </w:num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восстановление здания санатория «Каскад».</w:t>
      </w:r>
    </w:p>
    <w:p w14:paraId="569533B0" w14:textId="77777777" w:rsidR="00171AA8" w:rsidRPr="00731FE2" w:rsidRDefault="00171AA8">
      <w:pPr>
        <w:pBdr>
          <w:top w:val="none" w:sz="4" w:space="0" w:color="000000"/>
          <w:left w:val="none" w:sz="4" w:space="0" w:color="000000"/>
          <w:bottom w:val="none" w:sz="4" w:space="0" w:color="000000"/>
          <w:right w:val="none" w:sz="4" w:space="0" w:color="000000"/>
        </w:pBdr>
        <w:ind w:left="720" w:firstLine="0"/>
        <w:rPr>
          <w:rFonts w:ascii="Times New Roman" w:hAnsi="Times New Roman" w:cs="Times New Roman"/>
          <w:color w:val="000000" w:themeColor="text1"/>
        </w:rPr>
      </w:pPr>
    </w:p>
    <w:p w14:paraId="34ECCE57" w14:textId="77777777" w:rsidR="00171AA8" w:rsidRPr="00731FE2" w:rsidRDefault="007935AB">
      <w:pPr>
        <w:pStyle w:val="af3"/>
        <w:pBdr>
          <w:top w:val="none" w:sz="4" w:space="0" w:color="000000"/>
          <w:left w:val="none" w:sz="4" w:space="0" w:color="000000"/>
          <w:bottom w:val="none" w:sz="4" w:space="0" w:color="000000"/>
          <w:right w:val="none" w:sz="4" w:space="0" w:color="000000"/>
        </w:pBdr>
        <w:rPr>
          <w:szCs w:val="24"/>
        </w:rPr>
      </w:pPr>
      <w:r w:rsidRPr="00731FE2">
        <w:rPr>
          <w:sz w:val="24"/>
          <w:szCs w:val="24"/>
        </w:rPr>
        <w:lastRenderedPageBreak/>
        <w:t xml:space="preserve">Таблица </w:t>
      </w:r>
      <w:r w:rsidRPr="00731FE2">
        <w:rPr>
          <w:sz w:val="24"/>
          <w:szCs w:val="24"/>
        </w:rPr>
        <w:fldChar w:fldCharType="begin"/>
      </w:r>
      <w:r w:rsidRPr="00731FE2">
        <w:rPr>
          <w:sz w:val="24"/>
          <w:szCs w:val="24"/>
        </w:rPr>
        <w:instrText xml:space="preserve"> SEQ Таблица \* Arabic </w:instrText>
      </w:r>
      <w:r w:rsidRPr="00731FE2">
        <w:rPr>
          <w:sz w:val="24"/>
          <w:szCs w:val="24"/>
        </w:rPr>
        <w:fldChar w:fldCharType="separate"/>
      </w:r>
      <w:r w:rsidR="00C50915" w:rsidRPr="00731FE2">
        <w:rPr>
          <w:noProof/>
          <w:sz w:val="24"/>
          <w:szCs w:val="24"/>
        </w:rPr>
        <w:t>83</w:t>
      </w:r>
      <w:r w:rsidRPr="00731FE2">
        <w:rPr>
          <w:sz w:val="24"/>
          <w:szCs w:val="24"/>
        </w:rPr>
        <w:fldChar w:fldCharType="end"/>
      </w:r>
      <w:r w:rsidRPr="00731FE2">
        <w:rPr>
          <w:sz w:val="24"/>
          <w:szCs w:val="24"/>
        </w:rPr>
        <w:t xml:space="preserve"> – Сведения о планируемых объектах санаторно-курортной сферы на территории города-курорта Кисловодска</w:t>
      </w:r>
      <w:r w:rsidRPr="00731FE2">
        <w:rPr>
          <w:rStyle w:val="afb"/>
          <w:sz w:val="24"/>
          <w:szCs w:val="24"/>
          <w:vertAlign w:val="superscript"/>
        </w:rPr>
        <w:footnoteReference w:id="109"/>
      </w:r>
    </w:p>
    <w:tbl>
      <w:tblPr>
        <w:tblStyle w:val="afe"/>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ayout w:type="fixed"/>
        <w:tblLook w:val="04A0" w:firstRow="1" w:lastRow="0" w:firstColumn="1" w:lastColumn="0" w:noHBand="0" w:noVBand="1"/>
      </w:tblPr>
      <w:tblGrid>
        <w:gridCol w:w="708"/>
        <w:gridCol w:w="1994"/>
        <w:gridCol w:w="1923"/>
        <w:gridCol w:w="1927"/>
        <w:gridCol w:w="1337"/>
        <w:gridCol w:w="1466"/>
      </w:tblGrid>
      <w:tr w:rsidR="00171AA8" w:rsidRPr="00731FE2" w14:paraId="22B3386C" w14:textId="77777777">
        <w:tc>
          <w:tcPr>
            <w:tcW w:w="70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BB4AC8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b/>
                <w:bCs/>
                <w:color w:val="000000"/>
                <w:sz w:val="20"/>
                <w:szCs w:val="20"/>
              </w:rPr>
            </w:pPr>
            <w:r w:rsidRPr="00731FE2">
              <w:rPr>
                <w:rFonts w:ascii="Times New Roman" w:eastAsia="Times New Roman" w:hAnsi="Times New Roman" w:cs="Times New Roman"/>
                <w:b/>
                <w:bCs/>
                <w:color w:val="000000"/>
                <w:sz w:val="20"/>
                <w:szCs w:val="20"/>
              </w:rPr>
              <w:t>№ п/п</w:t>
            </w:r>
          </w:p>
        </w:tc>
        <w:tc>
          <w:tcPr>
            <w:tcW w:w="199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D4CB25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b/>
                <w:bCs/>
                <w:color w:val="000000"/>
                <w:sz w:val="20"/>
                <w:szCs w:val="20"/>
              </w:rPr>
            </w:pPr>
            <w:r w:rsidRPr="00731FE2">
              <w:rPr>
                <w:rFonts w:ascii="Times New Roman" w:eastAsia="Times New Roman" w:hAnsi="Times New Roman" w:cs="Times New Roman"/>
                <w:b/>
                <w:bCs/>
                <w:color w:val="000000"/>
                <w:sz w:val="20"/>
                <w:szCs w:val="20"/>
              </w:rPr>
              <w:t>Наименование объекта</w:t>
            </w:r>
          </w:p>
        </w:tc>
        <w:tc>
          <w:tcPr>
            <w:tcW w:w="192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2622C5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b/>
                <w:bCs/>
                <w:color w:val="000000"/>
                <w:sz w:val="20"/>
                <w:szCs w:val="20"/>
              </w:rPr>
            </w:pPr>
            <w:r w:rsidRPr="00731FE2">
              <w:rPr>
                <w:rFonts w:ascii="Times New Roman" w:eastAsia="Times New Roman" w:hAnsi="Times New Roman" w:cs="Times New Roman"/>
                <w:b/>
                <w:bCs/>
                <w:color w:val="000000"/>
                <w:sz w:val="20"/>
                <w:szCs w:val="20"/>
              </w:rPr>
              <w:t>Характеристики объекта</w:t>
            </w:r>
          </w:p>
        </w:tc>
        <w:tc>
          <w:tcPr>
            <w:tcW w:w="19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B4BC7B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b/>
                <w:bCs/>
                <w:color w:val="000000"/>
                <w:sz w:val="20"/>
                <w:szCs w:val="20"/>
              </w:rPr>
            </w:pPr>
            <w:r w:rsidRPr="00731FE2">
              <w:rPr>
                <w:rFonts w:ascii="Times New Roman" w:eastAsia="Times New Roman" w:hAnsi="Times New Roman" w:cs="Times New Roman"/>
                <w:b/>
                <w:bCs/>
                <w:color w:val="000000"/>
                <w:sz w:val="20"/>
                <w:szCs w:val="20"/>
              </w:rPr>
              <w:t>Местоположение объекта</w:t>
            </w:r>
          </w:p>
        </w:tc>
        <w:tc>
          <w:tcPr>
            <w:tcW w:w="13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538B31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b/>
                <w:bCs/>
                <w:color w:val="000000"/>
                <w:sz w:val="20"/>
                <w:szCs w:val="20"/>
              </w:rPr>
            </w:pPr>
            <w:r w:rsidRPr="00731FE2">
              <w:rPr>
                <w:rFonts w:ascii="Times New Roman" w:eastAsia="Times New Roman" w:hAnsi="Times New Roman" w:cs="Times New Roman"/>
                <w:b/>
                <w:bCs/>
                <w:color w:val="000000"/>
                <w:sz w:val="20"/>
                <w:szCs w:val="20"/>
              </w:rPr>
              <w:t>Статус</w:t>
            </w:r>
          </w:p>
        </w:tc>
        <w:tc>
          <w:tcPr>
            <w:tcW w:w="146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B3B081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b/>
                <w:bCs/>
                <w:color w:val="000000"/>
                <w:sz w:val="20"/>
                <w:szCs w:val="20"/>
              </w:rPr>
            </w:pPr>
            <w:r w:rsidRPr="00731FE2">
              <w:rPr>
                <w:rFonts w:ascii="Times New Roman" w:eastAsia="Times New Roman" w:hAnsi="Times New Roman" w:cs="Times New Roman"/>
                <w:b/>
                <w:bCs/>
                <w:color w:val="000000"/>
                <w:sz w:val="20"/>
                <w:szCs w:val="20"/>
              </w:rPr>
              <w:t>Срок реализации</w:t>
            </w:r>
          </w:p>
        </w:tc>
      </w:tr>
      <w:tr w:rsidR="00171AA8" w:rsidRPr="00731FE2" w14:paraId="18D90068" w14:textId="77777777">
        <w:trPr>
          <w:trHeight w:val="253"/>
          <w:tblHeader/>
        </w:trPr>
        <w:tc>
          <w:tcPr>
            <w:tcW w:w="9355" w:type="dxa"/>
            <w:gridSpan w:val="6"/>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08852B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b/>
                <w:bCs/>
                <w:color w:val="000000"/>
                <w:sz w:val="20"/>
                <w:szCs w:val="20"/>
              </w:rPr>
            </w:pPr>
            <w:r w:rsidRPr="00731FE2">
              <w:rPr>
                <w:rFonts w:ascii="Times New Roman" w:eastAsia="Times New Roman" w:hAnsi="Times New Roman" w:cs="Times New Roman"/>
                <w:color w:val="000000"/>
                <w:sz w:val="20"/>
                <w:szCs w:val="20"/>
              </w:rPr>
              <w:t>Строительство новых объектов в пределах существующей курортной зоны</w:t>
            </w:r>
          </w:p>
        </w:tc>
      </w:tr>
      <w:tr w:rsidR="00171AA8" w:rsidRPr="00731FE2" w14:paraId="6CA68030" w14:textId="77777777">
        <w:trPr>
          <w:trHeight w:val="253"/>
          <w:tblHeader/>
        </w:trPr>
        <w:tc>
          <w:tcPr>
            <w:tcW w:w="708"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7F160C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1.</w:t>
            </w:r>
          </w:p>
        </w:tc>
        <w:tc>
          <w:tcPr>
            <w:tcW w:w="1994"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21AD20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Санаторий «Бородино-Парк»</w:t>
            </w:r>
          </w:p>
        </w:tc>
        <w:tc>
          <w:tcPr>
            <w:tcW w:w="1923"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9F8AD5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230 койко-мест. Строительство зданий гостиничного, лечебно-диагностического и термального комплексов. Общая площадь земельного участка: 0,2 га</w:t>
            </w:r>
          </w:p>
        </w:tc>
        <w:tc>
          <w:tcPr>
            <w:tcW w:w="1927"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41F999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город-курорт Кисловодск, ул. Шаляпина / пер.Бородинский, 25/1</w:t>
            </w:r>
          </w:p>
        </w:tc>
        <w:tc>
          <w:tcPr>
            <w:tcW w:w="1337"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B52D57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П</w:t>
            </w:r>
          </w:p>
        </w:tc>
        <w:tc>
          <w:tcPr>
            <w:tcW w:w="1465"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3D34FB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До 2027 г.</w:t>
            </w:r>
          </w:p>
        </w:tc>
      </w:tr>
      <w:tr w:rsidR="00171AA8" w:rsidRPr="00731FE2" w14:paraId="2BA5058C" w14:textId="77777777">
        <w:trPr>
          <w:trHeight w:val="253"/>
          <w:tblHeader/>
        </w:trPr>
        <w:tc>
          <w:tcPr>
            <w:tcW w:w="708"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A90A7A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2.</w:t>
            </w:r>
          </w:p>
        </w:tc>
        <w:tc>
          <w:tcPr>
            <w:tcW w:w="1994"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A7D639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Санаторий «Стеклянная Струя»</w:t>
            </w:r>
          </w:p>
        </w:tc>
        <w:tc>
          <w:tcPr>
            <w:tcW w:w="1923"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762D6E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 xml:space="preserve">110 койко-мест. Общая площадь земельного участка: </w:t>
            </w:r>
          </w:p>
          <w:p w14:paraId="15DBFC9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1,4 га. Строительство 9-ти этажного санатория, общей площадью в 18778 м²</w:t>
            </w:r>
          </w:p>
        </w:tc>
        <w:tc>
          <w:tcPr>
            <w:tcW w:w="1927"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3770DE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город-курорт Кисловодск, ул. Профинтерна /ул. Ольховская, 1/16</w:t>
            </w:r>
          </w:p>
        </w:tc>
        <w:tc>
          <w:tcPr>
            <w:tcW w:w="1337"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95DC60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П</w:t>
            </w:r>
          </w:p>
        </w:tc>
        <w:tc>
          <w:tcPr>
            <w:tcW w:w="1465"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D82528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До 2027 г.</w:t>
            </w:r>
          </w:p>
        </w:tc>
      </w:tr>
      <w:tr w:rsidR="00171AA8" w:rsidRPr="00731FE2" w14:paraId="29477D09" w14:textId="77777777">
        <w:trPr>
          <w:trHeight w:val="253"/>
          <w:tblHeader/>
        </w:trPr>
        <w:tc>
          <w:tcPr>
            <w:tcW w:w="708"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4D2930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3.</w:t>
            </w:r>
          </w:p>
        </w:tc>
        <w:tc>
          <w:tcPr>
            <w:tcW w:w="1994"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D5FD5E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 xml:space="preserve">Мультиформатный спа-курорт </w:t>
            </w:r>
          </w:p>
          <w:p w14:paraId="709DCEB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«Старое озеро»</w:t>
            </w:r>
          </w:p>
        </w:tc>
        <w:tc>
          <w:tcPr>
            <w:tcW w:w="1923"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1102D7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17 объединённых земельных участков, 5 гидротехнических сооружений и водная чаша площадью 119438 м2</w:t>
            </w:r>
          </w:p>
        </w:tc>
        <w:tc>
          <w:tcPr>
            <w:tcW w:w="1927"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4AD89D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город-курорт Кисловодск, ул. Озерная, 89</w:t>
            </w:r>
          </w:p>
        </w:tc>
        <w:tc>
          <w:tcPr>
            <w:tcW w:w="1337"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08E0C4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П</w:t>
            </w:r>
          </w:p>
        </w:tc>
        <w:tc>
          <w:tcPr>
            <w:tcW w:w="1465"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47A778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До 2027 г.</w:t>
            </w:r>
          </w:p>
        </w:tc>
      </w:tr>
      <w:tr w:rsidR="00171AA8" w:rsidRPr="00731FE2" w14:paraId="4B996534" w14:textId="77777777">
        <w:trPr>
          <w:trHeight w:val="253"/>
          <w:tblHeader/>
        </w:trPr>
        <w:tc>
          <w:tcPr>
            <w:tcW w:w="708"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6948EB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4.</w:t>
            </w:r>
          </w:p>
        </w:tc>
        <w:tc>
          <w:tcPr>
            <w:tcW w:w="1994"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C3326F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Пансионат семейного отдыха «Тура»</w:t>
            </w:r>
          </w:p>
        </w:tc>
        <w:tc>
          <w:tcPr>
            <w:tcW w:w="1923"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16BC06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 xml:space="preserve">Общая площадь земельного участка: </w:t>
            </w:r>
          </w:p>
          <w:p w14:paraId="2DC2140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 xml:space="preserve">0,64 га </w:t>
            </w:r>
          </w:p>
        </w:tc>
        <w:tc>
          <w:tcPr>
            <w:tcW w:w="1927"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9862E4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город-курорт Кисловодск, пр. Дзержинского, 24а</w:t>
            </w:r>
          </w:p>
        </w:tc>
        <w:tc>
          <w:tcPr>
            <w:tcW w:w="1337"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BA9167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П</w:t>
            </w:r>
          </w:p>
        </w:tc>
        <w:tc>
          <w:tcPr>
            <w:tcW w:w="1465"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0CF4BB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До 2027 г.</w:t>
            </w:r>
          </w:p>
        </w:tc>
      </w:tr>
      <w:tr w:rsidR="00171AA8" w:rsidRPr="00731FE2" w14:paraId="4D3FF8E8" w14:textId="77777777">
        <w:trPr>
          <w:trHeight w:val="253"/>
          <w:tblHeader/>
        </w:trPr>
        <w:tc>
          <w:tcPr>
            <w:tcW w:w="708"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6CC6A0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5.</w:t>
            </w:r>
          </w:p>
        </w:tc>
        <w:tc>
          <w:tcPr>
            <w:tcW w:w="1994"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B0CB58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Санаторий «Петергоф»</w:t>
            </w:r>
          </w:p>
        </w:tc>
        <w:tc>
          <w:tcPr>
            <w:tcW w:w="1923"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19E041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 xml:space="preserve">Общая площадь земельного участка: </w:t>
            </w:r>
          </w:p>
          <w:p w14:paraId="160EE73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 xml:space="preserve">7,2 га </w:t>
            </w:r>
          </w:p>
        </w:tc>
        <w:tc>
          <w:tcPr>
            <w:tcW w:w="1927"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4C8865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город-курорт Кисловодск, гора Пикет</w:t>
            </w:r>
          </w:p>
        </w:tc>
        <w:tc>
          <w:tcPr>
            <w:tcW w:w="1337"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BD77AC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П</w:t>
            </w:r>
          </w:p>
        </w:tc>
        <w:tc>
          <w:tcPr>
            <w:tcW w:w="1465"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48DC15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До 2027 г.</w:t>
            </w:r>
          </w:p>
        </w:tc>
      </w:tr>
      <w:tr w:rsidR="00171AA8" w:rsidRPr="00731FE2" w14:paraId="374925EC" w14:textId="77777777">
        <w:trPr>
          <w:trHeight w:val="253"/>
          <w:tblHeader/>
        </w:trPr>
        <w:tc>
          <w:tcPr>
            <w:tcW w:w="708"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A3CBA3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6.</w:t>
            </w:r>
          </w:p>
        </w:tc>
        <w:tc>
          <w:tcPr>
            <w:tcW w:w="1994"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6C1ADD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Пансионат-санаторий (Регион-СК)</w:t>
            </w:r>
          </w:p>
        </w:tc>
        <w:tc>
          <w:tcPr>
            <w:tcW w:w="1923"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F362E3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 xml:space="preserve">Общая площадь земельного участка: </w:t>
            </w:r>
          </w:p>
          <w:p w14:paraId="5C973D5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0,14 га</w:t>
            </w:r>
          </w:p>
        </w:tc>
        <w:tc>
          <w:tcPr>
            <w:tcW w:w="1927"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119BC6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город-курорт Кисловодск, пр. Ленина / пр. Дзержинского / ул. Герцена, 18/17/5</w:t>
            </w:r>
          </w:p>
        </w:tc>
        <w:tc>
          <w:tcPr>
            <w:tcW w:w="1337"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35C936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П</w:t>
            </w:r>
          </w:p>
        </w:tc>
        <w:tc>
          <w:tcPr>
            <w:tcW w:w="1465"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190B3A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До 2027 г.</w:t>
            </w:r>
          </w:p>
        </w:tc>
      </w:tr>
      <w:tr w:rsidR="00171AA8" w:rsidRPr="00731FE2" w14:paraId="4E91E760" w14:textId="77777777">
        <w:trPr>
          <w:trHeight w:val="253"/>
          <w:tblHeader/>
        </w:trPr>
        <w:tc>
          <w:tcPr>
            <w:tcW w:w="708"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C40AC2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7.</w:t>
            </w:r>
          </w:p>
        </w:tc>
        <w:tc>
          <w:tcPr>
            <w:tcW w:w="1994"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819DAD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Пансионат семейного типа (Ястребов О.А.)</w:t>
            </w:r>
          </w:p>
        </w:tc>
        <w:tc>
          <w:tcPr>
            <w:tcW w:w="1923"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2EE4A0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Общая площадь земельного участка:</w:t>
            </w:r>
          </w:p>
          <w:p w14:paraId="0A9B683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0,38 га</w:t>
            </w:r>
          </w:p>
        </w:tc>
        <w:tc>
          <w:tcPr>
            <w:tcW w:w="1927"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6F9756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город-курорт Кисловодск, пр. Ленина, 24</w:t>
            </w:r>
          </w:p>
          <w:p w14:paraId="2B1A9B9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26:34:020302:16</w:t>
            </w:r>
          </w:p>
        </w:tc>
        <w:tc>
          <w:tcPr>
            <w:tcW w:w="1337"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6D0125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П</w:t>
            </w:r>
          </w:p>
        </w:tc>
        <w:tc>
          <w:tcPr>
            <w:tcW w:w="1465"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75BF9F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До 2027 г.</w:t>
            </w:r>
          </w:p>
        </w:tc>
      </w:tr>
      <w:tr w:rsidR="00171AA8" w:rsidRPr="00731FE2" w14:paraId="7F0E5DDE" w14:textId="77777777">
        <w:trPr>
          <w:trHeight w:val="253"/>
          <w:tblHeader/>
        </w:trPr>
        <w:tc>
          <w:tcPr>
            <w:tcW w:w="708"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E663BD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8.</w:t>
            </w:r>
          </w:p>
        </w:tc>
        <w:tc>
          <w:tcPr>
            <w:tcW w:w="1994"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313A65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Клиника инновационных медицинских технологий им. Святителя Луки</w:t>
            </w:r>
          </w:p>
        </w:tc>
        <w:tc>
          <w:tcPr>
            <w:tcW w:w="1923"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3E21B2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Общая площадь земельного участка:</w:t>
            </w:r>
          </w:p>
          <w:p w14:paraId="743840B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0,29 га</w:t>
            </w:r>
          </w:p>
        </w:tc>
        <w:tc>
          <w:tcPr>
            <w:tcW w:w="1927"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D17AA5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город-курорт Кисловодск, пр. Ленина, 38</w:t>
            </w:r>
          </w:p>
          <w:p w14:paraId="7FEF6B4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26:34:020308:42</w:t>
            </w:r>
          </w:p>
        </w:tc>
        <w:tc>
          <w:tcPr>
            <w:tcW w:w="1337"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EF282A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П</w:t>
            </w:r>
          </w:p>
        </w:tc>
        <w:tc>
          <w:tcPr>
            <w:tcW w:w="1465"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88B9CE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До 2027 г.</w:t>
            </w:r>
          </w:p>
        </w:tc>
      </w:tr>
      <w:tr w:rsidR="00171AA8" w:rsidRPr="00731FE2" w14:paraId="1F1B33C5" w14:textId="77777777">
        <w:trPr>
          <w:trHeight w:val="253"/>
          <w:tblHeader/>
        </w:trPr>
        <w:tc>
          <w:tcPr>
            <w:tcW w:w="708"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53410B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lastRenderedPageBreak/>
              <w:t>9.</w:t>
            </w:r>
          </w:p>
        </w:tc>
        <w:tc>
          <w:tcPr>
            <w:tcW w:w="1994"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971710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Санаторно-курортный комплекс</w:t>
            </w:r>
          </w:p>
        </w:tc>
        <w:tc>
          <w:tcPr>
            <w:tcW w:w="1923"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009F6C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Общая площадь земельного участка:</w:t>
            </w:r>
          </w:p>
          <w:p w14:paraId="094C227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0,15 га</w:t>
            </w:r>
          </w:p>
        </w:tc>
        <w:tc>
          <w:tcPr>
            <w:tcW w:w="1927"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8D29BE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город-курорт Кисловодск, ул. Профинтерна, 18</w:t>
            </w:r>
          </w:p>
        </w:tc>
        <w:tc>
          <w:tcPr>
            <w:tcW w:w="1337"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2B3A5A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П</w:t>
            </w:r>
          </w:p>
        </w:tc>
        <w:tc>
          <w:tcPr>
            <w:tcW w:w="1465"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0E64B4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 </w:t>
            </w:r>
          </w:p>
          <w:p w14:paraId="2DE4018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До 2027 г.</w:t>
            </w:r>
          </w:p>
        </w:tc>
      </w:tr>
    </w:tbl>
    <w:p w14:paraId="719DC7FB" w14:textId="77777777" w:rsidR="00171AA8" w:rsidRPr="00731FE2" w:rsidRDefault="00171AA8">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p>
    <w:p w14:paraId="4D0DE9F5"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Реконструкция санаторно-курортных учреждений должна дать дополнительно 3200 мест. На этом этапе новое строительство не играет ведущей роли и дает 1200 дополнительных мест. На проектный срок (до 2044 года), как за счет реконструкции, так за счет освоения новых территорий под санаторно-курортную зону в центрально-восточной части городского округа предполагается увеличение емкости санаторно-курортного комплекса на 13,2 тыс. мест, что позволит достичь мощности в 25,8 тыс. койко-мест для единовременного размещения отдыхающих.</w:t>
      </w:r>
    </w:p>
    <w:p w14:paraId="29D54CEC" w14:textId="77777777" w:rsidR="00171AA8" w:rsidRPr="00731FE2" w:rsidRDefault="007935AB">
      <w:pPr>
        <w:pStyle w:val="33"/>
        <w:rPr>
          <w:rFonts w:ascii="Times New Roman" w:hAnsi="Times New Roman" w:cs="Times New Roman"/>
        </w:rPr>
      </w:pPr>
      <w:bookmarkStart w:id="70" w:name="_Toc177392821"/>
      <w:r w:rsidRPr="00731FE2">
        <w:rPr>
          <w:rFonts w:ascii="Times New Roman" w:hAnsi="Times New Roman" w:cs="Times New Roman"/>
        </w:rPr>
        <w:t>3.6.3 Туризм и рекреация</w:t>
      </w:r>
      <w:bookmarkEnd w:id="70"/>
    </w:p>
    <w:p w14:paraId="76F4C94E"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К ключевым возможностям для дальнейшего социально-экономического развития Кисловодска следует отнести повышение разнообразия видов туризма, привлечение новых, более платежеспособных групп целевой аудитории и, как следствие, увеличение поступлений в городской бюджет. Также сюда необходимо отнести возможность привлечения государственного финансирования в рамках мероприятий по развитию туристической отрасли. Благоприятным для Кисловодска становится импортозамещение туристических услуг, поддерживаемое, в частности, ростом популярности внутреннего туризма и ростом числа россиян, ограниченных в праве выезда за территорию России.</w:t>
      </w:r>
    </w:p>
    <w:p w14:paraId="27DBB1CB"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В западной части округа возможна организация зоны отдыха и рекреации, расположенной выше п. Аликоновка по ущелью реки Аликоновки. Предлагается создание комплекса некапитальных площадок на территории перспективной зоны отдыха. Развитие городских зон отдыха и рекреации на основе создания объектов для игровых видов спорта и фитнес тренировок, йоги, трекинговых и вело маршрутов и др. не только создаст условия для привлечения населения города-курорта Кисловодска к активному отдыху, но и позволит сформировать новую туристскую дестинацию.</w:t>
      </w:r>
    </w:p>
    <w:p w14:paraId="32408759"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xml:space="preserve">Наличие площадок позволит реализовывать на территории города-курорта Кисловодска фестивали, мастер-классы, семинары, соревнования и иные публичные мероприятия с привлечением общественных организаций и </w:t>
      </w:r>
      <w:r w:rsidR="008E1343" w:rsidRPr="00731FE2">
        <w:rPr>
          <w:rFonts w:ascii="Times New Roman" w:hAnsi="Times New Roman" w:cs="Times New Roman"/>
          <w:color w:val="000000" w:themeColor="text1"/>
        </w:rPr>
        <w:t>клубов,</w:t>
      </w:r>
      <w:r w:rsidRPr="00731FE2">
        <w:rPr>
          <w:rFonts w:ascii="Times New Roman" w:hAnsi="Times New Roman" w:cs="Times New Roman"/>
          <w:color w:val="000000" w:themeColor="text1"/>
        </w:rPr>
        <w:t xml:space="preserve"> пропагандирующих здоровый образ жизни, спортивных ассоциаций. Проведение подобных мероприятий будет содействовать развитию на территории города-курорта Кисловодска событийного туризма. </w:t>
      </w:r>
    </w:p>
    <w:p w14:paraId="7095298F"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xml:space="preserve">Следует учитывать транспортную доступность до указанной территории, которая достигает 0,5 часа, и по фактору оценки «Транспорт», эта зона благоприятна для формирования рекреационно-туристической зоны. </w:t>
      </w:r>
    </w:p>
    <w:p w14:paraId="2568570D"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Реализации существующего туристского потенциала городского округа города-курорта Кисловодска будет способствовать осуществление крупных инвестиционных проектов федерального, регионального и местного значения.</w:t>
      </w:r>
    </w:p>
    <w:p w14:paraId="2EE04A31" w14:textId="77777777" w:rsidR="00171AA8" w:rsidRPr="00731FE2" w:rsidRDefault="00171AA8">
      <w:pPr>
        <w:pBdr>
          <w:top w:val="none" w:sz="4" w:space="0" w:color="000000"/>
          <w:left w:val="none" w:sz="4" w:space="0" w:color="000000"/>
          <w:bottom w:val="none" w:sz="4" w:space="0" w:color="000000"/>
          <w:right w:val="none" w:sz="4" w:space="0" w:color="000000"/>
        </w:pBdr>
        <w:spacing w:line="276" w:lineRule="atLeast"/>
        <w:ind w:firstLine="0"/>
      </w:pPr>
    </w:p>
    <w:p w14:paraId="6D8B03AD" w14:textId="77777777" w:rsidR="00171AA8" w:rsidRPr="00731FE2" w:rsidRDefault="007935AB">
      <w:pPr>
        <w:pStyle w:val="af3"/>
        <w:pBdr>
          <w:top w:val="none" w:sz="4" w:space="0" w:color="000000"/>
          <w:left w:val="none" w:sz="4" w:space="0" w:color="000000"/>
          <w:bottom w:val="none" w:sz="4" w:space="0" w:color="000000"/>
          <w:right w:val="none" w:sz="4" w:space="0" w:color="000000"/>
        </w:pBdr>
        <w:rPr>
          <w:szCs w:val="24"/>
        </w:rPr>
      </w:pPr>
      <w:r w:rsidRPr="00731FE2">
        <w:rPr>
          <w:sz w:val="24"/>
          <w:szCs w:val="24"/>
        </w:rPr>
        <w:lastRenderedPageBreak/>
        <w:t xml:space="preserve">Таблица </w:t>
      </w:r>
      <w:r w:rsidRPr="00731FE2">
        <w:rPr>
          <w:sz w:val="24"/>
          <w:szCs w:val="24"/>
        </w:rPr>
        <w:fldChar w:fldCharType="begin"/>
      </w:r>
      <w:r w:rsidRPr="00731FE2">
        <w:rPr>
          <w:sz w:val="24"/>
          <w:szCs w:val="24"/>
        </w:rPr>
        <w:instrText xml:space="preserve"> SEQ Таблица \* Arabic </w:instrText>
      </w:r>
      <w:r w:rsidRPr="00731FE2">
        <w:rPr>
          <w:sz w:val="24"/>
          <w:szCs w:val="24"/>
        </w:rPr>
        <w:fldChar w:fldCharType="separate"/>
      </w:r>
      <w:r w:rsidR="00C50915" w:rsidRPr="00731FE2">
        <w:rPr>
          <w:noProof/>
          <w:sz w:val="24"/>
          <w:szCs w:val="24"/>
        </w:rPr>
        <w:t>84</w:t>
      </w:r>
      <w:r w:rsidRPr="00731FE2">
        <w:rPr>
          <w:sz w:val="24"/>
          <w:szCs w:val="24"/>
        </w:rPr>
        <w:fldChar w:fldCharType="end"/>
      </w:r>
      <w:r w:rsidRPr="00731FE2">
        <w:rPr>
          <w:sz w:val="24"/>
          <w:szCs w:val="24"/>
        </w:rPr>
        <w:t xml:space="preserve"> – Сведения о планируемых объектах рекреационно-туристического комплекса на территории городского округа города-курорта Кисловодска на первую очередь (2027 г.) и расчетный срок (2042 г.) генерального плана</w:t>
      </w:r>
      <w:r w:rsidRPr="00731FE2">
        <w:rPr>
          <w:rStyle w:val="afb"/>
          <w:sz w:val="24"/>
          <w:szCs w:val="24"/>
          <w:vertAlign w:val="superscript"/>
        </w:rPr>
        <w:footnoteReference w:id="110"/>
      </w:r>
    </w:p>
    <w:tbl>
      <w:tblPr>
        <w:tblStyle w:val="afe"/>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ayout w:type="fixed"/>
        <w:tblLook w:val="04A0" w:firstRow="1" w:lastRow="0" w:firstColumn="1" w:lastColumn="0" w:noHBand="0" w:noVBand="1"/>
      </w:tblPr>
      <w:tblGrid>
        <w:gridCol w:w="531"/>
        <w:gridCol w:w="1892"/>
        <w:gridCol w:w="1891"/>
        <w:gridCol w:w="1917"/>
        <w:gridCol w:w="1737"/>
        <w:gridCol w:w="1387"/>
      </w:tblGrid>
      <w:tr w:rsidR="00171AA8" w:rsidRPr="00731FE2" w14:paraId="2BC3C825" w14:textId="77777777">
        <w:tc>
          <w:tcPr>
            <w:tcW w:w="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91907C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b/>
                <w:bCs/>
                <w:color w:val="000000"/>
                <w:sz w:val="20"/>
                <w:szCs w:val="20"/>
              </w:rPr>
            </w:pPr>
            <w:r w:rsidRPr="00731FE2">
              <w:rPr>
                <w:rFonts w:ascii="Times New Roman" w:eastAsia="Times New Roman" w:hAnsi="Times New Roman" w:cs="Times New Roman"/>
                <w:b/>
                <w:bCs/>
                <w:color w:val="000000"/>
                <w:sz w:val="20"/>
                <w:szCs w:val="20"/>
              </w:rPr>
              <w:t>№ п/п</w:t>
            </w:r>
          </w:p>
        </w:tc>
        <w:tc>
          <w:tcPr>
            <w:tcW w:w="18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04CF20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b/>
                <w:bCs/>
                <w:color w:val="000000"/>
                <w:sz w:val="20"/>
                <w:szCs w:val="20"/>
              </w:rPr>
            </w:pPr>
            <w:r w:rsidRPr="00731FE2">
              <w:rPr>
                <w:rFonts w:ascii="Times New Roman" w:eastAsia="Times New Roman" w:hAnsi="Times New Roman" w:cs="Times New Roman"/>
                <w:b/>
                <w:bCs/>
                <w:color w:val="000000"/>
                <w:sz w:val="20"/>
                <w:szCs w:val="20"/>
              </w:rPr>
              <w:t>Наименование объекта</w:t>
            </w:r>
          </w:p>
        </w:tc>
        <w:tc>
          <w:tcPr>
            <w:tcW w:w="189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2ECE27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b/>
                <w:bCs/>
                <w:color w:val="000000"/>
                <w:sz w:val="20"/>
                <w:szCs w:val="20"/>
              </w:rPr>
            </w:pPr>
            <w:r w:rsidRPr="00731FE2">
              <w:rPr>
                <w:rFonts w:ascii="Times New Roman" w:eastAsia="Times New Roman" w:hAnsi="Times New Roman" w:cs="Times New Roman"/>
                <w:b/>
                <w:bCs/>
                <w:color w:val="000000"/>
                <w:sz w:val="20"/>
                <w:szCs w:val="20"/>
              </w:rPr>
              <w:t>Характеристики объекта</w:t>
            </w:r>
          </w:p>
        </w:tc>
        <w:tc>
          <w:tcPr>
            <w:tcW w:w="19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4B98BE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b/>
                <w:bCs/>
                <w:color w:val="000000"/>
                <w:sz w:val="20"/>
                <w:szCs w:val="20"/>
              </w:rPr>
            </w:pPr>
            <w:r w:rsidRPr="00731FE2">
              <w:rPr>
                <w:rFonts w:ascii="Times New Roman" w:eastAsia="Times New Roman" w:hAnsi="Times New Roman" w:cs="Times New Roman"/>
                <w:b/>
                <w:bCs/>
                <w:color w:val="000000"/>
                <w:sz w:val="20"/>
                <w:szCs w:val="20"/>
              </w:rPr>
              <w:t>Местоположение объекта</w:t>
            </w:r>
          </w:p>
        </w:tc>
        <w:tc>
          <w:tcPr>
            <w:tcW w:w="17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D3838F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b/>
                <w:bCs/>
                <w:color w:val="000000"/>
                <w:sz w:val="20"/>
                <w:szCs w:val="20"/>
              </w:rPr>
            </w:pPr>
            <w:r w:rsidRPr="00731FE2">
              <w:rPr>
                <w:rFonts w:ascii="Times New Roman" w:eastAsia="Times New Roman" w:hAnsi="Times New Roman" w:cs="Times New Roman"/>
                <w:b/>
                <w:bCs/>
                <w:color w:val="000000"/>
                <w:sz w:val="20"/>
                <w:szCs w:val="20"/>
              </w:rPr>
              <w:t>Статус (Р – реконструкция П – проект)</w:t>
            </w:r>
          </w:p>
        </w:tc>
        <w:tc>
          <w:tcPr>
            <w:tcW w:w="1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0EE29B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b/>
                <w:bCs/>
                <w:color w:val="000000"/>
                <w:sz w:val="20"/>
                <w:szCs w:val="20"/>
              </w:rPr>
            </w:pPr>
            <w:r w:rsidRPr="00731FE2">
              <w:rPr>
                <w:rFonts w:ascii="Times New Roman" w:eastAsia="Times New Roman" w:hAnsi="Times New Roman" w:cs="Times New Roman"/>
                <w:b/>
                <w:bCs/>
                <w:color w:val="000000"/>
                <w:sz w:val="20"/>
                <w:szCs w:val="20"/>
              </w:rPr>
              <w:t>Срок реализации</w:t>
            </w:r>
          </w:p>
        </w:tc>
      </w:tr>
      <w:tr w:rsidR="00171AA8" w:rsidRPr="00731FE2" w14:paraId="4AEAD76A" w14:textId="77777777">
        <w:tc>
          <w:tcPr>
            <w:tcW w:w="9355" w:type="dxa"/>
            <w:gridSpan w:val="6"/>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0E20BC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b/>
                <w:bCs/>
                <w:color w:val="000000"/>
                <w:sz w:val="20"/>
                <w:szCs w:val="20"/>
              </w:rPr>
            </w:pPr>
            <w:r w:rsidRPr="00731FE2">
              <w:rPr>
                <w:rFonts w:ascii="Times New Roman" w:eastAsia="Times New Roman" w:hAnsi="Times New Roman" w:cs="Times New Roman"/>
                <w:b/>
                <w:bCs/>
                <w:color w:val="000000"/>
                <w:sz w:val="20"/>
                <w:szCs w:val="20"/>
              </w:rPr>
              <w:t>Реконструкция и строительство недостроенных объектов комплекса</w:t>
            </w:r>
          </w:p>
        </w:tc>
      </w:tr>
      <w:tr w:rsidR="00171AA8" w:rsidRPr="00731FE2" w14:paraId="362FEAC0" w14:textId="77777777">
        <w:tc>
          <w:tcPr>
            <w:tcW w:w="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E56DC9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1.</w:t>
            </w:r>
          </w:p>
        </w:tc>
        <w:tc>
          <w:tcPr>
            <w:tcW w:w="18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55979F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Гостиница «Кавказ»</w:t>
            </w:r>
          </w:p>
        </w:tc>
        <w:tc>
          <w:tcPr>
            <w:tcW w:w="189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4A84B1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 xml:space="preserve">370 койко-мест. Общая площадь земельного участка: 0,2 га. </w:t>
            </w:r>
          </w:p>
        </w:tc>
        <w:tc>
          <w:tcPr>
            <w:tcW w:w="19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755E68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город-курорт Кисловодск, пр. Дзержинского, 24</w:t>
            </w:r>
          </w:p>
        </w:tc>
        <w:tc>
          <w:tcPr>
            <w:tcW w:w="17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579D13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Р</w:t>
            </w:r>
          </w:p>
        </w:tc>
        <w:tc>
          <w:tcPr>
            <w:tcW w:w="1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D5AF9D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Первая очередь</w:t>
            </w:r>
          </w:p>
        </w:tc>
      </w:tr>
      <w:tr w:rsidR="00171AA8" w:rsidRPr="00731FE2" w14:paraId="1900499E" w14:textId="77777777">
        <w:tc>
          <w:tcPr>
            <w:tcW w:w="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74D975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2.</w:t>
            </w:r>
          </w:p>
        </w:tc>
        <w:tc>
          <w:tcPr>
            <w:tcW w:w="18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6B3213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 xml:space="preserve">Лечебно-оздоровительный комплекс </w:t>
            </w:r>
          </w:p>
        </w:tc>
        <w:tc>
          <w:tcPr>
            <w:tcW w:w="189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10F3C6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 xml:space="preserve">30 койко-мест. Общая площадь земельного участка: 0,05 га. </w:t>
            </w:r>
          </w:p>
        </w:tc>
        <w:tc>
          <w:tcPr>
            <w:tcW w:w="19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08D6FC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город-курорт Кисловодск,</w:t>
            </w:r>
          </w:p>
          <w:p w14:paraId="4D05BA6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пр. Победы, 4В,</w:t>
            </w:r>
          </w:p>
        </w:tc>
        <w:tc>
          <w:tcPr>
            <w:tcW w:w="17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FCDA39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Р</w:t>
            </w:r>
          </w:p>
        </w:tc>
        <w:tc>
          <w:tcPr>
            <w:tcW w:w="1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F0AB64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Первая очередь</w:t>
            </w:r>
          </w:p>
        </w:tc>
      </w:tr>
      <w:tr w:rsidR="00171AA8" w:rsidRPr="00731FE2" w14:paraId="62702AAE" w14:textId="77777777">
        <w:tc>
          <w:tcPr>
            <w:tcW w:w="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B14FB3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3.</w:t>
            </w:r>
          </w:p>
        </w:tc>
        <w:tc>
          <w:tcPr>
            <w:tcW w:w="18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EF6CF3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Спортивно-оздоровительный комплекс</w:t>
            </w:r>
          </w:p>
        </w:tc>
        <w:tc>
          <w:tcPr>
            <w:tcW w:w="189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D774C9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 xml:space="preserve">150 койко-мест. Общая площадь земельного участка: </w:t>
            </w:r>
          </w:p>
          <w:p w14:paraId="74C202C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6 га. 1 недостроенных 1-2 этажных вилл и 2 недостроенных корпуса, этажностью 3-4 этажа</w:t>
            </w:r>
          </w:p>
        </w:tc>
        <w:tc>
          <w:tcPr>
            <w:tcW w:w="19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1F0DEB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город-курорт Кисловодск,</w:t>
            </w:r>
          </w:p>
          <w:p w14:paraId="209DC1B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Запикетный район</w:t>
            </w:r>
          </w:p>
        </w:tc>
        <w:tc>
          <w:tcPr>
            <w:tcW w:w="17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F1D672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Р</w:t>
            </w:r>
          </w:p>
        </w:tc>
        <w:tc>
          <w:tcPr>
            <w:tcW w:w="1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60AABD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До 2027 г.</w:t>
            </w:r>
          </w:p>
        </w:tc>
      </w:tr>
      <w:tr w:rsidR="00171AA8" w:rsidRPr="00731FE2" w14:paraId="2F934A77" w14:textId="77777777">
        <w:tc>
          <w:tcPr>
            <w:tcW w:w="9355" w:type="dxa"/>
            <w:gridSpan w:val="6"/>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422368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b/>
                <w:bCs/>
                <w:color w:val="000000"/>
                <w:sz w:val="20"/>
                <w:szCs w:val="20"/>
              </w:rPr>
            </w:pPr>
            <w:r w:rsidRPr="00731FE2">
              <w:rPr>
                <w:rFonts w:ascii="Times New Roman" w:eastAsia="Times New Roman" w:hAnsi="Times New Roman" w:cs="Times New Roman"/>
                <w:b/>
                <w:bCs/>
                <w:color w:val="000000"/>
                <w:sz w:val="20"/>
                <w:szCs w:val="20"/>
              </w:rPr>
              <w:t>Строительство новых объектов в пределах существующей курортной зоны</w:t>
            </w:r>
          </w:p>
        </w:tc>
      </w:tr>
      <w:tr w:rsidR="00171AA8" w:rsidRPr="00731FE2" w14:paraId="3B8285F8" w14:textId="77777777">
        <w:tc>
          <w:tcPr>
            <w:tcW w:w="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09C742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4.</w:t>
            </w:r>
          </w:p>
        </w:tc>
        <w:tc>
          <w:tcPr>
            <w:tcW w:w="18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D20A32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Гостиница</w:t>
            </w:r>
          </w:p>
        </w:tc>
        <w:tc>
          <w:tcPr>
            <w:tcW w:w="189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81F143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 xml:space="preserve">50 мест. Общая площадь земельного участка: 0,9 га. </w:t>
            </w:r>
          </w:p>
        </w:tc>
        <w:tc>
          <w:tcPr>
            <w:tcW w:w="19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B5732A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город-курорт Кисловодск ул. Стопани, 2.</w:t>
            </w:r>
          </w:p>
          <w:p w14:paraId="3B40401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26:34:020212:21</w:t>
            </w:r>
          </w:p>
        </w:tc>
        <w:tc>
          <w:tcPr>
            <w:tcW w:w="17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AE8588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Р</w:t>
            </w:r>
          </w:p>
        </w:tc>
        <w:tc>
          <w:tcPr>
            <w:tcW w:w="1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E98EB2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До 2027 г.</w:t>
            </w:r>
          </w:p>
        </w:tc>
      </w:tr>
      <w:tr w:rsidR="00171AA8" w:rsidRPr="00731FE2" w14:paraId="4F587818" w14:textId="77777777">
        <w:tc>
          <w:tcPr>
            <w:tcW w:w="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95A618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5.</w:t>
            </w:r>
          </w:p>
        </w:tc>
        <w:tc>
          <w:tcPr>
            <w:tcW w:w="18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B5C10C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Гостиница</w:t>
            </w:r>
          </w:p>
        </w:tc>
        <w:tc>
          <w:tcPr>
            <w:tcW w:w="189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5FC2D2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мини-гостиница (не более 3-х этажей, менее 20 номеров)</w:t>
            </w:r>
          </w:p>
        </w:tc>
        <w:tc>
          <w:tcPr>
            <w:tcW w:w="19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65D3E5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 xml:space="preserve">город-курорт Кисловодск, </w:t>
            </w:r>
          </w:p>
          <w:p w14:paraId="022D24D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ул. Чкалова, 60а</w:t>
            </w:r>
          </w:p>
        </w:tc>
        <w:tc>
          <w:tcPr>
            <w:tcW w:w="17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8EA028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П</w:t>
            </w:r>
          </w:p>
        </w:tc>
        <w:tc>
          <w:tcPr>
            <w:tcW w:w="1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4709D8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До 2027 г.</w:t>
            </w:r>
          </w:p>
        </w:tc>
      </w:tr>
      <w:tr w:rsidR="00171AA8" w:rsidRPr="00731FE2" w14:paraId="24631041" w14:textId="77777777">
        <w:tc>
          <w:tcPr>
            <w:tcW w:w="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0041D1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6.</w:t>
            </w:r>
          </w:p>
        </w:tc>
        <w:tc>
          <w:tcPr>
            <w:tcW w:w="18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8DBE1A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 xml:space="preserve">Гостиница </w:t>
            </w:r>
          </w:p>
        </w:tc>
        <w:tc>
          <w:tcPr>
            <w:tcW w:w="189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66D952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мини-гостиница (не более 3-х этажей, менее 20 номеров)</w:t>
            </w:r>
          </w:p>
        </w:tc>
        <w:tc>
          <w:tcPr>
            <w:tcW w:w="19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4FF8A7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город-курорт Кисловодск, ул. Чкалова / Крутая дорога, д.61/21 лит. б</w:t>
            </w:r>
          </w:p>
        </w:tc>
        <w:tc>
          <w:tcPr>
            <w:tcW w:w="17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A7042A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П</w:t>
            </w:r>
          </w:p>
        </w:tc>
        <w:tc>
          <w:tcPr>
            <w:tcW w:w="1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FBA2D2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До 2027 г.</w:t>
            </w:r>
          </w:p>
        </w:tc>
      </w:tr>
      <w:tr w:rsidR="00171AA8" w:rsidRPr="00731FE2" w14:paraId="71B40B06" w14:textId="77777777">
        <w:tc>
          <w:tcPr>
            <w:tcW w:w="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773546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7.</w:t>
            </w:r>
          </w:p>
        </w:tc>
        <w:tc>
          <w:tcPr>
            <w:tcW w:w="18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E7A7FA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Гостиница</w:t>
            </w:r>
          </w:p>
        </w:tc>
        <w:tc>
          <w:tcPr>
            <w:tcW w:w="189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C805AB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мини-гостиница (не более 3-х этажей, менее 20 номеров)</w:t>
            </w:r>
          </w:p>
        </w:tc>
        <w:tc>
          <w:tcPr>
            <w:tcW w:w="19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3254D7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 xml:space="preserve">город-курорт Кисловодск, </w:t>
            </w:r>
          </w:p>
          <w:p w14:paraId="1918A0A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ул. Чкалова/Крутая дорога, д.61/21 лит. в</w:t>
            </w:r>
          </w:p>
        </w:tc>
        <w:tc>
          <w:tcPr>
            <w:tcW w:w="17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0D6D2E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П</w:t>
            </w:r>
          </w:p>
        </w:tc>
        <w:tc>
          <w:tcPr>
            <w:tcW w:w="1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C66757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До 2027 г.</w:t>
            </w:r>
          </w:p>
        </w:tc>
      </w:tr>
      <w:tr w:rsidR="00171AA8" w:rsidRPr="00731FE2" w14:paraId="7DA93CBD" w14:textId="77777777">
        <w:tc>
          <w:tcPr>
            <w:tcW w:w="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317CE0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8.</w:t>
            </w:r>
          </w:p>
        </w:tc>
        <w:tc>
          <w:tcPr>
            <w:tcW w:w="18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346DAB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Гостиница</w:t>
            </w:r>
          </w:p>
        </w:tc>
        <w:tc>
          <w:tcPr>
            <w:tcW w:w="189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040D2C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мини-гостиница (не более 3-х этажей, менее 20 номеров)</w:t>
            </w:r>
          </w:p>
        </w:tc>
        <w:tc>
          <w:tcPr>
            <w:tcW w:w="19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1E3F12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 xml:space="preserve">город-курорт Кисловодск, </w:t>
            </w:r>
          </w:p>
          <w:p w14:paraId="60A6D6C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ул. Тимирязева/ Зелёная/ Свердлова 3/2114 лит. а</w:t>
            </w:r>
          </w:p>
        </w:tc>
        <w:tc>
          <w:tcPr>
            <w:tcW w:w="17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B8A954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П</w:t>
            </w:r>
          </w:p>
        </w:tc>
        <w:tc>
          <w:tcPr>
            <w:tcW w:w="1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E8E218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До 2027 г.</w:t>
            </w:r>
          </w:p>
        </w:tc>
      </w:tr>
      <w:tr w:rsidR="00171AA8" w:rsidRPr="00731FE2" w14:paraId="250456F7" w14:textId="77777777">
        <w:tc>
          <w:tcPr>
            <w:tcW w:w="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08C12C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9.</w:t>
            </w:r>
          </w:p>
        </w:tc>
        <w:tc>
          <w:tcPr>
            <w:tcW w:w="18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8BA0AE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Гостиница ЗАО СПЗ «Форелевый»</w:t>
            </w:r>
          </w:p>
        </w:tc>
        <w:tc>
          <w:tcPr>
            <w:tcW w:w="189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44218B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 xml:space="preserve">Общая площадь земельного участка: </w:t>
            </w:r>
          </w:p>
          <w:p w14:paraId="46BBE13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 xml:space="preserve">0,77 га </w:t>
            </w:r>
          </w:p>
        </w:tc>
        <w:tc>
          <w:tcPr>
            <w:tcW w:w="19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0BB59D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город-курорт Кисловодск</w:t>
            </w:r>
          </w:p>
        </w:tc>
        <w:tc>
          <w:tcPr>
            <w:tcW w:w="17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E73423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П</w:t>
            </w:r>
          </w:p>
        </w:tc>
        <w:tc>
          <w:tcPr>
            <w:tcW w:w="1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6BEE92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До 2027 г.</w:t>
            </w:r>
          </w:p>
        </w:tc>
      </w:tr>
      <w:tr w:rsidR="00171AA8" w:rsidRPr="00731FE2" w14:paraId="4CC351F3" w14:textId="77777777">
        <w:tc>
          <w:tcPr>
            <w:tcW w:w="9355" w:type="dxa"/>
            <w:gridSpan w:val="6"/>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288FF9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b/>
                <w:bCs/>
                <w:color w:val="000000"/>
                <w:sz w:val="20"/>
                <w:szCs w:val="20"/>
              </w:rPr>
            </w:pPr>
            <w:r w:rsidRPr="00731FE2">
              <w:rPr>
                <w:rFonts w:ascii="Times New Roman" w:eastAsia="Times New Roman" w:hAnsi="Times New Roman" w:cs="Times New Roman"/>
                <w:b/>
                <w:bCs/>
                <w:color w:val="000000"/>
                <w:sz w:val="20"/>
                <w:szCs w:val="20"/>
              </w:rPr>
              <w:t>Строительство объектов на новых территориях</w:t>
            </w:r>
          </w:p>
        </w:tc>
      </w:tr>
      <w:tr w:rsidR="00171AA8" w:rsidRPr="00731FE2" w14:paraId="30905006" w14:textId="77777777">
        <w:tc>
          <w:tcPr>
            <w:tcW w:w="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C2BB34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10.</w:t>
            </w:r>
          </w:p>
        </w:tc>
        <w:tc>
          <w:tcPr>
            <w:tcW w:w="18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389F9D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Кисловодский «Сафари-парк»</w:t>
            </w:r>
          </w:p>
        </w:tc>
        <w:tc>
          <w:tcPr>
            <w:tcW w:w="189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F41C25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 xml:space="preserve">Круглогодичный семейный </w:t>
            </w:r>
            <w:r w:rsidRPr="00731FE2">
              <w:rPr>
                <w:rFonts w:ascii="Times New Roman" w:eastAsia="Times New Roman" w:hAnsi="Times New Roman" w:cs="Times New Roman"/>
                <w:color w:val="000000"/>
                <w:sz w:val="20"/>
                <w:szCs w:val="20"/>
              </w:rPr>
              <w:lastRenderedPageBreak/>
              <w:t>комплекс. Определяется проектом.</w:t>
            </w:r>
          </w:p>
        </w:tc>
        <w:tc>
          <w:tcPr>
            <w:tcW w:w="19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8C916F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lastRenderedPageBreak/>
              <w:t>город-курорт Кисловодск</w:t>
            </w:r>
          </w:p>
        </w:tc>
        <w:tc>
          <w:tcPr>
            <w:tcW w:w="17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581C9C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П</w:t>
            </w:r>
          </w:p>
        </w:tc>
        <w:tc>
          <w:tcPr>
            <w:tcW w:w="1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F26DA4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До 2042 г.</w:t>
            </w:r>
          </w:p>
        </w:tc>
      </w:tr>
      <w:tr w:rsidR="00171AA8" w:rsidRPr="00731FE2" w14:paraId="1CDFA9D1" w14:textId="77777777">
        <w:tc>
          <w:tcPr>
            <w:tcW w:w="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B5AD08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lastRenderedPageBreak/>
              <w:t>11.</w:t>
            </w:r>
          </w:p>
        </w:tc>
        <w:tc>
          <w:tcPr>
            <w:tcW w:w="18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5FF409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«Экстрим-парк»</w:t>
            </w:r>
          </w:p>
        </w:tc>
        <w:tc>
          <w:tcPr>
            <w:tcW w:w="189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C5D770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Определяется проектом.</w:t>
            </w:r>
          </w:p>
        </w:tc>
        <w:tc>
          <w:tcPr>
            <w:tcW w:w="19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8AC651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город-курорт Кисловодск</w:t>
            </w:r>
          </w:p>
        </w:tc>
        <w:tc>
          <w:tcPr>
            <w:tcW w:w="17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8B0095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П</w:t>
            </w:r>
          </w:p>
        </w:tc>
        <w:tc>
          <w:tcPr>
            <w:tcW w:w="1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46409F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До 2042 г.</w:t>
            </w:r>
          </w:p>
        </w:tc>
      </w:tr>
      <w:tr w:rsidR="00171AA8" w:rsidRPr="00731FE2" w14:paraId="7C6F5B1F" w14:textId="77777777">
        <w:tc>
          <w:tcPr>
            <w:tcW w:w="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B82834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12.</w:t>
            </w:r>
          </w:p>
        </w:tc>
        <w:tc>
          <w:tcPr>
            <w:tcW w:w="18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8F3182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Рекреационно-экологический парк</w:t>
            </w:r>
          </w:p>
        </w:tc>
        <w:tc>
          <w:tcPr>
            <w:tcW w:w="189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0F2767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Определяется проектом.</w:t>
            </w:r>
          </w:p>
        </w:tc>
        <w:tc>
          <w:tcPr>
            <w:tcW w:w="19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0B6CAE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город-курорт Кисловодск</w:t>
            </w:r>
          </w:p>
        </w:tc>
        <w:tc>
          <w:tcPr>
            <w:tcW w:w="17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F93EC4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П</w:t>
            </w:r>
          </w:p>
        </w:tc>
        <w:tc>
          <w:tcPr>
            <w:tcW w:w="1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8DCDF4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До 2042 г.</w:t>
            </w:r>
          </w:p>
        </w:tc>
      </w:tr>
      <w:tr w:rsidR="00171AA8" w:rsidRPr="00731FE2" w14:paraId="7B0CF259" w14:textId="77777777">
        <w:tc>
          <w:tcPr>
            <w:tcW w:w="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7079F6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13.</w:t>
            </w:r>
          </w:p>
        </w:tc>
        <w:tc>
          <w:tcPr>
            <w:tcW w:w="18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A7B4F6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Этно-культурный тематический парк</w:t>
            </w:r>
          </w:p>
        </w:tc>
        <w:tc>
          <w:tcPr>
            <w:tcW w:w="189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7A19DC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Определяется проектом.</w:t>
            </w:r>
          </w:p>
        </w:tc>
        <w:tc>
          <w:tcPr>
            <w:tcW w:w="19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E2E84B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город-курорт Кисловодск</w:t>
            </w:r>
          </w:p>
        </w:tc>
        <w:tc>
          <w:tcPr>
            <w:tcW w:w="17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9A6BE9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П</w:t>
            </w:r>
          </w:p>
        </w:tc>
        <w:tc>
          <w:tcPr>
            <w:tcW w:w="1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CE9A93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До 2042 г.</w:t>
            </w:r>
          </w:p>
        </w:tc>
      </w:tr>
      <w:tr w:rsidR="00171AA8" w:rsidRPr="00731FE2" w14:paraId="5E34748C" w14:textId="77777777">
        <w:tc>
          <w:tcPr>
            <w:tcW w:w="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ABA44F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14.</w:t>
            </w:r>
          </w:p>
        </w:tc>
        <w:tc>
          <w:tcPr>
            <w:tcW w:w="18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6F431F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Спортивный парк</w:t>
            </w:r>
          </w:p>
        </w:tc>
        <w:tc>
          <w:tcPr>
            <w:tcW w:w="189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12D84B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Определяется проектом.</w:t>
            </w:r>
          </w:p>
        </w:tc>
        <w:tc>
          <w:tcPr>
            <w:tcW w:w="19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A49D60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город-курорт Кисловодск</w:t>
            </w:r>
          </w:p>
        </w:tc>
        <w:tc>
          <w:tcPr>
            <w:tcW w:w="17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DA460B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П</w:t>
            </w:r>
          </w:p>
        </w:tc>
        <w:tc>
          <w:tcPr>
            <w:tcW w:w="1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61F6A0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До 2042 г.</w:t>
            </w:r>
          </w:p>
        </w:tc>
      </w:tr>
      <w:tr w:rsidR="00171AA8" w:rsidRPr="00731FE2" w14:paraId="3884873C" w14:textId="77777777">
        <w:tc>
          <w:tcPr>
            <w:tcW w:w="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D681A6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15.</w:t>
            </w:r>
          </w:p>
        </w:tc>
        <w:tc>
          <w:tcPr>
            <w:tcW w:w="18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DCA428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Гольф-парк</w:t>
            </w:r>
          </w:p>
        </w:tc>
        <w:tc>
          <w:tcPr>
            <w:tcW w:w="189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3661B3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Определяется проектом.</w:t>
            </w:r>
          </w:p>
        </w:tc>
        <w:tc>
          <w:tcPr>
            <w:tcW w:w="19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F2EEA5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город-курорт Кисловодск</w:t>
            </w:r>
          </w:p>
        </w:tc>
        <w:tc>
          <w:tcPr>
            <w:tcW w:w="17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5E0F1E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П</w:t>
            </w:r>
          </w:p>
        </w:tc>
        <w:tc>
          <w:tcPr>
            <w:tcW w:w="1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1AC429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До 2042 г.</w:t>
            </w:r>
          </w:p>
        </w:tc>
      </w:tr>
      <w:tr w:rsidR="00171AA8" w:rsidRPr="00731FE2" w14:paraId="34AB337C" w14:textId="77777777">
        <w:tc>
          <w:tcPr>
            <w:tcW w:w="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F44C87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16.</w:t>
            </w:r>
          </w:p>
        </w:tc>
        <w:tc>
          <w:tcPr>
            <w:tcW w:w="18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CCC260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Туристско-спортивный комплекс для зимних видов спорта</w:t>
            </w:r>
          </w:p>
        </w:tc>
        <w:tc>
          <w:tcPr>
            <w:tcW w:w="189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EDB7A0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3 объекта</w:t>
            </w:r>
          </w:p>
          <w:p w14:paraId="24E4AA0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Определяется проектом</w:t>
            </w:r>
          </w:p>
        </w:tc>
        <w:tc>
          <w:tcPr>
            <w:tcW w:w="19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35B4EF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город-курорт Кисловодск, юго-восточная и юго-западная зона гор</w:t>
            </w:r>
          </w:p>
        </w:tc>
        <w:tc>
          <w:tcPr>
            <w:tcW w:w="17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0F2439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П</w:t>
            </w:r>
          </w:p>
        </w:tc>
        <w:tc>
          <w:tcPr>
            <w:tcW w:w="1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916A45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До 2027 г.</w:t>
            </w:r>
          </w:p>
        </w:tc>
      </w:tr>
      <w:tr w:rsidR="00171AA8" w:rsidRPr="00731FE2" w14:paraId="11E91878" w14:textId="77777777">
        <w:tc>
          <w:tcPr>
            <w:tcW w:w="5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6E2F76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17.</w:t>
            </w:r>
          </w:p>
        </w:tc>
        <w:tc>
          <w:tcPr>
            <w:tcW w:w="18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C39548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Спортивно-рекреационный центр «Новое озеро»</w:t>
            </w:r>
          </w:p>
        </w:tc>
        <w:tc>
          <w:tcPr>
            <w:tcW w:w="189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E6D78E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Определяется проектом</w:t>
            </w:r>
          </w:p>
        </w:tc>
        <w:tc>
          <w:tcPr>
            <w:tcW w:w="19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8C4A52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город-курорт Кисловодск, в пойме реки Подкумок</w:t>
            </w:r>
          </w:p>
        </w:tc>
        <w:tc>
          <w:tcPr>
            <w:tcW w:w="17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B01155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П</w:t>
            </w:r>
          </w:p>
        </w:tc>
        <w:tc>
          <w:tcPr>
            <w:tcW w:w="138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39CD01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До 2027 г.</w:t>
            </w:r>
          </w:p>
        </w:tc>
      </w:tr>
    </w:tbl>
    <w:p w14:paraId="365C79F4" w14:textId="77777777" w:rsidR="00171AA8" w:rsidRPr="00731FE2" w:rsidRDefault="00171AA8">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p>
    <w:p w14:paraId="14BF4EA0"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В соответствии со стратегией (мастер-плана) пространственного развития Кисловодска до 2030 г. сформирован перечень мероприятий по развитию туризма и рекреации.</w:t>
      </w:r>
    </w:p>
    <w:p w14:paraId="0A380075" w14:textId="77777777" w:rsidR="00171AA8" w:rsidRPr="00731FE2" w:rsidRDefault="00171AA8">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p>
    <w:p w14:paraId="2176420D" w14:textId="77777777" w:rsidR="00171AA8" w:rsidRPr="00731FE2" w:rsidRDefault="007935AB">
      <w:pPr>
        <w:pStyle w:val="af3"/>
        <w:pBdr>
          <w:top w:val="none" w:sz="4" w:space="0" w:color="000000"/>
          <w:left w:val="none" w:sz="4" w:space="0" w:color="000000"/>
          <w:bottom w:val="none" w:sz="4" w:space="0" w:color="000000"/>
          <w:right w:val="none" w:sz="4" w:space="0" w:color="000000"/>
        </w:pBdr>
        <w:rPr>
          <w:szCs w:val="24"/>
        </w:rPr>
      </w:pPr>
      <w:r w:rsidRPr="00731FE2">
        <w:rPr>
          <w:sz w:val="24"/>
          <w:szCs w:val="24"/>
        </w:rPr>
        <w:t xml:space="preserve">Таблица </w:t>
      </w:r>
      <w:r w:rsidRPr="00731FE2">
        <w:rPr>
          <w:sz w:val="24"/>
          <w:szCs w:val="24"/>
        </w:rPr>
        <w:fldChar w:fldCharType="begin"/>
      </w:r>
      <w:r w:rsidRPr="00731FE2">
        <w:rPr>
          <w:sz w:val="24"/>
          <w:szCs w:val="24"/>
        </w:rPr>
        <w:instrText xml:space="preserve"> SEQ Таблица \* Arabic </w:instrText>
      </w:r>
      <w:r w:rsidRPr="00731FE2">
        <w:rPr>
          <w:sz w:val="24"/>
          <w:szCs w:val="24"/>
        </w:rPr>
        <w:fldChar w:fldCharType="separate"/>
      </w:r>
      <w:r w:rsidR="00C50915" w:rsidRPr="00731FE2">
        <w:rPr>
          <w:noProof/>
          <w:sz w:val="24"/>
          <w:szCs w:val="24"/>
        </w:rPr>
        <w:t>85</w:t>
      </w:r>
      <w:r w:rsidRPr="00731FE2">
        <w:rPr>
          <w:sz w:val="24"/>
          <w:szCs w:val="24"/>
        </w:rPr>
        <w:fldChar w:fldCharType="end"/>
      </w:r>
      <w:r w:rsidRPr="00731FE2">
        <w:rPr>
          <w:sz w:val="24"/>
          <w:szCs w:val="24"/>
        </w:rPr>
        <w:t xml:space="preserve"> – Сведения о планируемых мероприятиях по развитию туризма и ландшафтно-рекреационной системы городского округа города-курорта Кисловодска в рамках мастер-плана города </w:t>
      </w:r>
      <w:r w:rsidRPr="00731FE2">
        <w:rPr>
          <w:rStyle w:val="afb"/>
          <w:sz w:val="24"/>
          <w:szCs w:val="24"/>
          <w:vertAlign w:val="superscript"/>
        </w:rPr>
        <w:footnoteReference w:id="111"/>
      </w:r>
    </w:p>
    <w:tbl>
      <w:tblPr>
        <w:tblStyle w:val="afe"/>
        <w:tblW w:w="0" w:type="auto"/>
        <w:tblLayout w:type="fixed"/>
        <w:tblLook w:val="04A0" w:firstRow="1" w:lastRow="0" w:firstColumn="1" w:lastColumn="0" w:noHBand="0" w:noVBand="1"/>
      </w:tblPr>
      <w:tblGrid>
        <w:gridCol w:w="1701"/>
        <w:gridCol w:w="2835"/>
        <w:gridCol w:w="2498"/>
        <w:gridCol w:w="2322"/>
      </w:tblGrid>
      <w:tr w:rsidR="00171AA8" w:rsidRPr="00731FE2" w14:paraId="21C16895" w14:textId="77777777">
        <w:trPr>
          <w:trHeight w:val="318"/>
        </w:trPr>
        <w:tc>
          <w:tcPr>
            <w:tcW w:w="1701" w:type="dxa"/>
            <w:vMerge w:val="restart"/>
          </w:tcPr>
          <w:p w14:paraId="50D0B361"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b/>
                <w:bCs/>
                <w:color w:val="000000" w:themeColor="text1"/>
                <w:sz w:val="22"/>
              </w:rPr>
            </w:pPr>
            <w:r w:rsidRPr="00731FE2">
              <w:rPr>
                <w:rFonts w:ascii="Times New Roman" w:hAnsi="Times New Roman" w:cs="Times New Roman"/>
                <w:b/>
                <w:bCs/>
                <w:color w:val="000000" w:themeColor="text1"/>
                <w:sz w:val="22"/>
              </w:rPr>
              <w:t>Наименование направления</w:t>
            </w:r>
          </w:p>
          <w:p w14:paraId="717E7517" w14:textId="77777777" w:rsidR="00171AA8" w:rsidRPr="00731FE2" w:rsidRDefault="00171AA8">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p>
        </w:tc>
        <w:tc>
          <w:tcPr>
            <w:tcW w:w="7654" w:type="dxa"/>
            <w:gridSpan w:val="3"/>
          </w:tcPr>
          <w:p w14:paraId="1B5EDFEE" w14:textId="77777777" w:rsidR="00171AA8" w:rsidRPr="00731FE2" w:rsidRDefault="007935AB">
            <w:pPr>
              <w:pBdr>
                <w:top w:val="none" w:sz="4" w:space="0" w:color="000000"/>
                <w:left w:val="none" w:sz="4" w:space="0" w:color="000000"/>
                <w:bottom w:val="none" w:sz="4" w:space="0" w:color="000000"/>
                <w:right w:val="none" w:sz="4" w:space="0" w:color="000000"/>
              </w:pBdr>
              <w:jc w:val="center"/>
              <w:rPr>
                <w:rFonts w:ascii="Times New Roman" w:hAnsi="Times New Roman" w:cs="Times New Roman"/>
                <w:b/>
                <w:bCs/>
                <w:color w:val="000000" w:themeColor="text1"/>
                <w:sz w:val="22"/>
              </w:rPr>
            </w:pPr>
            <w:r w:rsidRPr="00731FE2">
              <w:rPr>
                <w:rFonts w:ascii="Times New Roman" w:hAnsi="Times New Roman" w:cs="Times New Roman"/>
                <w:b/>
                <w:bCs/>
                <w:color w:val="000000" w:themeColor="text1"/>
                <w:sz w:val="22"/>
              </w:rPr>
              <w:t>Год реализации</w:t>
            </w:r>
          </w:p>
        </w:tc>
      </w:tr>
      <w:tr w:rsidR="00171AA8" w:rsidRPr="00731FE2" w14:paraId="4C719BA6" w14:textId="77777777">
        <w:tc>
          <w:tcPr>
            <w:tcW w:w="1701" w:type="dxa"/>
            <w:vMerge/>
          </w:tcPr>
          <w:p w14:paraId="13D5DBAC" w14:textId="77777777" w:rsidR="00171AA8" w:rsidRPr="00731FE2" w:rsidRDefault="00171AA8"/>
        </w:tc>
        <w:tc>
          <w:tcPr>
            <w:tcW w:w="2835" w:type="dxa"/>
          </w:tcPr>
          <w:p w14:paraId="0E590A2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b/>
                <w:bCs/>
                <w:color w:val="000000"/>
                <w:sz w:val="22"/>
              </w:rPr>
            </w:pPr>
            <w:r w:rsidRPr="00731FE2">
              <w:rPr>
                <w:rFonts w:ascii="Times New Roman" w:eastAsia="Times New Roman" w:hAnsi="Times New Roman" w:cs="Times New Roman"/>
                <w:b/>
                <w:bCs/>
                <w:color w:val="000000"/>
                <w:sz w:val="22"/>
              </w:rPr>
              <w:t>до 2024 г</w:t>
            </w:r>
          </w:p>
        </w:tc>
        <w:tc>
          <w:tcPr>
            <w:tcW w:w="2498" w:type="dxa"/>
          </w:tcPr>
          <w:p w14:paraId="08E794F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b/>
                <w:bCs/>
                <w:color w:val="000000"/>
                <w:sz w:val="22"/>
              </w:rPr>
            </w:pPr>
            <w:r w:rsidRPr="00731FE2">
              <w:rPr>
                <w:rFonts w:ascii="Times New Roman" w:eastAsia="Times New Roman" w:hAnsi="Times New Roman" w:cs="Times New Roman"/>
                <w:b/>
                <w:bCs/>
                <w:color w:val="000000"/>
                <w:sz w:val="22"/>
              </w:rPr>
              <w:t>2025 – 2027 гг.</w:t>
            </w:r>
          </w:p>
        </w:tc>
        <w:tc>
          <w:tcPr>
            <w:tcW w:w="2322" w:type="dxa"/>
          </w:tcPr>
          <w:p w14:paraId="374AD24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b/>
                <w:bCs/>
                <w:color w:val="000000"/>
                <w:sz w:val="22"/>
              </w:rPr>
            </w:pPr>
            <w:r w:rsidRPr="00731FE2">
              <w:rPr>
                <w:rFonts w:ascii="Times New Roman" w:eastAsia="Times New Roman" w:hAnsi="Times New Roman" w:cs="Times New Roman"/>
                <w:b/>
                <w:bCs/>
                <w:color w:val="000000"/>
                <w:sz w:val="22"/>
              </w:rPr>
              <w:t>после 2027 г.</w:t>
            </w:r>
          </w:p>
        </w:tc>
      </w:tr>
      <w:tr w:rsidR="00171AA8" w:rsidRPr="00731FE2" w14:paraId="3A62765F" w14:textId="77777777">
        <w:trPr>
          <w:trHeight w:val="3543"/>
        </w:trPr>
        <w:tc>
          <w:tcPr>
            <w:tcW w:w="1701" w:type="dxa"/>
          </w:tcPr>
          <w:p w14:paraId="3D6D0F7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Туризм</w:t>
            </w:r>
          </w:p>
        </w:tc>
        <w:tc>
          <w:tcPr>
            <w:tcW w:w="2835" w:type="dxa"/>
          </w:tcPr>
          <w:p w14:paraId="1BF61741" w14:textId="77777777" w:rsidR="00171AA8" w:rsidRPr="00731FE2" w:rsidRDefault="007935AB" w:rsidP="007832E7">
            <w:pPr>
              <w:pStyle w:val="a3"/>
              <w:numPr>
                <w:ilvl w:val="0"/>
                <w:numId w:val="88"/>
              </w:numPr>
              <w:pBdr>
                <w:top w:val="none" w:sz="4" w:space="0" w:color="000000"/>
                <w:left w:val="none" w:sz="4" w:space="0" w:color="000000"/>
                <w:bottom w:val="none" w:sz="4" w:space="0" w:color="000000"/>
                <w:right w:val="none" w:sz="4" w:space="0" w:color="000000"/>
              </w:pBdr>
              <w:ind w:left="136" w:hanging="136"/>
              <w:jc w:val="left"/>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создание организации по развитию туризма;</w:t>
            </w:r>
          </w:p>
          <w:p w14:paraId="4AE6CABD" w14:textId="77777777" w:rsidR="00171AA8" w:rsidRPr="00731FE2" w:rsidRDefault="007935AB" w:rsidP="007832E7">
            <w:pPr>
              <w:pStyle w:val="a3"/>
              <w:numPr>
                <w:ilvl w:val="0"/>
                <w:numId w:val="88"/>
              </w:numPr>
              <w:pBdr>
                <w:top w:val="none" w:sz="4" w:space="0" w:color="000000"/>
                <w:left w:val="none" w:sz="4" w:space="0" w:color="000000"/>
                <w:bottom w:val="none" w:sz="4" w:space="0" w:color="000000"/>
                <w:right w:val="none" w:sz="4" w:space="0" w:color="000000"/>
              </w:pBdr>
              <w:ind w:left="136" w:hanging="136"/>
              <w:jc w:val="left"/>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разработка и внедрение документов планирования и программы повышения качества сервисов;</w:t>
            </w:r>
          </w:p>
          <w:p w14:paraId="12FCA25C" w14:textId="77777777" w:rsidR="00171AA8" w:rsidRPr="00731FE2" w:rsidRDefault="007935AB" w:rsidP="007832E7">
            <w:pPr>
              <w:pStyle w:val="a3"/>
              <w:numPr>
                <w:ilvl w:val="0"/>
                <w:numId w:val="88"/>
              </w:numPr>
              <w:pBdr>
                <w:top w:val="none" w:sz="4" w:space="0" w:color="000000"/>
                <w:left w:val="none" w:sz="4" w:space="0" w:color="000000"/>
                <w:bottom w:val="none" w:sz="4" w:space="0" w:color="000000"/>
                <w:right w:val="none" w:sz="4" w:space="0" w:color="000000"/>
              </w:pBdr>
              <w:ind w:left="136" w:hanging="136"/>
              <w:jc w:val="left"/>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создание объектов туристической инфраструктуры;</w:t>
            </w:r>
          </w:p>
          <w:p w14:paraId="00ED53E8" w14:textId="77777777" w:rsidR="00171AA8" w:rsidRPr="00731FE2" w:rsidRDefault="007935AB" w:rsidP="007832E7">
            <w:pPr>
              <w:pStyle w:val="a3"/>
              <w:numPr>
                <w:ilvl w:val="0"/>
                <w:numId w:val="88"/>
              </w:numPr>
              <w:pBdr>
                <w:top w:val="none" w:sz="4" w:space="0" w:color="000000"/>
                <w:left w:val="none" w:sz="4" w:space="0" w:color="000000"/>
                <w:bottom w:val="none" w:sz="4" w:space="0" w:color="000000"/>
                <w:right w:val="none" w:sz="4" w:space="0" w:color="000000"/>
              </w:pBdr>
              <w:ind w:left="136" w:hanging="136"/>
              <w:jc w:val="left"/>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создание аттрактора национального масштаба (аквакомплекс);</w:t>
            </w:r>
          </w:p>
          <w:p w14:paraId="2BB88C67" w14:textId="77777777" w:rsidR="00171AA8" w:rsidRPr="00731FE2" w:rsidRDefault="007935AB" w:rsidP="007832E7">
            <w:pPr>
              <w:pStyle w:val="a3"/>
              <w:numPr>
                <w:ilvl w:val="0"/>
                <w:numId w:val="88"/>
              </w:numPr>
              <w:pBdr>
                <w:top w:val="none" w:sz="4" w:space="0" w:color="000000"/>
                <w:left w:val="none" w:sz="4" w:space="0" w:color="000000"/>
                <w:bottom w:val="none" w:sz="4" w:space="0" w:color="000000"/>
                <w:right w:val="none" w:sz="4" w:space="0" w:color="000000"/>
              </w:pBdr>
              <w:ind w:left="136" w:hanging="136"/>
              <w:jc w:val="left"/>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создание высокотехнологичного диагностического центра;</w:t>
            </w:r>
          </w:p>
          <w:p w14:paraId="61EF09D5" w14:textId="77777777" w:rsidR="00171AA8" w:rsidRPr="00731FE2" w:rsidRDefault="007935AB" w:rsidP="007832E7">
            <w:pPr>
              <w:pStyle w:val="a3"/>
              <w:numPr>
                <w:ilvl w:val="0"/>
                <w:numId w:val="88"/>
              </w:numPr>
              <w:pBdr>
                <w:top w:val="none" w:sz="4" w:space="0" w:color="000000"/>
                <w:left w:val="none" w:sz="4" w:space="0" w:color="000000"/>
                <w:bottom w:val="none" w:sz="4" w:space="0" w:color="000000"/>
                <w:right w:val="none" w:sz="4" w:space="0" w:color="000000"/>
              </w:pBdr>
              <w:ind w:left="136" w:hanging="136"/>
              <w:jc w:val="left"/>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создание спортивного центра на о. Новое.</w:t>
            </w:r>
          </w:p>
        </w:tc>
        <w:tc>
          <w:tcPr>
            <w:tcW w:w="2498" w:type="dxa"/>
          </w:tcPr>
          <w:p w14:paraId="2A59217C" w14:textId="77777777" w:rsidR="00171AA8" w:rsidRPr="00731FE2" w:rsidRDefault="007935AB" w:rsidP="007832E7">
            <w:pPr>
              <w:pStyle w:val="a3"/>
              <w:numPr>
                <w:ilvl w:val="0"/>
                <w:numId w:val="88"/>
              </w:numPr>
              <w:pBdr>
                <w:top w:val="none" w:sz="4" w:space="0" w:color="000000"/>
                <w:left w:val="none" w:sz="4" w:space="0" w:color="000000"/>
                <w:bottom w:val="none" w:sz="4" w:space="0" w:color="000000"/>
                <w:right w:val="none" w:sz="4" w:space="0" w:color="000000"/>
              </w:pBdr>
              <w:ind w:left="136" w:hanging="136"/>
              <w:jc w:val="left"/>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благоустройство исторического центра города;</w:t>
            </w:r>
          </w:p>
          <w:p w14:paraId="38665FD3" w14:textId="77777777" w:rsidR="00171AA8" w:rsidRPr="00731FE2" w:rsidRDefault="007935AB" w:rsidP="007832E7">
            <w:pPr>
              <w:pStyle w:val="a3"/>
              <w:numPr>
                <w:ilvl w:val="0"/>
                <w:numId w:val="88"/>
              </w:numPr>
              <w:pBdr>
                <w:top w:val="none" w:sz="4" w:space="0" w:color="000000"/>
                <w:left w:val="none" w:sz="4" w:space="0" w:color="000000"/>
                <w:bottom w:val="none" w:sz="4" w:space="0" w:color="000000"/>
                <w:right w:val="none" w:sz="4" w:space="0" w:color="000000"/>
              </w:pBdr>
              <w:ind w:left="136" w:hanging="136"/>
              <w:jc w:val="left"/>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строительство новых средств размещения;</w:t>
            </w:r>
          </w:p>
          <w:p w14:paraId="4A76E9F5" w14:textId="77777777" w:rsidR="00171AA8" w:rsidRPr="00731FE2" w:rsidRDefault="007935AB" w:rsidP="007832E7">
            <w:pPr>
              <w:pStyle w:val="a3"/>
              <w:numPr>
                <w:ilvl w:val="0"/>
                <w:numId w:val="88"/>
              </w:numPr>
              <w:pBdr>
                <w:top w:val="none" w:sz="4" w:space="0" w:color="000000"/>
                <w:left w:val="none" w:sz="4" w:space="0" w:color="000000"/>
                <w:bottom w:val="none" w:sz="4" w:space="0" w:color="000000"/>
                <w:right w:val="none" w:sz="4" w:space="0" w:color="000000"/>
              </w:pBdr>
              <w:ind w:left="136" w:hanging="136"/>
              <w:jc w:val="left"/>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создание клиники высокотехнологичной медицинской помощи;</w:t>
            </w:r>
          </w:p>
          <w:p w14:paraId="4EFA40B5" w14:textId="77777777" w:rsidR="00171AA8" w:rsidRPr="00731FE2" w:rsidRDefault="007935AB" w:rsidP="007832E7">
            <w:pPr>
              <w:pStyle w:val="a3"/>
              <w:numPr>
                <w:ilvl w:val="0"/>
                <w:numId w:val="88"/>
              </w:numPr>
              <w:pBdr>
                <w:top w:val="none" w:sz="4" w:space="0" w:color="000000"/>
                <w:left w:val="none" w:sz="4" w:space="0" w:color="000000"/>
                <w:bottom w:val="none" w:sz="4" w:space="0" w:color="000000"/>
                <w:right w:val="none" w:sz="4" w:space="0" w:color="000000"/>
              </w:pBdr>
              <w:ind w:left="136" w:hanging="136"/>
              <w:jc w:val="left"/>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создание реабилитационного центра;</w:t>
            </w:r>
          </w:p>
          <w:p w14:paraId="71913E63" w14:textId="77777777" w:rsidR="00171AA8" w:rsidRPr="00731FE2" w:rsidRDefault="007935AB" w:rsidP="007832E7">
            <w:pPr>
              <w:pStyle w:val="a3"/>
              <w:numPr>
                <w:ilvl w:val="0"/>
                <w:numId w:val="88"/>
              </w:numPr>
              <w:pBdr>
                <w:top w:val="none" w:sz="4" w:space="0" w:color="000000"/>
                <w:left w:val="none" w:sz="4" w:space="0" w:color="000000"/>
                <w:bottom w:val="none" w:sz="4" w:space="0" w:color="000000"/>
                <w:right w:val="none" w:sz="4" w:space="0" w:color="000000"/>
              </w:pBdr>
              <w:ind w:left="136" w:hanging="136"/>
              <w:jc w:val="left"/>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создание (дополнительных) объектов туристической инфраструктуры.</w:t>
            </w:r>
          </w:p>
        </w:tc>
        <w:tc>
          <w:tcPr>
            <w:tcW w:w="2322" w:type="dxa"/>
          </w:tcPr>
          <w:p w14:paraId="6C13459D" w14:textId="77777777" w:rsidR="00171AA8" w:rsidRPr="00731FE2" w:rsidRDefault="007935AB" w:rsidP="007832E7">
            <w:pPr>
              <w:pStyle w:val="a3"/>
              <w:numPr>
                <w:ilvl w:val="0"/>
                <w:numId w:val="88"/>
              </w:numPr>
              <w:pBdr>
                <w:top w:val="none" w:sz="4" w:space="0" w:color="000000"/>
                <w:left w:val="none" w:sz="4" w:space="0" w:color="000000"/>
                <w:bottom w:val="none" w:sz="4" w:space="0" w:color="000000"/>
                <w:right w:val="none" w:sz="4" w:space="0" w:color="000000"/>
              </w:pBdr>
              <w:ind w:left="136" w:hanging="136"/>
              <w:jc w:val="left"/>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 xml:space="preserve"> строительство новых средств размещения.</w:t>
            </w:r>
          </w:p>
        </w:tc>
      </w:tr>
      <w:tr w:rsidR="00171AA8" w:rsidRPr="00731FE2" w14:paraId="72EEAC13" w14:textId="77777777">
        <w:tc>
          <w:tcPr>
            <w:tcW w:w="1701" w:type="dxa"/>
          </w:tcPr>
          <w:p w14:paraId="6E63E85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18"/>
                <w:szCs w:val="18"/>
              </w:rPr>
            </w:pPr>
            <w:r w:rsidRPr="00731FE2">
              <w:rPr>
                <w:rFonts w:ascii="Times New Roman" w:eastAsia="Times New Roman" w:hAnsi="Times New Roman" w:cs="Times New Roman"/>
                <w:color w:val="000000"/>
                <w:sz w:val="20"/>
                <w:szCs w:val="20"/>
              </w:rPr>
              <w:t>Ландшафтно-рекреационная система</w:t>
            </w:r>
          </w:p>
        </w:tc>
        <w:tc>
          <w:tcPr>
            <w:tcW w:w="2835" w:type="dxa"/>
          </w:tcPr>
          <w:p w14:paraId="09D60710" w14:textId="77777777" w:rsidR="00171AA8" w:rsidRPr="00731FE2" w:rsidRDefault="007935AB" w:rsidP="007832E7">
            <w:pPr>
              <w:pStyle w:val="a3"/>
              <w:numPr>
                <w:ilvl w:val="0"/>
                <w:numId w:val="88"/>
              </w:numPr>
              <w:pBdr>
                <w:top w:val="none" w:sz="4" w:space="0" w:color="000000"/>
                <w:left w:val="none" w:sz="4" w:space="0" w:color="000000"/>
                <w:bottom w:val="none" w:sz="4" w:space="0" w:color="000000"/>
                <w:right w:val="none" w:sz="4" w:space="0" w:color="000000"/>
              </w:pBdr>
              <w:ind w:left="136" w:hanging="136"/>
              <w:jc w:val="left"/>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 xml:space="preserve"> устройство смотровых площадок;</w:t>
            </w:r>
          </w:p>
          <w:p w14:paraId="72D9AB2E" w14:textId="77777777" w:rsidR="00171AA8" w:rsidRPr="00731FE2" w:rsidRDefault="007935AB" w:rsidP="007832E7">
            <w:pPr>
              <w:pStyle w:val="a3"/>
              <w:numPr>
                <w:ilvl w:val="0"/>
                <w:numId w:val="88"/>
              </w:numPr>
              <w:pBdr>
                <w:top w:val="none" w:sz="4" w:space="0" w:color="000000"/>
                <w:left w:val="none" w:sz="4" w:space="0" w:color="000000"/>
                <w:bottom w:val="none" w:sz="4" w:space="0" w:color="000000"/>
                <w:right w:val="none" w:sz="4" w:space="0" w:color="000000"/>
              </w:pBdr>
              <w:ind w:left="136" w:hanging="136"/>
              <w:jc w:val="left"/>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 xml:space="preserve">высадка дополнительного озеленения вдоль улиц и </w:t>
            </w:r>
            <w:r w:rsidRPr="00731FE2">
              <w:rPr>
                <w:rFonts w:ascii="Times New Roman" w:eastAsia="Times New Roman" w:hAnsi="Times New Roman" w:cs="Times New Roman"/>
                <w:color w:val="000000"/>
                <w:sz w:val="22"/>
              </w:rPr>
              <w:lastRenderedPageBreak/>
              <w:t>у промышленных объектов;</w:t>
            </w:r>
          </w:p>
          <w:p w14:paraId="2388F0A9" w14:textId="77777777" w:rsidR="00171AA8" w:rsidRPr="00731FE2" w:rsidRDefault="007935AB" w:rsidP="007832E7">
            <w:pPr>
              <w:pStyle w:val="a3"/>
              <w:numPr>
                <w:ilvl w:val="0"/>
                <w:numId w:val="88"/>
              </w:numPr>
              <w:pBdr>
                <w:top w:val="none" w:sz="4" w:space="0" w:color="000000"/>
                <w:left w:val="none" w:sz="4" w:space="0" w:color="000000"/>
                <w:bottom w:val="none" w:sz="4" w:space="0" w:color="000000"/>
                <w:right w:val="none" w:sz="4" w:space="0" w:color="000000"/>
              </w:pBdr>
              <w:ind w:left="136" w:hanging="136"/>
              <w:jc w:val="left"/>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благоустройство набережных в центре города;</w:t>
            </w:r>
          </w:p>
          <w:p w14:paraId="57853B11" w14:textId="77777777" w:rsidR="00171AA8" w:rsidRPr="00731FE2" w:rsidRDefault="007935AB" w:rsidP="007832E7">
            <w:pPr>
              <w:pStyle w:val="a3"/>
              <w:numPr>
                <w:ilvl w:val="0"/>
                <w:numId w:val="88"/>
              </w:numPr>
              <w:pBdr>
                <w:top w:val="none" w:sz="4" w:space="0" w:color="000000"/>
                <w:left w:val="none" w:sz="4" w:space="0" w:color="000000"/>
                <w:bottom w:val="none" w:sz="4" w:space="0" w:color="000000"/>
                <w:right w:val="none" w:sz="4" w:space="0" w:color="000000"/>
              </w:pBdr>
              <w:ind w:left="136" w:hanging="136"/>
              <w:jc w:val="left"/>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благоустройство «тропы трех ущелий» (зеленый пояс);</w:t>
            </w:r>
          </w:p>
          <w:p w14:paraId="2D37D371" w14:textId="77777777" w:rsidR="00171AA8" w:rsidRPr="00731FE2" w:rsidRDefault="007935AB" w:rsidP="007832E7">
            <w:pPr>
              <w:pStyle w:val="a3"/>
              <w:numPr>
                <w:ilvl w:val="0"/>
                <w:numId w:val="88"/>
              </w:numPr>
              <w:pBdr>
                <w:top w:val="none" w:sz="4" w:space="0" w:color="000000"/>
                <w:left w:val="none" w:sz="4" w:space="0" w:color="000000"/>
                <w:bottom w:val="none" w:sz="4" w:space="0" w:color="000000"/>
                <w:right w:val="none" w:sz="4" w:space="0" w:color="000000"/>
              </w:pBdr>
              <w:ind w:left="136" w:hanging="136"/>
              <w:jc w:val="left"/>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благоустройство парков и скверов в центре города;</w:t>
            </w:r>
          </w:p>
          <w:p w14:paraId="51B76ED7" w14:textId="77777777" w:rsidR="00171AA8" w:rsidRPr="00731FE2" w:rsidRDefault="007935AB" w:rsidP="007832E7">
            <w:pPr>
              <w:pStyle w:val="a3"/>
              <w:numPr>
                <w:ilvl w:val="0"/>
                <w:numId w:val="88"/>
              </w:numPr>
              <w:pBdr>
                <w:top w:val="none" w:sz="4" w:space="0" w:color="000000"/>
                <w:left w:val="none" w:sz="4" w:space="0" w:color="000000"/>
                <w:bottom w:val="none" w:sz="4" w:space="0" w:color="000000"/>
                <w:right w:val="none" w:sz="4" w:space="0" w:color="000000"/>
              </w:pBdr>
              <w:ind w:left="136" w:hanging="136"/>
              <w:jc w:val="left"/>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благоустройство ЦПКиО.</w:t>
            </w:r>
          </w:p>
        </w:tc>
        <w:tc>
          <w:tcPr>
            <w:tcW w:w="2498" w:type="dxa"/>
          </w:tcPr>
          <w:p w14:paraId="05241150" w14:textId="77777777" w:rsidR="00171AA8" w:rsidRPr="00731FE2" w:rsidRDefault="007935AB" w:rsidP="007832E7">
            <w:pPr>
              <w:pStyle w:val="a3"/>
              <w:numPr>
                <w:ilvl w:val="0"/>
                <w:numId w:val="88"/>
              </w:numPr>
              <w:pBdr>
                <w:top w:val="none" w:sz="4" w:space="0" w:color="000000"/>
                <w:left w:val="none" w:sz="4" w:space="0" w:color="000000"/>
                <w:bottom w:val="none" w:sz="4" w:space="0" w:color="000000"/>
                <w:right w:val="none" w:sz="4" w:space="0" w:color="000000"/>
              </w:pBdr>
              <w:ind w:left="136" w:hanging="136"/>
              <w:jc w:val="left"/>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lastRenderedPageBreak/>
              <w:t xml:space="preserve">благоустройство прогулочных маршрутов в зеленом поясе на севере </w:t>
            </w:r>
            <w:r w:rsidRPr="00731FE2">
              <w:rPr>
                <w:rFonts w:ascii="Times New Roman" w:eastAsia="Times New Roman" w:hAnsi="Times New Roman" w:cs="Times New Roman"/>
                <w:color w:val="000000"/>
                <w:sz w:val="22"/>
              </w:rPr>
              <w:lastRenderedPageBreak/>
              <w:t>города;</w:t>
            </w:r>
          </w:p>
          <w:p w14:paraId="53B8F06B" w14:textId="77777777" w:rsidR="00171AA8" w:rsidRPr="00731FE2" w:rsidRDefault="007935AB" w:rsidP="007832E7">
            <w:pPr>
              <w:pStyle w:val="a3"/>
              <w:numPr>
                <w:ilvl w:val="0"/>
                <w:numId w:val="88"/>
              </w:numPr>
              <w:pBdr>
                <w:top w:val="none" w:sz="4" w:space="0" w:color="000000"/>
                <w:left w:val="none" w:sz="4" w:space="0" w:color="000000"/>
                <w:bottom w:val="none" w:sz="4" w:space="0" w:color="000000"/>
                <w:right w:val="none" w:sz="4" w:space="0" w:color="000000"/>
              </w:pBdr>
              <w:ind w:left="136" w:hanging="136"/>
              <w:jc w:val="left"/>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благоустройство набережных на периферии;</w:t>
            </w:r>
          </w:p>
          <w:p w14:paraId="78EC2836" w14:textId="77777777" w:rsidR="00171AA8" w:rsidRPr="00731FE2" w:rsidRDefault="007935AB" w:rsidP="007832E7">
            <w:pPr>
              <w:pStyle w:val="a3"/>
              <w:numPr>
                <w:ilvl w:val="0"/>
                <w:numId w:val="88"/>
              </w:numPr>
              <w:pBdr>
                <w:top w:val="none" w:sz="4" w:space="0" w:color="000000"/>
                <w:left w:val="none" w:sz="4" w:space="0" w:color="000000"/>
                <w:bottom w:val="none" w:sz="4" w:space="0" w:color="000000"/>
                <w:right w:val="none" w:sz="4" w:space="0" w:color="000000"/>
              </w:pBdr>
              <w:ind w:left="136" w:hanging="136"/>
              <w:jc w:val="left"/>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 xml:space="preserve"> благоустройство парков на периферии города.</w:t>
            </w:r>
          </w:p>
        </w:tc>
        <w:tc>
          <w:tcPr>
            <w:tcW w:w="2322" w:type="dxa"/>
          </w:tcPr>
          <w:p w14:paraId="16CF9CAD" w14:textId="77777777" w:rsidR="00171AA8" w:rsidRPr="00731FE2" w:rsidRDefault="007935AB" w:rsidP="007832E7">
            <w:pPr>
              <w:pStyle w:val="a3"/>
              <w:numPr>
                <w:ilvl w:val="0"/>
                <w:numId w:val="88"/>
              </w:numPr>
              <w:pBdr>
                <w:top w:val="none" w:sz="4" w:space="0" w:color="000000"/>
                <w:left w:val="none" w:sz="4" w:space="0" w:color="000000"/>
                <w:bottom w:val="none" w:sz="4" w:space="0" w:color="000000"/>
                <w:right w:val="none" w:sz="4" w:space="0" w:color="000000"/>
              </w:pBdr>
              <w:ind w:left="136" w:hanging="136"/>
              <w:jc w:val="left"/>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lastRenderedPageBreak/>
              <w:t xml:space="preserve"> реконструкция мостов и устройство площадок для отдыха на р. Белой;</w:t>
            </w:r>
          </w:p>
          <w:p w14:paraId="35BA5278" w14:textId="77777777" w:rsidR="00171AA8" w:rsidRPr="00731FE2" w:rsidRDefault="007935AB" w:rsidP="007832E7">
            <w:pPr>
              <w:pStyle w:val="a3"/>
              <w:numPr>
                <w:ilvl w:val="0"/>
                <w:numId w:val="88"/>
              </w:numPr>
              <w:pBdr>
                <w:top w:val="none" w:sz="4" w:space="0" w:color="000000"/>
                <w:left w:val="none" w:sz="4" w:space="0" w:color="000000"/>
                <w:bottom w:val="none" w:sz="4" w:space="0" w:color="000000"/>
                <w:right w:val="none" w:sz="4" w:space="0" w:color="000000"/>
              </w:pBdr>
              <w:ind w:left="136" w:hanging="136"/>
              <w:jc w:val="left"/>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lastRenderedPageBreak/>
              <w:t>предотвращение эрозии в руслах рек;</w:t>
            </w:r>
          </w:p>
          <w:p w14:paraId="47FA9338" w14:textId="77777777" w:rsidR="00171AA8" w:rsidRPr="00731FE2" w:rsidRDefault="007935AB" w:rsidP="007832E7">
            <w:pPr>
              <w:pStyle w:val="a3"/>
              <w:numPr>
                <w:ilvl w:val="0"/>
                <w:numId w:val="88"/>
              </w:numPr>
              <w:pBdr>
                <w:top w:val="none" w:sz="4" w:space="0" w:color="000000"/>
                <w:left w:val="none" w:sz="4" w:space="0" w:color="000000"/>
                <w:bottom w:val="none" w:sz="4" w:space="0" w:color="000000"/>
                <w:right w:val="none" w:sz="4" w:space="0" w:color="000000"/>
              </w:pBdr>
              <w:ind w:left="136" w:hanging="136"/>
              <w:jc w:val="left"/>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корректировка профиля в руслах рек, устройство порогов в руслах рек выше города по течению.</w:t>
            </w:r>
          </w:p>
        </w:tc>
      </w:tr>
    </w:tbl>
    <w:p w14:paraId="494C41D9" w14:textId="77777777" w:rsidR="00171AA8" w:rsidRPr="00731FE2" w:rsidRDefault="00171AA8">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p>
    <w:p w14:paraId="0D86FFDF"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xml:space="preserve">Одним из важных элементов в обеспечении успешности туристического направления служит </w:t>
      </w:r>
      <w:r w:rsidRPr="00731FE2">
        <w:rPr>
          <w:rFonts w:ascii="Times New Roman" w:hAnsi="Times New Roman" w:cs="Times New Roman"/>
          <w:b/>
          <w:bCs/>
          <w:color w:val="000000" w:themeColor="text1"/>
        </w:rPr>
        <w:t xml:space="preserve">современный и профессиональный государственный орган, ответственный за управление развитием туризма, разработку туристического продукта и продвижение туристического направления. </w:t>
      </w:r>
    </w:p>
    <w:p w14:paraId="0F12BFEB"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xml:space="preserve">Кисловодску требуется создание профессиональной организации по развитию и продвижению Кисловодска как современного города-курорта на базе существующего Управления по курорту и туризму и в рамках существующей организационной структуры городской администрации. Такая организация должна иметь современную организационную структуру с несколькими независимыми подразделениями по направлениям развития. Организация также может быть создана в партнерстве с другими туристическими направлениями и компаниями туристической отрасли СКФО. </w:t>
      </w:r>
    </w:p>
    <w:p w14:paraId="5D594CCC"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b/>
          <w:bCs/>
          <w:color w:val="000000" w:themeColor="text1"/>
        </w:rPr>
        <w:t xml:space="preserve">Международный медицинский кластер (ММК) </w:t>
      </w:r>
      <w:r w:rsidRPr="00731FE2">
        <w:rPr>
          <w:rFonts w:ascii="Times New Roman" w:hAnsi="Times New Roman" w:cs="Times New Roman"/>
          <w:color w:val="000000" w:themeColor="text1"/>
        </w:rPr>
        <w:t>– это совокупность различных организаций (клиник, отелей, ресторанов, турагентств, банков, страховых и транспортных компаний и пр.), которая создается для развития медицинского туризма, высокотехнологичной медицинской помощи, расширения научно-образовательной деятельности в сфере охраны здоровья, в том числе проведения общероссийских и международных исследований, а также в целях активизации делового партнерства между странами, регионами, городами. Организация также будет способствовать росту привлекательности города с точки зрения спортивного туризма путем развития организаций, готовых оказать спортсменам необходимую квалифицированную медицинскую помощь (например, в случае получения специфических травм), а также сопутствующие услуги (например, функциональное тестирование на высокотехнологическом оборудовании).</w:t>
      </w:r>
    </w:p>
    <w:p w14:paraId="45E41150"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xml:space="preserve">Сегодня Кисловодск предлагает ряд известных на региональном и национальном уровне массовых мероприятий («Шаляпинские сезоны», «Гостеприимный Кисловодск» и пр.), однако их масштаб, посещаемость и уровень проведения недостаточны для того, чтобы они могли служить самостоятельными поводами для посещения города-курорта. Для привлечения новых групп целевой аудитории и роста общего числа ночевок туристов в Кисловодске </w:t>
      </w:r>
      <w:r w:rsidRPr="00731FE2">
        <w:rPr>
          <w:rFonts w:ascii="Times New Roman" w:hAnsi="Times New Roman" w:cs="Times New Roman"/>
          <w:b/>
          <w:bCs/>
          <w:color w:val="000000" w:themeColor="text1"/>
        </w:rPr>
        <w:t xml:space="preserve">рекомендуется как развитие уже существующей событийной программы, так и организация новых знаковых массовых мероприятий. </w:t>
      </w:r>
      <w:r w:rsidRPr="00731FE2">
        <w:rPr>
          <w:rFonts w:ascii="Times New Roman" w:hAnsi="Times New Roman" w:cs="Times New Roman"/>
          <w:color w:val="000000" w:themeColor="text1"/>
        </w:rPr>
        <w:t xml:space="preserve">Важно обеспечить ежегодное проведение таких мероприятий, по возможности – в январе-марте, когда заполняемость средств размещения снижается и когда именно знаковые события могут стать самостоятельным поводом для поездки. </w:t>
      </w:r>
    </w:p>
    <w:p w14:paraId="597916C8"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 xml:space="preserve">С учетом роста туристического потока и совокупного числа ночевок туристов </w:t>
      </w:r>
      <w:r w:rsidRPr="00731FE2">
        <w:rPr>
          <w:rFonts w:ascii="Times New Roman" w:hAnsi="Times New Roman" w:cs="Times New Roman"/>
          <w:b/>
          <w:bCs/>
          <w:color w:val="000000" w:themeColor="text1"/>
        </w:rPr>
        <w:t>Кисловодску потребуется создание дополнительных средств размещения.</w:t>
      </w:r>
      <w:r w:rsidRPr="00731FE2">
        <w:rPr>
          <w:rFonts w:ascii="Times New Roman" w:hAnsi="Times New Roman" w:cs="Times New Roman"/>
          <w:color w:val="000000" w:themeColor="text1"/>
        </w:rPr>
        <w:t xml:space="preserve"> Наиболее </w:t>
      </w:r>
      <w:r w:rsidRPr="00731FE2">
        <w:rPr>
          <w:rFonts w:ascii="Times New Roman" w:hAnsi="Times New Roman" w:cs="Times New Roman"/>
          <w:color w:val="000000" w:themeColor="text1"/>
        </w:rPr>
        <w:lastRenderedPageBreak/>
        <w:t>предпочтительно строительство новых отелей и гостиниц комфорт- и бизнес-класса в туристической зоне города, а также вблизи планируемых к созданию аттракторов национального масштаба. Участки перспективного строительства должны быть отражены на единой карте с указанием предпочтительного формата средств размещения – типа и класса обслуживания. Карта может быть предоставлена потенциальным инвесторам, заинтересованным в создании новых средств размещения.</w:t>
      </w:r>
    </w:p>
    <w:p w14:paraId="156BE601"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b/>
          <w:bCs/>
          <w:color w:val="000000" w:themeColor="text1"/>
        </w:rPr>
        <w:t xml:space="preserve">Аквакомплекс </w:t>
      </w:r>
      <w:r w:rsidRPr="00731FE2">
        <w:rPr>
          <w:rFonts w:ascii="Times New Roman" w:hAnsi="Times New Roman" w:cs="Times New Roman"/>
          <w:color w:val="000000" w:themeColor="text1"/>
        </w:rPr>
        <w:t xml:space="preserve">– это современный центр водных развлечений и активного отдыха. Создание аквакомплекса обусловлено отсутствием в регионе досуговых объектов такого типа и выраженным запросом туристов и местных жителей на его создание. Рекомендуется создание масштабного объекта, так как он может стать центром притяжения не только для разных категорий туристов (родителей с детьми, спа-туристов, туристов, приезжающих в целях оздоровления, деловых и пр.), но и для горожан. </w:t>
      </w:r>
    </w:p>
    <w:p w14:paraId="676364B1"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b/>
          <w:bCs/>
          <w:color w:val="000000" w:themeColor="text1"/>
        </w:rPr>
        <w:t xml:space="preserve">Конференц-центр </w:t>
      </w:r>
      <w:r w:rsidRPr="00731FE2">
        <w:rPr>
          <w:rFonts w:ascii="Times New Roman" w:hAnsi="Times New Roman" w:cs="Times New Roman"/>
          <w:color w:val="000000" w:themeColor="text1"/>
        </w:rPr>
        <w:t xml:space="preserve">позволит привлечь в Кисловодск деловых туристов, являющихся сравнительно новой для города целевой аудиторией. Спрос на проведение деловых мероприятий в Кисловодске растет, однако отсутствие инфраструктуры для их про ведения препятствует развитию делового туризма. </w:t>
      </w:r>
    </w:p>
    <w:p w14:paraId="6B1ABA35"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Пространственные и организационные мероприятия мастер-плана г. Кисловодска направлены на расширение возможностей для отдыха и досуга горожан и туристов и привлечение новых групп отдыхающих, а также обеспечение комфортного пребывания пользователей в открытых общественных пространствах в любое время года.</w:t>
      </w:r>
    </w:p>
    <w:p w14:paraId="7B667045"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b/>
          <w:bCs/>
          <w:color w:val="000000" w:themeColor="text1"/>
        </w:rPr>
        <w:t>Создание новых станций канатной дороги.</w:t>
      </w:r>
      <w:r w:rsidRPr="00731FE2">
        <w:rPr>
          <w:rFonts w:ascii="Times New Roman" w:hAnsi="Times New Roman" w:cs="Times New Roman"/>
          <w:color w:val="000000" w:themeColor="text1"/>
        </w:rPr>
        <w:t xml:space="preserve"> Существующую канатную дорогу предлагается реконструировать и дополнить двумя новыми (нижними) станциями в туристической зоне города. Это улучшит доступность центральной части Национального парка, где находятся верхние станции дороги, а также повысит туристическую привлекательность как парка, так и города в целом.</w:t>
      </w:r>
    </w:p>
    <w:p w14:paraId="23EE125C"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b/>
          <w:bCs/>
          <w:color w:val="000000" w:themeColor="text1"/>
        </w:rPr>
        <w:t xml:space="preserve">Благоустройство исторической зоны. </w:t>
      </w:r>
      <w:r w:rsidRPr="00731FE2">
        <w:rPr>
          <w:rFonts w:ascii="Times New Roman" w:hAnsi="Times New Roman" w:cs="Times New Roman"/>
          <w:color w:val="000000" w:themeColor="text1"/>
        </w:rPr>
        <w:t xml:space="preserve">Привлекательная историческая зона в центре призвана повысить ценность Кисловодска как туристического направления. Существующая туристическая зона ограничена несколькими улицами вблизи основных достопримечательностей и нуждается в расширении. В рамках мероприятия рекомендуется провести комплексное благоустройство привлекательных для туристов территорий и реставрацию фасадов зданий, представляющих архитектурную ценность. </w:t>
      </w:r>
    </w:p>
    <w:p w14:paraId="7F4320AB"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b/>
          <w:bCs/>
          <w:color w:val="000000" w:themeColor="text1"/>
        </w:rPr>
        <w:t xml:space="preserve">Создание сети туристско-информационных центров (ТИЦ). </w:t>
      </w:r>
      <w:r w:rsidRPr="00731FE2">
        <w:rPr>
          <w:rFonts w:ascii="Times New Roman" w:hAnsi="Times New Roman" w:cs="Times New Roman"/>
          <w:color w:val="000000" w:themeColor="text1"/>
        </w:rPr>
        <w:t>Развитие туризма в Кисловодске требует формирования сети сервисных объектов, основной целью которых станет предоставление информации о местных туристических продуктах, достопримечательностях Кисловодска и всего Северного Кавказа, основных туристических маршрутах, событийной программе города и пр. Также в функционал ТИЦ может входить распространение информационных материалов для туристов, продажа сувениров или местной продукции.</w:t>
      </w:r>
    </w:p>
    <w:p w14:paraId="4D494ABD"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b/>
          <w:bCs/>
          <w:color w:val="000000" w:themeColor="text1"/>
        </w:rPr>
        <w:t>Создание площадки для проведения массовых мероприятий.</w:t>
      </w:r>
      <w:r w:rsidRPr="00731FE2">
        <w:rPr>
          <w:rFonts w:ascii="Times New Roman" w:hAnsi="Times New Roman" w:cs="Times New Roman"/>
          <w:color w:val="000000" w:themeColor="text1"/>
        </w:rPr>
        <w:t xml:space="preserve"> Современная и комфортная площадка для про ведения массовых мероприятий необходима Кисловодску, чтобы расширять аудиторию и масштаб проведения существующих мероприятий, которые уже пользуются популярностью, а также создавать новые с целью повысить узнаваемость и привлекательность Кисловодска как туристического направления.</w:t>
      </w:r>
    </w:p>
    <w:p w14:paraId="0FC51000" w14:textId="77777777" w:rsidR="00171AA8" w:rsidRPr="00731FE2" w:rsidRDefault="007935AB">
      <w:pPr>
        <w:pStyle w:val="33"/>
        <w:rPr>
          <w:rFonts w:ascii="Times New Roman" w:hAnsi="Times New Roman" w:cs="Times New Roman"/>
        </w:rPr>
      </w:pPr>
      <w:bookmarkStart w:id="71" w:name="_Toc177392822"/>
      <w:r w:rsidRPr="00731FE2">
        <w:rPr>
          <w:rFonts w:ascii="Times New Roman" w:hAnsi="Times New Roman" w:cs="Times New Roman"/>
        </w:rPr>
        <w:t>3.6.4 Промышленность</w:t>
      </w:r>
      <w:bookmarkEnd w:id="71"/>
    </w:p>
    <w:p w14:paraId="16039397"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lastRenderedPageBreak/>
        <w:t xml:space="preserve">Отраслевая структура промышленного производства будет формироваться на основе перепрофилирования и модернизации старых производств, имеющих резервные конкурентоспособные мощности. </w:t>
      </w:r>
    </w:p>
    <w:p w14:paraId="2241B530"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В проектируемом периоде приоритетными направлениями развития промышленности городского округа являются:</w:t>
      </w:r>
    </w:p>
    <w:p w14:paraId="4DD0C828" w14:textId="77777777" w:rsidR="00171AA8" w:rsidRPr="00731FE2" w:rsidRDefault="007935AB" w:rsidP="007832E7">
      <w:pPr>
        <w:pStyle w:val="a3"/>
        <w:numPr>
          <w:ilvl w:val="0"/>
          <w:numId w:val="98"/>
        </w:num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пищевая промышленность;</w:t>
      </w:r>
    </w:p>
    <w:p w14:paraId="5D9B7894" w14:textId="77777777" w:rsidR="00171AA8" w:rsidRPr="00731FE2" w:rsidRDefault="007935AB" w:rsidP="007832E7">
      <w:pPr>
        <w:pStyle w:val="a3"/>
        <w:numPr>
          <w:ilvl w:val="0"/>
          <w:numId w:val="98"/>
        </w:num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производство сувениров и туристической символики;</w:t>
      </w:r>
    </w:p>
    <w:p w14:paraId="306D9BA2" w14:textId="77777777" w:rsidR="00171AA8" w:rsidRPr="00731FE2" w:rsidRDefault="007935AB" w:rsidP="007832E7">
      <w:pPr>
        <w:pStyle w:val="a3"/>
        <w:numPr>
          <w:ilvl w:val="0"/>
          <w:numId w:val="98"/>
        </w:num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полиграфия;</w:t>
      </w:r>
    </w:p>
    <w:p w14:paraId="77F875D5" w14:textId="77777777" w:rsidR="00171AA8" w:rsidRPr="00731FE2" w:rsidRDefault="007935AB" w:rsidP="007832E7">
      <w:pPr>
        <w:pStyle w:val="a3"/>
        <w:numPr>
          <w:ilvl w:val="0"/>
          <w:numId w:val="98"/>
        </w:num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швейное производство.</w:t>
      </w:r>
    </w:p>
    <w:p w14:paraId="11CD605F"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Также представляется целесообразным рекомендовать развитие в городе косметической фармакологии на базе применения природных целебных вод и грязей (по аналогии с соответствующей косметической промышленностью, выпускающей кремы, пасты, гели и проч. на основе использования бальнеологических ресурсов Мертвого моря).</w:t>
      </w:r>
    </w:p>
    <w:p w14:paraId="0EF6D6E2"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Возможности развития промышленного производства в округе связаны с существующими инвестиционными площадками и проектами, а также с вовлечением в оборот территории недействующих в настоящее время промышленных предприятий, которые в достаточной степени обеспечены необходимыми для развития производства площадями (в ряде случаев и технологическим оборудованием), а также инженерной инфраструктурой. Эти возможности имеют высокие шансы на реализацию промышленных инвестиционных проектов при условии привлечения инвесторов со стороны органов муниципального управления округом.</w:t>
      </w:r>
    </w:p>
    <w:p w14:paraId="2E9E62AF"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Согласно Стратегии социально-экономического развития Северо-Кавказского федерального округа на период до 2030 г. развитие промышленности регионов, рассматривается как одно из приоритетных направлений для решения задачи повышения производительности труда, развития малого и среднего бизнеса и поддержки занятости населения.</w:t>
      </w:r>
    </w:p>
    <w:p w14:paraId="0D3CB176"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b/>
          <w:bCs/>
          <w:color w:val="000000" w:themeColor="text1"/>
        </w:rPr>
      </w:pPr>
      <w:r w:rsidRPr="00731FE2">
        <w:rPr>
          <w:rFonts w:ascii="Times New Roman" w:hAnsi="Times New Roman" w:cs="Times New Roman"/>
          <w:b/>
          <w:bCs/>
          <w:color w:val="000000" w:themeColor="text1"/>
        </w:rPr>
        <w:t>Приоритетными направлениями развития промышленности являются:</w:t>
      </w:r>
    </w:p>
    <w:p w14:paraId="6C70C632" w14:textId="77777777" w:rsidR="00171AA8" w:rsidRPr="00731FE2" w:rsidRDefault="007935AB" w:rsidP="007832E7">
      <w:pPr>
        <w:pStyle w:val="a3"/>
        <w:numPr>
          <w:ilvl w:val="0"/>
          <w:numId w:val="99"/>
        </w:num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обеспечение доступа ко льготным финансово-кредитным ресурсам при реализации инвестиционных проектов;</w:t>
      </w:r>
    </w:p>
    <w:p w14:paraId="3D704D32" w14:textId="77777777" w:rsidR="00171AA8" w:rsidRPr="00731FE2" w:rsidRDefault="007935AB" w:rsidP="007832E7">
      <w:pPr>
        <w:pStyle w:val="a3"/>
        <w:numPr>
          <w:ilvl w:val="0"/>
          <w:numId w:val="99"/>
        </w:num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развитие малых и средних производств за счет создания инвестиционных площадок и индустриальных парков;</w:t>
      </w:r>
    </w:p>
    <w:p w14:paraId="184E59B3" w14:textId="77777777" w:rsidR="00171AA8" w:rsidRPr="00731FE2" w:rsidRDefault="007935AB" w:rsidP="007832E7">
      <w:pPr>
        <w:pStyle w:val="a3"/>
        <w:numPr>
          <w:ilvl w:val="0"/>
          <w:numId w:val="99"/>
        </w:num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реализация крупных проектов в промышленности, обеспечивающих значительный эффект для развития экономики и повышения бюджетной устойчивости;</w:t>
      </w:r>
    </w:p>
    <w:p w14:paraId="10D3D609" w14:textId="77777777" w:rsidR="00171AA8" w:rsidRPr="00731FE2" w:rsidRDefault="007935AB" w:rsidP="007832E7">
      <w:pPr>
        <w:pStyle w:val="a3"/>
        <w:numPr>
          <w:ilvl w:val="0"/>
          <w:numId w:val="99"/>
        </w:num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модернизация и диверсификация имеющихся предприятий;</w:t>
      </w:r>
    </w:p>
    <w:p w14:paraId="29C6DEFA" w14:textId="77777777" w:rsidR="00171AA8" w:rsidRPr="00731FE2" w:rsidRDefault="007935AB" w:rsidP="007832E7">
      <w:pPr>
        <w:pStyle w:val="a3"/>
        <w:numPr>
          <w:ilvl w:val="0"/>
          <w:numId w:val="99"/>
        </w:num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развитие кадрового потенциала промышленности.</w:t>
      </w:r>
    </w:p>
    <w:p w14:paraId="4D64F024"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В числе основных мер, направленных на модернизацию и создание новых предприятий обрабатывающей промышленности, можно выделить следующие:</w:t>
      </w:r>
    </w:p>
    <w:p w14:paraId="345D6E52" w14:textId="77777777" w:rsidR="00171AA8" w:rsidRPr="00731FE2" w:rsidRDefault="007935AB" w:rsidP="007832E7">
      <w:pPr>
        <w:pStyle w:val="a3"/>
        <w:numPr>
          <w:ilvl w:val="0"/>
          <w:numId w:val="100"/>
        </w:num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широкое информирование бизнеса о мерах государственной поддержки развития промышленности;</w:t>
      </w:r>
    </w:p>
    <w:p w14:paraId="7F5E0013" w14:textId="77777777" w:rsidR="00171AA8" w:rsidRPr="00731FE2" w:rsidRDefault="007935AB" w:rsidP="007832E7">
      <w:pPr>
        <w:pStyle w:val="a3"/>
        <w:numPr>
          <w:ilvl w:val="0"/>
          <w:numId w:val="100"/>
        </w:num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деятельность региональных институтов развития - региональных фондов развития промышленности для осуществления финансирования инвестиционных проектов промышленных предприятий совместно с Фондом развития промышленности;</w:t>
      </w:r>
    </w:p>
    <w:p w14:paraId="5435D342" w14:textId="77777777" w:rsidR="00171AA8" w:rsidRPr="00731FE2" w:rsidRDefault="007935AB" w:rsidP="007832E7">
      <w:pPr>
        <w:pStyle w:val="a3"/>
        <w:numPr>
          <w:ilvl w:val="0"/>
          <w:numId w:val="100"/>
        </w:num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развитие объектов региональной промышленной инфраструктуры - индустриальных (промышленных) парков и промышленных технопарков;</w:t>
      </w:r>
    </w:p>
    <w:p w14:paraId="2FF67CA5" w14:textId="77777777" w:rsidR="00171AA8" w:rsidRPr="00731FE2" w:rsidRDefault="007935AB" w:rsidP="007832E7">
      <w:pPr>
        <w:pStyle w:val="a3"/>
        <w:numPr>
          <w:ilvl w:val="0"/>
          <w:numId w:val="100"/>
        </w:num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lastRenderedPageBreak/>
        <w:t>развитие региональных и межрегиональных промышленных кластеров (в том числе в рамках добровольной легализации), а также других форм промышленной кооперации;</w:t>
      </w:r>
    </w:p>
    <w:p w14:paraId="1E188E79" w14:textId="77777777" w:rsidR="00171AA8" w:rsidRPr="00731FE2" w:rsidRDefault="007935AB" w:rsidP="007832E7">
      <w:pPr>
        <w:pStyle w:val="a3"/>
        <w:numPr>
          <w:ilvl w:val="0"/>
          <w:numId w:val="100"/>
        </w:num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реализация на территории Северо-Кавказского федерального округа мероприятий национальных проектов</w:t>
      </w:r>
      <w:r w:rsidRPr="00731FE2">
        <w:rPr>
          <w:rFonts w:ascii="Times New Roman" w:hAnsi="Times New Roman" w:cs="Times New Roman"/>
        </w:rPr>
        <w:t xml:space="preserve"> «Производительность труда»</w:t>
      </w:r>
      <w:r w:rsidRPr="00731FE2">
        <w:rPr>
          <w:rFonts w:ascii="Times New Roman" w:hAnsi="Times New Roman" w:cs="Times New Roman"/>
          <w:color w:val="000000" w:themeColor="text1"/>
        </w:rPr>
        <w:t>,</w:t>
      </w:r>
      <w:r w:rsidRPr="00731FE2">
        <w:rPr>
          <w:rFonts w:ascii="Times New Roman" w:hAnsi="Times New Roman" w:cs="Times New Roman"/>
        </w:rPr>
        <w:t xml:space="preserve"> «Малое и среднее предпринимательство и поддержка индивидуальной предпринимательской инициативы»</w:t>
      </w:r>
      <w:r w:rsidRPr="00731FE2">
        <w:rPr>
          <w:rFonts w:ascii="Times New Roman" w:hAnsi="Times New Roman" w:cs="Times New Roman"/>
          <w:color w:val="000000" w:themeColor="text1"/>
        </w:rPr>
        <w:t>,</w:t>
      </w:r>
      <w:r w:rsidRPr="00731FE2">
        <w:rPr>
          <w:rFonts w:ascii="Times New Roman" w:hAnsi="Times New Roman" w:cs="Times New Roman"/>
        </w:rPr>
        <w:t xml:space="preserve"> «Международная кооперация и экспорт»</w:t>
      </w:r>
      <w:r w:rsidRPr="00731FE2">
        <w:rPr>
          <w:rFonts w:ascii="Times New Roman" w:hAnsi="Times New Roman" w:cs="Times New Roman"/>
          <w:color w:val="000000" w:themeColor="text1"/>
        </w:rPr>
        <w:t>.</w:t>
      </w:r>
    </w:p>
    <w:p w14:paraId="2F1E8B34"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Значительное влияние на развитие промышленности окажет реализация системных мер по созданию территорий с особыми режимами хозяйственной деятельности, улучшение доступа бизнеса к финансово-кредитным ресурсам.</w:t>
      </w:r>
    </w:p>
    <w:p w14:paraId="41CF1C29"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Для реализации крупных инвестиционных проектов необходимо принятие специальных (индивидуальных) решений по государственной поддержке создания транспортной, энергетической и другой инженерной инфраструктуры.</w:t>
      </w:r>
    </w:p>
    <w:p w14:paraId="41783BAB"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hAnsi="Times New Roman" w:cs="Times New Roman"/>
          <w:color w:val="000000" w:themeColor="text1"/>
        </w:rPr>
        <w:t>Важным элементом развития промышленности должны стать внедрение принципов устойчивого природопользования, внедрение систем экологического и социального менеджмента на основе международных стандартов.</w:t>
      </w:r>
    </w:p>
    <w:p w14:paraId="3C95E2BE" w14:textId="77777777" w:rsidR="00171AA8" w:rsidRPr="00731FE2" w:rsidRDefault="00171AA8">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p>
    <w:p w14:paraId="5D2861C6" w14:textId="77777777" w:rsidR="00171AA8" w:rsidRPr="00731FE2" w:rsidRDefault="007935AB">
      <w:pPr>
        <w:pStyle w:val="24"/>
        <w:rPr>
          <w:rFonts w:ascii="Times New Roman" w:hAnsi="Times New Roman" w:cs="Times New Roman"/>
        </w:rPr>
      </w:pPr>
      <w:bookmarkStart w:id="72" w:name="_Toc177392823"/>
      <w:r w:rsidRPr="00731FE2">
        <w:rPr>
          <w:rFonts w:ascii="Times New Roman" w:hAnsi="Times New Roman" w:cs="Times New Roman"/>
        </w:rPr>
        <w:t>3.7 Предложения по развитию транспортной инфраструктуры</w:t>
      </w:r>
      <w:bookmarkEnd w:id="72"/>
    </w:p>
    <w:p w14:paraId="713BBF18"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rPr>
      </w:pPr>
      <w:r w:rsidRPr="00731FE2">
        <w:rPr>
          <w:rFonts w:ascii="Times New Roman" w:eastAsia="Times New Roman" w:hAnsi="Times New Roman" w:cs="Times New Roman"/>
          <w:color w:val="000000"/>
        </w:rPr>
        <w:t>Развитие транспортно-дорожной инфраструктуры неразрывно связано с проектированием внетранспортных объектов, в т.ч. объектов жилищного, производственного, коммунально-бытового характера, социальной инфраструктуры, объекты сферы обслуживания населения.</w:t>
      </w:r>
    </w:p>
    <w:p w14:paraId="1C1EF794"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hAnsi="Times New Roman" w:cs="Times New Roman"/>
        </w:rPr>
      </w:pPr>
      <w:r w:rsidRPr="00731FE2">
        <w:rPr>
          <w:rFonts w:ascii="Times New Roman" w:eastAsia="Times New Roman" w:hAnsi="Times New Roman" w:cs="Times New Roman"/>
          <w:color w:val="000000"/>
        </w:rPr>
        <w:t>Нормативы градостроительного проектирования Ставропольского края предусматривают размещение тех или иных социально-экономических объектов в увязке с их территориальной (в т. ч. транспортной) доступностью</w:t>
      </w:r>
      <w:r w:rsidRPr="00731FE2">
        <w:rPr>
          <w:rStyle w:val="afb"/>
          <w:rFonts w:ascii="Times New Roman" w:eastAsia="Times New Roman" w:hAnsi="Times New Roman" w:cs="Times New Roman"/>
          <w:vertAlign w:val="superscript"/>
        </w:rPr>
        <w:footnoteReference w:id="112"/>
      </w:r>
      <w:r w:rsidRPr="00731FE2">
        <w:rPr>
          <w:rFonts w:ascii="Times New Roman" w:eastAsia="Times New Roman" w:hAnsi="Times New Roman" w:cs="Times New Roman"/>
          <w:color w:val="000000"/>
        </w:rPr>
        <w:t>. Городской округ город-курорт Кисловодск расположен в районе Кавказских Минеральных Вод с относительно плотной сетью автомобильных и железных дорог общего пользования. Базовым показателем территориальной доступности является временной показатель доступности до объектов эпизодического пользования. Для Ставропольской зоны и зоны КМВ, в т.ч. для города-курорта Кисловодска данный показатель понижен ввиду меньшей площади и большего развития транспортной инфраструктуры.</w:t>
      </w:r>
    </w:p>
    <w:p w14:paraId="6B0CA5FB" w14:textId="77777777" w:rsidR="00171AA8" w:rsidRPr="00731FE2" w:rsidRDefault="007935AB">
      <w:pPr>
        <w:pStyle w:val="33"/>
        <w:rPr>
          <w:rFonts w:ascii="Times New Roman" w:hAnsi="Times New Roman" w:cs="Times New Roman"/>
        </w:rPr>
      </w:pPr>
      <w:bookmarkStart w:id="73" w:name="_Toc177392824"/>
      <w:r w:rsidRPr="00731FE2">
        <w:rPr>
          <w:rFonts w:ascii="Times New Roman" w:hAnsi="Times New Roman" w:cs="Times New Roman"/>
        </w:rPr>
        <w:t>3.7.1 Внешний транспорт</w:t>
      </w:r>
      <w:bookmarkEnd w:id="73"/>
    </w:p>
    <w:p w14:paraId="5F487762"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 xml:space="preserve">Основная цель развития транспортного комплекса – обеспечение потребностей населения и экономики региона. </w:t>
      </w:r>
    </w:p>
    <w:p w14:paraId="7A18C556"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Схемой территориального планирования РФ в области федерального транспорта (железнодорожного, воздушного, морского, внутреннего водного транспорта) и автомобильных дорог федерального значения предусмотрено 4 мероприятия (представлены в главе 4 настоящего тома Генерального плана).</w:t>
      </w:r>
    </w:p>
    <w:p w14:paraId="2357732C" w14:textId="77777777" w:rsidR="00171AA8" w:rsidRPr="00731FE2" w:rsidRDefault="007935AB">
      <w:pPr>
        <w:pBdr>
          <w:top w:val="none" w:sz="4" w:space="0" w:color="000000"/>
          <w:left w:val="none" w:sz="4" w:space="0" w:color="000000"/>
          <w:bottom w:val="none" w:sz="4" w:space="0" w:color="000000"/>
          <w:right w:val="none" w:sz="4" w:space="0" w:color="000000"/>
        </w:pBdr>
      </w:pPr>
      <w:r w:rsidRPr="00731FE2">
        <w:rPr>
          <w:rFonts w:ascii="Times New Roman" w:eastAsia="Times New Roman" w:hAnsi="Times New Roman" w:cs="Times New Roman"/>
          <w:color w:val="000000" w:themeColor="text1"/>
          <w:szCs w:val="24"/>
        </w:rPr>
        <w:t>Дополнительно для повышения тра</w:t>
      </w:r>
      <w:r w:rsidRPr="00731FE2">
        <w:rPr>
          <w:rFonts w:ascii="Times New Roman" w:eastAsia="Times New Roman" w:hAnsi="Times New Roman" w:cs="Times New Roman"/>
          <w:color w:val="000000"/>
        </w:rPr>
        <w:t>нспортной доступности Кисловодска</w:t>
      </w:r>
      <w:r w:rsidRPr="00731FE2">
        <w:rPr>
          <w:rFonts w:ascii="Times New Roman" w:eastAsia="Times New Roman" w:hAnsi="Times New Roman" w:cs="Times New Roman"/>
          <w:color w:val="000000" w:themeColor="text1"/>
          <w:szCs w:val="24"/>
        </w:rPr>
        <w:t xml:space="preserve"> ориентировочно в 2024 г. закончатся работы по </w:t>
      </w:r>
      <w:r w:rsidRPr="00731FE2">
        <w:rPr>
          <w:rFonts w:ascii="Times New Roman" w:eastAsia="Times New Roman" w:hAnsi="Times New Roman" w:cs="Times New Roman"/>
          <w:color w:val="000000"/>
        </w:rPr>
        <w:t xml:space="preserve">организации специального маршрута </w:t>
      </w:r>
      <w:r w:rsidRPr="00731FE2">
        <w:rPr>
          <w:rFonts w:ascii="Times New Roman" w:eastAsia="Times New Roman" w:hAnsi="Times New Roman" w:cs="Times New Roman"/>
          <w:color w:val="000000"/>
        </w:rPr>
        <w:lastRenderedPageBreak/>
        <w:t>автобуса-шаттла от аэропорта Минеральные Воды до ж/д вокзала Минеральных Вод. С учетом пересадок время в пути составит 1 ч</w:t>
      </w:r>
      <w:r w:rsidRPr="00731FE2">
        <w:rPr>
          <w:rFonts w:ascii="Times New Roman" w:eastAsia="Times New Roman" w:hAnsi="Times New Roman" w:cs="Times New Roman"/>
          <w:color w:val="000000" w:themeColor="text1"/>
          <w:szCs w:val="24"/>
        </w:rPr>
        <w:t>ас</w:t>
      </w:r>
      <w:r w:rsidRPr="00731FE2">
        <w:rPr>
          <w:rFonts w:ascii="Times New Roman" w:eastAsia="Times New Roman" w:hAnsi="Times New Roman" w:cs="Times New Roman"/>
          <w:color w:val="000000" w:themeColor="text1"/>
          <w:szCs w:val="24"/>
          <w:vertAlign w:val="superscript"/>
        </w:rPr>
        <w:footnoteReference w:id="113"/>
      </w:r>
      <w:r w:rsidRPr="00731FE2">
        <w:rPr>
          <w:rFonts w:ascii="Times New Roman" w:eastAsia="Times New Roman" w:hAnsi="Times New Roman" w:cs="Times New Roman"/>
          <w:color w:val="000000" w:themeColor="text1"/>
          <w:szCs w:val="24"/>
        </w:rPr>
        <w:t>.</w:t>
      </w:r>
    </w:p>
    <w:p w14:paraId="6CEA2D6F" w14:textId="77777777" w:rsidR="00171AA8" w:rsidRPr="00731FE2" w:rsidRDefault="007935AB">
      <w:pPr>
        <w:pStyle w:val="33"/>
        <w:rPr>
          <w:rFonts w:ascii="Times New Roman" w:hAnsi="Times New Roman" w:cs="Times New Roman"/>
        </w:rPr>
      </w:pPr>
      <w:bookmarkStart w:id="74" w:name="_Toc177392825"/>
      <w:r w:rsidRPr="00731FE2">
        <w:rPr>
          <w:rFonts w:ascii="Times New Roman" w:hAnsi="Times New Roman" w:cs="Times New Roman"/>
        </w:rPr>
        <w:t>3.7.2 Улично-дорожная сеть</w:t>
      </w:r>
      <w:bookmarkEnd w:id="74"/>
    </w:p>
    <w:p w14:paraId="6EDDDBFB"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Развитие улично-дорожной сети предполагает строительство и реконструкции автомобильных дорог по территории городского округа города-курорта Кисловодска. Полный перечень мероприятий приведен в Положении о территориальном планировании настоящего Генерального плана.</w:t>
      </w:r>
    </w:p>
    <w:p w14:paraId="504D124F" w14:textId="77777777" w:rsidR="00171AA8" w:rsidRPr="00731FE2" w:rsidRDefault="007935AB">
      <w:pPr>
        <w:pStyle w:val="33"/>
        <w:rPr>
          <w:rFonts w:ascii="Times New Roman" w:hAnsi="Times New Roman" w:cs="Times New Roman"/>
        </w:rPr>
      </w:pPr>
      <w:bookmarkStart w:id="75" w:name="_Toc177392826"/>
      <w:r w:rsidRPr="00731FE2">
        <w:rPr>
          <w:rFonts w:ascii="Times New Roman" w:hAnsi="Times New Roman" w:cs="Times New Roman"/>
        </w:rPr>
        <w:t>3.7.3 Сеть общественного пассажирского транспорта</w:t>
      </w:r>
      <w:bookmarkEnd w:id="75"/>
    </w:p>
    <w:p w14:paraId="37C450B8" w14:textId="77777777" w:rsidR="00171AA8" w:rsidRPr="00731FE2" w:rsidRDefault="007935AB">
      <w:pPr>
        <w:pBdr>
          <w:top w:val="none" w:sz="4" w:space="0" w:color="000000"/>
          <w:left w:val="none" w:sz="4" w:space="0" w:color="000000"/>
          <w:bottom w:val="none" w:sz="4" w:space="0" w:color="000000"/>
          <w:right w:val="none" w:sz="4" w:space="0" w:color="000000"/>
        </w:pBdr>
      </w:pPr>
      <w:r w:rsidRPr="00731FE2">
        <w:rPr>
          <w:rFonts w:ascii="Times New Roman" w:eastAsia="Times New Roman" w:hAnsi="Times New Roman" w:cs="Times New Roman"/>
          <w:color w:val="000000"/>
        </w:rPr>
        <w:t>Стратегией пространственного развития Кисловодска до 2030 г. планируется оптимизация маршрутной сети, что повысит эффективность ее работы и позволит отменить малоиспользуемые конечные пункты при сохранении всех действующих остановок в радиусе пешеходной доступности от жилых домов. Таким образом после оптимизации количество подвижного состава составит 117 ед., маршрутов – 20 ед., маршрутов общественного транспорта после оптимизации – 3 лота, коэффициент дублирования маршрутов после оптимизации – 2,6.</w:t>
      </w:r>
    </w:p>
    <w:p w14:paraId="01596B87" w14:textId="77777777" w:rsidR="00171AA8" w:rsidRPr="00731FE2" w:rsidRDefault="007935AB">
      <w:pPr>
        <w:pBdr>
          <w:top w:val="none" w:sz="4" w:space="0" w:color="000000"/>
          <w:left w:val="none" w:sz="4" w:space="0" w:color="000000"/>
          <w:bottom w:val="none" w:sz="4" w:space="0" w:color="000000"/>
          <w:right w:val="none" w:sz="4" w:space="0" w:color="000000"/>
        </w:pBdr>
      </w:pPr>
      <w:r w:rsidRPr="00731FE2">
        <w:rPr>
          <w:rFonts w:ascii="Times New Roman" w:eastAsia="Times New Roman" w:hAnsi="Times New Roman" w:cs="Times New Roman"/>
          <w:color w:val="000000"/>
        </w:rPr>
        <w:t xml:space="preserve">В целях повышения транспортной доступности объектов в границах туристического центра и Национального парка «Кисловодский» к концу 2024 г. планируется организовать три специальных маршрута электрошаттла с использованием 1-2 транспортных средств на каждом маршруте с интервалом движения 30 мин. </w:t>
      </w:r>
    </w:p>
    <w:p w14:paraId="5E7ED4DC" w14:textId="77777777" w:rsidR="00171AA8" w:rsidRPr="00731FE2" w:rsidRDefault="007935AB">
      <w:pPr>
        <w:pBdr>
          <w:top w:val="none" w:sz="4" w:space="0" w:color="000000"/>
          <w:left w:val="none" w:sz="4" w:space="0" w:color="000000"/>
          <w:bottom w:val="none" w:sz="4" w:space="0" w:color="000000"/>
          <w:right w:val="none" w:sz="4" w:space="0" w:color="000000"/>
        </w:pBdr>
      </w:pPr>
      <w:r w:rsidRPr="00731FE2">
        <w:rPr>
          <w:rFonts w:ascii="Times New Roman" w:eastAsia="Times New Roman" w:hAnsi="Times New Roman" w:cs="Times New Roman"/>
          <w:color w:val="000000"/>
        </w:rPr>
        <w:t>На электрошаттле туристы и местные жители смогут комфортно передвигаться между ключевыми объектами притяжения и местами проживания. Кроме того, современный электрический подвижной состав будет обладать самостоятельным туристическим значением.</w:t>
      </w:r>
    </w:p>
    <w:p w14:paraId="42B8EC51" w14:textId="77777777" w:rsidR="00171AA8" w:rsidRPr="00731FE2" w:rsidRDefault="007935AB">
      <w:pPr>
        <w:rPr>
          <w:rFonts w:ascii="Times New Roman" w:hAnsi="Times New Roman" w:cs="Times New Roman"/>
          <w:color w:val="000000" w:themeColor="text1"/>
        </w:rPr>
      </w:pPr>
      <w:r w:rsidRPr="00731FE2">
        <w:rPr>
          <w:rFonts w:ascii="Times New Roman" w:eastAsia="Times New Roman" w:hAnsi="Times New Roman" w:cs="Times New Roman"/>
          <w:color w:val="000000"/>
        </w:rPr>
        <w:t>До 2025 г. будут модернизированы остановки в туристическом центре. За период 2024-2030 гг. будет организовано 238 новых остановок (таблица), которые и будут оборудованы крытыми павильонами для защиты от ветра, осадков и прямых солнечных лучей, оснащены табличками с расписанием и информацией о тарифах, маршрутной сети и пр. На всех конечных остановочных пунктах будет организована санитарная зона для водителей общественного транспорта.</w:t>
      </w:r>
    </w:p>
    <w:p w14:paraId="4B4EB00C" w14:textId="77777777" w:rsidR="00171AA8" w:rsidRPr="00731FE2" w:rsidRDefault="00171AA8">
      <w:pPr>
        <w:rPr>
          <w:rFonts w:ascii="Times New Roman" w:hAnsi="Times New Roman" w:cs="Times New Roman"/>
          <w:color w:val="000000" w:themeColor="text1"/>
        </w:rPr>
      </w:pPr>
    </w:p>
    <w:p w14:paraId="24C4A749" w14:textId="77777777" w:rsidR="00171AA8" w:rsidRPr="00731FE2" w:rsidRDefault="007935AB">
      <w:pPr>
        <w:ind w:firstLine="0"/>
        <w:jc w:val="center"/>
        <w:rPr>
          <w:rFonts w:ascii="Times New Roman" w:hAnsi="Times New Roman" w:cs="Times New Roman"/>
          <w:color w:val="000000" w:themeColor="text1"/>
        </w:rPr>
      </w:pPr>
      <w:r w:rsidRPr="00731FE2">
        <w:rPr>
          <w:noProof/>
          <w:lang w:eastAsia="ru-RU"/>
        </w:rPr>
        <w:lastRenderedPageBreak/>
        <w:drawing>
          <wp:inline distT="0" distB="0" distL="0" distR="0" wp14:anchorId="61831467" wp14:editId="7CB29353">
            <wp:extent cx="3663624" cy="4264623"/>
            <wp:effectExtent l="0" t="0" r="0" b="0"/>
            <wp:docPr id="16"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733205" name=""/>
                    <pic:cNvPicPr>
                      <a:picLocks noChangeAspect="1"/>
                    </pic:cNvPicPr>
                  </pic:nvPicPr>
                  <pic:blipFill>
                    <a:blip r:embed="rId27"/>
                    <a:stretch/>
                  </pic:blipFill>
                  <pic:spPr bwMode="auto">
                    <a:xfrm>
                      <a:off x="0" y="0"/>
                      <a:ext cx="3663623" cy="4264623"/>
                    </a:xfrm>
                    <a:prstGeom prst="rect">
                      <a:avLst/>
                    </a:prstGeom>
                  </pic:spPr>
                </pic:pic>
              </a:graphicData>
            </a:graphic>
          </wp:inline>
        </w:drawing>
      </w:r>
    </w:p>
    <w:p w14:paraId="275256B7" w14:textId="77777777" w:rsidR="00171AA8" w:rsidRPr="00731FE2" w:rsidRDefault="007935AB" w:rsidP="008E1343">
      <w:pPr>
        <w:pBdr>
          <w:top w:val="none" w:sz="4" w:space="0" w:color="000000"/>
          <w:left w:val="none" w:sz="4" w:space="0" w:color="000000"/>
          <w:bottom w:val="none" w:sz="4" w:space="0" w:color="000000"/>
          <w:right w:val="none" w:sz="4" w:space="0" w:color="000000"/>
        </w:pBdr>
        <w:spacing w:line="240" w:lineRule="auto"/>
        <w:ind w:firstLine="0"/>
        <w:rPr>
          <w:rFonts w:ascii="Times New Roman" w:hAnsi="Times New Roman" w:cs="Times New Roman"/>
          <w:b/>
          <w:bCs/>
          <w:color w:val="000000" w:themeColor="text1"/>
          <w:szCs w:val="24"/>
        </w:rPr>
      </w:pPr>
      <w:r w:rsidRPr="00731FE2">
        <w:rPr>
          <w:rFonts w:ascii="Times New Roman" w:eastAsia="Times New Roman" w:hAnsi="Times New Roman" w:cs="Times New Roman"/>
          <w:b/>
          <w:bCs/>
          <w:color w:val="000000" w:themeColor="text1"/>
          <w:szCs w:val="24"/>
        </w:rPr>
        <w:t xml:space="preserve">Рисунок </w:t>
      </w:r>
      <w:r w:rsidRPr="00731FE2">
        <w:rPr>
          <w:rFonts w:ascii="Times New Roman" w:eastAsia="Times New Roman" w:hAnsi="Times New Roman" w:cs="Times New Roman"/>
          <w:b/>
          <w:bCs/>
          <w:color w:val="000000" w:themeColor="text1"/>
          <w:szCs w:val="24"/>
        </w:rPr>
        <w:fldChar w:fldCharType="begin"/>
      </w:r>
      <w:r w:rsidRPr="00731FE2">
        <w:rPr>
          <w:rFonts w:ascii="Times New Roman" w:eastAsia="Times New Roman" w:hAnsi="Times New Roman" w:cs="Times New Roman"/>
          <w:b/>
          <w:bCs/>
          <w:color w:val="000000" w:themeColor="text1"/>
          <w:szCs w:val="24"/>
        </w:rPr>
        <w:instrText xml:space="preserve"> SEQ Рисунок \* Arabic </w:instrText>
      </w:r>
      <w:r w:rsidRPr="00731FE2">
        <w:rPr>
          <w:rFonts w:ascii="Times New Roman" w:eastAsia="Times New Roman" w:hAnsi="Times New Roman" w:cs="Times New Roman"/>
          <w:b/>
          <w:bCs/>
          <w:color w:val="000000" w:themeColor="text1"/>
          <w:szCs w:val="24"/>
        </w:rPr>
        <w:fldChar w:fldCharType="separate"/>
      </w:r>
      <w:r w:rsidR="00C50915" w:rsidRPr="00731FE2">
        <w:rPr>
          <w:rFonts w:ascii="Times New Roman" w:eastAsia="Times New Roman" w:hAnsi="Times New Roman" w:cs="Times New Roman"/>
          <w:b/>
          <w:bCs/>
          <w:noProof/>
          <w:color w:val="000000" w:themeColor="text1"/>
          <w:szCs w:val="24"/>
        </w:rPr>
        <w:t>16</w:t>
      </w:r>
      <w:r w:rsidRPr="00731FE2">
        <w:rPr>
          <w:rFonts w:ascii="Times New Roman" w:eastAsia="Times New Roman" w:hAnsi="Times New Roman" w:cs="Times New Roman"/>
          <w:b/>
          <w:bCs/>
          <w:color w:val="000000" w:themeColor="text1"/>
          <w:szCs w:val="24"/>
        </w:rPr>
        <w:fldChar w:fldCharType="end"/>
      </w:r>
      <w:r w:rsidRPr="00731FE2">
        <w:rPr>
          <w:rFonts w:ascii="Times New Roman" w:eastAsia="Times New Roman" w:hAnsi="Times New Roman" w:cs="Times New Roman"/>
          <w:b/>
          <w:bCs/>
          <w:color w:val="000000" w:themeColor="text1"/>
          <w:szCs w:val="24"/>
        </w:rPr>
        <w:t xml:space="preserve"> – Модернизация остановок на территориях многоквартирной застройки и индивидуального жилищного строительства</w:t>
      </w:r>
      <w:r w:rsidRPr="00731FE2">
        <w:rPr>
          <w:rFonts w:ascii="Times New Roman" w:eastAsia="Times New Roman" w:hAnsi="Times New Roman" w:cs="Times New Roman"/>
          <w:b/>
          <w:bCs/>
          <w:color w:val="000000" w:themeColor="text1"/>
          <w:szCs w:val="24"/>
          <w:vertAlign w:val="superscript"/>
        </w:rPr>
        <w:footnoteReference w:id="114"/>
      </w:r>
    </w:p>
    <w:p w14:paraId="1CD570FE" w14:textId="77777777" w:rsidR="00171AA8" w:rsidRPr="00731FE2" w:rsidRDefault="00171AA8">
      <w:pPr>
        <w:rPr>
          <w:rFonts w:ascii="Times New Roman" w:hAnsi="Times New Roman" w:cs="Times New Roman"/>
          <w:color w:val="000000" w:themeColor="text1"/>
        </w:rPr>
      </w:pPr>
    </w:p>
    <w:p w14:paraId="435C70D4" w14:textId="77777777" w:rsidR="00171AA8" w:rsidRPr="00731FE2" w:rsidRDefault="007935AB">
      <w:pPr>
        <w:rPr>
          <w:rFonts w:ascii="Times New Roman" w:hAnsi="Times New Roman" w:cs="Times New Roman"/>
          <w:color w:val="000000" w:themeColor="text1"/>
        </w:rPr>
      </w:pPr>
      <w:r w:rsidRPr="00731FE2">
        <w:rPr>
          <w:rFonts w:ascii="Times New Roman" w:eastAsia="Times New Roman" w:hAnsi="Times New Roman" w:cs="Times New Roman"/>
          <w:color w:val="000000"/>
        </w:rPr>
        <w:t>Полный перечень мероприятий приведен в 1 Томе Генерального плана.</w:t>
      </w:r>
    </w:p>
    <w:p w14:paraId="4C614377" w14:textId="77777777" w:rsidR="00171AA8" w:rsidRPr="00731FE2" w:rsidRDefault="007935AB">
      <w:pPr>
        <w:pStyle w:val="33"/>
        <w:rPr>
          <w:rFonts w:ascii="Times New Roman" w:hAnsi="Times New Roman" w:cs="Times New Roman"/>
        </w:rPr>
      </w:pPr>
      <w:bookmarkStart w:id="76" w:name="_Toc177392827"/>
      <w:r w:rsidRPr="00731FE2">
        <w:rPr>
          <w:rFonts w:ascii="Times New Roman" w:hAnsi="Times New Roman" w:cs="Times New Roman"/>
        </w:rPr>
        <w:t>3.7.4 Объекты транспортной инфраструктуры</w:t>
      </w:r>
      <w:bookmarkEnd w:id="76"/>
    </w:p>
    <w:p w14:paraId="4A660CE3" w14:textId="77777777" w:rsidR="00171AA8" w:rsidRPr="00731FE2" w:rsidRDefault="007935AB">
      <w:pPr>
        <w:pBdr>
          <w:top w:val="none" w:sz="4" w:space="0" w:color="000000"/>
          <w:left w:val="none" w:sz="4" w:space="0" w:color="000000"/>
          <w:bottom w:val="none" w:sz="4" w:space="0" w:color="000000"/>
          <w:right w:val="none" w:sz="4" w:space="0" w:color="000000"/>
        </w:pBdr>
      </w:pPr>
      <w:r w:rsidRPr="00731FE2">
        <w:rPr>
          <w:rFonts w:ascii="Times New Roman" w:eastAsia="Times New Roman" w:hAnsi="Times New Roman" w:cs="Times New Roman"/>
          <w:color w:val="000000"/>
        </w:rPr>
        <w:t>В целях повышения уровня безопасности и комфортности перемещения пешеходов за счет обустройства дополнительной инфраструктуры на улицах города планируется установка дополнительных светофоров, пешеходных переходов, камер безопасности. К 2025 г. новых регулируемых наземных пешеходных переходов составит 42 ед., новых нерегулируемых наземных пешеходных переходов – 37 ед., камер фиксации нарушения ПДД – 5 ед., закрытых подземных пешеходных переход – 4 ед.</w:t>
      </w:r>
    </w:p>
    <w:p w14:paraId="48094671" w14:textId="77777777" w:rsidR="00171AA8" w:rsidRPr="00731FE2" w:rsidRDefault="007935AB">
      <w:pPr>
        <w:pBdr>
          <w:top w:val="none" w:sz="4" w:space="0" w:color="000000"/>
          <w:left w:val="none" w:sz="4" w:space="0" w:color="000000"/>
          <w:bottom w:val="none" w:sz="4" w:space="0" w:color="000000"/>
          <w:right w:val="none" w:sz="4" w:space="0" w:color="000000"/>
        </w:pBdr>
      </w:pPr>
      <w:r w:rsidRPr="00731FE2">
        <w:rPr>
          <w:rFonts w:ascii="Times New Roman" w:eastAsia="Times New Roman" w:hAnsi="Times New Roman" w:cs="Times New Roman"/>
          <w:color w:val="000000"/>
        </w:rPr>
        <w:t>В соответствии с муниципальной программой города-курорта Кисловодска «Развитие транспортной системы и обеспечение безопасности дорожного движения» основными мероприятиями являются:</w:t>
      </w:r>
    </w:p>
    <w:p w14:paraId="26E03F0F" w14:textId="77777777" w:rsidR="00171AA8" w:rsidRPr="00731FE2" w:rsidRDefault="007935AB" w:rsidP="007832E7">
      <w:pPr>
        <w:pStyle w:val="a3"/>
        <w:numPr>
          <w:ilvl w:val="0"/>
          <w:numId w:val="45"/>
        </w:numPr>
        <w:pBdr>
          <w:top w:val="none" w:sz="4" w:space="0" w:color="000000"/>
          <w:left w:val="none" w:sz="4" w:space="0" w:color="000000"/>
          <w:bottom w:val="none" w:sz="4" w:space="0" w:color="000000"/>
          <w:right w:val="none" w:sz="4" w:space="0" w:color="000000"/>
        </w:pBdr>
        <w:tabs>
          <w:tab w:val="left" w:pos="993"/>
        </w:tabs>
        <w:ind w:left="0" w:firstLine="709"/>
      </w:pPr>
      <w:r w:rsidRPr="00731FE2">
        <w:rPr>
          <w:rFonts w:ascii="Times New Roman" w:eastAsia="Times New Roman" w:hAnsi="Times New Roman" w:cs="Times New Roman"/>
          <w:color w:val="000000"/>
        </w:rPr>
        <w:t>капитальный ремонт и ремонт автомобильных дорог общего пользования местного значения;</w:t>
      </w:r>
    </w:p>
    <w:p w14:paraId="03DFEC68" w14:textId="77777777" w:rsidR="00171AA8" w:rsidRPr="00731FE2" w:rsidRDefault="007935AB" w:rsidP="007832E7">
      <w:pPr>
        <w:pStyle w:val="a3"/>
        <w:numPr>
          <w:ilvl w:val="0"/>
          <w:numId w:val="45"/>
        </w:numPr>
        <w:pBdr>
          <w:top w:val="none" w:sz="4" w:space="0" w:color="000000"/>
          <w:left w:val="none" w:sz="4" w:space="0" w:color="000000"/>
          <w:bottom w:val="none" w:sz="4" w:space="0" w:color="000000"/>
          <w:right w:val="none" w:sz="4" w:space="0" w:color="000000"/>
        </w:pBdr>
        <w:tabs>
          <w:tab w:val="left" w:pos="993"/>
        </w:tabs>
        <w:ind w:left="0" w:firstLine="709"/>
      </w:pPr>
      <w:r w:rsidRPr="00731FE2">
        <w:rPr>
          <w:rFonts w:ascii="Times New Roman" w:eastAsia="Times New Roman" w:hAnsi="Times New Roman" w:cs="Times New Roman"/>
          <w:color w:val="000000"/>
        </w:rPr>
        <w:t>установка светофорных объектов;</w:t>
      </w:r>
    </w:p>
    <w:p w14:paraId="407D0FF9" w14:textId="77777777" w:rsidR="00171AA8" w:rsidRPr="00731FE2" w:rsidRDefault="007935AB" w:rsidP="007832E7">
      <w:pPr>
        <w:pStyle w:val="a3"/>
        <w:numPr>
          <w:ilvl w:val="0"/>
          <w:numId w:val="45"/>
        </w:numPr>
        <w:pBdr>
          <w:top w:val="none" w:sz="4" w:space="0" w:color="000000"/>
          <w:left w:val="none" w:sz="4" w:space="0" w:color="000000"/>
          <w:bottom w:val="none" w:sz="4" w:space="0" w:color="000000"/>
          <w:right w:val="none" w:sz="4" w:space="0" w:color="000000"/>
        </w:pBdr>
        <w:tabs>
          <w:tab w:val="left" w:pos="993"/>
        </w:tabs>
        <w:ind w:left="0" w:firstLine="709"/>
      </w:pPr>
      <w:r w:rsidRPr="00731FE2">
        <w:rPr>
          <w:rFonts w:ascii="Times New Roman" w:eastAsia="Times New Roman" w:hAnsi="Times New Roman" w:cs="Times New Roman"/>
          <w:color w:val="000000"/>
        </w:rPr>
        <w:t>обслуживание светофорных объектов;</w:t>
      </w:r>
    </w:p>
    <w:p w14:paraId="18DA9428" w14:textId="77777777" w:rsidR="00171AA8" w:rsidRPr="00731FE2" w:rsidRDefault="007935AB" w:rsidP="007832E7">
      <w:pPr>
        <w:pStyle w:val="a3"/>
        <w:numPr>
          <w:ilvl w:val="0"/>
          <w:numId w:val="45"/>
        </w:numPr>
        <w:pBdr>
          <w:top w:val="none" w:sz="4" w:space="0" w:color="000000"/>
          <w:left w:val="none" w:sz="4" w:space="0" w:color="000000"/>
          <w:bottom w:val="none" w:sz="4" w:space="0" w:color="000000"/>
          <w:right w:val="none" w:sz="4" w:space="0" w:color="000000"/>
        </w:pBdr>
        <w:tabs>
          <w:tab w:val="left" w:pos="993"/>
        </w:tabs>
        <w:ind w:left="0" w:firstLine="709"/>
      </w:pPr>
      <w:r w:rsidRPr="00731FE2">
        <w:rPr>
          <w:rFonts w:ascii="Times New Roman" w:eastAsia="Times New Roman" w:hAnsi="Times New Roman" w:cs="Times New Roman"/>
          <w:color w:val="000000"/>
        </w:rPr>
        <w:t>нанесение дорожной разметки;</w:t>
      </w:r>
    </w:p>
    <w:p w14:paraId="14728E10" w14:textId="77777777" w:rsidR="00171AA8" w:rsidRPr="00731FE2" w:rsidRDefault="007935AB" w:rsidP="007832E7">
      <w:pPr>
        <w:pStyle w:val="a3"/>
        <w:numPr>
          <w:ilvl w:val="0"/>
          <w:numId w:val="45"/>
        </w:numPr>
        <w:pBdr>
          <w:top w:val="none" w:sz="4" w:space="0" w:color="000000"/>
          <w:left w:val="none" w:sz="4" w:space="0" w:color="000000"/>
          <w:bottom w:val="none" w:sz="4" w:space="0" w:color="000000"/>
          <w:right w:val="none" w:sz="4" w:space="0" w:color="000000"/>
        </w:pBdr>
        <w:tabs>
          <w:tab w:val="left" w:pos="993"/>
        </w:tabs>
        <w:ind w:left="0" w:firstLine="709"/>
      </w:pPr>
      <w:r w:rsidRPr="00731FE2">
        <w:rPr>
          <w:rFonts w:ascii="Times New Roman" w:eastAsia="Times New Roman" w:hAnsi="Times New Roman" w:cs="Times New Roman"/>
          <w:color w:val="000000"/>
        </w:rPr>
        <w:t>содержание дорожных знаков;</w:t>
      </w:r>
    </w:p>
    <w:p w14:paraId="09C0B2E3" w14:textId="77777777" w:rsidR="00171AA8" w:rsidRPr="00731FE2" w:rsidRDefault="007935AB" w:rsidP="007832E7">
      <w:pPr>
        <w:pStyle w:val="a3"/>
        <w:numPr>
          <w:ilvl w:val="0"/>
          <w:numId w:val="45"/>
        </w:numPr>
        <w:pBdr>
          <w:top w:val="none" w:sz="4" w:space="0" w:color="000000"/>
          <w:left w:val="none" w:sz="4" w:space="0" w:color="000000"/>
          <w:bottom w:val="none" w:sz="4" w:space="0" w:color="000000"/>
          <w:right w:val="none" w:sz="4" w:space="0" w:color="000000"/>
        </w:pBdr>
        <w:tabs>
          <w:tab w:val="left" w:pos="993"/>
        </w:tabs>
        <w:ind w:left="0" w:firstLine="709"/>
      </w:pPr>
      <w:r w:rsidRPr="00731FE2">
        <w:rPr>
          <w:rFonts w:ascii="Times New Roman" w:eastAsia="Times New Roman" w:hAnsi="Times New Roman" w:cs="Times New Roman"/>
          <w:color w:val="000000"/>
        </w:rPr>
        <w:t>установка дорожных знаков;</w:t>
      </w:r>
    </w:p>
    <w:p w14:paraId="409B7559" w14:textId="77777777" w:rsidR="00171AA8" w:rsidRPr="00731FE2" w:rsidRDefault="007935AB" w:rsidP="007832E7">
      <w:pPr>
        <w:pStyle w:val="a3"/>
        <w:numPr>
          <w:ilvl w:val="0"/>
          <w:numId w:val="45"/>
        </w:numPr>
        <w:pBdr>
          <w:top w:val="none" w:sz="4" w:space="0" w:color="000000"/>
          <w:left w:val="none" w:sz="4" w:space="0" w:color="000000"/>
          <w:bottom w:val="none" w:sz="4" w:space="0" w:color="000000"/>
          <w:right w:val="none" w:sz="4" w:space="0" w:color="000000"/>
        </w:pBdr>
        <w:tabs>
          <w:tab w:val="left" w:pos="993"/>
        </w:tabs>
        <w:ind w:left="0" w:firstLine="709"/>
      </w:pPr>
      <w:r w:rsidRPr="00731FE2">
        <w:rPr>
          <w:rFonts w:ascii="Times New Roman" w:eastAsia="Times New Roman" w:hAnsi="Times New Roman" w:cs="Times New Roman"/>
          <w:color w:val="000000"/>
        </w:rPr>
        <w:t>ремонт пешеходных ограждений;</w:t>
      </w:r>
    </w:p>
    <w:p w14:paraId="26F1AABB" w14:textId="77777777" w:rsidR="00171AA8" w:rsidRPr="00731FE2" w:rsidRDefault="007935AB" w:rsidP="007832E7">
      <w:pPr>
        <w:pStyle w:val="a3"/>
        <w:numPr>
          <w:ilvl w:val="0"/>
          <w:numId w:val="45"/>
        </w:numPr>
        <w:pBdr>
          <w:top w:val="none" w:sz="4" w:space="0" w:color="000000"/>
          <w:left w:val="none" w:sz="4" w:space="0" w:color="000000"/>
          <w:bottom w:val="none" w:sz="4" w:space="0" w:color="000000"/>
          <w:right w:val="none" w:sz="4" w:space="0" w:color="000000"/>
        </w:pBdr>
        <w:tabs>
          <w:tab w:val="left" w:pos="993"/>
        </w:tabs>
        <w:ind w:left="0" w:firstLine="709"/>
      </w:pPr>
      <w:r w:rsidRPr="00731FE2">
        <w:rPr>
          <w:rFonts w:ascii="Times New Roman" w:eastAsia="Times New Roman" w:hAnsi="Times New Roman" w:cs="Times New Roman"/>
          <w:color w:val="000000"/>
        </w:rPr>
        <w:lastRenderedPageBreak/>
        <w:t>установка пешеходных ограждений.</w:t>
      </w:r>
    </w:p>
    <w:p w14:paraId="202F81C8" w14:textId="77777777" w:rsidR="00171AA8" w:rsidRPr="00731FE2" w:rsidRDefault="007935AB">
      <w:pPr>
        <w:rPr>
          <w:rFonts w:ascii="Times New Roman" w:hAnsi="Times New Roman" w:cs="Times New Roman"/>
          <w:color w:val="000000" w:themeColor="text1"/>
        </w:rPr>
      </w:pPr>
      <w:r w:rsidRPr="00731FE2">
        <w:rPr>
          <w:rFonts w:ascii="Times New Roman" w:eastAsia="Times New Roman" w:hAnsi="Times New Roman" w:cs="Times New Roman"/>
          <w:color w:val="000000"/>
        </w:rPr>
        <w:t>Полный перечень мероприятий приводится в 1 Томе Генерального плана.</w:t>
      </w:r>
    </w:p>
    <w:p w14:paraId="599291D3" w14:textId="77777777" w:rsidR="00171AA8" w:rsidRPr="00731FE2" w:rsidRDefault="007935AB">
      <w:pPr>
        <w:pStyle w:val="33"/>
        <w:rPr>
          <w:rFonts w:ascii="Times New Roman" w:hAnsi="Times New Roman" w:cs="Times New Roman"/>
        </w:rPr>
      </w:pPr>
      <w:bookmarkStart w:id="77" w:name="_Toc177392828"/>
      <w:r w:rsidRPr="00731FE2">
        <w:rPr>
          <w:rFonts w:ascii="Times New Roman" w:hAnsi="Times New Roman" w:cs="Times New Roman"/>
        </w:rPr>
        <w:t>3.7.5 Мероприятия для маломобильных групп населения</w:t>
      </w:r>
      <w:bookmarkEnd w:id="77"/>
    </w:p>
    <w:p w14:paraId="66F12005" w14:textId="77777777" w:rsidR="00171AA8" w:rsidRPr="00731FE2" w:rsidRDefault="007935AB">
      <w:pPr>
        <w:pBdr>
          <w:top w:val="none" w:sz="4" w:space="0" w:color="000000"/>
          <w:left w:val="none" w:sz="4" w:space="0" w:color="000000"/>
          <w:bottom w:val="none" w:sz="4" w:space="0" w:color="000000"/>
          <w:right w:val="none" w:sz="4" w:space="0" w:color="000000"/>
        </w:pBdr>
      </w:pPr>
      <w:r w:rsidRPr="00731FE2">
        <w:rPr>
          <w:rFonts w:ascii="Times New Roman" w:eastAsia="Times New Roman" w:hAnsi="Times New Roman" w:cs="Times New Roman"/>
          <w:color w:val="000000"/>
        </w:rPr>
        <w:t>По данным Паспорта городского округа «город-курорт Кисловодск» на 2022 г. проживает около 11 тыс. людей с ограниченными возможностями. С позиции организации транспортного обслуживания данной группы населения необходимо предусмотреть на расчётный срок реализации генплана:</w:t>
      </w:r>
    </w:p>
    <w:p w14:paraId="4B664DE3" w14:textId="77777777" w:rsidR="00171AA8" w:rsidRPr="00731FE2" w:rsidRDefault="007935AB" w:rsidP="007832E7">
      <w:pPr>
        <w:pStyle w:val="a3"/>
        <w:numPr>
          <w:ilvl w:val="0"/>
          <w:numId w:val="46"/>
        </w:numPr>
        <w:pBdr>
          <w:top w:val="none" w:sz="4" w:space="0" w:color="000000"/>
          <w:left w:val="none" w:sz="4" w:space="0" w:color="000000"/>
          <w:bottom w:val="none" w:sz="4" w:space="0" w:color="000000"/>
          <w:right w:val="none" w:sz="4" w:space="0" w:color="000000"/>
        </w:pBdr>
        <w:tabs>
          <w:tab w:val="left" w:pos="709"/>
          <w:tab w:val="left" w:pos="993"/>
        </w:tabs>
        <w:ind w:left="0" w:firstLine="283"/>
      </w:pPr>
      <w:r w:rsidRPr="00731FE2">
        <w:rPr>
          <w:rFonts w:ascii="Times New Roman" w:eastAsia="Times New Roman" w:hAnsi="Times New Roman" w:cs="Times New Roman"/>
          <w:color w:val="000000"/>
        </w:rPr>
        <w:t>создание муниципальной службы социального такси (таксомоторного перевозчика);</w:t>
      </w:r>
    </w:p>
    <w:p w14:paraId="2EC6D0C9" w14:textId="77777777" w:rsidR="00171AA8" w:rsidRPr="00731FE2" w:rsidRDefault="007935AB" w:rsidP="007832E7">
      <w:pPr>
        <w:pStyle w:val="a3"/>
        <w:numPr>
          <w:ilvl w:val="0"/>
          <w:numId w:val="46"/>
        </w:numPr>
        <w:pBdr>
          <w:top w:val="none" w:sz="4" w:space="0" w:color="000000"/>
          <w:left w:val="none" w:sz="4" w:space="0" w:color="000000"/>
          <w:bottom w:val="none" w:sz="4" w:space="0" w:color="000000"/>
          <w:right w:val="none" w:sz="4" w:space="0" w:color="000000"/>
        </w:pBdr>
        <w:tabs>
          <w:tab w:val="left" w:pos="709"/>
          <w:tab w:val="left" w:pos="993"/>
        </w:tabs>
        <w:ind w:left="0" w:firstLine="283"/>
      </w:pPr>
      <w:r w:rsidRPr="00731FE2">
        <w:rPr>
          <w:rFonts w:ascii="Times New Roman" w:eastAsia="Times New Roman" w:hAnsi="Times New Roman" w:cs="Times New Roman"/>
          <w:color w:val="000000"/>
        </w:rPr>
        <w:t>выделение не менее 5% (но не менее двух) парковочных мест во всех парковочных пространствах на территории городского округа;</w:t>
      </w:r>
    </w:p>
    <w:p w14:paraId="1C448843" w14:textId="77777777" w:rsidR="00171AA8" w:rsidRPr="00731FE2" w:rsidRDefault="007935AB" w:rsidP="007832E7">
      <w:pPr>
        <w:pStyle w:val="a3"/>
        <w:numPr>
          <w:ilvl w:val="0"/>
          <w:numId w:val="46"/>
        </w:numPr>
        <w:pBdr>
          <w:top w:val="none" w:sz="4" w:space="0" w:color="000000"/>
          <w:left w:val="none" w:sz="4" w:space="0" w:color="000000"/>
          <w:bottom w:val="none" w:sz="4" w:space="0" w:color="000000"/>
          <w:right w:val="none" w:sz="4" w:space="0" w:color="000000"/>
        </w:pBdr>
        <w:tabs>
          <w:tab w:val="left" w:pos="709"/>
          <w:tab w:val="left" w:pos="993"/>
        </w:tabs>
        <w:ind w:left="0" w:firstLine="283"/>
      </w:pPr>
      <w:r w:rsidRPr="00731FE2">
        <w:rPr>
          <w:rFonts w:ascii="Times New Roman" w:eastAsia="Times New Roman" w:hAnsi="Times New Roman" w:cs="Times New Roman"/>
          <w:color w:val="000000"/>
        </w:rPr>
        <w:t>закупка муниципальными и государственными предприятиями низкопольных автобусов для регулярных пассажирских перевозок;</w:t>
      </w:r>
    </w:p>
    <w:p w14:paraId="0C2C32A2" w14:textId="77777777" w:rsidR="00171AA8" w:rsidRPr="00731FE2" w:rsidRDefault="007935AB" w:rsidP="007832E7">
      <w:pPr>
        <w:pStyle w:val="a3"/>
        <w:numPr>
          <w:ilvl w:val="0"/>
          <w:numId w:val="46"/>
        </w:numPr>
        <w:pBdr>
          <w:top w:val="none" w:sz="4" w:space="0" w:color="000000"/>
          <w:left w:val="none" w:sz="4" w:space="0" w:color="000000"/>
          <w:bottom w:val="none" w:sz="4" w:space="0" w:color="000000"/>
          <w:right w:val="none" w:sz="4" w:space="0" w:color="000000"/>
        </w:pBdr>
        <w:tabs>
          <w:tab w:val="left" w:pos="709"/>
          <w:tab w:val="left" w:pos="993"/>
        </w:tabs>
        <w:ind w:left="0" w:firstLine="283"/>
      </w:pPr>
      <w:r w:rsidRPr="00731FE2">
        <w:rPr>
          <w:rFonts w:ascii="Times New Roman" w:eastAsia="Times New Roman" w:hAnsi="Times New Roman" w:cs="Times New Roman"/>
          <w:color w:val="000000"/>
        </w:rPr>
        <w:t>оснащение светофоров звуковым оборудованием для слабослышащих пешеходов;</w:t>
      </w:r>
    </w:p>
    <w:p w14:paraId="169F1E7C" w14:textId="77777777" w:rsidR="00171AA8" w:rsidRPr="00731FE2" w:rsidRDefault="007935AB" w:rsidP="007832E7">
      <w:pPr>
        <w:pStyle w:val="a3"/>
        <w:numPr>
          <w:ilvl w:val="0"/>
          <w:numId w:val="46"/>
        </w:numPr>
        <w:pBdr>
          <w:top w:val="none" w:sz="4" w:space="0" w:color="000000"/>
          <w:left w:val="none" w:sz="4" w:space="0" w:color="000000"/>
          <w:bottom w:val="none" w:sz="4" w:space="0" w:color="000000"/>
          <w:right w:val="none" w:sz="4" w:space="0" w:color="000000"/>
        </w:pBdr>
        <w:tabs>
          <w:tab w:val="left" w:pos="709"/>
          <w:tab w:val="left" w:pos="993"/>
        </w:tabs>
        <w:ind w:left="0" w:firstLine="283"/>
      </w:pPr>
      <w:r w:rsidRPr="00731FE2">
        <w:rPr>
          <w:rFonts w:ascii="Times New Roman" w:eastAsia="Times New Roman" w:hAnsi="Times New Roman" w:cs="Times New Roman"/>
          <w:color w:val="000000"/>
        </w:rPr>
        <w:t>реконструкция пешеходных переходов с учётом создания лифтов для маломобильных граждан.</w:t>
      </w:r>
    </w:p>
    <w:p w14:paraId="71614646" w14:textId="77777777" w:rsidR="00171AA8" w:rsidRPr="00731FE2" w:rsidRDefault="007935AB">
      <w:pPr>
        <w:pBdr>
          <w:top w:val="none" w:sz="4" w:space="0" w:color="000000"/>
          <w:left w:val="none" w:sz="4" w:space="0" w:color="000000"/>
          <w:bottom w:val="none" w:sz="4" w:space="0" w:color="000000"/>
          <w:right w:val="none" w:sz="4" w:space="0" w:color="000000"/>
        </w:pBdr>
      </w:pPr>
      <w:r w:rsidRPr="00731FE2">
        <w:rPr>
          <w:rFonts w:ascii="Times New Roman" w:eastAsia="Times New Roman" w:hAnsi="Times New Roman" w:cs="Times New Roman"/>
          <w:color w:val="000000"/>
        </w:rPr>
        <w:t>Снятие части ограничений на перемещение автомобильного транспорта на территории городского округа, перевозящего маломобильных граждан (также, как и для транспортных средств, водители которых относятся к категории маломобильных граждан).</w:t>
      </w:r>
    </w:p>
    <w:p w14:paraId="3BD1D35B" w14:textId="77777777" w:rsidR="00171AA8" w:rsidRPr="00731FE2" w:rsidRDefault="00171AA8">
      <w:pPr>
        <w:rPr>
          <w:rFonts w:ascii="Times New Roman" w:hAnsi="Times New Roman" w:cs="Times New Roman"/>
          <w:color w:val="000000" w:themeColor="text1"/>
        </w:rPr>
      </w:pPr>
    </w:p>
    <w:p w14:paraId="7BA6217F" w14:textId="77777777" w:rsidR="00171AA8" w:rsidRPr="00731FE2" w:rsidRDefault="007935AB">
      <w:pPr>
        <w:pStyle w:val="24"/>
        <w:rPr>
          <w:rFonts w:ascii="Times New Roman" w:hAnsi="Times New Roman" w:cs="Times New Roman"/>
        </w:rPr>
      </w:pPr>
      <w:bookmarkStart w:id="78" w:name="_Toc177392829"/>
      <w:r w:rsidRPr="00731FE2">
        <w:rPr>
          <w:rFonts w:ascii="Times New Roman" w:hAnsi="Times New Roman" w:cs="Times New Roman"/>
        </w:rPr>
        <w:t>3.8 Инженерная подготовка территории</w:t>
      </w:r>
      <w:bookmarkEnd w:id="78"/>
    </w:p>
    <w:p w14:paraId="2F60045E"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 xml:space="preserve">Рассматриваемая территория при преобладающей сейсмической интенсивности 7-9 баллов подвержена опасным геологическим процессам, наиболее широкое распространение из которых получили: просадка лессовых грунтов, выветривание, оврагообразование, береговая эрозия, обвально-осыпные явления, оползни, подтопление, затопление. </w:t>
      </w:r>
    </w:p>
    <w:p w14:paraId="11944E1D"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b/>
          <w:bCs/>
          <w:color w:val="000000"/>
          <w:szCs w:val="24"/>
        </w:rPr>
        <w:t>Просадочные явления</w:t>
      </w:r>
      <w:r w:rsidRPr="00731FE2">
        <w:rPr>
          <w:rFonts w:ascii="Times New Roman" w:eastAsia="Times New Roman" w:hAnsi="Times New Roman" w:cs="Times New Roman"/>
          <w:color w:val="000000"/>
          <w:szCs w:val="24"/>
        </w:rPr>
        <w:t xml:space="preserve"> развиты в северной части города, в районе основного распространения лессовых грунтов. </w:t>
      </w:r>
    </w:p>
    <w:p w14:paraId="01855859"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b/>
          <w:bCs/>
          <w:color w:val="000000"/>
          <w:szCs w:val="24"/>
        </w:rPr>
        <w:t>Выветривание</w:t>
      </w:r>
      <w:r w:rsidRPr="00731FE2">
        <w:rPr>
          <w:rFonts w:ascii="Times New Roman" w:eastAsia="Times New Roman" w:hAnsi="Times New Roman" w:cs="Times New Roman"/>
          <w:color w:val="000000"/>
          <w:szCs w:val="24"/>
        </w:rPr>
        <w:t xml:space="preserve"> наиболее активно проявляется в зоне распространения коренных и покровных пород. Этот процесс носит скрытный и потому опасный характер, развиваясь в основаниях построенных зданий и сооружений, где происходит активное движение подземных вод. Наиболее подвержены выветриванию нижнемеловые песчаники в южной части селитебной зоны и практически по всей курортной зоне. </w:t>
      </w:r>
    </w:p>
    <w:p w14:paraId="739B0F71"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b/>
          <w:bCs/>
          <w:color w:val="000000"/>
          <w:szCs w:val="24"/>
        </w:rPr>
        <w:t>Оврагообразование</w:t>
      </w:r>
      <w:r w:rsidRPr="00731FE2">
        <w:rPr>
          <w:rFonts w:ascii="Times New Roman" w:eastAsia="Times New Roman" w:hAnsi="Times New Roman" w:cs="Times New Roman"/>
          <w:color w:val="000000"/>
          <w:szCs w:val="24"/>
        </w:rPr>
        <w:t xml:space="preserve"> приурочено к долинам местных рек Подкумок, Белая, Ольховка. </w:t>
      </w:r>
    </w:p>
    <w:p w14:paraId="1EAC5C56"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 xml:space="preserve">Процессы </w:t>
      </w:r>
      <w:r w:rsidRPr="00731FE2">
        <w:rPr>
          <w:rFonts w:ascii="Times New Roman" w:eastAsia="Times New Roman" w:hAnsi="Times New Roman" w:cs="Times New Roman"/>
          <w:b/>
          <w:bCs/>
          <w:color w:val="000000"/>
          <w:szCs w:val="24"/>
        </w:rPr>
        <w:t>береговой эрозии</w:t>
      </w:r>
      <w:r w:rsidRPr="00731FE2">
        <w:rPr>
          <w:rFonts w:ascii="Times New Roman" w:eastAsia="Times New Roman" w:hAnsi="Times New Roman" w:cs="Times New Roman"/>
          <w:color w:val="000000"/>
          <w:szCs w:val="24"/>
        </w:rPr>
        <w:t xml:space="preserve"> развиты по долинам рек Белая, Аликоновка, Ольховка, Березовая. По руслу реки Белая разрушительная деятельность реки угрожает частным домовладениям и действующему городскому кладбищу, а на реке Березовая – санаторию «Колос». Из-за подмыва берегов реки Подкумок постоянно приходится реконструировать берегоукрепительные сооружения. </w:t>
      </w:r>
    </w:p>
    <w:p w14:paraId="555F1F0A"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b/>
          <w:bCs/>
          <w:color w:val="000000"/>
          <w:szCs w:val="24"/>
        </w:rPr>
        <w:t>Обвально-осыпные явления</w:t>
      </w:r>
      <w:r w:rsidRPr="00731FE2">
        <w:rPr>
          <w:rFonts w:ascii="Times New Roman" w:eastAsia="Times New Roman" w:hAnsi="Times New Roman" w:cs="Times New Roman"/>
          <w:color w:val="000000"/>
          <w:szCs w:val="24"/>
        </w:rPr>
        <w:t xml:space="preserve"> проявляются в местах обнажения нижнемеловых пород и интенсивно развиваются на северо-востоке (в промышленной зоне), востоке и юго-востоке (в курортной зоне), юго-западе (в селитебной зоне) Кисловодска. Осыпи </w:t>
      </w:r>
      <w:r w:rsidRPr="00731FE2">
        <w:rPr>
          <w:rFonts w:ascii="Times New Roman" w:eastAsia="Times New Roman" w:hAnsi="Times New Roman" w:cs="Times New Roman"/>
          <w:color w:val="000000"/>
          <w:szCs w:val="24"/>
        </w:rPr>
        <w:lastRenderedPageBreak/>
        <w:t xml:space="preserve">осложняют нормальное функционирование федеральной дороги, ведущей к санаторию «Эльбрус». </w:t>
      </w:r>
    </w:p>
    <w:p w14:paraId="3D36ADA2"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b/>
          <w:bCs/>
          <w:color w:val="000000"/>
          <w:szCs w:val="24"/>
        </w:rPr>
        <w:t>Оползни.</w:t>
      </w:r>
      <w:r w:rsidRPr="00731FE2">
        <w:rPr>
          <w:rFonts w:ascii="Times New Roman" w:eastAsia="Times New Roman" w:hAnsi="Times New Roman" w:cs="Times New Roman"/>
          <w:color w:val="000000"/>
          <w:szCs w:val="24"/>
        </w:rPr>
        <w:t xml:space="preserve"> </w:t>
      </w:r>
      <w:r w:rsidRPr="00731FE2">
        <w:rPr>
          <w:rFonts w:ascii="Times New Roman" w:eastAsia="Times New Roman" w:hAnsi="Times New Roman" w:cs="Times New Roman"/>
          <w:color w:val="000000"/>
        </w:rPr>
        <w:t>Причинами развития оползневых процессов на территории города могут служить землетрясения, сильные и продолжительные дожди, повышение уровня поверхностных и грунтовых вод. На территории города-курорта Кисловодска зарегистрировано 3 оползнеопасных зоны и отдельные участки с индивидуальными жилыми домами:</w:t>
      </w:r>
    </w:p>
    <w:p w14:paraId="75AFE203"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rPr>
        <w:t>а) участок между ул. Ермолова и ул. Березовская, 29;</w:t>
      </w:r>
    </w:p>
    <w:p w14:paraId="777E75D6"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rPr>
        <w:t>б) участок автодороги от п. Белореченский до Олимпийской базы на территории ФГБУ «Юг</w:t>
      </w:r>
      <w:r w:rsidRPr="00731FE2">
        <w:rPr>
          <w:rFonts w:ascii="Times New Roman" w:eastAsia="Times New Roman" w:hAnsi="Times New Roman" w:cs="Times New Roman"/>
          <w:color w:val="000000"/>
          <w:szCs w:val="24"/>
        </w:rPr>
        <w:t xml:space="preserve"> Спорт» (в районе г. Малое седло);</w:t>
      </w:r>
    </w:p>
    <w:p w14:paraId="497B908C"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в) участок между по ул. С. Перовской, 37-41;</w:t>
      </w:r>
    </w:p>
    <w:p w14:paraId="246523CD"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г) отдельных участка по адресам ул. Катыхина, 91, кв. 2, ул. Кутузова, 107-в, ул. Овражная, 10, ул. Озерная, дома № 37, 39, 41, 43 и 49 и ул. Ольховская, 50 и 52/1.</w:t>
      </w:r>
    </w:p>
    <w:p w14:paraId="571B3A40"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b/>
          <w:bCs/>
          <w:color w:val="000000"/>
          <w:szCs w:val="24"/>
        </w:rPr>
        <w:t>Подтопление и затопление</w:t>
      </w:r>
      <w:r w:rsidRPr="00731FE2">
        <w:rPr>
          <w:rFonts w:ascii="Times New Roman" w:eastAsia="Times New Roman" w:hAnsi="Times New Roman" w:cs="Times New Roman"/>
          <w:color w:val="000000"/>
          <w:szCs w:val="24"/>
        </w:rPr>
        <w:t xml:space="preserve"> городской территории происходит в пойменно-русловых частях рек и тальвегах балок. </w:t>
      </w:r>
      <w:r w:rsidRPr="00731FE2">
        <w:rPr>
          <w:rFonts w:ascii="Times New Roman" w:eastAsia="Times New Roman" w:hAnsi="Times New Roman" w:cs="Times New Roman"/>
          <w:color w:val="000000"/>
        </w:rPr>
        <w:t>Продолжительные дожди, интенсивное снеготаяние могут привести к подтоплению зданий и сооружений, нарушению условий жизнедеятельности населения, разрушению покрытий автомобильных дорог и нарушению в движении транспортных с</w:t>
      </w:r>
      <w:r w:rsidRPr="00731FE2">
        <w:rPr>
          <w:rFonts w:ascii="Times New Roman" w:eastAsia="Times New Roman" w:hAnsi="Times New Roman" w:cs="Times New Roman"/>
          <w:color w:val="000000"/>
          <w:szCs w:val="24"/>
        </w:rPr>
        <w:t>редств. В действующих Правилах землепользования и застройки, утвержденных решением Думы города-курорта Кисловодска от 24.06.2016 № 65-416, отображены сведения о границах зон затопления (подтопления).</w:t>
      </w:r>
    </w:p>
    <w:p w14:paraId="4A968DBB"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 xml:space="preserve">Подтопление ведет к развитию оползней, повышению сейсмической опасности, скрытым суффозионным процессам, просадке лессовых грунтов, вызывая типичные для этих процессов деформации зданий и сооружений. При подтоплении городских территорий неизбежно происходит снижение прочности рассмотренных выше структурно-неустойчивых грунтов в основаниях зданий и несущей способности свайных фундаментов. По СНиП 2.03.11-85 «Защита территории от подтопления и затопления» к подтопленным относятся территории селитебных зон с глубиной уровня грунтовых вод (УГВ) до 2 м, для промышленных зон – до 5 м, для зон рекреационного и защитного назначения – до 1 м. В соответствии с этими нормами к подтопленной части городской территории относится 20% площади г. Кисловодска. Следует отметить, что площадь подтопления города была значительно увеличена при переносе русла реки Березовая. В центральной части города по пр. Победы территория относится к затопляемой по СНиП. </w:t>
      </w:r>
    </w:p>
    <w:p w14:paraId="0CC808AB"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В целях градостроительного развития территории городского округа города-курорта Кисловодска в соответствии с принятыми архитектурно-планировочными решениями предлагается выполнение следующих мероприятий по инженерной подготовке территории:</w:t>
      </w:r>
    </w:p>
    <w:p w14:paraId="71013167" w14:textId="77777777" w:rsidR="00171AA8" w:rsidRPr="00731FE2" w:rsidRDefault="007935AB">
      <w:pPr>
        <w:pStyle w:val="a3"/>
        <w:numPr>
          <w:ilvl w:val="0"/>
          <w:numId w:val="15"/>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инженерная защита от оползней;</w:t>
      </w:r>
    </w:p>
    <w:p w14:paraId="55D13FD7" w14:textId="77777777" w:rsidR="00171AA8" w:rsidRPr="00731FE2" w:rsidRDefault="007935AB">
      <w:pPr>
        <w:pStyle w:val="a3"/>
        <w:numPr>
          <w:ilvl w:val="0"/>
          <w:numId w:val="15"/>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инженерная защита от эрозии;</w:t>
      </w:r>
    </w:p>
    <w:p w14:paraId="578B0C05" w14:textId="77777777" w:rsidR="00171AA8" w:rsidRPr="00731FE2" w:rsidRDefault="007935AB">
      <w:pPr>
        <w:pStyle w:val="a3"/>
        <w:numPr>
          <w:ilvl w:val="0"/>
          <w:numId w:val="15"/>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инженерная защита от просадок;</w:t>
      </w:r>
    </w:p>
    <w:p w14:paraId="0C5911C2" w14:textId="77777777" w:rsidR="00171AA8" w:rsidRPr="00731FE2" w:rsidRDefault="007935AB">
      <w:pPr>
        <w:pStyle w:val="a3"/>
        <w:numPr>
          <w:ilvl w:val="0"/>
          <w:numId w:val="15"/>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инженерная защита от карста;</w:t>
      </w:r>
    </w:p>
    <w:p w14:paraId="500AEF35" w14:textId="77777777" w:rsidR="00171AA8" w:rsidRPr="00731FE2" w:rsidRDefault="007935AB">
      <w:pPr>
        <w:pStyle w:val="a3"/>
        <w:numPr>
          <w:ilvl w:val="0"/>
          <w:numId w:val="15"/>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инженерная защита от подтопления;</w:t>
      </w:r>
    </w:p>
    <w:p w14:paraId="4E8792C7" w14:textId="77777777" w:rsidR="00171AA8" w:rsidRPr="00731FE2" w:rsidRDefault="007935AB">
      <w:pPr>
        <w:pStyle w:val="a3"/>
        <w:numPr>
          <w:ilvl w:val="0"/>
          <w:numId w:val="15"/>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инженерная защита от затопления паводковыми водами.</w:t>
      </w:r>
    </w:p>
    <w:p w14:paraId="4216C3EB"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 xml:space="preserve">Все градостроительные решения на территории городского округа должны выполняться с учётом высокой сейсмичности территории, должна быть проведена работа </w:t>
      </w:r>
      <w:r w:rsidRPr="00731FE2">
        <w:rPr>
          <w:rFonts w:ascii="Times New Roman" w:eastAsia="Times New Roman" w:hAnsi="Times New Roman" w:cs="Times New Roman"/>
          <w:color w:val="000000"/>
          <w:szCs w:val="24"/>
        </w:rPr>
        <w:lastRenderedPageBreak/>
        <w:t>по организации поверхностного стока, что является важнейшим природоохранным мероприятием по инженерной подготовке территории.</w:t>
      </w:r>
    </w:p>
    <w:p w14:paraId="7E66F039" w14:textId="77777777" w:rsidR="00171AA8" w:rsidRPr="00731FE2" w:rsidRDefault="007935AB">
      <w:pPr>
        <w:pStyle w:val="33"/>
        <w:rPr>
          <w:rFonts w:ascii="Times New Roman" w:hAnsi="Times New Roman" w:cs="Times New Roman"/>
        </w:rPr>
      </w:pPr>
      <w:bookmarkStart w:id="79" w:name="_Toc177392830"/>
      <w:r w:rsidRPr="00731FE2">
        <w:rPr>
          <w:rFonts w:ascii="Times New Roman" w:hAnsi="Times New Roman" w:cs="Times New Roman"/>
        </w:rPr>
        <w:t>3.8.1 Инженерная защита от оползней</w:t>
      </w:r>
      <w:bookmarkEnd w:id="79"/>
    </w:p>
    <w:p w14:paraId="4E1AC373"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Широкое развитие оползней обусловлено геологическим строением склонов (глинистый состав пород, трещиноватось пород, разделяющая их на отдельные блоки, легко скользящие по глинистой поверхности) и определяет необходимость инженерной подготовки вновь осваиваемой территории, защиты и укрепления застроенных оползневых и оползнеопасных склонов городского округа. Оползни активизируются при избыточном увлажнении пород склона дождевыми водами, водами родников, при изменении установившегося равновесия на склоне при его естественной (эрозия рек) или искусственной подрезке (прокладка дорог), а также при сейсмических толчках.</w:t>
      </w:r>
    </w:p>
    <w:p w14:paraId="73C8FFA5"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 xml:space="preserve">В состав комплекса противооползневых мероприятий рекомендуется включать профилактические и ограничительные меры (вне зависимости от масштаба и типа оползней, класса сооружения): регулирование поверхностного стока устройством открытых и закрытых водоотводящих лотков, агромелиорацию, лесомелиорацию, устранение эрозионных и техногенных подрезок склонов, ограничение и запрещение взрывов, комплексную мелиорацию и т.д. </w:t>
      </w:r>
    </w:p>
    <w:p w14:paraId="01045A3A"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Учитывая типы оползней (по механизму смещения), их масштабы, из известного набора противооползневых мероприятий (дренажи, изменение конфигурации склона, закрепление грунтов, подпорные стены, буронабивные сваи) необходимо выбирать комплекс мероприятий, обеспечивающих достаточную устойчивость оползневого склона и сооружений на нём.</w:t>
      </w:r>
    </w:p>
    <w:p w14:paraId="1F060B29" w14:textId="77777777" w:rsidR="00171AA8" w:rsidRPr="00731FE2" w:rsidRDefault="007935AB">
      <w:pPr>
        <w:pStyle w:val="33"/>
        <w:rPr>
          <w:rFonts w:ascii="Times New Roman" w:hAnsi="Times New Roman" w:cs="Times New Roman"/>
        </w:rPr>
      </w:pPr>
      <w:bookmarkStart w:id="80" w:name="_Toc177392831"/>
      <w:r w:rsidRPr="00731FE2">
        <w:rPr>
          <w:rFonts w:ascii="Times New Roman" w:hAnsi="Times New Roman" w:cs="Times New Roman"/>
        </w:rPr>
        <w:t>3.8.2 Инженерная защита от эрозии</w:t>
      </w:r>
      <w:bookmarkEnd w:id="80"/>
    </w:p>
    <w:p w14:paraId="45E6DE31"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Для борьбы с овражной эрозией предусматривается выполнение следующих мероприятий:</w:t>
      </w:r>
    </w:p>
    <w:p w14:paraId="44E6C8EB" w14:textId="77777777" w:rsidR="00171AA8" w:rsidRPr="00731FE2" w:rsidRDefault="007935AB">
      <w:pPr>
        <w:pStyle w:val="a3"/>
        <w:numPr>
          <w:ilvl w:val="0"/>
          <w:numId w:val="16"/>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засыпка мелких оврагов и их отвершков;</w:t>
      </w:r>
    </w:p>
    <w:p w14:paraId="64B6A9B3" w14:textId="77777777" w:rsidR="00171AA8" w:rsidRPr="00731FE2" w:rsidRDefault="007935AB">
      <w:pPr>
        <w:pStyle w:val="a3"/>
        <w:numPr>
          <w:ilvl w:val="0"/>
          <w:numId w:val="16"/>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уполаживание и террасирование склонов с укреплением их растительностью;</w:t>
      </w:r>
    </w:p>
    <w:p w14:paraId="4E99190F" w14:textId="77777777" w:rsidR="00171AA8" w:rsidRPr="00731FE2" w:rsidRDefault="007935AB">
      <w:pPr>
        <w:pStyle w:val="a3"/>
        <w:numPr>
          <w:ilvl w:val="0"/>
          <w:numId w:val="16"/>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организация отвода поверхностных вод;</w:t>
      </w:r>
    </w:p>
    <w:p w14:paraId="626336E7" w14:textId="77777777" w:rsidR="00171AA8" w:rsidRPr="00731FE2" w:rsidRDefault="007935AB">
      <w:pPr>
        <w:pStyle w:val="a3"/>
        <w:numPr>
          <w:ilvl w:val="0"/>
          <w:numId w:val="16"/>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частичная подсыпка глубоких оврагов с устройством водостока и дренажа по его дну.</w:t>
      </w:r>
    </w:p>
    <w:p w14:paraId="133E2FAF"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Как меры предупреждения эрозии эффективны фитомелиоративные мероприятия. Они могут быть применимы на всех стадиях развития оврагов для их закрепления. Основным способом борьбы с водной эрозией является регулирование русел рек и укрепление берегов.</w:t>
      </w:r>
    </w:p>
    <w:p w14:paraId="53B81867" w14:textId="77777777" w:rsidR="00171AA8" w:rsidRPr="00731FE2" w:rsidRDefault="007935AB">
      <w:pPr>
        <w:pStyle w:val="33"/>
        <w:rPr>
          <w:rFonts w:ascii="Times New Roman" w:hAnsi="Times New Roman" w:cs="Times New Roman"/>
        </w:rPr>
      </w:pPr>
      <w:bookmarkStart w:id="81" w:name="_Toc177392832"/>
      <w:r w:rsidRPr="00731FE2">
        <w:rPr>
          <w:rFonts w:ascii="Times New Roman" w:hAnsi="Times New Roman" w:cs="Times New Roman"/>
        </w:rPr>
        <w:t>3.8.3 Инженерная защита от просадок</w:t>
      </w:r>
      <w:bookmarkEnd w:id="81"/>
    </w:p>
    <w:p w14:paraId="588CFA5D"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 xml:space="preserve">Просадочными свойствами обусловлены многочисленные деформации сооружений, проявляющиеся при замачивании грунтов оснований, которое может происходить как под воздействием природных, так и техногенных факторов. С замачиванием просадочных грунтов связано их видоизменение – по мере водонасыщения они превращаются в грунты с иными свойствами. Лишаясь просадочных свойств, при увеличении влажности, они становятся сильно сжимаемыми, склонными к разжижению при динамических нагрузках. </w:t>
      </w:r>
    </w:p>
    <w:p w14:paraId="336D9E8C"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 xml:space="preserve">Существующие мероприятия при строительстве на лессовых просадочных грунтах условно подразделяются на водозащитные; кон­структивные; связанные с преобразованием просадочных свойств грунта (закрепление или уплотнение лессового </w:t>
      </w:r>
      <w:r w:rsidRPr="00731FE2">
        <w:rPr>
          <w:rFonts w:ascii="Times New Roman" w:eastAsia="Times New Roman" w:hAnsi="Times New Roman" w:cs="Times New Roman"/>
          <w:color w:val="000000"/>
          <w:szCs w:val="24"/>
        </w:rPr>
        <w:lastRenderedPageBreak/>
        <w:t xml:space="preserve">грунта основания); осуществляемые в результате прорезки просадочной толщи фунда­ментами глубокого заложения, </w:t>
      </w:r>
      <w:r w:rsidR="008E1343" w:rsidRPr="00731FE2">
        <w:rPr>
          <w:rFonts w:ascii="Times New Roman" w:eastAsia="Times New Roman" w:hAnsi="Times New Roman" w:cs="Times New Roman"/>
          <w:color w:val="000000"/>
          <w:szCs w:val="24"/>
        </w:rPr>
        <w:t>например,</w:t>
      </w:r>
      <w:r w:rsidRPr="00731FE2">
        <w:rPr>
          <w:rFonts w:ascii="Times New Roman" w:eastAsia="Times New Roman" w:hAnsi="Times New Roman" w:cs="Times New Roman"/>
          <w:color w:val="000000"/>
          <w:szCs w:val="24"/>
        </w:rPr>
        <w:t xml:space="preserve"> свайными. При строительстве зданий и сооружений на лессовых грунтах применяют сложный комплекс мероприятий. Например, наряду с водозащитными мероприятиями предусматривают и конструк­тивные - устройство осадочных швов и железобетонных поясов, армирование простенков и т. д.</w:t>
      </w:r>
    </w:p>
    <w:p w14:paraId="0F6835C2"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Водозащитные мероприятия включают в себя организацию отвода с площадки застройки атмосферных вод, устройство по специальному проекту водонесущих коммуникаций и их вводов, выполнение противофильтрационных экранов и отмосток и т. д. Конструктивные мероприятия предусматривают разрезку здания осадочными швами, что улучшает пространственную работу его отдельных блоков (секций). Во многих случаях эффективными оказываются железобетонные пояса, которые служат для восприятия возникающих усилий в элементах здания при неравномерных деформациях основания.</w:t>
      </w:r>
    </w:p>
    <w:p w14:paraId="2BE2FF3C" w14:textId="77777777" w:rsidR="00171AA8" w:rsidRPr="00731FE2" w:rsidRDefault="007935AB">
      <w:pPr>
        <w:pStyle w:val="33"/>
        <w:rPr>
          <w:rFonts w:ascii="Times New Roman" w:hAnsi="Times New Roman" w:cs="Times New Roman"/>
        </w:rPr>
      </w:pPr>
      <w:bookmarkStart w:id="82" w:name="_Toc177392833"/>
      <w:r w:rsidRPr="00731FE2">
        <w:rPr>
          <w:rFonts w:ascii="Times New Roman" w:hAnsi="Times New Roman" w:cs="Times New Roman"/>
        </w:rPr>
        <w:t>3.8.4 Инженерная защита при проявлении карста</w:t>
      </w:r>
      <w:bookmarkEnd w:id="82"/>
    </w:p>
    <w:p w14:paraId="3E667DA2"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Развитие карстовых и сопутствующих им суффозионно-провальных процессов проявляется в формировании в растворимых (известняки, доломиты, мел и др.) и в перекрывающих их нерастворимых породах расширенных трещин, разнообразных полостей, ослабленных и разуплотнённых зон, а также в возникновении внезапных провалов и оседаний в толще грунтов и на земной поверхности.</w:t>
      </w:r>
    </w:p>
    <w:p w14:paraId="7CEE8BB6"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На рассматриваемой территории карст проявляется в виде многочисленных воронок и пещер. При проектировании, строительстве и эксплуатации хозяйственных объектов, предприятий, зданий и сооружений на закарстованных территориях необходимо учитывать следующие особые условия:</w:t>
      </w:r>
    </w:p>
    <w:p w14:paraId="6672B97B" w14:textId="77777777" w:rsidR="00171AA8" w:rsidRPr="00731FE2" w:rsidRDefault="007935AB">
      <w:pPr>
        <w:pStyle w:val="a3"/>
        <w:numPr>
          <w:ilvl w:val="0"/>
          <w:numId w:val="17"/>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гидрологические и гидрогеологические, обусловленные крайне неоднородной и нередко весьма высокой водопроницаемостью закарстованных пород, возможность больших фильтрационных потерь из водохранилищ и водоёмов и возможность больших, вплоть до внезапных катастрофических, водопритоков в горные выработки и котлованы;</w:t>
      </w:r>
    </w:p>
    <w:p w14:paraId="5A4280F8" w14:textId="77777777" w:rsidR="00171AA8" w:rsidRPr="00731FE2" w:rsidRDefault="007935AB">
      <w:pPr>
        <w:pStyle w:val="a3"/>
        <w:numPr>
          <w:ilvl w:val="0"/>
          <w:numId w:val="17"/>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неравномерно пониженную несущую способность закарстованных пород, перекрывающих грунтов и отложений, заполняющих поверхностные и погребённые карстовые формы;</w:t>
      </w:r>
    </w:p>
    <w:p w14:paraId="445A8967" w14:textId="77777777" w:rsidR="00171AA8" w:rsidRPr="00731FE2" w:rsidRDefault="007935AB">
      <w:pPr>
        <w:pStyle w:val="a3"/>
        <w:numPr>
          <w:ilvl w:val="0"/>
          <w:numId w:val="17"/>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опасность возникновения и развития карстовых деформаций (провалов и оседаний) в толще грунтов и на земной поверхности;</w:t>
      </w:r>
    </w:p>
    <w:p w14:paraId="6056100E" w14:textId="77777777" w:rsidR="00171AA8" w:rsidRPr="00731FE2" w:rsidRDefault="007935AB">
      <w:pPr>
        <w:pStyle w:val="a3"/>
        <w:numPr>
          <w:ilvl w:val="0"/>
          <w:numId w:val="17"/>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опасность активизации развития карста и связанных с ним суффозионных и провальных процессов и явлений в результате хозяйственной деятельности человека.</w:t>
      </w:r>
    </w:p>
    <w:p w14:paraId="60B2C88B"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Водорегулирующие мероприятия должны обеспечить предотвращение опасной активизации карста и связанных с ним суффозионных и провальных явлений под влиянием техногенных изменений гидрогеологических условий.</w:t>
      </w:r>
    </w:p>
    <w:p w14:paraId="45C46612"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К геотехническим мероприятиям относятся: заполнение карстовых полостей; закрепление закарстованных пород и (или) вышележащих грунтов; прорезка ненадёжных грунтов и заглубление фундаментов на прочные незакарстованные породы. При благоприятном исходе геотехнические мероприятия полностью исключают опасность деформаций, связанных с карстом. Наиболее часто применяются цементация закарстованных пород и прорезание ненадёжных грунтов.</w:t>
      </w:r>
    </w:p>
    <w:p w14:paraId="1A8C97C2"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lastRenderedPageBreak/>
        <w:t>Конструктивные мероприятия заключаются в усилении и улучшении условий работы фундаментов и наземных конструкций зданий и сооружений. Они, в отличие от геотехнических мероприятий, полностью не исключают, а только снижают до допустимого уровня вероятность повреждения и разрушения зданий и сооружений карстовыми провалами и оседаниями.</w:t>
      </w:r>
    </w:p>
    <w:p w14:paraId="1EA6B170"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Технологические противокарстовые мероприятия – это повышение надёжности технологического оборудования и коммуникаций, их дублирование, замена мокрого технологического процесса сухим и т.д.</w:t>
      </w:r>
    </w:p>
    <w:p w14:paraId="7BF1E5DC"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 xml:space="preserve">Эксплуатационные мероприятия выполняются в период функционирования предприятий, зданий, сооружений и других объектов. Проводятся необходимые стационарные наблюдения (за деформациями зданий и сооружений, гидрометеорологическими условиями, режимом подземных вод и развитием проявлений карста) и проводятся работы по обеспечению надёжности функционирования водорегулирующих и других противокарстовых мероприятий. </w:t>
      </w:r>
    </w:p>
    <w:p w14:paraId="0A0C1067" w14:textId="77777777" w:rsidR="00171AA8" w:rsidRPr="00731FE2" w:rsidRDefault="007935AB">
      <w:pPr>
        <w:pStyle w:val="33"/>
        <w:rPr>
          <w:rFonts w:ascii="Times New Roman" w:hAnsi="Times New Roman" w:cs="Times New Roman"/>
        </w:rPr>
      </w:pPr>
      <w:bookmarkStart w:id="83" w:name="_Toc177392834"/>
      <w:r w:rsidRPr="00731FE2">
        <w:rPr>
          <w:rFonts w:ascii="Times New Roman" w:hAnsi="Times New Roman" w:cs="Times New Roman"/>
        </w:rPr>
        <w:t>3.8.5 Инженерная защита от подтопления</w:t>
      </w:r>
      <w:bookmarkEnd w:id="83"/>
    </w:p>
    <w:p w14:paraId="0BDDED0E"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 xml:space="preserve">Одним из наиболее опасных процессов, наносящих ущерб населённым пунктам в составе городского округа, является процесс подтопления. При защите от подтопления городской территории необходимо принимать во внимание, что при строительстве дренажных систем важным аспектом является выбор способа дренирования. </w:t>
      </w:r>
    </w:p>
    <w:p w14:paraId="5BDBD6F3"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Из способов дренирования (типов дренажей) отдаётся предпочтение самотёчным горизонтальным закрытым дренажам как наиболее экономичным. Необходимость применения других типов дренажей, если она не диктуется гидрогеологическими условиями, должна обосновываться специально.</w:t>
      </w:r>
    </w:p>
    <w:p w14:paraId="1BD21035"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При создании дренажных систем на территории городского округа настоящим проектом генерального плана рекомендуется:</w:t>
      </w:r>
    </w:p>
    <w:p w14:paraId="64C47241" w14:textId="77777777" w:rsidR="00171AA8" w:rsidRPr="00731FE2" w:rsidRDefault="007935AB">
      <w:pPr>
        <w:pStyle w:val="a3"/>
        <w:numPr>
          <w:ilvl w:val="0"/>
          <w:numId w:val="18"/>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максимально использовать существующий дренаж после его реконструкции;</w:t>
      </w:r>
    </w:p>
    <w:p w14:paraId="5F601FDF" w14:textId="77777777" w:rsidR="00171AA8" w:rsidRPr="00731FE2" w:rsidRDefault="007935AB">
      <w:pPr>
        <w:pStyle w:val="a3"/>
        <w:numPr>
          <w:ilvl w:val="0"/>
          <w:numId w:val="18"/>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использовать горизонтальный закрытый дренаж как основной вид дренажа;</w:t>
      </w:r>
    </w:p>
    <w:p w14:paraId="05B39C4F" w14:textId="77777777" w:rsidR="00171AA8" w:rsidRPr="00731FE2" w:rsidRDefault="007935AB">
      <w:pPr>
        <w:pStyle w:val="a3"/>
        <w:numPr>
          <w:ilvl w:val="0"/>
          <w:numId w:val="18"/>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лучевой дренаж использовать только как локальный для отдельных зданий и сооружений.</w:t>
      </w:r>
    </w:p>
    <w:p w14:paraId="5680448F"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Необходимо предусмотреть строительство сооружений для очистки дренажных вод с целью доведения их качества до соответствующих норм, а также использование современного высокоэффективного оборудования для электрохимической обработки воды в сочетании с ультрафильтрацией, сорбцией и обеззараживанием жёстким ультрафиолетом на фоне действия добавок пергидроля. Очищенный дренажный сток предлагается сбрасывать в поверхностные водотоки и водоёмы.</w:t>
      </w:r>
    </w:p>
    <w:p w14:paraId="11D31531" w14:textId="77777777" w:rsidR="00171AA8" w:rsidRPr="00731FE2" w:rsidRDefault="007935AB">
      <w:pPr>
        <w:pStyle w:val="33"/>
        <w:rPr>
          <w:rFonts w:ascii="Times New Roman" w:hAnsi="Times New Roman" w:cs="Times New Roman"/>
        </w:rPr>
      </w:pPr>
      <w:bookmarkStart w:id="84" w:name="_Toc177392835"/>
      <w:r w:rsidRPr="00731FE2">
        <w:rPr>
          <w:rFonts w:ascii="Times New Roman" w:hAnsi="Times New Roman" w:cs="Times New Roman"/>
        </w:rPr>
        <w:t>3.8.6 Инженерная защита от затопления</w:t>
      </w:r>
      <w:bookmarkEnd w:id="84"/>
    </w:p>
    <w:p w14:paraId="69E0BA36"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В качестве мер борьбы с затоплением предлагается:</w:t>
      </w:r>
    </w:p>
    <w:p w14:paraId="6D549968" w14:textId="77777777" w:rsidR="00171AA8" w:rsidRPr="00731FE2" w:rsidRDefault="007935AB">
      <w:pPr>
        <w:pStyle w:val="a3"/>
        <w:numPr>
          <w:ilvl w:val="0"/>
          <w:numId w:val="19"/>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очистка местной гидрографической сети и улучшение ее проточности;</w:t>
      </w:r>
    </w:p>
    <w:p w14:paraId="618E2B48" w14:textId="77777777" w:rsidR="00171AA8" w:rsidRPr="00731FE2" w:rsidRDefault="007935AB">
      <w:pPr>
        <w:pStyle w:val="a3"/>
        <w:numPr>
          <w:ilvl w:val="0"/>
          <w:numId w:val="19"/>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укрепление берегов всех рек, протекающих по городской территории;</w:t>
      </w:r>
    </w:p>
    <w:p w14:paraId="261F56C7" w14:textId="77777777" w:rsidR="00171AA8" w:rsidRPr="00731FE2" w:rsidRDefault="007935AB">
      <w:pPr>
        <w:pStyle w:val="a3"/>
        <w:numPr>
          <w:ilvl w:val="0"/>
          <w:numId w:val="19"/>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облицовка магистральных межхозяйственных и распределительных каналов.</w:t>
      </w:r>
    </w:p>
    <w:p w14:paraId="1B50E02B"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Конструкции береговых укреплений должны быть выработаны для каждого конкретного участка русла, в зависимости от гидрологического режима реки и свойств грунтов, слагающих берега и пойму, что выполняется в соответствии со специальным проектом на базе детальных изысканий и исследований.</w:t>
      </w:r>
    </w:p>
    <w:p w14:paraId="08B49D3A" w14:textId="77777777" w:rsidR="00171AA8" w:rsidRPr="00731FE2" w:rsidRDefault="007935AB">
      <w:pPr>
        <w:pStyle w:val="33"/>
        <w:rPr>
          <w:rFonts w:ascii="Times New Roman" w:hAnsi="Times New Roman" w:cs="Times New Roman"/>
        </w:rPr>
      </w:pPr>
      <w:bookmarkStart w:id="85" w:name="undefined"/>
      <w:bookmarkStart w:id="86" w:name="_Toc177392836"/>
      <w:r w:rsidRPr="00731FE2">
        <w:rPr>
          <w:rFonts w:ascii="Times New Roman" w:hAnsi="Times New Roman" w:cs="Times New Roman"/>
        </w:rPr>
        <w:t>3.8.7 Организация поверхностного стока</w:t>
      </w:r>
      <w:bookmarkEnd w:id="85"/>
      <w:bookmarkEnd w:id="86"/>
    </w:p>
    <w:p w14:paraId="1400781D"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lastRenderedPageBreak/>
        <w:t>В настоящее время на территории города-курорта Кисловодска нет централизованной системы сбора, удаления и очистки дождевого стока. На отдельных участках перекрестков улиц во время ливней происходит скапливание воды, затрудняющее не только транспортное, но и пешеходное передвижение. Дождевые и талые воды сбрасываются в существующие водоемы без предварительной очистки.</w:t>
      </w:r>
    </w:p>
    <w:p w14:paraId="710CB34B"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Город-курорт Кисловодск располагает сетью закрытых и открытых водостоков. Протяженность закрытых водостоков превышает 20 км, открытых 7 км. Диаметры коллекторов изменяются от 600 до 1000 мм. Состояние многих ливневых сетей неудовлетворительное, более половины из них нуждается в очистке и капитальном ремонте. Сброс вод из водостоков в водоприемники, которыми являются реки Березовая, Подкумок, Белая, Аликоновка, осуществляется без очистки.</w:t>
      </w:r>
    </w:p>
    <w:p w14:paraId="0F473E62"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На расчетный период реализации генерального плана планируется создание централизованной системы удаления и очистки дождевых вод. Вследствие необходимости отводить бытовые и промышленные сточные воды на объединённые очистные сооружения в г. Пятигорск, предусматривается поверхностный сток отводить, применяя раздельную систему канализации с самостоятельным дождевым коллектором, сооружениями очистки и выпуском в водоём.</w:t>
      </w:r>
    </w:p>
    <w:p w14:paraId="3B30EC13"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Трассу магистрального дождевого коллектора предлагается проложить в пониженных местах территории города-курорта Кисловодска вдоль реки Подкумок, предусмотрев необходимые мероприятия по подготовке территории для трубопровода, с учетом возможностей максимального использования существующих коллекторов.</w:t>
      </w:r>
    </w:p>
    <w:p w14:paraId="5EDD70C3"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Таким образом, поверхностные воды, поступающие на ОСДК, после обработки, проходят дополнительно глубокую доочистку на специальных установках, выбор которых определяется на более детальных стадиях проектирования.</w:t>
      </w:r>
    </w:p>
    <w:p w14:paraId="703BDD33"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b/>
          <w:bCs/>
          <w:color w:val="000000"/>
          <w:szCs w:val="24"/>
        </w:rPr>
      </w:pPr>
      <w:r w:rsidRPr="00731FE2">
        <w:rPr>
          <w:rFonts w:ascii="Times New Roman" w:eastAsia="Times New Roman" w:hAnsi="Times New Roman" w:cs="Times New Roman"/>
          <w:b/>
          <w:bCs/>
          <w:color w:val="000000"/>
          <w:szCs w:val="24"/>
        </w:rPr>
        <w:t xml:space="preserve">На территории городского округа представлены разнообразные опасные геологические процессы, интенсивность которых увеличивается под влиянием городской техногенной нагрузки. Наиболее широкое распространение получили: просадка лессовых грунтов, выветривание, оврагообразование, береговая эрозия, обвально-осыпные явления, оползни, подтопление, затопление. Научный мониторинг и инженерный прогноз рассмотренных опасных геологических процессов необходим как для сохранения существующей городской застройки, так и при дальнейшем градостроительном освоении территории городского округа. </w:t>
      </w:r>
    </w:p>
    <w:p w14:paraId="43A1F11A" w14:textId="77777777" w:rsidR="00171AA8" w:rsidRPr="00731FE2" w:rsidRDefault="00171AA8">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b/>
          <w:bCs/>
          <w:color w:val="000000"/>
          <w:szCs w:val="24"/>
        </w:rPr>
      </w:pPr>
    </w:p>
    <w:p w14:paraId="36AB4AC9" w14:textId="77777777" w:rsidR="00171AA8" w:rsidRPr="00731FE2" w:rsidRDefault="007935AB">
      <w:pPr>
        <w:pStyle w:val="24"/>
        <w:rPr>
          <w:rFonts w:ascii="Times New Roman" w:hAnsi="Times New Roman" w:cs="Times New Roman"/>
        </w:rPr>
      </w:pPr>
      <w:bookmarkStart w:id="87" w:name="_Toc177392837"/>
      <w:r w:rsidRPr="00731FE2">
        <w:rPr>
          <w:rFonts w:ascii="Times New Roman" w:hAnsi="Times New Roman" w:cs="Times New Roman"/>
        </w:rPr>
        <w:t>3.9 Развитие инженерной инфраструктуры</w:t>
      </w:r>
      <w:bookmarkEnd w:id="87"/>
    </w:p>
    <w:p w14:paraId="6460E0C7" w14:textId="77777777" w:rsidR="00171AA8" w:rsidRPr="00731FE2" w:rsidRDefault="007935AB">
      <w:pPr>
        <w:pStyle w:val="33"/>
        <w:rPr>
          <w:rFonts w:ascii="Times New Roman" w:hAnsi="Times New Roman" w:cs="Times New Roman"/>
        </w:rPr>
      </w:pPr>
      <w:bookmarkStart w:id="88" w:name="_Toc177392838"/>
      <w:r w:rsidRPr="00731FE2">
        <w:rPr>
          <w:rFonts w:ascii="Times New Roman" w:hAnsi="Times New Roman" w:cs="Times New Roman"/>
        </w:rPr>
        <w:t>3.9.1 Водоснабжение</w:t>
      </w:r>
      <w:bookmarkEnd w:id="88"/>
    </w:p>
    <w:p w14:paraId="739C1160"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В городе-курорте Кисловодске принимается объединенная хозяйственно-питьевая и противопожарная система водоснабжения, которая должна охватить всю жилую застройку, обеспечить хозяйственно-питьевое водопотребление в жилых и общественных зданиях, нужды санаторно-курортного комплекса, нужды коммунально-бытовых и промышленных предприятий, по роду деятельности которых необходима вода питьевого качества и собственные нужды системы водопровода. Этой же системой обеспечиваются расходы воды на тушение пожаров, полив улиц и зеленых насаждений.</w:t>
      </w:r>
    </w:p>
    <w:p w14:paraId="45537CF8"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 xml:space="preserve">Вновь строящиеся и реконструируемые системы водоснабжения следует проектировать в соответствии с требованиями СП 31.13330.2012 «Водоснабжение. </w:t>
      </w:r>
      <w:r w:rsidRPr="00731FE2">
        <w:rPr>
          <w:rFonts w:ascii="Times New Roman" w:eastAsia="Times New Roman" w:hAnsi="Times New Roman" w:cs="Times New Roman"/>
          <w:color w:val="000000"/>
          <w:szCs w:val="24"/>
        </w:rPr>
        <w:lastRenderedPageBreak/>
        <w:t>Наружные сети и сооружения. Актуализированная редакция СНиП 2.04.02-84*» и СП 30.13330.2016 «СНиП 2.04.01-85* Внутренний водопровод и канализация зданий».</w:t>
      </w:r>
    </w:p>
    <w:p w14:paraId="2EEE21EB"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 xml:space="preserve">Расчетный среднесуточный расход воды определен в соответствии с СП 31.13330.2012 и нормативами градостроительного проектирования Ставропольского края. </w:t>
      </w:r>
    </w:p>
    <w:p w14:paraId="0097F676"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Для существующей сохраняемой и планируемой застройки городского округа города-к</w:t>
      </w:r>
      <w:r w:rsidR="008E1343" w:rsidRPr="00731FE2">
        <w:rPr>
          <w:rFonts w:ascii="Times New Roman" w:eastAsia="Times New Roman" w:hAnsi="Times New Roman" w:cs="Times New Roman"/>
          <w:color w:val="000000"/>
          <w:szCs w:val="24"/>
        </w:rPr>
        <w:t xml:space="preserve">урорта Кисловодска принимается </w:t>
      </w:r>
      <w:r w:rsidRPr="00731FE2">
        <w:rPr>
          <w:rFonts w:ascii="Times New Roman" w:eastAsia="Times New Roman" w:hAnsi="Times New Roman" w:cs="Times New Roman"/>
          <w:color w:val="000000"/>
          <w:szCs w:val="24"/>
        </w:rPr>
        <w:t>норма водопотребления 195 л/сут. на человека.</w:t>
      </w:r>
    </w:p>
    <w:p w14:paraId="60D6C849"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Расходы воды на хозяйственно-питьевые нужды в общественных зданиях по классификации, принятой в СП 44.13330.2011 «Административные и бытовые здания. Актуализированная редакция СНиП 2.09.04-87», учтены нормами водопотребления на хозяйственно–питьевые нужды населения в соответствии с примечанием 2 к таблице 1 СП 31.13330.2012.</w:t>
      </w:r>
    </w:p>
    <w:p w14:paraId="2ACE73EF"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Условно принимаем, что вся застройка, расположенная в границах городского округа город-курорт Кисловодск, будет полностью обеспечена централизованным водоснабжением на первую очередь и расчетный срок.</w:t>
      </w:r>
    </w:p>
    <w:p w14:paraId="4D426DD7"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Удельное среднесуточное потребление воды за поливочный сезон на мойку улиц и полив зеленых насаждений принимается равным 70 л/сут. на одного жителя, в соответствии с примечанием 1 к таблице 3 СП 31.13330.2012. Продолжительность поливочного периода составляет для городского округа 150 дней или примерно 40% от года. Количество поливок принимается одна в сутки.</w:t>
      </w:r>
    </w:p>
    <w:p w14:paraId="087CBF07"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Расход воды на нужды местной промышленности и неучтенные расходы принимаются в размере 10% суммарного расхода воды на хозяйственно-питьевые нужды в соответствии с примечанием 3 к таблице 1 СП 31.13330.2012.</w:t>
      </w:r>
    </w:p>
    <w:p w14:paraId="34B934ED"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Расход воды на собственные нужды системы водопровода принимается в размере 12% от объема подаваемой воды, согласно п. 9.6 СП 31.13330.2012.</w:t>
      </w:r>
    </w:p>
    <w:p w14:paraId="40304994"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rPr>
        <w:t>Расчеты расхода воды в сутки должны учитывать коэффициент суточной неравномерности в связи с разным укладом жизни населения, режима работы предприятий и т.д. В соответствии с этим определен максимальный коэффициент суточной неравномерности – 1,2; минимальный коэффициент суточной неравномерности – 0,8.</w:t>
      </w:r>
    </w:p>
    <w:p w14:paraId="178398AC"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Расчет расхода воды питьевого качества, необходимой для городского округа города-курорта Кисловодска, по этапам развития приводится в таблицах ниже.</w:t>
      </w:r>
    </w:p>
    <w:p w14:paraId="2E84B329" w14:textId="77777777" w:rsidR="00171AA8" w:rsidRPr="00731FE2" w:rsidRDefault="00171AA8">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p>
    <w:p w14:paraId="33D9F9F9" w14:textId="77777777" w:rsidR="00171AA8" w:rsidRPr="00731FE2" w:rsidRDefault="007935AB" w:rsidP="008E1343">
      <w:pPr>
        <w:pStyle w:val="af3"/>
        <w:rPr>
          <w:sz w:val="24"/>
          <w:szCs w:val="24"/>
          <w:vertAlign w:val="superscript"/>
        </w:rPr>
      </w:pPr>
      <w:r w:rsidRPr="00731FE2">
        <w:rPr>
          <w:sz w:val="24"/>
          <w:szCs w:val="24"/>
        </w:rPr>
        <w:t xml:space="preserve">Таблица </w:t>
      </w:r>
      <w:r w:rsidR="00D97880" w:rsidRPr="00731FE2">
        <w:rPr>
          <w:noProof/>
          <w:sz w:val="24"/>
          <w:szCs w:val="24"/>
        </w:rPr>
        <w:fldChar w:fldCharType="begin"/>
      </w:r>
      <w:r w:rsidR="00D97880" w:rsidRPr="00731FE2">
        <w:rPr>
          <w:noProof/>
          <w:sz w:val="24"/>
          <w:szCs w:val="24"/>
        </w:rPr>
        <w:instrText xml:space="preserve"> SEQ Таблица \* Arabic </w:instrText>
      </w:r>
      <w:r w:rsidR="00D97880" w:rsidRPr="00731FE2">
        <w:rPr>
          <w:noProof/>
          <w:sz w:val="24"/>
          <w:szCs w:val="24"/>
        </w:rPr>
        <w:fldChar w:fldCharType="separate"/>
      </w:r>
      <w:r w:rsidR="00C50915" w:rsidRPr="00731FE2">
        <w:rPr>
          <w:noProof/>
          <w:sz w:val="24"/>
          <w:szCs w:val="24"/>
        </w:rPr>
        <w:t>86</w:t>
      </w:r>
      <w:r w:rsidR="00D97880" w:rsidRPr="00731FE2">
        <w:rPr>
          <w:noProof/>
          <w:sz w:val="24"/>
          <w:szCs w:val="24"/>
        </w:rPr>
        <w:fldChar w:fldCharType="end"/>
      </w:r>
      <w:r w:rsidRPr="00731FE2">
        <w:rPr>
          <w:sz w:val="24"/>
          <w:szCs w:val="24"/>
        </w:rPr>
        <w:t xml:space="preserve"> – Расчет объема водопотребления в городском округе городе-курорте Кисловодске на первую очередь реализации генерального плана 2034 год</w:t>
      </w:r>
    </w:p>
    <w:tbl>
      <w:tblPr>
        <w:tblStyle w:val="afe"/>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ayout w:type="fixed"/>
        <w:tblLook w:val="04A0" w:firstRow="1" w:lastRow="0" w:firstColumn="1" w:lastColumn="0" w:noHBand="0" w:noVBand="1"/>
      </w:tblPr>
      <w:tblGrid>
        <w:gridCol w:w="1750"/>
        <w:gridCol w:w="1368"/>
        <w:gridCol w:w="1847"/>
        <w:gridCol w:w="1555"/>
        <w:gridCol w:w="1843"/>
        <w:gridCol w:w="993"/>
      </w:tblGrid>
      <w:tr w:rsidR="00171AA8" w:rsidRPr="00731FE2" w14:paraId="53FA9CE6" w14:textId="77777777">
        <w:trPr>
          <w:trHeight w:val="2141"/>
        </w:trPr>
        <w:tc>
          <w:tcPr>
            <w:tcW w:w="17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C57834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0"/>
                <w:szCs w:val="20"/>
              </w:rPr>
            </w:pPr>
            <w:r w:rsidRPr="00731FE2">
              <w:rPr>
                <w:rFonts w:ascii="Times New Roman" w:eastAsia="Times New Roman" w:hAnsi="Times New Roman" w:cs="Times New Roman"/>
                <w:b/>
                <w:color w:val="000000"/>
                <w:sz w:val="20"/>
                <w:szCs w:val="20"/>
              </w:rPr>
              <w:t>Наименование муниципального образования</w:t>
            </w:r>
          </w:p>
        </w:tc>
        <w:tc>
          <w:tcPr>
            <w:tcW w:w="13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453E8A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0"/>
                <w:szCs w:val="20"/>
              </w:rPr>
            </w:pPr>
            <w:r w:rsidRPr="00731FE2">
              <w:rPr>
                <w:rFonts w:ascii="Times New Roman" w:eastAsia="Times New Roman" w:hAnsi="Times New Roman" w:cs="Times New Roman"/>
                <w:b/>
                <w:color w:val="000000"/>
                <w:sz w:val="20"/>
                <w:szCs w:val="20"/>
              </w:rPr>
              <w:t>Численность населения, 2034 г.</w:t>
            </w:r>
          </w:p>
        </w:tc>
        <w:tc>
          <w:tcPr>
            <w:tcW w:w="18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211087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0"/>
                <w:szCs w:val="20"/>
              </w:rPr>
            </w:pPr>
            <w:r w:rsidRPr="00731FE2">
              <w:rPr>
                <w:rFonts w:ascii="Times New Roman" w:eastAsia="Times New Roman" w:hAnsi="Times New Roman" w:cs="Times New Roman"/>
                <w:b/>
                <w:color w:val="000000"/>
                <w:sz w:val="20"/>
                <w:szCs w:val="20"/>
              </w:rPr>
              <w:t>Норма водопотребления, л/сут. на человека за год</w:t>
            </w:r>
          </w:p>
        </w:tc>
        <w:tc>
          <w:tcPr>
            <w:tcW w:w="15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27D8C4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0"/>
                <w:szCs w:val="20"/>
              </w:rPr>
            </w:pPr>
            <w:r w:rsidRPr="00731FE2">
              <w:rPr>
                <w:rFonts w:ascii="Times New Roman" w:eastAsia="Times New Roman" w:hAnsi="Times New Roman" w:cs="Times New Roman"/>
                <w:b/>
                <w:color w:val="000000"/>
                <w:sz w:val="20"/>
                <w:szCs w:val="20"/>
              </w:rPr>
              <w:t>Среднесуточный расход, тыс. м</w:t>
            </w:r>
            <w:r w:rsidRPr="00731FE2">
              <w:rPr>
                <w:rFonts w:ascii="Times New Roman" w:eastAsia="Times New Roman" w:hAnsi="Times New Roman" w:cs="Times New Roman"/>
                <w:b/>
                <w:color w:val="000000"/>
                <w:sz w:val="20"/>
                <w:szCs w:val="20"/>
                <w:vertAlign w:val="superscript"/>
              </w:rPr>
              <w:t>3</w:t>
            </w:r>
            <w:r w:rsidRPr="00731FE2">
              <w:rPr>
                <w:rFonts w:ascii="Times New Roman" w:eastAsia="Times New Roman" w:hAnsi="Times New Roman" w:cs="Times New Roman"/>
                <w:b/>
                <w:color w:val="000000"/>
                <w:sz w:val="20"/>
                <w:szCs w:val="20"/>
              </w:rPr>
              <w:t>/сут.</w:t>
            </w:r>
          </w:p>
        </w:tc>
        <w:tc>
          <w:tcPr>
            <w:tcW w:w="18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57A4BB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0"/>
                <w:szCs w:val="20"/>
              </w:rPr>
            </w:pPr>
            <w:r w:rsidRPr="00731FE2">
              <w:rPr>
                <w:rFonts w:ascii="Times New Roman" w:eastAsia="Times New Roman" w:hAnsi="Times New Roman" w:cs="Times New Roman"/>
                <w:b/>
                <w:color w:val="000000"/>
                <w:sz w:val="20"/>
                <w:szCs w:val="20"/>
              </w:rPr>
              <w:t>Нужды местной промышленности и неучтенные расходы –10-15% суммарного расхода на хозяйственно-питьевые нужды населенного пункта, тыс. м</w:t>
            </w:r>
            <w:r w:rsidRPr="00731FE2">
              <w:rPr>
                <w:rFonts w:ascii="Times New Roman" w:eastAsia="Times New Roman" w:hAnsi="Times New Roman" w:cs="Times New Roman"/>
                <w:b/>
                <w:color w:val="000000"/>
                <w:sz w:val="20"/>
                <w:szCs w:val="20"/>
                <w:vertAlign w:val="superscript"/>
              </w:rPr>
              <w:t>3</w:t>
            </w:r>
            <w:r w:rsidRPr="00731FE2">
              <w:rPr>
                <w:rFonts w:ascii="Times New Roman" w:eastAsia="Times New Roman" w:hAnsi="Times New Roman" w:cs="Times New Roman"/>
                <w:b/>
                <w:color w:val="000000"/>
                <w:sz w:val="20"/>
                <w:szCs w:val="20"/>
              </w:rPr>
              <w:t>/сут.</w:t>
            </w:r>
          </w:p>
        </w:tc>
        <w:tc>
          <w:tcPr>
            <w:tcW w:w="99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FB87F5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0"/>
                <w:szCs w:val="20"/>
              </w:rPr>
            </w:pPr>
            <w:r w:rsidRPr="00731FE2">
              <w:rPr>
                <w:rFonts w:ascii="Times New Roman" w:eastAsia="Times New Roman" w:hAnsi="Times New Roman" w:cs="Times New Roman"/>
                <w:b/>
                <w:color w:val="000000"/>
                <w:sz w:val="20"/>
                <w:szCs w:val="20"/>
              </w:rPr>
              <w:t>Полив (40%), тыс. м</w:t>
            </w:r>
            <w:r w:rsidRPr="00731FE2">
              <w:rPr>
                <w:rFonts w:ascii="Times New Roman" w:eastAsia="Times New Roman" w:hAnsi="Times New Roman" w:cs="Times New Roman"/>
                <w:b/>
                <w:color w:val="000000"/>
                <w:sz w:val="20"/>
                <w:szCs w:val="20"/>
                <w:vertAlign w:val="superscript"/>
              </w:rPr>
              <w:t>3</w:t>
            </w:r>
            <w:r w:rsidRPr="00731FE2">
              <w:rPr>
                <w:rFonts w:ascii="Times New Roman" w:eastAsia="Times New Roman" w:hAnsi="Times New Roman" w:cs="Times New Roman"/>
                <w:b/>
                <w:color w:val="000000"/>
                <w:sz w:val="20"/>
                <w:szCs w:val="20"/>
              </w:rPr>
              <w:t>/сут.</w:t>
            </w:r>
          </w:p>
        </w:tc>
      </w:tr>
      <w:tr w:rsidR="00171AA8" w:rsidRPr="00731FE2" w14:paraId="236A002B" w14:textId="77777777" w:rsidTr="008E1343">
        <w:trPr>
          <w:trHeight w:val="20"/>
        </w:trPr>
        <w:tc>
          <w:tcPr>
            <w:tcW w:w="17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062116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eastAsia="Times New Roman" w:hAnsi="Times New Roman" w:cs="Times New Roman"/>
                <w:b/>
                <w:bCs/>
                <w:color w:val="000000"/>
                <w:sz w:val="20"/>
                <w:szCs w:val="20"/>
              </w:rPr>
            </w:pPr>
            <w:r w:rsidRPr="00731FE2">
              <w:rPr>
                <w:rFonts w:ascii="Times New Roman" w:eastAsia="Times New Roman" w:hAnsi="Times New Roman" w:cs="Times New Roman"/>
                <w:b/>
                <w:bCs/>
                <w:color w:val="000000"/>
                <w:sz w:val="20"/>
                <w:szCs w:val="20"/>
              </w:rPr>
              <w:t>Городского округа город-курорт Кисловодск</w:t>
            </w:r>
          </w:p>
        </w:tc>
        <w:tc>
          <w:tcPr>
            <w:tcW w:w="13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D425AD5" w14:textId="77777777" w:rsidR="00171AA8" w:rsidRPr="00731FE2" w:rsidRDefault="007935AB" w:rsidP="008E1343">
            <w:pPr>
              <w:pBdr>
                <w:top w:val="none" w:sz="4" w:space="0" w:color="000000"/>
                <w:left w:val="none" w:sz="4" w:space="0" w:color="000000"/>
                <w:bottom w:val="none" w:sz="4" w:space="0" w:color="000000"/>
                <w:right w:val="none" w:sz="4" w:space="0" w:color="000000"/>
              </w:pBdr>
              <w:ind w:firstLine="0"/>
              <w:jc w:val="center"/>
              <w:rPr>
                <w:sz w:val="20"/>
                <w:szCs w:val="20"/>
              </w:rPr>
            </w:pPr>
            <w:r w:rsidRPr="00731FE2">
              <w:rPr>
                <w:rFonts w:ascii="Times New Roman" w:eastAsia="Times New Roman" w:hAnsi="Times New Roman" w:cs="Times New Roman"/>
                <w:color w:val="000000"/>
                <w:sz w:val="20"/>
                <w:szCs w:val="20"/>
              </w:rPr>
              <w:t>132690</w:t>
            </w:r>
          </w:p>
        </w:tc>
        <w:tc>
          <w:tcPr>
            <w:tcW w:w="18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5A382FB" w14:textId="77777777" w:rsidR="00171AA8" w:rsidRPr="00731FE2" w:rsidRDefault="007935AB" w:rsidP="008E1343">
            <w:pPr>
              <w:pBdr>
                <w:top w:val="none" w:sz="4" w:space="0" w:color="000000"/>
                <w:left w:val="none" w:sz="4" w:space="0" w:color="000000"/>
                <w:bottom w:val="none" w:sz="4" w:space="0" w:color="000000"/>
                <w:right w:val="none" w:sz="4" w:space="0" w:color="000000"/>
              </w:pBdr>
              <w:ind w:firstLine="0"/>
              <w:jc w:val="center"/>
              <w:rPr>
                <w:sz w:val="20"/>
                <w:szCs w:val="20"/>
              </w:rPr>
            </w:pPr>
            <w:r w:rsidRPr="00731FE2">
              <w:rPr>
                <w:rFonts w:ascii="Times New Roman" w:eastAsia="Times New Roman" w:hAnsi="Times New Roman" w:cs="Times New Roman"/>
                <w:color w:val="000000"/>
                <w:sz w:val="20"/>
                <w:szCs w:val="20"/>
              </w:rPr>
              <w:t>195</w:t>
            </w:r>
          </w:p>
        </w:tc>
        <w:tc>
          <w:tcPr>
            <w:tcW w:w="15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CE4BCB5" w14:textId="77777777" w:rsidR="00171AA8" w:rsidRPr="00731FE2" w:rsidRDefault="007935AB" w:rsidP="008E1343">
            <w:pPr>
              <w:pBdr>
                <w:top w:val="none" w:sz="4" w:space="0" w:color="000000"/>
                <w:left w:val="none" w:sz="4" w:space="0" w:color="000000"/>
                <w:bottom w:val="none" w:sz="4" w:space="0" w:color="000000"/>
                <w:right w:val="none" w:sz="4" w:space="0" w:color="000000"/>
              </w:pBdr>
              <w:ind w:firstLine="0"/>
              <w:jc w:val="center"/>
              <w:rPr>
                <w:sz w:val="20"/>
                <w:szCs w:val="20"/>
              </w:rPr>
            </w:pPr>
            <w:r w:rsidRPr="00731FE2">
              <w:rPr>
                <w:rFonts w:ascii="Times New Roman" w:eastAsia="Times New Roman" w:hAnsi="Times New Roman" w:cs="Times New Roman"/>
                <w:color w:val="000000"/>
                <w:sz w:val="20"/>
                <w:szCs w:val="20"/>
              </w:rPr>
              <w:t>25,875</w:t>
            </w:r>
          </w:p>
        </w:tc>
        <w:tc>
          <w:tcPr>
            <w:tcW w:w="18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E2870AD" w14:textId="77777777" w:rsidR="00171AA8" w:rsidRPr="00731FE2" w:rsidRDefault="007935AB" w:rsidP="008E1343">
            <w:pPr>
              <w:pBdr>
                <w:top w:val="none" w:sz="4" w:space="0" w:color="000000"/>
                <w:left w:val="none" w:sz="4" w:space="0" w:color="000000"/>
                <w:bottom w:val="none" w:sz="4" w:space="0" w:color="000000"/>
                <w:right w:val="none" w:sz="4" w:space="0" w:color="000000"/>
              </w:pBdr>
              <w:ind w:firstLine="0"/>
              <w:jc w:val="center"/>
              <w:rPr>
                <w:sz w:val="20"/>
                <w:szCs w:val="20"/>
              </w:rPr>
            </w:pPr>
            <w:r w:rsidRPr="00731FE2">
              <w:rPr>
                <w:rFonts w:ascii="Times New Roman" w:eastAsia="Times New Roman" w:hAnsi="Times New Roman" w:cs="Times New Roman"/>
                <w:color w:val="000000"/>
                <w:sz w:val="20"/>
                <w:szCs w:val="20"/>
              </w:rPr>
              <w:t>3,881</w:t>
            </w:r>
          </w:p>
        </w:tc>
        <w:tc>
          <w:tcPr>
            <w:tcW w:w="99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0777FAE" w14:textId="77777777" w:rsidR="00171AA8" w:rsidRPr="00731FE2" w:rsidRDefault="007935AB" w:rsidP="008E1343">
            <w:pPr>
              <w:pBdr>
                <w:top w:val="none" w:sz="4" w:space="0" w:color="000000"/>
                <w:left w:val="none" w:sz="4" w:space="0" w:color="000000"/>
                <w:bottom w:val="none" w:sz="4" w:space="0" w:color="000000"/>
                <w:right w:val="none" w:sz="4" w:space="0" w:color="000000"/>
              </w:pBdr>
              <w:ind w:firstLine="0"/>
              <w:jc w:val="center"/>
              <w:rPr>
                <w:sz w:val="20"/>
                <w:szCs w:val="20"/>
              </w:rPr>
            </w:pPr>
            <w:r w:rsidRPr="00731FE2">
              <w:rPr>
                <w:rFonts w:ascii="Times New Roman" w:eastAsia="Times New Roman" w:hAnsi="Times New Roman" w:cs="Times New Roman"/>
                <w:color w:val="000000"/>
                <w:sz w:val="20"/>
                <w:szCs w:val="20"/>
              </w:rPr>
              <w:t>9,288</w:t>
            </w:r>
          </w:p>
        </w:tc>
      </w:tr>
      <w:tr w:rsidR="00171AA8" w:rsidRPr="00731FE2" w14:paraId="7F4E48DD" w14:textId="77777777">
        <w:trPr>
          <w:trHeight w:val="20"/>
        </w:trPr>
        <w:tc>
          <w:tcPr>
            <w:tcW w:w="8362" w:type="dxa"/>
            <w:gridSpan w:val="5"/>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4952FD0" w14:textId="77777777" w:rsidR="00171AA8" w:rsidRPr="00731FE2" w:rsidRDefault="007935AB">
            <w:pPr>
              <w:pBdr>
                <w:top w:val="none" w:sz="4" w:space="0" w:color="000000"/>
                <w:left w:val="none" w:sz="4" w:space="0" w:color="000000"/>
                <w:bottom w:val="none" w:sz="4" w:space="0" w:color="000000"/>
                <w:right w:val="none" w:sz="4" w:space="0" w:color="000000"/>
              </w:pBdr>
              <w:ind w:firstLine="0"/>
              <w:rPr>
                <w:sz w:val="20"/>
                <w:szCs w:val="20"/>
              </w:rPr>
            </w:pPr>
            <w:r w:rsidRPr="00731FE2">
              <w:rPr>
                <w:rFonts w:ascii="Times New Roman" w:eastAsia="Times New Roman" w:hAnsi="Times New Roman" w:cs="Times New Roman"/>
                <w:b/>
                <w:color w:val="000000"/>
                <w:sz w:val="20"/>
                <w:szCs w:val="20"/>
              </w:rPr>
              <w:t>Всего:</w:t>
            </w:r>
          </w:p>
        </w:tc>
        <w:tc>
          <w:tcPr>
            <w:tcW w:w="99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A580F4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right"/>
              <w:rPr>
                <w:rFonts w:ascii="Times New Roman" w:eastAsia="Times New Roman" w:hAnsi="Times New Roman" w:cs="Times New Roman"/>
                <w:b/>
                <w:bCs/>
                <w:color w:val="000000"/>
                <w:sz w:val="20"/>
                <w:szCs w:val="20"/>
              </w:rPr>
            </w:pPr>
            <w:r w:rsidRPr="00731FE2">
              <w:rPr>
                <w:rFonts w:ascii="Times New Roman" w:eastAsia="Times New Roman" w:hAnsi="Times New Roman" w:cs="Times New Roman"/>
                <w:b/>
                <w:bCs/>
                <w:color w:val="000000"/>
                <w:sz w:val="20"/>
                <w:szCs w:val="20"/>
              </w:rPr>
              <w:t>39,044</w:t>
            </w:r>
          </w:p>
        </w:tc>
      </w:tr>
      <w:tr w:rsidR="00171AA8" w:rsidRPr="00731FE2" w14:paraId="13CDE8B8" w14:textId="77777777">
        <w:trPr>
          <w:trHeight w:val="20"/>
        </w:trPr>
        <w:tc>
          <w:tcPr>
            <w:tcW w:w="8362" w:type="dxa"/>
            <w:gridSpan w:val="5"/>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94E4A15" w14:textId="77777777" w:rsidR="00171AA8" w:rsidRPr="00731FE2" w:rsidRDefault="007935AB">
            <w:pPr>
              <w:pBdr>
                <w:top w:val="none" w:sz="4" w:space="0" w:color="000000"/>
                <w:left w:val="none" w:sz="4" w:space="0" w:color="000000"/>
                <w:bottom w:val="none" w:sz="4" w:space="0" w:color="000000"/>
                <w:right w:val="none" w:sz="4" w:space="0" w:color="000000"/>
              </w:pBdr>
              <w:ind w:firstLine="0"/>
              <w:rPr>
                <w:sz w:val="20"/>
                <w:szCs w:val="20"/>
              </w:rPr>
            </w:pPr>
            <w:r w:rsidRPr="00731FE2">
              <w:rPr>
                <w:rFonts w:ascii="Times New Roman" w:eastAsia="Times New Roman" w:hAnsi="Times New Roman" w:cs="Times New Roman"/>
                <w:color w:val="000000"/>
                <w:sz w:val="20"/>
                <w:szCs w:val="20"/>
              </w:rPr>
              <w:lastRenderedPageBreak/>
              <w:t>Всего в сутки максимального водопотребления с К=1,2</w:t>
            </w:r>
          </w:p>
        </w:tc>
        <w:tc>
          <w:tcPr>
            <w:tcW w:w="99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B7CF4F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right"/>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46,853</w:t>
            </w:r>
          </w:p>
        </w:tc>
      </w:tr>
      <w:tr w:rsidR="00171AA8" w:rsidRPr="00731FE2" w14:paraId="69A6B5CE" w14:textId="77777777">
        <w:trPr>
          <w:trHeight w:val="20"/>
        </w:trPr>
        <w:tc>
          <w:tcPr>
            <w:tcW w:w="8362" w:type="dxa"/>
            <w:gridSpan w:val="5"/>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D659789" w14:textId="77777777" w:rsidR="00171AA8" w:rsidRPr="00731FE2" w:rsidRDefault="007935AB">
            <w:pPr>
              <w:pBdr>
                <w:top w:val="none" w:sz="4" w:space="0" w:color="000000"/>
                <w:left w:val="none" w:sz="4" w:space="0" w:color="000000"/>
                <w:bottom w:val="none" w:sz="4" w:space="0" w:color="000000"/>
                <w:right w:val="none" w:sz="4" w:space="0" w:color="000000"/>
              </w:pBdr>
              <w:ind w:firstLine="0"/>
              <w:rPr>
                <w:sz w:val="20"/>
                <w:szCs w:val="20"/>
              </w:rPr>
            </w:pPr>
            <w:r w:rsidRPr="00731FE2">
              <w:rPr>
                <w:rFonts w:ascii="Times New Roman" w:eastAsia="Times New Roman" w:hAnsi="Times New Roman" w:cs="Times New Roman"/>
                <w:color w:val="000000"/>
                <w:sz w:val="20"/>
                <w:szCs w:val="20"/>
              </w:rPr>
              <w:t>Всего в сутки максимального водопотребления с К=0,8</w:t>
            </w:r>
          </w:p>
        </w:tc>
        <w:tc>
          <w:tcPr>
            <w:tcW w:w="99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D73418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right"/>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31,235</w:t>
            </w:r>
          </w:p>
        </w:tc>
      </w:tr>
    </w:tbl>
    <w:p w14:paraId="3B999C24" w14:textId="77777777" w:rsidR="00171AA8" w:rsidRPr="00731FE2" w:rsidRDefault="00171AA8"/>
    <w:p w14:paraId="0F07F808" w14:textId="77777777" w:rsidR="00171AA8" w:rsidRPr="00731FE2" w:rsidRDefault="007935AB">
      <w:pPr>
        <w:pStyle w:val="af3"/>
        <w:rPr>
          <w:sz w:val="24"/>
          <w:szCs w:val="24"/>
        </w:rPr>
      </w:pPr>
      <w:r w:rsidRPr="00731FE2">
        <w:rPr>
          <w:sz w:val="24"/>
          <w:szCs w:val="24"/>
        </w:rPr>
        <w:t xml:space="preserve">Таблица </w:t>
      </w:r>
      <w:r w:rsidR="00D97880" w:rsidRPr="00731FE2">
        <w:rPr>
          <w:sz w:val="24"/>
          <w:szCs w:val="24"/>
        </w:rPr>
        <w:fldChar w:fldCharType="begin"/>
      </w:r>
      <w:r w:rsidR="00D97880" w:rsidRPr="00731FE2">
        <w:rPr>
          <w:sz w:val="24"/>
          <w:szCs w:val="24"/>
        </w:rPr>
        <w:instrText xml:space="preserve"> SEQ Таблица \* Arabic </w:instrText>
      </w:r>
      <w:r w:rsidR="00D97880" w:rsidRPr="00731FE2">
        <w:rPr>
          <w:sz w:val="24"/>
          <w:szCs w:val="24"/>
        </w:rPr>
        <w:fldChar w:fldCharType="separate"/>
      </w:r>
      <w:r w:rsidR="00C50915" w:rsidRPr="00731FE2">
        <w:rPr>
          <w:noProof/>
          <w:sz w:val="24"/>
          <w:szCs w:val="24"/>
        </w:rPr>
        <w:t>87</w:t>
      </w:r>
      <w:r w:rsidR="00D97880" w:rsidRPr="00731FE2">
        <w:rPr>
          <w:sz w:val="24"/>
          <w:szCs w:val="24"/>
        </w:rPr>
        <w:fldChar w:fldCharType="end"/>
      </w:r>
      <w:r w:rsidRPr="00731FE2">
        <w:rPr>
          <w:sz w:val="24"/>
          <w:szCs w:val="24"/>
        </w:rPr>
        <w:t xml:space="preserve"> – Расчет объема водопотребления в городском округе городе-курорте Кисловодске на расчетный срок реализации генерального плана 2044 год</w:t>
      </w:r>
    </w:p>
    <w:tbl>
      <w:tblPr>
        <w:tblStyle w:val="afe"/>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ayout w:type="fixed"/>
        <w:tblLook w:val="04A0" w:firstRow="1" w:lastRow="0" w:firstColumn="1" w:lastColumn="0" w:noHBand="0" w:noVBand="1"/>
      </w:tblPr>
      <w:tblGrid>
        <w:gridCol w:w="1750"/>
        <w:gridCol w:w="1368"/>
        <w:gridCol w:w="1847"/>
        <w:gridCol w:w="1555"/>
        <w:gridCol w:w="1843"/>
        <w:gridCol w:w="993"/>
      </w:tblGrid>
      <w:tr w:rsidR="00171AA8" w:rsidRPr="00731FE2" w14:paraId="6F4F0D2B" w14:textId="77777777">
        <w:trPr>
          <w:trHeight w:val="2141"/>
        </w:trPr>
        <w:tc>
          <w:tcPr>
            <w:tcW w:w="17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FC3146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b/>
                <w:color w:val="000000"/>
                <w:sz w:val="20"/>
              </w:rPr>
              <w:t>Наименование муниципального образования</w:t>
            </w:r>
          </w:p>
        </w:tc>
        <w:tc>
          <w:tcPr>
            <w:tcW w:w="13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9F2E14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b/>
                <w:color w:val="000000"/>
                <w:sz w:val="20"/>
              </w:rPr>
              <w:t>Численность населения, 2044 г.</w:t>
            </w:r>
          </w:p>
        </w:tc>
        <w:tc>
          <w:tcPr>
            <w:tcW w:w="18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5B83DA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b/>
                <w:color w:val="000000"/>
                <w:sz w:val="20"/>
              </w:rPr>
              <w:t>Норма водопотребления, л/сут. на человека за год</w:t>
            </w:r>
          </w:p>
        </w:tc>
        <w:tc>
          <w:tcPr>
            <w:tcW w:w="15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822DF2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b/>
                <w:color w:val="000000"/>
                <w:sz w:val="20"/>
              </w:rPr>
              <w:t>Среднесуточный расход, тыс. м</w:t>
            </w:r>
            <w:r w:rsidRPr="00731FE2">
              <w:rPr>
                <w:rFonts w:ascii="Times New Roman" w:eastAsia="Times New Roman" w:hAnsi="Times New Roman" w:cs="Times New Roman"/>
                <w:b/>
                <w:color w:val="000000"/>
                <w:sz w:val="17"/>
                <w:vertAlign w:val="superscript"/>
              </w:rPr>
              <w:t>3</w:t>
            </w:r>
            <w:r w:rsidRPr="00731FE2">
              <w:rPr>
                <w:rFonts w:ascii="Times New Roman" w:eastAsia="Times New Roman" w:hAnsi="Times New Roman" w:cs="Times New Roman"/>
                <w:b/>
                <w:color w:val="000000"/>
                <w:sz w:val="20"/>
              </w:rPr>
              <w:t>/сут.</w:t>
            </w:r>
          </w:p>
        </w:tc>
        <w:tc>
          <w:tcPr>
            <w:tcW w:w="18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CD6C13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b/>
                <w:color w:val="000000"/>
                <w:sz w:val="20"/>
              </w:rPr>
              <w:t>Нужды местной промышленности и неучтенные расходы –10-15% суммарного расхода на хозяйственно-питьевые нужды населенного пункта, тыс. м</w:t>
            </w:r>
            <w:r w:rsidRPr="00731FE2">
              <w:rPr>
                <w:rFonts w:ascii="Times New Roman" w:eastAsia="Times New Roman" w:hAnsi="Times New Roman" w:cs="Times New Roman"/>
                <w:b/>
                <w:color w:val="000000"/>
                <w:sz w:val="17"/>
                <w:vertAlign w:val="superscript"/>
              </w:rPr>
              <w:t>3</w:t>
            </w:r>
            <w:r w:rsidRPr="00731FE2">
              <w:rPr>
                <w:rFonts w:ascii="Times New Roman" w:eastAsia="Times New Roman" w:hAnsi="Times New Roman" w:cs="Times New Roman"/>
                <w:b/>
                <w:color w:val="000000"/>
                <w:sz w:val="20"/>
              </w:rPr>
              <w:t>/сут.</w:t>
            </w:r>
          </w:p>
        </w:tc>
        <w:tc>
          <w:tcPr>
            <w:tcW w:w="99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5BE444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b/>
                <w:color w:val="000000"/>
                <w:sz w:val="20"/>
              </w:rPr>
              <w:t>Полив (40%), тыс. м</w:t>
            </w:r>
            <w:r w:rsidRPr="00731FE2">
              <w:rPr>
                <w:rFonts w:ascii="Times New Roman" w:eastAsia="Times New Roman" w:hAnsi="Times New Roman" w:cs="Times New Roman"/>
                <w:b/>
                <w:color w:val="000000"/>
                <w:sz w:val="17"/>
                <w:vertAlign w:val="superscript"/>
              </w:rPr>
              <w:t>3</w:t>
            </w:r>
            <w:r w:rsidRPr="00731FE2">
              <w:rPr>
                <w:rFonts w:ascii="Times New Roman" w:eastAsia="Times New Roman" w:hAnsi="Times New Roman" w:cs="Times New Roman"/>
                <w:b/>
                <w:color w:val="000000"/>
                <w:sz w:val="20"/>
              </w:rPr>
              <w:t>/сут.</w:t>
            </w:r>
          </w:p>
        </w:tc>
      </w:tr>
      <w:tr w:rsidR="00171AA8" w:rsidRPr="00731FE2" w14:paraId="79146662" w14:textId="77777777" w:rsidTr="008E1343">
        <w:trPr>
          <w:trHeight w:val="20"/>
        </w:trPr>
        <w:tc>
          <w:tcPr>
            <w:tcW w:w="175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6B92A9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eastAsia="Times New Roman" w:hAnsi="Times New Roman" w:cs="Times New Roman"/>
                <w:b/>
                <w:bCs/>
                <w:color w:val="000000"/>
                <w:sz w:val="20"/>
                <w:szCs w:val="20"/>
              </w:rPr>
            </w:pPr>
            <w:r w:rsidRPr="00731FE2">
              <w:rPr>
                <w:rFonts w:ascii="Times New Roman" w:eastAsia="Times New Roman" w:hAnsi="Times New Roman" w:cs="Times New Roman"/>
                <w:b/>
                <w:bCs/>
                <w:color w:val="000000"/>
                <w:sz w:val="20"/>
                <w:szCs w:val="20"/>
              </w:rPr>
              <w:t>Городского округа город-курорт Кисловодск</w:t>
            </w:r>
          </w:p>
        </w:tc>
        <w:tc>
          <w:tcPr>
            <w:tcW w:w="13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8A412B6" w14:textId="77777777" w:rsidR="00171AA8" w:rsidRPr="00731FE2" w:rsidRDefault="007935AB" w:rsidP="008E1343">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0"/>
              </w:rPr>
              <w:t>135066</w:t>
            </w:r>
          </w:p>
        </w:tc>
        <w:tc>
          <w:tcPr>
            <w:tcW w:w="18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96EB5DE" w14:textId="77777777" w:rsidR="00171AA8" w:rsidRPr="00731FE2" w:rsidRDefault="007935AB" w:rsidP="008E1343">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0"/>
              </w:rPr>
              <w:t>195</w:t>
            </w:r>
          </w:p>
        </w:tc>
        <w:tc>
          <w:tcPr>
            <w:tcW w:w="15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743F91E" w14:textId="77777777" w:rsidR="00171AA8" w:rsidRPr="00731FE2" w:rsidRDefault="007935AB" w:rsidP="008E1343">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0"/>
              </w:rPr>
              <w:t>26,338</w:t>
            </w:r>
          </w:p>
        </w:tc>
        <w:tc>
          <w:tcPr>
            <w:tcW w:w="18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5B8A3DA" w14:textId="77777777" w:rsidR="00171AA8" w:rsidRPr="00731FE2" w:rsidRDefault="007935AB" w:rsidP="008E1343">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0"/>
              </w:rPr>
              <w:t>3,951</w:t>
            </w:r>
          </w:p>
        </w:tc>
        <w:tc>
          <w:tcPr>
            <w:tcW w:w="99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772C5A1" w14:textId="77777777" w:rsidR="00171AA8" w:rsidRPr="00731FE2" w:rsidRDefault="007935AB" w:rsidP="008E1343">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0"/>
              </w:rPr>
              <w:t>9,455</w:t>
            </w:r>
          </w:p>
        </w:tc>
      </w:tr>
      <w:tr w:rsidR="00171AA8" w:rsidRPr="00731FE2" w14:paraId="2CB60026" w14:textId="77777777">
        <w:trPr>
          <w:trHeight w:val="20"/>
        </w:trPr>
        <w:tc>
          <w:tcPr>
            <w:tcW w:w="8362" w:type="dxa"/>
            <w:gridSpan w:val="5"/>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EA8C6F3" w14:textId="77777777" w:rsidR="00171AA8" w:rsidRPr="00731FE2" w:rsidRDefault="007935AB">
            <w:pPr>
              <w:pBdr>
                <w:top w:val="none" w:sz="4" w:space="0" w:color="000000"/>
                <w:left w:val="none" w:sz="4" w:space="0" w:color="000000"/>
                <w:bottom w:val="none" w:sz="4" w:space="0" w:color="000000"/>
                <w:right w:val="none" w:sz="4" w:space="0" w:color="000000"/>
              </w:pBdr>
              <w:ind w:firstLine="0"/>
            </w:pPr>
            <w:r w:rsidRPr="00731FE2">
              <w:rPr>
                <w:rFonts w:ascii="Times New Roman" w:eastAsia="Times New Roman" w:hAnsi="Times New Roman" w:cs="Times New Roman"/>
                <w:b/>
                <w:color w:val="000000"/>
                <w:sz w:val="20"/>
              </w:rPr>
              <w:t>Всего:</w:t>
            </w:r>
          </w:p>
        </w:tc>
        <w:tc>
          <w:tcPr>
            <w:tcW w:w="99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BE509C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right"/>
              <w:rPr>
                <w:rFonts w:ascii="Times New Roman" w:eastAsia="Times New Roman" w:hAnsi="Times New Roman" w:cs="Times New Roman"/>
                <w:b/>
                <w:bCs/>
                <w:color w:val="000000"/>
                <w:sz w:val="20"/>
                <w:szCs w:val="20"/>
              </w:rPr>
            </w:pPr>
            <w:r w:rsidRPr="00731FE2">
              <w:rPr>
                <w:rFonts w:ascii="Times New Roman" w:eastAsia="Times New Roman" w:hAnsi="Times New Roman" w:cs="Times New Roman"/>
                <w:b/>
                <w:bCs/>
                <w:color w:val="000000"/>
                <w:sz w:val="20"/>
                <w:szCs w:val="20"/>
              </w:rPr>
              <w:t>39,744</w:t>
            </w:r>
          </w:p>
        </w:tc>
      </w:tr>
      <w:tr w:rsidR="00171AA8" w:rsidRPr="00731FE2" w14:paraId="0257AEAD" w14:textId="77777777">
        <w:trPr>
          <w:trHeight w:val="20"/>
        </w:trPr>
        <w:tc>
          <w:tcPr>
            <w:tcW w:w="8362" w:type="dxa"/>
            <w:gridSpan w:val="5"/>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D308340" w14:textId="77777777" w:rsidR="00171AA8" w:rsidRPr="00731FE2" w:rsidRDefault="007935AB">
            <w:pPr>
              <w:pBdr>
                <w:top w:val="none" w:sz="4" w:space="0" w:color="000000"/>
                <w:left w:val="none" w:sz="4" w:space="0" w:color="000000"/>
                <w:bottom w:val="none" w:sz="4" w:space="0" w:color="000000"/>
                <w:right w:val="none" w:sz="4" w:space="0" w:color="000000"/>
              </w:pBdr>
              <w:ind w:firstLine="0"/>
            </w:pPr>
            <w:r w:rsidRPr="00731FE2">
              <w:rPr>
                <w:rFonts w:ascii="Times New Roman" w:eastAsia="Times New Roman" w:hAnsi="Times New Roman" w:cs="Times New Roman"/>
                <w:color w:val="000000"/>
                <w:sz w:val="20"/>
              </w:rPr>
              <w:t>Всего в сутки максимального водопотребления с К=1,2</w:t>
            </w:r>
          </w:p>
        </w:tc>
        <w:tc>
          <w:tcPr>
            <w:tcW w:w="99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928191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right"/>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47,693</w:t>
            </w:r>
          </w:p>
        </w:tc>
      </w:tr>
      <w:tr w:rsidR="00171AA8" w:rsidRPr="00731FE2" w14:paraId="6C433A3D" w14:textId="77777777">
        <w:trPr>
          <w:trHeight w:val="20"/>
        </w:trPr>
        <w:tc>
          <w:tcPr>
            <w:tcW w:w="8362" w:type="dxa"/>
            <w:gridSpan w:val="5"/>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8D4C71C" w14:textId="77777777" w:rsidR="00171AA8" w:rsidRPr="00731FE2" w:rsidRDefault="007935AB">
            <w:pPr>
              <w:pBdr>
                <w:top w:val="none" w:sz="4" w:space="0" w:color="000000"/>
                <w:left w:val="none" w:sz="4" w:space="0" w:color="000000"/>
                <w:bottom w:val="none" w:sz="4" w:space="0" w:color="000000"/>
                <w:right w:val="none" w:sz="4" w:space="0" w:color="000000"/>
              </w:pBdr>
              <w:ind w:firstLine="0"/>
            </w:pPr>
            <w:r w:rsidRPr="00731FE2">
              <w:rPr>
                <w:rFonts w:ascii="Times New Roman" w:eastAsia="Times New Roman" w:hAnsi="Times New Roman" w:cs="Times New Roman"/>
                <w:color w:val="000000"/>
                <w:sz w:val="20"/>
              </w:rPr>
              <w:t>Всего в сутки максимального водопотребления с К=0,8</w:t>
            </w:r>
          </w:p>
        </w:tc>
        <w:tc>
          <w:tcPr>
            <w:tcW w:w="99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5E77A1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right"/>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31,795</w:t>
            </w:r>
          </w:p>
        </w:tc>
      </w:tr>
    </w:tbl>
    <w:p w14:paraId="6A1E225B" w14:textId="77777777" w:rsidR="00171AA8" w:rsidRPr="00731FE2" w:rsidRDefault="00171AA8"/>
    <w:p w14:paraId="2118E1FD" w14:textId="77777777" w:rsidR="00171AA8" w:rsidRPr="00731FE2" w:rsidRDefault="007935AB">
      <w:r w:rsidRPr="00731FE2">
        <w:rPr>
          <w:rFonts w:ascii="Times New Roman" w:eastAsia="Times New Roman" w:hAnsi="Times New Roman" w:cs="Times New Roman"/>
          <w:color w:val="000000"/>
        </w:rPr>
        <w:t>Расход воды на наружное пожаротушение рассчитывается на основе СП 8.13130.2020 «Системы противопожарной защиты. Наружное противопожарное водоснабжение. Требования пожарной безопасности» исходя из характера застройки и проектной численности населения. Для расчета магистральных (расчетных кольцевых) линий водопроводной сети населенного пункта расход воды на наружное пожаротушение (на один пожар) и количество одновременных пожаров следует принимать по таблице ниже. При этом принятое значение расхода воды на наружное пожаротушение должно быть не менее расхода воды для расчета соединительных и распределительных линий водопроводной сети населенного пункта, а также водопроводной сети внутри микрорайона или квартала в соответствии с пунктом 5.2 свода правил.</w:t>
      </w:r>
    </w:p>
    <w:p w14:paraId="52A27416"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b/>
          <w:bCs/>
          <w:color w:val="000000"/>
          <w:szCs w:val="24"/>
        </w:rPr>
        <w:t>Расчетный расход воды на наружное пожаротушение</w:t>
      </w:r>
      <w:r w:rsidRPr="00731FE2">
        <w:rPr>
          <w:rFonts w:ascii="Times New Roman" w:eastAsia="Times New Roman" w:hAnsi="Times New Roman" w:cs="Times New Roman"/>
          <w:color w:val="000000"/>
          <w:szCs w:val="24"/>
        </w:rPr>
        <w:t xml:space="preserve"> и расчетное количество одновременных пожаров принимается в соответствии с таблицей 1 СП 8.13130.2020 «Системы противопожарной защиты. Источники наружного противопожарного водоснабжения. Требования пожарной безопасности», исходя из характера застройки и проектной численности населения. Расчетная продолжительность тушения одного пожара составляет 3 часа. Максимальный срок восстановления пожарного объема составляет 24 ч.</w:t>
      </w:r>
      <w:r w:rsidRPr="00731FE2">
        <w:rPr>
          <w:rFonts w:ascii="Times New Roman" w:eastAsia="Times New Roman" w:hAnsi="Times New Roman" w:cs="Times New Roman"/>
          <w:color w:val="000000"/>
          <w:szCs w:val="24"/>
          <w:vertAlign w:val="superscript"/>
        </w:rPr>
        <w:footnoteReference w:id="115"/>
      </w:r>
    </w:p>
    <w:p w14:paraId="3D4C4D47"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На первую очередь (2034 год) и расчетный срок (2044 год) генерального плана принимается условное значение – три пожара в жилой застройке с расходом воды на наружное пожаротушение 40 л/сек.</w:t>
      </w:r>
    </w:p>
    <w:p w14:paraId="333D7C1A"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В соответствии с требованиями СП 31.13330.2012 в расчетное количество трёх одновременных пожаров включены и пожары на промышленных предприятиях, при этом для предприятий, имеющих собственные технические водопроводы, дополнительное пожаротушение обеспечивается от сети технического водоснабжения.</w:t>
      </w:r>
    </w:p>
    <w:p w14:paraId="58CECD15"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rPr>
        <w:lastRenderedPageBreak/>
        <w:t>С учетом полученных сведений рассчитан требуемый противопожарный запас воды. Расход воды на пожаротушение представлен в м</w:t>
      </w:r>
      <w:r w:rsidRPr="00731FE2">
        <w:rPr>
          <w:rFonts w:ascii="Times New Roman" w:eastAsia="Times New Roman" w:hAnsi="Times New Roman" w:cs="Times New Roman"/>
          <w:color w:val="000000"/>
          <w:sz w:val="20"/>
          <w:vertAlign w:val="superscript"/>
        </w:rPr>
        <w:t xml:space="preserve">3 </w:t>
      </w:r>
      <w:r w:rsidRPr="00731FE2">
        <w:rPr>
          <w:rFonts w:ascii="Times New Roman" w:eastAsia="Times New Roman" w:hAnsi="Times New Roman" w:cs="Times New Roman"/>
          <w:color w:val="000000"/>
        </w:rPr>
        <w:t>(1 л/с = 3,6 м</w:t>
      </w:r>
      <w:r w:rsidRPr="00731FE2">
        <w:rPr>
          <w:rFonts w:ascii="Times New Roman" w:eastAsia="Times New Roman" w:hAnsi="Times New Roman" w:cs="Times New Roman"/>
          <w:color w:val="000000"/>
          <w:sz w:val="20"/>
          <w:vertAlign w:val="superscript"/>
        </w:rPr>
        <w:t>3</w:t>
      </w:r>
      <w:r w:rsidRPr="00731FE2">
        <w:rPr>
          <w:rFonts w:ascii="Times New Roman" w:eastAsia="Times New Roman" w:hAnsi="Times New Roman" w:cs="Times New Roman"/>
          <w:color w:val="000000"/>
        </w:rPr>
        <w:t>/час)</w:t>
      </w:r>
      <w:r w:rsidRPr="00731FE2">
        <w:rPr>
          <w:rFonts w:ascii="Times New Roman" w:eastAsia="Times New Roman" w:hAnsi="Times New Roman" w:cs="Times New Roman"/>
          <w:color w:val="000000"/>
          <w:szCs w:val="24"/>
        </w:rPr>
        <w:t>. Требуемый противопожарный запас воды составит: 40 х 3,6 х 3 = 432 м</w:t>
      </w:r>
      <w:r w:rsidRPr="00731FE2">
        <w:rPr>
          <w:rFonts w:ascii="Times New Roman" w:eastAsia="Times New Roman" w:hAnsi="Times New Roman" w:cs="Times New Roman"/>
          <w:color w:val="000000"/>
          <w:szCs w:val="24"/>
          <w:vertAlign w:val="superscript"/>
        </w:rPr>
        <w:t>3</w:t>
      </w:r>
      <w:r w:rsidRPr="00731FE2">
        <w:rPr>
          <w:rFonts w:ascii="Times New Roman" w:eastAsia="Times New Roman" w:hAnsi="Times New Roman" w:cs="Times New Roman"/>
          <w:color w:val="000000"/>
          <w:szCs w:val="24"/>
        </w:rPr>
        <w:t>. Неприкосновенный трехчасовой противопожарный запас воды хранится в зонных резервуарах запаса воды.</w:t>
      </w:r>
    </w:p>
    <w:p w14:paraId="109E7E17"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Восстановление противопожарного объема – 1,296 м</w:t>
      </w:r>
      <w:r w:rsidRPr="00731FE2">
        <w:rPr>
          <w:rFonts w:ascii="Times New Roman" w:eastAsia="Times New Roman" w:hAnsi="Times New Roman" w:cs="Times New Roman"/>
          <w:color w:val="000000"/>
          <w:szCs w:val="24"/>
          <w:vertAlign w:val="superscript"/>
        </w:rPr>
        <w:t>3</w:t>
      </w:r>
      <w:r w:rsidRPr="00731FE2">
        <w:rPr>
          <w:rFonts w:ascii="Times New Roman" w:eastAsia="Times New Roman" w:hAnsi="Times New Roman" w:cs="Times New Roman"/>
          <w:color w:val="000000"/>
          <w:szCs w:val="24"/>
        </w:rPr>
        <w:t>/сут.</w:t>
      </w:r>
    </w:p>
    <w:p w14:paraId="2B57FB91"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Система пожаротушения принята низкого давления с забором воды на разводящей сети через пожарные гидранты с повышением напоров для подачи воды с помощью автонасоса. Свободный напор в сети при пожаре должен быть не менее 10 м.</w:t>
      </w:r>
    </w:p>
    <w:p w14:paraId="695AC0E4"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Внешние сети водоснабжения запроектированы кольцевыми. Пожарные гидранты следует устанавливать на кольцевых участках водопроводных линий. Расстановка пожарных гидрантов на водопроводной сети должна обеспечивать пожаротушение любого обслуживаемого данной сетью здания, сооружения или его части не менее чем от двух гидрантов.</w:t>
      </w:r>
    </w:p>
    <w:p w14:paraId="59A6D526"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Расстояние между гидрантами определяется расчетом, учитывающим суммарный расход воды на пожаротушение и пропускную способность устанавливаемого типа гидрантов по ГОСТ 8220-85 (п. 8.6 СП 8.13130.2020).</w:t>
      </w:r>
    </w:p>
    <w:p w14:paraId="704C0957"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b/>
          <w:bCs/>
          <w:color w:val="000000"/>
          <w:szCs w:val="24"/>
        </w:rPr>
        <w:t xml:space="preserve">Мероприятия по развитию централизованной системы хозяйственно-питьевого водоснабжения. Проектируемая схема подачи воды. </w:t>
      </w:r>
      <w:r w:rsidRPr="00731FE2">
        <w:rPr>
          <w:rFonts w:ascii="Times New Roman" w:eastAsia="Times New Roman" w:hAnsi="Times New Roman" w:cs="Times New Roman"/>
          <w:color w:val="000000"/>
          <w:szCs w:val="24"/>
        </w:rPr>
        <w:t>Основными задачами совершенствования и дальнейшего развития централизованной системы водоснабжения городского округа являются:</w:t>
      </w:r>
    </w:p>
    <w:p w14:paraId="300F3615" w14:textId="77777777" w:rsidR="00171AA8" w:rsidRPr="00731FE2" w:rsidRDefault="007935AB" w:rsidP="007832E7">
      <w:pPr>
        <w:pStyle w:val="a3"/>
        <w:numPr>
          <w:ilvl w:val="0"/>
          <w:numId w:val="79"/>
        </w:numPr>
        <w:pBdr>
          <w:top w:val="none" w:sz="4" w:space="0" w:color="000000"/>
          <w:left w:val="none" w:sz="4" w:space="0" w:color="000000"/>
          <w:bottom w:val="none" w:sz="4" w:space="0" w:color="000000"/>
          <w:right w:val="none" w:sz="4" w:space="0" w:color="000000"/>
        </w:pBdr>
        <w:tabs>
          <w:tab w:val="left" w:pos="992"/>
        </w:tabs>
        <w:ind w:left="0" w:firstLine="709"/>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повышение надежности подачи качественной питьевой воды населению и курортно-санаторному комплексу, а также обеспечение потребности в водоснабжении развивающегося жилищного строительства;</w:t>
      </w:r>
    </w:p>
    <w:p w14:paraId="529A979F" w14:textId="77777777" w:rsidR="00171AA8" w:rsidRPr="00731FE2" w:rsidRDefault="007935AB" w:rsidP="007832E7">
      <w:pPr>
        <w:pStyle w:val="a3"/>
        <w:numPr>
          <w:ilvl w:val="0"/>
          <w:numId w:val="79"/>
        </w:numPr>
        <w:pBdr>
          <w:top w:val="none" w:sz="4" w:space="0" w:color="000000"/>
          <w:left w:val="none" w:sz="4" w:space="0" w:color="000000"/>
          <w:bottom w:val="none" w:sz="4" w:space="0" w:color="000000"/>
          <w:right w:val="none" w:sz="4" w:space="0" w:color="000000"/>
        </w:pBdr>
        <w:tabs>
          <w:tab w:val="left" w:pos="992"/>
        </w:tabs>
        <w:ind w:left="0" w:firstLine="709"/>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реконструкция и модернизация существующих водопроводных сооружений;</w:t>
      </w:r>
    </w:p>
    <w:p w14:paraId="0FB7A05B" w14:textId="77777777" w:rsidR="00171AA8" w:rsidRPr="00731FE2" w:rsidRDefault="007935AB" w:rsidP="007832E7">
      <w:pPr>
        <w:pStyle w:val="a3"/>
        <w:numPr>
          <w:ilvl w:val="0"/>
          <w:numId w:val="79"/>
        </w:numPr>
        <w:pBdr>
          <w:top w:val="none" w:sz="4" w:space="0" w:color="000000"/>
          <w:left w:val="none" w:sz="4" w:space="0" w:color="000000"/>
          <w:bottom w:val="none" w:sz="4" w:space="0" w:color="000000"/>
          <w:right w:val="none" w:sz="4" w:space="0" w:color="000000"/>
        </w:pBdr>
        <w:tabs>
          <w:tab w:val="left" w:pos="992"/>
        </w:tabs>
        <w:ind w:left="0" w:firstLine="709"/>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строительство новых и замена изношенных водопроводных сетей;</w:t>
      </w:r>
    </w:p>
    <w:p w14:paraId="128F84A0" w14:textId="77777777" w:rsidR="00171AA8" w:rsidRPr="00731FE2" w:rsidRDefault="007935AB" w:rsidP="007832E7">
      <w:pPr>
        <w:pStyle w:val="a3"/>
        <w:numPr>
          <w:ilvl w:val="0"/>
          <w:numId w:val="79"/>
        </w:numPr>
        <w:pBdr>
          <w:top w:val="none" w:sz="4" w:space="0" w:color="000000"/>
          <w:left w:val="none" w:sz="4" w:space="0" w:color="000000"/>
          <w:bottom w:val="none" w:sz="4" w:space="0" w:color="000000"/>
          <w:right w:val="none" w:sz="4" w:space="0" w:color="000000"/>
        </w:pBdr>
        <w:tabs>
          <w:tab w:val="left" w:pos="992"/>
        </w:tabs>
        <w:ind w:left="0" w:firstLine="709"/>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строительство и реконструкция зонных резервуаров.</w:t>
      </w:r>
    </w:p>
    <w:p w14:paraId="26DF9F21"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На протяжении последних лет наблюдается тенденция к рациональному и экономному потреблению холодной воды и, следовательно, снижению объемов ее реализации всеми категориями потребителей. При прогнозируемой тенденции к сокращению водопотребления города-курорта, производительности существующих сооружений по максимальному суточному расходу достаточно и имеется резерв. Однако необходимо заметить, что, несмотря на резерв мощности, имеется физическая изношенность водозаборных и водопроводных сооружений.</w:t>
      </w:r>
    </w:p>
    <w:p w14:paraId="6BE886E2"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Проектируемой схемой водоснабжения предусматривается 100% обеспечение городской застройки централизованным водоснабжением.</w:t>
      </w:r>
    </w:p>
    <w:p w14:paraId="528B7A65"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Источниками хозяйственно-питьевого водоснабжения города-курорта Кисловодск остаются: Эшкаконское водохранилище и местные источники «Лермонтовские», «Теплушка», «Находка» и «Близнецы».</w:t>
      </w:r>
    </w:p>
    <w:p w14:paraId="4BE35CEB"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Исходя из сложившейся экономической ситуации, на перспективу предлагается создание основной схемы водоснабжения города-курорта Кисловодска от Кубанского районного водопровода, так называемая Альтернативная схема водоснабжения. Потребуется строительство головных объектов водоснабжения в районе поста «Гора-Кольцо».</w:t>
      </w:r>
    </w:p>
    <w:p w14:paraId="6C70703F"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Источниками технической воды остаются источники «Чивелли» и «Неволька».</w:t>
      </w:r>
    </w:p>
    <w:p w14:paraId="308F08AA" w14:textId="77777777" w:rsidR="00171AA8" w:rsidRPr="00731FE2" w:rsidRDefault="007935AB">
      <w:pPr>
        <w:pBdr>
          <w:top w:val="none" w:sz="4" w:space="0" w:color="000000"/>
          <w:left w:val="none" w:sz="4" w:space="0" w:color="000000"/>
          <w:bottom w:val="none" w:sz="4" w:space="0" w:color="000000"/>
          <w:right w:val="none" w:sz="4" w:space="0" w:color="000000"/>
        </w:pBdr>
        <w:tabs>
          <w:tab w:val="left" w:pos="992"/>
        </w:tabs>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lastRenderedPageBreak/>
        <w:t>Необходимо вести новое строительство объектов централизованной системы водоснабжения на территориях, где оно отсутствует, и проводить мероприятия по реконструкции существующих сетей и сооружений.</w:t>
      </w:r>
    </w:p>
    <w:p w14:paraId="7A4C2B42"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Предложения по строительству, реконструкции и модернизации объектов системы централизованного водоснабжения города-курорта Кисловодска регионального значения приведены в гл. 4 Тома 2 «Материалы по обоснованию» настоящего генерального плана.</w:t>
      </w:r>
    </w:p>
    <w:p w14:paraId="57248A72"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Перечень объектов местного значения предста</w:t>
      </w:r>
      <w:r w:rsidR="00E27FAB" w:rsidRPr="00731FE2">
        <w:rPr>
          <w:rFonts w:ascii="Times New Roman" w:eastAsia="Times New Roman" w:hAnsi="Times New Roman" w:cs="Times New Roman"/>
          <w:color w:val="000000"/>
          <w:szCs w:val="24"/>
        </w:rPr>
        <w:t>в</w:t>
      </w:r>
      <w:r w:rsidRPr="00731FE2">
        <w:rPr>
          <w:rFonts w:ascii="Times New Roman" w:eastAsia="Times New Roman" w:hAnsi="Times New Roman" w:cs="Times New Roman"/>
          <w:color w:val="000000"/>
          <w:szCs w:val="24"/>
        </w:rPr>
        <w:t>лен в Томе 1. «Положение о территориальном планировании» настоящего генерального плана.</w:t>
      </w:r>
    </w:p>
    <w:p w14:paraId="2FE020D7"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b/>
          <w:bCs/>
          <w:color w:val="000000"/>
          <w:szCs w:val="24"/>
        </w:rPr>
        <w:t>Общие мероприятия по развитию и реконструкции системы водоснабжения город-курорт Кисловодск.</w:t>
      </w:r>
      <w:r w:rsidR="008E1343" w:rsidRPr="00731FE2">
        <w:rPr>
          <w:rFonts w:ascii="Times New Roman" w:eastAsia="Times New Roman" w:hAnsi="Times New Roman" w:cs="Times New Roman"/>
          <w:b/>
          <w:bCs/>
          <w:color w:val="000000"/>
          <w:szCs w:val="24"/>
        </w:rPr>
        <w:t xml:space="preserve"> </w:t>
      </w:r>
      <w:r w:rsidRPr="00731FE2">
        <w:rPr>
          <w:rFonts w:ascii="Times New Roman" w:eastAsia="Times New Roman" w:hAnsi="Times New Roman" w:cs="Times New Roman"/>
          <w:color w:val="000000"/>
          <w:szCs w:val="24"/>
        </w:rPr>
        <w:t>В связи с изменением планировки сложившейся структуры застройки потребуется демонтаж и перекладка участков сетей, попадающих под проектируемые объекты.</w:t>
      </w:r>
    </w:p>
    <w:p w14:paraId="4458A163"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Водопроводная сеть городского округа запроектирована кольцевой системой. На участках новых водопроводных сетей необходимо предусматривать размещение пожарных гидрантов.</w:t>
      </w:r>
      <w:r w:rsidR="00E27FAB" w:rsidRPr="00731FE2">
        <w:rPr>
          <w:rFonts w:ascii="Times New Roman" w:eastAsia="Times New Roman" w:hAnsi="Times New Roman" w:cs="Times New Roman"/>
          <w:color w:val="000000"/>
          <w:szCs w:val="24"/>
        </w:rPr>
        <w:t xml:space="preserve"> </w:t>
      </w:r>
      <w:r w:rsidRPr="00731FE2">
        <w:rPr>
          <w:rFonts w:ascii="Times New Roman" w:eastAsia="Times New Roman" w:hAnsi="Times New Roman" w:cs="Times New Roman"/>
          <w:color w:val="000000"/>
          <w:szCs w:val="24"/>
        </w:rPr>
        <w:t>Для перекладки действующих и прокладки новых водоводов и уличной водопроводной сети рекомендуется использовать полиэтиленовые трубы ПЭ-100 по ГОСТ 18599-2001.</w:t>
      </w:r>
    </w:p>
    <w:p w14:paraId="17341F2B"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Ориентировочные диаметры водопроводной сети принимаются из условия пропуска хозяйственно-питьевого и противопожарного расхода от 110 до 700 мм. При рабочем проектировании необходимо выполнить гидравлическую увязку водопроводной сети с применением специализированных программных комплексов и уточнить диаметры по участкам.</w:t>
      </w:r>
    </w:p>
    <w:p w14:paraId="459C840C"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Учитывая износ существующих водопроводных сетей необходимо довести объем проведения их плановой реконструкции (капитального ремонта) до нормативных показателей (норматив амортизации трубопроводов).</w:t>
      </w:r>
    </w:p>
    <w:p w14:paraId="20828884"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Реконструкцию магистральных водопроводных сетей требуется проводить с увеличением диаметра.</w:t>
      </w:r>
      <w:r w:rsidR="00E27FAB" w:rsidRPr="00731FE2">
        <w:rPr>
          <w:rFonts w:ascii="Times New Roman" w:eastAsia="Times New Roman" w:hAnsi="Times New Roman" w:cs="Times New Roman"/>
          <w:color w:val="000000"/>
          <w:szCs w:val="24"/>
        </w:rPr>
        <w:t xml:space="preserve"> </w:t>
      </w:r>
      <w:r w:rsidRPr="00731FE2">
        <w:rPr>
          <w:rFonts w:ascii="Times New Roman" w:eastAsia="Times New Roman" w:hAnsi="Times New Roman" w:cs="Times New Roman"/>
          <w:color w:val="000000"/>
          <w:szCs w:val="24"/>
        </w:rPr>
        <w:t>Свободные напоры в сети принимаются в соответствии с СП 31.13330.2012. При свободных напорах более 60 м необходимо провести установку регуляторов давления на сетях и повысительных насосных станций в подвальных помещениях многоэтажных зданий для установления нормативного (требуемого) давления.</w:t>
      </w:r>
    </w:p>
    <w:p w14:paraId="4ABC06B8"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Глубина заложения труб определяется, согласно п. 11.40,</w:t>
      </w:r>
      <w:r w:rsidR="00E27FAB" w:rsidRPr="00731FE2">
        <w:rPr>
          <w:rFonts w:ascii="Times New Roman" w:eastAsia="Times New Roman" w:hAnsi="Times New Roman" w:cs="Times New Roman"/>
          <w:color w:val="000000"/>
          <w:szCs w:val="24"/>
        </w:rPr>
        <w:t xml:space="preserve"> </w:t>
      </w:r>
      <w:r w:rsidRPr="00731FE2">
        <w:rPr>
          <w:rFonts w:ascii="Times New Roman" w:eastAsia="Times New Roman" w:hAnsi="Times New Roman" w:cs="Times New Roman"/>
          <w:color w:val="000000"/>
          <w:szCs w:val="24"/>
        </w:rPr>
        <w:t>11.42 СП 31.13330.2012 должна быть на 0,5 м больше расчетной глубины проникания в грунт нулевой температуры.</w:t>
      </w:r>
    </w:p>
    <w:p w14:paraId="2A5AA7B9"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В качестве изоляции водопроводных сетей рекомендовано использовать современные теплоизоляционные материалы, что позволит уменьшить глубину заложения сетей водоснабжения и снизить объёмы земляных работ.</w:t>
      </w:r>
    </w:p>
    <w:p w14:paraId="72E126BE"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Реконструкция существующих и строительство новых сетей водоснабжения приведет к сведению до минимума количества утечек воды питьевого качества, обеспечит более длительный срок эксплуатации трубопроводов, а также позволит предупредить вторичное загрязнение питьевой воды за счет применения полиэтиленовых труб и труб из материалов с антикоррозийным покрытием.</w:t>
      </w:r>
    </w:p>
    <w:p w14:paraId="42982C40"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Для повышения надежности подачи воды и сохранения ее количества и качества в процессе транспортировки в город-курорт необходимо:</w:t>
      </w:r>
    </w:p>
    <w:p w14:paraId="62E67C5F" w14:textId="77777777" w:rsidR="00171AA8" w:rsidRPr="00731FE2" w:rsidRDefault="007935AB" w:rsidP="007832E7">
      <w:pPr>
        <w:pStyle w:val="a3"/>
        <w:numPr>
          <w:ilvl w:val="0"/>
          <w:numId w:val="79"/>
        </w:numPr>
        <w:pBdr>
          <w:top w:val="none" w:sz="4" w:space="0" w:color="000000"/>
          <w:left w:val="none" w:sz="4" w:space="0" w:color="000000"/>
          <w:bottom w:val="none" w:sz="4" w:space="0" w:color="000000"/>
          <w:right w:val="none" w:sz="4" w:space="0" w:color="000000"/>
        </w:pBdr>
        <w:tabs>
          <w:tab w:val="left" w:pos="992"/>
        </w:tabs>
        <w:ind w:left="0" w:firstLine="709"/>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lastRenderedPageBreak/>
        <w:t>разработать проектную документацию и провести реконструкцию и модернизацию на всех водопроводных насосных станциях с внедрением нового насосного оборудования и системы автоматизированного управления, что позволит повысить надежность работы ВНС, коэффициент полезного действия оборудования, снизить потребление электроэнергии;</w:t>
      </w:r>
    </w:p>
    <w:p w14:paraId="3F3E42A5" w14:textId="77777777" w:rsidR="00171AA8" w:rsidRPr="00731FE2" w:rsidRDefault="007935AB" w:rsidP="007832E7">
      <w:pPr>
        <w:pStyle w:val="a3"/>
        <w:numPr>
          <w:ilvl w:val="0"/>
          <w:numId w:val="79"/>
        </w:numPr>
        <w:pBdr>
          <w:top w:val="none" w:sz="4" w:space="0" w:color="000000"/>
          <w:left w:val="none" w:sz="4" w:space="0" w:color="000000"/>
          <w:bottom w:val="none" w:sz="4" w:space="0" w:color="000000"/>
          <w:right w:val="none" w:sz="4" w:space="0" w:color="000000"/>
        </w:pBdr>
        <w:tabs>
          <w:tab w:val="left" w:pos="992"/>
        </w:tabs>
        <w:ind w:left="0" w:firstLine="709"/>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провести прокладку новых и замену существующих сетей с использованием современных материалов и приоритетных методов ремонта и восстановления сетей.</w:t>
      </w:r>
    </w:p>
    <w:p w14:paraId="528F90A0" w14:textId="77777777" w:rsidR="00171AA8" w:rsidRPr="00731FE2" w:rsidRDefault="007935AB" w:rsidP="007832E7">
      <w:pPr>
        <w:pStyle w:val="a3"/>
        <w:numPr>
          <w:ilvl w:val="0"/>
          <w:numId w:val="79"/>
        </w:numPr>
        <w:pBdr>
          <w:top w:val="none" w:sz="4" w:space="0" w:color="000000"/>
          <w:left w:val="none" w:sz="4" w:space="0" w:color="000000"/>
          <w:bottom w:val="none" w:sz="4" w:space="0" w:color="000000"/>
          <w:right w:val="none" w:sz="4" w:space="0" w:color="000000"/>
        </w:pBdr>
        <w:tabs>
          <w:tab w:val="left" w:pos="992"/>
        </w:tabs>
        <w:ind w:left="0" w:firstLine="709"/>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провести модернизацию головных сооружений водопровода;</w:t>
      </w:r>
    </w:p>
    <w:p w14:paraId="68AC3E69" w14:textId="77777777" w:rsidR="00171AA8" w:rsidRPr="00731FE2" w:rsidRDefault="007935AB" w:rsidP="007832E7">
      <w:pPr>
        <w:pStyle w:val="a3"/>
        <w:numPr>
          <w:ilvl w:val="0"/>
          <w:numId w:val="79"/>
        </w:numPr>
        <w:pBdr>
          <w:top w:val="none" w:sz="4" w:space="0" w:color="000000"/>
          <w:left w:val="none" w:sz="4" w:space="0" w:color="000000"/>
          <w:bottom w:val="none" w:sz="4" w:space="0" w:color="000000"/>
          <w:right w:val="none" w:sz="4" w:space="0" w:color="000000"/>
        </w:pBdr>
        <w:tabs>
          <w:tab w:val="left" w:pos="992"/>
        </w:tabs>
        <w:ind w:left="0" w:firstLine="709"/>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провести разработку мероприятий по созданию системы автоматизации, контролю управления электроэнергией, снижению затрат на электроэнергию.</w:t>
      </w:r>
    </w:p>
    <w:p w14:paraId="32E33EC0"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Для обеспечения экономии воды питьевого качества у всех водопользователей должны быть установлены приборы учета воды.</w:t>
      </w:r>
    </w:p>
    <w:p w14:paraId="52EB2836"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На основании генерального плана рекомендуется провести комплексную инвентаризацию городских водопроводных сетей и создать проект реконструкции и развития системы водоснабжения города-курорта, выполненный на основании гидравлического расчета.</w:t>
      </w:r>
    </w:p>
    <w:p w14:paraId="22727F01" w14:textId="77777777" w:rsidR="00171AA8" w:rsidRPr="00731FE2" w:rsidRDefault="007935AB">
      <w:pPr>
        <w:pStyle w:val="33"/>
        <w:rPr>
          <w:rFonts w:ascii="Times New Roman" w:hAnsi="Times New Roman" w:cs="Times New Roman"/>
        </w:rPr>
      </w:pPr>
      <w:bookmarkStart w:id="89" w:name="_Toc177392839"/>
      <w:r w:rsidRPr="00731FE2">
        <w:rPr>
          <w:rFonts w:ascii="Times New Roman" w:hAnsi="Times New Roman" w:cs="Times New Roman"/>
        </w:rPr>
        <w:t>3.9.2 Водоотведение (канализация)</w:t>
      </w:r>
      <w:bookmarkEnd w:id="89"/>
      <w:r w:rsidRPr="00731FE2">
        <w:rPr>
          <w:rFonts w:ascii="Times New Roman" w:hAnsi="Times New Roman" w:cs="Times New Roman"/>
        </w:rPr>
        <w:t xml:space="preserve"> </w:t>
      </w:r>
    </w:p>
    <w:p w14:paraId="1D7F059C"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b/>
          <w:bCs/>
          <w:color w:val="000000"/>
          <w:szCs w:val="24"/>
        </w:rPr>
      </w:pPr>
      <w:r w:rsidRPr="00731FE2">
        <w:rPr>
          <w:rFonts w:ascii="Times New Roman" w:eastAsia="Times New Roman" w:hAnsi="Times New Roman" w:cs="Times New Roman"/>
          <w:color w:val="000000"/>
        </w:rPr>
        <w:t>Система водоотведения городского округа города-курорта Кисловодска развита. При проектировании систем водоотведения расчетное удельное среднесуточное (за год) водоотведение бытовых сточных вод от жилых зданий следует принимать равным расчетному удельному среднесуточному (за год) водопотреблению без учета расхода воды на полив территорий и зеленых насаждений.</w:t>
      </w:r>
    </w:p>
    <w:p w14:paraId="2D06E6A6" w14:textId="77777777" w:rsidR="00171AA8" w:rsidRPr="00731FE2" w:rsidRDefault="007935AB">
      <w:pPr>
        <w:pBdr>
          <w:top w:val="none" w:sz="4" w:space="0" w:color="000000"/>
          <w:left w:val="none" w:sz="4" w:space="0" w:color="000000"/>
          <w:bottom w:val="none" w:sz="4" w:space="0" w:color="000000"/>
          <w:right w:val="none" w:sz="4" w:space="0" w:color="000000"/>
        </w:pBdr>
      </w:pPr>
      <w:r w:rsidRPr="00731FE2">
        <w:rPr>
          <w:rFonts w:ascii="Times New Roman" w:eastAsia="Times New Roman" w:hAnsi="Times New Roman" w:cs="Times New Roman"/>
          <w:color w:val="000000"/>
        </w:rPr>
        <w:t>Количество сточных вод от предприятий местной промышленности, обслуживающих население, а также неучтенные расходы допускается (при обосновании) принимать дополнительно в размере соответственно 6-12% и 4-8% суммарного среднесуточного водоотведения городского округа (при соответствующем обосновании). Итоговые расчетные суточные расходы принимаются как произведение среднесуточного расхода и значения коэффициента суточной неравномерности.</w:t>
      </w:r>
    </w:p>
    <w:p w14:paraId="7CCB31E3"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b/>
          <w:bCs/>
          <w:color w:val="000000"/>
          <w:szCs w:val="24"/>
        </w:rPr>
      </w:pPr>
      <w:r w:rsidRPr="00731FE2">
        <w:rPr>
          <w:rFonts w:ascii="Times New Roman" w:eastAsia="Times New Roman" w:hAnsi="Times New Roman" w:cs="Times New Roman"/>
          <w:color w:val="000000"/>
        </w:rPr>
        <w:t>Расчет расхода сточных вод, необходимых для водоотведения на расчетный срок приводится в таблице ниже.</w:t>
      </w:r>
    </w:p>
    <w:p w14:paraId="1A45CB87" w14:textId="77777777" w:rsidR="00171AA8" w:rsidRPr="00731FE2" w:rsidRDefault="00171AA8">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b/>
          <w:bCs/>
          <w:color w:val="000000"/>
          <w:szCs w:val="24"/>
        </w:rPr>
      </w:pPr>
    </w:p>
    <w:p w14:paraId="029DA97A" w14:textId="77777777" w:rsidR="00171AA8" w:rsidRPr="00731FE2" w:rsidRDefault="007935AB" w:rsidP="00E27FAB">
      <w:pPr>
        <w:pStyle w:val="af3"/>
        <w:rPr>
          <w:sz w:val="24"/>
          <w:szCs w:val="24"/>
          <w:vertAlign w:val="superscript"/>
        </w:rPr>
      </w:pPr>
      <w:r w:rsidRPr="00731FE2">
        <w:rPr>
          <w:sz w:val="24"/>
          <w:szCs w:val="24"/>
        </w:rPr>
        <w:t xml:space="preserve">Таблица </w:t>
      </w:r>
      <w:r w:rsidR="00D97880" w:rsidRPr="00731FE2">
        <w:rPr>
          <w:noProof/>
          <w:sz w:val="24"/>
          <w:szCs w:val="24"/>
        </w:rPr>
        <w:fldChar w:fldCharType="begin"/>
      </w:r>
      <w:r w:rsidR="00D97880" w:rsidRPr="00731FE2">
        <w:rPr>
          <w:noProof/>
          <w:sz w:val="24"/>
          <w:szCs w:val="24"/>
        </w:rPr>
        <w:instrText xml:space="preserve"> SEQ Таблица \* Arabic </w:instrText>
      </w:r>
      <w:r w:rsidR="00D97880" w:rsidRPr="00731FE2">
        <w:rPr>
          <w:noProof/>
          <w:sz w:val="24"/>
          <w:szCs w:val="24"/>
        </w:rPr>
        <w:fldChar w:fldCharType="separate"/>
      </w:r>
      <w:r w:rsidR="00C50915" w:rsidRPr="00731FE2">
        <w:rPr>
          <w:noProof/>
          <w:sz w:val="24"/>
          <w:szCs w:val="24"/>
        </w:rPr>
        <w:t>88</w:t>
      </w:r>
      <w:r w:rsidR="00D97880" w:rsidRPr="00731FE2">
        <w:rPr>
          <w:noProof/>
          <w:sz w:val="24"/>
          <w:szCs w:val="24"/>
        </w:rPr>
        <w:fldChar w:fldCharType="end"/>
      </w:r>
      <w:r w:rsidRPr="00731FE2">
        <w:rPr>
          <w:sz w:val="24"/>
          <w:szCs w:val="24"/>
        </w:rPr>
        <w:t xml:space="preserve"> – Расчет объема водоотведения в городском округе городе-курорте Кисловодске на первую очередь реализации генерального плана 2034 год</w:t>
      </w:r>
    </w:p>
    <w:tbl>
      <w:tblPr>
        <w:tblStyle w:val="afe"/>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ayout w:type="fixed"/>
        <w:tblLook w:val="04A0" w:firstRow="1" w:lastRow="0" w:firstColumn="1" w:lastColumn="0" w:noHBand="0" w:noVBand="1"/>
      </w:tblPr>
      <w:tblGrid>
        <w:gridCol w:w="1559"/>
        <w:gridCol w:w="1417"/>
        <w:gridCol w:w="1417"/>
        <w:gridCol w:w="1276"/>
        <w:gridCol w:w="2126"/>
        <w:gridCol w:w="1561"/>
      </w:tblGrid>
      <w:tr w:rsidR="00171AA8" w:rsidRPr="00731FE2" w14:paraId="667F40C0" w14:textId="77777777">
        <w:trPr>
          <w:trHeight w:val="2141"/>
        </w:trPr>
        <w:tc>
          <w:tcPr>
            <w:tcW w:w="155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57B5FF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b/>
                <w:color w:val="000000"/>
                <w:sz w:val="20"/>
              </w:rPr>
              <w:t>Наименование муниципального образования</w:t>
            </w:r>
          </w:p>
        </w:tc>
        <w:tc>
          <w:tcPr>
            <w:tcW w:w="14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91DA53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b/>
                <w:color w:val="000000"/>
                <w:sz w:val="20"/>
              </w:rPr>
              <w:t>Численность населения, 2034 г.</w:t>
            </w:r>
          </w:p>
        </w:tc>
        <w:tc>
          <w:tcPr>
            <w:tcW w:w="14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157B34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b/>
                <w:color w:val="000000"/>
                <w:sz w:val="20"/>
              </w:rPr>
              <w:t>Норма водопотребления, л/сут. на человека за год</w:t>
            </w:r>
          </w:p>
        </w:tc>
        <w:tc>
          <w:tcPr>
            <w:tcW w:w="12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C8485A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b/>
                <w:color w:val="000000"/>
                <w:sz w:val="20"/>
              </w:rPr>
              <w:t>Среднесуточный расход, тыс. м</w:t>
            </w:r>
            <w:r w:rsidRPr="00731FE2">
              <w:rPr>
                <w:rFonts w:ascii="Times New Roman" w:eastAsia="Times New Roman" w:hAnsi="Times New Roman" w:cs="Times New Roman"/>
                <w:b/>
                <w:color w:val="000000"/>
                <w:sz w:val="17"/>
                <w:vertAlign w:val="superscript"/>
              </w:rPr>
              <w:t>3</w:t>
            </w:r>
            <w:r w:rsidRPr="00731FE2">
              <w:rPr>
                <w:rFonts w:ascii="Times New Roman" w:eastAsia="Times New Roman" w:hAnsi="Times New Roman" w:cs="Times New Roman"/>
                <w:b/>
                <w:color w:val="000000"/>
                <w:sz w:val="20"/>
              </w:rPr>
              <w:t>/сут.</w:t>
            </w:r>
          </w:p>
        </w:tc>
        <w:tc>
          <w:tcPr>
            <w:tcW w:w="212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308249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b/>
                <w:color w:val="000000"/>
                <w:sz w:val="20"/>
              </w:rPr>
              <w:t>Нужды местной промышленности и неучтенные расходы –10-15% суммарного расхода на хозяйственно-питьевые нужды населенного пункта, тыс. м</w:t>
            </w:r>
            <w:r w:rsidRPr="00731FE2">
              <w:rPr>
                <w:rFonts w:ascii="Times New Roman" w:eastAsia="Times New Roman" w:hAnsi="Times New Roman" w:cs="Times New Roman"/>
                <w:b/>
                <w:color w:val="000000"/>
                <w:sz w:val="17"/>
                <w:vertAlign w:val="superscript"/>
              </w:rPr>
              <w:t>3</w:t>
            </w:r>
            <w:r w:rsidRPr="00731FE2">
              <w:rPr>
                <w:rFonts w:ascii="Times New Roman" w:eastAsia="Times New Roman" w:hAnsi="Times New Roman" w:cs="Times New Roman"/>
                <w:b/>
                <w:color w:val="000000"/>
                <w:sz w:val="20"/>
              </w:rPr>
              <w:t>/сут.</w:t>
            </w:r>
          </w:p>
        </w:tc>
        <w:tc>
          <w:tcPr>
            <w:tcW w:w="156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A71B02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b/>
                <w:color w:val="000000"/>
                <w:sz w:val="20"/>
              </w:rPr>
              <w:t>Неучтенные расходы 4-8% суммарного среднесуточного водоотведения поселения или муниципального округа, тыс. м</w:t>
            </w:r>
            <w:r w:rsidRPr="00731FE2">
              <w:rPr>
                <w:rFonts w:ascii="Times New Roman" w:eastAsia="Times New Roman" w:hAnsi="Times New Roman" w:cs="Times New Roman"/>
                <w:b/>
                <w:color w:val="000000"/>
                <w:sz w:val="17"/>
                <w:vertAlign w:val="superscript"/>
              </w:rPr>
              <w:t>3</w:t>
            </w:r>
            <w:r w:rsidRPr="00731FE2">
              <w:rPr>
                <w:rFonts w:ascii="Times New Roman" w:eastAsia="Times New Roman" w:hAnsi="Times New Roman" w:cs="Times New Roman"/>
                <w:b/>
                <w:color w:val="000000"/>
                <w:sz w:val="20"/>
              </w:rPr>
              <w:t>/сут.</w:t>
            </w:r>
          </w:p>
        </w:tc>
      </w:tr>
      <w:tr w:rsidR="00171AA8" w:rsidRPr="00731FE2" w14:paraId="51359924" w14:textId="77777777" w:rsidTr="00E27FAB">
        <w:trPr>
          <w:trHeight w:val="20"/>
        </w:trPr>
        <w:tc>
          <w:tcPr>
            <w:tcW w:w="155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AE3E04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eastAsia="Times New Roman" w:hAnsi="Times New Roman" w:cs="Times New Roman"/>
                <w:b/>
                <w:bCs/>
                <w:color w:val="000000"/>
                <w:sz w:val="20"/>
                <w:szCs w:val="20"/>
              </w:rPr>
            </w:pPr>
            <w:r w:rsidRPr="00731FE2">
              <w:rPr>
                <w:rFonts w:ascii="Times New Roman" w:eastAsia="Times New Roman" w:hAnsi="Times New Roman" w:cs="Times New Roman"/>
                <w:b/>
                <w:bCs/>
                <w:color w:val="000000"/>
                <w:sz w:val="20"/>
                <w:szCs w:val="20"/>
              </w:rPr>
              <w:t>Городского округа город-курорт Кисловодск</w:t>
            </w:r>
          </w:p>
        </w:tc>
        <w:tc>
          <w:tcPr>
            <w:tcW w:w="14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31F545D" w14:textId="77777777" w:rsidR="00171AA8" w:rsidRPr="00731FE2" w:rsidRDefault="007935AB" w:rsidP="00E27F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0"/>
              </w:rPr>
              <w:t>132690</w:t>
            </w:r>
          </w:p>
        </w:tc>
        <w:tc>
          <w:tcPr>
            <w:tcW w:w="14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3F44E72" w14:textId="77777777" w:rsidR="00171AA8" w:rsidRPr="00731FE2" w:rsidRDefault="007935AB" w:rsidP="00E27F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0"/>
              </w:rPr>
              <w:t>195</w:t>
            </w:r>
          </w:p>
        </w:tc>
        <w:tc>
          <w:tcPr>
            <w:tcW w:w="12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E72635F" w14:textId="77777777" w:rsidR="00171AA8" w:rsidRPr="00731FE2" w:rsidRDefault="007935AB" w:rsidP="00E27F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0"/>
              </w:rPr>
              <w:t>25,875</w:t>
            </w:r>
          </w:p>
        </w:tc>
        <w:tc>
          <w:tcPr>
            <w:tcW w:w="212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55B2C60" w14:textId="77777777" w:rsidR="00171AA8" w:rsidRPr="00731FE2" w:rsidRDefault="007935AB" w:rsidP="00E27F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0"/>
              </w:rPr>
              <w:t>3,881</w:t>
            </w:r>
          </w:p>
        </w:tc>
        <w:tc>
          <w:tcPr>
            <w:tcW w:w="156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5C211E7" w14:textId="77777777" w:rsidR="00171AA8" w:rsidRPr="00731FE2" w:rsidRDefault="007935AB" w:rsidP="00E27F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0"/>
              </w:rPr>
              <w:t>0,0106</w:t>
            </w:r>
          </w:p>
        </w:tc>
      </w:tr>
      <w:tr w:rsidR="00171AA8" w:rsidRPr="00731FE2" w14:paraId="39A273F6" w14:textId="77777777">
        <w:trPr>
          <w:trHeight w:val="20"/>
        </w:trPr>
        <w:tc>
          <w:tcPr>
            <w:tcW w:w="7795" w:type="dxa"/>
            <w:gridSpan w:val="5"/>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040EC32" w14:textId="77777777" w:rsidR="00171AA8" w:rsidRPr="00731FE2" w:rsidRDefault="007935AB">
            <w:pPr>
              <w:pBdr>
                <w:top w:val="none" w:sz="4" w:space="0" w:color="000000"/>
                <w:left w:val="none" w:sz="4" w:space="0" w:color="000000"/>
                <w:bottom w:val="none" w:sz="4" w:space="0" w:color="000000"/>
                <w:right w:val="none" w:sz="4" w:space="0" w:color="000000"/>
              </w:pBdr>
              <w:ind w:firstLine="0"/>
            </w:pPr>
            <w:r w:rsidRPr="00731FE2">
              <w:rPr>
                <w:rFonts w:ascii="Times New Roman" w:eastAsia="Times New Roman" w:hAnsi="Times New Roman" w:cs="Times New Roman"/>
                <w:b/>
                <w:color w:val="000000"/>
                <w:sz w:val="20"/>
              </w:rPr>
              <w:t>Всего:</w:t>
            </w:r>
          </w:p>
        </w:tc>
        <w:tc>
          <w:tcPr>
            <w:tcW w:w="156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5B2062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right"/>
              <w:rPr>
                <w:rFonts w:ascii="Times New Roman" w:eastAsia="Times New Roman" w:hAnsi="Times New Roman" w:cs="Times New Roman"/>
                <w:b/>
                <w:bCs/>
                <w:color w:val="000000"/>
                <w:sz w:val="20"/>
                <w:szCs w:val="20"/>
              </w:rPr>
            </w:pPr>
            <w:r w:rsidRPr="00731FE2">
              <w:rPr>
                <w:rFonts w:ascii="Times New Roman" w:eastAsia="Times New Roman" w:hAnsi="Times New Roman" w:cs="Times New Roman"/>
                <w:b/>
                <w:bCs/>
                <w:color w:val="000000"/>
                <w:sz w:val="20"/>
                <w:szCs w:val="20"/>
              </w:rPr>
              <w:t>29,766</w:t>
            </w:r>
          </w:p>
        </w:tc>
      </w:tr>
      <w:tr w:rsidR="00171AA8" w:rsidRPr="00731FE2" w14:paraId="5B276740" w14:textId="77777777">
        <w:trPr>
          <w:trHeight w:val="20"/>
        </w:trPr>
        <w:tc>
          <w:tcPr>
            <w:tcW w:w="7795" w:type="dxa"/>
            <w:gridSpan w:val="5"/>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84778E3" w14:textId="77777777" w:rsidR="00171AA8" w:rsidRPr="00731FE2" w:rsidRDefault="007935AB">
            <w:pPr>
              <w:pBdr>
                <w:top w:val="none" w:sz="4" w:space="0" w:color="000000"/>
                <w:left w:val="none" w:sz="4" w:space="0" w:color="000000"/>
                <w:bottom w:val="none" w:sz="4" w:space="0" w:color="000000"/>
                <w:right w:val="none" w:sz="4" w:space="0" w:color="000000"/>
              </w:pBdr>
              <w:ind w:firstLine="0"/>
            </w:pPr>
            <w:r w:rsidRPr="00731FE2">
              <w:rPr>
                <w:rFonts w:ascii="Times New Roman" w:eastAsia="Times New Roman" w:hAnsi="Times New Roman" w:cs="Times New Roman"/>
                <w:color w:val="000000"/>
                <w:sz w:val="20"/>
              </w:rPr>
              <w:t>Всего в сутки максимального водопотребления с К=1,2</w:t>
            </w:r>
          </w:p>
        </w:tc>
        <w:tc>
          <w:tcPr>
            <w:tcW w:w="156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8F5721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right"/>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35,720</w:t>
            </w:r>
          </w:p>
        </w:tc>
      </w:tr>
      <w:tr w:rsidR="00171AA8" w:rsidRPr="00731FE2" w14:paraId="50E429B7" w14:textId="77777777">
        <w:trPr>
          <w:trHeight w:val="20"/>
        </w:trPr>
        <w:tc>
          <w:tcPr>
            <w:tcW w:w="7795" w:type="dxa"/>
            <w:gridSpan w:val="5"/>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1B0DC3E" w14:textId="77777777" w:rsidR="00171AA8" w:rsidRPr="00731FE2" w:rsidRDefault="007935AB">
            <w:pPr>
              <w:pBdr>
                <w:top w:val="none" w:sz="4" w:space="0" w:color="000000"/>
                <w:left w:val="none" w:sz="4" w:space="0" w:color="000000"/>
                <w:bottom w:val="none" w:sz="4" w:space="0" w:color="000000"/>
                <w:right w:val="none" w:sz="4" w:space="0" w:color="000000"/>
              </w:pBdr>
              <w:ind w:firstLine="0"/>
            </w:pPr>
            <w:r w:rsidRPr="00731FE2">
              <w:rPr>
                <w:rFonts w:ascii="Times New Roman" w:eastAsia="Times New Roman" w:hAnsi="Times New Roman" w:cs="Times New Roman"/>
                <w:color w:val="000000"/>
                <w:sz w:val="20"/>
              </w:rPr>
              <w:t>Всего в сутки максимального водопотребления с К=0,8</w:t>
            </w:r>
          </w:p>
        </w:tc>
        <w:tc>
          <w:tcPr>
            <w:tcW w:w="156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8FDEFC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right"/>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23,813</w:t>
            </w:r>
          </w:p>
        </w:tc>
      </w:tr>
    </w:tbl>
    <w:p w14:paraId="5C212074" w14:textId="77777777" w:rsidR="00171AA8" w:rsidRPr="00731FE2" w:rsidRDefault="00171AA8"/>
    <w:p w14:paraId="7DE6ED36" w14:textId="77777777" w:rsidR="00171AA8" w:rsidRPr="00731FE2" w:rsidRDefault="007935AB">
      <w:pPr>
        <w:pStyle w:val="af3"/>
        <w:rPr>
          <w:sz w:val="24"/>
          <w:szCs w:val="24"/>
          <w:vertAlign w:val="superscript"/>
        </w:rPr>
      </w:pPr>
      <w:r w:rsidRPr="00731FE2">
        <w:rPr>
          <w:sz w:val="24"/>
          <w:szCs w:val="24"/>
        </w:rPr>
        <w:t xml:space="preserve">Таблица </w:t>
      </w:r>
      <w:r w:rsidR="00D97880" w:rsidRPr="00731FE2">
        <w:rPr>
          <w:noProof/>
          <w:sz w:val="24"/>
          <w:szCs w:val="24"/>
        </w:rPr>
        <w:fldChar w:fldCharType="begin"/>
      </w:r>
      <w:r w:rsidR="00D97880" w:rsidRPr="00731FE2">
        <w:rPr>
          <w:noProof/>
          <w:sz w:val="24"/>
          <w:szCs w:val="24"/>
        </w:rPr>
        <w:instrText xml:space="preserve"> SEQ Таблица \* Arabic </w:instrText>
      </w:r>
      <w:r w:rsidR="00D97880" w:rsidRPr="00731FE2">
        <w:rPr>
          <w:noProof/>
          <w:sz w:val="24"/>
          <w:szCs w:val="24"/>
        </w:rPr>
        <w:fldChar w:fldCharType="separate"/>
      </w:r>
      <w:r w:rsidR="00C50915" w:rsidRPr="00731FE2">
        <w:rPr>
          <w:noProof/>
          <w:sz w:val="24"/>
          <w:szCs w:val="24"/>
        </w:rPr>
        <w:t>89</w:t>
      </w:r>
      <w:r w:rsidR="00D97880" w:rsidRPr="00731FE2">
        <w:rPr>
          <w:noProof/>
          <w:sz w:val="24"/>
          <w:szCs w:val="24"/>
        </w:rPr>
        <w:fldChar w:fldCharType="end"/>
      </w:r>
      <w:r w:rsidRPr="00731FE2">
        <w:rPr>
          <w:sz w:val="24"/>
          <w:szCs w:val="24"/>
        </w:rPr>
        <w:t xml:space="preserve"> – Расчет объема водоотведения в городском округе городе-курорте Кисловодске на первую очередь реализации генерального плана 2044 год</w:t>
      </w:r>
    </w:p>
    <w:tbl>
      <w:tblPr>
        <w:tblStyle w:val="afe"/>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ayout w:type="fixed"/>
        <w:tblLook w:val="04A0" w:firstRow="1" w:lastRow="0" w:firstColumn="1" w:lastColumn="0" w:noHBand="0" w:noVBand="1"/>
      </w:tblPr>
      <w:tblGrid>
        <w:gridCol w:w="1559"/>
        <w:gridCol w:w="1417"/>
        <w:gridCol w:w="1417"/>
        <w:gridCol w:w="1276"/>
        <w:gridCol w:w="2126"/>
        <w:gridCol w:w="1561"/>
      </w:tblGrid>
      <w:tr w:rsidR="00171AA8" w:rsidRPr="00731FE2" w14:paraId="0C580A50" w14:textId="77777777">
        <w:tc>
          <w:tcPr>
            <w:tcW w:w="155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F27201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b/>
                <w:color w:val="000000"/>
                <w:sz w:val="20"/>
              </w:rPr>
              <w:t>Наименование муниципального образования</w:t>
            </w:r>
          </w:p>
        </w:tc>
        <w:tc>
          <w:tcPr>
            <w:tcW w:w="14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B07B6C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b/>
                <w:color w:val="000000"/>
                <w:sz w:val="20"/>
              </w:rPr>
              <w:t>Численность населения, 2044 г.</w:t>
            </w:r>
          </w:p>
        </w:tc>
        <w:tc>
          <w:tcPr>
            <w:tcW w:w="14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1FCAE2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b/>
                <w:color w:val="000000"/>
                <w:sz w:val="20"/>
              </w:rPr>
              <w:t>Норма водопотребления, л/сут. на человека за год</w:t>
            </w:r>
          </w:p>
        </w:tc>
        <w:tc>
          <w:tcPr>
            <w:tcW w:w="12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5B1627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b/>
                <w:color w:val="000000"/>
                <w:sz w:val="20"/>
              </w:rPr>
              <w:t>Среднесуточный расход, тыс. м</w:t>
            </w:r>
            <w:r w:rsidRPr="00731FE2">
              <w:rPr>
                <w:rFonts w:ascii="Times New Roman" w:eastAsia="Times New Roman" w:hAnsi="Times New Roman" w:cs="Times New Roman"/>
                <w:b/>
                <w:color w:val="000000"/>
                <w:sz w:val="17"/>
                <w:vertAlign w:val="superscript"/>
              </w:rPr>
              <w:t>3</w:t>
            </w:r>
            <w:r w:rsidRPr="00731FE2">
              <w:rPr>
                <w:rFonts w:ascii="Times New Roman" w:eastAsia="Times New Roman" w:hAnsi="Times New Roman" w:cs="Times New Roman"/>
                <w:b/>
                <w:color w:val="000000"/>
                <w:sz w:val="20"/>
              </w:rPr>
              <w:t>/сут.</w:t>
            </w:r>
          </w:p>
        </w:tc>
        <w:tc>
          <w:tcPr>
            <w:tcW w:w="212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11C0CD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b/>
                <w:color w:val="000000"/>
                <w:sz w:val="20"/>
              </w:rPr>
              <w:t>Нужды местной промышленности и неучтенные расходы –10-15% суммарного расхода на хозяйственно-питьевые нужды населенного пункта, тыс. м</w:t>
            </w:r>
            <w:r w:rsidRPr="00731FE2">
              <w:rPr>
                <w:rFonts w:ascii="Times New Roman" w:eastAsia="Times New Roman" w:hAnsi="Times New Roman" w:cs="Times New Roman"/>
                <w:b/>
                <w:color w:val="000000"/>
                <w:sz w:val="17"/>
                <w:vertAlign w:val="superscript"/>
              </w:rPr>
              <w:t>3</w:t>
            </w:r>
            <w:r w:rsidRPr="00731FE2">
              <w:rPr>
                <w:rFonts w:ascii="Times New Roman" w:eastAsia="Times New Roman" w:hAnsi="Times New Roman" w:cs="Times New Roman"/>
                <w:b/>
                <w:color w:val="000000"/>
                <w:sz w:val="20"/>
              </w:rPr>
              <w:t>/сут.</w:t>
            </w:r>
          </w:p>
        </w:tc>
        <w:tc>
          <w:tcPr>
            <w:tcW w:w="156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C26174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b/>
                <w:color w:val="000000"/>
                <w:sz w:val="20"/>
              </w:rPr>
              <w:t>Неучтенные расходы 4-8% суммарного среднесуточного водоотведения поселения или муниципального округа, тыс. м</w:t>
            </w:r>
            <w:r w:rsidRPr="00731FE2">
              <w:rPr>
                <w:rFonts w:ascii="Times New Roman" w:eastAsia="Times New Roman" w:hAnsi="Times New Roman" w:cs="Times New Roman"/>
                <w:b/>
                <w:color w:val="000000"/>
                <w:sz w:val="17"/>
                <w:vertAlign w:val="superscript"/>
              </w:rPr>
              <w:t>3</w:t>
            </w:r>
            <w:r w:rsidRPr="00731FE2">
              <w:rPr>
                <w:rFonts w:ascii="Times New Roman" w:eastAsia="Times New Roman" w:hAnsi="Times New Roman" w:cs="Times New Roman"/>
                <w:b/>
                <w:color w:val="000000"/>
                <w:sz w:val="20"/>
              </w:rPr>
              <w:t>/сут.</w:t>
            </w:r>
          </w:p>
        </w:tc>
      </w:tr>
      <w:tr w:rsidR="00171AA8" w:rsidRPr="00731FE2" w14:paraId="17C14906" w14:textId="77777777" w:rsidTr="00E27FAB">
        <w:trPr>
          <w:trHeight w:val="20"/>
        </w:trPr>
        <w:tc>
          <w:tcPr>
            <w:tcW w:w="155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8905AE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eastAsia="Times New Roman" w:hAnsi="Times New Roman" w:cs="Times New Roman"/>
                <w:b/>
                <w:bCs/>
                <w:color w:val="000000"/>
                <w:sz w:val="20"/>
                <w:szCs w:val="20"/>
              </w:rPr>
            </w:pPr>
            <w:r w:rsidRPr="00731FE2">
              <w:rPr>
                <w:rFonts w:ascii="Times New Roman" w:eastAsia="Times New Roman" w:hAnsi="Times New Roman" w:cs="Times New Roman"/>
                <w:b/>
                <w:bCs/>
                <w:color w:val="000000"/>
                <w:sz w:val="20"/>
                <w:szCs w:val="20"/>
              </w:rPr>
              <w:t>Городского округа город-курорт Кисловодск</w:t>
            </w:r>
          </w:p>
        </w:tc>
        <w:tc>
          <w:tcPr>
            <w:tcW w:w="14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4FD3B52" w14:textId="77777777" w:rsidR="00171AA8" w:rsidRPr="00731FE2" w:rsidRDefault="007935AB" w:rsidP="00E27F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0"/>
              </w:rPr>
              <w:t>135066</w:t>
            </w:r>
          </w:p>
        </w:tc>
        <w:tc>
          <w:tcPr>
            <w:tcW w:w="14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1D990FB" w14:textId="77777777" w:rsidR="00171AA8" w:rsidRPr="00731FE2" w:rsidRDefault="007935AB" w:rsidP="00E27F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0"/>
              </w:rPr>
              <w:t>195</w:t>
            </w:r>
          </w:p>
        </w:tc>
        <w:tc>
          <w:tcPr>
            <w:tcW w:w="12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29BBF01" w14:textId="77777777" w:rsidR="00171AA8" w:rsidRPr="00731FE2" w:rsidRDefault="007935AB" w:rsidP="00E27F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0"/>
              </w:rPr>
              <w:t>26,338</w:t>
            </w:r>
          </w:p>
        </w:tc>
        <w:tc>
          <w:tcPr>
            <w:tcW w:w="212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BFB70B1" w14:textId="77777777" w:rsidR="00171AA8" w:rsidRPr="00731FE2" w:rsidRDefault="007935AB" w:rsidP="00E27F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0"/>
              </w:rPr>
              <w:t>3,951</w:t>
            </w:r>
          </w:p>
        </w:tc>
        <w:tc>
          <w:tcPr>
            <w:tcW w:w="156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81EFC49" w14:textId="77777777" w:rsidR="00171AA8" w:rsidRPr="00731FE2" w:rsidRDefault="007935AB" w:rsidP="00E27F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0"/>
              </w:rPr>
              <w:t>0,0108</w:t>
            </w:r>
          </w:p>
        </w:tc>
      </w:tr>
      <w:tr w:rsidR="00171AA8" w:rsidRPr="00731FE2" w14:paraId="0B300762" w14:textId="77777777">
        <w:trPr>
          <w:trHeight w:val="20"/>
        </w:trPr>
        <w:tc>
          <w:tcPr>
            <w:tcW w:w="7795" w:type="dxa"/>
            <w:gridSpan w:val="5"/>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D1B301C" w14:textId="77777777" w:rsidR="00171AA8" w:rsidRPr="00731FE2" w:rsidRDefault="007935AB">
            <w:pPr>
              <w:pBdr>
                <w:top w:val="none" w:sz="4" w:space="0" w:color="000000"/>
                <w:left w:val="none" w:sz="4" w:space="0" w:color="000000"/>
                <w:bottom w:val="none" w:sz="4" w:space="0" w:color="000000"/>
                <w:right w:val="none" w:sz="4" w:space="0" w:color="000000"/>
              </w:pBdr>
              <w:ind w:firstLine="0"/>
            </w:pPr>
            <w:r w:rsidRPr="00731FE2">
              <w:rPr>
                <w:rFonts w:ascii="Times New Roman" w:eastAsia="Times New Roman" w:hAnsi="Times New Roman" w:cs="Times New Roman"/>
                <w:b/>
                <w:color w:val="000000"/>
                <w:sz w:val="20"/>
              </w:rPr>
              <w:t>Всего:</w:t>
            </w:r>
          </w:p>
        </w:tc>
        <w:tc>
          <w:tcPr>
            <w:tcW w:w="156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711A69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right"/>
              <w:rPr>
                <w:rFonts w:ascii="Times New Roman" w:eastAsia="Times New Roman" w:hAnsi="Times New Roman" w:cs="Times New Roman"/>
                <w:b/>
                <w:bCs/>
                <w:color w:val="000000"/>
                <w:sz w:val="20"/>
                <w:szCs w:val="20"/>
              </w:rPr>
            </w:pPr>
            <w:r w:rsidRPr="00731FE2">
              <w:rPr>
                <w:rFonts w:ascii="Times New Roman" w:eastAsia="Times New Roman" w:hAnsi="Times New Roman" w:cs="Times New Roman"/>
                <w:b/>
                <w:bCs/>
                <w:color w:val="000000"/>
                <w:sz w:val="20"/>
                <w:szCs w:val="20"/>
              </w:rPr>
              <w:t>30,300</w:t>
            </w:r>
          </w:p>
        </w:tc>
      </w:tr>
      <w:tr w:rsidR="00171AA8" w:rsidRPr="00731FE2" w14:paraId="3089EBF1" w14:textId="77777777">
        <w:trPr>
          <w:trHeight w:val="20"/>
        </w:trPr>
        <w:tc>
          <w:tcPr>
            <w:tcW w:w="7795" w:type="dxa"/>
            <w:gridSpan w:val="5"/>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C97F3FF" w14:textId="77777777" w:rsidR="00171AA8" w:rsidRPr="00731FE2" w:rsidRDefault="007935AB">
            <w:pPr>
              <w:pBdr>
                <w:top w:val="none" w:sz="4" w:space="0" w:color="000000"/>
                <w:left w:val="none" w:sz="4" w:space="0" w:color="000000"/>
                <w:bottom w:val="none" w:sz="4" w:space="0" w:color="000000"/>
                <w:right w:val="none" w:sz="4" w:space="0" w:color="000000"/>
              </w:pBdr>
              <w:ind w:firstLine="0"/>
            </w:pPr>
            <w:r w:rsidRPr="00731FE2">
              <w:rPr>
                <w:rFonts w:ascii="Times New Roman" w:eastAsia="Times New Roman" w:hAnsi="Times New Roman" w:cs="Times New Roman"/>
                <w:color w:val="000000"/>
                <w:sz w:val="20"/>
              </w:rPr>
              <w:t>Всего в сутки максимального водопотребления с К=1,2</w:t>
            </w:r>
          </w:p>
        </w:tc>
        <w:tc>
          <w:tcPr>
            <w:tcW w:w="156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C785CB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right"/>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36,360</w:t>
            </w:r>
          </w:p>
        </w:tc>
      </w:tr>
      <w:tr w:rsidR="00171AA8" w:rsidRPr="00731FE2" w14:paraId="1600B322" w14:textId="77777777">
        <w:trPr>
          <w:trHeight w:val="20"/>
        </w:trPr>
        <w:tc>
          <w:tcPr>
            <w:tcW w:w="7795" w:type="dxa"/>
            <w:gridSpan w:val="5"/>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62D4203" w14:textId="77777777" w:rsidR="00171AA8" w:rsidRPr="00731FE2" w:rsidRDefault="007935AB">
            <w:pPr>
              <w:pBdr>
                <w:top w:val="none" w:sz="4" w:space="0" w:color="000000"/>
                <w:left w:val="none" w:sz="4" w:space="0" w:color="000000"/>
                <w:bottom w:val="none" w:sz="4" w:space="0" w:color="000000"/>
                <w:right w:val="none" w:sz="4" w:space="0" w:color="000000"/>
              </w:pBdr>
              <w:ind w:firstLine="0"/>
            </w:pPr>
            <w:r w:rsidRPr="00731FE2">
              <w:rPr>
                <w:rFonts w:ascii="Times New Roman" w:eastAsia="Times New Roman" w:hAnsi="Times New Roman" w:cs="Times New Roman"/>
                <w:color w:val="000000"/>
                <w:sz w:val="20"/>
              </w:rPr>
              <w:t>Всего в сутки максимального водопотребления с К=0,8</w:t>
            </w:r>
          </w:p>
        </w:tc>
        <w:tc>
          <w:tcPr>
            <w:tcW w:w="156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14A2F2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right"/>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24,240</w:t>
            </w:r>
          </w:p>
        </w:tc>
      </w:tr>
    </w:tbl>
    <w:p w14:paraId="33E4D467" w14:textId="77777777" w:rsidR="00171AA8" w:rsidRPr="00731FE2" w:rsidRDefault="00171AA8"/>
    <w:p w14:paraId="6CB54979"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b/>
          <w:bCs/>
          <w:color w:val="000000"/>
          <w:szCs w:val="24"/>
        </w:rPr>
        <w:t>Мероприятия по развитию централизованной системы хозяйственно-бытового водоотведения. Проектируемая схема хозяйственно-бытового водоотведения.</w:t>
      </w:r>
      <w:r w:rsidR="00E27FAB" w:rsidRPr="00731FE2">
        <w:rPr>
          <w:rFonts w:ascii="Times New Roman" w:eastAsia="Times New Roman" w:hAnsi="Times New Roman" w:cs="Times New Roman"/>
          <w:b/>
          <w:bCs/>
          <w:color w:val="000000"/>
          <w:szCs w:val="24"/>
        </w:rPr>
        <w:t xml:space="preserve"> </w:t>
      </w:r>
      <w:r w:rsidRPr="00731FE2">
        <w:rPr>
          <w:rFonts w:ascii="Times New Roman" w:eastAsia="Times New Roman" w:hAnsi="Times New Roman" w:cs="Times New Roman"/>
          <w:color w:val="000000"/>
          <w:szCs w:val="24"/>
        </w:rPr>
        <w:t>Генеральным планом схема централизованного бытового водоотведения городского округа сохраняется по сложившейся структуре. Сбор хозяйственно-бытовых сточных вод осуществляется в два городских канализационных коллектора: главный и разгрузочный, по которым сточные воды поступают в междугородный канализационный коллектор Кисловодск-Ессентуки-Пятигорск (МГК), и далее на объединенные очистные сооружения канализации г. Пятигорска (ОСК г. Пятигорска).</w:t>
      </w:r>
    </w:p>
    <w:p w14:paraId="01D0852F"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Предлагаемая схема водоотведения бытовых сточных вод запроектирована из условия максимального использования мощностей существующих сетей и сооружений.</w:t>
      </w:r>
    </w:p>
    <w:p w14:paraId="37920C41"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Развитием системы водоотведения округа предусмотрена реконструкция и модернизация существующих канализационных сетей с целью увеличения их пропускной способности и строительство канализационных сетей с целью подключения новых потребителей.</w:t>
      </w:r>
    </w:p>
    <w:p w14:paraId="78ECEB96"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 xml:space="preserve">Выполнение данного комплекса мероприятий позволит снизить удельный вес физически изношенного и морально устаревшего оборудования и инженерных сетей в системе водоотведения города, обеспечить условия развития города-курорта Кисловодска и удовлетворения растущих потребностей потребителей города-курорта в удалении хозяйственно-бытовых сточных вод, повысить надёжность обеспечения потребителей города-курорта коммунальными ресурсами, дополнительно сформировать соответствующие мощности сооружений, что в свою очередь обеспечит положительную динамику развития города-курорта в целом и улучшит экологическую ситуацию в регионе. </w:t>
      </w:r>
    </w:p>
    <w:p w14:paraId="3416BF65"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Планируемые объекты регионального значе</w:t>
      </w:r>
      <w:r w:rsidR="00E27FAB" w:rsidRPr="00731FE2">
        <w:rPr>
          <w:rFonts w:ascii="Times New Roman" w:eastAsia="Times New Roman" w:hAnsi="Times New Roman" w:cs="Times New Roman"/>
          <w:color w:val="000000"/>
          <w:szCs w:val="24"/>
        </w:rPr>
        <w:t>ния, предусматривающие развитие</w:t>
      </w:r>
      <w:r w:rsidRPr="00731FE2">
        <w:rPr>
          <w:rFonts w:ascii="Times New Roman" w:eastAsia="Times New Roman" w:hAnsi="Times New Roman" w:cs="Times New Roman"/>
          <w:color w:val="000000"/>
          <w:szCs w:val="24"/>
        </w:rPr>
        <w:t xml:space="preserve"> системы водоотведения городского округа приведены в гл. 4 Тома 2 «Материалы по обоснованию» настоящего генерального плана.</w:t>
      </w:r>
    </w:p>
    <w:p w14:paraId="67B960BA"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Перечень объектов местного значения представлен в Томе 1. Положение о территориальном планировании настоящего генерального плана.</w:t>
      </w:r>
    </w:p>
    <w:p w14:paraId="4DC0B402"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b/>
          <w:bCs/>
          <w:color w:val="000000"/>
          <w:szCs w:val="24"/>
        </w:rPr>
        <w:lastRenderedPageBreak/>
        <w:t>Общие мероприятия по развитию и реконструкции системы водоотведения городского округа города-курорта Кисловодска.</w:t>
      </w:r>
      <w:r w:rsidR="00E27FAB" w:rsidRPr="00731FE2">
        <w:rPr>
          <w:rFonts w:ascii="Times New Roman" w:eastAsia="Times New Roman" w:hAnsi="Times New Roman" w:cs="Times New Roman"/>
          <w:b/>
          <w:bCs/>
          <w:color w:val="000000"/>
          <w:szCs w:val="24"/>
        </w:rPr>
        <w:t xml:space="preserve"> </w:t>
      </w:r>
      <w:r w:rsidRPr="00731FE2">
        <w:rPr>
          <w:rFonts w:ascii="Times New Roman" w:eastAsia="Times New Roman" w:hAnsi="Times New Roman" w:cs="Times New Roman"/>
          <w:color w:val="000000"/>
          <w:szCs w:val="24"/>
        </w:rPr>
        <w:t>В связи с изменением планировки сложившейся структуры застройки, потребуется демонтаж и перекладка участков сетей, попадающих под проектируемые объекты.</w:t>
      </w:r>
    </w:p>
    <w:p w14:paraId="74C694E7"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Ориентировочные диаметры канализационной сети принимаются из условия пропуска максимального расхода сточных вод. При рабочем проектировании необходимо выполнить гидравлическую увязку канализационной сети с применением специализированных программных комплексов и уточнить диаметры по участкам.</w:t>
      </w:r>
    </w:p>
    <w:p w14:paraId="014B5C81"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В настоящее время в округе производится плановая работа по замене пришедшей в негодность арматуры на новую, реконструкции колодцев, находящихся в неудовлетворительном состоянии, замена трубопроводов, имеющих большую степень износа.</w:t>
      </w:r>
    </w:p>
    <w:p w14:paraId="43287AA2"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szCs w:val="24"/>
        </w:rPr>
        <w:t>Учитывая износ существующих канализационных сетей, необходимо довести объем проведения их плановой реконструкции (капитального ремонта) до нормативных показателей. Реконструкцию магистральных канализационных коллекторов требуется проводить с увеличением диаметра.</w:t>
      </w:r>
    </w:p>
    <w:p w14:paraId="02F5746B" w14:textId="77777777" w:rsidR="00171AA8" w:rsidRPr="00731FE2" w:rsidRDefault="007935AB">
      <w:pPr>
        <w:pBdr>
          <w:top w:val="none" w:sz="4" w:space="0" w:color="000000"/>
          <w:left w:val="none" w:sz="4" w:space="0" w:color="000000"/>
          <w:bottom w:val="none" w:sz="4" w:space="0" w:color="000000"/>
          <w:right w:val="none" w:sz="4" w:space="0" w:color="000000"/>
        </w:pBdr>
      </w:pPr>
      <w:r w:rsidRPr="00731FE2">
        <w:rPr>
          <w:rFonts w:ascii="Times New Roman" w:eastAsia="Times New Roman" w:hAnsi="Times New Roman" w:cs="Times New Roman"/>
          <w:color w:val="000000"/>
          <w:szCs w:val="24"/>
        </w:rPr>
        <w:t xml:space="preserve">Также на территории города-курорта Кисловодска запланирована разработка проектной документации и проведение строительно-монтажных работ по реконструкции (модернизации) систем ливневой канализации в соответствии с </w:t>
      </w:r>
      <w:r w:rsidR="00A4523A" w:rsidRPr="00731FE2">
        <w:rPr>
          <w:rFonts w:ascii="Times New Roman" w:eastAsia="Times New Roman" w:hAnsi="Times New Roman" w:cs="Times New Roman"/>
          <w:color w:val="000000"/>
          <w:szCs w:val="24"/>
        </w:rPr>
        <w:t>Перечнем</w:t>
      </w:r>
      <w:r w:rsidRPr="00731FE2">
        <w:rPr>
          <w:rFonts w:ascii="Times New Roman" w:eastAsia="Times New Roman" w:hAnsi="Times New Roman" w:cs="Times New Roman"/>
          <w:color w:val="000000"/>
          <w:szCs w:val="24"/>
        </w:rPr>
        <w:t xml:space="preserve"> мероприятий по комплексному развитию города-курорта Кисловодска до 2030 года, утвержденным распоряжением Правительства Российской Федерации от 29 декабря 2016 г. № 2899-р.</w:t>
      </w:r>
    </w:p>
    <w:p w14:paraId="1D7FEA77" w14:textId="77777777" w:rsidR="00171AA8" w:rsidRPr="00731FE2" w:rsidRDefault="007935AB">
      <w:pPr>
        <w:pStyle w:val="33"/>
        <w:rPr>
          <w:rFonts w:ascii="Times New Roman" w:hAnsi="Times New Roman" w:cs="Times New Roman"/>
        </w:rPr>
      </w:pPr>
      <w:bookmarkStart w:id="90" w:name="_Toc177392840"/>
      <w:r w:rsidRPr="00731FE2">
        <w:rPr>
          <w:rFonts w:ascii="Times New Roman" w:hAnsi="Times New Roman" w:cs="Times New Roman"/>
        </w:rPr>
        <w:t>3.9.3 Теплоснабжение</w:t>
      </w:r>
      <w:bookmarkEnd w:id="90"/>
    </w:p>
    <w:p w14:paraId="4F52968C" w14:textId="77777777" w:rsidR="00171AA8" w:rsidRPr="00731FE2" w:rsidRDefault="007935AB">
      <w:pPr>
        <w:pBdr>
          <w:top w:val="none" w:sz="4" w:space="0" w:color="000000"/>
          <w:left w:val="none" w:sz="4" w:space="0" w:color="000000"/>
          <w:bottom w:val="none" w:sz="4" w:space="0" w:color="000000"/>
          <w:right w:val="none" w:sz="4" w:space="0" w:color="000000"/>
        </w:pBdr>
      </w:pPr>
      <w:r w:rsidRPr="00731FE2">
        <w:rPr>
          <w:rFonts w:ascii="Times New Roman" w:eastAsia="Times New Roman" w:hAnsi="Times New Roman" w:cs="Times New Roman"/>
          <w:color w:val="000000"/>
          <w:szCs w:val="24"/>
        </w:rPr>
        <w:t>Стратегия обеспечения теплом потребителей городского округа – это организация централизованного теплоснабжения в основном от существующих теплоисточников, на которых предусматривается модернизация оборудования, а также от новых планируемых источников тепла.</w:t>
      </w:r>
    </w:p>
    <w:p w14:paraId="2E6655FF" w14:textId="77777777" w:rsidR="00171AA8" w:rsidRPr="00731FE2" w:rsidRDefault="007935AB">
      <w:pPr>
        <w:pBdr>
          <w:top w:val="none" w:sz="4" w:space="0" w:color="000000"/>
          <w:left w:val="none" w:sz="4" w:space="0" w:color="000000"/>
          <w:bottom w:val="none" w:sz="4" w:space="0" w:color="000000"/>
          <w:right w:val="none" w:sz="4" w:space="0" w:color="000000"/>
        </w:pBdr>
      </w:pPr>
      <w:r w:rsidRPr="00731FE2">
        <w:rPr>
          <w:rFonts w:ascii="Times New Roman" w:eastAsia="Times New Roman" w:hAnsi="Times New Roman" w:cs="Times New Roman"/>
          <w:color w:val="000000"/>
          <w:szCs w:val="24"/>
        </w:rPr>
        <w:t>Генеральным планом предусматривается обеспечить централизованным теплоснабжением новую многоквартирную застройку (северная зона), а коттеджную застройку (южная зона), также объекты социального и культурно-бытового обслуживания населения, общественно-деловые и санаторно-курортные объекты.</w:t>
      </w:r>
    </w:p>
    <w:p w14:paraId="26FDE903" w14:textId="77777777" w:rsidR="00171AA8" w:rsidRPr="00731FE2" w:rsidRDefault="007935AB">
      <w:pPr>
        <w:pBdr>
          <w:top w:val="none" w:sz="4" w:space="0" w:color="000000"/>
          <w:left w:val="none" w:sz="4" w:space="0" w:color="000000"/>
          <w:bottom w:val="none" w:sz="4" w:space="0" w:color="000000"/>
          <w:right w:val="none" w:sz="4" w:space="0" w:color="000000"/>
        </w:pBdr>
      </w:pPr>
      <w:r w:rsidRPr="00731FE2">
        <w:rPr>
          <w:rFonts w:ascii="Times New Roman" w:eastAsia="Times New Roman" w:hAnsi="Times New Roman" w:cs="Times New Roman"/>
          <w:color w:val="000000"/>
          <w:szCs w:val="24"/>
        </w:rPr>
        <w:t>Для теплоснабжения планируемых общественных центров и санаторно-курортных объектов, с небольшим теплопотреблением, удалённых от источников централизованного теплоснабжения, рекомендуется использовать автономные источники тепла – гелиосистемы.</w:t>
      </w:r>
    </w:p>
    <w:p w14:paraId="75E0D59A" w14:textId="77777777" w:rsidR="00171AA8" w:rsidRPr="00731FE2" w:rsidRDefault="007935AB">
      <w:pPr>
        <w:pBdr>
          <w:top w:val="none" w:sz="4" w:space="0" w:color="000000"/>
          <w:left w:val="none" w:sz="4" w:space="0" w:color="000000"/>
          <w:bottom w:val="none" w:sz="4" w:space="0" w:color="000000"/>
          <w:right w:val="none" w:sz="4" w:space="0" w:color="000000"/>
        </w:pBdr>
      </w:pPr>
      <w:r w:rsidRPr="00731FE2">
        <w:rPr>
          <w:rFonts w:ascii="Times New Roman" w:eastAsia="Times New Roman" w:hAnsi="Times New Roman" w:cs="Times New Roman"/>
          <w:color w:val="000000"/>
          <w:szCs w:val="24"/>
        </w:rPr>
        <w:t>На тепловых источниках предусмотреть автоматическое регулирование, контроль, сигнализацию и управление технологическими процессами. Химводоподготовка должна осуществляться по схеме двухступенчатого натрий-катионирования, с последующей деаэрацией.</w:t>
      </w:r>
    </w:p>
    <w:p w14:paraId="4D6F7A04" w14:textId="77777777" w:rsidR="00171AA8" w:rsidRPr="00731FE2" w:rsidRDefault="007935AB">
      <w:pPr>
        <w:pBdr>
          <w:top w:val="none" w:sz="4" w:space="0" w:color="000000"/>
          <w:left w:val="none" w:sz="4" w:space="0" w:color="000000"/>
          <w:bottom w:val="none" w:sz="4" w:space="0" w:color="000000"/>
          <w:right w:val="none" w:sz="4" w:space="0" w:color="000000"/>
        </w:pBdr>
      </w:pPr>
      <w:r w:rsidRPr="00731FE2">
        <w:rPr>
          <w:rFonts w:ascii="Times New Roman" w:eastAsia="Times New Roman" w:hAnsi="Times New Roman" w:cs="Times New Roman"/>
          <w:color w:val="000000"/>
          <w:szCs w:val="24"/>
        </w:rPr>
        <w:t>В качестве основного топлива котельных на планируемый период предусмотреть природный газ. Система теплоснабжения принимается «закрытая», с подключением абонентов через центральные тепловые пункты (ЦТП), либо индивидуальные тепловые пункты (ИТП), размещаемые в технических подпольях зданий. Температурный график тепловых сетей принять 95-700</w:t>
      </w:r>
      <w:r w:rsidR="00E27FAB" w:rsidRPr="00731FE2">
        <w:rPr>
          <w:rFonts w:ascii="Times New Roman" w:eastAsia="Times New Roman" w:hAnsi="Times New Roman" w:cs="Times New Roman"/>
          <w:color w:val="000000"/>
          <w:szCs w:val="24"/>
        </w:rPr>
        <w:t xml:space="preserve"> </w:t>
      </w:r>
      <w:r w:rsidRPr="00731FE2">
        <w:rPr>
          <w:rFonts w:ascii="Times New Roman" w:eastAsia="Times New Roman" w:hAnsi="Times New Roman" w:cs="Times New Roman"/>
          <w:color w:val="000000"/>
          <w:szCs w:val="24"/>
        </w:rPr>
        <w:t xml:space="preserve">С. Тепловые сети проложить до ЦТП (ИТП). ЦТП (ИТП) должны работать без постоянного обслуживающего персонала, а информация выводиться </w:t>
      </w:r>
      <w:r w:rsidRPr="00731FE2">
        <w:rPr>
          <w:rFonts w:ascii="Times New Roman" w:eastAsia="Times New Roman" w:hAnsi="Times New Roman" w:cs="Times New Roman"/>
          <w:color w:val="000000"/>
          <w:szCs w:val="24"/>
        </w:rPr>
        <w:lastRenderedPageBreak/>
        <w:t>на единый диспетчерский пульт управления. Следует предусмотреть установку приборов учёта вырабатываемой и потребляемой тепловой энергии.</w:t>
      </w:r>
    </w:p>
    <w:p w14:paraId="48A8DC12" w14:textId="77777777" w:rsidR="00171AA8" w:rsidRPr="00731FE2" w:rsidRDefault="007935AB">
      <w:pPr>
        <w:pBdr>
          <w:top w:val="none" w:sz="4" w:space="0" w:color="000000"/>
          <w:left w:val="none" w:sz="4" w:space="0" w:color="000000"/>
          <w:bottom w:val="none" w:sz="4" w:space="0" w:color="000000"/>
          <w:right w:val="none" w:sz="4" w:space="0" w:color="000000"/>
        </w:pBdr>
      </w:pPr>
      <w:r w:rsidRPr="00731FE2">
        <w:rPr>
          <w:rFonts w:ascii="Times New Roman" w:eastAsia="Times New Roman" w:hAnsi="Times New Roman" w:cs="Times New Roman"/>
          <w:color w:val="000000"/>
          <w:szCs w:val="24"/>
        </w:rPr>
        <w:t>Тепловые сети проложить в две трубы, подземно в непроходных каналах, либо бесканально из труб с индустриальной тепловой изоляцией из пенополиуретана. Надземная прокладка тепловых сетей должна предусматриваться на эстакадах, низких или высоких отдельно стоящих опорах, а также в наземных каналах, расположенных на поверхности земли.</w:t>
      </w:r>
      <w:r w:rsidR="00E27FAB" w:rsidRPr="00731FE2">
        <w:rPr>
          <w:rFonts w:ascii="Times New Roman" w:eastAsia="Times New Roman" w:hAnsi="Times New Roman" w:cs="Times New Roman"/>
          <w:color w:val="000000"/>
          <w:szCs w:val="24"/>
        </w:rPr>
        <w:t xml:space="preserve"> </w:t>
      </w:r>
      <w:r w:rsidRPr="00731FE2">
        <w:rPr>
          <w:rFonts w:ascii="Times New Roman" w:eastAsia="Times New Roman" w:hAnsi="Times New Roman" w:cs="Times New Roman"/>
          <w:color w:val="000000"/>
          <w:szCs w:val="24"/>
        </w:rPr>
        <w:t>Тепловые нагрузки, трассировка тепловых сетей и диаметры трубопроводов уточняются на последующей стадии проектирования.</w:t>
      </w:r>
    </w:p>
    <w:p w14:paraId="110F789B" w14:textId="77777777" w:rsidR="00171AA8" w:rsidRPr="00731FE2" w:rsidRDefault="007935AB">
      <w:pPr>
        <w:pBdr>
          <w:top w:val="none" w:sz="4" w:space="0" w:color="000000"/>
          <w:left w:val="none" w:sz="4" w:space="0" w:color="000000"/>
          <w:bottom w:val="none" w:sz="4" w:space="0" w:color="000000"/>
          <w:right w:val="none" w:sz="4" w:space="0" w:color="000000"/>
        </w:pBdr>
      </w:pPr>
      <w:r w:rsidRPr="00731FE2">
        <w:rPr>
          <w:rFonts w:ascii="Times New Roman" w:eastAsia="Times New Roman" w:hAnsi="Times New Roman" w:cs="Times New Roman"/>
          <w:color w:val="000000"/>
          <w:szCs w:val="24"/>
        </w:rPr>
        <w:t>Теплоснабжение индивидуальной малоэтажной застройки (без и с приусадебными участками) будет носить локальный характер – от автономных теплогенерирующих установок, работающих на природном газе. Выбор индивидуальных источников тепла объясняется тем, что объекты имеют незначительную тепловую нагрузку и находятся на значительном расстоянии друг от друга, что влечёт за собой большие потери в тепловых сетях и значительные капвложения по их прокладке.</w:t>
      </w:r>
    </w:p>
    <w:p w14:paraId="19929286"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Подсчет тепловых нагрузок на жилищно-коммунальную застройку производился по комплексному удельному расходу тепла, отнесённому к 1 м</w:t>
      </w:r>
      <w:r w:rsidRPr="00731FE2">
        <w:rPr>
          <w:rFonts w:ascii="Times New Roman" w:eastAsia="Times New Roman" w:hAnsi="Times New Roman" w:cs="Times New Roman"/>
          <w:color w:val="000000"/>
          <w:szCs w:val="24"/>
          <w:vertAlign w:val="superscript"/>
        </w:rPr>
        <w:t>2</w:t>
      </w:r>
      <w:r w:rsidRPr="00731FE2">
        <w:rPr>
          <w:rFonts w:ascii="Times New Roman" w:eastAsia="Times New Roman" w:hAnsi="Times New Roman" w:cs="Times New Roman"/>
          <w:color w:val="000000"/>
          <w:szCs w:val="24"/>
        </w:rPr>
        <w:t xml:space="preserve"> общей площади.</w:t>
      </w:r>
    </w:p>
    <w:p w14:paraId="270BEBB5" w14:textId="77777777" w:rsidR="00171AA8" w:rsidRPr="00731FE2" w:rsidRDefault="007935AB">
      <w:pPr>
        <w:pBdr>
          <w:top w:val="none" w:sz="4" w:space="0" w:color="000000"/>
          <w:left w:val="none" w:sz="4" w:space="0" w:color="000000"/>
          <w:bottom w:val="none" w:sz="4" w:space="0" w:color="000000"/>
          <w:right w:val="none" w:sz="4" w:space="0" w:color="000000"/>
        </w:pBdr>
      </w:pPr>
      <w:r w:rsidRPr="00731FE2">
        <w:rPr>
          <w:rFonts w:ascii="Times New Roman" w:eastAsia="Times New Roman" w:hAnsi="Times New Roman" w:cs="Times New Roman"/>
          <w:color w:val="000000"/>
          <w:szCs w:val="24"/>
        </w:rPr>
        <w:t>Норматив расхода тепловой энергии, используемой на подогрев холодной воды для предоставления коммунальной услуги по горячему водоснабжению – 0,0650 Гкал на 1 м</w:t>
      </w:r>
      <w:r w:rsidRPr="00731FE2">
        <w:rPr>
          <w:rFonts w:ascii="Times New Roman" w:eastAsia="Times New Roman" w:hAnsi="Times New Roman" w:cs="Times New Roman"/>
          <w:color w:val="000000"/>
          <w:szCs w:val="24"/>
          <w:vertAlign w:val="superscript"/>
        </w:rPr>
        <w:t>2</w:t>
      </w:r>
      <w:r w:rsidRPr="00731FE2">
        <w:rPr>
          <w:rFonts w:ascii="Times New Roman" w:eastAsia="Times New Roman" w:hAnsi="Times New Roman" w:cs="Times New Roman"/>
          <w:color w:val="000000"/>
          <w:szCs w:val="24"/>
        </w:rPr>
        <w:t>.</w:t>
      </w:r>
      <w:r w:rsidRPr="00731FE2">
        <w:rPr>
          <w:rStyle w:val="afb"/>
          <w:rFonts w:ascii="Times New Roman" w:eastAsia="Times New Roman" w:hAnsi="Times New Roman" w:cs="Times New Roman"/>
          <w:color w:val="000000"/>
          <w:szCs w:val="24"/>
          <w:vertAlign w:val="superscript"/>
        </w:rPr>
        <w:footnoteReference w:id="116"/>
      </w:r>
    </w:p>
    <w:p w14:paraId="0F5E4E1B" w14:textId="77777777" w:rsidR="00171AA8" w:rsidRPr="00731FE2" w:rsidRDefault="007935AB">
      <w:pPr>
        <w:pBdr>
          <w:top w:val="none" w:sz="4" w:space="0" w:color="000000"/>
          <w:left w:val="none" w:sz="4" w:space="0" w:color="000000"/>
          <w:bottom w:val="none" w:sz="4" w:space="0" w:color="000000"/>
          <w:right w:val="none" w:sz="4" w:space="0" w:color="000000"/>
        </w:pBdr>
      </w:pPr>
      <w:r w:rsidRPr="00731FE2">
        <w:rPr>
          <w:rFonts w:ascii="Times New Roman" w:eastAsia="Times New Roman" w:hAnsi="Times New Roman" w:cs="Times New Roman"/>
          <w:color w:val="000000"/>
        </w:rPr>
        <w:t>В таблице ниже приведены современные и прогнозируемые значения расчетов расхода тепла, которые были определены исходя их следующих показателей</w:t>
      </w:r>
      <w:r w:rsidRPr="00731FE2">
        <w:rPr>
          <w:rFonts w:ascii="Times New Roman" w:eastAsia="Times New Roman" w:hAnsi="Times New Roman" w:cs="Times New Roman"/>
          <w:color w:val="000000"/>
          <w:szCs w:val="24"/>
        </w:rPr>
        <w:t>:</w:t>
      </w:r>
    </w:p>
    <w:p w14:paraId="2FE722FF" w14:textId="77777777" w:rsidR="00171AA8" w:rsidRPr="00731FE2" w:rsidRDefault="007935AB" w:rsidP="007832E7">
      <w:pPr>
        <w:pStyle w:val="a3"/>
        <w:numPr>
          <w:ilvl w:val="0"/>
          <w:numId w:val="80"/>
        </w:numPr>
        <w:pBdr>
          <w:top w:val="none" w:sz="4" w:space="0" w:color="000000"/>
          <w:left w:val="none" w:sz="4" w:space="0" w:color="000000"/>
          <w:bottom w:val="none" w:sz="4" w:space="0" w:color="000000"/>
          <w:right w:val="none" w:sz="4" w:space="0" w:color="000000"/>
        </w:pBdr>
        <w:tabs>
          <w:tab w:val="left" w:pos="992"/>
        </w:tabs>
        <w:ind w:left="0" w:firstLine="709"/>
      </w:pPr>
      <w:r w:rsidRPr="00731FE2">
        <w:rPr>
          <w:rFonts w:ascii="Times New Roman" w:eastAsia="Times New Roman" w:hAnsi="Times New Roman" w:cs="Times New Roman"/>
          <w:color w:val="000000"/>
        </w:rPr>
        <w:t>площадь существующего жилищного фонда – тыс. м</w:t>
      </w:r>
      <w:r w:rsidRPr="00731FE2">
        <w:rPr>
          <w:rFonts w:ascii="Times New Roman" w:eastAsia="Times New Roman" w:hAnsi="Times New Roman" w:cs="Times New Roman"/>
          <w:color w:val="000000"/>
          <w:sz w:val="20"/>
          <w:vertAlign w:val="superscript"/>
        </w:rPr>
        <w:t>2</w:t>
      </w:r>
      <w:r w:rsidRPr="00731FE2">
        <w:rPr>
          <w:rFonts w:ascii="Times New Roman" w:eastAsia="Times New Roman" w:hAnsi="Times New Roman" w:cs="Times New Roman"/>
          <w:color w:val="000000"/>
          <w:szCs w:val="24"/>
        </w:rPr>
        <w:t>;</w:t>
      </w:r>
    </w:p>
    <w:p w14:paraId="51366B86" w14:textId="77777777" w:rsidR="00171AA8" w:rsidRPr="00731FE2" w:rsidRDefault="007935AB" w:rsidP="007832E7">
      <w:pPr>
        <w:pStyle w:val="a3"/>
        <w:numPr>
          <w:ilvl w:val="0"/>
          <w:numId w:val="80"/>
        </w:numPr>
        <w:pBdr>
          <w:top w:val="none" w:sz="4" w:space="0" w:color="000000"/>
          <w:left w:val="none" w:sz="4" w:space="0" w:color="000000"/>
          <w:bottom w:val="none" w:sz="4" w:space="0" w:color="000000"/>
          <w:right w:val="none" w:sz="4" w:space="0" w:color="000000"/>
        </w:pBdr>
        <w:tabs>
          <w:tab w:val="left" w:pos="992"/>
        </w:tabs>
        <w:ind w:left="0" w:firstLine="709"/>
      </w:pPr>
      <w:r w:rsidRPr="00731FE2">
        <w:rPr>
          <w:rFonts w:ascii="Times New Roman" w:eastAsia="Times New Roman" w:hAnsi="Times New Roman" w:cs="Times New Roman"/>
          <w:color w:val="000000"/>
        </w:rPr>
        <w:t>необходимый объем жилищного фонда на конец периода (2044 г.) – 4497,7 тыс. м</w:t>
      </w:r>
      <w:r w:rsidRPr="00731FE2">
        <w:rPr>
          <w:rFonts w:ascii="Times New Roman" w:eastAsia="Times New Roman" w:hAnsi="Times New Roman" w:cs="Times New Roman"/>
          <w:color w:val="000000"/>
          <w:sz w:val="20"/>
          <w:vertAlign w:val="superscript"/>
        </w:rPr>
        <w:t>2</w:t>
      </w:r>
      <w:r w:rsidRPr="00731FE2">
        <w:rPr>
          <w:rFonts w:ascii="Times New Roman" w:eastAsia="Times New Roman" w:hAnsi="Times New Roman" w:cs="Times New Roman"/>
          <w:color w:val="000000"/>
          <w:szCs w:val="24"/>
        </w:rPr>
        <w:t>;</w:t>
      </w:r>
    </w:p>
    <w:p w14:paraId="2FC7DA2F" w14:textId="77777777" w:rsidR="00171AA8" w:rsidRPr="00731FE2" w:rsidRDefault="007935AB" w:rsidP="007832E7">
      <w:pPr>
        <w:pStyle w:val="a3"/>
        <w:numPr>
          <w:ilvl w:val="0"/>
          <w:numId w:val="80"/>
        </w:numPr>
        <w:pBdr>
          <w:top w:val="none" w:sz="4" w:space="0" w:color="000000"/>
          <w:left w:val="none" w:sz="4" w:space="0" w:color="000000"/>
          <w:bottom w:val="none" w:sz="4" w:space="0" w:color="000000"/>
          <w:right w:val="none" w:sz="4" w:space="0" w:color="000000"/>
        </w:pBdr>
        <w:tabs>
          <w:tab w:val="left" w:pos="992"/>
        </w:tabs>
        <w:ind w:left="0" w:firstLine="709"/>
      </w:pPr>
      <w:r w:rsidRPr="00731FE2">
        <w:rPr>
          <w:rFonts w:ascii="Times New Roman" w:eastAsia="Times New Roman" w:hAnsi="Times New Roman" w:cs="Times New Roman"/>
          <w:color w:val="000000"/>
          <w:szCs w:val="24"/>
        </w:rPr>
        <w:t>продолжительность отопительного периода – 180 суток (6 месяцев)</w:t>
      </w:r>
      <w:r w:rsidRPr="00731FE2">
        <w:rPr>
          <w:rStyle w:val="afb"/>
          <w:rFonts w:ascii="Times New Roman" w:eastAsia="Times New Roman" w:hAnsi="Times New Roman" w:cs="Times New Roman"/>
          <w:color w:val="000000"/>
          <w:szCs w:val="24"/>
          <w:vertAlign w:val="superscript"/>
        </w:rPr>
        <w:footnoteReference w:id="117"/>
      </w:r>
      <w:r w:rsidRPr="00731FE2">
        <w:rPr>
          <w:rFonts w:ascii="Times New Roman" w:eastAsia="Times New Roman" w:hAnsi="Times New Roman" w:cs="Times New Roman"/>
          <w:color w:val="000000"/>
          <w:szCs w:val="24"/>
        </w:rPr>
        <w:t>.</w:t>
      </w:r>
    </w:p>
    <w:p w14:paraId="210A0322" w14:textId="77777777" w:rsidR="00171AA8" w:rsidRPr="00731FE2" w:rsidRDefault="007935AB">
      <w:pPr>
        <w:pBdr>
          <w:top w:val="none" w:sz="4" w:space="0" w:color="000000"/>
          <w:left w:val="none" w:sz="4" w:space="0" w:color="000000"/>
          <w:bottom w:val="none" w:sz="4" w:space="0" w:color="000000"/>
          <w:right w:val="none" w:sz="4" w:space="0" w:color="000000"/>
        </w:pBdr>
      </w:pPr>
      <w:r w:rsidRPr="00731FE2">
        <w:rPr>
          <w:rFonts w:ascii="Times New Roman" w:eastAsia="Times New Roman" w:hAnsi="Times New Roman" w:cs="Times New Roman"/>
          <w:color w:val="000000"/>
          <w:szCs w:val="24"/>
        </w:rPr>
        <w:t>В жилых домах предусмотрено водяное отопление и горячее водоснабжение. В помещениях объектов социально-культурного и коммунально-бытового обслуживания населения, в зависимости от назначения предусматривается как воздушное отопление, совмещенное с вентиляцией, так и водяное отопление с принудительной приточно-вытяжной вентиляцией, а также горячее водоснабжение.</w:t>
      </w:r>
    </w:p>
    <w:p w14:paraId="182702D3"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Расчёт тепловых нагрузок в соответствии с необходимыми объемами жилищного фонда приведён в таблице ниже.</w:t>
      </w:r>
    </w:p>
    <w:p w14:paraId="2BA41978" w14:textId="77777777" w:rsidR="00171AA8" w:rsidRPr="00731FE2" w:rsidRDefault="00171AA8">
      <w:pPr>
        <w:pBdr>
          <w:top w:val="none" w:sz="4" w:space="0" w:color="000000"/>
          <w:left w:val="none" w:sz="4" w:space="0" w:color="000000"/>
          <w:bottom w:val="none" w:sz="4" w:space="0" w:color="000000"/>
          <w:right w:val="none" w:sz="4" w:space="0" w:color="000000"/>
        </w:pBdr>
        <w:spacing w:line="276" w:lineRule="atLeast"/>
        <w:rPr>
          <w:rFonts w:ascii="Times New Roman" w:eastAsia="Times New Roman" w:hAnsi="Times New Roman" w:cs="Times New Roman"/>
          <w:color w:val="000000"/>
          <w:szCs w:val="24"/>
        </w:rPr>
      </w:pPr>
    </w:p>
    <w:p w14:paraId="5171C8A4" w14:textId="77777777" w:rsidR="00171AA8" w:rsidRPr="00731FE2" w:rsidRDefault="007935AB">
      <w:pPr>
        <w:pStyle w:val="af3"/>
        <w:rPr>
          <w:sz w:val="24"/>
          <w:szCs w:val="24"/>
        </w:rPr>
      </w:pPr>
      <w:r w:rsidRPr="00731FE2">
        <w:rPr>
          <w:sz w:val="24"/>
          <w:szCs w:val="24"/>
        </w:rPr>
        <w:t xml:space="preserve">Таблица </w:t>
      </w:r>
      <w:r w:rsidR="00D97880" w:rsidRPr="00731FE2">
        <w:rPr>
          <w:noProof/>
          <w:sz w:val="24"/>
          <w:szCs w:val="24"/>
        </w:rPr>
        <w:fldChar w:fldCharType="begin"/>
      </w:r>
      <w:r w:rsidR="00D97880" w:rsidRPr="00731FE2">
        <w:rPr>
          <w:noProof/>
          <w:sz w:val="24"/>
          <w:szCs w:val="24"/>
        </w:rPr>
        <w:instrText xml:space="preserve"> SEQ Таблица \* Arabic </w:instrText>
      </w:r>
      <w:r w:rsidR="00D97880" w:rsidRPr="00731FE2">
        <w:rPr>
          <w:noProof/>
          <w:sz w:val="24"/>
          <w:szCs w:val="24"/>
        </w:rPr>
        <w:fldChar w:fldCharType="separate"/>
      </w:r>
      <w:r w:rsidR="00C50915" w:rsidRPr="00731FE2">
        <w:rPr>
          <w:noProof/>
          <w:sz w:val="24"/>
          <w:szCs w:val="24"/>
        </w:rPr>
        <w:t>90</w:t>
      </w:r>
      <w:r w:rsidR="00D97880" w:rsidRPr="00731FE2">
        <w:rPr>
          <w:noProof/>
          <w:sz w:val="24"/>
          <w:szCs w:val="24"/>
        </w:rPr>
        <w:fldChar w:fldCharType="end"/>
      </w:r>
      <w:r w:rsidRPr="00731FE2">
        <w:rPr>
          <w:sz w:val="24"/>
          <w:szCs w:val="24"/>
        </w:rPr>
        <w:t xml:space="preserve"> – Расчетный расход тепла потребителями на территории городского округа города-курорта Кисловодска на 2024 и 2044 гг.</w:t>
      </w:r>
    </w:p>
    <w:tbl>
      <w:tblPr>
        <w:tblStyle w:val="afe"/>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ayout w:type="fixed"/>
        <w:tblLook w:val="04A0" w:firstRow="1" w:lastRow="0" w:firstColumn="1" w:lastColumn="0" w:noHBand="0" w:noVBand="1"/>
      </w:tblPr>
      <w:tblGrid>
        <w:gridCol w:w="1559"/>
        <w:gridCol w:w="1843"/>
        <w:gridCol w:w="1843"/>
        <w:gridCol w:w="1843"/>
        <w:gridCol w:w="2263"/>
      </w:tblGrid>
      <w:tr w:rsidR="00171AA8" w:rsidRPr="00731FE2" w14:paraId="1889976E" w14:textId="77777777">
        <w:trPr>
          <w:trHeight w:val="1627"/>
        </w:trPr>
        <w:tc>
          <w:tcPr>
            <w:tcW w:w="1559" w:type="dxa"/>
            <w:tcBorders>
              <w:top w:val="single" w:sz="8" w:space="0" w:color="000000"/>
              <w:left w:val="single" w:sz="8" w:space="0" w:color="000000"/>
              <w:bottom w:val="single" w:sz="8" w:space="0" w:color="000000"/>
              <w:right w:val="single" w:sz="8" w:space="0" w:color="000000"/>
            </w:tcBorders>
            <w:tcMar>
              <w:top w:w="0" w:type="dxa"/>
              <w:left w:w="57" w:type="dxa"/>
              <w:bottom w:w="0" w:type="dxa"/>
              <w:right w:w="57" w:type="dxa"/>
            </w:tcMar>
            <w:vAlign w:val="center"/>
          </w:tcPr>
          <w:p w14:paraId="152B105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b/>
                <w:color w:val="000000"/>
                <w:sz w:val="22"/>
              </w:rPr>
              <w:t>Показатель</w:t>
            </w:r>
          </w:p>
        </w:tc>
        <w:tc>
          <w:tcPr>
            <w:tcW w:w="1843" w:type="dxa"/>
            <w:tcBorders>
              <w:top w:val="single" w:sz="8" w:space="0" w:color="000000"/>
              <w:left w:val="none" w:sz="4" w:space="0" w:color="000000"/>
              <w:bottom w:val="single" w:sz="8" w:space="0" w:color="000000"/>
              <w:right w:val="single" w:sz="8" w:space="0" w:color="000000"/>
            </w:tcBorders>
            <w:tcMar>
              <w:top w:w="0" w:type="dxa"/>
              <w:left w:w="57" w:type="dxa"/>
              <w:bottom w:w="0" w:type="dxa"/>
              <w:right w:w="57" w:type="dxa"/>
            </w:tcMar>
            <w:vAlign w:val="center"/>
          </w:tcPr>
          <w:p w14:paraId="301E045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b/>
                <w:color w:val="000000"/>
                <w:sz w:val="22"/>
              </w:rPr>
              <w:t>Площадь жилого фонда, 2024 г., тыс. м</w:t>
            </w:r>
            <w:r w:rsidRPr="00731FE2">
              <w:rPr>
                <w:rFonts w:ascii="Times New Roman" w:eastAsia="Times New Roman" w:hAnsi="Times New Roman" w:cs="Times New Roman"/>
                <w:b/>
                <w:color w:val="000000"/>
                <w:sz w:val="22"/>
                <w:vertAlign w:val="superscript"/>
              </w:rPr>
              <w:t>2</w:t>
            </w:r>
          </w:p>
        </w:tc>
        <w:tc>
          <w:tcPr>
            <w:tcW w:w="1843" w:type="dxa"/>
            <w:tcBorders>
              <w:top w:val="single" w:sz="8" w:space="0" w:color="000000"/>
              <w:left w:val="none" w:sz="4" w:space="0" w:color="000000"/>
              <w:bottom w:val="single" w:sz="8" w:space="0" w:color="000000"/>
              <w:right w:val="single" w:sz="8" w:space="0" w:color="000000"/>
            </w:tcBorders>
            <w:tcMar>
              <w:top w:w="0" w:type="dxa"/>
              <w:left w:w="57" w:type="dxa"/>
              <w:bottom w:w="0" w:type="dxa"/>
              <w:right w:w="57" w:type="dxa"/>
            </w:tcMar>
            <w:vAlign w:val="center"/>
          </w:tcPr>
          <w:p w14:paraId="0A993C5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b/>
                <w:color w:val="000000"/>
                <w:sz w:val="22"/>
              </w:rPr>
              <w:t>Потребление тепловой энергии за отопительный период, 2024 г., тыс. Гкал</w:t>
            </w:r>
          </w:p>
        </w:tc>
        <w:tc>
          <w:tcPr>
            <w:tcW w:w="1843" w:type="dxa"/>
            <w:tcBorders>
              <w:top w:val="single" w:sz="8" w:space="0" w:color="000000"/>
              <w:left w:val="none" w:sz="4" w:space="0" w:color="000000"/>
              <w:bottom w:val="single" w:sz="8" w:space="0" w:color="000000"/>
              <w:right w:val="single" w:sz="8" w:space="0" w:color="000000"/>
            </w:tcBorders>
            <w:tcMar>
              <w:top w:w="0" w:type="dxa"/>
              <w:left w:w="57" w:type="dxa"/>
              <w:bottom w:w="0" w:type="dxa"/>
              <w:right w:w="57" w:type="dxa"/>
            </w:tcMar>
            <w:vAlign w:val="center"/>
          </w:tcPr>
          <w:p w14:paraId="33ABF0E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b/>
                <w:color w:val="000000"/>
                <w:sz w:val="22"/>
              </w:rPr>
              <w:t>Площадь жилого фонда, 2044 г., тыс. м</w:t>
            </w:r>
            <w:r w:rsidRPr="00731FE2">
              <w:rPr>
                <w:rFonts w:ascii="Times New Roman" w:eastAsia="Times New Roman" w:hAnsi="Times New Roman" w:cs="Times New Roman"/>
                <w:b/>
                <w:color w:val="000000"/>
                <w:sz w:val="22"/>
                <w:vertAlign w:val="superscript"/>
              </w:rPr>
              <w:t>2</w:t>
            </w:r>
          </w:p>
        </w:tc>
        <w:tc>
          <w:tcPr>
            <w:tcW w:w="2263" w:type="dxa"/>
            <w:tcBorders>
              <w:top w:val="single" w:sz="8" w:space="0" w:color="000000"/>
              <w:left w:val="none" w:sz="4" w:space="0" w:color="000000"/>
              <w:bottom w:val="single" w:sz="8" w:space="0" w:color="000000"/>
              <w:right w:val="single" w:sz="8" w:space="0" w:color="000000"/>
            </w:tcBorders>
            <w:tcMar>
              <w:top w:w="0" w:type="dxa"/>
              <w:left w:w="57" w:type="dxa"/>
              <w:bottom w:w="0" w:type="dxa"/>
              <w:right w:w="57" w:type="dxa"/>
            </w:tcMar>
            <w:vAlign w:val="center"/>
          </w:tcPr>
          <w:p w14:paraId="6645A2F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b/>
                <w:color w:val="000000"/>
                <w:sz w:val="22"/>
              </w:rPr>
              <w:t>Потребление тепловой энергии за отопительный период, 2044 г. (централизованность 100%), тыс. Гкал</w:t>
            </w:r>
          </w:p>
        </w:tc>
      </w:tr>
      <w:tr w:rsidR="00171AA8" w:rsidRPr="00731FE2" w14:paraId="6B80933D" w14:textId="77777777">
        <w:trPr>
          <w:trHeight w:val="929"/>
        </w:trPr>
        <w:tc>
          <w:tcPr>
            <w:tcW w:w="1559" w:type="dxa"/>
            <w:tcBorders>
              <w:top w:val="none" w:sz="4" w:space="0" w:color="000000"/>
              <w:left w:val="single" w:sz="8" w:space="0" w:color="000000"/>
              <w:bottom w:val="single" w:sz="8" w:space="0" w:color="000000"/>
              <w:right w:val="single" w:sz="8" w:space="0" w:color="000000"/>
            </w:tcBorders>
            <w:tcMar>
              <w:top w:w="0" w:type="dxa"/>
              <w:left w:w="57" w:type="dxa"/>
              <w:bottom w:w="0" w:type="dxa"/>
              <w:right w:w="57" w:type="dxa"/>
            </w:tcMar>
            <w:vAlign w:val="center"/>
          </w:tcPr>
          <w:p w14:paraId="7183053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pPr>
            <w:r w:rsidRPr="00731FE2">
              <w:rPr>
                <w:rFonts w:ascii="Times New Roman" w:eastAsia="Times New Roman" w:hAnsi="Times New Roman" w:cs="Times New Roman"/>
                <w:color w:val="000000"/>
                <w:sz w:val="22"/>
              </w:rPr>
              <w:lastRenderedPageBreak/>
              <w:t>Расход тепла потребителями</w:t>
            </w:r>
          </w:p>
        </w:tc>
        <w:tc>
          <w:tcPr>
            <w:tcW w:w="1843" w:type="dxa"/>
            <w:tcBorders>
              <w:top w:val="none" w:sz="4" w:space="0" w:color="000000"/>
              <w:left w:val="none" w:sz="4" w:space="0" w:color="000000"/>
              <w:bottom w:val="single" w:sz="8" w:space="0" w:color="000000"/>
              <w:right w:val="single" w:sz="8" w:space="0" w:color="000000"/>
            </w:tcBorders>
            <w:tcMar>
              <w:top w:w="0" w:type="dxa"/>
              <w:left w:w="57" w:type="dxa"/>
              <w:bottom w:w="0" w:type="dxa"/>
              <w:right w:w="57" w:type="dxa"/>
            </w:tcMar>
            <w:vAlign w:val="center"/>
          </w:tcPr>
          <w:p w14:paraId="4A6B056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3426,35</w:t>
            </w:r>
          </w:p>
        </w:tc>
        <w:tc>
          <w:tcPr>
            <w:tcW w:w="1843" w:type="dxa"/>
            <w:tcBorders>
              <w:top w:val="none" w:sz="4" w:space="0" w:color="000000"/>
              <w:left w:val="none" w:sz="4" w:space="0" w:color="000000"/>
              <w:bottom w:val="single" w:sz="8" w:space="0" w:color="000000"/>
              <w:right w:val="single" w:sz="8" w:space="0" w:color="000000"/>
            </w:tcBorders>
            <w:tcMar>
              <w:top w:w="0" w:type="dxa"/>
              <w:left w:w="57" w:type="dxa"/>
              <w:bottom w:w="0" w:type="dxa"/>
              <w:right w:w="57" w:type="dxa"/>
            </w:tcMar>
            <w:vAlign w:val="center"/>
          </w:tcPr>
          <w:p w14:paraId="06BB7A7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1336,28</w:t>
            </w:r>
          </w:p>
        </w:tc>
        <w:tc>
          <w:tcPr>
            <w:tcW w:w="1843" w:type="dxa"/>
            <w:tcBorders>
              <w:top w:val="none" w:sz="4" w:space="0" w:color="000000"/>
              <w:left w:val="none" w:sz="4" w:space="0" w:color="000000"/>
              <w:bottom w:val="single" w:sz="8" w:space="0" w:color="000000"/>
              <w:right w:val="single" w:sz="8" w:space="0" w:color="000000"/>
            </w:tcBorders>
            <w:tcMar>
              <w:top w:w="0" w:type="dxa"/>
              <w:left w:w="57" w:type="dxa"/>
              <w:bottom w:w="0" w:type="dxa"/>
              <w:right w:w="57" w:type="dxa"/>
            </w:tcMar>
            <w:vAlign w:val="center"/>
          </w:tcPr>
          <w:p w14:paraId="6156019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4497,7</w:t>
            </w:r>
          </w:p>
        </w:tc>
        <w:tc>
          <w:tcPr>
            <w:tcW w:w="2263" w:type="dxa"/>
            <w:tcBorders>
              <w:top w:val="none" w:sz="4" w:space="0" w:color="000000"/>
              <w:left w:val="none" w:sz="4" w:space="0" w:color="000000"/>
              <w:bottom w:val="single" w:sz="8" w:space="0" w:color="000000"/>
              <w:right w:val="single" w:sz="8" w:space="0" w:color="000000"/>
            </w:tcBorders>
            <w:tcMar>
              <w:top w:w="0" w:type="dxa"/>
              <w:left w:w="57" w:type="dxa"/>
              <w:bottom w:w="0" w:type="dxa"/>
              <w:right w:w="57" w:type="dxa"/>
            </w:tcMar>
            <w:vAlign w:val="center"/>
          </w:tcPr>
          <w:p w14:paraId="3B88004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1754,10</w:t>
            </w:r>
          </w:p>
        </w:tc>
      </w:tr>
    </w:tbl>
    <w:p w14:paraId="3E9D825F" w14:textId="77777777" w:rsidR="00171AA8" w:rsidRPr="00731FE2" w:rsidRDefault="00171AA8">
      <w:pPr>
        <w:pBdr>
          <w:top w:val="none" w:sz="4" w:space="0" w:color="000000"/>
          <w:left w:val="none" w:sz="4" w:space="0" w:color="000000"/>
          <w:bottom w:val="none" w:sz="4" w:space="0" w:color="000000"/>
          <w:right w:val="none" w:sz="4" w:space="0" w:color="000000"/>
        </w:pBdr>
        <w:spacing w:line="276" w:lineRule="atLeast"/>
        <w:rPr>
          <w:rFonts w:ascii="Times New Roman" w:eastAsia="Times New Roman" w:hAnsi="Times New Roman" w:cs="Times New Roman"/>
          <w:color w:val="000000"/>
          <w:szCs w:val="24"/>
        </w:rPr>
      </w:pPr>
    </w:p>
    <w:p w14:paraId="3B9F500D" w14:textId="77777777" w:rsidR="00171AA8" w:rsidRPr="00731FE2" w:rsidRDefault="007935AB" w:rsidP="00E27FAB">
      <w:pPr>
        <w:pBdr>
          <w:top w:val="none" w:sz="4" w:space="0" w:color="000000"/>
          <w:left w:val="none" w:sz="4" w:space="0" w:color="000000"/>
          <w:bottom w:val="none" w:sz="4" w:space="0" w:color="000000"/>
          <w:right w:val="none" w:sz="4" w:space="0" w:color="000000"/>
        </w:pBdr>
      </w:pPr>
      <w:r w:rsidRPr="00731FE2">
        <w:rPr>
          <w:rFonts w:ascii="Times New Roman" w:eastAsia="Times New Roman" w:hAnsi="Times New Roman" w:cs="Times New Roman"/>
          <w:color w:val="000000"/>
        </w:rPr>
        <w:t>Произведенные расчеты позволяют определить следующие тезисы, характерные для системы отопления к расчетному периоду генерального плана:</w:t>
      </w:r>
    </w:p>
    <w:p w14:paraId="69CEDEE2" w14:textId="77777777" w:rsidR="00171AA8" w:rsidRPr="00731FE2" w:rsidRDefault="007935AB" w:rsidP="007832E7">
      <w:pPr>
        <w:pStyle w:val="a3"/>
        <w:numPr>
          <w:ilvl w:val="0"/>
          <w:numId w:val="81"/>
        </w:numPr>
        <w:pBdr>
          <w:top w:val="none" w:sz="4" w:space="0" w:color="000000"/>
          <w:left w:val="none" w:sz="4" w:space="0" w:color="000000"/>
          <w:bottom w:val="none" w:sz="4" w:space="0" w:color="000000"/>
          <w:right w:val="none" w:sz="4" w:space="0" w:color="000000"/>
        </w:pBdr>
        <w:tabs>
          <w:tab w:val="left" w:pos="993"/>
        </w:tabs>
        <w:ind w:left="0" w:firstLine="709"/>
      </w:pPr>
      <w:r w:rsidRPr="00731FE2">
        <w:rPr>
          <w:rFonts w:ascii="Times New Roman" w:eastAsia="Times New Roman" w:hAnsi="Times New Roman" w:cs="Times New Roman"/>
          <w:color w:val="000000"/>
        </w:rPr>
        <w:t>рост количества потребления тепловой энергии при существующем уровне централизованности к 2044 г. примерно на %;</w:t>
      </w:r>
    </w:p>
    <w:p w14:paraId="40496DFA" w14:textId="77777777" w:rsidR="00171AA8" w:rsidRPr="00731FE2" w:rsidRDefault="007935AB" w:rsidP="007832E7">
      <w:pPr>
        <w:pStyle w:val="a3"/>
        <w:numPr>
          <w:ilvl w:val="0"/>
          <w:numId w:val="81"/>
        </w:numPr>
        <w:pBdr>
          <w:top w:val="none" w:sz="4" w:space="0" w:color="000000"/>
          <w:left w:val="none" w:sz="4" w:space="0" w:color="000000"/>
          <w:bottom w:val="none" w:sz="4" w:space="0" w:color="000000"/>
          <w:right w:val="none" w:sz="4" w:space="0" w:color="000000"/>
        </w:pBdr>
        <w:tabs>
          <w:tab w:val="left" w:pos="993"/>
        </w:tabs>
        <w:ind w:left="0" w:firstLine="709"/>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rPr>
        <w:t>рост количества потребления тепловой энергии при полной централизованности к 2044 г. примерно на %;</w:t>
      </w:r>
    </w:p>
    <w:p w14:paraId="5C0CDC8C" w14:textId="77777777" w:rsidR="00171AA8" w:rsidRPr="00731FE2" w:rsidRDefault="007935AB" w:rsidP="007832E7">
      <w:pPr>
        <w:pStyle w:val="a3"/>
        <w:numPr>
          <w:ilvl w:val="0"/>
          <w:numId w:val="81"/>
        </w:numPr>
        <w:pBdr>
          <w:top w:val="none" w:sz="4" w:space="0" w:color="000000"/>
          <w:left w:val="none" w:sz="4" w:space="0" w:color="000000"/>
          <w:bottom w:val="none" w:sz="4" w:space="0" w:color="000000"/>
          <w:right w:val="none" w:sz="4" w:space="0" w:color="000000"/>
        </w:pBdr>
        <w:tabs>
          <w:tab w:val="left" w:pos="993"/>
        </w:tabs>
        <w:ind w:left="0" w:firstLine="709"/>
        <w:rPr>
          <w:sz w:val="22"/>
        </w:rPr>
      </w:pPr>
      <w:r w:rsidRPr="00731FE2">
        <w:rPr>
          <w:rFonts w:ascii="Times New Roman" w:eastAsia="Times New Roman" w:hAnsi="Times New Roman" w:cs="Times New Roman"/>
          <w:color w:val="000000"/>
        </w:rPr>
        <w:t>прогнозируемое потребление тепловой энергии не превышает установленную мощность имеющегося оборудования (408,8 Гкал/ч).</w:t>
      </w:r>
    </w:p>
    <w:p w14:paraId="7475C0B2" w14:textId="77777777" w:rsidR="00171AA8" w:rsidRPr="00731FE2" w:rsidRDefault="007935AB" w:rsidP="00E27F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Строительство возобновляемых источников тепловой энергии (солнечные электростанции, солнечные батареи) позволит в дальнейшем сократить количество отопительных котельных города.</w:t>
      </w:r>
    </w:p>
    <w:p w14:paraId="646E64B3" w14:textId="77777777" w:rsidR="00171AA8" w:rsidRPr="00731FE2" w:rsidRDefault="007935AB" w:rsidP="00E27F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Для обеспечения теплом существующих и планируемых потребителей городского округа город-курорт Кисловодск потребуется выполнение мероприятий, приведенных в Томе 1 «Положение о территориальном планировании» настоящего генерального плана.</w:t>
      </w:r>
    </w:p>
    <w:p w14:paraId="7A1A0090" w14:textId="77777777" w:rsidR="00171AA8" w:rsidRPr="00731FE2" w:rsidRDefault="007935AB" w:rsidP="00E27FAB">
      <w:pPr>
        <w:pStyle w:val="33"/>
        <w:rPr>
          <w:rFonts w:ascii="Times New Roman" w:hAnsi="Times New Roman" w:cs="Times New Roman"/>
        </w:rPr>
      </w:pPr>
      <w:bookmarkStart w:id="91" w:name="_Toc177392841"/>
      <w:r w:rsidRPr="00731FE2">
        <w:rPr>
          <w:rFonts w:ascii="Times New Roman" w:hAnsi="Times New Roman" w:cs="Times New Roman"/>
        </w:rPr>
        <w:t>3.9.4 Электроснабжение</w:t>
      </w:r>
      <w:bookmarkEnd w:id="91"/>
    </w:p>
    <w:p w14:paraId="529496D6" w14:textId="77777777" w:rsidR="00171AA8" w:rsidRPr="00731FE2" w:rsidRDefault="007935AB" w:rsidP="00E27F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Электроснабжение городского округа города-курорта Кисловодска к расчетному сроку генерального плана будет развиваться в соответствии со строительством новых жилых домов и общественных зданий, а также в соответствии с необходимостью обновления существующей системы электроснабжения.</w:t>
      </w:r>
    </w:p>
    <w:p w14:paraId="296B79C4" w14:textId="77777777" w:rsidR="00171AA8" w:rsidRPr="00731FE2" w:rsidRDefault="007935AB" w:rsidP="00E27F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Планируемые электрические нагрузки жилищно-коммунального сектора определены по срокам проектирования на основе численности населения, принятой настоящим генеральным планом, и в соответствии с приложением Л СП 42.13330.2016 «Градостроительство. Планировка и застройка городских и сельских поселений» Актуализированная редакция СНиП 2.07.01-89*.</w:t>
      </w:r>
    </w:p>
    <w:p w14:paraId="1B2B2EDE" w14:textId="77777777" w:rsidR="00171AA8" w:rsidRPr="00731FE2" w:rsidRDefault="00171AA8" w:rsidP="00E27F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p>
    <w:p w14:paraId="62B1CC3E" w14:textId="77777777" w:rsidR="00171AA8" w:rsidRPr="00731FE2" w:rsidRDefault="007935AB" w:rsidP="00E27FAB">
      <w:pPr>
        <w:pStyle w:val="af3"/>
        <w:rPr>
          <w:sz w:val="24"/>
          <w:szCs w:val="24"/>
        </w:rPr>
      </w:pPr>
      <w:r w:rsidRPr="00731FE2">
        <w:rPr>
          <w:sz w:val="24"/>
          <w:szCs w:val="24"/>
        </w:rPr>
        <w:t xml:space="preserve">Таблица </w:t>
      </w:r>
      <w:r w:rsidR="00D97880" w:rsidRPr="00731FE2">
        <w:rPr>
          <w:noProof/>
          <w:sz w:val="24"/>
          <w:szCs w:val="24"/>
        </w:rPr>
        <w:fldChar w:fldCharType="begin"/>
      </w:r>
      <w:r w:rsidR="00D97880" w:rsidRPr="00731FE2">
        <w:rPr>
          <w:noProof/>
          <w:sz w:val="24"/>
          <w:szCs w:val="24"/>
        </w:rPr>
        <w:instrText xml:space="preserve"> SEQ Таблица \* Arabic </w:instrText>
      </w:r>
      <w:r w:rsidR="00D97880" w:rsidRPr="00731FE2">
        <w:rPr>
          <w:noProof/>
          <w:sz w:val="24"/>
          <w:szCs w:val="24"/>
        </w:rPr>
        <w:fldChar w:fldCharType="separate"/>
      </w:r>
      <w:r w:rsidR="00C50915" w:rsidRPr="00731FE2">
        <w:rPr>
          <w:noProof/>
          <w:sz w:val="24"/>
          <w:szCs w:val="24"/>
        </w:rPr>
        <w:t>91</w:t>
      </w:r>
      <w:r w:rsidR="00D97880" w:rsidRPr="00731FE2">
        <w:rPr>
          <w:noProof/>
          <w:sz w:val="24"/>
          <w:szCs w:val="24"/>
        </w:rPr>
        <w:fldChar w:fldCharType="end"/>
      </w:r>
      <w:r w:rsidRPr="00731FE2">
        <w:rPr>
          <w:sz w:val="24"/>
          <w:szCs w:val="24"/>
        </w:rPr>
        <w:t xml:space="preserve"> – Укрупненные показатели электропотребления</w:t>
      </w:r>
    </w:p>
    <w:tbl>
      <w:tblPr>
        <w:tblStyle w:val="afe"/>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3536"/>
        <w:gridCol w:w="2970"/>
        <w:gridCol w:w="2828"/>
      </w:tblGrid>
      <w:tr w:rsidR="00171AA8" w:rsidRPr="00731FE2" w14:paraId="6D048928" w14:textId="77777777">
        <w:trPr>
          <w:trHeight w:val="283"/>
        </w:trPr>
        <w:tc>
          <w:tcPr>
            <w:tcW w:w="3536" w:type="dxa"/>
            <w:tcBorders>
              <w:top w:val="single" w:sz="8" w:space="0" w:color="000000"/>
              <w:left w:val="single" w:sz="8" w:space="0" w:color="000000"/>
              <w:bottom w:val="single" w:sz="8" w:space="0" w:color="000000"/>
              <w:right w:val="single" w:sz="8" w:space="0" w:color="000000"/>
            </w:tcBorders>
            <w:tcMar>
              <w:top w:w="0" w:type="dxa"/>
              <w:left w:w="74" w:type="dxa"/>
              <w:bottom w:w="0" w:type="dxa"/>
              <w:right w:w="74" w:type="dxa"/>
            </w:tcMar>
            <w:vAlign w:val="center"/>
          </w:tcPr>
          <w:p w14:paraId="59F55F4E" w14:textId="77777777" w:rsidR="00171AA8" w:rsidRPr="00731FE2" w:rsidRDefault="007935AB">
            <w:pPr>
              <w:pBdr>
                <w:top w:val="none" w:sz="4" w:space="0" w:color="000000"/>
                <w:left w:val="none" w:sz="4" w:space="0" w:color="000000"/>
                <w:bottom w:val="none" w:sz="4" w:space="0" w:color="000000"/>
                <w:right w:val="none" w:sz="4" w:space="0" w:color="000000"/>
              </w:pBdr>
              <w:spacing w:line="276" w:lineRule="atLeast"/>
              <w:ind w:firstLine="0"/>
              <w:jc w:val="center"/>
              <w:rPr>
                <w:rFonts w:ascii="Times New Roman" w:eastAsia="Times New Roman" w:hAnsi="Times New Roman" w:cs="Times New Roman"/>
                <w:b/>
                <w:bCs/>
                <w:color w:val="000000"/>
                <w:sz w:val="22"/>
              </w:rPr>
            </w:pPr>
            <w:r w:rsidRPr="00731FE2">
              <w:rPr>
                <w:rFonts w:ascii="Times New Roman" w:eastAsia="Times New Roman" w:hAnsi="Times New Roman" w:cs="Times New Roman"/>
                <w:b/>
                <w:bCs/>
                <w:color w:val="000000"/>
                <w:sz w:val="22"/>
              </w:rPr>
              <w:t>Степень благоустройства поселений</w:t>
            </w:r>
          </w:p>
        </w:tc>
        <w:tc>
          <w:tcPr>
            <w:tcW w:w="2970" w:type="dxa"/>
            <w:tcBorders>
              <w:top w:val="single" w:sz="8" w:space="0" w:color="000000"/>
              <w:left w:val="none" w:sz="4" w:space="0" w:color="000000"/>
              <w:bottom w:val="single" w:sz="8" w:space="0" w:color="000000"/>
              <w:right w:val="single" w:sz="8" w:space="0" w:color="000000"/>
            </w:tcBorders>
            <w:tcMar>
              <w:top w:w="0" w:type="dxa"/>
              <w:left w:w="74" w:type="dxa"/>
              <w:bottom w:w="0" w:type="dxa"/>
              <w:right w:w="74" w:type="dxa"/>
            </w:tcMar>
            <w:vAlign w:val="center"/>
          </w:tcPr>
          <w:p w14:paraId="35562C0C" w14:textId="77777777" w:rsidR="00171AA8" w:rsidRPr="00731FE2" w:rsidRDefault="007935AB">
            <w:pPr>
              <w:pBdr>
                <w:top w:val="none" w:sz="4" w:space="0" w:color="000000"/>
                <w:left w:val="none" w:sz="4" w:space="0" w:color="000000"/>
                <w:bottom w:val="none" w:sz="4" w:space="0" w:color="000000"/>
                <w:right w:val="none" w:sz="4" w:space="0" w:color="000000"/>
              </w:pBdr>
              <w:spacing w:line="276" w:lineRule="atLeast"/>
              <w:ind w:firstLine="0"/>
              <w:jc w:val="center"/>
              <w:rPr>
                <w:rFonts w:ascii="Times New Roman" w:eastAsia="Times New Roman" w:hAnsi="Times New Roman" w:cs="Times New Roman"/>
                <w:b/>
                <w:bCs/>
                <w:color w:val="000000"/>
                <w:sz w:val="22"/>
              </w:rPr>
            </w:pPr>
            <w:r w:rsidRPr="00731FE2">
              <w:rPr>
                <w:rFonts w:ascii="Times New Roman" w:eastAsia="Times New Roman" w:hAnsi="Times New Roman" w:cs="Times New Roman"/>
                <w:b/>
                <w:bCs/>
                <w:color w:val="000000"/>
                <w:sz w:val="22"/>
              </w:rPr>
              <w:t>Электропотребление, кВт·ч/год на 1 чел.</w:t>
            </w:r>
          </w:p>
        </w:tc>
        <w:tc>
          <w:tcPr>
            <w:tcW w:w="2828" w:type="dxa"/>
            <w:tcBorders>
              <w:top w:val="single" w:sz="8" w:space="0" w:color="000000"/>
              <w:left w:val="none" w:sz="4" w:space="0" w:color="000000"/>
              <w:bottom w:val="single" w:sz="8" w:space="0" w:color="000000"/>
              <w:right w:val="single" w:sz="8" w:space="0" w:color="000000"/>
            </w:tcBorders>
            <w:tcMar>
              <w:top w:w="0" w:type="dxa"/>
              <w:left w:w="74" w:type="dxa"/>
              <w:bottom w:w="0" w:type="dxa"/>
              <w:right w:w="74" w:type="dxa"/>
            </w:tcMar>
            <w:vAlign w:val="center"/>
          </w:tcPr>
          <w:p w14:paraId="45E493BD" w14:textId="77777777" w:rsidR="00171AA8" w:rsidRPr="00731FE2" w:rsidRDefault="007935AB">
            <w:pPr>
              <w:pBdr>
                <w:top w:val="none" w:sz="4" w:space="0" w:color="000000"/>
                <w:left w:val="none" w:sz="4" w:space="0" w:color="000000"/>
                <w:bottom w:val="none" w:sz="4" w:space="0" w:color="000000"/>
                <w:right w:val="none" w:sz="4" w:space="0" w:color="000000"/>
              </w:pBdr>
              <w:spacing w:line="276" w:lineRule="atLeast"/>
              <w:ind w:firstLine="0"/>
              <w:jc w:val="center"/>
              <w:rPr>
                <w:rFonts w:ascii="Times New Roman" w:eastAsia="Times New Roman" w:hAnsi="Times New Roman" w:cs="Times New Roman"/>
                <w:b/>
                <w:bCs/>
                <w:color w:val="000000"/>
                <w:sz w:val="22"/>
              </w:rPr>
            </w:pPr>
            <w:r w:rsidRPr="00731FE2">
              <w:rPr>
                <w:rFonts w:ascii="Times New Roman" w:eastAsia="Times New Roman" w:hAnsi="Times New Roman" w:cs="Times New Roman"/>
                <w:b/>
                <w:bCs/>
                <w:color w:val="000000"/>
                <w:sz w:val="22"/>
              </w:rPr>
              <w:t>Использование максимума электрической нагрузки, ч/год</w:t>
            </w:r>
          </w:p>
        </w:tc>
      </w:tr>
      <w:tr w:rsidR="00171AA8" w:rsidRPr="00731FE2" w14:paraId="69DCC776" w14:textId="77777777">
        <w:trPr>
          <w:trHeight w:val="235"/>
        </w:trPr>
        <w:tc>
          <w:tcPr>
            <w:tcW w:w="9334" w:type="dxa"/>
            <w:gridSpan w:val="3"/>
            <w:tcBorders>
              <w:top w:val="none" w:sz="4" w:space="0" w:color="000000"/>
              <w:left w:val="single" w:sz="8" w:space="0" w:color="000000"/>
              <w:bottom w:val="single" w:sz="8" w:space="0" w:color="000000"/>
              <w:right w:val="single" w:sz="8" w:space="0" w:color="000000"/>
            </w:tcBorders>
            <w:tcMar>
              <w:top w:w="0" w:type="dxa"/>
              <w:left w:w="74" w:type="dxa"/>
              <w:bottom w:w="0" w:type="dxa"/>
              <w:right w:w="74" w:type="dxa"/>
            </w:tcMar>
          </w:tcPr>
          <w:p w14:paraId="620EB904" w14:textId="77777777" w:rsidR="00171AA8" w:rsidRPr="00731FE2" w:rsidRDefault="007935AB">
            <w:pPr>
              <w:pBdr>
                <w:top w:val="none" w:sz="4" w:space="0" w:color="000000"/>
                <w:left w:val="none" w:sz="4" w:space="0" w:color="000000"/>
                <w:bottom w:val="none" w:sz="4" w:space="0" w:color="000000"/>
                <w:right w:val="none" w:sz="4" w:space="0" w:color="000000"/>
              </w:pBdr>
              <w:spacing w:line="276" w:lineRule="atLeast"/>
              <w:ind w:firstLine="0"/>
              <w:rPr>
                <w:rFonts w:ascii="Times New Roman" w:eastAsia="Times New Roman" w:hAnsi="Times New Roman" w:cs="Times New Roman"/>
                <w:b/>
                <w:bCs/>
                <w:color w:val="000000"/>
                <w:sz w:val="22"/>
              </w:rPr>
            </w:pPr>
            <w:r w:rsidRPr="00731FE2">
              <w:rPr>
                <w:rFonts w:ascii="Times New Roman" w:eastAsia="Times New Roman" w:hAnsi="Times New Roman" w:cs="Times New Roman"/>
                <w:b/>
                <w:bCs/>
                <w:color w:val="000000"/>
                <w:sz w:val="22"/>
              </w:rPr>
              <w:t>Города, не оборудованные стационарными электроплитами:</w:t>
            </w:r>
          </w:p>
        </w:tc>
      </w:tr>
      <w:tr w:rsidR="00171AA8" w:rsidRPr="00731FE2" w14:paraId="516DDA6E" w14:textId="77777777">
        <w:trPr>
          <w:trHeight w:val="235"/>
        </w:trPr>
        <w:tc>
          <w:tcPr>
            <w:tcW w:w="3536" w:type="dxa"/>
            <w:tcBorders>
              <w:top w:val="none" w:sz="4" w:space="0" w:color="000000"/>
              <w:left w:val="single" w:sz="8" w:space="0" w:color="000000"/>
              <w:bottom w:val="single" w:sz="8" w:space="0" w:color="000000"/>
              <w:right w:val="single" w:sz="8" w:space="0" w:color="000000"/>
            </w:tcBorders>
            <w:tcMar>
              <w:top w:w="0" w:type="dxa"/>
              <w:left w:w="74" w:type="dxa"/>
              <w:bottom w:w="0" w:type="dxa"/>
              <w:right w:w="74" w:type="dxa"/>
            </w:tcMar>
          </w:tcPr>
          <w:p w14:paraId="55DCE11E" w14:textId="77777777" w:rsidR="00171AA8" w:rsidRPr="00731FE2" w:rsidRDefault="007935AB">
            <w:pPr>
              <w:pBdr>
                <w:top w:val="none" w:sz="4" w:space="0" w:color="000000"/>
                <w:left w:val="none" w:sz="4" w:space="0" w:color="000000"/>
                <w:bottom w:val="none" w:sz="4" w:space="0" w:color="000000"/>
                <w:right w:val="none" w:sz="4" w:space="0" w:color="000000"/>
              </w:pBdr>
              <w:spacing w:line="276" w:lineRule="atLeast"/>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без кондиционеров</w:t>
            </w:r>
          </w:p>
        </w:tc>
        <w:tc>
          <w:tcPr>
            <w:tcW w:w="2970" w:type="dxa"/>
            <w:tcBorders>
              <w:top w:val="none" w:sz="4" w:space="0" w:color="000000"/>
              <w:left w:val="none" w:sz="4" w:space="0" w:color="000000"/>
              <w:bottom w:val="single" w:sz="8" w:space="0" w:color="000000"/>
              <w:right w:val="single" w:sz="8" w:space="0" w:color="000000"/>
            </w:tcBorders>
            <w:tcMar>
              <w:top w:w="0" w:type="dxa"/>
              <w:left w:w="74" w:type="dxa"/>
              <w:bottom w:w="0" w:type="dxa"/>
              <w:right w:w="74" w:type="dxa"/>
            </w:tcMar>
          </w:tcPr>
          <w:p w14:paraId="15B52148" w14:textId="77777777" w:rsidR="00171AA8" w:rsidRPr="00731FE2" w:rsidRDefault="007935AB">
            <w:pPr>
              <w:pBdr>
                <w:top w:val="none" w:sz="4" w:space="0" w:color="000000"/>
                <w:left w:val="none" w:sz="4" w:space="0" w:color="000000"/>
                <w:bottom w:val="none" w:sz="4" w:space="0" w:color="000000"/>
                <w:right w:val="none" w:sz="4" w:space="0" w:color="000000"/>
              </w:pBdr>
              <w:spacing w:line="276" w:lineRule="atLeast"/>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1700</w:t>
            </w:r>
          </w:p>
        </w:tc>
        <w:tc>
          <w:tcPr>
            <w:tcW w:w="2828" w:type="dxa"/>
            <w:tcBorders>
              <w:top w:val="none" w:sz="4" w:space="0" w:color="000000"/>
              <w:left w:val="none" w:sz="4" w:space="0" w:color="000000"/>
              <w:bottom w:val="single" w:sz="8" w:space="0" w:color="000000"/>
              <w:right w:val="single" w:sz="8" w:space="0" w:color="000000"/>
            </w:tcBorders>
            <w:tcMar>
              <w:top w:w="0" w:type="dxa"/>
              <w:left w:w="74" w:type="dxa"/>
              <w:bottom w:w="0" w:type="dxa"/>
              <w:right w:w="74" w:type="dxa"/>
            </w:tcMar>
          </w:tcPr>
          <w:p w14:paraId="60CA716A" w14:textId="77777777" w:rsidR="00171AA8" w:rsidRPr="00731FE2" w:rsidRDefault="007935AB">
            <w:pPr>
              <w:pBdr>
                <w:top w:val="none" w:sz="4" w:space="0" w:color="000000"/>
                <w:left w:val="none" w:sz="4" w:space="0" w:color="000000"/>
                <w:bottom w:val="none" w:sz="4" w:space="0" w:color="000000"/>
                <w:right w:val="none" w:sz="4" w:space="0" w:color="000000"/>
              </w:pBdr>
              <w:spacing w:line="276" w:lineRule="atLeast"/>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5200</w:t>
            </w:r>
          </w:p>
        </w:tc>
      </w:tr>
      <w:tr w:rsidR="00171AA8" w:rsidRPr="00731FE2" w14:paraId="5DDB2F6F" w14:textId="77777777">
        <w:trPr>
          <w:trHeight w:val="235"/>
        </w:trPr>
        <w:tc>
          <w:tcPr>
            <w:tcW w:w="3536" w:type="dxa"/>
            <w:tcBorders>
              <w:top w:val="none" w:sz="4" w:space="0" w:color="000000"/>
              <w:left w:val="single" w:sz="8" w:space="0" w:color="000000"/>
              <w:bottom w:val="single" w:sz="8" w:space="0" w:color="000000"/>
              <w:right w:val="single" w:sz="8" w:space="0" w:color="000000"/>
            </w:tcBorders>
            <w:tcMar>
              <w:top w:w="0" w:type="dxa"/>
              <w:left w:w="74" w:type="dxa"/>
              <w:bottom w:w="0" w:type="dxa"/>
              <w:right w:w="74" w:type="dxa"/>
            </w:tcMar>
          </w:tcPr>
          <w:p w14:paraId="7E618F84" w14:textId="77777777" w:rsidR="00171AA8" w:rsidRPr="00731FE2" w:rsidRDefault="007935AB">
            <w:pPr>
              <w:pBdr>
                <w:top w:val="none" w:sz="4" w:space="0" w:color="000000"/>
                <w:left w:val="none" w:sz="4" w:space="0" w:color="000000"/>
                <w:bottom w:val="none" w:sz="4" w:space="0" w:color="000000"/>
                <w:right w:val="none" w:sz="4" w:space="0" w:color="000000"/>
              </w:pBdr>
              <w:spacing w:line="276" w:lineRule="atLeast"/>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с кондиционерами</w:t>
            </w:r>
          </w:p>
        </w:tc>
        <w:tc>
          <w:tcPr>
            <w:tcW w:w="2970" w:type="dxa"/>
            <w:tcBorders>
              <w:top w:val="none" w:sz="4" w:space="0" w:color="000000"/>
              <w:left w:val="none" w:sz="4" w:space="0" w:color="000000"/>
              <w:bottom w:val="single" w:sz="8" w:space="0" w:color="000000"/>
              <w:right w:val="single" w:sz="8" w:space="0" w:color="000000"/>
            </w:tcBorders>
            <w:tcMar>
              <w:top w:w="0" w:type="dxa"/>
              <w:left w:w="74" w:type="dxa"/>
              <w:bottom w:w="0" w:type="dxa"/>
              <w:right w:w="74" w:type="dxa"/>
            </w:tcMar>
          </w:tcPr>
          <w:p w14:paraId="7FCBA7D2" w14:textId="77777777" w:rsidR="00171AA8" w:rsidRPr="00731FE2" w:rsidRDefault="007935AB">
            <w:pPr>
              <w:pBdr>
                <w:top w:val="none" w:sz="4" w:space="0" w:color="000000"/>
                <w:left w:val="none" w:sz="4" w:space="0" w:color="000000"/>
                <w:bottom w:val="none" w:sz="4" w:space="0" w:color="000000"/>
                <w:right w:val="none" w:sz="4" w:space="0" w:color="000000"/>
              </w:pBdr>
              <w:spacing w:line="276" w:lineRule="atLeast"/>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2000</w:t>
            </w:r>
          </w:p>
        </w:tc>
        <w:tc>
          <w:tcPr>
            <w:tcW w:w="2828" w:type="dxa"/>
            <w:tcBorders>
              <w:top w:val="none" w:sz="4" w:space="0" w:color="000000"/>
              <w:left w:val="none" w:sz="4" w:space="0" w:color="000000"/>
              <w:bottom w:val="single" w:sz="8" w:space="0" w:color="000000"/>
              <w:right w:val="single" w:sz="8" w:space="0" w:color="000000"/>
            </w:tcBorders>
            <w:tcMar>
              <w:top w:w="0" w:type="dxa"/>
              <w:left w:w="74" w:type="dxa"/>
              <w:bottom w:w="0" w:type="dxa"/>
              <w:right w:w="74" w:type="dxa"/>
            </w:tcMar>
          </w:tcPr>
          <w:p w14:paraId="42F220A5" w14:textId="77777777" w:rsidR="00171AA8" w:rsidRPr="00731FE2" w:rsidRDefault="007935AB">
            <w:pPr>
              <w:pBdr>
                <w:top w:val="none" w:sz="4" w:space="0" w:color="000000"/>
                <w:left w:val="none" w:sz="4" w:space="0" w:color="000000"/>
                <w:bottom w:val="none" w:sz="4" w:space="0" w:color="000000"/>
                <w:right w:val="none" w:sz="4" w:space="0" w:color="000000"/>
              </w:pBdr>
              <w:spacing w:line="276" w:lineRule="atLeast"/>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5700</w:t>
            </w:r>
          </w:p>
        </w:tc>
      </w:tr>
      <w:tr w:rsidR="00171AA8" w:rsidRPr="00731FE2" w14:paraId="6A6EDF3F" w14:textId="77777777">
        <w:trPr>
          <w:trHeight w:val="235"/>
        </w:trPr>
        <w:tc>
          <w:tcPr>
            <w:tcW w:w="9334" w:type="dxa"/>
            <w:gridSpan w:val="3"/>
            <w:tcBorders>
              <w:top w:val="none" w:sz="4" w:space="0" w:color="000000"/>
              <w:left w:val="single" w:sz="8" w:space="0" w:color="000000"/>
              <w:bottom w:val="single" w:sz="8" w:space="0" w:color="000000"/>
              <w:right w:val="single" w:sz="8" w:space="0" w:color="000000"/>
            </w:tcBorders>
            <w:tcMar>
              <w:top w:w="0" w:type="dxa"/>
              <w:left w:w="74" w:type="dxa"/>
              <w:bottom w:w="0" w:type="dxa"/>
              <w:right w:w="74" w:type="dxa"/>
            </w:tcMar>
          </w:tcPr>
          <w:p w14:paraId="3CB798D4" w14:textId="77777777" w:rsidR="00171AA8" w:rsidRPr="00731FE2" w:rsidRDefault="007935AB">
            <w:pPr>
              <w:pBdr>
                <w:top w:val="none" w:sz="4" w:space="0" w:color="000000"/>
                <w:left w:val="none" w:sz="4" w:space="0" w:color="000000"/>
                <w:bottom w:val="none" w:sz="4" w:space="0" w:color="000000"/>
                <w:right w:val="none" w:sz="4" w:space="0" w:color="000000"/>
              </w:pBdr>
              <w:spacing w:line="276" w:lineRule="atLeast"/>
              <w:ind w:firstLine="0"/>
              <w:rPr>
                <w:rFonts w:ascii="Times New Roman" w:eastAsia="Times New Roman" w:hAnsi="Times New Roman" w:cs="Times New Roman"/>
                <w:b/>
                <w:bCs/>
                <w:color w:val="000000"/>
                <w:sz w:val="22"/>
              </w:rPr>
            </w:pPr>
            <w:r w:rsidRPr="00731FE2">
              <w:rPr>
                <w:rFonts w:ascii="Times New Roman" w:eastAsia="Times New Roman" w:hAnsi="Times New Roman" w:cs="Times New Roman"/>
                <w:b/>
                <w:bCs/>
                <w:color w:val="000000"/>
                <w:sz w:val="22"/>
              </w:rPr>
              <w:t>Города, оборудованные стационарными электроплитами (100% охвата):</w:t>
            </w:r>
          </w:p>
        </w:tc>
      </w:tr>
      <w:tr w:rsidR="00171AA8" w:rsidRPr="00731FE2" w14:paraId="54820DD1" w14:textId="77777777">
        <w:trPr>
          <w:trHeight w:val="235"/>
        </w:trPr>
        <w:tc>
          <w:tcPr>
            <w:tcW w:w="3536" w:type="dxa"/>
            <w:tcBorders>
              <w:top w:val="none" w:sz="4" w:space="0" w:color="000000"/>
              <w:left w:val="single" w:sz="8" w:space="0" w:color="000000"/>
              <w:bottom w:val="single" w:sz="8" w:space="0" w:color="000000"/>
              <w:right w:val="single" w:sz="8" w:space="0" w:color="000000"/>
            </w:tcBorders>
            <w:tcMar>
              <w:top w:w="0" w:type="dxa"/>
              <w:left w:w="74" w:type="dxa"/>
              <w:bottom w:w="0" w:type="dxa"/>
              <w:right w:w="74" w:type="dxa"/>
            </w:tcMar>
          </w:tcPr>
          <w:p w14:paraId="3A7752BF" w14:textId="77777777" w:rsidR="00171AA8" w:rsidRPr="00731FE2" w:rsidRDefault="007935AB">
            <w:pPr>
              <w:pBdr>
                <w:top w:val="none" w:sz="4" w:space="0" w:color="000000"/>
                <w:left w:val="none" w:sz="4" w:space="0" w:color="000000"/>
                <w:bottom w:val="none" w:sz="4" w:space="0" w:color="000000"/>
                <w:right w:val="none" w:sz="4" w:space="0" w:color="000000"/>
              </w:pBdr>
              <w:spacing w:line="276" w:lineRule="atLeast"/>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без кондиционеров</w:t>
            </w:r>
          </w:p>
        </w:tc>
        <w:tc>
          <w:tcPr>
            <w:tcW w:w="2970" w:type="dxa"/>
            <w:tcBorders>
              <w:top w:val="none" w:sz="4" w:space="0" w:color="000000"/>
              <w:left w:val="none" w:sz="4" w:space="0" w:color="000000"/>
              <w:bottom w:val="single" w:sz="8" w:space="0" w:color="000000"/>
              <w:right w:val="single" w:sz="8" w:space="0" w:color="000000"/>
            </w:tcBorders>
            <w:tcMar>
              <w:top w:w="0" w:type="dxa"/>
              <w:left w:w="74" w:type="dxa"/>
              <w:bottom w:w="0" w:type="dxa"/>
              <w:right w:w="74" w:type="dxa"/>
            </w:tcMar>
          </w:tcPr>
          <w:p w14:paraId="0EAE4195" w14:textId="77777777" w:rsidR="00171AA8" w:rsidRPr="00731FE2" w:rsidRDefault="007935AB">
            <w:pPr>
              <w:pBdr>
                <w:top w:val="none" w:sz="4" w:space="0" w:color="000000"/>
                <w:left w:val="none" w:sz="4" w:space="0" w:color="000000"/>
                <w:bottom w:val="none" w:sz="4" w:space="0" w:color="000000"/>
                <w:right w:val="none" w:sz="4" w:space="0" w:color="000000"/>
              </w:pBdr>
              <w:spacing w:line="276" w:lineRule="atLeast"/>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2100</w:t>
            </w:r>
          </w:p>
        </w:tc>
        <w:tc>
          <w:tcPr>
            <w:tcW w:w="2828" w:type="dxa"/>
            <w:tcBorders>
              <w:top w:val="none" w:sz="4" w:space="0" w:color="000000"/>
              <w:left w:val="none" w:sz="4" w:space="0" w:color="000000"/>
              <w:bottom w:val="single" w:sz="8" w:space="0" w:color="000000"/>
              <w:right w:val="single" w:sz="8" w:space="0" w:color="000000"/>
            </w:tcBorders>
            <w:tcMar>
              <w:top w:w="0" w:type="dxa"/>
              <w:left w:w="74" w:type="dxa"/>
              <w:bottom w:w="0" w:type="dxa"/>
              <w:right w:w="74" w:type="dxa"/>
            </w:tcMar>
          </w:tcPr>
          <w:p w14:paraId="4E169C96" w14:textId="77777777" w:rsidR="00171AA8" w:rsidRPr="00731FE2" w:rsidRDefault="007935AB">
            <w:pPr>
              <w:pBdr>
                <w:top w:val="none" w:sz="4" w:space="0" w:color="000000"/>
                <w:left w:val="none" w:sz="4" w:space="0" w:color="000000"/>
                <w:bottom w:val="none" w:sz="4" w:space="0" w:color="000000"/>
                <w:right w:val="none" w:sz="4" w:space="0" w:color="000000"/>
              </w:pBdr>
              <w:spacing w:line="276" w:lineRule="atLeast"/>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5300</w:t>
            </w:r>
          </w:p>
        </w:tc>
      </w:tr>
      <w:tr w:rsidR="00171AA8" w:rsidRPr="00731FE2" w14:paraId="42D03583" w14:textId="77777777">
        <w:trPr>
          <w:trHeight w:val="235"/>
        </w:trPr>
        <w:tc>
          <w:tcPr>
            <w:tcW w:w="3536" w:type="dxa"/>
            <w:tcBorders>
              <w:top w:val="none" w:sz="4" w:space="0" w:color="000000"/>
              <w:left w:val="single" w:sz="8" w:space="0" w:color="000000"/>
              <w:bottom w:val="single" w:sz="8" w:space="0" w:color="000000"/>
              <w:right w:val="single" w:sz="8" w:space="0" w:color="000000"/>
            </w:tcBorders>
            <w:tcMar>
              <w:top w:w="0" w:type="dxa"/>
              <w:left w:w="74" w:type="dxa"/>
              <w:bottom w:w="0" w:type="dxa"/>
              <w:right w:w="74" w:type="dxa"/>
            </w:tcMar>
          </w:tcPr>
          <w:p w14:paraId="1C58F746" w14:textId="77777777" w:rsidR="00171AA8" w:rsidRPr="00731FE2" w:rsidRDefault="007935AB">
            <w:pPr>
              <w:pBdr>
                <w:top w:val="none" w:sz="4" w:space="0" w:color="000000"/>
                <w:left w:val="none" w:sz="4" w:space="0" w:color="000000"/>
                <w:bottom w:val="none" w:sz="4" w:space="0" w:color="000000"/>
                <w:right w:val="none" w:sz="4" w:space="0" w:color="000000"/>
              </w:pBdr>
              <w:spacing w:line="276" w:lineRule="atLeast"/>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с кондиционерами</w:t>
            </w:r>
          </w:p>
        </w:tc>
        <w:tc>
          <w:tcPr>
            <w:tcW w:w="2970" w:type="dxa"/>
            <w:tcBorders>
              <w:top w:val="none" w:sz="4" w:space="0" w:color="000000"/>
              <w:left w:val="none" w:sz="4" w:space="0" w:color="000000"/>
              <w:bottom w:val="single" w:sz="8" w:space="0" w:color="000000"/>
              <w:right w:val="single" w:sz="8" w:space="0" w:color="000000"/>
            </w:tcBorders>
            <w:tcMar>
              <w:top w:w="0" w:type="dxa"/>
              <w:left w:w="74" w:type="dxa"/>
              <w:bottom w:w="0" w:type="dxa"/>
              <w:right w:w="74" w:type="dxa"/>
            </w:tcMar>
          </w:tcPr>
          <w:p w14:paraId="1C1304EF" w14:textId="77777777" w:rsidR="00171AA8" w:rsidRPr="00731FE2" w:rsidRDefault="007935AB">
            <w:pPr>
              <w:pBdr>
                <w:top w:val="none" w:sz="4" w:space="0" w:color="000000"/>
                <w:left w:val="none" w:sz="4" w:space="0" w:color="000000"/>
                <w:bottom w:val="none" w:sz="4" w:space="0" w:color="000000"/>
                <w:right w:val="none" w:sz="4" w:space="0" w:color="000000"/>
              </w:pBdr>
              <w:spacing w:line="276" w:lineRule="atLeast"/>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2400</w:t>
            </w:r>
          </w:p>
        </w:tc>
        <w:tc>
          <w:tcPr>
            <w:tcW w:w="2828" w:type="dxa"/>
            <w:tcBorders>
              <w:top w:val="none" w:sz="4" w:space="0" w:color="000000"/>
              <w:left w:val="none" w:sz="4" w:space="0" w:color="000000"/>
              <w:bottom w:val="single" w:sz="8" w:space="0" w:color="000000"/>
              <w:right w:val="single" w:sz="8" w:space="0" w:color="000000"/>
            </w:tcBorders>
            <w:tcMar>
              <w:top w:w="0" w:type="dxa"/>
              <w:left w:w="74" w:type="dxa"/>
              <w:bottom w:w="0" w:type="dxa"/>
              <w:right w:w="74" w:type="dxa"/>
            </w:tcMar>
          </w:tcPr>
          <w:p w14:paraId="20B109C3" w14:textId="77777777" w:rsidR="00171AA8" w:rsidRPr="00731FE2" w:rsidRDefault="007935AB">
            <w:pPr>
              <w:pBdr>
                <w:top w:val="none" w:sz="4" w:space="0" w:color="000000"/>
                <w:left w:val="none" w:sz="4" w:space="0" w:color="000000"/>
                <w:bottom w:val="none" w:sz="4" w:space="0" w:color="000000"/>
                <w:right w:val="none" w:sz="4" w:space="0" w:color="000000"/>
              </w:pBdr>
              <w:spacing w:line="276" w:lineRule="atLeast"/>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5800</w:t>
            </w:r>
          </w:p>
        </w:tc>
      </w:tr>
      <w:tr w:rsidR="00171AA8" w:rsidRPr="00731FE2" w14:paraId="7F8A3C58" w14:textId="77777777">
        <w:trPr>
          <w:trHeight w:val="235"/>
        </w:trPr>
        <w:tc>
          <w:tcPr>
            <w:tcW w:w="9334" w:type="dxa"/>
            <w:gridSpan w:val="3"/>
            <w:tcBorders>
              <w:top w:val="none" w:sz="4" w:space="0" w:color="000000"/>
              <w:left w:val="single" w:sz="8" w:space="0" w:color="000000"/>
              <w:bottom w:val="single" w:sz="8" w:space="0" w:color="000000"/>
              <w:right w:val="single" w:sz="8" w:space="0" w:color="000000"/>
            </w:tcBorders>
            <w:tcMar>
              <w:top w:w="0" w:type="dxa"/>
              <w:left w:w="74" w:type="dxa"/>
              <w:bottom w:w="0" w:type="dxa"/>
              <w:right w:w="74" w:type="dxa"/>
            </w:tcMar>
          </w:tcPr>
          <w:p w14:paraId="48A1BADB" w14:textId="77777777" w:rsidR="00171AA8" w:rsidRPr="00731FE2" w:rsidRDefault="007935AB">
            <w:pPr>
              <w:pBdr>
                <w:top w:val="none" w:sz="4" w:space="0" w:color="000000"/>
                <w:left w:val="none" w:sz="4" w:space="0" w:color="000000"/>
                <w:bottom w:val="none" w:sz="4" w:space="0" w:color="000000"/>
                <w:right w:val="none" w:sz="4" w:space="0" w:color="000000"/>
              </w:pBdr>
              <w:spacing w:line="276" w:lineRule="atLeast"/>
              <w:ind w:firstLine="0"/>
              <w:rPr>
                <w:rFonts w:ascii="Times New Roman" w:eastAsia="Times New Roman" w:hAnsi="Times New Roman" w:cs="Times New Roman"/>
                <w:b/>
                <w:bCs/>
                <w:color w:val="000000"/>
                <w:sz w:val="22"/>
              </w:rPr>
            </w:pPr>
            <w:r w:rsidRPr="00731FE2">
              <w:rPr>
                <w:rFonts w:ascii="Times New Roman" w:eastAsia="Times New Roman" w:hAnsi="Times New Roman" w:cs="Times New Roman"/>
                <w:b/>
                <w:bCs/>
                <w:color w:val="000000"/>
                <w:sz w:val="22"/>
              </w:rPr>
              <w:t>Поселки и сельские поселения (без кондиционеров):</w:t>
            </w:r>
          </w:p>
        </w:tc>
      </w:tr>
      <w:tr w:rsidR="00171AA8" w:rsidRPr="00731FE2" w14:paraId="71DB91AC" w14:textId="77777777">
        <w:trPr>
          <w:trHeight w:val="283"/>
        </w:trPr>
        <w:tc>
          <w:tcPr>
            <w:tcW w:w="3536" w:type="dxa"/>
            <w:tcBorders>
              <w:top w:val="none" w:sz="4" w:space="0" w:color="000000"/>
              <w:left w:val="single" w:sz="8" w:space="0" w:color="000000"/>
              <w:bottom w:val="single" w:sz="8" w:space="0" w:color="000000"/>
              <w:right w:val="single" w:sz="8" w:space="0" w:color="000000"/>
            </w:tcBorders>
            <w:tcMar>
              <w:top w:w="0" w:type="dxa"/>
              <w:left w:w="74" w:type="dxa"/>
              <w:bottom w:w="0" w:type="dxa"/>
              <w:right w:w="74" w:type="dxa"/>
            </w:tcMar>
          </w:tcPr>
          <w:p w14:paraId="753A0589" w14:textId="77777777" w:rsidR="00171AA8" w:rsidRPr="00731FE2" w:rsidRDefault="007935AB">
            <w:pPr>
              <w:pBdr>
                <w:top w:val="none" w:sz="4" w:space="0" w:color="000000"/>
                <w:left w:val="none" w:sz="4" w:space="0" w:color="000000"/>
                <w:bottom w:val="none" w:sz="4" w:space="0" w:color="000000"/>
                <w:right w:val="none" w:sz="4" w:space="0" w:color="000000"/>
              </w:pBdr>
              <w:spacing w:line="276" w:lineRule="atLeast"/>
              <w:ind w:firstLine="0"/>
              <w:jc w:val="left"/>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не оборудованные стационарными электроплитами</w:t>
            </w:r>
          </w:p>
        </w:tc>
        <w:tc>
          <w:tcPr>
            <w:tcW w:w="2970" w:type="dxa"/>
            <w:tcBorders>
              <w:top w:val="none" w:sz="4" w:space="0" w:color="000000"/>
              <w:left w:val="none" w:sz="4" w:space="0" w:color="000000"/>
              <w:bottom w:val="single" w:sz="8" w:space="0" w:color="000000"/>
              <w:right w:val="single" w:sz="8" w:space="0" w:color="000000"/>
            </w:tcBorders>
            <w:tcMar>
              <w:top w:w="0" w:type="dxa"/>
              <w:left w:w="74" w:type="dxa"/>
              <w:bottom w:w="0" w:type="dxa"/>
              <w:right w:w="74" w:type="dxa"/>
            </w:tcMar>
            <w:vAlign w:val="center"/>
          </w:tcPr>
          <w:p w14:paraId="4DF3457D" w14:textId="77777777" w:rsidR="00171AA8" w:rsidRPr="00731FE2" w:rsidRDefault="007935AB">
            <w:pPr>
              <w:pBdr>
                <w:top w:val="none" w:sz="4" w:space="0" w:color="000000"/>
                <w:left w:val="none" w:sz="4" w:space="0" w:color="000000"/>
                <w:bottom w:val="none" w:sz="4" w:space="0" w:color="000000"/>
                <w:right w:val="none" w:sz="4" w:space="0" w:color="000000"/>
              </w:pBdr>
              <w:spacing w:line="276" w:lineRule="atLeast"/>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950</w:t>
            </w:r>
          </w:p>
        </w:tc>
        <w:tc>
          <w:tcPr>
            <w:tcW w:w="2828" w:type="dxa"/>
            <w:tcBorders>
              <w:top w:val="none" w:sz="4" w:space="0" w:color="000000"/>
              <w:left w:val="none" w:sz="4" w:space="0" w:color="000000"/>
              <w:bottom w:val="single" w:sz="8" w:space="0" w:color="000000"/>
              <w:right w:val="single" w:sz="8" w:space="0" w:color="000000"/>
            </w:tcBorders>
            <w:tcMar>
              <w:top w:w="0" w:type="dxa"/>
              <w:left w:w="74" w:type="dxa"/>
              <w:bottom w:w="0" w:type="dxa"/>
              <w:right w:w="74" w:type="dxa"/>
            </w:tcMar>
            <w:vAlign w:val="center"/>
          </w:tcPr>
          <w:p w14:paraId="08BDBBD5" w14:textId="77777777" w:rsidR="00171AA8" w:rsidRPr="00731FE2" w:rsidRDefault="007935AB">
            <w:pPr>
              <w:pBdr>
                <w:top w:val="none" w:sz="4" w:space="0" w:color="000000"/>
                <w:left w:val="none" w:sz="4" w:space="0" w:color="000000"/>
                <w:bottom w:val="none" w:sz="4" w:space="0" w:color="000000"/>
                <w:right w:val="none" w:sz="4" w:space="0" w:color="000000"/>
              </w:pBdr>
              <w:spacing w:line="276" w:lineRule="atLeast"/>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4100</w:t>
            </w:r>
          </w:p>
        </w:tc>
      </w:tr>
      <w:tr w:rsidR="00171AA8" w:rsidRPr="00731FE2" w14:paraId="5BD78D33" w14:textId="77777777">
        <w:trPr>
          <w:trHeight w:val="283"/>
        </w:trPr>
        <w:tc>
          <w:tcPr>
            <w:tcW w:w="3536" w:type="dxa"/>
            <w:tcBorders>
              <w:top w:val="none" w:sz="4" w:space="0" w:color="000000"/>
              <w:left w:val="single" w:sz="8" w:space="0" w:color="000000"/>
              <w:bottom w:val="single" w:sz="8" w:space="0" w:color="000000"/>
              <w:right w:val="single" w:sz="8" w:space="0" w:color="000000"/>
            </w:tcBorders>
            <w:tcMar>
              <w:top w:w="0" w:type="dxa"/>
              <w:left w:w="74" w:type="dxa"/>
              <w:bottom w:w="0" w:type="dxa"/>
              <w:right w:w="74" w:type="dxa"/>
            </w:tcMar>
          </w:tcPr>
          <w:p w14:paraId="0F7075A3" w14:textId="77777777" w:rsidR="00171AA8" w:rsidRPr="00731FE2" w:rsidRDefault="007935AB">
            <w:pPr>
              <w:pBdr>
                <w:top w:val="none" w:sz="4" w:space="0" w:color="000000"/>
                <w:left w:val="none" w:sz="4" w:space="0" w:color="000000"/>
                <w:bottom w:val="none" w:sz="4" w:space="0" w:color="000000"/>
                <w:right w:val="none" w:sz="4" w:space="0" w:color="000000"/>
              </w:pBdr>
              <w:spacing w:line="276" w:lineRule="atLeast"/>
              <w:ind w:firstLine="0"/>
              <w:jc w:val="left"/>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оборудованные стационарными электроплитами (100% охвата)</w:t>
            </w:r>
          </w:p>
        </w:tc>
        <w:tc>
          <w:tcPr>
            <w:tcW w:w="2970" w:type="dxa"/>
            <w:tcBorders>
              <w:top w:val="none" w:sz="4" w:space="0" w:color="000000"/>
              <w:left w:val="none" w:sz="4" w:space="0" w:color="000000"/>
              <w:bottom w:val="single" w:sz="8" w:space="0" w:color="000000"/>
              <w:right w:val="single" w:sz="8" w:space="0" w:color="000000"/>
            </w:tcBorders>
            <w:tcMar>
              <w:top w:w="0" w:type="dxa"/>
              <w:left w:w="74" w:type="dxa"/>
              <w:bottom w:w="0" w:type="dxa"/>
              <w:right w:w="74" w:type="dxa"/>
            </w:tcMar>
            <w:vAlign w:val="center"/>
          </w:tcPr>
          <w:p w14:paraId="685DB552" w14:textId="77777777" w:rsidR="00171AA8" w:rsidRPr="00731FE2" w:rsidRDefault="007935AB">
            <w:pPr>
              <w:pBdr>
                <w:top w:val="none" w:sz="4" w:space="0" w:color="000000"/>
                <w:left w:val="none" w:sz="4" w:space="0" w:color="000000"/>
                <w:bottom w:val="none" w:sz="4" w:space="0" w:color="000000"/>
                <w:right w:val="none" w:sz="4" w:space="0" w:color="000000"/>
              </w:pBdr>
              <w:spacing w:line="276" w:lineRule="atLeast"/>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1350</w:t>
            </w:r>
          </w:p>
        </w:tc>
        <w:tc>
          <w:tcPr>
            <w:tcW w:w="2828" w:type="dxa"/>
            <w:tcBorders>
              <w:top w:val="none" w:sz="4" w:space="0" w:color="000000"/>
              <w:left w:val="none" w:sz="4" w:space="0" w:color="000000"/>
              <w:bottom w:val="single" w:sz="8" w:space="0" w:color="000000"/>
              <w:right w:val="single" w:sz="8" w:space="0" w:color="000000"/>
            </w:tcBorders>
            <w:tcMar>
              <w:top w:w="0" w:type="dxa"/>
              <w:left w:w="74" w:type="dxa"/>
              <w:bottom w:w="0" w:type="dxa"/>
              <w:right w:w="74" w:type="dxa"/>
            </w:tcMar>
            <w:vAlign w:val="center"/>
          </w:tcPr>
          <w:p w14:paraId="6E01F316" w14:textId="77777777" w:rsidR="00171AA8" w:rsidRPr="00731FE2" w:rsidRDefault="007935AB">
            <w:pPr>
              <w:pBdr>
                <w:top w:val="none" w:sz="4" w:space="0" w:color="000000"/>
                <w:left w:val="none" w:sz="4" w:space="0" w:color="000000"/>
                <w:bottom w:val="none" w:sz="4" w:space="0" w:color="000000"/>
                <w:right w:val="none" w:sz="4" w:space="0" w:color="000000"/>
              </w:pBdr>
              <w:spacing w:line="276" w:lineRule="atLeast"/>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4400</w:t>
            </w:r>
          </w:p>
        </w:tc>
      </w:tr>
    </w:tbl>
    <w:p w14:paraId="7750C141" w14:textId="77777777" w:rsidR="00171AA8" w:rsidRPr="00731FE2" w:rsidRDefault="00171AA8">
      <w:pPr>
        <w:pBdr>
          <w:top w:val="none" w:sz="4" w:space="0" w:color="000000"/>
          <w:left w:val="none" w:sz="4" w:space="0" w:color="000000"/>
          <w:bottom w:val="none" w:sz="4" w:space="0" w:color="000000"/>
          <w:right w:val="none" w:sz="4" w:space="0" w:color="000000"/>
        </w:pBdr>
        <w:tabs>
          <w:tab w:val="left" w:pos="993"/>
        </w:tabs>
        <w:spacing w:line="65" w:lineRule="atLeast"/>
        <w:ind w:left="709" w:firstLine="0"/>
        <w:rPr>
          <w:rFonts w:ascii="Times New Roman" w:eastAsia="Times New Roman" w:hAnsi="Times New Roman" w:cs="Times New Roman"/>
          <w:color w:val="000000"/>
          <w:szCs w:val="24"/>
        </w:rPr>
      </w:pPr>
    </w:p>
    <w:p w14:paraId="7012D1BF" w14:textId="77777777" w:rsidR="00171AA8" w:rsidRPr="00731FE2" w:rsidRDefault="007935AB" w:rsidP="00E27FAB">
      <w:pPr>
        <w:pBdr>
          <w:top w:val="none" w:sz="4" w:space="0" w:color="000000"/>
          <w:left w:val="none" w:sz="4" w:space="0" w:color="000000"/>
          <w:bottom w:val="none" w:sz="4" w:space="0" w:color="000000"/>
          <w:right w:val="none" w:sz="4" w:space="0" w:color="000000"/>
        </w:pBdr>
      </w:pPr>
      <w:r w:rsidRPr="00731FE2">
        <w:rPr>
          <w:rFonts w:ascii="Times New Roman" w:eastAsia="Times New Roman" w:hAnsi="Times New Roman" w:cs="Times New Roman"/>
          <w:color w:val="000000"/>
        </w:rPr>
        <w:t xml:space="preserve">Приведенные укрупненные показатели предусматривают электропотребление жилыми и общественными зданиями, предприятиями коммунально-бытового </w:t>
      </w:r>
      <w:r w:rsidRPr="00731FE2">
        <w:rPr>
          <w:rFonts w:ascii="Times New Roman" w:eastAsia="Times New Roman" w:hAnsi="Times New Roman" w:cs="Times New Roman"/>
          <w:color w:val="000000"/>
        </w:rPr>
        <w:lastRenderedPageBreak/>
        <w:t>обслуживания, наружным освещением, городским электротранспортом, системами водоснабжения, водоотведения и теплоснабжения.</w:t>
      </w:r>
    </w:p>
    <w:p w14:paraId="1D058566" w14:textId="77777777" w:rsidR="00171AA8" w:rsidRPr="00731FE2" w:rsidRDefault="007935AB" w:rsidP="00E27FAB">
      <w:pPr>
        <w:pBdr>
          <w:top w:val="none" w:sz="4" w:space="0" w:color="000000"/>
          <w:left w:val="none" w:sz="4" w:space="0" w:color="000000"/>
          <w:bottom w:val="none" w:sz="4" w:space="0" w:color="000000"/>
          <w:right w:val="none" w:sz="4" w:space="0" w:color="000000"/>
        </w:pBdr>
        <w:tabs>
          <w:tab w:val="left" w:pos="993"/>
        </w:tabs>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rPr>
        <w:t>Для расчета электропотребления в городском округе городе-курорте Кисловодске принимаем норму потребления:</w:t>
      </w:r>
    </w:p>
    <w:p w14:paraId="77DB5B04" w14:textId="77777777" w:rsidR="00171AA8" w:rsidRPr="00731FE2" w:rsidRDefault="007935AB" w:rsidP="007832E7">
      <w:pPr>
        <w:pStyle w:val="a3"/>
        <w:numPr>
          <w:ilvl w:val="0"/>
          <w:numId w:val="81"/>
        </w:numPr>
        <w:pBdr>
          <w:top w:val="none" w:sz="4" w:space="0" w:color="000000"/>
          <w:left w:val="none" w:sz="4" w:space="0" w:color="000000"/>
          <w:bottom w:val="none" w:sz="4" w:space="0" w:color="000000"/>
          <w:right w:val="none" w:sz="4" w:space="0" w:color="000000"/>
        </w:pBdr>
        <w:tabs>
          <w:tab w:val="left" w:pos="993"/>
        </w:tabs>
        <w:ind w:left="0" w:firstLine="709"/>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2100 кВт*ч/год на 1 чел. (без кондиционеров);</w:t>
      </w:r>
    </w:p>
    <w:p w14:paraId="353F94CD" w14:textId="77777777" w:rsidR="00171AA8" w:rsidRPr="00731FE2" w:rsidRDefault="007935AB" w:rsidP="007832E7">
      <w:pPr>
        <w:pStyle w:val="a3"/>
        <w:numPr>
          <w:ilvl w:val="0"/>
          <w:numId w:val="81"/>
        </w:numPr>
        <w:pBdr>
          <w:top w:val="none" w:sz="4" w:space="0" w:color="000000"/>
          <w:left w:val="none" w:sz="4" w:space="0" w:color="000000"/>
          <w:bottom w:val="none" w:sz="4" w:space="0" w:color="000000"/>
          <w:right w:val="none" w:sz="4" w:space="0" w:color="000000"/>
        </w:pBdr>
        <w:tabs>
          <w:tab w:val="left" w:pos="993"/>
        </w:tabs>
        <w:ind w:left="0" w:firstLine="709"/>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2400 кВт*ч/год на 1 чел. (с кондиционерами).</w:t>
      </w:r>
    </w:p>
    <w:p w14:paraId="633C491F" w14:textId="77777777" w:rsidR="00171AA8" w:rsidRPr="00731FE2" w:rsidRDefault="007935AB" w:rsidP="00E27FAB">
      <w:pPr>
        <w:pStyle w:val="af3"/>
        <w:rPr>
          <w:sz w:val="24"/>
          <w:szCs w:val="24"/>
        </w:rPr>
      </w:pPr>
      <w:r w:rsidRPr="00731FE2">
        <w:rPr>
          <w:sz w:val="24"/>
          <w:szCs w:val="24"/>
        </w:rPr>
        <w:t xml:space="preserve">Таблица </w:t>
      </w:r>
      <w:r w:rsidR="00D97880" w:rsidRPr="00731FE2">
        <w:rPr>
          <w:noProof/>
          <w:sz w:val="24"/>
          <w:szCs w:val="24"/>
        </w:rPr>
        <w:fldChar w:fldCharType="begin"/>
      </w:r>
      <w:r w:rsidR="00D97880" w:rsidRPr="00731FE2">
        <w:rPr>
          <w:noProof/>
          <w:sz w:val="24"/>
          <w:szCs w:val="24"/>
        </w:rPr>
        <w:instrText xml:space="preserve"> SEQ Таблица \* Arabic </w:instrText>
      </w:r>
      <w:r w:rsidR="00D97880" w:rsidRPr="00731FE2">
        <w:rPr>
          <w:noProof/>
          <w:sz w:val="24"/>
          <w:szCs w:val="24"/>
        </w:rPr>
        <w:fldChar w:fldCharType="separate"/>
      </w:r>
      <w:r w:rsidR="00C50915" w:rsidRPr="00731FE2">
        <w:rPr>
          <w:noProof/>
          <w:sz w:val="24"/>
          <w:szCs w:val="24"/>
        </w:rPr>
        <w:t>92</w:t>
      </w:r>
      <w:r w:rsidR="00D97880" w:rsidRPr="00731FE2">
        <w:rPr>
          <w:noProof/>
          <w:sz w:val="24"/>
          <w:szCs w:val="24"/>
        </w:rPr>
        <w:fldChar w:fldCharType="end"/>
      </w:r>
      <w:r w:rsidRPr="00731FE2">
        <w:rPr>
          <w:sz w:val="24"/>
          <w:szCs w:val="24"/>
        </w:rPr>
        <w:t xml:space="preserve"> – Перспективное электроснабжение в городском округе городе-курорте Кисловодске, 2044 г.</w:t>
      </w:r>
    </w:p>
    <w:tbl>
      <w:tblPr>
        <w:tblStyle w:val="afe"/>
        <w:tblW w:w="0" w:type="auto"/>
        <w:tblCellMar>
          <w:left w:w="57" w:type="dxa"/>
          <w:right w:w="57" w:type="dxa"/>
        </w:tblCellMar>
        <w:tblLook w:val="04A0" w:firstRow="1" w:lastRow="0" w:firstColumn="1" w:lastColumn="0" w:noHBand="0" w:noVBand="1"/>
      </w:tblPr>
      <w:tblGrid>
        <w:gridCol w:w="2339"/>
        <w:gridCol w:w="2339"/>
        <w:gridCol w:w="2339"/>
        <w:gridCol w:w="2339"/>
      </w:tblGrid>
      <w:tr w:rsidR="00171AA8" w:rsidRPr="00731FE2" w14:paraId="3FAC9D89" w14:textId="77777777">
        <w:tc>
          <w:tcPr>
            <w:tcW w:w="2339" w:type="dxa"/>
            <w:vAlign w:val="center"/>
          </w:tcPr>
          <w:p w14:paraId="1ACE238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b/>
                <w:color w:val="000000"/>
                <w:sz w:val="22"/>
              </w:rPr>
              <w:t>Степень благоустройства</w:t>
            </w:r>
          </w:p>
        </w:tc>
        <w:tc>
          <w:tcPr>
            <w:tcW w:w="2339" w:type="dxa"/>
            <w:vAlign w:val="center"/>
          </w:tcPr>
          <w:p w14:paraId="713494E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b/>
                <w:color w:val="000000"/>
                <w:sz w:val="22"/>
              </w:rPr>
              <w:t>Численность населения на 2044 г.</w:t>
            </w:r>
          </w:p>
        </w:tc>
        <w:tc>
          <w:tcPr>
            <w:tcW w:w="2339" w:type="dxa"/>
            <w:vAlign w:val="center"/>
          </w:tcPr>
          <w:p w14:paraId="0942477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b/>
                <w:color w:val="000000"/>
                <w:sz w:val="22"/>
              </w:rPr>
              <w:t>Электропотребление, млн. кВт*ч/год</w:t>
            </w:r>
          </w:p>
        </w:tc>
        <w:tc>
          <w:tcPr>
            <w:tcW w:w="2339" w:type="dxa"/>
            <w:vAlign w:val="center"/>
          </w:tcPr>
          <w:p w14:paraId="4EBCE51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b/>
                <w:color w:val="000000"/>
                <w:sz w:val="22"/>
              </w:rPr>
              <w:t>Использование максимума электрической нагрузки, млн ч/год</w:t>
            </w:r>
          </w:p>
        </w:tc>
      </w:tr>
      <w:tr w:rsidR="00171AA8" w:rsidRPr="00731FE2" w14:paraId="79BF0F80" w14:textId="77777777">
        <w:tc>
          <w:tcPr>
            <w:tcW w:w="9355" w:type="dxa"/>
            <w:gridSpan w:val="4"/>
            <w:vAlign w:val="center"/>
          </w:tcPr>
          <w:p w14:paraId="5C245AD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Города, оборудованные стационарными электроплитами (100% охвата):</w:t>
            </w:r>
          </w:p>
        </w:tc>
      </w:tr>
      <w:tr w:rsidR="00171AA8" w:rsidRPr="00731FE2" w14:paraId="0152E140" w14:textId="77777777">
        <w:tc>
          <w:tcPr>
            <w:tcW w:w="2339" w:type="dxa"/>
            <w:vAlign w:val="center"/>
          </w:tcPr>
          <w:p w14:paraId="31C29052" w14:textId="77777777" w:rsidR="00171AA8" w:rsidRPr="00731FE2" w:rsidRDefault="007935AB">
            <w:pPr>
              <w:pBdr>
                <w:top w:val="none" w:sz="4" w:space="0" w:color="000000"/>
                <w:left w:val="none" w:sz="4" w:space="0" w:color="000000"/>
                <w:bottom w:val="none" w:sz="4" w:space="0" w:color="000000"/>
                <w:right w:val="none" w:sz="4" w:space="0" w:color="000000"/>
              </w:pBdr>
              <w:ind w:firstLine="0"/>
            </w:pPr>
            <w:r w:rsidRPr="00731FE2">
              <w:rPr>
                <w:rFonts w:ascii="Times New Roman" w:eastAsia="Times New Roman" w:hAnsi="Times New Roman" w:cs="Times New Roman"/>
                <w:color w:val="000000"/>
                <w:sz w:val="22"/>
              </w:rPr>
              <w:t>без кондиционеров</w:t>
            </w:r>
          </w:p>
        </w:tc>
        <w:tc>
          <w:tcPr>
            <w:tcW w:w="2339" w:type="dxa"/>
            <w:vAlign w:val="center"/>
          </w:tcPr>
          <w:p w14:paraId="1027662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135066</w:t>
            </w:r>
          </w:p>
        </w:tc>
        <w:tc>
          <w:tcPr>
            <w:tcW w:w="2339" w:type="dxa"/>
            <w:vAlign w:val="center"/>
          </w:tcPr>
          <w:p w14:paraId="5286507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283,64</w:t>
            </w:r>
          </w:p>
        </w:tc>
        <w:tc>
          <w:tcPr>
            <w:tcW w:w="2339" w:type="dxa"/>
            <w:vAlign w:val="center"/>
          </w:tcPr>
          <w:p w14:paraId="05C8BEF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715,85</w:t>
            </w:r>
          </w:p>
        </w:tc>
      </w:tr>
      <w:tr w:rsidR="00171AA8" w:rsidRPr="00731FE2" w14:paraId="59270A57" w14:textId="77777777">
        <w:tc>
          <w:tcPr>
            <w:tcW w:w="2339" w:type="dxa"/>
            <w:vAlign w:val="center"/>
          </w:tcPr>
          <w:p w14:paraId="63980DB8" w14:textId="77777777" w:rsidR="00171AA8" w:rsidRPr="00731FE2" w:rsidRDefault="007935AB">
            <w:pPr>
              <w:pBdr>
                <w:top w:val="none" w:sz="4" w:space="0" w:color="000000"/>
                <w:left w:val="none" w:sz="4" w:space="0" w:color="000000"/>
                <w:bottom w:val="none" w:sz="4" w:space="0" w:color="000000"/>
                <w:right w:val="none" w:sz="4" w:space="0" w:color="000000"/>
              </w:pBdr>
              <w:ind w:firstLine="0"/>
            </w:pPr>
            <w:r w:rsidRPr="00731FE2">
              <w:rPr>
                <w:rFonts w:ascii="Times New Roman" w:eastAsia="Times New Roman" w:hAnsi="Times New Roman" w:cs="Times New Roman"/>
                <w:color w:val="000000"/>
                <w:sz w:val="22"/>
              </w:rPr>
              <w:t>с кондиционерами</w:t>
            </w:r>
          </w:p>
        </w:tc>
        <w:tc>
          <w:tcPr>
            <w:tcW w:w="2339" w:type="dxa"/>
            <w:vAlign w:val="center"/>
          </w:tcPr>
          <w:p w14:paraId="5B5331E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135066</w:t>
            </w:r>
          </w:p>
        </w:tc>
        <w:tc>
          <w:tcPr>
            <w:tcW w:w="2339" w:type="dxa"/>
            <w:vAlign w:val="center"/>
          </w:tcPr>
          <w:p w14:paraId="21AE12A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324,16</w:t>
            </w:r>
          </w:p>
        </w:tc>
        <w:tc>
          <w:tcPr>
            <w:tcW w:w="2339" w:type="dxa"/>
            <w:vAlign w:val="center"/>
          </w:tcPr>
          <w:p w14:paraId="2E0D8EA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pPr>
            <w:r w:rsidRPr="00731FE2">
              <w:rPr>
                <w:rFonts w:ascii="Times New Roman" w:eastAsia="Times New Roman" w:hAnsi="Times New Roman" w:cs="Times New Roman"/>
                <w:color w:val="000000"/>
                <w:sz w:val="22"/>
              </w:rPr>
              <w:t>783,38</w:t>
            </w:r>
          </w:p>
        </w:tc>
      </w:tr>
    </w:tbl>
    <w:p w14:paraId="49C48BBD" w14:textId="77777777" w:rsidR="00171AA8" w:rsidRPr="00731FE2" w:rsidRDefault="00171AA8" w:rsidP="00E27F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p>
    <w:p w14:paraId="1431AD3A" w14:textId="77777777" w:rsidR="00171AA8" w:rsidRPr="00731FE2" w:rsidRDefault="007935AB" w:rsidP="00E27F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Настоящим генеральным планом запланированы мероприятия в сфере электроснабжения для обеспечения электроэнергией потребителей городского округа города-курорта Кисловодска, в числе которых: строительство и реконструкция сетей электроснабжения, трансформаторных подстанций в местах сосредоточения нагрузки и распределительных подстанций для электроснабжения новых и существующих площадок города-курорта Кисловодска.</w:t>
      </w:r>
    </w:p>
    <w:p w14:paraId="50CF3C32" w14:textId="77777777" w:rsidR="00171AA8" w:rsidRPr="00731FE2" w:rsidRDefault="007935AB" w:rsidP="00E27F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Полный перечень запланированных к реализации мероприятий приведен в Томе 1 «Положение о территориальном планировании» настоящего генерального плана.</w:t>
      </w:r>
    </w:p>
    <w:p w14:paraId="394537DC" w14:textId="77777777" w:rsidR="00171AA8" w:rsidRPr="00731FE2" w:rsidRDefault="007935AB" w:rsidP="00E27FAB">
      <w:pPr>
        <w:pStyle w:val="33"/>
        <w:rPr>
          <w:rFonts w:ascii="Times New Roman" w:hAnsi="Times New Roman" w:cs="Times New Roman"/>
        </w:rPr>
      </w:pPr>
      <w:bookmarkStart w:id="92" w:name="_Toc177392842"/>
      <w:r w:rsidRPr="00731FE2">
        <w:rPr>
          <w:rFonts w:ascii="Times New Roman" w:hAnsi="Times New Roman" w:cs="Times New Roman"/>
        </w:rPr>
        <w:t>3.9.5 Газоснабжение</w:t>
      </w:r>
      <w:bookmarkEnd w:id="92"/>
    </w:p>
    <w:p w14:paraId="2F7CC9C4" w14:textId="77777777" w:rsidR="00171AA8" w:rsidRPr="00731FE2" w:rsidRDefault="007935AB" w:rsidP="00E27F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Генеральным планом предусматривается дальнейшее развитие газовых сетей планируемой территории. Природным газом намечается обеспечить новых потребителей.</w:t>
      </w:r>
    </w:p>
    <w:p w14:paraId="61552BAF" w14:textId="77777777" w:rsidR="00171AA8" w:rsidRPr="00731FE2" w:rsidRDefault="007935AB" w:rsidP="00E27F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Система газоснабжения городского округа города-курорта Кисловодска остается прежней – от АГРС, расположенной на ст. Подкумок в северо-восточной части за границей города-курорта.</w:t>
      </w:r>
    </w:p>
    <w:p w14:paraId="1B79BD5B" w14:textId="77777777" w:rsidR="00171AA8" w:rsidRPr="00731FE2" w:rsidRDefault="007935AB" w:rsidP="00E27FAB">
      <w:pPr>
        <w:pBdr>
          <w:top w:val="none" w:sz="4" w:space="0" w:color="000000"/>
          <w:left w:val="none" w:sz="4" w:space="0" w:color="000000"/>
          <w:bottom w:val="none" w:sz="4" w:space="0" w:color="000000"/>
          <w:right w:val="none" w:sz="4" w:space="0" w:color="000000"/>
        </w:pBdr>
      </w:pPr>
      <w:r w:rsidRPr="00731FE2">
        <w:rPr>
          <w:rFonts w:ascii="Times New Roman" w:eastAsia="Times New Roman" w:hAnsi="Times New Roman" w:cs="Times New Roman"/>
          <w:color w:val="00000A"/>
        </w:rPr>
        <w:t>Согласно</w:t>
      </w:r>
      <w:r w:rsidRPr="00731FE2">
        <w:rPr>
          <w:rFonts w:ascii="Times New Roman" w:eastAsia="Times New Roman" w:hAnsi="Times New Roman" w:cs="Times New Roman"/>
          <w:color w:val="00000A"/>
          <w:sz w:val="20"/>
        </w:rPr>
        <w:t xml:space="preserve"> </w:t>
      </w:r>
      <w:r w:rsidRPr="00731FE2">
        <w:rPr>
          <w:rFonts w:ascii="Times New Roman" w:eastAsia="Times New Roman" w:hAnsi="Times New Roman" w:cs="Times New Roman"/>
          <w:color w:val="00000A"/>
        </w:rPr>
        <w:t xml:space="preserve">СП 402.1325800.2018 «Здания жилые. Правила проектирования систем газопотребления» принимаются укрупненные показатели потребления газа </w:t>
      </w:r>
      <w:r w:rsidRPr="00731FE2">
        <w:rPr>
          <w:rFonts w:ascii="Times New Roman" w:eastAsia="Times New Roman" w:hAnsi="Times New Roman" w:cs="Times New Roman"/>
          <w:color w:val="2D2D2D"/>
          <w:spacing w:val="2"/>
          <w:sz w:val="21"/>
        </w:rPr>
        <w:t>м</w:t>
      </w:r>
      <w:r w:rsidRPr="00731FE2">
        <w:rPr>
          <w:rFonts w:ascii="Times New Roman" w:eastAsia="Times New Roman" w:hAnsi="Times New Roman" w:cs="Times New Roman"/>
          <w:color w:val="2D2D2D"/>
          <w:spacing w:val="2"/>
          <w:sz w:val="18"/>
          <w:vertAlign w:val="superscript"/>
        </w:rPr>
        <w:t>3</w:t>
      </w:r>
      <w:r w:rsidRPr="00731FE2">
        <w:rPr>
          <w:rFonts w:ascii="Times New Roman" w:eastAsia="Times New Roman" w:hAnsi="Times New Roman" w:cs="Times New Roman"/>
          <w:color w:val="2D2D2D"/>
          <w:spacing w:val="2"/>
          <w:sz w:val="21"/>
        </w:rPr>
        <w:t>/</w:t>
      </w:r>
      <w:r w:rsidRPr="00731FE2">
        <w:rPr>
          <w:rFonts w:ascii="Times New Roman" w:eastAsia="Times New Roman" w:hAnsi="Times New Roman" w:cs="Times New Roman"/>
          <w:color w:val="00000A"/>
        </w:rPr>
        <w:t>год на 1 чел., при теплоте сгорания газа 34 МДж/м</w:t>
      </w:r>
      <w:r w:rsidR="00E27FAB" w:rsidRPr="00731FE2">
        <w:rPr>
          <w:rFonts w:ascii="Times New Roman" w:eastAsia="Times New Roman" w:hAnsi="Times New Roman" w:cs="Times New Roman"/>
          <w:color w:val="00000A"/>
        </w:rPr>
        <w:t xml:space="preserve"> </w:t>
      </w:r>
      <w:r w:rsidRPr="00731FE2">
        <w:rPr>
          <w:rFonts w:ascii="Times New Roman" w:eastAsia="Times New Roman" w:hAnsi="Times New Roman" w:cs="Times New Roman"/>
          <w:color w:val="00000A"/>
        </w:rPr>
        <w:t>(8000 ккал/м):</w:t>
      </w:r>
    </w:p>
    <w:p w14:paraId="28620B4D" w14:textId="77777777" w:rsidR="00171AA8" w:rsidRPr="00731FE2" w:rsidRDefault="007935AB" w:rsidP="007832E7">
      <w:pPr>
        <w:numPr>
          <w:ilvl w:val="0"/>
          <w:numId w:val="121"/>
        </w:numPr>
        <w:pBdr>
          <w:top w:val="none" w:sz="4" w:space="0" w:color="000000"/>
          <w:left w:val="none" w:sz="4" w:space="0" w:color="000000"/>
          <w:bottom w:val="none" w:sz="4" w:space="0" w:color="000000"/>
          <w:right w:val="none" w:sz="4" w:space="0" w:color="000000"/>
        </w:pBdr>
        <w:tabs>
          <w:tab w:val="left" w:pos="993"/>
        </w:tabs>
      </w:pPr>
      <w:r w:rsidRPr="00731FE2">
        <w:rPr>
          <w:rFonts w:ascii="Times New Roman" w:eastAsia="Times New Roman" w:hAnsi="Times New Roman" w:cs="Times New Roman"/>
          <w:color w:val="00000A"/>
        </w:rPr>
        <w:t>при наличии централизованного горячего водоснабжения – 120;</w:t>
      </w:r>
    </w:p>
    <w:p w14:paraId="54584823" w14:textId="77777777" w:rsidR="00171AA8" w:rsidRPr="00731FE2" w:rsidRDefault="007935AB" w:rsidP="007832E7">
      <w:pPr>
        <w:numPr>
          <w:ilvl w:val="0"/>
          <w:numId w:val="121"/>
        </w:numPr>
        <w:pBdr>
          <w:top w:val="none" w:sz="4" w:space="0" w:color="000000"/>
          <w:left w:val="none" w:sz="4" w:space="0" w:color="000000"/>
          <w:bottom w:val="none" w:sz="4" w:space="0" w:color="000000"/>
          <w:right w:val="none" w:sz="4" w:space="0" w:color="000000"/>
        </w:pBdr>
        <w:tabs>
          <w:tab w:val="left" w:pos="993"/>
        </w:tabs>
      </w:pPr>
      <w:r w:rsidRPr="00731FE2">
        <w:rPr>
          <w:rFonts w:ascii="Times New Roman" w:eastAsia="Times New Roman" w:hAnsi="Times New Roman" w:cs="Times New Roman"/>
          <w:color w:val="00000A"/>
        </w:rPr>
        <w:t>при горячем водоснабжении от газовых водонагревателей – 300;</w:t>
      </w:r>
    </w:p>
    <w:p w14:paraId="59D44546" w14:textId="77777777" w:rsidR="00171AA8" w:rsidRPr="00731FE2" w:rsidRDefault="007935AB" w:rsidP="007832E7">
      <w:pPr>
        <w:numPr>
          <w:ilvl w:val="0"/>
          <w:numId w:val="121"/>
        </w:numPr>
        <w:pBdr>
          <w:top w:val="none" w:sz="4" w:space="0" w:color="000000"/>
          <w:left w:val="none" w:sz="4" w:space="0" w:color="000000"/>
          <w:bottom w:val="none" w:sz="4" w:space="0" w:color="000000"/>
          <w:right w:val="none" w:sz="4" w:space="0" w:color="000000"/>
        </w:pBdr>
        <w:tabs>
          <w:tab w:val="left" w:pos="993"/>
        </w:tabs>
      </w:pPr>
      <w:r w:rsidRPr="00731FE2">
        <w:rPr>
          <w:rFonts w:ascii="Times New Roman" w:eastAsia="Times New Roman" w:hAnsi="Times New Roman" w:cs="Times New Roman"/>
          <w:color w:val="00000A"/>
        </w:rPr>
        <w:t>при отсутствии всех видов горячего водоснабжения – 180 (220 в сельской местности).</w:t>
      </w:r>
    </w:p>
    <w:p w14:paraId="3F72711C" w14:textId="77777777" w:rsidR="00171AA8" w:rsidRPr="00731FE2" w:rsidRDefault="007935AB" w:rsidP="00E27F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A"/>
        </w:rPr>
        <w:t>Принимается, что вся застройка городского округа</w:t>
      </w:r>
      <w:r w:rsidRPr="00731FE2">
        <w:rPr>
          <w:rFonts w:ascii="Times New Roman" w:eastAsia="Times New Roman" w:hAnsi="Times New Roman" w:cs="Times New Roman"/>
          <w:color w:val="000000"/>
        </w:rPr>
        <w:t xml:space="preserve"> города-курорта Кисловодска </w:t>
      </w:r>
      <w:r w:rsidRPr="00731FE2">
        <w:rPr>
          <w:rFonts w:ascii="Times New Roman" w:eastAsia="Times New Roman" w:hAnsi="Times New Roman" w:cs="Times New Roman"/>
          <w:color w:val="00000A"/>
        </w:rPr>
        <w:t>обеспечена централизованным горячим водоснабжением, и норма потребления газа равна 120 м</w:t>
      </w:r>
      <w:r w:rsidRPr="00731FE2">
        <w:rPr>
          <w:rFonts w:ascii="Times New Roman" w:eastAsia="Times New Roman" w:hAnsi="Times New Roman" w:cs="Times New Roman"/>
          <w:color w:val="00000A"/>
          <w:sz w:val="20"/>
          <w:vertAlign w:val="superscript"/>
        </w:rPr>
        <w:t>3</w:t>
      </w:r>
      <w:r w:rsidRPr="00731FE2">
        <w:rPr>
          <w:rFonts w:ascii="Times New Roman" w:eastAsia="Times New Roman" w:hAnsi="Times New Roman" w:cs="Times New Roman"/>
          <w:color w:val="00000A"/>
        </w:rPr>
        <w:t>/год на 1 человека.</w:t>
      </w:r>
    </w:p>
    <w:p w14:paraId="246A217B" w14:textId="77777777" w:rsidR="00171AA8" w:rsidRPr="00731FE2" w:rsidRDefault="007935AB" w:rsidP="00E27F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A"/>
        </w:rPr>
        <w:t>В соответствии с нормативной потребностью рассчитан прогноз газопотребления</w:t>
      </w:r>
      <w:r w:rsidRPr="00731FE2">
        <w:rPr>
          <w:rFonts w:ascii="Times New Roman" w:eastAsia="Times New Roman" w:hAnsi="Times New Roman" w:cs="Times New Roman"/>
          <w:color w:val="000000"/>
        </w:rPr>
        <w:t xml:space="preserve"> </w:t>
      </w:r>
      <w:r w:rsidRPr="00731FE2">
        <w:rPr>
          <w:rFonts w:ascii="Times New Roman" w:eastAsia="Times New Roman" w:hAnsi="Times New Roman" w:cs="Times New Roman"/>
          <w:color w:val="00000A"/>
        </w:rPr>
        <w:t>на расчетный срок генерального плана городского округа – 16207,92 тыс. м</w:t>
      </w:r>
      <w:r w:rsidRPr="00731FE2">
        <w:rPr>
          <w:rFonts w:ascii="Times New Roman" w:eastAsia="Times New Roman" w:hAnsi="Times New Roman" w:cs="Times New Roman"/>
          <w:color w:val="00000A"/>
          <w:sz w:val="20"/>
          <w:vertAlign w:val="superscript"/>
        </w:rPr>
        <w:t>3</w:t>
      </w:r>
      <w:r w:rsidRPr="00731FE2">
        <w:rPr>
          <w:rFonts w:ascii="Times New Roman" w:eastAsia="Times New Roman" w:hAnsi="Times New Roman" w:cs="Times New Roman"/>
          <w:color w:val="00000A"/>
        </w:rPr>
        <w:t>/год</w:t>
      </w:r>
      <w:r w:rsidRPr="00731FE2">
        <w:rPr>
          <w:rFonts w:ascii="Times New Roman" w:eastAsia="Times New Roman" w:hAnsi="Times New Roman" w:cs="Times New Roman"/>
          <w:color w:val="000000"/>
          <w:szCs w:val="24"/>
        </w:rPr>
        <w:t>, в том числе на первую очередь генерального плана</w:t>
      </w:r>
      <w:r w:rsidRPr="00731FE2">
        <w:rPr>
          <w:rFonts w:ascii="Times New Roman" w:eastAsia="Times New Roman" w:hAnsi="Times New Roman" w:cs="Times New Roman"/>
          <w:color w:val="00000A"/>
        </w:rPr>
        <w:t xml:space="preserve"> – </w:t>
      </w:r>
      <w:r w:rsidRPr="00731FE2">
        <w:rPr>
          <w:rFonts w:ascii="Times New Roman" w:eastAsia="Times New Roman" w:hAnsi="Times New Roman" w:cs="Times New Roman"/>
          <w:color w:val="000000"/>
          <w:szCs w:val="24"/>
        </w:rPr>
        <w:t>15922,80</w:t>
      </w:r>
      <w:r w:rsidRPr="00731FE2">
        <w:rPr>
          <w:rFonts w:ascii="Times New Roman" w:eastAsia="Times New Roman" w:hAnsi="Times New Roman" w:cs="Times New Roman"/>
          <w:color w:val="00000A"/>
        </w:rPr>
        <w:t xml:space="preserve"> тыс. м</w:t>
      </w:r>
      <w:r w:rsidRPr="00731FE2">
        <w:rPr>
          <w:rFonts w:ascii="Times New Roman" w:eastAsia="Times New Roman" w:hAnsi="Times New Roman" w:cs="Times New Roman"/>
          <w:color w:val="00000A"/>
          <w:sz w:val="20"/>
          <w:vertAlign w:val="superscript"/>
        </w:rPr>
        <w:t>3</w:t>
      </w:r>
      <w:r w:rsidRPr="00731FE2">
        <w:rPr>
          <w:rFonts w:ascii="Times New Roman" w:eastAsia="Times New Roman" w:hAnsi="Times New Roman" w:cs="Times New Roman"/>
          <w:color w:val="00000A"/>
        </w:rPr>
        <w:t>/год</w:t>
      </w:r>
      <w:r w:rsidRPr="00731FE2">
        <w:rPr>
          <w:rFonts w:ascii="Times New Roman" w:eastAsia="Times New Roman" w:hAnsi="Times New Roman" w:cs="Times New Roman"/>
          <w:color w:val="000000"/>
          <w:szCs w:val="24"/>
        </w:rPr>
        <w:t>.</w:t>
      </w:r>
    </w:p>
    <w:p w14:paraId="16932B27" w14:textId="77777777" w:rsidR="00171AA8" w:rsidRPr="00731FE2" w:rsidRDefault="007935AB" w:rsidP="00E27F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A"/>
          <w:szCs w:val="24"/>
        </w:rPr>
      </w:pPr>
      <w:r w:rsidRPr="00731FE2">
        <w:rPr>
          <w:rFonts w:ascii="Times New Roman" w:eastAsia="Times New Roman" w:hAnsi="Times New Roman" w:cs="Times New Roman"/>
          <w:color w:val="00000A"/>
          <w:szCs w:val="24"/>
        </w:rPr>
        <w:t>Природный газ будет использоваться населением малоэтажной застройки на приготовления пищи, горячей воды и отопления помещений. С этой целью, в каждом доме устанавливаются индивидуальные (поквартирные) газовые теплогенераторы и газовые плиты.</w:t>
      </w:r>
    </w:p>
    <w:p w14:paraId="26EB24E0" w14:textId="77777777" w:rsidR="00171AA8" w:rsidRPr="00731FE2" w:rsidRDefault="007935AB" w:rsidP="00E27F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A"/>
          <w:szCs w:val="24"/>
        </w:rPr>
      </w:pPr>
      <w:r w:rsidRPr="00731FE2">
        <w:rPr>
          <w:rFonts w:ascii="Times New Roman" w:eastAsia="Times New Roman" w:hAnsi="Times New Roman" w:cs="Times New Roman"/>
          <w:color w:val="00000A"/>
          <w:szCs w:val="24"/>
        </w:rPr>
        <w:lastRenderedPageBreak/>
        <w:t>В сфере газоснабжения настоящим генеральным планом запланированы мероприятия в части строительства газопроводов и реконструкции объектов газоснабжения. Полный перечень мероприятий приведен в Томе 1 «Положение о территориальном планировании» настоящего генерального плана.</w:t>
      </w:r>
    </w:p>
    <w:p w14:paraId="25F27793" w14:textId="77777777" w:rsidR="00171AA8" w:rsidRPr="00731FE2" w:rsidRDefault="007935AB" w:rsidP="00E27FAB">
      <w:pPr>
        <w:pStyle w:val="33"/>
        <w:rPr>
          <w:rFonts w:ascii="Times New Roman" w:hAnsi="Times New Roman" w:cs="Times New Roman"/>
        </w:rPr>
      </w:pPr>
      <w:bookmarkStart w:id="93" w:name="_Toc177392843"/>
      <w:r w:rsidRPr="00731FE2">
        <w:rPr>
          <w:rFonts w:ascii="Times New Roman" w:hAnsi="Times New Roman" w:cs="Times New Roman"/>
        </w:rPr>
        <w:t>3.9.6 Система обращения с твердыми коммунальными отходами</w:t>
      </w:r>
      <w:bookmarkEnd w:id="93"/>
    </w:p>
    <w:p w14:paraId="3620D936" w14:textId="77777777" w:rsidR="00171AA8" w:rsidRPr="00731FE2" w:rsidRDefault="007935AB" w:rsidP="00E27F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A"/>
          <w:szCs w:val="24"/>
        </w:rPr>
      </w:pPr>
      <w:r w:rsidRPr="00731FE2">
        <w:rPr>
          <w:rFonts w:ascii="Times New Roman" w:eastAsia="Times New Roman" w:hAnsi="Times New Roman" w:cs="Times New Roman"/>
          <w:color w:val="00000A"/>
          <w:szCs w:val="24"/>
        </w:rPr>
        <w:t xml:space="preserve">Проблема обращения с отходами производства и потребления – одна из наиболее актуальных и сложных инженерно-экологических проблем, как с точки зрения стабилизации и улучшения экологической ситуации, так и расширения ресурсного потенциала для всего Ставропольского края и для городского округа города-курорта </w:t>
      </w:r>
      <w:r w:rsidR="00E27FAB" w:rsidRPr="00731FE2">
        <w:rPr>
          <w:rFonts w:ascii="Times New Roman" w:eastAsia="Times New Roman" w:hAnsi="Times New Roman" w:cs="Times New Roman"/>
          <w:color w:val="00000A"/>
          <w:szCs w:val="24"/>
        </w:rPr>
        <w:t>Кисловодска,</w:t>
      </w:r>
      <w:r w:rsidRPr="00731FE2">
        <w:rPr>
          <w:rFonts w:ascii="Times New Roman" w:eastAsia="Times New Roman" w:hAnsi="Times New Roman" w:cs="Times New Roman"/>
          <w:color w:val="00000A"/>
          <w:szCs w:val="24"/>
        </w:rPr>
        <w:t xml:space="preserve"> в частности.</w:t>
      </w:r>
    </w:p>
    <w:p w14:paraId="2539BAFF" w14:textId="77777777" w:rsidR="00171AA8" w:rsidRPr="00731FE2" w:rsidRDefault="007935AB" w:rsidP="00E27FAB">
      <w:pPr>
        <w:pBdr>
          <w:top w:val="none" w:sz="4" w:space="0" w:color="000000"/>
          <w:left w:val="none" w:sz="4" w:space="0" w:color="000000"/>
          <w:bottom w:val="none" w:sz="4" w:space="0" w:color="000000"/>
          <w:right w:val="none" w:sz="4" w:space="0" w:color="000000"/>
        </w:pBdr>
      </w:pPr>
      <w:r w:rsidRPr="00731FE2">
        <w:rPr>
          <w:rFonts w:ascii="Times New Roman" w:eastAsia="Times New Roman" w:hAnsi="Times New Roman" w:cs="Times New Roman"/>
          <w:color w:val="00000A"/>
          <w:szCs w:val="24"/>
        </w:rPr>
        <w:t>Организация эффективной системы обращения отходов на территории городского округа – одно из важнейших санитарно-гигиенических мероприятий, способствующих охране здоровья населения и окружающей природной среды, и включает в себя комплекс работ по сбору, накоплению, утилизации, обезвреживанию и размещению отходов.</w:t>
      </w:r>
    </w:p>
    <w:p w14:paraId="33FA12B4" w14:textId="04E53896" w:rsidR="00D6507B" w:rsidRPr="00731FE2" w:rsidRDefault="00550557" w:rsidP="00550557">
      <w:pPr>
        <w:pBdr>
          <w:top w:val="none" w:sz="4" w:space="0" w:color="000000"/>
          <w:left w:val="none" w:sz="4" w:space="0" w:color="000000"/>
          <w:bottom w:val="none" w:sz="4" w:space="0" w:color="000000"/>
          <w:right w:val="none" w:sz="4" w:space="0" w:color="000000"/>
        </w:pBdr>
        <w:rPr>
          <w:rFonts w:ascii="Times New Roman" w:hAnsi="Times New Roman" w:cs="Times New Roman"/>
          <w:color w:val="000000" w:themeColor="text1"/>
        </w:rPr>
      </w:pPr>
      <w:r w:rsidRPr="00731FE2">
        <w:rPr>
          <w:rFonts w:ascii="Times New Roman" w:eastAsia="Times New Roman" w:hAnsi="Times New Roman" w:cs="Times New Roman"/>
          <w:color w:val="00000A"/>
          <w:szCs w:val="24"/>
        </w:rPr>
        <w:t>П</w:t>
      </w:r>
      <w:r w:rsidR="007935AB" w:rsidRPr="00731FE2">
        <w:rPr>
          <w:rFonts w:ascii="Times New Roman" w:eastAsia="Times New Roman" w:hAnsi="Times New Roman" w:cs="Times New Roman"/>
          <w:color w:val="00000A"/>
          <w:szCs w:val="24"/>
        </w:rPr>
        <w:t xml:space="preserve">роектные предложения настоящего раздела генерального плана сводятся к определению расчетного количества ТКО, предложений по оптимизации обращения с отходами и определению мест размещения и переработки ТКО на основании </w:t>
      </w:r>
      <w:r w:rsidR="00D6507B" w:rsidRPr="00731FE2">
        <w:rPr>
          <w:rFonts w:ascii="Times New Roman" w:hAnsi="Times New Roman" w:cs="Times New Roman"/>
          <w:color w:val="000000" w:themeColor="text1"/>
        </w:rPr>
        <w:t>постановления Правительства Ставропольского края N 408-п от 22 сентября 2016 года «Об утверждении территориальной схемы обращения с отходами в Ставропольском крае»</w:t>
      </w:r>
      <w:r w:rsidRPr="00731FE2">
        <w:rPr>
          <w:rFonts w:ascii="Times New Roman" w:hAnsi="Times New Roman" w:cs="Times New Roman"/>
          <w:color w:val="000000" w:themeColor="text1"/>
        </w:rPr>
        <w:t>.</w:t>
      </w:r>
    </w:p>
    <w:p w14:paraId="0718A20B" w14:textId="54A93316" w:rsidR="00171AA8" w:rsidRPr="00731FE2" w:rsidRDefault="007935AB" w:rsidP="00E27FAB">
      <w:pPr>
        <w:pBdr>
          <w:top w:val="none" w:sz="4" w:space="0" w:color="000000"/>
          <w:left w:val="none" w:sz="4" w:space="0" w:color="000000"/>
          <w:bottom w:val="none" w:sz="4" w:space="0" w:color="000000"/>
          <w:right w:val="none" w:sz="4" w:space="0" w:color="000000"/>
        </w:pBdr>
      </w:pPr>
      <w:r w:rsidRPr="00731FE2">
        <w:rPr>
          <w:rFonts w:ascii="Times New Roman" w:eastAsia="Times New Roman" w:hAnsi="Times New Roman" w:cs="Times New Roman"/>
          <w:color w:val="00000A"/>
          <w:szCs w:val="24"/>
        </w:rPr>
        <w:t xml:space="preserve">В настоящем генеральном плане норма накопления ТКО принимается в соответствии с </w:t>
      </w:r>
      <w:r w:rsidR="00D6507B" w:rsidRPr="00731FE2">
        <w:rPr>
          <w:rFonts w:ascii="Times New Roman" w:hAnsi="Times New Roman" w:cs="Times New Roman"/>
          <w:color w:val="000000" w:themeColor="text1"/>
        </w:rPr>
        <w:t>постановлением Правительства Ставропольского края N 408-п от 22 сентября 2016 года «Об утверждении территориальной схемы обращения с отходами в Ставропольском крае»</w:t>
      </w:r>
      <w:r w:rsidRPr="00731FE2">
        <w:rPr>
          <w:rFonts w:ascii="Times New Roman" w:eastAsia="Times New Roman" w:hAnsi="Times New Roman" w:cs="Times New Roman"/>
          <w:color w:val="00000A"/>
          <w:szCs w:val="24"/>
        </w:rPr>
        <w:t>. Расчетный норматив накопления ТКО – 2,5 м</w:t>
      </w:r>
      <w:r w:rsidRPr="00731FE2">
        <w:rPr>
          <w:rFonts w:ascii="Times New Roman" w:eastAsia="Times New Roman" w:hAnsi="Times New Roman" w:cs="Times New Roman"/>
          <w:color w:val="00000A"/>
          <w:szCs w:val="24"/>
          <w:vertAlign w:val="superscript"/>
        </w:rPr>
        <w:t>3</w:t>
      </w:r>
      <w:r w:rsidRPr="00731FE2">
        <w:rPr>
          <w:rFonts w:ascii="Times New Roman" w:eastAsia="Times New Roman" w:hAnsi="Times New Roman" w:cs="Times New Roman"/>
          <w:color w:val="00000A"/>
          <w:szCs w:val="24"/>
        </w:rPr>
        <w:t xml:space="preserve"> на человека в год. Расчетная плотность ТКО – 150 кг/м</w:t>
      </w:r>
      <w:r w:rsidRPr="00731FE2">
        <w:rPr>
          <w:rFonts w:ascii="Times New Roman" w:eastAsia="Times New Roman" w:hAnsi="Times New Roman" w:cs="Times New Roman"/>
          <w:color w:val="00000A"/>
          <w:szCs w:val="24"/>
          <w:vertAlign w:val="superscript"/>
        </w:rPr>
        <w:t>3</w:t>
      </w:r>
      <w:r w:rsidRPr="00731FE2">
        <w:rPr>
          <w:rFonts w:ascii="Times New Roman" w:eastAsia="Times New Roman" w:hAnsi="Times New Roman" w:cs="Times New Roman"/>
          <w:color w:val="00000A"/>
          <w:szCs w:val="24"/>
        </w:rPr>
        <w:t xml:space="preserve"> на человека в год.</w:t>
      </w:r>
    </w:p>
    <w:p w14:paraId="30FAF4F1" w14:textId="77777777" w:rsidR="00171AA8" w:rsidRPr="00731FE2" w:rsidRDefault="007935AB" w:rsidP="00E27FAB">
      <w:pPr>
        <w:pBdr>
          <w:top w:val="none" w:sz="4" w:space="0" w:color="000000"/>
          <w:left w:val="none" w:sz="4" w:space="0" w:color="000000"/>
          <w:bottom w:val="none" w:sz="4" w:space="0" w:color="000000"/>
          <w:right w:val="none" w:sz="4" w:space="0" w:color="000000"/>
        </w:pBdr>
      </w:pPr>
      <w:r w:rsidRPr="00731FE2">
        <w:rPr>
          <w:rFonts w:ascii="Times New Roman" w:eastAsia="Times New Roman" w:hAnsi="Times New Roman" w:cs="Times New Roman"/>
          <w:color w:val="00000A"/>
          <w:szCs w:val="24"/>
        </w:rPr>
        <w:t>Расчет объема и массы отходов, образуемых в среднем в год, производится по формуле:</w:t>
      </w:r>
    </w:p>
    <w:p w14:paraId="26937F12" w14:textId="77777777" w:rsidR="00171AA8" w:rsidRPr="00731FE2" w:rsidRDefault="007935AB" w:rsidP="00E27FAB">
      <w:pPr>
        <w:pBdr>
          <w:top w:val="none" w:sz="4" w:space="0" w:color="000000"/>
          <w:left w:val="none" w:sz="4" w:space="0" w:color="000000"/>
          <w:bottom w:val="none" w:sz="4" w:space="0" w:color="000000"/>
          <w:right w:val="none" w:sz="4" w:space="0" w:color="000000"/>
        </w:pBdr>
      </w:pPr>
      <w:r w:rsidRPr="00731FE2">
        <w:rPr>
          <w:rFonts w:ascii="Times New Roman" w:eastAsia="Times New Roman" w:hAnsi="Times New Roman" w:cs="Times New Roman"/>
          <w:color w:val="00000A"/>
          <w:szCs w:val="24"/>
        </w:rPr>
        <w:t>Vтко = n * 2,5, где n – число жителей населенного пункта.</w:t>
      </w:r>
    </w:p>
    <w:p w14:paraId="037E8DE4" w14:textId="77777777" w:rsidR="00171AA8" w:rsidRPr="00731FE2" w:rsidRDefault="007935AB" w:rsidP="00E27F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A"/>
          <w:szCs w:val="24"/>
        </w:rPr>
      </w:pPr>
      <w:r w:rsidRPr="00731FE2">
        <w:rPr>
          <w:rFonts w:ascii="Times New Roman" w:eastAsia="Times New Roman" w:hAnsi="Times New Roman" w:cs="Times New Roman"/>
          <w:color w:val="00000A"/>
          <w:szCs w:val="24"/>
        </w:rPr>
        <w:t>Mтко = Vтко * 0,15.</w:t>
      </w:r>
    </w:p>
    <w:p w14:paraId="291607B8" w14:textId="77777777" w:rsidR="00171AA8" w:rsidRPr="00731FE2" w:rsidRDefault="007935AB" w:rsidP="00E27FAB">
      <w:pPr>
        <w:pBdr>
          <w:top w:val="none" w:sz="4" w:space="0" w:color="000000"/>
          <w:left w:val="none" w:sz="4" w:space="0" w:color="000000"/>
          <w:bottom w:val="none" w:sz="4" w:space="0" w:color="000000"/>
          <w:right w:val="none" w:sz="4" w:space="0" w:color="000000"/>
        </w:pBdr>
      </w:pPr>
      <w:r w:rsidRPr="00731FE2">
        <w:rPr>
          <w:rFonts w:ascii="Times New Roman" w:eastAsia="Times New Roman" w:hAnsi="Times New Roman" w:cs="Times New Roman"/>
          <w:color w:val="00000A"/>
          <w:szCs w:val="24"/>
        </w:rPr>
        <w:t>Объем и масса отходов городского округа при среднем прогнозе численности населе</w:t>
      </w:r>
      <w:r w:rsidR="00A4523A" w:rsidRPr="00731FE2">
        <w:rPr>
          <w:rFonts w:ascii="Times New Roman" w:eastAsia="Times New Roman" w:hAnsi="Times New Roman" w:cs="Times New Roman"/>
          <w:color w:val="00000A"/>
          <w:szCs w:val="24"/>
        </w:rPr>
        <w:t xml:space="preserve">ния на первую очередь (2034 г) </w:t>
      </w:r>
      <w:r w:rsidRPr="00731FE2">
        <w:rPr>
          <w:rFonts w:ascii="Times New Roman" w:eastAsia="Times New Roman" w:hAnsi="Times New Roman" w:cs="Times New Roman"/>
          <w:color w:val="00000A"/>
          <w:szCs w:val="24"/>
        </w:rPr>
        <w:t>и на расчетный срок (2044 г.) составят:</w:t>
      </w:r>
    </w:p>
    <w:p w14:paraId="4D32F7E8" w14:textId="77777777" w:rsidR="00171AA8" w:rsidRPr="00731FE2" w:rsidRDefault="007935AB" w:rsidP="007832E7">
      <w:pPr>
        <w:pStyle w:val="a3"/>
        <w:numPr>
          <w:ilvl w:val="0"/>
          <w:numId w:val="82"/>
        </w:numPr>
        <w:pBdr>
          <w:top w:val="none" w:sz="4" w:space="0" w:color="000000"/>
          <w:left w:val="none" w:sz="4" w:space="0" w:color="000000"/>
          <w:bottom w:val="none" w:sz="4" w:space="0" w:color="000000"/>
          <w:right w:val="none" w:sz="4" w:space="0" w:color="000000"/>
        </w:pBdr>
        <w:tabs>
          <w:tab w:val="left" w:pos="992"/>
        </w:tabs>
        <w:ind w:left="0" w:firstLine="709"/>
        <w:rPr>
          <w:rFonts w:ascii="Times New Roman" w:eastAsia="Times New Roman" w:hAnsi="Times New Roman" w:cs="Times New Roman"/>
          <w:color w:val="00000A"/>
        </w:rPr>
      </w:pPr>
      <w:r w:rsidRPr="00731FE2">
        <w:rPr>
          <w:rFonts w:ascii="Times New Roman" w:eastAsia="Times New Roman" w:hAnsi="Times New Roman" w:cs="Times New Roman"/>
          <w:color w:val="00000A"/>
          <w:szCs w:val="24"/>
        </w:rPr>
        <w:t>первая очередь – 331,7 тыс. м</w:t>
      </w:r>
      <w:r w:rsidRPr="00731FE2">
        <w:rPr>
          <w:rFonts w:ascii="Times New Roman" w:eastAsia="Times New Roman" w:hAnsi="Times New Roman" w:cs="Times New Roman"/>
          <w:color w:val="00000A"/>
          <w:szCs w:val="24"/>
          <w:vertAlign w:val="superscript"/>
        </w:rPr>
        <w:t>3</w:t>
      </w:r>
      <w:r w:rsidRPr="00731FE2">
        <w:rPr>
          <w:rFonts w:ascii="Times New Roman" w:eastAsia="Times New Roman" w:hAnsi="Times New Roman" w:cs="Times New Roman"/>
          <w:color w:val="00000A"/>
          <w:szCs w:val="24"/>
        </w:rPr>
        <w:t xml:space="preserve"> или 49,8 тыс. тонн;</w:t>
      </w:r>
    </w:p>
    <w:p w14:paraId="375D65DC" w14:textId="77777777" w:rsidR="00171AA8" w:rsidRPr="00731FE2" w:rsidRDefault="007935AB" w:rsidP="007832E7">
      <w:pPr>
        <w:pStyle w:val="a3"/>
        <w:numPr>
          <w:ilvl w:val="0"/>
          <w:numId w:val="82"/>
        </w:numPr>
        <w:pBdr>
          <w:top w:val="none" w:sz="4" w:space="0" w:color="000000"/>
          <w:left w:val="none" w:sz="4" w:space="0" w:color="000000"/>
          <w:bottom w:val="none" w:sz="4" w:space="0" w:color="000000"/>
          <w:right w:val="none" w:sz="4" w:space="0" w:color="000000"/>
        </w:pBdr>
        <w:tabs>
          <w:tab w:val="left" w:pos="992"/>
        </w:tabs>
        <w:ind w:left="0" w:firstLine="709"/>
        <w:rPr>
          <w:rFonts w:ascii="Times New Roman" w:eastAsia="Times New Roman" w:hAnsi="Times New Roman" w:cs="Times New Roman"/>
          <w:color w:val="00000A"/>
          <w:szCs w:val="24"/>
        </w:rPr>
      </w:pPr>
      <w:r w:rsidRPr="00731FE2">
        <w:rPr>
          <w:rFonts w:ascii="Times New Roman" w:eastAsia="Times New Roman" w:hAnsi="Times New Roman" w:cs="Times New Roman"/>
          <w:color w:val="00000A"/>
          <w:szCs w:val="24"/>
        </w:rPr>
        <w:t>расчетный срок – 337,7 тыс. м</w:t>
      </w:r>
      <w:r w:rsidRPr="00731FE2">
        <w:rPr>
          <w:rFonts w:ascii="Times New Roman" w:eastAsia="Times New Roman" w:hAnsi="Times New Roman" w:cs="Times New Roman"/>
          <w:color w:val="00000A"/>
          <w:szCs w:val="24"/>
          <w:vertAlign w:val="superscript"/>
        </w:rPr>
        <w:t>3</w:t>
      </w:r>
      <w:r w:rsidRPr="00731FE2">
        <w:rPr>
          <w:rFonts w:ascii="Times New Roman" w:eastAsia="Times New Roman" w:hAnsi="Times New Roman" w:cs="Times New Roman"/>
          <w:color w:val="00000A"/>
          <w:szCs w:val="24"/>
        </w:rPr>
        <w:t xml:space="preserve"> или 50,6 тыс. тонн.</w:t>
      </w:r>
    </w:p>
    <w:p w14:paraId="631F4C0A" w14:textId="61533FA6" w:rsidR="00FF782A" w:rsidRPr="00731FE2" w:rsidRDefault="00FF782A" w:rsidP="00E27F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A"/>
          <w:szCs w:val="24"/>
        </w:rPr>
      </w:pPr>
      <w:r w:rsidRPr="00731FE2">
        <w:rPr>
          <w:rFonts w:ascii="Times New Roman" w:eastAsia="Times New Roman" w:hAnsi="Times New Roman" w:cs="Times New Roman"/>
          <w:color w:val="00000A"/>
          <w:szCs w:val="24"/>
        </w:rPr>
        <w:t>Порядок накопления ТКО необходимо производить в соответствие с приказом Министерства жилищно-коммунального хозяйства Ставропольского края от 25 мая 2017 г. № 155 «Об утверждении порядка накопления твердых коммунальных отходов (в том числе их раздельного накопления) на территории Ставропольского края»:</w:t>
      </w:r>
    </w:p>
    <w:p w14:paraId="51BDB6D8" w14:textId="0803DB75" w:rsidR="00FF782A" w:rsidRPr="00731FE2" w:rsidRDefault="00FF782A" w:rsidP="00E27F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A"/>
          <w:szCs w:val="24"/>
        </w:rPr>
      </w:pPr>
      <w:r w:rsidRPr="00731FE2">
        <w:rPr>
          <w:rFonts w:ascii="Times New Roman" w:eastAsia="Times New Roman" w:hAnsi="Times New Roman" w:cs="Times New Roman"/>
          <w:color w:val="00000A"/>
          <w:szCs w:val="24"/>
        </w:rPr>
        <w:t>- накопление твердых коммунальных отходов потребителями осуществляется в контейнеры и бункеры, расположенные на контейнерных площадках;</w:t>
      </w:r>
    </w:p>
    <w:p w14:paraId="1706C570" w14:textId="7562A764" w:rsidR="00FF782A" w:rsidRPr="00731FE2" w:rsidRDefault="00FF782A" w:rsidP="00E27F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A"/>
          <w:szCs w:val="24"/>
        </w:rPr>
      </w:pPr>
      <w:r w:rsidRPr="00731FE2">
        <w:rPr>
          <w:rFonts w:ascii="Times New Roman" w:eastAsia="Times New Roman" w:hAnsi="Times New Roman" w:cs="Times New Roman"/>
          <w:color w:val="00000A"/>
          <w:szCs w:val="24"/>
        </w:rPr>
        <w:t>- места расположения контейнерных площадок для накопления твердых коммунальных отходов определяются с учетом требований действующих санитарных правил;</w:t>
      </w:r>
    </w:p>
    <w:p w14:paraId="64BC8C08" w14:textId="20AD0843" w:rsidR="00FF782A" w:rsidRPr="00731FE2" w:rsidRDefault="00FF782A" w:rsidP="00E27F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A"/>
          <w:szCs w:val="24"/>
        </w:rPr>
      </w:pPr>
      <w:r w:rsidRPr="00731FE2">
        <w:rPr>
          <w:rFonts w:ascii="Times New Roman" w:eastAsia="Times New Roman" w:hAnsi="Times New Roman" w:cs="Times New Roman"/>
          <w:color w:val="00000A"/>
          <w:szCs w:val="24"/>
        </w:rPr>
        <w:t>- во избежание ситуации, при которой невозможно высыпание содержимого контейнера в мусоровоз, запрещается прессовать или уплотнять твердые коммунальные отходы в контейнере;</w:t>
      </w:r>
    </w:p>
    <w:p w14:paraId="2922C849" w14:textId="01DDEBB8" w:rsidR="00FF782A" w:rsidRPr="00731FE2" w:rsidRDefault="00FF782A" w:rsidP="00E27F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A"/>
          <w:szCs w:val="24"/>
        </w:rPr>
      </w:pPr>
      <w:r w:rsidRPr="00731FE2">
        <w:rPr>
          <w:rFonts w:ascii="Times New Roman" w:eastAsia="Times New Roman" w:hAnsi="Times New Roman" w:cs="Times New Roman"/>
          <w:color w:val="00000A"/>
          <w:szCs w:val="24"/>
        </w:rPr>
        <w:lastRenderedPageBreak/>
        <w:t>- не допускается изъятие твердых коммунальных отходов из контейнеров без согласования с региональным оператором;</w:t>
      </w:r>
    </w:p>
    <w:p w14:paraId="36C1229F" w14:textId="5D5626D8" w:rsidR="00FF782A" w:rsidRPr="00731FE2" w:rsidRDefault="00FF782A" w:rsidP="00E27F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A"/>
          <w:szCs w:val="24"/>
        </w:rPr>
      </w:pPr>
      <w:r w:rsidRPr="00731FE2">
        <w:rPr>
          <w:rFonts w:ascii="Times New Roman" w:eastAsia="Times New Roman" w:hAnsi="Times New Roman" w:cs="Times New Roman"/>
          <w:color w:val="00000A"/>
          <w:szCs w:val="24"/>
        </w:rPr>
        <w:t>- запрещается складирование твердых коммунальных отходов вне пределов контейнеров и контейнерных площадок на прилегающей территории к ним;</w:t>
      </w:r>
    </w:p>
    <w:p w14:paraId="4D1D0DA6" w14:textId="03438FAD" w:rsidR="00FF782A" w:rsidRPr="00731FE2" w:rsidRDefault="00FF782A" w:rsidP="00E27F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A"/>
          <w:szCs w:val="24"/>
        </w:rPr>
      </w:pPr>
      <w:r w:rsidRPr="00731FE2">
        <w:rPr>
          <w:rFonts w:ascii="Times New Roman" w:eastAsia="Times New Roman" w:hAnsi="Times New Roman" w:cs="Times New Roman"/>
          <w:color w:val="00000A"/>
          <w:szCs w:val="24"/>
        </w:rPr>
        <w:t>- контейнеры для накопления твердых коммунальных отходов должны быть изготовлены из пластика или металла;</w:t>
      </w:r>
    </w:p>
    <w:p w14:paraId="51EB9007" w14:textId="25785357" w:rsidR="00FF782A" w:rsidRPr="00731FE2" w:rsidRDefault="00FF782A" w:rsidP="00E27F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A"/>
          <w:szCs w:val="24"/>
        </w:rPr>
      </w:pPr>
      <w:r w:rsidRPr="00731FE2">
        <w:rPr>
          <w:rFonts w:ascii="Times New Roman" w:eastAsia="Times New Roman" w:hAnsi="Times New Roman" w:cs="Times New Roman"/>
          <w:color w:val="00000A"/>
          <w:szCs w:val="24"/>
        </w:rPr>
        <w:t>- на контейнерах должна быть размещена информация об обслуживаемых объектах потребителей, пользующихся контейнерами;</w:t>
      </w:r>
    </w:p>
    <w:p w14:paraId="1421F817" w14:textId="1DC078F8" w:rsidR="00FF782A" w:rsidRPr="00731FE2" w:rsidRDefault="00FF782A" w:rsidP="00E27F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A"/>
          <w:szCs w:val="24"/>
        </w:rPr>
      </w:pPr>
      <w:r w:rsidRPr="00731FE2">
        <w:rPr>
          <w:rFonts w:ascii="Times New Roman" w:eastAsia="Times New Roman" w:hAnsi="Times New Roman" w:cs="Times New Roman"/>
          <w:color w:val="00000A"/>
          <w:szCs w:val="24"/>
        </w:rPr>
        <w:t>- необходимое количество контейнеров на контейнерной площадке и их объем определяются с учетом требований санитарных правил.</w:t>
      </w:r>
    </w:p>
    <w:p w14:paraId="151975F3" w14:textId="77777777" w:rsidR="00171AA8" w:rsidRPr="00731FE2" w:rsidRDefault="007935AB" w:rsidP="00E27F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A"/>
          <w:szCs w:val="24"/>
        </w:rPr>
      </w:pPr>
      <w:r w:rsidRPr="00731FE2">
        <w:rPr>
          <w:rFonts w:ascii="Times New Roman" w:eastAsia="Times New Roman" w:hAnsi="Times New Roman" w:cs="Times New Roman"/>
          <w:color w:val="00000A"/>
          <w:szCs w:val="24"/>
        </w:rPr>
        <w:t xml:space="preserve">Организация сбора, удаления, размещения и обезвреживания твердых коммунальных отходов (ТКО). Вся территория городского округа город-курорт Кисловодск должна быть охвачена планово-регулярной или заявочной системой очистки. </w:t>
      </w:r>
    </w:p>
    <w:p w14:paraId="0CCEBAA1" w14:textId="77777777" w:rsidR="00171AA8" w:rsidRPr="00731FE2" w:rsidRDefault="007935AB" w:rsidP="00E27F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A"/>
          <w:szCs w:val="24"/>
        </w:rPr>
      </w:pPr>
      <w:r w:rsidRPr="00731FE2">
        <w:rPr>
          <w:rFonts w:ascii="Times New Roman" w:eastAsia="Times New Roman" w:hAnsi="Times New Roman" w:cs="Times New Roman"/>
          <w:color w:val="00000A"/>
          <w:szCs w:val="24"/>
        </w:rPr>
        <w:t>Планово-регулярная система включает в себя:</w:t>
      </w:r>
    </w:p>
    <w:p w14:paraId="71DA73AC" w14:textId="77777777" w:rsidR="00171AA8" w:rsidRPr="00731FE2" w:rsidRDefault="007935AB" w:rsidP="00FF782A">
      <w:pPr>
        <w:pStyle w:val="a3"/>
        <w:numPr>
          <w:ilvl w:val="0"/>
          <w:numId w:val="82"/>
        </w:numPr>
        <w:pBdr>
          <w:top w:val="none" w:sz="4" w:space="0" w:color="000000"/>
          <w:left w:val="none" w:sz="4" w:space="0" w:color="000000"/>
          <w:bottom w:val="none" w:sz="4" w:space="0" w:color="000000"/>
          <w:right w:val="none" w:sz="4" w:space="0" w:color="000000"/>
        </w:pBdr>
        <w:tabs>
          <w:tab w:val="left" w:pos="992"/>
        </w:tabs>
        <w:ind w:left="0" w:firstLine="709"/>
        <w:rPr>
          <w:rFonts w:ascii="Times New Roman" w:eastAsia="Times New Roman" w:hAnsi="Times New Roman" w:cs="Times New Roman"/>
          <w:color w:val="00000A"/>
          <w:szCs w:val="24"/>
        </w:rPr>
      </w:pPr>
      <w:r w:rsidRPr="00731FE2">
        <w:rPr>
          <w:rFonts w:ascii="Times New Roman" w:eastAsia="Times New Roman" w:hAnsi="Times New Roman" w:cs="Times New Roman"/>
          <w:color w:val="00000A"/>
          <w:szCs w:val="24"/>
        </w:rPr>
        <w:t>удаление отходов с территорий домовладений и организаций;</w:t>
      </w:r>
    </w:p>
    <w:p w14:paraId="64948EBC" w14:textId="77777777" w:rsidR="00171AA8" w:rsidRPr="00731FE2" w:rsidRDefault="007935AB" w:rsidP="00FF782A">
      <w:pPr>
        <w:pStyle w:val="a3"/>
        <w:numPr>
          <w:ilvl w:val="0"/>
          <w:numId w:val="82"/>
        </w:numPr>
        <w:pBdr>
          <w:top w:val="none" w:sz="4" w:space="0" w:color="000000"/>
          <w:left w:val="none" w:sz="4" w:space="0" w:color="000000"/>
          <w:bottom w:val="none" w:sz="4" w:space="0" w:color="000000"/>
          <w:right w:val="none" w:sz="4" w:space="0" w:color="000000"/>
        </w:pBdr>
        <w:tabs>
          <w:tab w:val="left" w:pos="992"/>
        </w:tabs>
        <w:ind w:left="0" w:firstLine="709"/>
        <w:rPr>
          <w:rFonts w:ascii="Times New Roman" w:eastAsia="Times New Roman" w:hAnsi="Times New Roman" w:cs="Times New Roman"/>
          <w:color w:val="00000A"/>
          <w:szCs w:val="24"/>
        </w:rPr>
      </w:pPr>
      <w:r w:rsidRPr="00731FE2">
        <w:rPr>
          <w:rFonts w:ascii="Times New Roman" w:eastAsia="Times New Roman" w:hAnsi="Times New Roman" w:cs="Times New Roman"/>
          <w:color w:val="00000A"/>
          <w:szCs w:val="24"/>
        </w:rPr>
        <w:t>организацию сбора и временного хранения коммунальных отходов в местах их образования;</w:t>
      </w:r>
    </w:p>
    <w:p w14:paraId="3234A8E0" w14:textId="77777777" w:rsidR="00171AA8" w:rsidRPr="00731FE2" w:rsidRDefault="007935AB" w:rsidP="007832E7">
      <w:pPr>
        <w:pStyle w:val="a3"/>
        <w:numPr>
          <w:ilvl w:val="0"/>
          <w:numId w:val="82"/>
        </w:numPr>
        <w:pBdr>
          <w:top w:val="none" w:sz="4" w:space="0" w:color="000000"/>
          <w:left w:val="none" w:sz="4" w:space="0" w:color="000000"/>
          <w:bottom w:val="none" w:sz="4" w:space="0" w:color="000000"/>
          <w:right w:val="none" w:sz="4" w:space="0" w:color="000000"/>
        </w:pBdr>
        <w:tabs>
          <w:tab w:val="left" w:pos="992"/>
        </w:tabs>
        <w:ind w:left="0" w:firstLine="709"/>
        <w:rPr>
          <w:rFonts w:ascii="Times New Roman" w:eastAsia="Times New Roman" w:hAnsi="Times New Roman" w:cs="Times New Roman"/>
          <w:color w:val="00000A"/>
          <w:szCs w:val="24"/>
        </w:rPr>
      </w:pPr>
      <w:r w:rsidRPr="00731FE2">
        <w:rPr>
          <w:rFonts w:ascii="Times New Roman" w:eastAsia="Times New Roman" w:hAnsi="Times New Roman" w:cs="Times New Roman"/>
          <w:color w:val="00000A"/>
          <w:szCs w:val="24"/>
        </w:rPr>
        <w:t>организацию сбора и переработки утильных фракций;</w:t>
      </w:r>
    </w:p>
    <w:p w14:paraId="293F6667" w14:textId="77777777" w:rsidR="00171AA8" w:rsidRPr="00731FE2" w:rsidRDefault="007935AB" w:rsidP="007832E7">
      <w:pPr>
        <w:pStyle w:val="a3"/>
        <w:numPr>
          <w:ilvl w:val="0"/>
          <w:numId w:val="82"/>
        </w:numPr>
        <w:pBdr>
          <w:top w:val="none" w:sz="4" w:space="0" w:color="000000"/>
          <w:left w:val="none" w:sz="4" w:space="0" w:color="000000"/>
          <w:bottom w:val="none" w:sz="4" w:space="0" w:color="000000"/>
          <w:right w:val="none" w:sz="4" w:space="0" w:color="000000"/>
        </w:pBdr>
        <w:tabs>
          <w:tab w:val="left" w:pos="992"/>
        </w:tabs>
        <w:ind w:left="0" w:firstLine="709"/>
        <w:rPr>
          <w:rFonts w:ascii="Times New Roman" w:eastAsia="Times New Roman" w:hAnsi="Times New Roman" w:cs="Times New Roman"/>
          <w:color w:val="00000A"/>
          <w:szCs w:val="24"/>
        </w:rPr>
      </w:pPr>
      <w:r w:rsidRPr="00731FE2">
        <w:rPr>
          <w:rFonts w:ascii="Times New Roman" w:eastAsia="Times New Roman" w:hAnsi="Times New Roman" w:cs="Times New Roman"/>
          <w:color w:val="00000A"/>
          <w:szCs w:val="24"/>
        </w:rPr>
        <w:t>осуществление захоронения (обезвреживания) неутильной части коммунальных отходов.</w:t>
      </w:r>
    </w:p>
    <w:p w14:paraId="00484CC5" w14:textId="77777777" w:rsidR="00171AA8" w:rsidRPr="00731FE2" w:rsidRDefault="007935AB" w:rsidP="00E27F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A"/>
          <w:szCs w:val="24"/>
        </w:rPr>
      </w:pPr>
      <w:r w:rsidRPr="00731FE2">
        <w:rPr>
          <w:rFonts w:ascii="Times New Roman" w:eastAsia="Times New Roman" w:hAnsi="Times New Roman" w:cs="Times New Roman"/>
          <w:color w:val="00000A"/>
          <w:szCs w:val="24"/>
        </w:rPr>
        <w:t>В качестве основной системы сбора и удаления ТКО на территории городского округа предлагается использовать систему несменяемых контейнеров.</w:t>
      </w:r>
    </w:p>
    <w:p w14:paraId="70B5E2C0" w14:textId="77777777" w:rsidR="00171AA8" w:rsidRPr="00731FE2" w:rsidRDefault="007935AB" w:rsidP="00E27F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A"/>
          <w:szCs w:val="24"/>
        </w:rPr>
      </w:pPr>
      <w:r w:rsidRPr="00731FE2">
        <w:rPr>
          <w:rFonts w:ascii="Times New Roman" w:eastAsia="Times New Roman" w:hAnsi="Times New Roman" w:cs="Times New Roman"/>
          <w:color w:val="00000A"/>
          <w:szCs w:val="24"/>
        </w:rPr>
        <w:t>На территории домовладений выделяются специальные площадки для размещения контейнеров с удобными подъездами для транспорта, оборудованные несменяемыми мусоросборниками (контейнерами).</w:t>
      </w:r>
    </w:p>
    <w:p w14:paraId="0CC8E102" w14:textId="77777777" w:rsidR="00171AA8" w:rsidRPr="00731FE2" w:rsidRDefault="007935AB" w:rsidP="00E27F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A"/>
          <w:szCs w:val="24"/>
        </w:rPr>
      </w:pPr>
      <w:r w:rsidRPr="00731FE2">
        <w:rPr>
          <w:rFonts w:ascii="Times New Roman" w:eastAsia="Times New Roman" w:hAnsi="Times New Roman" w:cs="Times New Roman"/>
          <w:color w:val="00000A"/>
          <w:szCs w:val="24"/>
        </w:rPr>
        <w:t>Для сбора ТКО на контейнерных площадках устанавливаются несменяемые контейнеры. Принимаем, что для сбора ТКО будут использоваться евроконтейнеры с крышкой емкостью 0,75 м</w:t>
      </w:r>
      <w:r w:rsidRPr="00731FE2">
        <w:rPr>
          <w:rFonts w:ascii="Times New Roman" w:eastAsia="Times New Roman" w:hAnsi="Times New Roman" w:cs="Times New Roman"/>
          <w:color w:val="00000A"/>
          <w:szCs w:val="24"/>
          <w:vertAlign w:val="superscript"/>
        </w:rPr>
        <w:t>3</w:t>
      </w:r>
      <w:r w:rsidRPr="00731FE2">
        <w:rPr>
          <w:rFonts w:ascii="Times New Roman" w:eastAsia="Times New Roman" w:hAnsi="Times New Roman" w:cs="Times New Roman"/>
          <w:color w:val="00000A"/>
          <w:szCs w:val="24"/>
        </w:rPr>
        <w:t>.</w:t>
      </w:r>
    </w:p>
    <w:p w14:paraId="116CB1F7" w14:textId="77777777" w:rsidR="00171AA8" w:rsidRPr="00731FE2" w:rsidRDefault="007935AB" w:rsidP="00E27F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A"/>
          <w:szCs w:val="24"/>
        </w:rPr>
      </w:pPr>
      <w:r w:rsidRPr="00731FE2">
        <w:rPr>
          <w:rFonts w:ascii="Times New Roman" w:eastAsia="Times New Roman" w:hAnsi="Times New Roman" w:cs="Times New Roman"/>
          <w:color w:val="00000A"/>
          <w:szCs w:val="24"/>
        </w:rPr>
        <w:t>Количество контейнеров, устанавливаемых на контейнерных площадках, определяется исходя из расчетного норматива накопления ТКО и численности проживающего населения. В связи с тенденцией роста норматива накопления ТКО, а также тенденцией к изменению морфологического состава в сторону увеличения вторичного сырья в составе ТКО, необходимо устанавливать контейнеры для раздельного сбора отходов. Установка подобных контейнеров выполняет следующие функции: улучшение эпидемиологического и эстетического состояния территории, а также экологическое воспитание населения. Кроме того, данное требование предусмотрено нормативными документами, в частности Федеральным законом «Об отходах производства и потребления».</w:t>
      </w:r>
    </w:p>
    <w:p w14:paraId="11F418F7" w14:textId="77777777" w:rsidR="00171AA8" w:rsidRPr="00731FE2" w:rsidRDefault="007935AB" w:rsidP="00E27F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A"/>
          <w:szCs w:val="24"/>
        </w:rPr>
      </w:pPr>
      <w:r w:rsidRPr="00731FE2">
        <w:rPr>
          <w:rFonts w:ascii="Times New Roman" w:eastAsia="Times New Roman" w:hAnsi="Times New Roman" w:cs="Times New Roman"/>
          <w:color w:val="00000A"/>
          <w:szCs w:val="24"/>
        </w:rPr>
        <w:t xml:space="preserve">В жилой застройке квартирного типа контейнеры устанавливаются на специально оборудованных площадках из расчета 1 площадка на 6-8 подъездов жилых домов с установкой на одной площадке не более 5-и контейнеров. Радиус охвата одной площадки не более 100 метров. Контейнерные площадки должны быть удалены от жилых домов, детских учреждений, мест отдыха и т.д. на расстояние не менее 20 метров. </w:t>
      </w:r>
    </w:p>
    <w:p w14:paraId="5C6E731A" w14:textId="77777777" w:rsidR="00171AA8" w:rsidRPr="00731FE2" w:rsidRDefault="007935AB" w:rsidP="00E27F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A"/>
          <w:szCs w:val="24"/>
        </w:rPr>
      </w:pPr>
      <w:r w:rsidRPr="00731FE2">
        <w:rPr>
          <w:rFonts w:ascii="Times New Roman" w:eastAsia="Times New Roman" w:hAnsi="Times New Roman" w:cs="Times New Roman"/>
          <w:color w:val="00000A"/>
          <w:szCs w:val="24"/>
        </w:rPr>
        <w:t>Для сбора крупногабаритных отходов (КГО) на специально оборудованных контейнерных площадках устанавливаются бункера.</w:t>
      </w:r>
    </w:p>
    <w:p w14:paraId="14428F34" w14:textId="77777777" w:rsidR="00171AA8" w:rsidRPr="00731FE2" w:rsidRDefault="007935AB" w:rsidP="00E27F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A"/>
          <w:szCs w:val="24"/>
        </w:rPr>
      </w:pPr>
      <w:r w:rsidRPr="00731FE2">
        <w:rPr>
          <w:rFonts w:ascii="Times New Roman" w:eastAsia="Times New Roman" w:hAnsi="Times New Roman" w:cs="Times New Roman"/>
          <w:color w:val="00000A"/>
          <w:szCs w:val="24"/>
        </w:rPr>
        <w:lastRenderedPageBreak/>
        <w:t>В районах индивидуальной жилой застройки предлагается организовывать общие контейнерные площадки для группы домов. Здесь возможна установка контейнеров с большими радиусами охвата – до 200 метров и интервалами, обеспечивающими их заполнение, учитывая отсутствие пищевых отходов, не более чем за 5 суток.</w:t>
      </w:r>
    </w:p>
    <w:p w14:paraId="587C80CD" w14:textId="77777777" w:rsidR="00171AA8" w:rsidRPr="00731FE2" w:rsidRDefault="007935AB" w:rsidP="00E27F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A"/>
          <w:szCs w:val="24"/>
        </w:rPr>
      </w:pPr>
      <w:r w:rsidRPr="00731FE2">
        <w:rPr>
          <w:rFonts w:ascii="Times New Roman" w:eastAsia="Times New Roman" w:hAnsi="Times New Roman" w:cs="Times New Roman"/>
          <w:color w:val="00000A"/>
          <w:szCs w:val="24"/>
        </w:rPr>
        <w:t>Уже на первый этап реализации генерального плана вся территория городского округа, включая общественные здания, должна быть обеспечена контейнерными площадками, оборудованными в соответствии с нормативными требованиями.</w:t>
      </w:r>
    </w:p>
    <w:p w14:paraId="3B661A2E" w14:textId="77777777" w:rsidR="00171AA8" w:rsidRPr="00731FE2" w:rsidRDefault="007935AB" w:rsidP="00E27F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A"/>
          <w:szCs w:val="24"/>
        </w:rPr>
      </w:pPr>
      <w:r w:rsidRPr="00731FE2">
        <w:rPr>
          <w:rFonts w:ascii="Times New Roman" w:eastAsia="Times New Roman" w:hAnsi="Times New Roman" w:cs="Times New Roman"/>
          <w:color w:val="00000A"/>
          <w:szCs w:val="24"/>
        </w:rPr>
        <w:t>Вывоз КГО осуществляется бункеровозами по мере заполнения бункера, но не реже одного раза в неделю.</w:t>
      </w:r>
    </w:p>
    <w:p w14:paraId="57072B27" w14:textId="7144F243" w:rsidR="00171AA8" w:rsidRPr="00731FE2" w:rsidRDefault="007935AB" w:rsidP="00E27F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A"/>
          <w:szCs w:val="24"/>
        </w:rPr>
      </w:pPr>
      <w:r w:rsidRPr="00731FE2">
        <w:rPr>
          <w:rFonts w:ascii="Times New Roman" w:eastAsia="Times New Roman" w:hAnsi="Times New Roman" w:cs="Times New Roman"/>
          <w:color w:val="00000A"/>
          <w:szCs w:val="24"/>
        </w:rPr>
        <w:t>В соответствии с проектными решениями Территориальной схемы обращения с отходами в Ставропольском крае</w:t>
      </w:r>
      <w:r w:rsidR="00CC75B2" w:rsidRPr="00731FE2">
        <w:rPr>
          <w:rStyle w:val="afb"/>
          <w:rFonts w:ascii="Times New Roman" w:eastAsia="Times New Roman" w:hAnsi="Times New Roman" w:cs="Times New Roman"/>
          <w:color w:val="00000A"/>
          <w:szCs w:val="24"/>
          <w:vertAlign w:val="superscript"/>
        </w:rPr>
        <w:footnoteReference w:id="118"/>
      </w:r>
      <w:r w:rsidRPr="00731FE2">
        <w:rPr>
          <w:rFonts w:ascii="Times New Roman" w:eastAsia="Times New Roman" w:hAnsi="Times New Roman" w:cs="Times New Roman"/>
          <w:color w:val="00000A"/>
          <w:szCs w:val="24"/>
        </w:rPr>
        <w:t xml:space="preserve"> в городском округе городе-курорте Кисловодске будет действовать двухстадийная схема вывоза ТКО, которая выбрана с учетом экономических интересов всего региона. Собранные с контейнерных площадок мусоровозами отходы сначала будут транспортироваться на МПС, а оттуда на МЗЦ. </w:t>
      </w:r>
    </w:p>
    <w:p w14:paraId="490F6C35" w14:textId="77777777" w:rsidR="00171AA8" w:rsidRPr="00731FE2" w:rsidRDefault="007935AB" w:rsidP="00E27F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A"/>
          <w:szCs w:val="24"/>
        </w:rPr>
      </w:pPr>
      <w:r w:rsidRPr="00731FE2">
        <w:rPr>
          <w:rFonts w:ascii="Times New Roman" w:eastAsia="Times New Roman" w:hAnsi="Times New Roman" w:cs="Times New Roman"/>
          <w:color w:val="00000A"/>
          <w:szCs w:val="24"/>
        </w:rPr>
        <w:t>Внедрение двухэтапного сбора ТКО приведет к значительному снижению затрат.</w:t>
      </w:r>
    </w:p>
    <w:p w14:paraId="6FB6FC73" w14:textId="77777777" w:rsidR="00171AA8" w:rsidRPr="00731FE2" w:rsidRDefault="007935AB" w:rsidP="00E27F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A"/>
          <w:szCs w:val="24"/>
        </w:rPr>
      </w:pPr>
      <w:r w:rsidRPr="00731FE2">
        <w:rPr>
          <w:rFonts w:ascii="Times New Roman" w:eastAsia="Times New Roman" w:hAnsi="Times New Roman" w:cs="Times New Roman"/>
          <w:color w:val="00000A"/>
          <w:szCs w:val="24"/>
        </w:rPr>
        <w:t>Городской округ город-курорт Кисловодск попадает в зону, которая будет обслуживаться МЗЦ «Предгорный», расположенным в Предгорном муниципальном районе Ставропольского края, 9 км Боргустанского шоссе (пос. Санамер). В составе МЗЦ «Предгорный» – существующий полигон по захоронению отходов с линией сортировки и предприятием по переработке вторсырья ООО «АРГО».</w:t>
      </w:r>
    </w:p>
    <w:p w14:paraId="59FFC7C1" w14:textId="77777777" w:rsidR="00171AA8" w:rsidRPr="00731FE2" w:rsidRDefault="007935AB" w:rsidP="00E27F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A"/>
          <w:szCs w:val="24"/>
        </w:rPr>
      </w:pPr>
      <w:r w:rsidRPr="00731FE2">
        <w:rPr>
          <w:rFonts w:ascii="Times New Roman" w:eastAsia="Times New Roman" w:hAnsi="Times New Roman" w:cs="Times New Roman"/>
          <w:color w:val="00000A"/>
          <w:szCs w:val="24"/>
        </w:rPr>
        <w:t>На территории городского округа размещение МПС не предусматривается. Отходы городского округа город-курорт Кисловодск будут транспортироваться на МПС г. Пятигорск, и далее на МЗЦ «Предгорный».</w:t>
      </w:r>
    </w:p>
    <w:p w14:paraId="449F1A3E" w14:textId="77777777" w:rsidR="00171AA8" w:rsidRPr="00731FE2" w:rsidRDefault="007935AB" w:rsidP="00E27F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A"/>
          <w:szCs w:val="24"/>
        </w:rPr>
      </w:pPr>
      <w:r w:rsidRPr="00731FE2">
        <w:rPr>
          <w:rFonts w:ascii="Times New Roman" w:eastAsia="Times New Roman" w:hAnsi="Times New Roman" w:cs="Times New Roman"/>
          <w:color w:val="00000A"/>
          <w:szCs w:val="24"/>
        </w:rPr>
        <w:t xml:space="preserve">Баланс количественных характеристик образования, обработки, утилизации, обезвреживания, размещения отходов производства и потребления отходов, в том числе твердых коммунальных отходов должен быть направлен на уменьшение количества захоронения, увеличение количества утилизации, сведение к минимуму обезвреживания, а также внедрение селективного сбора ТКО с целью уменьшения площадей земель, используемых для захоронения. </w:t>
      </w:r>
    </w:p>
    <w:p w14:paraId="26BEA247" w14:textId="77777777" w:rsidR="00171AA8" w:rsidRPr="00731FE2" w:rsidRDefault="007935AB" w:rsidP="00E27F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A"/>
          <w:szCs w:val="24"/>
        </w:rPr>
      </w:pPr>
      <w:r w:rsidRPr="00731FE2">
        <w:rPr>
          <w:rFonts w:ascii="Times New Roman" w:eastAsia="Times New Roman" w:hAnsi="Times New Roman" w:cs="Times New Roman"/>
          <w:color w:val="00000A"/>
          <w:szCs w:val="24"/>
        </w:rPr>
        <w:t>Существующая и рекомендуемая к применению планово-регулярная система сбора и удаления ТКО позволит поддерживать надлежащий уровень санитарной очистки территорий, обеспечивая комфорт проживания и эпидемиологическую безопасность жителям при выполнении следующих рекомендаций:</w:t>
      </w:r>
    </w:p>
    <w:p w14:paraId="7A644AE4" w14:textId="77777777" w:rsidR="00171AA8" w:rsidRPr="00731FE2" w:rsidRDefault="007935AB" w:rsidP="007832E7">
      <w:pPr>
        <w:pStyle w:val="a3"/>
        <w:numPr>
          <w:ilvl w:val="0"/>
          <w:numId w:val="83"/>
        </w:numPr>
        <w:pBdr>
          <w:top w:val="none" w:sz="4" w:space="0" w:color="000000"/>
          <w:left w:val="none" w:sz="4" w:space="0" w:color="000000"/>
          <w:bottom w:val="none" w:sz="4" w:space="0" w:color="000000"/>
          <w:right w:val="none" w:sz="4" w:space="0" w:color="000000"/>
        </w:pBdr>
        <w:tabs>
          <w:tab w:val="left" w:pos="992"/>
        </w:tabs>
        <w:ind w:left="0" w:firstLine="709"/>
        <w:rPr>
          <w:rFonts w:ascii="Times New Roman" w:eastAsia="Times New Roman" w:hAnsi="Times New Roman" w:cs="Times New Roman"/>
          <w:color w:val="00000A"/>
          <w:szCs w:val="24"/>
        </w:rPr>
      </w:pPr>
      <w:r w:rsidRPr="00731FE2">
        <w:rPr>
          <w:rFonts w:ascii="Times New Roman" w:eastAsia="Times New Roman" w:hAnsi="Times New Roman" w:cs="Times New Roman"/>
          <w:color w:val="00000A"/>
          <w:szCs w:val="24"/>
        </w:rPr>
        <w:t xml:space="preserve">своевременно корректировать норматив накопления ТКО; </w:t>
      </w:r>
    </w:p>
    <w:p w14:paraId="749A0982" w14:textId="77777777" w:rsidR="00171AA8" w:rsidRPr="00731FE2" w:rsidRDefault="007935AB" w:rsidP="007832E7">
      <w:pPr>
        <w:pStyle w:val="a3"/>
        <w:numPr>
          <w:ilvl w:val="0"/>
          <w:numId w:val="83"/>
        </w:numPr>
        <w:pBdr>
          <w:top w:val="none" w:sz="4" w:space="0" w:color="000000"/>
          <w:left w:val="none" w:sz="4" w:space="0" w:color="000000"/>
          <w:bottom w:val="none" w:sz="4" w:space="0" w:color="000000"/>
          <w:right w:val="none" w:sz="4" w:space="0" w:color="000000"/>
        </w:pBdr>
        <w:tabs>
          <w:tab w:val="left" w:pos="992"/>
        </w:tabs>
        <w:ind w:left="0" w:firstLine="709"/>
        <w:rPr>
          <w:rFonts w:ascii="Times New Roman" w:eastAsia="Times New Roman" w:hAnsi="Times New Roman" w:cs="Times New Roman"/>
          <w:color w:val="00000A"/>
          <w:szCs w:val="24"/>
        </w:rPr>
      </w:pPr>
      <w:r w:rsidRPr="00731FE2">
        <w:rPr>
          <w:rFonts w:ascii="Times New Roman" w:eastAsia="Times New Roman" w:hAnsi="Times New Roman" w:cs="Times New Roman"/>
          <w:color w:val="00000A"/>
          <w:szCs w:val="24"/>
        </w:rPr>
        <w:t>в связи с тенденцией роста норматива накопления, увеличивать количество контейнеров для сбора ТКО (на данный момент, в соответствии с нормативными документами, количество контейнеров для несортированных отходов не должно превышать 5 штук на одной контейнерной площадке), либо увеличивать объем контейнеров, устанавливая контейнеры большего объема, например, пластиковые евроконтейнеры объемом 1100 л;</w:t>
      </w:r>
    </w:p>
    <w:p w14:paraId="546BA3A8" w14:textId="77777777" w:rsidR="00171AA8" w:rsidRPr="00731FE2" w:rsidRDefault="007935AB" w:rsidP="007832E7">
      <w:pPr>
        <w:pStyle w:val="a3"/>
        <w:numPr>
          <w:ilvl w:val="0"/>
          <w:numId w:val="83"/>
        </w:numPr>
        <w:pBdr>
          <w:top w:val="none" w:sz="4" w:space="0" w:color="000000"/>
          <w:left w:val="none" w:sz="4" w:space="0" w:color="000000"/>
          <w:bottom w:val="none" w:sz="4" w:space="0" w:color="000000"/>
          <w:right w:val="none" w:sz="4" w:space="0" w:color="000000"/>
        </w:pBdr>
        <w:tabs>
          <w:tab w:val="left" w:pos="992"/>
        </w:tabs>
        <w:ind w:left="0" w:firstLine="709"/>
        <w:rPr>
          <w:rFonts w:ascii="Times New Roman" w:eastAsia="Times New Roman" w:hAnsi="Times New Roman" w:cs="Times New Roman"/>
          <w:color w:val="00000A"/>
          <w:szCs w:val="24"/>
        </w:rPr>
      </w:pPr>
      <w:r w:rsidRPr="00731FE2">
        <w:rPr>
          <w:rFonts w:ascii="Times New Roman" w:eastAsia="Times New Roman" w:hAnsi="Times New Roman" w:cs="Times New Roman"/>
          <w:color w:val="00000A"/>
          <w:szCs w:val="24"/>
        </w:rPr>
        <w:lastRenderedPageBreak/>
        <w:t>устанавливать модули для селективного сбора вторичного сырья. Наиболее целесообразно осуществлять разделение (селекцию) отходов на этапе сбора и накопления ТКО.</w:t>
      </w:r>
    </w:p>
    <w:p w14:paraId="40723F5E" w14:textId="466D00CC" w:rsidR="00171AA8" w:rsidRPr="00731FE2" w:rsidRDefault="00550557" w:rsidP="00E27FAB">
      <w:pPr>
        <w:pBdr>
          <w:top w:val="none" w:sz="4" w:space="0" w:color="000000"/>
          <w:left w:val="none" w:sz="4" w:space="0" w:color="000000"/>
          <w:bottom w:val="none" w:sz="4" w:space="0" w:color="000000"/>
          <w:right w:val="none" w:sz="4" w:space="0" w:color="000000"/>
        </w:pBdr>
        <w:tabs>
          <w:tab w:val="left" w:pos="992"/>
        </w:tabs>
        <w:rPr>
          <w:rFonts w:ascii="Times New Roman" w:eastAsia="Times New Roman" w:hAnsi="Times New Roman" w:cs="Times New Roman"/>
          <w:color w:val="00000A"/>
          <w:szCs w:val="24"/>
        </w:rPr>
      </w:pPr>
      <w:r w:rsidRPr="00731FE2">
        <w:rPr>
          <w:rFonts w:ascii="Times New Roman" w:eastAsia="Times New Roman" w:hAnsi="Times New Roman" w:cs="Times New Roman"/>
          <w:color w:val="00000A"/>
          <w:szCs w:val="24"/>
        </w:rPr>
        <w:t>В</w:t>
      </w:r>
      <w:r w:rsidR="007935AB" w:rsidRPr="00731FE2">
        <w:rPr>
          <w:rFonts w:ascii="Times New Roman" w:eastAsia="Times New Roman" w:hAnsi="Times New Roman" w:cs="Times New Roman"/>
          <w:color w:val="00000A"/>
          <w:szCs w:val="24"/>
        </w:rPr>
        <w:t xml:space="preserve"> Ставропольском крае установка модулей для селективного сбора вторичного сырья на территории природной рекреационной зоны «Кавказские Минеральные воды» предусматривается в первую очередь, с дальнейшим распространением опыта на территорию всего Ставропольского края. </w:t>
      </w:r>
    </w:p>
    <w:p w14:paraId="79F5E318" w14:textId="77777777" w:rsidR="00171AA8" w:rsidRPr="00731FE2" w:rsidRDefault="007935AB" w:rsidP="00E27FAB">
      <w:pPr>
        <w:pBdr>
          <w:top w:val="none" w:sz="4" w:space="0" w:color="000000"/>
          <w:left w:val="none" w:sz="4" w:space="0" w:color="000000"/>
          <w:bottom w:val="none" w:sz="4" w:space="0" w:color="000000"/>
          <w:right w:val="none" w:sz="4" w:space="0" w:color="000000"/>
        </w:pBdr>
        <w:tabs>
          <w:tab w:val="left" w:pos="992"/>
        </w:tabs>
        <w:rPr>
          <w:rFonts w:ascii="Times New Roman" w:eastAsia="Times New Roman" w:hAnsi="Times New Roman" w:cs="Times New Roman"/>
          <w:color w:val="00000A"/>
          <w:szCs w:val="24"/>
        </w:rPr>
      </w:pPr>
      <w:r w:rsidRPr="00731FE2">
        <w:rPr>
          <w:rFonts w:ascii="Times New Roman" w:eastAsia="Times New Roman" w:hAnsi="Times New Roman" w:cs="Times New Roman"/>
          <w:color w:val="00000A"/>
          <w:szCs w:val="24"/>
        </w:rPr>
        <w:t>По расчету количество модулей для селективного сбора вторичного сырья в городском округе городе-курорте Кисловодске составит 133 ед., из них 4 ед. разместится на сельских территориях;</w:t>
      </w:r>
    </w:p>
    <w:p w14:paraId="691609C6" w14:textId="77777777" w:rsidR="00171AA8" w:rsidRPr="00731FE2" w:rsidRDefault="007935AB" w:rsidP="007832E7">
      <w:pPr>
        <w:pStyle w:val="a3"/>
        <w:numPr>
          <w:ilvl w:val="0"/>
          <w:numId w:val="83"/>
        </w:numPr>
        <w:pBdr>
          <w:top w:val="none" w:sz="4" w:space="0" w:color="000000"/>
          <w:left w:val="none" w:sz="4" w:space="0" w:color="000000"/>
          <w:bottom w:val="none" w:sz="4" w:space="0" w:color="000000"/>
          <w:right w:val="none" w:sz="4" w:space="0" w:color="000000"/>
        </w:pBdr>
        <w:tabs>
          <w:tab w:val="left" w:pos="992"/>
        </w:tabs>
        <w:ind w:left="0" w:firstLine="709"/>
        <w:rPr>
          <w:rFonts w:ascii="Times New Roman" w:eastAsia="Times New Roman" w:hAnsi="Times New Roman" w:cs="Times New Roman"/>
          <w:color w:val="00000A"/>
          <w:szCs w:val="24"/>
        </w:rPr>
      </w:pPr>
      <w:r w:rsidRPr="00731FE2">
        <w:rPr>
          <w:rFonts w:ascii="Times New Roman" w:eastAsia="Times New Roman" w:hAnsi="Times New Roman" w:cs="Times New Roman"/>
          <w:color w:val="00000A"/>
          <w:szCs w:val="24"/>
        </w:rPr>
        <w:t>организовывать места для сбора крупногабаритных отходов на имеющихся контейнерных площадках и производить их вывоз не реже 1 раза в неделю;</w:t>
      </w:r>
    </w:p>
    <w:p w14:paraId="0D81ED17" w14:textId="77777777" w:rsidR="00171AA8" w:rsidRPr="00731FE2" w:rsidRDefault="007935AB" w:rsidP="007832E7">
      <w:pPr>
        <w:pStyle w:val="a3"/>
        <w:numPr>
          <w:ilvl w:val="0"/>
          <w:numId w:val="83"/>
        </w:numPr>
        <w:pBdr>
          <w:top w:val="none" w:sz="4" w:space="0" w:color="000000"/>
          <w:left w:val="none" w:sz="4" w:space="0" w:color="000000"/>
          <w:bottom w:val="none" w:sz="4" w:space="0" w:color="000000"/>
          <w:right w:val="none" w:sz="4" w:space="0" w:color="000000"/>
        </w:pBdr>
        <w:tabs>
          <w:tab w:val="left" w:pos="992"/>
        </w:tabs>
        <w:ind w:left="0" w:firstLine="709"/>
        <w:rPr>
          <w:rFonts w:ascii="Times New Roman" w:eastAsia="Times New Roman" w:hAnsi="Times New Roman" w:cs="Times New Roman"/>
          <w:color w:val="00000A"/>
          <w:szCs w:val="24"/>
        </w:rPr>
      </w:pPr>
      <w:r w:rsidRPr="00731FE2">
        <w:rPr>
          <w:rFonts w:ascii="Times New Roman" w:eastAsia="Times New Roman" w:hAnsi="Times New Roman" w:cs="Times New Roman"/>
          <w:color w:val="00000A"/>
          <w:szCs w:val="24"/>
        </w:rPr>
        <w:t>для вывоза расчётного объёма отходов и обеспечения зимней и летней уборки улиц приобретать достаточное количество спецтранспорта. Мощность автотранспортных предприятий определяется органами коммунального хозяйства с учетом фактического развития жилищного фонда, исправности автотранспорта и других местных условий. Расчет необходимого количества специализированной техники проводится на стадии разработки специализированной схемы санитарной очистки.</w:t>
      </w:r>
    </w:p>
    <w:p w14:paraId="4C713E02" w14:textId="77777777" w:rsidR="00171AA8" w:rsidRPr="00731FE2" w:rsidRDefault="007935AB" w:rsidP="00E27FAB">
      <w:pPr>
        <w:pStyle w:val="33"/>
        <w:rPr>
          <w:rFonts w:ascii="Times New Roman" w:hAnsi="Times New Roman" w:cs="Times New Roman"/>
        </w:rPr>
      </w:pPr>
      <w:bookmarkStart w:id="94" w:name="_Toc177392844"/>
      <w:r w:rsidRPr="00731FE2">
        <w:rPr>
          <w:rFonts w:ascii="Times New Roman" w:hAnsi="Times New Roman" w:cs="Times New Roman"/>
        </w:rPr>
        <w:t>3.9.7 Информационно-телекоммуникационная инфраструктура</w:t>
      </w:r>
      <w:bookmarkEnd w:id="94"/>
    </w:p>
    <w:p w14:paraId="2F64A47A" w14:textId="77777777" w:rsidR="00171AA8" w:rsidRPr="00731FE2" w:rsidRDefault="007935AB" w:rsidP="00E27FAB">
      <w:pPr>
        <w:pBdr>
          <w:top w:val="none" w:sz="4" w:space="0" w:color="000000"/>
          <w:left w:val="none" w:sz="4" w:space="0" w:color="000000"/>
          <w:bottom w:val="none" w:sz="4" w:space="0" w:color="000000"/>
          <w:right w:val="none" w:sz="4" w:space="0" w:color="000000"/>
        </w:pBdr>
        <w:tabs>
          <w:tab w:val="left" w:pos="992"/>
        </w:tabs>
        <w:rPr>
          <w:rFonts w:ascii="Times New Roman" w:eastAsia="Times New Roman" w:hAnsi="Times New Roman" w:cs="Times New Roman"/>
          <w:color w:val="00000A"/>
          <w:szCs w:val="24"/>
        </w:rPr>
      </w:pPr>
      <w:r w:rsidRPr="00731FE2">
        <w:rPr>
          <w:rFonts w:ascii="Times New Roman" w:eastAsia="Times New Roman" w:hAnsi="Times New Roman" w:cs="Times New Roman"/>
          <w:color w:val="00000A"/>
          <w:szCs w:val="24"/>
        </w:rPr>
        <w:t>В соответствии с распоряжением Правительства РФ от 29.12.2016 № 2899-р «Об утверждении перечня мероприятий по комплексному развитию города-курорта Кисловодска до 2030 года» предусматривается совершенствование пункта управления, информационно-телекоммуникационной инфраструктуры, штатного состава, материально-технического оснащения единой дежурно-диспетчерской службы города-курорта Кисловодска – органа повседневного управления муниципального звена единой системы предупреждения и ликвидации чрезвычайных ситуаций.</w:t>
      </w:r>
    </w:p>
    <w:p w14:paraId="43069651" w14:textId="77777777" w:rsidR="00171AA8" w:rsidRPr="00731FE2" w:rsidRDefault="007935AB" w:rsidP="00E27FAB">
      <w:pPr>
        <w:pBdr>
          <w:top w:val="none" w:sz="4" w:space="0" w:color="000000"/>
          <w:left w:val="none" w:sz="4" w:space="0" w:color="000000"/>
          <w:bottom w:val="none" w:sz="4" w:space="0" w:color="000000"/>
          <w:right w:val="none" w:sz="4" w:space="0" w:color="000000"/>
        </w:pBdr>
        <w:tabs>
          <w:tab w:val="left" w:pos="992"/>
        </w:tabs>
        <w:rPr>
          <w:rFonts w:ascii="Times New Roman" w:eastAsia="Times New Roman" w:hAnsi="Times New Roman" w:cs="Times New Roman"/>
          <w:color w:val="00000A"/>
          <w:szCs w:val="24"/>
        </w:rPr>
      </w:pPr>
      <w:r w:rsidRPr="00731FE2">
        <w:rPr>
          <w:rFonts w:ascii="Times New Roman" w:eastAsia="Times New Roman" w:hAnsi="Times New Roman" w:cs="Times New Roman"/>
          <w:color w:val="00000A"/>
          <w:szCs w:val="24"/>
        </w:rPr>
        <w:t>Кроме этого на территории города-курорта Кисловодска ПАО «Мегафон» предусмотрено строительство 8 базовых станций для оптимизации обеспечения города-курорта услугами мобильной связи в форматах 2G, 3G, 4G (таблица).</w:t>
      </w:r>
    </w:p>
    <w:p w14:paraId="6EC16B87" w14:textId="77777777" w:rsidR="00171AA8" w:rsidRPr="00731FE2" w:rsidRDefault="00171AA8" w:rsidP="00E27FAB">
      <w:pPr>
        <w:pBdr>
          <w:top w:val="none" w:sz="4" w:space="0" w:color="000000"/>
          <w:left w:val="none" w:sz="4" w:space="0" w:color="000000"/>
          <w:bottom w:val="none" w:sz="4" w:space="0" w:color="000000"/>
          <w:right w:val="none" w:sz="4" w:space="0" w:color="000000"/>
        </w:pBdr>
        <w:tabs>
          <w:tab w:val="left" w:pos="992"/>
        </w:tabs>
        <w:rPr>
          <w:rFonts w:ascii="Times New Roman" w:eastAsia="Times New Roman" w:hAnsi="Times New Roman" w:cs="Times New Roman"/>
          <w:color w:val="00000A"/>
          <w:szCs w:val="24"/>
        </w:rPr>
      </w:pPr>
    </w:p>
    <w:p w14:paraId="0D470C89" w14:textId="77777777" w:rsidR="00171AA8" w:rsidRPr="00731FE2" w:rsidRDefault="007935AB">
      <w:pPr>
        <w:pStyle w:val="af3"/>
        <w:rPr>
          <w:sz w:val="24"/>
          <w:szCs w:val="24"/>
        </w:rPr>
      </w:pPr>
      <w:r w:rsidRPr="00731FE2">
        <w:rPr>
          <w:sz w:val="24"/>
          <w:szCs w:val="24"/>
        </w:rPr>
        <w:lastRenderedPageBreak/>
        <w:t xml:space="preserve">Таблица </w:t>
      </w:r>
      <w:r w:rsidR="00D97880" w:rsidRPr="00731FE2">
        <w:rPr>
          <w:noProof/>
          <w:sz w:val="24"/>
          <w:szCs w:val="24"/>
        </w:rPr>
        <w:fldChar w:fldCharType="begin"/>
      </w:r>
      <w:r w:rsidR="00D97880" w:rsidRPr="00731FE2">
        <w:rPr>
          <w:noProof/>
          <w:sz w:val="24"/>
          <w:szCs w:val="24"/>
        </w:rPr>
        <w:instrText xml:space="preserve"> SEQ Таблица \* Arabic </w:instrText>
      </w:r>
      <w:r w:rsidR="00D97880" w:rsidRPr="00731FE2">
        <w:rPr>
          <w:noProof/>
          <w:sz w:val="24"/>
          <w:szCs w:val="24"/>
        </w:rPr>
        <w:fldChar w:fldCharType="separate"/>
      </w:r>
      <w:r w:rsidR="00C50915" w:rsidRPr="00731FE2">
        <w:rPr>
          <w:noProof/>
          <w:sz w:val="24"/>
          <w:szCs w:val="24"/>
        </w:rPr>
        <w:t>93</w:t>
      </w:r>
      <w:r w:rsidR="00D97880" w:rsidRPr="00731FE2">
        <w:rPr>
          <w:noProof/>
          <w:sz w:val="24"/>
          <w:szCs w:val="24"/>
        </w:rPr>
        <w:fldChar w:fldCharType="end"/>
      </w:r>
      <w:r w:rsidRPr="00731FE2">
        <w:rPr>
          <w:sz w:val="24"/>
          <w:szCs w:val="24"/>
        </w:rPr>
        <w:t xml:space="preserve"> – Сведения о проектируемых базовых станциях ПАО «Мегафон» на территории городского округа города-курорта Кисловодска</w:t>
      </w:r>
    </w:p>
    <w:tbl>
      <w:tblPr>
        <w:tblStyle w:val="afe"/>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ayout w:type="fixed"/>
        <w:tblLook w:val="04A0" w:firstRow="1" w:lastRow="0" w:firstColumn="1" w:lastColumn="0" w:noHBand="0" w:noVBand="1"/>
      </w:tblPr>
      <w:tblGrid>
        <w:gridCol w:w="567"/>
        <w:gridCol w:w="3543"/>
        <w:gridCol w:w="1417"/>
        <w:gridCol w:w="3827"/>
      </w:tblGrid>
      <w:tr w:rsidR="00171AA8" w:rsidRPr="00731FE2" w14:paraId="50BA853B" w14:textId="77777777">
        <w:tc>
          <w:tcPr>
            <w:tcW w:w="5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9B8AC39"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pPr>
            <w:r w:rsidRPr="00731FE2">
              <w:t>№ п/п</w:t>
            </w:r>
          </w:p>
        </w:tc>
        <w:tc>
          <w:tcPr>
            <w:tcW w:w="35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CB3F959"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pPr>
            <w:r w:rsidRPr="00731FE2">
              <w:t>Адрес планируемой базовой станции</w:t>
            </w:r>
          </w:p>
        </w:tc>
        <w:tc>
          <w:tcPr>
            <w:tcW w:w="14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F71A1DF"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pPr>
            <w:r w:rsidRPr="00731FE2">
              <w:t>Тип станции</w:t>
            </w:r>
          </w:p>
        </w:tc>
        <w:tc>
          <w:tcPr>
            <w:tcW w:w="3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55BE059"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pPr>
            <w:r w:rsidRPr="00731FE2">
              <w:t>Техническое решение</w:t>
            </w:r>
          </w:p>
        </w:tc>
      </w:tr>
      <w:tr w:rsidR="00171AA8" w:rsidRPr="00731FE2" w14:paraId="7B8F5523" w14:textId="77777777">
        <w:tc>
          <w:tcPr>
            <w:tcW w:w="5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E960C8A" w14:textId="77777777" w:rsidR="00171AA8" w:rsidRPr="00731FE2" w:rsidRDefault="007935AB">
            <w:pPr>
              <w:pStyle w:val="af3"/>
              <w:pBdr>
                <w:top w:val="none" w:sz="4" w:space="0" w:color="000000"/>
                <w:left w:val="none" w:sz="4" w:space="0" w:color="000000"/>
                <w:bottom w:val="none" w:sz="4" w:space="0" w:color="000000"/>
                <w:right w:val="none" w:sz="4" w:space="0" w:color="000000"/>
              </w:pBdr>
              <w:rPr>
                <w:b w:val="0"/>
                <w:bCs w:val="0"/>
              </w:rPr>
            </w:pPr>
            <w:r w:rsidRPr="00731FE2">
              <w:rPr>
                <w:b w:val="0"/>
                <w:bCs w:val="0"/>
              </w:rPr>
              <w:t>1.</w:t>
            </w:r>
          </w:p>
        </w:tc>
        <w:tc>
          <w:tcPr>
            <w:tcW w:w="35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D6BD761"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left"/>
              <w:rPr>
                <w:b w:val="0"/>
                <w:bCs w:val="0"/>
              </w:rPr>
            </w:pPr>
            <w:r w:rsidRPr="00731FE2">
              <w:rPr>
                <w:b w:val="0"/>
                <w:bCs w:val="0"/>
              </w:rPr>
              <w:t>Город-курорт Кисловодск, ул. Октябрьская, в районе дома №13</w:t>
            </w:r>
          </w:p>
        </w:tc>
        <w:tc>
          <w:tcPr>
            <w:tcW w:w="14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D32AEDB"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b w:val="0"/>
                <w:bCs w:val="0"/>
              </w:rPr>
            </w:pPr>
            <w:r w:rsidRPr="00731FE2">
              <w:rPr>
                <w:b w:val="0"/>
                <w:bCs w:val="0"/>
              </w:rPr>
              <w:t>2G, 3G, 4G</w:t>
            </w:r>
          </w:p>
        </w:tc>
        <w:tc>
          <w:tcPr>
            <w:tcW w:w="3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C6AE2E6"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b w:val="0"/>
                <w:bCs w:val="0"/>
              </w:rPr>
            </w:pPr>
            <w:r w:rsidRPr="00731FE2">
              <w:rPr>
                <w:b w:val="0"/>
                <w:bCs w:val="0"/>
              </w:rPr>
              <w:t>Железобетонная опора, у основания стойка питания уличного исполнения</w:t>
            </w:r>
          </w:p>
        </w:tc>
      </w:tr>
      <w:tr w:rsidR="00171AA8" w:rsidRPr="00731FE2" w14:paraId="3C4F3E80" w14:textId="77777777">
        <w:tc>
          <w:tcPr>
            <w:tcW w:w="5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4C219C6" w14:textId="77777777" w:rsidR="00171AA8" w:rsidRPr="00731FE2" w:rsidRDefault="007935AB">
            <w:pPr>
              <w:pStyle w:val="af3"/>
              <w:pBdr>
                <w:top w:val="none" w:sz="4" w:space="0" w:color="000000"/>
                <w:left w:val="none" w:sz="4" w:space="0" w:color="000000"/>
                <w:bottom w:val="none" w:sz="4" w:space="0" w:color="000000"/>
                <w:right w:val="none" w:sz="4" w:space="0" w:color="000000"/>
              </w:pBdr>
              <w:rPr>
                <w:b w:val="0"/>
                <w:bCs w:val="0"/>
              </w:rPr>
            </w:pPr>
            <w:r w:rsidRPr="00731FE2">
              <w:rPr>
                <w:b w:val="0"/>
                <w:bCs w:val="0"/>
              </w:rPr>
              <w:t>2.</w:t>
            </w:r>
          </w:p>
        </w:tc>
        <w:tc>
          <w:tcPr>
            <w:tcW w:w="35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56396B8"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left"/>
              <w:rPr>
                <w:b w:val="0"/>
                <w:bCs w:val="0"/>
              </w:rPr>
            </w:pPr>
            <w:r w:rsidRPr="00731FE2">
              <w:rPr>
                <w:b w:val="0"/>
                <w:bCs w:val="0"/>
              </w:rPr>
              <w:t>Город-курорт Кисловодск, в районе пересечения пр. Дзержинского и пр. Ленина</w:t>
            </w:r>
          </w:p>
        </w:tc>
        <w:tc>
          <w:tcPr>
            <w:tcW w:w="14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89A1039"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b w:val="0"/>
                <w:bCs w:val="0"/>
              </w:rPr>
            </w:pPr>
            <w:r w:rsidRPr="00731FE2">
              <w:rPr>
                <w:b w:val="0"/>
                <w:bCs w:val="0"/>
              </w:rPr>
              <w:t>2G, 3G, 4G</w:t>
            </w:r>
          </w:p>
        </w:tc>
        <w:tc>
          <w:tcPr>
            <w:tcW w:w="3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96D2C75"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b w:val="0"/>
                <w:bCs w:val="0"/>
              </w:rPr>
            </w:pPr>
            <w:r w:rsidRPr="00731FE2">
              <w:rPr>
                <w:b w:val="0"/>
                <w:bCs w:val="0"/>
              </w:rPr>
              <w:t>Опора двойного назначения (осветительная опора), у основания стойка питания</w:t>
            </w:r>
          </w:p>
        </w:tc>
      </w:tr>
      <w:tr w:rsidR="00171AA8" w:rsidRPr="00731FE2" w14:paraId="4229D963" w14:textId="77777777">
        <w:tc>
          <w:tcPr>
            <w:tcW w:w="5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71D7E9B" w14:textId="77777777" w:rsidR="00171AA8" w:rsidRPr="00731FE2" w:rsidRDefault="007935AB">
            <w:pPr>
              <w:pStyle w:val="af3"/>
              <w:pBdr>
                <w:top w:val="none" w:sz="4" w:space="0" w:color="000000"/>
                <w:left w:val="none" w:sz="4" w:space="0" w:color="000000"/>
                <w:bottom w:val="none" w:sz="4" w:space="0" w:color="000000"/>
                <w:right w:val="none" w:sz="4" w:space="0" w:color="000000"/>
              </w:pBdr>
              <w:rPr>
                <w:b w:val="0"/>
                <w:bCs w:val="0"/>
              </w:rPr>
            </w:pPr>
            <w:r w:rsidRPr="00731FE2">
              <w:rPr>
                <w:b w:val="0"/>
                <w:bCs w:val="0"/>
              </w:rPr>
              <w:t>3.</w:t>
            </w:r>
          </w:p>
        </w:tc>
        <w:tc>
          <w:tcPr>
            <w:tcW w:w="35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18ECC6F"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left"/>
              <w:rPr>
                <w:b w:val="0"/>
                <w:bCs w:val="0"/>
              </w:rPr>
            </w:pPr>
            <w:r w:rsidRPr="00731FE2">
              <w:rPr>
                <w:b w:val="0"/>
                <w:bCs w:val="0"/>
              </w:rPr>
              <w:t>Город-курорт Кисловодск, ул. 40 лет Октября, пустырь за домом №26</w:t>
            </w:r>
          </w:p>
        </w:tc>
        <w:tc>
          <w:tcPr>
            <w:tcW w:w="14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E45AD24"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b w:val="0"/>
                <w:bCs w:val="0"/>
              </w:rPr>
            </w:pPr>
            <w:r w:rsidRPr="00731FE2">
              <w:rPr>
                <w:b w:val="0"/>
                <w:bCs w:val="0"/>
              </w:rPr>
              <w:t>2G, 3G, 4G</w:t>
            </w:r>
          </w:p>
        </w:tc>
        <w:tc>
          <w:tcPr>
            <w:tcW w:w="3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21030B9"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b w:val="0"/>
                <w:bCs w:val="0"/>
              </w:rPr>
            </w:pPr>
            <w:r w:rsidRPr="00731FE2">
              <w:rPr>
                <w:b w:val="0"/>
                <w:bCs w:val="0"/>
              </w:rPr>
              <w:t>Железобетонная опора, у основания стойка питания уличного исполнения</w:t>
            </w:r>
          </w:p>
        </w:tc>
      </w:tr>
      <w:tr w:rsidR="00171AA8" w:rsidRPr="00731FE2" w14:paraId="4D107562" w14:textId="77777777">
        <w:tc>
          <w:tcPr>
            <w:tcW w:w="5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A857CF0" w14:textId="77777777" w:rsidR="00171AA8" w:rsidRPr="00731FE2" w:rsidRDefault="007935AB">
            <w:pPr>
              <w:pStyle w:val="af3"/>
              <w:pBdr>
                <w:top w:val="none" w:sz="4" w:space="0" w:color="000000"/>
                <w:left w:val="none" w:sz="4" w:space="0" w:color="000000"/>
                <w:bottom w:val="none" w:sz="4" w:space="0" w:color="000000"/>
                <w:right w:val="none" w:sz="4" w:space="0" w:color="000000"/>
              </w:pBdr>
              <w:rPr>
                <w:b w:val="0"/>
                <w:bCs w:val="0"/>
              </w:rPr>
            </w:pPr>
            <w:r w:rsidRPr="00731FE2">
              <w:rPr>
                <w:b w:val="0"/>
                <w:bCs w:val="0"/>
              </w:rPr>
              <w:t>4.</w:t>
            </w:r>
          </w:p>
        </w:tc>
        <w:tc>
          <w:tcPr>
            <w:tcW w:w="35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E16E917"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left"/>
              <w:rPr>
                <w:b w:val="0"/>
                <w:bCs w:val="0"/>
              </w:rPr>
            </w:pPr>
            <w:r w:rsidRPr="00731FE2">
              <w:rPr>
                <w:b w:val="0"/>
                <w:bCs w:val="0"/>
              </w:rPr>
              <w:t>Город-курорт Кисловодск, ул. Кутузова, в районе дома №24</w:t>
            </w:r>
          </w:p>
        </w:tc>
        <w:tc>
          <w:tcPr>
            <w:tcW w:w="14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FF8F264"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b w:val="0"/>
                <w:bCs w:val="0"/>
              </w:rPr>
            </w:pPr>
            <w:r w:rsidRPr="00731FE2">
              <w:rPr>
                <w:b w:val="0"/>
                <w:bCs w:val="0"/>
              </w:rPr>
              <w:t>2G, 3G, 4G</w:t>
            </w:r>
          </w:p>
        </w:tc>
        <w:tc>
          <w:tcPr>
            <w:tcW w:w="3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C77DAC4"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b w:val="0"/>
                <w:bCs w:val="0"/>
              </w:rPr>
            </w:pPr>
            <w:r w:rsidRPr="00731FE2">
              <w:rPr>
                <w:b w:val="0"/>
                <w:bCs w:val="0"/>
              </w:rPr>
              <w:t>Опора двойного назначения (осветительная опора), у основания стойка питания</w:t>
            </w:r>
          </w:p>
        </w:tc>
      </w:tr>
      <w:tr w:rsidR="00171AA8" w:rsidRPr="00731FE2" w14:paraId="5E68EA84" w14:textId="77777777">
        <w:tc>
          <w:tcPr>
            <w:tcW w:w="5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B7404E6" w14:textId="77777777" w:rsidR="00171AA8" w:rsidRPr="00731FE2" w:rsidRDefault="007935AB">
            <w:pPr>
              <w:pStyle w:val="af3"/>
              <w:pBdr>
                <w:top w:val="none" w:sz="4" w:space="0" w:color="000000"/>
                <w:left w:val="none" w:sz="4" w:space="0" w:color="000000"/>
                <w:bottom w:val="none" w:sz="4" w:space="0" w:color="000000"/>
                <w:right w:val="none" w:sz="4" w:space="0" w:color="000000"/>
              </w:pBdr>
              <w:rPr>
                <w:b w:val="0"/>
                <w:bCs w:val="0"/>
              </w:rPr>
            </w:pPr>
            <w:r w:rsidRPr="00731FE2">
              <w:rPr>
                <w:b w:val="0"/>
                <w:bCs w:val="0"/>
              </w:rPr>
              <w:t>5.</w:t>
            </w:r>
          </w:p>
        </w:tc>
        <w:tc>
          <w:tcPr>
            <w:tcW w:w="35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CECAC4A"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left"/>
              <w:rPr>
                <w:b w:val="0"/>
                <w:bCs w:val="0"/>
              </w:rPr>
            </w:pPr>
            <w:r w:rsidRPr="00731FE2">
              <w:rPr>
                <w:b w:val="0"/>
                <w:bCs w:val="0"/>
              </w:rPr>
              <w:t>Город-курорт Кисловодск, ул. А. Губина, в районе дома №9</w:t>
            </w:r>
          </w:p>
        </w:tc>
        <w:tc>
          <w:tcPr>
            <w:tcW w:w="14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E9A90B1"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b w:val="0"/>
                <w:bCs w:val="0"/>
              </w:rPr>
            </w:pPr>
            <w:r w:rsidRPr="00731FE2">
              <w:rPr>
                <w:b w:val="0"/>
                <w:bCs w:val="0"/>
              </w:rPr>
              <w:t>3G, 4G</w:t>
            </w:r>
          </w:p>
        </w:tc>
        <w:tc>
          <w:tcPr>
            <w:tcW w:w="3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AAD88E1"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b w:val="0"/>
                <w:bCs w:val="0"/>
              </w:rPr>
            </w:pPr>
            <w:r w:rsidRPr="00731FE2">
              <w:rPr>
                <w:b w:val="0"/>
                <w:bCs w:val="0"/>
              </w:rPr>
              <w:t>Опора двойного назначения (осветительная опора), у основания стойка питания</w:t>
            </w:r>
          </w:p>
        </w:tc>
      </w:tr>
      <w:tr w:rsidR="00171AA8" w:rsidRPr="00731FE2" w14:paraId="3A240AB2" w14:textId="77777777">
        <w:tc>
          <w:tcPr>
            <w:tcW w:w="5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9F9AE6E" w14:textId="77777777" w:rsidR="00171AA8" w:rsidRPr="00731FE2" w:rsidRDefault="007935AB">
            <w:pPr>
              <w:pStyle w:val="af3"/>
              <w:pBdr>
                <w:top w:val="none" w:sz="4" w:space="0" w:color="000000"/>
                <w:left w:val="none" w:sz="4" w:space="0" w:color="000000"/>
                <w:bottom w:val="none" w:sz="4" w:space="0" w:color="000000"/>
                <w:right w:val="none" w:sz="4" w:space="0" w:color="000000"/>
              </w:pBdr>
              <w:rPr>
                <w:b w:val="0"/>
                <w:bCs w:val="0"/>
              </w:rPr>
            </w:pPr>
            <w:r w:rsidRPr="00731FE2">
              <w:rPr>
                <w:b w:val="0"/>
                <w:bCs w:val="0"/>
              </w:rPr>
              <w:t>6.</w:t>
            </w:r>
          </w:p>
        </w:tc>
        <w:tc>
          <w:tcPr>
            <w:tcW w:w="35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AA5A20D"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left"/>
              <w:rPr>
                <w:b w:val="0"/>
                <w:bCs w:val="0"/>
              </w:rPr>
            </w:pPr>
            <w:r w:rsidRPr="00731FE2">
              <w:rPr>
                <w:b w:val="0"/>
                <w:bCs w:val="0"/>
              </w:rPr>
              <w:t>Город-курорт Кисловодск, пр. Победы, в районе дома №14А</w:t>
            </w:r>
          </w:p>
        </w:tc>
        <w:tc>
          <w:tcPr>
            <w:tcW w:w="14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F46C2BC"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b w:val="0"/>
                <w:bCs w:val="0"/>
              </w:rPr>
            </w:pPr>
            <w:r w:rsidRPr="00731FE2">
              <w:rPr>
                <w:b w:val="0"/>
                <w:bCs w:val="0"/>
              </w:rPr>
              <w:t>3G, 4G</w:t>
            </w:r>
          </w:p>
        </w:tc>
        <w:tc>
          <w:tcPr>
            <w:tcW w:w="3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8A9836F"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b w:val="0"/>
                <w:bCs w:val="0"/>
              </w:rPr>
            </w:pPr>
            <w:r w:rsidRPr="00731FE2">
              <w:rPr>
                <w:b w:val="0"/>
                <w:bCs w:val="0"/>
              </w:rPr>
              <w:t>Опора двойного назначения (осветительная опора), у основания стойка питания</w:t>
            </w:r>
          </w:p>
        </w:tc>
      </w:tr>
      <w:tr w:rsidR="00171AA8" w:rsidRPr="00731FE2" w14:paraId="6A3D029B" w14:textId="77777777">
        <w:tc>
          <w:tcPr>
            <w:tcW w:w="5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3BB328C" w14:textId="77777777" w:rsidR="00171AA8" w:rsidRPr="00731FE2" w:rsidRDefault="007935AB">
            <w:pPr>
              <w:pStyle w:val="af3"/>
              <w:pBdr>
                <w:top w:val="none" w:sz="4" w:space="0" w:color="000000"/>
                <w:left w:val="none" w:sz="4" w:space="0" w:color="000000"/>
                <w:bottom w:val="none" w:sz="4" w:space="0" w:color="000000"/>
                <w:right w:val="none" w:sz="4" w:space="0" w:color="000000"/>
              </w:pBdr>
              <w:rPr>
                <w:b w:val="0"/>
                <w:bCs w:val="0"/>
              </w:rPr>
            </w:pPr>
            <w:r w:rsidRPr="00731FE2">
              <w:rPr>
                <w:b w:val="0"/>
                <w:bCs w:val="0"/>
              </w:rPr>
              <w:t>7.</w:t>
            </w:r>
          </w:p>
        </w:tc>
        <w:tc>
          <w:tcPr>
            <w:tcW w:w="35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F8EDD35"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left"/>
              <w:rPr>
                <w:b w:val="0"/>
                <w:bCs w:val="0"/>
              </w:rPr>
            </w:pPr>
            <w:r w:rsidRPr="00731FE2">
              <w:rPr>
                <w:b w:val="0"/>
                <w:bCs w:val="0"/>
              </w:rPr>
              <w:t>Город-курорт Кисловодск, ул. Белинского, пустырь в районе дома №1</w:t>
            </w:r>
          </w:p>
        </w:tc>
        <w:tc>
          <w:tcPr>
            <w:tcW w:w="14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6C90481"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b w:val="0"/>
                <w:bCs w:val="0"/>
              </w:rPr>
            </w:pPr>
            <w:r w:rsidRPr="00731FE2">
              <w:rPr>
                <w:b w:val="0"/>
                <w:bCs w:val="0"/>
              </w:rPr>
              <w:t>2G, 3G, 4G</w:t>
            </w:r>
          </w:p>
        </w:tc>
        <w:tc>
          <w:tcPr>
            <w:tcW w:w="3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8BEC94B"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b w:val="0"/>
                <w:bCs w:val="0"/>
              </w:rPr>
            </w:pPr>
            <w:r w:rsidRPr="00731FE2">
              <w:rPr>
                <w:b w:val="0"/>
                <w:bCs w:val="0"/>
              </w:rPr>
              <w:t>Железобетонная опора, у основания стойка питания уличного исполнения</w:t>
            </w:r>
          </w:p>
        </w:tc>
      </w:tr>
      <w:tr w:rsidR="00171AA8" w:rsidRPr="00731FE2" w14:paraId="1DB24142" w14:textId="77777777">
        <w:tc>
          <w:tcPr>
            <w:tcW w:w="5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199F5A3" w14:textId="77777777" w:rsidR="00171AA8" w:rsidRPr="00731FE2" w:rsidRDefault="007935AB">
            <w:pPr>
              <w:pStyle w:val="af3"/>
              <w:pBdr>
                <w:top w:val="none" w:sz="4" w:space="0" w:color="000000"/>
                <w:left w:val="none" w:sz="4" w:space="0" w:color="000000"/>
                <w:bottom w:val="none" w:sz="4" w:space="0" w:color="000000"/>
                <w:right w:val="none" w:sz="4" w:space="0" w:color="000000"/>
              </w:pBdr>
              <w:rPr>
                <w:b w:val="0"/>
                <w:bCs w:val="0"/>
              </w:rPr>
            </w:pPr>
            <w:r w:rsidRPr="00731FE2">
              <w:rPr>
                <w:b w:val="0"/>
                <w:bCs w:val="0"/>
              </w:rPr>
              <w:t>8.</w:t>
            </w:r>
          </w:p>
        </w:tc>
        <w:tc>
          <w:tcPr>
            <w:tcW w:w="354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A713552"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left"/>
              <w:rPr>
                <w:b w:val="0"/>
                <w:bCs w:val="0"/>
              </w:rPr>
            </w:pPr>
            <w:r w:rsidRPr="00731FE2">
              <w:rPr>
                <w:b w:val="0"/>
                <w:bCs w:val="0"/>
              </w:rPr>
              <w:t>Город-курорт Кисловодск, Национальный парк «Кисловодский», в районе нижней станции канатной дороги</w:t>
            </w:r>
          </w:p>
        </w:tc>
        <w:tc>
          <w:tcPr>
            <w:tcW w:w="14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4177316"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b w:val="0"/>
                <w:bCs w:val="0"/>
              </w:rPr>
            </w:pPr>
            <w:r w:rsidRPr="00731FE2">
              <w:rPr>
                <w:b w:val="0"/>
                <w:bCs w:val="0"/>
              </w:rPr>
              <w:t>2G, 3G, 4G</w:t>
            </w:r>
          </w:p>
        </w:tc>
        <w:tc>
          <w:tcPr>
            <w:tcW w:w="38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2A70D33" w14:textId="77777777" w:rsidR="00171AA8" w:rsidRPr="00731FE2" w:rsidRDefault="007935AB">
            <w:pPr>
              <w:pStyle w:val="af3"/>
              <w:pBdr>
                <w:top w:val="none" w:sz="4" w:space="0" w:color="000000"/>
                <w:left w:val="none" w:sz="4" w:space="0" w:color="000000"/>
                <w:bottom w:val="none" w:sz="4" w:space="0" w:color="000000"/>
                <w:right w:val="none" w:sz="4" w:space="0" w:color="000000"/>
              </w:pBdr>
              <w:jc w:val="center"/>
              <w:rPr>
                <w:b w:val="0"/>
                <w:bCs w:val="0"/>
              </w:rPr>
            </w:pPr>
            <w:r w:rsidRPr="00731FE2">
              <w:rPr>
                <w:b w:val="0"/>
                <w:bCs w:val="0"/>
              </w:rPr>
              <w:t>Опора двойного назначения (осветительная опора), у основания стойка питания</w:t>
            </w:r>
          </w:p>
        </w:tc>
      </w:tr>
    </w:tbl>
    <w:p w14:paraId="5A7E51BF" w14:textId="77777777" w:rsidR="00171AA8" w:rsidRPr="00731FE2" w:rsidRDefault="00171AA8">
      <w:pPr>
        <w:pBdr>
          <w:top w:val="none" w:sz="4" w:space="0" w:color="000000"/>
          <w:left w:val="none" w:sz="4" w:space="0" w:color="000000"/>
          <w:bottom w:val="none" w:sz="4" w:space="0" w:color="000000"/>
          <w:right w:val="none" w:sz="4" w:space="0" w:color="000000"/>
        </w:pBdr>
        <w:tabs>
          <w:tab w:val="left" w:pos="992"/>
        </w:tabs>
        <w:spacing w:line="276" w:lineRule="atLeast"/>
        <w:rPr>
          <w:rFonts w:ascii="Times New Roman" w:eastAsia="Times New Roman" w:hAnsi="Times New Roman" w:cs="Times New Roman"/>
          <w:color w:val="00000A"/>
          <w:szCs w:val="24"/>
        </w:rPr>
      </w:pPr>
    </w:p>
    <w:p w14:paraId="3B13053F" w14:textId="77777777" w:rsidR="00171AA8" w:rsidRPr="00731FE2" w:rsidRDefault="007935AB">
      <w:pPr>
        <w:pBdr>
          <w:top w:val="none" w:sz="4" w:space="0" w:color="000000"/>
          <w:left w:val="none" w:sz="4" w:space="0" w:color="000000"/>
          <w:bottom w:val="none" w:sz="4" w:space="0" w:color="000000"/>
          <w:right w:val="none" w:sz="4" w:space="0" w:color="000000"/>
        </w:pBdr>
        <w:tabs>
          <w:tab w:val="left" w:pos="992"/>
        </w:tabs>
        <w:rPr>
          <w:rFonts w:ascii="Times New Roman" w:eastAsia="Times New Roman" w:hAnsi="Times New Roman" w:cs="Times New Roman"/>
          <w:color w:val="00000A"/>
          <w:szCs w:val="24"/>
        </w:rPr>
      </w:pPr>
      <w:r w:rsidRPr="00731FE2">
        <w:rPr>
          <w:rFonts w:ascii="Times New Roman" w:eastAsia="Times New Roman" w:hAnsi="Times New Roman" w:cs="Times New Roman"/>
          <w:color w:val="000000"/>
        </w:rPr>
        <w:t>На расчетный срок генерального плана городского округа необходимо обеспечение жи</w:t>
      </w:r>
      <w:r w:rsidR="00E27FAB" w:rsidRPr="00731FE2">
        <w:rPr>
          <w:rFonts w:ascii="Times New Roman" w:eastAsia="Times New Roman" w:hAnsi="Times New Roman" w:cs="Times New Roman"/>
          <w:color w:val="000000"/>
        </w:rPr>
        <w:t xml:space="preserve">телей бесперебойным интернет </w:t>
      </w:r>
      <w:r w:rsidRPr="00731FE2">
        <w:rPr>
          <w:rFonts w:ascii="Times New Roman" w:eastAsia="Times New Roman" w:hAnsi="Times New Roman" w:cs="Times New Roman"/>
          <w:color w:val="000000"/>
        </w:rPr>
        <w:t xml:space="preserve">соединением, достичь которого можно при проведении своевременного обслуживания систем связи. </w:t>
      </w:r>
    </w:p>
    <w:p w14:paraId="63BD1B33" w14:textId="77777777" w:rsidR="00171AA8" w:rsidRPr="00731FE2" w:rsidRDefault="007935AB">
      <w:pPr>
        <w:pBdr>
          <w:top w:val="none" w:sz="4" w:space="0" w:color="000000"/>
          <w:left w:val="none" w:sz="4" w:space="0" w:color="000000"/>
          <w:bottom w:val="none" w:sz="4" w:space="0" w:color="000000"/>
          <w:right w:val="none" w:sz="4" w:space="0" w:color="000000"/>
        </w:pBdr>
        <w:tabs>
          <w:tab w:val="left" w:pos="992"/>
        </w:tabs>
        <w:rPr>
          <w:rFonts w:ascii="Times New Roman" w:eastAsia="Times New Roman" w:hAnsi="Times New Roman" w:cs="Times New Roman"/>
          <w:color w:val="00000A"/>
          <w:szCs w:val="24"/>
        </w:rPr>
      </w:pPr>
      <w:r w:rsidRPr="00731FE2">
        <w:rPr>
          <w:rFonts w:ascii="Times New Roman" w:eastAsia="Times New Roman" w:hAnsi="Times New Roman" w:cs="Times New Roman"/>
          <w:color w:val="00000A"/>
          <w:szCs w:val="24"/>
        </w:rPr>
        <w:t>К расчетному сроку генерального плана запланированы строительство и реконструкции объектов связи и телекоммуникаций в населенных пунктах городского округа. Перечень запланированных к реализации мероприятий приведен в Томе 1 «Положение о территориальном планировании» настоящего генерального плана.</w:t>
      </w:r>
    </w:p>
    <w:p w14:paraId="68C96125" w14:textId="77777777" w:rsidR="00171AA8" w:rsidRPr="00731FE2" w:rsidRDefault="00171AA8">
      <w:pPr>
        <w:pBdr>
          <w:top w:val="none" w:sz="4" w:space="0" w:color="000000"/>
          <w:left w:val="none" w:sz="4" w:space="0" w:color="000000"/>
          <w:bottom w:val="none" w:sz="4" w:space="0" w:color="000000"/>
          <w:right w:val="none" w:sz="4" w:space="0" w:color="000000"/>
        </w:pBdr>
        <w:tabs>
          <w:tab w:val="left" w:pos="992"/>
        </w:tabs>
        <w:spacing w:line="276" w:lineRule="atLeast"/>
        <w:rPr>
          <w:rFonts w:ascii="Times New Roman" w:eastAsia="Times New Roman" w:hAnsi="Times New Roman" w:cs="Times New Roman"/>
          <w:color w:val="00000A"/>
          <w:szCs w:val="24"/>
        </w:rPr>
      </w:pPr>
    </w:p>
    <w:p w14:paraId="10A0BEAE" w14:textId="77777777" w:rsidR="00171AA8" w:rsidRPr="00731FE2" w:rsidRDefault="007935AB">
      <w:pPr>
        <w:pStyle w:val="24"/>
        <w:rPr>
          <w:rFonts w:ascii="Times New Roman" w:hAnsi="Times New Roman" w:cs="Times New Roman"/>
        </w:rPr>
      </w:pPr>
      <w:bookmarkStart w:id="95" w:name="_Toc177392845"/>
      <w:r w:rsidRPr="00731FE2">
        <w:rPr>
          <w:rFonts w:ascii="Times New Roman" w:hAnsi="Times New Roman" w:cs="Times New Roman"/>
        </w:rPr>
        <w:t>3.10 Градостроительные ограничения и особые условия использования территории</w:t>
      </w:r>
      <w:bookmarkEnd w:id="95"/>
    </w:p>
    <w:p w14:paraId="01BFE4D1"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Для городского округа характерны значительные градостроительные ограничения, обусловленные как инженерно-строительными условиями, так и наличием зон с особыми условиями использования территории.</w:t>
      </w:r>
    </w:p>
    <w:p w14:paraId="39B9E3F8"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b/>
          <w:bCs/>
          <w:color w:val="000000"/>
        </w:rPr>
        <w:t xml:space="preserve">Инженерно-строительные условия. </w:t>
      </w:r>
      <w:r w:rsidRPr="00731FE2">
        <w:rPr>
          <w:rFonts w:ascii="Times New Roman" w:eastAsia="Times New Roman" w:hAnsi="Times New Roman" w:cs="Times New Roman"/>
          <w:color w:val="000000"/>
        </w:rPr>
        <w:t>В обстановке высокой сейсмичности, сложного геологического и гидрогеологического строения, широкого развития опасных геологических процессов простых условий для градостроительного освоения на территории городского округа города-курорта Кисловодск не существует.</w:t>
      </w:r>
    </w:p>
    <w:p w14:paraId="2B6B63DC"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На основании проведенного инженерно-строительного районирования выделено четыре типа территорий, отличающихся по условиям строительства:</w:t>
      </w:r>
    </w:p>
    <w:p w14:paraId="51E2B355" w14:textId="77777777" w:rsidR="00171AA8" w:rsidRPr="00731FE2" w:rsidRDefault="007935AB" w:rsidP="007832E7">
      <w:pPr>
        <w:pStyle w:val="a3"/>
        <w:numPr>
          <w:ilvl w:val="0"/>
          <w:numId w:val="105"/>
        </w:numPr>
        <w:pBdr>
          <w:top w:val="none" w:sz="4" w:space="0" w:color="000000"/>
          <w:left w:val="none" w:sz="4" w:space="0" w:color="000000"/>
          <w:bottom w:val="none" w:sz="4" w:space="0" w:color="000000"/>
          <w:right w:val="none" w:sz="4" w:space="0" w:color="000000"/>
        </w:pBdr>
        <w:tabs>
          <w:tab w:val="left" w:pos="992"/>
        </w:tabs>
        <w:ind w:left="0" w:firstLine="709"/>
        <w:rPr>
          <w:rFonts w:ascii="Times New Roman" w:eastAsia="Times New Roman" w:hAnsi="Times New Roman" w:cs="Times New Roman"/>
          <w:color w:val="000000"/>
        </w:rPr>
      </w:pPr>
      <w:r w:rsidRPr="00731FE2">
        <w:rPr>
          <w:rFonts w:ascii="Times New Roman" w:eastAsia="Times New Roman" w:hAnsi="Times New Roman" w:cs="Times New Roman"/>
          <w:color w:val="000000"/>
        </w:rPr>
        <w:t>территории средней сложности для градостроительного освоения;</w:t>
      </w:r>
    </w:p>
    <w:p w14:paraId="01069781" w14:textId="77777777" w:rsidR="00171AA8" w:rsidRPr="00731FE2" w:rsidRDefault="007935AB" w:rsidP="007832E7">
      <w:pPr>
        <w:pStyle w:val="a3"/>
        <w:numPr>
          <w:ilvl w:val="0"/>
          <w:numId w:val="105"/>
        </w:numPr>
        <w:pBdr>
          <w:top w:val="none" w:sz="4" w:space="0" w:color="000000"/>
          <w:left w:val="none" w:sz="4" w:space="0" w:color="000000"/>
          <w:bottom w:val="none" w:sz="4" w:space="0" w:color="000000"/>
          <w:right w:val="none" w:sz="4" w:space="0" w:color="000000"/>
        </w:pBdr>
        <w:tabs>
          <w:tab w:val="left" w:pos="992"/>
        </w:tabs>
        <w:ind w:left="0" w:firstLine="709"/>
        <w:rPr>
          <w:rFonts w:ascii="Times New Roman" w:eastAsia="Times New Roman" w:hAnsi="Times New Roman" w:cs="Times New Roman"/>
          <w:color w:val="000000"/>
        </w:rPr>
      </w:pPr>
      <w:r w:rsidRPr="00731FE2">
        <w:rPr>
          <w:rFonts w:ascii="Times New Roman" w:eastAsia="Times New Roman" w:hAnsi="Times New Roman" w:cs="Times New Roman"/>
          <w:color w:val="000000"/>
        </w:rPr>
        <w:t>территории со сложными условиями для градостроительного освоения;</w:t>
      </w:r>
    </w:p>
    <w:p w14:paraId="74EED83F" w14:textId="77777777" w:rsidR="00171AA8" w:rsidRPr="00731FE2" w:rsidRDefault="007935AB" w:rsidP="007832E7">
      <w:pPr>
        <w:pStyle w:val="a3"/>
        <w:numPr>
          <w:ilvl w:val="0"/>
          <w:numId w:val="105"/>
        </w:numPr>
        <w:pBdr>
          <w:top w:val="none" w:sz="4" w:space="0" w:color="000000"/>
          <w:left w:val="none" w:sz="4" w:space="0" w:color="000000"/>
          <w:bottom w:val="none" w:sz="4" w:space="0" w:color="000000"/>
          <w:right w:val="none" w:sz="4" w:space="0" w:color="000000"/>
        </w:pBdr>
        <w:tabs>
          <w:tab w:val="left" w:pos="992"/>
        </w:tabs>
        <w:ind w:left="0" w:firstLine="709"/>
        <w:rPr>
          <w:rFonts w:ascii="Times New Roman" w:eastAsia="Times New Roman" w:hAnsi="Times New Roman" w:cs="Times New Roman"/>
          <w:color w:val="000000"/>
        </w:rPr>
      </w:pPr>
      <w:r w:rsidRPr="00731FE2">
        <w:rPr>
          <w:rFonts w:ascii="Times New Roman" w:eastAsia="Times New Roman" w:hAnsi="Times New Roman" w:cs="Times New Roman"/>
          <w:color w:val="000000"/>
        </w:rPr>
        <w:lastRenderedPageBreak/>
        <w:t>территории с особо сложными условиями для градостроительного освоения;</w:t>
      </w:r>
    </w:p>
    <w:p w14:paraId="09EAE56C" w14:textId="77777777" w:rsidR="00171AA8" w:rsidRPr="00731FE2" w:rsidRDefault="007935AB" w:rsidP="007832E7">
      <w:pPr>
        <w:pStyle w:val="a3"/>
        <w:numPr>
          <w:ilvl w:val="0"/>
          <w:numId w:val="105"/>
        </w:numPr>
        <w:pBdr>
          <w:top w:val="none" w:sz="4" w:space="0" w:color="000000"/>
          <w:left w:val="none" w:sz="4" w:space="0" w:color="000000"/>
          <w:bottom w:val="none" w:sz="4" w:space="0" w:color="000000"/>
          <w:right w:val="none" w:sz="4" w:space="0" w:color="000000"/>
        </w:pBdr>
        <w:tabs>
          <w:tab w:val="left" w:pos="992"/>
        </w:tabs>
        <w:ind w:left="0" w:firstLine="709"/>
        <w:rPr>
          <w:rFonts w:ascii="Times New Roman" w:eastAsia="Times New Roman" w:hAnsi="Times New Roman" w:cs="Times New Roman"/>
          <w:color w:val="000000"/>
        </w:rPr>
      </w:pPr>
      <w:r w:rsidRPr="00731FE2">
        <w:rPr>
          <w:rFonts w:ascii="Times New Roman" w:eastAsia="Times New Roman" w:hAnsi="Times New Roman" w:cs="Times New Roman"/>
          <w:color w:val="000000"/>
        </w:rPr>
        <w:t>территории с особо сложными условиями, не рекомендуемые для градостроительного освоения.</w:t>
      </w:r>
    </w:p>
    <w:p w14:paraId="13701AE8"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На территории городского округа города-курорта Кисловодска существенно преобладают территории со сложными условиями для градостроительного освоения.</w:t>
      </w:r>
    </w:p>
    <w:p w14:paraId="4EC4F260"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b/>
          <w:bCs/>
          <w:color w:val="000000"/>
        </w:rPr>
        <w:t xml:space="preserve">Зоны с особыми условиями использования территории. </w:t>
      </w:r>
      <w:r w:rsidRPr="00731FE2">
        <w:rPr>
          <w:rFonts w:ascii="Times New Roman" w:eastAsia="Times New Roman" w:hAnsi="Times New Roman" w:cs="Times New Roman"/>
          <w:color w:val="000000"/>
        </w:rPr>
        <w:t xml:space="preserve">Зоны с особыми условиями использования территории на территории городского округа Кисловодск, определяющие условия и характер градостроительного освоения, представлены особо охраняемыми природными территориями, зонами горно-санитарной охраны месторождений лечебных минеральных вод, водоохранными зонами, зонами, формируемыми санитарно-гигиеническими и экологическими требованиями. </w:t>
      </w:r>
    </w:p>
    <w:p w14:paraId="74931A46"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Особо охраняемые природные территории представлены Национальным парком «Кисловодский» федерального значения и семью памятниками природы, имеющими краевой статус.</w:t>
      </w:r>
    </w:p>
    <w:p w14:paraId="4A63E19F"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Особо охраняемые природные территории подробно рассмотрены в разделе 2.4 настоящего генерального плана.</w:t>
      </w:r>
    </w:p>
    <w:p w14:paraId="74D363B4"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b/>
          <w:bCs/>
          <w:color w:val="000000"/>
        </w:rPr>
        <w:t xml:space="preserve">Зоны горно-санитарной охраны месторождений минеральных лечебных вод. </w:t>
      </w:r>
      <w:r w:rsidRPr="00731FE2">
        <w:rPr>
          <w:rFonts w:ascii="Times New Roman" w:eastAsia="Times New Roman" w:hAnsi="Times New Roman" w:cs="Times New Roman"/>
          <w:color w:val="000000"/>
        </w:rPr>
        <w:t>Территория города-курорта Кисловодска входит в состав округа санитарной (горно-санитарной) охраны особо охраняемого эколого-курортного региона Кавказских Минеральных Вод.</w:t>
      </w:r>
    </w:p>
    <w:p w14:paraId="6CA4F383"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Наличием зон горно-санитарной охраны на большей части округа и определяется регламент использования территории.</w:t>
      </w:r>
    </w:p>
    <w:p w14:paraId="0F1EE400"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На территории Кисловодска выделяются три зоны горно-санитарной охраны (см. Схему «Зоны с особыми условиями использования территории»).</w:t>
      </w:r>
    </w:p>
    <w:p w14:paraId="2F1D8DC5"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b/>
          <w:bCs/>
          <w:color w:val="000000"/>
        </w:rPr>
        <w:t xml:space="preserve">I зона. </w:t>
      </w:r>
      <w:r w:rsidRPr="00731FE2">
        <w:rPr>
          <w:rFonts w:ascii="Times New Roman" w:eastAsia="Times New Roman" w:hAnsi="Times New Roman" w:cs="Times New Roman"/>
          <w:color w:val="000000"/>
        </w:rPr>
        <w:t xml:space="preserve">Режим первой зоны устанавливается для месторождений минеральных вод (для скважин, источников), месторождений лечебных грязей, месторождений других полезных ископаемых, используемых в лечебных целях, а также для оборудованных лечебных пляжей и прилегающих к ним акваторий. </w:t>
      </w:r>
    </w:p>
    <w:p w14:paraId="1BD49A22"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На рассматриваемой территории в первую зону попадает участок вдоль реки Березовая от п. Индустрия до места слияния рек Березовая и Ольховка, часть Кисловодского курортного парка, а также участок вдоль реки Ольховка в пределах жилой застройки города.</w:t>
      </w:r>
    </w:p>
    <w:p w14:paraId="4629BC7B"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На территории первой зоны запрещаются проживание и осуществление всех видов хозяйственной деятельности, за исключением работ, связанных с исследованием и использованием природных ресурсов в лечебных и оздоровительных целях при условии применения экологически безопасных и рациональных технологий.</w:t>
      </w:r>
    </w:p>
    <w:p w14:paraId="4A308204"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 xml:space="preserve">На указанной территории разрешается проведение работ, связанных с эксплуатацией природных лечебных ресурсов (строительством каптажей, надкаптажных зданий, насосных станций, трубопроводов, резервуаров), допускается размещение питьевых галерей и бюветов, эстакад и </w:t>
      </w:r>
      <w:r w:rsidR="00E27FAB" w:rsidRPr="00731FE2">
        <w:rPr>
          <w:rFonts w:ascii="Times New Roman" w:eastAsia="Times New Roman" w:hAnsi="Times New Roman" w:cs="Times New Roman"/>
          <w:color w:val="000000"/>
        </w:rPr>
        <w:t>других устройств для добычи минеральных вод,</w:t>
      </w:r>
      <w:r w:rsidRPr="00731FE2">
        <w:rPr>
          <w:rFonts w:ascii="Times New Roman" w:eastAsia="Times New Roman" w:hAnsi="Times New Roman" w:cs="Times New Roman"/>
          <w:color w:val="000000"/>
        </w:rPr>
        <w:t xml:space="preserve"> и лечебных грязей. </w:t>
      </w:r>
    </w:p>
    <w:p w14:paraId="41F8AA4C"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Разрешается выполнение берегоукрепительных, противооползневых и противоэрозионных работ, а также строительство и ремонт средств связи и парковых сооружений методами, не наносящими ущерба природным лечебным ресурсам.</w:t>
      </w:r>
    </w:p>
    <w:p w14:paraId="7BA9ED16"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lastRenderedPageBreak/>
        <w:t>Для скважин, источников и других очагов разгрузки минеральных вод границы первой зоны устанавливаются в зависимости от степени естественной защищенности месторождения, но на расстоянии не менее 15 м от оголовка скважины или контура очага разгрузки.</w:t>
      </w:r>
    </w:p>
    <w:p w14:paraId="40F97022"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Границы зоны отражены на схеме «Зоны с особыми условиями использования территории».</w:t>
      </w:r>
    </w:p>
    <w:p w14:paraId="3C4FAE08"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b/>
          <w:bCs/>
          <w:color w:val="000000"/>
        </w:rPr>
        <w:t>II зона.</w:t>
      </w:r>
      <w:r w:rsidRPr="00731FE2">
        <w:rPr>
          <w:rFonts w:ascii="Times New Roman" w:eastAsia="Times New Roman" w:hAnsi="Times New Roman" w:cs="Times New Roman"/>
          <w:color w:val="000000"/>
        </w:rPr>
        <w:t xml:space="preserve"> Режим второй зоны устанавливается для территории, с которой происходит сток поверхностных и подземных вод к месторождениям лечебных грязей, минеральным озерам и лиманам, пляжам, местам неглубокого залегания незащищенных минеральных вод, для естественных и искусственных хранилищ минеральных вод и лечебных грязей, парков, лесопарков и других зеленых насаждений, а также для территорий, занимаемых зданиями и сооружениями санаторно-курортных учреждений и предназначенных для санаторно-курортного строительства.</w:t>
      </w:r>
    </w:p>
    <w:p w14:paraId="57D42F0A"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На территории второй зоны запрещается размещение объектов и сооружений, не связанных непосредственно с созданием и развитием сферы курортного лечения и отдыха, а также проведение работ, загрязняющих окружающую природную среду и приводящих к истощению природных лечебных ресурсов, в том числе:</w:t>
      </w:r>
    </w:p>
    <w:p w14:paraId="021D6D13" w14:textId="77777777" w:rsidR="00171AA8" w:rsidRPr="00731FE2" w:rsidRDefault="007935AB" w:rsidP="007832E7">
      <w:pPr>
        <w:pStyle w:val="a3"/>
        <w:numPr>
          <w:ilvl w:val="0"/>
          <w:numId w:val="106"/>
        </w:numPr>
        <w:pBdr>
          <w:top w:val="none" w:sz="4" w:space="0" w:color="000000"/>
          <w:left w:val="none" w:sz="4" w:space="0" w:color="000000"/>
          <w:bottom w:val="none" w:sz="4" w:space="0" w:color="000000"/>
          <w:right w:val="none" w:sz="4" w:space="0" w:color="000000"/>
        </w:pBdr>
        <w:tabs>
          <w:tab w:val="left" w:pos="992"/>
        </w:tabs>
        <w:ind w:left="0" w:firstLine="709"/>
        <w:rPr>
          <w:rFonts w:ascii="Times New Roman" w:eastAsia="Times New Roman" w:hAnsi="Times New Roman" w:cs="Times New Roman"/>
          <w:color w:val="000000"/>
        </w:rPr>
      </w:pPr>
      <w:r w:rsidRPr="00731FE2">
        <w:rPr>
          <w:rFonts w:ascii="Times New Roman" w:eastAsia="Times New Roman" w:hAnsi="Times New Roman" w:cs="Times New Roman"/>
          <w:color w:val="000000"/>
        </w:rPr>
        <w:t>Строительство новых и расширение действующих промышленных объектов, производство горных и других работ, не связанных непосредственно с освоением лечебно-оздоровительной местности, а также с развитием и благоустройством курорта;</w:t>
      </w:r>
    </w:p>
    <w:p w14:paraId="3DEE2E98" w14:textId="77777777" w:rsidR="00171AA8" w:rsidRPr="00731FE2" w:rsidRDefault="007935AB" w:rsidP="007832E7">
      <w:pPr>
        <w:pStyle w:val="a3"/>
        <w:numPr>
          <w:ilvl w:val="0"/>
          <w:numId w:val="106"/>
        </w:numPr>
        <w:pBdr>
          <w:top w:val="none" w:sz="4" w:space="0" w:color="000000"/>
          <w:left w:val="none" w:sz="4" w:space="0" w:color="000000"/>
          <w:bottom w:val="none" w:sz="4" w:space="0" w:color="000000"/>
          <w:right w:val="none" w:sz="4" w:space="0" w:color="000000"/>
        </w:pBdr>
        <w:tabs>
          <w:tab w:val="left" w:pos="992"/>
        </w:tabs>
        <w:ind w:left="0" w:firstLine="709"/>
        <w:rPr>
          <w:rFonts w:ascii="Times New Roman" w:eastAsia="Times New Roman" w:hAnsi="Times New Roman" w:cs="Times New Roman"/>
          <w:color w:val="000000"/>
        </w:rPr>
      </w:pPr>
      <w:r w:rsidRPr="00731FE2">
        <w:rPr>
          <w:rFonts w:ascii="Times New Roman" w:eastAsia="Times New Roman" w:hAnsi="Times New Roman" w:cs="Times New Roman"/>
          <w:color w:val="000000"/>
        </w:rPr>
        <w:t>Строительство животноводческих и птицеводческих комплексов и ферм, устройство навозохранилищ;</w:t>
      </w:r>
    </w:p>
    <w:p w14:paraId="757E5C01" w14:textId="77777777" w:rsidR="00171AA8" w:rsidRPr="00731FE2" w:rsidRDefault="007935AB" w:rsidP="007832E7">
      <w:pPr>
        <w:pStyle w:val="a3"/>
        <w:numPr>
          <w:ilvl w:val="0"/>
          <w:numId w:val="106"/>
        </w:numPr>
        <w:pBdr>
          <w:top w:val="none" w:sz="4" w:space="0" w:color="000000"/>
          <w:left w:val="none" w:sz="4" w:space="0" w:color="000000"/>
          <w:bottom w:val="none" w:sz="4" w:space="0" w:color="000000"/>
          <w:right w:val="none" w:sz="4" w:space="0" w:color="000000"/>
        </w:pBdr>
        <w:tabs>
          <w:tab w:val="left" w:pos="992"/>
        </w:tabs>
        <w:ind w:left="0" w:firstLine="709"/>
        <w:rPr>
          <w:rFonts w:ascii="Times New Roman" w:eastAsia="Times New Roman" w:hAnsi="Times New Roman" w:cs="Times New Roman"/>
          <w:color w:val="000000"/>
        </w:rPr>
      </w:pPr>
      <w:r w:rsidRPr="00731FE2">
        <w:rPr>
          <w:rFonts w:ascii="Times New Roman" w:eastAsia="Times New Roman" w:hAnsi="Times New Roman" w:cs="Times New Roman"/>
          <w:color w:val="000000"/>
        </w:rPr>
        <w:t>Размещение складов ядохимикатов, минеральных удобрений и горюче-смазочных материалов;</w:t>
      </w:r>
    </w:p>
    <w:p w14:paraId="0B9C7A98" w14:textId="77777777" w:rsidR="00171AA8" w:rsidRPr="00731FE2" w:rsidRDefault="007935AB" w:rsidP="007832E7">
      <w:pPr>
        <w:pStyle w:val="a3"/>
        <w:numPr>
          <w:ilvl w:val="0"/>
          <w:numId w:val="106"/>
        </w:numPr>
        <w:pBdr>
          <w:top w:val="none" w:sz="4" w:space="0" w:color="000000"/>
          <w:left w:val="none" w:sz="4" w:space="0" w:color="000000"/>
          <w:bottom w:val="none" w:sz="4" w:space="0" w:color="000000"/>
          <w:right w:val="none" w:sz="4" w:space="0" w:color="000000"/>
        </w:pBdr>
        <w:tabs>
          <w:tab w:val="left" w:pos="992"/>
        </w:tabs>
        <w:ind w:left="0" w:firstLine="709"/>
        <w:rPr>
          <w:rFonts w:ascii="Times New Roman" w:eastAsia="Times New Roman" w:hAnsi="Times New Roman" w:cs="Times New Roman"/>
          <w:color w:val="000000"/>
        </w:rPr>
      </w:pPr>
      <w:r w:rsidRPr="00731FE2">
        <w:rPr>
          <w:rFonts w:ascii="Times New Roman" w:eastAsia="Times New Roman" w:hAnsi="Times New Roman" w:cs="Times New Roman"/>
          <w:color w:val="000000"/>
        </w:rPr>
        <w:t>Строительство транзитных автомобильных дорог;</w:t>
      </w:r>
    </w:p>
    <w:p w14:paraId="0D17BFCF" w14:textId="77777777" w:rsidR="00171AA8" w:rsidRPr="00731FE2" w:rsidRDefault="007935AB" w:rsidP="007832E7">
      <w:pPr>
        <w:pStyle w:val="a3"/>
        <w:numPr>
          <w:ilvl w:val="0"/>
          <w:numId w:val="106"/>
        </w:numPr>
        <w:pBdr>
          <w:top w:val="none" w:sz="4" w:space="0" w:color="000000"/>
          <w:left w:val="none" w:sz="4" w:space="0" w:color="000000"/>
          <w:bottom w:val="none" w:sz="4" w:space="0" w:color="000000"/>
          <w:right w:val="none" w:sz="4" w:space="0" w:color="000000"/>
        </w:pBdr>
        <w:tabs>
          <w:tab w:val="left" w:pos="992"/>
        </w:tabs>
        <w:ind w:left="0" w:firstLine="709"/>
        <w:rPr>
          <w:rFonts w:ascii="Times New Roman" w:eastAsia="Times New Roman" w:hAnsi="Times New Roman" w:cs="Times New Roman"/>
          <w:color w:val="000000"/>
        </w:rPr>
      </w:pPr>
      <w:r w:rsidRPr="00731FE2">
        <w:rPr>
          <w:rFonts w:ascii="Times New Roman" w:eastAsia="Times New Roman" w:hAnsi="Times New Roman" w:cs="Times New Roman"/>
          <w:color w:val="000000"/>
        </w:rPr>
        <w:t>Размещение коллективных стоянок автотранспорта без соответствующей системы очистки от твердых отходов, отработанных масел и сточных вод;</w:t>
      </w:r>
    </w:p>
    <w:p w14:paraId="63263094" w14:textId="77777777" w:rsidR="00171AA8" w:rsidRPr="00731FE2" w:rsidRDefault="007935AB" w:rsidP="007832E7">
      <w:pPr>
        <w:pStyle w:val="a3"/>
        <w:numPr>
          <w:ilvl w:val="0"/>
          <w:numId w:val="106"/>
        </w:numPr>
        <w:pBdr>
          <w:top w:val="none" w:sz="4" w:space="0" w:color="000000"/>
          <w:left w:val="none" w:sz="4" w:space="0" w:color="000000"/>
          <w:bottom w:val="none" w:sz="4" w:space="0" w:color="000000"/>
          <w:right w:val="none" w:sz="4" w:space="0" w:color="000000"/>
        </w:pBdr>
        <w:tabs>
          <w:tab w:val="left" w:pos="992"/>
        </w:tabs>
        <w:ind w:left="0" w:firstLine="709"/>
        <w:rPr>
          <w:rFonts w:ascii="Times New Roman" w:eastAsia="Times New Roman" w:hAnsi="Times New Roman" w:cs="Times New Roman"/>
          <w:color w:val="000000"/>
        </w:rPr>
      </w:pPr>
      <w:r w:rsidRPr="00731FE2">
        <w:rPr>
          <w:rFonts w:ascii="Times New Roman" w:eastAsia="Times New Roman" w:hAnsi="Times New Roman" w:cs="Times New Roman"/>
          <w:color w:val="000000"/>
        </w:rPr>
        <w:t>Строительство жилых домов, организация и обустройство садово-огороднических участков и палаточных туристических стоянок без централизованных систем водоснабжения и канализации;</w:t>
      </w:r>
    </w:p>
    <w:p w14:paraId="4B228970" w14:textId="77777777" w:rsidR="00171AA8" w:rsidRPr="00731FE2" w:rsidRDefault="007935AB" w:rsidP="007832E7">
      <w:pPr>
        <w:pStyle w:val="a3"/>
        <w:numPr>
          <w:ilvl w:val="0"/>
          <w:numId w:val="106"/>
        </w:numPr>
        <w:pBdr>
          <w:top w:val="none" w:sz="4" w:space="0" w:color="000000"/>
          <w:left w:val="none" w:sz="4" w:space="0" w:color="000000"/>
          <w:bottom w:val="none" w:sz="4" w:space="0" w:color="000000"/>
          <w:right w:val="none" w:sz="4" w:space="0" w:color="000000"/>
        </w:pBdr>
        <w:tabs>
          <w:tab w:val="left" w:pos="992"/>
        </w:tabs>
        <w:ind w:left="0" w:firstLine="709"/>
        <w:rPr>
          <w:rFonts w:ascii="Times New Roman" w:eastAsia="Times New Roman" w:hAnsi="Times New Roman" w:cs="Times New Roman"/>
          <w:color w:val="000000"/>
        </w:rPr>
      </w:pPr>
      <w:r w:rsidRPr="00731FE2">
        <w:rPr>
          <w:rFonts w:ascii="Times New Roman" w:eastAsia="Times New Roman" w:hAnsi="Times New Roman" w:cs="Times New Roman"/>
          <w:color w:val="000000"/>
        </w:rPr>
        <w:t>Размещение кладбищ и скотомогильников;</w:t>
      </w:r>
    </w:p>
    <w:p w14:paraId="06FF6834" w14:textId="77777777" w:rsidR="00171AA8" w:rsidRPr="00731FE2" w:rsidRDefault="007935AB" w:rsidP="007832E7">
      <w:pPr>
        <w:pStyle w:val="a3"/>
        <w:numPr>
          <w:ilvl w:val="0"/>
          <w:numId w:val="106"/>
        </w:numPr>
        <w:pBdr>
          <w:top w:val="none" w:sz="4" w:space="0" w:color="000000"/>
          <w:left w:val="none" w:sz="4" w:space="0" w:color="000000"/>
          <w:bottom w:val="none" w:sz="4" w:space="0" w:color="000000"/>
          <w:right w:val="none" w:sz="4" w:space="0" w:color="000000"/>
        </w:pBdr>
        <w:tabs>
          <w:tab w:val="left" w:pos="992"/>
        </w:tabs>
        <w:ind w:left="0" w:firstLine="709"/>
        <w:rPr>
          <w:rFonts w:ascii="Times New Roman" w:eastAsia="Times New Roman" w:hAnsi="Times New Roman" w:cs="Times New Roman"/>
          <w:color w:val="000000"/>
        </w:rPr>
      </w:pPr>
      <w:r w:rsidRPr="00731FE2">
        <w:rPr>
          <w:rFonts w:ascii="Times New Roman" w:eastAsia="Times New Roman" w:hAnsi="Times New Roman" w:cs="Times New Roman"/>
          <w:color w:val="000000"/>
        </w:rPr>
        <w:t>Устройство поглощающих колодцев, полей орошения, подземной фильтрации и накопителей сточных вод;</w:t>
      </w:r>
    </w:p>
    <w:p w14:paraId="0F4D568E" w14:textId="77777777" w:rsidR="00171AA8" w:rsidRPr="00731FE2" w:rsidRDefault="007935AB" w:rsidP="007832E7">
      <w:pPr>
        <w:pStyle w:val="a3"/>
        <w:numPr>
          <w:ilvl w:val="0"/>
          <w:numId w:val="106"/>
        </w:numPr>
        <w:pBdr>
          <w:top w:val="none" w:sz="4" w:space="0" w:color="000000"/>
          <w:left w:val="none" w:sz="4" w:space="0" w:color="000000"/>
          <w:bottom w:val="none" w:sz="4" w:space="0" w:color="000000"/>
          <w:right w:val="none" w:sz="4" w:space="0" w:color="000000"/>
        </w:pBdr>
        <w:tabs>
          <w:tab w:val="left" w:pos="992"/>
        </w:tabs>
        <w:ind w:left="0" w:firstLine="709"/>
        <w:rPr>
          <w:rFonts w:ascii="Times New Roman" w:eastAsia="Times New Roman" w:hAnsi="Times New Roman" w:cs="Times New Roman"/>
          <w:color w:val="000000"/>
        </w:rPr>
      </w:pPr>
      <w:r w:rsidRPr="00731FE2">
        <w:rPr>
          <w:rFonts w:ascii="Times New Roman" w:eastAsia="Times New Roman" w:hAnsi="Times New Roman" w:cs="Times New Roman"/>
          <w:color w:val="000000"/>
        </w:rPr>
        <w:t>Складирование и захоронение промышленных, бытовых и сельскохозяйственных отходов;</w:t>
      </w:r>
    </w:p>
    <w:p w14:paraId="24FE39E3" w14:textId="77777777" w:rsidR="00171AA8" w:rsidRPr="00731FE2" w:rsidRDefault="007935AB" w:rsidP="007832E7">
      <w:pPr>
        <w:pStyle w:val="a3"/>
        <w:numPr>
          <w:ilvl w:val="0"/>
          <w:numId w:val="106"/>
        </w:numPr>
        <w:pBdr>
          <w:top w:val="none" w:sz="4" w:space="0" w:color="000000"/>
          <w:left w:val="none" w:sz="4" w:space="0" w:color="000000"/>
          <w:bottom w:val="none" w:sz="4" w:space="0" w:color="000000"/>
          <w:right w:val="none" w:sz="4" w:space="0" w:color="000000"/>
        </w:pBdr>
        <w:tabs>
          <w:tab w:val="left" w:pos="992"/>
        </w:tabs>
        <w:ind w:left="0" w:firstLine="709"/>
        <w:rPr>
          <w:rFonts w:ascii="Times New Roman" w:eastAsia="Times New Roman" w:hAnsi="Times New Roman" w:cs="Times New Roman"/>
          <w:color w:val="000000"/>
        </w:rPr>
      </w:pPr>
      <w:r w:rsidRPr="00731FE2">
        <w:rPr>
          <w:rFonts w:ascii="Times New Roman" w:eastAsia="Times New Roman" w:hAnsi="Times New Roman" w:cs="Times New Roman"/>
          <w:color w:val="000000"/>
        </w:rPr>
        <w:t>Массовый прогон и выпас скота (кроме пастбищ, обеспечивающих организацию кумысолечения);</w:t>
      </w:r>
    </w:p>
    <w:p w14:paraId="47FF8B10" w14:textId="77777777" w:rsidR="00171AA8" w:rsidRPr="00731FE2" w:rsidRDefault="007935AB" w:rsidP="007832E7">
      <w:pPr>
        <w:pStyle w:val="a3"/>
        <w:numPr>
          <w:ilvl w:val="0"/>
          <w:numId w:val="106"/>
        </w:numPr>
        <w:pBdr>
          <w:top w:val="none" w:sz="4" w:space="0" w:color="000000"/>
          <w:left w:val="none" w:sz="4" w:space="0" w:color="000000"/>
          <w:bottom w:val="none" w:sz="4" w:space="0" w:color="000000"/>
          <w:right w:val="none" w:sz="4" w:space="0" w:color="000000"/>
        </w:pBdr>
        <w:tabs>
          <w:tab w:val="left" w:pos="992"/>
        </w:tabs>
        <w:ind w:left="0" w:firstLine="709"/>
        <w:rPr>
          <w:rFonts w:ascii="Times New Roman" w:eastAsia="Times New Roman" w:hAnsi="Times New Roman" w:cs="Times New Roman"/>
          <w:color w:val="000000"/>
        </w:rPr>
      </w:pPr>
      <w:r w:rsidRPr="00731FE2">
        <w:rPr>
          <w:rFonts w:ascii="Times New Roman" w:eastAsia="Times New Roman" w:hAnsi="Times New Roman" w:cs="Times New Roman"/>
          <w:color w:val="000000"/>
        </w:rPr>
        <w:t>Использование минеральных удобрений и навозных стоков, применение ядохимикатов при борьбе с вредителями, болезнями растений и сорняками, использование химических методов борьбы с эвтрофикацией водоемов;</w:t>
      </w:r>
    </w:p>
    <w:p w14:paraId="3186B73C" w14:textId="77777777" w:rsidR="00171AA8" w:rsidRPr="00731FE2" w:rsidRDefault="007935AB" w:rsidP="007832E7">
      <w:pPr>
        <w:pStyle w:val="a3"/>
        <w:numPr>
          <w:ilvl w:val="0"/>
          <w:numId w:val="106"/>
        </w:numPr>
        <w:pBdr>
          <w:top w:val="none" w:sz="4" w:space="0" w:color="000000"/>
          <w:left w:val="none" w:sz="4" w:space="0" w:color="000000"/>
          <w:bottom w:val="none" w:sz="4" w:space="0" w:color="000000"/>
          <w:right w:val="none" w:sz="4" w:space="0" w:color="000000"/>
        </w:pBdr>
        <w:tabs>
          <w:tab w:val="left" w:pos="992"/>
        </w:tabs>
        <w:ind w:left="0" w:firstLine="709"/>
        <w:rPr>
          <w:rFonts w:ascii="Times New Roman" w:eastAsia="Times New Roman" w:hAnsi="Times New Roman" w:cs="Times New Roman"/>
          <w:color w:val="000000"/>
        </w:rPr>
      </w:pPr>
      <w:r w:rsidRPr="00731FE2">
        <w:rPr>
          <w:rFonts w:ascii="Times New Roman" w:eastAsia="Times New Roman" w:hAnsi="Times New Roman" w:cs="Times New Roman"/>
          <w:color w:val="000000"/>
        </w:rPr>
        <w:t>Сброс сточных и дренажных вод в водные объекты (за исключением сброса очищенных вод через специальные глубоководные выпуски), а также другие виды водопользования, отрицательно влияющие на санитарное и экологическое состояние этих объектов;</w:t>
      </w:r>
    </w:p>
    <w:p w14:paraId="18304B25" w14:textId="74FB4873" w:rsidR="00171AA8" w:rsidRPr="00731FE2" w:rsidRDefault="00AC0394" w:rsidP="007832E7">
      <w:pPr>
        <w:pStyle w:val="a3"/>
        <w:numPr>
          <w:ilvl w:val="0"/>
          <w:numId w:val="106"/>
        </w:numPr>
        <w:pBdr>
          <w:top w:val="none" w:sz="4" w:space="0" w:color="000000"/>
          <w:left w:val="none" w:sz="4" w:space="0" w:color="000000"/>
          <w:bottom w:val="none" w:sz="4" w:space="0" w:color="000000"/>
          <w:right w:val="none" w:sz="4" w:space="0" w:color="000000"/>
        </w:pBdr>
        <w:tabs>
          <w:tab w:val="left" w:pos="992"/>
        </w:tabs>
        <w:ind w:left="0" w:firstLine="709"/>
        <w:rPr>
          <w:rFonts w:ascii="Times New Roman" w:eastAsia="Times New Roman" w:hAnsi="Times New Roman" w:cs="Times New Roman"/>
          <w:color w:val="000000"/>
        </w:rPr>
      </w:pPr>
      <w:r w:rsidRPr="00731FE2">
        <w:rPr>
          <w:rFonts w:ascii="Times New Roman" w:eastAsia="Times New Roman" w:hAnsi="Times New Roman" w:cs="Times New Roman"/>
          <w:color w:val="000000"/>
        </w:rPr>
        <w:lastRenderedPageBreak/>
        <w:t>Вырубка зеленых насаждений, кроме рубок ухода за лесом, санитарных рубок, рубок, связанных со строительством, реконструкцией, капитальным ремонтом и эксплуатацией объектов капитального строительства (в том числе линейных объектов и некапитальных строений, сооружений), непосредственно связанных с созданием и развитием сферы курортного лечения и отдыха и с обеспечением функционирования расположенных в границах лечебно-оздоровительных местностей и курортов федерального значения населенных пунктов.</w:t>
      </w:r>
    </w:p>
    <w:p w14:paraId="0FBF95D3"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Границы второй зоны на территории города-курорта Кисловодска установлены:</w:t>
      </w:r>
    </w:p>
    <w:p w14:paraId="43E368CA" w14:textId="77777777" w:rsidR="00171AA8" w:rsidRPr="00731FE2" w:rsidRDefault="007935AB" w:rsidP="007832E7">
      <w:pPr>
        <w:pStyle w:val="a3"/>
        <w:numPr>
          <w:ilvl w:val="0"/>
          <w:numId w:val="107"/>
        </w:numPr>
        <w:pBdr>
          <w:top w:val="none" w:sz="4" w:space="0" w:color="000000"/>
          <w:left w:val="none" w:sz="4" w:space="0" w:color="000000"/>
          <w:bottom w:val="none" w:sz="4" w:space="0" w:color="000000"/>
          <w:right w:val="none" w:sz="4" w:space="0" w:color="000000"/>
        </w:pBdr>
        <w:tabs>
          <w:tab w:val="left" w:pos="992"/>
        </w:tabs>
        <w:ind w:left="0" w:firstLine="709"/>
        <w:rPr>
          <w:rFonts w:ascii="Times New Roman" w:eastAsia="Times New Roman" w:hAnsi="Times New Roman" w:cs="Times New Roman"/>
          <w:color w:val="000000"/>
        </w:rPr>
      </w:pPr>
      <w:r w:rsidRPr="00731FE2">
        <w:rPr>
          <w:rFonts w:ascii="Times New Roman" w:eastAsia="Times New Roman" w:hAnsi="Times New Roman" w:cs="Times New Roman"/>
          <w:color w:val="000000"/>
        </w:rPr>
        <w:t>для месторождений минеральных вод с учетом геоструктурных и гидрогеологических условий территории;</w:t>
      </w:r>
    </w:p>
    <w:p w14:paraId="0637DC83" w14:textId="77777777" w:rsidR="00171AA8" w:rsidRPr="00731FE2" w:rsidRDefault="007935AB" w:rsidP="007832E7">
      <w:pPr>
        <w:pStyle w:val="a3"/>
        <w:numPr>
          <w:ilvl w:val="0"/>
          <w:numId w:val="107"/>
        </w:numPr>
        <w:pBdr>
          <w:top w:val="none" w:sz="4" w:space="0" w:color="000000"/>
          <w:left w:val="none" w:sz="4" w:space="0" w:color="000000"/>
          <w:bottom w:val="none" w:sz="4" w:space="0" w:color="000000"/>
          <w:right w:val="none" w:sz="4" w:space="0" w:color="000000"/>
        </w:pBdr>
        <w:tabs>
          <w:tab w:val="left" w:pos="992"/>
        </w:tabs>
        <w:ind w:left="0" w:firstLine="709"/>
        <w:rPr>
          <w:rFonts w:ascii="Times New Roman" w:eastAsia="Times New Roman" w:hAnsi="Times New Roman" w:cs="Times New Roman"/>
          <w:color w:val="000000"/>
        </w:rPr>
      </w:pPr>
      <w:r w:rsidRPr="00731FE2">
        <w:rPr>
          <w:rFonts w:ascii="Times New Roman" w:eastAsia="Times New Roman" w:hAnsi="Times New Roman" w:cs="Times New Roman"/>
          <w:color w:val="000000"/>
        </w:rPr>
        <w:t>для природных лечебных факторов, не относящихся к недрам, с учетом рельефа и ландшафта местности, розы ветров, природных особенностей, а также с учетом соответствующих нормативных документов.</w:t>
      </w:r>
    </w:p>
    <w:p w14:paraId="281339E0"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Границы второй зоны на схеме «Зоны с особыми условиями использования территории» отражены для северной и восточной границ зоны, южная и западная – выходят далеко за пределы территории округа.</w:t>
      </w:r>
    </w:p>
    <w:p w14:paraId="04A00744"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b/>
          <w:bCs/>
          <w:color w:val="000000"/>
        </w:rPr>
        <w:t xml:space="preserve">III зона. </w:t>
      </w:r>
      <w:r w:rsidRPr="00731FE2">
        <w:rPr>
          <w:rFonts w:ascii="Times New Roman" w:eastAsia="Times New Roman" w:hAnsi="Times New Roman" w:cs="Times New Roman"/>
          <w:color w:val="000000"/>
        </w:rPr>
        <w:t>Режим третьей зоны устанавливается для ближайших областей питания и участков разгрузки минеральных вод, водосборных площадей месторождений лечебных грязей, месторождений других полезных ископаемых, отнесенных к категории лечебных, а также для территорий, обеспечивающих защиту природных лечебных ресурсов от неблагоприятного техногенного воздействия.</w:t>
      </w:r>
    </w:p>
    <w:p w14:paraId="0A437AB9"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На территории третьей зоны вводятся ограничения на размещение промышленных и сельскохозяйственных объектов и сооружений, а также на осуществление хозяйственной деятельности, сопровождающейся загрязнением окружающей природной среды, природных лечебных ресурсов и их истощением. Допускаются только те виды работ, которые не оказывают отрицательного влияния на природные лечебные ресурсы и санитарное состояние лечебно-оздоровительной местности или курорта федерального значения.</w:t>
      </w:r>
    </w:p>
    <w:p w14:paraId="59C7B577"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Границы третьей зоны определены по совокупности площадей распространения всех природных лечебных факторов и объектов с учетом возможного воздействия на них источников загрязнения.</w:t>
      </w:r>
    </w:p>
    <w:p w14:paraId="5D898127"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Проектируемые в пределах округов санитарной и горно-санитарной охраны объекты подлежат государственной экологической и санитарно-эпидемиологической экспертизе в установленном порядке.</w:t>
      </w:r>
    </w:p>
    <w:p w14:paraId="7F2C96B9"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Развитие и застройка территорий в пределах округов санитарной и горно-санитарной охраны осуществляются в строгом соответствии с генеральным планом курорта федерального значения, утвержденным в установленном порядке.</w:t>
      </w:r>
    </w:p>
    <w:p w14:paraId="6C9F2413"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Обеспечение установленного режима санитарной и горно-санитарной охраны лечебно-оздоровительных местностей и курортов федерального значения осуществляют:</w:t>
      </w:r>
    </w:p>
    <w:p w14:paraId="3037EA42"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rPr>
      </w:pPr>
      <w:r w:rsidRPr="00731FE2">
        <w:rPr>
          <w:rFonts w:ascii="Times New Roman" w:eastAsia="Times New Roman" w:hAnsi="Times New Roman" w:cs="Times New Roman"/>
          <w:color w:val="000000"/>
        </w:rPr>
        <w:t xml:space="preserve">в </w:t>
      </w:r>
      <w:hyperlink r:id="rId28" w:anchor="sub_1312" w:tooltip="https://gd7gz7upc7csqgpe_sas_801_cfcbbcf36dbc3248500f432f687e9659.onlyoffice.disk.yandex.net/7.4.0-112/web-apps/apps/documenteditor/main/index_loader.html?_dc=7.4.0-112&amp;lang=ru&amp;customer=%D0%AF%D0%BD%D0%B4%D0%B5%D0%BA%D1%81.%D0%94%D0%B8%D1%81%D0%BA&amp;headerlogo=h" w:history="1">
        <w:r w:rsidRPr="00731FE2">
          <w:rPr>
            <w:rFonts w:ascii="Times New Roman" w:eastAsia="Times New Roman" w:hAnsi="Times New Roman" w:cs="Times New Roman"/>
            <w:color w:val="000000"/>
          </w:rPr>
          <w:t>первой зоне</w:t>
        </w:r>
      </w:hyperlink>
      <w:r w:rsidRPr="00731FE2">
        <w:rPr>
          <w:rFonts w:ascii="Times New Roman" w:eastAsia="Times New Roman" w:hAnsi="Times New Roman" w:cs="Times New Roman"/>
          <w:color w:val="000000"/>
        </w:rPr>
        <w:t xml:space="preserve"> пользователи природных лечебных ресурсов;</w:t>
      </w:r>
    </w:p>
    <w:p w14:paraId="6C22BB78"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rPr>
      </w:pPr>
      <w:r w:rsidRPr="00731FE2">
        <w:rPr>
          <w:rFonts w:ascii="Times New Roman" w:eastAsia="Times New Roman" w:hAnsi="Times New Roman" w:cs="Times New Roman"/>
          <w:color w:val="000000"/>
        </w:rPr>
        <w:t xml:space="preserve">во </w:t>
      </w:r>
      <w:hyperlink r:id="rId29" w:anchor="sub_1313" w:tooltip="https://gd7gz7upc7csqgpe_sas_801_cfcbbcf36dbc3248500f432f687e9659.onlyoffice.disk.yandex.net/7.4.0-112/web-apps/apps/documenteditor/main/index_loader.html?_dc=7.4.0-112&amp;lang=ru&amp;customer=%D0%AF%D0%BD%D0%B4%D0%B5%D0%BA%D1%81.%D0%94%D0%B8%D1%81%D0%BA&amp;headerlogo=h" w:history="1">
        <w:r w:rsidRPr="00731FE2">
          <w:rPr>
            <w:rFonts w:ascii="Times New Roman" w:eastAsia="Times New Roman" w:hAnsi="Times New Roman" w:cs="Times New Roman"/>
            <w:color w:val="000000"/>
          </w:rPr>
          <w:t>второй</w:t>
        </w:r>
      </w:hyperlink>
      <w:r w:rsidRPr="00731FE2">
        <w:rPr>
          <w:rFonts w:ascii="Times New Roman" w:eastAsia="Times New Roman" w:hAnsi="Times New Roman" w:cs="Times New Roman"/>
          <w:color w:val="000000"/>
        </w:rPr>
        <w:t xml:space="preserve"> и </w:t>
      </w:r>
      <w:hyperlink r:id="rId30" w:anchor="sub_1314" w:tooltip="https://gd7gz7upc7csqgpe_sas_801_cfcbbcf36dbc3248500f432f687e9659.onlyoffice.disk.yandex.net/7.4.0-112/web-apps/apps/documenteditor/main/index_loader.html?_dc=7.4.0-112&amp;lang=ru&amp;customer=%D0%AF%D0%BD%D0%B4%D0%B5%D0%BA%D1%81.%D0%94%D0%B8%D1%81%D0%BA&amp;headerlogo=h" w:history="1">
        <w:r w:rsidRPr="00731FE2">
          <w:rPr>
            <w:rFonts w:ascii="Times New Roman" w:eastAsia="Times New Roman" w:hAnsi="Times New Roman" w:cs="Times New Roman"/>
            <w:color w:val="000000"/>
          </w:rPr>
          <w:t>третьей зонах</w:t>
        </w:r>
      </w:hyperlink>
      <w:r w:rsidRPr="00731FE2">
        <w:rPr>
          <w:rFonts w:ascii="Times New Roman" w:eastAsia="Times New Roman" w:hAnsi="Times New Roman" w:cs="Times New Roman"/>
          <w:color w:val="000000"/>
        </w:rPr>
        <w:t xml:space="preserve"> пользователи природных лечебных ресурсов, землепользователи и проживающие в этих зонах граждане.</w:t>
      </w:r>
    </w:p>
    <w:p w14:paraId="0B7ECE1A"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 xml:space="preserve">Надзор за разработкой природных лечебных ресурсов, отнесенных к категории полезных ископаемых, осуществляют органы Федеральной службы по экологическому, </w:t>
      </w:r>
      <w:r w:rsidRPr="00731FE2">
        <w:rPr>
          <w:rFonts w:ascii="Times New Roman" w:eastAsia="Times New Roman" w:hAnsi="Times New Roman" w:cs="Times New Roman"/>
          <w:color w:val="000000"/>
        </w:rPr>
        <w:lastRenderedPageBreak/>
        <w:t>технологическому и атомному надзору и Федеральной службы по надзору в сфере природопользования в пределах своей компетенции.</w:t>
      </w:r>
    </w:p>
    <w:p w14:paraId="1AB57751"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Государственный экологический контроль на территориях лечебно-оздоровительных местностей и курортов федерального значения, а также на объектах, расположенных за пределами этих территорий, но оказывающих на них вредное техногенное воздействие, осуществляют органы Федеральной службы по экологическому, технологическому и атомному надзору и Федеральной службы по надзору в сфере природопользования в пределах своей компетенции.</w:t>
      </w:r>
    </w:p>
    <w:p w14:paraId="3EAF16EC"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Обеспечение установленного режима санитарной (горно-санитарной) охраны осуществляется пользователями, землепользователями, землевладельцами, арендаторами, собственниками земельных участков и проживающими в этой зоне гражданами в соответствии с Федеральным законом от 23.02.1995 г. №26-ФЗ «О природных лечебных ресурсах, лечебно-оздоровительных местностях и курортах», Постановлением Правительства российской Федерации «Об утверждении Положения об округах санитарной и горно-санитарной охраны лечебно-оздоровительных местностей и курортов федерального значения» от 07.12.1996 г. №1425, Постановлением Совмина РСФСР от 09.07.1985 г. №300 «Об установлении границ и режима округа санитарной охраны курортов Ессентуки, Железноводск, Кисловодск и Пятигорск в Ставропольском крае».</w:t>
      </w:r>
    </w:p>
    <w:p w14:paraId="5E0F33EC"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b/>
          <w:bCs/>
          <w:color w:val="000000"/>
        </w:rPr>
        <w:t xml:space="preserve">Водоохранные зоны, прибрежные защитные полосы, береговая полоса. </w:t>
      </w:r>
      <w:r w:rsidRPr="00731FE2">
        <w:rPr>
          <w:rFonts w:ascii="Times New Roman" w:eastAsia="Times New Roman" w:hAnsi="Times New Roman" w:cs="Times New Roman"/>
          <w:color w:val="000000"/>
        </w:rPr>
        <w:t>Границы и использование береговых полос общего пользования водных объектов зафиксированы в соответствии с требованиями Водного кодекса Российской Федерации от 03.06.2006 №74-ФЗ.</w:t>
      </w:r>
    </w:p>
    <w:p w14:paraId="0847DCEC"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Ширина береговой полосы составляет 20 м, за исключением береговой полосы рек и ручьев, протяженность которых от истока до устья не более чем десять километров – для них ширина береговой полосы составляет 5 м.</w:t>
      </w:r>
    </w:p>
    <w:p w14:paraId="47F30AB2"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На территории береговых полос запрещается любая деятельность и градостроительные изменения, влекущие за собой загрязнение бассейна водосбора, засорение, заиление и истощение водных объектов.</w:t>
      </w:r>
    </w:p>
    <w:p w14:paraId="51EE3B02"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В соответствии со статьей 65 Водного кодекса РФ, водоохранными зонами (ВЗ) являются территории, которые примыкают к береговой линии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14:paraId="3B5AAE98"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В границах водоохранных зон устанавливаются прибрежные защитные полосы (ПЗП), на территориях которых вводятся дополнительные ограничения хозяйственной и иной деятельности.</w:t>
      </w:r>
    </w:p>
    <w:p w14:paraId="20E8C228"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Размеры и границы водоохранных зон, а также режим их использования утверждены статьей 65 Водного кодекса РФ.</w:t>
      </w:r>
    </w:p>
    <w:p w14:paraId="1C6D3035"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Ширина водоохраной зоны рек или ручьев устанавливается от их истока для рек или ручьев протяженностью:</w:t>
      </w:r>
    </w:p>
    <w:p w14:paraId="23DF1328" w14:textId="77777777" w:rsidR="00171AA8" w:rsidRPr="00731FE2" w:rsidRDefault="007935AB" w:rsidP="007832E7">
      <w:pPr>
        <w:pStyle w:val="a3"/>
        <w:numPr>
          <w:ilvl w:val="0"/>
          <w:numId w:val="108"/>
        </w:numPr>
        <w:pBdr>
          <w:top w:val="none" w:sz="4" w:space="0" w:color="000000"/>
          <w:left w:val="none" w:sz="4" w:space="0" w:color="000000"/>
          <w:bottom w:val="none" w:sz="4" w:space="0" w:color="000000"/>
          <w:right w:val="none" w:sz="4" w:space="0" w:color="000000"/>
        </w:pBdr>
        <w:tabs>
          <w:tab w:val="left" w:pos="850"/>
        </w:tabs>
        <w:ind w:left="0" w:firstLine="709"/>
        <w:rPr>
          <w:rFonts w:ascii="Times New Roman" w:eastAsia="Times New Roman" w:hAnsi="Times New Roman" w:cs="Times New Roman"/>
          <w:color w:val="000000"/>
        </w:rPr>
      </w:pPr>
      <w:r w:rsidRPr="00731FE2">
        <w:rPr>
          <w:rFonts w:ascii="Times New Roman" w:eastAsia="Times New Roman" w:hAnsi="Times New Roman" w:cs="Times New Roman"/>
          <w:color w:val="000000"/>
        </w:rPr>
        <w:t>до десяти километров – в размере 50 метров;</w:t>
      </w:r>
    </w:p>
    <w:p w14:paraId="3FEEBE52" w14:textId="77777777" w:rsidR="00171AA8" w:rsidRPr="00731FE2" w:rsidRDefault="007935AB" w:rsidP="007832E7">
      <w:pPr>
        <w:pStyle w:val="a3"/>
        <w:numPr>
          <w:ilvl w:val="0"/>
          <w:numId w:val="108"/>
        </w:numPr>
        <w:pBdr>
          <w:top w:val="none" w:sz="4" w:space="0" w:color="000000"/>
          <w:left w:val="none" w:sz="4" w:space="0" w:color="000000"/>
          <w:bottom w:val="none" w:sz="4" w:space="0" w:color="000000"/>
          <w:right w:val="none" w:sz="4" w:space="0" w:color="000000"/>
        </w:pBdr>
        <w:tabs>
          <w:tab w:val="left" w:pos="850"/>
        </w:tabs>
        <w:ind w:left="0" w:firstLine="709"/>
        <w:rPr>
          <w:rFonts w:ascii="Times New Roman" w:eastAsia="Times New Roman" w:hAnsi="Times New Roman" w:cs="Times New Roman"/>
          <w:color w:val="000000"/>
        </w:rPr>
      </w:pPr>
      <w:r w:rsidRPr="00731FE2">
        <w:rPr>
          <w:rFonts w:ascii="Times New Roman" w:eastAsia="Times New Roman" w:hAnsi="Times New Roman" w:cs="Times New Roman"/>
          <w:color w:val="000000"/>
        </w:rPr>
        <w:t>от десяти до пятидесяти километров – в размере 100 метров;</w:t>
      </w:r>
    </w:p>
    <w:p w14:paraId="450832FE" w14:textId="77777777" w:rsidR="00171AA8" w:rsidRPr="00731FE2" w:rsidRDefault="007935AB" w:rsidP="007832E7">
      <w:pPr>
        <w:pStyle w:val="a3"/>
        <w:numPr>
          <w:ilvl w:val="0"/>
          <w:numId w:val="108"/>
        </w:numPr>
        <w:pBdr>
          <w:top w:val="none" w:sz="4" w:space="0" w:color="000000"/>
          <w:left w:val="none" w:sz="4" w:space="0" w:color="000000"/>
          <w:bottom w:val="none" w:sz="4" w:space="0" w:color="000000"/>
          <w:right w:val="none" w:sz="4" w:space="0" w:color="000000"/>
        </w:pBdr>
        <w:tabs>
          <w:tab w:val="left" w:pos="850"/>
        </w:tabs>
        <w:ind w:left="0" w:firstLine="709"/>
        <w:rPr>
          <w:rFonts w:ascii="Times New Roman" w:eastAsia="Times New Roman" w:hAnsi="Times New Roman" w:cs="Times New Roman"/>
          <w:color w:val="000000"/>
        </w:rPr>
      </w:pPr>
      <w:r w:rsidRPr="00731FE2">
        <w:rPr>
          <w:rFonts w:ascii="Times New Roman" w:eastAsia="Times New Roman" w:hAnsi="Times New Roman" w:cs="Times New Roman"/>
          <w:color w:val="000000"/>
        </w:rPr>
        <w:t>от пятидесяти километров и более – в размере 200 метров.</w:t>
      </w:r>
    </w:p>
    <w:p w14:paraId="669926FE"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lastRenderedPageBreak/>
        <w:t>Радиус водоохранной зоны для истоков реки, ручья устанавливается в размере пятидесяти метров.</w:t>
      </w:r>
    </w:p>
    <w:p w14:paraId="1C79CD9F"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 xml:space="preserve">Ширина водоохранной зоны озера, водохранилища, за исключением озера, расположенного внутри болота, или озера, водохранилища с акваторией менее 0,5 квадратного километра, устанавливается в размере пятидесяти метров. Ширина водоохранной зоны водохранилища, расположенного на водотоке, устанавливается равной ширине водоохранной зоны этого водотока. </w:t>
      </w:r>
    </w:p>
    <w:p w14:paraId="07D1FD18"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Для реки, ручья протяженностью менее десяти километров от истока до устья водоохранная зона совпадает с прибрежной защитной полосой.</w:t>
      </w:r>
    </w:p>
    <w:p w14:paraId="1DE73B44"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Прибрежную защитную полосу водных объектов необходимо установить шириной от 30 до 50 м в зависимости от угла уклона берега водного объекта (тридцать метров для обратного или нулевого уклона, сорок метров для уклона до трех градусов и пятьдесят метров для уклона три и более градуса).</w:t>
      </w:r>
    </w:p>
    <w:p w14:paraId="4AD9665C"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Для расположенных в границах болот проточных и сточных озер и соответствующих водотоков ширина прибрежной защитной полосы устанавливается в размере 50 м.</w:t>
      </w:r>
    </w:p>
    <w:p w14:paraId="1138BC47"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b/>
          <w:bCs/>
          <w:color w:val="000000"/>
        </w:rPr>
        <w:t>Зоны санитарной охраны источников водоснабжения и водопроводов питьевого назначения.</w:t>
      </w:r>
      <w:r w:rsidRPr="00731FE2">
        <w:rPr>
          <w:rFonts w:ascii="Times New Roman" w:eastAsia="Times New Roman" w:hAnsi="Times New Roman" w:cs="Times New Roman"/>
          <w:color w:val="000000"/>
        </w:rPr>
        <w:t xml:space="preserve"> Границы зон санитарной охраны источников водоснабжения и водопроводов питьевого назначения (далее – ЗСО) определяются согласно Постановлению главного санитарного врача Российской Федерации от 14 марта 2002 года №10. ЗСО организуются на всех водопроводах, вне зависимости от ведомственной принадлежности, подающих воду как из поверхностных, так и из подземных источников. ЗСО организуются в составе трех поясов: первый пояс (строгого режима) включает территорию расположения водозаборов, площадок всех водопроводных сооружений и водопроводящего канала. Его назначение – защита места водозабора и водозаборных сооружений от случайного или умышленного загрязнения и повреждения. Второй и третий пояса (пояса ограничений) включают территорию, предназначенную для предупреждения загрязнения воды источников водоснабжения.</w:t>
      </w:r>
    </w:p>
    <w:p w14:paraId="489BB600"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Определение границ поясов ЗСО подземного источника. Границы первого пояса. Водозаборы подземных вод должны располагаться вне территории промышленных предприятий и жилой застройки. Расположение на территории промышленного предприятия или жилой застройки возможно при надлежащем обосновании. Граница первого пояса устанавливается на расстоянии не менее 30 м от водозабора – при использовании защищенных подземных вод и на расстоянии не менее 50 м – при использовании недостаточно защищенных подземных вод. Граница первого пояса ЗСО группы подземных водозаборов должна находиться на расстоянии не менее 30 и 50 м от крайних скважин.</w:t>
      </w:r>
    </w:p>
    <w:p w14:paraId="18A1FF69"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Для водозаборов при искусственном пополнении запасов подземных вод граница первого пояса устанавливается как для подземного недостаточно защищенного источника водоснабжения на расстоянии не менее 50 м от водозабора и не менее 100 м от инфильтрационных сооружений (бассейнов, каналов и др.).</w:t>
      </w:r>
    </w:p>
    <w:p w14:paraId="19D017B8"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В границы первого пояса инфильтрационных водозаборов подземных вод включается прибрежная территория между водозабором и поверхностным водоемом, если расстояние между ними менее 150 м.</w:t>
      </w:r>
    </w:p>
    <w:p w14:paraId="5F2AA6A3"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lastRenderedPageBreak/>
        <w:t>Граница второго и третьего поясов. Определение границ второго и третьего поясов ЗСО подземных источников водоснабжения для различных гидрогеологических условий проводится в соответствии с методиками гидрогеологических расчетов и материалами СанПиН 2.1.4.1110-02.</w:t>
      </w:r>
    </w:p>
    <w:p w14:paraId="0247AF48"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Определение границ поясов ЗСО поверхностного источника.</w:t>
      </w:r>
    </w:p>
    <w:p w14:paraId="131C1E7F"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Граница первого пояса ЗСО водопровода с поверхностным источником устанавливается с учетом конкретных условий, в следующих пределах:</w:t>
      </w:r>
    </w:p>
    <w:p w14:paraId="38CAB09A"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а) для водотоков:</w:t>
      </w:r>
    </w:p>
    <w:p w14:paraId="52E5D2D8" w14:textId="77777777" w:rsidR="00171AA8" w:rsidRPr="00731FE2" w:rsidRDefault="007935AB">
      <w:pPr>
        <w:pBdr>
          <w:top w:val="none" w:sz="4" w:space="0" w:color="000000"/>
          <w:left w:val="none" w:sz="4" w:space="0" w:color="000000"/>
          <w:bottom w:val="none" w:sz="4" w:space="0" w:color="000000"/>
          <w:right w:val="none" w:sz="4" w:space="0" w:color="000000"/>
        </w:pBdr>
        <w:tabs>
          <w:tab w:val="left" w:pos="992"/>
        </w:tabs>
        <w:rPr>
          <w:rFonts w:ascii="Times New Roman" w:eastAsia="Times New Roman" w:hAnsi="Times New Roman" w:cs="Times New Roman"/>
          <w:color w:val="000000"/>
        </w:rPr>
      </w:pPr>
      <w:r w:rsidRPr="00731FE2">
        <w:rPr>
          <w:rFonts w:ascii="Times New Roman" w:eastAsia="Times New Roman" w:hAnsi="Times New Roman" w:cs="Times New Roman"/>
          <w:color w:val="000000"/>
        </w:rPr>
        <w:t>•</w:t>
      </w:r>
      <w:r w:rsidRPr="00731FE2">
        <w:rPr>
          <w:rFonts w:ascii="Times New Roman" w:eastAsia="Times New Roman" w:hAnsi="Times New Roman" w:cs="Times New Roman"/>
          <w:color w:val="000000"/>
        </w:rPr>
        <w:tab/>
        <w:t>вверх по течению – не менее 200 м от водозабора;</w:t>
      </w:r>
    </w:p>
    <w:p w14:paraId="55D68C92" w14:textId="77777777" w:rsidR="00171AA8" w:rsidRPr="00731FE2" w:rsidRDefault="007935AB">
      <w:pPr>
        <w:pBdr>
          <w:top w:val="none" w:sz="4" w:space="0" w:color="000000"/>
          <w:left w:val="none" w:sz="4" w:space="0" w:color="000000"/>
          <w:bottom w:val="none" w:sz="4" w:space="0" w:color="000000"/>
          <w:right w:val="none" w:sz="4" w:space="0" w:color="000000"/>
        </w:pBdr>
        <w:tabs>
          <w:tab w:val="left" w:pos="992"/>
        </w:tabs>
        <w:rPr>
          <w:rFonts w:ascii="Times New Roman" w:eastAsia="Times New Roman" w:hAnsi="Times New Roman" w:cs="Times New Roman"/>
          <w:color w:val="000000"/>
        </w:rPr>
      </w:pPr>
      <w:r w:rsidRPr="00731FE2">
        <w:rPr>
          <w:rFonts w:ascii="Times New Roman" w:eastAsia="Times New Roman" w:hAnsi="Times New Roman" w:cs="Times New Roman"/>
          <w:color w:val="000000"/>
        </w:rPr>
        <w:t>•</w:t>
      </w:r>
      <w:r w:rsidRPr="00731FE2">
        <w:rPr>
          <w:rFonts w:ascii="Times New Roman" w:eastAsia="Times New Roman" w:hAnsi="Times New Roman" w:cs="Times New Roman"/>
          <w:color w:val="000000"/>
        </w:rPr>
        <w:tab/>
        <w:t>вниз по течению – не менее 100 м от водозабора;</w:t>
      </w:r>
    </w:p>
    <w:p w14:paraId="22DBB0A8" w14:textId="77777777" w:rsidR="00171AA8" w:rsidRPr="00731FE2" w:rsidRDefault="007935AB">
      <w:pPr>
        <w:pBdr>
          <w:top w:val="none" w:sz="4" w:space="0" w:color="000000"/>
          <w:left w:val="none" w:sz="4" w:space="0" w:color="000000"/>
          <w:bottom w:val="none" w:sz="4" w:space="0" w:color="000000"/>
          <w:right w:val="none" w:sz="4" w:space="0" w:color="000000"/>
        </w:pBdr>
        <w:tabs>
          <w:tab w:val="left" w:pos="992"/>
        </w:tabs>
        <w:rPr>
          <w:rFonts w:ascii="Times New Roman" w:eastAsia="Times New Roman" w:hAnsi="Times New Roman" w:cs="Times New Roman"/>
          <w:color w:val="000000"/>
        </w:rPr>
      </w:pPr>
      <w:r w:rsidRPr="00731FE2">
        <w:rPr>
          <w:rFonts w:ascii="Times New Roman" w:eastAsia="Times New Roman" w:hAnsi="Times New Roman" w:cs="Times New Roman"/>
          <w:color w:val="000000"/>
        </w:rPr>
        <w:t>•</w:t>
      </w:r>
      <w:r w:rsidRPr="00731FE2">
        <w:rPr>
          <w:rFonts w:ascii="Times New Roman" w:eastAsia="Times New Roman" w:hAnsi="Times New Roman" w:cs="Times New Roman"/>
          <w:color w:val="000000"/>
        </w:rPr>
        <w:tab/>
        <w:t>по прилегающему к водозабору берегу – не менее 100 м от линии уреза воды летне-осенней межени;</w:t>
      </w:r>
    </w:p>
    <w:p w14:paraId="6114DAEC" w14:textId="77777777" w:rsidR="00171AA8" w:rsidRPr="00731FE2" w:rsidRDefault="007935AB">
      <w:pPr>
        <w:pBdr>
          <w:top w:val="none" w:sz="4" w:space="0" w:color="000000"/>
          <w:left w:val="none" w:sz="4" w:space="0" w:color="000000"/>
          <w:bottom w:val="none" w:sz="4" w:space="0" w:color="000000"/>
          <w:right w:val="none" w:sz="4" w:space="0" w:color="000000"/>
        </w:pBdr>
        <w:tabs>
          <w:tab w:val="left" w:pos="992"/>
        </w:tabs>
        <w:rPr>
          <w:rFonts w:ascii="Times New Roman" w:eastAsia="Times New Roman" w:hAnsi="Times New Roman" w:cs="Times New Roman"/>
          <w:color w:val="000000"/>
        </w:rPr>
      </w:pPr>
      <w:r w:rsidRPr="00731FE2">
        <w:rPr>
          <w:rFonts w:ascii="Times New Roman" w:eastAsia="Times New Roman" w:hAnsi="Times New Roman" w:cs="Times New Roman"/>
          <w:color w:val="000000"/>
        </w:rPr>
        <w:t>•</w:t>
      </w:r>
      <w:r w:rsidRPr="00731FE2">
        <w:rPr>
          <w:rFonts w:ascii="Times New Roman" w:eastAsia="Times New Roman" w:hAnsi="Times New Roman" w:cs="Times New Roman"/>
          <w:color w:val="000000"/>
        </w:rPr>
        <w:tab/>
        <w:t>в направлении к противоположному от водозабора берегу при ширине реки или канала менее 100 м – вся акватория и противоположный берег шириной 50 м от линии уреза воды при летне-осенней межени, при ширине реки или канала более 100 м – полоса акватории шириной не менее 100 м;</w:t>
      </w:r>
    </w:p>
    <w:p w14:paraId="781F6AEB"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б) для водоемов (водохранилища, озера) граница первого пояса должна устанавливаться в зависимости от местных санитарных и гидрологических условий, но не менее 100 м во всех направлениях по акватории водозабора и по прилегающему к водозабору берегу от линии уреза воды при летне-осенней межени.</w:t>
      </w:r>
    </w:p>
    <w:p w14:paraId="6855BBBF"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Границы второго пояса ЗСО водотоков (реки, канала) и водоемов (водохранилища, озера) определяются в зависимости от природных, климатических и гидрологических условий. Граница второго пояса на водотоке в целях микробного самоочищения должна быть удалена вверх по течению водозабора на столько, чтобы время пробега по основному водотоку и его притокам, при расходе воды в водотоке 95% обеспеченности, было не менее 5 суток – для IА, Б, В и Г, а также IIА климатических районов, и не менее 3-х суток – для 1Д, IIБ, В, Г, а также III климатического района. Скорость движения воды в м/сутки принимается усредненной по ширине и длине водотока или для отдельных его участков при резких колебаниях скорости течения.</w:t>
      </w:r>
    </w:p>
    <w:p w14:paraId="3C106A53"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Граница второго пояса ЗСО водотока ниже по течению должна быть определена с учетом исключения влияния ветровых обратных течений, но не менее 250 м от водозабора.</w:t>
      </w:r>
    </w:p>
    <w:p w14:paraId="5CCBC71F"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Боковые границы второго пояса ЗСО от уреза воды при летне-осенней межени должны быть расположены на расстоянии:</w:t>
      </w:r>
    </w:p>
    <w:p w14:paraId="10A2C95B"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а) при равнинном рельефе местности – не менее 500 м;</w:t>
      </w:r>
    </w:p>
    <w:p w14:paraId="50135A69"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б) при гористом рельефе местности – до вершины первого склона, обращенного в сторону источника водоснабжения, но не менее 750 м при пологом склоне и не менее 1000 м при крутом.</w:t>
      </w:r>
    </w:p>
    <w:p w14:paraId="11804A62"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В отдельных случаях, с учетом конкретной санитарной ситуации и при соответствующем обосновании, территория второго пояса может быть увеличена по согласованию с центром государственного санитарно-эпидемиологического надзора.</w:t>
      </w:r>
    </w:p>
    <w:p w14:paraId="01B25C16"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 xml:space="preserve">Границы третьего пояса ЗСО поверхностных источников водоснабжения на водотоке вверх и вниз по течению совпадают с границами второго пояса. Боковые границы должны проходить по линии водоразделов в пределах 3-5 километров, включая </w:t>
      </w:r>
      <w:r w:rsidRPr="00731FE2">
        <w:rPr>
          <w:rFonts w:ascii="Times New Roman" w:eastAsia="Times New Roman" w:hAnsi="Times New Roman" w:cs="Times New Roman"/>
          <w:color w:val="000000"/>
        </w:rPr>
        <w:lastRenderedPageBreak/>
        <w:t>притоки. Границы третьего пояса поверхностного источника на водоеме полностью совпадают с границами второго пояса.</w:t>
      </w:r>
    </w:p>
    <w:p w14:paraId="32835A3C"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Определение границ ЗСО водопроводных сооружений и водоводов. Зона санитарной охраны водопроводных сооружений, расположенных вне территории водозабора, представлена первым поясом (строгого режима), водоводов – санитарно-защитной полосой.</w:t>
      </w:r>
    </w:p>
    <w:p w14:paraId="74298A03"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Граница первого пояса ЗСО водопроводных сооружений принимается на расстоянии:</w:t>
      </w:r>
    </w:p>
    <w:p w14:paraId="78A07A3D" w14:textId="77777777" w:rsidR="00171AA8" w:rsidRPr="00731FE2" w:rsidRDefault="007935AB">
      <w:pPr>
        <w:pBdr>
          <w:top w:val="none" w:sz="4" w:space="0" w:color="000000"/>
          <w:left w:val="none" w:sz="4" w:space="0" w:color="000000"/>
          <w:bottom w:val="none" w:sz="4" w:space="0" w:color="000000"/>
          <w:right w:val="none" w:sz="4" w:space="0" w:color="000000"/>
        </w:pBdr>
        <w:tabs>
          <w:tab w:val="left" w:pos="992"/>
        </w:tabs>
        <w:rPr>
          <w:rFonts w:ascii="Times New Roman" w:eastAsia="Times New Roman" w:hAnsi="Times New Roman" w:cs="Times New Roman"/>
          <w:color w:val="000000"/>
        </w:rPr>
      </w:pPr>
      <w:r w:rsidRPr="00731FE2">
        <w:rPr>
          <w:rFonts w:ascii="Times New Roman" w:eastAsia="Times New Roman" w:hAnsi="Times New Roman" w:cs="Times New Roman"/>
          <w:color w:val="000000"/>
        </w:rPr>
        <w:t>•</w:t>
      </w:r>
      <w:r w:rsidRPr="00731FE2">
        <w:rPr>
          <w:rFonts w:ascii="Times New Roman" w:eastAsia="Times New Roman" w:hAnsi="Times New Roman" w:cs="Times New Roman"/>
          <w:color w:val="000000"/>
        </w:rPr>
        <w:tab/>
        <w:t>от стен запасных и регулирующих емкостей, фильтров и контактных осветлителей – не менее 30 м;</w:t>
      </w:r>
    </w:p>
    <w:p w14:paraId="3F7E7EC1" w14:textId="77777777" w:rsidR="00171AA8" w:rsidRPr="00731FE2" w:rsidRDefault="007935AB">
      <w:pPr>
        <w:pBdr>
          <w:top w:val="none" w:sz="4" w:space="0" w:color="000000"/>
          <w:left w:val="none" w:sz="4" w:space="0" w:color="000000"/>
          <w:bottom w:val="none" w:sz="4" w:space="0" w:color="000000"/>
          <w:right w:val="none" w:sz="4" w:space="0" w:color="000000"/>
        </w:pBdr>
        <w:tabs>
          <w:tab w:val="left" w:pos="992"/>
        </w:tabs>
        <w:rPr>
          <w:rFonts w:ascii="Times New Roman" w:eastAsia="Times New Roman" w:hAnsi="Times New Roman" w:cs="Times New Roman"/>
          <w:color w:val="000000"/>
        </w:rPr>
      </w:pPr>
      <w:r w:rsidRPr="00731FE2">
        <w:rPr>
          <w:rFonts w:ascii="Times New Roman" w:eastAsia="Times New Roman" w:hAnsi="Times New Roman" w:cs="Times New Roman"/>
          <w:color w:val="000000"/>
        </w:rPr>
        <w:t>•</w:t>
      </w:r>
      <w:r w:rsidRPr="00731FE2">
        <w:rPr>
          <w:rFonts w:ascii="Times New Roman" w:eastAsia="Times New Roman" w:hAnsi="Times New Roman" w:cs="Times New Roman"/>
          <w:color w:val="000000"/>
        </w:rPr>
        <w:tab/>
        <w:t>от водонапорных башен – не менее 10 м;</w:t>
      </w:r>
    </w:p>
    <w:p w14:paraId="72D1910B" w14:textId="77777777" w:rsidR="00171AA8" w:rsidRPr="00731FE2" w:rsidRDefault="007935AB">
      <w:pPr>
        <w:pBdr>
          <w:top w:val="none" w:sz="4" w:space="0" w:color="000000"/>
          <w:left w:val="none" w:sz="4" w:space="0" w:color="000000"/>
          <w:bottom w:val="none" w:sz="4" w:space="0" w:color="000000"/>
          <w:right w:val="none" w:sz="4" w:space="0" w:color="000000"/>
        </w:pBdr>
        <w:tabs>
          <w:tab w:val="left" w:pos="992"/>
        </w:tabs>
        <w:rPr>
          <w:rFonts w:ascii="Times New Roman" w:eastAsia="Times New Roman" w:hAnsi="Times New Roman" w:cs="Times New Roman"/>
          <w:color w:val="000000"/>
        </w:rPr>
      </w:pPr>
      <w:r w:rsidRPr="00731FE2">
        <w:rPr>
          <w:rFonts w:ascii="Times New Roman" w:eastAsia="Times New Roman" w:hAnsi="Times New Roman" w:cs="Times New Roman"/>
          <w:color w:val="000000"/>
        </w:rPr>
        <w:t>•</w:t>
      </w:r>
      <w:r w:rsidRPr="00731FE2">
        <w:rPr>
          <w:rFonts w:ascii="Times New Roman" w:eastAsia="Times New Roman" w:hAnsi="Times New Roman" w:cs="Times New Roman"/>
          <w:color w:val="000000"/>
        </w:rPr>
        <w:tab/>
        <w:t>от остальных помещений (отстойники, реагентное хозяйство, склад хлора, насосные станции и др.) – не менее 15 м.</w:t>
      </w:r>
    </w:p>
    <w:p w14:paraId="6CB65884"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В функциональной зоне, независимо от ее функционального профиля, изъятие орошаемых и осушаемых земель, пашни, многолетних плодовых насаждений для несельскохозяйственных нужд, а также земель, занятых лесами первой группы, для использования в целях, не связанных с ведением лесного хозяйства, должно производиться только в исключительных случаях, на основе специальных обоснований.</w:t>
      </w:r>
    </w:p>
    <w:p w14:paraId="2A6EB42B"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 xml:space="preserve">Перечень промышленных предприятий города-курорта Кисловодска приведен в таблице ниже. Для некоторых из них установлены СЗЗ. </w:t>
      </w:r>
    </w:p>
    <w:p w14:paraId="7402A4F8" w14:textId="77777777" w:rsidR="00171AA8" w:rsidRPr="00731FE2" w:rsidRDefault="00171AA8">
      <w:pPr>
        <w:pBdr>
          <w:top w:val="none" w:sz="4" w:space="0" w:color="000000"/>
          <w:left w:val="none" w:sz="4" w:space="0" w:color="000000"/>
          <w:bottom w:val="none" w:sz="4" w:space="0" w:color="000000"/>
          <w:right w:val="none" w:sz="4" w:space="0" w:color="000000"/>
        </w:pBdr>
        <w:spacing w:line="253" w:lineRule="atLeast"/>
      </w:pPr>
    </w:p>
    <w:p w14:paraId="247FA5A6" w14:textId="77777777" w:rsidR="00171AA8" w:rsidRPr="00731FE2" w:rsidRDefault="007935AB">
      <w:pPr>
        <w:pStyle w:val="af3"/>
        <w:rPr>
          <w:sz w:val="24"/>
          <w:szCs w:val="24"/>
        </w:rPr>
      </w:pPr>
      <w:r w:rsidRPr="00731FE2">
        <w:rPr>
          <w:sz w:val="24"/>
          <w:szCs w:val="24"/>
        </w:rPr>
        <w:t xml:space="preserve">Таблица </w:t>
      </w:r>
      <w:r w:rsidR="00D97880" w:rsidRPr="00731FE2">
        <w:rPr>
          <w:noProof/>
          <w:sz w:val="24"/>
          <w:szCs w:val="24"/>
        </w:rPr>
        <w:fldChar w:fldCharType="begin"/>
      </w:r>
      <w:r w:rsidR="00D97880" w:rsidRPr="00731FE2">
        <w:rPr>
          <w:noProof/>
          <w:sz w:val="24"/>
          <w:szCs w:val="24"/>
        </w:rPr>
        <w:instrText xml:space="preserve"> SEQ Таблица \* Arabic </w:instrText>
      </w:r>
      <w:r w:rsidR="00D97880" w:rsidRPr="00731FE2">
        <w:rPr>
          <w:noProof/>
          <w:sz w:val="24"/>
          <w:szCs w:val="24"/>
        </w:rPr>
        <w:fldChar w:fldCharType="separate"/>
      </w:r>
      <w:r w:rsidR="00C50915" w:rsidRPr="00731FE2">
        <w:rPr>
          <w:noProof/>
          <w:sz w:val="24"/>
          <w:szCs w:val="24"/>
        </w:rPr>
        <w:t>94</w:t>
      </w:r>
      <w:r w:rsidR="00D97880" w:rsidRPr="00731FE2">
        <w:rPr>
          <w:noProof/>
          <w:sz w:val="24"/>
          <w:szCs w:val="24"/>
        </w:rPr>
        <w:fldChar w:fldCharType="end"/>
      </w:r>
      <w:r w:rsidRPr="00731FE2">
        <w:rPr>
          <w:sz w:val="24"/>
          <w:szCs w:val="24"/>
        </w:rPr>
        <w:t xml:space="preserve"> – Перечень промышленных предприятий городского округа города-курорта Кисловодска и ориентировочный размер СЗЗ</w:t>
      </w:r>
    </w:p>
    <w:tbl>
      <w:tblPr>
        <w:tblStyle w:val="afe"/>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ayout w:type="fixed"/>
        <w:tblLook w:val="04A0" w:firstRow="1" w:lastRow="0" w:firstColumn="1" w:lastColumn="0" w:noHBand="0" w:noVBand="1"/>
      </w:tblPr>
      <w:tblGrid>
        <w:gridCol w:w="549"/>
        <w:gridCol w:w="2229"/>
        <w:gridCol w:w="2183"/>
        <w:gridCol w:w="2460"/>
        <w:gridCol w:w="1934"/>
      </w:tblGrid>
      <w:tr w:rsidR="00171AA8" w:rsidRPr="00731FE2" w14:paraId="5787F0AA" w14:textId="77777777">
        <w:tc>
          <w:tcPr>
            <w:tcW w:w="549"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14:paraId="500285F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b/>
                <w:bCs/>
                <w:color w:val="000000"/>
                <w:sz w:val="20"/>
                <w:szCs w:val="18"/>
              </w:rPr>
            </w:pPr>
            <w:r w:rsidRPr="00731FE2">
              <w:rPr>
                <w:rFonts w:ascii="Times New Roman" w:eastAsia="Times New Roman" w:hAnsi="Times New Roman" w:cs="Times New Roman"/>
                <w:b/>
                <w:bCs/>
                <w:color w:val="000000"/>
                <w:sz w:val="20"/>
                <w:szCs w:val="18"/>
              </w:rPr>
              <w:t>№ п/п</w:t>
            </w:r>
          </w:p>
        </w:tc>
        <w:tc>
          <w:tcPr>
            <w:tcW w:w="2229" w:type="dxa"/>
            <w:tcBorders>
              <w:top w:val="single" w:sz="8" w:space="0" w:color="000000"/>
              <w:left w:val="none" w:sz="4" w:space="0" w:color="000000"/>
              <w:bottom w:val="single" w:sz="8" w:space="0" w:color="000000"/>
              <w:right w:val="single" w:sz="8" w:space="0" w:color="000000"/>
            </w:tcBorders>
            <w:tcMar>
              <w:top w:w="0" w:type="dxa"/>
              <w:left w:w="108" w:type="dxa"/>
              <w:bottom w:w="0" w:type="dxa"/>
              <w:right w:w="108" w:type="dxa"/>
            </w:tcMar>
          </w:tcPr>
          <w:p w14:paraId="0BDABC4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b/>
                <w:bCs/>
                <w:color w:val="000000"/>
                <w:sz w:val="20"/>
                <w:szCs w:val="18"/>
              </w:rPr>
            </w:pPr>
            <w:r w:rsidRPr="00731FE2">
              <w:rPr>
                <w:rFonts w:ascii="Times New Roman" w:eastAsia="Times New Roman" w:hAnsi="Times New Roman" w:cs="Times New Roman"/>
                <w:b/>
                <w:bCs/>
                <w:color w:val="000000"/>
                <w:sz w:val="20"/>
                <w:szCs w:val="18"/>
              </w:rPr>
              <w:t>Наименование предприятия</w:t>
            </w:r>
          </w:p>
        </w:tc>
        <w:tc>
          <w:tcPr>
            <w:tcW w:w="2183" w:type="dxa"/>
            <w:tcBorders>
              <w:top w:val="single" w:sz="8" w:space="0" w:color="000000"/>
              <w:left w:val="none" w:sz="4" w:space="0" w:color="000000"/>
              <w:bottom w:val="single" w:sz="8" w:space="0" w:color="000000"/>
              <w:right w:val="single" w:sz="8" w:space="0" w:color="000000"/>
            </w:tcBorders>
            <w:tcMar>
              <w:top w:w="0" w:type="dxa"/>
              <w:left w:w="108" w:type="dxa"/>
              <w:bottom w:w="0" w:type="dxa"/>
              <w:right w:w="108" w:type="dxa"/>
            </w:tcMar>
          </w:tcPr>
          <w:p w14:paraId="6175142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b/>
                <w:bCs/>
                <w:color w:val="000000"/>
                <w:sz w:val="20"/>
                <w:szCs w:val="18"/>
              </w:rPr>
            </w:pPr>
            <w:r w:rsidRPr="00731FE2">
              <w:rPr>
                <w:rFonts w:ascii="Times New Roman" w:eastAsia="Times New Roman" w:hAnsi="Times New Roman" w:cs="Times New Roman"/>
                <w:b/>
                <w:bCs/>
                <w:color w:val="000000"/>
                <w:sz w:val="20"/>
                <w:szCs w:val="18"/>
              </w:rPr>
              <w:t>Адрес</w:t>
            </w:r>
          </w:p>
        </w:tc>
        <w:tc>
          <w:tcPr>
            <w:tcW w:w="2460" w:type="dxa"/>
            <w:tcBorders>
              <w:top w:val="single" w:sz="8" w:space="0" w:color="000000"/>
              <w:left w:val="none" w:sz="4" w:space="0" w:color="000000"/>
              <w:bottom w:val="single" w:sz="8" w:space="0" w:color="000000"/>
              <w:right w:val="single" w:sz="8" w:space="0" w:color="000000"/>
            </w:tcBorders>
            <w:tcMar>
              <w:top w:w="0" w:type="dxa"/>
              <w:left w:w="108" w:type="dxa"/>
              <w:bottom w:w="0" w:type="dxa"/>
              <w:right w:w="108" w:type="dxa"/>
            </w:tcMar>
          </w:tcPr>
          <w:p w14:paraId="639316C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b/>
                <w:bCs/>
                <w:color w:val="000000"/>
                <w:sz w:val="20"/>
                <w:szCs w:val="18"/>
              </w:rPr>
            </w:pPr>
            <w:r w:rsidRPr="00731FE2">
              <w:rPr>
                <w:rFonts w:ascii="Times New Roman" w:eastAsia="Times New Roman" w:hAnsi="Times New Roman" w:cs="Times New Roman"/>
                <w:b/>
                <w:bCs/>
                <w:color w:val="000000"/>
                <w:sz w:val="20"/>
                <w:szCs w:val="18"/>
              </w:rPr>
              <w:t>Вид деятельности</w:t>
            </w:r>
          </w:p>
        </w:tc>
        <w:tc>
          <w:tcPr>
            <w:tcW w:w="1934" w:type="dxa"/>
            <w:tcBorders>
              <w:top w:val="single" w:sz="8" w:space="0" w:color="000000"/>
              <w:left w:val="none" w:sz="4" w:space="0" w:color="000000"/>
              <w:bottom w:val="single" w:sz="8" w:space="0" w:color="000000"/>
              <w:right w:val="single" w:sz="8" w:space="0" w:color="000000"/>
            </w:tcBorders>
            <w:tcMar>
              <w:top w:w="0" w:type="dxa"/>
              <w:left w:w="108" w:type="dxa"/>
              <w:bottom w:w="0" w:type="dxa"/>
              <w:right w:w="108" w:type="dxa"/>
            </w:tcMar>
          </w:tcPr>
          <w:p w14:paraId="1CDCA3E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b/>
                <w:bCs/>
                <w:color w:val="000000"/>
                <w:sz w:val="20"/>
                <w:szCs w:val="18"/>
              </w:rPr>
            </w:pPr>
            <w:r w:rsidRPr="00731FE2">
              <w:rPr>
                <w:rFonts w:ascii="Times New Roman" w:eastAsia="Times New Roman" w:hAnsi="Times New Roman" w:cs="Times New Roman"/>
                <w:b/>
                <w:bCs/>
                <w:color w:val="000000"/>
                <w:sz w:val="20"/>
                <w:szCs w:val="18"/>
              </w:rPr>
              <w:t>Ориентировочный размер СЗЗ, м</w:t>
            </w:r>
          </w:p>
        </w:tc>
      </w:tr>
      <w:tr w:rsidR="00171AA8" w:rsidRPr="00731FE2" w14:paraId="684F7155" w14:textId="77777777">
        <w:trPr>
          <w:trHeight w:val="452"/>
        </w:trPr>
        <w:tc>
          <w:tcPr>
            <w:tcW w:w="549"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15288240"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18"/>
              </w:rPr>
            </w:pPr>
            <w:r w:rsidRPr="00731FE2">
              <w:rPr>
                <w:rFonts w:ascii="Times New Roman" w:eastAsia="Times New Roman" w:hAnsi="Times New Roman" w:cs="Times New Roman"/>
                <w:color w:val="000000"/>
                <w:sz w:val="20"/>
                <w:szCs w:val="18"/>
              </w:rPr>
              <w:t>1.</w:t>
            </w:r>
          </w:p>
        </w:tc>
        <w:tc>
          <w:tcPr>
            <w:tcW w:w="2229"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4E19989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eastAsia="Times New Roman" w:hAnsi="Times New Roman" w:cs="Times New Roman"/>
                <w:color w:val="000000"/>
                <w:sz w:val="20"/>
                <w:szCs w:val="18"/>
              </w:rPr>
            </w:pPr>
            <w:r w:rsidRPr="00731FE2">
              <w:rPr>
                <w:rFonts w:ascii="Times New Roman" w:eastAsia="Times New Roman" w:hAnsi="Times New Roman" w:cs="Times New Roman"/>
                <w:color w:val="000000"/>
                <w:sz w:val="20"/>
                <w:szCs w:val="18"/>
              </w:rPr>
              <w:t>ООО «Кисловодский хлебокомбинат»</w:t>
            </w:r>
          </w:p>
        </w:tc>
        <w:tc>
          <w:tcPr>
            <w:tcW w:w="2183"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46FF62F8" w14:textId="77777777" w:rsidR="00171AA8" w:rsidRPr="00731FE2" w:rsidRDefault="00A4523A">
            <w:pPr>
              <w:pBdr>
                <w:top w:val="none" w:sz="4" w:space="0" w:color="000000"/>
                <w:left w:val="none" w:sz="4" w:space="0" w:color="000000"/>
                <w:bottom w:val="none" w:sz="4" w:space="0" w:color="000000"/>
                <w:right w:val="none" w:sz="4" w:space="0" w:color="000000"/>
              </w:pBdr>
              <w:ind w:firstLine="0"/>
              <w:jc w:val="left"/>
              <w:rPr>
                <w:rFonts w:ascii="Times New Roman" w:eastAsia="Times New Roman" w:hAnsi="Times New Roman" w:cs="Times New Roman"/>
                <w:color w:val="000000"/>
                <w:sz w:val="20"/>
                <w:szCs w:val="18"/>
              </w:rPr>
            </w:pPr>
            <w:r w:rsidRPr="00731FE2">
              <w:rPr>
                <w:rFonts w:ascii="Times New Roman" w:eastAsia="Times New Roman" w:hAnsi="Times New Roman" w:cs="Times New Roman"/>
                <w:color w:val="000000"/>
                <w:sz w:val="20"/>
                <w:szCs w:val="18"/>
              </w:rPr>
              <w:t>у</w:t>
            </w:r>
            <w:r w:rsidR="007935AB" w:rsidRPr="00731FE2">
              <w:rPr>
                <w:rFonts w:ascii="Times New Roman" w:eastAsia="Times New Roman" w:hAnsi="Times New Roman" w:cs="Times New Roman"/>
                <w:color w:val="000000"/>
                <w:sz w:val="20"/>
                <w:szCs w:val="18"/>
              </w:rPr>
              <w:t>л. Седлогорская, 2</w:t>
            </w:r>
          </w:p>
        </w:tc>
        <w:tc>
          <w:tcPr>
            <w:tcW w:w="2460"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4E84B1F0"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18"/>
              </w:rPr>
            </w:pPr>
            <w:r w:rsidRPr="00731FE2">
              <w:rPr>
                <w:rFonts w:ascii="Times New Roman" w:eastAsia="Times New Roman" w:hAnsi="Times New Roman" w:cs="Times New Roman"/>
                <w:color w:val="000000"/>
                <w:sz w:val="20"/>
                <w:szCs w:val="18"/>
              </w:rPr>
              <w:t>Производство хлеба и хлебобулочных изделий</w:t>
            </w:r>
          </w:p>
        </w:tc>
        <w:tc>
          <w:tcPr>
            <w:tcW w:w="1934"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53AB28F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18"/>
              </w:rPr>
            </w:pPr>
            <w:r w:rsidRPr="00731FE2">
              <w:rPr>
                <w:rFonts w:ascii="Times New Roman" w:eastAsia="Times New Roman" w:hAnsi="Times New Roman" w:cs="Times New Roman"/>
                <w:color w:val="000000"/>
                <w:sz w:val="20"/>
                <w:szCs w:val="18"/>
              </w:rPr>
              <w:t>100</w:t>
            </w:r>
          </w:p>
        </w:tc>
      </w:tr>
      <w:tr w:rsidR="00171AA8" w:rsidRPr="00731FE2" w14:paraId="76AE6BD3" w14:textId="77777777">
        <w:trPr>
          <w:trHeight w:val="226"/>
        </w:trPr>
        <w:tc>
          <w:tcPr>
            <w:tcW w:w="549"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4ABBAF68"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18"/>
              </w:rPr>
            </w:pPr>
            <w:r w:rsidRPr="00731FE2">
              <w:rPr>
                <w:rFonts w:ascii="Times New Roman" w:eastAsia="Times New Roman" w:hAnsi="Times New Roman" w:cs="Times New Roman"/>
                <w:color w:val="000000"/>
                <w:sz w:val="20"/>
                <w:szCs w:val="18"/>
              </w:rPr>
              <w:t>2.</w:t>
            </w:r>
          </w:p>
        </w:tc>
        <w:tc>
          <w:tcPr>
            <w:tcW w:w="2229"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1D45075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eastAsia="Times New Roman" w:hAnsi="Times New Roman" w:cs="Times New Roman"/>
                <w:color w:val="000000"/>
                <w:sz w:val="20"/>
                <w:szCs w:val="18"/>
              </w:rPr>
            </w:pPr>
            <w:r w:rsidRPr="00731FE2">
              <w:rPr>
                <w:rFonts w:ascii="Times New Roman" w:eastAsia="Times New Roman" w:hAnsi="Times New Roman" w:cs="Times New Roman"/>
                <w:color w:val="000000"/>
                <w:sz w:val="20"/>
                <w:szCs w:val="18"/>
              </w:rPr>
              <w:t>АО «Нарзан»</w:t>
            </w:r>
          </w:p>
        </w:tc>
        <w:tc>
          <w:tcPr>
            <w:tcW w:w="2183"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7C377748" w14:textId="77777777" w:rsidR="00171AA8" w:rsidRPr="00731FE2" w:rsidRDefault="00A4523A">
            <w:pPr>
              <w:pBdr>
                <w:top w:val="none" w:sz="4" w:space="0" w:color="000000"/>
                <w:left w:val="none" w:sz="4" w:space="0" w:color="000000"/>
                <w:bottom w:val="none" w:sz="4" w:space="0" w:color="000000"/>
                <w:right w:val="none" w:sz="4" w:space="0" w:color="000000"/>
              </w:pBdr>
              <w:ind w:firstLine="0"/>
              <w:jc w:val="left"/>
              <w:rPr>
                <w:rFonts w:ascii="Times New Roman" w:eastAsia="Times New Roman" w:hAnsi="Times New Roman" w:cs="Times New Roman"/>
                <w:color w:val="000000"/>
                <w:sz w:val="20"/>
                <w:szCs w:val="18"/>
              </w:rPr>
            </w:pPr>
            <w:r w:rsidRPr="00731FE2">
              <w:rPr>
                <w:rFonts w:ascii="Times New Roman" w:eastAsia="Times New Roman" w:hAnsi="Times New Roman" w:cs="Times New Roman"/>
                <w:color w:val="000000"/>
                <w:sz w:val="20"/>
                <w:szCs w:val="18"/>
              </w:rPr>
              <w:t>у</w:t>
            </w:r>
            <w:r w:rsidR="007935AB" w:rsidRPr="00731FE2">
              <w:rPr>
                <w:rFonts w:ascii="Times New Roman" w:eastAsia="Times New Roman" w:hAnsi="Times New Roman" w:cs="Times New Roman"/>
                <w:color w:val="000000"/>
                <w:sz w:val="20"/>
                <w:szCs w:val="18"/>
              </w:rPr>
              <w:t>л. Кирова, 43</w:t>
            </w:r>
          </w:p>
        </w:tc>
        <w:tc>
          <w:tcPr>
            <w:tcW w:w="2460"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76E80DD3"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18"/>
              </w:rPr>
            </w:pPr>
            <w:r w:rsidRPr="00731FE2">
              <w:rPr>
                <w:rFonts w:ascii="Times New Roman" w:eastAsia="Times New Roman" w:hAnsi="Times New Roman" w:cs="Times New Roman"/>
                <w:color w:val="000000"/>
                <w:sz w:val="20"/>
                <w:szCs w:val="18"/>
              </w:rPr>
              <w:t>Розлив минеральной воды</w:t>
            </w:r>
          </w:p>
        </w:tc>
        <w:tc>
          <w:tcPr>
            <w:tcW w:w="1934"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3F673D7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18"/>
              </w:rPr>
            </w:pPr>
            <w:r w:rsidRPr="00731FE2">
              <w:rPr>
                <w:rFonts w:ascii="Times New Roman" w:eastAsia="Times New Roman" w:hAnsi="Times New Roman" w:cs="Times New Roman"/>
                <w:color w:val="000000"/>
                <w:sz w:val="20"/>
                <w:szCs w:val="18"/>
              </w:rPr>
              <w:t>300</w:t>
            </w:r>
          </w:p>
        </w:tc>
      </w:tr>
      <w:tr w:rsidR="00171AA8" w:rsidRPr="00731FE2" w14:paraId="44CFA155" w14:textId="77777777">
        <w:trPr>
          <w:trHeight w:val="692"/>
        </w:trPr>
        <w:tc>
          <w:tcPr>
            <w:tcW w:w="549"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1C6B7D2F"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18"/>
              </w:rPr>
            </w:pPr>
            <w:r w:rsidRPr="00731FE2">
              <w:rPr>
                <w:rFonts w:ascii="Times New Roman" w:eastAsia="Times New Roman" w:hAnsi="Times New Roman" w:cs="Times New Roman"/>
                <w:color w:val="000000"/>
                <w:sz w:val="20"/>
                <w:szCs w:val="18"/>
              </w:rPr>
              <w:t>3.</w:t>
            </w:r>
          </w:p>
        </w:tc>
        <w:tc>
          <w:tcPr>
            <w:tcW w:w="2229"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62AE2D8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eastAsia="Times New Roman" w:hAnsi="Times New Roman" w:cs="Times New Roman"/>
                <w:color w:val="000000"/>
                <w:sz w:val="20"/>
                <w:szCs w:val="18"/>
              </w:rPr>
            </w:pPr>
            <w:r w:rsidRPr="00731FE2">
              <w:rPr>
                <w:rFonts w:ascii="Times New Roman" w:eastAsia="Times New Roman" w:hAnsi="Times New Roman" w:cs="Times New Roman"/>
                <w:color w:val="000000"/>
                <w:sz w:val="20"/>
                <w:szCs w:val="18"/>
              </w:rPr>
              <w:t>ЗАО «Байсад»</w:t>
            </w:r>
          </w:p>
        </w:tc>
        <w:tc>
          <w:tcPr>
            <w:tcW w:w="2183"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4F16138C" w14:textId="77777777" w:rsidR="00171AA8" w:rsidRPr="00731FE2" w:rsidRDefault="00A4523A">
            <w:pPr>
              <w:pBdr>
                <w:top w:val="none" w:sz="4" w:space="0" w:color="000000"/>
                <w:left w:val="none" w:sz="4" w:space="0" w:color="000000"/>
                <w:bottom w:val="none" w:sz="4" w:space="0" w:color="000000"/>
                <w:right w:val="none" w:sz="4" w:space="0" w:color="000000"/>
              </w:pBdr>
              <w:ind w:firstLine="0"/>
              <w:jc w:val="left"/>
              <w:rPr>
                <w:rFonts w:ascii="Times New Roman" w:eastAsia="Times New Roman" w:hAnsi="Times New Roman" w:cs="Times New Roman"/>
                <w:color w:val="000000"/>
                <w:sz w:val="20"/>
                <w:szCs w:val="18"/>
              </w:rPr>
            </w:pPr>
            <w:r w:rsidRPr="00731FE2">
              <w:rPr>
                <w:rFonts w:ascii="Times New Roman" w:eastAsia="Times New Roman" w:hAnsi="Times New Roman" w:cs="Times New Roman"/>
                <w:color w:val="000000"/>
                <w:sz w:val="20"/>
                <w:szCs w:val="18"/>
              </w:rPr>
              <w:t>у</w:t>
            </w:r>
            <w:r w:rsidR="007935AB" w:rsidRPr="00731FE2">
              <w:rPr>
                <w:rFonts w:ascii="Times New Roman" w:eastAsia="Times New Roman" w:hAnsi="Times New Roman" w:cs="Times New Roman"/>
                <w:color w:val="000000"/>
                <w:sz w:val="20"/>
                <w:szCs w:val="18"/>
              </w:rPr>
              <w:t>л. Промышленная, 24</w:t>
            </w:r>
          </w:p>
        </w:tc>
        <w:tc>
          <w:tcPr>
            <w:tcW w:w="2460"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1CF8CAD6"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18"/>
              </w:rPr>
            </w:pPr>
            <w:r w:rsidRPr="00731FE2">
              <w:rPr>
                <w:rFonts w:ascii="Times New Roman" w:eastAsia="Times New Roman" w:hAnsi="Times New Roman" w:cs="Times New Roman"/>
                <w:color w:val="000000"/>
                <w:sz w:val="20"/>
                <w:szCs w:val="18"/>
              </w:rPr>
              <w:t>Производство колбасных, макаронных изделий, муки, майонеза, печенья</w:t>
            </w:r>
          </w:p>
        </w:tc>
        <w:tc>
          <w:tcPr>
            <w:tcW w:w="1934"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0F8A399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18"/>
              </w:rPr>
            </w:pPr>
            <w:r w:rsidRPr="00731FE2">
              <w:rPr>
                <w:rFonts w:ascii="Times New Roman" w:eastAsia="Times New Roman" w:hAnsi="Times New Roman" w:cs="Times New Roman"/>
                <w:color w:val="000000"/>
                <w:sz w:val="20"/>
                <w:szCs w:val="18"/>
              </w:rPr>
              <w:t>50</w:t>
            </w:r>
          </w:p>
        </w:tc>
      </w:tr>
      <w:tr w:rsidR="00171AA8" w:rsidRPr="00731FE2" w14:paraId="2FAC86D4" w14:textId="77777777">
        <w:trPr>
          <w:trHeight w:val="226"/>
        </w:trPr>
        <w:tc>
          <w:tcPr>
            <w:tcW w:w="549"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6C6D070D"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18"/>
              </w:rPr>
            </w:pPr>
            <w:r w:rsidRPr="00731FE2">
              <w:rPr>
                <w:rFonts w:ascii="Times New Roman" w:eastAsia="Times New Roman" w:hAnsi="Times New Roman" w:cs="Times New Roman"/>
                <w:color w:val="000000"/>
                <w:sz w:val="20"/>
                <w:szCs w:val="18"/>
              </w:rPr>
              <w:t>4.</w:t>
            </w:r>
          </w:p>
        </w:tc>
        <w:tc>
          <w:tcPr>
            <w:tcW w:w="2229"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2DB4816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eastAsia="Times New Roman" w:hAnsi="Times New Roman" w:cs="Times New Roman"/>
                <w:color w:val="000000"/>
                <w:sz w:val="20"/>
                <w:szCs w:val="18"/>
              </w:rPr>
            </w:pPr>
            <w:r w:rsidRPr="00731FE2">
              <w:rPr>
                <w:rFonts w:ascii="Times New Roman" w:eastAsia="Times New Roman" w:hAnsi="Times New Roman" w:cs="Times New Roman"/>
                <w:color w:val="000000"/>
                <w:sz w:val="20"/>
                <w:szCs w:val="18"/>
              </w:rPr>
              <w:t>ЗАО «Бештау»</w:t>
            </w:r>
          </w:p>
        </w:tc>
        <w:tc>
          <w:tcPr>
            <w:tcW w:w="2183"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00D3F8E6" w14:textId="77777777" w:rsidR="00171AA8" w:rsidRPr="00731FE2" w:rsidRDefault="00A4523A">
            <w:pPr>
              <w:pBdr>
                <w:top w:val="none" w:sz="4" w:space="0" w:color="000000"/>
                <w:left w:val="none" w:sz="4" w:space="0" w:color="000000"/>
                <w:bottom w:val="none" w:sz="4" w:space="0" w:color="000000"/>
                <w:right w:val="none" w:sz="4" w:space="0" w:color="000000"/>
              </w:pBdr>
              <w:ind w:firstLine="0"/>
              <w:jc w:val="left"/>
              <w:rPr>
                <w:rFonts w:ascii="Times New Roman" w:eastAsia="Times New Roman" w:hAnsi="Times New Roman" w:cs="Times New Roman"/>
                <w:color w:val="000000"/>
                <w:sz w:val="20"/>
                <w:szCs w:val="18"/>
              </w:rPr>
            </w:pPr>
            <w:r w:rsidRPr="00731FE2">
              <w:rPr>
                <w:rFonts w:ascii="Times New Roman" w:eastAsia="Times New Roman" w:hAnsi="Times New Roman" w:cs="Times New Roman"/>
                <w:color w:val="000000"/>
                <w:sz w:val="20"/>
                <w:szCs w:val="18"/>
              </w:rPr>
              <w:t>у</w:t>
            </w:r>
            <w:r w:rsidR="007935AB" w:rsidRPr="00731FE2">
              <w:rPr>
                <w:rFonts w:ascii="Times New Roman" w:eastAsia="Times New Roman" w:hAnsi="Times New Roman" w:cs="Times New Roman"/>
                <w:color w:val="000000"/>
                <w:sz w:val="20"/>
                <w:szCs w:val="18"/>
              </w:rPr>
              <w:t>л. Промышленная, 14</w:t>
            </w:r>
          </w:p>
        </w:tc>
        <w:tc>
          <w:tcPr>
            <w:tcW w:w="2460"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5F004BCC"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18"/>
              </w:rPr>
            </w:pPr>
            <w:r w:rsidRPr="00731FE2">
              <w:rPr>
                <w:rFonts w:ascii="Times New Roman" w:eastAsia="Times New Roman" w:hAnsi="Times New Roman" w:cs="Times New Roman"/>
                <w:color w:val="000000"/>
                <w:sz w:val="20"/>
                <w:szCs w:val="18"/>
              </w:rPr>
              <w:t>Производство мебели</w:t>
            </w:r>
          </w:p>
        </w:tc>
        <w:tc>
          <w:tcPr>
            <w:tcW w:w="1934"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2968AC7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18"/>
              </w:rPr>
            </w:pPr>
            <w:r w:rsidRPr="00731FE2">
              <w:rPr>
                <w:rFonts w:ascii="Times New Roman" w:eastAsia="Times New Roman" w:hAnsi="Times New Roman" w:cs="Times New Roman"/>
                <w:color w:val="000000"/>
                <w:sz w:val="20"/>
                <w:szCs w:val="18"/>
              </w:rPr>
              <w:t>100</w:t>
            </w:r>
          </w:p>
        </w:tc>
      </w:tr>
      <w:tr w:rsidR="00171AA8" w:rsidRPr="00731FE2" w14:paraId="5D678A6F" w14:textId="77777777">
        <w:trPr>
          <w:trHeight w:val="452"/>
        </w:trPr>
        <w:tc>
          <w:tcPr>
            <w:tcW w:w="549"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08BD3EB2"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18"/>
              </w:rPr>
            </w:pPr>
            <w:r w:rsidRPr="00731FE2">
              <w:rPr>
                <w:rFonts w:ascii="Times New Roman" w:eastAsia="Times New Roman" w:hAnsi="Times New Roman" w:cs="Times New Roman"/>
                <w:color w:val="000000"/>
                <w:sz w:val="20"/>
                <w:szCs w:val="18"/>
              </w:rPr>
              <w:t>5.</w:t>
            </w:r>
          </w:p>
        </w:tc>
        <w:tc>
          <w:tcPr>
            <w:tcW w:w="2229"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5F1AF7A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eastAsia="Times New Roman" w:hAnsi="Times New Roman" w:cs="Times New Roman"/>
                <w:color w:val="000000"/>
                <w:sz w:val="20"/>
                <w:szCs w:val="18"/>
              </w:rPr>
            </w:pPr>
            <w:r w:rsidRPr="00731FE2">
              <w:rPr>
                <w:rFonts w:ascii="Times New Roman" w:eastAsia="Times New Roman" w:hAnsi="Times New Roman" w:cs="Times New Roman"/>
                <w:color w:val="000000"/>
                <w:sz w:val="20"/>
                <w:szCs w:val="18"/>
              </w:rPr>
              <w:t>ЗАО СПЗ «Форелевый»</w:t>
            </w:r>
          </w:p>
        </w:tc>
        <w:tc>
          <w:tcPr>
            <w:tcW w:w="2183"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289C667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eastAsia="Times New Roman" w:hAnsi="Times New Roman" w:cs="Times New Roman"/>
                <w:color w:val="000000"/>
                <w:sz w:val="20"/>
                <w:szCs w:val="18"/>
              </w:rPr>
            </w:pPr>
            <w:r w:rsidRPr="00731FE2">
              <w:rPr>
                <w:rFonts w:ascii="Times New Roman" w:eastAsia="Times New Roman" w:hAnsi="Times New Roman" w:cs="Times New Roman"/>
                <w:color w:val="000000"/>
                <w:sz w:val="20"/>
                <w:szCs w:val="18"/>
              </w:rPr>
              <w:t>Нет данных</w:t>
            </w:r>
          </w:p>
        </w:tc>
        <w:tc>
          <w:tcPr>
            <w:tcW w:w="2460"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13149D8F"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18"/>
              </w:rPr>
            </w:pPr>
            <w:r w:rsidRPr="00731FE2">
              <w:rPr>
                <w:rFonts w:ascii="Times New Roman" w:eastAsia="Times New Roman" w:hAnsi="Times New Roman" w:cs="Times New Roman"/>
                <w:color w:val="000000"/>
                <w:sz w:val="20"/>
                <w:szCs w:val="18"/>
              </w:rPr>
              <w:t>Нет данных</w:t>
            </w:r>
          </w:p>
        </w:tc>
        <w:tc>
          <w:tcPr>
            <w:tcW w:w="1934"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18ED29C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18"/>
              </w:rPr>
            </w:pPr>
            <w:r w:rsidRPr="00731FE2">
              <w:rPr>
                <w:rFonts w:ascii="Times New Roman" w:eastAsia="Times New Roman" w:hAnsi="Times New Roman" w:cs="Times New Roman"/>
                <w:color w:val="000000"/>
                <w:sz w:val="20"/>
                <w:szCs w:val="18"/>
              </w:rPr>
              <w:t>-</w:t>
            </w:r>
          </w:p>
        </w:tc>
      </w:tr>
      <w:tr w:rsidR="00171AA8" w:rsidRPr="00731FE2" w14:paraId="1D6F370B" w14:textId="77777777">
        <w:trPr>
          <w:trHeight w:val="452"/>
        </w:trPr>
        <w:tc>
          <w:tcPr>
            <w:tcW w:w="549"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68369C70"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18"/>
              </w:rPr>
            </w:pPr>
            <w:r w:rsidRPr="00731FE2">
              <w:rPr>
                <w:rFonts w:ascii="Times New Roman" w:eastAsia="Times New Roman" w:hAnsi="Times New Roman" w:cs="Times New Roman"/>
                <w:color w:val="000000"/>
                <w:sz w:val="20"/>
                <w:szCs w:val="18"/>
              </w:rPr>
              <w:t>6.</w:t>
            </w:r>
          </w:p>
        </w:tc>
        <w:tc>
          <w:tcPr>
            <w:tcW w:w="2229"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121C65E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eastAsia="Times New Roman" w:hAnsi="Times New Roman" w:cs="Times New Roman"/>
                <w:color w:val="000000"/>
                <w:sz w:val="20"/>
                <w:szCs w:val="18"/>
              </w:rPr>
            </w:pPr>
            <w:r w:rsidRPr="00731FE2">
              <w:rPr>
                <w:rFonts w:ascii="Times New Roman" w:eastAsia="Times New Roman" w:hAnsi="Times New Roman" w:cs="Times New Roman"/>
                <w:color w:val="000000"/>
                <w:sz w:val="20"/>
                <w:szCs w:val="18"/>
              </w:rPr>
              <w:t>ООО «Хладонеж»</w:t>
            </w:r>
          </w:p>
        </w:tc>
        <w:tc>
          <w:tcPr>
            <w:tcW w:w="2183"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667E3A5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eastAsia="Times New Roman" w:hAnsi="Times New Roman" w:cs="Times New Roman"/>
                <w:color w:val="000000"/>
                <w:sz w:val="20"/>
                <w:szCs w:val="18"/>
              </w:rPr>
            </w:pPr>
            <w:r w:rsidRPr="00731FE2">
              <w:rPr>
                <w:rFonts w:ascii="Times New Roman" w:eastAsia="Times New Roman" w:hAnsi="Times New Roman" w:cs="Times New Roman"/>
                <w:color w:val="000000"/>
                <w:sz w:val="20"/>
                <w:szCs w:val="18"/>
              </w:rPr>
              <w:t>Нет данных</w:t>
            </w:r>
          </w:p>
        </w:tc>
        <w:tc>
          <w:tcPr>
            <w:tcW w:w="2460"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1391EDC3"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18"/>
              </w:rPr>
            </w:pPr>
            <w:r w:rsidRPr="00731FE2">
              <w:rPr>
                <w:rFonts w:ascii="Times New Roman" w:eastAsia="Times New Roman" w:hAnsi="Times New Roman" w:cs="Times New Roman"/>
                <w:color w:val="000000"/>
                <w:sz w:val="20"/>
                <w:szCs w:val="18"/>
              </w:rPr>
              <w:t>Нет данных</w:t>
            </w:r>
          </w:p>
        </w:tc>
        <w:tc>
          <w:tcPr>
            <w:tcW w:w="1934"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605AFB8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18"/>
              </w:rPr>
            </w:pPr>
            <w:r w:rsidRPr="00731FE2">
              <w:rPr>
                <w:rFonts w:ascii="Times New Roman" w:eastAsia="Times New Roman" w:hAnsi="Times New Roman" w:cs="Times New Roman"/>
                <w:color w:val="000000"/>
                <w:sz w:val="20"/>
                <w:szCs w:val="18"/>
              </w:rPr>
              <w:t>-</w:t>
            </w:r>
          </w:p>
        </w:tc>
      </w:tr>
      <w:tr w:rsidR="00171AA8" w:rsidRPr="00731FE2" w14:paraId="1088FEFF" w14:textId="77777777">
        <w:trPr>
          <w:trHeight w:val="452"/>
        </w:trPr>
        <w:tc>
          <w:tcPr>
            <w:tcW w:w="549"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4E9F56CB"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18"/>
              </w:rPr>
            </w:pPr>
            <w:r w:rsidRPr="00731FE2">
              <w:rPr>
                <w:rFonts w:ascii="Times New Roman" w:eastAsia="Times New Roman" w:hAnsi="Times New Roman" w:cs="Times New Roman"/>
                <w:color w:val="000000"/>
                <w:sz w:val="20"/>
                <w:szCs w:val="18"/>
              </w:rPr>
              <w:t>7.</w:t>
            </w:r>
          </w:p>
        </w:tc>
        <w:tc>
          <w:tcPr>
            <w:tcW w:w="2229"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51D1939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eastAsia="Times New Roman" w:hAnsi="Times New Roman" w:cs="Times New Roman"/>
                <w:color w:val="000000"/>
                <w:sz w:val="20"/>
                <w:szCs w:val="18"/>
              </w:rPr>
            </w:pPr>
            <w:r w:rsidRPr="00731FE2">
              <w:rPr>
                <w:rFonts w:ascii="Times New Roman" w:eastAsia="Times New Roman" w:hAnsi="Times New Roman" w:cs="Times New Roman"/>
                <w:color w:val="000000"/>
                <w:sz w:val="20"/>
                <w:szCs w:val="18"/>
              </w:rPr>
              <w:t>АО «Передвижная механизированная колонна – 38»</w:t>
            </w:r>
          </w:p>
        </w:tc>
        <w:tc>
          <w:tcPr>
            <w:tcW w:w="2183"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7019077C" w14:textId="77777777" w:rsidR="00171AA8" w:rsidRPr="00731FE2" w:rsidRDefault="00A4523A">
            <w:pPr>
              <w:pBdr>
                <w:top w:val="none" w:sz="4" w:space="0" w:color="000000"/>
                <w:left w:val="none" w:sz="4" w:space="0" w:color="000000"/>
                <w:bottom w:val="none" w:sz="4" w:space="0" w:color="000000"/>
                <w:right w:val="none" w:sz="4" w:space="0" w:color="000000"/>
              </w:pBdr>
              <w:ind w:firstLine="0"/>
              <w:jc w:val="left"/>
              <w:rPr>
                <w:rFonts w:ascii="Times New Roman" w:eastAsia="Times New Roman" w:hAnsi="Times New Roman" w:cs="Times New Roman"/>
                <w:color w:val="000000"/>
                <w:sz w:val="20"/>
                <w:szCs w:val="18"/>
              </w:rPr>
            </w:pPr>
            <w:r w:rsidRPr="00731FE2">
              <w:rPr>
                <w:rFonts w:ascii="Times New Roman" w:eastAsia="Times New Roman" w:hAnsi="Times New Roman" w:cs="Times New Roman"/>
                <w:color w:val="000000"/>
                <w:sz w:val="20"/>
                <w:szCs w:val="18"/>
              </w:rPr>
              <w:t>у</w:t>
            </w:r>
            <w:r w:rsidR="007935AB" w:rsidRPr="00731FE2">
              <w:rPr>
                <w:rFonts w:ascii="Times New Roman" w:eastAsia="Times New Roman" w:hAnsi="Times New Roman" w:cs="Times New Roman"/>
                <w:color w:val="000000"/>
                <w:sz w:val="20"/>
                <w:szCs w:val="18"/>
              </w:rPr>
              <w:t>л. Промышленная, 32</w:t>
            </w:r>
          </w:p>
        </w:tc>
        <w:tc>
          <w:tcPr>
            <w:tcW w:w="2460"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0B412041"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18"/>
              </w:rPr>
            </w:pPr>
            <w:r w:rsidRPr="00731FE2">
              <w:rPr>
                <w:rFonts w:ascii="Times New Roman" w:eastAsia="Times New Roman" w:hAnsi="Times New Roman" w:cs="Times New Roman"/>
                <w:color w:val="000000"/>
                <w:sz w:val="20"/>
                <w:szCs w:val="18"/>
              </w:rPr>
              <w:t>Нет данных</w:t>
            </w:r>
          </w:p>
        </w:tc>
        <w:tc>
          <w:tcPr>
            <w:tcW w:w="1934"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5C7F08F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18"/>
              </w:rPr>
            </w:pPr>
            <w:r w:rsidRPr="00731FE2">
              <w:rPr>
                <w:rFonts w:ascii="Times New Roman" w:eastAsia="Times New Roman" w:hAnsi="Times New Roman" w:cs="Times New Roman"/>
                <w:color w:val="000000"/>
                <w:sz w:val="20"/>
                <w:szCs w:val="18"/>
              </w:rPr>
              <w:t>300</w:t>
            </w:r>
          </w:p>
        </w:tc>
      </w:tr>
      <w:tr w:rsidR="00171AA8" w:rsidRPr="00731FE2" w14:paraId="3685B999" w14:textId="77777777">
        <w:trPr>
          <w:trHeight w:val="452"/>
        </w:trPr>
        <w:tc>
          <w:tcPr>
            <w:tcW w:w="549"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72AB46BD"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18"/>
              </w:rPr>
            </w:pPr>
            <w:r w:rsidRPr="00731FE2">
              <w:rPr>
                <w:rFonts w:ascii="Times New Roman" w:eastAsia="Times New Roman" w:hAnsi="Times New Roman" w:cs="Times New Roman"/>
                <w:color w:val="000000"/>
                <w:sz w:val="20"/>
                <w:szCs w:val="18"/>
              </w:rPr>
              <w:t>8.</w:t>
            </w:r>
          </w:p>
        </w:tc>
        <w:tc>
          <w:tcPr>
            <w:tcW w:w="2229"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2FC5B32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eastAsia="Times New Roman" w:hAnsi="Times New Roman" w:cs="Times New Roman"/>
                <w:color w:val="000000"/>
                <w:sz w:val="20"/>
                <w:szCs w:val="18"/>
              </w:rPr>
            </w:pPr>
            <w:r w:rsidRPr="00731FE2">
              <w:rPr>
                <w:rFonts w:ascii="Times New Roman" w:eastAsia="Times New Roman" w:hAnsi="Times New Roman" w:cs="Times New Roman"/>
                <w:color w:val="000000"/>
                <w:sz w:val="20"/>
                <w:szCs w:val="18"/>
              </w:rPr>
              <w:t>ООО «Кисловодское ПП «Универсал»»</w:t>
            </w:r>
          </w:p>
        </w:tc>
        <w:tc>
          <w:tcPr>
            <w:tcW w:w="2183"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4E76A7A0" w14:textId="77777777" w:rsidR="00171AA8" w:rsidRPr="00731FE2" w:rsidRDefault="00A4523A">
            <w:pPr>
              <w:pBdr>
                <w:top w:val="none" w:sz="4" w:space="0" w:color="000000"/>
                <w:left w:val="none" w:sz="4" w:space="0" w:color="000000"/>
                <w:bottom w:val="none" w:sz="4" w:space="0" w:color="000000"/>
                <w:right w:val="none" w:sz="4" w:space="0" w:color="000000"/>
              </w:pBdr>
              <w:ind w:firstLine="0"/>
              <w:jc w:val="left"/>
              <w:rPr>
                <w:rFonts w:ascii="Times New Roman" w:eastAsia="Times New Roman" w:hAnsi="Times New Roman" w:cs="Times New Roman"/>
                <w:color w:val="000000"/>
                <w:sz w:val="20"/>
                <w:szCs w:val="18"/>
              </w:rPr>
            </w:pPr>
            <w:r w:rsidRPr="00731FE2">
              <w:rPr>
                <w:rFonts w:ascii="Times New Roman" w:eastAsia="Times New Roman" w:hAnsi="Times New Roman" w:cs="Times New Roman"/>
                <w:color w:val="000000"/>
                <w:sz w:val="20"/>
                <w:szCs w:val="18"/>
              </w:rPr>
              <w:t>у</w:t>
            </w:r>
            <w:r w:rsidR="007935AB" w:rsidRPr="00731FE2">
              <w:rPr>
                <w:rFonts w:ascii="Times New Roman" w:eastAsia="Times New Roman" w:hAnsi="Times New Roman" w:cs="Times New Roman"/>
                <w:color w:val="000000"/>
                <w:sz w:val="20"/>
                <w:szCs w:val="18"/>
              </w:rPr>
              <w:t>л. Есенина, 16</w:t>
            </w:r>
          </w:p>
        </w:tc>
        <w:tc>
          <w:tcPr>
            <w:tcW w:w="2460"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39097167"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18"/>
              </w:rPr>
            </w:pPr>
            <w:r w:rsidRPr="00731FE2">
              <w:rPr>
                <w:rFonts w:ascii="Times New Roman" w:eastAsia="Times New Roman" w:hAnsi="Times New Roman" w:cs="Times New Roman"/>
                <w:color w:val="000000"/>
                <w:sz w:val="20"/>
                <w:szCs w:val="18"/>
              </w:rPr>
              <w:t>Производство металлических изделий</w:t>
            </w:r>
          </w:p>
        </w:tc>
        <w:tc>
          <w:tcPr>
            <w:tcW w:w="1934"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3A5052D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18"/>
              </w:rPr>
            </w:pPr>
            <w:r w:rsidRPr="00731FE2">
              <w:rPr>
                <w:rFonts w:ascii="Times New Roman" w:eastAsia="Times New Roman" w:hAnsi="Times New Roman" w:cs="Times New Roman"/>
                <w:color w:val="000000"/>
                <w:sz w:val="20"/>
                <w:szCs w:val="18"/>
              </w:rPr>
              <w:t>50</w:t>
            </w:r>
          </w:p>
        </w:tc>
      </w:tr>
      <w:tr w:rsidR="00171AA8" w:rsidRPr="00731FE2" w14:paraId="23548C5C" w14:textId="77777777">
        <w:trPr>
          <w:trHeight w:val="226"/>
        </w:trPr>
        <w:tc>
          <w:tcPr>
            <w:tcW w:w="549"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432DF9B9"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18"/>
              </w:rPr>
            </w:pPr>
            <w:r w:rsidRPr="00731FE2">
              <w:rPr>
                <w:rFonts w:ascii="Times New Roman" w:eastAsia="Times New Roman" w:hAnsi="Times New Roman" w:cs="Times New Roman"/>
                <w:color w:val="000000"/>
                <w:sz w:val="20"/>
                <w:szCs w:val="18"/>
              </w:rPr>
              <w:t>9.</w:t>
            </w:r>
          </w:p>
        </w:tc>
        <w:tc>
          <w:tcPr>
            <w:tcW w:w="2229"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55D2119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eastAsia="Times New Roman" w:hAnsi="Times New Roman" w:cs="Times New Roman"/>
                <w:color w:val="000000"/>
                <w:sz w:val="20"/>
                <w:szCs w:val="18"/>
              </w:rPr>
            </w:pPr>
            <w:r w:rsidRPr="00731FE2">
              <w:rPr>
                <w:rFonts w:ascii="Times New Roman" w:eastAsia="Times New Roman" w:hAnsi="Times New Roman" w:cs="Times New Roman"/>
                <w:color w:val="000000"/>
                <w:sz w:val="20"/>
                <w:szCs w:val="18"/>
              </w:rPr>
              <w:t>Кисловодская ТЭЦ</w:t>
            </w:r>
          </w:p>
        </w:tc>
        <w:tc>
          <w:tcPr>
            <w:tcW w:w="2183"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76F8959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eastAsia="Times New Roman" w:hAnsi="Times New Roman" w:cs="Times New Roman"/>
                <w:color w:val="000000"/>
                <w:sz w:val="20"/>
                <w:szCs w:val="18"/>
              </w:rPr>
            </w:pPr>
            <w:r w:rsidRPr="00731FE2">
              <w:rPr>
                <w:rFonts w:ascii="Times New Roman" w:eastAsia="Times New Roman" w:hAnsi="Times New Roman" w:cs="Times New Roman"/>
                <w:color w:val="000000"/>
                <w:sz w:val="20"/>
                <w:szCs w:val="18"/>
              </w:rPr>
              <w:t>Нет данных</w:t>
            </w:r>
          </w:p>
        </w:tc>
        <w:tc>
          <w:tcPr>
            <w:tcW w:w="2460"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39904269"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18"/>
              </w:rPr>
            </w:pPr>
            <w:r w:rsidRPr="00731FE2">
              <w:rPr>
                <w:rFonts w:ascii="Times New Roman" w:eastAsia="Times New Roman" w:hAnsi="Times New Roman" w:cs="Times New Roman"/>
                <w:color w:val="000000"/>
                <w:sz w:val="20"/>
                <w:szCs w:val="18"/>
              </w:rPr>
              <w:t>Производство тепловой энергии</w:t>
            </w:r>
          </w:p>
        </w:tc>
        <w:tc>
          <w:tcPr>
            <w:tcW w:w="1934"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6E508D9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18"/>
              </w:rPr>
            </w:pPr>
            <w:r w:rsidRPr="00731FE2">
              <w:rPr>
                <w:rFonts w:ascii="Times New Roman" w:eastAsia="Times New Roman" w:hAnsi="Times New Roman" w:cs="Times New Roman"/>
                <w:color w:val="000000"/>
                <w:sz w:val="20"/>
                <w:szCs w:val="18"/>
              </w:rPr>
              <w:t>-</w:t>
            </w:r>
          </w:p>
        </w:tc>
      </w:tr>
      <w:tr w:rsidR="00171AA8" w:rsidRPr="00731FE2" w14:paraId="5422161E" w14:textId="77777777">
        <w:trPr>
          <w:trHeight w:val="467"/>
        </w:trPr>
        <w:tc>
          <w:tcPr>
            <w:tcW w:w="549"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7D996961"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0"/>
                <w:szCs w:val="18"/>
              </w:rPr>
            </w:pPr>
            <w:r w:rsidRPr="00731FE2">
              <w:rPr>
                <w:rFonts w:ascii="Times New Roman" w:eastAsia="Times New Roman" w:hAnsi="Times New Roman" w:cs="Times New Roman"/>
                <w:color w:val="000000"/>
                <w:sz w:val="20"/>
                <w:szCs w:val="18"/>
              </w:rPr>
              <w:t>10.</w:t>
            </w:r>
          </w:p>
        </w:tc>
        <w:tc>
          <w:tcPr>
            <w:tcW w:w="2229"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016CA4C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eastAsia="Times New Roman" w:hAnsi="Times New Roman" w:cs="Times New Roman"/>
                <w:color w:val="000000"/>
                <w:sz w:val="20"/>
                <w:szCs w:val="18"/>
              </w:rPr>
            </w:pPr>
            <w:r w:rsidRPr="00731FE2">
              <w:rPr>
                <w:rFonts w:ascii="Times New Roman" w:eastAsia="Times New Roman" w:hAnsi="Times New Roman" w:cs="Times New Roman"/>
                <w:color w:val="000000"/>
                <w:sz w:val="20"/>
                <w:szCs w:val="18"/>
              </w:rPr>
              <w:t>ЗАО «Кисловодский Фарфор-Феникс»</w:t>
            </w:r>
          </w:p>
        </w:tc>
        <w:tc>
          <w:tcPr>
            <w:tcW w:w="2183"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3FFA278E" w14:textId="77777777" w:rsidR="00171AA8" w:rsidRPr="00731FE2" w:rsidRDefault="00A4523A">
            <w:pPr>
              <w:pBdr>
                <w:top w:val="none" w:sz="4" w:space="0" w:color="000000"/>
                <w:left w:val="none" w:sz="4" w:space="0" w:color="000000"/>
                <w:bottom w:val="none" w:sz="4" w:space="0" w:color="000000"/>
                <w:right w:val="none" w:sz="4" w:space="0" w:color="000000"/>
              </w:pBdr>
              <w:ind w:firstLine="0"/>
              <w:jc w:val="left"/>
              <w:rPr>
                <w:rFonts w:ascii="Times New Roman" w:eastAsia="Times New Roman" w:hAnsi="Times New Roman" w:cs="Times New Roman"/>
                <w:color w:val="000000"/>
                <w:sz w:val="20"/>
                <w:szCs w:val="18"/>
              </w:rPr>
            </w:pPr>
            <w:r w:rsidRPr="00731FE2">
              <w:rPr>
                <w:rFonts w:ascii="Times New Roman" w:eastAsia="Times New Roman" w:hAnsi="Times New Roman" w:cs="Times New Roman"/>
                <w:color w:val="000000"/>
                <w:sz w:val="20"/>
                <w:szCs w:val="18"/>
              </w:rPr>
              <w:t>у</w:t>
            </w:r>
            <w:r w:rsidR="007935AB" w:rsidRPr="00731FE2">
              <w:rPr>
                <w:rFonts w:ascii="Times New Roman" w:eastAsia="Times New Roman" w:hAnsi="Times New Roman" w:cs="Times New Roman"/>
                <w:color w:val="000000"/>
                <w:sz w:val="20"/>
                <w:szCs w:val="18"/>
              </w:rPr>
              <w:t>л. Станичная, 2</w:t>
            </w:r>
          </w:p>
        </w:tc>
        <w:tc>
          <w:tcPr>
            <w:tcW w:w="2460"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7ACC547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18"/>
              </w:rPr>
            </w:pPr>
            <w:r w:rsidRPr="00731FE2">
              <w:rPr>
                <w:rFonts w:ascii="Times New Roman" w:eastAsia="Times New Roman" w:hAnsi="Times New Roman" w:cs="Times New Roman"/>
                <w:color w:val="000000"/>
                <w:sz w:val="20"/>
                <w:szCs w:val="18"/>
              </w:rPr>
              <w:t> -</w:t>
            </w:r>
          </w:p>
        </w:tc>
        <w:tc>
          <w:tcPr>
            <w:tcW w:w="1934"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0BD060E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0"/>
                <w:szCs w:val="18"/>
              </w:rPr>
            </w:pPr>
            <w:r w:rsidRPr="00731FE2">
              <w:rPr>
                <w:rFonts w:ascii="Times New Roman" w:eastAsia="Times New Roman" w:hAnsi="Times New Roman" w:cs="Times New Roman"/>
                <w:color w:val="000000"/>
                <w:sz w:val="20"/>
                <w:szCs w:val="18"/>
              </w:rPr>
              <w:t>50</w:t>
            </w:r>
          </w:p>
        </w:tc>
      </w:tr>
    </w:tbl>
    <w:p w14:paraId="3AB77070" w14:textId="77777777" w:rsidR="00171AA8" w:rsidRPr="00731FE2" w:rsidRDefault="00171AA8">
      <w:pPr>
        <w:pBdr>
          <w:top w:val="none" w:sz="4" w:space="0" w:color="000000"/>
          <w:left w:val="none" w:sz="4" w:space="0" w:color="000000"/>
          <w:bottom w:val="none" w:sz="4" w:space="0" w:color="000000"/>
          <w:right w:val="none" w:sz="4" w:space="0" w:color="000000"/>
        </w:pBdr>
        <w:spacing w:line="253" w:lineRule="atLeast"/>
        <w:ind w:firstLine="0"/>
      </w:pPr>
    </w:p>
    <w:p w14:paraId="2A6155FA"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Общая площадь санитарно-защитных зон предприятий составляет 70-75 га.</w:t>
      </w:r>
    </w:p>
    <w:p w14:paraId="732C10C3"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 xml:space="preserve">Федеральной кадастровой палатой Федеральной службы государственной регистрации, кадастра и картографии по Ставропольскому краю в государственный кадастр недвижимости внесена зона с особыми условиями использования территории – </w:t>
      </w:r>
      <w:r w:rsidRPr="00731FE2">
        <w:rPr>
          <w:rFonts w:ascii="Times New Roman" w:eastAsia="Times New Roman" w:hAnsi="Times New Roman" w:cs="Times New Roman"/>
          <w:color w:val="000000"/>
        </w:rPr>
        <w:lastRenderedPageBreak/>
        <w:t>охранная зона гидрометеорологического объекта на территории городского округа города-курорта Кисловодска (учётный номер 26.34.2.27).</w:t>
      </w:r>
    </w:p>
    <w:p w14:paraId="7C8C0AD6"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 xml:space="preserve">Для получения достоверной информации о состоянии окружающей природной среды вокруг стационарных пунктов наблюдений (кроме метеорологического оборудования, устанавливаемого на аэродромах) создаются охранные зоны в виде земельных участков и частей акваторий, ограниченных на плане местности замкнутой линией, отстоящей от границ этих пунктов на расстоянии, как правило, 200 метров во все стороны. </w:t>
      </w:r>
    </w:p>
    <w:p w14:paraId="2388B9A4"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Размеры и границы охранных зон стационарных пунктов наблюдений определяются в зависимости от рельефа местности и других условий.</w:t>
      </w:r>
    </w:p>
    <w:p w14:paraId="4F4692D5"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 xml:space="preserve">В пределах охранных зон стационарных пунктов наблюдений устанавливаются ограничения на хозяйственную деятельность, которая может отразиться на достоверности информации о состоянии окружающей природной среды, ее загрязнении. </w:t>
      </w:r>
    </w:p>
    <w:p w14:paraId="617BCF71"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Для автомагистралей, линий железнодорожного транспорта, гаражей и автостоянок устанавливается расстояние от источника химического, биологического и/или физического воздействия, уменьшающее эти воздействия до значений гигиенических нормативов (санитарные разрывы). Величина разрыва устанавливается в каждом конкретном случае на основании расчетов рассеивания загрязнения атмосферного воздуха и физических факторов (шума, вибрации, электромагнитных полей и др.) с последующим проведением натурных исследований и измерений, а также с учетом требований СП 42.13330.2016 «СНиП 2.07.01-89* Градостроительство. Планировка и застройка городских и сельских поселений».</w:t>
      </w:r>
    </w:p>
    <w:p w14:paraId="65D208A0"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В соответствии с Федеральным законом от 08.11.2007 г. № 257-ФЗ «Об автомобильных дорогах и дорожной деятельности в РФ» вдоль автомобильных дорог общего пользования устанавливаются придорожные полосы. Границы придорожных полос установлены для дорог II</w:t>
      </w:r>
      <w:r w:rsidR="00A4523A" w:rsidRPr="00731FE2">
        <w:rPr>
          <w:rFonts w:ascii="Times New Roman" w:eastAsia="Times New Roman" w:hAnsi="Times New Roman" w:cs="Times New Roman"/>
          <w:color w:val="000000"/>
        </w:rPr>
        <w:t xml:space="preserve"> </w:t>
      </w:r>
      <w:r w:rsidRPr="00731FE2">
        <w:rPr>
          <w:rFonts w:ascii="Times New Roman" w:eastAsia="Times New Roman" w:hAnsi="Times New Roman" w:cs="Times New Roman"/>
          <w:color w:val="000000"/>
        </w:rPr>
        <w:t>технической категории – 75 метров, III –IV технической категории – 50 метров, для дорог V технической категории – 25 метров от границы полосы отвода автодороги (согласно кадастровому плану дороги).</w:t>
      </w:r>
    </w:p>
    <w:p w14:paraId="45A1D584"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Жилую застройку необходимо отделять от железных дорог санитарно-защитной зоной шириной 100 м, считая от оси крайнего железнодорожного пути. При размещении железных дорог в выемке или при осуществлении специальных шумозащитных мероприятий, обеспечивающих требования СП 51.13330.2011 «Защита от шума. Актуализированная редакция СНиП 23-03-2003», ширина санитарно-защитной зоны может быть уменьшена, но не более чем на 50 м.</w:t>
      </w:r>
    </w:p>
    <w:p w14:paraId="6C88F84D"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Установление размера зон негативных воздействий электромагнитных полей (в составе СЗЗ и зон ограничения застройки – ЗОЗ) в местах размещения передающих радиотехнических объектов осуществляется в соответствии с действующими санитарными правилами и нормами по электромагнитным излучениям радиочастотного диапазона и методиками расчета интенсивности электромагнитного излучения радиочастот.</w:t>
      </w:r>
    </w:p>
    <w:p w14:paraId="5DAA8986"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В целях защиты населения от воздействия электрического поля, создаваемого воздушными линиями электропередачи (ВЛ), устанавливаются санитарные разрывы вдоль трассы высоковольтной линии, за пределами которых напряженность электрического поля не превышает 1 кВ/м.</w:t>
      </w:r>
    </w:p>
    <w:p w14:paraId="726AB4B7"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lastRenderedPageBreak/>
        <w:t>При вводе объекта в эксплуатацию и в процессе эксплуатации санитарный разрыв должен быть скорректирован по результатам инструментальных измерений.</w:t>
      </w:r>
    </w:p>
    <w:p w14:paraId="02A3C4EC"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Размеры санитарных разрывов (охранных зон) линий электропередачи принимаются в зависимости от их напряжения (кВ) в соответствии с правилами установления охранных зон объектов электросетевого хозяйства и особых условий использования земельных участков, расположенных в границах таких зон (таблица ниже).</w:t>
      </w:r>
    </w:p>
    <w:p w14:paraId="5FC64FB3" w14:textId="77777777" w:rsidR="00171AA8" w:rsidRPr="00731FE2" w:rsidRDefault="00171AA8">
      <w:pPr>
        <w:pBdr>
          <w:top w:val="none" w:sz="4" w:space="0" w:color="000000"/>
          <w:left w:val="none" w:sz="4" w:space="0" w:color="000000"/>
          <w:bottom w:val="none" w:sz="4" w:space="0" w:color="000000"/>
          <w:right w:val="none" w:sz="4" w:space="0" w:color="000000"/>
        </w:pBdr>
        <w:spacing w:line="253" w:lineRule="atLeast"/>
        <w:rPr>
          <w:rFonts w:eastAsia="Arial" w:cs="Arial"/>
          <w:color w:val="000000"/>
          <w:szCs w:val="24"/>
        </w:rPr>
      </w:pPr>
    </w:p>
    <w:p w14:paraId="55EC682F" w14:textId="77777777" w:rsidR="00171AA8" w:rsidRPr="00731FE2" w:rsidRDefault="007935AB">
      <w:pPr>
        <w:pStyle w:val="af3"/>
        <w:rPr>
          <w:sz w:val="24"/>
          <w:szCs w:val="24"/>
          <w:vertAlign w:val="superscript"/>
        </w:rPr>
      </w:pPr>
      <w:r w:rsidRPr="00731FE2">
        <w:rPr>
          <w:sz w:val="24"/>
          <w:szCs w:val="24"/>
        </w:rPr>
        <w:t xml:space="preserve">Таблица </w:t>
      </w:r>
      <w:r w:rsidR="00D97880" w:rsidRPr="00731FE2">
        <w:rPr>
          <w:noProof/>
          <w:sz w:val="24"/>
          <w:szCs w:val="24"/>
        </w:rPr>
        <w:fldChar w:fldCharType="begin"/>
      </w:r>
      <w:r w:rsidR="00D97880" w:rsidRPr="00731FE2">
        <w:rPr>
          <w:noProof/>
          <w:sz w:val="24"/>
          <w:szCs w:val="24"/>
        </w:rPr>
        <w:instrText xml:space="preserve"> SEQ Таблица \* Arabic </w:instrText>
      </w:r>
      <w:r w:rsidR="00D97880" w:rsidRPr="00731FE2">
        <w:rPr>
          <w:noProof/>
          <w:sz w:val="24"/>
          <w:szCs w:val="24"/>
        </w:rPr>
        <w:fldChar w:fldCharType="separate"/>
      </w:r>
      <w:r w:rsidR="00C50915" w:rsidRPr="00731FE2">
        <w:rPr>
          <w:noProof/>
          <w:sz w:val="24"/>
          <w:szCs w:val="24"/>
        </w:rPr>
        <w:t>95</w:t>
      </w:r>
      <w:r w:rsidR="00D97880" w:rsidRPr="00731FE2">
        <w:rPr>
          <w:noProof/>
          <w:sz w:val="24"/>
          <w:szCs w:val="24"/>
        </w:rPr>
        <w:fldChar w:fldCharType="end"/>
      </w:r>
      <w:r w:rsidRPr="00731FE2">
        <w:rPr>
          <w:sz w:val="24"/>
          <w:szCs w:val="24"/>
        </w:rPr>
        <w:t xml:space="preserve"> – Охранные зоны линий электропередач</w:t>
      </w:r>
      <w:r w:rsidRPr="00731FE2">
        <w:rPr>
          <w:rStyle w:val="afb"/>
          <w:sz w:val="24"/>
          <w:szCs w:val="24"/>
          <w:vertAlign w:val="superscript"/>
        </w:rPr>
        <w:footnoteReference w:id="119"/>
      </w:r>
    </w:p>
    <w:tbl>
      <w:tblPr>
        <w:tblStyle w:val="afe"/>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ayout w:type="fixed"/>
        <w:tblLook w:val="04A0" w:firstRow="1" w:lastRow="0" w:firstColumn="1" w:lastColumn="0" w:noHBand="0" w:noVBand="1"/>
      </w:tblPr>
      <w:tblGrid>
        <w:gridCol w:w="2693"/>
        <w:gridCol w:w="6661"/>
      </w:tblGrid>
      <w:tr w:rsidR="00171AA8" w:rsidRPr="00731FE2" w14:paraId="6FE2754C" w14:textId="77777777">
        <w:tc>
          <w:tcPr>
            <w:tcW w:w="2693"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6965C1F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b/>
                <w:bCs/>
                <w:color w:val="000000"/>
                <w:sz w:val="22"/>
                <w:szCs w:val="20"/>
              </w:rPr>
            </w:pPr>
            <w:r w:rsidRPr="00731FE2">
              <w:rPr>
                <w:rFonts w:ascii="Times New Roman" w:eastAsia="Times New Roman" w:hAnsi="Times New Roman" w:cs="Times New Roman"/>
                <w:b/>
                <w:bCs/>
                <w:color w:val="000000"/>
                <w:sz w:val="22"/>
                <w:szCs w:val="20"/>
              </w:rPr>
              <w:t>Проектный номинальный класс</w:t>
            </w:r>
          </w:p>
          <w:p w14:paraId="7FCF1A5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b/>
                <w:bCs/>
                <w:color w:val="000000"/>
                <w:sz w:val="22"/>
                <w:szCs w:val="20"/>
              </w:rPr>
            </w:pPr>
            <w:r w:rsidRPr="00731FE2">
              <w:rPr>
                <w:rFonts w:ascii="Times New Roman" w:eastAsia="Times New Roman" w:hAnsi="Times New Roman" w:cs="Times New Roman"/>
                <w:b/>
                <w:bCs/>
                <w:color w:val="000000"/>
                <w:sz w:val="22"/>
                <w:szCs w:val="20"/>
              </w:rPr>
              <w:t>напряжения, кВ</w:t>
            </w:r>
          </w:p>
        </w:tc>
        <w:tc>
          <w:tcPr>
            <w:tcW w:w="6661" w:type="dxa"/>
            <w:tcBorders>
              <w:top w:val="single" w:sz="8"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47324DE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b/>
                <w:bCs/>
                <w:color w:val="000000"/>
                <w:sz w:val="22"/>
                <w:szCs w:val="20"/>
              </w:rPr>
            </w:pPr>
            <w:r w:rsidRPr="00731FE2">
              <w:rPr>
                <w:rFonts w:ascii="Times New Roman" w:eastAsia="Times New Roman" w:hAnsi="Times New Roman" w:cs="Times New Roman"/>
                <w:b/>
                <w:bCs/>
                <w:color w:val="000000"/>
                <w:sz w:val="22"/>
                <w:szCs w:val="20"/>
              </w:rPr>
              <w:t>Расстояние, м</w:t>
            </w:r>
          </w:p>
        </w:tc>
      </w:tr>
      <w:tr w:rsidR="00171AA8" w:rsidRPr="00731FE2" w14:paraId="1CA6E484" w14:textId="77777777">
        <w:trPr>
          <w:trHeight w:val="1289"/>
        </w:trPr>
        <w:tc>
          <w:tcPr>
            <w:tcW w:w="2693"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5DBAC62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szCs w:val="20"/>
              </w:rPr>
            </w:pPr>
            <w:r w:rsidRPr="00731FE2">
              <w:rPr>
                <w:rFonts w:ascii="Times New Roman" w:eastAsia="Times New Roman" w:hAnsi="Times New Roman" w:cs="Times New Roman"/>
                <w:color w:val="000000"/>
                <w:sz w:val="22"/>
                <w:szCs w:val="20"/>
              </w:rPr>
              <w:t>до 1</w:t>
            </w:r>
          </w:p>
          <w:p w14:paraId="6151264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szCs w:val="20"/>
              </w:rPr>
            </w:pPr>
            <w:r w:rsidRPr="00731FE2">
              <w:rPr>
                <w:rFonts w:ascii="Times New Roman" w:eastAsia="Times New Roman" w:hAnsi="Times New Roman" w:cs="Times New Roman"/>
                <w:color w:val="000000"/>
                <w:sz w:val="22"/>
                <w:szCs w:val="20"/>
              </w:rPr>
              <w:t> </w:t>
            </w:r>
          </w:p>
        </w:tc>
        <w:tc>
          <w:tcPr>
            <w:tcW w:w="6661"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013656A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2 (для линий с самонесущими или изолированными проводами, проложенных по стенам зданий, конструкциям и т.д., охранная зона определяется в соответствии с установленными нормативными правовыми актами минимальными допустимыми расстояниями от таких линий)</w:t>
            </w:r>
          </w:p>
        </w:tc>
      </w:tr>
      <w:tr w:rsidR="00171AA8" w:rsidRPr="00731FE2" w14:paraId="18394B62" w14:textId="77777777">
        <w:tc>
          <w:tcPr>
            <w:tcW w:w="2693"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499956F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szCs w:val="20"/>
              </w:rPr>
            </w:pPr>
            <w:r w:rsidRPr="00731FE2">
              <w:rPr>
                <w:rFonts w:ascii="Times New Roman" w:eastAsia="Times New Roman" w:hAnsi="Times New Roman" w:cs="Times New Roman"/>
                <w:color w:val="000000"/>
                <w:sz w:val="22"/>
                <w:szCs w:val="20"/>
              </w:rPr>
              <w:t>1 – 20</w:t>
            </w:r>
          </w:p>
          <w:p w14:paraId="1AAB5F1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szCs w:val="20"/>
              </w:rPr>
            </w:pPr>
            <w:r w:rsidRPr="00731FE2">
              <w:rPr>
                <w:rFonts w:ascii="Times New Roman" w:eastAsia="Times New Roman" w:hAnsi="Times New Roman" w:cs="Times New Roman"/>
                <w:color w:val="000000"/>
                <w:sz w:val="22"/>
                <w:szCs w:val="20"/>
              </w:rPr>
              <w:t> </w:t>
            </w:r>
          </w:p>
        </w:tc>
        <w:tc>
          <w:tcPr>
            <w:tcW w:w="6661"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3B6B236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szCs w:val="20"/>
              </w:rPr>
            </w:pPr>
            <w:r w:rsidRPr="00731FE2">
              <w:rPr>
                <w:rFonts w:ascii="Times New Roman" w:eastAsia="Times New Roman" w:hAnsi="Times New Roman" w:cs="Times New Roman"/>
                <w:color w:val="000000"/>
                <w:sz w:val="22"/>
                <w:szCs w:val="20"/>
              </w:rPr>
              <w:t>10 (5 - для линий с самонесущими или изолированными проводами, размещенных в границах населенных пунктов)</w:t>
            </w:r>
          </w:p>
        </w:tc>
      </w:tr>
      <w:tr w:rsidR="00171AA8" w:rsidRPr="00731FE2" w14:paraId="544C8369" w14:textId="77777777">
        <w:tc>
          <w:tcPr>
            <w:tcW w:w="2693"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690DADD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szCs w:val="20"/>
              </w:rPr>
            </w:pPr>
            <w:r w:rsidRPr="00731FE2">
              <w:rPr>
                <w:rFonts w:ascii="Times New Roman" w:eastAsia="Times New Roman" w:hAnsi="Times New Roman" w:cs="Times New Roman"/>
                <w:color w:val="000000"/>
                <w:sz w:val="22"/>
                <w:szCs w:val="20"/>
              </w:rPr>
              <w:t>35</w:t>
            </w:r>
          </w:p>
        </w:tc>
        <w:tc>
          <w:tcPr>
            <w:tcW w:w="6661"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4CD2F6A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szCs w:val="20"/>
              </w:rPr>
            </w:pPr>
            <w:r w:rsidRPr="00731FE2">
              <w:rPr>
                <w:rFonts w:ascii="Times New Roman" w:eastAsia="Times New Roman" w:hAnsi="Times New Roman" w:cs="Times New Roman"/>
                <w:color w:val="000000"/>
                <w:sz w:val="22"/>
                <w:szCs w:val="20"/>
              </w:rPr>
              <w:t>15</w:t>
            </w:r>
          </w:p>
        </w:tc>
      </w:tr>
      <w:tr w:rsidR="00171AA8" w:rsidRPr="00731FE2" w14:paraId="4650B9D5" w14:textId="77777777">
        <w:tc>
          <w:tcPr>
            <w:tcW w:w="2693"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165A35D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szCs w:val="20"/>
              </w:rPr>
            </w:pPr>
            <w:r w:rsidRPr="00731FE2">
              <w:rPr>
                <w:rFonts w:ascii="Times New Roman" w:eastAsia="Times New Roman" w:hAnsi="Times New Roman" w:cs="Times New Roman"/>
                <w:color w:val="000000"/>
                <w:sz w:val="22"/>
                <w:szCs w:val="20"/>
              </w:rPr>
              <w:t>110</w:t>
            </w:r>
          </w:p>
        </w:tc>
        <w:tc>
          <w:tcPr>
            <w:tcW w:w="6661"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1DCFC1F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szCs w:val="20"/>
              </w:rPr>
            </w:pPr>
            <w:r w:rsidRPr="00731FE2">
              <w:rPr>
                <w:rFonts w:ascii="Times New Roman" w:eastAsia="Times New Roman" w:hAnsi="Times New Roman" w:cs="Times New Roman"/>
                <w:color w:val="000000"/>
                <w:sz w:val="22"/>
                <w:szCs w:val="20"/>
              </w:rPr>
              <w:t>20</w:t>
            </w:r>
          </w:p>
        </w:tc>
      </w:tr>
      <w:tr w:rsidR="00171AA8" w:rsidRPr="00731FE2" w14:paraId="364B8143" w14:textId="77777777">
        <w:tc>
          <w:tcPr>
            <w:tcW w:w="2693"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21F5F47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szCs w:val="20"/>
              </w:rPr>
            </w:pPr>
            <w:r w:rsidRPr="00731FE2">
              <w:rPr>
                <w:rFonts w:ascii="Times New Roman" w:eastAsia="Times New Roman" w:hAnsi="Times New Roman" w:cs="Times New Roman"/>
                <w:color w:val="000000"/>
                <w:sz w:val="22"/>
                <w:szCs w:val="20"/>
              </w:rPr>
              <w:t>150, 220</w:t>
            </w:r>
          </w:p>
        </w:tc>
        <w:tc>
          <w:tcPr>
            <w:tcW w:w="6661"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73AFB1F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szCs w:val="20"/>
              </w:rPr>
            </w:pPr>
            <w:r w:rsidRPr="00731FE2">
              <w:rPr>
                <w:rFonts w:ascii="Times New Roman" w:eastAsia="Times New Roman" w:hAnsi="Times New Roman" w:cs="Times New Roman"/>
                <w:color w:val="000000"/>
                <w:sz w:val="22"/>
                <w:szCs w:val="20"/>
              </w:rPr>
              <w:t>25</w:t>
            </w:r>
          </w:p>
        </w:tc>
      </w:tr>
      <w:tr w:rsidR="00171AA8" w:rsidRPr="00731FE2" w14:paraId="75239B0D" w14:textId="77777777">
        <w:trPr>
          <w:trHeight w:val="253"/>
        </w:trPr>
        <w:tc>
          <w:tcPr>
            <w:tcW w:w="2693" w:type="dxa"/>
            <w:vMerge w:val="restart"/>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09AABF1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szCs w:val="20"/>
              </w:rPr>
            </w:pPr>
            <w:r w:rsidRPr="00731FE2">
              <w:rPr>
                <w:rFonts w:ascii="Times New Roman" w:eastAsia="Times New Roman" w:hAnsi="Times New Roman" w:cs="Times New Roman"/>
                <w:color w:val="000000"/>
                <w:sz w:val="22"/>
                <w:szCs w:val="20"/>
              </w:rPr>
              <w:t>300, 500, +/- 400</w:t>
            </w:r>
          </w:p>
        </w:tc>
        <w:tc>
          <w:tcPr>
            <w:tcW w:w="6661" w:type="dxa"/>
            <w:vMerge w:val="restart"/>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7671570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szCs w:val="20"/>
              </w:rPr>
            </w:pPr>
            <w:r w:rsidRPr="00731FE2">
              <w:rPr>
                <w:rFonts w:ascii="Times New Roman" w:eastAsia="Times New Roman" w:hAnsi="Times New Roman" w:cs="Times New Roman"/>
                <w:color w:val="000000"/>
                <w:sz w:val="22"/>
                <w:szCs w:val="20"/>
              </w:rPr>
              <w:t>30</w:t>
            </w:r>
          </w:p>
        </w:tc>
      </w:tr>
      <w:tr w:rsidR="00171AA8" w:rsidRPr="00731FE2" w14:paraId="34AC8D0C" w14:textId="77777777">
        <w:trPr>
          <w:trHeight w:val="253"/>
        </w:trPr>
        <w:tc>
          <w:tcPr>
            <w:tcW w:w="2693" w:type="dxa"/>
            <w:vMerge w:val="restart"/>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72002BE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750, +/- 750</w:t>
            </w:r>
          </w:p>
        </w:tc>
        <w:tc>
          <w:tcPr>
            <w:tcW w:w="6661" w:type="dxa"/>
            <w:vMerge w:val="restart"/>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0BA0D8D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szCs w:val="20"/>
              </w:rPr>
            </w:pPr>
            <w:r w:rsidRPr="00731FE2">
              <w:rPr>
                <w:rFonts w:ascii="Times New Roman" w:eastAsia="Times New Roman" w:hAnsi="Times New Roman" w:cs="Times New Roman"/>
                <w:color w:val="000000"/>
                <w:sz w:val="22"/>
                <w:szCs w:val="20"/>
              </w:rPr>
              <w:t>40</w:t>
            </w:r>
          </w:p>
        </w:tc>
      </w:tr>
      <w:tr w:rsidR="00171AA8" w:rsidRPr="00731FE2" w14:paraId="78955A7D" w14:textId="77777777">
        <w:trPr>
          <w:trHeight w:val="253"/>
        </w:trPr>
        <w:tc>
          <w:tcPr>
            <w:tcW w:w="2693" w:type="dxa"/>
            <w:vMerge w:val="restart"/>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5AABDB6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1150</w:t>
            </w:r>
          </w:p>
        </w:tc>
        <w:tc>
          <w:tcPr>
            <w:tcW w:w="6661" w:type="dxa"/>
            <w:vMerge w:val="restart"/>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0E0BDFC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szCs w:val="20"/>
              </w:rPr>
            </w:pPr>
            <w:r w:rsidRPr="00731FE2">
              <w:rPr>
                <w:rFonts w:ascii="Times New Roman" w:eastAsia="Times New Roman" w:hAnsi="Times New Roman" w:cs="Times New Roman"/>
                <w:color w:val="000000"/>
                <w:sz w:val="22"/>
                <w:szCs w:val="20"/>
              </w:rPr>
              <w:t>55</w:t>
            </w:r>
          </w:p>
        </w:tc>
      </w:tr>
    </w:tbl>
    <w:p w14:paraId="14BD7542" w14:textId="77777777" w:rsidR="00171AA8" w:rsidRPr="00731FE2" w:rsidRDefault="00171AA8">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p>
    <w:p w14:paraId="43482497"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В целях предотвращения негативного воздействия вод на определенные территории и объекты и ликвидации его последствий принимаются меры по предотвращению негативного воздействия вод и ликвидации его последствий в соответствии с настоящим Кодексом, обеспечивается инженерная защита территорий и объектов от затопления, подтопления, разрушения берегов водных объектов, заболачивания и другого негативного воздействия вод.</w:t>
      </w:r>
    </w:p>
    <w:p w14:paraId="41B096DD" w14:textId="77777777" w:rsidR="00171AA8" w:rsidRPr="00731FE2" w:rsidRDefault="007935AB" w:rsidP="007832E7">
      <w:pPr>
        <w:pStyle w:val="a3"/>
        <w:numPr>
          <w:ilvl w:val="0"/>
          <w:numId w:val="110"/>
        </w:numPr>
        <w:pBdr>
          <w:top w:val="none" w:sz="4" w:space="0" w:color="000000"/>
          <w:left w:val="none" w:sz="4" w:space="0" w:color="000000"/>
          <w:bottom w:val="none" w:sz="4" w:space="0" w:color="000000"/>
          <w:right w:val="none" w:sz="4" w:space="0" w:color="000000"/>
        </w:pBdr>
        <w:tabs>
          <w:tab w:val="left" w:pos="992"/>
        </w:tabs>
        <w:ind w:left="0" w:firstLine="709"/>
        <w:rPr>
          <w:rFonts w:ascii="Times New Roman" w:eastAsia="Times New Roman" w:hAnsi="Times New Roman" w:cs="Times New Roman"/>
          <w:color w:val="000000"/>
        </w:rPr>
      </w:pPr>
      <w:r w:rsidRPr="00731FE2">
        <w:rPr>
          <w:rFonts w:ascii="Times New Roman" w:eastAsia="Times New Roman" w:hAnsi="Times New Roman" w:cs="Times New Roman"/>
          <w:color w:val="000000"/>
        </w:rPr>
        <w:t>Меры по предотвращению негативного воздействия вод и ликвидации его последствий понимается комплекс мероприятий, включают в себя:</w:t>
      </w:r>
    </w:p>
    <w:p w14:paraId="2E98663E" w14:textId="77777777" w:rsidR="00171AA8" w:rsidRPr="00731FE2" w:rsidRDefault="007935AB" w:rsidP="007832E7">
      <w:pPr>
        <w:pStyle w:val="a3"/>
        <w:numPr>
          <w:ilvl w:val="0"/>
          <w:numId w:val="109"/>
        </w:numPr>
        <w:pBdr>
          <w:top w:val="none" w:sz="4" w:space="0" w:color="000000"/>
          <w:left w:val="none" w:sz="4" w:space="0" w:color="000000"/>
          <w:bottom w:val="none" w:sz="4" w:space="0" w:color="000000"/>
          <w:right w:val="none" w:sz="4" w:space="0" w:color="000000"/>
        </w:pBdr>
        <w:tabs>
          <w:tab w:val="left" w:pos="992"/>
        </w:tabs>
        <w:ind w:left="0" w:firstLine="709"/>
        <w:rPr>
          <w:rFonts w:ascii="Times New Roman" w:eastAsia="Times New Roman" w:hAnsi="Times New Roman" w:cs="Times New Roman"/>
          <w:color w:val="000000"/>
        </w:rPr>
      </w:pPr>
      <w:r w:rsidRPr="00731FE2">
        <w:rPr>
          <w:rFonts w:ascii="Times New Roman" w:eastAsia="Times New Roman" w:hAnsi="Times New Roman" w:cs="Times New Roman"/>
          <w:color w:val="000000"/>
        </w:rPr>
        <w:t>предпаводковое и послепаводковое обследование паводкоопасных территорий и водных объектов;</w:t>
      </w:r>
    </w:p>
    <w:p w14:paraId="279716B7" w14:textId="77777777" w:rsidR="00171AA8" w:rsidRPr="00731FE2" w:rsidRDefault="007935AB" w:rsidP="007832E7">
      <w:pPr>
        <w:pStyle w:val="a3"/>
        <w:numPr>
          <w:ilvl w:val="0"/>
          <w:numId w:val="109"/>
        </w:numPr>
        <w:pBdr>
          <w:top w:val="none" w:sz="4" w:space="0" w:color="000000"/>
          <w:left w:val="none" w:sz="4" w:space="0" w:color="000000"/>
          <w:bottom w:val="none" w:sz="4" w:space="0" w:color="000000"/>
          <w:right w:val="none" w:sz="4" w:space="0" w:color="000000"/>
        </w:pBdr>
        <w:tabs>
          <w:tab w:val="left" w:pos="992"/>
        </w:tabs>
        <w:ind w:left="0" w:firstLine="709"/>
        <w:rPr>
          <w:rFonts w:ascii="Times New Roman" w:eastAsia="Times New Roman" w:hAnsi="Times New Roman" w:cs="Times New Roman"/>
          <w:color w:val="000000"/>
        </w:rPr>
      </w:pPr>
      <w:r w:rsidRPr="00731FE2">
        <w:rPr>
          <w:rFonts w:ascii="Times New Roman" w:eastAsia="Times New Roman" w:hAnsi="Times New Roman" w:cs="Times New Roman"/>
          <w:color w:val="000000"/>
        </w:rPr>
        <w:t>ледокольные, ледорезные и иные работы по ослаблению прочности льда и ликвидации ледовых заторов;</w:t>
      </w:r>
    </w:p>
    <w:p w14:paraId="6A4F3B2D" w14:textId="77777777" w:rsidR="00171AA8" w:rsidRPr="00731FE2" w:rsidRDefault="007935AB" w:rsidP="007832E7">
      <w:pPr>
        <w:pStyle w:val="a3"/>
        <w:numPr>
          <w:ilvl w:val="0"/>
          <w:numId w:val="109"/>
        </w:numPr>
        <w:pBdr>
          <w:top w:val="none" w:sz="4" w:space="0" w:color="000000"/>
          <w:left w:val="none" w:sz="4" w:space="0" w:color="000000"/>
          <w:bottom w:val="none" w:sz="4" w:space="0" w:color="000000"/>
          <w:right w:val="none" w:sz="4" w:space="0" w:color="000000"/>
        </w:pBdr>
        <w:tabs>
          <w:tab w:val="left" w:pos="992"/>
        </w:tabs>
        <w:ind w:left="0" w:firstLine="709"/>
        <w:rPr>
          <w:rFonts w:ascii="Times New Roman" w:eastAsia="Times New Roman" w:hAnsi="Times New Roman" w:cs="Times New Roman"/>
          <w:color w:val="000000"/>
        </w:rPr>
      </w:pPr>
      <w:r w:rsidRPr="00731FE2">
        <w:rPr>
          <w:rFonts w:ascii="Times New Roman" w:eastAsia="Times New Roman" w:hAnsi="Times New Roman" w:cs="Times New Roman"/>
          <w:color w:val="000000"/>
        </w:rPr>
        <w:t>противопаводковые мероприятия, в том числе мероприятия по увеличению пропускной способности русел рек, их дноуглублению и спрямлению, расчистке водоемов, уполаживанию берегов водных объектов, их биогенному закреплению, укреплению берегов песчано-гравийной и каменной наброской.</w:t>
      </w:r>
    </w:p>
    <w:p w14:paraId="7C9E1F3C" w14:textId="77777777" w:rsidR="00171AA8" w:rsidRPr="00731FE2" w:rsidRDefault="007935AB" w:rsidP="007832E7">
      <w:pPr>
        <w:pStyle w:val="a3"/>
        <w:numPr>
          <w:ilvl w:val="0"/>
          <w:numId w:val="110"/>
        </w:numPr>
        <w:pBdr>
          <w:top w:val="none" w:sz="4" w:space="0" w:color="000000"/>
          <w:left w:val="none" w:sz="4" w:space="0" w:color="000000"/>
          <w:bottom w:val="none" w:sz="4" w:space="0" w:color="000000"/>
          <w:right w:val="none" w:sz="4" w:space="0" w:color="000000"/>
        </w:pBdr>
        <w:tabs>
          <w:tab w:val="left" w:pos="992"/>
        </w:tabs>
        <w:ind w:left="0" w:firstLine="709"/>
        <w:rPr>
          <w:rFonts w:ascii="Times New Roman" w:eastAsia="Times New Roman" w:hAnsi="Times New Roman" w:cs="Times New Roman"/>
          <w:color w:val="000000"/>
        </w:rPr>
      </w:pPr>
      <w:r w:rsidRPr="00731FE2">
        <w:rPr>
          <w:rFonts w:ascii="Times New Roman" w:eastAsia="Times New Roman" w:hAnsi="Times New Roman" w:cs="Times New Roman"/>
          <w:color w:val="000000"/>
        </w:rPr>
        <w:t xml:space="preserve">Инженерная защита территорий и объектов от негативного воздействия вод, в том числе строительство берегоукрепительных сооружений, дамб и других сооружений, предназначенных для защиты территорий и объектов от затопления, подтопления, разрушения берегов водных объектов, заболачивания и другого негативного воздействия </w:t>
      </w:r>
      <w:r w:rsidRPr="00731FE2">
        <w:rPr>
          <w:rFonts w:ascii="Times New Roman" w:eastAsia="Times New Roman" w:hAnsi="Times New Roman" w:cs="Times New Roman"/>
          <w:color w:val="000000"/>
        </w:rPr>
        <w:lastRenderedPageBreak/>
        <w:t>вод (сооружения инженерной защиты), осуществляется в соответствии с законодательством Российской Федерации о градостроительной деятельности.</w:t>
      </w:r>
    </w:p>
    <w:p w14:paraId="59214498" w14:textId="77777777" w:rsidR="00171AA8" w:rsidRPr="00731FE2" w:rsidRDefault="007935AB" w:rsidP="007832E7">
      <w:pPr>
        <w:pStyle w:val="a3"/>
        <w:numPr>
          <w:ilvl w:val="0"/>
          <w:numId w:val="110"/>
        </w:numPr>
        <w:pBdr>
          <w:top w:val="none" w:sz="4" w:space="0" w:color="000000"/>
          <w:left w:val="none" w:sz="4" w:space="0" w:color="000000"/>
          <w:bottom w:val="none" w:sz="4" w:space="0" w:color="000000"/>
          <w:right w:val="none" w:sz="4" w:space="0" w:color="000000"/>
        </w:pBdr>
        <w:tabs>
          <w:tab w:val="left" w:pos="992"/>
        </w:tabs>
        <w:ind w:left="0" w:firstLine="709"/>
        <w:rPr>
          <w:rFonts w:ascii="Times New Roman" w:eastAsia="Times New Roman" w:hAnsi="Times New Roman" w:cs="Times New Roman"/>
          <w:color w:val="000000"/>
        </w:rPr>
      </w:pPr>
      <w:r w:rsidRPr="00731FE2">
        <w:rPr>
          <w:rFonts w:ascii="Times New Roman" w:eastAsia="Times New Roman" w:hAnsi="Times New Roman" w:cs="Times New Roman"/>
          <w:color w:val="000000"/>
        </w:rPr>
        <w:t>В целях строительства сооружений инженерной защиты территорий и объектов от негативного воздействия вод допускается изъятие земельных участков для государственных или муниципальных нужд в порядке, установленном земельным законодательством и гражданским законодательством.</w:t>
      </w:r>
    </w:p>
    <w:p w14:paraId="6C516889" w14:textId="77777777" w:rsidR="00171AA8" w:rsidRPr="00731FE2" w:rsidRDefault="007935AB" w:rsidP="007832E7">
      <w:pPr>
        <w:pStyle w:val="a3"/>
        <w:numPr>
          <w:ilvl w:val="0"/>
          <w:numId w:val="110"/>
        </w:numPr>
        <w:pBdr>
          <w:top w:val="none" w:sz="4" w:space="0" w:color="000000"/>
          <w:left w:val="none" w:sz="4" w:space="0" w:color="000000"/>
          <w:bottom w:val="none" w:sz="4" w:space="0" w:color="000000"/>
          <w:right w:val="none" w:sz="4" w:space="0" w:color="000000"/>
        </w:pBdr>
        <w:tabs>
          <w:tab w:val="left" w:pos="992"/>
        </w:tabs>
        <w:ind w:left="0" w:firstLine="709"/>
        <w:rPr>
          <w:rFonts w:ascii="Times New Roman" w:eastAsia="Times New Roman" w:hAnsi="Times New Roman" w:cs="Times New Roman"/>
          <w:color w:val="000000"/>
        </w:rPr>
      </w:pPr>
      <w:r w:rsidRPr="00731FE2">
        <w:rPr>
          <w:rFonts w:ascii="Times New Roman" w:eastAsia="Times New Roman" w:hAnsi="Times New Roman" w:cs="Times New Roman"/>
          <w:color w:val="000000"/>
        </w:rPr>
        <w:t>Решение об установлении, изменении зон затопления, подтопления принимается уполномоченным Правительством Российской Федерации федеральным органом исполнительной власти с участием заинтересованных органов исполнительной власти субъектов Российской Федерации и органов местного самоуправления. Положение о зонах затопления, подтопления утверждается Правительством Российской Федерации.</w:t>
      </w:r>
    </w:p>
    <w:p w14:paraId="0A245080" w14:textId="77777777" w:rsidR="00171AA8" w:rsidRPr="00731FE2" w:rsidRDefault="007935AB" w:rsidP="007832E7">
      <w:pPr>
        <w:pStyle w:val="a3"/>
        <w:numPr>
          <w:ilvl w:val="0"/>
          <w:numId w:val="110"/>
        </w:numPr>
        <w:pBdr>
          <w:top w:val="none" w:sz="4" w:space="0" w:color="000000"/>
          <w:left w:val="none" w:sz="4" w:space="0" w:color="000000"/>
          <w:bottom w:val="none" w:sz="4" w:space="0" w:color="000000"/>
          <w:right w:val="none" w:sz="4" w:space="0" w:color="000000"/>
        </w:pBdr>
        <w:tabs>
          <w:tab w:val="left" w:pos="992"/>
        </w:tabs>
        <w:ind w:left="0" w:firstLine="709"/>
        <w:rPr>
          <w:rFonts w:ascii="Times New Roman" w:eastAsia="Times New Roman" w:hAnsi="Times New Roman" w:cs="Times New Roman"/>
          <w:color w:val="000000"/>
        </w:rPr>
      </w:pPr>
      <w:r w:rsidRPr="00731FE2">
        <w:rPr>
          <w:rFonts w:ascii="Times New Roman" w:eastAsia="Times New Roman" w:hAnsi="Times New Roman" w:cs="Times New Roman"/>
          <w:color w:val="000000"/>
        </w:rPr>
        <w:t>В границах зон затопления, подтопления, запрещаются:</w:t>
      </w:r>
    </w:p>
    <w:p w14:paraId="2E30F460" w14:textId="77777777" w:rsidR="00171AA8" w:rsidRPr="00731FE2" w:rsidRDefault="007935AB" w:rsidP="007832E7">
      <w:pPr>
        <w:pStyle w:val="a3"/>
        <w:numPr>
          <w:ilvl w:val="0"/>
          <w:numId w:val="109"/>
        </w:numPr>
        <w:pBdr>
          <w:top w:val="none" w:sz="4" w:space="0" w:color="000000"/>
          <w:left w:val="none" w:sz="4" w:space="0" w:color="000000"/>
          <w:bottom w:val="none" w:sz="4" w:space="0" w:color="000000"/>
          <w:right w:val="none" w:sz="4" w:space="0" w:color="000000"/>
        </w:pBdr>
        <w:tabs>
          <w:tab w:val="left" w:pos="992"/>
        </w:tabs>
        <w:ind w:left="0" w:firstLine="709"/>
        <w:rPr>
          <w:rFonts w:ascii="Times New Roman" w:eastAsia="Times New Roman" w:hAnsi="Times New Roman" w:cs="Times New Roman"/>
          <w:color w:val="000000"/>
        </w:rPr>
      </w:pPr>
      <w:r w:rsidRPr="00731FE2">
        <w:rPr>
          <w:rFonts w:ascii="Times New Roman" w:eastAsia="Times New Roman" w:hAnsi="Times New Roman" w:cs="Times New Roman"/>
          <w:color w:val="000000"/>
        </w:rPr>
        <w:t>размещение новых населенных пунктов и строительство объектов капитального строительства без обеспечения инженерной защиты таких населенных пунктов и объектов от затопления, подтопления;</w:t>
      </w:r>
    </w:p>
    <w:p w14:paraId="271BD15B" w14:textId="77777777" w:rsidR="00171AA8" w:rsidRPr="00731FE2" w:rsidRDefault="007935AB" w:rsidP="007832E7">
      <w:pPr>
        <w:pStyle w:val="a3"/>
        <w:numPr>
          <w:ilvl w:val="0"/>
          <w:numId w:val="109"/>
        </w:numPr>
        <w:pBdr>
          <w:top w:val="none" w:sz="4" w:space="0" w:color="000000"/>
          <w:left w:val="none" w:sz="4" w:space="0" w:color="000000"/>
          <w:bottom w:val="none" w:sz="4" w:space="0" w:color="000000"/>
          <w:right w:val="none" w:sz="4" w:space="0" w:color="000000"/>
        </w:pBdr>
        <w:tabs>
          <w:tab w:val="left" w:pos="992"/>
        </w:tabs>
        <w:ind w:left="0" w:firstLine="709"/>
        <w:rPr>
          <w:rFonts w:ascii="Times New Roman" w:eastAsia="Times New Roman" w:hAnsi="Times New Roman" w:cs="Times New Roman"/>
          <w:color w:val="000000"/>
        </w:rPr>
      </w:pPr>
      <w:r w:rsidRPr="00731FE2">
        <w:rPr>
          <w:rFonts w:ascii="Times New Roman" w:eastAsia="Times New Roman" w:hAnsi="Times New Roman" w:cs="Times New Roman"/>
          <w:color w:val="000000"/>
        </w:rPr>
        <w:t>использование сточных вод в целях регулирования плодородия почв;</w:t>
      </w:r>
    </w:p>
    <w:p w14:paraId="713B58A9" w14:textId="77777777" w:rsidR="00171AA8" w:rsidRPr="00731FE2" w:rsidRDefault="007935AB" w:rsidP="007832E7">
      <w:pPr>
        <w:pStyle w:val="a3"/>
        <w:numPr>
          <w:ilvl w:val="0"/>
          <w:numId w:val="109"/>
        </w:numPr>
        <w:pBdr>
          <w:top w:val="none" w:sz="4" w:space="0" w:color="000000"/>
          <w:left w:val="none" w:sz="4" w:space="0" w:color="000000"/>
          <w:bottom w:val="none" w:sz="4" w:space="0" w:color="000000"/>
          <w:right w:val="none" w:sz="4" w:space="0" w:color="000000"/>
        </w:pBdr>
        <w:tabs>
          <w:tab w:val="left" w:pos="992"/>
        </w:tabs>
        <w:ind w:left="0" w:firstLine="709"/>
        <w:rPr>
          <w:rFonts w:ascii="Times New Roman" w:eastAsia="Times New Roman" w:hAnsi="Times New Roman" w:cs="Times New Roman"/>
          <w:color w:val="000000"/>
        </w:rPr>
      </w:pPr>
      <w:r w:rsidRPr="00731FE2">
        <w:rPr>
          <w:rFonts w:ascii="Times New Roman" w:eastAsia="Times New Roman" w:hAnsi="Times New Roman" w:cs="Times New Roman"/>
          <w:color w:val="000000"/>
        </w:rPr>
        <w:t>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p>
    <w:p w14:paraId="0CC54BFA" w14:textId="77777777" w:rsidR="00171AA8" w:rsidRPr="00731FE2" w:rsidRDefault="007935AB" w:rsidP="007832E7">
      <w:pPr>
        <w:pStyle w:val="a3"/>
        <w:numPr>
          <w:ilvl w:val="0"/>
          <w:numId w:val="109"/>
        </w:numPr>
        <w:pBdr>
          <w:top w:val="none" w:sz="4" w:space="0" w:color="000000"/>
          <w:left w:val="none" w:sz="4" w:space="0" w:color="000000"/>
          <w:bottom w:val="none" w:sz="4" w:space="0" w:color="000000"/>
          <w:right w:val="none" w:sz="4" w:space="0" w:color="000000"/>
        </w:pBdr>
        <w:tabs>
          <w:tab w:val="left" w:pos="992"/>
        </w:tabs>
        <w:ind w:left="0" w:firstLine="709"/>
        <w:rPr>
          <w:rFonts w:ascii="Times New Roman" w:eastAsia="Times New Roman" w:hAnsi="Times New Roman" w:cs="Times New Roman"/>
          <w:color w:val="000000"/>
        </w:rPr>
      </w:pPr>
      <w:r w:rsidRPr="00731FE2">
        <w:rPr>
          <w:rFonts w:ascii="Times New Roman" w:eastAsia="Times New Roman" w:hAnsi="Times New Roman" w:cs="Times New Roman"/>
          <w:color w:val="000000"/>
        </w:rPr>
        <w:t>осуществление авиационных мер по борьбе с вредными организмами.</w:t>
      </w:r>
    </w:p>
    <w:p w14:paraId="08005D9C" w14:textId="77777777" w:rsidR="00171AA8" w:rsidRPr="00731FE2" w:rsidRDefault="007935AB" w:rsidP="007832E7">
      <w:pPr>
        <w:pStyle w:val="a3"/>
        <w:numPr>
          <w:ilvl w:val="0"/>
          <w:numId w:val="110"/>
        </w:numPr>
        <w:pBdr>
          <w:top w:val="none" w:sz="4" w:space="0" w:color="000000"/>
          <w:left w:val="none" w:sz="4" w:space="0" w:color="000000"/>
          <w:bottom w:val="none" w:sz="4" w:space="0" w:color="000000"/>
          <w:right w:val="none" w:sz="4" w:space="0" w:color="000000"/>
        </w:pBdr>
        <w:tabs>
          <w:tab w:val="left" w:pos="992"/>
        </w:tabs>
        <w:ind w:left="0" w:firstLine="709"/>
        <w:rPr>
          <w:rFonts w:ascii="Times New Roman" w:eastAsia="Times New Roman" w:hAnsi="Times New Roman" w:cs="Times New Roman"/>
          <w:color w:val="000000"/>
        </w:rPr>
      </w:pPr>
      <w:r w:rsidRPr="00731FE2">
        <w:rPr>
          <w:rFonts w:ascii="Times New Roman" w:eastAsia="Times New Roman" w:hAnsi="Times New Roman" w:cs="Times New Roman"/>
          <w:color w:val="000000"/>
        </w:rPr>
        <w:t xml:space="preserve">Собственник водного объекта обязан осуществлять меры по предотвращению негативного воздействия вод и ликвидации его последствий. </w:t>
      </w:r>
    </w:p>
    <w:p w14:paraId="1113EE76"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Меры по предотвращению негативного воздействия вод и ликвидации его последствий в отношении водных объектов, находящихся в федеральной собственности, собственности Ставропольского края, собственности города-курорта Кисловодска, осуществляются исполнительными органами государственной власти или органами местного самоуправления в пределах их полномочий в соответствии со статьями 24-27 ВК РФ.</w:t>
      </w:r>
    </w:p>
    <w:p w14:paraId="44AFCE9A"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b/>
          <w:bCs/>
          <w:color w:val="000000"/>
        </w:rPr>
        <w:t>Приаэродромные территории.</w:t>
      </w:r>
      <w:r w:rsidRPr="00731FE2">
        <w:rPr>
          <w:rFonts w:ascii="Times New Roman" w:eastAsia="Times New Roman" w:hAnsi="Times New Roman" w:cs="Times New Roman"/>
          <w:color w:val="000000"/>
        </w:rPr>
        <w:t xml:space="preserve"> Согласно приказу Федерального агентства воздушного транспорта от 07.12.2023 № 1115-П «Об установлении приаэродромной территории аэродрома гражданской авиации Минеральные Воды</w:t>
      </w:r>
      <w:r w:rsidR="00A4523A" w:rsidRPr="00731FE2">
        <w:rPr>
          <w:rFonts w:ascii="Times New Roman" w:eastAsia="Times New Roman" w:hAnsi="Times New Roman" w:cs="Times New Roman"/>
          <w:color w:val="000000"/>
        </w:rPr>
        <w:t>»,</w:t>
      </w:r>
      <w:r w:rsidRPr="00731FE2">
        <w:rPr>
          <w:rFonts w:ascii="Times New Roman" w:eastAsia="Times New Roman" w:hAnsi="Times New Roman" w:cs="Times New Roman"/>
          <w:color w:val="000000"/>
        </w:rPr>
        <w:t xml:space="preserve"> (зарегистрирован 29.12.2023 № 76733) городской округ город-курорт Кисловодск частично расположен в границах четвертой подзоны приаэродромной территории аэродрома гражданской авиации Минеральные Воды. </w:t>
      </w:r>
    </w:p>
    <w:p w14:paraId="2795CA74"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На приаэродромной территории выделяются следующие подзоны, в которых устанавливаются ограничения использования объектов недвижимости и осуществления деятельности:</w:t>
      </w:r>
    </w:p>
    <w:p w14:paraId="38849C2F" w14:textId="77777777" w:rsidR="00171AA8" w:rsidRPr="00731FE2" w:rsidRDefault="007935AB" w:rsidP="007832E7">
      <w:pPr>
        <w:pStyle w:val="a3"/>
        <w:numPr>
          <w:ilvl w:val="0"/>
          <w:numId w:val="111"/>
        </w:numPr>
        <w:pBdr>
          <w:top w:val="none" w:sz="4" w:space="0" w:color="000000"/>
          <w:left w:val="none" w:sz="4" w:space="0" w:color="000000"/>
          <w:bottom w:val="none" w:sz="4" w:space="0" w:color="000000"/>
          <w:right w:val="none" w:sz="4" w:space="0" w:color="000000"/>
        </w:pBdr>
        <w:tabs>
          <w:tab w:val="left" w:pos="992"/>
        </w:tabs>
        <w:ind w:left="0" w:firstLine="709"/>
        <w:rPr>
          <w:rFonts w:ascii="Times New Roman" w:eastAsia="Times New Roman" w:hAnsi="Times New Roman" w:cs="Times New Roman"/>
          <w:color w:val="000000"/>
        </w:rPr>
      </w:pPr>
      <w:r w:rsidRPr="00731FE2">
        <w:rPr>
          <w:rFonts w:ascii="Times New Roman" w:eastAsia="Times New Roman" w:hAnsi="Times New Roman" w:cs="Times New Roman"/>
          <w:color w:val="000000"/>
        </w:rPr>
        <w:t>первая подзона, в которой запрещается размещать объекты, не предназначенные для организации и обслуживания воздушного движения и воздушных перевозок, обеспечения взлета, посадки, руления и стоянки воздушных судов;</w:t>
      </w:r>
    </w:p>
    <w:p w14:paraId="52687AF5" w14:textId="77777777" w:rsidR="00171AA8" w:rsidRPr="00731FE2" w:rsidRDefault="007935AB" w:rsidP="007832E7">
      <w:pPr>
        <w:pStyle w:val="a3"/>
        <w:numPr>
          <w:ilvl w:val="0"/>
          <w:numId w:val="111"/>
        </w:numPr>
        <w:pBdr>
          <w:top w:val="none" w:sz="4" w:space="0" w:color="000000"/>
          <w:left w:val="none" w:sz="4" w:space="0" w:color="000000"/>
          <w:bottom w:val="none" w:sz="4" w:space="0" w:color="000000"/>
          <w:right w:val="none" w:sz="4" w:space="0" w:color="000000"/>
        </w:pBdr>
        <w:tabs>
          <w:tab w:val="left" w:pos="992"/>
        </w:tabs>
        <w:ind w:left="0" w:firstLine="709"/>
        <w:rPr>
          <w:rFonts w:ascii="Times New Roman" w:eastAsia="Times New Roman" w:hAnsi="Times New Roman" w:cs="Times New Roman"/>
          <w:color w:val="000000"/>
        </w:rPr>
      </w:pPr>
      <w:r w:rsidRPr="00731FE2">
        <w:rPr>
          <w:rFonts w:ascii="Times New Roman" w:eastAsia="Times New Roman" w:hAnsi="Times New Roman" w:cs="Times New Roman"/>
          <w:color w:val="000000"/>
        </w:rPr>
        <w:t>вторая подзона, в которой запрещается размещать объекты, не предназначенные для обслуживания пассажиров и обработки багажа, грузов и почты, обслуживания воздушных судов, хранения авиационного топлива и заправки воздушных судов, обеспечения энергоснабжения, а также объекты, не относящиеся к инфраструктуре аэропорта;</w:t>
      </w:r>
    </w:p>
    <w:p w14:paraId="0D41F893" w14:textId="77777777" w:rsidR="00171AA8" w:rsidRPr="00731FE2" w:rsidRDefault="007935AB" w:rsidP="007832E7">
      <w:pPr>
        <w:pStyle w:val="a3"/>
        <w:numPr>
          <w:ilvl w:val="0"/>
          <w:numId w:val="111"/>
        </w:numPr>
        <w:pBdr>
          <w:top w:val="none" w:sz="4" w:space="0" w:color="000000"/>
          <w:left w:val="none" w:sz="4" w:space="0" w:color="000000"/>
          <w:bottom w:val="none" w:sz="4" w:space="0" w:color="000000"/>
          <w:right w:val="none" w:sz="4" w:space="0" w:color="000000"/>
        </w:pBdr>
        <w:tabs>
          <w:tab w:val="left" w:pos="992"/>
        </w:tabs>
        <w:ind w:left="0" w:firstLine="709"/>
        <w:rPr>
          <w:rFonts w:ascii="Times New Roman" w:eastAsia="Times New Roman" w:hAnsi="Times New Roman" w:cs="Times New Roman"/>
          <w:color w:val="000000"/>
        </w:rPr>
      </w:pPr>
      <w:r w:rsidRPr="00731FE2">
        <w:rPr>
          <w:rFonts w:ascii="Times New Roman" w:eastAsia="Times New Roman" w:hAnsi="Times New Roman" w:cs="Times New Roman"/>
          <w:color w:val="000000"/>
        </w:rPr>
        <w:lastRenderedPageBreak/>
        <w:t>третья подзона, в которой запрещается размещать объекты, высота которых превышает ограничения, установленные уполномоченным Правительством Российской Федерации федеральным органом исполнительной власти при установлении соответствующей приаэродромной территории;</w:t>
      </w:r>
    </w:p>
    <w:p w14:paraId="36E9E4A3" w14:textId="77777777" w:rsidR="00171AA8" w:rsidRPr="00731FE2" w:rsidRDefault="007935AB" w:rsidP="007832E7">
      <w:pPr>
        <w:pStyle w:val="a3"/>
        <w:numPr>
          <w:ilvl w:val="0"/>
          <w:numId w:val="111"/>
        </w:numPr>
        <w:pBdr>
          <w:top w:val="none" w:sz="4" w:space="0" w:color="000000"/>
          <w:left w:val="none" w:sz="4" w:space="0" w:color="000000"/>
          <w:bottom w:val="none" w:sz="4" w:space="0" w:color="000000"/>
          <w:right w:val="none" w:sz="4" w:space="0" w:color="000000"/>
        </w:pBdr>
        <w:tabs>
          <w:tab w:val="left" w:pos="992"/>
        </w:tabs>
        <w:ind w:left="0" w:firstLine="709"/>
        <w:rPr>
          <w:rFonts w:ascii="Times New Roman" w:eastAsia="Times New Roman" w:hAnsi="Times New Roman" w:cs="Times New Roman"/>
          <w:color w:val="000000"/>
        </w:rPr>
      </w:pPr>
      <w:r w:rsidRPr="00731FE2">
        <w:rPr>
          <w:rFonts w:ascii="Times New Roman" w:eastAsia="Times New Roman" w:hAnsi="Times New Roman" w:cs="Times New Roman"/>
          <w:color w:val="000000"/>
        </w:rPr>
        <w:t>четвертая подзона, в которой запрещается размещать объекты, создающие помехи в работе наземных объектов средств и систем обслуживания воздушного движения, навигации, посадки и связи, предназначенных для организации воздушного движения и расположенных вне первой подзоны;</w:t>
      </w:r>
    </w:p>
    <w:p w14:paraId="45F514C3" w14:textId="77777777" w:rsidR="00171AA8" w:rsidRPr="00731FE2" w:rsidRDefault="007935AB" w:rsidP="007832E7">
      <w:pPr>
        <w:pStyle w:val="a3"/>
        <w:numPr>
          <w:ilvl w:val="0"/>
          <w:numId w:val="111"/>
        </w:numPr>
        <w:pBdr>
          <w:top w:val="none" w:sz="4" w:space="0" w:color="000000"/>
          <w:left w:val="none" w:sz="4" w:space="0" w:color="000000"/>
          <w:bottom w:val="none" w:sz="4" w:space="0" w:color="000000"/>
          <w:right w:val="none" w:sz="4" w:space="0" w:color="000000"/>
        </w:pBdr>
        <w:tabs>
          <w:tab w:val="left" w:pos="992"/>
        </w:tabs>
        <w:ind w:left="0" w:firstLine="709"/>
        <w:rPr>
          <w:rFonts w:ascii="Times New Roman" w:eastAsia="Times New Roman" w:hAnsi="Times New Roman" w:cs="Times New Roman"/>
          <w:color w:val="000000"/>
        </w:rPr>
      </w:pPr>
      <w:r w:rsidRPr="00731FE2">
        <w:rPr>
          <w:rFonts w:ascii="Times New Roman" w:eastAsia="Times New Roman" w:hAnsi="Times New Roman" w:cs="Times New Roman"/>
          <w:color w:val="000000"/>
        </w:rPr>
        <w:t>пятая подзона, в которой запрещается размещать опасные производственные объекты, функционирование которых может повлиять на безопасность полетов воздушных судов;</w:t>
      </w:r>
    </w:p>
    <w:p w14:paraId="662A449F" w14:textId="77777777" w:rsidR="00171AA8" w:rsidRPr="00731FE2" w:rsidRDefault="007935AB" w:rsidP="007832E7">
      <w:pPr>
        <w:pStyle w:val="a3"/>
        <w:numPr>
          <w:ilvl w:val="0"/>
          <w:numId w:val="111"/>
        </w:numPr>
        <w:pBdr>
          <w:top w:val="none" w:sz="4" w:space="0" w:color="000000"/>
          <w:left w:val="none" w:sz="4" w:space="0" w:color="000000"/>
          <w:bottom w:val="none" w:sz="4" w:space="0" w:color="000000"/>
          <w:right w:val="none" w:sz="4" w:space="0" w:color="000000"/>
        </w:pBdr>
        <w:tabs>
          <w:tab w:val="left" w:pos="992"/>
        </w:tabs>
        <w:ind w:left="0" w:firstLine="709"/>
        <w:rPr>
          <w:rFonts w:ascii="Times New Roman" w:eastAsia="Times New Roman" w:hAnsi="Times New Roman" w:cs="Times New Roman"/>
          <w:color w:val="000000"/>
        </w:rPr>
      </w:pPr>
      <w:r w:rsidRPr="00731FE2">
        <w:rPr>
          <w:rFonts w:ascii="Times New Roman" w:eastAsia="Times New Roman" w:hAnsi="Times New Roman" w:cs="Times New Roman"/>
          <w:color w:val="000000"/>
        </w:rPr>
        <w:t>шестая подзона, в которой запрещается размещать объекты, способствующие привлечению и массовому скоплению птиц;</w:t>
      </w:r>
    </w:p>
    <w:p w14:paraId="7E97620C" w14:textId="77777777" w:rsidR="00171AA8" w:rsidRPr="00731FE2" w:rsidRDefault="007935AB" w:rsidP="007832E7">
      <w:pPr>
        <w:pStyle w:val="a3"/>
        <w:numPr>
          <w:ilvl w:val="0"/>
          <w:numId w:val="111"/>
        </w:numPr>
        <w:pBdr>
          <w:top w:val="none" w:sz="4" w:space="0" w:color="000000"/>
          <w:left w:val="none" w:sz="4" w:space="0" w:color="000000"/>
          <w:bottom w:val="none" w:sz="4" w:space="0" w:color="000000"/>
          <w:right w:val="none" w:sz="4" w:space="0" w:color="000000"/>
        </w:pBdr>
        <w:tabs>
          <w:tab w:val="left" w:pos="992"/>
        </w:tabs>
        <w:ind w:left="0" w:firstLine="709"/>
        <w:rPr>
          <w:rFonts w:ascii="Times New Roman" w:eastAsia="Times New Roman" w:hAnsi="Times New Roman" w:cs="Times New Roman"/>
          <w:color w:val="000000"/>
        </w:rPr>
      </w:pPr>
      <w:r w:rsidRPr="00731FE2">
        <w:rPr>
          <w:rFonts w:ascii="Times New Roman" w:eastAsia="Times New Roman" w:hAnsi="Times New Roman" w:cs="Times New Roman"/>
          <w:color w:val="000000"/>
        </w:rPr>
        <w:t>седьмая подзона, в которой в целях предотвращения негативного физического воздействия устанавливается перечень ограничений использования земельных участков, определенный в соответствии с земельным законодательством с учетом положений настоящей статьи. При этом под указанным негативным физическим воздействием понимается несоответствие эквивалентного уровня звука, возникающего в связи с полетами воздушных судов, санитарно-эпидемиологическим требованиям.</w:t>
      </w:r>
    </w:p>
    <w:p w14:paraId="109961D8"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Правила установления приаэродромных территорий регламентируется ст. 47 Воздушного кодекса Российской Федерации.</w:t>
      </w:r>
    </w:p>
    <w:p w14:paraId="674B5C21" w14:textId="77777777" w:rsidR="00171AA8" w:rsidRPr="00731FE2" w:rsidRDefault="00171AA8">
      <w:pPr>
        <w:pBdr>
          <w:top w:val="none" w:sz="4" w:space="0" w:color="000000"/>
          <w:left w:val="none" w:sz="4" w:space="0" w:color="000000"/>
          <w:bottom w:val="none" w:sz="4" w:space="0" w:color="000000"/>
          <w:right w:val="none" w:sz="4" w:space="0" w:color="000000"/>
        </w:pBdr>
        <w:tabs>
          <w:tab w:val="left" w:pos="992"/>
        </w:tabs>
        <w:rPr>
          <w:rFonts w:ascii="Times New Roman" w:eastAsia="Times New Roman" w:hAnsi="Times New Roman" w:cs="Times New Roman"/>
          <w:color w:val="000000"/>
        </w:rPr>
      </w:pPr>
    </w:p>
    <w:p w14:paraId="511A54D3" w14:textId="77777777" w:rsidR="00171AA8" w:rsidRPr="00731FE2" w:rsidRDefault="007935AB">
      <w:pPr>
        <w:pStyle w:val="24"/>
        <w:rPr>
          <w:rFonts w:ascii="Times New Roman" w:hAnsi="Times New Roman" w:cs="Times New Roman"/>
        </w:rPr>
      </w:pPr>
      <w:bookmarkStart w:id="96" w:name="_Toc177392846"/>
      <w:r w:rsidRPr="00731FE2">
        <w:rPr>
          <w:rFonts w:ascii="Times New Roman" w:hAnsi="Times New Roman" w:cs="Times New Roman"/>
        </w:rPr>
        <w:t>3.11 Охрана окружающей среды. Мероприятия по снижению отрицательного воздействия на окружающую среду</w:t>
      </w:r>
      <w:bookmarkEnd w:id="96"/>
    </w:p>
    <w:p w14:paraId="7A34FFA3"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Обеспечение экологической безопасности тесно связано с решением имеющихся экологических проблем.</w:t>
      </w:r>
    </w:p>
    <w:p w14:paraId="5E3FFA03"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В настоящем разделе рассматриваются вопросы охраны воздуха, поверхностных и подземных вод, почв, парков и лесов, зелёных насаждений городского округа города-курорта Кисловодска.</w:t>
      </w:r>
    </w:p>
    <w:p w14:paraId="57673136"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b/>
          <w:bCs/>
          <w:color w:val="000000"/>
        </w:rPr>
      </w:pPr>
      <w:r w:rsidRPr="00731FE2">
        <w:rPr>
          <w:rFonts w:ascii="Times New Roman" w:eastAsia="Times New Roman" w:hAnsi="Times New Roman" w:cs="Times New Roman"/>
          <w:b/>
          <w:bCs/>
          <w:color w:val="000000"/>
          <w:szCs w:val="24"/>
        </w:rPr>
        <w:t xml:space="preserve">Мероприятия по охране атмосферного воздуха. </w:t>
      </w:r>
      <w:r w:rsidRPr="00731FE2">
        <w:rPr>
          <w:rFonts w:ascii="Times New Roman" w:eastAsia="Times New Roman" w:hAnsi="Times New Roman" w:cs="Times New Roman"/>
          <w:color w:val="000000"/>
          <w:szCs w:val="24"/>
        </w:rPr>
        <w:t>Для улучшения состояния атмосферного воздуха необходимо:</w:t>
      </w:r>
    </w:p>
    <w:p w14:paraId="2CD7C294" w14:textId="77777777" w:rsidR="00171AA8" w:rsidRPr="00731FE2" w:rsidRDefault="007935AB" w:rsidP="007832E7">
      <w:pPr>
        <w:pStyle w:val="a3"/>
        <w:numPr>
          <w:ilvl w:val="0"/>
          <w:numId w:val="59"/>
        </w:numPr>
        <w:pBdr>
          <w:top w:val="none" w:sz="4" w:space="0" w:color="000000"/>
          <w:left w:val="none" w:sz="4" w:space="0" w:color="000000"/>
          <w:bottom w:val="none" w:sz="4" w:space="0" w:color="000000"/>
          <w:right w:val="none" w:sz="4" w:space="0" w:color="000000"/>
        </w:pBdr>
        <w:ind w:left="0" w:firstLine="283"/>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организовать 1-2 поста государственной службы наблюдения за состоянием атмосферного воздуха дополнительно к одному имеющемуся на территории метеостанции;</w:t>
      </w:r>
    </w:p>
    <w:p w14:paraId="6C50790F" w14:textId="77777777" w:rsidR="00171AA8" w:rsidRPr="00731FE2" w:rsidRDefault="007935AB" w:rsidP="007832E7">
      <w:pPr>
        <w:pStyle w:val="a3"/>
        <w:numPr>
          <w:ilvl w:val="0"/>
          <w:numId w:val="59"/>
        </w:numPr>
        <w:pBdr>
          <w:top w:val="none" w:sz="4" w:space="0" w:color="000000"/>
          <w:left w:val="none" w:sz="4" w:space="0" w:color="000000"/>
          <w:bottom w:val="none" w:sz="4" w:space="0" w:color="000000"/>
          <w:right w:val="none" w:sz="4" w:space="0" w:color="000000"/>
        </w:pBdr>
        <w:ind w:left="0" w:firstLine="283"/>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оптимизировать транспортные потоки и перераспределить их в центре города-курорта, запретить проезд транзитного транспорта через парк и его охранную зону;</w:t>
      </w:r>
    </w:p>
    <w:p w14:paraId="664137B9" w14:textId="77777777" w:rsidR="00171AA8" w:rsidRPr="00731FE2" w:rsidRDefault="007935AB" w:rsidP="007832E7">
      <w:pPr>
        <w:pStyle w:val="a3"/>
        <w:numPr>
          <w:ilvl w:val="0"/>
          <w:numId w:val="59"/>
        </w:numPr>
        <w:pBdr>
          <w:top w:val="none" w:sz="4" w:space="0" w:color="000000"/>
          <w:left w:val="none" w:sz="4" w:space="0" w:color="000000"/>
          <w:bottom w:val="none" w:sz="4" w:space="0" w:color="000000"/>
          <w:right w:val="none" w:sz="4" w:space="0" w:color="000000"/>
        </w:pBdr>
        <w:ind w:left="0" w:firstLine="283"/>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предусмотреть реконструкцию существующего котельного оборудования в соответствии с современными требованиями. С целью защиты окружающей среды внедрить газопоршневые агрегаты и установки по очистке дымовых газов с последующим производством пищевой углекислоты из продуктов горения газов в паровых котлах;</w:t>
      </w:r>
    </w:p>
    <w:p w14:paraId="6F039709" w14:textId="77777777" w:rsidR="00171AA8" w:rsidRPr="00731FE2" w:rsidRDefault="007935AB" w:rsidP="007832E7">
      <w:pPr>
        <w:pStyle w:val="a3"/>
        <w:numPr>
          <w:ilvl w:val="0"/>
          <w:numId w:val="59"/>
        </w:numPr>
        <w:pBdr>
          <w:top w:val="none" w:sz="4" w:space="0" w:color="000000"/>
          <w:left w:val="none" w:sz="4" w:space="0" w:color="000000"/>
          <w:bottom w:val="none" w:sz="4" w:space="0" w:color="000000"/>
          <w:right w:val="none" w:sz="4" w:space="0" w:color="000000"/>
        </w:pBdr>
        <w:ind w:left="0" w:firstLine="283"/>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определить место для строительства современной ТЭЦ за пределами 2-й зоны горно-санитарной охраны с последующим демонтажем существующей в центре города-курорта Кисловодской ТЭЦ;</w:t>
      </w:r>
    </w:p>
    <w:p w14:paraId="77C62482" w14:textId="77777777" w:rsidR="00171AA8" w:rsidRPr="00731FE2" w:rsidRDefault="007935AB" w:rsidP="007832E7">
      <w:pPr>
        <w:pStyle w:val="a3"/>
        <w:numPr>
          <w:ilvl w:val="0"/>
          <w:numId w:val="59"/>
        </w:numPr>
        <w:pBdr>
          <w:top w:val="none" w:sz="4" w:space="0" w:color="000000"/>
          <w:left w:val="none" w:sz="4" w:space="0" w:color="000000"/>
          <w:bottom w:val="none" w:sz="4" w:space="0" w:color="000000"/>
          <w:right w:val="none" w:sz="4" w:space="0" w:color="000000"/>
        </w:pBdr>
        <w:ind w:left="0" w:firstLine="283"/>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lastRenderedPageBreak/>
        <w:t>рассчитать и утвердить для города-курорта федерального значения и лечебно-оздоровительной местности новые уменьшенные предельно допустимые выбросы для предприятий (в том числе котельных);</w:t>
      </w:r>
    </w:p>
    <w:p w14:paraId="07739354" w14:textId="77777777" w:rsidR="00171AA8" w:rsidRPr="00731FE2" w:rsidRDefault="007935AB" w:rsidP="007832E7">
      <w:pPr>
        <w:pStyle w:val="a3"/>
        <w:numPr>
          <w:ilvl w:val="0"/>
          <w:numId w:val="59"/>
        </w:numPr>
        <w:pBdr>
          <w:top w:val="none" w:sz="4" w:space="0" w:color="000000"/>
          <w:left w:val="none" w:sz="4" w:space="0" w:color="000000"/>
          <w:bottom w:val="none" w:sz="4" w:space="0" w:color="000000"/>
          <w:right w:val="none" w:sz="4" w:space="0" w:color="000000"/>
        </w:pBdr>
        <w:ind w:left="0" w:firstLine="283"/>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организовать контроль, внедрение и сертификацию автомобильной техники, отвечающей экологическим стандартам «Евро 4» и «Евро 5».</w:t>
      </w:r>
    </w:p>
    <w:p w14:paraId="77E7B9FB"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b/>
          <w:bCs/>
          <w:color w:val="000000"/>
          <w:szCs w:val="24"/>
        </w:rPr>
        <w:t xml:space="preserve">Мероприятия по охране поверхностных и подземных вод. </w:t>
      </w:r>
      <w:r w:rsidRPr="00731FE2">
        <w:rPr>
          <w:rFonts w:ascii="Times New Roman" w:eastAsia="Times New Roman" w:hAnsi="Times New Roman" w:cs="Times New Roman"/>
          <w:color w:val="000000"/>
          <w:szCs w:val="24"/>
        </w:rPr>
        <w:t>Для охраны поверхностных вод необходимо:</w:t>
      </w:r>
    </w:p>
    <w:p w14:paraId="0FD6C26E" w14:textId="77777777" w:rsidR="00171AA8" w:rsidRPr="00731FE2" w:rsidRDefault="007935AB" w:rsidP="007832E7">
      <w:pPr>
        <w:pStyle w:val="a3"/>
        <w:numPr>
          <w:ilvl w:val="0"/>
          <w:numId w:val="60"/>
        </w:numPr>
        <w:pBdr>
          <w:top w:val="none" w:sz="4" w:space="0" w:color="000000"/>
          <w:left w:val="none" w:sz="4" w:space="0" w:color="000000"/>
          <w:bottom w:val="none" w:sz="4" w:space="0" w:color="000000"/>
          <w:right w:val="none" w:sz="4" w:space="0" w:color="000000"/>
        </w:pBdr>
        <w:ind w:left="0" w:firstLine="283"/>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благоустроить жилые посёлки Нарзанный, Белореченский, Аликоновка, Зеленогорский и др., входящие в пределы городского округа, улучшив их санитарное состояние (канализация, санитарная очистка) и исключив попадание в водотоки неочищенных стоков;</w:t>
      </w:r>
    </w:p>
    <w:p w14:paraId="3CEDAD55" w14:textId="77777777" w:rsidR="00171AA8" w:rsidRPr="00731FE2" w:rsidRDefault="007935AB" w:rsidP="007832E7">
      <w:pPr>
        <w:pStyle w:val="a3"/>
        <w:numPr>
          <w:ilvl w:val="0"/>
          <w:numId w:val="60"/>
        </w:numPr>
        <w:pBdr>
          <w:top w:val="none" w:sz="4" w:space="0" w:color="000000"/>
          <w:left w:val="none" w:sz="4" w:space="0" w:color="000000"/>
          <w:bottom w:val="none" w:sz="4" w:space="0" w:color="000000"/>
          <w:right w:val="none" w:sz="4" w:space="0" w:color="000000"/>
        </w:pBdr>
        <w:ind w:left="0" w:firstLine="283"/>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вынести все домовладения, расположенные в первой зоне горно-санитарной охраны в пределах водоохранных зон с последующей рекультивацией освобождённых территорий;</w:t>
      </w:r>
    </w:p>
    <w:p w14:paraId="051F78A3" w14:textId="77777777" w:rsidR="00171AA8" w:rsidRPr="00731FE2" w:rsidRDefault="007935AB" w:rsidP="007832E7">
      <w:pPr>
        <w:pStyle w:val="a3"/>
        <w:numPr>
          <w:ilvl w:val="0"/>
          <w:numId w:val="60"/>
        </w:numPr>
        <w:pBdr>
          <w:top w:val="none" w:sz="4" w:space="0" w:color="000000"/>
          <w:left w:val="none" w:sz="4" w:space="0" w:color="000000"/>
          <w:bottom w:val="none" w:sz="4" w:space="0" w:color="000000"/>
          <w:right w:val="none" w:sz="4" w:space="0" w:color="000000"/>
        </w:pBdr>
        <w:ind w:left="0" w:firstLine="283"/>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полностью прекратить функционирование кладбища, находящегося в водоохранной зоне р. Белая;</w:t>
      </w:r>
    </w:p>
    <w:p w14:paraId="2363C821" w14:textId="77777777" w:rsidR="00171AA8" w:rsidRPr="00731FE2" w:rsidRDefault="007935AB" w:rsidP="007832E7">
      <w:pPr>
        <w:pStyle w:val="a3"/>
        <w:numPr>
          <w:ilvl w:val="0"/>
          <w:numId w:val="60"/>
        </w:numPr>
        <w:pBdr>
          <w:top w:val="none" w:sz="4" w:space="0" w:color="000000"/>
          <w:left w:val="none" w:sz="4" w:space="0" w:color="000000"/>
          <w:bottom w:val="none" w:sz="4" w:space="0" w:color="000000"/>
          <w:right w:val="none" w:sz="4" w:space="0" w:color="000000"/>
        </w:pBdr>
        <w:ind w:left="0" w:firstLine="283"/>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предусмотреть обязательность опережающего ввода инженерных коммуникаций в районах индивидуальной застройки, особенно во второй зоне горно-санитарной охраны курорта, что должно быть необходимым условием нового жилищного строительства;</w:t>
      </w:r>
    </w:p>
    <w:p w14:paraId="46015555" w14:textId="77777777" w:rsidR="00171AA8" w:rsidRPr="00731FE2" w:rsidRDefault="007935AB" w:rsidP="007832E7">
      <w:pPr>
        <w:pStyle w:val="a3"/>
        <w:numPr>
          <w:ilvl w:val="0"/>
          <w:numId w:val="60"/>
        </w:numPr>
        <w:pBdr>
          <w:top w:val="none" w:sz="4" w:space="0" w:color="000000"/>
          <w:left w:val="none" w:sz="4" w:space="0" w:color="000000"/>
          <w:bottom w:val="none" w:sz="4" w:space="0" w:color="000000"/>
          <w:right w:val="none" w:sz="4" w:space="0" w:color="000000"/>
        </w:pBdr>
        <w:ind w:left="0" w:firstLine="283"/>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оборудовать все водозаборные и сбросные сооружения аппаратурой для учета забираемых и сбрасываемых вод;</w:t>
      </w:r>
    </w:p>
    <w:p w14:paraId="3C337253" w14:textId="77777777" w:rsidR="00171AA8" w:rsidRPr="00731FE2" w:rsidRDefault="007935AB" w:rsidP="007832E7">
      <w:pPr>
        <w:pStyle w:val="a3"/>
        <w:numPr>
          <w:ilvl w:val="0"/>
          <w:numId w:val="60"/>
        </w:numPr>
        <w:pBdr>
          <w:top w:val="none" w:sz="4" w:space="0" w:color="000000"/>
          <w:left w:val="none" w:sz="4" w:space="0" w:color="000000"/>
          <w:bottom w:val="none" w:sz="4" w:space="0" w:color="000000"/>
          <w:right w:val="none" w:sz="4" w:space="0" w:color="000000"/>
        </w:pBdr>
        <w:ind w:left="0" w:firstLine="283"/>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организовать поверхностный сток с последующей очисткой ливневых стоков перед сбросом в водотоки;</w:t>
      </w:r>
    </w:p>
    <w:p w14:paraId="1CB5A8D4" w14:textId="77777777" w:rsidR="00171AA8" w:rsidRPr="00731FE2" w:rsidRDefault="007935AB" w:rsidP="007832E7">
      <w:pPr>
        <w:pStyle w:val="a3"/>
        <w:numPr>
          <w:ilvl w:val="0"/>
          <w:numId w:val="60"/>
        </w:numPr>
        <w:pBdr>
          <w:top w:val="none" w:sz="4" w:space="0" w:color="000000"/>
          <w:left w:val="none" w:sz="4" w:space="0" w:color="000000"/>
          <w:bottom w:val="none" w:sz="4" w:space="0" w:color="000000"/>
          <w:right w:val="none" w:sz="4" w:space="0" w:color="000000"/>
        </w:pBdr>
        <w:ind w:left="0" w:firstLine="283"/>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внедрить малоотходное производство, максимально использовать безотходные технологии и замкнутые системы водоснабжения;</w:t>
      </w:r>
    </w:p>
    <w:p w14:paraId="001A9C38" w14:textId="77777777" w:rsidR="00171AA8" w:rsidRPr="00731FE2" w:rsidRDefault="007935AB" w:rsidP="007832E7">
      <w:pPr>
        <w:pStyle w:val="a3"/>
        <w:numPr>
          <w:ilvl w:val="0"/>
          <w:numId w:val="60"/>
        </w:numPr>
        <w:pBdr>
          <w:top w:val="none" w:sz="4" w:space="0" w:color="000000"/>
          <w:left w:val="none" w:sz="4" w:space="0" w:color="000000"/>
          <w:bottom w:val="none" w:sz="4" w:space="0" w:color="000000"/>
          <w:right w:val="none" w:sz="4" w:space="0" w:color="000000"/>
        </w:pBdr>
        <w:ind w:left="0" w:firstLine="283"/>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произвести замену водопроводных труб, находящихся в неудовлетворительном состоянии;</w:t>
      </w:r>
    </w:p>
    <w:p w14:paraId="17E7C399" w14:textId="77777777" w:rsidR="00171AA8" w:rsidRPr="00731FE2" w:rsidRDefault="007935AB" w:rsidP="007832E7">
      <w:pPr>
        <w:pStyle w:val="a3"/>
        <w:numPr>
          <w:ilvl w:val="0"/>
          <w:numId w:val="60"/>
        </w:numPr>
        <w:pBdr>
          <w:top w:val="none" w:sz="4" w:space="0" w:color="000000"/>
          <w:left w:val="none" w:sz="4" w:space="0" w:color="000000"/>
          <w:bottom w:val="none" w:sz="4" w:space="0" w:color="000000"/>
          <w:right w:val="none" w:sz="4" w:space="0" w:color="000000"/>
        </w:pBdr>
        <w:ind w:left="0" w:firstLine="283"/>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расчистить водотоки, озеленить и укрепить их берега;</w:t>
      </w:r>
    </w:p>
    <w:p w14:paraId="3147815A" w14:textId="77777777" w:rsidR="00171AA8" w:rsidRPr="00731FE2" w:rsidRDefault="007935AB" w:rsidP="007832E7">
      <w:pPr>
        <w:pStyle w:val="a3"/>
        <w:numPr>
          <w:ilvl w:val="0"/>
          <w:numId w:val="60"/>
        </w:numPr>
        <w:pBdr>
          <w:top w:val="none" w:sz="4" w:space="0" w:color="000000"/>
          <w:left w:val="none" w:sz="4" w:space="0" w:color="000000"/>
          <w:bottom w:val="none" w:sz="4" w:space="0" w:color="000000"/>
          <w:right w:val="none" w:sz="4" w:space="0" w:color="000000"/>
        </w:pBdr>
        <w:ind w:left="0" w:firstLine="283"/>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очистить и благоустроить городские озёра;</w:t>
      </w:r>
    </w:p>
    <w:p w14:paraId="1F3A2774" w14:textId="77777777" w:rsidR="00171AA8" w:rsidRPr="00731FE2" w:rsidRDefault="007935AB" w:rsidP="007832E7">
      <w:pPr>
        <w:pStyle w:val="a3"/>
        <w:numPr>
          <w:ilvl w:val="0"/>
          <w:numId w:val="60"/>
        </w:numPr>
        <w:pBdr>
          <w:top w:val="none" w:sz="4" w:space="0" w:color="000000"/>
          <w:left w:val="none" w:sz="4" w:space="0" w:color="000000"/>
          <w:bottom w:val="none" w:sz="4" w:space="0" w:color="000000"/>
          <w:right w:val="none" w:sz="4" w:space="0" w:color="000000"/>
        </w:pBdr>
        <w:ind w:left="0" w:firstLine="283"/>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провести озеленение водоохранных зон для улучшения состояния водотоков (растения вдоль русла реки чрезвычайно важны для поддержания всей речной экосистемы, в том числе, для водной и прибрежной, они снижают уровень эрозии берегов, служат буфером и фильтром для стоков в реку, являются источником органического вещества для водной системы);</w:t>
      </w:r>
    </w:p>
    <w:p w14:paraId="15085D51" w14:textId="77777777" w:rsidR="00171AA8" w:rsidRPr="00731FE2" w:rsidRDefault="007935AB" w:rsidP="007832E7">
      <w:pPr>
        <w:pStyle w:val="a3"/>
        <w:numPr>
          <w:ilvl w:val="0"/>
          <w:numId w:val="60"/>
        </w:numPr>
        <w:pBdr>
          <w:top w:val="none" w:sz="4" w:space="0" w:color="000000"/>
          <w:left w:val="none" w:sz="4" w:space="0" w:color="000000"/>
          <w:bottom w:val="none" w:sz="4" w:space="0" w:color="000000"/>
          <w:right w:val="none" w:sz="4" w:space="0" w:color="000000"/>
        </w:pBdr>
        <w:ind w:left="0" w:firstLine="283"/>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строго соблюдать регламенты водоохранных зон;</w:t>
      </w:r>
    </w:p>
    <w:p w14:paraId="7CF0AD89" w14:textId="77777777" w:rsidR="00171AA8" w:rsidRPr="00731FE2" w:rsidRDefault="007935AB" w:rsidP="007832E7">
      <w:pPr>
        <w:pStyle w:val="a3"/>
        <w:numPr>
          <w:ilvl w:val="0"/>
          <w:numId w:val="60"/>
        </w:numPr>
        <w:pBdr>
          <w:top w:val="none" w:sz="4" w:space="0" w:color="000000"/>
          <w:left w:val="none" w:sz="4" w:space="0" w:color="000000"/>
          <w:bottom w:val="none" w:sz="4" w:space="0" w:color="000000"/>
          <w:right w:val="none" w:sz="4" w:space="0" w:color="000000"/>
        </w:pBdr>
        <w:ind w:left="0" w:firstLine="283"/>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во избежание изменения ландшафта, разрушения водных экосистем, нарушения регламента прибрежных водоохранных зон, изменения гидрологического режима реки и, как следствие, ухудшения состояния подземных вод, прекратить застройку пространства над акваторией р. Берёзовая.</w:t>
      </w:r>
    </w:p>
    <w:p w14:paraId="383E5B0E"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 xml:space="preserve">Подземные и поверхностные воды представляют собой взаимосвязанный природный комплекс. Загрязнение подземных вод начинается с загрязнения поверхностных вод. Поэтому важнейшим профилактическим мероприятием является очистка сточных вод и, напрямую связанная с ней, очистка речной сети рассматриваемой территории. При эксплуатации подземных, как пресных, так и минеральных вод, </w:t>
      </w:r>
      <w:r w:rsidRPr="00731FE2">
        <w:rPr>
          <w:rFonts w:ascii="Times New Roman" w:eastAsia="Times New Roman" w:hAnsi="Times New Roman" w:cs="Times New Roman"/>
          <w:color w:val="000000"/>
          <w:szCs w:val="24"/>
        </w:rPr>
        <w:lastRenderedPageBreak/>
        <w:t xml:space="preserve">водоотбор скважинами в каждом гидрогеологическом районе не превышал величины подземного стока. </w:t>
      </w:r>
    </w:p>
    <w:p w14:paraId="4B37EC58"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Необходимо своевременно производить ремонт водозаборных скважин и водопроводных сетей, чтобы избежать аварий и загрязнений подаваемой населению питьевой воды.</w:t>
      </w:r>
    </w:p>
    <w:p w14:paraId="3B72D804"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Для улучшения санитарно-бактериологической обстановки в районах неглубокой циркуляции минеральных вод, первой зоне горно-санитарной охраны необходимо осуществить:</w:t>
      </w:r>
    </w:p>
    <w:p w14:paraId="3FD5E872" w14:textId="77777777" w:rsidR="00171AA8" w:rsidRPr="00731FE2" w:rsidRDefault="007935AB" w:rsidP="007832E7">
      <w:pPr>
        <w:pStyle w:val="a3"/>
        <w:numPr>
          <w:ilvl w:val="0"/>
          <w:numId w:val="61"/>
        </w:numPr>
        <w:pBdr>
          <w:top w:val="none" w:sz="4" w:space="0" w:color="000000"/>
          <w:left w:val="none" w:sz="4" w:space="0" w:color="000000"/>
          <w:bottom w:val="none" w:sz="4" w:space="0" w:color="000000"/>
          <w:right w:val="none" w:sz="4" w:space="0" w:color="000000"/>
        </w:pBdr>
        <w:ind w:left="0" w:firstLine="360"/>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полный вывод всех объектов, не связанных непосредственно с добычей или транспортировкой минеральных вод;</w:t>
      </w:r>
    </w:p>
    <w:p w14:paraId="0C4332D6" w14:textId="77777777" w:rsidR="00171AA8" w:rsidRPr="00731FE2" w:rsidRDefault="007935AB" w:rsidP="007832E7">
      <w:pPr>
        <w:pStyle w:val="a3"/>
        <w:numPr>
          <w:ilvl w:val="0"/>
          <w:numId w:val="61"/>
        </w:numPr>
        <w:pBdr>
          <w:top w:val="none" w:sz="4" w:space="0" w:color="000000"/>
          <w:left w:val="none" w:sz="4" w:space="0" w:color="000000"/>
          <w:bottom w:val="none" w:sz="4" w:space="0" w:color="000000"/>
          <w:right w:val="none" w:sz="4" w:space="0" w:color="000000"/>
        </w:pBdr>
        <w:ind w:left="0" w:firstLine="360"/>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запрет на доступ автотранспорта, за исключением обслуживающего работу скважин;</w:t>
      </w:r>
    </w:p>
    <w:p w14:paraId="0901F1EB" w14:textId="77777777" w:rsidR="00171AA8" w:rsidRPr="00731FE2" w:rsidRDefault="007935AB" w:rsidP="007832E7">
      <w:pPr>
        <w:pStyle w:val="a3"/>
        <w:numPr>
          <w:ilvl w:val="0"/>
          <w:numId w:val="61"/>
        </w:numPr>
        <w:pBdr>
          <w:top w:val="none" w:sz="4" w:space="0" w:color="000000"/>
          <w:left w:val="none" w:sz="4" w:space="0" w:color="000000"/>
          <w:bottom w:val="none" w:sz="4" w:space="0" w:color="000000"/>
          <w:right w:val="none" w:sz="4" w:space="0" w:color="000000"/>
        </w:pBdr>
        <w:ind w:left="0" w:firstLine="360"/>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восстановление растительного покрова, облесение в районах неглубокой циркуляции минеральных вод, первых зонах горно-санитарной охраны.</w:t>
      </w:r>
    </w:p>
    <w:p w14:paraId="2AAA845D"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b/>
          <w:bCs/>
          <w:color w:val="000000"/>
          <w:szCs w:val="24"/>
        </w:rPr>
        <w:t xml:space="preserve">Мероприятия по охране почв и растительного покрова. </w:t>
      </w:r>
      <w:r w:rsidRPr="00731FE2">
        <w:rPr>
          <w:rFonts w:ascii="Times New Roman" w:eastAsia="Times New Roman" w:hAnsi="Times New Roman" w:cs="Times New Roman"/>
          <w:color w:val="000000"/>
          <w:szCs w:val="24"/>
        </w:rPr>
        <w:t>Для улучшения состояния почв в пределах городского округа рекомендуется обязательное проведение работ по рекультивации земель после прокладки дорог, трасс трубопроводного транспорта, нарушения опасными геологическими процессами. Необходима разработка специальной программы по мелиорации почв, включающей антиэрозионные мероприятия, борьбу с загрязнением и т.д. Для предохранения почв от загрязнения следует повысить качество санитарной очистки территории городского округа города-курорта Кисловодска, для чего необходимо:</w:t>
      </w:r>
    </w:p>
    <w:p w14:paraId="6AA49BE7" w14:textId="77777777" w:rsidR="00171AA8" w:rsidRPr="00731FE2" w:rsidRDefault="007935AB" w:rsidP="007832E7">
      <w:pPr>
        <w:pStyle w:val="a3"/>
        <w:numPr>
          <w:ilvl w:val="0"/>
          <w:numId w:val="62"/>
        </w:numPr>
        <w:pBdr>
          <w:top w:val="none" w:sz="4" w:space="0" w:color="000000"/>
          <w:left w:val="none" w:sz="4" w:space="0" w:color="000000"/>
          <w:bottom w:val="none" w:sz="4" w:space="0" w:color="000000"/>
          <w:right w:val="none" w:sz="4" w:space="0" w:color="000000"/>
        </w:pBdr>
        <w:ind w:left="0" w:firstLine="360"/>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установить строгий контроль, обеспечивающий невозможность возникновения стихийных свалок;</w:t>
      </w:r>
    </w:p>
    <w:p w14:paraId="47FDEEFE" w14:textId="77777777" w:rsidR="00171AA8" w:rsidRPr="00731FE2" w:rsidRDefault="007935AB" w:rsidP="007832E7">
      <w:pPr>
        <w:pStyle w:val="a3"/>
        <w:numPr>
          <w:ilvl w:val="0"/>
          <w:numId w:val="62"/>
        </w:numPr>
        <w:pBdr>
          <w:top w:val="none" w:sz="4" w:space="0" w:color="000000"/>
          <w:left w:val="none" w:sz="4" w:space="0" w:color="000000"/>
          <w:bottom w:val="none" w:sz="4" w:space="0" w:color="000000"/>
          <w:right w:val="none" w:sz="4" w:space="0" w:color="000000"/>
        </w:pBdr>
        <w:ind w:left="0" w:firstLine="360"/>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обновить коммунальную технику, применяемую для очистки территории и претерпевшую существенный износ;</w:t>
      </w:r>
    </w:p>
    <w:p w14:paraId="73C66CB3" w14:textId="77777777" w:rsidR="00171AA8" w:rsidRPr="00731FE2" w:rsidRDefault="007935AB" w:rsidP="007832E7">
      <w:pPr>
        <w:pStyle w:val="a3"/>
        <w:numPr>
          <w:ilvl w:val="0"/>
          <w:numId w:val="62"/>
        </w:numPr>
        <w:pBdr>
          <w:top w:val="none" w:sz="4" w:space="0" w:color="000000"/>
          <w:left w:val="none" w:sz="4" w:space="0" w:color="000000"/>
          <w:bottom w:val="none" w:sz="4" w:space="0" w:color="000000"/>
          <w:right w:val="none" w:sz="4" w:space="0" w:color="000000"/>
        </w:pBdr>
        <w:ind w:left="0" w:firstLine="360"/>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разработать специальную программу по санитарной очистке города-курорта федерального значения Кисловодск.</w:t>
      </w:r>
    </w:p>
    <w:p w14:paraId="1E44F47C"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Для улучшения качественных характеристик города-курорта Кисловодск и его растительного покрова необходимо:</w:t>
      </w:r>
    </w:p>
    <w:p w14:paraId="5663EA6C" w14:textId="77777777" w:rsidR="00171AA8" w:rsidRPr="00731FE2" w:rsidRDefault="007935AB" w:rsidP="007832E7">
      <w:pPr>
        <w:pStyle w:val="a3"/>
        <w:numPr>
          <w:ilvl w:val="0"/>
          <w:numId w:val="63"/>
        </w:numPr>
        <w:pBdr>
          <w:top w:val="none" w:sz="4" w:space="0" w:color="000000"/>
          <w:left w:val="none" w:sz="4" w:space="0" w:color="000000"/>
          <w:bottom w:val="none" w:sz="4" w:space="0" w:color="000000"/>
          <w:right w:val="none" w:sz="4" w:space="0" w:color="000000"/>
        </w:pBdr>
        <w:ind w:left="0" w:firstLine="360"/>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увеличить площадь лесов, особенно в водоохранных зонах и на склонах;</w:t>
      </w:r>
    </w:p>
    <w:p w14:paraId="522525F9" w14:textId="77777777" w:rsidR="00171AA8" w:rsidRPr="00731FE2" w:rsidRDefault="007935AB" w:rsidP="007832E7">
      <w:pPr>
        <w:pStyle w:val="a3"/>
        <w:numPr>
          <w:ilvl w:val="0"/>
          <w:numId w:val="63"/>
        </w:numPr>
        <w:pBdr>
          <w:top w:val="none" w:sz="4" w:space="0" w:color="000000"/>
          <w:left w:val="none" w:sz="4" w:space="0" w:color="000000"/>
          <w:bottom w:val="none" w:sz="4" w:space="0" w:color="000000"/>
          <w:right w:val="none" w:sz="4" w:space="0" w:color="000000"/>
        </w:pBdr>
        <w:ind w:left="0" w:firstLine="360"/>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увеличить площадь городских зелёных насаждений, обеспечивающих рекреационные потребности населения, защищающих от шумов, снижающих концентрации вредных примесей, регулирующих температурно-влажностный и ветровой режимы;</w:t>
      </w:r>
    </w:p>
    <w:p w14:paraId="762E9B25" w14:textId="77777777" w:rsidR="00171AA8" w:rsidRPr="00731FE2" w:rsidRDefault="007935AB" w:rsidP="007832E7">
      <w:pPr>
        <w:pStyle w:val="a3"/>
        <w:numPr>
          <w:ilvl w:val="0"/>
          <w:numId w:val="63"/>
        </w:numPr>
        <w:pBdr>
          <w:top w:val="none" w:sz="4" w:space="0" w:color="000000"/>
          <w:left w:val="none" w:sz="4" w:space="0" w:color="000000"/>
          <w:bottom w:val="none" w:sz="4" w:space="0" w:color="000000"/>
          <w:right w:val="none" w:sz="4" w:space="0" w:color="000000"/>
        </w:pBdr>
        <w:ind w:left="0" w:firstLine="360"/>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создать пыле-шумо-защитные полосы из зелёных насаждений вдоль транспортных коммуникаций, а также в санитарно-защитных зонах;</w:t>
      </w:r>
    </w:p>
    <w:p w14:paraId="7502C489" w14:textId="77777777" w:rsidR="00171AA8" w:rsidRPr="00731FE2" w:rsidRDefault="007935AB" w:rsidP="007832E7">
      <w:pPr>
        <w:pStyle w:val="a3"/>
        <w:numPr>
          <w:ilvl w:val="0"/>
          <w:numId w:val="63"/>
        </w:numPr>
        <w:pBdr>
          <w:top w:val="none" w:sz="4" w:space="0" w:color="000000"/>
          <w:left w:val="none" w:sz="4" w:space="0" w:color="000000"/>
          <w:bottom w:val="none" w:sz="4" w:space="0" w:color="000000"/>
          <w:right w:val="none" w:sz="4" w:space="0" w:color="000000"/>
        </w:pBdr>
        <w:ind w:left="0" w:firstLine="360"/>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улучшить качество зелёных насаждений путём замены отживших свой век растений на новые;</w:t>
      </w:r>
    </w:p>
    <w:p w14:paraId="063AC3C5" w14:textId="77777777" w:rsidR="00171AA8" w:rsidRPr="00731FE2" w:rsidRDefault="007935AB" w:rsidP="007832E7">
      <w:pPr>
        <w:pStyle w:val="a3"/>
        <w:numPr>
          <w:ilvl w:val="0"/>
          <w:numId w:val="63"/>
        </w:numPr>
        <w:pBdr>
          <w:top w:val="none" w:sz="4" w:space="0" w:color="000000"/>
          <w:left w:val="none" w:sz="4" w:space="0" w:color="000000"/>
          <w:bottom w:val="none" w:sz="4" w:space="0" w:color="000000"/>
          <w:right w:val="none" w:sz="4" w:space="0" w:color="000000"/>
        </w:pBdr>
        <w:ind w:left="0" w:firstLine="360"/>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создать новую особо охраняемую природную территорию в южной части городского округа города-курорта Кисловодск с особым регламентом природопользования (разрешено использование территории для экологического туризма, дельтапланеризма, легкоатлетических кроссов, биатлона и т.п., сооружение легких разборных конструкций для спорта и туризма; запрещены рубка деревьев, выпас скота, строительство зданий, сооружений).</w:t>
      </w:r>
    </w:p>
    <w:p w14:paraId="177503C2"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lastRenderedPageBreak/>
        <w:t>Кроме указанных мероприятий по охране окружающей среды в городе-курорте Кисловодск необходимо:</w:t>
      </w:r>
    </w:p>
    <w:p w14:paraId="7F1DDCE0" w14:textId="77777777" w:rsidR="00171AA8" w:rsidRPr="00731FE2" w:rsidRDefault="007935AB" w:rsidP="007832E7">
      <w:pPr>
        <w:pStyle w:val="a3"/>
        <w:numPr>
          <w:ilvl w:val="0"/>
          <w:numId w:val="64"/>
        </w:numPr>
        <w:pBdr>
          <w:top w:val="none" w:sz="4" w:space="0" w:color="000000"/>
          <w:left w:val="none" w:sz="4" w:space="0" w:color="000000"/>
          <w:bottom w:val="none" w:sz="4" w:space="0" w:color="000000"/>
          <w:right w:val="none" w:sz="4" w:space="0" w:color="000000"/>
        </w:pBdr>
        <w:ind w:left="0" w:firstLine="360"/>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вынести на местность установленные границы округа горно-санитарной и санитарной охраны города-курорта федерального значения Кисловодск;</w:t>
      </w:r>
    </w:p>
    <w:p w14:paraId="37AF6E71" w14:textId="77777777" w:rsidR="00171AA8" w:rsidRPr="00731FE2" w:rsidRDefault="007935AB" w:rsidP="007832E7">
      <w:pPr>
        <w:pStyle w:val="a3"/>
        <w:numPr>
          <w:ilvl w:val="0"/>
          <w:numId w:val="64"/>
        </w:numPr>
        <w:pBdr>
          <w:top w:val="none" w:sz="4" w:space="0" w:color="000000"/>
          <w:left w:val="none" w:sz="4" w:space="0" w:color="000000"/>
          <w:bottom w:val="none" w:sz="4" w:space="0" w:color="000000"/>
          <w:right w:val="none" w:sz="4" w:space="0" w:color="000000"/>
        </w:pBdr>
        <w:ind w:left="0" w:firstLine="360"/>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провести научные исследования с целью разработки концепции рационального использования гидроминеральных ресурсов, выявления причин снижения их лечебных свойств;</w:t>
      </w:r>
    </w:p>
    <w:p w14:paraId="602CC2A2" w14:textId="77777777" w:rsidR="00171AA8" w:rsidRPr="00731FE2" w:rsidRDefault="007935AB" w:rsidP="007832E7">
      <w:pPr>
        <w:pStyle w:val="a3"/>
        <w:numPr>
          <w:ilvl w:val="0"/>
          <w:numId w:val="64"/>
        </w:numPr>
        <w:pBdr>
          <w:top w:val="none" w:sz="4" w:space="0" w:color="000000"/>
          <w:left w:val="none" w:sz="4" w:space="0" w:color="000000"/>
          <w:bottom w:val="none" w:sz="4" w:space="0" w:color="000000"/>
          <w:right w:val="none" w:sz="4" w:space="0" w:color="000000"/>
        </w:pBdr>
        <w:ind w:left="0" w:firstLine="360"/>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расширить сеть мониторинга по наблюдению за состоянием геологической среды, гидроминеральной базы, воздуха, почв, растительности;</w:t>
      </w:r>
    </w:p>
    <w:p w14:paraId="3033BC09" w14:textId="77777777" w:rsidR="00171AA8" w:rsidRPr="00731FE2" w:rsidRDefault="007935AB" w:rsidP="007832E7">
      <w:pPr>
        <w:pStyle w:val="a3"/>
        <w:numPr>
          <w:ilvl w:val="0"/>
          <w:numId w:val="64"/>
        </w:numPr>
        <w:pBdr>
          <w:top w:val="none" w:sz="4" w:space="0" w:color="000000"/>
          <w:left w:val="none" w:sz="4" w:space="0" w:color="000000"/>
          <w:bottom w:val="none" w:sz="4" w:space="0" w:color="000000"/>
          <w:right w:val="none" w:sz="4" w:space="0" w:color="000000"/>
        </w:pBdr>
        <w:ind w:left="0" w:firstLine="360"/>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привести размер водоохранных зон в соответствие с Водным Кодексом Российской Федерации;</w:t>
      </w:r>
    </w:p>
    <w:p w14:paraId="4BC1706C" w14:textId="77777777" w:rsidR="00171AA8" w:rsidRPr="00731FE2" w:rsidRDefault="007935AB" w:rsidP="007832E7">
      <w:pPr>
        <w:pStyle w:val="a3"/>
        <w:numPr>
          <w:ilvl w:val="0"/>
          <w:numId w:val="64"/>
        </w:numPr>
        <w:pBdr>
          <w:top w:val="none" w:sz="4" w:space="0" w:color="000000"/>
          <w:left w:val="none" w:sz="4" w:space="0" w:color="000000"/>
          <w:bottom w:val="none" w:sz="4" w:space="0" w:color="000000"/>
          <w:right w:val="none" w:sz="4" w:space="0" w:color="000000"/>
        </w:pBdr>
        <w:ind w:left="0" w:firstLine="360"/>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вынести из 1-й зоны горно-санитарной охраны все сооружения, не относящиеся к разработке лечебно-минеральных ресурсов. Это касается жилых зданий, магазинов, кафе, гаражей, автостоянок и т. д.;</w:t>
      </w:r>
    </w:p>
    <w:p w14:paraId="5702C031" w14:textId="77777777" w:rsidR="00171AA8" w:rsidRPr="00731FE2" w:rsidRDefault="007935AB" w:rsidP="007832E7">
      <w:pPr>
        <w:pStyle w:val="a3"/>
        <w:numPr>
          <w:ilvl w:val="0"/>
          <w:numId w:val="64"/>
        </w:numPr>
        <w:pBdr>
          <w:top w:val="none" w:sz="4" w:space="0" w:color="000000"/>
          <w:left w:val="none" w:sz="4" w:space="0" w:color="000000"/>
          <w:bottom w:val="none" w:sz="4" w:space="0" w:color="000000"/>
          <w:right w:val="none" w:sz="4" w:space="0" w:color="000000"/>
        </w:pBdr>
        <w:ind w:left="0" w:firstLine="360"/>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строго соблюдать Федеральный Закон землепользования во 2-й и 3-й зонах горно-санитарной охраны;</w:t>
      </w:r>
    </w:p>
    <w:p w14:paraId="1F93F34A" w14:textId="77777777" w:rsidR="00171AA8" w:rsidRPr="00731FE2" w:rsidRDefault="007935AB" w:rsidP="007832E7">
      <w:pPr>
        <w:pStyle w:val="a3"/>
        <w:numPr>
          <w:ilvl w:val="0"/>
          <w:numId w:val="64"/>
        </w:numPr>
        <w:pBdr>
          <w:top w:val="none" w:sz="4" w:space="0" w:color="000000"/>
          <w:left w:val="none" w:sz="4" w:space="0" w:color="000000"/>
          <w:bottom w:val="none" w:sz="4" w:space="0" w:color="000000"/>
          <w:right w:val="none" w:sz="4" w:space="0" w:color="000000"/>
        </w:pBdr>
        <w:ind w:left="0" w:firstLine="360"/>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привести использование территорий водоохранных зон рек в соответствие с Водным Кодексом РФ;</w:t>
      </w:r>
    </w:p>
    <w:p w14:paraId="09E92F69" w14:textId="77777777" w:rsidR="00171AA8" w:rsidRPr="00731FE2" w:rsidRDefault="007935AB" w:rsidP="007832E7">
      <w:pPr>
        <w:pStyle w:val="a3"/>
        <w:numPr>
          <w:ilvl w:val="0"/>
          <w:numId w:val="64"/>
        </w:numPr>
        <w:pBdr>
          <w:top w:val="none" w:sz="4" w:space="0" w:color="000000"/>
          <w:left w:val="none" w:sz="4" w:space="0" w:color="000000"/>
          <w:bottom w:val="none" w:sz="4" w:space="0" w:color="000000"/>
          <w:right w:val="none" w:sz="4" w:space="0" w:color="000000"/>
        </w:pBdr>
        <w:ind w:left="0" w:firstLine="360"/>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снизить для города-курорта Кисловодска значение ПДК по всем загрязняющим атмосферный воздух веществам до 0,7;</w:t>
      </w:r>
    </w:p>
    <w:p w14:paraId="51CC743C" w14:textId="77777777" w:rsidR="00171AA8" w:rsidRPr="00731FE2" w:rsidRDefault="007935AB" w:rsidP="007832E7">
      <w:pPr>
        <w:pStyle w:val="a3"/>
        <w:numPr>
          <w:ilvl w:val="0"/>
          <w:numId w:val="64"/>
        </w:numPr>
        <w:pBdr>
          <w:top w:val="none" w:sz="4" w:space="0" w:color="000000"/>
          <w:left w:val="none" w:sz="4" w:space="0" w:color="000000"/>
          <w:bottom w:val="none" w:sz="4" w:space="0" w:color="000000"/>
          <w:right w:val="none" w:sz="4" w:space="0" w:color="000000"/>
        </w:pBdr>
        <w:ind w:left="0" w:firstLine="360"/>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расширить зону охраняемого ландшафта;</w:t>
      </w:r>
    </w:p>
    <w:p w14:paraId="2B93F844" w14:textId="77777777" w:rsidR="00171AA8" w:rsidRPr="00731FE2" w:rsidRDefault="007935AB" w:rsidP="007832E7">
      <w:pPr>
        <w:pStyle w:val="a3"/>
        <w:numPr>
          <w:ilvl w:val="0"/>
          <w:numId w:val="64"/>
        </w:numPr>
        <w:pBdr>
          <w:top w:val="none" w:sz="4" w:space="0" w:color="000000"/>
          <w:left w:val="none" w:sz="4" w:space="0" w:color="000000"/>
          <w:bottom w:val="none" w:sz="4" w:space="0" w:color="000000"/>
          <w:right w:val="none" w:sz="4" w:space="0" w:color="000000"/>
        </w:pBdr>
        <w:ind w:left="0" w:firstLine="360"/>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увеличить площадь, покрытую зелёными насаждениями в городе-курорте до 70%;</w:t>
      </w:r>
    </w:p>
    <w:p w14:paraId="66A813B4" w14:textId="77777777" w:rsidR="00171AA8" w:rsidRPr="00731FE2" w:rsidRDefault="007935AB" w:rsidP="007832E7">
      <w:pPr>
        <w:pStyle w:val="a3"/>
        <w:numPr>
          <w:ilvl w:val="0"/>
          <w:numId w:val="64"/>
        </w:numPr>
        <w:pBdr>
          <w:top w:val="none" w:sz="4" w:space="0" w:color="000000"/>
          <w:left w:val="none" w:sz="4" w:space="0" w:color="000000"/>
          <w:bottom w:val="none" w:sz="4" w:space="0" w:color="000000"/>
          <w:right w:val="none" w:sz="4" w:space="0" w:color="000000"/>
        </w:pBdr>
        <w:ind w:left="0" w:firstLine="360"/>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восстановить вырубленную в Берёзовом ущелье берёзовую рощу;</w:t>
      </w:r>
    </w:p>
    <w:p w14:paraId="5908D9C6" w14:textId="77777777" w:rsidR="00171AA8" w:rsidRPr="00731FE2" w:rsidRDefault="007935AB" w:rsidP="007832E7">
      <w:pPr>
        <w:pStyle w:val="a3"/>
        <w:numPr>
          <w:ilvl w:val="0"/>
          <w:numId w:val="64"/>
        </w:numPr>
        <w:pBdr>
          <w:top w:val="none" w:sz="4" w:space="0" w:color="000000"/>
          <w:left w:val="none" w:sz="4" w:space="0" w:color="000000"/>
          <w:bottom w:val="none" w:sz="4" w:space="0" w:color="000000"/>
          <w:right w:val="none" w:sz="4" w:space="0" w:color="000000"/>
        </w:pBdr>
        <w:ind w:left="0" w:firstLine="360"/>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во избежание изменения ландшафта, разрушения речных экосистем, нарушения регламента прибрежных водоохранных зон, изменения гидрологического режима реки, и. как следствие, ухудшение состояния подземных вод, прекратить застройку пространства над акваторией р. Берёзовая.</w:t>
      </w:r>
    </w:p>
    <w:p w14:paraId="439764A9" w14:textId="77777777" w:rsidR="00171AA8" w:rsidRPr="00731FE2" w:rsidRDefault="007935AB" w:rsidP="007832E7">
      <w:pPr>
        <w:pStyle w:val="a3"/>
        <w:numPr>
          <w:ilvl w:val="0"/>
          <w:numId w:val="64"/>
        </w:numPr>
        <w:pBdr>
          <w:top w:val="none" w:sz="4" w:space="0" w:color="000000"/>
          <w:left w:val="none" w:sz="4" w:space="0" w:color="000000"/>
          <w:bottom w:val="none" w:sz="4" w:space="0" w:color="000000"/>
          <w:right w:val="none" w:sz="4" w:space="0" w:color="000000"/>
        </w:pBdr>
        <w:ind w:left="0" w:firstLine="360"/>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ввести ограничения по въезду автомобильного транспорта в центральную часть города;</w:t>
      </w:r>
    </w:p>
    <w:p w14:paraId="21FD782B" w14:textId="77777777" w:rsidR="00171AA8" w:rsidRPr="00731FE2" w:rsidRDefault="007935AB" w:rsidP="007832E7">
      <w:pPr>
        <w:pStyle w:val="a3"/>
        <w:numPr>
          <w:ilvl w:val="0"/>
          <w:numId w:val="64"/>
        </w:numPr>
        <w:pBdr>
          <w:top w:val="none" w:sz="4" w:space="0" w:color="000000"/>
          <w:left w:val="none" w:sz="4" w:space="0" w:color="000000"/>
          <w:bottom w:val="none" w:sz="4" w:space="0" w:color="000000"/>
          <w:right w:val="none" w:sz="4" w:space="0" w:color="000000"/>
        </w:pBdr>
        <w:ind w:left="0" w:firstLine="360"/>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оптимизировать транспортные потоки и перераспределить их в центре города-курорта, запретить проезд транзитного транспорта через парк и его охранную зону;</w:t>
      </w:r>
    </w:p>
    <w:p w14:paraId="13F7DC1F" w14:textId="77777777" w:rsidR="00171AA8" w:rsidRPr="00731FE2" w:rsidRDefault="007935AB" w:rsidP="007832E7">
      <w:pPr>
        <w:pStyle w:val="a3"/>
        <w:numPr>
          <w:ilvl w:val="0"/>
          <w:numId w:val="64"/>
        </w:numPr>
        <w:pBdr>
          <w:top w:val="none" w:sz="4" w:space="0" w:color="000000"/>
          <w:left w:val="none" w:sz="4" w:space="0" w:color="000000"/>
          <w:bottom w:val="none" w:sz="4" w:space="0" w:color="000000"/>
          <w:right w:val="none" w:sz="4" w:space="0" w:color="000000"/>
        </w:pBdr>
        <w:ind w:left="0" w:firstLine="360"/>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заменить все ветхие инженерные коммуникации и проложить новые;</w:t>
      </w:r>
    </w:p>
    <w:p w14:paraId="26C44437" w14:textId="77777777" w:rsidR="00171AA8" w:rsidRPr="00731FE2" w:rsidRDefault="007935AB" w:rsidP="007832E7">
      <w:pPr>
        <w:pStyle w:val="a3"/>
        <w:numPr>
          <w:ilvl w:val="0"/>
          <w:numId w:val="64"/>
        </w:numPr>
        <w:pBdr>
          <w:top w:val="none" w:sz="4" w:space="0" w:color="000000"/>
          <w:left w:val="none" w:sz="4" w:space="0" w:color="000000"/>
          <w:bottom w:val="none" w:sz="4" w:space="0" w:color="000000"/>
          <w:right w:val="none" w:sz="4" w:space="0" w:color="000000"/>
        </w:pBdr>
        <w:ind w:left="0" w:firstLine="360"/>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создать экологический паспорт города.</w:t>
      </w:r>
    </w:p>
    <w:p w14:paraId="5279B93D"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Для формирования экологической культуры населения обеспечить непрерывное экологическое образование и воспитание, начиная с дошкольных учреждений, школ, ВУЗов, и заканчивая подготовкой специалистов на предприятиях и в организациях, а также обеспечить население экологической информацией.</w:t>
      </w:r>
    </w:p>
    <w:p w14:paraId="22C42909" w14:textId="77777777" w:rsidR="00171AA8" w:rsidRPr="00731FE2" w:rsidRDefault="00171AA8">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p>
    <w:p w14:paraId="5A6709DF" w14:textId="77777777" w:rsidR="00171AA8" w:rsidRPr="00731FE2" w:rsidRDefault="007935AB">
      <w:pPr>
        <w:pStyle w:val="24"/>
        <w:rPr>
          <w:rFonts w:ascii="Times New Roman" w:hAnsi="Times New Roman" w:cs="Times New Roman"/>
        </w:rPr>
      </w:pPr>
      <w:bookmarkStart w:id="97" w:name="_Toc177392847"/>
      <w:r w:rsidRPr="00731FE2">
        <w:rPr>
          <w:rFonts w:ascii="Times New Roman" w:hAnsi="Times New Roman" w:cs="Times New Roman"/>
        </w:rPr>
        <w:t>3.12 Перечень и характеристика основных факторов риска возникновения чрезвычайных ситуаций природного и техногенного характера</w:t>
      </w:r>
      <w:bookmarkEnd w:id="97"/>
    </w:p>
    <w:p w14:paraId="3DF2946B"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 xml:space="preserve">Согласно ГОСТ Р 22.0.02-2016 «Безопасность в чрезвычайных ситуациях. Термины и определения», чрезвычайная ситуация (ЧС) – обстановка на определенной территории, сложившаяся в результате аварии, опасного природного явления, катастрофы, стихийного или иного бедствия, которые могут повлечь или повлекли за собой человеческие жертвы, </w:t>
      </w:r>
      <w:r w:rsidRPr="00731FE2">
        <w:rPr>
          <w:rFonts w:ascii="Times New Roman" w:eastAsia="Times New Roman" w:hAnsi="Times New Roman" w:cs="Times New Roman"/>
          <w:color w:val="000000"/>
          <w:szCs w:val="24"/>
        </w:rPr>
        <w:lastRenderedPageBreak/>
        <w:t>ущерб здоровью людей или окружающей среде, значительные материальные потери и нарушение условий жизнедеятельности людей.</w:t>
      </w:r>
    </w:p>
    <w:p w14:paraId="1E348FA2"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Различают ЧС по характеру источника (природные, техногенные, биолого-социальные) и по масштабам (локальные, местные, территориальные, региональные, федеральные и трансграничные).</w:t>
      </w:r>
    </w:p>
    <w:p w14:paraId="61770D9F"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В соответствии с Федеральным законом от 21.12.1994 г. № 68-ФЗ «О защите населения и территорий от чрезвычайных ситуаций природного и техногенного характера», мероприятия, направленные на предупреждение ЧС, а также на максимально возможное снижение размеров ущерба и потерь в случае их возникновения, проводятся заблаговременно с учетом экономических, природных и иных характеристик, особенностей территорий и степени реальной опасности возникновения ЧС.</w:t>
      </w:r>
    </w:p>
    <w:p w14:paraId="2F526973"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Территории, подверженные риску возникновения ЧС и потенциально – опасные объекты городского округа города-курорта Кисловодска отображены на Карте территорий, подверженных риску возникновения ЧС природного и техногенного характера.</w:t>
      </w:r>
    </w:p>
    <w:p w14:paraId="07A42EB5" w14:textId="77777777" w:rsidR="00171AA8" w:rsidRPr="00731FE2" w:rsidRDefault="007935AB">
      <w:pPr>
        <w:pStyle w:val="33"/>
        <w:rPr>
          <w:rFonts w:ascii="Times New Roman" w:hAnsi="Times New Roman" w:cs="Times New Roman"/>
        </w:rPr>
      </w:pPr>
      <w:bookmarkStart w:id="98" w:name="_Toc177392848"/>
      <w:r w:rsidRPr="00731FE2">
        <w:rPr>
          <w:rFonts w:ascii="Times New Roman" w:hAnsi="Times New Roman" w:cs="Times New Roman"/>
        </w:rPr>
        <w:t>3.12.1 Перечень источников чрезвычайных ситуаций природного характера</w:t>
      </w:r>
      <w:bookmarkEnd w:id="98"/>
    </w:p>
    <w:p w14:paraId="40A085A2"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На территории города-курорта Кисловодска ЧС природного характера могут быть обусловлены метеорологическими (бури, ураганы, сильный гололёд, сильный снегопад, сильный дождь, крупный град, сильный мороз, заморозки, сильная жара, сильные туманы), гидрометеорологическими факторами (наводнения, паводки), а также опасными геологическими процессами (землетрясения, оползни, просадки, карст, подтопление). Также на рассматриваемой территории возможны природные пожары.</w:t>
      </w:r>
    </w:p>
    <w:p w14:paraId="69337450"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Метеорологические явления. Бури, ураганы. Ветры силой до 20 м/сек и более возможны на въездной территории городского округа весной–осенью (от 10 до 15 раз). При этом срываются шифер и черепица с кровель зданий, ломаются ветви деревьев, что может привести к несчастным случаям с гибелью и травматизмом людей, нарушениям в функционировании всех видов транспорта.</w:t>
      </w:r>
    </w:p>
    <w:p w14:paraId="76020071"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b/>
          <w:bCs/>
          <w:color w:val="000000"/>
          <w:szCs w:val="24"/>
        </w:rPr>
        <w:t>Сильный гололёд.</w:t>
      </w:r>
      <w:r w:rsidRPr="00731FE2">
        <w:rPr>
          <w:rFonts w:ascii="Times New Roman" w:eastAsia="Times New Roman" w:hAnsi="Times New Roman" w:cs="Times New Roman"/>
          <w:color w:val="000000"/>
          <w:szCs w:val="24"/>
        </w:rPr>
        <w:t xml:space="preserve"> Сильный гололёд с диаметром отложения на проводах 20 мм и более при сложном отложении и налипании мокрого снега до 35 мм и более возможен в период с декабря до середины марта, с периодичностью 1 раз в 7 лет и может привести к повреждениям линий связи и электропередач. Возможны аварии на автомобильном транспорте, перебои в движении транспорта на отдельных участках дорог.</w:t>
      </w:r>
    </w:p>
    <w:p w14:paraId="45D7F805"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b/>
          <w:bCs/>
          <w:color w:val="000000"/>
          <w:szCs w:val="24"/>
        </w:rPr>
        <w:t>Сильный снегопад, метели.</w:t>
      </w:r>
      <w:r w:rsidRPr="00731FE2">
        <w:rPr>
          <w:rFonts w:ascii="Times New Roman" w:eastAsia="Times New Roman" w:hAnsi="Times New Roman" w:cs="Times New Roman"/>
          <w:color w:val="000000"/>
          <w:szCs w:val="24"/>
        </w:rPr>
        <w:t xml:space="preserve"> Сильный снегопад с выпадением снега не менее 20 мм за период не более 12 часов возможен на территории города-курорта, с периодичностью 1 раз в 5 лет, а при скорости ветра 15 м/сек и более и видимости менее 500 м – 1 раз в 7 лет. Эти явления могут привести к снежным заносам на дорогах, разрушениям кровель зданий и сооружений.</w:t>
      </w:r>
    </w:p>
    <w:p w14:paraId="0952B328"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b/>
          <w:bCs/>
          <w:color w:val="000000"/>
          <w:szCs w:val="24"/>
        </w:rPr>
        <w:t xml:space="preserve">Сильный дождь (ливень). </w:t>
      </w:r>
      <w:r w:rsidRPr="00731FE2">
        <w:rPr>
          <w:rFonts w:ascii="Times New Roman" w:eastAsia="Times New Roman" w:hAnsi="Times New Roman" w:cs="Times New Roman"/>
          <w:color w:val="000000"/>
          <w:szCs w:val="24"/>
        </w:rPr>
        <w:t xml:space="preserve">Очень сильные дожди (мокрый снег, дождь со снегом), наиболее вероятны в мае-июне, с интенсивностью выпадения осадков 50 мм и более за 12 ч и менее; в селеопасных районах – 30 мм и более за 12 ч и менее; сильные ливни (очень сильные ливневые дожди) с интенсивностью осадков 30 мм и более за 1 ч и менее; продолжительные сильные дожди при количестве осадков 100 мм и более за период 12 ч, но менее 48 ч возможны на всей территории города-курорта в среднем 1 раз в 5 лет, что может привести к дождевым паводкам, подтоплениям зданий и сооружений, нарушением условий </w:t>
      </w:r>
    </w:p>
    <w:p w14:paraId="44AFC91E"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b/>
          <w:bCs/>
          <w:color w:val="000000"/>
          <w:szCs w:val="24"/>
        </w:rPr>
        <w:lastRenderedPageBreak/>
        <w:t xml:space="preserve">Крупный град. </w:t>
      </w:r>
      <w:r w:rsidRPr="00731FE2">
        <w:rPr>
          <w:rFonts w:ascii="Times New Roman" w:eastAsia="Times New Roman" w:hAnsi="Times New Roman" w:cs="Times New Roman"/>
          <w:color w:val="000000"/>
          <w:szCs w:val="24"/>
        </w:rPr>
        <w:t>Диаметр градин – 20 мм и более возможен в тёплое время года, обычно с ливневыми дождями при грозах на территории города-курорта, с периодичностью 1 раз в 3 года и способен нанести значительный ущерб садам, кровлям сооружений.</w:t>
      </w:r>
    </w:p>
    <w:p w14:paraId="26C35798"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b/>
          <w:bCs/>
          <w:color w:val="000000"/>
          <w:szCs w:val="24"/>
        </w:rPr>
        <w:t xml:space="preserve">Сильный мороз. </w:t>
      </w:r>
      <w:r w:rsidRPr="00731FE2">
        <w:rPr>
          <w:rFonts w:ascii="Times New Roman" w:eastAsia="Times New Roman" w:hAnsi="Times New Roman" w:cs="Times New Roman"/>
          <w:color w:val="000000"/>
          <w:szCs w:val="24"/>
        </w:rPr>
        <w:t>В период ноябрь – март мороз с температурой воздуха –20°С и ниже возможен в городе-курорте Кисловодск. При этом возможны нарушения в системах жизнеобеспечения населения. Сильный мороз, морозы от –5°С и даже ниже в осеннее и весеннее время при активном сокодвижении растений, может привести к гибели садовых и ягодных культур.</w:t>
      </w:r>
    </w:p>
    <w:p w14:paraId="2F0437F0"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b/>
          <w:bCs/>
          <w:color w:val="000000"/>
          <w:szCs w:val="24"/>
        </w:rPr>
        <w:t>Заморозки.</w:t>
      </w:r>
      <w:r w:rsidRPr="00731FE2">
        <w:rPr>
          <w:rFonts w:ascii="Times New Roman" w:eastAsia="Times New Roman" w:hAnsi="Times New Roman" w:cs="Times New Roman"/>
          <w:color w:val="000000"/>
          <w:szCs w:val="24"/>
        </w:rPr>
        <w:t xml:space="preserve"> Понижение температуры воздуха и (или) на поверхности почвы (травостоя) до значений ниже 0°С после перехода среднесуточной температуры воздуха через 15°С весной и до перехода через 15°С осенью. В годы с ранним возобновлением вегетации – при понижении температуры воздуха и на почве (травостоя) до значений ниже –3°С после перехода среднесуточной температуры воздуха через 5°С, приводящие к повреждению, а также к частичной или полной гибели сельскохозяйственных и плодовых культур. Экстренная информация о заморозках как опасных явлениях передаётся после перехода средней суточной температуры через 10°С весной и до перехода её через 10°С осенью.</w:t>
      </w:r>
    </w:p>
    <w:p w14:paraId="4FE2C43C"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b/>
          <w:bCs/>
          <w:color w:val="000000"/>
          <w:szCs w:val="24"/>
        </w:rPr>
        <w:t xml:space="preserve">Сильная жара. </w:t>
      </w:r>
      <w:r w:rsidRPr="00731FE2">
        <w:rPr>
          <w:rFonts w:ascii="Times New Roman" w:eastAsia="Times New Roman" w:hAnsi="Times New Roman" w:cs="Times New Roman"/>
          <w:color w:val="000000"/>
          <w:szCs w:val="24"/>
        </w:rPr>
        <w:t>В период май – август максимальная температура воздуха +40°С и выше возможная на всей территории города-курорта, с периодичностью 1 раз в 10 лет, что может привести к массовой гибели парковой флоры, развитию инфекционной заболеваемости животных.</w:t>
      </w:r>
    </w:p>
    <w:p w14:paraId="498F07AA"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Засуха атмосферная в репродуктивный период развития основных сельскохозяйственных культур (зерновых, колосковых, кукурузы, подсолнечника), отсутствие эффективных осадков (более 5 мм в сутки) за период не менее 30 дней подряд при максимальной температуре воздуха +30°С и выше. В отдельные дни (не более 25% продолжительности периода) допускается наличие максимальных температур воздуха ниже указанных пределов. Засуха почвенная в репродуктивный период развития сельскохозяйственных культур за период не менее 30 дней подряд запасы продуктивной влаги в слое почвы 0–20 см составляют не более 10 мм, в слое почвы 0–100 см – 50 мм и менее.</w:t>
      </w:r>
    </w:p>
    <w:p w14:paraId="0F25E4BF"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b/>
          <w:bCs/>
          <w:color w:val="000000"/>
          <w:szCs w:val="24"/>
        </w:rPr>
        <w:t>Сильный туман.</w:t>
      </w:r>
      <w:r w:rsidRPr="00731FE2">
        <w:rPr>
          <w:rFonts w:ascii="Times New Roman" w:eastAsia="Times New Roman" w:hAnsi="Times New Roman" w:cs="Times New Roman"/>
          <w:color w:val="000000"/>
          <w:szCs w:val="24"/>
        </w:rPr>
        <w:t xml:space="preserve"> Сильные туманы с метеорологической дальностью видимости 50 м и менее в течение короткого непродолжительного времени возможны на территории города-курорта и могут привести к нарушениям движения всех видов транспорта, транспортным авариям.</w:t>
      </w:r>
    </w:p>
    <w:p w14:paraId="3BC51AA6"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b/>
          <w:bCs/>
          <w:color w:val="000000"/>
          <w:szCs w:val="24"/>
        </w:rPr>
        <w:t xml:space="preserve">Гидрологические явления. </w:t>
      </w:r>
      <w:r w:rsidRPr="00731FE2">
        <w:rPr>
          <w:rFonts w:ascii="Times New Roman" w:eastAsia="Times New Roman" w:hAnsi="Times New Roman" w:cs="Times New Roman"/>
          <w:color w:val="000000"/>
        </w:rPr>
        <w:t>На территории города-курорта Кисловодска зарегистрировано 5 зон во</w:t>
      </w:r>
      <w:r w:rsidRPr="00731FE2">
        <w:rPr>
          <w:rFonts w:ascii="Times New Roman" w:eastAsia="Times New Roman" w:hAnsi="Times New Roman" w:cs="Times New Roman"/>
          <w:color w:val="000000"/>
          <w:szCs w:val="24"/>
        </w:rPr>
        <w:t>зможного подтопления вдоль русел рек р. Ольховка (на протяжении 6,5 км), р. Березовая (на протяжении 7,4 км), р. Белая (на протяжении 4,2 км), р. Аликоновка (на протяжении 4,0 км).</w:t>
      </w:r>
    </w:p>
    <w:p w14:paraId="139C330A"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 xml:space="preserve">В зоны подтопления суммарно попадает до 327 жилых домов и 2 630 чел., в т. ч. 844 детей, а также 2 социально-значимых объектов, в которых пребывает до 1 710 чел. в т. ч. 824 детей. Зона подтопления (от р. Подкумок до пересечения с ул. Римгорская, по ул. Римгорская до пересечения с контуром садоводческих товариществ «Юбилейное» и «Подкумок», по контуру садоводческих товариществ «Юбилейное» и «Подкумок» до р. Подкумок) подвержена риску возникновения быстроразвивающегося опасного </w:t>
      </w:r>
      <w:r w:rsidRPr="00731FE2">
        <w:rPr>
          <w:rFonts w:ascii="Times New Roman" w:eastAsia="Times New Roman" w:hAnsi="Times New Roman" w:cs="Times New Roman"/>
          <w:color w:val="000000"/>
          <w:szCs w:val="24"/>
        </w:rPr>
        <w:lastRenderedPageBreak/>
        <w:t>природного явления (подтопления) в случае прорыва дамбы на Эшкаконском водохранилище, время добегания волны до г. Кисловодска по р. Подкумок составляет 1 час 20 минут. В настоящей зоне расположено 38 жилых домов по ул. Римгорская, 10 жилых домов (дачных) в садоводческом товариществе «Юбилейное» и 10 жилых домов (дачных) в садоводческом товариществе «Подкумок», общее количество 550 чел., а также МБУ ДО СШ по футболу города-курорта Кисловодска, ул. Промышленная, 3 «А» (спорткомплекс им. Героя Советского Союза Романенко Г.А.) - 1385 чел., в т. ч. 824 детей.</w:t>
      </w:r>
    </w:p>
    <w:p w14:paraId="6A5ECD37"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Ежегодный подъём уровня воды в реках, вызываемый таянием снега и льда, происходит до отметок обеспеченностью наивысших уровней менее 10%. Паводки могут привести к ухудшению жизненных условий населения, повреждениям жилых и производственных зданий, автомобильных дорог, линий электропередач и связи, порче сырья, топлива, продуктов питания, кормов, затратам на временное отселение населения и материальных средств, доставку в пострадавшие районы продуктов питания, строительных материалов.</w:t>
      </w:r>
    </w:p>
    <w:p w14:paraId="51F394DD"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 xml:space="preserve">В отдельные годы с наиболее обильными снегопадами при таянии ледников и снега в горах сток рек Берёзовой и Ольховки увеличивается в 15 раз, а в месте их слияния – в 30 раз. Наиболее крупное затопление паводковыми водами и связанное с ним наводнение произошло в июне 2002 г., когда в зоне чрезвычайной ситуации оказался 371 человек. Материальный ущерб от наводнения составил 721 млн руб. Подобные наводнения случаются здесь раз в 10 лет. </w:t>
      </w:r>
    </w:p>
    <w:p w14:paraId="08A2D2FB"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 xml:space="preserve">Опасные геологические процессы. Из опасных геологических процессов, представляющих риск возникновения чрезвычайных ситуаций, на территории городского округа возможны землетрясения силой до 8-9 баллов, крупные оползни, грязекаменные потоки, обвалы, эрозия, просадки, подтопление, химическое и физическое выветривание и т.д. </w:t>
      </w:r>
    </w:p>
    <w:p w14:paraId="6984A1DA"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b/>
          <w:color w:val="000000"/>
          <w:szCs w:val="24"/>
        </w:rPr>
        <w:t>Землетрясения.</w:t>
      </w:r>
      <w:r w:rsidRPr="00731FE2">
        <w:rPr>
          <w:rFonts w:ascii="Times New Roman" w:eastAsia="Times New Roman" w:hAnsi="Times New Roman" w:cs="Times New Roman"/>
          <w:color w:val="000000"/>
          <w:szCs w:val="24"/>
        </w:rPr>
        <w:t xml:space="preserve"> Город-курорт Кисловодск находится в сейсмоактивной зоне. Практически вся территория города-курорта относится к 8-9 балльной сейсмической зоне. За счет постоянного снижения прочности грунтов, слагающих верхнюю часть геологического разреза, сейсмическая интенсивность постоянно возрастает. При низких значениях прочностных характеристик грунтов оснований сооружений даже небольшие по силе сейсмические толчки могут быть причиной деформаций и разрушений различных сооружений, а также – активизации опасных геологических процессов. </w:t>
      </w:r>
    </w:p>
    <w:p w14:paraId="20420AA7"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Размеры зоны вероятной чрезвычайной ситуации достигают 108 км</w:t>
      </w:r>
      <w:r w:rsidRPr="00731FE2">
        <w:rPr>
          <w:rFonts w:ascii="Times New Roman" w:eastAsia="Times New Roman" w:hAnsi="Times New Roman" w:cs="Times New Roman"/>
          <w:color w:val="000000"/>
          <w:szCs w:val="24"/>
          <w:vertAlign w:val="superscript"/>
        </w:rPr>
        <w:t>2</w:t>
      </w:r>
      <w:r w:rsidRPr="00731FE2">
        <w:rPr>
          <w:rFonts w:ascii="Times New Roman" w:eastAsia="Times New Roman" w:hAnsi="Times New Roman" w:cs="Times New Roman"/>
          <w:color w:val="000000"/>
          <w:szCs w:val="24"/>
        </w:rPr>
        <w:t>, численность населения, попадающего в эту зону, составляет более 136 тыс. чел. Предполагаемые общие потери могут составить 50 тыс. чел., безвозвратные – 1,2 тыс. чел., санитарные – 20 тыс. чел. Получат разрушения 8 населенных пунктов. В результате землетрясений могут подвергнуться разрушению мосты через р. Ольховая и Берёзовая, Подкумок, нарушится движение на автомобильной дороге общего пользования федерального значения А-157 «Минеральные Воды (аэропорт) – Кисловодск», прекратится движение железнодорожного транспорта на участках дорог «Кисловодск – Минеральные Воды».</w:t>
      </w:r>
    </w:p>
    <w:p w14:paraId="209F7612"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Могут получить разрушения подземные и наземные коммунально-энергетические сети. Возрастет опасность комбинированного поражения населения от последствий землетрясения в результате аварий на других опасных объектах.</w:t>
      </w:r>
    </w:p>
    <w:p w14:paraId="20815C5E"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b/>
          <w:bCs/>
          <w:color w:val="000000"/>
          <w:szCs w:val="24"/>
        </w:rPr>
        <w:t xml:space="preserve">Оползни. </w:t>
      </w:r>
      <w:r w:rsidRPr="00731FE2">
        <w:rPr>
          <w:rFonts w:ascii="Times New Roman" w:eastAsia="Times New Roman" w:hAnsi="Times New Roman" w:cs="Times New Roman"/>
          <w:color w:val="000000"/>
          <w:szCs w:val="24"/>
        </w:rPr>
        <w:t xml:space="preserve">Оползнями выводятся из хозяйственного оборота многие гектары ценных земель, кроме того, крупные активные оползни могут быть причиной разрушения </w:t>
      </w:r>
      <w:r w:rsidRPr="00731FE2">
        <w:rPr>
          <w:rFonts w:ascii="Times New Roman" w:eastAsia="Times New Roman" w:hAnsi="Times New Roman" w:cs="Times New Roman"/>
          <w:color w:val="000000"/>
          <w:szCs w:val="24"/>
        </w:rPr>
        <w:lastRenderedPageBreak/>
        <w:t>зданий инженерных сооружений, представлять угрозу жизни и здоровью населения. Под угрозой разрушений находятся более 420 частных домовладений, зданий и сооружений. Численность населения, попадающего в зону ЧС, может насчитывать 2,87 тыс. чел. Прогнозируемое количество пострадавших при оползнях может составить до 1435 чел. Размеры зоны вероятных ЧС, связанных с оползнями, достигает 1,2 км</w:t>
      </w:r>
      <w:r w:rsidRPr="00731FE2">
        <w:rPr>
          <w:rFonts w:ascii="Times New Roman" w:eastAsia="Times New Roman" w:hAnsi="Times New Roman" w:cs="Times New Roman"/>
          <w:color w:val="000000"/>
          <w:szCs w:val="24"/>
          <w:vertAlign w:val="superscript"/>
        </w:rPr>
        <w:t>2</w:t>
      </w:r>
      <w:r w:rsidRPr="00731FE2">
        <w:rPr>
          <w:rFonts w:ascii="Times New Roman" w:eastAsia="Times New Roman" w:hAnsi="Times New Roman" w:cs="Times New Roman"/>
          <w:color w:val="000000"/>
          <w:szCs w:val="24"/>
        </w:rPr>
        <w:t>. Оползни широко распространены на территории города-курорта Кисловодска. Более 20 оползней представляют опасность для жилых домов, памятников архитектуры, санаториев, городских коммуникаций.</w:t>
      </w:r>
    </w:p>
    <w:p w14:paraId="1DC15519"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Оползни постоянно нарушают нормальную эксплуатацию дороги к Олимпийскому спортивному комплексу, загромождая её оползневыми массами. Для расчистки этих участков к ним специально прикреплена дорожная техника. Катастрофические оползни-потоки в районе спорткомплекса «Олимпийский» на окраине Кисловодска произошли в 1984-1985 гг. В настоящее время оползни не стабилизировались и по-прежнему представляют угрозу этому объекту федерального значения, который служит тренировочной базой для подготовки спортсменов.</w:t>
      </w:r>
    </w:p>
    <w:p w14:paraId="1CEA567C"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В северо-западной части города-курорта оползни постоянно являются угрозой для трассы главного магистрального водопровода, подающего воду из р. Эшкакон.</w:t>
      </w:r>
    </w:p>
    <w:p w14:paraId="65048193"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Оползневой опасности подвергаются сейсмическая лаборатория, расположенная на склоне ручья Солнечный, санаторий Эльбрус по ул. Профинтерна, курортная больница по ул. Хмельницкого.</w:t>
      </w:r>
    </w:p>
    <w:p w14:paraId="78EBDCE2"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На площадке строительства санаторно-курортного комплекса «Сосновый бор» после того, как за сутки выпало две месячные нормы осадков, произошло два селевых выноса и активизировалось 13 оползней. В результате вся территория комплекса оказалась заваленной грязекаменным материалом.</w:t>
      </w:r>
    </w:p>
    <w:p w14:paraId="0B85CD4E"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Особую опасность представляют оползневые явления для железнодорожной линии «Минводы – Кисловодск». Подпорная стенка на участке железной дороги в черте города-курорта имеет многочисленные трещины и не обеспечивает безопасности полотна.</w:t>
      </w:r>
    </w:p>
    <w:p w14:paraId="2721DEE9"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В результате пригрузки склона и нарушения поверхностного стока при строительстве 9-этажного дома по улице Шаумяна образовался новый оползень. Для спасения строящегося дома была запроектирована подпорная стенка в комплексе с водозащитными мероприятиями. Движение оползневых масс привело к разрушению подпорной стенки в центре города-курорта, на пересечении ул. Куйбышева и проспекта Победы. Крупный оползень в течение многих лет осложняет строительство санатория «Каскад».</w:t>
      </w:r>
    </w:p>
    <w:p w14:paraId="5971659D"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Оползень на склоне р. Ольховка несколько десятилетий угрожает федеральному памятнику архитектуры – Музею-Усадьбе художника А.Н. Ярошенко. Оползневой опасности подвергаются основное здание усадьбы, а также вспомогательные здания, где появились сквозные зияющие трещины шириной до 50 мм. Здесь по проекту московского института «Росреставрация» был выполнен большой комплекс противооползневых мероприятий. Однако он не обеспечивает устойчивости оползневого склона.</w:t>
      </w:r>
    </w:p>
    <w:p w14:paraId="6E54111F"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b/>
          <w:bCs/>
          <w:color w:val="000000"/>
          <w:szCs w:val="24"/>
        </w:rPr>
        <w:t>Грязекаменные и селевые потоки</w:t>
      </w:r>
      <w:r w:rsidRPr="00731FE2">
        <w:rPr>
          <w:rFonts w:ascii="Times New Roman" w:eastAsia="Times New Roman" w:hAnsi="Times New Roman" w:cs="Times New Roman"/>
          <w:color w:val="000000"/>
          <w:szCs w:val="24"/>
        </w:rPr>
        <w:t xml:space="preserve"> нередкое явление на территории города-курорта. Во время сильных дождей ливневые осадки по улицам формируют бурные потоки, которые выносят обломочный и грунтовый материал к подножью склонов. После ливня в июне 2002 г. главная площадь города-курорта на участке курортного бульвара была покрыта грязекаменным материалом, мощностью до 0,5-0,7 м. Селевые потоки </w:t>
      </w:r>
      <w:r w:rsidRPr="00731FE2">
        <w:rPr>
          <w:rFonts w:ascii="Times New Roman" w:eastAsia="Times New Roman" w:hAnsi="Times New Roman" w:cs="Times New Roman"/>
          <w:color w:val="000000"/>
          <w:szCs w:val="24"/>
        </w:rPr>
        <w:lastRenderedPageBreak/>
        <w:t>формируются в бассейне реки Белая. Площадь селевых потоков может охватить территорию площадью до 1,0 км², с населением около 2,0 тыс. чел. При возникновении селей возможны разрушения жилых домов, административных зданий, покрытия автомобильных дорог, железнодорожного полотна, мостов, опор линий электропередач, линий связи.</w:t>
      </w:r>
    </w:p>
    <w:p w14:paraId="2A21D157"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b/>
          <w:bCs/>
          <w:color w:val="000000"/>
          <w:szCs w:val="24"/>
        </w:rPr>
        <w:t>Обвально-осыпные явления.</w:t>
      </w:r>
      <w:r w:rsidRPr="00731FE2">
        <w:rPr>
          <w:rFonts w:ascii="Times New Roman" w:eastAsia="Times New Roman" w:hAnsi="Times New Roman" w:cs="Times New Roman"/>
          <w:color w:val="000000"/>
          <w:szCs w:val="24"/>
        </w:rPr>
        <w:t xml:space="preserve"> Осыпи и обвалы в городе-курорте Кисловодске развиты на востоке, юго-востоке и южной части территории городского округа. Они приурочены к крутопадающим (до 45°) и обрывистым склонам, где обнажаются нижнемеловые породы.  Этими явлениями часто нарушается нормальное функционирование дороги, ведущей к санаторию «Эльбрус».</w:t>
      </w:r>
    </w:p>
    <w:p w14:paraId="6E68D2D7"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b/>
          <w:bCs/>
          <w:color w:val="000000"/>
          <w:szCs w:val="24"/>
        </w:rPr>
        <w:t xml:space="preserve">Эрозия. </w:t>
      </w:r>
      <w:r w:rsidRPr="00731FE2">
        <w:rPr>
          <w:rFonts w:ascii="Times New Roman" w:eastAsia="Times New Roman" w:hAnsi="Times New Roman" w:cs="Times New Roman"/>
          <w:color w:val="000000"/>
          <w:szCs w:val="24"/>
        </w:rPr>
        <w:t>Значительная часть пород, залегающих в верхней части разреза, – легкоразмываемые. С этим свойством пород связано интенсивное развитие эрозионных процессов, наносящих огромный вред градостроительному использованию территории. Также весьма ощутимо отрицательное воздействие эрозионных процессов на существующие и строящиеся объекты промышленного и гражданского назначения, дороги, трубопроводы, мосты и т.д. Особенно этот процесс опасен для сооружений, расположенных на небольшом расстоянии от бровок оврагов и балок. Помимо прямого разрушающего влияния эрозионных процессов на сооружения, они часто являются причиной активизации оползней, выветривания и других процессов.</w:t>
      </w:r>
    </w:p>
    <w:p w14:paraId="466D72F3"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На территории города-курорта развита овражная и речная эрозия. Овражной эрозии наиболее подвержена северная и северо-восточная части города-курорта, где наиболее распространены мощные (до 15 м) толщи легко размываемых лессовидных суглинков. Глубина оврагов колеблется от 3,0 до 15,0 м, протяжённость достигает 1,5 км и более. Стенки оврагов почти отвесные. Овраги, в основном, растущие.</w:t>
      </w:r>
    </w:p>
    <w:p w14:paraId="6FDF9D08"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Речная эрозия интенсивно проявляется по рекам Аликоновка, Подкумок, Берёзовая, Белая и проявляется в виде боковой и донной эрозии. Разрушительная деятельность рек угрожает частным домовладениям, действующему городскому кладбищу, санаториям (санаторий «Колос») и др. Из-за подмыва берегов р. Подкумок постоянно приходится реконструировать берегоукрепительные сооружения.</w:t>
      </w:r>
    </w:p>
    <w:p w14:paraId="7098240E"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b/>
          <w:bCs/>
          <w:color w:val="000000"/>
          <w:szCs w:val="24"/>
        </w:rPr>
        <w:t xml:space="preserve">Просадки. </w:t>
      </w:r>
      <w:r w:rsidRPr="00731FE2">
        <w:rPr>
          <w:rFonts w:ascii="Times New Roman" w:eastAsia="Times New Roman" w:hAnsi="Times New Roman" w:cs="Times New Roman"/>
          <w:color w:val="000000"/>
          <w:szCs w:val="24"/>
        </w:rPr>
        <w:t>Неравномерные осадки сооружений могут быть причиной их деформаций и даже – разрушений, а, следовательно, – чрезвычайных ситуаций. Просадочные явления наиболее развиты в северной части города-курорта – районе распространения лессовых грунтов на поверхности надпойменных террас р. Подкумок и конусах выноса рек Белой, Берёзовой и Аликоновки. Величина просадки в основном не превышает 5-15 см, но иногда достигает 50 см. Просадочные явления являются причиной деформации жилых 5-этажных домов по улицам Пушкина, Железнодорожная и др. Основной причиной просадок на рассматриваемой территории являются утечки из водонесущих коммуникаций, а также нарушение поверхностного стока при застройке города.</w:t>
      </w:r>
    </w:p>
    <w:p w14:paraId="17AC1983"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b/>
          <w:bCs/>
          <w:color w:val="000000"/>
          <w:szCs w:val="24"/>
        </w:rPr>
        <w:t xml:space="preserve">Подтопление. </w:t>
      </w:r>
      <w:r w:rsidRPr="00731FE2">
        <w:rPr>
          <w:rFonts w:ascii="Times New Roman" w:eastAsia="Times New Roman" w:hAnsi="Times New Roman" w:cs="Times New Roman"/>
          <w:color w:val="000000"/>
          <w:szCs w:val="24"/>
        </w:rPr>
        <w:t xml:space="preserve">В связи с повышением уровня подземных вод, связанным с природными и техногенными факторами, подтопление стало одним из наиболее опасных для строительства процессов. К подтопленным относятся территории низких пойм рек и балок Реброва и Васюкова на востоке города-курорта, а также многочисленные локально подтопленные объекты: территории санаториев «Эльбрус», «Каскад», «Красные камни», бывшей городской больницы по улице Чкалова, ванного отделения санатория им. </w:t>
      </w:r>
      <w:r w:rsidRPr="00731FE2">
        <w:rPr>
          <w:rFonts w:ascii="Times New Roman" w:eastAsia="Times New Roman" w:hAnsi="Times New Roman" w:cs="Times New Roman"/>
          <w:color w:val="000000"/>
          <w:szCs w:val="24"/>
        </w:rPr>
        <w:lastRenderedPageBreak/>
        <w:t>Орджоникидзе и т.д. По сравнению с 1980 г., в настоящее время площадь подтопления увеличилась более чем в 1,5 раза. С подтоплением могут быть связаны неравномерные осадки сооружений и их разрушение. В ряде случаев подтопление явилось причиной развития оползней, суффозии, просадки, снижения несущей способности грунтов оснований сооружений, повышения расчётного сейсмического балла, что, в свою очередь, также послужило причиной деформации многочисленных зданий и инженерных сооружений.</w:t>
      </w:r>
    </w:p>
    <w:p w14:paraId="405B63C6"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b/>
          <w:bCs/>
          <w:color w:val="000000"/>
          <w:szCs w:val="24"/>
        </w:rPr>
        <w:t xml:space="preserve">Карст </w:t>
      </w:r>
      <w:r w:rsidRPr="00731FE2">
        <w:rPr>
          <w:rFonts w:ascii="Times New Roman" w:eastAsia="Times New Roman" w:hAnsi="Times New Roman" w:cs="Times New Roman"/>
          <w:color w:val="000000"/>
          <w:szCs w:val="24"/>
        </w:rPr>
        <w:t>довольно широко развит на склонах гор, окружающих город-курорт Кисловодск. Наибольшая концентрация карстовых полостей отмечается на правобережье р. Подкумок в местах распространения известняков у северных границ города-курорта. С карстом могут быть связаны крупные деформации сооружений, их разрушение и, соответственно, чрезвычайные ситуации.</w:t>
      </w:r>
    </w:p>
    <w:p w14:paraId="0D0F6AB7"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b/>
          <w:bCs/>
          <w:color w:val="000000"/>
          <w:szCs w:val="24"/>
        </w:rPr>
        <w:t>Выветривание</w:t>
      </w:r>
      <w:r w:rsidRPr="00731FE2">
        <w:rPr>
          <w:rFonts w:ascii="Times New Roman" w:eastAsia="Times New Roman" w:hAnsi="Times New Roman" w:cs="Times New Roman"/>
          <w:color w:val="000000"/>
          <w:szCs w:val="24"/>
        </w:rPr>
        <w:t xml:space="preserve"> – активный геологический процесс, осложняющий возведение инженерных сооружений. Выветриванию в той или иной степени подвержены все породы, но в наибольшей степени - нижнемеловые песчаники в местах выхода на поверхность или неглубокого залегания в южной части жилой и общественно-деловой зон и практически по всей курортной зоне. Основным агентом выветривания пород является солнце и вода. Ухудшения прочностных свойств этих песчаников является причиной деформации памятников истории – санаториев «Красные Камни», «им. Орджоникидзе», «Эльбрус» и др. Следует учитывать, что изменение свойств пород в основании сооружений за время «нулевого цикла» может привести к серьезному ухудшению условий строительства за счет снижения прочностных свойств грунтов. Процессы выветривания подготавливают условия для развития других неблагоприятных процессов – оползней, обвалов, осыпей, подтопления, повышения сейсмического балла.</w:t>
      </w:r>
    </w:p>
    <w:p w14:paraId="237DA268"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На территории города-курорта Кисловодска площадь городских лесов составляет 2578,54 га. По многолетним наблюдениям возможно возникновение до 1 природного пожара, общей площадью до 1 га лесной территории. Общая протяженность участков границы муниципального образования с лесными участками составляет 73,1 км.</w:t>
      </w:r>
    </w:p>
    <w:p w14:paraId="25CC44E7" w14:textId="77777777" w:rsidR="00171AA8" w:rsidRPr="00731FE2" w:rsidRDefault="007935AB">
      <w:pPr>
        <w:pStyle w:val="33"/>
        <w:rPr>
          <w:rFonts w:ascii="Times New Roman" w:hAnsi="Times New Roman" w:cs="Times New Roman"/>
        </w:rPr>
      </w:pPr>
      <w:bookmarkStart w:id="99" w:name="_Toc177392849"/>
      <w:r w:rsidRPr="00731FE2">
        <w:rPr>
          <w:rFonts w:ascii="Times New Roman" w:hAnsi="Times New Roman" w:cs="Times New Roman"/>
        </w:rPr>
        <w:t>3.12.2 Перечень источников чрезвычайных ситуаций техногенного характера</w:t>
      </w:r>
      <w:bookmarkEnd w:id="99"/>
    </w:p>
    <w:p w14:paraId="287C1295"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szCs w:val="24"/>
        </w:rPr>
        <w:t>На территории города-курорта Кисловодска существует риск возникновения ЧС, связанных с транспортом, газопроводом, химически опасными и пожаровзрывоопасными объектами, авариями в электроэнергетической системе, на коммунальных системах жизнеобеспечения, на водных объектах, при внезапном обрушении зданий и сооружений, при межнациональн</w:t>
      </w:r>
      <w:r w:rsidRPr="00731FE2">
        <w:rPr>
          <w:rFonts w:ascii="Times New Roman" w:eastAsia="Times New Roman" w:hAnsi="Times New Roman" w:cs="Times New Roman"/>
          <w:color w:val="000000"/>
        </w:rPr>
        <w:t>ых конфликтах и террористических актах.</w:t>
      </w:r>
    </w:p>
    <w:p w14:paraId="3AE1AE9A"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rPr>
        <w:t xml:space="preserve">В городе-курорте наиболее развиты железнодорожный и автомобильный транспорт. Железнодорожную транспортную сеть составляют 10 км </w:t>
      </w:r>
      <w:r w:rsidRPr="00731FE2">
        <w:rPr>
          <w:rFonts w:ascii="Times New Roman" w:eastAsia="Times New Roman" w:hAnsi="Times New Roman" w:cs="Times New Roman"/>
          <w:color w:val="000000"/>
          <w:szCs w:val="24"/>
        </w:rPr>
        <w:t>железнодорожных путей. Основной вид тяги – электрический.</w:t>
      </w:r>
    </w:p>
    <w:p w14:paraId="7EF426EE"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На территории города-курорта Кисловодска расположены станция «Кисловодск» и ос</w:t>
      </w:r>
      <w:r w:rsidR="007B214F" w:rsidRPr="00731FE2">
        <w:rPr>
          <w:rFonts w:ascii="Times New Roman" w:eastAsia="Times New Roman" w:hAnsi="Times New Roman" w:cs="Times New Roman"/>
          <w:color w:val="000000"/>
          <w:szCs w:val="24"/>
        </w:rPr>
        <w:t>та</w:t>
      </w:r>
      <w:r w:rsidRPr="00731FE2">
        <w:rPr>
          <w:rFonts w:ascii="Times New Roman" w:eastAsia="Times New Roman" w:hAnsi="Times New Roman" w:cs="Times New Roman"/>
          <w:color w:val="000000"/>
          <w:szCs w:val="24"/>
        </w:rPr>
        <w:t>новочный пункт «Минутка». На территории городского округа находится «Вагонный участок». Пропускная способность основных железнодорожных направлений (поездов в сутки) составляет 20 пар:</w:t>
      </w:r>
    </w:p>
    <w:p w14:paraId="77866242" w14:textId="77777777" w:rsidR="00171AA8" w:rsidRPr="00731FE2" w:rsidRDefault="007935AB" w:rsidP="007832E7">
      <w:pPr>
        <w:pStyle w:val="a3"/>
        <w:numPr>
          <w:ilvl w:val="0"/>
          <w:numId w:val="65"/>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«Кисловодск – Минеральные Воды»;</w:t>
      </w:r>
    </w:p>
    <w:p w14:paraId="79746A18" w14:textId="77777777" w:rsidR="00171AA8" w:rsidRPr="00731FE2" w:rsidRDefault="007935AB" w:rsidP="007832E7">
      <w:pPr>
        <w:pStyle w:val="a3"/>
        <w:numPr>
          <w:ilvl w:val="0"/>
          <w:numId w:val="65"/>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«Кисловодск – Москва»;</w:t>
      </w:r>
    </w:p>
    <w:p w14:paraId="02171F1F" w14:textId="77777777" w:rsidR="00171AA8" w:rsidRPr="00731FE2" w:rsidRDefault="007935AB" w:rsidP="007832E7">
      <w:pPr>
        <w:pStyle w:val="a3"/>
        <w:numPr>
          <w:ilvl w:val="0"/>
          <w:numId w:val="65"/>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«Кисловодск – Санкт-Петербург»;</w:t>
      </w:r>
    </w:p>
    <w:p w14:paraId="4C119A3D" w14:textId="77777777" w:rsidR="00171AA8" w:rsidRPr="00731FE2" w:rsidRDefault="007935AB" w:rsidP="007832E7">
      <w:pPr>
        <w:pStyle w:val="a3"/>
        <w:numPr>
          <w:ilvl w:val="0"/>
          <w:numId w:val="65"/>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«Кисловодск – Ростов-на-Дону»;</w:t>
      </w:r>
    </w:p>
    <w:p w14:paraId="5A56F5EB" w14:textId="77777777" w:rsidR="00171AA8" w:rsidRPr="00731FE2" w:rsidRDefault="007935AB" w:rsidP="007832E7">
      <w:pPr>
        <w:pStyle w:val="a3"/>
        <w:numPr>
          <w:ilvl w:val="0"/>
          <w:numId w:val="65"/>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lastRenderedPageBreak/>
        <w:t>«Кисловодск – Самара»;</w:t>
      </w:r>
    </w:p>
    <w:p w14:paraId="55252E75" w14:textId="77777777" w:rsidR="00171AA8" w:rsidRPr="00731FE2" w:rsidRDefault="007935AB" w:rsidP="007832E7">
      <w:pPr>
        <w:pStyle w:val="a3"/>
        <w:numPr>
          <w:ilvl w:val="0"/>
          <w:numId w:val="65"/>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«Кисловодск – Челябинск» и др.;</w:t>
      </w:r>
    </w:p>
    <w:p w14:paraId="0E742289"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На «Вагонном участке» города-курорта скапливается до 50–100 пассажирских вагонов. Аварии на железнодорожном транспорте, как правило, приводят к разрушению локомотивов, вагонов, железнодорожного полотна, обрыву проводов линий электропередач и связи, нарушению железнодорожного сообщения, человеческим жертвам.</w:t>
      </w:r>
    </w:p>
    <w:p w14:paraId="185DA80E"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На территории города возможны аварии пассажирских поездов, аварии на мостах, железнодорожных переездах и связанные с этим пожары (взрывы). Транспортные аварии возможны на участке железной дороги ст. Подкумок - ст. Кисловодск, на мостах и железнодорожных переездах на территории города в результате нарушений водителями правил дорожного движения, неисправности транспортных средств, нарушений покрытия дорожного полотна в районе и на территории мостов, в том числе вызванных ЧС природного характера (землетрясениями, сильным гололёдом и др.) или в результате неисправности оборудования железнодорожных переездов.</w:t>
      </w:r>
    </w:p>
    <w:p w14:paraId="5C04E319"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В городе-курорте расположено более 250 км дорог (улично-дорожной сети), из которых 76,5% с усовершенствованным покрытием, и 9,1 км дорог общего пользования местного значения, из которых 100% с усовершенствованным покрытием, 38 мостов (4 – более 25 м), общей – 735 м.</w:t>
      </w:r>
    </w:p>
    <w:p w14:paraId="428910E5"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Автомобильной дорогой общего пользования федерального значения является автомобильная дорога общего пользования федерального значения А-157 «Минеральные Воды (аэропорт) – Кисловодск», отмыкание от автомобильной дороги общего пользования федерального значения Р-217 «Кавказ» автомобильная дорога М-4 «Дон» – Владикавказ – Грозный – Махачкала – граница с Азербайджанской Республикой» – 46,8 км. Автомобильная дорога имеет твердое асфальтовое покрытие.</w:t>
      </w:r>
    </w:p>
    <w:p w14:paraId="1F5A00BA"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В средних и крупных автомобильных хозяйствах города-курорта насчитывается:</w:t>
      </w:r>
    </w:p>
    <w:p w14:paraId="5ADAA9BF" w14:textId="77777777" w:rsidR="00171AA8" w:rsidRPr="00731FE2" w:rsidRDefault="007935AB" w:rsidP="007832E7">
      <w:pPr>
        <w:pStyle w:val="a3"/>
        <w:numPr>
          <w:ilvl w:val="0"/>
          <w:numId w:val="66"/>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грузовых автомобилей (всего) 200 шт., общей грузоподъёмностью 800 т;</w:t>
      </w:r>
    </w:p>
    <w:p w14:paraId="11AEFDD9" w14:textId="77777777" w:rsidR="00171AA8" w:rsidRPr="00731FE2" w:rsidRDefault="007935AB" w:rsidP="007832E7">
      <w:pPr>
        <w:pStyle w:val="a3"/>
        <w:numPr>
          <w:ilvl w:val="0"/>
          <w:numId w:val="66"/>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легковых автомобилей 14000 шт.;</w:t>
      </w:r>
    </w:p>
    <w:p w14:paraId="014D322C" w14:textId="77777777" w:rsidR="00171AA8" w:rsidRPr="00731FE2" w:rsidRDefault="007935AB" w:rsidP="007832E7">
      <w:pPr>
        <w:pStyle w:val="a3"/>
        <w:numPr>
          <w:ilvl w:val="0"/>
          <w:numId w:val="66"/>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пикапов и легковых фургонов 1 500 шт.;</w:t>
      </w:r>
    </w:p>
    <w:p w14:paraId="098A6847" w14:textId="77777777" w:rsidR="00171AA8" w:rsidRPr="00731FE2" w:rsidRDefault="007935AB" w:rsidP="007832E7">
      <w:pPr>
        <w:pStyle w:val="a3"/>
        <w:numPr>
          <w:ilvl w:val="0"/>
          <w:numId w:val="66"/>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специальных автомобилей 400 шт.;</w:t>
      </w:r>
    </w:p>
    <w:p w14:paraId="1DCF184E" w14:textId="77777777" w:rsidR="00171AA8" w:rsidRPr="00731FE2" w:rsidRDefault="007935AB" w:rsidP="007832E7">
      <w:pPr>
        <w:pStyle w:val="a3"/>
        <w:numPr>
          <w:ilvl w:val="0"/>
          <w:numId w:val="66"/>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автобусов (всего) 59 шт., общей пассажировместимостью 1770 чел</w:t>
      </w:r>
      <w:r w:rsidR="007B214F" w:rsidRPr="00731FE2">
        <w:rPr>
          <w:rFonts w:ascii="Times New Roman" w:eastAsia="Times New Roman" w:hAnsi="Times New Roman" w:cs="Times New Roman"/>
          <w:color w:val="000000"/>
          <w:szCs w:val="24"/>
        </w:rPr>
        <w:t>овек</w:t>
      </w:r>
      <w:r w:rsidRPr="00731FE2">
        <w:rPr>
          <w:rFonts w:ascii="Times New Roman" w:eastAsia="Times New Roman" w:hAnsi="Times New Roman" w:cs="Times New Roman"/>
          <w:color w:val="000000"/>
          <w:szCs w:val="24"/>
        </w:rPr>
        <w:t>;</w:t>
      </w:r>
    </w:p>
    <w:p w14:paraId="2CE42345" w14:textId="77777777" w:rsidR="00171AA8" w:rsidRPr="00731FE2" w:rsidRDefault="007935AB" w:rsidP="007832E7">
      <w:pPr>
        <w:pStyle w:val="a3"/>
        <w:numPr>
          <w:ilvl w:val="0"/>
          <w:numId w:val="66"/>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автобусов (пассажировместимостью более 32 мест для сидения) 176 шт., с общей пассажировместимостью 7200 человек;</w:t>
      </w:r>
    </w:p>
    <w:p w14:paraId="4729CF5E" w14:textId="77777777" w:rsidR="00171AA8" w:rsidRPr="00731FE2" w:rsidRDefault="007935AB" w:rsidP="007832E7">
      <w:pPr>
        <w:pStyle w:val="a3"/>
        <w:numPr>
          <w:ilvl w:val="0"/>
          <w:numId w:val="66"/>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легковых индивидуальных автомобилей 18000 шт.</w:t>
      </w:r>
    </w:p>
    <w:p w14:paraId="2A051B4F"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Наиболее уязвимые участки путей сообщения для автомобильного и железнодорожного транспорта.</w:t>
      </w:r>
    </w:p>
    <w:p w14:paraId="20F572E1"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1. В городе насчитывается 2 железнодорожных переезда: на 61 км и 63 км железнодорожного участка: «Минеральные Воды – Кисловодск».</w:t>
      </w:r>
    </w:p>
    <w:p w14:paraId="0344D8AA"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 xml:space="preserve">2. Три моста через реку Подкумок: 1 – железнодорожный и 2 – автомобильных. </w:t>
      </w:r>
    </w:p>
    <w:p w14:paraId="0338AAB5"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Всего на автомобильных дорогах города-курорта имеется 11 железобетонных мостов. Их общая протяжённость составляет 0,65 км. Грузоподъёмность мостов от 10 до 60 т. На Кисловодской дистанции пути СКЖД имеется 1 железобетонный мост и 2 железных – 0,1 км, 2 ж/д переезда.</w:t>
      </w:r>
    </w:p>
    <w:p w14:paraId="2FF99708"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 xml:space="preserve">Аварии (катастрофы) на автомобильных дорогах, крупные автомобильные катастрофы возможны в любое время года суток, большей частью в ненастную погоду, </w:t>
      </w:r>
      <w:r w:rsidRPr="00731FE2">
        <w:rPr>
          <w:rFonts w:ascii="Times New Roman" w:eastAsia="Times New Roman" w:hAnsi="Times New Roman" w:cs="Times New Roman"/>
          <w:color w:val="000000"/>
          <w:szCs w:val="24"/>
        </w:rPr>
        <w:lastRenderedPageBreak/>
        <w:t xml:space="preserve">при сильном гололёде, в условиях ограниченной видимости, тумана, а также при нарушениях водителями транспортных средств правил дорожного движения. Наибольшую опасность представляют автомобили, предназначенные для перевозки опасных грузов. </w:t>
      </w:r>
    </w:p>
    <w:p w14:paraId="1523DE01"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Аварии транспорта на мостах и железнодорожных переездах возможны на всей территории. Аварии на мостах и переездах могут привести к человеческим жертвам, разрушению локомотивов, вагонов, железнодорожного полотна, нарушению железнодорожного сообщения, вызвать пожары, взрывы перевозимых грузов.</w:t>
      </w:r>
    </w:p>
    <w:p w14:paraId="1C087EDE"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 xml:space="preserve">Над территорией городского округа проходит 1 воздушная трасса «Минеральные Воды – Тбилиси». Авиакатастрофы возможны в аэропортах, населенных пунктах, на трассах авиации. Они характеризуются большими человеческими жертвами, сильными пожарами, разрушениями строений при катастрофах в районах компактного проживания людей. </w:t>
      </w:r>
    </w:p>
    <w:p w14:paraId="0CF7CE76"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Таким образом, высокий процент концентрации транспортных средств, развитая сеть автомобильных дорог, путей железнодорожного сообщения, наличие вертолетных площадок, способствуют выполнению мероприятий по защите населения и территорий от чрезвычайных ситуаций природного и техногенного характера.</w:t>
      </w:r>
    </w:p>
    <w:p w14:paraId="19B8471B"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 xml:space="preserve">В настоящее время потенциально опасных объектов города-курорта Кисловодска нет. </w:t>
      </w:r>
      <w:r w:rsidRPr="00731FE2">
        <w:rPr>
          <w:rFonts w:ascii="Times New Roman" w:eastAsia="Times New Roman" w:hAnsi="Times New Roman" w:cs="Times New Roman"/>
          <w:color w:val="000000"/>
        </w:rPr>
        <w:t>Радиационно-опасные объекты</w:t>
      </w:r>
      <w:r w:rsidRPr="00731FE2">
        <w:rPr>
          <w:rFonts w:ascii="Times New Roman" w:eastAsia="Times New Roman" w:hAnsi="Times New Roman" w:cs="Times New Roman"/>
          <w:color w:val="000000"/>
          <w:szCs w:val="24"/>
        </w:rPr>
        <w:t xml:space="preserve"> отсутствуют.</w:t>
      </w:r>
    </w:p>
    <w:p w14:paraId="4D8CA02A"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b/>
          <w:bCs/>
          <w:color w:val="000000"/>
          <w:szCs w:val="24"/>
        </w:rPr>
      </w:pPr>
      <w:r w:rsidRPr="00731FE2">
        <w:rPr>
          <w:rFonts w:ascii="Times New Roman" w:eastAsia="Times New Roman" w:hAnsi="Times New Roman" w:cs="Times New Roman"/>
          <w:b/>
          <w:bCs/>
          <w:color w:val="000000"/>
          <w:szCs w:val="24"/>
        </w:rPr>
        <w:t>Взрывоопасные объекты:</w:t>
      </w:r>
    </w:p>
    <w:p w14:paraId="26E93E6E" w14:textId="77777777" w:rsidR="00171AA8" w:rsidRPr="00731FE2" w:rsidRDefault="007935AB" w:rsidP="007832E7">
      <w:pPr>
        <w:pStyle w:val="a3"/>
        <w:numPr>
          <w:ilvl w:val="0"/>
          <w:numId w:val="89"/>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АЗС «Лукойл № 26088», 45-й км автотрассы Кисловодск - Минеральные Воды, 45 + 800 м;</w:t>
      </w:r>
    </w:p>
    <w:p w14:paraId="5D0CCD43" w14:textId="77777777" w:rsidR="00171AA8" w:rsidRPr="00731FE2" w:rsidRDefault="007935AB" w:rsidP="007832E7">
      <w:pPr>
        <w:pStyle w:val="a3"/>
        <w:numPr>
          <w:ilvl w:val="0"/>
          <w:numId w:val="89"/>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АЗС № 89, г. Кисловодск, ул. Промышленная, 1 «Б»;</w:t>
      </w:r>
    </w:p>
    <w:p w14:paraId="4F2B723C" w14:textId="77777777" w:rsidR="00171AA8" w:rsidRPr="00731FE2" w:rsidRDefault="007935AB" w:rsidP="007832E7">
      <w:pPr>
        <w:pStyle w:val="a3"/>
        <w:numPr>
          <w:ilvl w:val="0"/>
          <w:numId w:val="89"/>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АЗС № 125, г. Кисловодск, просп. Победы,8 «В»;</w:t>
      </w:r>
    </w:p>
    <w:p w14:paraId="50CA3B0B" w14:textId="77777777" w:rsidR="00171AA8" w:rsidRPr="00731FE2" w:rsidRDefault="007935AB" w:rsidP="007832E7">
      <w:pPr>
        <w:pStyle w:val="a3"/>
        <w:numPr>
          <w:ilvl w:val="0"/>
          <w:numId w:val="89"/>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АЗС № 126, г. Кисловодск, просп. Победы,151 «А»;</w:t>
      </w:r>
    </w:p>
    <w:p w14:paraId="7947E744" w14:textId="77777777" w:rsidR="00171AA8" w:rsidRPr="00731FE2" w:rsidRDefault="007935AB" w:rsidP="007832E7">
      <w:pPr>
        <w:pStyle w:val="a3"/>
        <w:numPr>
          <w:ilvl w:val="0"/>
          <w:numId w:val="89"/>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АЗС № 127, г. Кисловодск, п. Белореченский, ул. Кисловодская, 6 «А»;</w:t>
      </w:r>
    </w:p>
    <w:p w14:paraId="5680067A" w14:textId="77777777" w:rsidR="00171AA8" w:rsidRPr="00731FE2" w:rsidRDefault="007935AB" w:rsidP="007832E7">
      <w:pPr>
        <w:pStyle w:val="a3"/>
        <w:numPr>
          <w:ilvl w:val="0"/>
          <w:numId w:val="89"/>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АЗС № 106, г. Кисловодск, ул. Промышленная, 2 «Д»;</w:t>
      </w:r>
    </w:p>
    <w:p w14:paraId="08854A05" w14:textId="77777777" w:rsidR="00171AA8" w:rsidRPr="00731FE2" w:rsidRDefault="007935AB" w:rsidP="007832E7">
      <w:pPr>
        <w:pStyle w:val="a3"/>
        <w:numPr>
          <w:ilvl w:val="0"/>
          <w:numId w:val="89"/>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АЗС, г. Кисловодск, ул. Промышленная, 1 «А»;</w:t>
      </w:r>
    </w:p>
    <w:p w14:paraId="7C75512B" w14:textId="77777777" w:rsidR="00171AA8" w:rsidRPr="00731FE2" w:rsidRDefault="007935AB" w:rsidP="007832E7">
      <w:pPr>
        <w:pStyle w:val="a3"/>
        <w:numPr>
          <w:ilvl w:val="0"/>
          <w:numId w:val="89"/>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АЗС «Лукойл № 26396», г. Кисловодск, ул. Азербайджанская, 76 «А»;</w:t>
      </w:r>
    </w:p>
    <w:p w14:paraId="3BB7D708" w14:textId="77777777" w:rsidR="00171AA8" w:rsidRPr="00731FE2" w:rsidRDefault="007935AB" w:rsidP="007832E7">
      <w:pPr>
        <w:pStyle w:val="a3"/>
        <w:numPr>
          <w:ilvl w:val="0"/>
          <w:numId w:val="89"/>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АЗС «Фарса-ойл», г. Кисловодск, ул. Промышленная, 4 «А»;</w:t>
      </w:r>
    </w:p>
    <w:p w14:paraId="16C123DA" w14:textId="77777777" w:rsidR="00171AA8" w:rsidRPr="00731FE2" w:rsidRDefault="007935AB" w:rsidP="007832E7">
      <w:pPr>
        <w:pStyle w:val="a3"/>
        <w:numPr>
          <w:ilvl w:val="0"/>
          <w:numId w:val="89"/>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АЗС, г. Кисловодск, ул. Седлогорская, 157 «А»;</w:t>
      </w:r>
    </w:p>
    <w:p w14:paraId="0A8922C9" w14:textId="77777777" w:rsidR="00171AA8" w:rsidRPr="00731FE2" w:rsidRDefault="007935AB" w:rsidP="007832E7">
      <w:pPr>
        <w:pStyle w:val="a3"/>
        <w:numPr>
          <w:ilvl w:val="0"/>
          <w:numId w:val="89"/>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АГКНС-1, г. Кисловодск, ул. Промышленная, 21 «Ж»;</w:t>
      </w:r>
    </w:p>
    <w:p w14:paraId="4A084286" w14:textId="77777777" w:rsidR="00171AA8" w:rsidRPr="00731FE2" w:rsidRDefault="007935AB" w:rsidP="007832E7">
      <w:pPr>
        <w:pStyle w:val="a3"/>
        <w:numPr>
          <w:ilvl w:val="0"/>
          <w:numId w:val="89"/>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ГНС-Росгаз, г. Кисловодск, ул. Фоменко, 135;</w:t>
      </w:r>
    </w:p>
    <w:p w14:paraId="39ECEFCA" w14:textId="77777777" w:rsidR="00171AA8" w:rsidRPr="00731FE2" w:rsidRDefault="007935AB" w:rsidP="007832E7">
      <w:pPr>
        <w:pStyle w:val="a3"/>
        <w:numPr>
          <w:ilvl w:val="0"/>
          <w:numId w:val="89"/>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АЗС «Радуга», г. Кисловодск, ул. Седлогорская/Фоменко, 2/4.</w:t>
      </w:r>
    </w:p>
    <w:p w14:paraId="51B7DB71"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b/>
          <w:bCs/>
          <w:color w:val="000000"/>
          <w:szCs w:val="24"/>
        </w:rPr>
      </w:pPr>
      <w:r w:rsidRPr="00731FE2">
        <w:rPr>
          <w:rFonts w:ascii="Times New Roman" w:eastAsia="Times New Roman" w:hAnsi="Times New Roman" w:cs="Times New Roman"/>
          <w:b/>
          <w:bCs/>
          <w:color w:val="000000"/>
          <w:szCs w:val="24"/>
        </w:rPr>
        <w:t>Пожароопасные объекты:</w:t>
      </w:r>
    </w:p>
    <w:p w14:paraId="156A6DB2"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1. Мазутохранилище Кисловодской ТЭЦ, г. Кисловодск, ул.</w:t>
      </w:r>
    </w:p>
    <w:p w14:paraId="2EFF11DE"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Тюленева, 18.</w:t>
      </w:r>
    </w:p>
    <w:p w14:paraId="0A5D4113"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 xml:space="preserve">На территории города-курорта пожаровзрывоопасными объектами являются также газопроводы. Потенциальную опасность возникновения чрезвычайных ситуаций представляют 5 пунктов пересечения газопроводов с железной дорогой. На 4 участках газопровод находится под угрозой оползнеобразования. Три участка газопровода находятся в зоне возможного затопления. </w:t>
      </w:r>
    </w:p>
    <w:p w14:paraId="36963E0F"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 xml:space="preserve">На территории города-курорта </w:t>
      </w:r>
      <w:r w:rsidRPr="00731FE2">
        <w:rPr>
          <w:rFonts w:ascii="Times New Roman" w:eastAsia="Times New Roman" w:hAnsi="Times New Roman" w:cs="Times New Roman"/>
          <w:b/>
          <w:bCs/>
          <w:color w:val="000000"/>
          <w:szCs w:val="24"/>
        </w:rPr>
        <w:t>имеется 2 химически опасных объекта</w:t>
      </w:r>
      <w:r w:rsidRPr="00731FE2">
        <w:rPr>
          <w:rFonts w:ascii="Times New Roman" w:eastAsia="Times New Roman" w:hAnsi="Times New Roman" w:cs="Times New Roman"/>
          <w:color w:val="000000"/>
          <w:szCs w:val="24"/>
        </w:rPr>
        <w:t>, отнесённых к IV степени химической опасности, использующих в производстве и имеющих на хранении аварийно-химически опасные вещества.</w:t>
      </w:r>
    </w:p>
    <w:p w14:paraId="3CD79C37"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lastRenderedPageBreak/>
        <w:t>На двух объектах ФГУП СК «Ставрополькрайводоканал» - Предгорный «Межрайводоканал» ПТП Кисловодское используются в производстве аварийно химически опасное вещество (далее - АХОВ) - хлор. Глубина зоны распространения заражённого воздуха будет зависеть от количества и концентрации АХОВ, метеорологических условий, общая площадь зон химического заражения может достигнуть 0,6 кв. км.</w:t>
      </w:r>
    </w:p>
    <w:p w14:paraId="3690D0DC" w14:textId="77777777" w:rsidR="00171AA8" w:rsidRPr="00731FE2" w:rsidRDefault="00171AA8">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p>
    <w:p w14:paraId="6CA94A75" w14:textId="77777777" w:rsidR="00171AA8" w:rsidRPr="00731FE2" w:rsidRDefault="007935AB" w:rsidP="00D77F5C">
      <w:pPr>
        <w:pBdr>
          <w:top w:val="none" w:sz="4" w:space="0" w:color="000000"/>
          <w:left w:val="none" w:sz="4" w:space="0" w:color="000000"/>
          <w:bottom w:val="none" w:sz="4" w:space="0" w:color="000000"/>
          <w:right w:val="none" w:sz="4" w:space="0" w:color="000000"/>
        </w:pBdr>
        <w:spacing w:line="240" w:lineRule="auto"/>
        <w:ind w:firstLine="0"/>
        <w:rPr>
          <w:rFonts w:ascii="Times New Roman" w:eastAsia="Times New Roman" w:hAnsi="Times New Roman" w:cs="Times New Roman"/>
          <w:b/>
          <w:bCs/>
          <w:color w:val="000000"/>
          <w:szCs w:val="24"/>
        </w:rPr>
      </w:pPr>
      <w:r w:rsidRPr="00731FE2">
        <w:rPr>
          <w:rFonts w:ascii="Times New Roman" w:eastAsia="Times New Roman" w:hAnsi="Times New Roman" w:cs="Times New Roman"/>
          <w:b/>
          <w:bCs/>
          <w:color w:val="000000"/>
          <w:szCs w:val="24"/>
        </w:rPr>
        <w:t xml:space="preserve">Таблица </w:t>
      </w:r>
      <w:r w:rsidRPr="00731FE2">
        <w:rPr>
          <w:rFonts w:ascii="Times New Roman" w:eastAsia="Times New Roman" w:hAnsi="Times New Roman" w:cs="Times New Roman"/>
          <w:b/>
          <w:bCs/>
          <w:color w:val="000000"/>
          <w:szCs w:val="24"/>
        </w:rPr>
        <w:fldChar w:fldCharType="begin"/>
      </w:r>
      <w:r w:rsidRPr="00731FE2">
        <w:rPr>
          <w:rFonts w:ascii="Times New Roman" w:eastAsia="Times New Roman" w:hAnsi="Times New Roman" w:cs="Times New Roman"/>
          <w:b/>
          <w:bCs/>
          <w:color w:val="000000"/>
          <w:szCs w:val="24"/>
        </w:rPr>
        <w:instrText xml:space="preserve"> SEQ Таблица \* Arabic </w:instrText>
      </w:r>
      <w:r w:rsidRPr="00731FE2">
        <w:rPr>
          <w:rFonts w:ascii="Times New Roman" w:eastAsia="Times New Roman" w:hAnsi="Times New Roman" w:cs="Times New Roman"/>
          <w:b/>
          <w:bCs/>
          <w:color w:val="000000"/>
          <w:szCs w:val="24"/>
        </w:rPr>
        <w:fldChar w:fldCharType="separate"/>
      </w:r>
      <w:r w:rsidR="00C50915" w:rsidRPr="00731FE2">
        <w:rPr>
          <w:rFonts w:ascii="Times New Roman" w:eastAsia="Times New Roman" w:hAnsi="Times New Roman" w:cs="Times New Roman"/>
          <w:b/>
          <w:bCs/>
          <w:noProof/>
          <w:color w:val="000000"/>
          <w:szCs w:val="24"/>
        </w:rPr>
        <w:t>96</w:t>
      </w:r>
      <w:r w:rsidRPr="00731FE2">
        <w:rPr>
          <w:rFonts w:ascii="Times New Roman" w:eastAsia="Times New Roman" w:hAnsi="Times New Roman" w:cs="Times New Roman"/>
          <w:b/>
          <w:bCs/>
          <w:color w:val="000000"/>
          <w:szCs w:val="24"/>
        </w:rPr>
        <w:fldChar w:fldCharType="end"/>
      </w:r>
      <w:r w:rsidRPr="00731FE2">
        <w:rPr>
          <w:rFonts w:ascii="Times New Roman" w:eastAsia="Times New Roman" w:hAnsi="Times New Roman" w:cs="Times New Roman"/>
          <w:b/>
          <w:bCs/>
          <w:color w:val="000000"/>
          <w:szCs w:val="24"/>
        </w:rPr>
        <w:t xml:space="preserve"> – Перечень химически опасных объектов, расположенных на территории города-курорта Кисловодска</w:t>
      </w:r>
    </w:p>
    <w:tbl>
      <w:tblPr>
        <w:tblStyle w:val="afe"/>
        <w:tblW w:w="0" w:type="auto"/>
        <w:tblLook w:val="04A0" w:firstRow="1" w:lastRow="0" w:firstColumn="1" w:lastColumn="0" w:noHBand="0" w:noVBand="1"/>
      </w:tblPr>
      <w:tblGrid>
        <w:gridCol w:w="1991"/>
        <w:gridCol w:w="1991"/>
        <w:gridCol w:w="1860"/>
        <w:gridCol w:w="1865"/>
        <w:gridCol w:w="1864"/>
      </w:tblGrid>
      <w:tr w:rsidR="00171AA8" w:rsidRPr="00731FE2" w14:paraId="73161F45" w14:textId="77777777">
        <w:tc>
          <w:tcPr>
            <w:tcW w:w="1871" w:type="dxa"/>
          </w:tcPr>
          <w:p w14:paraId="359A4FBC"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b/>
                <w:bCs/>
                <w:color w:val="000000"/>
                <w:sz w:val="22"/>
              </w:rPr>
            </w:pPr>
            <w:r w:rsidRPr="00731FE2">
              <w:rPr>
                <w:rFonts w:ascii="Times New Roman" w:eastAsia="Times New Roman" w:hAnsi="Times New Roman" w:cs="Times New Roman"/>
                <w:b/>
                <w:bCs/>
                <w:color w:val="000000"/>
                <w:sz w:val="22"/>
              </w:rPr>
              <w:t>Наименование объекта, попадающего в зону возможной (прогнозируемой) ЧС</w:t>
            </w:r>
          </w:p>
        </w:tc>
        <w:tc>
          <w:tcPr>
            <w:tcW w:w="1871" w:type="dxa"/>
          </w:tcPr>
          <w:p w14:paraId="7BF1A20E"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b/>
                <w:bCs/>
                <w:color w:val="000000"/>
                <w:sz w:val="22"/>
              </w:rPr>
            </w:pPr>
            <w:r w:rsidRPr="00731FE2">
              <w:rPr>
                <w:rFonts w:ascii="Times New Roman" w:eastAsia="Times New Roman" w:hAnsi="Times New Roman" w:cs="Times New Roman"/>
                <w:b/>
                <w:bCs/>
                <w:color w:val="000000"/>
                <w:sz w:val="22"/>
              </w:rPr>
              <w:t>Количество населения, попадающего в зону возможной (прогнозируемой) ЧС (тыс. чел.)</w:t>
            </w:r>
          </w:p>
        </w:tc>
        <w:tc>
          <w:tcPr>
            <w:tcW w:w="1871" w:type="dxa"/>
          </w:tcPr>
          <w:p w14:paraId="7FE2ED37"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b/>
                <w:bCs/>
                <w:color w:val="000000"/>
                <w:sz w:val="22"/>
              </w:rPr>
            </w:pPr>
            <w:r w:rsidRPr="00731FE2">
              <w:rPr>
                <w:rFonts w:ascii="Times New Roman" w:eastAsia="Times New Roman" w:hAnsi="Times New Roman" w:cs="Times New Roman"/>
                <w:b/>
                <w:bCs/>
                <w:color w:val="000000"/>
                <w:sz w:val="22"/>
              </w:rPr>
              <w:t>Объем хранени я АХОВ (т)</w:t>
            </w:r>
          </w:p>
        </w:tc>
        <w:tc>
          <w:tcPr>
            <w:tcW w:w="1871" w:type="dxa"/>
          </w:tcPr>
          <w:p w14:paraId="3FB35A2E"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b/>
                <w:bCs/>
                <w:color w:val="000000"/>
                <w:sz w:val="22"/>
              </w:rPr>
            </w:pPr>
            <w:r w:rsidRPr="00731FE2">
              <w:rPr>
                <w:rFonts w:ascii="Times New Roman" w:eastAsia="Times New Roman" w:hAnsi="Times New Roman" w:cs="Times New Roman"/>
                <w:b/>
                <w:bCs/>
                <w:color w:val="000000"/>
                <w:sz w:val="22"/>
              </w:rPr>
              <w:t>Площадь зоны действия поражающи х факторов (кв. км)</w:t>
            </w:r>
          </w:p>
        </w:tc>
        <w:tc>
          <w:tcPr>
            <w:tcW w:w="1871" w:type="dxa"/>
          </w:tcPr>
          <w:p w14:paraId="5E9772A5" w14:textId="77777777" w:rsidR="00171AA8" w:rsidRPr="00731FE2" w:rsidRDefault="007B214F">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b/>
                <w:bCs/>
                <w:color w:val="000000"/>
                <w:sz w:val="22"/>
              </w:rPr>
            </w:pPr>
            <w:r w:rsidRPr="00731FE2">
              <w:rPr>
                <w:rFonts w:ascii="Times New Roman" w:eastAsia="Times New Roman" w:hAnsi="Times New Roman" w:cs="Times New Roman"/>
                <w:b/>
                <w:bCs/>
                <w:color w:val="000000"/>
                <w:sz w:val="22"/>
              </w:rPr>
              <w:t>Расстояни</w:t>
            </w:r>
            <w:r w:rsidR="007935AB" w:rsidRPr="00731FE2">
              <w:rPr>
                <w:rFonts w:ascii="Times New Roman" w:eastAsia="Times New Roman" w:hAnsi="Times New Roman" w:cs="Times New Roman"/>
                <w:b/>
                <w:bCs/>
                <w:color w:val="000000"/>
                <w:sz w:val="22"/>
              </w:rPr>
              <w:t>е до центра города (км)</w:t>
            </w:r>
          </w:p>
        </w:tc>
      </w:tr>
      <w:tr w:rsidR="00171AA8" w:rsidRPr="00731FE2" w14:paraId="6FEFAD2F" w14:textId="77777777">
        <w:tc>
          <w:tcPr>
            <w:tcW w:w="1871" w:type="dxa"/>
          </w:tcPr>
          <w:p w14:paraId="32BA9985"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b/>
                <w:bCs/>
                <w:color w:val="000000"/>
                <w:sz w:val="22"/>
              </w:rPr>
            </w:pPr>
            <w:r w:rsidRPr="00731FE2">
              <w:rPr>
                <w:rFonts w:ascii="Times New Roman" w:eastAsia="Times New Roman" w:hAnsi="Times New Roman" w:cs="Times New Roman"/>
                <w:color w:val="000000"/>
                <w:sz w:val="22"/>
              </w:rPr>
              <w:t>Участок подготовки воды на площадке резервуаров «Зеленогорские» (северо-западная окраина города), жилой сектор</w:t>
            </w:r>
          </w:p>
        </w:tc>
        <w:tc>
          <w:tcPr>
            <w:tcW w:w="1871" w:type="dxa"/>
          </w:tcPr>
          <w:p w14:paraId="3BA05C1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2"/>
              </w:rPr>
            </w:pPr>
            <w:r w:rsidRPr="00731FE2">
              <w:rPr>
                <w:rFonts w:ascii="Times New Roman" w:eastAsia="Times New Roman" w:hAnsi="Times New Roman" w:cs="Times New Roman"/>
                <w:color w:val="000000"/>
                <w:sz w:val="22"/>
              </w:rPr>
              <w:t>до 1,3</w:t>
            </w:r>
          </w:p>
        </w:tc>
        <w:tc>
          <w:tcPr>
            <w:tcW w:w="1871" w:type="dxa"/>
          </w:tcPr>
          <w:p w14:paraId="11FA5B0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sz w:val="22"/>
              </w:rPr>
            </w:pPr>
            <w:r w:rsidRPr="00731FE2">
              <w:rPr>
                <w:rFonts w:ascii="Times New Roman" w:eastAsia="Times New Roman" w:hAnsi="Times New Roman" w:cs="Times New Roman"/>
                <w:color w:val="000000"/>
                <w:sz w:val="22"/>
              </w:rPr>
              <w:t>0,05</w:t>
            </w:r>
          </w:p>
        </w:tc>
        <w:tc>
          <w:tcPr>
            <w:tcW w:w="1871" w:type="dxa"/>
          </w:tcPr>
          <w:p w14:paraId="4C826ECF" w14:textId="77777777" w:rsidR="00171AA8" w:rsidRPr="00731FE2" w:rsidRDefault="007935AB">
            <w:pPr>
              <w:pBdr>
                <w:top w:val="none" w:sz="4" w:space="0" w:color="000000"/>
                <w:left w:val="none" w:sz="4" w:space="0" w:color="000000"/>
                <w:bottom w:val="none" w:sz="4" w:space="0" w:color="000000"/>
                <w:right w:val="none" w:sz="4" w:space="0" w:color="000000"/>
              </w:pBdr>
              <w:spacing w:line="65" w:lineRule="atLeast"/>
              <w:ind w:firstLine="0"/>
              <w:jc w:val="center"/>
              <w:rPr>
                <w:sz w:val="22"/>
              </w:rPr>
            </w:pPr>
            <w:r w:rsidRPr="00731FE2">
              <w:rPr>
                <w:rFonts w:ascii="Times New Roman" w:eastAsia="Times New Roman" w:hAnsi="Times New Roman" w:cs="Times New Roman"/>
                <w:color w:val="000000"/>
                <w:sz w:val="22"/>
              </w:rPr>
              <w:t>0,3</w:t>
            </w:r>
          </w:p>
        </w:tc>
        <w:tc>
          <w:tcPr>
            <w:tcW w:w="1871" w:type="dxa"/>
          </w:tcPr>
          <w:p w14:paraId="42E1EA8B" w14:textId="77777777" w:rsidR="00171AA8" w:rsidRPr="00731FE2" w:rsidRDefault="007935AB">
            <w:pPr>
              <w:pBdr>
                <w:top w:val="none" w:sz="4" w:space="0" w:color="000000"/>
                <w:left w:val="none" w:sz="4" w:space="0" w:color="000000"/>
                <w:bottom w:val="none" w:sz="4" w:space="0" w:color="000000"/>
                <w:right w:val="none" w:sz="4" w:space="0" w:color="000000"/>
              </w:pBdr>
              <w:spacing w:line="65" w:lineRule="atLeast"/>
              <w:ind w:firstLine="0"/>
              <w:jc w:val="center"/>
              <w:rPr>
                <w:sz w:val="22"/>
              </w:rPr>
            </w:pPr>
            <w:r w:rsidRPr="00731FE2">
              <w:rPr>
                <w:rFonts w:ascii="Times New Roman" w:eastAsia="Times New Roman" w:hAnsi="Times New Roman" w:cs="Times New Roman"/>
                <w:color w:val="000000"/>
                <w:sz w:val="22"/>
              </w:rPr>
              <w:t>4,6</w:t>
            </w:r>
          </w:p>
        </w:tc>
      </w:tr>
      <w:tr w:rsidR="00171AA8" w:rsidRPr="00731FE2" w14:paraId="4CC79A28" w14:textId="77777777">
        <w:tc>
          <w:tcPr>
            <w:tcW w:w="1871" w:type="dxa"/>
          </w:tcPr>
          <w:p w14:paraId="58D3EA58"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Участок подготовки воды на площадке резервуаров «Лермонтовские» (южная окраина города), жилой сектор</w:t>
            </w:r>
          </w:p>
        </w:tc>
        <w:tc>
          <w:tcPr>
            <w:tcW w:w="1871" w:type="dxa"/>
          </w:tcPr>
          <w:p w14:paraId="54D21EF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до 0,4</w:t>
            </w:r>
          </w:p>
        </w:tc>
        <w:tc>
          <w:tcPr>
            <w:tcW w:w="1871" w:type="dxa"/>
          </w:tcPr>
          <w:p w14:paraId="1BFBB4C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0,05</w:t>
            </w:r>
          </w:p>
        </w:tc>
        <w:tc>
          <w:tcPr>
            <w:tcW w:w="1871" w:type="dxa"/>
          </w:tcPr>
          <w:p w14:paraId="2252896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0,3</w:t>
            </w:r>
          </w:p>
        </w:tc>
        <w:tc>
          <w:tcPr>
            <w:tcW w:w="1871" w:type="dxa"/>
          </w:tcPr>
          <w:p w14:paraId="536E628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eastAsia="Times New Roman" w:hAnsi="Times New Roman" w:cs="Times New Roman"/>
                <w:color w:val="000000"/>
                <w:sz w:val="22"/>
              </w:rPr>
            </w:pPr>
            <w:r w:rsidRPr="00731FE2">
              <w:rPr>
                <w:rFonts w:ascii="Times New Roman" w:eastAsia="Times New Roman" w:hAnsi="Times New Roman" w:cs="Times New Roman"/>
                <w:color w:val="000000"/>
                <w:sz w:val="22"/>
              </w:rPr>
              <w:t>5</w:t>
            </w:r>
          </w:p>
        </w:tc>
      </w:tr>
    </w:tbl>
    <w:p w14:paraId="2071CFB1" w14:textId="77777777" w:rsidR="00171AA8" w:rsidRPr="00731FE2" w:rsidRDefault="00171AA8">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b/>
          <w:bCs/>
          <w:color w:val="000000"/>
          <w:szCs w:val="24"/>
        </w:rPr>
      </w:pPr>
    </w:p>
    <w:p w14:paraId="49398700"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Глубина зоны распространения заражённого воздуха будет зависеть от количества и концентрации АХОВ, его физических свойств, метеорологических условий, а потери населения, кроме того, и от своевременности оповещения об аварии, знания населением порядка поведения при авариях с АХОВ и обеспеченности средствами защиты.</w:t>
      </w:r>
    </w:p>
    <w:p w14:paraId="3EFCF2B3"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Аварии с выбросом и угрозой выброса опасных биологических веществ. Обнаружение биологических веществ возможно на всей территории города-курорта в случаях их утраты при транспортировке, хищении или использовании при ЧС военного характера.</w:t>
      </w:r>
    </w:p>
    <w:p w14:paraId="08F7A5DB"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Аварии в электроэнергетических системах. На территории города-курорта расположена одна крупная ТЭЦ (Филиал «Ставропольская генерация» ОАО «ЮГК ТГК–8») общей мощностью 0,3 млн. кВт. При возникновении аварийной ситуации на Филиале «Ставропольская генерация» ОАО «ЮГК ТГК–8» и других объектах задействуются необходимое количество аварийно-спасательных формирований и ремонтно-восстановительных бригад. Всего подстанций 4.</w:t>
      </w:r>
    </w:p>
    <w:p w14:paraId="1FA27A75"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Нарушение энергоснабжения городского округа, жилых кварталов или отдельных объектов экономики, жизнедеятельности населения возможны при возникновении ЧС природного характера:</w:t>
      </w:r>
    </w:p>
    <w:p w14:paraId="3740A150" w14:textId="77777777" w:rsidR="00171AA8" w:rsidRPr="00731FE2" w:rsidRDefault="007935AB" w:rsidP="007832E7">
      <w:pPr>
        <w:pStyle w:val="a3"/>
        <w:numPr>
          <w:ilvl w:val="0"/>
          <w:numId w:val="90"/>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при землетрясениях;</w:t>
      </w:r>
    </w:p>
    <w:p w14:paraId="4579467D" w14:textId="77777777" w:rsidR="00171AA8" w:rsidRPr="00731FE2" w:rsidRDefault="007935AB" w:rsidP="007832E7">
      <w:pPr>
        <w:pStyle w:val="a3"/>
        <w:numPr>
          <w:ilvl w:val="0"/>
          <w:numId w:val="90"/>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lastRenderedPageBreak/>
        <w:t>при сильном гололёде и налипании снега на проводах;</w:t>
      </w:r>
    </w:p>
    <w:p w14:paraId="58920DBD" w14:textId="77777777" w:rsidR="00171AA8" w:rsidRPr="00731FE2" w:rsidRDefault="007935AB" w:rsidP="007832E7">
      <w:pPr>
        <w:pStyle w:val="a3"/>
        <w:numPr>
          <w:ilvl w:val="0"/>
          <w:numId w:val="90"/>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при активизации оползневых процессов;</w:t>
      </w:r>
    </w:p>
    <w:p w14:paraId="7625EDD0" w14:textId="77777777" w:rsidR="00171AA8" w:rsidRPr="00731FE2" w:rsidRDefault="007935AB" w:rsidP="007832E7">
      <w:pPr>
        <w:pStyle w:val="a3"/>
        <w:numPr>
          <w:ilvl w:val="0"/>
          <w:numId w:val="90"/>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при затоплении;</w:t>
      </w:r>
    </w:p>
    <w:p w14:paraId="282142D2" w14:textId="77777777" w:rsidR="00171AA8" w:rsidRPr="00731FE2" w:rsidRDefault="007935AB" w:rsidP="007832E7">
      <w:pPr>
        <w:pStyle w:val="a3"/>
        <w:numPr>
          <w:ilvl w:val="0"/>
          <w:numId w:val="90"/>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при бурях и ураганах.</w:t>
      </w:r>
    </w:p>
    <w:p w14:paraId="1F0D2851"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На подстанциях и ЛЭП возможны диверсионные действия и террористические акты.</w:t>
      </w:r>
    </w:p>
    <w:p w14:paraId="56D05D7A"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Аварии на коммунальных системах жизнеобеспечения. На территории города-курорта существует риск возникновения ЧС, обусловленных авариями на канализационных системах с выбросом загрязняющих веществ, системах снабжения населения питьевой водой, коммунальных газопроводах. В городе возможны террористические акты на объектах систем снабжения населения водой.</w:t>
      </w:r>
    </w:p>
    <w:p w14:paraId="129EF80D"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 xml:space="preserve">Чрезвычайные ситуации на водных объектах. На территории города-курорта находятся два искусственных водоёма. Чрезвычайные ситуации на водных бассейнах наиболее вероятны в летнее время, в местах отдыха людей во время купального сезона и в течение года во время открытия охотничьего сезона и рыбной ловли. </w:t>
      </w:r>
    </w:p>
    <w:p w14:paraId="779EBF52"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 xml:space="preserve">Внезапное обрушение зданий и сооружений. Обрушение зданий, сооружений, транспортных коммуникаций возможно в результате нарушений установленных норм при строительстве и реконструкции зданий, сооружений и элементов транспортных коммуникаций на всей территории города-курорта. </w:t>
      </w:r>
    </w:p>
    <w:p w14:paraId="201E9A43"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Обрушения зданий способны привести к значительным потерям среди населения, потерям материальных ценностей, созданию завалов и ограничениям в движении автотранспорта в зоне аварии.</w:t>
      </w:r>
    </w:p>
    <w:p w14:paraId="5110BE5A"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Обрушения сооружений потенциально опасных объектов экономики могут вызвать выброс (создать угрозу выброса) АХОВ.</w:t>
      </w:r>
    </w:p>
    <w:p w14:paraId="0A635D83"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В наибольшей степени террористическим актам подвержены объекты компактного пребывания людей (стадионы, вокзалы, средства пассажирского транспорта, жилые многоэтажные дома, центральный городской рынок и т.п.)</w:t>
      </w:r>
    </w:p>
    <w:p w14:paraId="210723C3"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 xml:space="preserve">Наряду </w:t>
      </w:r>
      <w:r w:rsidR="00D77F5C" w:rsidRPr="00731FE2">
        <w:rPr>
          <w:rFonts w:ascii="Times New Roman" w:eastAsia="Times New Roman" w:hAnsi="Times New Roman" w:cs="Times New Roman"/>
          <w:color w:val="000000"/>
        </w:rPr>
        <w:t>с этими объектами</w:t>
      </w:r>
      <w:r w:rsidRPr="00731FE2">
        <w:rPr>
          <w:rFonts w:ascii="Times New Roman" w:eastAsia="Times New Roman" w:hAnsi="Times New Roman" w:cs="Times New Roman"/>
          <w:color w:val="000000"/>
        </w:rPr>
        <w:t xml:space="preserve"> терроризма могут быть объекты экономики повышенной опасности и объекты коммунального хозяйства, на которых повреждения технологического оборудования приводят к возникновению вторичных поражающих факторов, значительно превышающих по своим масштабам и тяжести последствий поражающие факторы, являющие следствием первичного воздействия на объект. </w:t>
      </w:r>
    </w:p>
    <w:p w14:paraId="29F3BA05" w14:textId="77777777" w:rsidR="00171AA8" w:rsidRPr="00731FE2" w:rsidRDefault="007935AB">
      <w:pPr>
        <w:pStyle w:val="33"/>
        <w:rPr>
          <w:rFonts w:ascii="Times New Roman" w:hAnsi="Times New Roman" w:cs="Times New Roman"/>
        </w:rPr>
      </w:pPr>
      <w:bookmarkStart w:id="100" w:name="_Toc177392850"/>
      <w:r w:rsidRPr="00731FE2">
        <w:rPr>
          <w:rFonts w:ascii="Times New Roman" w:hAnsi="Times New Roman" w:cs="Times New Roman"/>
        </w:rPr>
        <w:t>3.12.3 Мероприятия по смягчению и предотвращению чрезвычайных ситуаций на территории городского округа города-курорта Кисловодска</w:t>
      </w:r>
      <w:bookmarkEnd w:id="100"/>
    </w:p>
    <w:p w14:paraId="063424EA"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Мероприятия по смягчению и предотвращению ситуаций на рассматриваемой территории выполняются в соответствии с федеральным законом от 21 декабря 1994 г. № 68-ФЗ «О защите населения и территорий от чрезвычайных ситуаций природного и техногенного характера», цели и задачи которого определяют:</w:t>
      </w:r>
    </w:p>
    <w:p w14:paraId="1978E958" w14:textId="77777777" w:rsidR="00171AA8" w:rsidRPr="00731FE2" w:rsidRDefault="007935AB" w:rsidP="007832E7">
      <w:pPr>
        <w:pStyle w:val="a3"/>
        <w:numPr>
          <w:ilvl w:val="0"/>
          <w:numId w:val="67"/>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предупреждение возникновения и развития чрезвычайных ситуаций;</w:t>
      </w:r>
    </w:p>
    <w:p w14:paraId="4E9CA19F" w14:textId="77777777" w:rsidR="00171AA8" w:rsidRPr="00731FE2" w:rsidRDefault="007935AB" w:rsidP="007832E7">
      <w:pPr>
        <w:pStyle w:val="a3"/>
        <w:numPr>
          <w:ilvl w:val="0"/>
          <w:numId w:val="67"/>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снижение размеров ущерба и потерь от чрезвычайных ситуаций;</w:t>
      </w:r>
    </w:p>
    <w:p w14:paraId="69F123A1" w14:textId="77777777" w:rsidR="00171AA8" w:rsidRPr="00731FE2" w:rsidRDefault="007935AB" w:rsidP="007832E7">
      <w:pPr>
        <w:pStyle w:val="a3"/>
        <w:numPr>
          <w:ilvl w:val="0"/>
          <w:numId w:val="67"/>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ликвидацию чрезвычайных ситуаций;</w:t>
      </w:r>
    </w:p>
    <w:p w14:paraId="62F0D3A5" w14:textId="77777777" w:rsidR="00171AA8" w:rsidRPr="00731FE2" w:rsidRDefault="007935AB" w:rsidP="007832E7">
      <w:pPr>
        <w:pStyle w:val="a3"/>
        <w:numPr>
          <w:ilvl w:val="0"/>
          <w:numId w:val="67"/>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разграничение полномочий в области защиты населения и территорий от чрезвычайных ситуаций между федеральными органами исполнительной власти, органами исполнительной власти субъектов Российской Федерации, органами местного самоуправления и организациями.</w:t>
      </w:r>
    </w:p>
    <w:p w14:paraId="4BF439F5"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lastRenderedPageBreak/>
        <w:t>Основным видом оповещения в городе-куро</w:t>
      </w:r>
      <w:r w:rsidR="007B214F" w:rsidRPr="00731FE2">
        <w:rPr>
          <w:rFonts w:ascii="Times New Roman" w:eastAsia="Times New Roman" w:hAnsi="Times New Roman" w:cs="Times New Roman"/>
          <w:color w:val="000000"/>
          <w:szCs w:val="24"/>
        </w:rPr>
        <w:t>р</w:t>
      </w:r>
      <w:r w:rsidRPr="00731FE2">
        <w:rPr>
          <w:rFonts w:ascii="Times New Roman" w:eastAsia="Times New Roman" w:hAnsi="Times New Roman" w:cs="Times New Roman"/>
          <w:color w:val="000000"/>
          <w:szCs w:val="24"/>
        </w:rPr>
        <w:t>те является система централизованного оповещения населения, позволяющая доводить сигналы и распоряжения до органов управления организаций (объектов) города. Оповещение населения на территории города-курорта осуществляется через радиотрансляционную сеть и электросиренами.</w:t>
      </w:r>
    </w:p>
    <w:p w14:paraId="73603DBF"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Для сокращения сроков получения информации на пункт управления города-курорта установлена аппаратура оповещения, включённая в систему централизованного оповещения Южного Регионального Центра МЧС РФ, сопряжённую с системой оповещения МЧС России.</w:t>
      </w:r>
    </w:p>
    <w:p w14:paraId="4E2DCF1B"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b/>
          <w:bCs/>
          <w:color w:val="000000"/>
        </w:rPr>
        <w:t>Мероприятия по предупреждению возможных чрезвычайных ситуаций (далее - ЧС), связанных с прохождением комплекса неблагоприятных метеорологических явлений на территории города-курорта Кисловодска:</w:t>
      </w:r>
    </w:p>
    <w:p w14:paraId="4E6F2F6D" w14:textId="77777777" w:rsidR="00171AA8" w:rsidRPr="00731FE2" w:rsidRDefault="007935AB" w:rsidP="007832E7">
      <w:pPr>
        <w:pStyle w:val="a3"/>
        <w:numPr>
          <w:ilvl w:val="0"/>
          <w:numId w:val="97"/>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оповещение и информирование населения о порядке действий в зоне возможных ЧС, связанных с прохождением комплекса неблагоприятных метеорологических явлений на территории города-курорта Кисловодска;</w:t>
      </w:r>
    </w:p>
    <w:p w14:paraId="1A7B42AA" w14:textId="77777777" w:rsidR="00171AA8" w:rsidRPr="00731FE2" w:rsidRDefault="007935AB" w:rsidP="007832E7">
      <w:pPr>
        <w:pStyle w:val="a3"/>
        <w:numPr>
          <w:ilvl w:val="0"/>
          <w:numId w:val="97"/>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ввод в действие плана действий по предупреждению и ликвидации ЧС природного и техногенного характера;</w:t>
      </w:r>
    </w:p>
    <w:p w14:paraId="05B933FA" w14:textId="77777777" w:rsidR="00171AA8" w:rsidRPr="00731FE2" w:rsidRDefault="007935AB" w:rsidP="007832E7">
      <w:pPr>
        <w:pStyle w:val="a3"/>
        <w:numPr>
          <w:ilvl w:val="0"/>
          <w:numId w:val="97"/>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выезд состава оперативной группы администрации города-курорта Кисловодска на место ЧС;</w:t>
      </w:r>
    </w:p>
    <w:p w14:paraId="2D0BA47C" w14:textId="77777777" w:rsidR="00171AA8" w:rsidRPr="00731FE2" w:rsidRDefault="007935AB" w:rsidP="007832E7">
      <w:pPr>
        <w:pStyle w:val="a3"/>
        <w:numPr>
          <w:ilvl w:val="0"/>
          <w:numId w:val="97"/>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организация работы оперативного штаба ликвидации ЧС и привидение в готовность подвижного пункта управления председателя городской комиссия по ЧС (при необходимости - в случае привлечения дополнительных формирований Ставропольского края);</w:t>
      </w:r>
    </w:p>
    <w:p w14:paraId="32B1F866" w14:textId="77777777" w:rsidR="00171AA8" w:rsidRPr="00731FE2" w:rsidRDefault="007935AB" w:rsidP="007832E7">
      <w:pPr>
        <w:pStyle w:val="a3"/>
        <w:numPr>
          <w:ilvl w:val="0"/>
          <w:numId w:val="97"/>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осуществление координации работ председателем городской комиссии по ЧС по ликвидации ЧС;</w:t>
      </w:r>
    </w:p>
    <w:p w14:paraId="7093223D" w14:textId="77777777" w:rsidR="00171AA8" w:rsidRPr="00731FE2" w:rsidRDefault="007935AB" w:rsidP="007832E7">
      <w:pPr>
        <w:pStyle w:val="a3"/>
        <w:numPr>
          <w:ilvl w:val="0"/>
          <w:numId w:val="97"/>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оцепление зоны ЧС, осуществление регулирования движения транспорта при вводе его в зону ЧС;</w:t>
      </w:r>
    </w:p>
    <w:p w14:paraId="57957F69" w14:textId="77777777" w:rsidR="00171AA8" w:rsidRPr="00731FE2" w:rsidRDefault="007935AB" w:rsidP="007832E7">
      <w:pPr>
        <w:pStyle w:val="a3"/>
        <w:numPr>
          <w:ilvl w:val="0"/>
          <w:numId w:val="97"/>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эвакуация (отселение) населения из зоны ЧС (при необходимости);</w:t>
      </w:r>
    </w:p>
    <w:p w14:paraId="1D45C5B9" w14:textId="77777777" w:rsidR="00171AA8" w:rsidRPr="00731FE2" w:rsidRDefault="007935AB" w:rsidP="007832E7">
      <w:pPr>
        <w:pStyle w:val="a3"/>
        <w:numPr>
          <w:ilvl w:val="0"/>
          <w:numId w:val="97"/>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обеспечение сбора, обработки и обмена информацией о ЧС и ходе проведения аварийно-спасательных и других неотложных работ (далее - АСДНР);</w:t>
      </w:r>
    </w:p>
    <w:p w14:paraId="18BF173C" w14:textId="77777777" w:rsidR="00171AA8" w:rsidRPr="00731FE2" w:rsidRDefault="007935AB" w:rsidP="007832E7">
      <w:pPr>
        <w:pStyle w:val="a3"/>
        <w:numPr>
          <w:ilvl w:val="0"/>
          <w:numId w:val="97"/>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организация работы городской приемной эвакуационной комиссии;</w:t>
      </w:r>
    </w:p>
    <w:p w14:paraId="75EB2825" w14:textId="77777777" w:rsidR="00171AA8" w:rsidRPr="00731FE2" w:rsidRDefault="007935AB" w:rsidP="007832E7">
      <w:pPr>
        <w:pStyle w:val="a3"/>
        <w:numPr>
          <w:ilvl w:val="0"/>
          <w:numId w:val="97"/>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оказание медицинской и психологической помощи пострадавшему населению;</w:t>
      </w:r>
    </w:p>
    <w:p w14:paraId="596FFAFE" w14:textId="77777777" w:rsidR="00171AA8" w:rsidRPr="00731FE2" w:rsidRDefault="007935AB" w:rsidP="007832E7">
      <w:pPr>
        <w:pStyle w:val="a3"/>
        <w:numPr>
          <w:ilvl w:val="0"/>
          <w:numId w:val="97"/>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организация жизнеобеспечения отселенного и пострадавшего населения;</w:t>
      </w:r>
    </w:p>
    <w:p w14:paraId="37FCBD50" w14:textId="77777777" w:rsidR="00171AA8" w:rsidRPr="00731FE2" w:rsidRDefault="007935AB" w:rsidP="007832E7">
      <w:pPr>
        <w:pStyle w:val="a3"/>
        <w:numPr>
          <w:ilvl w:val="0"/>
          <w:numId w:val="97"/>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организация оценки ущерба и подготовка материалов на его возмещение;</w:t>
      </w:r>
    </w:p>
    <w:p w14:paraId="75F77423" w14:textId="77777777" w:rsidR="00171AA8" w:rsidRPr="00731FE2" w:rsidRDefault="007935AB" w:rsidP="007832E7">
      <w:pPr>
        <w:pStyle w:val="a3"/>
        <w:numPr>
          <w:ilvl w:val="0"/>
          <w:numId w:val="97"/>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осуществление контроля выполнения поставленных задач;</w:t>
      </w:r>
    </w:p>
    <w:p w14:paraId="312F46E5" w14:textId="77777777" w:rsidR="00171AA8" w:rsidRPr="00731FE2" w:rsidRDefault="007935AB" w:rsidP="007832E7">
      <w:pPr>
        <w:pStyle w:val="a3"/>
        <w:numPr>
          <w:ilvl w:val="0"/>
          <w:numId w:val="97"/>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санитарная очистка (обработка) подтопляемой территории;</w:t>
      </w:r>
    </w:p>
    <w:p w14:paraId="7DBF937B" w14:textId="77777777" w:rsidR="00171AA8" w:rsidRPr="00731FE2" w:rsidRDefault="007935AB" w:rsidP="007832E7">
      <w:pPr>
        <w:pStyle w:val="a3"/>
        <w:numPr>
          <w:ilvl w:val="0"/>
          <w:numId w:val="97"/>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подвоз горюче-смазочных материалов (далее - ГСМ) в район сосредоточения сил и средств для бесперебойной работы техники в зоне ЧС (при необходимости);</w:t>
      </w:r>
    </w:p>
    <w:p w14:paraId="3989E326" w14:textId="77777777" w:rsidR="00171AA8" w:rsidRPr="00731FE2" w:rsidRDefault="007935AB" w:rsidP="007832E7">
      <w:pPr>
        <w:pStyle w:val="a3"/>
        <w:numPr>
          <w:ilvl w:val="0"/>
          <w:numId w:val="97"/>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организация работы ПВР для пострадавшего населения (при необходимости);</w:t>
      </w:r>
    </w:p>
    <w:p w14:paraId="79DC003E" w14:textId="77777777" w:rsidR="00171AA8" w:rsidRPr="00731FE2" w:rsidRDefault="007935AB" w:rsidP="007832E7">
      <w:pPr>
        <w:pStyle w:val="a3"/>
        <w:numPr>
          <w:ilvl w:val="0"/>
          <w:numId w:val="97"/>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организация работы пунктов питания на ПВР;</w:t>
      </w:r>
    </w:p>
    <w:p w14:paraId="080249C1" w14:textId="77777777" w:rsidR="00171AA8" w:rsidRPr="00731FE2" w:rsidRDefault="007935AB" w:rsidP="007832E7">
      <w:pPr>
        <w:pStyle w:val="a3"/>
        <w:numPr>
          <w:ilvl w:val="0"/>
          <w:numId w:val="97"/>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организация работы подвижного пункта питания для обеспечения питания личного состав привлекаемых формирований Ставропольского края (при необходимости);</w:t>
      </w:r>
    </w:p>
    <w:p w14:paraId="5AD43512" w14:textId="77777777" w:rsidR="00171AA8" w:rsidRPr="00731FE2" w:rsidRDefault="007935AB" w:rsidP="007832E7">
      <w:pPr>
        <w:pStyle w:val="a3"/>
        <w:numPr>
          <w:ilvl w:val="0"/>
          <w:numId w:val="97"/>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определение необходимого объема жилой площади для размещения отселенного населения (при необходимости);</w:t>
      </w:r>
    </w:p>
    <w:p w14:paraId="1A04EA14" w14:textId="77777777" w:rsidR="00171AA8" w:rsidRPr="00731FE2" w:rsidRDefault="007935AB" w:rsidP="007832E7">
      <w:pPr>
        <w:pStyle w:val="a3"/>
        <w:numPr>
          <w:ilvl w:val="0"/>
          <w:numId w:val="97"/>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lastRenderedPageBreak/>
        <w:t>определение мест захоронения погибшего населения и сельскохозяйственных животных (при необходимости);</w:t>
      </w:r>
    </w:p>
    <w:p w14:paraId="4994C261" w14:textId="77777777" w:rsidR="00171AA8" w:rsidRPr="00731FE2" w:rsidRDefault="007935AB" w:rsidP="007832E7">
      <w:pPr>
        <w:pStyle w:val="a3"/>
        <w:numPr>
          <w:ilvl w:val="0"/>
          <w:numId w:val="97"/>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устройство дамб, насыпей, земляных валов перед объектами, подверженными подтоплению (при необходимости);</w:t>
      </w:r>
    </w:p>
    <w:p w14:paraId="6AF1D728" w14:textId="77777777" w:rsidR="00171AA8" w:rsidRPr="00731FE2" w:rsidRDefault="007935AB" w:rsidP="007832E7">
      <w:pPr>
        <w:pStyle w:val="a3"/>
        <w:numPr>
          <w:ilvl w:val="0"/>
          <w:numId w:val="97"/>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проведение постоянной работы по приему информации от руководителей служб и формирований по проведению работ ликвидации ЧС на территории города-курорта Кисловодска;</w:t>
      </w:r>
    </w:p>
    <w:p w14:paraId="5AD80427" w14:textId="77777777" w:rsidR="00171AA8" w:rsidRPr="00731FE2" w:rsidRDefault="007935AB" w:rsidP="007832E7">
      <w:pPr>
        <w:pStyle w:val="a3"/>
        <w:numPr>
          <w:ilvl w:val="0"/>
          <w:numId w:val="97"/>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обеспечение своевременного доведения задач до подчиненных и взаимодействующих органов управления РСЧС;</w:t>
      </w:r>
    </w:p>
    <w:p w14:paraId="2C24384B" w14:textId="77777777" w:rsidR="00171AA8" w:rsidRPr="00731FE2" w:rsidRDefault="007935AB" w:rsidP="007832E7">
      <w:pPr>
        <w:pStyle w:val="a3"/>
        <w:numPr>
          <w:ilvl w:val="0"/>
          <w:numId w:val="97"/>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контроль за выполнением санитарно-гигиенических и противоэпидемических мероприятий среди пострадавшего населения, осуществление профилактики инфекционных и не инфекционных заболеваний и пищевых отравлений населения;</w:t>
      </w:r>
    </w:p>
    <w:p w14:paraId="04904CD9" w14:textId="77777777" w:rsidR="00171AA8" w:rsidRPr="00731FE2" w:rsidRDefault="007935AB" w:rsidP="007832E7">
      <w:pPr>
        <w:pStyle w:val="a3"/>
        <w:numPr>
          <w:ilvl w:val="0"/>
          <w:numId w:val="97"/>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проведение мероприятий по предупреждению панических настроений среди местного населения, недопущения случаев мародерства, обеспечению общественного порядка на территории города-курорта Кисловодска;</w:t>
      </w:r>
    </w:p>
    <w:p w14:paraId="2EE0CBC4" w14:textId="77777777" w:rsidR="00171AA8" w:rsidRPr="00731FE2" w:rsidRDefault="007935AB" w:rsidP="007832E7">
      <w:pPr>
        <w:pStyle w:val="a3"/>
        <w:numPr>
          <w:ilvl w:val="0"/>
          <w:numId w:val="97"/>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организация разъяснительной работы с населением по соблюдению мер безопасности и выполнению требований нормативных правовых документов в области защиты жизни и здоровья людей.</w:t>
      </w:r>
    </w:p>
    <w:p w14:paraId="00F5FB1E"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szCs w:val="24"/>
        </w:rPr>
        <w:t>В соответствии со статьей 19 Федерального закона от 21 декабря 1994 г. № 69-ФЗ «О пожарной безопасности» к полномочиям органов местного самоуправления в области пожарной безопасности относится обеспечение первичных мер пожарной безопасности в границах городских округов.</w:t>
      </w:r>
    </w:p>
    <w:p w14:paraId="77AF6A5D"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Основные виды пожарной охраны:</w:t>
      </w:r>
    </w:p>
    <w:p w14:paraId="1F906208" w14:textId="77777777" w:rsidR="00171AA8" w:rsidRPr="00731FE2" w:rsidRDefault="007935AB" w:rsidP="007832E7">
      <w:pPr>
        <w:pStyle w:val="a3"/>
        <w:numPr>
          <w:ilvl w:val="0"/>
          <w:numId w:val="68"/>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государственная противопожарная служба;</w:t>
      </w:r>
    </w:p>
    <w:p w14:paraId="010D8FAC" w14:textId="77777777" w:rsidR="00171AA8" w:rsidRPr="00731FE2" w:rsidRDefault="007935AB" w:rsidP="007832E7">
      <w:pPr>
        <w:pStyle w:val="a3"/>
        <w:numPr>
          <w:ilvl w:val="0"/>
          <w:numId w:val="68"/>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муниципальная пожарная охрана;</w:t>
      </w:r>
    </w:p>
    <w:p w14:paraId="004D66E5" w14:textId="77777777" w:rsidR="00171AA8" w:rsidRPr="00731FE2" w:rsidRDefault="007935AB" w:rsidP="007832E7">
      <w:pPr>
        <w:pStyle w:val="a3"/>
        <w:numPr>
          <w:ilvl w:val="0"/>
          <w:numId w:val="68"/>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ведомственная пожарная охрана;</w:t>
      </w:r>
    </w:p>
    <w:p w14:paraId="34711584" w14:textId="77777777" w:rsidR="00171AA8" w:rsidRPr="00731FE2" w:rsidRDefault="007935AB" w:rsidP="007832E7">
      <w:pPr>
        <w:pStyle w:val="a3"/>
        <w:numPr>
          <w:ilvl w:val="0"/>
          <w:numId w:val="68"/>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частная пожарная охрана;</w:t>
      </w:r>
    </w:p>
    <w:p w14:paraId="71534260" w14:textId="77777777" w:rsidR="00171AA8" w:rsidRPr="00731FE2" w:rsidRDefault="007935AB" w:rsidP="007832E7">
      <w:pPr>
        <w:pStyle w:val="a3"/>
        <w:numPr>
          <w:ilvl w:val="0"/>
          <w:numId w:val="68"/>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добровольная пожарная охрана.</w:t>
      </w:r>
    </w:p>
    <w:p w14:paraId="22265403"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Цели, задачи, порядок создания и организации деятельности муниципальной охраны, порядок ее взаимоотношений с другими видами пожарной охраны определяются органами местного самоуправления.</w:t>
      </w:r>
    </w:p>
    <w:p w14:paraId="3371C9BD"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На территории города-курорта Кисловодска дислоцируется 1 ПСЧ 2 ПСО ФПС ГПС ГУ МЧС России по Ставропольскому краю (ул. 40 лет Октября, д.33)</w:t>
      </w:r>
    </w:p>
    <w:p w14:paraId="2F55188D"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Организацию служебной деятельности муниципальной пожарной охраны целесообразно проводить в соответствии с нормативными правовыми актами, применяемыми в системе Государственной противопожарной службы МЧС России.</w:t>
      </w:r>
    </w:p>
    <w:p w14:paraId="6E9B983C"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b/>
          <w:bCs/>
          <w:color w:val="000000"/>
        </w:rPr>
      </w:pPr>
      <w:r w:rsidRPr="00731FE2">
        <w:rPr>
          <w:rFonts w:ascii="Times New Roman" w:eastAsia="Times New Roman" w:hAnsi="Times New Roman" w:cs="Times New Roman"/>
          <w:b/>
          <w:bCs/>
          <w:color w:val="000000"/>
        </w:rPr>
        <w:t xml:space="preserve">Сведения о состоянии пожарной безопасности в лесах и о мероприятиях по профилактике природных пожаров, противопожарному обустройству. </w:t>
      </w:r>
      <w:r w:rsidRPr="00731FE2">
        <w:rPr>
          <w:rFonts w:ascii="Times New Roman" w:eastAsia="Times New Roman" w:hAnsi="Times New Roman" w:cs="Times New Roman"/>
          <w:color w:val="000000"/>
        </w:rPr>
        <w:t>В осенний и весенний период осуществляются следующие мероприятия:</w:t>
      </w:r>
    </w:p>
    <w:p w14:paraId="622C2CC8" w14:textId="77777777" w:rsidR="00171AA8" w:rsidRPr="00731FE2" w:rsidRDefault="007935AB" w:rsidP="007832E7">
      <w:pPr>
        <w:pStyle w:val="a3"/>
        <w:numPr>
          <w:ilvl w:val="0"/>
          <w:numId w:val="91"/>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Подготовка города к предстоящему пожароопасному периоду путем проведения опашки, создания минерализованных полос, скашивания сухой травы по границе города с внешней стороны.</w:t>
      </w:r>
    </w:p>
    <w:p w14:paraId="53BEDF94" w14:textId="77777777" w:rsidR="00171AA8" w:rsidRPr="00731FE2" w:rsidRDefault="007935AB" w:rsidP="007832E7">
      <w:pPr>
        <w:pStyle w:val="a3"/>
        <w:numPr>
          <w:ilvl w:val="0"/>
          <w:numId w:val="91"/>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Проведение мероприятий по очистке территории города от горючих отходов, мусора, сухой растительности.</w:t>
      </w:r>
    </w:p>
    <w:p w14:paraId="5C941252" w14:textId="77777777" w:rsidR="00171AA8" w:rsidRPr="00731FE2" w:rsidRDefault="007935AB" w:rsidP="007832E7">
      <w:pPr>
        <w:pStyle w:val="a3"/>
        <w:numPr>
          <w:ilvl w:val="0"/>
          <w:numId w:val="91"/>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Уточнение схемы тушения возможных пожаров на территории города.</w:t>
      </w:r>
    </w:p>
    <w:p w14:paraId="378FC0A9"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lastRenderedPageBreak/>
        <w:t>При наступлении пожароопасного периода:</w:t>
      </w:r>
    </w:p>
    <w:p w14:paraId="20DEEA50" w14:textId="77777777" w:rsidR="00171AA8" w:rsidRPr="00731FE2" w:rsidRDefault="007935AB" w:rsidP="007832E7">
      <w:pPr>
        <w:pStyle w:val="a3"/>
        <w:numPr>
          <w:ilvl w:val="0"/>
          <w:numId w:val="92"/>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Поддерживается в постоянной готовности средства оповещения и информирования населения, осуществлять их периодические проверки с включением оконечных устройств.</w:t>
      </w:r>
    </w:p>
    <w:p w14:paraId="22CFCD84" w14:textId="77777777" w:rsidR="00171AA8" w:rsidRPr="00731FE2" w:rsidRDefault="007935AB" w:rsidP="007832E7">
      <w:pPr>
        <w:pStyle w:val="a3"/>
        <w:numPr>
          <w:ilvl w:val="0"/>
          <w:numId w:val="92"/>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Разрабатывается алгоритм действий администрации города на период непосредственной опасности природного пожара.</w:t>
      </w:r>
    </w:p>
    <w:p w14:paraId="190BFB40"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С учётом наихудшего сценария развития пожарной обстановки, определяются места сбора эвакуируемого населения на пункты временного размещения на территории города, пути (маршруты) движения в безопасные районы (места) пешим порядком и на автотранспорте согласно плана эвакуации населения, организовать практические занятия и тренировки по эвакуации жителей населённых пунктов и зон, подверженных опасности природных пожаров.</w:t>
      </w:r>
    </w:p>
    <w:p w14:paraId="7BB285DC"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Единой Дежурной Диспетчерской Службы г. Кисловодска организовывается взаимодействие с органами управления и учреждениями (организациями), осуществляющими мониторинг пожарной ситуации, постоянно отслеживать пожарную обстановку и информировать о ней население.</w:t>
      </w:r>
    </w:p>
    <w:p w14:paraId="0AC6514C"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b/>
          <w:bCs/>
          <w:color w:val="000000"/>
        </w:rPr>
      </w:pPr>
      <w:r w:rsidRPr="00731FE2">
        <w:rPr>
          <w:rFonts w:ascii="Times New Roman" w:eastAsia="Times New Roman" w:hAnsi="Times New Roman" w:cs="Times New Roman"/>
          <w:b/>
          <w:bCs/>
          <w:color w:val="000000"/>
        </w:rPr>
        <w:t>Сведения о противопожарных мероприятиях в населенных пунктах.</w:t>
      </w:r>
    </w:p>
    <w:p w14:paraId="75297433" w14:textId="77777777" w:rsidR="00171AA8" w:rsidRPr="00731FE2" w:rsidRDefault="007935AB" w:rsidP="007832E7">
      <w:pPr>
        <w:pStyle w:val="a3"/>
        <w:numPr>
          <w:ilvl w:val="0"/>
          <w:numId w:val="93"/>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Организация взаимодействия по своевременному информированию о пожарной обстановке, привлечению сил и средств для локализации и ликвидации пожаров в лесопарковой зоне города-курорта Кисловодска.</w:t>
      </w:r>
    </w:p>
    <w:p w14:paraId="525BAD15" w14:textId="77777777" w:rsidR="00171AA8" w:rsidRPr="00731FE2" w:rsidRDefault="007935AB" w:rsidP="007832E7">
      <w:pPr>
        <w:pStyle w:val="a3"/>
        <w:numPr>
          <w:ilvl w:val="0"/>
          <w:numId w:val="93"/>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Корректировка Расписания и Плана привлечения сил и средств для тушения пожаров в городских лесах и лесопарковой зоне города-курорта Кисловодска.</w:t>
      </w:r>
    </w:p>
    <w:p w14:paraId="220BCF7B" w14:textId="77777777" w:rsidR="00171AA8" w:rsidRPr="00731FE2" w:rsidRDefault="007935AB" w:rsidP="007832E7">
      <w:pPr>
        <w:pStyle w:val="a3"/>
        <w:numPr>
          <w:ilvl w:val="0"/>
          <w:numId w:val="93"/>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Осуществление мониторинга погодных условий и возможности возникновения природных пожаров на территории города-курорта Кисловодска.</w:t>
      </w:r>
    </w:p>
    <w:p w14:paraId="3A2354C9" w14:textId="77777777" w:rsidR="00171AA8" w:rsidRPr="00731FE2" w:rsidRDefault="007935AB" w:rsidP="007832E7">
      <w:pPr>
        <w:pStyle w:val="a3"/>
        <w:numPr>
          <w:ilvl w:val="0"/>
          <w:numId w:val="93"/>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Использование средств массовой информации по информированию населения о противопожарном состоянии на территории города-курорта Кисловодска, о способах защиты и порядке действий в случае возникновения пожаров в лесах и решениях администрации города о запрете или ограничениях посещения лесов.</w:t>
      </w:r>
    </w:p>
    <w:p w14:paraId="78787836" w14:textId="77777777" w:rsidR="00171AA8" w:rsidRPr="00731FE2" w:rsidRDefault="007935AB" w:rsidP="007832E7">
      <w:pPr>
        <w:pStyle w:val="a3"/>
        <w:numPr>
          <w:ilvl w:val="0"/>
          <w:numId w:val="93"/>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Проведение разъяснительной работы с использованием средств массовой информации среди населения по недопущению случаев сжигания мусора, листвы, сухой травы на лугах, в лесопарковой зоне, а также об административной ответственности за эти правонарушения.</w:t>
      </w:r>
    </w:p>
    <w:p w14:paraId="40A89D9D" w14:textId="77777777" w:rsidR="00171AA8" w:rsidRPr="00731FE2" w:rsidRDefault="007935AB" w:rsidP="007832E7">
      <w:pPr>
        <w:pStyle w:val="a3"/>
        <w:numPr>
          <w:ilvl w:val="0"/>
          <w:numId w:val="93"/>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Проведение разъяснительной работы с обучающимися общеобразовательных учреждений города по выполнению требований пожарной безопасности в школах, в быту, в лесах и лесопарковой зоне города.</w:t>
      </w:r>
    </w:p>
    <w:p w14:paraId="1FB35C64" w14:textId="77777777" w:rsidR="00171AA8" w:rsidRPr="00731FE2" w:rsidRDefault="007935AB" w:rsidP="007832E7">
      <w:pPr>
        <w:pStyle w:val="a3"/>
        <w:numPr>
          <w:ilvl w:val="0"/>
          <w:numId w:val="93"/>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Проведение разъяснительных бесед о мерах пожарной безопасности в пожароопасный период службой участковых инспекторов при работе на объектах, в жилом секторе и на дачных участках.</w:t>
      </w:r>
    </w:p>
    <w:p w14:paraId="3EEC1F53" w14:textId="77777777" w:rsidR="00171AA8" w:rsidRPr="00731FE2" w:rsidRDefault="007935AB" w:rsidP="007832E7">
      <w:pPr>
        <w:pStyle w:val="a3"/>
        <w:numPr>
          <w:ilvl w:val="0"/>
          <w:numId w:val="93"/>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Организация проверок, ремонта и содержания имеющихся средств противопожарной защиты, пожарных водоисточников (гидрантов, водопроводов, пирсов на искусственных водоёмах). Обеспечение подъездов к водоисточникам пожарных машин.</w:t>
      </w:r>
    </w:p>
    <w:p w14:paraId="037A996F"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b/>
          <w:bCs/>
          <w:color w:val="000000"/>
        </w:rPr>
        <w:t xml:space="preserve">На территории города-курорта Кисловодска расположено 26 защитных сооружений гражданской обороны, в том числе 13 убежищ и 13 </w:t>
      </w:r>
      <w:r w:rsidRPr="00731FE2">
        <w:rPr>
          <w:rFonts w:ascii="Times New Roman" w:eastAsia="Times New Roman" w:hAnsi="Times New Roman" w:cs="Times New Roman"/>
          <w:b/>
          <w:bCs/>
          <w:color w:val="000000"/>
        </w:rPr>
        <w:lastRenderedPageBreak/>
        <w:t xml:space="preserve">противорадиационных укрытий. </w:t>
      </w:r>
      <w:r w:rsidRPr="00731FE2">
        <w:rPr>
          <w:rFonts w:ascii="Times New Roman" w:eastAsia="Times New Roman" w:hAnsi="Times New Roman" w:cs="Times New Roman"/>
          <w:color w:val="000000"/>
        </w:rPr>
        <w:t>Суммарная вместимость защитных сооружений ГО, расположенных на территории города-курорта Кисловодска – 5,245 тыс. чел.</w:t>
      </w:r>
    </w:p>
    <w:p w14:paraId="115CE87B"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Убежища расположены по адресам:</w:t>
      </w:r>
    </w:p>
    <w:p w14:paraId="344F7028" w14:textId="77777777" w:rsidR="00171AA8" w:rsidRPr="00731FE2" w:rsidRDefault="007935AB" w:rsidP="007832E7">
      <w:pPr>
        <w:pStyle w:val="a3"/>
        <w:numPr>
          <w:ilvl w:val="0"/>
          <w:numId w:val="94"/>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ул. Куйбышева, 81;</w:t>
      </w:r>
    </w:p>
    <w:p w14:paraId="668E6E38" w14:textId="77777777" w:rsidR="00171AA8" w:rsidRPr="00731FE2" w:rsidRDefault="007935AB" w:rsidP="007832E7">
      <w:pPr>
        <w:pStyle w:val="a3"/>
        <w:numPr>
          <w:ilvl w:val="0"/>
          <w:numId w:val="94"/>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ул. Губина, 11;</w:t>
      </w:r>
    </w:p>
    <w:p w14:paraId="01274353" w14:textId="77777777" w:rsidR="00171AA8" w:rsidRPr="00731FE2" w:rsidRDefault="007935AB" w:rsidP="007832E7">
      <w:pPr>
        <w:pStyle w:val="a3"/>
        <w:numPr>
          <w:ilvl w:val="0"/>
          <w:numId w:val="94"/>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ул. Калинина, 77;</w:t>
      </w:r>
    </w:p>
    <w:p w14:paraId="5A4E669F" w14:textId="77777777" w:rsidR="00171AA8" w:rsidRPr="00731FE2" w:rsidRDefault="007935AB" w:rsidP="007832E7">
      <w:pPr>
        <w:pStyle w:val="a3"/>
        <w:numPr>
          <w:ilvl w:val="0"/>
          <w:numId w:val="94"/>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ул. Кутузова, 127;</w:t>
      </w:r>
    </w:p>
    <w:p w14:paraId="0CC3C6B2" w14:textId="77777777" w:rsidR="00171AA8" w:rsidRPr="00731FE2" w:rsidRDefault="007935AB" w:rsidP="007832E7">
      <w:pPr>
        <w:pStyle w:val="a3"/>
        <w:numPr>
          <w:ilvl w:val="0"/>
          <w:numId w:val="94"/>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пр-т Ленина, 12;</w:t>
      </w:r>
    </w:p>
    <w:p w14:paraId="4DAA4CF1" w14:textId="77777777" w:rsidR="00171AA8" w:rsidRPr="00731FE2" w:rsidRDefault="007935AB" w:rsidP="007832E7">
      <w:pPr>
        <w:pStyle w:val="a3"/>
        <w:numPr>
          <w:ilvl w:val="0"/>
          <w:numId w:val="94"/>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ул. Тюленева, 18;</w:t>
      </w:r>
    </w:p>
    <w:p w14:paraId="19568ED2" w14:textId="77777777" w:rsidR="00171AA8" w:rsidRPr="00731FE2" w:rsidRDefault="007935AB" w:rsidP="007832E7">
      <w:pPr>
        <w:pStyle w:val="a3"/>
        <w:numPr>
          <w:ilvl w:val="0"/>
          <w:numId w:val="94"/>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ул. Набережная, 1 А;</w:t>
      </w:r>
    </w:p>
    <w:p w14:paraId="28B1DCE4" w14:textId="77777777" w:rsidR="00171AA8" w:rsidRPr="00731FE2" w:rsidRDefault="007935AB" w:rsidP="007832E7">
      <w:pPr>
        <w:pStyle w:val="a3"/>
        <w:numPr>
          <w:ilvl w:val="0"/>
          <w:numId w:val="94"/>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пр-т Мира, 9;</w:t>
      </w:r>
    </w:p>
    <w:p w14:paraId="4A73DF0F" w14:textId="77777777" w:rsidR="00171AA8" w:rsidRPr="00731FE2" w:rsidRDefault="007935AB" w:rsidP="007832E7">
      <w:pPr>
        <w:pStyle w:val="a3"/>
        <w:numPr>
          <w:ilvl w:val="0"/>
          <w:numId w:val="94"/>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ул. Володарского, 12;</w:t>
      </w:r>
    </w:p>
    <w:p w14:paraId="5A41202F" w14:textId="77777777" w:rsidR="00171AA8" w:rsidRPr="00731FE2" w:rsidRDefault="007935AB" w:rsidP="007832E7">
      <w:pPr>
        <w:pStyle w:val="a3"/>
        <w:numPr>
          <w:ilvl w:val="0"/>
          <w:numId w:val="94"/>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ул. Промышленная, 14;</w:t>
      </w:r>
    </w:p>
    <w:p w14:paraId="0F7C8DD5" w14:textId="77777777" w:rsidR="00171AA8" w:rsidRPr="00731FE2" w:rsidRDefault="007935AB" w:rsidP="007832E7">
      <w:pPr>
        <w:pStyle w:val="a3"/>
        <w:numPr>
          <w:ilvl w:val="0"/>
          <w:numId w:val="94"/>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ул. Промышленная, 10;</w:t>
      </w:r>
    </w:p>
    <w:p w14:paraId="3859E74A" w14:textId="77777777" w:rsidR="00171AA8" w:rsidRPr="00731FE2" w:rsidRDefault="007935AB" w:rsidP="007832E7">
      <w:pPr>
        <w:pStyle w:val="a3"/>
        <w:numPr>
          <w:ilvl w:val="0"/>
          <w:numId w:val="94"/>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ул. Герцена, 18;</w:t>
      </w:r>
    </w:p>
    <w:p w14:paraId="6C0AE396" w14:textId="77777777" w:rsidR="00171AA8" w:rsidRPr="00731FE2" w:rsidRDefault="007935AB" w:rsidP="007832E7">
      <w:pPr>
        <w:pStyle w:val="a3"/>
        <w:numPr>
          <w:ilvl w:val="0"/>
          <w:numId w:val="94"/>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ул. Линейная, 70.</w:t>
      </w:r>
    </w:p>
    <w:p w14:paraId="78C9EC4C"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Противорадиационные укрытия расположены по адресам:</w:t>
      </w:r>
    </w:p>
    <w:p w14:paraId="757B14B8" w14:textId="77777777" w:rsidR="00171AA8" w:rsidRPr="00731FE2" w:rsidRDefault="007935AB" w:rsidP="007832E7">
      <w:pPr>
        <w:pStyle w:val="a3"/>
        <w:numPr>
          <w:ilvl w:val="0"/>
          <w:numId w:val="95"/>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пр. Дзержинского, 36;</w:t>
      </w:r>
    </w:p>
    <w:p w14:paraId="0DD6D374" w14:textId="77777777" w:rsidR="00171AA8" w:rsidRPr="00731FE2" w:rsidRDefault="007935AB" w:rsidP="007832E7">
      <w:pPr>
        <w:pStyle w:val="a3"/>
        <w:numPr>
          <w:ilvl w:val="0"/>
          <w:numId w:val="95"/>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пр. Дзержинского, 47;</w:t>
      </w:r>
    </w:p>
    <w:p w14:paraId="057ABF51" w14:textId="77777777" w:rsidR="00171AA8" w:rsidRPr="00731FE2" w:rsidRDefault="007935AB" w:rsidP="007832E7">
      <w:pPr>
        <w:pStyle w:val="a3"/>
        <w:numPr>
          <w:ilvl w:val="0"/>
          <w:numId w:val="95"/>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ул. Жуковского, 11;</w:t>
      </w:r>
    </w:p>
    <w:p w14:paraId="510A466A" w14:textId="77777777" w:rsidR="00171AA8" w:rsidRPr="00731FE2" w:rsidRDefault="007935AB" w:rsidP="007832E7">
      <w:pPr>
        <w:pStyle w:val="a3"/>
        <w:numPr>
          <w:ilvl w:val="0"/>
          <w:numId w:val="95"/>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ул. Гайдара, 36;</w:t>
      </w:r>
    </w:p>
    <w:p w14:paraId="123C2EFF" w14:textId="77777777" w:rsidR="00171AA8" w:rsidRPr="00731FE2" w:rsidRDefault="007935AB" w:rsidP="007832E7">
      <w:pPr>
        <w:pStyle w:val="a3"/>
        <w:numPr>
          <w:ilvl w:val="0"/>
          <w:numId w:val="95"/>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ул. Велинградская, 19;</w:t>
      </w:r>
    </w:p>
    <w:p w14:paraId="29E3A1FD" w14:textId="77777777" w:rsidR="00171AA8" w:rsidRPr="00731FE2" w:rsidRDefault="007935AB" w:rsidP="007832E7">
      <w:pPr>
        <w:pStyle w:val="a3"/>
        <w:numPr>
          <w:ilvl w:val="0"/>
          <w:numId w:val="95"/>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ул. Велинградская, 32;</w:t>
      </w:r>
    </w:p>
    <w:p w14:paraId="1CCA26FA" w14:textId="77777777" w:rsidR="00171AA8" w:rsidRPr="00731FE2" w:rsidRDefault="007935AB" w:rsidP="007832E7">
      <w:pPr>
        <w:pStyle w:val="a3"/>
        <w:numPr>
          <w:ilvl w:val="0"/>
          <w:numId w:val="95"/>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ул. 40 лет Октября, 15;</w:t>
      </w:r>
    </w:p>
    <w:p w14:paraId="124603EA" w14:textId="77777777" w:rsidR="00171AA8" w:rsidRPr="00731FE2" w:rsidRDefault="007935AB" w:rsidP="007832E7">
      <w:pPr>
        <w:pStyle w:val="a3"/>
        <w:numPr>
          <w:ilvl w:val="0"/>
          <w:numId w:val="95"/>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ул. 40 лет Октября, 17;</w:t>
      </w:r>
    </w:p>
    <w:p w14:paraId="2310D93D" w14:textId="77777777" w:rsidR="00171AA8" w:rsidRPr="00731FE2" w:rsidRDefault="007935AB" w:rsidP="007832E7">
      <w:pPr>
        <w:pStyle w:val="a3"/>
        <w:numPr>
          <w:ilvl w:val="0"/>
          <w:numId w:val="95"/>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ул. 40 лет Октября, 24;</w:t>
      </w:r>
    </w:p>
    <w:p w14:paraId="586AB999" w14:textId="77777777" w:rsidR="00171AA8" w:rsidRPr="00731FE2" w:rsidRDefault="007935AB" w:rsidP="007832E7">
      <w:pPr>
        <w:pStyle w:val="a3"/>
        <w:numPr>
          <w:ilvl w:val="0"/>
          <w:numId w:val="95"/>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ул. Горького, 36;</w:t>
      </w:r>
    </w:p>
    <w:p w14:paraId="115F0484" w14:textId="77777777" w:rsidR="00171AA8" w:rsidRPr="00731FE2" w:rsidRDefault="007935AB" w:rsidP="007832E7">
      <w:pPr>
        <w:pStyle w:val="a3"/>
        <w:numPr>
          <w:ilvl w:val="0"/>
          <w:numId w:val="95"/>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ул. Куйбышева, 4;</w:t>
      </w:r>
    </w:p>
    <w:p w14:paraId="053CFEF1" w14:textId="77777777" w:rsidR="00171AA8" w:rsidRPr="00731FE2" w:rsidRDefault="007935AB" w:rsidP="007832E7">
      <w:pPr>
        <w:pStyle w:val="a3"/>
        <w:numPr>
          <w:ilvl w:val="0"/>
          <w:numId w:val="95"/>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ул. Дзержинского, 12;</w:t>
      </w:r>
    </w:p>
    <w:p w14:paraId="100D25DE" w14:textId="77777777" w:rsidR="00171AA8" w:rsidRPr="00731FE2" w:rsidRDefault="007935AB" w:rsidP="007832E7">
      <w:pPr>
        <w:pStyle w:val="a3"/>
        <w:numPr>
          <w:ilvl w:val="0"/>
          <w:numId w:val="95"/>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ул. Куйбышева, 68.</w:t>
      </w:r>
    </w:p>
    <w:p w14:paraId="63725F9B"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Приемный эвакуационный пункт расположен по адресу: ул. Куйбышева, д. 66.</w:t>
      </w:r>
    </w:p>
    <w:p w14:paraId="35CAB2B9"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Пункты выдачи средств индивидуальной защиты расположены по адресам:</w:t>
      </w:r>
    </w:p>
    <w:p w14:paraId="3C372EE3" w14:textId="77777777" w:rsidR="00171AA8" w:rsidRPr="00731FE2" w:rsidRDefault="007935AB" w:rsidP="007832E7">
      <w:pPr>
        <w:pStyle w:val="a3"/>
        <w:numPr>
          <w:ilvl w:val="0"/>
          <w:numId w:val="96"/>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ул. Подгорная, 45;</w:t>
      </w:r>
    </w:p>
    <w:p w14:paraId="2C0E7F7A" w14:textId="77777777" w:rsidR="00171AA8" w:rsidRPr="00731FE2" w:rsidRDefault="007935AB" w:rsidP="007832E7">
      <w:pPr>
        <w:pStyle w:val="a3"/>
        <w:numPr>
          <w:ilvl w:val="0"/>
          <w:numId w:val="96"/>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rPr>
        <w:t>ул. Прямая, 4.</w:t>
      </w:r>
    </w:p>
    <w:p w14:paraId="433D29F6"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pPr>
      <w:r w:rsidRPr="00731FE2">
        <w:rPr>
          <w:rFonts w:ascii="Times New Roman" w:eastAsia="Times New Roman" w:hAnsi="Times New Roman" w:cs="Times New Roman"/>
          <w:color w:val="000000"/>
          <w:szCs w:val="24"/>
        </w:rPr>
        <w:t>Анализ материальных сил и средств пожарной охраны на основании методических рекомендаций показал необходимость:</w:t>
      </w:r>
    </w:p>
    <w:p w14:paraId="1C7F9684" w14:textId="77777777" w:rsidR="00171AA8" w:rsidRPr="00731FE2" w:rsidRDefault="007935AB" w:rsidP="007832E7">
      <w:pPr>
        <w:pStyle w:val="a3"/>
        <w:numPr>
          <w:ilvl w:val="0"/>
          <w:numId w:val="69"/>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строительства пожарной части на пересечении ул. Фоменко и ул. Седлогорской (1 очередь строительства);</w:t>
      </w:r>
    </w:p>
    <w:p w14:paraId="65BDF8C1" w14:textId="77777777" w:rsidR="00171AA8" w:rsidRPr="00731FE2" w:rsidRDefault="007935AB" w:rsidP="007832E7">
      <w:pPr>
        <w:pStyle w:val="a3"/>
        <w:numPr>
          <w:ilvl w:val="0"/>
          <w:numId w:val="69"/>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закупки 1 специализированной машины (с лестницей 50 м);</w:t>
      </w:r>
    </w:p>
    <w:p w14:paraId="43FCE3CC" w14:textId="77777777" w:rsidR="00171AA8" w:rsidRPr="00731FE2" w:rsidRDefault="007935AB" w:rsidP="007832E7">
      <w:pPr>
        <w:pStyle w:val="a3"/>
        <w:numPr>
          <w:ilvl w:val="0"/>
          <w:numId w:val="69"/>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повышение численности личного состава до нормативной;</w:t>
      </w:r>
    </w:p>
    <w:p w14:paraId="57BBE139" w14:textId="77777777" w:rsidR="00171AA8" w:rsidRPr="00731FE2" w:rsidRDefault="007935AB" w:rsidP="007832E7">
      <w:pPr>
        <w:pStyle w:val="a3"/>
        <w:numPr>
          <w:ilvl w:val="0"/>
          <w:numId w:val="69"/>
        </w:num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строительство нового здания пожарной части по ул. Главная, 95.</w:t>
      </w:r>
    </w:p>
    <w:p w14:paraId="5DBC38EC" w14:textId="77777777" w:rsidR="00D77F5C" w:rsidRPr="00731FE2" w:rsidRDefault="00D77F5C">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rPr>
        <w:sectPr w:rsidR="00D77F5C" w:rsidRPr="00731FE2">
          <w:pgSz w:w="11906" w:h="16838"/>
          <w:pgMar w:top="1134" w:right="850" w:bottom="1134" w:left="1701" w:header="709" w:footer="709" w:gutter="0"/>
          <w:cols w:space="708"/>
          <w:docGrid w:linePitch="360"/>
        </w:sectPr>
      </w:pPr>
    </w:p>
    <w:p w14:paraId="18E0A12F" w14:textId="77777777" w:rsidR="00171AA8" w:rsidRPr="00731FE2" w:rsidRDefault="007935AB">
      <w:pPr>
        <w:pStyle w:val="13"/>
        <w:rPr>
          <w:rFonts w:ascii="Times New Roman" w:hAnsi="Times New Roman" w:cs="Times New Roman"/>
        </w:rPr>
      </w:pPr>
      <w:bookmarkStart w:id="101" w:name="_Toc177392851"/>
      <w:r w:rsidRPr="00731FE2">
        <w:rPr>
          <w:rFonts w:ascii="Times New Roman" w:hAnsi="Times New Roman" w:cs="Times New Roman"/>
        </w:rPr>
        <w:lastRenderedPageBreak/>
        <w:t>4. СВЕДЕНИЯ О ВИДАХ, НАЗНАЧЕНИИ И НАИМЕНОВАНИИ ПЛАНИРУЕМЫХ ДЛЯ РАЗМЕЩЕНИЯ НА ТЕРРИТОРИИ ГОРОДСКОГО ОКРУГА ОБЪЕКТОВ ФЕДЕРАЛЬНОГО ЗНАЧЕНИЯ, ОБЪЕКТОВ РЕГИОНАЛЬНОГО ЗНАЧЕНИЯ, ИХ ОСНОВНЫЕ ХАРАКТЕРИСТИКИ, МЕСТОПОЛОЖЕНИЕ, ХАРАКТЕРИСТИКИ ЗОН С ОСОБЫМИ УСЛОВИЯМИ ИСПОЛЬЗОВАНИЯ ТЕРРИТОРИЙ</w:t>
      </w:r>
      <w:bookmarkEnd w:id="101"/>
    </w:p>
    <w:p w14:paraId="7C944DAE" w14:textId="77777777" w:rsidR="00171AA8" w:rsidRPr="00731FE2" w:rsidRDefault="00FC1D9B" w:rsidP="00FC1D9B">
      <w:pPr>
        <w:pStyle w:val="33"/>
      </w:pPr>
      <w:bookmarkStart w:id="102" w:name="_Toc177392852"/>
      <w:r w:rsidRPr="00731FE2">
        <w:rPr>
          <w:rFonts w:ascii="Times New Roman" w:hAnsi="Times New Roman" w:cs="Times New Roman"/>
        </w:rPr>
        <w:t xml:space="preserve">4.1 </w:t>
      </w:r>
      <w:r w:rsidR="007935AB" w:rsidRPr="00731FE2">
        <w:rPr>
          <w:rFonts w:ascii="Times New Roman" w:hAnsi="Times New Roman" w:cs="Times New Roman"/>
        </w:rPr>
        <w:t>Объекты федерального значения</w:t>
      </w:r>
      <w:bookmarkEnd w:id="102"/>
    </w:p>
    <w:tbl>
      <w:tblPr>
        <w:tblStyle w:val="afe"/>
        <w:tblW w:w="14596" w:type="dxa"/>
        <w:tblLayout w:type="fixed"/>
        <w:tblCellMar>
          <w:left w:w="57" w:type="dxa"/>
          <w:right w:w="57" w:type="dxa"/>
        </w:tblCellMar>
        <w:tblLook w:val="04A0" w:firstRow="1" w:lastRow="0" w:firstColumn="1" w:lastColumn="0" w:noHBand="0" w:noVBand="1"/>
      </w:tblPr>
      <w:tblGrid>
        <w:gridCol w:w="355"/>
        <w:gridCol w:w="2901"/>
        <w:gridCol w:w="4536"/>
        <w:gridCol w:w="1984"/>
        <w:gridCol w:w="1276"/>
        <w:gridCol w:w="3544"/>
      </w:tblGrid>
      <w:tr w:rsidR="00171AA8" w:rsidRPr="00731FE2" w14:paraId="20CB0A5E" w14:textId="77777777" w:rsidTr="00FC1D9B">
        <w:tc>
          <w:tcPr>
            <w:tcW w:w="355" w:type="dxa"/>
            <w:vAlign w:val="center"/>
          </w:tcPr>
          <w:p w14:paraId="60750299" w14:textId="77777777" w:rsidR="00171AA8" w:rsidRPr="00731FE2" w:rsidRDefault="007935AB" w:rsidP="003C6773">
            <w:pPr>
              <w:pBdr>
                <w:top w:val="none" w:sz="4" w:space="0" w:color="000000"/>
                <w:left w:val="none" w:sz="4" w:space="0" w:color="000000"/>
                <w:bottom w:val="none" w:sz="4" w:space="0" w:color="000000"/>
                <w:right w:val="none" w:sz="4" w:space="0" w:color="000000"/>
              </w:pBdr>
              <w:spacing w:line="17" w:lineRule="atLeast"/>
              <w:ind w:firstLine="0"/>
              <w:jc w:val="center"/>
              <w:rPr>
                <w:rFonts w:ascii="Times New Roman" w:hAnsi="Times New Roman" w:cs="Times New Roman"/>
                <w:sz w:val="20"/>
                <w:szCs w:val="20"/>
              </w:rPr>
            </w:pPr>
            <w:r w:rsidRPr="00731FE2">
              <w:rPr>
                <w:rFonts w:ascii="Times New Roman" w:eastAsia="Times New Roman" w:hAnsi="Times New Roman" w:cs="Times New Roman"/>
                <w:b/>
                <w:color w:val="000000"/>
                <w:spacing w:val="2"/>
                <w:sz w:val="20"/>
                <w:szCs w:val="20"/>
              </w:rPr>
              <w:t>№</w:t>
            </w:r>
          </w:p>
        </w:tc>
        <w:tc>
          <w:tcPr>
            <w:tcW w:w="2901" w:type="dxa"/>
            <w:vAlign w:val="center"/>
          </w:tcPr>
          <w:p w14:paraId="03F18120" w14:textId="77777777" w:rsidR="00171AA8" w:rsidRPr="00731FE2" w:rsidRDefault="007935AB" w:rsidP="003C6773">
            <w:pPr>
              <w:pBdr>
                <w:top w:val="none" w:sz="4" w:space="0" w:color="000000"/>
                <w:left w:val="none" w:sz="4" w:space="0" w:color="000000"/>
                <w:bottom w:val="none" w:sz="4" w:space="0" w:color="000000"/>
                <w:right w:val="none" w:sz="4" w:space="0" w:color="000000"/>
              </w:pBdr>
              <w:spacing w:line="17" w:lineRule="atLeast"/>
              <w:ind w:firstLine="0"/>
              <w:jc w:val="center"/>
              <w:rPr>
                <w:rFonts w:ascii="Times New Roman" w:hAnsi="Times New Roman" w:cs="Times New Roman"/>
                <w:sz w:val="20"/>
                <w:szCs w:val="20"/>
              </w:rPr>
            </w:pPr>
            <w:r w:rsidRPr="00731FE2">
              <w:rPr>
                <w:rFonts w:ascii="Times New Roman" w:eastAsia="Times New Roman" w:hAnsi="Times New Roman" w:cs="Times New Roman"/>
                <w:b/>
                <w:color w:val="000000"/>
                <w:spacing w:val="2"/>
                <w:sz w:val="20"/>
                <w:szCs w:val="20"/>
              </w:rPr>
              <w:t>Наименование</w:t>
            </w:r>
          </w:p>
        </w:tc>
        <w:tc>
          <w:tcPr>
            <w:tcW w:w="4536" w:type="dxa"/>
            <w:vAlign w:val="center"/>
          </w:tcPr>
          <w:p w14:paraId="62F35E6C" w14:textId="77777777" w:rsidR="00171AA8" w:rsidRPr="00731FE2" w:rsidRDefault="007935AB" w:rsidP="003C6773">
            <w:pPr>
              <w:pBdr>
                <w:top w:val="none" w:sz="4" w:space="0" w:color="000000"/>
                <w:left w:val="none" w:sz="4" w:space="0" w:color="000000"/>
                <w:bottom w:val="none" w:sz="4" w:space="0" w:color="000000"/>
                <w:right w:val="none" w:sz="4" w:space="0" w:color="000000"/>
              </w:pBdr>
              <w:spacing w:line="17" w:lineRule="atLeast"/>
              <w:ind w:firstLine="0"/>
              <w:jc w:val="center"/>
              <w:rPr>
                <w:rFonts w:ascii="Times New Roman" w:hAnsi="Times New Roman" w:cs="Times New Roman"/>
                <w:sz w:val="20"/>
                <w:szCs w:val="20"/>
              </w:rPr>
            </w:pPr>
            <w:r w:rsidRPr="00731FE2">
              <w:rPr>
                <w:rFonts w:ascii="Times New Roman" w:eastAsia="Times New Roman" w:hAnsi="Times New Roman" w:cs="Times New Roman"/>
                <w:b/>
                <w:color w:val="000000"/>
                <w:spacing w:val="2"/>
                <w:sz w:val="20"/>
                <w:szCs w:val="20"/>
              </w:rPr>
              <w:t>Характеристика</w:t>
            </w:r>
          </w:p>
        </w:tc>
        <w:tc>
          <w:tcPr>
            <w:tcW w:w="1984" w:type="dxa"/>
            <w:vAlign w:val="center"/>
          </w:tcPr>
          <w:p w14:paraId="2D7A3F1C" w14:textId="77777777" w:rsidR="00171AA8" w:rsidRPr="00731FE2" w:rsidRDefault="007935AB" w:rsidP="003C6773">
            <w:pPr>
              <w:pBdr>
                <w:top w:val="none" w:sz="4" w:space="0" w:color="000000"/>
                <w:left w:val="none" w:sz="4" w:space="0" w:color="000000"/>
                <w:bottom w:val="none" w:sz="4" w:space="0" w:color="000000"/>
                <w:right w:val="none" w:sz="4" w:space="0" w:color="000000"/>
              </w:pBdr>
              <w:spacing w:line="17" w:lineRule="atLeast"/>
              <w:ind w:firstLine="0"/>
              <w:jc w:val="center"/>
              <w:rPr>
                <w:rFonts w:ascii="Times New Roman" w:hAnsi="Times New Roman" w:cs="Times New Roman"/>
                <w:sz w:val="20"/>
                <w:szCs w:val="20"/>
              </w:rPr>
            </w:pPr>
            <w:r w:rsidRPr="00731FE2">
              <w:rPr>
                <w:rFonts w:ascii="Times New Roman" w:eastAsia="Times New Roman" w:hAnsi="Times New Roman" w:cs="Times New Roman"/>
                <w:b/>
                <w:color w:val="000000"/>
                <w:spacing w:val="2"/>
                <w:sz w:val="20"/>
                <w:szCs w:val="20"/>
              </w:rPr>
              <w:t>Местоположение</w:t>
            </w:r>
          </w:p>
        </w:tc>
        <w:tc>
          <w:tcPr>
            <w:tcW w:w="1276" w:type="dxa"/>
            <w:vAlign w:val="center"/>
          </w:tcPr>
          <w:p w14:paraId="45D3E1E6" w14:textId="77777777" w:rsidR="00171AA8" w:rsidRPr="00731FE2" w:rsidRDefault="007935AB" w:rsidP="003C6773">
            <w:pPr>
              <w:pBdr>
                <w:top w:val="none" w:sz="4" w:space="0" w:color="000000"/>
                <w:left w:val="none" w:sz="4" w:space="0" w:color="000000"/>
                <w:bottom w:val="none" w:sz="4" w:space="0" w:color="000000"/>
                <w:right w:val="none" w:sz="4" w:space="0" w:color="000000"/>
              </w:pBdr>
              <w:spacing w:line="17" w:lineRule="atLeast"/>
              <w:ind w:firstLine="0"/>
              <w:jc w:val="center"/>
              <w:rPr>
                <w:rFonts w:ascii="Times New Roman" w:hAnsi="Times New Roman" w:cs="Times New Roman"/>
                <w:sz w:val="20"/>
                <w:szCs w:val="20"/>
              </w:rPr>
            </w:pPr>
            <w:r w:rsidRPr="00731FE2">
              <w:rPr>
                <w:rFonts w:ascii="Times New Roman" w:eastAsia="Times New Roman" w:hAnsi="Times New Roman" w:cs="Times New Roman"/>
                <w:b/>
                <w:color w:val="000000"/>
                <w:spacing w:val="2"/>
                <w:sz w:val="20"/>
                <w:szCs w:val="20"/>
              </w:rPr>
              <w:t>Срок реализации</w:t>
            </w:r>
          </w:p>
        </w:tc>
        <w:tc>
          <w:tcPr>
            <w:tcW w:w="3544" w:type="dxa"/>
            <w:vAlign w:val="center"/>
          </w:tcPr>
          <w:p w14:paraId="6C8E0E64" w14:textId="77777777" w:rsidR="00171AA8" w:rsidRPr="00731FE2" w:rsidRDefault="007935AB" w:rsidP="003C6773">
            <w:pPr>
              <w:pBdr>
                <w:top w:val="none" w:sz="4" w:space="0" w:color="000000"/>
                <w:left w:val="none" w:sz="4" w:space="0" w:color="000000"/>
                <w:bottom w:val="none" w:sz="4" w:space="0" w:color="000000"/>
                <w:right w:val="none" w:sz="4" w:space="0" w:color="000000"/>
              </w:pBdr>
              <w:spacing w:line="17" w:lineRule="atLeast"/>
              <w:ind w:firstLine="0"/>
              <w:jc w:val="center"/>
              <w:rPr>
                <w:rFonts w:ascii="Times New Roman" w:hAnsi="Times New Roman" w:cs="Times New Roman"/>
                <w:sz w:val="20"/>
                <w:szCs w:val="20"/>
              </w:rPr>
            </w:pPr>
            <w:r w:rsidRPr="00731FE2">
              <w:rPr>
                <w:rFonts w:ascii="Times New Roman" w:eastAsia="Times New Roman" w:hAnsi="Times New Roman" w:cs="Times New Roman"/>
                <w:b/>
                <w:color w:val="000000"/>
                <w:spacing w:val="2"/>
                <w:sz w:val="20"/>
                <w:szCs w:val="20"/>
              </w:rPr>
              <w:t>Реквизиты документа территориального планирования</w:t>
            </w:r>
          </w:p>
        </w:tc>
      </w:tr>
      <w:tr w:rsidR="00171AA8" w:rsidRPr="00731FE2" w14:paraId="09772B51" w14:textId="77777777" w:rsidTr="00FC1D9B">
        <w:trPr>
          <w:trHeight w:val="230"/>
        </w:trPr>
        <w:tc>
          <w:tcPr>
            <w:tcW w:w="14596" w:type="dxa"/>
            <w:gridSpan w:val="6"/>
            <w:vAlign w:val="center"/>
          </w:tcPr>
          <w:p w14:paraId="28596B54" w14:textId="77777777" w:rsidR="00171AA8" w:rsidRPr="00731FE2" w:rsidRDefault="007935AB" w:rsidP="003C6773">
            <w:pPr>
              <w:pBdr>
                <w:top w:val="none" w:sz="4" w:space="0" w:color="000000"/>
                <w:left w:val="none" w:sz="4" w:space="0" w:color="000000"/>
                <w:bottom w:val="none" w:sz="4" w:space="0" w:color="000000"/>
                <w:right w:val="none" w:sz="4" w:space="0" w:color="000000"/>
              </w:pBdr>
              <w:spacing w:line="17" w:lineRule="atLeast"/>
              <w:ind w:firstLine="0"/>
              <w:jc w:val="center"/>
              <w:rPr>
                <w:rFonts w:ascii="Times New Roman" w:eastAsia="Times New Roman" w:hAnsi="Times New Roman" w:cs="Times New Roman"/>
                <w:b/>
                <w:bCs/>
                <w:color w:val="000000"/>
                <w:spacing w:val="2"/>
                <w:sz w:val="20"/>
                <w:szCs w:val="20"/>
              </w:rPr>
            </w:pPr>
            <w:r w:rsidRPr="00731FE2">
              <w:rPr>
                <w:rFonts w:ascii="Times New Roman" w:eastAsia="Times New Roman" w:hAnsi="Times New Roman" w:cs="Times New Roman"/>
                <w:b/>
                <w:bCs/>
                <w:color w:val="000000"/>
                <w:spacing w:val="2"/>
                <w:sz w:val="20"/>
                <w:szCs w:val="20"/>
              </w:rPr>
              <w:t xml:space="preserve">В области </w:t>
            </w:r>
            <w:r w:rsidRPr="00731FE2">
              <w:rPr>
                <w:rFonts w:ascii="Times New Roman" w:eastAsia="Times New Roman" w:hAnsi="Times New Roman" w:cs="Times New Roman"/>
                <w:b/>
                <w:bCs/>
                <w:color w:val="000000"/>
                <w:sz w:val="20"/>
                <w:szCs w:val="20"/>
              </w:rPr>
              <w:t>федерального транспорта (железнодорожного, воздушного, морского, внутреннего водного транспорта) и автомобильных дорог федерального значения</w:t>
            </w:r>
          </w:p>
        </w:tc>
      </w:tr>
      <w:tr w:rsidR="00171AA8" w:rsidRPr="00731FE2" w14:paraId="2FBD93D8" w14:textId="77777777" w:rsidTr="00FC1D9B">
        <w:trPr>
          <w:trHeight w:val="230"/>
        </w:trPr>
        <w:tc>
          <w:tcPr>
            <w:tcW w:w="355" w:type="dxa"/>
            <w:vAlign w:val="center"/>
          </w:tcPr>
          <w:p w14:paraId="3BC585F0" w14:textId="77777777" w:rsidR="00171AA8" w:rsidRPr="00731FE2" w:rsidRDefault="00171AA8" w:rsidP="003C6773">
            <w:pPr>
              <w:pStyle w:val="a3"/>
              <w:numPr>
                <w:ilvl w:val="0"/>
                <w:numId w:val="54"/>
              </w:numPr>
              <w:pBdr>
                <w:top w:val="none" w:sz="4" w:space="0" w:color="000000"/>
                <w:left w:val="none" w:sz="4" w:space="0" w:color="000000"/>
                <w:bottom w:val="none" w:sz="4" w:space="0" w:color="000000"/>
                <w:right w:val="none" w:sz="4" w:space="0" w:color="000000"/>
              </w:pBdr>
              <w:spacing w:line="17" w:lineRule="atLeast"/>
              <w:ind w:left="0" w:firstLine="0"/>
              <w:jc w:val="center"/>
              <w:rPr>
                <w:rFonts w:ascii="Times New Roman" w:eastAsia="Times New Roman" w:hAnsi="Times New Roman" w:cs="Times New Roman"/>
                <w:color w:val="000000"/>
                <w:spacing w:val="2"/>
                <w:sz w:val="20"/>
                <w:szCs w:val="20"/>
              </w:rPr>
            </w:pPr>
          </w:p>
        </w:tc>
        <w:tc>
          <w:tcPr>
            <w:tcW w:w="2901" w:type="dxa"/>
            <w:vAlign w:val="center"/>
          </w:tcPr>
          <w:p w14:paraId="23B014EB" w14:textId="77777777" w:rsidR="00171AA8" w:rsidRPr="00731FE2" w:rsidRDefault="007935AB" w:rsidP="003C6773">
            <w:pPr>
              <w:pBdr>
                <w:top w:val="none" w:sz="4" w:space="0" w:color="000000"/>
                <w:left w:val="none" w:sz="4" w:space="0" w:color="000000"/>
                <w:bottom w:val="none" w:sz="4" w:space="0" w:color="000000"/>
                <w:right w:val="none" w:sz="4" w:space="0" w:color="000000"/>
              </w:pBdr>
              <w:spacing w:line="17" w:lineRule="atLeast"/>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Автомобильная дорога А-157 Минеральные Воды (аэропорт) – Кисловодск (гг. Ессентуки, Кисловодск, Предгорный, Минераловодский районы)</w:t>
            </w:r>
          </w:p>
        </w:tc>
        <w:tc>
          <w:tcPr>
            <w:tcW w:w="4536" w:type="dxa"/>
            <w:vAlign w:val="center"/>
          </w:tcPr>
          <w:p w14:paraId="351F2ED9" w14:textId="77777777" w:rsidR="00171AA8" w:rsidRPr="00731FE2" w:rsidRDefault="007935AB" w:rsidP="003C6773">
            <w:pPr>
              <w:pBdr>
                <w:top w:val="none" w:sz="4" w:space="0" w:color="000000"/>
                <w:left w:val="none" w:sz="4" w:space="0" w:color="000000"/>
                <w:bottom w:val="none" w:sz="4" w:space="0" w:color="000000"/>
                <w:right w:val="none" w:sz="4" w:space="0" w:color="000000"/>
              </w:pBdr>
              <w:spacing w:line="17" w:lineRule="atLeast"/>
              <w:ind w:firstLine="0"/>
              <w:rPr>
                <w:rFonts w:ascii="Times New Roman" w:hAnsi="Times New Roman" w:cs="Times New Roman"/>
                <w:sz w:val="22"/>
              </w:rPr>
            </w:pPr>
            <w:r w:rsidRPr="00731FE2">
              <w:rPr>
                <w:rFonts w:ascii="Times New Roman" w:eastAsia="Times New Roman" w:hAnsi="Times New Roman" w:cs="Times New Roman"/>
                <w:color w:val="000000"/>
                <w:sz w:val="20"/>
                <w:szCs w:val="20"/>
              </w:rPr>
              <w:t>реконструкция автомобильной дороги на участках:</w:t>
            </w:r>
          </w:p>
          <w:p w14:paraId="08550C82" w14:textId="77777777" w:rsidR="00171AA8" w:rsidRPr="00731FE2" w:rsidRDefault="007935AB" w:rsidP="003C6773">
            <w:pPr>
              <w:pBdr>
                <w:top w:val="none" w:sz="4" w:space="0" w:color="000000"/>
                <w:left w:val="none" w:sz="4" w:space="0" w:color="000000"/>
                <w:bottom w:val="none" w:sz="4" w:space="0" w:color="000000"/>
                <w:right w:val="none" w:sz="4" w:space="0" w:color="000000"/>
              </w:pBdr>
              <w:spacing w:line="17" w:lineRule="atLeast"/>
              <w:ind w:firstLine="0"/>
              <w:rPr>
                <w:rFonts w:ascii="Times New Roman" w:hAnsi="Times New Roman" w:cs="Times New Roman"/>
                <w:sz w:val="22"/>
              </w:rPr>
            </w:pPr>
            <w:r w:rsidRPr="00731FE2">
              <w:rPr>
                <w:rFonts w:ascii="Times New Roman" w:eastAsia="Times New Roman" w:hAnsi="Times New Roman" w:cs="Times New Roman"/>
                <w:color w:val="000000"/>
                <w:sz w:val="20"/>
                <w:szCs w:val="20"/>
              </w:rPr>
              <w:t>1) км 0 – км 1+600 протяженностью 1,6 км, категория IA;</w:t>
            </w:r>
          </w:p>
          <w:p w14:paraId="41CD8A41" w14:textId="77777777" w:rsidR="00171AA8" w:rsidRPr="00731FE2" w:rsidRDefault="007935AB" w:rsidP="003C6773">
            <w:pPr>
              <w:pBdr>
                <w:top w:val="none" w:sz="4" w:space="0" w:color="000000"/>
                <w:left w:val="none" w:sz="4" w:space="0" w:color="000000"/>
                <w:bottom w:val="none" w:sz="4" w:space="0" w:color="000000"/>
                <w:right w:val="none" w:sz="4" w:space="0" w:color="000000"/>
              </w:pBdr>
              <w:spacing w:line="17" w:lineRule="atLeast"/>
              <w:ind w:firstLine="0"/>
              <w:rPr>
                <w:rFonts w:ascii="Times New Roman" w:hAnsi="Times New Roman" w:cs="Times New Roman"/>
                <w:sz w:val="22"/>
              </w:rPr>
            </w:pPr>
            <w:r w:rsidRPr="00731FE2">
              <w:rPr>
                <w:rFonts w:ascii="Times New Roman" w:eastAsia="Times New Roman" w:hAnsi="Times New Roman" w:cs="Times New Roman"/>
                <w:color w:val="000000"/>
                <w:sz w:val="20"/>
                <w:szCs w:val="20"/>
              </w:rPr>
              <w:t>2) км 1+600 – км 27+800 протяженностью 26,2 км, категория IБ;</w:t>
            </w:r>
          </w:p>
          <w:p w14:paraId="053DADD8" w14:textId="77777777" w:rsidR="00171AA8" w:rsidRPr="00731FE2" w:rsidRDefault="007935AB" w:rsidP="003C6773">
            <w:pPr>
              <w:pBdr>
                <w:top w:val="none" w:sz="4" w:space="0" w:color="000000"/>
                <w:left w:val="none" w:sz="4" w:space="0" w:color="000000"/>
                <w:bottom w:val="none" w:sz="4" w:space="0" w:color="000000"/>
                <w:right w:val="none" w:sz="4" w:space="0" w:color="000000"/>
              </w:pBdr>
              <w:spacing w:line="17" w:lineRule="atLeast"/>
              <w:ind w:firstLine="0"/>
              <w:rPr>
                <w:rFonts w:ascii="Times New Roman" w:hAnsi="Times New Roman" w:cs="Times New Roman"/>
                <w:sz w:val="22"/>
              </w:rPr>
            </w:pPr>
            <w:r w:rsidRPr="00731FE2">
              <w:rPr>
                <w:rFonts w:ascii="Times New Roman" w:eastAsia="Times New Roman" w:hAnsi="Times New Roman" w:cs="Times New Roman"/>
                <w:color w:val="000000"/>
                <w:sz w:val="20"/>
                <w:szCs w:val="20"/>
              </w:rPr>
              <w:t>3) км 27+800 - км 37+000 протяженностью 9,2 км, категория IA;</w:t>
            </w:r>
          </w:p>
          <w:p w14:paraId="2A42DCDC" w14:textId="77777777" w:rsidR="00171AA8" w:rsidRPr="00731FE2" w:rsidRDefault="007935AB" w:rsidP="003C6773">
            <w:pPr>
              <w:pBdr>
                <w:top w:val="none" w:sz="4" w:space="0" w:color="000000"/>
                <w:left w:val="none" w:sz="4" w:space="0" w:color="000000"/>
                <w:bottom w:val="none" w:sz="4" w:space="0" w:color="000000"/>
                <w:right w:val="none" w:sz="4" w:space="0" w:color="000000"/>
              </w:pBdr>
              <w:spacing w:line="17" w:lineRule="atLeast"/>
              <w:ind w:firstLine="0"/>
              <w:rPr>
                <w:rFonts w:ascii="Times New Roman" w:hAnsi="Times New Roman" w:cs="Times New Roman"/>
                <w:sz w:val="22"/>
              </w:rPr>
            </w:pPr>
            <w:r w:rsidRPr="00731FE2">
              <w:rPr>
                <w:rFonts w:ascii="Times New Roman" w:eastAsia="Times New Roman" w:hAnsi="Times New Roman" w:cs="Times New Roman"/>
                <w:color w:val="000000"/>
                <w:sz w:val="20"/>
                <w:szCs w:val="20"/>
              </w:rPr>
              <w:t>4) км 37+000 - км 46+480 протяженностью 9,48 км, категория IБ;</w:t>
            </w:r>
          </w:p>
          <w:p w14:paraId="621FAFE6" w14:textId="77777777" w:rsidR="00171AA8" w:rsidRPr="00731FE2" w:rsidRDefault="007935AB" w:rsidP="003C6773">
            <w:pPr>
              <w:pBdr>
                <w:top w:val="none" w:sz="4" w:space="0" w:color="000000"/>
                <w:left w:val="none" w:sz="4" w:space="0" w:color="000000"/>
                <w:bottom w:val="none" w:sz="4" w:space="0" w:color="000000"/>
                <w:right w:val="none" w:sz="4" w:space="0" w:color="000000"/>
              </w:pBdr>
              <w:spacing w:line="17" w:lineRule="atLeast"/>
              <w:ind w:firstLine="0"/>
              <w:rPr>
                <w:rFonts w:ascii="Times New Roman" w:hAnsi="Times New Roman" w:cs="Times New Roman"/>
                <w:sz w:val="22"/>
              </w:rPr>
            </w:pPr>
            <w:r w:rsidRPr="00731FE2">
              <w:rPr>
                <w:rFonts w:ascii="Times New Roman" w:eastAsia="Times New Roman" w:hAnsi="Times New Roman" w:cs="Times New Roman"/>
                <w:color w:val="000000"/>
                <w:sz w:val="20"/>
                <w:szCs w:val="20"/>
              </w:rPr>
              <w:t>5) км 46+480 - км 46+880 протяженностью 0,4 км, категория IA;</w:t>
            </w:r>
          </w:p>
          <w:p w14:paraId="74ABEB6F" w14:textId="77777777" w:rsidR="00171AA8" w:rsidRPr="00731FE2" w:rsidRDefault="007935AB" w:rsidP="003C6773">
            <w:pPr>
              <w:pBdr>
                <w:top w:val="none" w:sz="4" w:space="0" w:color="000000"/>
                <w:left w:val="none" w:sz="4" w:space="0" w:color="000000"/>
                <w:bottom w:val="none" w:sz="4" w:space="0" w:color="000000"/>
                <w:right w:val="none" w:sz="4" w:space="0" w:color="000000"/>
              </w:pBdr>
              <w:spacing w:line="17" w:lineRule="atLeast"/>
              <w:ind w:firstLine="0"/>
              <w:rPr>
                <w:rFonts w:ascii="Times New Roman" w:hAnsi="Times New Roman" w:cs="Times New Roman"/>
                <w:sz w:val="22"/>
              </w:rPr>
            </w:pPr>
            <w:r w:rsidRPr="00731FE2">
              <w:rPr>
                <w:rFonts w:ascii="Times New Roman" w:eastAsia="Times New Roman" w:hAnsi="Times New Roman" w:cs="Times New Roman"/>
                <w:color w:val="000000"/>
                <w:sz w:val="20"/>
                <w:szCs w:val="20"/>
              </w:rPr>
              <w:t>6) подъезд к г. Железноводску на участке от км 11+560 протяженностью 1,6 км, категория IБ.</w:t>
            </w:r>
          </w:p>
        </w:tc>
        <w:tc>
          <w:tcPr>
            <w:tcW w:w="1984" w:type="dxa"/>
            <w:vAlign w:val="center"/>
          </w:tcPr>
          <w:p w14:paraId="0273FC36" w14:textId="77777777" w:rsidR="00171AA8" w:rsidRPr="00731FE2" w:rsidRDefault="007935AB" w:rsidP="003C6773">
            <w:pPr>
              <w:pBdr>
                <w:top w:val="none" w:sz="4" w:space="0" w:color="000000"/>
                <w:left w:val="none" w:sz="4" w:space="0" w:color="000000"/>
                <w:bottom w:val="none" w:sz="4" w:space="0" w:color="000000"/>
                <w:right w:val="none" w:sz="4" w:space="0" w:color="000000"/>
              </w:pBdr>
              <w:spacing w:line="17" w:lineRule="atLeast"/>
              <w:ind w:firstLine="0"/>
              <w:jc w:val="center"/>
              <w:rPr>
                <w:rFonts w:ascii="Times New Roman" w:hAnsi="Times New Roman" w:cs="Times New Roman"/>
                <w:sz w:val="22"/>
              </w:rPr>
            </w:pPr>
            <w:r w:rsidRPr="00731FE2">
              <w:rPr>
                <w:rFonts w:ascii="Times New Roman" w:eastAsia="Times New Roman" w:hAnsi="Times New Roman" w:cs="Times New Roman"/>
                <w:color w:val="000000"/>
                <w:sz w:val="20"/>
                <w:szCs w:val="20"/>
              </w:rPr>
              <w:t>г. Ессентуки, г. Кисловодск, Предгорный, Минераловодский районы</w:t>
            </w:r>
          </w:p>
        </w:tc>
        <w:tc>
          <w:tcPr>
            <w:tcW w:w="1276" w:type="dxa"/>
            <w:vAlign w:val="center"/>
          </w:tcPr>
          <w:p w14:paraId="369F52E6" w14:textId="77777777" w:rsidR="00171AA8" w:rsidRPr="00731FE2" w:rsidRDefault="007935AB" w:rsidP="003C6773">
            <w:pPr>
              <w:pBdr>
                <w:top w:val="none" w:sz="4" w:space="0" w:color="000000"/>
                <w:left w:val="none" w:sz="4" w:space="0" w:color="000000"/>
                <w:bottom w:val="none" w:sz="4" w:space="0" w:color="000000"/>
                <w:right w:val="none" w:sz="4" w:space="0" w:color="000000"/>
              </w:pBdr>
              <w:spacing w:line="17" w:lineRule="atLeast"/>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до 2025 года</w:t>
            </w:r>
          </w:p>
        </w:tc>
        <w:tc>
          <w:tcPr>
            <w:tcW w:w="3544" w:type="dxa"/>
            <w:vAlign w:val="center"/>
          </w:tcPr>
          <w:p w14:paraId="193C0CA3" w14:textId="77777777" w:rsidR="00171AA8" w:rsidRPr="00731FE2" w:rsidRDefault="007935AB" w:rsidP="003C6773">
            <w:pPr>
              <w:pBdr>
                <w:top w:val="none" w:sz="4" w:space="0" w:color="000000"/>
                <w:left w:val="none" w:sz="4" w:space="0" w:color="000000"/>
                <w:bottom w:val="none" w:sz="4" w:space="0" w:color="000000"/>
                <w:right w:val="none" w:sz="4" w:space="0" w:color="000000"/>
              </w:pBdr>
              <w:spacing w:line="17" w:lineRule="atLeast"/>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 xml:space="preserve">Схема территориального планирования Российской Федерации области федерального транспорта (железнодорожного, воздушного, морского, внутреннего водного транспорта) и автомобильных дорог федерального </w:t>
            </w:r>
            <w:r w:rsidR="00FC1D9B" w:rsidRPr="00731FE2">
              <w:rPr>
                <w:rFonts w:ascii="Times New Roman" w:eastAsia="Times New Roman" w:hAnsi="Times New Roman" w:cs="Times New Roman"/>
                <w:color w:val="000000"/>
                <w:sz w:val="20"/>
                <w:szCs w:val="20"/>
              </w:rPr>
              <w:t>значения,</w:t>
            </w:r>
            <w:r w:rsidRPr="00731FE2">
              <w:rPr>
                <w:rFonts w:ascii="Times New Roman" w:eastAsia="Times New Roman" w:hAnsi="Times New Roman" w:cs="Times New Roman"/>
                <w:color w:val="000000"/>
                <w:sz w:val="20"/>
                <w:szCs w:val="20"/>
              </w:rPr>
              <w:t xml:space="preserve"> утв. распоряжением Правительства Российской Федерации от 19.03.2013 №384-Р (с изменениями на 22.11.2023 г.).</w:t>
            </w:r>
          </w:p>
        </w:tc>
      </w:tr>
      <w:tr w:rsidR="00171AA8" w:rsidRPr="00731FE2" w14:paraId="6B1F37DE" w14:textId="77777777" w:rsidTr="00FC1D9B">
        <w:trPr>
          <w:trHeight w:val="230"/>
        </w:trPr>
        <w:tc>
          <w:tcPr>
            <w:tcW w:w="355" w:type="dxa"/>
            <w:vAlign w:val="center"/>
          </w:tcPr>
          <w:p w14:paraId="2A53F95C" w14:textId="77777777" w:rsidR="00171AA8" w:rsidRPr="00731FE2" w:rsidRDefault="00171AA8" w:rsidP="003C6773">
            <w:pPr>
              <w:pStyle w:val="a3"/>
              <w:numPr>
                <w:ilvl w:val="0"/>
                <w:numId w:val="54"/>
              </w:numPr>
              <w:pBdr>
                <w:top w:val="none" w:sz="4" w:space="0" w:color="000000"/>
                <w:left w:val="none" w:sz="4" w:space="0" w:color="000000"/>
                <w:bottom w:val="none" w:sz="4" w:space="0" w:color="000000"/>
                <w:right w:val="none" w:sz="4" w:space="0" w:color="000000"/>
              </w:pBdr>
              <w:spacing w:line="17" w:lineRule="atLeast"/>
              <w:ind w:left="0" w:firstLine="0"/>
              <w:jc w:val="center"/>
              <w:rPr>
                <w:rFonts w:ascii="Times New Roman" w:eastAsia="Times New Roman" w:hAnsi="Times New Roman" w:cs="Times New Roman"/>
                <w:color w:val="000000"/>
                <w:spacing w:val="2"/>
                <w:sz w:val="20"/>
                <w:szCs w:val="20"/>
              </w:rPr>
            </w:pPr>
          </w:p>
        </w:tc>
        <w:tc>
          <w:tcPr>
            <w:tcW w:w="2901" w:type="dxa"/>
            <w:vAlign w:val="center"/>
          </w:tcPr>
          <w:p w14:paraId="7292138A" w14:textId="0F255596" w:rsidR="00171AA8" w:rsidRPr="00731FE2" w:rsidRDefault="004D62B6" w:rsidP="003C6773">
            <w:pPr>
              <w:pBdr>
                <w:top w:val="none" w:sz="4" w:space="0" w:color="000000"/>
                <w:left w:val="none" w:sz="4" w:space="0" w:color="000000"/>
                <w:bottom w:val="none" w:sz="4" w:space="0" w:color="000000"/>
                <w:right w:val="none" w:sz="4" w:space="0" w:color="000000"/>
              </w:pBdr>
              <w:spacing w:line="17" w:lineRule="atLeast"/>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sz w:val="20"/>
                <w:szCs w:val="20"/>
              </w:rPr>
              <w:t xml:space="preserve">Организация скоростного движения на участках железных дорог </w:t>
            </w:r>
            <w:r w:rsidR="007935AB" w:rsidRPr="00731FE2">
              <w:rPr>
                <w:rFonts w:ascii="Times New Roman" w:eastAsia="Times New Roman" w:hAnsi="Times New Roman" w:cs="Times New Roman"/>
                <w:color w:val="000000"/>
                <w:sz w:val="20"/>
                <w:szCs w:val="20"/>
              </w:rPr>
              <w:t>Ставрополь – Минеральные Воды – Кисловодск протяженностью 236,7 км (Шпаковский, Кочубеевский районы, г. Невинномысск, Андроповский, Минераловодский районы, гг. Минеральные Воды, Железноводск, Пятигорск, Ессентуки, Предгорный район, г. Кисловодск)</w:t>
            </w:r>
          </w:p>
        </w:tc>
        <w:tc>
          <w:tcPr>
            <w:tcW w:w="4536" w:type="dxa"/>
            <w:vAlign w:val="center"/>
          </w:tcPr>
          <w:p w14:paraId="69047C28" w14:textId="77777777" w:rsidR="00171AA8" w:rsidRPr="00731FE2" w:rsidRDefault="007935AB" w:rsidP="003C6773">
            <w:pPr>
              <w:pBdr>
                <w:top w:val="none" w:sz="4" w:space="0" w:color="000000"/>
                <w:left w:val="none" w:sz="4" w:space="0" w:color="000000"/>
                <w:bottom w:val="none" w:sz="4" w:space="0" w:color="000000"/>
                <w:right w:val="none" w:sz="4" w:space="0" w:color="000000"/>
              </w:pBdr>
              <w:spacing w:line="17" w:lineRule="atLeast"/>
              <w:ind w:firstLine="0"/>
              <w:jc w:val="center"/>
              <w:rPr>
                <w:rFonts w:ascii="Times New Roman" w:hAnsi="Times New Roman" w:cs="Times New Roman"/>
                <w:sz w:val="22"/>
              </w:rPr>
            </w:pPr>
            <w:r w:rsidRPr="00731FE2">
              <w:rPr>
                <w:rFonts w:ascii="Times New Roman" w:eastAsia="Times New Roman" w:hAnsi="Times New Roman" w:cs="Times New Roman"/>
                <w:color w:val="000000"/>
                <w:sz w:val="20"/>
                <w:szCs w:val="20"/>
              </w:rPr>
              <w:t>протяженность 236,7 км</w:t>
            </w:r>
          </w:p>
        </w:tc>
        <w:tc>
          <w:tcPr>
            <w:tcW w:w="1984" w:type="dxa"/>
            <w:vAlign w:val="center"/>
          </w:tcPr>
          <w:p w14:paraId="6C1C0171" w14:textId="77777777" w:rsidR="00171AA8" w:rsidRPr="00731FE2" w:rsidRDefault="007935AB" w:rsidP="003C6773">
            <w:pPr>
              <w:pBdr>
                <w:top w:val="none" w:sz="4" w:space="0" w:color="000000"/>
                <w:left w:val="none" w:sz="4" w:space="0" w:color="000000"/>
                <w:bottom w:val="none" w:sz="4" w:space="0" w:color="000000"/>
                <w:right w:val="none" w:sz="4" w:space="0" w:color="000000"/>
              </w:pBdr>
              <w:spacing w:line="17" w:lineRule="atLeast"/>
              <w:ind w:firstLine="0"/>
              <w:jc w:val="center"/>
              <w:rPr>
                <w:rFonts w:ascii="Times New Roman" w:hAnsi="Times New Roman" w:cs="Times New Roman"/>
                <w:sz w:val="22"/>
              </w:rPr>
            </w:pPr>
            <w:r w:rsidRPr="00731FE2">
              <w:rPr>
                <w:rFonts w:ascii="Times New Roman" w:eastAsia="Times New Roman" w:hAnsi="Times New Roman" w:cs="Times New Roman"/>
                <w:color w:val="000000"/>
                <w:sz w:val="20"/>
                <w:szCs w:val="20"/>
              </w:rPr>
              <w:t>Шпаковский, Кочубеевский районы, г. Невинномысск, Андроповский, Минераловодский районы, г. Минеральные Воды, г. Железноводск, г. Пятигорск, г. Ессентуки, Предгорный район, г. Кисловодск</w:t>
            </w:r>
          </w:p>
        </w:tc>
        <w:tc>
          <w:tcPr>
            <w:tcW w:w="1276" w:type="dxa"/>
            <w:vAlign w:val="center"/>
          </w:tcPr>
          <w:p w14:paraId="09703002" w14:textId="77777777" w:rsidR="00171AA8" w:rsidRPr="00731FE2" w:rsidRDefault="007935AB" w:rsidP="003C6773">
            <w:pPr>
              <w:pBdr>
                <w:top w:val="none" w:sz="4" w:space="0" w:color="000000"/>
                <w:left w:val="none" w:sz="4" w:space="0" w:color="000000"/>
                <w:bottom w:val="none" w:sz="4" w:space="0" w:color="000000"/>
                <w:right w:val="none" w:sz="4" w:space="0" w:color="000000"/>
              </w:pBdr>
              <w:spacing w:line="17" w:lineRule="atLeast"/>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до 2030 года</w:t>
            </w:r>
          </w:p>
        </w:tc>
        <w:tc>
          <w:tcPr>
            <w:tcW w:w="3544" w:type="dxa"/>
            <w:vAlign w:val="center"/>
          </w:tcPr>
          <w:p w14:paraId="2FEE7C31" w14:textId="77777777" w:rsidR="00171AA8" w:rsidRPr="00731FE2" w:rsidRDefault="007935AB" w:rsidP="003C6773">
            <w:pPr>
              <w:pBdr>
                <w:top w:val="none" w:sz="4" w:space="0" w:color="000000"/>
                <w:left w:val="none" w:sz="4" w:space="0" w:color="000000"/>
                <w:bottom w:val="none" w:sz="4" w:space="0" w:color="000000"/>
                <w:right w:val="none" w:sz="4" w:space="0" w:color="000000"/>
              </w:pBdr>
              <w:spacing w:line="17" w:lineRule="atLeast"/>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 xml:space="preserve">Схема территориального планирования Российской Федерации области федерального транспорта (железнодорожного, воздушного, морского, внутреннего водного транспорта) и автомобильных дорог федерального </w:t>
            </w:r>
            <w:r w:rsidR="00D77F5C" w:rsidRPr="00731FE2">
              <w:rPr>
                <w:rFonts w:ascii="Times New Roman" w:eastAsia="Times New Roman" w:hAnsi="Times New Roman" w:cs="Times New Roman"/>
                <w:color w:val="000000"/>
                <w:sz w:val="20"/>
                <w:szCs w:val="20"/>
              </w:rPr>
              <w:t>значения,</w:t>
            </w:r>
            <w:r w:rsidRPr="00731FE2">
              <w:rPr>
                <w:rFonts w:ascii="Times New Roman" w:eastAsia="Times New Roman" w:hAnsi="Times New Roman" w:cs="Times New Roman"/>
                <w:color w:val="000000"/>
                <w:sz w:val="20"/>
                <w:szCs w:val="20"/>
              </w:rPr>
              <w:t xml:space="preserve"> утв. распоряжением Правительства Российской Федерации от 19.03.2013 №384-Р (с изменениями на 22.11.2023 г.).</w:t>
            </w:r>
          </w:p>
        </w:tc>
      </w:tr>
      <w:tr w:rsidR="00171AA8" w:rsidRPr="00731FE2" w14:paraId="080C2D23" w14:textId="77777777" w:rsidTr="00FC1D9B">
        <w:trPr>
          <w:trHeight w:val="230"/>
        </w:trPr>
        <w:tc>
          <w:tcPr>
            <w:tcW w:w="14596" w:type="dxa"/>
            <w:gridSpan w:val="6"/>
            <w:vAlign w:val="center"/>
          </w:tcPr>
          <w:p w14:paraId="27AF3836" w14:textId="77777777" w:rsidR="00171AA8" w:rsidRPr="00731FE2" w:rsidRDefault="007935AB" w:rsidP="003C6773">
            <w:pPr>
              <w:pBdr>
                <w:top w:val="none" w:sz="4" w:space="0" w:color="000000"/>
                <w:left w:val="none" w:sz="4" w:space="0" w:color="000000"/>
                <w:bottom w:val="none" w:sz="4" w:space="0" w:color="000000"/>
                <w:right w:val="none" w:sz="4" w:space="0" w:color="000000"/>
              </w:pBdr>
              <w:spacing w:line="17" w:lineRule="atLeast"/>
              <w:ind w:firstLine="0"/>
              <w:rPr>
                <w:rFonts w:ascii="Times New Roman" w:eastAsia="Times New Roman" w:hAnsi="Times New Roman" w:cs="Times New Roman"/>
                <w:b/>
                <w:bCs/>
                <w:color w:val="000000"/>
                <w:spacing w:val="2"/>
                <w:sz w:val="20"/>
                <w:szCs w:val="20"/>
              </w:rPr>
            </w:pPr>
            <w:r w:rsidRPr="00731FE2">
              <w:rPr>
                <w:rFonts w:ascii="Times New Roman" w:eastAsia="Times New Roman" w:hAnsi="Times New Roman" w:cs="Times New Roman"/>
                <w:b/>
                <w:bCs/>
                <w:color w:val="000000"/>
                <w:sz w:val="20"/>
                <w:szCs w:val="20"/>
              </w:rPr>
              <w:lastRenderedPageBreak/>
              <w:t>В области здравоохранения</w:t>
            </w:r>
          </w:p>
        </w:tc>
      </w:tr>
      <w:tr w:rsidR="00171AA8" w:rsidRPr="00731FE2" w14:paraId="52C344FD" w14:textId="77777777" w:rsidTr="00FC1D9B">
        <w:trPr>
          <w:trHeight w:val="230"/>
        </w:trPr>
        <w:tc>
          <w:tcPr>
            <w:tcW w:w="355" w:type="dxa"/>
            <w:vAlign w:val="center"/>
          </w:tcPr>
          <w:p w14:paraId="562C500F" w14:textId="77777777" w:rsidR="00171AA8" w:rsidRPr="00731FE2" w:rsidRDefault="00171AA8" w:rsidP="003C6773">
            <w:pPr>
              <w:pStyle w:val="a3"/>
              <w:numPr>
                <w:ilvl w:val="0"/>
                <w:numId w:val="54"/>
              </w:numPr>
              <w:pBdr>
                <w:top w:val="none" w:sz="4" w:space="0" w:color="000000"/>
                <w:left w:val="none" w:sz="4" w:space="0" w:color="000000"/>
                <w:bottom w:val="none" w:sz="4" w:space="0" w:color="000000"/>
                <w:right w:val="none" w:sz="4" w:space="0" w:color="000000"/>
              </w:pBdr>
              <w:spacing w:line="17" w:lineRule="atLeast"/>
              <w:ind w:left="0" w:firstLine="0"/>
              <w:rPr>
                <w:rFonts w:ascii="Times New Roman" w:eastAsia="Times New Roman" w:hAnsi="Times New Roman" w:cs="Times New Roman"/>
                <w:color w:val="000000"/>
                <w:sz w:val="20"/>
                <w:szCs w:val="20"/>
              </w:rPr>
            </w:pPr>
          </w:p>
        </w:tc>
        <w:tc>
          <w:tcPr>
            <w:tcW w:w="2901" w:type="dxa"/>
            <w:vAlign w:val="center"/>
          </w:tcPr>
          <w:p w14:paraId="7D084010" w14:textId="77777777" w:rsidR="00171AA8" w:rsidRPr="00731FE2" w:rsidRDefault="007935AB" w:rsidP="003C6773">
            <w:pPr>
              <w:pBdr>
                <w:top w:val="none" w:sz="4" w:space="0" w:color="000000"/>
                <w:left w:val="none" w:sz="4" w:space="0" w:color="000000"/>
                <w:bottom w:val="none" w:sz="4" w:space="0" w:color="000000"/>
                <w:right w:val="none" w:sz="4" w:space="0" w:color="000000"/>
              </w:pBdr>
              <w:spacing w:line="17" w:lineRule="atLeast"/>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Строительство здания филиала Федерального государственного бюджетного учреждения «Всероссийский центр экстренной и радиационной медицины имени А. М. Никифорова» Министерства Российской Федерации по делам гражданской обороны, чрезвычайным ситуациям и ликвидации последствий стихийных бедствий</w:t>
            </w:r>
          </w:p>
        </w:tc>
        <w:tc>
          <w:tcPr>
            <w:tcW w:w="4536" w:type="dxa"/>
            <w:vAlign w:val="center"/>
          </w:tcPr>
          <w:p w14:paraId="408EA63D" w14:textId="77777777" w:rsidR="00171AA8" w:rsidRPr="00731FE2" w:rsidRDefault="007935AB" w:rsidP="003C6773">
            <w:pPr>
              <w:pBdr>
                <w:top w:val="none" w:sz="4" w:space="0" w:color="000000"/>
                <w:left w:val="none" w:sz="4" w:space="0" w:color="000000"/>
                <w:bottom w:val="none" w:sz="4" w:space="0" w:color="000000"/>
                <w:right w:val="none" w:sz="4" w:space="0" w:color="000000"/>
              </w:pBdr>
              <w:spacing w:line="17" w:lineRule="atLeast"/>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Количество объектов 1 ед., площадь 16581 м2, мощность 100 ед.</w:t>
            </w:r>
          </w:p>
        </w:tc>
        <w:tc>
          <w:tcPr>
            <w:tcW w:w="1984" w:type="dxa"/>
            <w:vAlign w:val="center"/>
          </w:tcPr>
          <w:p w14:paraId="3B8C58E3" w14:textId="77777777" w:rsidR="00171AA8" w:rsidRPr="00731FE2" w:rsidRDefault="007935AB" w:rsidP="003C6773">
            <w:pPr>
              <w:pBdr>
                <w:top w:val="none" w:sz="4" w:space="0" w:color="000000"/>
                <w:left w:val="none" w:sz="4" w:space="0" w:color="000000"/>
                <w:bottom w:val="none" w:sz="4" w:space="0" w:color="000000"/>
                <w:right w:val="none" w:sz="4" w:space="0" w:color="000000"/>
              </w:pBdr>
              <w:spacing w:line="17" w:lineRule="atLeast"/>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ГО «город-курорт Кисловодск», г. Кисловодск, проспект Победы, д. 24.</w:t>
            </w:r>
          </w:p>
          <w:p w14:paraId="123AD76E" w14:textId="77777777" w:rsidR="00171AA8" w:rsidRPr="00731FE2" w:rsidRDefault="007935AB" w:rsidP="003C6773">
            <w:pPr>
              <w:pBdr>
                <w:top w:val="none" w:sz="4" w:space="0" w:color="000000"/>
                <w:left w:val="none" w:sz="4" w:space="0" w:color="000000"/>
                <w:bottom w:val="none" w:sz="4" w:space="0" w:color="000000"/>
                <w:right w:val="none" w:sz="4" w:space="0" w:color="000000"/>
              </w:pBdr>
              <w:spacing w:line="17" w:lineRule="atLeast"/>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Особо охраняемая природная территория – курорт федерального значения Кисловодск.</w:t>
            </w:r>
          </w:p>
          <w:p w14:paraId="76675E11" w14:textId="77777777" w:rsidR="00171AA8" w:rsidRPr="00731FE2" w:rsidRDefault="007935AB" w:rsidP="003C6773">
            <w:pPr>
              <w:pBdr>
                <w:top w:val="none" w:sz="4" w:space="0" w:color="000000"/>
                <w:left w:val="none" w:sz="4" w:space="0" w:color="000000"/>
                <w:bottom w:val="none" w:sz="4" w:space="0" w:color="000000"/>
                <w:right w:val="none" w:sz="4" w:space="0" w:color="000000"/>
              </w:pBdr>
              <w:spacing w:line="17" w:lineRule="atLeast"/>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В границах 2-й зоны округа санитарной (горно-санитарной) охраны курорта г. Кисловодск</w:t>
            </w:r>
          </w:p>
        </w:tc>
        <w:tc>
          <w:tcPr>
            <w:tcW w:w="1276" w:type="dxa"/>
            <w:vAlign w:val="center"/>
          </w:tcPr>
          <w:p w14:paraId="76909A79" w14:textId="77777777" w:rsidR="00171AA8" w:rsidRPr="00731FE2" w:rsidRDefault="007935AB" w:rsidP="003C6773">
            <w:pPr>
              <w:pBdr>
                <w:top w:val="none" w:sz="4" w:space="0" w:color="000000"/>
                <w:left w:val="none" w:sz="4" w:space="0" w:color="000000"/>
                <w:bottom w:val="none" w:sz="4" w:space="0" w:color="000000"/>
                <w:right w:val="none" w:sz="4" w:space="0" w:color="000000"/>
              </w:pBdr>
              <w:spacing w:line="17" w:lineRule="atLeast"/>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до 2031 года</w:t>
            </w:r>
          </w:p>
        </w:tc>
        <w:tc>
          <w:tcPr>
            <w:tcW w:w="3544" w:type="dxa"/>
            <w:vAlign w:val="center"/>
          </w:tcPr>
          <w:p w14:paraId="24830E2B" w14:textId="77777777" w:rsidR="00171AA8" w:rsidRPr="00731FE2" w:rsidRDefault="007935AB" w:rsidP="003C6773">
            <w:pPr>
              <w:pBdr>
                <w:top w:val="none" w:sz="4" w:space="0" w:color="000000"/>
                <w:left w:val="none" w:sz="4" w:space="0" w:color="000000"/>
                <w:bottom w:val="none" w:sz="4" w:space="0" w:color="000000"/>
                <w:right w:val="none" w:sz="4" w:space="0" w:color="000000"/>
              </w:pBdr>
              <w:spacing w:line="17" w:lineRule="atLeast"/>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 xml:space="preserve">Схема территориального планирования Российской Федерации области </w:t>
            </w:r>
            <w:r w:rsidR="00D77F5C" w:rsidRPr="00731FE2">
              <w:rPr>
                <w:rFonts w:ascii="Times New Roman" w:eastAsia="Times New Roman" w:hAnsi="Times New Roman" w:cs="Times New Roman"/>
                <w:color w:val="000000"/>
                <w:sz w:val="20"/>
                <w:szCs w:val="20"/>
              </w:rPr>
              <w:t>здравоохранения,</w:t>
            </w:r>
            <w:r w:rsidRPr="00731FE2">
              <w:rPr>
                <w:rFonts w:ascii="Times New Roman" w:eastAsia="Times New Roman" w:hAnsi="Times New Roman" w:cs="Times New Roman"/>
                <w:color w:val="000000"/>
                <w:sz w:val="20"/>
                <w:szCs w:val="20"/>
              </w:rPr>
              <w:t xml:space="preserve"> утв. распоряжением Правительства Российской Федерации от 28.12.2012 №2607-Р </w:t>
            </w:r>
          </w:p>
        </w:tc>
      </w:tr>
      <w:tr w:rsidR="00171AA8" w:rsidRPr="00731FE2" w14:paraId="64B50211" w14:textId="77777777" w:rsidTr="00FC1D9B">
        <w:trPr>
          <w:trHeight w:val="230"/>
        </w:trPr>
        <w:tc>
          <w:tcPr>
            <w:tcW w:w="14596" w:type="dxa"/>
            <w:gridSpan w:val="6"/>
            <w:vAlign w:val="center"/>
          </w:tcPr>
          <w:p w14:paraId="283A6EAF" w14:textId="77777777" w:rsidR="00171AA8" w:rsidRPr="00731FE2" w:rsidRDefault="007935AB" w:rsidP="003C6773">
            <w:pPr>
              <w:pBdr>
                <w:top w:val="none" w:sz="4" w:space="0" w:color="000000"/>
                <w:left w:val="none" w:sz="4" w:space="0" w:color="000000"/>
                <w:bottom w:val="none" w:sz="4" w:space="0" w:color="000000"/>
                <w:right w:val="none" w:sz="4" w:space="0" w:color="000000"/>
              </w:pBdr>
              <w:spacing w:line="17" w:lineRule="atLeast"/>
              <w:ind w:firstLine="0"/>
              <w:rPr>
                <w:rFonts w:ascii="Times New Roman" w:eastAsia="Times New Roman" w:hAnsi="Times New Roman" w:cs="Times New Roman"/>
                <w:b/>
                <w:bCs/>
                <w:color w:val="000000"/>
                <w:sz w:val="20"/>
                <w:szCs w:val="20"/>
              </w:rPr>
            </w:pPr>
            <w:r w:rsidRPr="00731FE2">
              <w:rPr>
                <w:rFonts w:ascii="Times New Roman" w:eastAsia="Times New Roman" w:hAnsi="Times New Roman" w:cs="Times New Roman"/>
                <w:b/>
                <w:bCs/>
                <w:color w:val="000000"/>
                <w:sz w:val="20"/>
                <w:szCs w:val="20"/>
              </w:rPr>
              <w:t>Объекты в области обороны страны и безопасности государства</w:t>
            </w:r>
          </w:p>
        </w:tc>
      </w:tr>
      <w:tr w:rsidR="003C6773" w:rsidRPr="00731FE2" w14:paraId="744FD6C8" w14:textId="77777777" w:rsidTr="00FC1D9B">
        <w:trPr>
          <w:trHeight w:val="230"/>
        </w:trPr>
        <w:tc>
          <w:tcPr>
            <w:tcW w:w="355" w:type="dxa"/>
            <w:vAlign w:val="center"/>
          </w:tcPr>
          <w:p w14:paraId="0F1D45DB" w14:textId="77777777" w:rsidR="003C6773" w:rsidRPr="00731FE2" w:rsidRDefault="003C6773" w:rsidP="003C6773">
            <w:pPr>
              <w:pStyle w:val="a3"/>
              <w:numPr>
                <w:ilvl w:val="0"/>
                <w:numId w:val="54"/>
              </w:numPr>
              <w:pBdr>
                <w:top w:val="none" w:sz="4" w:space="0" w:color="000000"/>
                <w:left w:val="none" w:sz="4" w:space="0" w:color="000000"/>
                <w:bottom w:val="none" w:sz="4" w:space="0" w:color="000000"/>
                <w:right w:val="none" w:sz="4" w:space="0" w:color="000000"/>
              </w:pBdr>
              <w:spacing w:line="17" w:lineRule="atLeast"/>
              <w:ind w:left="0" w:firstLine="0"/>
              <w:rPr>
                <w:rFonts w:ascii="Times New Roman" w:eastAsia="Times New Roman" w:hAnsi="Times New Roman" w:cs="Times New Roman"/>
                <w:color w:val="000000"/>
                <w:sz w:val="20"/>
                <w:szCs w:val="20"/>
              </w:rPr>
            </w:pPr>
          </w:p>
        </w:tc>
        <w:tc>
          <w:tcPr>
            <w:tcW w:w="2901" w:type="dxa"/>
            <w:vAlign w:val="center"/>
          </w:tcPr>
          <w:p w14:paraId="710DA9D0" w14:textId="77777777" w:rsidR="003C6773" w:rsidRPr="00731FE2" w:rsidRDefault="003C6773" w:rsidP="003C6773">
            <w:pPr>
              <w:pBdr>
                <w:top w:val="none" w:sz="4" w:space="0" w:color="000000"/>
                <w:left w:val="none" w:sz="4" w:space="0" w:color="000000"/>
                <w:bottom w:val="none" w:sz="4" w:space="0" w:color="000000"/>
                <w:right w:val="none" w:sz="4" w:space="0" w:color="000000"/>
              </w:pBdr>
              <w:spacing w:line="17" w:lineRule="atLeast"/>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07-130411</w:t>
            </w:r>
          </w:p>
        </w:tc>
        <w:tc>
          <w:tcPr>
            <w:tcW w:w="4536" w:type="dxa"/>
            <w:vAlign w:val="center"/>
          </w:tcPr>
          <w:p w14:paraId="343886CD" w14:textId="20F76483" w:rsidR="003C6773" w:rsidRPr="00731FE2" w:rsidRDefault="003C6773" w:rsidP="003C6773">
            <w:pPr>
              <w:spacing w:line="17" w:lineRule="atLeast"/>
              <w:ind w:firstLine="0"/>
              <w:jc w:val="center"/>
              <w:rPr>
                <w:rFonts w:ascii="Times New Roman" w:eastAsia="Times New Roman" w:hAnsi="Times New Roman" w:cs="Times New Roman"/>
                <w:color w:val="000000"/>
                <w:sz w:val="20"/>
                <w:szCs w:val="20"/>
              </w:rPr>
            </w:pPr>
            <w:r w:rsidRPr="00731FE2">
              <w:rPr>
                <w:rFonts w:ascii="Times New Roman" w:hAnsi="Times New Roman" w:cs="Times New Roman"/>
              </w:rPr>
              <w:t>-</w:t>
            </w:r>
          </w:p>
        </w:tc>
        <w:tc>
          <w:tcPr>
            <w:tcW w:w="1984" w:type="dxa"/>
            <w:vAlign w:val="center"/>
          </w:tcPr>
          <w:p w14:paraId="77983239" w14:textId="77777777" w:rsidR="003C6773" w:rsidRPr="00731FE2" w:rsidRDefault="003C6773" w:rsidP="003C6773">
            <w:pPr>
              <w:pBdr>
                <w:top w:val="none" w:sz="4" w:space="0" w:color="000000"/>
                <w:left w:val="none" w:sz="4" w:space="0" w:color="000000"/>
                <w:bottom w:val="none" w:sz="4" w:space="0" w:color="000000"/>
                <w:right w:val="none" w:sz="4" w:space="0" w:color="000000"/>
              </w:pBdr>
              <w:spacing w:line="17" w:lineRule="atLeast"/>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Городской округ город-курорт Кисловодск</w:t>
            </w:r>
          </w:p>
        </w:tc>
        <w:tc>
          <w:tcPr>
            <w:tcW w:w="1276" w:type="dxa"/>
            <w:vAlign w:val="center"/>
          </w:tcPr>
          <w:p w14:paraId="24CBA70D" w14:textId="77777777" w:rsidR="003C6773" w:rsidRPr="00731FE2" w:rsidRDefault="003C6773" w:rsidP="003C6773">
            <w:pPr>
              <w:ind w:firstLine="0"/>
              <w:rPr>
                <w:rFonts w:ascii="Times New Roman" w:hAnsi="Times New Roman" w:cs="Times New Roman"/>
              </w:rPr>
            </w:pPr>
            <w:r w:rsidRPr="00731FE2">
              <w:rPr>
                <w:rFonts w:ascii="Times New Roman" w:eastAsia="Times New Roman" w:hAnsi="Times New Roman" w:cs="Times New Roman"/>
                <w:color w:val="000000"/>
                <w:sz w:val="20"/>
                <w:szCs w:val="20"/>
              </w:rPr>
              <w:t>Нет данных</w:t>
            </w:r>
          </w:p>
        </w:tc>
        <w:tc>
          <w:tcPr>
            <w:tcW w:w="3544" w:type="dxa"/>
            <w:vAlign w:val="center"/>
          </w:tcPr>
          <w:p w14:paraId="33D45865" w14:textId="77777777" w:rsidR="003C6773" w:rsidRPr="00731FE2" w:rsidRDefault="003C6773" w:rsidP="003C6773">
            <w:pPr>
              <w:pBdr>
                <w:top w:val="none" w:sz="4" w:space="0" w:color="000000"/>
                <w:left w:val="none" w:sz="4" w:space="0" w:color="000000"/>
                <w:bottom w:val="none" w:sz="4" w:space="0" w:color="000000"/>
                <w:right w:val="none" w:sz="4" w:space="0" w:color="000000"/>
              </w:pBdr>
              <w:spacing w:line="17" w:lineRule="atLeast"/>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СТП РФ в области обороны страны и безопасности государства</w:t>
            </w:r>
          </w:p>
        </w:tc>
      </w:tr>
      <w:tr w:rsidR="003C6773" w:rsidRPr="00731FE2" w14:paraId="7E120CBC" w14:textId="77777777" w:rsidTr="00FC1D9B">
        <w:trPr>
          <w:trHeight w:val="230"/>
        </w:trPr>
        <w:tc>
          <w:tcPr>
            <w:tcW w:w="355" w:type="dxa"/>
            <w:vAlign w:val="center"/>
          </w:tcPr>
          <w:p w14:paraId="35EFAA6C" w14:textId="77777777" w:rsidR="003C6773" w:rsidRPr="00731FE2" w:rsidRDefault="003C6773" w:rsidP="003C6773">
            <w:pPr>
              <w:pStyle w:val="a3"/>
              <w:numPr>
                <w:ilvl w:val="0"/>
                <w:numId w:val="54"/>
              </w:numPr>
              <w:pBdr>
                <w:top w:val="none" w:sz="4" w:space="0" w:color="000000"/>
                <w:left w:val="none" w:sz="4" w:space="0" w:color="000000"/>
                <w:bottom w:val="none" w:sz="4" w:space="0" w:color="000000"/>
                <w:right w:val="none" w:sz="4" w:space="0" w:color="000000"/>
              </w:pBdr>
              <w:spacing w:line="17" w:lineRule="atLeast"/>
              <w:ind w:left="0" w:firstLine="0"/>
              <w:rPr>
                <w:rFonts w:ascii="Times New Roman" w:eastAsia="Times New Roman" w:hAnsi="Times New Roman" w:cs="Times New Roman"/>
                <w:color w:val="000000"/>
                <w:sz w:val="20"/>
                <w:szCs w:val="20"/>
              </w:rPr>
            </w:pPr>
          </w:p>
        </w:tc>
        <w:tc>
          <w:tcPr>
            <w:tcW w:w="2901" w:type="dxa"/>
            <w:vAlign w:val="center"/>
          </w:tcPr>
          <w:p w14:paraId="4669BD23" w14:textId="77777777" w:rsidR="003C6773" w:rsidRPr="00731FE2" w:rsidRDefault="003C6773" w:rsidP="003C6773">
            <w:pPr>
              <w:pBdr>
                <w:top w:val="none" w:sz="4" w:space="0" w:color="000000"/>
                <w:left w:val="none" w:sz="4" w:space="0" w:color="000000"/>
                <w:bottom w:val="none" w:sz="4" w:space="0" w:color="000000"/>
                <w:right w:val="none" w:sz="4" w:space="0" w:color="000000"/>
              </w:pBdr>
              <w:spacing w:line="17" w:lineRule="atLeast"/>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07-45311</w:t>
            </w:r>
          </w:p>
        </w:tc>
        <w:tc>
          <w:tcPr>
            <w:tcW w:w="4536" w:type="dxa"/>
            <w:vAlign w:val="center"/>
          </w:tcPr>
          <w:p w14:paraId="6189C1A1" w14:textId="6660D8A1" w:rsidR="003C6773" w:rsidRPr="00731FE2" w:rsidRDefault="003C6773" w:rsidP="003C6773">
            <w:pPr>
              <w:ind w:firstLine="0"/>
              <w:jc w:val="center"/>
              <w:rPr>
                <w:rFonts w:ascii="Times New Roman" w:hAnsi="Times New Roman" w:cs="Times New Roman"/>
              </w:rPr>
            </w:pPr>
            <w:r w:rsidRPr="00731FE2">
              <w:rPr>
                <w:rFonts w:ascii="Times New Roman" w:hAnsi="Times New Roman" w:cs="Times New Roman"/>
              </w:rPr>
              <w:t>-</w:t>
            </w:r>
          </w:p>
        </w:tc>
        <w:tc>
          <w:tcPr>
            <w:tcW w:w="1984" w:type="dxa"/>
            <w:vAlign w:val="center"/>
          </w:tcPr>
          <w:p w14:paraId="7CD61620" w14:textId="77777777" w:rsidR="003C6773" w:rsidRPr="00731FE2" w:rsidRDefault="003C6773" w:rsidP="003C6773">
            <w:pPr>
              <w:pBdr>
                <w:top w:val="none" w:sz="4" w:space="0" w:color="000000"/>
                <w:left w:val="none" w:sz="4" w:space="0" w:color="000000"/>
                <w:bottom w:val="none" w:sz="4" w:space="0" w:color="000000"/>
                <w:right w:val="none" w:sz="4" w:space="0" w:color="000000"/>
              </w:pBdr>
              <w:spacing w:line="17" w:lineRule="atLeast"/>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Городской округ город-курорт Кисловодск</w:t>
            </w:r>
          </w:p>
        </w:tc>
        <w:tc>
          <w:tcPr>
            <w:tcW w:w="1276" w:type="dxa"/>
            <w:vAlign w:val="center"/>
          </w:tcPr>
          <w:p w14:paraId="3C1BC542" w14:textId="77777777" w:rsidR="003C6773" w:rsidRPr="00731FE2" w:rsidRDefault="003C6773" w:rsidP="003C6773">
            <w:pPr>
              <w:ind w:firstLine="0"/>
              <w:rPr>
                <w:rFonts w:ascii="Times New Roman" w:hAnsi="Times New Roman" w:cs="Times New Roman"/>
              </w:rPr>
            </w:pPr>
            <w:r w:rsidRPr="00731FE2">
              <w:rPr>
                <w:rFonts w:ascii="Times New Roman" w:eastAsia="Times New Roman" w:hAnsi="Times New Roman" w:cs="Times New Roman"/>
                <w:color w:val="000000"/>
                <w:sz w:val="20"/>
                <w:szCs w:val="20"/>
              </w:rPr>
              <w:t>Нет данных</w:t>
            </w:r>
          </w:p>
        </w:tc>
        <w:tc>
          <w:tcPr>
            <w:tcW w:w="3544" w:type="dxa"/>
            <w:vAlign w:val="center"/>
          </w:tcPr>
          <w:p w14:paraId="106B43BB" w14:textId="77777777" w:rsidR="003C6773" w:rsidRPr="00731FE2" w:rsidRDefault="003C6773" w:rsidP="003C6773">
            <w:pPr>
              <w:pBdr>
                <w:top w:val="none" w:sz="4" w:space="0" w:color="000000"/>
                <w:left w:val="none" w:sz="4" w:space="0" w:color="000000"/>
                <w:bottom w:val="none" w:sz="4" w:space="0" w:color="000000"/>
                <w:right w:val="none" w:sz="4" w:space="0" w:color="000000"/>
              </w:pBdr>
              <w:spacing w:line="17" w:lineRule="atLeast"/>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СТП РФ в области обороны страны и безопасности государства</w:t>
            </w:r>
          </w:p>
        </w:tc>
      </w:tr>
      <w:tr w:rsidR="00FC1D9B" w:rsidRPr="00731FE2" w14:paraId="57FDAFBF" w14:textId="77777777" w:rsidTr="00FC1D9B">
        <w:trPr>
          <w:trHeight w:val="230"/>
        </w:trPr>
        <w:tc>
          <w:tcPr>
            <w:tcW w:w="14596" w:type="dxa"/>
            <w:gridSpan w:val="6"/>
            <w:vAlign w:val="center"/>
          </w:tcPr>
          <w:p w14:paraId="157F8428" w14:textId="77777777" w:rsidR="00FC1D9B" w:rsidRPr="00731FE2" w:rsidRDefault="00FC1D9B" w:rsidP="003C6773">
            <w:pPr>
              <w:pBdr>
                <w:top w:val="none" w:sz="4" w:space="0" w:color="000000"/>
                <w:left w:val="none" w:sz="4" w:space="0" w:color="000000"/>
                <w:bottom w:val="none" w:sz="4" w:space="0" w:color="000000"/>
                <w:right w:val="none" w:sz="4" w:space="0" w:color="000000"/>
              </w:pBdr>
              <w:spacing w:line="17" w:lineRule="atLeast"/>
              <w:ind w:firstLine="0"/>
              <w:rPr>
                <w:rFonts w:ascii="Times New Roman" w:eastAsia="Times New Roman" w:hAnsi="Times New Roman" w:cs="Times New Roman"/>
                <w:b/>
                <w:bCs/>
                <w:color w:val="000000"/>
                <w:sz w:val="20"/>
                <w:szCs w:val="20"/>
              </w:rPr>
            </w:pPr>
            <w:r w:rsidRPr="00731FE2">
              <w:rPr>
                <w:rFonts w:ascii="Times New Roman" w:eastAsia="Times New Roman" w:hAnsi="Times New Roman" w:cs="Times New Roman"/>
                <w:b/>
                <w:bCs/>
                <w:color w:val="000000"/>
                <w:sz w:val="20"/>
                <w:szCs w:val="20"/>
              </w:rPr>
              <w:t>Объекты культуры и искусства федерального значения</w:t>
            </w:r>
          </w:p>
        </w:tc>
      </w:tr>
      <w:tr w:rsidR="003C6773" w:rsidRPr="00731FE2" w14:paraId="48EF3993" w14:textId="77777777" w:rsidTr="00FC1D9B">
        <w:trPr>
          <w:trHeight w:val="2253"/>
        </w:trPr>
        <w:tc>
          <w:tcPr>
            <w:tcW w:w="355" w:type="dxa"/>
            <w:vAlign w:val="center"/>
          </w:tcPr>
          <w:p w14:paraId="3A4C1B96" w14:textId="77777777" w:rsidR="003C6773" w:rsidRPr="00731FE2" w:rsidRDefault="003C6773" w:rsidP="003C6773">
            <w:pPr>
              <w:pStyle w:val="a3"/>
              <w:numPr>
                <w:ilvl w:val="0"/>
                <w:numId w:val="54"/>
              </w:numPr>
              <w:pBdr>
                <w:top w:val="none" w:sz="4" w:space="0" w:color="000000"/>
                <w:left w:val="none" w:sz="4" w:space="0" w:color="000000"/>
                <w:bottom w:val="none" w:sz="4" w:space="0" w:color="000000"/>
                <w:right w:val="none" w:sz="4" w:space="0" w:color="000000"/>
              </w:pBdr>
              <w:spacing w:line="17" w:lineRule="atLeast"/>
              <w:ind w:left="0" w:firstLine="0"/>
              <w:rPr>
                <w:rFonts w:ascii="Times New Roman" w:eastAsia="Times New Roman" w:hAnsi="Times New Roman" w:cs="Times New Roman"/>
                <w:color w:val="000000"/>
                <w:sz w:val="20"/>
                <w:szCs w:val="20"/>
              </w:rPr>
            </w:pPr>
          </w:p>
        </w:tc>
        <w:tc>
          <w:tcPr>
            <w:tcW w:w="2901" w:type="dxa"/>
            <w:vAlign w:val="center"/>
          </w:tcPr>
          <w:p w14:paraId="14CB243C" w14:textId="77777777" w:rsidR="003C6773" w:rsidRPr="00731FE2" w:rsidRDefault="003C6773" w:rsidP="003C6773">
            <w:pPr>
              <w:pBdr>
                <w:top w:val="none" w:sz="4" w:space="0" w:color="000000"/>
                <w:left w:val="none" w:sz="4" w:space="0" w:color="000000"/>
                <w:bottom w:val="none" w:sz="4" w:space="0" w:color="000000"/>
                <w:right w:val="none" w:sz="4" w:space="0" w:color="000000"/>
              </w:pBdr>
              <w:spacing w:line="17" w:lineRule="atLeast"/>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Работы по сохранению объектов культурного наследия федерального государственного бюджетного учреждения культуры «Северо-Кавказская государственная филармония им. В.И. Сафонова»</w:t>
            </w:r>
          </w:p>
        </w:tc>
        <w:tc>
          <w:tcPr>
            <w:tcW w:w="4536" w:type="dxa"/>
            <w:vAlign w:val="center"/>
          </w:tcPr>
          <w:p w14:paraId="5039C400" w14:textId="61F54905" w:rsidR="003C6773" w:rsidRPr="00731FE2" w:rsidRDefault="003C6773" w:rsidP="003C6773">
            <w:pPr>
              <w:ind w:firstLine="0"/>
              <w:jc w:val="center"/>
              <w:rPr>
                <w:rFonts w:ascii="Times New Roman" w:hAnsi="Times New Roman" w:cs="Times New Roman"/>
              </w:rPr>
            </w:pPr>
            <w:r w:rsidRPr="00731FE2">
              <w:rPr>
                <w:rFonts w:ascii="Times New Roman" w:hAnsi="Times New Roman" w:cs="Times New Roman"/>
              </w:rPr>
              <w:t>-</w:t>
            </w:r>
          </w:p>
        </w:tc>
        <w:tc>
          <w:tcPr>
            <w:tcW w:w="1984" w:type="dxa"/>
            <w:vAlign w:val="center"/>
          </w:tcPr>
          <w:p w14:paraId="5321024D" w14:textId="77777777" w:rsidR="003C6773" w:rsidRPr="00731FE2" w:rsidRDefault="003C6773" w:rsidP="003C6773">
            <w:pPr>
              <w:pBdr>
                <w:top w:val="none" w:sz="4" w:space="0" w:color="000000"/>
                <w:left w:val="none" w:sz="4" w:space="0" w:color="000000"/>
                <w:bottom w:val="none" w:sz="4" w:space="0" w:color="000000"/>
                <w:right w:val="none" w:sz="4" w:space="0" w:color="000000"/>
              </w:pBdr>
              <w:spacing w:line="17" w:lineRule="atLeast"/>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Городской округ город-курорт Кисловодск, просп. Карла Маркса, 3А</w:t>
            </w:r>
          </w:p>
        </w:tc>
        <w:tc>
          <w:tcPr>
            <w:tcW w:w="1276" w:type="dxa"/>
            <w:vAlign w:val="center"/>
          </w:tcPr>
          <w:p w14:paraId="346216B2" w14:textId="77777777" w:rsidR="003C6773" w:rsidRPr="00731FE2" w:rsidRDefault="003C6773" w:rsidP="003C6773">
            <w:pPr>
              <w:pBdr>
                <w:top w:val="none" w:sz="4" w:space="0" w:color="000000"/>
                <w:left w:val="none" w:sz="4" w:space="0" w:color="000000"/>
                <w:bottom w:val="none" w:sz="4" w:space="0" w:color="000000"/>
                <w:right w:val="none" w:sz="4" w:space="0" w:color="000000"/>
              </w:pBdr>
              <w:spacing w:line="17" w:lineRule="atLeast"/>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2024-2027 гг.</w:t>
            </w:r>
          </w:p>
        </w:tc>
        <w:tc>
          <w:tcPr>
            <w:tcW w:w="3544" w:type="dxa"/>
            <w:vAlign w:val="center"/>
          </w:tcPr>
          <w:p w14:paraId="320D7285" w14:textId="77777777" w:rsidR="003C6773" w:rsidRPr="00731FE2" w:rsidRDefault="003C6773" w:rsidP="003C6773">
            <w:pPr>
              <w:pBdr>
                <w:top w:val="none" w:sz="4" w:space="0" w:color="000000"/>
                <w:left w:val="none" w:sz="4" w:space="0" w:color="000000"/>
                <w:bottom w:val="none" w:sz="4" w:space="0" w:color="000000"/>
                <w:right w:val="none" w:sz="4" w:space="0" w:color="000000"/>
              </w:pBdr>
              <w:spacing w:line="17" w:lineRule="atLeast"/>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Перечень мероприятий по комплексному развитию города-курорта Кисловодска до 2030 года, утв. распоряжением Правительства РФ от 29.12.2016 №2899-р (с изм. На 27.01.2024)</w:t>
            </w:r>
          </w:p>
        </w:tc>
      </w:tr>
      <w:tr w:rsidR="00FC1D9B" w:rsidRPr="00731FE2" w14:paraId="29198213" w14:textId="77777777" w:rsidTr="00FC1D9B">
        <w:trPr>
          <w:trHeight w:val="230"/>
        </w:trPr>
        <w:tc>
          <w:tcPr>
            <w:tcW w:w="355" w:type="dxa"/>
            <w:vAlign w:val="center"/>
          </w:tcPr>
          <w:p w14:paraId="1C808D67" w14:textId="77777777" w:rsidR="00FC1D9B" w:rsidRPr="00731FE2" w:rsidRDefault="00FC1D9B" w:rsidP="003C6773">
            <w:pPr>
              <w:pStyle w:val="a3"/>
              <w:numPr>
                <w:ilvl w:val="0"/>
                <w:numId w:val="54"/>
              </w:numPr>
              <w:pBdr>
                <w:top w:val="none" w:sz="4" w:space="0" w:color="000000"/>
                <w:left w:val="none" w:sz="4" w:space="0" w:color="000000"/>
                <w:bottom w:val="none" w:sz="4" w:space="0" w:color="000000"/>
                <w:right w:val="none" w:sz="4" w:space="0" w:color="000000"/>
              </w:pBdr>
              <w:spacing w:line="17" w:lineRule="atLeast"/>
              <w:ind w:left="0" w:firstLine="0"/>
              <w:rPr>
                <w:rFonts w:ascii="Times New Roman" w:eastAsia="Times New Roman" w:hAnsi="Times New Roman" w:cs="Times New Roman"/>
                <w:color w:val="000000"/>
                <w:sz w:val="20"/>
                <w:szCs w:val="20"/>
              </w:rPr>
            </w:pPr>
          </w:p>
        </w:tc>
        <w:tc>
          <w:tcPr>
            <w:tcW w:w="2901" w:type="dxa"/>
            <w:vAlign w:val="center"/>
          </w:tcPr>
          <w:p w14:paraId="0ABD6976" w14:textId="77777777" w:rsidR="00FC1D9B" w:rsidRPr="00731FE2" w:rsidRDefault="00FC1D9B" w:rsidP="003C6773">
            <w:pPr>
              <w:pBdr>
                <w:top w:val="none" w:sz="4" w:space="0" w:color="000000"/>
                <w:left w:val="none" w:sz="4" w:space="0" w:color="000000"/>
                <w:bottom w:val="none" w:sz="4" w:space="0" w:color="000000"/>
                <w:right w:val="none" w:sz="4" w:space="0" w:color="000000"/>
              </w:pBdr>
              <w:spacing w:line="17" w:lineRule="atLeast"/>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Многофункциональный культурный центр на 1200 мест в городе-курорте Кисловодске</w:t>
            </w:r>
          </w:p>
        </w:tc>
        <w:tc>
          <w:tcPr>
            <w:tcW w:w="4536" w:type="dxa"/>
            <w:vAlign w:val="center"/>
          </w:tcPr>
          <w:p w14:paraId="1F837A75" w14:textId="77777777" w:rsidR="00FC1D9B" w:rsidRPr="00731FE2" w:rsidRDefault="00FC1D9B" w:rsidP="003C6773">
            <w:pPr>
              <w:ind w:firstLine="0"/>
              <w:jc w:val="center"/>
              <w:rPr>
                <w:rFonts w:ascii="Times New Roman" w:hAnsi="Times New Roman" w:cs="Times New Roman"/>
              </w:rPr>
            </w:pPr>
            <w:r w:rsidRPr="00731FE2">
              <w:rPr>
                <w:rFonts w:ascii="Times New Roman" w:eastAsia="Times New Roman" w:hAnsi="Times New Roman" w:cs="Times New Roman"/>
                <w:color w:val="000000"/>
                <w:sz w:val="20"/>
                <w:szCs w:val="20"/>
              </w:rPr>
              <w:t>1200 мест</w:t>
            </w:r>
          </w:p>
        </w:tc>
        <w:tc>
          <w:tcPr>
            <w:tcW w:w="1984" w:type="dxa"/>
            <w:vAlign w:val="center"/>
          </w:tcPr>
          <w:p w14:paraId="11FDA2E3" w14:textId="77777777" w:rsidR="00FC1D9B" w:rsidRPr="00731FE2" w:rsidRDefault="00FC1D9B" w:rsidP="003C6773">
            <w:pPr>
              <w:ind w:firstLine="0"/>
              <w:rPr>
                <w:rFonts w:ascii="Times New Roman" w:hAnsi="Times New Roman" w:cs="Times New Roman"/>
              </w:rPr>
            </w:pPr>
            <w:r w:rsidRPr="00731FE2">
              <w:rPr>
                <w:rFonts w:ascii="Times New Roman" w:eastAsia="Times New Roman" w:hAnsi="Times New Roman" w:cs="Times New Roman"/>
                <w:color w:val="000000"/>
                <w:sz w:val="20"/>
                <w:szCs w:val="20"/>
              </w:rPr>
              <w:t xml:space="preserve">Городской округ город-курорт </w:t>
            </w:r>
            <w:r w:rsidR="007B214F" w:rsidRPr="00731FE2">
              <w:rPr>
                <w:rFonts w:ascii="Times New Roman" w:eastAsia="Times New Roman" w:hAnsi="Times New Roman" w:cs="Times New Roman"/>
                <w:color w:val="000000"/>
                <w:sz w:val="20"/>
                <w:szCs w:val="20"/>
              </w:rPr>
              <w:t>Кисловодск</w:t>
            </w:r>
          </w:p>
        </w:tc>
        <w:tc>
          <w:tcPr>
            <w:tcW w:w="1276" w:type="dxa"/>
            <w:vAlign w:val="center"/>
          </w:tcPr>
          <w:p w14:paraId="4A5EA3C6" w14:textId="77777777" w:rsidR="00FC1D9B" w:rsidRPr="00731FE2" w:rsidRDefault="00FC1D9B" w:rsidP="003C6773">
            <w:pPr>
              <w:pBdr>
                <w:top w:val="none" w:sz="4" w:space="0" w:color="000000"/>
                <w:left w:val="none" w:sz="4" w:space="0" w:color="000000"/>
                <w:bottom w:val="none" w:sz="4" w:space="0" w:color="000000"/>
                <w:right w:val="none" w:sz="4" w:space="0" w:color="000000"/>
              </w:pBdr>
              <w:spacing w:line="17" w:lineRule="atLeast"/>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2024-2025 гг.</w:t>
            </w:r>
          </w:p>
        </w:tc>
        <w:tc>
          <w:tcPr>
            <w:tcW w:w="3544" w:type="dxa"/>
            <w:vAlign w:val="center"/>
          </w:tcPr>
          <w:p w14:paraId="2BBDBD72" w14:textId="77777777" w:rsidR="00FC1D9B" w:rsidRPr="00731FE2" w:rsidRDefault="00FC1D9B" w:rsidP="003C6773">
            <w:pPr>
              <w:pBdr>
                <w:top w:val="none" w:sz="4" w:space="0" w:color="000000"/>
                <w:left w:val="none" w:sz="4" w:space="0" w:color="000000"/>
                <w:bottom w:val="none" w:sz="4" w:space="0" w:color="000000"/>
                <w:right w:val="none" w:sz="4" w:space="0" w:color="000000"/>
              </w:pBdr>
              <w:spacing w:line="17" w:lineRule="atLeast"/>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Федеральная адресная инвестиционная программа</w:t>
            </w:r>
          </w:p>
        </w:tc>
      </w:tr>
      <w:tr w:rsidR="003C6773" w:rsidRPr="00731FE2" w14:paraId="5E65C893" w14:textId="77777777" w:rsidTr="00FC1D9B">
        <w:trPr>
          <w:trHeight w:val="230"/>
        </w:trPr>
        <w:tc>
          <w:tcPr>
            <w:tcW w:w="355" w:type="dxa"/>
            <w:vAlign w:val="center"/>
          </w:tcPr>
          <w:p w14:paraId="529FED91" w14:textId="77777777" w:rsidR="003C6773" w:rsidRPr="00731FE2" w:rsidRDefault="003C6773" w:rsidP="003C6773">
            <w:pPr>
              <w:pStyle w:val="a3"/>
              <w:numPr>
                <w:ilvl w:val="0"/>
                <w:numId w:val="54"/>
              </w:numPr>
              <w:pBdr>
                <w:top w:val="none" w:sz="4" w:space="0" w:color="000000"/>
                <w:left w:val="none" w:sz="4" w:space="0" w:color="000000"/>
                <w:bottom w:val="none" w:sz="4" w:space="0" w:color="000000"/>
                <w:right w:val="none" w:sz="4" w:space="0" w:color="000000"/>
              </w:pBdr>
              <w:spacing w:line="17" w:lineRule="atLeast"/>
              <w:ind w:left="0" w:firstLine="0"/>
              <w:rPr>
                <w:rFonts w:ascii="Times New Roman" w:eastAsia="Times New Roman" w:hAnsi="Times New Roman" w:cs="Times New Roman"/>
                <w:color w:val="000000"/>
                <w:sz w:val="20"/>
                <w:szCs w:val="20"/>
              </w:rPr>
            </w:pPr>
          </w:p>
        </w:tc>
        <w:tc>
          <w:tcPr>
            <w:tcW w:w="2901" w:type="dxa"/>
            <w:vAlign w:val="center"/>
          </w:tcPr>
          <w:p w14:paraId="5C69A545" w14:textId="77777777" w:rsidR="003C6773" w:rsidRPr="00731FE2" w:rsidRDefault="003C6773" w:rsidP="003C6773">
            <w:pPr>
              <w:pBdr>
                <w:top w:val="none" w:sz="4" w:space="0" w:color="000000"/>
                <w:left w:val="none" w:sz="4" w:space="0" w:color="000000"/>
                <w:bottom w:val="none" w:sz="4" w:space="0" w:color="000000"/>
                <w:right w:val="none" w:sz="4" w:space="0" w:color="000000"/>
              </w:pBdr>
              <w:spacing w:line="253" w:lineRule="atLeast"/>
              <w:ind w:firstLine="0"/>
              <w:rPr>
                <w:rFonts w:ascii="Times New Roman" w:hAnsi="Times New Roman" w:cs="Times New Roman"/>
              </w:rPr>
            </w:pPr>
            <w:r w:rsidRPr="00731FE2">
              <w:rPr>
                <w:rFonts w:ascii="Times New Roman" w:eastAsia="Times New Roman" w:hAnsi="Times New Roman" w:cs="Times New Roman"/>
                <w:color w:val="000000"/>
                <w:sz w:val="20"/>
              </w:rPr>
              <w:t xml:space="preserve">Комплексная реконструкция с элементами реставрации и приспособления к современному использованию объектов санатория им. Г.К. Орджоникидзе </w:t>
            </w:r>
          </w:p>
        </w:tc>
        <w:tc>
          <w:tcPr>
            <w:tcW w:w="4536" w:type="dxa"/>
            <w:vAlign w:val="center"/>
          </w:tcPr>
          <w:p w14:paraId="5BF640D9" w14:textId="28DF77E2" w:rsidR="003C6773" w:rsidRPr="00731FE2" w:rsidRDefault="003C6773" w:rsidP="003C6773">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rPr>
            </w:pPr>
            <w:r w:rsidRPr="00731FE2">
              <w:rPr>
                <w:rFonts w:ascii="Times New Roman" w:hAnsi="Times New Roman" w:cs="Times New Roman"/>
              </w:rPr>
              <w:t>-</w:t>
            </w:r>
          </w:p>
        </w:tc>
        <w:tc>
          <w:tcPr>
            <w:tcW w:w="1984" w:type="dxa"/>
            <w:vAlign w:val="center"/>
          </w:tcPr>
          <w:p w14:paraId="1122BD8B" w14:textId="77777777" w:rsidR="003C6773" w:rsidRPr="00731FE2" w:rsidRDefault="003C6773" w:rsidP="003C6773">
            <w:pPr>
              <w:pBdr>
                <w:top w:val="none" w:sz="4" w:space="0" w:color="000000"/>
                <w:left w:val="none" w:sz="4" w:space="0" w:color="000000"/>
                <w:bottom w:val="none" w:sz="4" w:space="0" w:color="000000"/>
                <w:right w:val="none" w:sz="4" w:space="0" w:color="000000"/>
              </w:pBdr>
              <w:ind w:firstLine="0"/>
              <w:rPr>
                <w:rFonts w:ascii="Times New Roman" w:hAnsi="Times New Roman" w:cs="Times New Roman"/>
              </w:rPr>
            </w:pPr>
            <w:r w:rsidRPr="00731FE2">
              <w:rPr>
                <w:rFonts w:ascii="Times New Roman" w:eastAsia="Times New Roman" w:hAnsi="Times New Roman" w:cs="Times New Roman"/>
                <w:color w:val="000000"/>
                <w:sz w:val="20"/>
              </w:rPr>
              <w:t>Городской округ город-курорт Кисловодск, просп. Ленина, д.25</w:t>
            </w:r>
          </w:p>
        </w:tc>
        <w:tc>
          <w:tcPr>
            <w:tcW w:w="1276" w:type="dxa"/>
            <w:vAlign w:val="center"/>
          </w:tcPr>
          <w:p w14:paraId="7CCE48DF" w14:textId="77777777" w:rsidR="003C6773" w:rsidRPr="00731FE2" w:rsidRDefault="003C6773" w:rsidP="003C6773">
            <w:pPr>
              <w:pBdr>
                <w:top w:val="none" w:sz="4" w:space="0" w:color="000000"/>
                <w:left w:val="none" w:sz="4" w:space="0" w:color="000000"/>
                <w:bottom w:val="none" w:sz="4" w:space="0" w:color="000000"/>
                <w:right w:val="none" w:sz="4" w:space="0" w:color="000000"/>
              </w:pBdr>
              <w:ind w:firstLine="0"/>
              <w:rPr>
                <w:rFonts w:ascii="Times New Roman" w:hAnsi="Times New Roman" w:cs="Times New Roman"/>
              </w:rPr>
            </w:pPr>
            <w:r w:rsidRPr="00731FE2">
              <w:rPr>
                <w:rFonts w:ascii="Times New Roman" w:eastAsia="Times New Roman" w:hAnsi="Times New Roman" w:cs="Times New Roman"/>
                <w:color w:val="000000"/>
                <w:sz w:val="20"/>
              </w:rPr>
              <w:t>до 2030 г.</w:t>
            </w:r>
          </w:p>
        </w:tc>
        <w:tc>
          <w:tcPr>
            <w:tcW w:w="3544" w:type="dxa"/>
            <w:vAlign w:val="center"/>
          </w:tcPr>
          <w:p w14:paraId="10CE88E1" w14:textId="77777777" w:rsidR="003C6773" w:rsidRPr="00731FE2" w:rsidRDefault="003C6773" w:rsidP="003C6773">
            <w:pPr>
              <w:pBdr>
                <w:top w:val="none" w:sz="4" w:space="0" w:color="000000"/>
                <w:left w:val="none" w:sz="4" w:space="0" w:color="000000"/>
                <w:bottom w:val="none" w:sz="4" w:space="0" w:color="000000"/>
                <w:right w:val="none" w:sz="4" w:space="0" w:color="000000"/>
              </w:pBdr>
              <w:ind w:firstLine="0"/>
              <w:rPr>
                <w:rFonts w:ascii="Times New Roman" w:hAnsi="Times New Roman" w:cs="Times New Roman"/>
              </w:rPr>
            </w:pPr>
            <w:r w:rsidRPr="00731FE2">
              <w:rPr>
                <w:rFonts w:ascii="Times New Roman" w:eastAsia="Times New Roman" w:hAnsi="Times New Roman" w:cs="Times New Roman"/>
                <w:color w:val="000000"/>
                <w:sz w:val="20"/>
              </w:rPr>
              <w:t>Перечень мероприятий по комплексному развитию города-курорта Кисловодска до 2030 года, утв. распоряжением Правительства РФ от 29.12.2016 №2899-р (с изм. На 27.01.2024)</w:t>
            </w:r>
          </w:p>
        </w:tc>
      </w:tr>
      <w:tr w:rsidR="003C6773" w:rsidRPr="00731FE2" w14:paraId="40CABD16" w14:textId="77777777" w:rsidTr="00FC1D9B">
        <w:trPr>
          <w:trHeight w:val="230"/>
        </w:trPr>
        <w:tc>
          <w:tcPr>
            <w:tcW w:w="355" w:type="dxa"/>
            <w:vAlign w:val="center"/>
          </w:tcPr>
          <w:p w14:paraId="01CC8905" w14:textId="77777777" w:rsidR="003C6773" w:rsidRPr="00731FE2" w:rsidRDefault="003C6773" w:rsidP="003C6773">
            <w:pPr>
              <w:pStyle w:val="a3"/>
              <w:numPr>
                <w:ilvl w:val="0"/>
                <w:numId w:val="54"/>
              </w:numPr>
              <w:pBdr>
                <w:top w:val="none" w:sz="4" w:space="0" w:color="000000"/>
                <w:left w:val="none" w:sz="4" w:space="0" w:color="000000"/>
                <w:bottom w:val="none" w:sz="4" w:space="0" w:color="000000"/>
                <w:right w:val="none" w:sz="4" w:space="0" w:color="000000"/>
              </w:pBdr>
              <w:spacing w:line="17" w:lineRule="atLeast"/>
              <w:ind w:left="0" w:firstLine="0"/>
              <w:rPr>
                <w:rFonts w:ascii="Times New Roman" w:eastAsia="Times New Roman" w:hAnsi="Times New Roman" w:cs="Times New Roman"/>
                <w:color w:val="000000"/>
                <w:sz w:val="20"/>
                <w:szCs w:val="20"/>
              </w:rPr>
            </w:pPr>
          </w:p>
        </w:tc>
        <w:tc>
          <w:tcPr>
            <w:tcW w:w="2901" w:type="dxa"/>
            <w:vAlign w:val="center"/>
          </w:tcPr>
          <w:p w14:paraId="1EB14196" w14:textId="77777777" w:rsidR="003C6773" w:rsidRPr="00731FE2" w:rsidRDefault="003C6773" w:rsidP="003C6773">
            <w:pPr>
              <w:pBdr>
                <w:top w:val="none" w:sz="4" w:space="0" w:color="000000"/>
                <w:left w:val="none" w:sz="4" w:space="0" w:color="000000"/>
                <w:bottom w:val="none" w:sz="4" w:space="0" w:color="000000"/>
                <w:right w:val="none" w:sz="4" w:space="0" w:color="000000"/>
              </w:pBdr>
              <w:spacing w:line="253" w:lineRule="atLeast"/>
              <w:ind w:firstLine="0"/>
              <w:rPr>
                <w:rFonts w:ascii="Times New Roman" w:hAnsi="Times New Roman" w:cs="Times New Roman"/>
              </w:rPr>
            </w:pPr>
            <w:r w:rsidRPr="00731FE2">
              <w:rPr>
                <w:rFonts w:ascii="Times New Roman" w:eastAsia="Times New Roman" w:hAnsi="Times New Roman" w:cs="Times New Roman"/>
                <w:color w:val="000000"/>
                <w:sz w:val="20"/>
              </w:rPr>
              <w:t xml:space="preserve">Работы по сохранению объекта культурного наследия федерального значения «Дом Реброва» («Дом Княжны Мери»), в котором бывали Пушкин Александр Сергеевич и Лермонтов Михаил Юрьевич, описавший его в романе «Герой нашего времени», 1823 год </w:t>
            </w:r>
          </w:p>
        </w:tc>
        <w:tc>
          <w:tcPr>
            <w:tcW w:w="4536" w:type="dxa"/>
            <w:vAlign w:val="center"/>
          </w:tcPr>
          <w:p w14:paraId="112DD6E3" w14:textId="45D0D727" w:rsidR="003C6773" w:rsidRPr="00731FE2" w:rsidRDefault="003C6773" w:rsidP="003C6773">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rPr>
            </w:pPr>
            <w:r w:rsidRPr="00731FE2">
              <w:rPr>
                <w:rFonts w:ascii="Times New Roman" w:hAnsi="Times New Roman" w:cs="Times New Roman"/>
              </w:rPr>
              <w:t>-</w:t>
            </w:r>
          </w:p>
        </w:tc>
        <w:tc>
          <w:tcPr>
            <w:tcW w:w="1984" w:type="dxa"/>
            <w:vAlign w:val="center"/>
          </w:tcPr>
          <w:p w14:paraId="26998035" w14:textId="77777777" w:rsidR="003C6773" w:rsidRPr="00731FE2" w:rsidRDefault="003C6773" w:rsidP="003C6773">
            <w:pPr>
              <w:pBdr>
                <w:top w:val="none" w:sz="4" w:space="0" w:color="000000"/>
                <w:left w:val="none" w:sz="4" w:space="0" w:color="000000"/>
                <w:bottom w:val="none" w:sz="4" w:space="0" w:color="000000"/>
                <w:right w:val="none" w:sz="4" w:space="0" w:color="000000"/>
              </w:pBdr>
              <w:ind w:firstLine="0"/>
              <w:rPr>
                <w:rFonts w:ascii="Times New Roman" w:hAnsi="Times New Roman" w:cs="Times New Roman"/>
              </w:rPr>
            </w:pPr>
            <w:r w:rsidRPr="00731FE2">
              <w:rPr>
                <w:rFonts w:ascii="Times New Roman" w:eastAsia="Times New Roman" w:hAnsi="Times New Roman" w:cs="Times New Roman"/>
                <w:color w:val="000000"/>
                <w:sz w:val="20"/>
              </w:rPr>
              <w:t>Городской округ город-курорт Кисловодск, ул. Коминтерна, д.3</w:t>
            </w:r>
          </w:p>
        </w:tc>
        <w:tc>
          <w:tcPr>
            <w:tcW w:w="1276" w:type="dxa"/>
            <w:vAlign w:val="center"/>
          </w:tcPr>
          <w:p w14:paraId="69D83E81" w14:textId="77777777" w:rsidR="003C6773" w:rsidRPr="00731FE2" w:rsidRDefault="003C6773" w:rsidP="003C6773">
            <w:pPr>
              <w:pBdr>
                <w:top w:val="none" w:sz="4" w:space="0" w:color="000000"/>
                <w:left w:val="none" w:sz="4" w:space="0" w:color="000000"/>
                <w:bottom w:val="none" w:sz="4" w:space="0" w:color="000000"/>
                <w:right w:val="none" w:sz="4" w:space="0" w:color="000000"/>
              </w:pBdr>
              <w:ind w:firstLine="0"/>
              <w:rPr>
                <w:rFonts w:ascii="Times New Roman" w:hAnsi="Times New Roman" w:cs="Times New Roman"/>
              </w:rPr>
            </w:pPr>
            <w:r w:rsidRPr="00731FE2">
              <w:rPr>
                <w:rFonts w:ascii="Times New Roman" w:eastAsia="Times New Roman" w:hAnsi="Times New Roman" w:cs="Times New Roman"/>
                <w:color w:val="000000"/>
                <w:sz w:val="20"/>
              </w:rPr>
              <w:t>до 2030 г.</w:t>
            </w:r>
          </w:p>
        </w:tc>
        <w:tc>
          <w:tcPr>
            <w:tcW w:w="3544" w:type="dxa"/>
            <w:vAlign w:val="center"/>
          </w:tcPr>
          <w:p w14:paraId="27E2BF1E" w14:textId="77777777" w:rsidR="003C6773" w:rsidRPr="00731FE2" w:rsidRDefault="003C6773" w:rsidP="003C6773">
            <w:pPr>
              <w:pBdr>
                <w:top w:val="none" w:sz="4" w:space="0" w:color="000000"/>
                <w:left w:val="none" w:sz="4" w:space="0" w:color="000000"/>
                <w:bottom w:val="none" w:sz="4" w:space="0" w:color="000000"/>
                <w:right w:val="none" w:sz="4" w:space="0" w:color="000000"/>
              </w:pBdr>
              <w:ind w:firstLine="0"/>
              <w:rPr>
                <w:rFonts w:ascii="Times New Roman" w:hAnsi="Times New Roman" w:cs="Times New Roman"/>
              </w:rPr>
            </w:pPr>
            <w:r w:rsidRPr="00731FE2">
              <w:rPr>
                <w:rFonts w:ascii="Times New Roman" w:eastAsia="Times New Roman" w:hAnsi="Times New Roman" w:cs="Times New Roman"/>
                <w:color w:val="000000"/>
                <w:sz w:val="20"/>
              </w:rPr>
              <w:t>Перечень мероприятий по комплексному развитию города-курорта Кисловодска до 2030 года, утв. распоряжением Правительства РФ от 29.12.2016 №2899-р (с изм. На 27.01.2024)</w:t>
            </w:r>
          </w:p>
        </w:tc>
      </w:tr>
      <w:tr w:rsidR="00FC1D9B" w:rsidRPr="00731FE2" w14:paraId="6592EF4C" w14:textId="77777777" w:rsidTr="00FC1D9B">
        <w:trPr>
          <w:trHeight w:val="230"/>
        </w:trPr>
        <w:tc>
          <w:tcPr>
            <w:tcW w:w="14596" w:type="dxa"/>
            <w:gridSpan w:val="6"/>
            <w:vAlign w:val="center"/>
          </w:tcPr>
          <w:p w14:paraId="3CC4D101" w14:textId="77777777" w:rsidR="00FC1D9B" w:rsidRPr="00731FE2" w:rsidRDefault="00FC1D9B" w:rsidP="003C6773">
            <w:pPr>
              <w:pBdr>
                <w:top w:val="none" w:sz="4" w:space="0" w:color="000000"/>
                <w:left w:val="none" w:sz="4" w:space="0" w:color="000000"/>
                <w:bottom w:val="none" w:sz="4" w:space="0" w:color="000000"/>
                <w:right w:val="none" w:sz="4" w:space="0" w:color="000000"/>
              </w:pBdr>
              <w:spacing w:line="17" w:lineRule="atLeast"/>
              <w:ind w:firstLine="0"/>
              <w:rPr>
                <w:rFonts w:ascii="Times New Roman" w:eastAsia="Times New Roman" w:hAnsi="Times New Roman" w:cs="Times New Roman"/>
                <w:b/>
                <w:bCs/>
                <w:color w:val="000000"/>
                <w:sz w:val="20"/>
                <w:szCs w:val="20"/>
              </w:rPr>
            </w:pPr>
            <w:r w:rsidRPr="00731FE2">
              <w:rPr>
                <w:rFonts w:ascii="Times New Roman" w:eastAsia="Times New Roman" w:hAnsi="Times New Roman" w:cs="Times New Roman"/>
                <w:b/>
                <w:bCs/>
                <w:color w:val="000000"/>
                <w:sz w:val="20"/>
                <w:szCs w:val="20"/>
              </w:rPr>
              <w:t>Объекты спорта, санаторно-курортного и туристско-рекреационного комплексов</w:t>
            </w:r>
          </w:p>
        </w:tc>
      </w:tr>
      <w:tr w:rsidR="00FC1D9B" w:rsidRPr="00731FE2" w14:paraId="29E79885" w14:textId="77777777" w:rsidTr="00FC1D9B">
        <w:trPr>
          <w:trHeight w:val="1423"/>
        </w:trPr>
        <w:tc>
          <w:tcPr>
            <w:tcW w:w="355" w:type="dxa"/>
            <w:vAlign w:val="center"/>
          </w:tcPr>
          <w:p w14:paraId="50F331F1" w14:textId="77777777" w:rsidR="00FC1D9B" w:rsidRPr="00731FE2" w:rsidRDefault="00FC1D9B" w:rsidP="003C6773">
            <w:pPr>
              <w:pStyle w:val="a3"/>
              <w:numPr>
                <w:ilvl w:val="0"/>
                <w:numId w:val="54"/>
              </w:numPr>
              <w:pBdr>
                <w:top w:val="none" w:sz="4" w:space="0" w:color="000000"/>
                <w:left w:val="none" w:sz="4" w:space="0" w:color="000000"/>
                <w:bottom w:val="none" w:sz="4" w:space="0" w:color="000000"/>
                <w:right w:val="none" w:sz="4" w:space="0" w:color="000000"/>
              </w:pBdr>
              <w:spacing w:line="17" w:lineRule="atLeast"/>
              <w:ind w:left="0" w:firstLine="0"/>
              <w:rPr>
                <w:rFonts w:ascii="Times New Roman" w:eastAsia="Times New Roman" w:hAnsi="Times New Roman" w:cs="Times New Roman"/>
                <w:color w:val="000000"/>
                <w:sz w:val="20"/>
                <w:szCs w:val="20"/>
              </w:rPr>
            </w:pPr>
          </w:p>
        </w:tc>
        <w:tc>
          <w:tcPr>
            <w:tcW w:w="2901" w:type="dxa"/>
            <w:vAlign w:val="center"/>
          </w:tcPr>
          <w:p w14:paraId="1CCFC3A5" w14:textId="77777777" w:rsidR="00FC1D9B" w:rsidRPr="00731FE2" w:rsidRDefault="00FC1D9B" w:rsidP="003C6773">
            <w:pPr>
              <w:pBdr>
                <w:top w:val="none" w:sz="4" w:space="0" w:color="000000"/>
                <w:left w:val="none" w:sz="4" w:space="0" w:color="000000"/>
                <w:bottom w:val="none" w:sz="4" w:space="0" w:color="000000"/>
                <w:right w:val="none" w:sz="4" w:space="0" w:color="000000"/>
              </w:pBdr>
              <w:spacing w:line="17" w:lineRule="atLeast"/>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Строительство спального корпуса санатория «Электроника» проектной мощностью 52 коечных места</w:t>
            </w:r>
          </w:p>
        </w:tc>
        <w:tc>
          <w:tcPr>
            <w:tcW w:w="4536" w:type="dxa"/>
            <w:vAlign w:val="center"/>
          </w:tcPr>
          <w:p w14:paraId="6991434A" w14:textId="77777777" w:rsidR="00FC1D9B" w:rsidRPr="00731FE2" w:rsidRDefault="00FC1D9B" w:rsidP="003C6773">
            <w:pPr>
              <w:pBdr>
                <w:top w:val="none" w:sz="4" w:space="0" w:color="000000"/>
                <w:left w:val="none" w:sz="4" w:space="0" w:color="000000"/>
                <w:bottom w:val="none" w:sz="4" w:space="0" w:color="000000"/>
                <w:right w:val="none" w:sz="4" w:space="0" w:color="000000"/>
              </w:pBdr>
              <w:spacing w:line="17" w:lineRule="atLeast"/>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52 коечных места</w:t>
            </w:r>
          </w:p>
        </w:tc>
        <w:tc>
          <w:tcPr>
            <w:tcW w:w="1984" w:type="dxa"/>
            <w:vAlign w:val="center"/>
          </w:tcPr>
          <w:p w14:paraId="04CF707D" w14:textId="77777777" w:rsidR="00FC1D9B" w:rsidRPr="00731FE2" w:rsidRDefault="00FC1D9B" w:rsidP="003C6773">
            <w:pPr>
              <w:pBdr>
                <w:top w:val="none" w:sz="4" w:space="0" w:color="000000"/>
                <w:left w:val="none" w:sz="4" w:space="0" w:color="000000"/>
                <w:bottom w:val="none" w:sz="4" w:space="0" w:color="000000"/>
                <w:right w:val="none" w:sz="4" w:space="0" w:color="000000"/>
              </w:pBdr>
              <w:spacing w:line="17" w:lineRule="atLeast"/>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 xml:space="preserve">Городской округ город-курорт </w:t>
            </w:r>
            <w:r w:rsidR="007B214F" w:rsidRPr="00731FE2">
              <w:rPr>
                <w:rFonts w:ascii="Times New Roman" w:eastAsia="Times New Roman" w:hAnsi="Times New Roman" w:cs="Times New Roman"/>
                <w:color w:val="000000"/>
                <w:sz w:val="20"/>
                <w:szCs w:val="20"/>
              </w:rPr>
              <w:t>Кисловодск</w:t>
            </w:r>
          </w:p>
        </w:tc>
        <w:tc>
          <w:tcPr>
            <w:tcW w:w="1276" w:type="dxa"/>
            <w:vAlign w:val="center"/>
          </w:tcPr>
          <w:p w14:paraId="251B0F87" w14:textId="77777777" w:rsidR="00FC1D9B" w:rsidRPr="00731FE2" w:rsidRDefault="00FC1D9B" w:rsidP="003C6773">
            <w:pPr>
              <w:pBdr>
                <w:top w:val="none" w:sz="4" w:space="0" w:color="000000"/>
                <w:left w:val="none" w:sz="4" w:space="0" w:color="000000"/>
                <w:bottom w:val="none" w:sz="4" w:space="0" w:color="000000"/>
                <w:right w:val="none" w:sz="4" w:space="0" w:color="000000"/>
              </w:pBdr>
              <w:spacing w:line="17" w:lineRule="atLeast"/>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до 2030 г.</w:t>
            </w:r>
          </w:p>
        </w:tc>
        <w:tc>
          <w:tcPr>
            <w:tcW w:w="3544" w:type="dxa"/>
            <w:vAlign w:val="center"/>
          </w:tcPr>
          <w:p w14:paraId="1A2F76A7" w14:textId="77777777" w:rsidR="00FC1D9B" w:rsidRPr="00731FE2" w:rsidRDefault="00FC1D9B" w:rsidP="003C6773">
            <w:pPr>
              <w:pBdr>
                <w:top w:val="none" w:sz="4" w:space="0" w:color="000000"/>
                <w:left w:val="none" w:sz="4" w:space="0" w:color="000000"/>
                <w:bottom w:val="none" w:sz="4" w:space="0" w:color="000000"/>
                <w:right w:val="none" w:sz="4" w:space="0" w:color="000000"/>
              </w:pBdr>
              <w:spacing w:line="17" w:lineRule="atLeast"/>
              <w:ind w:firstLine="0"/>
              <w:rPr>
                <w:rFonts w:ascii="Times New Roman" w:eastAsia="Times New Roman" w:hAnsi="Times New Roman" w:cs="Times New Roman"/>
                <w:b/>
                <w:color w:val="000000"/>
                <w:spacing w:val="2"/>
                <w:sz w:val="20"/>
                <w:szCs w:val="20"/>
              </w:rPr>
            </w:pPr>
            <w:r w:rsidRPr="00731FE2">
              <w:rPr>
                <w:rFonts w:ascii="Times New Roman" w:eastAsia="Times New Roman" w:hAnsi="Times New Roman" w:cs="Times New Roman"/>
                <w:color w:val="000000"/>
                <w:sz w:val="20"/>
                <w:szCs w:val="20"/>
              </w:rPr>
              <w:t xml:space="preserve">Перечень мероприятий по комплексному развитию города-курорта Кисловодска до 2030 года, утв. </w:t>
            </w:r>
            <w:r w:rsidR="007B214F" w:rsidRPr="00731FE2">
              <w:rPr>
                <w:rFonts w:ascii="Times New Roman" w:eastAsia="Times New Roman" w:hAnsi="Times New Roman" w:cs="Times New Roman"/>
                <w:color w:val="000000"/>
                <w:sz w:val="20"/>
                <w:szCs w:val="20"/>
              </w:rPr>
              <w:t>распоряжением</w:t>
            </w:r>
            <w:r w:rsidRPr="00731FE2">
              <w:rPr>
                <w:rFonts w:ascii="Times New Roman" w:eastAsia="Times New Roman" w:hAnsi="Times New Roman" w:cs="Times New Roman"/>
                <w:color w:val="000000"/>
                <w:sz w:val="20"/>
                <w:szCs w:val="20"/>
              </w:rPr>
              <w:t xml:space="preserve"> Правительства РФ от 29.12.2016 №2899-р (с изм. На 27.01.2024)</w:t>
            </w:r>
          </w:p>
        </w:tc>
      </w:tr>
      <w:tr w:rsidR="003C6773" w:rsidRPr="00731FE2" w14:paraId="38B17435" w14:textId="77777777" w:rsidTr="00FC1D9B">
        <w:trPr>
          <w:trHeight w:val="230"/>
        </w:trPr>
        <w:tc>
          <w:tcPr>
            <w:tcW w:w="355" w:type="dxa"/>
            <w:vAlign w:val="center"/>
          </w:tcPr>
          <w:p w14:paraId="34D2F478" w14:textId="77777777" w:rsidR="003C6773" w:rsidRPr="00731FE2" w:rsidRDefault="003C6773" w:rsidP="003C6773">
            <w:pPr>
              <w:pStyle w:val="a3"/>
              <w:numPr>
                <w:ilvl w:val="0"/>
                <w:numId w:val="54"/>
              </w:numPr>
              <w:pBdr>
                <w:top w:val="none" w:sz="4" w:space="0" w:color="000000"/>
                <w:left w:val="none" w:sz="4" w:space="0" w:color="000000"/>
                <w:bottom w:val="none" w:sz="4" w:space="0" w:color="000000"/>
                <w:right w:val="none" w:sz="4" w:space="0" w:color="000000"/>
              </w:pBdr>
              <w:spacing w:line="17" w:lineRule="atLeast"/>
              <w:ind w:left="0" w:firstLine="0"/>
              <w:rPr>
                <w:rFonts w:ascii="Times New Roman" w:eastAsia="Times New Roman" w:hAnsi="Times New Roman" w:cs="Times New Roman"/>
                <w:color w:val="000000"/>
                <w:sz w:val="20"/>
                <w:szCs w:val="20"/>
              </w:rPr>
            </w:pPr>
          </w:p>
        </w:tc>
        <w:tc>
          <w:tcPr>
            <w:tcW w:w="2901" w:type="dxa"/>
            <w:vAlign w:val="center"/>
          </w:tcPr>
          <w:p w14:paraId="1BF96461" w14:textId="77777777" w:rsidR="003C6773" w:rsidRPr="00731FE2" w:rsidRDefault="003C6773" w:rsidP="003C6773">
            <w:pPr>
              <w:pBdr>
                <w:top w:val="none" w:sz="4" w:space="0" w:color="000000"/>
                <w:left w:val="none" w:sz="4" w:space="0" w:color="000000"/>
                <w:bottom w:val="none" w:sz="4" w:space="0" w:color="000000"/>
                <w:right w:val="none" w:sz="4" w:space="0" w:color="000000"/>
              </w:pBdr>
              <w:spacing w:line="17" w:lineRule="atLeast"/>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Реконструкция плавательного бассейна Федерального государственного бюджетного учреждения профессиональная образовательная организация «Кисловодское государственное училище (техникум) олимпийского резерва»</w:t>
            </w:r>
          </w:p>
        </w:tc>
        <w:tc>
          <w:tcPr>
            <w:tcW w:w="4536" w:type="dxa"/>
            <w:vAlign w:val="center"/>
          </w:tcPr>
          <w:p w14:paraId="498CAD56" w14:textId="52ADD405" w:rsidR="003C6773" w:rsidRPr="00731FE2" w:rsidRDefault="003C6773" w:rsidP="003C6773">
            <w:pPr>
              <w:ind w:firstLine="0"/>
              <w:jc w:val="center"/>
              <w:rPr>
                <w:rFonts w:ascii="Times New Roman" w:hAnsi="Times New Roman" w:cs="Times New Roman"/>
              </w:rPr>
            </w:pPr>
            <w:r w:rsidRPr="00731FE2">
              <w:rPr>
                <w:rFonts w:ascii="Times New Roman" w:hAnsi="Times New Roman" w:cs="Times New Roman"/>
              </w:rPr>
              <w:t>-</w:t>
            </w:r>
          </w:p>
        </w:tc>
        <w:tc>
          <w:tcPr>
            <w:tcW w:w="1984" w:type="dxa"/>
            <w:vAlign w:val="center"/>
          </w:tcPr>
          <w:p w14:paraId="34E29CC0" w14:textId="77777777" w:rsidR="003C6773" w:rsidRPr="00731FE2" w:rsidRDefault="003C6773" w:rsidP="003C6773">
            <w:pPr>
              <w:pBdr>
                <w:top w:val="none" w:sz="4" w:space="0" w:color="000000"/>
                <w:left w:val="none" w:sz="4" w:space="0" w:color="000000"/>
                <w:bottom w:val="none" w:sz="4" w:space="0" w:color="000000"/>
                <w:right w:val="none" w:sz="4" w:space="0" w:color="000000"/>
              </w:pBdr>
              <w:spacing w:line="17" w:lineRule="atLeast"/>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Городской округ город-курорт Кисловодск</w:t>
            </w:r>
          </w:p>
        </w:tc>
        <w:tc>
          <w:tcPr>
            <w:tcW w:w="1276" w:type="dxa"/>
            <w:vAlign w:val="center"/>
          </w:tcPr>
          <w:p w14:paraId="74A449CA" w14:textId="77777777" w:rsidR="003C6773" w:rsidRPr="00731FE2" w:rsidRDefault="003C6773" w:rsidP="003C6773">
            <w:pPr>
              <w:pBdr>
                <w:top w:val="none" w:sz="4" w:space="0" w:color="000000"/>
                <w:left w:val="none" w:sz="4" w:space="0" w:color="000000"/>
                <w:bottom w:val="none" w:sz="4" w:space="0" w:color="000000"/>
                <w:right w:val="none" w:sz="4" w:space="0" w:color="000000"/>
              </w:pBdr>
              <w:shd w:val="clear" w:color="FFFFFF" w:fill="FFFFFF"/>
              <w:ind w:firstLine="0"/>
              <w:jc w:val="center"/>
              <w:rPr>
                <w:rFonts w:ascii="Times New Roman" w:hAnsi="Times New Roman" w:cs="Times New Roman"/>
              </w:rPr>
            </w:pPr>
            <w:r w:rsidRPr="00731FE2">
              <w:rPr>
                <w:rFonts w:ascii="Times New Roman" w:eastAsia="Arial Narrow" w:hAnsi="Times New Roman" w:cs="Times New Roman"/>
                <w:color w:val="000000"/>
                <w:sz w:val="20"/>
              </w:rPr>
              <w:t>2025 г.</w:t>
            </w:r>
          </w:p>
        </w:tc>
        <w:tc>
          <w:tcPr>
            <w:tcW w:w="3544" w:type="dxa"/>
            <w:vAlign w:val="center"/>
          </w:tcPr>
          <w:p w14:paraId="5DAFB4A1" w14:textId="77777777" w:rsidR="003C6773" w:rsidRPr="00731FE2" w:rsidRDefault="003C6773" w:rsidP="003C6773">
            <w:pPr>
              <w:ind w:firstLine="0"/>
              <w:rPr>
                <w:rFonts w:ascii="Times New Roman" w:hAnsi="Times New Roman" w:cs="Times New Roman"/>
              </w:rPr>
            </w:pPr>
            <w:r w:rsidRPr="00731FE2">
              <w:rPr>
                <w:rFonts w:ascii="Times New Roman" w:eastAsia="Times New Roman" w:hAnsi="Times New Roman" w:cs="Times New Roman"/>
                <w:color w:val="000000"/>
                <w:sz w:val="20"/>
                <w:szCs w:val="20"/>
              </w:rPr>
              <w:t>Перечень мероприятий по комплексному развитию города-курорта Кисловодска до 2030 года, утв. распоряжением Правительства РФ от 29.12.2016 №2899-р (с изм. На 27.01.2024)</w:t>
            </w:r>
          </w:p>
        </w:tc>
      </w:tr>
      <w:tr w:rsidR="003C6773" w:rsidRPr="00731FE2" w14:paraId="66C07DBB" w14:textId="77777777" w:rsidTr="00FC1D9B">
        <w:trPr>
          <w:trHeight w:val="230"/>
        </w:trPr>
        <w:tc>
          <w:tcPr>
            <w:tcW w:w="355" w:type="dxa"/>
            <w:vAlign w:val="center"/>
          </w:tcPr>
          <w:p w14:paraId="0AC3E86E" w14:textId="77777777" w:rsidR="003C6773" w:rsidRPr="00731FE2" w:rsidRDefault="003C6773" w:rsidP="003C6773">
            <w:pPr>
              <w:pStyle w:val="a3"/>
              <w:numPr>
                <w:ilvl w:val="0"/>
                <w:numId w:val="54"/>
              </w:numPr>
              <w:pBdr>
                <w:top w:val="none" w:sz="4" w:space="0" w:color="000000"/>
                <w:left w:val="none" w:sz="4" w:space="0" w:color="000000"/>
                <w:bottom w:val="none" w:sz="4" w:space="0" w:color="000000"/>
                <w:right w:val="none" w:sz="4" w:space="0" w:color="000000"/>
              </w:pBdr>
              <w:spacing w:line="17" w:lineRule="atLeast"/>
              <w:ind w:left="0" w:firstLine="0"/>
              <w:rPr>
                <w:rFonts w:ascii="Times New Roman" w:eastAsia="Times New Roman" w:hAnsi="Times New Roman" w:cs="Times New Roman"/>
                <w:color w:val="000000"/>
                <w:sz w:val="20"/>
                <w:szCs w:val="20"/>
              </w:rPr>
            </w:pPr>
          </w:p>
        </w:tc>
        <w:tc>
          <w:tcPr>
            <w:tcW w:w="2901" w:type="dxa"/>
            <w:vAlign w:val="center"/>
          </w:tcPr>
          <w:p w14:paraId="18B868E7" w14:textId="77777777" w:rsidR="003C6773" w:rsidRPr="00731FE2" w:rsidRDefault="003C6773" w:rsidP="003C6773">
            <w:pPr>
              <w:pBdr>
                <w:top w:val="none" w:sz="4" w:space="0" w:color="000000"/>
                <w:left w:val="none" w:sz="4" w:space="0" w:color="000000"/>
                <w:bottom w:val="none" w:sz="4" w:space="0" w:color="000000"/>
                <w:right w:val="none" w:sz="4" w:space="0" w:color="000000"/>
              </w:pBdr>
              <w:spacing w:line="17" w:lineRule="atLeast"/>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Реконструкция объектов спортивной базы федерального государственного бюджетного учреждения «Юг Спорт» в г. Кисловодске. 7-й этап. Верхняя база</w:t>
            </w:r>
          </w:p>
        </w:tc>
        <w:tc>
          <w:tcPr>
            <w:tcW w:w="4536" w:type="dxa"/>
            <w:vAlign w:val="center"/>
          </w:tcPr>
          <w:p w14:paraId="759D2E72" w14:textId="614D365F" w:rsidR="003C6773" w:rsidRPr="00731FE2" w:rsidRDefault="003C6773" w:rsidP="003C6773">
            <w:pPr>
              <w:ind w:firstLine="0"/>
              <w:jc w:val="center"/>
              <w:rPr>
                <w:rFonts w:ascii="Times New Roman" w:hAnsi="Times New Roman" w:cs="Times New Roman"/>
              </w:rPr>
            </w:pPr>
            <w:r w:rsidRPr="00731FE2">
              <w:rPr>
                <w:rFonts w:ascii="Times New Roman" w:hAnsi="Times New Roman" w:cs="Times New Roman"/>
              </w:rPr>
              <w:t>-</w:t>
            </w:r>
          </w:p>
        </w:tc>
        <w:tc>
          <w:tcPr>
            <w:tcW w:w="1984" w:type="dxa"/>
            <w:vAlign w:val="center"/>
          </w:tcPr>
          <w:p w14:paraId="2A0BC506" w14:textId="77777777" w:rsidR="003C6773" w:rsidRPr="00731FE2" w:rsidRDefault="003C6773" w:rsidP="003C6773">
            <w:pPr>
              <w:ind w:firstLine="0"/>
              <w:rPr>
                <w:rFonts w:ascii="Times New Roman" w:hAnsi="Times New Roman" w:cs="Times New Roman"/>
              </w:rPr>
            </w:pPr>
            <w:r w:rsidRPr="00731FE2">
              <w:rPr>
                <w:rFonts w:ascii="Times New Roman" w:eastAsia="Times New Roman" w:hAnsi="Times New Roman" w:cs="Times New Roman"/>
                <w:color w:val="000000"/>
                <w:sz w:val="20"/>
                <w:szCs w:val="20"/>
              </w:rPr>
              <w:t>Городской округ город-курорт Кисловодск</w:t>
            </w:r>
          </w:p>
        </w:tc>
        <w:tc>
          <w:tcPr>
            <w:tcW w:w="1276" w:type="dxa"/>
            <w:vAlign w:val="center"/>
          </w:tcPr>
          <w:p w14:paraId="20924987" w14:textId="77777777" w:rsidR="003C6773" w:rsidRPr="00731FE2" w:rsidRDefault="003C6773" w:rsidP="003C6773">
            <w:pPr>
              <w:ind w:firstLine="0"/>
              <w:rPr>
                <w:rFonts w:ascii="Times New Roman" w:hAnsi="Times New Roman" w:cs="Times New Roman"/>
              </w:rPr>
            </w:pPr>
            <w:r w:rsidRPr="00731FE2">
              <w:rPr>
                <w:rFonts w:ascii="Times New Roman" w:eastAsia="Times New Roman" w:hAnsi="Times New Roman" w:cs="Times New Roman"/>
                <w:color w:val="000000"/>
                <w:sz w:val="20"/>
                <w:szCs w:val="20"/>
              </w:rPr>
              <w:t>до 2030 г.</w:t>
            </w:r>
          </w:p>
        </w:tc>
        <w:tc>
          <w:tcPr>
            <w:tcW w:w="3544" w:type="dxa"/>
            <w:vAlign w:val="center"/>
          </w:tcPr>
          <w:p w14:paraId="271B8B6C" w14:textId="77777777" w:rsidR="003C6773" w:rsidRPr="00731FE2" w:rsidRDefault="003C6773" w:rsidP="003C6773">
            <w:pPr>
              <w:ind w:firstLine="0"/>
              <w:rPr>
                <w:rFonts w:ascii="Times New Roman" w:hAnsi="Times New Roman" w:cs="Times New Roman"/>
              </w:rPr>
            </w:pPr>
            <w:r w:rsidRPr="00731FE2">
              <w:rPr>
                <w:rFonts w:ascii="Times New Roman" w:eastAsia="Times New Roman" w:hAnsi="Times New Roman" w:cs="Times New Roman"/>
                <w:color w:val="000000"/>
                <w:sz w:val="20"/>
                <w:szCs w:val="20"/>
              </w:rPr>
              <w:t>Перечень мероприятий по комплексному развитию города-курорта Кисловодска до 2030 года, утв. распоряжением Правительства РФ от 29.12.2016 №2899-р (с изм. На 27.01.2024)</w:t>
            </w:r>
          </w:p>
        </w:tc>
      </w:tr>
      <w:tr w:rsidR="00FC1D9B" w:rsidRPr="00731FE2" w14:paraId="0A06A3C5" w14:textId="77777777" w:rsidTr="00FC1D9B">
        <w:trPr>
          <w:trHeight w:val="230"/>
        </w:trPr>
        <w:tc>
          <w:tcPr>
            <w:tcW w:w="355" w:type="dxa"/>
            <w:vAlign w:val="center"/>
          </w:tcPr>
          <w:p w14:paraId="01A4646D" w14:textId="77777777" w:rsidR="00FC1D9B" w:rsidRPr="00731FE2" w:rsidRDefault="00FC1D9B" w:rsidP="003C6773">
            <w:pPr>
              <w:pStyle w:val="a3"/>
              <w:numPr>
                <w:ilvl w:val="0"/>
                <w:numId w:val="54"/>
              </w:numPr>
              <w:pBdr>
                <w:top w:val="none" w:sz="4" w:space="0" w:color="000000"/>
                <w:left w:val="none" w:sz="4" w:space="0" w:color="000000"/>
                <w:bottom w:val="none" w:sz="4" w:space="0" w:color="000000"/>
                <w:right w:val="none" w:sz="4" w:space="0" w:color="000000"/>
              </w:pBdr>
              <w:spacing w:line="17" w:lineRule="atLeast"/>
              <w:ind w:left="0" w:firstLine="0"/>
              <w:rPr>
                <w:rFonts w:ascii="Times New Roman" w:eastAsia="Times New Roman" w:hAnsi="Times New Roman" w:cs="Times New Roman"/>
                <w:color w:val="000000"/>
                <w:sz w:val="20"/>
                <w:szCs w:val="20"/>
              </w:rPr>
            </w:pPr>
          </w:p>
        </w:tc>
        <w:tc>
          <w:tcPr>
            <w:tcW w:w="2901" w:type="dxa"/>
            <w:vAlign w:val="center"/>
          </w:tcPr>
          <w:p w14:paraId="1AAD55E2" w14:textId="77777777" w:rsidR="00FC1D9B" w:rsidRPr="00731FE2" w:rsidRDefault="00FC1D9B" w:rsidP="003C6773">
            <w:pPr>
              <w:pBdr>
                <w:top w:val="none" w:sz="4" w:space="0" w:color="000000"/>
                <w:left w:val="none" w:sz="4" w:space="0" w:color="000000"/>
                <w:bottom w:val="none" w:sz="4" w:space="0" w:color="000000"/>
                <w:right w:val="none" w:sz="4" w:space="0" w:color="000000"/>
              </w:pBdr>
              <w:spacing w:line="17" w:lineRule="atLeast"/>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Создание комплексной эколого-просветительской площадки «Грушевая роща»</w:t>
            </w:r>
          </w:p>
        </w:tc>
        <w:tc>
          <w:tcPr>
            <w:tcW w:w="4536" w:type="dxa"/>
            <w:vAlign w:val="center"/>
          </w:tcPr>
          <w:p w14:paraId="06C47FFF" w14:textId="546782A7" w:rsidR="00FC1D9B" w:rsidRPr="00731FE2" w:rsidRDefault="003C6773" w:rsidP="003C6773">
            <w:pPr>
              <w:ind w:firstLine="0"/>
              <w:jc w:val="center"/>
              <w:rPr>
                <w:rFonts w:ascii="Times New Roman" w:hAnsi="Times New Roman" w:cs="Times New Roman"/>
              </w:rPr>
            </w:pPr>
            <w:r w:rsidRPr="00731FE2">
              <w:rPr>
                <w:rFonts w:ascii="Times New Roman" w:hAnsi="Times New Roman" w:cs="Times New Roman"/>
              </w:rPr>
              <w:t>-</w:t>
            </w:r>
          </w:p>
        </w:tc>
        <w:tc>
          <w:tcPr>
            <w:tcW w:w="1984" w:type="dxa"/>
            <w:vAlign w:val="center"/>
          </w:tcPr>
          <w:p w14:paraId="3B6EFDCA" w14:textId="77777777" w:rsidR="00FC1D9B" w:rsidRPr="00731FE2" w:rsidRDefault="00FC1D9B" w:rsidP="003C6773">
            <w:pPr>
              <w:ind w:firstLine="0"/>
              <w:rPr>
                <w:rFonts w:ascii="Times New Roman" w:hAnsi="Times New Roman" w:cs="Times New Roman"/>
              </w:rPr>
            </w:pPr>
            <w:r w:rsidRPr="00731FE2">
              <w:rPr>
                <w:rFonts w:ascii="Times New Roman" w:eastAsia="Times New Roman" w:hAnsi="Times New Roman" w:cs="Times New Roman"/>
                <w:color w:val="000000"/>
                <w:sz w:val="20"/>
                <w:szCs w:val="20"/>
              </w:rPr>
              <w:t xml:space="preserve">Городской округ город-курорт </w:t>
            </w:r>
            <w:r w:rsidR="007B214F" w:rsidRPr="00731FE2">
              <w:rPr>
                <w:rFonts w:ascii="Times New Roman" w:eastAsia="Times New Roman" w:hAnsi="Times New Roman" w:cs="Times New Roman"/>
                <w:color w:val="000000"/>
                <w:sz w:val="20"/>
                <w:szCs w:val="20"/>
              </w:rPr>
              <w:t>Кисловодск</w:t>
            </w:r>
          </w:p>
        </w:tc>
        <w:tc>
          <w:tcPr>
            <w:tcW w:w="1276" w:type="dxa"/>
            <w:vAlign w:val="center"/>
          </w:tcPr>
          <w:p w14:paraId="2C0B0DA8" w14:textId="77777777" w:rsidR="00FC1D9B" w:rsidRPr="00731FE2" w:rsidRDefault="00FC1D9B" w:rsidP="003C6773">
            <w:pPr>
              <w:ind w:firstLine="0"/>
              <w:rPr>
                <w:rFonts w:ascii="Times New Roman" w:hAnsi="Times New Roman" w:cs="Times New Roman"/>
              </w:rPr>
            </w:pPr>
            <w:r w:rsidRPr="00731FE2">
              <w:rPr>
                <w:rFonts w:ascii="Times New Roman" w:eastAsia="Times New Roman" w:hAnsi="Times New Roman" w:cs="Times New Roman"/>
                <w:color w:val="000000"/>
                <w:sz w:val="20"/>
                <w:szCs w:val="20"/>
              </w:rPr>
              <w:t>до 2030 г.</w:t>
            </w:r>
          </w:p>
        </w:tc>
        <w:tc>
          <w:tcPr>
            <w:tcW w:w="3544" w:type="dxa"/>
            <w:vAlign w:val="center"/>
          </w:tcPr>
          <w:p w14:paraId="3F17AAF7" w14:textId="77777777" w:rsidR="00FC1D9B" w:rsidRPr="00731FE2" w:rsidRDefault="00FC1D9B" w:rsidP="003C6773">
            <w:pPr>
              <w:ind w:firstLine="0"/>
              <w:rPr>
                <w:rFonts w:ascii="Times New Roman" w:hAnsi="Times New Roman" w:cs="Times New Roman"/>
              </w:rPr>
            </w:pPr>
            <w:r w:rsidRPr="00731FE2">
              <w:rPr>
                <w:rFonts w:ascii="Times New Roman" w:eastAsia="Times New Roman" w:hAnsi="Times New Roman" w:cs="Times New Roman"/>
                <w:color w:val="000000"/>
                <w:sz w:val="20"/>
                <w:szCs w:val="20"/>
              </w:rPr>
              <w:t xml:space="preserve">Перечень мероприятий по комплексному развитию города-курорта Кисловодска до 2030 года, утв. </w:t>
            </w:r>
            <w:r w:rsidR="007B214F" w:rsidRPr="00731FE2">
              <w:rPr>
                <w:rFonts w:ascii="Times New Roman" w:eastAsia="Times New Roman" w:hAnsi="Times New Roman" w:cs="Times New Roman"/>
                <w:color w:val="000000"/>
                <w:sz w:val="20"/>
                <w:szCs w:val="20"/>
              </w:rPr>
              <w:t>распоряжением</w:t>
            </w:r>
            <w:r w:rsidRPr="00731FE2">
              <w:rPr>
                <w:rFonts w:ascii="Times New Roman" w:eastAsia="Times New Roman" w:hAnsi="Times New Roman" w:cs="Times New Roman"/>
                <w:color w:val="000000"/>
                <w:sz w:val="20"/>
                <w:szCs w:val="20"/>
              </w:rPr>
              <w:t xml:space="preserve"> Правительства РФ от 29.12.2016 №2899-р (с изм. На 27.01.2024)</w:t>
            </w:r>
          </w:p>
        </w:tc>
      </w:tr>
      <w:tr w:rsidR="003C6773" w:rsidRPr="00731FE2" w14:paraId="4E272613" w14:textId="77777777" w:rsidTr="00FC1D9B">
        <w:trPr>
          <w:trHeight w:val="230"/>
        </w:trPr>
        <w:tc>
          <w:tcPr>
            <w:tcW w:w="355" w:type="dxa"/>
            <w:vAlign w:val="center"/>
          </w:tcPr>
          <w:p w14:paraId="3BC56E78" w14:textId="77777777" w:rsidR="003C6773" w:rsidRPr="00731FE2" w:rsidRDefault="003C6773" w:rsidP="003C6773">
            <w:pPr>
              <w:pStyle w:val="a3"/>
              <w:numPr>
                <w:ilvl w:val="0"/>
                <w:numId w:val="54"/>
              </w:numPr>
              <w:pBdr>
                <w:top w:val="none" w:sz="4" w:space="0" w:color="000000"/>
                <w:left w:val="none" w:sz="4" w:space="0" w:color="000000"/>
                <w:bottom w:val="none" w:sz="4" w:space="0" w:color="000000"/>
                <w:right w:val="none" w:sz="4" w:space="0" w:color="000000"/>
              </w:pBdr>
              <w:spacing w:line="17" w:lineRule="atLeast"/>
              <w:ind w:left="0" w:firstLine="0"/>
              <w:rPr>
                <w:rFonts w:ascii="Times New Roman" w:eastAsia="Times New Roman" w:hAnsi="Times New Roman" w:cs="Times New Roman"/>
                <w:color w:val="000000"/>
                <w:sz w:val="20"/>
                <w:szCs w:val="20"/>
              </w:rPr>
            </w:pPr>
          </w:p>
        </w:tc>
        <w:tc>
          <w:tcPr>
            <w:tcW w:w="2901" w:type="dxa"/>
            <w:vAlign w:val="center"/>
          </w:tcPr>
          <w:p w14:paraId="202BCA63" w14:textId="0CAFE819" w:rsidR="003C6773" w:rsidRPr="00731FE2" w:rsidRDefault="0014556C" w:rsidP="0014556C">
            <w:pPr>
              <w:pBdr>
                <w:top w:val="none" w:sz="4" w:space="0" w:color="000000"/>
                <w:left w:val="none" w:sz="4" w:space="0" w:color="000000"/>
                <w:bottom w:val="none" w:sz="4" w:space="0" w:color="000000"/>
                <w:right w:val="none" w:sz="4" w:space="0" w:color="000000"/>
              </w:pBdr>
              <w:spacing w:line="17" w:lineRule="atLeast"/>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Комплексная</w:t>
            </w:r>
            <w:r w:rsidR="003C6773" w:rsidRPr="00731FE2">
              <w:rPr>
                <w:rFonts w:ascii="Times New Roman" w:eastAsia="Times New Roman" w:hAnsi="Times New Roman" w:cs="Times New Roman"/>
                <w:color w:val="000000"/>
                <w:sz w:val="20"/>
                <w:szCs w:val="20"/>
              </w:rPr>
              <w:t xml:space="preserve"> эколого-просветительск</w:t>
            </w:r>
            <w:r w:rsidRPr="00731FE2">
              <w:rPr>
                <w:rFonts w:ascii="Times New Roman" w:eastAsia="Times New Roman" w:hAnsi="Times New Roman" w:cs="Times New Roman"/>
                <w:color w:val="000000"/>
                <w:sz w:val="20"/>
                <w:szCs w:val="20"/>
              </w:rPr>
              <w:t>ая</w:t>
            </w:r>
            <w:r w:rsidR="003C6773" w:rsidRPr="00731FE2">
              <w:rPr>
                <w:rFonts w:ascii="Times New Roman" w:eastAsia="Times New Roman" w:hAnsi="Times New Roman" w:cs="Times New Roman"/>
                <w:color w:val="000000"/>
                <w:sz w:val="20"/>
                <w:szCs w:val="20"/>
              </w:rPr>
              <w:t xml:space="preserve"> площадк</w:t>
            </w:r>
            <w:r w:rsidRPr="00731FE2">
              <w:rPr>
                <w:rFonts w:ascii="Times New Roman" w:eastAsia="Times New Roman" w:hAnsi="Times New Roman" w:cs="Times New Roman"/>
                <w:color w:val="000000"/>
                <w:sz w:val="20"/>
                <w:szCs w:val="20"/>
              </w:rPr>
              <w:t>а</w:t>
            </w:r>
            <w:r w:rsidR="003C6773" w:rsidRPr="00731FE2">
              <w:rPr>
                <w:rFonts w:ascii="Times New Roman" w:eastAsia="Times New Roman" w:hAnsi="Times New Roman" w:cs="Times New Roman"/>
                <w:color w:val="000000"/>
                <w:sz w:val="20"/>
                <w:szCs w:val="20"/>
              </w:rPr>
              <w:t xml:space="preserve"> «Минералогический сад»</w:t>
            </w:r>
          </w:p>
        </w:tc>
        <w:tc>
          <w:tcPr>
            <w:tcW w:w="4536" w:type="dxa"/>
            <w:vAlign w:val="center"/>
          </w:tcPr>
          <w:p w14:paraId="4AFFF4CE" w14:textId="0BBFD4A6" w:rsidR="003C6773" w:rsidRPr="00731FE2" w:rsidRDefault="003C6773" w:rsidP="003C6773">
            <w:pPr>
              <w:ind w:firstLine="0"/>
              <w:jc w:val="center"/>
              <w:rPr>
                <w:rFonts w:ascii="Times New Roman" w:hAnsi="Times New Roman" w:cs="Times New Roman"/>
              </w:rPr>
            </w:pPr>
            <w:r w:rsidRPr="00731FE2">
              <w:rPr>
                <w:rFonts w:ascii="Times New Roman" w:hAnsi="Times New Roman" w:cs="Times New Roman"/>
              </w:rPr>
              <w:t>-</w:t>
            </w:r>
          </w:p>
        </w:tc>
        <w:tc>
          <w:tcPr>
            <w:tcW w:w="1984" w:type="dxa"/>
            <w:vAlign w:val="center"/>
          </w:tcPr>
          <w:p w14:paraId="585F6F8E" w14:textId="77777777" w:rsidR="003C6773" w:rsidRPr="00731FE2" w:rsidRDefault="003C6773" w:rsidP="003C6773">
            <w:pPr>
              <w:ind w:firstLine="0"/>
              <w:rPr>
                <w:rFonts w:ascii="Times New Roman" w:hAnsi="Times New Roman" w:cs="Times New Roman"/>
              </w:rPr>
            </w:pPr>
            <w:r w:rsidRPr="00731FE2">
              <w:rPr>
                <w:rFonts w:ascii="Times New Roman" w:eastAsia="Times New Roman" w:hAnsi="Times New Roman" w:cs="Times New Roman"/>
                <w:color w:val="000000"/>
                <w:sz w:val="20"/>
                <w:szCs w:val="20"/>
              </w:rPr>
              <w:t>Городской округ город-курорт Кисловодск</w:t>
            </w:r>
          </w:p>
        </w:tc>
        <w:tc>
          <w:tcPr>
            <w:tcW w:w="1276" w:type="dxa"/>
            <w:vAlign w:val="center"/>
          </w:tcPr>
          <w:p w14:paraId="604789ED" w14:textId="77777777" w:rsidR="003C6773" w:rsidRPr="00731FE2" w:rsidRDefault="003C6773" w:rsidP="003C6773">
            <w:pPr>
              <w:ind w:firstLine="0"/>
              <w:rPr>
                <w:rFonts w:ascii="Times New Roman" w:hAnsi="Times New Roman" w:cs="Times New Roman"/>
              </w:rPr>
            </w:pPr>
            <w:r w:rsidRPr="00731FE2">
              <w:rPr>
                <w:rFonts w:ascii="Times New Roman" w:eastAsia="Times New Roman" w:hAnsi="Times New Roman" w:cs="Times New Roman"/>
                <w:color w:val="000000"/>
                <w:sz w:val="20"/>
                <w:szCs w:val="20"/>
              </w:rPr>
              <w:t>до 2030 г.</w:t>
            </w:r>
          </w:p>
        </w:tc>
        <w:tc>
          <w:tcPr>
            <w:tcW w:w="3544" w:type="dxa"/>
            <w:vAlign w:val="center"/>
          </w:tcPr>
          <w:p w14:paraId="33834627" w14:textId="77777777" w:rsidR="003C6773" w:rsidRPr="00731FE2" w:rsidRDefault="003C6773" w:rsidP="003C6773">
            <w:pPr>
              <w:ind w:firstLine="0"/>
              <w:rPr>
                <w:rFonts w:ascii="Times New Roman" w:hAnsi="Times New Roman" w:cs="Times New Roman"/>
              </w:rPr>
            </w:pPr>
            <w:r w:rsidRPr="00731FE2">
              <w:rPr>
                <w:rFonts w:ascii="Times New Roman" w:eastAsia="Times New Roman" w:hAnsi="Times New Roman" w:cs="Times New Roman"/>
                <w:color w:val="000000"/>
                <w:sz w:val="20"/>
                <w:szCs w:val="20"/>
              </w:rPr>
              <w:t>Перечень мероприятий по комплексному развитию города-курорта Кисловодска до 2030 года, утв. распоряжением Правительства РФ от 29.12.2016 №2899-р (с изм. На 27.01.2024)</w:t>
            </w:r>
          </w:p>
        </w:tc>
      </w:tr>
      <w:tr w:rsidR="003C6773" w:rsidRPr="00731FE2" w14:paraId="68FF0236" w14:textId="77777777" w:rsidTr="00FC1D9B">
        <w:trPr>
          <w:trHeight w:val="230"/>
        </w:trPr>
        <w:tc>
          <w:tcPr>
            <w:tcW w:w="355" w:type="dxa"/>
            <w:vAlign w:val="center"/>
          </w:tcPr>
          <w:p w14:paraId="4EEC93EC" w14:textId="77777777" w:rsidR="003C6773" w:rsidRPr="00731FE2" w:rsidRDefault="003C6773" w:rsidP="003C6773">
            <w:pPr>
              <w:pStyle w:val="a3"/>
              <w:numPr>
                <w:ilvl w:val="0"/>
                <w:numId w:val="54"/>
              </w:numPr>
              <w:pBdr>
                <w:top w:val="none" w:sz="4" w:space="0" w:color="000000"/>
                <w:left w:val="none" w:sz="4" w:space="0" w:color="000000"/>
                <w:bottom w:val="none" w:sz="4" w:space="0" w:color="000000"/>
                <w:right w:val="none" w:sz="4" w:space="0" w:color="000000"/>
              </w:pBdr>
              <w:spacing w:line="17" w:lineRule="atLeast"/>
              <w:ind w:left="0" w:firstLine="0"/>
              <w:rPr>
                <w:rFonts w:ascii="Times New Roman" w:eastAsia="Times New Roman" w:hAnsi="Times New Roman" w:cs="Times New Roman"/>
                <w:color w:val="000000"/>
                <w:sz w:val="20"/>
                <w:szCs w:val="20"/>
              </w:rPr>
            </w:pPr>
          </w:p>
        </w:tc>
        <w:tc>
          <w:tcPr>
            <w:tcW w:w="2901" w:type="dxa"/>
            <w:vAlign w:val="center"/>
          </w:tcPr>
          <w:p w14:paraId="64F3A996" w14:textId="7FE48925" w:rsidR="003C6773" w:rsidRPr="00731FE2" w:rsidRDefault="0014556C" w:rsidP="003C6773">
            <w:pPr>
              <w:pBdr>
                <w:top w:val="none" w:sz="4" w:space="0" w:color="000000"/>
                <w:left w:val="none" w:sz="4" w:space="0" w:color="000000"/>
                <w:bottom w:val="none" w:sz="4" w:space="0" w:color="000000"/>
                <w:right w:val="none" w:sz="4" w:space="0" w:color="000000"/>
              </w:pBdr>
              <w:spacing w:line="17" w:lineRule="atLeast"/>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Б</w:t>
            </w:r>
            <w:r w:rsidR="003C6773" w:rsidRPr="00731FE2">
              <w:rPr>
                <w:rFonts w:ascii="Times New Roman" w:eastAsia="Times New Roman" w:hAnsi="Times New Roman" w:cs="Times New Roman"/>
                <w:color w:val="000000"/>
                <w:sz w:val="20"/>
                <w:szCs w:val="20"/>
              </w:rPr>
              <w:t>лагоустройство рекреационной зоны площадью 4,5 га для оказания услуг в сфере туризма, физической культуры и спорта, организации отдыха и укрепления здоровья граждан</w:t>
            </w:r>
          </w:p>
        </w:tc>
        <w:tc>
          <w:tcPr>
            <w:tcW w:w="4536" w:type="dxa"/>
            <w:vAlign w:val="center"/>
          </w:tcPr>
          <w:p w14:paraId="72BDCC0F" w14:textId="107428F4" w:rsidR="003C6773" w:rsidRPr="00731FE2" w:rsidRDefault="003C6773" w:rsidP="003C6773">
            <w:pPr>
              <w:ind w:firstLine="0"/>
              <w:jc w:val="center"/>
              <w:rPr>
                <w:rFonts w:ascii="Times New Roman" w:hAnsi="Times New Roman" w:cs="Times New Roman"/>
              </w:rPr>
            </w:pPr>
            <w:r w:rsidRPr="00731FE2">
              <w:rPr>
                <w:rFonts w:ascii="Times New Roman" w:hAnsi="Times New Roman" w:cs="Times New Roman"/>
              </w:rPr>
              <w:t>-</w:t>
            </w:r>
          </w:p>
        </w:tc>
        <w:tc>
          <w:tcPr>
            <w:tcW w:w="1984" w:type="dxa"/>
            <w:vAlign w:val="center"/>
          </w:tcPr>
          <w:p w14:paraId="764A6337" w14:textId="77777777" w:rsidR="003C6773" w:rsidRPr="00731FE2" w:rsidRDefault="003C6773" w:rsidP="003C6773">
            <w:pPr>
              <w:ind w:firstLine="0"/>
              <w:rPr>
                <w:rFonts w:ascii="Times New Roman" w:hAnsi="Times New Roman" w:cs="Times New Roman"/>
              </w:rPr>
            </w:pPr>
            <w:r w:rsidRPr="00731FE2">
              <w:rPr>
                <w:rFonts w:ascii="Times New Roman" w:eastAsia="Times New Roman" w:hAnsi="Times New Roman" w:cs="Times New Roman"/>
                <w:color w:val="000000"/>
                <w:sz w:val="20"/>
                <w:szCs w:val="20"/>
              </w:rPr>
              <w:t>Городской округ город-курорт Кисловодск</w:t>
            </w:r>
          </w:p>
        </w:tc>
        <w:tc>
          <w:tcPr>
            <w:tcW w:w="1276" w:type="dxa"/>
            <w:vAlign w:val="center"/>
          </w:tcPr>
          <w:p w14:paraId="1ECD3A48" w14:textId="77777777" w:rsidR="003C6773" w:rsidRPr="00731FE2" w:rsidRDefault="003C6773" w:rsidP="003C6773">
            <w:pPr>
              <w:ind w:firstLine="0"/>
              <w:rPr>
                <w:rFonts w:ascii="Times New Roman" w:hAnsi="Times New Roman" w:cs="Times New Roman"/>
              </w:rPr>
            </w:pPr>
            <w:r w:rsidRPr="00731FE2">
              <w:rPr>
                <w:rFonts w:ascii="Times New Roman" w:eastAsia="Times New Roman" w:hAnsi="Times New Roman" w:cs="Times New Roman"/>
                <w:color w:val="000000"/>
                <w:sz w:val="20"/>
                <w:szCs w:val="20"/>
              </w:rPr>
              <w:t>до 2030 г.</w:t>
            </w:r>
          </w:p>
        </w:tc>
        <w:tc>
          <w:tcPr>
            <w:tcW w:w="3544" w:type="dxa"/>
            <w:vAlign w:val="center"/>
          </w:tcPr>
          <w:p w14:paraId="42419507" w14:textId="77777777" w:rsidR="003C6773" w:rsidRPr="00731FE2" w:rsidRDefault="003C6773" w:rsidP="003C6773">
            <w:pPr>
              <w:ind w:firstLine="0"/>
              <w:rPr>
                <w:rFonts w:ascii="Times New Roman" w:hAnsi="Times New Roman" w:cs="Times New Roman"/>
              </w:rPr>
            </w:pPr>
            <w:r w:rsidRPr="00731FE2">
              <w:rPr>
                <w:rFonts w:ascii="Times New Roman" w:eastAsia="Times New Roman" w:hAnsi="Times New Roman" w:cs="Times New Roman"/>
                <w:color w:val="000000"/>
                <w:sz w:val="20"/>
                <w:szCs w:val="20"/>
              </w:rPr>
              <w:t>Перечень мероприятий по комплексному развитию города-курорта Кисловодска до 2030 года, утв. распоряжением Правительства РФ от 29.12.2016 №2899-р (с изм. На 27.01.2024)</w:t>
            </w:r>
          </w:p>
        </w:tc>
      </w:tr>
      <w:tr w:rsidR="003C6773" w:rsidRPr="00731FE2" w14:paraId="2E791E67" w14:textId="77777777" w:rsidTr="00FC1D9B">
        <w:trPr>
          <w:trHeight w:val="230"/>
        </w:trPr>
        <w:tc>
          <w:tcPr>
            <w:tcW w:w="355" w:type="dxa"/>
            <w:vAlign w:val="center"/>
          </w:tcPr>
          <w:p w14:paraId="1A04B533" w14:textId="77777777" w:rsidR="003C6773" w:rsidRPr="00731FE2" w:rsidRDefault="003C6773" w:rsidP="003C6773">
            <w:pPr>
              <w:pStyle w:val="a3"/>
              <w:numPr>
                <w:ilvl w:val="0"/>
                <w:numId w:val="54"/>
              </w:numPr>
              <w:pBdr>
                <w:top w:val="none" w:sz="4" w:space="0" w:color="000000"/>
                <w:left w:val="none" w:sz="4" w:space="0" w:color="000000"/>
                <w:bottom w:val="none" w:sz="4" w:space="0" w:color="000000"/>
                <w:right w:val="none" w:sz="4" w:space="0" w:color="000000"/>
              </w:pBdr>
              <w:spacing w:line="17" w:lineRule="atLeast"/>
              <w:ind w:left="0" w:firstLine="0"/>
              <w:rPr>
                <w:rFonts w:ascii="Times New Roman" w:eastAsia="Times New Roman" w:hAnsi="Times New Roman" w:cs="Times New Roman"/>
                <w:color w:val="000000"/>
                <w:sz w:val="20"/>
                <w:szCs w:val="20"/>
              </w:rPr>
            </w:pPr>
          </w:p>
        </w:tc>
        <w:tc>
          <w:tcPr>
            <w:tcW w:w="2901" w:type="dxa"/>
            <w:vAlign w:val="center"/>
          </w:tcPr>
          <w:p w14:paraId="41A8285D" w14:textId="77777777" w:rsidR="003C6773" w:rsidRPr="00731FE2" w:rsidRDefault="003C6773" w:rsidP="003C6773">
            <w:pPr>
              <w:pBdr>
                <w:top w:val="none" w:sz="4" w:space="0" w:color="000000"/>
                <w:left w:val="none" w:sz="4" w:space="0" w:color="000000"/>
                <w:bottom w:val="none" w:sz="4" w:space="0" w:color="000000"/>
                <w:right w:val="none" w:sz="4" w:space="0" w:color="000000"/>
              </w:pBdr>
              <w:spacing w:line="17" w:lineRule="atLeast"/>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Разработка проектной документации, реконструкция, восстановление и благоустройство студенческого лагеря «Горное эхо» (город-курорт Кисловодск) как ресурсного центра активного студенческого туризма на территории Северо-Кавказского федерального округа</w:t>
            </w:r>
          </w:p>
        </w:tc>
        <w:tc>
          <w:tcPr>
            <w:tcW w:w="4536" w:type="dxa"/>
            <w:vAlign w:val="center"/>
          </w:tcPr>
          <w:p w14:paraId="6B215285" w14:textId="50C4ACD4" w:rsidR="003C6773" w:rsidRPr="00731FE2" w:rsidRDefault="003C6773" w:rsidP="003C6773">
            <w:pPr>
              <w:ind w:firstLine="0"/>
              <w:jc w:val="center"/>
              <w:rPr>
                <w:rFonts w:ascii="Times New Roman" w:hAnsi="Times New Roman" w:cs="Times New Roman"/>
              </w:rPr>
            </w:pPr>
            <w:r w:rsidRPr="00731FE2">
              <w:rPr>
                <w:rFonts w:ascii="Times New Roman" w:hAnsi="Times New Roman" w:cs="Times New Roman"/>
              </w:rPr>
              <w:t>-</w:t>
            </w:r>
          </w:p>
        </w:tc>
        <w:tc>
          <w:tcPr>
            <w:tcW w:w="1984" w:type="dxa"/>
            <w:vAlign w:val="center"/>
          </w:tcPr>
          <w:p w14:paraId="7867B73E" w14:textId="77777777" w:rsidR="003C6773" w:rsidRPr="00731FE2" w:rsidRDefault="003C6773" w:rsidP="003C6773">
            <w:pPr>
              <w:ind w:firstLine="0"/>
              <w:rPr>
                <w:rFonts w:ascii="Times New Roman" w:hAnsi="Times New Roman" w:cs="Times New Roman"/>
              </w:rPr>
            </w:pPr>
            <w:r w:rsidRPr="00731FE2">
              <w:rPr>
                <w:rFonts w:ascii="Times New Roman" w:eastAsia="Times New Roman" w:hAnsi="Times New Roman" w:cs="Times New Roman"/>
                <w:color w:val="000000"/>
                <w:sz w:val="20"/>
                <w:szCs w:val="20"/>
              </w:rPr>
              <w:t>Городской округ город-курорт Кисловодск</w:t>
            </w:r>
          </w:p>
        </w:tc>
        <w:tc>
          <w:tcPr>
            <w:tcW w:w="1276" w:type="dxa"/>
            <w:vAlign w:val="center"/>
          </w:tcPr>
          <w:p w14:paraId="3DEDBA56" w14:textId="77777777" w:rsidR="003C6773" w:rsidRPr="00731FE2" w:rsidRDefault="003C6773" w:rsidP="003C6773">
            <w:pPr>
              <w:ind w:firstLine="0"/>
              <w:rPr>
                <w:rFonts w:ascii="Times New Roman" w:hAnsi="Times New Roman" w:cs="Times New Roman"/>
              </w:rPr>
            </w:pPr>
            <w:r w:rsidRPr="00731FE2">
              <w:rPr>
                <w:rFonts w:ascii="Times New Roman" w:eastAsia="Times New Roman" w:hAnsi="Times New Roman" w:cs="Times New Roman"/>
                <w:color w:val="000000"/>
                <w:sz w:val="20"/>
                <w:szCs w:val="20"/>
              </w:rPr>
              <w:t>до 2030 г.</w:t>
            </w:r>
          </w:p>
        </w:tc>
        <w:tc>
          <w:tcPr>
            <w:tcW w:w="3544" w:type="dxa"/>
            <w:vAlign w:val="center"/>
          </w:tcPr>
          <w:p w14:paraId="641255F9" w14:textId="77777777" w:rsidR="003C6773" w:rsidRPr="00731FE2" w:rsidRDefault="003C6773" w:rsidP="003C6773">
            <w:pPr>
              <w:ind w:firstLine="0"/>
              <w:rPr>
                <w:rFonts w:ascii="Times New Roman" w:hAnsi="Times New Roman" w:cs="Times New Roman"/>
              </w:rPr>
            </w:pPr>
            <w:r w:rsidRPr="00731FE2">
              <w:rPr>
                <w:rFonts w:ascii="Times New Roman" w:eastAsia="Times New Roman" w:hAnsi="Times New Roman" w:cs="Times New Roman"/>
                <w:color w:val="000000"/>
                <w:sz w:val="20"/>
                <w:szCs w:val="20"/>
              </w:rPr>
              <w:t>Перечень мероприятий по комплексному развитию города-курорта Кисловодска до 2030 года, утв. распоряжением Правительства РФ от 29.12.2016 №2899-р (с изм. На 27.01.2024)</w:t>
            </w:r>
          </w:p>
        </w:tc>
      </w:tr>
    </w:tbl>
    <w:p w14:paraId="7790334D" w14:textId="77777777" w:rsidR="00171AA8" w:rsidRPr="00731FE2" w:rsidRDefault="00171AA8">
      <w:pPr>
        <w:rPr>
          <w:rFonts w:ascii="Times New Roman" w:eastAsiaTheme="majorEastAsia" w:hAnsi="Times New Roman" w:cs="Times New Roman"/>
          <w:color w:val="404040" w:themeColor="text1" w:themeTint="BF"/>
          <w:szCs w:val="24"/>
        </w:rPr>
      </w:pPr>
    </w:p>
    <w:p w14:paraId="720D01A9" w14:textId="77777777" w:rsidR="00171AA8" w:rsidRPr="00731FE2" w:rsidRDefault="00FC1D9B" w:rsidP="00FC1D9B">
      <w:pPr>
        <w:pStyle w:val="33"/>
      </w:pPr>
      <w:bookmarkStart w:id="103" w:name="_Toc177392853"/>
      <w:r w:rsidRPr="00731FE2">
        <w:rPr>
          <w:rFonts w:ascii="Times New Roman" w:hAnsi="Times New Roman" w:cs="Times New Roman"/>
        </w:rPr>
        <w:t>4</w:t>
      </w:r>
      <w:r w:rsidR="00357DCA" w:rsidRPr="00731FE2">
        <w:rPr>
          <w:rFonts w:ascii="Times New Roman" w:hAnsi="Times New Roman" w:cs="Times New Roman"/>
        </w:rPr>
        <w:t>.2</w:t>
      </w:r>
      <w:r w:rsidRPr="00731FE2">
        <w:rPr>
          <w:rFonts w:ascii="Times New Roman" w:hAnsi="Times New Roman" w:cs="Times New Roman"/>
        </w:rPr>
        <w:t xml:space="preserve"> Объекты регионального значения</w:t>
      </w:r>
      <w:bookmarkEnd w:id="103"/>
    </w:p>
    <w:tbl>
      <w:tblPr>
        <w:tblStyle w:val="TableGridReport1"/>
        <w:tblW w:w="14596" w:type="dxa"/>
        <w:tblLayout w:type="fixed"/>
        <w:tblCellMar>
          <w:left w:w="40" w:type="dxa"/>
          <w:right w:w="40" w:type="dxa"/>
        </w:tblCellMar>
        <w:tblLook w:val="04A0" w:firstRow="1" w:lastRow="0" w:firstColumn="1" w:lastColumn="0" w:noHBand="0" w:noVBand="1"/>
      </w:tblPr>
      <w:tblGrid>
        <w:gridCol w:w="352"/>
        <w:gridCol w:w="999"/>
        <w:gridCol w:w="2472"/>
        <w:gridCol w:w="1842"/>
        <w:gridCol w:w="1843"/>
        <w:gridCol w:w="1134"/>
        <w:gridCol w:w="1559"/>
        <w:gridCol w:w="1560"/>
        <w:gridCol w:w="2835"/>
      </w:tblGrid>
      <w:tr w:rsidR="00171AA8" w:rsidRPr="00731FE2" w14:paraId="366CF2DF" w14:textId="77777777" w:rsidTr="00357DCA">
        <w:trPr>
          <w:trHeight w:val="1179"/>
        </w:trPr>
        <w:tc>
          <w:tcPr>
            <w:tcW w:w="352" w:type="dxa"/>
            <w:vAlign w:val="center"/>
          </w:tcPr>
          <w:p w14:paraId="7805B7C9" w14:textId="77777777" w:rsidR="00171AA8" w:rsidRPr="00731FE2" w:rsidRDefault="007935AB">
            <w:pPr>
              <w:spacing w:line="62" w:lineRule="atLeast"/>
              <w:ind w:firstLine="0"/>
              <w:rPr>
                <w:rFonts w:ascii="Times New Roman" w:hAnsi="Times New Roman" w:cs="Times New Roman"/>
                <w:sz w:val="20"/>
                <w:szCs w:val="20"/>
              </w:rPr>
            </w:pPr>
            <w:r w:rsidRPr="00731FE2">
              <w:rPr>
                <w:rFonts w:ascii="Times New Roman" w:eastAsia="Times New Roman" w:hAnsi="Times New Roman" w:cs="Times New Roman"/>
                <w:b/>
                <w:color w:val="000000"/>
                <w:sz w:val="20"/>
                <w:szCs w:val="20"/>
              </w:rPr>
              <w:t>№ п/п</w:t>
            </w:r>
          </w:p>
        </w:tc>
        <w:tc>
          <w:tcPr>
            <w:tcW w:w="999" w:type="dxa"/>
            <w:vAlign w:val="center"/>
          </w:tcPr>
          <w:p w14:paraId="0E68A2EB"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jc w:val="center"/>
              <w:rPr>
                <w:rFonts w:ascii="Times New Roman" w:hAnsi="Times New Roman" w:cs="Times New Roman"/>
                <w:sz w:val="20"/>
                <w:szCs w:val="20"/>
              </w:rPr>
            </w:pPr>
            <w:r w:rsidRPr="00731FE2">
              <w:rPr>
                <w:rFonts w:ascii="Times New Roman" w:eastAsia="Times New Roman" w:hAnsi="Times New Roman" w:cs="Times New Roman"/>
                <w:b/>
                <w:color w:val="000000"/>
                <w:sz w:val="20"/>
                <w:szCs w:val="20"/>
              </w:rPr>
              <w:t>Назначение объекта</w:t>
            </w:r>
          </w:p>
        </w:tc>
        <w:tc>
          <w:tcPr>
            <w:tcW w:w="2472" w:type="dxa"/>
            <w:vAlign w:val="center"/>
          </w:tcPr>
          <w:p w14:paraId="5F3EBF73"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jc w:val="center"/>
              <w:rPr>
                <w:rFonts w:ascii="Times New Roman" w:hAnsi="Times New Roman" w:cs="Times New Roman"/>
                <w:sz w:val="20"/>
                <w:szCs w:val="20"/>
              </w:rPr>
            </w:pPr>
            <w:r w:rsidRPr="00731FE2">
              <w:rPr>
                <w:rFonts w:ascii="Times New Roman" w:eastAsia="Times New Roman" w:hAnsi="Times New Roman" w:cs="Times New Roman"/>
                <w:b/>
                <w:color w:val="000000"/>
                <w:sz w:val="20"/>
                <w:szCs w:val="20"/>
              </w:rPr>
              <w:t>Наименование</w:t>
            </w:r>
          </w:p>
        </w:tc>
        <w:tc>
          <w:tcPr>
            <w:tcW w:w="1842" w:type="dxa"/>
            <w:vAlign w:val="center"/>
          </w:tcPr>
          <w:p w14:paraId="054393D2"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jc w:val="center"/>
              <w:rPr>
                <w:rFonts w:ascii="Times New Roman" w:hAnsi="Times New Roman" w:cs="Times New Roman"/>
                <w:sz w:val="20"/>
                <w:szCs w:val="20"/>
              </w:rPr>
            </w:pPr>
            <w:r w:rsidRPr="00731FE2">
              <w:rPr>
                <w:rFonts w:ascii="Times New Roman" w:eastAsia="Times New Roman" w:hAnsi="Times New Roman" w:cs="Times New Roman"/>
                <w:b/>
                <w:color w:val="000000"/>
                <w:sz w:val="20"/>
                <w:szCs w:val="20"/>
              </w:rPr>
              <w:t>Характеристики</w:t>
            </w:r>
          </w:p>
        </w:tc>
        <w:tc>
          <w:tcPr>
            <w:tcW w:w="1843" w:type="dxa"/>
            <w:vAlign w:val="center"/>
          </w:tcPr>
          <w:p w14:paraId="0C8A8821"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jc w:val="center"/>
              <w:rPr>
                <w:rFonts w:ascii="Times New Roman" w:hAnsi="Times New Roman" w:cs="Times New Roman"/>
                <w:sz w:val="20"/>
                <w:szCs w:val="20"/>
              </w:rPr>
            </w:pPr>
            <w:r w:rsidRPr="00731FE2">
              <w:rPr>
                <w:rFonts w:ascii="Times New Roman" w:eastAsia="Times New Roman" w:hAnsi="Times New Roman" w:cs="Times New Roman"/>
                <w:b/>
                <w:color w:val="000000"/>
                <w:sz w:val="20"/>
                <w:szCs w:val="20"/>
              </w:rPr>
              <w:t>Местоположение</w:t>
            </w:r>
          </w:p>
        </w:tc>
        <w:tc>
          <w:tcPr>
            <w:tcW w:w="1134" w:type="dxa"/>
            <w:vAlign w:val="center"/>
          </w:tcPr>
          <w:p w14:paraId="39950D3D"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jc w:val="center"/>
              <w:rPr>
                <w:rFonts w:ascii="Times New Roman" w:hAnsi="Times New Roman" w:cs="Times New Roman"/>
                <w:sz w:val="20"/>
                <w:szCs w:val="20"/>
              </w:rPr>
            </w:pPr>
            <w:r w:rsidRPr="00731FE2">
              <w:rPr>
                <w:rFonts w:ascii="Times New Roman" w:eastAsia="Times New Roman" w:hAnsi="Times New Roman" w:cs="Times New Roman"/>
                <w:b/>
                <w:color w:val="000000"/>
                <w:sz w:val="20"/>
                <w:szCs w:val="20"/>
              </w:rPr>
              <w:t>Срок реализации</w:t>
            </w:r>
          </w:p>
        </w:tc>
        <w:tc>
          <w:tcPr>
            <w:tcW w:w="1559" w:type="dxa"/>
            <w:vAlign w:val="center"/>
          </w:tcPr>
          <w:p w14:paraId="6AED3FB6" w14:textId="77777777" w:rsidR="005E5139" w:rsidRPr="00731FE2" w:rsidRDefault="005E5139" w:rsidP="005E5139">
            <w:pPr>
              <w:spacing w:line="62" w:lineRule="atLeast"/>
              <w:ind w:firstLine="0"/>
              <w:jc w:val="center"/>
              <w:rPr>
                <w:rFonts w:ascii="Times New Roman" w:eastAsia="Times New Roman" w:hAnsi="Times New Roman" w:cs="Times New Roman"/>
                <w:b/>
                <w:color w:val="000000"/>
                <w:sz w:val="20"/>
                <w:szCs w:val="20"/>
              </w:rPr>
            </w:pPr>
            <w:r w:rsidRPr="00731FE2">
              <w:rPr>
                <w:rFonts w:ascii="Times New Roman" w:eastAsia="Times New Roman" w:hAnsi="Times New Roman" w:cs="Times New Roman"/>
                <w:b/>
                <w:color w:val="000000"/>
                <w:sz w:val="20"/>
                <w:szCs w:val="20"/>
              </w:rPr>
              <w:t>Статус объекта:</w:t>
            </w:r>
          </w:p>
          <w:p w14:paraId="2AB21790" w14:textId="77777777" w:rsidR="005E5139" w:rsidRPr="00731FE2" w:rsidRDefault="005E5139" w:rsidP="005E5139">
            <w:pPr>
              <w:spacing w:line="62" w:lineRule="atLeast"/>
              <w:ind w:firstLine="0"/>
              <w:jc w:val="center"/>
              <w:rPr>
                <w:rFonts w:ascii="Times New Roman" w:eastAsia="Times New Roman" w:hAnsi="Times New Roman" w:cs="Times New Roman"/>
                <w:b/>
                <w:color w:val="000000"/>
                <w:sz w:val="20"/>
                <w:szCs w:val="20"/>
              </w:rPr>
            </w:pPr>
            <w:r w:rsidRPr="00731FE2">
              <w:rPr>
                <w:rFonts w:ascii="Times New Roman" w:eastAsia="Times New Roman" w:hAnsi="Times New Roman" w:cs="Times New Roman"/>
                <w:b/>
                <w:color w:val="000000"/>
                <w:sz w:val="20"/>
                <w:szCs w:val="20"/>
              </w:rPr>
              <w:t>П – проект,</w:t>
            </w:r>
          </w:p>
          <w:p w14:paraId="19ECA7BF" w14:textId="0D3EBF44" w:rsidR="00171AA8" w:rsidRPr="00731FE2" w:rsidRDefault="005E5139" w:rsidP="005E5139">
            <w:pPr>
              <w:pBdr>
                <w:top w:val="none" w:sz="4" w:space="0" w:color="000000"/>
                <w:left w:val="none" w:sz="4" w:space="0" w:color="000000"/>
                <w:bottom w:val="none" w:sz="4" w:space="0" w:color="000000"/>
                <w:right w:val="none" w:sz="4" w:space="0" w:color="000000"/>
              </w:pBdr>
              <w:spacing w:line="62" w:lineRule="atLeast"/>
              <w:ind w:firstLine="0"/>
              <w:jc w:val="center"/>
              <w:rPr>
                <w:rFonts w:ascii="Times New Roman" w:eastAsia="Times New Roman" w:hAnsi="Times New Roman" w:cs="Times New Roman"/>
                <w:b/>
                <w:color w:val="000000"/>
                <w:sz w:val="20"/>
                <w:szCs w:val="20"/>
              </w:rPr>
            </w:pPr>
            <w:r w:rsidRPr="00731FE2">
              <w:rPr>
                <w:rFonts w:ascii="Times New Roman" w:eastAsia="Times New Roman" w:hAnsi="Times New Roman" w:cs="Times New Roman"/>
                <w:b/>
                <w:color w:val="000000"/>
                <w:sz w:val="20"/>
                <w:szCs w:val="20"/>
              </w:rPr>
              <w:t>Р – реконструкция</w:t>
            </w:r>
          </w:p>
        </w:tc>
        <w:tc>
          <w:tcPr>
            <w:tcW w:w="1560" w:type="dxa"/>
            <w:vAlign w:val="center"/>
          </w:tcPr>
          <w:p w14:paraId="26EC0775"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jc w:val="center"/>
              <w:rPr>
                <w:rFonts w:ascii="Times New Roman" w:hAnsi="Times New Roman" w:cs="Times New Roman"/>
                <w:sz w:val="20"/>
                <w:szCs w:val="20"/>
              </w:rPr>
            </w:pPr>
            <w:r w:rsidRPr="00731FE2">
              <w:rPr>
                <w:rFonts w:ascii="Times New Roman" w:eastAsia="Times New Roman" w:hAnsi="Times New Roman" w:cs="Times New Roman"/>
                <w:b/>
                <w:color w:val="000000"/>
                <w:sz w:val="20"/>
                <w:szCs w:val="20"/>
              </w:rPr>
              <w:t>ЗОУИТ</w:t>
            </w:r>
          </w:p>
        </w:tc>
        <w:tc>
          <w:tcPr>
            <w:tcW w:w="2835" w:type="dxa"/>
            <w:vAlign w:val="center"/>
          </w:tcPr>
          <w:p w14:paraId="47E6C867"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jc w:val="center"/>
              <w:rPr>
                <w:rFonts w:ascii="Times New Roman" w:hAnsi="Times New Roman" w:cs="Times New Roman"/>
                <w:sz w:val="20"/>
                <w:szCs w:val="20"/>
              </w:rPr>
            </w:pPr>
            <w:r w:rsidRPr="00731FE2">
              <w:rPr>
                <w:rFonts w:ascii="Times New Roman" w:eastAsia="Times New Roman" w:hAnsi="Times New Roman" w:cs="Times New Roman"/>
                <w:b/>
                <w:color w:val="000000"/>
                <w:sz w:val="20"/>
                <w:szCs w:val="20"/>
              </w:rPr>
              <w:t>Реквизиты документа/</w:t>
            </w:r>
          </w:p>
          <w:p w14:paraId="7BA2FA65"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jc w:val="center"/>
              <w:rPr>
                <w:rFonts w:ascii="Times New Roman" w:hAnsi="Times New Roman" w:cs="Times New Roman"/>
                <w:sz w:val="20"/>
                <w:szCs w:val="20"/>
              </w:rPr>
            </w:pPr>
            <w:r w:rsidRPr="00731FE2">
              <w:rPr>
                <w:rFonts w:ascii="Times New Roman" w:eastAsia="Times New Roman" w:hAnsi="Times New Roman" w:cs="Times New Roman"/>
                <w:b/>
                <w:color w:val="000000"/>
                <w:sz w:val="20"/>
                <w:szCs w:val="20"/>
              </w:rPr>
              <w:t>источника</w:t>
            </w:r>
          </w:p>
        </w:tc>
      </w:tr>
      <w:tr w:rsidR="00171AA8" w:rsidRPr="00731FE2" w14:paraId="109BBAA1" w14:textId="77777777" w:rsidTr="00FC1D9B">
        <w:tc>
          <w:tcPr>
            <w:tcW w:w="14596" w:type="dxa"/>
            <w:gridSpan w:val="9"/>
            <w:vAlign w:val="center"/>
          </w:tcPr>
          <w:p w14:paraId="0CAE2A5C"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hAnsi="Times New Roman" w:cs="Times New Roman"/>
                <w:b/>
                <w:bCs/>
                <w:sz w:val="20"/>
                <w:szCs w:val="20"/>
              </w:rPr>
            </w:pPr>
            <w:r w:rsidRPr="00731FE2">
              <w:rPr>
                <w:rFonts w:ascii="Times New Roman" w:eastAsia="Times New Roman" w:hAnsi="Times New Roman" w:cs="Times New Roman"/>
                <w:b/>
                <w:bCs/>
                <w:color w:val="000000"/>
                <w:sz w:val="20"/>
                <w:szCs w:val="20"/>
              </w:rPr>
              <w:t>Объекты транспорта, путей сообщения, в том числе объекты их обслуживания</w:t>
            </w:r>
          </w:p>
        </w:tc>
      </w:tr>
      <w:tr w:rsidR="00171AA8" w:rsidRPr="00731FE2" w14:paraId="0ADA17D3" w14:textId="77777777" w:rsidTr="00357DCA">
        <w:tc>
          <w:tcPr>
            <w:tcW w:w="352" w:type="dxa"/>
            <w:vAlign w:val="center"/>
          </w:tcPr>
          <w:p w14:paraId="41537699" w14:textId="77777777" w:rsidR="00171AA8" w:rsidRPr="00731FE2" w:rsidRDefault="007935AB" w:rsidP="007832E7">
            <w:pPr>
              <w:pStyle w:val="a3"/>
              <w:numPr>
                <w:ilvl w:val="0"/>
                <w:numId w:val="53"/>
              </w:numPr>
              <w:pBdr>
                <w:top w:val="none" w:sz="4" w:space="0" w:color="000000"/>
                <w:left w:val="none" w:sz="4" w:space="0" w:color="000000"/>
                <w:bottom w:val="none" w:sz="4" w:space="0" w:color="000000"/>
                <w:right w:val="none" w:sz="4" w:space="0" w:color="000000"/>
              </w:pBdr>
              <w:spacing w:line="62" w:lineRule="atLeast"/>
              <w:ind w:left="0" w:firstLine="0"/>
              <w:jc w:val="center"/>
              <w:rPr>
                <w:rFonts w:ascii="Times New Roman" w:hAnsi="Times New Roman" w:cs="Times New Roman"/>
                <w:sz w:val="20"/>
                <w:szCs w:val="20"/>
              </w:rPr>
            </w:pPr>
            <w:r w:rsidRPr="00731FE2">
              <w:rPr>
                <w:rFonts w:ascii="Times New Roman" w:eastAsia="Arial" w:hAnsi="Times New Roman" w:cs="Times New Roman"/>
                <w:color w:val="000000"/>
                <w:sz w:val="20"/>
                <w:szCs w:val="20"/>
              </w:rPr>
              <w:lastRenderedPageBreak/>
              <w:t>1.</w:t>
            </w:r>
          </w:p>
        </w:tc>
        <w:tc>
          <w:tcPr>
            <w:tcW w:w="999" w:type="dxa"/>
            <w:vAlign w:val="center"/>
          </w:tcPr>
          <w:p w14:paraId="39F9A9B1"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Организация автомобильного движения</w:t>
            </w:r>
          </w:p>
        </w:tc>
        <w:tc>
          <w:tcPr>
            <w:tcW w:w="2472" w:type="dxa"/>
            <w:vAlign w:val="center"/>
          </w:tcPr>
          <w:p w14:paraId="39EFCA89"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Реконструкция автомобильной дороги «Район г. Малое седло от Олимпийской базы до родника и от родника до п. Белореченский»</w:t>
            </w:r>
          </w:p>
        </w:tc>
        <w:tc>
          <w:tcPr>
            <w:tcW w:w="1842" w:type="dxa"/>
            <w:vAlign w:val="center"/>
          </w:tcPr>
          <w:p w14:paraId="3F39BE70"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Категория: V Длина: 6,01352 км.</w:t>
            </w:r>
          </w:p>
        </w:tc>
        <w:tc>
          <w:tcPr>
            <w:tcW w:w="1843" w:type="dxa"/>
            <w:vAlign w:val="center"/>
          </w:tcPr>
          <w:p w14:paraId="254BB245"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Городской округ город-курорт Кисловодск</w:t>
            </w:r>
          </w:p>
        </w:tc>
        <w:tc>
          <w:tcPr>
            <w:tcW w:w="1134" w:type="dxa"/>
            <w:vAlign w:val="center"/>
          </w:tcPr>
          <w:p w14:paraId="6402C3E7"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Первая очередь</w:t>
            </w:r>
          </w:p>
        </w:tc>
        <w:tc>
          <w:tcPr>
            <w:tcW w:w="1559" w:type="dxa"/>
            <w:vAlign w:val="center"/>
          </w:tcPr>
          <w:p w14:paraId="59224FA8"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Р</w:t>
            </w:r>
          </w:p>
        </w:tc>
        <w:tc>
          <w:tcPr>
            <w:tcW w:w="1560" w:type="dxa"/>
            <w:vAlign w:val="center"/>
          </w:tcPr>
          <w:p w14:paraId="1456B899"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Придорожная полоса – 50 м</w:t>
            </w:r>
          </w:p>
        </w:tc>
        <w:tc>
          <w:tcPr>
            <w:tcW w:w="2835" w:type="dxa"/>
            <w:vAlign w:val="center"/>
          </w:tcPr>
          <w:p w14:paraId="5DF493E1"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Схема территориального планирования Ставропольского края, утв. Постановлением Правительства Ставропольского края от 5.04.2011 № 116-п (с изм. 4.04.2023)</w:t>
            </w:r>
          </w:p>
        </w:tc>
      </w:tr>
      <w:tr w:rsidR="00171AA8" w:rsidRPr="00731FE2" w14:paraId="79E87AD6" w14:textId="77777777" w:rsidTr="00357DCA">
        <w:tc>
          <w:tcPr>
            <w:tcW w:w="352" w:type="dxa"/>
            <w:vAlign w:val="center"/>
          </w:tcPr>
          <w:p w14:paraId="6BD0C182" w14:textId="77777777" w:rsidR="00171AA8" w:rsidRPr="00731FE2" w:rsidRDefault="00171AA8" w:rsidP="007832E7">
            <w:pPr>
              <w:pStyle w:val="a3"/>
              <w:numPr>
                <w:ilvl w:val="0"/>
                <w:numId w:val="53"/>
              </w:numPr>
              <w:spacing w:line="62" w:lineRule="atLeast"/>
              <w:ind w:left="0" w:firstLine="0"/>
              <w:rPr>
                <w:rFonts w:ascii="Times New Roman" w:hAnsi="Times New Roman" w:cs="Times New Roman"/>
                <w:sz w:val="20"/>
                <w:szCs w:val="20"/>
              </w:rPr>
            </w:pPr>
          </w:p>
        </w:tc>
        <w:tc>
          <w:tcPr>
            <w:tcW w:w="999" w:type="dxa"/>
            <w:vAlign w:val="center"/>
          </w:tcPr>
          <w:p w14:paraId="429C797C"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Организация автомобильного движения</w:t>
            </w:r>
          </w:p>
        </w:tc>
        <w:tc>
          <w:tcPr>
            <w:tcW w:w="2472" w:type="dxa"/>
            <w:vAlign w:val="center"/>
          </w:tcPr>
          <w:p w14:paraId="07ED5B33" w14:textId="4789F6EF" w:rsidR="00171AA8" w:rsidRPr="00731FE2" w:rsidRDefault="007935AB" w:rsidP="005E3E3A">
            <w:pPr>
              <w:pBdr>
                <w:top w:val="none" w:sz="4" w:space="0" w:color="000000"/>
                <w:left w:val="none" w:sz="4" w:space="0" w:color="000000"/>
                <w:bottom w:val="none" w:sz="4" w:space="0" w:color="000000"/>
                <w:right w:val="none" w:sz="4" w:space="0" w:color="000000"/>
              </w:pBdr>
              <w:spacing w:line="62" w:lineRule="atLeast"/>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 xml:space="preserve">Реконструкция </w:t>
            </w:r>
            <w:r w:rsidR="005E3E3A" w:rsidRPr="00731FE2">
              <w:rPr>
                <w:rFonts w:ascii="Times New Roman" w:eastAsia="Times New Roman" w:hAnsi="Times New Roman" w:cs="Times New Roman"/>
                <w:color w:val="000000"/>
                <w:sz w:val="20"/>
                <w:szCs w:val="20"/>
              </w:rPr>
              <w:t>автомобильной дороги общего пользования регионального значения «Кисловодск – Карачаевск (в границах Ставропольского края)</w:t>
            </w:r>
            <w:r w:rsidRPr="00731FE2">
              <w:rPr>
                <w:rFonts w:ascii="Times New Roman" w:eastAsia="Times New Roman" w:hAnsi="Times New Roman" w:cs="Times New Roman"/>
                <w:color w:val="000000"/>
                <w:sz w:val="20"/>
                <w:szCs w:val="20"/>
              </w:rPr>
              <w:t>, км 0+000 – км 7+200 км</w:t>
            </w:r>
          </w:p>
        </w:tc>
        <w:tc>
          <w:tcPr>
            <w:tcW w:w="1842" w:type="dxa"/>
            <w:vAlign w:val="center"/>
          </w:tcPr>
          <w:p w14:paraId="37D05C24"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Протяженность 7,2 км</w:t>
            </w:r>
          </w:p>
        </w:tc>
        <w:tc>
          <w:tcPr>
            <w:tcW w:w="1843" w:type="dxa"/>
            <w:vAlign w:val="center"/>
          </w:tcPr>
          <w:p w14:paraId="4F6B95C9"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Городской округ город-курорт Кисловодск</w:t>
            </w:r>
          </w:p>
        </w:tc>
        <w:tc>
          <w:tcPr>
            <w:tcW w:w="1134" w:type="dxa"/>
            <w:vAlign w:val="center"/>
          </w:tcPr>
          <w:p w14:paraId="6D5E2F83"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Первая очередь</w:t>
            </w:r>
          </w:p>
        </w:tc>
        <w:tc>
          <w:tcPr>
            <w:tcW w:w="1559" w:type="dxa"/>
            <w:vAlign w:val="center"/>
          </w:tcPr>
          <w:p w14:paraId="51519938"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Р</w:t>
            </w:r>
          </w:p>
        </w:tc>
        <w:tc>
          <w:tcPr>
            <w:tcW w:w="1560" w:type="dxa"/>
            <w:vAlign w:val="center"/>
          </w:tcPr>
          <w:p w14:paraId="426FD116"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Придорожная полоса – 50 м</w:t>
            </w:r>
          </w:p>
        </w:tc>
        <w:tc>
          <w:tcPr>
            <w:tcW w:w="2835" w:type="dxa"/>
            <w:vAlign w:val="center"/>
          </w:tcPr>
          <w:p w14:paraId="56B5075E" w14:textId="77777777" w:rsidR="00171AA8" w:rsidRPr="00731FE2" w:rsidRDefault="007935AB">
            <w:pPr>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Схема территориального планирования Ставропольского края, утв. Постановлением Правительства Ставропольского края от 5.04.2011 № 116-п (с изм. 4.04.2023)</w:t>
            </w:r>
          </w:p>
        </w:tc>
      </w:tr>
      <w:tr w:rsidR="00171AA8" w:rsidRPr="00731FE2" w14:paraId="076012BE" w14:textId="77777777" w:rsidTr="00FC1D9B">
        <w:tc>
          <w:tcPr>
            <w:tcW w:w="14596" w:type="dxa"/>
            <w:gridSpan w:val="9"/>
            <w:vAlign w:val="center"/>
          </w:tcPr>
          <w:p w14:paraId="66BD4DD7"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hAnsi="Times New Roman" w:cs="Times New Roman"/>
                <w:b/>
                <w:bCs/>
                <w:sz w:val="20"/>
                <w:szCs w:val="20"/>
              </w:rPr>
            </w:pPr>
            <w:r w:rsidRPr="00731FE2">
              <w:rPr>
                <w:rFonts w:ascii="Times New Roman" w:eastAsia="Times New Roman" w:hAnsi="Times New Roman" w:cs="Times New Roman"/>
                <w:b/>
                <w:bCs/>
                <w:color w:val="000000"/>
                <w:sz w:val="20"/>
                <w:szCs w:val="20"/>
              </w:rPr>
              <w:t>Объекты в области водоснабжения и водоотведения</w:t>
            </w:r>
          </w:p>
        </w:tc>
      </w:tr>
      <w:tr w:rsidR="00171AA8" w:rsidRPr="00731FE2" w14:paraId="60FE4D23" w14:textId="77777777" w:rsidTr="00357DCA">
        <w:tc>
          <w:tcPr>
            <w:tcW w:w="352" w:type="dxa"/>
            <w:vAlign w:val="center"/>
          </w:tcPr>
          <w:p w14:paraId="0BBBAA24" w14:textId="77777777" w:rsidR="00171AA8" w:rsidRPr="00731FE2" w:rsidRDefault="007935AB" w:rsidP="007832E7">
            <w:pPr>
              <w:pStyle w:val="a3"/>
              <w:numPr>
                <w:ilvl w:val="0"/>
                <w:numId w:val="53"/>
              </w:numPr>
              <w:pBdr>
                <w:top w:val="none" w:sz="4" w:space="0" w:color="000000"/>
                <w:left w:val="none" w:sz="4" w:space="0" w:color="000000"/>
                <w:bottom w:val="none" w:sz="4" w:space="0" w:color="000000"/>
                <w:right w:val="none" w:sz="4" w:space="0" w:color="000000"/>
              </w:pBdr>
              <w:spacing w:line="62" w:lineRule="atLeast"/>
              <w:ind w:left="0"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 </w:t>
            </w:r>
          </w:p>
        </w:tc>
        <w:tc>
          <w:tcPr>
            <w:tcW w:w="999" w:type="dxa"/>
            <w:vAlign w:val="center"/>
          </w:tcPr>
          <w:p w14:paraId="397AD383"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Организация водоснабжения</w:t>
            </w:r>
          </w:p>
        </w:tc>
        <w:tc>
          <w:tcPr>
            <w:tcW w:w="2472" w:type="dxa"/>
            <w:vAlign w:val="center"/>
          </w:tcPr>
          <w:p w14:paraId="3811176A" w14:textId="026F6C0D"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Создание нового водозаборного узла на основе 2-х проектируемых водозаборных скважин 7/0-РЭ и 7/0-бис-РЭ</w:t>
            </w:r>
            <w:r w:rsidR="00BB6D35" w:rsidRPr="00731FE2">
              <w:rPr>
                <w:rFonts w:ascii="Times New Roman" w:eastAsia="Times New Roman" w:hAnsi="Times New Roman" w:cs="Times New Roman"/>
                <w:color w:val="000000"/>
                <w:sz w:val="20"/>
                <w:szCs w:val="20"/>
              </w:rPr>
              <w:t xml:space="preserve"> - 48</w:t>
            </w:r>
          </w:p>
        </w:tc>
        <w:tc>
          <w:tcPr>
            <w:tcW w:w="1842" w:type="dxa"/>
            <w:vAlign w:val="center"/>
          </w:tcPr>
          <w:p w14:paraId="02BC1AA6"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Промышленная нагрузка 500 м</w:t>
            </w:r>
            <w:r w:rsidRPr="00731FE2">
              <w:rPr>
                <w:rFonts w:ascii="Times New Roman" w:eastAsia="Times New Roman" w:hAnsi="Times New Roman" w:cs="Times New Roman"/>
                <w:color w:val="000000"/>
                <w:sz w:val="20"/>
                <w:szCs w:val="20"/>
                <w:vertAlign w:val="superscript"/>
              </w:rPr>
              <w:t>3</w:t>
            </w:r>
            <w:r w:rsidRPr="00731FE2">
              <w:rPr>
                <w:rFonts w:ascii="Times New Roman" w:eastAsia="Times New Roman" w:hAnsi="Times New Roman" w:cs="Times New Roman"/>
                <w:color w:val="000000"/>
                <w:sz w:val="20"/>
                <w:szCs w:val="20"/>
              </w:rPr>
              <w:t>/сут.</w:t>
            </w:r>
          </w:p>
        </w:tc>
        <w:tc>
          <w:tcPr>
            <w:tcW w:w="1843" w:type="dxa"/>
            <w:vAlign w:val="center"/>
          </w:tcPr>
          <w:p w14:paraId="0556FD51"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ГО «город-курорт Кисловодск», площадка в районе пересечения ул. Кирова и ул. Тюленева</w:t>
            </w:r>
          </w:p>
        </w:tc>
        <w:tc>
          <w:tcPr>
            <w:tcW w:w="1134" w:type="dxa"/>
            <w:vAlign w:val="center"/>
          </w:tcPr>
          <w:p w14:paraId="7540C9F1" w14:textId="77777777" w:rsidR="00171AA8" w:rsidRPr="00731FE2" w:rsidRDefault="007935AB">
            <w:pPr>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Первая очередь</w:t>
            </w:r>
          </w:p>
        </w:tc>
        <w:tc>
          <w:tcPr>
            <w:tcW w:w="1559" w:type="dxa"/>
            <w:vAlign w:val="center"/>
          </w:tcPr>
          <w:p w14:paraId="51901841"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П</w:t>
            </w:r>
          </w:p>
        </w:tc>
        <w:tc>
          <w:tcPr>
            <w:tcW w:w="1560" w:type="dxa"/>
            <w:vAlign w:val="center"/>
          </w:tcPr>
          <w:p w14:paraId="1FFF4DF5"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Санитарно-защитная зона</w:t>
            </w:r>
          </w:p>
        </w:tc>
        <w:tc>
          <w:tcPr>
            <w:tcW w:w="2835" w:type="dxa"/>
            <w:vAlign w:val="center"/>
          </w:tcPr>
          <w:p w14:paraId="205E6967"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Схема территориального планирования Ставропольского края, утв. Постановлением Правительства Ставропольского края от 5.04.2011 № 116-п (с изм. 4.04.2023)</w:t>
            </w:r>
          </w:p>
        </w:tc>
      </w:tr>
      <w:tr w:rsidR="005E5139" w:rsidRPr="00731FE2" w14:paraId="145BDD73" w14:textId="77777777" w:rsidTr="00357DCA">
        <w:tc>
          <w:tcPr>
            <w:tcW w:w="352" w:type="dxa"/>
            <w:vAlign w:val="center"/>
          </w:tcPr>
          <w:p w14:paraId="16E224D0" w14:textId="77777777" w:rsidR="005E5139" w:rsidRPr="00731FE2" w:rsidRDefault="005E5139" w:rsidP="005E5139">
            <w:pPr>
              <w:pStyle w:val="a3"/>
              <w:numPr>
                <w:ilvl w:val="0"/>
                <w:numId w:val="53"/>
              </w:numPr>
              <w:pBdr>
                <w:top w:val="none" w:sz="4" w:space="0" w:color="000000"/>
                <w:left w:val="none" w:sz="4" w:space="0" w:color="000000"/>
                <w:bottom w:val="none" w:sz="4" w:space="0" w:color="000000"/>
                <w:right w:val="none" w:sz="4" w:space="0" w:color="000000"/>
              </w:pBdr>
              <w:spacing w:line="62" w:lineRule="atLeast"/>
              <w:ind w:left="0"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 </w:t>
            </w:r>
          </w:p>
        </w:tc>
        <w:tc>
          <w:tcPr>
            <w:tcW w:w="999" w:type="dxa"/>
            <w:vAlign w:val="center"/>
          </w:tcPr>
          <w:p w14:paraId="7CAB0505" w14:textId="77777777" w:rsidR="005E5139" w:rsidRPr="00731FE2" w:rsidRDefault="005E5139" w:rsidP="005E5139">
            <w:pPr>
              <w:pBdr>
                <w:top w:val="none" w:sz="4" w:space="0" w:color="000000"/>
                <w:left w:val="none" w:sz="4" w:space="0" w:color="000000"/>
                <w:bottom w:val="none" w:sz="4" w:space="0" w:color="000000"/>
                <w:right w:val="none" w:sz="4" w:space="0" w:color="000000"/>
              </w:pBdr>
              <w:spacing w:line="62" w:lineRule="atLeast"/>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Организация водоснабжения</w:t>
            </w:r>
          </w:p>
        </w:tc>
        <w:tc>
          <w:tcPr>
            <w:tcW w:w="2472" w:type="dxa"/>
            <w:vAlign w:val="center"/>
          </w:tcPr>
          <w:p w14:paraId="47EC7944" w14:textId="68991113" w:rsidR="005E5139" w:rsidRPr="00731FE2" w:rsidRDefault="005E5139" w:rsidP="005E5139">
            <w:pPr>
              <w:pBdr>
                <w:top w:val="none" w:sz="4" w:space="0" w:color="000000"/>
                <w:left w:val="none" w:sz="4" w:space="0" w:color="000000"/>
                <w:bottom w:val="none" w:sz="4" w:space="0" w:color="000000"/>
                <w:right w:val="none" w:sz="4" w:space="0" w:color="000000"/>
              </w:pBdr>
              <w:spacing w:line="62" w:lineRule="atLeast"/>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Реконструкция участка существующих водопроводных сетей из стальных труб</w:t>
            </w:r>
            <w:r w:rsidR="00BB6D35" w:rsidRPr="00731FE2">
              <w:rPr>
                <w:rFonts w:ascii="Times New Roman" w:eastAsia="Times New Roman" w:hAnsi="Times New Roman" w:cs="Times New Roman"/>
                <w:color w:val="000000"/>
                <w:sz w:val="20"/>
                <w:szCs w:val="20"/>
              </w:rPr>
              <w:t xml:space="preserve"> - 88</w:t>
            </w:r>
          </w:p>
        </w:tc>
        <w:tc>
          <w:tcPr>
            <w:tcW w:w="1842" w:type="dxa"/>
            <w:vAlign w:val="center"/>
          </w:tcPr>
          <w:p w14:paraId="55F507A2" w14:textId="77777777" w:rsidR="005E5139" w:rsidRPr="00731FE2" w:rsidRDefault="005E5139" w:rsidP="005E5139">
            <w:pPr>
              <w:pBdr>
                <w:top w:val="none" w:sz="4" w:space="0" w:color="000000"/>
                <w:left w:val="none" w:sz="4" w:space="0" w:color="000000"/>
                <w:bottom w:val="none" w:sz="4" w:space="0" w:color="000000"/>
                <w:right w:val="none" w:sz="4" w:space="0" w:color="000000"/>
              </w:pBdr>
              <w:spacing w:line="62" w:lineRule="atLeast"/>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Диаметр 400 мм на полиэтиленовые трубы диаметром 500 мм, протяженностью 4,7 км</w:t>
            </w:r>
          </w:p>
        </w:tc>
        <w:tc>
          <w:tcPr>
            <w:tcW w:w="1843" w:type="dxa"/>
            <w:vAlign w:val="center"/>
          </w:tcPr>
          <w:p w14:paraId="3432BB34" w14:textId="77777777" w:rsidR="005E5139" w:rsidRPr="00731FE2" w:rsidRDefault="005E5139" w:rsidP="005E5139">
            <w:pPr>
              <w:pBdr>
                <w:top w:val="none" w:sz="4" w:space="0" w:color="000000"/>
                <w:left w:val="none" w:sz="4" w:space="0" w:color="000000"/>
                <w:bottom w:val="none" w:sz="4" w:space="0" w:color="000000"/>
                <w:right w:val="none" w:sz="4" w:space="0" w:color="000000"/>
              </w:pBdr>
              <w:spacing w:line="62" w:lineRule="atLeast"/>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Участок от распределительного узла «Гора Кольцо» в Предгорном муниципальном округе, п. Мирный, по ул. Шоссейная, 15 до резервуаров «Суворовские» по ул. Озерной, 4 в городе-курорте Кисловодске</w:t>
            </w:r>
          </w:p>
        </w:tc>
        <w:tc>
          <w:tcPr>
            <w:tcW w:w="1134" w:type="dxa"/>
            <w:vAlign w:val="center"/>
          </w:tcPr>
          <w:p w14:paraId="19447C34" w14:textId="77777777" w:rsidR="005E5139" w:rsidRPr="00731FE2" w:rsidRDefault="005E5139" w:rsidP="005E5139">
            <w:pPr>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Первая очередь</w:t>
            </w:r>
          </w:p>
        </w:tc>
        <w:tc>
          <w:tcPr>
            <w:tcW w:w="1559" w:type="dxa"/>
            <w:vAlign w:val="center"/>
          </w:tcPr>
          <w:p w14:paraId="735DA736" w14:textId="695AE780" w:rsidR="005E5139" w:rsidRPr="00731FE2" w:rsidRDefault="005E5139" w:rsidP="005E5139">
            <w:pPr>
              <w:pBdr>
                <w:top w:val="none" w:sz="4" w:space="0" w:color="000000"/>
                <w:left w:val="none" w:sz="4" w:space="0" w:color="000000"/>
                <w:bottom w:val="none" w:sz="4" w:space="0" w:color="000000"/>
                <w:right w:val="none" w:sz="4" w:space="0" w:color="000000"/>
              </w:pBdr>
              <w:spacing w:line="62" w:lineRule="atLeast"/>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П</w:t>
            </w:r>
          </w:p>
        </w:tc>
        <w:tc>
          <w:tcPr>
            <w:tcW w:w="1560" w:type="dxa"/>
            <w:vAlign w:val="center"/>
          </w:tcPr>
          <w:p w14:paraId="6AE4B807" w14:textId="77777777" w:rsidR="005E5139" w:rsidRPr="00731FE2" w:rsidRDefault="005E5139" w:rsidP="005E5139">
            <w:pPr>
              <w:pBdr>
                <w:top w:val="none" w:sz="4" w:space="0" w:color="000000"/>
                <w:left w:val="none" w:sz="4" w:space="0" w:color="000000"/>
                <w:bottom w:val="none" w:sz="4" w:space="0" w:color="000000"/>
                <w:right w:val="none" w:sz="4" w:space="0" w:color="000000"/>
              </w:pBdr>
              <w:spacing w:line="62" w:lineRule="atLeast"/>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Санитарно-защитная зона</w:t>
            </w:r>
          </w:p>
        </w:tc>
        <w:tc>
          <w:tcPr>
            <w:tcW w:w="2835" w:type="dxa"/>
            <w:vAlign w:val="center"/>
          </w:tcPr>
          <w:p w14:paraId="6374D6A8" w14:textId="77777777" w:rsidR="005E5139" w:rsidRPr="00731FE2" w:rsidRDefault="005E5139" w:rsidP="005E5139">
            <w:pPr>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Схема территориального планирования Ставропольского края, утв. Постановлением Правительства Ставропольского края от 5.04.2011 № 116-п (с изм. 4.04.2023)</w:t>
            </w:r>
          </w:p>
        </w:tc>
      </w:tr>
      <w:tr w:rsidR="005E5139" w:rsidRPr="00731FE2" w14:paraId="5958C151" w14:textId="77777777" w:rsidTr="00357DCA">
        <w:tc>
          <w:tcPr>
            <w:tcW w:w="352" w:type="dxa"/>
            <w:vAlign w:val="center"/>
          </w:tcPr>
          <w:p w14:paraId="234B4644" w14:textId="77777777" w:rsidR="005E5139" w:rsidRPr="00731FE2" w:rsidRDefault="005E5139" w:rsidP="005E5139">
            <w:pPr>
              <w:pStyle w:val="a3"/>
              <w:numPr>
                <w:ilvl w:val="0"/>
                <w:numId w:val="53"/>
              </w:numPr>
              <w:pBdr>
                <w:top w:val="none" w:sz="4" w:space="0" w:color="000000"/>
                <w:left w:val="none" w:sz="4" w:space="0" w:color="000000"/>
                <w:bottom w:val="none" w:sz="4" w:space="0" w:color="000000"/>
                <w:right w:val="none" w:sz="4" w:space="0" w:color="000000"/>
              </w:pBdr>
              <w:spacing w:line="62" w:lineRule="atLeast"/>
              <w:ind w:left="0"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 </w:t>
            </w:r>
          </w:p>
        </w:tc>
        <w:tc>
          <w:tcPr>
            <w:tcW w:w="999" w:type="dxa"/>
            <w:vAlign w:val="center"/>
          </w:tcPr>
          <w:p w14:paraId="19D36F1B" w14:textId="77777777" w:rsidR="005E5139" w:rsidRPr="00731FE2" w:rsidRDefault="005E5139" w:rsidP="005E5139">
            <w:pPr>
              <w:pBdr>
                <w:top w:val="none" w:sz="4" w:space="0" w:color="000000"/>
                <w:left w:val="none" w:sz="4" w:space="0" w:color="000000"/>
                <w:bottom w:val="none" w:sz="4" w:space="0" w:color="000000"/>
                <w:right w:val="none" w:sz="4" w:space="0" w:color="000000"/>
              </w:pBdr>
              <w:spacing w:line="62" w:lineRule="atLeast"/>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Организация водоснаб</w:t>
            </w:r>
            <w:r w:rsidRPr="00731FE2">
              <w:rPr>
                <w:rFonts w:ascii="Times New Roman" w:eastAsia="Times New Roman" w:hAnsi="Times New Roman" w:cs="Times New Roman"/>
                <w:color w:val="000000"/>
                <w:sz w:val="20"/>
                <w:szCs w:val="20"/>
              </w:rPr>
              <w:lastRenderedPageBreak/>
              <w:t>жения</w:t>
            </w:r>
          </w:p>
        </w:tc>
        <w:tc>
          <w:tcPr>
            <w:tcW w:w="2472" w:type="dxa"/>
            <w:vAlign w:val="center"/>
          </w:tcPr>
          <w:p w14:paraId="5F5A0E76" w14:textId="77777777" w:rsidR="005E5139" w:rsidRPr="00731FE2" w:rsidRDefault="005E5139" w:rsidP="005E5139">
            <w:pPr>
              <w:pBdr>
                <w:top w:val="none" w:sz="4" w:space="0" w:color="000000"/>
                <w:left w:val="none" w:sz="4" w:space="0" w:color="000000"/>
                <w:bottom w:val="none" w:sz="4" w:space="0" w:color="000000"/>
                <w:right w:val="none" w:sz="4" w:space="0" w:color="000000"/>
              </w:pBdr>
              <w:spacing w:line="62" w:lineRule="atLeast"/>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lastRenderedPageBreak/>
              <w:t xml:space="preserve">Реконструкция участка существующих водопроводных сетей из </w:t>
            </w:r>
            <w:r w:rsidRPr="00731FE2">
              <w:rPr>
                <w:rFonts w:ascii="Times New Roman" w:eastAsia="Times New Roman" w:hAnsi="Times New Roman" w:cs="Times New Roman"/>
                <w:color w:val="000000"/>
                <w:sz w:val="20"/>
                <w:szCs w:val="20"/>
              </w:rPr>
              <w:lastRenderedPageBreak/>
              <w:t>стальных труб</w:t>
            </w:r>
          </w:p>
        </w:tc>
        <w:tc>
          <w:tcPr>
            <w:tcW w:w="1842" w:type="dxa"/>
            <w:vAlign w:val="center"/>
          </w:tcPr>
          <w:p w14:paraId="1CE9B2CA" w14:textId="77777777" w:rsidR="005E5139" w:rsidRPr="00731FE2" w:rsidRDefault="005E5139" w:rsidP="005E5139">
            <w:pPr>
              <w:pBdr>
                <w:top w:val="none" w:sz="4" w:space="0" w:color="000000"/>
                <w:left w:val="none" w:sz="4" w:space="0" w:color="000000"/>
                <w:bottom w:val="none" w:sz="4" w:space="0" w:color="000000"/>
                <w:right w:val="none" w:sz="4" w:space="0" w:color="000000"/>
              </w:pBdr>
              <w:spacing w:line="62" w:lineRule="atLeast"/>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lastRenderedPageBreak/>
              <w:t xml:space="preserve">Диаметр 600 мм на полиэтиленовые трубы диаметром </w:t>
            </w:r>
            <w:r w:rsidRPr="00731FE2">
              <w:rPr>
                <w:rFonts w:ascii="Times New Roman" w:eastAsia="Times New Roman" w:hAnsi="Times New Roman" w:cs="Times New Roman"/>
                <w:color w:val="000000"/>
                <w:sz w:val="20"/>
                <w:szCs w:val="20"/>
              </w:rPr>
              <w:lastRenderedPageBreak/>
              <w:t>630 (600) мм, протяженностью 5,5 км</w:t>
            </w:r>
          </w:p>
        </w:tc>
        <w:tc>
          <w:tcPr>
            <w:tcW w:w="1843" w:type="dxa"/>
            <w:vAlign w:val="center"/>
          </w:tcPr>
          <w:p w14:paraId="4C7CB4C4" w14:textId="77777777" w:rsidR="005E5139" w:rsidRPr="00731FE2" w:rsidRDefault="005E5139" w:rsidP="005E5139">
            <w:pPr>
              <w:pBdr>
                <w:top w:val="none" w:sz="4" w:space="0" w:color="000000"/>
                <w:left w:val="none" w:sz="4" w:space="0" w:color="000000"/>
                <w:bottom w:val="none" w:sz="4" w:space="0" w:color="000000"/>
                <w:right w:val="none" w:sz="4" w:space="0" w:color="000000"/>
              </w:pBdr>
              <w:spacing w:line="62" w:lineRule="atLeast"/>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lastRenderedPageBreak/>
              <w:t xml:space="preserve">Участок от распределительного узла Гора-Кольцо в </w:t>
            </w:r>
            <w:r w:rsidRPr="00731FE2">
              <w:rPr>
                <w:rFonts w:ascii="Times New Roman" w:eastAsia="Times New Roman" w:hAnsi="Times New Roman" w:cs="Times New Roman"/>
                <w:color w:val="000000"/>
                <w:sz w:val="20"/>
                <w:szCs w:val="20"/>
              </w:rPr>
              <w:lastRenderedPageBreak/>
              <w:t>Предгорный муниципальный округ, п. Мирный, ул. Шоссейная, 15 до НС «Осипенко» по ул. Осипенко 1, в городе-курорте Кисловодске</w:t>
            </w:r>
          </w:p>
        </w:tc>
        <w:tc>
          <w:tcPr>
            <w:tcW w:w="1134" w:type="dxa"/>
            <w:vAlign w:val="center"/>
          </w:tcPr>
          <w:p w14:paraId="672FA4AF" w14:textId="77777777" w:rsidR="005E5139" w:rsidRPr="00731FE2" w:rsidRDefault="005E5139" w:rsidP="005E5139">
            <w:pPr>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lastRenderedPageBreak/>
              <w:t>Первая очередь</w:t>
            </w:r>
          </w:p>
        </w:tc>
        <w:tc>
          <w:tcPr>
            <w:tcW w:w="1559" w:type="dxa"/>
            <w:vAlign w:val="center"/>
          </w:tcPr>
          <w:p w14:paraId="29CDB37A" w14:textId="37905D09" w:rsidR="005E5139" w:rsidRPr="00731FE2" w:rsidRDefault="005E5139" w:rsidP="005E5139">
            <w:pPr>
              <w:pBdr>
                <w:top w:val="none" w:sz="4" w:space="0" w:color="000000"/>
                <w:left w:val="none" w:sz="4" w:space="0" w:color="000000"/>
                <w:bottom w:val="none" w:sz="4" w:space="0" w:color="000000"/>
                <w:right w:val="none" w:sz="4" w:space="0" w:color="000000"/>
              </w:pBdr>
              <w:spacing w:line="62" w:lineRule="atLeast"/>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П</w:t>
            </w:r>
          </w:p>
        </w:tc>
        <w:tc>
          <w:tcPr>
            <w:tcW w:w="1560" w:type="dxa"/>
            <w:vAlign w:val="center"/>
          </w:tcPr>
          <w:p w14:paraId="536B2A5B" w14:textId="77777777" w:rsidR="005E5139" w:rsidRPr="00731FE2" w:rsidRDefault="005E5139" w:rsidP="005E5139">
            <w:pPr>
              <w:pBdr>
                <w:top w:val="none" w:sz="4" w:space="0" w:color="000000"/>
                <w:left w:val="none" w:sz="4" w:space="0" w:color="000000"/>
                <w:bottom w:val="none" w:sz="4" w:space="0" w:color="000000"/>
                <w:right w:val="none" w:sz="4" w:space="0" w:color="000000"/>
              </w:pBdr>
              <w:spacing w:line="62" w:lineRule="atLeast"/>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Санитарно-защитная зона</w:t>
            </w:r>
          </w:p>
        </w:tc>
        <w:tc>
          <w:tcPr>
            <w:tcW w:w="2835" w:type="dxa"/>
            <w:vAlign w:val="center"/>
          </w:tcPr>
          <w:p w14:paraId="5144D97F" w14:textId="77777777" w:rsidR="005E5139" w:rsidRPr="00731FE2" w:rsidRDefault="005E5139" w:rsidP="005E5139">
            <w:pPr>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 xml:space="preserve">Схема территориального планирования Ставропольского края, утв. Постановлением </w:t>
            </w:r>
            <w:r w:rsidRPr="00731FE2">
              <w:rPr>
                <w:rFonts w:ascii="Times New Roman" w:eastAsia="Times New Roman" w:hAnsi="Times New Roman" w:cs="Times New Roman"/>
                <w:color w:val="000000"/>
                <w:sz w:val="20"/>
                <w:szCs w:val="20"/>
              </w:rPr>
              <w:lastRenderedPageBreak/>
              <w:t>Правительства Ставропольского края от 5.04.2011 № 116-п (с изм. 4.04.2023)</w:t>
            </w:r>
          </w:p>
        </w:tc>
      </w:tr>
      <w:tr w:rsidR="005E5139" w:rsidRPr="00731FE2" w14:paraId="33D3A039" w14:textId="77777777" w:rsidTr="00357DCA">
        <w:tc>
          <w:tcPr>
            <w:tcW w:w="352" w:type="dxa"/>
            <w:vAlign w:val="center"/>
          </w:tcPr>
          <w:p w14:paraId="3CFD14A5" w14:textId="77777777" w:rsidR="005E5139" w:rsidRPr="00731FE2" w:rsidRDefault="005E5139" w:rsidP="005E5139">
            <w:pPr>
              <w:pStyle w:val="a3"/>
              <w:numPr>
                <w:ilvl w:val="0"/>
                <w:numId w:val="53"/>
              </w:numPr>
              <w:pBdr>
                <w:top w:val="none" w:sz="4" w:space="0" w:color="000000"/>
                <w:left w:val="none" w:sz="4" w:space="0" w:color="000000"/>
                <w:bottom w:val="none" w:sz="4" w:space="0" w:color="000000"/>
                <w:right w:val="none" w:sz="4" w:space="0" w:color="000000"/>
              </w:pBdr>
              <w:spacing w:line="62" w:lineRule="atLeast"/>
              <w:ind w:left="0"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lastRenderedPageBreak/>
              <w:t> </w:t>
            </w:r>
          </w:p>
        </w:tc>
        <w:tc>
          <w:tcPr>
            <w:tcW w:w="999" w:type="dxa"/>
            <w:vAlign w:val="center"/>
          </w:tcPr>
          <w:p w14:paraId="540DDE13" w14:textId="77777777" w:rsidR="005E5139" w:rsidRPr="00731FE2" w:rsidRDefault="005E5139" w:rsidP="005E5139">
            <w:pPr>
              <w:pBdr>
                <w:top w:val="none" w:sz="4" w:space="0" w:color="000000"/>
                <w:left w:val="none" w:sz="4" w:space="0" w:color="000000"/>
                <w:bottom w:val="none" w:sz="4" w:space="0" w:color="000000"/>
                <w:right w:val="none" w:sz="4" w:space="0" w:color="000000"/>
              </w:pBdr>
              <w:spacing w:line="62" w:lineRule="atLeast"/>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Организация водоснабжения</w:t>
            </w:r>
          </w:p>
        </w:tc>
        <w:tc>
          <w:tcPr>
            <w:tcW w:w="2472" w:type="dxa"/>
            <w:vAlign w:val="center"/>
          </w:tcPr>
          <w:p w14:paraId="330D5A77" w14:textId="77777777" w:rsidR="005E5139" w:rsidRPr="00731FE2" w:rsidRDefault="005E5139" w:rsidP="005E5139">
            <w:pPr>
              <w:pBdr>
                <w:top w:val="none" w:sz="4" w:space="0" w:color="000000"/>
                <w:left w:val="none" w:sz="4" w:space="0" w:color="000000"/>
                <w:bottom w:val="none" w:sz="4" w:space="0" w:color="000000"/>
                <w:right w:val="none" w:sz="4" w:space="0" w:color="000000"/>
              </w:pBdr>
              <w:spacing w:line="62" w:lineRule="atLeast"/>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Реконструкция участка существующих водопроводных сетей из стальных труб, проходящего по земельному участку, для подачи воды</w:t>
            </w:r>
          </w:p>
        </w:tc>
        <w:tc>
          <w:tcPr>
            <w:tcW w:w="1842" w:type="dxa"/>
            <w:vAlign w:val="center"/>
          </w:tcPr>
          <w:p w14:paraId="22545FB9" w14:textId="77777777" w:rsidR="005E5139" w:rsidRPr="00731FE2" w:rsidRDefault="005E5139" w:rsidP="005E5139">
            <w:pPr>
              <w:pBdr>
                <w:top w:val="none" w:sz="4" w:space="0" w:color="000000"/>
                <w:left w:val="none" w:sz="4" w:space="0" w:color="000000"/>
                <w:bottom w:val="none" w:sz="4" w:space="0" w:color="000000"/>
                <w:right w:val="none" w:sz="4" w:space="0" w:color="000000"/>
              </w:pBdr>
              <w:spacing w:line="62" w:lineRule="atLeast"/>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Диаметр 600 мм на полиэтиленовые трубы диаметром 630 (600) мм, протяженностью 1 км</w:t>
            </w:r>
          </w:p>
        </w:tc>
        <w:tc>
          <w:tcPr>
            <w:tcW w:w="1843" w:type="dxa"/>
            <w:vAlign w:val="center"/>
          </w:tcPr>
          <w:p w14:paraId="19E9038B" w14:textId="77777777" w:rsidR="005E5139" w:rsidRPr="00731FE2" w:rsidRDefault="005E5139" w:rsidP="005E5139">
            <w:pPr>
              <w:pBdr>
                <w:top w:val="none" w:sz="4" w:space="0" w:color="000000"/>
                <w:left w:val="none" w:sz="4" w:space="0" w:color="000000"/>
                <w:bottom w:val="none" w:sz="4" w:space="0" w:color="000000"/>
                <w:right w:val="none" w:sz="4" w:space="0" w:color="000000"/>
              </w:pBdr>
              <w:spacing w:line="62" w:lineRule="atLeast"/>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п. Нежинский Предгорного муниципального округа по направлению на резервуары «Главный Баязет» по ул. Кутузова, в районе горбольницы города-курорта Кисловодска</w:t>
            </w:r>
          </w:p>
        </w:tc>
        <w:tc>
          <w:tcPr>
            <w:tcW w:w="1134" w:type="dxa"/>
            <w:vAlign w:val="center"/>
          </w:tcPr>
          <w:p w14:paraId="1B399BFA" w14:textId="77777777" w:rsidR="005E5139" w:rsidRPr="00731FE2" w:rsidRDefault="005E5139" w:rsidP="005E5139">
            <w:pPr>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Первая очередь</w:t>
            </w:r>
          </w:p>
        </w:tc>
        <w:tc>
          <w:tcPr>
            <w:tcW w:w="1559" w:type="dxa"/>
            <w:vAlign w:val="center"/>
          </w:tcPr>
          <w:p w14:paraId="0C218D4E" w14:textId="537802E0" w:rsidR="005E5139" w:rsidRPr="00731FE2" w:rsidRDefault="005E5139" w:rsidP="005E5139">
            <w:pPr>
              <w:pBdr>
                <w:top w:val="none" w:sz="4" w:space="0" w:color="000000"/>
                <w:left w:val="none" w:sz="4" w:space="0" w:color="000000"/>
                <w:bottom w:val="none" w:sz="4" w:space="0" w:color="000000"/>
                <w:right w:val="none" w:sz="4" w:space="0" w:color="000000"/>
              </w:pBdr>
              <w:spacing w:line="62" w:lineRule="atLeast"/>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П</w:t>
            </w:r>
          </w:p>
        </w:tc>
        <w:tc>
          <w:tcPr>
            <w:tcW w:w="1560" w:type="dxa"/>
            <w:vAlign w:val="center"/>
          </w:tcPr>
          <w:p w14:paraId="7E36A7BF" w14:textId="77777777" w:rsidR="005E5139" w:rsidRPr="00731FE2" w:rsidRDefault="005E5139" w:rsidP="005E5139">
            <w:pPr>
              <w:pBdr>
                <w:top w:val="none" w:sz="4" w:space="0" w:color="000000"/>
                <w:left w:val="none" w:sz="4" w:space="0" w:color="000000"/>
                <w:bottom w:val="none" w:sz="4" w:space="0" w:color="000000"/>
                <w:right w:val="none" w:sz="4" w:space="0" w:color="000000"/>
              </w:pBdr>
              <w:spacing w:line="62" w:lineRule="atLeast"/>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Санитарно-защитная зона</w:t>
            </w:r>
          </w:p>
        </w:tc>
        <w:tc>
          <w:tcPr>
            <w:tcW w:w="2835" w:type="dxa"/>
            <w:vAlign w:val="center"/>
          </w:tcPr>
          <w:p w14:paraId="11CE565B" w14:textId="77777777" w:rsidR="005E5139" w:rsidRPr="00731FE2" w:rsidRDefault="005E5139" w:rsidP="005E5139">
            <w:pPr>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Схема территориального планирования Ставропольского края, утв. Постановлением Правительства Ставропольского края от 5.04.2011 № 116-п (с изм. 4.04.2023)</w:t>
            </w:r>
          </w:p>
        </w:tc>
      </w:tr>
      <w:tr w:rsidR="00171AA8" w:rsidRPr="00731FE2" w14:paraId="5C72A055" w14:textId="77777777" w:rsidTr="00357DCA">
        <w:tc>
          <w:tcPr>
            <w:tcW w:w="352" w:type="dxa"/>
            <w:vAlign w:val="center"/>
          </w:tcPr>
          <w:p w14:paraId="58B68944" w14:textId="77777777" w:rsidR="00171AA8" w:rsidRPr="00731FE2" w:rsidRDefault="007935AB" w:rsidP="007832E7">
            <w:pPr>
              <w:pStyle w:val="a3"/>
              <w:numPr>
                <w:ilvl w:val="0"/>
                <w:numId w:val="53"/>
              </w:numPr>
              <w:pBdr>
                <w:top w:val="none" w:sz="4" w:space="0" w:color="000000"/>
                <w:left w:val="none" w:sz="4" w:space="0" w:color="000000"/>
                <w:bottom w:val="none" w:sz="4" w:space="0" w:color="000000"/>
                <w:right w:val="none" w:sz="4" w:space="0" w:color="000000"/>
              </w:pBdr>
              <w:spacing w:line="62" w:lineRule="atLeast"/>
              <w:ind w:left="0"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 </w:t>
            </w:r>
          </w:p>
        </w:tc>
        <w:tc>
          <w:tcPr>
            <w:tcW w:w="999" w:type="dxa"/>
            <w:vAlign w:val="center"/>
          </w:tcPr>
          <w:p w14:paraId="6DBCD862"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Организация водоснабжения</w:t>
            </w:r>
          </w:p>
        </w:tc>
        <w:tc>
          <w:tcPr>
            <w:tcW w:w="2472" w:type="dxa"/>
            <w:vAlign w:val="center"/>
          </w:tcPr>
          <w:p w14:paraId="00C609E9"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Строительство водовода «Эшкаконские очистные сооружения – Кисловодск»</w:t>
            </w:r>
          </w:p>
        </w:tc>
        <w:tc>
          <w:tcPr>
            <w:tcW w:w="1842" w:type="dxa"/>
            <w:vAlign w:val="center"/>
          </w:tcPr>
          <w:p w14:paraId="4876EF1C"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Диаметр – 700 мм, Протяженность – 25,1 км</w:t>
            </w:r>
          </w:p>
        </w:tc>
        <w:tc>
          <w:tcPr>
            <w:tcW w:w="1843" w:type="dxa"/>
            <w:vAlign w:val="center"/>
          </w:tcPr>
          <w:p w14:paraId="15BFD93F"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Предгорный муниципальный округ, ГО «город-курорт Кисловодск»</w:t>
            </w:r>
          </w:p>
        </w:tc>
        <w:tc>
          <w:tcPr>
            <w:tcW w:w="1134" w:type="dxa"/>
            <w:vAlign w:val="center"/>
          </w:tcPr>
          <w:p w14:paraId="7BFDFD2E" w14:textId="3A4ABA97" w:rsidR="00DB6930" w:rsidRPr="00731FE2" w:rsidRDefault="00DB6930">
            <w:pPr>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Расчетный срок</w:t>
            </w:r>
          </w:p>
        </w:tc>
        <w:tc>
          <w:tcPr>
            <w:tcW w:w="1559" w:type="dxa"/>
            <w:vAlign w:val="center"/>
          </w:tcPr>
          <w:p w14:paraId="59E6CFDC"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П</w:t>
            </w:r>
          </w:p>
        </w:tc>
        <w:tc>
          <w:tcPr>
            <w:tcW w:w="1560" w:type="dxa"/>
            <w:vAlign w:val="center"/>
          </w:tcPr>
          <w:p w14:paraId="06C11865"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Санитарно-защитная зона</w:t>
            </w:r>
          </w:p>
        </w:tc>
        <w:tc>
          <w:tcPr>
            <w:tcW w:w="2835" w:type="dxa"/>
            <w:vAlign w:val="center"/>
          </w:tcPr>
          <w:p w14:paraId="38D19CA1" w14:textId="77777777" w:rsidR="00171AA8" w:rsidRPr="00731FE2" w:rsidRDefault="007935AB">
            <w:pPr>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Схема территориального планирования Ставропольского края, утв. Постановлением Правительства Ставропольского края от 5.04.2011 № 116-п (с изм. 4.04.2023)</w:t>
            </w:r>
          </w:p>
        </w:tc>
      </w:tr>
      <w:tr w:rsidR="00171AA8" w:rsidRPr="00731FE2" w14:paraId="36A3FD68" w14:textId="77777777" w:rsidTr="00357DCA">
        <w:tc>
          <w:tcPr>
            <w:tcW w:w="352" w:type="dxa"/>
            <w:vAlign w:val="center"/>
          </w:tcPr>
          <w:p w14:paraId="347DC089" w14:textId="77777777" w:rsidR="00171AA8" w:rsidRPr="00731FE2" w:rsidRDefault="007935AB" w:rsidP="007832E7">
            <w:pPr>
              <w:pStyle w:val="a3"/>
              <w:numPr>
                <w:ilvl w:val="0"/>
                <w:numId w:val="53"/>
              </w:numPr>
              <w:pBdr>
                <w:top w:val="none" w:sz="4" w:space="0" w:color="000000"/>
                <w:left w:val="none" w:sz="4" w:space="0" w:color="000000"/>
                <w:bottom w:val="none" w:sz="4" w:space="0" w:color="000000"/>
                <w:right w:val="none" w:sz="4" w:space="0" w:color="000000"/>
              </w:pBdr>
              <w:spacing w:line="62" w:lineRule="atLeast"/>
              <w:ind w:left="0"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 </w:t>
            </w:r>
          </w:p>
        </w:tc>
        <w:tc>
          <w:tcPr>
            <w:tcW w:w="999" w:type="dxa"/>
            <w:vAlign w:val="center"/>
          </w:tcPr>
          <w:p w14:paraId="57501193"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Организация водоотведения</w:t>
            </w:r>
          </w:p>
        </w:tc>
        <w:tc>
          <w:tcPr>
            <w:tcW w:w="2472" w:type="dxa"/>
            <w:vAlign w:val="center"/>
          </w:tcPr>
          <w:p w14:paraId="35BF0B05"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Строительство коллектора «Кисловодск-Ессентуки-Пятигорск»</w:t>
            </w:r>
          </w:p>
        </w:tc>
        <w:tc>
          <w:tcPr>
            <w:tcW w:w="1842" w:type="dxa"/>
            <w:vAlign w:val="center"/>
          </w:tcPr>
          <w:p w14:paraId="7D1697C1"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Диаметр – 1200 мм, Протяженность – 45,1 км</w:t>
            </w:r>
          </w:p>
        </w:tc>
        <w:tc>
          <w:tcPr>
            <w:tcW w:w="1843" w:type="dxa"/>
            <w:vAlign w:val="center"/>
          </w:tcPr>
          <w:p w14:paraId="66C8B841"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Предгорный муниципальный округ, ГО «город-курорт Кисловодск», ГО «город-курорт Ессентуки», ГО «город-курорт Пятигорск»</w:t>
            </w:r>
          </w:p>
        </w:tc>
        <w:tc>
          <w:tcPr>
            <w:tcW w:w="1134" w:type="dxa"/>
            <w:vAlign w:val="center"/>
          </w:tcPr>
          <w:p w14:paraId="3D517A3E" w14:textId="77777777" w:rsidR="00171AA8" w:rsidRPr="00731FE2" w:rsidRDefault="007935AB">
            <w:pPr>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Первая очередь</w:t>
            </w:r>
          </w:p>
        </w:tc>
        <w:tc>
          <w:tcPr>
            <w:tcW w:w="1559" w:type="dxa"/>
            <w:vAlign w:val="center"/>
          </w:tcPr>
          <w:p w14:paraId="79CB7430"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П</w:t>
            </w:r>
          </w:p>
        </w:tc>
        <w:tc>
          <w:tcPr>
            <w:tcW w:w="1560" w:type="dxa"/>
            <w:vAlign w:val="center"/>
          </w:tcPr>
          <w:p w14:paraId="0D354336"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Санитарно-защитная зона</w:t>
            </w:r>
          </w:p>
        </w:tc>
        <w:tc>
          <w:tcPr>
            <w:tcW w:w="2835" w:type="dxa"/>
            <w:vAlign w:val="center"/>
          </w:tcPr>
          <w:p w14:paraId="4F602623" w14:textId="77777777" w:rsidR="00171AA8" w:rsidRPr="00731FE2" w:rsidRDefault="007935AB">
            <w:pPr>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Схема территориального планирования Ставропольского края, утв. Постановлением Правительства Ставропольского края от 5.04.2011 № 116-п (с изм. 4.04.2023)</w:t>
            </w:r>
          </w:p>
        </w:tc>
      </w:tr>
      <w:tr w:rsidR="00171AA8" w:rsidRPr="00731FE2" w14:paraId="7AD38751" w14:textId="77777777" w:rsidTr="00357DCA">
        <w:tc>
          <w:tcPr>
            <w:tcW w:w="352" w:type="dxa"/>
            <w:vAlign w:val="center"/>
          </w:tcPr>
          <w:p w14:paraId="4C3D5FD0" w14:textId="77777777" w:rsidR="00171AA8" w:rsidRPr="00731FE2" w:rsidRDefault="007935AB" w:rsidP="007832E7">
            <w:pPr>
              <w:pStyle w:val="a3"/>
              <w:numPr>
                <w:ilvl w:val="0"/>
                <w:numId w:val="53"/>
              </w:numPr>
              <w:pBdr>
                <w:top w:val="none" w:sz="4" w:space="0" w:color="000000"/>
                <w:left w:val="none" w:sz="4" w:space="0" w:color="000000"/>
                <w:bottom w:val="none" w:sz="4" w:space="0" w:color="000000"/>
                <w:right w:val="none" w:sz="4" w:space="0" w:color="000000"/>
              </w:pBdr>
              <w:spacing w:line="62" w:lineRule="atLeast"/>
              <w:ind w:left="0"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 </w:t>
            </w:r>
          </w:p>
        </w:tc>
        <w:tc>
          <w:tcPr>
            <w:tcW w:w="999" w:type="dxa"/>
            <w:vAlign w:val="center"/>
          </w:tcPr>
          <w:p w14:paraId="69919104"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 xml:space="preserve">Организация </w:t>
            </w:r>
            <w:r w:rsidRPr="00731FE2">
              <w:rPr>
                <w:rFonts w:ascii="Times New Roman" w:eastAsia="Times New Roman" w:hAnsi="Times New Roman" w:cs="Times New Roman"/>
                <w:color w:val="000000"/>
                <w:sz w:val="20"/>
                <w:szCs w:val="20"/>
              </w:rPr>
              <w:lastRenderedPageBreak/>
              <w:t>водоотведения</w:t>
            </w:r>
          </w:p>
        </w:tc>
        <w:tc>
          <w:tcPr>
            <w:tcW w:w="2472" w:type="dxa"/>
            <w:vAlign w:val="center"/>
          </w:tcPr>
          <w:p w14:paraId="10753A38"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lastRenderedPageBreak/>
              <w:t xml:space="preserve">Строительство хозяйственно-бытовых </w:t>
            </w:r>
            <w:r w:rsidRPr="00731FE2">
              <w:rPr>
                <w:rFonts w:ascii="Times New Roman" w:eastAsia="Times New Roman" w:hAnsi="Times New Roman" w:cs="Times New Roman"/>
                <w:color w:val="000000"/>
                <w:sz w:val="20"/>
                <w:szCs w:val="20"/>
              </w:rPr>
              <w:lastRenderedPageBreak/>
              <w:t>инженерных сетей в городе-курорте Кисловодске Ставропольского края</w:t>
            </w:r>
          </w:p>
        </w:tc>
        <w:tc>
          <w:tcPr>
            <w:tcW w:w="1842" w:type="dxa"/>
            <w:vAlign w:val="center"/>
          </w:tcPr>
          <w:p w14:paraId="7C47422B"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lastRenderedPageBreak/>
              <w:t xml:space="preserve">Диаметр 800 мм, протяженность 3,5 </w:t>
            </w:r>
            <w:r w:rsidRPr="00731FE2">
              <w:rPr>
                <w:rFonts w:ascii="Times New Roman" w:eastAsia="Times New Roman" w:hAnsi="Times New Roman" w:cs="Times New Roman"/>
                <w:color w:val="000000"/>
                <w:sz w:val="20"/>
                <w:szCs w:val="20"/>
              </w:rPr>
              <w:lastRenderedPageBreak/>
              <w:t>км</w:t>
            </w:r>
          </w:p>
        </w:tc>
        <w:tc>
          <w:tcPr>
            <w:tcW w:w="1843" w:type="dxa"/>
            <w:vAlign w:val="center"/>
          </w:tcPr>
          <w:p w14:paraId="54C264EE"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lastRenderedPageBreak/>
              <w:t xml:space="preserve">ГО «город-курорт Кисловодск», г. </w:t>
            </w:r>
            <w:r w:rsidRPr="00731FE2">
              <w:rPr>
                <w:rFonts w:ascii="Times New Roman" w:eastAsia="Times New Roman" w:hAnsi="Times New Roman" w:cs="Times New Roman"/>
                <w:color w:val="000000"/>
                <w:sz w:val="20"/>
                <w:szCs w:val="20"/>
              </w:rPr>
              <w:lastRenderedPageBreak/>
              <w:t>Кисловодск, пр. Победы от Дома связи по пр. Первомайский, 12 до МГК (междугороднего канализационного коллектора)</w:t>
            </w:r>
          </w:p>
        </w:tc>
        <w:tc>
          <w:tcPr>
            <w:tcW w:w="1134" w:type="dxa"/>
            <w:vAlign w:val="center"/>
          </w:tcPr>
          <w:p w14:paraId="40A6DB4C" w14:textId="77777777" w:rsidR="00171AA8" w:rsidRPr="00731FE2" w:rsidRDefault="007935AB">
            <w:pPr>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lastRenderedPageBreak/>
              <w:t>Первая очередь</w:t>
            </w:r>
          </w:p>
        </w:tc>
        <w:tc>
          <w:tcPr>
            <w:tcW w:w="1559" w:type="dxa"/>
            <w:vAlign w:val="center"/>
          </w:tcPr>
          <w:p w14:paraId="5C37CE78" w14:textId="39E010AD" w:rsidR="00DB6930" w:rsidRPr="00731FE2" w:rsidRDefault="00DB6930" w:rsidP="005E5139">
            <w:pPr>
              <w:pBdr>
                <w:top w:val="none" w:sz="4" w:space="0" w:color="000000"/>
                <w:left w:val="none" w:sz="4" w:space="0" w:color="000000"/>
                <w:bottom w:val="none" w:sz="4" w:space="0" w:color="000000"/>
                <w:right w:val="none" w:sz="4" w:space="0" w:color="000000"/>
              </w:pBdr>
              <w:spacing w:line="62" w:lineRule="atLeast"/>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Р</w:t>
            </w:r>
          </w:p>
        </w:tc>
        <w:tc>
          <w:tcPr>
            <w:tcW w:w="1560" w:type="dxa"/>
            <w:vAlign w:val="center"/>
          </w:tcPr>
          <w:p w14:paraId="63F8C5F5"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Санитарно-защитная зона</w:t>
            </w:r>
          </w:p>
        </w:tc>
        <w:tc>
          <w:tcPr>
            <w:tcW w:w="2835" w:type="dxa"/>
            <w:vAlign w:val="center"/>
          </w:tcPr>
          <w:p w14:paraId="59CF2537" w14:textId="77777777" w:rsidR="00171AA8" w:rsidRPr="00731FE2" w:rsidRDefault="007935AB">
            <w:pPr>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 xml:space="preserve">Схема территориального планирования Ставропольского </w:t>
            </w:r>
            <w:r w:rsidRPr="00731FE2">
              <w:rPr>
                <w:rFonts w:ascii="Times New Roman" w:eastAsia="Times New Roman" w:hAnsi="Times New Roman" w:cs="Times New Roman"/>
                <w:color w:val="000000"/>
                <w:sz w:val="20"/>
                <w:szCs w:val="20"/>
              </w:rPr>
              <w:lastRenderedPageBreak/>
              <w:t>края, утв. Постановлением Правительства Ставропольского края от 5.04.2011 № 116-п (с изм. 4.04.2023)</w:t>
            </w:r>
          </w:p>
        </w:tc>
      </w:tr>
      <w:tr w:rsidR="00171AA8" w:rsidRPr="00731FE2" w14:paraId="564ED2B8" w14:textId="77777777" w:rsidTr="00357DCA">
        <w:tc>
          <w:tcPr>
            <w:tcW w:w="352" w:type="dxa"/>
            <w:vAlign w:val="center"/>
          </w:tcPr>
          <w:p w14:paraId="1FFB348D" w14:textId="77777777" w:rsidR="00171AA8" w:rsidRPr="00731FE2" w:rsidRDefault="007935AB" w:rsidP="007832E7">
            <w:pPr>
              <w:pStyle w:val="a3"/>
              <w:numPr>
                <w:ilvl w:val="0"/>
                <w:numId w:val="53"/>
              </w:numPr>
              <w:pBdr>
                <w:top w:val="none" w:sz="4" w:space="0" w:color="000000"/>
                <w:left w:val="none" w:sz="4" w:space="0" w:color="000000"/>
                <w:bottom w:val="none" w:sz="4" w:space="0" w:color="000000"/>
                <w:right w:val="none" w:sz="4" w:space="0" w:color="000000"/>
              </w:pBdr>
              <w:spacing w:line="62" w:lineRule="atLeast"/>
              <w:ind w:left="0"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lastRenderedPageBreak/>
              <w:t> </w:t>
            </w:r>
          </w:p>
        </w:tc>
        <w:tc>
          <w:tcPr>
            <w:tcW w:w="999" w:type="dxa"/>
            <w:vAlign w:val="center"/>
          </w:tcPr>
          <w:p w14:paraId="031BBE19"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Организация водоотведения</w:t>
            </w:r>
          </w:p>
        </w:tc>
        <w:tc>
          <w:tcPr>
            <w:tcW w:w="2472" w:type="dxa"/>
            <w:vAlign w:val="center"/>
          </w:tcPr>
          <w:p w14:paraId="5A587363"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Реконструкция участка, существующего напорного канализационного коллектора из стальных труб</w:t>
            </w:r>
          </w:p>
        </w:tc>
        <w:tc>
          <w:tcPr>
            <w:tcW w:w="1842" w:type="dxa"/>
            <w:vAlign w:val="center"/>
          </w:tcPr>
          <w:p w14:paraId="0E4F808D"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Диаметр 600 мм, протяженность 2 км</w:t>
            </w:r>
          </w:p>
        </w:tc>
        <w:tc>
          <w:tcPr>
            <w:tcW w:w="1843" w:type="dxa"/>
            <w:vAlign w:val="center"/>
          </w:tcPr>
          <w:p w14:paraId="1B0354B3"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ГО «город-курорт Кисловодск», от КНС «Римгорская» по ул. Римгорская вдоль русла р. Подкумок до камеры «ПК 1» МГК (междугороднего канализационного коллектора)</w:t>
            </w:r>
          </w:p>
        </w:tc>
        <w:tc>
          <w:tcPr>
            <w:tcW w:w="1134" w:type="dxa"/>
            <w:vAlign w:val="center"/>
          </w:tcPr>
          <w:p w14:paraId="69D528B2" w14:textId="77777777" w:rsidR="00171AA8" w:rsidRPr="00731FE2" w:rsidRDefault="007935AB">
            <w:pPr>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Первая очередь</w:t>
            </w:r>
          </w:p>
        </w:tc>
        <w:tc>
          <w:tcPr>
            <w:tcW w:w="1559" w:type="dxa"/>
            <w:vAlign w:val="center"/>
          </w:tcPr>
          <w:p w14:paraId="3187346B"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Р</w:t>
            </w:r>
          </w:p>
        </w:tc>
        <w:tc>
          <w:tcPr>
            <w:tcW w:w="1560" w:type="dxa"/>
            <w:vAlign w:val="center"/>
          </w:tcPr>
          <w:p w14:paraId="2AF2BB19"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Санитарно-защитная зона</w:t>
            </w:r>
          </w:p>
        </w:tc>
        <w:tc>
          <w:tcPr>
            <w:tcW w:w="2835" w:type="dxa"/>
            <w:vAlign w:val="center"/>
          </w:tcPr>
          <w:p w14:paraId="3D0079D6" w14:textId="77777777" w:rsidR="00171AA8" w:rsidRPr="00731FE2" w:rsidRDefault="007935AB">
            <w:pPr>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Схема территориального планирования Ставропольского края, утв. Постановлением Правительства Ставропольского края от 5.04.2011 № 116-п (с изм. 4.04.2023)</w:t>
            </w:r>
          </w:p>
        </w:tc>
      </w:tr>
      <w:tr w:rsidR="00171AA8" w:rsidRPr="00731FE2" w14:paraId="298784D1" w14:textId="77777777" w:rsidTr="00357DCA">
        <w:tc>
          <w:tcPr>
            <w:tcW w:w="352" w:type="dxa"/>
            <w:vAlign w:val="center"/>
          </w:tcPr>
          <w:p w14:paraId="28F6BDBA" w14:textId="77777777" w:rsidR="00171AA8" w:rsidRPr="00731FE2" w:rsidRDefault="007935AB" w:rsidP="007832E7">
            <w:pPr>
              <w:pStyle w:val="a3"/>
              <w:numPr>
                <w:ilvl w:val="0"/>
                <w:numId w:val="53"/>
              </w:numPr>
              <w:pBdr>
                <w:top w:val="none" w:sz="4" w:space="0" w:color="000000"/>
                <w:left w:val="none" w:sz="4" w:space="0" w:color="000000"/>
                <w:bottom w:val="none" w:sz="4" w:space="0" w:color="000000"/>
                <w:right w:val="none" w:sz="4" w:space="0" w:color="000000"/>
              </w:pBdr>
              <w:spacing w:line="62" w:lineRule="atLeast"/>
              <w:ind w:left="0"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 </w:t>
            </w:r>
          </w:p>
        </w:tc>
        <w:tc>
          <w:tcPr>
            <w:tcW w:w="999" w:type="dxa"/>
            <w:vAlign w:val="center"/>
          </w:tcPr>
          <w:p w14:paraId="1CD95D18"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Организация водоотведения</w:t>
            </w:r>
          </w:p>
        </w:tc>
        <w:tc>
          <w:tcPr>
            <w:tcW w:w="2472" w:type="dxa"/>
            <w:vAlign w:val="center"/>
          </w:tcPr>
          <w:p w14:paraId="59D510FF"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Строительство основного канализационного коллектора</w:t>
            </w:r>
          </w:p>
        </w:tc>
        <w:tc>
          <w:tcPr>
            <w:tcW w:w="1842" w:type="dxa"/>
            <w:vAlign w:val="center"/>
          </w:tcPr>
          <w:p w14:paraId="5DF9F814"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Количество объектов 1 ед., мощность определяется проектом</w:t>
            </w:r>
          </w:p>
        </w:tc>
        <w:tc>
          <w:tcPr>
            <w:tcW w:w="1843" w:type="dxa"/>
            <w:vAlign w:val="center"/>
          </w:tcPr>
          <w:p w14:paraId="59AEF141"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От ГО «города-курорта Кисловодск», г. Кисловодск до нитки междугороднего канализационного коллектора Кисловодск-Ессентуки-Пятигорск</w:t>
            </w:r>
          </w:p>
        </w:tc>
        <w:tc>
          <w:tcPr>
            <w:tcW w:w="1134" w:type="dxa"/>
            <w:vAlign w:val="center"/>
          </w:tcPr>
          <w:p w14:paraId="276A2A39" w14:textId="77777777" w:rsidR="00171AA8" w:rsidRPr="00731FE2" w:rsidRDefault="007935AB">
            <w:pPr>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Первая очередь</w:t>
            </w:r>
          </w:p>
        </w:tc>
        <w:tc>
          <w:tcPr>
            <w:tcW w:w="1559" w:type="dxa"/>
            <w:vAlign w:val="center"/>
          </w:tcPr>
          <w:p w14:paraId="2EE29DDB"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П</w:t>
            </w:r>
          </w:p>
        </w:tc>
        <w:tc>
          <w:tcPr>
            <w:tcW w:w="1560" w:type="dxa"/>
            <w:vAlign w:val="center"/>
          </w:tcPr>
          <w:p w14:paraId="46CEA988"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Санитарно-защитная зона</w:t>
            </w:r>
          </w:p>
        </w:tc>
        <w:tc>
          <w:tcPr>
            <w:tcW w:w="2835" w:type="dxa"/>
            <w:vAlign w:val="center"/>
          </w:tcPr>
          <w:p w14:paraId="014AB17C" w14:textId="77777777" w:rsidR="00171AA8" w:rsidRPr="00731FE2" w:rsidRDefault="007935AB">
            <w:pPr>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Схема территориального планирования Ставропольского края, утв. Постановлением Правительства Ставропольского края от 5.04.2011 № 116-п (с изм. 4.04.2023)</w:t>
            </w:r>
          </w:p>
        </w:tc>
      </w:tr>
      <w:tr w:rsidR="00171AA8" w:rsidRPr="00731FE2" w14:paraId="4ABD3AF3" w14:textId="77777777" w:rsidTr="00357DCA">
        <w:tc>
          <w:tcPr>
            <w:tcW w:w="352" w:type="dxa"/>
            <w:vAlign w:val="center"/>
          </w:tcPr>
          <w:p w14:paraId="4EFF0431" w14:textId="77777777" w:rsidR="00171AA8" w:rsidRPr="00731FE2" w:rsidRDefault="007935AB" w:rsidP="007832E7">
            <w:pPr>
              <w:pStyle w:val="a3"/>
              <w:numPr>
                <w:ilvl w:val="0"/>
                <w:numId w:val="53"/>
              </w:numPr>
              <w:pBdr>
                <w:top w:val="none" w:sz="4" w:space="0" w:color="000000"/>
                <w:left w:val="none" w:sz="4" w:space="0" w:color="000000"/>
                <w:bottom w:val="none" w:sz="4" w:space="0" w:color="000000"/>
                <w:right w:val="none" w:sz="4" w:space="0" w:color="000000"/>
              </w:pBdr>
              <w:spacing w:line="62" w:lineRule="atLeast"/>
              <w:ind w:left="0"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 </w:t>
            </w:r>
          </w:p>
        </w:tc>
        <w:tc>
          <w:tcPr>
            <w:tcW w:w="999" w:type="dxa"/>
            <w:vAlign w:val="center"/>
          </w:tcPr>
          <w:p w14:paraId="2850AEF8"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Организация водоотведения</w:t>
            </w:r>
          </w:p>
        </w:tc>
        <w:tc>
          <w:tcPr>
            <w:tcW w:w="2472" w:type="dxa"/>
            <w:vAlign w:val="center"/>
          </w:tcPr>
          <w:p w14:paraId="3A55361D"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 xml:space="preserve">Врезка канализационной сети объекта (1*225 мм) в действующий канализационный коллектор (Д-1000 мм), с целью обеспечения возможности подключения объекта капитального </w:t>
            </w:r>
            <w:r w:rsidRPr="00731FE2">
              <w:rPr>
                <w:rFonts w:ascii="Times New Roman" w:eastAsia="Times New Roman" w:hAnsi="Times New Roman" w:cs="Times New Roman"/>
                <w:color w:val="000000"/>
                <w:sz w:val="20"/>
                <w:szCs w:val="20"/>
              </w:rPr>
              <w:lastRenderedPageBreak/>
              <w:t>строительства «Комплекс жилых домов по пр. Победы, 43 в г. Кисловодске»</w:t>
            </w:r>
          </w:p>
        </w:tc>
        <w:tc>
          <w:tcPr>
            <w:tcW w:w="1842" w:type="dxa"/>
            <w:vAlign w:val="center"/>
          </w:tcPr>
          <w:p w14:paraId="7209BE17"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lastRenderedPageBreak/>
              <w:t>Диаметр 225 мм</w:t>
            </w:r>
          </w:p>
        </w:tc>
        <w:tc>
          <w:tcPr>
            <w:tcW w:w="1843" w:type="dxa"/>
            <w:vAlign w:val="center"/>
          </w:tcPr>
          <w:p w14:paraId="7ACE6419"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ГО «город-курорт Кисловодск», г. Кисловодск пр. Победы</w:t>
            </w:r>
          </w:p>
        </w:tc>
        <w:tc>
          <w:tcPr>
            <w:tcW w:w="1134" w:type="dxa"/>
            <w:vAlign w:val="center"/>
          </w:tcPr>
          <w:p w14:paraId="5AE31B13" w14:textId="77777777" w:rsidR="00171AA8" w:rsidRPr="00731FE2" w:rsidRDefault="007935AB">
            <w:pPr>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Первая очередь</w:t>
            </w:r>
          </w:p>
        </w:tc>
        <w:tc>
          <w:tcPr>
            <w:tcW w:w="1559" w:type="dxa"/>
            <w:vAlign w:val="center"/>
          </w:tcPr>
          <w:p w14:paraId="55929BD1"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П</w:t>
            </w:r>
          </w:p>
        </w:tc>
        <w:tc>
          <w:tcPr>
            <w:tcW w:w="1560" w:type="dxa"/>
            <w:vAlign w:val="center"/>
          </w:tcPr>
          <w:p w14:paraId="74707AB0"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Санитарно-защитная зона</w:t>
            </w:r>
          </w:p>
        </w:tc>
        <w:tc>
          <w:tcPr>
            <w:tcW w:w="2835" w:type="dxa"/>
            <w:vAlign w:val="center"/>
          </w:tcPr>
          <w:p w14:paraId="1A1FA302" w14:textId="77777777" w:rsidR="00171AA8" w:rsidRPr="00731FE2" w:rsidRDefault="007935AB">
            <w:pPr>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Схема территориального планирования Ставропольского края, утв. Постановлением Правительства Ставропольского края от 5.04.2011 № 116-п (с изм. 4.04.2023)</w:t>
            </w:r>
          </w:p>
        </w:tc>
      </w:tr>
      <w:tr w:rsidR="00171AA8" w:rsidRPr="00731FE2" w14:paraId="73B2F73B" w14:textId="77777777" w:rsidTr="00FC1D9B">
        <w:tc>
          <w:tcPr>
            <w:tcW w:w="14596" w:type="dxa"/>
            <w:gridSpan w:val="9"/>
            <w:vAlign w:val="center"/>
          </w:tcPr>
          <w:p w14:paraId="588B5118"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hAnsi="Times New Roman" w:cs="Times New Roman"/>
                <w:b/>
                <w:bCs/>
                <w:sz w:val="20"/>
                <w:szCs w:val="20"/>
              </w:rPr>
            </w:pPr>
            <w:r w:rsidRPr="00731FE2">
              <w:rPr>
                <w:rFonts w:ascii="Times New Roman" w:eastAsia="Times New Roman" w:hAnsi="Times New Roman" w:cs="Times New Roman"/>
                <w:b/>
                <w:bCs/>
                <w:color w:val="000000"/>
                <w:sz w:val="20"/>
                <w:szCs w:val="20"/>
              </w:rPr>
              <w:lastRenderedPageBreak/>
              <w:t>Объекты в области газоснабжения и теплоснабжения</w:t>
            </w:r>
          </w:p>
        </w:tc>
      </w:tr>
      <w:tr w:rsidR="00171AA8" w:rsidRPr="00731FE2" w14:paraId="4258FA71" w14:textId="77777777" w:rsidTr="00357DCA">
        <w:tc>
          <w:tcPr>
            <w:tcW w:w="352" w:type="dxa"/>
            <w:vAlign w:val="center"/>
          </w:tcPr>
          <w:p w14:paraId="33C399C1" w14:textId="77777777" w:rsidR="00171AA8" w:rsidRPr="00731FE2" w:rsidRDefault="007935AB" w:rsidP="007832E7">
            <w:pPr>
              <w:pStyle w:val="a3"/>
              <w:numPr>
                <w:ilvl w:val="0"/>
                <w:numId w:val="53"/>
              </w:numPr>
              <w:pBdr>
                <w:top w:val="none" w:sz="4" w:space="0" w:color="000000"/>
                <w:left w:val="none" w:sz="4" w:space="0" w:color="000000"/>
                <w:bottom w:val="none" w:sz="4" w:space="0" w:color="000000"/>
                <w:right w:val="none" w:sz="4" w:space="0" w:color="000000"/>
              </w:pBdr>
              <w:spacing w:line="62" w:lineRule="atLeast"/>
              <w:ind w:left="0"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 </w:t>
            </w:r>
          </w:p>
        </w:tc>
        <w:tc>
          <w:tcPr>
            <w:tcW w:w="999" w:type="dxa"/>
            <w:vAlign w:val="center"/>
          </w:tcPr>
          <w:p w14:paraId="71EE5CBF"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Организация газоснабжения</w:t>
            </w:r>
          </w:p>
        </w:tc>
        <w:tc>
          <w:tcPr>
            <w:tcW w:w="2472" w:type="dxa"/>
            <w:vAlign w:val="center"/>
          </w:tcPr>
          <w:p w14:paraId="60691135"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Газификация нижней и верхней баз ЮГСПОРТ</w:t>
            </w:r>
          </w:p>
        </w:tc>
        <w:tc>
          <w:tcPr>
            <w:tcW w:w="1842" w:type="dxa"/>
            <w:vAlign w:val="center"/>
          </w:tcPr>
          <w:p w14:paraId="39C607FA"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Протяженность 8,5 км, труба ДУ 225</w:t>
            </w:r>
          </w:p>
        </w:tc>
        <w:tc>
          <w:tcPr>
            <w:tcW w:w="1843" w:type="dxa"/>
            <w:vAlign w:val="center"/>
          </w:tcPr>
          <w:p w14:paraId="7D2CE6F8"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ГО «город-курорт Кисловодск», Национальный парк «Кисловодский»</w:t>
            </w:r>
          </w:p>
        </w:tc>
        <w:tc>
          <w:tcPr>
            <w:tcW w:w="1134" w:type="dxa"/>
            <w:vAlign w:val="center"/>
          </w:tcPr>
          <w:p w14:paraId="3EA5C08A"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Первая очередь</w:t>
            </w:r>
          </w:p>
        </w:tc>
        <w:tc>
          <w:tcPr>
            <w:tcW w:w="1559" w:type="dxa"/>
            <w:vAlign w:val="center"/>
          </w:tcPr>
          <w:p w14:paraId="77D83F21" w14:textId="0FCC1C32" w:rsidR="00DB6930" w:rsidRPr="00731FE2" w:rsidRDefault="00DB6930" w:rsidP="005E5139">
            <w:pPr>
              <w:pBdr>
                <w:top w:val="none" w:sz="4" w:space="0" w:color="000000"/>
                <w:left w:val="none" w:sz="4" w:space="0" w:color="000000"/>
                <w:bottom w:val="none" w:sz="4" w:space="0" w:color="000000"/>
                <w:right w:val="none" w:sz="4" w:space="0" w:color="000000"/>
              </w:pBdr>
              <w:spacing w:line="62" w:lineRule="atLeast"/>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С</w:t>
            </w:r>
          </w:p>
        </w:tc>
        <w:tc>
          <w:tcPr>
            <w:tcW w:w="1560" w:type="dxa"/>
            <w:vAlign w:val="center"/>
          </w:tcPr>
          <w:p w14:paraId="3DFABC64"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25 метров для газопровода – отвода</w:t>
            </w:r>
          </w:p>
          <w:p w14:paraId="571A1547"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100 метров для ГРС</w:t>
            </w:r>
          </w:p>
        </w:tc>
        <w:tc>
          <w:tcPr>
            <w:tcW w:w="2835" w:type="dxa"/>
            <w:vAlign w:val="center"/>
          </w:tcPr>
          <w:p w14:paraId="1EAF338A"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Схема территориального планирования Ставропольского края, утв. Постановлением Правительства Ставропольского края от 5.04.2011 № 116-п (с изм. 4.04.2023)</w:t>
            </w:r>
          </w:p>
        </w:tc>
      </w:tr>
      <w:tr w:rsidR="00171AA8" w:rsidRPr="00731FE2" w14:paraId="2F38CD56" w14:textId="77777777" w:rsidTr="00FC1D9B">
        <w:trPr>
          <w:trHeight w:val="63"/>
        </w:trPr>
        <w:tc>
          <w:tcPr>
            <w:tcW w:w="14596" w:type="dxa"/>
            <w:gridSpan w:val="9"/>
            <w:vAlign w:val="center"/>
          </w:tcPr>
          <w:p w14:paraId="6A8C9B90"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hAnsi="Times New Roman" w:cs="Times New Roman"/>
                <w:b/>
                <w:bCs/>
                <w:sz w:val="20"/>
                <w:szCs w:val="20"/>
              </w:rPr>
            </w:pPr>
            <w:r w:rsidRPr="00731FE2">
              <w:rPr>
                <w:rFonts w:ascii="Times New Roman" w:eastAsia="Times New Roman" w:hAnsi="Times New Roman" w:cs="Times New Roman"/>
                <w:b/>
                <w:bCs/>
                <w:color w:val="000000"/>
                <w:sz w:val="20"/>
                <w:szCs w:val="20"/>
              </w:rPr>
              <w:t>Объекты в области электроснабжения</w:t>
            </w:r>
          </w:p>
        </w:tc>
      </w:tr>
      <w:tr w:rsidR="00171AA8" w:rsidRPr="00731FE2" w14:paraId="6731ACE5" w14:textId="77777777" w:rsidTr="00357DCA">
        <w:tc>
          <w:tcPr>
            <w:tcW w:w="352" w:type="dxa"/>
            <w:vAlign w:val="center"/>
          </w:tcPr>
          <w:p w14:paraId="312A36E8" w14:textId="77777777" w:rsidR="00171AA8" w:rsidRPr="00731FE2" w:rsidRDefault="007935AB" w:rsidP="007832E7">
            <w:pPr>
              <w:pStyle w:val="a3"/>
              <w:numPr>
                <w:ilvl w:val="0"/>
                <w:numId w:val="53"/>
              </w:numPr>
              <w:pBdr>
                <w:top w:val="none" w:sz="4" w:space="0" w:color="000000"/>
                <w:left w:val="none" w:sz="4" w:space="0" w:color="000000"/>
                <w:bottom w:val="none" w:sz="4" w:space="0" w:color="000000"/>
                <w:right w:val="none" w:sz="4" w:space="0" w:color="000000"/>
              </w:pBdr>
              <w:spacing w:line="62" w:lineRule="atLeast"/>
              <w:ind w:left="0"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 </w:t>
            </w:r>
          </w:p>
        </w:tc>
        <w:tc>
          <w:tcPr>
            <w:tcW w:w="999" w:type="dxa"/>
            <w:vAlign w:val="center"/>
          </w:tcPr>
          <w:p w14:paraId="3B8933E1"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Объект по преобразованию электрической энергии</w:t>
            </w:r>
          </w:p>
        </w:tc>
        <w:tc>
          <w:tcPr>
            <w:tcW w:w="2472" w:type="dxa"/>
            <w:vAlign w:val="center"/>
          </w:tcPr>
          <w:p w14:paraId="19981129"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Увеличение мощности АО «Кисловодская сетевая компания» от ПС 110 кВ «Зеленогорская»</w:t>
            </w:r>
          </w:p>
        </w:tc>
        <w:tc>
          <w:tcPr>
            <w:tcW w:w="1842" w:type="dxa"/>
            <w:vAlign w:val="center"/>
          </w:tcPr>
          <w:p w14:paraId="79D7243D"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Мощность 3,5 МВт</w:t>
            </w:r>
          </w:p>
        </w:tc>
        <w:tc>
          <w:tcPr>
            <w:tcW w:w="1843" w:type="dxa"/>
            <w:vAlign w:val="center"/>
          </w:tcPr>
          <w:p w14:paraId="4D9629E7"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ГО «город-курорт Кисловодск»</w:t>
            </w:r>
          </w:p>
        </w:tc>
        <w:tc>
          <w:tcPr>
            <w:tcW w:w="1134" w:type="dxa"/>
            <w:vAlign w:val="center"/>
          </w:tcPr>
          <w:p w14:paraId="14D25292"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Первая очередь</w:t>
            </w:r>
          </w:p>
        </w:tc>
        <w:tc>
          <w:tcPr>
            <w:tcW w:w="1559" w:type="dxa"/>
            <w:vAlign w:val="center"/>
          </w:tcPr>
          <w:p w14:paraId="63B661BC" w14:textId="4F8DB2AB" w:rsidR="00DB6930" w:rsidRPr="00731FE2" w:rsidRDefault="00DB6930" w:rsidP="005E5139">
            <w:pPr>
              <w:pBdr>
                <w:top w:val="none" w:sz="4" w:space="0" w:color="000000"/>
                <w:left w:val="none" w:sz="4" w:space="0" w:color="000000"/>
                <w:bottom w:val="none" w:sz="4" w:space="0" w:color="000000"/>
                <w:right w:val="none" w:sz="4" w:space="0" w:color="000000"/>
              </w:pBdr>
              <w:spacing w:line="62" w:lineRule="atLeast"/>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П</w:t>
            </w:r>
          </w:p>
        </w:tc>
        <w:tc>
          <w:tcPr>
            <w:tcW w:w="1560" w:type="dxa"/>
            <w:vAlign w:val="center"/>
          </w:tcPr>
          <w:p w14:paraId="66D05A10"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Охранная зона – 20 м</w:t>
            </w:r>
          </w:p>
        </w:tc>
        <w:tc>
          <w:tcPr>
            <w:tcW w:w="2835" w:type="dxa"/>
            <w:vAlign w:val="center"/>
          </w:tcPr>
          <w:p w14:paraId="621BFFD0"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Схема территориального планирования Ставропольского края, утв. Постановлением Правительства Ставропольского края от 5.04.2011 № 116-п (с изм. 4.04.2023)</w:t>
            </w:r>
          </w:p>
        </w:tc>
      </w:tr>
      <w:tr w:rsidR="00171AA8" w:rsidRPr="00731FE2" w14:paraId="057FA230" w14:textId="77777777" w:rsidTr="00FC1D9B">
        <w:tc>
          <w:tcPr>
            <w:tcW w:w="14596" w:type="dxa"/>
            <w:gridSpan w:val="9"/>
            <w:vAlign w:val="center"/>
          </w:tcPr>
          <w:p w14:paraId="77C2C154"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hAnsi="Times New Roman" w:cs="Times New Roman"/>
                <w:b/>
                <w:bCs/>
                <w:sz w:val="20"/>
                <w:szCs w:val="20"/>
              </w:rPr>
            </w:pPr>
            <w:r w:rsidRPr="00731FE2">
              <w:rPr>
                <w:rFonts w:ascii="Times New Roman" w:eastAsia="Times New Roman" w:hAnsi="Times New Roman" w:cs="Times New Roman"/>
                <w:b/>
                <w:bCs/>
                <w:color w:val="000000"/>
                <w:sz w:val="20"/>
                <w:szCs w:val="20"/>
              </w:rPr>
              <w:t>Объекты в области здравоохранения</w:t>
            </w:r>
          </w:p>
        </w:tc>
      </w:tr>
      <w:tr w:rsidR="00171AA8" w:rsidRPr="00731FE2" w14:paraId="61C81A6B" w14:textId="77777777" w:rsidTr="00357DCA">
        <w:tc>
          <w:tcPr>
            <w:tcW w:w="352" w:type="dxa"/>
            <w:vAlign w:val="center"/>
          </w:tcPr>
          <w:p w14:paraId="0C7DC9DB" w14:textId="77777777" w:rsidR="00171AA8" w:rsidRPr="00731FE2" w:rsidRDefault="007935AB" w:rsidP="007832E7">
            <w:pPr>
              <w:pStyle w:val="a3"/>
              <w:numPr>
                <w:ilvl w:val="0"/>
                <w:numId w:val="53"/>
              </w:numPr>
              <w:pBdr>
                <w:top w:val="none" w:sz="4" w:space="0" w:color="000000"/>
                <w:left w:val="none" w:sz="4" w:space="0" w:color="000000"/>
                <w:bottom w:val="none" w:sz="4" w:space="0" w:color="000000"/>
                <w:right w:val="none" w:sz="4" w:space="0" w:color="000000"/>
              </w:pBdr>
              <w:spacing w:line="62" w:lineRule="atLeast"/>
              <w:ind w:left="0"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 </w:t>
            </w:r>
          </w:p>
        </w:tc>
        <w:tc>
          <w:tcPr>
            <w:tcW w:w="999" w:type="dxa"/>
            <w:vAlign w:val="center"/>
          </w:tcPr>
          <w:p w14:paraId="50B595CC"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Обеспечение населения услугами здравоохранения</w:t>
            </w:r>
          </w:p>
        </w:tc>
        <w:tc>
          <w:tcPr>
            <w:tcW w:w="2472" w:type="dxa"/>
            <w:vAlign w:val="center"/>
          </w:tcPr>
          <w:p w14:paraId="614098A3"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Строительство поликлиники на 600 посещений в смену в городе-курорте Кисловодске ГБУЗ СК</w:t>
            </w:r>
          </w:p>
        </w:tc>
        <w:tc>
          <w:tcPr>
            <w:tcW w:w="1842" w:type="dxa"/>
            <w:vAlign w:val="center"/>
          </w:tcPr>
          <w:p w14:paraId="062C83C7"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Мощность: вместимость – 600 посещений в смену</w:t>
            </w:r>
          </w:p>
        </w:tc>
        <w:tc>
          <w:tcPr>
            <w:tcW w:w="1843" w:type="dxa"/>
            <w:vAlign w:val="center"/>
          </w:tcPr>
          <w:p w14:paraId="74C8259B"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ГО «город-курорт Кисловодск», г. Кисловодск</w:t>
            </w:r>
          </w:p>
        </w:tc>
        <w:tc>
          <w:tcPr>
            <w:tcW w:w="1134" w:type="dxa"/>
            <w:vAlign w:val="center"/>
          </w:tcPr>
          <w:p w14:paraId="3D57B3FA" w14:textId="77777777" w:rsidR="00171AA8" w:rsidRPr="00731FE2" w:rsidRDefault="007935AB">
            <w:pPr>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Первая очередь</w:t>
            </w:r>
          </w:p>
        </w:tc>
        <w:tc>
          <w:tcPr>
            <w:tcW w:w="1559" w:type="dxa"/>
            <w:vAlign w:val="center"/>
          </w:tcPr>
          <w:p w14:paraId="68A063A5"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П</w:t>
            </w:r>
          </w:p>
        </w:tc>
        <w:tc>
          <w:tcPr>
            <w:tcW w:w="1560" w:type="dxa"/>
            <w:vAlign w:val="center"/>
          </w:tcPr>
          <w:p w14:paraId="6C1BAB5F"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Нет</w:t>
            </w:r>
          </w:p>
        </w:tc>
        <w:tc>
          <w:tcPr>
            <w:tcW w:w="2835" w:type="dxa"/>
            <w:vAlign w:val="center"/>
          </w:tcPr>
          <w:p w14:paraId="7C8A5411"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Схема территориального планирования Ставропольского края, утв. Постановлением Правительства Ставропольского края от 5.04.2011 № 116-п (с изм. 4.04.2023)</w:t>
            </w:r>
          </w:p>
        </w:tc>
      </w:tr>
      <w:tr w:rsidR="00171AA8" w:rsidRPr="00731FE2" w14:paraId="189278EC" w14:textId="77777777" w:rsidTr="00357DCA">
        <w:tc>
          <w:tcPr>
            <w:tcW w:w="352" w:type="dxa"/>
            <w:vAlign w:val="center"/>
          </w:tcPr>
          <w:p w14:paraId="54AA59A8" w14:textId="77777777" w:rsidR="00171AA8" w:rsidRPr="00731FE2" w:rsidRDefault="007935AB" w:rsidP="007832E7">
            <w:pPr>
              <w:pStyle w:val="a3"/>
              <w:numPr>
                <w:ilvl w:val="0"/>
                <w:numId w:val="53"/>
              </w:numPr>
              <w:pBdr>
                <w:top w:val="none" w:sz="4" w:space="0" w:color="000000"/>
                <w:left w:val="none" w:sz="4" w:space="0" w:color="000000"/>
                <w:bottom w:val="none" w:sz="4" w:space="0" w:color="000000"/>
                <w:right w:val="none" w:sz="4" w:space="0" w:color="000000"/>
              </w:pBdr>
              <w:spacing w:line="62" w:lineRule="atLeast"/>
              <w:ind w:left="0"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 </w:t>
            </w:r>
          </w:p>
        </w:tc>
        <w:tc>
          <w:tcPr>
            <w:tcW w:w="999" w:type="dxa"/>
            <w:vAlign w:val="center"/>
          </w:tcPr>
          <w:p w14:paraId="263E5341"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Обеспечение населения услугами здравоохранения</w:t>
            </w:r>
          </w:p>
        </w:tc>
        <w:tc>
          <w:tcPr>
            <w:tcW w:w="2472" w:type="dxa"/>
            <w:vAlign w:val="center"/>
          </w:tcPr>
          <w:p w14:paraId="400CBA8E"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Строительство филиала поликлиники и кожно-венерологического отделения государственного бюджетного учреждения здравоохранения Ставропольского края «Кисловодская городская больница</w:t>
            </w:r>
          </w:p>
        </w:tc>
        <w:tc>
          <w:tcPr>
            <w:tcW w:w="1842" w:type="dxa"/>
            <w:vAlign w:val="center"/>
          </w:tcPr>
          <w:p w14:paraId="435DC08A"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Мощность: вместимость – 350 посещений в смену.</w:t>
            </w:r>
          </w:p>
        </w:tc>
        <w:tc>
          <w:tcPr>
            <w:tcW w:w="1843" w:type="dxa"/>
            <w:vAlign w:val="center"/>
          </w:tcPr>
          <w:p w14:paraId="7EB037A2"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ГО «город-курорт Кисловодск», г. Кисловодск, ул. Дводненко, д. 21</w:t>
            </w:r>
          </w:p>
        </w:tc>
        <w:tc>
          <w:tcPr>
            <w:tcW w:w="1134" w:type="dxa"/>
            <w:vAlign w:val="center"/>
          </w:tcPr>
          <w:p w14:paraId="49534952" w14:textId="77777777" w:rsidR="00171AA8" w:rsidRPr="00731FE2" w:rsidRDefault="007935AB">
            <w:pPr>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Первая очередь</w:t>
            </w:r>
          </w:p>
        </w:tc>
        <w:tc>
          <w:tcPr>
            <w:tcW w:w="1559" w:type="dxa"/>
            <w:vAlign w:val="center"/>
          </w:tcPr>
          <w:p w14:paraId="1B30B837"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П</w:t>
            </w:r>
          </w:p>
        </w:tc>
        <w:tc>
          <w:tcPr>
            <w:tcW w:w="1560" w:type="dxa"/>
            <w:vAlign w:val="center"/>
          </w:tcPr>
          <w:p w14:paraId="3717DF43"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Нет</w:t>
            </w:r>
          </w:p>
        </w:tc>
        <w:tc>
          <w:tcPr>
            <w:tcW w:w="2835" w:type="dxa"/>
            <w:vAlign w:val="center"/>
          </w:tcPr>
          <w:p w14:paraId="29DCD98B"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Схема территориального планирования Ставропольского края, утв. Постановлением Правительства Ставропольского края от 5.04.2011 № 116-п (с изм. 4.04.2023)</w:t>
            </w:r>
          </w:p>
        </w:tc>
      </w:tr>
      <w:tr w:rsidR="00171AA8" w:rsidRPr="00731FE2" w14:paraId="16C2AA99" w14:textId="77777777" w:rsidTr="00FC1D9B">
        <w:tc>
          <w:tcPr>
            <w:tcW w:w="14596" w:type="dxa"/>
            <w:gridSpan w:val="9"/>
            <w:vAlign w:val="center"/>
          </w:tcPr>
          <w:p w14:paraId="4635BDE4"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hAnsi="Times New Roman" w:cs="Times New Roman"/>
                <w:b/>
                <w:bCs/>
                <w:sz w:val="20"/>
                <w:szCs w:val="20"/>
              </w:rPr>
            </w:pPr>
            <w:r w:rsidRPr="00731FE2">
              <w:rPr>
                <w:rFonts w:ascii="Times New Roman" w:eastAsia="Times New Roman" w:hAnsi="Times New Roman" w:cs="Times New Roman"/>
                <w:b/>
                <w:bCs/>
                <w:color w:val="000000"/>
                <w:sz w:val="20"/>
                <w:szCs w:val="20"/>
              </w:rPr>
              <w:lastRenderedPageBreak/>
              <w:t>Объекты санитарно-курортного и туристско-рекреационного комплексов</w:t>
            </w:r>
          </w:p>
        </w:tc>
      </w:tr>
      <w:tr w:rsidR="00171AA8" w:rsidRPr="00731FE2" w14:paraId="37356F09" w14:textId="77777777" w:rsidTr="00357DCA">
        <w:tc>
          <w:tcPr>
            <w:tcW w:w="352" w:type="dxa"/>
            <w:vAlign w:val="center"/>
          </w:tcPr>
          <w:p w14:paraId="45177018" w14:textId="77777777" w:rsidR="00171AA8" w:rsidRPr="00731FE2" w:rsidRDefault="007935AB" w:rsidP="007832E7">
            <w:pPr>
              <w:pStyle w:val="a3"/>
              <w:numPr>
                <w:ilvl w:val="0"/>
                <w:numId w:val="53"/>
              </w:numPr>
              <w:pBdr>
                <w:top w:val="none" w:sz="4" w:space="0" w:color="000000"/>
                <w:left w:val="none" w:sz="4" w:space="0" w:color="000000"/>
                <w:bottom w:val="none" w:sz="4" w:space="0" w:color="000000"/>
                <w:right w:val="none" w:sz="4" w:space="0" w:color="000000"/>
              </w:pBdr>
              <w:spacing w:line="62" w:lineRule="atLeast"/>
              <w:ind w:left="0"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 </w:t>
            </w:r>
          </w:p>
        </w:tc>
        <w:tc>
          <w:tcPr>
            <w:tcW w:w="999" w:type="dxa"/>
            <w:vAlign w:val="center"/>
          </w:tcPr>
          <w:p w14:paraId="2F34319F"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Организация условий для функционирования объектов санаторно-курортного и туристско-рекреационного назначения</w:t>
            </w:r>
          </w:p>
        </w:tc>
        <w:tc>
          <w:tcPr>
            <w:tcW w:w="2472" w:type="dxa"/>
            <w:vAlign w:val="center"/>
          </w:tcPr>
          <w:p w14:paraId="00605FA1"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Строительство Санатория «Академический»</w:t>
            </w:r>
          </w:p>
        </w:tc>
        <w:tc>
          <w:tcPr>
            <w:tcW w:w="1842" w:type="dxa"/>
            <w:vAlign w:val="center"/>
          </w:tcPr>
          <w:p w14:paraId="0C41662E"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275-350 койко-мест. Площадь земельного участка: 4,9 га. Год постройки 1934 год, объект заброшен с 1994 года, площадь застройки 6700 м</w:t>
            </w:r>
            <w:r w:rsidRPr="00731FE2">
              <w:rPr>
                <w:rFonts w:ascii="Times New Roman" w:eastAsia="Times New Roman" w:hAnsi="Times New Roman" w:cs="Times New Roman"/>
                <w:color w:val="000000"/>
                <w:sz w:val="20"/>
                <w:szCs w:val="20"/>
                <w:vertAlign w:val="superscript"/>
              </w:rPr>
              <w:t>2</w:t>
            </w:r>
            <w:r w:rsidRPr="00731FE2">
              <w:rPr>
                <w:rFonts w:ascii="Times New Roman" w:eastAsia="Times New Roman" w:hAnsi="Times New Roman" w:cs="Times New Roman"/>
                <w:color w:val="000000"/>
                <w:sz w:val="20"/>
                <w:szCs w:val="20"/>
              </w:rPr>
              <w:t>. Включает лечебный корпус площадью 12278 м</w:t>
            </w:r>
            <w:r w:rsidRPr="00731FE2">
              <w:rPr>
                <w:rFonts w:ascii="Times New Roman" w:eastAsia="Times New Roman" w:hAnsi="Times New Roman" w:cs="Times New Roman"/>
                <w:color w:val="000000"/>
                <w:sz w:val="20"/>
                <w:szCs w:val="20"/>
                <w:vertAlign w:val="superscript"/>
              </w:rPr>
              <w:t>2</w:t>
            </w:r>
            <w:r w:rsidRPr="00731FE2">
              <w:rPr>
                <w:rFonts w:ascii="Times New Roman" w:eastAsia="Times New Roman" w:hAnsi="Times New Roman" w:cs="Times New Roman"/>
                <w:color w:val="000000"/>
                <w:sz w:val="20"/>
                <w:szCs w:val="20"/>
              </w:rPr>
              <w:t>, 100% готовность</w:t>
            </w:r>
          </w:p>
        </w:tc>
        <w:tc>
          <w:tcPr>
            <w:tcW w:w="1843" w:type="dxa"/>
            <w:vAlign w:val="center"/>
          </w:tcPr>
          <w:p w14:paraId="43F99927"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ГО «город-курорт Кисловодск», г. Кисловодск, ул. Володарского/Коминтерна, д. 10/15.</w:t>
            </w:r>
          </w:p>
        </w:tc>
        <w:tc>
          <w:tcPr>
            <w:tcW w:w="1134" w:type="dxa"/>
            <w:vAlign w:val="center"/>
          </w:tcPr>
          <w:p w14:paraId="597535FD"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Первая очередь</w:t>
            </w:r>
          </w:p>
        </w:tc>
        <w:tc>
          <w:tcPr>
            <w:tcW w:w="1559" w:type="dxa"/>
            <w:vAlign w:val="center"/>
          </w:tcPr>
          <w:p w14:paraId="00A50ABF"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П</w:t>
            </w:r>
          </w:p>
        </w:tc>
        <w:tc>
          <w:tcPr>
            <w:tcW w:w="1560" w:type="dxa"/>
            <w:vAlign w:val="center"/>
          </w:tcPr>
          <w:p w14:paraId="569A0113"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Нет</w:t>
            </w:r>
          </w:p>
        </w:tc>
        <w:tc>
          <w:tcPr>
            <w:tcW w:w="2835" w:type="dxa"/>
            <w:vAlign w:val="center"/>
          </w:tcPr>
          <w:p w14:paraId="6D281EE0"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Схема территориального планирования Ставропольского края, утв. Постановлением Правительства Ставропольского края от 5.04.2011 № 116-п (с изм. 4.04.2023)</w:t>
            </w:r>
          </w:p>
        </w:tc>
      </w:tr>
      <w:tr w:rsidR="00171AA8" w:rsidRPr="00731FE2" w14:paraId="3CF6BC0F" w14:textId="77777777" w:rsidTr="00357DCA">
        <w:tc>
          <w:tcPr>
            <w:tcW w:w="352" w:type="dxa"/>
            <w:vAlign w:val="center"/>
          </w:tcPr>
          <w:p w14:paraId="17F18942" w14:textId="77777777" w:rsidR="00171AA8" w:rsidRPr="00731FE2" w:rsidRDefault="007935AB" w:rsidP="007832E7">
            <w:pPr>
              <w:pStyle w:val="a3"/>
              <w:numPr>
                <w:ilvl w:val="0"/>
                <w:numId w:val="53"/>
              </w:numPr>
              <w:pBdr>
                <w:top w:val="none" w:sz="4" w:space="0" w:color="000000"/>
                <w:left w:val="none" w:sz="4" w:space="0" w:color="000000"/>
                <w:bottom w:val="none" w:sz="4" w:space="0" w:color="000000"/>
                <w:right w:val="none" w:sz="4" w:space="0" w:color="000000"/>
              </w:pBdr>
              <w:spacing w:line="62" w:lineRule="atLeast"/>
              <w:ind w:left="0"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 </w:t>
            </w:r>
          </w:p>
        </w:tc>
        <w:tc>
          <w:tcPr>
            <w:tcW w:w="999" w:type="dxa"/>
            <w:vAlign w:val="center"/>
          </w:tcPr>
          <w:p w14:paraId="282B6C6A"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Организация рекреационной деятельности</w:t>
            </w:r>
          </w:p>
        </w:tc>
        <w:tc>
          <w:tcPr>
            <w:tcW w:w="2472" w:type="dxa"/>
            <w:vAlign w:val="center"/>
          </w:tcPr>
          <w:p w14:paraId="24EAE445"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Создание и развитие трех центров делового туризма и конгрессно-гостиничного комплекса (в городе-курорте Кисловодске, городах Минеральные Воды и Ставрополе)</w:t>
            </w:r>
          </w:p>
        </w:tc>
        <w:tc>
          <w:tcPr>
            <w:tcW w:w="1842" w:type="dxa"/>
            <w:vAlign w:val="center"/>
          </w:tcPr>
          <w:p w14:paraId="6243E2A9"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Строительство 3 объектов</w:t>
            </w:r>
          </w:p>
        </w:tc>
        <w:tc>
          <w:tcPr>
            <w:tcW w:w="1843" w:type="dxa"/>
            <w:vAlign w:val="center"/>
          </w:tcPr>
          <w:p w14:paraId="615B650E"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город-курорт Кисловодске, город Минеральные Воды и Ставрополь</w:t>
            </w:r>
          </w:p>
        </w:tc>
        <w:tc>
          <w:tcPr>
            <w:tcW w:w="1134" w:type="dxa"/>
            <w:vAlign w:val="center"/>
          </w:tcPr>
          <w:p w14:paraId="0A40A700"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2022 – 2030 годы</w:t>
            </w:r>
          </w:p>
        </w:tc>
        <w:tc>
          <w:tcPr>
            <w:tcW w:w="1559" w:type="dxa"/>
            <w:vAlign w:val="center"/>
          </w:tcPr>
          <w:p w14:paraId="6D536777"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П</w:t>
            </w:r>
          </w:p>
        </w:tc>
        <w:tc>
          <w:tcPr>
            <w:tcW w:w="1560" w:type="dxa"/>
            <w:vAlign w:val="center"/>
          </w:tcPr>
          <w:p w14:paraId="33B53079"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Нет</w:t>
            </w:r>
          </w:p>
        </w:tc>
        <w:tc>
          <w:tcPr>
            <w:tcW w:w="2835" w:type="dxa"/>
            <w:vAlign w:val="center"/>
          </w:tcPr>
          <w:p w14:paraId="49116FB1"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Об утверждении Плана мероприятий по реализации Стратегии социально-экономического развития Ставропольского края до 2035 года, утв. законом Ставропольского края «О стратегии социально-экономического развития Ставропольского края до 2035 года»</w:t>
            </w:r>
          </w:p>
        </w:tc>
      </w:tr>
      <w:tr w:rsidR="00171AA8" w:rsidRPr="00731FE2" w14:paraId="74600120" w14:textId="77777777" w:rsidTr="00FC1D9B">
        <w:tc>
          <w:tcPr>
            <w:tcW w:w="14596" w:type="dxa"/>
            <w:gridSpan w:val="9"/>
            <w:vAlign w:val="center"/>
          </w:tcPr>
          <w:p w14:paraId="60994E5C"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hAnsi="Times New Roman" w:cs="Times New Roman"/>
                <w:b/>
                <w:bCs/>
                <w:sz w:val="20"/>
                <w:szCs w:val="20"/>
              </w:rPr>
            </w:pPr>
            <w:r w:rsidRPr="00731FE2">
              <w:rPr>
                <w:rFonts w:ascii="Times New Roman" w:eastAsia="Times New Roman" w:hAnsi="Times New Roman" w:cs="Times New Roman"/>
                <w:b/>
                <w:bCs/>
                <w:color w:val="000000"/>
                <w:sz w:val="20"/>
                <w:szCs w:val="20"/>
              </w:rPr>
              <w:t>Объекты специального назначения</w:t>
            </w:r>
          </w:p>
        </w:tc>
      </w:tr>
      <w:tr w:rsidR="00171AA8" w:rsidRPr="00731FE2" w14:paraId="42D267A1" w14:textId="77777777" w:rsidTr="00357DCA">
        <w:trPr>
          <w:trHeight w:val="1724"/>
        </w:trPr>
        <w:tc>
          <w:tcPr>
            <w:tcW w:w="352" w:type="dxa"/>
            <w:vAlign w:val="center"/>
          </w:tcPr>
          <w:p w14:paraId="2218236F" w14:textId="77777777" w:rsidR="00171AA8" w:rsidRPr="00731FE2" w:rsidRDefault="007935AB" w:rsidP="007832E7">
            <w:pPr>
              <w:pStyle w:val="a3"/>
              <w:numPr>
                <w:ilvl w:val="0"/>
                <w:numId w:val="53"/>
              </w:numPr>
              <w:pBdr>
                <w:top w:val="none" w:sz="4" w:space="0" w:color="000000"/>
                <w:left w:val="none" w:sz="4" w:space="0" w:color="000000"/>
                <w:bottom w:val="none" w:sz="4" w:space="0" w:color="000000"/>
                <w:right w:val="none" w:sz="4" w:space="0" w:color="000000"/>
              </w:pBdr>
              <w:spacing w:line="62" w:lineRule="atLeast"/>
              <w:ind w:left="0"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 </w:t>
            </w:r>
          </w:p>
        </w:tc>
        <w:tc>
          <w:tcPr>
            <w:tcW w:w="999" w:type="dxa"/>
            <w:vAlign w:val="center"/>
          </w:tcPr>
          <w:p w14:paraId="13142814"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Обработка ТКО</w:t>
            </w:r>
          </w:p>
        </w:tc>
        <w:tc>
          <w:tcPr>
            <w:tcW w:w="2472" w:type="dxa"/>
            <w:vAlign w:val="center"/>
          </w:tcPr>
          <w:p w14:paraId="07523713"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Реконструкция объекта сортировки г. Кисловодск ООО «Уборочные технологии»</w:t>
            </w:r>
          </w:p>
        </w:tc>
        <w:tc>
          <w:tcPr>
            <w:tcW w:w="1842" w:type="dxa"/>
            <w:vAlign w:val="center"/>
          </w:tcPr>
          <w:p w14:paraId="78178307"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Проектная мощность 69 тыс. т/г</w:t>
            </w:r>
          </w:p>
        </w:tc>
        <w:tc>
          <w:tcPr>
            <w:tcW w:w="1843" w:type="dxa"/>
            <w:vAlign w:val="center"/>
          </w:tcPr>
          <w:p w14:paraId="390AAD69"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ГО «город-курорт Кисловодск», г. Кисловодск, ул. Промышленная, 14</w:t>
            </w:r>
          </w:p>
        </w:tc>
        <w:tc>
          <w:tcPr>
            <w:tcW w:w="1134" w:type="dxa"/>
            <w:vAlign w:val="center"/>
          </w:tcPr>
          <w:p w14:paraId="69AB7760"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Первая очередь</w:t>
            </w:r>
          </w:p>
        </w:tc>
        <w:tc>
          <w:tcPr>
            <w:tcW w:w="1559" w:type="dxa"/>
            <w:vAlign w:val="center"/>
          </w:tcPr>
          <w:p w14:paraId="720F7CBB"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Р</w:t>
            </w:r>
          </w:p>
        </w:tc>
        <w:tc>
          <w:tcPr>
            <w:tcW w:w="1560" w:type="dxa"/>
            <w:vAlign w:val="center"/>
          </w:tcPr>
          <w:p w14:paraId="5731107D"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Санитарно-защитная зона</w:t>
            </w:r>
          </w:p>
        </w:tc>
        <w:tc>
          <w:tcPr>
            <w:tcW w:w="2835" w:type="dxa"/>
            <w:vAlign w:val="center"/>
          </w:tcPr>
          <w:p w14:paraId="10525D4F"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Схема территориального планирования Ставропольского края, утв. Постановлением Правительства Ставропольского края от 5.04.2011 № 116-п (с изм. 4.04.2023)</w:t>
            </w:r>
          </w:p>
        </w:tc>
      </w:tr>
      <w:tr w:rsidR="00171AA8" w:rsidRPr="00731FE2" w14:paraId="1D0A005C" w14:textId="77777777" w:rsidTr="00FC1D9B">
        <w:trPr>
          <w:trHeight w:val="184"/>
        </w:trPr>
        <w:tc>
          <w:tcPr>
            <w:tcW w:w="14596" w:type="dxa"/>
            <w:gridSpan w:val="9"/>
            <w:vAlign w:val="center"/>
          </w:tcPr>
          <w:p w14:paraId="1CDE73B7"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eastAsia="Times New Roman" w:hAnsi="Times New Roman" w:cs="Times New Roman"/>
                <w:b/>
                <w:bCs/>
                <w:color w:val="000000"/>
                <w:sz w:val="20"/>
                <w:szCs w:val="20"/>
              </w:rPr>
            </w:pPr>
            <w:r w:rsidRPr="00731FE2">
              <w:rPr>
                <w:rFonts w:ascii="Times New Roman" w:eastAsia="Times New Roman" w:hAnsi="Times New Roman" w:cs="Times New Roman"/>
                <w:b/>
                <w:bCs/>
                <w:color w:val="000000"/>
                <w:sz w:val="20"/>
                <w:szCs w:val="20"/>
              </w:rPr>
              <w:t>Особые экономические зоны</w:t>
            </w:r>
          </w:p>
        </w:tc>
      </w:tr>
      <w:tr w:rsidR="00171AA8" w:rsidRPr="00731FE2" w14:paraId="59647168" w14:textId="77777777" w:rsidTr="00357DCA">
        <w:trPr>
          <w:trHeight w:val="2835"/>
        </w:trPr>
        <w:tc>
          <w:tcPr>
            <w:tcW w:w="352" w:type="dxa"/>
            <w:vAlign w:val="center"/>
          </w:tcPr>
          <w:p w14:paraId="23BC8AD6" w14:textId="77777777" w:rsidR="00171AA8" w:rsidRPr="00731FE2" w:rsidRDefault="00171AA8" w:rsidP="007832E7">
            <w:pPr>
              <w:pStyle w:val="a3"/>
              <w:numPr>
                <w:ilvl w:val="0"/>
                <w:numId w:val="53"/>
              </w:numPr>
              <w:pBdr>
                <w:top w:val="none" w:sz="4" w:space="0" w:color="000000"/>
                <w:left w:val="none" w:sz="4" w:space="0" w:color="000000"/>
                <w:bottom w:val="none" w:sz="4" w:space="0" w:color="000000"/>
                <w:right w:val="none" w:sz="4" w:space="0" w:color="000000"/>
              </w:pBdr>
              <w:spacing w:line="62" w:lineRule="atLeast"/>
              <w:ind w:left="0" w:firstLine="0"/>
              <w:rPr>
                <w:rFonts w:ascii="Times New Roman" w:eastAsia="Times New Roman" w:hAnsi="Times New Roman" w:cs="Times New Roman"/>
                <w:color w:val="000000"/>
                <w:sz w:val="20"/>
                <w:szCs w:val="20"/>
              </w:rPr>
            </w:pPr>
          </w:p>
        </w:tc>
        <w:tc>
          <w:tcPr>
            <w:tcW w:w="999" w:type="dxa"/>
            <w:vAlign w:val="center"/>
          </w:tcPr>
          <w:p w14:paraId="1326FD2D"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Рост инвестиционной привлекательности, создание условий для развития туристско-рекреационного потенциала региона Кавказских Минеральных вод</w:t>
            </w:r>
          </w:p>
        </w:tc>
        <w:tc>
          <w:tcPr>
            <w:tcW w:w="2472" w:type="dxa"/>
            <w:vAlign w:val="center"/>
          </w:tcPr>
          <w:p w14:paraId="59CB5B1F"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Особая экономическая зона туристско-рекреационного типа (ОЭЗ ТРТ)</w:t>
            </w:r>
          </w:p>
        </w:tc>
        <w:tc>
          <w:tcPr>
            <w:tcW w:w="1842" w:type="dxa"/>
            <w:vAlign w:val="center"/>
          </w:tcPr>
          <w:p w14:paraId="6973A1CE"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Площадь до 300 га</w:t>
            </w:r>
          </w:p>
        </w:tc>
        <w:tc>
          <w:tcPr>
            <w:tcW w:w="1843" w:type="dxa"/>
            <w:vAlign w:val="center"/>
          </w:tcPr>
          <w:p w14:paraId="14134B1C"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Городской округ город-курорт Кисловодск</w:t>
            </w:r>
          </w:p>
        </w:tc>
        <w:tc>
          <w:tcPr>
            <w:tcW w:w="1134" w:type="dxa"/>
            <w:vAlign w:val="center"/>
          </w:tcPr>
          <w:p w14:paraId="43351A88"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Первая очередь</w:t>
            </w:r>
          </w:p>
        </w:tc>
        <w:tc>
          <w:tcPr>
            <w:tcW w:w="1559" w:type="dxa"/>
            <w:vAlign w:val="center"/>
          </w:tcPr>
          <w:p w14:paraId="6747B76F" w14:textId="77777777" w:rsidR="00171AA8" w:rsidRPr="00731FE2" w:rsidRDefault="007935AB" w:rsidP="005E5139">
            <w:pPr>
              <w:pBdr>
                <w:top w:val="none" w:sz="4" w:space="0" w:color="000000"/>
                <w:left w:val="none" w:sz="4" w:space="0" w:color="000000"/>
                <w:bottom w:val="none" w:sz="4" w:space="0" w:color="000000"/>
                <w:right w:val="none" w:sz="4" w:space="0" w:color="000000"/>
              </w:pBdr>
              <w:spacing w:line="62" w:lineRule="atLeast"/>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П</w:t>
            </w:r>
          </w:p>
        </w:tc>
        <w:tc>
          <w:tcPr>
            <w:tcW w:w="1560" w:type="dxa"/>
            <w:vAlign w:val="center"/>
          </w:tcPr>
          <w:p w14:paraId="455509F8"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w:t>
            </w:r>
          </w:p>
        </w:tc>
        <w:tc>
          <w:tcPr>
            <w:tcW w:w="2835" w:type="dxa"/>
            <w:vAlign w:val="center"/>
          </w:tcPr>
          <w:p w14:paraId="6A6C5777"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Схема территориального планирования Ставропольского края, утв. Постановлением Правительства Ставропольского края от 5.04.2011 № 116-п (с изм. 4.04.2023)</w:t>
            </w:r>
          </w:p>
        </w:tc>
      </w:tr>
      <w:tr w:rsidR="00171AA8" w:rsidRPr="00731FE2" w14:paraId="5417279B" w14:textId="77777777" w:rsidTr="00FC1D9B">
        <w:trPr>
          <w:trHeight w:val="184"/>
        </w:trPr>
        <w:tc>
          <w:tcPr>
            <w:tcW w:w="14596" w:type="dxa"/>
            <w:gridSpan w:val="9"/>
            <w:vAlign w:val="center"/>
          </w:tcPr>
          <w:p w14:paraId="7D5F8250"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b/>
                <w:bCs/>
                <w:color w:val="000000"/>
                <w:sz w:val="20"/>
                <w:szCs w:val="20"/>
              </w:rPr>
              <w:t>Инвестиционные площадки</w:t>
            </w:r>
          </w:p>
        </w:tc>
      </w:tr>
      <w:tr w:rsidR="00171AA8" w:rsidRPr="00731FE2" w14:paraId="16CA7066" w14:textId="77777777" w:rsidTr="00357DCA">
        <w:trPr>
          <w:trHeight w:val="184"/>
        </w:trPr>
        <w:tc>
          <w:tcPr>
            <w:tcW w:w="352" w:type="dxa"/>
            <w:vAlign w:val="center"/>
          </w:tcPr>
          <w:p w14:paraId="1757388F" w14:textId="77777777" w:rsidR="00171AA8" w:rsidRPr="00731FE2" w:rsidRDefault="00171AA8" w:rsidP="007832E7">
            <w:pPr>
              <w:pStyle w:val="a3"/>
              <w:numPr>
                <w:ilvl w:val="0"/>
                <w:numId w:val="53"/>
              </w:numPr>
              <w:pBdr>
                <w:top w:val="none" w:sz="4" w:space="0" w:color="000000"/>
                <w:left w:val="none" w:sz="4" w:space="0" w:color="000000"/>
                <w:bottom w:val="none" w:sz="4" w:space="0" w:color="000000"/>
                <w:right w:val="none" w:sz="4" w:space="0" w:color="000000"/>
              </w:pBdr>
              <w:spacing w:line="62" w:lineRule="atLeast"/>
              <w:ind w:left="0" w:firstLine="0"/>
              <w:rPr>
                <w:rFonts w:ascii="Times New Roman" w:eastAsia="Times New Roman" w:hAnsi="Times New Roman" w:cs="Times New Roman"/>
                <w:color w:val="000000"/>
                <w:sz w:val="20"/>
                <w:szCs w:val="20"/>
              </w:rPr>
            </w:pPr>
          </w:p>
        </w:tc>
        <w:tc>
          <w:tcPr>
            <w:tcW w:w="999" w:type="dxa"/>
            <w:vAlign w:val="center"/>
          </w:tcPr>
          <w:p w14:paraId="082171DC"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Инвестиционная площадка</w:t>
            </w:r>
          </w:p>
        </w:tc>
        <w:tc>
          <w:tcPr>
            <w:tcW w:w="2472" w:type="dxa"/>
            <w:vAlign w:val="center"/>
          </w:tcPr>
          <w:p w14:paraId="0619C956" w14:textId="5936F35D"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Строительство и реконструкция объекта культурного наследия регионального значения</w:t>
            </w:r>
            <w:r w:rsidR="00A90F57" w:rsidRPr="00731FE2">
              <w:rPr>
                <w:rFonts w:ascii="Times New Roman" w:eastAsia="Times New Roman" w:hAnsi="Times New Roman" w:cs="Times New Roman"/>
                <w:color w:val="000000"/>
                <w:sz w:val="20"/>
                <w:szCs w:val="20"/>
              </w:rPr>
              <w:t xml:space="preserve"> «здания кинотеатра «Россия»</w:t>
            </w:r>
          </w:p>
        </w:tc>
        <w:tc>
          <w:tcPr>
            <w:tcW w:w="1842" w:type="dxa"/>
            <w:vAlign w:val="center"/>
          </w:tcPr>
          <w:p w14:paraId="264D9580"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Размер площадки 14000 м</w:t>
            </w:r>
            <w:r w:rsidRPr="00731FE2">
              <w:rPr>
                <w:rFonts w:ascii="Times New Roman" w:eastAsia="Times New Roman" w:hAnsi="Times New Roman" w:cs="Times New Roman"/>
                <w:color w:val="000000"/>
                <w:sz w:val="20"/>
                <w:szCs w:val="20"/>
                <w:vertAlign w:val="superscript"/>
              </w:rPr>
              <w:t>2</w:t>
            </w:r>
          </w:p>
        </w:tc>
        <w:tc>
          <w:tcPr>
            <w:tcW w:w="1843" w:type="dxa"/>
            <w:vAlign w:val="center"/>
          </w:tcPr>
          <w:p w14:paraId="096D1E41" w14:textId="77777777" w:rsidR="00171AA8" w:rsidRPr="00731FE2" w:rsidRDefault="007935AB">
            <w:pPr>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ГО «город-курорт Кисловодск»</w:t>
            </w:r>
          </w:p>
        </w:tc>
        <w:tc>
          <w:tcPr>
            <w:tcW w:w="1134" w:type="dxa"/>
            <w:vAlign w:val="center"/>
          </w:tcPr>
          <w:p w14:paraId="3A2E536B"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Первая очередь</w:t>
            </w:r>
          </w:p>
        </w:tc>
        <w:tc>
          <w:tcPr>
            <w:tcW w:w="1559" w:type="dxa"/>
            <w:vAlign w:val="center"/>
          </w:tcPr>
          <w:p w14:paraId="1E43055E"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П</w:t>
            </w:r>
          </w:p>
        </w:tc>
        <w:tc>
          <w:tcPr>
            <w:tcW w:w="1560" w:type="dxa"/>
            <w:vAlign w:val="center"/>
          </w:tcPr>
          <w:p w14:paraId="0C31A44B"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w:t>
            </w:r>
          </w:p>
        </w:tc>
        <w:tc>
          <w:tcPr>
            <w:tcW w:w="2835" w:type="dxa"/>
            <w:vAlign w:val="center"/>
          </w:tcPr>
          <w:p w14:paraId="67788D1D"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Схема территориального планирования Ставропольского края, утв. Постановлением Правительства Ставропольского края от 5.04.2011 № 116-п (с изм. 4.04.2023)</w:t>
            </w:r>
          </w:p>
        </w:tc>
      </w:tr>
      <w:tr w:rsidR="00171AA8" w:rsidRPr="00731FE2" w14:paraId="7D05C09F" w14:textId="77777777" w:rsidTr="00357DCA">
        <w:trPr>
          <w:trHeight w:val="1308"/>
        </w:trPr>
        <w:tc>
          <w:tcPr>
            <w:tcW w:w="352" w:type="dxa"/>
            <w:vAlign w:val="center"/>
          </w:tcPr>
          <w:p w14:paraId="6F46AAE1" w14:textId="77777777" w:rsidR="00171AA8" w:rsidRPr="00731FE2" w:rsidRDefault="00171AA8" w:rsidP="007832E7">
            <w:pPr>
              <w:pStyle w:val="a3"/>
              <w:numPr>
                <w:ilvl w:val="0"/>
                <w:numId w:val="53"/>
              </w:numPr>
              <w:pBdr>
                <w:top w:val="none" w:sz="4" w:space="0" w:color="000000"/>
                <w:left w:val="none" w:sz="4" w:space="0" w:color="000000"/>
                <w:bottom w:val="none" w:sz="4" w:space="0" w:color="000000"/>
                <w:right w:val="none" w:sz="4" w:space="0" w:color="000000"/>
              </w:pBdr>
              <w:spacing w:line="62" w:lineRule="atLeast"/>
              <w:ind w:left="0" w:firstLine="0"/>
              <w:rPr>
                <w:rFonts w:ascii="Times New Roman" w:eastAsia="Times New Roman" w:hAnsi="Times New Roman" w:cs="Times New Roman"/>
                <w:color w:val="000000"/>
                <w:sz w:val="20"/>
                <w:szCs w:val="20"/>
              </w:rPr>
            </w:pPr>
          </w:p>
        </w:tc>
        <w:tc>
          <w:tcPr>
            <w:tcW w:w="999" w:type="dxa"/>
            <w:vAlign w:val="center"/>
          </w:tcPr>
          <w:p w14:paraId="051671ED" w14:textId="77777777" w:rsidR="00171AA8" w:rsidRPr="00731FE2" w:rsidRDefault="007935AB">
            <w:pPr>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Инвестиционная площадка</w:t>
            </w:r>
          </w:p>
        </w:tc>
        <w:tc>
          <w:tcPr>
            <w:tcW w:w="2472" w:type="dxa"/>
            <w:vAlign w:val="center"/>
          </w:tcPr>
          <w:p w14:paraId="491D520F"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Строительство здания плавательного бассейна на территории национального парка «Кисловодский»</w:t>
            </w:r>
          </w:p>
        </w:tc>
        <w:tc>
          <w:tcPr>
            <w:tcW w:w="1842" w:type="dxa"/>
            <w:vAlign w:val="center"/>
          </w:tcPr>
          <w:p w14:paraId="04E1F5CD" w14:textId="04C7E440" w:rsidR="00171AA8" w:rsidRPr="00731FE2" w:rsidRDefault="00D6418C">
            <w:pPr>
              <w:pBdr>
                <w:top w:val="none" w:sz="4" w:space="0" w:color="000000"/>
                <w:left w:val="none" w:sz="4" w:space="0" w:color="000000"/>
                <w:bottom w:val="none" w:sz="4" w:space="0" w:color="000000"/>
                <w:right w:val="none" w:sz="4" w:space="0" w:color="000000"/>
              </w:pBdr>
              <w:spacing w:line="62" w:lineRule="atLeast"/>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Размер 50х20 м</w:t>
            </w:r>
          </w:p>
        </w:tc>
        <w:tc>
          <w:tcPr>
            <w:tcW w:w="1843" w:type="dxa"/>
            <w:vAlign w:val="center"/>
          </w:tcPr>
          <w:p w14:paraId="6B9F5F9C" w14:textId="77777777" w:rsidR="00171AA8" w:rsidRPr="00731FE2" w:rsidRDefault="007935AB">
            <w:pPr>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ГО «город-курорт Кисловодск»</w:t>
            </w:r>
          </w:p>
        </w:tc>
        <w:tc>
          <w:tcPr>
            <w:tcW w:w="1134" w:type="dxa"/>
            <w:vAlign w:val="center"/>
          </w:tcPr>
          <w:p w14:paraId="5C23CEF8"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Первая очередь</w:t>
            </w:r>
          </w:p>
        </w:tc>
        <w:tc>
          <w:tcPr>
            <w:tcW w:w="1559" w:type="dxa"/>
            <w:vAlign w:val="center"/>
          </w:tcPr>
          <w:p w14:paraId="64C7DE20"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П</w:t>
            </w:r>
          </w:p>
        </w:tc>
        <w:tc>
          <w:tcPr>
            <w:tcW w:w="1560" w:type="dxa"/>
            <w:vAlign w:val="center"/>
          </w:tcPr>
          <w:p w14:paraId="62A17041" w14:textId="77777777" w:rsidR="00171AA8" w:rsidRPr="00731FE2" w:rsidRDefault="007935AB">
            <w:pP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w:t>
            </w:r>
          </w:p>
        </w:tc>
        <w:tc>
          <w:tcPr>
            <w:tcW w:w="2835" w:type="dxa"/>
            <w:vAlign w:val="center"/>
          </w:tcPr>
          <w:p w14:paraId="665C4667" w14:textId="77777777" w:rsidR="00171AA8" w:rsidRPr="00731FE2" w:rsidRDefault="007935AB">
            <w:pPr>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Схема территориального планирования Ставропольского края, утв. Постановлением Правительства Ставропольского края от 5.04.2011 № 116-п (с изм. 4.04.2023)</w:t>
            </w:r>
          </w:p>
        </w:tc>
      </w:tr>
      <w:tr w:rsidR="00171AA8" w:rsidRPr="00731FE2" w14:paraId="013E0338" w14:textId="77777777" w:rsidTr="00357DCA">
        <w:trPr>
          <w:trHeight w:val="184"/>
        </w:trPr>
        <w:tc>
          <w:tcPr>
            <w:tcW w:w="352" w:type="dxa"/>
            <w:vAlign w:val="center"/>
          </w:tcPr>
          <w:p w14:paraId="60BB807B" w14:textId="77777777" w:rsidR="00171AA8" w:rsidRPr="00731FE2" w:rsidRDefault="00171AA8" w:rsidP="007832E7">
            <w:pPr>
              <w:pStyle w:val="a3"/>
              <w:numPr>
                <w:ilvl w:val="0"/>
                <w:numId w:val="53"/>
              </w:numPr>
              <w:pBdr>
                <w:top w:val="none" w:sz="4" w:space="0" w:color="000000"/>
                <w:left w:val="none" w:sz="4" w:space="0" w:color="000000"/>
                <w:bottom w:val="none" w:sz="4" w:space="0" w:color="000000"/>
                <w:right w:val="none" w:sz="4" w:space="0" w:color="000000"/>
              </w:pBdr>
              <w:spacing w:line="62" w:lineRule="atLeast"/>
              <w:ind w:left="0" w:firstLine="0"/>
              <w:rPr>
                <w:rFonts w:ascii="Times New Roman" w:eastAsia="Times New Roman" w:hAnsi="Times New Roman" w:cs="Times New Roman"/>
                <w:color w:val="000000"/>
                <w:sz w:val="20"/>
                <w:szCs w:val="20"/>
              </w:rPr>
            </w:pPr>
          </w:p>
        </w:tc>
        <w:tc>
          <w:tcPr>
            <w:tcW w:w="999" w:type="dxa"/>
            <w:vAlign w:val="center"/>
          </w:tcPr>
          <w:p w14:paraId="143CDE1B" w14:textId="77777777" w:rsidR="00171AA8" w:rsidRPr="00731FE2" w:rsidRDefault="007935AB">
            <w:pPr>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Инвестиционная площадка</w:t>
            </w:r>
          </w:p>
        </w:tc>
        <w:tc>
          <w:tcPr>
            <w:tcW w:w="2472" w:type="dxa"/>
            <w:vAlign w:val="center"/>
          </w:tcPr>
          <w:p w14:paraId="7E21691A"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Строительство солнечной/ветряной электростанции</w:t>
            </w:r>
          </w:p>
        </w:tc>
        <w:tc>
          <w:tcPr>
            <w:tcW w:w="1842" w:type="dxa"/>
            <w:vAlign w:val="center"/>
          </w:tcPr>
          <w:p w14:paraId="62CA0C98"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Размер площадки 880000 м</w:t>
            </w:r>
            <w:r w:rsidRPr="00731FE2">
              <w:rPr>
                <w:rFonts w:ascii="Times New Roman" w:eastAsia="Times New Roman" w:hAnsi="Times New Roman" w:cs="Times New Roman"/>
                <w:color w:val="000000"/>
                <w:sz w:val="20"/>
                <w:szCs w:val="20"/>
                <w:vertAlign w:val="superscript"/>
              </w:rPr>
              <w:t>2</w:t>
            </w:r>
          </w:p>
        </w:tc>
        <w:tc>
          <w:tcPr>
            <w:tcW w:w="1843" w:type="dxa"/>
            <w:vAlign w:val="center"/>
          </w:tcPr>
          <w:p w14:paraId="7C5210B0" w14:textId="77777777" w:rsidR="00171AA8" w:rsidRPr="00731FE2" w:rsidRDefault="007935AB">
            <w:pPr>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ГО «город-курорт Кисловодск»</w:t>
            </w:r>
          </w:p>
        </w:tc>
        <w:tc>
          <w:tcPr>
            <w:tcW w:w="1134" w:type="dxa"/>
            <w:vAlign w:val="center"/>
          </w:tcPr>
          <w:p w14:paraId="7357183C"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Первая очередь</w:t>
            </w:r>
          </w:p>
        </w:tc>
        <w:tc>
          <w:tcPr>
            <w:tcW w:w="1559" w:type="dxa"/>
            <w:vAlign w:val="center"/>
          </w:tcPr>
          <w:p w14:paraId="6F49B001"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П</w:t>
            </w:r>
          </w:p>
        </w:tc>
        <w:tc>
          <w:tcPr>
            <w:tcW w:w="1560" w:type="dxa"/>
            <w:vAlign w:val="center"/>
          </w:tcPr>
          <w:p w14:paraId="78F1FA17" w14:textId="77777777" w:rsidR="00171AA8" w:rsidRPr="00731FE2" w:rsidRDefault="007935AB">
            <w:pP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w:t>
            </w:r>
          </w:p>
        </w:tc>
        <w:tc>
          <w:tcPr>
            <w:tcW w:w="2835" w:type="dxa"/>
            <w:vAlign w:val="center"/>
          </w:tcPr>
          <w:p w14:paraId="76143B90" w14:textId="77777777" w:rsidR="00171AA8" w:rsidRPr="00731FE2" w:rsidRDefault="007935AB">
            <w:pPr>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 xml:space="preserve">Схема территориального планирования Ставропольского края, утв. Постановлением Правительства </w:t>
            </w:r>
            <w:r w:rsidRPr="00731FE2">
              <w:rPr>
                <w:rFonts w:ascii="Times New Roman" w:eastAsia="Times New Roman" w:hAnsi="Times New Roman" w:cs="Times New Roman"/>
                <w:color w:val="000000"/>
                <w:sz w:val="20"/>
                <w:szCs w:val="20"/>
              </w:rPr>
              <w:lastRenderedPageBreak/>
              <w:t>Ставропольского края от 5.04.2011 № 116-п (с изм. 4.04.2023)</w:t>
            </w:r>
          </w:p>
        </w:tc>
      </w:tr>
      <w:tr w:rsidR="00171AA8" w:rsidRPr="00731FE2" w14:paraId="1235C9AA" w14:textId="77777777" w:rsidTr="00357DCA">
        <w:trPr>
          <w:trHeight w:val="184"/>
        </w:trPr>
        <w:tc>
          <w:tcPr>
            <w:tcW w:w="352" w:type="dxa"/>
            <w:vAlign w:val="center"/>
          </w:tcPr>
          <w:p w14:paraId="430E3138" w14:textId="77777777" w:rsidR="00171AA8" w:rsidRPr="00731FE2" w:rsidRDefault="00171AA8" w:rsidP="007832E7">
            <w:pPr>
              <w:pStyle w:val="a3"/>
              <w:numPr>
                <w:ilvl w:val="0"/>
                <w:numId w:val="53"/>
              </w:numPr>
              <w:pBdr>
                <w:top w:val="none" w:sz="4" w:space="0" w:color="000000"/>
                <w:left w:val="none" w:sz="4" w:space="0" w:color="000000"/>
                <w:bottom w:val="none" w:sz="4" w:space="0" w:color="000000"/>
                <w:right w:val="none" w:sz="4" w:space="0" w:color="000000"/>
              </w:pBdr>
              <w:spacing w:line="62" w:lineRule="atLeast"/>
              <w:ind w:left="0" w:firstLine="0"/>
              <w:rPr>
                <w:rFonts w:ascii="Times New Roman" w:eastAsia="Times New Roman" w:hAnsi="Times New Roman" w:cs="Times New Roman"/>
                <w:color w:val="000000"/>
                <w:sz w:val="20"/>
                <w:szCs w:val="20"/>
              </w:rPr>
            </w:pPr>
          </w:p>
        </w:tc>
        <w:tc>
          <w:tcPr>
            <w:tcW w:w="999" w:type="dxa"/>
            <w:vAlign w:val="center"/>
          </w:tcPr>
          <w:p w14:paraId="1282FBD4" w14:textId="77777777" w:rsidR="00171AA8" w:rsidRPr="00731FE2" w:rsidRDefault="007935AB">
            <w:pPr>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Инвестиционная площадка</w:t>
            </w:r>
          </w:p>
        </w:tc>
        <w:tc>
          <w:tcPr>
            <w:tcW w:w="2472" w:type="dxa"/>
            <w:vAlign w:val="center"/>
          </w:tcPr>
          <w:p w14:paraId="4603A1B9"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Строительство спа курорта «Старое озеро»</w:t>
            </w:r>
          </w:p>
        </w:tc>
        <w:tc>
          <w:tcPr>
            <w:tcW w:w="1842" w:type="dxa"/>
            <w:vAlign w:val="center"/>
          </w:tcPr>
          <w:p w14:paraId="14600868"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Размер площадки 300000 м</w:t>
            </w:r>
            <w:r w:rsidRPr="00731FE2">
              <w:rPr>
                <w:rFonts w:ascii="Times New Roman" w:eastAsia="Times New Roman" w:hAnsi="Times New Roman" w:cs="Times New Roman"/>
                <w:color w:val="000000"/>
                <w:sz w:val="20"/>
                <w:szCs w:val="20"/>
                <w:vertAlign w:val="superscript"/>
              </w:rPr>
              <w:t>2</w:t>
            </w:r>
          </w:p>
        </w:tc>
        <w:tc>
          <w:tcPr>
            <w:tcW w:w="1843" w:type="dxa"/>
            <w:vAlign w:val="center"/>
          </w:tcPr>
          <w:p w14:paraId="432F3B39" w14:textId="77777777" w:rsidR="00171AA8" w:rsidRPr="00731FE2" w:rsidRDefault="007935AB">
            <w:pPr>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ГО «город-курорт Кисловодск»</w:t>
            </w:r>
          </w:p>
        </w:tc>
        <w:tc>
          <w:tcPr>
            <w:tcW w:w="1134" w:type="dxa"/>
            <w:vAlign w:val="center"/>
          </w:tcPr>
          <w:p w14:paraId="05FFD174"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Первая очередь</w:t>
            </w:r>
          </w:p>
        </w:tc>
        <w:tc>
          <w:tcPr>
            <w:tcW w:w="1559" w:type="dxa"/>
            <w:vAlign w:val="center"/>
          </w:tcPr>
          <w:p w14:paraId="4212F727"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П</w:t>
            </w:r>
          </w:p>
        </w:tc>
        <w:tc>
          <w:tcPr>
            <w:tcW w:w="1560" w:type="dxa"/>
            <w:vAlign w:val="center"/>
          </w:tcPr>
          <w:p w14:paraId="6CA06CDB" w14:textId="77777777" w:rsidR="00171AA8" w:rsidRPr="00731FE2" w:rsidRDefault="007935AB">
            <w:pP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w:t>
            </w:r>
          </w:p>
        </w:tc>
        <w:tc>
          <w:tcPr>
            <w:tcW w:w="2835" w:type="dxa"/>
            <w:vAlign w:val="center"/>
          </w:tcPr>
          <w:p w14:paraId="617CF7A8" w14:textId="77777777" w:rsidR="00171AA8" w:rsidRPr="00731FE2" w:rsidRDefault="007935AB">
            <w:pPr>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Схема территориального планирования Ставропольского края, утв. Постановлением Правительства Ставропольского края от 5.04.2011 № 116-п (с изм. 4.04.2023)</w:t>
            </w:r>
          </w:p>
        </w:tc>
      </w:tr>
      <w:tr w:rsidR="00171AA8" w:rsidRPr="00731FE2" w14:paraId="6D332328" w14:textId="77777777" w:rsidTr="00357DCA">
        <w:trPr>
          <w:trHeight w:val="184"/>
        </w:trPr>
        <w:tc>
          <w:tcPr>
            <w:tcW w:w="352" w:type="dxa"/>
            <w:vAlign w:val="center"/>
          </w:tcPr>
          <w:p w14:paraId="34864C3C" w14:textId="77777777" w:rsidR="00171AA8" w:rsidRPr="00731FE2" w:rsidRDefault="00171AA8" w:rsidP="007832E7">
            <w:pPr>
              <w:pStyle w:val="a3"/>
              <w:numPr>
                <w:ilvl w:val="0"/>
                <w:numId w:val="53"/>
              </w:numPr>
              <w:pBdr>
                <w:top w:val="none" w:sz="4" w:space="0" w:color="000000"/>
                <w:left w:val="none" w:sz="4" w:space="0" w:color="000000"/>
                <w:bottom w:val="none" w:sz="4" w:space="0" w:color="000000"/>
                <w:right w:val="none" w:sz="4" w:space="0" w:color="000000"/>
              </w:pBdr>
              <w:spacing w:line="62" w:lineRule="atLeast"/>
              <w:ind w:left="0" w:firstLine="0"/>
              <w:rPr>
                <w:rFonts w:ascii="Times New Roman" w:eastAsia="Times New Roman" w:hAnsi="Times New Roman" w:cs="Times New Roman"/>
                <w:color w:val="000000"/>
                <w:sz w:val="20"/>
                <w:szCs w:val="20"/>
              </w:rPr>
            </w:pPr>
          </w:p>
        </w:tc>
        <w:tc>
          <w:tcPr>
            <w:tcW w:w="999" w:type="dxa"/>
            <w:vAlign w:val="center"/>
          </w:tcPr>
          <w:p w14:paraId="1F276C98" w14:textId="77777777" w:rsidR="00171AA8" w:rsidRPr="00731FE2" w:rsidRDefault="007935AB">
            <w:pPr>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Инвестиционная площадка</w:t>
            </w:r>
          </w:p>
        </w:tc>
        <w:tc>
          <w:tcPr>
            <w:tcW w:w="2472" w:type="dxa"/>
            <w:vAlign w:val="center"/>
          </w:tcPr>
          <w:p w14:paraId="467DD20B"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Строительство парка аттракционов на территории городского парка культуры и отдыха (Комсомольского парка)</w:t>
            </w:r>
          </w:p>
        </w:tc>
        <w:tc>
          <w:tcPr>
            <w:tcW w:w="1842" w:type="dxa"/>
            <w:vAlign w:val="center"/>
          </w:tcPr>
          <w:p w14:paraId="63EFCD21"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Размер площадки 63500 м</w:t>
            </w:r>
            <w:r w:rsidRPr="00731FE2">
              <w:rPr>
                <w:rFonts w:ascii="Times New Roman" w:eastAsia="Times New Roman" w:hAnsi="Times New Roman" w:cs="Times New Roman"/>
                <w:color w:val="000000"/>
                <w:sz w:val="20"/>
                <w:szCs w:val="20"/>
                <w:vertAlign w:val="superscript"/>
              </w:rPr>
              <w:t>2</w:t>
            </w:r>
          </w:p>
        </w:tc>
        <w:tc>
          <w:tcPr>
            <w:tcW w:w="1843" w:type="dxa"/>
            <w:vAlign w:val="center"/>
          </w:tcPr>
          <w:p w14:paraId="019D62BA" w14:textId="18251842" w:rsidR="00171AA8" w:rsidRPr="00731FE2" w:rsidRDefault="007935AB">
            <w:pPr>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ГО «город-курорт Кисловодск»</w:t>
            </w:r>
            <w:r w:rsidR="00D6418C" w:rsidRPr="00731FE2">
              <w:rPr>
                <w:rFonts w:ascii="Times New Roman" w:eastAsia="Times New Roman" w:hAnsi="Times New Roman" w:cs="Times New Roman"/>
                <w:color w:val="000000"/>
                <w:sz w:val="20"/>
                <w:szCs w:val="20"/>
              </w:rPr>
              <w:t>, Комсомольский парк</w:t>
            </w:r>
          </w:p>
        </w:tc>
        <w:tc>
          <w:tcPr>
            <w:tcW w:w="1134" w:type="dxa"/>
            <w:vAlign w:val="center"/>
          </w:tcPr>
          <w:p w14:paraId="0DE13717"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Первая очередь</w:t>
            </w:r>
          </w:p>
        </w:tc>
        <w:tc>
          <w:tcPr>
            <w:tcW w:w="1559" w:type="dxa"/>
            <w:vAlign w:val="center"/>
          </w:tcPr>
          <w:p w14:paraId="140B25B5"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П</w:t>
            </w:r>
          </w:p>
        </w:tc>
        <w:tc>
          <w:tcPr>
            <w:tcW w:w="1560" w:type="dxa"/>
            <w:vAlign w:val="center"/>
          </w:tcPr>
          <w:p w14:paraId="0AB24026" w14:textId="77777777" w:rsidR="00171AA8" w:rsidRPr="00731FE2" w:rsidRDefault="007935AB">
            <w:pP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w:t>
            </w:r>
          </w:p>
        </w:tc>
        <w:tc>
          <w:tcPr>
            <w:tcW w:w="2835" w:type="dxa"/>
            <w:vAlign w:val="center"/>
          </w:tcPr>
          <w:p w14:paraId="7353B427" w14:textId="77777777" w:rsidR="00171AA8" w:rsidRPr="00731FE2" w:rsidRDefault="007935AB">
            <w:pPr>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Схема территориального планирования Ставропольского края, утв. Постановлением Правительства Ставропольского края от 5.04.2011 № 116-п (с изм. 4.04.2023)</w:t>
            </w:r>
          </w:p>
        </w:tc>
      </w:tr>
      <w:tr w:rsidR="00171AA8" w:rsidRPr="00731FE2" w14:paraId="118554E6" w14:textId="77777777" w:rsidTr="00357DCA">
        <w:trPr>
          <w:trHeight w:val="184"/>
        </w:trPr>
        <w:tc>
          <w:tcPr>
            <w:tcW w:w="352" w:type="dxa"/>
            <w:vAlign w:val="center"/>
          </w:tcPr>
          <w:p w14:paraId="5DD895D0" w14:textId="77777777" w:rsidR="00171AA8" w:rsidRPr="00731FE2" w:rsidRDefault="00171AA8" w:rsidP="007832E7">
            <w:pPr>
              <w:pStyle w:val="a3"/>
              <w:numPr>
                <w:ilvl w:val="0"/>
                <w:numId w:val="53"/>
              </w:numPr>
              <w:pBdr>
                <w:top w:val="none" w:sz="4" w:space="0" w:color="000000"/>
                <w:left w:val="none" w:sz="4" w:space="0" w:color="000000"/>
                <w:bottom w:val="none" w:sz="4" w:space="0" w:color="000000"/>
                <w:right w:val="none" w:sz="4" w:space="0" w:color="000000"/>
              </w:pBdr>
              <w:spacing w:line="62" w:lineRule="atLeast"/>
              <w:ind w:left="0" w:firstLine="0"/>
              <w:rPr>
                <w:rFonts w:ascii="Times New Roman" w:eastAsia="Times New Roman" w:hAnsi="Times New Roman" w:cs="Times New Roman"/>
                <w:color w:val="000000"/>
                <w:sz w:val="20"/>
                <w:szCs w:val="20"/>
              </w:rPr>
            </w:pPr>
          </w:p>
        </w:tc>
        <w:tc>
          <w:tcPr>
            <w:tcW w:w="999" w:type="dxa"/>
            <w:vAlign w:val="center"/>
          </w:tcPr>
          <w:p w14:paraId="58F83623" w14:textId="77777777" w:rsidR="00171AA8" w:rsidRPr="00731FE2" w:rsidRDefault="007935AB">
            <w:pPr>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Инвестиционная площадка</w:t>
            </w:r>
          </w:p>
        </w:tc>
        <w:tc>
          <w:tcPr>
            <w:tcW w:w="2472" w:type="dxa"/>
            <w:vAlign w:val="center"/>
          </w:tcPr>
          <w:p w14:paraId="4541B3EE"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Корпус клиники им. Ленина</w:t>
            </w:r>
          </w:p>
        </w:tc>
        <w:tc>
          <w:tcPr>
            <w:tcW w:w="1842" w:type="dxa"/>
            <w:vAlign w:val="center"/>
          </w:tcPr>
          <w:p w14:paraId="04A09BCA"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Размер площадки 13873 м</w:t>
            </w:r>
            <w:r w:rsidRPr="00731FE2">
              <w:rPr>
                <w:rFonts w:ascii="Times New Roman" w:eastAsia="Times New Roman" w:hAnsi="Times New Roman" w:cs="Times New Roman"/>
                <w:color w:val="000000"/>
                <w:sz w:val="20"/>
                <w:szCs w:val="20"/>
                <w:vertAlign w:val="superscript"/>
              </w:rPr>
              <w:t>2</w:t>
            </w:r>
          </w:p>
        </w:tc>
        <w:tc>
          <w:tcPr>
            <w:tcW w:w="1843" w:type="dxa"/>
            <w:vAlign w:val="center"/>
          </w:tcPr>
          <w:p w14:paraId="20853E32" w14:textId="77777777" w:rsidR="00171AA8" w:rsidRPr="00731FE2" w:rsidRDefault="007935AB">
            <w:pPr>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ГО «город-курорт Кисловодск»</w:t>
            </w:r>
          </w:p>
        </w:tc>
        <w:tc>
          <w:tcPr>
            <w:tcW w:w="1134" w:type="dxa"/>
            <w:vAlign w:val="center"/>
          </w:tcPr>
          <w:p w14:paraId="32AFC547"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Первая очередь</w:t>
            </w:r>
          </w:p>
        </w:tc>
        <w:tc>
          <w:tcPr>
            <w:tcW w:w="1559" w:type="dxa"/>
            <w:vAlign w:val="center"/>
          </w:tcPr>
          <w:p w14:paraId="1C3008B7"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П</w:t>
            </w:r>
          </w:p>
        </w:tc>
        <w:tc>
          <w:tcPr>
            <w:tcW w:w="1560" w:type="dxa"/>
            <w:vAlign w:val="center"/>
          </w:tcPr>
          <w:p w14:paraId="79CB18BD" w14:textId="77777777" w:rsidR="00171AA8" w:rsidRPr="00731FE2" w:rsidRDefault="007935AB">
            <w:pP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w:t>
            </w:r>
          </w:p>
        </w:tc>
        <w:tc>
          <w:tcPr>
            <w:tcW w:w="2835" w:type="dxa"/>
            <w:vAlign w:val="center"/>
          </w:tcPr>
          <w:p w14:paraId="7F80F6B4" w14:textId="77777777" w:rsidR="00171AA8" w:rsidRPr="00731FE2" w:rsidRDefault="007935AB">
            <w:pPr>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Схема территориального планирования Ставропольского края, утв. Постановлением Правительства Ставропольского края от 5.04.2011 № 116-п (с изм. 4.04.2023)</w:t>
            </w:r>
          </w:p>
        </w:tc>
      </w:tr>
      <w:tr w:rsidR="00171AA8" w:rsidRPr="00731FE2" w14:paraId="6FF57457" w14:textId="77777777" w:rsidTr="00357DCA">
        <w:trPr>
          <w:trHeight w:val="184"/>
        </w:trPr>
        <w:tc>
          <w:tcPr>
            <w:tcW w:w="352" w:type="dxa"/>
            <w:vAlign w:val="center"/>
          </w:tcPr>
          <w:p w14:paraId="4316B89F" w14:textId="77777777" w:rsidR="00171AA8" w:rsidRPr="00731FE2" w:rsidRDefault="00171AA8" w:rsidP="007832E7">
            <w:pPr>
              <w:pStyle w:val="a3"/>
              <w:numPr>
                <w:ilvl w:val="0"/>
                <w:numId w:val="53"/>
              </w:numPr>
              <w:pBdr>
                <w:top w:val="none" w:sz="4" w:space="0" w:color="000000"/>
                <w:left w:val="none" w:sz="4" w:space="0" w:color="000000"/>
                <w:bottom w:val="none" w:sz="4" w:space="0" w:color="000000"/>
                <w:right w:val="none" w:sz="4" w:space="0" w:color="000000"/>
              </w:pBdr>
              <w:spacing w:line="62" w:lineRule="atLeast"/>
              <w:ind w:left="0" w:firstLine="0"/>
              <w:rPr>
                <w:rFonts w:ascii="Times New Roman" w:eastAsia="Times New Roman" w:hAnsi="Times New Roman" w:cs="Times New Roman"/>
                <w:color w:val="000000"/>
                <w:sz w:val="20"/>
                <w:szCs w:val="20"/>
              </w:rPr>
            </w:pPr>
          </w:p>
        </w:tc>
        <w:tc>
          <w:tcPr>
            <w:tcW w:w="999" w:type="dxa"/>
            <w:vAlign w:val="center"/>
          </w:tcPr>
          <w:p w14:paraId="59B58706" w14:textId="77777777" w:rsidR="00171AA8" w:rsidRPr="00731FE2" w:rsidRDefault="007935AB">
            <w:pPr>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Инвестиционная площадка</w:t>
            </w:r>
          </w:p>
        </w:tc>
        <w:tc>
          <w:tcPr>
            <w:tcW w:w="2472" w:type="dxa"/>
            <w:vAlign w:val="center"/>
          </w:tcPr>
          <w:p w14:paraId="2409D429"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Корпус санатория «Джинал»</w:t>
            </w:r>
          </w:p>
        </w:tc>
        <w:tc>
          <w:tcPr>
            <w:tcW w:w="1842" w:type="dxa"/>
            <w:vAlign w:val="center"/>
          </w:tcPr>
          <w:p w14:paraId="281D00B6"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Размер площадки 83117 м</w:t>
            </w:r>
            <w:r w:rsidRPr="00731FE2">
              <w:rPr>
                <w:rFonts w:ascii="Times New Roman" w:eastAsia="Times New Roman" w:hAnsi="Times New Roman" w:cs="Times New Roman"/>
                <w:color w:val="000000"/>
                <w:sz w:val="20"/>
                <w:szCs w:val="20"/>
                <w:vertAlign w:val="superscript"/>
              </w:rPr>
              <w:t>2</w:t>
            </w:r>
          </w:p>
        </w:tc>
        <w:tc>
          <w:tcPr>
            <w:tcW w:w="1843" w:type="dxa"/>
            <w:vAlign w:val="center"/>
          </w:tcPr>
          <w:p w14:paraId="7BB11B75" w14:textId="77777777" w:rsidR="00171AA8" w:rsidRPr="00731FE2" w:rsidRDefault="007935AB">
            <w:pPr>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ГО «город-курорт Кисловодск»</w:t>
            </w:r>
          </w:p>
        </w:tc>
        <w:tc>
          <w:tcPr>
            <w:tcW w:w="1134" w:type="dxa"/>
            <w:vAlign w:val="center"/>
          </w:tcPr>
          <w:p w14:paraId="5477536F"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Первая очередь</w:t>
            </w:r>
          </w:p>
        </w:tc>
        <w:tc>
          <w:tcPr>
            <w:tcW w:w="1559" w:type="dxa"/>
            <w:vAlign w:val="center"/>
          </w:tcPr>
          <w:p w14:paraId="00C8B3F4"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П</w:t>
            </w:r>
          </w:p>
        </w:tc>
        <w:tc>
          <w:tcPr>
            <w:tcW w:w="1560" w:type="dxa"/>
            <w:vAlign w:val="center"/>
          </w:tcPr>
          <w:p w14:paraId="2EAC36F6" w14:textId="77777777" w:rsidR="00171AA8" w:rsidRPr="00731FE2" w:rsidRDefault="007935AB">
            <w:pP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w:t>
            </w:r>
          </w:p>
        </w:tc>
        <w:tc>
          <w:tcPr>
            <w:tcW w:w="2835" w:type="dxa"/>
            <w:vAlign w:val="center"/>
          </w:tcPr>
          <w:p w14:paraId="1FC5525D" w14:textId="77777777" w:rsidR="00171AA8" w:rsidRPr="00731FE2" w:rsidRDefault="007935AB">
            <w:pPr>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Схема территориального планирования Ставропольского края, утв. Постановлением Правительства Ставропольского края от 5.04.2011 № 116-п (с изм. 4.04.2023)</w:t>
            </w:r>
          </w:p>
        </w:tc>
      </w:tr>
      <w:tr w:rsidR="00171AA8" w:rsidRPr="00731FE2" w14:paraId="6FD5623D" w14:textId="77777777" w:rsidTr="00357DCA">
        <w:trPr>
          <w:trHeight w:val="184"/>
        </w:trPr>
        <w:tc>
          <w:tcPr>
            <w:tcW w:w="352" w:type="dxa"/>
            <w:vAlign w:val="center"/>
          </w:tcPr>
          <w:p w14:paraId="367D18CB" w14:textId="77777777" w:rsidR="00171AA8" w:rsidRPr="00731FE2" w:rsidRDefault="00171AA8" w:rsidP="007832E7">
            <w:pPr>
              <w:pStyle w:val="a3"/>
              <w:numPr>
                <w:ilvl w:val="0"/>
                <w:numId w:val="53"/>
              </w:numPr>
              <w:pBdr>
                <w:top w:val="none" w:sz="4" w:space="0" w:color="000000"/>
                <w:left w:val="none" w:sz="4" w:space="0" w:color="000000"/>
                <w:bottom w:val="none" w:sz="4" w:space="0" w:color="000000"/>
                <w:right w:val="none" w:sz="4" w:space="0" w:color="000000"/>
              </w:pBdr>
              <w:spacing w:line="62" w:lineRule="atLeast"/>
              <w:ind w:left="0" w:firstLine="0"/>
              <w:rPr>
                <w:rFonts w:ascii="Times New Roman" w:eastAsia="Times New Roman" w:hAnsi="Times New Roman" w:cs="Times New Roman"/>
                <w:color w:val="000000"/>
                <w:sz w:val="20"/>
                <w:szCs w:val="20"/>
              </w:rPr>
            </w:pPr>
          </w:p>
        </w:tc>
        <w:tc>
          <w:tcPr>
            <w:tcW w:w="999" w:type="dxa"/>
            <w:vAlign w:val="center"/>
          </w:tcPr>
          <w:p w14:paraId="782CE442" w14:textId="77777777" w:rsidR="00171AA8" w:rsidRPr="00731FE2" w:rsidRDefault="007935AB">
            <w:pPr>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Инвестиционная площадка</w:t>
            </w:r>
          </w:p>
        </w:tc>
        <w:tc>
          <w:tcPr>
            <w:tcW w:w="2472" w:type="dxa"/>
            <w:vAlign w:val="center"/>
          </w:tcPr>
          <w:p w14:paraId="6D3DA0E0"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Санаторий «Сосновая роща»</w:t>
            </w:r>
          </w:p>
        </w:tc>
        <w:tc>
          <w:tcPr>
            <w:tcW w:w="1842" w:type="dxa"/>
            <w:vAlign w:val="center"/>
          </w:tcPr>
          <w:p w14:paraId="7051969A"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Размер площадки 16349 м</w:t>
            </w:r>
            <w:r w:rsidRPr="00731FE2">
              <w:rPr>
                <w:rFonts w:ascii="Times New Roman" w:eastAsia="Times New Roman" w:hAnsi="Times New Roman" w:cs="Times New Roman"/>
                <w:color w:val="000000"/>
                <w:sz w:val="20"/>
                <w:szCs w:val="20"/>
                <w:vertAlign w:val="superscript"/>
              </w:rPr>
              <w:t>2</w:t>
            </w:r>
          </w:p>
        </w:tc>
        <w:tc>
          <w:tcPr>
            <w:tcW w:w="1843" w:type="dxa"/>
            <w:vAlign w:val="center"/>
          </w:tcPr>
          <w:p w14:paraId="050B7B13" w14:textId="77777777" w:rsidR="00171AA8" w:rsidRPr="00731FE2" w:rsidRDefault="007935AB">
            <w:pPr>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ГО «город-курорт Кисловодск»</w:t>
            </w:r>
          </w:p>
        </w:tc>
        <w:tc>
          <w:tcPr>
            <w:tcW w:w="1134" w:type="dxa"/>
            <w:vAlign w:val="center"/>
          </w:tcPr>
          <w:p w14:paraId="247D3563"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Первая очередь</w:t>
            </w:r>
          </w:p>
        </w:tc>
        <w:tc>
          <w:tcPr>
            <w:tcW w:w="1559" w:type="dxa"/>
            <w:vAlign w:val="center"/>
          </w:tcPr>
          <w:p w14:paraId="7275D441"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П</w:t>
            </w:r>
          </w:p>
        </w:tc>
        <w:tc>
          <w:tcPr>
            <w:tcW w:w="1560" w:type="dxa"/>
            <w:vAlign w:val="center"/>
          </w:tcPr>
          <w:p w14:paraId="2D5CB1C8" w14:textId="77777777" w:rsidR="00171AA8" w:rsidRPr="00731FE2" w:rsidRDefault="007935AB">
            <w:pP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w:t>
            </w:r>
          </w:p>
        </w:tc>
        <w:tc>
          <w:tcPr>
            <w:tcW w:w="2835" w:type="dxa"/>
            <w:vAlign w:val="center"/>
          </w:tcPr>
          <w:p w14:paraId="581D1C59" w14:textId="77777777" w:rsidR="00171AA8" w:rsidRPr="00731FE2" w:rsidRDefault="007935AB">
            <w:pPr>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Схема территориального планирования Ставропольского края, утв. Постановлением Правительства Ставропольского края от 5.04.2011 № 116-п (с изм. 4.04.2023)</w:t>
            </w:r>
          </w:p>
        </w:tc>
      </w:tr>
      <w:tr w:rsidR="00171AA8" w:rsidRPr="00731FE2" w14:paraId="6F5FEC2D" w14:textId="77777777" w:rsidTr="00357DCA">
        <w:trPr>
          <w:trHeight w:val="184"/>
        </w:trPr>
        <w:tc>
          <w:tcPr>
            <w:tcW w:w="352" w:type="dxa"/>
            <w:vAlign w:val="center"/>
          </w:tcPr>
          <w:p w14:paraId="6826AB2E" w14:textId="77777777" w:rsidR="00171AA8" w:rsidRPr="00731FE2" w:rsidRDefault="00171AA8" w:rsidP="007832E7">
            <w:pPr>
              <w:pStyle w:val="a3"/>
              <w:numPr>
                <w:ilvl w:val="0"/>
                <w:numId w:val="53"/>
              </w:numPr>
              <w:pBdr>
                <w:top w:val="none" w:sz="4" w:space="0" w:color="000000"/>
                <w:left w:val="none" w:sz="4" w:space="0" w:color="000000"/>
                <w:bottom w:val="none" w:sz="4" w:space="0" w:color="000000"/>
                <w:right w:val="none" w:sz="4" w:space="0" w:color="000000"/>
              </w:pBdr>
              <w:spacing w:line="62" w:lineRule="atLeast"/>
              <w:ind w:left="0" w:firstLine="0"/>
              <w:rPr>
                <w:rFonts w:ascii="Times New Roman" w:eastAsia="Times New Roman" w:hAnsi="Times New Roman" w:cs="Times New Roman"/>
                <w:color w:val="000000"/>
                <w:sz w:val="20"/>
                <w:szCs w:val="20"/>
              </w:rPr>
            </w:pPr>
          </w:p>
        </w:tc>
        <w:tc>
          <w:tcPr>
            <w:tcW w:w="999" w:type="dxa"/>
            <w:vAlign w:val="center"/>
          </w:tcPr>
          <w:p w14:paraId="2E81E8A4" w14:textId="77777777" w:rsidR="00171AA8" w:rsidRPr="00731FE2" w:rsidRDefault="007935AB">
            <w:pPr>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Инвестиционная площадка</w:t>
            </w:r>
          </w:p>
        </w:tc>
        <w:tc>
          <w:tcPr>
            <w:tcW w:w="2472" w:type="dxa"/>
            <w:vAlign w:val="center"/>
          </w:tcPr>
          <w:p w14:paraId="48C6A8C1"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Санаторий «Стеклянная струя»</w:t>
            </w:r>
          </w:p>
        </w:tc>
        <w:tc>
          <w:tcPr>
            <w:tcW w:w="1842" w:type="dxa"/>
            <w:vAlign w:val="center"/>
          </w:tcPr>
          <w:p w14:paraId="0844D167"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Размер площадки 10454 м</w:t>
            </w:r>
            <w:r w:rsidRPr="00731FE2">
              <w:rPr>
                <w:rFonts w:ascii="Times New Roman" w:eastAsia="Times New Roman" w:hAnsi="Times New Roman" w:cs="Times New Roman"/>
                <w:color w:val="000000"/>
                <w:sz w:val="20"/>
                <w:szCs w:val="20"/>
                <w:vertAlign w:val="superscript"/>
              </w:rPr>
              <w:t>2</w:t>
            </w:r>
          </w:p>
        </w:tc>
        <w:tc>
          <w:tcPr>
            <w:tcW w:w="1843" w:type="dxa"/>
            <w:vAlign w:val="center"/>
          </w:tcPr>
          <w:p w14:paraId="5322155D" w14:textId="77777777" w:rsidR="00171AA8" w:rsidRPr="00731FE2" w:rsidRDefault="007935AB">
            <w:pPr>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ГО «город-курорт Кисловодск»</w:t>
            </w:r>
          </w:p>
        </w:tc>
        <w:tc>
          <w:tcPr>
            <w:tcW w:w="1134" w:type="dxa"/>
            <w:vAlign w:val="center"/>
          </w:tcPr>
          <w:p w14:paraId="5D9A6C6C"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Первая очередь</w:t>
            </w:r>
          </w:p>
        </w:tc>
        <w:tc>
          <w:tcPr>
            <w:tcW w:w="1559" w:type="dxa"/>
            <w:vAlign w:val="center"/>
          </w:tcPr>
          <w:p w14:paraId="083E4AB2"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П</w:t>
            </w:r>
          </w:p>
        </w:tc>
        <w:tc>
          <w:tcPr>
            <w:tcW w:w="1560" w:type="dxa"/>
            <w:vAlign w:val="center"/>
          </w:tcPr>
          <w:p w14:paraId="58C451E0" w14:textId="77777777" w:rsidR="00171AA8" w:rsidRPr="00731FE2" w:rsidRDefault="007935AB">
            <w:pP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w:t>
            </w:r>
          </w:p>
        </w:tc>
        <w:tc>
          <w:tcPr>
            <w:tcW w:w="2835" w:type="dxa"/>
            <w:vAlign w:val="center"/>
          </w:tcPr>
          <w:p w14:paraId="7E85D597" w14:textId="77777777" w:rsidR="00171AA8" w:rsidRPr="00731FE2" w:rsidRDefault="007935AB">
            <w:pPr>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Схема территориального планирования Ставропольского края, утв. Постановлением Правительства Ставропольского края от 5.04.2011 № 116-п (с изм. 4.04.2023)</w:t>
            </w:r>
          </w:p>
        </w:tc>
      </w:tr>
      <w:tr w:rsidR="00171AA8" w:rsidRPr="00731FE2" w14:paraId="01146067" w14:textId="77777777" w:rsidTr="00357DCA">
        <w:trPr>
          <w:trHeight w:val="472"/>
        </w:trPr>
        <w:tc>
          <w:tcPr>
            <w:tcW w:w="352" w:type="dxa"/>
            <w:vAlign w:val="center"/>
          </w:tcPr>
          <w:p w14:paraId="4DF470F5" w14:textId="77777777" w:rsidR="00171AA8" w:rsidRPr="00731FE2" w:rsidRDefault="00171AA8" w:rsidP="007832E7">
            <w:pPr>
              <w:pStyle w:val="a3"/>
              <w:numPr>
                <w:ilvl w:val="0"/>
                <w:numId w:val="53"/>
              </w:numPr>
              <w:pBdr>
                <w:top w:val="none" w:sz="4" w:space="0" w:color="000000"/>
                <w:left w:val="none" w:sz="4" w:space="0" w:color="000000"/>
                <w:bottom w:val="none" w:sz="4" w:space="0" w:color="000000"/>
                <w:right w:val="none" w:sz="4" w:space="0" w:color="000000"/>
              </w:pBdr>
              <w:spacing w:line="62" w:lineRule="atLeast"/>
              <w:ind w:left="0" w:firstLine="0"/>
              <w:rPr>
                <w:rFonts w:ascii="Times New Roman" w:eastAsia="Times New Roman" w:hAnsi="Times New Roman" w:cs="Times New Roman"/>
                <w:color w:val="000000"/>
                <w:sz w:val="20"/>
                <w:szCs w:val="20"/>
              </w:rPr>
            </w:pPr>
          </w:p>
        </w:tc>
        <w:tc>
          <w:tcPr>
            <w:tcW w:w="999" w:type="dxa"/>
            <w:vAlign w:val="center"/>
          </w:tcPr>
          <w:p w14:paraId="359E5586" w14:textId="77777777" w:rsidR="00171AA8" w:rsidRPr="00731FE2" w:rsidRDefault="007935AB">
            <w:pPr>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Инвестиционная площадка</w:t>
            </w:r>
          </w:p>
        </w:tc>
        <w:tc>
          <w:tcPr>
            <w:tcW w:w="2472" w:type="dxa"/>
            <w:vAlign w:val="center"/>
          </w:tcPr>
          <w:p w14:paraId="1643CC73"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Санаторий «Версаль»</w:t>
            </w:r>
          </w:p>
        </w:tc>
        <w:tc>
          <w:tcPr>
            <w:tcW w:w="1842" w:type="dxa"/>
            <w:vAlign w:val="center"/>
          </w:tcPr>
          <w:p w14:paraId="4207184A"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Размер площадки 8400 м</w:t>
            </w:r>
            <w:r w:rsidRPr="00731FE2">
              <w:rPr>
                <w:rFonts w:ascii="Times New Roman" w:eastAsia="Times New Roman" w:hAnsi="Times New Roman" w:cs="Times New Roman"/>
                <w:color w:val="000000"/>
                <w:sz w:val="20"/>
                <w:szCs w:val="20"/>
                <w:vertAlign w:val="superscript"/>
              </w:rPr>
              <w:t>2</w:t>
            </w:r>
          </w:p>
        </w:tc>
        <w:tc>
          <w:tcPr>
            <w:tcW w:w="1843" w:type="dxa"/>
            <w:vAlign w:val="center"/>
          </w:tcPr>
          <w:p w14:paraId="253BB7C9" w14:textId="77777777" w:rsidR="00171AA8" w:rsidRPr="00731FE2" w:rsidRDefault="007935AB">
            <w:pPr>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ГО «город-курорт Кисловодск»</w:t>
            </w:r>
          </w:p>
        </w:tc>
        <w:tc>
          <w:tcPr>
            <w:tcW w:w="1134" w:type="dxa"/>
            <w:vAlign w:val="center"/>
          </w:tcPr>
          <w:p w14:paraId="7F0658E1"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Первая очередь</w:t>
            </w:r>
          </w:p>
        </w:tc>
        <w:tc>
          <w:tcPr>
            <w:tcW w:w="1559" w:type="dxa"/>
            <w:vAlign w:val="center"/>
          </w:tcPr>
          <w:p w14:paraId="318CBF27" w14:textId="77777777" w:rsidR="00171AA8" w:rsidRPr="00731FE2" w:rsidRDefault="007935AB">
            <w:pP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П</w:t>
            </w:r>
          </w:p>
        </w:tc>
        <w:tc>
          <w:tcPr>
            <w:tcW w:w="1560" w:type="dxa"/>
            <w:vAlign w:val="center"/>
          </w:tcPr>
          <w:p w14:paraId="7F8E081E" w14:textId="77777777" w:rsidR="00171AA8" w:rsidRPr="00731FE2" w:rsidRDefault="007935AB">
            <w:pP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w:t>
            </w:r>
          </w:p>
        </w:tc>
        <w:tc>
          <w:tcPr>
            <w:tcW w:w="2835" w:type="dxa"/>
            <w:vAlign w:val="center"/>
          </w:tcPr>
          <w:p w14:paraId="06DA55A5" w14:textId="77777777" w:rsidR="00171AA8" w:rsidRPr="00731FE2" w:rsidRDefault="007935AB">
            <w:pPr>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Схема территориального планирования Ставропольского края, утв. Постановлением Правительства Ставропольского края от 5.04.2011 № 116-п (с изм. 4.04.2023)</w:t>
            </w:r>
          </w:p>
        </w:tc>
      </w:tr>
      <w:tr w:rsidR="00171AA8" w:rsidRPr="00731FE2" w14:paraId="626E03C9" w14:textId="77777777" w:rsidTr="00357DCA">
        <w:trPr>
          <w:trHeight w:val="184"/>
        </w:trPr>
        <w:tc>
          <w:tcPr>
            <w:tcW w:w="352" w:type="dxa"/>
            <w:vAlign w:val="center"/>
          </w:tcPr>
          <w:p w14:paraId="05C31182" w14:textId="77777777" w:rsidR="00171AA8" w:rsidRPr="00731FE2" w:rsidRDefault="00171AA8" w:rsidP="007832E7">
            <w:pPr>
              <w:pStyle w:val="a3"/>
              <w:numPr>
                <w:ilvl w:val="0"/>
                <w:numId w:val="53"/>
              </w:numPr>
              <w:pBdr>
                <w:top w:val="none" w:sz="4" w:space="0" w:color="000000"/>
                <w:left w:val="none" w:sz="4" w:space="0" w:color="000000"/>
                <w:bottom w:val="none" w:sz="4" w:space="0" w:color="000000"/>
                <w:right w:val="none" w:sz="4" w:space="0" w:color="000000"/>
              </w:pBdr>
              <w:spacing w:line="62" w:lineRule="atLeast"/>
              <w:ind w:left="0" w:firstLine="0"/>
              <w:rPr>
                <w:rFonts w:ascii="Times New Roman" w:eastAsia="Times New Roman" w:hAnsi="Times New Roman" w:cs="Times New Roman"/>
                <w:color w:val="000000"/>
                <w:sz w:val="20"/>
                <w:szCs w:val="20"/>
              </w:rPr>
            </w:pPr>
          </w:p>
        </w:tc>
        <w:tc>
          <w:tcPr>
            <w:tcW w:w="999" w:type="dxa"/>
            <w:vAlign w:val="center"/>
          </w:tcPr>
          <w:p w14:paraId="278363A6" w14:textId="77777777" w:rsidR="00171AA8" w:rsidRPr="00731FE2" w:rsidRDefault="007935AB">
            <w:pPr>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Инвестиционная площадка</w:t>
            </w:r>
          </w:p>
        </w:tc>
        <w:tc>
          <w:tcPr>
            <w:tcW w:w="2472" w:type="dxa"/>
            <w:vAlign w:val="center"/>
          </w:tcPr>
          <w:p w14:paraId="769297D9"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Лечебно-оздоровительный комплекс</w:t>
            </w:r>
          </w:p>
        </w:tc>
        <w:tc>
          <w:tcPr>
            <w:tcW w:w="1842" w:type="dxa"/>
            <w:vAlign w:val="center"/>
          </w:tcPr>
          <w:p w14:paraId="70D857C1"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Размер площадки 550 м</w:t>
            </w:r>
            <w:r w:rsidRPr="00731FE2">
              <w:rPr>
                <w:rFonts w:ascii="Times New Roman" w:eastAsia="Times New Roman" w:hAnsi="Times New Roman" w:cs="Times New Roman"/>
                <w:color w:val="000000"/>
                <w:sz w:val="20"/>
                <w:szCs w:val="20"/>
                <w:vertAlign w:val="superscript"/>
              </w:rPr>
              <w:t>2</w:t>
            </w:r>
          </w:p>
        </w:tc>
        <w:tc>
          <w:tcPr>
            <w:tcW w:w="1843" w:type="dxa"/>
            <w:vAlign w:val="center"/>
          </w:tcPr>
          <w:p w14:paraId="36AB6958" w14:textId="77777777" w:rsidR="00171AA8" w:rsidRPr="00731FE2" w:rsidRDefault="007935AB">
            <w:pPr>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ГО «город-курорт Кисловодск»</w:t>
            </w:r>
          </w:p>
        </w:tc>
        <w:tc>
          <w:tcPr>
            <w:tcW w:w="1134" w:type="dxa"/>
            <w:vAlign w:val="center"/>
          </w:tcPr>
          <w:p w14:paraId="68F533E7"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Первая очередь</w:t>
            </w:r>
          </w:p>
        </w:tc>
        <w:tc>
          <w:tcPr>
            <w:tcW w:w="1559" w:type="dxa"/>
            <w:vAlign w:val="center"/>
          </w:tcPr>
          <w:p w14:paraId="21D50414" w14:textId="77777777" w:rsidR="00171AA8" w:rsidRPr="00731FE2" w:rsidRDefault="007935AB">
            <w:pP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П</w:t>
            </w:r>
          </w:p>
        </w:tc>
        <w:tc>
          <w:tcPr>
            <w:tcW w:w="1560" w:type="dxa"/>
            <w:vAlign w:val="center"/>
          </w:tcPr>
          <w:p w14:paraId="040A40F8" w14:textId="77777777" w:rsidR="00171AA8" w:rsidRPr="00731FE2" w:rsidRDefault="007935AB">
            <w:pP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w:t>
            </w:r>
          </w:p>
        </w:tc>
        <w:tc>
          <w:tcPr>
            <w:tcW w:w="2835" w:type="dxa"/>
            <w:vAlign w:val="center"/>
          </w:tcPr>
          <w:p w14:paraId="186B2B6F" w14:textId="77777777" w:rsidR="00171AA8" w:rsidRPr="00731FE2" w:rsidRDefault="007935AB">
            <w:pPr>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Схема территориального планирования Ставропольского края, утв. Постановлением Правительства Ставропольского края от 5.04.2011 № 116-п (с изм. 4.04.2023)</w:t>
            </w:r>
          </w:p>
        </w:tc>
      </w:tr>
      <w:tr w:rsidR="00171AA8" w:rsidRPr="00731FE2" w14:paraId="1FF0D326" w14:textId="77777777" w:rsidTr="00357DCA">
        <w:trPr>
          <w:trHeight w:val="184"/>
        </w:trPr>
        <w:tc>
          <w:tcPr>
            <w:tcW w:w="352" w:type="dxa"/>
            <w:vAlign w:val="center"/>
          </w:tcPr>
          <w:p w14:paraId="31941448" w14:textId="77777777" w:rsidR="00171AA8" w:rsidRPr="00731FE2" w:rsidRDefault="00171AA8" w:rsidP="007832E7">
            <w:pPr>
              <w:pStyle w:val="a3"/>
              <w:numPr>
                <w:ilvl w:val="0"/>
                <w:numId w:val="53"/>
              </w:numPr>
              <w:pBdr>
                <w:top w:val="none" w:sz="4" w:space="0" w:color="000000"/>
                <w:left w:val="none" w:sz="4" w:space="0" w:color="000000"/>
                <w:bottom w:val="none" w:sz="4" w:space="0" w:color="000000"/>
                <w:right w:val="none" w:sz="4" w:space="0" w:color="000000"/>
              </w:pBdr>
              <w:spacing w:line="62" w:lineRule="atLeast"/>
              <w:ind w:left="0" w:firstLine="0"/>
              <w:rPr>
                <w:rFonts w:ascii="Times New Roman" w:eastAsia="Times New Roman" w:hAnsi="Times New Roman" w:cs="Times New Roman"/>
                <w:color w:val="000000"/>
                <w:sz w:val="20"/>
                <w:szCs w:val="20"/>
              </w:rPr>
            </w:pPr>
          </w:p>
        </w:tc>
        <w:tc>
          <w:tcPr>
            <w:tcW w:w="999" w:type="dxa"/>
            <w:vAlign w:val="center"/>
          </w:tcPr>
          <w:p w14:paraId="18DAD4F7" w14:textId="77777777" w:rsidR="00171AA8" w:rsidRPr="00731FE2" w:rsidRDefault="007935AB">
            <w:pPr>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Инвестиционная площадка</w:t>
            </w:r>
          </w:p>
        </w:tc>
        <w:tc>
          <w:tcPr>
            <w:tcW w:w="2472" w:type="dxa"/>
            <w:vAlign w:val="center"/>
          </w:tcPr>
          <w:p w14:paraId="1E28D429"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Спортивно-оздоровительный комплекс</w:t>
            </w:r>
          </w:p>
        </w:tc>
        <w:tc>
          <w:tcPr>
            <w:tcW w:w="1842" w:type="dxa"/>
            <w:vAlign w:val="center"/>
          </w:tcPr>
          <w:p w14:paraId="1F5FE6DD"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Размер площадки 66792 м</w:t>
            </w:r>
            <w:r w:rsidRPr="00731FE2">
              <w:rPr>
                <w:rFonts w:ascii="Times New Roman" w:eastAsia="Times New Roman" w:hAnsi="Times New Roman" w:cs="Times New Roman"/>
                <w:color w:val="000000"/>
                <w:sz w:val="20"/>
                <w:szCs w:val="20"/>
                <w:vertAlign w:val="superscript"/>
              </w:rPr>
              <w:t>2</w:t>
            </w:r>
          </w:p>
        </w:tc>
        <w:tc>
          <w:tcPr>
            <w:tcW w:w="1843" w:type="dxa"/>
            <w:vAlign w:val="center"/>
          </w:tcPr>
          <w:p w14:paraId="3D286814" w14:textId="77777777" w:rsidR="00171AA8" w:rsidRPr="00731FE2" w:rsidRDefault="007935AB">
            <w:pPr>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ГО «город-курорт Кисловодск»</w:t>
            </w:r>
          </w:p>
        </w:tc>
        <w:tc>
          <w:tcPr>
            <w:tcW w:w="1134" w:type="dxa"/>
            <w:vAlign w:val="center"/>
          </w:tcPr>
          <w:p w14:paraId="522D9F28"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Первая очередь</w:t>
            </w:r>
          </w:p>
        </w:tc>
        <w:tc>
          <w:tcPr>
            <w:tcW w:w="1559" w:type="dxa"/>
            <w:vAlign w:val="center"/>
          </w:tcPr>
          <w:p w14:paraId="3B3F9DD8" w14:textId="77777777" w:rsidR="00171AA8" w:rsidRPr="00731FE2" w:rsidRDefault="007935AB">
            <w:pP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П</w:t>
            </w:r>
          </w:p>
        </w:tc>
        <w:tc>
          <w:tcPr>
            <w:tcW w:w="1560" w:type="dxa"/>
            <w:vAlign w:val="center"/>
          </w:tcPr>
          <w:p w14:paraId="129738EB" w14:textId="77777777" w:rsidR="00171AA8" w:rsidRPr="00731FE2" w:rsidRDefault="007935AB">
            <w:pP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w:t>
            </w:r>
          </w:p>
        </w:tc>
        <w:tc>
          <w:tcPr>
            <w:tcW w:w="2835" w:type="dxa"/>
            <w:vAlign w:val="center"/>
          </w:tcPr>
          <w:p w14:paraId="4E6F53DB" w14:textId="77777777" w:rsidR="00171AA8" w:rsidRPr="00731FE2" w:rsidRDefault="007935AB">
            <w:pPr>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Схема территориального планирования Ставропольского края, утв. Постановлением Правительства Ставропольского края от 5.04.2011 № 116-п (с изм. 4.04.2023)</w:t>
            </w:r>
          </w:p>
        </w:tc>
      </w:tr>
      <w:tr w:rsidR="00171AA8" w:rsidRPr="00731FE2" w14:paraId="01D53334" w14:textId="77777777" w:rsidTr="00357DCA">
        <w:trPr>
          <w:trHeight w:val="184"/>
        </w:trPr>
        <w:tc>
          <w:tcPr>
            <w:tcW w:w="352" w:type="dxa"/>
            <w:vAlign w:val="center"/>
          </w:tcPr>
          <w:p w14:paraId="74E1236E" w14:textId="77777777" w:rsidR="00171AA8" w:rsidRPr="00731FE2" w:rsidRDefault="00171AA8" w:rsidP="007832E7">
            <w:pPr>
              <w:pStyle w:val="a3"/>
              <w:numPr>
                <w:ilvl w:val="0"/>
                <w:numId w:val="53"/>
              </w:numPr>
              <w:pBdr>
                <w:top w:val="none" w:sz="4" w:space="0" w:color="000000"/>
                <w:left w:val="none" w:sz="4" w:space="0" w:color="000000"/>
                <w:bottom w:val="none" w:sz="4" w:space="0" w:color="000000"/>
                <w:right w:val="none" w:sz="4" w:space="0" w:color="000000"/>
              </w:pBdr>
              <w:spacing w:line="62" w:lineRule="atLeast"/>
              <w:ind w:left="0" w:firstLine="0"/>
              <w:rPr>
                <w:rFonts w:ascii="Times New Roman" w:eastAsia="Times New Roman" w:hAnsi="Times New Roman" w:cs="Times New Roman"/>
                <w:color w:val="000000"/>
                <w:sz w:val="20"/>
                <w:szCs w:val="20"/>
              </w:rPr>
            </w:pPr>
          </w:p>
        </w:tc>
        <w:tc>
          <w:tcPr>
            <w:tcW w:w="999" w:type="dxa"/>
            <w:vAlign w:val="center"/>
          </w:tcPr>
          <w:p w14:paraId="7C192FDD" w14:textId="77777777" w:rsidR="00171AA8" w:rsidRPr="00731FE2" w:rsidRDefault="007935AB">
            <w:pPr>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Инвестиционная площадка</w:t>
            </w:r>
          </w:p>
        </w:tc>
        <w:tc>
          <w:tcPr>
            <w:tcW w:w="2472" w:type="dxa"/>
            <w:vAlign w:val="center"/>
          </w:tcPr>
          <w:p w14:paraId="6D4E29B1"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Здание гостиницы по ул. Стопани 2</w:t>
            </w:r>
          </w:p>
        </w:tc>
        <w:tc>
          <w:tcPr>
            <w:tcW w:w="1842" w:type="dxa"/>
            <w:vAlign w:val="center"/>
          </w:tcPr>
          <w:p w14:paraId="6AA2679B"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Кадастровый номер 26:34:020212:21</w:t>
            </w:r>
          </w:p>
        </w:tc>
        <w:tc>
          <w:tcPr>
            <w:tcW w:w="1843" w:type="dxa"/>
            <w:vAlign w:val="center"/>
          </w:tcPr>
          <w:p w14:paraId="736D8C55" w14:textId="77777777" w:rsidR="00171AA8" w:rsidRPr="00731FE2" w:rsidRDefault="007935AB">
            <w:pPr>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ГО «город-курорт Кисловодск»</w:t>
            </w:r>
          </w:p>
        </w:tc>
        <w:tc>
          <w:tcPr>
            <w:tcW w:w="1134" w:type="dxa"/>
            <w:vAlign w:val="center"/>
          </w:tcPr>
          <w:p w14:paraId="4CAD8FB7"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Первая очередь</w:t>
            </w:r>
          </w:p>
        </w:tc>
        <w:tc>
          <w:tcPr>
            <w:tcW w:w="1559" w:type="dxa"/>
            <w:vAlign w:val="center"/>
          </w:tcPr>
          <w:p w14:paraId="396F3C9E" w14:textId="77777777" w:rsidR="00171AA8" w:rsidRPr="00731FE2" w:rsidRDefault="007935AB">
            <w:pP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П</w:t>
            </w:r>
          </w:p>
        </w:tc>
        <w:tc>
          <w:tcPr>
            <w:tcW w:w="1560" w:type="dxa"/>
            <w:vAlign w:val="center"/>
          </w:tcPr>
          <w:p w14:paraId="7B754AC4" w14:textId="77777777" w:rsidR="00171AA8" w:rsidRPr="00731FE2" w:rsidRDefault="007935AB">
            <w:pP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w:t>
            </w:r>
          </w:p>
        </w:tc>
        <w:tc>
          <w:tcPr>
            <w:tcW w:w="2835" w:type="dxa"/>
            <w:vAlign w:val="center"/>
          </w:tcPr>
          <w:p w14:paraId="5DC24B72" w14:textId="77777777" w:rsidR="00171AA8" w:rsidRPr="00731FE2" w:rsidRDefault="007935AB">
            <w:pPr>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Схема территориального планирования Ставропольского края, утв. Постановлением Правительства Ставропольского края от 5.04.2011 № 116-п (с изм. 4.04.2023)</w:t>
            </w:r>
          </w:p>
        </w:tc>
      </w:tr>
      <w:tr w:rsidR="00171AA8" w:rsidRPr="00731FE2" w14:paraId="0B34E8B5" w14:textId="77777777" w:rsidTr="00357DCA">
        <w:trPr>
          <w:trHeight w:val="184"/>
        </w:trPr>
        <w:tc>
          <w:tcPr>
            <w:tcW w:w="352" w:type="dxa"/>
            <w:vAlign w:val="center"/>
          </w:tcPr>
          <w:p w14:paraId="6B19FCBF" w14:textId="77777777" w:rsidR="00171AA8" w:rsidRPr="00731FE2" w:rsidRDefault="00171AA8" w:rsidP="007832E7">
            <w:pPr>
              <w:pStyle w:val="a3"/>
              <w:numPr>
                <w:ilvl w:val="0"/>
                <w:numId w:val="53"/>
              </w:numPr>
              <w:pBdr>
                <w:top w:val="none" w:sz="4" w:space="0" w:color="000000"/>
                <w:left w:val="none" w:sz="4" w:space="0" w:color="000000"/>
                <w:bottom w:val="none" w:sz="4" w:space="0" w:color="000000"/>
                <w:right w:val="none" w:sz="4" w:space="0" w:color="000000"/>
              </w:pBdr>
              <w:spacing w:line="62" w:lineRule="atLeast"/>
              <w:ind w:left="0" w:firstLine="0"/>
              <w:rPr>
                <w:rFonts w:ascii="Times New Roman" w:eastAsia="Times New Roman" w:hAnsi="Times New Roman" w:cs="Times New Roman"/>
                <w:color w:val="000000"/>
                <w:sz w:val="20"/>
                <w:szCs w:val="20"/>
              </w:rPr>
            </w:pPr>
          </w:p>
        </w:tc>
        <w:tc>
          <w:tcPr>
            <w:tcW w:w="999" w:type="dxa"/>
            <w:vAlign w:val="center"/>
          </w:tcPr>
          <w:p w14:paraId="5F0227B2" w14:textId="77777777" w:rsidR="00171AA8" w:rsidRPr="00731FE2" w:rsidRDefault="007935AB">
            <w:pPr>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Инвестиционная площадка</w:t>
            </w:r>
          </w:p>
        </w:tc>
        <w:tc>
          <w:tcPr>
            <w:tcW w:w="2472" w:type="dxa"/>
            <w:vAlign w:val="center"/>
          </w:tcPr>
          <w:p w14:paraId="70B9AF41"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Пансионат «Белая скала»</w:t>
            </w:r>
          </w:p>
        </w:tc>
        <w:tc>
          <w:tcPr>
            <w:tcW w:w="1842" w:type="dxa"/>
            <w:vAlign w:val="center"/>
          </w:tcPr>
          <w:p w14:paraId="1E85376B" w14:textId="4F5817CA"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 xml:space="preserve">Размер площадки 3713,0 </w:t>
            </w:r>
            <w:r w:rsidR="00D6418C" w:rsidRPr="00731FE2">
              <w:rPr>
                <w:rFonts w:ascii="Times New Roman" w:eastAsia="Times New Roman" w:hAnsi="Times New Roman" w:cs="Times New Roman"/>
                <w:color w:val="000000"/>
                <w:sz w:val="20"/>
                <w:szCs w:val="20"/>
              </w:rPr>
              <w:t>м</w:t>
            </w:r>
            <w:r w:rsidR="00D6418C" w:rsidRPr="00731FE2">
              <w:rPr>
                <w:rFonts w:ascii="Times New Roman" w:eastAsia="Times New Roman" w:hAnsi="Times New Roman" w:cs="Times New Roman"/>
                <w:color w:val="000000"/>
                <w:sz w:val="20"/>
                <w:szCs w:val="20"/>
                <w:vertAlign w:val="superscript"/>
              </w:rPr>
              <w:t>2</w:t>
            </w:r>
          </w:p>
        </w:tc>
        <w:tc>
          <w:tcPr>
            <w:tcW w:w="1843" w:type="dxa"/>
            <w:vAlign w:val="center"/>
          </w:tcPr>
          <w:p w14:paraId="77ABBF70" w14:textId="77777777" w:rsidR="00171AA8" w:rsidRPr="00731FE2" w:rsidRDefault="007935AB">
            <w:pPr>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ГО «город-курорт Кисловодск»</w:t>
            </w:r>
          </w:p>
        </w:tc>
        <w:tc>
          <w:tcPr>
            <w:tcW w:w="1134" w:type="dxa"/>
            <w:vAlign w:val="center"/>
          </w:tcPr>
          <w:p w14:paraId="12DC150A"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Первая очередь</w:t>
            </w:r>
          </w:p>
        </w:tc>
        <w:tc>
          <w:tcPr>
            <w:tcW w:w="1559" w:type="dxa"/>
            <w:vAlign w:val="center"/>
          </w:tcPr>
          <w:p w14:paraId="201FE319" w14:textId="77777777" w:rsidR="00171AA8" w:rsidRPr="00731FE2" w:rsidRDefault="007935AB">
            <w:pP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П</w:t>
            </w:r>
          </w:p>
        </w:tc>
        <w:tc>
          <w:tcPr>
            <w:tcW w:w="1560" w:type="dxa"/>
            <w:vAlign w:val="center"/>
          </w:tcPr>
          <w:p w14:paraId="0257EDFC" w14:textId="77777777" w:rsidR="00171AA8" w:rsidRPr="00731FE2" w:rsidRDefault="007935AB">
            <w:pP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w:t>
            </w:r>
          </w:p>
        </w:tc>
        <w:tc>
          <w:tcPr>
            <w:tcW w:w="2835" w:type="dxa"/>
            <w:vAlign w:val="center"/>
          </w:tcPr>
          <w:p w14:paraId="02517CFF" w14:textId="77777777" w:rsidR="00171AA8" w:rsidRPr="00731FE2" w:rsidRDefault="007935AB">
            <w:pPr>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 xml:space="preserve">Схема территориального планирования Ставропольского края, утв. Постановлением </w:t>
            </w:r>
            <w:r w:rsidRPr="00731FE2">
              <w:rPr>
                <w:rFonts w:ascii="Times New Roman" w:eastAsia="Times New Roman" w:hAnsi="Times New Roman" w:cs="Times New Roman"/>
                <w:color w:val="000000"/>
                <w:sz w:val="20"/>
                <w:szCs w:val="20"/>
              </w:rPr>
              <w:lastRenderedPageBreak/>
              <w:t>Правительства Ставропольского края от 5.04.2011 № 116-п (с изм. 4.04.2023)</w:t>
            </w:r>
          </w:p>
        </w:tc>
      </w:tr>
      <w:tr w:rsidR="00171AA8" w:rsidRPr="00731FE2" w14:paraId="67667EFF" w14:textId="77777777" w:rsidTr="00357DCA">
        <w:trPr>
          <w:trHeight w:val="184"/>
        </w:trPr>
        <w:tc>
          <w:tcPr>
            <w:tcW w:w="352" w:type="dxa"/>
            <w:vAlign w:val="center"/>
          </w:tcPr>
          <w:p w14:paraId="07D0165C" w14:textId="77777777" w:rsidR="00171AA8" w:rsidRPr="00731FE2" w:rsidRDefault="00171AA8" w:rsidP="007832E7">
            <w:pPr>
              <w:pStyle w:val="a3"/>
              <w:numPr>
                <w:ilvl w:val="0"/>
                <w:numId w:val="53"/>
              </w:numPr>
              <w:pBdr>
                <w:top w:val="none" w:sz="4" w:space="0" w:color="000000"/>
                <w:left w:val="none" w:sz="4" w:space="0" w:color="000000"/>
                <w:bottom w:val="none" w:sz="4" w:space="0" w:color="000000"/>
                <w:right w:val="none" w:sz="4" w:space="0" w:color="000000"/>
              </w:pBdr>
              <w:spacing w:line="62" w:lineRule="atLeast"/>
              <w:ind w:left="0" w:firstLine="0"/>
              <w:rPr>
                <w:rFonts w:ascii="Times New Roman" w:eastAsia="Times New Roman" w:hAnsi="Times New Roman" w:cs="Times New Roman"/>
                <w:color w:val="000000"/>
                <w:sz w:val="20"/>
                <w:szCs w:val="20"/>
              </w:rPr>
            </w:pPr>
          </w:p>
        </w:tc>
        <w:tc>
          <w:tcPr>
            <w:tcW w:w="999" w:type="dxa"/>
            <w:vAlign w:val="center"/>
          </w:tcPr>
          <w:p w14:paraId="54F67286" w14:textId="77777777" w:rsidR="00171AA8" w:rsidRPr="00731FE2" w:rsidRDefault="007935AB">
            <w:pPr>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Инвестиционная площадка</w:t>
            </w:r>
          </w:p>
        </w:tc>
        <w:tc>
          <w:tcPr>
            <w:tcW w:w="2472" w:type="dxa"/>
            <w:vAlign w:val="center"/>
          </w:tcPr>
          <w:p w14:paraId="0D9461AF"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Административно-общественный центр</w:t>
            </w:r>
          </w:p>
        </w:tc>
        <w:tc>
          <w:tcPr>
            <w:tcW w:w="1842" w:type="dxa"/>
            <w:vAlign w:val="center"/>
          </w:tcPr>
          <w:p w14:paraId="1074202A" w14:textId="6337EF83"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 xml:space="preserve">Размер площадки 4428,0 </w:t>
            </w:r>
            <w:r w:rsidR="00D6418C" w:rsidRPr="00731FE2">
              <w:rPr>
                <w:rFonts w:ascii="Times New Roman" w:eastAsia="Times New Roman" w:hAnsi="Times New Roman" w:cs="Times New Roman"/>
                <w:color w:val="000000"/>
                <w:sz w:val="20"/>
                <w:szCs w:val="20"/>
              </w:rPr>
              <w:t>м</w:t>
            </w:r>
            <w:r w:rsidR="00D6418C" w:rsidRPr="00731FE2">
              <w:rPr>
                <w:rFonts w:ascii="Times New Roman" w:eastAsia="Times New Roman" w:hAnsi="Times New Roman" w:cs="Times New Roman"/>
                <w:color w:val="000000"/>
                <w:sz w:val="20"/>
                <w:szCs w:val="20"/>
                <w:vertAlign w:val="superscript"/>
              </w:rPr>
              <w:t>2</w:t>
            </w:r>
          </w:p>
        </w:tc>
        <w:tc>
          <w:tcPr>
            <w:tcW w:w="1843" w:type="dxa"/>
            <w:vAlign w:val="center"/>
          </w:tcPr>
          <w:p w14:paraId="52029777" w14:textId="77777777" w:rsidR="00171AA8" w:rsidRPr="00731FE2" w:rsidRDefault="007935AB">
            <w:pPr>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ГО «город-курорт Кисловодск»</w:t>
            </w:r>
          </w:p>
        </w:tc>
        <w:tc>
          <w:tcPr>
            <w:tcW w:w="1134" w:type="dxa"/>
            <w:vAlign w:val="center"/>
          </w:tcPr>
          <w:p w14:paraId="48799083"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Первая очередь</w:t>
            </w:r>
          </w:p>
        </w:tc>
        <w:tc>
          <w:tcPr>
            <w:tcW w:w="1559" w:type="dxa"/>
            <w:vAlign w:val="center"/>
          </w:tcPr>
          <w:p w14:paraId="7AA9DB16" w14:textId="77777777" w:rsidR="00171AA8" w:rsidRPr="00731FE2" w:rsidRDefault="007935AB">
            <w:pP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П</w:t>
            </w:r>
          </w:p>
        </w:tc>
        <w:tc>
          <w:tcPr>
            <w:tcW w:w="1560" w:type="dxa"/>
            <w:vAlign w:val="center"/>
          </w:tcPr>
          <w:p w14:paraId="6146D19A" w14:textId="77777777" w:rsidR="00171AA8" w:rsidRPr="00731FE2" w:rsidRDefault="007935AB">
            <w:pP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w:t>
            </w:r>
          </w:p>
        </w:tc>
        <w:tc>
          <w:tcPr>
            <w:tcW w:w="2835" w:type="dxa"/>
            <w:vAlign w:val="center"/>
          </w:tcPr>
          <w:p w14:paraId="74E3EF76" w14:textId="77777777" w:rsidR="00171AA8" w:rsidRPr="00731FE2" w:rsidRDefault="007935AB">
            <w:pPr>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Схема территориального планирования Ставропольского края, утв. Постановлением Правительства Ставропольского края от 5.04.2011 № 116-п (с изм. 4.04.2023)</w:t>
            </w:r>
          </w:p>
        </w:tc>
      </w:tr>
      <w:tr w:rsidR="00171AA8" w:rsidRPr="00731FE2" w14:paraId="2768D213" w14:textId="77777777" w:rsidTr="00357DCA">
        <w:trPr>
          <w:trHeight w:val="184"/>
        </w:trPr>
        <w:tc>
          <w:tcPr>
            <w:tcW w:w="352" w:type="dxa"/>
            <w:vAlign w:val="center"/>
          </w:tcPr>
          <w:p w14:paraId="6222E3A9" w14:textId="77777777" w:rsidR="00171AA8" w:rsidRPr="00731FE2" w:rsidRDefault="00171AA8" w:rsidP="007832E7">
            <w:pPr>
              <w:pStyle w:val="a3"/>
              <w:numPr>
                <w:ilvl w:val="0"/>
                <w:numId w:val="53"/>
              </w:numPr>
              <w:pBdr>
                <w:top w:val="none" w:sz="4" w:space="0" w:color="000000"/>
                <w:left w:val="none" w:sz="4" w:space="0" w:color="000000"/>
                <w:bottom w:val="none" w:sz="4" w:space="0" w:color="000000"/>
                <w:right w:val="none" w:sz="4" w:space="0" w:color="000000"/>
              </w:pBdr>
              <w:spacing w:line="62" w:lineRule="atLeast"/>
              <w:ind w:left="0" w:firstLine="0"/>
              <w:rPr>
                <w:rFonts w:ascii="Times New Roman" w:eastAsia="Times New Roman" w:hAnsi="Times New Roman" w:cs="Times New Roman"/>
                <w:color w:val="000000"/>
                <w:sz w:val="20"/>
                <w:szCs w:val="20"/>
              </w:rPr>
            </w:pPr>
          </w:p>
        </w:tc>
        <w:tc>
          <w:tcPr>
            <w:tcW w:w="999" w:type="dxa"/>
            <w:vAlign w:val="center"/>
          </w:tcPr>
          <w:p w14:paraId="6F84C13A" w14:textId="77777777" w:rsidR="00171AA8" w:rsidRPr="00731FE2" w:rsidRDefault="007935AB">
            <w:pPr>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Инвестиционная площадка</w:t>
            </w:r>
          </w:p>
        </w:tc>
        <w:tc>
          <w:tcPr>
            <w:tcW w:w="2472" w:type="dxa"/>
            <w:vAlign w:val="center"/>
          </w:tcPr>
          <w:p w14:paraId="52F5D16B"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Ресторанный комплекс «Родопи»</w:t>
            </w:r>
          </w:p>
        </w:tc>
        <w:tc>
          <w:tcPr>
            <w:tcW w:w="1842" w:type="dxa"/>
            <w:vAlign w:val="center"/>
          </w:tcPr>
          <w:p w14:paraId="3B6FDFBF" w14:textId="3C90DD34"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 xml:space="preserve">Размер площадки 8349,0 </w:t>
            </w:r>
            <w:r w:rsidR="00D6418C" w:rsidRPr="00731FE2">
              <w:rPr>
                <w:rFonts w:ascii="Times New Roman" w:eastAsia="Times New Roman" w:hAnsi="Times New Roman" w:cs="Times New Roman"/>
                <w:color w:val="000000"/>
                <w:sz w:val="20"/>
                <w:szCs w:val="20"/>
              </w:rPr>
              <w:t>м</w:t>
            </w:r>
            <w:r w:rsidR="00D6418C" w:rsidRPr="00731FE2">
              <w:rPr>
                <w:rFonts w:ascii="Times New Roman" w:eastAsia="Times New Roman" w:hAnsi="Times New Roman" w:cs="Times New Roman"/>
                <w:color w:val="000000"/>
                <w:sz w:val="20"/>
                <w:szCs w:val="20"/>
                <w:vertAlign w:val="superscript"/>
              </w:rPr>
              <w:t>2</w:t>
            </w:r>
          </w:p>
        </w:tc>
        <w:tc>
          <w:tcPr>
            <w:tcW w:w="1843" w:type="dxa"/>
            <w:vAlign w:val="center"/>
          </w:tcPr>
          <w:p w14:paraId="4DE76F1D" w14:textId="77777777" w:rsidR="00171AA8" w:rsidRPr="00731FE2" w:rsidRDefault="007935AB">
            <w:pPr>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ГО «город-курорт Кисловодск»</w:t>
            </w:r>
          </w:p>
        </w:tc>
        <w:tc>
          <w:tcPr>
            <w:tcW w:w="1134" w:type="dxa"/>
            <w:vAlign w:val="center"/>
          </w:tcPr>
          <w:p w14:paraId="429E8560"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Первая очередь</w:t>
            </w:r>
          </w:p>
        </w:tc>
        <w:tc>
          <w:tcPr>
            <w:tcW w:w="1559" w:type="dxa"/>
            <w:vAlign w:val="center"/>
          </w:tcPr>
          <w:p w14:paraId="566F858C" w14:textId="77777777" w:rsidR="00171AA8" w:rsidRPr="00731FE2" w:rsidRDefault="007935AB">
            <w:pP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П</w:t>
            </w:r>
          </w:p>
        </w:tc>
        <w:tc>
          <w:tcPr>
            <w:tcW w:w="1560" w:type="dxa"/>
            <w:vAlign w:val="center"/>
          </w:tcPr>
          <w:p w14:paraId="0F632541" w14:textId="77777777" w:rsidR="00171AA8" w:rsidRPr="00731FE2" w:rsidRDefault="007935AB">
            <w:pP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w:t>
            </w:r>
          </w:p>
        </w:tc>
        <w:tc>
          <w:tcPr>
            <w:tcW w:w="2835" w:type="dxa"/>
            <w:vAlign w:val="center"/>
          </w:tcPr>
          <w:p w14:paraId="6998D679" w14:textId="77777777" w:rsidR="00171AA8" w:rsidRPr="00731FE2" w:rsidRDefault="007935AB">
            <w:pPr>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Схема территориального планирования Ставропольского края, утв. Постановлением Правительства Ставропольского края от 5.04.2011 № 116-п (с изм. 4.04.2023)</w:t>
            </w:r>
          </w:p>
        </w:tc>
      </w:tr>
      <w:tr w:rsidR="00171AA8" w:rsidRPr="00731FE2" w14:paraId="6A69C041" w14:textId="77777777" w:rsidTr="00357DCA">
        <w:trPr>
          <w:trHeight w:val="184"/>
        </w:trPr>
        <w:tc>
          <w:tcPr>
            <w:tcW w:w="352" w:type="dxa"/>
            <w:vAlign w:val="center"/>
          </w:tcPr>
          <w:p w14:paraId="7B4FEEE0" w14:textId="77777777" w:rsidR="00171AA8" w:rsidRPr="00731FE2" w:rsidRDefault="00171AA8" w:rsidP="007832E7">
            <w:pPr>
              <w:pStyle w:val="a3"/>
              <w:numPr>
                <w:ilvl w:val="0"/>
                <w:numId w:val="53"/>
              </w:numPr>
              <w:pBdr>
                <w:top w:val="none" w:sz="4" w:space="0" w:color="000000"/>
                <w:left w:val="none" w:sz="4" w:space="0" w:color="000000"/>
                <w:bottom w:val="none" w:sz="4" w:space="0" w:color="000000"/>
                <w:right w:val="none" w:sz="4" w:space="0" w:color="000000"/>
              </w:pBdr>
              <w:spacing w:line="62" w:lineRule="atLeast"/>
              <w:ind w:left="0" w:firstLine="0"/>
              <w:rPr>
                <w:rFonts w:ascii="Times New Roman" w:eastAsia="Times New Roman" w:hAnsi="Times New Roman" w:cs="Times New Roman"/>
                <w:color w:val="000000"/>
                <w:sz w:val="20"/>
                <w:szCs w:val="20"/>
              </w:rPr>
            </w:pPr>
          </w:p>
        </w:tc>
        <w:tc>
          <w:tcPr>
            <w:tcW w:w="999" w:type="dxa"/>
            <w:vAlign w:val="center"/>
          </w:tcPr>
          <w:p w14:paraId="448C0E9F" w14:textId="77777777" w:rsidR="00171AA8" w:rsidRPr="00731FE2" w:rsidRDefault="007935AB">
            <w:pPr>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Инвестиционная площадка</w:t>
            </w:r>
          </w:p>
        </w:tc>
        <w:tc>
          <w:tcPr>
            <w:tcW w:w="2472" w:type="dxa"/>
            <w:vAlign w:val="center"/>
          </w:tcPr>
          <w:p w14:paraId="4C19BE5B"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Санаторно-курортный комплекс «Золотой колос Кубани»</w:t>
            </w:r>
          </w:p>
        </w:tc>
        <w:tc>
          <w:tcPr>
            <w:tcW w:w="1842" w:type="dxa"/>
            <w:vAlign w:val="center"/>
          </w:tcPr>
          <w:p w14:paraId="12A885AC" w14:textId="1CECFCE9"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 xml:space="preserve">Размер площадки 2108,0 </w:t>
            </w:r>
            <w:r w:rsidR="00D6418C" w:rsidRPr="00731FE2">
              <w:rPr>
                <w:rFonts w:ascii="Times New Roman" w:eastAsia="Times New Roman" w:hAnsi="Times New Roman" w:cs="Times New Roman"/>
                <w:color w:val="000000"/>
                <w:sz w:val="20"/>
                <w:szCs w:val="20"/>
              </w:rPr>
              <w:t>м</w:t>
            </w:r>
            <w:r w:rsidR="00D6418C" w:rsidRPr="00731FE2">
              <w:rPr>
                <w:rFonts w:ascii="Times New Roman" w:eastAsia="Times New Roman" w:hAnsi="Times New Roman" w:cs="Times New Roman"/>
                <w:color w:val="000000"/>
                <w:sz w:val="20"/>
                <w:szCs w:val="20"/>
                <w:vertAlign w:val="superscript"/>
              </w:rPr>
              <w:t>2</w:t>
            </w:r>
          </w:p>
        </w:tc>
        <w:tc>
          <w:tcPr>
            <w:tcW w:w="1843" w:type="dxa"/>
            <w:vAlign w:val="center"/>
          </w:tcPr>
          <w:p w14:paraId="661CDE71" w14:textId="77777777" w:rsidR="00171AA8" w:rsidRPr="00731FE2" w:rsidRDefault="007935AB">
            <w:pPr>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ГО «город-курорт Кисловодск»</w:t>
            </w:r>
          </w:p>
        </w:tc>
        <w:tc>
          <w:tcPr>
            <w:tcW w:w="1134" w:type="dxa"/>
            <w:vAlign w:val="center"/>
          </w:tcPr>
          <w:p w14:paraId="7C8E6F69"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Первая очередь</w:t>
            </w:r>
          </w:p>
        </w:tc>
        <w:tc>
          <w:tcPr>
            <w:tcW w:w="1559" w:type="dxa"/>
            <w:vAlign w:val="center"/>
          </w:tcPr>
          <w:p w14:paraId="7F551197" w14:textId="77777777" w:rsidR="00171AA8" w:rsidRPr="00731FE2" w:rsidRDefault="007935AB">
            <w:pP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П</w:t>
            </w:r>
          </w:p>
        </w:tc>
        <w:tc>
          <w:tcPr>
            <w:tcW w:w="1560" w:type="dxa"/>
            <w:vAlign w:val="center"/>
          </w:tcPr>
          <w:p w14:paraId="7D90D732" w14:textId="77777777" w:rsidR="00171AA8" w:rsidRPr="00731FE2" w:rsidRDefault="007935AB">
            <w:pP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w:t>
            </w:r>
          </w:p>
        </w:tc>
        <w:tc>
          <w:tcPr>
            <w:tcW w:w="2835" w:type="dxa"/>
            <w:vAlign w:val="center"/>
          </w:tcPr>
          <w:p w14:paraId="389C976B" w14:textId="77777777" w:rsidR="00171AA8" w:rsidRPr="00731FE2" w:rsidRDefault="007935AB">
            <w:pPr>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Схема территориального планирования Ставропольского края, утв. Постановлением Правительства Ставропольского края от 5.04.2011 № 116-п (с изм. 4.04.2023)</w:t>
            </w:r>
          </w:p>
        </w:tc>
      </w:tr>
      <w:tr w:rsidR="00171AA8" w:rsidRPr="00731FE2" w14:paraId="0D4DC583" w14:textId="77777777" w:rsidTr="00357DCA">
        <w:trPr>
          <w:trHeight w:val="184"/>
        </w:trPr>
        <w:tc>
          <w:tcPr>
            <w:tcW w:w="352" w:type="dxa"/>
            <w:vAlign w:val="center"/>
          </w:tcPr>
          <w:p w14:paraId="76017C64" w14:textId="77777777" w:rsidR="00171AA8" w:rsidRPr="00731FE2" w:rsidRDefault="00171AA8" w:rsidP="007832E7">
            <w:pPr>
              <w:pStyle w:val="a3"/>
              <w:numPr>
                <w:ilvl w:val="0"/>
                <w:numId w:val="53"/>
              </w:numPr>
              <w:pBdr>
                <w:top w:val="none" w:sz="4" w:space="0" w:color="000000"/>
                <w:left w:val="none" w:sz="4" w:space="0" w:color="000000"/>
                <w:bottom w:val="none" w:sz="4" w:space="0" w:color="000000"/>
                <w:right w:val="none" w:sz="4" w:space="0" w:color="000000"/>
              </w:pBdr>
              <w:spacing w:line="62" w:lineRule="atLeast"/>
              <w:ind w:left="0" w:firstLine="0"/>
              <w:rPr>
                <w:rFonts w:ascii="Times New Roman" w:eastAsia="Times New Roman" w:hAnsi="Times New Roman" w:cs="Times New Roman"/>
                <w:color w:val="000000"/>
                <w:sz w:val="20"/>
                <w:szCs w:val="20"/>
              </w:rPr>
            </w:pPr>
          </w:p>
        </w:tc>
        <w:tc>
          <w:tcPr>
            <w:tcW w:w="999" w:type="dxa"/>
            <w:vAlign w:val="center"/>
          </w:tcPr>
          <w:p w14:paraId="320DEF0E" w14:textId="77777777" w:rsidR="00171AA8" w:rsidRPr="00731FE2" w:rsidRDefault="007935AB">
            <w:pPr>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Инвестиционная площадка</w:t>
            </w:r>
          </w:p>
        </w:tc>
        <w:tc>
          <w:tcPr>
            <w:tcW w:w="2472" w:type="dxa"/>
            <w:vAlign w:val="center"/>
          </w:tcPr>
          <w:p w14:paraId="5B98C71F"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Гостиница «Кавказ»</w:t>
            </w:r>
          </w:p>
        </w:tc>
        <w:tc>
          <w:tcPr>
            <w:tcW w:w="1842" w:type="dxa"/>
            <w:vAlign w:val="center"/>
          </w:tcPr>
          <w:p w14:paraId="0F1BE4B4"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Размер площадки 2000,0 м</w:t>
            </w:r>
            <w:r w:rsidRPr="00731FE2">
              <w:rPr>
                <w:rFonts w:ascii="Times New Roman" w:eastAsia="Times New Roman" w:hAnsi="Times New Roman" w:cs="Times New Roman"/>
                <w:color w:val="000000"/>
                <w:sz w:val="20"/>
                <w:szCs w:val="20"/>
                <w:vertAlign w:val="superscript"/>
              </w:rPr>
              <w:t>2</w:t>
            </w:r>
          </w:p>
        </w:tc>
        <w:tc>
          <w:tcPr>
            <w:tcW w:w="1843" w:type="dxa"/>
            <w:vAlign w:val="center"/>
          </w:tcPr>
          <w:p w14:paraId="3C218B35" w14:textId="77777777" w:rsidR="00171AA8" w:rsidRPr="00731FE2" w:rsidRDefault="007935AB">
            <w:pPr>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ГО «город-курорт Кисловодск»</w:t>
            </w:r>
          </w:p>
        </w:tc>
        <w:tc>
          <w:tcPr>
            <w:tcW w:w="1134" w:type="dxa"/>
            <w:vAlign w:val="center"/>
          </w:tcPr>
          <w:p w14:paraId="6DE64479"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Первая очередь</w:t>
            </w:r>
          </w:p>
        </w:tc>
        <w:tc>
          <w:tcPr>
            <w:tcW w:w="1559" w:type="dxa"/>
            <w:vAlign w:val="center"/>
          </w:tcPr>
          <w:p w14:paraId="35DDB617" w14:textId="77777777" w:rsidR="00171AA8" w:rsidRPr="00731FE2" w:rsidRDefault="007935AB">
            <w:pP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П</w:t>
            </w:r>
          </w:p>
        </w:tc>
        <w:tc>
          <w:tcPr>
            <w:tcW w:w="1560" w:type="dxa"/>
            <w:vAlign w:val="center"/>
          </w:tcPr>
          <w:p w14:paraId="159F6BFF" w14:textId="77777777" w:rsidR="00171AA8" w:rsidRPr="00731FE2" w:rsidRDefault="007935AB">
            <w:pP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w:t>
            </w:r>
          </w:p>
        </w:tc>
        <w:tc>
          <w:tcPr>
            <w:tcW w:w="2835" w:type="dxa"/>
            <w:vAlign w:val="center"/>
          </w:tcPr>
          <w:p w14:paraId="1FFECEBC" w14:textId="77777777" w:rsidR="00171AA8" w:rsidRPr="00731FE2" w:rsidRDefault="007935AB">
            <w:pPr>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Схема территориального планирования Ставропольского края, утв. Постановлением Правительства Ставропольского края от 5.04.2011 № 116-п (с изм. 4.04.2023)</w:t>
            </w:r>
          </w:p>
        </w:tc>
      </w:tr>
      <w:tr w:rsidR="00171AA8" w:rsidRPr="00731FE2" w14:paraId="7FCC7B42" w14:textId="77777777" w:rsidTr="00357DCA">
        <w:trPr>
          <w:trHeight w:val="184"/>
        </w:trPr>
        <w:tc>
          <w:tcPr>
            <w:tcW w:w="352" w:type="dxa"/>
            <w:vAlign w:val="center"/>
          </w:tcPr>
          <w:p w14:paraId="7B9EE371" w14:textId="77777777" w:rsidR="00171AA8" w:rsidRPr="00731FE2" w:rsidRDefault="00171AA8" w:rsidP="007832E7">
            <w:pPr>
              <w:pStyle w:val="a3"/>
              <w:numPr>
                <w:ilvl w:val="0"/>
                <w:numId w:val="53"/>
              </w:numPr>
              <w:pBdr>
                <w:top w:val="none" w:sz="4" w:space="0" w:color="000000"/>
                <w:left w:val="none" w:sz="4" w:space="0" w:color="000000"/>
                <w:bottom w:val="none" w:sz="4" w:space="0" w:color="000000"/>
                <w:right w:val="none" w:sz="4" w:space="0" w:color="000000"/>
              </w:pBdr>
              <w:spacing w:line="62" w:lineRule="atLeast"/>
              <w:ind w:left="0" w:firstLine="0"/>
              <w:rPr>
                <w:rFonts w:ascii="Times New Roman" w:eastAsia="Times New Roman" w:hAnsi="Times New Roman" w:cs="Times New Roman"/>
                <w:color w:val="000000"/>
                <w:sz w:val="20"/>
                <w:szCs w:val="20"/>
              </w:rPr>
            </w:pPr>
          </w:p>
        </w:tc>
        <w:tc>
          <w:tcPr>
            <w:tcW w:w="999" w:type="dxa"/>
            <w:vAlign w:val="center"/>
          </w:tcPr>
          <w:p w14:paraId="19885060" w14:textId="77777777" w:rsidR="00171AA8" w:rsidRPr="00731FE2" w:rsidRDefault="007935AB">
            <w:pPr>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Инвестиционная площадка</w:t>
            </w:r>
          </w:p>
        </w:tc>
        <w:tc>
          <w:tcPr>
            <w:tcW w:w="2472" w:type="dxa"/>
            <w:vAlign w:val="center"/>
          </w:tcPr>
          <w:p w14:paraId="1D804320"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Санаторий «Каскад»</w:t>
            </w:r>
          </w:p>
        </w:tc>
        <w:tc>
          <w:tcPr>
            <w:tcW w:w="1842" w:type="dxa"/>
            <w:vAlign w:val="center"/>
          </w:tcPr>
          <w:p w14:paraId="5C9BEAB4" w14:textId="5A15BE20"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Размер площадки 98256,0</w:t>
            </w:r>
            <w:r w:rsidR="00D6418C" w:rsidRPr="00731FE2">
              <w:rPr>
                <w:rFonts w:ascii="Times New Roman" w:eastAsia="Times New Roman" w:hAnsi="Times New Roman" w:cs="Times New Roman"/>
                <w:color w:val="000000"/>
                <w:sz w:val="20"/>
                <w:szCs w:val="20"/>
              </w:rPr>
              <w:t xml:space="preserve"> м</w:t>
            </w:r>
            <w:r w:rsidR="00D6418C" w:rsidRPr="00731FE2">
              <w:rPr>
                <w:rFonts w:ascii="Times New Roman" w:eastAsia="Times New Roman" w:hAnsi="Times New Roman" w:cs="Times New Roman"/>
                <w:color w:val="000000"/>
                <w:sz w:val="20"/>
                <w:szCs w:val="20"/>
                <w:vertAlign w:val="superscript"/>
              </w:rPr>
              <w:t>2</w:t>
            </w:r>
          </w:p>
        </w:tc>
        <w:tc>
          <w:tcPr>
            <w:tcW w:w="1843" w:type="dxa"/>
            <w:vAlign w:val="center"/>
          </w:tcPr>
          <w:p w14:paraId="6487F18D" w14:textId="77777777" w:rsidR="00171AA8" w:rsidRPr="00731FE2" w:rsidRDefault="007935AB">
            <w:pPr>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ГО «город-курорт Кисловодск»</w:t>
            </w:r>
          </w:p>
        </w:tc>
        <w:tc>
          <w:tcPr>
            <w:tcW w:w="1134" w:type="dxa"/>
            <w:vAlign w:val="center"/>
          </w:tcPr>
          <w:p w14:paraId="4E4A9938" w14:textId="77777777" w:rsidR="00171AA8" w:rsidRPr="00731FE2" w:rsidRDefault="007935AB">
            <w:pPr>
              <w:pBdr>
                <w:top w:val="none" w:sz="4" w:space="0" w:color="000000"/>
                <w:left w:val="none" w:sz="4" w:space="0" w:color="000000"/>
                <w:bottom w:val="none" w:sz="4" w:space="0" w:color="000000"/>
                <w:right w:val="none" w:sz="4" w:space="0" w:color="000000"/>
              </w:pBdr>
              <w:spacing w:line="62" w:lineRule="atLeast"/>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Первая очередь</w:t>
            </w:r>
          </w:p>
        </w:tc>
        <w:tc>
          <w:tcPr>
            <w:tcW w:w="1559" w:type="dxa"/>
            <w:vAlign w:val="center"/>
          </w:tcPr>
          <w:p w14:paraId="1EE4E1DF" w14:textId="77777777" w:rsidR="00171AA8" w:rsidRPr="00731FE2" w:rsidRDefault="007935AB">
            <w:pP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П</w:t>
            </w:r>
          </w:p>
        </w:tc>
        <w:tc>
          <w:tcPr>
            <w:tcW w:w="1560" w:type="dxa"/>
            <w:vAlign w:val="center"/>
          </w:tcPr>
          <w:p w14:paraId="4DB9EA66" w14:textId="77777777" w:rsidR="00171AA8" w:rsidRPr="00731FE2" w:rsidRDefault="007935AB">
            <w:pP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w:t>
            </w:r>
          </w:p>
        </w:tc>
        <w:tc>
          <w:tcPr>
            <w:tcW w:w="2835" w:type="dxa"/>
            <w:vAlign w:val="center"/>
          </w:tcPr>
          <w:p w14:paraId="70622258" w14:textId="77777777" w:rsidR="00171AA8" w:rsidRPr="00731FE2" w:rsidRDefault="007935AB">
            <w:pPr>
              <w:ind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 xml:space="preserve">Схема территориального планирования Ставропольского края, утв. Постановлением Правительства Ставропольского края от 5.04.2011 № 116-п (с изм. </w:t>
            </w:r>
            <w:r w:rsidRPr="00731FE2">
              <w:rPr>
                <w:rFonts w:ascii="Times New Roman" w:eastAsia="Times New Roman" w:hAnsi="Times New Roman" w:cs="Times New Roman"/>
                <w:color w:val="000000"/>
                <w:sz w:val="20"/>
                <w:szCs w:val="20"/>
              </w:rPr>
              <w:lastRenderedPageBreak/>
              <w:t>4.04.2023)</w:t>
            </w:r>
          </w:p>
        </w:tc>
      </w:tr>
      <w:tr w:rsidR="002D4BFD" w:rsidRPr="00731FE2" w14:paraId="64BCB9A4" w14:textId="77777777" w:rsidTr="00357DCA">
        <w:trPr>
          <w:trHeight w:val="184"/>
        </w:trPr>
        <w:tc>
          <w:tcPr>
            <w:tcW w:w="352" w:type="dxa"/>
            <w:vAlign w:val="center"/>
          </w:tcPr>
          <w:p w14:paraId="50A428B3" w14:textId="77777777" w:rsidR="002D4BFD" w:rsidRPr="00731FE2" w:rsidRDefault="002D4BFD" w:rsidP="002D4BFD">
            <w:pPr>
              <w:pStyle w:val="a3"/>
              <w:numPr>
                <w:ilvl w:val="0"/>
                <w:numId w:val="53"/>
              </w:numPr>
              <w:pBdr>
                <w:top w:val="none" w:sz="4" w:space="0" w:color="000000"/>
                <w:left w:val="none" w:sz="4" w:space="0" w:color="000000"/>
                <w:bottom w:val="none" w:sz="4" w:space="0" w:color="000000"/>
                <w:right w:val="none" w:sz="4" w:space="0" w:color="000000"/>
              </w:pBdr>
              <w:spacing w:line="62" w:lineRule="atLeast"/>
              <w:ind w:left="0" w:firstLine="0"/>
              <w:rPr>
                <w:rFonts w:ascii="Times New Roman" w:eastAsia="Times New Roman" w:hAnsi="Times New Roman" w:cs="Times New Roman"/>
                <w:color w:val="000000"/>
                <w:sz w:val="20"/>
                <w:szCs w:val="20"/>
              </w:rPr>
            </w:pPr>
          </w:p>
        </w:tc>
        <w:tc>
          <w:tcPr>
            <w:tcW w:w="999" w:type="dxa"/>
            <w:vAlign w:val="center"/>
          </w:tcPr>
          <w:p w14:paraId="44BA48F2" w14:textId="5C302CA0" w:rsidR="002D4BFD" w:rsidRPr="00731FE2" w:rsidRDefault="002D4BFD" w:rsidP="002D4BFD">
            <w:pP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Инвестиционный проект</w:t>
            </w:r>
          </w:p>
        </w:tc>
        <w:tc>
          <w:tcPr>
            <w:tcW w:w="2472" w:type="dxa"/>
            <w:vAlign w:val="center"/>
          </w:tcPr>
          <w:p w14:paraId="398D57A9" w14:textId="4C32E2D5" w:rsidR="002D4BFD" w:rsidRPr="00731FE2" w:rsidRDefault="002D4BFD" w:rsidP="002D4BFD">
            <w:pPr>
              <w:pBdr>
                <w:top w:val="none" w:sz="4" w:space="0" w:color="000000"/>
                <w:left w:val="none" w:sz="4" w:space="0" w:color="000000"/>
                <w:bottom w:val="none" w:sz="4" w:space="0" w:color="000000"/>
                <w:right w:val="none" w:sz="4" w:space="0" w:color="000000"/>
              </w:pBdr>
              <w:spacing w:line="62" w:lineRule="atLeast"/>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«Строительство комплекса многоэтажных жилых домов со встроенно</w:t>
            </w:r>
            <w:r w:rsidR="00423B27" w:rsidRPr="00731FE2">
              <w:rPr>
                <w:rFonts w:ascii="Times New Roman" w:eastAsia="Times New Roman" w:hAnsi="Times New Roman" w:cs="Times New Roman"/>
                <w:color w:val="000000"/>
                <w:sz w:val="20"/>
                <w:szCs w:val="20"/>
              </w:rPr>
              <w:t>-</w:t>
            </w:r>
            <w:r w:rsidRPr="00731FE2">
              <w:rPr>
                <w:rFonts w:ascii="Times New Roman" w:eastAsia="Times New Roman" w:hAnsi="Times New Roman" w:cs="Times New Roman"/>
                <w:color w:val="000000"/>
                <w:sz w:val="20"/>
                <w:szCs w:val="20"/>
              </w:rPr>
              <w:t>пристроенными помещениями и объектами городского благоустройства» (инициатор инвестиционного проекта – ООО «Замковая»)</w:t>
            </w:r>
          </w:p>
        </w:tc>
        <w:tc>
          <w:tcPr>
            <w:tcW w:w="1842" w:type="dxa"/>
            <w:vAlign w:val="center"/>
          </w:tcPr>
          <w:p w14:paraId="16C87DCC" w14:textId="2A7D3FA7" w:rsidR="00D6418C" w:rsidRPr="00731FE2" w:rsidRDefault="00D6418C" w:rsidP="00D6418C">
            <w:pPr>
              <w:pBdr>
                <w:top w:val="none" w:sz="4" w:space="0" w:color="000000"/>
                <w:left w:val="none" w:sz="4" w:space="0" w:color="000000"/>
                <w:bottom w:val="none" w:sz="4" w:space="0" w:color="000000"/>
                <w:right w:val="none" w:sz="4" w:space="0" w:color="000000"/>
              </w:pBdr>
              <w:spacing w:line="62" w:lineRule="atLeast"/>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Площадь участка 1 – 6,62 га</w:t>
            </w:r>
            <w:r w:rsidR="00542ACE" w:rsidRPr="00731FE2">
              <w:rPr>
                <w:rFonts w:ascii="Times New Roman" w:eastAsia="Times New Roman" w:hAnsi="Times New Roman" w:cs="Times New Roman"/>
                <w:color w:val="000000"/>
                <w:sz w:val="20"/>
                <w:szCs w:val="20"/>
              </w:rPr>
              <w:t>.</w:t>
            </w:r>
          </w:p>
          <w:p w14:paraId="678202C7" w14:textId="21FFAADC" w:rsidR="00D6418C" w:rsidRPr="00731FE2" w:rsidRDefault="00D6418C" w:rsidP="00D6418C">
            <w:pPr>
              <w:pBdr>
                <w:top w:val="none" w:sz="4" w:space="0" w:color="000000"/>
                <w:left w:val="none" w:sz="4" w:space="0" w:color="000000"/>
                <w:bottom w:val="none" w:sz="4" w:space="0" w:color="000000"/>
                <w:right w:val="none" w:sz="4" w:space="0" w:color="000000"/>
              </w:pBdr>
              <w:spacing w:line="62" w:lineRule="atLeast"/>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 xml:space="preserve">Площадь участка 2 – </w:t>
            </w:r>
            <w:r w:rsidR="00542ACE" w:rsidRPr="00731FE2">
              <w:rPr>
                <w:rFonts w:ascii="Times New Roman" w:eastAsia="Times New Roman" w:hAnsi="Times New Roman" w:cs="Times New Roman"/>
                <w:color w:val="000000"/>
                <w:sz w:val="20"/>
                <w:szCs w:val="20"/>
              </w:rPr>
              <w:t>3</w:t>
            </w:r>
            <w:r w:rsidRPr="00731FE2">
              <w:rPr>
                <w:rFonts w:ascii="Times New Roman" w:eastAsia="Times New Roman" w:hAnsi="Times New Roman" w:cs="Times New Roman"/>
                <w:color w:val="000000"/>
                <w:sz w:val="20"/>
                <w:szCs w:val="20"/>
              </w:rPr>
              <w:t>,</w:t>
            </w:r>
            <w:r w:rsidR="00542ACE" w:rsidRPr="00731FE2">
              <w:rPr>
                <w:rFonts w:ascii="Times New Roman" w:eastAsia="Times New Roman" w:hAnsi="Times New Roman" w:cs="Times New Roman"/>
                <w:color w:val="000000"/>
                <w:sz w:val="20"/>
                <w:szCs w:val="20"/>
              </w:rPr>
              <w:t>13</w:t>
            </w:r>
            <w:r w:rsidRPr="00731FE2">
              <w:rPr>
                <w:rFonts w:ascii="Times New Roman" w:eastAsia="Times New Roman" w:hAnsi="Times New Roman" w:cs="Times New Roman"/>
                <w:color w:val="000000"/>
                <w:sz w:val="20"/>
                <w:szCs w:val="20"/>
              </w:rPr>
              <w:t xml:space="preserve"> га</w:t>
            </w:r>
            <w:r w:rsidR="00542ACE" w:rsidRPr="00731FE2">
              <w:rPr>
                <w:rFonts w:ascii="Times New Roman" w:eastAsia="Times New Roman" w:hAnsi="Times New Roman" w:cs="Times New Roman"/>
                <w:color w:val="000000"/>
                <w:sz w:val="20"/>
                <w:szCs w:val="20"/>
              </w:rPr>
              <w:t>.</w:t>
            </w:r>
          </w:p>
          <w:p w14:paraId="077854F7" w14:textId="77777777" w:rsidR="00542ACE" w:rsidRPr="00731FE2" w:rsidRDefault="00542ACE" w:rsidP="00542ACE">
            <w:pPr>
              <w:pBdr>
                <w:top w:val="none" w:sz="4" w:space="0" w:color="000000"/>
                <w:left w:val="none" w:sz="4" w:space="0" w:color="000000"/>
                <w:bottom w:val="none" w:sz="4" w:space="0" w:color="000000"/>
                <w:right w:val="none" w:sz="4" w:space="0" w:color="000000"/>
              </w:pBdr>
              <w:spacing w:line="62" w:lineRule="atLeast"/>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 xml:space="preserve">17 зданий, </w:t>
            </w:r>
            <w:r w:rsidR="002D4BFD" w:rsidRPr="00731FE2">
              <w:rPr>
                <w:rFonts w:ascii="Times New Roman" w:eastAsia="Times New Roman" w:hAnsi="Times New Roman" w:cs="Times New Roman"/>
                <w:color w:val="000000"/>
                <w:sz w:val="20"/>
                <w:szCs w:val="20"/>
              </w:rPr>
              <w:t xml:space="preserve">фитнес-центр с бассейном. </w:t>
            </w:r>
          </w:p>
          <w:p w14:paraId="7E68CFDF" w14:textId="5127B791" w:rsidR="002D4BFD" w:rsidRPr="00731FE2" w:rsidRDefault="00542ACE" w:rsidP="00542ACE">
            <w:pPr>
              <w:pBdr>
                <w:top w:val="none" w:sz="4" w:space="0" w:color="000000"/>
                <w:left w:val="none" w:sz="4" w:space="0" w:color="000000"/>
                <w:bottom w:val="none" w:sz="4" w:space="0" w:color="000000"/>
                <w:right w:val="none" w:sz="4" w:space="0" w:color="000000"/>
              </w:pBdr>
              <w:spacing w:line="62" w:lineRule="atLeast"/>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 xml:space="preserve">1,1 тыс. </w:t>
            </w:r>
            <w:r w:rsidR="002D4BFD" w:rsidRPr="00731FE2">
              <w:rPr>
                <w:rFonts w:ascii="Times New Roman" w:eastAsia="Times New Roman" w:hAnsi="Times New Roman" w:cs="Times New Roman"/>
                <w:color w:val="000000"/>
                <w:sz w:val="20"/>
                <w:szCs w:val="20"/>
              </w:rPr>
              <w:t>квартир</w:t>
            </w:r>
            <w:r w:rsidRPr="00731FE2">
              <w:rPr>
                <w:rFonts w:ascii="Times New Roman" w:eastAsia="Times New Roman" w:hAnsi="Times New Roman" w:cs="Times New Roman"/>
                <w:color w:val="000000"/>
                <w:sz w:val="20"/>
                <w:szCs w:val="20"/>
              </w:rPr>
              <w:t>,</w:t>
            </w:r>
            <w:r w:rsidR="002D4BFD" w:rsidRPr="00731FE2">
              <w:rPr>
                <w:rFonts w:ascii="Times New Roman" w:eastAsia="Times New Roman" w:hAnsi="Times New Roman" w:cs="Times New Roman"/>
                <w:color w:val="000000"/>
                <w:sz w:val="20"/>
                <w:szCs w:val="20"/>
              </w:rPr>
              <w:t xml:space="preserve"> площадью более 88,5 тыс. кв. м.</w:t>
            </w:r>
          </w:p>
        </w:tc>
        <w:tc>
          <w:tcPr>
            <w:tcW w:w="1843" w:type="dxa"/>
            <w:vAlign w:val="center"/>
          </w:tcPr>
          <w:p w14:paraId="1AF65D6F" w14:textId="77777777" w:rsidR="00423B27" w:rsidRPr="00731FE2" w:rsidRDefault="002D4BFD" w:rsidP="00423B27">
            <w:pP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ГО «город-курорт Кисловодск»</w:t>
            </w:r>
            <w:r w:rsidR="00423B27" w:rsidRPr="00731FE2">
              <w:rPr>
                <w:rFonts w:ascii="Times New Roman" w:eastAsia="Times New Roman" w:hAnsi="Times New Roman" w:cs="Times New Roman"/>
                <w:color w:val="000000"/>
                <w:sz w:val="20"/>
                <w:szCs w:val="20"/>
              </w:rPr>
              <w:t xml:space="preserve">, ул. Замковая, 78. </w:t>
            </w:r>
          </w:p>
          <w:p w14:paraId="48F2866F" w14:textId="77777777" w:rsidR="00423B27" w:rsidRPr="00731FE2" w:rsidRDefault="00423B27" w:rsidP="00423B27">
            <w:pP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26:34:000000:10967,</w:t>
            </w:r>
          </w:p>
          <w:p w14:paraId="238D2A4C" w14:textId="5ECA81B1" w:rsidR="00423B27" w:rsidRPr="00731FE2" w:rsidRDefault="00423B27" w:rsidP="00423B27">
            <w:pP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 xml:space="preserve">ул. Замковая, 80 </w:t>
            </w:r>
          </w:p>
          <w:p w14:paraId="15FBAA48" w14:textId="19DE5A4A" w:rsidR="00423B27" w:rsidRPr="00731FE2" w:rsidRDefault="00423B27" w:rsidP="00423B27">
            <w:pP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26:34:090301:110</w:t>
            </w:r>
          </w:p>
        </w:tc>
        <w:tc>
          <w:tcPr>
            <w:tcW w:w="1134" w:type="dxa"/>
            <w:vAlign w:val="center"/>
          </w:tcPr>
          <w:p w14:paraId="72C040D4" w14:textId="269A93B4" w:rsidR="002D4BFD" w:rsidRPr="00731FE2" w:rsidRDefault="002D4BFD" w:rsidP="002D4BFD">
            <w:pPr>
              <w:pBdr>
                <w:top w:val="none" w:sz="4" w:space="0" w:color="000000"/>
                <w:left w:val="none" w:sz="4" w:space="0" w:color="000000"/>
                <w:bottom w:val="none" w:sz="4" w:space="0" w:color="000000"/>
                <w:right w:val="none" w:sz="4" w:space="0" w:color="000000"/>
              </w:pBdr>
              <w:spacing w:line="62" w:lineRule="atLeast"/>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Первая очередь</w:t>
            </w:r>
          </w:p>
        </w:tc>
        <w:tc>
          <w:tcPr>
            <w:tcW w:w="1559" w:type="dxa"/>
            <w:vAlign w:val="center"/>
          </w:tcPr>
          <w:p w14:paraId="5483F974" w14:textId="13212853" w:rsidR="002D4BFD" w:rsidRPr="00731FE2" w:rsidRDefault="002D4BFD" w:rsidP="002D4BFD">
            <w:pP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П</w:t>
            </w:r>
          </w:p>
        </w:tc>
        <w:tc>
          <w:tcPr>
            <w:tcW w:w="1560" w:type="dxa"/>
            <w:vAlign w:val="center"/>
          </w:tcPr>
          <w:p w14:paraId="6605BB78" w14:textId="7A14BA03" w:rsidR="002D4BFD" w:rsidRPr="00731FE2" w:rsidRDefault="002D4BFD" w:rsidP="002D4BFD">
            <w:pP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w:t>
            </w:r>
          </w:p>
        </w:tc>
        <w:tc>
          <w:tcPr>
            <w:tcW w:w="2835" w:type="dxa"/>
            <w:vAlign w:val="center"/>
          </w:tcPr>
          <w:p w14:paraId="04F5CCC1" w14:textId="60D6A015" w:rsidR="002D4BFD" w:rsidRPr="00731FE2" w:rsidRDefault="00423B27" w:rsidP="002D4BFD">
            <w:pP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Распоряжение Губернатора Ставропольского края №173-р, от 30.03.2023 г. «О предоставлении земельных участков в аренду без проведения торгов для реализации масштабного инвестиционного проекта «Строительство комплекса многоэтажных жилых домов со встроенно-пристроенными помещениями и объектами городского благоустройства»</w:t>
            </w:r>
          </w:p>
        </w:tc>
      </w:tr>
      <w:tr w:rsidR="00423B27" w:rsidRPr="00731FE2" w14:paraId="3F692FC0" w14:textId="77777777" w:rsidTr="00357DCA">
        <w:trPr>
          <w:trHeight w:val="184"/>
        </w:trPr>
        <w:tc>
          <w:tcPr>
            <w:tcW w:w="352" w:type="dxa"/>
            <w:vAlign w:val="center"/>
          </w:tcPr>
          <w:p w14:paraId="38940C16" w14:textId="77777777" w:rsidR="00423B27" w:rsidRPr="00731FE2" w:rsidRDefault="00423B27" w:rsidP="00423B27">
            <w:pPr>
              <w:pStyle w:val="a3"/>
              <w:numPr>
                <w:ilvl w:val="0"/>
                <w:numId w:val="53"/>
              </w:numPr>
              <w:pBdr>
                <w:top w:val="none" w:sz="4" w:space="0" w:color="000000"/>
                <w:left w:val="none" w:sz="4" w:space="0" w:color="000000"/>
                <w:bottom w:val="none" w:sz="4" w:space="0" w:color="000000"/>
                <w:right w:val="none" w:sz="4" w:space="0" w:color="000000"/>
              </w:pBdr>
              <w:spacing w:line="62" w:lineRule="atLeast"/>
              <w:ind w:left="0" w:firstLine="0"/>
              <w:rPr>
                <w:rFonts w:ascii="Times New Roman" w:eastAsia="Times New Roman" w:hAnsi="Times New Roman" w:cs="Times New Roman"/>
                <w:color w:val="000000"/>
                <w:sz w:val="20"/>
                <w:szCs w:val="20"/>
              </w:rPr>
            </w:pPr>
          </w:p>
        </w:tc>
        <w:tc>
          <w:tcPr>
            <w:tcW w:w="999" w:type="dxa"/>
            <w:vAlign w:val="center"/>
          </w:tcPr>
          <w:p w14:paraId="22A089DA" w14:textId="59B39671" w:rsidR="00423B27" w:rsidRPr="00731FE2" w:rsidRDefault="00423B27" w:rsidP="00423B27">
            <w:pP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Инвестиционный проект</w:t>
            </w:r>
          </w:p>
        </w:tc>
        <w:tc>
          <w:tcPr>
            <w:tcW w:w="2472" w:type="dxa"/>
            <w:vAlign w:val="center"/>
          </w:tcPr>
          <w:p w14:paraId="03D52C38" w14:textId="599F446A" w:rsidR="00423B27" w:rsidRPr="00731FE2" w:rsidRDefault="00423B27" w:rsidP="00423B27">
            <w:pPr>
              <w:pBdr>
                <w:top w:val="none" w:sz="4" w:space="0" w:color="000000"/>
                <w:left w:val="none" w:sz="4" w:space="0" w:color="000000"/>
                <w:bottom w:val="none" w:sz="4" w:space="0" w:color="000000"/>
                <w:right w:val="none" w:sz="4" w:space="0" w:color="000000"/>
              </w:pBdr>
              <w:spacing w:line="62" w:lineRule="atLeast"/>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«Строительство жилого района в г. Кисловодске» (инициатор инвестиционного проекта – ООО «Агроком Холдинг»)</w:t>
            </w:r>
          </w:p>
        </w:tc>
        <w:tc>
          <w:tcPr>
            <w:tcW w:w="1842" w:type="dxa"/>
            <w:vAlign w:val="center"/>
          </w:tcPr>
          <w:p w14:paraId="240E006A" w14:textId="7B2A6E50" w:rsidR="00423B27" w:rsidRPr="00731FE2" w:rsidRDefault="00423B27" w:rsidP="00423B27">
            <w:pPr>
              <w:pBdr>
                <w:top w:val="none" w:sz="4" w:space="0" w:color="000000"/>
                <w:left w:val="none" w:sz="4" w:space="0" w:color="000000"/>
                <w:bottom w:val="none" w:sz="4" w:space="0" w:color="000000"/>
                <w:right w:val="none" w:sz="4" w:space="0" w:color="000000"/>
              </w:pBdr>
              <w:spacing w:line="62" w:lineRule="atLeast"/>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Площадь участка – 8,03 га</w:t>
            </w:r>
          </w:p>
        </w:tc>
        <w:tc>
          <w:tcPr>
            <w:tcW w:w="1843" w:type="dxa"/>
            <w:vAlign w:val="center"/>
          </w:tcPr>
          <w:p w14:paraId="630C40E7" w14:textId="0CA55FCE" w:rsidR="00423B27" w:rsidRPr="00731FE2" w:rsidRDefault="00423B27" w:rsidP="00423B27">
            <w:pP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ГО «город-курорт Кисловодск»</w:t>
            </w:r>
            <w:r w:rsidR="00542ACE" w:rsidRPr="00731FE2">
              <w:rPr>
                <w:rFonts w:ascii="Times New Roman" w:eastAsia="Times New Roman" w:hAnsi="Times New Roman" w:cs="Times New Roman"/>
                <w:color w:val="000000"/>
                <w:sz w:val="20"/>
                <w:szCs w:val="20"/>
              </w:rPr>
              <w:t>, ул. Замковая, 76</w:t>
            </w:r>
          </w:p>
          <w:p w14:paraId="4832B275" w14:textId="6822CEC2" w:rsidR="00423B27" w:rsidRPr="00731FE2" w:rsidRDefault="00423B27" w:rsidP="00423B27">
            <w:pP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26:34:000000:10010</w:t>
            </w:r>
          </w:p>
        </w:tc>
        <w:tc>
          <w:tcPr>
            <w:tcW w:w="1134" w:type="dxa"/>
            <w:vAlign w:val="center"/>
          </w:tcPr>
          <w:p w14:paraId="5BF50513" w14:textId="6C41E37F" w:rsidR="00423B27" w:rsidRPr="00731FE2" w:rsidRDefault="00423B27" w:rsidP="00423B27">
            <w:pPr>
              <w:pBdr>
                <w:top w:val="none" w:sz="4" w:space="0" w:color="000000"/>
                <w:left w:val="none" w:sz="4" w:space="0" w:color="000000"/>
                <w:bottom w:val="none" w:sz="4" w:space="0" w:color="000000"/>
                <w:right w:val="none" w:sz="4" w:space="0" w:color="000000"/>
              </w:pBdr>
              <w:spacing w:line="62" w:lineRule="atLeast"/>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Первая очередь</w:t>
            </w:r>
          </w:p>
        </w:tc>
        <w:tc>
          <w:tcPr>
            <w:tcW w:w="1559" w:type="dxa"/>
            <w:vAlign w:val="center"/>
          </w:tcPr>
          <w:p w14:paraId="61D08A2F" w14:textId="36C1675D" w:rsidR="00423B27" w:rsidRPr="00731FE2" w:rsidRDefault="00423B27" w:rsidP="00423B27">
            <w:pP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П</w:t>
            </w:r>
          </w:p>
        </w:tc>
        <w:tc>
          <w:tcPr>
            <w:tcW w:w="1560" w:type="dxa"/>
            <w:vAlign w:val="center"/>
          </w:tcPr>
          <w:p w14:paraId="18521693" w14:textId="34A727BD" w:rsidR="00423B27" w:rsidRPr="00731FE2" w:rsidRDefault="00423B27" w:rsidP="00423B27">
            <w:pP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w:t>
            </w:r>
          </w:p>
        </w:tc>
        <w:tc>
          <w:tcPr>
            <w:tcW w:w="2835" w:type="dxa"/>
            <w:vAlign w:val="center"/>
          </w:tcPr>
          <w:p w14:paraId="2038D5A7" w14:textId="5AEB56DD" w:rsidR="00423B27" w:rsidRPr="00731FE2" w:rsidRDefault="00423B27" w:rsidP="00423B27">
            <w:pP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Распоряжение Губернатора Ставропольского края №333-р, от 01.06.2023 г. «О предоставлении земельных участков в аренду без проведения торгов для реализации масштабного инвестиционного проекта «Строительство жилого района в г. Кисловодске»</w:t>
            </w:r>
          </w:p>
        </w:tc>
      </w:tr>
      <w:tr w:rsidR="00D6418C" w:rsidRPr="00731FE2" w14:paraId="557A6003" w14:textId="77777777" w:rsidTr="00357DCA">
        <w:trPr>
          <w:trHeight w:val="184"/>
        </w:trPr>
        <w:tc>
          <w:tcPr>
            <w:tcW w:w="352" w:type="dxa"/>
            <w:vAlign w:val="center"/>
          </w:tcPr>
          <w:p w14:paraId="66221A42" w14:textId="77777777" w:rsidR="00D6418C" w:rsidRPr="00731FE2" w:rsidRDefault="00D6418C" w:rsidP="00D6418C">
            <w:pPr>
              <w:pStyle w:val="a3"/>
              <w:numPr>
                <w:ilvl w:val="0"/>
                <w:numId w:val="53"/>
              </w:numPr>
              <w:pBdr>
                <w:top w:val="none" w:sz="4" w:space="0" w:color="000000"/>
                <w:left w:val="none" w:sz="4" w:space="0" w:color="000000"/>
                <w:bottom w:val="none" w:sz="4" w:space="0" w:color="000000"/>
                <w:right w:val="none" w:sz="4" w:space="0" w:color="000000"/>
              </w:pBdr>
              <w:spacing w:line="62" w:lineRule="atLeast"/>
              <w:ind w:left="0" w:firstLine="0"/>
              <w:rPr>
                <w:rFonts w:ascii="Times New Roman" w:eastAsia="Times New Roman" w:hAnsi="Times New Roman" w:cs="Times New Roman"/>
                <w:color w:val="000000"/>
                <w:sz w:val="20"/>
                <w:szCs w:val="20"/>
              </w:rPr>
            </w:pPr>
          </w:p>
        </w:tc>
        <w:tc>
          <w:tcPr>
            <w:tcW w:w="999" w:type="dxa"/>
            <w:vAlign w:val="center"/>
          </w:tcPr>
          <w:p w14:paraId="4556465E" w14:textId="6B07D94D" w:rsidR="00D6418C" w:rsidRPr="00731FE2" w:rsidRDefault="00D6418C" w:rsidP="00D6418C">
            <w:pP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Инвестиционный проект</w:t>
            </w:r>
          </w:p>
        </w:tc>
        <w:tc>
          <w:tcPr>
            <w:tcW w:w="2472" w:type="dxa"/>
            <w:vAlign w:val="center"/>
          </w:tcPr>
          <w:p w14:paraId="19D66FAC" w14:textId="5432D8BC" w:rsidR="00D6418C" w:rsidRPr="00731FE2" w:rsidRDefault="00D6418C" w:rsidP="00D6418C">
            <w:pPr>
              <w:pBdr>
                <w:top w:val="none" w:sz="4" w:space="0" w:color="000000"/>
                <w:left w:val="none" w:sz="4" w:space="0" w:color="000000"/>
                <w:bottom w:val="none" w:sz="4" w:space="0" w:color="000000"/>
                <w:right w:val="none" w:sz="4" w:space="0" w:color="000000"/>
              </w:pBdr>
              <w:spacing w:line="62" w:lineRule="atLeast"/>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«Строительство комплекса среднеэтажных жилых домов со встроенно-пристроенными помещениями и объектами городского благоустройства» (инициатор инвестиционного проекта – ООО «СЗ-20 ЮСИ»)</w:t>
            </w:r>
          </w:p>
        </w:tc>
        <w:tc>
          <w:tcPr>
            <w:tcW w:w="1842" w:type="dxa"/>
            <w:vAlign w:val="center"/>
          </w:tcPr>
          <w:p w14:paraId="13EA716B" w14:textId="424E0284" w:rsidR="00D6418C" w:rsidRPr="00731FE2" w:rsidRDefault="00D6418C" w:rsidP="00D6418C">
            <w:pPr>
              <w:pBdr>
                <w:top w:val="none" w:sz="4" w:space="0" w:color="000000"/>
                <w:left w:val="none" w:sz="4" w:space="0" w:color="000000"/>
                <w:bottom w:val="none" w:sz="4" w:space="0" w:color="000000"/>
                <w:right w:val="none" w:sz="4" w:space="0" w:color="000000"/>
              </w:pBdr>
              <w:spacing w:line="62" w:lineRule="atLeast"/>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 xml:space="preserve">Площадь участка – 3,29 га; </w:t>
            </w:r>
          </w:p>
          <w:p w14:paraId="5286E60F" w14:textId="26FC90DC" w:rsidR="00D6418C" w:rsidRPr="00731FE2" w:rsidRDefault="00D6418C" w:rsidP="00D6418C">
            <w:pPr>
              <w:pBdr>
                <w:top w:val="none" w:sz="4" w:space="0" w:color="000000"/>
                <w:left w:val="none" w:sz="4" w:space="0" w:color="000000"/>
                <w:bottom w:val="none" w:sz="4" w:space="0" w:color="000000"/>
                <w:right w:val="none" w:sz="4" w:space="0" w:color="000000"/>
              </w:pBdr>
              <w:spacing w:line="62" w:lineRule="atLeast"/>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5 жилых шестиэтажных домов, включающих около 500 квартир и 1 300 м</w:t>
            </w:r>
            <w:r w:rsidRPr="00731FE2">
              <w:rPr>
                <w:rFonts w:ascii="Times New Roman" w:eastAsia="Times New Roman" w:hAnsi="Times New Roman" w:cs="Times New Roman"/>
                <w:color w:val="000000"/>
                <w:sz w:val="20"/>
                <w:szCs w:val="20"/>
                <w:vertAlign w:val="superscript"/>
              </w:rPr>
              <w:t xml:space="preserve">2 </w:t>
            </w:r>
            <w:r w:rsidRPr="00731FE2">
              <w:rPr>
                <w:rFonts w:ascii="Times New Roman" w:eastAsia="Times New Roman" w:hAnsi="Times New Roman" w:cs="Times New Roman"/>
                <w:color w:val="000000"/>
                <w:sz w:val="20"/>
                <w:szCs w:val="20"/>
              </w:rPr>
              <w:t xml:space="preserve">коммерческих помещений </w:t>
            </w:r>
          </w:p>
        </w:tc>
        <w:tc>
          <w:tcPr>
            <w:tcW w:w="1843" w:type="dxa"/>
            <w:vAlign w:val="center"/>
          </w:tcPr>
          <w:p w14:paraId="218C4DC0" w14:textId="00AB2DC6" w:rsidR="00D6418C" w:rsidRPr="00731FE2" w:rsidRDefault="00D6418C" w:rsidP="00D6418C">
            <w:pP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ГО «город-курорт Кисловодск», ул. Катыхина, 185</w:t>
            </w:r>
          </w:p>
          <w:p w14:paraId="1C34BFB8" w14:textId="036826DB" w:rsidR="00D6418C" w:rsidRPr="00731FE2" w:rsidRDefault="00D6418C" w:rsidP="00D6418C">
            <w:pP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26:34:060301:808</w:t>
            </w:r>
          </w:p>
        </w:tc>
        <w:tc>
          <w:tcPr>
            <w:tcW w:w="1134" w:type="dxa"/>
            <w:vAlign w:val="center"/>
          </w:tcPr>
          <w:p w14:paraId="2EABA965" w14:textId="465CAFC2" w:rsidR="00D6418C" w:rsidRPr="00731FE2" w:rsidRDefault="00D6418C" w:rsidP="00D6418C">
            <w:pPr>
              <w:pBdr>
                <w:top w:val="none" w:sz="4" w:space="0" w:color="000000"/>
                <w:left w:val="none" w:sz="4" w:space="0" w:color="000000"/>
                <w:bottom w:val="none" w:sz="4" w:space="0" w:color="000000"/>
                <w:right w:val="none" w:sz="4" w:space="0" w:color="000000"/>
              </w:pBdr>
              <w:spacing w:line="62" w:lineRule="atLeast"/>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Первая очередь</w:t>
            </w:r>
          </w:p>
        </w:tc>
        <w:tc>
          <w:tcPr>
            <w:tcW w:w="1559" w:type="dxa"/>
            <w:vAlign w:val="center"/>
          </w:tcPr>
          <w:p w14:paraId="0A8E6056" w14:textId="6CCF77D2" w:rsidR="00D6418C" w:rsidRPr="00731FE2" w:rsidRDefault="00D6418C" w:rsidP="00D6418C">
            <w:pP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П</w:t>
            </w:r>
          </w:p>
        </w:tc>
        <w:tc>
          <w:tcPr>
            <w:tcW w:w="1560" w:type="dxa"/>
            <w:vAlign w:val="center"/>
          </w:tcPr>
          <w:p w14:paraId="13127226" w14:textId="6E34A507" w:rsidR="00D6418C" w:rsidRPr="00731FE2" w:rsidRDefault="00D6418C" w:rsidP="00D6418C">
            <w:pPr>
              <w:ind w:firstLine="0"/>
              <w:jc w:val="center"/>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w:t>
            </w:r>
          </w:p>
        </w:tc>
        <w:tc>
          <w:tcPr>
            <w:tcW w:w="2835" w:type="dxa"/>
            <w:vAlign w:val="center"/>
          </w:tcPr>
          <w:p w14:paraId="45B1EA68" w14:textId="3DB181A8" w:rsidR="00D6418C" w:rsidRPr="00731FE2" w:rsidRDefault="00D6418C" w:rsidP="00D6418C">
            <w:pPr>
              <w:ind w:firstLine="0"/>
              <w:rPr>
                <w:rFonts w:ascii="Times New Roman" w:eastAsia="Times New Roman" w:hAnsi="Times New Roman" w:cs="Times New Roman"/>
                <w:color w:val="000000"/>
                <w:sz w:val="20"/>
                <w:szCs w:val="20"/>
              </w:rPr>
            </w:pPr>
            <w:r w:rsidRPr="00731FE2">
              <w:rPr>
                <w:rFonts w:ascii="Times New Roman" w:eastAsia="Times New Roman" w:hAnsi="Times New Roman" w:cs="Times New Roman"/>
                <w:color w:val="000000"/>
                <w:sz w:val="20"/>
                <w:szCs w:val="20"/>
              </w:rPr>
              <w:t>Распоряжение Губернатора Ставропольского края №141-р, от 13.03.2024 г. «О предоставлении земельных участков в аренду без проведения торгов для реализации масштабного инвестиционного проекта «Строительство комплекса среднеэтажных жилых домов со встроенно-пристроенными помещениями и объектами городского благоустройства»</w:t>
            </w:r>
          </w:p>
        </w:tc>
      </w:tr>
    </w:tbl>
    <w:p w14:paraId="62A18564" w14:textId="77777777" w:rsidR="00D77F5C" w:rsidRPr="00731FE2" w:rsidRDefault="00D77F5C">
      <w:pPr>
        <w:ind w:firstLine="0"/>
        <w:rPr>
          <w:rFonts w:ascii="Times New Roman" w:eastAsiaTheme="majorEastAsia" w:hAnsi="Times New Roman" w:cs="Times New Roman"/>
          <w:color w:val="404040" w:themeColor="text1" w:themeTint="BF"/>
          <w:szCs w:val="24"/>
        </w:rPr>
        <w:sectPr w:rsidR="00D77F5C" w:rsidRPr="00731FE2" w:rsidSect="00FC1D9B">
          <w:pgSz w:w="16838" w:h="11906" w:orient="landscape"/>
          <w:pgMar w:top="1701" w:right="1134" w:bottom="850" w:left="1134" w:header="709" w:footer="709" w:gutter="0"/>
          <w:cols w:space="708"/>
          <w:docGrid w:linePitch="360"/>
        </w:sectPr>
      </w:pPr>
    </w:p>
    <w:p w14:paraId="69873540" w14:textId="77777777" w:rsidR="00171AA8" w:rsidRPr="00731FE2" w:rsidRDefault="007935AB">
      <w:pPr>
        <w:pStyle w:val="13"/>
        <w:rPr>
          <w:rFonts w:ascii="Times New Roman" w:hAnsi="Times New Roman" w:cs="Times New Roman"/>
        </w:rPr>
      </w:pPr>
      <w:bookmarkStart w:id="104" w:name="_Toc177392854"/>
      <w:r w:rsidRPr="00731FE2">
        <w:rPr>
          <w:rFonts w:ascii="Times New Roman" w:hAnsi="Times New Roman" w:cs="Times New Roman"/>
        </w:rPr>
        <w:lastRenderedPageBreak/>
        <w:t>5. СВЕДЕНИЯ ОБ УТВЕРЖДЕННЫХ ПРЕДМЕТАХ ОХРАНЫ И ГРАНИЦАХ ТЕРРИТОРИЙ ИСТОРИЧЕСКИХ ПОСЕЛЕНИЙ ФЕДЕРАЛЬНОГО ЗНАЧЕНИЯ И ИСТОРИЧЕСКИХ ПОСЕЛЕНИЙ РЕГИОНАЛЬНОГО ЗНАЧЕНИЯ.</w:t>
      </w:r>
      <w:bookmarkEnd w:id="104"/>
    </w:p>
    <w:p w14:paraId="0312D5FC" w14:textId="77777777" w:rsidR="00171AA8" w:rsidRPr="00731FE2" w:rsidRDefault="007935AB">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Городской округ город-курорт Кисловодск не входит в перечень исторических поселений федерального значения и в перечень исторических поселений регионального значения. Список объектов культурного наследия городского округа приведён в Приложении.</w:t>
      </w:r>
    </w:p>
    <w:p w14:paraId="04A7D016" w14:textId="77777777" w:rsidR="00171AA8" w:rsidRPr="00731FE2" w:rsidRDefault="007935AB">
      <w:pPr>
        <w:rPr>
          <w:rFonts w:ascii="Times New Roman" w:eastAsiaTheme="majorEastAsia" w:hAnsi="Times New Roman" w:cs="Times New Roman"/>
          <w:color w:val="404040" w:themeColor="text1" w:themeTint="BF"/>
          <w:szCs w:val="24"/>
        </w:rPr>
      </w:pPr>
      <w:r w:rsidRPr="00731FE2">
        <w:rPr>
          <w:rFonts w:ascii="Times New Roman" w:eastAsiaTheme="majorEastAsia" w:hAnsi="Times New Roman" w:cs="Times New Roman"/>
          <w:color w:val="404040" w:themeColor="text1" w:themeTint="BF"/>
          <w:szCs w:val="24"/>
        </w:rPr>
        <w:br w:type="page" w:clear="all"/>
      </w:r>
    </w:p>
    <w:p w14:paraId="34E67D90" w14:textId="77777777" w:rsidR="00171AA8" w:rsidRPr="00731FE2" w:rsidRDefault="007935AB">
      <w:pPr>
        <w:pStyle w:val="13"/>
        <w:rPr>
          <w:rFonts w:ascii="Times New Roman" w:hAnsi="Times New Roman" w:cs="Times New Roman"/>
        </w:rPr>
      </w:pPr>
      <w:bookmarkStart w:id="105" w:name="_Toc177392855"/>
      <w:r w:rsidRPr="00731FE2">
        <w:rPr>
          <w:rFonts w:ascii="Times New Roman" w:hAnsi="Times New Roman" w:cs="Times New Roman"/>
        </w:rPr>
        <w:lastRenderedPageBreak/>
        <w:t>6. ПЕРЕЧЕНЬ ЗЕМЕЛЬНЫХ УЧАСТКОВ, КОТОРЫЕ ВКЛЮЧАЮТСЯ В ГРАНИЦЫ НАСЕЛЕННЫХ ПУНКТОВ, ВХОДЯЩИХ В СОСТАВ ГОРОДСКОГО ОКРУГА, ИЛИ ИСКЛЮЧАЮТСЯ ИЗ ИХ ГРАНИЦ, С УКАЗАНИЕМ КАТЕГОРИЙ ЗЕМЕЛЬ, К КОТОРЫМ ПЛАНИРУЕТСЯ ОТНЕСТИ ЭТИ ЗЕМЕЛЬНЫЕ УЧАСТКИ, И ЦЕЛЕЙ ИХ ПЛАНИРУЕМОГО ИСПОЛЬЗОВАНИЯ</w:t>
      </w:r>
      <w:bookmarkEnd w:id="105"/>
    </w:p>
    <w:p w14:paraId="096BD62C" w14:textId="6137FC78" w:rsidR="00171AA8" w:rsidRPr="00731FE2" w:rsidRDefault="003C5559" w:rsidP="00ED5DD1">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Границы муниципального образования городской округ город-курорт Кисловодск установлены законом Ставропольского края от 25 августа 2004 года №78-кз «Об установлении границы муниципального образования города-курорта Кисловодска Ставропольского края».</w:t>
      </w:r>
    </w:p>
    <w:p w14:paraId="1F040D74" w14:textId="77777777" w:rsidR="00D50841" w:rsidRPr="00731FE2" w:rsidRDefault="00D50841" w:rsidP="00ED5DD1">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b/>
          <w:color w:val="000000"/>
          <w:szCs w:val="24"/>
        </w:rPr>
      </w:pPr>
      <w:r w:rsidRPr="00731FE2">
        <w:rPr>
          <w:rFonts w:ascii="Times New Roman" w:eastAsia="Times New Roman" w:hAnsi="Times New Roman" w:cs="Times New Roman"/>
          <w:b/>
          <w:color w:val="000000"/>
          <w:szCs w:val="24"/>
        </w:rPr>
        <w:t xml:space="preserve">Проектом генерального плана не предполагается включение в границы города-курорта Кисловодска земель </w:t>
      </w:r>
      <w:r w:rsidRPr="00731FE2">
        <w:rPr>
          <w:rFonts w:ascii="Times New Roman" w:eastAsia="Times New Roman" w:hAnsi="Times New Roman" w:cs="Times New Roman"/>
          <w:b/>
          <w:color w:val="000000"/>
        </w:rPr>
        <w:t>национального парка «Кисловодский»</w:t>
      </w:r>
      <w:r w:rsidRPr="00731FE2">
        <w:rPr>
          <w:rFonts w:ascii="Times New Roman" w:eastAsia="Times New Roman" w:hAnsi="Times New Roman" w:cs="Times New Roman"/>
          <w:b/>
          <w:color w:val="000000"/>
          <w:szCs w:val="24"/>
        </w:rPr>
        <w:t>. Согласно Положению о национальном парке «Кисловодский»</w:t>
      </w:r>
      <w:r w:rsidRPr="00731FE2">
        <w:rPr>
          <w:rStyle w:val="afb"/>
          <w:rFonts w:ascii="Times New Roman" w:eastAsia="Times New Roman" w:hAnsi="Times New Roman" w:cs="Times New Roman"/>
          <w:b/>
          <w:color w:val="000000"/>
          <w:szCs w:val="24"/>
          <w:vertAlign w:val="superscript"/>
        </w:rPr>
        <w:footnoteReference w:id="120"/>
      </w:r>
      <w:r w:rsidRPr="00731FE2">
        <w:rPr>
          <w:rFonts w:ascii="Times New Roman" w:eastAsia="Times New Roman" w:hAnsi="Times New Roman" w:cs="Times New Roman"/>
          <w:b/>
          <w:color w:val="000000"/>
          <w:szCs w:val="24"/>
        </w:rPr>
        <w:t xml:space="preserve">, сведения о местоположении границ национального парка внесены в Единый государственный реестр недвижимости (реестровый N 26:34-6.95). Границы города-курорта Кисловодска и </w:t>
      </w:r>
      <w:r w:rsidRPr="00731FE2">
        <w:rPr>
          <w:rFonts w:ascii="Times New Roman" w:eastAsia="Times New Roman" w:hAnsi="Times New Roman" w:cs="Times New Roman"/>
          <w:b/>
          <w:color w:val="000000"/>
        </w:rPr>
        <w:t xml:space="preserve">национального парка «Кисловодский» </w:t>
      </w:r>
      <w:r w:rsidRPr="00731FE2">
        <w:rPr>
          <w:rFonts w:ascii="Times New Roman" w:eastAsia="Times New Roman" w:hAnsi="Times New Roman" w:cs="Times New Roman"/>
          <w:b/>
          <w:color w:val="000000"/>
          <w:szCs w:val="24"/>
        </w:rPr>
        <w:t>являются смежными и не пересекаются.</w:t>
      </w:r>
    </w:p>
    <w:p w14:paraId="5747939C" w14:textId="0C65F3D1" w:rsidR="00D50841" w:rsidRPr="00731FE2" w:rsidRDefault="00D50841" w:rsidP="00ED5DD1">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color w:val="000000"/>
          <w:szCs w:val="24"/>
        </w:rPr>
        <w:t xml:space="preserve">Генеральным планом предусматривается изменение границ населенных пунктов: г. Кисловодска, п. Аликоновка и п. Белореченский. </w:t>
      </w:r>
      <w:r w:rsidR="00157038" w:rsidRPr="00731FE2">
        <w:rPr>
          <w:rFonts w:ascii="Times New Roman" w:eastAsia="Times New Roman" w:hAnsi="Times New Roman" w:cs="Times New Roman"/>
          <w:color w:val="000000"/>
          <w:szCs w:val="24"/>
        </w:rPr>
        <w:t>К</w:t>
      </w:r>
      <w:r w:rsidRPr="00731FE2">
        <w:rPr>
          <w:rFonts w:ascii="Times New Roman" w:eastAsia="Times New Roman" w:hAnsi="Times New Roman" w:cs="Times New Roman"/>
          <w:color w:val="000000"/>
          <w:szCs w:val="24"/>
        </w:rPr>
        <w:t>атегори</w:t>
      </w:r>
      <w:r w:rsidR="00157038" w:rsidRPr="00731FE2">
        <w:rPr>
          <w:rFonts w:ascii="Times New Roman" w:eastAsia="Times New Roman" w:hAnsi="Times New Roman" w:cs="Times New Roman"/>
          <w:color w:val="000000"/>
          <w:szCs w:val="24"/>
        </w:rPr>
        <w:t>я</w:t>
      </w:r>
      <w:r w:rsidRPr="00731FE2">
        <w:rPr>
          <w:rFonts w:ascii="Times New Roman" w:eastAsia="Times New Roman" w:hAnsi="Times New Roman" w:cs="Times New Roman"/>
          <w:color w:val="000000"/>
          <w:szCs w:val="24"/>
        </w:rPr>
        <w:t xml:space="preserve"> земельных участков</w:t>
      </w:r>
      <w:r w:rsidR="00157038" w:rsidRPr="00731FE2">
        <w:rPr>
          <w:rFonts w:ascii="Times New Roman" w:eastAsia="Times New Roman" w:hAnsi="Times New Roman" w:cs="Times New Roman"/>
          <w:color w:val="000000"/>
          <w:szCs w:val="24"/>
        </w:rPr>
        <w:t xml:space="preserve"> (земли населенных пунктов), существующее и планируемое использование земельных участков не изменяется</w:t>
      </w:r>
      <w:r w:rsidRPr="00731FE2">
        <w:rPr>
          <w:rFonts w:ascii="Times New Roman" w:eastAsia="Times New Roman" w:hAnsi="Times New Roman" w:cs="Times New Roman"/>
          <w:color w:val="000000"/>
          <w:szCs w:val="24"/>
        </w:rPr>
        <w:t>.</w:t>
      </w:r>
    </w:p>
    <w:p w14:paraId="74F259EF" w14:textId="77777777" w:rsidR="00D50841" w:rsidRPr="00731FE2" w:rsidRDefault="00D50841" w:rsidP="00ED5DD1">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b/>
          <w:color w:val="000000"/>
          <w:szCs w:val="24"/>
        </w:rPr>
      </w:pPr>
      <w:r w:rsidRPr="00731FE2">
        <w:rPr>
          <w:rFonts w:ascii="Times New Roman" w:eastAsia="Times New Roman" w:hAnsi="Times New Roman" w:cs="Times New Roman"/>
          <w:b/>
          <w:color w:val="000000"/>
          <w:szCs w:val="24"/>
        </w:rPr>
        <w:t xml:space="preserve">Граница г. Кисловодска изменится в связи с: </w:t>
      </w:r>
    </w:p>
    <w:p w14:paraId="1071140C" w14:textId="4EA2584E" w:rsidR="00D50841" w:rsidRPr="00731FE2" w:rsidRDefault="00D50841" w:rsidP="00ED5DD1">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b/>
          <w:color w:val="000000"/>
          <w:szCs w:val="24"/>
        </w:rPr>
        <w:t>1.</w:t>
      </w:r>
      <w:r w:rsidRPr="00731FE2">
        <w:rPr>
          <w:rFonts w:ascii="Times New Roman" w:eastAsia="Times New Roman" w:hAnsi="Times New Roman" w:cs="Times New Roman"/>
          <w:color w:val="000000"/>
          <w:szCs w:val="24"/>
        </w:rPr>
        <w:t xml:space="preserve"> </w:t>
      </w:r>
      <w:r w:rsidR="00157038" w:rsidRPr="00731FE2">
        <w:rPr>
          <w:rFonts w:ascii="Times New Roman" w:eastAsia="Times New Roman" w:hAnsi="Times New Roman" w:cs="Times New Roman"/>
          <w:color w:val="000000"/>
          <w:szCs w:val="24"/>
        </w:rPr>
        <w:t>и</w:t>
      </w:r>
      <w:r w:rsidRPr="00731FE2">
        <w:rPr>
          <w:rFonts w:ascii="Times New Roman" w:eastAsia="Times New Roman" w:hAnsi="Times New Roman" w:cs="Times New Roman"/>
          <w:color w:val="000000"/>
          <w:szCs w:val="24"/>
        </w:rPr>
        <w:t>сключением из границ города земельных участков с кадастровыми номерами 26:34:050307:4, 26:34:050307:2, 26:34:050307:7, 26:34:050307:220 и переводом этих участков в границы п. Аликоновка. Данные участки представлены в таблице 97 – «Перечень земельных участков, не меняющих категорию земель, исключенных из земель населенного пункта г. Кисловодска»</w:t>
      </w:r>
      <w:r w:rsidR="00157038" w:rsidRPr="00731FE2">
        <w:rPr>
          <w:rFonts w:ascii="Times New Roman" w:eastAsia="Times New Roman" w:hAnsi="Times New Roman" w:cs="Times New Roman"/>
          <w:color w:val="000000"/>
          <w:szCs w:val="24"/>
        </w:rPr>
        <w:t>;</w:t>
      </w:r>
    </w:p>
    <w:p w14:paraId="5D1ACB54" w14:textId="2924E548" w:rsidR="00D50841" w:rsidRPr="00731FE2" w:rsidRDefault="00D50841" w:rsidP="00ED5DD1">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b/>
          <w:color w:val="000000"/>
          <w:szCs w:val="24"/>
        </w:rPr>
        <w:t>2.</w:t>
      </w:r>
      <w:r w:rsidRPr="00731FE2">
        <w:rPr>
          <w:rFonts w:ascii="Times New Roman" w:eastAsia="Times New Roman" w:hAnsi="Times New Roman" w:cs="Times New Roman"/>
          <w:color w:val="000000"/>
          <w:szCs w:val="24"/>
        </w:rPr>
        <w:t xml:space="preserve"> </w:t>
      </w:r>
      <w:r w:rsidR="00157038" w:rsidRPr="00731FE2">
        <w:rPr>
          <w:rFonts w:ascii="Times New Roman" w:eastAsia="Times New Roman" w:hAnsi="Times New Roman" w:cs="Times New Roman"/>
          <w:color w:val="000000"/>
          <w:szCs w:val="24"/>
        </w:rPr>
        <w:t>и</w:t>
      </w:r>
      <w:r w:rsidRPr="00731FE2">
        <w:rPr>
          <w:rFonts w:ascii="Times New Roman" w:eastAsia="Times New Roman" w:hAnsi="Times New Roman" w:cs="Times New Roman"/>
          <w:color w:val="000000"/>
          <w:szCs w:val="24"/>
        </w:rPr>
        <w:t>сключением из границ г. Кисловодска территории, не внесенной в ЕГРН, расположенной в кадастровом квартале 26:34:060503 в западной части города. Данная территория переводятся в</w:t>
      </w:r>
      <w:r w:rsidR="00157038" w:rsidRPr="00731FE2">
        <w:rPr>
          <w:rFonts w:ascii="Times New Roman" w:eastAsia="Times New Roman" w:hAnsi="Times New Roman" w:cs="Times New Roman"/>
          <w:color w:val="000000"/>
          <w:szCs w:val="24"/>
        </w:rPr>
        <w:t xml:space="preserve"> населенный пункт п. Аликоновка;</w:t>
      </w:r>
    </w:p>
    <w:p w14:paraId="67F72D7B" w14:textId="350A17B7" w:rsidR="00D50841" w:rsidRPr="00731FE2" w:rsidRDefault="00D50841" w:rsidP="00ED5DD1">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b/>
          <w:color w:val="000000"/>
          <w:szCs w:val="24"/>
        </w:rPr>
        <w:t>3.</w:t>
      </w:r>
      <w:r w:rsidRPr="00731FE2">
        <w:rPr>
          <w:rFonts w:ascii="Times New Roman" w:eastAsia="Times New Roman" w:hAnsi="Times New Roman" w:cs="Times New Roman"/>
          <w:color w:val="000000"/>
          <w:szCs w:val="24"/>
        </w:rPr>
        <w:t xml:space="preserve"> </w:t>
      </w:r>
      <w:r w:rsidR="00157038" w:rsidRPr="00731FE2">
        <w:rPr>
          <w:rFonts w:ascii="Times New Roman" w:eastAsia="Times New Roman" w:hAnsi="Times New Roman" w:cs="Times New Roman"/>
          <w:color w:val="000000"/>
          <w:szCs w:val="24"/>
        </w:rPr>
        <w:t>и</w:t>
      </w:r>
      <w:r w:rsidRPr="00731FE2">
        <w:rPr>
          <w:rFonts w:ascii="Times New Roman" w:eastAsia="Times New Roman" w:hAnsi="Times New Roman" w:cs="Times New Roman"/>
          <w:color w:val="000000"/>
          <w:szCs w:val="24"/>
        </w:rPr>
        <w:t>сключением из границ г. Кисловодска земельного участка с кадастровым номером 26:34:140105:71 и включением данного участка в п. Белореченский. Данный участок представлен в таблице 97 – «Перечень земельных участков, не меняющих категорию земель, исключенных из земель населенного пункта г. Кисловодска»</w:t>
      </w:r>
      <w:r w:rsidR="00157038" w:rsidRPr="00731FE2">
        <w:rPr>
          <w:rFonts w:ascii="Times New Roman" w:eastAsia="Times New Roman" w:hAnsi="Times New Roman" w:cs="Times New Roman"/>
          <w:color w:val="000000"/>
          <w:szCs w:val="24"/>
        </w:rPr>
        <w:t>;</w:t>
      </w:r>
    </w:p>
    <w:p w14:paraId="1098AAF8" w14:textId="33142353" w:rsidR="00D50841" w:rsidRPr="00731FE2" w:rsidRDefault="00D50841" w:rsidP="00ED5DD1">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r w:rsidRPr="00731FE2">
        <w:rPr>
          <w:rFonts w:ascii="Times New Roman" w:eastAsia="Times New Roman" w:hAnsi="Times New Roman" w:cs="Times New Roman"/>
          <w:b/>
          <w:color w:val="000000"/>
          <w:szCs w:val="24"/>
        </w:rPr>
        <w:t>4.</w:t>
      </w:r>
      <w:r w:rsidRPr="00731FE2">
        <w:rPr>
          <w:rFonts w:ascii="Times New Roman" w:eastAsia="Times New Roman" w:hAnsi="Times New Roman" w:cs="Times New Roman"/>
          <w:color w:val="000000"/>
          <w:szCs w:val="24"/>
        </w:rPr>
        <w:t xml:space="preserve"> </w:t>
      </w:r>
      <w:r w:rsidR="00157038" w:rsidRPr="00731FE2">
        <w:rPr>
          <w:rFonts w:ascii="Times New Roman" w:eastAsia="Times New Roman" w:hAnsi="Times New Roman" w:cs="Times New Roman"/>
          <w:color w:val="000000"/>
          <w:szCs w:val="24"/>
        </w:rPr>
        <w:t>и</w:t>
      </w:r>
      <w:r w:rsidRPr="00731FE2">
        <w:rPr>
          <w:rFonts w:ascii="Times New Roman" w:eastAsia="Times New Roman" w:hAnsi="Times New Roman" w:cs="Times New Roman"/>
          <w:color w:val="000000"/>
          <w:szCs w:val="24"/>
        </w:rPr>
        <w:t>сключением из границ г. Кисловодска земельного участка с кадастровым номером 26:34:150307:4, а также территории, не внесенной в ЕГРН, расположенной в кадастровом квартале 26:34:150307 в восточной части города. Данная территория переводятся в населенный пункт п. Белореченский.</w:t>
      </w:r>
    </w:p>
    <w:p w14:paraId="1452AF1A" w14:textId="77777777" w:rsidR="00D50841" w:rsidRPr="00731FE2" w:rsidRDefault="00D50841" w:rsidP="00D50841">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p>
    <w:p w14:paraId="431430F1" w14:textId="07BA721D" w:rsidR="00D50841" w:rsidRPr="00731FE2" w:rsidRDefault="00D50841" w:rsidP="00D50841">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Cs w:val="24"/>
        </w:rPr>
      </w:pPr>
      <w:r w:rsidRPr="00731FE2">
        <w:rPr>
          <w:noProof/>
          <w:lang w:eastAsia="ru-RU"/>
        </w:rPr>
        <w:lastRenderedPageBreak/>
        <w:drawing>
          <wp:inline distT="0" distB="0" distL="0" distR="0" wp14:anchorId="16B87D82" wp14:editId="051BFD0D">
            <wp:extent cx="5940425" cy="4297680"/>
            <wp:effectExtent l="0" t="0" r="3175" b="762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940425" cy="4297680"/>
                    </a:xfrm>
                    <a:prstGeom prst="rect">
                      <a:avLst/>
                    </a:prstGeom>
                  </pic:spPr>
                </pic:pic>
              </a:graphicData>
            </a:graphic>
          </wp:inline>
        </w:drawing>
      </w:r>
    </w:p>
    <w:p w14:paraId="78A665BD" w14:textId="77777777" w:rsidR="00D50841" w:rsidRPr="00731FE2" w:rsidRDefault="00D50841" w:rsidP="00D50841">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p>
    <w:p w14:paraId="5E87EF45" w14:textId="239D9F0C" w:rsidR="00D50841" w:rsidRPr="00731FE2" w:rsidRDefault="00D50841" w:rsidP="00157038">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Cs w:val="24"/>
        </w:rPr>
      </w:pPr>
      <w:r w:rsidRPr="00731FE2">
        <w:rPr>
          <w:rFonts w:ascii="Times New Roman" w:eastAsia="Times New Roman" w:hAnsi="Times New Roman" w:cs="Times New Roman"/>
          <w:b/>
          <w:bCs/>
          <w:color w:val="000000" w:themeColor="text1"/>
          <w:szCs w:val="24"/>
        </w:rPr>
        <w:t xml:space="preserve">Таблица </w:t>
      </w:r>
      <w:r w:rsidRPr="00731FE2">
        <w:rPr>
          <w:rFonts w:ascii="Times New Roman" w:eastAsia="Times New Roman" w:hAnsi="Times New Roman" w:cs="Times New Roman"/>
          <w:b/>
          <w:bCs/>
          <w:color w:val="000000" w:themeColor="text1"/>
          <w:szCs w:val="24"/>
        </w:rPr>
        <w:fldChar w:fldCharType="begin"/>
      </w:r>
      <w:r w:rsidRPr="00731FE2">
        <w:rPr>
          <w:rFonts w:ascii="Times New Roman" w:eastAsia="Times New Roman" w:hAnsi="Times New Roman" w:cs="Times New Roman"/>
          <w:b/>
          <w:bCs/>
          <w:color w:val="000000" w:themeColor="text1"/>
          <w:szCs w:val="24"/>
        </w:rPr>
        <w:instrText xml:space="preserve"> SEQ Таблица \* Arabic </w:instrText>
      </w:r>
      <w:r w:rsidRPr="00731FE2">
        <w:rPr>
          <w:rFonts w:ascii="Times New Roman" w:eastAsia="Times New Roman" w:hAnsi="Times New Roman" w:cs="Times New Roman"/>
          <w:b/>
          <w:bCs/>
          <w:color w:val="000000" w:themeColor="text1"/>
          <w:szCs w:val="24"/>
        </w:rPr>
        <w:fldChar w:fldCharType="separate"/>
      </w:r>
      <w:r w:rsidR="00C50915" w:rsidRPr="00731FE2">
        <w:rPr>
          <w:rFonts w:ascii="Times New Roman" w:eastAsia="Times New Roman" w:hAnsi="Times New Roman" w:cs="Times New Roman"/>
          <w:b/>
          <w:bCs/>
          <w:noProof/>
          <w:color w:val="000000" w:themeColor="text1"/>
          <w:szCs w:val="24"/>
        </w:rPr>
        <w:t>97</w:t>
      </w:r>
      <w:r w:rsidRPr="00731FE2">
        <w:rPr>
          <w:rFonts w:ascii="Times New Roman" w:eastAsia="Times New Roman" w:hAnsi="Times New Roman" w:cs="Times New Roman"/>
          <w:b/>
          <w:bCs/>
          <w:color w:val="000000" w:themeColor="text1"/>
          <w:szCs w:val="24"/>
        </w:rPr>
        <w:fldChar w:fldCharType="end"/>
      </w:r>
      <w:r w:rsidRPr="00731FE2">
        <w:rPr>
          <w:rFonts w:ascii="Times New Roman" w:eastAsia="Times New Roman" w:hAnsi="Times New Roman" w:cs="Times New Roman"/>
          <w:b/>
          <w:bCs/>
          <w:color w:val="000000" w:themeColor="text1"/>
          <w:szCs w:val="24"/>
        </w:rPr>
        <w:t xml:space="preserve"> – Перечень земельных участков, не меняющих категорию земель, исключенных из земель населенного пункта г. Кисловодска</w:t>
      </w:r>
    </w:p>
    <w:tbl>
      <w:tblPr>
        <w:tblStyle w:val="afe"/>
        <w:tblW w:w="9240" w:type="dxa"/>
        <w:jc w:val="center"/>
        <w:tblLayout w:type="fixed"/>
        <w:tblCellMar>
          <w:left w:w="45" w:type="dxa"/>
          <w:right w:w="45" w:type="dxa"/>
        </w:tblCellMar>
        <w:tblLook w:val="0600" w:firstRow="0" w:lastRow="0" w:firstColumn="0" w:lastColumn="0" w:noHBand="1" w:noVBand="1"/>
      </w:tblPr>
      <w:tblGrid>
        <w:gridCol w:w="570"/>
        <w:gridCol w:w="1780"/>
        <w:gridCol w:w="1473"/>
        <w:gridCol w:w="1701"/>
        <w:gridCol w:w="1275"/>
        <w:gridCol w:w="1418"/>
        <w:gridCol w:w="1023"/>
      </w:tblGrid>
      <w:tr w:rsidR="00D50841" w:rsidRPr="00731FE2" w14:paraId="368FAB0E" w14:textId="77777777" w:rsidTr="00D50841">
        <w:trPr>
          <w:trHeight w:val="20"/>
          <w:jc w:val="center"/>
        </w:trPr>
        <w:tc>
          <w:tcPr>
            <w:tcW w:w="570" w:type="dxa"/>
            <w:vAlign w:val="center"/>
          </w:tcPr>
          <w:p w14:paraId="418F1E64" w14:textId="2AD57E0C" w:rsidR="00D50841" w:rsidRPr="00731FE2" w:rsidRDefault="00D50841" w:rsidP="00D50841">
            <w:pPr>
              <w:pStyle w:val="a3"/>
              <w:ind w:left="0" w:firstLine="0"/>
              <w:rPr>
                <w:rFonts w:ascii="Times New Roman" w:hAnsi="Times New Roman" w:cs="Times New Roman"/>
                <w:b/>
                <w:sz w:val="20"/>
                <w:szCs w:val="20"/>
              </w:rPr>
            </w:pPr>
            <w:r w:rsidRPr="00731FE2">
              <w:rPr>
                <w:rFonts w:ascii="Times New Roman" w:hAnsi="Times New Roman" w:cs="Times New Roman"/>
                <w:b/>
                <w:sz w:val="20"/>
                <w:szCs w:val="20"/>
              </w:rPr>
              <w:t>№ п/п</w:t>
            </w:r>
          </w:p>
        </w:tc>
        <w:tc>
          <w:tcPr>
            <w:tcW w:w="1780" w:type="dxa"/>
            <w:vAlign w:val="center"/>
          </w:tcPr>
          <w:p w14:paraId="2A8DA9E3" w14:textId="77777777" w:rsidR="00D50841" w:rsidRPr="00731FE2" w:rsidRDefault="00D50841" w:rsidP="00D50841">
            <w:pPr>
              <w:ind w:firstLine="0"/>
              <w:jc w:val="center"/>
              <w:rPr>
                <w:rFonts w:ascii="Times New Roman" w:hAnsi="Times New Roman" w:cs="Times New Roman"/>
                <w:b/>
                <w:sz w:val="20"/>
                <w:szCs w:val="20"/>
              </w:rPr>
            </w:pPr>
            <w:r w:rsidRPr="00731FE2">
              <w:rPr>
                <w:rFonts w:ascii="Times New Roman" w:hAnsi="Times New Roman" w:cs="Times New Roman"/>
                <w:b/>
                <w:sz w:val="20"/>
                <w:szCs w:val="20"/>
              </w:rPr>
              <w:t>Кадастровый номер земельного участка</w:t>
            </w:r>
          </w:p>
        </w:tc>
        <w:tc>
          <w:tcPr>
            <w:tcW w:w="1473" w:type="dxa"/>
            <w:vAlign w:val="center"/>
          </w:tcPr>
          <w:p w14:paraId="17BB2EDA" w14:textId="77777777" w:rsidR="00D50841" w:rsidRPr="00731FE2" w:rsidRDefault="00D50841" w:rsidP="00D50841">
            <w:pPr>
              <w:ind w:firstLine="0"/>
              <w:jc w:val="center"/>
              <w:rPr>
                <w:rFonts w:ascii="Times New Roman" w:hAnsi="Times New Roman" w:cs="Times New Roman"/>
                <w:b/>
                <w:sz w:val="20"/>
                <w:szCs w:val="20"/>
              </w:rPr>
            </w:pPr>
            <w:r w:rsidRPr="00731FE2">
              <w:rPr>
                <w:rFonts w:ascii="Times New Roman" w:hAnsi="Times New Roman" w:cs="Times New Roman"/>
                <w:b/>
                <w:sz w:val="20"/>
                <w:szCs w:val="20"/>
              </w:rPr>
              <w:t>Существующая категория земель</w:t>
            </w:r>
          </w:p>
        </w:tc>
        <w:tc>
          <w:tcPr>
            <w:tcW w:w="1701" w:type="dxa"/>
            <w:vAlign w:val="center"/>
          </w:tcPr>
          <w:p w14:paraId="03011C51" w14:textId="77777777" w:rsidR="00D50841" w:rsidRPr="00731FE2" w:rsidRDefault="00D50841" w:rsidP="00D50841">
            <w:pPr>
              <w:ind w:firstLine="0"/>
              <w:jc w:val="center"/>
              <w:rPr>
                <w:rFonts w:ascii="Times New Roman" w:hAnsi="Times New Roman" w:cs="Times New Roman"/>
                <w:b/>
                <w:sz w:val="20"/>
                <w:szCs w:val="20"/>
              </w:rPr>
            </w:pPr>
            <w:r w:rsidRPr="00731FE2">
              <w:rPr>
                <w:rFonts w:ascii="Times New Roman" w:hAnsi="Times New Roman" w:cs="Times New Roman"/>
                <w:b/>
                <w:sz w:val="20"/>
                <w:szCs w:val="20"/>
              </w:rPr>
              <w:t>Существующее использование земельного участка</w:t>
            </w:r>
          </w:p>
        </w:tc>
        <w:tc>
          <w:tcPr>
            <w:tcW w:w="1275" w:type="dxa"/>
            <w:vAlign w:val="center"/>
          </w:tcPr>
          <w:p w14:paraId="5CA80EF7" w14:textId="77777777" w:rsidR="00D50841" w:rsidRPr="00731FE2" w:rsidRDefault="00D50841" w:rsidP="00D50841">
            <w:pPr>
              <w:ind w:firstLine="0"/>
              <w:jc w:val="center"/>
              <w:rPr>
                <w:rFonts w:ascii="Times New Roman" w:hAnsi="Times New Roman" w:cs="Times New Roman"/>
                <w:b/>
                <w:sz w:val="20"/>
                <w:szCs w:val="20"/>
              </w:rPr>
            </w:pPr>
            <w:r w:rsidRPr="00731FE2">
              <w:rPr>
                <w:rFonts w:ascii="Times New Roman" w:hAnsi="Times New Roman" w:cs="Times New Roman"/>
                <w:b/>
                <w:sz w:val="20"/>
                <w:szCs w:val="20"/>
              </w:rPr>
              <w:t>Планируемая категория земель</w:t>
            </w:r>
          </w:p>
        </w:tc>
        <w:tc>
          <w:tcPr>
            <w:tcW w:w="1418" w:type="dxa"/>
            <w:vAlign w:val="center"/>
          </w:tcPr>
          <w:p w14:paraId="3652F4C6" w14:textId="77777777" w:rsidR="00D50841" w:rsidRPr="00731FE2" w:rsidRDefault="00D50841" w:rsidP="00D50841">
            <w:pPr>
              <w:ind w:firstLine="0"/>
              <w:jc w:val="center"/>
              <w:rPr>
                <w:rFonts w:ascii="Times New Roman" w:hAnsi="Times New Roman" w:cs="Times New Roman"/>
                <w:b/>
                <w:sz w:val="20"/>
                <w:szCs w:val="20"/>
              </w:rPr>
            </w:pPr>
            <w:r w:rsidRPr="00731FE2">
              <w:rPr>
                <w:rFonts w:ascii="Times New Roman" w:hAnsi="Times New Roman" w:cs="Times New Roman"/>
                <w:b/>
                <w:sz w:val="20"/>
                <w:szCs w:val="20"/>
              </w:rPr>
              <w:t>Планируемое использование земельного участка</w:t>
            </w:r>
          </w:p>
        </w:tc>
        <w:tc>
          <w:tcPr>
            <w:tcW w:w="1023" w:type="dxa"/>
            <w:vAlign w:val="center"/>
          </w:tcPr>
          <w:p w14:paraId="27850EA6" w14:textId="77777777" w:rsidR="00D50841" w:rsidRPr="00731FE2" w:rsidRDefault="00D50841" w:rsidP="00D50841">
            <w:pPr>
              <w:ind w:firstLine="0"/>
              <w:jc w:val="center"/>
              <w:rPr>
                <w:rFonts w:ascii="Times New Roman" w:hAnsi="Times New Roman" w:cs="Times New Roman"/>
                <w:b/>
                <w:sz w:val="20"/>
                <w:szCs w:val="20"/>
              </w:rPr>
            </w:pPr>
            <w:r w:rsidRPr="00731FE2">
              <w:rPr>
                <w:rFonts w:ascii="Times New Roman" w:hAnsi="Times New Roman" w:cs="Times New Roman"/>
                <w:b/>
                <w:sz w:val="20"/>
                <w:szCs w:val="20"/>
              </w:rPr>
              <w:t>Площадь, м</w:t>
            </w:r>
            <w:r w:rsidRPr="00731FE2">
              <w:rPr>
                <w:rFonts w:ascii="Times New Roman" w:hAnsi="Times New Roman" w:cs="Times New Roman"/>
                <w:b/>
                <w:sz w:val="20"/>
                <w:szCs w:val="20"/>
                <w:vertAlign w:val="superscript"/>
              </w:rPr>
              <w:t>2</w:t>
            </w:r>
          </w:p>
        </w:tc>
      </w:tr>
      <w:tr w:rsidR="00D50841" w:rsidRPr="00731FE2" w14:paraId="23DE8B0C" w14:textId="77777777" w:rsidTr="00D50841">
        <w:trPr>
          <w:trHeight w:val="172"/>
          <w:jc w:val="center"/>
        </w:trPr>
        <w:tc>
          <w:tcPr>
            <w:tcW w:w="9240" w:type="dxa"/>
            <w:gridSpan w:val="7"/>
            <w:vAlign w:val="center"/>
          </w:tcPr>
          <w:p w14:paraId="40A20D21" w14:textId="77777777" w:rsidR="00D50841" w:rsidRPr="00731FE2" w:rsidRDefault="00D50841" w:rsidP="00D50841">
            <w:pPr>
              <w:pStyle w:val="a3"/>
              <w:ind w:left="0" w:firstLine="0"/>
              <w:jc w:val="center"/>
              <w:rPr>
                <w:rFonts w:ascii="Times New Roman" w:hAnsi="Times New Roman" w:cs="Times New Roman"/>
                <w:b/>
                <w:sz w:val="20"/>
                <w:szCs w:val="20"/>
              </w:rPr>
            </w:pPr>
            <w:r w:rsidRPr="00731FE2">
              <w:rPr>
                <w:rFonts w:ascii="Times New Roman" w:hAnsi="Times New Roman" w:cs="Times New Roman"/>
                <w:b/>
                <w:sz w:val="20"/>
                <w:szCs w:val="20"/>
              </w:rPr>
              <w:t>г. Кисловодск</w:t>
            </w:r>
          </w:p>
        </w:tc>
      </w:tr>
      <w:tr w:rsidR="00D50841" w:rsidRPr="00731FE2" w14:paraId="6B2818DC" w14:textId="77777777" w:rsidTr="00D50841">
        <w:trPr>
          <w:trHeight w:val="20"/>
          <w:jc w:val="center"/>
        </w:trPr>
        <w:tc>
          <w:tcPr>
            <w:tcW w:w="570" w:type="dxa"/>
            <w:vAlign w:val="center"/>
          </w:tcPr>
          <w:p w14:paraId="2B891FF4" w14:textId="77777777" w:rsidR="00D50841" w:rsidRPr="00731FE2" w:rsidRDefault="00D50841" w:rsidP="00D50841">
            <w:pPr>
              <w:pStyle w:val="a3"/>
              <w:numPr>
                <w:ilvl w:val="0"/>
                <w:numId w:val="131"/>
              </w:numPr>
              <w:ind w:left="0" w:firstLine="0"/>
              <w:jc w:val="center"/>
              <w:rPr>
                <w:rFonts w:ascii="Times New Roman" w:hAnsi="Times New Roman" w:cs="Times New Roman"/>
                <w:sz w:val="20"/>
                <w:szCs w:val="20"/>
              </w:rPr>
            </w:pPr>
          </w:p>
        </w:tc>
        <w:tc>
          <w:tcPr>
            <w:tcW w:w="1780" w:type="dxa"/>
            <w:vAlign w:val="center"/>
          </w:tcPr>
          <w:p w14:paraId="469BB040" w14:textId="77777777" w:rsidR="00D50841" w:rsidRPr="00731FE2" w:rsidRDefault="00D50841" w:rsidP="00D50841">
            <w:pPr>
              <w:ind w:firstLine="0"/>
              <w:jc w:val="center"/>
              <w:rPr>
                <w:rFonts w:ascii="Times New Roman" w:hAnsi="Times New Roman" w:cs="Times New Roman"/>
                <w:sz w:val="20"/>
                <w:szCs w:val="20"/>
              </w:rPr>
            </w:pPr>
            <w:r w:rsidRPr="00731FE2">
              <w:rPr>
                <w:rFonts w:ascii="Times New Roman" w:hAnsi="Times New Roman" w:cs="Times New Roman"/>
                <w:sz w:val="20"/>
                <w:szCs w:val="20"/>
              </w:rPr>
              <w:t>26:34:050307:4</w:t>
            </w:r>
          </w:p>
        </w:tc>
        <w:tc>
          <w:tcPr>
            <w:tcW w:w="1473" w:type="dxa"/>
            <w:vAlign w:val="center"/>
          </w:tcPr>
          <w:p w14:paraId="5DC57492" w14:textId="5A77B750" w:rsidR="00D50841" w:rsidRPr="00731FE2" w:rsidRDefault="00D50841" w:rsidP="00D50841">
            <w:pPr>
              <w:ind w:firstLine="0"/>
              <w:jc w:val="center"/>
              <w:rPr>
                <w:rFonts w:ascii="Times New Roman" w:hAnsi="Times New Roman" w:cs="Times New Roman"/>
                <w:sz w:val="20"/>
                <w:szCs w:val="20"/>
              </w:rPr>
            </w:pPr>
            <w:r w:rsidRPr="00731FE2">
              <w:rPr>
                <w:rFonts w:ascii="Times New Roman" w:hAnsi="Times New Roman" w:cs="Times New Roman"/>
                <w:color w:val="000000"/>
                <w:sz w:val="20"/>
                <w:szCs w:val="20"/>
                <w:shd w:val="clear" w:color="auto" w:fill="FFFFFF"/>
              </w:rPr>
              <w:t>Земли населенных пунктов</w:t>
            </w:r>
          </w:p>
        </w:tc>
        <w:tc>
          <w:tcPr>
            <w:tcW w:w="1701" w:type="dxa"/>
            <w:vAlign w:val="center"/>
          </w:tcPr>
          <w:p w14:paraId="7B15DF66" w14:textId="77777777" w:rsidR="00D50841" w:rsidRPr="00731FE2" w:rsidRDefault="00D50841" w:rsidP="00D50841">
            <w:pPr>
              <w:ind w:firstLine="0"/>
              <w:jc w:val="center"/>
              <w:rPr>
                <w:rFonts w:ascii="Times New Roman" w:hAnsi="Times New Roman" w:cs="Times New Roman"/>
                <w:sz w:val="20"/>
                <w:szCs w:val="20"/>
              </w:rPr>
            </w:pPr>
            <w:r w:rsidRPr="00731FE2">
              <w:rPr>
                <w:rFonts w:ascii="Times New Roman" w:hAnsi="Times New Roman" w:cs="Times New Roman"/>
                <w:color w:val="000000"/>
                <w:sz w:val="20"/>
                <w:szCs w:val="20"/>
                <w:shd w:val="clear" w:color="auto" w:fill="FFFFFF"/>
              </w:rPr>
              <w:t>Пионерский лагерь-пансионат</w:t>
            </w:r>
          </w:p>
        </w:tc>
        <w:tc>
          <w:tcPr>
            <w:tcW w:w="1275" w:type="dxa"/>
            <w:vAlign w:val="center"/>
          </w:tcPr>
          <w:p w14:paraId="11284E82" w14:textId="09E4E5A5" w:rsidR="00D50841" w:rsidRPr="00731FE2" w:rsidRDefault="00D50841" w:rsidP="00D50841">
            <w:pPr>
              <w:ind w:firstLine="0"/>
              <w:jc w:val="center"/>
              <w:rPr>
                <w:rFonts w:ascii="Times New Roman" w:hAnsi="Times New Roman" w:cs="Times New Roman"/>
                <w:sz w:val="20"/>
                <w:szCs w:val="20"/>
              </w:rPr>
            </w:pPr>
            <w:r w:rsidRPr="00731FE2">
              <w:rPr>
                <w:rFonts w:ascii="Times New Roman" w:hAnsi="Times New Roman" w:cs="Times New Roman"/>
                <w:color w:val="000000"/>
                <w:sz w:val="20"/>
                <w:szCs w:val="20"/>
                <w:shd w:val="clear" w:color="auto" w:fill="FFFFFF"/>
              </w:rPr>
              <w:t>Земли населенных пунктов</w:t>
            </w:r>
          </w:p>
        </w:tc>
        <w:tc>
          <w:tcPr>
            <w:tcW w:w="1418" w:type="dxa"/>
            <w:vAlign w:val="center"/>
          </w:tcPr>
          <w:p w14:paraId="52588DD8" w14:textId="77777777" w:rsidR="00D50841" w:rsidRPr="00731FE2" w:rsidRDefault="00D50841" w:rsidP="00D50841">
            <w:pPr>
              <w:ind w:firstLine="0"/>
              <w:jc w:val="center"/>
              <w:rPr>
                <w:rFonts w:ascii="Times New Roman" w:hAnsi="Times New Roman" w:cs="Times New Roman"/>
                <w:sz w:val="20"/>
                <w:szCs w:val="20"/>
              </w:rPr>
            </w:pPr>
            <w:r w:rsidRPr="00731FE2">
              <w:rPr>
                <w:rFonts w:ascii="Times New Roman" w:hAnsi="Times New Roman" w:cs="Times New Roman"/>
                <w:color w:val="000000"/>
                <w:sz w:val="20"/>
                <w:szCs w:val="20"/>
                <w:shd w:val="clear" w:color="auto" w:fill="FFFFFF"/>
              </w:rPr>
              <w:t>Пионерский лагерь-пансионат</w:t>
            </w:r>
          </w:p>
        </w:tc>
        <w:tc>
          <w:tcPr>
            <w:tcW w:w="1023" w:type="dxa"/>
            <w:vAlign w:val="center"/>
          </w:tcPr>
          <w:p w14:paraId="2A466F49" w14:textId="77777777" w:rsidR="00D50841" w:rsidRPr="00731FE2" w:rsidRDefault="00D50841" w:rsidP="00D50841">
            <w:pPr>
              <w:ind w:firstLine="0"/>
              <w:jc w:val="center"/>
              <w:rPr>
                <w:rFonts w:ascii="Times New Roman" w:hAnsi="Times New Roman" w:cs="Times New Roman"/>
                <w:sz w:val="20"/>
                <w:szCs w:val="20"/>
              </w:rPr>
            </w:pPr>
            <w:r w:rsidRPr="00731FE2">
              <w:rPr>
                <w:rFonts w:ascii="Times New Roman" w:hAnsi="Times New Roman" w:cs="Times New Roman"/>
                <w:color w:val="000000"/>
                <w:sz w:val="20"/>
                <w:szCs w:val="20"/>
                <w:shd w:val="clear" w:color="auto" w:fill="FFFFFF"/>
              </w:rPr>
              <w:t>40991</w:t>
            </w:r>
          </w:p>
        </w:tc>
      </w:tr>
      <w:tr w:rsidR="00D50841" w:rsidRPr="00731FE2" w14:paraId="4418B552" w14:textId="77777777" w:rsidTr="00D50841">
        <w:trPr>
          <w:trHeight w:val="20"/>
          <w:jc w:val="center"/>
        </w:trPr>
        <w:tc>
          <w:tcPr>
            <w:tcW w:w="570" w:type="dxa"/>
            <w:vAlign w:val="center"/>
          </w:tcPr>
          <w:p w14:paraId="7C4EABDA" w14:textId="77777777" w:rsidR="00D50841" w:rsidRPr="00731FE2" w:rsidRDefault="00D50841" w:rsidP="00D50841">
            <w:pPr>
              <w:pStyle w:val="a3"/>
              <w:numPr>
                <w:ilvl w:val="0"/>
                <w:numId w:val="131"/>
              </w:numPr>
              <w:ind w:left="0" w:firstLine="0"/>
              <w:jc w:val="center"/>
              <w:rPr>
                <w:rFonts w:ascii="Times New Roman" w:hAnsi="Times New Roman" w:cs="Times New Roman"/>
                <w:sz w:val="20"/>
                <w:szCs w:val="20"/>
              </w:rPr>
            </w:pPr>
          </w:p>
        </w:tc>
        <w:tc>
          <w:tcPr>
            <w:tcW w:w="1780" w:type="dxa"/>
            <w:vAlign w:val="center"/>
          </w:tcPr>
          <w:p w14:paraId="7123B4D1" w14:textId="77777777" w:rsidR="00D50841" w:rsidRPr="00731FE2" w:rsidRDefault="00D50841" w:rsidP="00D50841">
            <w:pPr>
              <w:ind w:firstLine="0"/>
              <w:jc w:val="center"/>
              <w:rPr>
                <w:rFonts w:ascii="Times New Roman" w:hAnsi="Times New Roman" w:cs="Times New Roman"/>
                <w:sz w:val="20"/>
                <w:szCs w:val="20"/>
              </w:rPr>
            </w:pPr>
            <w:r w:rsidRPr="00731FE2">
              <w:rPr>
                <w:rFonts w:ascii="Times New Roman" w:hAnsi="Times New Roman" w:cs="Times New Roman"/>
                <w:sz w:val="20"/>
                <w:szCs w:val="20"/>
              </w:rPr>
              <w:t>26:34:050307:2</w:t>
            </w:r>
          </w:p>
        </w:tc>
        <w:tc>
          <w:tcPr>
            <w:tcW w:w="1473" w:type="dxa"/>
            <w:vAlign w:val="center"/>
          </w:tcPr>
          <w:p w14:paraId="01DCA20D" w14:textId="179425AB" w:rsidR="00D50841" w:rsidRPr="00731FE2" w:rsidRDefault="00D50841" w:rsidP="00D50841">
            <w:pPr>
              <w:ind w:firstLine="0"/>
              <w:jc w:val="center"/>
              <w:rPr>
                <w:rFonts w:ascii="Times New Roman" w:hAnsi="Times New Roman" w:cs="Times New Roman"/>
                <w:sz w:val="20"/>
                <w:szCs w:val="20"/>
              </w:rPr>
            </w:pPr>
            <w:r w:rsidRPr="00731FE2">
              <w:rPr>
                <w:rFonts w:ascii="Times New Roman" w:hAnsi="Times New Roman" w:cs="Times New Roman"/>
                <w:color w:val="000000"/>
                <w:sz w:val="20"/>
                <w:szCs w:val="20"/>
                <w:shd w:val="clear" w:color="auto" w:fill="FFFFFF"/>
              </w:rPr>
              <w:t>Земли населенных пунктов</w:t>
            </w:r>
          </w:p>
        </w:tc>
        <w:tc>
          <w:tcPr>
            <w:tcW w:w="1701" w:type="dxa"/>
            <w:vAlign w:val="center"/>
          </w:tcPr>
          <w:p w14:paraId="08418466" w14:textId="28DB3A2E" w:rsidR="00D50841" w:rsidRPr="00731FE2" w:rsidRDefault="00D50841" w:rsidP="00D50841">
            <w:pPr>
              <w:ind w:firstLine="0"/>
              <w:jc w:val="center"/>
              <w:rPr>
                <w:rFonts w:ascii="Times New Roman" w:hAnsi="Times New Roman" w:cs="Times New Roman"/>
                <w:color w:val="000000"/>
                <w:sz w:val="20"/>
                <w:szCs w:val="20"/>
                <w:shd w:val="clear" w:color="auto" w:fill="FFFFFF"/>
              </w:rPr>
            </w:pPr>
            <w:r w:rsidRPr="00731FE2">
              <w:rPr>
                <w:rFonts w:ascii="Times New Roman" w:hAnsi="Times New Roman" w:cs="Times New Roman"/>
                <w:color w:val="000000"/>
                <w:sz w:val="20"/>
                <w:szCs w:val="20"/>
                <w:shd w:val="clear" w:color="auto" w:fill="FFFFFF"/>
              </w:rPr>
              <w:t>Пансионат-пионерлагерь «Горное эхо»</w:t>
            </w:r>
          </w:p>
        </w:tc>
        <w:tc>
          <w:tcPr>
            <w:tcW w:w="1275" w:type="dxa"/>
            <w:vAlign w:val="center"/>
          </w:tcPr>
          <w:p w14:paraId="5480EEF5" w14:textId="2189ED9B" w:rsidR="00D50841" w:rsidRPr="00731FE2" w:rsidRDefault="00D50841" w:rsidP="00D50841">
            <w:pPr>
              <w:ind w:firstLine="0"/>
              <w:jc w:val="center"/>
              <w:rPr>
                <w:rFonts w:ascii="Times New Roman" w:hAnsi="Times New Roman" w:cs="Times New Roman"/>
                <w:sz w:val="20"/>
                <w:szCs w:val="20"/>
              </w:rPr>
            </w:pPr>
            <w:r w:rsidRPr="00731FE2">
              <w:rPr>
                <w:rFonts w:ascii="Times New Roman" w:hAnsi="Times New Roman" w:cs="Times New Roman"/>
                <w:color w:val="000000"/>
                <w:sz w:val="20"/>
                <w:szCs w:val="20"/>
                <w:shd w:val="clear" w:color="auto" w:fill="FFFFFF"/>
              </w:rPr>
              <w:t>Земли населенных пунктов</w:t>
            </w:r>
          </w:p>
        </w:tc>
        <w:tc>
          <w:tcPr>
            <w:tcW w:w="1418" w:type="dxa"/>
            <w:vAlign w:val="center"/>
          </w:tcPr>
          <w:p w14:paraId="715C1CC9" w14:textId="3262417F" w:rsidR="00D50841" w:rsidRPr="00731FE2" w:rsidRDefault="00D50841" w:rsidP="00D50841">
            <w:pPr>
              <w:ind w:firstLine="0"/>
              <w:jc w:val="center"/>
              <w:rPr>
                <w:rFonts w:ascii="Times New Roman" w:hAnsi="Times New Roman" w:cs="Times New Roman"/>
                <w:color w:val="000000"/>
                <w:sz w:val="20"/>
                <w:szCs w:val="20"/>
                <w:shd w:val="clear" w:color="auto" w:fill="FFFFFF"/>
              </w:rPr>
            </w:pPr>
            <w:r w:rsidRPr="00731FE2">
              <w:rPr>
                <w:rFonts w:ascii="Times New Roman" w:hAnsi="Times New Roman" w:cs="Times New Roman"/>
                <w:color w:val="000000"/>
                <w:sz w:val="20"/>
                <w:szCs w:val="20"/>
                <w:shd w:val="clear" w:color="auto" w:fill="FFFFFF"/>
              </w:rPr>
              <w:t>Пансионат-пионерлагерь «Горное эхо»</w:t>
            </w:r>
          </w:p>
        </w:tc>
        <w:tc>
          <w:tcPr>
            <w:tcW w:w="1023" w:type="dxa"/>
            <w:vAlign w:val="center"/>
          </w:tcPr>
          <w:p w14:paraId="75C93C3C" w14:textId="77777777" w:rsidR="00D50841" w:rsidRPr="00731FE2" w:rsidRDefault="00D50841" w:rsidP="00D50841">
            <w:pPr>
              <w:ind w:firstLine="0"/>
              <w:jc w:val="center"/>
              <w:rPr>
                <w:rFonts w:ascii="Times New Roman" w:hAnsi="Times New Roman" w:cs="Times New Roman"/>
                <w:color w:val="000000"/>
                <w:sz w:val="20"/>
                <w:szCs w:val="20"/>
                <w:shd w:val="clear" w:color="auto" w:fill="FFFFFF"/>
              </w:rPr>
            </w:pPr>
            <w:r w:rsidRPr="00731FE2">
              <w:rPr>
                <w:rFonts w:ascii="Times New Roman" w:hAnsi="Times New Roman" w:cs="Times New Roman"/>
                <w:color w:val="000000"/>
                <w:sz w:val="20"/>
                <w:szCs w:val="20"/>
                <w:shd w:val="clear" w:color="auto" w:fill="FFFFFF"/>
              </w:rPr>
              <w:t>46900</w:t>
            </w:r>
          </w:p>
        </w:tc>
      </w:tr>
      <w:tr w:rsidR="00D50841" w:rsidRPr="00731FE2" w14:paraId="5FDC016D" w14:textId="77777777" w:rsidTr="00D50841">
        <w:trPr>
          <w:trHeight w:val="20"/>
          <w:jc w:val="center"/>
        </w:trPr>
        <w:tc>
          <w:tcPr>
            <w:tcW w:w="570" w:type="dxa"/>
            <w:vAlign w:val="center"/>
          </w:tcPr>
          <w:p w14:paraId="02F0D772" w14:textId="77777777" w:rsidR="00D50841" w:rsidRPr="00731FE2" w:rsidRDefault="00D50841" w:rsidP="00D50841">
            <w:pPr>
              <w:pStyle w:val="a3"/>
              <w:numPr>
                <w:ilvl w:val="0"/>
                <w:numId w:val="131"/>
              </w:numPr>
              <w:ind w:left="0" w:firstLine="0"/>
              <w:jc w:val="center"/>
              <w:rPr>
                <w:rFonts w:ascii="Times New Roman" w:hAnsi="Times New Roman" w:cs="Times New Roman"/>
                <w:sz w:val="20"/>
                <w:szCs w:val="20"/>
              </w:rPr>
            </w:pPr>
          </w:p>
        </w:tc>
        <w:tc>
          <w:tcPr>
            <w:tcW w:w="1780" w:type="dxa"/>
            <w:vAlign w:val="center"/>
          </w:tcPr>
          <w:p w14:paraId="6C85DCEB" w14:textId="77777777" w:rsidR="00D50841" w:rsidRPr="00731FE2" w:rsidRDefault="00D50841" w:rsidP="00D50841">
            <w:pPr>
              <w:ind w:firstLine="0"/>
              <w:jc w:val="left"/>
              <w:rPr>
                <w:rFonts w:ascii="Times New Roman" w:hAnsi="Times New Roman" w:cs="Times New Roman"/>
                <w:sz w:val="20"/>
                <w:szCs w:val="20"/>
              </w:rPr>
            </w:pPr>
            <w:r w:rsidRPr="00731FE2">
              <w:rPr>
                <w:rFonts w:ascii="Times New Roman" w:hAnsi="Times New Roman" w:cs="Times New Roman"/>
                <w:sz w:val="20"/>
                <w:szCs w:val="20"/>
              </w:rPr>
              <w:t>26:34:050307:7</w:t>
            </w:r>
          </w:p>
        </w:tc>
        <w:tc>
          <w:tcPr>
            <w:tcW w:w="1473" w:type="dxa"/>
            <w:vAlign w:val="center"/>
          </w:tcPr>
          <w:p w14:paraId="66791F87" w14:textId="287F36AD" w:rsidR="00D50841" w:rsidRPr="00731FE2" w:rsidRDefault="00D50841" w:rsidP="00D50841">
            <w:pPr>
              <w:ind w:firstLine="0"/>
              <w:jc w:val="center"/>
              <w:rPr>
                <w:rFonts w:ascii="Times New Roman" w:hAnsi="Times New Roman" w:cs="Times New Roman"/>
                <w:sz w:val="20"/>
                <w:szCs w:val="20"/>
              </w:rPr>
            </w:pPr>
            <w:r w:rsidRPr="00731FE2">
              <w:rPr>
                <w:rFonts w:ascii="Times New Roman" w:hAnsi="Times New Roman" w:cs="Times New Roman"/>
                <w:color w:val="000000"/>
                <w:sz w:val="20"/>
                <w:szCs w:val="20"/>
                <w:shd w:val="clear" w:color="auto" w:fill="FFFFFF"/>
              </w:rPr>
              <w:t>Земли населенных пунктов</w:t>
            </w:r>
          </w:p>
        </w:tc>
        <w:tc>
          <w:tcPr>
            <w:tcW w:w="1701" w:type="dxa"/>
            <w:vAlign w:val="center"/>
          </w:tcPr>
          <w:p w14:paraId="4FBB6E0F" w14:textId="77777777" w:rsidR="00D50841" w:rsidRPr="00731FE2" w:rsidRDefault="00D50841" w:rsidP="00D50841">
            <w:pPr>
              <w:ind w:firstLine="0"/>
              <w:jc w:val="left"/>
              <w:rPr>
                <w:rFonts w:ascii="Times New Roman" w:hAnsi="Times New Roman" w:cs="Times New Roman"/>
                <w:color w:val="000000"/>
                <w:sz w:val="20"/>
                <w:szCs w:val="20"/>
                <w:shd w:val="clear" w:color="auto" w:fill="FFFFFF"/>
              </w:rPr>
            </w:pPr>
            <w:r w:rsidRPr="00731FE2">
              <w:rPr>
                <w:rFonts w:ascii="Times New Roman" w:hAnsi="Times New Roman" w:cs="Times New Roman"/>
                <w:color w:val="000000"/>
                <w:sz w:val="20"/>
                <w:szCs w:val="20"/>
                <w:shd w:val="clear" w:color="auto" w:fill="FFFFFF"/>
              </w:rPr>
              <w:t>Для садоводства и огородничества</w:t>
            </w:r>
          </w:p>
        </w:tc>
        <w:tc>
          <w:tcPr>
            <w:tcW w:w="1275" w:type="dxa"/>
            <w:vAlign w:val="center"/>
          </w:tcPr>
          <w:p w14:paraId="647A247E" w14:textId="4D7B4736" w:rsidR="00D50841" w:rsidRPr="00731FE2" w:rsidRDefault="00D50841" w:rsidP="00D50841">
            <w:pPr>
              <w:ind w:firstLine="0"/>
              <w:jc w:val="center"/>
              <w:rPr>
                <w:rFonts w:ascii="Times New Roman" w:hAnsi="Times New Roman" w:cs="Times New Roman"/>
                <w:sz w:val="20"/>
                <w:szCs w:val="20"/>
              </w:rPr>
            </w:pPr>
            <w:r w:rsidRPr="00731FE2">
              <w:rPr>
                <w:rFonts w:ascii="Times New Roman" w:hAnsi="Times New Roman" w:cs="Times New Roman"/>
                <w:color w:val="000000"/>
                <w:sz w:val="20"/>
                <w:szCs w:val="20"/>
                <w:shd w:val="clear" w:color="auto" w:fill="FFFFFF"/>
              </w:rPr>
              <w:t>Земли населенных пунктов</w:t>
            </w:r>
          </w:p>
        </w:tc>
        <w:tc>
          <w:tcPr>
            <w:tcW w:w="1418" w:type="dxa"/>
            <w:vAlign w:val="center"/>
          </w:tcPr>
          <w:p w14:paraId="3CD6D6F5" w14:textId="77777777" w:rsidR="00D50841" w:rsidRPr="00731FE2" w:rsidRDefault="00D50841" w:rsidP="00D50841">
            <w:pPr>
              <w:ind w:firstLine="0"/>
              <w:jc w:val="center"/>
              <w:rPr>
                <w:rFonts w:ascii="Times New Roman" w:hAnsi="Times New Roman" w:cs="Times New Roman"/>
                <w:color w:val="000000"/>
                <w:sz w:val="20"/>
                <w:szCs w:val="20"/>
                <w:shd w:val="clear" w:color="auto" w:fill="FFFFFF"/>
              </w:rPr>
            </w:pPr>
            <w:r w:rsidRPr="00731FE2">
              <w:rPr>
                <w:rFonts w:ascii="Times New Roman" w:hAnsi="Times New Roman" w:cs="Times New Roman"/>
                <w:color w:val="000000"/>
                <w:sz w:val="20"/>
                <w:szCs w:val="20"/>
                <w:shd w:val="clear" w:color="auto" w:fill="FFFFFF"/>
              </w:rPr>
              <w:t>Для садоводства и огородничества</w:t>
            </w:r>
          </w:p>
        </w:tc>
        <w:tc>
          <w:tcPr>
            <w:tcW w:w="1023" w:type="dxa"/>
            <w:vAlign w:val="center"/>
          </w:tcPr>
          <w:p w14:paraId="19013F09" w14:textId="77777777" w:rsidR="00D50841" w:rsidRPr="00731FE2" w:rsidRDefault="00D50841" w:rsidP="00D50841">
            <w:pPr>
              <w:ind w:firstLine="0"/>
              <w:jc w:val="center"/>
              <w:rPr>
                <w:rFonts w:ascii="Times New Roman" w:hAnsi="Times New Roman" w:cs="Times New Roman"/>
                <w:color w:val="000000"/>
                <w:sz w:val="20"/>
                <w:szCs w:val="20"/>
                <w:shd w:val="clear" w:color="auto" w:fill="FFFFFF"/>
              </w:rPr>
            </w:pPr>
            <w:r w:rsidRPr="00731FE2">
              <w:rPr>
                <w:rFonts w:ascii="Times New Roman" w:hAnsi="Times New Roman" w:cs="Times New Roman"/>
                <w:color w:val="000000"/>
                <w:sz w:val="20"/>
                <w:szCs w:val="20"/>
                <w:shd w:val="clear" w:color="auto" w:fill="FFFFFF"/>
              </w:rPr>
              <w:t>604</w:t>
            </w:r>
          </w:p>
        </w:tc>
      </w:tr>
      <w:tr w:rsidR="00D50841" w:rsidRPr="00731FE2" w14:paraId="39B08BD5" w14:textId="77777777" w:rsidTr="00D50841">
        <w:trPr>
          <w:trHeight w:val="20"/>
          <w:jc w:val="center"/>
        </w:trPr>
        <w:tc>
          <w:tcPr>
            <w:tcW w:w="570" w:type="dxa"/>
            <w:vAlign w:val="center"/>
          </w:tcPr>
          <w:p w14:paraId="162FA58A" w14:textId="77777777" w:rsidR="00D50841" w:rsidRPr="00731FE2" w:rsidRDefault="00D50841" w:rsidP="00D50841">
            <w:pPr>
              <w:pStyle w:val="a3"/>
              <w:numPr>
                <w:ilvl w:val="0"/>
                <w:numId w:val="131"/>
              </w:numPr>
              <w:ind w:left="0" w:firstLine="0"/>
              <w:jc w:val="center"/>
              <w:rPr>
                <w:rFonts w:ascii="Times New Roman" w:hAnsi="Times New Roman" w:cs="Times New Roman"/>
                <w:sz w:val="20"/>
                <w:szCs w:val="20"/>
              </w:rPr>
            </w:pPr>
          </w:p>
        </w:tc>
        <w:tc>
          <w:tcPr>
            <w:tcW w:w="1780" w:type="dxa"/>
            <w:vAlign w:val="center"/>
          </w:tcPr>
          <w:p w14:paraId="3CEE6B09" w14:textId="77777777" w:rsidR="00D50841" w:rsidRPr="00731FE2" w:rsidRDefault="00D50841" w:rsidP="00D50841">
            <w:pPr>
              <w:ind w:firstLine="0"/>
              <w:rPr>
                <w:rFonts w:ascii="Times New Roman" w:hAnsi="Times New Roman" w:cs="Times New Roman"/>
                <w:sz w:val="20"/>
                <w:szCs w:val="20"/>
              </w:rPr>
            </w:pPr>
            <w:r w:rsidRPr="00731FE2">
              <w:rPr>
                <w:rFonts w:ascii="Times New Roman" w:hAnsi="Times New Roman" w:cs="Times New Roman"/>
                <w:sz w:val="20"/>
                <w:szCs w:val="20"/>
              </w:rPr>
              <w:t>26:34:050307:220</w:t>
            </w:r>
          </w:p>
        </w:tc>
        <w:tc>
          <w:tcPr>
            <w:tcW w:w="1473" w:type="dxa"/>
            <w:vAlign w:val="center"/>
          </w:tcPr>
          <w:p w14:paraId="218D1230" w14:textId="360DD767" w:rsidR="00D50841" w:rsidRPr="00731FE2" w:rsidRDefault="00D50841" w:rsidP="00D50841">
            <w:pPr>
              <w:ind w:firstLine="0"/>
              <w:jc w:val="center"/>
              <w:rPr>
                <w:rFonts w:ascii="Times New Roman" w:hAnsi="Times New Roman" w:cs="Times New Roman"/>
                <w:sz w:val="20"/>
                <w:szCs w:val="20"/>
              </w:rPr>
            </w:pPr>
            <w:r w:rsidRPr="00731FE2">
              <w:rPr>
                <w:rFonts w:ascii="Times New Roman" w:hAnsi="Times New Roman" w:cs="Times New Roman"/>
                <w:color w:val="000000"/>
                <w:sz w:val="20"/>
                <w:szCs w:val="20"/>
                <w:shd w:val="clear" w:color="auto" w:fill="FFFFFF"/>
              </w:rPr>
              <w:t>Земли населенных пунктов</w:t>
            </w:r>
          </w:p>
        </w:tc>
        <w:tc>
          <w:tcPr>
            <w:tcW w:w="1701" w:type="dxa"/>
            <w:vAlign w:val="center"/>
          </w:tcPr>
          <w:p w14:paraId="3BFF6DB7" w14:textId="77777777" w:rsidR="00D50841" w:rsidRPr="00731FE2" w:rsidRDefault="00D50841" w:rsidP="00D50841">
            <w:pPr>
              <w:ind w:firstLine="0"/>
              <w:jc w:val="center"/>
              <w:rPr>
                <w:rFonts w:ascii="Times New Roman" w:hAnsi="Times New Roman" w:cs="Times New Roman"/>
                <w:color w:val="000000"/>
                <w:sz w:val="20"/>
                <w:szCs w:val="20"/>
                <w:shd w:val="clear" w:color="auto" w:fill="FFFFFF"/>
              </w:rPr>
            </w:pPr>
            <w:r w:rsidRPr="00731FE2">
              <w:rPr>
                <w:rFonts w:ascii="Times New Roman" w:hAnsi="Times New Roman" w:cs="Times New Roman"/>
                <w:color w:val="000000"/>
                <w:sz w:val="20"/>
                <w:szCs w:val="20"/>
                <w:shd w:val="clear" w:color="auto" w:fill="FFFFFF"/>
              </w:rPr>
              <w:t>для индивидуального жилищного строительства</w:t>
            </w:r>
          </w:p>
        </w:tc>
        <w:tc>
          <w:tcPr>
            <w:tcW w:w="1275" w:type="dxa"/>
            <w:vAlign w:val="center"/>
          </w:tcPr>
          <w:p w14:paraId="5120DAC0" w14:textId="5F28CC83" w:rsidR="00D50841" w:rsidRPr="00731FE2" w:rsidRDefault="00D50841" w:rsidP="00D50841">
            <w:pPr>
              <w:ind w:firstLine="0"/>
              <w:jc w:val="center"/>
              <w:rPr>
                <w:rFonts w:ascii="Times New Roman" w:hAnsi="Times New Roman" w:cs="Times New Roman"/>
                <w:sz w:val="20"/>
                <w:szCs w:val="20"/>
              </w:rPr>
            </w:pPr>
            <w:r w:rsidRPr="00731FE2">
              <w:rPr>
                <w:rFonts w:ascii="Times New Roman" w:hAnsi="Times New Roman" w:cs="Times New Roman"/>
                <w:color w:val="000000"/>
                <w:sz w:val="20"/>
                <w:szCs w:val="20"/>
                <w:shd w:val="clear" w:color="auto" w:fill="FFFFFF"/>
              </w:rPr>
              <w:t>Земли населенных пунктов</w:t>
            </w:r>
          </w:p>
        </w:tc>
        <w:tc>
          <w:tcPr>
            <w:tcW w:w="1418" w:type="dxa"/>
            <w:vAlign w:val="center"/>
          </w:tcPr>
          <w:p w14:paraId="7474C659" w14:textId="77777777" w:rsidR="00D50841" w:rsidRPr="00731FE2" w:rsidRDefault="00D50841" w:rsidP="00D50841">
            <w:pPr>
              <w:ind w:firstLine="0"/>
              <w:jc w:val="center"/>
              <w:rPr>
                <w:rFonts w:ascii="Times New Roman" w:hAnsi="Times New Roman" w:cs="Times New Roman"/>
                <w:color w:val="000000"/>
                <w:sz w:val="20"/>
                <w:szCs w:val="20"/>
                <w:shd w:val="clear" w:color="auto" w:fill="FFFFFF"/>
              </w:rPr>
            </w:pPr>
            <w:r w:rsidRPr="00731FE2">
              <w:rPr>
                <w:rFonts w:ascii="Times New Roman" w:hAnsi="Times New Roman" w:cs="Times New Roman"/>
                <w:color w:val="000000"/>
                <w:sz w:val="20"/>
                <w:szCs w:val="20"/>
                <w:shd w:val="clear" w:color="auto" w:fill="FFFFFF"/>
              </w:rPr>
              <w:t>для индивидуального жилищного строительства</w:t>
            </w:r>
          </w:p>
        </w:tc>
        <w:tc>
          <w:tcPr>
            <w:tcW w:w="1023" w:type="dxa"/>
            <w:vAlign w:val="center"/>
          </w:tcPr>
          <w:p w14:paraId="3EEA32ED" w14:textId="77777777" w:rsidR="00D50841" w:rsidRPr="00731FE2" w:rsidRDefault="00D50841" w:rsidP="00D50841">
            <w:pPr>
              <w:ind w:firstLine="0"/>
              <w:jc w:val="center"/>
              <w:rPr>
                <w:rFonts w:ascii="Times New Roman" w:hAnsi="Times New Roman" w:cs="Times New Roman"/>
                <w:color w:val="000000"/>
                <w:sz w:val="20"/>
                <w:szCs w:val="20"/>
                <w:shd w:val="clear" w:color="auto" w:fill="FFFFFF"/>
              </w:rPr>
            </w:pPr>
            <w:r w:rsidRPr="00731FE2">
              <w:rPr>
                <w:rFonts w:ascii="Times New Roman" w:hAnsi="Times New Roman" w:cs="Times New Roman"/>
                <w:color w:val="000000"/>
                <w:sz w:val="20"/>
                <w:szCs w:val="20"/>
                <w:shd w:val="clear" w:color="auto" w:fill="FFFFFF"/>
              </w:rPr>
              <w:t>700</w:t>
            </w:r>
          </w:p>
        </w:tc>
      </w:tr>
      <w:tr w:rsidR="00D50841" w:rsidRPr="00731FE2" w14:paraId="6E144FB8" w14:textId="77777777" w:rsidTr="00D50841">
        <w:trPr>
          <w:trHeight w:val="20"/>
          <w:jc w:val="center"/>
        </w:trPr>
        <w:tc>
          <w:tcPr>
            <w:tcW w:w="570" w:type="dxa"/>
            <w:vAlign w:val="center"/>
          </w:tcPr>
          <w:p w14:paraId="44F14D22" w14:textId="77777777" w:rsidR="00D50841" w:rsidRPr="00731FE2" w:rsidRDefault="00D50841" w:rsidP="00D50841">
            <w:pPr>
              <w:pStyle w:val="a3"/>
              <w:numPr>
                <w:ilvl w:val="0"/>
                <w:numId w:val="131"/>
              </w:numPr>
              <w:ind w:left="0" w:firstLine="0"/>
              <w:jc w:val="center"/>
              <w:rPr>
                <w:rFonts w:ascii="Times New Roman" w:hAnsi="Times New Roman" w:cs="Times New Roman"/>
                <w:sz w:val="20"/>
                <w:szCs w:val="20"/>
              </w:rPr>
            </w:pPr>
          </w:p>
        </w:tc>
        <w:tc>
          <w:tcPr>
            <w:tcW w:w="1780" w:type="dxa"/>
            <w:vAlign w:val="center"/>
          </w:tcPr>
          <w:p w14:paraId="7828FA9F" w14:textId="77777777" w:rsidR="00D50841" w:rsidRPr="00731FE2" w:rsidRDefault="00D50841" w:rsidP="00D50841">
            <w:pPr>
              <w:ind w:firstLine="0"/>
              <w:rPr>
                <w:rFonts w:ascii="Times New Roman" w:hAnsi="Times New Roman" w:cs="Times New Roman"/>
                <w:sz w:val="20"/>
                <w:szCs w:val="20"/>
              </w:rPr>
            </w:pPr>
            <w:r w:rsidRPr="00731FE2">
              <w:rPr>
                <w:rFonts w:ascii="Times New Roman" w:hAnsi="Times New Roman" w:cs="Times New Roman"/>
                <w:sz w:val="20"/>
                <w:szCs w:val="20"/>
              </w:rPr>
              <w:t>26:34:140105:71</w:t>
            </w:r>
          </w:p>
        </w:tc>
        <w:tc>
          <w:tcPr>
            <w:tcW w:w="1473" w:type="dxa"/>
            <w:vAlign w:val="center"/>
          </w:tcPr>
          <w:p w14:paraId="5723ADD5" w14:textId="350914F9" w:rsidR="00D50841" w:rsidRPr="00731FE2" w:rsidRDefault="00D50841" w:rsidP="00D50841">
            <w:pPr>
              <w:ind w:firstLine="0"/>
              <w:jc w:val="center"/>
              <w:rPr>
                <w:rFonts w:ascii="Times New Roman" w:hAnsi="Times New Roman" w:cs="Times New Roman"/>
                <w:sz w:val="20"/>
                <w:szCs w:val="20"/>
              </w:rPr>
            </w:pPr>
            <w:r w:rsidRPr="00731FE2">
              <w:rPr>
                <w:rFonts w:ascii="Times New Roman" w:hAnsi="Times New Roman" w:cs="Times New Roman"/>
                <w:color w:val="000000"/>
                <w:sz w:val="20"/>
                <w:szCs w:val="20"/>
                <w:shd w:val="clear" w:color="auto" w:fill="FFFFFF"/>
              </w:rPr>
              <w:t>Земли населенных пунктов</w:t>
            </w:r>
          </w:p>
        </w:tc>
        <w:tc>
          <w:tcPr>
            <w:tcW w:w="1701" w:type="dxa"/>
            <w:vAlign w:val="center"/>
          </w:tcPr>
          <w:p w14:paraId="0ED098D4" w14:textId="77777777" w:rsidR="00D50841" w:rsidRPr="00731FE2" w:rsidRDefault="00D50841" w:rsidP="00D50841">
            <w:pPr>
              <w:ind w:firstLine="0"/>
              <w:jc w:val="center"/>
              <w:rPr>
                <w:rFonts w:ascii="Times New Roman" w:hAnsi="Times New Roman" w:cs="Times New Roman"/>
                <w:color w:val="000000"/>
                <w:sz w:val="20"/>
                <w:szCs w:val="20"/>
                <w:shd w:val="clear" w:color="auto" w:fill="FFFFFF"/>
              </w:rPr>
            </w:pPr>
            <w:r w:rsidRPr="00731FE2">
              <w:rPr>
                <w:rFonts w:ascii="Times New Roman" w:hAnsi="Times New Roman" w:cs="Times New Roman"/>
                <w:color w:val="000000"/>
                <w:sz w:val="20"/>
                <w:szCs w:val="20"/>
                <w:shd w:val="clear" w:color="auto" w:fill="FFFFFF"/>
              </w:rPr>
              <w:t>индивидуальные жилые дома с приусадебным участком и без</w:t>
            </w:r>
          </w:p>
        </w:tc>
        <w:tc>
          <w:tcPr>
            <w:tcW w:w="1275" w:type="dxa"/>
            <w:vAlign w:val="center"/>
          </w:tcPr>
          <w:p w14:paraId="7383A553" w14:textId="5342F7F3" w:rsidR="00D50841" w:rsidRPr="00731FE2" w:rsidRDefault="00D50841" w:rsidP="00D50841">
            <w:pPr>
              <w:ind w:firstLine="0"/>
              <w:jc w:val="center"/>
              <w:rPr>
                <w:rFonts w:ascii="Times New Roman" w:hAnsi="Times New Roman" w:cs="Times New Roman"/>
                <w:sz w:val="20"/>
                <w:szCs w:val="20"/>
              </w:rPr>
            </w:pPr>
            <w:r w:rsidRPr="00731FE2">
              <w:rPr>
                <w:rFonts w:ascii="Times New Roman" w:hAnsi="Times New Roman" w:cs="Times New Roman"/>
                <w:color w:val="000000"/>
                <w:sz w:val="20"/>
                <w:szCs w:val="20"/>
                <w:shd w:val="clear" w:color="auto" w:fill="FFFFFF"/>
              </w:rPr>
              <w:t>Земли населенных пунктов</w:t>
            </w:r>
          </w:p>
        </w:tc>
        <w:tc>
          <w:tcPr>
            <w:tcW w:w="1418" w:type="dxa"/>
            <w:vAlign w:val="center"/>
          </w:tcPr>
          <w:p w14:paraId="1C6A56B8" w14:textId="77777777" w:rsidR="00D50841" w:rsidRPr="00731FE2" w:rsidRDefault="00D50841" w:rsidP="00D50841">
            <w:pPr>
              <w:ind w:firstLine="0"/>
              <w:jc w:val="left"/>
              <w:rPr>
                <w:rFonts w:ascii="Times New Roman" w:hAnsi="Times New Roman" w:cs="Times New Roman"/>
                <w:color w:val="000000"/>
                <w:sz w:val="20"/>
                <w:szCs w:val="20"/>
                <w:shd w:val="clear" w:color="auto" w:fill="FFFFFF"/>
              </w:rPr>
            </w:pPr>
            <w:r w:rsidRPr="00731FE2">
              <w:rPr>
                <w:rFonts w:ascii="Times New Roman" w:hAnsi="Times New Roman" w:cs="Times New Roman"/>
                <w:color w:val="000000"/>
                <w:sz w:val="20"/>
                <w:szCs w:val="20"/>
                <w:shd w:val="clear" w:color="auto" w:fill="FFFFFF"/>
              </w:rPr>
              <w:t>индивидуальные жилые дома с приусадебным участком и без</w:t>
            </w:r>
          </w:p>
        </w:tc>
        <w:tc>
          <w:tcPr>
            <w:tcW w:w="1023" w:type="dxa"/>
            <w:vAlign w:val="center"/>
          </w:tcPr>
          <w:p w14:paraId="368D842C" w14:textId="77777777" w:rsidR="00D50841" w:rsidRPr="00731FE2" w:rsidRDefault="00D50841" w:rsidP="00D50841">
            <w:pPr>
              <w:ind w:firstLine="0"/>
              <w:jc w:val="center"/>
              <w:rPr>
                <w:rFonts w:ascii="Times New Roman" w:hAnsi="Times New Roman" w:cs="Times New Roman"/>
                <w:color w:val="000000"/>
                <w:sz w:val="20"/>
                <w:szCs w:val="20"/>
                <w:shd w:val="clear" w:color="auto" w:fill="FFFFFF"/>
              </w:rPr>
            </w:pPr>
            <w:r w:rsidRPr="00731FE2">
              <w:rPr>
                <w:rFonts w:ascii="Times New Roman" w:hAnsi="Times New Roman" w:cs="Times New Roman"/>
                <w:color w:val="000000"/>
                <w:sz w:val="20"/>
                <w:szCs w:val="20"/>
                <w:shd w:val="clear" w:color="auto" w:fill="FFFFFF"/>
              </w:rPr>
              <w:t>600</w:t>
            </w:r>
          </w:p>
        </w:tc>
      </w:tr>
      <w:tr w:rsidR="00D50841" w:rsidRPr="00731FE2" w14:paraId="3D78181F" w14:textId="77777777" w:rsidTr="00D50841">
        <w:trPr>
          <w:trHeight w:val="20"/>
          <w:jc w:val="center"/>
        </w:trPr>
        <w:tc>
          <w:tcPr>
            <w:tcW w:w="570" w:type="dxa"/>
            <w:vAlign w:val="center"/>
          </w:tcPr>
          <w:p w14:paraId="1C43277A" w14:textId="77777777" w:rsidR="00D50841" w:rsidRPr="00731FE2" w:rsidRDefault="00D50841" w:rsidP="00D50841">
            <w:pPr>
              <w:pStyle w:val="a3"/>
              <w:numPr>
                <w:ilvl w:val="0"/>
                <w:numId w:val="131"/>
              </w:numPr>
              <w:ind w:left="0" w:firstLine="0"/>
              <w:jc w:val="center"/>
              <w:rPr>
                <w:rFonts w:ascii="Times New Roman" w:hAnsi="Times New Roman" w:cs="Times New Roman"/>
                <w:sz w:val="20"/>
                <w:szCs w:val="20"/>
              </w:rPr>
            </w:pPr>
          </w:p>
        </w:tc>
        <w:tc>
          <w:tcPr>
            <w:tcW w:w="1780" w:type="dxa"/>
            <w:vAlign w:val="center"/>
          </w:tcPr>
          <w:p w14:paraId="574E40DF" w14:textId="77777777" w:rsidR="00D50841" w:rsidRPr="00731FE2" w:rsidRDefault="00D50841" w:rsidP="00D50841">
            <w:pPr>
              <w:ind w:firstLine="0"/>
              <w:rPr>
                <w:rFonts w:ascii="Times New Roman" w:hAnsi="Times New Roman" w:cs="Times New Roman"/>
                <w:sz w:val="20"/>
                <w:szCs w:val="20"/>
              </w:rPr>
            </w:pPr>
            <w:r w:rsidRPr="00731FE2">
              <w:rPr>
                <w:rFonts w:ascii="Times New Roman" w:hAnsi="Times New Roman" w:cs="Times New Roman"/>
                <w:sz w:val="20"/>
                <w:szCs w:val="20"/>
              </w:rPr>
              <w:t>26:34:150307:4</w:t>
            </w:r>
          </w:p>
        </w:tc>
        <w:tc>
          <w:tcPr>
            <w:tcW w:w="1473" w:type="dxa"/>
            <w:vAlign w:val="center"/>
          </w:tcPr>
          <w:p w14:paraId="701B84C6" w14:textId="324CCCF7" w:rsidR="00D50841" w:rsidRPr="00731FE2" w:rsidRDefault="00D50841" w:rsidP="00D50841">
            <w:pPr>
              <w:ind w:firstLine="0"/>
              <w:jc w:val="center"/>
              <w:rPr>
                <w:rFonts w:ascii="Times New Roman" w:hAnsi="Times New Roman" w:cs="Times New Roman"/>
                <w:sz w:val="20"/>
                <w:szCs w:val="20"/>
              </w:rPr>
            </w:pPr>
            <w:r w:rsidRPr="00731FE2">
              <w:rPr>
                <w:rFonts w:ascii="Times New Roman" w:hAnsi="Times New Roman" w:cs="Times New Roman"/>
                <w:color w:val="000000"/>
                <w:sz w:val="20"/>
                <w:szCs w:val="20"/>
                <w:shd w:val="clear" w:color="auto" w:fill="FFFFFF"/>
              </w:rPr>
              <w:t>Земли населенных пунктов</w:t>
            </w:r>
          </w:p>
        </w:tc>
        <w:tc>
          <w:tcPr>
            <w:tcW w:w="1701" w:type="dxa"/>
            <w:vAlign w:val="center"/>
          </w:tcPr>
          <w:p w14:paraId="6AC190FF" w14:textId="77777777" w:rsidR="00D50841" w:rsidRPr="00731FE2" w:rsidRDefault="00D50841" w:rsidP="00D50841">
            <w:pPr>
              <w:ind w:firstLine="0"/>
              <w:jc w:val="center"/>
              <w:rPr>
                <w:rFonts w:ascii="Times New Roman" w:hAnsi="Times New Roman" w:cs="Times New Roman"/>
                <w:color w:val="000000"/>
                <w:sz w:val="20"/>
                <w:szCs w:val="20"/>
                <w:shd w:val="clear" w:color="auto" w:fill="FFFFFF"/>
              </w:rPr>
            </w:pPr>
            <w:r w:rsidRPr="00731FE2">
              <w:rPr>
                <w:rFonts w:ascii="Times New Roman" w:hAnsi="Times New Roman" w:cs="Times New Roman"/>
                <w:color w:val="000000"/>
                <w:sz w:val="20"/>
                <w:szCs w:val="20"/>
                <w:shd w:val="clear" w:color="auto" w:fill="FFFFFF"/>
              </w:rPr>
              <w:t>под многоквартирный жилой дом</w:t>
            </w:r>
          </w:p>
        </w:tc>
        <w:tc>
          <w:tcPr>
            <w:tcW w:w="1275" w:type="dxa"/>
            <w:vAlign w:val="center"/>
          </w:tcPr>
          <w:p w14:paraId="1EE46439" w14:textId="65BE8AE7" w:rsidR="00D50841" w:rsidRPr="00731FE2" w:rsidRDefault="00D50841" w:rsidP="00D50841">
            <w:pPr>
              <w:ind w:firstLine="0"/>
              <w:jc w:val="center"/>
              <w:rPr>
                <w:rFonts w:ascii="Times New Roman" w:hAnsi="Times New Roman" w:cs="Times New Roman"/>
                <w:sz w:val="20"/>
                <w:szCs w:val="20"/>
              </w:rPr>
            </w:pPr>
            <w:r w:rsidRPr="00731FE2">
              <w:rPr>
                <w:rFonts w:ascii="Times New Roman" w:hAnsi="Times New Roman" w:cs="Times New Roman"/>
                <w:color w:val="000000"/>
                <w:sz w:val="20"/>
                <w:szCs w:val="20"/>
                <w:shd w:val="clear" w:color="auto" w:fill="FFFFFF"/>
              </w:rPr>
              <w:t>Земли населенных пунктов</w:t>
            </w:r>
          </w:p>
        </w:tc>
        <w:tc>
          <w:tcPr>
            <w:tcW w:w="1418" w:type="dxa"/>
            <w:vAlign w:val="center"/>
          </w:tcPr>
          <w:p w14:paraId="3AE5B387" w14:textId="77777777" w:rsidR="00D50841" w:rsidRPr="00731FE2" w:rsidRDefault="00D50841" w:rsidP="00D50841">
            <w:pPr>
              <w:ind w:firstLine="0"/>
              <w:jc w:val="center"/>
              <w:rPr>
                <w:rFonts w:ascii="Times New Roman" w:hAnsi="Times New Roman" w:cs="Times New Roman"/>
                <w:color w:val="000000"/>
                <w:sz w:val="20"/>
                <w:szCs w:val="20"/>
                <w:shd w:val="clear" w:color="auto" w:fill="FFFFFF"/>
              </w:rPr>
            </w:pPr>
            <w:r w:rsidRPr="00731FE2">
              <w:rPr>
                <w:rFonts w:ascii="Times New Roman" w:hAnsi="Times New Roman" w:cs="Times New Roman"/>
                <w:color w:val="000000"/>
                <w:sz w:val="20"/>
                <w:szCs w:val="20"/>
                <w:shd w:val="clear" w:color="auto" w:fill="FFFFFF"/>
              </w:rPr>
              <w:t>под многоквартирный жилой дом</w:t>
            </w:r>
          </w:p>
        </w:tc>
        <w:tc>
          <w:tcPr>
            <w:tcW w:w="1023" w:type="dxa"/>
            <w:vAlign w:val="center"/>
          </w:tcPr>
          <w:p w14:paraId="19250D33" w14:textId="77777777" w:rsidR="00D50841" w:rsidRPr="00731FE2" w:rsidRDefault="00D50841" w:rsidP="00D50841">
            <w:pPr>
              <w:ind w:firstLine="0"/>
              <w:jc w:val="center"/>
              <w:rPr>
                <w:rFonts w:ascii="Times New Roman" w:hAnsi="Times New Roman" w:cs="Times New Roman"/>
                <w:color w:val="000000"/>
                <w:sz w:val="20"/>
                <w:szCs w:val="20"/>
                <w:shd w:val="clear" w:color="auto" w:fill="FFFFFF"/>
              </w:rPr>
            </w:pPr>
            <w:r w:rsidRPr="00731FE2">
              <w:rPr>
                <w:rFonts w:ascii="Times New Roman" w:hAnsi="Times New Roman" w:cs="Times New Roman"/>
                <w:color w:val="000000"/>
                <w:sz w:val="20"/>
                <w:szCs w:val="20"/>
                <w:shd w:val="clear" w:color="auto" w:fill="FFFFFF"/>
              </w:rPr>
              <w:t>1250</w:t>
            </w:r>
          </w:p>
        </w:tc>
      </w:tr>
    </w:tbl>
    <w:p w14:paraId="4BE3930E" w14:textId="77777777" w:rsidR="00D50841" w:rsidRPr="00731FE2" w:rsidRDefault="00D50841" w:rsidP="00D50841">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Cs w:val="24"/>
        </w:rPr>
      </w:pPr>
    </w:p>
    <w:p w14:paraId="27F34E47" w14:textId="6FB54FDD" w:rsidR="00157038" w:rsidRPr="00731FE2" w:rsidRDefault="00157038" w:rsidP="00ED5DD1">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b/>
          <w:color w:val="000000"/>
          <w:szCs w:val="24"/>
        </w:rPr>
      </w:pPr>
      <w:r w:rsidRPr="00731FE2">
        <w:rPr>
          <w:rFonts w:ascii="Times New Roman" w:eastAsia="Times New Roman" w:hAnsi="Times New Roman" w:cs="Times New Roman"/>
          <w:b/>
          <w:color w:val="000000"/>
          <w:szCs w:val="24"/>
        </w:rPr>
        <w:lastRenderedPageBreak/>
        <w:t>Граница п. Аликоновка изменится в связи с:</w:t>
      </w:r>
    </w:p>
    <w:p w14:paraId="1E641057" w14:textId="2E0EE881" w:rsidR="00157038" w:rsidRPr="00731FE2" w:rsidRDefault="00157038" w:rsidP="00ED5DD1">
      <w:pPr>
        <w:rPr>
          <w:rFonts w:ascii="Times New Roman" w:eastAsia="Times New Roman" w:hAnsi="Times New Roman" w:cs="Times New Roman"/>
          <w:color w:val="000000"/>
          <w:szCs w:val="24"/>
        </w:rPr>
      </w:pPr>
      <w:r w:rsidRPr="00731FE2">
        <w:rPr>
          <w:rFonts w:ascii="Times New Roman" w:eastAsia="Times New Roman" w:hAnsi="Times New Roman" w:cs="Times New Roman"/>
          <w:b/>
          <w:color w:val="000000"/>
          <w:szCs w:val="24"/>
        </w:rPr>
        <w:t>1.</w:t>
      </w:r>
      <w:r w:rsidRPr="00731FE2">
        <w:rPr>
          <w:rFonts w:ascii="Times New Roman" w:eastAsia="Times New Roman" w:hAnsi="Times New Roman" w:cs="Times New Roman"/>
          <w:color w:val="000000"/>
          <w:szCs w:val="24"/>
        </w:rPr>
        <w:t xml:space="preserve"> включением в границы п. Аликоновка из территории г. Кисловодска земельных участков с кадастровыми номерами 26:34:050307:4, 26:34:050307:2, 26:34:050307:7, 26:34:050307:220. Данные участки представлены в таблице 98 – «Перечень земельных участков, не меняющих категорию земель, </w:t>
      </w:r>
      <w:r w:rsidR="00302E11" w:rsidRPr="00731FE2">
        <w:rPr>
          <w:rFonts w:ascii="Times New Roman" w:eastAsia="Times New Roman" w:hAnsi="Times New Roman" w:cs="Times New Roman"/>
          <w:color w:val="000000"/>
          <w:szCs w:val="24"/>
        </w:rPr>
        <w:t>включенных в земли населенных пунктов п. Аликоновка и п. Белореческий</w:t>
      </w:r>
      <w:r w:rsidRPr="00731FE2">
        <w:rPr>
          <w:rFonts w:ascii="Times New Roman" w:eastAsia="Times New Roman" w:hAnsi="Times New Roman" w:cs="Times New Roman"/>
          <w:color w:val="000000"/>
          <w:szCs w:val="24"/>
        </w:rPr>
        <w:t>»</w:t>
      </w:r>
      <w:r w:rsidR="00302E11" w:rsidRPr="00731FE2">
        <w:rPr>
          <w:rFonts w:ascii="Times New Roman" w:eastAsia="Times New Roman" w:hAnsi="Times New Roman" w:cs="Times New Roman"/>
          <w:color w:val="000000"/>
          <w:szCs w:val="24"/>
        </w:rPr>
        <w:t>;</w:t>
      </w:r>
    </w:p>
    <w:p w14:paraId="7FD38B48" w14:textId="5D61F220" w:rsidR="00157038" w:rsidRPr="00731FE2" w:rsidRDefault="00302E11" w:rsidP="00ED5DD1">
      <w:pPr>
        <w:pStyle w:val="a3"/>
        <w:ind w:left="0"/>
        <w:rPr>
          <w:rFonts w:ascii="Times New Roman" w:eastAsia="Times New Roman" w:hAnsi="Times New Roman" w:cs="Times New Roman"/>
          <w:color w:val="000000"/>
          <w:szCs w:val="24"/>
        </w:rPr>
      </w:pPr>
      <w:r w:rsidRPr="00731FE2">
        <w:rPr>
          <w:rFonts w:ascii="Times New Roman" w:eastAsia="Times New Roman" w:hAnsi="Times New Roman" w:cs="Times New Roman"/>
          <w:b/>
          <w:color w:val="000000"/>
          <w:szCs w:val="24"/>
        </w:rPr>
        <w:t>2.</w:t>
      </w:r>
      <w:r w:rsidRPr="00731FE2">
        <w:rPr>
          <w:rFonts w:ascii="Times New Roman" w:eastAsia="Times New Roman" w:hAnsi="Times New Roman" w:cs="Times New Roman"/>
          <w:color w:val="000000"/>
          <w:szCs w:val="24"/>
        </w:rPr>
        <w:t xml:space="preserve"> р</w:t>
      </w:r>
      <w:r w:rsidR="00157038" w:rsidRPr="00731FE2">
        <w:rPr>
          <w:rFonts w:ascii="Times New Roman" w:eastAsia="Times New Roman" w:hAnsi="Times New Roman" w:cs="Times New Roman"/>
          <w:color w:val="000000"/>
          <w:szCs w:val="24"/>
        </w:rPr>
        <w:t xml:space="preserve">асширением территории </w:t>
      </w:r>
      <w:r w:rsidRPr="00731FE2">
        <w:rPr>
          <w:rFonts w:ascii="Times New Roman" w:eastAsia="Times New Roman" w:hAnsi="Times New Roman" w:cs="Times New Roman"/>
          <w:color w:val="000000"/>
          <w:szCs w:val="24"/>
        </w:rPr>
        <w:t>п. Аликоновка</w:t>
      </w:r>
      <w:r w:rsidR="00157038" w:rsidRPr="00731FE2">
        <w:rPr>
          <w:rFonts w:ascii="Times New Roman" w:eastAsia="Times New Roman" w:hAnsi="Times New Roman" w:cs="Times New Roman"/>
          <w:color w:val="000000"/>
          <w:szCs w:val="24"/>
        </w:rPr>
        <w:t xml:space="preserve"> на северо-западе за счет исключения этих территорий из города Кисловодска в кадастровом квартале 26:34:060503</w:t>
      </w:r>
      <w:r w:rsidR="00ED5DD1" w:rsidRPr="00731FE2">
        <w:rPr>
          <w:rFonts w:ascii="Times New Roman" w:eastAsia="Times New Roman" w:hAnsi="Times New Roman" w:cs="Times New Roman"/>
          <w:color w:val="000000"/>
          <w:szCs w:val="24"/>
        </w:rPr>
        <w:t>.</w:t>
      </w:r>
    </w:p>
    <w:p w14:paraId="71933367" w14:textId="77777777" w:rsidR="00157038" w:rsidRPr="00731FE2" w:rsidRDefault="00157038" w:rsidP="00157038">
      <w:pPr>
        <w:jc w:val="center"/>
        <w:rPr>
          <w:lang w:val="en-US"/>
        </w:rPr>
      </w:pPr>
      <w:r w:rsidRPr="00731FE2">
        <w:rPr>
          <w:noProof/>
          <w:lang w:eastAsia="ru-RU"/>
        </w:rPr>
        <w:drawing>
          <wp:inline distT="0" distB="0" distL="0" distR="0" wp14:anchorId="3D5872EB" wp14:editId="053D8421">
            <wp:extent cx="3485715" cy="5238096"/>
            <wp:effectExtent l="0" t="0" r="635" b="127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3485715" cy="5238096"/>
                    </a:xfrm>
                    <a:prstGeom prst="rect">
                      <a:avLst/>
                    </a:prstGeom>
                  </pic:spPr>
                </pic:pic>
              </a:graphicData>
            </a:graphic>
          </wp:inline>
        </w:drawing>
      </w:r>
    </w:p>
    <w:p w14:paraId="3727E623" w14:textId="77777777" w:rsidR="00157038" w:rsidRPr="00731FE2" w:rsidRDefault="00157038" w:rsidP="00157038">
      <w:pPr>
        <w:rPr>
          <w:b/>
        </w:rPr>
      </w:pPr>
    </w:p>
    <w:p w14:paraId="745FC1FC" w14:textId="5089CBFE" w:rsidR="00157038" w:rsidRPr="00731FE2" w:rsidRDefault="00157038" w:rsidP="00157038">
      <w:pPr>
        <w:rPr>
          <w:rFonts w:ascii="Times New Roman" w:eastAsia="Times New Roman" w:hAnsi="Times New Roman" w:cs="Times New Roman"/>
          <w:b/>
          <w:color w:val="000000"/>
          <w:szCs w:val="24"/>
        </w:rPr>
      </w:pPr>
      <w:r w:rsidRPr="00731FE2">
        <w:rPr>
          <w:rFonts w:ascii="Times New Roman" w:eastAsia="Times New Roman" w:hAnsi="Times New Roman" w:cs="Times New Roman"/>
          <w:b/>
          <w:color w:val="000000"/>
          <w:szCs w:val="24"/>
        </w:rPr>
        <w:t>Граница п. Белореченский</w:t>
      </w:r>
      <w:r w:rsidR="00ED5DD1" w:rsidRPr="00731FE2">
        <w:rPr>
          <w:rFonts w:ascii="Times New Roman" w:eastAsia="Times New Roman" w:hAnsi="Times New Roman" w:cs="Times New Roman"/>
          <w:b/>
          <w:color w:val="000000"/>
          <w:szCs w:val="24"/>
        </w:rPr>
        <w:t xml:space="preserve"> изменится в связи с</w:t>
      </w:r>
      <w:r w:rsidRPr="00731FE2">
        <w:rPr>
          <w:rFonts w:ascii="Times New Roman" w:eastAsia="Times New Roman" w:hAnsi="Times New Roman" w:cs="Times New Roman"/>
          <w:b/>
          <w:color w:val="000000"/>
          <w:szCs w:val="24"/>
        </w:rPr>
        <w:t>:</w:t>
      </w:r>
    </w:p>
    <w:p w14:paraId="18A1DA9C" w14:textId="27BB4B68" w:rsidR="00157038" w:rsidRPr="00731FE2" w:rsidRDefault="00ED5DD1" w:rsidP="00ED5DD1">
      <w:pPr>
        <w:pStyle w:val="a3"/>
        <w:ind w:left="0"/>
        <w:rPr>
          <w:rFonts w:ascii="Times New Roman" w:hAnsi="Times New Roman" w:cs="Times New Roman"/>
          <w:szCs w:val="24"/>
        </w:rPr>
      </w:pPr>
      <w:r w:rsidRPr="00731FE2">
        <w:rPr>
          <w:rFonts w:ascii="Times New Roman" w:hAnsi="Times New Roman" w:cs="Times New Roman"/>
          <w:b/>
          <w:szCs w:val="24"/>
        </w:rPr>
        <w:t>1.</w:t>
      </w:r>
      <w:r w:rsidRPr="00731FE2">
        <w:rPr>
          <w:rFonts w:ascii="Times New Roman" w:hAnsi="Times New Roman" w:cs="Times New Roman"/>
          <w:szCs w:val="24"/>
        </w:rPr>
        <w:t xml:space="preserve"> в</w:t>
      </w:r>
      <w:r w:rsidR="00157038" w:rsidRPr="00731FE2">
        <w:rPr>
          <w:rFonts w:ascii="Times New Roman" w:hAnsi="Times New Roman" w:cs="Times New Roman"/>
          <w:szCs w:val="24"/>
        </w:rPr>
        <w:t xml:space="preserve">ключением в границы </w:t>
      </w:r>
      <w:r w:rsidRPr="00731FE2">
        <w:rPr>
          <w:rFonts w:ascii="Times New Roman" w:eastAsia="Times New Roman" w:hAnsi="Times New Roman" w:cs="Times New Roman"/>
          <w:color w:val="000000"/>
          <w:szCs w:val="24"/>
        </w:rPr>
        <w:t>п. Белореченский</w:t>
      </w:r>
      <w:r w:rsidR="00157038" w:rsidRPr="00731FE2">
        <w:rPr>
          <w:rFonts w:ascii="Times New Roman" w:hAnsi="Times New Roman" w:cs="Times New Roman"/>
          <w:szCs w:val="24"/>
        </w:rPr>
        <w:t xml:space="preserve"> из территории города Кисловодска земельных участков с кадастровыми номерами 26:34:140105:71, 26:34:150307:4 и прилегающие рядом территории, не внесенные в ЕГРН, расположенные в кадастровом квартале 26:34:150307 в западной части поселка. Данные участки представлены в таблице </w:t>
      </w:r>
      <w:r w:rsidRPr="00731FE2">
        <w:rPr>
          <w:rFonts w:ascii="Times New Roman" w:hAnsi="Times New Roman" w:cs="Times New Roman"/>
          <w:szCs w:val="24"/>
        </w:rPr>
        <w:t>98</w:t>
      </w:r>
      <w:r w:rsidR="00157038" w:rsidRPr="00731FE2">
        <w:rPr>
          <w:rFonts w:ascii="Times New Roman" w:hAnsi="Times New Roman" w:cs="Times New Roman"/>
          <w:szCs w:val="24"/>
        </w:rPr>
        <w:t xml:space="preserve"> – «</w:t>
      </w:r>
      <w:r w:rsidRPr="00731FE2">
        <w:rPr>
          <w:rFonts w:ascii="Times New Roman" w:eastAsia="Times New Roman" w:hAnsi="Times New Roman" w:cs="Times New Roman"/>
          <w:color w:val="000000"/>
          <w:szCs w:val="24"/>
        </w:rPr>
        <w:t>Перечень земельных участков, не меняющих категорию земель, включенных в земли населенных пунктов п. Аликоновка и п. Белореческий</w:t>
      </w:r>
      <w:r w:rsidR="00157038" w:rsidRPr="00731FE2">
        <w:rPr>
          <w:rFonts w:ascii="Times New Roman" w:hAnsi="Times New Roman" w:cs="Times New Roman"/>
          <w:szCs w:val="24"/>
        </w:rPr>
        <w:t>»</w:t>
      </w:r>
      <w:r w:rsidR="00A42B56" w:rsidRPr="00731FE2">
        <w:rPr>
          <w:rFonts w:ascii="Times New Roman" w:hAnsi="Times New Roman" w:cs="Times New Roman"/>
          <w:szCs w:val="24"/>
        </w:rPr>
        <w:t>.</w:t>
      </w:r>
    </w:p>
    <w:p w14:paraId="58E69815" w14:textId="77777777" w:rsidR="006825F1" w:rsidRPr="00731FE2" w:rsidRDefault="006825F1" w:rsidP="00ED5DD1">
      <w:pPr>
        <w:pStyle w:val="a3"/>
        <w:ind w:left="0"/>
        <w:rPr>
          <w:rFonts w:ascii="Times New Roman" w:hAnsi="Times New Roman" w:cs="Times New Roman"/>
          <w:szCs w:val="24"/>
        </w:rPr>
      </w:pPr>
    </w:p>
    <w:p w14:paraId="2AF05F68" w14:textId="538D3D50" w:rsidR="00ED5DD1" w:rsidRPr="00731FE2" w:rsidRDefault="006825F1" w:rsidP="006825F1">
      <w:pPr>
        <w:pStyle w:val="a3"/>
        <w:ind w:left="0" w:firstLine="0"/>
        <w:jc w:val="center"/>
        <w:rPr>
          <w:rFonts w:ascii="Times New Roman" w:hAnsi="Times New Roman" w:cs="Times New Roman"/>
          <w:szCs w:val="24"/>
        </w:rPr>
      </w:pPr>
      <w:r w:rsidRPr="00731FE2">
        <w:rPr>
          <w:noProof/>
          <w:lang w:eastAsia="ru-RU"/>
        </w:rPr>
        <w:lastRenderedPageBreak/>
        <w:drawing>
          <wp:inline distT="0" distB="0" distL="0" distR="0" wp14:anchorId="6C760418" wp14:editId="547AFE61">
            <wp:extent cx="4046220" cy="3926037"/>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4066525" cy="3945739"/>
                    </a:xfrm>
                    <a:prstGeom prst="rect">
                      <a:avLst/>
                    </a:prstGeom>
                  </pic:spPr>
                </pic:pic>
              </a:graphicData>
            </a:graphic>
          </wp:inline>
        </w:drawing>
      </w:r>
    </w:p>
    <w:p w14:paraId="6288D52C" w14:textId="77777777" w:rsidR="00ED5DD1" w:rsidRPr="00731FE2" w:rsidRDefault="00ED5DD1" w:rsidP="00ED5DD1">
      <w:pPr>
        <w:pStyle w:val="a3"/>
        <w:ind w:left="0"/>
        <w:rPr>
          <w:rFonts w:ascii="Times New Roman" w:hAnsi="Times New Roman" w:cs="Times New Roman"/>
          <w:szCs w:val="24"/>
        </w:rPr>
      </w:pPr>
    </w:p>
    <w:p w14:paraId="2402DFAF" w14:textId="77777777" w:rsidR="00ED5DD1" w:rsidRPr="00731FE2" w:rsidRDefault="00ED5DD1" w:rsidP="00ED5DD1">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b/>
          <w:bCs/>
          <w:color w:val="000000" w:themeColor="text1"/>
          <w:szCs w:val="24"/>
        </w:rPr>
      </w:pPr>
      <w:r w:rsidRPr="00731FE2">
        <w:rPr>
          <w:rFonts w:ascii="Times New Roman" w:eastAsia="Times New Roman" w:hAnsi="Times New Roman" w:cs="Times New Roman"/>
          <w:b/>
          <w:bCs/>
          <w:color w:val="000000" w:themeColor="text1"/>
          <w:szCs w:val="24"/>
        </w:rPr>
        <w:t xml:space="preserve">Таблица </w:t>
      </w:r>
      <w:r w:rsidRPr="00731FE2">
        <w:rPr>
          <w:rFonts w:ascii="Times New Roman" w:eastAsia="Times New Roman" w:hAnsi="Times New Roman" w:cs="Times New Roman"/>
          <w:b/>
          <w:bCs/>
          <w:color w:val="000000" w:themeColor="text1"/>
          <w:szCs w:val="24"/>
        </w:rPr>
        <w:fldChar w:fldCharType="begin"/>
      </w:r>
      <w:r w:rsidRPr="00731FE2">
        <w:rPr>
          <w:rFonts w:ascii="Times New Roman" w:eastAsia="Times New Roman" w:hAnsi="Times New Roman" w:cs="Times New Roman"/>
          <w:b/>
          <w:bCs/>
          <w:color w:val="000000" w:themeColor="text1"/>
          <w:szCs w:val="24"/>
        </w:rPr>
        <w:instrText xml:space="preserve"> SEQ Таблица \* Arabic </w:instrText>
      </w:r>
      <w:r w:rsidRPr="00731FE2">
        <w:rPr>
          <w:rFonts w:ascii="Times New Roman" w:eastAsia="Times New Roman" w:hAnsi="Times New Roman" w:cs="Times New Roman"/>
          <w:b/>
          <w:bCs/>
          <w:color w:val="000000" w:themeColor="text1"/>
          <w:szCs w:val="24"/>
        </w:rPr>
        <w:fldChar w:fldCharType="separate"/>
      </w:r>
      <w:r w:rsidR="00C50915" w:rsidRPr="00731FE2">
        <w:rPr>
          <w:rFonts w:ascii="Times New Roman" w:eastAsia="Times New Roman" w:hAnsi="Times New Roman" w:cs="Times New Roman"/>
          <w:b/>
          <w:bCs/>
          <w:noProof/>
          <w:color w:val="000000" w:themeColor="text1"/>
          <w:szCs w:val="24"/>
        </w:rPr>
        <w:t>98</w:t>
      </w:r>
      <w:r w:rsidRPr="00731FE2">
        <w:rPr>
          <w:rFonts w:ascii="Times New Roman" w:eastAsia="Times New Roman" w:hAnsi="Times New Roman" w:cs="Times New Roman"/>
          <w:b/>
          <w:bCs/>
          <w:color w:val="000000" w:themeColor="text1"/>
          <w:szCs w:val="24"/>
        </w:rPr>
        <w:fldChar w:fldCharType="end"/>
      </w:r>
      <w:r w:rsidRPr="00731FE2">
        <w:rPr>
          <w:rFonts w:ascii="Times New Roman" w:eastAsia="Times New Roman" w:hAnsi="Times New Roman" w:cs="Times New Roman"/>
          <w:b/>
          <w:bCs/>
          <w:color w:val="000000" w:themeColor="text1"/>
          <w:szCs w:val="24"/>
        </w:rPr>
        <w:t xml:space="preserve"> – Перечень земельных участков, не меняющих категорию земель, включенных в земли населенных пунктов п. Аликоновка и п. Белореческий</w:t>
      </w:r>
    </w:p>
    <w:tbl>
      <w:tblPr>
        <w:tblStyle w:val="afe"/>
        <w:tblW w:w="9240" w:type="dxa"/>
        <w:jc w:val="center"/>
        <w:tblLayout w:type="fixed"/>
        <w:tblCellMar>
          <w:left w:w="45" w:type="dxa"/>
          <w:right w:w="45" w:type="dxa"/>
        </w:tblCellMar>
        <w:tblLook w:val="0600" w:firstRow="0" w:lastRow="0" w:firstColumn="0" w:lastColumn="0" w:noHBand="1" w:noVBand="1"/>
      </w:tblPr>
      <w:tblGrid>
        <w:gridCol w:w="570"/>
        <w:gridCol w:w="1780"/>
        <w:gridCol w:w="1473"/>
        <w:gridCol w:w="1701"/>
        <w:gridCol w:w="1275"/>
        <w:gridCol w:w="1418"/>
        <w:gridCol w:w="1023"/>
      </w:tblGrid>
      <w:tr w:rsidR="00ED5DD1" w:rsidRPr="00731FE2" w14:paraId="4EB017A3" w14:textId="77777777" w:rsidTr="006B0212">
        <w:trPr>
          <w:trHeight w:val="20"/>
          <w:jc w:val="center"/>
        </w:trPr>
        <w:tc>
          <w:tcPr>
            <w:tcW w:w="570" w:type="dxa"/>
            <w:vAlign w:val="center"/>
          </w:tcPr>
          <w:p w14:paraId="1D4C1105" w14:textId="77777777" w:rsidR="00ED5DD1" w:rsidRPr="00731FE2" w:rsidRDefault="00ED5DD1" w:rsidP="006B0212">
            <w:pPr>
              <w:pStyle w:val="a3"/>
              <w:ind w:left="0" w:firstLine="0"/>
              <w:rPr>
                <w:rFonts w:ascii="Times New Roman" w:hAnsi="Times New Roman" w:cs="Times New Roman"/>
                <w:b/>
                <w:sz w:val="20"/>
                <w:szCs w:val="20"/>
              </w:rPr>
            </w:pPr>
            <w:r w:rsidRPr="00731FE2">
              <w:rPr>
                <w:rFonts w:ascii="Times New Roman" w:hAnsi="Times New Roman" w:cs="Times New Roman"/>
                <w:b/>
                <w:sz w:val="20"/>
                <w:szCs w:val="20"/>
              </w:rPr>
              <w:t>№ п/п</w:t>
            </w:r>
          </w:p>
        </w:tc>
        <w:tc>
          <w:tcPr>
            <w:tcW w:w="1780" w:type="dxa"/>
            <w:vAlign w:val="center"/>
          </w:tcPr>
          <w:p w14:paraId="0A35BB7F" w14:textId="77777777" w:rsidR="00ED5DD1" w:rsidRPr="00731FE2" w:rsidRDefault="00ED5DD1" w:rsidP="006B0212">
            <w:pPr>
              <w:ind w:firstLine="0"/>
              <w:jc w:val="center"/>
              <w:rPr>
                <w:rFonts w:ascii="Times New Roman" w:hAnsi="Times New Roman" w:cs="Times New Roman"/>
                <w:b/>
                <w:sz w:val="20"/>
                <w:szCs w:val="20"/>
              </w:rPr>
            </w:pPr>
            <w:r w:rsidRPr="00731FE2">
              <w:rPr>
                <w:rFonts w:ascii="Times New Roman" w:hAnsi="Times New Roman" w:cs="Times New Roman"/>
                <w:b/>
                <w:sz w:val="20"/>
                <w:szCs w:val="20"/>
              </w:rPr>
              <w:t>Кадастровый номер земельного участка</w:t>
            </w:r>
          </w:p>
        </w:tc>
        <w:tc>
          <w:tcPr>
            <w:tcW w:w="1473" w:type="dxa"/>
            <w:vAlign w:val="center"/>
          </w:tcPr>
          <w:p w14:paraId="4A669FF9" w14:textId="77777777" w:rsidR="00ED5DD1" w:rsidRPr="00731FE2" w:rsidRDefault="00ED5DD1" w:rsidP="006B0212">
            <w:pPr>
              <w:ind w:firstLine="0"/>
              <w:jc w:val="center"/>
              <w:rPr>
                <w:rFonts w:ascii="Times New Roman" w:hAnsi="Times New Roman" w:cs="Times New Roman"/>
                <w:b/>
                <w:sz w:val="20"/>
                <w:szCs w:val="20"/>
              </w:rPr>
            </w:pPr>
            <w:r w:rsidRPr="00731FE2">
              <w:rPr>
                <w:rFonts w:ascii="Times New Roman" w:hAnsi="Times New Roman" w:cs="Times New Roman"/>
                <w:b/>
                <w:sz w:val="20"/>
                <w:szCs w:val="20"/>
              </w:rPr>
              <w:t>Существующая категория земель</w:t>
            </w:r>
          </w:p>
        </w:tc>
        <w:tc>
          <w:tcPr>
            <w:tcW w:w="1701" w:type="dxa"/>
            <w:vAlign w:val="center"/>
          </w:tcPr>
          <w:p w14:paraId="5E13ED12" w14:textId="77777777" w:rsidR="00ED5DD1" w:rsidRPr="00731FE2" w:rsidRDefault="00ED5DD1" w:rsidP="006B0212">
            <w:pPr>
              <w:ind w:firstLine="0"/>
              <w:jc w:val="center"/>
              <w:rPr>
                <w:rFonts w:ascii="Times New Roman" w:hAnsi="Times New Roman" w:cs="Times New Roman"/>
                <w:b/>
                <w:sz w:val="20"/>
                <w:szCs w:val="20"/>
              </w:rPr>
            </w:pPr>
            <w:r w:rsidRPr="00731FE2">
              <w:rPr>
                <w:rFonts w:ascii="Times New Roman" w:hAnsi="Times New Roman" w:cs="Times New Roman"/>
                <w:b/>
                <w:sz w:val="20"/>
                <w:szCs w:val="20"/>
              </w:rPr>
              <w:t>Существующее использование земельного участка</w:t>
            </w:r>
          </w:p>
        </w:tc>
        <w:tc>
          <w:tcPr>
            <w:tcW w:w="1275" w:type="dxa"/>
            <w:vAlign w:val="center"/>
          </w:tcPr>
          <w:p w14:paraId="3D7AAEAB" w14:textId="77777777" w:rsidR="00ED5DD1" w:rsidRPr="00731FE2" w:rsidRDefault="00ED5DD1" w:rsidP="006B0212">
            <w:pPr>
              <w:ind w:firstLine="0"/>
              <w:jc w:val="center"/>
              <w:rPr>
                <w:rFonts w:ascii="Times New Roman" w:hAnsi="Times New Roman" w:cs="Times New Roman"/>
                <w:b/>
                <w:sz w:val="20"/>
                <w:szCs w:val="20"/>
              </w:rPr>
            </w:pPr>
            <w:r w:rsidRPr="00731FE2">
              <w:rPr>
                <w:rFonts w:ascii="Times New Roman" w:hAnsi="Times New Roman" w:cs="Times New Roman"/>
                <w:b/>
                <w:sz w:val="20"/>
                <w:szCs w:val="20"/>
              </w:rPr>
              <w:t>Планируемая категория земель</w:t>
            </w:r>
          </w:p>
        </w:tc>
        <w:tc>
          <w:tcPr>
            <w:tcW w:w="1418" w:type="dxa"/>
            <w:vAlign w:val="center"/>
          </w:tcPr>
          <w:p w14:paraId="268BBBE0" w14:textId="77777777" w:rsidR="00ED5DD1" w:rsidRPr="00731FE2" w:rsidRDefault="00ED5DD1" w:rsidP="006B0212">
            <w:pPr>
              <w:ind w:firstLine="0"/>
              <w:jc w:val="center"/>
              <w:rPr>
                <w:rFonts w:ascii="Times New Roman" w:hAnsi="Times New Roman" w:cs="Times New Roman"/>
                <w:b/>
                <w:sz w:val="20"/>
                <w:szCs w:val="20"/>
              </w:rPr>
            </w:pPr>
            <w:r w:rsidRPr="00731FE2">
              <w:rPr>
                <w:rFonts w:ascii="Times New Roman" w:hAnsi="Times New Roman" w:cs="Times New Roman"/>
                <w:b/>
                <w:sz w:val="20"/>
                <w:szCs w:val="20"/>
              </w:rPr>
              <w:t>Планируемое использование земельного участка</w:t>
            </w:r>
          </w:p>
        </w:tc>
        <w:tc>
          <w:tcPr>
            <w:tcW w:w="1023" w:type="dxa"/>
            <w:vAlign w:val="center"/>
          </w:tcPr>
          <w:p w14:paraId="59B34D7A" w14:textId="77777777" w:rsidR="00ED5DD1" w:rsidRPr="00731FE2" w:rsidRDefault="00ED5DD1" w:rsidP="006B0212">
            <w:pPr>
              <w:ind w:firstLine="0"/>
              <w:jc w:val="center"/>
              <w:rPr>
                <w:rFonts w:ascii="Times New Roman" w:hAnsi="Times New Roman" w:cs="Times New Roman"/>
                <w:b/>
                <w:sz w:val="20"/>
                <w:szCs w:val="20"/>
              </w:rPr>
            </w:pPr>
            <w:r w:rsidRPr="00731FE2">
              <w:rPr>
                <w:rFonts w:ascii="Times New Roman" w:hAnsi="Times New Roman" w:cs="Times New Roman"/>
                <w:b/>
                <w:sz w:val="20"/>
                <w:szCs w:val="20"/>
              </w:rPr>
              <w:t>Площадь, м2</w:t>
            </w:r>
          </w:p>
        </w:tc>
      </w:tr>
      <w:tr w:rsidR="00ED5DD1" w:rsidRPr="00731FE2" w14:paraId="73D0B434" w14:textId="77777777" w:rsidTr="006B0212">
        <w:trPr>
          <w:trHeight w:val="20"/>
          <w:jc w:val="center"/>
        </w:trPr>
        <w:tc>
          <w:tcPr>
            <w:tcW w:w="9240" w:type="dxa"/>
            <w:gridSpan w:val="7"/>
            <w:vAlign w:val="center"/>
          </w:tcPr>
          <w:p w14:paraId="5487ABA5" w14:textId="77777777" w:rsidR="00ED5DD1" w:rsidRPr="00731FE2" w:rsidRDefault="00ED5DD1" w:rsidP="006B0212">
            <w:pPr>
              <w:pStyle w:val="a3"/>
              <w:ind w:left="0" w:firstLine="0"/>
              <w:jc w:val="center"/>
              <w:rPr>
                <w:rFonts w:ascii="Times New Roman" w:hAnsi="Times New Roman" w:cs="Times New Roman"/>
                <w:b/>
                <w:sz w:val="20"/>
                <w:szCs w:val="20"/>
              </w:rPr>
            </w:pPr>
            <w:r w:rsidRPr="00731FE2">
              <w:rPr>
                <w:rFonts w:ascii="Times New Roman" w:hAnsi="Times New Roman" w:cs="Times New Roman"/>
                <w:b/>
                <w:sz w:val="20"/>
                <w:szCs w:val="20"/>
              </w:rPr>
              <w:t xml:space="preserve">п. </w:t>
            </w:r>
            <w:r w:rsidRPr="00731FE2">
              <w:rPr>
                <w:rFonts w:ascii="Times New Roman" w:eastAsiaTheme="majorEastAsia" w:hAnsi="Times New Roman" w:cs="Times New Roman"/>
                <w:b/>
                <w:sz w:val="20"/>
                <w:szCs w:val="20"/>
              </w:rPr>
              <w:t>Аликоновка</w:t>
            </w:r>
          </w:p>
        </w:tc>
      </w:tr>
      <w:tr w:rsidR="00ED5DD1" w:rsidRPr="00731FE2" w14:paraId="04A5C286" w14:textId="77777777" w:rsidTr="006B0212">
        <w:trPr>
          <w:trHeight w:val="20"/>
          <w:jc w:val="center"/>
        </w:trPr>
        <w:tc>
          <w:tcPr>
            <w:tcW w:w="570" w:type="dxa"/>
            <w:vAlign w:val="center"/>
          </w:tcPr>
          <w:p w14:paraId="289E11DF" w14:textId="77777777" w:rsidR="00ED5DD1" w:rsidRPr="00731FE2" w:rsidRDefault="00ED5DD1" w:rsidP="006B0212">
            <w:pPr>
              <w:pStyle w:val="a3"/>
              <w:numPr>
                <w:ilvl w:val="0"/>
                <w:numId w:val="131"/>
              </w:numPr>
              <w:ind w:left="0" w:firstLine="0"/>
              <w:jc w:val="center"/>
              <w:rPr>
                <w:rFonts w:ascii="Times New Roman" w:hAnsi="Times New Roman" w:cs="Times New Roman"/>
                <w:sz w:val="20"/>
                <w:szCs w:val="20"/>
              </w:rPr>
            </w:pPr>
          </w:p>
        </w:tc>
        <w:tc>
          <w:tcPr>
            <w:tcW w:w="1780" w:type="dxa"/>
            <w:vAlign w:val="center"/>
          </w:tcPr>
          <w:p w14:paraId="53206FE7" w14:textId="77777777" w:rsidR="00ED5DD1" w:rsidRPr="00731FE2" w:rsidRDefault="00ED5DD1" w:rsidP="006B0212">
            <w:pPr>
              <w:ind w:firstLine="0"/>
              <w:jc w:val="center"/>
              <w:rPr>
                <w:rFonts w:ascii="Times New Roman" w:hAnsi="Times New Roman" w:cs="Times New Roman"/>
                <w:sz w:val="20"/>
                <w:szCs w:val="20"/>
              </w:rPr>
            </w:pPr>
            <w:r w:rsidRPr="00731FE2">
              <w:rPr>
                <w:rFonts w:ascii="Times New Roman" w:hAnsi="Times New Roman" w:cs="Times New Roman"/>
                <w:sz w:val="20"/>
                <w:szCs w:val="20"/>
              </w:rPr>
              <w:t>26:34:050307:4</w:t>
            </w:r>
          </w:p>
        </w:tc>
        <w:tc>
          <w:tcPr>
            <w:tcW w:w="1473" w:type="dxa"/>
          </w:tcPr>
          <w:p w14:paraId="1E71CD3B" w14:textId="77777777" w:rsidR="00ED5DD1" w:rsidRPr="00731FE2" w:rsidRDefault="00ED5DD1" w:rsidP="006B0212">
            <w:pPr>
              <w:ind w:firstLine="0"/>
              <w:jc w:val="center"/>
              <w:rPr>
                <w:rFonts w:ascii="Times New Roman" w:hAnsi="Times New Roman" w:cs="Times New Roman"/>
                <w:sz w:val="20"/>
                <w:szCs w:val="20"/>
              </w:rPr>
            </w:pPr>
            <w:r w:rsidRPr="00731FE2">
              <w:rPr>
                <w:rFonts w:ascii="Times New Roman" w:hAnsi="Times New Roman" w:cs="Times New Roman"/>
                <w:color w:val="000000"/>
                <w:sz w:val="20"/>
                <w:szCs w:val="20"/>
                <w:shd w:val="clear" w:color="auto" w:fill="FFFFFF"/>
              </w:rPr>
              <w:t>Земли населенных пунктов</w:t>
            </w:r>
          </w:p>
        </w:tc>
        <w:tc>
          <w:tcPr>
            <w:tcW w:w="1701" w:type="dxa"/>
            <w:vAlign w:val="center"/>
          </w:tcPr>
          <w:p w14:paraId="0EDB21E2" w14:textId="77777777" w:rsidR="00ED5DD1" w:rsidRPr="00731FE2" w:rsidRDefault="00ED5DD1" w:rsidP="006B0212">
            <w:pPr>
              <w:ind w:firstLine="0"/>
              <w:jc w:val="center"/>
              <w:rPr>
                <w:rFonts w:ascii="Times New Roman" w:hAnsi="Times New Roman" w:cs="Times New Roman"/>
                <w:sz w:val="20"/>
                <w:szCs w:val="20"/>
              </w:rPr>
            </w:pPr>
            <w:r w:rsidRPr="00731FE2">
              <w:rPr>
                <w:rFonts w:ascii="Times New Roman" w:hAnsi="Times New Roman" w:cs="Times New Roman"/>
                <w:color w:val="000000"/>
                <w:sz w:val="20"/>
                <w:szCs w:val="20"/>
                <w:shd w:val="clear" w:color="auto" w:fill="FFFFFF"/>
              </w:rPr>
              <w:t>Пионерский лагерь-пансионат</w:t>
            </w:r>
          </w:p>
        </w:tc>
        <w:tc>
          <w:tcPr>
            <w:tcW w:w="1275" w:type="dxa"/>
          </w:tcPr>
          <w:p w14:paraId="07AF9F97" w14:textId="77777777" w:rsidR="00ED5DD1" w:rsidRPr="00731FE2" w:rsidRDefault="00ED5DD1" w:rsidP="006B0212">
            <w:pPr>
              <w:ind w:firstLine="0"/>
              <w:jc w:val="center"/>
              <w:rPr>
                <w:rFonts w:ascii="Times New Roman" w:hAnsi="Times New Roman" w:cs="Times New Roman"/>
                <w:sz w:val="20"/>
                <w:szCs w:val="20"/>
              </w:rPr>
            </w:pPr>
            <w:r w:rsidRPr="00731FE2">
              <w:rPr>
                <w:rFonts w:ascii="Times New Roman" w:hAnsi="Times New Roman" w:cs="Times New Roman"/>
                <w:color w:val="000000"/>
                <w:sz w:val="20"/>
                <w:szCs w:val="20"/>
                <w:shd w:val="clear" w:color="auto" w:fill="FFFFFF"/>
              </w:rPr>
              <w:t>Земли населенных пунктов</w:t>
            </w:r>
          </w:p>
        </w:tc>
        <w:tc>
          <w:tcPr>
            <w:tcW w:w="1418" w:type="dxa"/>
            <w:vAlign w:val="center"/>
          </w:tcPr>
          <w:p w14:paraId="778A1814" w14:textId="77777777" w:rsidR="00ED5DD1" w:rsidRPr="00731FE2" w:rsidRDefault="00ED5DD1" w:rsidP="006B0212">
            <w:pPr>
              <w:ind w:firstLine="0"/>
              <w:jc w:val="center"/>
              <w:rPr>
                <w:rFonts w:ascii="Times New Roman" w:hAnsi="Times New Roman" w:cs="Times New Roman"/>
                <w:sz w:val="20"/>
                <w:szCs w:val="20"/>
              </w:rPr>
            </w:pPr>
            <w:r w:rsidRPr="00731FE2">
              <w:rPr>
                <w:rFonts w:ascii="Times New Roman" w:hAnsi="Times New Roman" w:cs="Times New Roman"/>
                <w:color w:val="000000"/>
                <w:sz w:val="20"/>
                <w:szCs w:val="20"/>
                <w:shd w:val="clear" w:color="auto" w:fill="FFFFFF"/>
              </w:rPr>
              <w:t>Пионерский лагерь-пансионат</w:t>
            </w:r>
          </w:p>
        </w:tc>
        <w:tc>
          <w:tcPr>
            <w:tcW w:w="1023" w:type="dxa"/>
            <w:vAlign w:val="center"/>
          </w:tcPr>
          <w:p w14:paraId="07CAA843" w14:textId="77777777" w:rsidR="00ED5DD1" w:rsidRPr="00731FE2" w:rsidRDefault="00ED5DD1" w:rsidP="006B0212">
            <w:pPr>
              <w:ind w:firstLine="0"/>
              <w:jc w:val="center"/>
              <w:rPr>
                <w:rFonts w:ascii="Times New Roman" w:hAnsi="Times New Roman" w:cs="Times New Roman"/>
                <w:sz w:val="20"/>
                <w:szCs w:val="20"/>
              </w:rPr>
            </w:pPr>
            <w:r w:rsidRPr="00731FE2">
              <w:rPr>
                <w:rFonts w:ascii="Times New Roman" w:hAnsi="Times New Roman" w:cs="Times New Roman"/>
                <w:color w:val="000000"/>
                <w:sz w:val="20"/>
                <w:szCs w:val="20"/>
                <w:shd w:val="clear" w:color="auto" w:fill="FFFFFF"/>
              </w:rPr>
              <w:t>40991</w:t>
            </w:r>
          </w:p>
        </w:tc>
      </w:tr>
      <w:tr w:rsidR="00ED5DD1" w:rsidRPr="00731FE2" w14:paraId="1DE8E5B6" w14:textId="77777777" w:rsidTr="006B0212">
        <w:trPr>
          <w:trHeight w:val="20"/>
          <w:jc w:val="center"/>
        </w:trPr>
        <w:tc>
          <w:tcPr>
            <w:tcW w:w="570" w:type="dxa"/>
            <w:vAlign w:val="center"/>
          </w:tcPr>
          <w:p w14:paraId="66243A49" w14:textId="77777777" w:rsidR="00ED5DD1" w:rsidRPr="00731FE2" w:rsidRDefault="00ED5DD1" w:rsidP="006B0212">
            <w:pPr>
              <w:pStyle w:val="a3"/>
              <w:numPr>
                <w:ilvl w:val="0"/>
                <w:numId w:val="131"/>
              </w:numPr>
              <w:ind w:left="0" w:firstLine="0"/>
              <w:jc w:val="center"/>
              <w:rPr>
                <w:rFonts w:ascii="Times New Roman" w:hAnsi="Times New Roman" w:cs="Times New Roman"/>
                <w:sz w:val="20"/>
                <w:szCs w:val="20"/>
              </w:rPr>
            </w:pPr>
          </w:p>
        </w:tc>
        <w:tc>
          <w:tcPr>
            <w:tcW w:w="1780" w:type="dxa"/>
            <w:vAlign w:val="center"/>
          </w:tcPr>
          <w:p w14:paraId="16DCF7C9" w14:textId="77777777" w:rsidR="00ED5DD1" w:rsidRPr="00731FE2" w:rsidRDefault="00ED5DD1" w:rsidP="006B0212">
            <w:pPr>
              <w:ind w:firstLine="0"/>
              <w:jc w:val="center"/>
              <w:rPr>
                <w:rFonts w:ascii="Times New Roman" w:hAnsi="Times New Roman" w:cs="Times New Roman"/>
                <w:sz w:val="20"/>
                <w:szCs w:val="20"/>
              </w:rPr>
            </w:pPr>
            <w:r w:rsidRPr="00731FE2">
              <w:rPr>
                <w:rFonts w:ascii="Times New Roman" w:hAnsi="Times New Roman" w:cs="Times New Roman"/>
                <w:sz w:val="20"/>
                <w:szCs w:val="20"/>
              </w:rPr>
              <w:t>26:34:050307:2</w:t>
            </w:r>
          </w:p>
        </w:tc>
        <w:tc>
          <w:tcPr>
            <w:tcW w:w="1473" w:type="dxa"/>
          </w:tcPr>
          <w:p w14:paraId="361A97C3" w14:textId="77777777" w:rsidR="00ED5DD1" w:rsidRPr="00731FE2" w:rsidRDefault="00ED5DD1" w:rsidP="006B0212">
            <w:pPr>
              <w:ind w:firstLine="0"/>
              <w:jc w:val="center"/>
              <w:rPr>
                <w:rFonts w:ascii="Times New Roman" w:hAnsi="Times New Roman" w:cs="Times New Roman"/>
                <w:sz w:val="20"/>
                <w:szCs w:val="20"/>
              </w:rPr>
            </w:pPr>
            <w:r w:rsidRPr="00731FE2">
              <w:rPr>
                <w:rFonts w:ascii="Times New Roman" w:hAnsi="Times New Roman" w:cs="Times New Roman"/>
                <w:color w:val="000000"/>
                <w:sz w:val="20"/>
                <w:szCs w:val="20"/>
                <w:shd w:val="clear" w:color="auto" w:fill="FFFFFF"/>
              </w:rPr>
              <w:t>Земли населенных пунктов</w:t>
            </w:r>
          </w:p>
        </w:tc>
        <w:tc>
          <w:tcPr>
            <w:tcW w:w="1701" w:type="dxa"/>
            <w:vAlign w:val="center"/>
          </w:tcPr>
          <w:p w14:paraId="353CE118" w14:textId="77777777" w:rsidR="00ED5DD1" w:rsidRPr="00731FE2" w:rsidRDefault="00ED5DD1" w:rsidP="006B0212">
            <w:pPr>
              <w:ind w:firstLine="0"/>
              <w:jc w:val="center"/>
              <w:rPr>
                <w:rFonts w:ascii="Times New Roman" w:hAnsi="Times New Roman" w:cs="Times New Roman"/>
                <w:color w:val="000000"/>
                <w:sz w:val="20"/>
                <w:szCs w:val="20"/>
                <w:shd w:val="clear" w:color="auto" w:fill="FFFFFF"/>
              </w:rPr>
            </w:pPr>
            <w:r w:rsidRPr="00731FE2">
              <w:rPr>
                <w:rFonts w:ascii="Times New Roman" w:hAnsi="Times New Roman" w:cs="Times New Roman"/>
                <w:color w:val="000000"/>
                <w:sz w:val="20"/>
                <w:szCs w:val="20"/>
                <w:shd w:val="clear" w:color="auto" w:fill="FFFFFF"/>
              </w:rPr>
              <w:t>Пансионат-пионерлагерь «Горное эхо»</w:t>
            </w:r>
          </w:p>
        </w:tc>
        <w:tc>
          <w:tcPr>
            <w:tcW w:w="1275" w:type="dxa"/>
          </w:tcPr>
          <w:p w14:paraId="7B94139B" w14:textId="77777777" w:rsidR="00ED5DD1" w:rsidRPr="00731FE2" w:rsidRDefault="00ED5DD1" w:rsidP="006B0212">
            <w:pPr>
              <w:ind w:firstLine="0"/>
              <w:jc w:val="center"/>
              <w:rPr>
                <w:rFonts w:ascii="Times New Roman" w:hAnsi="Times New Roman" w:cs="Times New Roman"/>
                <w:sz w:val="20"/>
                <w:szCs w:val="20"/>
              </w:rPr>
            </w:pPr>
            <w:r w:rsidRPr="00731FE2">
              <w:rPr>
                <w:rFonts w:ascii="Times New Roman" w:hAnsi="Times New Roman" w:cs="Times New Roman"/>
                <w:color w:val="000000"/>
                <w:sz w:val="20"/>
                <w:szCs w:val="20"/>
                <w:shd w:val="clear" w:color="auto" w:fill="FFFFFF"/>
              </w:rPr>
              <w:t>Земли населенных пунктов</w:t>
            </w:r>
          </w:p>
        </w:tc>
        <w:tc>
          <w:tcPr>
            <w:tcW w:w="1418" w:type="dxa"/>
            <w:vAlign w:val="center"/>
          </w:tcPr>
          <w:p w14:paraId="7AC122DB" w14:textId="77777777" w:rsidR="00ED5DD1" w:rsidRPr="00731FE2" w:rsidRDefault="00ED5DD1" w:rsidP="006B0212">
            <w:pPr>
              <w:ind w:firstLine="0"/>
              <w:jc w:val="center"/>
              <w:rPr>
                <w:rFonts w:ascii="Times New Roman" w:hAnsi="Times New Roman" w:cs="Times New Roman"/>
                <w:color w:val="000000"/>
                <w:sz w:val="20"/>
                <w:szCs w:val="20"/>
                <w:shd w:val="clear" w:color="auto" w:fill="FFFFFF"/>
              </w:rPr>
            </w:pPr>
            <w:r w:rsidRPr="00731FE2">
              <w:rPr>
                <w:rFonts w:ascii="Times New Roman" w:hAnsi="Times New Roman" w:cs="Times New Roman"/>
                <w:color w:val="000000"/>
                <w:sz w:val="20"/>
                <w:szCs w:val="20"/>
                <w:shd w:val="clear" w:color="auto" w:fill="FFFFFF"/>
              </w:rPr>
              <w:t>Пансионат-пионерлагерь «Горное эхо»</w:t>
            </w:r>
          </w:p>
        </w:tc>
        <w:tc>
          <w:tcPr>
            <w:tcW w:w="1023" w:type="dxa"/>
            <w:vAlign w:val="center"/>
          </w:tcPr>
          <w:p w14:paraId="5E632E02" w14:textId="77777777" w:rsidR="00ED5DD1" w:rsidRPr="00731FE2" w:rsidRDefault="00ED5DD1" w:rsidP="006B0212">
            <w:pPr>
              <w:ind w:firstLine="0"/>
              <w:jc w:val="center"/>
              <w:rPr>
                <w:rFonts w:ascii="Times New Roman" w:hAnsi="Times New Roman" w:cs="Times New Roman"/>
                <w:color w:val="000000"/>
                <w:sz w:val="20"/>
                <w:szCs w:val="20"/>
                <w:shd w:val="clear" w:color="auto" w:fill="FFFFFF"/>
              </w:rPr>
            </w:pPr>
            <w:r w:rsidRPr="00731FE2">
              <w:rPr>
                <w:rFonts w:ascii="Times New Roman" w:hAnsi="Times New Roman" w:cs="Times New Roman"/>
                <w:color w:val="000000"/>
                <w:sz w:val="20"/>
                <w:szCs w:val="20"/>
                <w:shd w:val="clear" w:color="auto" w:fill="FFFFFF"/>
              </w:rPr>
              <w:t>46900</w:t>
            </w:r>
          </w:p>
        </w:tc>
      </w:tr>
      <w:tr w:rsidR="00ED5DD1" w:rsidRPr="00731FE2" w14:paraId="4FB75362" w14:textId="77777777" w:rsidTr="006B0212">
        <w:trPr>
          <w:trHeight w:val="20"/>
          <w:jc w:val="center"/>
        </w:trPr>
        <w:tc>
          <w:tcPr>
            <w:tcW w:w="570" w:type="dxa"/>
            <w:vAlign w:val="center"/>
          </w:tcPr>
          <w:p w14:paraId="0AC12893" w14:textId="77777777" w:rsidR="00ED5DD1" w:rsidRPr="00731FE2" w:rsidRDefault="00ED5DD1" w:rsidP="006B0212">
            <w:pPr>
              <w:pStyle w:val="a3"/>
              <w:numPr>
                <w:ilvl w:val="0"/>
                <w:numId w:val="131"/>
              </w:numPr>
              <w:ind w:left="0" w:firstLine="0"/>
              <w:jc w:val="center"/>
              <w:rPr>
                <w:rFonts w:ascii="Times New Roman" w:hAnsi="Times New Roman" w:cs="Times New Roman"/>
                <w:sz w:val="20"/>
                <w:szCs w:val="20"/>
              </w:rPr>
            </w:pPr>
          </w:p>
        </w:tc>
        <w:tc>
          <w:tcPr>
            <w:tcW w:w="1780" w:type="dxa"/>
            <w:vAlign w:val="center"/>
          </w:tcPr>
          <w:p w14:paraId="2F3E3E62" w14:textId="77777777" w:rsidR="00ED5DD1" w:rsidRPr="00731FE2" w:rsidRDefault="00ED5DD1" w:rsidP="006B0212">
            <w:pPr>
              <w:ind w:firstLine="0"/>
              <w:jc w:val="left"/>
              <w:rPr>
                <w:rFonts w:ascii="Times New Roman" w:hAnsi="Times New Roman" w:cs="Times New Roman"/>
                <w:sz w:val="20"/>
                <w:szCs w:val="20"/>
              </w:rPr>
            </w:pPr>
            <w:r w:rsidRPr="00731FE2">
              <w:rPr>
                <w:rFonts w:ascii="Times New Roman" w:hAnsi="Times New Roman" w:cs="Times New Roman"/>
                <w:sz w:val="20"/>
                <w:szCs w:val="20"/>
              </w:rPr>
              <w:t>26:34:050307:7</w:t>
            </w:r>
          </w:p>
        </w:tc>
        <w:tc>
          <w:tcPr>
            <w:tcW w:w="1473" w:type="dxa"/>
          </w:tcPr>
          <w:p w14:paraId="01EC0B2C" w14:textId="77777777" w:rsidR="00ED5DD1" w:rsidRPr="00731FE2" w:rsidRDefault="00ED5DD1" w:rsidP="006B0212">
            <w:pPr>
              <w:ind w:firstLine="0"/>
              <w:jc w:val="center"/>
              <w:rPr>
                <w:rFonts w:ascii="Times New Roman" w:hAnsi="Times New Roman" w:cs="Times New Roman"/>
                <w:sz w:val="20"/>
                <w:szCs w:val="20"/>
              </w:rPr>
            </w:pPr>
            <w:r w:rsidRPr="00731FE2">
              <w:rPr>
                <w:rFonts w:ascii="Times New Roman" w:hAnsi="Times New Roman" w:cs="Times New Roman"/>
                <w:color w:val="000000"/>
                <w:sz w:val="20"/>
                <w:szCs w:val="20"/>
                <w:shd w:val="clear" w:color="auto" w:fill="FFFFFF"/>
              </w:rPr>
              <w:t>Земли населенных пунктов</w:t>
            </w:r>
          </w:p>
        </w:tc>
        <w:tc>
          <w:tcPr>
            <w:tcW w:w="1701" w:type="dxa"/>
            <w:vAlign w:val="center"/>
          </w:tcPr>
          <w:p w14:paraId="57755B18" w14:textId="77777777" w:rsidR="00ED5DD1" w:rsidRPr="00731FE2" w:rsidRDefault="00ED5DD1" w:rsidP="006B0212">
            <w:pPr>
              <w:ind w:firstLine="0"/>
              <w:jc w:val="left"/>
              <w:rPr>
                <w:rFonts w:ascii="Times New Roman" w:hAnsi="Times New Roman" w:cs="Times New Roman"/>
                <w:color w:val="000000"/>
                <w:sz w:val="20"/>
                <w:szCs w:val="20"/>
                <w:shd w:val="clear" w:color="auto" w:fill="FFFFFF"/>
              </w:rPr>
            </w:pPr>
            <w:r w:rsidRPr="00731FE2">
              <w:rPr>
                <w:rFonts w:ascii="Times New Roman" w:hAnsi="Times New Roman" w:cs="Times New Roman"/>
                <w:color w:val="000000"/>
                <w:sz w:val="20"/>
                <w:szCs w:val="20"/>
                <w:shd w:val="clear" w:color="auto" w:fill="FFFFFF"/>
              </w:rPr>
              <w:t>Для садоводства и огородничества</w:t>
            </w:r>
          </w:p>
        </w:tc>
        <w:tc>
          <w:tcPr>
            <w:tcW w:w="1275" w:type="dxa"/>
          </w:tcPr>
          <w:p w14:paraId="4C3485D5" w14:textId="77777777" w:rsidR="00ED5DD1" w:rsidRPr="00731FE2" w:rsidRDefault="00ED5DD1" w:rsidP="006B0212">
            <w:pPr>
              <w:ind w:firstLine="0"/>
              <w:jc w:val="center"/>
              <w:rPr>
                <w:rFonts w:ascii="Times New Roman" w:hAnsi="Times New Roman" w:cs="Times New Roman"/>
                <w:sz w:val="20"/>
                <w:szCs w:val="20"/>
              </w:rPr>
            </w:pPr>
            <w:r w:rsidRPr="00731FE2">
              <w:rPr>
                <w:rFonts w:ascii="Times New Roman" w:hAnsi="Times New Roman" w:cs="Times New Roman"/>
                <w:color w:val="000000"/>
                <w:sz w:val="20"/>
                <w:szCs w:val="20"/>
                <w:shd w:val="clear" w:color="auto" w:fill="FFFFFF"/>
              </w:rPr>
              <w:t>Земли населенных пунктов</w:t>
            </w:r>
          </w:p>
        </w:tc>
        <w:tc>
          <w:tcPr>
            <w:tcW w:w="1418" w:type="dxa"/>
            <w:vAlign w:val="center"/>
          </w:tcPr>
          <w:p w14:paraId="15FF0C41" w14:textId="77777777" w:rsidR="00ED5DD1" w:rsidRPr="00731FE2" w:rsidRDefault="00ED5DD1" w:rsidP="006B0212">
            <w:pPr>
              <w:ind w:firstLine="0"/>
              <w:jc w:val="center"/>
              <w:rPr>
                <w:rFonts w:ascii="Times New Roman" w:hAnsi="Times New Roman" w:cs="Times New Roman"/>
                <w:color w:val="000000"/>
                <w:sz w:val="20"/>
                <w:szCs w:val="20"/>
                <w:shd w:val="clear" w:color="auto" w:fill="FFFFFF"/>
              </w:rPr>
            </w:pPr>
            <w:r w:rsidRPr="00731FE2">
              <w:rPr>
                <w:rFonts w:ascii="Times New Roman" w:hAnsi="Times New Roman" w:cs="Times New Roman"/>
                <w:color w:val="000000"/>
                <w:sz w:val="20"/>
                <w:szCs w:val="20"/>
                <w:shd w:val="clear" w:color="auto" w:fill="FFFFFF"/>
              </w:rPr>
              <w:t>Для садоводства и огородничества</w:t>
            </w:r>
          </w:p>
        </w:tc>
        <w:tc>
          <w:tcPr>
            <w:tcW w:w="1023" w:type="dxa"/>
            <w:vAlign w:val="center"/>
          </w:tcPr>
          <w:p w14:paraId="7485E537" w14:textId="77777777" w:rsidR="00ED5DD1" w:rsidRPr="00731FE2" w:rsidRDefault="00ED5DD1" w:rsidP="006B0212">
            <w:pPr>
              <w:ind w:firstLine="0"/>
              <w:jc w:val="center"/>
              <w:rPr>
                <w:rFonts w:ascii="Times New Roman" w:hAnsi="Times New Roman" w:cs="Times New Roman"/>
                <w:color w:val="000000"/>
                <w:sz w:val="20"/>
                <w:szCs w:val="20"/>
                <w:shd w:val="clear" w:color="auto" w:fill="FFFFFF"/>
              </w:rPr>
            </w:pPr>
            <w:r w:rsidRPr="00731FE2">
              <w:rPr>
                <w:rFonts w:ascii="Times New Roman" w:hAnsi="Times New Roman" w:cs="Times New Roman"/>
                <w:color w:val="000000"/>
                <w:sz w:val="20"/>
                <w:szCs w:val="20"/>
                <w:shd w:val="clear" w:color="auto" w:fill="FFFFFF"/>
              </w:rPr>
              <w:t>604</w:t>
            </w:r>
          </w:p>
        </w:tc>
      </w:tr>
      <w:tr w:rsidR="00ED5DD1" w:rsidRPr="00731FE2" w14:paraId="5FF311BA" w14:textId="77777777" w:rsidTr="006B0212">
        <w:trPr>
          <w:trHeight w:val="20"/>
          <w:jc w:val="center"/>
        </w:trPr>
        <w:tc>
          <w:tcPr>
            <w:tcW w:w="570" w:type="dxa"/>
            <w:vAlign w:val="center"/>
          </w:tcPr>
          <w:p w14:paraId="4706BFBA" w14:textId="77777777" w:rsidR="00ED5DD1" w:rsidRPr="00731FE2" w:rsidRDefault="00ED5DD1" w:rsidP="006B0212">
            <w:pPr>
              <w:pStyle w:val="a3"/>
              <w:numPr>
                <w:ilvl w:val="0"/>
                <w:numId w:val="131"/>
              </w:numPr>
              <w:ind w:left="0" w:firstLine="0"/>
              <w:jc w:val="center"/>
              <w:rPr>
                <w:rFonts w:ascii="Times New Roman" w:hAnsi="Times New Roman" w:cs="Times New Roman"/>
                <w:sz w:val="20"/>
                <w:szCs w:val="20"/>
              </w:rPr>
            </w:pPr>
          </w:p>
        </w:tc>
        <w:tc>
          <w:tcPr>
            <w:tcW w:w="1780" w:type="dxa"/>
            <w:vAlign w:val="center"/>
          </w:tcPr>
          <w:p w14:paraId="68F61657" w14:textId="77777777" w:rsidR="00ED5DD1" w:rsidRPr="00731FE2" w:rsidRDefault="00ED5DD1" w:rsidP="006B0212">
            <w:pPr>
              <w:ind w:firstLine="0"/>
              <w:rPr>
                <w:rFonts w:ascii="Times New Roman" w:hAnsi="Times New Roman" w:cs="Times New Roman"/>
                <w:sz w:val="20"/>
                <w:szCs w:val="20"/>
              </w:rPr>
            </w:pPr>
            <w:r w:rsidRPr="00731FE2">
              <w:rPr>
                <w:rFonts w:ascii="Times New Roman" w:hAnsi="Times New Roman" w:cs="Times New Roman"/>
                <w:sz w:val="20"/>
                <w:szCs w:val="20"/>
              </w:rPr>
              <w:t>26:34:050307:220</w:t>
            </w:r>
          </w:p>
        </w:tc>
        <w:tc>
          <w:tcPr>
            <w:tcW w:w="1473" w:type="dxa"/>
          </w:tcPr>
          <w:p w14:paraId="43C3E44B" w14:textId="77777777" w:rsidR="00ED5DD1" w:rsidRPr="00731FE2" w:rsidRDefault="00ED5DD1" w:rsidP="006B0212">
            <w:pPr>
              <w:ind w:firstLine="0"/>
              <w:jc w:val="center"/>
              <w:rPr>
                <w:rFonts w:ascii="Times New Roman" w:hAnsi="Times New Roman" w:cs="Times New Roman"/>
                <w:sz w:val="20"/>
                <w:szCs w:val="20"/>
              </w:rPr>
            </w:pPr>
            <w:r w:rsidRPr="00731FE2">
              <w:rPr>
                <w:rFonts w:ascii="Times New Roman" w:hAnsi="Times New Roman" w:cs="Times New Roman"/>
                <w:color w:val="000000"/>
                <w:sz w:val="20"/>
                <w:szCs w:val="20"/>
                <w:shd w:val="clear" w:color="auto" w:fill="FFFFFF"/>
              </w:rPr>
              <w:t>Земли населенных пунктов</w:t>
            </w:r>
          </w:p>
        </w:tc>
        <w:tc>
          <w:tcPr>
            <w:tcW w:w="1701" w:type="dxa"/>
            <w:vAlign w:val="center"/>
          </w:tcPr>
          <w:p w14:paraId="4D19DF2C" w14:textId="77777777" w:rsidR="00ED5DD1" w:rsidRPr="00731FE2" w:rsidRDefault="00ED5DD1" w:rsidP="006B0212">
            <w:pPr>
              <w:ind w:firstLine="0"/>
              <w:jc w:val="center"/>
              <w:rPr>
                <w:rFonts w:ascii="Times New Roman" w:hAnsi="Times New Roman" w:cs="Times New Roman"/>
                <w:color w:val="000000"/>
                <w:sz w:val="20"/>
                <w:szCs w:val="20"/>
                <w:shd w:val="clear" w:color="auto" w:fill="FFFFFF"/>
              </w:rPr>
            </w:pPr>
            <w:r w:rsidRPr="00731FE2">
              <w:rPr>
                <w:rFonts w:ascii="Times New Roman" w:hAnsi="Times New Roman" w:cs="Times New Roman"/>
                <w:color w:val="000000"/>
                <w:sz w:val="20"/>
                <w:szCs w:val="20"/>
                <w:shd w:val="clear" w:color="auto" w:fill="FFFFFF"/>
              </w:rPr>
              <w:t>для индивидуального жилищного строительства</w:t>
            </w:r>
          </w:p>
        </w:tc>
        <w:tc>
          <w:tcPr>
            <w:tcW w:w="1275" w:type="dxa"/>
          </w:tcPr>
          <w:p w14:paraId="74937139" w14:textId="77777777" w:rsidR="00ED5DD1" w:rsidRPr="00731FE2" w:rsidRDefault="00ED5DD1" w:rsidP="006B0212">
            <w:pPr>
              <w:ind w:firstLine="0"/>
              <w:jc w:val="center"/>
              <w:rPr>
                <w:rFonts w:ascii="Times New Roman" w:hAnsi="Times New Roman" w:cs="Times New Roman"/>
                <w:sz w:val="20"/>
                <w:szCs w:val="20"/>
              </w:rPr>
            </w:pPr>
            <w:r w:rsidRPr="00731FE2">
              <w:rPr>
                <w:rFonts w:ascii="Times New Roman" w:hAnsi="Times New Roman" w:cs="Times New Roman"/>
                <w:color w:val="000000"/>
                <w:sz w:val="20"/>
                <w:szCs w:val="20"/>
                <w:shd w:val="clear" w:color="auto" w:fill="FFFFFF"/>
              </w:rPr>
              <w:t>Земли населенных пунктов</w:t>
            </w:r>
          </w:p>
        </w:tc>
        <w:tc>
          <w:tcPr>
            <w:tcW w:w="1418" w:type="dxa"/>
            <w:vAlign w:val="center"/>
          </w:tcPr>
          <w:p w14:paraId="576B9A88" w14:textId="77777777" w:rsidR="00ED5DD1" w:rsidRPr="00731FE2" w:rsidRDefault="00ED5DD1" w:rsidP="006B0212">
            <w:pPr>
              <w:ind w:firstLine="0"/>
              <w:jc w:val="center"/>
              <w:rPr>
                <w:rFonts w:ascii="Times New Roman" w:hAnsi="Times New Roman" w:cs="Times New Roman"/>
                <w:color w:val="000000"/>
                <w:sz w:val="20"/>
                <w:szCs w:val="20"/>
                <w:shd w:val="clear" w:color="auto" w:fill="FFFFFF"/>
              </w:rPr>
            </w:pPr>
            <w:r w:rsidRPr="00731FE2">
              <w:rPr>
                <w:rFonts w:ascii="Times New Roman" w:hAnsi="Times New Roman" w:cs="Times New Roman"/>
                <w:color w:val="000000"/>
                <w:sz w:val="20"/>
                <w:szCs w:val="20"/>
                <w:shd w:val="clear" w:color="auto" w:fill="FFFFFF"/>
              </w:rPr>
              <w:t>для индивидуального жилищного строительства</w:t>
            </w:r>
          </w:p>
        </w:tc>
        <w:tc>
          <w:tcPr>
            <w:tcW w:w="1023" w:type="dxa"/>
            <w:vAlign w:val="center"/>
          </w:tcPr>
          <w:p w14:paraId="561432F0" w14:textId="77777777" w:rsidR="00ED5DD1" w:rsidRPr="00731FE2" w:rsidRDefault="00ED5DD1" w:rsidP="006B0212">
            <w:pPr>
              <w:ind w:firstLine="0"/>
              <w:jc w:val="center"/>
              <w:rPr>
                <w:rFonts w:ascii="Times New Roman" w:hAnsi="Times New Roman" w:cs="Times New Roman"/>
                <w:color w:val="000000"/>
                <w:sz w:val="20"/>
                <w:szCs w:val="20"/>
                <w:shd w:val="clear" w:color="auto" w:fill="FFFFFF"/>
              </w:rPr>
            </w:pPr>
            <w:r w:rsidRPr="00731FE2">
              <w:rPr>
                <w:rFonts w:ascii="Times New Roman" w:hAnsi="Times New Roman" w:cs="Times New Roman"/>
                <w:color w:val="000000"/>
                <w:sz w:val="20"/>
                <w:szCs w:val="20"/>
                <w:shd w:val="clear" w:color="auto" w:fill="FFFFFF"/>
              </w:rPr>
              <w:t>700</w:t>
            </w:r>
          </w:p>
        </w:tc>
      </w:tr>
      <w:tr w:rsidR="00ED5DD1" w:rsidRPr="00731FE2" w14:paraId="0180253F" w14:textId="77777777" w:rsidTr="006B0212">
        <w:trPr>
          <w:trHeight w:val="20"/>
          <w:jc w:val="center"/>
        </w:trPr>
        <w:tc>
          <w:tcPr>
            <w:tcW w:w="9240" w:type="dxa"/>
            <w:gridSpan w:val="7"/>
            <w:vAlign w:val="center"/>
          </w:tcPr>
          <w:p w14:paraId="0AFC0608" w14:textId="77777777" w:rsidR="00ED5DD1" w:rsidRPr="00731FE2" w:rsidRDefault="00ED5DD1" w:rsidP="006B0212">
            <w:pPr>
              <w:jc w:val="center"/>
              <w:rPr>
                <w:rFonts w:ascii="Times New Roman" w:hAnsi="Times New Roman" w:cs="Times New Roman"/>
                <w:b/>
                <w:color w:val="000000"/>
                <w:sz w:val="20"/>
                <w:szCs w:val="20"/>
                <w:shd w:val="clear" w:color="auto" w:fill="FFFFFF"/>
              </w:rPr>
            </w:pPr>
            <w:r w:rsidRPr="00731FE2">
              <w:rPr>
                <w:rFonts w:ascii="Times New Roman" w:hAnsi="Times New Roman" w:cs="Times New Roman"/>
                <w:b/>
                <w:color w:val="000000"/>
                <w:sz w:val="20"/>
                <w:szCs w:val="20"/>
                <w:shd w:val="clear" w:color="auto" w:fill="FFFFFF"/>
              </w:rPr>
              <w:t>п. Белореченский</w:t>
            </w:r>
          </w:p>
        </w:tc>
      </w:tr>
      <w:tr w:rsidR="00ED5DD1" w:rsidRPr="00731FE2" w14:paraId="762D34C1" w14:textId="77777777" w:rsidTr="006B0212">
        <w:trPr>
          <w:trHeight w:val="20"/>
          <w:jc w:val="center"/>
        </w:trPr>
        <w:tc>
          <w:tcPr>
            <w:tcW w:w="570" w:type="dxa"/>
            <w:vAlign w:val="center"/>
          </w:tcPr>
          <w:p w14:paraId="2C21882D" w14:textId="77777777" w:rsidR="00ED5DD1" w:rsidRPr="00731FE2" w:rsidRDefault="00ED5DD1" w:rsidP="006B0212">
            <w:pPr>
              <w:pStyle w:val="a3"/>
              <w:numPr>
                <w:ilvl w:val="0"/>
                <w:numId w:val="131"/>
              </w:numPr>
              <w:ind w:left="0" w:firstLine="0"/>
              <w:jc w:val="center"/>
              <w:rPr>
                <w:rFonts w:ascii="Times New Roman" w:hAnsi="Times New Roman" w:cs="Times New Roman"/>
                <w:sz w:val="20"/>
                <w:szCs w:val="20"/>
              </w:rPr>
            </w:pPr>
          </w:p>
        </w:tc>
        <w:tc>
          <w:tcPr>
            <w:tcW w:w="1780" w:type="dxa"/>
            <w:vAlign w:val="center"/>
          </w:tcPr>
          <w:p w14:paraId="1D71F939" w14:textId="77777777" w:rsidR="00ED5DD1" w:rsidRPr="00731FE2" w:rsidRDefault="00ED5DD1" w:rsidP="006B0212">
            <w:pPr>
              <w:ind w:firstLine="0"/>
              <w:rPr>
                <w:rFonts w:ascii="Times New Roman" w:hAnsi="Times New Roman" w:cs="Times New Roman"/>
                <w:sz w:val="20"/>
                <w:szCs w:val="20"/>
              </w:rPr>
            </w:pPr>
            <w:r w:rsidRPr="00731FE2">
              <w:rPr>
                <w:rFonts w:ascii="Times New Roman" w:hAnsi="Times New Roman" w:cs="Times New Roman"/>
                <w:sz w:val="20"/>
                <w:szCs w:val="20"/>
              </w:rPr>
              <w:t>26:34:140105:71</w:t>
            </w:r>
          </w:p>
        </w:tc>
        <w:tc>
          <w:tcPr>
            <w:tcW w:w="1473" w:type="dxa"/>
          </w:tcPr>
          <w:p w14:paraId="3872BAA4" w14:textId="77777777" w:rsidR="00ED5DD1" w:rsidRPr="00731FE2" w:rsidRDefault="00ED5DD1" w:rsidP="006B0212">
            <w:pPr>
              <w:ind w:firstLine="0"/>
              <w:jc w:val="center"/>
              <w:rPr>
                <w:rFonts w:ascii="Times New Roman" w:hAnsi="Times New Roman" w:cs="Times New Roman"/>
                <w:sz w:val="20"/>
                <w:szCs w:val="20"/>
              </w:rPr>
            </w:pPr>
            <w:r w:rsidRPr="00731FE2">
              <w:rPr>
                <w:rFonts w:ascii="Times New Roman" w:hAnsi="Times New Roman" w:cs="Times New Roman"/>
                <w:color w:val="000000"/>
                <w:sz w:val="20"/>
                <w:szCs w:val="20"/>
                <w:shd w:val="clear" w:color="auto" w:fill="FFFFFF"/>
              </w:rPr>
              <w:t>Земли населенных пунктов</w:t>
            </w:r>
          </w:p>
        </w:tc>
        <w:tc>
          <w:tcPr>
            <w:tcW w:w="1701" w:type="dxa"/>
            <w:vAlign w:val="center"/>
          </w:tcPr>
          <w:p w14:paraId="246EE6E1" w14:textId="77777777" w:rsidR="00ED5DD1" w:rsidRPr="00731FE2" w:rsidRDefault="00ED5DD1" w:rsidP="006B0212">
            <w:pPr>
              <w:ind w:firstLine="0"/>
              <w:jc w:val="center"/>
              <w:rPr>
                <w:rFonts w:ascii="Times New Roman" w:hAnsi="Times New Roman" w:cs="Times New Roman"/>
                <w:color w:val="000000"/>
                <w:sz w:val="20"/>
                <w:szCs w:val="20"/>
                <w:shd w:val="clear" w:color="auto" w:fill="FFFFFF"/>
              </w:rPr>
            </w:pPr>
            <w:r w:rsidRPr="00731FE2">
              <w:rPr>
                <w:rFonts w:ascii="Times New Roman" w:hAnsi="Times New Roman" w:cs="Times New Roman"/>
                <w:color w:val="000000"/>
                <w:sz w:val="20"/>
                <w:szCs w:val="20"/>
                <w:shd w:val="clear" w:color="auto" w:fill="FFFFFF"/>
              </w:rPr>
              <w:t>индивидуальные жилые дома с приусадебным участком и без</w:t>
            </w:r>
          </w:p>
        </w:tc>
        <w:tc>
          <w:tcPr>
            <w:tcW w:w="1275" w:type="dxa"/>
          </w:tcPr>
          <w:p w14:paraId="4D9C17DC" w14:textId="77777777" w:rsidR="00ED5DD1" w:rsidRPr="00731FE2" w:rsidRDefault="00ED5DD1" w:rsidP="006B0212">
            <w:pPr>
              <w:ind w:firstLine="0"/>
              <w:jc w:val="center"/>
              <w:rPr>
                <w:rFonts w:ascii="Times New Roman" w:hAnsi="Times New Roman" w:cs="Times New Roman"/>
                <w:b/>
                <w:sz w:val="20"/>
                <w:szCs w:val="20"/>
              </w:rPr>
            </w:pPr>
            <w:r w:rsidRPr="00731FE2">
              <w:rPr>
                <w:rFonts w:ascii="Times New Roman" w:hAnsi="Times New Roman" w:cs="Times New Roman"/>
                <w:color w:val="000000"/>
                <w:sz w:val="20"/>
                <w:szCs w:val="20"/>
                <w:shd w:val="clear" w:color="auto" w:fill="FFFFFF"/>
              </w:rPr>
              <w:t>Земли населенных пунктов</w:t>
            </w:r>
          </w:p>
        </w:tc>
        <w:tc>
          <w:tcPr>
            <w:tcW w:w="1418" w:type="dxa"/>
            <w:vAlign w:val="center"/>
          </w:tcPr>
          <w:p w14:paraId="784C2FC1" w14:textId="77777777" w:rsidR="00ED5DD1" w:rsidRPr="00731FE2" w:rsidRDefault="00ED5DD1" w:rsidP="006B0212">
            <w:pPr>
              <w:ind w:firstLine="0"/>
              <w:jc w:val="left"/>
              <w:rPr>
                <w:rFonts w:ascii="Times New Roman" w:hAnsi="Times New Roman" w:cs="Times New Roman"/>
                <w:color w:val="000000"/>
                <w:sz w:val="20"/>
                <w:szCs w:val="20"/>
                <w:shd w:val="clear" w:color="auto" w:fill="FFFFFF"/>
              </w:rPr>
            </w:pPr>
            <w:r w:rsidRPr="00731FE2">
              <w:rPr>
                <w:rFonts w:ascii="Times New Roman" w:hAnsi="Times New Roman" w:cs="Times New Roman"/>
                <w:color w:val="000000"/>
                <w:sz w:val="20"/>
                <w:szCs w:val="20"/>
                <w:shd w:val="clear" w:color="auto" w:fill="FFFFFF"/>
              </w:rPr>
              <w:t>индивидуальные жилые дома с приусадебным участком и без</w:t>
            </w:r>
          </w:p>
        </w:tc>
        <w:tc>
          <w:tcPr>
            <w:tcW w:w="1023" w:type="dxa"/>
            <w:vAlign w:val="center"/>
          </w:tcPr>
          <w:p w14:paraId="1DD10157" w14:textId="77777777" w:rsidR="00ED5DD1" w:rsidRPr="00731FE2" w:rsidRDefault="00ED5DD1" w:rsidP="006B0212">
            <w:pPr>
              <w:ind w:firstLine="0"/>
              <w:jc w:val="center"/>
              <w:rPr>
                <w:rFonts w:ascii="Times New Roman" w:hAnsi="Times New Roman" w:cs="Times New Roman"/>
                <w:color w:val="000000"/>
                <w:sz w:val="20"/>
                <w:szCs w:val="20"/>
                <w:shd w:val="clear" w:color="auto" w:fill="FFFFFF"/>
              </w:rPr>
            </w:pPr>
            <w:r w:rsidRPr="00731FE2">
              <w:rPr>
                <w:rFonts w:ascii="Times New Roman" w:hAnsi="Times New Roman" w:cs="Times New Roman"/>
                <w:color w:val="000000"/>
                <w:sz w:val="20"/>
                <w:szCs w:val="20"/>
                <w:shd w:val="clear" w:color="auto" w:fill="FFFFFF"/>
              </w:rPr>
              <w:t>600</w:t>
            </w:r>
          </w:p>
        </w:tc>
      </w:tr>
      <w:tr w:rsidR="00ED5DD1" w:rsidRPr="00731FE2" w14:paraId="455C442C" w14:textId="77777777" w:rsidTr="006B0212">
        <w:trPr>
          <w:trHeight w:val="20"/>
          <w:jc w:val="center"/>
        </w:trPr>
        <w:tc>
          <w:tcPr>
            <w:tcW w:w="570" w:type="dxa"/>
            <w:vAlign w:val="center"/>
          </w:tcPr>
          <w:p w14:paraId="3F4DBB43" w14:textId="77777777" w:rsidR="00ED5DD1" w:rsidRPr="00731FE2" w:rsidRDefault="00ED5DD1" w:rsidP="006B0212">
            <w:pPr>
              <w:pStyle w:val="a3"/>
              <w:numPr>
                <w:ilvl w:val="0"/>
                <w:numId w:val="131"/>
              </w:numPr>
              <w:ind w:left="0" w:firstLine="0"/>
              <w:jc w:val="center"/>
              <w:rPr>
                <w:rFonts w:ascii="Times New Roman" w:hAnsi="Times New Roman" w:cs="Times New Roman"/>
                <w:sz w:val="20"/>
                <w:szCs w:val="20"/>
              </w:rPr>
            </w:pPr>
          </w:p>
        </w:tc>
        <w:tc>
          <w:tcPr>
            <w:tcW w:w="1780" w:type="dxa"/>
            <w:vAlign w:val="center"/>
          </w:tcPr>
          <w:p w14:paraId="2415C997" w14:textId="77777777" w:rsidR="00ED5DD1" w:rsidRPr="00731FE2" w:rsidRDefault="00ED5DD1" w:rsidP="006B0212">
            <w:pPr>
              <w:ind w:firstLine="0"/>
              <w:rPr>
                <w:rFonts w:ascii="Times New Roman" w:hAnsi="Times New Roman" w:cs="Times New Roman"/>
                <w:sz w:val="20"/>
                <w:szCs w:val="20"/>
              </w:rPr>
            </w:pPr>
            <w:r w:rsidRPr="00731FE2">
              <w:rPr>
                <w:rFonts w:ascii="Times New Roman" w:hAnsi="Times New Roman" w:cs="Times New Roman"/>
                <w:sz w:val="20"/>
                <w:szCs w:val="20"/>
              </w:rPr>
              <w:t>26:34:150307:4</w:t>
            </w:r>
          </w:p>
        </w:tc>
        <w:tc>
          <w:tcPr>
            <w:tcW w:w="1473" w:type="dxa"/>
          </w:tcPr>
          <w:p w14:paraId="72E36DEF" w14:textId="77777777" w:rsidR="00ED5DD1" w:rsidRPr="00731FE2" w:rsidRDefault="00ED5DD1" w:rsidP="006B0212">
            <w:pPr>
              <w:ind w:firstLine="0"/>
              <w:jc w:val="center"/>
              <w:rPr>
                <w:rFonts w:ascii="Times New Roman" w:hAnsi="Times New Roman" w:cs="Times New Roman"/>
                <w:sz w:val="20"/>
                <w:szCs w:val="20"/>
              </w:rPr>
            </w:pPr>
            <w:r w:rsidRPr="00731FE2">
              <w:rPr>
                <w:rFonts w:ascii="Times New Roman" w:hAnsi="Times New Roman" w:cs="Times New Roman"/>
                <w:color w:val="000000"/>
                <w:sz w:val="20"/>
                <w:szCs w:val="20"/>
                <w:shd w:val="clear" w:color="auto" w:fill="FFFFFF"/>
              </w:rPr>
              <w:t>Земли населенных пунктов</w:t>
            </w:r>
          </w:p>
        </w:tc>
        <w:tc>
          <w:tcPr>
            <w:tcW w:w="1701" w:type="dxa"/>
            <w:vAlign w:val="center"/>
          </w:tcPr>
          <w:p w14:paraId="19FD5FFD" w14:textId="77777777" w:rsidR="00ED5DD1" w:rsidRPr="00731FE2" w:rsidRDefault="00ED5DD1" w:rsidP="006B0212">
            <w:pPr>
              <w:ind w:firstLine="0"/>
              <w:jc w:val="center"/>
              <w:rPr>
                <w:rFonts w:ascii="Times New Roman" w:hAnsi="Times New Roman" w:cs="Times New Roman"/>
                <w:color w:val="000000"/>
                <w:sz w:val="20"/>
                <w:szCs w:val="20"/>
                <w:shd w:val="clear" w:color="auto" w:fill="FFFFFF"/>
              </w:rPr>
            </w:pPr>
            <w:r w:rsidRPr="00731FE2">
              <w:rPr>
                <w:rFonts w:ascii="Times New Roman" w:hAnsi="Times New Roman" w:cs="Times New Roman"/>
                <w:color w:val="000000"/>
                <w:sz w:val="20"/>
                <w:szCs w:val="20"/>
                <w:shd w:val="clear" w:color="auto" w:fill="FFFFFF"/>
              </w:rPr>
              <w:t>под многоквартирный жилой дом</w:t>
            </w:r>
          </w:p>
        </w:tc>
        <w:tc>
          <w:tcPr>
            <w:tcW w:w="1275" w:type="dxa"/>
          </w:tcPr>
          <w:p w14:paraId="2858319F" w14:textId="77777777" w:rsidR="00ED5DD1" w:rsidRPr="00731FE2" w:rsidRDefault="00ED5DD1" w:rsidP="006B0212">
            <w:pPr>
              <w:ind w:firstLine="0"/>
              <w:jc w:val="center"/>
              <w:rPr>
                <w:rFonts w:ascii="Times New Roman" w:hAnsi="Times New Roman" w:cs="Times New Roman"/>
                <w:sz w:val="20"/>
                <w:szCs w:val="20"/>
              </w:rPr>
            </w:pPr>
            <w:r w:rsidRPr="00731FE2">
              <w:rPr>
                <w:rFonts w:ascii="Times New Roman" w:hAnsi="Times New Roman" w:cs="Times New Roman"/>
                <w:color w:val="000000"/>
                <w:sz w:val="20"/>
                <w:szCs w:val="20"/>
                <w:shd w:val="clear" w:color="auto" w:fill="FFFFFF"/>
              </w:rPr>
              <w:t>Земли населенных пунктов</w:t>
            </w:r>
          </w:p>
        </w:tc>
        <w:tc>
          <w:tcPr>
            <w:tcW w:w="1418" w:type="dxa"/>
            <w:vAlign w:val="center"/>
          </w:tcPr>
          <w:p w14:paraId="5A7469E4" w14:textId="77777777" w:rsidR="00ED5DD1" w:rsidRPr="00731FE2" w:rsidRDefault="00ED5DD1" w:rsidP="006B0212">
            <w:pPr>
              <w:ind w:firstLine="0"/>
              <w:jc w:val="center"/>
              <w:rPr>
                <w:rFonts w:ascii="Times New Roman" w:hAnsi="Times New Roman" w:cs="Times New Roman"/>
                <w:color w:val="000000"/>
                <w:sz w:val="20"/>
                <w:szCs w:val="20"/>
                <w:shd w:val="clear" w:color="auto" w:fill="FFFFFF"/>
              </w:rPr>
            </w:pPr>
            <w:r w:rsidRPr="00731FE2">
              <w:rPr>
                <w:rFonts w:ascii="Times New Roman" w:hAnsi="Times New Roman" w:cs="Times New Roman"/>
                <w:color w:val="000000"/>
                <w:sz w:val="20"/>
                <w:szCs w:val="20"/>
                <w:shd w:val="clear" w:color="auto" w:fill="FFFFFF"/>
              </w:rPr>
              <w:t>под многоквартирный жилой дом</w:t>
            </w:r>
          </w:p>
        </w:tc>
        <w:tc>
          <w:tcPr>
            <w:tcW w:w="1023" w:type="dxa"/>
            <w:vAlign w:val="center"/>
          </w:tcPr>
          <w:p w14:paraId="3F0F3475" w14:textId="77777777" w:rsidR="00ED5DD1" w:rsidRPr="00731FE2" w:rsidRDefault="00ED5DD1" w:rsidP="006B0212">
            <w:pPr>
              <w:ind w:firstLine="0"/>
              <w:jc w:val="center"/>
              <w:rPr>
                <w:rFonts w:ascii="Times New Roman" w:hAnsi="Times New Roman" w:cs="Times New Roman"/>
                <w:color w:val="000000"/>
                <w:sz w:val="20"/>
                <w:szCs w:val="20"/>
                <w:shd w:val="clear" w:color="auto" w:fill="FFFFFF"/>
              </w:rPr>
            </w:pPr>
            <w:r w:rsidRPr="00731FE2">
              <w:rPr>
                <w:rFonts w:ascii="Times New Roman" w:hAnsi="Times New Roman" w:cs="Times New Roman"/>
                <w:color w:val="000000"/>
                <w:sz w:val="20"/>
                <w:szCs w:val="20"/>
                <w:shd w:val="clear" w:color="auto" w:fill="FFFFFF"/>
              </w:rPr>
              <w:t>1250</w:t>
            </w:r>
          </w:p>
        </w:tc>
      </w:tr>
    </w:tbl>
    <w:p w14:paraId="3666E242" w14:textId="77777777" w:rsidR="00ED5DD1" w:rsidRPr="00731FE2" w:rsidRDefault="00ED5DD1" w:rsidP="00ED5DD1">
      <w:pPr>
        <w:pStyle w:val="a3"/>
        <w:ind w:left="0"/>
        <w:rPr>
          <w:rFonts w:ascii="Times New Roman" w:hAnsi="Times New Roman" w:cs="Times New Roman"/>
          <w:szCs w:val="24"/>
        </w:rPr>
      </w:pPr>
    </w:p>
    <w:p w14:paraId="70C670E5" w14:textId="77777777" w:rsidR="00C50915" w:rsidRPr="00731FE2" w:rsidRDefault="00C50915" w:rsidP="00ED5DD1">
      <w:pPr>
        <w:pStyle w:val="a3"/>
        <w:ind w:left="0"/>
        <w:rPr>
          <w:rFonts w:ascii="Times New Roman" w:hAnsi="Times New Roman" w:cs="Times New Roman"/>
          <w:szCs w:val="24"/>
        </w:rPr>
      </w:pPr>
    </w:p>
    <w:p w14:paraId="07E5F5C9" w14:textId="7168AEF5" w:rsidR="00C50915" w:rsidRPr="00731FE2" w:rsidRDefault="00C50915" w:rsidP="00ED5DD1">
      <w:pPr>
        <w:pStyle w:val="a3"/>
        <w:ind w:left="0"/>
        <w:rPr>
          <w:rFonts w:ascii="Times New Roman" w:hAnsi="Times New Roman" w:cs="Times New Roman"/>
        </w:rPr>
      </w:pPr>
      <w:r w:rsidRPr="00731FE2">
        <w:rPr>
          <w:rFonts w:ascii="Times New Roman" w:hAnsi="Times New Roman" w:cs="Times New Roman"/>
          <w:b/>
        </w:rPr>
        <w:lastRenderedPageBreak/>
        <w:t xml:space="preserve">п. </w:t>
      </w:r>
      <w:hyperlink r:id="rId34" w:tooltip="Высокогорный (Ставропольский край)" w:history="1">
        <w:r w:rsidRPr="00731FE2">
          <w:rPr>
            <w:rFonts w:ascii="Times New Roman" w:hAnsi="Times New Roman" w:cs="Times New Roman"/>
            <w:b/>
          </w:rPr>
          <w:t>Высокогорный</w:t>
        </w:r>
      </w:hyperlink>
      <w:r w:rsidRPr="00731FE2">
        <w:rPr>
          <w:rFonts w:ascii="Times New Roman" w:hAnsi="Times New Roman" w:cs="Times New Roman"/>
          <w:b/>
        </w:rPr>
        <w:t xml:space="preserve"> – </w:t>
      </w:r>
      <w:r w:rsidRPr="00731FE2">
        <w:rPr>
          <w:rFonts w:ascii="Times New Roman" w:hAnsi="Times New Roman" w:cs="Times New Roman"/>
        </w:rPr>
        <w:t>граница поселка остается без изменений</w:t>
      </w:r>
    </w:p>
    <w:p w14:paraId="580CE902" w14:textId="424127FA" w:rsidR="00C50915" w:rsidRPr="00731FE2" w:rsidRDefault="00C50915" w:rsidP="00ED5DD1">
      <w:pPr>
        <w:pStyle w:val="a3"/>
        <w:ind w:left="0"/>
        <w:rPr>
          <w:rFonts w:ascii="Times New Roman" w:hAnsi="Times New Roman" w:cs="Times New Roman"/>
          <w:szCs w:val="24"/>
        </w:rPr>
      </w:pPr>
      <w:r w:rsidRPr="00731FE2">
        <w:rPr>
          <w:noProof/>
          <w:lang w:eastAsia="ru-RU"/>
        </w:rPr>
        <w:drawing>
          <wp:inline distT="0" distB="0" distL="0" distR="0" wp14:anchorId="58A77943" wp14:editId="66912F03">
            <wp:extent cx="4099728" cy="4457045"/>
            <wp:effectExtent l="0" t="0" r="0" b="127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4144264" cy="4505463"/>
                    </a:xfrm>
                    <a:prstGeom prst="rect">
                      <a:avLst/>
                    </a:prstGeom>
                  </pic:spPr>
                </pic:pic>
              </a:graphicData>
            </a:graphic>
          </wp:inline>
        </w:drawing>
      </w:r>
    </w:p>
    <w:p w14:paraId="16036A26" w14:textId="77777777" w:rsidR="00C50915" w:rsidRPr="00731FE2" w:rsidRDefault="00C50915" w:rsidP="00ED5DD1">
      <w:pPr>
        <w:pStyle w:val="a3"/>
        <w:ind w:left="0"/>
        <w:rPr>
          <w:rFonts w:ascii="Times New Roman" w:hAnsi="Times New Roman" w:cs="Times New Roman"/>
          <w:szCs w:val="24"/>
        </w:rPr>
      </w:pPr>
    </w:p>
    <w:p w14:paraId="262C474F" w14:textId="77777777" w:rsidR="00C50915" w:rsidRPr="00731FE2" w:rsidRDefault="00C50915" w:rsidP="00ED5DD1">
      <w:pPr>
        <w:pStyle w:val="a3"/>
        <w:ind w:left="0"/>
        <w:rPr>
          <w:rFonts w:ascii="Times New Roman" w:hAnsi="Times New Roman" w:cs="Times New Roman"/>
          <w:szCs w:val="24"/>
        </w:rPr>
      </w:pPr>
    </w:p>
    <w:p w14:paraId="315656DD" w14:textId="68DA682D" w:rsidR="00C50915" w:rsidRPr="00731FE2" w:rsidRDefault="00C50915" w:rsidP="00ED5DD1">
      <w:pPr>
        <w:pStyle w:val="a3"/>
        <w:ind w:left="0"/>
        <w:rPr>
          <w:rFonts w:ascii="Times New Roman" w:hAnsi="Times New Roman" w:cs="Times New Roman"/>
        </w:rPr>
      </w:pPr>
      <w:r w:rsidRPr="00731FE2">
        <w:rPr>
          <w:rFonts w:ascii="Times New Roman" w:hAnsi="Times New Roman" w:cs="Times New Roman"/>
          <w:b/>
        </w:rPr>
        <w:t xml:space="preserve">п. Зеленогорский </w:t>
      </w:r>
      <w:r w:rsidRPr="00731FE2">
        <w:rPr>
          <w:rFonts w:ascii="Times New Roman" w:hAnsi="Times New Roman" w:cs="Times New Roman"/>
        </w:rPr>
        <w:t>– граница поселка остается без изменений</w:t>
      </w:r>
    </w:p>
    <w:p w14:paraId="065AEA9F" w14:textId="68E78BDC" w:rsidR="00C50915" w:rsidRPr="00731FE2" w:rsidRDefault="00C50915" w:rsidP="00ED5DD1">
      <w:pPr>
        <w:pStyle w:val="a3"/>
        <w:ind w:left="0"/>
        <w:rPr>
          <w:rFonts w:ascii="Times New Roman" w:hAnsi="Times New Roman" w:cs="Times New Roman"/>
          <w:szCs w:val="24"/>
        </w:rPr>
      </w:pPr>
      <w:r w:rsidRPr="00731FE2">
        <w:rPr>
          <w:noProof/>
          <w:lang w:eastAsia="ru-RU"/>
        </w:rPr>
        <w:drawing>
          <wp:inline distT="0" distB="0" distL="0" distR="0" wp14:anchorId="15ED564F" wp14:editId="687649E1">
            <wp:extent cx="4759163" cy="3627455"/>
            <wp:effectExtent l="0" t="0" r="381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4788953" cy="3650161"/>
                    </a:xfrm>
                    <a:prstGeom prst="rect">
                      <a:avLst/>
                    </a:prstGeom>
                  </pic:spPr>
                </pic:pic>
              </a:graphicData>
            </a:graphic>
          </wp:inline>
        </w:drawing>
      </w:r>
    </w:p>
    <w:p w14:paraId="0AAD34EA" w14:textId="77777777" w:rsidR="00C50915" w:rsidRPr="00731FE2" w:rsidRDefault="00C50915" w:rsidP="00ED5DD1">
      <w:pPr>
        <w:pStyle w:val="a3"/>
        <w:ind w:left="0"/>
        <w:rPr>
          <w:rFonts w:ascii="Times New Roman" w:hAnsi="Times New Roman" w:cs="Times New Roman"/>
          <w:szCs w:val="24"/>
        </w:rPr>
      </w:pPr>
    </w:p>
    <w:p w14:paraId="2EEFF434" w14:textId="3014841A" w:rsidR="00C50915" w:rsidRPr="00731FE2" w:rsidRDefault="00C50915" w:rsidP="00ED5DD1">
      <w:pPr>
        <w:pStyle w:val="a3"/>
        <w:ind w:left="0"/>
        <w:rPr>
          <w:rFonts w:ascii="Times New Roman" w:hAnsi="Times New Roman" w:cs="Times New Roman"/>
        </w:rPr>
      </w:pPr>
      <w:r w:rsidRPr="00731FE2">
        <w:rPr>
          <w:rFonts w:ascii="Times New Roman" w:hAnsi="Times New Roman" w:cs="Times New Roman"/>
          <w:b/>
        </w:rPr>
        <w:lastRenderedPageBreak/>
        <w:t xml:space="preserve">п. </w:t>
      </w:r>
      <w:hyperlink r:id="rId37" w:tooltip="Индустрия (Ставропольский край)" w:history="1">
        <w:r w:rsidRPr="00731FE2">
          <w:rPr>
            <w:rFonts w:ascii="Times New Roman" w:hAnsi="Times New Roman" w:cs="Times New Roman"/>
            <w:b/>
          </w:rPr>
          <w:t>Индустрия</w:t>
        </w:r>
      </w:hyperlink>
      <w:r w:rsidRPr="00731FE2">
        <w:rPr>
          <w:rFonts w:ascii="Times New Roman" w:hAnsi="Times New Roman" w:cs="Times New Roman"/>
          <w:b/>
        </w:rPr>
        <w:t xml:space="preserve"> – </w:t>
      </w:r>
      <w:r w:rsidRPr="00731FE2">
        <w:rPr>
          <w:rFonts w:ascii="Times New Roman" w:hAnsi="Times New Roman" w:cs="Times New Roman"/>
        </w:rPr>
        <w:t>граница поселка остается без изменений</w:t>
      </w:r>
    </w:p>
    <w:p w14:paraId="6F1BEB26" w14:textId="1D18F1D7" w:rsidR="00C50915" w:rsidRPr="00731FE2" w:rsidRDefault="00C50915" w:rsidP="00ED5DD1">
      <w:pPr>
        <w:pStyle w:val="a3"/>
        <w:ind w:left="0"/>
        <w:rPr>
          <w:rFonts w:ascii="Times New Roman" w:hAnsi="Times New Roman" w:cs="Times New Roman"/>
          <w:szCs w:val="24"/>
        </w:rPr>
      </w:pPr>
      <w:r w:rsidRPr="00731FE2">
        <w:rPr>
          <w:noProof/>
          <w:lang w:eastAsia="ru-RU"/>
        </w:rPr>
        <w:drawing>
          <wp:inline distT="0" distB="0" distL="0" distR="0" wp14:anchorId="61028145" wp14:editId="4A9A83A1">
            <wp:extent cx="3757511" cy="4945027"/>
            <wp:effectExtent l="0" t="0" r="0" b="825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3773772" cy="4966427"/>
                    </a:xfrm>
                    <a:prstGeom prst="rect">
                      <a:avLst/>
                    </a:prstGeom>
                  </pic:spPr>
                </pic:pic>
              </a:graphicData>
            </a:graphic>
          </wp:inline>
        </w:drawing>
      </w:r>
    </w:p>
    <w:p w14:paraId="24B88B09" w14:textId="77777777" w:rsidR="00C50915" w:rsidRPr="00731FE2" w:rsidRDefault="00C50915" w:rsidP="00ED5DD1">
      <w:pPr>
        <w:pStyle w:val="a3"/>
        <w:ind w:left="0"/>
        <w:rPr>
          <w:rFonts w:ascii="Times New Roman" w:hAnsi="Times New Roman" w:cs="Times New Roman"/>
          <w:szCs w:val="24"/>
        </w:rPr>
      </w:pPr>
    </w:p>
    <w:p w14:paraId="27DE4A26" w14:textId="0EAB5495" w:rsidR="00C50915" w:rsidRPr="00731FE2" w:rsidRDefault="00C50915" w:rsidP="00ED5DD1">
      <w:pPr>
        <w:pStyle w:val="a3"/>
        <w:ind w:left="0"/>
        <w:rPr>
          <w:rFonts w:ascii="Times New Roman" w:hAnsi="Times New Roman" w:cs="Times New Roman"/>
          <w:szCs w:val="24"/>
        </w:rPr>
      </w:pPr>
      <w:r w:rsidRPr="00731FE2">
        <w:rPr>
          <w:rFonts w:ascii="Times New Roman" w:hAnsi="Times New Roman" w:cs="Times New Roman"/>
          <w:b/>
        </w:rPr>
        <w:t xml:space="preserve">п. </w:t>
      </w:r>
      <w:hyperlink r:id="rId39" w:tooltip="Левоберёзовский" w:history="1">
        <w:r w:rsidRPr="00731FE2">
          <w:rPr>
            <w:rFonts w:ascii="Times New Roman" w:hAnsi="Times New Roman" w:cs="Times New Roman"/>
            <w:b/>
          </w:rPr>
          <w:t>Левоберёзовский</w:t>
        </w:r>
      </w:hyperlink>
      <w:r w:rsidRPr="00731FE2">
        <w:rPr>
          <w:rFonts w:ascii="Times New Roman" w:hAnsi="Times New Roman" w:cs="Times New Roman"/>
          <w:b/>
        </w:rPr>
        <w:t xml:space="preserve"> – </w:t>
      </w:r>
      <w:r w:rsidRPr="00731FE2">
        <w:rPr>
          <w:rFonts w:ascii="Times New Roman" w:hAnsi="Times New Roman" w:cs="Times New Roman"/>
        </w:rPr>
        <w:t>граница поселка остается без изменений</w:t>
      </w:r>
    </w:p>
    <w:p w14:paraId="073B72AF" w14:textId="68907820" w:rsidR="00C50915" w:rsidRPr="00731FE2" w:rsidRDefault="00C50915" w:rsidP="00ED5DD1">
      <w:pPr>
        <w:pStyle w:val="a3"/>
        <w:ind w:left="0"/>
        <w:rPr>
          <w:rFonts w:ascii="Times New Roman" w:hAnsi="Times New Roman" w:cs="Times New Roman"/>
          <w:szCs w:val="24"/>
        </w:rPr>
      </w:pPr>
      <w:r w:rsidRPr="00731FE2">
        <w:rPr>
          <w:noProof/>
          <w:lang w:eastAsia="ru-RU"/>
        </w:rPr>
        <w:drawing>
          <wp:inline distT="0" distB="0" distL="0" distR="0" wp14:anchorId="095D536C" wp14:editId="48B2EED8">
            <wp:extent cx="4009293" cy="3419457"/>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4043868" cy="3448945"/>
                    </a:xfrm>
                    <a:prstGeom prst="rect">
                      <a:avLst/>
                    </a:prstGeom>
                  </pic:spPr>
                </pic:pic>
              </a:graphicData>
            </a:graphic>
          </wp:inline>
        </w:drawing>
      </w:r>
    </w:p>
    <w:p w14:paraId="71A4DD0A" w14:textId="2DDDAE66" w:rsidR="00C50915" w:rsidRPr="00731FE2" w:rsidRDefault="00C50915" w:rsidP="00ED5DD1">
      <w:pPr>
        <w:pStyle w:val="a3"/>
        <w:ind w:left="0"/>
        <w:rPr>
          <w:rFonts w:ascii="Times New Roman" w:hAnsi="Times New Roman" w:cs="Times New Roman"/>
        </w:rPr>
      </w:pPr>
      <w:r w:rsidRPr="00731FE2">
        <w:rPr>
          <w:rFonts w:ascii="Times New Roman" w:hAnsi="Times New Roman" w:cs="Times New Roman"/>
          <w:b/>
        </w:rPr>
        <w:lastRenderedPageBreak/>
        <w:t xml:space="preserve">п. </w:t>
      </w:r>
      <w:hyperlink r:id="rId41" w:tooltip="Луначарский (Ставропольский край)" w:history="1">
        <w:r w:rsidRPr="00731FE2">
          <w:rPr>
            <w:rFonts w:ascii="Times New Roman" w:hAnsi="Times New Roman" w:cs="Times New Roman"/>
            <w:b/>
          </w:rPr>
          <w:t>Луначарский</w:t>
        </w:r>
      </w:hyperlink>
      <w:r w:rsidRPr="00731FE2">
        <w:rPr>
          <w:rFonts w:ascii="Times New Roman" w:hAnsi="Times New Roman" w:cs="Times New Roman"/>
          <w:b/>
        </w:rPr>
        <w:t xml:space="preserve"> – </w:t>
      </w:r>
      <w:r w:rsidRPr="00731FE2">
        <w:rPr>
          <w:rFonts w:ascii="Times New Roman" w:hAnsi="Times New Roman" w:cs="Times New Roman"/>
        </w:rPr>
        <w:t>граница поселка остается без изменений</w:t>
      </w:r>
    </w:p>
    <w:p w14:paraId="3A719A3A" w14:textId="33366AA1" w:rsidR="00C50915" w:rsidRPr="00731FE2" w:rsidRDefault="00C50915" w:rsidP="00C50915">
      <w:pPr>
        <w:pStyle w:val="a3"/>
        <w:ind w:left="0" w:firstLine="142"/>
        <w:rPr>
          <w:rFonts w:ascii="Times New Roman" w:hAnsi="Times New Roman" w:cs="Times New Roman"/>
          <w:szCs w:val="24"/>
        </w:rPr>
      </w:pPr>
      <w:r w:rsidRPr="00731FE2">
        <w:rPr>
          <w:noProof/>
          <w:lang w:eastAsia="ru-RU"/>
        </w:rPr>
        <w:drawing>
          <wp:inline distT="0" distB="0" distL="0" distR="0" wp14:anchorId="49A567DF" wp14:editId="698EB77E">
            <wp:extent cx="5611253" cy="2932982"/>
            <wp:effectExtent l="0" t="0" r="0" b="127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611528" cy="2933126"/>
                    </a:xfrm>
                    <a:prstGeom prst="rect">
                      <a:avLst/>
                    </a:prstGeom>
                  </pic:spPr>
                </pic:pic>
              </a:graphicData>
            </a:graphic>
          </wp:inline>
        </w:drawing>
      </w:r>
    </w:p>
    <w:p w14:paraId="3C0612FB" w14:textId="77777777" w:rsidR="00C50915" w:rsidRPr="00731FE2" w:rsidRDefault="00C50915" w:rsidP="00ED5DD1">
      <w:pPr>
        <w:pStyle w:val="a3"/>
        <w:ind w:left="0"/>
        <w:rPr>
          <w:rFonts w:ascii="Times New Roman" w:hAnsi="Times New Roman" w:cs="Times New Roman"/>
          <w:b/>
        </w:rPr>
      </w:pPr>
    </w:p>
    <w:p w14:paraId="586EEF8A" w14:textId="50C066DA" w:rsidR="00C50915" w:rsidRPr="00731FE2" w:rsidRDefault="00C50915" w:rsidP="00ED5DD1">
      <w:pPr>
        <w:pStyle w:val="a3"/>
        <w:ind w:left="0"/>
        <w:rPr>
          <w:rFonts w:ascii="Times New Roman" w:hAnsi="Times New Roman" w:cs="Times New Roman"/>
        </w:rPr>
      </w:pPr>
      <w:r w:rsidRPr="00731FE2">
        <w:rPr>
          <w:rFonts w:ascii="Times New Roman" w:hAnsi="Times New Roman" w:cs="Times New Roman"/>
          <w:b/>
        </w:rPr>
        <w:t xml:space="preserve">п. </w:t>
      </w:r>
      <w:hyperlink r:id="rId43" w:tooltip="Нарзанный" w:history="1">
        <w:r w:rsidRPr="00731FE2">
          <w:rPr>
            <w:rFonts w:ascii="Times New Roman" w:hAnsi="Times New Roman" w:cs="Times New Roman"/>
            <w:b/>
          </w:rPr>
          <w:t>Нарзанный</w:t>
        </w:r>
      </w:hyperlink>
      <w:r w:rsidRPr="00731FE2">
        <w:rPr>
          <w:rFonts w:ascii="Times New Roman" w:hAnsi="Times New Roman" w:cs="Times New Roman"/>
          <w:b/>
        </w:rPr>
        <w:t xml:space="preserve"> – </w:t>
      </w:r>
      <w:r w:rsidRPr="00731FE2">
        <w:rPr>
          <w:rFonts w:ascii="Times New Roman" w:hAnsi="Times New Roman" w:cs="Times New Roman"/>
        </w:rPr>
        <w:t>граница поселка остается без изменений</w:t>
      </w:r>
    </w:p>
    <w:p w14:paraId="1B74A5E4" w14:textId="650CD5D2" w:rsidR="00C50915" w:rsidRPr="00731FE2" w:rsidRDefault="00C50915" w:rsidP="00ED5DD1">
      <w:pPr>
        <w:pStyle w:val="a3"/>
        <w:ind w:left="0"/>
        <w:rPr>
          <w:rFonts w:ascii="Times New Roman" w:hAnsi="Times New Roman" w:cs="Times New Roman"/>
          <w:szCs w:val="24"/>
        </w:rPr>
      </w:pPr>
      <w:r w:rsidRPr="00731FE2">
        <w:rPr>
          <w:noProof/>
          <w:lang w:eastAsia="ru-RU"/>
        </w:rPr>
        <w:drawing>
          <wp:inline distT="0" distB="0" distL="0" distR="0" wp14:anchorId="3873C9C2" wp14:editId="3880D9F1">
            <wp:extent cx="3727540" cy="4973303"/>
            <wp:effectExtent l="0" t="0" r="635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3760605" cy="5017418"/>
                    </a:xfrm>
                    <a:prstGeom prst="rect">
                      <a:avLst/>
                    </a:prstGeom>
                  </pic:spPr>
                </pic:pic>
              </a:graphicData>
            </a:graphic>
          </wp:inline>
        </w:drawing>
      </w:r>
    </w:p>
    <w:p w14:paraId="4235BBE8" w14:textId="77777777" w:rsidR="00C50915" w:rsidRPr="00731FE2" w:rsidRDefault="00C50915" w:rsidP="00ED5DD1">
      <w:pPr>
        <w:pStyle w:val="a3"/>
        <w:ind w:left="0"/>
        <w:rPr>
          <w:rFonts w:ascii="Times New Roman" w:hAnsi="Times New Roman" w:cs="Times New Roman"/>
          <w:szCs w:val="24"/>
        </w:rPr>
      </w:pPr>
    </w:p>
    <w:p w14:paraId="3FC35329" w14:textId="77777777" w:rsidR="00C50915" w:rsidRPr="00731FE2" w:rsidRDefault="00C50915" w:rsidP="00ED5DD1">
      <w:pPr>
        <w:pStyle w:val="a3"/>
        <w:ind w:left="0"/>
        <w:rPr>
          <w:rFonts w:ascii="Times New Roman" w:hAnsi="Times New Roman" w:cs="Times New Roman"/>
          <w:szCs w:val="24"/>
        </w:rPr>
      </w:pPr>
    </w:p>
    <w:p w14:paraId="435A1E3E" w14:textId="77777777" w:rsidR="00C50915" w:rsidRPr="00731FE2" w:rsidRDefault="00C50915" w:rsidP="00ED5DD1">
      <w:pPr>
        <w:pStyle w:val="a3"/>
        <w:ind w:left="0"/>
        <w:rPr>
          <w:rFonts w:ascii="Times New Roman" w:hAnsi="Times New Roman" w:cs="Times New Roman"/>
          <w:szCs w:val="24"/>
        </w:rPr>
      </w:pPr>
    </w:p>
    <w:p w14:paraId="2239E53A" w14:textId="1E4409DD" w:rsidR="00C50915" w:rsidRPr="00731FE2" w:rsidRDefault="00C50915" w:rsidP="00ED5DD1">
      <w:pPr>
        <w:pStyle w:val="a3"/>
        <w:ind w:left="0"/>
        <w:rPr>
          <w:rFonts w:ascii="Times New Roman" w:hAnsi="Times New Roman" w:cs="Times New Roman"/>
        </w:rPr>
      </w:pPr>
      <w:r w:rsidRPr="00731FE2">
        <w:rPr>
          <w:rFonts w:ascii="Times New Roman" w:hAnsi="Times New Roman" w:cs="Times New Roman"/>
          <w:b/>
        </w:rPr>
        <w:lastRenderedPageBreak/>
        <w:t xml:space="preserve">п. </w:t>
      </w:r>
      <w:hyperlink r:id="rId45" w:history="1">
        <w:r w:rsidRPr="00731FE2">
          <w:rPr>
            <w:rFonts w:ascii="Times New Roman" w:hAnsi="Times New Roman" w:cs="Times New Roman"/>
            <w:b/>
          </w:rPr>
          <w:t>Новокисловодский</w:t>
        </w:r>
      </w:hyperlink>
      <w:r w:rsidRPr="00731FE2">
        <w:rPr>
          <w:rFonts w:ascii="Times New Roman" w:hAnsi="Times New Roman" w:cs="Times New Roman"/>
          <w:b/>
        </w:rPr>
        <w:t xml:space="preserve"> – </w:t>
      </w:r>
      <w:r w:rsidRPr="00731FE2">
        <w:rPr>
          <w:rFonts w:ascii="Times New Roman" w:hAnsi="Times New Roman" w:cs="Times New Roman"/>
        </w:rPr>
        <w:t>граница поселка остается без изменений</w:t>
      </w:r>
    </w:p>
    <w:p w14:paraId="54EF4930" w14:textId="7AD78F86" w:rsidR="00C50915" w:rsidRPr="00731FE2" w:rsidRDefault="00C50915" w:rsidP="00ED5DD1">
      <w:pPr>
        <w:pStyle w:val="a3"/>
        <w:ind w:left="0"/>
        <w:rPr>
          <w:rFonts w:ascii="Times New Roman" w:hAnsi="Times New Roman" w:cs="Times New Roman"/>
          <w:szCs w:val="24"/>
        </w:rPr>
      </w:pPr>
      <w:r w:rsidRPr="00731FE2">
        <w:rPr>
          <w:noProof/>
          <w:lang w:eastAsia="ru-RU"/>
        </w:rPr>
        <w:drawing>
          <wp:inline distT="0" distB="0" distL="0" distR="0" wp14:anchorId="3AAA06C2" wp14:editId="4D02718B">
            <wp:extent cx="3074796" cy="4442175"/>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3085365" cy="4457444"/>
                    </a:xfrm>
                    <a:prstGeom prst="rect">
                      <a:avLst/>
                    </a:prstGeom>
                  </pic:spPr>
                </pic:pic>
              </a:graphicData>
            </a:graphic>
          </wp:inline>
        </w:drawing>
      </w:r>
    </w:p>
    <w:p w14:paraId="71CAC885" w14:textId="77777777" w:rsidR="00C50915" w:rsidRPr="00731FE2" w:rsidRDefault="00C50915" w:rsidP="00ED5DD1">
      <w:pPr>
        <w:pStyle w:val="a3"/>
        <w:ind w:left="0"/>
        <w:rPr>
          <w:rFonts w:ascii="Times New Roman" w:hAnsi="Times New Roman" w:cs="Times New Roman"/>
          <w:szCs w:val="24"/>
        </w:rPr>
      </w:pPr>
    </w:p>
    <w:p w14:paraId="28240DAC" w14:textId="77C0F296" w:rsidR="00C50915" w:rsidRPr="00731FE2" w:rsidRDefault="00C50915" w:rsidP="00ED5DD1">
      <w:pPr>
        <w:pStyle w:val="a3"/>
        <w:ind w:left="0"/>
        <w:rPr>
          <w:rFonts w:ascii="Times New Roman" w:hAnsi="Times New Roman" w:cs="Times New Roman"/>
        </w:rPr>
      </w:pPr>
      <w:r w:rsidRPr="00731FE2">
        <w:rPr>
          <w:rFonts w:ascii="Times New Roman" w:hAnsi="Times New Roman" w:cs="Times New Roman"/>
          <w:b/>
        </w:rPr>
        <w:t xml:space="preserve">п. </w:t>
      </w:r>
      <w:hyperlink r:id="rId47" w:tooltip="Правоберёзовский" w:history="1">
        <w:r w:rsidRPr="00731FE2">
          <w:rPr>
            <w:rFonts w:ascii="Times New Roman" w:hAnsi="Times New Roman" w:cs="Times New Roman"/>
            <w:b/>
          </w:rPr>
          <w:t>Правоберёзовский</w:t>
        </w:r>
      </w:hyperlink>
      <w:r w:rsidRPr="00731FE2">
        <w:rPr>
          <w:rFonts w:ascii="Times New Roman" w:hAnsi="Times New Roman" w:cs="Times New Roman"/>
          <w:b/>
        </w:rPr>
        <w:t xml:space="preserve"> – </w:t>
      </w:r>
      <w:r w:rsidRPr="00731FE2">
        <w:rPr>
          <w:rFonts w:ascii="Times New Roman" w:hAnsi="Times New Roman" w:cs="Times New Roman"/>
        </w:rPr>
        <w:t>граница поселка остается без изменений</w:t>
      </w:r>
    </w:p>
    <w:p w14:paraId="09040A8D" w14:textId="33DF0D2D" w:rsidR="00357DCA" w:rsidRPr="00731FE2" w:rsidRDefault="00C50915" w:rsidP="00C50915">
      <w:pPr>
        <w:pStyle w:val="a3"/>
        <w:ind w:left="0"/>
        <w:rPr>
          <w:rFonts w:ascii="Times New Roman" w:eastAsiaTheme="majorEastAsia" w:hAnsi="Times New Roman" w:cs="Times New Roman"/>
          <w:color w:val="404040" w:themeColor="text1" w:themeTint="BF"/>
          <w:sz w:val="28"/>
          <w:szCs w:val="28"/>
        </w:rPr>
      </w:pPr>
      <w:r w:rsidRPr="00731FE2">
        <w:rPr>
          <w:noProof/>
          <w:lang w:eastAsia="ru-RU"/>
        </w:rPr>
        <w:drawing>
          <wp:inline distT="0" distB="0" distL="0" distR="0" wp14:anchorId="586ABCD4" wp14:editId="2EF31954">
            <wp:extent cx="4742149" cy="3960040"/>
            <wp:effectExtent l="0" t="0" r="1905" b="254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4756988" cy="3972432"/>
                    </a:xfrm>
                    <a:prstGeom prst="rect">
                      <a:avLst/>
                    </a:prstGeom>
                  </pic:spPr>
                </pic:pic>
              </a:graphicData>
            </a:graphic>
          </wp:inline>
        </w:drawing>
      </w:r>
      <w:r w:rsidR="00357DCA" w:rsidRPr="00731FE2">
        <w:rPr>
          <w:rFonts w:ascii="Times New Roman" w:eastAsiaTheme="majorEastAsia" w:hAnsi="Times New Roman" w:cs="Times New Roman"/>
          <w:color w:val="404040" w:themeColor="text1" w:themeTint="BF"/>
          <w:sz w:val="28"/>
          <w:szCs w:val="28"/>
        </w:rPr>
        <w:br w:type="page"/>
      </w:r>
    </w:p>
    <w:p w14:paraId="7B1573A9" w14:textId="77777777" w:rsidR="00171AA8" w:rsidRPr="00731FE2" w:rsidRDefault="007935AB">
      <w:pPr>
        <w:pStyle w:val="13"/>
        <w:rPr>
          <w:rFonts w:ascii="Times New Roman" w:hAnsi="Times New Roman" w:cs="Times New Roman"/>
        </w:rPr>
      </w:pPr>
      <w:bookmarkStart w:id="106" w:name="_Toc177392856"/>
      <w:r w:rsidRPr="00731FE2">
        <w:rPr>
          <w:rFonts w:ascii="Times New Roman" w:hAnsi="Times New Roman" w:cs="Times New Roman"/>
        </w:rPr>
        <w:lastRenderedPageBreak/>
        <w:t>7. ТЕХНИКО-ЭКОНОМИЧЕСКИЕ ПОКАЗАТЕЛИ ГЕНЕРАЛЬНОГО ПЛАНА ГОРОДСКОГО ОКРУГА ГОРОДА-КУРОРТА КИСЛОВОДСКА</w:t>
      </w:r>
      <w:bookmarkEnd w:id="106"/>
    </w:p>
    <w:tbl>
      <w:tblPr>
        <w:tblW w:w="0" w:type="auto"/>
        <w:tblCellSpacing w:w="0" w:type="dxa"/>
        <w:tblLook w:val="04A0" w:firstRow="1" w:lastRow="0" w:firstColumn="1" w:lastColumn="0" w:noHBand="0" w:noVBand="1"/>
      </w:tblPr>
      <w:tblGrid>
        <w:gridCol w:w="861"/>
        <w:gridCol w:w="3417"/>
        <w:gridCol w:w="1525"/>
        <w:gridCol w:w="1766"/>
        <w:gridCol w:w="1766"/>
      </w:tblGrid>
      <w:tr w:rsidR="00357DCA" w:rsidRPr="00731FE2" w14:paraId="5142A830" w14:textId="77777777" w:rsidTr="00FE28EA">
        <w:trPr>
          <w:tblCellSpacing w:w="0" w:type="dxa"/>
        </w:trPr>
        <w:tc>
          <w:tcPr>
            <w:tcW w:w="861" w:type="dxa"/>
            <w:tcBorders>
              <w:top w:val="single" w:sz="8" w:space="0" w:color="000000"/>
              <w:left w:val="single" w:sz="8" w:space="0" w:color="000000"/>
              <w:bottom w:val="single" w:sz="8" w:space="0" w:color="000000"/>
              <w:right w:val="single" w:sz="8" w:space="0" w:color="000000"/>
            </w:tcBorders>
            <w:vAlign w:val="center"/>
            <w:hideMark/>
          </w:tcPr>
          <w:p w14:paraId="010317F1" w14:textId="77777777" w:rsidR="00357DCA" w:rsidRPr="00731FE2" w:rsidRDefault="00357DCA" w:rsidP="00357DCA">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b/>
                <w:bCs/>
                <w:color w:val="000000"/>
                <w:sz w:val="22"/>
                <w:lang w:eastAsia="ru-RU"/>
              </w:rPr>
              <w:t>№ п/п</w:t>
            </w:r>
          </w:p>
        </w:tc>
        <w:tc>
          <w:tcPr>
            <w:tcW w:w="3417" w:type="dxa"/>
            <w:tcBorders>
              <w:top w:val="single" w:sz="8" w:space="0" w:color="000000"/>
              <w:left w:val="nil"/>
              <w:bottom w:val="single" w:sz="8" w:space="0" w:color="000000"/>
              <w:right w:val="single" w:sz="8" w:space="0" w:color="000000"/>
            </w:tcBorders>
            <w:vAlign w:val="center"/>
            <w:hideMark/>
          </w:tcPr>
          <w:p w14:paraId="6EBA25E1" w14:textId="77777777" w:rsidR="00357DCA" w:rsidRPr="00731FE2" w:rsidRDefault="00357DCA" w:rsidP="00357DCA">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b/>
                <w:bCs/>
                <w:color w:val="000000"/>
                <w:sz w:val="22"/>
                <w:lang w:eastAsia="ru-RU"/>
              </w:rPr>
              <w:t>Наименование показателя</w:t>
            </w:r>
          </w:p>
        </w:tc>
        <w:tc>
          <w:tcPr>
            <w:tcW w:w="1525" w:type="dxa"/>
            <w:tcBorders>
              <w:top w:val="single" w:sz="8" w:space="0" w:color="000000"/>
              <w:left w:val="nil"/>
              <w:bottom w:val="single" w:sz="8" w:space="0" w:color="000000"/>
              <w:right w:val="single" w:sz="8" w:space="0" w:color="000000"/>
            </w:tcBorders>
            <w:vAlign w:val="center"/>
            <w:hideMark/>
          </w:tcPr>
          <w:p w14:paraId="764C24D1" w14:textId="77777777" w:rsidR="00357DCA" w:rsidRPr="00731FE2" w:rsidRDefault="00357DCA" w:rsidP="00357DCA">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b/>
                <w:bCs/>
                <w:color w:val="000000"/>
                <w:sz w:val="22"/>
                <w:lang w:eastAsia="ru-RU"/>
              </w:rPr>
              <w:t>Единица измерения</w:t>
            </w:r>
          </w:p>
        </w:tc>
        <w:tc>
          <w:tcPr>
            <w:tcW w:w="1766" w:type="dxa"/>
            <w:tcBorders>
              <w:top w:val="single" w:sz="8" w:space="0" w:color="000000"/>
              <w:left w:val="nil"/>
              <w:bottom w:val="single" w:sz="8" w:space="0" w:color="000000"/>
              <w:right w:val="single" w:sz="8" w:space="0" w:color="000000"/>
            </w:tcBorders>
            <w:vAlign w:val="center"/>
            <w:hideMark/>
          </w:tcPr>
          <w:p w14:paraId="622D69DF" w14:textId="56BBEA79" w:rsidR="00357DCA" w:rsidRPr="00731FE2" w:rsidRDefault="00357DCA" w:rsidP="00357DCA">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b/>
                <w:bCs/>
                <w:color w:val="000000"/>
                <w:sz w:val="22"/>
                <w:lang w:eastAsia="ru-RU"/>
              </w:rPr>
              <w:t>Современное состояние</w:t>
            </w:r>
            <w:r w:rsidR="00D9276C" w:rsidRPr="00731FE2">
              <w:rPr>
                <w:rFonts w:ascii="Times New Roman" w:eastAsia="Times New Roman" w:hAnsi="Times New Roman" w:cs="Times New Roman"/>
                <w:b/>
                <w:bCs/>
                <w:color w:val="000000"/>
                <w:sz w:val="22"/>
                <w:lang w:eastAsia="ru-RU"/>
              </w:rPr>
              <w:t xml:space="preserve"> (2024)</w:t>
            </w:r>
          </w:p>
        </w:tc>
        <w:tc>
          <w:tcPr>
            <w:tcW w:w="1766" w:type="dxa"/>
            <w:tcBorders>
              <w:top w:val="single" w:sz="8" w:space="0" w:color="000000"/>
              <w:left w:val="nil"/>
              <w:bottom w:val="single" w:sz="8" w:space="0" w:color="000000"/>
              <w:right w:val="single" w:sz="8" w:space="0" w:color="000000"/>
            </w:tcBorders>
            <w:vAlign w:val="center"/>
            <w:hideMark/>
          </w:tcPr>
          <w:p w14:paraId="03438B46" w14:textId="77777777" w:rsidR="00357DCA" w:rsidRPr="00731FE2" w:rsidRDefault="00357DCA" w:rsidP="00357DCA">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b/>
                <w:bCs/>
                <w:color w:val="000000"/>
                <w:sz w:val="22"/>
                <w:lang w:eastAsia="ru-RU"/>
              </w:rPr>
              <w:t>Расчетный срок</w:t>
            </w:r>
          </w:p>
        </w:tc>
      </w:tr>
      <w:tr w:rsidR="00357DCA" w:rsidRPr="00731FE2" w14:paraId="46D26E4B" w14:textId="77777777" w:rsidTr="00D154A0">
        <w:trPr>
          <w:tblCellSpacing w:w="0" w:type="dxa"/>
        </w:trPr>
        <w:tc>
          <w:tcPr>
            <w:tcW w:w="9335" w:type="dxa"/>
            <w:gridSpan w:val="5"/>
            <w:tcBorders>
              <w:top w:val="nil"/>
              <w:left w:val="single" w:sz="8" w:space="0" w:color="000000"/>
              <w:bottom w:val="single" w:sz="8" w:space="0" w:color="000000"/>
              <w:right w:val="single" w:sz="8" w:space="0" w:color="000000"/>
            </w:tcBorders>
            <w:vAlign w:val="center"/>
            <w:hideMark/>
          </w:tcPr>
          <w:p w14:paraId="053B1648" w14:textId="77777777" w:rsidR="00357DCA" w:rsidRPr="00731FE2" w:rsidRDefault="00357DCA" w:rsidP="00357DCA">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b/>
                <w:bCs/>
                <w:color w:val="000000"/>
                <w:sz w:val="22"/>
                <w:lang w:eastAsia="ru-RU"/>
              </w:rPr>
              <w:t>Городской округ город-курорт Кисловодск</w:t>
            </w:r>
          </w:p>
        </w:tc>
      </w:tr>
      <w:tr w:rsidR="00FE28EA" w:rsidRPr="00731FE2" w14:paraId="59911F92" w14:textId="77777777" w:rsidTr="00FE28EA">
        <w:trPr>
          <w:tblCellSpacing w:w="0" w:type="dxa"/>
        </w:trPr>
        <w:tc>
          <w:tcPr>
            <w:tcW w:w="861" w:type="dxa"/>
            <w:tcBorders>
              <w:top w:val="nil"/>
              <w:left w:val="single" w:sz="8" w:space="0" w:color="000000"/>
              <w:bottom w:val="single" w:sz="8" w:space="0" w:color="000000"/>
              <w:right w:val="single" w:sz="8" w:space="0" w:color="000000"/>
            </w:tcBorders>
            <w:vAlign w:val="center"/>
            <w:hideMark/>
          </w:tcPr>
          <w:p w14:paraId="11DE1E8C" w14:textId="77777777" w:rsidR="00FE28EA" w:rsidRPr="00731FE2" w:rsidRDefault="00FE28EA" w:rsidP="00FE28EA">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b/>
                <w:bCs/>
                <w:color w:val="000000"/>
                <w:sz w:val="22"/>
                <w:lang w:eastAsia="ru-RU"/>
              </w:rPr>
              <w:t>1.</w:t>
            </w:r>
          </w:p>
        </w:tc>
        <w:tc>
          <w:tcPr>
            <w:tcW w:w="3417" w:type="dxa"/>
            <w:tcBorders>
              <w:top w:val="nil"/>
              <w:left w:val="nil"/>
              <w:bottom w:val="single" w:sz="8" w:space="0" w:color="000000"/>
              <w:right w:val="single" w:sz="8" w:space="0" w:color="000000"/>
            </w:tcBorders>
            <w:vAlign w:val="center"/>
            <w:hideMark/>
          </w:tcPr>
          <w:p w14:paraId="11469889" w14:textId="77777777" w:rsidR="00FE28EA" w:rsidRPr="00731FE2" w:rsidRDefault="00FE28EA" w:rsidP="00FE28EA">
            <w:pPr>
              <w:spacing w:line="240" w:lineRule="auto"/>
              <w:ind w:firstLine="0"/>
              <w:rPr>
                <w:rFonts w:ascii="Times New Roman" w:eastAsia="Times New Roman" w:hAnsi="Times New Roman" w:cs="Times New Roman"/>
                <w:sz w:val="22"/>
                <w:lang w:eastAsia="ru-RU"/>
              </w:rPr>
            </w:pPr>
            <w:r w:rsidRPr="00731FE2">
              <w:rPr>
                <w:rFonts w:ascii="Times New Roman" w:eastAsia="Times New Roman" w:hAnsi="Times New Roman" w:cs="Times New Roman"/>
                <w:b/>
                <w:bCs/>
                <w:color w:val="000000"/>
                <w:sz w:val="22"/>
                <w:lang w:eastAsia="ru-RU"/>
              </w:rPr>
              <w:t>Общая площадь земель в границах муниципального образования</w:t>
            </w:r>
          </w:p>
        </w:tc>
        <w:tc>
          <w:tcPr>
            <w:tcW w:w="1525" w:type="dxa"/>
            <w:tcBorders>
              <w:top w:val="nil"/>
              <w:left w:val="nil"/>
              <w:bottom w:val="single" w:sz="8" w:space="0" w:color="000000"/>
              <w:right w:val="single" w:sz="8" w:space="0" w:color="000000"/>
            </w:tcBorders>
            <w:vAlign w:val="center"/>
            <w:hideMark/>
          </w:tcPr>
          <w:p w14:paraId="5C5671AC" w14:textId="77777777" w:rsidR="00FE28EA" w:rsidRPr="00731FE2" w:rsidRDefault="00FE28EA" w:rsidP="00FE28EA">
            <w:pPr>
              <w:spacing w:line="240" w:lineRule="auto"/>
              <w:ind w:firstLine="0"/>
              <w:jc w:val="center"/>
              <w:rPr>
                <w:rFonts w:ascii="Times New Roman" w:eastAsia="Times New Roman" w:hAnsi="Times New Roman" w:cs="Times New Roman"/>
                <w:b/>
                <w:sz w:val="22"/>
                <w:lang w:eastAsia="ru-RU"/>
              </w:rPr>
            </w:pPr>
            <w:r w:rsidRPr="00731FE2">
              <w:rPr>
                <w:rFonts w:ascii="Times New Roman" w:eastAsia="Times New Roman" w:hAnsi="Times New Roman" w:cs="Times New Roman"/>
                <w:b/>
                <w:color w:val="000000"/>
                <w:sz w:val="22"/>
                <w:lang w:eastAsia="ru-RU"/>
              </w:rPr>
              <w:t>га</w:t>
            </w:r>
          </w:p>
        </w:tc>
        <w:tc>
          <w:tcPr>
            <w:tcW w:w="1766" w:type="dxa"/>
            <w:tcBorders>
              <w:top w:val="nil"/>
              <w:left w:val="nil"/>
              <w:bottom w:val="single" w:sz="8" w:space="0" w:color="000000"/>
              <w:right w:val="single" w:sz="8" w:space="0" w:color="000000"/>
            </w:tcBorders>
            <w:vAlign w:val="center"/>
            <w:hideMark/>
          </w:tcPr>
          <w:p w14:paraId="7B53AC45" w14:textId="3022293D" w:rsidR="00FE28EA" w:rsidRPr="00731FE2" w:rsidRDefault="00FE28EA" w:rsidP="00E860A5">
            <w:pPr>
              <w:spacing w:line="240" w:lineRule="auto"/>
              <w:ind w:firstLine="0"/>
              <w:jc w:val="center"/>
              <w:rPr>
                <w:rFonts w:ascii="Times New Roman" w:eastAsia="Times New Roman" w:hAnsi="Times New Roman" w:cs="Times New Roman"/>
                <w:b/>
                <w:sz w:val="22"/>
                <w:lang w:eastAsia="ru-RU"/>
              </w:rPr>
            </w:pPr>
            <w:r w:rsidRPr="00731FE2">
              <w:rPr>
                <w:rFonts w:ascii="Times New Roman" w:hAnsi="Times New Roman" w:cs="Times New Roman"/>
                <w:b/>
                <w:sz w:val="22"/>
              </w:rPr>
              <w:t>17</w:t>
            </w:r>
            <w:r w:rsidR="009D5C8F" w:rsidRPr="00731FE2">
              <w:rPr>
                <w:rFonts w:ascii="Times New Roman" w:hAnsi="Times New Roman" w:cs="Times New Roman"/>
                <w:b/>
                <w:sz w:val="22"/>
              </w:rPr>
              <w:t xml:space="preserve"> </w:t>
            </w:r>
            <w:r w:rsidR="00181FEE" w:rsidRPr="00731FE2">
              <w:rPr>
                <w:rFonts w:ascii="Times New Roman" w:hAnsi="Times New Roman" w:cs="Times New Roman"/>
                <w:b/>
                <w:sz w:val="22"/>
              </w:rPr>
              <w:t>411,82</w:t>
            </w:r>
          </w:p>
        </w:tc>
        <w:tc>
          <w:tcPr>
            <w:tcW w:w="1766" w:type="dxa"/>
            <w:tcBorders>
              <w:top w:val="nil"/>
              <w:left w:val="nil"/>
              <w:bottom w:val="single" w:sz="8" w:space="0" w:color="000000"/>
              <w:right w:val="single" w:sz="8" w:space="0" w:color="000000"/>
            </w:tcBorders>
            <w:vAlign w:val="center"/>
            <w:hideMark/>
          </w:tcPr>
          <w:p w14:paraId="5404DCA2" w14:textId="2994DDAE" w:rsidR="00FE28EA" w:rsidRPr="00731FE2" w:rsidRDefault="00181FEE" w:rsidP="00E860A5">
            <w:pPr>
              <w:spacing w:line="240" w:lineRule="auto"/>
              <w:ind w:firstLine="0"/>
              <w:jc w:val="center"/>
              <w:rPr>
                <w:rFonts w:ascii="Times New Roman" w:eastAsia="Times New Roman" w:hAnsi="Times New Roman" w:cs="Times New Roman"/>
                <w:b/>
                <w:sz w:val="22"/>
                <w:lang w:val="en-US" w:eastAsia="ru-RU"/>
              </w:rPr>
            </w:pPr>
            <w:r w:rsidRPr="00731FE2">
              <w:rPr>
                <w:rFonts w:ascii="Times New Roman" w:hAnsi="Times New Roman" w:cs="Times New Roman"/>
                <w:b/>
                <w:sz w:val="22"/>
              </w:rPr>
              <w:t>17</w:t>
            </w:r>
            <w:r w:rsidR="009D5C8F" w:rsidRPr="00731FE2">
              <w:rPr>
                <w:rFonts w:ascii="Times New Roman" w:hAnsi="Times New Roman" w:cs="Times New Roman"/>
                <w:b/>
                <w:sz w:val="22"/>
              </w:rPr>
              <w:t xml:space="preserve"> </w:t>
            </w:r>
            <w:r w:rsidRPr="00731FE2">
              <w:rPr>
                <w:rFonts w:ascii="Times New Roman" w:hAnsi="Times New Roman" w:cs="Times New Roman"/>
                <w:b/>
                <w:sz w:val="22"/>
              </w:rPr>
              <w:t>411,82</w:t>
            </w:r>
          </w:p>
        </w:tc>
      </w:tr>
      <w:tr w:rsidR="00FE28EA" w:rsidRPr="00731FE2" w14:paraId="66B6CE40" w14:textId="77777777" w:rsidTr="00FE28EA">
        <w:trPr>
          <w:trHeight w:val="58"/>
          <w:tblCellSpacing w:w="0" w:type="dxa"/>
        </w:trPr>
        <w:tc>
          <w:tcPr>
            <w:tcW w:w="861" w:type="dxa"/>
            <w:tcBorders>
              <w:top w:val="nil"/>
              <w:left w:val="single" w:sz="8" w:space="0" w:color="000000"/>
              <w:bottom w:val="single" w:sz="8" w:space="0" w:color="000000"/>
              <w:right w:val="single" w:sz="8" w:space="0" w:color="000000"/>
            </w:tcBorders>
            <w:vAlign w:val="center"/>
            <w:hideMark/>
          </w:tcPr>
          <w:p w14:paraId="6B900488" w14:textId="2D2B57AD" w:rsidR="00FE28EA" w:rsidRPr="00731FE2" w:rsidRDefault="00FE28EA" w:rsidP="00FE28EA">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bCs/>
                <w:color w:val="000000"/>
                <w:sz w:val="22"/>
                <w:lang w:eastAsia="ru-RU"/>
              </w:rPr>
              <w:t>1.</w:t>
            </w:r>
            <w:r w:rsidR="00824EC7" w:rsidRPr="00731FE2">
              <w:rPr>
                <w:rFonts w:ascii="Times New Roman" w:eastAsia="Times New Roman" w:hAnsi="Times New Roman" w:cs="Times New Roman"/>
                <w:bCs/>
                <w:color w:val="000000"/>
                <w:sz w:val="22"/>
                <w:lang w:eastAsia="ru-RU"/>
              </w:rPr>
              <w:t>1</w:t>
            </w:r>
          </w:p>
        </w:tc>
        <w:tc>
          <w:tcPr>
            <w:tcW w:w="3417" w:type="dxa"/>
            <w:tcBorders>
              <w:top w:val="nil"/>
              <w:left w:val="nil"/>
              <w:bottom w:val="single" w:sz="8" w:space="0" w:color="000000"/>
              <w:right w:val="single" w:sz="8" w:space="0" w:color="000000"/>
            </w:tcBorders>
            <w:vAlign w:val="center"/>
            <w:hideMark/>
          </w:tcPr>
          <w:p w14:paraId="0F0ABFE2" w14:textId="77777777" w:rsidR="00FE28EA" w:rsidRPr="00731FE2" w:rsidRDefault="00FE28EA" w:rsidP="00FE28EA">
            <w:pPr>
              <w:spacing w:line="240" w:lineRule="auto"/>
              <w:ind w:firstLine="0"/>
              <w:rPr>
                <w:rFonts w:ascii="Times New Roman" w:eastAsia="Times New Roman" w:hAnsi="Times New Roman" w:cs="Times New Roman"/>
                <w:sz w:val="22"/>
                <w:lang w:eastAsia="ru-RU"/>
              </w:rPr>
            </w:pPr>
            <w:r w:rsidRPr="00731FE2">
              <w:rPr>
                <w:rFonts w:ascii="Times New Roman" w:eastAsia="Times New Roman" w:hAnsi="Times New Roman" w:cs="Times New Roman"/>
                <w:bCs/>
                <w:color w:val="000000"/>
                <w:sz w:val="22"/>
                <w:lang w:eastAsia="ru-RU"/>
              </w:rPr>
              <w:t>Земли лесного фонда</w:t>
            </w:r>
          </w:p>
        </w:tc>
        <w:tc>
          <w:tcPr>
            <w:tcW w:w="1525" w:type="dxa"/>
            <w:tcBorders>
              <w:top w:val="nil"/>
              <w:left w:val="nil"/>
              <w:bottom w:val="single" w:sz="8" w:space="0" w:color="000000"/>
              <w:right w:val="single" w:sz="8" w:space="0" w:color="000000"/>
            </w:tcBorders>
            <w:vAlign w:val="center"/>
            <w:hideMark/>
          </w:tcPr>
          <w:p w14:paraId="2A6FF8ED" w14:textId="77777777" w:rsidR="00FE28EA" w:rsidRPr="00731FE2" w:rsidRDefault="00FE28EA" w:rsidP="00FE28EA">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га</w:t>
            </w:r>
          </w:p>
        </w:tc>
        <w:tc>
          <w:tcPr>
            <w:tcW w:w="1766" w:type="dxa"/>
            <w:tcBorders>
              <w:top w:val="nil"/>
              <w:left w:val="nil"/>
              <w:bottom w:val="single" w:sz="8" w:space="0" w:color="000000"/>
              <w:right w:val="single" w:sz="8" w:space="0" w:color="000000"/>
            </w:tcBorders>
            <w:vAlign w:val="center"/>
            <w:hideMark/>
          </w:tcPr>
          <w:p w14:paraId="24AD5BF0" w14:textId="1A7C2E4D" w:rsidR="00FE28EA" w:rsidRPr="00731FE2" w:rsidRDefault="00756B1F" w:rsidP="00E860A5">
            <w:pPr>
              <w:spacing w:line="240" w:lineRule="auto"/>
              <w:ind w:firstLine="0"/>
              <w:jc w:val="center"/>
              <w:rPr>
                <w:rFonts w:ascii="Times New Roman" w:eastAsia="Times New Roman" w:hAnsi="Times New Roman" w:cs="Times New Roman"/>
                <w:sz w:val="22"/>
                <w:lang w:eastAsia="ru-RU"/>
              </w:rPr>
            </w:pPr>
            <w:r w:rsidRPr="00731FE2">
              <w:rPr>
                <w:rFonts w:ascii="Times New Roman" w:hAnsi="Times New Roman" w:cs="Times New Roman"/>
                <w:sz w:val="22"/>
              </w:rPr>
              <w:t>475,26</w:t>
            </w:r>
          </w:p>
        </w:tc>
        <w:tc>
          <w:tcPr>
            <w:tcW w:w="1766" w:type="dxa"/>
            <w:tcBorders>
              <w:top w:val="nil"/>
              <w:left w:val="nil"/>
              <w:bottom w:val="single" w:sz="8" w:space="0" w:color="000000"/>
              <w:right w:val="single" w:sz="8" w:space="0" w:color="000000"/>
            </w:tcBorders>
            <w:vAlign w:val="center"/>
            <w:hideMark/>
          </w:tcPr>
          <w:p w14:paraId="29ACD6BD" w14:textId="3A3E557C" w:rsidR="00FE28EA" w:rsidRPr="00731FE2" w:rsidRDefault="00756B1F" w:rsidP="00E860A5">
            <w:pPr>
              <w:spacing w:line="240" w:lineRule="auto"/>
              <w:ind w:firstLine="0"/>
              <w:jc w:val="center"/>
              <w:rPr>
                <w:rFonts w:ascii="Times New Roman" w:eastAsia="Times New Roman" w:hAnsi="Times New Roman" w:cs="Times New Roman"/>
                <w:sz w:val="22"/>
                <w:lang w:eastAsia="ru-RU"/>
              </w:rPr>
            </w:pPr>
            <w:r w:rsidRPr="00731FE2">
              <w:rPr>
                <w:rFonts w:ascii="Times New Roman" w:hAnsi="Times New Roman" w:cs="Times New Roman"/>
                <w:sz w:val="22"/>
              </w:rPr>
              <w:t>475,26</w:t>
            </w:r>
          </w:p>
        </w:tc>
      </w:tr>
      <w:tr w:rsidR="00FE28EA" w:rsidRPr="00731FE2" w14:paraId="6528F483" w14:textId="77777777" w:rsidTr="00FE28EA">
        <w:trPr>
          <w:trHeight w:val="58"/>
          <w:tblCellSpacing w:w="0" w:type="dxa"/>
        </w:trPr>
        <w:tc>
          <w:tcPr>
            <w:tcW w:w="861" w:type="dxa"/>
            <w:tcBorders>
              <w:top w:val="nil"/>
              <w:left w:val="single" w:sz="8" w:space="0" w:color="000000"/>
              <w:bottom w:val="single" w:sz="8" w:space="0" w:color="000000"/>
              <w:right w:val="single" w:sz="8" w:space="0" w:color="000000"/>
            </w:tcBorders>
            <w:vAlign w:val="center"/>
            <w:hideMark/>
          </w:tcPr>
          <w:p w14:paraId="0E1352EE" w14:textId="6009DAF5" w:rsidR="00FE28EA" w:rsidRPr="00731FE2" w:rsidRDefault="00FE28EA" w:rsidP="00FE28EA">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bCs/>
                <w:color w:val="000000"/>
                <w:sz w:val="22"/>
                <w:lang w:eastAsia="ru-RU"/>
              </w:rPr>
              <w:t>1.</w:t>
            </w:r>
            <w:r w:rsidR="00B043D3" w:rsidRPr="00731FE2">
              <w:rPr>
                <w:rFonts w:ascii="Times New Roman" w:eastAsia="Times New Roman" w:hAnsi="Times New Roman" w:cs="Times New Roman"/>
                <w:bCs/>
                <w:color w:val="000000"/>
                <w:sz w:val="22"/>
                <w:lang w:eastAsia="ru-RU"/>
              </w:rPr>
              <w:t>2</w:t>
            </w:r>
          </w:p>
        </w:tc>
        <w:tc>
          <w:tcPr>
            <w:tcW w:w="3417" w:type="dxa"/>
            <w:tcBorders>
              <w:top w:val="nil"/>
              <w:left w:val="nil"/>
              <w:bottom w:val="single" w:sz="8" w:space="0" w:color="000000"/>
              <w:right w:val="single" w:sz="8" w:space="0" w:color="000000"/>
            </w:tcBorders>
            <w:vAlign w:val="center"/>
            <w:hideMark/>
          </w:tcPr>
          <w:p w14:paraId="16613A99" w14:textId="77777777" w:rsidR="00FE28EA" w:rsidRPr="00731FE2" w:rsidRDefault="00FE28EA" w:rsidP="00FE28EA">
            <w:pPr>
              <w:spacing w:line="240" w:lineRule="auto"/>
              <w:ind w:firstLine="0"/>
              <w:rPr>
                <w:rFonts w:ascii="Times New Roman" w:eastAsia="Times New Roman" w:hAnsi="Times New Roman" w:cs="Times New Roman"/>
                <w:sz w:val="22"/>
                <w:lang w:eastAsia="ru-RU"/>
              </w:rPr>
            </w:pPr>
            <w:r w:rsidRPr="00731FE2">
              <w:rPr>
                <w:rFonts w:ascii="Times New Roman" w:eastAsia="Times New Roman" w:hAnsi="Times New Roman" w:cs="Times New Roman"/>
                <w:bCs/>
                <w:color w:val="000000"/>
                <w:sz w:val="22"/>
                <w:lang w:eastAsia="ru-RU"/>
              </w:rPr>
              <w:t>Земли национального парка «Кисловодский»</w:t>
            </w:r>
          </w:p>
        </w:tc>
        <w:tc>
          <w:tcPr>
            <w:tcW w:w="1525" w:type="dxa"/>
            <w:tcBorders>
              <w:top w:val="nil"/>
              <w:left w:val="nil"/>
              <w:bottom w:val="single" w:sz="8" w:space="0" w:color="000000"/>
              <w:right w:val="single" w:sz="8" w:space="0" w:color="000000"/>
            </w:tcBorders>
            <w:vAlign w:val="center"/>
            <w:hideMark/>
          </w:tcPr>
          <w:p w14:paraId="2B11B3A9" w14:textId="77777777" w:rsidR="00FE28EA" w:rsidRPr="00731FE2" w:rsidRDefault="00FE28EA" w:rsidP="00FE28EA">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га</w:t>
            </w:r>
          </w:p>
        </w:tc>
        <w:tc>
          <w:tcPr>
            <w:tcW w:w="1766" w:type="dxa"/>
            <w:tcBorders>
              <w:top w:val="nil"/>
              <w:left w:val="nil"/>
              <w:bottom w:val="single" w:sz="8" w:space="0" w:color="000000"/>
              <w:right w:val="single" w:sz="8" w:space="0" w:color="000000"/>
            </w:tcBorders>
            <w:vAlign w:val="center"/>
            <w:hideMark/>
          </w:tcPr>
          <w:p w14:paraId="61261716" w14:textId="6FB1A594" w:rsidR="00FE28EA" w:rsidRPr="00731FE2" w:rsidRDefault="00FE28EA" w:rsidP="00E860A5">
            <w:pPr>
              <w:spacing w:line="240" w:lineRule="auto"/>
              <w:ind w:firstLine="0"/>
              <w:jc w:val="center"/>
              <w:rPr>
                <w:rFonts w:ascii="Times New Roman" w:eastAsia="Times New Roman" w:hAnsi="Times New Roman" w:cs="Times New Roman"/>
                <w:sz w:val="22"/>
                <w:lang w:eastAsia="ru-RU"/>
              </w:rPr>
            </w:pPr>
            <w:r w:rsidRPr="00731FE2">
              <w:rPr>
                <w:rFonts w:ascii="Times New Roman" w:hAnsi="Times New Roman" w:cs="Times New Roman"/>
                <w:sz w:val="22"/>
              </w:rPr>
              <w:t>96</w:t>
            </w:r>
            <w:r w:rsidR="00343545" w:rsidRPr="00731FE2">
              <w:rPr>
                <w:rFonts w:ascii="Times New Roman" w:hAnsi="Times New Roman" w:cs="Times New Roman"/>
                <w:sz w:val="22"/>
              </w:rPr>
              <w:t>6</w:t>
            </w:r>
            <w:r w:rsidRPr="00731FE2">
              <w:rPr>
                <w:rFonts w:ascii="Times New Roman" w:hAnsi="Times New Roman" w:cs="Times New Roman"/>
                <w:sz w:val="22"/>
              </w:rPr>
              <w:t>,</w:t>
            </w:r>
            <w:r w:rsidR="00343545" w:rsidRPr="00731FE2">
              <w:rPr>
                <w:rFonts w:ascii="Times New Roman" w:hAnsi="Times New Roman" w:cs="Times New Roman"/>
                <w:sz w:val="22"/>
              </w:rPr>
              <w:t>88</w:t>
            </w:r>
          </w:p>
        </w:tc>
        <w:tc>
          <w:tcPr>
            <w:tcW w:w="1766" w:type="dxa"/>
            <w:tcBorders>
              <w:top w:val="nil"/>
              <w:left w:val="nil"/>
              <w:bottom w:val="single" w:sz="8" w:space="0" w:color="000000"/>
              <w:right w:val="single" w:sz="8" w:space="0" w:color="000000"/>
            </w:tcBorders>
            <w:vAlign w:val="center"/>
            <w:hideMark/>
          </w:tcPr>
          <w:p w14:paraId="0D5085C8" w14:textId="22889150" w:rsidR="00FE28EA" w:rsidRPr="00731FE2" w:rsidRDefault="00343545" w:rsidP="00E860A5">
            <w:pPr>
              <w:spacing w:line="240" w:lineRule="auto"/>
              <w:ind w:firstLine="0"/>
              <w:jc w:val="center"/>
              <w:rPr>
                <w:rFonts w:ascii="Times New Roman" w:eastAsia="Times New Roman" w:hAnsi="Times New Roman" w:cs="Times New Roman"/>
                <w:sz w:val="22"/>
                <w:lang w:eastAsia="ru-RU"/>
              </w:rPr>
            </w:pPr>
            <w:r w:rsidRPr="00731FE2">
              <w:rPr>
                <w:rFonts w:ascii="Times New Roman" w:hAnsi="Times New Roman" w:cs="Times New Roman"/>
                <w:sz w:val="22"/>
              </w:rPr>
              <w:t>966,88</w:t>
            </w:r>
          </w:p>
        </w:tc>
      </w:tr>
      <w:tr w:rsidR="009D5C8F" w:rsidRPr="00731FE2" w14:paraId="34E22782" w14:textId="77777777" w:rsidTr="00FE28EA">
        <w:trPr>
          <w:trHeight w:val="58"/>
          <w:tblCellSpacing w:w="0" w:type="dxa"/>
        </w:trPr>
        <w:tc>
          <w:tcPr>
            <w:tcW w:w="861" w:type="dxa"/>
            <w:tcBorders>
              <w:top w:val="nil"/>
              <w:left w:val="single" w:sz="8" w:space="0" w:color="000000"/>
              <w:bottom w:val="single" w:sz="8" w:space="0" w:color="000000"/>
              <w:right w:val="single" w:sz="8" w:space="0" w:color="000000"/>
            </w:tcBorders>
            <w:vAlign w:val="center"/>
            <w:hideMark/>
          </w:tcPr>
          <w:p w14:paraId="6F3941E5" w14:textId="2AEC2DC3" w:rsidR="009D5C8F" w:rsidRPr="00731FE2" w:rsidRDefault="009D5C8F" w:rsidP="009D5C8F">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bCs/>
                <w:color w:val="000000"/>
                <w:sz w:val="22"/>
                <w:lang w:eastAsia="ru-RU"/>
              </w:rPr>
              <w:t>1.</w:t>
            </w:r>
            <w:r w:rsidR="00B043D3" w:rsidRPr="00731FE2">
              <w:rPr>
                <w:rFonts w:ascii="Times New Roman" w:eastAsia="Times New Roman" w:hAnsi="Times New Roman" w:cs="Times New Roman"/>
                <w:bCs/>
                <w:color w:val="000000"/>
                <w:sz w:val="22"/>
                <w:lang w:eastAsia="ru-RU"/>
              </w:rPr>
              <w:t>3</w:t>
            </w:r>
          </w:p>
        </w:tc>
        <w:tc>
          <w:tcPr>
            <w:tcW w:w="3417" w:type="dxa"/>
            <w:tcBorders>
              <w:top w:val="nil"/>
              <w:left w:val="nil"/>
              <w:bottom w:val="single" w:sz="8" w:space="0" w:color="000000"/>
              <w:right w:val="single" w:sz="8" w:space="0" w:color="000000"/>
            </w:tcBorders>
            <w:vAlign w:val="center"/>
            <w:hideMark/>
          </w:tcPr>
          <w:p w14:paraId="02A1D526" w14:textId="77777777" w:rsidR="009D5C8F" w:rsidRPr="00731FE2" w:rsidRDefault="009D5C8F" w:rsidP="009D5C8F">
            <w:pPr>
              <w:spacing w:line="240" w:lineRule="auto"/>
              <w:ind w:firstLine="0"/>
              <w:rPr>
                <w:rFonts w:ascii="Times New Roman" w:eastAsia="Times New Roman" w:hAnsi="Times New Roman" w:cs="Times New Roman"/>
                <w:sz w:val="22"/>
                <w:lang w:eastAsia="ru-RU"/>
              </w:rPr>
            </w:pPr>
            <w:r w:rsidRPr="00731FE2">
              <w:rPr>
                <w:rFonts w:ascii="Times New Roman" w:eastAsia="Times New Roman" w:hAnsi="Times New Roman" w:cs="Times New Roman"/>
                <w:bCs/>
                <w:color w:val="000000"/>
                <w:sz w:val="22"/>
                <w:lang w:eastAsia="ru-RU"/>
              </w:rPr>
              <w:t>Общая площадь земель населенных пунктов</w:t>
            </w:r>
          </w:p>
        </w:tc>
        <w:tc>
          <w:tcPr>
            <w:tcW w:w="1525" w:type="dxa"/>
            <w:tcBorders>
              <w:top w:val="nil"/>
              <w:left w:val="nil"/>
              <w:bottom w:val="single" w:sz="8" w:space="0" w:color="000000"/>
              <w:right w:val="single" w:sz="8" w:space="0" w:color="000000"/>
            </w:tcBorders>
            <w:vAlign w:val="center"/>
            <w:hideMark/>
          </w:tcPr>
          <w:p w14:paraId="157AB619" w14:textId="77777777" w:rsidR="009D5C8F" w:rsidRPr="00731FE2" w:rsidRDefault="009D5C8F" w:rsidP="009D5C8F">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га</w:t>
            </w:r>
          </w:p>
        </w:tc>
        <w:tc>
          <w:tcPr>
            <w:tcW w:w="1766" w:type="dxa"/>
            <w:tcBorders>
              <w:top w:val="nil"/>
              <w:left w:val="nil"/>
              <w:bottom w:val="single" w:sz="8" w:space="0" w:color="000000"/>
              <w:right w:val="single" w:sz="8" w:space="0" w:color="000000"/>
            </w:tcBorders>
            <w:vAlign w:val="center"/>
            <w:hideMark/>
          </w:tcPr>
          <w:p w14:paraId="1FA8A5C4" w14:textId="074B1F01" w:rsidR="009D5C8F" w:rsidRPr="00731FE2" w:rsidRDefault="009D5C8F" w:rsidP="009D5C8F">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sz w:val="22"/>
                <w:lang w:eastAsia="ru-RU"/>
              </w:rPr>
              <w:t>15 969,68</w:t>
            </w:r>
          </w:p>
        </w:tc>
        <w:tc>
          <w:tcPr>
            <w:tcW w:w="1766" w:type="dxa"/>
            <w:tcBorders>
              <w:top w:val="nil"/>
              <w:left w:val="nil"/>
              <w:bottom w:val="single" w:sz="8" w:space="0" w:color="000000"/>
              <w:right w:val="single" w:sz="8" w:space="0" w:color="000000"/>
            </w:tcBorders>
            <w:vAlign w:val="center"/>
            <w:hideMark/>
          </w:tcPr>
          <w:p w14:paraId="23EC2207" w14:textId="25CFCE18" w:rsidR="009D5C8F" w:rsidRPr="00731FE2" w:rsidRDefault="009D5C8F" w:rsidP="009D5C8F">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sz w:val="22"/>
                <w:lang w:eastAsia="ru-RU"/>
              </w:rPr>
              <w:t>15 969,68</w:t>
            </w:r>
          </w:p>
        </w:tc>
      </w:tr>
      <w:tr w:rsidR="00FE28EA" w:rsidRPr="00731FE2" w14:paraId="163BD58B" w14:textId="77777777" w:rsidTr="00FE28EA">
        <w:trPr>
          <w:trHeight w:val="58"/>
          <w:tblCellSpacing w:w="0" w:type="dxa"/>
        </w:trPr>
        <w:tc>
          <w:tcPr>
            <w:tcW w:w="861" w:type="dxa"/>
            <w:tcBorders>
              <w:top w:val="nil"/>
              <w:left w:val="single" w:sz="8" w:space="0" w:color="000000"/>
              <w:bottom w:val="single" w:sz="8" w:space="0" w:color="000000"/>
              <w:right w:val="single" w:sz="8" w:space="0" w:color="000000"/>
            </w:tcBorders>
            <w:vAlign w:val="center"/>
            <w:hideMark/>
          </w:tcPr>
          <w:p w14:paraId="63126C35" w14:textId="5BC3C3E2" w:rsidR="00FE28EA" w:rsidRPr="00731FE2" w:rsidRDefault="00FE28EA" w:rsidP="00FE28EA">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bCs/>
                <w:color w:val="000000"/>
                <w:sz w:val="22"/>
                <w:lang w:eastAsia="ru-RU"/>
              </w:rPr>
              <w:t>1.</w:t>
            </w:r>
            <w:r w:rsidR="00B043D3" w:rsidRPr="00731FE2">
              <w:rPr>
                <w:rFonts w:ascii="Times New Roman" w:eastAsia="Times New Roman" w:hAnsi="Times New Roman" w:cs="Times New Roman"/>
                <w:bCs/>
                <w:color w:val="000000"/>
                <w:sz w:val="22"/>
                <w:lang w:eastAsia="ru-RU"/>
              </w:rPr>
              <w:t>4</w:t>
            </w:r>
          </w:p>
        </w:tc>
        <w:tc>
          <w:tcPr>
            <w:tcW w:w="3417" w:type="dxa"/>
            <w:tcBorders>
              <w:top w:val="nil"/>
              <w:left w:val="nil"/>
              <w:bottom w:val="single" w:sz="8" w:space="0" w:color="000000"/>
              <w:right w:val="single" w:sz="8" w:space="0" w:color="000000"/>
            </w:tcBorders>
            <w:vAlign w:val="center"/>
            <w:hideMark/>
          </w:tcPr>
          <w:p w14:paraId="54CE201E" w14:textId="77777777" w:rsidR="00FE28EA" w:rsidRPr="00731FE2" w:rsidRDefault="00FE28EA" w:rsidP="00FE28EA">
            <w:pPr>
              <w:spacing w:line="240" w:lineRule="auto"/>
              <w:ind w:firstLine="0"/>
              <w:rPr>
                <w:rFonts w:ascii="Times New Roman" w:eastAsia="Times New Roman" w:hAnsi="Times New Roman" w:cs="Times New Roman"/>
                <w:sz w:val="22"/>
                <w:lang w:eastAsia="ru-RU"/>
              </w:rPr>
            </w:pPr>
            <w:r w:rsidRPr="00731FE2">
              <w:rPr>
                <w:rFonts w:ascii="Times New Roman" w:eastAsia="Times New Roman" w:hAnsi="Times New Roman" w:cs="Times New Roman"/>
                <w:bCs/>
                <w:color w:val="000000"/>
                <w:sz w:val="22"/>
                <w:lang w:eastAsia="ru-RU"/>
              </w:rPr>
              <w:t xml:space="preserve">Общая площадь функциональных зон (в границах населённых пунктов), </w:t>
            </w:r>
            <w:r w:rsidRPr="00731FE2">
              <w:rPr>
                <w:rFonts w:ascii="Times New Roman" w:eastAsia="Times New Roman" w:hAnsi="Times New Roman" w:cs="Times New Roman"/>
                <w:color w:val="000000"/>
                <w:sz w:val="22"/>
                <w:lang w:eastAsia="ru-RU"/>
              </w:rPr>
              <w:t>в том числе:</w:t>
            </w:r>
          </w:p>
        </w:tc>
        <w:tc>
          <w:tcPr>
            <w:tcW w:w="1525" w:type="dxa"/>
            <w:tcBorders>
              <w:top w:val="nil"/>
              <w:left w:val="nil"/>
              <w:bottom w:val="single" w:sz="8" w:space="0" w:color="000000"/>
              <w:right w:val="single" w:sz="8" w:space="0" w:color="000000"/>
            </w:tcBorders>
            <w:vAlign w:val="center"/>
            <w:hideMark/>
          </w:tcPr>
          <w:p w14:paraId="02B30A33" w14:textId="77777777" w:rsidR="00FE28EA" w:rsidRPr="00731FE2" w:rsidRDefault="00FE28EA" w:rsidP="00FE28EA">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bCs/>
                <w:color w:val="000000"/>
                <w:sz w:val="22"/>
                <w:lang w:eastAsia="ru-RU"/>
              </w:rPr>
              <w:t>га</w:t>
            </w:r>
          </w:p>
        </w:tc>
        <w:tc>
          <w:tcPr>
            <w:tcW w:w="1766" w:type="dxa"/>
            <w:tcBorders>
              <w:top w:val="nil"/>
              <w:left w:val="nil"/>
              <w:bottom w:val="single" w:sz="8" w:space="0" w:color="000000"/>
              <w:right w:val="single" w:sz="8" w:space="0" w:color="000000"/>
            </w:tcBorders>
            <w:vAlign w:val="center"/>
            <w:hideMark/>
          </w:tcPr>
          <w:p w14:paraId="299AFE33" w14:textId="5545E77B" w:rsidR="009D5C8F" w:rsidRPr="00731FE2" w:rsidRDefault="009D5C8F" w:rsidP="00E860A5">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sz w:val="22"/>
                <w:lang w:eastAsia="ru-RU"/>
              </w:rPr>
              <w:t>15 969,68</w:t>
            </w:r>
          </w:p>
        </w:tc>
        <w:tc>
          <w:tcPr>
            <w:tcW w:w="1766" w:type="dxa"/>
            <w:tcBorders>
              <w:top w:val="nil"/>
              <w:left w:val="nil"/>
              <w:bottom w:val="single" w:sz="8" w:space="0" w:color="000000"/>
              <w:right w:val="single" w:sz="8" w:space="0" w:color="000000"/>
            </w:tcBorders>
            <w:vAlign w:val="center"/>
            <w:hideMark/>
          </w:tcPr>
          <w:p w14:paraId="3A16C2CC" w14:textId="135086C8" w:rsidR="009D5C8F" w:rsidRPr="00731FE2" w:rsidRDefault="009D5C8F" w:rsidP="00E860A5">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sz w:val="22"/>
                <w:lang w:eastAsia="ru-RU"/>
              </w:rPr>
              <w:t>15 969,68</w:t>
            </w:r>
          </w:p>
        </w:tc>
      </w:tr>
      <w:tr w:rsidR="00FE28EA" w:rsidRPr="00731FE2" w14:paraId="7CB0E99C" w14:textId="77777777" w:rsidTr="00D154A0">
        <w:trPr>
          <w:trHeight w:val="58"/>
          <w:tblCellSpacing w:w="0" w:type="dxa"/>
        </w:trPr>
        <w:tc>
          <w:tcPr>
            <w:tcW w:w="9335" w:type="dxa"/>
            <w:gridSpan w:val="5"/>
            <w:tcBorders>
              <w:top w:val="nil"/>
              <w:left w:val="single" w:sz="8" w:space="0" w:color="000000"/>
              <w:bottom w:val="single" w:sz="8" w:space="0" w:color="000000"/>
              <w:right w:val="single" w:sz="8" w:space="0" w:color="000000"/>
            </w:tcBorders>
            <w:vAlign w:val="center"/>
            <w:hideMark/>
          </w:tcPr>
          <w:p w14:paraId="107BE946" w14:textId="77777777" w:rsidR="00FE28EA" w:rsidRPr="00731FE2" w:rsidRDefault="00FE28EA" w:rsidP="00E860A5">
            <w:pPr>
              <w:spacing w:line="240" w:lineRule="auto"/>
              <w:ind w:firstLine="0"/>
              <w:jc w:val="center"/>
              <w:rPr>
                <w:rFonts w:ascii="Times New Roman" w:eastAsia="Times New Roman" w:hAnsi="Times New Roman" w:cs="Times New Roman"/>
                <w:sz w:val="22"/>
                <w:lang w:eastAsia="ru-RU"/>
              </w:rPr>
            </w:pPr>
            <w:bookmarkStart w:id="107" w:name="_Hlk165920389"/>
            <w:r w:rsidRPr="00731FE2">
              <w:rPr>
                <w:rFonts w:ascii="Times New Roman" w:eastAsia="Times New Roman" w:hAnsi="Times New Roman" w:cs="Times New Roman"/>
                <w:b/>
                <w:bCs/>
                <w:color w:val="000000"/>
                <w:sz w:val="22"/>
                <w:lang w:eastAsia="ru-RU"/>
              </w:rPr>
              <w:t>г-к Кисловодск</w:t>
            </w:r>
          </w:p>
        </w:tc>
      </w:tr>
      <w:tr w:rsidR="002C05AF" w:rsidRPr="00731FE2" w14:paraId="01618BC5" w14:textId="77777777" w:rsidTr="00FE28EA">
        <w:trPr>
          <w:trHeight w:val="58"/>
          <w:tblCellSpacing w:w="0" w:type="dxa"/>
        </w:trPr>
        <w:tc>
          <w:tcPr>
            <w:tcW w:w="861" w:type="dxa"/>
            <w:vMerge w:val="restart"/>
            <w:tcBorders>
              <w:top w:val="nil"/>
              <w:left w:val="single" w:sz="8" w:space="0" w:color="000000"/>
              <w:bottom w:val="single" w:sz="8" w:space="0" w:color="000000"/>
              <w:right w:val="single" w:sz="8" w:space="0" w:color="000000"/>
            </w:tcBorders>
            <w:vAlign w:val="center"/>
            <w:hideMark/>
          </w:tcPr>
          <w:p w14:paraId="29FEF4F1" w14:textId="7AED45FF" w:rsidR="002C05AF" w:rsidRPr="00731FE2" w:rsidRDefault="002C05AF" w:rsidP="002C05AF">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b/>
                <w:bCs/>
                <w:color w:val="000000"/>
                <w:sz w:val="22"/>
                <w:lang w:eastAsia="ru-RU"/>
              </w:rPr>
              <w:t>1.</w:t>
            </w:r>
            <w:r w:rsidR="00B043D3" w:rsidRPr="00731FE2">
              <w:rPr>
                <w:rFonts w:ascii="Times New Roman" w:eastAsia="Times New Roman" w:hAnsi="Times New Roman" w:cs="Times New Roman"/>
                <w:b/>
                <w:bCs/>
                <w:color w:val="000000"/>
                <w:sz w:val="22"/>
                <w:lang w:eastAsia="ru-RU"/>
              </w:rPr>
              <w:t>5</w:t>
            </w:r>
          </w:p>
        </w:tc>
        <w:tc>
          <w:tcPr>
            <w:tcW w:w="3417" w:type="dxa"/>
            <w:tcBorders>
              <w:top w:val="nil"/>
              <w:left w:val="nil"/>
              <w:bottom w:val="single" w:sz="8" w:space="0" w:color="000000"/>
              <w:right w:val="single" w:sz="8" w:space="0" w:color="000000"/>
            </w:tcBorders>
            <w:vAlign w:val="center"/>
            <w:hideMark/>
          </w:tcPr>
          <w:p w14:paraId="3507915A" w14:textId="77777777" w:rsidR="002C05AF" w:rsidRPr="00731FE2" w:rsidRDefault="002C05AF" w:rsidP="002C05AF">
            <w:pPr>
              <w:spacing w:line="240" w:lineRule="auto"/>
              <w:ind w:firstLine="0"/>
              <w:rPr>
                <w:rFonts w:ascii="Times New Roman" w:eastAsia="Times New Roman" w:hAnsi="Times New Roman" w:cs="Times New Roman"/>
                <w:sz w:val="22"/>
                <w:lang w:eastAsia="ru-RU"/>
              </w:rPr>
            </w:pPr>
            <w:r w:rsidRPr="00731FE2">
              <w:rPr>
                <w:rFonts w:ascii="Times New Roman" w:eastAsia="Times New Roman" w:hAnsi="Times New Roman" w:cs="Times New Roman"/>
                <w:b/>
                <w:bCs/>
                <w:color w:val="000000"/>
                <w:sz w:val="22"/>
                <w:lang w:eastAsia="ru-RU"/>
              </w:rPr>
              <w:t>Общая площадь земель населенных пунктов</w:t>
            </w:r>
          </w:p>
        </w:tc>
        <w:tc>
          <w:tcPr>
            <w:tcW w:w="1525" w:type="dxa"/>
            <w:tcBorders>
              <w:top w:val="nil"/>
              <w:left w:val="nil"/>
              <w:bottom w:val="single" w:sz="8" w:space="0" w:color="000000"/>
              <w:right w:val="single" w:sz="8" w:space="0" w:color="000000"/>
            </w:tcBorders>
            <w:vAlign w:val="center"/>
            <w:hideMark/>
          </w:tcPr>
          <w:p w14:paraId="7E5FEE53" w14:textId="77777777" w:rsidR="002C05AF" w:rsidRPr="00731FE2" w:rsidRDefault="002C05AF" w:rsidP="002C05AF">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b/>
                <w:bCs/>
                <w:color w:val="000000"/>
                <w:sz w:val="22"/>
                <w:lang w:eastAsia="ru-RU"/>
              </w:rPr>
              <w:t>га</w:t>
            </w:r>
          </w:p>
        </w:tc>
        <w:tc>
          <w:tcPr>
            <w:tcW w:w="1766" w:type="dxa"/>
            <w:tcBorders>
              <w:top w:val="nil"/>
              <w:left w:val="nil"/>
              <w:bottom w:val="single" w:sz="8" w:space="0" w:color="000000"/>
              <w:right w:val="single" w:sz="8" w:space="0" w:color="000000"/>
            </w:tcBorders>
            <w:vAlign w:val="center"/>
            <w:hideMark/>
          </w:tcPr>
          <w:p w14:paraId="4146F50A" w14:textId="67071B1B" w:rsidR="009D5C8F" w:rsidRPr="00731FE2" w:rsidRDefault="009D5C8F" w:rsidP="002C05AF">
            <w:pPr>
              <w:spacing w:line="240" w:lineRule="auto"/>
              <w:ind w:firstLine="0"/>
              <w:jc w:val="center"/>
              <w:rPr>
                <w:rFonts w:ascii="Times New Roman" w:eastAsia="Times New Roman" w:hAnsi="Times New Roman" w:cs="Times New Roman"/>
                <w:b/>
                <w:bCs/>
                <w:sz w:val="22"/>
                <w:lang w:eastAsia="ru-RU"/>
              </w:rPr>
            </w:pPr>
            <w:r w:rsidRPr="00731FE2">
              <w:rPr>
                <w:rFonts w:ascii="Times New Roman" w:eastAsia="Times New Roman" w:hAnsi="Times New Roman" w:cs="Times New Roman"/>
                <w:b/>
                <w:bCs/>
                <w:sz w:val="22"/>
                <w:lang w:eastAsia="ru-RU"/>
              </w:rPr>
              <w:t>15 367,35</w:t>
            </w:r>
          </w:p>
        </w:tc>
        <w:tc>
          <w:tcPr>
            <w:tcW w:w="1766" w:type="dxa"/>
            <w:tcBorders>
              <w:top w:val="nil"/>
              <w:left w:val="nil"/>
              <w:bottom w:val="single" w:sz="8" w:space="0" w:color="000000"/>
              <w:right w:val="single" w:sz="8" w:space="0" w:color="000000"/>
            </w:tcBorders>
            <w:vAlign w:val="center"/>
            <w:hideMark/>
          </w:tcPr>
          <w:p w14:paraId="5A336975" w14:textId="1C748612" w:rsidR="009D5C8F" w:rsidRPr="00731FE2" w:rsidRDefault="009D5C8F" w:rsidP="002C05AF">
            <w:pPr>
              <w:spacing w:line="240" w:lineRule="auto"/>
              <w:ind w:firstLine="0"/>
              <w:jc w:val="center"/>
              <w:rPr>
                <w:rFonts w:ascii="Times New Roman" w:eastAsia="Times New Roman" w:hAnsi="Times New Roman" w:cs="Times New Roman"/>
                <w:b/>
                <w:bCs/>
                <w:sz w:val="22"/>
                <w:lang w:eastAsia="ru-RU"/>
              </w:rPr>
            </w:pPr>
            <w:r w:rsidRPr="00731FE2">
              <w:rPr>
                <w:rFonts w:ascii="Times New Roman" w:eastAsia="Times New Roman" w:hAnsi="Times New Roman" w:cs="Times New Roman"/>
                <w:b/>
                <w:bCs/>
                <w:sz w:val="22"/>
                <w:lang w:eastAsia="ru-RU"/>
              </w:rPr>
              <w:t>15 349,51</w:t>
            </w:r>
          </w:p>
        </w:tc>
      </w:tr>
      <w:tr w:rsidR="002C05AF" w:rsidRPr="00731FE2" w14:paraId="15149004" w14:textId="77777777" w:rsidTr="00FE28EA">
        <w:trPr>
          <w:trHeight w:val="58"/>
          <w:tblCellSpacing w:w="0" w:type="dxa"/>
        </w:trPr>
        <w:tc>
          <w:tcPr>
            <w:tcW w:w="0" w:type="auto"/>
            <w:vMerge/>
            <w:tcBorders>
              <w:top w:val="nil"/>
              <w:left w:val="single" w:sz="8" w:space="0" w:color="000000"/>
              <w:bottom w:val="single" w:sz="8" w:space="0" w:color="000000"/>
              <w:right w:val="single" w:sz="8" w:space="0" w:color="000000"/>
            </w:tcBorders>
            <w:vAlign w:val="center"/>
            <w:hideMark/>
          </w:tcPr>
          <w:p w14:paraId="163BA503" w14:textId="77777777" w:rsidR="002C05AF" w:rsidRPr="00731FE2" w:rsidRDefault="002C05AF" w:rsidP="002C05AF">
            <w:pPr>
              <w:spacing w:line="240" w:lineRule="auto"/>
              <w:ind w:firstLine="0"/>
              <w:jc w:val="left"/>
              <w:rPr>
                <w:rFonts w:ascii="Times New Roman" w:eastAsia="Times New Roman" w:hAnsi="Times New Roman" w:cs="Times New Roman"/>
                <w:sz w:val="22"/>
                <w:lang w:eastAsia="ru-RU"/>
              </w:rPr>
            </w:pPr>
          </w:p>
        </w:tc>
        <w:tc>
          <w:tcPr>
            <w:tcW w:w="3417" w:type="dxa"/>
            <w:tcBorders>
              <w:top w:val="nil"/>
              <w:left w:val="nil"/>
              <w:bottom w:val="single" w:sz="8" w:space="0" w:color="000000"/>
              <w:right w:val="single" w:sz="8" w:space="0" w:color="000000"/>
            </w:tcBorders>
            <w:vAlign w:val="center"/>
            <w:hideMark/>
          </w:tcPr>
          <w:p w14:paraId="09363086" w14:textId="77777777" w:rsidR="002C05AF" w:rsidRPr="00731FE2" w:rsidRDefault="002C05AF" w:rsidP="002C05AF">
            <w:pPr>
              <w:spacing w:line="240" w:lineRule="auto"/>
              <w:ind w:firstLine="0"/>
              <w:rPr>
                <w:rFonts w:ascii="Times New Roman" w:eastAsia="Times New Roman" w:hAnsi="Times New Roman" w:cs="Times New Roman"/>
                <w:sz w:val="22"/>
                <w:lang w:eastAsia="ru-RU"/>
              </w:rPr>
            </w:pPr>
            <w:r w:rsidRPr="00731FE2">
              <w:rPr>
                <w:rFonts w:ascii="Times New Roman" w:eastAsia="Times New Roman" w:hAnsi="Times New Roman" w:cs="Times New Roman"/>
                <w:b/>
                <w:bCs/>
                <w:color w:val="000000"/>
                <w:sz w:val="22"/>
                <w:lang w:eastAsia="ru-RU"/>
              </w:rPr>
              <w:t>Общая площадь функциональных зон (в границах г. Кисловодска)</w:t>
            </w:r>
          </w:p>
        </w:tc>
        <w:tc>
          <w:tcPr>
            <w:tcW w:w="1525" w:type="dxa"/>
            <w:tcBorders>
              <w:top w:val="nil"/>
              <w:left w:val="nil"/>
              <w:bottom w:val="single" w:sz="8" w:space="0" w:color="000000"/>
              <w:right w:val="single" w:sz="8" w:space="0" w:color="000000"/>
            </w:tcBorders>
            <w:vAlign w:val="center"/>
            <w:hideMark/>
          </w:tcPr>
          <w:p w14:paraId="7EF027C8" w14:textId="77777777" w:rsidR="002C05AF" w:rsidRPr="00731FE2" w:rsidRDefault="002C05AF" w:rsidP="002C05AF">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b/>
                <w:bCs/>
                <w:color w:val="000000"/>
                <w:sz w:val="22"/>
                <w:lang w:eastAsia="ru-RU"/>
              </w:rPr>
              <w:t>га</w:t>
            </w:r>
          </w:p>
        </w:tc>
        <w:tc>
          <w:tcPr>
            <w:tcW w:w="1766" w:type="dxa"/>
            <w:tcBorders>
              <w:top w:val="nil"/>
              <w:left w:val="nil"/>
              <w:bottom w:val="single" w:sz="8" w:space="0" w:color="000000"/>
              <w:right w:val="single" w:sz="8" w:space="0" w:color="000000"/>
            </w:tcBorders>
            <w:vAlign w:val="center"/>
            <w:hideMark/>
          </w:tcPr>
          <w:p w14:paraId="5E331476" w14:textId="7A752DB0" w:rsidR="002C05AF" w:rsidRPr="00731FE2" w:rsidRDefault="009D5C8F" w:rsidP="009D5C8F">
            <w:pPr>
              <w:spacing w:line="240" w:lineRule="auto"/>
              <w:ind w:firstLine="0"/>
              <w:jc w:val="center"/>
              <w:rPr>
                <w:rFonts w:ascii="Times New Roman" w:hAnsi="Times New Roman" w:cs="Times New Roman"/>
                <w:b/>
                <w:bCs/>
                <w:sz w:val="22"/>
              </w:rPr>
            </w:pPr>
            <w:r w:rsidRPr="00731FE2">
              <w:rPr>
                <w:rFonts w:ascii="Times New Roman" w:eastAsia="Times New Roman" w:hAnsi="Times New Roman" w:cs="Times New Roman"/>
                <w:b/>
                <w:bCs/>
                <w:sz w:val="22"/>
                <w:lang w:eastAsia="ru-RU"/>
              </w:rPr>
              <w:t>15 367,35</w:t>
            </w:r>
          </w:p>
        </w:tc>
        <w:tc>
          <w:tcPr>
            <w:tcW w:w="1766" w:type="dxa"/>
            <w:tcBorders>
              <w:top w:val="nil"/>
              <w:left w:val="nil"/>
              <w:bottom w:val="single" w:sz="8" w:space="0" w:color="000000"/>
              <w:right w:val="single" w:sz="8" w:space="0" w:color="000000"/>
            </w:tcBorders>
            <w:vAlign w:val="center"/>
            <w:hideMark/>
          </w:tcPr>
          <w:p w14:paraId="68A4CB35" w14:textId="216156B9" w:rsidR="002C05AF" w:rsidRPr="00731FE2" w:rsidRDefault="009D5C8F" w:rsidP="009D5C8F">
            <w:pPr>
              <w:spacing w:line="240" w:lineRule="auto"/>
              <w:ind w:firstLine="0"/>
              <w:jc w:val="center"/>
              <w:rPr>
                <w:rFonts w:ascii="Times New Roman" w:eastAsia="Times New Roman" w:hAnsi="Times New Roman" w:cs="Times New Roman"/>
                <w:b/>
                <w:bCs/>
                <w:sz w:val="22"/>
                <w:lang w:eastAsia="ru-RU"/>
              </w:rPr>
            </w:pPr>
            <w:r w:rsidRPr="00731FE2">
              <w:rPr>
                <w:rFonts w:ascii="Times New Roman" w:eastAsia="Times New Roman" w:hAnsi="Times New Roman" w:cs="Times New Roman"/>
                <w:b/>
                <w:bCs/>
                <w:sz w:val="22"/>
                <w:lang w:eastAsia="ru-RU"/>
              </w:rPr>
              <w:t>15 349,51</w:t>
            </w:r>
          </w:p>
        </w:tc>
      </w:tr>
      <w:tr w:rsidR="002C05AF" w:rsidRPr="00731FE2" w14:paraId="44E750CB" w14:textId="77777777" w:rsidTr="00BE59BF">
        <w:trPr>
          <w:trHeight w:val="58"/>
          <w:tblCellSpacing w:w="0" w:type="dxa"/>
        </w:trPr>
        <w:tc>
          <w:tcPr>
            <w:tcW w:w="0" w:type="auto"/>
            <w:vMerge/>
            <w:tcBorders>
              <w:top w:val="nil"/>
              <w:left w:val="single" w:sz="8" w:space="0" w:color="000000"/>
              <w:bottom w:val="single" w:sz="8" w:space="0" w:color="000000"/>
              <w:right w:val="single" w:sz="8" w:space="0" w:color="000000"/>
            </w:tcBorders>
            <w:vAlign w:val="center"/>
            <w:hideMark/>
          </w:tcPr>
          <w:p w14:paraId="50E5A22C" w14:textId="77777777" w:rsidR="002C05AF" w:rsidRPr="00731FE2" w:rsidRDefault="002C05AF" w:rsidP="002C05AF">
            <w:pPr>
              <w:spacing w:line="240" w:lineRule="auto"/>
              <w:ind w:firstLine="0"/>
              <w:jc w:val="left"/>
              <w:rPr>
                <w:rFonts w:ascii="Times New Roman" w:eastAsia="Times New Roman" w:hAnsi="Times New Roman" w:cs="Times New Roman"/>
                <w:sz w:val="22"/>
                <w:lang w:eastAsia="ru-RU"/>
              </w:rPr>
            </w:pPr>
          </w:p>
        </w:tc>
        <w:tc>
          <w:tcPr>
            <w:tcW w:w="3417" w:type="dxa"/>
            <w:tcBorders>
              <w:top w:val="nil"/>
              <w:left w:val="nil"/>
              <w:bottom w:val="single" w:sz="8" w:space="0" w:color="000000"/>
              <w:right w:val="single" w:sz="8" w:space="0" w:color="000000"/>
            </w:tcBorders>
            <w:vAlign w:val="center"/>
            <w:hideMark/>
          </w:tcPr>
          <w:p w14:paraId="148B5F15" w14:textId="77777777" w:rsidR="002C05AF" w:rsidRPr="00731FE2" w:rsidRDefault="002C05AF" w:rsidP="002C05AF">
            <w:pPr>
              <w:spacing w:line="240" w:lineRule="auto"/>
              <w:ind w:firstLine="0"/>
              <w:rPr>
                <w:rFonts w:ascii="Times New Roman" w:eastAsia="Times New Roman" w:hAnsi="Times New Roman" w:cs="Times New Roman"/>
                <w:sz w:val="22"/>
                <w:lang w:eastAsia="ru-RU"/>
              </w:rPr>
            </w:pPr>
            <w:r w:rsidRPr="00731FE2">
              <w:rPr>
                <w:rFonts w:ascii="Times New Roman" w:eastAsia="Times New Roman" w:hAnsi="Times New Roman" w:cs="Times New Roman"/>
                <w:b/>
                <w:bCs/>
                <w:color w:val="000000"/>
                <w:sz w:val="22"/>
                <w:lang w:eastAsia="ru-RU"/>
              </w:rPr>
              <w:t xml:space="preserve">Жилые зоны, </w:t>
            </w:r>
            <w:r w:rsidRPr="00731FE2">
              <w:rPr>
                <w:rFonts w:ascii="Times New Roman" w:eastAsia="Times New Roman" w:hAnsi="Times New Roman" w:cs="Times New Roman"/>
                <w:color w:val="000000"/>
                <w:sz w:val="22"/>
                <w:lang w:eastAsia="ru-RU"/>
              </w:rPr>
              <w:t>в том числе:</w:t>
            </w:r>
          </w:p>
        </w:tc>
        <w:tc>
          <w:tcPr>
            <w:tcW w:w="1525" w:type="dxa"/>
            <w:tcBorders>
              <w:top w:val="nil"/>
              <w:left w:val="nil"/>
              <w:bottom w:val="single" w:sz="8" w:space="0" w:color="000000"/>
              <w:right w:val="single" w:sz="8" w:space="0" w:color="000000"/>
            </w:tcBorders>
            <w:vAlign w:val="center"/>
            <w:hideMark/>
          </w:tcPr>
          <w:p w14:paraId="41CB6E16" w14:textId="77777777" w:rsidR="002C05AF" w:rsidRPr="00731FE2" w:rsidRDefault="002C05AF" w:rsidP="002C05AF">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b/>
                <w:bCs/>
                <w:color w:val="000000"/>
                <w:sz w:val="22"/>
                <w:lang w:eastAsia="ru-RU"/>
              </w:rPr>
              <w:t>га</w:t>
            </w:r>
          </w:p>
        </w:tc>
        <w:tc>
          <w:tcPr>
            <w:tcW w:w="1766" w:type="dxa"/>
            <w:tcBorders>
              <w:top w:val="nil"/>
              <w:left w:val="nil"/>
              <w:bottom w:val="single" w:sz="8" w:space="0" w:color="000000"/>
              <w:right w:val="single" w:sz="8" w:space="0" w:color="000000"/>
            </w:tcBorders>
            <w:vAlign w:val="center"/>
          </w:tcPr>
          <w:p w14:paraId="344B2A71" w14:textId="4D4F1E49" w:rsidR="002C05AF" w:rsidRPr="00731FE2" w:rsidRDefault="002C05AF" w:rsidP="002C05AF">
            <w:pPr>
              <w:spacing w:line="240" w:lineRule="auto"/>
              <w:ind w:firstLine="0"/>
              <w:jc w:val="center"/>
              <w:rPr>
                <w:rFonts w:ascii="Times New Roman" w:eastAsia="Times New Roman" w:hAnsi="Times New Roman" w:cs="Times New Roman"/>
                <w:b/>
                <w:bCs/>
                <w:sz w:val="22"/>
                <w:lang w:eastAsia="ru-RU"/>
              </w:rPr>
            </w:pPr>
            <w:r w:rsidRPr="00731FE2">
              <w:rPr>
                <w:rFonts w:ascii="Times New Roman" w:eastAsia="Times New Roman" w:hAnsi="Times New Roman" w:cs="Times New Roman"/>
                <w:b/>
                <w:bCs/>
                <w:sz w:val="22"/>
                <w:lang w:eastAsia="ru-RU"/>
              </w:rPr>
              <w:t>1663,34</w:t>
            </w:r>
          </w:p>
        </w:tc>
        <w:tc>
          <w:tcPr>
            <w:tcW w:w="1766" w:type="dxa"/>
            <w:tcBorders>
              <w:top w:val="nil"/>
              <w:left w:val="nil"/>
              <w:bottom w:val="single" w:sz="8" w:space="0" w:color="000000"/>
              <w:right w:val="single" w:sz="8" w:space="0" w:color="000000"/>
            </w:tcBorders>
            <w:vAlign w:val="center"/>
          </w:tcPr>
          <w:p w14:paraId="42A812D5" w14:textId="4B82B7D1" w:rsidR="002C05AF" w:rsidRPr="00731FE2" w:rsidRDefault="003F520D" w:rsidP="002C05AF">
            <w:pPr>
              <w:spacing w:line="240" w:lineRule="auto"/>
              <w:ind w:firstLine="0"/>
              <w:jc w:val="center"/>
              <w:rPr>
                <w:rFonts w:ascii="Times New Roman" w:eastAsia="Times New Roman" w:hAnsi="Times New Roman" w:cs="Times New Roman"/>
                <w:b/>
                <w:bCs/>
                <w:sz w:val="22"/>
                <w:lang w:eastAsia="ru-RU"/>
              </w:rPr>
            </w:pPr>
            <w:r w:rsidRPr="00731FE2">
              <w:rPr>
                <w:rFonts w:ascii="Times New Roman" w:eastAsia="Times New Roman" w:hAnsi="Times New Roman" w:cs="Times New Roman"/>
                <w:b/>
                <w:bCs/>
                <w:sz w:val="22"/>
                <w:lang w:eastAsia="ru-RU"/>
              </w:rPr>
              <w:t>1648,88</w:t>
            </w:r>
          </w:p>
        </w:tc>
      </w:tr>
      <w:tr w:rsidR="002C05AF" w:rsidRPr="00731FE2" w14:paraId="2C721241" w14:textId="77777777" w:rsidTr="00BE59BF">
        <w:trPr>
          <w:trHeight w:val="58"/>
          <w:tblCellSpacing w:w="0" w:type="dxa"/>
        </w:trPr>
        <w:tc>
          <w:tcPr>
            <w:tcW w:w="0" w:type="auto"/>
            <w:vMerge/>
            <w:tcBorders>
              <w:top w:val="nil"/>
              <w:left w:val="single" w:sz="8" w:space="0" w:color="000000"/>
              <w:bottom w:val="single" w:sz="8" w:space="0" w:color="000000"/>
              <w:right w:val="single" w:sz="8" w:space="0" w:color="000000"/>
            </w:tcBorders>
            <w:vAlign w:val="center"/>
            <w:hideMark/>
          </w:tcPr>
          <w:p w14:paraId="7913464C" w14:textId="77777777" w:rsidR="002C05AF" w:rsidRPr="00731FE2" w:rsidRDefault="002C05AF" w:rsidP="002C05AF">
            <w:pPr>
              <w:spacing w:line="240" w:lineRule="auto"/>
              <w:ind w:firstLine="0"/>
              <w:jc w:val="left"/>
              <w:rPr>
                <w:rFonts w:ascii="Times New Roman" w:eastAsia="Times New Roman" w:hAnsi="Times New Roman" w:cs="Times New Roman"/>
                <w:sz w:val="22"/>
                <w:lang w:eastAsia="ru-RU"/>
              </w:rPr>
            </w:pPr>
          </w:p>
        </w:tc>
        <w:tc>
          <w:tcPr>
            <w:tcW w:w="3417" w:type="dxa"/>
            <w:tcBorders>
              <w:top w:val="nil"/>
              <w:left w:val="nil"/>
              <w:bottom w:val="single" w:sz="8" w:space="0" w:color="000000"/>
              <w:right w:val="single" w:sz="8" w:space="0" w:color="000000"/>
            </w:tcBorders>
            <w:vAlign w:val="center"/>
            <w:hideMark/>
          </w:tcPr>
          <w:p w14:paraId="737CC78B" w14:textId="77777777" w:rsidR="002C05AF" w:rsidRPr="00731FE2" w:rsidRDefault="002C05AF" w:rsidP="002C05AF">
            <w:pPr>
              <w:spacing w:line="240" w:lineRule="auto"/>
              <w:ind w:firstLine="0"/>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Зона застройки индивидуальными жилыми домами</w:t>
            </w:r>
          </w:p>
        </w:tc>
        <w:tc>
          <w:tcPr>
            <w:tcW w:w="1525" w:type="dxa"/>
            <w:tcBorders>
              <w:top w:val="nil"/>
              <w:left w:val="nil"/>
              <w:bottom w:val="single" w:sz="8" w:space="0" w:color="000000"/>
              <w:right w:val="single" w:sz="8" w:space="0" w:color="000000"/>
            </w:tcBorders>
            <w:vAlign w:val="center"/>
            <w:hideMark/>
          </w:tcPr>
          <w:p w14:paraId="15001C1B" w14:textId="77777777" w:rsidR="002C05AF" w:rsidRPr="00731FE2" w:rsidRDefault="002C05AF" w:rsidP="002C05AF">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га</w:t>
            </w:r>
          </w:p>
        </w:tc>
        <w:tc>
          <w:tcPr>
            <w:tcW w:w="1766" w:type="dxa"/>
            <w:tcBorders>
              <w:top w:val="nil"/>
              <w:left w:val="nil"/>
              <w:bottom w:val="single" w:sz="8" w:space="0" w:color="000000"/>
              <w:right w:val="single" w:sz="8" w:space="0" w:color="000000"/>
            </w:tcBorders>
            <w:vAlign w:val="center"/>
          </w:tcPr>
          <w:p w14:paraId="4042EDFB" w14:textId="78F40B9C" w:rsidR="002C05AF" w:rsidRPr="00731FE2" w:rsidRDefault="002C05AF" w:rsidP="002C05AF">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sz w:val="22"/>
                <w:lang w:eastAsia="ru-RU"/>
              </w:rPr>
              <w:t>1235,72</w:t>
            </w:r>
          </w:p>
        </w:tc>
        <w:tc>
          <w:tcPr>
            <w:tcW w:w="1766" w:type="dxa"/>
            <w:tcBorders>
              <w:top w:val="nil"/>
              <w:left w:val="nil"/>
              <w:bottom w:val="single" w:sz="8" w:space="0" w:color="000000"/>
              <w:right w:val="single" w:sz="8" w:space="0" w:color="000000"/>
            </w:tcBorders>
            <w:vAlign w:val="center"/>
          </w:tcPr>
          <w:p w14:paraId="62B09C89" w14:textId="0F6020D2" w:rsidR="002C05AF" w:rsidRPr="00731FE2" w:rsidRDefault="003F520D" w:rsidP="002C05AF">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sz w:val="22"/>
                <w:lang w:eastAsia="ru-RU"/>
              </w:rPr>
              <w:t>1 237,32</w:t>
            </w:r>
          </w:p>
        </w:tc>
      </w:tr>
      <w:tr w:rsidR="002C05AF" w:rsidRPr="00731FE2" w14:paraId="5F17A60E" w14:textId="77777777" w:rsidTr="00BE59BF">
        <w:trPr>
          <w:trHeight w:val="58"/>
          <w:tblCellSpacing w:w="0" w:type="dxa"/>
        </w:trPr>
        <w:tc>
          <w:tcPr>
            <w:tcW w:w="0" w:type="auto"/>
            <w:vMerge/>
            <w:tcBorders>
              <w:top w:val="nil"/>
              <w:left w:val="single" w:sz="8" w:space="0" w:color="000000"/>
              <w:bottom w:val="single" w:sz="8" w:space="0" w:color="000000"/>
              <w:right w:val="single" w:sz="8" w:space="0" w:color="000000"/>
            </w:tcBorders>
            <w:vAlign w:val="center"/>
            <w:hideMark/>
          </w:tcPr>
          <w:p w14:paraId="2F332354" w14:textId="77777777" w:rsidR="002C05AF" w:rsidRPr="00731FE2" w:rsidRDefault="002C05AF" w:rsidP="002C05AF">
            <w:pPr>
              <w:spacing w:line="240" w:lineRule="auto"/>
              <w:ind w:firstLine="0"/>
              <w:jc w:val="left"/>
              <w:rPr>
                <w:rFonts w:ascii="Times New Roman" w:eastAsia="Times New Roman" w:hAnsi="Times New Roman" w:cs="Times New Roman"/>
                <w:sz w:val="22"/>
                <w:lang w:eastAsia="ru-RU"/>
              </w:rPr>
            </w:pPr>
          </w:p>
        </w:tc>
        <w:tc>
          <w:tcPr>
            <w:tcW w:w="3417" w:type="dxa"/>
            <w:tcBorders>
              <w:top w:val="nil"/>
              <w:left w:val="nil"/>
              <w:bottom w:val="single" w:sz="8" w:space="0" w:color="000000"/>
              <w:right w:val="single" w:sz="8" w:space="0" w:color="000000"/>
            </w:tcBorders>
            <w:vAlign w:val="center"/>
            <w:hideMark/>
          </w:tcPr>
          <w:p w14:paraId="57DF0D94" w14:textId="77777777" w:rsidR="002C05AF" w:rsidRPr="00731FE2" w:rsidRDefault="002C05AF" w:rsidP="002C05AF">
            <w:pPr>
              <w:spacing w:line="240" w:lineRule="auto"/>
              <w:ind w:firstLine="0"/>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Зона застройки малоэтажными жилыми домами (до 4 этажей, включая мансардный)</w:t>
            </w:r>
          </w:p>
        </w:tc>
        <w:tc>
          <w:tcPr>
            <w:tcW w:w="1525" w:type="dxa"/>
            <w:tcBorders>
              <w:top w:val="nil"/>
              <w:left w:val="nil"/>
              <w:bottom w:val="single" w:sz="8" w:space="0" w:color="000000"/>
              <w:right w:val="single" w:sz="8" w:space="0" w:color="000000"/>
            </w:tcBorders>
            <w:vAlign w:val="center"/>
            <w:hideMark/>
          </w:tcPr>
          <w:p w14:paraId="2318CC38" w14:textId="77777777" w:rsidR="002C05AF" w:rsidRPr="00731FE2" w:rsidRDefault="002C05AF" w:rsidP="002C05AF">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га</w:t>
            </w:r>
          </w:p>
        </w:tc>
        <w:tc>
          <w:tcPr>
            <w:tcW w:w="1766" w:type="dxa"/>
            <w:tcBorders>
              <w:top w:val="nil"/>
              <w:left w:val="nil"/>
              <w:bottom w:val="single" w:sz="8" w:space="0" w:color="000000"/>
              <w:right w:val="single" w:sz="8" w:space="0" w:color="000000"/>
            </w:tcBorders>
            <w:vAlign w:val="center"/>
          </w:tcPr>
          <w:p w14:paraId="095F57F0" w14:textId="330E0C67" w:rsidR="002C05AF" w:rsidRPr="00731FE2" w:rsidRDefault="002C05AF" w:rsidP="002C05AF">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sz w:val="22"/>
                <w:lang w:eastAsia="ru-RU"/>
              </w:rPr>
              <w:t>160,21</w:t>
            </w:r>
          </w:p>
        </w:tc>
        <w:tc>
          <w:tcPr>
            <w:tcW w:w="1766" w:type="dxa"/>
            <w:tcBorders>
              <w:top w:val="nil"/>
              <w:left w:val="nil"/>
              <w:bottom w:val="single" w:sz="8" w:space="0" w:color="000000"/>
              <w:right w:val="single" w:sz="8" w:space="0" w:color="000000"/>
            </w:tcBorders>
            <w:vAlign w:val="center"/>
          </w:tcPr>
          <w:p w14:paraId="29BD52A1" w14:textId="2D88DF3B" w:rsidR="002C05AF" w:rsidRPr="00731FE2" w:rsidRDefault="003F520D" w:rsidP="002C05AF">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sz w:val="22"/>
                <w:lang w:eastAsia="ru-RU"/>
              </w:rPr>
              <w:t>132,8</w:t>
            </w:r>
          </w:p>
        </w:tc>
      </w:tr>
      <w:tr w:rsidR="002C05AF" w:rsidRPr="00731FE2" w14:paraId="778E3632" w14:textId="77777777" w:rsidTr="00BE59BF">
        <w:trPr>
          <w:trHeight w:val="58"/>
          <w:tblCellSpacing w:w="0" w:type="dxa"/>
        </w:trPr>
        <w:tc>
          <w:tcPr>
            <w:tcW w:w="0" w:type="auto"/>
            <w:vMerge/>
            <w:tcBorders>
              <w:top w:val="nil"/>
              <w:left w:val="single" w:sz="8" w:space="0" w:color="000000"/>
              <w:bottom w:val="single" w:sz="8" w:space="0" w:color="000000"/>
              <w:right w:val="single" w:sz="8" w:space="0" w:color="000000"/>
            </w:tcBorders>
            <w:vAlign w:val="center"/>
            <w:hideMark/>
          </w:tcPr>
          <w:p w14:paraId="294A5070" w14:textId="77777777" w:rsidR="002C05AF" w:rsidRPr="00731FE2" w:rsidRDefault="002C05AF" w:rsidP="002C05AF">
            <w:pPr>
              <w:spacing w:line="240" w:lineRule="auto"/>
              <w:ind w:firstLine="0"/>
              <w:jc w:val="left"/>
              <w:rPr>
                <w:rFonts w:ascii="Times New Roman" w:eastAsia="Times New Roman" w:hAnsi="Times New Roman" w:cs="Times New Roman"/>
                <w:sz w:val="22"/>
                <w:lang w:eastAsia="ru-RU"/>
              </w:rPr>
            </w:pPr>
          </w:p>
        </w:tc>
        <w:tc>
          <w:tcPr>
            <w:tcW w:w="3417" w:type="dxa"/>
            <w:tcBorders>
              <w:top w:val="nil"/>
              <w:left w:val="nil"/>
              <w:bottom w:val="single" w:sz="8" w:space="0" w:color="000000"/>
              <w:right w:val="single" w:sz="8" w:space="0" w:color="000000"/>
            </w:tcBorders>
            <w:vAlign w:val="center"/>
            <w:hideMark/>
          </w:tcPr>
          <w:p w14:paraId="22FC9B00" w14:textId="77777777" w:rsidR="002C05AF" w:rsidRPr="00731FE2" w:rsidRDefault="002C05AF" w:rsidP="002C05AF">
            <w:pPr>
              <w:spacing w:line="240" w:lineRule="auto"/>
              <w:ind w:firstLine="0"/>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Зона застройки среднеэтажными жилыми домами (от 5 до 8 этажей, включая мансардный)</w:t>
            </w:r>
          </w:p>
        </w:tc>
        <w:tc>
          <w:tcPr>
            <w:tcW w:w="1525" w:type="dxa"/>
            <w:tcBorders>
              <w:top w:val="nil"/>
              <w:left w:val="nil"/>
              <w:bottom w:val="single" w:sz="8" w:space="0" w:color="000000"/>
              <w:right w:val="single" w:sz="8" w:space="0" w:color="000000"/>
            </w:tcBorders>
            <w:vAlign w:val="center"/>
            <w:hideMark/>
          </w:tcPr>
          <w:p w14:paraId="4FD31F53" w14:textId="77777777" w:rsidR="002C05AF" w:rsidRPr="00731FE2" w:rsidRDefault="002C05AF" w:rsidP="002C05AF">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га</w:t>
            </w:r>
          </w:p>
        </w:tc>
        <w:tc>
          <w:tcPr>
            <w:tcW w:w="1766" w:type="dxa"/>
            <w:tcBorders>
              <w:top w:val="nil"/>
              <w:left w:val="nil"/>
              <w:bottom w:val="single" w:sz="8" w:space="0" w:color="000000"/>
              <w:right w:val="single" w:sz="8" w:space="0" w:color="000000"/>
            </w:tcBorders>
            <w:vAlign w:val="center"/>
          </w:tcPr>
          <w:p w14:paraId="71658233" w14:textId="0FE5C8DA" w:rsidR="002C05AF" w:rsidRPr="00731FE2" w:rsidRDefault="002C05AF" w:rsidP="002C05AF">
            <w:pPr>
              <w:spacing w:line="240" w:lineRule="auto"/>
              <w:ind w:firstLine="0"/>
              <w:jc w:val="center"/>
              <w:rPr>
                <w:rFonts w:ascii="Times New Roman" w:eastAsia="Times New Roman" w:hAnsi="Times New Roman" w:cs="Times New Roman"/>
                <w:sz w:val="22"/>
                <w:lang w:val="en-US" w:eastAsia="ru-RU"/>
              </w:rPr>
            </w:pPr>
            <w:r w:rsidRPr="00731FE2">
              <w:rPr>
                <w:rFonts w:ascii="Times New Roman" w:eastAsia="Times New Roman" w:hAnsi="Times New Roman" w:cs="Times New Roman"/>
                <w:sz w:val="22"/>
                <w:lang w:eastAsia="ru-RU"/>
              </w:rPr>
              <w:t>153,34</w:t>
            </w:r>
          </w:p>
        </w:tc>
        <w:tc>
          <w:tcPr>
            <w:tcW w:w="1766" w:type="dxa"/>
            <w:tcBorders>
              <w:top w:val="nil"/>
              <w:left w:val="nil"/>
              <w:bottom w:val="single" w:sz="8" w:space="0" w:color="000000"/>
              <w:right w:val="single" w:sz="8" w:space="0" w:color="000000"/>
            </w:tcBorders>
            <w:vAlign w:val="center"/>
          </w:tcPr>
          <w:p w14:paraId="5E40D091" w14:textId="0BD6A6B4" w:rsidR="002C05AF" w:rsidRPr="00731FE2" w:rsidRDefault="003F520D" w:rsidP="002C05AF">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sz w:val="22"/>
                <w:lang w:eastAsia="ru-RU"/>
              </w:rPr>
              <w:t>167,46</w:t>
            </w:r>
          </w:p>
        </w:tc>
      </w:tr>
      <w:tr w:rsidR="002C05AF" w:rsidRPr="00731FE2" w14:paraId="0356AC55" w14:textId="77777777" w:rsidTr="00BE59BF">
        <w:trPr>
          <w:trHeight w:val="58"/>
          <w:tblCellSpacing w:w="0" w:type="dxa"/>
        </w:trPr>
        <w:tc>
          <w:tcPr>
            <w:tcW w:w="0" w:type="auto"/>
            <w:vMerge/>
            <w:tcBorders>
              <w:top w:val="nil"/>
              <w:left w:val="single" w:sz="8" w:space="0" w:color="000000"/>
              <w:bottom w:val="single" w:sz="8" w:space="0" w:color="000000"/>
              <w:right w:val="single" w:sz="8" w:space="0" w:color="000000"/>
            </w:tcBorders>
            <w:vAlign w:val="center"/>
            <w:hideMark/>
          </w:tcPr>
          <w:p w14:paraId="25C20F1B" w14:textId="77777777" w:rsidR="002C05AF" w:rsidRPr="00731FE2" w:rsidRDefault="002C05AF" w:rsidP="002C05AF">
            <w:pPr>
              <w:spacing w:line="240" w:lineRule="auto"/>
              <w:ind w:firstLine="0"/>
              <w:jc w:val="left"/>
              <w:rPr>
                <w:rFonts w:ascii="Times New Roman" w:eastAsia="Times New Roman" w:hAnsi="Times New Roman" w:cs="Times New Roman"/>
                <w:sz w:val="22"/>
                <w:lang w:eastAsia="ru-RU"/>
              </w:rPr>
            </w:pPr>
          </w:p>
        </w:tc>
        <w:tc>
          <w:tcPr>
            <w:tcW w:w="3417" w:type="dxa"/>
            <w:tcBorders>
              <w:top w:val="nil"/>
              <w:left w:val="nil"/>
              <w:bottom w:val="single" w:sz="8" w:space="0" w:color="000000"/>
              <w:right w:val="single" w:sz="8" w:space="0" w:color="000000"/>
            </w:tcBorders>
            <w:vAlign w:val="center"/>
            <w:hideMark/>
          </w:tcPr>
          <w:p w14:paraId="20CA4ADD" w14:textId="77777777" w:rsidR="002C05AF" w:rsidRPr="00731FE2" w:rsidRDefault="002C05AF" w:rsidP="002C05AF">
            <w:pPr>
              <w:spacing w:line="240" w:lineRule="auto"/>
              <w:ind w:firstLine="0"/>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Зона застройки многоэтажными жилыми домами (9 этажей и более)</w:t>
            </w:r>
          </w:p>
        </w:tc>
        <w:tc>
          <w:tcPr>
            <w:tcW w:w="1525" w:type="dxa"/>
            <w:tcBorders>
              <w:top w:val="nil"/>
              <w:left w:val="nil"/>
              <w:bottom w:val="single" w:sz="8" w:space="0" w:color="000000"/>
              <w:right w:val="single" w:sz="8" w:space="0" w:color="000000"/>
            </w:tcBorders>
            <w:vAlign w:val="center"/>
            <w:hideMark/>
          </w:tcPr>
          <w:p w14:paraId="0BA6C1C7" w14:textId="77777777" w:rsidR="002C05AF" w:rsidRPr="00731FE2" w:rsidRDefault="002C05AF" w:rsidP="002C05AF">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га</w:t>
            </w:r>
          </w:p>
        </w:tc>
        <w:tc>
          <w:tcPr>
            <w:tcW w:w="1766" w:type="dxa"/>
            <w:tcBorders>
              <w:top w:val="nil"/>
              <w:left w:val="nil"/>
              <w:bottom w:val="single" w:sz="8" w:space="0" w:color="000000"/>
              <w:right w:val="single" w:sz="8" w:space="0" w:color="000000"/>
            </w:tcBorders>
            <w:vAlign w:val="center"/>
          </w:tcPr>
          <w:p w14:paraId="17649955" w14:textId="0D96B272" w:rsidR="002C05AF" w:rsidRPr="00731FE2" w:rsidRDefault="002C05AF" w:rsidP="002C05AF">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sz w:val="22"/>
                <w:lang w:eastAsia="ru-RU"/>
              </w:rPr>
              <w:t>114,07</w:t>
            </w:r>
          </w:p>
        </w:tc>
        <w:tc>
          <w:tcPr>
            <w:tcW w:w="1766" w:type="dxa"/>
            <w:tcBorders>
              <w:top w:val="nil"/>
              <w:left w:val="nil"/>
              <w:bottom w:val="single" w:sz="8" w:space="0" w:color="000000"/>
              <w:right w:val="single" w:sz="8" w:space="0" w:color="000000"/>
            </w:tcBorders>
            <w:vAlign w:val="center"/>
          </w:tcPr>
          <w:p w14:paraId="095B0189" w14:textId="0D6FF9C2" w:rsidR="002C05AF" w:rsidRPr="00731FE2" w:rsidRDefault="003F520D" w:rsidP="002C05AF">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sz w:val="22"/>
                <w:lang w:eastAsia="ru-RU"/>
              </w:rPr>
              <w:t>111,3</w:t>
            </w:r>
          </w:p>
        </w:tc>
      </w:tr>
      <w:tr w:rsidR="002C05AF" w:rsidRPr="00731FE2" w14:paraId="01721FAB" w14:textId="77777777" w:rsidTr="00BE59BF">
        <w:trPr>
          <w:trHeight w:val="58"/>
          <w:tblCellSpacing w:w="0" w:type="dxa"/>
        </w:trPr>
        <w:tc>
          <w:tcPr>
            <w:tcW w:w="0" w:type="auto"/>
            <w:vMerge/>
            <w:tcBorders>
              <w:top w:val="nil"/>
              <w:left w:val="single" w:sz="8" w:space="0" w:color="000000"/>
              <w:bottom w:val="single" w:sz="8" w:space="0" w:color="000000"/>
              <w:right w:val="single" w:sz="8" w:space="0" w:color="000000"/>
            </w:tcBorders>
            <w:vAlign w:val="center"/>
            <w:hideMark/>
          </w:tcPr>
          <w:p w14:paraId="2F1DD7E7" w14:textId="77777777" w:rsidR="002C05AF" w:rsidRPr="00731FE2" w:rsidRDefault="002C05AF" w:rsidP="002C05AF">
            <w:pPr>
              <w:spacing w:line="240" w:lineRule="auto"/>
              <w:ind w:firstLine="0"/>
              <w:jc w:val="left"/>
              <w:rPr>
                <w:rFonts w:ascii="Times New Roman" w:eastAsia="Times New Roman" w:hAnsi="Times New Roman" w:cs="Times New Roman"/>
                <w:sz w:val="22"/>
                <w:lang w:eastAsia="ru-RU"/>
              </w:rPr>
            </w:pPr>
          </w:p>
        </w:tc>
        <w:tc>
          <w:tcPr>
            <w:tcW w:w="3417" w:type="dxa"/>
            <w:tcBorders>
              <w:top w:val="nil"/>
              <w:left w:val="nil"/>
              <w:bottom w:val="single" w:sz="8" w:space="0" w:color="000000"/>
              <w:right w:val="single" w:sz="8" w:space="0" w:color="000000"/>
            </w:tcBorders>
            <w:vAlign w:val="center"/>
            <w:hideMark/>
          </w:tcPr>
          <w:p w14:paraId="26F0740A" w14:textId="77777777" w:rsidR="002C05AF" w:rsidRPr="00731FE2" w:rsidRDefault="002C05AF" w:rsidP="002C05AF">
            <w:pPr>
              <w:spacing w:line="240" w:lineRule="auto"/>
              <w:ind w:firstLine="0"/>
              <w:rPr>
                <w:rFonts w:ascii="Times New Roman" w:eastAsia="Times New Roman" w:hAnsi="Times New Roman" w:cs="Times New Roman"/>
                <w:sz w:val="22"/>
                <w:lang w:eastAsia="ru-RU"/>
              </w:rPr>
            </w:pPr>
            <w:r w:rsidRPr="00731FE2">
              <w:rPr>
                <w:rFonts w:ascii="Times New Roman" w:eastAsia="Times New Roman" w:hAnsi="Times New Roman" w:cs="Times New Roman"/>
                <w:b/>
                <w:bCs/>
                <w:color w:val="000000"/>
                <w:sz w:val="22"/>
                <w:lang w:eastAsia="ru-RU"/>
              </w:rPr>
              <w:t xml:space="preserve">Зоны общественно-делового использования, </w:t>
            </w:r>
            <w:r w:rsidRPr="00731FE2">
              <w:rPr>
                <w:rFonts w:ascii="Times New Roman" w:eastAsia="Times New Roman" w:hAnsi="Times New Roman" w:cs="Times New Roman"/>
                <w:color w:val="000000"/>
                <w:sz w:val="22"/>
                <w:lang w:eastAsia="ru-RU"/>
              </w:rPr>
              <w:t>в том числе:</w:t>
            </w:r>
          </w:p>
        </w:tc>
        <w:tc>
          <w:tcPr>
            <w:tcW w:w="1525" w:type="dxa"/>
            <w:tcBorders>
              <w:top w:val="nil"/>
              <w:left w:val="nil"/>
              <w:bottom w:val="single" w:sz="8" w:space="0" w:color="000000"/>
              <w:right w:val="single" w:sz="8" w:space="0" w:color="000000"/>
            </w:tcBorders>
            <w:vAlign w:val="center"/>
            <w:hideMark/>
          </w:tcPr>
          <w:p w14:paraId="71A0632B" w14:textId="77777777" w:rsidR="002C05AF" w:rsidRPr="00731FE2" w:rsidRDefault="002C05AF" w:rsidP="002C05AF">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b/>
                <w:bCs/>
                <w:color w:val="000000"/>
                <w:sz w:val="22"/>
                <w:lang w:eastAsia="ru-RU"/>
              </w:rPr>
              <w:t>га</w:t>
            </w:r>
          </w:p>
        </w:tc>
        <w:tc>
          <w:tcPr>
            <w:tcW w:w="1766" w:type="dxa"/>
            <w:tcBorders>
              <w:top w:val="nil"/>
              <w:left w:val="nil"/>
              <w:bottom w:val="single" w:sz="8" w:space="0" w:color="000000"/>
              <w:right w:val="single" w:sz="8" w:space="0" w:color="000000"/>
            </w:tcBorders>
            <w:vAlign w:val="center"/>
          </w:tcPr>
          <w:p w14:paraId="31096A06" w14:textId="1C8BD992" w:rsidR="002C05AF" w:rsidRPr="00731FE2" w:rsidRDefault="002C05AF" w:rsidP="002C05AF">
            <w:pPr>
              <w:spacing w:line="240" w:lineRule="auto"/>
              <w:ind w:firstLine="0"/>
              <w:jc w:val="center"/>
              <w:rPr>
                <w:rFonts w:ascii="Times New Roman" w:eastAsia="Times New Roman" w:hAnsi="Times New Roman" w:cs="Times New Roman"/>
                <w:b/>
                <w:bCs/>
                <w:sz w:val="22"/>
                <w:lang w:eastAsia="ru-RU"/>
              </w:rPr>
            </w:pPr>
            <w:r w:rsidRPr="00731FE2">
              <w:rPr>
                <w:rFonts w:ascii="Times New Roman" w:eastAsia="Times New Roman" w:hAnsi="Times New Roman" w:cs="Times New Roman"/>
                <w:b/>
                <w:bCs/>
                <w:sz w:val="22"/>
                <w:lang w:eastAsia="ru-RU"/>
              </w:rPr>
              <w:t>398,22</w:t>
            </w:r>
          </w:p>
        </w:tc>
        <w:tc>
          <w:tcPr>
            <w:tcW w:w="1766" w:type="dxa"/>
            <w:tcBorders>
              <w:top w:val="nil"/>
              <w:left w:val="nil"/>
              <w:bottom w:val="single" w:sz="8" w:space="0" w:color="000000"/>
              <w:right w:val="single" w:sz="8" w:space="0" w:color="000000"/>
            </w:tcBorders>
            <w:vAlign w:val="center"/>
          </w:tcPr>
          <w:p w14:paraId="51353654" w14:textId="50E84F69" w:rsidR="002C05AF" w:rsidRPr="00731FE2" w:rsidRDefault="003F520D" w:rsidP="002C05AF">
            <w:pPr>
              <w:spacing w:line="240" w:lineRule="auto"/>
              <w:ind w:firstLine="0"/>
              <w:jc w:val="center"/>
              <w:rPr>
                <w:rFonts w:ascii="Times New Roman" w:eastAsia="Times New Roman" w:hAnsi="Times New Roman" w:cs="Times New Roman"/>
                <w:b/>
                <w:bCs/>
                <w:sz w:val="22"/>
                <w:lang w:eastAsia="ru-RU"/>
              </w:rPr>
            </w:pPr>
            <w:r w:rsidRPr="00731FE2">
              <w:rPr>
                <w:rFonts w:ascii="Times New Roman" w:eastAsia="Times New Roman" w:hAnsi="Times New Roman" w:cs="Times New Roman"/>
                <w:b/>
                <w:bCs/>
                <w:sz w:val="22"/>
                <w:lang w:eastAsia="ru-RU"/>
              </w:rPr>
              <w:t>629,42</w:t>
            </w:r>
          </w:p>
        </w:tc>
      </w:tr>
      <w:tr w:rsidR="002C05AF" w:rsidRPr="00731FE2" w14:paraId="3EE2D9F0" w14:textId="77777777" w:rsidTr="00BE59BF">
        <w:trPr>
          <w:trHeight w:val="58"/>
          <w:tblCellSpacing w:w="0" w:type="dxa"/>
        </w:trPr>
        <w:tc>
          <w:tcPr>
            <w:tcW w:w="0" w:type="auto"/>
            <w:vMerge/>
            <w:tcBorders>
              <w:top w:val="nil"/>
              <w:left w:val="single" w:sz="8" w:space="0" w:color="000000"/>
              <w:bottom w:val="single" w:sz="8" w:space="0" w:color="000000"/>
              <w:right w:val="single" w:sz="8" w:space="0" w:color="000000"/>
            </w:tcBorders>
            <w:vAlign w:val="center"/>
            <w:hideMark/>
          </w:tcPr>
          <w:p w14:paraId="12358CDC" w14:textId="77777777" w:rsidR="002C05AF" w:rsidRPr="00731FE2" w:rsidRDefault="002C05AF" w:rsidP="002C05AF">
            <w:pPr>
              <w:spacing w:line="240" w:lineRule="auto"/>
              <w:ind w:firstLine="0"/>
              <w:jc w:val="left"/>
              <w:rPr>
                <w:rFonts w:ascii="Times New Roman" w:eastAsia="Times New Roman" w:hAnsi="Times New Roman" w:cs="Times New Roman"/>
                <w:sz w:val="22"/>
                <w:lang w:eastAsia="ru-RU"/>
              </w:rPr>
            </w:pPr>
          </w:p>
        </w:tc>
        <w:tc>
          <w:tcPr>
            <w:tcW w:w="3417" w:type="dxa"/>
            <w:tcBorders>
              <w:top w:val="nil"/>
              <w:left w:val="nil"/>
              <w:bottom w:val="single" w:sz="8" w:space="0" w:color="000000"/>
              <w:right w:val="single" w:sz="8" w:space="0" w:color="000000"/>
            </w:tcBorders>
            <w:vAlign w:val="center"/>
            <w:hideMark/>
          </w:tcPr>
          <w:p w14:paraId="2B698E12" w14:textId="77777777" w:rsidR="002C05AF" w:rsidRPr="00731FE2" w:rsidRDefault="002C05AF" w:rsidP="002C05AF">
            <w:pPr>
              <w:spacing w:line="240" w:lineRule="auto"/>
              <w:ind w:firstLine="0"/>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Общественно-деловые зоны</w:t>
            </w:r>
          </w:p>
        </w:tc>
        <w:tc>
          <w:tcPr>
            <w:tcW w:w="1525" w:type="dxa"/>
            <w:tcBorders>
              <w:top w:val="nil"/>
              <w:left w:val="nil"/>
              <w:bottom w:val="single" w:sz="8" w:space="0" w:color="000000"/>
              <w:right w:val="single" w:sz="8" w:space="0" w:color="000000"/>
            </w:tcBorders>
            <w:vAlign w:val="center"/>
            <w:hideMark/>
          </w:tcPr>
          <w:p w14:paraId="0B7C05B9" w14:textId="77777777" w:rsidR="002C05AF" w:rsidRPr="00731FE2" w:rsidRDefault="002C05AF" w:rsidP="002C05AF">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га</w:t>
            </w:r>
          </w:p>
        </w:tc>
        <w:tc>
          <w:tcPr>
            <w:tcW w:w="1766" w:type="dxa"/>
            <w:tcBorders>
              <w:top w:val="nil"/>
              <w:left w:val="nil"/>
              <w:bottom w:val="single" w:sz="8" w:space="0" w:color="000000"/>
              <w:right w:val="single" w:sz="8" w:space="0" w:color="000000"/>
            </w:tcBorders>
            <w:vAlign w:val="center"/>
          </w:tcPr>
          <w:p w14:paraId="2FF43661" w14:textId="2A14EE55" w:rsidR="002C05AF" w:rsidRPr="00731FE2" w:rsidRDefault="002C05AF" w:rsidP="002C05AF">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sz w:val="22"/>
                <w:lang w:eastAsia="ru-RU"/>
              </w:rPr>
              <w:t>347,61</w:t>
            </w:r>
          </w:p>
        </w:tc>
        <w:tc>
          <w:tcPr>
            <w:tcW w:w="1766" w:type="dxa"/>
            <w:tcBorders>
              <w:top w:val="nil"/>
              <w:left w:val="nil"/>
              <w:bottom w:val="single" w:sz="8" w:space="0" w:color="000000"/>
              <w:right w:val="single" w:sz="8" w:space="0" w:color="000000"/>
            </w:tcBorders>
            <w:vAlign w:val="center"/>
          </w:tcPr>
          <w:p w14:paraId="46D6F0DB" w14:textId="52164FB7" w:rsidR="002C05AF" w:rsidRPr="00731FE2" w:rsidRDefault="003F520D" w:rsidP="002C05AF">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sz w:val="22"/>
                <w:lang w:eastAsia="ru-RU"/>
              </w:rPr>
              <w:t>578,81</w:t>
            </w:r>
          </w:p>
        </w:tc>
      </w:tr>
      <w:tr w:rsidR="002C05AF" w:rsidRPr="00731FE2" w14:paraId="055A2F2D" w14:textId="77777777" w:rsidTr="00BE59BF">
        <w:trPr>
          <w:trHeight w:val="58"/>
          <w:tblCellSpacing w:w="0" w:type="dxa"/>
        </w:trPr>
        <w:tc>
          <w:tcPr>
            <w:tcW w:w="0" w:type="auto"/>
            <w:vMerge/>
            <w:tcBorders>
              <w:top w:val="nil"/>
              <w:left w:val="single" w:sz="8" w:space="0" w:color="000000"/>
              <w:bottom w:val="single" w:sz="8" w:space="0" w:color="000000"/>
              <w:right w:val="single" w:sz="8" w:space="0" w:color="000000"/>
            </w:tcBorders>
            <w:vAlign w:val="center"/>
          </w:tcPr>
          <w:p w14:paraId="2399AAC6" w14:textId="77777777" w:rsidR="002C05AF" w:rsidRPr="00731FE2" w:rsidRDefault="002C05AF" w:rsidP="002C05AF">
            <w:pPr>
              <w:spacing w:line="240" w:lineRule="auto"/>
              <w:ind w:firstLine="0"/>
              <w:jc w:val="left"/>
              <w:rPr>
                <w:rFonts w:ascii="Times New Roman" w:eastAsia="Times New Roman" w:hAnsi="Times New Roman" w:cs="Times New Roman"/>
                <w:sz w:val="22"/>
                <w:lang w:eastAsia="ru-RU"/>
              </w:rPr>
            </w:pPr>
          </w:p>
        </w:tc>
        <w:tc>
          <w:tcPr>
            <w:tcW w:w="3417" w:type="dxa"/>
            <w:tcBorders>
              <w:top w:val="nil"/>
              <w:left w:val="nil"/>
              <w:bottom w:val="single" w:sz="8" w:space="0" w:color="000000"/>
              <w:right w:val="single" w:sz="8" w:space="0" w:color="000000"/>
            </w:tcBorders>
            <w:vAlign w:val="center"/>
          </w:tcPr>
          <w:p w14:paraId="59393124" w14:textId="324EADD5" w:rsidR="002C05AF" w:rsidRPr="00731FE2" w:rsidRDefault="002C05AF" w:rsidP="002C05AF">
            <w:pPr>
              <w:spacing w:line="240" w:lineRule="auto"/>
              <w:ind w:firstLine="0"/>
              <w:rPr>
                <w:rFonts w:ascii="Times New Roman" w:eastAsia="Times New Roman" w:hAnsi="Times New Roman" w:cs="Times New Roman"/>
                <w:color w:val="000000"/>
                <w:sz w:val="22"/>
                <w:lang w:eastAsia="ru-RU"/>
              </w:rPr>
            </w:pPr>
            <w:r w:rsidRPr="00731FE2">
              <w:rPr>
                <w:rFonts w:ascii="Times New Roman" w:eastAsia="Times New Roman" w:hAnsi="Times New Roman" w:cs="Times New Roman"/>
                <w:color w:val="000000"/>
                <w:sz w:val="22"/>
                <w:lang w:eastAsia="ru-RU"/>
              </w:rPr>
              <w:t>Зона специализированной общественной застройки</w:t>
            </w:r>
          </w:p>
        </w:tc>
        <w:tc>
          <w:tcPr>
            <w:tcW w:w="1525" w:type="dxa"/>
            <w:tcBorders>
              <w:top w:val="nil"/>
              <w:left w:val="nil"/>
              <w:bottom w:val="single" w:sz="8" w:space="0" w:color="000000"/>
              <w:right w:val="single" w:sz="8" w:space="0" w:color="000000"/>
            </w:tcBorders>
            <w:vAlign w:val="center"/>
          </w:tcPr>
          <w:p w14:paraId="021F094C" w14:textId="4868F844" w:rsidR="002C05AF" w:rsidRPr="00731FE2" w:rsidRDefault="002C05AF" w:rsidP="002C05AF">
            <w:pPr>
              <w:spacing w:line="240" w:lineRule="auto"/>
              <w:ind w:firstLine="0"/>
              <w:jc w:val="center"/>
              <w:rPr>
                <w:rFonts w:ascii="Times New Roman" w:eastAsia="Times New Roman" w:hAnsi="Times New Roman" w:cs="Times New Roman"/>
                <w:color w:val="000000"/>
                <w:sz w:val="22"/>
                <w:lang w:eastAsia="ru-RU"/>
              </w:rPr>
            </w:pPr>
            <w:r w:rsidRPr="00731FE2">
              <w:rPr>
                <w:rFonts w:ascii="Times New Roman" w:eastAsia="Times New Roman" w:hAnsi="Times New Roman" w:cs="Times New Roman"/>
                <w:color w:val="000000"/>
                <w:sz w:val="22"/>
                <w:lang w:eastAsia="ru-RU"/>
              </w:rPr>
              <w:t>га</w:t>
            </w:r>
          </w:p>
        </w:tc>
        <w:tc>
          <w:tcPr>
            <w:tcW w:w="1766" w:type="dxa"/>
            <w:tcBorders>
              <w:top w:val="nil"/>
              <w:left w:val="nil"/>
              <w:bottom w:val="single" w:sz="8" w:space="0" w:color="000000"/>
              <w:right w:val="single" w:sz="8" w:space="0" w:color="000000"/>
            </w:tcBorders>
            <w:vAlign w:val="center"/>
          </w:tcPr>
          <w:p w14:paraId="7BB46C91" w14:textId="4CB7E4BA" w:rsidR="002C05AF" w:rsidRPr="00731FE2" w:rsidRDefault="002C05AF" w:rsidP="002C05AF">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sz w:val="22"/>
                <w:lang w:eastAsia="ru-RU"/>
              </w:rPr>
              <w:t>9,42</w:t>
            </w:r>
          </w:p>
        </w:tc>
        <w:tc>
          <w:tcPr>
            <w:tcW w:w="1766" w:type="dxa"/>
            <w:tcBorders>
              <w:top w:val="nil"/>
              <w:left w:val="nil"/>
              <w:bottom w:val="single" w:sz="8" w:space="0" w:color="000000"/>
              <w:right w:val="single" w:sz="8" w:space="0" w:color="000000"/>
            </w:tcBorders>
            <w:vAlign w:val="center"/>
          </w:tcPr>
          <w:p w14:paraId="53B5ED37" w14:textId="2855CEF8" w:rsidR="002C05AF" w:rsidRPr="00731FE2" w:rsidRDefault="002C05AF" w:rsidP="002C05AF">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sz w:val="22"/>
                <w:lang w:eastAsia="ru-RU"/>
              </w:rPr>
              <w:t>9,42</w:t>
            </w:r>
          </w:p>
        </w:tc>
      </w:tr>
      <w:tr w:rsidR="002C05AF" w:rsidRPr="00731FE2" w14:paraId="3E806486" w14:textId="77777777" w:rsidTr="00BE59BF">
        <w:trPr>
          <w:trHeight w:val="58"/>
          <w:tblCellSpacing w:w="0" w:type="dxa"/>
        </w:trPr>
        <w:tc>
          <w:tcPr>
            <w:tcW w:w="0" w:type="auto"/>
            <w:vMerge/>
            <w:tcBorders>
              <w:top w:val="nil"/>
              <w:left w:val="single" w:sz="8" w:space="0" w:color="000000"/>
              <w:bottom w:val="single" w:sz="8" w:space="0" w:color="000000"/>
              <w:right w:val="single" w:sz="8" w:space="0" w:color="000000"/>
            </w:tcBorders>
            <w:vAlign w:val="center"/>
            <w:hideMark/>
          </w:tcPr>
          <w:p w14:paraId="1FCF9C37" w14:textId="77777777" w:rsidR="002C05AF" w:rsidRPr="00731FE2" w:rsidRDefault="002C05AF" w:rsidP="002C05AF">
            <w:pPr>
              <w:spacing w:line="240" w:lineRule="auto"/>
              <w:ind w:firstLine="0"/>
              <w:jc w:val="left"/>
              <w:rPr>
                <w:rFonts w:ascii="Times New Roman" w:eastAsia="Times New Roman" w:hAnsi="Times New Roman" w:cs="Times New Roman"/>
                <w:sz w:val="22"/>
                <w:lang w:eastAsia="ru-RU"/>
              </w:rPr>
            </w:pPr>
          </w:p>
        </w:tc>
        <w:tc>
          <w:tcPr>
            <w:tcW w:w="3417" w:type="dxa"/>
            <w:tcBorders>
              <w:top w:val="nil"/>
              <w:left w:val="nil"/>
              <w:bottom w:val="single" w:sz="8" w:space="0" w:color="000000"/>
              <w:right w:val="single" w:sz="8" w:space="0" w:color="000000"/>
            </w:tcBorders>
            <w:vAlign w:val="center"/>
            <w:hideMark/>
          </w:tcPr>
          <w:p w14:paraId="7AA89D27" w14:textId="77777777" w:rsidR="002C05AF" w:rsidRPr="00731FE2" w:rsidRDefault="002C05AF" w:rsidP="002C05AF">
            <w:pPr>
              <w:spacing w:line="240" w:lineRule="auto"/>
              <w:ind w:firstLine="0"/>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Зона исторической застройки</w:t>
            </w:r>
          </w:p>
        </w:tc>
        <w:tc>
          <w:tcPr>
            <w:tcW w:w="1525" w:type="dxa"/>
            <w:tcBorders>
              <w:top w:val="nil"/>
              <w:left w:val="nil"/>
              <w:bottom w:val="single" w:sz="8" w:space="0" w:color="000000"/>
              <w:right w:val="single" w:sz="8" w:space="0" w:color="000000"/>
            </w:tcBorders>
            <w:vAlign w:val="center"/>
            <w:hideMark/>
          </w:tcPr>
          <w:p w14:paraId="31A1E3B2" w14:textId="77777777" w:rsidR="002C05AF" w:rsidRPr="00731FE2" w:rsidRDefault="002C05AF" w:rsidP="002C05AF">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га</w:t>
            </w:r>
          </w:p>
        </w:tc>
        <w:tc>
          <w:tcPr>
            <w:tcW w:w="1766" w:type="dxa"/>
            <w:tcBorders>
              <w:top w:val="nil"/>
              <w:left w:val="nil"/>
              <w:bottom w:val="single" w:sz="8" w:space="0" w:color="000000"/>
              <w:right w:val="single" w:sz="8" w:space="0" w:color="000000"/>
            </w:tcBorders>
            <w:vAlign w:val="center"/>
          </w:tcPr>
          <w:p w14:paraId="2AA8E753" w14:textId="2075900F" w:rsidR="002C05AF" w:rsidRPr="00731FE2" w:rsidRDefault="002C05AF" w:rsidP="002C05AF">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sz w:val="22"/>
                <w:lang w:eastAsia="ru-RU"/>
              </w:rPr>
              <w:t>41,19</w:t>
            </w:r>
          </w:p>
        </w:tc>
        <w:tc>
          <w:tcPr>
            <w:tcW w:w="1766" w:type="dxa"/>
            <w:tcBorders>
              <w:top w:val="nil"/>
              <w:left w:val="nil"/>
              <w:bottom w:val="single" w:sz="8" w:space="0" w:color="000000"/>
              <w:right w:val="single" w:sz="8" w:space="0" w:color="000000"/>
            </w:tcBorders>
            <w:vAlign w:val="center"/>
          </w:tcPr>
          <w:p w14:paraId="2CBF35D1" w14:textId="1E7F004B" w:rsidR="002C05AF" w:rsidRPr="00731FE2" w:rsidRDefault="002C05AF" w:rsidP="002C05AF">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sz w:val="22"/>
                <w:lang w:eastAsia="ru-RU"/>
              </w:rPr>
              <w:t>41,19</w:t>
            </w:r>
          </w:p>
        </w:tc>
      </w:tr>
      <w:tr w:rsidR="00C974E7" w:rsidRPr="00731FE2" w14:paraId="6DA65665" w14:textId="77777777" w:rsidTr="00C974E7">
        <w:trPr>
          <w:trHeight w:val="58"/>
          <w:tblCellSpacing w:w="0" w:type="dxa"/>
        </w:trPr>
        <w:tc>
          <w:tcPr>
            <w:tcW w:w="0" w:type="auto"/>
            <w:vMerge/>
            <w:tcBorders>
              <w:top w:val="nil"/>
              <w:left w:val="single" w:sz="8" w:space="0" w:color="000000"/>
              <w:bottom w:val="single" w:sz="8" w:space="0" w:color="000000"/>
              <w:right w:val="single" w:sz="8" w:space="0" w:color="000000"/>
            </w:tcBorders>
            <w:vAlign w:val="center"/>
            <w:hideMark/>
          </w:tcPr>
          <w:p w14:paraId="5E9D3B19" w14:textId="77777777" w:rsidR="00C974E7" w:rsidRPr="00731FE2" w:rsidRDefault="00C974E7" w:rsidP="002C05AF">
            <w:pPr>
              <w:spacing w:line="240" w:lineRule="auto"/>
              <w:ind w:firstLine="0"/>
              <w:jc w:val="left"/>
              <w:rPr>
                <w:rFonts w:ascii="Times New Roman" w:eastAsia="Times New Roman" w:hAnsi="Times New Roman" w:cs="Times New Roman"/>
                <w:sz w:val="22"/>
                <w:lang w:eastAsia="ru-RU"/>
              </w:rPr>
            </w:pPr>
          </w:p>
        </w:tc>
        <w:tc>
          <w:tcPr>
            <w:tcW w:w="3417" w:type="dxa"/>
            <w:tcBorders>
              <w:top w:val="nil"/>
              <w:left w:val="nil"/>
              <w:bottom w:val="single" w:sz="8" w:space="0" w:color="000000"/>
              <w:right w:val="single" w:sz="8" w:space="0" w:color="000000"/>
            </w:tcBorders>
            <w:vAlign w:val="center"/>
            <w:hideMark/>
          </w:tcPr>
          <w:p w14:paraId="50F126CA" w14:textId="77777777" w:rsidR="00C974E7" w:rsidRPr="00731FE2" w:rsidRDefault="00C974E7" w:rsidP="002C05AF">
            <w:pPr>
              <w:spacing w:line="240" w:lineRule="auto"/>
              <w:ind w:firstLine="0"/>
              <w:rPr>
                <w:rFonts w:ascii="Times New Roman" w:eastAsia="Times New Roman" w:hAnsi="Times New Roman" w:cs="Times New Roman"/>
                <w:sz w:val="22"/>
                <w:lang w:eastAsia="ru-RU"/>
              </w:rPr>
            </w:pPr>
            <w:r w:rsidRPr="00731FE2">
              <w:rPr>
                <w:rFonts w:ascii="Times New Roman" w:eastAsia="Times New Roman" w:hAnsi="Times New Roman" w:cs="Times New Roman"/>
                <w:b/>
                <w:bCs/>
                <w:color w:val="000000"/>
                <w:sz w:val="22"/>
                <w:lang w:eastAsia="ru-RU"/>
              </w:rPr>
              <w:t xml:space="preserve">Зоны производственного, инженерного и транспортного использования, </w:t>
            </w:r>
            <w:r w:rsidRPr="00731FE2">
              <w:rPr>
                <w:rFonts w:ascii="Times New Roman" w:eastAsia="Times New Roman" w:hAnsi="Times New Roman" w:cs="Times New Roman"/>
                <w:color w:val="000000"/>
                <w:sz w:val="22"/>
                <w:lang w:eastAsia="ru-RU"/>
              </w:rPr>
              <w:t>в том числе:</w:t>
            </w:r>
          </w:p>
        </w:tc>
        <w:tc>
          <w:tcPr>
            <w:tcW w:w="1525" w:type="dxa"/>
            <w:tcBorders>
              <w:top w:val="nil"/>
              <w:left w:val="nil"/>
              <w:bottom w:val="single" w:sz="8" w:space="0" w:color="000000"/>
              <w:right w:val="single" w:sz="8" w:space="0" w:color="000000"/>
            </w:tcBorders>
            <w:vAlign w:val="center"/>
            <w:hideMark/>
          </w:tcPr>
          <w:p w14:paraId="4E6A0520" w14:textId="77777777" w:rsidR="00C974E7" w:rsidRPr="00731FE2" w:rsidRDefault="00C974E7" w:rsidP="002C05AF">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b/>
                <w:bCs/>
                <w:color w:val="000000"/>
                <w:sz w:val="22"/>
                <w:lang w:eastAsia="ru-RU"/>
              </w:rPr>
              <w:t>га</w:t>
            </w:r>
          </w:p>
        </w:tc>
        <w:tc>
          <w:tcPr>
            <w:tcW w:w="1766" w:type="dxa"/>
            <w:tcBorders>
              <w:top w:val="nil"/>
              <w:left w:val="nil"/>
              <w:bottom w:val="single" w:sz="8" w:space="0" w:color="000000"/>
              <w:right w:val="single" w:sz="8" w:space="0" w:color="000000"/>
            </w:tcBorders>
            <w:vAlign w:val="center"/>
          </w:tcPr>
          <w:p w14:paraId="54536C1F" w14:textId="616CF5A5" w:rsidR="00C974E7" w:rsidRPr="00731FE2" w:rsidRDefault="00C974E7" w:rsidP="002C05AF">
            <w:pPr>
              <w:spacing w:line="240" w:lineRule="auto"/>
              <w:ind w:firstLine="0"/>
              <w:jc w:val="center"/>
              <w:rPr>
                <w:rFonts w:ascii="Times New Roman" w:eastAsia="Times New Roman" w:hAnsi="Times New Roman" w:cs="Times New Roman"/>
                <w:b/>
                <w:bCs/>
                <w:sz w:val="22"/>
                <w:lang w:eastAsia="ru-RU"/>
              </w:rPr>
            </w:pPr>
            <w:r w:rsidRPr="00731FE2">
              <w:rPr>
                <w:rFonts w:ascii="Times New Roman" w:eastAsia="Times New Roman" w:hAnsi="Times New Roman" w:cs="Times New Roman"/>
                <w:b/>
                <w:bCs/>
                <w:sz w:val="22"/>
                <w:lang w:eastAsia="ru-RU"/>
              </w:rPr>
              <w:t>670,62</w:t>
            </w:r>
          </w:p>
        </w:tc>
        <w:tc>
          <w:tcPr>
            <w:tcW w:w="1766" w:type="dxa"/>
            <w:tcBorders>
              <w:top w:val="nil"/>
              <w:left w:val="nil"/>
              <w:bottom w:val="single" w:sz="8" w:space="0" w:color="000000"/>
              <w:right w:val="single" w:sz="8" w:space="0" w:color="000000"/>
            </w:tcBorders>
            <w:vAlign w:val="center"/>
          </w:tcPr>
          <w:p w14:paraId="1F67D6C0" w14:textId="5E33E049" w:rsidR="00C974E7" w:rsidRPr="00731FE2" w:rsidRDefault="00C974E7" w:rsidP="00C974E7">
            <w:pPr>
              <w:spacing w:line="240" w:lineRule="auto"/>
              <w:ind w:firstLine="0"/>
              <w:jc w:val="center"/>
              <w:rPr>
                <w:rFonts w:ascii="Times New Roman" w:eastAsia="Times New Roman" w:hAnsi="Times New Roman" w:cs="Times New Roman"/>
                <w:b/>
                <w:sz w:val="22"/>
                <w:lang w:eastAsia="ru-RU"/>
              </w:rPr>
            </w:pPr>
            <w:r w:rsidRPr="00731FE2">
              <w:rPr>
                <w:rFonts w:ascii="Times New Roman" w:eastAsia="Times New Roman" w:hAnsi="Times New Roman" w:cs="Times New Roman"/>
                <w:b/>
                <w:sz w:val="22"/>
                <w:lang w:eastAsia="ru-RU"/>
              </w:rPr>
              <w:t>649,36</w:t>
            </w:r>
          </w:p>
        </w:tc>
      </w:tr>
      <w:tr w:rsidR="00C974E7" w:rsidRPr="00731FE2" w14:paraId="660C5BC5" w14:textId="77777777" w:rsidTr="00C974E7">
        <w:trPr>
          <w:trHeight w:val="58"/>
          <w:tblCellSpacing w:w="0" w:type="dxa"/>
        </w:trPr>
        <w:tc>
          <w:tcPr>
            <w:tcW w:w="0" w:type="auto"/>
            <w:vMerge/>
            <w:tcBorders>
              <w:top w:val="nil"/>
              <w:left w:val="single" w:sz="8" w:space="0" w:color="000000"/>
              <w:bottom w:val="single" w:sz="8" w:space="0" w:color="000000"/>
              <w:right w:val="single" w:sz="8" w:space="0" w:color="000000"/>
            </w:tcBorders>
            <w:vAlign w:val="center"/>
            <w:hideMark/>
          </w:tcPr>
          <w:p w14:paraId="214D47F2" w14:textId="77777777" w:rsidR="00C974E7" w:rsidRPr="00731FE2" w:rsidRDefault="00C974E7" w:rsidP="002C05AF">
            <w:pPr>
              <w:spacing w:line="240" w:lineRule="auto"/>
              <w:ind w:firstLine="0"/>
              <w:jc w:val="left"/>
              <w:rPr>
                <w:rFonts w:ascii="Times New Roman" w:eastAsia="Times New Roman" w:hAnsi="Times New Roman" w:cs="Times New Roman"/>
                <w:sz w:val="22"/>
                <w:lang w:eastAsia="ru-RU"/>
              </w:rPr>
            </w:pPr>
          </w:p>
        </w:tc>
        <w:tc>
          <w:tcPr>
            <w:tcW w:w="3417" w:type="dxa"/>
            <w:tcBorders>
              <w:top w:val="nil"/>
              <w:left w:val="nil"/>
              <w:bottom w:val="single" w:sz="8" w:space="0" w:color="000000"/>
              <w:right w:val="single" w:sz="8" w:space="0" w:color="000000"/>
            </w:tcBorders>
            <w:vAlign w:val="center"/>
            <w:hideMark/>
          </w:tcPr>
          <w:p w14:paraId="2CCDCE15" w14:textId="77777777" w:rsidR="00C974E7" w:rsidRPr="00731FE2" w:rsidRDefault="00C974E7" w:rsidP="002C05AF">
            <w:pPr>
              <w:spacing w:line="240" w:lineRule="auto"/>
              <w:ind w:firstLine="0"/>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Производственные зоны, зоны инженерной и транспортной инфраструктур</w:t>
            </w:r>
          </w:p>
        </w:tc>
        <w:tc>
          <w:tcPr>
            <w:tcW w:w="1525" w:type="dxa"/>
            <w:tcBorders>
              <w:top w:val="nil"/>
              <w:left w:val="nil"/>
              <w:bottom w:val="single" w:sz="8" w:space="0" w:color="000000"/>
              <w:right w:val="single" w:sz="8" w:space="0" w:color="000000"/>
            </w:tcBorders>
            <w:vAlign w:val="center"/>
            <w:hideMark/>
          </w:tcPr>
          <w:p w14:paraId="6E67B3D3" w14:textId="77777777" w:rsidR="00C974E7" w:rsidRPr="00731FE2" w:rsidRDefault="00C974E7" w:rsidP="002C05AF">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га</w:t>
            </w:r>
          </w:p>
        </w:tc>
        <w:tc>
          <w:tcPr>
            <w:tcW w:w="1766" w:type="dxa"/>
            <w:tcBorders>
              <w:top w:val="nil"/>
              <w:left w:val="nil"/>
              <w:bottom w:val="single" w:sz="8" w:space="0" w:color="000000"/>
              <w:right w:val="single" w:sz="8" w:space="0" w:color="000000"/>
            </w:tcBorders>
            <w:vAlign w:val="center"/>
          </w:tcPr>
          <w:p w14:paraId="1B6A8856" w14:textId="47B9FB30" w:rsidR="00C974E7" w:rsidRPr="00731FE2" w:rsidRDefault="00C974E7" w:rsidP="002C05AF">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sz w:val="22"/>
                <w:lang w:eastAsia="ru-RU"/>
              </w:rPr>
              <w:t>242,28</w:t>
            </w:r>
          </w:p>
        </w:tc>
        <w:tc>
          <w:tcPr>
            <w:tcW w:w="1766" w:type="dxa"/>
            <w:tcBorders>
              <w:top w:val="nil"/>
              <w:left w:val="nil"/>
              <w:bottom w:val="single" w:sz="8" w:space="0" w:color="000000"/>
              <w:right w:val="single" w:sz="8" w:space="0" w:color="000000"/>
            </w:tcBorders>
            <w:vAlign w:val="center"/>
          </w:tcPr>
          <w:p w14:paraId="60FD0742" w14:textId="5D51A30B" w:rsidR="00C974E7" w:rsidRPr="00731FE2" w:rsidRDefault="00C974E7" w:rsidP="00C974E7">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sz w:val="22"/>
                <w:lang w:eastAsia="ru-RU"/>
              </w:rPr>
              <w:t>211,27</w:t>
            </w:r>
          </w:p>
        </w:tc>
      </w:tr>
      <w:tr w:rsidR="002C05AF" w:rsidRPr="00731FE2" w14:paraId="60BAB809" w14:textId="77777777" w:rsidTr="00BE59BF">
        <w:trPr>
          <w:trHeight w:val="58"/>
          <w:tblCellSpacing w:w="0" w:type="dxa"/>
        </w:trPr>
        <w:tc>
          <w:tcPr>
            <w:tcW w:w="0" w:type="auto"/>
            <w:vMerge/>
            <w:tcBorders>
              <w:top w:val="nil"/>
              <w:left w:val="single" w:sz="8" w:space="0" w:color="000000"/>
              <w:bottom w:val="single" w:sz="8" w:space="0" w:color="000000"/>
              <w:right w:val="single" w:sz="8" w:space="0" w:color="000000"/>
            </w:tcBorders>
            <w:vAlign w:val="center"/>
            <w:hideMark/>
          </w:tcPr>
          <w:p w14:paraId="03298AE2" w14:textId="77777777" w:rsidR="002C05AF" w:rsidRPr="00731FE2" w:rsidRDefault="002C05AF" w:rsidP="002C05AF">
            <w:pPr>
              <w:spacing w:line="240" w:lineRule="auto"/>
              <w:ind w:firstLine="0"/>
              <w:jc w:val="left"/>
              <w:rPr>
                <w:rFonts w:ascii="Times New Roman" w:eastAsia="Times New Roman" w:hAnsi="Times New Roman" w:cs="Times New Roman"/>
                <w:sz w:val="22"/>
                <w:lang w:eastAsia="ru-RU"/>
              </w:rPr>
            </w:pPr>
          </w:p>
        </w:tc>
        <w:tc>
          <w:tcPr>
            <w:tcW w:w="3417" w:type="dxa"/>
            <w:tcBorders>
              <w:top w:val="nil"/>
              <w:left w:val="nil"/>
              <w:bottom w:val="single" w:sz="8" w:space="0" w:color="000000"/>
              <w:right w:val="single" w:sz="8" w:space="0" w:color="000000"/>
            </w:tcBorders>
            <w:vAlign w:val="center"/>
            <w:hideMark/>
          </w:tcPr>
          <w:p w14:paraId="6BC1AC4F" w14:textId="77777777" w:rsidR="002C05AF" w:rsidRPr="00731FE2" w:rsidRDefault="002C05AF" w:rsidP="002C05AF">
            <w:pPr>
              <w:spacing w:line="240" w:lineRule="auto"/>
              <w:ind w:firstLine="0"/>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Зона транспортной инфраструктуры</w:t>
            </w:r>
          </w:p>
        </w:tc>
        <w:tc>
          <w:tcPr>
            <w:tcW w:w="1525" w:type="dxa"/>
            <w:tcBorders>
              <w:top w:val="nil"/>
              <w:left w:val="nil"/>
              <w:bottom w:val="single" w:sz="8" w:space="0" w:color="000000"/>
              <w:right w:val="single" w:sz="8" w:space="0" w:color="000000"/>
            </w:tcBorders>
            <w:vAlign w:val="center"/>
            <w:hideMark/>
          </w:tcPr>
          <w:p w14:paraId="7FFC32FB" w14:textId="77777777" w:rsidR="002C05AF" w:rsidRPr="00731FE2" w:rsidRDefault="002C05AF" w:rsidP="002C05AF">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га</w:t>
            </w:r>
          </w:p>
        </w:tc>
        <w:tc>
          <w:tcPr>
            <w:tcW w:w="1766" w:type="dxa"/>
            <w:tcBorders>
              <w:top w:val="nil"/>
              <w:left w:val="nil"/>
              <w:bottom w:val="single" w:sz="8" w:space="0" w:color="000000"/>
              <w:right w:val="single" w:sz="8" w:space="0" w:color="000000"/>
            </w:tcBorders>
            <w:vAlign w:val="center"/>
          </w:tcPr>
          <w:p w14:paraId="093CC7B0" w14:textId="4FDAC184" w:rsidR="002C05AF" w:rsidRPr="00731FE2" w:rsidRDefault="002C05AF" w:rsidP="002C05AF">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sz w:val="22"/>
                <w:lang w:eastAsia="ru-RU"/>
              </w:rPr>
              <w:t>428,37</w:t>
            </w:r>
          </w:p>
        </w:tc>
        <w:tc>
          <w:tcPr>
            <w:tcW w:w="1766" w:type="dxa"/>
            <w:tcBorders>
              <w:top w:val="nil"/>
              <w:left w:val="nil"/>
              <w:bottom w:val="single" w:sz="8" w:space="0" w:color="000000"/>
              <w:right w:val="single" w:sz="8" w:space="0" w:color="000000"/>
            </w:tcBorders>
            <w:vAlign w:val="center"/>
          </w:tcPr>
          <w:p w14:paraId="7BC57231" w14:textId="3DCC792A" w:rsidR="002C05AF" w:rsidRPr="00731FE2" w:rsidRDefault="00974146" w:rsidP="002C05AF">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sz w:val="22"/>
                <w:lang w:eastAsia="ru-RU"/>
              </w:rPr>
              <w:t>438,09</w:t>
            </w:r>
          </w:p>
        </w:tc>
      </w:tr>
      <w:tr w:rsidR="002C05AF" w:rsidRPr="00731FE2" w14:paraId="4C562371" w14:textId="77777777" w:rsidTr="00BE59BF">
        <w:trPr>
          <w:trHeight w:val="58"/>
          <w:tblCellSpacing w:w="0" w:type="dxa"/>
        </w:trPr>
        <w:tc>
          <w:tcPr>
            <w:tcW w:w="0" w:type="auto"/>
            <w:vMerge/>
            <w:tcBorders>
              <w:top w:val="nil"/>
              <w:left w:val="single" w:sz="8" w:space="0" w:color="000000"/>
              <w:bottom w:val="single" w:sz="8" w:space="0" w:color="000000"/>
              <w:right w:val="single" w:sz="8" w:space="0" w:color="000000"/>
            </w:tcBorders>
            <w:vAlign w:val="center"/>
            <w:hideMark/>
          </w:tcPr>
          <w:p w14:paraId="6FC7C770" w14:textId="77777777" w:rsidR="002C05AF" w:rsidRPr="00731FE2" w:rsidRDefault="002C05AF" w:rsidP="002C05AF">
            <w:pPr>
              <w:spacing w:line="240" w:lineRule="auto"/>
              <w:ind w:firstLine="0"/>
              <w:jc w:val="left"/>
              <w:rPr>
                <w:rFonts w:ascii="Times New Roman" w:eastAsia="Times New Roman" w:hAnsi="Times New Roman" w:cs="Times New Roman"/>
                <w:sz w:val="22"/>
                <w:lang w:eastAsia="ru-RU"/>
              </w:rPr>
            </w:pPr>
          </w:p>
        </w:tc>
        <w:tc>
          <w:tcPr>
            <w:tcW w:w="3417" w:type="dxa"/>
            <w:tcBorders>
              <w:top w:val="nil"/>
              <w:left w:val="nil"/>
              <w:bottom w:val="single" w:sz="8" w:space="0" w:color="000000"/>
              <w:right w:val="single" w:sz="8" w:space="0" w:color="000000"/>
            </w:tcBorders>
            <w:vAlign w:val="center"/>
            <w:hideMark/>
          </w:tcPr>
          <w:p w14:paraId="5E3B1743" w14:textId="77777777" w:rsidR="002C05AF" w:rsidRPr="00731FE2" w:rsidRDefault="002C05AF" w:rsidP="002C05AF">
            <w:pPr>
              <w:spacing w:line="240" w:lineRule="auto"/>
              <w:ind w:firstLine="0"/>
              <w:rPr>
                <w:rFonts w:ascii="Times New Roman" w:eastAsia="Times New Roman" w:hAnsi="Times New Roman" w:cs="Times New Roman"/>
                <w:sz w:val="22"/>
                <w:lang w:eastAsia="ru-RU"/>
              </w:rPr>
            </w:pPr>
            <w:r w:rsidRPr="00731FE2">
              <w:rPr>
                <w:rFonts w:ascii="Times New Roman" w:eastAsia="Times New Roman" w:hAnsi="Times New Roman" w:cs="Times New Roman"/>
                <w:b/>
                <w:bCs/>
                <w:color w:val="000000"/>
                <w:sz w:val="22"/>
                <w:lang w:eastAsia="ru-RU"/>
              </w:rPr>
              <w:t xml:space="preserve">Зона рекреационного </w:t>
            </w:r>
            <w:r w:rsidRPr="00731FE2">
              <w:rPr>
                <w:rFonts w:ascii="Times New Roman" w:eastAsia="Times New Roman" w:hAnsi="Times New Roman" w:cs="Times New Roman"/>
                <w:b/>
                <w:bCs/>
                <w:color w:val="000000"/>
                <w:sz w:val="22"/>
                <w:lang w:eastAsia="ru-RU"/>
              </w:rPr>
              <w:lastRenderedPageBreak/>
              <w:t xml:space="preserve">использования, </w:t>
            </w:r>
            <w:r w:rsidRPr="00731FE2">
              <w:rPr>
                <w:rFonts w:ascii="Times New Roman" w:eastAsia="Times New Roman" w:hAnsi="Times New Roman" w:cs="Times New Roman"/>
                <w:color w:val="000000"/>
                <w:sz w:val="22"/>
                <w:lang w:eastAsia="ru-RU"/>
              </w:rPr>
              <w:t>в том числе:</w:t>
            </w:r>
          </w:p>
        </w:tc>
        <w:tc>
          <w:tcPr>
            <w:tcW w:w="1525" w:type="dxa"/>
            <w:tcBorders>
              <w:top w:val="nil"/>
              <w:left w:val="nil"/>
              <w:bottom w:val="single" w:sz="8" w:space="0" w:color="000000"/>
              <w:right w:val="single" w:sz="8" w:space="0" w:color="000000"/>
            </w:tcBorders>
            <w:vAlign w:val="center"/>
            <w:hideMark/>
          </w:tcPr>
          <w:p w14:paraId="1BF83DAF" w14:textId="77777777" w:rsidR="002C05AF" w:rsidRPr="00731FE2" w:rsidRDefault="002C05AF" w:rsidP="002C05AF">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b/>
                <w:bCs/>
                <w:color w:val="000000"/>
                <w:sz w:val="22"/>
                <w:lang w:eastAsia="ru-RU"/>
              </w:rPr>
              <w:lastRenderedPageBreak/>
              <w:t>га</w:t>
            </w:r>
          </w:p>
        </w:tc>
        <w:tc>
          <w:tcPr>
            <w:tcW w:w="1766" w:type="dxa"/>
            <w:tcBorders>
              <w:top w:val="nil"/>
              <w:left w:val="nil"/>
              <w:bottom w:val="single" w:sz="8" w:space="0" w:color="000000"/>
              <w:right w:val="single" w:sz="8" w:space="0" w:color="000000"/>
            </w:tcBorders>
            <w:vAlign w:val="center"/>
          </w:tcPr>
          <w:p w14:paraId="1D631BF9" w14:textId="4D134130" w:rsidR="002C05AF" w:rsidRPr="00731FE2" w:rsidRDefault="002C05AF" w:rsidP="00BE12F8">
            <w:pPr>
              <w:spacing w:line="240" w:lineRule="auto"/>
              <w:ind w:firstLine="0"/>
              <w:jc w:val="center"/>
              <w:rPr>
                <w:rFonts w:ascii="Times New Roman" w:eastAsia="Times New Roman" w:hAnsi="Times New Roman" w:cs="Times New Roman"/>
                <w:b/>
                <w:bCs/>
                <w:sz w:val="22"/>
                <w:lang w:eastAsia="ru-RU"/>
              </w:rPr>
            </w:pPr>
            <w:r w:rsidRPr="00731FE2">
              <w:rPr>
                <w:rFonts w:ascii="Times New Roman" w:eastAsia="Times New Roman" w:hAnsi="Times New Roman" w:cs="Times New Roman"/>
                <w:b/>
                <w:bCs/>
                <w:sz w:val="22"/>
                <w:lang w:eastAsia="ru-RU"/>
              </w:rPr>
              <w:t>1257</w:t>
            </w:r>
            <w:r w:rsidR="00BE12F8" w:rsidRPr="00731FE2">
              <w:rPr>
                <w:rFonts w:ascii="Times New Roman" w:eastAsia="Times New Roman" w:hAnsi="Times New Roman" w:cs="Times New Roman"/>
                <w:b/>
                <w:bCs/>
                <w:sz w:val="22"/>
                <w:lang w:eastAsia="ru-RU"/>
              </w:rPr>
              <w:t>6</w:t>
            </w:r>
            <w:r w:rsidRPr="00731FE2">
              <w:rPr>
                <w:rFonts w:ascii="Times New Roman" w:eastAsia="Times New Roman" w:hAnsi="Times New Roman" w:cs="Times New Roman"/>
                <w:b/>
                <w:bCs/>
                <w:sz w:val="22"/>
                <w:lang w:eastAsia="ru-RU"/>
              </w:rPr>
              <w:t>,</w:t>
            </w:r>
            <w:r w:rsidR="00BE12F8" w:rsidRPr="00731FE2">
              <w:rPr>
                <w:rFonts w:ascii="Times New Roman" w:eastAsia="Times New Roman" w:hAnsi="Times New Roman" w:cs="Times New Roman"/>
                <w:b/>
                <w:bCs/>
                <w:sz w:val="22"/>
                <w:lang w:eastAsia="ru-RU"/>
              </w:rPr>
              <w:t>87</w:t>
            </w:r>
          </w:p>
        </w:tc>
        <w:tc>
          <w:tcPr>
            <w:tcW w:w="1766" w:type="dxa"/>
            <w:tcBorders>
              <w:top w:val="nil"/>
              <w:left w:val="nil"/>
              <w:bottom w:val="single" w:sz="8" w:space="0" w:color="000000"/>
              <w:right w:val="single" w:sz="8" w:space="0" w:color="000000"/>
            </w:tcBorders>
            <w:vAlign w:val="center"/>
          </w:tcPr>
          <w:p w14:paraId="7E34D82D" w14:textId="7DD0900B" w:rsidR="002C05AF" w:rsidRPr="00731FE2" w:rsidRDefault="00BE12F8" w:rsidP="002C05AF">
            <w:pPr>
              <w:spacing w:line="240" w:lineRule="auto"/>
              <w:ind w:firstLine="0"/>
              <w:jc w:val="center"/>
              <w:rPr>
                <w:rFonts w:ascii="Times New Roman" w:eastAsia="Times New Roman" w:hAnsi="Times New Roman" w:cs="Times New Roman"/>
                <w:b/>
                <w:sz w:val="22"/>
                <w:lang w:eastAsia="ru-RU"/>
              </w:rPr>
            </w:pPr>
            <w:r w:rsidRPr="00731FE2">
              <w:rPr>
                <w:rFonts w:ascii="Times New Roman" w:eastAsia="Times New Roman" w:hAnsi="Times New Roman" w:cs="Times New Roman"/>
                <w:b/>
                <w:sz w:val="22"/>
                <w:lang w:eastAsia="ru-RU"/>
              </w:rPr>
              <w:t>12297,79</w:t>
            </w:r>
          </w:p>
        </w:tc>
      </w:tr>
      <w:tr w:rsidR="002C05AF" w:rsidRPr="00731FE2" w14:paraId="462684A1" w14:textId="77777777" w:rsidTr="0024774D">
        <w:trPr>
          <w:trHeight w:val="58"/>
          <w:tblCellSpacing w:w="0" w:type="dxa"/>
        </w:trPr>
        <w:tc>
          <w:tcPr>
            <w:tcW w:w="0" w:type="auto"/>
            <w:vMerge/>
            <w:tcBorders>
              <w:top w:val="nil"/>
              <w:left w:val="single" w:sz="8" w:space="0" w:color="000000"/>
              <w:bottom w:val="single" w:sz="8" w:space="0" w:color="000000"/>
              <w:right w:val="single" w:sz="8" w:space="0" w:color="000000"/>
            </w:tcBorders>
            <w:vAlign w:val="center"/>
            <w:hideMark/>
          </w:tcPr>
          <w:p w14:paraId="1F9A91E0" w14:textId="77777777" w:rsidR="002C05AF" w:rsidRPr="00731FE2" w:rsidRDefault="002C05AF" w:rsidP="002C05AF">
            <w:pPr>
              <w:spacing w:line="240" w:lineRule="auto"/>
              <w:ind w:firstLine="0"/>
              <w:jc w:val="left"/>
              <w:rPr>
                <w:rFonts w:ascii="Times New Roman" w:eastAsia="Times New Roman" w:hAnsi="Times New Roman" w:cs="Times New Roman"/>
                <w:sz w:val="22"/>
                <w:lang w:eastAsia="ru-RU"/>
              </w:rPr>
            </w:pPr>
          </w:p>
        </w:tc>
        <w:tc>
          <w:tcPr>
            <w:tcW w:w="3417" w:type="dxa"/>
            <w:tcBorders>
              <w:top w:val="nil"/>
              <w:left w:val="nil"/>
              <w:bottom w:val="single" w:sz="8" w:space="0" w:color="000000"/>
              <w:right w:val="single" w:sz="8" w:space="0" w:color="000000"/>
            </w:tcBorders>
            <w:vAlign w:val="center"/>
            <w:hideMark/>
          </w:tcPr>
          <w:p w14:paraId="07DB0077" w14:textId="77777777" w:rsidR="002C05AF" w:rsidRPr="00731FE2" w:rsidRDefault="002C05AF" w:rsidP="002C05AF">
            <w:pPr>
              <w:spacing w:line="240" w:lineRule="auto"/>
              <w:ind w:firstLine="0"/>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Зоны рекреационного назначения</w:t>
            </w:r>
          </w:p>
        </w:tc>
        <w:tc>
          <w:tcPr>
            <w:tcW w:w="1525" w:type="dxa"/>
            <w:tcBorders>
              <w:top w:val="nil"/>
              <w:left w:val="nil"/>
              <w:bottom w:val="single" w:sz="8" w:space="0" w:color="000000"/>
              <w:right w:val="single" w:sz="8" w:space="0" w:color="000000"/>
            </w:tcBorders>
            <w:vAlign w:val="center"/>
            <w:hideMark/>
          </w:tcPr>
          <w:p w14:paraId="77AD90A5" w14:textId="77777777" w:rsidR="002C05AF" w:rsidRPr="00731FE2" w:rsidRDefault="002C05AF" w:rsidP="0024774D">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sz w:val="22"/>
                <w:lang w:eastAsia="ru-RU"/>
              </w:rPr>
              <w:t>га</w:t>
            </w:r>
          </w:p>
        </w:tc>
        <w:tc>
          <w:tcPr>
            <w:tcW w:w="1766" w:type="dxa"/>
            <w:tcBorders>
              <w:top w:val="nil"/>
              <w:left w:val="nil"/>
              <w:bottom w:val="single" w:sz="8" w:space="0" w:color="000000"/>
              <w:right w:val="single" w:sz="8" w:space="0" w:color="000000"/>
            </w:tcBorders>
            <w:vAlign w:val="center"/>
          </w:tcPr>
          <w:p w14:paraId="58930BB7" w14:textId="0323468C" w:rsidR="002C05AF" w:rsidRPr="00731FE2" w:rsidRDefault="00BE12F8" w:rsidP="002C05AF">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sz w:val="22"/>
                <w:lang w:eastAsia="ru-RU"/>
              </w:rPr>
              <w:t>9546,72</w:t>
            </w:r>
          </w:p>
        </w:tc>
        <w:tc>
          <w:tcPr>
            <w:tcW w:w="1766" w:type="dxa"/>
            <w:tcBorders>
              <w:top w:val="nil"/>
              <w:left w:val="nil"/>
              <w:bottom w:val="single" w:sz="8" w:space="0" w:color="000000"/>
              <w:right w:val="single" w:sz="8" w:space="0" w:color="000000"/>
            </w:tcBorders>
            <w:vAlign w:val="center"/>
          </w:tcPr>
          <w:p w14:paraId="1C355C66" w14:textId="24124E5D" w:rsidR="002C05AF" w:rsidRPr="00731FE2" w:rsidRDefault="00BE12F8" w:rsidP="002C05AF">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sz w:val="22"/>
                <w:lang w:eastAsia="ru-RU"/>
              </w:rPr>
              <w:t>9294,23</w:t>
            </w:r>
          </w:p>
        </w:tc>
      </w:tr>
      <w:tr w:rsidR="002C05AF" w:rsidRPr="00731FE2" w14:paraId="22D5A157" w14:textId="77777777" w:rsidTr="0024774D">
        <w:trPr>
          <w:trHeight w:val="58"/>
          <w:tblCellSpacing w:w="0" w:type="dxa"/>
        </w:trPr>
        <w:tc>
          <w:tcPr>
            <w:tcW w:w="0" w:type="auto"/>
            <w:vMerge/>
            <w:tcBorders>
              <w:top w:val="nil"/>
              <w:left w:val="single" w:sz="8" w:space="0" w:color="000000"/>
              <w:bottom w:val="single" w:sz="8" w:space="0" w:color="000000"/>
              <w:right w:val="single" w:sz="8" w:space="0" w:color="000000"/>
            </w:tcBorders>
            <w:vAlign w:val="center"/>
            <w:hideMark/>
          </w:tcPr>
          <w:p w14:paraId="4EBAEA95" w14:textId="77777777" w:rsidR="002C05AF" w:rsidRPr="00731FE2" w:rsidRDefault="002C05AF" w:rsidP="002C05AF">
            <w:pPr>
              <w:spacing w:line="240" w:lineRule="auto"/>
              <w:ind w:firstLine="0"/>
              <w:jc w:val="left"/>
              <w:rPr>
                <w:rFonts w:ascii="Times New Roman" w:eastAsia="Times New Roman" w:hAnsi="Times New Roman" w:cs="Times New Roman"/>
                <w:sz w:val="22"/>
                <w:lang w:eastAsia="ru-RU"/>
              </w:rPr>
            </w:pPr>
          </w:p>
        </w:tc>
        <w:tc>
          <w:tcPr>
            <w:tcW w:w="3417" w:type="dxa"/>
            <w:tcBorders>
              <w:top w:val="nil"/>
              <w:left w:val="nil"/>
              <w:bottom w:val="single" w:sz="8" w:space="0" w:color="000000"/>
              <w:right w:val="single" w:sz="8" w:space="0" w:color="000000"/>
            </w:tcBorders>
            <w:vAlign w:val="center"/>
            <w:hideMark/>
          </w:tcPr>
          <w:p w14:paraId="73C624A7" w14:textId="77777777" w:rsidR="002C05AF" w:rsidRPr="00731FE2" w:rsidRDefault="002C05AF" w:rsidP="002C05AF">
            <w:pPr>
              <w:spacing w:line="240" w:lineRule="auto"/>
              <w:ind w:firstLine="0"/>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Зона озелененных территорий общего пользования (лесопарки, парки, сады, скверы, бульвары, городские леса)</w:t>
            </w:r>
          </w:p>
        </w:tc>
        <w:tc>
          <w:tcPr>
            <w:tcW w:w="1525" w:type="dxa"/>
            <w:tcBorders>
              <w:top w:val="nil"/>
              <w:left w:val="nil"/>
              <w:bottom w:val="single" w:sz="8" w:space="0" w:color="000000"/>
              <w:right w:val="single" w:sz="8" w:space="0" w:color="000000"/>
            </w:tcBorders>
            <w:vAlign w:val="center"/>
            <w:hideMark/>
          </w:tcPr>
          <w:p w14:paraId="1379024C" w14:textId="77777777" w:rsidR="002C05AF" w:rsidRPr="00731FE2" w:rsidRDefault="002C05AF" w:rsidP="0024774D">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sz w:val="22"/>
                <w:lang w:eastAsia="ru-RU"/>
              </w:rPr>
              <w:t>га</w:t>
            </w:r>
          </w:p>
        </w:tc>
        <w:tc>
          <w:tcPr>
            <w:tcW w:w="1766" w:type="dxa"/>
            <w:tcBorders>
              <w:top w:val="nil"/>
              <w:left w:val="nil"/>
              <w:bottom w:val="single" w:sz="8" w:space="0" w:color="000000"/>
              <w:right w:val="single" w:sz="8" w:space="0" w:color="000000"/>
            </w:tcBorders>
            <w:vAlign w:val="center"/>
          </w:tcPr>
          <w:p w14:paraId="2459D92E" w14:textId="0DD7BCE9" w:rsidR="002C05AF" w:rsidRPr="00731FE2" w:rsidRDefault="002C05AF" w:rsidP="002C05AF">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sz w:val="22"/>
                <w:lang w:eastAsia="ru-RU"/>
              </w:rPr>
              <w:t>2342,28</w:t>
            </w:r>
          </w:p>
        </w:tc>
        <w:tc>
          <w:tcPr>
            <w:tcW w:w="1766" w:type="dxa"/>
            <w:tcBorders>
              <w:top w:val="nil"/>
              <w:left w:val="nil"/>
              <w:bottom w:val="single" w:sz="8" w:space="0" w:color="000000"/>
              <w:right w:val="single" w:sz="8" w:space="0" w:color="000000"/>
            </w:tcBorders>
            <w:vAlign w:val="center"/>
          </w:tcPr>
          <w:p w14:paraId="25ED7CB3" w14:textId="6FE2731C" w:rsidR="002C05AF" w:rsidRPr="00731FE2" w:rsidRDefault="00C974E7" w:rsidP="002C05AF">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sz w:val="22"/>
                <w:lang w:eastAsia="ru-RU"/>
              </w:rPr>
              <w:t>2315,59</w:t>
            </w:r>
          </w:p>
        </w:tc>
      </w:tr>
      <w:tr w:rsidR="002C05AF" w:rsidRPr="00731FE2" w14:paraId="7003486C" w14:textId="77777777" w:rsidTr="0024774D">
        <w:trPr>
          <w:trHeight w:val="58"/>
          <w:tblCellSpacing w:w="0" w:type="dxa"/>
        </w:trPr>
        <w:tc>
          <w:tcPr>
            <w:tcW w:w="0" w:type="auto"/>
            <w:vMerge/>
            <w:tcBorders>
              <w:top w:val="nil"/>
              <w:left w:val="single" w:sz="8" w:space="0" w:color="000000"/>
              <w:bottom w:val="single" w:sz="8" w:space="0" w:color="000000"/>
              <w:right w:val="single" w:sz="8" w:space="0" w:color="000000"/>
            </w:tcBorders>
            <w:vAlign w:val="center"/>
          </w:tcPr>
          <w:p w14:paraId="137E9B7F" w14:textId="77777777" w:rsidR="002C05AF" w:rsidRPr="00731FE2" w:rsidRDefault="002C05AF" w:rsidP="002C05AF">
            <w:pPr>
              <w:spacing w:line="240" w:lineRule="auto"/>
              <w:ind w:firstLine="0"/>
              <w:jc w:val="left"/>
              <w:rPr>
                <w:rFonts w:ascii="Times New Roman" w:eastAsia="Times New Roman" w:hAnsi="Times New Roman" w:cs="Times New Roman"/>
                <w:sz w:val="22"/>
                <w:lang w:eastAsia="ru-RU"/>
              </w:rPr>
            </w:pPr>
          </w:p>
        </w:tc>
        <w:tc>
          <w:tcPr>
            <w:tcW w:w="3417" w:type="dxa"/>
            <w:tcBorders>
              <w:top w:val="nil"/>
              <w:left w:val="nil"/>
              <w:bottom w:val="single" w:sz="8" w:space="0" w:color="000000"/>
              <w:right w:val="single" w:sz="8" w:space="0" w:color="000000"/>
            </w:tcBorders>
            <w:vAlign w:val="center"/>
          </w:tcPr>
          <w:p w14:paraId="7B200105" w14:textId="751DA845" w:rsidR="002C05AF" w:rsidRPr="00731FE2" w:rsidRDefault="002C05AF" w:rsidP="002C05AF">
            <w:pPr>
              <w:spacing w:line="240" w:lineRule="auto"/>
              <w:ind w:firstLine="0"/>
              <w:rPr>
                <w:rFonts w:ascii="Times New Roman" w:eastAsia="Times New Roman" w:hAnsi="Times New Roman" w:cs="Times New Roman"/>
                <w:color w:val="000000"/>
                <w:sz w:val="22"/>
                <w:lang w:eastAsia="ru-RU"/>
              </w:rPr>
            </w:pPr>
            <w:r w:rsidRPr="00731FE2">
              <w:rPr>
                <w:rFonts w:ascii="Times New Roman" w:eastAsia="Times New Roman" w:hAnsi="Times New Roman" w:cs="Times New Roman"/>
                <w:color w:val="000000"/>
                <w:sz w:val="22"/>
                <w:lang w:eastAsia="ru-RU"/>
              </w:rPr>
              <w:t>Зона отдыха</w:t>
            </w:r>
          </w:p>
        </w:tc>
        <w:tc>
          <w:tcPr>
            <w:tcW w:w="1525" w:type="dxa"/>
            <w:tcBorders>
              <w:top w:val="nil"/>
              <w:left w:val="nil"/>
              <w:bottom w:val="single" w:sz="8" w:space="0" w:color="000000"/>
              <w:right w:val="single" w:sz="8" w:space="0" w:color="000000"/>
            </w:tcBorders>
            <w:vAlign w:val="center"/>
          </w:tcPr>
          <w:p w14:paraId="15D40B43" w14:textId="21E23F92" w:rsidR="002C05AF" w:rsidRPr="00731FE2" w:rsidRDefault="002C05AF" w:rsidP="0024774D">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sz w:val="22"/>
                <w:lang w:eastAsia="ru-RU"/>
              </w:rPr>
              <w:t>га</w:t>
            </w:r>
          </w:p>
        </w:tc>
        <w:tc>
          <w:tcPr>
            <w:tcW w:w="1766" w:type="dxa"/>
            <w:tcBorders>
              <w:top w:val="nil"/>
              <w:left w:val="nil"/>
              <w:bottom w:val="single" w:sz="8" w:space="0" w:color="000000"/>
              <w:right w:val="single" w:sz="8" w:space="0" w:color="000000"/>
            </w:tcBorders>
            <w:vAlign w:val="center"/>
          </w:tcPr>
          <w:p w14:paraId="02C0D94B" w14:textId="748D7E1B" w:rsidR="002C05AF" w:rsidRPr="00731FE2" w:rsidRDefault="002C05AF" w:rsidP="002C05AF">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sz w:val="22"/>
                <w:lang w:eastAsia="ru-RU"/>
              </w:rPr>
              <w:t>302,82</w:t>
            </w:r>
          </w:p>
        </w:tc>
        <w:tc>
          <w:tcPr>
            <w:tcW w:w="1766" w:type="dxa"/>
            <w:tcBorders>
              <w:top w:val="nil"/>
              <w:left w:val="nil"/>
              <w:bottom w:val="single" w:sz="8" w:space="0" w:color="000000"/>
              <w:right w:val="single" w:sz="8" w:space="0" w:color="000000"/>
            </w:tcBorders>
            <w:vAlign w:val="center"/>
          </w:tcPr>
          <w:p w14:paraId="3B5CBE74" w14:textId="1BFCF162" w:rsidR="002C05AF" w:rsidRPr="00731FE2" w:rsidRDefault="002C05AF" w:rsidP="002C05AF">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sz w:val="22"/>
                <w:lang w:eastAsia="ru-RU"/>
              </w:rPr>
              <w:t>302,82</w:t>
            </w:r>
          </w:p>
        </w:tc>
      </w:tr>
      <w:tr w:rsidR="002C05AF" w:rsidRPr="00731FE2" w14:paraId="265B7F85" w14:textId="77777777" w:rsidTr="0024774D">
        <w:trPr>
          <w:trHeight w:val="58"/>
          <w:tblCellSpacing w:w="0" w:type="dxa"/>
        </w:trPr>
        <w:tc>
          <w:tcPr>
            <w:tcW w:w="0" w:type="auto"/>
            <w:vMerge/>
            <w:tcBorders>
              <w:top w:val="nil"/>
              <w:left w:val="single" w:sz="8" w:space="0" w:color="000000"/>
              <w:bottom w:val="single" w:sz="8" w:space="0" w:color="000000"/>
              <w:right w:val="single" w:sz="8" w:space="0" w:color="000000"/>
            </w:tcBorders>
            <w:vAlign w:val="center"/>
            <w:hideMark/>
          </w:tcPr>
          <w:p w14:paraId="789B56ED" w14:textId="77777777" w:rsidR="002C05AF" w:rsidRPr="00731FE2" w:rsidRDefault="002C05AF" w:rsidP="002C05AF">
            <w:pPr>
              <w:spacing w:line="240" w:lineRule="auto"/>
              <w:ind w:firstLine="0"/>
              <w:jc w:val="left"/>
              <w:rPr>
                <w:rFonts w:ascii="Times New Roman" w:eastAsia="Times New Roman" w:hAnsi="Times New Roman" w:cs="Times New Roman"/>
                <w:sz w:val="22"/>
                <w:lang w:eastAsia="ru-RU"/>
              </w:rPr>
            </w:pPr>
          </w:p>
        </w:tc>
        <w:tc>
          <w:tcPr>
            <w:tcW w:w="3417" w:type="dxa"/>
            <w:tcBorders>
              <w:top w:val="nil"/>
              <w:left w:val="nil"/>
              <w:bottom w:val="single" w:sz="8" w:space="0" w:color="000000"/>
              <w:right w:val="single" w:sz="8" w:space="0" w:color="000000"/>
            </w:tcBorders>
            <w:vAlign w:val="center"/>
            <w:hideMark/>
          </w:tcPr>
          <w:p w14:paraId="7A62B782" w14:textId="77777777" w:rsidR="002C05AF" w:rsidRPr="00731FE2" w:rsidRDefault="002C05AF" w:rsidP="002C05AF">
            <w:pPr>
              <w:spacing w:line="240" w:lineRule="auto"/>
              <w:ind w:firstLine="0"/>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Курортная зона</w:t>
            </w:r>
          </w:p>
        </w:tc>
        <w:tc>
          <w:tcPr>
            <w:tcW w:w="1525" w:type="dxa"/>
            <w:tcBorders>
              <w:top w:val="nil"/>
              <w:left w:val="nil"/>
              <w:bottom w:val="single" w:sz="8" w:space="0" w:color="000000"/>
              <w:right w:val="single" w:sz="8" w:space="0" w:color="000000"/>
            </w:tcBorders>
            <w:vAlign w:val="center"/>
            <w:hideMark/>
          </w:tcPr>
          <w:p w14:paraId="3826E858" w14:textId="77777777" w:rsidR="002C05AF" w:rsidRPr="00731FE2" w:rsidRDefault="002C05AF" w:rsidP="0024774D">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sz w:val="22"/>
                <w:lang w:eastAsia="ru-RU"/>
              </w:rPr>
              <w:t>га</w:t>
            </w:r>
          </w:p>
        </w:tc>
        <w:tc>
          <w:tcPr>
            <w:tcW w:w="1766" w:type="dxa"/>
            <w:tcBorders>
              <w:top w:val="nil"/>
              <w:left w:val="nil"/>
              <w:bottom w:val="single" w:sz="8" w:space="0" w:color="000000"/>
              <w:right w:val="single" w:sz="8" w:space="0" w:color="000000"/>
            </w:tcBorders>
            <w:vAlign w:val="center"/>
          </w:tcPr>
          <w:p w14:paraId="47AC4405" w14:textId="6F087E2B" w:rsidR="002C05AF" w:rsidRPr="00731FE2" w:rsidRDefault="002C05AF" w:rsidP="002C05AF">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sz w:val="22"/>
                <w:lang w:eastAsia="ru-RU"/>
              </w:rPr>
              <w:t>385,05</w:t>
            </w:r>
          </w:p>
        </w:tc>
        <w:tc>
          <w:tcPr>
            <w:tcW w:w="1766" w:type="dxa"/>
            <w:tcBorders>
              <w:top w:val="nil"/>
              <w:left w:val="nil"/>
              <w:bottom w:val="single" w:sz="8" w:space="0" w:color="000000"/>
              <w:right w:val="single" w:sz="8" w:space="0" w:color="000000"/>
            </w:tcBorders>
            <w:vAlign w:val="center"/>
          </w:tcPr>
          <w:p w14:paraId="36BA5BAB" w14:textId="0D5D285E" w:rsidR="002C05AF" w:rsidRPr="00731FE2" w:rsidRDefault="002C05AF" w:rsidP="002C05AF">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sz w:val="22"/>
                <w:lang w:eastAsia="ru-RU"/>
              </w:rPr>
              <w:t>385,15</w:t>
            </w:r>
          </w:p>
        </w:tc>
      </w:tr>
      <w:tr w:rsidR="00DC1D4B" w:rsidRPr="00731FE2" w14:paraId="696CB554" w14:textId="77777777" w:rsidTr="0024774D">
        <w:trPr>
          <w:trHeight w:val="58"/>
          <w:tblCellSpacing w:w="0" w:type="dxa"/>
        </w:trPr>
        <w:tc>
          <w:tcPr>
            <w:tcW w:w="0" w:type="auto"/>
            <w:vMerge/>
            <w:tcBorders>
              <w:top w:val="nil"/>
              <w:left w:val="single" w:sz="8" w:space="0" w:color="000000"/>
              <w:bottom w:val="single" w:sz="8" w:space="0" w:color="000000"/>
              <w:right w:val="single" w:sz="8" w:space="0" w:color="000000"/>
            </w:tcBorders>
            <w:vAlign w:val="center"/>
          </w:tcPr>
          <w:p w14:paraId="26E8ADFE" w14:textId="77777777" w:rsidR="00DC1D4B" w:rsidRPr="00731FE2" w:rsidRDefault="00DC1D4B" w:rsidP="002C05AF">
            <w:pPr>
              <w:spacing w:line="240" w:lineRule="auto"/>
              <w:ind w:firstLine="0"/>
              <w:jc w:val="left"/>
              <w:rPr>
                <w:rFonts w:ascii="Times New Roman" w:eastAsia="Times New Roman" w:hAnsi="Times New Roman" w:cs="Times New Roman"/>
                <w:sz w:val="22"/>
                <w:lang w:eastAsia="ru-RU"/>
              </w:rPr>
            </w:pPr>
          </w:p>
        </w:tc>
        <w:tc>
          <w:tcPr>
            <w:tcW w:w="3417" w:type="dxa"/>
            <w:tcBorders>
              <w:top w:val="nil"/>
              <w:left w:val="nil"/>
              <w:bottom w:val="single" w:sz="8" w:space="0" w:color="000000"/>
              <w:right w:val="single" w:sz="8" w:space="0" w:color="000000"/>
            </w:tcBorders>
            <w:vAlign w:val="center"/>
          </w:tcPr>
          <w:p w14:paraId="4767AC2F" w14:textId="72E9B1BE" w:rsidR="00DC1D4B" w:rsidRPr="00731FE2" w:rsidRDefault="00DC1D4B" w:rsidP="002C05AF">
            <w:pPr>
              <w:spacing w:line="240" w:lineRule="auto"/>
              <w:ind w:firstLine="0"/>
              <w:rPr>
                <w:rFonts w:ascii="Times New Roman" w:eastAsia="Times New Roman" w:hAnsi="Times New Roman" w:cs="Times New Roman"/>
                <w:color w:val="000000"/>
                <w:sz w:val="22"/>
                <w:lang w:eastAsia="ru-RU"/>
              </w:rPr>
            </w:pPr>
            <w:r w:rsidRPr="00731FE2">
              <w:rPr>
                <w:rFonts w:ascii="Times New Roman" w:eastAsia="Arial Narrow" w:hAnsi="Times New Roman" w:cs="Times New Roman"/>
                <w:b/>
                <w:color w:val="000000"/>
                <w:sz w:val="22"/>
              </w:rPr>
              <w:t xml:space="preserve">Зоны сельскохозяйственного использования, </w:t>
            </w:r>
            <w:r w:rsidRPr="00731FE2">
              <w:rPr>
                <w:rFonts w:ascii="Times New Roman" w:eastAsia="Arial Narrow" w:hAnsi="Times New Roman" w:cs="Times New Roman"/>
                <w:color w:val="000000"/>
                <w:sz w:val="22"/>
              </w:rPr>
              <w:t>в том числе:</w:t>
            </w:r>
          </w:p>
        </w:tc>
        <w:tc>
          <w:tcPr>
            <w:tcW w:w="1525" w:type="dxa"/>
            <w:tcBorders>
              <w:top w:val="nil"/>
              <w:left w:val="nil"/>
              <w:bottom w:val="single" w:sz="8" w:space="0" w:color="000000"/>
              <w:right w:val="single" w:sz="8" w:space="0" w:color="000000"/>
            </w:tcBorders>
            <w:vAlign w:val="center"/>
          </w:tcPr>
          <w:p w14:paraId="6F4568C7" w14:textId="0A54B30C" w:rsidR="00DC1D4B" w:rsidRPr="00731FE2" w:rsidRDefault="00DC1D4B" w:rsidP="0024774D">
            <w:pPr>
              <w:spacing w:line="240" w:lineRule="auto"/>
              <w:ind w:firstLine="0"/>
              <w:jc w:val="center"/>
              <w:rPr>
                <w:rFonts w:ascii="Times New Roman" w:eastAsia="Times New Roman" w:hAnsi="Times New Roman" w:cs="Times New Roman"/>
                <w:sz w:val="22"/>
                <w:lang w:eastAsia="ru-RU"/>
              </w:rPr>
            </w:pPr>
            <w:r w:rsidRPr="00731FE2">
              <w:rPr>
                <w:rFonts w:ascii="Times New Roman" w:eastAsia="Arial Narrow" w:hAnsi="Times New Roman" w:cs="Times New Roman"/>
                <w:b/>
                <w:sz w:val="22"/>
              </w:rPr>
              <w:t>га</w:t>
            </w:r>
          </w:p>
        </w:tc>
        <w:tc>
          <w:tcPr>
            <w:tcW w:w="1766" w:type="dxa"/>
            <w:tcBorders>
              <w:top w:val="nil"/>
              <w:left w:val="nil"/>
              <w:bottom w:val="single" w:sz="8" w:space="0" w:color="000000"/>
              <w:right w:val="single" w:sz="8" w:space="0" w:color="000000"/>
            </w:tcBorders>
            <w:vAlign w:val="center"/>
          </w:tcPr>
          <w:p w14:paraId="54D19519" w14:textId="20F72C30" w:rsidR="00DC1D4B" w:rsidRPr="00731FE2" w:rsidRDefault="00DC1D4B" w:rsidP="002C05AF">
            <w:pPr>
              <w:spacing w:line="240" w:lineRule="auto"/>
              <w:ind w:firstLine="0"/>
              <w:jc w:val="center"/>
              <w:rPr>
                <w:rFonts w:ascii="Times New Roman" w:eastAsia="Times New Roman" w:hAnsi="Times New Roman" w:cs="Times New Roman"/>
                <w:b/>
                <w:sz w:val="22"/>
                <w:lang w:eastAsia="ru-RU"/>
              </w:rPr>
            </w:pPr>
            <w:r w:rsidRPr="00731FE2">
              <w:rPr>
                <w:rFonts w:ascii="Times New Roman" w:eastAsia="Times New Roman" w:hAnsi="Times New Roman" w:cs="Times New Roman"/>
                <w:b/>
                <w:sz w:val="22"/>
                <w:lang w:eastAsia="ru-RU"/>
              </w:rPr>
              <w:t>0</w:t>
            </w:r>
          </w:p>
        </w:tc>
        <w:tc>
          <w:tcPr>
            <w:tcW w:w="1766" w:type="dxa"/>
            <w:tcBorders>
              <w:top w:val="nil"/>
              <w:left w:val="nil"/>
              <w:bottom w:val="single" w:sz="8" w:space="0" w:color="000000"/>
              <w:right w:val="single" w:sz="8" w:space="0" w:color="000000"/>
            </w:tcBorders>
            <w:vAlign w:val="center"/>
          </w:tcPr>
          <w:p w14:paraId="0751D533" w14:textId="1ADA1420" w:rsidR="00DC1D4B" w:rsidRPr="00731FE2" w:rsidRDefault="00DC1D4B" w:rsidP="002C05AF">
            <w:pPr>
              <w:spacing w:line="240" w:lineRule="auto"/>
              <w:ind w:firstLine="0"/>
              <w:jc w:val="center"/>
              <w:rPr>
                <w:rFonts w:ascii="Times New Roman" w:eastAsia="Times New Roman" w:hAnsi="Times New Roman" w:cs="Times New Roman"/>
                <w:b/>
                <w:sz w:val="22"/>
                <w:lang w:eastAsia="ru-RU"/>
              </w:rPr>
            </w:pPr>
            <w:r w:rsidRPr="00731FE2">
              <w:rPr>
                <w:rFonts w:ascii="Times New Roman" w:eastAsia="Times New Roman" w:hAnsi="Times New Roman" w:cs="Times New Roman"/>
                <w:b/>
                <w:sz w:val="22"/>
                <w:lang w:eastAsia="ru-RU"/>
              </w:rPr>
              <w:t>8,03</w:t>
            </w:r>
          </w:p>
        </w:tc>
      </w:tr>
      <w:tr w:rsidR="00DC1D4B" w:rsidRPr="00731FE2" w14:paraId="44A5C2F3" w14:textId="77777777" w:rsidTr="0024774D">
        <w:trPr>
          <w:trHeight w:val="58"/>
          <w:tblCellSpacing w:w="0" w:type="dxa"/>
        </w:trPr>
        <w:tc>
          <w:tcPr>
            <w:tcW w:w="0" w:type="auto"/>
            <w:vMerge/>
            <w:tcBorders>
              <w:top w:val="nil"/>
              <w:left w:val="single" w:sz="8" w:space="0" w:color="000000"/>
              <w:bottom w:val="single" w:sz="8" w:space="0" w:color="000000"/>
              <w:right w:val="single" w:sz="8" w:space="0" w:color="000000"/>
            </w:tcBorders>
            <w:vAlign w:val="center"/>
          </w:tcPr>
          <w:p w14:paraId="284E21C7" w14:textId="77777777" w:rsidR="00DC1D4B" w:rsidRPr="00731FE2" w:rsidRDefault="00DC1D4B" w:rsidP="002C05AF">
            <w:pPr>
              <w:spacing w:line="240" w:lineRule="auto"/>
              <w:ind w:firstLine="0"/>
              <w:jc w:val="left"/>
              <w:rPr>
                <w:rFonts w:ascii="Times New Roman" w:eastAsia="Times New Roman" w:hAnsi="Times New Roman" w:cs="Times New Roman"/>
                <w:sz w:val="22"/>
                <w:lang w:eastAsia="ru-RU"/>
              </w:rPr>
            </w:pPr>
          </w:p>
        </w:tc>
        <w:tc>
          <w:tcPr>
            <w:tcW w:w="3417" w:type="dxa"/>
            <w:tcBorders>
              <w:top w:val="nil"/>
              <w:left w:val="nil"/>
              <w:bottom w:val="single" w:sz="8" w:space="0" w:color="000000"/>
              <w:right w:val="single" w:sz="8" w:space="0" w:color="000000"/>
            </w:tcBorders>
            <w:vAlign w:val="center"/>
          </w:tcPr>
          <w:p w14:paraId="58729041" w14:textId="1585B533" w:rsidR="00DC1D4B" w:rsidRPr="00731FE2" w:rsidRDefault="00DC1D4B" w:rsidP="002C05AF">
            <w:pPr>
              <w:spacing w:line="240" w:lineRule="auto"/>
              <w:ind w:firstLine="0"/>
              <w:rPr>
                <w:rFonts w:ascii="Times New Roman" w:eastAsia="Times New Roman" w:hAnsi="Times New Roman" w:cs="Times New Roman"/>
                <w:color w:val="000000"/>
                <w:sz w:val="22"/>
                <w:lang w:eastAsia="ru-RU"/>
              </w:rPr>
            </w:pPr>
            <w:r w:rsidRPr="00731FE2">
              <w:rPr>
                <w:rFonts w:ascii="Times New Roman" w:eastAsia="Arial Narrow" w:hAnsi="Times New Roman" w:cs="Times New Roman"/>
                <w:color w:val="000000"/>
                <w:sz w:val="22"/>
              </w:rPr>
              <w:t>Производственная зона сельскохозяйственных предприятий</w:t>
            </w:r>
          </w:p>
        </w:tc>
        <w:tc>
          <w:tcPr>
            <w:tcW w:w="1525" w:type="dxa"/>
            <w:tcBorders>
              <w:top w:val="nil"/>
              <w:left w:val="nil"/>
              <w:bottom w:val="single" w:sz="8" w:space="0" w:color="000000"/>
              <w:right w:val="single" w:sz="8" w:space="0" w:color="000000"/>
            </w:tcBorders>
            <w:vAlign w:val="center"/>
          </w:tcPr>
          <w:p w14:paraId="3E14F9F6" w14:textId="499BFE46" w:rsidR="00DC1D4B" w:rsidRPr="00731FE2" w:rsidRDefault="00DC1D4B" w:rsidP="0024774D">
            <w:pPr>
              <w:spacing w:line="240" w:lineRule="auto"/>
              <w:ind w:firstLine="0"/>
              <w:jc w:val="center"/>
              <w:rPr>
                <w:rFonts w:ascii="Times New Roman" w:eastAsia="Times New Roman" w:hAnsi="Times New Roman" w:cs="Times New Roman"/>
                <w:sz w:val="22"/>
                <w:lang w:eastAsia="ru-RU"/>
              </w:rPr>
            </w:pPr>
            <w:r w:rsidRPr="00731FE2">
              <w:rPr>
                <w:rFonts w:ascii="Times New Roman" w:eastAsia="Arial Narrow" w:hAnsi="Times New Roman" w:cs="Times New Roman"/>
                <w:sz w:val="22"/>
              </w:rPr>
              <w:t>га</w:t>
            </w:r>
          </w:p>
        </w:tc>
        <w:tc>
          <w:tcPr>
            <w:tcW w:w="1766" w:type="dxa"/>
            <w:tcBorders>
              <w:top w:val="nil"/>
              <w:left w:val="nil"/>
              <w:bottom w:val="single" w:sz="8" w:space="0" w:color="000000"/>
              <w:right w:val="single" w:sz="8" w:space="0" w:color="000000"/>
            </w:tcBorders>
            <w:vAlign w:val="center"/>
          </w:tcPr>
          <w:p w14:paraId="45C61EDE" w14:textId="45852C09" w:rsidR="00DC1D4B" w:rsidRPr="00731FE2" w:rsidRDefault="00DC1D4B" w:rsidP="002C05AF">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sz w:val="22"/>
                <w:lang w:eastAsia="ru-RU"/>
              </w:rPr>
              <w:t>0</w:t>
            </w:r>
          </w:p>
        </w:tc>
        <w:tc>
          <w:tcPr>
            <w:tcW w:w="1766" w:type="dxa"/>
            <w:tcBorders>
              <w:top w:val="nil"/>
              <w:left w:val="nil"/>
              <w:bottom w:val="single" w:sz="8" w:space="0" w:color="000000"/>
              <w:right w:val="single" w:sz="8" w:space="0" w:color="000000"/>
            </w:tcBorders>
            <w:vAlign w:val="center"/>
          </w:tcPr>
          <w:p w14:paraId="5C9B15F2" w14:textId="4566FBE3" w:rsidR="00DC1D4B" w:rsidRPr="00731FE2" w:rsidRDefault="00DC1D4B" w:rsidP="002C05AF">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sz w:val="22"/>
                <w:lang w:eastAsia="ru-RU"/>
              </w:rPr>
              <w:t>8,03</w:t>
            </w:r>
          </w:p>
        </w:tc>
      </w:tr>
      <w:tr w:rsidR="002C05AF" w:rsidRPr="00731FE2" w14:paraId="65A2B4CE" w14:textId="77777777" w:rsidTr="0024774D">
        <w:trPr>
          <w:trHeight w:val="58"/>
          <w:tblCellSpacing w:w="0" w:type="dxa"/>
        </w:trPr>
        <w:tc>
          <w:tcPr>
            <w:tcW w:w="0" w:type="auto"/>
            <w:vMerge/>
            <w:tcBorders>
              <w:top w:val="nil"/>
              <w:left w:val="single" w:sz="8" w:space="0" w:color="000000"/>
              <w:bottom w:val="single" w:sz="8" w:space="0" w:color="000000"/>
              <w:right w:val="single" w:sz="8" w:space="0" w:color="000000"/>
            </w:tcBorders>
            <w:vAlign w:val="center"/>
            <w:hideMark/>
          </w:tcPr>
          <w:p w14:paraId="1F37E756" w14:textId="77777777" w:rsidR="002C05AF" w:rsidRPr="00731FE2" w:rsidRDefault="002C05AF" w:rsidP="002C05AF">
            <w:pPr>
              <w:spacing w:line="240" w:lineRule="auto"/>
              <w:ind w:firstLine="0"/>
              <w:jc w:val="left"/>
              <w:rPr>
                <w:rFonts w:ascii="Times New Roman" w:eastAsia="Times New Roman" w:hAnsi="Times New Roman" w:cs="Times New Roman"/>
                <w:sz w:val="22"/>
                <w:lang w:eastAsia="ru-RU"/>
              </w:rPr>
            </w:pPr>
          </w:p>
        </w:tc>
        <w:tc>
          <w:tcPr>
            <w:tcW w:w="3417" w:type="dxa"/>
            <w:tcBorders>
              <w:top w:val="nil"/>
              <w:left w:val="nil"/>
              <w:bottom w:val="single" w:sz="8" w:space="0" w:color="000000"/>
              <w:right w:val="single" w:sz="8" w:space="0" w:color="000000"/>
            </w:tcBorders>
            <w:vAlign w:val="center"/>
            <w:hideMark/>
          </w:tcPr>
          <w:p w14:paraId="3EB295CD" w14:textId="77777777" w:rsidR="002C05AF" w:rsidRPr="00731FE2" w:rsidRDefault="002C05AF" w:rsidP="002C05AF">
            <w:pPr>
              <w:spacing w:line="240" w:lineRule="auto"/>
              <w:ind w:firstLine="0"/>
              <w:rPr>
                <w:rFonts w:ascii="Times New Roman" w:eastAsia="Times New Roman" w:hAnsi="Times New Roman" w:cs="Times New Roman"/>
                <w:sz w:val="22"/>
                <w:lang w:eastAsia="ru-RU"/>
              </w:rPr>
            </w:pPr>
            <w:r w:rsidRPr="00731FE2">
              <w:rPr>
                <w:rFonts w:ascii="Times New Roman" w:eastAsia="Times New Roman" w:hAnsi="Times New Roman" w:cs="Times New Roman"/>
                <w:b/>
                <w:bCs/>
                <w:color w:val="000000"/>
                <w:sz w:val="22"/>
                <w:lang w:eastAsia="ru-RU"/>
              </w:rPr>
              <w:t xml:space="preserve">Зоны специального назначения, </w:t>
            </w:r>
            <w:r w:rsidRPr="00731FE2">
              <w:rPr>
                <w:rFonts w:ascii="Times New Roman" w:eastAsia="Times New Roman" w:hAnsi="Times New Roman" w:cs="Times New Roman"/>
                <w:color w:val="000000"/>
                <w:sz w:val="22"/>
                <w:lang w:eastAsia="ru-RU"/>
              </w:rPr>
              <w:t>в том числе:</w:t>
            </w:r>
          </w:p>
        </w:tc>
        <w:tc>
          <w:tcPr>
            <w:tcW w:w="1525" w:type="dxa"/>
            <w:tcBorders>
              <w:top w:val="nil"/>
              <w:left w:val="nil"/>
              <w:bottom w:val="single" w:sz="8" w:space="0" w:color="000000"/>
              <w:right w:val="single" w:sz="8" w:space="0" w:color="000000"/>
            </w:tcBorders>
            <w:vAlign w:val="center"/>
            <w:hideMark/>
          </w:tcPr>
          <w:p w14:paraId="64299EDB" w14:textId="77777777" w:rsidR="002C05AF" w:rsidRPr="00731FE2" w:rsidRDefault="002C05AF" w:rsidP="0024774D">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b/>
                <w:bCs/>
                <w:sz w:val="22"/>
                <w:lang w:eastAsia="ru-RU"/>
              </w:rPr>
              <w:t>га</w:t>
            </w:r>
          </w:p>
        </w:tc>
        <w:tc>
          <w:tcPr>
            <w:tcW w:w="1766" w:type="dxa"/>
            <w:tcBorders>
              <w:top w:val="nil"/>
              <w:left w:val="nil"/>
              <w:bottom w:val="single" w:sz="8" w:space="0" w:color="000000"/>
              <w:right w:val="single" w:sz="8" w:space="0" w:color="000000"/>
            </w:tcBorders>
            <w:vAlign w:val="center"/>
          </w:tcPr>
          <w:p w14:paraId="2BC0190B" w14:textId="45C24D48" w:rsidR="002C05AF" w:rsidRPr="00731FE2" w:rsidRDefault="002C05AF" w:rsidP="002C05AF">
            <w:pPr>
              <w:spacing w:line="240" w:lineRule="auto"/>
              <w:ind w:firstLine="0"/>
              <w:jc w:val="center"/>
              <w:rPr>
                <w:rFonts w:ascii="Times New Roman" w:eastAsia="Times New Roman" w:hAnsi="Times New Roman" w:cs="Times New Roman"/>
                <w:b/>
                <w:bCs/>
                <w:sz w:val="22"/>
                <w:lang w:eastAsia="ru-RU"/>
              </w:rPr>
            </w:pPr>
            <w:r w:rsidRPr="00731FE2">
              <w:rPr>
                <w:rFonts w:ascii="Times New Roman" w:eastAsia="Times New Roman" w:hAnsi="Times New Roman" w:cs="Times New Roman"/>
                <w:b/>
                <w:bCs/>
                <w:sz w:val="22"/>
                <w:lang w:eastAsia="ru-RU"/>
              </w:rPr>
              <w:t>58,30</w:t>
            </w:r>
          </w:p>
        </w:tc>
        <w:tc>
          <w:tcPr>
            <w:tcW w:w="1766" w:type="dxa"/>
            <w:tcBorders>
              <w:top w:val="nil"/>
              <w:left w:val="nil"/>
              <w:bottom w:val="single" w:sz="8" w:space="0" w:color="000000"/>
              <w:right w:val="single" w:sz="8" w:space="0" w:color="000000"/>
            </w:tcBorders>
            <w:vAlign w:val="center"/>
          </w:tcPr>
          <w:p w14:paraId="038D7A8A" w14:textId="7F2D3976" w:rsidR="002C05AF" w:rsidRPr="00731FE2" w:rsidRDefault="00023B24" w:rsidP="002C05AF">
            <w:pPr>
              <w:spacing w:line="240" w:lineRule="auto"/>
              <w:ind w:firstLine="0"/>
              <w:jc w:val="center"/>
              <w:rPr>
                <w:rFonts w:ascii="Times New Roman" w:eastAsia="Times New Roman" w:hAnsi="Times New Roman" w:cs="Times New Roman"/>
                <w:b/>
                <w:sz w:val="22"/>
                <w:lang w:eastAsia="ru-RU"/>
              </w:rPr>
            </w:pPr>
            <w:r w:rsidRPr="00731FE2">
              <w:rPr>
                <w:rFonts w:ascii="Times New Roman" w:eastAsia="Times New Roman" w:hAnsi="Times New Roman" w:cs="Times New Roman"/>
                <w:b/>
                <w:sz w:val="22"/>
                <w:lang w:eastAsia="ru-RU"/>
              </w:rPr>
              <w:t>116,03</w:t>
            </w:r>
          </w:p>
        </w:tc>
      </w:tr>
      <w:tr w:rsidR="002C05AF" w:rsidRPr="00731FE2" w14:paraId="1C0034D3" w14:textId="77777777" w:rsidTr="0024774D">
        <w:trPr>
          <w:trHeight w:val="58"/>
          <w:tblCellSpacing w:w="0" w:type="dxa"/>
        </w:trPr>
        <w:tc>
          <w:tcPr>
            <w:tcW w:w="0" w:type="auto"/>
            <w:vMerge/>
            <w:tcBorders>
              <w:top w:val="nil"/>
              <w:left w:val="single" w:sz="8" w:space="0" w:color="000000"/>
              <w:bottom w:val="single" w:sz="8" w:space="0" w:color="000000"/>
              <w:right w:val="single" w:sz="8" w:space="0" w:color="000000"/>
            </w:tcBorders>
            <w:vAlign w:val="center"/>
            <w:hideMark/>
          </w:tcPr>
          <w:p w14:paraId="2DFF3747" w14:textId="77777777" w:rsidR="002C05AF" w:rsidRPr="00731FE2" w:rsidRDefault="002C05AF" w:rsidP="002C05AF">
            <w:pPr>
              <w:spacing w:line="240" w:lineRule="auto"/>
              <w:ind w:firstLine="0"/>
              <w:jc w:val="left"/>
              <w:rPr>
                <w:rFonts w:ascii="Times New Roman" w:eastAsia="Times New Roman" w:hAnsi="Times New Roman" w:cs="Times New Roman"/>
                <w:sz w:val="22"/>
                <w:lang w:eastAsia="ru-RU"/>
              </w:rPr>
            </w:pPr>
          </w:p>
        </w:tc>
        <w:tc>
          <w:tcPr>
            <w:tcW w:w="3417" w:type="dxa"/>
            <w:tcBorders>
              <w:top w:val="nil"/>
              <w:left w:val="nil"/>
              <w:bottom w:val="single" w:sz="8" w:space="0" w:color="000000"/>
              <w:right w:val="single" w:sz="8" w:space="0" w:color="000000"/>
            </w:tcBorders>
            <w:vAlign w:val="center"/>
            <w:hideMark/>
          </w:tcPr>
          <w:p w14:paraId="32F85C9C" w14:textId="77777777" w:rsidR="002C05AF" w:rsidRPr="00731FE2" w:rsidRDefault="002C05AF" w:rsidP="002C05AF">
            <w:pPr>
              <w:spacing w:line="240" w:lineRule="auto"/>
              <w:ind w:firstLine="0"/>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Зона кладбищ</w:t>
            </w:r>
          </w:p>
        </w:tc>
        <w:tc>
          <w:tcPr>
            <w:tcW w:w="1525" w:type="dxa"/>
            <w:tcBorders>
              <w:top w:val="nil"/>
              <w:left w:val="nil"/>
              <w:bottom w:val="single" w:sz="8" w:space="0" w:color="000000"/>
              <w:right w:val="single" w:sz="8" w:space="0" w:color="000000"/>
            </w:tcBorders>
            <w:vAlign w:val="center"/>
            <w:hideMark/>
          </w:tcPr>
          <w:p w14:paraId="7D05A0E3" w14:textId="77777777" w:rsidR="002C05AF" w:rsidRPr="00731FE2" w:rsidRDefault="002C05AF" w:rsidP="0024774D">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sz w:val="22"/>
                <w:lang w:eastAsia="ru-RU"/>
              </w:rPr>
              <w:t>га</w:t>
            </w:r>
          </w:p>
        </w:tc>
        <w:tc>
          <w:tcPr>
            <w:tcW w:w="1766" w:type="dxa"/>
            <w:tcBorders>
              <w:top w:val="nil"/>
              <w:left w:val="nil"/>
              <w:bottom w:val="single" w:sz="8" w:space="0" w:color="000000"/>
              <w:right w:val="single" w:sz="8" w:space="0" w:color="000000"/>
            </w:tcBorders>
            <w:vAlign w:val="center"/>
          </w:tcPr>
          <w:p w14:paraId="5BFA2AF6" w14:textId="22317F7D" w:rsidR="002C05AF" w:rsidRPr="00731FE2" w:rsidRDefault="002C05AF" w:rsidP="002C05AF">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sz w:val="22"/>
                <w:lang w:eastAsia="ru-RU"/>
              </w:rPr>
              <w:t>45,17</w:t>
            </w:r>
          </w:p>
        </w:tc>
        <w:tc>
          <w:tcPr>
            <w:tcW w:w="1766" w:type="dxa"/>
            <w:tcBorders>
              <w:top w:val="nil"/>
              <w:left w:val="nil"/>
              <w:bottom w:val="single" w:sz="8" w:space="0" w:color="000000"/>
              <w:right w:val="single" w:sz="8" w:space="0" w:color="000000"/>
            </w:tcBorders>
            <w:vAlign w:val="center"/>
          </w:tcPr>
          <w:p w14:paraId="274EFB02" w14:textId="67000049" w:rsidR="002C05AF" w:rsidRPr="00731FE2" w:rsidRDefault="00023B24" w:rsidP="002C05AF">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sz w:val="22"/>
                <w:lang w:eastAsia="ru-RU"/>
              </w:rPr>
              <w:t>103,46</w:t>
            </w:r>
          </w:p>
        </w:tc>
      </w:tr>
      <w:tr w:rsidR="002C05AF" w:rsidRPr="00731FE2" w14:paraId="019099CE" w14:textId="77777777" w:rsidTr="0024774D">
        <w:trPr>
          <w:trHeight w:val="58"/>
          <w:tblCellSpacing w:w="0" w:type="dxa"/>
        </w:trPr>
        <w:tc>
          <w:tcPr>
            <w:tcW w:w="0" w:type="auto"/>
            <w:vMerge/>
            <w:tcBorders>
              <w:top w:val="nil"/>
              <w:left w:val="single" w:sz="8" w:space="0" w:color="000000"/>
              <w:bottom w:val="single" w:sz="8" w:space="0" w:color="000000"/>
              <w:right w:val="single" w:sz="8" w:space="0" w:color="000000"/>
            </w:tcBorders>
            <w:vAlign w:val="center"/>
            <w:hideMark/>
          </w:tcPr>
          <w:p w14:paraId="4EF745DD" w14:textId="77777777" w:rsidR="002C05AF" w:rsidRPr="00731FE2" w:rsidRDefault="002C05AF" w:rsidP="002C05AF">
            <w:pPr>
              <w:spacing w:line="240" w:lineRule="auto"/>
              <w:ind w:firstLine="0"/>
              <w:jc w:val="left"/>
              <w:rPr>
                <w:rFonts w:ascii="Times New Roman" w:eastAsia="Times New Roman" w:hAnsi="Times New Roman" w:cs="Times New Roman"/>
                <w:sz w:val="22"/>
                <w:lang w:eastAsia="ru-RU"/>
              </w:rPr>
            </w:pPr>
          </w:p>
        </w:tc>
        <w:tc>
          <w:tcPr>
            <w:tcW w:w="3417" w:type="dxa"/>
            <w:tcBorders>
              <w:top w:val="nil"/>
              <w:left w:val="nil"/>
              <w:bottom w:val="single" w:sz="8" w:space="0" w:color="000000"/>
              <w:right w:val="single" w:sz="8" w:space="0" w:color="000000"/>
            </w:tcBorders>
            <w:vAlign w:val="center"/>
            <w:hideMark/>
          </w:tcPr>
          <w:p w14:paraId="7F400680" w14:textId="77777777" w:rsidR="002C05AF" w:rsidRPr="00731FE2" w:rsidRDefault="002C05AF" w:rsidP="002C05AF">
            <w:pPr>
              <w:spacing w:line="240" w:lineRule="auto"/>
              <w:ind w:firstLine="0"/>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Зона режимных территорий</w:t>
            </w:r>
          </w:p>
        </w:tc>
        <w:tc>
          <w:tcPr>
            <w:tcW w:w="1525" w:type="dxa"/>
            <w:tcBorders>
              <w:top w:val="nil"/>
              <w:left w:val="nil"/>
              <w:bottom w:val="single" w:sz="8" w:space="0" w:color="000000"/>
              <w:right w:val="single" w:sz="8" w:space="0" w:color="000000"/>
            </w:tcBorders>
            <w:vAlign w:val="center"/>
            <w:hideMark/>
          </w:tcPr>
          <w:p w14:paraId="564646D2" w14:textId="77777777" w:rsidR="002C05AF" w:rsidRPr="00731FE2" w:rsidRDefault="002C05AF" w:rsidP="0024774D">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sz w:val="22"/>
                <w:lang w:eastAsia="ru-RU"/>
              </w:rPr>
              <w:t>га</w:t>
            </w:r>
          </w:p>
        </w:tc>
        <w:tc>
          <w:tcPr>
            <w:tcW w:w="1766" w:type="dxa"/>
            <w:tcBorders>
              <w:top w:val="nil"/>
              <w:left w:val="nil"/>
              <w:bottom w:val="single" w:sz="8" w:space="0" w:color="000000"/>
              <w:right w:val="single" w:sz="8" w:space="0" w:color="000000"/>
            </w:tcBorders>
            <w:vAlign w:val="center"/>
          </w:tcPr>
          <w:p w14:paraId="6117DCE6" w14:textId="4889F53A" w:rsidR="002C05AF" w:rsidRPr="00731FE2" w:rsidRDefault="002C05AF" w:rsidP="002C05AF">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sz w:val="22"/>
                <w:lang w:eastAsia="ru-RU"/>
              </w:rPr>
              <w:t>13,13</w:t>
            </w:r>
          </w:p>
        </w:tc>
        <w:tc>
          <w:tcPr>
            <w:tcW w:w="1766" w:type="dxa"/>
            <w:tcBorders>
              <w:top w:val="nil"/>
              <w:left w:val="nil"/>
              <w:bottom w:val="single" w:sz="8" w:space="0" w:color="000000"/>
              <w:right w:val="single" w:sz="8" w:space="0" w:color="000000"/>
            </w:tcBorders>
            <w:vAlign w:val="center"/>
          </w:tcPr>
          <w:p w14:paraId="6B8251FF" w14:textId="40103C43" w:rsidR="002C05AF" w:rsidRPr="00731FE2" w:rsidRDefault="00023B24" w:rsidP="002C05AF">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sz w:val="22"/>
                <w:lang w:eastAsia="ru-RU"/>
              </w:rPr>
              <w:t>12,57</w:t>
            </w:r>
          </w:p>
        </w:tc>
      </w:tr>
      <w:bookmarkEnd w:id="107"/>
      <w:tr w:rsidR="000B6128" w:rsidRPr="00731FE2" w14:paraId="5EBFDACD" w14:textId="77777777" w:rsidTr="00D154A0">
        <w:trPr>
          <w:trHeight w:val="58"/>
          <w:tblCellSpacing w:w="0" w:type="dxa"/>
        </w:trPr>
        <w:tc>
          <w:tcPr>
            <w:tcW w:w="9335" w:type="dxa"/>
            <w:gridSpan w:val="5"/>
            <w:tcBorders>
              <w:top w:val="nil"/>
              <w:left w:val="single" w:sz="8" w:space="0" w:color="000000"/>
              <w:bottom w:val="single" w:sz="8" w:space="0" w:color="000000"/>
              <w:right w:val="single" w:sz="8" w:space="0" w:color="000000"/>
            </w:tcBorders>
            <w:vAlign w:val="center"/>
            <w:hideMark/>
          </w:tcPr>
          <w:p w14:paraId="6D4081C9" w14:textId="7777777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b/>
                <w:bCs/>
                <w:color w:val="000000"/>
                <w:sz w:val="22"/>
                <w:lang w:eastAsia="ru-RU"/>
              </w:rPr>
              <w:t>п. Аликоновка</w:t>
            </w:r>
          </w:p>
        </w:tc>
      </w:tr>
      <w:tr w:rsidR="000B6128" w:rsidRPr="00731FE2" w14:paraId="589765FB" w14:textId="77777777" w:rsidTr="00FE28EA">
        <w:trPr>
          <w:trHeight w:val="58"/>
          <w:tblCellSpacing w:w="0" w:type="dxa"/>
        </w:trPr>
        <w:tc>
          <w:tcPr>
            <w:tcW w:w="861" w:type="dxa"/>
            <w:vMerge w:val="restart"/>
            <w:tcBorders>
              <w:top w:val="nil"/>
              <w:left w:val="single" w:sz="8" w:space="0" w:color="000000"/>
              <w:bottom w:val="single" w:sz="8" w:space="0" w:color="000000"/>
              <w:right w:val="single" w:sz="8" w:space="0" w:color="000000"/>
            </w:tcBorders>
            <w:vAlign w:val="center"/>
            <w:hideMark/>
          </w:tcPr>
          <w:p w14:paraId="0139E223" w14:textId="3FEB7B8D"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b/>
                <w:bCs/>
                <w:color w:val="000000"/>
                <w:sz w:val="22"/>
                <w:lang w:eastAsia="ru-RU"/>
              </w:rPr>
              <w:t>1.</w:t>
            </w:r>
            <w:r w:rsidR="00B043D3" w:rsidRPr="00731FE2">
              <w:rPr>
                <w:rFonts w:ascii="Times New Roman" w:eastAsia="Times New Roman" w:hAnsi="Times New Roman" w:cs="Times New Roman"/>
                <w:b/>
                <w:bCs/>
                <w:color w:val="000000"/>
                <w:sz w:val="22"/>
                <w:lang w:eastAsia="ru-RU"/>
              </w:rPr>
              <w:t>6</w:t>
            </w:r>
          </w:p>
        </w:tc>
        <w:tc>
          <w:tcPr>
            <w:tcW w:w="3417" w:type="dxa"/>
            <w:tcBorders>
              <w:top w:val="nil"/>
              <w:left w:val="nil"/>
              <w:bottom w:val="single" w:sz="8" w:space="0" w:color="000000"/>
              <w:right w:val="single" w:sz="8" w:space="0" w:color="000000"/>
            </w:tcBorders>
            <w:vAlign w:val="center"/>
            <w:hideMark/>
          </w:tcPr>
          <w:p w14:paraId="24A50F44" w14:textId="4C08E59F" w:rsidR="000B6128" w:rsidRPr="00731FE2" w:rsidRDefault="000B6128" w:rsidP="000B6128">
            <w:pPr>
              <w:spacing w:line="240" w:lineRule="auto"/>
              <w:ind w:firstLine="0"/>
              <w:rPr>
                <w:rFonts w:ascii="Times New Roman" w:eastAsia="Times New Roman" w:hAnsi="Times New Roman" w:cs="Times New Roman"/>
                <w:sz w:val="22"/>
                <w:lang w:eastAsia="ru-RU"/>
              </w:rPr>
            </w:pPr>
            <w:r w:rsidRPr="00731FE2">
              <w:rPr>
                <w:rFonts w:ascii="Times New Roman" w:eastAsia="Arial Narrow" w:hAnsi="Times New Roman" w:cs="Times New Roman"/>
                <w:b/>
                <w:color w:val="000000"/>
                <w:sz w:val="22"/>
              </w:rPr>
              <w:t>Общая площадь земель населенных пунктов</w:t>
            </w:r>
          </w:p>
        </w:tc>
        <w:tc>
          <w:tcPr>
            <w:tcW w:w="1525" w:type="dxa"/>
            <w:tcBorders>
              <w:top w:val="nil"/>
              <w:left w:val="nil"/>
              <w:bottom w:val="single" w:sz="8" w:space="0" w:color="000000"/>
              <w:right w:val="single" w:sz="8" w:space="0" w:color="000000"/>
            </w:tcBorders>
            <w:vAlign w:val="center"/>
            <w:hideMark/>
          </w:tcPr>
          <w:p w14:paraId="6B47602B" w14:textId="0AE64C74"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Arial Narrow" w:hAnsi="Times New Roman" w:cs="Times New Roman"/>
                <w:b/>
                <w:color w:val="000000"/>
                <w:sz w:val="22"/>
              </w:rPr>
              <w:t>га</w:t>
            </w:r>
          </w:p>
        </w:tc>
        <w:tc>
          <w:tcPr>
            <w:tcW w:w="1766" w:type="dxa"/>
            <w:tcBorders>
              <w:top w:val="nil"/>
              <w:left w:val="nil"/>
              <w:bottom w:val="single" w:sz="8" w:space="0" w:color="000000"/>
              <w:right w:val="single" w:sz="8" w:space="0" w:color="000000"/>
            </w:tcBorders>
            <w:vAlign w:val="center"/>
            <w:hideMark/>
          </w:tcPr>
          <w:p w14:paraId="2C414D5E" w14:textId="35B0657A"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hAnsi="Times New Roman" w:cs="Times New Roman"/>
                <w:b/>
                <w:bCs/>
                <w:sz w:val="22"/>
              </w:rPr>
              <w:t>87,47</w:t>
            </w:r>
          </w:p>
        </w:tc>
        <w:tc>
          <w:tcPr>
            <w:tcW w:w="1766" w:type="dxa"/>
            <w:tcBorders>
              <w:top w:val="nil"/>
              <w:left w:val="nil"/>
              <w:bottom w:val="single" w:sz="8" w:space="0" w:color="000000"/>
              <w:right w:val="single" w:sz="8" w:space="0" w:color="000000"/>
            </w:tcBorders>
            <w:vAlign w:val="center"/>
            <w:hideMark/>
          </w:tcPr>
          <w:p w14:paraId="6041D50E" w14:textId="4EAD1E0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hAnsi="Times New Roman" w:cs="Times New Roman"/>
                <w:b/>
                <w:bCs/>
                <w:sz w:val="22"/>
              </w:rPr>
              <w:t>103,76</w:t>
            </w:r>
          </w:p>
        </w:tc>
      </w:tr>
      <w:tr w:rsidR="000B6128" w:rsidRPr="00731FE2" w14:paraId="1B74AF9E" w14:textId="77777777" w:rsidTr="00FE28EA">
        <w:trPr>
          <w:trHeight w:val="58"/>
          <w:tblCellSpacing w:w="0" w:type="dxa"/>
        </w:trPr>
        <w:tc>
          <w:tcPr>
            <w:tcW w:w="0" w:type="auto"/>
            <w:vMerge/>
            <w:tcBorders>
              <w:top w:val="nil"/>
              <w:left w:val="single" w:sz="8" w:space="0" w:color="000000"/>
              <w:bottom w:val="single" w:sz="8" w:space="0" w:color="000000"/>
              <w:right w:val="single" w:sz="8" w:space="0" w:color="000000"/>
            </w:tcBorders>
            <w:vAlign w:val="center"/>
            <w:hideMark/>
          </w:tcPr>
          <w:p w14:paraId="43303D9A" w14:textId="77777777" w:rsidR="000B6128" w:rsidRPr="00731FE2" w:rsidRDefault="000B6128" w:rsidP="000B6128">
            <w:pPr>
              <w:spacing w:line="240" w:lineRule="auto"/>
              <w:ind w:firstLine="0"/>
              <w:jc w:val="left"/>
              <w:rPr>
                <w:rFonts w:ascii="Times New Roman" w:eastAsia="Times New Roman" w:hAnsi="Times New Roman" w:cs="Times New Roman"/>
                <w:sz w:val="22"/>
                <w:lang w:eastAsia="ru-RU"/>
              </w:rPr>
            </w:pPr>
          </w:p>
        </w:tc>
        <w:tc>
          <w:tcPr>
            <w:tcW w:w="3417" w:type="dxa"/>
            <w:tcBorders>
              <w:top w:val="nil"/>
              <w:left w:val="nil"/>
              <w:bottom w:val="single" w:sz="8" w:space="0" w:color="000000"/>
              <w:right w:val="single" w:sz="8" w:space="0" w:color="000000"/>
            </w:tcBorders>
            <w:vAlign w:val="center"/>
            <w:hideMark/>
          </w:tcPr>
          <w:p w14:paraId="2CB81A9B" w14:textId="7616C081" w:rsidR="000B6128" w:rsidRPr="00731FE2" w:rsidRDefault="000B6128" w:rsidP="000B6128">
            <w:pPr>
              <w:spacing w:line="240" w:lineRule="auto"/>
              <w:ind w:firstLine="0"/>
              <w:rPr>
                <w:rFonts w:ascii="Times New Roman" w:eastAsia="Times New Roman" w:hAnsi="Times New Roman" w:cs="Times New Roman"/>
                <w:sz w:val="22"/>
                <w:lang w:eastAsia="ru-RU"/>
              </w:rPr>
            </w:pPr>
            <w:r w:rsidRPr="00731FE2">
              <w:rPr>
                <w:rFonts w:ascii="Times New Roman" w:eastAsia="Arial Narrow" w:hAnsi="Times New Roman" w:cs="Times New Roman"/>
                <w:b/>
                <w:color w:val="000000"/>
                <w:sz w:val="22"/>
              </w:rPr>
              <w:t>Общая площадь функциональных зон (в границах п. Аликоновка)</w:t>
            </w:r>
          </w:p>
        </w:tc>
        <w:tc>
          <w:tcPr>
            <w:tcW w:w="1525" w:type="dxa"/>
            <w:tcBorders>
              <w:top w:val="nil"/>
              <w:left w:val="nil"/>
              <w:bottom w:val="single" w:sz="8" w:space="0" w:color="000000"/>
              <w:right w:val="single" w:sz="8" w:space="0" w:color="000000"/>
            </w:tcBorders>
            <w:vAlign w:val="center"/>
            <w:hideMark/>
          </w:tcPr>
          <w:p w14:paraId="2DE18819" w14:textId="0428F473"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Arial Narrow" w:hAnsi="Times New Roman" w:cs="Times New Roman"/>
                <w:b/>
                <w:color w:val="000000"/>
                <w:sz w:val="22"/>
              </w:rPr>
              <w:t>га</w:t>
            </w:r>
          </w:p>
        </w:tc>
        <w:tc>
          <w:tcPr>
            <w:tcW w:w="1766" w:type="dxa"/>
            <w:tcBorders>
              <w:top w:val="nil"/>
              <w:left w:val="nil"/>
              <w:bottom w:val="single" w:sz="8" w:space="0" w:color="000000"/>
              <w:right w:val="single" w:sz="8" w:space="0" w:color="000000"/>
            </w:tcBorders>
            <w:vAlign w:val="center"/>
            <w:hideMark/>
          </w:tcPr>
          <w:p w14:paraId="402EEE1D" w14:textId="72519B11"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hAnsi="Times New Roman" w:cs="Times New Roman"/>
                <w:b/>
                <w:bCs/>
                <w:sz w:val="22"/>
              </w:rPr>
              <w:t>87,47</w:t>
            </w:r>
          </w:p>
        </w:tc>
        <w:tc>
          <w:tcPr>
            <w:tcW w:w="1766" w:type="dxa"/>
            <w:tcBorders>
              <w:top w:val="nil"/>
              <w:left w:val="nil"/>
              <w:bottom w:val="single" w:sz="8" w:space="0" w:color="000000"/>
              <w:right w:val="single" w:sz="8" w:space="0" w:color="000000"/>
            </w:tcBorders>
            <w:vAlign w:val="center"/>
            <w:hideMark/>
          </w:tcPr>
          <w:p w14:paraId="6371AFDD" w14:textId="64D44C5E"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hAnsi="Times New Roman" w:cs="Times New Roman"/>
                <w:b/>
                <w:bCs/>
                <w:sz w:val="22"/>
              </w:rPr>
              <w:t>103,76</w:t>
            </w:r>
          </w:p>
        </w:tc>
      </w:tr>
      <w:tr w:rsidR="000B6128" w:rsidRPr="00731FE2" w14:paraId="775829AA" w14:textId="77777777" w:rsidTr="00FE28EA">
        <w:trPr>
          <w:trHeight w:val="58"/>
          <w:tblCellSpacing w:w="0" w:type="dxa"/>
        </w:trPr>
        <w:tc>
          <w:tcPr>
            <w:tcW w:w="0" w:type="auto"/>
            <w:vMerge/>
            <w:tcBorders>
              <w:top w:val="nil"/>
              <w:left w:val="single" w:sz="8" w:space="0" w:color="000000"/>
              <w:bottom w:val="single" w:sz="8" w:space="0" w:color="000000"/>
              <w:right w:val="single" w:sz="8" w:space="0" w:color="000000"/>
            </w:tcBorders>
            <w:vAlign w:val="center"/>
            <w:hideMark/>
          </w:tcPr>
          <w:p w14:paraId="6681FD50" w14:textId="77777777" w:rsidR="000B6128" w:rsidRPr="00731FE2" w:rsidRDefault="000B6128" w:rsidP="000B6128">
            <w:pPr>
              <w:spacing w:line="240" w:lineRule="auto"/>
              <w:ind w:firstLine="0"/>
              <w:jc w:val="left"/>
              <w:rPr>
                <w:rFonts w:ascii="Times New Roman" w:eastAsia="Times New Roman" w:hAnsi="Times New Roman" w:cs="Times New Roman"/>
                <w:sz w:val="22"/>
                <w:lang w:eastAsia="ru-RU"/>
              </w:rPr>
            </w:pPr>
          </w:p>
        </w:tc>
        <w:tc>
          <w:tcPr>
            <w:tcW w:w="3417" w:type="dxa"/>
            <w:tcBorders>
              <w:top w:val="nil"/>
              <w:left w:val="nil"/>
              <w:bottom w:val="single" w:sz="8" w:space="0" w:color="000000"/>
              <w:right w:val="single" w:sz="8" w:space="0" w:color="000000"/>
            </w:tcBorders>
            <w:vAlign w:val="center"/>
            <w:hideMark/>
          </w:tcPr>
          <w:p w14:paraId="23DFD9C1" w14:textId="0E6C58A5" w:rsidR="000B6128" w:rsidRPr="00731FE2" w:rsidRDefault="000B6128" w:rsidP="000B6128">
            <w:pPr>
              <w:spacing w:line="240" w:lineRule="auto"/>
              <w:ind w:firstLine="0"/>
              <w:rPr>
                <w:rFonts w:ascii="Times New Roman" w:eastAsia="Times New Roman" w:hAnsi="Times New Roman" w:cs="Times New Roman"/>
                <w:sz w:val="22"/>
                <w:lang w:eastAsia="ru-RU"/>
              </w:rPr>
            </w:pPr>
            <w:r w:rsidRPr="00731FE2">
              <w:rPr>
                <w:rFonts w:ascii="Times New Roman" w:eastAsia="Arial Narrow" w:hAnsi="Times New Roman" w:cs="Times New Roman"/>
                <w:b/>
                <w:color w:val="000000"/>
                <w:sz w:val="22"/>
              </w:rPr>
              <w:t xml:space="preserve">Жилые зоны, </w:t>
            </w:r>
            <w:r w:rsidRPr="00731FE2">
              <w:rPr>
                <w:rFonts w:ascii="Times New Roman" w:eastAsia="Arial Narrow" w:hAnsi="Times New Roman" w:cs="Times New Roman"/>
                <w:color w:val="000000"/>
                <w:sz w:val="22"/>
              </w:rPr>
              <w:t>в том числе:</w:t>
            </w:r>
          </w:p>
        </w:tc>
        <w:tc>
          <w:tcPr>
            <w:tcW w:w="1525" w:type="dxa"/>
            <w:tcBorders>
              <w:top w:val="nil"/>
              <w:left w:val="nil"/>
              <w:bottom w:val="single" w:sz="8" w:space="0" w:color="000000"/>
              <w:right w:val="single" w:sz="8" w:space="0" w:color="000000"/>
            </w:tcBorders>
            <w:vAlign w:val="center"/>
            <w:hideMark/>
          </w:tcPr>
          <w:p w14:paraId="5DB185F9" w14:textId="00175296"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Arial Narrow" w:hAnsi="Times New Roman" w:cs="Times New Roman"/>
                <w:b/>
                <w:color w:val="000000"/>
                <w:sz w:val="22"/>
              </w:rPr>
              <w:t>га</w:t>
            </w:r>
          </w:p>
        </w:tc>
        <w:tc>
          <w:tcPr>
            <w:tcW w:w="1766" w:type="dxa"/>
            <w:tcBorders>
              <w:top w:val="nil"/>
              <w:left w:val="nil"/>
              <w:bottom w:val="single" w:sz="8" w:space="0" w:color="000000"/>
              <w:right w:val="single" w:sz="8" w:space="0" w:color="000000"/>
            </w:tcBorders>
            <w:vAlign w:val="center"/>
            <w:hideMark/>
          </w:tcPr>
          <w:p w14:paraId="7E6D7885" w14:textId="28FC25B3" w:rsidR="000B6128" w:rsidRPr="00731FE2" w:rsidRDefault="000B6128" w:rsidP="000B6128">
            <w:pPr>
              <w:spacing w:line="240" w:lineRule="auto"/>
              <w:ind w:firstLine="0"/>
              <w:jc w:val="center"/>
              <w:rPr>
                <w:rFonts w:ascii="Times New Roman" w:eastAsia="Times New Roman" w:hAnsi="Times New Roman" w:cs="Times New Roman"/>
                <w:b/>
                <w:bCs/>
                <w:sz w:val="22"/>
                <w:lang w:eastAsia="ru-RU"/>
              </w:rPr>
            </w:pPr>
            <w:r w:rsidRPr="00731FE2">
              <w:rPr>
                <w:rFonts w:ascii="Times New Roman" w:hAnsi="Times New Roman" w:cs="Times New Roman"/>
                <w:b/>
                <w:bCs/>
                <w:sz w:val="22"/>
              </w:rPr>
              <w:t>67,55</w:t>
            </w:r>
          </w:p>
        </w:tc>
        <w:tc>
          <w:tcPr>
            <w:tcW w:w="1766" w:type="dxa"/>
            <w:tcBorders>
              <w:top w:val="nil"/>
              <w:left w:val="nil"/>
              <w:bottom w:val="single" w:sz="8" w:space="0" w:color="000000"/>
              <w:right w:val="single" w:sz="8" w:space="0" w:color="000000"/>
            </w:tcBorders>
            <w:vAlign w:val="center"/>
            <w:hideMark/>
          </w:tcPr>
          <w:p w14:paraId="48B58911" w14:textId="7DAFDB5F" w:rsidR="000B6128" w:rsidRPr="00731FE2" w:rsidRDefault="000D2CEA" w:rsidP="000B6128">
            <w:pPr>
              <w:spacing w:line="240" w:lineRule="auto"/>
              <w:ind w:firstLine="0"/>
              <w:jc w:val="center"/>
              <w:rPr>
                <w:rFonts w:ascii="Times New Roman" w:eastAsia="Times New Roman" w:hAnsi="Times New Roman" w:cs="Times New Roman"/>
                <w:b/>
                <w:bCs/>
                <w:sz w:val="22"/>
                <w:lang w:eastAsia="ru-RU"/>
              </w:rPr>
            </w:pPr>
            <w:r w:rsidRPr="00731FE2">
              <w:rPr>
                <w:rFonts w:ascii="Times New Roman" w:hAnsi="Times New Roman" w:cs="Times New Roman"/>
                <w:b/>
                <w:bCs/>
                <w:sz w:val="22"/>
              </w:rPr>
              <w:t>70,75</w:t>
            </w:r>
          </w:p>
        </w:tc>
      </w:tr>
      <w:tr w:rsidR="000B6128" w:rsidRPr="00731FE2" w14:paraId="5803D8BA" w14:textId="77777777" w:rsidTr="00FE28EA">
        <w:trPr>
          <w:trHeight w:val="58"/>
          <w:tblCellSpacing w:w="0" w:type="dxa"/>
        </w:trPr>
        <w:tc>
          <w:tcPr>
            <w:tcW w:w="0" w:type="auto"/>
            <w:vMerge/>
            <w:tcBorders>
              <w:top w:val="nil"/>
              <w:left w:val="single" w:sz="8" w:space="0" w:color="000000"/>
              <w:bottom w:val="single" w:sz="8" w:space="0" w:color="000000"/>
              <w:right w:val="single" w:sz="8" w:space="0" w:color="000000"/>
            </w:tcBorders>
            <w:vAlign w:val="center"/>
            <w:hideMark/>
          </w:tcPr>
          <w:p w14:paraId="0C434C75" w14:textId="77777777" w:rsidR="000B6128" w:rsidRPr="00731FE2" w:rsidRDefault="000B6128" w:rsidP="000B6128">
            <w:pPr>
              <w:spacing w:line="240" w:lineRule="auto"/>
              <w:ind w:firstLine="0"/>
              <w:jc w:val="left"/>
              <w:rPr>
                <w:rFonts w:ascii="Times New Roman" w:eastAsia="Times New Roman" w:hAnsi="Times New Roman" w:cs="Times New Roman"/>
                <w:sz w:val="22"/>
                <w:lang w:eastAsia="ru-RU"/>
              </w:rPr>
            </w:pPr>
          </w:p>
        </w:tc>
        <w:tc>
          <w:tcPr>
            <w:tcW w:w="3417" w:type="dxa"/>
            <w:tcBorders>
              <w:top w:val="nil"/>
              <w:left w:val="nil"/>
              <w:bottom w:val="single" w:sz="8" w:space="0" w:color="000000"/>
              <w:right w:val="single" w:sz="8" w:space="0" w:color="000000"/>
            </w:tcBorders>
            <w:vAlign w:val="center"/>
            <w:hideMark/>
          </w:tcPr>
          <w:p w14:paraId="0CD8D4FC" w14:textId="4A66839A" w:rsidR="000B6128" w:rsidRPr="00731FE2" w:rsidRDefault="000B6128" w:rsidP="000B6128">
            <w:pPr>
              <w:spacing w:line="240" w:lineRule="auto"/>
              <w:ind w:firstLine="0"/>
              <w:rPr>
                <w:rFonts w:ascii="Times New Roman" w:eastAsia="Times New Roman" w:hAnsi="Times New Roman" w:cs="Times New Roman"/>
                <w:sz w:val="22"/>
                <w:lang w:eastAsia="ru-RU"/>
              </w:rPr>
            </w:pPr>
            <w:r w:rsidRPr="00731FE2">
              <w:rPr>
                <w:rFonts w:ascii="Times New Roman" w:eastAsia="Arial Narrow" w:hAnsi="Times New Roman" w:cs="Times New Roman"/>
                <w:color w:val="000000"/>
                <w:sz w:val="22"/>
              </w:rPr>
              <w:t>Зона застройки индивидуальными жилыми домами</w:t>
            </w:r>
          </w:p>
        </w:tc>
        <w:tc>
          <w:tcPr>
            <w:tcW w:w="1525" w:type="dxa"/>
            <w:tcBorders>
              <w:top w:val="nil"/>
              <w:left w:val="nil"/>
              <w:bottom w:val="single" w:sz="8" w:space="0" w:color="000000"/>
              <w:right w:val="single" w:sz="8" w:space="0" w:color="000000"/>
            </w:tcBorders>
            <w:vAlign w:val="center"/>
            <w:hideMark/>
          </w:tcPr>
          <w:p w14:paraId="756F8F07" w14:textId="216372A9"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Arial Narrow" w:hAnsi="Times New Roman" w:cs="Times New Roman"/>
                <w:color w:val="000000"/>
                <w:sz w:val="22"/>
              </w:rPr>
              <w:t>га</w:t>
            </w:r>
          </w:p>
        </w:tc>
        <w:tc>
          <w:tcPr>
            <w:tcW w:w="1766" w:type="dxa"/>
            <w:tcBorders>
              <w:top w:val="nil"/>
              <w:left w:val="nil"/>
              <w:bottom w:val="single" w:sz="8" w:space="0" w:color="000000"/>
              <w:right w:val="single" w:sz="8" w:space="0" w:color="000000"/>
            </w:tcBorders>
            <w:vAlign w:val="center"/>
            <w:hideMark/>
          </w:tcPr>
          <w:p w14:paraId="53CEE452" w14:textId="508505A0"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hAnsi="Times New Roman" w:cs="Times New Roman"/>
                <w:sz w:val="22"/>
              </w:rPr>
              <w:t>67,55</w:t>
            </w:r>
          </w:p>
        </w:tc>
        <w:tc>
          <w:tcPr>
            <w:tcW w:w="1766" w:type="dxa"/>
            <w:tcBorders>
              <w:top w:val="nil"/>
              <w:left w:val="nil"/>
              <w:bottom w:val="single" w:sz="8" w:space="0" w:color="000000"/>
              <w:right w:val="single" w:sz="8" w:space="0" w:color="000000"/>
            </w:tcBorders>
            <w:vAlign w:val="center"/>
            <w:hideMark/>
          </w:tcPr>
          <w:p w14:paraId="431A0378" w14:textId="5338017A" w:rsidR="000B6128" w:rsidRPr="00731FE2" w:rsidRDefault="000D2CEA"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hAnsi="Times New Roman" w:cs="Times New Roman"/>
                <w:sz w:val="22"/>
              </w:rPr>
              <w:t>62,5</w:t>
            </w:r>
          </w:p>
        </w:tc>
      </w:tr>
      <w:tr w:rsidR="000B6128" w:rsidRPr="00731FE2" w14:paraId="3F1DAF60" w14:textId="77777777" w:rsidTr="00FE28EA">
        <w:trPr>
          <w:trHeight w:val="58"/>
          <w:tblCellSpacing w:w="0" w:type="dxa"/>
        </w:trPr>
        <w:tc>
          <w:tcPr>
            <w:tcW w:w="0" w:type="auto"/>
            <w:vMerge/>
            <w:tcBorders>
              <w:top w:val="nil"/>
              <w:left w:val="single" w:sz="8" w:space="0" w:color="000000"/>
              <w:bottom w:val="single" w:sz="8" w:space="0" w:color="000000"/>
              <w:right w:val="single" w:sz="8" w:space="0" w:color="000000"/>
            </w:tcBorders>
            <w:vAlign w:val="center"/>
          </w:tcPr>
          <w:p w14:paraId="7741EF61" w14:textId="77777777" w:rsidR="000B6128" w:rsidRPr="00731FE2" w:rsidRDefault="000B6128" w:rsidP="000B6128">
            <w:pPr>
              <w:spacing w:line="240" w:lineRule="auto"/>
              <w:ind w:firstLine="0"/>
              <w:jc w:val="left"/>
              <w:rPr>
                <w:rFonts w:ascii="Times New Roman" w:eastAsia="Times New Roman" w:hAnsi="Times New Roman" w:cs="Times New Roman"/>
                <w:sz w:val="22"/>
                <w:lang w:eastAsia="ru-RU"/>
              </w:rPr>
            </w:pPr>
          </w:p>
        </w:tc>
        <w:tc>
          <w:tcPr>
            <w:tcW w:w="3417" w:type="dxa"/>
            <w:tcBorders>
              <w:top w:val="nil"/>
              <w:left w:val="nil"/>
              <w:bottom w:val="single" w:sz="8" w:space="0" w:color="000000"/>
              <w:right w:val="single" w:sz="8" w:space="0" w:color="000000"/>
            </w:tcBorders>
            <w:vAlign w:val="center"/>
          </w:tcPr>
          <w:p w14:paraId="3789559F" w14:textId="090A3F32" w:rsidR="000B6128" w:rsidRPr="00731FE2" w:rsidRDefault="000B6128" w:rsidP="000B6128">
            <w:pPr>
              <w:spacing w:line="240" w:lineRule="auto"/>
              <w:ind w:firstLine="0"/>
              <w:rPr>
                <w:rFonts w:ascii="Times New Roman" w:eastAsia="Times New Roman" w:hAnsi="Times New Roman" w:cs="Times New Roman"/>
                <w:color w:val="000000"/>
                <w:sz w:val="22"/>
                <w:lang w:eastAsia="ru-RU"/>
              </w:rPr>
            </w:pPr>
            <w:r w:rsidRPr="00731FE2">
              <w:rPr>
                <w:rFonts w:ascii="Times New Roman" w:eastAsia="Arial Narrow" w:hAnsi="Times New Roman" w:cs="Times New Roman"/>
                <w:color w:val="000000"/>
                <w:sz w:val="22"/>
              </w:rPr>
              <w:t>Зона застройки многоэтажными жилыми домами (9 этажей и более)</w:t>
            </w:r>
          </w:p>
        </w:tc>
        <w:tc>
          <w:tcPr>
            <w:tcW w:w="1525" w:type="dxa"/>
            <w:tcBorders>
              <w:top w:val="nil"/>
              <w:left w:val="nil"/>
              <w:bottom w:val="single" w:sz="8" w:space="0" w:color="000000"/>
              <w:right w:val="single" w:sz="8" w:space="0" w:color="000000"/>
            </w:tcBorders>
            <w:vAlign w:val="center"/>
          </w:tcPr>
          <w:p w14:paraId="2AA6987E" w14:textId="69272532" w:rsidR="000B6128" w:rsidRPr="00731FE2" w:rsidRDefault="000B6128" w:rsidP="000B6128">
            <w:pPr>
              <w:spacing w:line="240" w:lineRule="auto"/>
              <w:ind w:firstLine="0"/>
              <w:jc w:val="center"/>
              <w:rPr>
                <w:rFonts w:ascii="Times New Roman" w:eastAsia="Times New Roman" w:hAnsi="Times New Roman" w:cs="Times New Roman"/>
                <w:color w:val="000000"/>
                <w:sz w:val="22"/>
                <w:lang w:eastAsia="ru-RU"/>
              </w:rPr>
            </w:pPr>
            <w:r w:rsidRPr="00731FE2">
              <w:rPr>
                <w:rFonts w:ascii="Times New Roman" w:eastAsia="Arial Narrow" w:hAnsi="Times New Roman" w:cs="Times New Roman"/>
                <w:color w:val="000000"/>
                <w:sz w:val="22"/>
              </w:rPr>
              <w:t>га</w:t>
            </w:r>
          </w:p>
        </w:tc>
        <w:tc>
          <w:tcPr>
            <w:tcW w:w="1766" w:type="dxa"/>
            <w:tcBorders>
              <w:top w:val="nil"/>
              <w:left w:val="nil"/>
              <w:bottom w:val="single" w:sz="8" w:space="0" w:color="000000"/>
              <w:right w:val="single" w:sz="8" w:space="0" w:color="000000"/>
            </w:tcBorders>
            <w:vAlign w:val="center"/>
          </w:tcPr>
          <w:p w14:paraId="5434EA8C" w14:textId="1DCAECAC"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hAnsi="Times New Roman" w:cs="Times New Roman"/>
                <w:sz w:val="22"/>
              </w:rPr>
              <w:t>0</w:t>
            </w:r>
          </w:p>
        </w:tc>
        <w:tc>
          <w:tcPr>
            <w:tcW w:w="1766" w:type="dxa"/>
            <w:tcBorders>
              <w:top w:val="nil"/>
              <w:left w:val="nil"/>
              <w:bottom w:val="single" w:sz="8" w:space="0" w:color="000000"/>
              <w:right w:val="single" w:sz="8" w:space="0" w:color="000000"/>
            </w:tcBorders>
            <w:vAlign w:val="center"/>
          </w:tcPr>
          <w:p w14:paraId="0D16CF5C" w14:textId="0CE63F7B"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hAnsi="Times New Roman" w:cs="Times New Roman"/>
                <w:sz w:val="22"/>
              </w:rPr>
              <w:t>8,25</w:t>
            </w:r>
          </w:p>
        </w:tc>
      </w:tr>
      <w:tr w:rsidR="000B6128" w:rsidRPr="00731FE2" w14:paraId="4BA8E68A" w14:textId="77777777" w:rsidTr="00FE28EA">
        <w:trPr>
          <w:trHeight w:val="58"/>
          <w:tblCellSpacing w:w="0" w:type="dxa"/>
        </w:trPr>
        <w:tc>
          <w:tcPr>
            <w:tcW w:w="0" w:type="auto"/>
            <w:vMerge/>
            <w:tcBorders>
              <w:top w:val="nil"/>
              <w:left w:val="single" w:sz="8" w:space="0" w:color="000000"/>
              <w:bottom w:val="single" w:sz="8" w:space="0" w:color="000000"/>
              <w:right w:val="single" w:sz="8" w:space="0" w:color="000000"/>
            </w:tcBorders>
            <w:vAlign w:val="center"/>
            <w:hideMark/>
          </w:tcPr>
          <w:p w14:paraId="269E3203" w14:textId="77777777" w:rsidR="000B6128" w:rsidRPr="00731FE2" w:rsidRDefault="000B6128" w:rsidP="000B6128">
            <w:pPr>
              <w:spacing w:line="240" w:lineRule="auto"/>
              <w:ind w:firstLine="0"/>
              <w:jc w:val="left"/>
              <w:rPr>
                <w:rFonts w:ascii="Times New Roman" w:eastAsia="Times New Roman" w:hAnsi="Times New Roman" w:cs="Times New Roman"/>
                <w:sz w:val="22"/>
                <w:lang w:eastAsia="ru-RU"/>
              </w:rPr>
            </w:pPr>
          </w:p>
        </w:tc>
        <w:tc>
          <w:tcPr>
            <w:tcW w:w="3417" w:type="dxa"/>
            <w:tcBorders>
              <w:top w:val="nil"/>
              <w:left w:val="nil"/>
              <w:bottom w:val="single" w:sz="8" w:space="0" w:color="000000"/>
              <w:right w:val="single" w:sz="8" w:space="0" w:color="000000"/>
            </w:tcBorders>
            <w:vAlign w:val="center"/>
            <w:hideMark/>
          </w:tcPr>
          <w:p w14:paraId="1DF159C9" w14:textId="31E41123" w:rsidR="000B6128" w:rsidRPr="00731FE2" w:rsidRDefault="000B6128" w:rsidP="000B6128">
            <w:pPr>
              <w:spacing w:line="240" w:lineRule="auto"/>
              <w:ind w:firstLine="0"/>
              <w:rPr>
                <w:rFonts w:ascii="Times New Roman" w:eastAsia="Times New Roman" w:hAnsi="Times New Roman" w:cs="Times New Roman"/>
                <w:sz w:val="22"/>
                <w:lang w:eastAsia="ru-RU"/>
              </w:rPr>
            </w:pPr>
            <w:r w:rsidRPr="00731FE2">
              <w:rPr>
                <w:rFonts w:ascii="Times New Roman" w:eastAsia="Arial Narrow" w:hAnsi="Times New Roman" w:cs="Times New Roman"/>
                <w:b/>
                <w:color w:val="000000"/>
                <w:sz w:val="22"/>
              </w:rPr>
              <w:t xml:space="preserve">Зоны общественно-делового использования, </w:t>
            </w:r>
            <w:r w:rsidRPr="00731FE2">
              <w:rPr>
                <w:rFonts w:ascii="Times New Roman" w:eastAsia="Arial Narrow" w:hAnsi="Times New Roman" w:cs="Times New Roman"/>
                <w:color w:val="000000"/>
                <w:sz w:val="22"/>
              </w:rPr>
              <w:t>в том числе:</w:t>
            </w:r>
          </w:p>
        </w:tc>
        <w:tc>
          <w:tcPr>
            <w:tcW w:w="1525" w:type="dxa"/>
            <w:tcBorders>
              <w:top w:val="nil"/>
              <w:left w:val="nil"/>
              <w:bottom w:val="single" w:sz="8" w:space="0" w:color="000000"/>
              <w:right w:val="single" w:sz="8" w:space="0" w:color="000000"/>
            </w:tcBorders>
            <w:vAlign w:val="center"/>
            <w:hideMark/>
          </w:tcPr>
          <w:p w14:paraId="4F0E2C71" w14:textId="5B872E65"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Arial Narrow" w:hAnsi="Times New Roman" w:cs="Times New Roman"/>
                <w:b/>
                <w:color w:val="000000"/>
                <w:sz w:val="22"/>
              </w:rPr>
              <w:t>га</w:t>
            </w:r>
          </w:p>
        </w:tc>
        <w:tc>
          <w:tcPr>
            <w:tcW w:w="1766" w:type="dxa"/>
            <w:tcBorders>
              <w:top w:val="nil"/>
              <w:left w:val="nil"/>
              <w:bottom w:val="single" w:sz="8" w:space="0" w:color="000000"/>
              <w:right w:val="single" w:sz="8" w:space="0" w:color="000000"/>
            </w:tcBorders>
            <w:vAlign w:val="center"/>
            <w:hideMark/>
          </w:tcPr>
          <w:p w14:paraId="6DCBBC45" w14:textId="1A3F80E3"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hAnsi="Times New Roman" w:cs="Times New Roman"/>
                <w:b/>
                <w:bCs/>
                <w:sz w:val="22"/>
              </w:rPr>
              <w:t>0,72</w:t>
            </w:r>
          </w:p>
        </w:tc>
        <w:tc>
          <w:tcPr>
            <w:tcW w:w="1766" w:type="dxa"/>
            <w:tcBorders>
              <w:top w:val="nil"/>
              <w:left w:val="nil"/>
              <w:bottom w:val="single" w:sz="8" w:space="0" w:color="000000"/>
              <w:right w:val="single" w:sz="8" w:space="0" w:color="000000"/>
            </w:tcBorders>
            <w:vAlign w:val="center"/>
            <w:hideMark/>
          </w:tcPr>
          <w:p w14:paraId="3C029F5F" w14:textId="5BDEC59E" w:rsidR="000B6128" w:rsidRPr="00731FE2" w:rsidRDefault="000D2CEA"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hAnsi="Times New Roman" w:cs="Times New Roman"/>
                <w:b/>
                <w:bCs/>
                <w:sz w:val="22"/>
              </w:rPr>
              <w:t>9,95</w:t>
            </w:r>
          </w:p>
        </w:tc>
      </w:tr>
      <w:tr w:rsidR="000B6128" w:rsidRPr="00731FE2" w14:paraId="01EF7D39" w14:textId="77777777" w:rsidTr="00FE28EA">
        <w:trPr>
          <w:trHeight w:val="58"/>
          <w:tblCellSpacing w:w="0" w:type="dxa"/>
        </w:trPr>
        <w:tc>
          <w:tcPr>
            <w:tcW w:w="0" w:type="auto"/>
            <w:vMerge/>
            <w:tcBorders>
              <w:top w:val="nil"/>
              <w:left w:val="single" w:sz="8" w:space="0" w:color="000000"/>
              <w:bottom w:val="single" w:sz="8" w:space="0" w:color="000000"/>
              <w:right w:val="single" w:sz="8" w:space="0" w:color="000000"/>
            </w:tcBorders>
            <w:vAlign w:val="center"/>
            <w:hideMark/>
          </w:tcPr>
          <w:p w14:paraId="29A10C9C" w14:textId="77777777" w:rsidR="000B6128" w:rsidRPr="00731FE2" w:rsidRDefault="000B6128" w:rsidP="000B6128">
            <w:pPr>
              <w:spacing w:line="240" w:lineRule="auto"/>
              <w:ind w:firstLine="0"/>
              <w:jc w:val="left"/>
              <w:rPr>
                <w:rFonts w:ascii="Times New Roman" w:eastAsia="Times New Roman" w:hAnsi="Times New Roman" w:cs="Times New Roman"/>
                <w:sz w:val="22"/>
                <w:lang w:eastAsia="ru-RU"/>
              </w:rPr>
            </w:pPr>
          </w:p>
        </w:tc>
        <w:tc>
          <w:tcPr>
            <w:tcW w:w="3417" w:type="dxa"/>
            <w:tcBorders>
              <w:top w:val="nil"/>
              <w:left w:val="nil"/>
              <w:bottom w:val="single" w:sz="8" w:space="0" w:color="000000"/>
              <w:right w:val="single" w:sz="8" w:space="0" w:color="000000"/>
            </w:tcBorders>
            <w:vAlign w:val="center"/>
            <w:hideMark/>
          </w:tcPr>
          <w:p w14:paraId="226D734C" w14:textId="02D11698" w:rsidR="000B6128" w:rsidRPr="00731FE2" w:rsidRDefault="000B6128" w:rsidP="000B6128">
            <w:pPr>
              <w:spacing w:line="240" w:lineRule="auto"/>
              <w:ind w:firstLine="0"/>
              <w:rPr>
                <w:rFonts w:ascii="Times New Roman" w:eastAsia="Times New Roman" w:hAnsi="Times New Roman" w:cs="Times New Roman"/>
                <w:sz w:val="22"/>
                <w:lang w:eastAsia="ru-RU"/>
              </w:rPr>
            </w:pPr>
            <w:r w:rsidRPr="00731FE2">
              <w:rPr>
                <w:rFonts w:ascii="Times New Roman" w:eastAsia="Arial Narrow" w:hAnsi="Times New Roman" w:cs="Times New Roman"/>
                <w:color w:val="000000"/>
                <w:sz w:val="22"/>
              </w:rPr>
              <w:t>Общественно-деловые зоны</w:t>
            </w:r>
          </w:p>
        </w:tc>
        <w:tc>
          <w:tcPr>
            <w:tcW w:w="1525" w:type="dxa"/>
            <w:tcBorders>
              <w:top w:val="nil"/>
              <w:left w:val="nil"/>
              <w:bottom w:val="single" w:sz="8" w:space="0" w:color="000000"/>
              <w:right w:val="single" w:sz="8" w:space="0" w:color="000000"/>
            </w:tcBorders>
            <w:vAlign w:val="center"/>
            <w:hideMark/>
          </w:tcPr>
          <w:p w14:paraId="5BECEE0B" w14:textId="389D75B1"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Arial Narrow" w:hAnsi="Times New Roman" w:cs="Times New Roman"/>
                <w:color w:val="000000"/>
                <w:sz w:val="22"/>
              </w:rPr>
              <w:t>га</w:t>
            </w:r>
          </w:p>
        </w:tc>
        <w:tc>
          <w:tcPr>
            <w:tcW w:w="1766" w:type="dxa"/>
            <w:tcBorders>
              <w:top w:val="nil"/>
              <w:left w:val="nil"/>
              <w:bottom w:val="single" w:sz="8" w:space="0" w:color="000000"/>
              <w:right w:val="single" w:sz="8" w:space="0" w:color="000000"/>
            </w:tcBorders>
            <w:vAlign w:val="center"/>
            <w:hideMark/>
          </w:tcPr>
          <w:p w14:paraId="2B75081F" w14:textId="4EECB063"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hAnsi="Times New Roman" w:cs="Times New Roman"/>
                <w:sz w:val="22"/>
              </w:rPr>
              <w:t>0,72</w:t>
            </w:r>
          </w:p>
        </w:tc>
        <w:tc>
          <w:tcPr>
            <w:tcW w:w="1766" w:type="dxa"/>
            <w:tcBorders>
              <w:top w:val="nil"/>
              <w:left w:val="nil"/>
              <w:bottom w:val="single" w:sz="8" w:space="0" w:color="000000"/>
              <w:right w:val="single" w:sz="8" w:space="0" w:color="000000"/>
            </w:tcBorders>
            <w:vAlign w:val="center"/>
            <w:hideMark/>
          </w:tcPr>
          <w:p w14:paraId="43C544DC" w14:textId="78AD4318" w:rsidR="000B6128" w:rsidRPr="00731FE2" w:rsidRDefault="000D2CEA"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hAnsi="Times New Roman" w:cs="Times New Roman"/>
                <w:sz w:val="22"/>
              </w:rPr>
              <w:t>9,95</w:t>
            </w:r>
          </w:p>
        </w:tc>
      </w:tr>
      <w:tr w:rsidR="000B6128" w:rsidRPr="00731FE2" w14:paraId="007B24EF" w14:textId="77777777" w:rsidTr="00FE28EA">
        <w:trPr>
          <w:trHeight w:val="58"/>
          <w:tblCellSpacing w:w="0" w:type="dxa"/>
        </w:trPr>
        <w:tc>
          <w:tcPr>
            <w:tcW w:w="0" w:type="auto"/>
            <w:vMerge/>
            <w:tcBorders>
              <w:top w:val="nil"/>
              <w:left w:val="single" w:sz="8" w:space="0" w:color="000000"/>
              <w:bottom w:val="single" w:sz="8" w:space="0" w:color="000000"/>
              <w:right w:val="single" w:sz="8" w:space="0" w:color="000000"/>
            </w:tcBorders>
            <w:vAlign w:val="center"/>
            <w:hideMark/>
          </w:tcPr>
          <w:p w14:paraId="5BA3AA41" w14:textId="77777777" w:rsidR="000B6128" w:rsidRPr="00731FE2" w:rsidRDefault="000B6128" w:rsidP="000B6128">
            <w:pPr>
              <w:spacing w:line="240" w:lineRule="auto"/>
              <w:ind w:firstLine="0"/>
              <w:jc w:val="left"/>
              <w:rPr>
                <w:rFonts w:ascii="Times New Roman" w:eastAsia="Times New Roman" w:hAnsi="Times New Roman" w:cs="Times New Roman"/>
                <w:sz w:val="22"/>
                <w:lang w:eastAsia="ru-RU"/>
              </w:rPr>
            </w:pPr>
          </w:p>
        </w:tc>
        <w:tc>
          <w:tcPr>
            <w:tcW w:w="3417" w:type="dxa"/>
            <w:tcBorders>
              <w:top w:val="nil"/>
              <w:left w:val="nil"/>
              <w:bottom w:val="single" w:sz="8" w:space="0" w:color="000000"/>
              <w:right w:val="single" w:sz="8" w:space="0" w:color="000000"/>
            </w:tcBorders>
            <w:vAlign w:val="center"/>
            <w:hideMark/>
          </w:tcPr>
          <w:p w14:paraId="30C76273" w14:textId="01B59EE8" w:rsidR="000B6128" w:rsidRPr="00731FE2" w:rsidRDefault="000B6128" w:rsidP="000B6128">
            <w:pPr>
              <w:spacing w:line="240" w:lineRule="auto"/>
              <w:ind w:firstLine="0"/>
              <w:rPr>
                <w:rFonts w:ascii="Times New Roman" w:eastAsia="Times New Roman" w:hAnsi="Times New Roman" w:cs="Times New Roman"/>
                <w:sz w:val="22"/>
                <w:lang w:eastAsia="ru-RU"/>
              </w:rPr>
            </w:pPr>
            <w:r w:rsidRPr="00731FE2">
              <w:rPr>
                <w:rFonts w:ascii="Times New Roman" w:eastAsia="Arial Narrow" w:hAnsi="Times New Roman" w:cs="Times New Roman"/>
                <w:b/>
                <w:color w:val="000000"/>
                <w:sz w:val="22"/>
              </w:rPr>
              <w:t xml:space="preserve">Зоны производственного, инженерного и транспортного использования, </w:t>
            </w:r>
            <w:r w:rsidRPr="00731FE2">
              <w:rPr>
                <w:rFonts w:ascii="Times New Roman" w:eastAsia="Arial Narrow" w:hAnsi="Times New Roman" w:cs="Times New Roman"/>
                <w:color w:val="000000"/>
                <w:sz w:val="22"/>
              </w:rPr>
              <w:t>в том числе:</w:t>
            </w:r>
          </w:p>
        </w:tc>
        <w:tc>
          <w:tcPr>
            <w:tcW w:w="1525" w:type="dxa"/>
            <w:tcBorders>
              <w:top w:val="nil"/>
              <w:left w:val="nil"/>
              <w:bottom w:val="single" w:sz="8" w:space="0" w:color="000000"/>
              <w:right w:val="single" w:sz="8" w:space="0" w:color="000000"/>
            </w:tcBorders>
            <w:vAlign w:val="center"/>
            <w:hideMark/>
          </w:tcPr>
          <w:p w14:paraId="6C18904B" w14:textId="532C515C"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Arial Narrow" w:hAnsi="Times New Roman" w:cs="Times New Roman"/>
                <w:b/>
                <w:color w:val="000000"/>
                <w:sz w:val="22"/>
              </w:rPr>
              <w:t>га</w:t>
            </w:r>
          </w:p>
        </w:tc>
        <w:tc>
          <w:tcPr>
            <w:tcW w:w="1766" w:type="dxa"/>
            <w:tcBorders>
              <w:top w:val="nil"/>
              <w:left w:val="nil"/>
              <w:bottom w:val="single" w:sz="8" w:space="0" w:color="000000"/>
              <w:right w:val="single" w:sz="8" w:space="0" w:color="000000"/>
            </w:tcBorders>
            <w:vAlign w:val="center"/>
            <w:hideMark/>
          </w:tcPr>
          <w:p w14:paraId="05648822" w14:textId="6062DFE9"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hAnsi="Times New Roman" w:cs="Times New Roman"/>
                <w:b/>
                <w:bCs/>
                <w:sz w:val="22"/>
              </w:rPr>
              <w:t>8,53</w:t>
            </w:r>
          </w:p>
        </w:tc>
        <w:tc>
          <w:tcPr>
            <w:tcW w:w="1766" w:type="dxa"/>
            <w:tcBorders>
              <w:top w:val="nil"/>
              <w:left w:val="nil"/>
              <w:bottom w:val="single" w:sz="8" w:space="0" w:color="000000"/>
              <w:right w:val="single" w:sz="8" w:space="0" w:color="000000"/>
            </w:tcBorders>
            <w:vAlign w:val="center"/>
            <w:hideMark/>
          </w:tcPr>
          <w:p w14:paraId="7CC72FA1" w14:textId="284CD198" w:rsidR="000B6128" w:rsidRPr="00731FE2" w:rsidRDefault="000D2CEA" w:rsidP="000B6128">
            <w:pPr>
              <w:spacing w:line="240" w:lineRule="auto"/>
              <w:ind w:firstLine="0"/>
              <w:jc w:val="center"/>
              <w:rPr>
                <w:rFonts w:ascii="Times New Roman" w:eastAsia="Times New Roman" w:hAnsi="Times New Roman" w:cs="Times New Roman"/>
                <w:b/>
                <w:sz w:val="22"/>
                <w:lang w:eastAsia="ru-RU"/>
              </w:rPr>
            </w:pPr>
            <w:r w:rsidRPr="00731FE2">
              <w:rPr>
                <w:rFonts w:ascii="Times New Roman" w:hAnsi="Times New Roman" w:cs="Times New Roman"/>
                <w:b/>
                <w:sz w:val="22"/>
              </w:rPr>
              <w:t>17,56</w:t>
            </w:r>
          </w:p>
        </w:tc>
      </w:tr>
      <w:tr w:rsidR="000B6128" w:rsidRPr="00731FE2" w14:paraId="0409D810" w14:textId="77777777" w:rsidTr="00FE28EA">
        <w:trPr>
          <w:trHeight w:val="58"/>
          <w:tblCellSpacing w:w="0" w:type="dxa"/>
        </w:trPr>
        <w:tc>
          <w:tcPr>
            <w:tcW w:w="0" w:type="auto"/>
            <w:vMerge/>
            <w:tcBorders>
              <w:top w:val="nil"/>
              <w:left w:val="single" w:sz="8" w:space="0" w:color="000000"/>
              <w:bottom w:val="single" w:sz="8" w:space="0" w:color="000000"/>
              <w:right w:val="single" w:sz="8" w:space="0" w:color="000000"/>
            </w:tcBorders>
            <w:vAlign w:val="center"/>
            <w:hideMark/>
          </w:tcPr>
          <w:p w14:paraId="0F44989A" w14:textId="77777777" w:rsidR="000B6128" w:rsidRPr="00731FE2" w:rsidRDefault="000B6128" w:rsidP="000B6128">
            <w:pPr>
              <w:spacing w:line="240" w:lineRule="auto"/>
              <w:ind w:firstLine="0"/>
              <w:jc w:val="left"/>
              <w:rPr>
                <w:rFonts w:ascii="Times New Roman" w:eastAsia="Times New Roman" w:hAnsi="Times New Roman" w:cs="Times New Roman"/>
                <w:sz w:val="22"/>
                <w:lang w:eastAsia="ru-RU"/>
              </w:rPr>
            </w:pPr>
          </w:p>
        </w:tc>
        <w:tc>
          <w:tcPr>
            <w:tcW w:w="3417" w:type="dxa"/>
            <w:tcBorders>
              <w:top w:val="nil"/>
              <w:left w:val="nil"/>
              <w:bottom w:val="single" w:sz="8" w:space="0" w:color="000000"/>
              <w:right w:val="single" w:sz="8" w:space="0" w:color="000000"/>
            </w:tcBorders>
            <w:vAlign w:val="center"/>
            <w:hideMark/>
          </w:tcPr>
          <w:p w14:paraId="559F1321" w14:textId="25CF5621" w:rsidR="000B6128" w:rsidRPr="00731FE2" w:rsidRDefault="000B6128" w:rsidP="000B6128">
            <w:pPr>
              <w:spacing w:line="240" w:lineRule="auto"/>
              <w:ind w:firstLine="0"/>
              <w:rPr>
                <w:rFonts w:ascii="Times New Roman" w:eastAsia="Times New Roman" w:hAnsi="Times New Roman" w:cs="Times New Roman"/>
                <w:sz w:val="22"/>
                <w:lang w:eastAsia="ru-RU"/>
              </w:rPr>
            </w:pPr>
            <w:r w:rsidRPr="00731FE2">
              <w:rPr>
                <w:rFonts w:ascii="Times New Roman" w:eastAsia="Arial Narrow" w:hAnsi="Times New Roman" w:cs="Times New Roman"/>
                <w:color w:val="000000"/>
                <w:sz w:val="22"/>
              </w:rPr>
              <w:t>Зона транспортной инфраструктуры</w:t>
            </w:r>
          </w:p>
        </w:tc>
        <w:tc>
          <w:tcPr>
            <w:tcW w:w="1525" w:type="dxa"/>
            <w:tcBorders>
              <w:top w:val="nil"/>
              <w:left w:val="nil"/>
              <w:bottom w:val="single" w:sz="8" w:space="0" w:color="000000"/>
              <w:right w:val="single" w:sz="8" w:space="0" w:color="000000"/>
            </w:tcBorders>
            <w:vAlign w:val="center"/>
            <w:hideMark/>
          </w:tcPr>
          <w:p w14:paraId="52ADAD65" w14:textId="001986AF"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Arial Narrow" w:hAnsi="Times New Roman" w:cs="Times New Roman"/>
                <w:color w:val="000000"/>
                <w:sz w:val="22"/>
              </w:rPr>
              <w:t>га</w:t>
            </w:r>
          </w:p>
        </w:tc>
        <w:tc>
          <w:tcPr>
            <w:tcW w:w="1766" w:type="dxa"/>
            <w:tcBorders>
              <w:top w:val="nil"/>
              <w:left w:val="nil"/>
              <w:bottom w:val="single" w:sz="8" w:space="0" w:color="000000"/>
              <w:right w:val="single" w:sz="8" w:space="0" w:color="000000"/>
            </w:tcBorders>
            <w:vAlign w:val="center"/>
            <w:hideMark/>
          </w:tcPr>
          <w:p w14:paraId="6BE1DA19" w14:textId="26086B82"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hAnsi="Times New Roman" w:cs="Times New Roman"/>
                <w:sz w:val="22"/>
              </w:rPr>
              <w:t>8,53</w:t>
            </w:r>
          </w:p>
        </w:tc>
        <w:tc>
          <w:tcPr>
            <w:tcW w:w="1766" w:type="dxa"/>
            <w:tcBorders>
              <w:top w:val="nil"/>
              <w:left w:val="nil"/>
              <w:bottom w:val="single" w:sz="8" w:space="0" w:color="000000"/>
              <w:right w:val="single" w:sz="8" w:space="0" w:color="000000"/>
            </w:tcBorders>
            <w:vAlign w:val="center"/>
            <w:hideMark/>
          </w:tcPr>
          <w:p w14:paraId="5278EC30" w14:textId="030FFA7A" w:rsidR="000B6128" w:rsidRPr="00731FE2" w:rsidRDefault="000D2CEA"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hAnsi="Times New Roman" w:cs="Times New Roman"/>
                <w:sz w:val="22"/>
              </w:rPr>
              <w:t>17,56</w:t>
            </w:r>
          </w:p>
        </w:tc>
      </w:tr>
      <w:tr w:rsidR="000B6128" w:rsidRPr="00731FE2" w14:paraId="50BC50C7" w14:textId="77777777" w:rsidTr="00FE28EA">
        <w:trPr>
          <w:trHeight w:val="58"/>
          <w:tblCellSpacing w:w="0" w:type="dxa"/>
        </w:trPr>
        <w:tc>
          <w:tcPr>
            <w:tcW w:w="0" w:type="auto"/>
            <w:vMerge/>
            <w:tcBorders>
              <w:top w:val="nil"/>
              <w:left w:val="single" w:sz="8" w:space="0" w:color="000000"/>
              <w:bottom w:val="single" w:sz="8" w:space="0" w:color="000000"/>
              <w:right w:val="single" w:sz="8" w:space="0" w:color="000000"/>
            </w:tcBorders>
            <w:vAlign w:val="center"/>
            <w:hideMark/>
          </w:tcPr>
          <w:p w14:paraId="08B2A380" w14:textId="77777777" w:rsidR="000B6128" w:rsidRPr="00731FE2" w:rsidRDefault="000B6128" w:rsidP="000B6128">
            <w:pPr>
              <w:spacing w:line="240" w:lineRule="auto"/>
              <w:ind w:firstLine="0"/>
              <w:jc w:val="left"/>
              <w:rPr>
                <w:rFonts w:ascii="Times New Roman" w:eastAsia="Times New Roman" w:hAnsi="Times New Roman" w:cs="Times New Roman"/>
                <w:sz w:val="22"/>
                <w:lang w:eastAsia="ru-RU"/>
              </w:rPr>
            </w:pPr>
          </w:p>
        </w:tc>
        <w:tc>
          <w:tcPr>
            <w:tcW w:w="3417" w:type="dxa"/>
            <w:tcBorders>
              <w:top w:val="nil"/>
              <w:left w:val="nil"/>
              <w:bottom w:val="single" w:sz="8" w:space="0" w:color="000000"/>
              <w:right w:val="single" w:sz="8" w:space="0" w:color="000000"/>
            </w:tcBorders>
            <w:vAlign w:val="center"/>
            <w:hideMark/>
          </w:tcPr>
          <w:p w14:paraId="48371621" w14:textId="6BF89EED" w:rsidR="000B6128" w:rsidRPr="00731FE2" w:rsidRDefault="000B6128" w:rsidP="000B6128">
            <w:pPr>
              <w:spacing w:line="240" w:lineRule="auto"/>
              <w:ind w:firstLine="0"/>
              <w:rPr>
                <w:rFonts w:ascii="Times New Roman" w:eastAsia="Times New Roman" w:hAnsi="Times New Roman" w:cs="Times New Roman"/>
                <w:sz w:val="22"/>
                <w:lang w:eastAsia="ru-RU"/>
              </w:rPr>
            </w:pPr>
            <w:r w:rsidRPr="00731FE2">
              <w:rPr>
                <w:rFonts w:ascii="Times New Roman" w:eastAsia="Arial Narrow" w:hAnsi="Times New Roman" w:cs="Times New Roman"/>
                <w:b/>
                <w:color w:val="000000"/>
                <w:sz w:val="22"/>
              </w:rPr>
              <w:t xml:space="preserve">Зоны сельскохозяйственного использования, </w:t>
            </w:r>
            <w:r w:rsidRPr="00731FE2">
              <w:rPr>
                <w:rFonts w:ascii="Times New Roman" w:eastAsia="Arial Narrow" w:hAnsi="Times New Roman" w:cs="Times New Roman"/>
                <w:color w:val="000000"/>
                <w:sz w:val="22"/>
              </w:rPr>
              <w:t>в том числе:</w:t>
            </w:r>
          </w:p>
        </w:tc>
        <w:tc>
          <w:tcPr>
            <w:tcW w:w="1525" w:type="dxa"/>
            <w:tcBorders>
              <w:top w:val="nil"/>
              <w:left w:val="nil"/>
              <w:bottom w:val="single" w:sz="8" w:space="0" w:color="000000"/>
              <w:right w:val="single" w:sz="8" w:space="0" w:color="000000"/>
            </w:tcBorders>
            <w:vAlign w:val="center"/>
            <w:hideMark/>
          </w:tcPr>
          <w:p w14:paraId="0458C569" w14:textId="609566E6"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Arial Narrow" w:hAnsi="Times New Roman" w:cs="Times New Roman"/>
                <w:b/>
                <w:color w:val="000000"/>
                <w:sz w:val="22"/>
              </w:rPr>
              <w:t>га</w:t>
            </w:r>
          </w:p>
        </w:tc>
        <w:tc>
          <w:tcPr>
            <w:tcW w:w="1766" w:type="dxa"/>
            <w:tcBorders>
              <w:top w:val="nil"/>
              <w:left w:val="nil"/>
              <w:bottom w:val="single" w:sz="8" w:space="0" w:color="000000"/>
              <w:right w:val="single" w:sz="8" w:space="0" w:color="000000"/>
            </w:tcBorders>
            <w:vAlign w:val="center"/>
            <w:hideMark/>
          </w:tcPr>
          <w:p w14:paraId="5C9A0351" w14:textId="3E66066C"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hAnsi="Times New Roman" w:cs="Times New Roman"/>
                <w:b/>
                <w:bCs/>
                <w:sz w:val="22"/>
              </w:rPr>
              <w:t>9,22</w:t>
            </w:r>
          </w:p>
        </w:tc>
        <w:tc>
          <w:tcPr>
            <w:tcW w:w="1766" w:type="dxa"/>
            <w:tcBorders>
              <w:top w:val="nil"/>
              <w:left w:val="nil"/>
              <w:bottom w:val="single" w:sz="8" w:space="0" w:color="000000"/>
              <w:right w:val="single" w:sz="8" w:space="0" w:color="000000"/>
            </w:tcBorders>
            <w:vAlign w:val="center"/>
            <w:hideMark/>
          </w:tcPr>
          <w:p w14:paraId="1B7E20C8" w14:textId="0DFF0B23"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hAnsi="Times New Roman" w:cs="Times New Roman"/>
                <w:b/>
                <w:bCs/>
                <w:sz w:val="22"/>
              </w:rPr>
              <w:t>0,00</w:t>
            </w:r>
          </w:p>
        </w:tc>
      </w:tr>
      <w:tr w:rsidR="000B6128" w:rsidRPr="00731FE2" w14:paraId="00C2A125" w14:textId="77777777" w:rsidTr="00FE28EA">
        <w:trPr>
          <w:trHeight w:val="58"/>
          <w:tblCellSpacing w:w="0" w:type="dxa"/>
        </w:trPr>
        <w:tc>
          <w:tcPr>
            <w:tcW w:w="0" w:type="auto"/>
            <w:vMerge/>
            <w:tcBorders>
              <w:top w:val="nil"/>
              <w:left w:val="single" w:sz="8" w:space="0" w:color="000000"/>
              <w:bottom w:val="single" w:sz="8" w:space="0" w:color="000000"/>
              <w:right w:val="single" w:sz="8" w:space="0" w:color="000000"/>
            </w:tcBorders>
            <w:vAlign w:val="center"/>
            <w:hideMark/>
          </w:tcPr>
          <w:p w14:paraId="6373BE01" w14:textId="77777777" w:rsidR="000B6128" w:rsidRPr="00731FE2" w:rsidRDefault="000B6128" w:rsidP="000B6128">
            <w:pPr>
              <w:spacing w:line="240" w:lineRule="auto"/>
              <w:ind w:firstLine="0"/>
              <w:jc w:val="left"/>
              <w:rPr>
                <w:rFonts w:ascii="Times New Roman" w:eastAsia="Times New Roman" w:hAnsi="Times New Roman" w:cs="Times New Roman"/>
                <w:sz w:val="22"/>
                <w:lang w:eastAsia="ru-RU"/>
              </w:rPr>
            </w:pPr>
          </w:p>
        </w:tc>
        <w:tc>
          <w:tcPr>
            <w:tcW w:w="3417" w:type="dxa"/>
            <w:tcBorders>
              <w:top w:val="nil"/>
              <w:left w:val="nil"/>
              <w:bottom w:val="single" w:sz="8" w:space="0" w:color="000000"/>
              <w:right w:val="single" w:sz="8" w:space="0" w:color="000000"/>
            </w:tcBorders>
            <w:vAlign w:val="center"/>
            <w:hideMark/>
          </w:tcPr>
          <w:p w14:paraId="6A4D12CA" w14:textId="1B648E20" w:rsidR="000B6128" w:rsidRPr="00731FE2" w:rsidRDefault="000B6128" w:rsidP="000B6128">
            <w:pPr>
              <w:spacing w:line="240" w:lineRule="auto"/>
              <w:ind w:firstLine="0"/>
              <w:rPr>
                <w:rFonts w:ascii="Times New Roman" w:eastAsia="Times New Roman" w:hAnsi="Times New Roman" w:cs="Times New Roman"/>
                <w:sz w:val="22"/>
                <w:lang w:eastAsia="ru-RU"/>
              </w:rPr>
            </w:pPr>
            <w:r w:rsidRPr="00731FE2">
              <w:rPr>
                <w:rFonts w:ascii="Times New Roman" w:eastAsia="Arial Narrow" w:hAnsi="Times New Roman" w:cs="Times New Roman"/>
                <w:color w:val="000000"/>
                <w:sz w:val="22"/>
              </w:rPr>
              <w:t>Зоны сельскохозяйственного использования</w:t>
            </w:r>
          </w:p>
        </w:tc>
        <w:tc>
          <w:tcPr>
            <w:tcW w:w="1525" w:type="dxa"/>
            <w:tcBorders>
              <w:top w:val="nil"/>
              <w:left w:val="nil"/>
              <w:bottom w:val="single" w:sz="8" w:space="0" w:color="000000"/>
              <w:right w:val="single" w:sz="8" w:space="0" w:color="000000"/>
            </w:tcBorders>
            <w:vAlign w:val="center"/>
            <w:hideMark/>
          </w:tcPr>
          <w:p w14:paraId="29D6B4D6" w14:textId="3CC6F8D2"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Arial Narrow" w:hAnsi="Times New Roman" w:cs="Times New Roman"/>
                <w:color w:val="000000"/>
                <w:sz w:val="22"/>
              </w:rPr>
              <w:t>га</w:t>
            </w:r>
          </w:p>
        </w:tc>
        <w:tc>
          <w:tcPr>
            <w:tcW w:w="1766" w:type="dxa"/>
            <w:tcBorders>
              <w:top w:val="nil"/>
              <w:left w:val="nil"/>
              <w:bottom w:val="single" w:sz="8" w:space="0" w:color="000000"/>
              <w:right w:val="single" w:sz="8" w:space="0" w:color="000000"/>
            </w:tcBorders>
            <w:vAlign w:val="center"/>
            <w:hideMark/>
          </w:tcPr>
          <w:p w14:paraId="2CE44D56" w14:textId="339CC62E"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hAnsi="Times New Roman" w:cs="Times New Roman"/>
                <w:sz w:val="22"/>
              </w:rPr>
              <w:t>9,22</w:t>
            </w:r>
          </w:p>
        </w:tc>
        <w:tc>
          <w:tcPr>
            <w:tcW w:w="1766" w:type="dxa"/>
            <w:tcBorders>
              <w:top w:val="nil"/>
              <w:left w:val="nil"/>
              <w:bottom w:val="single" w:sz="8" w:space="0" w:color="000000"/>
              <w:right w:val="single" w:sz="8" w:space="0" w:color="000000"/>
            </w:tcBorders>
            <w:vAlign w:val="center"/>
            <w:hideMark/>
          </w:tcPr>
          <w:p w14:paraId="4D779CAE" w14:textId="5A6ED56F"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hAnsi="Times New Roman" w:cs="Times New Roman"/>
                <w:sz w:val="22"/>
              </w:rPr>
              <w:t>0,00</w:t>
            </w:r>
          </w:p>
        </w:tc>
      </w:tr>
      <w:tr w:rsidR="000B6128" w:rsidRPr="00731FE2" w14:paraId="204C8A39" w14:textId="77777777" w:rsidTr="00FE28EA">
        <w:trPr>
          <w:trHeight w:val="58"/>
          <w:tblCellSpacing w:w="0" w:type="dxa"/>
        </w:trPr>
        <w:tc>
          <w:tcPr>
            <w:tcW w:w="0" w:type="auto"/>
            <w:vMerge/>
            <w:tcBorders>
              <w:top w:val="nil"/>
              <w:left w:val="single" w:sz="8" w:space="0" w:color="000000"/>
              <w:bottom w:val="single" w:sz="8" w:space="0" w:color="000000"/>
              <w:right w:val="single" w:sz="8" w:space="0" w:color="000000"/>
            </w:tcBorders>
            <w:vAlign w:val="center"/>
            <w:hideMark/>
          </w:tcPr>
          <w:p w14:paraId="45ACCB6D" w14:textId="77777777" w:rsidR="000B6128" w:rsidRPr="00731FE2" w:rsidRDefault="000B6128" w:rsidP="000B6128">
            <w:pPr>
              <w:spacing w:line="240" w:lineRule="auto"/>
              <w:ind w:firstLine="0"/>
              <w:jc w:val="left"/>
              <w:rPr>
                <w:rFonts w:ascii="Times New Roman" w:eastAsia="Times New Roman" w:hAnsi="Times New Roman" w:cs="Times New Roman"/>
                <w:sz w:val="22"/>
                <w:lang w:eastAsia="ru-RU"/>
              </w:rPr>
            </w:pPr>
          </w:p>
        </w:tc>
        <w:tc>
          <w:tcPr>
            <w:tcW w:w="3417" w:type="dxa"/>
            <w:tcBorders>
              <w:top w:val="nil"/>
              <w:left w:val="nil"/>
              <w:bottom w:val="single" w:sz="8" w:space="0" w:color="000000"/>
              <w:right w:val="single" w:sz="8" w:space="0" w:color="000000"/>
            </w:tcBorders>
            <w:vAlign w:val="center"/>
            <w:hideMark/>
          </w:tcPr>
          <w:p w14:paraId="1104FD47" w14:textId="147765EF" w:rsidR="000B6128" w:rsidRPr="00731FE2" w:rsidRDefault="000B6128" w:rsidP="000B6128">
            <w:pPr>
              <w:spacing w:line="240" w:lineRule="auto"/>
              <w:ind w:firstLine="0"/>
              <w:rPr>
                <w:rFonts w:ascii="Times New Roman" w:eastAsia="Times New Roman" w:hAnsi="Times New Roman" w:cs="Times New Roman"/>
                <w:sz w:val="22"/>
                <w:lang w:eastAsia="ru-RU"/>
              </w:rPr>
            </w:pPr>
            <w:r w:rsidRPr="00731FE2">
              <w:rPr>
                <w:rFonts w:ascii="Times New Roman" w:eastAsia="Arial Narrow" w:hAnsi="Times New Roman" w:cs="Times New Roman"/>
                <w:b/>
                <w:color w:val="000000"/>
                <w:sz w:val="22"/>
              </w:rPr>
              <w:t xml:space="preserve">Зона рекреационного использования, </w:t>
            </w:r>
            <w:r w:rsidRPr="00731FE2">
              <w:rPr>
                <w:rFonts w:ascii="Times New Roman" w:eastAsia="Arial Narrow" w:hAnsi="Times New Roman" w:cs="Times New Roman"/>
                <w:color w:val="000000"/>
                <w:sz w:val="22"/>
              </w:rPr>
              <w:t>в том числе:</w:t>
            </w:r>
          </w:p>
        </w:tc>
        <w:tc>
          <w:tcPr>
            <w:tcW w:w="1525" w:type="dxa"/>
            <w:tcBorders>
              <w:top w:val="nil"/>
              <w:left w:val="nil"/>
              <w:bottom w:val="single" w:sz="8" w:space="0" w:color="000000"/>
              <w:right w:val="single" w:sz="8" w:space="0" w:color="000000"/>
            </w:tcBorders>
            <w:vAlign w:val="center"/>
            <w:hideMark/>
          </w:tcPr>
          <w:p w14:paraId="07754238" w14:textId="418E5D6C"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Arial Narrow" w:hAnsi="Times New Roman" w:cs="Times New Roman"/>
                <w:b/>
                <w:color w:val="000000"/>
                <w:sz w:val="22"/>
              </w:rPr>
              <w:t>га</w:t>
            </w:r>
          </w:p>
        </w:tc>
        <w:tc>
          <w:tcPr>
            <w:tcW w:w="1766" w:type="dxa"/>
            <w:tcBorders>
              <w:top w:val="nil"/>
              <w:left w:val="nil"/>
              <w:bottom w:val="single" w:sz="8" w:space="0" w:color="000000"/>
              <w:right w:val="single" w:sz="8" w:space="0" w:color="000000"/>
            </w:tcBorders>
            <w:vAlign w:val="center"/>
            <w:hideMark/>
          </w:tcPr>
          <w:p w14:paraId="387A2560" w14:textId="38458CE3"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hAnsi="Times New Roman" w:cs="Times New Roman"/>
                <w:b/>
                <w:bCs/>
                <w:sz w:val="22"/>
              </w:rPr>
              <w:t>1,45</w:t>
            </w:r>
          </w:p>
        </w:tc>
        <w:tc>
          <w:tcPr>
            <w:tcW w:w="1766" w:type="dxa"/>
            <w:tcBorders>
              <w:top w:val="nil"/>
              <w:left w:val="nil"/>
              <w:bottom w:val="single" w:sz="8" w:space="0" w:color="000000"/>
              <w:right w:val="single" w:sz="8" w:space="0" w:color="000000"/>
            </w:tcBorders>
            <w:vAlign w:val="center"/>
            <w:hideMark/>
          </w:tcPr>
          <w:p w14:paraId="40F8B535" w14:textId="3ED212CD" w:rsidR="000B6128" w:rsidRPr="00731FE2" w:rsidRDefault="000D2CEA"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hAnsi="Times New Roman" w:cs="Times New Roman"/>
                <w:b/>
                <w:bCs/>
                <w:sz w:val="22"/>
              </w:rPr>
              <w:t>5,5</w:t>
            </w:r>
          </w:p>
        </w:tc>
      </w:tr>
      <w:tr w:rsidR="000B6128" w:rsidRPr="00731FE2" w14:paraId="56D7DCC4" w14:textId="77777777" w:rsidTr="00FE28EA">
        <w:trPr>
          <w:trHeight w:val="58"/>
          <w:tblCellSpacing w:w="0" w:type="dxa"/>
        </w:trPr>
        <w:tc>
          <w:tcPr>
            <w:tcW w:w="0" w:type="auto"/>
            <w:vMerge/>
            <w:tcBorders>
              <w:top w:val="nil"/>
              <w:left w:val="single" w:sz="8" w:space="0" w:color="000000"/>
              <w:bottom w:val="single" w:sz="8" w:space="0" w:color="000000"/>
              <w:right w:val="single" w:sz="8" w:space="0" w:color="000000"/>
            </w:tcBorders>
            <w:vAlign w:val="center"/>
            <w:hideMark/>
          </w:tcPr>
          <w:p w14:paraId="335F69A0" w14:textId="77777777" w:rsidR="000B6128" w:rsidRPr="00731FE2" w:rsidRDefault="000B6128" w:rsidP="000B6128">
            <w:pPr>
              <w:spacing w:line="240" w:lineRule="auto"/>
              <w:ind w:firstLine="0"/>
              <w:jc w:val="left"/>
              <w:rPr>
                <w:rFonts w:ascii="Times New Roman" w:eastAsia="Times New Roman" w:hAnsi="Times New Roman" w:cs="Times New Roman"/>
                <w:sz w:val="22"/>
                <w:lang w:eastAsia="ru-RU"/>
              </w:rPr>
            </w:pPr>
          </w:p>
        </w:tc>
        <w:tc>
          <w:tcPr>
            <w:tcW w:w="3417" w:type="dxa"/>
            <w:tcBorders>
              <w:top w:val="nil"/>
              <w:left w:val="nil"/>
              <w:bottom w:val="single" w:sz="8" w:space="0" w:color="000000"/>
              <w:right w:val="single" w:sz="8" w:space="0" w:color="000000"/>
            </w:tcBorders>
            <w:vAlign w:val="center"/>
            <w:hideMark/>
          </w:tcPr>
          <w:p w14:paraId="6E63EC73" w14:textId="002F4243" w:rsidR="000B6128" w:rsidRPr="00731FE2" w:rsidRDefault="000B6128" w:rsidP="000B6128">
            <w:pPr>
              <w:spacing w:line="240" w:lineRule="auto"/>
              <w:ind w:firstLine="0"/>
              <w:rPr>
                <w:rFonts w:ascii="Times New Roman" w:eastAsia="Times New Roman" w:hAnsi="Times New Roman" w:cs="Times New Roman"/>
                <w:sz w:val="22"/>
                <w:lang w:eastAsia="ru-RU"/>
              </w:rPr>
            </w:pPr>
            <w:r w:rsidRPr="00731FE2">
              <w:rPr>
                <w:rFonts w:ascii="Times New Roman" w:eastAsia="Arial Narrow" w:hAnsi="Times New Roman" w:cs="Times New Roman"/>
                <w:color w:val="000000"/>
                <w:sz w:val="22"/>
              </w:rPr>
              <w:t>Зона озелененных территорий общего пользования (лесопарки, парки, сады, скверы, бульвары, городские леса)</w:t>
            </w:r>
          </w:p>
        </w:tc>
        <w:tc>
          <w:tcPr>
            <w:tcW w:w="1525" w:type="dxa"/>
            <w:tcBorders>
              <w:top w:val="nil"/>
              <w:left w:val="nil"/>
              <w:bottom w:val="single" w:sz="8" w:space="0" w:color="000000"/>
              <w:right w:val="single" w:sz="8" w:space="0" w:color="000000"/>
            </w:tcBorders>
            <w:vAlign w:val="center"/>
            <w:hideMark/>
          </w:tcPr>
          <w:p w14:paraId="0A72E301" w14:textId="1A659230"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Arial Narrow" w:hAnsi="Times New Roman" w:cs="Times New Roman"/>
                <w:color w:val="000000"/>
                <w:sz w:val="22"/>
              </w:rPr>
              <w:t>га</w:t>
            </w:r>
          </w:p>
        </w:tc>
        <w:tc>
          <w:tcPr>
            <w:tcW w:w="1766" w:type="dxa"/>
            <w:tcBorders>
              <w:top w:val="nil"/>
              <w:left w:val="nil"/>
              <w:bottom w:val="single" w:sz="8" w:space="0" w:color="000000"/>
              <w:right w:val="single" w:sz="8" w:space="0" w:color="000000"/>
            </w:tcBorders>
            <w:vAlign w:val="center"/>
            <w:hideMark/>
          </w:tcPr>
          <w:p w14:paraId="747B4E24" w14:textId="0A161552"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hAnsi="Times New Roman" w:cs="Times New Roman"/>
                <w:sz w:val="22"/>
              </w:rPr>
              <w:t>1,45</w:t>
            </w:r>
          </w:p>
        </w:tc>
        <w:tc>
          <w:tcPr>
            <w:tcW w:w="1766" w:type="dxa"/>
            <w:tcBorders>
              <w:top w:val="nil"/>
              <w:left w:val="nil"/>
              <w:bottom w:val="single" w:sz="8" w:space="0" w:color="000000"/>
              <w:right w:val="single" w:sz="8" w:space="0" w:color="000000"/>
            </w:tcBorders>
            <w:vAlign w:val="center"/>
            <w:hideMark/>
          </w:tcPr>
          <w:p w14:paraId="39719E6F" w14:textId="7EF1DD37" w:rsidR="000B6128" w:rsidRPr="00731FE2" w:rsidRDefault="000D2CEA"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hAnsi="Times New Roman" w:cs="Times New Roman"/>
                <w:sz w:val="22"/>
              </w:rPr>
              <w:t>5,5</w:t>
            </w:r>
          </w:p>
        </w:tc>
      </w:tr>
      <w:tr w:rsidR="000B6128" w:rsidRPr="00731FE2" w14:paraId="72D659B8" w14:textId="77777777" w:rsidTr="00D154A0">
        <w:trPr>
          <w:trHeight w:val="58"/>
          <w:tblCellSpacing w:w="0" w:type="dxa"/>
        </w:trPr>
        <w:tc>
          <w:tcPr>
            <w:tcW w:w="9335" w:type="dxa"/>
            <w:gridSpan w:val="5"/>
            <w:tcBorders>
              <w:top w:val="nil"/>
              <w:left w:val="single" w:sz="8" w:space="0" w:color="000000"/>
              <w:bottom w:val="single" w:sz="8" w:space="0" w:color="000000"/>
              <w:right w:val="single" w:sz="8" w:space="0" w:color="000000"/>
            </w:tcBorders>
            <w:vAlign w:val="center"/>
            <w:hideMark/>
          </w:tcPr>
          <w:p w14:paraId="323D403E" w14:textId="7777777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b/>
                <w:bCs/>
                <w:color w:val="000000"/>
                <w:sz w:val="22"/>
                <w:lang w:eastAsia="ru-RU"/>
              </w:rPr>
              <w:t>п. Белореченский</w:t>
            </w:r>
          </w:p>
        </w:tc>
      </w:tr>
      <w:tr w:rsidR="000B6128" w:rsidRPr="00731FE2" w14:paraId="0F1CCF66" w14:textId="77777777" w:rsidTr="00FE28EA">
        <w:trPr>
          <w:trHeight w:val="58"/>
          <w:tblCellSpacing w:w="0" w:type="dxa"/>
        </w:trPr>
        <w:tc>
          <w:tcPr>
            <w:tcW w:w="861" w:type="dxa"/>
            <w:vMerge w:val="restart"/>
            <w:tcBorders>
              <w:top w:val="nil"/>
              <w:left w:val="single" w:sz="8" w:space="0" w:color="000000"/>
              <w:bottom w:val="single" w:sz="8" w:space="0" w:color="000000"/>
              <w:right w:val="single" w:sz="8" w:space="0" w:color="000000"/>
            </w:tcBorders>
            <w:vAlign w:val="center"/>
            <w:hideMark/>
          </w:tcPr>
          <w:p w14:paraId="243CE7D3" w14:textId="51C06972"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b/>
                <w:bCs/>
                <w:color w:val="000000"/>
                <w:sz w:val="22"/>
                <w:lang w:eastAsia="ru-RU"/>
              </w:rPr>
              <w:t>1.</w:t>
            </w:r>
            <w:r w:rsidR="00B043D3" w:rsidRPr="00731FE2">
              <w:rPr>
                <w:rFonts w:ascii="Times New Roman" w:eastAsia="Times New Roman" w:hAnsi="Times New Roman" w:cs="Times New Roman"/>
                <w:b/>
                <w:bCs/>
                <w:color w:val="000000"/>
                <w:sz w:val="22"/>
                <w:lang w:eastAsia="ru-RU"/>
              </w:rPr>
              <w:t>7</w:t>
            </w:r>
          </w:p>
        </w:tc>
        <w:tc>
          <w:tcPr>
            <w:tcW w:w="3417" w:type="dxa"/>
            <w:tcBorders>
              <w:top w:val="nil"/>
              <w:left w:val="nil"/>
              <w:bottom w:val="single" w:sz="8" w:space="0" w:color="000000"/>
              <w:right w:val="single" w:sz="8" w:space="0" w:color="000000"/>
            </w:tcBorders>
            <w:vAlign w:val="center"/>
            <w:hideMark/>
          </w:tcPr>
          <w:p w14:paraId="4F96466B" w14:textId="77777777" w:rsidR="000B6128" w:rsidRPr="00731FE2" w:rsidRDefault="000B6128" w:rsidP="000B6128">
            <w:pPr>
              <w:spacing w:line="240" w:lineRule="auto"/>
              <w:ind w:firstLine="0"/>
              <w:rPr>
                <w:rFonts w:ascii="Times New Roman" w:eastAsia="Times New Roman" w:hAnsi="Times New Roman" w:cs="Times New Roman"/>
                <w:sz w:val="22"/>
                <w:lang w:eastAsia="ru-RU"/>
              </w:rPr>
            </w:pPr>
            <w:r w:rsidRPr="00731FE2">
              <w:rPr>
                <w:rFonts w:ascii="Times New Roman" w:eastAsia="Times New Roman" w:hAnsi="Times New Roman" w:cs="Times New Roman"/>
                <w:b/>
                <w:bCs/>
                <w:color w:val="000000"/>
                <w:sz w:val="22"/>
                <w:lang w:eastAsia="ru-RU"/>
              </w:rPr>
              <w:t>Общая площадь земель населенных пунктов</w:t>
            </w:r>
          </w:p>
        </w:tc>
        <w:tc>
          <w:tcPr>
            <w:tcW w:w="1525" w:type="dxa"/>
            <w:tcBorders>
              <w:top w:val="nil"/>
              <w:left w:val="nil"/>
              <w:bottom w:val="single" w:sz="8" w:space="0" w:color="000000"/>
              <w:right w:val="single" w:sz="8" w:space="0" w:color="000000"/>
            </w:tcBorders>
            <w:vAlign w:val="center"/>
            <w:hideMark/>
          </w:tcPr>
          <w:p w14:paraId="53185C9F" w14:textId="7777777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b/>
                <w:bCs/>
                <w:color w:val="000000"/>
                <w:sz w:val="22"/>
                <w:lang w:eastAsia="ru-RU"/>
              </w:rPr>
              <w:t>га</w:t>
            </w:r>
          </w:p>
        </w:tc>
        <w:tc>
          <w:tcPr>
            <w:tcW w:w="1766" w:type="dxa"/>
            <w:tcBorders>
              <w:top w:val="nil"/>
              <w:left w:val="nil"/>
              <w:bottom w:val="single" w:sz="8" w:space="0" w:color="000000"/>
              <w:right w:val="single" w:sz="8" w:space="0" w:color="000000"/>
            </w:tcBorders>
            <w:vAlign w:val="center"/>
            <w:hideMark/>
          </w:tcPr>
          <w:p w14:paraId="68A63339" w14:textId="797377A3" w:rsidR="000B6128" w:rsidRPr="00731FE2" w:rsidRDefault="000B6128" w:rsidP="000B6128">
            <w:pPr>
              <w:spacing w:line="240" w:lineRule="auto"/>
              <w:ind w:firstLine="0"/>
              <w:jc w:val="center"/>
              <w:rPr>
                <w:rFonts w:ascii="Times New Roman" w:eastAsia="Times New Roman" w:hAnsi="Times New Roman" w:cs="Times New Roman"/>
                <w:b/>
                <w:color w:val="000000"/>
                <w:sz w:val="22"/>
                <w:lang w:eastAsia="ru-RU"/>
              </w:rPr>
            </w:pPr>
            <w:r w:rsidRPr="00731FE2">
              <w:rPr>
                <w:rFonts w:ascii="Times New Roman" w:eastAsia="Times New Roman" w:hAnsi="Times New Roman" w:cs="Times New Roman"/>
                <w:b/>
                <w:color w:val="000000"/>
                <w:sz w:val="22"/>
                <w:lang w:eastAsia="ru-RU"/>
              </w:rPr>
              <w:t>24,75</w:t>
            </w:r>
          </w:p>
        </w:tc>
        <w:tc>
          <w:tcPr>
            <w:tcW w:w="1766" w:type="dxa"/>
            <w:tcBorders>
              <w:top w:val="nil"/>
              <w:left w:val="nil"/>
              <w:bottom w:val="single" w:sz="8" w:space="0" w:color="000000"/>
              <w:right w:val="single" w:sz="8" w:space="0" w:color="000000"/>
            </w:tcBorders>
            <w:vAlign w:val="center"/>
            <w:hideMark/>
          </w:tcPr>
          <w:p w14:paraId="4B080E63" w14:textId="65844F5D" w:rsidR="000B6128" w:rsidRPr="00731FE2" w:rsidRDefault="000B6128" w:rsidP="000B6128">
            <w:pPr>
              <w:spacing w:line="240" w:lineRule="auto"/>
              <w:ind w:firstLine="0"/>
              <w:jc w:val="center"/>
              <w:rPr>
                <w:rFonts w:ascii="Times New Roman" w:eastAsia="Times New Roman" w:hAnsi="Times New Roman" w:cs="Times New Roman"/>
                <w:b/>
                <w:color w:val="000000"/>
                <w:sz w:val="22"/>
                <w:lang w:eastAsia="ru-RU"/>
              </w:rPr>
            </w:pPr>
            <w:r w:rsidRPr="00731FE2">
              <w:rPr>
                <w:rFonts w:ascii="Times New Roman" w:eastAsia="Times New Roman" w:hAnsi="Times New Roman" w:cs="Times New Roman"/>
                <w:b/>
                <w:color w:val="000000"/>
                <w:sz w:val="22"/>
                <w:lang w:eastAsia="ru-RU"/>
              </w:rPr>
              <w:t>26,57</w:t>
            </w:r>
          </w:p>
        </w:tc>
      </w:tr>
      <w:tr w:rsidR="000B6128" w:rsidRPr="00731FE2" w14:paraId="7CC2AD00" w14:textId="77777777" w:rsidTr="00FE28EA">
        <w:trPr>
          <w:trHeight w:val="58"/>
          <w:tblCellSpacing w:w="0" w:type="dxa"/>
        </w:trPr>
        <w:tc>
          <w:tcPr>
            <w:tcW w:w="0" w:type="auto"/>
            <w:vMerge/>
            <w:tcBorders>
              <w:top w:val="nil"/>
              <w:left w:val="single" w:sz="8" w:space="0" w:color="000000"/>
              <w:bottom w:val="single" w:sz="8" w:space="0" w:color="000000"/>
              <w:right w:val="single" w:sz="8" w:space="0" w:color="000000"/>
            </w:tcBorders>
            <w:vAlign w:val="center"/>
            <w:hideMark/>
          </w:tcPr>
          <w:p w14:paraId="5F4D30F4" w14:textId="77777777" w:rsidR="000B6128" w:rsidRPr="00731FE2" w:rsidRDefault="000B6128" w:rsidP="000B6128">
            <w:pPr>
              <w:spacing w:line="240" w:lineRule="auto"/>
              <w:ind w:firstLine="0"/>
              <w:jc w:val="left"/>
              <w:rPr>
                <w:rFonts w:ascii="Times New Roman" w:eastAsia="Times New Roman" w:hAnsi="Times New Roman" w:cs="Times New Roman"/>
                <w:sz w:val="22"/>
                <w:lang w:eastAsia="ru-RU"/>
              </w:rPr>
            </w:pPr>
          </w:p>
        </w:tc>
        <w:tc>
          <w:tcPr>
            <w:tcW w:w="3417" w:type="dxa"/>
            <w:tcBorders>
              <w:top w:val="nil"/>
              <w:left w:val="nil"/>
              <w:bottom w:val="single" w:sz="8" w:space="0" w:color="000000"/>
              <w:right w:val="single" w:sz="8" w:space="0" w:color="000000"/>
            </w:tcBorders>
            <w:vAlign w:val="center"/>
            <w:hideMark/>
          </w:tcPr>
          <w:p w14:paraId="2F5BE39F" w14:textId="77777777" w:rsidR="000B6128" w:rsidRPr="00731FE2" w:rsidRDefault="000B6128" w:rsidP="000B6128">
            <w:pPr>
              <w:spacing w:line="240" w:lineRule="auto"/>
              <w:ind w:firstLine="0"/>
              <w:rPr>
                <w:rFonts w:ascii="Times New Roman" w:eastAsia="Times New Roman" w:hAnsi="Times New Roman" w:cs="Times New Roman"/>
                <w:sz w:val="22"/>
                <w:lang w:eastAsia="ru-RU"/>
              </w:rPr>
            </w:pPr>
            <w:r w:rsidRPr="00731FE2">
              <w:rPr>
                <w:rFonts w:ascii="Times New Roman" w:eastAsia="Times New Roman" w:hAnsi="Times New Roman" w:cs="Times New Roman"/>
                <w:b/>
                <w:bCs/>
                <w:color w:val="000000"/>
                <w:sz w:val="22"/>
                <w:lang w:eastAsia="ru-RU"/>
              </w:rPr>
              <w:t>Общая площадь функциональных зон (в границах п. Белореченского)</w:t>
            </w:r>
          </w:p>
        </w:tc>
        <w:tc>
          <w:tcPr>
            <w:tcW w:w="1525" w:type="dxa"/>
            <w:tcBorders>
              <w:top w:val="nil"/>
              <w:left w:val="nil"/>
              <w:bottom w:val="single" w:sz="8" w:space="0" w:color="000000"/>
              <w:right w:val="single" w:sz="8" w:space="0" w:color="000000"/>
            </w:tcBorders>
            <w:vAlign w:val="center"/>
            <w:hideMark/>
          </w:tcPr>
          <w:p w14:paraId="73382293" w14:textId="7777777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b/>
                <w:bCs/>
                <w:color w:val="000000"/>
                <w:sz w:val="22"/>
                <w:lang w:eastAsia="ru-RU"/>
              </w:rPr>
              <w:t>га</w:t>
            </w:r>
          </w:p>
        </w:tc>
        <w:tc>
          <w:tcPr>
            <w:tcW w:w="1766" w:type="dxa"/>
            <w:tcBorders>
              <w:top w:val="nil"/>
              <w:left w:val="nil"/>
              <w:bottom w:val="single" w:sz="8" w:space="0" w:color="000000"/>
              <w:right w:val="single" w:sz="8" w:space="0" w:color="000000"/>
            </w:tcBorders>
            <w:vAlign w:val="center"/>
            <w:hideMark/>
          </w:tcPr>
          <w:p w14:paraId="4B935D1C" w14:textId="43DC216C" w:rsidR="000B6128" w:rsidRPr="00731FE2" w:rsidRDefault="000B6128" w:rsidP="000B6128">
            <w:pPr>
              <w:spacing w:line="240" w:lineRule="auto"/>
              <w:ind w:firstLine="0"/>
              <w:jc w:val="center"/>
              <w:rPr>
                <w:rFonts w:ascii="Times New Roman" w:eastAsia="Times New Roman" w:hAnsi="Times New Roman" w:cs="Times New Roman"/>
                <w:b/>
                <w:color w:val="000000"/>
                <w:sz w:val="22"/>
                <w:lang w:eastAsia="ru-RU"/>
              </w:rPr>
            </w:pPr>
            <w:r w:rsidRPr="00731FE2">
              <w:rPr>
                <w:rFonts w:ascii="Times New Roman" w:eastAsia="Times New Roman" w:hAnsi="Times New Roman" w:cs="Times New Roman"/>
                <w:b/>
                <w:color w:val="000000"/>
                <w:sz w:val="22"/>
                <w:lang w:eastAsia="ru-RU"/>
              </w:rPr>
              <w:t>24,75</w:t>
            </w:r>
          </w:p>
        </w:tc>
        <w:tc>
          <w:tcPr>
            <w:tcW w:w="1766" w:type="dxa"/>
            <w:tcBorders>
              <w:top w:val="nil"/>
              <w:left w:val="nil"/>
              <w:bottom w:val="single" w:sz="8" w:space="0" w:color="000000"/>
              <w:right w:val="single" w:sz="8" w:space="0" w:color="000000"/>
            </w:tcBorders>
            <w:vAlign w:val="center"/>
            <w:hideMark/>
          </w:tcPr>
          <w:p w14:paraId="6F67D0D0" w14:textId="3177DDCE" w:rsidR="000B6128" w:rsidRPr="00731FE2" w:rsidRDefault="000B6128" w:rsidP="000B6128">
            <w:pPr>
              <w:spacing w:line="240" w:lineRule="auto"/>
              <w:ind w:firstLine="0"/>
              <w:jc w:val="center"/>
              <w:rPr>
                <w:rFonts w:ascii="Times New Roman" w:eastAsia="Times New Roman" w:hAnsi="Times New Roman" w:cs="Times New Roman"/>
                <w:b/>
                <w:color w:val="000000"/>
                <w:sz w:val="22"/>
                <w:lang w:eastAsia="ru-RU"/>
              </w:rPr>
            </w:pPr>
            <w:r w:rsidRPr="00731FE2">
              <w:rPr>
                <w:rFonts w:ascii="Times New Roman" w:eastAsia="Times New Roman" w:hAnsi="Times New Roman" w:cs="Times New Roman"/>
                <w:b/>
                <w:color w:val="000000"/>
                <w:sz w:val="22"/>
                <w:lang w:eastAsia="ru-RU"/>
              </w:rPr>
              <w:t>26,57</w:t>
            </w:r>
          </w:p>
        </w:tc>
      </w:tr>
      <w:tr w:rsidR="000B6128" w:rsidRPr="00731FE2" w14:paraId="30B01D24" w14:textId="77777777" w:rsidTr="00FE28EA">
        <w:trPr>
          <w:trHeight w:val="58"/>
          <w:tblCellSpacing w:w="0" w:type="dxa"/>
        </w:trPr>
        <w:tc>
          <w:tcPr>
            <w:tcW w:w="0" w:type="auto"/>
            <w:vMerge/>
            <w:tcBorders>
              <w:top w:val="nil"/>
              <w:left w:val="single" w:sz="8" w:space="0" w:color="000000"/>
              <w:bottom w:val="single" w:sz="8" w:space="0" w:color="000000"/>
              <w:right w:val="single" w:sz="8" w:space="0" w:color="000000"/>
            </w:tcBorders>
            <w:vAlign w:val="center"/>
            <w:hideMark/>
          </w:tcPr>
          <w:p w14:paraId="5373D980" w14:textId="77777777" w:rsidR="000B6128" w:rsidRPr="00731FE2" w:rsidRDefault="000B6128" w:rsidP="000B6128">
            <w:pPr>
              <w:spacing w:line="240" w:lineRule="auto"/>
              <w:ind w:firstLine="0"/>
              <w:jc w:val="left"/>
              <w:rPr>
                <w:rFonts w:ascii="Times New Roman" w:eastAsia="Times New Roman" w:hAnsi="Times New Roman" w:cs="Times New Roman"/>
                <w:sz w:val="22"/>
                <w:lang w:eastAsia="ru-RU"/>
              </w:rPr>
            </w:pPr>
          </w:p>
        </w:tc>
        <w:tc>
          <w:tcPr>
            <w:tcW w:w="3417" w:type="dxa"/>
            <w:tcBorders>
              <w:top w:val="nil"/>
              <w:left w:val="nil"/>
              <w:bottom w:val="single" w:sz="8" w:space="0" w:color="000000"/>
              <w:right w:val="single" w:sz="8" w:space="0" w:color="000000"/>
            </w:tcBorders>
            <w:vAlign w:val="center"/>
            <w:hideMark/>
          </w:tcPr>
          <w:p w14:paraId="1E6BF11F" w14:textId="77777777" w:rsidR="000B6128" w:rsidRPr="00731FE2" w:rsidRDefault="000B6128" w:rsidP="000B6128">
            <w:pPr>
              <w:spacing w:line="240" w:lineRule="auto"/>
              <w:ind w:firstLine="0"/>
              <w:rPr>
                <w:rFonts w:ascii="Times New Roman" w:eastAsia="Times New Roman" w:hAnsi="Times New Roman" w:cs="Times New Roman"/>
                <w:sz w:val="22"/>
                <w:lang w:eastAsia="ru-RU"/>
              </w:rPr>
            </w:pPr>
            <w:r w:rsidRPr="00731FE2">
              <w:rPr>
                <w:rFonts w:ascii="Times New Roman" w:eastAsia="Times New Roman" w:hAnsi="Times New Roman" w:cs="Times New Roman"/>
                <w:b/>
                <w:bCs/>
                <w:color w:val="000000"/>
                <w:sz w:val="22"/>
                <w:lang w:eastAsia="ru-RU"/>
              </w:rPr>
              <w:t xml:space="preserve">Жилые зоны, </w:t>
            </w:r>
            <w:r w:rsidRPr="00731FE2">
              <w:rPr>
                <w:rFonts w:ascii="Times New Roman" w:eastAsia="Times New Roman" w:hAnsi="Times New Roman" w:cs="Times New Roman"/>
                <w:color w:val="000000"/>
                <w:sz w:val="22"/>
                <w:lang w:eastAsia="ru-RU"/>
              </w:rPr>
              <w:t>в том числе:</w:t>
            </w:r>
          </w:p>
        </w:tc>
        <w:tc>
          <w:tcPr>
            <w:tcW w:w="1525" w:type="dxa"/>
            <w:tcBorders>
              <w:top w:val="nil"/>
              <w:left w:val="nil"/>
              <w:bottom w:val="single" w:sz="8" w:space="0" w:color="000000"/>
              <w:right w:val="single" w:sz="8" w:space="0" w:color="000000"/>
            </w:tcBorders>
            <w:vAlign w:val="center"/>
            <w:hideMark/>
          </w:tcPr>
          <w:p w14:paraId="2E0E0223" w14:textId="7777777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b/>
                <w:bCs/>
                <w:color w:val="000000"/>
                <w:sz w:val="22"/>
                <w:lang w:eastAsia="ru-RU"/>
              </w:rPr>
              <w:t>га</w:t>
            </w:r>
          </w:p>
        </w:tc>
        <w:tc>
          <w:tcPr>
            <w:tcW w:w="1766" w:type="dxa"/>
            <w:tcBorders>
              <w:top w:val="nil"/>
              <w:left w:val="nil"/>
              <w:bottom w:val="single" w:sz="8" w:space="0" w:color="000000"/>
              <w:right w:val="single" w:sz="8" w:space="0" w:color="000000"/>
            </w:tcBorders>
            <w:vAlign w:val="center"/>
            <w:hideMark/>
          </w:tcPr>
          <w:p w14:paraId="6A74C451" w14:textId="2E33EBD1" w:rsidR="000B6128" w:rsidRPr="00731FE2" w:rsidRDefault="000B6128" w:rsidP="000B6128">
            <w:pPr>
              <w:spacing w:line="240" w:lineRule="auto"/>
              <w:ind w:firstLine="0"/>
              <w:jc w:val="center"/>
              <w:rPr>
                <w:rFonts w:ascii="Times New Roman" w:eastAsia="Times New Roman" w:hAnsi="Times New Roman" w:cs="Times New Roman"/>
                <w:b/>
                <w:color w:val="000000"/>
                <w:sz w:val="22"/>
                <w:lang w:eastAsia="ru-RU"/>
              </w:rPr>
            </w:pPr>
            <w:r w:rsidRPr="00731FE2">
              <w:rPr>
                <w:rFonts w:ascii="Times New Roman" w:eastAsia="Times New Roman" w:hAnsi="Times New Roman" w:cs="Times New Roman"/>
                <w:b/>
                <w:color w:val="000000"/>
                <w:sz w:val="22"/>
                <w:lang w:eastAsia="ru-RU"/>
              </w:rPr>
              <w:t>21,55</w:t>
            </w:r>
          </w:p>
        </w:tc>
        <w:tc>
          <w:tcPr>
            <w:tcW w:w="1766" w:type="dxa"/>
            <w:tcBorders>
              <w:top w:val="nil"/>
              <w:left w:val="nil"/>
              <w:bottom w:val="single" w:sz="8" w:space="0" w:color="000000"/>
              <w:right w:val="single" w:sz="8" w:space="0" w:color="000000"/>
            </w:tcBorders>
            <w:vAlign w:val="center"/>
            <w:hideMark/>
          </w:tcPr>
          <w:p w14:paraId="1C9C3BD5" w14:textId="761CF26D" w:rsidR="000B6128" w:rsidRPr="00731FE2" w:rsidRDefault="000B6128" w:rsidP="000B6128">
            <w:pPr>
              <w:spacing w:line="240" w:lineRule="auto"/>
              <w:ind w:firstLine="0"/>
              <w:jc w:val="center"/>
              <w:rPr>
                <w:rFonts w:ascii="Times New Roman" w:eastAsia="Times New Roman" w:hAnsi="Times New Roman" w:cs="Times New Roman"/>
                <w:b/>
                <w:color w:val="000000"/>
                <w:sz w:val="22"/>
                <w:lang w:eastAsia="ru-RU"/>
              </w:rPr>
            </w:pPr>
            <w:r w:rsidRPr="00731FE2">
              <w:rPr>
                <w:rFonts w:ascii="Times New Roman" w:eastAsia="Times New Roman" w:hAnsi="Times New Roman" w:cs="Times New Roman"/>
                <w:b/>
                <w:color w:val="000000"/>
                <w:sz w:val="22"/>
                <w:lang w:eastAsia="ru-RU"/>
              </w:rPr>
              <w:t>23,37</w:t>
            </w:r>
          </w:p>
        </w:tc>
      </w:tr>
      <w:tr w:rsidR="000B6128" w:rsidRPr="00731FE2" w14:paraId="46E2C258" w14:textId="77777777" w:rsidTr="00FE28EA">
        <w:trPr>
          <w:trHeight w:val="58"/>
          <w:tblCellSpacing w:w="0" w:type="dxa"/>
        </w:trPr>
        <w:tc>
          <w:tcPr>
            <w:tcW w:w="0" w:type="auto"/>
            <w:vMerge/>
            <w:tcBorders>
              <w:top w:val="nil"/>
              <w:left w:val="single" w:sz="8" w:space="0" w:color="000000"/>
              <w:bottom w:val="single" w:sz="8" w:space="0" w:color="000000"/>
              <w:right w:val="single" w:sz="8" w:space="0" w:color="000000"/>
            </w:tcBorders>
            <w:vAlign w:val="center"/>
            <w:hideMark/>
          </w:tcPr>
          <w:p w14:paraId="6F5AC1D8" w14:textId="77777777" w:rsidR="000B6128" w:rsidRPr="00731FE2" w:rsidRDefault="000B6128" w:rsidP="000B6128">
            <w:pPr>
              <w:spacing w:line="240" w:lineRule="auto"/>
              <w:ind w:firstLine="0"/>
              <w:jc w:val="left"/>
              <w:rPr>
                <w:rFonts w:ascii="Times New Roman" w:eastAsia="Times New Roman" w:hAnsi="Times New Roman" w:cs="Times New Roman"/>
                <w:sz w:val="22"/>
                <w:lang w:eastAsia="ru-RU"/>
              </w:rPr>
            </w:pPr>
          </w:p>
        </w:tc>
        <w:tc>
          <w:tcPr>
            <w:tcW w:w="3417" w:type="dxa"/>
            <w:tcBorders>
              <w:top w:val="nil"/>
              <w:left w:val="nil"/>
              <w:bottom w:val="single" w:sz="8" w:space="0" w:color="000000"/>
              <w:right w:val="single" w:sz="8" w:space="0" w:color="000000"/>
            </w:tcBorders>
            <w:vAlign w:val="center"/>
            <w:hideMark/>
          </w:tcPr>
          <w:p w14:paraId="07CB7E86" w14:textId="77777777" w:rsidR="000B6128" w:rsidRPr="00731FE2" w:rsidRDefault="000B6128" w:rsidP="000B6128">
            <w:pPr>
              <w:spacing w:line="240" w:lineRule="auto"/>
              <w:ind w:firstLine="0"/>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Зона застройки индивидуальными жилыми домами</w:t>
            </w:r>
          </w:p>
        </w:tc>
        <w:tc>
          <w:tcPr>
            <w:tcW w:w="1525" w:type="dxa"/>
            <w:tcBorders>
              <w:top w:val="nil"/>
              <w:left w:val="nil"/>
              <w:bottom w:val="single" w:sz="8" w:space="0" w:color="000000"/>
              <w:right w:val="single" w:sz="8" w:space="0" w:color="000000"/>
            </w:tcBorders>
            <w:vAlign w:val="center"/>
            <w:hideMark/>
          </w:tcPr>
          <w:p w14:paraId="24C18252" w14:textId="7777777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га</w:t>
            </w:r>
          </w:p>
        </w:tc>
        <w:tc>
          <w:tcPr>
            <w:tcW w:w="1766" w:type="dxa"/>
            <w:tcBorders>
              <w:top w:val="nil"/>
              <w:left w:val="nil"/>
              <w:bottom w:val="single" w:sz="8" w:space="0" w:color="000000"/>
              <w:right w:val="single" w:sz="8" w:space="0" w:color="000000"/>
            </w:tcBorders>
            <w:vAlign w:val="center"/>
            <w:hideMark/>
          </w:tcPr>
          <w:p w14:paraId="2EB13AA3" w14:textId="79FAA006" w:rsidR="000B6128" w:rsidRPr="00731FE2" w:rsidRDefault="000B6128" w:rsidP="000B6128">
            <w:pPr>
              <w:spacing w:line="240" w:lineRule="auto"/>
              <w:ind w:firstLine="0"/>
              <w:jc w:val="center"/>
              <w:rPr>
                <w:rFonts w:ascii="Times New Roman" w:eastAsia="Times New Roman" w:hAnsi="Times New Roman" w:cs="Times New Roman"/>
                <w:bCs/>
                <w:color w:val="000000"/>
                <w:sz w:val="22"/>
                <w:lang w:eastAsia="ru-RU"/>
              </w:rPr>
            </w:pPr>
            <w:r w:rsidRPr="00731FE2">
              <w:rPr>
                <w:rFonts w:ascii="Times New Roman" w:eastAsia="Times New Roman" w:hAnsi="Times New Roman" w:cs="Times New Roman"/>
                <w:bCs/>
                <w:color w:val="000000"/>
                <w:sz w:val="22"/>
                <w:lang w:eastAsia="ru-RU"/>
              </w:rPr>
              <w:t>21,55</w:t>
            </w:r>
          </w:p>
        </w:tc>
        <w:tc>
          <w:tcPr>
            <w:tcW w:w="1766" w:type="dxa"/>
            <w:tcBorders>
              <w:top w:val="nil"/>
              <w:left w:val="nil"/>
              <w:bottom w:val="single" w:sz="8" w:space="0" w:color="000000"/>
              <w:right w:val="single" w:sz="8" w:space="0" w:color="000000"/>
            </w:tcBorders>
            <w:vAlign w:val="center"/>
            <w:hideMark/>
          </w:tcPr>
          <w:p w14:paraId="6023578E" w14:textId="2E6D012E" w:rsidR="000B6128" w:rsidRPr="00731FE2" w:rsidRDefault="000B6128" w:rsidP="000B6128">
            <w:pPr>
              <w:spacing w:line="240" w:lineRule="auto"/>
              <w:ind w:firstLine="0"/>
              <w:jc w:val="center"/>
              <w:rPr>
                <w:rFonts w:ascii="Times New Roman" w:eastAsia="Times New Roman" w:hAnsi="Times New Roman" w:cs="Times New Roman"/>
                <w:bCs/>
                <w:color w:val="000000"/>
                <w:sz w:val="22"/>
                <w:lang w:eastAsia="ru-RU"/>
              </w:rPr>
            </w:pPr>
            <w:r w:rsidRPr="00731FE2">
              <w:rPr>
                <w:rFonts w:ascii="Times New Roman" w:eastAsia="Times New Roman" w:hAnsi="Times New Roman" w:cs="Times New Roman"/>
                <w:bCs/>
                <w:color w:val="000000"/>
                <w:sz w:val="22"/>
                <w:lang w:eastAsia="ru-RU"/>
              </w:rPr>
              <w:t>23,37</w:t>
            </w:r>
          </w:p>
        </w:tc>
      </w:tr>
      <w:tr w:rsidR="000B6128" w:rsidRPr="00731FE2" w14:paraId="0D184B18" w14:textId="77777777" w:rsidTr="00FE28EA">
        <w:trPr>
          <w:trHeight w:val="58"/>
          <w:tblCellSpacing w:w="0" w:type="dxa"/>
        </w:trPr>
        <w:tc>
          <w:tcPr>
            <w:tcW w:w="0" w:type="auto"/>
            <w:vMerge/>
            <w:tcBorders>
              <w:top w:val="nil"/>
              <w:left w:val="single" w:sz="8" w:space="0" w:color="000000"/>
              <w:bottom w:val="single" w:sz="8" w:space="0" w:color="000000"/>
              <w:right w:val="single" w:sz="8" w:space="0" w:color="000000"/>
            </w:tcBorders>
            <w:vAlign w:val="center"/>
            <w:hideMark/>
          </w:tcPr>
          <w:p w14:paraId="0446890F" w14:textId="77777777" w:rsidR="000B6128" w:rsidRPr="00731FE2" w:rsidRDefault="000B6128" w:rsidP="000B6128">
            <w:pPr>
              <w:spacing w:line="240" w:lineRule="auto"/>
              <w:ind w:firstLine="0"/>
              <w:jc w:val="left"/>
              <w:rPr>
                <w:rFonts w:ascii="Times New Roman" w:eastAsia="Times New Roman" w:hAnsi="Times New Roman" w:cs="Times New Roman"/>
                <w:sz w:val="22"/>
                <w:lang w:eastAsia="ru-RU"/>
              </w:rPr>
            </w:pPr>
          </w:p>
        </w:tc>
        <w:tc>
          <w:tcPr>
            <w:tcW w:w="3417" w:type="dxa"/>
            <w:tcBorders>
              <w:top w:val="nil"/>
              <w:left w:val="nil"/>
              <w:bottom w:val="single" w:sz="8" w:space="0" w:color="000000"/>
              <w:right w:val="single" w:sz="8" w:space="0" w:color="000000"/>
            </w:tcBorders>
            <w:vAlign w:val="center"/>
            <w:hideMark/>
          </w:tcPr>
          <w:p w14:paraId="2104A4D2" w14:textId="77777777" w:rsidR="000B6128" w:rsidRPr="00731FE2" w:rsidRDefault="000B6128" w:rsidP="000B6128">
            <w:pPr>
              <w:spacing w:line="240" w:lineRule="auto"/>
              <w:ind w:firstLine="0"/>
              <w:rPr>
                <w:rFonts w:ascii="Times New Roman" w:eastAsia="Times New Roman" w:hAnsi="Times New Roman" w:cs="Times New Roman"/>
                <w:sz w:val="22"/>
                <w:lang w:eastAsia="ru-RU"/>
              </w:rPr>
            </w:pPr>
            <w:r w:rsidRPr="00731FE2">
              <w:rPr>
                <w:rFonts w:ascii="Times New Roman" w:eastAsia="Times New Roman" w:hAnsi="Times New Roman" w:cs="Times New Roman"/>
                <w:b/>
                <w:bCs/>
                <w:color w:val="000000"/>
                <w:sz w:val="22"/>
                <w:lang w:eastAsia="ru-RU"/>
              </w:rPr>
              <w:t xml:space="preserve">Зоны общественно-делового использования, </w:t>
            </w:r>
            <w:r w:rsidRPr="00731FE2">
              <w:rPr>
                <w:rFonts w:ascii="Times New Roman" w:eastAsia="Times New Roman" w:hAnsi="Times New Roman" w:cs="Times New Roman"/>
                <w:color w:val="000000"/>
                <w:sz w:val="22"/>
                <w:lang w:eastAsia="ru-RU"/>
              </w:rPr>
              <w:t>в том числе:</w:t>
            </w:r>
          </w:p>
        </w:tc>
        <w:tc>
          <w:tcPr>
            <w:tcW w:w="1525" w:type="dxa"/>
            <w:tcBorders>
              <w:top w:val="nil"/>
              <w:left w:val="nil"/>
              <w:bottom w:val="single" w:sz="8" w:space="0" w:color="000000"/>
              <w:right w:val="single" w:sz="8" w:space="0" w:color="000000"/>
            </w:tcBorders>
            <w:vAlign w:val="center"/>
            <w:hideMark/>
          </w:tcPr>
          <w:p w14:paraId="4A33D1BF" w14:textId="7777777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b/>
                <w:bCs/>
                <w:color w:val="000000"/>
                <w:sz w:val="22"/>
                <w:lang w:eastAsia="ru-RU"/>
              </w:rPr>
              <w:t>га</w:t>
            </w:r>
          </w:p>
        </w:tc>
        <w:tc>
          <w:tcPr>
            <w:tcW w:w="1766" w:type="dxa"/>
            <w:tcBorders>
              <w:top w:val="nil"/>
              <w:left w:val="nil"/>
              <w:bottom w:val="single" w:sz="8" w:space="0" w:color="000000"/>
              <w:right w:val="single" w:sz="8" w:space="0" w:color="000000"/>
            </w:tcBorders>
            <w:vAlign w:val="center"/>
            <w:hideMark/>
          </w:tcPr>
          <w:p w14:paraId="410274D6" w14:textId="07B0119F" w:rsidR="000B6128" w:rsidRPr="00731FE2" w:rsidRDefault="000B6128" w:rsidP="000B6128">
            <w:pPr>
              <w:spacing w:line="240" w:lineRule="auto"/>
              <w:ind w:firstLine="0"/>
              <w:jc w:val="center"/>
              <w:rPr>
                <w:rFonts w:ascii="Times New Roman" w:eastAsia="Times New Roman" w:hAnsi="Times New Roman" w:cs="Times New Roman"/>
                <w:b/>
                <w:color w:val="000000"/>
                <w:sz w:val="22"/>
                <w:lang w:eastAsia="ru-RU"/>
              </w:rPr>
            </w:pPr>
            <w:r w:rsidRPr="00731FE2">
              <w:rPr>
                <w:rFonts w:ascii="Times New Roman" w:eastAsia="Times New Roman" w:hAnsi="Times New Roman" w:cs="Times New Roman"/>
                <w:b/>
                <w:color w:val="000000"/>
                <w:sz w:val="22"/>
                <w:lang w:eastAsia="ru-RU"/>
              </w:rPr>
              <w:t>0,28</w:t>
            </w:r>
          </w:p>
        </w:tc>
        <w:tc>
          <w:tcPr>
            <w:tcW w:w="1766" w:type="dxa"/>
            <w:tcBorders>
              <w:top w:val="nil"/>
              <w:left w:val="nil"/>
              <w:bottom w:val="single" w:sz="8" w:space="0" w:color="000000"/>
              <w:right w:val="single" w:sz="8" w:space="0" w:color="000000"/>
            </w:tcBorders>
            <w:vAlign w:val="center"/>
            <w:hideMark/>
          </w:tcPr>
          <w:p w14:paraId="16491787" w14:textId="160A5289" w:rsidR="000B6128" w:rsidRPr="00731FE2" w:rsidRDefault="000B6128" w:rsidP="000B6128">
            <w:pPr>
              <w:spacing w:line="240" w:lineRule="auto"/>
              <w:ind w:firstLine="0"/>
              <w:jc w:val="center"/>
              <w:rPr>
                <w:rFonts w:ascii="Times New Roman" w:eastAsia="Times New Roman" w:hAnsi="Times New Roman" w:cs="Times New Roman"/>
                <w:b/>
                <w:color w:val="000000"/>
                <w:sz w:val="22"/>
                <w:lang w:eastAsia="ru-RU"/>
              </w:rPr>
            </w:pPr>
            <w:r w:rsidRPr="00731FE2">
              <w:rPr>
                <w:rFonts w:ascii="Times New Roman" w:eastAsia="Times New Roman" w:hAnsi="Times New Roman" w:cs="Times New Roman"/>
                <w:b/>
                <w:color w:val="000000"/>
                <w:sz w:val="22"/>
                <w:lang w:eastAsia="ru-RU"/>
              </w:rPr>
              <w:t>0,28</w:t>
            </w:r>
          </w:p>
        </w:tc>
      </w:tr>
      <w:tr w:rsidR="000B6128" w:rsidRPr="00731FE2" w14:paraId="7C53A9E1" w14:textId="77777777" w:rsidTr="00FE28EA">
        <w:trPr>
          <w:trHeight w:val="58"/>
          <w:tblCellSpacing w:w="0" w:type="dxa"/>
        </w:trPr>
        <w:tc>
          <w:tcPr>
            <w:tcW w:w="0" w:type="auto"/>
            <w:vMerge/>
            <w:tcBorders>
              <w:top w:val="nil"/>
              <w:left w:val="single" w:sz="8" w:space="0" w:color="000000"/>
              <w:bottom w:val="single" w:sz="8" w:space="0" w:color="000000"/>
              <w:right w:val="single" w:sz="8" w:space="0" w:color="000000"/>
            </w:tcBorders>
            <w:vAlign w:val="center"/>
            <w:hideMark/>
          </w:tcPr>
          <w:p w14:paraId="7805A245" w14:textId="77777777" w:rsidR="000B6128" w:rsidRPr="00731FE2" w:rsidRDefault="000B6128" w:rsidP="000B6128">
            <w:pPr>
              <w:spacing w:line="240" w:lineRule="auto"/>
              <w:ind w:firstLine="0"/>
              <w:jc w:val="left"/>
              <w:rPr>
                <w:rFonts w:ascii="Times New Roman" w:eastAsia="Times New Roman" w:hAnsi="Times New Roman" w:cs="Times New Roman"/>
                <w:sz w:val="22"/>
                <w:lang w:eastAsia="ru-RU"/>
              </w:rPr>
            </w:pPr>
          </w:p>
        </w:tc>
        <w:tc>
          <w:tcPr>
            <w:tcW w:w="3417" w:type="dxa"/>
            <w:tcBorders>
              <w:top w:val="nil"/>
              <w:left w:val="nil"/>
              <w:bottom w:val="single" w:sz="8" w:space="0" w:color="000000"/>
              <w:right w:val="single" w:sz="8" w:space="0" w:color="000000"/>
            </w:tcBorders>
            <w:vAlign w:val="center"/>
            <w:hideMark/>
          </w:tcPr>
          <w:p w14:paraId="0B2F2702" w14:textId="77777777" w:rsidR="000B6128" w:rsidRPr="00731FE2" w:rsidRDefault="000B6128" w:rsidP="000B6128">
            <w:pPr>
              <w:spacing w:line="240" w:lineRule="auto"/>
              <w:ind w:firstLine="0"/>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Общественно-деловые зоны</w:t>
            </w:r>
          </w:p>
        </w:tc>
        <w:tc>
          <w:tcPr>
            <w:tcW w:w="1525" w:type="dxa"/>
            <w:tcBorders>
              <w:top w:val="nil"/>
              <w:left w:val="nil"/>
              <w:bottom w:val="single" w:sz="8" w:space="0" w:color="000000"/>
              <w:right w:val="single" w:sz="8" w:space="0" w:color="000000"/>
            </w:tcBorders>
            <w:vAlign w:val="center"/>
            <w:hideMark/>
          </w:tcPr>
          <w:p w14:paraId="2AF8279B" w14:textId="7777777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га</w:t>
            </w:r>
          </w:p>
        </w:tc>
        <w:tc>
          <w:tcPr>
            <w:tcW w:w="1766" w:type="dxa"/>
            <w:tcBorders>
              <w:top w:val="nil"/>
              <w:left w:val="nil"/>
              <w:bottom w:val="single" w:sz="8" w:space="0" w:color="000000"/>
              <w:right w:val="single" w:sz="8" w:space="0" w:color="000000"/>
            </w:tcBorders>
            <w:vAlign w:val="center"/>
            <w:hideMark/>
          </w:tcPr>
          <w:p w14:paraId="0D1441C6" w14:textId="02779211" w:rsidR="000B6128" w:rsidRPr="00731FE2" w:rsidRDefault="000B6128" w:rsidP="000B6128">
            <w:pPr>
              <w:spacing w:line="240" w:lineRule="auto"/>
              <w:ind w:firstLine="0"/>
              <w:jc w:val="center"/>
              <w:rPr>
                <w:rFonts w:ascii="Times New Roman" w:eastAsia="Times New Roman" w:hAnsi="Times New Roman" w:cs="Times New Roman"/>
                <w:bCs/>
                <w:color w:val="000000"/>
                <w:sz w:val="22"/>
                <w:lang w:eastAsia="ru-RU"/>
              </w:rPr>
            </w:pPr>
            <w:r w:rsidRPr="00731FE2">
              <w:rPr>
                <w:rFonts w:ascii="Times New Roman" w:eastAsia="Times New Roman" w:hAnsi="Times New Roman" w:cs="Times New Roman"/>
                <w:bCs/>
                <w:color w:val="000000"/>
                <w:sz w:val="22"/>
                <w:lang w:eastAsia="ru-RU"/>
              </w:rPr>
              <w:t>0,28</w:t>
            </w:r>
          </w:p>
        </w:tc>
        <w:tc>
          <w:tcPr>
            <w:tcW w:w="1766" w:type="dxa"/>
            <w:tcBorders>
              <w:top w:val="nil"/>
              <w:left w:val="nil"/>
              <w:bottom w:val="single" w:sz="8" w:space="0" w:color="000000"/>
              <w:right w:val="single" w:sz="8" w:space="0" w:color="000000"/>
            </w:tcBorders>
            <w:vAlign w:val="center"/>
            <w:hideMark/>
          </w:tcPr>
          <w:p w14:paraId="5D2C01F3" w14:textId="58A9B259" w:rsidR="000B6128" w:rsidRPr="00731FE2" w:rsidRDefault="000B6128" w:rsidP="000B6128">
            <w:pPr>
              <w:spacing w:line="240" w:lineRule="auto"/>
              <w:ind w:firstLine="0"/>
              <w:jc w:val="center"/>
              <w:rPr>
                <w:rFonts w:ascii="Times New Roman" w:eastAsia="Times New Roman" w:hAnsi="Times New Roman" w:cs="Times New Roman"/>
                <w:bCs/>
                <w:color w:val="000000"/>
                <w:sz w:val="22"/>
                <w:lang w:eastAsia="ru-RU"/>
              </w:rPr>
            </w:pPr>
            <w:r w:rsidRPr="00731FE2">
              <w:rPr>
                <w:rFonts w:ascii="Times New Roman" w:eastAsia="Times New Roman" w:hAnsi="Times New Roman" w:cs="Times New Roman"/>
                <w:bCs/>
                <w:color w:val="000000"/>
                <w:sz w:val="22"/>
                <w:lang w:eastAsia="ru-RU"/>
              </w:rPr>
              <w:t>0,28</w:t>
            </w:r>
          </w:p>
        </w:tc>
      </w:tr>
      <w:tr w:rsidR="000B6128" w:rsidRPr="00731FE2" w14:paraId="2698CD9E" w14:textId="77777777" w:rsidTr="00FE28EA">
        <w:trPr>
          <w:trHeight w:val="58"/>
          <w:tblCellSpacing w:w="0" w:type="dxa"/>
        </w:trPr>
        <w:tc>
          <w:tcPr>
            <w:tcW w:w="0" w:type="auto"/>
            <w:vMerge/>
            <w:tcBorders>
              <w:top w:val="nil"/>
              <w:left w:val="single" w:sz="8" w:space="0" w:color="000000"/>
              <w:bottom w:val="single" w:sz="8" w:space="0" w:color="000000"/>
              <w:right w:val="single" w:sz="8" w:space="0" w:color="000000"/>
            </w:tcBorders>
            <w:vAlign w:val="center"/>
            <w:hideMark/>
          </w:tcPr>
          <w:p w14:paraId="30A91E71" w14:textId="77777777" w:rsidR="000B6128" w:rsidRPr="00731FE2" w:rsidRDefault="000B6128" w:rsidP="000B6128">
            <w:pPr>
              <w:spacing w:line="240" w:lineRule="auto"/>
              <w:ind w:firstLine="0"/>
              <w:jc w:val="left"/>
              <w:rPr>
                <w:rFonts w:ascii="Times New Roman" w:eastAsia="Times New Roman" w:hAnsi="Times New Roman" w:cs="Times New Roman"/>
                <w:sz w:val="22"/>
                <w:lang w:eastAsia="ru-RU"/>
              </w:rPr>
            </w:pPr>
          </w:p>
        </w:tc>
        <w:tc>
          <w:tcPr>
            <w:tcW w:w="3417" w:type="dxa"/>
            <w:tcBorders>
              <w:top w:val="nil"/>
              <w:left w:val="nil"/>
              <w:bottom w:val="single" w:sz="8" w:space="0" w:color="000000"/>
              <w:right w:val="single" w:sz="8" w:space="0" w:color="000000"/>
            </w:tcBorders>
            <w:vAlign w:val="center"/>
            <w:hideMark/>
          </w:tcPr>
          <w:p w14:paraId="630198B6" w14:textId="77777777" w:rsidR="000B6128" w:rsidRPr="00731FE2" w:rsidRDefault="000B6128" w:rsidP="000B6128">
            <w:pPr>
              <w:spacing w:line="240" w:lineRule="auto"/>
              <w:ind w:firstLine="0"/>
              <w:rPr>
                <w:rFonts w:ascii="Times New Roman" w:eastAsia="Times New Roman" w:hAnsi="Times New Roman" w:cs="Times New Roman"/>
                <w:sz w:val="22"/>
                <w:lang w:eastAsia="ru-RU"/>
              </w:rPr>
            </w:pPr>
            <w:r w:rsidRPr="00731FE2">
              <w:rPr>
                <w:rFonts w:ascii="Times New Roman" w:eastAsia="Times New Roman" w:hAnsi="Times New Roman" w:cs="Times New Roman"/>
                <w:b/>
                <w:bCs/>
                <w:color w:val="000000"/>
                <w:sz w:val="22"/>
                <w:lang w:eastAsia="ru-RU"/>
              </w:rPr>
              <w:t xml:space="preserve">Зоны производственного, инженерного и транспортного использования, </w:t>
            </w:r>
            <w:r w:rsidRPr="00731FE2">
              <w:rPr>
                <w:rFonts w:ascii="Times New Roman" w:eastAsia="Times New Roman" w:hAnsi="Times New Roman" w:cs="Times New Roman"/>
                <w:color w:val="000000"/>
                <w:sz w:val="22"/>
                <w:lang w:eastAsia="ru-RU"/>
              </w:rPr>
              <w:t>в том числе:</w:t>
            </w:r>
          </w:p>
        </w:tc>
        <w:tc>
          <w:tcPr>
            <w:tcW w:w="1525" w:type="dxa"/>
            <w:tcBorders>
              <w:top w:val="nil"/>
              <w:left w:val="nil"/>
              <w:bottom w:val="single" w:sz="8" w:space="0" w:color="000000"/>
              <w:right w:val="single" w:sz="8" w:space="0" w:color="000000"/>
            </w:tcBorders>
            <w:vAlign w:val="center"/>
            <w:hideMark/>
          </w:tcPr>
          <w:p w14:paraId="4F4C58C8" w14:textId="7777777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b/>
                <w:bCs/>
                <w:color w:val="000000"/>
                <w:sz w:val="22"/>
                <w:lang w:eastAsia="ru-RU"/>
              </w:rPr>
              <w:t>га</w:t>
            </w:r>
          </w:p>
        </w:tc>
        <w:tc>
          <w:tcPr>
            <w:tcW w:w="1766" w:type="dxa"/>
            <w:tcBorders>
              <w:top w:val="nil"/>
              <w:left w:val="nil"/>
              <w:bottom w:val="single" w:sz="8" w:space="0" w:color="000000"/>
              <w:right w:val="single" w:sz="8" w:space="0" w:color="000000"/>
            </w:tcBorders>
            <w:vAlign w:val="center"/>
            <w:hideMark/>
          </w:tcPr>
          <w:p w14:paraId="3EF6C241" w14:textId="0CFE3D66" w:rsidR="000B6128" w:rsidRPr="00731FE2" w:rsidRDefault="000B6128" w:rsidP="000B6128">
            <w:pPr>
              <w:spacing w:line="240" w:lineRule="auto"/>
              <w:ind w:firstLine="0"/>
              <w:jc w:val="center"/>
              <w:rPr>
                <w:rFonts w:ascii="Times New Roman" w:eastAsia="Times New Roman" w:hAnsi="Times New Roman" w:cs="Times New Roman"/>
                <w:b/>
                <w:color w:val="000000"/>
                <w:sz w:val="22"/>
                <w:lang w:eastAsia="ru-RU"/>
              </w:rPr>
            </w:pPr>
            <w:r w:rsidRPr="00731FE2">
              <w:rPr>
                <w:rFonts w:ascii="Times New Roman" w:eastAsia="Times New Roman" w:hAnsi="Times New Roman" w:cs="Times New Roman"/>
                <w:b/>
                <w:color w:val="000000"/>
                <w:sz w:val="22"/>
                <w:lang w:eastAsia="ru-RU"/>
              </w:rPr>
              <w:t>2,92</w:t>
            </w:r>
          </w:p>
        </w:tc>
        <w:tc>
          <w:tcPr>
            <w:tcW w:w="1766" w:type="dxa"/>
            <w:tcBorders>
              <w:top w:val="nil"/>
              <w:left w:val="nil"/>
              <w:bottom w:val="single" w:sz="8" w:space="0" w:color="000000"/>
              <w:right w:val="single" w:sz="8" w:space="0" w:color="000000"/>
            </w:tcBorders>
            <w:vAlign w:val="center"/>
            <w:hideMark/>
          </w:tcPr>
          <w:p w14:paraId="1B870A09" w14:textId="0480396A" w:rsidR="000B6128" w:rsidRPr="00731FE2" w:rsidRDefault="000B6128" w:rsidP="000B6128">
            <w:pPr>
              <w:spacing w:line="240" w:lineRule="auto"/>
              <w:ind w:firstLine="0"/>
              <w:jc w:val="center"/>
              <w:rPr>
                <w:rFonts w:ascii="Times New Roman" w:eastAsia="Times New Roman" w:hAnsi="Times New Roman" w:cs="Times New Roman"/>
                <w:b/>
                <w:color w:val="000000"/>
                <w:sz w:val="22"/>
                <w:lang w:eastAsia="ru-RU"/>
              </w:rPr>
            </w:pPr>
            <w:r w:rsidRPr="00731FE2">
              <w:rPr>
                <w:rFonts w:ascii="Times New Roman" w:eastAsia="Times New Roman" w:hAnsi="Times New Roman" w:cs="Times New Roman"/>
                <w:b/>
                <w:color w:val="000000"/>
                <w:sz w:val="22"/>
                <w:lang w:eastAsia="ru-RU"/>
              </w:rPr>
              <w:t>2,92</w:t>
            </w:r>
          </w:p>
        </w:tc>
      </w:tr>
      <w:tr w:rsidR="000B6128" w:rsidRPr="00731FE2" w14:paraId="1157888A" w14:textId="77777777" w:rsidTr="00FE28EA">
        <w:trPr>
          <w:trHeight w:val="58"/>
          <w:tblCellSpacing w:w="0" w:type="dxa"/>
        </w:trPr>
        <w:tc>
          <w:tcPr>
            <w:tcW w:w="0" w:type="auto"/>
            <w:vMerge/>
            <w:tcBorders>
              <w:top w:val="nil"/>
              <w:left w:val="single" w:sz="8" w:space="0" w:color="000000"/>
              <w:bottom w:val="single" w:sz="8" w:space="0" w:color="000000"/>
              <w:right w:val="single" w:sz="8" w:space="0" w:color="000000"/>
            </w:tcBorders>
            <w:vAlign w:val="center"/>
            <w:hideMark/>
          </w:tcPr>
          <w:p w14:paraId="4F14F1C7" w14:textId="77777777" w:rsidR="000B6128" w:rsidRPr="00731FE2" w:rsidRDefault="000B6128" w:rsidP="000B6128">
            <w:pPr>
              <w:spacing w:line="240" w:lineRule="auto"/>
              <w:ind w:firstLine="0"/>
              <w:jc w:val="left"/>
              <w:rPr>
                <w:rFonts w:ascii="Times New Roman" w:eastAsia="Times New Roman" w:hAnsi="Times New Roman" w:cs="Times New Roman"/>
                <w:sz w:val="22"/>
                <w:lang w:eastAsia="ru-RU"/>
              </w:rPr>
            </w:pPr>
          </w:p>
        </w:tc>
        <w:tc>
          <w:tcPr>
            <w:tcW w:w="3417" w:type="dxa"/>
            <w:tcBorders>
              <w:top w:val="nil"/>
              <w:left w:val="nil"/>
              <w:bottom w:val="single" w:sz="8" w:space="0" w:color="000000"/>
              <w:right w:val="single" w:sz="8" w:space="0" w:color="000000"/>
            </w:tcBorders>
            <w:vAlign w:val="center"/>
            <w:hideMark/>
          </w:tcPr>
          <w:p w14:paraId="718C2ECA" w14:textId="77777777" w:rsidR="000B6128" w:rsidRPr="00731FE2" w:rsidRDefault="000B6128" w:rsidP="000B6128">
            <w:pPr>
              <w:spacing w:line="240" w:lineRule="auto"/>
              <w:ind w:firstLine="0"/>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Зона транспортной инфраструктуры</w:t>
            </w:r>
          </w:p>
        </w:tc>
        <w:tc>
          <w:tcPr>
            <w:tcW w:w="1525" w:type="dxa"/>
            <w:tcBorders>
              <w:top w:val="nil"/>
              <w:left w:val="nil"/>
              <w:bottom w:val="single" w:sz="8" w:space="0" w:color="000000"/>
              <w:right w:val="single" w:sz="8" w:space="0" w:color="000000"/>
            </w:tcBorders>
            <w:vAlign w:val="center"/>
            <w:hideMark/>
          </w:tcPr>
          <w:p w14:paraId="29EBF0DF" w14:textId="7777777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га</w:t>
            </w:r>
          </w:p>
        </w:tc>
        <w:tc>
          <w:tcPr>
            <w:tcW w:w="1766" w:type="dxa"/>
            <w:tcBorders>
              <w:top w:val="nil"/>
              <w:left w:val="nil"/>
              <w:bottom w:val="single" w:sz="8" w:space="0" w:color="000000"/>
              <w:right w:val="single" w:sz="8" w:space="0" w:color="000000"/>
            </w:tcBorders>
            <w:vAlign w:val="center"/>
            <w:hideMark/>
          </w:tcPr>
          <w:p w14:paraId="5B846DA8" w14:textId="69C6E610" w:rsidR="000B6128" w:rsidRPr="00731FE2" w:rsidRDefault="000B6128" w:rsidP="000B6128">
            <w:pPr>
              <w:spacing w:line="240" w:lineRule="auto"/>
              <w:ind w:firstLine="0"/>
              <w:jc w:val="center"/>
              <w:rPr>
                <w:rFonts w:ascii="Times New Roman" w:eastAsia="Times New Roman" w:hAnsi="Times New Roman" w:cs="Times New Roman"/>
                <w:bCs/>
                <w:color w:val="000000"/>
                <w:sz w:val="22"/>
                <w:lang w:eastAsia="ru-RU"/>
              </w:rPr>
            </w:pPr>
            <w:r w:rsidRPr="00731FE2">
              <w:rPr>
                <w:rFonts w:ascii="Times New Roman" w:eastAsia="Times New Roman" w:hAnsi="Times New Roman" w:cs="Times New Roman"/>
                <w:bCs/>
                <w:color w:val="000000"/>
                <w:sz w:val="22"/>
                <w:lang w:eastAsia="ru-RU"/>
              </w:rPr>
              <w:t>2,92</w:t>
            </w:r>
          </w:p>
        </w:tc>
        <w:tc>
          <w:tcPr>
            <w:tcW w:w="1766" w:type="dxa"/>
            <w:tcBorders>
              <w:top w:val="nil"/>
              <w:left w:val="nil"/>
              <w:bottom w:val="single" w:sz="8" w:space="0" w:color="000000"/>
              <w:right w:val="single" w:sz="8" w:space="0" w:color="000000"/>
            </w:tcBorders>
            <w:vAlign w:val="center"/>
            <w:hideMark/>
          </w:tcPr>
          <w:p w14:paraId="026FAD49" w14:textId="32A06A3A" w:rsidR="000B6128" w:rsidRPr="00731FE2" w:rsidRDefault="000B6128" w:rsidP="000B6128">
            <w:pPr>
              <w:spacing w:line="240" w:lineRule="auto"/>
              <w:ind w:firstLine="0"/>
              <w:jc w:val="center"/>
              <w:rPr>
                <w:rFonts w:ascii="Times New Roman" w:eastAsia="Times New Roman" w:hAnsi="Times New Roman" w:cs="Times New Roman"/>
                <w:bCs/>
                <w:color w:val="000000"/>
                <w:sz w:val="22"/>
                <w:lang w:eastAsia="ru-RU"/>
              </w:rPr>
            </w:pPr>
            <w:r w:rsidRPr="00731FE2">
              <w:rPr>
                <w:rFonts w:ascii="Times New Roman" w:eastAsia="Times New Roman" w:hAnsi="Times New Roman" w:cs="Times New Roman"/>
                <w:bCs/>
                <w:color w:val="000000"/>
                <w:sz w:val="22"/>
                <w:lang w:eastAsia="ru-RU"/>
              </w:rPr>
              <w:t>2,92</w:t>
            </w:r>
          </w:p>
        </w:tc>
      </w:tr>
      <w:tr w:rsidR="000B6128" w:rsidRPr="00731FE2" w14:paraId="1E6ABE42" w14:textId="77777777" w:rsidTr="00D154A0">
        <w:trPr>
          <w:trHeight w:val="58"/>
          <w:tblCellSpacing w:w="0" w:type="dxa"/>
        </w:trPr>
        <w:tc>
          <w:tcPr>
            <w:tcW w:w="9335" w:type="dxa"/>
            <w:gridSpan w:val="5"/>
            <w:tcBorders>
              <w:top w:val="nil"/>
              <w:left w:val="single" w:sz="8" w:space="0" w:color="000000"/>
              <w:bottom w:val="single" w:sz="8" w:space="0" w:color="000000"/>
              <w:right w:val="single" w:sz="8" w:space="0" w:color="000000"/>
            </w:tcBorders>
            <w:vAlign w:val="center"/>
            <w:hideMark/>
          </w:tcPr>
          <w:p w14:paraId="661DC065" w14:textId="77777777" w:rsidR="000B6128" w:rsidRPr="00731FE2" w:rsidRDefault="000B6128" w:rsidP="000B6128">
            <w:pPr>
              <w:spacing w:line="240" w:lineRule="auto"/>
              <w:ind w:firstLine="0"/>
              <w:jc w:val="center"/>
              <w:rPr>
                <w:rFonts w:ascii="Times New Roman" w:eastAsia="Times New Roman" w:hAnsi="Times New Roman" w:cs="Times New Roman"/>
                <w:b/>
                <w:bCs/>
                <w:color w:val="000000"/>
                <w:sz w:val="22"/>
                <w:lang w:eastAsia="ru-RU"/>
              </w:rPr>
            </w:pPr>
            <w:r w:rsidRPr="00731FE2">
              <w:rPr>
                <w:rFonts w:ascii="Times New Roman" w:eastAsia="Times New Roman" w:hAnsi="Times New Roman" w:cs="Times New Roman"/>
                <w:b/>
                <w:bCs/>
                <w:color w:val="000000"/>
                <w:sz w:val="22"/>
                <w:lang w:eastAsia="ru-RU"/>
              </w:rPr>
              <w:t>п. Зеленогорский</w:t>
            </w:r>
          </w:p>
        </w:tc>
      </w:tr>
      <w:tr w:rsidR="000B6128" w:rsidRPr="00731FE2" w14:paraId="25027D2F" w14:textId="77777777" w:rsidTr="00FE28EA">
        <w:trPr>
          <w:trHeight w:val="58"/>
          <w:tblCellSpacing w:w="0" w:type="dxa"/>
        </w:trPr>
        <w:tc>
          <w:tcPr>
            <w:tcW w:w="861" w:type="dxa"/>
            <w:vMerge w:val="restart"/>
            <w:tcBorders>
              <w:top w:val="nil"/>
              <w:left w:val="single" w:sz="8" w:space="0" w:color="000000"/>
              <w:bottom w:val="single" w:sz="8" w:space="0" w:color="000000"/>
              <w:right w:val="single" w:sz="8" w:space="0" w:color="000000"/>
            </w:tcBorders>
            <w:vAlign w:val="center"/>
            <w:hideMark/>
          </w:tcPr>
          <w:p w14:paraId="00119C1C" w14:textId="7EDEE70D"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b/>
                <w:bCs/>
                <w:color w:val="000000"/>
                <w:sz w:val="22"/>
                <w:lang w:eastAsia="ru-RU"/>
              </w:rPr>
              <w:t>1.</w:t>
            </w:r>
            <w:r w:rsidR="00B043D3" w:rsidRPr="00731FE2">
              <w:rPr>
                <w:rFonts w:ascii="Times New Roman" w:eastAsia="Times New Roman" w:hAnsi="Times New Roman" w:cs="Times New Roman"/>
                <w:b/>
                <w:bCs/>
                <w:color w:val="000000"/>
                <w:sz w:val="22"/>
                <w:lang w:eastAsia="ru-RU"/>
              </w:rPr>
              <w:t>8</w:t>
            </w:r>
          </w:p>
        </w:tc>
        <w:tc>
          <w:tcPr>
            <w:tcW w:w="3417" w:type="dxa"/>
            <w:tcBorders>
              <w:top w:val="nil"/>
              <w:left w:val="nil"/>
              <w:bottom w:val="single" w:sz="8" w:space="0" w:color="000000"/>
              <w:right w:val="single" w:sz="8" w:space="0" w:color="000000"/>
            </w:tcBorders>
            <w:vAlign w:val="center"/>
            <w:hideMark/>
          </w:tcPr>
          <w:p w14:paraId="3E9E7F24" w14:textId="77777777" w:rsidR="000B6128" w:rsidRPr="00731FE2" w:rsidRDefault="000B6128" w:rsidP="000B6128">
            <w:pPr>
              <w:spacing w:line="240" w:lineRule="auto"/>
              <w:ind w:firstLine="0"/>
              <w:rPr>
                <w:rFonts w:ascii="Times New Roman" w:eastAsia="Times New Roman" w:hAnsi="Times New Roman" w:cs="Times New Roman"/>
                <w:sz w:val="22"/>
                <w:lang w:eastAsia="ru-RU"/>
              </w:rPr>
            </w:pPr>
            <w:r w:rsidRPr="00731FE2">
              <w:rPr>
                <w:rFonts w:ascii="Times New Roman" w:eastAsia="Times New Roman" w:hAnsi="Times New Roman" w:cs="Times New Roman"/>
                <w:b/>
                <w:bCs/>
                <w:color w:val="000000"/>
                <w:sz w:val="22"/>
                <w:lang w:eastAsia="ru-RU"/>
              </w:rPr>
              <w:t>Общая площадь земель населенных пунктов</w:t>
            </w:r>
          </w:p>
        </w:tc>
        <w:tc>
          <w:tcPr>
            <w:tcW w:w="1525" w:type="dxa"/>
            <w:tcBorders>
              <w:top w:val="nil"/>
              <w:left w:val="nil"/>
              <w:bottom w:val="single" w:sz="8" w:space="0" w:color="000000"/>
              <w:right w:val="single" w:sz="8" w:space="0" w:color="000000"/>
            </w:tcBorders>
            <w:vAlign w:val="center"/>
            <w:hideMark/>
          </w:tcPr>
          <w:p w14:paraId="61805EEB" w14:textId="7777777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b/>
                <w:bCs/>
                <w:color w:val="000000"/>
                <w:sz w:val="22"/>
                <w:lang w:eastAsia="ru-RU"/>
              </w:rPr>
              <w:t>га</w:t>
            </w:r>
          </w:p>
        </w:tc>
        <w:tc>
          <w:tcPr>
            <w:tcW w:w="1766" w:type="dxa"/>
            <w:tcBorders>
              <w:top w:val="nil"/>
              <w:left w:val="nil"/>
              <w:bottom w:val="single" w:sz="8" w:space="0" w:color="000000"/>
              <w:right w:val="single" w:sz="8" w:space="0" w:color="000000"/>
            </w:tcBorders>
            <w:vAlign w:val="center"/>
            <w:hideMark/>
          </w:tcPr>
          <w:p w14:paraId="14C658DB" w14:textId="3E2D3685"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hAnsi="Times New Roman" w:cs="Times New Roman"/>
                <w:b/>
                <w:bCs/>
                <w:sz w:val="22"/>
              </w:rPr>
              <w:t>55,65</w:t>
            </w:r>
          </w:p>
        </w:tc>
        <w:tc>
          <w:tcPr>
            <w:tcW w:w="1766" w:type="dxa"/>
            <w:tcBorders>
              <w:top w:val="nil"/>
              <w:left w:val="nil"/>
              <w:bottom w:val="single" w:sz="8" w:space="0" w:color="000000"/>
              <w:right w:val="single" w:sz="8" w:space="0" w:color="000000"/>
            </w:tcBorders>
            <w:vAlign w:val="center"/>
            <w:hideMark/>
          </w:tcPr>
          <w:p w14:paraId="184B8A39" w14:textId="4E346A49"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hAnsi="Times New Roman" w:cs="Times New Roman"/>
                <w:b/>
                <w:bCs/>
                <w:sz w:val="22"/>
              </w:rPr>
              <w:t>55,65</w:t>
            </w:r>
          </w:p>
        </w:tc>
      </w:tr>
      <w:tr w:rsidR="000B6128" w:rsidRPr="00731FE2" w14:paraId="33FE189D" w14:textId="77777777" w:rsidTr="00FE28EA">
        <w:trPr>
          <w:trHeight w:val="58"/>
          <w:tblCellSpacing w:w="0" w:type="dxa"/>
        </w:trPr>
        <w:tc>
          <w:tcPr>
            <w:tcW w:w="0" w:type="auto"/>
            <w:vMerge/>
            <w:tcBorders>
              <w:top w:val="nil"/>
              <w:left w:val="single" w:sz="8" w:space="0" w:color="000000"/>
              <w:bottom w:val="single" w:sz="8" w:space="0" w:color="000000"/>
              <w:right w:val="single" w:sz="8" w:space="0" w:color="000000"/>
            </w:tcBorders>
            <w:vAlign w:val="center"/>
            <w:hideMark/>
          </w:tcPr>
          <w:p w14:paraId="6B892AB2" w14:textId="77777777" w:rsidR="000B6128" w:rsidRPr="00731FE2" w:rsidRDefault="000B6128" w:rsidP="000B6128">
            <w:pPr>
              <w:spacing w:line="240" w:lineRule="auto"/>
              <w:ind w:firstLine="0"/>
              <w:jc w:val="left"/>
              <w:rPr>
                <w:rFonts w:ascii="Times New Roman" w:eastAsia="Times New Roman" w:hAnsi="Times New Roman" w:cs="Times New Roman"/>
                <w:sz w:val="22"/>
                <w:lang w:eastAsia="ru-RU"/>
              </w:rPr>
            </w:pPr>
          </w:p>
        </w:tc>
        <w:tc>
          <w:tcPr>
            <w:tcW w:w="3417" w:type="dxa"/>
            <w:tcBorders>
              <w:top w:val="nil"/>
              <w:left w:val="nil"/>
              <w:bottom w:val="single" w:sz="8" w:space="0" w:color="000000"/>
              <w:right w:val="single" w:sz="8" w:space="0" w:color="000000"/>
            </w:tcBorders>
            <w:vAlign w:val="center"/>
            <w:hideMark/>
          </w:tcPr>
          <w:p w14:paraId="0837D877" w14:textId="77777777" w:rsidR="000B6128" w:rsidRPr="00731FE2" w:rsidRDefault="000B6128" w:rsidP="000B6128">
            <w:pPr>
              <w:spacing w:line="240" w:lineRule="auto"/>
              <w:ind w:firstLine="0"/>
              <w:rPr>
                <w:rFonts w:ascii="Times New Roman" w:eastAsia="Times New Roman" w:hAnsi="Times New Roman" w:cs="Times New Roman"/>
                <w:sz w:val="22"/>
                <w:lang w:eastAsia="ru-RU"/>
              </w:rPr>
            </w:pPr>
            <w:r w:rsidRPr="00731FE2">
              <w:rPr>
                <w:rFonts w:ascii="Times New Roman" w:eastAsia="Times New Roman" w:hAnsi="Times New Roman" w:cs="Times New Roman"/>
                <w:b/>
                <w:bCs/>
                <w:color w:val="000000"/>
                <w:sz w:val="22"/>
                <w:lang w:eastAsia="ru-RU"/>
              </w:rPr>
              <w:t>Общая площадь функциональных зон (в границах п. Зеленогорского)</w:t>
            </w:r>
          </w:p>
        </w:tc>
        <w:tc>
          <w:tcPr>
            <w:tcW w:w="1525" w:type="dxa"/>
            <w:tcBorders>
              <w:top w:val="nil"/>
              <w:left w:val="nil"/>
              <w:bottom w:val="single" w:sz="8" w:space="0" w:color="000000"/>
              <w:right w:val="single" w:sz="8" w:space="0" w:color="000000"/>
            </w:tcBorders>
            <w:vAlign w:val="center"/>
            <w:hideMark/>
          </w:tcPr>
          <w:p w14:paraId="617812FD" w14:textId="7777777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b/>
                <w:bCs/>
                <w:color w:val="000000"/>
                <w:sz w:val="22"/>
                <w:lang w:eastAsia="ru-RU"/>
              </w:rPr>
              <w:t>га</w:t>
            </w:r>
          </w:p>
        </w:tc>
        <w:tc>
          <w:tcPr>
            <w:tcW w:w="1766" w:type="dxa"/>
            <w:tcBorders>
              <w:top w:val="nil"/>
              <w:left w:val="nil"/>
              <w:bottom w:val="single" w:sz="8" w:space="0" w:color="000000"/>
              <w:right w:val="single" w:sz="8" w:space="0" w:color="000000"/>
            </w:tcBorders>
            <w:vAlign w:val="center"/>
            <w:hideMark/>
          </w:tcPr>
          <w:p w14:paraId="567D51DF" w14:textId="2BA565C4"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hAnsi="Times New Roman" w:cs="Times New Roman"/>
                <w:b/>
                <w:bCs/>
                <w:sz w:val="22"/>
              </w:rPr>
              <w:t>55,65</w:t>
            </w:r>
          </w:p>
        </w:tc>
        <w:tc>
          <w:tcPr>
            <w:tcW w:w="1766" w:type="dxa"/>
            <w:tcBorders>
              <w:top w:val="nil"/>
              <w:left w:val="nil"/>
              <w:bottom w:val="single" w:sz="8" w:space="0" w:color="000000"/>
              <w:right w:val="single" w:sz="8" w:space="0" w:color="000000"/>
            </w:tcBorders>
            <w:vAlign w:val="center"/>
            <w:hideMark/>
          </w:tcPr>
          <w:p w14:paraId="20BAA950" w14:textId="76F29491"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hAnsi="Times New Roman" w:cs="Times New Roman"/>
                <w:b/>
                <w:bCs/>
                <w:sz w:val="22"/>
              </w:rPr>
              <w:t>55,65</w:t>
            </w:r>
          </w:p>
        </w:tc>
      </w:tr>
      <w:tr w:rsidR="00475A8E" w:rsidRPr="00731FE2" w14:paraId="1028090F" w14:textId="77777777" w:rsidTr="00A46EEE">
        <w:trPr>
          <w:trHeight w:val="58"/>
          <w:tblCellSpacing w:w="0" w:type="dxa"/>
        </w:trPr>
        <w:tc>
          <w:tcPr>
            <w:tcW w:w="0" w:type="auto"/>
            <w:vMerge/>
            <w:tcBorders>
              <w:top w:val="nil"/>
              <w:left w:val="single" w:sz="8" w:space="0" w:color="000000"/>
              <w:bottom w:val="single" w:sz="8" w:space="0" w:color="000000"/>
              <w:right w:val="single" w:sz="8" w:space="0" w:color="000000"/>
            </w:tcBorders>
            <w:vAlign w:val="center"/>
            <w:hideMark/>
          </w:tcPr>
          <w:p w14:paraId="3602FB81" w14:textId="77777777" w:rsidR="00475A8E" w:rsidRPr="00731FE2" w:rsidRDefault="00475A8E" w:rsidP="000B6128">
            <w:pPr>
              <w:spacing w:line="240" w:lineRule="auto"/>
              <w:ind w:firstLine="0"/>
              <w:jc w:val="left"/>
              <w:rPr>
                <w:rFonts w:ascii="Times New Roman" w:eastAsia="Times New Roman" w:hAnsi="Times New Roman" w:cs="Times New Roman"/>
                <w:sz w:val="22"/>
                <w:lang w:eastAsia="ru-RU"/>
              </w:rPr>
            </w:pPr>
          </w:p>
        </w:tc>
        <w:tc>
          <w:tcPr>
            <w:tcW w:w="3417" w:type="dxa"/>
            <w:tcBorders>
              <w:top w:val="nil"/>
              <w:left w:val="nil"/>
              <w:bottom w:val="single" w:sz="8" w:space="0" w:color="000000"/>
              <w:right w:val="single" w:sz="8" w:space="0" w:color="000000"/>
            </w:tcBorders>
            <w:vAlign w:val="center"/>
            <w:hideMark/>
          </w:tcPr>
          <w:p w14:paraId="2B774DBF" w14:textId="77777777" w:rsidR="00475A8E" w:rsidRPr="00731FE2" w:rsidRDefault="00475A8E" w:rsidP="000B6128">
            <w:pPr>
              <w:spacing w:line="240" w:lineRule="auto"/>
              <w:ind w:firstLine="0"/>
              <w:rPr>
                <w:rFonts w:ascii="Times New Roman" w:eastAsia="Times New Roman" w:hAnsi="Times New Roman" w:cs="Times New Roman"/>
                <w:sz w:val="22"/>
                <w:lang w:eastAsia="ru-RU"/>
              </w:rPr>
            </w:pPr>
            <w:r w:rsidRPr="00731FE2">
              <w:rPr>
                <w:rFonts w:ascii="Times New Roman" w:eastAsia="Times New Roman" w:hAnsi="Times New Roman" w:cs="Times New Roman"/>
                <w:b/>
                <w:bCs/>
                <w:color w:val="000000"/>
                <w:sz w:val="22"/>
                <w:lang w:eastAsia="ru-RU"/>
              </w:rPr>
              <w:t xml:space="preserve">Жилые зоны, </w:t>
            </w:r>
            <w:r w:rsidRPr="00731FE2">
              <w:rPr>
                <w:rFonts w:ascii="Times New Roman" w:eastAsia="Times New Roman" w:hAnsi="Times New Roman" w:cs="Times New Roman"/>
                <w:color w:val="000000"/>
                <w:sz w:val="22"/>
                <w:lang w:eastAsia="ru-RU"/>
              </w:rPr>
              <w:t>в том числе:</w:t>
            </w:r>
          </w:p>
        </w:tc>
        <w:tc>
          <w:tcPr>
            <w:tcW w:w="1525" w:type="dxa"/>
            <w:tcBorders>
              <w:top w:val="nil"/>
              <w:left w:val="nil"/>
              <w:bottom w:val="single" w:sz="8" w:space="0" w:color="000000"/>
              <w:right w:val="single" w:sz="8" w:space="0" w:color="000000"/>
            </w:tcBorders>
            <w:vAlign w:val="center"/>
            <w:hideMark/>
          </w:tcPr>
          <w:p w14:paraId="1AEE4F9D" w14:textId="77777777" w:rsidR="00475A8E" w:rsidRPr="00731FE2" w:rsidRDefault="00475A8E"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b/>
                <w:bCs/>
                <w:color w:val="000000"/>
                <w:sz w:val="22"/>
                <w:lang w:eastAsia="ru-RU"/>
              </w:rPr>
              <w:t>га</w:t>
            </w:r>
          </w:p>
        </w:tc>
        <w:tc>
          <w:tcPr>
            <w:tcW w:w="1766" w:type="dxa"/>
            <w:tcBorders>
              <w:top w:val="nil"/>
              <w:left w:val="nil"/>
              <w:bottom w:val="single" w:sz="8" w:space="0" w:color="000000"/>
              <w:right w:val="single" w:sz="8" w:space="0" w:color="000000"/>
            </w:tcBorders>
            <w:vAlign w:val="center"/>
            <w:hideMark/>
          </w:tcPr>
          <w:p w14:paraId="4370E87E" w14:textId="024B52A6" w:rsidR="00475A8E" w:rsidRPr="00731FE2" w:rsidRDefault="00475A8E"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hAnsi="Times New Roman" w:cs="Times New Roman"/>
                <w:b/>
                <w:bCs/>
                <w:sz w:val="22"/>
              </w:rPr>
              <w:t>41,36</w:t>
            </w:r>
          </w:p>
        </w:tc>
        <w:tc>
          <w:tcPr>
            <w:tcW w:w="1766" w:type="dxa"/>
            <w:tcBorders>
              <w:top w:val="nil"/>
              <w:left w:val="nil"/>
              <w:bottom w:val="single" w:sz="8" w:space="0" w:color="000000"/>
              <w:right w:val="single" w:sz="8" w:space="0" w:color="000000"/>
            </w:tcBorders>
            <w:hideMark/>
          </w:tcPr>
          <w:p w14:paraId="5D93F4ED" w14:textId="514987E2" w:rsidR="00475A8E" w:rsidRPr="00731FE2" w:rsidRDefault="00475A8E" w:rsidP="000B6128">
            <w:pPr>
              <w:spacing w:line="240" w:lineRule="auto"/>
              <w:ind w:firstLine="0"/>
              <w:jc w:val="center"/>
              <w:rPr>
                <w:rFonts w:ascii="Times New Roman" w:hAnsi="Times New Roman" w:cs="Times New Roman"/>
                <w:b/>
                <w:bCs/>
                <w:sz w:val="22"/>
              </w:rPr>
            </w:pPr>
            <w:r w:rsidRPr="00731FE2">
              <w:rPr>
                <w:rFonts w:ascii="Times New Roman" w:hAnsi="Times New Roman" w:cs="Times New Roman"/>
                <w:b/>
                <w:bCs/>
                <w:sz w:val="22"/>
              </w:rPr>
              <w:t>40,29</w:t>
            </w:r>
          </w:p>
        </w:tc>
      </w:tr>
      <w:tr w:rsidR="00475A8E" w:rsidRPr="00731FE2" w14:paraId="2FB74719" w14:textId="77777777" w:rsidTr="00475A8E">
        <w:trPr>
          <w:trHeight w:val="391"/>
          <w:tblCellSpacing w:w="0" w:type="dxa"/>
        </w:trPr>
        <w:tc>
          <w:tcPr>
            <w:tcW w:w="0" w:type="auto"/>
            <w:vMerge/>
            <w:tcBorders>
              <w:top w:val="nil"/>
              <w:left w:val="single" w:sz="8" w:space="0" w:color="000000"/>
              <w:bottom w:val="single" w:sz="8" w:space="0" w:color="000000"/>
              <w:right w:val="single" w:sz="8" w:space="0" w:color="000000"/>
            </w:tcBorders>
            <w:vAlign w:val="center"/>
            <w:hideMark/>
          </w:tcPr>
          <w:p w14:paraId="6AF03992" w14:textId="77777777" w:rsidR="00475A8E" w:rsidRPr="00731FE2" w:rsidRDefault="00475A8E" w:rsidP="000B6128">
            <w:pPr>
              <w:spacing w:line="240" w:lineRule="auto"/>
              <w:ind w:firstLine="0"/>
              <w:jc w:val="left"/>
              <w:rPr>
                <w:rFonts w:ascii="Times New Roman" w:eastAsia="Times New Roman" w:hAnsi="Times New Roman" w:cs="Times New Roman"/>
                <w:sz w:val="22"/>
                <w:lang w:eastAsia="ru-RU"/>
              </w:rPr>
            </w:pPr>
          </w:p>
        </w:tc>
        <w:tc>
          <w:tcPr>
            <w:tcW w:w="3417" w:type="dxa"/>
            <w:tcBorders>
              <w:top w:val="nil"/>
              <w:left w:val="nil"/>
              <w:bottom w:val="single" w:sz="8" w:space="0" w:color="000000"/>
              <w:right w:val="single" w:sz="8" w:space="0" w:color="000000"/>
            </w:tcBorders>
            <w:vAlign w:val="center"/>
            <w:hideMark/>
          </w:tcPr>
          <w:p w14:paraId="1CDD8DED" w14:textId="77777777" w:rsidR="00475A8E" w:rsidRPr="00731FE2" w:rsidRDefault="00475A8E" w:rsidP="000B6128">
            <w:pPr>
              <w:spacing w:line="240" w:lineRule="auto"/>
              <w:ind w:firstLine="0"/>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Зона застройки индивидуальными жилыми домами</w:t>
            </w:r>
          </w:p>
        </w:tc>
        <w:tc>
          <w:tcPr>
            <w:tcW w:w="1525" w:type="dxa"/>
            <w:tcBorders>
              <w:top w:val="nil"/>
              <w:left w:val="nil"/>
              <w:bottom w:val="single" w:sz="8" w:space="0" w:color="000000"/>
              <w:right w:val="single" w:sz="8" w:space="0" w:color="000000"/>
            </w:tcBorders>
            <w:vAlign w:val="center"/>
            <w:hideMark/>
          </w:tcPr>
          <w:p w14:paraId="7A9A888C" w14:textId="77777777" w:rsidR="00475A8E" w:rsidRPr="00731FE2" w:rsidRDefault="00475A8E"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га</w:t>
            </w:r>
          </w:p>
        </w:tc>
        <w:tc>
          <w:tcPr>
            <w:tcW w:w="1766" w:type="dxa"/>
            <w:tcBorders>
              <w:top w:val="nil"/>
              <w:left w:val="nil"/>
              <w:bottom w:val="single" w:sz="8" w:space="0" w:color="000000"/>
              <w:right w:val="single" w:sz="8" w:space="0" w:color="000000"/>
            </w:tcBorders>
            <w:vAlign w:val="center"/>
            <w:hideMark/>
          </w:tcPr>
          <w:p w14:paraId="15755FB1" w14:textId="7B5603E1" w:rsidR="00475A8E" w:rsidRPr="00731FE2" w:rsidRDefault="00475A8E" w:rsidP="00475A8E">
            <w:pPr>
              <w:spacing w:line="240" w:lineRule="auto"/>
              <w:ind w:firstLine="0"/>
              <w:jc w:val="center"/>
              <w:rPr>
                <w:rFonts w:ascii="Times New Roman" w:eastAsia="Times New Roman" w:hAnsi="Times New Roman" w:cs="Times New Roman"/>
                <w:sz w:val="22"/>
                <w:lang w:eastAsia="ru-RU"/>
              </w:rPr>
            </w:pPr>
            <w:r w:rsidRPr="00731FE2">
              <w:rPr>
                <w:rFonts w:ascii="Times New Roman" w:hAnsi="Times New Roman" w:cs="Times New Roman"/>
                <w:sz w:val="22"/>
              </w:rPr>
              <w:t>41,36</w:t>
            </w:r>
          </w:p>
        </w:tc>
        <w:tc>
          <w:tcPr>
            <w:tcW w:w="1766" w:type="dxa"/>
            <w:tcBorders>
              <w:top w:val="nil"/>
              <w:left w:val="nil"/>
              <w:bottom w:val="single" w:sz="8" w:space="0" w:color="000000"/>
              <w:right w:val="single" w:sz="8" w:space="0" w:color="000000"/>
            </w:tcBorders>
            <w:vAlign w:val="center"/>
            <w:hideMark/>
          </w:tcPr>
          <w:p w14:paraId="52E4D474" w14:textId="3D0D1C7E" w:rsidR="00475A8E" w:rsidRPr="00731FE2" w:rsidRDefault="00475A8E" w:rsidP="00475A8E">
            <w:pPr>
              <w:spacing w:line="240" w:lineRule="auto"/>
              <w:ind w:firstLine="0"/>
              <w:jc w:val="center"/>
              <w:rPr>
                <w:rFonts w:ascii="Times New Roman" w:hAnsi="Times New Roman" w:cs="Times New Roman"/>
                <w:sz w:val="22"/>
              </w:rPr>
            </w:pPr>
            <w:r w:rsidRPr="00731FE2">
              <w:rPr>
                <w:rFonts w:ascii="Times New Roman" w:hAnsi="Times New Roman" w:cs="Times New Roman"/>
                <w:sz w:val="22"/>
              </w:rPr>
              <w:t>40,29</w:t>
            </w:r>
          </w:p>
        </w:tc>
      </w:tr>
      <w:tr w:rsidR="000B6128" w:rsidRPr="00731FE2" w14:paraId="5C080DB0" w14:textId="77777777" w:rsidTr="00FE28EA">
        <w:trPr>
          <w:trHeight w:val="58"/>
          <w:tblCellSpacing w:w="0" w:type="dxa"/>
        </w:trPr>
        <w:tc>
          <w:tcPr>
            <w:tcW w:w="0" w:type="auto"/>
            <w:vMerge/>
            <w:tcBorders>
              <w:top w:val="nil"/>
              <w:left w:val="single" w:sz="8" w:space="0" w:color="000000"/>
              <w:bottom w:val="single" w:sz="8" w:space="0" w:color="000000"/>
              <w:right w:val="single" w:sz="8" w:space="0" w:color="000000"/>
            </w:tcBorders>
            <w:vAlign w:val="center"/>
            <w:hideMark/>
          </w:tcPr>
          <w:p w14:paraId="252F6592" w14:textId="77777777" w:rsidR="000B6128" w:rsidRPr="00731FE2" w:rsidRDefault="000B6128" w:rsidP="000B6128">
            <w:pPr>
              <w:spacing w:line="240" w:lineRule="auto"/>
              <w:ind w:firstLine="0"/>
              <w:jc w:val="left"/>
              <w:rPr>
                <w:rFonts w:ascii="Times New Roman" w:eastAsia="Times New Roman" w:hAnsi="Times New Roman" w:cs="Times New Roman"/>
                <w:sz w:val="22"/>
                <w:lang w:eastAsia="ru-RU"/>
              </w:rPr>
            </w:pPr>
          </w:p>
        </w:tc>
        <w:tc>
          <w:tcPr>
            <w:tcW w:w="3417" w:type="dxa"/>
            <w:tcBorders>
              <w:top w:val="nil"/>
              <w:left w:val="nil"/>
              <w:bottom w:val="single" w:sz="8" w:space="0" w:color="000000"/>
              <w:right w:val="single" w:sz="8" w:space="0" w:color="000000"/>
            </w:tcBorders>
            <w:vAlign w:val="center"/>
            <w:hideMark/>
          </w:tcPr>
          <w:p w14:paraId="26586390" w14:textId="77777777" w:rsidR="000B6128" w:rsidRPr="00731FE2" w:rsidRDefault="000B6128" w:rsidP="000B6128">
            <w:pPr>
              <w:spacing w:line="240" w:lineRule="auto"/>
              <w:ind w:firstLine="0"/>
              <w:rPr>
                <w:rFonts w:ascii="Times New Roman" w:eastAsia="Times New Roman" w:hAnsi="Times New Roman" w:cs="Times New Roman"/>
                <w:sz w:val="22"/>
                <w:lang w:eastAsia="ru-RU"/>
              </w:rPr>
            </w:pPr>
            <w:r w:rsidRPr="00731FE2">
              <w:rPr>
                <w:rFonts w:ascii="Times New Roman" w:eastAsia="Times New Roman" w:hAnsi="Times New Roman" w:cs="Times New Roman"/>
                <w:b/>
                <w:bCs/>
                <w:color w:val="000000"/>
                <w:sz w:val="22"/>
                <w:lang w:eastAsia="ru-RU"/>
              </w:rPr>
              <w:t>Зоны общественно-делового использования</w:t>
            </w:r>
          </w:p>
          <w:p w14:paraId="27F056C4" w14:textId="77777777" w:rsidR="000B6128" w:rsidRPr="00731FE2" w:rsidRDefault="000B6128" w:rsidP="000B6128">
            <w:pPr>
              <w:spacing w:line="240" w:lineRule="auto"/>
              <w:ind w:firstLine="0"/>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в том числе:</w:t>
            </w:r>
          </w:p>
        </w:tc>
        <w:tc>
          <w:tcPr>
            <w:tcW w:w="1525" w:type="dxa"/>
            <w:tcBorders>
              <w:top w:val="nil"/>
              <w:left w:val="nil"/>
              <w:bottom w:val="single" w:sz="8" w:space="0" w:color="000000"/>
              <w:right w:val="single" w:sz="8" w:space="0" w:color="000000"/>
            </w:tcBorders>
            <w:vAlign w:val="center"/>
            <w:hideMark/>
          </w:tcPr>
          <w:p w14:paraId="4A3D73AC" w14:textId="7777777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b/>
                <w:bCs/>
                <w:color w:val="000000"/>
                <w:sz w:val="22"/>
                <w:lang w:eastAsia="ru-RU"/>
              </w:rPr>
              <w:t>га</w:t>
            </w:r>
          </w:p>
        </w:tc>
        <w:tc>
          <w:tcPr>
            <w:tcW w:w="1766" w:type="dxa"/>
            <w:tcBorders>
              <w:top w:val="nil"/>
              <w:left w:val="nil"/>
              <w:bottom w:val="single" w:sz="8" w:space="0" w:color="000000"/>
              <w:right w:val="single" w:sz="8" w:space="0" w:color="000000"/>
            </w:tcBorders>
            <w:vAlign w:val="center"/>
            <w:hideMark/>
          </w:tcPr>
          <w:p w14:paraId="328B587D" w14:textId="531BF00D"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hAnsi="Times New Roman" w:cs="Times New Roman"/>
                <w:b/>
                <w:bCs/>
                <w:sz w:val="22"/>
              </w:rPr>
              <w:t>0,80</w:t>
            </w:r>
          </w:p>
        </w:tc>
        <w:tc>
          <w:tcPr>
            <w:tcW w:w="1766" w:type="dxa"/>
            <w:tcBorders>
              <w:top w:val="nil"/>
              <w:left w:val="nil"/>
              <w:bottom w:val="single" w:sz="8" w:space="0" w:color="000000"/>
              <w:right w:val="single" w:sz="8" w:space="0" w:color="000000"/>
            </w:tcBorders>
            <w:vAlign w:val="center"/>
            <w:hideMark/>
          </w:tcPr>
          <w:p w14:paraId="26CE866F" w14:textId="11DE9E04"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hAnsi="Times New Roman" w:cs="Times New Roman"/>
                <w:b/>
                <w:bCs/>
                <w:sz w:val="22"/>
              </w:rPr>
              <w:t>0,80</w:t>
            </w:r>
          </w:p>
        </w:tc>
      </w:tr>
      <w:tr w:rsidR="000B6128" w:rsidRPr="00731FE2" w14:paraId="77E60BCD" w14:textId="77777777" w:rsidTr="00FE28EA">
        <w:trPr>
          <w:trHeight w:val="58"/>
          <w:tblCellSpacing w:w="0" w:type="dxa"/>
        </w:trPr>
        <w:tc>
          <w:tcPr>
            <w:tcW w:w="0" w:type="auto"/>
            <w:vMerge/>
            <w:tcBorders>
              <w:top w:val="nil"/>
              <w:left w:val="single" w:sz="8" w:space="0" w:color="000000"/>
              <w:bottom w:val="single" w:sz="8" w:space="0" w:color="000000"/>
              <w:right w:val="single" w:sz="8" w:space="0" w:color="000000"/>
            </w:tcBorders>
            <w:vAlign w:val="center"/>
            <w:hideMark/>
          </w:tcPr>
          <w:p w14:paraId="3C021013" w14:textId="77777777" w:rsidR="000B6128" w:rsidRPr="00731FE2" w:rsidRDefault="000B6128" w:rsidP="000B6128">
            <w:pPr>
              <w:spacing w:line="240" w:lineRule="auto"/>
              <w:ind w:firstLine="0"/>
              <w:jc w:val="left"/>
              <w:rPr>
                <w:rFonts w:ascii="Times New Roman" w:eastAsia="Times New Roman" w:hAnsi="Times New Roman" w:cs="Times New Roman"/>
                <w:sz w:val="22"/>
                <w:lang w:eastAsia="ru-RU"/>
              </w:rPr>
            </w:pPr>
          </w:p>
        </w:tc>
        <w:tc>
          <w:tcPr>
            <w:tcW w:w="3417" w:type="dxa"/>
            <w:tcBorders>
              <w:top w:val="nil"/>
              <w:left w:val="nil"/>
              <w:bottom w:val="single" w:sz="8" w:space="0" w:color="000000"/>
              <w:right w:val="single" w:sz="8" w:space="0" w:color="000000"/>
            </w:tcBorders>
            <w:vAlign w:val="center"/>
            <w:hideMark/>
          </w:tcPr>
          <w:p w14:paraId="362F7B66" w14:textId="77777777" w:rsidR="000B6128" w:rsidRPr="00731FE2" w:rsidRDefault="000B6128" w:rsidP="000B6128">
            <w:pPr>
              <w:spacing w:line="240" w:lineRule="auto"/>
              <w:ind w:firstLine="0"/>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Общественно-деловые зоны</w:t>
            </w:r>
          </w:p>
        </w:tc>
        <w:tc>
          <w:tcPr>
            <w:tcW w:w="1525" w:type="dxa"/>
            <w:tcBorders>
              <w:top w:val="nil"/>
              <w:left w:val="nil"/>
              <w:bottom w:val="single" w:sz="8" w:space="0" w:color="000000"/>
              <w:right w:val="single" w:sz="8" w:space="0" w:color="000000"/>
            </w:tcBorders>
            <w:vAlign w:val="center"/>
            <w:hideMark/>
          </w:tcPr>
          <w:p w14:paraId="569DD15E" w14:textId="7777777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га</w:t>
            </w:r>
          </w:p>
        </w:tc>
        <w:tc>
          <w:tcPr>
            <w:tcW w:w="1766" w:type="dxa"/>
            <w:tcBorders>
              <w:top w:val="nil"/>
              <w:left w:val="nil"/>
              <w:bottom w:val="single" w:sz="8" w:space="0" w:color="000000"/>
              <w:right w:val="single" w:sz="8" w:space="0" w:color="000000"/>
            </w:tcBorders>
            <w:vAlign w:val="center"/>
            <w:hideMark/>
          </w:tcPr>
          <w:p w14:paraId="7F75F0C4" w14:textId="2CA0676D"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hAnsi="Times New Roman" w:cs="Times New Roman"/>
                <w:sz w:val="22"/>
              </w:rPr>
              <w:t>0,80</w:t>
            </w:r>
          </w:p>
        </w:tc>
        <w:tc>
          <w:tcPr>
            <w:tcW w:w="1766" w:type="dxa"/>
            <w:tcBorders>
              <w:top w:val="nil"/>
              <w:left w:val="nil"/>
              <w:bottom w:val="single" w:sz="8" w:space="0" w:color="000000"/>
              <w:right w:val="single" w:sz="8" w:space="0" w:color="000000"/>
            </w:tcBorders>
            <w:vAlign w:val="center"/>
            <w:hideMark/>
          </w:tcPr>
          <w:p w14:paraId="6AA28570" w14:textId="19098839"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hAnsi="Times New Roman" w:cs="Times New Roman"/>
                <w:sz w:val="22"/>
              </w:rPr>
              <w:t>0,80</w:t>
            </w:r>
          </w:p>
        </w:tc>
      </w:tr>
      <w:tr w:rsidR="000B6128" w:rsidRPr="00731FE2" w14:paraId="19173162" w14:textId="77777777" w:rsidTr="00FE28EA">
        <w:trPr>
          <w:trHeight w:val="58"/>
          <w:tblCellSpacing w:w="0" w:type="dxa"/>
        </w:trPr>
        <w:tc>
          <w:tcPr>
            <w:tcW w:w="0" w:type="auto"/>
            <w:vMerge/>
            <w:tcBorders>
              <w:top w:val="nil"/>
              <w:left w:val="single" w:sz="8" w:space="0" w:color="000000"/>
              <w:bottom w:val="single" w:sz="8" w:space="0" w:color="000000"/>
              <w:right w:val="single" w:sz="8" w:space="0" w:color="000000"/>
            </w:tcBorders>
            <w:vAlign w:val="center"/>
            <w:hideMark/>
          </w:tcPr>
          <w:p w14:paraId="4F5FA9D0" w14:textId="77777777" w:rsidR="000B6128" w:rsidRPr="00731FE2" w:rsidRDefault="000B6128" w:rsidP="000B6128">
            <w:pPr>
              <w:spacing w:line="240" w:lineRule="auto"/>
              <w:ind w:firstLine="0"/>
              <w:jc w:val="left"/>
              <w:rPr>
                <w:rFonts w:ascii="Times New Roman" w:eastAsia="Times New Roman" w:hAnsi="Times New Roman" w:cs="Times New Roman"/>
                <w:sz w:val="22"/>
                <w:lang w:eastAsia="ru-RU"/>
              </w:rPr>
            </w:pPr>
          </w:p>
        </w:tc>
        <w:tc>
          <w:tcPr>
            <w:tcW w:w="3417" w:type="dxa"/>
            <w:tcBorders>
              <w:top w:val="nil"/>
              <w:left w:val="nil"/>
              <w:bottom w:val="single" w:sz="8" w:space="0" w:color="000000"/>
              <w:right w:val="single" w:sz="8" w:space="0" w:color="000000"/>
            </w:tcBorders>
            <w:vAlign w:val="center"/>
            <w:hideMark/>
          </w:tcPr>
          <w:p w14:paraId="24027199" w14:textId="77777777" w:rsidR="000B6128" w:rsidRPr="00731FE2" w:rsidRDefault="000B6128" w:rsidP="000B6128">
            <w:pPr>
              <w:spacing w:line="240" w:lineRule="auto"/>
              <w:ind w:firstLine="0"/>
              <w:rPr>
                <w:rFonts w:ascii="Times New Roman" w:eastAsia="Times New Roman" w:hAnsi="Times New Roman" w:cs="Times New Roman"/>
                <w:sz w:val="22"/>
                <w:lang w:eastAsia="ru-RU"/>
              </w:rPr>
            </w:pPr>
            <w:r w:rsidRPr="00731FE2">
              <w:rPr>
                <w:rFonts w:ascii="Times New Roman" w:eastAsia="Times New Roman" w:hAnsi="Times New Roman" w:cs="Times New Roman"/>
                <w:b/>
                <w:bCs/>
                <w:color w:val="000000"/>
                <w:sz w:val="22"/>
                <w:lang w:eastAsia="ru-RU"/>
              </w:rPr>
              <w:t>Зоны производственного, инженерного и транспортного использования</w:t>
            </w:r>
          </w:p>
          <w:p w14:paraId="0CCCB6AE" w14:textId="77777777" w:rsidR="000B6128" w:rsidRPr="00731FE2" w:rsidRDefault="000B6128" w:rsidP="000B6128">
            <w:pPr>
              <w:spacing w:line="240" w:lineRule="auto"/>
              <w:ind w:firstLine="0"/>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в том числе:</w:t>
            </w:r>
          </w:p>
        </w:tc>
        <w:tc>
          <w:tcPr>
            <w:tcW w:w="1525" w:type="dxa"/>
            <w:tcBorders>
              <w:top w:val="nil"/>
              <w:left w:val="nil"/>
              <w:bottom w:val="single" w:sz="8" w:space="0" w:color="000000"/>
              <w:right w:val="single" w:sz="8" w:space="0" w:color="000000"/>
            </w:tcBorders>
            <w:vAlign w:val="center"/>
            <w:hideMark/>
          </w:tcPr>
          <w:p w14:paraId="2488D840" w14:textId="7777777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b/>
                <w:bCs/>
                <w:color w:val="000000"/>
                <w:sz w:val="22"/>
                <w:lang w:eastAsia="ru-RU"/>
              </w:rPr>
              <w:t>га</w:t>
            </w:r>
          </w:p>
        </w:tc>
        <w:tc>
          <w:tcPr>
            <w:tcW w:w="1766" w:type="dxa"/>
            <w:tcBorders>
              <w:top w:val="nil"/>
              <w:left w:val="nil"/>
              <w:bottom w:val="single" w:sz="8" w:space="0" w:color="000000"/>
              <w:right w:val="single" w:sz="8" w:space="0" w:color="000000"/>
            </w:tcBorders>
            <w:vAlign w:val="center"/>
            <w:hideMark/>
          </w:tcPr>
          <w:p w14:paraId="30DCDB14" w14:textId="460DC64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hAnsi="Times New Roman" w:cs="Times New Roman"/>
                <w:b/>
                <w:bCs/>
                <w:sz w:val="22"/>
              </w:rPr>
              <w:t>4,89</w:t>
            </w:r>
          </w:p>
        </w:tc>
        <w:tc>
          <w:tcPr>
            <w:tcW w:w="1766" w:type="dxa"/>
            <w:tcBorders>
              <w:top w:val="nil"/>
              <w:left w:val="nil"/>
              <w:bottom w:val="single" w:sz="8" w:space="0" w:color="000000"/>
              <w:right w:val="single" w:sz="8" w:space="0" w:color="000000"/>
            </w:tcBorders>
            <w:vAlign w:val="center"/>
            <w:hideMark/>
          </w:tcPr>
          <w:p w14:paraId="23CD6137" w14:textId="126F5A8B" w:rsidR="000B6128" w:rsidRPr="00731FE2" w:rsidRDefault="00475A8E"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hAnsi="Times New Roman" w:cs="Times New Roman"/>
                <w:b/>
                <w:bCs/>
                <w:sz w:val="22"/>
              </w:rPr>
              <w:t>5,96</w:t>
            </w:r>
          </w:p>
        </w:tc>
      </w:tr>
      <w:tr w:rsidR="000B6128" w:rsidRPr="00731FE2" w14:paraId="13C7E7C6" w14:textId="77777777" w:rsidTr="00FE28EA">
        <w:trPr>
          <w:trHeight w:val="58"/>
          <w:tblCellSpacing w:w="0" w:type="dxa"/>
        </w:trPr>
        <w:tc>
          <w:tcPr>
            <w:tcW w:w="0" w:type="auto"/>
            <w:vMerge/>
            <w:tcBorders>
              <w:top w:val="nil"/>
              <w:left w:val="single" w:sz="8" w:space="0" w:color="000000"/>
              <w:bottom w:val="single" w:sz="8" w:space="0" w:color="000000"/>
              <w:right w:val="single" w:sz="8" w:space="0" w:color="000000"/>
            </w:tcBorders>
            <w:vAlign w:val="center"/>
            <w:hideMark/>
          </w:tcPr>
          <w:p w14:paraId="29CE2B22" w14:textId="77777777" w:rsidR="000B6128" w:rsidRPr="00731FE2" w:rsidRDefault="000B6128" w:rsidP="000B6128">
            <w:pPr>
              <w:spacing w:line="240" w:lineRule="auto"/>
              <w:ind w:firstLine="0"/>
              <w:jc w:val="left"/>
              <w:rPr>
                <w:rFonts w:ascii="Times New Roman" w:eastAsia="Times New Roman" w:hAnsi="Times New Roman" w:cs="Times New Roman"/>
                <w:sz w:val="22"/>
                <w:lang w:eastAsia="ru-RU"/>
              </w:rPr>
            </w:pPr>
          </w:p>
        </w:tc>
        <w:tc>
          <w:tcPr>
            <w:tcW w:w="3417" w:type="dxa"/>
            <w:tcBorders>
              <w:top w:val="nil"/>
              <w:left w:val="nil"/>
              <w:bottom w:val="single" w:sz="8" w:space="0" w:color="000000"/>
              <w:right w:val="single" w:sz="8" w:space="0" w:color="000000"/>
            </w:tcBorders>
            <w:vAlign w:val="center"/>
            <w:hideMark/>
          </w:tcPr>
          <w:p w14:paraId="65598979" w14:textId="77777777" w:rsidR="000B6128" w:rsidRPr="00731FE2" w:rsidRDefault="000B6128" w:rsidP="000B6128">
            <w:pPr>
              <w:spacing w:line="240" w:lineRule="auto"/>
              <w:ind w:firstLine="0"/>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Зона транспортной инфраструктуры</w:t>
            </w:r>
          </w:p>
        </w:tc>
        <w:tc>
          <w:tcPr>
            <w:tcW w:w="1525" w:type="dxa"/>
            <w:tcBorders>
              <w:top w:val="nil"/>
              <w:left w:val="nil"/>
              <w:bottom w:val="single" w:sz="8" w:space="0" w:color="000000"/>
              <w:right w:val="single" w:sz="8" w:space="0" w:color="000000"/>
            </w:tcBorders>
            <w:vAlign w:val="center"/>
            <w:hideMark/>
          </w:tcPr>
          <w:p w14:paraId="36FBC3CB" w14:textId="7777777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га</w:t>
            </w:r>
          </w:p>
        </w:tc>
        <w:tc>
          <w:tcPr>
            <w:tcW w:w="1766" w:type="dxa"/>
            <w:tcBorders>
              <w:top w:val="nil"/>
              <w:left w:val="nil"/>
              <w:bottom w:val="single" w:sz="8" w:space="0" w:color="000000"/>
              <w:right w:val="single" w:sz="8" w:space="0" w:color="000000"/>
            </w:tcBorders>
            <w:vAlign w:val="center"/>
            <w:hideMark/>
          </w:tcPr>
          <w:p w14:paraId="73931E9B" w14:textId="55B70622"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hAnsi="Times New Roman" w:cs="Times New Roman"/>
                <w:sz w:val="22"/>
              </w:rPr>
              <w:t>4,89</w:t>
            </w:r>
          </w:p>
        </w:tc>
        <w:tc>
          <w:tcPr>
            <w:tcW w:w="1766" w:type="dxa"/>
            <w:tcBorders>
              <w:top w:val="nil"/>
              <w:left w:val="nil"/>
              <w:bottom w:val="single" w:sz="8" w:space="0" w:color="000000"/>
              <w:right w:val="single" w:sz="8" w:space="0" w:color="000000"/>
            </w:tcBorders>
            <w:vAlign w:val="center"/>
            <w:hideMark/>
          </w:tcPr>
          <w:p w14:paraId="6E0A14AB" w14:textId="6A622877" w:rsidR="000B6128" w:rsidRPr="00731FE2" w:rsidRDefault="00475A8E"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hAnsi="Times New Roman" w:cs="Times New Roman"/>
                <w:sz w:val="22"/>
              </w:rPr>
              <w:t>5,96</w:t>
            </w:r>
          </w:p>
        </w:tc>
      </w:tr>
      <w:tr w:rsidR="000B6128" w:rsidRPr="00731FE2" w14:paraId="1D91E5F5" w14:textId="77777777" w:rsidTr="00FE28EA">
        <w:trPr>
          <w:trHeight w:val="58"/>
          <w:tblCellSpacing w:w="0" w:type="dxa"/>
        </w:trPr>
        <w:tc>
          <w:tcPr>
            <w:tcW w:w="0" w:type="auto"/>
            <w:vMerge/>
            <w:tcBorders>
              <w:top w:val="nil"/>
              <w:left w:val="single" w:sz="8" w:space="0" w:color="000000"/>
              <w:bottom w:val="single" w:sz="8" w:space="0" w:color="000000"/>
              <w:right w:val="single" w:sz="8" w:space="0" w:color="000000"/>
            </w:tcBorders>
            <w:vAlign w:val="center"/>
            <w:hideMark/>
          </w:tcPr>
          <w:p w14:paraId="39C31A67" w14:textId="77777777" w:rsidR="000B6128" w:rsidRPr="00731FE2" w:rsidRDefault="000B6128" w:rsidP="000B6128">
            <w:pPr>
              <w:spacing w:line="240" w:lineRule="auto"/>
              <w:ind w:firstLine="0"/>
              <w:jc w:val="left"/>
              <w:rPr>
                <w:rFonts w:ascii="Times New Roman" w:eastAsia="Times New Roman" w:hAnsi="Times New Roman" w:cs="Times New Roman"/>
                <w:sz w:val="22"/>
                <w:lang w:eastAsia="ru-RU"/>
              </w:rPr>
            </w:pPr>
          </w:p>
        </w:tc>
        <w:tc>
          <w:tcPr>
            <w:tcW w:w="3417" w:type="dxa"/>
            <w:tcBorders>
              <w:top w:val="nil"/>
              <w:left w:val="nil"/>
              <w:bottom w:val="single" w:sz="8" w:space="0" w:color="000000"/>
              <w:right w:val="single" w:sz="8" w:space="0" w:color="000000"/>
            </w:tcBorders>
            <w:vAlign w:val="center"/>
            <w:hideMark/>
          </w:tcPr>
          <w:p w14:paraId="0CD8BE7B" w14:textId="77777777" w:rsidR="000B6128" w:rsidRPr="00731FE2" w:rsidRDefault="000B6128" w:rsidP="000B6128">
            <w:pPr>
              <w:spacing w:line="240" w:lineRule="auto"/>
              <w:ind w:firstLine="0"/>
              <w:rPr>
                <w:rFonts w:ascii="Times New Roman" w:eastAsia="Times New Roman" w:hAnsi="Times New Roman" w:cs="Times New Roman"/>
                <w:sz w:val="22"/>
                <w:lang w:eastAsia="ru-RU"/>
              </w:rPr>
            </w:pPr>
            <w:r w:rsidRPr="00731FE2">
              <w:rPr>
                <w:rFonts w:ascii="Times New Roman" w:eastAsia="Times New Roman" w:hAnsi="Times New Roman" w:cs="Times New Roman"/>
                <w:b/>
                <w:bCs/>
                <w:color w:val="000000"/>
                <w:sz w:val="22"/>
                <w:lang w:eastAsia="ru-RU"/>
              </w:rPr>
              <w:t>Зона рекреационного использования,</w:t>
            </w:r>
          </w:p>
          <w:p w14:paraId="72103F16" w14:textId="77777777" w:rsidR="000B6128" w:rsidRPr="00731FE2" w:rsidRDefault="000B6128" w:rsidP="000B6128">
            <w:pPr>
              <w:spacing w:line="240" w:lineRule="auto"/>
              <w:ind w:firstLine="0"/>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в том числе:</w:t>
            </w:r>
          </w:p>
        </w:tc>
        <w:tc>
          <w:tcPr>
            <w:tcW w:w="1525" w:type="dxa"/>
            <w:tcBorders>
              <w:top w:val="nil"/>
              <w:left w:val="nil"/>
              <w:bottom w:val="single" w:sz="8" w:space="0" w:color="000000"/>
              <w:right w:val="single" w:sz="8" w:space="0" w:color="000000"/>
            </w:tcBorders>
            <w:vAlign w:val="center"/>
            <w:hideMark/>
          </w:tcPr>
          <w:p w14:paraId="745116FD" w14:textId="7777777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b/>
                <w:bCs/>
                <w:color w:val="000000"/>
                <w:sz w:val="22"/>
                <w:lang w:eastAsia="ru-RU"/>
              </w:rPr>
              <w:t>га</w:t>
            </w:r>
          </w:p>
        </w:tc>
        <w:tc>
          <w:tcPr>
            <w:tcW w:w="1766" w:type="dxa"/>
            <w:tcBorders>
              <w:top w:val="nil"/>
              <w:left w:val="nil"/>
              <w:bottom w:val="single" w:sz="8" w:space="0" w:color="000000"/>
              <w:right w:val="single" w:sz="8" w:space="0" w:color="000000"/>
            </w:tcBorders>
            <w:vAlign w:val="center"/>
            <w:hideMark/>
          </w:tcPr>
          <w:p w14:paraId="65EBEC9B" w14:textId="07F36D11" w:rsidR="000B6128" w:rsidRPr="00731FE2" w:rsidRDefault="000B6128" w:rsidP="000B6128">
            <w:pPr>
              <w:spacing w:line="240" w:lineRule="auto"/>
              <w:ind w:firstLine="0"/>
              <w:jc w:val="center"/>
              <w:rPr>
                <w:rFonts w:ascii="Times New Roman" w:eastAsia="Times New Roman" w:hAnsi="Times New Roman" w:cs="Times New Roman"/>
                <w:b/>
                <w:bCs/>
                <w:sz w:val="22"/>
                <w:lang w:eastAsia="ru-RU"/>
              </w:rPr>
            </w:pPr>
            <w:r w:rsidRPr="00731FE2">
              <w:rPr>
                <w:rFonts w:ascii="Times New Roman" w:hAnsi="Times New Roman" w:cs="Times New Roman"/>
                <w:b/>
                <w:bCs/>
                <w:sz w:val="22"/>
              </w:rPr>
              <w:t>8,60</w:t>
            </w:r>
          </w:p>
        </w:tc>
        <w:tc>
          <w:tcPr>
            <w:tcW w:w="1766" w:type="dxa"/>
            <w:tcBorders>
              <w:top w:val="nil"/>
              <w:left w:val="nil"/>
              <w:bottom w:val="single" w:sz="8" w:space="0" w:color="000000"/>
              <w:right w:val="single" w:sz="8" w:space="0" w:color="000000"/>
            </w:tcBorders>
            <w:vAlign w:val="center"/>
            <w:hideMark/>
          </w:tcPr>
          <w:p w14:paraId="26E0EA86" w14:textId="7A86BD24" w:rsidR="000B6128" w:rsidRPr="00731FE2" w:rsidRDefault="000B6128" w:rsidP="000B6128">
            <w:pPr>
              <w:spacing w:line="240" w:lineRule="auto"/>
              <w:ind w:firstLine="0"/>
              <w:jc w:val="center"/>
              <w:rPr>
                <w:rFonts w:ascii="Times New Roman" w:eastAsia="Times New Roman" w:hAnsi="Times New Roman" w:cs="Times New Roman"/>
                <w:b/>
                <w:bCs/>
                <w:sz w:val="22"/>
                <w:lang w:eastAsia="ru-RU"/>
              </w:rPr>
            </w:pPr>
            <w:r w:rsidRPr="00731FE2">
              <w:rPr>
                <w:rFonts w:ascii="Times New Roman" w:hAnsi="Times New Roman" w:cs="Times New Roman"/>
                <w:b/>
                <w:bCs/>
                <w:sz w:val="22"/>
              </w:rPr>
              <w:t>8,60</w:t>
            </w:r>
          </w:p>
        </w:tc>
      </w:tr>
      <w:tr w:rsidR="000B6128" w:rsidRPr="00731FE2" w14:paraId="68633DAC" w14:textId="77777777" w:rsidTr="00FE28EA">
        <w:trPr>
          <w:trHeight w:val="58"/>
          <w:tblCellSpacing w:w="0" w:type="dxa"/>
        </w:trPr>
        <w:tc>
          <w:tcPr>
            <w:tcW w:w="0" w:type="auto"/>
            <w:vMerge/>
            <w:tcBorders>
              <w:top w:val="nil"/>
              <w:left w:val="single" w:sz="8" w:space="0" w:color="000000"/>
              <w:bottom w:val="single" w:sz="8" w:space="0" w:color="000000"/>
              <w:right w:val="single" w:sz="8" w:space="0" w:color="000000"/>
            </w:tcBorders>
            <w:vAlign w:val="center"/>
            <w:hideMark/>
          </w:tcPr>
          <w:p w14:paraId="012FA23A" w14:textId="77777777" w:rsidR="000B6128" w:rsidRPr="00731FE2" w:rsidRDefault="000B6128" w:rsidP="000B6128">
            <w:pPr>
              <w:spacing w:line="240" w:lineRule="auto"/>
              <w:ind w:firstLine="0"/>
              <w:jc w:val="left"/>
              <w:rPr>
                <w:rFonts w:ascii="Times New Roman" w:eastAsia="Times New Roman" w:hAnsi="Times New Roman" w:cs="Times New Roman"/>
                <w:sz w:val="22"/>
                <w:lang w:eastAsia="ru-RU"/>
              </w:rPr>
            </w:pPr>
          </w:p>
        </w:tc>
        <w:tc>
          <w:tcPr>
            <w:tcW w:w="3417" w:type="dxa"/>
            <w:tcBorders>
              <w:top w:val="nil"/>
              <w:left w:val="nil"/>
              <w:bottom w:val="single" w:sz="8" w:space="0" w:color="000000"/>
              <w:right w:val="single" w:sz="8" w:space="0" w:color="000000"/>
            </w:tcBorders>
            <w:vAlign w:val="center"/>
            <w:hideMark/>
          </w:tcPr>
          <w:p w14:paraId="1B6F43B8" w14:textId="77777777" w:rsidR="000B6128" w:rsidRPr="00731FE2" w:rsidRDefault="000B6128" w:rsidP="000B6128">
            <w:pPr>
              <w:spacing w:line="240" w:lineRule="auto"/>
              <w:ind w:firstLine="0"/>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Зона озелененных территорий общего пользования (лесопарки, парки, сады, скверы, бульвары, городские леса)</w:t>
            </w:r>
          </w:p>
        </w:tc>
        <w:tc>
          <w:tcPr>
            <w:tcW w:w="1525" w:type="dxa"/>
            <w:tcBorders>
              <w:top w:val="nil"/>
              <w:left w:val="nil"/>
              <w:bottom w:val="single" w:sz="8" w:space="0" w:color="000000"/>
              <w:right w:val="single" w:sz="8" w:space="0" w:color="000000"/>
            </w:tcBorders>
            <w:vAlign w:val="center"/>
            <w:hideMark/>
          </w:tcPr>
          <w:p w14:paraId="1685A99D" w14:textId="7777777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га</w:t>
            </w:r>
          </w:p>
        </w:tc>
        <w:tc>
          <w:tcPr>
            <w:tcW w:w="1766" w:type="dxa"/>
            <w:tcBorders>
              <w:top w:val="nil"/>
              <w:left w:val="nil"/>
              <w:bottom w:val="single" w:sz="8" w:space="0" w:color="000000"/>
              <w:right w:val="single" w:sz="8" w:space="0" w:color="000000"/>
            </w:tcBorders>
            <w:vAlign w:val="center"/>
            <w:hideMark/>
          </w:tcPr>
          <w:p w14:paraId="20C89AC1" w14:textId="59ECEAF0"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hAnsi="Times New Roman" w:cs="Times New Roman"/>
                <w:sz w:val="22"/>
              </w:rPr>
              <w:t>8,60</w:t>
            </w:r>
          </w:p>
        </w:tc>
        <w:tc>
          <w:tcPr>
            <w:tcW w:w="1766" w:type="dxa"/>
            <w:tcBorders>
              <w:top w:val="nil"/>
              <w:left w:val="nil"/>
              <w:bottom w:val="single" w:sz="8" w:space="0" w:color="000000"/>
              <w:right w:val="single" w:sz="8" w:space="0" w:color="000000"/>
            </w:tcBorders>
            <w:vAlign w:val="center"/>
            <w:hideMark/>
          </w:tcPr>
          <w:p w14:paraId="4AE5AE79" w14:textId="55111FA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hAnsi="Times New Roman" w:cs="Times New Roman"/>
                <w:sz w:val="22"/>
              </w:rPr>
              <w:t>8,60</w:t>
            </w:r>
          </w:p>
        </w:tc>
      </w:tr>
      <w:tr w:rsidR="000B6128" w:rsidRPr="00731FE2" w14:paraId="714561C7" w14:textId="77777777" w:rsidTr="00D154A0">
        <w:trPr>
          <w:trHeight w:val="58"/>
          <w:tblCellSpacing w:w="0" w:type="dxa"/>
        </w:trPr>
        <w:tc>
          <w:tcPr>
            <w:tcW w:w="9335" w:type="dxa"/>
            <w:gridSpan w:val="5"/>
            <w:tcBorders>
              <w:top w:val="nil"/>
              <w:left w:val="single" w:sz="8" w:space="0" w:color="000000"/>
              <w:bottom w:val="single" w:sz="8" w:space="0" w:color="000000"/>
              <w:right w:val="single" w:sz="8" w:space="0" w:color="000000"/>
            </w:tcBorders>
            <w:vAlign w:val="center"/>
            <w:hideMark/>
          </w:tcPr>
          <w:p w14:paraId="4241CC3F" w14:textId="7777777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b/>
                <w:bCs/>
                <w:color w:val="000000"/>
                <w:sz w:val="22"/>
                <w:lang w:eastAsia="ru-RU"/>
              </w:rPr>
              <w:t>п. Индустрия</w:t>
            </w:r>
          </w:p>
        </w:tc>
      </w:tr>
      <w:tr w:rsidR="000B6128" w:rsidRPr="00731FE2" w14:paraId="7A59A636" w14:textId="77777777" w:rsidTr="00FE28EA">
        <w:trPr>
          <w:trHeight w:val="58"/>
          <w:tblCellSpacing w:w="0" w:type="dxa"/>
        </w:trPr>
        <w:tc>
          <w:tcPr>
            <w:tcW w:w="861" w:type="dxa"/>
            <w:vMerge w:val="restart"/>
            <w:tcBorders>
              <w:top w:val="nil"/>
              <w:left w:val="single" w:sz="8" w:space="0" w:color="000000"/>
              <w:right w:val="single" w:sz="8" w:space="0" w:color="000000"/>
            </w:tcBorders>
            <w:vAlign w:val="center"/>
            <w:hideMark/>
          </w:tcPr>
          <w:p w14:paraId="0DC507C8" w14:textId="24C796D5"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b/>
                <w:bCs/>
                <w:color w:val="000000"/>
                <w:sz w:val="22"/>
                <w:lang w:eastAsia="ru-RU"/>
              </w:rPr>
              <w:t>1.</w:t>
            </w:r>
            <w:r w:rsidR="00B043D3" w:rsidRPr="00731FE2">
              <w:rPr>
                <w:rFonts w:ascii="Times New Roman" w:eastAsia="Times New Roman" w:hAnsi="Times New Roman" w:cs="Times New Roman"/>
                <w:b/>
                <w:bCs/>
                <w:color w:val="000000"/>
                <w:sz w:val="22"/>
                <w:lang w:eastAsia="ru-RU"/>
              </w:rPr>
              <w:t>9</w:t>
            </w:r>
          </w:p>
        </w:tc>
        <w:tc>
          <w:tcPr>
            <w:tcW w:w="3417" w:type="dxa"/>
            <w:tcBorders>
              <w:top w:val="nil"/>
              <w:left w:val="nil"/>
              <w:bottom w:val="single" w:sz="8" w:space="0" w:color="000000"/>
              <w:right w:val="single" w:sz="8" w:space="0" w:color="000000"/>
            </w:tcBorders>
            <w:vAlign w:val="center"/>
            <w:hideMark/>
          </w:tcPr>
          <w:p w14:paraId="5AC83A21" w14:textId="7CDD0E76" w:rsidR="000B6128" w:rsidRPr="00731FE2" w:rsidRDefault="000B6128" w:rsidP="000B6128">
            <w:pPr>
              <w:spacing w:line="240" w:lineRule="auto"/>
              <w:ind w:firstLine="0"/>
              <w:rPr>
                <w:rFonts w:ascii="Times New Roman" w:eastAsia="Times New Roman" w:hAnsi="Times New Roman" w:cs="Times New Roman"/>
                <w:b/>
                <w:color w:val="000000"/>
                <w:sz w:val="22"/>
                <w:lang w:eastAsia="ru-RU"/>
              </w:rPr>
            </w:pPr>
            <w:r w:rsidRPr="00731FE2">
              <w:rPr>
                <w:rFonts w:ascii="Times New Roman" w:eastAsia="Times New Roman" w:hAnsi="Times New Roman" w:cs="Times New Roman"/>
                <w:b/>
                <w:color w:val="000000"/>
                <w:sz w:val="22"/>
                <w:lang w:eastAsia="ru-RU"/>
              </w:rPr>
              <w:t>Общая площадь земель населенных пунктов</w:t>
            </w:r>
          </w:p>
        </w:tc>
        <w:tc>
          <w:tcPr>
            <w:tcW w:w="1525" w:type="dxa"/>
            <w:tcBorders>
              <w:top w:val="nil"/>
              <w:left w:val="nil"/>
              <w:bottom w:val="single" w:sz="8" w:space="0" w:color="000000"/>
              <w:right w:val="single" w:sz="8" w:space="0" w:color="000000"/>
            </w:tcBorders>
            <w:vAlign w:val="center"/>
            <w:hideMark/>
          </w:tcPr>
          <w:p w14:paraId="4E6ADFDA" w14:textId="33CFC15F"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hAnsi="Times New Roman" w:cs="Times New Roman"/>
                <w:b/>
                <w:bCs/>
                <w:color w:val="000000"/>
                <w:sz w:val="22"/>
              </w:rPr>
              <w:t>га</w:t>
            </w:r>
          </w:p>
        </w:tc>
        <w:tc>
          <w:tcPr>
            <w:tcW w:w="1766" w:type="dxa"/>
            <w:tcBorders>
              <w:top w:val="nil"/>
              <w:left w:val="nil"/>
              <w:bottom w:val="single" w:sz="8" w:space="0" w:color="000000"/>
              <w:right w:val="single" w:sz="8" w:space="0" w:color="000000"/>
            </w:tcBorders>
            <w:vAlign w:val="center"/>
            <w:hideMark/>
          </w:tcPr>
          <w:p w14:paraId="751A7C31" w14:textId="05ABCE13" w:rsidR="000B6128" w:rsidRPr="00731FE2" w:rsidRDefault="000B6128" w:rsidP="000B6128">
            <w:pPr>
              <w:spacing w:line="240" w:lineRule="auto"/>
              <w:ind w:firstLine="0"/>
              <w:jc w:val="center"/>
              <w:rPr>
                <w:rFonts w:ascii="Times New Roman" w:eastAsia="Times New Roman" w:hAnsi="Times New Roman" w:cs="Times New Roman"/>
                <w:color w:val="000000"/>
                <w:sz w:val="22"/>
                <w:lang w:eastAsia="ru-RU"/>
              </w:rPr>
            </w:pPr>
            <w:r w:rsidRPr="00731FE2">
              <w:rPr>
                <w:rFonts w:ascii="Times New Roman" w:hAnsi="Times New Roman" w:cs="Times New Roman"/>
                <w:b/>
                <w:bCs/>
                <w:color w:val="000000"/>
                <w:sz w:val="22"/>
              </w:rPr>
              <w:t>44,09</w:t>
            </w:r>
          </w:p>
        </w:tc>
        <w:tc>
          <w:tcPr>
            <w:tcW w:w="1766" w:type="dxa"/>
            <w:tcBorders>
              <w:top w:val="nil"/>
              <w:left w:val="nil"/>
              <w:bottom w:val="single" w:sz="8" w:space="0" w:color="000000"/>
              <w:right w:val="single" w:sz="8" w:space="0" w:color="000000"/>
            </w:tcBorders>
            <w:vAlign w:val="center"/>
            <w:hideMark/>
          </w:tcPr>
          <w:p w14:paraId="141B6761" w14:textId="38ACB5A1" w:rsidR="000B6128" w:rsidRPr="00731FE2" w:rsidRDefault="000B6128" w:rsidP="000B6128">
            <w:pPr>
              <w:spacing w:line="240" w:lineRule="auto"/>
              <w:ind w:firstLine="0"/>
              <w:jc w:val="center"/>
              <w:rPr>
                <w:rFonts w:ascii="Times New Roman" w:eastAsia="Times New Roman" w:hAnsi="Times New Roman" w:cs="Times New Roman"/>
                <w:color w:val="000000"/>
                <w:sz w:val="22"/>
                <w:lang w:eastAsia="ru-RU"/>
              </w:rPr>
            </w:pPr>
            <w:r w:rsidRPr="00731FE2">
              <w:rPr>
                <w:rFonts w:ascii="Times New Roman" w:hAnsi="Times New Roman" w:cs="Times New Roman"/>
                <w:b/>
                <w:bCs/>
                <w:color w:val="000000"/>
                <w:sz w:val="22"/>
              </w:rPr>
              <w:t>44,09</w:t>
            </w:r>
          </w:p>
        </w:tc>
      </w:tr>
      <w:tr w:rsidR="000B6128" w:rsidRPr="00731FE2" w14:paraId="5C8EC4C4" w14:textId="77777777" w:rsidTr="00FE28EA">
        <w:trPr>
          <w:trHeight w:val="58"/>
          <w:tblCellSpacing w:w="0" w:type="dxa"/>
        </w:trPr>
        <w:tc>
          <w:tcPr>
            <w:tcW w:w="0" w:type="auto"/>
            <w:vMerge/>
            <w:tcBorders>
              <w:left w:val="single" w:sz="8" w:space="0" w:color="000000"/>
              <w:right w:val="single" w:sz="8" w:space="0" w:color="000000"/>
            </w:tcBorders>
            <w:vAlign w:val="center"/>
            <w:hideMark/>
          </w:tcPr>
          <w:p w14:paraId="5C4A6BBD" w14:textId="77777777" w:rsidR="000B6128" w:rsidRPr="00731FE2" w:rsidRDefault="000B6128" w:rsidP="000B6128">
            <w:pPr>
              <w:spacing w:line="240" w:lineRule="auto"/>
              <w:ind w:firstLine="0"/>
              <w:jc w:val="left"/>
              <w:rPr>
                <w:rFonts w:ascii="Times New Roman" w:eastAsia="Times New Roman" w:hAnsi="Times New Roman" w:cs="Times New Roman"/>
                <w:sz w:val="22"/>
                <w:lang w:eastAsia="ru-RU"/>
              </w:rPr>
            </w:pPr>
          </w:p>
        </w:tc>
        <w:tc>
          <w:tcPr>
            <w:tcW w:w="3417" w:type="dxa"/>
            <w:tcBorders>
              <w:top w:val="nil"/>
              <w:left w:val="nil"/>
              <w:bottom w:val="single" w:sz="8" w:space="0" w:color="000000"/>
              <w:right w:val="single" w:sz="8" w:space="0" w:color="000000"/>
            </w:tcBorders>
            <w:vAlign w:val="center"/>
            <w:hideMark/>
          </w:tcPr>
          <w:p w14:paraId="2E1410E5" w14:textId="01D3AC33" w:rsidR="000B6128" w:rsidRPr="00731FE2" w:rsidRDefault="000B6128" w:rsidP="000B6128">
            <w:pPr>
              <w:spacing w:line="240" w:lineRule="auto"/>
              <w:ind w:firstLine="0"/>
              <w:rPr>
                <w:rFonts w:ascii="Times New Roman" w:eastAsia="Times New Roman" w:hAnsi="Times New Roman" w:cs="Times New Roman"/>
                <w:b/>
                <w:color w:val="000000"/>
                <w:sz w:val="22"/>
                <w:lang w:eastAsia="ru-RU"/>
              </w:rPr>
            </w:pPr>
            <w:r w:rsidRPr="00731FE2">
              <w:rPr>
                <w:rFonts w:ascii="Times New Roman" w:eastAsia="Times New Roman" w:hAnsi="Times New Roman" w:cs="Times New Roman"/>
                <w:b/>
                <w:color w:val="000000"/>
                <w:sz w:val="22"/>
                <w:lang w:eastAsia="ru-RU"/>
              </w:rPr>
              <w:t>Общая площадь функциональных зон (в границах п. Индустрия)</w:t>
            </w:r>
          </w:p>
        </w:tc>
        <w:tc>
          <w:tcPr>
            <w:tcW w:w="1525" w:type="dxa"/>
            <w:tcBorders>
              <w:top w:val="nil"/>
              <w:left w:val="nil"/>
              <w:bottom w:val="single" w:sz="8" w:space="0" w:color="000000"/>
              <w:right w:val="single" w:sz="8" w:space="0" w:color="000000"/>
            </w:tcBorders>
            <w:vAlign w:val="center"/>
            <w:hideMark/>
          </w:tcPr>
          <w:p w14:paraId="52D8F5DC" w14:textId="7EDD257A"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hAnsi="Times New Roman" w:cs="Times New Roman"/>
                <w:b/>
                <w:bCs/>
                <w:color w:val="000000"/>
                <w:sz w:val="22"/>
              </w:rPr>
              <w:t>га</w:t>
            </w:r>
          </w:p>
        </w:tc>
        <w:tc>
          <w:tcPr>
            <w:tcW w:w="1766" w:type="dxa"/>
            <w:tcBorders>
              <w:top w:val="nil"/>
              <w:left w:val="nil"/>
              <w:bottom w:val="single" w:sz="8" w:space="0" w:color="000000"/>
              <w:right w:val="single" w:sz="8" w:space="0" w:color="000000"/>
            </w:tcBorders>
            <w:vAlign w:val="center"/>
            <w:hideMark/>
          </w:tcPr>
          <w:p w14:paraId="685CDC80" w14:textId="11D9C131" w:rsidR="000B6128" w:rsidRPr="00731FE2" w:rsidRDefault="000B6128" w:rsidP="000B6128">
            <w:pPr>
              <w:spacing w:line="240" w:lineRule="auto"/>
              <w:ind w:firstLine="0"/>
              <w:jc w:val="center"/>
              <w:rPr>
                <w:rFonts w:ascii="Times New Roman" w:eastAsia="Times New Roman" w:hAnsi="Times New Roman" w:cs="Times New Roman"/>
                <w:color w:val="000000"/>
                <w:sz w:val="22"/>
                <w:lang w:eastAsia="ru-RU"/>
              </w:rPr>
            </w:pPr>
            <w:r w:rsidRPr="00731FE2">
              <w:rPr>
                <w:rFonts w:ascii="Times New Roman" w:hAnsi="Times New Roman" w:cs="Times New Roman"/>
                <w:b/>
                <w:bCs/>
                <w:color w:val="000000"/>
                <w:sz w:val="22"/>
              </w:rPr>
              <w:t>44,09</w:t>
            </w:r>
          </w:p>
        </w:tc>
        <w:tc>
          <w:tcPr>
            <w:tcW w:w="1766" w:type="dxa"/>
            <w:tcBorders>
              <w:top w:val="nil"/>
              <w:left w:val="nil"/>
              <w:bottom w:val="single" w:sz="8" w:space="0" w:color="000000"/>
              <w:right w:val="single" w:sz="8" w:space="0" w:color="000000"/>
            </w:tcBorders>
            <w:vAlign w:val="center"/>
            <w:hideMark/>
          </w:tcPr>
          <w:p w14:paraId="4D8403B3" w14:textId="348D79E7" w:rsidR="000B6128" w:rsidRPr="00731FE2" w:rsidRDefault="000B6128" w:rsidP="000B6128">
            <w:pPr>
              <w:spacing w:line="240" w:lineRule="auto"/>
              <w:ind w:firstLine="0"/>
              <w:jc w:val="center"/>
              <w:rPr>
                <w:rFonts w:ascii="Times New Roman" w:eastAsia="Times New Roman" w:hAnsi="Times New Roman" w:cs="Times New Roman"/>
                <w:color w:val="000000"/>
                <w:sz w:val="22"/>
                <w:lang w:eastAsia="ru-RU"/>
              </w:rPr>
            </w:pPr>
            <w:r w:rsidRPr="00731FE2">
              <w:rPr>
                <w:rFonts w:ascii="Times New Roman" w:hAnsi="Times New Roman" w:cs="Times New Roman"/>
                <w:b/>
                <w:bCs/>
                <w:color w:val="000000"/>
                <w:sz w:val="22"/>
              </w:rPr>
              <w:t>44,09</w:t>
            </w:r>
          </w:p>
        </w:tc>
      </w:tr>
      <w:tr w:rsidR="000B6128" w:rsidRPr="00731FE2" w14:paraId="2783DAFC" w14:textId="77777777" w:rsidTr="00FE28EA">
        <w:trPr>
          <w:trHeight w:val="58"/>
          <w:tblCellSpacing w:w="0" w:type="dxa"/>
        </w:trPr>
        <w:tc>
          <w:tcPr>
            <w:tcW w:w="0" w:type="auto"/>
            <w:vMerge/>
            <w:tcBorders>
              <w:left w:val="single" w:sz="8" w:space="0" w:color="000000"/>
              <w:right w:val="single" w:sz="8" w:space="0" w:color="000000"/>
            </w:tcBorders>
            <w:vAlign w:val="center"/>
            <w:hideMark/>
          </w:tcPr>
          <w:p w14:paraId="6C1F6BC4" w14:textId="77777777" w:rsidR="000B6128" w:rsidRPr="00731FE2" w:rsidRDefault="000B6128" w:rsidP="000B6128">
            <w:pPr>
              <w:spacing w:line="240" w:lineRule="auto"/>
              <w:ind w:firstLine="0"/>
              <w:jc w:val="left"/>
              <w:rPr>
                <w:rFonts w:ascii="Times New Roman" w:eastAsia="Times New Roman" w:hAnsi="Times New Roman" w:cs="Times New Roman"/>
                <w:sz w:val="22"/>
                <w:lang w:eastAsia="ru-RU"/>
              </w:rPr>
            </w:pPr>
          </w:p>
        </w:tc>
        <w:tc>
          <w:tcPr>
            <w:tcW w:w="3417" w:type="dxa"/>
            <w:tcBorders>
              <w:top w:val="nil"/>
              <w:left w:val="nil"/>
              <w:bottom w:val="single" w:sz="8" w:space="0" w:color="000000"/>
              <w:right w:val="single" w:sz="8" w:space="0" w:color="000000"/>
            </w:tcBorders>
            <w:vAlign w:val="center"/>
            <w:hideMark/>
          </w:tcPr>
          <w:p w14:paraId="0C7632DF" w14:textId="004DA4C0" w:rsidR="000B6128" w:rsidRPr="00731FE2" w:rsidRDefault="000B6128" w:rsidP="000B6128">
            <w:pPr>
              <w:spacing w:line="240" w:lineRule="auto"/>
              <w:ind w:firstLine="0"/>
              <w:rPr>
                <w:rFonts w:ascii="Times New Roman" w:eastAsia="Times New Roman" w:hAnsi="Times New Roman" w:cs="Times New Roman"/>
                <w:b/>
                <w:color w:val="000000"/>
                <w:sz w:val="22"/>
                <w:lang w:eastAsia="ru-RU"/>
              </w:rPr>
            </w:pPr>
            <w:r w:rsidRPr="00731FE2">
              <w:rPr>
                <w:rFonts w:ascii="Times New Roman" w:eastAsia="Times New Roman" w:hAnsi="Times New Roman" w:cs="Times New Roman"/>
                <w:b/>
                <w:color w:val="000000"/>
                <w:sz w:val="22"/>
                <w:lang w:eastAsia="ru-RU"/>
              </w:rPr>
              <w:t>Жилые зоны, в том числе:</w:t>
            </w:r>
          </w:p>
        </w:tc>
        <w:tc>
          <w:tcPr>
            <w:tcW w:w="1525" w:type="dxa"/>
            <w:tcBorders>
              <w:top w:val="nil"/>
              <w:left w:val="nil"/>
              <w:bottom w:val="single" w:sz="8" w:space="0" w:color="000000"/>
              <w:right w:val="single" w:sz="8" w:space="0" w:color="000000"/>
            </w:tcBorders>
            <w:vAlign w:val="center"/>
            <w:hideMark/>
          </w:tcPr>
          <w:p w14:paraId="2D8A4172" w14:textId="0E624203"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hAnsi="Times New Roman" w:cs="Times New Roman"/>
                <w:b/>
                <w:bCs/>
                <w:color w:val="000000"/>
                <w:sz w:val="22"/>
              </w:rPr>
              <w:t>га</w:t>
            </w:r>
          </w:p>
        </w:tc>
        <w:tc>
          <w:tcPr>
            <w:tcW w:w="1766" w:type="dxa"/>
            <w:tcBorders>
              <w:top w:val="nil"/>
              <w:left w:val="nil"/>
              <w:bottom w:val="single" w:sz="8" w:space="0" w:color="000000"/>
              <w:right w:val="single" w:sz="8" w:space="0" w:color="000000"/>
            </w:tcBorders>
            <w:vAlign w:val="center"/>
            <w:hideMark/>
          </w:tcPr>
          <w:p w14:paraId="2BFD813D" w14:textId="76590D40" w:rsidR="000B6128" w:rsidRPr="00731FE2" w:rsidRDefault="000B6128" w:rsidP="000B6128">
            <w:pPr>
              <w:spacing w:line="240" w:lineRule="auto"/>
              <w:ind w:firstLine="0"/>
              <w:jc w:val="center"/>
              <w:rPr>
                <w:rFonts w:ascii="Times New Roman" w:eastAsia="Times New Roman" w:hAnsi="Times New Roman" w:cs="Times New Roman"/>
                <w:color w:val="000000"/>
                <w:sz w:val="22"/>
                <w:lang w:eastAsia="ru-RU"/>
              </w:rPr>
            </w:pPr>
            <w:r w:rsidRPr="00731FE2">
              <w:rPr>
                <w:rFonts w:ascii="Times New Roman" w:hAnsi="Times New Roman" w:cs="Times New Roman"/>
                <w:b/>
                <w:bCs/>
                <w:color w:val="000000"/>
                <w:sz w:val="22"/>
              </w:rPr>
              <w:t>36,60</w:t>
            </w:r>
          </w:p>
        </w:tc>
        <w:tc>
          <w:tcPr>
            <w:tcW w:w="1766" w:type="dxa"/>
            <w:tcBorders>
              <w:top w:val="nil"/>
              <w:left w:val="nil"/>
              <w:bottom w:val="single" w:sz="8" w:space="0" w:color="000000"/>
              <w:right w:val="single" w:sz="8" w:space="0" w:color="000000"/>
            </w:tcBorders>
            <w:vAlign w:val="center"/>
            <w:hideMark/>
          </w:tcPr>
          <w:p w14:paraId="3753DE4C" w14:textId="28C2F52A" w:rsidR="000B6128" w:rsidRPr="00731FE2" w:rsidRDefault="000B6128" w:rsidP="000B6128">
            <w:pPr>
              <w:spacing w:line="240" w:lineRule="auto"/>
              <w:ind w:firstLine="0"/>
              <w:jc w:val="center"/>
              <w:rPr>
                <w:rFonts w:ascii="Times New Roman" w:eastAsia="Times New Roman" w:hAnsi="Times New Roman" w:cs="Times New Roman"/>
                <w:color w:val="000000"/>
                <w:sz w:val="22"/>
                <w:lang w:eastAsia="ru-RU"/>
              </w:rPr>
            </w:pPr>
            <w:r w:rsidRPr="00731FE2">
              <w:rPr>
                <w:rFonts w:ascii="Times New Roman" w:hAnsi="Times New Roman" w:cs="Times New Roman"/>
                <w:b/>
                <w:bCs/>
                <w:color w:val="000000"/>
                <w:sz w:val="22"/>
              </w:rPr>
              <w:t>36,54</w:t>
            </w:r>
          </w:p>
        </w:tc>
      </w:tr>
      <w:tr w:rsidR="000B6128" w:rsidRPr="00731FE2" w14:paraId="2D23BD96" w14:textId="77777777" w:rsidTr="00FE28EA">
        <w:trPr>
          <w:trHeight w:val="58"/>
          <w:tblCellSpacing w:w="0" w:type="dxa"/>
        </w:trPr>
        <w:tc>
          <w:tcPr>
            <w:tcW w:w="0" w:type="auto"/>
            <w:vMerge/>
            <w:tcBorders>
              <w:left w:val="single" w:sz="8" w:space="0" w:color="000000"/>
              <w:right w:val="single" w:sz="8" w:space="0" w:color="000000"/>
            </w:tcBorders>
            <w:vAlign w:val="center"/>
            <w:hideMark/>
          </w:tcPr>
          <w:p w14:paraId="0874B311" w14:textId="77777777" w:rsidR="000B6128" w:rsidRPr="00731FE2" w:rsidRDefault="000B6128" w:rsidP="000B6128">
            <w:pPr>
              <w:spacing w:line="240" w:lineRule="auto"/>
              <w:ind w:firstLine="0"/>
              <w:jc w:val="left"/>
              <w:rPr>
                <w:rFonts w:ascii="Times New Roman" w:eastAsia="Times New Roman" w:hAnsi="Times New Roman" w:cs="Times New Roman"/>
                <w:sz w:val="22"/>
                <w:lang w:eastAsia="ru-RU"/>
              </w:rPr>
            </w:pPr>
          </w:p>
        </w:tc>
        <w:tc>
          <w:tcPr>
            <w:tcW w:w="3417" w:type="dxa"/>
            <w:tcBorders>
              <w:top w:val="nil"/>
              <w:left w:val="nil"/>
              <w:bottom w:val="single" w:sz="8" w:space="0" w:color="000000"/>
              <w:right w:val="single" w:sz="8" w:space="0" w:color="000000"/>
            </w:tcBorders>
            <w:vAlign w:val="center"/>
            <w:hideMark/>
          </w:tcPr>
          <w:p w14:paraId="00064B87" w14:textId="016296AF" w:rsidR="000B6128" w:rsidRPr="00731FE2" w:rsidRDefault="000B6128" w:rsidP="000B6128">
            <w:pPr>
              <w:spacing w:line="240" w:lineRule="auto"/>
              <w:ind w:firstLine="0"/>
              <w:rPr>
                <w:rFonts w:ascii="Times New Roman" w:eastAsia="Times New Roman" w:hAnsi="Times New Roman" w:cs="Times New Roman"/>
                <w:color w:val="000000"/>
                <w:sz w:val="22"/>
                <w:lang w:eastAsia="ru-RU"/>
              </w:rPr>
            </w:pPr>
            <w:r w:rsidRPr="00731FE2">
              <w:rPr>
                <w:rFonts w:ascii="Times New Roman" w:eastAsia="Times New Roman" w:hAnsi="Times New Roman" w:cs="Times New Roman"/>
                <w:color w:val="000000"/>
                <w:sz w:val="22"/>
                <w:lang w:eastAsia="ru-RU"/>
              </w:rPr>
              <w:t>Зона застройки индивидуальными жилыми домами</w:t>
            </w:r>
          </w:p>
        </w:tc>
        <w:tc>
          <w:tcPr>
            <w:tcW w:w="1525" w:type="dxa"/>
            <w:tcBorders>
              <w:top w:val="nil"/>
              <w:left w:val="nil"/>
              <w:bottom w:val="single" w:sz="8" w:space="0" w:color="000000"/>
              <w:right w:val="single" w:sz="8" w:space="0" w:color="000000"/>
            </w:tcBorders>
            <w:vAlign w:val="center"/>
            <w:hideMark/>
          </w:tcPr>
          <w:p w14:paraId="0C8C1DF0" w14:textId="07BA8C95"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hAnsi="Times New Roman" w:cs="Times New Roman"/>
                <w:color w:val="000000"/>
                <w:sz w:val="22"/>
              </w:rPr>
              <w:t>га</w:t>
            </w:r>
          </w:p>
        </w:tc>
        <w:tc>
          <w:tcPr>
            <w:tcW w:w="1766" w:type="dxa"/>
            <w:tcBorders>
              <w:top w:val="nil"/>
              <w:left w:val="nil"/>
              <w:bottom w:val="single" w:sz="8" w:space="0" w:color="000000"/>
              <w:right w:val="single" w:sz="8" w:space="0" w:color="000000"/>
            </w:tcBorders>
            <w:vAlign w:val="center"/>
            <w:hideMark/>
          </w:tcPr>
          <w:p w14:paraId="766533E3" w14:textId="683D08AB" w:rsidR="000B6128" w:rsidRPr="00731FE2" w:rsidRDefault="000B6128" w:rsidP="000B6128">
            <w:pPr>
              <w:spacing w:line="240" w:lineRule="auto"/>
              <w:ind w:firstLine="0"/>
              <w:jc w:val="center"/>
              <w:rPr>
                <w:rFonts w:ascii="Times New Roman" w:eastAsia="Times New Roman" w:hAnsi="Times New Roman" w:cs="Times New Roman"/>
                <w:color w:val="000000"/>
                <w:sz w:val="22"/>
                <w:lang w:eastAsia="ru-RU"/>
              </w:rPr>
            </w:pPr>
            <w:r w:rsidRPr="00731FE2">
              <w:rPr>
                <w:rFonts w:ascii="Times New Roman" w:hAnsi="Times New Roman" w:cs="Times New Roman"/>
                <w:color w:val="000000"/>
                <w:sz w:val="22"/>
              </w:rPr>
              <w:t>36,60</w:t>
            </w:r>
          </w:p>
        </w:tc>
        <w:tc>
          <w:tcPr>
            <w:tcW w:w="1766" w:type="dxa"/>
            <w:tcBorders>
              <w:top w:val="nil"/>
              <w:left w:val="nil"/>
              <w:bottom w:val="single" w:sz="8" w:space="0" w:color="000000"/>
              <w:right w:val="single" w:sz="8" w:space="0" w:color="000000"/>
            </w:tcBorders>
            <w:vAlign w:val="center"/>
            <w:hideMark/>
          </w:tcPr>
          <w:p w14:paraId="23847FB3" w14:textId="1110FCB5" w:rsidR="000B6128" w:rsidRPr="00731FE2" w:rsidRDefault="000B6128" w:rsidP="000B6128">
            <w:pPr>
              <w:spacing w:line="240" w:lineRule="auto"/>
              <w:ind w:firstLine="0"/>
              <w:jc w:val="center"/>
              <w:rPr>
                <w:rFonts w:ascii="Times New Roman" w:eastAsia="Times New Roman" w:hAnsi="Times New Roman" w:cs="Times New Roman"/>
                <w:color w:val="000000"/>
                <w:sz w:val="22"/>
                <w:lang w:eastAsia="ru-RU"/>
              </w:rPr>
            </w:pPr>
            <w:r w:rsidRPr="00731FE2">
              <w:rPr>
                <w:rFonts w:ascii="Times New Roman" w:hAnsi="Times New Roman" w:cs="Times New Roman"/>
                <w:color w:val="000000"/>
                <w:sz w:val="22"/>
              </w:rPr>
              <w:t>36,54</w:t>
            </w:r>
          </w:p>
        </w:tc>
      </w:tr>
      <w:tr w:rsidR="000B6128" w:rsidRPr="00731FE2" w14:paraId="43C58F3D" w14:textId="77777777" w:rsidTr="00FE28EA">
        <w:trPr>
          <w:trHeight w:val="58"/>
          <w:tblCellSpacing w:w="0" w:type="dxa"/>
        </w:trPr>
        <w:tc>
          <w:tcPr>
            <w:tcW w:w="0" w:type="auto"/>
            <w:vMerge/>
            <w:tcBorders>
              <w:left w:val="single" w:sz="8" w:space="0" w:color="000000"/>
              <w:right w:val="single" w:sz="8" w:space="0" w:color="000000"/>
            </w:tcBorders>
            <w:vAlign w:val="center"/>
            <w:hideMark/>
          </w:tcPr>
          <w:p w14:paraId="4F2CE8E0" w14:textId="77777777" w:rsidR="000B6128" w:rsidRPr="00731FE2" w:rsidRDefault="000B6128" w:rsidP="000B6128">
            <w:pPr>
              <w:spacing w:line="240" w:lineRule="auto"/>
              <w:ind w:firstLine="0"/>
              <w:jc w:val="left"/>
              <w:rPr>
                <w:rFonts w:ascii="Times New Roman" w:eastAsia="Times New Roman" w:hAnsi="Times New Roman" w:cs="Times New Roman"/>
                <w:sz w:val="22"/>
                <w:lang w:eastAsia="ru-RU"/>
              </w:rPr>
            </w:pPr>
          </w:p>
        </w:tc>
        <w:tc>
          <w:tcPr>
            <w:tcW w:w="3417" w:type="dxa"/>
            <w:tcBorders>
              <w:top w:val="nil"/>
              <w:left w:val="nil"/>
              <w:bottom w:val="single" w:sz="8" w:space="0" w:color="000000"/>
              <w:right w:val="single" w:sz="8" w:space="0" w:color="000000"/>
            </w:tcBorders>
            <w:vAlign w:val="center"/>
            <w:hideMark/>
          </w:tcPr>
          <w:p w14:paraId="08EEBADC" w14:textId="5A1DFF9E" w:rsidR="000B6128" w:rsidRPr="00731FE2" w:rsidRDefault="000B6128" w:rsidP="000B6128">
            <w:pPr>
              <w:spacing w:line="240" w:lineRule="auto"/>
              <w:ind w:firstLine="0"/>
              <w:rPr>
                <w:rFonts w:ascii="Times New Roman" w:eastAsia="Times New Roman" w:hAnsi="Times New Roman" w:cs="Times New Roman"/>
                <w:b/>
                <w:color w:val="000000"/>
                <w:sz w:val="22"/>
                <w:lang w:eastAsia="ru-RU"/>
              </w:rPr>
            </w:pPr>
            <w:r w:rsidRPr="00731FE2">
              <w:rPr>
                <w:rFonts w:ascii="Times New Roman" w:eastAsia="Times New Roman" w:hAnsi="Times New Roman" w:cs="Times New Roman"/>
                <w:b/>
                <w:color w:val="000000"/>
                <w:sz w:val="22"/>
                <w:lang w:eastAsia="ru-RU"/>
              </w:rPr>
              <w:t>Зоны общественно-делового использования, в том числе:</w:t>
            </w:r>
          </w:p>
        </w:tc>
        <w:tc>
          <w:tcPr>
            <w:tcW w:w="1525" w:type="dxa"/>
            <w:tcBorders>
              <w:top w:val="nil"/>
              <w:left w:val="nil"/>
              <w:bottom w:val="single" w:sz="8" w:space="0" w:color="000000"/>
              <w:right w:val="single" w:sz="8" w:space="0" w:color="000000"/>
            </w:tcBorders>
            <w:vAlign w:val="center"/>
            <w:hideMark/>
          </w:tcPr>
          <w:p w14:paraId="49834976" w14:textId="0B68F582"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hAnsi="Times New Roman" w:cs="Times New Roman"/>
                <w:b/>
                <w:bCs/>
                <w:color w:val="000000"/>
                <w:sz w:val="22"/>
              </w:rPr>
              <w:t>га</w:t>
            </w:r>
          </w:p>
        </w:tc>
        <w:tc>
          <w:tcPr>
            <w:tcW w:w="1766" w:type="dxa"/>
            <w:tcBorders>
              <w:top w:val="nil"/>
              <w:left w:val="nil"/>
              <w:bottom w:val="single" w:sz="8" w:space="0" w:color="000000"/>
              <w:right w:val="single" w:sz="8" w:space="0" w:color="000000"/>
            </w:tcBorders>
            <w:vAlign w:val="center"/>
            <w:hideMark/>
          </w:tcPr>
          <w:p w14:paraId="4CA60EE8" w14:textId="7A465A70" w:rsidR="000B6128" w:rsidRPr="00731FE2" w:rsidRDefault="000B6128" w:rsidP="000B6128">
            <w:pPr>
              <w:spacing w:line="240" w:lineRule="auto"/>
              <w:ind w:firstLine="0"/>
              <w:jc w:val="center"/>
              <w:rPr>
                <w:rFonts w:ascii="Times New Roman" w:eastAsia="Times New Roman" w:hAnsi="Times New Roman" w:cs="Times New Roman"/>
                <w:color w:val="000000"/>
                <w:sz w:val="22"/>
                <w:lang w:eastAsia="ru-RU"/>
              </w:rPr>
            </w:pPr>
            <w:r w:rsidRPr="00731FE2">
              <w:rPr>
                <w:rFonts w:ascii="Times New Roman" w:hAnsi="Times New Roman" w:cs="Times New Roman"/>
                <w:b/>
                <w:bCs/>
                <w:color w:val="000000"/>
                <w:sz w:val="22"/>
              </w:rPr>
              <w:t>0,00</w:t>
            </w:r>
          </w:p>
        </w:tc>
        <w:tc>
          <w:tcPr>
            <w:tcW w:w="1766" w:type="dxa"/>
            <w:tcBorders>
              <w:top w:val="nil"/>
              <w:left w:val="nil"/>
              <w:bottom w:val="single" w:sz="8" w:space="0" w:color="000000"/>
              <w:right w:val="single" w:sz="8" w:space="0" w:color="000000"/>
            </w:tcBorders>
            <w:vAlign w:val="center"/>
            <w:hideMark/>
          </w:tcPr>
          <w:p w14:paraId="1996A85C" w14:textId="78428FDD" w:rsidR="000B6128" w:rsidRPr="00731FE2" w:rsidRDefault="000B6128" w:rsidP="000B6128">
            <w:pPr>
              <w:spacing w:line="240" w:lineRule="auto"/>
              <w:ind w:firstLine="0"/>
              <w:jc w:val="center"/>
              <w:rPr>
                <w:rFonts w:ascii="Times New Roman" w:eastAsia="Times New Roman" w:hAnsi="Times New Roman" w:cs="Times New Roman"/>
                <w:color w:val="000000"/>
                <w:sz w:val="22"/>
                <w:lang w:eastAsia="ru-RU"/>
              </w:rPr>
            </w:pPr>
            <w:r w:rsidRPr="00731FE2">
              <w:rPr>
                <w:rFonts w:ascii="Times New Roman" w:hAnsi="Times New Roman" w:cs="Times New Roman"/>
                <w:b/>
                <w:bCs/>
                <w:color w:val="000000"/>
                <w:sz w:val="22"/>
              </w:rPr>
              <w:t>0,06</w:t>
            </w:r>
          </w:p>
        </w:tc>
      </w:tr>
      <w:tr w:rsidR="000B6128" w:rsidRPr="00731FE2" w14:paraId="4F524BCD" w14:textId="77777777" w:rsidTr="00FE28EA">
        <w:trPr>
          <w:trHeight w:val="58"/>
          <w:tblCellSpacing w:w="0" w:type="dxa"/>
        </w:trPr>
        <w:tc>
          <w:tcPr>
            <w:tcW w:w="0" w:type="auto"/>
            <w:vMerge/>
            <w:tcBorders>
              <w:left w:val="single" w:sz="8" w:space="0" w:color="000000"/>
              <w:right w:val="single" w:sz="8" w:space="0" w:color="000000"/>
            </w:tcBorders>
            <w:vAlign w:val="center"/>
            <w:hideMark/>
          </w:tcPr>
          <w:p w14:paraId="0D14EB62" w14:textId="77777777" w:rsidR="000B6128" w:rsidRPr="00731FE2" w:rsidRDefault="000B6128" w:rsidP="000B6128">
            <w:pPr>
              <w:spacing w:line="240" w:lineRule="auto"/>
              <w:ind w:firstLine="0"/>
              <w:jc w:val="left"/>
              <w:rPr>
                <w:rFonts w:ascii="Times New Roman" w:eastAsia="Times New Roman" w:hAnsi="Times New Roman" w:cs="Times New Roman"/>
                <w:sz w:val="22"/>
                <w:lang w:eastAsia="ru-RU"/>
              </w:rPr>
            </w:pPr>
          </w:p>
        </w:tc>
        <w:tc>
          <w:tcPr>
            <w:tcW w:w="3417" w:type="dxa"/>
            <w:tcBorders>
              <w:top w:val="nil"/>
              <w:left w:val="nil"/>
              <w:bottom w:val="single" w:sz="8" w:space="0" w:color="000000"/>
              <w:right w:val="single" w:sz="8" w:space="0" w:color="000000"/>
            </w:tcBorders>
            <w:vAlign w:val="center"/>
            <w:hideMark/>
          </w:tcPr>
          <w:p w14:paraId="7696C85E" w14:textId="1593E9DD" w:rsidR="000B6128" w:rsidRPr="00731FE2" w:rsidRDefault="000B6128" w:rsidP="000B6128">
            <w:pPr>
              <w:spacing w:line="240" w:lineRule="auto"/>
              <w:ind w:firstLine="0"/>
              <w:rPr>
                <w:rFonts w:ascii="Times New Roman" w:eastAsia="Times New Roman" w:hAnsi="Times New Roman" w:cs="Times New Roman"/>
                <w:color w:val="000000"/>
                <w:sz w:val="22"/>
                <w:lang w:eastAsia="ru-RU"/>
              </w:rPr>
            </w:pPr>
            <w:r w:rsidRPr="00731FE2">
              <w:rPr>
                <w:rFonts w:ascii="Times New Roman" w:eastAsia="Times New Roman" w:hAnsi="Times New Roman" w:cs="Times New Roman"/>
                <w:color w:val="000000"/>
                <w:sz w:val="22"/>
                <w:lang w:eastAsia="ru-RU"/>
              </w:rPr>
              <w:t>Общественно-деловые зоны</w:t>
            </w:r>
          </w:p>
        </w:tc>
        <w:tc>
          <w:tcPr>
            <w:tcW w:w="1525" w:type="dxa"/>
            <w:tcBorders>
              <w:top w:val="nil"/>
              <w:left w:val="nil"/>
              <w:bottom w:val="single" w:sz="8" w:space="0" w:color="000000"/>
              <w:right w:val="single" w:sz="8" w:space="0" w:color="000000"/>
            </w:tcBorders>
            <w:vAlign w:val="center"/>
            <w:hideMark/>
          </w:tcPr>
          <w:p w14:paraId="1191C014" w14:textId="46A21E7B"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hAnsi="Times New Roman" w:cs="Times New Roman"/>
                <w:color w:val="000000"/>
                <w:sz w:val="22"/>
              </w:rPr>
              <w:t>га</w:t>
            </w:r>
          </w:p>
        </w:tc>
        <w:tc>
          <w:tcPr>
            <w:tcW w:w="1766" w:type="dxa"/>
            <w:tcBorders>
              <w:top w:val="nil"/>
              <w:left w:val="nil"/>
              <w:bottom w:val="single" w:sz="8" w:space="0" w:color="000000"/>
              <w:right w:val="single" w:sz="8" w:space="0" w:color="000000"/>
            </w:tcBorders>
            <w:vAlign w:val="center"/>
            <w:hideMark/>
          </w:tcPr>
          <w:p w14:paraId="1F82718B" w14:textId="220DB74F" w:rsidR="000B6128" w:rsidRPr="00731FE2" w:rsidRDefault="000B6128" w:rsidP="000B6128">
            <w:pPr>
              <w:spacing w:line="240" w:lineRule="auto"/>
              <w:ind w:firstLine="0"/>
              <w:jc w:val="center"/>
              <w:rPr>
                <w:rFonts w:ascii="Times New Roman" w:eastAsia="Times New Roman" w:hAnsi="Times New Roman" w:cs="Times New Roman"/>
                <w:color w:val="000000"/>
                <w:sz w:val="22"/>
                <w:lang w:eastAsia="ru-RU"/>
              </w:rPr>
            </w:pPr>
            <w:r w:rsidRPr="00731FE2">
              <w:rPr>
                <w:rFonts w:ascii="Times New Roman" w:hAnsi="Times New Roman" w:cs="Times New Roman"/>
                <w:color w:val="000000"/>
                <w:sz w:val="22"/>
              </w:rPr>
              <w:t>0,00</w:t>
            </w:r>
          </w:p>
        </w:tc>
        <w:tc>
          <w:tcPr>
            <w:tcW w:w="1766" w:type="dxa"/>
            <w:tcBorders>
              <w:top w:val="nil"/>
              <w:left w:val="nil"/>
              <w:bottom w:val="single" w:sz="8" w:space="0" w:color="000000"/>
              <w:right w:val="single" w:sz="8" w:space="0" w:color="000000"/>
            </w:tcBorders>
            <w:vAlign w:val="center"/>
            <w:hideMark/>
          </w:tcPr>
          <w:p w14:paraId="6A4AB6C3" w14:textId="01F10C21" w:rsidR="000B6128" w:rsidRPr="00731FE2" w:rsidRDefault="000B6128" w:rsidP="000B6128">
            <w:pPr>
              <w:spacing w:line="240" w:lineRule="auto"/>
              <w:ind w:firstLine="0"/>
              <w:jc w:val="center"/>
              <w:rPr>
                <w:rFonts w:ascii="Times New Roman" w:eastAsia="Times New Roman" w:hAnsi="Times New Roman" w:cs="Times New Roman"/>
                <w:color w:val="000000"/>
                <w:sz w:val="22"/>
                <w:lang w:eastAsia="ru-RU"/>
              </w:rPr>
            </w:pPr>
            <w:r w:rsidRPr="00731FE2">
              <w:rPr>
                <w:rFonts w:ascii="Times New Roman" w:hAnsi="Times New Roman" w:cs="Times New Roman"/>
                <w:color w:val="000000"/>
                <w:sz w:val="22"/>
              </w:rPr>
              <w:t>0,06</w:t>
            </w:r>
          </w:p>
        </w:tc>
      </w:tr>
      <w:tr w:rsidR="000B6128" w:rsidRPr="00731FE2" w14:paraId="0CB1B4F0" w14:textId="77777777" w:rsidTr="00FE28EA">
        <w:trPr>
          <w:trHeight w:val="58"/>
          <w:tblCellSpacing w:w="0" w:type="dxa"/>
        </w:trPr>
        <w:tc>
          <w:tcPr>
            <w:tcW w:w="0" w:type="auto"/>
            <w:vMerge/>
            <w:tcBorders>
              <w:left w:val="single" w:sz="8" w:space="0" w:color="000000"/>
              <w:right w:val="single" w:sz="8" w:space="0" w:color="000000"/>
            </w:tcBorders>
            <w:vAlign w:val="center"/>
            <w:hideMark/>
          </w:tcPr>
          <w:p w14:paraId="2332E612" w14:textId="77777777" w:rsidR="000B6128" w:rsidRPr="00731FE2" w:rsidRDefault="000B6128" w:rsidP="000B6128">
            <w:pPr>
              <w:spacing w:line="240" w:lineRule="auto"/>
              <w:ind w:firstLine="0"/>
              <w:jc w:val="left"/>
              <w:rPr>
                <w:rFonts w:ascii="Times New Roman" w:eastAsia="Times New Roman" w:hAnsi="Times New Roman" w:cs="Times New Roman"/>
                <w:sz w:val="22"/>
                <w:lang w:eastAsia="ru-RU"/>
              </w:rPr>
            </w:pPr>
          </w:p>
        </w:tc>
        <w:tc>
          <w:tcPr>
            <w:tcW w:w="3417" w:type="dxa"/>
            <w:tcBorders>
              <w:top w:val="nil"/>
              <w:left w:val="nil"/>
              <w:bottom w:val="single" w:sz="8" w:space="0" w:color="000000"/>
              <w:right w:val="single" w:sz="8" w:space="0" w:color="000000"/>
            </w:tcBorders>
            <w:vAlign w:val="center"/>
            <w:hideMark/>
          </w:tcPr>
          <w:p w14:paraId="72B0F7E9" w14:textId="7F71B768" w:rsidR="000B6128" w:rsidRPr="00731FE2" w:rsidRDefault="000B6128" w:rsidP="000B6128">
            <w:pPr>
              <w:spacing w:line="240" w:lineRule="auto"/>
              <w:ind w:firstLine="0"/>
              <w:rPr>
                <w:rFonts w:ascii="Times New Roman" w:eastAsia="Times New Roman" w:hAnsi="Times New Roman" w:cs="Times New Roman"/>
                <w:b/>
                <w:color w:val="000000"/>
                <w:sz w:val="22"/>
                <w:lang w:eastAsia="ru-RU"/>
              </w:rPr>
            </w:pPr>
            <w:r w:rsidRPr="00731FE2">
              <w:rPr>
                <w:rFonts w:ascii="Times New Roman" w:eastAsia="Times New Roman" w:hAnsi="Times New Roman" w:cs="Times New Roman"/>
                <w:b/>
                <w:color w:val="000000"/>
                <w:sz w:val="22"/>
                <w:lang w:eastAsia="ru-RU"/>
              </w:rPr>
              <w:t>Зоны производственного, инженерного и транспортного использования, в том числе:</w:t>
            </w:r>
          </w:p>
        </w:tc>
        <w:tc>
          <w:tcPr>
            <w:tcW w:w="1525" w:type="dxa"/>
            <w:tcBorders>
              <w:top w:val="nil"/>
              <w:left w:val="nil"/>
              <w:bottom w:val="single" w:sz="8" w:space="0" w:color="000000"/>
              <w:right w:val="single" w:sz="8" w:space="0" w:color="000000"/>
            </w:tcBorders>
            <w:vAlign w:val="center"/>
            <w:hideMark/>
          </w:tcPr>
          <w:p w14:paraId="0A238867" w14:textId="3E17745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hAnsi="Times New Roman" w:cs="Times New Roman"/>
                <w:b/>
                <w:bCs/>
                <w:color w:val="000000"/>
                <w:sz w:val="22"/>
              </w:rPr>
              <w:t>га</w:t>
            </w:r>
          </w:p>
        </w:tc>
        <w:tc>
          <w:tcPr>
            <w:tcW w:w="1766" w:type="dxa"/>
            <w:tcBorders>
              <w:top w:val="nil"/>
              <w:left w:val="nil"/>
              <w:bottom w:val="single" w:sz="8" w:space="0" w:color="000000"/>
              <w:right w:val="single" w:sz="8" w:space="0" w:color="000000"/>
            </w:tcBorders>
            <w:vAlign w:val="center"/>
            <w:hideMark/>
          </w:tcPr>
          <w:p w14:paraId="10349A7B" w14:textId="64D2F9C9" w:rsidR="000B6128" w:rsidRPr="00731FE2" w:rsidRDefault="000B6128" w:rsidP="000B6128">
            <w:pPr>
              <w:spacing w:line="240" w:lineRule="auto"/>
              <w:ind w:firstLine="0"/>
              <w:jc w:val="center"/>
              <w:rPr>
                <w:rFonts w:ascii="Times New Roman" w:eastAsia="Times New Roman" w:hAnsi="Times New Roman" w:cs="Times New Roman"/>
                <w:color w:val="000000"/>
                <w:sz w:val="22"/>
                <w:lang w:eastAsia="ru-RU"/>
              </w:rPr>
            </w:pPr>
            <w:r w:rsidRPr="00731FE2">
              <w:rPr>
                <w:rFonts w:ascii="Times New Roman" w:hAnsi="Times New Roman" w:cs="Times New Roman"/>
                <w:b/>
                <w:bCs/>
                <w:color w:val="000000"/>
                <w:sz w:val="22"/>
              </w:rPr>
              <w:t>2,42</w:t>
            </w:r>
          </w:p>
        </w:tc>
        <w:tc>
          <w:tcPr>
            <w:tcW w:w="1766" w:type="dxa"/>
            <w:tcBorders>
              <w:top w:val="nil"/>
              <w:left w:val="nil"/>
              <w:bottom w:val="single" w:sz="8" w:space="0" w:color="000000"/>
              <w:right w:val="single" w:sz="8" w:space="0" w:color="000000"/>
            </w:tcBorders>
            <w:vAlign w:val="center"/>
            <w:hideMark/>
          </w:tcPr>
          <w:p w14:paraId="4D1729F7" w14:textId="12A34295" w:rsidR="000B6128" w:rsidRPr="00731FE2" w:rsidRDefault="000B6128" w:rsidP="000B6128">
            <w:pPr>
              <w:spacing w:line="240" w:lineRule="auto"/>
              <w:ind w:firstLine="0"/>
              <w:jc w:val="center"/>
              <w:rPr>
                <w:rFonts w:ascii="Times New Roman" w:eastAsia="Times New Roman" w:hAnsi="Times New Roman" w:cs="Times New Roman"/>
                <w:color w:val="000000"/>
                <w:sz w:val="22"/>
                <w:lang w:eastAsia="ru-RU"/>
              </w:rPr>
            </w:pPr>
            <w:r w:rsidRPr="00731FE2">
              <w:rPr>
                <w:rFonts w:ascii="Times New Roman" w:hAnsi="Times New Roman" w:cs="Times New Roman"/>
                <w:b/>
                <w:bCs/>
                <w:color w:val="000000"/>
                <w:sz w:val="22"/>
              </w:rPr>
              <w:t>2,42</w:t>
            </w:r>
          </w:p>
        </w:tc>
      </w:tr>
      <w:tr w:rsidR="000B6128" w:rsidRPr="00731FE2" w14:paraId="445F0C64" w14:textId="77777777" w:rsidTr="00FE28EA">
        <w:trPr>
          <w:trHeight w:val="58"/>
          <w:tblCellSpacing w:w="0" w:type="dxa"/>
        </w:trPr>
        <w:tc>
          <w:tcPr>
            <w:tcW w:w="0" w:type="auto"/>
            <w:vMerge/>
            <w:tcBorders>
              <w:left w:val="single" w:sz="8" w:space="0" w:color="000000"/>
              <w:right w:val="single" w:sz="8" w:space="0" w:color="000000"/>
            </w:tcBorders>
            <w:vAlign w:val="center"/>
            <w:hideMark/>
          </w:tcPr>
          <w:p w14:paraId="18770440" w14:textId="77777777" w:rsidR="000B6128" w:rsidRPr="00731FE2" w:rsidRDefault="000B6128" w:rsidP="000B6128">
            <w:pPr>
              <w:spacing w:line="240" w:lineRule="auto"/>
              <w:ind w:firstLine="0"/>
              <w:jc w:val="left"/>
              <w:rPr>
                <w:rFonts w:ascii="Times New Roman" w:eastAsia="Times New Roman" w:hAnsi="Times New Roman" w:cs="Times New Roman"/>
                <w:sz w:val="22"/>
                <w:lang w:eastAsia="ru-RU"/>
              </w:rPr>
            </w:pPr>
          </w:p>
        </w:tc>
        <w:tc>
          <w:tcPr>
            <w:tcW w:w="3417" w:type="dxa"/>
            <w:tcBorders>
              <w:top w:val="nil"/>
              <w:left w:val="nil"/>
              <w:bottom w:val="single" w:sz="8" w:space="0" w:color="000000"/>
              <w:right w:val="single" w:sz="8" w:space="0" w:color="000000"/>
            </w:tcBorders>
            <w:vAlign w:val="center"/>
            <w:hideMark/>
          </w:tcPr>
          <w:p w14:paraId="28EAD368" w14:textId="10BF5545" w:rsidR="000B6128" w:rsidRPr="00731FE2" w:rsidRDefault="000B6128" w:rsidP="000B6128">
            <w:pPr>
              <w:spacing w:line="240" w:lineRule="auto"/>
              <w:ind w:firstLine="0"/>
              <w:rPr>
                <w:rFonts w:ascii="Times New Roman" w:eastAsia="Times New Roman" w:hAnsi="Times New Roman" w:cs="Times New Roman"/>
                <w:color w:val="000000"/>
                <w:sz w:val="22"/>
                <w:lang w:eastAsia="ru-RU"/>
              </w:rPr>
            </w:pPr>
            <w:r w:rsidRPr="00731FE2">
              <w:rPr>
                <w:rFonts w:ascii="Times New Roman" w:eastAsia="Times New Roman" w:hAnsi="Times New Roman" w:cs="Times New Roman"/>
                <w:color w:val="000000"/>
                <w:sz w:val="22"/>
                <w:lang w:eastAsia="ru-RU"/>
              </w:rPr>
              <w:t>Зона транспортной инфраструктуры</w:t>
            </w:r>
          </w:p>
        </w:tc>
        <w:tc>
          <w:tcPr>
            <w:tcW w:w="1525" w:type="dxa"/>
            <w:tcBorders>
              <w:top w:val="nil"/>
              <w:left w:val="nil"/>
              <w:bottom w:val="single" w:sz="8" w:space="0" w:color="000000"/>
              <w:right w:val="single" w:sz="8" w:space="0" w:color="000000"/>
            </w:tcBorders>
            <w:vAlign w:val="center"/>
            <w:hideMark/>
          </w:tcPr>
          <w:p w14:paraId="53BD138C" w14:textId="3213985E"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hAnsi="Times New Roman" w:cs="Times New Roman"/>
                <w:color w:val="000000"/>
                <w:sz w:val="22"/>
              </w:rPr>
              <w:t>га</w:t>
            </w:r>
          </w:p>
        </w:tc>
        <w:tc>
          <w:tcPr>
            <w:tcW w:w="1766" w:type="dxa"/>
            <w:tcBorders>
              <w:top w:val="nil"/>
              <w:left w:val="nil"/>
              <w:bottom w:val="single" w:sz="8" w:space="0" w:color="000000"/>
              <w:right w:val="single" w:sz="8" w:space="0" w:color="000000"/>
            </w:tcBorders>
            <w:vAlign w:val="center"/>
            <w:hideMark/>
          </w:tcPr>
          <w:p w14:paraId="17A3C8BD" w14:textId="20587164" w:rsidR="000B6128" w:rsidRPr="00731FE2" w:rsidRDefault="000B6128" w:rsidP="000B6128">
            <w:pPr>
              <w:spacing w:line="240" w:lineRule="auto"/>
              <w:ind w:firstLine="0"/>
              <w:jc w:val="center"/>
              <w:rPr>
                <w:rFonts w:ascii="Times New Roman" w:eastAsia="Times New Roman" w:hAnsi="Times New Roman" w:cs="Times New Roman"/>
                <w:color w:val="000000"/>
                <w:sz w:val="22"/>
                <w:lang w:eastAsia="ru-RU"/>
              </w:rPr>
            </w:pPr>
            <w:r w:rsidRPr="00731FE2">
              <w:rPr>
                <w:rFonts w:ascii="Times New Roman" w:hAnsi="Times New Roman" w:cs="Times New Roman"/>
                <w:color w:val="000000"/>
                <w:sz w:val="22"/>
              </w:rPr>
              <w:t>2,42</w:t>
            </w:r>
          </w:p>
        </w:tc>
        <w:tc>
          <w:tcPr>
            <w:tcW w:w="1766" w:type="dxa"/>
            <w:tcBorders>
              <w:top w:val="nil"/>
              <w:left w:val="nil"/>
              <w:bottom w:val="single" w:sz="8" w:space="0" w:color="000000"/>
              <w:right w:val="single" w:sz="8" w:space="0" w:color="000000"/>
            </w:tcBorders>
            <w:vAlign w:val="center"/>
            <w:hideMark/>
          </w:tcPr>
          <w:p w14:paraId="0158BD33" w14:textId="1333F86E" w:rsidR="000B6128" w:rsidRPr="00731FE2" w:rsidRDefault="000B6128" w:rsidP="000B6128">
            <w:pPr>
              <w:spacing w:line="240" w:lineRule="auto"/>
              <w:ind w:firstLine="0"/>
              <w:jc w:val="center"/>
              <w:rPr>
                <w:rFonts w:ascii="Times New Roman" w:eastAsia="Times New Roman" w:hAnsi="Times New Roman" w:cs="Times New Roman"/>
                <w:color w:val="000000"/>
                <w:sz w:val="22"/>
                <w:lang w:eastAsia="ru-RU"/>
              </w:rPr>
            </w:pPr>
            <w:r w:rsidRPr="00731FE2">
              <w:rPr>
                <w:rFonts w:ascii="Times New Roman" w:hAnsi="Times New Roman" w:cs="Times New Roman"/>
                <w:color w:val="000000"/>
                <w:sz w:val="22"/>
              </w:rPr>
              <w:t>2,42</w:t>
            </w:r>
          </w:p>
        </w:tc>
      </w:tr>
      <w:tr w:rsidR="000B6128" w:rsidRPr="00731FE2" w14:paraId="273A7F90" w14:textId="77777777" w:rsidTr="00FE28EA">
        <w:trPr>
          <w:trHeight w:val="58"/>
          <w:tblCellSpacing w:w="0" w:type="dxa"/>
        </w:trPr>
        <w:tc>
          <w:tcPr>
            <w:tcW w:w="0" w:type="auto"/>
            <w:vMerge/>
            <w:tcBorders>
              <w:left w:val="single" w:sz="8" w:space="0" w:color="000000"/>
              <w:right w:val="single" w:sz="8" w:space="0" w:color="000000"/>
            </w:tcBorders>
            <w:vAlign w:val="center"/>
          </w:tcPr>
          <w:p w14:paraId="0D92F6EA" w14:textId="77777777" w:rsidR="000B6128" w:rsidRPr="00731FE2" w:rsidRDefault="000B6128" w:rsidP="000B6128">
            <w:pPr>
              <w:spacing w:line="240" w:lineRule="auto"/>
              <w:ind w:firstLine="0"/>
              <w:jc w:val="left"/>
              <w:rPr>
                <w:rFonts w:ascii="Times New Roman" w:eastAsia="Times New Roman" w:hAnsi="Times New Roman" w:cs="Times New Roman"/>
                <w:sz w:val="22"/>
                <w:lang w:eastAsia="ru-RU"/>
              </w:rPr>
            </w:pPr>
          </w:p>
        </w:tc>
        <w:tc>
          <w:tcPr>
            <w:tcW w:w="3417" w:type="dxa"/>
            <w:tcBorders>
              <w:top w:val="nil"/>
              <w:left w:val="nil"/>
              <w:bottom w:val="single" w:sz="8" w:space="0" w:color="000000"/>
              <w:right w:val="single" w:sz="8" w:space="0" w:color="000000"/>
            </w:tcBorders>
            <w:vAlign w:val="center"/>
          </w:tcPr>
          <w:p w14:paraId="5A1736B7" w14:textId="4BCE4830" w:rsidR="000B6128" w:rsidRPr="00731FE2" w:rsidRDefault="000B6128" w:rsidP="000B6128">
            <w:pPr>
              <w:spacing w:line="240" w:lineRule="auto"/>
              <w:ind w:firstLine="0"/>
              <w:rPr>
                <w:rFonts w:ascii="Times New Roman" w:eastAsia="Times New Roman" w:hAnsi="Times New Roman" w:cs="Times New Roman"/>
                <w:b/>
                <w:color w:val="000000"/>
                <w:sz w:val="22"/>
                <w:lang w:eastAsia="ru-RU"/>
              </w:rPr>
            </w:pPr>
            <w:r w:rsidRPr="00731FE2">
              <w:rPr>
                <w:rFonts w:ascii="Times New Roman" w:eastAsia="Times New Roman" w:hAnsi="Times New Roman" w:cs="Times New Roman"/>
                <w:b/>
                <w:color w:val="000000"/>
                <w:sz w:val="22"/>
                <w:lang w:eastAsia="ru-RU"/>
              </w:rPr>
              <w:t>Зона рекреационного использования, в том числе:</w:t>
            </w:r>
          </w:p>
        </w:tc>
        <w:tc>
          <w:tcPr>
            <w:tcW w:w="1525" w:type="dxa"/>
            <w:tcBorders>
              <w:top w:val="nil"/>
              <w:left w:val="nil"/>
              <w:bottom w:val="single" w:sz="8" w:space="0" w:color="000000"/>
              <w:right w:val="single" w:sz="8" w:space="0" w:color="000000"/>
            </w:tcBorders>
            <w:vAlign w:val="center"/>
          </w:tcPr>
          <w:p w14:paraId="479ADDCD" w14:textId="43B42411" w:rsidR="000B6128" w:rsidRPr="00731FE2" w:rsidRDefault="000B6128" w:rsidP="000B6128">
            <w:pPr>
              <w:spacing w:line="240" w:lineRule="auto"/>
              <w:ind w:firstLine="0"/>
              <w:jc w:val="center"/>
              <w:rPr>
                <w:rFonts w:ascii="Times New Roman" w:eastAsia="Times New Roman" w:hAnsi="Times New Roman" w:cs="Times New Roman"/>
                <w:color w:val="000000"/>
                <w:sz w:val="22"/>
                <w:lang w:eastAsia="ru-RU"/>
              </w:rPr>
            </w:pPr>
            <w:r w:rsidRPr="00731FE2">
              <w:rPr>
                <w:rFonts w:ascii="Times New Roman" w:hAnsi="Times New Roman" w:cs="Times New Roman"/>
                <w:b/>
                <w:bCs/>
                <w:color w:val="000000"/>
                <w:sz w:val="22"/>
              </w:rPr>
              <w:t>га</w:t>
            </w:r>
          </w:p>
        </w:tc>
        <w:tc>
          <w:tcPr>
            <w:tcW w:w="1766" w:type="dxa"/>
            <w:tcBorders>
              <w:top w:val="nil"/>
              <w:left w:val="nil"/>
              <w:bottom w:val="single" w:sz="8" w:space="0" w:color="000000"/>
              <w:right w:val="single" w:sz="8" w:space="0" w:color="000000"/>
            </w:tcBorders>
            <w:vAlign w:val="center"/>
          </w:tcPr>
          <w:p w14:paraId="1B3BDAB7" w14:textId="70D876B7" w:rsidR="000B6128" w:rsidRPr="00731FE2" w:rsidRDefault="000B6128" w:rsidP="000B6128">
            <w:pPr>
              <w:spacing w:line="240" w:lineRule="auto"/>
              <w:ind w:firstLine="0"/>
              <w:jc w:val="center"/>
              <w:rPr>
                <w:rFonts w:ascii="Times New Roman" w:eastAsia="Times New Roman" w:hAnsi="Times New Roman" w:cs="Times New Roman"/>
                <w:color w:val="000000"/>
                <w:sz w:val="22"/>
                <w:lang w:eastAsia="ru-RU"/>
              </w:rPr>
            </w:pPr>
            <w:r w:rsidRPr="00731FE2">
              <w:rPr>
                <w:rFonts w:ascii="Times New Roman" w:hAnsi="Times New Roman" w:cs="Times New Roman"/>
                <w:b/>
                <w:bCs/>
                <w:color w:val="000000"/>
                <w:sz w:val="22"/>
              </w:rPr>
              <w:t>5,07</w:t>
            </w:r>
          </w:p>
        </w:tc>
        <w:tc>
          <w:tcPr>
            <w:tcW w:w="1766" w:type="dxa"/>
            <w:tcBorders>
              <w:top w:val="nil"/>
              <w:left w:val="nil"/>
              <w:bottom w:val="single" w:sz="8" w:space="0" w:color="000000"/>
              <w:right w:val="single" w:sz="8" w:space="0" w:color="000000"/>
            </w:tcBorders>
            <w:vAlign w:val="center"/>
          </w:tcPr>
          <w:p w14:paraId="62425EC4" w14:textId="3B4F42D1" w:rsidR="000B6128" w:rsidRPr="00731FE2" w:rsidRDefault="000B6128" w:rsidP="000B6128">
            <w:pPr>
              <w:spacing w:line="240" w:lineRule="auto"/>
              <w:ind w:firstLine="0"/>
              <w:jc w:val="center"/>
              <w:rPr>
                <w:rFonts w:ascii="Times New Roman" w:eastAsia="Times New Roman" w:hAnsi="Times New Roman" w:cs="Times New Roman"/>
                <w:color w:val="000000"/>
                <w:sz w:val="22"/>
                <w:lang w:eastAsia="ru-RU"/>
              </w:rPr>
            </w:pPr>
            <w:r w:rsidRPr="00731FE2">
              <w:rPr>
                <w:rFonts w:ascii="Times New Roman" w:hAnsi="Times New Roman" w:cs="Times New Roman"/>
                <w:b/>
                <w:bCs/>
                <w:color w:val="000000"/>
                <w:sz w:val="22"/>
              </w:rPr>
              <w:t>5,07</w:t>
            </w:r>
          </w:p>
        </w:tc>
      </w:tr>
      <w:tr w:rsidR="000B6128" w:rsidRPr="00731FE2" w14:paraId="52F2A893" w14:textId="77777777" w:rsidTr="00FE28EA">
        <w:trPr>
          <w:trHeight w:val="58"/>
          <w:tblCellSpacing w:w="0" w:type="dxa"/>
        </w:trPr>
        <w:tc>
          <w:tcPr>
            <w:tcW w:w="0" w:type="auto"/>
            <w:vMerge/>
            <w:tcBorders>
              <w:left w:val="single" w:sz="8" w:space="0" w:color="000000"/>
              <w:right w:val="single" w:sz="8" w:space="0" w:color="000000"/>
            </w:tcBorders>
            <w:vAlign w:val="center"/>
          </w:tcPr>
          <w:p w14:paraId="496A525C" w14:textId="77777777" w:rsidR="000B6128" w:rsidRPr="00731FE2" w:rsidRDefault="000B6128" w:rsidP="000B6128">
            <w:pPr>
              <w:spacing w:line="240" w:lineRule="auto"/>
              <w:ind w:firstLine="0"/>
              <w:jc w:val="left"/>
              <w:rPr>
                <w:rFonts w:ascii="Times New Roman" w:eastAsia="Times New Roman" w:hAnsi="Times New Roman" w:cs="Times New Roman"/>
                <w:sz w:val="22"/>
                <w:lang w:eastAsia="ru-RU"/>
              </w:rPr>
            </w:pPr>
          </w:p>
        </w:tc>
        <w:tc>
          <w:tcPr>
            <w:tcW w:w="3417" w:type="dxa"/>
            <w:tcBorders>
              <w:top w:val="nil"/>
              <w:left w:val="nil"/>
              <w:bottom w:val="single" w:sz="8" w:space="0" w:color="000000"/>
              <w:right w:val="single" w:sz="8" w:space="0" w:color="000000"/>
            </w:tcBorders>
            <w:vAlign w:val="center"/>
          </w:tcPr>
          <w:p w14:paraId="0EE673C8" w14:textId="6AC31AF9" w:rsidR="000B6128" w:rsidRPr="00731FE2" w:rsidRDefault="000B6128" w:rsidP="000B6128">
            <w:pPr>
              <w:spacing w:line="240" w:lineRule="auto"/>
              <w:ind w:firstLine="0"/>
              <w:rPr>
                <w:rFonts w:ascii="Times New Roman" w:eastAsia="Times New Roman" w:hAnsi="Times New Roman" w:cs="Times New Roman"/>
                <w:color w:val="000000"/>
                <w:sz w:val="22"/>
                <w:lang w:eastAsia="ru-RU"/>
              </w:rPr>
            </w:pPr>
            <w:r w:rsidRPr="00731FE2">
              <w:rPr>
                <w:rFonts w:ascii="Times New Roman" w:eastAsia="Times New Roman" w:hAnsi="Times New Roman" w:cs="Times New Roman"/>
                <w:color w:val="000000"/>
                <w:sz w:val="22"/>
                <w:lang w:eastAsia="ru-RU"/>
              </w:rPr>
              <w:t>Зона рекреационного назначения</w:t>
            </w:r>
          </w:p>
        </w:tc>
        <w:tc>
          <w:tcPr>
            <w:tcW w:w="1525" w:type="dxa"/>
            <w:tcBorders>
              <w:top w:val="nil"/>
              <w:left w:val="nil"/>
              <w:bottom w:val="single" w:sz="8" w:space="0" w:color="000000"/>
              <w:right w:val="single" w:sz="8" w:space="0" w:color="000000"/>
            </w:tcBorders>
            <w:vAlign w:val="center"/>
          </w:tcPr>
          <w:p w14:paraId="39F489C3" w14:textId="59EEB47F" w:rsidR="000B6128" w:rsidRPr="00731FE2" w:rsidRDefault="000B6128" w:rsidP="000B6128">
            <w:pPr>
              <w:spacing w:line="240" w:lineRule="auto"/>
              <w:ind w:firstLine="0"/>
              <w:jc w:val="center"/>
              <w:rPr>
                <w:rFonts w:ascii="Times New Roman" w:eastAsia="Times New Roman" w:hAnsi="Times New Roman" w:cs="Times New Roman"/>
                <w:color w:val="000000"/>
                <w:sz w:val="22"/>
                <w:lang w:eastAsia="ru-RU"/>
              </w:rPr>
            </w:pPr>
            <w:r w:rsidRPr="00731FE2">
              <w:rPr>
                <w:rFonts w:ascii="Times New Roman" w:hAnsi="Times New Roman" w:cs="Times New Roman"/>
                <w:color w:val="000000"/>
                <w:sz w:val="22"/>
              </w:rPr>
              <w:t>га</w:t>
            </w:r>
          </w:p>
        </w:tc>
        <w:tc>
          <w:tcPr>
            <w:tcW w:w="1766" w:type="dxa"/>
            <w:tcBorders>
              <w:top w:val="nil"/>
              <w:left w:val="nil"/>
              <w:bottom w:val="single" w:sz="8" w:space="0" w:color="000000"/>
              <w:right w:val="single" w:sz="8" w:space="0" w:color="000000"/>
            </w:tcBorders>
            <w:vAlign w:val="center"/>
          </w:tcPr>
          <w:p w14:paraId="7555C9F7" w14:textId="358F5783" w:rsidR="000B6128" w:rsidRPr="00731FE2" w:rsidRDefault="000B6128" w:rsidP="000B6128">
            <w:pPr>
              <w:spacing w:line="240" w:lineRule="auto"/>
              <w:ind w:firstLine="0"/>
              <w:jc w:val="center"/>
              <w:rPr>
                <w:rFonts w:ascii="Times New Roman" w:eastAsia="Times New Roman" w:hAnsi="Times New Roman" w:cs="Times New Roman"/>
                <w:color w:val="000000"/>
                <w:sz w:val="22"/>
                <w:lang w:eastAsia="ru-RU"/>
              </w:rPr>
            </w:pPr>
            <w:r w:rsidRPr="00731FE2">
              <w:rPr>
                <w:rFonts w:ascii="Times New Roman" w:hAnsi="Times New Roman" w:cs="Times New Roman"/>
                <w:color w:val="000000"/>
                <w:sz w:val="22"/>
              </w:rPr>
              <w:t>4,51</w:t>
            </w:r>
          </w:p>
        </w:tc>
        <w:tc>
          <w:tcPr>
            <w:tcW w:w="1766" w:type="dxa"/>
            <w:tcBorders>
              <w:top w:val="nil"/>
              <w:left w:val="nil"/>
              <w:bottom w:val="single" w:sz="8" w:space="0" w:color="000000"/>
              <w:right w:val="single" w:sz="8" w:space="0" w:color="000000"/>
            </w:tcBorders>
            <w:vAlign w:val="center"/>
          </w:tcPr>
          <w:p w14:paraId="7731F78C" w14:textId="571CFB3B" w:rsidR="000B6128" w:rsidRPr="00731FE2" w:rsidRDefault="000B6128" w:rsidP="000B6128">
            <w:pPr>
              <w:spacing w:line="240" w:lineRule="auto"/>
              <w:ind w:firstLine="0"/>
              <w:jc w:val="center"/>
              <w:rPr>
                <w:rFonts w:ascii="Times New Roman" w:eastAsia="Times New Roman" w:hAnsi="Times New Roman" w:cs="Times New Roman"/>
                <w:color w:val="000000"/>
                <w:sz w:val="22"/>
                <w:lang w:eastAsia="ru-RU"/>
              </w:rPr>
            </w:pPr>
            <w:r w:rsidRPr="00731FE2">
              <w:rPr>
                <w:rFonts w:ascii="Times New Roman" w:hAnsi="Times New Roman" w:cs="Times New Roman"/>
                <w:color w:val="000000"/>
                <w:sz w:val="22"/>
              </w:rPr>
              <w:t>4,51</w:t>
            </w:r>
          </w:p>
        </w:tc>
      </w:tr>
      <w:tr w:rsidR="000B6128" w:rsidRPr="00731FE2" w14:paraId="6DC87BF5" w14:textId="77777777" w:rsidTr="00FE28EA">
        <w:trPr>
          <w:trHeight w:val="58"/>
          <w:tblCellSpacing w:w="0" w:type="dxa"/>
        </w:trPr>
        <w:tc>
          <w:tcPr>
            <w:tcW w:w="0" w:type="auto"/>
            <w:vMerge/>
            <w:tcBorders>
              <w:left w:val="single" w:sz="8" w:space="0" w:color="000000"/>
              <w:bottom w:val="single" w:sz="8" w:space="0" w:color="000000"/>
              <w:right w:val="single" w:sz="8" w:space="0" w:color="000000"/>
            </w:tcBorders>
            <w:vAlign w:val="center"/>
          </w:tcPr>
          <w:p w14:paraId="59E1429B" w14:textId="77777777" w:rsidR="000B6128" w:rsidRPr="00731FE2" w:rsidRDefault="000B6128" w:rsidP="000B6128">
            <w:pPr>
              <w:spacing w:line="240" w:lineRule="auto"/>
              <w:ind w:firstLine="0"/>
              <w:jc w:val="left"/>
              <w:rPr>
                <w:rFonts w:ascii="Times New Roman" w:eastAsia="Times New Roman" w:hAnsi="Times New Roman" w:cs="Times New Roman"/>
                <w:sz w:val="22"/>
                <w:lang w:eastAsia="ru-RU"/>
              </w:rPr>
            </w:pPr>
          </w:p>
        </w:tc>
        <w:tc>
          <w:tcPr>
            <w:tcW w:w="3417" w:type="dxa"/>
            <w:tcBorders>
              <w:top w:val="nil"/>
              <w:left w:val="nil"/>
              <w:bottom w:val="single" w:sz="8" w:space="0" w:color="000000"/>
              <w:right w:val="single" w:sz="8" w:space="0" w:color="000000"/>
            </w:tcBorders>
            <w:vAlign w:val="center"/>
          </w:tcPr>
          <w:p w14:paraId="31C51F75" w14:textId="0DDEDA95" w:rsidR="000B6128" w:rsidRPr="00731FE2" w:rsidRDefault="000B6128" w:rsidP="000B6128">
            <w:pPr>
              <w:spacing w:line="240" w:lineRule="auto"/>
              <w:ind w:firstLine="0"/>
              <w:rPr>
                <w:rFonts w:ascii="Times New Roman" w:eastAsia="Times New Roman" w:hAnsi="Times New Roman" w:cs="Times New Roman"/>
                <w:color w:val="000000"/>
                <w:sz w:val="22"/>
                <w:lang w:eastAsia="ru-RU"/>
              </w:rPr>
            </w:pPr>
            <w:r w:rsidRPr="00731FE2">
              <w:rPr>
                <w:rFonts w:ascii="Times New Roman" w:eastAsia="Times New Roman" w:hAnsi="Times New Roman" w:cs="Times New Roman"/>
                <w:color w:val="000000"/>
                <w:sz w:val="22"/>
                <w:lang w:eastAsia="ru-RU"/>
              </w:rPr>
              <w:t>Зона озелененных территорий общего пользования (лесопарки, парки, сады, скверы, бульвары, городские леса)</w:t>
            </w:r>
          </w:p>
        </w:tc>
        <w:tc>
          <w:tcPr>
            <w:tcW w:w="1525" w:type="dxa"/>
            <w:tcBorders>
              <w:top w:val="nil"/>
              <w:left w:val="nil"/>
              <w:bottom w:val="single" w:sz="8" w:space="0" w:color="000000"/>
              <w:right w:val="single" w:sz="8" w:space="0" w:color="000000"/>
            </w:tcBorders>
            <w:vAlign w:val="center"/>
          </w:tcPr>
          <w:p w14:paraId="72549B99" w14:textId="397438EE" w:rsidR="000B6128" w:rsidRPr="00731FE2" w:rsidRDefault="000B6128" w:rsidP="000B6128">
            <w:pPr>
              <w:spacing w:line="240" w:lineRule="auto"/>
              <w:ind w:firstLine="0"/>
              <w:jc w:val="center"/>
              <w:rPr>
                <w:rFonts w:ascii="Times New Roman" w:eastAsia="Times New Roman" w:hAnsi="Times New Roman" w:cs="Times New Roman"/>
                <w:color w:val="000000"/>
                <w:sz w:val="22"/>
                <w:lang w:eastAsia="ru-RU"/>
              </w:rPr>
            </w:pPr>
            <w:r w:rsidRPr="00731FE2">
              <w:rPr>
                <w:rFonts w:ascii="Times New Roman" w:hAnsi="Times New Roman" w:cs="Times New Roman"/>
                <w:color w:val="000000"/>
                <w:sz w:val="22"/>
              </w:rPr>
              <w:t>га</w:t>
            </w:r>
          </w:p>
        </w:tc>
        <w:tc>
          <w:tcPr>
            <w:tcW w:w="1766" w:type="dxa"/>
            <w:tcBorders>
              <w:top w:val="nil"/>
              <w:left w:val="nil"/>
              <w:bottom w:val="single" w:sz="8" w:space="0" w:color="000000"/>
              <w:right w:val="single" w:sz="8" w:space="0" w:color="000000"/>
            </w:tcBorders>
            <w:vAlign w:val="center"/>
          </w:tcPr>
          <w:p w14:paraId="32E24374" w14:textId="3AB8E225" w:rsidR="000B6128" w:rsidRPr="00731FE2" w:rsidRDefault="000B6128" w:rsidP="000B6128">
            <w:pPr>
              <w:spacing w:line="240" w:lineRule="auto"/>
              <w:ind w:firstLine="0"/>
              <w:jc w:val="center"/>
              <w:rPr>
                <w:rFonts w:ascii="Times New Roman" w:eastAsia="Times New Roman" w:hAnsi="Times New Roman" w:cs="Times New Roman"/>
                <w:color w:val="000000"/>
                <w:sz w:val="22"/>
                <w:lang w:eastAsia="ru-RU"/>
              </w:rPr>
            </w:pPr>
            <w:r w:rsidRPr="00731FE2">
              <w:rPr>
                <w:rFonts w:ascii="Times New Roman" w:hAnsi="Times New Roman" w:cs="Times New Roman"/>
                <w:color w:val="000000"/>
                <w:sz w:val="22"/>
              </w:rPr>
              <w:t>0,56</w:t>
            </w:r>
          </w:p>
        </w:tc>
        <w:tc>
          <w:tcPr>
            <w:tcW w:w="1766" w:type="dxa"/>
            <w:tcBorders>
              <w:top w:val="nil"/>
              <w:left w:val="nil"/>
              <w:bottom w:val="single" w:sz="8" w:space="0" w:color="000000"/>
              <w:right w:val="single" w:sz="8" w:space="0" w:color="000000"/>
            </w:tcBorders>
            <w:vAlign w:val="center"/>
          </w:tcPr>
          <w:p w14:paraId="2D42912F" w14:textId="61C87D8E" w:rsidR="000B6128" w:rsidRPr="00731FE2" w:rsidRDefault="000B6128" w:rsidP="000B6128">
            <w:pPr>
              <w:spacing w:line="240" w:lineRule="auto"/>
              <w:ind w:firstLine="0"/>
              <w:jc w:val="center"/>
              <w:rPr>
                <w:rFonts w:ascii="Times New Roman" w:eastAsia="Times New Roman" w:hAnsi="Times New Roman" w:cs="Times New Roman"/>
                <w:color w:val="000000"/>
                <w:sz w:val="22"/>
                <w:lang w:eastAsia="ru-RU"/>
              </w:rPr>
            </w:pPr>
            <w:r w:rsidRPr="00731FE2">
              <w:rPr>
                <w:rFonts w:ascii="Times New Roman" w:hAnsi="Times New Roman" w:cs="Times New Roman"/>
                <w:color w:val="000000"/>
                <w:sz w:val="22"/>
              </w:rPr>
              <w:t>0,56</w:t>
            </w:r>
          </w:p>
        </w:tc>
      </w:tr>
      <w:tr w:rsidR="000B6128" w:rsidRPr="00731FE2" w14:paraId="66B7FE80" w14:textId="77777777" w:rsidTr="00D154A0">
        <w:trPr>
          <w:trHeight w:val="58"/>
          <w:tblCellSpacing w:w="0" w:type="dxa"/>
        </w:trPr>
        <w:tc>
          <w:tcPr>
            <w:tcW w:w="9335" w:type="dxa"/>
            <w:gridSpan w:val="5"/>
            <w:tcBorders>
              <w:top w:val="nil"/>
              <w:left w:val="single" w:sz="8" w:space="0" w:color="000000"/>
              <w:bottom w:val="single" w:sz="8" w:space="0" w:color="000000"/>
              <w:right w:val="single" w:sz="8" w:space="0" w:color="000000"/>
            </w:tcBorders>
            <w:vAlign w:val="center"/>
            <w:hideMark/>
          </w:tcPr>
          <w:p w14:paraId="0D6B4162" w14:textId="7777777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b/>
                <w:bCs/>
                <w:color w:val="000000"/>
                <w:sz w:val="22"/>
                <w:lang w:eastAsia="ru-RU"/>
              </w:rPr>
              <w:t>п. Луначарский</w:t>
            </w:r>
          </w:p>
        </w:tc>
      </w:tr>
      <w:tr w:rsidR="000B6128" w:rsidRPr="00731FE2" w14:paraId="158B86F5" w14:textId="77777777" w:rsidTr="00743CB1">
        <w:trPr>
          <w:trHeight w:val="58"/>
          <w:tblCellSpacing w:w="0" w:type="dxa"/>
        </w:trPr>
        <w:tc>
          <w:tcPr>
            <w:tcW w:w="861" w:type="dxa"/>
            <w:vMerge w:val="restart"/>
            <w:tcBorders>
              <w:top w:val="nil"/>
              <w:left w:val="single" w:sz="8" w:space="0" w:color="000000"/>
              <w:bottom w:val="single" w:sz="8" w:space="0" w:color="000000"/>
              <w:right w:val="single" w:sz="8" w:space="0" w:color="000000"/>
            </w:tcBorders>
            <w:vAlign w:val="center"/>
            <w:hideMark/>
          </w:tcPr>
          <w:p w14:paraId="3BAB73A7" w14:textId="431DD79F"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b/>
                <w:bCs/>
                <w:color w:val="000000"/>
                <w:sz w:val="22"/>
                <w:lang w:eastAsia="ru-RU"/>
              </w:rPr>
              <w:t>1.1</w:t>
            </w:r>
            <w:r w:rsidR="00B043D3" w:rsidRPr="00731FE2">
              <w:rPr>
                <w:rFonts w:ascii="Times New Roman" w:eastAsia="Times New Roman" w:hAnsi="Times New Roman" w:cs="Times New Roman"/>
                <w:b/>
                <w:bCs/>
                <w:color w:val="000000"/>
                <w:sz w:val="22"/>
                <w:lang w:eastAsia="ru-RU"/>
              </w:rPr>
              <w:t>0</w:t>
            </w:r>
          </w:p>
        </w:tc>
        <w:tc>
          <w:tcPr>
            <w:tcW w:w="3417" w:type="dxa"/>
            <w:tcBorders>
              <w:top w:val="nil"/>
              <w:left w:val="nil"/>
              <w:bottom w:val="single" w:sz="8" w:space="0" w:color="000000"/>
              <w:right w:val="single" w:sz="8" w:space="0" w:color="000000"/>
            </w:tcBorders>
            <w:vAlign w:val="center"/>
            <w:hideMark/>
          </w:tcPr>
          <w:p w14:paraId="3B80B0E0" w14:textId="77777777" w:rsidR="000B6128" w:rsidRPr="00731FE2" w:rsidRDefault="000B6128" w:rsidP="000B6128">
            <w:pPr>
              <w:spacing w:line="240" w:lineRule="auto"/>
              <w:ind w:firstLine="0"/>
              <w:rPr>
                <w:rFonts w:ascii="Times New Roman" w:eastAsia="Times New Roman" w:hAnsi="Times New Roman" w:cs="Times New Roman"/>
                <w:sz w:val="22"/>
                <w:lang w:eastAsia="ru-RU"/>
              </w:rPr>
            </w:pPr>
            <w:r w:rsidRPr="00731FE2">
              <w:rPr>
                <w:rFonts w:ascii="Times New Roman" w:eastAsia="Times New Roman" w:hAnsi="Times New Roman" w:cs="Times New Roman"/>
                <w:b/>
                <w:bCs/>
                <w:color w:val="000000"/>
                <w:sz w:val="22"/>
                <w:lang w:eastAsia="ru-RU"/>
              </w:rPr>
              <w:t>Общая площадь земель населенных пунктов</w:t>
            </w:r>
          </w:p>
        </w:tc>
        <w:tc>
          <w:tcPr>
            <w:tcW w:w="1525" w:type="dxa"/>
            <w:tcBorders>
              <w:top w:val="nil"/>
              <w:left w:val="nil"/>
              <w:bottom w:val="single" w:sz="8" w:space="0" w:color="000000"/>
              <w:right w:val="single" w:sz="8" w:space="0" w:color="000000"/>
            </w:tcBorders>
            <w:vAlign w:val="center"/>
            <w:hideMark/>
          </w:tcPr>
          <w:p w14:paraId="530E47BB" w14:textId="7777777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b/>
                <w:bCs/>
                <w:color w:val="000000"/>
                <w:sz w:val="22"/>
                <w:lang w:eastAsia="ru-RU"/>
              </w:rPr>
              <w:t>га</w:t>
            </w:r>
          </w:p>
        </w:tc>
        <w:tc>
          <w:tcPr>
            <w:tcW w:w="1766" w:type="dxa"/>
            <w:tcBorders>
              <w:top w:val="nil"/>
              <w:left w:val="nil"/>
              <w:bottom w:val="single" w:sz="8" w:space="0" w:color="000000"/>
              <w:right w:val="single" w:sz="8" w:space="0" w:color="000000"/>
            </w:tcBorders>
            <w:vAlign w:val="center"/>
            <w:hideMark/>
          </w:tcPr>
          <w:p w14:paraId="65E2C046" w14:textId="7AD24091" w:rsidR="000B6128" w:rsidRPr="00731FE2" w:rsidRDefault="000B6128" w:rsidP="000B6128">
            <w:pPr>
              <w:spacing w:line="240" w:lineRule="auto"/>
              <w:ind w:firstLine="0"/>
              <w:jc w:val="center"/>
              <w:rPr>
                <w:rFonts w:ascii="Times New Roman" w:eastAsia="Times New Roman" w:hAnsi="Times New Roman" w:cs="Times New Roman"/>
                <w:b/>
                <w:bCs/>
                <w:sz w:val="22"/>
                <w:lang w:eastAsia="ru-RU"/>
              </w:rPr>
            </w:pPr>
            <w:r w:rsidRPr="00731FE2">
              <w:rPr>
                <w:rFonts w:ascii="Times New Roman" w:hAnsi="Times New Roman" w:cs="Times New Roman"/>
                <w:b/>
                <w:bCs/>
                <w:sz w:val="22"/>
              </w:rPr>
              <w:t>89,34</w:t>
            </w:r>
          </w:p>
        </w:tc>
        <w:tc>
          <w:tcPr>
            <w:tcW w:w="1766" w:type="dxa"/>
            <w:tcBorders>
              <w:top w:val="nil"/>
              <w:left w:val="nil"/>
              <w:bottom w:val="single" w:sz="8" w:space="0" w:color="000000"/>
              <w:right w:val="single" w:sz="8" w:space="0" w:color="000000"/>
            </w:tcBorders>
            <w:vAlign w:val="center"/>
            <w:hideMark/>
          </w:tcPr>
          <w:p w14:paraId="46F73A7C" w14:textId="05B9A721" w:rsidR="000B6128" w:rsidRPr="00731FE2" w:rsidRDefault="000B6128" w:rsidP="000B6128">
            <w:pPr>
              <w:spacing w:line="240" w:lineRule="auto"/>
              <w:ind w:firstLine="0"/>
              <w:jc w:val="center"/>
              <w:rPr>
                <w:rFonts w:ascii="Times New Roman" w:eastAsia="Times New Roman" w:hAnsi="Times New Roman" w:cs="Times New Roman"/>
                <w:b/>
                <w:bCs/>
                <w:sz w:val="22"/>
                <w:lang w:eastAsia="ru-RU"/>
              </w:rPr>
            </w:pPr>
            <w:r w:rsidRPr="00731FE2">
              <w:rPr>
                <w:rFonts w:ascii="Times New Roman" w:hAnsi="Times New Roman" w:cs="Times New Roman"/>
                <w:b/>
                <w:bCs/>
                <w:sz w:val="22"/>
              </w:rPr>
              <w:t>89,34</w:t>
            </w:r>
          </w:p>
        </w:tc>
      </w:tr>
      <w:tr w:rsidR="000B6128" w:rsidRPr="00731FE2" w14:paraId="6AAADAEC" w14:textId="77777777" w:rsidTr="00743CB1">
        <w:trPr>
          <w:trHeight w:val="58"/>
          <w:tblCellSpacing w:w="0" w:type="dxa"/>
        </w:trPr>
        <w:tc>
          <w:tcPr>
            <w:tcW w:w="0" w:type="auto"/>
            <w:vMerge/>
            <w:tcBorders>
              <w:top w:val="nil"/>
              <w:left w:val="single" w:sz="8" w:space="0" w:color="000000"/>
              <w:bottom w:val="single" w:sz="8" w:space="0" w:color="000000"/>
              <w:right w:val="single" w:sz="8" w:space="0" w:color="000000"/>
            </w:tcBorders>
            <w:vAlign w:val="center"/>
            <w:hideMark/>
          </w:tcPr>
          <w:p w14:paraId="24C52BAA" w14:textId="77777777" w:rsidR="000B6128" w:rsidRPr="00731FE2" w:rsidRDefault="000B6128" w:rsidP="000B6128">
            <w:pPr>
              <w:spacing w:line="240" w:lineRule="auto"/>
              <w:ind w:firstLine="0"/>
              <w:jc w:val="left"/>
              <w:rPr>
                <w:rFonts w:ascii="Times New Roman" w:eastAsia="Times New Roman" w:hAnsi="Times New Roman" w:cs="Times New Roman"/>
                <w:sz w:val="22"/>
                <w:lang w:eastAsia="ru-RU"/>
              </w:rPr>
            </w:pPr>
          </w:p>
        </w:tc>
        <w:tc>
          <w:tcPr>
            <w:tcW w:w="3417" w:type="dxa"/>
            <w:tcBorders>
              <w:top w:val="nil"/>
              <w:left w:val="nil"/>
              <w:bottom w:val="single" w:sz="8" w:space="0" w:color="000000"/>
              <w:right w:val="single" w:sz="8" w:space="0" w:color="000000"/>
            </w:tcBorders>
            <w:vAlign w:val="center"/>
            <w:hideMark/>
          </w:tcPr>
          <w:p w14:paraId="3B28D740" w14:textId="77777777" w:rsidR="000B6128" w:rsidRPr="00731FE2" w:rsidRDefault="000B6128" w:rsidP="000B6128">
            <w:pPr>
              <w:spacing w:line="240" w:lineRule="auto"/>
              <w:ind w:firstLine="0"/>
              <w:rPr>
                <w:rFonts w:ascii="Times New Roman" w:eastAsia="Times New Roman" w:hAnsi="Times New Roman" w:cs="Times New Roman"/>
                <w:sz w:val="22"/>
                <w:lang w:eastAsia="ru-RU"/>
              </w:rPr>
            </w:pPr>
            <w:r w:rsidRPr="00731FE2">
              <w:rPr>
                <w:rFonts w:ascii="Times New Roman" w:eastAsia="Times New Roman" w:hAnsi="Times New Roman" w:cs="Times New Roman"/>
                <w:b/>
                <w:bCs/>
                <w:color w:val="000000"/>
                <w:sz w:val="22"/>
                <w:lang w:eastAsia="ru-RU"/>
              </w:rPr>
              <w:t>Общая площадь функциональных зон (в границах пос. Луначарского)</w:t>
            </w:r>
          </w:p>
        </w:tc>
        <w:tc>
          <w:tcPr>
            <w:tcW w:w="1525" w:type="dxa"/>
            <w:tcBorders>
              <w:top w:val="nil"/>
              <w:left w:val="nil"/>
              <w:bottom w:val="single" w:sz="8" w:space="0" w:color="000000"/>
              <w:right w:val="single" w:sz="8" w:space="0" w:color="000000"/>
            </w:tcBorders>
            <w:vAlign w:val="center"/>
            <w:hideMark/>
          </w:tcPr>
          <w:p w14:paraId="28D67876" w14:textId="7777777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b/>
                <w:bCs/>
                <w:color w:val="000000"/>
                <w:sz w:val="22"/>
                <w:lang w:eastAsia="ru-RU"/>
              </w:rPr>
              <w:t>га</w:t>
            </w:r>
          </w:p>
        </w:tc>
        <w:tc>
          <w:tcPr>
            <w:tcW w:w="1766" w:type="dxa"/>
            <w:tcBorders>
              <w:top w:val="nil"/>
              <w:left w:val="nil"/>
              <w:bottom w:val="single" w:sz="8" w:space="0" w:color="000000"/>
              <w:right w:val="single" w:sz="8" w:space="0" w:color="000000"/>
            </w:tcBorders>
            <w:vAlign w:val="center"/>
            <w:hideMark/>
          </w:tcPr>
          <w:p w14:paraId="46D801E9" w14:textId="36290182" w:rsidR="000B6128" w:rsidRPr="00731FE2" w:rsidRDefault="000B6128" w:rsidP="000B6128">
            <w:pPr>
              <w:spacing w:line="240" w:lineRule="auto"/>
              <w:ind w:firstLine="0"/>
              <w:jc w:val="center"/>
              <w:rPr>
                <w:rFonts w:ascii="Times New Roman" w:eastAsia="Times New Roman" w:hAnsi="Times New Roman" w:cs="Times New Roman"/>
                <w:b/>
                <w:bCs/>
                <w:sz w:val="22"/>
                <w:lang w:eastAsia="ru-RU"/>
              </w:rPr>
            </w:pPr>
            <w:r w:rsidRPr="00731FE2">
              <w:rPr>
                <w:rFonts w:ascii="Times New Roman" w:hAnsi="Times New Roman" w:cs="Times New Roman"/>
                <w:b/>
                <w:bCs/>
                <w:sz w:val="22"/>
              </w:rPr>
              <w:t>89,34</w:t>
            </w:r>
          </w:p>
        </w:tc>
        <w:tc>
          <w:tcPr>
            <w:tcW w:w="1766" w:type="dxa"/>
            <w:tcBorders>
              <w:top w:val="nil"/>
              <w:left w:val="nil"/>
              <w:bottom w:val="single" w:sz="8" w:space="0" w:color="000000"/>
              <w:right w:val="single" w:sz="8" w:space="0" w:color="000000"/>
            </w:tcBorders>
            <w:vAlign w:val="center"/>
            <w:hideMark/>
          </w:tcPr>
          <w:p w14:paraId="67CE2694" w14:textId="4C30154C" w:rsidR="000B6128" w:rsidRPr="00731FE2" w:rsidRDefault="000B6128" w:rsidP="000B6128">
            <w:pPr>
              <w:spacing w:line="240" w:lineRule="auto"/>
              <w:ind w:firstLine="0"/>
              <w:jc w:val="center"/>
              <w:rPr>
                <w:rFonts w:ascii="Times New Roman" w:eastAsia="Times New Roman" w:hAnsi="Times New Roman" w:cs="Times New Roman"/>
                <w:b/>
                <w:bCs/>
                <w:sz w:val="22"/>
                <w:lang w:eastAsia="ru-RU"/>
              </w:rPr>
            </w:pPr>
            <w:r w:rsidRPr="00731FE2">
              <w:rPr>
                <w:rFonts w:ascii="Times New Roman" w:hAnsi="Times New Roman" w:cs="Times New Roman"/>
                <w:b/>
                <w:bCs/>
                <w:sz w:val="22"/>
              </w:rPr>
              <w:t>89,34</w:t>
            </w:r>
          </w:p>
        </w:tc>
      </w:tr>
      <w:tr w:rsidR="000B6128" w:rsidRPr="00731FE2" w14:paraId="04581F5A" w14:textId="77777777" w:rsidTr="00743CB1">
        <w:trPr>
          <w:trHeight w:val="58"/>
          <w:tblCellSpacing w:w="0" w:type="dxa"/>
        </w:trPr>
        <w:tc>
          <w:tcPr>
            <w:tcW w:w="0" w:type="auto"/>
            <w:vMerge/>
            <w:tcBorders>
              <w:top w:val="nil"/>
              <w:left w:val="single" w:sz="8" w:space="0" w:color="000000"/>
              <w:bottom w:val="single" w:sz="8" w:space="0" w:color="000000"/>
              <w:right w:val="single" w:sz="8" w:space="0" w:color="000000"/>
            </w:tcBorders>
            <w:vAlign w:val="center"/>
            <w:hideMark/>
          </w:tcPr>
          <w:p w14:paraId="379D83CD" w14:textId="77777777" w:rsidR="000B6128" w:rsidRPr="00731FE2" w:rsidRDefault="000B6128" w:rsidP="000B6128">
            <w:pPr>
              <w:spacing w:line="240" w:lineRule="auto"/>
              <w:ind w:firstLine="0"/>
              <w:jc w:val="left"/>
              <w:rPr>
                <w:rFonts w:ascii="Times New Roman" w:eastAsia="Times New Roman" w:hAnsi="Times New Roman" w:cs="Times New Roman"/>
                <w:sz w:val="22"/>
                <w:lang w:eastAsia="ru-RU"/>
              </w:rPr>
            </w:pPr>
          </w:p>
        </w:tc>
        <w:tc>
          <w:tcPr>
            <w:tcW w:w="3417" w:type="dxa"/>
            <w:tcBorders>
              <w:top w:val="nil"/>
              <w:left w:val="nil"/>
              <w:bottom w:val="single" w:sz="8" w:space="0" w:color="000000"/>
              <w:right w:val="single" w:sz="8" w:space="0" w:color="000000"/>
            </w:tcBorders>
            <w:vAlign w:val="center"/>
            <w:hideMark/>
          </w:tcPr>
          <w:p w14:paraId="30D610D0" w14:textId="77777777" w:rsidR="000B6128" w:rsidRPr="00731FE2" w:rsidRDefault="000B6128" w:rsidP="000B6128">
            <w:pPr>
              <w:spacing w:line="240" w:lineRule="auto"/>
              <w:ind w:firstLine="0"/>
              <w:rPr>
                <w:rFonts w:ascii="Times New Roman" w:eastAsia="Times New Roman" w:hAnsi="Times New Roman" w:cs="Times New Roman"/>
                <w:sz w:val="22"/>
                <w:lang w:eastAsia="ru-RU"/>
              </w:rPr>
            </w:pPr>
            <w:r w:rsidRPr="00731FE2">
              <w:rPr>
                <w:rFonts w:ascii="Times New Roman" w:eastAsia="Times New Roman" w:hAnsi="Times New Roman" w:cs="Times New Roman"/>
                <w:b/>
                <w:bCs/>
                <w:color w:val="000000"/>
                <w:sz w:val="22"/>
                <w:lang w:eastAsia="ru-RU"/>
              </w:rPr>
              <w:t xml:space="preserve">Жилые зоны, </w:t>
            </w:r>
            <w:r w:rsidRPr="00731FE2">
              <w:rPr>
                <w:rFonts w:ascii="Times New Roman" w:eastAsia="Times New Roman" w:hAnsi="Times New Roman" w:cs="Times New Roman"/>
                <w:color w:val="000000"/>
                <w:sz w:val="22"/>
                <w:lang w:eastAsia="ru-RU"/>
              </w:rPr>
              <w:t>в том числе:</w:t>
            </w:r>
          </w:p>
        </w:tc>
        <w:tc>
          <w:tcPr>
            <w:tcW w:w="1525" w:type="dxa"/>
            <w:tcBorders>
              <w:top w:val="nil"/>
              <w:left w:val="nil"/>
              <w:bottom w:val="single" w:sz="8" w:space="0" w:color="000000"/>
              <w:right w:val="single" w:sz="8" w:space="0" w:color="000000"/>
            </w:tcBorders>
            <w:vAlign w:val="center"/>
            <w:hideMark/>
          </w:tcPr>
          <w:p w14:paraId="1F4FBE07" w14:textId="7777777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b/>
                <w:bCs/>
                <w:color w:val="000000"/>
                <w:sz w:val="22"/>
                <w:lang w:eastAsia="ru-RU"/>
              </w:rPr>
              <w:t>га</w:t>
            </w:r>
          </w:p>
        </w:tc>
        <w:tc>
          <w:tcPr>
            <w:tcW w:w="1766" w:type="dxa"/>
            <w:tcBorders>
              <w:top w:val="nil"/>
              <w:left w:val="nil"/>
              <w:bottom w:val="single" w:sz="8" w:space="0" w:color="000000"/>
              <w:right w:val="single" w:sz="8" w:space="0" w:color="000000"/>
            </w:tcBorders>
            <w:vAlign w:val="center"/>
            <w:hideMark/>
          </w:tcPr>
          <w:p w14:paraId="5139CA70" w14:textId="092768D9"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hAnsi="Times New Roman" w:cs="Times New Roman"/>
                <w:b/>
                <w:sz w:val="22"/>
              </w:rPr>
              <w:t>79,45</w:t>
            </w:r>
          </w:p>
        </w:tc>
        <w:tc>
          <w:tcPr>
            <w:tcW w:w="1766" w:type="dxa"/>
            <w:tcBorders>
              <w:top w:val="nil"/>
              <w:left w:val="nil"/>
              <w:bottom w:val="single" w:sz="8" w:space="0" w:color="000000"/>
              <w:right w:val="single" w:sz="8" w:space="0" w:color="000000"/>
            </w:tcBorders>
            <w:vAlign w:val="center"/>
            <w:hideMark/>
          </w:tcPr>
          <w:p w14:paraId="311817DC" w14:textId="11971C7A"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hAnsi="Times New Roman" w:cs="Times New Roman"/>
                <w:b/>
                <w:sz w:val="22"/>
              </w:rPr>
              <w:t>79,05</w:t>
            </w:r>
          </w:p>
        </w:tc>
      </w:tr>
      <w:tr w:rsidR="000B6128" w:rsidRPr="00731FE2" w14:paraId="40E0E588" w14:textId="77777777" w:rsidTr="00743CB1">
        <w:trPr>
          <w:trHeight w:val="58"/>
          <w:tblCellSpacing w:w="0" w:type="dxa"/>
        </w:trPr>
        <w:tc>
          <w:tcPr>
            <w:tcW w:w="0" w:type="auto"/>
            <w:vMerge/>
            <w:tcBorders>
              <w:top w:val="nil"/>
              <w:left w:val="single" w:sz="8" w:space="0" w:color="000000"/>
              <w:bottom w:val="single" w:sz="8" w:space="0" w:color="000000"/>
              <w:right w:val="single" w:sz="8" w:space="0" w:color="000000"/>
            </w:tcBorders>
            <w:vAlign w:val="center"/>
            <w:hideMark/>
          </w:tcPr>
          <w:p w14:paraId="43B77DA9" w14:textId="77777777" w:rsidR="000B6128" w:rsidRPr="00731FE2" w:rsidRDefault="000B6128" w:rsidP="000B6128">
            <w:pPr>
              <w:spacing w:line="240" w:lineRule="auto"/>
              <w:ind w:firstLine="0"/>
              <w:jc w:val="left"/>
              <w:rPr>
                <w:rFonts w:ascii="Times New Roman" w:eastAsia="Times New Roman" w:hAnsi="Times New Roman" w:cs="Times New Roman"/>
                <w:sz w:val="22"/>
                <w:lang w:eastAsia="ru-RU"/>
              </w:rPr>
            </w:pPr>
          </w:p>
        </w:tc>
        <w:tc>
          <w:tcPr>
            <w:tcW w:w="3417" w:type="dxa"/>
            <w:tcBorders>
              <w:top w:val="nil"/>
              <w:left w:val="nil"/>
              <w:bottom w:val="single" w:sz="8" w:space="0" w:color="000000"/>
              <w:right w:val="single" w:sz="8" w:space="0" w:color="000000"/>
            </w:tcBorders>
            <w:vAlign w:val="center"/>
            <w:hideMark/>
          </w:tcPr>
          <w:p w14:paraId="715C9E8C" w14:textId="77777777" w:rsidR="000B6128" w:rsidRPr="00731FE2" w:rsidRDefault="000B6128" w:rsidP="000B6128">
            <w:pPr>
              <w:spacing w:line="240" w:lineRule="auto"/>
              <w:ind w:firstLine="0"/>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Зона застройки индивидуальными жилыми домами</w:t>
            </w:r>
          </w:p>
        </w:tc>
        <w:tc>
          <w:tcPr>
            <w:tcW w:w="1525" w:type="dxa"/>
            <w:tcBorders>
              <w:top w:val="nil"/>
              <w:left w:val="nil"/>
              <w:bottom w:val="single" w:sz="8" w:space="0" w:color="000000"/>
              <w:right w:val="single" w:sz="8" w:space="0" w:color="000000"/>
            </w:tcBorders>
            <w:vAlign w:val="center"/>
            <w:hideMark/>
          </w:tcPr>
          <w:p w14:paraId="093B5F1E" w14:textId="7777777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га</w:t>
            </w:r>
          </w:p>
        </w:tc>
        <w:tc>
          <w:tcPr>
            <w:tcW w:w="1766" w:type="dxa"/>
            <w:tcBorders>
              <w:top w:val="nil"/>
              <w:left w:val="nil"/>
              <w:bottom w:val="single" w:sz="8" w:space="0" w:color="000000"/>
              <w:right w:val="single" w:sz="8" w:space="0" w:color="000000"/>
            </w:tcBorders>
            <w:vAlign w:val="center"/>
            <w:hideMark/>
          </w:tcPr>
          <w:p w14:paraId="45BCB7EC" w14:textId="529AC7CC"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hAnsi="Times New Roman" w:cs="Times New Roman"/>
                <w:sz w:val="22"/>
              </w:rPr>
              <w:t>79,05</w:t>
            </w:r>
          </w:p>
        </w:tc>
        <w:tc>
          <w:tcPr>
            <w:tcW w:w="1766" w:type="dxa"/>
            <w:tcBorders>
              <w:top w:val="nil"/>
              <w:left w:val="nil"/>
              <w:bottom w:val="single" w:sz="8" w:space="0" w:color="000000"/>
              <w:right w:val="single" w:sz="8" w:space="0" w:color="000000"/>
            </w:tcBorders>
            <w:vAlign w:val="center"/>
            <w:hideMark/>
          </w:tcPr>
          <w:p w14:paraId="73E8B126" w14:textId="065E4D8A"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hAnsi="Times New Roman" w:cs="Times New Roman"/>
                <w:sz w:val="22"/>
              </w:rPr>
              <w:t>79,05</w:t>
            </w:r>
          </w:p>
        </w:tc>
      </w:tr>
      <w:tr w:rsidR="000B6128" w:rsidRPr="00731FE2" w14:paraId="35DE9DD5" w14:textId="77777777" w:rsidTr="00743CB1">
        <w:trPr>
          <w:trHeight w:val="58"/>
          <w:tblCellSpacing w:w="0" w:type="dxa"/>
        </w:trPr>
        <w:tc>
          <w:tcPr>
            <w:tcW w:w="0" w:type="auto"/>
            <w:vMerge/>
            <w:tcBorders>
              <w:top w:val="nil"/>
              <w:left w:val="single" w:sz="8" w:space="0" w:color="000000"/>
              <w:bottom w:val="single" w:sz="8" w:space="0" w:color="000000"/>
              <w:right w:val="single" w:sz="8" w:space="0" w:color="000000"/>
            </w:tcBorders>
            <w:vAlign w:val="center"/>
            <w:hideMark/>
          </w:tcPr>
          <w:p w14:paraId="0ED26D73" w14:textId="77777777" w:rsidR="000B6128" w:rsidRPr="00731FE2" w:rsidRDefault="000B6128" w:rsidP="000B6128">
            <w:pPr>
              <w:spacing w:line="240" w:lineRule="auto"/>
              <w:ind w:firstLine="0"/>
              <w:jc w:val="left"/>
              <w:rPr>
                <w:rFonts w:ascii="Times New Roman" w:eastAsia="Times New Roman" w:hAnsi="Times New Roman" w:cs="Times New Roman"/>
                <w:sz w:val="22"/>
                <w:lang w:eastAsia="ru-RU"/>
              </w:rPr>
            </w:pPr>
          </w:p>
        </w:tc>
        <w:tc>
          <w:tcPr>
            <w:tcW w:w="3417" w:type="dxa"/>
            <w:tcBorders>
              <w:top w:val="nil"/>
              <w:left w:val="nil"/>
              <w:bottom w:val="single" w:sz="8" w:space="0" w:color="000000"/>
              <w:right w:val="single" w:sz="8" w:space="0" w:color="000000"/>
            </w:tcBorders>
            <w:vAlign w:val="center"/>
            <w:hideMark/>
          </w:tcPr>
          <w:p w14:paraId="39BD7C7D" w14:textId="77777777" w:rsidR="000B6128" w:rsidRPr="00731FE2" w:rsidRDefault="000B6128" w:rsidP="000B6128">
            <w:pPr>
              <w:spacing w:line="240" w:lineRule="auto"/>
              <w:ind w:firstLine="0"/>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Зона застройки среднеэтажными жилыми домами (от 5 до 8 этажей, включая мансардный)</w:t>
            </w:r>
          </w:p>
        </w:tc>
        <w:tc>
          <w:tcPr>
            <w:tcW w:w="1525" w:type="dxa"/>
            <w:tcBorders>
              <w:top w:val="nil"/>
              <w:left w:val="nil"/>
              <w:bottom w:val="single" w:sz="8" w:space="0" w:color="000000"/>
              <w:right w:val="single" w:sz="8" w:space="0" w:color="000000"/>
            </w:tcBorders>
            <w:vAlign w:val="center"/>
            <w:hideMark/>
          </w:tcPr>
          <w:p w14:paraId="355DAB97" w14:textId="7777777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га</w:t>
            </w:r>
          </w:p>
        </w:tc>
        <w:tc>
          <w:tcPr>
            <w:tcW w:w="1766" w:type="dxa"/>
            <w:tcBorders>
              <w:top w:val="nil"/>
              <w:left w:val="nil"/>
              <w:bottom w:val="single" w:sz="8" w:space="0" w:color="000000"/>
              <w:right w:val="single" w:sz="8" w:space="0" w:color="000000"/>
            </w:tcBorders>
            <w:vAlign w:val="center"/>
            <w:hideMark/>
          </w:tcPr>
          <w:p w14:paraId="658C9413" w14:textId="7AB0B9CF"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hAnsi="Times New Roman" w:cs="Times New Roman"/>
                <w:sz w:val="22"/>
              </w:rPr>
              <w:t>0,40</w:t>
            </w:r>
          </w:p>
        </w:tc>
        <w:tc>
          <w:tcPr>
            <w:tcW w:w="1766" w:type="dxa"/>
            <w:tcBorders>
              <w:top w:val="nil"/>
              <w:left w:val="nil"/>
              <w:bottom w:val="single" w:sz="8" w:space="0" w:color="000000"/>
              <w:right w:val="single" w:sz="8" w:space="0" w:color="000000"/>
            </w:tcBorders>
            <w:vAlign w:val="center"/>
            <w:hideMark/>
          </w:tcPr>
          <w:p w14:paraId="5D197D09" w14:textId="5625DF10"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hAnsi="Times New Roman" w:cs="Times New Roman"/>
                <w:sz w:val="22"/>
              </w:rPr>
              <w:t>0,00</w:t>
            </w:r>
          </w:p>
        </w:tc>
      </w:tr>
      <w:tr w:rsidR="000B6128" w:rsidRPr="00731FE2" w14:paraId="46D04A9B" w14:textId="77777777" w:rsidTr="00743CB1">
        <w:trPr>
          <w:trHeight w:val="58"/>
          <w:tblCellSpacing w:w="0" w:type="dxa"/>
        </w:trPr>
        <w:tc>
          <w:tcPr>
            <w:tcW w:w="0" w:type="auto"/>
            <w:vMerge/>
            <w:tcBorders>
              <w:top w:val="nil"/>
              <w:left w:val="single" w:sz="8" w:space="0" w:color="000000"/>
              <w:bottom w:val="single" w:sz="8" w:space="0" w:color="000000"/>
              <w:right w:val="single" w:sz="8" w:space="0" w:color="000000"/>
            </w:tcBorders>
            <w:vAlign w:val="center"/>
            <w:hideMark/>
          </w:tcPr>
          <w:p w14:paraId="3859CCDF" w14:textId="77777777" w:rsidR="000B6128" w:rsidRPr="00731FE2" w:rsidRDefault="000B6128" w:rsidP="000B6128">
            <w:pPr>
              <w:spacing w:line="240" w:lineRule="auto"/>
              <w:ind w:firstLine="0"/>
              <w:jc w:val="left"/>
              <w:rPr>
                <w:rFonts w:ascii="Times New Roman" w:eastAsia="Times New Roman" w:hAnsi="Times New Roman" w:cs="Times New Roman"/>
                <w:sz w:val="22"/>
                <w:lang w:eastAsia="ru-RU"/>
              </w:rPr>
            </w:pPr>
          </w:p>
        </w:tc>
        <w:tc>
          <w:tcPr>
            <w:tcW w:w="3417" w:type="dxa"/>
            <w:tcBorders>
              <w:top w:val="nil"/>
              <w:left w:val="nil"/>
              <w:bottom w:val="single" w:sz="8" w:space="0" w:color="000000"/>
              <w:right w:val="single" w:sz="8" w:space="0" w:color="000000"/>
            </w:tcBorders>
            <w:vAlign w:val="center"/>
            <w:hideMark/>
          </w:tcPr>
          <w:p w14:paraId="68154E57" w14:textId="77777777" w:rsidR="000B6128" w:rsidRPr="00731FE2" w:rsidRDefault="000B6128" w:rsidP="000B6128">
            <w:pPr>
              <w:spacing w:line="240" w:lineRule="auto"/>
              <w:ind w:firstLine="0"/>
              <w:rPr>
                <w:rFonts w:ascii="Times New Roman" w:eastAsia="Times New Roman" w:hAnsi="Times New Roman" w:cs="Times New Roman"/>
                <w:sz w:val="22"/>
                <w:lang w:eastAsia="ru-RU"/>
              </w:rPr>
            </w:pPr>
            <w:r w:rsidRPr="00731FE2">
              <w:rPr>
                <w:rFonts w:ascii="Times New Roman" w:eastAsia="Times New Roman" w:hAnsi="Times New Roman" w:cs="Times New Roman"/>
                <w:b/>
                <w:bCs/>
                <w:color w:val="000000"/>
                <w:sz w:val="22"/>
                <w:lang w:eastAsia="ru-RU"/>
              </w:rPr>
              <w:t xml:space="preserve">Зоны общественно-делового использования, </w:t>
            </w:r>
            <w:r w:rsidRPr="00731FE2">
              <w:rPr>
                <w:rFonts w:ascii="Times New Roman" w:eastAsia="Times New Roman" w:hAnsi="Times New Roman" w:cs="Times New Roman"/>
                <w:color w:val="000000"/>
                <w:sz w:val="22"/>
                <w:lang w:eastAsia="ru-RU"/>
              </w:rPr>
              <w:t>в том числе:</w:t>
            </w:r>
          </w:p>
        </w:tc>
        <w:tc>
          <w:tcPr>
            <w:tcW w:w="1525" w:type="dxa"/>
            <w:tcBorders>
              <w:top w:val="nil"/>
              <w:left w:val="nil"/>
              <w:bottom w:val="single" w:sz="8" w:space="0" w:color="000000"/>
              <w:right w:val="single" w:sz="8" w:space="0" w:color="000000"/>
            </w:tcBorders>
            <w:vAlign w:val="center"/>
            <w:hideMark/>
          </w:tcPr>
          <w:p w14:paraId="146B5CD0" w14:textId="7777777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b/>
                <w:bCs/>
                <w:color w:val="000000"/>
                <w:sz w:val="22"/>
                <w:lang w:eastAsia="ru-RU"/>
              </w:rPr>
              <w:t>га</w:t>
            </w:r>
          </w:p>
        </w:tc>
        <w:tc>
          <w:tcPr>
            <w:tcW w:w="1766" w:type="dxa"/>
            <w:tcBorders>
              <w:top w:val="nil"/>
              <w:left w:val="nil"/>
              <w:bottom w:val="single" w:sz="8" w:space="0" w:color="000000"/>
              <w:right w:val="single" w:sz="8" w:space="0" w:color="000000"/>
            </w:tcBorders>
            <w:vAlign w:val="center"/>
            <w:hideMark/>
          </w:tcPr>
          <w:p w14:paraId="75D45F0B" w14:textId="2DB66ED9" w:rsidR="000B6128" w:rsidRPr="00731FE2" w:rsidRDefault="000B6128" w:rsidP="000B6128">
            <w:pPr>
              <w:spacing w:line="240" w:lineRule="auto"/>
              <w:ind w:firstLine="0"/>
              <w:jc w:val="center"/>
              <w:rPr>
                <w:rFonts w:ascii="Times New Roman" w:eastAsia="Times New Roman" w:hAnsi="Times New Roman" w:cs="Times New Roman"/>
                <w:b/>
                <w:bCs/>
                <w:sz w:val="22"/>
                <w:lang w:eastAsia="ru-RU"/>
              </w:rPr>
            </w:pPr>
            <w:r w:rsidRPr="00731FE2">
              <w:rPr>
                <w:rFonts w:ascii="Times New Roman" w:hAnsi="Times New Roman" w:cs="Times New Roman"/>
                <w:b/>
                <w:bCs/>
                <w:sz w:val="22"/>
              </w:rPr>
              <w:t>1,27</w:t>
            </w:r>
          </w:p>
        </w:tc>
        <w:tc>
          <w:tcPr>
            <w:tcW w:w="1766" w:type="dxa"/>
            <w:tcBorders>
              <w:top w:val="nil"/>
              <w:left w:val="nil"/>
              <w:bottom w:val="single" w:sz="8" w:space="0" w:color="000000"/>
              <w:right w:val="single" w:sz="8" w:space="0" w:color="000000"/>
            </w:tcBorders>
            <w:vAlign w:val="center"/>
            <w:hideMark/>
          </w:tcPr>
          <w:p w14:paraId="6F4F0DC6" w14:textId="5C897656"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hAnsi="Times New Roman" w:cs="Times New Roman"/>
                <w:b/>
                <w:sz w:val="22"/>
              </w:rPr>
              <w:t>1,67</w:t>
            </w:r>
          </w:p>
        </w:tc>
      </w:tr>
      <w:tr w:rsidR="000B6128" w:rsidRPr="00731FE2" w14:paraId="0EFD7EB0" w14:textId="77777777" w:rsidTr="00743CB1">
        <w:trPr>
          <w:trHeight w:val="58"/>
          <w:tblCellSpacing w:w="0" w:type="dxa"/>
        </w:trPr>
        <w:tc>
          <w:tcPr>
            <w:tcW w:w="0" w:type="auto"/>
            <w:vMerge/>
            <w:tcBorders>
              <w:top w:val="nil"/>
              <w:left w:val="single" w:sz="8" w:space="0" w:color="000000"/>
              <w:bottom w:val="single" w:sz="8" w:space="0" w:color="000000"/>
              <w:right w:val="single" w:sz="8" w:space="0" w:color="000000"/>
            </w:tcBorders>
            <w:vAlign w:val="center"/>
            <w:hideMark/>
          </w:tcPr>
          <w:p w14:paraId="3FCB08E1" w14:textId="77777777" w:rsidR="000B6128" w:rsidRPr="00731FE2" w:rsidRDefault="000B6128" w:rsidP="000B6128">
            <w:pPr>
              <w:spacing w:line="240" w:lineRule="auto"/>
              <w:ind w:firstLine="0"/>
              <w:jc w:val="left"/>
              <w:rPr>
                <w:rFonts w:ascii="Times New Roman" w:eastAsia="Times New Roman" w:hAnsi="Times New Roman" w:cs="Times New Roman"/>
                <w:sz w:val="22"/>
                <w:lang w:eastAsia="ru-RU"/>
              </w:rPr>
            </w:pPr>
          </w:p>
        </w:tc>
        <w:tc>
          <w:tcPr>
            <w:tcW w:w="3417" w:type="dxa"/>
            <w:tcBorders>
              <w:top w:val="nil"/>
              <w:left w:val="nil"/>
              <w:bottom w:val="single" w:sz="8" w:space="0" w:color="000000"/>
              <w:right w:val="single" w:sz="8" w:space="0" w:color="000000"/>
            </w:tcBorders>
            <w:vAlign w:val="center"/>
            <w:hideMark/>
          </w:tcPr>
          <w:p w14:paraId="6B208125" w14:textId="77777777" w:rsidR="000B6128" w:rsidRPr="00731FE2" w:rsidRDefault="000B6128" w:rsidP="000B6128">
            <w:pPr>
              <w:spacing w:line="240" w:lineRule="auto"/>
              <w:ind w:firstLine="0"/>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Общественно-деловые зоны</w:t>
            </w:r>
          </w:p>
        </w:tc>
        <w:tc>
          <w:tcPr>
            <w:tcW w:w="1525" w:type="dxa"/>
            <w:tcBorders>
              <w:top w:val="nil"/>
              <w:left w:val="nil"/>
              <w:bottom w:val="single" w:sz="8" w:space="0" w:color="000000"/>
              <w:right w:val="single" w:sz="8" w:space="0" w:color="000000"/>
            </w:tcBorders>
            <w:vAlign w:val="center"/>
            <w:hideMark/>
          </w:tcPr>
          <w:p w14:paraId="59074760" w14:textId="7777777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га</w:t>
            </w:r>
          </w:p>
        </w:tc>
        <w:tc>
          <w:tcPr>
            <w:tcW w:w="1766" w:type="dxa"/>
            <w:tcBorders>
              <w:top w:val="nil"/>
              <w:left w:val="nil"/>
              <w:bottom w:val="single" w:sz="8" w:space="0" w:color="000000"/>
              <w:right w:val="single" w:sz="8" w:space="0" w:color="000000"/>
            </w:tcBorders>
            <w:vAlign w:val="center"/>
            <w:hideMark/>
          </w:tcPr>
          <w:p w14:paraId="074A0D1D" w14:textId="74665C15"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hAnsi="Times New Roman" w:cs="Times New Roman"/>
                <w:sz w:val="22"/>
              </w:rPr>
              <w:t>1,27</w:t>
            </w:r>
          </w:p>
        </w:tc>
        <w:tc>
          <w:tcPr>
            <w:tcW w:w="1766" w:type="dxa"/>
            <w:tcBorders>
              <w:top w:val="nil"/>
              <w:left w:val="nil"/>
              <w:bottom w:val="single" w:sz="8" w:space="0" w:color="000000"/>
              <w:right w:val="single" w:sz="8" w:space="0" w:color="000000"/>
            </w:tcBorders>
            <w:vAlign w:val="center"/>
            <w:hideMark/>
          </w:tcPr>
          <w:p w14:paraId="3EE5BFD7" w14:textId="6CF56B0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hAnsi="Times New Roman" w:cs="Times New Roman"/>
                <w:sz w:val="22"/>
              </w:rPr>
              <w:t>1,67</w:t>
            </w:r>
          </w:p>
        </w:tc>
      </w:tr>
      <w:tr w:rsidR="000B6128" w:rsidRPr="00731FE2" w14:paraId="2BDBA7F6" w14:textId="77777777" w:rsidTr="00743CB1">
        <w:trPr>
          <w:trHeight w:val="58"/>
          <w:tblCellSpacing w:w="0" w:type="dxa"/>
        </w:trPr>
        <w:tc>
          <w:tcPr>
            <w:tcW w:w="0" w:type="auto"/>
            <w:vMerge/>
            <w:tcBorders>
              <w:top w:val="nil"/>
              <w:left w:val="single" w:sz="8" w:space="0" w:color="000000"/>
              <w:bottom w:val="single" w:sz="8" w:space="0" w:color="000000"/>
              <w:right w:val="single" w:sz="8" w:space="0" w:color="000000"/>
            </w:tcBorders>
            <w:vAlign w:val="center"/>
            <w:hideMark/>
          </w:tcPr>
          <w:p w14:paraId="2DF1E8C6" w14:textId="77777777" w:rsidR="000B6128" w:rsidRPr="00731FE2" w:rsidRDefault="000B6128" w:rsidP="000B6128">
            <w:pPr>
              <w:spacing w:line="240" w:lineRule="auto"/>
              <w:ind w:firstLine="0"/>
              <w:jc w:val="left"/>
              <w:rPr>
                <w:rFonts w:ascii="Times New Roman" w:eastAsia="Times New Roman" w:hAnsi="Times New Roman" w:cs="Times New Roman"/>
                <w:sz w:val="22"/>
                <w:lang w:eastAsia="ru-RU"/>
              </w:rPr>
            </w:pPr>
          </w:p>
        </w:tc>
        <w:tc>
          <w:tcPr>
            <w:tcW w:w="3417" w:type="dxa"/>
            <w:tcBorders>
              <w:top w:val="nil"/>
              <w:left w:val="nil"/>
              <w:bottom w:val="single" w:sz="8" w:space="0" w:color="000000"/>
              <w:right w:val="single" w:sz="8" w:space="0" w:color="000000"/>
            </w:tcBorders>
            <w:vAlign w:val="center"/>
            <w:hideMark/>
          </w:tcPr>
          <w:p w14:paraId="347BCEAB" w14:textId="77777777" w:rsidR="000B6128" w:rsidRPr="00731FE2" w:rsidRDefault="000B6128" w:rsidP="000B6128">
            <w:pPr>
              <w:spacing w:line="240" w:lineRule="auto"/>
              <w:ind w:firstLine="0"/>
              <w:rPr>
                <w:rFonts w:ascii="Times New Roman" w:eastAsia="Times New Roman" w:hAnsi="Times New Roman" w:cs="Times New Roman"/>
                <w:sz w:val="22"/>
                <w:lang w:eastAsia="ru-RU"/>
              </w:rPr>
            </w:pPr>
            <w:r w:rsidRPr="00731FE2">
              <w:rPr>
                <w:rFonts w:ascii="Times New Roman" w:eastAsia="Times New Roman" w:hAnsi="Times New Roman" w:cs="Times New Roman"/>
                <w:b/>
                <w:bCs/>
                <w:color w:val="000000"/>
                <w:sz w:val="22"/>
                <w:lang w:eastAsia="ru-RU"/>
              </w:rPr>
              <w:t xml:space="preserve">Зоны производственного, инженерного и транспортного использования, </w:t>
            </w:r>
            <w:r w:rsidRPr="00731FE2">
              <w:rPr>
                <w:rFonts w:ascii="Times New Roman" w:eastAsia="Times New Roman" w:hAnsi="Times New Roman" w:cs="Times New Roman"/>
                <w:color w:val="000000"/>
                <w:sz w:val="22"/>
                <w:lang w:eastAsia="ru-RU"/>
              </w:rPr>
              <w:t>в том числе:</w:t>
            </w:r>
          </w:p>
        </w:tc>
        <w:tc>
          <w:tcPr>
            <w:tcW w:w="1525" w:type="dxa"/>
            <w:tcBorders>
              <w:top w:val="nil"/>
              <w:left w:val="nil"/>
              <w:bottom w:val="single" w:sz="8" w:space="0" w:color="000000"/>
              <w:right w:val="single" w:sz="8" w:space="0" w:color="000000"/>
            </w:tcBorders>
            <w:vAlign w:val="center"/>
            <w:hideMark/>
          </w:tcPr>
          <w:p w14:paraId="0CB44EB1" w14:textId="7777777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b/>
                <w:bCs/>
                <w:color w:val="000000"/>
                <w:sz w:val="22"/>
                <w:lang w:eastAsia="ru-RU"/>
              </w:rPr>
              <w:t>га</w:t>
            </w:r>
          </w:p>
        </w:tc>
        <w:tc>
          <w:tcPr>
            <w:tcW w:w="1766" w:type="dxa"/>
            <w:tcBorders>
              <w:top w:val="nil"/>
              <w:left w:val="nil"/>
              <w:bottom w:val="single" w:sz="8" w:space="0" w:color="000000"/>
              <w:right w:val="single" w:sz="8" w:space="0" w:color="000000"/>
            </w:tcBorders>
            <w:vAlign w:val="center"/>
            <w:hideMark/>
          </w:tcPr>
          <w:p w14:paraId="7C3B843C" w14:textId="132C9935"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hAnsi="Times New Roman" w:cs="Times New Roman"/>
                <w:b/>
                <w:sz w:val="22"/>
              </w:rPr>
              <w:t>7,74</w:t>
            </w:r>
          </w:p>
        </w:tc>
        <w:tc>
          <w:tcPr>
            <w:tcW w:w="1766" w:type="dxa"/>
            <w:tcBorders>
              <w:top w:val="nil"/>
              <w:left w:val="nil"/>
              <w:bottom w:val="single" w:sz="8" w:space="0" w:color="000000"/>
              <w:right w:val="single" w:sz="8" w:space="0" w:color="000000"/>
            </w:tcBorders>
            <w:vAlign w:val="center"/>
            <w:hideMark/>
          </w:tcPr>
          <w:p w14:paraId="124CEAE2" w14:textId="264C91D6"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hAnsi="Times New Roman" w:cs="Times New Roman"/>
                <w:b/>
                <w:sz w:val="22"/>
              </w:rPr>
              <w:t>7,74</w:t>
            </w:r>
          </w:p>
        </w:tc>
      </w:tr>
      <w:tr w:rsidR="000B6128" w:rsidRPr="00731FE2" w14:paraId="3E1CDBDC" w14:textId="77777777" w:rsidTr="00743CB1">
        <w:trPr>
          <w:trHeight w:val="58"/>
          <w:tblCellSpacing w:w="0" w:type="dxa"/>
        </w:trPr>
        <w:tc>
          <w:tcPr>
            <w:tcW w:w="0" w:type="auto"/>
            <w:vMerge/>
            <w:tcBorders>
              <w:top w:val="nil"/>
              <w:left w:val="single" w:sz="8" w:space="0" w:color="000000"/>
              <w:bottom w:val="single" w:sz="8" w:space="0" w:color="000000"/>
              <w:right w:val="single" w:sz="8" w:space="0" w:color="000000"/>
            </w:tcBorders>
            <w:vAlign w:val="center"/>
            <w:hideMark/>
          </w:tcPr>
          <w:p w14:paraId="24C74343" w14:textId="77777777" w:rsidR="000B6128" w:rsidRPr="00731FE2" w:rsidRDefault="000B6128" w:rsidP="000B6128">
            <w:pPr>
              <w:spacing w:line="240" w:lineRule="auto"/>
              <w:ind w:firstLine="0"/>
              <w:jc w:val="left"/>
              <w:rPr>
                <w:rFonts w:ascii="Times New Roman" w:eastAsia="Times New Roman" w:hAnsi="Times New Roman" w:cs="Times New Roman"/>
                <w:sz w:val="22"/>
                <w:lang w:eastAsia="ru-RU"/>
              </w:rPr>
            </w:pPr>
          </w:p>
        </w:tc>
        <w:tc>
          <w:tcPr>
            <w:tcW w:w="3417" w:type="dxa"/>
            <w:tcBorders>
              <w:top w:val="nil"/>
              <w:left w:val="nil"/>
              <w:bottom w:val="single" w:sz="8" w:space="0" w:color="000000"/>
              <w:right w:val="single" w:sz="8" w:space="0" w:color="000000"/>
            </w:tcBorders>
            <w:vAlign w:val="center"/>
            <w:hideMark/>
          </w:tcPr>
          <w:p w14:paraId="0B6C3257" w14:textId="77777777" w:rsidR="000B6128" w:rsidRPr="00731FE2" w:rsidRDefault="000B6128" w:rsidP="000B6128">
            <w:pPr>
              <w:spacing w:line="240" w:lineRule="auto"/>
              <w:ind w:firstLine="0"/>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Зона транспортной инфраструктуры</w:t>
            </w:r>
          </w:p>
        </w:tc>
        <w:tc>
          <w:tcPr>
            <w:tcW w:w="1525" w:type="dxa"/>
            <w:tcBorders>
              <w:top w:val="nil"/>
              <w:left w:val="nil"/>
              <w:bottom w:val="single" w:sz="8" w:space="0" w:color="000000"/>
              <w:right w:val="single" w:sz="8" w:space="0" w:color="000000"/>
            </w:tcBorders>
            <w:vAlign w:val="center"/>
            <w:hideMark/>
          </w:tcPr>
          <w:p w14:paraId="50D3F4A4" w14:textId="7777777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га</w:t>
            </w:r>
          </w:p>
        </w:tc>
        <w:tc>
          <w:tcPr>
            <w:tcW w:w="1766" w:type="dxa"/>
            <w:tcBorders>
              <w:top w:val="nil"/>
              <w:left w:val="nil"/>
              <w:bottom w:val="single" w:sz="8" w:space="0" w:color="000000"/>
              <w:right w:val="single" w:sz="8" w:space="0" w:color="000000"/>
            </w:tcBorders>
            <w:vAlign w:val="center"/>
            <w:hideMark/>
          </w:tcPr>
          <w:p w14:paraId="6E5D2AE4" w14:textId="6C144E39"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hAnsi="Times New Roman" w:cs="Times New Roman"/>
                <w:sz w:val="22"/>
              </w:rPr>
              <w:t>7,74</w:t>
            </w:r>
          </w:p>
        </w:tc>
        <w:tc>
          <w:tcPr>
            <w:tcW w:w="1766" w:type="dxa"/>
            <w:tcBorders>
              <w:top w:val="nil"/>
              <w:left w:val="nil"/>
              <w:bottom w:val="single" w:sz="8" w:space="0" w:color="000000"/>
              <w:right w:val="single" w:sz="8" w:space="0" w:color="000000"/>
            </w:tcBorders>
            <w:vAlign w:val="center"/>
            <w:hideMark/>
          </w:tcPr>
          <w:p w14:paraId="07435B93" w14:textId="2DE6D4E9"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hAnsi="Times New Roman" w:cs="Times New Roman"/>
                <w:sz w:val="22"/>
              </w:rPr>
              <w:t>7,74</w:t>
            </w:r>
          </w:p>
        </w:tc>
      </w:tr>
      <w:tr w:rsidR="000B6128" w:rsidRPr="00731FE2" w14:paraId="0878273A" w14:textId="77777777" w:rsidTr="00743CB1">
        <w:trPr>
          <w:trHeight w:val="58"/>
          <w:tblCellSpacing w:w="0" w:type="dxa"/>
        </w:trPr>
        <w:tc>
          <w:tcPr>
            <w:tcW w:w="0" w:type="auto"/>
            <w:vMerge/>
            <w:tcBorders>
              <w:top w:val="nil"/>
              <w:left w:val="single" w:sz="8" w:space="0" w:color="000000"/>
              <w:bottom w:val="single" w:sz="8" w:space="0" w:color="000000"/>
              <w:right w:val="single" w:sz="8" w:space="0" w:color="000000"/>
            </w:tcBorders>
            <w:vAlign w:val="center"/>
            <w:hideMark/>
          </w:tcPr>
          <w:p w14:paraId="3E979FFF" w14:textId="77777777" w:rsidR="000B6128" w:rsidRPr="00731FE2" w:rsidRDefault="000B6128" w:rsidP="000B6128">
            <w:pPr>
              <w:spacing w:line="240" w:lineRule="auto"/>
              <w:ind w:firstLine="0"/>
              <w:jc w:val="left"/>
              <w:rPr>
                <w:rFonts w:ascii="Times New Roman" w:eastAsia="Times New Roman" w:hAnsi="Times New Roman" w:cs="Times New Roman"/>
                <w:sz w:val="22"/>
                <w:lang w:eastAsia="ru-RU"/>
              </w:rPr>
            </w:pPr>
          </w:p>
        </w:tc>
        <w:tc>
          <w:tcPr>
            <w:tcW w:w="3417" w:type="dxa"/>
            <w:tcBorders>
              <w:top w:val="nil"/>
              <w:left w:val="nil"/>
              <w:bottom w:val="single" w:sz="8" w:space="0" w:color="000000"/>
              <w:right w:val="single" w:sz="8" w:space="0" w:color="000000"/>
            </w:tcBorders>
            <w:vAlign w:val="center"/>
            <w:hideMark/>
          </w:tcPr>
          <w:p w14:paraId="59E1C982" w14:textId="77777777" w:rsidR="000B6128" w:rsidRPr="00731FE2" w:rsidRDefault="000B6128" w:rsidP="000B6128">
            <w:pPr>
              <w:spacing w:line="240" w:lineRule="auto"/>
              <w:ind w:firstLine="0"/>
              <w:rPr>
                <w:rFonts w:ascii="Times New Roman" w:eastAsia="Times New Roman" w:hAnsi="Times New Roman" w:cs="Times New Roman"/>
                <w:sz w:val="22"/>
                <w:lang w:eastAsia="ru-RU"/>
              </w:rPr>
            </w:pPr>
            <w:r w:rsidRPr="00731FE2">
              <w:rPr>
                <w:rFonts w:ascii="Times New Roman" w:eastAsia="Times New Roman" w:hAnsi="Times New Roman" w:cs="Times New Roman"/>
                <w:b/>
                <w:bCs/>
                <w:color w:val="000000"/>
                <w:sz w:val="22"/>
                <w:lang w:eastAsia="ru-RU"/>
              </w:rPr>
              <w:t xml:space="preserve">Зона рекреационного использования, </w:t>
            </w:r>
            <w:r w:rsidRPr="00731FE2">
              <w:rPr>
                <w:rFonts w:ascii="Times New Roman" w:eastAsia="Times New Roman" w:hAnsi="Times New Roman" w:cs="Times New Roman"/>
                <w:color w:val="000000"/>
                <w:sz w:val="22"/>
                <w:lang w:eastAsia="ru-RU"/>
              </w:rPr>
              <w:t>в том числе:</w:t>
            </w:r>
          </w:p>
        </w:tc>
        <w:tc>
          <w:tcPr>
            <w:tcW w:w="1525" w:type="dxa"/>
            <w:tcBorders>
              <w:top w:val="nil"/>
              <w:left w:val="nil"/>
              <w:bottom w:val="single" w:sz="8" w:space="0" w:color="000000"/>
              <w:right w:val="single" w:sz="8" w:space="0" w:color="000000"/>
            </w:tcBorders>
            <w:vAlign w:val="center"/>
            <w:hideMark/>
          </w:tcPr>
          <w:p w14:paraId="45FC7231" w14:textId="7777777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b/>
                <w:bCs/>
                <w:color w:val="000000"/>
                <w:sz w:val="22"/>
                <w:lang w:eastAsia="ru-RU"/>
              </w:rPr>
              <w:t>га</w:t>
            </w:r>
          </w:p>
        </w:tc>
        <w:tc>
          <w:tcPr>
            <w:tcW w:w="1766" w:type="dxa"/>
            <w:tcBorders>
              <w:top w:val="nil"/>
              <w:left w:val="nil"/>
              <w:bottom w:val="single" w:sz="8" w:space="0" w:color="000000"/>
              <w:right w:val="single" w:sz="8" w:space="0" w:color="000000"/>
            </w:tcBorders>
            <w:vAlign w:val="center"/>
            <w:hideMark/>
          </w:tcPr>
          <w:p w14:paraId="00B5A635" w14:textId="20605C46"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hAnsi="Times New Roman" w:cs="Times New Roman"/>
                <w:b/>
                <w:sz w:val="22"/>
              </w:rPr>
              <w:t>0,88</w:t>
            </w:r>
          </w:p>
        </w:tc>
        <w:tc>
          <w:tcPr>
            <w:tcW w:w="1766" w:type="dxa"/>
            <w:tcBorders>
              <w:top w:val="nil"/>
              <w:left w:val="nil"/>
              <w:bottom w:val="single" w:sz="8" w:space="0" w:color="000000"/>
              <w:right w:val="single" w:sz="8" w:space="0" w:color="000000"/>
            </w:tcBorders>
            <w:vAlign w:val="center"/>
            <w:hideMark/>
          </w:tcPr>
          <w:p w14:paraId="53B60204" w14:textId="17BD7D0B"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hAnsi="Times New Roman" w:cs="Times New Roman"/>
                <w:b/>
                <w:sz w:val="22"/>
              </w:rPr>
              <w:t>0,88</w:t>
            </w:r>
          </w:p>
        </w:tc>
      </w:tr>
      <w:tr w:rsidR="000B6128" w:rsidRPr="00731FE2" w14:paraId="43E094BF" w14:textId="77777777" w:rsidTr="00743CB1">
        <w:trPr>
          <w:trHeight w:val="58"/>
          <w:tblCellSpacing w:w="0" w:type="dxa"/>
        </w:trPr>
        <w:tc>
          <w:tcPr>
            <w:tcW w:w="0" w:type="auto"/>
            <w:vMerge/>
            <w:tcBorders>
              <w:top w:val="nil"/>
              <w:left w:val="single" w:sz="8" w:space="0" w:color="000000"/>
              <w:bottom w:val="single" w:sz="8" w:space="0" w:color="000000"/>
              <w:right w:val="single" w:sz="8" w:space="0" w:color="000000"/>
            </w:tcBorders>
            <w:vAlign w:val="center"/>
            <w:hideMark/>
          </w:tcPr>
          <w:p w14:paraId="04859DDC" w14:textId="77777777" w:rsidR="000B6128" w:rsidRPr="00731FE2" w:rsidRDefault="000B6128" w:rsidP="000B6128">
            <w:pPr>
              <w:spacing w:line="240" w:lineRule="auto"/>
              <w:ind w:firstLine="0"/>
              <w:jc w:val="left"/>
              <w:rPr>
                <w:rFonts w:ascii="Times New Roman" w:eastAsia="Times New Roman" w:hAnsi="Times New Roman" w:cs="Times New Roman"/>
                <w:sz w:val="22"/>
                <w:lang w:eastAsia="ru-RU"/>
              </w:rPr>
            </w:pPr>
          </w:p>
        </w:tc>
        <w:tc>
          <w:tcPr>
            <w:tcW w:w="3417" w:type="dxa"/>
            <w:tcBorders>
              <w:top w:val="nil"/>
              <w:left w:val="nil"/>
              <w:bottom w:val="single" w:sz="8" w:space="0" w:color="000000"/>
              <w:right w:val="single" w:sz="8" w:space="0" w:color="000000"/>
            </w:tcBorders>
            <w:vAlign w:val="center"/>
            <w:hideMark/>
          </w:tcPr>
          <w:p w14:paraId="1505C6D5" w14:textId="77777777" w:rsidR="000B6128" w:rsidRPr="00731FE2" w:rsidRDefault="000B6128" w:rsidP="000B6128">
            <w:pPr>
              <w:spacing w:line="240" w:lineRule="auto"/>
              <w:ind w:firstLine="0"/>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Зона озелененных территорий общего пользования (лесопарки, парки, сады, скверы, бульвары, городские леса)</w:t>
            </w:r>
          </w:p>
        </w:tc>
        <w:tc>
          <w:tcPr>
            <w:tcW w:w="1525" w:type="dxa"/>
            <w:tcBorders>
              <w:top w:val="nil"/>
              <w:left w:val="nil"/>
              <w:bottom w:val="single" w:sz="8" w:space="0" w:color="000000"/>
              <w:right w:val="single" w:sz="8" w:space="0" w:color="000000"/>
            </w:tcBorders>
            <w:vAlign w:val="center"/>
            <w:hideMark/>
          </w:tcPr>
          <w:p w14:paraId="19A99EEA" w14:textId="7777777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га</w:t>
            </w:r>
          </w:p>
        </w:tc>
        <w:tc>
          <w:tcPr>
            <w:tcW w:w="1766" w:type="dxa"/>
            <w:tcBorders>
              <w:top w:val="nil"/>
              <w:left w:val="nil"/>
              <w:bottom w:val="single" w:sz="8" w:space="0" w:color="000000"/>
              <w:right w:val="single" w:sz="8" w:space="0" w:color="000000"/>
            </w:tcBorders>
            <w:vAlign w:val="center"/>
            <w:hideMark/>
          </w:tcPr>
          <w:p w14:paraId="1B424011" w14:textId="5C1173D6"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hAnsi="Times New Roman" w:cs="Times New Roman"/>
                <w:sz w:val="22"/>
              </w:rPr>
              <w:t>0,88</w:t>
            </w:r>
          </w:p>
        </w:tc>
        <w:tc>
          <w:tcPr>
            <w:tcW w:w="1766" w:type="dxa"/>
            <w:tcBorders>
              <w:top w:val="nil"/>
              <w:left w:val="nil"/>
              <w:bottom w:val="single" w:sz="8" w:space="0" w:color="000000"/>
              <w:right w:val="single" w:sz="8" w:space="0" w:color="000000"/>
            </w:tcBorders>
            <w:vAlign w:val="center"/>
            <w:hideMark/>
          </w:tcPr>
          <w:p w14:paraId="57A08379" w14:textId="1EC5863C"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hAnsi="Times New Roman" w:cs="Times New Roman"/>
                <w:sz w:val="22"/>
              </w:rPr>
              <w:t>0,88</w:t>
            </w:r>
          </w:p>
        </w:tc>
      </w:tr>
      <w:tr w:rsidR="000B6128" w:rsidRPr="00731FE2" w14:paraId="22E32C34" w14:textId="77777777" w:rsidTr="00D154A0">
        <w:trPr>
          <w:trHeight w:val="58"/>
          <w:tblCellSpacing w:w="0" w:type="dxa"/>
        </w:trPr>
        <w:tc>
          <w:tcPr>
            <w:tcW w:w="9335" w:type="dxa"/>
            <w:gridSpan w:val="5"/>
            <w:tcBorders>
              <w:top w:val="nil"/>
              <w:left w:val="single" w:sz="8" w:space="0" w:color="000000"/>
              <w:bottom w:val="single" w:sz="8" w:space="0" w:color="000000"/>
              <w:right w:val="single" w:sz="8" w:space="0" w:color="000000"/>
            </w:tcBorders>
            <w:vAlign w:val="center"/>
            <w:hideMark/>
          </w:tcPr>
          <w:p w14:paraId="19B72A6C" w14:textId="7777777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b/>
                <w:bCs/>
                <w:color w:val="000000"/>
                <w:sz w:val="22"/>
                <w:lang w:eastAsia="ru-RU"/>
              </w:rPr>
              <w:t>п. Нарзанный</w:t>
            </w:r>
          </w:p>
        </w:tc>
      </w:tr>
      <w:tr w:rsidR="000B6128" w:rsidRPr="00731FE2" w14:paraId="054DF87A" w14:textId="77777777" w:rsidTr="00FE28EA">
        <w:trPr>
          <w:trHeight w:val="58"/>
          <w:tblCellSpacing w:w="0" w:type="dxa"/>
        </w:trPr>
        <w:tc>
          <w:tcPr>
            <w:tcW w:w="861" w:type="dxa"/>
            <w:vMerge w:val="restart"/>
            <w:tcBorders>
              <w:top w:val="nil"/>
              <w:left w:val="single" w:sz="8" w:space="0" w:color="000000"/>
              <w:bottom w:val="single" w:sz="8" w:space="0" w:color="000000"/>
              <w:right w:val="single" w:sz="8" w:space="0" w:color="000000"/>
            </w:tcBorders>
            <w:vAlign w:val="center"/>
            <w:hideMark/>
          </w:tcPr>
          <w:p w14:paraId="00239EDC" w14:textId="0B229B12"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b/>
                <w:bCs/>
                <w:color w:val="000000"/>
                <w:sz w:val="22"/>
                <w:lang w:eastAsia="ru-RU"/>
              </w:rPr>
              <w:t>1.1</w:t>
            </w:r>
            <w:r w:rsidR="00B043D3" w:rsidRPr="00731FE2">
              <w:rPr>
                <w:rFonts w:ascii="Times New Roman" w:eastAsia="Times New Roman" w:hAnsi="Times New Roman" w:cs="Times New Roman"/>
                <w:b/>
                <w:bCs/>
                <w:color w:val="000000"/>
                <w:sz w:val="22"/>
                <w:lang w:eastAsia="ru-RU"/>
              </w:rPr>
              <w:t>1</w:t>
            </w:r>
          </w:p>
        </w:tc>
        <w:tc>
          <w:tcPr>
            <w:tcW w:w="3417" w:type="dxa"/>
            <w:tcBorders>
              <w:top w:val="nil"/>
              <w:left w:val="nil"/>
              <w:bottom w:val="single" w:sz="8" w:space="0" w:color="000000"/>
              <w:right w:val="single" w:sz="8" w:space="0" w:color="000000"/>
            </w:tcBorders>
            <w:vAlign w:val="center"/>
            <w:hideMark/>
          </w:tcPr>
          <w:p w14:paraId="71921AD6" w14:textId="77777777" w:rsidR="000B6128" w:rsidRPr="00731FE2" w:rsidRDefault="000B6128" w:rsidP="000B6128">
            <w:pPr>
              <w:spacing w:line="240" w:lineRule="auto"/>
              <w:ind w:firstLine="0"/>
              <w:rPr>
                <w:rFonts w:ascii="Times New Roman" w:eastAsia="Times New Roman" w:hAnsi="Times New Roman" w:cs="Times New Roman"/>
                <w:sz w:val="22"/>
                <w:lang w:eastAsia="ru-RU"/>
              </w:rPr>
            </w:pPr>
            <w:r w:rsidRPr="00731FE2">
              <w:rPr>
                <w:rFonts w:ascii="Times New Roman" w:eastAsia="Times New Roman" w:hAnsi="Times New Roman" w:cs="Times New Roman"/>
                <w:b/>
                <w:bCs/>
                <w:color w:val="000000"/>
                <w:sz w:val="22"/>
                <w:lang w:eastAsia="ru-RU"/>
              </w:rPr>
              <w:t>Общая площадь земель населенных пунктов</w:t>
            </w:r>
          </w:p>
        </w:tc>
        <w:tc>
          <w:tcPr>
            <w:tcW w:w="1525" w:type="dxa"/>
            <w:tcBorders>
              <w:top w:val="nil"/>
              <w:left w:val="nil"/>
              <w:bottom w:val="single" w:sz="8" w:space="0" w:color="000000"/>
              <w:right w:val="single" w:sz="8" w:space="0" w:color="000000"/>
            </w:tcBorders>
            <w:vAlign w:val="center"/>
            <w:hideMark/>
          </w:tcPr>
          <w:p w14:paraId="0D1C7770" w14:textId="7777777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b/>
                <w:bCs/>
                <w:color w:val="000000"/>
                <w:sz w:val="22"/>
                <w:lang w:eastAsia="ru-RU"/>
              </w:rPr>
              <w:t>га</w:t>
            </w:r>
          </w:p>
        </w:tc>
        <w:tc>
          <w:tcPr>
            <w:tcW w:w="1766" w:type="dxa"/>
            <w:tcBorders>
              <w:top w:val="nil"/>
              <w:left w:val="nil"/>
              <w:bottom w:val="single" w:sz="8" w:space="0" w:color="000000"/>
              <w:right w:val="single" w:sz="8" w:space="0" w:color="000000"/>
            </w:tcBorders>
            <w:vAlign w:val="center"/>
            <w:hideMark/>
          </w:tcPr>
          <w:p w14:paraId="181EB093" w14:textId="5DB6FB5C" w:rsidR="000B6128" w:rsidRPr="00731FE2" w:rsidRDefault="000B6128" w:rsidP="000B6128">
            <w:pPr>
              <w:spacing w:line="240" w:lineRule="auto"/>
              <w:ind w:firstLine="44"/>
              <w:jc w:val="center"/>
              <w:rPr>
                <w:rFonts w:ascii="Times New Roman" w:eastAsia="Times New Roman" w:hAnsi="Times New Roman" w:cs="Times New Roman"/>
                <w:sz w:val="22"/>
                <w:lang w:eastAsia="ru-RU"/>
              </w:rPr>
            </w:pPr>
            <w:r w:rsidRPr="00731FE2">
              <w:rPr>
                <w:rFonts w:ascii="Times New Roman" w:hAnsi="Times New Roman" w:cs="Times New Roman"/>
                <w:b/>
                <w:bCs/>
                <w:sz w:val="22"/>
              </w:rPr>
              <w:t>74,63</w:t>
            </w:r>
          </w:p>
        </w:tc>
        <w:tc>
          <w:tcPr>
            <w:tcW w:w="1766" w:type="dxa"/>
            <w:tcBorders>
              <w:top w:val="nil"/>
              <w:left w:val="nil"/>
              <w:bottom w:val="single" w:sz="8" w:space="0" w:color="000000"/>
              <w:right w:val="single" w:sz="8" w:space="0" w:color="000000"/>
            </w:tcBorders>
            <w:vAlign w:val="center"/>
            <w:hideMark/>
          </w:tcPr>
          <w:p w14:paraId="6C68A34F" w14:textId="594C21DF" w:rsidR="000B6128" w:rsidRPr="00731FE2" w:rsidRDefault="000B6128" w:rsidP="000B6128">
            <w:pPr>
              <w:spacing w:line="240" w:lineRule="auto"/>
              <w:ind w:firstLine="44"/>
              <w:jc w:val="center"/>
              <w:rPr>
                <w:rFonts w:ascii="Times New Roman" w:eastAsia="Times New Roman" w:hAnsi="Times New Roman" w:cs="Times New Roman"/>
                <w:sz w:val="22"/>
                <w:lang w:eastAsia="ru-RU"/>
              </w:rPr>
            </w:pPr>
            <w:r w:rsidRPr="00731FE2">
              <w:rPr>
                <w:rFonts w:ascii="Times New Roman" w:hAnsi="Times New Roman" w:cs="Times New Roman"/>
                <w:b/>
                <w:bCs/>
                <w:sz w:val="22"/>
              </w:rPr>
              <w:t>74,63</w:t>
            </w:r>
          </w:p>
        </w:tc>
      </w:tr>
      <w:tr w:rsidR="000B6128" w:rsidRPr="00731FE2" w14:paraId="2FFE6A47" w14:textId="77777777" w:rsidTr="00FE28EA">
        <w:trPr>
          <w:trHeight w:val="58"/>
          <w:tblCellSpacing w:w="0" w:type="dxa"/>
        </w:trPr>
        <w:tc>
          <w:tcPr>
            <w:tcW w:w="0" w:type="auto"/>
            <w:vMerge/>
            <w:tcBorders>
              <w:top w:val="nil"/>
              <w:left w:val="single" w:sz="8" w:space="0" w:color="000000"/>
              <w:bottom w:val="single" w:sz="8" w:space="0" w:color="000000"/>
              <w:right w:val="single" w:sz="8" w:space="0" w:color="000000"/>
            </w:tcBorders>
            <w:vAlign w:val="center"/>
            <w:hideMark/>
          </w:tcPr>
          <w:p w14:paraId="1B420DA8" w14:textId="77777777" w:rsidR="000B6128" w:rsidRPr="00731FE2" w:rsidRDefault="000B6128" w:rsidP="000B6128">
            <w:pPr>
              <w:spacing w:line="240" w:lineRule="auto"/>
              <w:ind w:firstLine="0"/>
              <w:jc w:val="left"/>
              <w:rPr>
                <w:rFonts w:ascii="Times New Roman" w:eastAsia="Times New Roman" w:hAnsi="Times New Roman" w:cs="Times New Roman"/>
                <w:sz w:val="22"/>
                <w:lang w:eastAsia="ru-RU"/>
              </w:rPr>
            </w:pPr>
          </w:p>
        </w:tc>
        <w:tc>
          <w:tcPr>
            <w:tcW w:w="3417" w:type="dxa"/>
            <w:tcBorders>
              <w:top w:val="nil"/>
              <w:left w:val="nil"/>
              <w:bottom w:val="single" w:sz="8" w:space="0" w:color="000000"/>
              <w:right w:val="single" w:sz="8" w:space="0" w:color="000000"/>
            </w:tcBorders>
            <w:vAlign w:val="center"/>
            <w:hideMark/>
          </w:tcPr>
          <w:p w14:paraId="50129563" w14:textId="77777777" w:rsidR="000B6128" w:rsidRPr="00731FE2" w:rsidRDefault="000B6128" w:rsidP="000B6128">
            <w:pPr>
              <w:spacing w:line="240" w:lineRule="auto"/>
              <w:ind w:firstLine="0"/>
              <w:rPr>
                <w:rFonts w:ascii="Times New Roman" w:eastAsia="Times New Roman" w:hAnsi="Times New Roman" w:cs="Times New Roman"/>
                <w:sz w:val="22"/>
                <w:lang w:eastAsia="ru-RU"/>
              </w:rPr>
            </w:pPr>
            <w:r w:rsidRPr="00731FE2">
              <w:rPr>
                <w:rFonts w:ascii="Times New Roman" w:eastAsia="Times New Roman" w:hAnsi="Times New Roman" w:cs="Times New Roman"/>
                <w:b/>
                <w:bCs/>
                <w:color w:val="000000"/>
                <w:sz w:val="22"/>
                <w:lang w:eastAsia="ru-RU"/>
              </w:rPr>
              <w:t>Общая площадь функциональных зон (в границах п. Нарзанного)</w:t>
            </w:r>
          </w:p>
        </w:tc>
        <w:tc>
          <w:tcPr>
            <w:tcW w:w="1525" w:type="dxa"/>
            <w:tcBorders>
              <w:top w:val="nil"/>
              <w:left w:val="nil"/>
              <w:bottom w:val="single" w:sz="8" w:space="0" w:color="000000"/>
              <w:right w:val="single" w:sz="8" w:space="0" w:color="000000"/>
            </w:tcBorders>
            <w:vAlign w:val="center"/>
            <w:hideMark/>
          </w:tcPr>
          <w:p w14:paraId="73F9C902" w14:textId="7777777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b/>
                <w:bCs/>
                <w:color w:val="000000"/>
                <w:sz w:val="22"/>
                <w:lang w:eastAsia="ru-RU"/>
              </w:rPr>
              <w:t>га</w:t>
            </w:r>
          </w:p>
        </w:tc>
        <w:tc>
          <w:tcPr>
            <w:tcW w:w="1766" w:type="dxa"/>
            <w:tcBorders>
              <w:top w:val="nil"/>
              <w:left w:val="nil"/>
              <w:bottom w:val="single" w:sz="8" w:space="0" w:color="000000"/>
              <w:right w:val="single" w:sz="8" w:space="0" w:color="000000"/>
            </w:tcBorders>
            <w:vAlign w:val="center"/>
            <w:hideMark/>
          </w:tcPr>
          <w:p w14:paraId="50A14DF5" w14:textId="4C61B566" w:rsidR="000B6128" w:rsidRPr="00731FE2" w:rsidRDefault="000B6128" w:rsidP="000B6128">
            <w:pPr>
              <w:spacing w:line="240" w:lineRule="auto"/>
              <w:ind w:firstLine="44"/>
              <w:jc w:val="center"/>
              <w:rPr>
                <w:rFonts w:ascii="Times New Roman" w:eastAsia="Times New Roman" w:hAnsi="Times New Roman" w:cs="Times New Roman"/>
                <w:sz w:val="22"/>
                <w:lang w:eastAsia="ru-RU"/>
              </w:rPr>
            </w:pPr>
            <w:r w:rsidRPr="00731FE2">
              <w:rPr>
                <w:rFonts w:ascii="Times New Roman" w:hAnsi="Times New Roman" w:cs="Times New Roman"/>
                <w:b/>
                <w:bCs/>
                <w:sz w:val="22"/>
              </w:rPr>
              <w:t>74,63</w:t>
            </w:r>
          </w:p>
        </w:tc>
        <w:tc>
          <w:tcPr>
            <w:tcW w:w="1766" w:type="dxa"/>
            <w:tcBorders>
              <w:top w:val="nil"/>
              <w:left w:val="nil"/>
              <w:bottom w:val="single" w:sz="8" w:space="0" w:color="000000"/>
              <w:right w:val="single" w:sz="8" w:space="0" w:color="000000"/>
            </w:tcBorders>
            <w:vAlign w:val="center"/>
            <w:hideMark/>
          </w:tcPr>
          <w:p w14:paraId="57389023" w14:textId="460B2E0A" w:rsidR="000B6128" w:rsidRPr="00731FE2" w:rsidRDefault="000B6128" w:rsidP="000B6128">
            <w:pPr>
              <w:spacing w:line="240" w:lineRule="auto"/>
              <w:ind w:firstLine="44"/>
              <w:jc w:val="center"/>
              <w:rPr>
                <w:rFonts w:ascii="Times New Roman" w:eastAsia="Times New Roman" w:hAnsi="Times New Roman" w:cs="Times New Roman"/>
                <w:sz w:val="22"/>
                <w:lang w:eastAsia="ru-RU"/>
              </w:rPr>
            </w:pPr>
            <w:r w:rsidRPr="00731FE2">
              <w:rPr>
                <w:rFonts w:ascii="Times New Roman" w:hAnsi="Times New Roman" w:cs="Times New Roman"/>
                <w:b/>
                <w:bCs/>
                <w:sz w:val="22"/>
              </w:rPr>
              <w:t>74,63</w:t>
            </w:r>
          </w:p>
        </w:tc>
      </w:tr>
      <w:tr w:rsidR="000B6128" w:rsidRPr="00731FE2" w14:paraId="1941E1BE" w14:textId="77777777" w:rsidTr="00FE28EA">
        <w:trPr>
          <w:trHeight w:val="58"/>
          <w:tblCellSpacing w:w="0" w:type="dxa"/>
        </w:trPr>
        <w:tc>
          <w:tcPr>
            <w:tcW w:w="0" w:type="auto"/>
            <w:vMerge/>
            <w:tcBorders>
              <w:top w:val="nil"/>
              <w:left w:val="single" w:sz="8" w:space="0" w:color="000000"/>
              <w:bottom w:val="single" w:sz="8" w:space="0" w:color="000000"/>
              <w:right w:val="single" w:sz="8" w:space="0" w:color="000000"/>
            </w:tcBorders>
            <w:vAlign w:val="center"/>
            <w:hideMark/>
          </w:tcPr>
          <w:p w14:paraId="4E3FFE48" w14:textId="77777777" w:rsidR="000B6128" w:rsidRPr="00731FE2" w:rsidRDefault="000B6128" w:rsidP="000B6128">
            <w:pPr>
              <w:spacing w:line="240" w:lineRule="auto"/>
              <w:ind w:firstLine="0"/>
              <w:jc w:val="left"/>
              <w:rPr>
                <w:rFonts w:ascii="Times New Roman" w:eastAsia="Times New Roman" w:hAnsi="Times New Roman" w:cs="Times New Roman"/>
                <w:sz w:val="22"/>
                <w:lang w:eastAsia="ru-RU"/>
              </w:rPr>
            </w:pPr>
          </w:p>
        </w:tc>
        <w:tc>
          <w:tcPr>
            <w:tcW w:w="3417" w:type="dxa"/>
            <w:tcBorders>
              <w:top w:val="nil"/>
              <w:left w:val="nil"/>
              <w:bottom w:val="single" w:sz="8" w:space="0" w:color="000000"/>
              <w:right w:val="single" w:sz="8" w:space="0" w:color="000000"/>
            </w:tcBorders>
            <w:vAlign w:val="center"/>
            <w:hideMark/>
          </w:tcPr>
          <w:p w14:paraId="080AFDDB" w14:textId="77777777" w:rsidR="000B6128" w:rsidRPr="00731FE2" w:rsidRDefault="000B6128" w:rsidP="000B6128">
            <w:pPr>
              <w:spacing w:line="240" w:lineRule="auto"/>
              <w:ind w:firstLine="0"/>
              <w:rPr>
                <w:rFonts w:ascii="Times New Roman" w:eastAsia="Times New Roman" w:hAnsi="Times New Roman" w:cs="Times New Roman"/>
                <w:sz w:val="22"/>
                <w:lang w:eastAsia="ru-RU"/>
              </w:rPr>
            </w:pPr>
            <w:r w:rsidRPr="00731FE2">
              <w:rPr>
                <w:rFonts w:ascii="Times New Roman" w:eastAsia="Times New Roman" w:hAnsi="Times New Roman" w:cs="Times New Roman"/>
                <w:b/>
                <w:bCs/>
                <w:color w:val="000000"/>
                <w:sz w:val="22"/>
                <w:lang w:eastAsia="ru-RU"/>
              </w:rPr>
              <w:t xml:space="preserve">Жилые зоны, </w:t>
            </w:r>
            <w:r w:rsidRPr="00731FE2">
              <w:rPr>
                <w:rFonts w:ascii="Times New Roman" w:eastAsia="Times New Roman" w:hAnsi="Times New Roman" w:cs="Times New Roman"/>
                <w:color w:val="000000"/>
                <w:sz w:val="22"/>
                <w:lang w:eastAsia="ru-RU"/>
              </w:rPr>
              <w:t>в том числе:</w:t>
            </w:r>
          </w:p>
        </w:tc>
        <w:tc>
          <w:tcPr>
            <w:tcW w:w="1525" w:type="dxa"/>
            <w:tcBorders>
              <w:top w:val="nil"/>
              <w:left w:val="nil"/>
              <w:bottom w:val="single" w:sz="8" w:space="0" w:color="000000"/>
              <w:right w:val="single" w:sz="8" w:space="0" w:color="000000"/>
            </w:tcBorders>
            <w:vAlign w:val="center"/>
            <w:hideMark/>
          </w:tcPr>
          <w:p w14:paraId="28B96B0A" w14:textId="7777777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b/>
                <w:bCs/>
                <w:color w:val="000000"/>
                <w:sz w:val="22"/>
                <w:lang w:eastAsia="ru-RU"/>
              </w:rPr>
              <w:t>га</w:t>
            </w:r>
          </w:p>
        </w:tc>
        <w:tc>
          <w:tcPr>
            <w:tcW w:w="1766" w:type="dxa"/>
            <w:tcBorders>
              <w:top w:val="nil"/>
              <w:left w:val="nil"/>
              <w:bottom w:val="single" w:sz="8" w:space="0" w:color="000000"/>
              <w:right w:val="single" w:sz="8" w:space="0" w:color="000000"/>
            </w:tcBorders>
            <w:vAlign w:val="center"/>
            <w:hideMark/>
          </w:tcPr>
          <w:p w14:paraId="6C4C261D" w14:textId="20D2B772" w:rsidR="000B6128" w:rsidRPr="00731FE2" w:rsidRDefault="000B6128" w:rsidP="000B6128">
            <w:pPr>
              <w:spacing w:line="240" w:lineRule="auto"/>
              <w:ind w:firstLine="44"/>
              <w:jc w:val="center"/>
              <w:rPr>
                <w:rFonts w:ascii="Times New Roman" w:eastAsia="Times New Roman" w:hAnsi="Times New Roman" w:cs="Times New Roman"/>
                <w:sz w:val="22"/>
                <w:lang w:eastAsia="ru-RU"/>
              </w:rPr>
            </w:pPr>
            <w:r w:rsidRPr="00731FE2">
              <w:rPr>
                <w:rFonts w:ascii="Times New Roman" w:hAnsi="Times New Roman" w:cs="Times New Roman"/>
                <w:b/>
                <w:bCs/>
                <w:sz w:val="22"/>
              </w:rPr>
              <w:t>45,93</w:t>
            </w:r>
          </w:p>
        </w:tc>
        <w:tc>
          <w:tcPr>
            <w:tcW w:w="1766" w:type="dxa"/>
            <w:tcBorders>
              <w:top w:val="nil"/>
              <w:left w:val="nil"/>
              <w:bottom w:val="single" w:sz="8" w:space="0" w:color="000000"/>
              <w:right w:val="single" w:sz="8" w:space="0" w:color="000000"/>
            </w:tcBorders>
            <w:vAlign w:val="center"/>
            <w:hideMark/>
          </w:tcPr>
          <w:p w14:paraId="405F0B50" w14:textId="3FF8569B" w:rsidR="000B6128" w:rsidRPr="00731FE2" w:rsidRDefault="000B6128" w:rsidP="000B6128">
            <w:pPr>
              <w:spacing w:line="240" w:lineRule="auto"/>
              <w:ind w:firstLine="44"/>
              <w:jc w:val="center"/>
              <w:rPr>
                <w:rFonts w:ascii="Times New Roman" w:eastAsia="Times New Roman" w:hAnsi="Times New Roman" w:cs="Times New Roman"/>
                <w:sz w:val="22"/>
                <w:lang w:eastAsia="ru-RU"/>
              </w:rPr>
            </w:pPr>
            <w:r w:rsidRPr="00731FE2">
              <w:rPr>
                <w:rFonts w:ascii="Times New Roman" w:hAnsi="Times New Roman" w:cs="Times New Roman"/>
                <w:b/>
                <w:bCs/>
                <w:sz w:val="22"/>
              </w:rPr>
              <w:t>45,93</w:t>
            </w:r>
          </w:p>
        </w:tc>
      </w:tr>
      <w:tr w:rsidR="000B6128" w:rsidRPr="00731FE2" w14:paraId="296DE7DD" w14:textId="77777777" w:rsidTr="00FE28EA">
        <w:trPr>
          <w:trHeight w:val="58"/>
          <w:tblCellSpacing w:w="0" w:type="dxa"/>
        </w:trPr>
        <w:tc>
          <w:tcPr>
            <w:tcW w:w="0" w:type="auto"/>
            <w:vMerge/>
            <w:tcBorders>
              <w:top w:val="nil"/>
              <w:left w:val="single" w:sz="8" w:space="0" w:color="000000"/>
              <w:bottom w:val="single" w:sz="8" w:space="0" w:color="000000"/>
              <w:right w:val="single" w:sz="8" w:space="0" w:color="000000"/>
            </w:tcBorders>
            <w:vAlign w:val="center"/>
            <w:hideMark/>
          </w:tcPr>
          <w:p w14:paraId="0F7DFC29" w14:textId="77777777" w:rsidR="000B6128" w:rsidRPr="00731FE2" w:rsidRDefault="000B6128" w:rsidP="000B6128">
            <w:pPr>
              <w:spacing w:line="240" w:lineRule="auto"/>
              <w:ind w:firstLine="0"/>
              <w:jc w:val="left"/>
              <w:rPr>
                <w:rFonts w:ascii="Times New Roman" w:eastAsia="Times New Roman" w:hAnsi="Times New Roman" w:cs="Times New Roman"/>
                <w:sz w:val="22"/>
                <w:lang w:eastAsia="ru-RU"/>
              </w:rPr>
            </w:pPr>
          </w:p>
        </w:tc>
        <w:tc>
          <w:tcPr>
            <w:tcW w:w="3417" w:type="dxa"/>
            <w:tcBorders>
              <w:top w:val="nil"/>
              <w:left w:val="nil"/>
              <w:bottom w:val="single" w:sz="8" w:space="0" w:color="000000"/>
              <w:right w:val="single" w:sz="8" w:space="0" w:color="000000"/>
            </w:tcBorders>
            <w:vAlign w:val="center"/>
            <w:hideMark/>
          </w:tcPr>
          <w:p w14:paraId="6F3F64F8" w14:textId="77777777" w:rsidR="000B6128" w:rsidRPr="00731FE2" w:rsidRDefault="000B6128" w:rsidP="000B6128">
            <w:pPr>
              <w:spacing w:line="240" w:lineRule="auto"/>
              <w:ind w:firstLine="0"/>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Зона застройки индивидуальными жилыми домами</w:t>
            </w:r>
          </w:p>
        </w:tc>
        <w:tc>
          <w:tcPr>
            <w:tcW w:w="1525" w:type="dxa"/>
            <w:tcBorders>
              <w:top w:val="nil"/>
              <w:left w:val="nil"/>
              <w:bottom w:val="single" w:sz="8" w:space="0" w:color="000000"/>
              <w:right w:val="single" w:sz="8" w:space="0" w:color="000000"/>
            </w:tcBorders>
            <w:vAlign w:val="center"/>
            <w:hideMark/>
          </w:tcPr>
          <w:p w14:paraId="6E116125" w14:textId="7777777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га</w:t>
            </w:r>
          </w:p>
        </w:tc>
        <w:tc>
          <w:tcPr>
            <w:tcW w:w="1766" w:type="dxa"/>
            <w:tcBorders>
              <w:top w:val="nil"/>
              <w:left w:val="nil"/>
              <w:bottom w:val="single" w:sz="8" w:space="0" w:color="000000"/>
              <w:right w:val="single" w:sz="8" w:space="0" w:color="000000"/>
            </w:tcBorders>
            <w:vAlign w:val="center"/>
            <w:hideMark/>
          </w:tcPr>
          <w:p w14:paraId="2BC8CDBE" w14:textId="0B212A31" w:rsidR="000B6128" w:rsidRPr="00731FE2" w:rsidRDefault="000B6128" w:rsidP="000B6128">
            <w:pPr>
              <w:spacing w:line="240" w:lineRule="auto"/>
              <w:ind w:firstLine="44"/>
              <w:jc w:val="center"/>
              <w:rPr>
                <w:rFonts w:ascii="Times New Roman" w:eastAsia="Times New Roman" w:hAnsi="Times New Roman" w:cs="Times New Roman"/>
                <w:sz w:val="22"/>
                <w:lang w:eastAsia="ru-RU"/>
              </w:rPr>
            </w:pPr>
            <w:r w:rsidRPr="00731FE2">
              <w:rPr>
                <w:rFonts w:ascii="Times New Roman" w:hAnsi="Times New Roman" w:cs="Times New Roman"/>
                <w:sz w:val="22"/>
              </w:rPr>
              <w:t>45,93</w:t>
            </w:r>
          </w:p>
        </w:tc>
        <w:tc>
          <w:tcPr>
            <w:tcW w:w="1766" w:type="dxa"/>
            <w:tcBorders>
              <w:top w:val="nil"/>
              <w:left w:val="nil"/>
              <w:bottom w:val="single" w:sz="8" w:space="0" w:color="000000"/>
              <w:right w:val="single" w:sz="8" w:space="0" w:color="000000"/>
            </w:tcBorders>
            <w:vAlign w:val="center"/>
            <w:hideMark/>
          </w:tcPr>
          <w:p w14:paraId="5189AAE5" w14:textId="791BF953" w:rsidR="000B6128" w:rsidRPr="00731FE2" w:rsidRDefault="000B6128" w:rsidP="000B6128">
            <w:pPr>
              <w:spacing w:line="240" w:lineRule="auto"/>
              <w:ind w:firstLine="44"/>
              <w:jc w:val="center"/>
              <w:rPr>
                <w:rFonts w:ascii="Times New Roman" w:eastAsia="Times New Roman" w:hAnsi="Times New Roman" w:cs="Times New Roman"/>
                <w:sz w:val="22"/>
                <w:lang w:eastAsia="ru-RU"/>
              </w:rPr>
            </w:pPr>
            <w:r w:rsidRPr="00731FE2">
              <w:rPr>
                <w:rFonts w:ascii="Times New Roman" w:hAnsi="Times New Roman" w:cs="Times New Roman"/>
                <w:sz w:val="22"/>
              </w:rPr>
              <w:t>45,93</w:t>
            </w:r>
          </w:p>
        </w:tc>
      </w:tr>
      <w:tr w:rsidR="000B6128" w:rsidRPr="00731FE2" w14:paraId="60B5E35E" w14:textId="77777777" w:rsidTr="00FE28EA">
        <w:trPr>
          <w:trHeight w:val="58"/>
          <w:tblCellSpacing w:w="0" w:type="dxa"/>
        </w:trPr>
        <w:tc>
          <w:tcPr>
            <w:tcW w:w="0" w:type="auto"/>
            <w:vMerge/>
            <w:tcBorders>
              <w:top w:val="nil"/>
              <w:left w:val="single" w:sz="8" w:space="0" w:color="000000"/>
              <w:bottom w:val="single" w:sz="8" w:space="0" w:color="000000"/>
              <w:right w:val="single" w:sz="8" w:space="0" w:color="000000"/>
            </w:tcBorders>
            <w:vAlign w:val="center"/>
            <w:hideMark/>
          </w:tcPr>
          <w:p w14:paraId="7864C680" w14:textId="77777777" w:rsidR="000B6128" w:rsidRPr="00731FE2" w:rsidRDefault="000B6128" w:rsidP="000B6128">
            <w:pPr>
              <w:spacing w:line="240" w:lineRule="auto"/>
              <w:ind w:firstLine="0"/>
              <w:jc w:val="left"/>
              <w:rPr>
                <w:rFonts w:ascii="Times New Roman" w:eastAsia="Times New Roman" w:hAnsi="Times New Roman" w:cs="Times New Roman"/>
                <w:sz w:val="22"/>
                <w:lang w:eastAsia="ru-RU"/>
              </w:rPr>
            </w:pPr>
          </w:p>
        </w:tc>
        <w:tc>
          <w:tcPr>
            <w:tcW w:w="3417" w:type="dxa"/>
            <w:tcBorders>
              <w:top w:val="nil"/>
              <w:left w:val="nil"/>
              <w:bottom w:val="single" w:sz="8" w:space="0" w:color="000000"/>
              <w:right w:val="single" w:sz="8" w:space="0" w:color="000000"/>
            </w:tcBorders>
            <w:vAlign w:val="center"/>
            <w:hideMark/>
          </w:tcPr>
          <w:p w14:paraId="4D2005B3" w14:textId="77777777" w:rsidR="000B6128" w:rsidRPr="00731FE2" w:rsidRDefault="000B6128" w:rsidP="000B6128">
            <w:pPr>
              <w:spacing w:line="240" w:lineRule="auto"/>
              <w:ind w:firstLine="0"/>
              <w:rPr>
                <w:rFonts w:ascii="Times New Roman" w:eastAsia="Times New Roman" w:hAnsi="Times New Roman" w:cs="Times New Roman"/>
                <w:sz w:val="22"/>
                <w:lang w:eastAsia="ru-RU"/>
              </w:rPr>
            </w:pPr>
            <w:r w:rsidRPr="00731FE2">
              <w:rPr>
                <w:rFonts w:ascii="Times New Roman" w:eastAsia="Times New Roman" w:hAnsi="Times New Roman" w:cs="Times New Roman"/>
                <w:b/>
                <w:bCs/>
                <w:color w:val="000000"/>
                <w:sz w:val="22"/>
                <w:lang w:eastAsia="ru-RU"/>
              </w:rPr>
              <w:t xml:space="preserve">Зоны общественно-делового использования, </w:t>
            </w:r>
            <w:r w:rsidRPr="00731FE2">
              <w:rPr>
                <w:rFonts w:ascii="Times New Roman" w:eastAsia="Times New Roman" w:hAnsi="Times New Roman" w:cs="Times New Roman"/>
                <w:color w:val="000000"/>
                <w:sz w:val="22"/>
                <w:lang w:eastAsia="ru-RU"/>
              </w:rPr>
              <w:t>в том числе:</w:t>
            </w:r>
          </w:p>
        </w:tc>
        <w:tc>
          <w:tcPr>
            <w:tcW w:w="1525" w:type="dxa"/>
            <w:tcBorders>
              <w:top w:val="nil"/>
              <w:left w:val="nil"/>
              <w:bottom w:val="single" w:sz="8" w:space="0" w:color="000000"/>
              <w:right w:val="single" w:sz="8" w:space="0" w:color="000000"/>
            </w:tcBorders>
            <w:vAlign w:val="center"/>
            <w:hideMark/>
          </w:tcPr>
          <w:p w14:paraId="60877EC4" w14:textId="7777777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b/>
                <w:bCs/>
                <w:color w:val="000000"/>
                <w:sz w:val="22"/>
                <w:lang w:eastAsia="ru-RU"/>
              </w:rPr>
              <w:t>га</w:t>
            </w:r>
          </w:p>
        </w:tc>
        <w:tc>
          <w:tcPr>
            <w:tcW w:w="1766" w:type="dxa"/>
            <w:tcBorders>
              <w:top w:val="nil"/>
              <w:left w:val="nil"/>
              <w:bottom w:val="single" w:sz="8" w:space="0" w:color="000000"/>
              <w:right w:val="single" w:sz="8" w:space="0" w:color="000000"/>
            </w:tcBorders>
            <w:vAlign w:val="center"/>
            <w:hideMark/>
          </w:tcPr>
          <w:p w14:paraId="4916FDC5" w14:textId="3ED4E508" w:rsidR="000B6128" w:rsidRPr="00731FE2" w:rsidRDefault="000B6128" w:rsidP="000B6128">
            <w:pPr>
              <w:spacing w:line="240" w:lineRule="auto"/>
              <w:ind w:firstLine="44"/>
              <w:jc w:val="center"/>
              <w:rPr>
                <w:rFonts w:ascii="Times New Roman" w:eastAsia="Times New Roman" w:hAnsi="Times New Roman" w:cs="Times New Roman"/>
                <w:sz w:val="22"/>
                <w:lang w:eastAsia="ru-RU"/>
              </w:rPr>
            </w:pPr>
            <w:r w:rsidRPr="00731FE2">
              <w:rPr>
                <w:rFonts w:ascii="Times New Roman" w:hAnsi="Times New Roman" w:cs="Times New Roman"/>
                <w:b/>
                <w:bCs/>
                <w:sz w:val="22"/>
              </w:rPr>
              <w:t>0,59</w:t>
            </w:r>
          </w:p>
        </w:tc>
        <w:tc>
          <w:tcPr>
            <w:tcW w:w="1766" w:type="dxa"/>
            <w:tcBorders>
              <w:top w:val="nil"/>
              <w:left w:val="nil"/>
              <w:bottom w:val="single" w:sz="8" w:space="0" w:color="000000"/>
              <w:right w:val="single" w:sz="8" w:space="0" w:color="000000"/>
            </w:tcBorders>
            <w:vAlign w:val="center"/>
            <w:hideMark/>
          </w:tcPr>
          <w:p w14:paraId="12123CDF" w14:textId="5F8A197C" w:rsidR="000B6128" w:rsidRPr="00731FE2" w:rsidRDefault="000B6128" w:rsidP="000B6128">
            <w:pPr>
              <w:spacing w:line="240" w:lineRule="auto"/>
              <w:ind w:firstLine="44"/>
              <w:jc w:val="center"/>
              <w:rPr>
                <w:rFonts w:ascii="Times New Roman" w:eastAsia="Times New Roman" w:hAnsi="Times New Roman" w:cs="Times New Roman"/>
                <w:sz w:val="22"/>
                <w:lang w:eastAsia="ru-RU"/>
              </w:rPr>
            </w:pPr>
            <w:r w:rsidRPr="00731FE2">
              <w:rPr>
                <w:rFonts w:ascii="Times New Roman" w:hAnsi="Times New Roman" w:cs="Times New Roman"/>
                <w:b/>
                <w:bCs/>
                <w:sz w:val="22"/>
              </w:rPr>
              <w:t>0,59</w:t>
            </w:r>
          </w:p>
        </w:tc>
      </w:tr>
      <w:tr w:rsidR="000B6128" w:rsidRPr="00731FE2" w14:paraId="2E5A2FC8" w14:textId="77777777" w:rsidTr="00FE28EA">
        <w:trPr>
          <w:trHeight w:val="58"/>
          <w:tblCellSpacing w:w="0" w:type="dxa"/>
        </w:trPr>
        <w:tc>
          <w:tcPr>
            <w:tcW w:w="0" w:type="auto"/>
            <w:vMerge/>
            <w:tcBorders>
              <w:top w:val="nil"/>
              <w:left w:val="single" w:sz="8" w:space="0" w:color="000000"/>
              <w:bottom w:val="single" w:sz="8" w:space="0" w:color="000000"/>
              <w:right w:val="single" w:sz="8" w:space="0" w:color="000000"/>
            </w:tcBorders>
            <w:vAlign w:val="center"/>
            <w:hideMark/>
          </w:tcPr>
          <w:p w14:paraId="3CE07B5E" w14:textId="77777777" w:rsidR="000B6128" w:rsidRPr="00731FE2" w:rsidRDefault="000B6128" w:rsidP="000B6128">
            <w:pPr>
              <w:spacing w:line="240" w:lineRule="auto"/>
              <w:ind w:firstLine="0"/>
              <w:jc w:val="left"/>
              <w:rPr>
                <w:rFonts w:ascii="Times New Roman" w:eastAsia="Times New Roman" w:hAnsi="Times New Roman" w:cs="Times New Roman"/>
                <w:sz w:val="22"/>
                <w:lang w:eastAsia="ru-RU"/>
              </w:rPr>
            </w:pPr>
          </w:p>
        </w:tc>
        <w:tc>
          <w:tcPr>
            <w:tcW w:w="3417" w:type="dxa"/>
            <w:tcBorders>
              <w:top w:val="nil"/>
              <w:left w:val="nil"/>
              <w:bottom w:val="single" w:sz="8" w:space="0" w:color="000000"/>
              <w:right w:val="single" w:sz="8" w:space="0" w:color="000000"/>
            </w:tcBorders>
            <w:vAlign w:val="center"/>
            <w:hideMark/>
          </w:tcPr>
          <w:p w14:paraId="0AE9A669" w14:textId="77777777" w:rsidR="000B6128" w:rsidRPr="00731FE2" w:rsidRDefault="000B6128" w:rsidP="000B6128">
            <w:pPr>
              <w:spacing w:line="240" w:lineRule="auto"/>
              <w:ind w:firstLine="0"/>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Общественно-деловые зоны</w:t>
            </w:r>
          </w:p>
        </w:tc>
        <w:tc>
          <w:tcPr>
            <w:tcW w:w="1525" w:type="dxa"/>
            <w:tcBorders>
              <w:top w:val="nil"/>
              <w:left w:val="nil"/>
              <w:bottom w:val="single" w:sz="8" w:space="0" w:color="000000"/>
              <w:right w:val="single" w:sz="8" w:space="0" w:color="000000"/>
            </w:tcBorders>
            <w:vAlign w:val="center"/>
            <w:hideMark/>
          </w:tcPr>
          <w:p w14:paraId="40A1B4C7" w14:textId="7777777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га</w:t>
            </w:r>
          </w:p>
        </w:tc>
        <w:tc>
          <w:tcPr>
            <w:tcW w:w="1766" w:type="dxa"/>
            <w:tcBorders>
              <w:top w:val="nil"/>
              <w:left w:val="nil"/>
              <w:bottom w:val="single" w:sz="8" w:space="0" w:color="000000"/>
              <w:right w:val="single" w:sz="8" w:space="0" w:color="000000"/>
            </w:tcBorders>
            <w:vAlign w:val="center"/>
            <w:hideMark/>
          </w:tcPr>
          <w:p w14:paraId="16A11DB2" w14:textId="3F57870F" w:rsidR="000B6128" w:rsidRPr="00731FE2" w:rsidRDefault="000B6128" w:rsidP="000B6128">
            <w:pPr>
              <w:spacing w:line="240" w:lineRule="auto"/>
              <w:ind w:firstLine="44"/>
              <w:jc w:val="center"/>
              <w:rPr>
                <w:rFonts w:ascii="Times New Roman" w:eastAsia="Times New Roman" w:hAnsi="Times New Roman" w:cs="Times New Roman"/>
                <w:sz w:val="22"/>
                <w:lang w:eastAsia="ru-RU"/>
              </w:rPr>
            </w:pPr>
            <w:r w:rsidRPr="00731FE2">
              <w:rPr>
                <w:rFonts w:ascii="Times New Roman" w:hAnsi="Times New Roman" w:cs="Times New Roman"/>
                <w:sz w:val="22"/>
              </w:rPr>
              <w:t>0,59</w:t>
            </w:r>
          </w:p>
        </w:tc>
        <w:tc>
          <w:tcPr>
            <w:tcW w:w="1766" w:type="dxa"/>
            <w:tcBorders>
              <w:top w:val="nil"/>
              <w:left w:val="nil"/>
              <w:bottom w:val="single" w:sz="8" w:space="0" w:color="000000"/>
              <w:right w:val="single" w:sz="8" w:space="0" w:color="000000"/>
            </w:tcBorders>
            <w:vAlign w:val="center"/>
            <w:hideMark/>
          </w:tcPr>
          <w:p w14:paraId="3DFD029E" w14:textId="4054E090" w:rsidR="000B6128" w:rsidRPr="00731FE2" w:rsidRDefault="000B6128" w:rsidP="000B6128">
            <w:pPr>
              <w:spacing w:line="240" w:lineRule="auto"/>
              <w:ind w:firstLine="44"/>
              <w:jc w:val="center"/>
              <w:rPr>
                <w:rFonts w:ascii="Times New Roman" w:eastAsia="Times New Roman" w:hAnsi="Times New Roman" w:cs="Times New Roman"/>
                <w:sz w:val="22"/>
                <w:lang w:eastAsia="ru-RU"/>
              </w:rPr>
            </w:pPr>
            <w:r w:rsidRPr="00731FE2">
              <w:rPr>
                <w:rFonts w:ascii="Times New Roman" w:hAnsi="Times New Roman" w:cs="Times New Roman"/>
                <w:sz w:val="22"/>
              </w:rPr>
              <w:t>0,59</w:t>
            </w:r>
          </w:p>
        </w:tc>
      </w:tr>
      <w:tr w:rsidR="000B6128" w:rsidRPr="00731FE2" w14:paraId="02731338" w14:textId="77777777" w:rsidTr="00FE28EA">
        <w:trPr>
          <w:trHeight w:val="58"/>
          <w:tblCellSpacing w:w="0" w:type="dxa"/>
        </w:trPr>
        <w:tc>
          <w:tcPr>
            <w:tcW w:w="0" w:type="auto"/>
            <w:vMerge/>
            <w:tcBorders>
              <w:top w:val="nil"/>
              <w:left w:val="single" w:sz="8" w:space="0" w:color="000000"/>
              <w:bottom w:val="single" w:sz="8" w:space="0" w:color="000000"/>
              <w:right w:val="single" w:sz="8" w:space="0" w:color="000000"/>
            </w:tcBorders>
            <w:vAlign w:val="center"/>
            <w:hideMark/>
          </w:tcPr>
          <w:p w14:paraId="54E7D0F7" w14:textId="77777777" w:rsidR="000B6128" w:rsidRPr="00731FE2" w:rsidRDefault="000B6128" w:rsidP="000B6128">
            <w:pPr>
              <w:spacing w:line="240" w:lineRule="auto"/>
              <w:ind w:firstLine="0"/>
              <w:jc w:val="left"/>
              <w:rPr>
                <w:rFonts w:ascii="Times New Roman" w:eastAsia="Times New Roman" w:hAnsi="Times New Roman" w:cs="Times New Roman"/>
                <w:sz w:val="22"/>
                <w:lang w:eastAsia="ru-RU"/>
              </w:rPr>
            </w:pPr>
          </w:p>
        </w:tc>
        <w:tc>
          <w:tcPr>
            <w:tcW w:w="3417" w:type="dxa"/>
            <w:tcBorders>
              <w:top w:val="nil"/>
              <w:left w:val="nil"/>
              <w:bottom w:val="single" w:sz="8" w:space="0" w:color="000000"/>
              <w:right w:val="single" w:sz="8" w:space="0" w:color="000000"/>
            </w:tcBorders>
            <w:vAlign w:val="center"/>
            <w:hideMark/>
          </w:tcPr>
          <w:p w14:paraId="5C486E3E" w14:textId="77777777" w:rsidR="000B6128" w:rsidRPr="00731FE2" w:rsidRDefault="000B6128" w:rsidP="000B6128">
            <w:pPr>
              <w:spacing w:line="240" w:lineRule="auto"/>
              <w:ind w:firstLine="0"/>
              <w:rPr>
                <w:rFonts w:ascii="Times New Roman" w:eastAsia="Times New Roman" w:hAnsi="Times New Roman" w:cs="Times New Roman"/>
                <w:sz w:val="22"/>
                <w:lang w:eastAsia="ru-RU"/>
              </w:rPr>
            </w:pPr>
            <w:r w:rsidRPr="00731FE2">
              <w:rPr>
                <w:rFonts w:ascii="Times New Roman" w:eastAsia="Times New Roman" w:hAnsi="Times New Roman" w:cs="Times New Roman"/>
                <w:b/>
                <w:bCs/>
                <w:color w:val="000000"/>
                <w:sz w:val="22"/>
                <w:lang w:eastAsia="ru-RU"/>
              </w:rPr>
              <w:t xml:space="preserve">Зоны производственного, инженерного и транспортного использования, </w:t>
            </w:r>
            <w:r w:rsidRPr="00731FE2">
              <w:rPr>
                <w:rFonts w:ascii="Times New Roman" w:eastAsia="Times New Roman" w:hAnsi="Times New Roman" w:cs="Times New Roman"/>
                <w:color w:val="000000"/>
                <w:sz w:val="22"/>
                <w:lang w:eastAsia="ru-RU"/>
              </w:rPr>
              <w:t>в том числе:</w:t>
            </w:r>
          </w:p>
        </w:tc>
        <w:tc>
          <w:tcPr>
            <w:tcW w:w="1525" w:type="dxa"/>
            <w:tcBorders>
              <w:top w:val="nil"/>
              <w:left w:val="nil"/>
              <w:bottom w:val="single" w:sz="8" w:space="0" w:color="000000"/>
              <w:right w:val="single" w:sz="8" w:space="0" w:color="000000"/>
            </w:tcBorders>
            <w:vAlign w:val="center"/>
            <w:hideMark/>
          </w:tcPr>
          <w:p w14:paraId="61BA2A8C" w14:textId="7777777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b/>
                <w:bCs/>
                <w:color w:val="000000"/>
                <w:sz w:val="22"/>
                <w:lang w:eastAsia="ru-RU"/>
              </w:rPr>
              <w:t>га</w:t>
            </w:r>
          </w:p>
        </w:tc>
        <w:tc>
          <w:tcPr>
            <w:tcW w:w="1766" w:type="dxa"/>
            <w:tcBorders>
              <w:top w:val="nil"/>
              <w:left w:val="nil"/>
              <w:bottom w:val="single" w:sz="8" w:space="0" w:color="000000"/>
              <w:right w:val="single" w:sz="8" w:space="0" w:color="000000"/>
            </w:tcBorders>
            <w:vAlign w:val="center"/>
            <w:hideMark/>
          </w:tcPr>
          <w:p w14:paraId="3DFF1786" w14:textId="60C10AC2" w:rsidR="000B6128" w:rsidRPr="00731FE2" w:rsidRDefault="000B6128" w:rsidP="000B6128">
            <w:pPr>
              <w:spacing w:line="240" w:lineRule="auto"/>
              <w:ind w:firstLine="44"/>
              <w:jc w:val="center"/>
              <w:rPr>
                <w:rFonts w:ascii="Times New Roman" w:eastAsia="Times New Roman" w:hAnsi="Times New Roman" w:cs="Times New Roman"/>
                <w:sz w:val="22"/>
                <w:lang w:eastAsia="ru-RU"/>
              </w:rPr>
            </w:pPr>
            <w:r w:rsidRPr="00731FE2">
              <w:rPr>
                <w:rFonts w:ascii="Times New Roman" w:hAnsi="Times New Roman" w:cs="Times New Roman"/>
                <w:b/>
                <w:bCs/>
                <w:sz w:val="22"/>
              </w:rPr>
              <w:t>3,99</w:t>
            </w:r>
          </w:p>
        </w:tc>
        <w:tc>
          <w:tcPr>
            <w:tcW w:w="1766" w:type="dxa"/>
            <w:tcBorders>
              <w:top w:val="nil"/>
              <w:left w:val="nil"/>
              <w:bottom w:val="single" w:sz="8" w:space="0" w:color="000000"/>
              <w:right w:val="single" w:sz="8" w:space="0" w:color="000000"/>
            </w:tcBorders>
            <w:vAlign w:val="center"/>
            <w:hideMark/>
          </w:tcPr>
          <w:p w14:paraId="7E364146" w14:textId="270ECB6A" w:rsidR="000B6128" w:rsidRPr="00731FE2" w:rsidRDefault="000B6128" w:rsidP="000B6128">
            <w:pPr>
              <w:spacing w:line="240" w:lineRule="auto"/>
              <w:ind w:firstLine="44"/>
              <w:jc w:val="center"/>
              <w:rPr>
                <w:rFonts w:ascii="Times New Roman" w:eastAsia="Times New Roman" w:hAnsi="Times New Roman" w:cs="Times New Roman"/>
                <w:sz w:val="22"/>
                <w:lang w:eastAsia="ru-RU"/>
              </w:rPr>
            </w:pPr>
            <w:r w:rsidRPr="00731FE2">
              <w:rPr>
                <w:rFonts w:ascii="Times New Roman" w:hAnsi="Times New Roman" w:cs="Times New Roman"/>
                <w:b/>
                <w:bCs/>
                <w:sz w:val="22"/>
              </w:rPr>
              <w:t>3,99</w:t>
            </w:r>
          </w:p>
        </w:tc>
      </w:tr>
      <w:tr w:rsidR="000B6128" w:rsidRPr="00731FE2" w14:paraId="385C2106" w14:textId="77777777" w:rsidTr="00FE28EA">
        <w:trPr>
          <w:trHeight w:val="58"/>
          <w:tblCellSpacing w:w="0" w:type="dxa"/>
        </w:trPr>
        <w:tc>
          <w:tcPr>
            <w:tcW w:w="0" w:type="auto"/>
            <w:vMerge/>
            <w:tcBorders>
              <w:top w:val="nil"/>
              <w:left w:val="single" w:sz="8" w:space="0" w:color="000000"/>
              <w:bottom w:val="single" w:sz="8" w:space="0" w:color="000000"/>
              <w:right w:val="single" w:sz="8" w:space="0" w:color="000000"/>
            </w:tcBorders>
            <w:vAlign w:val="center"/>
            <w:hideMark/>
          </w:tcPr>
          <w:p w14:paraId="13B4F754" w14:textId="77777777" w:rsidR="000B6128" w:rsidRPr="00731FE2" w:rsidRDefault="000B6128" w:rsidP="000B6128">
            <w:pPr>
              <w:spacing w:line="240" w:lineRule="auto"/>
              <w:ind w:firstLine="0"/>
              <w:jc w:val="left"/>
              <w:rPr>
                <w:rFonts w:ascii="Times New Roman" w:eastAsia="Times New Roman" w:hAnsi="Times New Roman" w:cs="Times New Roman"/>
                <w:sz w:val="22"/>
                <w:lang w:eastAsia="ru-RU"/>
              </w:rPr>
            </w:pPr>
          </w:p>
        </w:tc>
        <w:tc>
          <w:tcPr>
            <w:tcW w:w="3417" w:type="dxa"/>
            <w:tcBorders>
              <w:top w:val="nil"/>
              <w:left w:val="nil"/>
              <w:bottom w:val="single" w:sz="8" w:space="0" w:color="000000"/>
              <w:right w:val="single" w:sz="8" w:space="0" w:color="000000"/>
            </w:tcBorders>
            <w:vAlign w:val="center"/>
            <w:hideMark/>
          </w:tcPr>
          <w:p w14:paraId="20811CE6" w14:textId="77777777" w:rsidR="000B6128" w:rsidRPr="00731FE2" w:rsidRDefault="000B6128" w:rsidP="000B6128">
            <w:pPr>
              <w:spacing w:line="240" w:lineRule="auto"/>
              <w:ind w:firstLine="0"/>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Зона транспортной инфраструктуры</w:t>
            </w:r>
          </w:p>
        </w:tc>
        <w:tc>
          <w:tcPr>
            <w:tcW w:w="1525" w:type="dxa"/>
            <w:tcBorders>
              <w:top w:val="nil"/>
              <w:left w:val="nil"/>
              <w:bottom w:val="single" w:sz="8" w:space="0" w:color="000000"/>
              <w:right w:val="single" w:sz="8" w:space="0" w:color="000000"/>
            </w:tcBorders>
            <w:vAlign w:val="center"/>
            <w:hideMark/>
          </w:tcPr>
          <w:p w14:paraId="143E63B2" w14:textId="7777777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га</w:t>
            </w:r>
          </w:p>
        </w:tc>
        <w:tc>
          <w:tcPr>
            <w:tcW w:w="1766" w:type="dxa"/>
            <w:tcBorders>
              <w:top w:val="nil"/>
              <w:left w:val="nil"/>
              <w:bottom w:val="single" w:sz="8" w:space="0" w:color="000000"/>
              <w:right w:val="single" w:sz="8" w:space="0" w:color="000000"/>
            </w:tcBorders>
            <w:vAlign w:val="center"/>
            <w:hideMark/>
          </w:tcPr>
          <w:p w14:paraId="388369B9" w14:textId="42090CDC" w:rsidR="000B6128" w:rsidRPr="00731FE2" w:rsidRDefault="000B6128" w:rsidP="000B6128">
            <w:pPr>
              <w:spacing w:line="240" w:lineRule="auto"/>
              <w:ind w:firstLine="44"/>
              <w:jc w:val="center"/>
              <w:rPr>
                <w:rFonts w:ascii="Times New Roman" w:eastAsia="Times New Roman" w:hAnsi="Times New Roman" w:cs="Times New Roman"/>
                <w:sz w:val="22"/>
                <w:lang w:eastAsia="ru-RU"/>
              </w:rPr>
            </w:pPr>
            <w:r w:rsidRPr="00731FE2">
              <w:rPr>
                <w:rFonts w:ascii="Times New Roman" w:hAnsi="Times New Roman" w:cs="Times New Roman"/>
                <w:sz w:val="22"/>
              </w:rPr>
              <w:t>3,99</w:t>
            </w:r>
          </w:p>
        </w:tc>
        <w:tc>
          <w:tcPr>
            <w:tcW w:w="1766" w:type="dxa"/>
            <w:tcBorders>
              <w:top w:val="nil"/>
              <w:left w:val="nil"/>
              <w:bottom w:val="single" w:sz="8" w:space="0" w:color="000000"/>
              <w:right w:val="single" w:sz="8" w:space="0" w:color="000000"/>
            </w:tcBorders>
            <w:vAlign w:val="center"/>
            <w:hideMark/>
          </w:tcPr>
          <w:p w14:paraId="247BB1AE" w14:textId="43A019F1" w:rsidR="000B6128" w:rsidRPr="00731FE2" w:rsidRDefault="000B6128" w:rsidP="000B6128">
            <w:pPr>
              <w:spacing w:line="240" w:lineRule="auto"/>
              <w:ind w:firstLine="44"/>
              <w:jc w:val="center"/>
              <w:rPr>
                <w:rFonts w:ascii="Times New Roman" w:eastAsia="Times New Roman" w:hAnsi="Times New Roman" w:cs="Times New Roman"/>
                <w:sz w:val="22"/>
                <w:lang w:eastAsia="ru-RU"/>
              </w:rPr>
            </w:pPr>
            <w:r w:rsidRPr="00731FE2">
              <w:rPr>
                <w:rFonts w:ascii="Times New Roman" w:hAnsi="Times New Roman" w:cs="Times New Roman"/>
                <w:sz w:val="22"/>
              </w:rPr>
              <w:t>3,99</w:t>
            </w:r>
          </w:p>
        </w:tc>
      </w:tr>
      <w:tr w:rsidR="000B6128" w:rsidRPr="00731FE2" w14:paraId="05627360" w14:textId="77777777" w:rsidTr="00FE28EA">
        <w:trPr>
          <w:trHeight w:val="58"/>
          <w:tblCellSpacing w:w="0" w:type="dxa"/>
        </w:trPr>
        <w:tc>
          <w:tcPr>
            <w:tcW w:w="0" w:type="auto"/>
            <w:vMerge/>
            <w:tcBorders>
              <w:top w:val="nil"/>
              <w:left w:val="single" w:sz="8" w:space="0" w:color="000000"/>
              <w:bottom w:val="single" w:sz="8" w:space="0" w:color="000000"/>
              <w:right w:val="single" w:sz="8" w:space="0" w:color="000000"/>
            </w:tcBorders>
            <w:vAlign w:val="center"/>
            <w:hideMark/>
          </w:tcPr>
          <w:p w14:paraId="19A73C81" w14:textId="77777777" w:rsidR="000B6128" w:rsidRPr="00731FE2" w:rsidRDefault="000B6128" w:rsidP="000B6128">
            <w:pPr>
              <w:spacing w:line="240" w:lineRule="auto"/>
              <w:ind w:firstLine="0"/>
              <w:jc w:val="left"/>
              <w:rPr>
                <w:rFonts w:ascii="Times New Roman" w:eastAsia="Times New Roman" w:hAnsi="Times New Roman" w:cs="Times New Roman"/>
                <w:sz w:val="22"/>
                <w:lang w:eastAsia="ru-RU"/>
              </w:rPr>
            </w:pPr>
          </w:p>
        </w:tc>
        <w:tc>
          <w:tcPr>
            <w:tcW w:w="3417" w:type="dxa"/>
            <w:tcBorders>
              <w:top w:val="nil"/>
              <w:left w:val="nil"/>
              <w:bottom w:val="single" w:sz="8" w:space="0" w:color="000000"/>
              <w:right w:val="single" w:sz="8" w:space="0" w:color="000000"/>
            </w:tcBorders>
            <w:vAlign w:val="center"/>
            <w:hideMark/>
          </w:tcPr>
          <w:p w14:paraId="3FC8F1B6" w14:textId="77777777" w:rsidR="000B6128" w:rsidRPr="00731FE2" w:rsidRDefault="000B6128" w:rsidP="000B6128">
            <w:pPr>
              <w:spacing w:line="240" w:lineRule="auto"/>
              <w:ind w:firstLine="0"/>
              <w:rPr>
                <w:rFonts w:ascii="Times New Roman" w:eastAsia="Times New Roman" w:hAnsi="Times New Roman" w:cs="Times New Roman"/>
                <w:sz w:val="22"/>
                <w:lang w:eastAsia="ru-RU"/>
              </w:rPr>
            </w:pPr>
            <w:r w:rsidRPr="00731FE2">
              <w:rPr>
                <w:rFonts w:ascii="Times New Roman" w:eastAsia="Times New Roman" w:hAnsi="Times New Roman" w:cs="Times New Roman"/>
                <w:b/>
                <w:bCs/>
                <w:color w:val="000000"/>
                <w:sz w:val="22"/>
                <w:lang w:eastAsia="ru-RU"/>
              </w:rPr>
              <w:t xml:space="preserve">Зона рекреационного </w:t>
            </w:r>
            <w:r w:rsidRPr="00731FE2">
              <w:rPr>
                <w:rFonts w:ascii="Times New Roman" w:eastAsia="Times New Roman" w:hAnsi="Times New Roman" w:cs="Times New Roman"/>
                <w:b/>
                <w:bCs/>
                <w:color w:val="000000"/>
                <w:sz w:val="22"/>
                <w:lang w:eastAsia="ru-RU"/>
              </w:rPr>
              <w:lastRenderedPageBreak/>
              <w:t>использования, в</w:t>
            </w:r>
            <w:r w:rsidRPr="00731FE2">
              <w:rPr>
                <w:rFonts w:ascii="Times New Roman" w:eastAsia="Times New Roman" w:hAnsi="Times New Roman" w:cs="Times New Roman"/>
                <w:color w:val="000000"/>
                <w:sz w:val="22"/>
                <w:lang w:eastAsia="ru-RU"/>
              </w:rPr>
              <w:t xml:space="preserve"> том числе:</w:t>
            </w:r>
          </w:p>
        </w:tc>
        <w:tc>
          <w:tcPr>
            <w:tcW w:w="1525" w:type="dxa"/>
            <w:tcBorders>
              <w:top w:val="nil"/>
              <w:left w:val="nil"/>
              <w:bottom w:val="single" w:sz="8" w:space="0" w:color="000000"/>
              <w:right w:val="single" w:sz="8" w:space="0" w:color="000000"/>
            </w:tcBorders>
            <w:vAlign w:val="center"/>
            <w:hideMark/>
          </w:tcPr>
          <w:p w14:paraId="1AEDAC96" w14:textId="7777777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b/>
                <w:bCs/>
                <w:color w:val="000000"/>
                <w:sz w:val="22"/>
                <w:lang w:eastAsia="ru-RU"/>
              </w:rPr>
              <w:lastRenderedPageBreak/>
              <w:t>га</w:t>
            </w:r>
          </w:p>
        </w:tc>
        <w:tc>
          <w:tcPr>
            <w:tcW w:w="1766" w:type="dxa"/>
            <w:tcBorders>
              <w:top w:val="nil"/>
              <w:left w:val="nil"/>
              <w:bottom w:val="single" w:sz="8" w:space="0" w:color="000000"/>
              <w:right w:val="single" w:sz="8" w:space="0" w:color="000000"/>
            </w:tcBorders>
            <w:vAlign w:val="center"/>
            <w:hideMark/>
          </w:tcPr>
          <w:p w14:paraId="2B02A553" w14:textId="32F1A76A" w:rsidR="000B6128" w:rsidRPr="00731FE2" w:rsidRDefault="000B6128" w:rsidP="000B6128">
            <w:pPr>
              <w:spacing w:line="240" w:lineRule="auto"/>
              <w:ind w:firstLine="44"/>
              <w:jc w:val="center"/>
              <w:rPr>
                <w:rFonts w:ascii="Times New Roman" w:eastAsia="Times New Roman" w:hAnsi="Times New Roman" w:cs="Times New Roman"/>
                <w:sz w:val="22"/>
                <w:lang w:eastAsia="ru-RU"/>
              </w:rPr>
            </w:pPr>
            <w:r w:rsidRPr="00731FE2">
              <w:rPr>
                <w:rFonts w:ascii="Times New Roman" w:hAnsi="Times New Roman" w:cs="Times New Roman"/>
                <w:b/>
                <w:bCs/>
                <w:sz w:val="22"/>
              </w:rPr>
              <w:t>24,12</w:t>
            </w:r>
          </w:p>
        </w:tc>
        <w:tc>
          <w:tcPr>
            <w:tcW w:w="1766" w:type="dxa"/>
            <w:tcBorders>
              <w:top w:val="nil"/>
              <w:left w:val="nil"/>
              <w:bottom w:val="single" w:sz="8" w:space="0" w:color="000000"/>
              <w:right w:val="single" w:sz="8" w:space="0" w:color="000000"/>
            </w:tcBorders>
            <w:vAlign w:val="center"/>
            <w:hideMark/>
          </w:tcPr>
          <w:p w14:paraId="1F8D28C9" w14:textId="38939D5A" w:rsidR="000B6128" w:rsidRPr="00731FE2" w:rsidRDefault="000B6128" w:rsidP="000B6128">
            <w:pPr>
              <w:spacing w:line="240" w:lineRule="auto"/>
              <w:ind w:firstLine="44"/>
              <w:jc w:val="center"/>
              <w:rPr>
                <w:rFonts w:ascii="Times New Roman" w:eastAsia="Times New Roman" w:hAnsi="Times New Roman" w:cs="Times New Roman"/>
                <w:sz w:val="22"/>
                <w:lang w:eastAsia="ru-RU"/>
              </w:rPr>
            </w:pPr>
            <w:r w:rsidRPr="00731FE2">
              <w:rPr>
                <w:rFonts w:ascii="Times New Roman" w:hAnsi="Times New Roman" w:cs="Times New Roman"/>
                <w:b/>
                <w:bCs/>
                <w:sz w:val="22"/>
              </w:rPr>
              <w:t>24,12</w:t>
            </w:r>
          </w:p>
        </w:tc>
      </w:tr>
      <w:tr w:rsidR="000B6128" w:rsidRPr="00731FE2" w14:paraId="72D941ED" w14:textId="77777777" w:rsidTr="00FE28EA">
        <w:trPr>
          <w:trHeight w:val="58"/>
          <w:tblCellSpacing w:w="0" w:type="dxa"/>
        </w:trPr>
        <w:tc>
          <w:tcPr>
            <w:tcW w:w="0" w:type="auto"/>
            <w:vMerge/>
            <w:tcBorders>
              <w:top w:val="nil"/>
              <w:left w:val="single" w:sz="8" w:space="0" w:color="000000"/>
              <w:bottom w:val="single" w:sz="8" w:space="0" w:color="000000"/>
              <w:right w:val="single" w:sz="8" w:space="0" w:color="000000"/>
            </w:tcBorders>
            <w:vAlign w:val="center"/>
            <w:hideMark/>
          </w:tcPr>
          <w:p w14:paraId="2CF0E0E0" w14:textId="77777777" w:rsidR="000B6128" w:rsidRPr="00731FE2" w:rsidRDefault="000B6128" w:rsidP="000B6128">
            <w:pPr>
              <w:spacing w:line="240" w:lineRule="auto"/>
              <w:ind w:firstLine="0"/>
              <w:jc w:val="left"/>
              <w:rPr>
                <w:rFonts w:ascii="Times New Roman" w:eastAsia="Times New Roman" w:hAnsi="Times New Roman" w:cs="Times New Roman"/>
                <w:sz w:val="22"/>
                <w:lang w:eastAsia="ru-RU"/>
              </w:rPr>
            </w:pPr>
          </w:p>
        </w:tc>
        <w:tc>
          <w:tcPr>
            <w:tcW w:w="3417" w:type="dxa"/>
            <w:tcBorders>
              <w:top w:val="nil"/>
              <w:left w:val="nil"/>
              <w:bottom w:val="single" w:sz="8" w:space="0" w:color="000000"/>
              <w:right w:val="single" w:sz="8" w:space="0" w:color="000000"/>
            </w:tcBorders>
            <w:vAlign w:val="center"/>
            <w:hideMark/>
          </w:tcPr>
          <w:p w14:paraId="2FEFB14A" w14:textId="77777777" w:rsidR="000B6128" w:rsidRPr="00731FE2" w:rsidRDefault="000B6128" w:rsidP="000B6128">
            <w:pPr>
              <w:spacing w:line="240" w:lineRule="auto"/>
              <w:ind w:firstLine="0"/>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Зона озелененных территорий общего пользования (лесопарки, парки, сады, скверы, бульвары, городские леса)</w:t>
            </w:r>
          </w:p>
        </w:tc>
        <w:tc>
          <w:tcPr>
            <w:tcW w:w="1525" w:type="dxa"/>
            <w:tcBorders>
              <w:top w:val="nil"/>
              <w:left w:val="nil"/>
              <w:bottom w:val="single" w:sz="8" w:space="0" w:color="000000"/>
              <w:right w:val="single" w:sz="8" w:space="0" w:color="000000"/>
            </w:tcBorders>
            <w:vAlign w:val="center"/>
            <w:hideMark/>
          </w:tcPr>
          <w:p w14:paraId="19713B67" w14:textId="7777777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га</w:t>
            </w:r>
          </w:p>
        </w:tc>
        <w:tc>
          <w:tcPr>
            <w:tcW w:w="1766" w:type="dxa"/>
            <w:tcBorders>
              <w:top w:val="nil"/>
              <w:left w:val="nil"/>
              <w:bottom w:val="single" w:sz="8" w:space="0" w:color="000000"/>
              <w:right w:val="single" w:sz="8" w:space="0" w:color="000000"/>
            </w:tcBorders>
            <w:vAlign w:val="center"/>
            <w:hideMark/>
          </w:tcPr>
          <w:p w14:paraId="280097E4" w14:textId="63E477DB" w:rsidR="000B6128" w:rsidRPr="00731FE2" w:rsidRDefault="000B6128" w:rsidP="000B6128">
            <w:pPr>
              <w:spacing w:line="240" w:lineRule="auto"/>
              <w:ind w:firstLine="44"/>
              <w:jc w:val="center"/>
              <w:rPr>
                <w:rFonts w:ascii="Times New Roman" w:eastAsia="Times New Roman" w:hAnsi="Times New Roman" w:cs="Times New Roman"/>
                <w:sz w:val="22"/>
                <w:lang w:eastAsia="ru-RU"/>
              </w:rPr>
            </w:pPr>
            <w:r w:rsidRPr="00731FE2">
              <w:rPr>
                <w:rFonts w:ascii="Times New Roman" w:hAnsi="Times New Roman" w:cs="Times New Roman"/>
                <w:sz w:val="22"/>
              </w:rPr>
              <w:t>16,21</w:t>
            </w:r>
          </w:p>
        </w:tc>
        <w:tc>
          <w:tcPr>
            <w:tcW w:w="1766" w:type="dxa"/>
            <w:tcBorders>
              <w:top w:val="nil"/>
              <w:left w:val="nil"/>
              <w:bottom w:val="single" w:sz="8" w:space="0" w:color="000000"/>
              <w:right w:val="single" w:sz="8" w:space="0" w:color="000000"/>
            </w:tcBorders>
            <w:vAlign w:val="center"/>
            <w:hideMark/>
          </w:tcPr>
          <w:p w14:paraId="39CFC585" w14:textId="29B2B64B" w:rsidR="000B6128" w:rsidRPr="00731FE2" w:rsidRDefault="000B6128" w:rsidP="000B6128">
            <w:pPr>
              <w:spacing w:line="240" w:lineRule="auto"/>
              <w:ind w:firstLine="44"/>
              <w:jc w:val="center"/>
              <w:rPr>
                <w:rFonts w:ascii="Times New Roman" w:eastAsia="Times New Roman" w:hAnsi="Times New Roman" w:cs="Times New Roman"/>
                <w:sz w:val="22"/>
                <w:lang w:eastAsia="ru-RU"/>
              </w:rPr>
            </w:pPr>
            <w:r w:rsidRPr="00731FE2">
              <w:rPr>
                <w:rFonts w:ascii="Times New Roman" w:hAnsi="Times New Roman" w:cs="Times New Roman"/>
                <w:sz w:val="22"/>
              </w:rPr>
              <w:t>16,21</w:t>
            </w:r>
          </w:p>
        </w:tc>
      </w:tr>
      <w:tr w:rsidR="000B6128" w:rsidRPr="00731FE2" w14:paraId="22248D46" w14:textId="77777777" w:rsidTr="00FE28EA">
        <w:trPr>
          <w:trHeight w:val="58"/>
          <w:tblCellSpacing w:w="0" w:type="dxa"/>
        </w:trPr>
        <w:tc>
          <w:tcPr>
            <w:tcW w:w="0" w:type="auto"/>
            <w:vMerge/>
            <w:tcBorders>
              <w:top w:val="nil"/>
              <w:left w:val="single" w:sz="8" w:space="0" w:color="000000"/>
              <w:bottom w:val="single" w:sz="8" w:space="0" w:color="000000"/>
              <w:right w:val="single" w:sz="8" w:space="0" w:color="000000"/>
            </w:tcBorders>
            <w:vAlign w:val="center"/>
            <w:hideMark/>
          </w:tcPr>
          <w:p w14:paraId="13C30D4C" w14:textId="77777777" w:rsidR="000B6128" w:rsidRPr="00731FE2" w:rsidRDefault="000B6128" w:rsidP="000B6128">
            <w:pPr>
              <w:spacing w:line="240" w:lineRule="auto"/>
              <w:ind w:firstLine="0"/>
              <w:jc w:val="left"/>
              <w:rPr>
                <w:rFonts w:ascii="Times New Roman" w:eastAsia="Times New Roman" w:hAnsi="Times New Roman" w:cs="Times New Roman"/>
                <w:sz w:val="22"/>
                <w:lang w:eastAsia="ru-RU"/>
              </w:rPr>
            </w:pPr>
          </w:p>
        </w:tc>
        <w:tc>
          <w:tcPr>
            <w:tcW w:w="3417" w:type="dxa"/>
            <w:tcBorders>
              <w:top w:val="nil"/>
              <w:left w:val="nil"/>
              <w:bottom w:val="single" w:sz="8" w:space="0" w:color="000000"/>
              <w:right w:val="single" w:sz="8" w:space="0" w:color="000000"/>
            </w:tcBorders>
            <w:vAlign w:val="center"/>
            <w:hideMark/>
          </w:tcPr>
          <w:p w14:paraId="3CE1DB2D" w14:textId="18E66D87" w:rsidR="000B6128" w:rsidRPr="00731FE2" w:rsidRDefault="00743CB1" w:rsidP="00743CB1">
            <w:pPr>
              <w:spacing w:line="240" w:lineRule="auto"/>
              <w:ind w:firstLine="0"/>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Зона рекреационного назначения</w:t>
            </w:r>
          </w:p>
        </w:tc>
        <w:tc>
          <w:tcPr>
            <w:tcW w:w="1525" w:type="dxa"/>
            <w:tcBorders>
              <w:top w:val="nil"/>
              <w:left w:val="nil"/>
              <w:bottom w:val="single" w:sz="8" w:space="0" w:color="000000"/>
              <w:right w:val="single" w:sz="8" w:space="0" w:color="000000"/>
            </w:tcBorders>
            <w:vAlign w:val="center"/>
            <w:hideMark/>
          </w:tcPr>
          <w:p w14:paraId="3FA21A86" w14:textId="7777777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га</w:t>
            </w:r>
          </w:p>
        </w:tc>
        <w:tc>
          <w:tcPr>
            <w:tcW w:w="1766" w:type="dxa"/>
            <w:tcBorders>
              <w:top w:val="nil"/>
              <w:left w:val="nil"/>
              <w:bottom w:val="single" w:sz="8" w:space="0" w:color="000000"/>
              <w:right w:val="single" w:sz="8" w:space="0" w:color="000000"/>
            </w:tcBorders>
            <w:vAlign w:val="center"/>
            <w:hideMark/>
          </w:tcPr>
          <w:p w14:paraId="48E063F7" w14:textId="78B39AAB" w:rsidR="000B6128" w:rsidRPr="00731FE2" w:rsidRDefault="000B6128" w:rsidP="000B6128">
            <w:pPr>
              <w:spacing w:line="240" w:lineRule="auto"/>
              <w:ind w:firstLine="44"/>
              <w:jc w:val="center"/>
              <w:rPr>
                <w:rFonts w:ascii="Times New Roman" w:eastAsia="Times New Roman" w:hAnsi="Times New Roman" w:cs="Times New Roman"/>
                <w:sz w:val="22"/>
                <w:lang w:eastAsia="ru-RU"/>
              </w:rPr>
            </w:pPr>
            <w:r w:rsidRPr="00731FE2">
              <w:rPr>
                <w:rFonts w:ascii="Times New Roman" w:hAnsi="Times New Roman" w:cs="Times New Roman"/>
                <w:sz w:val="22"/>
              </w:rPr>
              <w:t>7,91</w:t>
            </w:r>
          </w:p>
        </w:tc>
        <w:tc>
          <w:tcPr>
            <w:tcW w:w="1766" w:type="dxa"/>
            <w:tcBorders>
              <w:top w:val="nil"/>
              <w:left w:val="nil"/>
              <w:bottom w:val="single" w:sz="8" w:space="0" w:color="000000"/>
              <w:right w:val="single" w:sz="8" w:space="0" w:color="000000"/>
            </w:tcBorders>
            <w:vAlign w:val="center"/>
            <w:hideMark/>
          </w:tcPr>
          <w:p w14:paraId="6367DA0A" w14:textId="76A01705" w:rsidR="000B6128" w:rsidRPr="00731FE2" w:rsidRDefault="000B6128" w:rsidP="000B6128">
            <w:pPr>
              <w:spacing w:line="240" w:lineRule="auto"/>
              <w:ind w:firstLine="44"/>
              <w:jc w:val="center"/>
              <w:rPr>
                <w:rFonts w:ascii="Times New Roman" w:eastAsia="Times New Roman" w:hAnsi="Times New Roman" w:cs="Times New Roman"/>
                <w:sz w:val="22"/>
                <w:lang w:eastAsia="ru-RU"/>
              </w:rPr>
            </w:pPr>
            <w:r w:rsidRPr="00731FE2">
              <w:rPr>
                <w:rFonts w:ascii="Times New Roman" w:hAnsi="Times New Roman" w:cs="Times New Roman"/>
                <w:sz w:val="22"/>
              </w:rPr>
              <w:t>7,91</w:t>
            </w:r>
          </w:p>
        </w:tc>
      </w:tr>
      <w:tr w:rsidR="000B6128" w:rsidRPr="00731FE2" w14:paraId="625F5140" w14:textId="77777777" w:rsidTr="00D154A0">
        <w:trPr>
          <w:trHeight w:val="58"/>
          <w:tblCellSpacing w:w="0" w:type="dxa"/>
        </w:trPr>
        <w:tc>
          <w:tcPr>
            <w:tcW w:w="9335" w:type="dxa"/>
            <w:gridSpan w:val="5"/>
            <w:tcBorders>
              <w:top w:val="nil"/>
              <w:left w:val="single" w:sz="8" w:space="0" w:color="000000"/>
              <w:bottom w:val="single" w:sz="8" w:space="0" w:color="000000"/>
              <w:right w:val="single" w:sz="8" w:space="0" w:color="000000"/>
            </w:tcBorders>
            <w:vAlign w:val="center"/>
            <w:hideMark/>
          </w:tcPr>
          <w:p w14:paraId="6F4C6F86" w14:textId="77777777" w:rsidR="000B6128" w:rsidRPr="00731FE2" w:rsidRDefault="000B6128" w:rsidP="000B6128">
            <w:pPr>
              <w:spacing w:line="240" w:lineRule="auto"/>
              <w:ind w:firstLine="44"/>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b/>
                <w:bCs/>
                <w:color w:val="000000"/>
                <w:sz w:val="22"/>
                <w:lang w:eastAsia="ru-RU"/>
              </w:rPr>
              <w:t>п. Новокисловодский</w:t>
            </w:r>
          </w:p>
        </w:tc>
      </w:tr>
      <w:tr w:rsidR="000B6128" w:rsidRPr="00731FE2" w14:paraId="71E16193" w14:textId="77777777" w:rsidTr="00FE28EA">
        <w:trPr>
          <w:trHeight w:val="58"/>
          <w:tblCellSpacing w:w="0" w:type="dxa"/>
        </w:trPr>
        <w:tc>
          <w:tcPr>
            <w:tcW w:w="861" w:type="dxa"/>
            <w:vMerge w:val="restart"/>
            <w:tcBorders>
              <w:top w:val="nil"/>
              <w:left w:val="single" w:sz="8" w:space="0" w:color="000000"/>
              <w:bottom w:val="single" w:sz="8" w:space="0" w:color="000000"/>
              <w:right w:val="single" w:sz="8" w:space="0" w:color="000000"/>
            </w:tcBorders>
            <w:vAlign w:val="center"/>
            <w:hideMark/>
          </w:tcPr>
          <w:p w14:paraId="7DBD01E7" w14:textId="2955A143"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b/>
                <w:bCs/>
                <w:color w:val="000000"/>
                <w:sz w:val="22"/>
                <w:lang w:eastAsia="ru-RU"/>
              </w:rPr>
              <w:t>1.1</w:t>
            </w:r>
            <w:r w:rsidR="00B043D3" w:rsidRPr="00731FE2">
              <w:rPr>
                <w:rFonts w:ascii="Times New Roman" w:eastAsia="Times New Roman" w:hAnsi="Times New Roman" w:cs="Times New Roman"/>
                <w:b/>
                <w:bCs/>
                <w:color w:val="000000"/>
                <w:sz w:val="22"/>
                <w:lang w:eastAsia="ru-RU"/>
              </w:rPr>
              <w:t>2</w:t>
            </w:r>
          </w:p>
        </w:tc>
        <w:tc>
          <w:tcPr>
            <w:tcW w:w="3417" w:type="dxa"/>
            <w:tcBorders>
              <w:top w:val="nil"/>
              <w:left w:val="nil"/>
              <w:bottom w:val="single" w:sz="8" w:space="0" w:color="000000"/>
              <w:right w:val="single" w:sz="8" w:space="0" w:color="000000"/>
            </w:tcBorders>
            <w:vAlign w:val="center"/>
            <w:hideMark/>
          </w:tcPr>
          <w:p w14:paraId="56FEEC35" w14:textId="77777777" w:rsidR="000B6128" w:rsidRPr="00731FE2" w:rsidRDefault="000B6128" w:rsidP="000B6128">
            <w:pPr>
              <w:spacing w:line="240" w:lineRule="auto"/>
              <w:ind w:firstLine="0"/>
              <w:rPr>
                <w:rFonts w:ascii="Times New Roman" w:eastAsia="Times New Roman" w:hAnsi="Times New Roman" w:cs="Times New Roman"/>
                <w:sz w:val="22"/>
                <w:lang w:eastAsia="ru-RU"/>
              </w:rPr>
            </w:pPr>
            <w:r w:rsidRPr="00731FE2">
              <w:rPr>
                <w:rFonts w:ascii="Times New Roman" w:eastAsia="Times New Roman" w:hAnsi="Times New Roman" w:cs="Times New Roman"/>
                <w:b/>
                <w:bCs/>
                <w:color w:val="000000"/>
                <w:sz w:val="22"/>
                <w:lang w:eastAsia="ru-RU"/>
              </w:rPr>
              <w:t>Общая площадь земель населенных пунктов</w:t>
            </w:r>
          </w:p>
        </w:tc>
        <w:tc>
          <w:tcPr>
            <w:tcW w:w="1525" w:type="dxa"/>
            <w:tcBorders>
              <w:top w:val="nil"/>
              <w:left w:val="nil"/>
              <w:bottom w:val="single" w:sz="8" w:space="0" w:color="000000"/>
              <w:right w:val="single" w:sz="8" w:space="0" w:color="000000"/>
            </w:tcBorders>
            <w:vAlign w:val="center"/>
            <w:hideMark/>
          </w:tcPr>
          <w:p w14:paraId="0CB89FAC" w14:textId="7777777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b/>
                <w:bCs/>
                <w:color w:val="000000"/>
                <w:sz w:val="22"/>
                <w:lang w:eastAsia="ru-RU"/>
              </w:rPr>
              <w:t>га</w:t>
            </w:r>
          </w:p>
        </w:tc>
        <w:tc>
          <w:tcPr>
            <w:tcW w:w="1766" w:type="dxa"/>
            <w:tcBorders>
              <w:top w:val="nil"/>
              <w:left w:val="nil"/>
              <w:bottom w:val="single" w:sz="8" w:space="0" w:color="000000"/>
              <w:right w:val="single" w:sz="8" w:space="0" w:color="000000"/>
            </w:tcBorders>
            <w:vAlign w:val="center"/>
            <w:hideMark/>
          </w:tcPr>
          <w:p w14:paraId="21D24AF9" w14:textId="5ECA949A" w:rsidR="000B6128" w:rsidRPr="00731FE2" w:rsidRDefault="000B6128" w:rsidP="000B6128">
            <w:pPr>
              <w:spacing w:line="240" w:lineRule="auto"/>
              <w:ind w:firstLine="44"/>
              <w:jc w:val="center"/>
              <w:rPr>
                <w:rFonts w:ascii="Times New Roman" w:eastAsia="Times New Roman" w:hAnsi="Times New Roman" w:cs="Times New Roman"/>
                <w:sz w:val="22"/>
                <w:lang w:eastAsia="ru-RU"/>
              </w:rPr>
            </w:pPr>
            <w:r w:rsidRPr="00731FE2">
              <w:rPr>
                <w:rFonts w:ascii="Times New Roman" w:hAnsi="Times New Roman" w:cs="Times New Roman"/>
                <w:b/>
                <w:bCs/>
                <w:sz w:val="22"/>
              </w:rPr>
              <w:t>29,14</w:t>
            </w:r>
          </w:p>
        </w:tc>
        <w:tc>
          <w:tcPr>
            <w:tcW w:w="1766" w:type="dxa"/>
            <w:tcBorders>
              <w:top w:val="nil"/>
              <w:left w:val="nil"/>
              <w:bottom w:val="single" w:sz="8" w:space="0" w:color="000000"/>
              <w:right w:val="single" w:sz="8" w:space="0" w:color="000000"/>
            </w:tcBorders>
            <w:vAlign w:val="center"/>
            <w:hideMark/>
          </w:tcPr>
          <w:p w14:paraId="1B9302DC" w14:textId="3514398E" w:rsidR="000B6128" w:rsidRPr="00731FE2" w:rsidRDefault="000B6128" w:rsidP="000B6128">
            <w:pPr>
              <w:spacing w:line="240" w:lineRule="auto"/>
              <w:ind w:firstLine="44"/>
              <w:jc w:val="center"/>
              <w:rPr>
                <w:rFonts w:ascii="Times New Roman" w:eastAsia="Times New Roman" w:hAnsi="Times New Roman" w:cs="Times New Roman"/>
                <w:sz w:val="22"/>
                <w:lang w:eastAsia="ru-RU"/>
              </w:rPr>
            </w:pPr>
            <w:r w:rsidRPr="00731FE2">
              <w:rPr>
                <w:rFonts w:ascii="Times New Roman" w:hAnsi="Times New Roman" w:cs="Times New Roman"/>
                <w:b/>
                <w:bCs/>
                <w:sz w:val="22"/>
              </w:rPr>
              <w:t>29,14</w:t>
            </w:r>
          </w:p>
        </w:tc>
      </w:tr>
      <w:tr w:rsidR="000B6128" w:rsidRPr="00731FE2" w14:paraId="6801AEE6" w14:textId="77777777" w:rsidTr="00FE28EA">
        <w:trPr>
          <w:trHeight w:val="58"/>
          <w:tblCellSpacing w:w="0" w:type="dxa"/>
        </w:trPr>
        <w:tc>
          <w:tcPr>
            <w:tcW w:w="0" w:type="auto"/>
            <w:vMerge/>
            <w:tcBorders>
              <w:top w:val="nil"/>
              <w:left w:val="single" w:sz="8" w:space="0" w:color="000000"/>
              <w:bottom w:val="single" w:sz="8" w:space="0" w:color="000000"/>
              <w:right w:val="single" w:sz="8" w:space="0" w:color="000000"/>
            </w:tcBorders>
            <w:vAlign w:val="center"/>
            <w:hideMark/>
          </w:tcPr>
          <w:p w14:paraId="6E693252" w14:textId="77777777" w:rsidR="000B6128" w:rsidRPr="00731FE2" w:rsidRDefault="000B6128" w:rsidP="000B6128">
            <w:pPr>
              <w:spacing w:line="240" w:lineRule="auto"/>
              <w:ind w:firstLine="0"/>
              <w:jc w:val="left"/>
              <w:rPr>
                <w:rFonts w:ascii="Times New Roman" w:eastAsia="Times New Roman" w:hAnsi="Times New Roman" w:cs="Times New Roman"/>
                <w:sz w:val="22"/>
                <w:lang w:eastAsia="ru-RU"/>
              </w:rPr>
            </w:pPr>
          </w:p>
        </w:tc>
        <w:tc>
          <w:tcPr>
            <w:tcW w:w="3417" w:type="dxa"/>
            <w:tcBorders>
              <w:top w:val="nil"/>
              <w:left w:val="nil"/>
              <w:bottom w:val="single" w:sz="8" w:space="0" w:color="000000"/>
              <w:right w:val="single" w:sz="8" w:space="0" w:color="000000"/>
            </w:tcBorders>
            <w:vAlign w:val="center"/>
            <w:hideMark/>
          </w:tcPr>
          <w:p w14:paraId="54BC5F9C" w14:textId="77777777" w:rsidR="000B6128" w:rsidRPr="00731FE2" w:rsidRDefault="000B6128" w:rsidP="000B6128">
            <w:pPr>
              <w:spacing w:line="240" w:lineRule="auto"/>
              <w:ind w:firstLine="0"/>
              <w:rPr>
                <w:rFonts w:ascii="Times New Roman" w:eastAsia="Times New Roman" w:hAnsi="Times New Roman" w:cs="Times New Roman"/>
                <w:sz w:val="22"/>
                <w:lang w:eastAsia="ru-RU"/>
              </w:rPr>
            </w:pPr>
            <w:r w:rsidRPr="00731FE2">
              <w:rPr>
                <w:rFonts w:ascii="Times New Roman" w:eastAsia="Times New Roman" w:hAnsi="Times New Roman" w:cs="Times New Roman"/>
                <w:b/>
                <w:bCs/>
                <w:color w:val="000000"/>
                <w:sz w:val="22"/>
                <w:lang w:eastAsia="ru-RU"/>
              </w:rPr>
              <w:t>Общая площадь функциональных зон (в границах п. Новокисловодского)</w:t>
            </w:r>
          </w:p>
        </w:tc>
        <w:tc>
          <w:tcPr>
            <w:tcW w:w="1525" w:type="dxa"/>
            <w:tcBorders>
              <w:top w:val="nil"/>
              <w:left w:val="nil"/>
              <w:bottom w:val="single" w:sz="8" w:space="0" w:color="000000"/>
              <w:right w:val="single" w:sz="8" w:space="0" w:color="000000"/>
            </w:tcBorders>
            <w:vAlign w:val="center"/>
            <w:hideMark/>
          </w:tcPr>
          <w:p w14:paraId="59ACCC32" w14:textId="7777777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b/>
                <w:bCs/>
                <w:color w:val="000000"/>
                <w:sz w:val="22"/>
                <w:lang w:eastAsia="ru-RU"/>
              </w:rPr>
              <w:t>га</w:t>
            </w:r>
          </w:p>
        </w:tc>
        <w:tc>
          <w:tcPr>
            <w:tcW w:w="1766" w:type="dxa"/>
            <w:tcBorders>
              <w:top w:val="nil"/>
              <w:left w:val="nil"/>
              <w:bottom w:val="single" w:sz="8" w:space="0" w:color="000000"/>
              <w:right w:val="single" w:sz="8" w:space="0" w:color="000000"/>
            </w:tcBorders>
            <w:vAlign w:val="center"/>
            <w:hideMark/>
          </w:tcPr>
          <w:p w14:paraId="552282EA" w14:textId="26C9C304" w:rsidR="000B6128" w:rsidRPr="00731FE2" w:rsidRDefault="000B6128" w:rsidP="000B6128">
            <w:pPr>
              <w:spacing w:line="240" w:lineRule="auto"/>
              <w:ind w:firstLine="44"/>
              <w:jc w:val="center"/>
              <w:rPr>
                <w:rFonts w:ascii="Times New Roman" w:eastAsia="Times New Roman" w:hAnsi="Times New Roman" w:cs="Times New Roman"/>
                <w:sz w:val="22"/>
                <w:lang w:eastAsia="ru-RU"/>
              </w:rPr>
            </w:pPr>
            <w:r w:rsidRPr="00731FE2">
              <w:rPr>
                <w:rFonts w:ascii="Times New Roman" w:hAnsi="Times New Roman" w:cs="Times New Roman"/>
                <w:b/>
                <w:bCs/>
                <w:sz w:val="22"/>
              </w:rPr>
              <w:t>29,14</w:t>
            </w:r>
          </w:p>
        </w:tc>
        <w:tc>
          <w:tcPr>
            <w:tcW w:w="1766" w:type="dxa"/>
            <w:tcBorders>
              <w:top w:val="nil"/>
              <w:left w:val="nil"/>
              <w:bottom w:val="single" w:sz="8" w:space="0" w:color="000000"/>
              <w:right w:val="single" w:sz="8" w:space="0" w:color="000000"/>
            </w:tcBorders>
            <w:vAlign w:val="center"/>
            <w:hideMark/>
          </w:tcPr>
          <w:p w14:paraId="2805224D" w14:textId="52AD8518" w:rsidR="000B6128" w:rsidRPr="00731FE2" w:rsidRDefault="000B6128" w:rsidP="000B6128">
            <w:pPr>
              <w:spacing w:line="240" w:lineRule="auto"/>
              <w:ind w:firstLine="44"/>
              <w:jc w:val="center"/>
              <w:rPr>
                <w:rFonts w:ascii="Times New Roman" w:eastAsia="Times New Roman" w:hAnsi="Times New Roman" w:cs="Times New Roman"/>
                <w:sz w:val="22"/>
                <w:lang w:eastAsia="ru-RU"/>
              </w:rPr>
            </w:pPr>
            <w:r w:rsidRPr="00731FE2">
              <w:rPr>
                <w:rFonts w:ascii="Times New Roman" w:hAnsi="Times New Roman" w:cs="Times New Roman"/>
                <w:b/>
                <w:bCs/>
                <w:sz w:val="22"/>
              </w:rPr>
              <w:t>29,14</w:t>
            </w:r>
          </w:p>
        </w:tc>
      </w:tr>
      <w:tr w:rsidR="000B6128" w:rsidRPr="00731FE2" w14:paraId="6E2632D2" w14:textId="77777777" w:rsidTr="00FE28EA">
        <w:trPr>
          <w:trHeight w:val="58"/>
          <w:tblCellSpacing w:w="0" w:type="dxa"/>
        </w:trPr>
        <w:tc>
          <w:tcPr>
            <w:tcW w:w="0" w:type="auto"/>
            <w:vMerge/>
            <w:tcBorders>
              <w:top w:val="nil"/>
              <w:left w:val="single" w:sz="8" w:space="0" w:color="000000"/>
              <w:bottom w:val="single" w:sz="8" w:space="0" w:color="000000"/>
              <w:right w:val="single" w:sz="8" w:space="0" w:color="000000"/>
            </w:tcBorders>
            <w:vAlign w:val="center"/>
            <w:hideMark/>
          </w:tcPr>
          <w:p w14:paraId="239F9FF9" w14:textId="77777777" w:rsidR="000B6128" w:rsidRPr="00731FE2" w:rsidRDefault="000B6128" w:rsidP="000B6128">
            <w:pPr>
              <w:spacing w:line="240" w:lineRule="auto"/>
              <w:ind w:firstLine="0"/>
              <w:jc w:val="left"/>
              <w:rPr>
                <w:rFonts w:ascii="Times New Roman" w:eastAsia="Times New Roman" w:hAnsi="Times New Roman" w:cs="Times New Roman"/>
                <w:sz w:val="22"/>
                <w:lang w:eastAsia="ru-RU"/>
              </w:rPr>
            </w:pPr>
          </w:p>
        </w:tc>
        <w:tc>
          <w:tcPr>
            <w:tcW w:w="3417" w:type="dxa"/>
            <w:tcBorders>
              <w:top w:val="nil"/>
              <w:left w:val="nil"/>
              <w:bottom w:val="single" w:sz="8" w:space="0" w:color="000000"/>
              <w:right w:val="single" w:sz="8" w:space="0" w:color="000000"/>
            </w:tcBorders>
            <w:vAlign w:val="center"/>
            <w:hideMark/>
          </w:tcPr>
          <w:p w14:paraId="3DC8D4F2" w14:textId="77777777" w:rsidR="000B6128" w:rsidRPr="00731FE2" w:rsidRDefault="000B6128" w:rsidP="000B6128">
            <w:pPr>
              <w:spacing w:line="240" w:lineRule="auto"/>
              <w:ind w:firstLine="0"/>
              <w:rPr>
                <w:rFonts w:ascii="Times New Roman" w:eastAsia="Times New Roman" w:hAnsi="Times New Roman" w:cs="Times New Roman"/>
                <w:sz w:val="22"/>
                <w:lang w:eastAsia="ru-RU"/>
              </w:rPr>
            </w:pPr>
            <w:r w:rsidRPr="00731FE2">
              <w:rPr>
                <w:rFonts w:ascii="Times New Roman" w:eastAsia="Times New Roman" w:hAnsi="Times New Roman" w:cs="Times New Roman"/>
                <w:b/>
                <w:bCs/>
                <w:color w:val="000000"/>
                <w:sz w:val="22"/>
                <w:lang w:eastAsia="ru-RU"/>
              </w:rPr>
              <w:t xml:space="preserve">Жилые зоны, </w:t>
            </w:r>
            <w:r w:rsidRPr="00731FE2">
              <w:rPr>
                <w:rFonts w:ascii="Times New Roman" w:eastAsia="Times New Roman" w:hAnsi="Times New Roman" w:cs="Times New Roman"/>
                <w:color w:val="000000"/>
                <w:sz w:val="22"/>
                <w:lang w:eastAsia="ru-RU"/>
              </w:rPr>
              <w:t>в том числе:</w:t>
            </w:r>
          </w:p>
        </w:tc>
        <w:tc>
          <w:tcPr>
            <w:tcW w:w="1525" w:type="dxa"/>
            <w:tcBorders>
              <w:top w:val="nil"/>
              <w:left w:val="nil"/>
              <w:bottom w:val="single" w:sz="8" w:space="0" w:color="000000"/>
              <w:right w:val="single" w:sz="8" w:space="0" w:color="000000"/>
            </w:tcBorders>
            <w:vAlign w:val="center"/>
            <w:hideMark/>
          </w:tcPr>
          <w:p w14:paraId="5C9E1850" w14:textId="7777777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b/>
                <w:bCs/>
                <w:color w:val="000000"/>
                <w:sz w:val="22"/>
                <w:lang w:eastAsia="ru-RU"/>
              </w:rPr>
              <w:t>га</w:t>
            </w:r>
          </w:p>
        </w:tc>
        <w:tc>
          <w:tcPr>
            <w:tcW w:w="1766" w:type="dxa"/>
            <w:tcBorders>
              <w:top w:val="nil"/>
              <w:left w:val="nil"/>
              <w:bottom w:val="single" w:sz="8" w:space="0" w:color="000000"/>
              <w:right w:val="single" w:sz="8" w:space="0" w:color="000000"/>
            </w:tcBorders>
            <w:vAlign w:val="center"/>
            <w:hideMark/>
          </w:tcPr>
          <w:p w14:paraId="38178B15" w14:textId="20006770" w:rsidR="000B6128" w:rsidRPr="00731FE2" w:rsidRDefault="000B6128" w:rsidP="000B6128">
            <w:pPr>
              <w:spacing w:line="240" w:lineRule="auto"/>
              <w:ind w:firstLine="44"/>
              <w:jc w:val="center"/>
              <w:rPr>
                <w:rFonts w:ascii="Times New Roman" w:eastAsia="Times New Roman" w:hAnsi="Times New Roman" w:cs="Times New Roman"/>
                <w:sz w:val="22"/>
                <w:lang w:eastAsia="ru-RU"/>
              </w:rPr>
            </w:pPr>
            <w:r w:rsidRPr="00731FE2">
              <w:rPr>
                <w:rFonts w:ascii="Times New Roman" w:hAnsi="Times New Roman" w:cs="Times New Roman"/>
                <w:b/>
                <w:bCs/>
                <w:sz w:val="22"/>
                <w:lang w:val="en-US"/>
              </w:rPr>
              <w:t>23</w:t>
            </w:r>
            <w:r w:rsidRPr="00731FE2">
              <w:rPr>
                <w:rFonts w:ascii="Times New Roman" w:hAnsi="Times New Roman" w:cs="Times New Roman"/>
                <w:b/>
                <w:bCs/>
                <w:sz w:val="22"/>
              </w:rPr>
              <w:t>,57</w:t>
            </w:r>
          </w:p>
        </w:tc>
        <w:tc>
          <w:tcPr>
            <w:tcW w:w="1766" w:type="dxa"/>
            <w:tcBorders>
              <w:top w:val="nil"/>
              <w:left w:val="nil"/>
              <w:bottom w:val="single" w:sz="8" w:space="0" w:color="000000"/>
              <w:right w:val="single" w:sz="8" w:space="0" w:color="000000"/>
            </w:tcBorders>
            <w:vAlign w:val="center"/>
            <w:hideMark/>
          </w:tcPr>
          <w:p w14:paraId="7A3F6C2F" w14:textId="1A480B09" w:rsidR="000B6128" w:rsidRPr="00731FE2" w:rsidRDefault="000B6128" w:rsidP="000B6128">
            <w:pPr>
              <w:spacing w:line="240" w:lineRule="auto"/>
              <w:ind w:firstLine="44"/>
              <w:jc w:val="center"/>
              <w:rPr>
                <w:rFonts w:ascii="Times New Roman" w:eastAsia="Times New Roman" w:hAnsi="Times New Roman" w:cs="Times New Roman"/>
                <w:sz w:val="22"/>
                <w:lang w:eastAsia="ru-RU"/>
              </w:rPr>
            </w:pPr>
            <w:r w:rsidRPr="00731FE2">
              <w:rPr>
                <w:rFonts w:ascii="Times New Roman" w:hAnsi="Times New Roman" w:cs="Times New Roman"/>
                <w:b/>
                <w:bCs/>
                <w:sz w:val="22"/>
                <w:lang w:val="en-US"/>
              </w:rPr>
              <w:t>23</w:t>
            </w:r>
            <w:r w:rsidRPr="00731FE2">
              <w:rPr>
                <w:rFonts w:ascii="Times New Roman" w:hAnsi="Times New Roman" w:cs="Times New Roman"/>
                <w:b/>
                <w:bCs/>
                <w:sz w:val="22"/>
              </w:rPr>
              <w:t>,57</w:t>
            </w:r>
          </w:p>
        </w:tc>
      </w:tr>
      <w:tr w:rsidR="000B6128" w:rsidRPr="00731FE2" w14:paraId="79A92131" w14:textId="77777777" w:rsidTr="00FE28EA">
        <w:trPr>
          <w:trHeight w:val="58"/>
          <w:tblCellSpacing w:w="0" w:type="dxa"/>
        </w:trPr>
        <w:tc>
          <w:tcPr>
            <w:tcW w:w="0" w:type="auto"/>
            <w:vMerge/>
            <w:tcBorders>
              <w:top w:val="nil"/>
              <w:left w:val="single" w:sz="8" w:space="0" w:color="000000"/>
              <w:bottom w:val="single" w:sz="8" w:space="0" w:color="000000"/>
              <w:right w:val="single" w:sz="8" w:space="0" w:color="000000"/>
            </w:tcBorders>
            <w:vAlign w:val="center"/>
            <w:hideMark/>
          </w:tcPr>
          <w:p w14:paraId="4A7883EC" w14:textId="77777777" w:rsidR="000B6128" w:rsidRPr="00731FE2" w:rsidRDefault="000B6128" w:rsidP="000B6128">
            <w:pPr>
              <w:spacing w:line="240" w:lineRule="auto"/>
              <w:ind w:firstLine="0"/>
              <w:jc w:val="left"/>
              <w:rPr>
                <w:rFonts w:ascii="Times New Roman" w:eastAsia="Times New Roman" w:hAnsi="Times New Roman" w:cs="Times New Roman"/>
                <w:sz w:val="22"/>
                <w:lang w:eastAsia="ru-RU"/>
              </w:rPr>
            </w:pPr>
          </w:p>
        </w:tc>
        <w:tc>
          <w:tcPr>
            <w:tcW w:w="3417" w:type="dxa"/>
            <w:tcBorders>
              <w:top w:val="nil"/>
              <w:left w:val="nil"/>
              <w:bottom w:val="single" w:sz="8" w:space="0" w:color="000000"/>
              <w:right w:val="single" w:sz="8" w:space="0" w:color="000000"/>
            </w:tcBorders>
            <w:vAlign w:val="center"/>
            <w:hideMark/>
          </w:tcPr>
          <w:p w14:paraId="0C69C24A" w14:textId="77777777" w:rsidR="000B6128" w:rsidRPr="00731FE2" w:rsidRDefault="000B6128" w:rsidP="000B6128">
            <w:pPr>
              <w:spacing w:line="240" w:lineRule="auto"/>
              <w:ind w:firstLine="0"/>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Зона застройки индивидуальными жилыми домами</w:t>
            </w:r>
          </w:p>
        </w:tc>
        <w:tc>
          <w:tcPr>
            <w:tcW w:w="1525" w:type="dxa"/>
            <w:tcBorders>
              <w:top w:val="nil"/>
              <w:left w:val="nil"/>
              <w:bottom w:val="single" w:sz="8" w:space="0" w:color="000000"/>
              <w:right w:val="single" w:sz="8" w:space="0" w:color="000000"/>
            </w:tcBorders>
            <w:vAlign w:val="center"/>
            <w:hideMark/>
          </w:tcPr>
          <w:p w14:paraId="504F4448" w14:textId="7777777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га</w:t>
            </w:r>
          </w:p>
        </w:tc>
        <w:tc>
          <w:tcPr>
            <w:tcW w:w="1766" w:type="dxa"/>
            <w:tcBorders>
              <w:top w:val="nil"/>
              <w:left w:val="nil"/>
              <w:bottom w:val="single" w:sz="8" w:space="0" w:color="000000"/>
              <w:right w:val="single" w:sz="8" w:space="0" w:color="000000"/>
            </w:tcBorders>
            <w:vAlign w:val="center"/>
            <w:hideMark/>
          </w:tcPr>
          <w:p w14:paraId="0BFB6F3A" w14:textId="0FFD0A8F" w:rsidR="000B6128" w:rsidRPr="00731FE2" w:rsidRDefault="000B6128" w:rsidP="000B6128">
            <w:pPr>
              <w:spacing w:line="240" w:lineRule="auto"/>
              <w:ind w:firstLine="44"/>
              <w:jc w:val="center"/>
              <w:rPr>
                <w:rFonts w:ascii="Times New Roman" w:eastAsia="Times New Roman" w:hAnsi="Times New Roman" w:cs="Times New Roman"/>
                <w:sz w:val="22"/>
                <w:lang w:eastAsia="ru-RU"/>
              </w:rPr>
            </w:pPr>
            <w:r w:rsidRPr="00731FE2">
              <w:rPr>
                <w:rFonts w:ascii="Times New Roman" w:hAnsi="Times New Roman" w:cs="Times New Roman"/>
                <w:sz w:val="22"/>
              </w:rPr>
              <w:t>23,57</w:t>
            </w:r>
          </w:p>
        </w:tc>
        <w:tc>
          <w:tcPr>
            <w:tcW w:w="1766" w:type="dxa"/>
            <w:tcBorders>
              <w:top w:val="nil"/>
              <w:left w:val="nil"/>
              <w:bottom w:val="single" w:sz="8" w:space="0" w:color="000000"/>
              <w:right w:val="single" w:sz="8" w:space="0" w:color="000000"/>
            </w:tcBorders>
            <w:vAlign w:val="center"/>
            <w:hideMark/>
          </w:tcPr>
          <w:p w14:paraId="47E6BB38" w14:textId="5A868922" w:rsidR="000B6128" w:rsidRPr="00731FE2" w:rsidRDefault="000B6128" w:rsidP="000B6128">
            <w:pPr>
              <w:spacing w:line="240" w:lineRule="auto"/>
              <w:ind w:firstLine="44"/>
              <w:jc w:val="center"/>
              <w:rPr>
                <w:rFonts w:ascii="Times New Roman" w:eastAsia="Times New Roman" w:hAnsi="Times New Roman" w:cs="Times New Roman"/>
                <w:sz w:val="22"/>
                <w:lang w:eastAsia="ru-RU"/>
              </w:rPr>
            </w:pPr>
            <w:r w:rsidRPr="00731FE2">
              <w:rPr>
                <w:rFonts w:ascii="Times New Roman" w:hAnsi="Times New Roman" w:cs="Times New Roman"/>
                <w:sz w:val="22"/>
              </w:rPr>
              <w:t>23,57</w:t>
            </w:r>
          </w:p>
        </w:tc>
      </w:tr>
      <w:tr w:rsidR="000B6128" w:rsidRPr="00731FE2" w14:paraId="6C500BA4" w14:textId="77777777" w:rsidTr="00FE28EA">
        <w:trPr>
          <w:trHeight w:val="58"/>
          <w:tblCellSpacing w:w="0" w:type="dxa"/>
        </w:trPr>
        <w:tc>
          <w:tcPr>
            <w:tcW w:w="0" w:type="auto"/>
            <w:vMerge/>
            <w:tcBorders>
              <w:top w:val="nil"/>
              <w:left w:val="single" w:sz="8" w:space="0" w:color="000000"/>
              <w:bottom w:val="single" w:sz="8" w:space="0" w:color="000000"/>
              <w:right w:val="single" w:sz="8" w:space="0" w:color="000000"/>
            </w:tcBorders>
            <w:vAlign w:val="center"/>
            <w:hideMark/>
          </w:tcPr>
          <w:p w14:paraId="686B4A70" w14:textId="77777777" w:rsidR="000B6128" w:rsidRPr="00731FE2" w:rsidRDefault="000B6128" w:rsidP="000B6128">
            <w:pPr>
              <w:spacing w:line="240" w:lineRule="auto"/>
              <w:ind w:firstLine="0"/>
              <w:jc w:val="left"/>
              <w:rPr>
                <w:rFonts w:ascii="Times New Roman" w:eastAsia="Times New Roman" w:hAnsi="Times New Roman" w:cs="Times New Roman"/>
                <w:sz w:val="22"/>
                <w:lang w:eastAsia="ru-RU"/>
              </w:rPr>
            </w:pPr>
          </w:p>
        </w:tc>
        <w:tc>
          <w:tcPr>
            <w:tcW w:w="3417" w:type="dxa"/>
            <w:tcBorders>
              <w:top w:val="nil"/>
              <w:left w:val="nil"/>
              <w:bottom w:val="single" w:sz="8" w:space="0" w:color="000000"/>
              <w:right w:val="single" w:sz="8" w:space="0" w:color="000000"/>
            </w:tcBorders>
            <w:vAlign w:val="center"/>
            <w:hideMark/>
          </w:tcPr>
          <w:p w14:paraId="77138B6B" w14:textId="77777777" w:rsidR="000B6128" w:rsidRPr="00731FE2" w:rsidRDefault="000B6128" w:rsidP="000B6128">
            <w:pPr>
              <w:spacing w:line="240" w:lineRule="auto"/>
              <w:ind w:firstLine="0"/>
              <w:rPr>
                <w:rFonts w:ascii="Times New Roman" w:eastAsia="Times New Roman" w:hAnsi="Times New Roman" w:cs="Times New Roman"/>
                <w:sz w:val="22"/>
                <w:lang w:eastAsia="ru-RU"/>
              </w:rPr>
            </w:pPr>
            <w:r w:rsidRPr="00731FE2">
              <w:rPr>
                <w:rFonts w:ascii="Times New Roman" w:eastAsia="Times New Roman" w:hAnsi="Times New Roman" w:cs="Times New Roman"/>
                <w:b/>
                <w:bCs/>
                <w:color w:val="000000"/>
                <w:sz w:val="22"/>
                <w:lang w:eastAsia="ru-RU"/>
              </w:rPr>
              <w:t xml:space="preserve">Зоны производственного, инженерного и транспортного использования, </w:t>
            </w:r>
            <w:r w:rsidRPr="00731FE2">
              <w:rPr>
                <w:rFonts w:ascii="Times New Roman" w:eastAsia="Times New Roman" w:hAnsi="Times New Roman" w:cs="Times New Roman"/>
                <w:color w:val="000000"/>
                <w:sz w:val="22"/>
                <w:lang w:eastAsia="ru-RU"/>
              </w:rPr>
              <w:t>в том числе:</w:t>
            </w:r>
          </w:p>
        </w:tc>
        <w:tc>
          <w:tcPr>
            <w:tcW w:w="1525" w:type="dxa"/>
            <w:tcBorders>
              <w:top w:val="nil"/>
              <w:left w:val="nil"/>
              <w:bottom w:val="single" w:sz="8" w:space="0" w:color="000000"/>
              <w:right w:val="single" w:sz="8" w:space="0" w:color="000000"/>
            </w:tcBorders>
            <w:vAlign w:val="center"/>
            <w:hideMark/>
          </w:tcPr>
          <w:p w14:paraId="43D874D1" w14:textId="7777777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b/>
                <w:bCs/>
                <w:color w:val="000000"/>
                <w:sz w:val="22"/>
                <w:lang w:eastAsia="ru-RU"/>
              </w:rPr>
              <w:t>га</w:t>
            </w:r>
          </w:p>
        </w:tc>
        <w:tc>
          <w:tcPr>
            <w:tcW w:w="1766" w:type="dxa"/>
            <w:tcBorders>
              <w:top w:val="nil"/>
              <w:left w:val="nil"/>
              <w:bottom w:val="single" w:sz="8" w:space="0" w:color="000000"/>
              <w:right w:val="single" w:sz="8" w:space="0" w:color="000000"/>
            </w:tcBorders>
            <w:vAlign w:val="center"/>
            <w:hideMark/>
          </w:tcPr>
          <w:p w14:paraId="620653F6" w14:textId="3862A370" w:rsidR="000B6128" w:rsidRPr="00731FE2" w:rsidRDefault="000B6128" w:rsidP="000B6128">
            <w:pPr>
              <w:spacing w:line="240" w:lineRule="auto"/>
              <w:ind w:firstLine="44"/>
              <w:jc w:val="center"/>
              <w:rPr>
                <w:rFonts w:ascii="Times New Roman" w:eastAsia="Times New Roman" w:hAnsi="Times New Roman" w:cs="Times New Roman"/>
                <w:sz w:val="22"/>
                <w:lang w:eastAsia="ru-RU"/>
              </w:rPr>
            </w:pPr>
            <w:r w:rsidRPr="00731FE2">
              <w:rPr>
                <w:rFonts w:ascii="Times New Roman" w:hAnsi="Times New Roman" w:cs="Times New Roman"/>
                <w:b/>
                <w:bCs/>
                <w:sz w:val="22"/>
              </w:rPr>
              <w:t>2,83</w:t>
            </w:r>
          </w:p>
        </w:tc>
        <w:tc>
          <w:tcPr>
            <w:tcW w:w="1766" w:type="dxa"/>
            <w:tcBorders>
              <w:top w:val="nil"/>
              <w:left w:val="nil"/>
              <w:bottom w:val="single" w:sz="8" w:space="0" w:color="000000"/>
              <w:right w:val="single" w:sz="8" w:space="0" w:color="000000"/>
            </w:tcBorders>
            <w:vAlign w:val="center"/>
            <w:hideMark/>
          </w:tcPr>
          <w:p w14:paraId="27CFDCA2" w14:textId="107D58ED" w:rsidR="000B6128" w:rsidRPr="00731FE2" w:rsidRDefault="000B6128" w:rsidP="000B6128">
            <w:pPr>
              <w:spacing w:line="240" w:lineRule="auto"/>
              <w:ind w:firstLine="44"/>
              <w:jc w:val="center"/>
              <w:rPr>
                <w:rFonts w:ascii="Times New Roman" w:eastAsia="Times New Roman" w:hAnsi="Times New Roman" w:cs="Times New Roman"/>
                <w:sz w:val="22"/>
                <w:lang w:eastAsia="ru-RU"/>
              </w:rPr>
            </w:pPr>
            <w:r w:rsidRPr="00731FE2">
              <w:rPr>
                <w:rFonts w:ascii="Times New Roman" w:hAnsi="Times New Roman" w:cs="Times New Roman"/>
                <w:b/>
                <w:bCs/>
                <w:sz w:val="22"/>
              </w:rPr>
              <w:t>2,83</w:t>
            </w:r>
          </w:p>
        </w:tc>
      </w:tr>
      <w:tr w:rsidR="000B6128" w:rsidRPr="00731FE2" w14:paraId="32C6935F" w14:textId="77777777" w:rsidTr="00FE28EA">
        <w:trPr>
          <w:trHeight w:val="58"/>
          <w:tblCellSpacing w:w="0" w:type="dxa"/>
        </w:trPr>
        <w:tc>
          <w:tcPr>
            <w:tcW w:w="0" w:type="auto"/>
            <w:vMerge/>
            <w:tcBorders>
              <w:top w:val="nil"/>
              <w:left w:val="single" w:sz="8" w:space="0" w:color="000000"/>
              <w:bottom w:val="single" w:sz="8" w:space="0" w:color="000000"/>
              <w:right w:val="single" w:sz="8" w:space="0" w:color="000000"/>
            </w:tcBorders>
            <w:vAlign w:val="center"/>
            <w:hideMark/>
          </w:tcPr>
          <w:p w14:paraId="55DB75C8" w14:textId="77777777" w:rsidR="000B6128" w:rsidRPr="00731FE2" w:rsidRDefault="000B6128" w:rsidP="000B6128">
            <w:pPr>
              <w:spacing w:line="240" w:lineRule="auto"/>
              <w:ind w:firstLine="0"/>
              <w:jc w:val="left"/>
              <w:rPr>
                <w:rFonts w:ascii="Times New Roman" w:eastAsia="Times New Roman" w:hAnsi="Times New Roman" w:cs="Times New Roman"/>
                <w:sz w:val="22"/>
                <w:lang w:eastAsia="ru-RU"/>
              </w:rPr>
            </w:pPr>
          </w:p>
        </w:tc>
        <w:tc>
          <w:tcPr>
            <w:tcW w:w="3417" w:type="dxa"/>
            <w:tcBorders>
              <w:top w:val="nil"/>
              <w:left w:val="nil"/>
              <w:bottom w:val="single" w:sz="8" w:space="0" w:color="000000"/>
              <w:right w:val="single" w:sz="8" w:space="0" w:color="000000"/>
            </w:tcBorders>
            <w:vAlign w:val="center"/>
            <w:hideMark/>
          </w:tcPr>
          <w:p w14:paraId="5F426660" w14:textId="77777777" w:rsidR="000B6128" w:rsidRPr="00731FE2" w:rsidRDefault="000B6128" w:rsidP="000B6128">
            <w:pPr>
              <w:spacing w:line="240" w:lineRule="auto"/>
              <w:ind w:firstLine="0"/>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Производственные зоны, зоны инженерной и транспортной инфраструктур</w:t>
            </w:r>
          </w:p>
        </w:tc>
        <w:tc>
          <w:tcPr>
            <w:tcW w:w="1525" w:type="dxa"/>
            <w:tcBorders>
              <w:top w:val="nil"/>
              <w:left w:val="nil"/>
              <w:bottom w:val="single" w:sz="8" w:space="0" w:color="000000"/>
              <w:right w:val="single" w:sz="8" w:space="0" w:color="000000"/>
            </w:tcBorders>
            <w:vAlign w:val="center"/>
            <w:hideMark/>
          </w:tcPr>
          <w:p w14:paraId="115E6039" w14:textId="7777777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га</w:t>
            </w:r>
          </w:p>
        </w:tc>
        <w:tc>
          <w:tcPr>
            <w:tcW w:w="1766" w:type="dxa"/>
            <w:tcBorders>
              <w:top w:val="nil"/>
              <w:left w:val="nil"/>
              <w:bottom w:val="single" w:sz="8" w:space="0" w:color="000000"/>
              <w:right w:val="single" w:sz="8" w:space="0" w:color="000000"/>
            </w:tcBorders>
            <w:vAlign w:val="center"/>
            <w:hideMark/>
          </w:tcPr>
          <w:p w14:paraId="6C9E1B09" w14:textId="46614106" w:rsidR="000B6128" w:rsidRPr="00731FE2" w:rsidRDefault="000B6128" w:rsidP="000B6128">
            <w:pPr>
              <w:spacing w:line="240" w:lineRule="auto"/>
              <w:ind w:firstLine="44"/>
              <w:jc w:val="center"/>
              <w:rPr>
                <w:rFonts w:ascii="Times New Roman" w:eastAsia="Times New Roman" w:hAnsi="Times New Roman" w:cs="Times New Roman"/>
                <w:sz w:val="22"/>
                <w:lang w:eastAsia="ru-RU"/>
              </w:rPr>
            </w:pPr>
            <w:r w:rsidRPr="00731FE2">
              <w:rPr>
                <w:rFonts w:ascii="Times New Roman" w:hAnsi="Times New Roman" w:cs="Times New Roman"/>
                <w:sz w:val="22"/>
              </w:rPr>
              <w:t>1,58</w:t>
            </w:r>
          </w:p>
        </w:tc>
        <w:tc>
          <w:tcPr>
            <w:tcW w:w="1766" w:type="dxa"/>
            <w:tcBorders>
              <w:top w:val="nil"/>
              <w:left w:val="nil"/>
              <w:bottom w:val="single" w:sz="8" w:space="0" w:color="000000"/>
              <w:right w:val="single" w:sz="8" w:space="0" w:color="000000"/>
            </w:tcBorders>
            <w:vAlign w:val="center"/>
            <w:hideMark/>
          </w:tcPr>
          <w:p w14:paraId="0880082E" w14:textId="0A2440A0" w:rsidR="000B6128" w:rsidRPr="00731FE2" w:rsidRDefault="000B6128" w:rsidP="000B6128">
            <w:pPr>
              <w:spacing w:line="240" w:lineRule="auto"/>
              <w:ind w:firstLine="44"/>
              <w:jc w:val="center"/>
              <w:rPr>
                <w:rFonts w:ascii="Times New Roman" w:eastAsia="Times New Roman" w:hAnsi="Times New Roman" w:cs="Times New Roman"/>
                <w:sz w:val="22"/>
                <w:lang w:eastAsia="ru-RU"/>
              </w:rPr>
            </w:pPr>
            <w:r w:rsidRPr="00731FE2">
              <w:rPr>
                <w:rFonts w:ascii="Times New Roman" w:hAnsi="Times New Roman" w:cs="Times New Roman"/>
                <w:sz w:val="22"/>
              </w:rPr>
              <w:t>1,58</w:t>
            </w:r>
          </w:p>
        </w:tc>
      </w:tr>
      <w:tr w:rsidR="000B6128" w:rsidRPr="00731FE2" w14:paraId="570CB479" w14:textId="77777777" w:rsidTr="00FE28EA">
        <w:trPr>
          <w:trHeight w:val="58"/>
          <w:tblCellSpacing w:w="0" w:type="dxa"/>
        </w:trPr>
        <w:tc>
          <w:tcPr>
            <w:tcW w:w="0" w:type="auto"/>
            <w:vMerge/>
            <w:tcBorders>
              <w:top w:val="nil"/>
              <w:left w:val="single" w:sz="8" w:space="0" w:color="000000"/>
              <w:bottom w:val="single" w:sz="8" w:space="0" w:color="000000"/>
              <w:right w:val="single" w:sz="8" w:space="0" w:color="000000"/>
            </w:tcBorders>
            <w:vAlign w:val="center"/>
            <w:hideMark/>
          </w:tcPr>
          <w:p w14:paraId="07106201" w14:textId="77777777" w:rsidR="000B6128" w:rsidRPr="00731FE2" w:rsidRDefault="000B6128" w:rsidP="000B6128">
            <w:pPr>
              <w:spacing w:line="240" w:lineRule="auto"/>
              <w:ind w:firstLine="0"/>
              <w:jc w:val="left"/>
              <w:rPr>
                <w:rFonts w:ascii="Times New Roman" w:eastAsia="Times New Roman" w:hAnsi="Times New Roman" w:cs="Times New Roman"/>
                <w:sz w:val="22"/>
                <w:lang w:eastAsia="ru-RU"/>
              </w:rPr>
            </w:pPr>
          </w:p>
        </w:tc>
        <w:tc>
          <w:tcPr>
            <w:tcW w:w="3417" w:type="dxa"/>
            <w:tcBorders>
              <w:top w:val="nil"/>
              <w:left w:val="nil"/>
              <w:bottom w:val="single" w:sz="8" w:space="0" w:color="000000"/>
              <w:right w:val="single" w:sz="8" w:space="0" w:color="000000"/>
            </w:tcBorders>
            <w:vAlign w:val="center"/>
            <w:hideMark/>
          </w:tcPr>
          <w:p w14:paraId="1A8C8693" w14:textId="77777777" w:rsidR="000B6128" w:rsidRPr="00731FE2" w:rsidRDefault="000B6128" w:rsidP="000B6128">
            <w:pPr>
              <w:spacing w:line="240" w:lineRule="auto"/>
              <w:ind w:firstLine="0"/>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Зона транспортной инфраструктуры</w:t>
            </w:r>
          </w:p>
        </w:tc>
        <w:tc>
          <w:tcPr>
            <w:tcW w:w="1525" w:type="dxa"/>
            <w:tcBorders>
              <w:top w:val="nil"/>
              <w:left w:val="nil"/>
              <w:bottom w:val="single" w:sz="8" w:space="0" w:color="000000"/>
              <w:right w:val="single" w:sz="8" w:space="0" w:color="000000"/>
            </w:tcBorders>
            <w:vAlign w:val="center"/>
            <w:hideMark/>
          </w:tcPr>
          <w:p w14:paraId="1C137073" w14:textId="7777777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га</w:t>
            </w:r>
          </w:p>
        </w:tc>
        <w:tc>
          <w:tcPr>
            <w:tcW w:w="1766" w:type="dxa"/>
            <w:tcBorders>
              <w:top w:val="nil"/>
              <w:left w:val="nil"/>
              <w:bottom w:val="single" w:sz="8" w:space="0" w:color="000000"/>
              <w:right w:val="single" w:sz="8" w:space="0" w:color="000000"/>
            </w:tcBorders>
            <w:vAlign w:val="center"/>
            <w:hideMark/>
          </w:tcPr>
          <w:p w14:paraId="30CDA459" w14:textId="65C09D40" w:rsidR="000B6128" w:rsidRPr="00731FE2" w:rsidRDefault="000B6128" w:rsidP="000B6128">
            <w:pPr>
              <w:spacing w:line="240" w:lineRule="auto"/>
              <w:ind w:firstLine="44"/>
              <w:jc w:val="center"/>
              <w:rPr>
                <w:rFonts w:ascii="Times New Roman" w:eastAsia="Times New Roman" w:hAnsi="Times New Roman" w:cs="Times New Roman"/>
                <w:sz w:val="22"/>
                <w:lang w:eastAsia="ru-RU"/>
              </w:rPr>
            </w:pPr>
            <w:r w:rsidRPr="00731FE2">
              <w:rPr>
                <w:rFonts w:ascii="Times New Roman" w:hAnsi="Times New Roman" w:cs="Times New Roman"/>
                <w:sz w:val="22"/>
              </w:rPr>
              <w:t>1,25</w:t>
            </w:r>
          </w:p>
        </w:tc>
        <w:tc>
          <w:tcPr>
            <w:tcW w:w="1766" w:type="dxa"/>
            <w:tcBorders>
              <w:top w:val="nil"/>
              <w:left w:val="nil"/>
              <w:bottom w:val="single" w:sz="8" w:space="0" w:color="000000"/>
              <w:right w:val="single" w:sz="8" w:space="0" w:color="000000"/>
            </w:tcBorders>
            <w:vAlign w:val="center"/>
            <w:hideMark/>
          </w:tcPr>
          <w:p w14:paraId="5C26C97D" w14:textId="03B403ED" w:rsidR="000B6128" w:rsidRPr="00731FE2" w:rsidRDefault="000B6128" w:rsidP="000B6128">
            <w:pPr>
              <w:spacing w:line="240" w:lineRule="auto"/>
              <w:ind w:firstLine="44"/>
              <w:jc w:val="center"/>
              <w:rPr>
                <w:rFonts w:ascii="Times New Roman" w:eastAsia="Times New Roman" w:hAnsi="Times New Roman" w:cs="Times New Roman"/>
                <w:sz w:val="22"/>
                <w:lang w:eastAsia="ru-RU"/>
              </w:rPr>
            </w:pPr>
            <w:r w:rsidRPr="00731FE2">
              <w:rPr>
                <w:rFonts w:ascii="Times New Roman" w:hAnsi="Times New Roman" w:cs="Times New Roman"/>
                <w:sz w:val="22"/>
              </w:rPr>
              <w:t>1,25</w:t>
            </w:r>
          </w:p>
        </w:tc>
      </w:tr>
      <w:tr w:rsidR="000B6128" w:rsidRPr="00731FE2" w14:paraId="5300CE8E" w14:textId="77777777" w:rsidTr="00FE28EA">
        <w:trPr>
          <w:trHeight w:val="58"/>
          <w:tblCellSpacing w:w="0" w:type="dxa"/>
        </w:trPr>
        <w:tc>
          <w:tcPr>
            <w:tcW w:w="0" w:type="auto"/>
            <w:vMerge/>
            <w:tcBorders>
              <w:top w:val="nil"/>
              <w:left w:val="single" w:sz="8" w:space="0" w:color="000000"/>
              <w:bottom w:val="single" w:sz="8" w:space="0" w:color="000000"/>
              <w:right w:val="single" w:sz="8" w:space="0" w:color="000000"/>
            </w:tcBorders>
            <w:vAlign w:val="center"/>
            <w:hideMark/>
          </w:tcPr>
          <w:p w14:paraId="1D746DA9" w14:textId="77777777" w:rsidR="000B6128" w:rsidRPr="00731FE2" w:rsidRDefault="000B6128" w:rsidP="000B6128">
            <w:pPr>
              <w:spacing w:line="240" w:lineRule="auto"/>
              <w:ind w:firstLine="0"/>
              <w:jc w:val="left"/>
              <w:rPr>
                <w:rFonts w:ascii="Times New Roman" w:eastAsia="Times New Roman" w:hAnsi="Times New Roman" w:cs="Times New Roman"/>
                <w:sz w:val="22"/>
                <w:lang w:eastAsia="ru-RU"/>
              </w:rPr>
            </w:pPr>
          </w:p>
        </w:tc>
        <w:tc>
          <w:tcPr>
            <w:tcW w:w="3417" w:type="dxa"/>
            <w:tcBorders>
              <w:top w:val="nil"/>
              <w:left w:val="nil"/>
              <w:bottom w:val="single" w:sz="8" w:space="0" w:color="000000"/>
              <w:right w:val="single" w:sz="8" w:space="0" w:color="000000"/>
            </w:tcBorders>
            <w:vAlign w:val="center"/>
            <w:hideMark/>
          </w:tcPr>
          <w:p w14:paraId="169FAEDC" w14:textId="77777777" w:rsidR="000B6128" w:rsidRPr="00731FE2" w:rsidRDefault="000B6128" w:rsidP="000B6128">
            <w:pPr>
              <w:spacing w:line="240" w:lineRule="auto"/>
              <w:ind w:firstLine="0"/>
              <w:rPr>
                <w:rFonts w:ascii="Times New Roman" w:eastAsia="Times New Roman" w:hAnsi="Times New Roman" w:cs="Times New Roman"/>
                <w:sz w:val="22"/>
                <w:lang w:eastAsia="ru-RU"/>
              </w:rPr>
            </w:pPr>
            <w:r w:rsidRPr="00731FE2">
              <w:rPr>
                <w:rFonts w:ascii="Times New Roman" w:eastAsia="Times New Roman" w:hAnsi="Times New Roman" w:cs="Times New Roman"/>
                <w:b/>
                <w:bCs/>
                <w:color w:val="000000"/>
                <w:sz w:val="22"/>
                <w:lang w:eastAsia="ru-RU"/>
              </w:rPr>
              <w:t>Зона рекреационного использования, в</w:t>
            </w:r>
            <w:r w:rsidRPr="00731FE2">
              <w:rPr>
                <w:rFonts w:ascii="Times New Roman" w:eastAsia="Times New Roman" w:hAnsi="Times New Roman" w:cs="Times New Roman"/>
                <w:color w:val="000000"/>
                <w:sz w:val="22"/>
                <w:lang w:eastAsia="ru-RU"/>
              </w:rPr>
              <w:t xml:space="preserve"> том числе:</w:t>
            </w:r>
          </w:p>
        </w:tc>
        <w:tc>
          <w:tcPr>
            <w:tcW w:w="1525" w:type="dxa"/>
            <w:tcBorders>
              <w:top w:val="nil"/>
              <w:left w:val="nil"/>
              <w:bottom w:val="single" w:sz="8" w:space="0" w:color="000000"/>
              <w:right w:val="single" w:sz="8" w:space="0" w:color="000000"/>
            </w:tcBorders>
            <w:vAlign w:val="center"/>
            <w:hideMark/>
          </w:tcPr>
          <w:p w14:paraId="0703E5D2" w14:textId="7777777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b/>
                <w:bCs/>
                <w:color w:val="000000"/>
                <w:sz w:val="22"/>
                <w:lang w:eastAsia="ru-RU"/>
              </w:rPr>
              <w:t>га</w:t>
            </w:r>
          </w:p>
        </w:tc>
        <w:tc>
          <w:tcPr>
            <w:tcW w:w="1766" w:type="dxa"/>
            <w:tcBorders>
              <w:top w:val="nil"/>
              <w:left w:val="nil"/>
              <w:bottom w:val="single" w:sz="8" w:space="0" w:color="000000"/>
              <w:right w:val="single" w:sz="8" w:space="0" w:color="000000"/>
            </w:tcBorders>
            <w:vAlign w:val="center"/>
            <w:hideMark/>
          </w:tcPr>
          <w:p w14:paraId="3B947019" w14:textId="2F137270" w:rsidR="000B6128" w:rsidRPr="00731FE2" w:rsidRDefault="000B6128" w:rsidP="000B6128">
            <w:pPr>
              <w:spacing w:line="240" w:lineRule="auto"/>
              <w:ind w:firstLine="44"/>
              <w:jc w:val="center"/>
              <w:rPr>
                <w:rFonts w:ascii="Times New Roman" w:eastAsia="Times New Roman" w:hAnsi="Times New Roman" w:cs="Times New Roman"/>
                <w:sz w:val="22"/>
                <w:lang w:eastAsia="ru-RU"/>
              </w:rPr>
            </w:pPr>
            <w:r w:rsidRPr="00731FE2">
              <w:rPr>
                <w:rFonts w:ascii="Times New Roman" w:hAnsi="Times New Roman" w:cs="Times New Roman"/>
                <w:b/>
                <w:bCs/>
                <w:sz w:val="22"/>
              </w:rPr>
              <w:t>1,12</w:t>
            </w:r>
          </w:p>
        </w:tc>
        <w:tc>
          <w:tcPr>
            <w:tcW w:w="1766" w:type="dxa"/>
            <w:tcBorders>
              <w:top w:val="nil"/>
              <w:left w:val="nil"/>
              <w:bottom w:val="single" w:sz="8" w:space="0" w:color="000000"/>
              <w:right w:val="single" w:sz="8" w:space="0" w:color="000000"/>
            </w:tcBorders>
            <w:vAlign w:val="center"/>
            <w:hideMark/>
          </w:tcPr>
          <w:p w14:paraId="489D3B82" w14:textId="391D7733" w:rsidR="000B6128" w:rsidRPr="00731FE2" w:rsidRDefault="000B6128" w:rsidP="000B6128">
            <w:pPr>
              <w:spacing w:line="240" w:lineRule="auto"/>
              <w:ind w:firstLine="44"/>
              <w:jc w:val="center"/>
              <w:rPr>
                <w:rFonts w:ascii="Times New Roman" w:eastAsia="Times New Roman" w:hAnsi="Times New Roman" w:cs="Times New Roman"/>
                <w:sz w:val="22"/>
                <w:lang w:eastAsia="ru-RU"/>
              </w:rPr>
            </w:pPr>
            <w:r w:rsidRPr="00731FE2">
              <w:rPr>
                <w:rFonts w:ascii="Times New Roman" w:hAnsi="Times New Roman" w:cs="Times New Roman"/>
                <w:b/>
                <w:bCs/>
                <w:sz w:val="22"/>
              </w:rPr>
              <w:t>1,12</w:t>
            </w:r>
          </w:p>
        </w:tc>
      </w:tr>
      <w:tr w:rsidR="000B6128" w:rsidRPr="00731FE2" w14:paraId="1E6213AF" w14:textId="77777777" w:rsidTr="00FE28EA">
        <w:trPr>
          <w:trHeight w:val="58"/>
          <w:tblCellSpacing w:w="0" w:type="dxa"/>
        </w:trPr>
        <w:tc>
          <w:tcPr>
            <w:tcW w:w="0" w:type="auto"/>
            <w:vMerge/>
            <w:tcBorders>
              <w:top w:val="nil"/>
              <w:left w:val="single" w:sz="8" w:space="0" w:color="000000"/>
              <w:bottom w:val="single" w:sz="8" w:space="0" w:color="000000"/>
              <w:right w:val="single" w:sz="8" w:space="0" w:color="000000"/>
            </w:tcBorders>
            <w:vAlign w:val="center"/>
            <w:hideMark/>
          </w:tcPr>
          <w:p w14:paraId="6100FFBE" w14:textId="77777777" w:rsidR="000B6128" w:rsidRPr="00731FE2" w:rsidRDefault="000B6128" w:rsidP="000B6128">
            <w:pPr>
              <w:spacing w:line="240" w:lineRule="auto"/>
              <w:ind w:firstLine="0"/>
              <w:jc w:val="left"/>
              <w:rPr>
                <w:rFonts w:ascii="Times New Roman" w:eastAsia="Times New Roman" w:hAnsi="Times New Roman" w:cs="Times New Roman"/>
                <w:sz w:val="22"/>
                <w:lang w:eastAsia="ru-RU"/>
              </w:rPr>
            </w:pPr>
          </w:p>
        </w:tc>
        <w:tc>
          <w:tcPr>
            <w:tcW w:w="3417" w:type="dxa"/>
            <w:tcBorders>
              <w:top w:val="nil"/>
              <w:left w:val="nil"/>
              <w:bottom w:val="single" w:sz="8" w:space="0" w:color="000000"/>
              <w:right w:val="single" w:sz="8" w:space="0" w:color="000000"/>
            </w:tcBorders>
            <w:vAlign w:val="center"/>
            <w:hideMark/>
          </w:tcPr>
          <w:p w14:paraId="7E5FF3E9" w14:textId="001BB322" w:rsidR="000B6128" w:rsidRPr="00731FE2" w:rsidRDefault="000B6128" w:rsidP="000B6128">
            <w:pPr>
              <w:spacing w:line="240" w:lineRule="auto"/>
              <w:ind w:firstLine="0"/>
              <w:rPr>
                <w:rFonts w:ascii="Times New Roman" w:eastAsia="Times New Roman" w:hAnsi="Times New Roman" w:cs="Times New Roman"/>
                <w:sz w:val="22"/>
                <w:lang w:eastAsia="ru-RU"/>
              </w:rPr>
            </w:pPr>
            <w:r w:rsidRPr="00731FE2">
              <w:rPr>
                <w:rFonts w:ascii="Times New Roman" w:eastAsia="Arial Narrow" w:hAnsi="Times New Roman" w:cs="Times New Roman"/>
                <w:color w:val="000000"/>
                <w:sz w:val="22"/>
              </w:rPr>
              <w:t>Зона озелененных территорий общего пользования (лесопарки, парки, сады, скверы, бульвары, городские леса)</w:t>
            </w:r>
          </w:p>
        </w:tc>
        <w:tc>
          <w:tcPr>
            <w:tcW w:w="1525" w:type="dxa"/>
            <w:tcBorders>
              <w:top w:val="nil"/>
              <w:left w:val="nil"/>
              <w:bottom w:val="single" w:sz="8" w:space="0" w:color="000000"/>
              <w:right w:val="single" w:sz="8" w:space="0" w:color="000000"/>
            </w:tcBorders>
            <w:vAlign w:val="center"/>
            <w:hideMark/>
          </w:tcPr>
          <w:p w14:paraId="421D3452" w14:textId="7777777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га</w:t>
            </w:r>
          </w:p>
        </w:tc>
        <w:tc>
          <w:tcPr>
            <w:tcW w:w="1766" w:type="dxa"/>
            <w:tcBorders>
              <w:top w:val="nil"/>
              <w:left w:val="nil"/>
              <w:bottom w:val="single" w:sz="8" w:space="0" w:color="000000"/>
              <w:right w:val="single" w:sz="8" w:space="0" w:color="000000"/>
            </w:tcBorders>
            <w:vAlign w:val="center"/>
            <w:hideMark/>
          </w:tcPr>
          <w:p w14:paraId="756CFF3C" w14:textId="5E5ADB87" w:rsidR="000B6128" w:rsidRPr="00731FE2" w:rsidRDefault="000B6128" w:rsidP="000B6128">
            <w:pPr>
              <w:spacing w:line="240" w:lineRule="auto"/>
              <w:ind w:firstLine="44"/>
              <w:jc w:val="center"/>
              <w:rPr>
                <w:rFonts w:ascii="Times New Roman" w:eastAsia="Times New Roman" w:hAnsi="Times New Roman" w:cs="Times New Roman"/>
                <w:sz w:val="22"/>
                <w:lang w:eastAsia="ru-RU"/>
              </w:rPr>
            </w:pPr>
            <w:r w:rsidRPr="00731FE2">
              <w:rPr>
                <w:rFonts w:ascii="Times New Roman" w:hAnsi="Times New Roman" w:cs="Times New Roman"/>
                <w:sz w:val="22"/>
              </w:rPr>
              <w:t>1,12</w:t>
            </w:r>
          </w:p>
        </w:tc>
        <w:tc>
          <w:tcPr>
            <w:tcW w:w="1766" w:type="dxa"/>
            <w:tcBorders>
              <w:top w:val="nil"/>
              <w:left w:val="nil"/>
              <w:bottom w:val="single" w:sz="8" w:space="0" w:color="000000"/>
              <w:right w:val="single" w:sz="8" w:space="0" w:color="000000"/>
            </w:tcBorders>
            <w:vAlign w:val="center"/>
            <w:hideMark/>
          </w:tcPr>
          <w:p w14:paraId="71888BA4" w14:textId="6CB16C76" w:rsidR="000B6128" w:rsidRPr="00731FE2" w:rsidRDefault="000B6128" w:rsidP="000B6128">
            <w:pPr>
              <w:spacing w:line="240" w:lineRule="auto"/>
              <w:ind w:firstLine="44"/>
              <w:jc w:val="center"/>
              <w:rPr>
                <w:rFonts w:ascii="Times New Roman" w:eastAsia="Times New Roman" w:hAnsi="Times New Roman" w:cs="Times New Roman"/>
                <w:sz w:val="22"/>
                <w:lang w:eastAsia="ru-RU"/>
              </w:rPr>
            </w:pPr>
            <w:r w:rsidRPr="00731FE2">
              <w:rPr>
                <w:rFonts w:ascii="Times New Roman" w:hAnsi="Times New Roman" w:cs="Times New Roman"/>
                <w:sz w:val="22"/>
              </w:rPr>
              <w:t>1,12</w:t>
            </w:r>
          </w:p>
        </w:tc>
      </w:tr>
      <w:tr w:rsidR="000B6128" w:rsidRPr="00731FE2" w14:paraId="01F0A28A" w14:textId="77777777" w:rsidTr="00FE28EA">
        <w:trPr>
          <w:trHeight w:val="58"/>
          <w:tblCellSpacing w:w="0" w:type="dxa"/>
        </w:trPr>
        <w:tc>
          <w:tcPr>
            <w:tcW w:w="0" w:type="auto"/>
            <w:vMerge/>
            <w:tcBorders>
              <w:top w:val="nil"/>
              <w:left w:val="single" w:sz="8" w:space="0" w:color="000000"/>
              <w:bottom w:val="single" w:sz="8" w:space="0" w:color="000000"/>
              <w:right w:val="single" w:sz="8" w:space="0" w:color="000000"/>
            </w:tcBorders>
            <w:vAlign w:val="center"/>
            <w:hideMark/>
          </w:tcPr>
          <w:p w14:paraId="3399D2DA" w14:textId="77777777" w:rsidR="000B6128" w:rsidRPr="00731FE2" w:rsidRDefault="000B6128" w:rsidP="000B6128">
            <w:pPr>
              <w:spacing w:line="240" w:lineRule="auto"/>
              <w:ind w:firstLine="0"/>
              <w:jc w:val="left"/>
              <w:rPr>
                <w:rFonts w:ascii="Times New Roman" w:eastAsia="Times New Roman" w:hAnsi="Times New Roman" w:cs="Times New Roman"/>
                <w:sz w:val="22"/>
                <w:lang w:eastAsia="ru-RU"/>
              </w:rPr>
            </w:pPr>
          </w:p>
        </w:tc>
        <w:tc>
          <w:tcPr>
            <w:tcW w:w="3417" w:type="dxa"/>
            <w:tcBorders>
              <w:top w:val="nil"/>
              <w:left w:val="nil"/>
              <w:bottom w:val="single" w:sz="8" w:space="0" w:color="000000"/>
              <w:right w:val="single" w:sz="8" w:space="0" w:color="000000"/>
            </w:tcBorders>
            <w:vAlign w:val="center"/>
            <w:hideMark/>
          </w:tcPr>
          <w:p w14:paraId="2F3ACA77" w14:textId="77777777" w:rsidR="000B6128" w:rsidRPr="00731FE2" w:rsidRDefault="000B6128" w:rsidP="000B6128">
            <w:pPr>
              <w:spacing w:line="240" w:lineRule="auto"/>
              <w:ind w:firstLine="0"/>
              <w:rPr>
                <w:rFonts w:ascii="Times New Roman" w:eastAsia="Times New Roman" w:hAnsi="Times New Roman" w:cs="Times New Roman"/>
                <w:sz w:val="22"/>
                <w:lang w:eastAsia="ru-RU"/>
              </w:rPr>
            </w:pPr>
            <w:r w:rsidRPr="00731FE2">
              <w:rPr>
                <w:rFonts w:ascii="Times New Roman" w:eastAsia="Times New Roman" w:hAnsi="Times New Roman" w:cs="Times New Roman"/>
                <w:b/>
                <w:bCs/>
                <w:color w:val="000000"/>
                <w:sz w:val="22"/>
                <w:lang w:eastAsia="ru-RU"/>
              </w:rPr>
              <w:t xml:space="preserve">Зоны специального назначения, </w:t>
            </w:r>
            <w:r w:rsidRPr="00731FE2">
              <w:rPr>
                <w:rFonts w:ascii="Times New Roman" w:eastAsia="Times New Roman" w:hAnsi="Times New Roman" w:cs="Times New Roman"/>
                <w:color w:val="000000"/>
                <w:sz w:val="22"/>
                <w:lang w:eastAsia="ru-RU"/>
              </w:rPr>
              <w:t>в том числе:</w:t>
            </w:r>
          </w:p>
        </w:tc>
        <w:tc>
          <w:tcPr>
            <w:tcW w:w="1525" w:type="dxa"/>
            <w:tcBorders>
              <w:top w:val="nil"/>
              <w:left w:val="nil"/>
              <w:bottom w:val="single" w:sz="8" w:space="0" w:color="000000"/>
              <w:right w:val="single" w:sz="8" w:space="0" w:color="000000"/>
            </w:tcBorders>
            <w:vAlign w:val="center"/>
            <w:hideMark/>
          </w:tcPr>
          <w:p w14:paraId="7D7605D4" w14:textId="7777777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b/>
                <w:bCs/>
                <w:color w:val="000000"/>
                <w:sz w:val="22"/>
                <w:lang w:eastAsia="ru-RU"/>
              </w:rPr>
              <w:t>га</w:t>
            </w:r>
          </w:p>
        </w:tc>
        <w:tc>
          <w:tcPr>
            <w:tcW w:w="1766" w:type="dxa"/>
            <w:tcBorders>
              <w:top w:val="nil"/>
              <w:left w:val="nil"/>
              <w:bottom w:val="single" w:sz="8" w:space="0" w:color="000000"/>
              <w:right w:val="single" w:sz="8" w:space="0" w:color="000000"/>
            </w:tcBorders>
            <w:vAlign w:val="center"/>
            <w:hideMark/>
          </w:tcPr>
          <w:p w14:paraId="33CA849C" w14:textId="6995362A" w:rsidR="000B6128" w:rsidRPr="00731FE2" w:rsidRDefault="000B6128" w:rsidP="000B6128">
            <w:pPr>
              <w:spacing w:line="240" w:lineRule="auto"/>
              <w:ind w:firstLine="44"/>
              <w:jc w:val="center"/>
              <w:rPr>
                <w:rFonts w:ascii="Times New Roman" w:eastAsia="Times New Roman" w:hAnsi="Times New Roman" w:cs="Times New Roman"/>
                <w:sz w:val="22"/>
                <w:lang w:eastAsia="ru-RU"/>
              </w:rPr>
            </w:pPr>
            <w:r w:rsidRPr="00731FE2">
              <w:rPr>
                <w:rFonts w:ascii="Times New Roman" w:hAnsi="Times New Roman" w:cs="Times New Roman"/>
                <w:b/>
                <w:bCs/>
                <w:sz w:val="22"/>
              </w:rPr>
              <w:t>1,62</w:t>
            </w:r>
          </w:p>
        </w:tc>
        <w:tc>
          <w:tcPr>
            <w:tcW w:w="1766" w:type="dxa"/>
            <w:tcBorders>
              <w:top w:val="nil"/>
              <w:left w:val="nil"/>
              <w:bottom w:val="single" w:sz="8" w:space="0" w:color="000000"/>
              <w:right w:val="single" w:sz="8" w:space="0" w:color="000000"/>
            </w:tcBorders>
            <w:vAlign w:val="center"/>
            <w:hideMark/>
          </w:tcPr>
          <w:p w14:paraId="7B4E3267" w14:textId="26736F1C" w:rsidR="000B6128" w:rsidRPr="00731FE2" w:rsidRDefault="000B6128" w:rsidP="000B6128">
            <w:pPr>
              <w:spacing w:line="240" w:lineRule="auto"/>
              <w:ind w:firstLine="44"/>
              <w:jc w:val="center"/>
              <w:rPr>
                <w:rFonts w:ascii="Times New Roman" w:eastAsia="Times New Roman" w:hAnsi="Times New Roman" w:cs="Times New Roman"/>
                <w:sz w:val="22"/>
                <w:lang w:eastAsia="ru-RU"/>
              </w:rPr>
            </w:pPr>
            <w:r w:rsidRPr="00731FE2">
              <w:rPr>
                <w:rFonts w:ascii="Times New Roman" w:hAnsi="Times New Roman" w:cs="Times New Roman"/>
                <w:b/>
                <w:bCs/>
                <w:sz w:val="22"/>
              </w:rPr>
              <w:t>1,62</w:t>
            </w:r>
          </w:p>
        </w:tc>
      </w:tr>
      <w:tr w:rsidR="000B6128" w:rsidRPr="00731FE2" w14:paraId="7B7D2142" w14:textId="77777777" w:rsidTr="00FE28EA">
        <w:trPr>
          <w:trHeight w:val="58"/>
          <w:tblCellSpacing w:w="0" w:type="dxa"/>
        </w:trPr>
        <w:tc>
          <w:tcPr>
            <w:tcW w:w="0" w:type="auto"/>
            <w:vMerge/>
            <w:tcBorders>
              <w:top w:val="nil"/>
              <w:left w:val="single" w:sz="8" w:space="0" w:color="000000"/>
              <w:bottom w:val="single" w:sz="8" w:space="0" w:color="000000"/>
              <w:right w:val="single" w:sz="8" w:space="0" w:color="000000"/>
            </w:tcBorders>
            <w:vAlign w:val="center"/>
            <w:hideMark/>
          </w:tcPr>
          <w:p w14:paraId="07984B33" w14:textId="77777777" w:rsidR="000B6128" w:rsidRPr="00731FE2" w:rsidRDefault="000B6128" w:rsidP="000B6128">
            <w:pPr>
              <w:spacing w:line="240" w:lineRule="auto"/>
              <w:ind w:firstLine="0"/>
              <w:jc w:val="left"/>
              <w:rPr>
                <w:rFonts w:ascii="Times New Roman" w:eastAsia="Times New Roman" w:hAnsi="Times New Roman" w:cs="Times New Roman"/>
                <w:sz w:val="22"/>
                <w:lang w:eastAsia="ru-RU"/>
              </w:rPr>
            </w:pPr>
          </w:p>
        </w:tc>
        <w:tc>
          <w:tcPr>
            <w:tcW w:w="3417" w:type="dxa"/>
            <w:tcBorders>
              <w:top w:val="nil"/>
              <w:left w:val="nil"/>
              <w:bottom w:val="single" w:sz="8" w:space="0" w:color="000000"/>
              <w:right w:val="single" w:sz="8" w:space="0" w:color="000000"/>
            </w:tcBorders>
            <w:vAlign w:val="center"/>
            <w:hideMark/>
          </w:tcPr>
          <w:p w14:paraId="78898671" w14:textId="77777777" w:rsidR="000B6128" w:rsidRPr="00731FE2" w:rsidRDefault="000B6128" w:rsidP="000B6128">
            <w:pPr>
              <w:spacing w:line="240" w:lineRule="auto"/>
              <w:ind w:firstLine="0"/>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Зона режимных территорий</w:t>
            </w:r>
          </w:p>
        </w:tc>
        <w:tc>
          <w:tcPr>
            <w:tcW w:w="1525" w:type="dxa"/>
            <w:tcBorders>
              <w:top w:val="nil"/>
              <w:left w:val="nil"/>
              <w:bottom w:val="single" w:sz="8" w:space="0" w:color="000000"/>
              <w:right w:val="single" w:sz="8" w:space="0" w:color="000000"/>
            </w:tcBorders>
            <w:vAlign w:val="center"/>
            <w:hideMark/>
          </w:tcPr>
          <w:p w14:paraId="4EF7A69C" w14:textId="7777777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га</w:t>
            </w:r>
          </w:p>
        </w:tc>
        <w:tc>
          <w:tcPr>
            <w:tcW w:w="1766" w:type="dxa"/>
            <w:tcBorders>
              <w:top w:val="nil"/>
              <w:left w:val="nil"/>
              <w:bottom w:val="single" w:sz="8" w:space="0" w:color="000000"/>
              <w:right w:val="single" w:sz="8" w:space="0" w:color="000000"/>
            </w:tcBorders>
            <w:vAlign w:val="center"/>
            <w:hideMark/>
          </w:tcPr>
          <w:p w14:paraId="0DBF8C43" w14:textId="323FCBE7" w:rsidR="000B6128" w:rsidRPr="00731FE2" w:rsidRDefault="000B6128" w:rsidP="000B6128">
            <w:pPr>
              <w:spacing w:line="240" w:lineRule="auto"/>
              <w:ind w:firstLine="44"/>
              <w:jc w:val="center"/>
              <w:rPr>
                <w:rFonts w:ascii="Times New Roman" w:eastAsia="Times New Roman" w:hAnsi="Times New Roman" w:cs="Times New Roman"/>
                <w:sz w:val="22"/>
                <w:lang w:eastAsia="ru-RU"/>
              </w:rPr>
            </w:pPr>
            <w:r w:rsidRPr="00731FE2">
              <w:rPr>
                <w:rFonts w:ascii="Times New Roman" w:hAnsi="Times New Roman" w:cs="Times New Roman"/>
                <w:sz w:val="22"/>
              </w:rPr>
              <w:t>1,62</w:t>
            </w:r>
          </w:p>
        </w:tc>
        <w:tc>
          <w:tcPr>
            <w:tcW w:w="1766" w:type="dxa"/>
            <w:tcBorders>
              <w:top w:val="nil"/>
              <w:left w:val="nil"/>
              <w:bottom w:val="single" w:sz="8" w:space="0" w:color="000000"/>
              <w:right w:val="single" w:sz="8" w:space="0" w:color="000000"/>
            </w:tcBorders>
            <w:vAlign w:val="center"/>
            <w:hideMark/>
          </w:tcPr>
          <w:p w14:paraId="087494CD" w14:textId="05BA682D" w:rsidR="000B6128" w:rsidRPr="00731FE2" w:rsidRDefault="000B6128" w:rsidP="000B6128">
            <w:pPr>
              <w:spacing w:line="240" w:lineRule="auto"/>
              <w:ind w:firstLine="44"/>
              <w:jc w:val="center"/>
              <w:rPr>
                <w:rFonts w:ascii="Times New Roman" w:eastAsia="Times New Roman" w:hAnsi="Times New Roman" w:cs="Times New Roman"/>
                <w:sz w:val="22"/>
                <w:lang w:eastAsia="ru-RU"/>
              </w:rPr>
            </w:pPr>
            <w:r w:rsidRPr="00731FE2">
              <w:rPr>
                <w:rFonts w:ascii="Times New Roman" w:hAnsi="Times New Roman" w:cs="Times New Roman"/>
                <w:sz w:val="22"/>
              </w:rPr>
              <w:t>1,62</w:t>
            </w:r>
          </w:p>
        </w:tc>
      </w:tr>
      <w:tr w:rsidR="000B6128" w:rsidRPr="00731FE2" w14:paraId="4EE9873F" w14:textId="77777777" w:rsidTr="00D154A0">
        <w:trPr>
          <w:trHeight w:val="58"/>
          <w:tblCellSpacing w:w="0" w:type="dxa"/>
        </w:trPr>
        <w:tc>
          <w:tcPr>
            <w:tcW w:w="9335" w:type="dxa"/>
            <w:gridSpan w:val="5"/>
            <w:tcBorders>
              <w:top w:val="nil"/>
              <w:left w:val="single" w:sz="8" w:space="0" w:color="000000"/>
              <w:bottom w:val="single" w:sz="8" w:space="0" w:color="000000"/>
              <w:right w:val="single" w:sz="8" w:space="0" w:color="000000"/>
            </w:tcBorders>
            <w:vAlign w:val="center"/>
            <w:hideMark/>
          </w:tcPr>
          <w:p w14:paraId="0A71E84D" w14:textId="7777777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b/>
                <w:bCs/>
                <w:color w:val="000000"/>
                <w:sz w:val="22"/>
                <w:lang w:eastAsia="ru-RU"/>
              </w:rPr>
              <w:t>п. Высокогорный</w:t>
            </w:r>
          </w:p>
        </w:tc>
      </w:tr>
      <w:tr w:rsidR="000B6128" w:rsidRPr="00731FE2" w14:paraId="230BEB64" w14:textId="77777777" w:rsidTr="00FE28EA">
        <w:trPr>
          <w:trHeight w:val="58"/>
          <w:tblCellSpacing w:w="0" w:type="dxa"/>
        </w:trPr>
        <w:tc>
          <w:tcPr>
            <w:tcW w:w="861" w:type="dxa"/>
            <w:vMerge w:val="restart"/>
            <w:tcBorders>
              <w:top w:val="nil"/>
              <w:left w:val="single" w:sz="8" w:space="0" w:color="000000"/>
              <w:bottom w:val="single" w:sz="8" w:space="0" w:color="000000"/>
              <w:right w:val="single" w:sz="8" w:space="0" w:color="000000"/>
            </w:tcBorders>
            <w:vAlign w:val="center"/>
            <w:hideMark/>
          </w:tcPr>
          <w:p w14:paraId="6FF65B58" w14:textId="232135B6"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b/>
                <w:bCs/>
                <w:color w:val="000000"/>
                <w:sz w:val="22"/>
                <w:lang w:eastAsia="ru-RU"/>
              </w:rPr>
              <w:t>1.1</w:t>
            </w:r>
            <w:r w:rsidR="00B043D3" w:rsidRPr="00731FE2">
              <w:rPr>
                <w:rFonts w:ascii="Times New Roman" w:eastAsia="Times New Roman" w:hAnsi="Times New Roman" w:cs="Times New Roman"/>
                <w:b/>
                <w:bCs/>
                <w:color w:val="000000"/>
                <w:sz w:val="22"/>
                <w:lang w:eastAsia="ru-RU"/>
              </w:rPr>
              <w:t>3</w:t>
            </w:r>
          </w:p>
        </w:tc>
        <w:tc>
          <w:tcPr>
            <w:tcW w:w="3417" w:type="dxa"/>
            <w:tcBorders>
              <w:top w:val="nil"/>
              <w:left w:val="nil"/>
              <w:bottom w:val="single" w:sz="8" w:space="0" w:color="000000"/>
              <w:right w:val="single" w:sz="8" w:space="0" w:color="000000"/>
            </w:tcBorders>
            <w:vAlign w:val="center"/>
            <w:hideMark/>
          </w:tcPr>
          <w:p w14:paraId="591B288B" w14:textId="563B7040" w:rsidR="000B6128" w:rsidRPr="00731FE2" w:rsidRDefault="000B6128" w:rsidP="000B6128">
            <w:pPr>
              <w:spacing w:line="240" w:lineRule="auto"/>
              <w:ind w:firstLine="0"/>
              <w:rPr>
                <w:rFonts w:ascii="Times New Roman" w:eastAsia="Times New Roman" w:hAnsi="Times New Roman" w:cs="Times New Roman"/>
                <w:sz w:val="22"/>
                <w:lang w:eastAsia="ru-RU"/>
              </w:rPr>
            </w:pPr>
            <w:r w:rsidRPr="00731FE2">
              <w:rPr>
                <w:rFonts w:ascii="Times New Roman" w:hAnsi="Times New Roman" w:cs="Times New Roman"/>
                <w:b/>
                <w:bCs/>
                <w:color w:val="000000"/>
                <w:sz w:val="22"/>
              </w:rPr>
              <w:t>Общая площадь земель населенных пунктов</w:t>
            </w:r>
          </w:p>
        </w:tc>
        <w:tc>
          <w:tcPr>
            <w:tcW w:w="1525" w:type="dxa"/>
            <w:tcBorders>
              <w:top w:val="nil"/>
              <w:left w:val="nil"/>
              <w:bottom w:val="single" w:sz="8" w:space="0" w:color="000000"/>
              <w:right w:val="single" w:sz="8" w:space="0" w:color="000000"/>
            </w:tcBorders>
            <w:vAlign w:val="center"/>
            <w:hideMark/>
          </w:tcPr>
          <w:p w14:paraId="01EF33CB" w14:textId="6CC5A79F"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hAnsi="Times New Roman" w:cs="Times New Roman"/>
                <w:b/>
                <w:bCs/>
                <w:color w:val="000000"/>
                <w:sz w:val="22"/>
              </w:rPr>
              <w:t>га</w:t>
            </w:r>
          </w:p>
        </w:tc>
        <w:tc>
          <w:tcPr>
            <w:tcW w:w="1766" w:type="dxa"/>
            <w:tcBorders>
              <w:top w:val="nil"/>
              <w:left w:val="nil"/>
              <w:bottom w:val="single" w:sz="8" w:space="0" w:color="000000"/>
              <w:right w:val="single" w:sz="8" w:space="0" w:color="000000"/>
            </w:tcBorders>
            <w:vAlign w:val="center"/>
            <w:hideMark/>
          </w:tcPr>
          <w:p w14:paraId="50A2974F" w14:textId="584EDEDB"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hAnsi="Times New Roman" w:cs="Times New Roman"/>
                <w:b/>
                <w:bCs/>
                <w:color w:val="000000"/>
                <w:sz w:val="22"/>
              </w:rPr>
              <w:t>25,21</w:t>
            </w:r>
          </w:p>
        </w:tc>
        <w:tc>
          <w:tcPr>
            <w:tcW w:w="1766" w:type="dxa"/>
            <w:tcBorders>
              <w:top w:val="nil"/>
              <w:left w:val="nil"/>
              <w:bottom w:val="single" w:sz="8" w:space="0" w:color="000000"/>
              <w:right w:val="single" w:sz="8" w:space="0" w:color="000000"/>
            </w:tcBorders>
            <w:vAlign w:val="center"/>
            <w:hideMark/>
          </w:tcPr>
          <w:p w14:paraId="0893A41F" w14:textId="77CFDAB8"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hAnsi="Times New Roman" w:cs="Times New Roman"/>
                <w:b/>
                <w:bCs/>
                <w:color w:val="000000"/>
                <w:sz w:val="22"/>
              </w:rPr>
              <w:t>25,21</w:t>
            </w:r>
          </w:p>
        </w:tc>
      </w:tr>
      <w:tr w:rsidR="000B6128" w:rsidRPr="00731FE2" w14:paraId="3B1233EC" w14:textId="77777777" w:rsidTr="00FE28EA">
        <w:trPr>
          <w:trHeight w:val="58"/>
          <w:tblCellSpacing w:w="0" w:type="dxa"/>
        </w:trPr>
        <w:tc>
          <w:tcPr>
            <w:tcW w:w="0" w:type="auto"/>
            <w:vMerge/>
            <w:tcBorders>
              <w:top w:val="nil"/>
              <w:left w:val="single" w:sz="8" w:space="0" w:color="000000"/>
              <w:bottom w:val="single" w:sz="8" w:space="0" w:color="000000"/>
              <w:right w:val="single" w:sz="8" w:space="0" w:color="000000"/>
            </w:tcBorders>
            <w:vAlign w:val="center"/>
            <w:hideMark/>
          </w:tcPr>
          <w:p w14:paraId="1B5222AA" w14:textId="77777777" w:rsidR="000B6128" w:rsidRPr="00731FE2" w:rsidRDefault="000B6128" w:rsidP="000B6128">
            <w:pPr>
              <w:spacing w:line="240" w:lineRule="auto"/>
              <w:ind w:firstLine="0"/>
              <w:jc w:val="left"/>
              <w:rPr>
                <w:rFonts w:ascii="Times New Roman" w:eastAsia="Times New Roman" w:hAnsi="Times New Roman" w:cs="Times New Roman"/>
                <w:sz w:val="22"/>
                <w:lang w:eastAsia="ru-RU"/>
              </w:rPr>
            </w:pPr>
          </w:p>
        </w:tc>
        <w:tc>
          <w:tcPr>
            <w:tcW w:w="3417" w:type="dxa"/>
            <w:tcBorders>
              <w:top w:val="nil"/>
              <w:left w:val="nil"/>
              <w:bottom w:val="single" w:sz="8" w:space="0" w:color="000000"/>
              <w:right w:val="single" w:sz="8" w:space="0" w:color="000000"/>
            </w:tcBorders>
            <w:vAlign w:val="center"/>
            <w:hideMark/>
          </w:tcPr>
          <w:p w14:paraId="3908843D" w14:textId="287D893B" w:rsidR="000B6128" w:rsidRPr="00731FE2" w:rsidRDefault="000B6128" w:rsidP="000B6128">
            <w:pPr>
              <w:spacing w:line="240" w:lineRule="auto"/>
              <w:ind w:firstLine="0"/>
              <w:rPr>
                <w:rFonts w:ascii="Times New Roman" w:eastAsia="Times New Roman" w:hAnsi="Times New Roman" w:cs="Times New Roman"/>
                <w:sz w:val="22"/>
                <w:lang w:eastAsia="ru-RU"/>
              </w:rPr>
            </w:pPr>
            <w:r w:rsidRPr="00731FE2">
              <w:rPr>
                <w:rFonts w:ascii="Times New Roman" w:hAnsi="Times New Roman" w:cs="Times New Roman"/>
                <w:b/>
                <w:bCs/>
                <w:color w:val="000000"/>
                <w:sz w:val="22"/>
              </w:rPr>
              <w:t>Общая площадь функциональных зон (в границах п. Высокогорного)</w:t>
            </w:r>
          </w:p>
        </w:tc>
        <w:tc>
          <w:tcPr>
            <w:tcW w:w="1525" w:type="dxa"/>
            <w:tcBorders>
              <w:top w:val="nil"/>
              <w:left w:val="nil"/>
              <w:bottom w:val="single" w:sz="8" w:space="0" w:color="000000"/>
              <w:right w:val="single" w:sz="8" w:space="0" w:color="000000"/>
            </w:tcBorders>
            <w:vAlign w:val="center"/>
            <w:hideMark/>
          </w:tcPr>
          <w:p w14:paraId="16C5DFA5" w14:textId="593675A3"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hAnsi="Times New Roman" w:cs="Times New Roman"/>
                <w:b/>
                <w:bCs/>
                <w:color w:val="000000"/>
                <w:sz w:val="22"/>
              </w:rPr>
              <w:t>га</w:t>
            </w:r>
          </w:p>
        </w:tc>
        <w:tc>
          <w:tcPr>
            <w:tcW w:w="1766" w:type="dxa"/>
            <w:tcBorders>
              <w:top w:val="nil"/>
              <w:left w:val="nil"/>
              <w:bottom w:val="single" w:sz="8" w:space="0" w:color="000000"/>
              <w:right w:val="single" w:sz="8" w:space="0" w:color="000000"/>
            </w:tcBorders>
            <w:vAlign w:val="center"/>
            <w:hideMark/>
          </w:tcPr>
          <w:p w14:paraId="40217B5B" w14:textId="0BB98D9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hAnsi="Times New Roman" w:cs="Times New Roman"/>
                <w:b/>
                <w:bCs/>
                <w:color w:val="000000"/>
                <w:sz w:val="22"/>
              </w:rPr>
              <w:t>25,21</w:t>
            </w:r>
          </w:p>
        </w:tc>
        <w:tc>
          <w:tcPr>
            <w:tcW w:w="1766" w:type="dxa"/>
            <w:tcBorders>
              <w:top w:val="nil"/>
              <w:left w:val="nil"/>
              <w:bottom w:val="single" w:sz="8" w:space="0" w:color="000000"/>
              <w:right w:val="single" w:sz="8" w:space="0" w:color="000000"/>
            </w:tcBorders>
            <w:vAlign w:val="center"/>
            <w:hideMark/>
          </w:tcPr>
          <w:p w14:paraId="5F8637A9" w14:textId="18699BFD"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hAnsi="Times New Roman" w:cs="Times New Roman"/>
                <w:b/>
                <w:bCs/>
                <w:color w:val="000000"/>
                <w:sz w:val="22"/>
              </w:rPr>
              <w:t>25,21</w:t>
            </w:r>
          </w:p>
        </w:tc>
      </w:tr>
      <w:tr w:rsidR="000B6128" w:rsidRPr="00731FE2" w14:paraId="6C8D4692" w14:textId="77777777" w:rsidTr="00FE28EA">
        <w:trPr>
          <w:trHeight w:val="58"/>
          <w:tblCellSpacing w:w="0" w:type="dxa"/>
        </w:trPr>
        <w:tc>
          <w:tcPr>
            <w:tcW w:w="0" w:type="auto"/>
            <w:vMerge/>
            <w:tcBorders>
              <w:top w:val="nil"/>
              <w:left w:val="single" w:sz="8" w:space="0" w:color="000000"/>
              <w:bottom w:val="single" w:sz="8" w:space="0" w:color="000000"/>
              <w:right w:val="single" w:sz="8" w:space="0" w:color="000000"/>
            </w:tcBorders>
            <w:vAlign w:val="center"/>
            <w:hideMark/>
          </w:tcPr>
          <w:p w14:paraId="445EC34B" w14:textId="77777777" w:rsidR="000B6128" w:rsidRPr="00731FE2" w:rsidRDefault="000B6128" w:rsidP="000B6128">
            <w:pPr>
              <w:spacing w:line="240" w:lineRule="auto"/>
              <w:ind w:firstLine="0"/>
              <w:jc w:val="left"/>
              <w:rPr>
                <w:rFonts w:ascii="Times New Roman" w:eastAsia="Times New Roman" w:hAnsi="Times New Roman" w:cs="Times New Roman"/>
                <w:sz w:val="22"/>
                <w:lang w:eastAsia="ru-RU"/>
              </w:rPr>
            </w:pPr>
          </w:p>
        </w:tc>
        <w:tc>
          <w:tcPr>
            <w:tcW w:w="3417" w:type="dxa"/>
            <w:tcBorders>
              <w:top w:val="nil"/>
              <w:left w:val="nil"/>
              <w:bottom w:val="single" w:sz="8" w:space="0" w:color="000000"/>
              <w:right w:val="single" w:sz="8" w:space="0" w:color="000000"/>
            </w:tcBorders>
            <w:vAlign w:val="center"/>
            <w:hideMark/>
          </w:tcPr>
          <w:p w14:paraId="0276F6EE" w14:textId="46ECE639" w:rsidR="000B6128" w:rsidRPr="00731FE2" w:rsidRDefault="000B6128" w:rsidP="000B6128">
            <w:pPr>
              <w:spacing w:line="240" w:lineRule="auto"/>
              <w:ind w:firstLine="0"/>
              <w:rPr>
                <w:rFonts w:ascii="Times New Roman" w:eastAsia="Times New Roman" w:hAnsi="Times New Roman" w:cs="Times New Roman"/>
                <w:sz w:val="22"/>
                <w:lang w:eastAsia="ru-RU"/>
              </w:rPr>
            </w:pPr>
            <w:r w:rsidRPr="00731FE2">
              <w:rPr>
                <w:rFonts w:ascii="Times New Roman" w:hAnsi="Times New Roman" w:cs="Times New Roman"/>
                <w:b/>
                <w:bCs/>
                <w:color w:val="000000"/>
                <w:sz w:val="22"/>
              </w:rPr>
              <w:t xml:space="preserve">Жилые зоны, </w:t>
            </w:r>
            <w:r w:rsidRPr="00731FE2">
              <w:rPr>
                <w:rFonts w:ascii="Times New Roman" w:hAnsi="Times New Roman" w:cs="Times New Roman"/>
                <w:color w:val="000000"/>
                <w:sz w:val="22"/>
              </w:rPr>
              <w:t>в том числе:</w:t>
            </w:r>
          </w:p>
        </w:tc>
        <w:tc>
          <w:tcPr>
            <w:tcW w:w="1525" w:type="dxa"/>
            <w:tcBorders>
              <w:top w:val="nil"/>
              <w:left w:val="nil"/>
              <w:bottom w:val="single" w:sz="8" w:space="0" w:color="000000"/>
              <w:right w:val="single" w:sz="8" w:space="0" w:color="000000"/>
            </w:tcBorders>
            <w:vAlign w:val="center"/>
            <w:hideMark/>
          </w:tcPr>
          <w:p w14:paraId="28EBC468" w14:textId="4F56ED7A"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hAnsi="Times New Roman" w:cs="Times New Roman"/>
                <w:b/>
                <w:bCs/>
                <w:color w:val="000000"/>
                <w:sz w:val="22"/>
              </w:rPr>
              <w:t>га</w:t>
            </w:r>
          </w:p>
        </w:tc>
        <w:tc>
          <w:tcPr>
            <w:tcW w:w="1766" w:type="dxa"/>
            <w:tcBorders>
              <w:top w:val="nil"/>
              <w:left w:val="nil"/>
              <w:bottom w:val="single" w:sz="8" w:space="0" w:color="000000"/>
              <w:right w:val="single" w:sz="8" w:space="0" w:color="000000"/>
            </w:tcBorders>
            <w:vAlign w:val="center"/>
            <w:hideMark/>
          </w:tcPr>
          <w:p w14:paraId="77DA893F" w14:textId="6259468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hAnsi="Times New Roman" w:cs="Times New Roman"/>
                <w:b/>
                <w:bCs/>
                <w:color w:val="000000"/>
                <w:sz w:val="22"/>
              </w:rPr>
              <w:t>23,70</w:t>
            </w:r>
          </w:p>
        </w:tc>
        <w:tc>
          <w:tcPr>
            <w:tcW w:w="1766" w:type="dxa"/>
            <w:tcBorders>
              <w:top w:val="nil"/>
              <w:left w:val="nil"/>
              <w:bottom w:val="single" w:sz="8" w:space="0" w:color="000000"/>
              <w:right w:val="single" w:sz="8" w:space="0" w:color="000000"/>
            </w:tcBorders>
            <w:vAlign w:val="center"/>
            <w:hideMark/>
          </w:tcPr>
          <w:p w14:paraId="15D020F6" w14:textId="3B219C11"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hAnsi="Times New Roman" w:cs="Times New Roman"/>
                <w:b/>
                <w:bCs/>
                <w:color w:val="000000"/>
                <w:sz w:val="22"/>
              </w:rPr>
              <w:t>23,70</w:t>
            </w:r>
          </w:p>
        </w:tc>
      </w:tr>
      <w:tr w:rsidR="000B6128" w:rsidRPr="00731FE2" w14:paraId="2976F691" w14:textId="77777777" w:rsidTr="00FE28EA">
        <w:trPr>
          <w:trHeight w:val="58"/>
          <w:tblCellSpacing w:w="0" w:type="dxa"/>
        </w:trPr>
        <w:tc>
          <w:tcPr>
            <w:tcW w:w="0" w:type="auto"/>
            <w:vMerge/>
            <w:tcBorders>
              <w:top w:val="nil"/>
              <w:left w:val="single" w:sz="8" w:space="0" w:color="000000"/>
              <w:bottom w:val="single" w:sz="8" w:space="0" w:color="000000"/>
              <w:right w:val="single" w:sz="8" w:space="0" w:color="000000"/>
            </w:tcBorders>
            <w:vAlign w:val="center"/>
            <w:hideMark/>
          </w:tcPr>
          <w:p w14:paraId="02D93AA4" w14:textId="77777777" w:rsidR="000B6128" w:rsidRPr="00731FE2" w:rsidRDefault="000B6128" w:rsidP="000B6128">
            <w:pPr>
              <w:spacing w:line="240" w:lineRule="auto"/>
              <w:ind w:firstLine="0"/>
              <w:jc w:val="left"/>
              <w:rPr>
                <w:rFonts w:ascii="Times New Roman" w:eastAsia="Times New Roman" w:hAnsi="Times New Roman" w:cs="Times New Roman"/>
                <w:sz w:val="22"/>
                <w:lang w:eastAsia="ru-RU"/>
              </w:rPr>
            </w:pPr>
          </w:p>
        </w:tc>
        <w:tc>
          <w:tcPr>
            <w:tcW w:w="3417" w:type="dxa"/>
            <w:tcBorders>
              <w:top w:val="nil"/>
              <w:left w:val="nil"/>
              <w:bottom w:val="single" w:sz="8" w:space="0" w:color="000000"/>
              <w:right w:val="single" w:sz="8" w:space="0" w:color="000000"/>
            </w:tcBorders>
            <w:vAlign w:val="center"/>
            <w:hideMark/>
          </w:tcPr>
          <w:p w14:paraId="62AB52C2" w14:textId="580E8F82" w:rsidR="000B6128" w:rsidRPr="00731FE2" w:rsidRDefault="000B6128" w:rsidP="000B6128">
            <w:pPr>
              <w:spacing w:line="240" w:lineRule="auto"/>
              <w:ind w:firstLine="0"/>
              <w:rPr>
                <w:rFonts w:ascii="Times New Roman" w:eastAsia="Times New Roman" w:hAnsi="Times New Roman" w:cs="Times New Roman"/>
                <w:sz w:val="22"/>
                <w:lang w:eastAsia="ru-RU"/>
              </w:rPr>
            </w:pPr>
            <w:r w:rsidRPr="00731FE2">
              <w:rPr>
                <w:rFonts w:ascii="Times New Roman" w:hAnsi="Times New Roman" w:cs="Times New Roman"/>
                <w:color w:val="000000"/>
                <w:sz w:val="22"/>
              </w:rPr>
              <w:t>Зона застройки индивидуальными жилыми домами</w:t>
            </w:r>
          </w:p>
        </w:tc>
        <w:tc>
          <w:tcPr>
            <w:tcW w:w="1525" w:type="dxa"/>
            <w:tcBorders>
              <w:top w:val="nil"/>
              <w:left w:val="nil"/>
              <w:bottom w:val="single" w:sz="8" w:space="0" w:color="000000"/>
              <w:right w:val="single" w:sz="8" w:space="0" w:color="000000"/>
            </w:tcBorders>
            <w:vAlign w:val="center"/>
            <w:hideMark/>
          </w:tcPr>
          <w:p w14:paraId="6192CA9F" w14:textId="55DDCC50"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hAnsi="Times New Roman" w:cs="Times New Roman"/>
                <w:color w:val="000000"/>
                <w:sz w:val="22"/>
              </w:rPr>
              <w:t>га</w:t>
            </w:r>
          </w:p>
        </w:tc>
        <w:tc>
          <w:tcPr>
            <w:tcW w:w="1766" w:type="dxa"/>
            <w:tcBorders>
              <w:top w:val="nil"/>
              <w:left w:val="nil"/>
              <w:bottom w:val="single" w:sz="8" w:space="0" w:color="000000"/>
              <w:right w:val="single" w:sz="8" w:space="0" w:color="000000"/>
            </w:tcBorders>
            <w:vAlign w:val="center"/>
            <w:hideMark/>
          </w:tcPr>
          <w:p w14:paraId="5774270D" w14:textId="03CB41CC"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hAnsi="Times New Roman" w:cs="Times New Roman"/>
                <w:color w:val="000000"/>
                <w:sz w:val="22"/>
              </w:rPr>
              <w:t>23,70</w:t>
            </w:r>
          </w:p>
        </w:tc>
        <w:tc>
          <w:tcPr>
            <w:tcW w:w="1766" w:type="dxa"/>
            <w:tcBorders>
              <w:top w:val="nil"/>
              <w:left w:val="nil"/>
              <w:bottom w:val="single" w:sz="8" w:space="0" w:color="000000"/>
              <w:right w:val="single" w:sz="8" w:space="0" w:color="000000"/>
            </w:tcBorders>
            <w:vAlign w:val="center"/>
            <w:hideMark/>
          </w:tcPr>
          <w:p w14:paraId="1E0B1024" w14:textId="6FF4176B"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hAnsi="Times New Roman" w:cs="Times New Roman"/>
                <w:color w:val="000000"/>
                <w:sz w:val="22"/>
              </w:rPr>
              <w:t>23,70</w:t>
            </w:r>
          </w:p>
        </w:tc>
      </w:tr>
      <w:tr w:rsidR="000B6128" w:rsidRPr="00731FE2" w14:paraId="3AC3F34B" w14:textId="77777777" w:rsidTr="00FE28EA">
        <w:trPr>
          <w:trHeight w:val="58"/>
          <w:tblCellSpacing w:w="0" w:type="dxa"/>
        </w:trPr>
        <w:tc>
          <w:tcPr>
            <w:tcW w:w="0" w:type="auto"/>
            <w:vMerge/>
            <w:tcBorders>
              <w:top w:val="nil"/>
              <w:left w:val="single" w:sz="8" w:space="0" w:color="000000"/>
              <w:bottom w:val="single" w:sz="8" w:space="0" w:color="000000"/>
              <w:right w:val="single" w:sz="8" w:space="0" w:color="000000"/>
            </w:tcBorders>
            <w:vAlign w:val="center"/>
            <w:hideMark/>
          </w:tcPr>
          <w:p w14:paraId="53DDE913" w14:textId="77777777" w:rsidR="000B6128" w:rsidRPr="00731FE2" w:rsidRDefault="000B6128" w:rsidP="000B6128">
            <w:pPr>
              <w:spacing w:line="240" w:lineRule="auto"/>
              <w:ind w:firstLine="0"/>
              <w:jc w:val="left"/>
              <w:rPr>
                <w:rFonts w:ascii="Times New Roman" w:eastAsia="Times New Roman" w:hAnsi="Times New Roman" w:cs="Times New Roman"/>
                <w:sz w:val="22"/>
                <w:lang w:eastAsia="ru-RU"/>
              </w:rPr>
            </w:pPr>
          </w:p>
        </w:tc>
        <w:tc>
          <w:tcPr>
            <w:tcW w:w="3417" w:type="dxa"/>
            <w:tcBorders>
              <w:top w:val="nil"/>
              <w:left w:val="nil"/>
              <w:bottom w:val="single" w:sz="8" w:space="0" w:color="000000"/>
              <w:right w:val="single" w:sz="8" w:space="0" w:color="000000"/>
            </w:tcBorders>
            <w:vAlign w:val="center"/>
            <w:hideMark/>
          </w:tcPr>
          <w:p w14:paraId="034353ED" w14:textId="07178FB9" w:rsidR="000B6128" w:rsidRPr="00731FE2" w:rsidRDefault="000B6128" w:rsidP="000B6128">
            <w:pPr>
              <w:spacing w:line="240" w:lineRule="auto"/>
              <w:ind w:firstLine="0"/>
              <w:rPr>
                <w:rFonts w:ascii="Times New Roman" w:eastAsia="Times New Roman" w:hAnsi="Times New Roman" w:cs="Times New Roman"/>
                <w:sz w:val="22"/>
                <w:lang w:eastAsia="ru-RU"/>
              </w:rPr>
            </w:pPr>
            <w:r w:rsidRPr="00731FE2">
              <w:rPr>
                <w:rFonts w:ascii="Times New Roman" w:hAnsi="Times New Roman" w:cs="Times New Roman"/>
                <w:b/>
                <w:bCs/>
                <w:color w:val="000000"/>
                <w:sz w:val="22"/>
              </w:rPr>
              <w:t xml:space="preserve">Зоны производственного, инженерного и транспортного использования, </w:t>
            </w:r>
            <w:r w:rsidRPr="00731FE2">
              <w:rPr>
                <w:rFonts w:ascii="Times New Roman" w:hAnsi="Times New Roman" w:cs="Times New Roman"/>
                <w:color w:val="000000"/>
                <w:sz w:val="22"/>
              </w:rPr>
              <w:t>в том числе:</w:t>
            </w:r>
          </w:p>
        </w:tc>
        <w:tc>
          <w:tcPr>
            <w:tcW w:w="1525" w:type="dxa"/>
            <w:tcBorders>
              <w:top w:val="nil"/>
              <w:left w:val="nil"/>
              <w:bottom w:val="single" w:sz="8" w:space="0" w:color="000000"/>
              <w:right w:val="single" w:sz="8" w:space="0" w:color="000000"/>
            </w:tcBorders>
            <w:vAlign w:val="center"/>
            <w:hideMark/>
          </w:tcPr>
          <w:p w14:paraId="48F74C4A" w14:textId="21F32E18"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hAnsi="Times New Roman" w:cs="Times New Roman"/>
                <w:b/>
                <w:bCs/>
                <w:color w:val="000000"/>
                <w:sz w:val="22"/>
              </w:rPr>
              <w:t>га</w:t>
            </w:r>
          </w:p>
        </w:tc>
        <w:tc>
          <w:tcPr>
            <w:tcW w:w="1766" w:type="dxa"/>
            <w:tcBorders>
              <w:top w:val="nil"/>
              <w:left w:val="nil"/>
              <w:bottom w:val="single" w:sz="8" w:space="0" w:color="000000"/>
              <w:right w:val="single" w:sz="8" w:space="0" w:color="000000"/>
            </w:tcBorders>
            <w:vAlign w:val="center"/>
            <w:hideMark/>
          </w:tcPr>
          <w:p w14:paraId="52369EA2" w14:textId="5EE6717E"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hAnsi="Times New Roman" w:cs="Times New Roman"/>
                <w:b/>
                <w:bCs/>
                <w:color w:val="000000"/>
                <w:sz w:val="22"/>
              </w:rPr>
              <w:t>2,38</w:t>
            </w:r>
          </w:p>
        </w:tc>
        <w:tc>
          <w:tcPr>
            <w:tcW w:w="1766" w:type="dxa"/>
            <w:tcBorders>
              <w:top w:val="nil"/>
              <w:left w:val="nil"/>
              <w:bottom w:val="single" w:sz="8" w:space="0" w:color="000000"/>
              <w:right w:val="single" w:sz="8" w:space="0" w:color="000000"/>
            </w:tcBorders>
            <w:vAlign w:val="center"/>
            <w:hideMark/>
          </w:tcPr>
          <w:p w14:paraId="14707EFA" w14:textId="22008B9F"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hAnsi="Times New Roman" w:cs="Times New Roman"/>
                <w:b/>
                <w:bCs/>
                <w:color w:val="000000"/>
                <w:sz w:val="22"/>
              </w:rPr>
              <w:t>1,51</w:t>
            </w:r>
          </w:p>
        </w:tc>
      </w:tr>
      <w:tr w:rsidR="000B6128" w:rsidRPr="00731FE2" w14:paraId="3EED45D9" w14:textId="77777777" w:rsidTr="00FE28EA">
        <w:trPr>
          <w:trHeight w:val="58"/>
          <w:tblCellSpacing w:w="0" w:type="dxa"/>
        </w:trPr>
        <w:tc>
          <w:tcPr>
            <w:tcW w:w="0" w:type="auto"/>
            <w:vMerge/>
            <w:tcBorders>
              <w:top w:val="nil"/>
              <w:left w:val="single" w:sz="8" w:space="0" w:color="000000"/>
              <w:bottom w:val="single" w:sz="8" w:space="0" w:color="000000"/>
              <w:right w:val="single" w:sz="8" w:space="0" w:color="000000"/>
            </w:tcBorders>
            <w:vAlign w:val="center"/>
            <w:hideMark/>
          </w:tcPr>
          <w:p w14:paraId="0A59601D" w14:textId="77777777" w:rsidR="000B6128" w:rsidRPr="00731FE2" w:rsidRDefault="000B6128" w:rsidP="000B6128">
            <w:pPr>
              <w:spacing w:line="240" w:lineRule="auto"/>
              <w:ind w:firstLine="0"/>
              <w:jc w:val="left"/>
              <w:rPr>
                <w:rFonts w:ascii="Times New Roman" w:eastAsia="Times New Roman" w:hAnsi="Times New Roman" w:cs="Times New Roman"/>
                <w:sz w:val="22"/>
                <w:lang w:eastAsia="ru-RU"/>
              </w:rPr>
            </w:pPr>
          </w:p>
        </w:tc>
        <w:tc>
          <w:tcPr>
            <w:tcW w:w="3417" w:type="dxa"/>
            <w:tcBorders>
              <w:top w:val="nil"/>
              <w:left w:val="nil"/>
              <w:bottom w:val="single" w:sz="8" w:space="0" w:color="000000"/>
              <w:right w:val="single" w:sz="8" w:space="0" w:color="000000"/>
            </w:tcBorders>
            <w:vAlign w:val="center"/>
            <w:hideMark/>
          </w:tcPr>
          <w:p w14:paraId="21C8E02D" w14:textId="32235BD1" w:rsidR="000B6128" w:rsidRPr="00731FE2" w:rsidRDefault="000B6128" w:rsidP="000B6128">
            <w:pPr>
              <w:spacing w:line="240" w:lineRule="auto"/>
              <w:ind w:firstLine="0"/>
              <w:rPr>
                <w:rFonts w:ascii="Times New Roman" w:eastAsia="Times New Roman" w:hAnsi="Times New Roman" w:cs="Times New Roman"/>
                <w:sz w:val="22"/>
                <w:lang w:eastAsia="ru-RU"/>
              </w:rPr>
            </w:pPr>
            <w:r w:rsidRPr="00731FE2">
              <w:rPr>
                <w:rFonts w:ascii="Times New Roman" w:hAnsi="Times New Roman" w:cs="Times New Roman"/>
                <w:color w:val="000000"/>
                <w:sz w:val="22"/>
              </w:rPr>
              <w:t>Зона транспортной инфраструктуры</w:t>
            </w:r>
          </w:p>
        </w:tc>
        <w:tc>
          <w:tcPr>
            <w:tcW w:w="1525" w:type="dxa"/>
            <w:tcBorders>
              <w:top w:val="nil"/>
              <w:left w:val="nil"/>
              <w:bottom w:val="single" w:sz="8" w:space="0" w:color="000000"/>
              <w:right w:val="single" w:sz="8" w:space="0" w:color="000000"/>
            </w:tcBorders>
            <w:vAlign w:val="center"/>
            <w:hideMark/>
          </w:tcPr>
          <w:p w14:paraId="324CD532" w14:textId="61AC6F5D"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hAnsi="Times New Roman" w:cs="Times New Roman"/>
                <w:color w:val="000000"/>
                <w:sz w:val="22"/>
              </w:rPr>
              <w:t>га</w:t>
            </w:r>
          </w:p>
        </w:tc>
        <w:tc>
          <w:tcPr>
            <w:tcW w:w="1766" w:type="dxa"/>
            <w:tcBorders>
              <w:top w:val="nil"/>
              <w:left w:val="nil"/>
              <w:bottom w:val="single" w:sz="8" w:space="0" w:color="000000"/>
              <w:right w:val="single" w:sz="8" w:space="0" w:color="000000"/>
            </w:tcBorders>
            <w:vAlign w:val="center"/>
            <w:hideMark/>
          </w:tcPr>
          <w:p w14:paraId="489BB781" w14:textId="3CB5BBAD"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hAnsi="Times New Roman" w:cs="Times New Roman"/>
                <w:color w:val="000000"/>
                <w:sz w:val="22"/>
              </w:rPr>
              <w:t>2,38</w:t>
            </w:r>
          </w:p>
        </w:tc>
        <w:tc>
          <w:tcPr>
            <w:tcW w:w="1766" w:type="dxa"/>
            <w:tcBorders>
              <w:top w:val="nil"/>
              <w:left w:val="nil"/>
              <w:bottom w:val="single" w:sz="8" w:space="0" w:color="000000"/>
              <w:right w:val="single" w:sz="8" w:space="0" w:color="000000"/>
            </w:tcBorders>
            <w:vAlign w:val="center"/>
            <w:hideMark/>
          </w:tcPr>
          <w:p w14:paraId="18DBAFA0" w14:textId="159664A5"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hAnsi="Times New Roman" w:cs="Times New Roman"/>
                <w:color w:val="000000"/>
                <w:sz w:val="22"/>
              </w:rPr>
              <w:t>1,51</w:t>
            </w:r>
          </w:p>
        </w:tc>
      </w:tr>
      <w:tr w:rsidR="000B6128" w:rsidRPr="00731FE2" w14:paraId="42F4EC22" w14:textId="77777777" w:rsidTr="00D154A0">
        <w:trPr>
          <w:trHeight w:val="54"/>
          <w:tblCellSpacing w:w="0" w:type="dxa"/>
        </w:trPr>
        <w:tc>
          <w:tcPr>
            <w:tcW w:w="9335" w:type="dxa"/>
            <w:gridSpan w:val="5"/>
            <w:tcBorders>
              <w:top w:val="nil"/>
              <w:left w:val="single" w:sz="8" w:space="0" w:color="000000"/>
              <w:bottom w:val="single" w:sz="8" w:space="0" w:color="000000"/>
              <w:right w:val="single" w:sz="8" w:space="0" w:color="000000"/>
            </w:tcBorders>
            <w:vAlign w:val="center"/>
            <w:hideMark/>
          </w:tcPr>
          <w:p w14:paraId="2F9D5C91" w14:textId="7777777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b/>
                <w:bCs/>
                <w:color w:val="000000"/>
                <w:sz w:val="22"/>
                <w:lang w:eastAsia="ru-RU"/>
              </w:rPr>
              <w:t>п. Левоберёзовский</w:t>
            </w:r>
          </w:p>
        </w:tc>
      </w:tr>
      <w:tr w:rsidR="000B6128" w:rsidRPr="00731FE2" w14:paraId="74B32B1F" w14:textId="77777777" w:rsidTr="00FE28EA">
        <w:trPr>
          <w:trHeight w:val="58"/>
          <w:tblCellSpacing w:w="0" w:type="dxa"/>
        </w:trPr>
        <w:tc>
          <w:tcPr>
            <w:tcW w:w="861" w:type="dxa"/>
            <w:vMerge w:val="restart"/>
            <w:tcBorders>
              <w:top w:val="nil"/>
              <w:left w:val="single" w:sz="8" w:space="0" w:color="000000"/>
              <w:right w:val="single" w:sz="8" w:space="0" w:color="000000"/>
            </w:tcBorders>
            <w:vAlign w:val="center"/>
            <w:hideMark/>
          </w:tcPr>
          <w:p w14:paraId="4913BCCD" w14:textId="111F6DDA"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b/>
                <w:bCs/>
                <w:color w:val="000000"/>
                <w:sz w:val="22"/>
                <w:lang w:eastAsia="ru-RU"/>
              </w:rPr>
              <w:t>1.1</w:t>
            </w:r>
            <w:r w:rsidR="00B043D3" w:rsidRPr="00731FE2">
              <w:rPr>
                <w:rFonts w:ascii="Times New Roman" w:eastAsia="Times New Roman" w:hAnsi="Times New Roman" w:cs="Times New Roman"/>
                <w:b/>
                <w:bCs/>
                <w:color w:val="000000"/>
                <w:sz w:val="22"/>
                <w:lang w:eastAsia="ru-RU"/>
              </w:rPr>
              <w:t>4</w:t>
            </w:r>
          </w:p>
        </w:tc>
        <w:tc>
          <w:tcPr>
            <w:tcW w:w="3417" w:type="dxa"/>
            <w:tcBorders>
              <w:top w:val="nil"/>
              <w:left w:val="nil"/>
              <w:bottom w:val="single" w:sz="8" w:space="0" w:color="000000"/>
              <w:right w:val="single" w:sz="8" w:space="0" w:color="000000"/>
            </w:tcBorders>
            <w:vAlign w:val="center"/>
            <w:hideMark/>
          </w:tcPr>
          <w:p w14:paraId="153EE642" w14:textId="6C0CF592" w:rsidR="000B6128" w:rsidRPr="00731FE2" w:rsidRDefault="000B6128" w:rsidP="000B6128">
            <w:pPr>
              <w:spacing w:line="240" w:lineRule="auto"/>
              <w:ind w:firstLine="0"/>
              <w:rPr>
                <w:rFonts w:ascii="Times New Roman" w:eastAsia="Times New Roman" w:hAnsi="Times New Roman" w:cs="Times New Roman"/>
                <w:sz w:val="22"/>
                <w:lang w:eastAsia="ru-RU"/>
              </w:rPr>
            </w:pPr>
            <w:r w:rsidRPr="00731FE2">
              <w:rPr>
                <w:rFonts w:ascii="Times New Roman" w:hAnsi="Times New Roman" w:cs="Times New Roman"/>
                <w:b/>
                <w:bCs/>
                <w:color w:val="000000"/>
                <w:sz w:val="22"/>
              </w:rPr>
              <w:t>Общая площадь земель населенных пунктов</w:t>
            </w:r>
          </w:p>
        </w:tc>
        <w:tc>
          <w:tcPr>
            <w:tcW w:w="1525" w:type="dxa"/>
            <w:tcBorders>
              <w:top w:val="nil"/>
              <w:left w:val="nil"/>
              <w:bottom w:val="single" w:sz="8" w:space="0" w:color="000000"/>
              <w:right w:val="single" w:sz="8" w:space="0" w:color="000000"/>
            </w:tcBorders>
            <w:vAlign w:val="center"/>
            <w:hideMark/>
          </w:tcPr>
          <w:p w14:paraId="29142707" w14:textId="53721615"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hAnsi="Times New Roman" w:cs="Times New Roman"/>
                <w:b/>
                <w:bCs/>
                <w:color w:val="000000"/>
                <w:sz w:val="22"/>
              </w:rPr>
              <w:t>га</w:t>
            </w:r>
          </w:p>
        </w:tc>
        <w:tc>
          <w:tcPr>
            <w:tcW w:w="1766" w:type="dxa"/>
            <w:tcBorders>
              <w:top w:val="nil"/>
              <w:left w:val="nil"/>
              <w:bottom w:val="single" w:sz="8" w:space="0" w:color="000000"/>
              <w:right w:val="single" w:sz="8" w:space="0" w:color="000000"/>
            </w:tcBorders>
            <w:vAlign w:val="center"/>
            <w:hideMark/>
          </w:tcPr>
          <w:p w14:paraId="052A021A" w14:textId="7C066ED1"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hAnsi="Times New Roman" w:cs="Times New Roman"/>
                <w:b/>
                <w:bCs/>
                <w:color w:val="000000"/>
                <w:sz w:val="22"/>
              </w:rPr>
              <w:t>97,11</w:t>
            </w:r>
          </w:p>
        </w:tc>
        <w:tc>
          <w:tcPr>
            <w:tcW w:w="1766" w:type="dxa"/>
            <w:tcBorders>
              <w:top w:val="nil"/>
              <w:left w:val="nil"/>
              <w:bottom w:val="single" w:sz="8" w:space="0" w:color="000000"/>
              <w:right w:val="single" w:sz="8" w:space="0" w:color="000000"/>
            </w:tcBorders>
            <w:vAlign w:val="center"/>
            <w:hideMark/>
          </w:tcPr>
          <w:p w14:paraId="379F48A8" w14:textId="41E47CF0"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hAnsi="Times New Roman" w:cs="Times New Roman"/>
                <w:b/>
                <w:bCs/>
                <w:color w:val="000000"/>
                <w:sz w:val="22"/>
              </w:rPr>
              <w:t>97,11</w:t>
            </w:r>
          </w:p>
        </w:tc>
      </w:tr>
      <w:tr w:rsidR="000B6128" w:rsidRPr="00731FE2" w14:paraId="2B35444D" w14:textId="77777777" w:rsidTr="00FE28EA">
        <w:trPr>
          <w:trHeight w:val="58"/>
          <w:tblCellSpacing w:w="0" w:type="dxa"/>
        </w:trPr>
        <w:tc>
          <w:tcPr>
            <w:tcW w:w="0" w:type="auto"/>
            <w:vMerge/>
            <w:tcBorders>
              <w:left w:val="single" w:sz="8" w:space="0" w:color="000000"/>
              <w:right w:val="single" w:sz="8" w:space="0" w:color="000000"/>
            </w:tcBorders>
            <w:vAlign w:val="center"/>
            <w:hideMark/>
          </w:tcPr>
          <w:p w14:paraId="188A3927" w14:textId="77777777" w:rsidR="000B6128" w:rsidRPr="00731FE2" w:rsidRDefault="000B6128" w:rsidP="000B6128">
            <w:pPr>
              <w:spacing w:line="240" w:lineRule="auto"/>
              <w:ind w:firstLine="0"/>
              <w:jc w:val="left"/>
              <w:rPr>
                <w:rFonts w:ascii="Times New Roman" w:eastAsia="Times New Roman" w:hAnsi="Times New Roman" w:cs="Times New Roman"/>
                <w:sz w:val="22"/>
                <w:lang w:eastAsia="ru-RU"/>
              </w:rPr>
            </w:pPr>
          </w:p>
        </w:tc>
        <w:tc>
          <w:tcPr>
            <w:tcW w:w="3417" w:type="dxa"/>
            <w:tcBorders>
              <w:top w:val="nil"/>
              <w:left w:val="nil"/>
              <w:bottom w:val="single" w:sz="8" w:space="0" w:color="000000"/>
              <w:right w:val="single" w:sz="8" w:space="0" w:color="000000"/>
            </w:tcBorders>
            <w:vAlign w:val="center"/>
            <w:hideMark/>
          </w:tcPr>
          <w:p w14:paraId="09BF4E6F" w14:textId="2ABE4759" w:rsidR="000B6128" w:rsidRPr="00731FE2" w:rsidRDefault="000B6128" w:rsidP="000B6128">
            <w:pPr>
              <w:spacing w:line="240" w:lineRule="auto"/>
              <w:ind w:firstLine="0"/>
              <w:rPr>
                <w:rFonts w:ascii="Times New Roman" w:eastAsia="Times New Roman" w:hAnsi="Times New Roman" w:cs="Times New Roman"/>
                <w:sz w:val="22"/>
                <w:lang w:eastAsia="ru-RU"/>
              </w:rPr>
            </w:pPr>
            <w:r w:rsidRPr="00731FE2">
              <w:rPr>
                <w:rFonts w:ascii="Times New Roman" w:hAnsi="Times New Roman" w:cs="Times New Roman"/>
                <w:b/>
                <w:bCs/>
                <w:color w:val="000000"/>
                <w:sz w:val="22"/>
              </w:rPr>
              <w:t>Общая площадь функциональных зон (в границах п. Левоберёзовского)</w:t>
            </w:r>
          </w:p>
        </w:tc>
        <w:tc>
          <w:tcPr>
            <w:tcW w:w="1525" w:type="dxa"/>
            <w:tcBorders>
              <w:top w:val="nil"/>
              <w:left w:val="nil"/>
              <w:bottom w:val="single" w:sz="8" w:space="0" w:color="000000"/>
              <w:right w:val="single" w:sz="8" w:space="0" w:color="000000"/>
            </w:tcBorders>
            <w:vAlign w:val="center"/>
            <w:hideMark/>
          </w:tcPr>
          <w:p w14:paraId="0B30B3D2" w14:textId="5457946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hAnsi="Times New Roman" w:cs="Times New Roman"/>
                <w:b/>
                <w:bCs/>
                <w:color w:val="000000"/>
                <w:sz w:val="22"/>
              </w:rPr>
              <w:t>га</w:t>
            </w:r>
          </w:p>
        </w:tc>
        <w:tc>
          <w:tcPr>
            <w:tcW w:w="1766" w:type="dxa"/>
            <w:tcBorders>
              <w:top w:val="nil"/>
              <w:left w:val="nil"/>
              <w:bottom w:val="single" w:sz="8" w:space="0" w:color="000000"/>
              <w:right w:val="single" w:sz="8" w:space="0" w:color="000000"/>
            </w:tcBorders>
            <w:vAlign w:val="center"/>
            <w:hideMark/>
          </w:tcPr>
          <w:p w14:paraId="666F3B4E" w14:textId="77C6C5C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hAnsi="Times New Roman" w:cs="Times New Roman"/>
                <w:b/>
                <w:bCs/>
                <w:color w:val="000000"/>
                <w:sz w:val="22"/>
              </w:rPr>
              <w:t>97,11</w:t>
            </w:r>
          </w:p>
        </w:tc>
        <w:tc>
          <w:tcPr>
            <w:tcW w:w="1766" w:type="dxa"/>
            <w:tcBorders>
              <w:top w:val="nil"/>
              <w:left w:val="nil"/>
              <w:bottom w:val="single" w:sz="8" w:space="0" w:color="000000"/>
              <w:right w:val="single" w:sz="8" w:space="0" w:color="000000"/>
            </w:tcBorders>
            <w:vAlign w:val="center"/>
            <w:hideMark/>
          </w:tcPr>
          <w:p w14:paraId="54430C22" w14:textId="1A9B0E0A"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hAnsi="Times New Roman" w:cs="Times New Roman"/>
                <w:b/>
                <w:bCs/>
                <w:color w:val="000000"/>
                <w:sz w:val="22"/>
              </w:rPr>
              <w:t>97,11</w:t>
            </w:r>
          </w:p>
        </w:tc>
      </w:tr>
      <w:tr w:rsidR="000B6128" w:rsidRPr="00731FE2" w14:paraId="685166A4" w14:textId="77777777" w:rsidTr="00FE28EA">
        <w:trPr>
          <w:trHeight w:val="58"/>
          <w:tblCellSpacing w:w="0" w:type="dxa"/>
        </w:trPr>
        <w:tc>
          <w:tcPr>
            <w:tcW w:w="0" w:type="auto"/>
            <w:vMerge/>
            <w:tcBorders>
              <w:left w:val="single" w:sz="8" w:space="0" w:color="000000"/>
              <w:right w:val="single" w:sz="8" w:space="0" w:color="000000"/>
            </w:tcBorders>
            <w:vAlign w:val="center"/>
            <w:hideMark/>
          </w:tcPr>
          <w:p w14:paraId="358A108B" w14:textId="77777777" w:rsidR="000B6128" w:rsidRPr="00731FE2" w:rsidRDefault="000B6128" w:rsidP="000B6128">
            <w:pPr>
              <w:spacing w:line="240" w:lineRule="auto"/>
              <w:ind w:firstLine="0"/>
              <w:jc w:val="left"/>
              <w:rPr>
                <w:rFonts w:ascii="Times New Roman" w:eastAsia="Times New Roman" w:hAnsi="Times New Roman" w:cs="Times New Roman"/>
                <w:sz w:val="22"/>
                <w:lang w:eastAsia="ru-RU"/>
              </w:rPr>
            </w:pPr>
          </w:p>
        </w:tc>
        <w:tc>
          <w:tcPr>
            <w:tcW w:w="3417" w:type="dxa"/>
            <w:tcBorders>
              <w:top w:val="nil"/>
              <w:left w:val="nil"/>
              <w:bottom w:val="single" w:sz="8" w:space="0" w:color="000000"/>
              <w:right w:val="single" w:sz="8" w:space="0" w:color="000000"/>
            </w:tcBorders>
            <w:vAlign w:val="center"/>
            <w:hideMark/>
          </w:tcPr>
          <w:p w14:paraId="0CA984C8" w14:textId="5E82B36E" w:rsidR="000B6128" w:rsidRPr="00731FE2" w:rsidRDefault="000B6128" w:rsidP="000B6128">
            <w:pPr>
              <w:spacing w:line="240" w:lineRule="auto"/>
              <w:ind w:firstLine="0"/>
              <w:rPr>
                <w:rFonts w:ascii="Times New Roman" w:eastAsia="Times New Roman" w:hAnsi="Times New Roman" w:cs="Times New Roman"/>
                <w:sz w:val="22"/>
                <w:lang w:eastAsia="ru-RU"/>
              </w:rPr>
            </w:pPr>
            <w:r w:rsidRPr="00731FE2">
              <w:rPr>
                <w:rFonts w:ascii="Times New Roman" w:hAnsi="Times New Roman" w:cs="Times New Roman"/>
                <w:b/>
                <w:bCs/>
                <w:color w:val="000000"/>
                <w:sz w:val="22"/>
              </w:rPr>
              <w:t xml:space="preserve">Жилые зоны, </w:t>
            </w:r>
            <w:r w:rsidRPr="00731FE2">
              <w:rPr>
                <w:rFonts w:ascii="Times New Roman" w:hAnsi="Times New Roman" w:cs="Times New Roman"/>
                <w:color w:val="000000"/>
                <w:sz w:val="22"/>
              </w:rPr>
              <w:t>в том числе:</w:t>
            </w:r>
          </w:p>
        </w:tc>
        <w:tc>
          <w:tcPr>
            <w:tcW w:w="1525" w:type="dxa"/>
            <w:tcBorders>
              <w:top w:val="nil"/>
              <w:left w:val="nil"/>
              <w:bottom w:val="single" w:sz="8" w:space="0" w:color="000000"/>
              <w:right w:val="single" w:sz="8" w:space="0" w:color="000000"/>
            </w:tcBorders>
            <w:vAlign w:val="center"/>
            <w:hideMark/>
          </w:tcPr>
          <w:p w14:paraId="5E57AFCA" w14:textId="12CBECE5"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hAnsi="Times New Roman" w:cs="Times New Roman"/>
                <w:b/>
                <w:bCs/>
                <w:color w:val="000000"/>
                <w:sz w:val="22"/>
              </w:rPr>
              <w:t>га</w:t>
            </w:r>
          </w:p>
        </w:tc>
        <w:tc>
          <w:tcPr>
            <w:tcW w:w="1766" w:type="dxa"/>
            <w:tcBorders>
              <w:top w:val="nil"/>
              <w:left w:val="nil"/>
              <w:bottom w:val="single" w:sz="8" w:space="0" w:color="000000"/>
              <w:right w:val="single" w:sz="8" w:space="0" w:color="000000"/>
            </w:tcBorders>
            <w:vAlign w:val="center"/>
            <w:hideMark/>
          </w:tcPr>
          <w:p w14:paraId="64FFCEFE" w14:textId="57902449"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hAnsi="Times New Roman" w:cs="Times New Roman"/>
                <w:b/>
                <w:bCs/>
                <w:color w:val="000000"/>
                <w:sz w:val="22"/>
              </w:rPr>
              <w:t>13,22</w:t>
            </w:r>
          </w:p>
        </w:tc>
        <w:tc>
          <w:tcPr>
            <w:tcW w:w="1766" w:type="dxa"/>
            <w:tcBorders>
              <w:top w:val="nil"/>
              <w:left w:val="nil"/>
              <w:bottom w:val="single" w:sz="8" w:space="0" w:color="000000"/>
              <w:right w:val="single" w:sz="8" w:space="0" w:color="000000"/>
            </w:tcBorders>
            <w:vAlign w:val="center"/>
            <w:hideMark/>
          </w:tcPr>
          <w:p w14:paraId="44B4D4B8" w14:textId="70790C53" w:rsidR="000B6128" w:rsidRPr="00731FE2" w:rsidRDefault="00A64EFE"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hAnsi="Times New Roman" w:cs="Times New Roman"/>
                <w:b/>
                <w:bCs/>
                <w:color w:val="000000"/>
                <w:sz w:val="22"/>
              </w:rPr>
              <w:t>12,49</w:t>
            </w:r>
          </w:p>
        </w:tc>
      </w:tr>
      <w:tr w:rsidR="000B6128" w:rsidRPr="00731FE2" w14:paraId="1963A4A4" w14:textId="77777777" w:rsidTr="00FE28EA">
        <w:trPr>
          <w:trHeight w:val="58"/>
          <w:tblCellSpacing w:w="0" w:type="dxa"/>
        </w:trPr>
        <w:tc>
          <w:tcPr>
            <w:tcW w:w="0" w:type="auto"/>
            <w:vMerge/>
            <w:tcBorders>
              <w:left w:val="single" w:sz="8" w:space="0" w:color="000000"/>
              <w:right w:val="single" w:sz="8" w:space="0" w:color="000000"/>
            </w:tcBorders>
            <w:vAlign w:val="center"/>
            <w:hideMark/>
          </w:tcPr>
          <w:p w14:paraId="15DB8C94" w14:textId="77777777" w:rsidR="000B6128" w:rsidRPr="00731FE2" w:rsidRDefault="000B6128" w:rsidP="000B6128">
            <w:pPr>
              <w:spacing w:line="240" w:lineRule="auto"/>
              <w:ind w:firstLine="0"/>
              <w:jc w:val="left"/>
              <w:rPr>
                <w:rFonts w:ascii="Times New Roman" w:eastAsia="Times New Roman" w:hAnsi="Times New Roman" w:cs="Times New Roman"/>
                <w:sz w:val="22"/>
                <w:lang w:eastAsia="ru-RU"/>
              </w:rPr>
            </w:pPr>
          </w:p>
        </w:tc>
        <w:tc>
          <w:tcPr>
            <w:tcW w:w="3417" w:type="dxa"/>
            <w:tcBorders>
              <w:top w:val="nil"/>
              <w:left w:val="nil"/>
              <w:bottom w:val="single" w:sz="8" w:space="0" w:color="000000"/>
              <w:right w:val="single" w:sz="8" w:space="0" w:color="000000"/>
            </w:tcBorders>
            <w:vAlign w:val="center"/>
            <w:hideMark/>
          </w:tcPr>
          <w:p w14:paraId="22ACCBEE" w14:textId="571587B1" w:rsidR="000B6128" w:rsidRPr="00731FE2" w:rsidRDefault="000B6128" w:rsidP="000B6128">
            <w:pPr>
              <w:spacing w:line="240" w:lineRule="auto"/>
              <w:ind w:firstLine="0"/>
              <w:rPr>
                <w:rFonts w:ascii="Times New Roman" w:eastAsia="Times New Roman" w:hAnsi="Times New Roman" w:cs="Times New Roman"/>
                <w:sz w:val="22"/>
                <w:lang w:eastAsia="ru-RU"/>
              </w:rPr>
            </w:pPr>
            <w:r w:rsidRPr="00731FE2">
              <w:rPr>
                <w:rFonts w:ascii="Times New Roman" w:hAnsi="Times New Roman" w:cs="Times New Roman"/>
                <w:color w:val="000000"/>
                <w:sz w:val="22"/>
              </w:rPr>
              <w:t>Зона застройки индивидуальными жилыми домами</w:t>
            </w:r>
          </w:p>
        </w:tc>
        <w:tc>
          <w:tcPr>
            <w:tcW w:w="1525" w:type="dxa"/>
            <w:tcBorders>
              <w:top w:val="nil"/>
              <w:left w:val="nil"/>
              <w:bottom w:val="single" w:sz="8" w:space="0" w:color="000000"/>
              <w:right w:val="single" w:sz="8" w:space="0" w:color="000000"/>
            </w:tcBorders>
            <w:vAlign w:val="center"/>
            <w:hideMark/>
          </w:tcPr>
          <w:p w14:paraId="5A182BD9" w14:textId="4F5A286E"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hAnsi="Times New Roman" w:cs="Times New Roman"/>
                <w:color w:val="000000"/>
                <w:sz w:val="22"/>
              </w:rPr>
              <w:t>га</w:t>
            </w:r>
          </w:p>
        </w:tc>
        <w:tc>
          <w:tcPr>
            <w:tcW w:w="1766" w:type="dxa"/>
            <w:tcBorders>
              <w:top w:val="nil"/>
              <w:left w:val="nil"/>
              <w:bottom w:val="single" w:sz="8" w:space="0" w:color="000000"/>
              <w:right w:val="single" w:sz="8" w:space="0" w:color="000000"/>
            </w:tcBorders>
            <w:vAlign w:val="center"/>
            <w:hideMark/>
          </w:tcPr>
          <w:p w14:paraId="6C56FB1F" w14:textId="04559810"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hAnsi="Times New Roman" w:cs="Times New Roman"/>
                <w:color w:val="000000"/>
                <w:sz w:val="22"/>
              </w:rPr>
              <w:t>13,22</w:t>
            </w:r>
          </w:p>
        </w:tc>
        <w:tc>
          <w:tcPr>
            <w:tcW w:w="1766" w:type="dxa"/>
            <w:tcBorders>
              <w:top w:val="nil"/>
              <w:left w:val="nil"/>
              <w:bottom w:val="single" w:sz="8" w:space="0" w:color="000000"/>
              <w:right w:val="single" w:sz="8" w:space="0" w:color="000000"/>
            </w:tcBorders>
            <w:vAlign w:val="center"/>
            <w:hideMark/>
          </w:tcPr>
          <w:p w14:paraId="5FECC58D" w14:textId="72BF2672" w:rsidR="000B6128" w:rsidRPr="00731FE2" w:rsidRDefault="00A64EFE"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hAnsi="Times New Roman" w:cs="Times New Roman"/>
                <w:color w:val="000000"/>
                <w:sz w:val="22"/>
              </w:rPr>
              <w:t>12,49</w:t>
            </w:r>
          </w:p>
        </w:tc>
      </w:tr>
      <w:tr w:rsidR="000B6128" w:rsidRPr="00731FE2" w14:paraId="3F3EE89F" w14:textId="77777777" w:rsidTr="00FE28EA">
        <w:trPr>
          <w:trHeight w:val="58"/>
          <w:tblCellSpacing w:w="0" w:type="dxa"/>
        </w:trPr>
        <w:tc>
          <w:tcPr>
            <w:tcW w:w="0" w:type="auto"/>
            <w:vMerge/>
            <w:tcBorders>
              <w:left w:val="single" w:sz="8" w:space="0" w:color="000000"/>
              <w:right w:val="single" w:sz="8" w:space="0" w:color="000000"/>
            </w:tcBorders>
            <w:vAlign w:val="center"/>
            <w:hideMark/>
          </w:tcPr>
          <w:p w14:paraId="1EAFE911" w14:textId="77777777" w:rsidR="000B6128" w:rsidRPr="00731FE2" w:rsidRDefault="000B6128" w:rsidP="000B6128">
            <w:pPr>
              <w:spacing w:line="240" w:lineRule="auto"/>
              <w:ind w:firstLine="0"/>
              <w:jc w:val="left"/>
              <w:rPr>
                <w:rFonts w:ascii="Times New Roman" w:eastAsia="Times New Roman" w:hAnsi="Times New Roman" w:cs="Times New Roman"/>
                <w:sz w:val="22"/>
                <w:lang w:eastAsia="ru-RU"/>
              </w:rPr>
            </w:pPr>
          </w:p>
        </w:tc>
        <w:tc>
          <w:tcPr>
            <w:tcW w:w="3417" w:type="dxa"/>
            <w:tcBorders>
              <w:top w:val="nil"/>
              <w:left w:val="nil"/>
              <w:bottom w:val="single" w:sz="8" w:space="0" w:color="000000"/>
              <w:right w:val="single" w:sz="8" w:space="0" w:color="000000"/>
            </w:tcBorders>
            <w:vAlign w:val="center"/>
            <w:hideMark/>
          </w:tcPr>
          <w:p w14:paraId="5D8D0193" w14:textId="69FCE958" w:rsidR="000B6128" w:rsidRPr="00731FE2" w:rsidRDefault="000B6128" w:rsidP="000B6128">
            <w:pPr>
              <w:spacing w:line="240" w:lineRule="auto"/>
              <w:ind w:firstLine="0"/>
              <w:rPr>
                <w:rFonts w:ascii="Times New Roman" w:eastAsia="Times New Roman" w:hAnsi="Times New Roman" w:cs="Times New Roman"/>
                <w:sz w:val="22"/>
                <w:lang w:eastAsia="ru-RU"/>
              </w:rPr>
            </w:pPr>
            <w:r w:rsidRPr="00731FE2">
              <w:rPr>
                <w:rFonts w:ascii="Times New Roman" w:hAnsi="Times New Roman" w:cs="Times New Roman"/>
                <w:b/>
                <w:bCs/>
                <w:color w:val="000000"/>
                <w:sz w:val="22"/>
              </w:rPr>
              <w:t xml:space="preserve">Зоны общественно-делового использования, </w:t>
            </w:r>
            <w:r w:rsidRPr="00731FE2">
              <w:rPr>
                <w:rFonts w:ascii="Times New Roman" w:hAnsi="Times New Roman" w:cs="Times New Roman"/>
                <w:color w:val="000000"/>
                <w:sz w:val="22"/>
              </w:rPr>
              <w:t>в том числе:</w:t>
            </w:r>
          </w:p>
        </w:tc>
        <w:tc>
          <w:tcPr>
            <w:tcW w:w="1525" w:type="dxa"/>
            <w:tcBorders>
              <w:top w:val="nil"/>
              <w:left w:val="nil"/>
              <w:bottom w:val="single" w:sz="8" w:space="0" w:color="000000"/>
              <w:right w:val="single" w:sz="8" w:space="0" w:color="000000"/>
            </w:tcBorders>
            <w:vAlign w:val="center"/>
            <w:hideMark/>
          </w:tcPr>
          <w:p w14:paraId="05823A6D" w14:textId="1971F726"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hAnsi="Times New Roman" w:cs="Times New Roman"/>
                <w:b/>
                <w:bCs/>
                <w:color w:val="000000"/>
                <w:sz w:val="22"/>
              </w:rPr>
              <w:t>га</w:t>
            </w:r>
          </w:p>
        </w:tc>
        <w:tc>
          <w:tcPr>
            <w:tcW w:w="1766" w:type="dxa"/>
            <w:tcBorders>
              <w:top w:val="nil"/>
              <w:left w:val="nil"/>
              <w:bottom w:val="single" w:sz="8" w:space="0" w:color="000000"/>
              <w:right w:val="single" w:sz="8" w:space="0" w:color="000000"/>
            </w:tcBorders>
            <w:vAlign w:val="center"/>
            <w:hideMark/>
          </w:tcPr>
          <w:p w14:paraId="700808CA" w14:textId="1243FFB6"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hAnsi="Times New Roman" w:cs="Times New Roman"/>
                <w:b/>
                <w:bCs/>
                <w:color w:val="000000"/>
                <w:sz w:val="22"/>
              </w:rPr>
              <w:t>73,02</w:t>
            </w:r>
          </w:p>
        </w:tc>
        <w:tc>
          <w:tcPr>
            <w:tcW w:w="1766" w:type="dxa"/>
            <w:tcBorders>
              <w:top w:val="nil"/>
              <w:left w:val="nil"/>
              <w:bottom w:val="single" w:sz="8" w:space="0" w:color="000000"/>
              <w:right w:val="single" w:sz="8" w:space="0" w:color="000000"/>
            </w:tcBorders>
            <w:vAlign w:val="center"/>
            <w:hideMark/>
          </w:tcPr>
          <w:p w14:paraId="7F461920" w14:textId="3C5E7AF8" w:rsidR="000B6128" w:rsidRPr="00731FE2" w:rsidRDefault="00A64EFE"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hAnsi="Times New Roman" w:cs="Times New Roman"/>
                <w:b/>
                <w:bCs/>
                <w:color w:val="000000"/>
                <w:sz w:val="22"/>
              </w:rPr>
              <w:t>79,97</w:t>
            </w:r>
          </w:p>
        </w:tc>
      </w:tr>
      <w:tr w:rsidR="000B6128" w:rsidRPr="00731FE2" w14:paraId="7D343052" w14:textId="77777777" w:rsidTr="00FE28EA">
        <w:trPr>
          <w:trHeight w:val="58"/>
          <w:tblCellSpacing w:w="0" w:type="dxa"/>
        </w:trPr>
        <w:tc>
          <w:tcPr>
            <w:tcW w:w="0" w:type="auto"/>
            <w:vMerge/>
            <w:tcBorders>
              <w:left w:val="single" w:sz="8" w:space="0" w:color="000000"/>
              <w:right w:val="single" w:sz="8" w:space="0" w:color="000000"/>
            </w:tcBorders>
            <w:vAlign w:val="center"/>
            <w:hideMark/>
          </w:tcPr>
          <w:p w14:paraId="6B6EE94F" w14:textId="77777777" w:rsidR="000B6128" w:rsidRPr="00731FE2" w:rsidRDefault="000B6128" w:rsidP="000B6128">
            <w:pPr>
              <w:spacing w:line="240" w:lineRule="auto"/>
              <w:ind w:firstLine="0"/>
              <w:jc w:val="left"/>
              <w:rPr>
                <w:rFonts w:ascii="Times New Roman" w:eastAsia="Times New Roman" w:hAnsi="Times New Roman" w:cs="Times New Roman"/>
                <w:sz w:val="22"/>
                <w:lang w:eastAsia="ru-RU"/>
              </w:rPr>
            </w:pPr>
          </w:p>
        </w:tc>
        <w:tc>
          <w:tcPr>
            <w:tcW w:w="3417" w:type="dxa"/>
            <w:tcBorders>
              <w:top w:val="nil"/>
              <w:left w:val="nil"/>
              <w:bottom w:val="single" w:sz="8" w:space="0" w:color="000000"/>
              <w:right w:val="single" w:sz="8" w:space="0" w:color="000000"/>
            </w:tcBorders>
            <w:vAlign w:val="center"/>
            <w:hideMark/>
          </w:tcPr>
          <w:p w14:paraId="18F97BD4" w14:textId="7A89E077" w:rsidR="000B6128" w:rsidRPr="00731FE2" w:rsidRDefault="000B6128" w:rsidP="000B6128">
            <w:pPr>
              <w:spacing w:line="240" w:lineRule="auto"/>
              <w:ind w:firstLine="0"/>
              <w:rPr>
                <w:rFonts w:ascii="Times New Roman" w:eastAsia="Times New Roman" w:hAnsi="Times New Roman" w:cs="Times New Roman"/>
                <w:sz w:val="22"/>
                <w:lang w:eastAsia="ru-RU"/>
              </w:rPr>
            </w:pPr>
            <w:r w:rsidRPr="00731FE2">
              <w:rPr>
                <w:rFonts w:ascii="Times New Roman" w:hAnsi="Times New Roman" w:cs="Times New Roman"/>
                <w:color w:val="000000"/>
                <w:sz w:val="22"/>
              </w:rPr>
              <w:t>Общественно-деловые зоны</w:t>
            </w:r>
          </w:p>
        </w:tc>
        <w:tc>
          <w:tcPr>
            <w:tcW w:w="1525" w:type="dxa"/>
            <w:tcBorders>
              <w:top w:val="nil"/>
              <w:left w:val="nil"/>
              <w:bottom w:val="single" w:sz="8" w:space="0" w:color="000000"/>
              <w:right w:val="single" w:sz="8" w:space="0" w:color="000000"/>
            </w:tcBorders>
            <w:vAlign w:val="center"/>
            <w:hideMark/>
          </w:tcPr>
          <w:p w14:paraId="36103EDF" w14:textId="27F1C7B2"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hAnsi="Times New Roman" w:cs="Times New Roman"/>
                <w:color w:val="000000"/>
                <w:sz w:val="22"/>
              </w:rPr>
              <w:t>га</w:t>
            </w:r>
          </w:p>
        </w:tc>
        <w:tc>
          <w:tcPr>
            <w:tcW w:w="1766" w:type="dxa"/>
            <w:tcBorders>
              <w:top w:val="nil"/>
              <w:left w:val="nil"/>
              <w:bottom w:val="single" w:sz="8" w:space="0" w:color="000000"/>
              <w:right w:val="single" w:sz="8" w:space="0" w:color="000000"/>
            </w:tcBorders>
            <w:vAlign w:val="center"/>
            <w:hideMark/>
          </w:tcPr>
          <w:p w14:paraId="2848B619" w14:textId="2A0C4B76"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hAnsi="Times New Roman" w:cs="Times New Roman"/>
                <w:color w:val="000000"/>
                <w:sz w:val="22"/>
              </w:rPr>
              <w:t>73,02</w:t>
            </w:r>
          </w:p>
        </w:tc>
        <w:tc>
          <w:tcPr>
            <w:tcW w:w="1766" w:type="dxa"/>
            <w:tcBorders>
              <w:top w:val="nil"/>
              <w:left w:val="nil"/>
              <w:bottom w:val="single" w:sz="8" w:space="0" w:color="000000"/>
              <w:right w:val="single" w:sz="8" w:space="0" w:color="000000"/>
            </w:tcBorders>
            <w:vAlign w:val="center"/>
            <w:hideMark/>
          </w:tcPr>
          <w:p w14:paraId="087EA2B2" w14:textId="1069C34D" w:rsidR="000B6128" w:rsidRPr="00731FE2" w:rsidRDefault="00A64EFE"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hAnsi="Times New Roman" w:cs="Times New Roman"/>
                <w:color w:val="000000"/>
                <w:sz w:val="22"/>
              </w:rPr>
              <w:t>79,97</w:t>
            </w:r>
          </w:p>
        </w:tc>
      </w:tr>
      <w:tr w:rsidR="000B6128" w:rsidRPr="00731FE2" w14:paraId="44E08466" w14:textId="77777777" w:rsidTr="00FE28EA">
        <w:trPr>
          <w:trHeight w:val="58"/>
          <w:tblCellSpacing w:w="0" w:type="dxa"/>
        </w:trPr>
        <w:tc>
          <w:tcPr>
            <w:tcW w:w="0" w:type="auto"/>
            <w:vMerge/>
            <w:tcBorders>
              <w:left w:val="single" w:sz="8" w:space="0" w:color="000000"/>
              <w:right w:val="single" w:sz="8" w:space="0" w:color="000000"/>
            </w:tcBorders>
            <w:vAlign w:val="center"/>
            <w:hideMark/>
          </w:tcPr>
          <w:p w14:paraId="562EB9B1" w14:textId="77777777" w:rsidR="000B6128" w:rsidRPr="00731FE2" w:rsidRDefault="000B6128" w:rsidP="000B6128">
            <w:pPr>
              <w:spacing w:line="240" w:lineRule="auto"/>
              <w:ind w:firstLine="0"/>
              <w:jc w:val="left"/>
              <w:rPr>
                <w:rFonts w:ascii="Times New Roman" w:eastAsia="Times New Roman" w:hAnsi="Times New Roman" w:cs="Times New Roman"/>
                <w:sz w:val="22"/>
                <w:lang w:eastAsia="ru-RU"/>
              </w:rPr>
            </w:pPr>
          </w:p>
        </w:tc>
        <w:tc>
          <w:tcPr>
            <w:tcW w:w="3417" w:type="dxa"/>
            <w:tcBorders>
              <w:top w:val="nil"/>
              <w:left w:val="nil"/>
              <w:bottom w:val="single" w:sz="8" w:space="0" w:color="000000"/>
              <w:right w:val="single" w:sz="8" w:space="0" w:color="000000"/>
            </w:tcBorders>
            <w:vAlign w:val="center"/>
            <w:hideMark/>
          </w:tcPr>
          <w:p w14:paraId="59969789" w14:textId="3D06C9F5" w:rsidR="000B6128" w:rsidRPr="00731FE2" w:rsidRDefault="000B6128" w:rsidP="000B6128">
            <w:pPr>
              <w:spacing w:line="240" w:lineRule="auto"/>
              <w:ind w:firstLine="0"/>
              <w:rPr>
                <w:rFonts w:ascii="Times New Roman" w:eastAsia="Times New Roman" w:hAnsi="Times New Roman" w:cs="Times New Roman"/>
                <w:sz w:val="22"/>
                <w:lang w:eastAsia="ru-RU"/>
              </w:rPr>
            </w:pPr>
            <w:r w:rsidRPr="00731FE2">
              <w:rPr>
                <w:rFonts w:ascii="Times New Roman" w:hAnsi="Times New Roman" w:cs="Times New Roman"/>
                <w:b/>
                <w:bCs/>
                <w:color w:val="000000"/>
                <w:sz w:val="22"/>
              </w:rPr>
              <w:t xml:space="preserve">Зоны производственного, инженерного и транспортного использования, </w:t>
            </w:r>
            <w:r w:rsidRPr="00731FE2">
              <w:rPr>
                <w:rFonts w:ascii="Times New Roman" w:hAnsi="Times New Roman" w:cs="Times New Roman"/>
                <w:color w:val="000000"/>
                <w:sz w:val="22"/>
              </w:rPr>
              <w:t>в том числе:</w:t>
            </w:r>
          </w:p>
        </w:tc>
        <w:tc>
          <w:tcPr>
            <w:tcW w:w="1525" w:type="dxa"/>
            <w:tcBorders>
              <w:top w:val="nil"/>
              <w:left w:val="nil"/>
              <w:bottom w:val="single" w:sz="8" w:space="0" w:color="000000"/>
              <w:right w:val="single" w:sz="8" w:space="0" w:color="000000"/>
            </w:tcBorders>
            <w:vAlign w:val="center"/>
            <w:hideMark/>
          </w:tcPr>
          <w:p w14:paraId="0140539E" w14:textId="3944C84A"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hAnsi="Times New Roman" w:cs="Times New Roman"/>
                <w:b/>
                <w:bCs/>
                <w:color w:val="000000"/>
                <w:sz w:val="22"/>
              </w:rPr>
              <w:t>га</w:t>
            </w:r>
          </w:p>
        </w:tc>
        <w:tc>
          <w:tcPr>
            <w:tcW w:w="1766" w:type="dxa"/>
            <w:tcBorders>
              <w:top w:val="nil"/>
              <w:left w:val="nil"/>
              <w:bottom w:val="single" w:sz="8" w:space="0" w:color="000000"/>
              <w:right w:val="single" w:sz="8" w:space="0" w:color="000000"/>
            </w:tcBorders>
            <w:vAlign w:val="center"/>
            <w:hideMark/>
          </w:tcPr>
          <w:p w14:paraId="1BD476A5" w14:textId="7862D485"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hAnsi="Times New Roman" w:cs="Times New Roman"/>
                <w:b/>
                <w:bCs/>
                <w:color w:val="000000"/>
                <w:sz w:val="22"/>
              </w:rPr>
              <w:t>2,52</w:t>
            </w:r>
          </w:p>
        </w:tc>
        <w:tc>
          <w:tcPr>
            <w:tcW w:w="1766" w:type="dxa"/>
            <w:tcBorders>
              <w:top w:val="nil"/>
              <w:left w:val="nil"/>
              <w:bottom w:val="single" w:sz="8" w:space="0" w:color="000000"/>
              <w:right w:val="single" w:sz="8" w:space="0" w:color="000000"/>
            </w:tcBorders>
            <w:vAlign w:val="center"/>
            <w:hideMark/>
          </w:tcPr>
          <w:p w14:paraId="40D84BCB" w14:textId="237A866F" w:rsidR="000B6128" w:rsidRPr="00731FE2" w:rsidRDefault="00743CB1"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hAnsi="Times New Roman" w:cs="Times New Roman"/>
                <w:b/>
                <w:bCs/>
                <w:color w:val="000000"/>
                <w:sz w:val="22"/>
              </w:rPr>
              <w:t>3,65</w:t>
            </w:r>
          </w:p>
        </w:tc>
      </w:tr>
      <w:tr w:rsidR="000B6128" w:rsidRPr="00731FE2" w14:paraId="1D79D60F" w14:textId="77777777" w:rsidTr="00FE28EA">
        <w:trPr>
          <w:trHeight w:val="58"/>
          <w:tblCellSpacing w:w="0" w:type="dxa"/>
        </w:trPr>
        <w:tc>
          <w:tcPr>
            <w:tcW w:w="0" w:type="auto"/>
            <w:vMerge/>
            <w:tcBorders>
              <w:left w:val="single" w:sz="8" w:space="0" w:color="000000"/>
              <w:right w:val="single" w:sz="8" w:space="0" w:color="000000"/>
            </w:tcBorders>
            <w:vAlign w:val="center"/>
            <w:hideMark/>
          </w:tcPr>
          <w:p w14:paraId="74441086" w14:textId="77777777" w:rsidR="000B6128" w:rsidRPr="00731FE2" w:rsidRDefault="000B6128" w:rsidP="000B6128">
            <w:pPr>
              <w:spacing w:line="240" w:lineRule="auto"/>
              <w:ind w:firstLine="0"/>
              <w:jc w:val="left"/>
              <w:rPr>
                <w:rFonts w:ascii="Times New Roman" w:eastAsia="Times New Roman" w:hAnsi="Times New Roman" w:cs="Times New Roman"/>
                <w:sz w:val="22"/>
                <w:lang w:eastAsia="ru-RU"/>
              </w:rPr>
            </w:pPr>
          </w:p>
        </w:tc>
        <w:tc>
          <w:tcPr>
            <w:tcW w:w="3417" w:type="dxa"/>
            <w:tcBorders>
              <w:top w:val="nil"/>
              <w:left w:val="nil"/>
              <w:bottom w:val="single" w:sz="8" w:space="0" w:color="000000"/>
              <w:right w:val="single" w:sz="8" w:space="0" w:color="000000"/>
            </w:tcBorders>
            <w:vAlign w:val="center"/>
            <w:hideMark/>
          </w:tcPr>
          <w:p w14:paraId="723ACBDA" w14:textId="649A4DE3" w:rsidR="000B6128" w:rsidRPr="00731FE2" w:rsidRDefault="000B6128" w:rsidP="000B6128">
            <w:pPr>
              <w:spacing w:line="240" w:lineRule="auto"/>
              <w:ind w:firstLine="0"/>
              <w:rPr>
                <w:rFonts w:ascii="Times New Roman" w:eastAsia="Times New Roman" w:hAnsi="Times New Roman" w:cs="Times New Roman"/>
                <w:sz w:val="22"/>
                <w:lang w:eastAsia="ru-RU"/>
              </w:rPr>
            </w:pPr>
            <w:r w:rsidRPr="00731FE2">
              <w:rPr>
                <w:rFonts w:ascii="Times New Roman" w:hAnsi="Times New Roman" w:cs="Times New Roman"/>
                <w:color w:val="000000"/>
                <w:sz w:val="22"/>
              </w:rPr>
              <w:t>Зона транспортной инфраструктуры</w:t>
            </w:r>
          </w:p>
        </w:tc>
        <w:tc>
          <w:tcPr>
            <w:tcW w:w="1525" w:type="dxa"/>
            <w:tcBorders>
              <w:top w:val="nil"/>
              <w:left w:val="nil"/>
              <w:bottom w:val="single" w:sz="8" w:space="0" w:color="000000"/>
              <w:right w:val="single" w:sz="8" w:space="0" w:color="000000"/>
            </w:tcBorders>
            <w:vAlign w:val="center"/>
            <w:hideMark/>
          </w:tcPr>
          <w:p w14:paraId="54AB6F0B" w14:textId="4C0A5BD4"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hAnsi="Times New Roman" w:cs="Times New Roman"/>
                <w:color w:val="000000"/>
                <w:sz w:val="22"/>
              </w:rPr>
              <w:t>га</w:t>
            </w:r>
          </w:p>
        </w:tc>
        <w:tc>
          <w:tcPr>
            <w:tcW w:w="1766" w:type="dxa"/>
            <w:tcBorders>
              <w:top w:val="nil"/>
              <w:left w:val="nil"/>
              <w:bottom w:val="single" w:sz="8" w:space="0" w:color="000000"/>
              <w:right w:val="single" w:sz="8" w:space="0" w:color="000000"/>
            </w:tcBorders>
            <w:vAlign w:val="center"/>
            <w:hideMark/>
          </w:tcPr>
          <w:p w14:paraId="4FCFD4C8" w14:textId="5904D245"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hAnsi="Times New Roman" w:cs="Times New Roman"/>
                <w:color w:val="000000"/>
                <w:sz w:val="22"/>
              </w:rPr>
              <w:t>2,52</w:t>
            </w:r>
          </w:p>
        </w:tc>
        <w:tc>
          <w:tcPr>
            <w:tcW w:w="1766" w:type="dxa"/>
            <w:tcBorders>
              <w:top w:val="nil"/>
              <w:left w:val="nil"/>
              <w:bottom w:val="single" w:sz="8" w:space="0" w:color="000000"/>
              <w:right w:val="single" w:sz="8" w:space="0" w:color="000000"/>
            </w:tcBorders>
            <w:vAlign w:val="center"/>
            <w:hideMark/>
          </w:tcPr>
          <w:p w14:paraId="7322EA0C" w14:textId="3424A11A" w:rsidR="000B6128" w:rsidRPr="00731FE2" w:rsidRDefault="00743CB1"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hAnsi="Times New Roman" w:cs="Times New Roman"/>
                <w:color w:val="000000"/>
                <w:sz w:val="22"/>
              </w:rPr>
              <w:t>3,65</w:t>
            </w:r>
          </w:p>
        </w:tc>
      </w:tr>
      <w:tr w:rsidR="000B6128" w:rsidRPr="00731FE2" w14:paraId="0464C0A3" w14:textId="77777777" w:rsidTr="00FE28EA">
        <w:trPr>
          <w:trHeight w:val="58"/>
          <w:tblCellSpacing w:w="0" w:type="dxa"/>
        </w:trPr>
        <w:tc>
          <w:tcPr>
            <w:tcW w:w="0" w:type="auto"/>
            <w:vMerge/>
            <w:tcBorders>
              <w:left w:val="single" w:sz="8" w:space="0" w:color="000000"/>
              <w:right w:val="single" w:sz="8" w:space="0" w:color="000000"/>
            </w:tcBorders>
            <w:vAlign w:val="center"/>
          </w:tcPr>
          <w:p w14:paraId="147E231C" w14:textId="77777777" w:rsidR="000B6128" w:rsidRPr="00731FE2" w:rsidRDefault="000B6128" w:rsidP="000B6128">
            <w:pPr>
              <w:spacing w:line="240" w:lineRule="auto"/>
              <w:ind w:firstLine="0"/>
              <w:jc w:val="left"/>
              <w:rPr>
                <w:rFonts w:ascii="Times New Roman" w:eastAsia="Times New Roman" w:hAnsi="Times New Roman" w:cs="Times New Roman"/>
                <w:sz w:val="22"/>
                <w:lang w:eastAsia="ru-RU"/>
              </w:rPr>
            </w:pPr>
          </w:p>
        </w:tc>
        <w:tc>
          <w:tcPr>
            <w:tcW w:w="3417" w:type="dxa"/>
            <w:tcBorders>
              <w:top w:val="nil"/>
              <w:left w:val="nil"/>
              <w:bottom w:val="single" w:sz="8" w:space="0" w:color="000000"/>
              <w:right w:val="single" w:sz="8" w:space="0" w:color="000000"/>
            </w:tcBorders>
            <w:vAlign w:val="center"/>
          </w:tcPr>
          <w:p w14:paraId="4615B6B9" w14:textId="6D5722E7" w:rsidR="000B6128" w:rsidRPr="00731FE2" w:rsidRDefault="000B6128" w:rsidP="000B6128">
            <w:pPr>
              <w:spacing w:line="240" w:lineRule="auto"/>
              <w:ind w:firstLine="0"/>
              <w:rPr>
                <w:rFonts w:ascii="Times New Roman" w:eastAsia="Times New Roman" w:hAnsi="Times New Roman" w:cs="Times New Roman"/>
                <w:color w:val="000000"/>
                <w:sz w:val="22"/>
                <w:lang w:eastAsia="ru-RU"/>
              </w:rPr>
            </w:pPr>
            <w:r w:rsidRPr="00731FE2">
              <w:rPr>
                <w:rFonts w:ascii="Times New Roman" w:hAnsi="Times New Roman" w:cs="Times New Roman"/>
                <w:b/>
                <w:bCs/>
                <w:color w:val="000000"/>
                <w:sz w:val="22"/>
              </w:rPr>
              <w:t>Зона рекреационного использования, в</w:t>
            </w:r>
            <w:r w:rsidRPr="00731FE2">
              <w:rPr>
                <w:rFonts w:ascii="Times New Roman" w:hAnsi="Times New Roman" w:cs="Times New Roman"/>
                <w:color w:val="000000"/>
                <w:sz w:val="22"/>
              </w:rPr>
              <w:t xml:space="preserve"> том числе:</w:t>
            </w:r>
          </w:p>
        </w:tc>
        <w:tc>
          <w:tcPr>
            <w:tcW w:w="1525" w:type="dxa"/>
            <w:tcBorders>
              <w:top w:val="nil"/>
              <w:left w:val="nil"/>
              <w:bottom w:val="single" w:sz="8" w:space="0" w:color="000000"/>
              <w:right w:val="single" w:sz="8" w:space="0" w:color="000000"/>
            </w:tcBorders>
            <w:vAlign w:val="center"/>
          </w:tcPr>
          <w:p w14:paraId="4A0FB0F9" w14:textId="42E2DC8C" w:rsidR="000B6128" w:rsidRPr="00731FE2" w:rsidRDefault="000B6128" w:rsidP="000B6128">
            <w:pPr>
              <w:spacing w:line="240" w:lineRule="auto"/>
              <w:ind w:firstLine="0"/>
              <w:jc w:val="center"/>
              <w:rPr>
                <w:rFonts w:ascii="Times New Roman" w:eastAsia="Times New Roman" w:hAnsi="Times New Roman" w:cs="Times New Roman"/>
                <w:color w:val="000000"/>
                <w:sz w:val="22"/>
                <w:lang w:eastAsia="ru-RU"/>
              </w:rPr>
            </w:pPr>
            <w:r w:rsidRPr="00731FE2">
              <w:rPr>
                <w:rFonts w:ascii="Times New Roman" w:hAnsi="Times New Roman" w:cs="Times New Roman"/>
                <w:b/>
                <w:bCs/>
                <w:color w:val="000000"/>
                <w:sz w:val="22"/>
              </w:rPr>
              <w:t>га</w:t>
            </w:r>
          </w:p>
        </w:tc>
        <w:tc>
          <w:tcPr>
            <w:tcW w:w="1766" w:type="dxa"/>
            <w:tcBorders>
              <w:top w:val="nil"/>
              <w:left w:val="nil"/>
              <w:bottom w:val="single" w:sz="8" w:space="0" w:color="000000"/>
              <w:right w:val="single" w:sz="8" w:space="0" w:color="000000"/>
            </w:tcBorders>
            <w:vAlign w:val="center"/>
          </w:tcPr>
          <w:p w14:paraId="57050B29" w14:textId="1433BE9A"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hAnsi="Times New Roman" w:cs="Times New Roman"/>
                <w:b/>
                <w:bCs/>
                <w:color w:val="000000"/>
                <w:sz w:val="22"/>
              </w:rPr>
              <w:t>8,35</w:t>
            </w:r>
          </w:p>
        </w:tc>
        <w:tc>
          <w:tcPr>
            <w:tcW w:w="1766" w:type="dxa"/>
            <w:tcBorders>
              <w:top w:val="nil"/>
              <w:left w:val="nil"/>
              <w:bottom w:val="single" w:sz="8" w:space="0" w:color="000000"/>
              <w:right w:val="single" w:sz="8" w:space="0" w:color="000000"/>
            </w:tcBorders>
            <w:vAlign w:val="center"/>
          </w:tcPr>
          <w:p w14:paraId="778A0167" w14:textId="7327C982" w:rsidR="000B6128" w:rsidRPr="00731FE2" w:rsidRDefault="00743CB1"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hAnsi="Times New Roman" w:cs="Times New Roman"/>
                <w:color w:val="000000"/>
                <w:sz w:val="22"/>
              </w:rPr>
              <w:t>1,00</w:t>
            </w:r>
          </w:p>
        </w:tc>
      </w:tr>
      <w:tr w:rsidR="000B6128" w:rsidRPr="00731FE2" w14:paraId="3081F0F2" w14:textId="77777777" w:rsidTr="00FE28EA">
        <w:trPr>
          <w:trHeight w:val="58"/>
          <w:tblCellSpacing w:w="0" w:type="dxa"/>
        </w:trPr>
        <w:tc>
          <w:tcPr>
            <w:tcW w:w="0" w:type="auto"/>
            <w:vMerge/>
            <w:tcBorders>
              <w:left w:val="single" w:sz="8" w:space="0" w:color="000000"/>
              <w:right w:val="single" w:sz="8" w:space="0" w:color="000000"/>
            </w:tcBorders>
            <w:vAlign w:val="center"/>
          </w:tcPr>
          <w:p w14:paraId="20C08922" w14:textId="77777777" w:rsidR="000B6128" w:rsidRPr="00731FE2" w:rsidRDefault="000B6128" w:rsidP="000B6128">
            <w:pPr>
              <w:spacing w:line="240" w:lineRule="auto"/>
              <w:ind w:firstLine="0"/>
              <w:jc w:val="left"/>
              <w:rPr>
                <w:rFonts w:ascii="Times New Roman" w:eastAsia="Times New Roman" w:hAnsi="Times New Roman" w:cs="Times New Roman"/>
                <w:sz w:val="22"/>
                <w:lang w:eastAsia="ru-RU"/>
              </w:rPr>
            </w:pPr>
          </w:p>
        </w:tc>
        <w:tc>
          <w:tcPr>
            <w:tcW w:w="3417" w:type="dxa"/>
            <w:tcBorders>
              <w:top w:val="nil"/>
              <w:left w:val="nil"/>
              <w:bottom w:val="single" w:sz="8" w:space="0" w:color="000000"/>
              <w:right w:val="single" w:sz="8" w:space="0" w:color="000000"/>
            </w:tcBorders>
            <w:vAlign w:val="center"/>
          </w:tcPr>
          <w:p w14:paraId="15599FE4" w14:textId="1C946B7B" w:rsidR="000B6128" w:rsidRPr="00731FE2" w:rsidRDefault="000B6128" w:rsidP="000B6128">
            <w:pPr>
              <w:spacing w:line="240" w:lineRule="auto"/>
              <w:ind w:firstLine="0"/>
              <w:rPr>
                <w:rFonts w:ascii="Times New Roman" w:eastAsia="Times New Roman" w:hAnsi="Times New Roman" w:cs="Times New Roman"/>
                <w:color w:val="000000"/>
                <w:sz w:val="22"/>
                <w:lang w:eastAsia="ru-RU"/>
              </w:rPr>
            </w:pPr>
            <w:r w:rsidRPr="00731FE2">
              <w:rPr>
                <w:rFonts w:ascii="Times New Roman" w:hAnsi="Times New Roman" w:cs="Times New Roman"/>
                <w:color w:val="000000"/>
                <w:sz w:val="22"/>
              </w:rPr>
              <w:t>Зона рекреационного назначения</w:t>
            </w:r>
          </w:p>
        </w:tc>
        <w:tc>
          <w:tcPr>
            <w:tcW w:w="1525" w:type="dxa"/>
            <w:tcBorders>
              <w:top w:val="nil"/>
              <w:left w:val="nil"/>
              <w:bottom w:val="single" w:sz="8" w:space="0" w:color="000000"/>
              <w:right w:val="single" w:sz="8" w:space="0" w:color="000000"/>
            </w:tcBorders>
            <w:vAlign w:val="center"/>
          </w:tcPr>
          <w:p w14:paraId="2A57ACB2" w14:textId="04EC116C" w:rsidR="000B6128" w:rsidRPr="00731FE2" w:rsidRDefault="000B6128" w:rsidP="000B6128">
            <w:pPr>
              <w:spacing w:line="240" w:lineRule="auto"/>
              <w:ind w:firstLine="0"/>
              <w:jc w:val="center"/>
              <w:rPr>
                <w:rFonts w:ascii="Times New Roman" w:eastAsia="Times New Roman" w:hAnsi="Times New Roman" w:cs="Times New Roman"/>
                <w:color w:val="000000"/>
                <w:sz w:val="22"/>
                <w:lang w:eastAsia="ru-RU"/>
              </w:rPr>
            </w:pPr>
            <w:r w:rsidRPr="00731FE2">
              <w:rPr>
                <w:rFonts w:ascii="Times New Roman" w:hAnsi="Times New Roman" w:cs="Times New Roman"/>
                <w:color w:val="000000"/>
                <w:sz w:val="22"/>
              </w:rPr>
              <w:t>га </w:t>
            </w:r>
          </w:p>
        </w:tc>
        <w:tc>
          <w:tcPr>
            <w:tcW w:w="1766" w:type="dxa"/>
            <w:tcBorders>
              <w:top w:val="nil"/>
              <w:left w:val="nil"/>
              <w:bottom w:val="single" w:sz="8" w:space="0" w:color="000000"/>
              <w:right w:val="single" w:sz="8" w:space="0" w:color="000000"/>
            </w:tcBorders>
            <w:vAlign w:val="center"/>
          </w:tcPr>
          <w:p w14:paraId="0088EB5B" w14:textId="6F651780"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hAnsi="Times New Roman" w:cs="Times New Roman"/>
                <w:color w:val="000000"/>
                <w:sz w:val="22"/>
              </w:rPr>
              <w:t>7,35</w:t>
            </w:r>
          </w:p>
        </w:tc>
        <w:tc>
          <w:tcPr>
            <w:tcW w:w="1766" w:type="dxa"/>
            <w:tcBorders>
              <w:top w:val="nil"/>
              <w:left w:val="nil"/>
              <w:bottom w:val="single" w:sz="8" w:space="0" w:color="000000"/>
              <w:right w:val="single" w:sz="8" w:space="0" w:color="000000"/>
            </w:tcBorders>
            <w:vAlign w:val="center"/>
          </w:tcPr>
          <w:p w14:paraId="1FB9A880" w14:textId="5CE56B02" w:rsidR="000B6128" w:rsidRPr="00731FE2" w:rsidRDefault="00743CB1"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hAnsi="Times New Roman" w:cs="Times New Roman"/>
                <w:color w:val="000000"/>
                <w:sz w:val="22"/>
              </w:rPr>
              <w:t>0</w:t>
            </w:r>
          </w:p>
        </w:tc>
      </w:tr>
      <w:tr w:rsidR="000B6128" w:rsidRPr="00731FE2" w14:paraId="617AA6A7" w14:textId="77777777" w:rsidTr="00FE28EA">
        <w:trPr>
          <w:trHeight w:val="58"/>
          <w:tblCellSpacing w:w="0" w:type="dxa"/>
        </w:trPr>
        <w:tc>
          <w:tcPr>
            <w:tcW w:w="0" w:type="auto"/>
            <w:vMerge/>
            <w:tcBorders>
              <w:left w:val="single" w:sz="8" w:space="0" w:color="000000"/>
              <w:bottom w:val="single" w:sz="8" w:space="0" w:color="000000"/>
              <w:right w:val="single" w:sz="8" w:space="0" w:color="000000"/>
            </w:tcBorders>
            <w:vAlign w:val="center"/>
          </w:tcPr>
          <w:p w14:paraId="05E59E57" w14:textId="77777777" w:rsidR="000B6128" w:rsidRPr="00731FE2" w:rsidRDefault="000B6128" w:rsidP="000B6128">
            <w:pPr>
              <w:spacing w:line="240" w:lineRule="auto"/>
              <w:ind w:firstLine="0"/>
              <w:jc w:val="left"/>
              <w:rPr>
                <w:rFonts w:ascii="Times New Roman" w:eastAsia="Times New Roman" w:hAnsi="Times New Roman" w:cs="Times New Roman"/>
                <w:sz w:val="22"/>
                <w:lang w:eastAsia="ru-RU"/>
              </w:rPr>
            </w:pPr>
          </w:p>
        </w:tc>
        <w:tc>
          <w:tcPr>
            <w:tcW w:w="3417" w:type="dxa"/>
            <w:tcBorders>
              <w:top w:val="nil"/>
              <w:left w:val="nil"/>
              <w:bottom w:val="single" w:sz="8" w:space="0" w:color="000000"/>
              <w:right w:val="single" w:sz="8" w:space="0" w:color="000000"/>
            </w:tcBorders>
            <w:vAlign w:val="center"/>
          </w:tcPr>
          <w:p w14:paraId="54F81F2F" w14:textId="7C2C458C" w:rsidR="000B6128" w:rsidRPr="00731FE2" w:rsidRDefault="000B6128" w:rsidP="000B6128">
            <w:pPr>
              <w:spacing w:line="240" w:lineRule="auto"/>
              <w:ind w:firstLine="0"/>
              <w:rPr>
                <w:rFonts w:ascii="Times New Roman" w:eastAsia="Times New Roman" w:hAnsi="Times New Roman" w:cs="Times New Roman"/>
                <w:color w:val="000000"/>
                <w:sz w:val="22"/>
                <w:lang w:eastAsia="ru-RU"/>
              </w:rPr>
            </w:pPr>
            <w:r w:rsidRPr="00731FE2">
              <w:rPr>
                <w:rFonts w:ascii="Times New Roman" w:hAnsi="Times New Roman" w:cs="Times New Roman"/>
                <w:color w:val="000000"/>
                <w:sz w:val="22"/>
              </w:rPr>
              <w:t>Зона озелененных территорий общего пользования (лесопарки, парки, сады, скверы, бульвары, городские леса)</w:t>
            </w:r>
          </w:p>
        </w:tc>
        <w:tc>
          <w:tcPr>
            <w:tcW w:w="1525" w:type="dxa"/>
            <w:tcBorders>
              <w:top w:val="nil"/>
              <w:left w:val="nil"/>
              <w:bottom w:val="single" w:sz="8" w:space="0" w:color="000000"/>
              <w:right w:val="single" w:sz="8" w:space="0" w:color="000000"/>
            </w:tcBorders>
            <w:vAlign w:val="center"/>
          </w:tcPr>
          <w:p w14:paraId="4DD13506" w14:textId="49750EFC" w:rsidR="000B6128" w:rsidRPr="00731FE2" w:rsidRDefault="000B6128" w:rsidP="000B6128">
            <w:pPr>
              <w:spacing w:line="240" w:lineRule="auto"/>
              <w:ind w:firstLine="0"/>
              <w:jc w:val="center"/>
              <w:rPr>
                <w:rFonts w:ascii="Times New Roman" w:eastAsia="Times New Roman" w:hAnsi="Times New Roman" w:cs="Times New Roman"/>
                <w:color w:val="000000"/>
                <w:sz w:val="22"/>
                <w:lang w:eastAsia="ru-RU"/>
              </w:rPr>
            </w:pPr>
            <w:r w:rsidRPr="00731FE2">
              <w:rPr>
                <w:rFonts w:ascii="Times New Roman" w:hAnsi="Times New Roman" w:cs="Times New Roman"/>
                <w:color w:val="000000"/>
                <w:sz w:val="22"/>
              </w:rPr>
              <w:t>га</w:t>
            </w:r>
          </w:p>
        </w:tc>
        <w:tc>
          <w:tcPr>
            <w:tcW w:w="1766" w:type="dxa"/>
            <w:tcBorders>
              <w:top w:val="nil"/>
              <w:left w:val="nil"/>
              <w:bottom w:val="single" w:sz="8" w:space="0" w:color="000000"/>
              <w:right w:val="single" w:sz="8" w:space="0" w:color="000000"/>
            </w:tcBorders>
            <w:vAlign w:val="center"/>
          </w:tcPr>
          <w:p w14:paraId="6DEC170C" w14:textId="2ACCAE98"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hAnsi="Times New Roman" w:cs="Times New Roman"/>
                <w:color w:val="000000"/>
                <w:sz w:val="22"/>
              </w:rPr>
              <w:t>1,00</w:t>
            </w:r>
          </w:p>
        </w:tc>
        <w:tc>
          <w:tcPr>
            <w:tcW w:w="1766" w:type="dxa"/>
            <w:tcBorders>
              <w:top w:val="nil"/>
              <w:left w:val="nil"/>
              <w:bottom w:val="single" w:sz="8" w:space="0" w:color="000000"/>
              <w:right w:val="single" w:sz="8" w:space="0" w:color="000000"/>
            </w:tcBorders>
            <w:vAlign w:val="center"/>
          </w:tcPr>
          <w:p w14:paraId="153D0878" w14:textId="39BD5E3C" w:rsidR="000B6128" w:rsidRPr="00731FE2" w:rsidRDefault="00743CB1"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hAnsi="Times New Roman" w:cs="Times New Roman"/>
                <w:color w:val="000000"/>
                <w:sz w:val="22"/>
              </w:rPr>
              <w:t>1,00</w:t>
            </w:r>
          </w:p>
        </w:tc>
      </w:tr>
      <w:tr w:rsidR="000B6128" w:rsidRPr="00731FE2" w14:paraId="68EC48DF" w14:textId="77777777" w:rsidTr="00D154A0">
        <w:trPr>
          <w:trHeight w:val="58"/>
          <w:tblCellSpacing w:w="0" w:type="dxa"/>
        </w:trPr>
        <w:tc>
          <w:tcPr>
            <w:tcW w:w="9335" w:type="dxa"/>
            <w:gridSpan w:val="5"/>
            <w:tcBorders>
              <w:top w:val="nil"/>
              <w:left w:val="single" w:sz="8" w:space="0" w:color="000000"/>
              <w:bottom w:val="single" w:sz="8" w:space="0" w:color="000000"/>
              <w:right w:val="single" w:sz="8" w:space="0" w:color="000000"/>
            </w:tcBorders>
            <w:vAlign w:val="center"/>
            <w:hideMark/>
          </w:tcPr>
          <w:p w14:paraId="6615AF20" w14:textId="7777777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b/>
                <w:bCs/>
                <w:color w:val="000000"/>
                <w:sz w:val="22"/>
                <w:lang w:eastAsia="ru-RU"/>
              </w:rPr>
              <w:t>п. Правоберёзовский</w:t>
            </w:r>
          </w:p>
        </w:tc>
      </w:tr>
      <w:tr w:rsidR="000B6128" w:rsidRPr="00731FE2" w14:paraId="4D589DC4" w14:textId="77777777" w:rsidTr="00FE28EA">
        <w:trPr>
          <w:trHeight w:val="58"/>
          <w:tblCellSpacing w:w="0" w:type="dxa"/>
        </w:trPr>
        <w:tc>
          <w:tcPr>
            <w:tcW w:w="861" w:type="dxa"/>
            <w:vMerge w:val="restart"/>
            <w:tcBorders>
              <w:top w:val="nil"/>
              <w:left w:val="single" w:sz="8" w:space="0" w:color="000000"/>
              <w:bottom w:val="single" w:sz="8" w:space="0" w:color="000000"/>
              <w:right w:val="single" w:sz="8" w:space="0" w:color="000000"/>
            </w:tcBorders>
            <w:vAlign w:val="center"/>
            <w:hideMark/>
          </w:tcPr>
          <w:p w14:paraId="4BB48294" w14:textId="305F004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b/>
                <w:bCs/>
                <w:color w:val="000000"/>
                <w:sz w:val="22"/>
                <w:lang w:eastAsia="ru-RU"/>
              </w:rPr>
              <w:t>1.1</w:t>
            </w:r>
            <w:r w:rsidR="00B043D3" w:rsidRPr="00731FE2">
              <w:rPr>
                <w:rFonts w:ascii="Times New Roman" w:eastAsia="Times New Roman" w:hAnsi="Times New Roman" w:cs="Times New Roman"/>
                <w:b/>
                <w:bCs/>
                <w:color w:val="000000"/>
                <w:sz w:val="22"/>
                <w:lang w:eastAsia="ru-RU"/>
              </w:rPr>
              <w:t>5</w:t>
            </w:r>
          </w:p>
        </w:tc>
        <w:tc>
          <w:tcPr>
            <w:tcW w:w="3417" w:type="dxa"/>
            <w:tcBorders>
              <w:top w:val="nil"/>
              <w:left w:val="nil"/>
              <w:bottom w:val="single" w:sz="8" w:space="0" w:color="000000"/>
              <w:right w:val="single" w:sz="8" w:space="0" w:color="000000"/>
            </w:tcBorders>
            <w:vAlign w:val="center"/>
            <w:hideMark/>
          </w:tcPr>
          <w:p w14:paraId="6702535C" w14:textId="06E515CA" w:rsidR="000B6128" w:rsidRPr="00731FE2" w:rsidRDefault="000B6128" w:rsidP="000B6128">
            <w:pPr>
              <w:spacing w:line="240" w:lineRule="auto"/>
              <w:ind w:firstLine="0"/>
              <w:rPr>
                <w:rFonts w:ascii="Times New Roman" w:eastAsia="Times New Roman" w:hAnsi="Times New Roman" w:cs="Times New Roman"/>
                <w:sz w:val="22"/>
                <w:lang w:eastAsia="ru-RU"/>
              </w:rPr>
            </w:pPr>
            <w:r w:rsidRPr="00731FE2">
              <w:rPr>
                <w:rFonts w:ascii="Times New Roman" w:hAnsi="Times New Roman" w:cs="Times New Roman"/>
                <w:b/>
                <w:bCs/>
                <w:color w:val="000000"/>
                <w:sz w:val="22"/>
              </w:rPr>
              <w:t>Общая площадь земель населенных пунктов</w:t>
            </w:r>
          </w:p>
        </w:tc>
        <w:tc>
          <w:tcPr>
            <w:tcW w:w="1525" w:type="dxa"/>
            <w:tcBorders>
              <w:top w:val="nil"/>
              <w:left w:val="nil"/>
              <w:bottom w:val="single" w:sz="8" w:space="0" w:color="000000"/>
              <w:right w:val="single" w:sz="8" w:space="0" w:color="000000"/>
            </w:tcBorders>
            <w:vAlign w:val="center"/>
            <w:hideMark/>
          </w:tcPr>
          <w:p w14:paraId="5F44EA54" w14:textId="0DDBF6E9"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hAnsi="Times New Roman" w:cs="Times New Roman"/>
                <w:b/>
                <w:bCs/>
                <w:color w:val="000000"/>
                <w:sz w:val="22"/>
              </w:rPr>
              <w:t>га</w:t>
            </w:r>
          </w:p>
        </w:tc>
        <w:tc>
          <w:tcPr>
            <w:tcW w:w="1766" w:type="dxa"/>
            <w:tcBorders>
              <w:top w:val="nil"/>
              <w:left w:val="nil"/>
              <w:bottom w:val="single" w:sz="8" w:space="0" w:color="000000"/>
              <w:right w:val="single" w:sz="8" w:space="0" w:color="000000"/>
            </w:tcBorders>
            <w:vAlign w:val="center"/>
            <w:hideMark/>
          </w:tcPr>
          <w:p w14:paraId="71DE86A8" w14:textId="5E3236C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hAnsi="Times New Roman" w:cs="Times New Roman"/>
                <w:b/>
                <w:bCs/>
                <w:color w:val="000000"/>
                <w:sz w:val="22"/>
              </w:rPr>
              <w:t>74,94</w:t>
            </w:r>
          </w:p>
        </w:tc>
        <w:tc>
          <w:tcPr>
            <w:tcW w:w="1766" w:type="dxa"/>
            <w:tcBorders>
              <w:top w:val="nil"/>
              <w:left w:val="nil"/>
              <w:bottom w:val="single" w:sz="8" w:space="0" w:color="000000"/>
              <w:right w:val="single" w:sz="8" w:space="0" w:color="000000"/>
            </w:tcBorders>
            <w:vAlign w:val="center"/>
            <w:hideMark/>
          </w:tcPr>
          <w:p w14:paraId="00E0DBB0" w14:textId="1FC3D345"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hAnsi="Times New Roman" w:cs="Times New Roman"/>
                <w:b/>
                <w:bCs/>
                <w:color w:val="000000"/>
                <w:sz w:val="22"/>
              </w:rPr>
              <w:t>74,94</w:t>
            </w:r>
          </w:p>
        </w:tc>
      </w:tr>
      <w:tr w:rsidR="000B6128" w:rsidRPr="00731FE2" w14:paraId="3D9D327A" w14:textId="77777777" w:rsidTr="00FE28EA">
        <w:trPr>
          <w:trHeight w:val="58"/>
          <w:tblCellSpacing w:w="0" w:type="dxa"/>
        </w:trPr>
        <w:tc>
          <w:tcPr>
            <w:tcW w:w="0" w:type="auto"/>
            <w:vMerge/>
            <w:tcBorders>
              <w:top w:val="nil"/>
              <w:left w:val="single" w:sz="8" w:space="0" w:color="000000"/>
              <w:bottom w:val="single" w:sz="8" w:space="0" w:color="000000"/>
              <w:right w:val="single" w:sz="8" w:space="0" w:color="000000"/>
            </w:tcBorders>
            <w:vAlign w:val="center"/>
            <w:hideMark/>
          </w:tcPr>
          <w:p w14:paraId="5BA95633" w14:textId="77777777" w:rsidR="000B6128" w:rsidRPr="00731FE2" w:rsidRDefault="000B6128" w:rsidP="000B6128">
            <w:pPr>
              <w:spacing w:line="240" w:lineRule="auto"/>
              <w:ind w:firstLine="0"/>
              <w:jc w:val="left"/>
              <w:rPr>
                <w:rFonts w:ascii="Times New Roman" w:eastAsia="Times New Roman" w:hAnsi="Times New Roman" w:cs="Times New Roman"/>
                <w:sz w:val="22"/>
                <w:lang w:eastAsia="ru-RU"/>
              </w:rPr>
            </w:pPr>
          </w:p>
        </w:tc>
        <w:tc>
          <w:tcPr>
            <w:tcW w:w="3417" w:type="dxa"/>
            <w:tcBorders>
              <w:top w:val="nil"/>
              <w:left w:val="nil"/>
              <w:bottom w:val="single" w:sz="8" w:space="0" w:color="000000"/>
              <w:right w:val="single" w:sz="8" w:space="0" w:color="000000"/>
            </w:tcBorders>
            <w:vAlign w:val="center"/>
            <w:hideMark/>
          </w:tcPr>
          <w:p w14:paraId="0A5CBA59" w14:textId="4E89B2E9" w:rsidR="000B6128" w:rsidRPr="00731FE2" w:rsidRDefault="000B6128" w:rsidP="000B6128">
            <w:pPr>
              <w:spacing w:line="240" w:lineRule="auto"/>
              <w:ind w:firstLine="0"/>
              <w:rPr>
                <w:rFonts w:ascii="Times New Roman" w:eastAsia="Times New Roman" w:hAnsi="Times New Roman" w:cs="Times New Roman"/>
                <w:sz w:val="22"/>
                <w:lang w:eastAsia="ru-RU"/>
              </w:rPr>
            </w:pPr>
            <w:r w:rsidRPr="00731FE2">
              <w:rPr>
                <w:rFonts w:ascii="Times New Roman" w:hAnsi="Times New Roman" w:cs="Times New Roman"/>
                <w:b/>
                <w:bCs/>
                <w:color w:val="000000"/>
                <w:sz w:val="22"/>
              </w:rPr>
              <w:t>Общая площадь функциональных зон (в границах п. Правоберёзовского)</w:t>
            </w:r>
          </w:p>
        </w:tc>
        <w:tc>
          <w:tcPr>
            <w:tcW w:w="1525" w:type="dxa"/>
            <w:tcBorders>
              <w:top w:val="nil"/>
              <w:left w:val="nil"/>
              <w:bottom w:val="single" w:sz="8" w:space="0" w:color="000000"/>
              <w:right w:val="single" w:sz="8" w:space="0" w:color="000000"/>
            </w:tcBorders>
            <w:vAlign w:val="center"/>
            <w:hideMark/>
          </w:tcPr>
          <w:p w14:paraId="22659750" w14:textId="31CAEBB9"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hAnsi="Times New Roman" w:cs="Times New Roman"/>
                <w:b/>
                <w:bCs/>
                <w:color w:val="000000"/>
                <w:sz w:val="22"/>
              </w:rPr>
              <w:t>га</w:t>
            </w:r>
          </w:p>
        </w:tc>
        <w:tc>
          <w:tcPr>
            <w:tcW w:w="1766" w:type="dxa"/>
            <w:tcBorders>
              <w:top w:val="nil"/>
              <w:left w:val="nil"/>
              <w:bottom w:val="single" w:sz="8" w:space="0" w:color="000000"/>
              <w:right w:val="single" w:sz="8" w:space="0" w:color="000000"/>
            </w:tcBorders>
            <w:vAlign w:val="center"/>
            <w:hideMark/>
          </w:tcPr>
          <w:p w14:paraId="2E6AADA2" w14:textId="3844EC80"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hAnsi="Times New Roman" w:cs="Times New Roman"/>
                <w:b/>
                <w:bCs/>
                <w:color w:val="000000"/>
                <w:sz w:val="22"/>
              </w:rPr>
              <w:t>74,94</w:t>
            </w:r>
          </w:p>
        </w:tc>
        <w:tc>
          <w:tcPr>
            <w:tcW w:w="1766" w:type="dxa"/>
            <w:tcBorders>
              <w:top w:val="nil"/>
              <w:left w:val="nil"/>
              <w:bottom w:val="single" w:sz="8" w:space="0" w:color="000000"/>
              <w:right w:val="single" w:sz="8" w:space="0" w:color="000000"/>
            </w:tcBorders>
            <w:vAlign w:val="center"/>
            <w:hideMark/>
          </w:tcPr>
          <w:p w14:paraId="4D93E3F6" w14:textId="5CE3FCA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hAnsi="Times New Roman" w:cs="Times New Roman"/>
                <w:b/>
                <w:bCs/>
                <w:color w:val="000000"/>
                <w:sz w:val="22"/>
              </w:rPr>
              <w:t>74,94</w:t>
            </w:r>
          </w:p>
        </w:tc>
      </w:tr>
      <w:tr w:rsidR="000B6128" w:rsidRPr="00731FE2" w14:paraId="0ADF644E" w14:textId="77777777" w:rsidTr="00FE28EA">
        <w:trPr>
          <w:trHeight w:val="58"/>
          <w:tblCellSpacing w:w="0" w:type="dxa"/>
        </w:trPr>
        <w:tc>
          <w:tcPr>
            <w:tcW w:w="0" w:type="auto"/>
            <w:vMerge/>
            <w:tcBorders>
              <w:top w:val="nil"/>
              <w:left w:val="single" w:sz="8" w:space="0" w:color="000000"/>
              <w:bottom w:val="single" w:sz="8" w:space="0" w:color="000000"/>
              <w:right w:val="single" w:sz="8" w:space="0" w:color="000000"/>
            </w:tcBorders>
            <w:vAlign w:val="center"/>
            <w:hideMark/>
          </w:tcPr>
          <w:p w14:paraId="52A6518E" w14:textId="77777777" w:rsidR="000B6128" w:rsidRPr="00731FE2" w:rsidRDefault="000B6128" w:rsidP="000B6128">
            <w:pPr>
              <w:spacing w:line="240" w:lineRule="auto"/>
              <w:ind w:firstLine="0"/>
              <w:jc w:val="left"/>
              <w:rPr>
                <w:rFonts w:ascii="Times New Roman" w:eastAsia="Times New Roman" w:hAnsi="Times New Roman" w:cs="Times New Roman"/>
                <w:sz w:val="22"/>
                <w:lang w:eastAsia="ru-RU"/>
              </w:rPr>
            </w:pPr>
          </w:p>
        </w:tc>
        <w:tc>
          <w:tcPr>
            <w:tcW w:w="3417" w:type="dxa"/>
            <w:tcBorders>
              <w:top w:val="nil"/>
              <w:left w:val="nil"/>
              <w:bottom w:val="single" w:sz="8" w:space="0" w:color="000000"/>
              <w:right w:val="single" w:sz="8" w:space="0" w:color="000000"/>
            </w:tcBorders>
            <w:vAlign w:val="center"/>
            <w:hideMark/>
          </w:tcPr>
          <w:p w14:paraId="51938941" w14:textId="5E2C267F" w:rsidR="000B6128" w:rsidRPr="00731FE2" w:rsidRDefault="000B6128" w:rsidP="000B6128">
            <w:pPr>
              <w:spacing w:line="240" w:lineRule="auto"/>
              <w:ind w:firstLine="0"/>
              <w:rPr>
                <w:rFonts w:ascii="Times New Roman" w:eastAsia="Times New Roman" w:hAnsi="Times New Roman" w:cs="Times New Roman"/>
                <w:sz w:val="22"/>
                <w:lang w:eastAsia="ru-RU"/>
              </w:rPr>
            </w:pPr>
            <w:r w:rsidRPr="00731FE2">
              <w:rPr>
                <w:rFonts w:ascii="Times New Roman" w:hAnsi="Times New Roman" w:cs="Times New Roman"/>
                <w:b/>
                <w:bCs/>
                <w:color w:val="000000"/>
                <w:sz w:val="22"/>
              </w:rPr>
              <w:t xml:space="preserve">Жилые зоны, </w:t>
            </w:r>
            <w:r w:rsidRPr="00731FE2">
              <w:rPr>
                <w:rFonts w:ascii="Times New Roman" w:hAnsi="Times New Roman" w:cs="Times New Roman"/>
                <w:color w:val="000000"/>
                <w:sz w:val="22"/>
              </w:rPr>
              <w:t>в том числе:</w:t>
            </w:r>
          </w:p>
        </w:tc>
        <w:tc>
          <w:tcPr>
            <w:tcW w:w="1525" w:type="dxa"/>
            <w:tcBorders>
              <w:top w:val="nil"/>
              <w:left w:val="nil"/>
              <w:bottom w:val="single" w:sz="8" w:space="0" w:color="000000"/>
              <w:right w:val="single" w:sz="8" w:space="0" w:color="000000"/>
            </w:tcBorders>
            <w:vAlign w:val="center"/>
            <w:hideMark/>
          </w:tcPr>
          <w:p w14:paraId="24056632" w14:textId="16464014"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hAnsi="Times New Roman" w:cs="Times New Roman"/>
                <w:b/>
                <w:bCs/>
                <w:color w:val="000000"/>
                <w:sz w:val="22"/>
              </w:rPr>
              <w:t>га</w:t>
            </w:r>
          </w:p>
        </w:tc>
        <w:tc>
          <w:tcPr>
            <w:tcW w:w="1766" w:type="dxa"/>
            <w:tcBorders>
              <w:top w:val="nil"/>
              <w:left w:val="nil"/>
              <w:bottom w:val="single" w:sz="8" w:space="0" w:color="000000"/>
              <w:right w:val="single" w:sz="8" w:space="0" w:color="000000"/>
            </w:tcBorders>
            <w:vAlign w:val="center"/>
            <w:hideMark/>
          </w:tcPr>
          <w:p w14:paraId="7E2E4EFF" w14:textId="5FED6678"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hAnsi="Times New Roman" w:cs="Times New Roman"/>
                <w:b/>
                <w:bCs/>
                <w:color w:val="000000"/>
                <w:sz w:val="22"/>
              </w:rPr>
              <w:t>48,64</w:t>
            </w:r>
          </w:p>
        </w:tc>
        <w:tc>
          <w:tcPr>
            <w:tcW w:w="1766" w:type="dxa"/>
            <w:tcBorders>
              <w:top w:val="nil"/>
              <w:left w:val="nil"/>
              <w:bottom w:val="single" w:sz="8" w:space="0" w:color="000000"/>
              <w:right w:val="single" w:sz="8" w:space="0" w:color="000000"/>
            </w:tcBorders>
            <w:vAlign w:val="center"/>
            <w:hideMark/>
          </w:tcPr>
          <w:p w14:paraId="51998DBD" w14:textId="399EDF9E"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hAnsi="Times New Roman" w:cs="Times New Roman"/>
                <w:b/>
                <w:bCs/>
                <w:color w:val="000000"/>
                <w:sz w:val="22"/>
              </w:rPr>
              <w:t>48,64</w:t>
            </w:r>
          </w:p>
        </w:tc>
      </w:tr>
      <w:tr w:rsidR="000B6128" w:rsidRPr="00731FE2" w14:paraId="484FEF46" w14:textId="77777777" w:rsidTr="00FE28EA">
        <w:trPr>
          <w:trHeight w:val="58"/>
          <w:tblCellSpacing w:w="0" w:type="dxa"/>
        </w:trPr>
        <w:tc>
          <w:tcPr>
            <w:tcW w:w="0" w:type="auto"/>
            <w:vMerge/>
            <w:tcBorders>
              <w:top w:val="nil"/>
              <w:left w:val="single" w:sz="8" w:space="0" w:color="000000"/>
              <w:bottom w:val="single" w:sz="8" w:space="0" w:color="000000"/>
              <w:right w:val="single" w:sz="8" w:space="0" w:color="000000"/>
            </w:tcBorders>
            <w:vAlign w:val="center"/>
            <w:hideMark/>
          </w:tcPr>
          <w:p w14:paraId="3717B33E" w14:textId="77777777" w:rsidR="000B6128" w:rsidRPr="00731FE2" w:rsidRDefault="000B6128" w:rsidP="000B6128">
            <w:pPr>
              <w:spacing w:line="240" w:lineRule="auto"/>
              <w:ind w:firstLine="0"/>
              <w:jc w:val="left"/>
              <w:rPr>
                <w:rFonts w:ascii="Times New Roman" w:eastAsia="Times New Roman" w:hAnsi="Times New Roman" w:cs="Times New Roman"/>
                <w:sz w:val="22"/>
                <w:lang w:eastAsia="ru-RU"/>
              </w:rPr>
            </w:pPr>
          </w:p>
        </w:tc>
        <w:tc>
          <w:tcPr>
            <w:tcW w:w="3417" w:type="dxa"/>
            <w:tcBorders>
              <w:top w:val="nil"/>
              <w:left w:val="nil"/>
              <w:bottom w:val="single" w:sz="8" w:space="0" w:color="000000"/>
              <w:right w:val="single" w:sz="8" w:space="0" w:color="000000"/>
            </w:tcBorders>
            <w:vAlign w:val="center"/>
            <w:hideMark/>
          </w:tcPr>
          <w:p w14:paraId="23442020" w14:textId="4A18F69C" w:rsidR="000B6128" w:rsidRPr="00731FE2" w:rsidRDefault="000B6128" w:rsidP="000B6128">
            <w:pPr>
              <w:spacing w:line="240" w:lineRule="auto"/>
              <w:ind w:firstLine="0"/>
              <w:rPr>
                <w:rFonts w:ascii="Times New Roman" w:eastAsia="Times New Roman" w:hAnsi="Times New Roman" w:cs="Times New Roman"/>
                <w:sz w:val="22"/>
                <w:lang w:eastAsia="ru-RU"/>
              </w:rPr>
            </w:pPr>
            <w:r w:rsidRPr="00731FE2">
              <w:rPr>
                <w:rFonts w:ascii="Times New Roman" w:hAnsi="Times New Roman" w:cs="Times New Roman"/>
                <w:color w:val="000000"/>
                <w:sz w:val="22"/>
              </w:rPr>
              <w:t>Зона застройки индивидуальными жилыми домами</w:t>
            </w:r>
          </w:p>
        </w:tc>
        <w:tc>
          <w:tcPr>
            <w:tcW w:w="1525" w:type="dxa"/>
            <w:tcBorders>
              <w:top w:val="nil"/>
              <w:left w:val="nil"/>
              <w:bottom w:val="single" w:sz="8" w:space="0" w:color="000000"/>
              <w:right w:val="single" w:sz="8" w:space="0" w:color="000000"/>
            </w:tcBorders>
            <w:vAlign w:val="center"/>
            <w:hideMark/>
          </w:tcPr>
          <w:p w14:paraId="079133DC" w14:textId="004D068A"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hAnsi="Times New Roman" w:cs="Times New Roman"/>
                <w:color w:val="000000"/>
                <w:sz w:val="22"/>
              </w:rPr>
              <w:t>га</w:t>
            </w:r>
          </w:p>
        </w:tc>
        <w:tc>
          <w:tcPr>
            <w:tcW w:w="1766" w:type="dxa"/>
            <w:tcBorders>
              <w:top w:val="nil"/>
              <w:left w:val="nil"/>
              <w:bottom w:val="single" w:sz="8" w:space="0" w:color="000000"/>
              <w:right w:val="single" w:sz="8" w:space="0" w:color="000000"/>
            </w:tcBorders>
            <w:vAlign w:val="center"/>
            <w:hideMark/>
          </w:tcPr>
          <w:p w14:paraId="687F364B" w14:textId="7B9587BE"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hAnsi="Times New Roman" w:cs="Times New Roman"/>
                <w:color w:val="000000"/>
                <w:sz w:val="22"/>
              </w:rPr>
              <w:t>48,64</w:t>
            </w:r>
          </w:p>
        </w:tc>
        <w:tc>
          <w:tcPr>
            <w:tcW w:w="1766" w:type="dxa"/>
            <w:tcBorders>
              <w:top w:val="nil"/>
              <w:left w:val="nil"/>
              <w:bottom w:val="single" w:sz="8" w:space="0" w:color="000000"/>
              <w:right w:val="single" w:sz="8" w:space="0" w:color="000000"/>
            </w:tcBorders>
            <w:vAlign w:val="center"/>
            <w:hideMark/>
          </w:tcPr>
          <w:p w14:paraId="7352BE00" w14:textId="46D27AF5"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hAnsi="Times New Roman" w:cs="Times New Roman"/>
                <w:color w:val="000000"/>
                <w:sz w:val="22"/>
              </w:rPr>
              <w:t>48,64</w:t>
            </w:r>
          </w:p>
        </w:tc>
      </w:tr>
      <w:tr w:rsidR="000B6128" w:rsidRPr="00731FE2" w14:paraId="134A76F8" w14:textId="77777777" w:rsidTr="00FE28EA">
        <w:trPr>
          <w:trHeight w:val="58"/>
          <w:tblCellSpacing w:w="0" w:type="dxa"/>
        </w:trPr>
        <w:tc>
          <w:tcPr>
            <w:tcW w:w="0" w:type="auto"/>
            <w:vMerge/>
            <w:tcBorders>
              <w:top w:val="nil"/>
              <w:left w:val="single" w:sz="8" w:space="0" w:color="000000"/>
              <w:bottom w:val="single" w:sz="8" w:space="0" w:color="000000"/>
              <w:right w:val="single" w:sz="8" w:space="0" w:color="000000"/>
            </w:tcBorders>
            <w:vAlign w:val="center"/>
            <w:hideMark/>
          </w:tcPr>
          <w:p w14:paraId="3D9B3236" w14:textId="77777777" w:rsidR="000B6128" w:rsidRPr="00731FE2" w:rsidRDefault="000B6128" w:rsidP="000B6128">
            <w:pPr>
              <w:spacing w:line="240" w:lineRule="auto"/>
              <w:ind w:firstLine="0"/>
              <w:jc w:val="left"/>
              <w:rPr>
                <w:rFonts w:ascii="Times New Roman" w:eastAsia="Times New Roman" w:hAnsi="Times New Roman" w:cs="Times New Roman"/>
                <w:sz w:val="22"/>
                <w:lang w:eastAsia="ru-RU"/>
              </w:rPr>
            </w:pPr>
          </w:p>
        </w:tc>
        <w:tc>
          <w:tcPr>
            <w:tcW w:w="3417" w:type="dxa"/>
            <w:tcBorders>
              <w:top w:val="nil"/>
              <w:left w:val="nil"/>
              <w:bottom w:val="single" w:sz="8" w:space="0" w:color="000000"/>
              <w:right w:val="single" w:sz="8" w:space="0" w:color="000000"/>
            </w:tcBorders>
            <w:vAlign w:val="center"/>
            <w:hideMark/>
          </w:tcPr>
          <w:p w14:paraId="05E21D09" w14:textId="5AA08422" w:rsidR="000B6128" w:rsidRPr="00731FE2" w:rsidRDefault="000B6128" w:rsidP="000B6128">
            <w:pPr>
              <w:spacing w:line="240" w:lineRule="auto"/>
              <w:ind w:firstLine="0"/>
              <w:rPr>
                <w:rFonts w:ascii="Times New Roman" w:eastAsia="Times New Roman" w:hAnsi="Times New Roman" w:cs="Times New Roman"/>
                <w:sz w:val="22"/>
                <w:lang w:eastAsia="ru-RU"/>
              </w:rPr>
            </w:pPr>
            <w:r w:rsidRPr="00731FE2">
              <w:rPr>
                <w:rFonts w:ascii="Times New Roman" w:hAnsi="Times New Roman" w:cs="Times New Roman"/>
                <w:b/>
                <w:bCs/>
                <w:color w:val="000000"/>
                <w:sz w:val="22"/>
              </w:rPr>
              <w:t xml:space="preserve">Зоны производственного, инженерного и транспортного использования, </w:t>
            </w:r>
            <w:r w:rsidRPr="00731FE2">
              <w:rPr>
                <w:rFonts w:ascii="Times New Roman" w:hAnsi="Times New Roman" w:cs="Times New Roman"/>
                <w:color w:val="000000"/>
                <w:sz w:val="22"/>
              </w:rPr>
              <w:t>в том числе:</w:t>
            </w:r>
          </w:p>
        </w:tc>
        <w:tc>
          <w:tcPr>
            <w:tcW w:w="1525" w:type="dxa"/>
            <w:tcBorders>
              <w:top w:val="nil"/>
              <w:left w:val="nil"/>
              <w:bottom w:val="single" w:sz="8" w:space="0" w:color="000000"/>
              <w:right w:val="single" w:sz="8" w:space="0" w:color="000000"/>
            </w:tcBorders>
            <w:vAlign w:val="center"/>
            <w:hideMark/>
          </w:tcPr>
          <w:p w14:paraId="4E808676" w14:textId="43567110"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hAnsi="Times New Roman" w:cs="Times New Roman"/>
                <w:b/>
                <w:bCs/>
                <w:color w:val="000000"/>
                <w:sz w:val="22"/>
              </w:rPr>
              <w:t>га</w:t>
            </w:r>
          </w:p>
        </w:tc>
        <w:tc>
          <w:tcPr>
            <w:tcW w:w="1766" w:type="dxa"/>
            <w:tcBorders>
              <w:top w:val="nil"/>
              <w:left w:val="nil"/>
              <w:bottom w:val="single" w:sz="8" w:space="0" w:color="000000"/>
              <w:right w:val="single" w:sz="8" w:space="0" w:color="000000"/>
            </w:tcBorders>
            <w:vAlign w:val="center"/>
            <w:hideMark/>
          </w:tcPr>
          <w:p w14:paraId="33B32C71" w14:textId="32D10EC8"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hAnsi="Times New Roman" w:cs="Times New Roman"/>
                <w:b/>
                <w:bCs/>
                <w:color w:val="000000"/>
                <w:sz w:val="22"/>
              </w:rPr>
              <w:t>2,70</w:t>
            </w:r>
          </w:p>
        </w:tc>
        <w:tc>
          <w:tcPr>
            <w:tcW w:w="1766" w:type="dxa"/>
            <w:tcBorders>
              <w:top w:val="nil"/>
              <w:left w:val="nil"/>
              <w:bottom w:val="single" w:sz="8" w:space="0" w:color="000000"/>
              <w:right w:val="single" w:sz="8" w:space="0" w:color="000000"/>
            </w:tcBorders>
            <w:vAlign w:val="center"/>
            <w:hideMark/>
          </w:tcPr>
          <w:p w14:paraId="7BBCC124" w14:textId="00B3AB96"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hAnsi="Times New Roman" w:cs="Times New Roman"/>
                <w:b/>
                <w:bCs/>
                <w:color w:val="000000"/>
                <w:sz w:val="22"/>
              </w:rPr>
              <w:t>2,70</w:t>
            </w:r>
          </w:p>
        </w:tc>
      </w:tr>
      <w:tr w:rsidR="000B6128" w:rsidRPr="00731FE2" w14:paraId="0E1EE9F5" w14:textId="77777777" w:rsidTr="00FE28EA">
        <w:trPr>
          <w:trHeight w:val="58"/>
          <w:tblCellSpacing w:w="0" w:type="dxa"/>
        </w:trPr>
        <w:tc>
          <w:tcPr>
            <w:tcW w:w="0" w:type="auto"/>
            <w:vMerge/>
            <w:tcBorders>
              <w:top w:val="nil"/>
              <w:left w:val="single" w:sz="8" w:space="0" w:color="000000"/>
              <w:bottom w:val="single" w:sz="8" w:space="0" w:color="000000"/>
              <w:right w:val="single" w:sz="8" w:space="0" w:color="000000"/>
            </w:tcBorders>
            <w:vAlign w:val="center"/>
            <w:hideMark/>
          </w:tcPr>
          <w:p w14:paraId="2AC2C95C" w14:textId="77777777" w:rsidR="000B6128" w:rsidRPr="00731FE2" w:rsidRDefault="000B6128" w:rsidP="000B6128">
            <w:pPr>
              <w:spacing w:line="240" w:lineRule="auto"/>
              <w:ind w:firstLine="0"/>
              <w:jc w:val="left"/>
              <w:rPr>
                <w:rFonts w:ascii="Times New Roman" w:eastAsia="Times New Roman" w:hAnsi="Times New Roman" w:cs="Times New Roman"/>
                <w:sz w:val="22"/>
                <w:lang w:eastAsia="ru-RU"/>
              </w:rPr>
            </w:pPr>
          </w:p>
        </w:tc>
        <w:tc>
          <w:tcPr>
            <w:tcW w:w="3417" w:type="dxa"/>
            <w:tcBorders>
              <w:top w:val="nil"/>
              <w:left w:val="nil"/>
              <w:bottom w:val="single" w:sz="8" w:space="0" w:color="000000"/>
              <w:right w:val="single" w:sz="8" w:space="0" w:color="000000"/>
            </w:tcBorders>
            <w:vAlign w:val="center"/>
            <w:hideMark/>
          </w:tcPr>
          <w:p w14:paraId="0DB389EB" w14:textId="7528CC96" w:rsidR="000B6128" w:rsidRPr="00731FE2" w:rsidRDefault="000B6128" w:rsidP="000B6128">
            <w:pPr>
              <w:spacing w:line="240" w:lineRule="auto"/>
              <w:ind w:firstLine="0"/>
              <w:rPr>
                <w:rFonts w:ascii="Times New Roman" w:eastAsia="Times New Roman" w:hAnsi="Times New Roman" w:cs="Times New Roman"/>
                <w:sz w:val="22"/>
                <w:lang w:eastAsia="ru-RU"/>
              </w:rPr>
            </w:pPr>
            <w:r w:rsidRPr="00731FE2">
              <w:rPr>
                <w:rFonts w:ascii="Times New Roman" w:hAnsi="Times New Roman" w:cs="Times New Roman"/>
                <w:color w:val="000000"/>
                <w:sz w:val="22"/>
              </w:rPr>
              <w:t>Зона транспортной инфраструктуры</w:t>
            </w:r>
          </w:p>
        </w:tc>
        <w:tc>
          <w:tcPr>
            <w:tcW w:w="1525" w:type="dxa"/>
            <w:tcBorders>
              <w:top w:val="nil"/>
              <w:left w:val="nil"/>
              <w:bottom w:val="single" w:sz="8" w:space="0" w:color="000000"/>
              <w:right w:val="single" w:sz="8" w:space="0" w:color="000000"/>
            </w:tcBorders>
            <w:vAlign w:val="center"/>
            <w:hideMark/>
          </w:tcPr>
          <w:p w14:paraId="3BBEB864" w14:textId="086547FD"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hAnsi="Times New Roman" w:cs="Times New Roman"/>
                <w:color w:val="000000"/>
                <w:sz w:val="22"/>
              </w:rPr>
              <w:t>га</w:t>
            </w:r>
          </w:p>
        </w:tc>
        <w:tc>
          <w:tcPr>
            <w:tcW w:w="1766" w:type="dxa"/>
            <w:tcBorders>
              <w:top w:val="nil"/>
              <w:left w:val="nil"/>
              <w:bottom w:val="single" w:sz="8" w:space="0" w:color="000000"/>
              <w:right w:val="single" w:sz="8" w:space="0" w:color="000000"/>
            </w:tcBorders>
            <w:vAlign w:val="center"/>
            <w:hideMark/>
          </w:tcPr>
          <w:p w14:paraId="1EB49AC3" w14:textId="55D08EBB"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hAnsi="Times New Roman" w:cs="Times New Roman"/>
                <w:color w:val="000000"/>
                <w:sz w:val="22"/>
              </w:rPr>
              <w:t>2,70</w:t>
            </w:r>
          </w:p>
        </w:tc>
        <w:tc>
          <w:tcPr>
            <w:tcW w:w="1766" w:type="dxa"/>
            <w:tcBorders>
              <w:top w:val="nil"/>
              <w:left w:val="nil"/>
              <w:bottom w:val="single" w:sz="8" w:space="0" w:color="000000"/>
              <w:right w:val="single" w:sz="8" w:space="0" w:color="000000"/>
            </w:tcBorders>
            <w:vAlign w:val="center"/>
            <w:hideMark/>
          </w:tcPr>
          <w:p w14:paraId="11A1FACB" w14:textId="570ECEF4"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hAnsi="Times New Roman" w:cs="Times New Roman"/>
                <w:color w:val="000000"/>
                <w:sz w:val="22"/>
              </w:rPr>
              <w:t>2,70</w:t>
            </w:r>
          </w:p>
        </w:tc>
      </w:tr>
      <w:tr w:rsidR="000B6128" w:rsidRPr="00731FE2" w14:paraId="4C9717D4" w14:textId="77777777" w:rsidTr="00FE28EA">
        <w:trPr>
          <w:trHeight w:val="58"/>
          <w:tblCellSpacing w:w="0" w:type="dxa"/>
        </w:trPr>
        <w:tc>
          <w:tcPr>
            <w:tcW w:w="0" w:type="auto"/>
            <w:vMerge/>
            <w:tcBorders>
              <w:top w:val="nil"/>
              <w:left w:val="single" w:sz="8" w:space="0" w:color="000000"/>
              <w:bottom w:val="single" w:sz="8" w:space="0" w:color="000000"/>
              <w:right w:val="single" w:sz="8" w:space="0" w:color="000000"/>
            </w:tcBorders>
            <w:vAlign w:val="center"/>
            <w:hideMark/>
          </w:tcPr>
          <w:p w14:paraId="530215EC" w14:textId="77777777" w:rsidR="000B6128" w:rsidRPr="00731FE2" w:rsidRDefault="000B6128" w:rsidP="000B6128">
            <w:pPr>
              <w:spacing w:line="240" w:lineRule="auto"/>
              <w:ind w:firstLine="0"/>
              <w:jc w:val="left"/>
              <w:rPr>
                <w:rFonts w:ascii="Times New Roman" w:eastAsia="Times New Roman" w:hAnsi="Times New Roman" w:cs="Times New Roman"/>
                <w:sz w:val="22"/>
                <w:lang w:eastAsia="ru-RU"/>
              </w:rPr>
            </w:pPr>
          </w:p>
        </w:tc>
        <w:tc>
          <w:tcPr>
            <w:tcW w:w="3417" w:type="dxa"/>
            <w:tcBorders>
              <w:top w:val="nil"/>
              <w:left w:val="nil"/>
              <w:bottom w:val="single" w:sz="8" w:space="0" w:color="000000"/>
              <w:right w:val="single" w:sz="8" w:space="0" w:color="000000"/>
            </w:tcBorders>
            <w:vAlign w:val="center"/>
            <w:hideMark/>
          </w:tcPr>
          <w:p w14:paraId="120FE83D" w14:textId="4C762100" w:rsidR="000B6128" w:rsidRPr="00731FE2" w:rsidRDefault="000B6128" w:rsidP="000B6128">
            <w:pPr>
              <w:spacing w:line="240" w:lineRule="auto"/>
              <w:ind w:firstLine="0"/>
              <w:rPr>
                <w:rFonts w:ascii="Times New Roman" w:eastAsia="Times New Roman" w:hAnsi="Times New Roman" w:cs="Times New Roman"/>
                <w:sz w:val="22"/>
                <w:lang w:eastAsia="ru-RU"/>
              </w:rPr>
            </w:pPr>
            <w:r w:rsidRPr="00731FE2">
              <w:rPr>
                <w:rFonts w:ascii="Times New Roman" w:hAnsi="Times New Roman" w:cs="Times New Roman"/>
                <w:b/>
                <w:bCs/>
                <w:color w:val="000000"/>
                <w:sz w:val="22"/>
              </w:rPr>
              <w:t>Зона рекреационного использования, в</w:t>
            </w:r>
            <w:r w:rsidRPr="00731FE2">
              <w:rPr>
                <w:rFonts w:ascii="Times New Roman" w:hAnsi="Times New Roman" w:cs="Times New Roman"/>
                <w:color w:val="000000"/>
                <w:sz w:val="22"/>
              </w:rPr>
              <w:t xml:space="preserve"> том числе:</w:t>
            </w:r>
          </w:p>
        </w:tc>
        <w:tc>
          <w:tcPr>
            <w:tcW w:w="1525" w:type="dxa"/>
            <w:tcBorders>
              <w:top w:val="nil"/>
              <w:left w:val="nil"/>
              <w:bottom w:val="single" w:sz="8" w:space="0" w:color="000000"/>
              <w:right w:val="single" w:sz="8" w:space="0" w:color="000000"/>
            </w:tcBorders>
            <w:vAlign w:val="center"/>
            <w:hideMark/>
          </w:tcPr>
          <w:p w14:paraId="074D160D" w14:textId="3832E4DC"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hAnsi="Times New Roman" w:cs="Times New Roman"/>
                <w:b/>
                <w:bCs/>
                <w:color w:val="000000"/>
                <w:sz w:val="22"/>
              </w:rPr>
              <w:t>га</w:t>
            </w:r>
          </w:p>
        </w:tc>
        <w:tc>
          <w:tcPr>
            <w:tcW w:w="1766" w:type="dxa"/>
            <w:tcBorders>
              <w:top w:val="nil"/>
              <w:left w:val="nil"/>
              <w:bottom w:val="single" w:sz="8" w:space="0" w:color="000000"/>
              <w:right w:val="single" w:sz="8" w:space="0" w:color="000000"/>
            </w:tcBorders>
            <w:vAlign w:val="center"/>
            <w:hideMark/>
          </w:tcPr>
          <w:p w14:paraId="33539271" w14:textId="1606FC8D"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hAnsi="Times New Roman" w:cs="Times New Roman"/>
                <w:b/>
                <w:bCs/>
                <w:color w:val="000000"/>
                <w:sz w:val="22"/>
              </w:rPr>
              <w:t>23,60</w:t>
            </w:r>
          </w:p>
        </w:tc>
        <w:tc>
          <w:tcPr>
            <w:tcW w:w="1766" w:type="dxa"/>
            <w:tcBorders>
              <w:top w:val="nil"/>
              <w:left w:val="nil"/>
              <w:bottom w:val="single" w:sz="8" w:space="0" w:color="000000"/>
              <w:right w:val="single" w:sz="8" w:space="0" w:color="000000"/>
            </w:tcBorders>
            <w:vAlign w:val="center"/>
            <w:hideMark/>
          </w:tcPr>
          <w:p w14:paraId="2825C8DA" w14:textId="72914EC9"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hAnsi="Times New Roman" w:cs="Times New Roman"/>
                <w:b/>
                <w:bCs/>
                <w:color w:val="000000"/>
                <w:sz w:val="22"/>
              </w:rPr>
              <w:t>23,60</w:t>
            </w:r>
          </w:p>
        </w:tc>
      </w:tr>
      <w:tr w:rsidR="000B6128" w:rsidRPr="00731FE2" w14:paraId="6B30BC4D" w14:textId="77777777" w:rsidTr="00FE28EA">
        <w:trPr>
          <w:trHeight w:val="58"/>
          <w:tblCellSpacing w:w="0" w:type="dxa"/>
        </w:trPr>
        <w:tc>
          <w:tcPr>
            <w:tcW w:w="0" w:type="auto"/>
            <w:vMerge/>
            <w:tcBorders>
              <w:top w:val="nil"/>
              <w:left w:val="single" w:sz="8" w:space="0" w:color="000000"/>
              <w:bottom w:val="single" w:sz="8" w:space="0" w:color="000000"/>
              <w:right w:val="single" w:sz="8" w:space="0" w:color="000000"/>
            </w:tcBorders>
            <w:vAlign w:val="center"/>
            <w:hideMark/>
          </w:tcPr>
          <w:p w14:paraId="5B7A088A" w14:textId="77777777" w:rsidR="000B6128" w:rsidRPr="00731FE2" w:rsidRDefault="000B6128" w:rsidP="000B6128">
            <w:pPr>
              <w:spacing w:line="240" w:lineRule="auto"/>
              <w:ind w:firstLine="0"/>
              <w:jc w:val="left"/>
              <w:rPr>
                <w:rFonts w:ascii="Times New Roman" w:eastAsia="Times New Roman" w:hAnsi="Times New Roman" w:cs="Times New Roman"/>
                <w:sz w:val="22"/>
                <w:lang w:eastAsia="ru-RU"/>
              </w:rPr>
            </w:pPr>
          </w:p>
        </w:tc>
        <w:tc>
          <w:tcPr>
            <w:tcW w:w="3417" w:type="dxa"/>
            <w:tcBorders>
              <w:top w:val="nil"/>
              <w:left w:val="nil"/>
              <w:bottom w:val="single" w:sz="8" w:space="0" w:color="000000"/>
              <w:right w:val="single" w:sz="8" w:space="0" w:color="000000"/>
            </w:tcBorders>
            <w:vAlign w:val="center"/>
            <w:hideMark/>
          </w:tcPr>
          <w:p w14:paraId="73A67EE1" w14:textId="4962875B" w:rsidR="000B6128" w:rsidRPr="00731FE2" w:rsidRDefault="000B6128" w:rsidP="000B6128">
            <w:pPr>
              <w:spacing w:line="240" w:lineRule="auto"/>
              <w:ind w:firstLine="0"/>
              <w:rPr>
                <w:rFonts w:ascii="Times New Roman" w:eastAsia="Times New Roman" w:hAnsi="Times New Roman" w:cs="Times New Roman"/>
                <w:sz w:val="22"/>
                <w:lang w:eastAsia="ru-RU"/>
              </w:rPr>
            </w:pPr>
            <w:r w:rsidRPr="00731FE2">
              <w:rPr>
                <w:rFonts w:ascii="Times New Roman" w:hAnsi="Times New Roman" w:cs="Times New Roman"/>
                <w:color w:val="000000"/>
                <w:sz w:val="22"/>
              </w:rPr>
              <w:t>Зона рекреационного назначения</w:t>
            </w:r>
          </w:p>
        </w:tc>
        <w:tc>
          <w:tcPr>
            <w:tcW w:w="1525" w:type="dxa"/>
            <w:tcBorders>
              <w:top w:val="nil"/>
              <w:left w:val="nil"/>
              <w:bottom w:val="single" w:sz="8" w:space="0" w:color="000000"/>
              <w:right w:val="single" w:sz="8" w:space="0" w:color="000000"/>
            </w:tcBorders>
            <w:vAlign w:val="center"/>
            <w:hideMark/>
          </w:tcPr>
          <w:p w14:paraId="555E7B64" w14:textId="7717F5E8"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hAnsi="Times New Roman" w:cs="Times New Roman"/>
                <w:color w:val="000000"/>
                <w:sz w:val="22"/>
              </w:rPr>
              <w:t>га</w:t>
            </w:r>
          </w:p>
        </w:tc>
        <w:tc>
          <w:tcPr>
            <w:tcW w:w="1766" w:type="dxa"/>
            <w:tcBorders>
              <w:top w:val="nil"/>
              <w:left w:val="nil"/>
              <w:bottom w:val="single" w:sz="8" w:space="0" w:color="000000"/>
              <w:right w:val="single" w:sz="8" w:space="0" w:color="000000"/>
            </w:tcBorders>
            <w:vAlign w:val="center"/>
            <w:hideMark/>
          </w:tcPr>
          <w:p w14:paraId="24B09CB2" w14:textId="0BB88076"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hAnsi="Times New Roman" w:cs="Times New Roman"/>
                <w:color w:val="000000"/>
                <w:sz w:val="22"/>
              </w:rPr>
              <w:t>23,60</w:t>
            </w:r>
          </w:p>
        </w:tc>
        <w:tc>
          <w:tcPr>
            <w:tcW w:w="1766" w:type="dxa"/>
            <w:tcBorders>
              <w:top w:val="nil"/>
              <w:left w:val="nil"/>
              <w:bottom w:val="single" w:sz="8" w:space="0" w:color="000000"/>
              <w:right w:val="single" w:sz="8" w:space="0" w:color="000000"/>
            </w:tcBorders>
            <w:vAlign w:val="center"/>
            <w:hideMark/>
          </w:tcPr>
          <w:p w14:paraId="26782BB0" w14:textId="610F2705"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hAnsi="Times New Roman" w:cs="Times New Roman"/>
                <w:color w:val="000000"/>
                <w:sz w:val="22"/>
              </w:rPr>
              <w:t>23,60</w:t>
            </w:r>
          </w:p>
        </w:tc>
      </w:tr>
      <w:tr w:rsidR="000B6128" w:rsidRPr="00731FE2" w14:paraId="7AE3B913" w14:textId="77777777" w:rsidTr="00D154A0">
        <w:trPr>
          <w:trHeight w:val="70"/>
          <w:tblCellSpacing w:w="0" w:type="dxa"/>
        </w:trPr>
        <w:tc>
          <w:tcPr>
            <w:tcW w:w="9335" w:type="dxa"/>
            <w:gridSpan w:val="5"/>
            <w:tcBorders>
              <w:top w:val="nil"/>
              <w:left w:val="single" w:sz="8" w:space="0" w:color="000000"/>
              <w:bottom w:val="single" w:sz="8" w:space="0" w:color="000000"/>
              <w:right w:val="single" w:sz="8" w:space="0" w:color="000000"/>
            </w:tcBorders>
            <w:vAlign w:val="center"/>
            <w:hideMark/>
          </w:tcPr>
          <w:p w14:paraId="7D748A1F" w14:textId="7777777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b/>
                <w:bCs/>
                <w:color w:val="000000"/>
                <w:sz w:val="22"/>
                <w:lang w:eastAsia="ru-RU"/>
              </w:rPr>
              <w:t>2. Население</w:t>
            </w:r>
          </w:p>
        </w:tc>
      </w:tr>
      <w:tr w:rsidR="000B6128" w:rsidRPr="00731FE2" w14:paraId="0EF90345" w14:textId="77777777" w:rsidTr="00FE28EA">
        <w:trPr>
          <w:trHeight w:val="465"/>
          <w:tblCellSpacing w:w="0" w:type="dxa"/>
        </w:trPr>
        <w:tc>
          <w:tcPr>
            <w:tcW w:w="861" w:type="dxa"/>
            <w:tcBorders>
              <w:top w:val="nil"/>
              <w:left w:val="single" w:sz="8" w:space="0" w:color="000000"/>
              <w:bottom w:val="single" w:sz="8" w:space="0" w:color="000000"/>
              <w:right w:val="single" w:sz="8" w:space="0" w:color="000000"/>
            </w:tcBorders>
            <w:vAlign w:val="center"/>
            <w:hideMark/>
          </w:tcPr>
          <w:p w14:paraId="0D400AD0" w14:textId="7777777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2.1.</w:t>
            </w:r>
          </w:p>
        </w:tc>
        <w:tc>
          <w:tcPr>
            <w:tcW w:w="3417" w:type="dxa"/>
            <w:tcBorders>
              <w:top w:val="nil"/>
              <w:left w:val="nil"/>
              <w:bottom w:val="single" w:sz="8" w:space="0" w:color="000000"/>
              <w:right w:val="single" w:sz="8" w:space="0" w:color="000000"/>
            </w:tcBorders>
            <w:vAlign w:val="center"/>
            <w:hideMark/>
          </w:tcPr>
          <w:p w14:paraId="6CEB793E" w14:textId="6B141082" w:rsidR="000B6128" w:rsidRPr="00731FE2" w:rsidRDefault="000B6128" w:rsidP="000B6128">
            <w:pPr>
              <w:spacing w:line="240" w:lineRule="auto"/>
              <w:ind w:firstLine="0"/>
              <w:rPr>
                <w:rFonts w:ascii="Times New Roman" w:eastAsia="Times New Roman" w:hAnsi="Times New Roman" w:cs="Times New Roman"/>
                <w:color w:val="000000"/>
                <w:sz w:val="22"/>
                <w:lang w:eastAsia="ru-RU"/>
              </w:rPr>
            </w:pPr>
            <w:r w:rsidRPr="00731FE2">
              <w:rPr>
                <w:rFonts w:ascii="Times New Roman" w:eastAsia="Times New Roman" w:hAnsi="Times New Roman" w:cs="Times New Roman"/>
                <w:color w:val="000000"/>
                <w:sz w:val="22"/>
                <w:lang w:eastAsia="ru-RU"/>
              </w:rPr>
              <w:t>Численность постоянного населения</w:t>
            </w:r>
          </w:p>
        </w:tc>
        <w:tc>
          <w:tcPr>
            <w:tcW w:w="1525" w:type="dxa"/>
            <w:tcBorders>
              <w:top w:val="nil"/>
              <w:left w:val="nil"/>
              <w:bottom w:val="single" w:sz="8" w:space="0" w:color="000000"/>
              <w:right w:val="single" w:sz="8" w:space="0" w:color="000000"/>
            </w:tcBorders>
            <w:vAlign w:val="center"/>
            <w:hideMark/>
          </w:tcPr>
          <w:p w14:paraId="20973BC2" w14:textId="177AF237" w:rsidR="000B6128" w:rsidRPr="00731FE2" w:rsidRDefault="000B6128" w:rsidP="000B6128">
            <w:pPr>
              <w:spacing w:line="240" w:lineRule="auto"/>
              <w:ind w:firstLine="0"/>
              <w:jc w:val="center"/>
              <w:rPr>
                <w:rFonts w:ascii="Times New Roman" w:eastAsia="Times New Roman" w:hAnsi="Times New Roman" w:cs="Times New Roman"/>
                <w:color w:val="000000"/>
                <w:sz w:val="22"/>
                <w:lang w:eastAsia="ru-RU"/>
              </w:rPr>
            </w:pPr>
            <w:r w:rsidRPr="00731FE2">
              <w:rPr>
                <w:rFonts w:ascii="Times New Roman" w:eastAsia="Times New Roman" w:hAnsi="Times New Roman" w:cs="Times New Roman"/>
                <w:color w:val="000000"/>
                <w:sz w:val="22"/>
                <w:lang w:eastAsia="ru-RU"/>
              </w:rPr>
              <w:t>тыс. человек/%</w:t>
            </w:r>
          </w:p>
        </w:tc>
        <w:tc>
          <w:tcPr>
            <w:tcW w:w="1766" w:type="dxa"/>
            <w:tcBorders>
              <w:top w:val="nil"/>
              <w:left w:val="nil"/>
              <w:bottom w:val="single" w:sz="8" w:space="0" w:color="000000"/>
              <w:right w:val="single" w:sz="8" w:space="0" w:color="000000"/>
            </w:tcBorders>
            <w:vAlign w:val="center"/>
            <w:hideMark/>
          </w:tcPr>
          <w:p w14:paraId="64DC3B3F" w14:textId="518F13B5" w:rsidR="000B6128" w:rsidRPr="00731FE2" w:rsidRDefault="000B6128" w:rsidP="000B6128">
            <w:pPr>
              <w:spacing w:line="240" w:lineRule="auto"/>
              <w:ind w:firstLine="0"/>
              <w:jc w:val="center"/>
              <w:rPr>
                <w:rFonts w:ascii="Times New Roman" w:eastAsia="Times New Roman" w:hAnsi="Times New Roman" w:cs="Times New Roman"/>
                <w:color w:val="000000"/>
                <w:sz w:val="22"/>
                <w:lang w:eastAsia="ru-RU"/>
              </w:rPr>
            </w:pPr>
            <w:r w:rsidRPr="00731FE2">
              <w:rPr>
                <w:rFonts w:ascii="Times New Roman" w:eastAsia="Times New Roman" w:hAnsi="Times New Roman" w:cs="Times New Roman"/>
                <w:color w:val="000000"/>
                <w:sz w:val="22"/>
                <w:lang w:eastAsia="ru-RU"/>
              </w:rPr>
              <w:t>133,9 / 100</w:t>
            </w:r>
          </w:p>
        </w:tc>
        <w:tc>
          <w:tcPr>
            <w:tcW w:w="1766" w:type="dxa"/>
            <w:tcBorders>
              <w:top w:val="nil"/>
              <w:left w:val="nil"/>
              <w:bottom w:val="single" w:sz="8" w:space="0" w:color="000000"/>
              <w:right w:val="single" w:sz="8" w:space="0" w:color="000000"/>
            </w:tcBorders>
            <w:vAlign w:val="center"/>
            <w:hideMark/>
          </w:tcPr>
          <w:p w14:paraId="6FD9BB72" w14:textId="3FE1EE8B" w:rsidR="000B6128" w:rsidRPr="00731FE2" w:rsidRDefault="000B6128" w:rsidP="000B6128">
            <w:pPr>
              <w:spacing w:line="240" w:lineRule="auto"/>
              <w:ind w:firstLine="0"/>
              <w:jc w:val="center"/>
              <w:rPr>
                <w:rFonts w:ascii="Times New Roman" w:eastAsia="Times New Roman" w:hAnsi="Times New Roman" w:cs="Times New Roman"/>
                <w:color w:val="000000"/>
                <w:sz w:val="22"/>
                <w:lang w:eastAsia="ru-RU"/>
              </w:rPr>
            </w:pPr>
            <w:r w:rsidRPr="00731FE2">
              <w:rPr>
                <w:rFonts w:ascii="Times New Roman" w:eastAsia="Times New Roman" w:hAnsi="Times New Roman" w:cs="Times New Roman"/>
                <w:color w:val="000000"/>
                <w:sz w:val="22"/>
                <w:lang w:eastAsia="ru-RU"/>
              </w:rPr>
              <w:t>143,2 / 100</w:t>
            </w:r>
          </w:p>
        </w:tc>
      </w:tr>
      <w:tr w:rsidR="000B6128" w:rsidRPr="00731FE2" w14:paraId="235C983D" w14:textId="77777777" w:rsidTr="00FE28EA">
        <w:trPr>
          <w:trHeight w:val="465"/>
          <w:tblCellSpacing w:w="0" w:type="dxa"/>
        </w:trPr>
        <w:tc>
          <w:tcPr>
            <w:tcW w:w="861" w:type="dxa"/>
            <w:tcBorders>
              <w:top w:val="nil"/>
              <w:left w:val="single" w:sz="8" w:space="0" w:color="000000"/>
              <w:bottom w:val="single" w:sz="8" w:space="0" w:color="000000"/>
              <w:right w:val="single" w:sz="8" w:space="0" w:color="000000"/>
            </w:tcBorders>
            <w:vAlign w:val="center"/>
            <w:hideMark/>
          </w:tcPr>
          <w:p w14:paraId="01FF357A" w14:textId="7777777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2.2.</w:t>
            </w:r>
          </w:p>
        </w:tc>
        <w:tc>
          <w:tcPr>
            <w:tcW w:w="3417" w:type="dxa"/>
            <w:tcBorders>
              <w:top w:val="nil"/>
              <w:left w:val="nil"/>
              <w:bottom w:val="single" w:sz="8" w:space="0" w:color="000000"/>
              <w:right w:val="single" w:sz="8" w:space="0" w:color="000000"/>
            </w:tcBorders>
            <w:vAlign w:val="center"/>
            <w:hideMark/>
          </w:tcPr>
          <w:p w14:paraId="36B340C5" w14:textId="7F8E2E87" w:rsidR="000B6128" w:rsidRPr="00731FE2" w:rsidRDefault="000B6128" w:rsidP="000B6128">
            <w:pPr>
              <w:spacing w:line="240" w:lineRule="auto"/>
              <w:ind w:firstLine="0"/>
              <w:rPr>
                <w:rFonts w:ascii="Times New Roman" w:eastAsia="Times New Roman" w:hAnsi="Times New Roman" w:cs="Times New Roman"/>
                <w:color w:val="000000"/>
                <w:sz w:val="22"/>
                <w:lang w:eastAsia="ru-RU"/>
              </w:rPr>
            </w:pPr>
            <w:r w:rsidRPr="00731FE2">
              <w:rPr>
                <w:rFonts w:ascii="Times New Roman" w:eastAsia="Times New Roman" w:hAnsi="Times New Roman" w:cs="Times New Roman"/>
                <w:color w:val="000000"/>
                <w:sz w:val="22"/>
                <w:lang w:eastAsia="ru-RU"/>
              </w:rPr>
              <w:t>Возрастная структура населения:</w:t>
            </w:r>
          </w:p>
        </w:tc>
        <w:tc>
          <w:tcPr>
            <w:tcW w:w="1525" w:type="dxa"/>
            <w:tcBorders>
              <w:top w:val="nil"/>
              <w:left w:val="nil"/>
              <w:bottom w:val="single" w:sz="8" w:space="0" w:color="000000"/>
              <w:right w:val="single" w:sz="8" w:space="0" w:color="000000"/>
            </w:tcBorders>
            <w:vAlign w:val="center"/>
            <w:hideMark/>
          </w:tcPr>
          <w:p w14:paraId="15C888EF" w14:textId="5318C47B" w:rsidR="000B6128" w:rsidRPr="00731FE2" w:rsidRDefault="000B6128" w:rsidP="000B6128">
            <w:pPr>
              <w:spacing w:line="240" w:lineRule="auto"/>
              <w:ind w:firstLine="0"/>
              <w:jc w:val="center"/>
              <w:rPr>
                <w:rFonts w:ascii="Times New Roman" w:eastAsia="Times New Roman" w:hAnsi="Times New Roman" w:cs="Times New Roman"/>
                <w:color w:val="000000"/>
                <w:sz w:val="22"/>
                <w:lang w:eastAsia="ru-RU"/>
              </w:rPr>
            </w:pPr>
          </w:p>
        </w:tc>
        <w:tc>
          <w:tcPr>
            <w:tcW w:w="1766" w:type="dxa"/>
            <w:tcBorders>
              <w:top w:val="nil"/>
              <w:left w:val="nil"/>
              <w:bottom w:val="single" w:sz="8" w:space="0" w:color="000000"/>
              <w:right w:val="single" w:sz="8" w:space="0" w:color="000000"/>
            </w:tcBorders>
            <w:vAlign w:val="center"/>
            <w:hideMark/>
          </w:tcPr>
          <w:p w14:paraId="4939E841" w14:textId="783673E7" w:rsidR="000B6128" w:rsidRPr="00731FE2" w:rsidRDefault="000B6128" w:rsidP="000B6128">
            <w:pPr>
              <w:spacing w:line="240" w:lineRule="auto"/>
              <w:ind w:firstLine="0"/>
              <w:jc w:val="center"/>
              <w:rPr>
                <w:rFonts w:ascii="Times New Roman" w:eastAsia="Times New Roman" w:hAnsi="Times New Roman" w:cs="Times New Roman"/>
                <w:color w:val="000000"/>
                <w:sz w:val="22"/>
                <w:lang w:eastAsia="ru-RU"/>
              </w:rPr>
            </w:pPr>
          </w:p>
        </w:tc>
        <w:tc>
          <w:tcPr>
            <w:tcW w:w="1766" w:type="dxa"/>
            <w:tcBorders>
              <w:top w:val="nil"/>
              <w:left w:val="nil"/>
              <w:bottom w:val="single" w:sz="8" w:space="0" w:color="000000"/>
              <w:right w:val="single" w:sz="8" w:space="0" w:color="000000"/>
            </w:tcBorders>
            <w:vAlign w:val="center"/>
            <w:hideMark/>
          </w:tcPr>
          <w:p w14:paraId="4D8FDEA1" w14:textId="5C096F9C" w:rsidR="000B6128" w:rsidRPr="00731FE2" w:rsidRDefault="000B6128" w:rsidP="000B6128">
            <w:pPr>
              <w:spacing w:line="240" w:lineRule="auto"/>
              <w:ind w:firstLine="0"/>
              <w:jc w:val="center"/>
              <w:rPr>
                <w:rFonts w:ascii="Times New Roman" w:eastAsia="Times New Roman" w:hAnsi="Times New Roman" w:cs="Times New Roman"/>
                <w:color w:val="000000"/>
                <w:sz w:val="22"/>
                <w:lang w:eastAsia="ru-RU"/>
              </w:rPr>
            </w:pPr>
          </w:p>
        </w:tc>
      </w:tr>
      <w:tr w:rsidR="000B6128" w:rsidRPr="00731FE2" w14:paraId="3105DFC5" w14:textId="77777777" w:rsidTr="00FE28EA">
        <w:trPr>
          <w:trHeight w:val="465"/>
          <w:tblCellSpacing w:w="0" w:type="dxa"/>
        </w:trPr>
        <w:tc>
          <w:tcPr>
            <w:tcW w:w="861" w:type="dxa"/>
            <w:tcBorders>
              <w:top w:val="nil"/>
              <w:left w:val="single" w:sz="8" w:space="0" w:color="000000"/>
              <w:bottom w:val="single" w:sz="8" w:space="0" w:color="000000"/>
              <w:right w:val="single" w:sz="8" w:space="0" w:color="000000"/>
            </w:tcBorders>
            <w:vAlign w:val="center"/>
            <w:hideMark/>
          </w:tcPr>
          <w:p w14:paraId="32491628" w14:textId="7777777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2.3.</w:t>
            </w:r>
          </w:p>
        </w:tc>
        <w:tc>
          <w:tcPr>
            <w:tcW w:w="3417" w:type="dxa"/>
            <w:tcBorders>
              <w:top w:val="nil"/>
              <w:left w:val="nil"/>
              <w:bottom w:val="single" w:sz="8" w:space="0" w:color="000000"/>
              <w:right w:val="single" w:sz="8" w:space="0" w:color="000000"/>
            </w:tcBorders>
            <w:vAlign w:val="center"/>
            <w:hideMark/>
          </w:tcPr>
          <w:p w14:paraId="38E3C6A3" w14:textId="5B622402" w:rsidR="000B6128" w:rsidRPr="00731FE2" w:rsidRDefault="000B6128" w:rsidP="000B6128">
            <w:pPr>
              <w:spacing w:line="240" w:lineRule="auto"/>
              <w:ind w:firstLine="0"/>
              <w:rPr>
                <w:rFonts w:ascii="Times New Roman" w:eastAsia="Times New Roman" w:hAnsi="Times New Roman" w:cs="Times New Roman"/>
                <w:color w:val="000000"/>
                <w:sz w:val="22"/>
                <w:lang w:eastAsia="ru-RU"/>
              </w:rPr>
            </w:pPr>
            <w:r w:rsidRPr="00731FE2">
              <w:rPr>
                <w:rFonts w:ascii="Times New Roman" w:eastAsia="Times New Roman" w:hAnsi="Times New Roman" w:cs="Times New Roman"/>
                <w:color w:val="000000"/>
                <w:sz w:val="22"/>
                <w:lang w:eastAsia="ru-RU"/>
              </w:rPr>
              <w:t>дети до 15 лет</w:t>
            </w:r>
          </w:p>
        </w:tc>
        <w:tc>
          <w:tcPr>
            <w:tcW w:w="1525" w:type="dxa"/>
            <w:tcBorders>
              <w:top w:val="nil"/>
              <w:left w:val="nil"/>
              <w:bottom w:val="single" w:sz="8" w:space="0" w:color="000000"/>
              <w:right w:val="single" w:sz="8" w:space="0" w:color="000000"/>
            </w:tcBorders>
            <w:vAlign w:val="center"/>
            <w:hideMark/>
          </w:tcPr>
          <w:p w14:paraId="15482758" w14:textId="74D90B34" w:rsidR="000B6128" w:rsidRPr="00731FE2" w:rsidRDefault="000B6128" w:rsidP="000B6128">
            <w:pPr>
              <w:spacing w:line="240" w:lineRule="auto"/>
              <w:ind w:firstLine="0"/>
              <w:jc w:val="center"/>
              <w:rPr>
                <w:rFonts w:ascii="Times New Roman" w:eastAsia="Times New Roman" w:hAnsi="Times New Roman" w:cs="Times New Roman"/>
                <w:color w:val="000000"/>
                <w:sz w:val="22"/>
                <w:lang w:eastAsia="ru-RU"/>
              </w:rPr>
            </w:pPr>
            <w:r w:rsidRPr="00731FE2">
              <w:rPr>
                <w:rFonts w:ascii="Times New Roman" w:eastAsia="Times New Roman" w:hAnsi="Times New Roman" w:cs="Times New Roman"/>
                <w:color w:val="000000"/>
                <w:sz w:val="22"/>
                <w:lang w:eastAsia="ru-RU"/>
              </w:rPr>
              <w:t>тыс. человек/%</w:t>
            </w:r>
          </w:p>
        </w:tc>
        <w:tc>
          <w:tcPr>
            <w:tcW w:w="1766" w:type="dxa"/>
            <w:tcBorders>
              <w:top w:val="nil"/>
              <w:left w:val="nil"/>
              <w:bottom w:val="single" w:sz="8" w:space="0" w:color="000000"/>
              <w:right w:val="single" w:sz="8" w:space="0" w:color="000000"/>
            </w:tcBorders>
            <w:vAlign w:val="center"/>
            <w:hideMark/>
          </w:tcPr>
          <w:p w14:paraId="0C1A236E" w14:textId="38CD0684" w:rsidR="000B6128" w:rsidRPr="00731FE2" w:rsidRDefault="000B6128" w:rsidP="000B6128">
            <w:pPr>
              <w:spacing w:line="240" w:lineRule="auto"/>
              <w:ind w:firstLine="0"/>
              <w:jc w:val="center"/>
              <w:rPr>
                <w:rFonts w:ascii="Times New Roman" w:eastAsia="Times New Roman" w:hAnsi="Times New Roman" w:cs="Times New Roman"/>
                <w:color w:val="000000"/>
                <w:sz w:val="22"/>
                <w:lang w:eastAsia="ru-RU"/>
              </w:rPr>
            </w:pPr>
            <w:r w:rsidRPr="00731FE2">
              <w:rPr>
                <w:rFonts w:ascii="Times New Roman" w:eastAsia="Times New Roman" w:hAnsi="Times New Roman" w:cs="Times New Roman"/>
                <w:color w:val="000000"/>
                <w:sz w:val="22"/>
                <w:lang w:eastAsia="ru-RU"/>
              </w:rPr>
              <w:t>22,2 / 16,6</w:t>
            </w:r>
          </w:p>
        </w:tc>
        <w:tc>
          <w:tcPr>
            <w:tcW w:w="1766" w:type="dxa"/>
            <w:tcBorders>
              <w:top w:val="nil"/>
              <w:left w:val="nil"/>
              <w:bottom w:val="single" w:sz="8" w:space="0" w:color="000000"/>
              <w:right w:val="single" w:sz="8" w:space="0" w:color="000000"/>
            </w:tcBorders>
            <w:vAlign w:val="center"/>
            <w:hideMark/>
          </w:tcPr>
          <w:p w14:paraId="61CDD8DF" w14:textId="3FA3C14A" w:rsidR="000B6128" w:rsidRPr="00731FE2" w:rsidRDefault="000B6128" w:rsidP="000B6128">
            <w:pPr>
              <w:spacing w:line="240" w:lineRule="auto"/>
              <w:ind w:firstLine="0"/>
              <w:jc w:val="center"/>
              <w:rPr>
                <w:rFonts w:ascii="Times New Roman" w:eastAsia="Times New Roman" w:hAnsi="Times New Roman" w:cs="Times New Roman"/>
                <w:color w:val="000000"/>
                <w:sz w:val="22"/>
                <w:lang w:eastAsia="ru-RU"/>
              </w:rPr>
            </w:pPr>
            <w:r w:rsidRPr="00731FE2">
              <w:rPr>
                <w:rFonts w:ascii="Times New Roman" w:eastAsia="Times New Roman" w:hAnsi="Times New Roman" w:cs="Times New Roman"/>
                <w:color w:val="000000"/>
                <w:sz w:val="22"/>
                <w:lang w:eastAsia="ru-RU"/>
              </w:rPr>
              <w:t>18,9 / 13,2</w:t>
            </w:r>
          </w:p>
        </w:tc>
      </w:tr>
      <w:tr w:rsidR="000B6128" w:rsidRPr="00731FE2" w14:paraId="5C683571" w14:textId="77777777" w:rsidTr="00FE28EA">
        <w:trPr>
          <w:trHeight w:val="465"/>
          <w:tblCellSpacing w:w="0" w:type="dxa"/>
        </w:trPr>
        <w:tc>
          <w:tcPr>
            <w:tcW w:w="861" w:type="dxa"/>
            <w:tcBorders>
              <w:top w:val="nil"/>
              <w:left w:val="single" w:sz="8" w:space="0" w:color="000000"/>
              <w:bottom w:val="single" w:sz="8" w:space="0" w:color="000000"/>
              <w:right w:val="single" w:sz="8" w:space="0" w:color="000000"/>
            </w:tcBorders>
            <w:vAlign w:val="center"/>
            <w:hideMark/>
          </w:tcPr>
          <w:p w14:paraId="49664C9A" w14:textId="7777777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2.4</w:t>
            </w:r>
          </w:p>
        </w:tc>
        <w:tc>
          <w:tcPr>
            <w:tcW w:w="3417" w:type="dxa"/>
            <w:tcBorders>
              <w:top w:val="nil"/>
              <w:left w:val="nil"/>
              <w:bottom w:val="single" w:sz="8" w:space="0" w:color="000000"/>
              <w:right w:val="single" w:sz="8" w:space="0" w:color="000000"/>
            </w:tcBorders>
            <w:vAlign w:val="center"/>
            <w:hideMark/>
          </w:tcPr>
          <w:p w14:paraId="74958716" w14:textId="74773D30" w:rsidR="000B6128" w:rsidRPr="00731FE2" w:rsidRDefault="000B6128" w:rsidP="000B6128">
            <w:pPr>
              <w:spacing w:line="240" w:lineRule="auto"/>
              <w:ind w:firstLine="0"/>
              <w:rPr>
                <w:rFonts w:ascii="Times New Roman" w:eastAsia="Times New Roman" w:hAnsi="Times New Roman" w:cs="Times New Roman"/>
                <w:color w:val="000000"/>
                <w:sz w:val="22"/>
                <w:lang w:eastAsia="ru-RU"/>
              </w:rPr>
            </w:pPr>
            <w:r w:rsidRPr="00731FE2">
              <w:rPr>
                <w:rFonts w:ascii="Times New Roman" w:eastAsia="Times New Roman" w:hAnsi="Times New Roman" w:cs="Times New Roman"/>
                <w:color w:val="000000"/>
                <w:sz w:val="22"/>
                <w:lang w:eastAsia="ru-RU"/>
              </w:rPr>
              <w:t>население в трудоспособном возрасте (мужчины 15-64 лет, женщины 15-59 года)</w:t>
            </w:r>
          </w:p>
        </w:tc>
        <w:tc>
          <w:tcPr>
            <w:tcW w:w="1525" w:type="dxa"/>
            <w:tcBorders>
              <w:top w:val="nil"/>
              <w:left w:val="nil"/>
              <w:bottom w:val="single" w:sz="8" w:space="0" w:color="000000"/>
              <w:right w:val="single" w:sz="8" w:space="0" w:color="000000"/>
            </w:tcBorders>
            <w:vAlign w:val="center"/>
            <w:hideMark/>
          </w:tcPr>
          <w:p w14:paraId="276C3A59" w14:textId="49FEFBFE" w:rsidR="000B6128" w:rsidRPr="00731FE2" w:rsidRDefault="000B6128" w:rsidP="000B6128">
            <w:pPr>
              <w:spacing w:line="240" w:lineRule="auto"/>
              <w:ind w:firstLine="0"/>
              <w:jc w:val="center"/>
              <w:rPr>
                <w:rFonts w:ascii="Times New Roman" w:eastAsia="Times New Roman" w:hAnsi="Times New Roman" w:cs="Times New Roman"/>
                <w:color w:val="000000"/>
                <w:sz w:val="22"/>
                <w:lang w:eastAsia="ru-RU"/>
              </w:rPr>
            </w:pPr>
            <w:r w:rsidRPr="00731FE2">
              <w:rPr>
                <w:rFonts w:ascii="Times New Roman" w:eastAsia="Times New Roman" w:hAnsi="Times New Roman" w:cs="Times New Roman"/>
                <w:color w:val="000000"/>
                <w:sz w:val="22"/>
                <w:lang w:eastAsia="ru-RU"/>
              </w:rPr>
              <w:t>тыс. человек / %</w:t>
            </w:r>
          </w:p>
        </w:tc>
        <w:tc>
          <w:tcPr>
            <w:tcW w:w="1766" w:type="dxa"/>
            <w:tcBorders>
              <w:top w:val="nil"/>
              <w:left w:val="nil"/>
              <w:bottom w:val="single" w:sz="8" w:space="0" w:color="000000"/>
              <w:right w:val="single" w:sz="8" w:space="0" w:color="000000"/>
            </w:tcBorders>
            <w:vAlign w:val="center"/>
            <w:hideMark/>
          </w:tcPr>
          <w:p w14:paraId="7E073CC6" w14:textId="2835E610" w:rsidR="000B6128" w:rsidRPr="00731FE2" w:rsidRDefault="000B6128" w:rsidP="000B6128">
            <w:pPr>
              <w:spacing w:line="240" w:lineRule="auto"/>
              <w:ind w:firstLine="0"/>
              <w:jc w:val="center"/>
              <w:rPr>
                <w:rFonts w:ascii="Times New Roman" w:eastAsia="Times New Roman" w:hAnsi="Times New Roman" w:cs="Times New Roman"/>
                <w:color w:val="000000"/>
                <w:sz w:val="22"/>
                <w:lang w:eastAsia="ru-RU"/>
              </w:rPr>
            </w:pPr>
            <w:r w:rsidRPr="00731FE2">
              <w:rPr>
                <w:rFonts w:ascii="Times New Roman" w:eastAsia="Times New Roman" w:hAnsi="Times New Roman" w:cs="Times New Roman"/>
                <w:color w:val="000000"/>
                <w:sz w:val="22"/>
                <w:lang w:eastAsia="ru-RU"/>
              </w:rPr>
              <w:t>86,0 / 64,2</w:t>
            </w:r>
          </w:p>
        </w:tc>
        <w:tc>
          <w:tcPr>
            <w:tcW w:w="1766" w:type="dxa"/>
            <w:tcBorders>
              <w:top w:val="nil"/>
              <w:left w:val="nil"/>
              <w:bottom w:val="single" w:sz="8" w:space="0" w:color="000000"/>
              <w:right w:val="single" w:sz="8" w:space="0" w:color="000000"/>
            </w:tcBorders>
            <w:vAlign w:val="center"/>
            <w:hideMark/>
          </w:tcPr>
          <w:p w14:paraId="76B36CF7" w14:textId="2854C66C" w:rsidR="000B6128" w:rsidRPr="00731FE2" w:rsidRDefault="000B6128" w:rsidP="000B6128">
            <w:pPr>
              <w:spacing w:line="240" w:lineRule="auto"/>
              <w:ind w:firstLine="0"/>
              <w:jc w:val="center"/>
              <w:rPr>
                <w:rFonts w:ascii="Times New Roman" w:eastAsia="Times New Roman" w:hAnsi="Times New Roman" w:cs="Times New Roman"/>
                <w:color w:val="000000"/>
                <w:sz w:val="22"/>
                <w:lang w:eastAsia="ru-RU"/>
              </w:rPr>
            </w:pPr>
            <w:r w:rsidRPr="00731FE2">
              <w:rPr>
                <w:rFonts w:ascii="Times New Roman" w:eastAsia="Times New Roman" w:hAnsi="Times New Roman" w:cs="Times New Roman"/>
                <w:color w:val="000000"/>
                <w:sz w:val="22"/>
                <w:lang w:eastAsia="ru-RU"/>
              </w:rPr>
              <w:t>86,9 / 61,0</w:t>
            </w:r>
          </w:p>
        </w:tc>
      </w:tr>
      <w:tr w:rsidR="000B6128" w:rsidRPr="00731FE2" w14:paraId="0A2BA3DF" w14:textId="77777777" w:rsidTr="00FE28EA">
        <w:trPr>
          <w:trHeight w:val="465"/>
          <w:tblCellSpacing w:w="0" w:type="dxa"/>
        </w:trPr>
        <w:tc>
          <w:tcPr>
            <w:tcW w:w="861" w:type="dxa"/>
            <w:tcBorders>
              <w:top w:val="nil"/>
              <w:left w:val="single" w:sz="8" w:space="0" w:color="000000"/>
              <w:bottom w:val="single" w:sz="8" w:space="0" w:color="000000"/>
              <w:right w:val="single" w:sz="8" w:space="0" w:color="000000"/>
            </w:tcBorders>
            <w:vAlign w:val="center"/>
            <w:hideMark/>
          </w:tcPr>
          <w:p w14:paraId="24D717AE" w14:textId="7777777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2.5</w:t>
            </w:r>
          </w:p>
        </w:tc>
        <w:tc>
          <w:tcPr>
            <w:tcW w:w="3417" w:type="dxa"/>
            <w:tcBorders>
              <w:top w:val="nil"/>
              <w:left w:val="nil"/>
              <w:bottom w:val="single" w:sz="8" w:space="0" w:color="000000"/>
              <w:right w:val="single" w:sz="8" w:space="0" w:color="000000"/>
            </w:tcBorders>
            <w:vAlign w:val="center"/>
            <w:hideMark/>
          </w:tcPr>
          <w:p w14:paraId="6AB429B4" w14:textId="3BCCA6D0" w:rsidR="000B6128" w:rsidRPr="00731FE2" w:rsidRDefault="000B6128" w:rsidP="000B6128">
            <w:pPr>
              <w:spacing w:line="240" w:lineRule="auto"/>
              <w:ind w:firstLine="0"/>
              <w:rPr>
                <w:rFonts w:ascii="Times New Roman" w:eastAsia="Times New Roman" w:hAnsi="Times New Roman" w:cs="Times New Roman"/>
                <w:color w:val="000000"/>
                <w:sz w:val="22"/>
                <w:lang w:eastAsia="ru-RU"/>
              </w:rPr>
            </w:pPr>
            <w:r w:rsidRPr="00731FE2">
              <w:rPr>
                <w:rFonts w:ascii="Times New Roman" w:eastAsia="Times New Roman" w:hAnsi="Times New Roman" w:cs="Times New Roman"/>
                <w:color w:val="000000"/>
                <w:sz w:val="22"/>
                <w:lang w:eastAsia="ru-RU"/>
              </w:rPr>
              <w:t>население старше трудоспособного возраста</w:t>
            </w:r>
          </w:p>
        </w:tc>
        <w:tc>
          <w:tcPr>
            <w:tcW w:w="1525" w:type="dxa"/>
            <w:tcBorders>
              <w:top w:val="nil"/>
              <w:left w:val="nil"/>
              <w:bottom w:val="single" w:sz="8" w:space="0" w:color="000000"/>
              <w:right w:val="single" w:sz="8" w:space="0" w:color="000000"/>
            </w:tcBorders>
            <w:vAlign w:val="center"/>
            <w:hideMark/>
          </w:tcPr>
          <w:p w14:paraId="1CB0C0C6" w14:textId="64C162DC" w:rsidR="000B6128" w:rsidRPr="00731FE2" w:rsidRDefault="000B6128" w:rsidP="000B6128">
            <w:pPr>
              <w:spacing w:line="240" w:lineRule="auto"/>
              <w:ind w:firstLine="0"/>
              <w:jc w:val="center"/>
              <w:rPr>
                <w:rFonts w:ascii="Times New Roman" w:eastAsia="Times New Roman" w:hAnsi="Times New Roman" w:cs="Times New Roman"/>
                <w:color w:val="000000"/>
                <w:sz w:val="22"/>
                <w:lang w:eastAsia="ru-RU"/>
              </w:rPr>
            </w:pPr>
            <w:r w:rsidRPr="00731FE2">
              <w:rPr>
                <w:rFonts w:ascii="Times New Roman" w:eastAsia="Times New Roman" w:hAnsi="Times New Roman" w:cs="Times New Roman"/>
                <w:color w:val="000000"/>
                <w:sz w:val="22"/>
                <w:lang w:eastAsia="ru-RU"/>
              </w:rPr>
              <w:t>тыс. человек / %</w:t>
            </w:r>
          </w:p>
        </w:tc>
        <w:tc>
          <w:tcPr>
            <w:tcW w:w="1766" w:type="dxa"/>
            <w:tcBorders>
              <w:top w:val="nil"/>
              <w:left w:val="nil"/>
              <w:bottom w:val="single" w:sz="8" w:space="0" w:color="000000"/>
              <w:right w:val="single" w:sz="8" w:space="0" w:color="000000"/>
            </w:tcBorders>
            <w:vAlign w:val="center"/>
            <w:hideMark/>
          </w:tcPr>
          <w:p w14:paraId="43E0325D" w14:textId="484F7AA4" w:rsidR="000B6128" w:rsidRPr="00731FE2" w:rsidRDefault="000B6128" w:rsidP="000B6128">
            <w:pPr>
              <w:spacing w:line="240" w:lineRule="auto"/>
              <w:ind w:firstLine="0"/>
              <w:jc w:val="center"/>
              <w:rPr>
                <w:rFonts w:ascii="Times New Roman" w:eastAsia="Times New Roman" w:hAnsi="Times New Roman" w:cs="Times New Roman"/>
                <w:color w:val="000000"/>
                <w:sz w:val="22"/>
                <w:lang w:eastAsia="ru-RU"/>
              </w:rPr>
            </w:pPr>
            <w:r w:rsidRPr="00731FE2">
              <w:rPr>
                <w:rFonts w:ascii="Times New Roman" w:eastAsia="Times New Roman" w:hAnsi="Times New Roman" w:cs="Times New Roman"/>
                <w:color w:val="000000"/>
                <w:sz w:val="22"/>
                <w:lang w:eastAsia="ru-RU"/>
              </w:rPr>
              <w:t>25,7 / 19,2</w:t>
            </w:r>
          </w:p>
        </w:tc>
        <w:tc>
          <w:tcPr>
            <w:tcW w:w="1766" w:type="dxa"/>
            <w:tcBorders>
              <w:top w:val="nil"/>
              <w:left w:val="nil"/>
              <w:bottom w:val="single" w:sz="8" w:space="0" w:color="000000"/>
              <w:right w:val="single" w:sz="8" w:space="0" w:color="000000"/>
            </w:tcBorders>
            <w:vAlign w:val="center"/>
            <w:hideMark/>
          </w:tcPr>
          <w:p w14:paraId="0AF8E9BD" w14:textId="7D42B5B9" w:rsidR="000B6128" w:rsidRPr="00731FE2" w:rsidRDefault="000B6128" w:rsidP="000B6128">
            <w:pPr>
              <w:spacing w:line="240" w:lineRule="auto"/>
              <w:ind w:firstLine="0"/>
              <w:jc w:val="center"/>
              <w:rPr>
                <w:rFonts w:ascii="Times New Roman" w:eastAsia="Times New Roman" w:hAnsi="Times New Roman" w:cs="Times New Roman"/>
                <w:color w:val="000000"/>
                <w:sz w:val="22"/>
                <w:lang w:eastAsia="ru-RU"/>
              </w:rPr>
            </w:pPr>
            <w:r w:rsidRPr="00731FE2">
              <w:rPr>
                <w:rFonts w:ascii="Times New Roman" w:eastAsia="Times New Roman" w:hAnsi="Times New Roman" w:cs="Times New Roman"/>
                <w:color w:val="000000"/>
                <w:sz w:val="22"/>
                <w:lang w:eastAsia="ru-RU"/>
              </w:rPr>
              <w:t>36,7 / 34,7</w:t>
            </w:r>
          </w:p>
        </w:tc>
      </w:tr>
      <w:tr w:rsidR="000B6128" w:rsidRPr="00731FE2" w14:paraId="24E5A2F6" w14:textId="77777777" w:rsidTr="00D154A0">
        <w:trPr>
          <w:trHeight w:val="70"/>
          <w:tblCellSpacing w:w="0" w:type="dxa"/>
        </w:trPr>
        <w:tc>
          <w:tcPr>
            <w:tcW w:w="9335" w:type="dxa"/>
            <w:gridSpan w:val="5"/>
            <w:tcBorders>
              <w:top w:val="nil"/>
              <w:left w:val="single" w:sz="8" w:space="0" w:color="000000"/>
              <w:bottom w:val="single" w:sz="8" w:space="0" w:color="000000"/>
              <w:right w:val="single" w:sz="8" w:space="0" w:color="000000"/>
            </w:tcBorders>
            <w:vAlign w:val="center"/>
            <w:hideMark/>
          </w:tcPr>
          <w:p w14:paraId="473A5BEE" w14:textId="7777777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b/>
                <w:bCs/>
                <w:color w:val="000000"/>
                <w:sz w:val="22"/>
                <w:lang w:eastAsia="ru-RU"/>
              </w:rPr>
              <w:t>3.Жилищный фонд</w:t>
            </w:r>
          </w:p>
        </w:tc>
      </w:tr>
      <w:tr w:rsidR="000B6128" w:rsidRPr="00731FE2" w14:paraId="2CDEDB0C" w14:textId="77777777" w:rsidTr="00FE28EA">
        <w:trPr>
          <w:trHeight w:val="70"/>
          <w:tblCellSpacing w:w="0" w:type="dxa"/>
        </w:trPr>
        <w:tc>
          <w:tcPr>
            <w:tcW w:w="861" w:type="dxa"/>
            <w:tcBorders>
              <w:top w:val="nil"/>
              <w:left w:val="single" w:sz="8" w:space="0" w:color="000000"/>
              <w:bottom w:val="single" w:sz="8" w:space="0" w:color="000000"/>
              <w:right w:val="single" w:sz="8" w:space="0" w:color="000000"/>
            </w:tcBorders>
            <w:vAlign w:val="center"/>
            <w:hideMark/>
          </w:tcPr>
          <w:p w14:paraId="18A9879E" w14:textId="7777777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3.1.</w:t>
            </w:r>
          </w:p>
        </w:tc>
        <w:tc>
          <w:tcPr>
            <w:tcW w:w="3417" w:type="dxa"/>
            <w:tcBorders>
              <w:top w:val="nil"/>
              <w:left w:val="nil"/>
              <w:bottom w:val="single" w:sz="8" w:space="0" w:color="000000"/>
              <w:right w:val="single" w:sz="8" w:space="0" w:color="000000"/>
            </w:tcBorders>
            <w:vAlign w:val="center"/>
            <w:hideMark/>
          </w:tcPr>
          <w:p w14:paraId="3AC4807B" w14:textId="4D93C670" w:rsidR="000B6128" w:rsidRPr="00731FE2" w:rsidRDefault="000B6128" w:rsidP="000B6128">
            <w:pPr>
              <w:spacing w:line="240" w:lineRule="auto"/>
              <w:ind w:firstLine="0"/>
              <w:rPr>
                <w:rFonts w:ascii="Times New Roman" w:eastAsia="Times New Roman" w:hAnsi="Times New Roman" w:cs="Times New Roman"/>
                <w:color w:val="000000"/>
                <w:sz w:val="22"/>
                <w:lang w:eastAsia="ru-RU"/>
              </w:rPr>
            </w:pPr>
            <w:r w:rsidRPr="00731FE2">
              <w:rPr>
                <w:rFonts w:ascii="Times New Roman" w:eastAsia="Times New Roman" w:hAnsi="Times New Roman" w:cs="Times New Roman"/>
                <w:color w:val="000000"/>
                <w:sz w:val="22"/>
                <w:lang w:eastAsia="ru-RU"/>
              </w:rPr>
              <w:t>Жилищный фонд – всего</w:t>
            </w:r>
          </w:p>
        </w:tc>
        <w:tc>
          <w:tcPr>
            <w:tcW w:w="1525" w:type="dxa"/>
            <w:tcBorders>
              <w:top w:val="nil"/>
              <w:left w:val="nil"/>
              <w:bottom w:val="single" w:sz="8" w:space="0" w:color="000000"/>
              <w:right w:val="single" w:sz="8" w:space="0" w:color="000000"/>
            </w:tcBorders>
            <w:vAlign w:val="center"/>
            <w:hideMark/>
          </w:tcPr>
          <w:p w14:paraId="1F81BE7C" w14:textId="18D76930" w:rsidR="000B6128" w:rsidRPr="00731FE2" w:rsidRDefault="000B6128" w:rsidP="000B6128">
            <w:pPr>
              <w:spacing w:line="240" w:lineRule="auto"/>
              <w:ind w:firstLine="0"/>
              <w:jc w:val="center"/>
              <w:rPr>
                <w:rFonts w:ascii="Times New Roman" w:eastAsia="Times New Roman" w:hAnsi="Times New Roman" w:cs="Times New Roman"/>
                <w:color w:val="000000"/>
                <w:sz w:val="22"/>
                <w:lang w:eastAsia="ru-RU"/>
              </w:rPr>
            </w:pPr>
            <w:r w:rsidRPr="00731FE2">
              <w:rPr>
                <w:rFonts w:ascii="Times New Roman" w:eastAsia="Times New Roman" w:hAnsi="Times New Roman" w:cs="Times New Roman"/>
                <w:color w:val="000000"/>
                <w:sz w:val="22"/>
                <w:lang w:eastAsia="ru-RU"/>
              </w:rPr>
              <w:t>тыс. м</w:t>
            </w:r>
            <w:r w:rsidRPr="00731FE2">
              <w:rPr>
                <w:rFonts w:ascii="Times New Roman" w:eastAsia="Times New Roman" w:hAnsi="Times New Roman" w:cs="Times New Roman"/>
                <w:color w:val="000000"/>
                <w:sz w:val="22"/>
                <w:vertAlign w:val="superscript"/>
                <w:lang w:eastAsia="ru-RU"/>
              </w:rPr>
              <w:t>2</w:t>
            </w:r>
            <w:r w:rsidRPr="00731FE2">
              <w:rPr>
                <w:rFonts w:ascii="Times New Roman" w:eastAsia="Times New Roman" w:hAnsi="Times New Roman" w:cs="Times New Roman"/>
                <w:color w:val="000000"/>
                <w:sz w:val="22"/>
                <w:lang w:eastAsia="ru-RU"/>
              </w:rPr>
              <w:t xml:space="preserve"> общей площади</w:t>
            </w:r>
          </w:p>
        </w:tc>
        <w:tc>
          <w:tcPr>
            <w:tcW w:w="1766" w:type="dxa"/>
            <w:tcBorders>
              <w:top w:val="nil"/>
              <w:left w:val="nil"/>
              <w:bottom w:val="single" w:sz="8" w:space="0" w:color="000000"/>
              <w:right w:val="single" w:sz="8" w:space="0" w:color="000000"/>
            </w:tcBorders>
            <w:vAlign w:val="center"/>
            <w:hideMark/>
          </w:tcPr>
          <w:p w14:paraId="4F755FAE" w14:textId="4A51D4DB" w:rsidR="000B6128" w:rsidRPr="00731FE2" w:rsidRDefault="000B6128" w:rsidP="000B6128">
            <w:pPr>
              <w:spacing w:line="240" w:lineRule="auto"/>
              <w:ind w:firstLine="0"/>
              <w:jc w:val="center"/>
              <w:rPr>
                <w:rFonts w:ascii="Times New Roman" w:eastAsia="Times New Roman" w:hAnsi="Times New Roman" w:cs="Times New Roman"/>
                <w:color w:val="000000"/>
                <w:sz w:val="22"/>
                <w:lang w:eastAsia="ru-RU"/>
              </w:rPr>
            </w:pPr>
            <w:r w:rsidRPr="00731FE2">
              <w:rPr>
                <w:rFonts w:ascii="Times New Roman" w:eastAsia="Times New Roman" w:hAnsi="Times New Roman" w:cs="Times New Roman"/>
                <w:color w:val="000000"/>
                <w:sz w:val="22"/>
                <w:lang w:eastAsia="ru-RU"/>
              </w:rPr>
              <w:t>3426,35</w:t>
            </w:r>
          </w:p>
        </w:tc>
        <w:tc>
          <w:tcPr>
            <w:tcW w:w="1766" w:type="dxa"/>
            <w:tcBorders>
              <w:top w:val="nil"/>
              <w:left w:val="nil"/>
              <w:bottom w:val="single" w:sz="8" w:space="0" w:color="000000"/>
              <w:right w:val="single" w:sz="8" w:space="0" w:color="000000"/>
            </w:tcBorders>
            <w:vAlign w:val="center"/>
            <w:hideMark/>
          </w:tcPr>
          <w:p w14:paraId="64E47EBC" w14:textId="49E3293D" w:rsidR="000B6128" w:rsidRPr="00731FE2" w:rsidRDefault="000B6128" w:rsidP="000B6128">
            <w:pPr>
              <w:spacing w:line="240" w:lineRule="auto"/>
              <w:ind w:firstLine="0"/>
              <w:jc w:val="center"/>
              <w:rPr>
                <w:rFonts w:ascii="Times New Roman" w:eastAsia="Times New Roman" w:hAnsi="Times New Roman" w:cs="Times New Roman"/>
                <w:color w:val="000000"/>
                <w:sz w:val="22"/>
                <w:lang w:eastAsia="ru-RU"/>
              </w:rPr>
            </w:pPr>
            <w:r w:rsidRPr="00731FE2">
              <w:rPr>
                <w:rFonts w:ascii="Times New Roman" w:eastAsia="Times New Roman" w:hAnsi="Times New Roman" w:cs="Times New Roman"/>
                <w:sz w:val="22"/>
                <w:lang w:eastAsia="ru-RU"/>
              </w:rPr>
              <w:t>4497,7</w:t>
            </w:r>
          </w:p>
        </w:tc>
      </w:tr>
      <w:tr w:rsidR="000B6128" w:rsidRPr="00731FE2" w14:paraId="32C1C67A" w14:textId="77777777" w:rsidTr="00FE28EA">
        <w:trPr>
          <w:trHeight w:val="70"/>
          <w:tblCellSpacing w:w="0" w:type="dxa"/>
        </w:trPr>
        <w:tc>
          <w:tcPr>
            <w:tcW w:w="861" w:type="dxa"/>
            <w:tcBorders>
              <w:top w:val="nil"/>
              <w:left w:val="single" w:sz="8" w:space="0" w:color="000000"/>
              <w:bottom w:val="single" w:sz="8" w:space="0" w:color="000000"/>
              <w:right w:val="single" w:sz="8" w:space="0" w:color="000000"/>
            </w:tcBorders>
            <w:vAlign w:val="center"/>
            <w:hideMark/>
          </w:tcPr>
          <w:p w14:paraId="7C8632A6" w14:textId="7777777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3.2.</w:t>
            </w:r>
          </w:p>
        </w:tc>
        <w:tc>
          <w:tcPr>
            <w:tcW w:w="3417" w:type="dxa"/>
            <w:tcBorders>
              <w:top w:val="nil"/>
              <w:left w:val="nil"/>
              <w:bottom w:val="single" w:sz="8" w:space="0" w:color="000000"/>
              <w:right w:val="single" w:sz="8" w:space="0" w:color="000000"/>
            </w:tcBorders>
            <w:vAlign w:val="center"/>
            <w:hideMark/>
          </w:tcPr>
          <w:p w14:paraId="4351FB99" w14:textId="3044B0DF" w:rsidR="000B6128" w:rsidRPr="00731FE2" w:rsidRDefault="000B6128" w:rsidP="000B6128">
            <w:pPr>
              <w:spacing w:line="240" w:lineRule="auto"/>
              <w:ind w:firstLine="0"/>
              <w:rPr>
                <w:rFonts w:ascii="Times New Roman" w:eastAsia="Times New Roman" w:hAnsi="Times New Roman" w:cs="Times New Roman"/>
                <w:color w:val="000000"/>
                <w:sz w:val="22"/>
                <w:lang w:eastAsia="ru-RU"/>
              </w:rPr>
            </w:pPr>
            <w:r w:rsidRPr="00731FE2">
              <w:rPr>
                <w:rFonts w:ascii="Times New Roman" w:eastAsia="Times New Roman" w:hAnsi="Times New Roman" w:cs="Times New Roman"/>
                <w:color w:val="000000"/>
                <w:sz w:val="22"/>
                <w:lang w:eastAsia="ru-RU"/>
              </w:rPr>
              <w:t xml:space="preserve">Средняя обеспеченность </w:t>
            </w:r>
            <w:r w:rsidRPr="00731FE2">
              <w:rPr>
                <w:rFonts w:ascii="Times New Roman" w:eastAsia="Times New Roman" w:hAnsi="Times New Roman" w:cs="Times New Roman"/>
                <w:color w:val="000000"/>
                <w:sz w:val="22"/>
                <w:lang w:eastAsia="ru-RU"/>
              </w:rPr>
              <w:lastRenderedPageBreak/>
              <w:t>населения общей площадью</w:t>
            </w:r>
          </w:p>
        </w:tc>
        <w:tc>
          <w:tcPr>
            <w:tcW w:w="1525" w:type="dxa"/>
            <w:tcBorders>
              <w:top w:val="nil"/>
              <w:left w:val="nil"/>
              <w:bottom w:val="single" w:sz="8" w:space="0" w:color="000000"/>
              <w:right w:val="single" w:sz="8" w:space="0" w:color="000000"/>
            </w:tcBorders>
            <w:vAlign w:val="center"/>
            <w:hideMark/>
          </w:tcPr>
          <w:p w14:paraId="3B2DE8A3" w14:textId="415A8A40" w:rsidR="000B6128" w:rsidRPr="00731FE2" w:rsidRDefault="000B6128" w:rsidP="000B6128">
            <w:pPr>
              <w:spacing w:line="240" w:lineRule="auto"/>
              <w:ind w:firstLine="0"/>
              <w:jc w:val="center"/>
              <w:rPr>
                <w:rFonts w:ascii="Times New Roman" w:eastAsia="Times New Roman" w:hAnsi="Times New Roman" w:cs="Times New Roman"/>
                <w:color w:val="000000"/>
                <w:sz w:val="22"/>
                <w:lang w:eastAsia="ru-RU"/>
              </w:rPr>
            </w:pPr>
            <w:r w:rsidRPr="00731FE2">
              <w:rPr>
                <w:rFonts w:ascii="Times New Roman" w:eastAsia="Times New Roman" w:hAnsi="Times New Roman" w:cs="Times New Roman"/>
                <w:color w:val="000000"/>
                <w:sz w:val="22"/>
                <w:lang w:eastAsia="ru-RU"/>
              </w:rPr>
              <w:lastRenderedPageBreak/>
              <w:t>м</w:t>
            </w:r>
            <w:r w:rsidRPr="00731FE2">
              <w:rPr>
                <w:rFonts w:ascii="Times New Roman" w:eastAsia="Times New Roman" w:hAnsi="Times New Roman" w:cs="Times New Roman"/>
                <w:color w:val="000000"/>
                <w:sz w:val="22"/>
                <w:vertAlign w:val="superscript"/>
                <w:lang w:eastAsia="ru-RU"/>
              </w:rPr>
              <w:t>2</w:t>
            </w:r>
            <w:r w:rsidRPr="00731FE2">
              <w:rPr>
                <w:rFonts w:ascii="Times New Roman" w:eastAsia="Times New Roman" w:hAnsi="Times New Roman" w:cs="Times New Roman"/>
                <w:color w:val="000000"/>
                <w:sz w:val="22"/>
                <w:lang w:eastAsia="ru-RU"/>
              </w:rPr>
              <w:t xml:space="preserve"> на 1 </w:t>
            </w:r>
            <w:r w:rsidRPr="00731FE2">
              <w:rPr>
                <w:rFonts w:ascii="Times New Roman" w:eastAsia="Times New Roman" w:hAnsi="Times New Roman" w:cs="Times New Roman"/>
                <w:color w:val="000000"/>
                <w:sz w:val="22"/>
                <w:lang w:eastAsia="ru-RU"/>
              </w:rPr>
              <w:lastRenderedPageBreak/>
              <w:t>человека</w:t>
            </w:r>
          </w:p>
        </w:tc>
        <w:tc>
          <w:tcPr>
            <w:tcW w:w="1766" w:type="dxa"/>
            <w:tcBorders>
              <w:top w:val="nil"/>
              <w:left w:val="nil"/>
              <w:bottom w:val="single" w:sz="8" w:space="0" w:color="000000"/>
              <w:right w:val="single" w:sz="8" w:space="0" w:color="000000"/>
            </w:tcBorders>
            <w:vAlign w:val="center"/>
            <w:hideMark/>
          </w:tcPr>
          <w:p w14:paraId="6B4276B3" w14:textId="670C52F8" w:rsidR="000B6128" w:rsidRPr="00731FE2" w:rsidRDefault="000B6128" w:rsidP="000B6128">
            <w:pPr>
              <w:spacing w:line="240" w:lineRule="auto"/>
              <w:ind w:firstLine="0"/>
              <w:jc w:val="center"/>
              <w:rPr>
                <w:rFonts w:ascii="Times New Roman" w:eastAsia="Times New Roman" w:hAnsi="Times New Roman" w:cs="Times New Roman"/>
                <w:color w:val="000000"/>
                <w:sz w:val="22"/>
                <w:lang w:eastAsia="ru-RU"/>
              </w:rPr>
            </w:pPr>
            <w:r w:rsidRPr="00731FE2">
              <w:rPr>
                <w:rFonts w:ascii="Times New Roman" w:eastAsia="Times New Roman" w:hAnsi="Times New Roman" w:cs="Times New Roman"/>
                <w:color w:val="000000"/>
                <w:sz w:val="22"/>
                <w:lang w:eastAsia="ru-RU"/>
              </w:rPr>
              <w:lastRenderedPageBreak/>
              <w:t>25,59</w:t>
            </w:r>
          </w:p>
        </w:tc>
        <w:tc>
          <w:tcPr>
            <w:tcW w:w="1766" w:type="dxa"/>
            <w:tcBorders>
              <w:top w:val="nil"/>
              <w:left w:val="nil"/>
              <w:bottom w:val="single" w:sz="8" w:space="0" w:color="000000"/>
              <w:right w:val="single" w:sz="8" w:space="0" w:color="000000"/>
            </w:tcBorders>
            <w:vAlign w:val="center"/>
            <w:hideMark/>
          </w:tcPr>
          <w:p w14:paraId="6FD0A7C9" w14:textId="1DCF58C4" w:rsidR="000B6128" w:rsidRPr="00731FE2" w:rsidRDefault="000B6128" w:rsidP="000B6128">
            <w:pPr>
              <w:spacing w:line="240" w:lineRule="auto"/>
              <w:ind w:firstLine="0"/>
              <w:jc w:val="center"/>
              <w:rPr>
                <w:rFonts w:ascii="Times New Roman" w:eastAsia="Times New Roman" w:hAnsi="Times New Roman" w:cs="Times New Roman"/>
                <w:color w:val="000000"/>
                <w:sz w:val="22"/>
                <w:lang w:eastAsia="ru-RU"/>
              </w:rPr>
            </w:pPr>
            <w:r w:rsidRPr="00731FE2">
              <w:rPr>
                <w:rFonts w:ascii="Times New Roman" w:eastAsia="Times New Roman" w:hAnsi="Times New Roman" w:cs="Times New Roman"/>
                <w:color w:val="000000"/>
                <w:sz w:val="22"/>
                <w:lang w:eastAsia="ru-RU"/>
              </w:rPr>
              <w:t>33,3</w:t>
            </w:r>
          </w:p>
        </w:tc>
      </w:tr>
      <w:tr w:rsidR="000B6128" w:rsidRPr="00731FE2" w14:paraId="4F03D312" w14:textId="77777777" w:rsidTr="00FE28EA">
        <w:trPr>
          <w:trHeight w:val="70"/>
          <w:tblCellSpacing w:w="0" w:type="dxa"/>
        </w:trPr>
        <w:tc>
          <w:tcPr>
            <w:tcW w:w="861" w:type="dxa"/>
            <w:tcBorders>
              <w:top w:val="nil"/>
              <w:left w:val="single" w:sz="8" w:space="0" w:color="000000"/>
              <w:bottom w:val="single" w:sz="8" w:space="0" w:color="000000"/>
              <w:right w:val="single" w:sz="8" w:space="0" w:color="000000"/>
            </w:tcBorders>
            <w:vAlign w:val="center"/>
            <w:hideMark/>
          </w:tcPr>
          <w:p w14:paraId="4EE804EB" w14:textId="7777777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lastRenderedPageBreak/>
              <w:t>3.3.</w:t>
            </w:r>
          </w:p>
        </w:tc>
        <w:tc>
          <w:tcPr>
            <w:tcW w:w="3417" w:type="dxa"/>
            <w:tcBorders>
              <w:top w:val="nil"/>
              <w:left w:val="nil"/>
              <w:bottom w:val="single" w:sz="8" w:space="0" w:color="000000"/>
              <w:right w:val="single" w:sz="8" w:space="0" w:color="000000"/>
            </w:tcBorders>
            <w:vAlign w:val="center"/>
            <w:hideMark/>
          </w:tcPr>
          <w:p w14:paraId="361199F7" w14:textId="5F15A1E5" w:rsidR="000B6128" w:rsidRPr="00731FE2" w:rsidRDefault="000B6128" w:rsidP="000B6128">
            <w:pPr>
              <w:spacing w:line="240" w:lineRule="auto"/>
              <w:ind w:firstLine="0"/>
              <w:rPr>
                <w:rFonts w:ascii="Times New Roman" w:eastAsia="Times New Roman" w:hAnsi="Times New Roman" w:cs="Times New Roman"/>
                <w:color w:val="000000"/>
                <w:sz w:val="22"/>
                <w:lang w:eastAsia="ru-RU"/>
              </w:rPr>
            </w:pPr>
            <w:r w:rsidRPr="00731FE2">
              <w:rPr>
                <w:rFonts w:ascii="Times New Roman" w:eastAsia="Times New Roman" w:hAnsi="Times New Roman" w:cs="Times New Roman"/>
                <w:color w:val="000000"/>
                <w:sz w:val="22"/>
                <w:lang w:eastAsia="ru-RU"/>
              </w:rPr>
              <w:t>Существующий сохраняемый жилищный фонд</w:t>
            </w:r>
          </w:p>
        </w:tc>
        <w:tc>
          <w:tcPr>
            <w:tcW w:w="1525" w:type="dxa"/>
            <w:tcBorders>
              <w:top w:val="nil"/>
              <w:left w:val="nil"/>
              <w:bottom w:val="single" w:sz="8" w:space="0" w:color="000000"/>
              <w:right w:val="single" w:sz="8" w:space="0" w:color="000000"/>
            </w:tcBorders>
            <w:vAlign w:val="center"/>
            <w:hideMark/>
          </w:tcPr>
          <w:p w14:paraId="5C4C7677" w14:textId="7167C6D0" w:rsidR="000B6128" w:rsidRPr="00731FE2" w:rsidRDefault="000B6128" w:rsidP="000B6128">
            <w:pPr>
              <w:spacing w:line="240" w:lineRule="auto"/>
              <w:ind w:firstLine="0"/>
              <w:jc w:val="center"/>
              <w:rPr>
                <w:rFonts w:ascii="Times New Roman" w:eastAsia="Times New Roman" w:hAnsi="Times New Roman" w:cs="Times New Roman"/>
                <w:color w:val="000000"/>
                <w:sz w:val="22"/>
                <w:lang w:eastAsia="ru-RU"/>
              </w:rPr>
            </w:pPr>
            <w:r w:rsidRPr="00731FE2">
              <w:rPr>
                <w:rFonts w:ascii="Times New Roman" w:eastAsia="Times New Roman" w:hAnsi="Times New Roman" w:cs="Times New Roman"/>
                <w:color w:val="000000"/>
                <w:sz w:val="22"/>
                <w:lang w:eastAsia="ru-RU"/>
              </w:rPr>
              <w:t>тыс. м</w:t>
            </w:r>
            <w:r w:rsidRPr="00731FE2">
              <w:rPr>
                <w:rFonts w:ascii="Times New Roman" w:eastAsia="Times New Roman" w:hAnsi="Times New Roman" w:cs="Times New Roman"/>
                <w:color w:val="000000"/>
                <w:sz w:val="22"/>
                <w:vertAlign w:val="superscript"/>
                <w:lang w:eastAsia="ru-RU"/>
              </w:rPr>
              <w:t>2</w:t>
            </w:r>
          </w:p>
        </w:tc>
        <w:tc>
          <w:tcPr>
            <w:tcW w:w="1766" w:type="dxa"/>
            <w:tcBorders>
              <w:top w:val="nil"/>
              <w:left w:val="nil"/>
              <w:bottom w:val="single" w:sz="8" w:space="0" w:color="000000"/>
              <w:right w:val="single" w:sz="8" w:space="0" w:color="000000"/>
            </w:tcBorders>
            <w:vAlign w:val="center"/>
            <w:hideMark/>
          </w:tcPr>
          <w:p w14:paraId="7C6995FC" w14:textId="44495F55" w:rsidR="000B6128" w:rsidRPr="00731FE2" w:rsidRDefault="000B6128" w:rsidP="000B6128">
            <w:pPr>
              <w:spacing w:line="240" w:lineRule="auto"/>
              <w:ind w:firstLine="0"/>
              <w:jc w:val="center"/>
              <w:rPr>
                <w:rFonts w:ascii="Times New Roman" w:eastAsia="Times New Roman" w:hAnsi="Times New Roman" w:cs="Times New Roman"/>
                <w:color w:val="000000"/>
                <w:sz w:val="22"/>
                <w:lang w:eastAsia="ru-RU"/>
              </w:rPr>
            </w:pPr>
            <w:r w:rsidRPr="00731FE2">
              <w:rPr>
                <w:rFonts w:ascii="Times New Roman" w:eastAsia="Times New Roman" w:hAnsi="Times New Roman" w:cs="Times New Roman"/>
                <w:color w:val="000000"/>
                <w:sz w:val="22"/>
                <w:lang w:eastAsia="ru-RU"/>
              </w:rPr>
              <w:t>3426,35</w:t>
            </w:r>
          </w:p>
        </w:tc>
        <w:tc>
          <w:tcPr>
            <w:tcW w:w="1766" w:type="dxa"/>
            <w:tcBorders>
              <w:top w:val="nil"/>
              <w:left w:val="nil"/>
              <w:bottom w:val="single" w:sz="8" w:space="0" w:color="000000"/>
              <w:right w:val="single" w:sz="8" w:space="0" w:color="000000"/>
            </w:tcBorders>
            <w:vAlign w:val="center"/>
            <w:hideMark/>
          </w:tcPr>
          <w:p w14:paraId="79ABCDD1" w14:textId="6A50EFAF" w:rsidR="000B6128" w:rsidRPr="00731FE2" w:rsidRDefault="000B6128" w:rsidP="000B6128">
            <w:pPr>
              <w:spacing w:line="240" w:lineRule="auto"/>
              <w:ind w:firstLine="0"/>
              <w:jc w:val="center"/>
              <w:rPr>
                <w:rFonts w:ascii="Times New Roman" w:eastAsia="Times New Roman" w:hAnsi="Times New Roman" w:cs="Times New Roman"/>
                <w:color w:val="000000"/>
                <w:sz w:val="22"/>
                <w:lang w:eastAsia="ru-RU"/>
              </w:rPr>
            </w:pPr>
            <w:r w:rsidRPr="00731FE2">
              <w:rPr>
                <w:rFonts w:ascii="Times New Roman" w:eastAsia="Times New Roman" w:hAnsi="Times New Roman" w:cs="Times New Roman"/>
                <w:color w:val="000000"/>
                <w:sz w:val="22"/>
                <w:lang w:eastAsia="ru-RU"/>
              </w:rPr>
              <w:t>-</w:t>
            </w:r>
          </w:p>
        </w:tc>
      </w:tr>
      <w:tr w:rsidR="000B6128" w:rsidRPr="00731FE2" w14:paraId="0B5F81D3" w14:textId="77777777" w:rsidTr="00FE28EA">
        <w:trPr>
          <w:trHeight w:val="70"/>
          <w:tblCellSpacing w:w="0" w:type="dxa"/>
        </w:trPr>
        <w:tc>
          <w:tcPr>
            <w:tcW w:w="861" w:type="dxa"/>
            <w:tcBorders>
              <w:top w:val="nil"/>
              <w:left w:val="single" w:sz="8" w:space="0" w:color="000000"/>
              <w:bottom w:val="single" w:sz="8" w:space="0" w:color="000000"/>
              <w:right w:val="single" w:sz="8" w:space="0" w:color="000000"/>
            </w:tcBorders>
            <w:vAlign w:val="center"/>
            <w:hideMark/>
          </w:tcPr>
          <w:p w14:paraId="60C53506" w14:textId="7777777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3.4.</w:t>
            </w:r>
          </w:p>
        </w:tc>
        <w:tc>
          <w:tcPr>
            <w:tcW w:w="3417" w:type="dxa"/>
            <w:tcBorders>
              <w:top w:val="nil"/>
              <w:left w:val="nil"/>
              <w:bottom w:val="single" w:sz="8" w:space="0" w:color="000000"/>
              <w:right w:val="single" w:sz="8" w:space="0" w:color="000000"/>
            </w:tcBorders>
            <w:vAlign w:val="center"/>
            <w:hideMark/>
          </w:tcPr>
          <w:p w14:paraId="08901F12" w14:textId="54DC4B9A" w:rsidR="000B6128" w:rsidRPr="00731FE2" w:rsidRDefault="000B6128" w:rsidP="000B6128">
            <w:pPr>
              <w:spacing w:line="240" w:lineRule="auto"/>
              <w:ind w:firstLine="0"/>
              <w:rPr>
                <w:rFonts w:ascii="Times New Roman" w:eastAsia="Times New Roman" w:hAnsi="Times New Roman" w:cs="Times New Roman"/>
                <w:color w:val="000000"/>
                <w:sz w:val="22"/>
                <w:lang w:eastAsia="ru-RU"/>
              </w:rPr>
            </w:pPr>
            <w:r w:rsidRPr="00731FE2">
              <w:rPr>
                <w:rFonts w:ascii="Times New Roman" w:eastAsia="Times New Roman" w:hAnsi="Times New Roman" w:cs="Times New Roman"/>
                <w:color w:val="000000"/>
                <w:sz w:val="22"/>
                <w:lang w:eastAsia="ru-RU"/>
              </w:rPr>
              <w:t>Новое жилищное строительство – всего</w:t>
            </w:r>
          </w:p>
        </w:tc>
        <w:tc>
          <w:tcPr>
            <w:tcW w:w="1525" w:type="dxa"/>
            <w:tcBorders>
              <w:top w:val="nil"/>
              <w:left w:val="nil"/>
              <w:bottom w:val="single" w:sz="8" w:space="0" w:color="000000"/>
              <w:right w:val="single" w:sz="8" w:space="0" w:color="000000"/>
            </w:tcBorders>
            <w:vAlign w:val="center"/>
            <w:hideMark/>
          </w:tcPr>
          <w:p w14:paraId="1C049AA2" w14:textId="69C4AB6F" w:rsidR="000B6128" w:rsidRPr="00731FE2" w:rsidRDefault="000B6128" w:rsidP="000B6128">
            <w:pPr>
              <w:spacing w:line="240" w:lineRule="auto"/>
              <w:ind w:firstLine="0"/>
              <w:jc w:val="center"/>
              <w:rPr>
                <w:rFonts w:ascii="Times New Roman" w:eastAsia="Times New Roman" w:hAnsi="Times New Roman" w:cs="Times New Roman"/>
                <w:color w:val="000000"/>
                <w:sz w:val="22"/>
                <w:lang w:eastAsia="ru-RU"/>
              </w:rPr>
            </w:pPr>
            <w:r w:rsidRPr="00731FE2">
              <w:rPr>
                <w:rFonts w:ascii="Times New Roman" w:eastAsia="Times New Roman" w:hAnsi="Times New Roman" w:cs="Times New Roman"/>
                <w:color w:val="000000"/>
                <w:sz w:val="22"/>
                <w:lang w:eastAsia="ru-RU"/>
              </w:rPr>
              <w:t>тыс. м</w:t>
            </w:r>
            <w:r w:rsidRPr="00731FE2">
              <w:rPr>
                <w:rFonts w:ascii="Times New Roman" w:eastAsia="Times New Roman" w:hAnsi="Times New Roman" w:cs="Times New Roman"/>
                <w:color w:val="000000"/>
                <w:sz w:val="22"/>
                <w:vertAlign w:val="superscript"/>
                <w:lang w:eastAsia="ru-RU"/>
              </w:rPr>
              <w:t>2</w:t>
            </w:r>
          </w:p>
        </w:tc>
        <w:tc>
          <w:tcPr>
            <w:tcW w:w="1766" w:type="dxa"/>
            <w:tcBorders>
              <w:top w:val="nil"/>
              <w:left w:val="nil"/>
              <w:bottom w:val="single" w:sz="8" w:space="0" w:color="000000"/>
              <w:right w:val="single" w:sz="8" w:space="0" w:color="000000"/>
            </w:tcBorders>
            <w:vAlign w:val="center"/>
            <w:hideMark/>
          </w:tcPr>
          <w:p w14:paraId="77ACE8F4" w14:textId="768067A7" w:rsidR="000B6128" w:rsidRPr="00731FE2" w:rsidRDefault="000B6128" w:rsidP="000B6128">
            <w:pPr>
              <w:spacing w:line="240" w:lineRule="auto"/>
              <w:ind w:firstLine="0"/>
              <w:jc w:val="center"/>
              <w:rPr>
                <w:rFonts w:ascii="Times New Roman" w:eastAsia="Times New Roman" w:hAnsi="Times New Roman" w:cs="Times New Roman"/>
                <w:color w:val="000000"/>
                <w:sz w:val="22"/>
                <w:lang w:eastAsia="ru-RU"/>
              </w:rPr>
            </w:pPr>
            <w:r w:rsidRPr="00731FE2">
              <w:rPr>
                <w:rFonts w:ascii="Times New Roman" w:eastAsia="Times New Roman" w:hAnsi="Times New Roman" w:cs="Times New Roman"/>
                <w:color w:val="000000"/>
                <w:sz w:val="22"/>
                <w:lang w:eastAsia="ru-RU"/>
              </w:rPr>
              <w:t>-</w:t>
            </w:r>
          </w:p>
        </w:tc>
        <w:tc>
          <w:tcPr>
            <w:tcW w:w="1766" w:type="dxa"/>
            <w:tcBorders>
              <w:top w:val="nil"/>
              <w:left w:val="nil"/>
              <w:bottom w:val="single" w:sz="8" w:space="0" w:color="000000"/>
              <w:right w:val="single" w:sz="8" w:space="0" w:color="000000"/>
            </w:tcBorders>
            <w:vAlign w:val="center"/>
            <w:hideMark/>
          </w:tcPr>
          <w:p w14:paraId="3F71CA02" w14:textId="5F0A92B9"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sz w:val="22"/>
                <w:lang w:eastAsia="ru-RU"/>
              </w:rPr>
              <w:t>1071,35</w:t>
            </w:r>
          </w:p>
        </w:tc>
      </w:tr>
      <w:tr w:rsidR="000B6128" w:rsidRPr="00731FE2" w14:paraId="2126A082" w14:textId="77777777" w:rsidTr="00FE28EA">
        <w:trPr>
          <w:trHeight w:val="70"/>
          <w:tblCellSpacing w:w="0" w:type="dxa"/>
        </w:trPr>
        <w:tc>
          <w:tcPr>
            <w:tcW w:w="861" w:type="dxa"/>
            <w:tcBorders>
              <w:top w:val="nil"/>
              <w:left w:val="single" w:sz="8" w:space="0" w:color="000000"/>
              <w:bottom w:val="single" w:sz="8" w:space="0" w:color="000000"/>
              <w:right w:val="single" w:sz="8" w:space="0" w:color="000000"/>
            </w:tcBorders>
            <w:vAlign w:val="center"/>
            <w:hideMark/>
          </w:tcPr>
          <w:p w14:paraId="6A043FFC" w14:textId="7777777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3.5.</w:t>
            </w:r>
          </w:p>
        </w:tc>
        <w:tc>
          <w:tcPr>
            <w:tcW w:w="3417" w:type="dxa"/>
            <w:tcBorders>
              <w:top w:val="nil"/>
              <w:left w:val="nil"/>
              <w:bottom w:val="single" w:sz="8" w:space="0" w:color="000000"/>
              <w:right w:val="single" w:sz="8" w:space="0" w:color="000000"/>
            </w:tcBorders>
            <w:vAlign w:val="center"/>
            <w:hideMark/>
          </w:tcPr>
          <w:p w14:paraId="40179990" w14:textId="037040F4" w:rsidR="000B6128" w:rsidRPr="00731FE2" w:rsidRDefault="000B6128" w:rsidP="000B6128">
            <w:pPr>
              <w:spacing w:line="240" w:lineRule="auto"/>
              <w:ind w:firstLine="0"/>
              <w:rPr>
                <w:rFonts w:ascii="Times New Roman" w:eastAsia="Times New Roman" w:hAnsi="Times New Roman" w:cs="Times New Roman"/>
                <w:color w:val="000000"/>
                <w:sz w:val="22"/>
                <w:lang w:eastAsia="ru-RU"/>
              </w:rPr>
            </w:pPr>
            <w:r w:rsidRPr="00731FE2">
              <w:rPr>
                <w:rFonts w:ascii="Times New Roman" w:eastAsia="Times New Roman" w:hAnsi="Times New Roman" w:cs="Times New Roman"/>
                <w:color w:val="000000"/>
                <w:sz w:val="22"/>
                <w:lang w:eastAsia="ru-RU"/>
              </w:rPr>
              <w:t>Среднегодовой ввод жилищного фонда</w:t>
            </w:r>
          </w:p>
        </w:tc>
        <w:tc>
          <w:tcPr>
            <w:tcW w:w="1525" w:type="dxa"/>
            <w:tcBorders>
              <w:top w:val="nil"/>
              <w:left w:val="nil"/>
              <w:bottom w:val="single" w:sz="8" w:space="0" w:color="000000"/>
              <w:right w:val="single" w:sz="8" w:space="0" w:color="000000"/>
            </w:tcBorders>
            <w:vAlign w:val="center"/>
            <w:hideMark/>
          </w:tcPr>
          <w:p w14:paraId="646AFC2E" w14:textId="2B5863B6" w:rsidR="000B6128" w:rsidRPr="00731FE2" w:rsidRDefault="000B6128" w:rsidP="000B6128">
            <w:pPr>
              <w:spacing w:line="240" w:lineRule="auto"/>
              <w:ind w:firstLine="0"/>
              <w:jc w:val="center"/>
              <w:rPr>
                <w:rFonts w:ascii="Times New Roman" w:eastAsia="Times New Roman" w:hAnsi="Times New Roman" w:cs="Times New Roman"/>
                <w:color w:val="000000"/>
                <w:sz w:val="22"/>
                <w:lang w:eastAsia="ru-RU"/>
              </w:rPr>
            </w:pPr>
            <w:r w:rsidRPr="00731FE2">
              <w:rPr>
                <w:rFonts w:ascii="Times New Roman" w:eastAsia="Times New Roman" w:hAnsi="Times New Roman" w:cs="Times New Roman"/>
                <w:color w:val="000000"/>
                <w:sz w:val="22"/>
                <w:lang w:eastAsia="ru-RU"/>
              </w:rPr>
              <w:t>м</w:t>
            </w:r>
            <w:r w:rsidRPr="00731FE2">
              <w:rPr>
                <w:rFonts w:ascii="Times New Roman" w:eastAsia="Times New Roman" w:hAnsi="Times New Roman" w:cs="Times New Roman"/>
                <w:color w:val="000000"/>
                <w:sz w:val="22"/>
                <w:vertAlign w:val="superscript"/>
                <w:lang w:eastAsia="ru-RU"/>
              </w:rPr>
              <w:t>2</w:t>
            </w:r>
          </w:p>
        </w:tc>
        <w:tc>
          <w:tcPr>
            <w:tcW w:w="1766" w:type="dxa"/>
            <w:tcBorders>
              <w:top w:val="nil"/>
              <w:left w:val="nil"/>
              <w:bottom w:val="single" w:sz="8" w:space="0" w:color="000000"/>
              <w:right w:val="single" w:sz="8" w:space="0" w:color="000000"/>
            </w:tcBorders>
            <w:vAlign w:val="center"/>
            <w:hideMark/>
          </w:tcPr>
          <w:p w14:paraId="77596CDD" w14:textId="73CE2228" w:rsidR="000B6128" w:rsidRPr="00731FE2" w:rsidRDefault="000B6128" w:rsidP="000B6128">
            <w:pPr>
              <w:spacing w:line="240" w:lineRule="auto"/>
              <w:ind w:firstLine="0"/>
              <w:jc w:val="center"/>
              <w:rPr>
                <w:rFonts w:ascii="Times New Roman" w:eastAsia="Times New Roman" w:hAnsi="Times New Roman" w:cs="Times New Roman"/>
                <w:color w:val="000000"/>
                <w:sz w:val="22"/>
                <w:lang w:eastAsia="ru-RU"/>
              </w:rPr>
            </w:pPr>
            <w:r w:rsidRPr="00731FE2">
              <w:rPr>
                <w:rFonts w:ascii="Times New Roman" w:eastAsia="Times New Roman" w:hAnsi="Times New Roman" w:cs="Times New Roman"/>
                <w:color w:val="000000"/>
                <w:sz w:val="22"/>
                <w:lang w:eastAsia="ru-RU"/>
              </w:rPr>
              <w:t>0,227</w:t>
            </w:r>
          </w:p>
        </w:tc>
        <w:tc>
          <w:tcPr>
            <w:tcW w:w="1766" w:type="dxa"/>
            <w:tcBorders>
              <w:top w:val="nil"/>
              <w:left w:val="nil"/>
              <w:bottom w:val="single" w:sz="8" w:space="0" w:color="000000"/>
              <w:right w:val="single" w:sz="8" w:space="0" w:color="000000"/>
            </w:tcBorders>
            <w:vAlign w:val="center"/>
            <w:hideMark/>
          </w:tcPr>
          <w:p w14:paraId="3CB259AA" w14:textId="21183305" w:rsidR="000B6128" w:rsidRPr="00731FE2" w:rsidRDefault="000B6128" w:rsidP="000B6128">
            <w:pPr>
              <w:spacing w:line="240" w:lineRule="auto"/>
              <w:ind w:firstLine="0"/>
              <w:jc w:val="center"/>
              <w:rPr>
                <w:rFonts w:ascii="Times New Roman" w:eastAsia="Times New Roman" w:hAnsi="Times New Roman" w:cs="Times New Roman"/>
                <w:color w:val="000000"/>
                <w:sz w:val="22"/>
                <w:lang w:eastAsia="ru-RU"/>
              </w:rPr>
            </w:pPr>
            <w:r w:rsidRPr="00731FE2">
              <w:rPr>
                <w:rFonts w:ascii="Times New Roman" w:eastAsia="Times New Roman" w:hAnsi="Times New Roman" w:cs="Times New Roman"/>
                <w:color w:val="000000"/>
                <w:sz w:val="22"/>
                <w:lang w:eastAsia="ru-RU"/>
              </w:rPr>
              <w:t>53,5</w:t>
            </w:r>
          </w:p>
        </w:tc>
      </w:tr>
      <w:tr w:rsidR="000B6128" w:rsidRPr="00731FE2" w14:paraId="291A35D0" w14:textId="77777777" w:rsidTr="00D154A0">
        <w:trPr>
          <w:trHeight w:val="70"/>
          <w:tblCellSpacing w:w="0" w:type="dxa"/>
        </w:trPr>
        <w:tc>
          <w:tcPr>
            <w:tcW w:w="9335" w:type="dxa"/>
            <w:gridSpan w:val="5"/>
            <w:tcBorders>
              <w:top w:val="nil"/>
              <w:left w:val="single" w:sz="8" w:space="0" w:color="000000"/>
              <w:bottom w:val="single" w:sz="8" w:space="0" w:color="000000"/>
              <w:right w:val="single" w:sz="8" w:space="0" w:color="000000"/>
            </w:tcBorders>
            <w:vAlign w:val="center"/>
            <w:hideMark/>
          </w:tcPr>
          <w:p w14:paraId="61E85538" w14:textId="7777777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b/>
                <w:bCs/>
                <w:color w:val="000000"/>
                <w:sz w:val="22"/>
                <w:lang w:eastAsia="ru-RU"/>
              </w:rPr>
              <w:t>4. Объекты социального и коммунально-бытового обслуживания населения</w:t>
            </w:r>
          </w:p>
        </w:tc>
      </w:tr>
      <w:tr w:rsidR="000B6128" w:rsidRPr="00731FE2" w14:paraId="45E842AF" w14:textId="77777777" w:rsidTr="00FE28EA">
        <w:trPr>
          <w:trHeight w:val="70"/>
          <w:tblCellSpacing w:w="0" w:type="dxa"/>
        </w:trPr>
        <w:tc>
          <w:tcPr>
            <w:tcW w:w="861" w:type="dxa"/>
            <w:tcBorders>
              <w:top w:val="nil"/>
              <w:left w:val="single" w:sz="8" w:space="0" w:color="000000"/>
              <w:bottom w:val="single" w:sz="8" w:space="0" w:color="000000"/>
              <w:right w:val="single" w:sz="8" w:space="0" w:color="000000"/>
            </w:tcBorders>
            <w:vAlign w:val="center"/>
            <w:hideMark/>
          </w:tcPr>
          <w:p w14:paraId="6D8F38B0" w14:textId="7777777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4.1.</w:t>
            </w:r>
          </w:p>
        </w:tc>
        <w:tc>
          <w:tcPr>
            <w:tcW w:w="3417" w:type="dxa"/>
            <w:tcBorders>
              <w:top w:val="nil"/>
              <w:left w:val="nil"/>
              <w:bottom w:val="single" w:sz="8" w:space="0" w:color="000000"/>
              <w:right w:val="single" w:sz="8" w:space="0" w:color="000000"/>
            </w:tcBorders>
            <w:vAlign w:val="center"/>
            <w:hideMark/>
          </w:tcPr>
          <w:p w14:paraId="2A7EA6C2" w14:textId="77777777" w:rsidR="000B6128" w:rsidRPr="00731FE2" w:rsidRDefault="000B6128" w:rsidP="000B6128">
            <w:pPr>
              <w:spacing w:line="240" w:lineRule="auto"/>
              <w:ind w:firstLine="0"/>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 xml:space="preserve">Детские дошкольные учреждения </w:t>
            </w:r>
          </w:p>
        </w:tc>
        <w:tc>
          <w:tcPr>
            <w:tcW w:w="1525" w:type="dxa"/>
            <w:tcBorders>
              <w:top w:val="nil"/>
              <w:left w:val="nil"/>
              <w:bottom w:val="single" w:sz="8" w:space="0" w:color="000000"/>
              <w:right w:val="single" w:sz="8" w:space="0" w:color="000000"/>
            </w:tcBorders>
            <w:vAlign w:val="center"/>
            <w:hideMark/>
          </w:tcPr>
          <w:p w14:paraId="57D02CD4" w14:textId="7777777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ед.</w:t>
            </w:r>
          </w:p>
        </w:tc>
        <w:tc>
          <w:tcPr>
            <w:tcW w:w="1766" w:type="dxa"/>
            <w:tcBorders>
              <w:top w:val="nil"/>
              <w:left w:val="nil"/>
              <w:bottom w:val="single" w:sz="8" w:space="0" w:color="000000"/>
              <w:right w:val="single" w:sz="8" w:space="0" w:color="000000"/>
            </w:tcBorders>
            <w:vAlign w:val="center"/>
            <w:hideMark/>
          </w:tcPr>
          <w:p w14:paraId="68549E60" w14:textId="504978C7" w:rsidR="000B6128" w:rsidRPr="00731FE2" w:rsidRDefault="000B6128" w:rsidP="000B6128">
            <w:pPr>
              <w:spacing w:line="240" w:lineRule="auto"/>
              <w:ind w:firstLine="0"/>
              <w:jc w:val="center"/>
              <w:rPr>
                <w:rFonts w:ascii="Times New Roman" w:eastAsia="Times New Roman" w:hAnsi="Times New Roman" w:cs="Times New Roman"/>
                <w:color w:val="000000"/>
                <w:sz w:val="22"/>
                <w:lang w:eastAsia="ru-RU"/>
              </w:rPr>
            </w:pPr>
            <w:r w:rsidRPr="00731FE2">
              <w:rPr>
                <w:rFonts w:ascii="Times New Roman" w:eastAsia="Times New Roman" w:hAnsi="Times New Roman" w:cs="Times New Roman"/>
                <w:color w:val="000000"/>
                <w:sz w:val="22"/>
                <w:lang w:eastAsia="ru-RU"/>
              </w:rPr>
              <w:t>18</w:t>
            </w:r>
          </w:p>
        </w:tc>
        <w:tc>
          <w:tcPr>
            <w:tcW w:w="1766" w:type="dxa"/>
            <w:tcBorders>
              <w:top w:val="nil"/>
              <w:left w:val="nil"/>
              <w:bottom w:val="single" w:sz="8" w:space="0" w:color="000000"/>
              <w:right w:val="single" w:sz="8" w:space="0" w:color="000000"/>
            </w:tcBorders>
            <w:vAlign w:val="center"/>
            <w:hideMark/>
          </w:tcPr>
          <w:p w14:paraId="114CAF28" w14:textId="01BA4CDF" w:rsidR="000B6128" w:rsidRPr="00731FE2" w:rsidRDefault="000B6128" w:rsidP="000B6128">
            <w:pPr>
              <w:spacing w:line="240" w:lineRule="auto"/>
              <w:ind w:firstLine="0"/>
              <w:jc w:val="center"/>
              <w:rPr>
                <w:rFonts w:ascii="Times New Roman" w:eastAsia="Times New Roman" w:hAnsi="Times New Roman" w:cs="Times New Roman"/>
                <w:color w:val="000000"/>
                <w:sz w:val="22"/>
                <w:lang w:eastAsia="ru-RU"/>
              </w:rPr>
            </w:pPr>
            <w:r w:rsidRPr="00731FE2">
              <w:rPr>
                <w:rFonts w:ascii="Times New Roman" w:eastAsia="Times New Roman" w:hAnsi="Times New Roman" w:cs="Times New Roman"/>
                <w:color w:val="000000"/>
                <w:sz w:val="22"/>
                <w:lang w:eastAsia="ru-RU"/>
              </w:rPr>
              <w:t>26</w:t>
            </w:r>
          </w:p>
        </w:tc>
      </w:tr>
      <w:tr w:rsidR="000B6128" w:rsidRPr="00731FE2" w14:paraId="48B2C10F" w14:textId="77777777" w:rsidTr="00FE28EA">
        <w:trPr>
          <w:trHeight w:val="70"/>
          <w:tblCellSpacing w:w="0" w:type="dxa"/>
        </w:trPr>
        <w:tc>
          <w:tcPr>
            <w:tcW w:w="861" w:type="dxa"/>
            <w:tcBorders>
              <w:top w:val="nil"/>
              <w:left w:val="single" w:sz="8" w:space="0" w:color="000000"/>
              <w:bottom w:val="single" w:sz="8" w:space="0" w:color="000000"/>
              <w:right w:val="single" w:sz="8" w:space="0" w:color="000000"/>
            </w:tcBorders>
            <w:vAlign w:val="center"/>
            <w:hideMark/>
          </w:tcPr>
          <w:p w14:paraId="7A531367" w14:textId="7777777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4.2.</w:t>
            </w:r>
          </w:p>
        </w:tc>
        <w:tc>
          <w:tcPr>
            <w:tcW w:w="3417" w:type="dxa"/>
            <w:tcBorders>
              <w:top w:val="nil"/>
              <w:left w:val="nil"/>
              <w:bottom w:val="single" w:sz="8" w:space="0" w:color="000000"/>
              <w:right w:val="single" w:sz="8" w:space="0" w:color="000000"/>
            </w:tcBorders>
            <w:vAlign w:val="center"/>
            <w:hideMark/>
          </w:tcPr>
          <w:p w14:paraId="601C62D5" w14:textId="77777777" w:rsidR="000B6128" w:rsidRPr="00731FE2" w:rsidRDefault="000B6128" w:rsidP="000B6128">
            <w:pPr>
              <w:spacing w:line="240" w:lineRule="auto"/>
              <w:ind w:firstLine="0"/>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Общеобразовательные школы</w:t>
            </w:r>
          </w:p>
        </w:tc>
        <w:tc>
          <w:tcPr>
            <w:tcW w:w="1525" w:type="dxa"/>
            <w:tcBorders>
              <w:top w:val="nil"/>
              <w:left w:val="nil"/>
              <w:bottom w:val="single" w:sz="8" w:space="0" w:color="000000"/>
              <w:right w:val="single" w:sz="8" w:space="0" w:color="000000"/>
            </w:tcBorders>
            <w:vAlign w:val="center"/>
            <w:hideMark/>
          </w:tcPr>
          <w:p w14:paraId="3C086E81" w14:textId="7777777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ед.</w:t>
            </w:r>
          </w:p>
        </w:tc>
        <w:tc>
          <w:tcPr>
            <w:tcW w:w="1766" w:type="dxa"/>
            <w:tcBorders>
              <w:top w:val="nil"/>
              <w:left w:val="nil"/>
              <w:bottom w:val="single" w:sz="8" w:space="0" w:color="000000"/>
              <w:right w:val="single" w:sz="8" w:space="0" w:color="000000"/>
            </w:tcBorders>
            <w:vAlign w:val="center"/>
            <w:hideMark/>
          </w:tcPr>
          <w:p w14:paraId="2A841EA2" w14:textId="6EE6A5DD" w:rsidR="000B6128" w:rsidRPr="00731FE2" w:rsidRDefault="000B6128" w:rsidP="000B6128">
            <w:pPr>
              <w:spacing w:line="240" w:lineRule="auto"/>
              <w:ind w:firstLine="0"/>
              <w:jc w:val="center"/>
              <w:rPr>
                <w:rFonts w:ascii="Times New Roman" w:eastAsia="Times New Roman" w:hAnsi="Times New Roman" w:cs="Times New Roman"/>
                <w:color w:val="000000"/>
                <w:sz w:val="22"/>
                <w:lang w:eastAsia="ru-RU"/>
              </w:rPr>
            </w:pPr>
            <w:r w:rsidRPr="00731FE2">
              <w:rPr>
                <w:rFonts w:ascii="Times New Roman" w:eastAsia="Times New Roman" w:hAnsi="Times New Roman" w:cs="Times New Roman"/>
                <w:color w:val="000000"/>
                <w:sz w:val="22"/>
                <w:lang w:eastAsia="ru-RU"/>
              </w:rPr>
              <w:t>17</w:t>
            </w:r>
          </w:p>
        </w:tc>
        <w:tc>
          <w:tcPr>
            <w:tcW w:w="1766" w:type="dxa"/>
            <w:tcBorders>
              <w:top w:val="nil"/>
              <w:left w:val="nil"/>
              <w:bottom w:val="single" w:sz="8" w:space="0" w:color="000000"/>
              <w:right w:val="single" w:sz="8" w:space="0" w:color="000000"/>
            </w:tcBorders>
            <w:vAlign w:val="center"/>
            <w:hideMark/>
          </w:tcPr>
          <w:p w14:paraId="2998098A" w14:textId="472C17F4" w:rsidR="000B6128" w:rsidRPr="00731FE2" w:rsidRDefault="000B6128" w:rsidP="000B6128">
            <w:pPr>
              <w:spacing w:line="240" w:lineRule="auto"/>
              <w:ind w:firstLine="0"/>
              <w:jc w:val="center"/>
              <w:rPr>
                <w:rFonts w:ascii="Times New Roman" w:eastAsia="Times New Roman" w:hAnsi="Times New Roman" w:cs="Times New Roman"/>
                <w:color w:val="000000"/>
                <w:sz w:val="22"/>
                <w:lang w:eastAsia="ru-RU"/>
              </w:rPr>
            </w:pPr>
            <w:r w:rsidRPr="00731FE2">
              <w:rPr>
                <w:rFonts w:ascii="Times New Roman" w:eastAsia="Times New Roman" w:hAnsi="Times New Roman" w:cs="Times New Roman"/>
                <w:color w:val="000000"/>
                <w:sz w:val="22"/>
                <w:lang w:eastAsia="ru-RU"/>
              </w:rPr>
              <w:t>20</w:t>
            </w:r>
          </w:p>
        </w:tc>
      </w:tr>
      <w:tr w:rsidR="000B6128" w:rsidRPr="00731FE2" w14:paraId="034D1B03" w14:textId="77777777" w:rsidTr="00FE28EA">
        <w:trPr>
          <w:trHeight w:val="70"/>
          <w:tblCellSpacing w:w="0" w:type="dxa"/>
        </w:trPr>
        <w:tc>
          <w:tcPr>
            <w:tcW w:w="861" w:type="dxa"/>
            <w:tcBorders>
              <w:top w:val="nil"/>
              <w:left w:val="single" w:sz="8" w:space="0" w:color="000000"/>
              <w:bottom w:val="single" w:sz="8" w:space="0" w:color="000000"/>
              <w:right w:val="single" w:sz="8" w:space="0" w:color="000000"/>
            </w:tcBorders>
            <w:vAlign w:val="center"/>
            <w:hideMark/>
          </w:tcPr>
          <w:p w14:paraId="0CA532B2" w14:textId="7777777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4.3.</w:t>
            </w:r>
          </w:p>
        </w:tc>
        <w:tc>
          <w:tcPr>
            <w:tcW w:w="3417" w:type="dxa"/>
            <w:tcBorders>
              <w:top w:val="nil"/>
              <w:left w:val="nil"/>
              <w:bottom w:val="single" w:sz="8" w:space="0" w:color="000000"/>
              <w:right w:val="single" w:sz="8" w:space="0" w:color="000000"/>
            </w:tcBorders>
            <w:vAlign w:val="center"/>
            <w:hideMark/>
          </w:tcPr>
          <w:p w14:paraId="38968CC3" w14:textId="77777777" w:rsidR="000B6128" w:rsidRPr="00731FE2" w:rsidRDefault="000B6128" w:rsidP="000B6128">
            <w:pPr>
              <w:spacing w:line="240" w:lineRule="auto"/>
              <w:ind w:firstLine="0"/>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Больницы</w:t>
            </w:r>
          </w:p>
        </w:tc>
        <w:tc>
          <w:tcPr>
            <w:tcW w:w="1525" w:type="dxa"/>
            <w:tcBorders>
              <w:top w:val="nil"/>
              <w:left w:val="nil"/>
              <w:bottom w:val="single" w:sz="8" w:space="0" w:color="000000"/>
              <w:right w:val="single" w:sz="8" w:space="0" w:color="000000"/>
            </w:tcBorders>
            <w:vAlign w:val="center"/>
            <w:hideMark/>
          </w:tcPr>
          <w:p w14:paraId="02A2F43A" w14:textId="7777777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коек</w:t>
            </w:r>
          </w:p>
        </w:tc>
        <w:tc>
          <w:tcPr>
            <w:tcW w:w="1766" w:type="dxa"/>
            <w:tcBorders>
              <w:top w:val="nil"/>
              <w:left w:val="nil"/>
              <w:bottom w:val="single" w:sz="8" w:space="0" w:color="000000"/>
              <w:right w:val="single" w:sz="8" w:space="0" w:color="000000"/>
            </w:tcBorders>
            <w:vAlign w:val="center"/>
            <w:hideMark/>
          </w:tcPr>
          <w:p w14:paraId="40801150" w14:textId="7670B9AC" w:rsidR="000B6128" w:rsidRPr="00731FE2" w:rsidRDefault="000B6128" w:rsidP="000B6128">
            <w:pPr>
              <w:spacing w:line="240" w:lineRule="auto"/>
              <w:ind w:firstLine="0"/>
              <w:jc w:val="center"/>
              <w:rPr>
                <w:rFonts w:ascii="Times New Roman" w:eastAsia="Times New Roman" w:hAnsi="Times New Roman" w:cs="Times New Roman"/>
                <w:color w:val="000000"/>
                <w:sz w:val="22"/>
                <w:lang w:eastAsia="ru-RU"/>
              </w:rPr>
            </w:pPr>
            <w:r w:rsidRPr="00731FE2">
              <w:rPr>
                <w:rFonts w:ascii="Times New Roman" w:eastAsia="Times New Roman" w:hAnsi="Times New Roman" w:cs="Times New Roman"/>
                <w:color w:val="000000"/>
                <w:sz w:val="22"/>
                <w:lang w:eastAsia="ru-RU"/>
              </w:rPr>
              <w:t>900</w:t>
            </w:r>
          </w:p>
        </w:tc>
        <w:tc>
          <w:tcPr>
            <w:tcW w:w="1766" w:type="dxa"/>
            <w:tcBorders>
              <w:top w:val="nil"/>
              <w:left w:val="nil"/>
              <w:bottom w:val="single" w:sz="8" w:space="0" w:color="000000"/>
              <w:right w:val="single" w:sz="8" w:space="0" w:color="000000"/>
            </w:tcBorders>
            <w:vAlign w:val="center"/>
            <w:hideMark/>
          </w:tcPr>
          <w:p w14:paraId="0C250568" w14:textId="75F4150F" w:rsidR="000B6128" w:rsidRPr="00731FE2" w:rsidRDefault="000B6128" w:rsidP="000B6128">
            <w:pPr>
              <w:spacing w:line="240" w:lineRule="auto"/>
              <w:ind w:firstLine="0"/>
              <w:jc w:val="center"/>
              <w:rPr>
                <w:rFonts w:ascii="Times New Roman" w:eastAsia="Times New Roman" w:hAnsi="Times New Roman" w:cs="Times New Roman"/>
                <w:color w:val="000000"/>
                <w:sz w:val="22"/>
                <w:lang w:eastAsia="ru-RU"/>
              </w:rPr>
            </w:pPr>
            <w:r w:rsidRPr="00731FE2">
              <w:rPr>
                <w:rFonts w:ascii="Times New Roman" w:eastAsia="Times New Roman" w:hAnsi="Times New Roman" w:cs="Times New Roman"/>
                <w:color w:val="000000"/>
                <w:sz w:val="22"/>
                <w:lang w:eastAsia="ru-RU"/>
              </w:rPr>
              <w:t>1820</w:t>
            </w:r>
          </w:p>
        </w:tc>
      </w:tr>
      <w:tr w:rsidR="000B6128" w:rsidRPr="00731FE2" w14:paraId="234DF3F3" w14:textId="77777777" w:rsidTr="00FE28EA">
        <w:trPr>
          <w:trHeight w:val="70"/>
          <w:tblCellSpacing w:w="0" w:type="dxa"/>
        </w:trPr>
        <w:tc>
          <w:tcPr>
            <w:tcW w:w="861" w:type="dxa"/>
            <w:tcBorders>
              <w:top w:val="nil"/>
              <w:left w:val="single" w:sz="8" w:space="0" w:color="000000"/>
              <w:bottom w:val="single" w:sz="8" w:space="0" w:color="000000"/>
              <w:right w:val="single" w:sz="8" w:space="0" w:color="000000"/>
            </w:tcBorders>
            <w:vAlign w:val="center"/>
            <w:hideMark/>
          </w:tcPr>
          <w:p w14:paraId="4011E65B" w14:textId="7777777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4.4.</w:t>
            </w:r>
          </w:p>
        </w:tc>
        <w:tc>
          <w:tcPr>
            <w:tcW w:w="3417" w:type="dxa"/>
            <w:tcBorders>
              <w:top w:val="nil"/>
              <w:left w:val="nil"/>
              <w:bottom w:val="single" w:sz="8" w:space="0" w:color="000000"/>
              <w:right w:val="single" w:sz="8" w:space="0" w:color="000000"/>
            </w:tcBorders>
            <w:vAlign w:val="center"/>
            <w:hideMark/>
          </w:tcPr>
          <w:p w14:paraId="09BF079B" w14:textId="77777777" w:rsidR="000B6128" w:rsidRPr="00731FE2" w:rsidRDefault="000B6128" w:rsidP="000B6128">
            <w:pPr>
              <w:spacing w:line="240" w:lineRule="auto"/>
              <w:ind w:firstLine="0"/>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 xml:space="preserve">Поликлиники </w:t>
            </w:r>
          </w:p>
        </w:tc>
        <w:tc>
          <w:tcPr>
            <w:tcW w:w="1525" w:type="dxa"/>
            <w:tcBorders>
              <w:top w:val="nil"/>
              <w:left w:val="nil"/>
              <w:bottom w:val="single" w:sz="8" w:space="0" w:color="000000"/>
              <w:right w:val="single" w:sz="8" w:space="0" w:color="000000"/>
            </w:tcBorders>
            <w:vAlign w:val="center"/>
            <w:hideMark/>
          </w:tcPr>
          <w:p w14:paraId="009387ED" w14:textId="7777777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посещений в смену</w:t>
            </w:r>
          </w:p>
        </w:tc>
        <w:tc>
          <w:tcPr>
            <w:tcW w:w="1766" w:type="dxa"/>
            <w:tcBorders>
              <w:top w:val="nil"/>
              <w:left w:val="nil"/>
              <w:bottom w:val="single" w:sz="8" w:space="0" w:color="000000"/>
              <w:right w:val="single" w:sz="8" w:space="0" w:color="000000"/>
            </w:tcBorders>
            <w:vAlign w:val="center"/>
            <w:hideMark/>
          </w:tcPr>
          <w:p w14:paraId="36D22E92" w14:textId="2F6E4A23" w:rsidR="000B6128" w:rsidRPr="00731FE2" w:rsidRDefault="000B6128" w:rsidP="000B6128">
            <w:pPr>
              <w:spacing w:line="240" w:lineRule="auto"/>
              <w:ind w:firstLine="0"/>
              <w:jc w:val="center"/>
              <w:rPr>
                <w:rFonts w:ascii="Times New Roman" w:eastAsia="Times New Roman" w:hAnsi="Times New Roman" w:cs="Times New Roman"/>
                <w:color w:val="000000"/>
                <w:sz w:val="22"/>
                <w:lang w:eastAsia="ru-RU"/>
              </w:rPr>
            </w:pPr>
            <w:r w:rsidRPr="00731FE2">
              <w:rPr>
                <w:rFonts w:ascii="Times New Roman" w:eastAsia="Times New Roman" w:hAnsi="Times New Roman" w:cs="Times New Roman"/>
                <w:color w:val="000000"/>
                <w:sz w:val="22"/>
                <w:lang w:eastAsia="ru-RU"/>
              </w:rPr>
              <w:t>2386</w:t>
            </w:r>
          </w:p>
        </w:tc>
        <w:tc>
          <w:tcPr>
            <w:tcW w:w="1766" w:type="dxa"/>
            <w:tcBorders>
              <w:top w:val="nil"/>
              <w:left w:val="nil"/>
              <w:bottom w:val="single" w:sz="8" w:space="0" w:color="000000"/>
              <w:right w:val="single" w:sz="8" w:space="0" w:color="000000"/>
            </w:tcBorders>
            <w:vAlign w:val="center"/>
            <w:hideMark/>
          </w:tcPr>
          <w:p w14:paraId="3851559B" w14:textId="7D34B126" w:rsidR="000B6128" w:rsidRPr="00731FE2" w:rsidRDefault="000B6128" w:rsidP="000B6128">
            <w:pPr>
              <w:spacing w:line="240" w:lineRule="auto"/>
              <w:ind w:firstLine="0"/>
              <w:jc w:val="center"/>
              <w:rPr>
                <w:rFonts w:ascii="Times New Roman" w:eastAsia="Times New Roman" w:hAnsi="Times New Roman" w:cs="Times New Roman"/>
                <w:color w:val="000000"/>
                <w:sz w:val="22"/>
                <w:lang w:eastAsia="ru-RU"/>
              </w:rPr>
            </w:pPr>
            <w:r w:rsidRPr="00731FE2">
              <w:rPr>
                <w:rFonts w:ascii="Times New Roman" w:eastAsia="Times New Roman" w:hAnsi="Times New Roman" w:cs="Times New Roman"/>
                <w:color w:val="000000"/>
                <w:sz w:val="22"/>
                <w:lang w:eastAsia="ru-RU"/>
              </w:rPr>
              <w:t>2450</w:t>
            </w:r>
          </w:p>
        </w:tc>
      </w:tr>
      <w:tr w:rsidR="000B6128" w:rsidRPr="00731FE2" w14:paraId="51261FC2" w14:textId="77777777" w:rsidTr="00FE28EA">
        <w:trPr>
          <w:trHeight w:val="465"/>
          <w:tblCellSpacing w:w="0" w:type="dxa"/>
        </w:trPr>
        <w:tc>
          <w:tcPr>
            <w:tcW w:w="861" w:type="dxa"/>
            <w:tcBorders>
              <w:top w:val="nil"/>
              <w:left w:val="single" w:sz="8" w:space="0" w:color="000000"/>
              <w:bottom w:val="single" w:sz="8" w:space="0" w:color="000000"/>
              <w:right w:val="single" w:sz="8" w:space="0" w:color="000000"/>
            </w:tcBorders>
            <w:vAlign w:val="center"/>
            <w:hideMark/>
          </w:tcPr>
          <w:p w14:paraId="0094868D" w14:textId="7777777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4.5.</w:t>
            </w:r>
          </w:p>
        </w:tc>
        <w:tc>
          <w:tcPr>
            <w:tcW w:w="3417" w:type="dxa"/>
            <w:tcBorders>
              <w:top w:val="nil"/>
              <w:left w:val="nil"/>
              <w:bottom w:val="single" w:sz="8" w:space="0" w:color="000000"/>
              <w:right w:val="single" w:sz="8" w:space="0" w:color="000000"/>
            </w:tcBorders>
            <w:vAlign w:val="center"/>
            <w:hideMark/>
          </w:tcPr>
          <w:p w14:paraId="5CFA7775" w14:textId="77777777" w:rsidR="000B6128" w:rsidRPr="00731FE2" w:rsidRDefault="000B6128" w:rsidP="000B6128">
            <w:pPr>
              <w:spacing w:line="240" w:lineRule="auto"/>
              <w:ind w:firstLine="0"/>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Станции скорой медицинской помощи</w:t>
            </w:r>
          </w:p>
        </w:tc>
        <w:tc>
          <w:tcPr>
            <w:tcW w:w="1525" w:type="dxa"/>
            <w:tcBorders>
              <w:top w:val="nil"/>
              <w:left w:val="nil"/>
              <w:bottom w:val="single" w:sz="8" w:space="0" w:color="000000"/>
              <w:right w:val="single" w:sz="8" w:space="0" w:color="000000"/>
            </w:tcBorders>
            <w:vAlign w:val="center"/>
            <w:hideMark/>
          </w:tcPr>
          <w:p w14:paraId="0FC5B21A" w14:textId="7777777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автомобиль</w:t>
            </w:r>
          </w:p>
        </w:tc>
        <w:tc>
          <w:tcPr>
            <w:tcW w:w="1766" w:type="dxa"/>
            <w:tcBorders>
              <w:top w:val="nil"/>
              <w:left w:val="nil"/>
              <w:bottom w:val="single" w:sz="8" w:space="0" w:color="000000"/>
              <w:right w:val="single" w:sz="8" w:space="0" w:color="000000"/>
            </w:tcBorders>
            <w:vAlign w:val="center"/>
            <w:hideMark/>
          </w:tcPr>
          <w:p w14:paraId="2E4E5248" w14:textId="047F326E" w:rsidR="000B6128" w:rsidRPr="00731FE2" w:rsidRDefault="000B6128" w:rsidP="000B6128">
            <w:pPr>
              <w:spacing w:line="240" w:lineRule="auto"/>
              <w:ind w:firstLine="0"/>
              <w:jc w:val="center"/>
              <w:rPr>
                <w:rFonts w:ascii="Times New Roman" w:eastAsia="Times New Roman" w:hAnsi="Times New Roman" w:cs="Times New Roman"/>
                <w:color w:val="000000"/>
                <w:sz w:val="22"/>
                <w:lang w:eastAsia="ru-RU"/>
              </w:rPr>
            </w:pPr>
            <w:r w:rsidRPr="00731FE2">
              <w:rPr>
                <w:rFonts w:ascii="Times New Roman" w:eastAsia="Times New Roman" w:hAnsi="Times New Roman" w:cs="Times New Roman"/>
                <w:color w:val="000000"/>
                <w:sz w:val="22"/>
                <w:lang w:eastAsia="ru-RU"/>
              </w:rPr>
              <w:t>12</w:t>
            </w:r>
          </w:p>
        </w:tc>
        <w:tc>
          <w:tcPr>
            <w:tcW w:w="1766" w:type="dxa"/>
            <w:tcBorders>
              <w:top w:val="nil"/>
              <w:left w:val="nil"/>
              <w:bottom w:val="single" w:sz="8" w:space="0" w:color="000000"/>
              <w:right w:val="single" w:sz="8" w:space="0" w:color="000000"/>
            </w:tcBorders>
            <w:vAlign w:val="center"/>
            <w:hideMark/>
          </w:tcPr>
          <w:p w14:paraId="0DB76EE6" w14:textId="080F68A3" w:rsidR="000B6128" w:rsidRPr="00731FE2" w:rsidRDefault="000B6128" w:rsidP="000B6128">
            <w:pPr>
              <w:spacing w:line="240" w:lineRule="auto"/>
              <w:ind w:firstLine="0"/>
              <w:jc w:val="center"/>
              <w:rPr>
                <w:rFonts w:ascii="Times New Roman" w:eastAsia="Times New Roman" w:hAnsi="Times New Roman" w:cs="Times New Roman"/>
                <w:color w:val="000000"/>
                <w:sz w:val="22"/>
                <w:lang w:eastAsia="ru-RU"/>
              </w:rPr>
            </w:pPr>
            <w:r w:rsidRPr="00731FE2">
              <w:rPr>
                <w:rFonts w:ascii="Times New Roman" w:eastAsia="Times New Roman" w:hAnsi="Times New Roman" w:cs="Times New Roman"/>
                <w:color w:val="000000"/>
                <w:sz w:val="22"/>
                <w:lang w:eastAsia="ru-RU"/>
              </w:rPr>
              <w:t>14</w:t>
            </w:r>
          </w:p>
        </w:tc>
      </w:tr>
      <w:tr w:rsidR="000B6128" w:rsidRPr="00731FE2" w14:paraId="7029FF66" w14:textId="77777777" w:rsidTr="00FE28EA">
        <w:trPr>
          <w:trHeight w:val="70"/>
          <w:tblCellSpacing w:w="0" w:type="dxa"/>
        </w:trPr>
        <w:tc>
          <w:tcPr>
            <w:tcW w:w="861" w:type="dxa"/>
            <w:tcBorders>
              <w:top w:val="nil"/>
              <w:left w:val="single" w:sz="8" w:space="0" w:color="000000"/>
              <w:bottom w:val="single" w:sz="8" w:space="0" w:color="000000"/>
              <w:right w:val="single" w:sz="8" w:space="0" w:color="000000"/>
            </w:tcBorders>
            <w:vAlign w:val="center"/>
            <w:hideMark/>
          </w:tcPr>
          <w:p w14:paraId="3E9D23C7" w14:textId="7777777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4.6.</w:t>
            </w:r>
          </w:p>
        </w:tc>
        <w:tc>
          <w:tcPr>
            <w:tcW w:w="3417" w:type="dxa"/>
            <w:tcBorders>
              <w:top w:val="nil"/>
              <w:left w:val="nil"/>
              <w:bottom w:val="single" w:sz="8" w:space="0" w:color="000000"/>
              <w:right w:val="single" w:sz="8" w:space="0" w:color="000000"/>
            </w:tcBorders>
            <w:vAlign w:val="center"/>
            <w:hideMark/>
          </w:tcPr>
          <w:p w14:paraId="2D725C04" w14:textId="77777777" w:rsidR="000B6128" w:rsidRPr="00731FE2" w:rsidRDefault="000B6128" w:rsidP="000B6128">
            <w:pPr>
              <w:spacing w:line="240" w:lineRule="auto"/>
              <w:ind w:firstLine="0"/>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Учреждения культуры и искусства</w:t>
            </w:r>
          </w:p>
        </w:tc>
        <w:tc>
          <w:tcPr>
            <w:tcW w:w="1525" w:type="dxa"/>
            <w:tcBorders>
              <w:top w:val="nil"/>
              <w:left w:val="nil"/>
              <w:bottom w:val="single" w:sz="8" w:space="0" w:color="000000"/>
              <w:right w:val="single" w:sz="8" w:space="0" w:color="000000"/>
            </w:tcBorders>
            <w:vAlign w:val="center"/>
            <w:hideMark/>
          </w:tcPr>
          <w:p w14:paraId="1740CD50" w14:textId="7777777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ед.</w:t>
            </w:r>
          </w:p>
        </w:tc>
        <w:tc>
          <w:tcPr>
            <w:tcW w:w="1766" w:type="dxa"/>
            <w:tcBorders>
              <w:top w:val="nil"/>
              <w:left w:val="nil"/>
              <w:bottom w:val="single" w:sz="8" w:space="0" w:color="000000"/>
              <w:right w:val="single" w:sz="8" w:space="0" w:color="000000"/>
            </w:tcBorders>
            <w:vAlign w:val="center"/>
            <w:hideMark/>
          </w:tcPr>
          <w:p w14:paraId="2C1130F5" w14:textId="7973A791" w:rsidR="000B6128" w:rsidRPr="00731FE2" w:rsidRDefault="000B6128" w:rsidP="000B6128">
            <w:pPr>
              <w:spacing w:line="240" w:lineRule="auto"/>
              <w:ind w:firstLine="0"/>
              <w:jc w:val="center"/>
              <w:rPr>
                <w:rFonts w:ascii="Times New Roman" w:eastAsia="Times New Roman" w:hAnsi="Times New Roman" w:cs="Times New Roman"/>
                <w:color w:val="000000"/>
                <w:sz w:val="22"/>
                <w:lang w:eastAsia="ru-RU"/>
              </w:rPr>
            </w:pPr>
            <w:r w:rsidRPr="00731FE2">
              <w:rPr>
                <w:rFonts w:ascii="Times New Roman" w:eastAsia="Times New Roman" w:hAnsi="Times New Roman" w:cs="Times New Roman"/>
                <w:color w:val="000000"/>
                <w:sz w:val="22"/>
                <w:lang w:eastAsia="ru-RU"/>
              </w:rPr>
              <w:t>28</w:t>
            </w:r>
          </w:p>
        </w:tc>
        <w:tc>
          <w:tcPr>
            <w:tcW w:w="1766" w:type="dxa"/>
            <w:tcBorders>
              <w:top w:val="nil"/>
              <w:left w:val="nil"/>
              <w:bottom w:val="single" w:sz="8" w:space="0" w:color="000000"/>
              <w:right w:val="single" w:sz="8" w:space="0" w:color="000000"/>
            </w:tcBorders>
            <w:vAlign w:val="center"/>
            <w:hideMark/>
          </w:tcPr>
          <w:p w14:paraId="2A8FF801" w14:textId="720BE251" w:rsidR="000B6128" w:rsidRPr="00731FE2" w:rsidRDefault="000B6128" w:rsidP="000B6128">
            <w:pPr>
              <w:spacing w:line="240" w:lineRule="auto"/>
              <w:ind w:firstLine="0"/>
              <w:jc w:val="center"/>
              <w:rPr>
                <w:rFonts w:ascii="Times New Roman" w:eastAsia="Times New Roman" w:hAnsi="Times New Roman" w:cs="Times New Roman"/>
                <w:color w:val="000000"/>
                <w:sz w:val="22"/>
                <w:lang w:eastAsia="ru-RU"/>
              </w:rPr>
            </w:pPr>
            <w:r w:rsidRPr="00731FE2">
              <w:rPr>
                <w:rFonts w:ascii="Times New Roman" w:eastAsia="Times New Roman" w:hAnsi="Times New Roman" w:cs="Times New Roman"/>
                <w:color w:val="000000"/>
                <w:sz w:val="22"/>
                <w:lang w:eastAsia="ru-RU"/>
              </w:rPr>
              <w:t>30</w:t>
            </w:r>
          </w:p>
        </w:tc>
      </w:tr>
      <w:tr w:rsidR="000B6128" w:rsidRPr="00731FE2" w14:paraId="15F6DD80" w14:textId="77777777" w:rsidTr="00FE28EA">
        <w:trPr>
          <w:trHeight w:val="465"/>
          <w:tblCellSpacing w:w="0" w:type="dxa"/>
        </w:trPr>
        <w:tc>
          <w:tcPr>
            <w:tcW w:w="861" w:type="dxa"/>
            <w:tcBorders>
              <w:top w:val="nil"/>
              <w:left w:val="single" w:sz="8" w:space="0" w:color="000000"/>
              <w:bottom w:val="single" w:sz="8" w:space="0" w:color="000000"/>
              <w:right w:val="single" w:sz="8" w:space="0" w:color="000000"/>
            </w:tcBorders>
            <w:vAlign w:val="center"/>
            <w:hideMark/>
          </w:tcPr>
          <w:p w14:paraId="1637DF5F" w14:textId="7777777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4.7.</w:t>
            </w:r>
          </w:p>
        </w:tc>
        <w:tc>
          <w:tcPr>
            <w:tcW w:w="3417" w:type="dxa"/>
            <w:tcBorders>
              <w:top w:val="nil"/>
              <w:left w:val="nil"/>
              <w:bottom w:val="single" w:sz="8" w:space="0" w:color="000000"/>
              <w:right w:val="single" w:sz="8" w:space="0" w:color="000000"/>
            </w:tcBorders>
            <w:vAlign w:val="center"/>
            <w:hideMark/>
          </w:tcPr>
          <w:p w14:paraId="788107F7" w14:textId="77777777" w:rsidR="000B6128" w:rsidRPr="00731FE2" w:rsidRDefault="000B6128" w:rsidP="000B6128">
            <w:pPr>
              <w:spacing w:line="240" w:lineRule="auto"/>
              <w:ind w:firstLine="0"/>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Цирк</w:t>
            </w:r>
          </w:p>
        </w:tc>
        <w:tc>
          <w:tcPr>
            <w:tcW w:w="1525" w:type="dxa"/>
            <w:tcBorders>
              <w:top w:val="nil"/>
              <w:left w:val="nil"/>
              <w:bottom w:val="single" w:sz="8" w:space="0" w:color="000000"/>
              <w:right w:val="single" w:sz="8" w:space="0" w:color="000000"/>
            </w:tcBorders>
            <w:vAlign w:val="center"/>
            <w:hideMark/>
          </w:tcPr>
          <w:p w14:paraId="091B8160" w14:textId="7777777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пос. мест</w:t>
            </w:r>
          </w:p>
        </w:tc>
        <w:tc>
          <w:tcPr>
            <w:tcW w:w="1766" w:type="dxa"/>
            <w:tcBorders>
              <w:top w:val="nil"/>
              <w:left w:val="nil"/>
              <w:bottom w:val="single" w:sz="8" w:space="0" w:color="000000"/>
              <w:right w:val="single" w:sz="8" w:space="0" w:color="000000"/>
            </w:tcBorders>
            <w:vAlign w:val="center"/>
            <w:hideMark/>
          </w:tcPr>
          <w:p w14:paraId="7F3EF00D" w14:textId="195FEC96" w:rsidR="000B6128" w:rsidRPr="00731FE2" w:rsidRDefault="000B6128" w:rsidP="000B6128">
            <w:pPr>
              <w:spacing w:line="240" w:lineRule="auto"/>
              <w:ind w:firstLine="0"/>
              <w:jc w:val="center"/>
              <w:rPr>
                <w:rFonts w:ascii="Times New Roman" w:eastAsia="Times New Roman" w:hAnsi="Times New Roman" w:cs="Times New Roman"/>
                <w:color w:val="000000"/>
                <w:sz w:val="22"/>
                <w:lang w:eastAsia="ru-RU"/>
              </w:rPr>
            </w:pPr>
            <w:r w:rsidRPr="00731FE2">
              <w:rPr>
                <w:rFonts w:ascii="Times New Roman" w:eastAsia="Times New Roman" w:hAnsi="Times New Roman" w:cs="Times New Roman"/>
                <w:color w:val="000000"/>
                <w:sz w:val="22"/>
                <w:lang w:eastAsia="ru-RU"/>
              </w:rPr>
              <w:t>1</w:t>
            </w:r>
          </w:p>
        </w:tc>
        <w:tc>
          <w:tcPr>
            <w:tcW w:w="1766" w:type="dxa"/>
            <w:tcBorders>
              <w:top w:val="nil"/>
              <w:left w:val="nil"/>
              <w:bottom w:val="single" w:sz="8" w:space="0" w:color="000000"/>
              <w:right w:val="single" w:sz="8" w:space="0" w:color="000000"/>
            </w:tcBorders>
            <w:vAlign w:val="center"/>
            <w:hideMark/>
          </w:tcPr>
          <w:p w14:paraId="2C8C1B0F" w14:textId="02CEAE47" w:rsidR="000B6128" w:rsidRPr="00731FE2" w:rsidRDefault="000B6128" w:rsidP="000B6128">
            <w:pPr>
              <w:spacing w:line="240" w:lineRule="auto"/>
              <w:ind w:firstLine="0"/>
              <w:jc w:val="center"/>
              <w:rPr>
                <w:rFonts w:ascii="Times New Roman" w:eastAsia="Times New Roman" w:hAnsi="Times New Roman" w:cs="Times New Roman"/>
                <w:color w:val="000000"/>
                <w:sz w:val="22"/>
                <w:lang w:eastAsia="ru-RU"/>
              </w:rPr>
            </w:pPr>
            <w:r w:rsidRPr="00731FE2">
              <w:rPr>
                <w:rFonts w:ascii="Times New Roman" w:eastAsia="Times New Roman" w:hAnsi="Times New Roman" w:cs="Times New Roman"/>
                <w:color w:val="000000"/>
                <w:sz w:val="22"/>
                <w:lang w:eastAsia="ru-RU"/>
              </w:rPr>
              <w:t>1</w:t>
            </w:r>
          </w:p>
        </w:tc>
      </w:tr>
      <w:tr w:rsidR="000B6128" w:rsidRPr="00731FE2" w14:paraId="5871C13B" w14:textId="77777777" w:rsidTr="00FE28EA">
        <w:trPr>
          <w:trHeight w:val="465"/>
          <w:tblCellSpacing w:w="0" w:type="dxa"/>
        </w:trPr>
        <w:tc>
          <w:tcPr>
            <w:tcW w:w="861" w:type="dxa"/>
            <w:tcBorders>
              <w:top w:val="nil"/>
              <w:left w:val="single" w:sz="8" w:space="0" w:color="000000"/>
              <w:bottom w:val="single" w:sz="8" w:space="0" w:color="000000"/>
              <w:right w:val="single" w:sz="8" w:space="0" w:color="000000"/>
            </w:tcBorders>
            <w:vAlign w:val="center"/>
            <w:hideMark/>
          </w:tcPr>
          <w:p w14:paraId="3A9C432E" w14:textId="7777777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4.8.</w:t>
            </w:r>
          </w:p>
        </w:tc>
        <w:tc>
          <w:tcPr>
            <w:tcW w:w="3417" w:type="dxa"/>
            <w:tcBorders>
              <w:top w:val="nil"/>
              <w:left w:val="nil"/>
              <w:bottom w:val="single" w:sz="8" w:space="0" w:color="000000"/>
              <w:right w:val="single" w:sz="8" w:space="0" w:color="000000"/>
            </w:tcBorders>
            <w:vAlign w:val="center"/>
            <w:hideMark/>
          </w:tcPr>
          <w:p w14:paraId="17CA00B9" w14:textId="77777777" w:rsidR="000B6128" w:rsidRPr="00731FE2" w:rsidRDefault="000B6128" w:rsidP="000B6128">
            <w:pPr>
              <w:spacing w:line="240" w:lineRule="auto"/>
              <w:ind w:firstLine="0"/>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 xml:space="preserve">Библиотеки </w:t>
            </w:r>
          </w:p>
        </w:tc>
        <w:tc>
          <w:tcPr>
            <w:tcW w:w="1525" w:type="dxa"/>
            <w:tcBorders>
              <w:top w:val="nil"/>
              <w:left w:val="nil"/>
              <w:bottom w:val="single" w:sz="8" w:space="0" w:color="000000"/>
              <w:right w:val="single" w:sz="8" w:space="0" w:color="000000"/>
            </w:tcBorders>
            <w:vAlign w:val="center"/>
            <w:hideMark/>
          </w:tcPr>
          <w:p w14:paraId="3B8A77D9" w14:textId="4FB3BAEC"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ед.</w:t>
            </w:r>
          </w:p>
        </w:tc>
        <w:tc>
          <w:tcPr>
            <w:tcW w:w="1766" w:type="dxa"/>
            <w:tcBorders>
              <w:top w:val="nil"/>
              <w:left w:val="nil"/>
              <w:bottom w:val="single" w:sz="8" w:space="0" w:color="000000"/>
              <w:right w:val="single" w:sz="8" w:space="0" w:color="000000"/>
            </w:tcBorders>
            <w:vAlign w:val="center"/>
            <w:hideMark/>
          </w:tcPr>
          <w:p w14:paraId="4A2493FA" w14:textId="04135A72" w:rsidR="000B6128" w:rsidRPr="00731FE2" w:rsidRDefault="000B6128" w:rsidP="000B6128">
            <w:pPr>
              <w:spacing w:line="240" w:lineRule="auto"/>
              <w:ind w:firstLine="0"/>
              <w:jc w:val="center"/>
              <w:rPr>
                <w:rFonts w:ascii="Times New Roman" w:eastAsia="Times New Roman" w:hAnsi="Times New Roman" w:cs="Times New Roman"/>
                <w:color w:val="000000"/>
                <w:sz w:val="22"/>
                <w:lang w:eastAsia="ru-RU"/>
              </w:rPr>
            </w:pPr>
            <w:r w:rsidRPr="00731FE2">
              <w:rPr>
                <w:rFonts w:ascii="Times New Roman" w:eastAsia="Times New Roman" w:hAnsi="Times New Roman" w:cs="Times New Roman"/>
                <w:color w:val="000000"/>
                <w:sz w:val="22"/>
                <w:lang w:eastAsia="ru-RU"/>
              </w:rPr>
              <w:t>11</w:t>
            </w:r>
          </w:p>
        </w:tc>
        <w:tc>
          <w:tcPr>
            <w:tcW w:w="1766" w:type="dxa"/>
            <w:tcBorders>
              <w:top w:val="nil"/>
              <w:left w:val="nil"/>
              <w:bottom w:val="single" w:sz="8" w:space="0" w:color="000000"/>
              <w:right w:val="single" w:sz="8" w:space="0" w:color="000000"/>
            </w:tcBorders>
            <w:vAlign w:val="center"/>
            <w:hideMark/>
          </w:tcPr>
          <w:p w14:paraId="784DB6FB" w14:textId="03EF8785" w:rsidR="000B6128" w:rsidRPr="00731FE2" w:rsidRDefault="000B6128" w:rsidP="000B6128">
            <w:pPr>
              <w:spacing w:line="240" w:lineRule="auto"/>
              <w:ind w:firstLine="0"/>
              <w:jc w:val="center"/>
              <w:rPr>
                <w:rFonts w:ascii="Times New Roman" w:eastAsia="Times New Roman" w:hAnsi="Times New Roman" w:cs="Times New Roman"/>
                <w:color w:val="000000"/>
                <w:sz w:val="22"/>
                <w:lang w:eastAsia="ru-RU"/>
              </w:rPr>
            </w:pPr>
            <w:r w:rsidRPr="00731FE2">
              <w:rPr>
                <w:rFonts w:ascii="Times New Roman" w:eastAsia="Times New Roman" w:hAnsi="Times New Roman" w:cs="Times New Roman"/>
                <w:color w:val="000000"/>
                <w:sz w:val="22"/>
                <w:lang w:eastAsia="ru-RU"/>
              </w:rPr>
              <w:t>11</w:t>
            </w:r>
          </w:p>
        </w:tc>
      </w:tr>
      <w:tr w:rsidR="000B6128" w:rsidRPr="00731FE2" w14:paraId="3E5C539C" w14:textId="77777777" w:rsidTr="00FE28EA">
        <w:trPr>
          <w:trHeight w:val="465"/>
          <w:tblCellSpacing w:w="0" w:type="dxa"/>
        </w:trPr>
        <w:tc>
          <w:tcPr>
            <w:tcW w:w="861" w:type="dxa"/>
            <w:tcBorders>
              <w:top w:val="nil"/>
              <w:left w:val="single" w:sz="8" w:space="0" w:color="000000"/>
              <w:bottom w:val="single" w:sz="8" w:space="0" w:color="000000"/>
              <w:right w:val="single" w:sz="8" w:space="0" w:color="000000"/>
            </w:tcBorders>
            <w:vAlign w:val="center"/>
            <w:hideMark/>
          </w:tcPr>
          <w:p w14:paraId="1F0ECCA0" w14:textId="7777777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4.9.</w:t>
            </w:r>
          </w:p>
        </w:tc>
        <w:tc>
          <w:tcPr>
            <w:tcW w:w="3417" w:type="dxa"/>
            <w:tcBorders>
              <w:top w:val="nil"/>
              <w:left w:val="nil"/>
              <w:bottom w:val="single" w:sz="8" w:space="0" w:color="000000"/>
              <w:right w:val="single" w:sz="8" w:space="0" w:color="000000"/>
            </w:tcBorders>
            <w:vAlign w:val="center"/>
            <w:hideMark/>
          </w:tcPr>
          <w:p w14:paraId="15CCE7F3" w14:textId="77777777" w:rsidR="000B6128" w:rsidRPr="00731FE2" w:rsidRDefault="000B6128" w:rsidP="000B6128">
            <w:pPr>
              <w:spacing w:line="240" w:lineRule="auto"/>
              <w:ind w:firstLine="0"/>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Спортивные залы</w:t>
            </w:r>
          </w:p>
        </w:tc>
        <w:tc>
          <w:tcPr>
            <w:tcW w:w="1525" w:type="dxa"/>
            <w:tcBorders>
              <w:top w:val="nil"/>
              <w:left w:val="nil"/>
              <w:bottom w:val="single" w:sz="8" w:space="0" w:color="000000"/>
              <w:right w:val="single" w:sz="8" w:space="0" w:color="000000"/>
            </w:tcBorders>
            <w:vAlign w:val="center"/>
            <w:hideMark/>
          </w:tcPr>
          <w:p w14:paraId="70EB163D" w14:textId="7777777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площадь, м</w:t>
            </w:r>
            <w:r w:rsidRPr="00731FE2">
              <w:rPr>
                <w:rFonts w:ascii="Times New Roman" w:eastAsia="Times New Roman" w:hAnsi="Times New Roman" w:cs="Times New Roman"/>
                <w:color w:val="000000"/>
                <w:sz w:val="22"/>
                <w:vertAlign w:val="superscript"/>
                <w:lang w:eastAsia="ru-RU"/>
              </w:rPr>
              <w:t>2</w:t>
            </w:r>
          </w:p>
        </w:tc>
        <w:tc>
          <w:tcPr>
            <w:tcW w:w="1766" w:type="dxa"/>
            <w:tcBorders>
              <w:top w:val="nil"/>
              <w:left w:val="nil"/>
              <w:bottom w:val="single" w:sz="8" w:space="0" w:color="000000"/>
              <w:right w:val="single" w:sz="8" w:space="0" w:color="000000"/>
            </w:tcBorders>
            <w:vAlign w:val="center"/>
            <w:hideMark/>
          </w:tcPr>
          <w:p w14:paraId="05C10E83" w14:textId="75BBAD00" w:rsidR="000B6128" w:rsidRPr="00731FE2" w:rsidRDefault="000B6128" w:rsidP="000B6128">
            <w:pPr>
              <w:spacing w:line="240" w:lineRule="auto"/>
              <w:ind w:firstLine="0"/>
              <w:jc w:val="center"/>
              <w:rPr>
                <w:rFonts w:ascii="Times New Roman" w:eastAsia="Times New Roman" w:hAnsi="Times New Roman" w:cs="Times New Roman"/>
                <w:color w:val="000000"/>
                <w:sz w:val="22"/>
                <w:lang w:eastAsia="ru-RU"/>
              </w:rPr>
            </w:pPr>
            <w:r w:rsidRPr="00731FE2">
              <w:rPr>
                <w:rFonts w:ascii="Times New Roman" w:eastAsia="Times New Roman" w:hAnsi="Times New Roman" w:cs="Times New Roman"/>
                <w:color w:val="000000"/>
                <w:sz w:val="22"/>
                <w:lang w:eastAsia="ru-RU"/>
              </w:rPr>
              <w:t>17252</w:t>
            </w:r>
          </w:p>
        </w:tc>
        <w:tc>
          <w:tcPr>
            <w:tcW w:w="1766" w:type="dxa"/>
            <w:tcBorders>
              <w:top w:val="nil"/>
              <w:left w:val="nil"/>
              <w:bottom w:val="single" w:sz="8" w:space="0" w:color="000000"/>
              <w:right w:val="single" w:sz="8" w:space="0" w:color="000000"/>
            </w:tcBorders>
            <w:vAlign w:val="center"/>
            <w:hideMark/>
          </w:tcPr>
          <w:p w14:paraId="5A565DE0" w14:textId="6D04471A" w:rsidR="000B6128" w:rsidRPr="00731FE2" w:rsidRDefault="000B6128" w:rsidP="000B6128">
            <w:pPr>
              <w:spacing w:line="240" w:lineRule="auto"/>
              <w:ind w:firstLine="0"/>
              <w:jc w:val="center"/>
              <w:rPr>
                <w:rFonts w:ascii="Times New Roman" w:eastAsia="Times New Roman" w:hAnsi="Times New Roman" w:cs="Times New Roman"/>
                <w:color w:val="000000"/>
                <w:sz w:val="22"/>
                <w:lang w:eastAsia="ru-RU"/>
              </w:rPr>
            </w:pPr>
            <w:r w:rsidRPr="00731FE2">
              <w:rPr>
                <w:rFonts w:ascii="Times New Roman" w:eastAsia="Times New Roman" w:hAnsi="Times New Roman" w:cs="Times New Roman"/>
                <w:color w:val="000000"/>
                <w:sz w:val="22"/>
                <w:lang w:eastAsia="ru-RU"/>
              </w:rPr>
              <w:t>19352</w:t>
            </w:r>
          </w:p>
        </w:tc>
      </w:tr>
      <w:tr w:rsidR="000B6128" w:rsidRPr="00731FE2" w14:paraId="14CA5256" w14:textId="77777777" w:rsidTr="00FE28EA">
        <w:trPr>
          <w:trHeight w:val="465"/>
          <w:tblCellSpacing w:w="0" w:type="dxa"/>
        </w:trPr>
        <w:tc>
          <w:tcPr>
            <w:tcW w:w="861" w:type="dxa"/>
            <w:tcBorders>
              <w:top w:val="nil"/>
              <w:left w:val="single" w:sz="8" w:space="0" w:color="000000"/>
              <w:bottom w:val="single" w:sz="8" w:space="0" w:color="000000"/>
              <w:right w:val="single" w:sz="8" w:space="0" w:color="000000"/>
            </w:tcBorders>
            <w:vAlign w:val="center"/>
            <w:hideMark/>
          </w:tcPr>
          <w:p w14:paraId="77005D76" w14:textId="7777777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4.10.</w:t>
            </w:r>
          </w:p>
        </w:tc>
        <w:tc>
          <w:tcPr>
            <w:tcW w:w="3417" w:type="dxa"/>
            <w:tcBorders>
              <w:top w:val="nil"/>
              <w:left w:val="nil"/>
              <w:bottom w:val="single" w:sz="8" w:space="0" w:color="000000"/>
              <w:right w:val="single" w:sz="8" w:space="0" w:color="000000"/>
            </w:tcBorders>
            <w:vAlign w:val="center"/>
            <w:hideMark/>
          </w:tcPr>
          <w:p w14:paraId="640E773E" w14:textId="77777777" w:rsidR="000B6128" w:rsidRPr="00731FE2" w:rsidRDefault="000B6128" w:rsidP="000B6128">
            <w:pPr>
              <w:spacing w:line="240" w:lineRule="auto"/>
              <w:ind w:firstLine="0"/>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Бассейны</w:t>
            </w:r>
          </w:p>
        </w:tc>
        <w:tc>
          <w:tcPr>
            <w:tcW w:w="1525" w:type="dxa"/>
            <w:tcBorders>
              <w:top w:val="nil"/>
              <w:left w:val="nil"/>
              <w:bottom w:val="single" w:sz="8" w:space="0" w:color="000000"/>
              <w:right w:val="single" w:sz="8" w:space="0" w:color="000000"/>
            </w:tcBorders>
            <w:vAlign w:val="center"/>
            <w:hideMark/>
          </w:tcPr>
          <w:p w14:paraId="1A017DA3" w14:textId="7777777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метров зеркала воды</w:t>
            </w:r>
          </w:p>
        </w:tc>
        <w:tc>
          <w:tcPr>
            <w:tcW w:w="1766" w:type="dxa"/>
            <w:tcBorders>
              <w:top w:val="nil"/>
              <w:left w:val="nil"/>
              <w:bottom w:val="single" w:sz="8" w:space="0" w:color="000000"/>
              <w:right w:val="single" w:sz="8" w:space="0" w:color="000000"/>
            </w:tcBorders>
            <w:vAlign w:val="center"/>
            <w:hideMark/>
          </w:tcPr>
          <w:p w14:paraId="463D9036" w14:textId="2C1081D9" w:rsidR="000B6128" w:rsidRPr="00731FE2" w:rsidRDefault="000B6128" w:rsidP="000B6128">
            <w:pPr>
              <w:spacing w:line="240" w:lineRule="auto"/>
              <w:ind w:firstLine="0"/>
              <w:jc w:val="center"/>
              <w:rPr>
                <w:rFonts w:ascii="Times New Roman" w:eastAsia="Times New Roman" w:hAnsi="Times New Roman" w:cs="Times New Roman"/>
                <w:color w:val="000000"/>
                <w:sz w:val="22"/>
                <w:lang w:eastAsia="ru-RU"/>
              </w:rPr>
            </w:pPr>
            <w:r w:rsidRPr="00731FE2">
              <w:rPr>
                <w:rFonts w:ascii="Times New Roman" w:eastAsia="Times New Roman" w:hAnsi="Times New Roman" w:cs="Times New Roman"/>
                <w:color w:val="000000"/>
                <w:sz w:val="22"/>
                <w:lang w:eastAsia="ru-RU"/>
              </w:rPr>
              <w:t>5998</w:t>
            </w:r>
          </w:p>
        </w:tc>
        <w:tc>
          <w:tcPr>
            <w:tcW w:w="1766" w:type="dxa"/>
            <w:tcBorders>
              <w:top w:val="nil"/>
              <w:left w:val="nil"/>
              <w:bottom w:val="single" w:sz="8" w:space="0" w:color="000000"/>
              <w:right w:val="single" w:sz="8" w:space="0" w:color="000000"/>
            </w:tcBorders>
            <w:vAlign w:val="center"/>
            <w:hideMark/>
          </w:tcPr>
          <w:p w14:paraId="42D231B9" w14:textId="3D18AF0C" w:rsidR="000B6128" w:rsidRPr="00731FE2" w:rsidRDefault="000B6128" w:rsidP="000B6128">
            <w:pPr>
              <w:spacing w:line="240" w:lineRule="auto"/>
              <w:ind w:firstLine="0"/>
              <w:jc w:val="center"/>
              <w:rPr>
                <w:rFonts w:ascii="Times New Roman" w:eastAsia="Times New Roman" w:hAnsi="Times New Roman" w:cs="Times New Roman"/>
                <w:color w:val="000000"/>
                <w:sz w:val="22"/>
                <w:lang w:eastAsia="ru-RU"/>
              </w:rPr>
            </w:pPr>
            <w:r w:rsidRPr="00731FE2">
              <w:rPr>
                <w:rFonts w:ascii="Times New Roman" w:eastAsia="Times New Roman" w:hAnsi="Times New Roman" w:cs="Times New Roman"/>
                <w:color w:val="000000"/>
                <w:sz w:val="22"/>
                <w:lang w:eastAsia="ru-RU"/>
              </w:rPr>
              <w:t>6388</w:t>
            </w:r>
          </w:p>
        </w:tc>
      </w:tr>
      <w:tr w:rsidR="000B6128" w:rsidRPr="00731FE2" w14:paraId="1C06CD3B" w14:textId="77777777" w:rsidTr="00FE28EA">
        <w:trPr>
          <w:trHeight w:val="63"/>
          <w:tblCellSpacing w:w="0" w:type="dxa"/>
        </w:trPr>
        <w:tc>
          <w:tcPr>
            <w:tcW w:w="861" w:type="dxa"/>
            <w:tcBorders>
              <w:top w:val="nil"/>
              <w:left w:val="single" w:sz="8" w:space="0" w:color="000000"/>
              <w:bottom w:val="single" w:sz="8" w:space="0" w:color="000000"/>
              <w:right w:val="single" w:sz="8" w:space="0" w:color="000000"/>
            </w:tcBorders>
            <w:vAlign w:val="center"/>
            <w:hideMark/>
          </w:tcPr>
          <w:p w14:paraId="30C575B3" w14:textId="7777777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4.11.</w:t>
            </w:r>
          </w:p>
        </w:tc>
        <w:tc>
          <w:tcPr>
            <w:tcW w:w="3417" w:type="dxa"/>
            <w:tcBorders>
              <w:top w:val="nil"/>
              <w:left w:val="nil"/>
              <w:bottom w:val="single" w:sz="8" w:space="0" w:color="000000"/>
              <w:right w:val="single" w:sz="8" w:space="0" w:color="000000"/>
            </w:tcBorders>
            <w:vAlign w:val="center"/>
            <w:hideMark/>
          </w:tcPr>
          <w:p w14:paraId="2241204E" w14:textId="77777777" w:rsidR="000B6128" w:rsidRPr="00731FE2" w:rsidRDefault="000B6128" w:rsidP="000B6128">
            <w:pPr>
              <w:spacing w:line="240" w:lineRule="auto"/>
              <w:ind w:firstLine="0"/>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Предприятия торговли и общественного питания, в том числе:</w:t>
            </w:r>
          </w:p>
        </w:tc>
        <w:tc>
          <w:tcPr>
            <w:tcW w:w="1525" w:type="dxa"/>
            <w:tcBorders>
              <w:top w:val="nil"/>
              <w:left w:val="nil"/>
              <w:bottom w:val="single" w:sz="8" w:space="0" w:color="000000"/>
              <w:right w:val="single" w:sz="8" w:space="0" w:color="000000"/>
            </w:tcBorders>
            <w:vAlign w:val="center"/>
            <w:hideMark/>
          </w:tcPr>
          <w:p w14:paraId="378126BB" w14:textId="7777777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 </w:t>
            </w:r>
          </w:p>
        </w:tc>
        <w:tc>
          <w:tcPr>
            <w:tcW w:w="1766" w:type="dxa"/>
            <w:tcBorders>
              <w:top w:val="nil"/>
              <w:left w:val="nil"/>
              <w:bottom w:val="single" w:sz="8" w:space="0" w:color="000000"/>
              <w:right w:val="single" w:sz="8" w:space="0" w:color="000000"/>
            </w:tcBorders>
            <w:vAlign w:val="center"/>
            <w:hideMark/>
          </w:tcPr>
          <w:p w14:paraId="70B797F7" w14:textId="5BFBA997" w:rsidR="000B6128" w:rsidRPr="00731FE2" w:rsidRDefault="000B6128" w:rsidP="000B6128">
            <w:pPr>
              <w:spacing w:line="240" w:lineRule="auto"/>
              <w:ind w:firstLine="0"/>
              <w:jc w:val="center"/>
              <w:rPr>
                <w:rFonts w:ascii="Times New Roman" w:eastAsia="Times New Roman" w:hAnsi="Times New Roman" w:cs="Times New Roman"/>
                <w:color w:val="000000"/>
                <w:sz w:val="22"/>
                <w:lang w:eastAsia="ru-RU"/>
              </w:rPr>
            </w:pPr>
            <w:r w:rsidRPr="00731FE2">
              <w:rPr>
                <w:rFonts w:ascii="Times New Roman" w:eastAsia="Times New Roman" w:hAnsi="Times New Roman" w:cs="Times New Roman"/>
                <w:color w:val="000000"/>
                <w:sz w:val="22"/>
                <w:lang w:eastAsia="ru-RU"/>
              </w:rPr>
              <w:t> </w:t>
            </w:r>
          </w:p>
        </w:tc>
        <w:tc>
          <w:tcPr>
            <w:tcW w:w="1766" w:type="dxa"/>
            <w:tcBorders>
              <w:top w:val="nil"/>
              <w:left w:val="nil"/>
              <w:bottom w:val="single" w:sz="8" w:space="0" w:color="000000"/>
              <w:right w:val="single" w:sz="8" w:space="0" w:color="000000"/>
            </w:tcBorders>
            <w:vAlign w:val="center"/>
            <w:hideMark/>
          </w:tcPr>
          <w:p w14:paraId="4E4DDC3C" w14:textId="57DC71D1" w:rsidR="000B6128" w:rsidRPr="00731FE2" w:rsidRDefault="000B6128" w:rsidP="000B6128">
            <w:pPr>
              <w:spacing w:line="240" w:lineRule="auto"/>
              <w:ind w:firstLine="0"/>
              <w:jc w:val="center"/>
              <w:rPr>
                <w:rFonts w:ascii="Times New Roman" w:eastAsia="Times New Roman" w:hAnsi="Times New Roman" w:cs="Times New Roman"/>
                <w:color w:val="000000"/>
                <w:sz w:val="22"/>
                <w:lang w:eastAsia="ru-RU"/>
              </w:rPr>
            </w:pPr>
            <w:r w:rsidRPr="00731FE2">
              <w:rPr>
                <w:rFonts w:ascii="Times New Roman" w:eastAsia="Times New Roman" w:hAnsi="Times New Roman" w:cs="Times New Roman"/>
                <w:color w:val="000000"/>
                <w:sz w:val="22"/>
                <w:lang w:eastAsia="ru-RU"/>
              </w:rPr>
              <w:t> </w:t>
            </w:r>
          </w:p>
        </w:tc>
      </w:tr>
      <w:tr w:rsidR="000B6128" w:rsidRPr="00731FE2" w14:paraId="797FA6EE" w14:textId="77777777" w:rsidTr="00FE28EA">
        <w:trPr>
          <w:trHeight w:val="63"/>
          <w:tblCellSpacing w:w="0" w:type="dxa"/>
        </w:trPr>
        <w:tc>
          <w:tcPr>
            <w:tcW w:w="861" w:type="dxa"/>
            <w:tcBorders>
              <w:top w:val="nil"/>
              <w:left w:val="single" w:sz="8" w:space="0" w:color="000000"/>
              <w:bottom w:val="single" w:sz="8" w:space="0" w:color="000000"/>
              <w:right w:val="single" w:sz="8" w:space="0" w:color="000000"/>
            </w:tcBorders>
            <w:vAlign w:val="center"/>
            <w:hideMark/>
          </w:tcPr>
          <w:p w14:paraId="4BFC0555" w14:textId="7777777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4.11.1.</w:t>
            </w:r>
          </w:p>
        </w:tc>
        <w:tc>
          <w:tcPr>
            <w:tcW w:w="3417" w:type="dxa"/>
            <w:tcBorders>
              <w:top w:val="nil"/>
              <w:left w:val="nil"/>
              <w:bottom w:val="single" w:sz="8" w:space="0" w:color="000000"/>
              <w:right w:val="single" w:sz="8" w:space="0" w:color="000000"/>
            </w:tcBorders>
            <w:vAlign w:val="center"/>
            <w:hideMark/>
          </w:tcPr>
          <w:p w14:paraId="1E6570DD" w14:textId="77777777" w:rsidR="000B6128" w:rsidRPr="00731FE2" w:rsidRDefault="000B6128" w:rsidP="000B6128">
            <w:pPr>
              <w:spacing w:line="240" w:lineRule="auto"/>
              <w:ind w:firstLine="0"/>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Стационарной розничной торговли</w:t>
            </w:r>
          </w:p>
        </w:tc>
        <w:tc>
          <w:tcPr>
            <w:tcW w:w="1525" w:type="dxa"/>
            <w:tcBorders>
              <w:top w:val="nil"/>
              <w:left w:val="nil"/>
              <w:bottom w:val="single" w:sz="8" w:space="0" w:color="000000"/>
              <w:right w:val="single" w:sz="8" w:space="0" w:color="000000"/>
            </w:tcBorders>
            <w:vAlign w:val="center"/>
            <w:hideMark/>
          </w:tcPr>
          <w:p w14:paraId="34A77FBD" w14:textId="7777777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тыс. м</w:t>
            </w:r>
            <w:r w:rsidRPr="00731FE2">
              <w:rPr>
                <w:rFonts w:ascii="Times New Roman" w:eastAsia="Times New Roman" w:hAnsi="Times New Roman" w:cs="Times New Roman"/>
                <w:color w:val="000000"/>
                <w:sz w:val="22"/>
                <w:vertAlign w:val="superscript"/>
                <w:lang w:eastAsia="ru-RU"/>
              </w:rPr>
              <w:t>2</w:t>
            </w:r>
            <w:r w:rsidRPr="00731FE2">
              <w:rPr>
                <w:rFonts w:ascii="Times New Roman" w:eastAsia="Times New Roman" w:hAnsi="Times New Roman" w:cs="Times New Roman"/>
                <w:color w:val="000000"/>
                <w:sz w:val="22"/>
                <w:lang w:eastAsia="ru-RU"/>
              </w:rPr>
              <w:t xml:space="preserve"> торговой площади</w:t>
            </w:r>
          </w:p>
        </w:tc>
        <w:tc>
          <w:tcPr>
            <w:tcW w:w="1766" w:type="dxa"/>
            <w:tcBorders>
              <w:top w:val="nil"/>
              <w:left w:val="nil"/>
              <w:bottom w:val="single" w:sz="8" w:space="0" w:color="000000"/>
              <w:right w:val="single" w:sz="8" w:space="0" w:color="000000"/>
            </w:tcBorders>
            <w:vAlign w:val="center"/>
            <w:hideMark/>
          </w:tcPr>
          <w:p w14:paraId="18DC4B02" w14:textId="281BFA4B" w:rsidR="000B6128" w:rsidRPr="00731FE2" w:rsidRDefault="000B6128" w:rsidP="000B6128">
            <w:pPr>
              <w:spacing w:line="240" w:lineRule="auto"/>
              <w:ind w:firstLine="0"/>
              <w:jc w:val="center"/>
              <w:rPr>
                <w:rFonts w:ascii="Times New Roman" w:eastAsia="Times New Roman" w:hAnsi="Times New Roman" w:cs="Times New Roman"/>
                <w:color w:val="000000"/>
                <w:sz w:val="22"/>
                <w:lang w:eastAsia="ru-RU"/>
              </w:rPr>
            </w:pPr>
            <w:r w:rsidRPr="00731FE2">
              <w:rPr>
                <w:rFonts w:ascii="Times New Roman" w:eastAsia="Times New Roman" w:hAnsi="Times New Roman" w:cs="Times New Roman"/>
                <w:color w:val="000000"/>
                <w:sz w:val="22"/>
                <w:lang w:eastAsia="ru-RU"/>
              </w:rPr>
              <w:t>95,1</w:t>
            </w:r>
          </w:p>
        </w:tc>
        <w:tc>
          <w:tcPr>
            <w:tcW w:w="1766" w:type="dxa"/>
            <w:tcBorders>
              <w:top w:val="nil"/>
              <w:left w:val="nil"/>
              <w:bottom w:val="single" w:sz="8" w:space="0" w:color="000000"/>
              <w:right w:val="single" w:sz="8" w:space="0" w:color="000000"/>
            </w:tcBorders>
            <w:vAlign w:val="center"/>
            <w:hideMark/>
          </w:tcPr>
          <w:p w14:paraId="56363AEE" w14:textId="119A6A33" w:rsidR="000B6128" w:rsidRPr="00731FE2" w:rsidRDefault="000B6128" w:rsidP="000B6128">
            <w:pPr>
              <w:spacing w:line="240" w:lineRule="auto"/>
              <w:ind w:firstLine="0"/>
              <w:jc w:val="center"/>
              <w:rPr>
                <w:rFonts w:ascii="Times New Roman" w:eastAsia="Times New Roman" w:hAnsi="Times New Roman" w:cs="Times New Roman"/>
                <w:color w:val="000000"/>
                <w:sz w:val="22"/>
                <w:lang w:eastAsia="ru-RU"/>
              </w:rPr>
            </w:pPr>
            <w:r w:rsidRPr="00731FE2">
              <w:rPr>
                <w:rFonts w:ascii="Times New Roman" w:eastAsia="Times New Roman" w:hAnsi="Times New Roman" w:cs="Times New Roman"/>
                <w:color w:val="000000"/>
                <w:sz w:val="22"/>
                <w:lang w:eastAsia="ru-RU"/>
              </w:rPr>
              <w:t>Определяется проектом</w:t>
            </w:r>
          </w:p>
        </w:tc>
      </w:tr>
      <w:tr w:rsidR="000B6128" w:rsidRPr="00731FE2" w14:paraId="6166E80E" w14:textId="77777777" w:rsidTr="00FE28EA">
        <w:trPr>
          <w:trHeight w:val="63"/>
          <w:tblCellSpacing w:w="0" w:type="dxa"/>
        </w:trPr>
        <w:tc>
          <w:tcPr>
            <w:tcW w:w="861" w:type="dxa"/>
            <w:tcBorders>
              <w:top w:val="nil"/>
              <w:left w:val="single" w:sz="8" w:space="0" w:color="000000"/>
              <w:bottom w:val="single" w:sz="8" w:space="0" w:color="000000"/>
              <w:right w:val="single" w:sz="8" w:space="0" w:color="000000"/>
            </w:tcBorders>
            <w:vAlign w:val="center"/>
            <w:hideMark/>
          </w:tcPr>
          <w:p w14:paraId="3133FCEF" w14:textId="7777777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4.11.2.</w:t>
            </w:r>
          </w:p>
        </w:tc>
        <w:tc>
          <w:tcPr>
            <w:tcW w:w="3417" w:type="dxa"/>
            <w:tcBorders>
              <w:top w:val="nil"/>
              <w:left w:val="nil"/>
              <w:bottom w:val="single" w:sz="8" w:space="0" w:color="000000"/>
              <w:right w:val="single" w:sz="8" w:space="0" w:color="000000"/>
            </w:tcBorders>
            <w:vAlign w:val="center"/>
            <w:hideMark/>
          </w:tcPr>
          <w:p w14:paraId="327B3C0F" w14:textId="77777777" w:rsidR="000B6128" w:rsidRPr="00731FE2" w:rsidRDefault="000B6128" w:rsidP="000B6128">
            <w:pPr>
              <w:spacing w:line="240" w:lineRule="auto"/>
              <w:ind w:firstLine="0"/>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Рыночные комплексы</w:t>
            </w:r>
          </w:p>
        </w:tc>
        <w:tc>
          <w:tcPr>
            <w:tcW w:w="1525" w:type="dxa"/>
            <w:tcBorders>
              <w:top w:val="nil"/>
              <w:left w:val="nil"/>
              <w:bottom w:val="single" w:sz="8" w:space="0" w:color="000000"/>
              <w:right w:val="single" w:sz="8" w:space="0" w:color="000000"/>
            </w:tcBorders>
            <w:vAlign w:val="center"/>
            <w:hideMark/>
          </w:tcPr>
          <w:p w14:paraId="3CBBE01E" w14:textId="7777777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торг. мест</w:t>
            </w:r>
          </w:p>
        </w:tc>
        <w:tc>
          <w:tcPr>
            <w:tcW w:w="1766" w:type="dxa"/>
            <w:tcBorders>
              <w:top w:val="nil"/>
              <w:left w:val="nil"/>
              <w:bottom w:val="single" w:sz="8" w:space="0" w:color="000000"/>
              <w:right w:val="single" w:sz="8" w:space="0" w:color="000000"/>
            </w:tcBorders>
            <w:vAlign w:val="center"/>
            <w:hideMark/>
          </w:tcPr>
          <w:p w14:paraId="0E91C27B" w14:textId="2D6874D8" w:rsidR="000B6128" w:rsidRPr="00731FE2" w:rsidRDefault="000B6128" w:rsidP="000B6128">
            <w:pPr>
              <w:spacing w:line="240" w:lineRule="auto"/>
              <w:ind w:firstLine="0"/>
              <w:jc w:val="center"/>
              <w:rPr>
                <w:rFonts w:ascii="Times New Roman" w:eastAsia="Times New Roman" w:hAnsi="Times New Roman" w:cs="Times New Roman"/>
                <w:color w:val="000000"/>
                <w:sz w:val="22"/>
                <w:lang w:eastAsia="ru-RU"/>
              </w:rPr>
            </w:pPr>
            <w:r w:rsidRPr="00731FE2">
              <w:rPr>
                <w:rFonts w:ascii="Times New Roman" w:eastAsia="Times New Roman" w:hAnsi="Times New Roman" w:cs="Times New Roman"/>
                <w:color w:val="000000"/>
                <w:sz w:val="22"/>
                <w:lang w:eastAsia="ru-RU"/>
              </w:rPr>
              <w:t>1112</w:t>
            </w:r>
          </w:p>
        </w:tc>
        <w:tc>
          <w:tcPr>
            <w:tcW w:w="1766" w:type="dxa"/>
            <w:tcBorders>
              <w:top w:val="nil"/>
              <w:left w:val="nil"/>
              <w:bottom w:val="single" w:sz="8" w:space="0" w:color="000000"/>
              <w:right w:val="single" w:sz="8" w:space="0" w:color="000000"/>
            </w:tcBorders>
            <w:vAlign w:val="center"/>
            <w:hideMark/>
          </w:tcPr>
          <w:p w14:paraId="08DEAB86" w14:textId="7BC1087C" w:rsidR="000B6128" w:rsidRPr="00731FE2" w:rsidRDefault="000B6128" w:rsidP="000B6128">
            <w:pPr>
              <w:spacing w:line="240" w:lineRule="auto"/>
              <w:ind w:firstLine="0"/>
              <w:jc w:val="center"/>
              <w:rPr>
                <w:rFonts w:ascii="Times New Roman" w:eastAsia="Times New Roman" w:hAnsi="Times New Roman" w:cs="Times New Roman"/>
                <w:color w:val="000000"/>
                <w:sz w:val="22"/>
                <w:lang w:eastAsia="ru-RU"/>
              </w:rPr>
            </w:pPr>
            <w:r w:rsidRPr="00731FE2">
              <w:rPr>
                <w:rFonts w:ascii="Times New Roman" w:eastAsia="Times New Roman" w:hAnsi="Times New Roman" w:cs="Times New Roman"/>
                <w:color w:val="000000"/>
                <w:sz w:val="22"/>
                <w:lang w:eastAsia="ru-RU"/>
              </w:rPr>
              <w:t>1112</w:t>
            </w:r>
          </w:p>
        </w:tc>
      </w:tr>
      <w:tr w:rsidR="000B6128" w:rsidRPr="00731FE2" w14:paraId="07711D02" w14:textId="77777777" w:rsidTr="00FE28EA">
        <w:trPr>
          <w:trHeight w:val="63"/>
          <w:tblCellSpacing w:w="0" w:type="dxa"/>
        </w:trPr>
        <w:tc>
          <w:tcPr>
            <w:tcW w:w="861" w:type="dxa"/>
            <w:tcBorders>
              <w:top w:val="nil"/>
              <w:left w:val="single" w:sz="8" w:space="0" w:color="000000"/>
              <w:bottom w:val="single" w:sz="8" w:space="0" w:color="000000"/>
              <w:right w:val="single" w:sz="8" w:space="0" w:color="000000"/>
            </w:tcBorders>
            <w:vAlign w:val="center"/>
            <w:hideMark/>
          </w:tcPr>
          <w:p w14:paraId="43E139A7" w14:textId="7777777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4.11.3.</w:t>
            </w:r>
          </w:p>
        </w:tc>
        <w:tc>
          <w:tcPr>
            <w:tcW w:w="3417" w:type="dxa"/>
            <w:tcBorders>
              <w:top w:val="nil"/>
              <w:left w:val="nil"/>
              <w:bottom w:val="single" w:sz="8" w:space="0" w:color="000000"/>
              <w:right w:val="single" w:sz="8" w:space="0" w:color="000000"/>
            </w:tcBorders>
            <w:vAlign w:val="center"/>
            <w:hideMark/>
          </w:tcPr>
          <w:p w14:paraId="326D89F8" w14:textId="77777777" w:rsidR="000B6128" w:rsidRPr="00731FE2" w:rsidRDefault="000B6128" w:rsidP="000B6128">
            <w:pPr>
              <w:spacing w:line="240" w:lineRule="auto"/>
              <w:ind w:firstLine="0"/>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Предприятия общественного питания</w:t>
            </w:r>
          </w:p>
        </w:tc>
        <w:tc>
          <w:tcPr>
            <w:tcW w:w="1525" w:type="dxa"/>
            <w:tcBorders>
              <w:top w:val="nil"/>
              <w:left w:val="nil"/>
              <w:bottom w:val="single" w:sz="8" w:space="0" w:color="000000"/>
              <w:right w:val="single" w:sz="8" w:space="0" w:color="000000"/>
            </w:tcBorders>
            <w:vAlign w:val="center"/>
            <w:hideMark/>
          </w:tcPr>
          <w:p w14:paraId="2F52C1D1" w14:textId="7777777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посад. мест</w:t>
            </w:r>
          </w:p>
        </w:tc>
        <w:tc>
          <w:tcPr>
            <w:tcW w:w="1766" w:type="dxa"/>
            <w:tcBorders>
              <w:top w:val="nil"/>
              <w:left w:val="nil"/>
              <w:bottom w:val="single" w:sz="8" w:space="0" w:color="000000"/>
              <w:right w:val="single" w:sz="8" w:space="0" w:color="000000"/>
            </w:tcBorders>
            <w:vAlign w:val="center"/>
            <w:hideMark/>
          </w:tcPr>
          <w:p w14:paraId="14E236C9" w14:textId="24D65A4C" w:rsidR="000B6128" w:rsidRPr="00731FE2" w:rsidRDefault="000B6128" w:rsidP="000B6128">
            <w:pPr>
              <w:spacing w:line="240" w:lineRule="auto"/>
              <w:ind w:firstLine="0"/>
              <w:jc w:val="center"/>
              <w:rPr>
                <w:rFonts w:ascii="Times New Roman" w:eastAsia="Times New Roman" w:hAnsi="Times New Roman" w:cs="Times New Roman"/>
                <w:color w:val="000000"/>
                <w:sz w:val="22"/>
                <w:lang w:eastAsia="ru-RU"/>
              </w:rPr>
            </w:pPr>
            <w:r w:rsidRPr="00731FE2">
              <w:rPr>
                <w:rFonts w:ascii="Times New Roman" w:eastAsia="Times New Roman" w:hAnsi="Times New Roman" w:cs="Times New Roman"/>
                <w:color w:val="000000"/>
                <w:sz w:val="22"/>
                <w:lang w:eastAsia="ru-RU"/>
              </w:rPr>
              <w:t>7329</w:t>
            </w:r>
          </w:p>
        </w:tc>
        <w:tc>
          <w:tcPr>
            <w:tcW w:w="1766" w:type="dxa"/>
            <w:tcBorders>
              <w:top w:val="nil"/>
              <w:left w:val="nil"/>
              <w:bottom w:val="single" w:sz="8" w:space="0" w:color="000000"/>
              <w:right w:val="single" w:sz="8" w:space="0" w:color="000000"/>
            </w:tcBorders>
            <w:vAlign w:val="center"/>
            <w:hideMark/>
          </w:tcPr>
          <w:p w14:paraId="455C77EA" w14:textId="0D14BFF5" w:rsidR="000B6128" w:rsidRPr="00731FE2" w:rsidRDefault="000B6128" w:rsidP="000B6128">
            <w:pPr>
              <w:spacing w:line="240" w:lineRule="auto"/>
              <w:ind w:firstLine="0"/>
              <w:jc w:val="center"/>
              <w:rPr>
                <w:rFonts w:ascii="Times New Roman" w:eastAsia="Times New Roman" w:hAnsi="Times New Roman" w:cs="Times New Roman"/>
                <w:color w:val="000000"/>
                <w:sz w:val="22"/>
                <w:lang w:eastAsia="ru-RU"/>
              </w:rPr>
            </w:pPr>
            <w:r w:rsidRPr="00731FE2">
              <w:rPr>
                <w:rFonts w:ascii="Times New Roman" w:eastAsia="Times New Roman" w:hAnsi="Times New Roman" w:cs="Times New Roman"/>
                <w:color w:val="000000"/>
                <w:sz w:val="22"/>
                <w:lang w:eastAsia="ru-RU"/>
              </w:rPr>
              <w:t>Определяется проектом</w:t>
            </w:r>
          </w:p>
        </w:tc>
      </w:tr>
      <w:tr w:rsidR="000B6128" w:rsidRPr="00731FE2" w14:paraId="2ECC7836" w14:textId="77777777" w:rsidTr="00FE28EA">
        <w:trPr>
          <w:trHeight w:val="63"/>
          <w:tblCellSpacing w:w="0" w:type="dxa"/>
        </w:trPr>
        <w:tc>
          <w:tcPr>
            <w:tcW w:w="861" w:type="dxa"/>
            <w:tcBorders>
              <w:top w:val="nil"/>
              <w:left w:val="single" w:sz="8" w:space="0" w:color="000000"/>
              <w:bottom w:val="single" w:sz="8" w:space="0" w:color="000000"/>
              <w:right w:val="single" w:sz="8" w:space="0" w:color="000000"/>
            </w:tcBorders>
            <w:vAlign w:val="center"/>
            <w:hideMark/>
          </w:tcPr>
          <w:p w14:paraId="197296C4" w14:textId="7777777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4.12.4.</w:t>
            </w:r>
          </w:p>
        </w:tc>
        <w:tc>
          <w:tcPr>
            <w:tcW w:w="3417" w:type="dxa"/>
            <w:tcBorders>
              <w:top w:val="nil"/>
              <w:left w:val="nil"/>
              <w:bottom w:val="single" w:sz="8" w:space="0" w:color="000000"/>
              <w:right w:val="single" w:sz="8" w:space="0" w:color="000000"/>
            </w:tcBorders>
            <w:vAlign w:val="center"/>
            <w:hideMark/>
          </w:tcPr>
          <w:p w14:paraId="5C0EAA27" w14:textId="77777777" w:rsidR="000B6128" w:rsidRPr="00731FE2" w:rsidRDefault="000B6128" w:rsidP="000B6128">
            <w:pPr>
              <w:spacing w:line="240" w:lineRule="auto"/>
              <w:ind w:firstLine="0"/>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Пожарное депо</w:t>
            </w:r>
          </w:p>
        </w:tc>
        <w:tc>
          <w:tcPr>
            <w:tcW w:w="1525" w:type="dxa"/>
            <w:tcBorders>
              <w:top w:val="nil"/>
              <w:left w:val="nil"/>
              <w:bottom w:val="single" w:sz="8" w:space="0" w:color="000000"/>
              <w:right w:val="single" w:sz="8" w:space="0" w:color="000000"/>
            </w:tcBorders>
            <w:vAlign w:val="center"/>
            <w:hideMark/>
          </w:tcPr>
          <w:p w14:paraId="39A288EA" w14:textId="7777777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пожарн. а/м</w:t>
            </w:r>
          </w:p>
        </w:tc>
        <w:tc>
          <w:tcPr>
            <w:tcW w:w="1766" w:type="dxa"/>
            <w:tcBorders>
              <w:top w:val="nil"/>
              <w:left w:val="nil"/>
              <w:bottom w:val="single" w:sz="8" w:space="0" w:color="000000"/>
              <w:right w:val="single" w:sz="8" w:space="0" w:color="000000"/>
            </w:tcBorders>
            <w:vAlign w:val="center"/>
            <w:hideMark/>
          </w:tcPr>
          <w:p w14:paraId="2B6B3E51" w14:textId="04B77E97" w:rsidR="000B6128" w:rsidRPr="00731FE2" w:rsidRDefault="000B6128" w:rsidP="000B6128">
            <w:pPr>
              <w:spacing w:line="240" w:lineRule="auto"/>
              <w:ind w:firstLine="0"/>
              <w:jc w:val="center"/>
              <w:rPr>
                <w:rFonts w:ascii="Times New Roman" w:eastAsia="Times New Roman" w:hAnsi="Times New Roman" w:cs="Times New Roman"/>
                <w:color w:val="000000"/>
                <w:sz w:val="22"/>
                <w:lang w:eastAsia="ru-RU"/>
              </w:rPr>
            </w:pPr>
            <w:r w:rsidRPr="00731FE2">
              <w:rPr>
                <w:rFonts w:ascii="Times New Roman" w:eastAsia="Times New Roman" w:hAnsi="Times New Roman" w:cs="Times New Roman"/>
                <w:color w:val="000000"/>
                <w:sz w:val="22"/>
                <w:lang w:eastAsia="ru-RU"/>
              </w:rPr>
              <w:t>13</w:t>
            </w:r>
          </w:p>
        </w:tc>
        <w:tc>
          <w:tcPr>
            <w:tcW w:w="1766" w:type="dxa"/>
            <w:tcBorders>
              <w:top w:val="nil"/>
              <w:left w:val="nil"/>
              <w:bottom w:val="single" w:sz="8" w:space="0" w:color="000000"/>
              <w:right w:val="single" w:sz="8" w:space="0" w:color="000000"/>
            </w:tcBorders>
            <w:vAlign w:val="center"/>
            <w:hideMark/>
          </w:tcPr>
          <w:p w14:paraId="4C4283F0" w14:textId="60E41E8D" w:rsidR="000B6128" w:rsidRPr="00731FE2" w:rsidRDefault="000B6128" w:rsidP="000B6128">
            <w:pPr>
              <w:spacing w:line="240" w:lineRule="auto"/>
              <w:ind w:firstLine="0"/>
              <w:jc w:val="center"/>
              <w:rPr>
                <w:rFonts w:ascii="Times New Roman" w:eastAsia="Times New Roman" w:hAnsi="Times New Roman" w:cs="Times New Roman"/>
                <w:color w:val="000000"/>
                <w:sz w:val="22"/>
                <w:lang w:eastAsia="ru-RU"/>
              </w:rPr>
            </w:pPr>
            <w:r w:rsidRPr="00731FE2">
              <w:rPr>
                <w:rFonts w:ascii="Times New Roman" w:eastAsia="Times New Roman" w:hAnsi="Times New Roman" w:cs="Times New Roman"/>
                <w:color w:val="000000"/>
                <w:sz w:val="22"/>
                <w:lang w:eastAsia="ru-RU"/>
              </w:rPr>
              <w:t>15</w:t>
            </w:r>
          </w:p>
        </w:tc>
      </w:tr>
      <w:tr w:rsidR="000B6128" w:rsidRPr="00731FE2" w14:paraId="4EC0527E" w14:textId="77777777" w:rsidTr="00FE28EA">
        <w:trPr>
          <w:trHeight w:val="63"/>
          <w:tblCellSpacing w:w="0" w:type="dxa"/>
        </w:trPr>
        <w:tc>
          <w:tcPr>
            <w:tcW w:w="861" w:type="dxa"/>
            <w:tcBorders>
              <w:top w:val="nil"/>
              <w:left w:val="single" w:sz="8" w:space="0" w:color="000000"/>
              <w:bottom w:val="single" w:sz="8" w:space="0" w:color="000000"/>
              <w:right w:val="single" w:sz="8" w:space="0" w:color="000000"/>
            </w:tcBorders>
            <w:vAlign w:val="center"/>
            <w:hideMark/>
          </w:tcPr>
          <w:p w14:paraId="752C8A47" w14:textId="7777777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4.12.5.</w:t>
            </w:r>
          </w:p>
        </w:tc>
        <w:tc>
          <w:tcPr>
            <w:tcW w:w="3417" w:type="dxa"/>
            <w:tcBorders>
              <w:top w:val="nil"/>
              <w:left w:val="nil"/>
              <w:bottom w:val="single" w:sz="8" w:space="0" w:color="000000"/>
              <w:right w:val="single" w:sz="8" w:space="0" w:color="000000"/>
            </w:tcBorders>
            <w:vAlign w:val="center"/>
            <w:hideMark/>
          </w:tcPr>
          <w:p w14:paraId="48C1BDC1" w14:textId="77777777" w:rsidR="000B6128" w:rsidRPr="00731FE2" w:rsidRDefault="000B6128" w:rsidP="000B6128">
            <w:pPr>
              <w:spacing w:line="240" w:lineRule="auto"/>
              <w:ind w:firstLine="0"/>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Территория кладбищ</w:t>
            </w:r>
          </w:p>
        </w:tc>
        <w:tc>
          <w:tcPr>
            <w:tcW w:w="1525" w:type="dxa"/>
            <w:tcBorders>
              <w:top w:val="nil"/>
              <w:left w:val="nil"/>
              <w:bottom w:val="single" w:sz="8" w:space="0" w:color="000000"/>
              <w:right w:val="single" w:sz="8" w:space="0" w:color="000000"/>
            </w:tcBorders>
            <w:vAlign w:val="center"/>
            <w:hideMark/>
          </w:tcPr>
          <w:p w14:paraId="4B99679C" w14:textId="7777777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га</w:t>
            </w:r>
          </w:p>
        </w:tc>
        <w:tc>
          <w:tcPr>
            <w:tcW w:w="1766" w:type="dxa"/>
            <w:tcBorders>
              <w:top w:val="nil"/>
              <w:left w:val="nil"/>
              <w:bottom w:val="single" w:sz="8" w:space="0" w:color="000000"/>
              <w:right w:val="single" w:sz="8" w:space="0" w:color="000000"/>
            </w:tcBorders>
            <w:vAlign w:val="center"/>
            <w:hideMark/>
          </w:tcPr>
          <w:p w14:paraId="5728A4FC" w14:textId="66267837" w:rsidR="000B6128" w:rsidRPr="00731FE2" w:rsidRDefault="000B6128" w:rsidP="000B6128">
            <w:pPr>
              <w:spacing w:line="240" w:lineRule="auto"/>
              <w:ind w:firstLine="0"/>
              <w:jc w:val="center"/>
              <w:rPr>
                <w:rFonts w:ascii="Times New Roman" w:eastAsia="Times New Roman" w:hAnsi="Times New Roman" w:cs="Times New Roman"/>
                <w:color w:val="000000"/>
                <w:sz w:val="22"/>
                <w:lang w:eastAsia="ru-RU"/>
              </w:rPr>
            </w:pPr>
            <w:r w:rsidRPr="00731FE2">
              <w:rPr>
                <w:rFonts w:ascii="Times New Roman" w:eastAsia="Times New Roman" w:hAnsi="Times New Roman" w:cs="Times New Roman"/>
                <w:color w:val="000000"/>
                <w:sz w:val="22"/>
                <w:lang w:eastAsia="ru-RU"/>
              </w:rPr>
              <w:t>42,96</w:t>
            </w:r>
          </w:p>
        </w:tc>
        <w:tc>
          <w:tcPr>
            <w:tcW w:w="1766" w:type="dxa"/>
            <w:tcBorders>
              <w:top w:val="nil"/>
              <w:left w:val="nil"/>
              <w:bottom w:val="single" w:sz="8" w:space="0" w:color="000000"/>
              <w:right w:val="single" w:sz="8" w:space="0" w:color="000000"/>
            </w:tcBorders>
            <w:vAlign w:val="center"/>
            <w:hideMark/>
          </w:tcPr>
          <w:p w14:paraId="4D4E452B" w14:textId="3B641F67" w:rsidR="000B6128" w:rsidRPr="00731FE2" w:rsidRDefault="000B6128" w:rsidP="000B6128">
            <w:pPr>
              <w:spacing w:line="240" w:lineRule="auto"/>
              <w:ind w:firstLine="0"/>
              <w:jc w:val="center"/>
              <w:rPr>
                <w:rFonts w:ascii="Times New Roman" w:eastAsia="Times New Roman" w:hAnsi="Times New Roman" w:cs="Times New Roman"/>
                <w:color w:val="000000"/>
                <w:sz w:val="22"/>
                <w:lang w:eastAsia="ru-RU"/>
              </w:rPr>
            </w:pPr>
            <w:r w:rsidRPr="00731FE2">
              <w:rPr>
                <w:rFonts w:ascii="Times New Roman" w:eastAsia="Times New Roman" w:hAnsi="Times New Roman" w:cs="Times New Roman"/>
                <w:color w:val="000000"/>
                <w:sz w:val="22"/>
                <w:lang w:eastAsia="ru-RU"/>
              </w:rPr>
              <w:t>42,96</w:t>
            </w:r>
          </w:p>
        </w:tc>
      </w:tr>
      <w:tr w:rsidR="000B6128" w:rsidRPr="00731FE2" w14:paraId="2E954011" w14:textId="77777777" w:rsidTr="00D154A0">
        <w:trPr>
          <w:trHeight w:val="70"/>
          <w:tblCellSpacing w:w="0" w:type="dxa"/>
        </w:trPr>
        <w:tc>
          <w:tcPr>
            <w:tcW w:w="9335" w:type="dxa"/>
            <w:gridSpan w:val="5"/>
            <w:tcBorders>
              <w:top w:val="nil"/>
              <w:left w:val="single" w:sz="8" w:space="0" w:color="000000"/>
              <w:bottom w:val="single" w:sz="8" w:space="0" w:color="000000"/>
              <w:right w:val="single" w:sz="8" w:space="0" w:color="000000"/>
            </w:tcBorders>
            <w:vAlign w:val="center"/>
            <w:hideMark/>
          </w:tcPr>
          <w:p w14:paraId="43299DBD" w14:textId="77777777" w:rsidR="000B6128" w:rsidRPr="00731FE2" w:rsidRDefault="000B6128" w:rsidP="000B6128">
            <w:pPr>
              <w:spacing w:line="240" w:lineRule="auto"/>
              <w:ind w:firstLine="0"/>
              <w:jc w:val="center"/>
              <w:rPr>
                <w:rFonts w:ascii="Times New Roman" w:eastAsia="Times New Roman" w:hAnsi="Times New Roman" w:cs="Times New Roman"/>
                <w:b/>
                <w:bCs/>
                <w:color w:val="000000"/>
                <w:sz w:val="22"/>
                <w:lang w:eastAsia="ru-RU"/>
              </w:rPr>
            </w:pPr>
            <w:r w:rsidRPr="00731FE2">
              <w:rPr>
                <w:rFonts w:ascii="Times New Roman" w:eastAsia="Times New Roman" w:hAnsi="Times New Roman" w:cs="Times New Roman"/>
                <w:b/>
                <w:bCs/>
                <w:color w:val="000000"/>
                <w:sz w:val="22"/>
                <w:lang w:eastAsia="ru-RU"/>
              </w:rPr>
              <w:t>5.Транспортная инфраструктура</w:t>
            </w:r>
          </w:p>
        </w:tc>
      </w:tr>
      <w:tr w:rsidR="000B6128" w:rsidRPr="00731FE2" w14:paraId="09CB1787" w14:textId="77777777" w:rsidTr="00FE28EA">
        <w:trPr>
          <w:trHeight w:val="465"/>
          <w:tblCellSpacing w:w="0" w:type="dxa"/>
        </w:trPr>
        <w:tc>
          <w:tcPr>
            <w:tcW w:w="861" w:type="dxa"/>
            <w:tcBorders>
              <w:top w:val="nil"/>
              <w:left w:val="single" w:sz="8" w:space="0" w:color="000000"/>
              <w:bottom w:val="single" w:sz="8" w:space="0" w:color="000000"/>
              <w:right w:val="single" w:sz="8" w:space="0" w:color="000000"/>
            </w:tcBorders>
            <w:vAlign w:val="center"/>
            <w:hideMark/>
          </w:tcPr>
          <w:p w14:paraId="2EC78EF0" w14:textId="7777777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5.1.</w:t>
            </w:r>
          </w:p>
        </w:tc>
        <w:tc>
          <w:tcPr>
            <w:tcW w:w="3417" w:type="dxa"/>
            <w:tcBorders>
              <w:top w:val="nil"/>
              <w:left w:val="nil"/>
              <w:bottom w:val="single" w:sz="8" w:space="0" w:color="000000"/>
              <w:right w:val="single" w:sz="8" w:space="0" w:color="000000"/>
            </w:tcBorders>
            <w:vAlign w:val="center"/>
            <w:hideMark/>
          </w:tcPr>
          <w:p w14:paraId="38C360F5" w14:textId="77777777" w:rsidR="000B6128" w:rsidRPr="00731FE2" w:rsidRDefault="000B6128" w:rsidP="000B6128">
            <w:pPr>
              <w:spacing w:line="240" w:lineRule="auto"/>
              <w:ind w:firstLine="0"/>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Общая протяженность улиц, проездов, набережных</w:t>
            </w:r>
          </w:p>
        </w:tc>
        <w:tc>
          <w:tcPr>
            <w:tcW w:w="1525" w:type="dxa"/>
            <w:tcBorders>
              <w:top w:val="nil"/>
              <w:left w:val="nil"/>
              <w:bottom w:val="single" w:sz="8" w:space="0" w:color="000000"/>
              <w:right w:val="single" w:sz="8" w:space="0" w:color="000000"/>
            </w:tcBorders>
            <w:vAlign w:val="center"/>
            <w:hideMark/>
          </w:tcPr>
          <w:p w14:paraId="3A6B73B1" w14:textId="7777777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км</w:t>
            </w:r>
          </w:p>
        </w:tc>
        <w:tc>
          <w:tcPr>
            <w:tcW w:w="1766" w:type="dxa"/>
            <w:tcBorders>
              <w:top w:val="nil"/>
              <w:left w:val="nil"/>
              <w:bottom w:val="single" w:sz="8" w:space="0" w:color="000000"/>
              <w:right w:val="single" w:sz="8" w:space="0" w:color="000000"/>
            </w:tcBorders>
            <w:vAlign w:val="center"/>
            <w:hideMark/>
          </w:tcPr>
          <w:p w14:paraId="47421B3A" w14:textId="0B6E7F16" w:rsidR="000B6128" w:rsidRPr="00731FE2" w:rsidRDefault="000B6128" w:rsidP="000B6128">
            <w:pPr>
              <w:spacing w:line="240" w:lineRule="auto"/>
              <w:ind w:firstLine="0"/>
              <w:jc w:val="center"/>
              <w:rPr>
                <w:rFonts w:ascii="Times New Roman" w:eastAsia="Times New Roman" w:hAnsi="Times New Roman" w:cs="Times New Roman"/>
                <w:color w:val="000000"/>
                <w:sz w:val="22"/>
                <w:lang w:eastAsia="ru-RU"/>
              </w:rPr>
            </w:pPr>
            <w:r w:rsidRPr="00731FE2">
              <w:rPr>
                <w:rFonts w:ascii="Times New Roman" w:eastAsia="Times New Roman" w:hAnsi="Times New Roman" w:cs="Times New Roman"/>
                <w:color w:val="000000"/>
                <w:sz w:val="22"/>
                <w:lang w:eastAsia="ru-RU"/>
              </w:rPr>
              <w:t>259,1</w:t>
            </w:r>
          </w:p>
        </w:tc>
        <w:tc>
          <w:tcPr>
            <w:tcW w:w="1766" w:type="dxa"/>
            <w:tcBorders>
              <w:top w:val="nil"/>
              <w:left w:val="nil"/>
              <w:bottom w:val="single" w:sz="8" w:space="0" w:color="000000"/>
              <w:right w:val="single" w:sz="8" w:space="0" w:color="000000"/>
            </w:tcBorders>
            <w:vAlign w:val="center"/>
            <w:hideMark/>
          </w:tcPr>
          <w:p w14:paraId="4E1B5650" w14:textId="01A5AEB3" w:rsidR="000B6128" w:rsidRPr="00731FE2" w:rsidRDefault="000B6128" w:rsidP="000B6128">
            <w:pPr>
              <w:spacing w:line="240" w:lineRule="auto"/>
              <w:ind w:firstLine="0"/>
              <w:jc w:val="center"/>
              <w:rPr>
                <w:rFonts w:ascii="Times New Roman" w:eastAsia="Times New Roman" w:hAnsi="Times New Roman" w:cs="Times New Roman"/>
                <w:color w:val="000000"/>
                <w:sz w:val="22"/>
                <w:lang w:eastAsia="ru-RU"/>
              </w:rPr>
            </w:pPr>
            <w:r w:rsidRPr="00731FE2">
              <w:rPr>
                <w:rFonts w:ascii="Times New Roman" w:eastAsia="Times New Roman" w:hAnsi="Times New Roman" w:cs="Times New Roman"/>
                <w:color w:val="000000"/>
                <w:sz w:val="22"/>
                <w:lang w:eastAsia="ru-RU"/>
              </w:rPr>
              <w:t>313,5</w:t>
            </w:r>
          </w:p>
        </w:tc>
      </w:tr>
      <w:tr w:rsidR="000B6128" w:rsidRPr="00731FE2" w14:paraId="08B3B18A" w14:textId="77777777" w:rsidTr="00FE28EA">
        <w:trPr>
          <w:trHeight w:val="465"/>
          <w:tblCellSpacing w:w="0" w:type="dxa"/>
        </w:trPr>
        <w:tc>
          <w:tcPr>
            <w:tcW w:w="861" w:type="dxa"/>
            <w:tcBorders>
              <w:top w:val="nil"/>
              <w:left w:val="single" w:sz="8" w:space="0" w:color="000000"/>
              <w:bottom w:val="single" w:sz="8" w:space="0" w:color="000000"/>
              <w:right w:val="single" w:sz="8" w:space="0" w:color="000000"/>
            </w:tcBorders>
            <w:vAlign w:val="center"/>
            <w:hideMark/>
          </w:tcPr>
          <w:p w14:paraId="4F524F10" w14:textId="7777777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5.2.</w:t>
            </w:r>
          </w:p>
        </w:tc>
        <w:tc>
          <w:tcPr>
            <w:tcW w:w="3417" w:type="dxa"/>
            <w:tcBorders>
              <w:top w:val="nil"/>
              <w:left w:val="nil"/>
              <w:bottom w:val="single" w:sz="8" w:space="0" w:color="000000"/>
              <w:right w:val="single" w:sz="8" w:space="0" w:color="000000"/>
            </w:tcBorders>
            <w:vAlign w:val="center"/>
            <w:hideMark/>
          </w:tcPr>
          <w:p w14:paraId="23AFFB6C" w14:textId="77777777" w:rsidR="000B6128" w:rsidRPr="00731FE2" w:rsidRDefault="000B6128" w:rsidP="000B6128">
            <w:pPr>
              <w:spacing w:line="240" w:lineRule="auto"/>
              <w:ind w:firstLine="0"/>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Обеспеченность населения индивидуальными легковыми автомобилями, с учетом наличного населения</w:t>
            </w:r>
          </w:p>
        </w:tc>
        <w:tc>
          <w:tcPr>
            <w:tcW w:w="1525" w:type="dxa"/>
            <w:tcBorders>
              <w:top w:val="nil"/>
              <w:left w:val="nil"/>
              <w:bottom w:val="single" w:sz="8" w:space="0" w:color="000000"/>
              <w:right w:val="single" w:sz="8" w:space="0" w:color="000000"/>
            </w:tcBorders>
            <w:vAlign w:val="center"/>
            <w:hideMark/>
          </w:tcPr>
          <w:p w14:paraId="314D1336" w14:textId="7777777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автомобилей/</w:t>
            </w:r>
          </w:p>
          <w:p w14:paraId="74E6C233" w14:textId="7777777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1000 чел.</w:t>
            </w:r>
          </w:p>
        </w:tc>
        <w:tc>
          <w:tcPr>
            <w:tcW w:w="1766" w:type="dxa"/>
            <w:tcBorders>
              <w:top w:val="nil"/>
              <w:left w:val="nil"/>
              <w:bottom w:val="single" w:sz="8" w:space="0" w:color="000000"/>
              <w:right w:val="single" w:sz="8" w:space="0" w:color="000000"/>
            </w:tcBorders>
            <w:vAlign w:val="center"/>
            <w:hideMark/>
          </w:tcPr>
          <w:p w14:paraId="53B51896" w14:textId="41A397CC" w:rsidR="000B6128" w:rsidRPr="00731FE2" w:rsidRDefault="000B6128" w:rsidP="000B6128">
            <w:pPr>
              <w:spacing w:line="240" w:lineRule="auto"/>
              <w:ind w:firstLine="0"/>
              <w:jc w:val="center"/>
              <w:rPr>
                <w:rFonts w:ascii="Times New Roman" w:eastAsia="Times New Roman" w:hAnsi="Times New Roman" w:cs="Times New Roman"/>
                <w:color w:val="000000"/>
                <w:sz w:val="22"/>
                <w:lang w:eastAsia="ru-RU"/>
              </w:rPr>
            </w:pPr>
            <w:r w:rsidRPr="00731FE2">
              <w:rPr>
                <w:rFonts w:ascii="Times New Roman" w:eastAsia="Times New Roman" w:hAnsi="Times New Roman" w:cs="Times New Roman"/>
                <w:color w:val="000000"/>
                <w:sz w:val="22"/>
                <w:lang w:eastAsia="ru-RU"/>
              </w:rPr>
              <w:t>330</w:t>
            </w:r>
          </w:p>
        </w:tc>
        <w:tc>
          <w:tcPr>
            <w:tcW w:w="1766" w:type="dxa"/>
            <w:tcBorders>
              <w:top w:val="nil"/>
              <w:left w:val="nil"/>
              <w:bottom w:val="single" w:sz="8" w:space="0" w:color="000000"/>
              <w:right w:val="single" w:sz="8" w:space="0" w:color="000000"/>
            </w:tcBorders>
            <w:vAlign w:val="center"/>
            <w:hideMark/>
          </w:tcPr>
          <w:p w14:paraId="657D0848" w14:textId="6497AC04" w:rsidR="000B6128" w:rsidRPr="00731FE2" w:rsidRDefault="000B6128" w:rsidP="000B6128">
            <w:pPr>
              <w:spacing w:line="240" w:lineRule="auto"/>
              <w:ind w:firstLine="0"/>
              <w:jc w:val="center"/>
              <w:rPr>
                <w:rFonts w:ascii="Times New Roman" w:eastAsia="Times New Roman" w:hAnsi="Times New Roman" w:cs="Times New Roman"/>
                <w:color w:val="000000"/>
                <w:sz w:val="22"/>
                <w:lang w:eastAsia="ru-RU"/>
              </w:rPr>
            </w:pPr>
            <w:r w:rsidRPr="00731FE2">
              <w:rPr>
                <w:rFonts w:ascii="Times New Roman" w:eastAsia="Times New Roman" w:hAnsi="Times New Roman" w:cs="Times New Roman"/>
                <w:color w:val="000000"/>
                <w:sz w:val="22"/>
                <w:lang w:eastAsia="ru-RU"/>
              </w:rPr>
              <w:t>353</w:t>
            </w:r>
          </w:p>
        </w:tc>
      </w:tr>
      <w:tr w:rsidR="000B6128" w:rsidRPr="00731FE2" w14:paraId="2B10FBD4" w14:textId="77777777" w:rsidTr="00FE28EA">
        <w:trPr>
          <w:trHeight w:val="63"/>
          <w:tblCellSpacing w:w="0" w:type="dxa"/>
        </w:trPr>
        <w:tc>
          <w:tcPr>
            <w:tcW w:w="861" w:type="dxa"/>
            <w:tcBorders>
              <w:top w:val="nil"/>
              <w:left w:val="single" w:sz="8" w:space="0" w:color="000000"/>
              <w:bottom w:val="single" w:sz="8" w:space="0" w:color="000000"/>
              <w:right w:val="single" w:sz="8" w:space="0" w:color="000000"/>
            </w:tcBorders>
            <w:vAlign w:val="center"/>
            <w:hideMark/>
          </w:tcPr>
          <w:p w14:paraId="70AEA683" w14:textId="7777777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5.3.</w:t>
            </w:r>
          </w:p>
        </w:tc>
        <w:tc>
          <w:tcPr>
            <w:tcW w:w="3417" w:type="dxa"/>
            <w:tcBorders>
              <w:top w:val="nil"/>
              <w:left w:val="nil"/>
              <w:bottom w:val="single" w:sz="8" w:space="0" w:color="000000"/>
              <w:right w:val="single" w:sz="8" w:space="0" w:color="000000"/>
            </w:tcBorders>
            <w:vAlign w:val="center"/>
            <w:hideMark/>
          </w:tcPr>
          <w:p w14:paraId="7736F64F" w14:textId="77777777" w:rsidR="000B6128" w:rsidRPr="00731FE2" w:rsidRDefault="000B6128" w:rsidP="000B6128">
            <w:pPr>
              <w:spacing w:line="240" w:lineRule="auto"/>
              <w:ind w:firstLine="0"/>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Количество АЗС</w:t>
            </w:r>
          </w:p>
        </w:tc>
        <w:tc>
          <w:tcPr>
            <w:tcW w:w="1525" w:type="dxa"/>
            <w:tcBorders>
              <w:top w:val="nil"/>
              <w:left w:val="nil"/>
              <w:bottom w:val="single" w:sz="8" w:space="0" w:color="000000"/>
              <w:right w:val="single" w:sz="8" w:space="0" w:color="000000"/>
            </w:tcBorders>
            <w:vAlign w:val="center"/>
            <w:hideMark/>
          </w:tcPr>
          <w:p w14:paraId="12942552" w14:textId="7777777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единиц</w:t>
            </w:r>
          </w:p>
        </w:tc>
        <w:tc>
          <w:tcPr>
            <w:tcW w:w="1766" w:type="dxa"/>
            <w:tcBorders>
              <w:top w:val="nil"/>
              <w:left w:val="nil"/>
              <w:bottom w:val="single" w:sz="8" w:space="0" w:color="000000"/>
              <w:right w:val="single" w:sz="8" w:space="0" w:color="000000"/>
            </w:tcBorders>
            <w:vAlign w:val="center"/>
            <w:hideMark/>
          </w:tcPr>
          <w:p w14:paraId="58686E90" w14:textId="3B2F731A" w:rsidR="000B6128" w:rsidRPr="00731FE2" w:rsidRDefault="000B6128" w:rsidP="000B6128">
            <w:pPr>
              <w:spacing w:line="240" w:lineRule="auto"/>
              <w:ind w:firstLine="0"/>
              <w:jc w:val="center"/>
              <w:rPr>
                <w:rFonts w:ascii="Times New Roman" w:eastAsia="Times New Roman" w:hAnsi="Times New Roman" w:cs="Times New Roman"/>
                <w:color w:val="000000"/>
                <w:sz w:val="22"/>
                <w:lang w:eastAsia="ru-RU"/>
              </w:rPr>
            </w:pPr>
            <w:r w:rsidRPr="00731FE2">
              <w:rPr>
                <w:rFonts w:ascii="Times New Roman" w:eastAsia="Times New Roman" w:hAnsi="Times New Roman" w:cs="Times New Roman"/>
                <w:color w:val="000000"/>
                <w:sz w:val="22"/>
                <w:lang w:eastAsia="ru-RU"/>
              </w:rPr>
              <w:t>14</w:t>
            </w:r>
          </w:p>
        </w:tc>
        <w:tc>
          <w:tcPr>
            <w:tcW w:w="1766" w:type="dxa"/>
            <w:tcBorders>
              <w:top w:val="nil"/>
              <w:left w:val="nil"/>
              <w:bottom w:val="single" w:sz="8" w:space="0" w:color="000000"/>
              <w:right w:val="single" w:sz="8" w:space="0" w:color="000000"/>
            </w:tcBorders>
            <w:vAlign w:val="center"/>
            <w:hideMark/>
          </w:tcPr>
          <w:p w14:paraId="396677DC" w14:textId="3A44E978" w:rsidR="000B6128" w:rsidRPr="00731FE2" w:rsidRDefault="000B6128" w:rsidP="000B6128">
            <w:pPr>
              <w:spacing w:line="240" w:lineRule="auto"/>
              <w:ind w:firstLine="0"/>
              <w:jc w:val="center"/>
              <w:rPr>
                <w:rFonts w:ascii="Times New Roman" w:eastAsia="Times New Roman" w:hAnsi="Times New Roman" w:cs="Times New Roman"/>
                <w:color w:val="000000"/>
                <w:sz w:val="22"/>
                <w:lang w:eastAsia="ru-RU"/>
              </w:rPr>
            </w:pPr>
            <w:r w:rsidRPr="00731FE2">
              <w:rPr>
                <w:rFonts w:ascii="Times New Roman" w:eastAsia="Times New Roman" w:hAnsi="Times New Roman" w:cs="Times New Roman"/>
                <w:color w:val="000000"/>
                <w:sz w:val="22"/>
                <w:lang w:eastAsia="ru-RU"/>
              </w:rPr>
              <w:t>15</w:t>
            </w:r>
          </w:p>
        </w:tc>
      </w:tr>
      <w:tr w:rsidR="000B6128" w:rsidRPr="00731FE2" w14:paraId="39203D44" w14:textId="77777777" w:rsidTr="00FE28EA">
        <w:trPr>
          <w:trHeight w:val="63"/>
          <w:tblCellSpacing w:w="0" w:type="dxa"/>
        </w:trPr>
        <w:tc>
          <w:tcPr>
            <w:tcW w:w="861" w:type="dxa"/>
            <w:tcBorders>
              <w:top w:val="nil"/>
              <w:left w:val="single" w:sz="8" w:space="0" w:color="000000"/>
              <w:bottom w:val="single" w:sz="8" w:space="0" w:color="000000"/>
              <w:right w:val="single" w:sz="8" w:space="0" w:color="000000"/>
            </w:tcBorders>
            <w:vAlign w:val="center"/>
            <w:hideMark/>
          </w:tcPr>
          <w:p w14:paraId="7DEFBDC7" w14:textId="46DF9C09"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5.4.</w:t>
            </w:r>
          </w:p>
        </w:tc>
        <w:tc>
          <w:tcPr>
            <w:tcW w:w="3417" w:type="dxa"/>
            <w:tcBorders>
              <w:top w:val="nil"/>
              <w:left w:val="nil"/>
              <w:bottom w:val="single" w:sz="8" w:space="0" w:color="000000"/>
              <w:right w:val="single" w:sz="8" w:space="0" w:color="000000"/>
            </w:tcBorders>
            <w:vAlign w:val="center"/>
            <w:hideMark/>
          </w:tcPr>
          <w:p w14:paraId="715074C0" w14:textId="77777777" w:rsidR="000B6128" w:rsidRPr="00731FE2" w:rsidRDefault="000B6128" w:rsidP="000B6128">
            <w:pPr>
              <w:spacing w:line="240" w:lineRule="auto"/>
              <w:ind w:firstLine="0"/>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Количество мостовых сооружений</w:t>
            </w:r>
          </w:p>
        </w:tc>
        <w:tc>
          <w:tcPr>
            <w:tcW w:w="1525" w:type="dxa"/>
            <w:tcBorders>
              <w:top w:val="nil"/>
              <w:left w:val="nil"/>
              <w:bottom w:val="single" w:sz="8" w:space="0" w:color="000000"/>
              <w:right w:val="single" w:sz="8" w:space="0" w:color="000000"/>
            </w:tcBorders>
            <w:vAlign w:val="center"/>
            <w:hideMark/>
          </w:tcPr>
          <w:p w14:paraId="369BD486" w14:textId="7777777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единиц</w:t>
            </w:r>
          </w:p>
        </w:tc>
        <w:tc>
          <w:tcPr>
            <w:tcW w:w="1766" w:type="dxa"/>
            <w:tcBorders>
              <w:top w:val="nil"/>
              <w:left w:val="nil"/>
              <w:bottom w:val="single" w:sz="8" w:space="0" w:color="000000"/>
              <w:right w:val="single" w:sz="8" w:space="0" w:color="000000"/>
            </w:tcBorders>
            <w:vAlign w:val="center"/>
            <w:hideMark/>
          </w:tcPr>
          <w:p w14:paraId="1334EC61" w14:textId="538800F3" w:rsidR="000B6128" w:rsidRPr="00731FE2" w:rsidRDefault="000B6128" w:rsidP="000B6128">
            <w:pPr>
              <w:spacing w:line="240" w:lineRule="auto"/>
              <w:ind w:firstLine="0"/>
              <w:jc w:val="center"/>
              <w:rPr>
                <w:rFonts w:ascii="Times New Roman" w:eastAsia="Times New Roman" w:hAnsi="Times New Roman" w:cs="Times New Roman"/>
                <w:color w:val="000000"/>
                <w:sz w:val="22"/>
                <w:lang w:eastAsia="ru-RU"/>
              </w:rPr>
            </w:pPr>
            <w:r w:rsidRPr="00731FE2">
              <w:rPr>
                <w:rFonts w:ascii="Times New Roman" w:eastAsia="Times New Roman" w:hAnsi="Times New Roman" w:cs="Times New Roman"/>
                <w:color w:val="000000"/>
                <w:sz w:val="22"/>
                <w:lang w:eastAsia="ru-RU"/>
              </w:rPr>
              <w:t>15</w:t>
            </w:r>
          </w:p>
        </w:tc>
        <w:tc>
          <w:tcPr>
            <w:tcW w:w="1766" w:type="dxa"/>
            <w:tcBorders>
              <w:top w:val="nil"/>
              <w:left w:val="nil"/>
              <w:bottom w:val="single" w:sz="8" w:space="0" w:color="000000"/>
              <w:right w:val="single" w:sz="8" w:space="0" w:color="000000"/>
            </w:tcBorders>
            <w:vAlign w:val="center"/>
            <w:hideMark/>
          </w:tcPr>
          <w:p w14:paraId="705CF497" w14:textId="4AA5FB42" w:rsidR="000B6128" w:rsidRPr="00731FE2" w:rsidRDefault="000B6128" w:rsidP="000B6128">
            <w:pPr>
              <w:spacing w:line="240" w:lineRule="auto"/>
              <w:ind w:firstLine="0"/>
              <w:jc w:val="center"/>
              <w:rPr>
                <w:rFonts w:ascii="Times New Roman" w:eastAsia="Times New Roman" w:hAnsi="Times New Roman" w:cs="Times New Roman"/>
                <w:color w:val="000000"/>
                <w:sz w:val="22"/>
                <w:lang w:eastAsia="ru-RU"/>
              </w:rPr>
            </w:pPr>
            <w:r w:rsidRPr="00731FE2">
              <w:rPr>
                <w:rFonts w:ascii="Times New Roman" w:eastAsia="Times New Roman" w:hAnsi="Times New Roman" w:cs="Times New Roman"/>
                <w:color w:val="000000"/>
                <w:sz w:val="22"/>
                <w:lang w:eastAsia="ru-RU"/>
              </w:rPr>
              <w:t>26</w:t>
            </w:r>
          </w:p>
        </w:tc>
      </w:tr>
      <w:tr w:rsidR="000B6128" w:rsidRPr="00731FE2" w14:paraId="07BFB3E6" w14:textId="77777777" w:rsidTr="00D154A0">
        <w:trPr>
          <w:trHeight w:val="70"/>
          <w:tblCellSpacing w:w="0" w:type="dxa"/>
        </w:trPr>
        <w:tc>
          <w:tcPr>
            <w:tcW w:w="9335" w:type="dxa"/>
            <w:gridSpan w:val="5"/>
            <w:tcBorders>
              <w:top w:val="nil"/>
              <w:left w:val="single" w:sz="8" w:space="0" w:color="000000"/>
              <w:bottom w:val="single" w:sz="8" w:space="0" w:color="000000"/>
              <w:right w:val="single" w:sz="8" w:space="0" w:color="000000"/>
            </w:tcBorders>
            <w:vAlign w:val="center"/>
            <w:hideMark/>
          </w:tcPr>
          <w:p w14:paraId="24DB2FA6" w14:textId="7777777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b/>
                <w:bCs/>
                <w:color w:val="000000"/>
                <w:sz w:val="22"/>
                <w:lang w:eastAsia="ru-RU"/>
              </w:rPr>
              <w:t>6.Инженерная инфраструктура и благоустройство территории</w:t>
            </w:r>
          </w:p>
        </w:tc>
      </w:tr>
      <w:tr w:rsidR="000B6128" w:rsidRPr="00731FE2" w14:paraId="4E242CCE" w14:textId="77777777" w:rsidTr="00FE28EA">
        <w:trPr>
          <w:trHeight w:val="63"/>
          <w:tblCellSpacing w:w="0" w:type="dxa"/>
        </w:trPr>
        <w:tc>
          <w:tcPr>
            <w:tcW w:w="861" w:type="dxa"/>
            <w:tcBorders>
              <w:top w:val="nil"/>
              <w:left w:val="single" w:sz="8" w:space="0" w:color="000000"/>
              <w:bottom w:val="single" w:sz="8" w:space="0" w:color="000000"/>
              <w:right w:val="single" w:sz="8" w:space="0" w:color="000000"/>
            </w:tcBorders>
            <w:vAlign w:val="center"/>
            <w:hideMark/>
          </w:tcPr>
          <w:p w14:paraId="606521B2" w14:textId="7777777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6.1.</w:t>
            </w:r>
          </w:p>
        </w:tc>
        <w:tc>
          <w:tcPr>
            <w:tcW w:w="3417" w:type="dxa"/>
            <w:tcBorders>
              <w:top w:val="nil"/>
              <w:left w:val="nil"/>
              <w:bottom w:val="single" w:sz="8" w:space="0" w:color="000000"/>
              <w:right w:val="single" w:sz="8" w:space="0" w:color="000000"/>
            </w:tcBorders>
            <w:vAlign w:val="center"/>
            <w:hideMark/>
          </w:tcPr>
          <w:p w14:paraId="22CA8AC6" w14:textId="77777777" w:rsidR="000B6128" w:rsidRPr="00731FE2" w:rsidRDefault="000B6128" w:rsidP="000B6128">
            <w:pPr>
              <w:spacing w:line="240" w:lineRule="auto"/>
              <w:ind w:firstLine="0"/>
              <w:rPr>
                <w:rFonts w:ascii="Times New Roman" w:eastAsia="Times New Roman" w:hAnsi="Times New Roman" w:cs="Times New Roman"/>
                <w:sz w:val="22"/>
                <w:lang w:eastAsia="ru-RU"/>
              </w:rPr>
            </w:pPr>
            <w:r w:rsidRPr="00731FE2">
              <w:rPr>
                <w:rFonts w:ascii="Times New Roman" w:eastAsia="Times New Roman" w:hAnsi="Times New Roman" w:cs="Times New Roman"/>
                <w:b/>
                <w:bCs/>
                <w:color w:val="000000"/>
                <w:sz w:val="22"/>
                <w:lang w:eastAsia="ru-RU"/>
              </w:rPr>
              <w:t>Водоснабжение</w:t>
            </w:r>
          </w:p>
        </w:tc>
        <w:tc>
          <w:tcPr>
            <w:tcW w:w="1525" w:type="dxa"/>
            <w:tcBorders>
              <w:top w:val="nil"/>
              <w:left w:val="nil"/>
              <w:bottom w:val="single" w:sz="8" w:space="0" w:color="000000"/>
              <w:right w:val="single" w:sz="8" w:space="0" w:color="000000"/>
            </w:tcBorders>
            <w:vAlign w:val="center"/>
            <w:hideMark/>
          </w:tcPr>
          <w:p w14:paraId="4F3A90FD" w14:textId="0B71CF9A"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p>
        </w:tc>
        <w:tc>
          <w:tcPr>
            <w:tcW w:w="1766" w:type="dxa"/>
            <w:tcBorders>
              <w:top w:val="nil"/>
              <w:left w:val="nil"/>
              <w:bottom w:val="single" w:sz="8" w:space="0" w:color="000000"/>
              <w:right w:val="single" w:sz="8" w:space="0" w:color="000000"/>
            </w:tcBorders>
            <w:vAlign w:val="center"/>
            <w:hideMark/>
          </w:tcPr>
          <w:p w14:paraId="14D9298E" w14:textId="4D697857" w:rsidR="000B6128" w:rsidRPr="00731FE2" w:rsidRDefault="000B6128" w:rsidP="000B6128">
            <w:pPr>
              <w:spacing w:line="240" w:lineRule="auto"/>
              <w:ind w:firstLine="0"/>
              <w:jc w:val="center"/>
              <w:rPr>
                <w:rFonts w:ascii="Times New Roman" w:eastAsia="Times New Roman" w:hAnsi="Times New Roman" w:cs="Times New Roman"/>
                <w:color w:val="000000"/>
                <w:sz w:val="22"/>
                <w:lang w:eastAsia="ru-RU"/>
              </w:rPr>
            </w:pPr>
            <w:r w:rsidRPr="00731FE2">
              <w:rPr>
                <w:rFonts w:ascii="Times New Roman" w:eastAsia="Times New Roman" w:hAnsi="Times New Roman" w:cs="Times New Roman"/>
                <w:color w:val="000000"/>
                <w:sz w:val="22"/>
                <w:lang w:eastAsia="ru-RU"/>
              </w:rPr>
              <w:t>-</w:t>
            </w:r>
          </w:p>
        </w:tc>
        <w:tc>
          <w:tcPr>
            <w:tcW w:w="1766" w:type="dxa"/>
            <w:tcBorders>
              <w:top w:val="nil"/>
              <w:left w:val="nil"/>
              <w:bottom w:val="single" w:sz="8" w:space="0" w:color="000000"/>
              <w:right w:val="single" w:sz="8" w:space="0" w:color="000000"/>
            </w:tcBorders>
            <w:vAlign w:val="center"/>
            <w:hideMark/>
          </w:tcPr>
          <w:p w14:paraId="6A1BF8C9" w14:textId="79FD464E" w:rsidR="000B6128" w:rsidRPr="00731FE2" w:rsidRDefault="000B6128" w:rsidP="000B6128">
            <w:pPr>
              <w:spacing w:line="240" w:lineRule="auto"/>
              <w:ind w:firstLine="0"/>
              <w:jc w:val="center"/>
              <w:rPr>
                <w:rFonts w:ascii="Times New Roman" w:eastAsia="Times New Roman" w:hAnsi="Times New Roman" w:cs="Times New Roman"/>
                <w:color w:val="000000"/>
                <w:sz w:val="22"/>
                <w:lang w:eastAsia="ru-RU"/>
              </w:rPr>
            </w:pPr>
            <w:r w:rsidRPr="00731FE2">
              <w:rPr>
                <w:rFonts w:ascii="Times New Roman" w:eastAsia="Times New Roman" w:hAnsi="Times New Roman" w:cs="Times New Roman"/>
                <w:color w:val="000000"/>
                <w:sz w:val="22"/>
                <w:lang w:eastAsia="ru-RU"/>
              </w:rPr>
              <w:t>39,744</w:t>
            </w:r>
          </w:p>
        </w:tc>
      </w:tr>
      <w:tr w:rsidR="000B6128" w:rsidRPr="00731FE2" w14:paraId="02936759" w14:textId="77777777" w:rsidTr="00FE28EA">
        <w:trPr>
          <w:trHeight w:val="63"/>
          <w:tblCellSpacing w:w="0" w:type="dxa"/>
        </w:trPr>
        <w:tc>
          <w:tcPr>
            <w:tcW w:w="861" w:type="dxa"/>
            <w:tcBorders>
              <w:top w:val="nil"/>
              <w:left w:val="single" w:sz="8" w:space="0" w:color="000000"/>
              <w:bottom w:val="single" w:sz="8" w:space="0" w:color="000000"/>
              <w:right w:val="single" w:sz="8" w:space="0" w:color="000000"/>
            </w:tcBorders>
            <w:vAlign w:val="center"/>
            <w:hideMark/>
          </w:tcPr>
          <w:p w14:paraId="5CD7C95B" w14:textId="7777777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6.1.1.</w:t>
            </w:r>
          </w:p>
        </w:tc>
        <w:tc>
          <w:tcPr>
            <w:tcW w:w="3417" w:type="dxa"/>
            <w:tcBorders>
              <w:top w:val="nil"/>
              <w:left w:val="nil"/>
              <w:bottom w:val="single" w:sz="8" w:space="0" w:color="000000"/>
              <w:right w:val="single" w:sz="8" w:space="0" w:color="000000"/>
            </w:tcBorders>
            <w:vAlign w:val="center"/>
            <w:hideMark/>
          </w:tcPr>
          <w:p w14:paraId="5D547ED3" w14:textId="77777777" w:rsidR="000B6128" w:rsidRPr="00731FE2" w:rsidRDefault="000B6128" w:rsidP="000B6128">
            <w:pPr>
              <w:spacing w:line="240" w:lineRule="auto"/>
              <w:ind w:firstLine="0"/>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Общий объем водопотребления – всего,</w:t>
            </w:r>
          </w:p>
        </w:tc>
        <w:tc>
          <w:tcPr>
            <w:tcW w:w="1525" w:type="dxa"/>
            <w:tcBorders>
              <w:top w:val="nil"/>
              <w:left w:val="nil"/>
              <w:bottom w:val="single" w:sz="8" w:space="0" w:color="000000"/>
              <w:right w:val="single" w:sz="8" w:space="0" w:color="000000"/>
            </w:tcBorders>
            <w:vAlign w:val="center"/>
            <w:hideMark/>
          </w:tcPr>
          <w:p w14:paraId="0D924B88" w14:textId="7777777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тыс. м</w:t>
            </w:r>
            <w:r w:rsidRPr="00731FE2">
              <w:rPr>
                <w:rFonts w:ascii="Times New Roman" w:eastAsia="Times New Roman" w:hAnsi="Times New Roman" w:cs="Times New Roman"/>
                <w:color w:val="000000"/>
                <w:sz w:val="22"/>
                <w:vertAlign w:val="superscript"/>
                <w:lang w:eastAsia="ru-RU"/>
              </w:rPr>
              <w:t>3</w:t>
            </w:r>
            <w:r w:rsidRPr="00731FE2">
              <w:rPr>
                <w:rFonts w:ascii="Times New Roman" w:eastAsia="Times New Roman" w:hAnsi="Times New Roman" w:cs="Times New Roman"/>
                <w:color w:val="000000"/>
                <w:sz w:val="22"/>
                <w:lang w:eastAsia="ru-RU"/>
              </w:rPr>
              <w:t>/сут.</w:t>
            </w:r>
          </w:p>
        </w:tc>
        <w:tc>
          <w:tcPr>
            <w:tcW w:w="1766" w:type="dxa"/>
            <w:tcBorders>
              <w:top w:val="nil"/>
              <w:left w:val="nil"/>
              <w:bottom w:val="single" w:sz="8" w:space="0" w:color="000000"/>
              <w:right w:val="single" w:sz="8" w:space="0" w:color="000000"/>
            </w:tcBorders>
            <w:vAlign w:val="center"/>
            <w:hideMark/>
          </w:tcPr>
          <w:p w14:paraId="406862F1" w14:textId="2C8DF0B2" w:rsidR="000B6128" w:rsidRPr="00731FE2" w:rsidRDefault="000B6128" w:rsidP="000B6128">
            <w:pPr>
              <w:spacing w:line="240" w:lineRule="auto"/>
              <w:ind w:firstLine="0"/>
              <w:jc w:val="center"/>
              <w:rPr>
                <w:rFonts w:ascii="Times New Roman" w:eastAsia="Times New Roman" w:hAnsi="Times New Roman" w:cs="Times New Roman"/>
                <w:color w:val="000000"/>
                <w:sz w:val="22"/>
                <w:lang w:eastAsia="ru-RU"/>
              </w:rPr>
            </w:pPr>
          </w:p>
        </w:tc>
        <w:tc>
          <w:tcPr>
            <w:tcW w:w="1766" w:type="dxa"/>
            <w:tcBorders>
              <w:top w:val="nil"/>
              <w:left w:val="nil"/>
              <w:bottom w:val="single" w:sz="8" w:space="0" w:color="000000"/>
              <w:right w:val="single" w:sz="8" w:space="0" w:color="000000"/>
            </w:tcBorders>
            <w:vAlign w:val="center"/>
            <w:hideMark/>
          </w:tcPr>
          <w:p w14:paraId="7FA89CC6" w14:textId="5C57A8CA" w:rsidR="000B6128" w:rsidRPr="00731FE2" w:rsidRDefault="000B6128" w:rsidP="000B6128">
            <w:pPr>
              <w:spacing w:line="240" w:lineRule="auto"/>
              <w:ind w:firstLine="0"/>
              <w:jc w:val="center"/>
              <w:rPr>
                <w:rFonts w:ascii="Times New Roman" w:eastAsia="Times New Roman" w:hAnsi="Times New Roman" w:cs="Times New Roman"/>
                <w:color w:val="000000"/>
                <w:sz w:val="22"/>
                <w:lang w:eastAsia="ru-RU"/>
              </w:rPr>
            </w:pPr>
          </w:p>
        </w:tc>
      </w:tr>
      <w:tr w:rsidR="000B6128" w:rsidRPr="00731FE2" w14:paraId="29457367" w14:textId="77777777" w:rsidTr="00FE28EA">
        <w:trPr>
          <w:trHeight w:val="63"/>
          <w:tblCellSpacing w:w="0" w:type="dxa"/>
        </w:trPr>
        <w:tc>
          <w:tcPr>
            <w:tcW w:w="861" w:type="dxa"/>
            <w:tcBorders>
              <w:top w:val="nil"/>
              <w:left w:val="single" w:sz="8" w:space="0" w:color="000000"/>
              <w:bottom w:val="single" w:sz="8" w:space="0" w:color="000000"/>
              <w:right w:val="single" w:sz="8" w:space="0" w:color="000000"/>
            </w:tcBorders>
            <w:vAlign w:val="center"/>
            <w:hideMark/>
          </w:tcPr>
          <w:p w14:paraId="6BF067EB" w14:textId="7777777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 </w:t>
            </w:r>
          </w:p>
        </w:tc>
        <w:tc>
          <w:tcPr>
            <w:tcW w:w="3417" w:type="dxa"/>
            <w:tcBorders>
              <w:top w:val="nil"/>
              <w:left w:val="nil"/>
              <w:bottom w:val="single" w:sz="8" w:space="0" w:color="000000"/>
              <w:right w:val="single" w:sz="8" w:space="0" w:color="000000"/>
            </w:tcBorders>
            <w:vAlign w:val="center"/>
            <w:hideMark/>
          </w:tcPr>
          <w:p w14:paraId="00CF911F" w14:textId="77777777" w:rsidR="000B6128" w:rsidRPr="00731FE2" w:rsidRDefault="000B6128" w:rsidP="000B6128">
            <w:pPr>
              <w:spacing w:line="240" w:lineRule="auto"/>
              <w:ind w:firstLine="0"/>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в том числе:</w:t>
            </w:r>
          </w:p>
        </w:tc>
        <w:tc>
          <w:tcPr>
            <w:tcW w:w="1525" w:type="dxa"/>
            <w:tcBorders>
              <w:top w:val="nil"/>
              <w:left w:val="nil"/>
              <w:bottom w:val="single" w:sz="8" w:space="0" w:color="000000"/>
              <w:right w:val="single" w:sz="8" w:space="0" w:color="000000"/>
            </w:tcBorders>
            <w:vAlign w:val="center"/>
            <w:hideMark/>
          </w:tcPr>
          <w:p w14:paraId="35FF0849" w14:textId="7777777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 </w:t>
            </w:r>
          </w:p>
        </w:tc>
        <w:tc>
          <w:tcPr>
            <w:tcW w:w="1766" w:type="dxa"/>
            <w:tcBorders>
              <w:top w:val="nil"/>
              <w:left w:val="nil"/>
              <w:bottom w:val="single" w:sz="8" w:space="0" w:color="000000"/>
              <w:right w:val="single" w:sz="8" w:space="0" w:color="000000"/>
            </w:tcBorders>
            <w:vAlign w:val="center"/>
            <w:hideMark/>
          </w:tcPr>
          <w:p w14:paraId="13EDB0F0" w14:textId="3BEDBBBF" w:rsidR="000B6128" w:rsidRPr="00731FE2" w:rsidRDefault="000B6128" w:rsidP="000B6128">
            <w:pPr>
              <w:spacing w:line="240" w:lineRule="auto"/>
              <w:ind w:firstLine="0"/>
              <w:jc w:val="center"/>
              <w:rPr>
                <w:rFonts w:ascii="Times New Roman" w:eastAsia="Times New Roman" w:hAnsi="Times New Roman" w:cs="Times New Roman"/>
                <w:color w:val="000000"/>
                <w:sz w:val="22"/>
                <w:lang w:eastAsia="ru-RU"/>
              </w:rPr>
            </w:pPr>
            <w:r w:rsidRPr="00731FE2">
              <w:rPr>
                <w:rFonts w:ascii="Times New Roman" w:eastAsia="Times New Roman" w:hAnsi="Times New Roman" w:cs="Times New Roman"/>
                <w:color w:val="000000"/>
                <w:sz w:val="22"/>
                <w:lang w:eastAsia="ru-RU"/>
              </w:rPr>
              <w:t>-</w:t>
            </w:r>
          </w:p>
        </w:tc>
        <w:tc>
          <w:tcPr>
            <w:tcW w:w="1766" w:type="dxa"/>
            <w:tcBorders>
              <w:top w:val="nil"/>
              <w:left w:val="nil"/>
              <w:bottom w:val="single" w:sz="8" w:space="0" w:color="000000"/>
              <w:right w:val="single" w:sz="8" w:space="0" w:color="000000"/>
            </w:tcBorders>
            <w:vAlign w:val="center"/>
            <w:hideMark/>
          </w:tcPr>
          <w:p w14:paraId="20A9B304" w14:textId="35355D5E" w:rsidR="000B6128" w:rsidRPr="00731FE2" w:rsidRDefault="000B6128" w:rsidP="000B6128">
            <w:pPr>
              <w:spacing w:line="240" w:lineRule="auto"/>
              <w:ind w:firstLine="0"/>
              <w:jc w:val="center"/>
              <w:rPr>
                <w:rFonts w:ascii="Times New Roman" w:eastAsia="Times New Roman" w:hAnsi="Times New Roman" w:cs="Times New Roman"/>
                <w:color w:val="000000"/>
                <w:sz w:val="22"/>
                <w:lang w:eastAsia="ru-RU"/>
              </w:rPr>
            </w:pPr>
            <w:r w:rsidRPr="00731FE2">
              <w:rPr>
                <w:rFonts w:ascii="Times New Roman" w:eastAsia="Times New Roman" w:hAnsi="Times New Roman" w:cs="Times New Roman"/>
                <w:color w:val="000000"/>
                <w:sz w:val="22"/>
                <w:lang w:eastAsia="ru-RU"/>
              </w:rPr>
              <w:t>26,338</w:t>
            </w:r>
          </w:p>
        </w:tc>
      </w:tr>
      <w:tr w:rsidR="000B6128" w:rsidRPr="00731FE2" w14:paraId="387ADB5C" w14:textId="77777777" w:rsidTr="00FE28EA">
        <w:trPr>
          <w:trHeight w:val="63"/>
          <w:tblCellSpacing w:w="0" w:type="dxa"/>
        </w:trPr>
        <w:tc>
          <w:tcPr>
            <w:tcW w:w="861" w:type="dxa"/>
            <w:tcBorders>
              <w:top w:val="nil"/>
              <w:left w:val="single" w:sz="8" w:space="0" w:color="000000"/>
              <w:bottom w:val="single" w:sz="8" w:space="0" w:color="000000"/>
              <w:right w:val="single" w:sz="8" w:space="0" w:color="000000"/>
            </w:tcBorders>
            <w:vAlign w:val="center"/>
            <w:hideMark/>
          </w:tcPr>
          <w:p w14:paraId="6868ECD0" w14:textId="7777777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 </w:t>
            </w:r>
          </w:p>
        </w:tc>
        <w:tc>
          <w:tcPr>
            <w:tcW w:w="3417" w:type="dxa"/>
            <w:tcBorders>
              <w:top w:val="nil"/>
              <w:left w:val="nil"/>
              <w:bottom w:val="single" w:sz="8" w:space="0" w:color="000000"/>
              <w:right w:val="single" w:sz="8" w:space="0" w:color="000000"/>
            </w:tcBorders>
            <w:vAlign w:val="center"/>
            <w:hideMark/>
          </w:tcPr>
          <w:p w14:paraId="1C51E2D2" w14:textId="77777777" w:rsidR="000B6128" w:rsidRPr="00731FE2" w:rsidRDefault="000B6128" w:rsidP="000B6128">
            <w:pPr>
              <w:spacing w:line="240" w:lineRule="auto"/>
              <w:ind w:firstLine="0"/>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на хозяйственно-питьевые нужды</w:t>
            </w:r>
          </w:p>
        </w:tc>
        <w:tc>
          <w:tcPr>
            <w:tcW w:w="1525" w:type="dxa"/>
            <w:tcBorders>
              <w:top w:val="nil"/>
              <w:left w:val="nil"/>
              <w:bottom w:val="single" w:sz="8" w:space="0" w:color="000000"/>
              <w:right w:val="single" w:sz="8" w:space="0" w:color="000000"/>
            </w:tcBorders>
            <w:vAlign w:val="center"/>
            <w:hideMark/>
          </w:tcPr>
          <w:p w14:paraId="0C77646A" w14:textId="7777777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тыс. м</w:t>
            </w:r>
            <w:r w:rsidRPr="00731FE2">
              <w:rPr>
                <w:rFonts w:ascii="Times New Roman" w:eastAsia="Times New Roman" w:hAnsi="Times New Roman" w:cs="Times New Roman"/>
                <w:color w:val="000000"/>
                <w:sz w:val="22"/>
                <w:vertAlign w:val="superscript"/>
                <w:lang w:eastAsia="ru-RU"/>
              </w:rPr>
              <w:t>3</w:t>
            </w:r>
            <w:r w:rsidRPr="00731FE2">
              <w:rPr>
                <w:rFonts w:ascii="Times New Roman" w:eastAsia="Times New Roman" w:hAnsi="Times New Roman" w:cs="Times New Roman"/>
                <w:color w:val="000000"/>
                <w:sz w:val="22"/>
                <w:lang w:eastAsia="ru-RU"/>
              </w:rPr>
              <w:t>/сут.</w:t>
            </w:r>
          </w:p>
        </w:tc>
        <w:tc>
          <w:tcPr>
            <w:tcW w:w="1766" w:type="dxa"/>
            <w:tcBorders>
              <w:top w:val="nil"/>
              <w:left w:val="nil"/>
              <w:bottom w:val="single" w:sz="8" w:space="0" w:color="000000"/>
              <w:right w:val="single" w:sz="8" w:space="0" w:color="000000"/>
            </w:tcBorders>
            <w:vAlign w:val="center"/>
            <w:hideMark/>
          </w:tcPr>
          <w:p w14:paraId="5B53ECFB" w14:textId="7FE57788" w:rsidR="000B6128" w:rsidRPr="00731FE2" w:rsidRDefault="000B6128" w:rsidP="000B6128">
            <w:pPr>
              <w:spacing w:line="240" w:lineRule="auto"/>
              <w:ind w:firstLine="0"/>
              <w:jc w:val="center"/>
              <w:rPr>
                <w:rFonts w:ascii="Times New Roman" w:eastAsia="Times New Roman" w:hAnsi="Times New Roman" w:cs="Times New Roman"/>
                <w:color w:val="000000"/>
                <w:sz w:val="22"/>
                <w:lang w:eastAsia="ru-RU"/>
              </w:rPr>
            </w:pPr>
            <w:r w:rsidRPr="00731FE2">
              <w:rPr>
                <w:rFonts w:ascii="Times New Roman" w:eastAsia="Times New Roman" w:hAnsi="Times New Roman" w:cs="Times New Roman"/>
                <w:color w:val="000000"/>
                <w:sz w:val="22"/>
                <w:lang w:eastAsia="ru-RU"/>
              </w:rPr>
              <w:t>-</w:t>
            </w:r>
          </w:p>
        </w:tc>
        <w:tc>
          <w:tcPr>
            <w:tcW w:w="1766" w:type="dxa"/>
            <w:tcBorders>
              <w:top w:val="nil"/>
              <w:left w:val="nil"/>
              <w:bottom w:val="single" w:sz="8" w:space="0" w:color="000000"/>
              <w:right w:val="single" w:sz="8" w:space="0" w:color="000000"/>
            </w:tcBorders>
            <w:vAlign w:val="center"/>
            <w:hideMark/>
          </w:tcPr>
          <w:p w14:paraId="3DB7350C" w14:textId="06D56840" w:rsidR="000B6128" w:rsidRPr="00731FE2" w:rsidRDefault="000B6128" w:rsidP="000B6128">
            <w:pPr>
              <w:spacing w:line="240" w:lineRule="auto"/>
              <w:ind w:firstLine="0"/>
              <w:jc w:val="center"/>
              <w:rPr>
                <w:rFonts w:ascii="Times New Roman" w:eastAsia="Times New Roman" w:hAnsi="Times New Roman" w:cs="Times New Roman"/>
                <w:color w:val="000000"/>
                <w:sz w:val="22"/>
                <w:lang w:eastAsia="ru-RU"/>
              </w:rPr>
            </w:pPr>
            <w:r w:rsidRPr="00731FE2">
              <w:rPr>
                <w:rFonts w:ascii="Times New Roman" w:eastAsia="Times New Roman" w:hAnsi="Times New Roman" w:cs="Times New Roman"/>
                <w:color w:val="000000"/>
                <w:sz w:val="22"/>
                <w:lang w:eastAsia="ru-RU"/>
              </w:rPr>
              <w:t>3,951</w:t>
            </w:r>
          </w:p>
        </w:tc>
      </w:tr>
      <w:tr w:rsidR="000B6128" w:rsidRPr="00731FE2" w14:paraId="565D73D2" w14:textId="77777777" w:rsidTr="00FE28EA">
        <w:trPr>
          <w:trHeight w:val="63"/>
          <w:tblCellSpacing w:w="0" w:type="dxa"/>
        </w:trPr>
        <w:tc>
          <w:tcPr>
            <w:tcW w:w="861" w:type="dxa"/>
            <w:tcBorders>
              <w:top w:val="nil"/>
              <w:left w:val="single" w:sz="8" w:space="0" w:color="000000"/>
              <w:bottom w:val="single" w:sz="8" w:space="0" w:color="000000"/>
              <w:right w:val="single" w:sz="8" w:space="0" w:color="000000"/>
            </w:tcBorders>
            <w:vAlign w:val="center"/>
            <w:hideMark/>
          </w:tcPr>
          <w:p w14:paraId="5C3E35A2" w14:textId="7777777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 </w:t>
            </w:r>
          </w:p>
        </w:tc>
        <w:tc>
          <w:tcPr>
            <w:tcW w:w="3417" w:type="dxa"/>
            <w:tcBorders>
              <w:top w:val="nil"/>
              <w:left w:val="nil"/>
              <w:bottom w:val="single" w:sz="8" w:space="0" w:color="000000"/>
              <w:right w:val="single" w:sz="8" w:space="0" w:color="000000"/>
            </w:tcBorders>
            <w:vAlign w:val="center"/>
            <w:hideMark/>
          </w:tcPr>
          <w:p w14:paraId="599C6031" w14:textId="77777777" w:rsidR="000B6128" w:rsidRPr="00731FE2" w:rsidRDefault="000B6128" w:rsidP="000B6128">
            <w:pPr>
              <w:spacing w:line="240" w:lineRule="auto"/>
              <w:ind w:firstLine="0"/>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на производственные нужды</w:t>
            </w:r>
          </w:p>
        </w:tc>
        <w:tc>
          <w:tcPr>
            <w:tcW w:w="1525" w:type="dxa"/>
            <w:tcBorders>
              <w:top w:val="nil"/>
              <w:left w:val="nil"/>
              <w:bottom w:val="single" w:sz="8" w:space="0" w:color="000000"/>
              <w:right w:val="single" w:sz="8" w:space="0" w:color="000000"/>
            </w:tcBorders>
            <w:vAlign w:val="center"/>
            <w:hideMark/>
          </w:tcPr>
          <w:p w14:paraId="5F23178F" w14:textId="7777777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тыс. м</w:t>
            </w:r>
            <w:r w:rsidRPr="00731FE2">
              <w:rPr>
                <w:rFonts w:ascii="Times New Roman" w:eastAsia="Times New Roman" w:hAnsi="Times New Roman" w:cs="Times New Roman"/>
                <w:color w:val="000000"/>
                <w:sz w:val="22"/>
                <w:vertAlign w:val="superscript"/>
                <w:lang w:eastAsia="ru-RU"/>
              </w:rPr>
              <w:t>3</w:t>
            </w:r>
            <w:r w:rsidRPr="00731FE2">
              <w:rPr>
                <w:rFonts w:ascii="Times New Roman" w:eastAsia="Times New Roman" w:hAnsi="Times New Roman" w:cs="Times New Roman"/>
                <w:color w:val="000000"/>
                <w:sz w:val="22"/>
                <w:lang w:eastAsia="ru-RU"/>
              </w:rPr>
              <w:t>/сут.</w:t>
            </w:r>
          </w:p>
        </w:tc>
        <w:tc>
          <w:tcPr>
            <w:tcW w:w="1766" w:type="dxa"/>
            <w:tcBorders>
              <w:top w:val="nil"/>
              <w:left w:val="nil"/>
              <w:bottom w:val="single" w:sz="8" w:space="0" w:color="000000"/>
              <w:right w:val="single" w:sz="8" w:space="0" w:color="000000"/>
            </w:tcBorders>
            <w:vAlign w:val="center"/>
            <w:hideMark/>
          </w:tcPr>
          <w:p w14:paraId="604BA808" w14:textId="29F33C34" w:rsidR="000B6128" w:rsidRPr="00731FE2" w:rsidRDefault="000B6128" w:rsidP="000B6128">
            <w:pPr>
              <w:spacing w:line="240" w:lineRule="auto"/>
              <w:ind w:firstLine="0"/>
              <w:jc w:val="center"/>
              <w:rPr>
                <w:rFonts w:ascii="Times New Roman" w:eastAsia="Times New Roman" w:hAnsi="Times New Roman" w:cs="Times New Roman"/>
                <w:color w:val="000000"/>
                <w:sz w:val="22"/>
                <w:lang w:eastAsia="ru-RU"/>
              </w:rPr>
            </w:pPr>
          </w:p>
        </w:tc>
        <w:tc>
          <w:tcPr>
            <w:tcW w:w="1766" w:type="dxa"/>
            <w:tcBorders>
              <w:top w:val="nil"/>
              <w:left w:val="nil"/>
              <w:bottom w:val="single" w:sz="8" w:space="0" w:color="000000"/>
              <w:right w:val="single" w:sz="8" w:space="0" w:color="000000"/>
            </w:tcBorders>
            <w:vAlign w:val="center"/>
            <w:hideMark/>
          </w:tcPr>
          <w:p w14:paraId="517A2800" w14:textId="7359632A" w:rsidR="000B6128" w:rsidRPr="00731FE2" w:rsidRDefault="000B6128" w:rsidP="000B6128">
            <w:pPr>
              <w:spacing w:line="240" w:lineRule="auto"/>
              <w:ind w:firstLine="0"/>
              <w:jc w:val="center"/>
              <w:rPr>
                <w:rFonts w:ascii="Times New Roman" w:eastAsia="Times New Roman" w:hAnsi="Times New Roman" w:cs="Times New Roman"/>
                <w:color w:val="000000"/>
                <w:sz w:val="22"/>
                <w:lang w:eastAsia="ru-RU"/>
              </w:rPr>
            </w:pPr>
          </w:p>
        </w:tc>
      </w:tr>
      <w:tr w:rsidR="000B6128" w:rsidRPr="00731FE2" w14:paraId="6929433B" w14:textId="77777777" w:rsidTr="00FE28EA">
        <w:trPr>
          <w:trHeight w:val="265"/>
          <w:tblCellSpacing w:w="0" w:type="dxa"/>
        </w:trPr>
        <w:tc>
          <w:tcPr>
            <w:tcW w:w="861" w:type="dxa"/>
            <w:tcBorders>
              <w:top w:val="nil"/>
              <w:left w:val="single" w:sz="8" w:space="0" w:color="000000"/>
              <w:bottom w:val="single" w:sz="8" w:space="0" w:color="000000"/>
              <w:right w:val="single" w:sz="8" w:space="0" w:color="000000"/>
            </w:tcBorders>
            <w:vAlign w:val="center"/>
            <w:hideMark/>
          </w:tcPr>
          <w:p w14:paraId="79FCAA96" w14:textId="2BEF9516"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lastRenderedPageBreak/>
              <w:t>6.1.2.</w:t>
            </w:r>
          </w:p>
        </w:tc>
        <w:tc>
          <w:tcPr>
            <w:tcW w:w="3417" w:type="dxa"/>
            <w:tcBorders>
              <w:top w:val="nil"/>
              <w:left w:val="nil"/>
              <w:bottom w:val="single" w:sz="8" w:space="0" w:color="000000"/>
              <w:right w:val="single" w:sz="8" w:space="0" w:color="000000"/>
            </w:tcBorders>
            <w:vAlign w:val="center"/>
            <w:hideMark/>
          </w:tcPr>
          <w:p w14:paraId="6D29241E" w14:textId="77777777" w:rsidR="000B6128" w:rsidRPr="00731FE2" w:rsidRDefault="000B6128" w:rsidP="000B6128">
            <w:pPr>
              <w:spacing w:line="240" w:lineRule="auto"/>
              <w:ind w:firstLine="0"/>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Среднесуточное водопотребление на 1 человека (без учета промышленности)</w:t>
            </w:r>
          </w:p>
        </w:tc>
        <w:tc>
          <w:tcPr>
            <w:tcW w:w="1525" w:type="dxa"/>
            <w:tcBorders>
              <w:top w:val="nil"/>
              <w:left w:val="nil"/>
              <w:bottom w:val="single" w:sz="8" w:space="0" w:color="000000"/>
              <w:right w:val="single" w:sz="8" w:space="0" w:color="000000"/>
            </w:tcBorders>
            <w:vAlign w:val="center"/>
            <w:hideMark/>
          </w:tcPr>
          <w:p w14:paraId="5E5B74D4" w14:textId="7777777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л/сут. на 1 человека</w:t>
            </w:r>
          </w:p>
        </w:tc>
        <w:tc>
          <w:tcPr>
            <w:tcW w:w="1766" w:type="dxa"/>
            <w:tcBorders>
              <w:top w:val="nil"/>
              <w:left w:val="nil"/>
              <w:bottom w:val="single" w:sz="8" w:space="0" w:color="000000"/>
              <w:right w:val="single" w:sz="8" w:space="0" w:color="000000"/>
            </w:tcBorders>
            <w:vAlign w:val="center"/>
            <w:hideMark/>
          </w:tcPr>
          <w:p w14:paraId="759DD270" w14:textId="3F9EB8BB"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195</w:t>
            </w:r>
          </w:p>
        </w:tc>
        <w:tc>
          <w:tcPr>
            <w:tcW w:w="1766" w:type="dxa"/>
            <w:tcBorders>
              <w:top w:val="nil"/>
              <w:left w:val="nil"/>
              <w:bottom w:val="single" w:sz="8" w:space="0" w:color="000000"/>
              <w:right w:val="single" w:sz="8" w:space="0" w:color="000000"/>
            </w:tcBorders>
            <w:vAlign w:val="center"/>
            <w:hideMark/>
          </w:tcPr>
          <w:p w14:paraId="429F0255" w14:textId="4721AAE3"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195</w:t>
            </w:r>
          </w:p>
        </w:tc>
      </w:tr>
      <w:tr w:rsidR="000B6128" w:rsidRPr="00731FE2" w14:paraId="0ABEAA1F" w14:textId="77777777" w:rsidTr="00FE28EA">
        <w:trPr>
          <w:trHeight w:val="63"/>
          <w:tblCellSpacing w:w="0" w:type="dxa"/>
        </w:trPr>
        <w:tc>
          <w:tcPr>
            <w:tcW w:w="861" w:type="dxa"/>
            <w:tcBorders>
              <w:top w:val="nil"/>
              <w:left w:val="single" w:sz="8" w:space="0" w:color="000000"/>
              <w:bottom w:val="single" w:sz="8" w:space="0" w:color="000000"/>
              <w:right w:val="single" w:sz="8" w:space="0" w:color="000000"/>
            </w:tcBorders>
            <w:vAlign w:val="center"/>
            <w:hideMark/>
          </w:tcPr>
          <w:p w14:paraId="6F050BCB" w14:textId="7777777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6.2.</w:t>
            </w:r>
          </w:p>
        </w:tc>
        <w:tc>
          <w:tcPr>
            <w:tcW w:w="3417" w:type="dxa"/>
            <w:tcBorders>
              <w:top w:val="nil"/>
              <w:left w:val="nil"/>
              <w:bottom w:val="single" w:sz="8" w:space="0" w:color="000000"/>
              <w:right w:val="single" w:sz="8" w:space="0" w:color="000000"/>
            </w:tcBorders>
            <w:vAlign w:val="center"/>
            <w:hideMark/>
          </w:tcPr>
          <w:p w14:paraId="2FA25106" w14:textId="77777777" w:rsidR="000B6128" w:rsidRPr="00731FE2" w:rsidRDefault="000B6128" w:rsidP="000B6128">
            <w:pPr>
              <w:spacing w:line="240" w:lineRule="auto"/>
              <w:ind w:firstLine="0"/>
              <w:rPr>
                <w:rFonts w:ascii="Times New Roman" w:eastAsia="Times New Roman" w:hAnsi="Times New Roman" w:cs="Times New Roman"/>
                <w:sz w:val="22"/>
                <w:lang w:eastAsia="ru-RU"/>
              </w:rPr>
            </w:pPr>
            <w:r w:rsidRPr="00731FE2">
              <w:rPr>
                <w:rFonts w:ascii="Times New Roman" w:eastAsia="Times New Roman" w:hAnsi="Times New Roman" w:cs="Times New Roman"/>
                <w:b/>
                <w:bCs/>
                <w:color w:val="000000"/>
                <w:sz w:val="22"/>
                <w:lang w:eastAsia="ru-RU"/>
              </w:rPr>
              <w:t>Водоотведение (канализация)</w:t>
            </w:r>
          </w:p>
        </w:tc>
        <w:tc>
          <w:tcPr>
            <w:tcW w:w="1525" w:type="dxa"/>
            <w:tcBorders>
              <w:top w:val="nil"/>
              <w:left w:val="nil"/>
              <w:bottom w:val="single" w:sz="8" w:space="0" w:color="000000"/>
              <w:right w:val="single" w:sz="8" w:space="0" w:color="000000"/>
            </w:tcBorders>
            <w:vAlign w:val="center"/>
            <w:hideMark/>
          </w:tcPr>
          <w:p w14:paraId="010B2AC6" w14:textId="7777777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 </w:t>
            </w:r>
          </w:p>
        </w:tc>
        <w:tc>
          <w:tcPr>
            <w:tcW w:w="1766" w:type="dxa"/>
            <w:tcBorders>
              <w:top w:val="nil"/>
              <w:left w:val="nil"/>
              <w:bottom w:val="single" w:sz="8" w:space="0" w:color="000000"/>
              <w:right w:val="single" w:sz="8" w:space="0" w:color="000000"/>
            </w:tcBorders>
            <w:vAlign w:val="center"/>
            <w:hideMark/>
          </w:tcPr>
          <w:p w14:paraId="2474AE5F" w14:textId="71A58ED8" w:rsidR="000B6128" w:rsidRPr="00731FE2" w:rsidRDefault="000B6128" w:rsidP="000B6128">
            <w:pPr>
              <w:spacing w:line="240" w:lineRule="auto"/>
              <w:ind w:firstLine="0"/>
              <w:jc w:val="center"/>
              <w:rPr>
                <w:rFonts w:ascii="Times New Roman" w:eastAsia="Times New Roman" w:hAnsi="Times New Roman" w:cs="Times New Roman"/>
                <w:color w:val="000000"/>
                <w:sz w:val="22"/>
                <w:lang w:eastAsia="ru-RU"/>
              </w:rPr>
            </w:pPr>
          </w:p>
        </w:tc>
        <w:tc>
          <w:tcPr>
            <w:tcW w:w="1766" w:type="dxa"/>
            <w:tcBorders>
              <w:top w:val="nil"/>
              <w:left w:val="nil"/>
              <w:bottom w:val="single" w:sz="8" w:space="0" w:color="000000"/>
              <w:right w:val="single" w:sz="8" w:space="0" w:color="000000"/>
            </w:tcBorders>
            <w:vAlign w:val="center"/>
            <w:hideMark/>
          </w:tcPr>
          <w:p w14:paraId="2B522E15" w14:textId="7765E023" w:rsidR="000B6128" w:rsidRPr="00731FE2" w:rsidRDefault="000B6128" w:rsidP="000B6128">
            <w:pPr>
              <w:spacing w:line="240" w:lineRule="auto"/>
              <w:ind w:firstLine="0"/>
              <w:jc w:val="center"/>
              <w:rPr>
                <w:rFonts w:ascii="Times New Roman" w:eastAsia="Times New Roman" w:hAnsi="Times New Roman" w:cs="Times New Roman"/>
                <w:color w:val="000000"/>
                <w:sz w:val="22"/>
                <w:lang w:eastAsia="ru-RU"/>
              </w:rPr>
            </w:pPr>
          </w:p>
        </w:tc>
      </w:tr>
      <w:tr w:rsidR="000B6128" w:rsidRPr="00731FE2" w14:paraId="7ACE6176" w14:textId="77777777" w:rsidTr="00FE28EA">
        <w:trPr>
          <w:trHeight w:val="63"/>
          <w:tblCellSpacing w:w="0" w:type="dxa"/>
        </w:trPr>
        <w:tc>
          <w:tcPr>
            <w:tcW w:w="861" w:type="dxa"/>
            <w:tcBorders>
              <w:top w:val="nil"/>
              <w:left w:val="single" w:sz="8" w:space="0" w:color="000000"/>
              <w:bottom w:val="single" w:sz="8" w:space="0" w:color="000000"/>
              <w:right w:val="single" w:sz="8" w:space="0" w:color="000000"/>
            </w:tcBorders>
            <w:vAlign w:val="center"/>
            <w:hideMark/>
          </w:tcPr>
          <w:p w14:paraId="4F9111DC" w14:textId="7777777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6.2.1.</w:t>
            </w:r>
          </w:p>
        </w:tc>
        <w:tc>
          <w:tcPr>
            <w:tcW w:w="3417" w:type="dxa"/>
            <w:tcBorders>
              <w:top w:val="nil"/>
              <w:left w:val="nil"/>
              <w:bottom w:val="single" w:sz="8" w:space="0" w:color="000000"/>
              <w:right w:val="single" w:sz="8" w:space="0" w:color="000000"/>
            </w:tcBorders>
            <w:vAlign w:val="center"/>
            <w:hideMark/>
          </w:tcPr>
          <w:p w14:paraId="0B66F5A9" w14:textId="77777777" w:rsidR="000B6128" w:rsidRPr="00731FE2" w:rsidRDefault="000B6128" w:rsidP="000B6128">
            <w:pPr>
              <w:spacing w:line="240" w:lineRule="auto"/>
              <w:ind w:firstLine="0"/>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Общее поступление сточных вод</w:t>
            </w:r>
          </w:p>
        </w:tc>
        <w:tc>
          <w:tcPr>
            <w:tcW w:w="1525" w:type="dxa"/>
            <w:tcBorders>
              <w:top w:val="nil"/>
              <w:left w:val="nil"/>
              <w:bottom w:val="single" w:sz="8" w:space="0" w:color="000000"/>
              <w:right w:val="single" w:sz="8" w:space="0" w:color="000000"/>
            </w:tcBorders>
            <w:vAlign w:val="center"/>
            <w:hideMark/>
          </w:tcPr>
          <w:p w14:paraId="07EB1031" w14:textId="7777777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тыс. м</w:t>
            </w:r>
            <w:r w:rsidRPr="00731FE2">
              <w:rPr>
                <w:rFonts w:ascii="Times New Roman" w:eastAsia="Times New Roman" w:hAnsi="Times New Roman" w:cs="Times New Roman"/>
                <w:color w:val="000000"/>
                <w:sz w:val="22"/>
                <w:vertAlign w:val="superscript"/>
                <w:lang w:eastAsia="ru-RU"/>
              </w:rPr>
              <w:t>3</w:t>
            </w:r>
            <w:r w:rsidRPr="00731FE2">
              <w:rPr>
                <w:rFonts w:ascii="Times New Roman" w:eastAsia="Times New Roman" w:hAnsi="Times New Roman" w:cs="Times New Roman"/>
                <w:color w:val="000000"/>
                <w:sz w:val="22"/>
                <w:lang w:eastAsia="ru-RU"/>
              </w:rPr>
              <w:t>/сут.</w:t>
            </w:r>
          </w:p>
        </w:tc>
        <w:tc>
          <w:tcPr>
            <w:tcW w:w="1766" w:type="dxa"/>
            <w:tcBorders>
              <w:top w:val="nil"/>
              <w:left w:val="nil"/>
              <w:bottom w:val="single" w:sz="8" w:space="0" w:color="000000"/>
              <w:right w:val="single" w:sz="8" w:space="0" w:color="000000"/>
            </w:tcBorders>
            <w:vAlign w:val="center"/>
            <w:hideMark/>
          </w:tcPr>
          <w:p w14:paraId="5FD8D954" w14:textId="3B7E2DD3" w:rsidR="000B6128" w:rsidRPr="00731FE2" w:rsidRDefault="000B6128" w:rsidP="000B6128">
            <w:pPr>
              <w:spacing w:line="240" w:lineRule="auto"/>
              <w:ind w:firstLine="0"/>
              <w:jc w:val="center"/>
              <w:rPr>
                <w:rFonts w:ascii="Times New Roman" w:eastAsia="Times New Roman" w:hAnsi="Times New Roman" w:cs="Times New Roman"/>
                <w:color w:val="000000"/>
                <w:sz w:val="22"/>
                <w:lang w:eastAsia="ru-RU"/>
              </w:rPr>
            </w:pPr>
            <w:r w:rsidRPr="00731FE2">
              <w:rPr>
                <w:rFonts w:ascii="Times New Roman" w:eastAsia="Times New Roman" w:hAnsi="Times New Roman" w:cs="Times New Roman"/>
                <w:color w:val="000000"/>
                <w:sz w:val="22"/>
                <w:lang w:eastAsia="ru-RU"/>
              </w:rPr>
              <w:t>-</w:t>
            </w:r>
          </w:p>
        </w:tc>
        <w:tc>
          <w:tcPr>
            <w:tcW w:w="1766" w:type="dxa"/>
            <w:tcBorders>
              <w:top w:val="nil"/>
              <w:left w:val="nil"/>
              <w:bottom w:val="single" w:sz="8" w:space="0" w:color="000000"/>
              <w:right w:val="single" w:sz="8" w:space="0" w:color="000000"/>
            </w:tcBorders>
            <w:vAlign w:val="center"/>
            <w:hideMark/>
          </w:tcPr>
          <w:p w14:paraId="1D1647D4" w14:textId="04EE7A1D" w:rsidR="000B6128" w:rsidRPr="00731FE2" w:rsidRDefault="000B6128" w:rsidP="000B6128">
            <w:pPr>
              <w:spacing w:line="240" w:lineRule="auto"/>
              <w:ind w:firstLine="0"/>
              <w:jc w:val="center"/>
              <w:rPr>
                <w:rFonts w:ascii="Times New Roman" w:eastAsia="Times New Roman" w:hAnsi="Times New Roman" w:cs="Times New Roman"/>
                <w:color w:val="000000"/>
                <w:sz w:val="22"/>
                <w:lang w:eastAsia="ru-RU"/>
              </w:rPr>
            </w:pPr>
            <w:r w:rsidRPr="00731FE2">
              <w:rPr>
                <w:rFonts w:ascii="Times New Roman" w:eastAsia="Times New Roman" w:hAnsi="Times New Roman" w:cs="Times New Roman"/>
                <w:color w:val="000000"/>
                <w:sz w:val="22"/>
                <w:lang w:eastAsia="ru-RU"/>
              </w:rPr>
              <w:t>30,300</w:t>
            </w:r>
          </w:p>
        </w:tc>
      </w:tr>
      <w:tr w:rsidR="000B6128" w:rsidRPr="00731FE2" w14:paraId="16F1EC13" w14:textId="77777777" w:rsidTr="00FE28EA">
        <w:trPr>
          <w:trHeight w:val="63"/>
          <w:tblCellSpacing w:w="0" w:type="dxa"/>
        </w:trPr>
        <w:tc>
          <w:tcPr>
            <w:tcW w:w="861" w:type="dxa"/>
            <w:tcBorders>
              <w:top w:val="nil"/>
              <w:left w:val="single" w:sz="8" w:space="0" w:color="000000"/>
              <w:bottom w:val="single" w:sz="8" w:space="0" w:color="000000"/>
              <w:right w:val="single" w:sz="8" w:space="0" w:color="000000"/>
            </w:tcBorders>
            <w:vAlign w:val="center"/>
            <w:hideMark/>
          </w:tcPr>
          <w:p w14:paraId="5A7DD6B7" w14:textId="7777777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6.2.2.</w:t>
            </w:r>
          </w:p>
        </w:tc>
        <w:tc>
          <w:tcPr>
            <w:tcW w:w="3417" w:type="dxa"/>
            <w:tcBorders>
              <w:top w:val="nil"/>
              <w:left w:val="nil"/>
              <w:bottom w:val="single" w:sz="8" w:space="0" w:color="000000"/>
              <w:right w:val="single" w:sz="8" w:space="0" w:color="000000"/>
            </w:tcBorders>
            <w:vAlign w:val="center"/>
            <w:hideMark/>
          </w:tcPr>
          <w:p w14:paraId="28A30538" w14:textId="77777777" w:rsidR="000B6128" w:rsidRPr="00731FE2" w:rsidRDefault="000B6128" w:rsidP="000B6128">
            <w:pPr>
              <w:spacing w:line="240" w:lineRule="auto"/>
              <w:ind w:firstLine="0"/>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Мощность очистных сооружений</w:t>
            </w:r>
          </w:p>
        </w:tc>
        <w:tc>
          <w:tcPr>
            <w:tcW w:w="1525" w:type="dxa"/>
            <w:tcBorders>
              <w:top w:val="nil"/>
              <w:left w:val="nil"/>
              <w:bottom w:val="single" w:sz="8" w:space="0" w:color="000000"/>
              <w:right w:val="single" w:sz="8" w:space="0" w:color="000000"/>
            </w:tcBorders>
            <w:vAlign w:val="center"/>
            <w:hideMark/>
          </w:tcPr>
          <w:p w14:paraId="110C0DEA" w14:textId="7777777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тыс. м</w:t>
            </w:r>
            <w:r w:rsidRPr="00731FE2">
              <w:rPr>
                <w:rFonts w:ascii="Times New Roman" w:eastAsia="Times New Roman" w:hAnsi="Times New Roman" w:cs="Times New Roman"/>
                <w:color w:val="000000"/>
                <w:sz w:val="22"/>
                <w:vertAlign w:val="superscript"/>
                <w:lang w:eastAsia="ru-RU"/>
              </w:rPr>
              <w:t>3</w:t>
            </w:r>
            <w:r w:rsidRPr="00731FE2">
              <w:rPr>
                <w:rFonts w:ascii="Times New Roman" w:eastAsia="Times New Roman" w:hAnsi="Times New Roman" w:cs="Times New Roman"/>
                <w:color w:val="000000"/>
                <w:sz w:val="22"/>
                <w:lang w:eastAsia="ru-RU"/>
              </w:rPr>
              <w:t>/сут.</w:t>
            </w:r>
          </w:p>
        </w:tc>
        <w:tc>
          <w:tcPr>
            <w:tcW w:w="1766" w:type="dxa"/>
            <w:tcBorders>
              <w:top w:val="nil"/>
              <w:left w:val="nil"/>
              <w:bottom w:val="single" w:sz="8" w:space="0" w:color="000000"/>
              <w:right w:val="single" w:sz="8" w:space="0" w:color="000000"/>
            </w:tcBorders>
            <w:vAlign w:val="center"/>
            <w:hideMark/>
          </w:tcPr>
          <w:p w14:paraId="167E71F3" w14:textId="4BCF5385" w:rsidR="000B6128" w:rsidRPr="00731FE2" w:rsidRDefault="000B6128" w:rsidP="000B6128">
            <w:pPr>
              <w:spacing w:line="240" w:lineRule="auto"/>
              <w:ind w:firstLine="0"/>
              <w:jc w:val="center"/>
              <w:rPr>
                <w:rFonts w:ascii="Times New Roman" w:eastAsia="Times New Roman" w:hAnsi="Times New Roman" w:cs="Times New Roman"/>
                <w:color w:val="000000"/>
                <w:sz w:val="22"/>
                <w:lang w:eastAsia="ru-RU"/>
              </w:rPr>
            </w:pPr>
            <w:r w:rsidRPr="00731FE2">
              <w:rPr>
                <w:rFonts w:ascii="Times New Roman" w:eastAsia="Times New Roman" w:hAnsi="Times New Roman" w:cs="Times New Roman"/>
                <w:color w:val="000000"/>
                <w:sz w:val="22"/>
                <w:lang w:eastAsia="ru-RU"/>
              </w:rPr>
              <w:t>100,0</w:t>
            </w:r>
          </w:p>
        </w:tc>
        <w:tc>
          <w:tcPr>
            <w:tcW w:w="1766" w:type="dxa"/>
            <w:tcBorders>
              <w:top w:val="nil"/>
              <w:left w:val="nil"/>
              <w:bottom w:val="single" w:sz="8" w:space="0" w:color="000000"/>
              <w:right w:val="single" w:sz="8" w:space="0" w:color="000000"/>
            </w:tcBorders>
            <w:vAlign w:val="center"/>
            <w:hideMark/>
          </w:tcPr>
          <w:p w14:paraId="0BE623A3" w14:textId="6BC3FCDD" w:rsidR="000B6128" w:rsidRPr="00731FE2" w:rsidRDefault="000B6128" w:rsidP="000B6128">
            <w:pPr>
              <w:spacing w:line="240" w:lineRule="auto"/>
              <w:ind w:firstLine="0"/>
              <w:jc w:val="center"/>
              <w:rPr>
                <w:rFonts w:ascii="Times New Roman" w:eastAsia="Times New Roman" w:hAnsi="Times New Roman" w:cs="Times New Roman"/>
                <w:color w:val="000000"/>
                <w:sz w:val="22"/>
                <w:lang w:eastAsia="ru-RU"/>
              </w:rPr>
            </w:pPr>
            <w:r w:rsidRPr="00731FE2">
              <w:rPr>
                <w:rFonts w:ascii="Times New Roman" w:eastAsia="Times New Roman" w:hAnsi="Times New Roman" w:cs="Times New Roman"/>
                <w:color w:val="000000"/>
                <w:sz w:val="22"/>
                <w:lang w:eastAsia="ru-RU"/>
              </w:rPr>
              <w:t>-</w:t>
            </w:r>
          </w:p>
        </w:tc>
      </w:tr>
      <w:tr w:rsidR="000B6128" w:rsidRPr="00731FE2" w14:paraId="49B2128B" w14:textId="77777777" w:rsidTr="00FE28EA">
        <w:trPr>
          <w:trHeight w:val="63"/>
          <w:tblCellSpacing w:w="0" w:type="dxa"/>
        </w:trPr>
        <w:tc>
          <w:tcPr>
            <w:tcW w:w="861" w:type="dxa"/>
            <w:tcBorders>
              <w:top w:val="nil"/>
              <w:left w:val="single" w:sz="8" w:space="0" w:color="000000"/>
              <w:bottom w:val="single" w:sz="8" w:space="0" w:color="000000"/>
              <w:right w:val="single" w:sz="8" w:space="0" w:color="000000"/>
            </w:tcBorders>
            <w:vAlign w:val="center"/>
            <w:hideMark/>
          </w:tcPr>
          <w:p w14:paraId="59FA4FCB" w14:textId="7777777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6.3.</w:t>
            </w:r>
          </w:p>
        </w:tc>
        <w:tc>
          <w:tcPr>
            <w:tcW w:w="3417" w:type="dxa"/>
            <w:tcBorders>
              <w:top w:val="nil"/>
              <w:left w:val="nil"/>
              <w:bottom w:val="single" w:sz="8" w:space="0" w:color="000000"/>
              <w:right w:val="single" w:sz="8" w:space="0" w:color="000000"/>
            </w:tcBorders>
            <w:vAlign w:val="center"/>
            <w:hideMark/>
          </w:tcPr>
          <w:p w14:paraId="72D4161B" w14:textId="77777777" w:rsidR="000B6128" w:rsidRPr="00731FE2" w:rsidRDefault="000B6128" w:rsidP="000B6128">
            <w:pPr>
              <w:spacing w:line="240" w:lineRule="auto"/>
              <w:ind w:firstLine="0"/>
              <w:rPr>
                <w:rFonts w:ascii="Times New Roman" w:eastAsia="Times New Roman" w:hAnsi="Times New Roman" w:cs="Times New Roman"/>
                <w:sz w:val="22"/>
                <w:lang w:eastAsia="ru-RU"/>
              </w:rPr>
            </w:pPr>
            <w:r w:rsidRPr="00731FE2">
              <w:rPr>
                <w:rFonts w:ascii="Times New Roman" w:eastAsia="Times New Roman" w:hAnsi="Times New Roman" w:cs="Times New Roman"/>
                <w:b/>
                <w:bCs/>
                <w:color w:val="000000"/>
                <w:sz w:val="22"/>
                <w:lang w:eastAsia="ru-RU"/>
              </w:rPr>
              <w:t>Электроснабжение (прирост)</w:t>
            </w:r>
          </w:p>
        </w:tc>
        <w:tc>
          <w:tcPr>
            <w:tcW w:w="1525" w:type="dxa"/>
            <w:tcBorders>
              <w:top w:val="nil"/>
              <w:left w:val="nil"/>
              <w:bottom w:val="single" w:sz="8" w:space="0" w:color="000000"/>
              <w:right w:val="single" w:sz="8" w:space="0" w:color="000000"/>
            </w:tcBorders>
            <w:vAlign w:val="center"/>
            <w:hideMark/>
          </w:tcPr>
          <w:p w14:paraId="4D60F136" w14:textId="7777777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 </w:t>
            </w:r>
          </w:p>
        </w:tc>
        <w:tc>
          <w:tcPr>
            <w:tcW w:w="1766" w:type="dxa"/>
            <w:tcBorders>
              <w:top w:val="nil"/>
              <w:left w:val="nil"/>
              <w:bottom w:val="single" w:sz="8" w:space="0" w:color="000000"/>
              <w:right w:val="single" w:sz="8" w:space="0" w:color="000000"/>
            </w:tcBorders>
            <w:vAlign w:val="center"/>
            <w:hideMark/>
          </w:tcPr>
          <w:p w14:paraId="1B127192" w14:textId="58C8AB89" w:rsidR="000B6128" w:rsidRPr="00731FE2" w:rsidRDefault="000B6128" w:rsidP="000B6128">
            <w:pPr>
              <w:spacing w:line="240" w:lineRule="auto"/>
              <w:ind w:firstLine="0"/>
              <w:jc w:val="center"/>
              <w:rPr>
                <w:rFonts w:ascii="Times New Roman" w:eastAsia="Times New Roman" w:hAnsi="Times New Roman" w:cs="Times New Roman"/>
                <w:color w:val="000000"/>
                <w:sz w:val="22"/>
                <w:lang w:eastAsia="ru-RU"/>
              </w:rPr>
            </w:pPr>
          </w:p>
        </w:tc>
        <w:tc>
          <w:tcPr>
            <w:tcW w:w="1766" w:type="dxa"/>
            <w:tcBorders>
              <w:top w:val="nil"/>
              <w:left w:val="nil"/>
              <w:bottom w:val="single" w:sz="8" w:space="0" w:color="000000"/>
              <w:right w:val="single" w:sz="8" w:space="0" w:color="000000"/>
            </w:tcBorders>
            <w:vAlign w:val="center"/>
            <w:hideMark/>
          </w:tcPr>
          <w:p w14:paraId="2D9BB66C" w14:textId="25698D59" w:rsidR="000B6128" w:rsidRPr="00731FE2" w:rsidRDefault="000B6128" w:rsidP="000B6128">
            <w:pPr>
              <w:spacing w:line="240" w:lineRule="auto"/>
              <w:ind w:firstLine="0"/>
              <w:jc w:val="center"/>
              <w:rPr>
                <w:rFonts w:ascii="Times New Roman" w:eastAsia="Times New Roman" w:hAnsi="Times New Roman" w:cs="Times New Roman"/>
                <w:color w:val="000000"/>
                <w:sz w:val="22"/>
                <w:lang w:eastAsia="ru-RU"/>
              </w:rPr>
            </w:pPr>
          </w:p>
        </w:tc>
      </w:tr>
      <w:tr w:rsidR="000B6128" w:rsidRPr="00731FE2" w14:paraId="52A19EC7" w14:textId="77777777" w:rsidTr="00FE28EA">
        <w:trPr>
          <w:trHeight w:val="465"/>
          <w:tblCellSpacing w:w="0" w:type="dxa"/>
        </w:trPr>
        <w:tc>
          <w:tcPr>
            <w:tcW w:w="861" w:type="dxa"/>
            <w:tcBorders>
              <w:top w:val="nil"/>
              <w:left w:val="single" w:sz="8" w:space="0" w:color="000000"/>
              <w:bottom w:val="single" w:sz="8" w:space="0" w:color="000000"/>
              <w:right w:val="single" w:sz="8" w:space="0" w:color="000000"/>
            </w:tcBorders>
            <w:vAlign w:val="center"/>
            <w:hideMark/>
          </w:tcPr>
          <w:p w14:paraId="4F7E3902" w14:textId="7777777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6.3.1.</w:t>
            </w:r>
          </w:p>
        </w:tc>
        <w:tc>
          <w:tcPr>
            <w:tcW w:w="3417" w:type="dxa"/>
            <w:tcBorders>
              <w:top w:val="nil"/>
              <w:left w:val="nil"/>
              <w:bottom w:val="single" w:sz="8" w:space="0" w:color="000000"/>
              <w:right w:val="single" w:sz="8" w:space="0" w:color="000000"/>
            </w:tcBorders>
            <w:vAlign w:val="center"/>
            <w:hideMark/>
          </w:tcPr>
          <w:p w14:paraId="385DEBC0" w14:textId="77777777" w:rsidR="000B6128" w:rsidRPr="00731FE2" w:rsidRDefault="000B6128" w:rsidP="000B6128">
            <w:pPr>
              <w:spacing w:line="240" w:lineRule="auto"/>
              <w:ind w:firstLine="0"/>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Суммарная электрическая нагрузка на коммунально-бытовые нужды</w:t>
            </w:r>
          </w:p>
        </w:tc>
        <w:tc>
          <w:tcPr>
            <w:tcW w:w="1525" w:type="dxa"/>
            <w:tcBorders>
              <w:top w:val="nil"/>
              <w:left w:val="nil"/>
              <w:bottom w:val="single" w:sz="8" w:space="0" w:color="000000"/>
              <w:right w:val="single" w:sz="8" w:space="0" w:color="000000"/>
            </w:tcBorders>
            <w:vAlign w:val="center"/>
            <w:hideMark/>
          </w:tcPr>
          <w:p w14:paraId="0629FF6B" w14:textId="7777777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МВт</w:t>
            </w:r>
          </w:p>
        </w:tc>
        <w:tc>
          <w:tcPr>
            <w:tcW w:w="1766" w:type="dxa"/>
            <w:tcBorders>
              <w:top w:val="nil"/>
              <w:left w:val="nil"/>
              <w:bottom w:val="single" w:sz="8" w:space="0" w:color="000000"/>
              <w:right w:val="single" w:sz="8" w:space="0" w:color="000000"/>
            </w:tcBorders>
            <w:vAlign w:val="center"/>
            <w:hideMark/>
          </w:tcPr>
          <w:p w14:paraId="1438571C" w14:textId="54C404C5" w:rsidR="000B6128" w:rsidRPr="00731FE2" w:rsidRDefault="000B6128" w:rsidP="000B6128">
            <w:pPr>
              <w:spacing w:line="240" w:lineRule="auto"/>
              <w:ind w:firstLine="0"/>
              <w:jc w:val="center"/>
              <w:rPr>
                <w:rFonts w:ascii="Times New Roman" w:eastAsia="Times New Roman" w:hAnsi="Times New Roman" w:cs="Times New Roman"/>
                <w:color w:val="000000"/>
                <w:sz w:val="22"/>
                <w:lang w:eastAsia="ru-RU"/>
              </w:rPr>
            </w:pPr>
            <w:r w:rsidRPr="00731FE2">
              <w:rPr>
                <w:rFonts w:ascii="Times New Roman" w:eastAsia="Times New Roman" w:hAnsi="Times New Roman" w:cs="Times New Roman"/>
                <w:color w:val="000000"/>
                <w:sz w:val="22"/>
                <w:lang w:eastAsia="ru-RU"/>
              </w:rPr>
              <w:t>2400</w:t>
            </w:r>
          </w:p>
        </w:tc>
        <w:tc>
          <w:tcPr>
            <w:tcW w:w="1766" w:type="dxa"/>
            <w:tcBorders>
              <w:top w:val="nil"/>
              <w:left w:val="nil"/>
              <w:bottom w:val="single" w:sz="8" w:space="0" w:color="000000"/>
              <w:right w:val="single" w:sz="8" w:space="0" w:color="000000"/>
            </w:tcBorders>
            <w:vAlign w:val="center"/>
            <w:hideMark/>
          </w:tcPr>
          <w:p w14:paraId="5072793B" w14:textId="068416CA" w:rsidR="000B6128" w:rsidRPr="00731FE2" w:rsidRDefault="000B6128" w:rsidP="000B6128">
            <w:pPr>
              <w:spacing w:line="240" w:lineRule="auto"/>
              <w:ind w:firstLine="0"/>
              <w:jc w:val="center"/>
              <w:rPr>
                <w:rFonts w:ascii="Times New Roman" w:eastAsia="Times New Roman" w:hAnsi="Times New Roman" w:cs="Times New Roman"/>
                <w:color w:val="000000"/>
                <w:sz w:val="22"/>
                <w:lang w:eastAsia="ru-RU"/>
              </w:rPr>
            </w:pPr>
            <w:r w:rsidRPr="00731FE2">
              <w:rPr>
                <w:rFonts w:ascii="Times New Roman" w:eastAsia="Times New Roman" w:hAnsi="Times New Roman" w:cs="Times New Roman"/>
                <w:color w:val="000000"/>
                <w:sz w:val="22"/>
                <w:lang w:eastAsia="ru-RU"/>
              </w:rPr>
              <w:t>2400</w:t>
            </w:r>
          </w:p>
        </w:tc>
      </w:tr>
      <w:tr w:rsidR="000B6128" w:rsidRPr="00731FE2" w14:paraId="2AF815A3" w14:textId="77777777" w:rsidTr="00FE28EA">
        <w:trPr>
          <w:trHeight w:val="63"/>
          <w:tblCellSpacing w:w="0" w:type="dxa"/>
        </w:trPr>
        <w:tc>
          <w:tcPr>
            <w:tcW w:w="861" w:type="dxa"/>
            <w:tcBorders>
              <w:top w:val="nil"/>
              <w:left w:val="single" w:sz="8" w:space="0" w:color="000000"/>
              <w:bottom w:val="single" w:sz="8" w:space="0" w:color="000000"/>
              <w:right w:val="single" w:sz="8" w:space="0" w:color="000000"/>
            </w:tcBorders>
            <w:vAlign w:val="center"/>
            <w:hideMark/>
          </w:tcPr>
          <w:p w14:paraId="1D552A09" w14:textId="7777777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6.3.2.</w:t>
            </w:r>
          </w:p>
        </w:tc>
        <w:tc>
          <w:tcPr>
            <w:tcW w:w="3417" w:type="dxa"/>
            <w:tcBorders>
              <w:top w:val="nil"/>
              <w:left w:val="nil"/>
              <w:bottom w:val="single" w:sz="8" w:space="0" w:color="000000"/>
              <w:right w:val="single" w:sz="8" w:space="0" w:color="000000"/>
            </w:tcBorders>
            <w:vAlign w:val="center"/>
            <w:hideMark/>
          </w:tcPr>
          <w:p w14:paraId="673A6AC4" w14:textId="77777777" w:rsidR="000B6128" w:rsidRPr="00731FE2" w:rsidRDefault="000B6128" w:rsidP="000B6128">
            <w:pPr>
              <w:spacing w:line="240" w:lineRule="auto"/>
              <w:ind w:firstLine="0"/>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Годовой расход электроэнергии</w:t>
            </w:r>
          </w:p>
        </w:tc>
        <w:tc>
          <w:tcPr>
            <w:tcW w:w="1525" w:type="dxa"/>
            <w:tcBorders>
              <w:top w:val="nil"/>
              <w:left w:val="nil"/>
              <w:bottom w:val="single" w:sz="8" w:space="0" w:color="000000"/>
              <w:right w:val="single" w:sz="8" w:space="0" w:color="000000"/>
            </w:tcBorders>
            <w:vAlign w:val="center"/>
            <w:hideMark/>
          </w:tcPr>
          <w:p w14:paraId="471ED6B1" w14:textId="7777777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тыс. кВт/час</w:t>
            </w:r>
          </w:p>
        </w:tc>
        <w:tc>
          <w:tcPr>
            <w:tcW w:w="1766" w:type="dxa"/>
            <w:tcBorders>
              <w:top w:val="nil"/>
              <w:left w:val="nil"/>
              <w:bottom w:val="single" w:sz="8" w:space="0" w:color="000000"/>
              <w:right w:val="single" w:sz="8" w:space="0" w:color="000000"/>
            </w:tcBorders>
            <w:vAlign w:val="center"/>
            <w:hideMark/>
          </w:tcPr>
          <w:p w14:paraId="051F16F3" w14:textId="146B0399" w:rsidR="000B6128" w:rsidRPr="00731FE2" w:rsidRDefault="000B6128" w:rsidP="000B6128">
            <w:pPr>
              <w:spacing w:line="240" w:lineRule="auto"/>
              <w:ind w:firstLine="0"/>
              <w:jc w:val="center"/>
              <w:rPr>
                <w:rFonts w:ascii="Times New Roman" w:eastAsia="Times New Roman" w:hAnsi="Times New Roman" w:cs="Times New Roman"/>
                <w:color w:val="000000"/>
                <w:sz w:val="22"/>
                <w:lang w:eastAsia="ru-RU"/>
              </w:rPr>
            </w:pPr>
            <w:r w:rsidRPr="00731FE2">
              <w:rPr>
                <w:rFonts w:ascii="Times New Roman" w:eastAsia="Times New Roman" w:hAnsi="Times New Roman" w:cs="Times New Roman"/>
                <w:color w:val="000000"/>
                <w:sz w:val="22"/>
                <w:lang w:eastAsia="ru-RU"/>
              </w:rPr>
              <w:t>321,39</w:t>
            </w:r>
          </w:p>
        </w:tc>
        <w:tc>
          <w:tcPr>
            <w:tcW w:w="1766" w:type="dxa"/>
            <w:tcBorders>
              <w:top w:val="nil"/>
              <w:left w:val="nil"/>
              <w:bottom w:val="single" w:sz="8" w:space="0" w:color="000000"/>
              <w:right w:val="single" w:sz="8" w:space="0" w:color="000000"/>
            </w:tcBorders>
            <w:vAlign w:val="center"/>
            <w:hideMark/>
          </w:tcPr>
          <w:p w14:paraId="14C0292B" w14:textId="6875D19B" w:rsidR="000B6128" w:rsidRPr="00731FE2" w:rsidRDefault="000B6128" w:rsidP="000B6128">
            <w:pPr>
              <w:spacing w:line="240" w:lineRule="auto"/>
              <w:ind w:firstLine="0"/>
              <w:jc w:val="center"/>
              <w:rPr>
                <w:rFonts w:ascii="Times New Roman" w:eastAsia="Times New Roman" w:hAnsi="Times New Roman" w:cs="Times New Roman"/>
                <w:color w:val="000000"/>
                <w:sz w:val="22"/>
                <w:lang w:eastAsia="ru-RU"/>
              </w:rPr>
            </w:pPr>
            <w:r w:rsidRPr="00731FE2">
              <w:rPr>
                <w:rFonts w:ascii="Times New Roman" w:eastAsia="Times New Roman" w:hAnsi="Times New Roman" w:cs="Times New Roman"/>
                <w:color w:val="000000"/>
                <w:sz w:val="22"/>
                <w:lang w:eastAsia="ru-RU"/>
              </w:rPr>
              <w:t>324,16</w:t>
            </w:r>
          </w:p>
        </w:tc>
      </w:tr>
      <w:tr w:rsidR="000B6128" w:rsidRPr="00731FE2" w14:paraId="1BBBCC59" w14:textId="77777777" w:rsidTr="00FE28EA">
        <w:trPr>
          <w:trHeight w:val="63"/>
          <w:tblCellSpacing w:w="0" w:type="dxa"/>
        </w:trPr>
        <w:tc>
          <w:tcPr>
            <w:tcW w:w="861" w:type="dxa"/>
            <w:tcBorders>
              <w:top w:val="nil"/>
              <w:left w:val="single" w:sz="8" w:space="0" w:color="000000"/>
              <w:bottom w:val="single" w:sz="8" w:space="0" w:color="000000"/>
              <w:right w:val="single" w:sz="8" w:space="0" w:color="000000"/>
            </w:tcBorders>
            <w:vAlign w:val="center"/>
            <w:hideMark/>
          </w:tcPr>
          <w:p w14:paraId="0A62DED7" w14:textId="7777777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6.4.</w:t>
            </w:r>
          </w:p>
        </w:tc>
        <w:tc>
          <w:tcPr>
            <w:tcW w:w="3417" w:type="dxa"/>
            <w:tcBorders>
              <w:top w:val="nil"/>
              <w:left w:val="nil"/>
              <w:bottom w:val="single" w:sz="8" w:space="0" w:color="000000"/>
              <w:right w:val="single" w:sz="8" w:space="0" w:color="000000"/>
            </w:tcBorders>
            <w:vAlign w:val="center"/>
            <w:hideMark/>
          </w:tcPr>
          <w:p w14:paraId="0E0BA2AB" w14:textId="77777777" w:rsidR="000B6128" w:rsidRPr="00731FE2" w:rsidRDefault="000B6128" w:rsidP="000B6128">
            <w:pPr>
              <w:spacing w:line="240" w:lineRule="auto"/>
              <w:ind w:firstLine="0"/>
              <w:rPr>
                <w:rFonts w:ascii="Times New Roman" w:eastAsia="Times New Roman" w:hAnsi="Times New Roman" w:cs="Times New Roman"/>
                <w:sz w:val="22"/>
                <w:lang w:eastAsia="ru-RU"/>
              </w:rPr>
            </w:pPr>
            <w:r w:rsidRPr="00731FE2">
              <w:rPr>
                <w:rFonts w:ascii="Times New Roman" w:eastAsia="Times New Roman" w:hAnsi="Times New Roman" w:cs="Times New Roman"/>
                <w:b/>
                <w:bCs/>
                <w:color w:val="000000"/>
                <w:sz w:val="22"/>
                <w:lang w:eastAsia="ru-RU"/>
              </w:rPr>
              <w:t>Теплоснабжение (прирост)</w:t>
            </w:r>
          </w:p>
        </w:tc>
        <w:tc>
          <w:tcPr>
            <w:tcW w:w="1525" w:type="dxa"/>
            <w:tcBorders>
              <w:top w:val="nil"/>
              <w:left w:val="nil"/>
              <w:bottom w:val="single" w:sz="8" w:space="0" w:color="000000"/>
              <w:right w:val="single" w:sz="8" w:space="0" w:color="000000"/>
            </w:tcBorders>
            <w:vAlign w:val="center"/>
            <w:hideMark/>
          </w:tcPr>
          <w:p w14:paraId="6F6C3550" w14:textId="7777777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 </w:t>
            </w:r>
          </w:p>
        </w:tc>
        <w:tc>
          <w:tcPr>
            <w:tcW w:w="1766" w:type="dxa"/>
            <w:tcBorders>
              <w:top w:val="nil"/>
              <w:left w:val="nil"/>
              <w:bottom w:val="single" w:sz="8" w:space="0" w:color="000000"/>
              <w:right w:val="single" w:sz="8" w:space="0" w:color="000000"/>
            </w:tcBorders>
            <w:vAlign w:val="center"/>
            <w:hideMark/>
          </w:tcPr>
          <w:p w14:paraId="25462AEF" w14:textId="0AF71D06"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p>
        </w:tc>
        <w:tc>
          <w:tcPr>
            <w:tcW w:w="1766" w:type="dxa"/>
            <w:tcBorders>
              <w:top w:val="nil"/>
              <w:left w:val="nil"/>
              <w:bottom w:val="single" w:sz="8" w:space="0" w:color="000000"/>
              <w:right w:val="single" w:sz="8" w:space="0" w:color="000000"/>
            </w:tcBorders>
            <w:vAlign w:val="center"/>
            <w:hideMark/>
          </w:tcPr>
          <w:p w14:paraId="0FE9E9D2" w14:textId="4521305E" w:rsidR="000B6128" w:rsidRPr="00731FE2" w:rsidRDefault="000B6128" w:rsidP="000B6128">
            <w:pPr>
              <w:spacing w:line="240" w:lineRule="auto"/>
              <w:ind w:firstLine="0"/>
              <w:jc w:val="center"/>
              <w:rPr>
                <w:rFonts w:ascii="Times New Roman" w:eastAsia="Times New Roman" w:hAnsi="Times New Roman" w:cs="Times New Roman"/>
                <w:color w:val="000000"/>
                <w:sz w:val="22"/>
                <w:lang w:eastAsia="ru-RU"/>
              </w:rPr>
            </w:pPr>
          </w:p>
        </w:tc>
      </w:tr>
      <w:tr w:rsidR="000B6128" w:rsidRPr="00731FE2" w14:paraId="311BCC2A" w14:textId="77777777" w:rsidTr="00FE28EA">
        <w:trPr>
          <w:trHeight w:val="63"/>
          <w:tblCellSpacing w:w="0" w:type="dxa"/>
        </w:trPr>
        <w:tc>
          <w:tcPr>
            <w:tcW w:w="861" w:type="dxa"/>
            <w:tcBorders>
              <w:top w:val="nil"/>
              <w:left w:val="single" w:sz="8" w:space="0" w:color="000000"/>
              <w:bottom w:val="single" w:sz="8" w:space="0" w:color="000000"/>
              <w:right w:val="single" w:sz="8" w:space="0" w:color="000000"/>
            </w:tcBorders>
            <w:vAlign w:val="center"/>
            <w:hideMark/>
          </w:tcPr>
          <w:p w14:paraId="0E9B2882" w14:textId="7777777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6.4.1.</w:t>
            </w:r>
          </w:p>
        </w:tc>
        <w:tc>
          <w:tcPr>
            <w:tcW w:w="3417" w:type="dxa"/>
            <w:tcBorders>
              <w:top w:val="nil"/>
              <w:left w:val="nil"/>
              <w:bottom w:val="single" w:sz="8" w:space="0" w:color="000000"/>
              <w:right w:val="single" w:sz="8" w:space="0" w:color="000000"/>
            </w:tcBorders>
            <w:vAlign w:val="center"/>
            <w:hideMark/>
          </w:tcPr>
          <w:p w14:paraId="716DC336" w14:textId="77777777" w:rsidR="000B6128" w:rsidRPr="00731FE2" w:rsidRDefault="000B6128" w:rsidP="000B6128">
            <w:pPr>
              <w:spacing w:line="240" w:lineRule="auto"/>
              <w:ind w:firstLine="0"/>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Расход тепла по городу</w:t>
            </w:r>
          </w:p>
        </w:tc>
        <w:tc>
          <w:tcPr>
            <w:tcW w:w="1525" w:type="dxa"/>
            <w:tcBorders>
              <w:top w:val="nil"/>
              <w:left w:val="nil"/>
              <w:bottom w:val="single" w:sz="8" w:space="0" w:color="000000"/>
              <w:right w:val="single" w:sz="8" w:space="0" w:color="000000"/>
            </w:tcBorders>
            <w:vAlign w:val="center"/>
            <w:hideMark/>
          </w:tcPr>
          <w:p w14:paraId="1AE6F378" w14:textId="7777777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Гкал/год</w:t>
            </w:r>
          </w:p>
        </w:tc>
        <w:tc>
          <w:tcPr>
            <w:tcW w:w="1766" w:type="dxa"/>
            <w:tcBorders>
              <w:top w:val="nil"/>
              <w:left w:val="nil"/>
              <w:bottom w:val="single" w:sz="8" w:space="0" w:color="000000"/>
              <w:right w:val="single" w:sz="8" w:space="0" w:color="000000"/>
            </w:tcBorders>
            <w:vAlign w:val="center"/>
            <w:hideMark/>
          </w:tcPr>
          <w:p w14:paraId="2916F805" w14:textId="2549610A" w:rsidR="000B6128" w:rsidRPr="00731FE2" w:rsidRDefault="000B6128" w:rsidP="000B6128">
            <w:pPr>
              <w:spacing w:line="240" w:lineRule="auto"/>
              <w:ind w:firstLine="0"/>
              <w:jc w:val="center"/>
              <w:rPr>
                <w:rFonts w:ascii="Times New Roman" w:eastAsia="Times New Roman" w:hAnsi="Times New Roman" w:cs="Times New Roman"/>
                <w:color w:val="000000"/>
                <w:sz w:val="22"/>
                <w:lang w:eastAsia="ru-RU"/>
              </w:rPr>
            </w:pPr>
            <w:r w:rsidRPr="00731FE2">
              <w:rPr>
                <w:rFonts w:ascii="Times New Roman" w:eastAsia="Times New Roman" w:hAnsi="Times New Roman" w:cs="Times New Roman"/>
                <w:color w:val="000000"/>
                <w:sz w:val="22"/>
                <w:lang w:eastAsia="ru-RU"/>
              </w:rPr>
              <w:t>1336,28</w:t>
            </w:r>
          </w:p>
        </w:tc>
        <w:tc>
          <w:tcPr>
            <w:tcW w:w="1766" w:type="dxa"/>
            <w:tcBorders>
              <w:top w:val="nil"/>
              <w:left w:val="nil"/>
              <w:bottom w:val="single" w:sz="8" w:space="0" w:color="000000"/>
              <w:right w:val="single" w:sz="8" w:space="0" w:color="000000"/>
            </w:tcBorders>
            <w:vAlign w:val="center"/>
            <w:hideMark/>
          </w:tcPr>
          <w:p w14:paraId="71359ED9" w14:textId="0B1C7CC6" w:rsidR="000B6128" w:rsidRPr="00731FE2" w:rsidRDefault="000B6128" w:rsidP="000B6128">
            <w:pPr>
              <w:spacing w:line="240" w:lineRule="auto"/>
              <w:ind w:firstLine="0"/>
              <w:jc w:val="center"/>
              <w:rPr>
                <w:rFonts w:ascii="Times New Roman" w:eastAsia="Times New Roman" w:hAnsi="Times New Roman" w:cs="Times New Roman"/>
                <w:color w:val="000000"/>
                <w:sz w:val="22"/>
                <w:lang w:eastAsia="ru-RU"/>
              </w:rPr>
            </w:pPr>
            <w:r w:rsidRPr="00731FE2">
              <w:rPr>
                <w:rFonts w:ascii="Times New Roman" w:eastAsia="Times New Roman" w:hAnsi="Times New Roman" w:cs="Times New Roman"/>
                <w:color w:val="000000"/>
                <w:sz w:val="22"/>
                <w:lang w:eastAsia="ru-RU"/>
              </w:rPr>
              <w:t>1754,10</w:t>
            </w:r>
          </w:p>
        </w:tc>
      </w:tr>
      <w:tr w:rsidR="000B6128" w:rsidRPr="00731FE2" w14:paraId="21324F66" w14:textId="77777777" w:rsidTr="00FE28EA">
        <w:trPr>
          <w:trHeight w:val="63"/>
          <w:tblCellSpacing w:w="0" w:type="dxa"/>
        </w:trPr>
        <w:tc>
          <w:tcPr>
            <w:tcW w:w="861" w:type="dxa"/>
            <w:tcBorders>
              <w:top w:val="nil"/>
              <w:left w:val="single" w:sz="8" w:space="0" w:color="000000"/>
              <w:bottom w:val="single" w:sz="8" w:space="0" w:color="000000"/>
              <w:right w:val="single" w:sz="8" w:space="0" w:color="000000"/>
            </w:tcBorders>
            <w:vAlign w:val="center"/>
            <w:hideMark/>
          </w:tcPr>
          <w:p w14:paraId="12743F4D" w14:textId="7777777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6.5.</w:t>
            </w:r>
          </w:p>
        </w:tc>
        <w:tc>
          <w:tcPr>
            <w:tcW w:w="3417" w:type="dxa"/>
            <w:tcBorders>
              <w:top w:val="nil"/>
              <w:left w:val="nil"/>
              <w:bottom w:val="single" w:sz="8" w:space="0" w:color="000000"/>
              <w:right w:val="single" w:sz="8" w:space="0" w:color="000000"/>
            </w:tcBorders>
            <w:vAlign w:val="center"/>
            <w:hideMark/>
          </w:tcPr>
          <w:p w14:paraId="10AD30DC" w14:textId="77777777" w:rsidR="000B6128" w:rsidRPr="00731FE2" w:rsidRDefault="000B6128" w:rsidP="000B6128">
            <w:pPr>
              <w:spacing w:line="240" w:lineRule="auto"/>
              <w:ind w:firstLine="0"/>
              <w:rPr>
                <w:rFonts w:ascii="Times New Roman" w:eastAsia="Times New Roman" w:hAnsi="Times New Roman" w:cs="Times New Roman"/>
                <w:sz w:val="22"/>
                <w:lang w:eastAsia="ru-RU"/>
              </w:rPr>
            </w:pPr>
            <w:r w:rsidRPr="00731FE2">
              <w:rPr>
                <w:rFonts w:ascii="Times New Roman" w:eastAsia="Times New Roman" w:hAnsi="Times New Roman" w:cs="Times New Roman"/>
                <w:b/>
                <w:bCs/>
                <w:color w:val="000000"/>
                <w:sz w:val="22"/>
                <w:lang w:eastAsia="ru-RU"/>
              </w:rPr>
              <w:t>Газоснабжение (прирост)</w:t>
            </w:r>
          </w:p>
        </w:tc>
        <w:tc>
          <w:tcPr>
            <w:tcW w:w="1525" w:type="dxa"/>
            <w:tcBorders>
              <w:top w:val="nil"/>
              <w:left w:val="nil"/>
              <w:bottom w:val="single" w:sz="8" w:space="0" w:color="000000"/>
              <w:right w:val="single" w:sz="8" w:space="0" w:color="000000"/>
            </w:tcBorders>
            <w:vAlign w:val="center"/>
            <w:hideMark/>
          </w:tcPr>
          <w:p w14:paraId="5F383120" w14:textId="7777777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 </w:t>
            </w:r>
          </w:p>
        </w:tc>
        <w:tc>
          <w:tcPr>
            <w:tcW w:w="1766" w:type="dxa"/>
            <w:tcBorders>
              <w:top w:val="nil"/>
              <w:left w:val="nil"/>
              <w:bottom w:val="single" w:sz="8" w:space="0" w:color="000000"/>
              <w:right w:val="single" w:sz="8" w:space="0" w:color="000000"/>
            </w:tcBorders>
            <w:vAlign w:val="center"/>
            <w:hideMark/>
          </w:tcPr>
          <w:p w14:paraId="09C1843A" w14:textId="5EEB7DFC" w:rsidR="000B6128" w:rsidRPr="00731FE2" w:rsidRDefault="000B6128" w:rsidP="000B6128">
            <w:pPr>
              <w:spacing w:line="240" w:lineRule="auto"/>
              <w:ind w:firstLine="0"/>
              <w:jc w:val="center"/>
              <w:rPr>
                <w:rFonts w:ascii="Times New Roman" w:eastAsia="Times New Roman" w:hAnsi="Times New Roman" w:cs="Times New Roman"/>
                <w:color w:val="000000"/>
                <w:sz w:val="22"/>
                <w:lang w:eastAsia="ru-RU"/>
              </w:rPr>
            </w:pPr>
          </w:p>
        </w:tc>
        <w:tc>
          <w:tcPr>
            <w:tcW w:w="1766" w:type="dxa"/>
            <w:tcBorders>
              <w:top w:val="nil"/>
              <w:left w:val="nil"/>
              <w:bottom w:val="single" w:sz="8" w:space="0" w:color="000000"/>
              <w:right w:val="single" w:sz="8" w:space="0" w:color="000000"/>
            </w:tcBorders>
            <w:vAlign w:val="center"/>
            <w:hideMark/>
          </w:tcPr>
          <w:p w14:paraId="5FFA5240" w14:textId="0B4D2662" w:rsidR="000B6128" w:rsidRPr="00731FE2" w:rsidRDefault="000B6128" w:rsidP="000B6128">
            <w:pPr>
              <w:spacing w:line="240" w:lineRule="auto"/>
              <w:ind w:firstLine="0"/>
              <w:jc w:val="center"/>
              <w:rPr>
                <w:rFonts w:ascii="Times New Roman" w:eastAsia="Times New Roman" w:hAnsi="Times New Roman" w:cs="Times New Roman"/>
                <w:color w:val="000000"/>
                <w:sz w:val="22"/>
                <w:lang w:eastAsia="ru-RU"/>
              </w:rPr>
            </w:pPr>
          </w:p>
        </w:tc>
      </w:tr>
      <w:tr w:rsidR="000B6128" w:rsidRPr="00731FE2" w14:paraId="0BA7F502" w14:textId="77777777" w:rsidTr="00FE28EA">
        <w:trPr>
          <w:trHeight w:val="63"/>
          <w:tblCellSpacing w:w="0" w:type="dxa"/>
        </w:trPr>
        <w:tc>
          <w:tcPr>
            <w:tcW w:w="861" w:type="dxa"/>
            <w:tcBorders>
              <w:top w:val="nil"/>
              <w:left w:val="single" w:sz="8" w:space="0" w:color="000000"/>
              <w:bottom w:val="single" w:sz="8" w:space="0" w:color="000000"/>
              <w:right w:val="single" w:sz="8" w:space="0" w:color="000000"/>
            </w:tcBorders>
            <w:vAlign w:val="center"/>
            <w:hideMark/>
          </w:tcPr>
          <w:p w14:paraId="221CAFFB" w14:textId="7777777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6.5.1.</w:t>
            </w:r>
          </w:p>
        </w:tc>
        <w:tc>
          <w:tcPr>
            <w:tcW w:w="3417" w:type="dxa"/>
            <w:tcBorders>
              <w:top w:val="nil"/>
              <w:left w:val="nil"/>
              <w:bottom w:val="single" w:sz="8" w:space="0" w:color="000000"/>
              <w:right w:val="single" w:sz="8" w:space="0" w:color="000000"/>
            </w:tcBorders>
            <w:vAlign w:val="center"/>
            <w:hideMark/>
          </w:tcPr>
          <w:p w14:paraId="4198054D" w14:textId="77777777" w:rsidR="000B6128" w:rsidRPr="00731FE2" w:rsidRDefault="000B6128" w:rsidP="000B6128">
            <w:pPr>
              <w:spacing w:line="240" w:lineRule="auto"/>
              <w:ind w:firstLine="0"/>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Потребность газа – всего</w:t>
            </w:r>
          </w:p>
        </w:tc>
        <w:tc>
          <w:tcPr>
            <w:tcW w:w="1525" w:type="dxa"/>
            <w:tcBorders>
              <w:top w:val="nil"/>
              <w:left w:val="nil"/>
              <w:bottom w:val="single" w:sz="8" w:space="0" w:color="000000"/>
              <w:right w:val="single" w:sz="8" w:space="0" w:color="000000"/>
            </w:tcBorders>
            <w:vAlign w:val="center"/>
            <w:hideMark/>
          </w:tcPr>
          <w:p w14:paraId="00104201" w14:textId="77777777" w:rsidR="000B6128" w:rsidRPr="00731FE2" w:rsidRDefault="000B6128" w:rsidP="000B6128">
            <w:pPr>
              <w:spacing w:line="240" w:lineRule="auto"/>
              <w:ind w:firstLine="0"/>
              <w:jc w:val="center"/>
              <w:rPr>
                <w:rFonts w:ascii="Times New Roman" w:eastAsia="Times New Roman" w:hAnsi="Times New Roman" w:cs="Times New Roman"/>
                <w:sz w:val="22"/>
                <w:lang w:eastAsia="ru-RU"/>
              </w:rPr>
            </w:pPr>
            <w:r w:rsidRPr="00731FE2">
              <w:rPr>
                <w:rFonts w:ascii="Times New Roman" w:eastAsia="Times New Roman" w:hAnsi="Times New Roman" w:cs="Times New Roman"/>
                <w:color w:val="000000"/>
                <w:sz w:val="22"/>
                <w:lang w:eastAsia="ru-RU"/>
              </w:rPr>
              <w:t>тыс. м</w:t>
            </w:r>
            <w:r w:rsidRPr="00731FE2">
              <w:rPr>
                <w:rFonts w:ascii="Times New Roman" w:eastAsia="Times New Roman" w:hAnsi="Times New Roman" w:cs="Times New Roman"/>
                <w:color w:val="000000"/>
                <w:sz w:val="22"/>
                <w:vertAlign w:val="superscript"/>
                <w:lang w:eastAsia="ru-RU"/>
              </w:rPr>
              <w:t>3</w:t>
            </w:r>
            <w:r w:rsidRPr="00731FE2">
              <w:rPr>
                <w:rFonts w:ascii="Times New Roman" w:eastAsia="Times New Roman" w:hAnsi="Times New Roman" w:cs="Times New Roman"/>
                <w:color w:val="000000"/>
                <w:sz w:val="22"/>
                <w:lang w:eastAsia="ru-RU"/>
              </w:rPr>
              <w:t>/год</w:t>
            </w:r>
          </w:p>
        </w:tc>
        <w:tc>
          <w:tcPr>
            <w:tcW w:w="1766" w:type="dxa"/>
            <w:tcBorders>
              <w:top w:val="nil"/>
              <w:left w:val="nil"/>
              <w:bottom w:val="single" w:sz="8" w:space="0" w:color="000000"/>
              <w:right w:val="single" w:sz="8" w:space="0" w:color="000000"/>
            </w:tcBorders>
            <w:vAlign w:val="center"/>
            <w:hideMark/>
          </w:tcPr>
          <w:p w14:paraId="0AC0CA7A" w14:textId="29C63E6B" w:rsidR="000B6128" w:rsidRPr="00731FE2" w:rsidRDefault="000B6128" w:rsidP="000B6128">
            <w:pPr>
              <w:spacing w:line="240" w:lineRule="auto"/>
              <w:ind w:firstLine="0"/>
              <w:jc w:val="center"/>
              <w:rPr>
                <w:rFonts w:ascii="Times New Roman" w:eastAsia="Times New Roman" w:hAnsi="Times New Roman" w:cs="Times New Roman"/>
                <w:color w:val="000000"/>
                <w:sz w:val="22"/>
                <w:lang w:eastAsia="ru-RU"/>
              </w:rPr>
            </w:pPr>
            <w:r w:rsidRPr="00731FE2">
              <w:rPr>
                <w:rFonts w:ascii="Times New Roman" w:eastAsia="Times New Roman" w:hAnsi="Times New Roman" w:cs="Times New Roman"/>
                <w:color w:val="000000"/>
                <w:sz w:val="22"/>
                <w:lang w:eastAsia="ru-RU"/>
              </w:rPr>
              <w:t>16069,56</w:t>
            </w:r>
          </w:p>
        </w:tc>
        <w:tc>
          <w:tcPr>
            <w:tcW w:w="1766" w:type="dxa"/>
            <w:tcBorders>
              <w:top w:val="nil"/>
              <w:left w:val="nil"/>
              <w:bottom w:val="single" w:sz="8" w:space="0" w:color="000000"/>
              <w:right w:val="single" w:sz="8" w:space="0" w:color="000000"/>
            </w:tcBorders>
            <w:vAlign w:val="center"/>
            <w:hideMark/>
          </w:tcPr>
          <w:p w14:paraId="212460F2" w14:textId="355546EB" w:rsidR="000B6128" w:rsidRPr="00731FE2" w:rsidRDefault="000B6128" w:rsidP="000B6128">
            <w:pPr>
              <w:spacing w:line="240" w:lineRule="auto"/>
              <w:ind w:firstLine="0"/>
              <w:jc w:val="center"/>
              <w:rPr>
                <w:rFonts w:ascii="Times New Roman" w:eastAsia="Times New Roman" w:hAnsi="Times New Roman" w:cs="Times New Roman"/>
                <w:color w:val="000000"/>
                <w:sz w:val="22"/>
                <w:lang w:eastAsia="ru-RU"/>
              </w:rPr>
            </w:pPr>
            <w:r w:rsidRPr="00731FE2">
              <w:rPr>
                <w:rFonts w:ascii="Times New Roman" w:eastAsia="Times New Roman" w:hAnsi="Times New Roman" w:cs="Times New Roman"/>
                <w:color w:val="000000"/>
                <w:sz w:val="22"/>
                <w:lang w:eastAsia="ru-RU"/>
              </w:rPr>
              <w:t>16207,92</w:t>
            </w:r>
          </w:p>
        </w:tc>
      </w:tr>
    </w:tbl>
    <w:p w14:paraId="6C0F91C4" w14:textId="77777777" w:rsidR="00171AA8" w:rsidRPr="00731FE2" w:rsidRDefault="00171AA8">
      <w:pPr>
        <w:ind w:firstLine="0"/>
        <w:rPr>
          <w:rFonts w:ascii="Times New Roman" w:eastAsiaTheme="majorEastAsia" w:hAnsi="Times New Roman" w:cs="Times New Roman"/>
          <w:b/>
          <w:bCs/>
        </w:rPr>
        <w:sectPr w:rsidR="00171AA8" w:rsidRPr="00731FE2">
          <w:pgSz w:w="11906" w:h="16838"/>
          <w:pgMar w:top="1134" w:right="850" w:bottom="1134" w:left="1701" w:header="709" w:footer="709" w:gutter="0"/>
          <w:cols w:space="708"/>
          <w:docGrid w:linePitch="360"/>
        </w:sectPr>
      </w:pPr>
    </w:p>
    <w:p w14:paraId="2C5807C3" w14:textId="77777777" w:rsidR="00171AA8" w:rsidRPr="00731FE2" w:rsidRDefault="007935AB" w:rsidP="00717AA7">
      <w:pPr>
        <w:pStyle w:val="13"/>
        <w:spacing w:after="0" w:line="240" w:lineRule="auto"/>
        <w:rPr>
          <w:rFonts w:ascii="Times New Roman" w:hAnsi="Times New Roman" w:cs="Times New Roman"/>
          <w:sz w:val="24"/>
          <w:szCs w:val="24"/>
        </w:rPr>
      </w:pPr>
      <w:bookmarkStart w:id="108" w:name="_Toc177392857"/>
      <w:r w:rsidRPr="00731FE2">
        <w:rPr>
          <w:rFonts w:ascii="Times New Roman" w:hAnsi="Times New Roman" w:cs="Times New Roman"/>
          <w:sz w:val="24"/>
          <w:szCs w:val="24"/>
        </w:rPr>
        <w:lastRenderedPageBreak/>
        <w:t xml:space="preserve">ПРИЛОЖЕНИЕ 1 – </w:t>
      </w:r>
      <w:r w:rsidR="00EE4EC5" w:rsidRPr="00731FE2">
        <w:rPr>
          <w:rFonts w:ascii="Times New Roman" w:hAnsi="Times New Roman" w:cs="Times New Roman"/>
          <w:sz w:val="24"/>
          <w:szCs w:val="24"/>
        </w:rPr>
        <w:t>ПЕРЕЧЕНЬ СКВАЖИН НА ТЕРРИТОРИИ ГОРОДСКОГО ОКРУГА ГОРОДА-КУРОРТА КИСЛОВОДСКА</w:t>
      </w:r>
      <w:bookmarkEnd w:id="108"/>
    </w:p>
    <w:tbl>
      <w:tblPr>
        <w:tblStyle w:val="afe"/>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360"/>
        <w:gridCol w:w="810"/>
        <w:gridCol w:w="1121"/>
        <w:gridCol w:w="477"/>
        <w:gridCol w:w="1161"/>
        <w:gridCol w:w="1112"/>
        <w:gridCol w:w="1144"/>
        <w:gridCol w:w="644"/>
        <w:gridCol w:w="772"/>
        <w:gridCol w:w="772"/>
        <w:gridCol w:w="450"/>
        <w:gridCol w:w="450"/>
        <w:gridCol w:w="450"/>
        <w:gridCol w:w="450"/>
        <w:gridCol w:w="538"/>
        <w:gridCol w:w="864"/>
        <w:gridCol w:w="804"/>
        <w:gridCol w:w="1479"/>
        <w:gridCol w:w="464"/>
        <w:gridCol w:w="464"/>
      </w:tblGrid>
      <w:tr w:rsidR="00171AA8" w:rsidRPr="00731FE2" w14:paraId="5478DF9A" w14:textId="77777777" w:rsidTr="00F3587A">
        <w:trPr>
          <w:cantSplit/>
          <w:trHeight w:val="2102"/>
        </w:trPr>
        <w:tc>
          <w:tcPr>
            <w:tcW w:w="171" w:type="dxa"/>
            <w:tcBorders>
              <w:top w:val="single" w:sz="4" w:space="0" w:color="000000"/>
              <w:left w:val="single" w:sz="4" w:space="0" w:color="000000"/>
              <w:bottom w:val="single" w:sz="4" w:space="0" w:color="000000"/>
              <w:right w:val="single" w:sz="4" w:space="0" w:color="000000"/>
            </w:tcBorders>
            <w:shd w:val="clear" w:color="FFFFFF" w:fill="FFFFFF"/>
            <w:tcMar>
              <w:top w:w="0" w:type="dxa"/>
              <w:left w:w="108" w:type="dxa"/>
              <w:bottom w:w="0" w:type="dxa"/>
              <w:right w:w="108" w:type="dxa"/>
            </w:tcMar>
            <w:textDirection w:val="btLr"/>
          </w:tcPr>
          <w:p w14:paraId="482E8B8C" w14:textId="77777777" w:rsidR="00171AA8" w:rsidRPr="00731FE2" w:rsidRDefault="007935AB" w:rsidP="00F3587A">
            <w:pPr>
              <w:pBdr>
                <w:top w:val="none" w:sz="4" w:space="0" w:color="000000"/>
                <w:left w:val="none" w:sz="4" w:space="0" w:color="000000"/>
                <w:bottom w:val="none" w:sz="4" w:space="0" w:color="000000"/>
                <w:right w:val="none" w:sz="4" w:space="0" w:color="000000"/>
              </w:pBdr>
              <w:ind w:left="113" w:right="113" w:firstLine="0"/>
              <w:rPr>
                <w:rStyle w:val="af6"/>
                <w:rFonts w:ascii="Times New Roman" w:hAnsi="Times New Roman" w:cs="Times New Roman"/>
                <w:b/>
                <w:bCs/>
                <w:color w:val="auto"/>
                <w:sz w:val="16"/>
                <w:szCs w:val="16"/>
                <w:u w:val="none"/>
              </w:rPr>
            </w:pPr>
            <w:r w:rsidRPr="00731FE2">
              <w:rPr>
                <w:rStyle w:val="af6"/>
                <w:rFonts w:ascii="Times New Roman" w:hAnsi="Times New Roman" w:cs="Times New Roman"/>
                <w:b/>
                <w:bCs/>
                <w:color w:val="auto"/>
                <w:sz w:val="16"/>
                <w:szCs w:val="16"/>
                <w:u w:val="none"/>
              </w:rPr>
              <w:t>№ п/п</w:t>
            </w:r>
          </w:p>
        </w:tc>
        <w:tc>
          <w:tcPr>
            <w:tcW w:w="351" w:type="dxa"/>
            <w:tcBorders>
              <w:top w:val="single" w:sz="4" w:space="0" w:color="000000"/>
              <w:left w:val="single" w:sz="4" w:space="0" w:color="000000"/>
              <w:bottom w:val="single" w:sz="4" w:space="0" w:color="000000"/>
              <w:right w:val="single" w:sz="4" w:space="0" w:color="000000"/>
            </w:tcBorders>
            <w:shd w:val="clear" w:color="FFFFFF" w:fill="FFFFFF"/>
            <w:tcMar>
              <w:top w:w="0" w:type="dxa"/>
              <w:left w:w="108" w:type="dxa"/>
              <w:bottom w:w="0" w:type="dxa"/>
              <w:right w:w="108" w:type="dxa"/>
            </w:tcMar>
            <w:textDirection w:val="btLr"/>
            <w:vAlign w:val="center"/>
          </w:tcPr>
          <w:p w14:paraId="3CAC4D2E" w14:textId="77777777" w:rsidR="00171AA8" w:rsidRPr="00731FE2" w:rsidRDefault="007935AB" w:rsidP="00F3587A">
            <w:pPr>
              <w:pBdr>
                <w:top w:val="none" w:sz="4" w:space="0" w:color="000000"/>
                <w:left w:val="none" w:sz="4" w:space="0" w:color="000000"/>
                <w:bottom w:val="none" w:sz="4" w:space="0" w:color="000000"/>
                <w:right w:val="none" w:sz="4" w:space="0" w:color="000000"/>
              </w:pBdr>
              <w:ind w:left="113" w:right="113" w:firstLine="0"/>
              <w:rPr>
                <w:rStyle w:val="af6"/>
                <w:rFonts w:ascii="Times New Roman" w:hAnsi="Times New Roman" w:cs="Times New Roman"/>
                <w:b/>
                <w:bCs/>
                <w:color w:val="auto"/>
                <w:sz w:val="16"/>
                <w:szCs w:val="16"/>
                <w:u w:val="none"/>
              </w:rPr>
            </w:pPr>
            <w:r w:rsidRPr="00731FE2">
              <w:rPr>
                <w:rStyle w:val="af6"/>
                <w:rFonts w:ascii="Times New Roman" w:hAnsi="Times New Roman" w:cs="Times New Roman"/>
                <w:b/>
                <w:bCs/>
                <w:color w:val="auto"/>
                <w:sz w:val="16"/>
                <w:szCs w:val="16"/>
                <w:u w:val="none"/>
              </w:rPr>
              <w:t>№ скважины, источника</w:t>
            </w:r>
          </w:p>
        </w:tc>
        <w:tc>
          <w:tcPr>
            <w:tcW w:w="5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extDirection w:val="btLr"/>
            <w:vAlign w:val="center"/>
          </w:tcPr>
          <w:p w14:paraId="3919B6F4" w14:textId="77777777" w:rsidR="00171AA8" w:rsidRPr="00731FE2" w:rsidRDefault="007935AB" w:rsidP="00F3587A">
            <w:pPr>
              <w:pBdr>
                <w:top w:val="none" w:sz="4" w:space="0" w:color="000000"/>
                <w:left w:val="none" w:sz="4" w:space="0" w:color="000000"/>
                <w:bottom w:val="none" w:sz="4" w:space="0" w:color="000000"/>
                <w:right w:val="none" w:sz="4" w:space="0" w:color="000000"/>
              </w:pBdr>
              <w:ind w:left="113" w:right="113" w:firstLine="0"/>
              <w:rPr>
                <w:rStyle w:val="af6"/>
                <w:rFonts w:ascii="Times New Roman" w:hAnsi="Times New Roman" w:cs="Times New Roman"/>
                <w:b/>
                <w:bCs/>
                <w:color w:val="auto"/>
                <w:sz w:val="16"/>
                <w:szCs w:val="16"/>
                <w:u w:val="none"/>
              </w:rPr>
            </w:pPr>
            <w:r w:rsidRPr="00731FE2">
              <w:rPr>
                <w:rStyle w:val="af6"/>
                <w:rFonts w:ascii="Times New Roman" w:hAnsi="Times New Roman" w:cs="Times New Roman"/>
                <w:b/>
                <w:bCs/>
                <w:color w:val="auto"/>
                <w:sz w:val="16"/>
                <w:szCs w:val="16"/>
                <w:u w:val="none"/>
              </w:rPr>
              <w:t>Местоположение</w:t>
            </w:r>
          </w:p>
        </w:tc>
        <w:tc>
          <w:tcPr>
            <w:tcW w:w="412" w:type="dxa"/>
            <w:tcBorders>
              <w:top w:val="single" w:sz="4" w:space="0" w:color="000000"/>
              <w:left w:val="single" w:sz="4" w:space="0" w:color="000000"/>
              <w:bottom w:val="single" w:sz="4" w:space="0" w:color="000000"/>
              <w:right w:val="single" w:sz="4" w:space="0" w:color="000000"/>
            </w:tcBorders>
            <w:shd w:val="clear" w:color="FFFFFF" w:fill="FFFFFF"/>
            <w:tcMar>
              <w:top w:w="0" w:type="dxa"/>
              <w:left w:w="108" w:type="dxa"/>
              <w:bottom w:w="0" w:type="dxa"/>
              <w:right w:w="108" w:type="dxa"/>
            </w:tcMar>
            <w:textDirection w:val="btLr"/>
            <w:vAlign w:val="center"/>
          </w:tcPr>
          <w:p w14:paraId="2A8C6EEE" w14:textId="77777777" w:rsidR="00171AA8" w:rsidRPr="00731FE2" w:rsidRDefault="007935AB" w:rsidP="00F3587A">
            <w:pPr>
              <w:pBdr>
                <w:top w:val="none" w:sz="4" w:space="0" w:color="000000"/>
                <w:left w:val="none" w:sz="4" w:space="0" w:color="000000"/>
                <w:bottom w:val="none" w:sz="4" w:space="0" w:color="000000"/>
                <w:right w:val="none" w:sz="4" w:space="0" w:color="000000"/>
              </w:pBdr>
              <w:ind w:left="113" w:right="113" w:firstLine="0"/>
              <w:rPr>
                <w:rStyle w:val="af6"/>
                <w:rFonts w:ascii="Times New Roman" w:hAnsi="Times New Roman" w:cs="Times New Roman"/>
                <w:b/>
                <w:bCs/>
                <w:color w:val="auto"/>
                <w:sz w:val="16"/>
                <w:szCs w:val="16"/>
                <w:u w:val="none"/>
              </w:rPr>
            </w:pPr>
            <w:r w:rsidRPr="00731FE2">
              <w:rPr>
                <w:rStyle w:val="af6"/>
                <w:rFonts w:ascii="Times New Roman" w:hAnsi="Times New Roman" w:cs="Times New Roman"/>
                <w:b/>
                <w:bCs/>
                <w:color w:val="auto"/>
                <w:sz w:val="16"/>
                <w:szCs w:val="16"/>
                <w:u w:val="none"/>
              </w:rPr>
              <w:t>Возраст водоносного горизонта</w:t>
            </w:r>
          </w:p>
        </w:tc>
        <w:tc>
          <w:tcPr>
            <w:tcW w:w="4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extDirection w:val="btLr"/>
            <w:vAlign w:val="center"/>
          </w:tcPr>
          <w:p w14:paraId="68887474" w14:textId="77777777" w:rsidR="00171AA8" w:rsidRPr="00731FE2" w:rsidRDefault="007935AB" w:rsidP="00F3587A">
            <w:pPr>
              <w:pBdr>
                <w:top w:val="none" w:sz="4" w:space="0" w:color="000000"/>
                <w:left w:val="none" w:sz="4" w:space="0" w:color="000000"/>
                <w:bottom w:val="none" w:sz="4" w:space="0" w:color="000000"/>
                <w:right w:val="none" w:sz="4" w:space="0" w:color="000000"/>
              </w:pBdr>
              <w:ind w:left="113" w:right="113" w:firstLine="0"/>
              <w:rPr>
                <w:rStyle w:val="af6"/>
                <w:rFonts w:ascii="Times New Roman" w:hAnsi="Times New Roman" w:cs="Times New Roman"/>
                <w:b/>
                <w:bCs/>
                <w:color w:val="auto"/>
                <w:sz w:val="16"/>
                <w:szCs w:val="16"/>
                <w:u w:val="none"/>
              </w:rPr>
            </w:pPr>
            <w:r w:rsidRPr="00731FE2">
              <w:rPr>
                <w:rStyle w:val="af6"/>
                <w:rFonts w:ascii="Times New Roman" w:hAnsi="Times New Roman" w:cs="Times New Roman"/>
                <w:b/>
                <w:bCs/>
                <w:color w:val="auto"/>
                <w:sz w:val="16"/>
                <w:szCs w:val="16"/>
                <w:u w:val="none"/>
              </w:rPr>
              <w:t>Назначение водного пункта по паспорту</w:t>
            </w:r>
          </w:p>
        </w:tc>
        <w:tc>
          <w:tcPr>
            <w:tcW w:w="4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extDirection w:val="btLr"/>
            <w:vAlign w:val="center"/>
          </w:tcPr>
          <w:p w14:paraId="55E877BB" w14:textId="77777777" w:rsidR="00171AA8" w:rsidRPr="00731FE2" w:rsidRDefault="007935AB" w:rsidP="00F3587A">
            <w:pPr>
              <w:pBdr>
                <w:top w:val="none" w:sz="4" w:space="0" w:color="000000"/>
                <w:left w:val="none" w:sz="4" w:space="0" w:color="000000"/>
                <w:bottom w:val="none" w:sz="4" w:space="0" w:color="000000"/>
                <w:right w:val="none" w:sz="4" w:space="0" w:color="000000"/>
              </w:pBdr>
              <w:ind w:left="113" w:right="113" w:firstLine="0"/>
              <w:rPr>
                <w:rStyle w:val="af6"/>
                <w:rFonts w:ascii="Times New Roman" w:hAnsi="Times New Roman" w:cs="Times New Roman"/>
                <w:b/>
                <w:bCs/>
                <w:color w:val="auto"/>
                <w:sz w:val="16"/>
                <w:szCs w:val="16"/>
                <w:u w:val="none"/>
              </w:rPr>
            </w:pPr>
            <w:r w:rsidRPr="00731FE2">
              <w:rPr>
                <w:rStyle w:val="af6"/>
                <w:rFonts w:ascii="Times New Roman" w:hAnsi="Times New Roman" w:cs="Times New Roman"/>
                <w:b/>
                <w:bCs/>
                <w:color w:val="auto"/>
                <w:sz w:val="16"/>
                <w:szCs w:val="16"/>
                <w:u w:val="none"/>
              </w:rPr>
              <w:t>Фактическое использование</w:t>
            </w:r>
          </w:p>
        </w:tc>
        <w:tc>
          <w:tcPr>
            <w:tcW w:w="4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extDirection w:val="btLr"/>
            <w:vAlign w:val="center"/>
          </w:tcPr>
          <w:p w14:paraId="524628DC" w14:textId="77777777" w:rsidR="00171AA8" w:rsidRPr="00731FE2" w:rsidRDefault="007935AB" w:rsidP="00F3587A">
            <w:pPr>
              <w:pBdr>
                <w:top w:val="none" w:sz="4" w:space="0" w:color="000000"/>
                <w:left w:val="none" w:sz="4" w:space="0" w:color="000000"/>
                <w:bottom w:val="none" w:sz="4" w:space="0" w:color="000000"/>
                <w:right w:val="none" w:sz="4" w:space="0" w:color="000000"/>
              </w:pBdr>
              <w:ind w:left="113" w:right="113" w:firstLine="0"/>
              <w:rPr>
                <w:rStyle w:val="af6"/>
                <w:rFonts w:ascii="Times New Roman" w:hAnsi="Times New Roman" w:cs="Times New Roman"/>
                <w:b/>
                <w:bCs/>
                <w:color w:val="auto"/>
                <w:sz w:val="16"/>
                <w:szCs w:val="16"/>
                <w:u w:val="none"/>
              </w:rPr>
            </w:pPr>
            <w:r w:rsidRPr="00731FE2">
              <w:rPr>
                <w:rStyle w:val="af6"/>
                <w:rFonts w:ascii="Times New Roman" w:hAnsi="Times New Roman" w:cs="Times New Roman"/>
                <w:b/>
                <w:bCs/>
                <w:color w:val="auto"/>
                <w:sz w:val="16"/>
                <w:szCs w:val="16"/>
                <w:u w:val="none"/>
              </w:rPr>
              <w:t>Режим эксплуатации</w:t>
            </w:r>
          </w:p>
        </w:tc>
        <w:tc>
          <w:tcPr>
            <w:tcW w:w="476" w:type="dxa"/>
            <w:tcBorders>
              <w:top w:val="single" w:sz="4" w:space="0" w:color="000000"/>
              <w:left w:val="single" w:sz="4" w:space="0" w:color="000000"/>
              <w:bottom w:val="single" w:sz="4" w:space="0" w:color="000000"/>
              <w:right w:val="single" w:sz="4" w:space="0" w:color="000000"/>
            </w:tcBorders>
            <w:shd w:val="clear" w:color="FFFFFF" w:fill="FFFFFF"/>
            <w:tcMar>
              <w:top w:w="0" w:type="dxa"/>
              <w:left w:w="108" w:type="dxa"/>
              <w:bottom w:w="0" w:type="dxa"/>
              <w:right w:w="108" w:type="dxa"/>
            </w:tcMar>
            <w:textDirection w:val="btLr"/>
            <w:vAlign w:val="center"/>
          </w:tcPr>
          <w:p w14:paraId="689A5749" w14:textId="77777777" w:rsidR="00171AA8" w:rsidRPr="00731FE2" w:rsidRDefault="007935AB" w:rsidP="00F3587A">
            <w:pPr>
              <w:pBdr>
                <w:top w:val="none" w:sz="4" w:space="0" w:color="000000"/>
                <w:left w:val="none" w:sz="4" w:space="0" w:color="000000"/>
                <w:bottom w:val="none" w:sz="4" w:space="0" w:color="000000"/>
                <w:right w:val="none" w:sz="4" w:space="0" w:color="000000"/>
              </w:pBdr>
              <w:ind w:left="113" w:right="113" w:firstLine="0"/>
              <w:rPr>
                <w:rStyle w:val="af6"/>
                <w:rFonts w:ascii="Times New Roman" w:hAnsi="Times New Roman" w:cs="Times New Roman"/>
                <w:b/>
                <w:bCs/>
                <w:color w:val="auto"/>
                <w:sz w:val="16"/>
                <w:szCs w:val="16"/>
                <w:u w:val="none"/>
              </w:rPr>
            </w:pPr>
            <w:r w:rsidRPr="00731FE2">
              <w:rPr>
                <w:rStyle w:val="af6"/>
                <w:rFonts w:ascii="Times New Roman" w:hAnsi="Times New Roman" w:cs="Times New Roman"/>
                <w:b/>
                <w:bCs/>
                <w:color w:val="auto"/>
                <w:sz w:val="16"/>
                <w:szCs w:val="16"/>
                <w:u w:val="none"/>
              </w:rPr>
              <w:t>Вид использования минеральной воды</w:t>
            </w:r>
          </w:p>
        </w:tc>
        <w:tc>
          <w:tcPr>
            <w:tcW w:w="325"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textDirection w:val="btLr"/>
            <w:vAlign w:val="center"/>
          </w:tcPr>
          <w:p w14:paraId="041383C9" w14:textId="77777777" w:rsidR="00171AA8" w:rsidRPr="00731FE2" w:rsidRDefault="007935AB" w:rsidP="00F3587A">
            <w:pPr>
              <w:pBdr>
                <w:top w:val="none" w:sz="4" w:space="0" w:color="000000"/>
                <w:left w:val="none" w:sz="4" w:space="0" w:color="000000"/>
                <w:bottom w:val="none" w:sz="4" w:space="0" w:color="000000"/>
                <w:right w:val="none" w:sz="4" w:space="0" w:color="000000"/>
              </w:pBdr>
              <w:ind w:left="113" w:right="113" w:firstLine="0"/>
              <w:rPr>
                <w:rStyle w:val="af6"/>
                <w:rFonts w:ascii="Times New Roman" w:hAnsi="Times New Roman" w:cs="Times New Roman"/>
                <w:b/>
                <w:bCs/>
                <w:color w:val="auto"/>
                <w:sz w:val="16"/>
                <w:szCs w:val="16"/>
                <w:u w:val="none"/>
              </w:rPr>
            </w:pPr>
            <w:r w:rsidRPr="00731FE2">
              <w:rPr>
                <w:rStyle w:val="af6"/>
                <w:rFonts w:ascii="Times New Roman" w:hAnsi="Times New Roman" w:cs="Times New Roman"/>
                <w:b/>
                <w:bCs/>
                <w:color w:val="auto"/>
                <w:sz w:val="16"/>
                <w:szCs w:val="16"/>
                <w:u w:val="none"/>
              </w:rPr>
              <w:t>Широта Х</w:t>
            </w:r>
          </w:p>
        </w:tc>
        <w:tc>
          <w:tcPr>
            <w:tcW w:w="333"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textDirection w:val="btLr"/>
            <w:vAlign w:val="center"/>
          </w:tcPr>
          <w:p w14:paraId="7BB35796" w14:textId="77777777" w:rsidR="00171AA8" w:rsidRPr="00731FE2" w:rsidRDefault="007935AB" w:rsidP="00F3587A">
            <w:pPr>
              <w:pBdr>
                <w:top w:val="none" w:sz="4" w:space="0" w:color="000000"/>
                <w:left w:val="none" w:sz="4" w:space="0" w:color="000000"/>
                <w:bottom w:val="none" w:sz="4" w:space="0" w:color="000000"/>
                <w:right w:val="none" w:sz="4" w:space="0" w:color="000000"/>
              </w:pBdr>
              <w:ind w:left="113" w:right="113" w:firstLine="0"/>
              <w:rPr>
                <w:rStyle w:val="af6"/>
                <w:rFonts w:ascii="Times New Roman" w:hAnsi="Times New Roman" w:cs="Times New Roman"/>
                <w:b/>
                <w:bCs/>
                <w:color w:val="auto"/>
                <w:sz w:val="16"/>
                <w:szCs w:val="16"/>
                <w:u w:val="none"/>
              </w:rPr>
            </w:pPr>
            <w:r w:rsidRPr="00731FE2">
              <w:rPr>
                <w:rStyle w:val="af6"/>
                <w:rFonts w:ascii="Times New Roman" w:hAnsi="Times New Roman" w:cs="Times New Roman"/>
                <w:b/>
                <w:bCs/>
                <w:color w:val="auto"/>
                <w:sz w:val="16"/>
                <w:szCs w:val="16"/>
                <w:u w:val="none"/>
              </w:rPr>
              <w:t>Долгота Y</w:t>
            </w:r>
          </w:p>
        </w:tc>
        <w:tc>
          <w:tcPr>
            <w:tcW w:w="378" w:type="dxa"/>
            <w:tcBorders>
              <w:top w:val="single" w:sz="4" w:space="0" w:color="000000"/>
              <w:left w:val="single" w:sz="4" w:space="0" w:color="000000"/>
              <w:bottom w:val="single" w:sz="4" w:space="0" w:color="000000"/>
              <w:right w:val="single" w:sz="4" w:space="0" w:color="000000"/>
            </w:tcBorders>
            <w:shd w:val="clear" w:color="FFFFFF" w:fill="FFFFFF"/>
            <w:tcMar>
              <w:top w:w="0" w:type="dxa"/>
              <w:left w:w="108" w:type="dxa"/>
              <w:bottom w:w="0" w:type="dxa"/>
              <w:right w:w="108" w:type="dxa"/>
            </w:tcMar>
            <w:textDirection w:val="btLr"/>
            <w:vAlign w:val="center"/>
          </w:tcPr>
          <w:p w14:paraId="2A33FDB8" w14:textId="77777777" w:rsidR="00171AA8" w:rsidRPr="00731FE2" w:rsidRDefault="007935AB" w:rsidP="00F3587A">
            <w:pPr>
              <w:pBdr>
                <w:top w:val="none" w:sz="4" w:space="0" w:color="000000"/>
                <w:left w:val="none" w:sz="4" w:space="0" w:color="000000"/>
                <w:bottom w:val="none" w:sz="4" w:space="0" w:color="000000"/>
                <w:right w:val="none" w:sz="4" w:space="0" w:color="000000"/>
              </w:pBdr>
              <w:ind w:left="113" w:right="113" w:firstLine="0"/>
              <w:rPr>
                <w:rStyle w:val="af6"/>
                <w:rFonts w:ascii="Times New Roman" w:hAnsi="Times New Roman" w:cs="Times New Roman"/>
                <w:b/>
                <w:bCs/>
                <w:color w:val="auto"/>
                <w:sz w:val="16"/>
                <w:szCs w:val="16"/>
                <w:u w:val="none"/>
              </w:rPr>
            </w:pPr>
            <w:r w:rsidRPr="00731FE2">
              <w:rPr>
                <w:rStyle w:val="af6"/>
                <w:rFonts w:ascii="Times New Roman" w:hAnsi="Times New Roman" w:cs="Times New Roman"/>
                <w:b/>
                <w:bCs/>
                <w:color w:val="auto"/>
                <w:sz w:val="16"/>
                <w:szCs w:val="16"/>
                <w:u w:val="none"/>
              </w:rPr>
              <w:t>S земельного участка по договору, м2</w:t>
            </w:r>
          </w:p>
        </w:tc>
        <w:tc>
          <w:tcPr>
            <w:tcW w:w="276" w:type="dxa"/>
            <w:tcBorders>
              <w:top w:val="single" w:sz="4" w:space="0" w:color="000000"/>
              <w:left w:val="single" w:sz="4" w:space="0" w:color="000000"/>
              <w:bottom w:val="single" w:sz="4" w:space="0" w:color="000000"/>
              <w:right w:val="single" w:sz="4" w:space="0" w:color="000000"/>
            </w:tcBorders>
            <w:shd w:val="clear" w:color="FFFFFF" w:fill="FFFFFF"/>
            <w:tcMar>
              <w:top w:w="0" w:type="dxa"/>
              <w:left w:w="108" w:type="dxa"/>
              <w:bottom w:w="0" w:type="dxa"/>
              <w:right w:w="108" w:type="dxa"/>
            </w:tcMar>
            <w:textDirection w:val="btLr"/>
            <w:vAlign w:val="center"/>
          </w:tcPr>
          <w:p w14:paraId="279948CC" w14:textId="77777777" w:rsidR="00171AA8" w:rsidRPr="00731FE2" w:rsidRDefault="007935AB" w:rsidP="00F3587A">
            <w:pPr>
              <w:pBdr>
                <w:top w:val="none" w:sz="4" w:space="0" w:color="000000"/>
                <w:left w:val="none" w:sz="4" w:space="0" w:color="000000"/>
                <w:bottom w:val="none" w:sz="4" w:space="0" w:color="000000"/>
                <w:right w:val="none" w:sz="4" w:space="0" w:color="000000"/>
              </w:pBdr>
              <w:ind w:left="113" w:right="113" w:firstLine="0"/>
              <w:rPr>
                <w:rStyle w:val="af6"/>
                <w:rFonts w:ascii="Times New Roman" w:hAnsi="Times New Roman" w:cs="Times New Roman"/>
                <w:b/>
                <w:bCs/>
                <w:color w:val="auto"/>
                <w:sz w:val="16"/>
                <w:szCs w:val="16"/>
                <w:u w:val="none"/>
              </w:rPr>
            </w:pPr>
            <w:r w:rsidRPr="00731FE2">
              <w:rPr>
                <w:rStyle w:val="af6"/>
                <w:rFonts w:ascii="Times New Roman" w:hAnsi="Times New Roman" w:cs="Times New Roman"/>
                <w:b/>
                <w:bCs/>
                <w:color w:val="auto"/>
                <w:sz w:val="16"/>
                <w:szCs w:val="16"/>
                <w:u w:val="none"/>
              </w:rPr>
              <w:t>S горного отвода, м2</w:t>
            </w:r>
          </w:p>
        </w:tc>
        <w:tc>
          <w:tcPr>
            <w:tcW w:w="377" w:type="dxa"/>
            <w:tcBorders>
              <w:top w:val="single" w:sz="4" w:space="0" w:color="000000"/>
              <w:left w:val="single" w:sz="4" w:space="0" w:color="000000"/>
              <w:bottom w:val="single" w:sz="4" w:space="0" w:color="000000"/>
              <w:right w:val="single" w:sz="4" w:space="0" w:color="000000"/>
            </w:tcBorders>
            <w:shd w:val="clear" w:color="FFFFFF" w:fill="FFFFFF"/>
            <w:tcMar>
              <w:top w:w="0" w:type="dxa"/>
              <w:left w:w="108" w:type="dxa"/>
              <w:bottom w:w="0" w:type="dxa"/>
              <w:right w:w="108" w:type="dxa"/>
            </w:tcMar>
            <w:textDirection w:val="btLr"/>
            <w:vAlign w:val="center"/>
          </w:tcPr>
          <w:p w14:paraId="3E8A827E" w14:textId="77777777" w:rsidR="00171AA8" w:rsidRPr="00731FE2" w:rsidRDefault="007935AB" w:rsidP="00F3587A">
            <w:pPr>
              <w:pBdr>
                <w:top w:val="none" w:sz="4" w:space="0" w:color="000000"/>
                <w:left w:val="none" w:sz="4" w:space="0" w:color="000000"/>
                <w:bottom w:val="none" w:sz="4" w:space="0" w:color="000000"/>
                <w:right w:val="none" w:sz="4" w:space="0" w:color="000000"/>
              </w:pBdr>
              <w:ind w:left="113" w:right="113" w:firstLine="0"/>
              <w:rPr>
                <w:rStyle w:val="af6"/>
                <w:rFonts w:ascii="Times New Roman" w:hAnsi="Times New Roman" w:cs="Times New Roman"/>
                <w:b/>
                <w:bCs/>
                <w:color w:val="auto"/>
                <w:sz w:val="16"/>
                <w:szCs w:val="16"/>
                <w:u w:val="none"/>
              </w:rPr>
            </w:pPr>
            <w:r w:rsidRPr="00731FE2">
              <w:rPr>
                <w:rStyle w:val="af6"/>
                <w:rFonts w:ascii="Times New Roman" w:hAnsi="Times New Roman" w:cs="Times New Roman"/>
                <w:b/>
                <w:bCs/>
                <w:color w:val="auto"/>
                <w:sz w:val="16"/>
                <w:szCs w:val="16"/>
                <w:u w:val="none"/>
              </w:rPr>
              <w:t>S1 зоны санитарной охраны, м2</w:t>
            </w:r>
          </w:p>
        </w:tc>
        <w:tc>
          <w:tcPr>
            <w:tcW w:w="438" w:type="dxa"/>
            <w:tcBorders>
              <w:top w:val="single" w:sz="4" w:space="0" w:color="000000"/>
              <w:left w:val="single" w:sz="4" w:space="0" w:color="000000"/>
              <w:bottom w:val="single" w:sz="4" w:space="0" w:color="000000"/>
              <w:right w:val="single" w:sz="4" w:space="0" w:color="000000"/>
            </w:tcBorders>
            <w:shd w:val="clear" w:color="FFFFFF" w:fill="FFFFFF"/>
            <w:tcMar>
              <w:top w:w="0" w:type="dxa"/>
              <w:left w:w="108" w:type="dxa"/>
              <w:bottom w:w="0" w:type="dxa"/>
              <w:right w:w="108" w:type="dxa"/>
            </w:tcMar>
            <w:textDirection w:val="btLr"/>
            <w:vAlign w:val="center"/>
          </w:tcPr>
          <w:p w14:paraId="62BCE115" w14:textId="77777777" w:rsidR="00171AA8" w:rsidRPr="00731FE2" w:rsidRDefault="007935AB" w:rsidP="00F3587A">
            <w:pPr>
              <w:pBdr>
                <w:top w:val="none" w:sz="4" w:space="0" w:color="000000"/>
                <w:left w:val="none" w:sz="4" w:space="0" w:color="000000"/>
                <w:bottom w:val="none" w:sz="4" w:space="0" w:color="000000"/>
                <w:right w:val="none" w:sz="4" w:space="0" w:color="000000"/>
              </w:pBdr>
              <w:ind w:left="113" w:right="113" w:firstLine="0"/>
              <w:rPr>
                <w:rStyle w:val="af6"/>
                <w:rFonts w:ascii="Times New Roman" w:hAnsi="Times New Roman" w:cs="Times New Roman"/>
                <w:b/>
                <w:bCs/>
                <w:color w:val="auto"/>
                <w:sz w:val="16"/>
                <w:szCs w:val="16"/>
                <w:u w:val="none"/>
              </w:rPr>
            </w:pPr>
            <w:r w:rsidRPr="00731FE2">
              <w:rPr>
                <w:rStyle w:val="af6"/>
                <w:rFonts w:ascii="Times New Roman" w:hAnsi="Times New Roman" w:cs="Times New Roman"/>
                <w:b/>
                <w:bCs/>
                <w:color w:val="auto"/>
                <w:sz w:val="16"/>
                <w:szCs w:val="16"/>
                <w:u w:val="none"/>
              </w:rPr>
              <w:t>Запасы минеральных вод, м3/сут.</w:t>
            </w:r>
          </w:p>
        </w:tc>
        <w:tc>
          <w:tcPr>
            <w:tcW w:w="438" w:type="dxa"/>
            <w:tcBorders>
              <w:top w:val="single" w:sz="4" w:space="0" w:color="000000"/>
              <w:left w:val="single" w:sz="4" w:space="0" w:color="000000"/>
              <w:bottom w:val="single" w:sz="4" w:space="0" w:color="000000"/>
              <w:right w:val="single" w:sz="4" w:space="0" w:color="000000"/>
            </w:tcBorders>
            <w:shd w:val="clear" w:color="FFFFFF" w:fill="FFFFFF"/>
            <w:tcMar>
              <w:top w:w="0" w:type="dxa"/>
              <w:left w:w="108" w:type="dxa"/>
              <w:bottom w:w="0" w:type="dxa"/>
              <w:right w:w="108" w:type="dxa"/>
            </w:tcMar>
            <w:textDirection w:val="btLr"/>
            <w:vAlign w:val="center"/>
          </w:tcPr>
          <w:p w14:paraId="0313BD25" w14:textId="77777777" w:rsidR="00171AA8" w:rsidRPr="00731FE2" w:rsidRDefault="007935AB" w:rsidP="00F3587A">
            <w:pPr>
              <w:pBdr>
                <w:top w:val="none" w:sz="4" w:space="0" w:color="000000"/>
                <w:left w:val="none" w:sz="4" w:space="0" w:color="000000"/>
                <w:bottom w:val="none" w:sz="4" w:space="0" w:color="000000"/>
                <w:right w:val="none" w:sz="4" w:space="0" w:color="000000"/>
              </w:pBdr>
              <w:ind w:left="113" w:right="113" w:firstLine="0"/>
              <w:rPr>
                <w:rStyle w:val="af6"/>
                <w:rFonts w:ascii="Times New Roman" w:hAnsi="Times New Roman" w:cs="Times New Roman"/>
                <w:b/>
                <w:bCs/>
                <w:color w:val="auto"/>
                <w:sz w:val="16"/>
                <w:szCs w:val="16"/>
                <w:u w:val="none"/>
              </w:rPr>
            </w:pPr>
            <w:r w:rsidRPr="00731FE2">
              <w:rPr>
                <w:rStyle w:val="af6"/>
                <w:rFonts w:ascii="Times New Roman" w:hAnsi="Times New Roman" w:cs="Times New Roman"/>
                <w:b/>
                <w:bCs/>
                <w:color w:val="auto"/>
                <w:sz w:val="16"/>
                <w:szCs w:val="16"/>
                <w:u w:val="none"/>
              </w:rPr>
              <w:t>Средняя добыча минеральных вод за 2012-2016 гг., м3/сут</w:t>
            </w:r>
          </w:p>
        </w:tc>
        <w:tc>
          <w:tcPr>
            <w:tcW w:w="356" w:type="dxa"/>
            <w:tcBorders>
              <w:top w:val="single" w:sz="4" w:space="0" w:color="000000"/>
              <w:left w:val="single" w:sz="4" w:space="0" w:color="000000"/>
              <w:bottom w:val="single" w:sz="4" w:space="0" w:color="000000"/>
              <w:right w:val="single" w:sz="4" w:space="0" w:color="000000"/>
            </w:tcBorders>
            <w:shd w:val="clear" w:color="FFFFFF" w:fill="FFFFFF"/>
            <w:tcMar>
              <w:top w:w="0" w:type="dxa"/>
              <w:left w:w="108" w:type="dxa"/>
              <w:bottom w:w="0" w:type="dxa"/>
              <w:right w:w="108" w:type="dxa"/>
            </w:tcMar>
            <w:textDirection w:val="btLr"/>
            <w:vAlign w:val="center"/>
          </w:tcPr>
          <w:p w14:paraId="274BF81A" w14:textId="77777777" w:rsidR="00171AA8" w:rsidRPr="00731FE2" w:rsidRDefault="007935AB" w:rsidP="00F3587A">
            <w:pPr>
              <w:pBdr>
                <w:top w:val="none" w:sz="4" w:space="0" w:color="000000"/>
                <w:left w:val="none" w:sz="4" w:space="0" w:color="000000"/>
                <w:bottom w:val="none" w:sz="4" w:space="0" w:color="000000"/>
                <w:right w:val="none" w:sz="4" w:space="0" w:color="000000"/>
              </w:pBdr>
              <w:ind w:left="113" w:right="113" w:firstLine="0"/>
              <w:rPr>
                <w:rStyle w:val="af6"/>
                <w:rFonts w:ascii="Times New Roman" w:hAnsi="Times New Roman" w:cs="Times New Roman"/>
                <w:b/>
                <w:bCs/>
                <w:color w:val="auto"/>
                <w:sz w:val="16"/>
                <w:szCs w:val="16"/>
                <w:u w:val="none"/>
              </w:rPr>
            </w:pPr>
            <w:r w:rsidRPr="00731FE2">
              <w:rPr>
                <w:rStyle w:val="af6"/>
                <w:rFonts w:ascii="Times New Roman" w:hAnsi="Times New Roman" w:cs="Times New Roman"/>
                <w:b/>
                <w:bCs/>
                <w:color w:val="auto"/>
                <w:sz w:val="16"/>
                <w:szCs w:val="16"/>
                <w:u w:val="none"/>
              </w:rPr>
              <w:t>Тип воды (ГОСТ Р 54316-2011)</w:t>
            </w:r>
          </w:p>
        </w:tc>
        <w:tc>
          <w:tcPr>
            <w:tcW w:w="32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extDirection w:val="btLr"/>
            <w:vAlign w:val="center"/>
          </w:tcPr>
          <w:p w14:paraId="2879D81D" w14:textId="77777777" w:rsidR="00171AA8" w:rsidRPr="00731FE2" w:rsidRDefault="007935AB" w:rsidP="00F3587A">
            <w:pPr>
              <w:pBdr>
                <w:top w:val="none" w:sz="4" w:space="0" w:color="000000"/>
                <w:left w:val="none" w:sz="4" w:space="0" w:color="000000"/>
                <w:bottom w:val="none" w:sz="4" w:space="0" w:color="000000"/>
                <w:right w:val="none" w:sz="4" w:space="0" w:color="000000"/>
              </w:pBdr>
              <w:ind w:left="113" w:right="113" w:firstLine="0"/>
              <w:rPr>
                <w:rStyle w:val="af6"/>
                <w:rFonts w:ascii="Times New Roman" w:hAnsi="Times New Roman" w:cs="Times New Roman"/>
                <w:b/>
                <w:bCs/>
                <w:color w:val="auto"/>
                <w:sz w:val="16"/>
                <w:szCs w:val="16"/>
                <w:u w:val="none"/>
              </w:rPr>
            </w:pPr>
            <w:r w:rsidRPr="00731FE2">
              <w:rPr>
                <w:rStyle w:val="af6"/>
                <w:rFonts w:ascii="Times New Roman" w:hAnsi="Times New Roman" w:cs="Times New Roman"/>
                <w:b/>
                <w:bCs/>
                <w:color w:val="auto"/>
                <w:sz w:val="16"/>
                <w:szCs w:val="16"/>
                <w:u w:val="none"/>
              </w:rPr>
              <w:t>Тип воды по газовому составу</w:t>
            </w:r>
          </w:p>
        </w:tc>
        <w:tc>
          <w:tcPr>
            <w:tcW w:w="576" w:type="dxa"/>
            <w:tcBorders>
              <w:top w:val="single" w:sz="4" w:space="0" w:color="000000"/>
              <w:left w:val="single" w:sz="4" w:space="0" w:color="000000"/>
              <w:bottom w:val="single" w:sz="4" w:space="0" w:color="000000"/>
              <w:right w:val="single" w:sz="4" w:space="0" w:color="000000"/>
            </w:tcBorders>
            <w:shd w:val="clear" w:color="FFFFFF" w:fill="FFFFFF"/>
            <w:tcMar>
              <w:top w:w="0" w:type="dxa"/>
              <w:left w:w="108" w:type="dxa"/>
              <w:bottom w:w="0" w:type="dxa"/>
              <w:right w:w="108" w:type="dxa"/>
            </w:tcMar>
            <w:textDirection w:val="btLr"/>
            <w:vAlign w:val="center"/>
          </w:tcPr>
          <w:p w14:paraId="656492C5" w14:textId="77777777" w:rsidR="00171AA8" w:rsidRPr="00731FE2" w:rsidRDefault="007935AB" w:rsidP="00F3587A">
            <w:pPr>
              <w:pBdr>
                <w:top w:val="none" w:sz="4" w:space="0" w:color="000000"/>
                <w:left w:val="none" w:sz="4" w:space="0" w:color="000000"/>
                <w:bottom w:val="none" w:sz="4" w:space="0" w:color="000000"/>
                <w:right w:val="none" w:sz="4" w:space="0" w:color="000000"/>
              </w:pBdr>
              <w:ind w:left="113" w:right="113" w:firstLine="0"/>
              <w:rPr>
                <w:rStyle w:val="af6"/>
                <w:rFonts w:ascii="Times New Roman" w:hAnsi="Times New Roman" w:cs="Times New Roman"/>
                <w:b/>
                <w:bCs/>
                <w:color w:val="auto"/>
                <w:sz w:val="16"/>
                <w:szCs w:val="16"/>
                <w:u w:val="none"/>
              </w:rPr>
            </w:pPr>
            <w:r w:rsidRPr="00731FE2">
              <w:rPr>
                <w:rStyle w:val="af6"/>
                <w:rFonts w:ascii="Times New Roman" w:hAnsi="Times New Roman" w:cs="Times New Roman"/>
                <w:b/>
                <w:bCs/>
                <w:color w:val="auto"/>
                <w:sz w:val="16"/>
                <w:szCs w:val="16"/>
                <w:u w:val="none"/>
              </w:rPr>
              <w:t>Тип воды по химическому составу</w:t>
            </w:r>
          </w:p>
        </w:tc>
        <w:tc>
          <w:tcPr>
            <w:tcW w:w="500" w:type="dxa"/>
            <w:tcBorders>
              <w:top w:val="single" w:sz="4" w:space="0" w:color="000000"/>
              <w:left w:val="single" w:sz="4" w:space="0" w:color="000000"/>
              <w:bottom w:val="single" w:sz="4" w:space="0" w:color="000000"/>
              <w:right w:val="single" w:sz="4" w:space="0" w:color="000000"/>
            </w:tcBorders>
            <w:shd w:val="clear" w:color="FFFFFF" w:fill="FFFFFF"/>
            <w:tcMar>
              <w:top w:w="0" w:type="dxa"/>
              <w:left w:w="108" w:type="dxa"/>
              <w:bottom w:w="0" w:type="dxa"/>
              <w:right w:w="108" w:type="dxa"/>
            </w:tcMar>
            <w:textDirection w:val="btLr"/>
            <w:vAlign w:val="center"/>
          </w:tcPr>
          <w:p w14:paraId="5E5F7F48" w14:textId="77777777" w:rsidR="00171AA8" w:rsidRPr="00731FE2" w:rsidRDefault="007935AB" w:rsidP="00F3587A">
            <w:pPr>
              <w:pBdr>
                <w:top w:val="none" w:sz="4" w:space="0" w:color="000000"/>
                <w:left w:val="none" w:sz="4" w:space="0" w:color="000000"/>
                <w:bottom w:val="none" w:sz="4" w:space="0" w:color="000000"/>
                <w:right w:val="none" w:sz="4" w:space="0" w:color="000000"/>
              </w:pBdr>
              <w:ind w:left="113" w:right="113" w:firstLine="0"/>
              <w:rPr>
                <w:rStyle w:val="af6"/>
                <w:rFonts w:ascii="Times New Roman" w:hAnsi="Times New Roman" w:cs="Times New Roman"/>
                <w:b/>
                <w:bCs/>
                <w:color w:val="auto"/>
                <w:sz w:val="16"/>
                <w:szCs w:val="16"/>
                <w:u w:val="none"/>
              </w:rPr>
            </w:pPr>
            <w:r w:rsidRPr="00731FE2">
              <w:rPr>
                <w:rStyle w:val="af6"/>
                <w:rFonts w:ascii="Times New Roman" w:hAnsi="Times New Roman" w:cs="Times New Roman"/>
                <w:b/>
                <w:bCs/>
                <w:color w:val="auto"/>
                <w:sz w:val="16"/>
                <w:szCs w:val="16"/>
                <w:u w:val="none"/>
              </w:rPr>
              <w:t>Минерализация, г/дм3</w:t>
            </w:r>
          </w:p>
        </w:tc>
        <w:tc>
          <w:tcPr>
            <w:tcW w:w="272" w:type="dxa"/>
            <w:tcBorders>
              <w:top w:val="single" w:sz="4" w:space="0" w:color="000000"/>
              <w:left w:val="single" w:sz="4" w:space="0" w:color="000000"/>
              <w:bottom w:val="single" w:sz="4" w:space="0" w:color="000000"/>
              <w:right w:val="single" w:sz="4" w:space="0" w:color="000000"/>
            </w:tcBorders>
            <w:shd w:val="clear" w:color="FFFFFF" w:fill="FFFFFF"/>
            <w:tcMar>
              <w:top w:w="0" w:type="dxa"/>
              <w:left w:w="108" w:type="dxa"/>
              <w:bottom w:w="0" w:type="dxa"/>
              <w:right w:w="108" w:type="dxa"/>
            </w:tcMar>
            <w:textDirection w:val="btLr"/>
            <w:vAlign w:val="center"/>
          </w:tcPr>
          <w:p w14:paraId="10A2E6B1" w14:textId="77777777" w:rsidR="00171AA8" w:rsidRPr="00731FE2" w:rsidRDefault="007935AB" w:rsidP="00F3587A">
            <w:pPr>
              <w:pBdr>
                <w:top w:val="none" w:sz="4" w:space="0" w:color="000000"/>
                <w:left w:val="none" w:sz="4" w:space="0" w:color="000000"/>
                <w:bottom w:val="none" w:sz="4" w:space="0" w:color="000000"/>
                <w:right w:val="none" w:sz="4" w:space="0" w:color="000000"/>
              </w:pBdr>
              <w:ind w:left="113" w:right="113" w:firstLine="0"/>
              <w:rPr>
                <w:rStyle w:val="af6"/>
                <w:rFonts w:ascii="Times New Roman" w:hAnsi="Times New Roman" w:cs="Times New Roman"/>
                <w:b/>
                <w:bCs/>
                <w:color w:val="auto"/>
                <w:sz w:val="16"/>
                <w:szCs w:val="16"/>
                <w:u w:val="none"/>
              </w:rPr>
            </w:pPr>
            <w:r w:rsidRPr="00731FE2">
              <w:rPr>
                <w:rStyle w:val="af6"/>
                <w:rFonts w:ascii="Times New Roman" w:hAnsi="Times New Roman" w:cs="Times New Roman"/>
                <w:b/>
                <w:bCs/>
                <w:color w:val="auto"/>
                <w:sz w:val="16"/>
                <w:szCs w:val="16"/>
                <w:u w:val="none"/>
              </w:rPr>
              <w:t>СО2 раств., г/дм3</w:t>
            </w:r>
          </w:p>
        </w:tc>
      </w:tr>
      <w:tr w:rsidR="00171AA8" w:rsidRPr="00731FE2" w14:paraId="4017DC5A" w14:textId="77777777">
        <w:trPr>
          <w:trHeight w:val="285"/>
        </w:trPr>
        <w:tc>
          <w:tcPr>
            <w:tcW w:w="7970" w:type="dxa"/>
            <w:gridSpan w:val="20"/>
            <w:tcBorders>
              <w:top w:val="single" w:sz="4" w:space="0" w:color="000000"/>
              <w:left w:val="single" w:sz="4" w:space="0" w:color="000000"/>
              <w:bottom w:val="single" w:sz="4" w:space="0" w:color="000000"/>
              <w:right w:val="single" w:sz="4" w:space="0" w:color="000000"/>
            </w:tcBorders>
            <w:shd w:val="clear" w:color="FFFFFF" w:fill="FFFFFF"/>
            <w:tcMar>
              <w:top w:w="0" w:type="dxa"/>
              <w:left w:w="108" w:type="dxa"/>
              <w:bottom w:w="0" w:type="dxa"/>
              <w:right w:w="108" w:type="dxa"/>
            </w:tcMar>
            <w:vAlign w:val="center"/>
          </w:tcPr>
          <w:p w14:paraId="3C2705D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b/>
                <w:bCs/>
                <w:color w:val="auto"/>
                <w:sz w:val="16"/>
                <w:szCs w:val="16"/>
                <w:u w:val="none"/>
              </w:rPr>
            </w:pPr>
            <w:r w:rsidRPr="00731FE2">
              <w:rPr>
                <w:rStyle w:val="af6"/>
                <w:rFonts w:ascii="Times New Roman" w:hAnsi="Times New Roman" w:cs="Times New Roman"/>
                <w:b/>
                <w:bCs/>
                <w:color w:val="auto"/>
                <w:sz w:val="16"/>
                <w:szCs w:val="16"/>
                <w:u w:val="none"/>
              </w:rPr>
              <w:t>Центральный участок (территория город-курорт Кисловодск)</w:t>
            </w:r>
          </w:p>
        </w:tc>
      </w:tr>
      <w:tr w:rsidR="00171AA8" w:rsidRPr="00731FE2" w14:paraId="1159FAC2" w14:textId="77777777">
        <w:trPr>
          <w:trHeight w:val="1134"/>
        </w:trPr>
        <w:tc>
          <w:tcPr>
            <w:tcW w:w="171" w:type="dxa"/>
            <w:tcBorders>
              <w:top w:val="single" w:sz="4" w:space="0" w:color="000000"/>
              <w:left w:val="single" w:sz="4" w:space="0" w:color="000000"/>
              <w:bottom w:val="single" w:sz="4" w:space="0" w:color="000000"/>
              <w:right w:val="single" w:sz="4" w:space="0" w:color="000000"/>
            </w:tcBorders>
            <w:shd w:val="clear" w:color="FFFFFF" w:fill="FFFFFF"/>
            <w:tcMar>
              <w:top w:w="0" w:type="dxa"/>
              <w:left w:w="108" w:type="dxa"/>
              <w:bottom w:w="0" w:type="dxa"/>
              <w:right w:w="108" w:type="dxa"/>
            </w:tcMar>
            <w:vAlign w:val="center"/>
          </w:tcPr>
          <w:p w14:paraId="6E6D3AF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1</w:t>
            </w:r>
          </w:p>
        </w:tc>
        <w:tc>
          <w:tcPr>
            <w:tcW w:w="351" w:type="dxa"/>
            <w:tcBorders>
              <w:top w:val="single" w:sz="4" w:space="0" w:color="000000"/>
              <w:left w:val="single" w:sz="4" w:space="0" w:color="000000"/>
              <w:bottom w:val="single" w:sz="4" w:space="0" w:color="000000"/>
              <w:right w:val="single" w:sz="4" w:space="0" w:color="000000"/>
            </w:tcBorders>
            <w:shd w:val="clear" w:color="FFFFFF" w:fill="FFFFFF"/>
            <w:tcMar>
              <w:top w:w="0" w:type="dxa"/>
              <w:left w:w="108" w:type="dxa"/>
              <w:bottom w:w="0" w:type="dxa"/>
              <w:right w:w="108" w:type="dxa"/>
            </w:tcMar>
            <w:vAlign w:val="center"/>
          </w:tcPr>
          <w:p w14:paraId="6F7C008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Нарзан</w:t>
            </w:r>
          </w:p>
        </w:tc>
        <w:tc>
          <w:tcPr>
            <w:tcW w:w="5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32C289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Курортный бульвар, 4,Нарзанная галерея, южная часть здания</w:t>
            </w:r>
          </w:p>
        </w:tc>
        <w:tc>
          <w:tcPr>
            <w:tcW w:w="412" w:type="dxa"/>
            <w:tcBorders>
              <w:top w:val="single" w:sz="4" w:space="0" w:color="000000"/>
              <w:left w:val="single" w:sz="4" w:space="0" w:color="000000"/>
              <w:bottom w:val="single" w:sz="4" w:space="0" w:color="000000"/>
              <w:right w:val="single" w:sz="4" w:space="0" w:color="000000"/>
            </w:tcBorders>
            <w:shd w:val="clear" w:color="FFFFFF" w:fill="FFFFFF"/>
            <w:tcMar>
              <w:top w:w="0" w:type="dxa"/>
              <w:left w:w="108" w:type="dxa"/>
              <w:bottom w:w="0" w:type="dxa"/>
              <w:right w:w="108" w:type="dxa"/>
            </w:tcMar>
            <w:vAlign w:val="center"/>
          </w:tcPr>
          <w:p w14:paraId="501CCBB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K1v2</w:t>
            </w:r>
          </w:p>
        </w:tc>
        <w:tc>
          <w:tcPr>
            <w:tcW w:w="484"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BC1110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эксплуатационный</w:t>
            </w:r>
          </w:p>
        </w:tc>
        <w:tc>
          <w:tcPr>
            <w:tcW w:w="476"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8B7956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эксплуатируется</w:t>
            </w:r>
          </w:p>
        </w:tc>
        <w:tc>
          <w:tcPr>
            <w:tcW w:w="4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5EAA80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самоизлив</w:t>
            </w:r>
          </w:p>
        </w:tc>
        <w:tc>
          <w:tcPr>
            <w:tcW w:w="476" w:type="dxa"/>
            <w:tcBorders>
              <w:top w:val="single" w:sz="4" w:space="0" w:color="000000"/>
              <w:left w:val="single" w:sz="4" w:space="0" w:color="000000"/>
              <w:bottom w:val="single" w:sz="4" w:space="0" w:color="000000"/>
              <w:right w:val="single" w:sz="4" w:space="0" w:color="000000"/>
            </w:tcBorders>
            <w:shd w:val="clear" w:color="FFFFFF" w:fill="FFFFFF"/>
            <w:tcMar>
              <w:top w:w="0" w:type="dxa"/>
              <w:left w:w="108" w:type="dxa"/>
              <w:bottom w:w="0" w:type="dxa"/>
              <w:right w:w="108" w:type="dxa"/>
            </w:tcMar>
            <w:vAlign w:val="center"/>
          </w:tcPr>
          <w:p w14:paraId="463D86D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Бальнео лечение</w:t>
            </w:r>
          </w:p>
        </w:tc>
        <w:tc>
          <w:tcPr>
            <w:tcW w:w="325"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416B903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8316687,29</w:t>
            </w:r>
          </w:p>
        </w:tc>
        <w:tc>
          <w:tcPr>
            <w:tcW w:w="333"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5689910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4865294,27</w:t>
            </w:r>
          </w:p>
        </w:tc>
        <w:tc>
          <w:tcPr>
            <w:tcW w:w="378" w:type="dxa"/>
            <w:tcBorders>
              <w:top w:val="single" w:sz="4" w:space="0" w:color="000000"/>
              <w:left w:val="single" w:sz="4" w:space="0" w:color="000000"/>
              <w:bottom w:val="single" w:sz="4" w:space="0" w:color="000000"/>
              <w:right w:val="single" w:sz="4" w:space="0" w:color="000000"/>
            </w:tcBorders>
            <w:shd w:val="clear" w:color="FFFFFF" w:fill="FFFFFF"/>
            <w:tcMar>
              <w:top w:w="0" w:type="dxa"/>
              <w:left w:w="108" w:type="dxa"/>
              <w:bottom w:w="0" w:type="dxa"/>
              <w:right w:w="108" w:type="dxa"/>
            </w:tcMar>
            <w:vAlign w:val="center"/>
          </w:tcPr>
          <w:p w14:paraId="768ED3E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42</w:t>
            </w:r>
          </w:p>
        </w:tc>
        <w:tc>
          <w:tcPr>
            <w:tcW w:w="276" w:type="dxa"/>
            <w:tcBorders>
              <w:top w:val="single" w:sz="4" w:space="0" w:color="000000"/>
              <w:left w:val="single" w:sz="4" w:space="0" w:color="000000"/>
              <w:bottom w:val="single" w:sz="4" w:space="0" w:color="000000"/>
              <w:right w:val="single" w:sz="4" w:space="0" w:color="000000"/>
            </w:tcBorders>
            <w:shd w:val="clear" w:color="FFFFFF" w:fill="FFFFFF"/>
            <w:tcMar>
              <w:top w:w="0" w:type="dxa"/>
              <w:left w:w="108" w:type="dxa"/>
              <w:bottom w:w="0" w:type="dxa"/>
              <w:right w:w="108" w:type="dxa"/>
            </w:tcMar>
            <w:vAlign w:val="center"/>
          </w:tcPr>
          <w:p w14:paraId="6064FF0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56</w:t>
            </w:r>
          </w:p>
        </w:tc>
        <w:tc>
          <w:tcPr>
            <w:tcW w:w="377" w:type="dxa"/>
            <w:tcBorders>
              <w:top w:val="single" w:sz="4" w:space="0" w:color="000000"/>
              <w:left w:val="single" w:sz="4" w:space="0" w:color="000000"/>
              <w:bottom w:val="single" w:sz="4" w:space="0" w:color="000000"/>
              <w:right w:val="single" w:sz="4" w:space="0" w:color="000000"/>
            </w:tcBorders>
            <w:shd w:val="clear" w:color="FFFFFF" w:fill="FFFFFF"/>
            <w:tcMar>
              <w:top w:w="0" w:type="dxa"/>
              <w:left w:w="108" w:type="dxa"/>
              <w:bottom w:w="0" w:type="dxa"/>
              <w:right w:w="108" w:type="dxa"/>
            </w:tcMar>
            <w:vAlign w:val="center"/>
          </w:tcPr>
          <w:p w14:paraId="1D98271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56</w:t>
            </w:r>
          </w:p>
        </w:tc>
        <w:tc>
          <w:tcPr>
            <w:tcW w:w="438" w:type="dxa"/>
            <w:vMerge w:val="restart"/>
            <w:tcBorders>
              <w:top w:val="single" w:sz="4" w:space="0" w:color="000000"/>
              <w:left w:val="single" w:sz="4" w:space="0" w:color="000000"/>
              <w:bottom w:val="single" w:sz="4" w:space="0" w:color="000000"/>
              <w:right w:val="single" w:sz="4" w:space="0" w:color="000000"/>
            </w:tcBorders>
            <w:shd w:val="clear" w:color="FFFFFF" w:fill="FFFFFF"/>
            <w:tcMar>
              <w:top w:w="0" w:type="dxa"/>
              <w:left w:w="108" w:type="dxa"/>
              <w:bottom w:w="0" w:type="dxa"/>
              <w:right w:w="108" w:type="dxa"/>
            </w:tcMar>
            <w:vAlign w:val="center"/>
          </w:tcPr>
          <w:p w14:paraId="711FEFF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1470</w:t>
            </w:r>
          </w:p>
        </w:tc>
        <w:tc>
          <w:tcPr>
            <w:tcW w:w="438" w:type="dxa"/>
            <w:tcBorders>
              <w:top w:val="single" w:sz="4" w:space="0" w:color="000000"/>
              <w:left w:val="single" w:sz="4" w:space="0" w:color="000000"/>
              <w:bottom w:val="single" w:sz="4" w:space="0" w:color="000000"/>
              <w:right w:val="single" w:sz="4" w:space="0" w:color="000000"/>
            </w:tcBorders>
            <w:shd w:val="clear" w:color="FFFFFF" w:fill="FFFFFF"/>
            <w:tcMar>
              <w:top w:w="0" w:type="dxa"/>
              <w:left w:w="108" w:type="dxa"/>
              <w:bottom w:w="0" w:type="dxa"/>
              <w:right w:w="108" w:type="dxa"/>
            </w:tcMar>
            <w:vAlign w:val="center"/>
          </w:tcPr>
          <w:p w14:paraId="7145144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402,61</w:t>
            </w:r>
          </w:p>
        </w:tc>
        <w:tc>
          <w:tcPr>
            <w:tcW w:w="356" w:type="dxa"/>
            <w:tcBorders>
              <w:top w:val="single" w:sz="4" w:space="0" w:color="000000"/>
              <w:left w:val="single" w:sz="4" w:space="0" w:color="000000"/>
              <w:bottom w:val="single" w:sz="4" w:space="0" w:color="000000"/>
              <w:right w:val="single" w:sz="4" w:space="0" w:color="000000"/>
            </w:tcBorders>
            <w:shd w:val="clear" w:color="FFFFFF" w:fill="FFFFFF"/>
            <w:tcMar>
              <w:top w:w="0" w:type="dxa"/>
              <w:left w:w="108" w:type="dxa"/>
              <w:bottom w:w="0" w:type="dxa"/>
              <w:right w:w="108" w:type="dxa"/>
            </w:tcMar>
            <w:vAlign w:val="center"/>
          </w:tcPr>
          <w:p w14:paraId="0227709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326"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E16018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углекислый</w:t>
            </w:r>
          </w:p>
        </w:tc>
        <w:tc>
          <w:tcPr>
            <w:tcW w:w="576" w:type="dxa"/>
            <w:vMerge w:val="restart"/>
            <w:tcBorders>
              <w:top w:val="single" w:sz="4" w:space="0" w:color="000000"/>
              <w:left w:val="single" w:sz="4" w:space="0" w:color="000000"/>
              <w:bottom w:val="single" w:sz="4" w:space="0" w:color="000000"/>
              <w:right w:val="single" w:sz="4" w:space="0" w:color="000000"/>
            </w:tcBorders>
            <w:shd w:val="clear" w:color="FFFFFF" w:fill="FFFFFF"/>
            <w:tcMar>
              <w:top w:w="0" w:type="dxa"/>
              <w:left w:w="108" w:type="dxa"/>
              <w:bottom w:w="0" w:type="dxa"/>
              <w:right w:w="108" w:type="dxa"/>
            </w:tcMar>
            <w:vAlign w:val="center"/>
          </w:tcPr>
          <w:p w14:paraId="6D45813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Слабоуглекислая и углекислая средней концентрации слабоминерализованная сульфатно-гидрокарбонатная магниево-кальциевая</w:t>
            </w:r>
          </w:p>
        </w:tc>
        <w:tc>
          <w:tcPr>
            <w:tcW w:w="500" w:type="dxa"/>
            <w:tcBorders>
              <w:top w:val="single" w:sz="4" w:space="0" w:color="000000"/>
              <w:left w:val="single" w:sz="4" w:space="0" w:color="000000"/>
              <w:bottom w:val="single" w:sz="4" w:space="0" w:color="000000"/>
              <w:right w:val="single" w:sz="4" w:space="0" w:color="000000"/>
            </w:tcBorders>
            <w:shd w:val="clear" w:color="FFFFFF" w:fill="FFFFFF"/>
            <w:tcMar>
              <w:top w:w="0" w:type="dxa"/>
              <w:left w:w="108" w:type="dxa"/>
              <w:bottom w:w="0" w:type="dxa"/>
              <w:right w:w="108" w:type="dxa"/>
            </w:tcMar>
            <w:vAlign w:val="center"/>
          </w:tcPr>
          <w:p w14:paraId="1E7C194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1,6-1,8</w:t>
            </w:r>
          </w:p>
        </w:tc>
        <w:tc>
          <w:tcPr>
            <w:tcW w:w="272" w:type="dxa"/>
            <w:tcBorders>
              <w:top w:val="single" w:sz="4" w:space="0" w:color="000000"/>
              <w:left w:val="single" w:sz="4" w:space="0" w:color="000000"/>
              <w:bottom w:val="single" w:sz="4" w:space="0" w:color="000000"/>
              <w:right w:val="single" w:sz="4" w:space="0" w:color="000000"/>
            </w:tcBorders>
            <w:shd w:val="clear" w:color="FFFFFF" w:fill="FFFFFF"/>
            <w:tcMar>
              <w:top w:w="0" w:type="dxa"/>
              <w:left w:w="108" w:type="dxa"/>
              <w:bottom w:w="0" w:type="dxa"/>
              <w:right w:w="108" w:type="dxa"/>
            </w:tcMar>
            <w:vAlign w:val="center"/>
          </w:tcPr>
          <w:p w14:paraId="19E2155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6"/>
                <w:szCs w:val="16"/>
              </w:rPr>
            </w:pPr>
            <w:r w:rsidRPr="00731FE2">
              <w:rPr>
                <w:rFonts w:ascii="Times New Roman" w:eastAsia="Arial Narrow" w:hAnsi="Times New Roman" w:cs="Times New Roman"/>
                <w:color w:val="000000"/>
                <w:sz w:val="16"/>
                <w:szCs w:val="16"/>
              </w:rPr>
              <w:t>1,0-1,2</w:t>
            </w:r>
          </w:p>
        </w:tc>
      </w:tr>
      <w:tr w:rsidR="00171AA8" w:rsidRPr="00731FE2" w14:paraId="53903FF4" w14:textId="77777777">
        <w:trPr>
          <w:trHeight w:val="768"/>
        </w:trPr>
        <w:tc>
          <w:tcPr>
            <w:tcW w:w="171"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43F5AEE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2</w:t>
            </w:r>
          </w:p>
        </w:tc>
        <w:tc>
          <w:tcPr>
            <w:tcW w:w="3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342D5B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5/0-бис</w:t>
            </w:r>
          </w:p>
        </w:tc>
        <w:tc>
          <w:tcPr>
            <w:tcW w:w="5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60E91F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Курортный бульвар, 9-а возле бювета "Круглый"</w:t>
            </w:r>
          </w:p>
        </w:tc>
        <w:tc>
          <w:tcPr>
            <w:tcW w:w="412" w:type="dxa"/>
            <w:tcBorders>
              <w:top w:val="single" w:sz="4" w:space="0" w:color="000000"/>
              <w:left w:val="single" w:sz="4" w:space="0" w:color="000000"/>
              <w:bottom w:val="single" w:sz="4" w:space="0" w:color="000000"/>
              <w:right w:val="single" w:sz="4" w:space="0" w:color="000000"/>
            </w:tcBorders>
            <w:shd w:val="clear" w:color="FFFFFF" w:fill="FFFFFF"/>
            <w:tcMar>
              <w:top w:w="0" w:type="dxa"/>
              <w:left w:w="108" w:type="dxa"/>
              <w:bottom w:w="0" w:type="dxa"/>
              <w:right w:w="108" w:type="dxa"/>
            </w:tcMar>
            <w:vAlign w:val="center"/>
          </w:tcPr>
          <w:p w14:paraId="2803B16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K1v2</w:t>
            </w:r>
          </w:p>
        </w:tc>
        <w:tc>
          <w:tcPr>
            <w:tcW w:w="0" w:type="auto"/>
            <w:vMerge/>
            <w:tcBorders>
              <w:top w:val="single" w:sz="4" w:space="0" w:color="000000"/>
              <w:left w:val="single" w:sz="4" w:space="0" w:color="000000"/>
              <w:bottom w:val="single" w:sz="4" w:space="0" w:color="000000"/>
              <w:right w:val="single" w:sz="4" w:space="0" w:color="000000"/>
            </w:tcBorders>
          </w:tcPr>
          <w:p w14:paraId="30B9F7F7" w14:textId="77777777" w:rsidR="00171AA8" w:rsidRPr="00731FE2" w:rsidRDefault="00171AA8">
            <w:pPr>
              <w:rPr>
                <w:rFonts w:ascii="Times New Roman" w:hAnsi="Times New Roman" w:cs="Times New Roman"/>
                <w:sz w:val="16"/>
                <w:szCs w:val="16"/>
              </w:rPr>
            </w:pPr>
          </w:p>
        </w:tc>
        <w:tc>
          <w:tcPr>
            <w:tcW w:w="0" w:type="auto"/>
            <w:vMerge/>
            <w:tcBorders>
              <w:top w:val="single" w:sz="4" w:space="0" w:color="000000"/>
              <w:left w:val="single" w:sz="4" w:space="0" w:color="000000"/>
              <w:bottom w:val="single" w:sz="4" w:space="0" w:color="000000"/>
              <w:right w:val="single" w:sz="4" w:space="0" w:color="000000"/>
            </w:tcBorders>
          </w:tcPr>
          <w:p w14:paraId="696A8B01" w14:textId="77777777" w:rsidR="00171AA8" w:rsidRPr="00731FE2" w:rsidRDefault="00171AA8">
            <w:pPr>
              <w:rPr>
                <w:rFonts w:ascii="Times New Roman" w:hAnsi="Times New Roman" w:cs="Times New Roman"/>
                <w:sz w:val="16"/>
                <w:szCs w:val="16"/>
              </w:rPr>
            </w:pPr>
          </w:p>
        </w:tc>
        <w:tc>
          <w:tcPr>
            <w:tcW w:w="484"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763A21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прерывистый крановый</w:t>
            </w:r>
          </w:p>
        </w:tc>
        <w:tc>
          <w:tcPr>
            <w:tcW w:w="4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44F434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Бальнео лечение, розлив</w:t>
            </w:r>
          </w:p>
        </w:tc>
        <w:tc>
          <w:tcPr>
            <w:tcW w:w="325"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6FD591C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8316739,56</w:t>
            </w:r>
          </w:p>
        </w:tc>
        <w:tc>
          <w:tcPr>
            <w:tcW w:w="333"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6F45561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4865698,70</w:t>
            </w:r>
          </w:p>
        </w:tc>
        <w:tc>
          <w:tcPr>
            <w:tcW w:w="378"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2051E4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342</w:t>
            </w:r>
          </w:p>
        </w:tc>
        <w:tc>
          <w:tcPr>
            <w:tcW w:w="276"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966725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94</w:t>
            </w:r>
          </w:p>
        </w:tc>
        <w:tc>
          <w:tcPr>
            <w:tcW w:w="377"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A3E2FF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94</w:t>
            </w:r>
          </w:p>
        </w:tc>
        <w:tc>
          <w:tcPr>
            <w:tcW w:w="0" w:type="auto"/>
            <w:vMerge/>
            <w:tcBorders>
              <w:top w:val="single" w:sz="4" w:space="0" w:color="000000"/>
              <w:left w:val="single" w:sz="4" w:space="0" w:color="000000"/>
              <w:bottom w:val="single" w:sz="4" w:space="0" w:color="000000"/>
              <w:right w:val="single" w:sz="4" w:space="0" w:color="000000"/>
            </w:tcBorders>
          </w:tcPr>
          <w:p w14:paraId="1EC27923" w14:textId="77777777" w:rsidR="00171AA8" w:rsidRPr="00731FE2" w:rsidRDefault="00171AA8">
            <w:pPr>
              <w:rPr>
                <w:rFonts w:ascii="Times New Roman" w:hAnsi="Times New Roman" w:cs="Times New Roman"/>
                <w:sz w:val="16"/>
                <w:szCs w:val="16"/>
              </w:rPr>
            </w:pPr>
          </w:p>
        </w:tc>
        <w:tc>
          <w:tcPr>
            <w:tcW w:w="43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25ADF0D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60,48</w:t>
            </w:r>
          </w:p>
        </w:tc>
        <w:tc>
          <w:tcPr>
            <w:tcW w:w="3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CFDE3C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Нарзан</w:t>
            </w:r>
          </w:p>
        </w:tc>
        <w:tc>
          <w:tcPr>
            <w:tcW w:w="0" w:type="auto"/>
            <w:vMerge/>
            <w:tcBorders>
              <w:top w:val="single" w:sz="4" w:space="0" w:color="000000"/>
              <w:left w:val="single" w:sz="4" w:space="0" w:color="000000"/>
              <w:bottom w:val="single" w:sz="4" w:space="0" w:color="000000"/>
              <w:right w:val="single" w:sz="4" w:space="0" w:color="000000"/>
            </w:tcBorders>
          </w:tcPr>
          <w:p w14:paraId="53189B3E" w14:textId="77777777" w:rsidR="00171AA8" w:rsidRPr="00731FE2" w:rsidRDefault="00171AA8">
            <w:pPr>
              <w:rPr>
                <w:rFonts w:ascii="Times New Roman" w:hAnsi="Times New Roman" w:cs="Times New Roman"/>
                <w:sz w:val="16"/>
                <w:szCs w:val="16"/>
              </w:rPr>
            </w:pPr>
          </w:p>
        </w:tc>
        <w:tc>
          <w:tcPr>
            <w:tcW w:w="0" w:type="auto"/>
            <w:vMerge/>
            <w:tcBorders>
              <w:top w:val="single" w:sz="4" w:space="0" w:color="000000"/>
              <w:left w:val="single" w:sz="4" w:space="0" w:color="000000"/>
              <w:bottom w:val="single" w:sz="4" w:space="0" w:color="000000"/>
              <w:right w:val="single" w:sz="4" w:space="0" w:color="000000"/>
            </w:tcBorders>
          </w:tcPr>
          <w:p w14:paraId="720871B6" w14:textId="77777777" w:rsidR="00171AA8" w:rsidRPr="00731FE2" w:rsidRDefault="00171AA8">
            <w:pPr>
              <w:rPr>
                <w:rFonts w:ascii="Times New Roman" w:hAnsi="Times New Roman" w:cs="Times New Roman"/>
                <w:sz w:val="16"/>
                <w:szCs w:val="16"/>
              </w:rPr>
            </w:pPr>
          </w:p>
        </w:tc>
        <w:tc>
          <w:tcPr>
            <w:tcW w:w="500"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48FF4B4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1,1-1,4</w:t>
            </w:r>
          </w:p>
        </w:tc>
        <w:tc>
          <w:tcPr>
            <w:tcW w:w="272"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04F8B04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6"/>
                <w:szCs w:val="16"/>
              </w:rPr>
            </w:pPr>
            <w:r w:rsidRPr="00731FE2">
              <w:rPr>
                <w:rFonts w:ascii="Times New Roman" w:eastAsia="Arial Narrow" w:hAnsi="Times New Roman" w:cs="Times New Roman"/>
                <w:color w:val="000000"/>
                <w:sz w:val="16"/>
                <w:szCs w:val="16"/>
              </w:rPr>
              <w:t>0,3-0,6</w:t>
            </w:r>
          </w:p>
        </w:tc>
      </w:tr>
      <w:tr w:rsidR="00171AA8" w:rsidRPr="00731FE2" w14:paraId="68A7004F" w14:textId="77777777">
        <w:trPr>
          <w:trHeight w:val="285"/>
        </w:trPr>
        <w:tc>
          <w:tcPr>
            <w:tcW w:w="171" w:type="dxa"/>
            <w:tcBorders>
              <w:top w:val="single" w:sz="4" w:space="0" w:color="000000"/>
              <w:left w:val="single" w:sz="4" w:space="0" w:color="000000"/>
              <w:bottom w:val="single" w:sz="4" w:space="0" w:color="000000"/>
              <w:right w:val="single" w:sz="4" w:space="0" w:color="000000"/>
            </w:tcBorders>
            <w:shd w:val="clear" w:color="FFFFFF" w:fill="FFFFFF"/>
            <w:tcMar>
              <w:top w:w="0" w:type="dxa"/>
              <w:left w:w="108" w:type="dxa"/>
              <w:bottom w:w="0" w:type="dxa"/>
              <w:right w:w="108" w:type="dxa"/>
            </w:tcMar>
            <w:vAlign w:val="center"/>
          </w:tcPr>
          <w:p w14:paraId="5FF2668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3</w:t>
            </w:r>
          </w:p>
        </w:tc>
        <w:tc>
          <w:tcPr>
            <w:tcW w:w="3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1534E2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5/0</w:t>
            </w:r>
          </w:p>
        </w:tc>
        <w:tc>
          <w:tcPr>
            <w:tcW w:w="5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3EA58E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Курортный бульвар, 9-а возле бювета "Круглый"</w:t>
            </w:r>
          </w:p>
        </w:tc>
        <w:tc>
          <w:tcPr>
            <w:tcW w:w="412" w:type="dxa"/>
            <w:tcBorders>
              <w:top w:val="single" w:sz="4" w:space="0" w:color="000000"/>
              <w:left w:val="single" w:sz="4" w:space="0" w:color="000000"/>
              <w:bottom w:val="single" w:sz="4" w:space="0" w:color="000000"/>
              <w:right w:val="single" w:sz="4" w:space="0" w:color="000000"/>
            </w:tcBorders>
            <w:shd w:val="clear" w:color="FFFFFF" w:fill="FFFFFF"/>
            <w:tcMar>
              <w:top w:w="0" w:type="dxa"/>
              <w:left w:w="108" w:type="dxa"/>
              <w:bottom w:w="0" w:type="dxa"/>
              <w:right w:w="108" w:type="dxa"/>
            </w:tcMar>
            <w:vAlign w:val="center"/>
          </w:tcPr>
          <w:p w14:paraId="70627AC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K1v1</w:t>
            </w:r>
          </w:p>
        </w:tc>
        <w:tc>
          <w:tcPr>
            <w:tcW w:w="0" w:type="auto"/>
            <w:vMerge/>
            <w:tcBorders>
              <w:top w:val="single" w:sz="4" w:space="0" w:color="000000"/>
              <w:left w:val="single" w:sz="4" w:space="0" w:color="000000"/>
              <w:bottom w:val="single" w:sz="4" w:space="0" w:color="000000"/>
              <w:right w:val="single" w:sz="4" w:space="0" w:color="000000"/>
            </w:tcBorders>
          </w:tcPr>
          <w:p w14:paraId="0D0DEA3C" w14:textId="77777777" w:rsidR="00171AA8" w:rsidRPr="00731FE2" w:rsidRDefault="00171AA8">
            <w:pPr>
              <w:rPr>
                <w:rFonts w:ascii="Times New Roman" w:hAnsi="Times New Roman" w:cs="Times New Roman"/>
                <w:sz w:val="16"/>
                <w:szCs w:val="16"/>
              </w:rPr>
            </w:pPr>
          </w:p>
        </w:tc>
        <w:tc>
          <w:tcPr>
            <w:tcW w:w="0" w:type="auto"/>
            <w:vMerge/>
            <w:tcBorders>
              <w:top w:val="single" w:sz="4" w:space="0" w:color="000000"/>
              <w:left w:val="single" w:sz="4" w:space="0" w:color="000000"/>
              <w:bottom w:val="single" w:sz="4" w:space="0" w:color="000000"/>
              <w:right w:val="single" w:sz="4" w:space="0" w:color="000000"/>
            </w:tcBorders>
          </w:tcPr>
          <w:p w14:paraId="69DFB8AA" w14:textId="77777777" w:rsidR="00171AA8" w:rsidRPr="00731FE2" w:rsidRDefault="00171AA8">
            <w:pPr>
              <w:rPr>
                <w:rFonts w:ascii="Times New Roman" w:hAnsi="Times New Roman" w:cs="Times New Roman"/>
                <w:sz w:val="16"/>
                <w:szCs w:val="16"/>
              </w:rPr>
            </w:pPr>
          </w:p>
        </w:tc>
        <w:tc>
          <w:tcPr>
            <w:tcW w:w="0" w:type="auto"/>
            <w:vMerge/>
            <w:tcBorders>
              <w:top w:val="single" w:sz="4" w:space="0" w:color="000000"/>
              <w:left w:val="single" w:sz="4" w:space="0" w:color="000000"/>
              <w:bottom w:val="single" w:sz="4" w:space="0" w:color="000000"/>
              <w:right w:val="single" w:sz="4" w:space="0" w:color="000000"/>
            </w:tcBorders>
          </w:tcPr>
          <w:p w14:paraId="46BC4CCA" w14:textId="77777777" w:rsidR="00171AA8" w:rsidRPr="00731FE2" w:rsidRDefault="00171AA8">
            <w:pPr>
              <w:rPr>
                <w:rFonts w:ascii="Times New Roman" w:hAnsi="Times New Roman" w:cs="Times New Roman"/>
                <w:sz w:val="16"/>
                <w:szCs w:val="16"/>
              </w:rPr>
            </w:pPr>
          </w:p>
        </w:tc>
        <w:tc>
          <w:tcPr>
            <w:tcW w:w="4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0DAC4F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розлив, питье</w:t>
            </w:r>
          </w:p>
        </w:tc>
        <w:tc>
          <w:tcPr>
            <w:tcW w:w="325"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23C2FA9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8316739,52</w:t>
            </w:r>
          </w:p>
        </w:tc>
        <w:tc>
          <w:tcPr>
            <w:tcW w:w="333"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0A13676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4865697,46</w:t>
            </w:r>
          </w:p>
        </w:tc>
        <w:tc>
          <w:tcPr>
            <w:tcW w:w="0" w:type="auto"/>
            <w:vMerge/>
            <w:tcBorders>
              <w:top w:val="single" w:sz="4" w:space="0" w:color="000000"/>
              <w:left w:val="single" w:sz="4" w:space="0" w:color="000000"/>
              <w:bottom w:val="single" w:sz="4" w:space="0" w:color="000000"/>
              <w:right w:val="single" w:sz="4" w:space="0" w:color="000000"/>
            </w:tcBorders>
          </w:tcPr>
          <w:p w14:paraId="25732613" w14:textId="77777777" w:rsidR="00171AA8" w:rsidRPr="00731FE2" w:rsidRDefault="00171AA8">
            <w:pPr>
              <w:rPr>
                <w:rFonts w:ascii="Times New Roman" w:hAnsi="Times New Roman" w:cs="Times New Roman"/>
                <w:sz w:val="16"/>
                <w:szCs w:val="16"/>
              </w:rPr>
            </w:pPr>
          </w:p>
        </w:tc>
        <w:tc>
          <w:tcPr>
            <w:tcW w:w="0" w:type="auto"/>
            <w:vMerge/>
            <w:tcBorders>
              <w:top w:val="single" w:sz="4" w:space="0" w:color="000000"/>
              <w:left w:val="single" w:sz="4" w:space="0" w:color="000000"/>
              <w:bottom w:val="single" w:sz="4" w:space="0" w:color="000000"/>
              <w:right w:val="single" w:sz="4" w:space="0" w:color="000000"/>
            </w:tcBorders>
          </w:tcPr>
          <w:p w14:paraId="4D887534" w14:textId="77777777" w:rsidR="00171AA8" w:rsidRPr="00731FE2" w:rsidRDefault="00171AA8">
            <w:pPr>
              <w:rPr>
                <w:rFonts w:ascii="Times New Roman" w:hAnsi="Times New Roman" w:cs="Times New Roman"/>
                <w:sz w:val="16"/>
                <w:szCs w:val="16"/>
              </w:rPr>
            </w:pPr>
          </w:p>
        </w:tc>
        <w:tc>
          <w:tcPr>
            <w:tcW w:w="0" w:type="auto"/>
            <w:vMerge/>
            <w:tcBorders>
              <w:top w:val="single" w:sz="4" w:space="0" w:color="000000"/>
              <w:left w:val="single" w:sz="4" w:space="0" w:color="000000"/>
              <w:bottom w:val="single" w:sz="4" w:space="0" w:color="000000"/>
              <w:right w:val="single" w:sz="4" w:space="0" w:color="000000"/>
            </w:tcBorders>
          </w:tcPr>
          <w:p w14:paraId="07051E9E" w14:textId="77777777" w:rsidR="00171AA8" w:rsidRPr="00731FE2" w:rsidRDefault="00171AA8">
            <w:pPr>
              <w:rPr>
                <w:rFonts w:ascii="Times New Roman" w:hAnsi="Times New Roman" w:cs="Times New Roman"/>
                <w:sz w:val="16"/>
                <w:szCs w:val="16"/>
              </w:rPr>
            </w:pPr>
          </w:p>
        </w:tc>
        <w:tc>
          <w:tcPr>
            <w:tcW w:w="438" w:type="dxa"/>
            <w:vMerge w:val="restart"/>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6A7434E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55</w:t>
            </w:r>
          </w:p>
        </w:tc>
        <w:tc>
          <w:tcPr>
            <w:tcW w:w="43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071DF01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54,15</w:t>
            </w:r>
          </w:p>
        </w:tc>
        <w:tc>
          <w:tcPr>
            <w:tcW w:w="3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2904CF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Нарзан, Доломитный нарзан</w:t>
            </w:r>
          </w:p>
        </w:tc>
        <w:tc>
          <w:tcPr>
            <w:tcW w:w="0" w:type="auto"/>
            <w:vMerge/>
            <w:tcBorders>
              <w:top w:val="single" w:sz="4" w:space="0" w:color="000000"/>
              <w:left w:val="single" w:sz="4" w:space="0" w:color="000000"/>
              <w:bottom w:val="single" w:sz="4" w:space="0" w:color="000000"/>
              <w:right w:val="single" w:sz="4" w:space="0" w:color="000000"/>
            </w:tcBorders>
          </w:tcPr>
          <w:p w14:paraId="14E66D50" w14:textId="77777777" w:rsidR="00171AA8" w:rsidRPr="00731FE2" w:rsidRDefault="00171AA8">
            <w:pPr>
              <w:rPr>
                <w:rFonts w:ascii="Times New Roman" w:hAnsi="Times New Roman" w:cs="Times New Roman"/>
                <w:sz w:val="16"/>
                <w:szCs w:val="16"/>
              </w:rPr>
            </w:pPr>
          </w:p>
        </w:tc>
        <w:tc>
          <w:tcPr>
            <w:tcW w:w="576"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6FC630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Углекислая средней концентрации и сильноуглекислая маломинерализованная сульфатно-гидрокарбонатная магниево-кальциевая</w:t>
            </w:r>
          </w:p>
        </w:tc>
        <w:tc>
          <w:tcPr>
            <w:tcW w:w="500"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7B6F58D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2,8-3,3</w:t>
            </w:r>
          </w:p>
        </w:tc>
        <w:tc>
          <w:tcPr>
            <w:tcW w:w="272"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79AFCF0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6"/>
                <w:szCs w:val="16"/>
              </w:rPr>
            </w:pPr>
            <w:r w:rsidRPr="00731FE2">
              <w:rPr>
                <w:rFonts w:ascii="Times New Roman" w:eastAsia="Arial Narrow" w:hAnsi="Times New Roman" w:cs="Times New Roman"/>
                <w:color w:val="000000"/>
                <w:sz w:val="16"/>
                <w:szCs w:val="16"/>
              </w:rPr>
              <w:t>1,7-2,2</w:t>
            </w:r>
          </w:p>
        </w:tc>
      </w:tr>
      <w:tr w:rsidR="00171AA8" w:rsidRPr="00731FE2" w14:paraId="1E10064A" w14:textId="77777777">
        <w:trPr>
          <w:trHeight w:val="285"/>
        </w:trPr>
        <w:tc>
          <w:tcPr>
            <w:tcW w:w="171"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69C3C7C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4</w:t>
            </w:r>
          </w:p>
        </w:tc>
        <w:tc>
          <w:tcPr>
            <w:tcW w:w="3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6D387B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7</w:t>
            </w:r>
          </w:p>
        </w:tc>
        <w:tc>
          <w:tcPr>
            <w:tcW w:w="5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C0A455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ул. Коминтерна, 3,сквер у Нарзанной галереи</w:t>
            </w:r>
          </w:p>
        </w:tc>
        <w:tc>
          <w:tcPr>
            <w:tcW w:w="412" w:type="dxa"/>
            <w:tcBorders>
              <w:top w:val="single" w:sz="4" w:space="0" w:color="000000"/>
              <w:left w:val="single" w:sz="4" w:space="0" w:color="000000"/>
              <w:bottom w:val="single" w:sz="4" w:space="0" w:color="000000"/>
              <w:right w:val="single" w:sz="4" w:space="0" w:color="000000"/>
            </w:tcBorders>
            <w:shd w:val="clear" w:color="FFFFFF" w:fill="FFFFFF"/>
            <w:tcMar>
              <w:top w:w="0" w:type="dxa"/>
              <w:left w:w="108" w:type="dxa"/>
              <w:bottom w:w="0" w:type="dxa"/>
              <w:right w:w="108" w:type="dxa"/>
            </w:tcMar>
            <w:vAlign w:val="center"/>
          </w:tcPr>
          <w:p w14:paraId="41129D2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K1v1</w:t>
            </w:r>
          </w:p>
        </w:tc>
        <w:tc>
          <w:tcPr>
            <w:tcW w:w="0" w:type="auto"/>
            <w:vMerge/>
            <w:tcBorders>
              <w:top w:val="single" w:sz="4" w:space="0" w:color="000000"/>
              <w:left w:val="single" w:sz="4" w:space="0" w:color="000000"/>
              <w:bottom w:val="single" w:sz="4" w:space="0" w:color="000000"/>
              <w:right w:val="single" w:sz="4" w:space="0" w:color="000000"/>
            </w:tcBorders>
          </w:tcPr>
          <w:p w14:paraId="0223C1C1" w14:textId="77777777" w:rsidR="00171AA8" w:rsidRPr="00731FE2" w:rsidRDefault="00171AA8">
            <w:pPr>
              <w:rPr>
                <w:rFonts w:ascii="Times New Roman" w:hAnsi="Times New Roman" w:cs="Times New Roman"/>
                <w:sz w:val="16"/>
                <w:szCs w:val="16"/>
              </w:rPr>
            </w:pPr>
          </w:p>
        </w:tc>
        <w:tc>
          <w:tcPr>
            <w:tcW w:w="0" w:type="auto"/>
            <w:vMerge/>
            <w:tcBorders>
              <w:top w:val="single" w:sz="4" w:space="0" w:color="000000"/>
              <w:left w:val="single" w:sz="4" w:space="0" w:color="000000"/>
              <w:bottom w:val="single" w:sz="4" w:space="0" w:color="000000"/>
              <w:right w:val="single" w:sz="4" w:space="0" w:color="000000"/>
            </w:tcBorders>
          </w:tcPr>
          <w:p w14:paraId="30CCC1C3" w14:textId="77777777" w:rsidR="00171AA8" w:rsidRPr="00731FE2" w:rsidRDefault="00171AA8">
            <w:pPr>
              <w:rPr>
                <w:rFonts w:ascii="Times New Roman" w:hAnsi="Times New Roman" w:cs="Times New Roman"/>
                <w:sz w:val="16"/>
                <w:szCs w:val="16"/>
              </w:rPr>
            </w:pPr>
          </w:p>
        </w:tc>
        <w:tc>
          <w:tcPr>
            <w:tcW w:w="0" w:type="auto"/>
            <w:vMerge/>
            <w:tcBorders>
              <w:top w:val="single" w:sz="4" w:space="0" w:color="000000"/>
              <w:left w:val="single" w:sz="4" w:space="0" w:color="000000"/>
              <w:bottom w:val="single" w:sz="4" w:space="0" w:color="000000"/>
              <w:right w:val="single" w:sz="4" w:space="0" w:color="000000"/>
            </w:tcBorders>
          </w:tcPr>
          <w:p w14:paraId="3A32159B" w14:textId="77777777" w:rsidR="00171AA8" w:rsidRPr="00731FE2" w:rsidRDefault="00171AA8">
            <w:pPr>
              <w:rPr>
                <w:rFonts w:ascii="Times New Roman" w:hAnsi="Times New Roman" w:cs="Times New Roman"/>
                <w:sz w:val="16"/>
                <w:szCs w:val="16"/>
              </w:rPr>
            </w:pPr>
          </w:p>
        </w:tc>
        <w:tc>
          <w:tcPr>
            <w:tcW w:w="4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E73BBE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питье</w:t>
            </w:r>
          </w:p>
        </w:tc>
        <w:tc>
          <w:tcPr>
            <w:tcW w:w="325"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28FBF8D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8316732,77</w:t>
            </w:r>
          </w:p>
        </w:tc>
        <w:tc>
          <w:tcPr>
            <w:tcW w:w="333"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65860FD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4865364,05</w:t>
            </w:r>
          </w:p>
        </w:tc>
        <w:tc>
          <w:tcPr>
            <w:tcW w:w="37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31BA79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36</w:t>
            </w:r>
          </w:p>
        </w:tc>
        <w:tc>
          <w:tcPr>
            <w:tcW w:w="2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6F933E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36</w:t>
            </w:r>
          </w:p>
        </w:tc>
        <w:tc>
          <w:tcPr>
            <w:tcW w:w="37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14A16C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36</w:t>
            </w:r>
          </w:p>
        </w:tc>
        <w:tc>
          <w:tcPr>
            <w:tcW w:w="0" w:type="auto"/>
            <w:vMerge/>
            <w:tcBorders>
              <w:top w:val="single" w:sz="4" w:space="0" w:color="000000"/>
              <w:left w:val="single" w:sz="4" w:space="0" w:color="000000"/>
              <w:bottom w:val="single" w:sz="4" w:space="0" w:color="000000"/>
              <w:right w:val="single" w:sz="4" w:space="0" w:color="000000"/>
            </w:tcBorders>
          </w:tcPr>
          <w:p w14:paraId="625826DB" w14:textId="77777777" w:rsidR="00171AA8" w:rsidRPr="00731FE2" w:rsidRDefault="00171AA8">
            <w:pPr>
              <w:rPr>
                <w:rFonts w:ascii="Times New Roman" w:hAnsi="Times New Roman" w:cs="Times New Roman"/>
                <w:sz w:val="16"/>
                <w:szCs w:val="16"/>
              </w:rPr>
            </w:pPr>
          </w:p>
        </w:tc>
        <w:tc>
          <w:tcPr>
            <w:tcW w:w="43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6AD78E9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2,69</w:t>
            </w:r>
          </w:p>
        </w:tc>
        <w:tc>
          <w:tcPr>
            <w:tcW w:w="3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A868B2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Доломитный нарзан</w:t>
            </w:r>
          </w:p>
        </w:tc>
        <w:tc>
          <w:tcPr>
            <w:tcW w:w="0" w:type="auto"/>
            <w:vMerge/>
            <w:tcBorders>
              <w:top w:val="single" w:sz="4" w:space="0" w:color="000000"/>
              <w:left w:val="single" w:sz="4" w:space="0" w:color="000000"/>
              <w:bottom w:val="single" w:sz="4" w:space="0" w:color="000000"/>
              <w:right w:val="single" w:sz="4" w:space="0" w:color="000000"/>
            </w:tcBorders>
          </w:tcPr>
          <w:p w14:paraId="46943B18" w14:textId="77777777" w:rsidR="00171AA8" w:rsidRPr="00731FE2" w:rsidRDefault="00171AA8">
            <w:pPr>
              <w:rPr>
                <w:rFonts w:ascii="Times New Roman" w:hAnsi="Times New Roman" w:cs="Times New Roman"/>
                <w:sz w:val="16"/>
                <w:szCs w:val="16"/>
              </w:rPr>
            </w:pPr>
          </w:p>
        </w:tc>
        <w:tc>
          <w:tcPr>
            <w:tcW w:w="0" w:type="auto"/>
            <w:vMerge/>
            <w:tcBorders>
              <w:top w:val="single" w:sz="4" w:space="0" w:color="000000"/>
              <w:left w:val="single" w:sz="4" w:space="0" w:color="000000"/>
              <w:bottom w:val="single" w:sz="4" w:space="0" w:color="000000"/>
              <w:right w:val="single" w:sz="4" w:space="0" w:color="000000"/>
            </w:tcBorders>
          </w:tcPr>
          <w:p w14:paraId="3FABD3D9" w14:textId="77777777" w:rsidR="00171AA8" w:rsidRPr="00731FE2" w:rsidRDefault="00171AA8">
            <w:pPr>
              <w:rPr>
                <w:rFonts w:ascii="Times New Roman" w:hAnsi="Times New Roman" w:cs="Times New Roman"/>
                <w:sz w:val="16"/>
                <w:szCs w:val="16"/>
              </w:rPr>
            </w:pPr>
          </w:p>
        </w:tc>
        <w:tc>
          <w:tcPr>
            <w:tcW w:w="500"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3DEAF44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3,5-3,8</w:t>
            </w:r>
          </w:p>
        </w:tc>
        <w:tc>
          <w:tcPr>
            <w:tcW w:w="272"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79AA872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6"/>
                <w:szCs w:val="16"/>
              </w:rPr>
            </w:pPr>
            <w:r w:rsidRPr="00731FE2">
              <w:rPr>
                <w:rFonts w:ascii="Times New Roman" w:eastAsia="Arial Narrow" w:hAnsi="Times New Roman" w:cs="Times New Roman"/>
                <w:color w:val="000000"/>
                <w:sz w:val="16"/>
                <w:szCs w:val="16"/>
              </w:rPr>
              <w:t>1,6-1,9</w:t>
            </w:r>
          </w:p>
        </w:tc>
      </w:tr>
      <w:tr w:rsidR="00171AA8" w:rsidRPr="00731FE2" w14:paraId="4EB60179" w14:textId="77777777">
        <w:trPr>
          <w:trHeight w:val="285"/>
        </w:trPr>
        <w:tc>
          <w:tcPr>
            <w:tcW w:w="171" w:type="dxa"/>
            <w:tcBorders>
              <w:top w:val="single" w:sz="4" w:space="0" w:color="000000"/>
              <w:left w:val="single" w:sz="4" w:space="0" w:color="000000"/>
              <w:bottom w:val="single" w:sz="4" w:space="0" w:color="000000"/>
              <w:right w:val="single" w:sz="4" w:space="0" w:color="000000"/>
            </w:tcBorders>
            <w:shd w:val="clear" w:color="FFFFFF" w:fill="FFFFFF"/>
            <w:tcMar>
              <w:top w:w="0" w:type="dxa"/>
              <w:left w:w="108" w:type="dxa"/>
              <w:bottom w:w="0" w:type="dxa"/>
              <w:right w:w="108" w:type="dxa"/>
            </w:tcMar>
            <w:vAlign w:val="center"/>
          </w:tcPr>
          <w:p w14:paraId="67CE08F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5</w:t>
            </w:r>
          </w:p>
        </w:tc>
        <w:tc>
          <w:tcPr>
            <w:tcW w:w="3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63BD66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12</w:t>
            </w:r>
          </w:p>
        </w:tc>
        <w:tc>
          <w:tcPr>
            <w:tcW w:w="5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09C4CD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Курортный бульвар, 14,во дворе гостиницы "Гранд-отель"</w:t>
            </w:r>
          </w:p>
        </w:tc>
        <w:tc>
          <w:tcPr>
            <w:tcW w:w="412" w:type="dxa"/>
            <w:tcBorders>
              <w:top w:val="single" w:sz="4" w:space="0" w:color="000000"/>
              <w:left w:val="single" w:sz="4" w:space="0" w:color="000000"/>
              <w:bottom w:val="single" w:sz="4" w:space="0" w:color="000000"/>
              <w:right w:val="single" w:sz="4" w:space="0" w:color="000000"/>
            </w:tcBorders>
            <w:shd w:val="clear" w:color="FFFFFF" w:fill="FFFFFF"/>
            <w:tcMar>
              <w:top w:w="0" w:type="dxa"/>
              <w:left w:w="108" w:type="dxa"/>
              <w:bottom w:w="0" w:type="dxa"/>
              <w:right w:w="108" w:type="dxa"/>
            </w:tcMar>
            <w:vAlign w:val="center"/>
          </w:tcPr>
          <w:p w14:paraId="273C826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K1v1</w:t>
            </w:r>
          </w:p>
        </w:tc>
        <w:tc>
          <w:tcPr>
            <w:tcW w:w="0" w:type="auto"/>
            <w:vMerge/>
            <w:tcBorders>
              <w:top w:val="single" w:sz="4" w:space="0" w:color="000000"/>
              <w:left w:val="single" w:sz="4" w:space="0" w:color="000000"/>
              <w:bottom w:val="single" w:sz="4" w:space="0" w:color="000000"/>
              <w:right w:val="single" w:sz="4" w:space="0" w:color="000000"/>
            </w:tcBorders>
          </w:tcPr>
          <w:p w14:paraId="5763D9B9" w14:textId="77777777" w:rsidR="00171AA8" w:rsidRPr="00731FE2" w:rsidRDefault="00171AA8">
            <w:pPr>
              <w:rPr>
                <w:rFonts w:ascii="Times New Roman" w:hAnsi="Times New Roman" w:cs="Times New Roman"/>
                <w:sz w:val="16"/>
                <w:szCs w:val="16"/>
              </w:rPr>
            </w:pPr>
          </w:p>
        </w:tc>
        <w:tc>
          <w:tcPr>
            <w:tcW w:w="0" w:type="auto"/>
            <w:vMerge/>
            <w:tcBorders>
              <w:top w:val="single" w:sz="4" w:space="0" w:color="000000"/>
              <w:left w:val="single" w:sz="4" w:space="0" w:color="000000"/>
              <w:bottom w:val="single" w:sz="4" w:space="0" w:color="000000"/>
              <w:right w:val="single" w:sz="4" w:space="0" w:color="000000"/>
            </w:tcBorders>
          </w:tcPr>
          <w:p w14:paraId="2CA47768" w14:textId="77777777" w:rsidR="00171AA8" w:rsidRPr="00731FE2" w:rsidRDefault="00171AA8">
            <w:pPr>
              <w:rPr>
                <w:rFonts w:ascii="Times New Roman" w:hAnsi="Times New Roman" w:cs="Times New Roman"/>
                <w:sz w:val="16"/>
                <w:szCs w:val="16"/>
              </w:rPr>
            </w:pPr>
          </w:p>
        </w:tc>
        <w:tc>
          <w:tcPr>
            <w:tcW w:w="0" w:type="auto"/>
            <w:vMerge/>
            <w:tcBorders>
              <w:top w:val="single" w:sz="4" w:space="0" w:color="000000"/>
              <w:left w:val="single" w:sz="4" w:space="0" w:color="000000"/>
              <w:bottom w:val="single" w:sz="4" w:space="0" w:color="000000"/>
              <w:right w:val="single" w:sz="4" w:space="0" w:color="000000"/>
            </w:tcBorders>
          </w:tcPr>
          <w:p w14:paraId="3C85AB85" w14:textId="77777777" w:rsidR="00171AA8" w:rsidRPr="00731FE2" w:rsidRDefault="00171AA8">
            <w:pPr>
              <w:rPr>
                <w:rFonts w:ascii="Times New Roman" w:hAnsi="Times New Roman" w:cs="Times New Roman"/>
                <w:sz w:val="16"/>
                <w:szCs w:val="16"/>
              </w:rPr>
            </w:pPr>
          </w:p>
        </w:tc>
        <w:tc>
          <w:tcPr>
            <w:tcW w:w="4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F11E5E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питье</w:t>
            </w:r>
          </w:p>
        </w:tc>
        <w:tc>
          <w:tcPr>
            <w:tcW w:w="325"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1CACDD6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8316603,63</w:t>
            </w:r>
          </w:p>
        </w:tc>
        <w:tc>
          <w:tcPr>
            <w:tcW w:w="333"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2EB68B3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4865265,69</w:t>
            </w:r>
          </w:p>
        </w:tc>
        <w:tc>
          <w:tcPr>
            <w:tcW w:w="37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C078BC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98</w:t>
            </w:r>
          </w:p>
        </w:tc>
        <w:tc>
          <w:tcPr>
            <w:tcW w:w="2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88B3AF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98</w:t>
            </w:r>
          </w:p>
        </w:tc>
        <w:tc>
          <w:tcPr>
            <w:tcW w:w="37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06233D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98</w:t>
            </w:r>
          </w:p>
        </w:tc>
        <w:tc>
          <w:tcPr>
            <w:tcW w:w="0" w:type="auto"/>
            <w:vMerge/>
            <w:tcBorders>
              <w:top w:val="single" w:sz="4" w:space="0" w:color="000000"/>
              <w:left w:val="single" w:sz="4" w:space="0" w:color="000000"/>
              <w:bottom w:val="single" w:sz="4" w:space="0" w:color="000000"/>
              <w:right w:val="single" w:sz="4" w:space="0" w:color="000000"/>
            </w:tcBorders>
          </w:tcPr>
          <w:p w14:paraId="626B2FE5" w14:textId="77777777" w:rsidR="00171AA8" w:rsidRPr="00731FE2" w:rsidRDefault="00171AA8">
            <w:pPr>
              <w:rPr>
                <w:rFonts w:ascii="Times New Roman" w:hAnsi="Times New Roman" w:cs="Times New Roman"/>
                <w:sz w:val="16"/>
                <w:szCs w:val="16"/>
              </w:rPr>
            </w:pPr>
          </w:p>
        </w:tc>
        <w:tc>
          <w:tcPr>
            <w:tcW w:w="43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451942E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3,48</w:t>
            </w:r>
          </w:p>
        </w:tc>
        <w:tc>
          <w:tcPr>
            <w:tcW w:w="3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528622B" w14:textId="77777777" w:rsidR="00171AA8" w:rsidRPr="00731FE2" w:rsidRDefault="00171AA8">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p>
        </w:tc>
        <w:tc>
          <w:tcPr>
            <w:tcW w:w="0" w:type="auto"/>
            <w:vMerge/>
            <w:tcBorders>
              <w:top w:val="single" w:sz="4" w:space="0" w:color="000000"/>
              <w:left w:val="single" w:sz="4" w:space="0" w:color="000000"/>
              <w:bottom w:val="single" w:sz="4" w:space="0" w:color="000000"/>
              <w:right w:val="single" w:sz="4" w:space="0" w:color="000000"/>
            </w:tcBorders>
          </w:tcPr>
          <w:p w14:paraId="294B0C0D" w14:textId="77777777" w:rsidR="00171AA8" w:rsidRPr="00731FE2" w:rsidRDefault="00171AA8">
            <w:pPr>
              <w:rPr>
                <w:rFonts w:ascii="Times New Roman" w:hAnsi="Times New Roman" w:cs="Times New Roman"/>
                <w:sz w:val="16"/>
                <w:szCs w:val="16"/>
              </w:rPr>
            </w:pPr>
          </w:p>
        </w:tc>
        <w:tc>
          <w:tcPr>
            <w:tcW w:w="0" w:type="auto"/>
            <w:vMerge/>
            <w:tcBorders>
              <w:top w:val="single" w:sz="4" w:space="0" w:color="000000"/>
              <w:left w:val="single" w:sz="4" w:space="0" w:color="000000"/>
              <w:bottom w:val="single" w:sz="4" w:space="0" w:color="000000"/>
              <w:right w:val="single" w:sz="4" w:space="0" w:color="000000"/>
            </w:tcBorders>
          </w:tcPr>
          <w:p w14:paraId="3F1A0F16" w14:textId="77777777" w:rsidR="00171AA8" w:rsidRPr="00731FE2" w:rsidRDefault="00171AA8">
            <w:pPr>
              <w:rPr>
                <w:rFonts w:ascii="Times New Roman" w:hAnsi="Times New Roman" w:cs="Times New Roman"/>
                <w:sz w:val="16"/>
                <w:szCs w:val="16"/>
              </w:rPr>
            </w:pPr>
          </w:p>
        </w:tc>
        <w:tc>
          <w:tcPr>
            <w:tcW w:w="500"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65C199F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2,7-3,5</w:t>
            </w:r>
          </w:p>
        </w:tc>
        <w:tc>
          <w:tcPr>
            <w:tcW w:w="272"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4F3C131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6"/>
                <w:szCs w:val="16"/>
              </w:rPr>
            </w:pPr>
            <w:r w:rsidRPr="00731FE2">
              <w:rPr>
                <w:rFonts w:ascii="Times New Roman" w:eastAsia="Arial Narrow" w:hAnsi="Times New Roman" w:cs="Times New Roman"/>
                <w:color w:val="000000"/>
                <w:sz w:val="16"/>
                <w:szCs w:val="16"/>
              </w:rPr>
              <w:t>1,6-2,0</w:t>
            </w:r>
          </w:p>
        </w:tc>
      </w:tr>
      <w:tr w:rsidR="00171AA8" w:rsidRPr="00731FE2" w14:paraId="23CDE7E8" w14:textId="77777777">
        <w:trPr>
          <w:trHeight w:val="285"/>
        </w:trPr>
        <w:tc>
          <w:tcPr>
            <w:tcW w:w="171"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376352C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6</w:t>
            </w:r>
          </w:p>
        </w:tc>
        <w:tc>
          <w:tcPr>
            <w:tcW w:w="3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86C662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1-ОП</w:t>
            </w:r>
          </w:p>
        </w:tc>
        <w:tc>
          <w:tcPr>
            <w:tcW w:w="5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196C9C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 xml:space="preserve">ул. Курортный бульвар, 9а, в 30м северо-восточнее </w:t>
            </w:r>
            <w:r w:rsidRPr="00731FE2">
              <w:rPr>
                <w:rStyle w:val="af6"/>
                <w:rFonts w:ascii="Times New Roman" w:hAnsi="Times New Roman" w:cs="Times New Roman"/>
                <w:color w:val="auto"/>
                <w:sz w:val="16"/>
                <w:szCs w:val="16"/>
                <w:u w:val="none"/>
              </w:rPr>
              <w:lastRenderedPageBreak/>
              <w:t>скв. 5/0,5/0-бис, возле бювета "Круглый"</w:t>
            </w:r>
          </w:p>
        </w:tc>
        <w:tc>
          <w:tcPr>
            <w:tcW w:w="41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0C8477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lastRenderedPageBreak/>
              <w:t>J3tt</w:t>
            </w:r>
          </w:p>
        </w:tc>
        <w:tc>
          <w:tcPr>
            <w:tcW w:w="0" w:type="auto"/>
            <w:vMerge/>
            <w:tcBorders>
              <w:top w:val="single" w:sz="4" w:space="0" w:color="000000"/>
              <w:left w:val="single" w:sz="4" w:space="0" w:color="000000"/>
              <w:bottom w:val="single" w:sz="4" w:space="0" w:color="000000"/>
              <w:right w:val="single" w:sz="4" w:space="0" w:color="000000"/>
            </w:tcBorders>
          </w:tcPr>
          <w:p w14:paraId="5E6973AB" w14:textId="77777777" w:rsidR="00171AA8" w:rsidRPr="00731FE2" w:rsidRDefault="00171AA8">
            <w:pPr>
              <w:rPr>
                <w:rFonts w:ascii="Times New Roman" w:hAnsi="Times New Roman" w:cs="Times New Roman"/>
                <w:sz w:val="16"/>
                <w:szCs w:val="16"/>
              </w:rPr>
            </w:pPr>
          </w:p>
        </w:tc>
        <w:tc>
          <w:tcPr>
            <w:tcW w:w="0" w:type="auto"/>
            <w:vMerge/>
            <w:tcBorders>
              <w:top w:val="single" w:sz="4" w:space="0" w:color="000000"/>
              <w:left w:val="single" w:sz="4" w:space="0" w:color="000000"/>
              <w:bottom w:val="single" w:sz="4" w:space="0" w:color="000000"/>
              <w:right w:val="single" w:sz="4" w:space="0" w:color="000000"/>
            </w:tcBorders>
          </w:tcPr>
          <w:p w14:paraId="0E875B1D" w14:textId="77777777" w:rsidR="00171AA8" w:rsidRPr="00731FE2" w:rsidRDefault="00171AA8">
            <w:pPr>
              <w:rPr>
                <w:rFonts w:ascii="Times New Roman" w:hAnsi="Times New Roman" w:cs="Times New Roman"/>
                <w:sz w:val="16"/>
                <w:szCs w:val="16"/>
              </w:rPr>
            </w:pPr>
          </w:p>
        </w:tc>
        <w:tc>
          <w:tcPr>
            <w:tcW w:w="0" w:type="auto"/>
            <w:vMerge/>
            <w:tcBorders>
              <w:top w:val="single" w:sz="4" w:space="0" w:color="000000"/>
              <w:left w:val="single" w:sz="4" w:space="0" w:color="000000"/>
              <w:bottom w:val="single" w:sz="4" w:space="0" w:color="000000"/>
              <w:right w:val="single" w:sz="4" w:space="0" w:color="000000"/>
            </w:tcBorders>
          </w:tcPr>
          <w:p w14:paraId="79BF21E7" w14:textId="77777777" w:rsidR="00171AA8" w:rsidRPr="00731FE2" w:rsidRDefault="00171AA8">
            <w:pPr>
              <w:rPr>
                <w:rFonts w:ascii="Times New Roman" w:hAnsi="Times New Roman" w:cs="Times New Roman"/>
                <w:sz w:val="16"/>
                <w:szCs w:val="16"/>
              </w:rPr>
            </w:pPr>
          </w:p>
        </w:tc>
        <w:tc>
          <w:tcPr>
            <w:tcW w:w="4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48487D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питье</w:t>
            </w:r>
          </w:p>
        </w:tc>
        <w:tc>
          <w:tcPr>
            <w:tcW w:w="325"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5B5D075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8316746,08</w:t>
            </w:r>
          </w:p>
        </w:tc>
        <w:tc>
          <w:tcPr>
            <w:tcW w:w="333"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1AEEAD0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4865708,40</w:t>
            </w:r>
          </w:p>
        </w:tc>
        <w:tc>
          <w:tcPr>
            <w:tcW w:w="37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171CAE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135</w:t>
            </w:r>
          </w:p>
        </w:tc>
        <w:tc>
          <w:tcPr>
            <w:tcW w:w="2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580D69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135</w:t>
            </w:r>
          </w:p>
        </w:tc>
        <w:tc>
          <w:tcPr>
            <w:tcW w:w="37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AB4D87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135</w:t>
            </w:r>
          </w:p>
        </w:tc>
        <w:tc>
          <w:tcPr>
            <w:tcW w:w="438" w:type="dxa"/>
            <w:vMerge w:val="restart"/>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56E1FC6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10</w:t>
            </w:r>
          </w:p>
        </w:tc>
        <w:tc>
          <w:tcPr>
            <w:tcW w:w="43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369C5F0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0,19</w:t>
            </w:r>
          </w:p>
        </w:tc>
        <w:tc>
          <w:tcPr>
            <w:tcW w:w="3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7F622B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Сульфатный нарзан</w:t>
            </w:r>
          </w:p>
        </w:tc>
        <w:tc>
          <w:tcPr>
            <w:tcW w:w="0" w:type="auto"/>
            <w:vMerge/>
            <w:tcBorders>
              <w:top w:val="single" w:sz="4" w:space="0" w:color="000000"/>
              <w:left w:val="single" w:sz="4" w:space="0" w:color="000000"/>
              <w:bottom w:val="single" w:sz="4" w:space="0" w:color="000000"/>
              <w:right w:val="single" w:sz="4" w:space="0" w:color="000000"/>
            </w:tcBorders>
          </w:tcPr>
          <w:p w14:paraId="289F003B" w14:textId="77777777" w:rsidR="00171AA8" w:rsidRPr="00731FE2" w:rsidRDefault="00171AA8">
            <w:pPr>
              <w:rPr>
                <w:rFonts w:ascii="Times New Roman" w:hAnsi="Times New Roman" w:cs="Times New Roman"/>
                <w:sz w:val="16"/>
                <w:szCs w:val="16"/>
              </w:rPr>
            </w:pPr>
          </w:p>
        </w:tc>
        <w:tc>
          <w:tcPr>
            <w:tcW w:w="576"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6D895E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 xml:space="preserve">Углекислая средней концентрации и сильноуглекислая среднеминерализованная </w:t>
            </w:r>
            <w:r w:rsidRPr="00731FE2">
              <w:rPr>
                <w:rStyle w:val="af6"/>
                <w:rFonts w:ascii="Times New Roman" w:hAnsi="Times New Roman" w:cs="Times New Roman"/>
                <w:color w:val="auto"/>
                <w:sz w:val="16"/>
                <w:szCs w:val="16"/>
                <w:u w:val="none"/>
              </w:rPr>
              <w:lastRenderedPageBreak/>
              <w:t>сульфатно-гидрокарбонатная натриево-магниево-кальциевая с повышенным содержанием железа (15-23 мг/л)</w:t>
            </w:r>
          </w:p>
        </w:tc>
        <w:tc>
          <w:tcPr>
            <w:tcW w:w="500"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6DFC6B4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lastRenderedPageBreak/>
              <w:t>6,9-7,3</w:t>
            </w:r>
          </w:p>
        </w:tc>
        <w:tc>
          <w:tcPr>
            <w:tcW w:w="272"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07AD70D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6"/>
                <w:szCs w:val="16"/>
              </w:rPr>
            </w:pPr>
            <w:r w:rsidRPr="00731FE2">
              <w:rPr>
                <w:rFonts w:ascii="Times New Roman" w:eastAsia="Arial Narrow" w:hAnsi="Times New Roman" w:cs="Times New Roman"/>
                <w:color w:val="000000"/>
                <w:sz w:val="16"/>
                <w:szCs w:val="16"/>
              </w:rPr>
              <w:t>1,6-2,1</w:t>
            </w:r>
          </w:p>
        </w:tc>
      </w:tr>
      <w:tr w:rsidR="00171AA8" w:rsidRPr="00731FE2" w14:paraId="6014BC95" w14:textId="77777777">
        <w:trPr>
          <w:trHeight w:val="285"/>
        </w:trPr>
        <w:tc>
          <w:tcPr>
            <w:tcW w:w="171" w:type="dxa"/>
            <w:tcBorders>
              <w:top w:val="single" w:sz="4" w:space="0" w:color="000000"/>
              <w:left w:val="single" w:sz="4" w:space="0" w:color="000000"/>
              <w:bottom w:val="single" w:sz="4" w:space="0" w:color="000000"/>
              <w:right w:val="single" w:sz="4" w:space="0" w:color="000000"/>
            </w:tcBorders>
            <w:shd w:val="clear" w:color="FFFFFF" w:fill="FFFFFF"/>
            <w:tcMar>
              <w:top w:w="0" w:type="dxa"/>
              <w:left w:w="108" w:type="dxa"/>
              <w:bottom w:w="0" w:type="dxa"/>
              <w:right w:w="108" w:type="dxa"/>
            </w:tcMar>
            <w:vAlign w:val="center"/>
          </w:tcPr>
          <w:p w14:paraId="2D466AE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lastRenderedPageBreak/>
              <w:t>7</w:t>
            </w:r>
          </w:p>
        </w:tc>
        <w:tc>
          <w:tcPr>
            <w:tcW w:w="3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180D00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23</w:t>
            </w:r>
          </w:p>
        </w:tc>
        <w:tc>
          <w:tcPr>
            <w:tcW w:w="5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5BA674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ул. Кирова 3,в бювете "Желябовский"</w:t>
            </w:r>
          </w:p>
        </w:tc>
        <w:tc>
          <w:tcPr>
            <w:tcW w:w="41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B18DF7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J3tt</w:t>
            </w:r>
          </w:p>
        </w:tc>
        <w:tc>
          <w:tcPr>
            <w:tcW w:w="484"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442BBC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эксплуатационный</w:t>
            </w:r>
          </w:p>
        </w:tc>
        <w:tc>
          <w:tcPr>
            <w:tcW w:w="476"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F2A239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эксплуатируется</w:t>
            </w:r>
          </w:p>
        </w:tc>
        <w:tc>
          <w:tcPr>
            <w:tcW w:w="0" w:type="auto"/>
            <w:vMerge/>
            <w:tcBorders>
              <w:top w:val="single" w:sz="4" w:space="0" w:color="000000"/>
              <w:left w:val="single" w:sz="4" w:space="0" w:color="000000"/>
              <w:bottom w:val="single" w:sz="4" w:space="0" w:color="000000"/>
              <w:right w:val="single" w:sz="4" w:space="0" w:color="000000"/>
            </w:tcBorders>
          </w:tcPr>
          <w:p w14:paraId="7EA5674B" w14:textId="77777777" w:rsidR="00171AA8" w:rsidRPr="00731FE2" w:rsidRDefault="00171AA8">
            <w:pPr>
              <w:rPr>
                <w:rFonts w:ascii="Times New Roman" w:hAnsi="Times New Roman" w:cs="Times New Roman"/>
                <w:sz w:val="16"/>
                <w:szCs w:val="16"/>
              </w:rPr>
            </w:pPr>
          </w:p>
        </w:tc>
        <w:tc>
          <w:tcPr>
            <w:tcW w:w="476"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A78B4F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питье</w:t>
            </w:r>
          </w:p>
        </w:tc>
        <w:tc>
          <w:tcPr>
            <w:tcW w:w="325"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73C3200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8316914,54</w:t>
            </w:r>
          </w:p>
        </w:tc>
        <w:tc>
          <w:tcPr>
            <w:tcW w:w="333"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1FAF89A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4866050,63</w:t>
            </w:r>
          </w:p>
        </w:tc>
        <w:tc>
          <w:tcPr>
            <w:tcW w:w="37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C4083A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6</w:t>
            </w:r>
          </w:p>
        </w:tc>
        <w:tc>
          <w:tcPr>
            <w:tcW w:w="2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206F85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6</w:t>
            </w:r>
          </w:p>
        </w:tc>
        <w:tc>
          <w:tcPr>
            <w:tcW w:w="37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072835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6</w:t>
            </w:r>
          </w:p>
        </w:tc>
        <w:tc>
          <w:tcPr>
            <w:tcW w:w="0" w:type="auto"/>
            <w:vMerge/>
            <w:tcBorders>
              <w:top w:val="single" w:sz="4" w:space="0" w:color="000000"/>
              <w:left w:val="single" w:sz="4" w:space="0" w:color="000000"/>
              <w:bottom w:val="single" w:sz="4" w:space="0" w:color="000000"/>
              <w:right w:val="single" w:sz="4" w:space="0" w:color="000000"/>
            </w:tcBorders>
          </w:tcPr>
          <w:p w14:paraId="64266B7D" w14:textId="77777777" w:rsidR="00171AA8" w:rsidRPr="00731FE2" w:rsidRDefault="00171AA8">
            <w:pPr>
              <w:rPr>
                <w:rFonts w:ascii="Times New Roman" w:hAnsi="Times New Roman" w:cs="Times New Roman"/>
                <w:sz w:val="16"/>
                <w:szCs w:val="16"/>
              </w:rPr>
            </w:pPr>
          </w:p>
        </w:tc>
        <w:tc>
          <w:tcPr>
            <w:tcW w:w="43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30F6790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0,49</w:t>
            </w:r>
          </w:p>
        </w:tc>
        <w:tc>
          <w:tcPr>
            <w:tcW w:w="3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A8E84A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Сульфатный нарзан</w:t>
            </w:r>
          </w:p>
        </w:tc>
        <w:tc>
          <w:tcPr>
            <w:tcW w:w="326"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8838C2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углекислый</w:t>
            </w:r>
          </w:p>
        </w:tc>
        <w:tc>
          <w:tcPr>
            <w:tcW w:w="0" w:type="auto"/>
            <w:vMerge/>
            <w:tcBorders>
              <w:top w:val="single" w:sz="4" w:space="0" w:color="000000"/>
              <w:left w:val="single" w:sz="4" w:space="0" w:color="000000"/>
              <w:bottom w:val="single" w:sz="4" w:space="0" w:color="000000"/>
              <w:right w:val="single" w:sz="4" w:space="0" w:color="000000"/>
            </w:tcBorders>
          </w:tcPr>
          <w:p w14:paraId="79A38DE6" w14:textId="77777777" w:rsidR="00171AA8" w:rsidRPr="00731FE2" w:rsidRDefault="00171AA8">
            <w:pPr>
              <w:rPr>
                <w:rFonts w:ascii="Times New Roman" w:hAnsi="Times New Roman" w:cs="Times New Roman"/>
                <w:sz w:val="16"/>
                <w:szCs w:val="16"/>
              </w:rPr>
            </w:pPr>
          </w:p>
        </w:tc>
        <w:tc>
          <w:tcPr>
            <w:tcW w:w="500"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1287AE7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6,8-7,0</w:t>
            </w:r>
          </w:p>
        </w:tc>
        <w:tc>
          <w:tcPr>
            <w:tcW w:w="272"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7A3BB82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6"/>
                <w:szCs w:val="16"/>
              </w:rPr>
            </w:pPr>
            <w:r w:rsidRPr="00731FE2">
              <w:rPr>
                <w:rFonts w:ascii="Times New Roman" w:eastAsia="Arial Narrow" w:hAnsi="Times New Roman" w:cs="Times New Roman"/>
                <w:color w:val="000000"/>
                <w:sz w:val="16"/>
                <w:szCs w:val="16"/>
              </w:rPr>
              <w:t>1,7-2,2</w:t>
            </w:r>
          </w:p>
        </w:tc>
      </w:tr>
      <w:tr w:rsidR="00171AA8" w:rsidRPr="00731FE2" w14:paraId="257C546A" w14:textId="77777777">
        <w:trPr>
          <w:trHeight w:val="285"/>
        </w:trPr>
        <w:tc>
          <w:tcPr>
            <w:tcW w:w="171"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1693894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8</w:t>
            </w:r>
          </w:p>
        </w:tc>
        <w:tc>
          <w:tcPr>
            <w:tcW w:w="3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505566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8-бис</w:t>
            </w:r>
          </w:p>
        </w:tc>
        <w:tc>
          <w:tcPr>
            <w:tcW w:w="5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8CFCA4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ул. Коминтерна, 9,в 5 м от Нарзанной галереи</w:t>
            </w:r>
          </w:p>
        </w:tc>
        <w:tc>
          <w:tcPr>
            <w:tcW w:w="41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69046C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J3tt</w:t>
            </w:r>
          </w:p>
        </w:tc>
        <w:tc>
          <w:tcPr>
            <w:tcW w:w="0" w:type="auto"/>
            <w:vMerge/>
            <w:tcBorders>
              <w:top w:val="single" w:sz="4" w:space="0" w:color="000000"/>
              <w:left w:val="single" w:sz="4" w:space="0" w:color="000000"/>
              <w:bottom w:val="single" w:sz="4" w:space="0" w:color="000000"/>
              <w:right w:val="single" w:sz="4" w:space="0" w:color="000000"/>
            </w:tcBorders>
          </w:tcPr>
          <w:p w14:paraId="27F94972" w14:textId="77777777" w:rsidR="00171AA8" w:rsidRPr="00731FE2" w:rsidRDefault="00171AA8">
            <w:pPr>
              <w:rPr>
                <w:rFonts w:ascii="Times New Roman" w:hAnsi="Times New Roman" w:cs="Times New Roman"/>
                <w:sz w:val="16"/>
                <w:szCs w:val="16"/>
              </w:rPr>
            </w:pPr>
          </w:p>
        </w:tc>
        <w:tc>
          <w:tcPr>
            <w:tcW w:w="0" w:type="auto"/>
            <w:vMerge/>
            <w:tcBorders>
              <w:top w:val="single" w:sz="4" w:space="0" w:color="000000"/>
              <w:left w:val="single" w:sz="4" w:space="0" w:color="000000"/>
              <w:bottom w:val="single" w:sz="4" w:space="0" w:color="000000"/>
              <w:right w:val="single" w:sz="4" w:space="0" w:color="000000"/>
            </w:tcBorders>
          </w:tcPr>
          <w:p w14:paraId="21835084" w14:textId="77777777" w:rsidR="00171AA8" w:rsidRPr="00731FE2" w:rsidRDefault="00171AA8">
            <w:pPr>
              <w:rPr>
                <w:rFonts w:ascii="Times New Roman" w:hAnsi="Times New Roman" w:cs="Times New Roman"/>
                <w:sz w:val="16"/>
                <w:szCs w:val="16"/>
              </w:rPr>
            </w:pPr>
          </w:p>
        </w:tc>
        <w:tc>
          <w:tcPr>
            <w:tcW w:w="0" w:type="auto"/>
            <w:vMerge/>
            <w:tcBorders>
              <w:top w:val="single" w:sz="4" w:space="0" w:color="000000"/>
              <w:left w:val="single" w:sz="4" w:space="0" w:color="000000"/>
              <w:bottom w:val="single" w:sz="4" w:space="0" w:color="000000"/>
              <w:right w:val="single" w:sz="4" w:space="0" w:color="000000"/>
            </w:tcBorders>
          </w:tcPr>
          <w:p w14:paraId="45B490F9" w14:textId="77777777" w:rsidR="00171AA8" w:rsidRPr="00731FE2" w:rsidRDefault="00171AA8">
            <w:pPr>
              <w:rPr>
                <w:rFonts w:ascii="Times New Roman" w:hAnsi="Times New Roman" w:cs="Times New Roman"/>
                <w:sz w:val="16"/>
                <w:szCs w:val="16"/>
              </w:rPr>
            </w:pPr>
          </w:p>
        </w:tc>
        <w:tc>
          <w:tcPr>
            <w:tcW w:w="0" w:type="auto"/>
            <w:vMerge/>
            <w:tcBorders>
              <w:top w:val="single" w:sz="4" w:space="0" w:color="000000"/>
              <w:left w:val="single" w:sz="4" w:space="0" w:color="000000"/>
              <w:bottom w:val="single" w:sz="4" w:space="0" w:color="000000"/>
              <w:right w:val="single" w:sz="4" w:space="0" w:color="000000"/>
            </w:tcBorders>
          </w:tcPr>
          <w:p w14:paraId="3B2A8310" w14:textId="77777777" w:rsidR="00171AA8" w:rsidRPr="00731FE2" w:rsidRDefault="00171AA8">
            <w:pPr>
              <w:rPr>
                <w:rFonts w:ascii="Times New Roman" w:hAnsi="Times New Roman" w:cs="Times New Roman"/>
                <w:sz w:val="16"/>
                <w:szCs w:val="16"/>
              </w:rPr>
            </w:pPr>
          </w:p>
        </w:tc>
        <w:tc>
          <w:tcPr>
            <w:tcW w:w="325"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68F2D82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8316714,07</w:t>
            </w:r>
          </w:p>
        </w:tc>
        <w:tc>
          <w:tcPr>
            <w:tcW w:w="333"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475B13C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4865293,53</w:t>
            </w:r>
          </w:p>
        </w:tc>
        <w:tc>
          <w:tcPr>
            <w:tcW w:w="37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C11A6D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33</w:t>
            </w:r>
          </w:p>
        </w:tc>
        <w:tc>
          <w:tcPr>
            <w:tcW w:w="2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C3928E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33</w:t>
            </w:r>
          </w:p>
        </w:tc>
        <w:tc>
          <w:tcPr>
            <w:tcW w:w="37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7E3916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33</w:t>
            </w:r>
          </w:p>
        </w:tc>
        <w:tc>
          <w:tcPr>
            <w:tcW w:w="0" w:type="auto"/>
            <w:vMerge/>
            <w:tcBorders>
              <w:top w:val="single" w:sz="4" w:space="0" w:color="000000"/>
              <w:left w:val="single" w:sz="4" w:space="0" w:color="000000"/>
              <w:bottom w:val="single" w:sz="4" w:space="0" w:color="000000"/>
              <w:right w:val="single" w:sz="4" w:space="0" w:color="000000"/>
            </w:tcBorders>
          </w:tcPr>
          <w:p w14:paraId="504E8BBD" w14:textId="77777777" w:rsidR="00171AA8" w:rsidRPr="00731FE2" w:rsidRDefault="00171AA8">
            <w:pPr>
              <w:rPr>
                <w:rFonts w:ascii="Times New Roman" w:hAnsi="Times New Roman" w:cs="Times New Roman"/>
                <w:sz w:val="16"/>
                <w:szCs w:val="16"/>
              </w:rPr>
            </w:pPr>
          </w:p>
        </w:tc>
        <w:tc>
          <w:tcPr>
            <w:tcW w:w="43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7053B1A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1,40</w:t>
            </w:r>
          </w:p>
        </w:tc>
        <w:tc>
          <w:tcPr>
            <w:tcW w:w="3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5D2D49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Сульфатный нарзан</w:t>
            </w:r>
          </w:p>
        </w:tc>
        <w:tc>
          <w:tcPr>
            <w:tcW w:w="0" w:type="auto"/>
            <w:vMerge/>
            <w:tcBorders>
              <w:top w:val="single" w:sz="4" w:space="0" w:color="000000"/>
              <w:left w:val="single" w:sz="4" w:space="0" w:color="000000"/>
              <w:bottom w:val="single" w:sz="4" w:space="0" w:color="000000"/>
              <w:right w:val="single" w:sz="4" w:space="0" w:color="000000"/>
            </w:tcBorders>
          </w:tcPr>
          <w:p w14:paraId="14319F69" w14:textId="77777777" w:rsidR="00171AA8" w:rsidRPr="00731FE2" w:rsidRDefault="00171AA8">
            <w:pPr>
              <w:rPr>
                <w:rFonts w:ascii="Times New Roman" w:hAnsi="Times New Roman" w:cs="Times New Roman"/>
                <w:sz w:val="16"/>
                <w:szCs w:val="16"/>
              </w:rPr>
            </w:pPr>
          </w:p>
        </w:tc>
        <w:tc>
          <w:tcPr>
            <w:tcW w:w="0" w:type="auto"/>
            <w:vMerge/>
            <w:tcBorders>
              <w:top w:val="single" w:sz="4" w:space="0" w:color="000000"/>
              <w:left w:val="single" w:sz="4" w:space="0" w:color="000000"/>
              <w:bottom w:val="single" w:sz="4" w:space="0" w:color="000000"/>
              <w:right w:val="single" w:sz="4" w:space="0" w:color="000000"/>
            </w:tcBorders>
          </w:tcPr>
          <w:p w14:paraId="4EBD45BA" w14:textId="77777777" w:rsidR="00171AA8" w:rsidRPr="00731FE2" w:rsidRDefault="00171AA8">
            <w:pPr>
              <w:rPr>
                <w:rFonts w:ascii="Times New Roman" w:hAnsi="Times New Roman" w:cs="Times New Roman"/>
                <w:sz w:val="16"/>
                <w:szCs w:val="16"/>
              </w:rPr>
            </w:pPr>
          </w:p>
        </w:tc>
        <w:tc>
          <w:tcPr>
            <w:tcW w:w="500"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4E28CE7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5,9-6,1</w:t>
            </w:r>
          </w:p>
        </w:tc>
        <w:tc>
          <w:tcPr>
            <w:tcW w:w="272"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0E8528D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6"/>
                <w:szCs w:val="16"/>
              </w:rPr>
            </w:pPr>
            <w:r w:rsidRPr="00731FE2">
              <w:rPr>
                <w:rFonts w:ascii="Times New Roman" w:eastAsia="Arial Narrow" w:hAnsi="Times New Roman" w:cs="Times New Roman"/>
                <w:color w:val="000000"/>
                <w:sz w:val="16"/>
                <w:szCs w:val="16"/>
              </w:rPr>
              <w:t>1,7-2,1</w:t>
            </w:r>
          </w:p>
        </w:tc>
      </w:tr>
      <w:tr w:rsidR="00171AA8" w:rsidRPr="00731FE2" w14:paraId="5F7A3B4B" w14:textId="77777777">
        <w:trPr>
          <w:trHeight w:val="285"/>
        </w:trPr>
        <w:tc>
          <w:tcPr>
            <w:tcW w:w="171" w:type="dxa"/>
            <w:tcBorders>
              <w:top w:val="single" w:sz="4" w:space="0" w:color="000000"/>
              <w:left w:val="single" w:sz="4" w:space="0" w:color="000000"/>
              <w:bottom w:val="single" w:sz="4" w:space="0" w:color="000000"/>
              <w:right w:val="single" w:sz="4" w:space="0" w:color="000000"/>
            </w:tcBorders>
            <w:shd w:val="clear" w:color="FFFFFF" w:fill="FFFFFF"/>
            <w:tcMar>
              <w:top w:w="0" w:type="dxa"/>
              <w:left w:w="108" w:type="dxa"/>
              <w:bottom w:w="0" w:type="dxa"/>
              <w:right w:w="108" w:type="dxa"/>
            </w:tcMar>
            <w:vAlign w:val="center"/>
          </w:tcPr>
          <w:p w14:paraId="2DBF229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9</w:t>
            </w:r>
          </w:p>
        </w:tc>
        <w:tc>
          <w:tcPr>
            <w:tcW w:w="3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89F3B5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8</w:t>
            </w:r>
          </w:p>
        </w:tc>
        <w:tc>
          <w:tcPr>
            <w:tcW w:w="5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FB4912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ул. Коминтерна, 2А,в 80 м на В от ист. Нарзан</w:t>
            </w:r>
          </w:p>
        </w:tc>
        <w:tc>
          <w:tcPr>
            <w:tcW w:w="41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D31A4D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J3tt</w:t>
            </w:r>
          </w:p>
        </w:tc>
        <w:tc>
          <w:tcPr>
            <w:tcW w:w="0" w:type="auto"/>
            <w:vMerge/>
            <w:tcBorders>
              <w:top w:val="single" w:sz="4" w:space="0" w:color="000000"/>
              <w:left w:val="single" w:sz="4" w:space="0" w:color="000000"/>
              <w:bottom w:val="single" w:sz="4" w:space="0" w:color="000000"/>
              <w:right w:val="single" w:sz="4" w:space="0" w:color="000000"/>
            </w:tcBorders>
          </w:tcPr>
          <w:p w14:paraId="348DA8DE" w14:textId="77777777" w:rsidR="00171AA8" w:rsidRPr="00731FE2" w:rsidRDefault="00171AA8">
            <w:pPr>
              <w:rPr>
                <w:rFonts w:ascii="Times New Roman" w:hAnsi="Times New Roman" w:cs="Times New Roman"/>
                <w:sz w:val="16"/>
                <w:szCs w:val="16"/>
              </w:rPr>
            </w:pPr>
          </w:p>
        </w:tc>
        <w:tc>
          <w:tcPr>
            <w:tcW w:w="476"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994218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наблюдается</w:t>
            </w:r>
          </w:p>
        </w:tc>
        <w:tc>
          <w:tcPr>
            <w:tcW w:w="4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2D7A39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4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5ACC13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325"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6F7DF6A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8316772,56</w:t>
            </w:r>
          </w:p>
        </w:tc>
        <w:tc>
          <w:tcPr>
            <w:tcW w:w="333"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4E6C966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4865341,33</w:t>
            </w:r>
          </w:p>
        </w:tc>
        <w:tc>
          <w:tcPr>
            <w:tcW w:w="37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6D29B3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30</w:t>
            </w:r>
          </w:p>
        </w:tc>
        <w:tc>
          <w:tcPr>
            <w:tcW w:w="2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898CCB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30</w:t>
            </w:r>
          </w:p>
        </w:tc>
        <w:tc>
          <w:tcPr>
            <w:tcW w:w="37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8F181F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30</w:t>
            </w:r>
          </w:p>
        </w:tc>
        <w:tc>
          <w:tcPr>
            <w:tcW w:w="0" w:type="auto"/>
            <w:vMerge/>
            <w:tcBorders>
              <w:top w:val="single" w:sz="4" w:space="0" w:color="000000"/>
              <w:left w:val="single" w:sz="4" w:space="0" w:color="000000"/>
              <w:bottom w:val="single" w:sz="4" w:space="0" w:color="000000"/>
              <w:right w:val="single" w:sz="4" w:space="0" w:color="000000"/>
            </w:tcBorders>
          </w:tcPr>
          <w:p w14:paraId="541478A9" w14:textId="77777777" w:rsidR="00171AA8" w:rsidRPr="00731FE2" w:rsidRDefault="00171AA8">
            <w:pPr>
              <w:rPr>
                <w:rFonts w:ascii="Times New Roman" w:hAnsi="Times New Roman" w:cs="Times New Roman"/>
                <w:sz w:val="16"/>
                <w:szCs w:val="16"/>
              </w:rPr>
            </w:pPr>
          </w:p>
        </w:tc>
        <w:tc>
          <w:tcPr>
            <w:tcW w:w="43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3065DC9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0,00</w:t>
            </w:r>
          </w:p>
        </w:tc>
        <w:tc>
          <w:tcPr>
            <w:tcW w:w="3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ECD381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0" w:type="auto"/>
            <w:vMerge/>
            <w:tcBorders>
              <w:top w:val="single" w:sz="4" w:space="0" w:color="000000"/>
              <w:left w:val="single" w:sz="4" w:space="0" w:color="000000"/>
              <w:bottom w:val="single" w:sz="4" w:space="0" w:color="000000"/>
              <w:right w:val="single" w:sz="4" w:space="0" w:color="000000"/>
            </w:tcBorders>
          </w:tcPr>
          <w:p w14:paraId="31EEC2DF" w14:textId="77777777" w:rsidR="00171AA8" w:rsidRPr="00731FE2" w:rsidRDefault="00171AA8">
            <w:pPr>
              <w:rPr>
                <w:rFonts w:ascii="Times New Roman" w:hAnsi="Times New Roman" w:cs="Times New Roman"/>
                <w:sz w:val="16"/>
                <w:szCs w:val="16"/>
              </w:rPr>
            </w:pPr>
          </w:p>
        </w:tc>
        <w:tc>
          <w:tcPr>
            <w:tcW w:w="0" w:type="auto"/>
            <w:vMerge/>
            <w:tcBorders>
              <w:top w:val="single" w:sz="4" w:space="0" w:color="000000"/>
              <w:left w:val="single" w:sz="4" w:space="0" w:color="000000"/>
              <w:bottom w:val="single" w:sz="4" w:space="0" w:color="000000"/>
              <w:right w:val="single" w:sz="4" w:space="0" w:color="000000"/>
            </w:tcBorders>
          </w:tcPr>
          <w:p w14:paraId="2FB6B509" w14:textId="77777777" w:rsidR="00171AA8" w:rsidRPr="00731FE2" w:rsidRDefault="00171AA8">
            <w:pPr>
              <w:rPr>
                <w:rFonts w:ascii="Times New Roman" w:hAnsi="Times New Roman" w:cs="Times New Roman"/>
                <w:sz w:val="16"/>
                <w:szCs w:val="16"/>
              </w:rPr>
            </w:pPr>
          </w:p>
        </w:tc>
        <w:tc>
          <w:tcPr>
            <w:tcW w:w="500"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0F4BF3D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5,5-5,7</w:t>
            </w:r>
          </w:p>
        </w:tc>
        <w:tc>
          <w:tcPr>
            <w:tcW w:w="272"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6FD5285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6"/>
                <w:szCs w:val="16"/>
              </w:rPr>
            </w:pPr>
            <w:r w:rsidRPr="00731FE2">
              <w:rPr>
                <w:rFonts w:ascii="Times New Roman" w:eastAsia="Arial Narrow" w:hAnsi="Times New Roman" w:cs="Times New Roman"/>
                <w:color w:val="000000"/>
                <w:sz w:val="16"/>
                <w:szCs w:val="16"/>
              </w:rPr>
              <w:t>1,8-2,0</w:t>
            </w:r>
          </w:p>
        </w:tc>
      </w:tr>
      <w:tr w:rsidR="00171AA8" w:rsidRPr="00731FE2" w14:paraId="48032D67" w14:textId="77777777">
        <w:trPr>
          <w:trHeight w:val="285"/>
        </w:trPr>
        <w:tc>
          <w:tcPr>
            <w:tcW w:w="171"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6F419F6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10</w:t>
            </w:r>
          </w:p>
        </w:tc>
        <w:tc>
          <w:tcPr>
            <w:tcW w:w="3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38D5FF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7/0-бис</w:t>
            </w:r>
          </w:p>
        </w:tc>
        <w:tc>
          <w:tcPr>
            <w:tcW w:w="5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1A6E13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Пересечение ул. Кирова, 1а и Тюленева, 2а</w:t>
            </w:r>
          </w:p>
        </w:tc>
        <w:tc>
          <w:tcPr>
            <w:tcW w:w="412" w:type="dxa"/>
            <w:tcBorders>
              <w:top w:val="single" w:sz="4" w:space="0" w:color="000000"/>
              <w:left w:val="single" w:sz="4" w:space="0" w:color="000000"/>
              <w:bottom w:val="single" w:sz="4" w:space="0" w:color="000000"/>
              <w:right w:val="single" w:sz="4" w:space="0" w:color="000000"/>
            </w:tcBorders>
            <w:shd w:val="clear" w:color="FFFFFF" w:fill="FFFFFF"/>
            <w:tcMar>
              <w:top w:w="0" w:type="dxa"/>
              <w:left w:w="108" w:type="dxa"/>
              <w:bottom w:w="0" w:type="dxa"/>
              <w:right w:w="108" w:type="dxa"/>
            </w:tcMar>
            <w:vAlign w:val="center"/>
          </w:tcPr>
          <w:p w14:paraId="1A19EE9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K1v1</w:t>
            </w:r>
          </w:p>
        </w:tc>
        <w:tc>
          <w:tcPr>
            <w:tcW w:w="0" w:type="auto"/>
            <w:vMerge/>
            <w:tcBorders>
              <w:top w:val="single" w:sz="4" w:space="0" w:color="000000"/>
              <w:left w:val="single" w:sz="4" w:space="0" w:color="000000"/>
              <w:bottom w:val="single" w:sz="4" w:space="0" w:color="000000"/>
              <w:right w:val="single" w:sz="4" w:space="0" w:color="000000"/>
            </w:tcBorders>
          </w:tcPr>
          <w:p w14:paraId="6FE1FB60" w14:textId="77777777" w:rsidR="00171AA8" w:rsidRPr="00731FE2" w:rsidRDefault="00171AA8">
            <w:pPr>
              <w:rPr>
                <w:rFonts w:ascii="Times New Roman" w:hAnsi="Times New Roman" w:cs="Times New Roman"/>
                <w:sz w:val="16"/>
                <w:szCs w:val="16"/>
              </w:rPr>
            </w:pPr>
          </w:p>
        </w:tc>
        <w:tc>
          <w:tcPr>
            <w:tcW w:w="0" w:type="auto"/>
            <w:vMerge/>
            <w:tcBorders>
              <w:top w:val="single" w:sz="4" w:space="0" w:color="000000"/>
              <w:left w:val="single" w:sz="4" w:space="0" w:color="000000"/>
              <w:bottom w:val="single" w:sz="4" w:space="0" w:color="000000"/>
              <w:right w:val="single" w:sz="4" w:space="0" w:color="000000"/>
            </w:tcBorders>
          </w:tcPr>
          <w:p w14:paraId="4B7595C0" w14:textId="77777777" w:rsidR="00171AA8" w:rsidRPr="00731FE2" w:rsidRDefault="00171AA8">
            <w:pPr>
              <w:rPr>
                <w:rFonts w:ascii="Times New Roman" w:hAnsi="Times New Roman" w:cs="Times New Roman"/>
                <w:sz w:val="16"/>
                <w:szCs w:val="16"/>
              </w:rPr>
            </w:pPr>
          </w:p>
        </w:tc>
        <w:tc>
          <w:tcPr>
            <w:tcW w:w="4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8FEB49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4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E63473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325"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21B0101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8316805,65</w:t>
            </w:r>
          </w:p>
        </w:tc>
        <w:tc>
          <w:tcPr>
            <w:tcW w:w="333"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7A6595D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4865997,11</w:t>
            </w:r>
          </w:p>
        </w:tc>
        <w:tc>
          <w:tcPr>
            <w:tcW w:w="37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263283B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276"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7AF3F43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377"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7BEDFCE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43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740B6EC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43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75A67C5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3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EFC4B8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0" w:type="auto"/>
            <w:vMerge/>
            <w:tcBorders>
              <w:top w:val="single" w:sz="4" w:space="0" w:color="000000"/>
              <w:left w:val="single" w:sz="4" w:space="0" w:color="000000"/>
              <w:bottom w:val="single" w:sz="4" w:space="0" w:color="000000"/>
              <w:right w:val="single" w:sz="4" w:space="0" w:color="000000"/>
            </w:tcBorders>
          </w:tcPr>
          <w:p w14:paraId="7FE9551F" w14:textId="77777777" w:rsidR="00171AA8" w:rsidRPr="00731FE2" w:rsidRDefault="00171AA8">
            <w:pPr>
              <w:rPr>
                <w:rFonts w:ascii="Times New Roman" w:hAnsi="Times New Roman" w:cs="Times New Roman"/>
                <w:sz w:val="16"/>
                <w:szCs w:val="16"/>
              </w:rPr>
            </w:pPr>
          </w:p>
        </w:tc>
        <w:tc>
          <w:tcPr>
            <w:tcW w:w="576"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35738E7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500"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2D2DE73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1,1-1,6</w:t>
            </w:r>
          </w:p>
        </w:tc>
        <w:tc>
          <w:tcPr>
            <w:tcW w:w="272"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550BFD5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6"/>
                <w:szCs w:val="16"/>
              </w:rPr>
            </w:pPr>
            <w:r w:rsidRPr="00731FE2">
              <w:rPr>
                <w:rFonts w:ascii="Times New Roman" w:eastAsia="Arial Narrow" w:hAnsi="Times New Roman" w:cs="Times New Roman"/>
                <w:color w:val="000000"/>
                <w:sz w:val="16"/>
                <w:szCs w:val="16"/>
              </w:rPr>
              <w:t>0,3-0,8</w:t>
            </w:r>
          </w:p>
        </w:tc>
      </w:tr>
      <w:tr w:rsidR="00171AA8" w:rsidRPr="00731FE2" w14:paraId="6BBD1B6F" w14:textId="77777777">
        <w:trPr>
          <w:trHeight w:val="285"/>
        </w:trPr>
        <w:tc>
          <w:tcPr>
            <w:tcW w:w="171" w:type="dxa"/>
            <w:tcBorders>
              <w:top w:val="single" w:sz="4" w:space="0" w:color="000000"/>
              <w:left w:val="single" w:sz="4" w:space="0" w:color="000000"/>
              <w:bottom w:val="single" w:sz="4" w:space="0" w:color="000000"/>
              <w:right w:val="single" w:sz="4" w:space="0" w:color="000000"/>
            </w:tcBorders>
            <w:shd w:val="clear" w:color="FFFFFF" w:fill="FFFFFF"/>
            <w:tcMar>
              <w:top w:w="0" w:type="dxa"/>
              <w:left w:w="108" w:type="dxa"/>
              <w:bottom w:w="0" w:type="dxa"/>
              <w:right w:w="108" w:type="dxa"/>
            </w:tcMar>
            <w:vAlign w:val="center"/>
          </w:tcPr>
          <w:p w14:paraId="3CF19BB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11</w:t>
            </w:r>
          </w:p>
        </w:tc>
        <w:tc>
          <w:tcPr>
            <w:tcW w:w="3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BF07AE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53</w:t>
            </w:r>
          </w:p>
        </w:tc>
        <w:tc>
          <w:tcPr>
            <w:tcW w:w="5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3A7B03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верхний Курортный парк, правый берег р. Ольховка, у тира ДОСААФ</w:t>
            </w:r>
          </w:p>
        </w:tc>
        <w:tc>
          <w:tcPr>
            <w:tcW w:w="412" w:type="dxa"/>
            <w:tcBorders>
              <w:top w:val="single" w:sz="4" w:space="0" w:color="000000"/>
              <w:left w:val="single" w:sz="4" w:space="0" w:color="000000"/>
              <w:bottom w:val="single" w:sz="4" w:space="0" w:color="000000"/>
              <w:right w:val="single" w:sz="4" w:space="0" w:color="000000"/>
            </w:tcBorders>
            <w:shd w:val="clear" w:color="FFFFFF" w:fill="FFFFFF"/>
            <w:tcMar>
              <w:top w:w="0" w:type="dxa"/>
              <w:left w:w="108" w:type="dxa"/>
              <w:bottom w:w="0" w:type="dxa"/>
              <w:right w:w="108" w:type="dxa"/>
            </w:tcMar>
            <w:vAlign w:val="center"/>
          </w:tcPr>
          <w:p w14:paraId="031FB54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K1v2</w:t>
            </w:r>
          </w:p>
        </w:tc>
        <w:tc>
          <w:tcPr>
            <w:tcW w:w="484"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279238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наблюдательная</w:t>
            </w:r>
          </w:p>
        </w:tc>
        <w:tc>
          <w:tcPr>
            <w:tcW w:w="0" w:type="auto"/>
            <w:vMerge/>
            <w:tcBorders>
              <w:top w:val="single" w:sz="4" w:space="0" w:color="000000"/>
              <w:left w:val="single" w:sz="4" w:space="0" w:color="000000"/>
              <w:bottom w:val="single" w:sz="4" w:space="0" w:color="000000"/>
              <w:right w:val="single" w:sz="4" w:space="0" w:color="000000"/>
            </w:tcBorders>
          </w:tcPr>
          <w:p w14:paraId="2C55C71F" w14:textId="77777777" w:rsidR="00171AA8" w:rsidRPr="00731FE2" w:rsidRDefault="00171AA8">
            <w:pPr>
              <w:rPr>
                <w:rFonts w:ascii="Times New Roman" w:hAnsi="Times New Roman" w:cs="Times New Roman"/>
                <w:sz w:val="16"/>
                <w:szCs w:val="16"/>
              </w:rPr>
            </w:pPr>
          </w:p>
        </w:tc>
        <w:tc>
          <w:tcPr>
            <w:tcW w:w="4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1C4B43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4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242BEE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325"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75A1A55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8316878,63</w:t>
            </w:r>
          </w:p>
        </w:tc>
        <w:tc>
          <w:tcPr>
            <w:tcW w:w="333"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5551C2A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4865672,00</w:t>
            </w:r>
          </w:p>
        </w:tc>
        <w:tc>
          <w:tcPr>
            <w:tcW w:w="37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3CA4F01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276"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1E9C368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377"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69E53A3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43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19F6B03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43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27D2E0D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3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009183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0" w:type="auto"/>
            <w:vMerge/>
            <w:tcBorders>
              <w:top w:val="single" w:sz="4" w:space="0" w:color="000000"/>
              <w:left w:val="single" w:sz="4" w:space="0" w:color="000000"/>
              <w:bottom w:val="single" w:sz="4" w:space="0" w:color="000000"/>
              <w:right w:val="single" w:sz="4" w:space="0" w:color="000000"/>
            </w:tcBorders>
          </w:tcPr>
          <w:p w14:paraId="57F2A39C" w14:textId="77777777" w:rsidR="00171AA8" w:rsidRPr="00731FE2" w:rsidRDefault="00171AA8">
            <w:pPr>
              <w:rPr>
                <w:rFonts w:ascii="Times New Roman" w:hAnsi="Times New Roman" w:cs="Times New Roman"/>
                <w:sz w:val="16"/>
                <w:szCs w:val="16"/>
              </w:rPr>
            </w:pPr>
          </w:p>
        </w:tc>
        <w:tc>
          <w:tcPr>
            <w:tcW w:w="576"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127B894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500"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284DB74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2,5</w:t>
            </w:r>
          </w:p>
        </w:tc>
        <w:tc>
          <w:tcPr>
            <w:tcW w:w="272"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487C831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6"/>
                <w:szCs w:val="16"/>
              </w:rPr>
            </w:pPr>
            <w:r w:rsidRPr="00731FE2">
              <w:rPr>
                <w:rFonts w:ascii="Times New Roman" w:eastAsia="Arial Narrow" w:hAnsi="Times New Roman" w:cs="Times New Roman"/>
                <w:color w:val="000000"/>
                <w:sz w:val="16"/>
                <w:szCs w:val="16"/>
              </w:rPr>
              <w:t>1,7</w:t>
            </w:r>
          </w:p>
        </w:tc>
      </w:tr>
      <w:tr w:rsidR="00171AA8" w:rsidRPr="00731FE2" w14:paraId="5CF7C27B" w14:textId="77777777">
        <w:trPr>
          <w:trHeight w:val="285"/>
        </w:trPr>
        <w:tc>
          <w:tcPr>
            <w:tcW w:w="171"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50D25F9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12</w:t>
            </w:r>
          </w:p>
        </w:tc>
        <w:tc>
          <w:tcPr>
            <w:tcW w:w="3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1AB18A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57</w:t>
            </w:r>
          </w:p>
        </w:tc>
        <w:tc>
          <w:tcPr>
            <w:tcW w:w="5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BDC7F0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напротив дома по ул. Шаумяна, 7,правый. Берег р. Березовка</w:t>
            </w:r>
          </w:p>
        </w:tc>
        <w:tc>
          <w:tcPr>
            <w:tcW w:w="412" w:type="dxa"/>
            <w:tcBorders>
              <w:top w:val="single" w:sz="4" w:space="0" w:color="000000"/>
              <w:left w:val="single" w:sz="4" w:space="0" w:color="000000"/>
              <w:bottom w:val="single" w:sz="4" w:space="0" w:color="000000"/>
              <w:right w:val="single" w:sz="4" w:space="0" w:color="000000"/>
            </w:tcBorders>
            <w:shd w:val="clear" w:color="FFFFFF" w:fill="FFFFFF"/>
            <w:tcMar>
              <w:top w:w="0" w:type="dxa"/>
              <w:left w:w="108" w:type="dxa"/>
              <w:bottom w:w="0" w:type="dxa"/>
              <w:right w:w="108" w:type="dxa"/>
            </w:tcMar>
            <w:vAlign w:val="center"/>
          </w:tcPr>
          <w:p w14:paraId="25010AC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K1v2</w:t>
            </w:r>
          </w:p>
        </w:tc>
        <w:tc>
          <w:tcPr>
            <w:tcW w:w="0" w:type="auto"/>
            <w:vMerge/>
            <w:tcBorders>
              <w:top w:val="single" w:sz="4" w:space="0" w:color="000000"/>
              <w:left w:val="single" w:sz="4" w:space="0" w:color="000000"/>
              <w:bottom w:val="single" w:sz="4" w:space="0" w:color="000000"/>
              <w:right w:val="single" w:sz="4" w:space="0" w:color="000000"/>
            </w:tcBorders>
          </w:tcPr>
          <w:p w14:paraId="34073DB9" w14:textId="77777777" w:rsidR="00171AA8" w:rsidRPr="00731FE2" w:rsidRDefault="00171AA8">
            <w:pPr>
              <w:rPr>
                <w:rFonts w:ascii="Times New Roman" w:hAnsi="Times New Roman" w:cs="Times New Roman"/>
                <w:sz w:val="16"/>
                <w:szCs w:val="16"/>
              </w:rPr>
            </w:pPr>
          </w:p>
        </w:tc>
        <w:tc>
          <w:tcPr>
            <w:tcW w:w="0" w:type="auto"/>
            <w:vMerge/>
            <w:tcBorders>
              <w:top w:val="single" w:sz="4" w:space="0" w:color="000000"/>
              <w:left w:val="single" w:sz="4" w:space="0" w:color="000000"/>
              <w:bottom w:val="single" w:sz="4" w:space="0" w:color="000000"/>
              <w:right w:val="single" w:sz="4" w:space="0" w:color="000000"/>
            </w:tcBorders>
          </w:tcPr>
          <w:p w14:paraId="14D7BC59" w14:textId="77777777" w:rsidR="00171AA8" w:rsidRPr="00731FE2" w:rsidRDefault="00171AA8">
            <w:pPr>
              <w:rPr>
                <w:rFonts w:ascii="Times New Roman" w:hAnsi="Times New Roman" w:cs="Times New Roman"/>
                <w:sz w:val="16"/>
                <w:szCs w:val="16"/>
              </w:rPr>
            </w:pPr>
          </w:p>
        </w:tc>
        <w:tc>
          <w:tcPr>
            <w:tcW w:w="4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361698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4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B19B5D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325"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646288A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8316432,53</w:t>
            </w:r>
          </w:p>
        </w:tc>
        <w:tc>
          <w:tcPr>
            <w:tcW w:w="333"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332105F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4865418,38</w:t>
            </w:r>
          </w:p>
        </w:tc>
        <w:tc>
          <w:tcPr>
            <w:tcW w:w="37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14EEE7B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276"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2C3D260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377"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40E9021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43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4601BF2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43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4C0F787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3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88C33C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0" w:type="auto"/>
            <w:vMerge/>
            <w:tcBorders>
              <w:top w:val="single" w:sz="4" w:space="0" w:color="000000"/>
              <w:left w:val="single" w:sz="4" w:space="0" w:color="000000"/>
              <w:bottom w:val="single" w:sz="4" w:space="0" w:color="000000"/>
              <w:right w:val="single" w:sz="4" w:space="0" w:color="000000"/>
            </w:tcBorders>
          </w:tcPr>
          <w:p w14:paraId="05AB6A5C" w14:textId="77777777" w:rsidR="00171AA8" w:rsidRPr="00731FE2" w:rsidRDefault="00171AA8">
            <w:pPr>
              <w:rPr>
                <w:rFonts w:ascii="Times New Roman" w:hAnsi="Times New Roman" w:cs="Times New Roman"/>
                <w:sz w:val="16"/>
                <w:szCs w:val="16"/>
              </w:rPr>
            </w:pPr>
          </w:p>
        </w:tc>
        <w:tc>
          <w:tcPr>
            <w:tcW w:w="576"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1C1BF1B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500"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7714A5F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0,9-1,1</w:t>
            </w:r>
          </w:p>
        </w:tc>
        <w:tc>
          <w:tcPr>
            <w:tcW w:w="272"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6E30B0B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6"/>
                <w:szCs w:val="16"/>
              </w:rPr>
            </w:pPr>
            <w:r w:rsidRPr="00731FE2">
              <w:rPr>
                <w:rFonts w:ascii="Times New Roman" w:eastAsia="Arial Narrow" w:hAnsi="Times New Roman" w:cs="Times New Roman"/>
                <w:color w:val="000000"/>
                <w:sz w:val="16"/>
                <w:szCs w:val="16"/>
              </w:rPr>
              <w:t>0,1-0,5</w:t>
            </w:r>
          </w:p>
        </w:tc>
      </w:tr>
      <w:tr w:rsidR="00171AA8" w:rsidRPr="00731FE2" w14:paraId="0E427CF0" w14:textId="77777777">
        <w:trPr>
          <w:trHeight w:val="285"/>
        </w:trPr>
        <w:tc>
          <w:tcPr>
            <w:tcW w:w="171" w:type="dxa"/>
            <w:tcBorders>
              <w:top w:val="single" w:sz="4" w:space="0" w:color="000000"/>
              <w:left w:val="single" w:sz="4" w:space="0" w:color="000000"/>
              <w:bottom w:val="single" w:sz="4" w:space="0" w:color="000000"/>
              <w:right w:val="single" w:sz="4" w:space="0" w:color="000000"/>
            </w:tcBorders>
            <w:shd w:val="clear" w:color="FFFFFF" w:fill="FFFFFF"/>
            <w:tcMar>
              <w:top w:w="0" w:type="dxa"/>
              <w:left w:w="108" w:type="dxa"/>
              <w:bottom w:w="0" w:type="dxa"/>
              <w:right w:w="108" w:type="dxa"/>
            </w:tcMar>
            <w:vAlign w:val="center"/>
          </w:tcPr>
          <w:p w14:paraId="27ECC17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13</w:t>
            </w:r>
          </w:p>
        </w:tc>
        <w:tc>
          <w:tcPr>
            <w:tcW w:w="3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0C7222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58</w:t>
            </w:r>
          </w:p>
        </w:tc>
        <w:tc>
          <w:tcPr>
            <w:tcW w:w="5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2766B9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пр. К. Маркса, 6</w:t>
            </w:r>
          </w:p>
        </w:tc>
        <w:tc>
          <w:tcPr>
            <w:tcW w:w="412" w:type="dxa"/>
            <w:tcBorders>
              <w:top w:val="single" w:sz="4" w:space="0" w:color="000000"/>
              <w:left w:val="single" w:sz="4" w:space="0" w:color="000000"/>
              <w:bottom w:val="single" w:sz="4" w:space="0" w:color="000000"/>
              <w:right w:val="single" w:sz="4" w:space="0" w:color="000000"/>
            </w:tcBorders>
            <w:shd w:val="clear" w:color="FFFFFF" w:fill="FFFFFF"/>
            <w:tcMar>
              <w:top w:w="0" w:type="dxa"/>
              <w:left w:w="108" w:type="dxa"/>
              <w:bottom w:w="0" w:type="dxa"/>
              <w:right w:w="108" w:type="dxa"/>
            </w:tcMar>
            <w:vAlign w:val="center"/>
          </w:tcPr>
          <w:p w14:paraId="040B556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K1v2</w:t>
            </w:r>
          </w:p>
        </w:tc>
        <w:tc>
          <w:tcPr>
            <w:tcW w:w="0" w:type="auto"/>
            <w:vMerge/>
            <w:tcBorders>
              <w:top w:val="single" w:sz="4" w:space="0" w:color="000000"/>
              <w:left w:val="single" w:sz="4" w:space="0" w:color="000000"/>
              <w:bottom w:val="single" w:sz="4" w:space="0" w:color="000000"/>
              <w:right w:val="single" w:sz="4" w:space="0" w:color="000000"/>
            </w:tcBorders>
          </w:tcPr>
          <w:p w14:paraId="41D740EE" w14:textId="77777777" w:rsidR="00171AA8" w:rsidRPr="00731FE2" w:rsidRDefault="00171AA8">
            <w:pPr>
              <w:rPr>
                <w:rFonts w:ascii="Times New Roman" w:hAnsi="Times New Roman" w:cs="Times New Roman"/>
                <w:sz w:val="16"/>
                <w:szCs w:val="16"/>
              </w:rPr>
            </w:pPr>
          </w:p>
        </w:tc>
        <w:tc>
          <w:tcPr>
            <w:tcW w:w="0" w:type="auto"/>
            <w:vMerge/>
            <w:tcBorders>
              <w:top w:val="single" w:sz="4" w:space="0" w:color="000000"/>
              <w:left w:val="single" w:sz="4" w:space="0" w:color="000000"/>
              <w:bottom w:val="single" w:sz="4" w:space="0" w:color="000000"/>
              <w:right w:val="single" w:sz="4" w:space="0" w:color="000000"/>
            </w:tcBorders>
          </w:tcPr>
          <w:p w14:paraId="79E2CA5E" w14:textId="77777777" w:rsidR="00171AA8" w:rsidRPr="00731FE2" w:rsidRDefault="00171AA8">
            <w:pPr>
              <w:rPr>
                <w:rFonts w:ascii="Times New Roman" w:hAnsi="Times New Roman" w:cs="Times New Roman"/>
                <w:sz w:val="16"/>
                <w:szCs w:val="16"/>
              </w:rPr>
            </w:pPr>
          </w:p>
        </w:tc>
        <w:tc>
          <w:tcPr>
            <w:tcW w:w="4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C7A652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4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E88078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325"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5396796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8316848,15</w:t>
            </w:r>
          </w:p>
        </w:tc>
        <w:tc>
          <w:tcPr>
            <w:tcW w:w="333"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4EBC1B5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4865393,3</w:t>
            </w:r>
          </w:p>
        </w:tc>
        <w:tc>
          <w:tcPr>
            <w:tcW w:w="37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2171B7E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276"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22A967A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377"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57FA046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43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2D87A6A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43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481045B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3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34EF4B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0" w:type="auto"/>
            <w:vMerge/>
            <w:tcBorders>
              <w:top w:val="single" w:sz="4" w:space="0" w:color="000000"/>
              <w:left w:val="single" w:sz="4" w:space="0" w:color="000000"/>
              <w:bottom w:val="single" w:sz="4" w:space="0" w:color="000000"/>
              <w:right w:val="single" w:sz="4" w:space="0" w:color="000000"/>
            </w:tcBorders>
          </w:tcPr>
          <w:p w14:paraId="770EE0A7" w14:textId="77777777" w:rsidR="00171AA8" w:rsidRPr="00731FE2" w:rsidRDefault="00171AA8">
            <w:pPr>
              <w:rPr>
                <w:rFonts w:ascii="Times New Roman" w:hAnsi="Times New Roman" w:cs="Times New Roman"/>
                <w:sz w:val="16"/>
                <w:szCs w:val="16"/>
              </w:rPr>
            </w:pPr>
          </w:p>
        </w:tc>
        <w:tc>
          <w:tcPr>
            <w:tcW w:w="576"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10CD4E2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500"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2F3BB57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4,3-5,1</w:t>
            </w:r>
          </w:p>
        </w:tc>
        <w:tc>
          <w:tcPr>
            <w:tcW w:w="272"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20AC54E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6"/>
                <w:szCs w:val="16"/>
              </w:rPr>
            </w:pPr>
            <w:r w:rsidRPr="00731FE2">
              <w:rPr>
                <w:rFonts w:ascii="Times New Roman" w:eastAsia="Arial Narrow" w:hAnsi="Times New Roman" w:cs="Times New Roman"/>
                <w:color w:val="000000"/>
                <w:sz w:val="16"/>
                <w:szCs w:val="16"/>
              </w:rPr>
              <w:t>1,6-2,3</w:t>
            </w:r>
          </w:p>
        </w:tc>
      </w:tr>
      <w:tr w:rsidR="00171AA8" w:rsidRPr="00731FE2" w14:paraId="06954272" w14:textId="77777777">
        <w:trPr>
          <w:trHeight w:val="285"/>
        </w:trPr>
        <w:tc>
          <w:tcPr>
            <w:tcW w:w="171"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27BFB43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14</w:t>
            </w:r>
          </w:p>
        </w:tc>
        <w:tc>
          <w:tcPr>
            <w:tcW w:w="3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0708DB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59</w:t>
            </w:r>
          </w:p>
        </w:tc>
        <w:tc>
          <w:tcPr>
            <w:tcW w:w="5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8F8D3F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ул. Володарского, 3</w:t>
            </w:r>
          </w:p>
        </w:tc>
        <w:tc>
          <w:tcPr>
            <w:tcW w:w="412" w:type="dxa"/>
            <w:tcBorders>
              <w:top w:val="single" w:sz="4" w:space="0" w:color="000000"/>
              <w:left w:val="single" w:sz="4" w:space="0" w:color="000000"/>
              <w:bottom w:val="single" w:sz="4" w:space="0" w:color="000000"/>
              <w:right w:val="single" w:sz="4" w:space="0" w:color="000000"/>
            </w:tcBorders>
            <w:shd w:val="clear" w:color="FFFFFF" w:fill="FFFFFF"/>
            <w:tcMar>
              <w:top w:w="0" w:type="dxa"/>
              <w:left w:w="108" w:type="dxa"/>
              <w:bottom w:w="0" w:type="dxa"/>
              <w:right w:w="108" w:type="dxa"/>
            </w:tcMar>
            <w:vAlign w:val="center"/>
          </w:tcPr>
          <w:p w14:paraId="7CE8463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K1v2</w:t>
            </w:r>
          </w:p>
        </w:tc>
        <w:tc>
          <w:tcPr>
            <w:tcW w:w="0" w:type="auto"/>
            <w:vMerge/>
            <w:tcBorders>
              <w:top w:val="single" w:sz="4" w:space="0" w:color="000000"/>
              <w:left w:val="single" w:sz="4" w:space="0" w:color="000000"/>
              <w:bottom w:val="single" w:sz="4" w:space="0" w:color="000000"/>
              <w:right w:val="single" w:sz="4" w:space="0" w:color="000000"/>
            </w:tcBorders>
          </w:tcPr>
          <w:p w14:paraId="75DB1DEC" w14:textId="77777777" w:rsidR="00171AA8" w:rsidRPr="00731FE2" w:rsidRDefault="00171AA8">
            <w:pPr>
              <w:rPr>
                <w:rFonts w:ascii="Times New Roman" w:hAnsi="Times New Roman" w:cs="Times New Roman"/>
                <w:sz w:val="16"/>
                <w:szCs w:val="16"/>
              </w:rPr>
            </w:pPr>
          </w:p>
        </w:tc>
        <w:tc>
          <w:tcPr>
            <w:tcW w:w="0" w:type="auto"/>
            <w:vMerge/>
            <w:tcBorders>
              <w:top w:val="single" w:sz="4" w:space="0" w:color="000000"/>
              <w:left w:val="single" w:sz="4" w:space="0" w:color="000000"/>
              <w:bottom w:val="single" w:sz="4" w:space="0" w:color="000000"/>
              <w:right w:val="single" w:sz="4" w:space="0" w:color="000000"/>
            </w:tcBorders>
          </w:tcPr>
          <w:p w14:paraId="7217D480" w14:textId="77777777" w:rsidR="00171AA8" w:rsidRPr="00731FE2" w:rsidRDefault="00171AA8">
            <w:pPr>
              <w:rPr>
                <w:rFonts w:ascii="Times New Roman" w:hAnsi="Times New Roman" w:cs="Times New Roman"/>
                <w:sz w:val="16"/>
                <w:szCs w:val="16"/>
              </w:rPr>
            </w:pPr>
          </w:p>
        </w:tc>
        <w:tc>
          <w:tcPr>
            <w:tcW w:w="4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74036C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4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5812E2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325"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17D4762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8317048,94</w:t>
            </w:r>
          </w:p>
        </w:tc>
        <w:tc>
          <w:tcPr>
            <w:tcW w:w="333"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4CC62DF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4865385,28</w:t>
            </w:r>
          </w:p>
        </w:tc>
        <w:tc>
          <w:tcPr>
            <w:tcW w:w="37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69DDDDC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276"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7F9209F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377"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2095071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43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103D1C2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43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136EADA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3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807FE0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0" w:type="auto"/>
            <w:vMerge/>
            <w:tcBorders>
              <w:top w:val="single" w:sz="4" w:space="0" w:color="000000"/>
              <w:left w:val="single" w:sz="4" w:space="0" w:color="000000"/>
              <w:bottom w:val="single" w:sz="4" w:space="0" w:color="000000"/>
              <w:right w:val="single" w:sz="4" w:space="0" w:color="000000"/>
            </w:tcBorders>
          </w:tcPr>
          <w:p w14:paraId="05A9857A" w14:textId="77777777" w:rsidR="00171AA8" w:rsidRPr="00731FE2" w:rsidRDefault="00171AA8">
            <w:pPr>
              <w:rPr>
                <w:rFonts w:ascii="Times New Roman" w:hAnsi="Times New Roman" w:cs="Times New Roman"/>
                <w:sz w:val="16"/>
                <w:szCs w:val="16"/>
              </w:rPr>
            </w:pPr>
          </w:p>
        </w:tc>
        <w:tc>
          <w:tcPr>
            <w:tcW w:w="576"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5372438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500"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61948FD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4,4-5,4</w:t>
            </w:r>
          </w:p>
        </w:tc>
        <w:tc>
          <w:tcPr>
            <w:tcW w:w="272"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1B5E2A9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6"/>
                <w:szCs w:val="16"/>
              </w:rPr>
            </w:pPr>
            <w:r w:rsidRPr="00731FE2">
              <w:rPr>
                <w:rFonts w:ascii="Times New Roman" w:eastAsia="Arial Narrow" w:hAnsi="Times New Roman" w:cs="Times New Roman"/>
                <w:color w:val="000000"/>
                <w:sz w:val="16"/>
                <w:szCs w:val="16"/>
              </w:rPr>
              <w:t>1,3-2,2</w:t>
            </w:r>
          </w:p>
        </w:tc>
      </w:tr>
      <w:tr w:rsidR="00171AA8" w:rsidRPr="00731FE2" w14:paraId="7FF2761F" w14:textId="77777777">
        <w:trPr>
          <w:trHeight w:val="285"/>
        </w:trPr>
        <w:tc>
          <w:tcPr>
            <w:tcW w:w="171" w:type="dxa"/>
            <w:tcBorders>
              <w:top w:val="single" w:sz="4" w:space="0" w:color="000000"/>
              <w:left w:val="single" w:sz="4" w:space="0" w:color="000000"/>
              <w:bottom w:val="single" w:sz="4" w:space="0" w:color="000000"/>
              <w:right w:val="single" w:sz="4" w:space="0" w:color="000000"/>
            </w:tcBorders>
            <w:shd w:val="clear" w:color="FFFFFF" w:fill="FFFFFF"/>
            <w:tcMar>
              <w:top w:w="0" w:type="dxa"/>
              <w:left w:w="108" w:type="dxa"/>
              <w:bottom w:w="0" w:type="dxa"/>
              <w:right w:w="108" w:type="dxa"/>
            </w:tcMar>
            <w:vAlign w:val="center"/>
          </w:tcPr>
          <w:p w14:paraId="2722C37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15</w:t>
            </w:r>
          </w:p>
        </w:tc>
        <w:tc>
          <w:tcPr>
            <w:tcW w:w="3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BB2757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60</w:t>
            </w:r>
          </w:p>
        </w:tc>
        <w:tc>
          <w:tcPr>
            <w:tcW w:w="5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851350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ул. Коминтерна, 7</w:t>
            </w:r>
          </w:p>
        </w:tc>
        <w:tc>
          <w:tcPr>
            <w:tcW w:w="412" w:type="dxa"/>
            <w:tcBorders>
              <w:top w:val="single" w:sz="4" w:space="0" w:color="000000"/>
              <w:left w:val="single" w:sz="4" w:space="0" w:color="000000"/>
              <w:bottom w:val="single" w:sz="4" w:space="0" w:color="000000"/>
              <w:right w:val="single" w:sz="4" w:space="0" w:color="000000"/>
            </w:tcBorders>
            <w:shd w:val="clear" w:color="FFFFFF" w:fill="FFFFFF"/>
            <w:tcMar>
              <w:top w:w="0" w:type="dxa"/>
              <w:left w:w="108" w:type="dxa"/>
              <w:bottom w:w="0" w:type="dxa"/>
              <w:right w:w="108" w:type="dxa"/>
            </w:tcMar>
            <w:vAlign w:val="center"/>
          </w:tcPr>
          <w:p w14:paraId="2E6BABC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K1v2</w:t>
            </w:r>
          </w:p>
        </w:tc>
        <w:tc>
          <w:tcPr>
            <w:tcW w:w="0" w:type="auto"/>
            <w:vMerge/>
            <w:tcBorders>
              <w:top w:val="single" w:sz="4" w:space="0" w:color="000000"/>
              <w:left w:val="single" w:sz="4" w:space="0" w:color="000000"/>
              <w:bottom w:val="single" w:sz="4" w:space="0" w:color="000000"/>
              <w:right w:val="single" w:sz="4" w:space="0" w:color="000000"/>
            </w:tcBorders>
          </w:tcPr>
          <w:p w14:paraId="73A8C1A9" w14:textId="77777777" w:rsidR="00171AA8" w:rsidRPr="00731FE2" w:rsidRDefault="00171AA8">
            <w:pPr>
              <w:rPr>
                <w:rFonts w:ascii="Times New Roman" w:hAnsi="Times New Roman" w:cs="Times New Roman"/>
                <w:sz w:val="16"/>
                <w:szCs w:val="16"/>
              </w:rPr>
            </w:pPr>
          </w:p>
        </w:tc>
        <w:tc>
          <w:tcPr>
            <w:tcW w:w="0" w:type="auto"/>
            <w:vMerge/>
            <w:tcBorders>
              <w:top w:val="single" w:sz="4" w:space="0" w:color="000000"/>
              <w:left w:val="single" w:sz="4" w:space="0" w:color="000000"/>
              <w:bottom w:val="single" w:sz="4" w:space="0" w:color="000000"/>
              <w:right w:val="single" w:sz="4" w:space="0" w:color="000000"/>
            </w:tcBorders>
          </w:tcPr>
          <w:p w14:paraId="2C1A533A" w14:textId="77777777" w:rsidR="00171AA8" w:rsidRPr="00731FE2" w:rsidRDefault="00171AA8">
            <w:pPr>
              <w:rPr>
                <w:rFonts w:ascii="Times New Roman" w:hAnsi="Times New Roman" w:cs="Times New Roman"/>
                <w:sz w:val="16"/>
                <w:szCs w:val="16"/>
              </w:rPr>
            </w:pPr>
          </w:p>
        </w:tc>
        <w:tc>
          <w:tcPr>
            <w:tcW w:w="4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8F7A20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4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F0FA4B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325"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362F90F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8316806,19</w:t>
            </w:r>
          </w:p>
        </w:tc>
        <w:tc>
          <w:tcPr>
            <w:tcW w:w="333"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59DA522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4865240,63</w:t>
            </w:r>
          </w:p>
        </w:tc>
        <w:tc>
          <w:tcPr>
            <w:tcW w:w="37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278EF2B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276"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32015D8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377"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796E974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43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22AD78D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43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7400F2D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3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37036A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0" w:type="auto"/>
            <w:vMerge/>
            <w:tcBorders>
              <w:top w:val="single" w:sz="4" w:space="0" w:color="000000"/>
              <w:left w:val="single" w:sz="4" w:space="0" w:color="000000"/>
              <w:bottom w:val="single" w:sz="4" w:space="0" w:color="000000"/>
              <w:right w:val="single" w:sz="4" w:space="0" w:color="000000"/>
            </w:tcBorders>
          </w:tcPr>
          <w:p w14:paraId="62EDB940" w14:textId="77777777" w:rsidR="00171AA8" w:rsidRPr="00731FE2" w:rsidRDefault="00171AA8">
            <w:pPr>
              <w:rPr>
                <w:rFonts w:ascii="Times New Roman" w:hAnsi="Times New Roman" w:cs="Times New Roman"/>
                <w:sz w:val="16"/>
                <w:szCs w:val="16"/>
              </w:rPr>
            </w:pPr>
          </w:p>
        </w:tc>
        <w:tc>
          <w:tcPr>
            <w:tcW w:w="576"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54E8AD8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500"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7D55253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3,1-3,4</w:t>
            </w:r>
          </w:p>
        </w:tc>
        <w:tc>
          <w:tcPr>
            <w:tcW w:w="272"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4681E31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6"/>
                <w:szCs w:val="16"/>
              </w:rPr>
            </w:pPr>
            <w:r w:rsidRPr="00731FE2">
              <w:rPr>
                <w:rFonts w:ascii="Times New Roman" w:eastAsia="Arial Narrow" w:hAnsi="Times New Roman" w:cs="Times New Roman"/>
                <w:color w:val="000000"/>
                <w:sz w:val="16"/>
                <w:szCs w:val="16"/>
              </w:rPr>
              <w:t>1,5-1,9</w:t>
            </w:r>
          </w:p>
        </w:tc>
      </w:tr>
      <w:tr w:rsidR="00171AA8" w:rsidRPr="00731FE2" w14:paraId="4183F665" w14:textId="77777777">
        <w:trPr>
          <w:trHeight w:val="285"/>
        </w:trPr>
        <w:tc>
          <w:tcPr>
            <w:tcW w:w="171"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13AA720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16</w:t>
            </w:r>
          </w:p>
        </w:tc>
        <w:tc>
          <w:tcPr>
            <w:tcW w:w="3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CE47C3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62</w:t>
            </w:r>
          </w:p>
        </w:tc>
        <w:tc>
          <w:tcPr>
            <w:tcW w:w="5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47CFF8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 xml:space="preserve">пр. Мира, во дворе пансионата </w:t>
            </w:r>
            <w:r w:rsidRPr="00731FE2">
              <w:rPr>
                <w:rStyle w:val="af6"/>
                <w:rFonts w:ascii="Times New Roman" w:hAnsi="Times New Roman" w:cs="Times New Roman"/>
                <w:color w:val="auto"/>
                <w:sz w:val="16"/>
                <w:szCs w:val="16"/>
                <w:u w:val="none"/>
              </w:rPr>
              <w:lastRenderedPageBreak/>
              <w:t>"Кисловодск"</w:t>
            </w:r>
          </w:p>
        </w:tc>
        <w:tc>
          <w:tcPr>
            <w:tcW w:w="412" w:type="dxa"/>
            <w:tcBorders>
              <w:top w:val="single" w:sz="4" w:space="0" w:color="000000"/>
              <w:left w:val="single" w:sz="4" w:space="0" w:color="000000"/>
              <w:bottom w:val="single" w:sz="4" w:space="0" w:color="000000"/>
              <w:right w:val="single" w:sz="4" w:space="0" w:color="000000"/>
            </w:tcBorders>
            <w:shd w:val="clear" w:color="FFFFFF" w:fill="FFFFFF"/>
            <w:tcMar>
              <w:top w:w="0" w:type="dxa"/>
              <w:left w:w="108" w:type="dxa"/>
              <w:bottom w:w="0" w:type="dxa"/>
              <w:right w:w="108" w:type="dxa"/>
            </w:tcMar>
            <w:vAlign w:val="center"/>
          </w:tcPr>
          <w:p w14:paraId="3A63997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lastRenderedPageBreak/>
              <w:t>K1v2</w:t>
            </w:r>
          </w:p>
        </w:tc>
        <w:tc>
          <w:tcPr>
            <w:tcW w:w="0" w:type="auto"/>
            <w:vMerge/>
            <w:tcBorders>
              <w:top w:val="single" w:sz="4" w:space="0" w:color="000000"/>
              <w:left w:val="single" w:sz="4" w:space="0" w:color="000000"/>
              <w:bottom w:val="single" w:sz="4" w:space="0" w:color="000000"/>
              <w:right w:val="single" w:sz="4" w:space="0" w:color="000000"/>
            </w:tcBorders>
          </w:tcPr>
          <w:p w14:paraId="1A031F48" w14:textId="77777777" w:rsidR="00171AA8" w:rsidRPr="00731FE2" w:rsidRDefault="00171AA8">
            <w:pPr>
              <w:rPr>
                <w:rFonts w:ascii="Times New Roman" w:hAnsi="Times New Roman" w:cs="Times New Roman"/>
                <w:sz w:val="16"/>
                <w:szCs w:val="16"/>
              </w:rPr>
            </w:pPr>
          </w:p>
        </w:tc>
        <w:tc>
          <w:tcPr>
            <w:tcW w:w="0" w:type="auto"/>
            <w:vMerge/>
            <w:tcBorders>
              <w:top w:val="single" w:sz="4" w:space="0" w:color="000000"/>
              <w:left w:val="single" w:sz="4" w:space="0" w:color="000000"/>
              <w:bottom w:val="single" w:sz="4" w:space="0" w:color="000000"/>
              <w:right w:val="single" w:sz="4" w:space="0" w:color="000000"/>
            </w:tcBorders>
          </w:tcPr>
          <w:p w14:paraId="04D3D7B7" w14:textId="77777777" w:rsidR="00171AA8" w:rsidRPr="00731FE2" w:rsidRDefault="00171AA8">
            <w:pPr>
              <w:rPr>
                <w:rFonts w:ascii="Times New Roman" w:hAnsi="Times New Roman" w:cs="Times New Roman"/>
                <w:sz w:val="16"/>
                <w:szCs w:val="16"/>
              </w:rPr>
            </w:pPr>
          </w:p>
        </w:tc>
        <w:tc>
          <w:tcPr>
            <w:tcW w:w="4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E0730B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4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4E3CC6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325"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32250D3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8316608,41</w:t>
            </w:r>
          </w:p>
        </w:tc>
        <w:tc>
          <w:tcPr>
            <w:tcW w:w="333"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5278DE9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4865341,54</w:t>
            </w:r>
          </w:p>
        </w:tc>
        <w:tc>
          <w:tcPr>
            <w:tcW w:w="37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0200C22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276"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7225A7A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377"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299D050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43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07D62B1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43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3E40EE5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3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C058F7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0" w:type="auto"/>
            <w:vMerge/>
            <w:tcBorders>
              <w:top w:val="single" w:sz="4" w:space="0" w:color="000000"/>
              <w:left w:val="single" w:sz="4" w:space="0" w:color="000000"/>
              <w:bottom w:val="single" w:sz="4" w:space="0" w:color="000000"/>
              <w:right w:val="single" w:sz="4" w:space="0" w:color="000000"/>
            </w:tcBorders>
          </w:tcPr>
          <w:p w14:paraId="5C5EE4EF" w14:textId="77777777" w:rsidR="00171AA8" w:rsidRPr="00731FE2" w:rsidRDefault="00171AA8">
            <w:pPr>
              <w:rPr>
                <w:rFonts w:ascii="Times New Roman" w:hAnsi="Times New Roman" w:cs="Times New Roman"/>
                <w:sz w:val="16"/>
                <w:szCs w:val="16"/>
              </w:rPr>
            </w:pPr>
          </w:p>
        </w:tc>
        <w:tc>
          <w:tcPr>
            <w:tcW w:w="576"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3F8190F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500"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68A271D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0,9-1,2</w:t>
            </w:r>
          </w:p>
        </w:tc>
        <w:tc>
          <w:tcPr>
            <w:tcW w:w="272"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3AF76FA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6"/>
                <w:szCs w:val="16"/>
              </w:rPr>
            </w:pPr>
            <w:r w:rsidRPr="00731FE2">
              <w:rPr>
                <w:rFonts w:ascii="Times New Roman" w:eastAsia="Arial Narrow" w:hAnsi="Times New Roman" w:cs="Times New Roman"/>
                <w:color w:val="000000"/>
                <w:sz w:val="16"/>
                <w:szCs w:val="16"/>
              </w:rPr>
              <w:t>0,2-0,5</w:t>
            </w:r>
          </w:p>
        </w:tc>
      </w:tr>
      <w:tr w:rsidR="00171AA8" w:rsidRPr="00731FE2" w14:paraId="4E62E4FE" w14:textId="77777777">
        <w:trPr>
          <w:trHeight w:val="285"/>
        </w:trPr>
        <w:tc>
          <w:tcPr>
            <w:tcW w:w="171" w:type="dxa"/>
            <w:tcBorders>
              <w:top w:val="single" w:sz="4" w:space="0" w:color="000000"/>
              <w:left w:val="single" w:sz="4" w:space="0" w:color="000000"/>
              <w:bottom w:val="single" w:sz="4" w:space="0" w:color="000000"/>
              <w:right w:val="single" w:sz="4" w:space="0" w:color="000000"/>
            </w:tcBorders>
            <w:shd w:val="clear" w:color="FFFFFF" w:fill="FFFFFF"/>
            <w:tcMar>
              <w:top w:w="0" w:type="dxa"/>
              <w:left w:w="108" w:type="dxa"/>
              <w:bottom w:w="0" w:type="dxa"/>
              <w:right w:w="108" w:type="dxa"/>
            </w:tcMar>
            <w:vAlign w:val="center"/>
          </w:tcPr>
          <w:p w14:paraId="7E90638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lastRenderedPageBreak/>
              <w:t>17</w:t>
            </w:r>
          </w:p>
        </w:tc>
        <w:tc>
          <w:tcPr>
            <w:tcW w:w="3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446D59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67</w:t>
            </w:r>
          </w:p>
        </w:tc>
        <w:tc>
          <w:tcPr>
            <w:tcW w:w="5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C7BACB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ул. Красноармейская, 1 (пам. Ленину)</w:t>
            </w:r>
          </w:p>
        </w:tc>
        <w:tc>
          <w:tcPr>
            <w:tcW w:w="412" w:type="dxa"/>
            <w:tcBorders>
              <w:top w:val="single" w:sz="4" w:space="0" w:color="000000"/>
              <w:left w:val="single" w:sz="4" w:space="0" w:color="000000"/>
              <w:bottom w:val="single" w:sz="4" w:space="0" w:color="000000"/>
              <w:right w:val="single" w:sz="4" w:space="0" w:color="000000"/>
            </w:tcBorders>
            <w:shd w:val="clear" w:color="FFFFFF" w:fill="FFFFFF"/>
            <w:tcMar>
              <w:top w:w="0" w:type="dxa"/>
              <w:left w:w="108" w:type="dxa"/>
              <w:bottom w:w="0" w:type="dxa"/>
              <w:right w:w="108" w:type="dxa"/>
            </w:tcMar>
            <w:vAlign w:val="center"/>
          </w:tcPr>
          <w:p w14:paraId="1F9C985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K1v2</w:t>
            </w:r>
          </w:p>
        </w:tc>
        <w:tc>
          <w:tcPr>
            <w:tcW w:w="0" w:type="auto"/>
            <w:vMerge/>
            <w:tcBorders>
              <w:top w:val="single" w:sz="4" w:space="0" w:color="000000"/>
              <w:left w:val="single" w:sz="4" w:space="0" w:color="000000"/>
              <w:bottom w:val="single" w:sz="4" w:space="0" w:color="000000"/>
              <w:right w:val="single" w:sz="4" w:space="0" w:color="000000"/>
            </w:tcBorders>
          </w:tcPr>
          <w:p w14:paraId="558CB7CA" w14:textId="77777777" w:rsidR="00171AA8" w:rsidRPr="00731FE2" w:rsidRDefault="00171AA8">
            <w:pPr>
              <w:rPr>
                <w:rFonts w:ascii="Times New Roman" w:hAnsi="Times New Roman" w:cs="Times New Roman"/>
                <w:sz w:val="16"/>
                <w:szCs w:val="16"/>
              </w:rPr>
            </w:pPr>
          </w:p>
        </w:tc>
        <w:tc>
          <w:tcPr>
            <w:tcW w:w="0" w:type="auto"/>
            <w:vMerge/>
            <w:tcBorders>
              <w:top w:val="single" w:sz="4" w:space="0" w:color="000000"/>
              <w:left w:val="single" w:sz="4" w:space="0" w:color="000000"/>
              <w:bottom w:val="single" w:sz="4" w:space="0" w:color="000000"/>
              <w:right w:val="single" w:sz="4" w:space="0" w:color="000000"/>
            </w:tcBorders>
          </w:tcPr>
          <w:p w14:paraId="1273A218" w14:textId="77777777" w:rsidR="00171AA8" w:rsidRPr="00731FE2" w:rsidRDefault="00171AA8">
            <w:pPr>
              <w:rPr>
                <w:rFonts w:ascii="Times New Roman" w:hAnsi="Times New Roman" w:cs="Times New Roman"/>
                <w:sz w:val="16"/>
                <w:szCs w:val="16"/>
              </w:rPr>
            </w:pPr>
          </w:p>
        </w:tc>
        <w:tc>
          <w:tcPr>
            <w:tcW w:w="4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91E20C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4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3DD272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325"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2633AC2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8316554,75</w:t>
            </w:r>
          </w:p>
        </w:tc>
        <w:tc>
          <w:tcPr>
            <w:tcW w:w="333"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27603BB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4865169,74</w:t>
            </w:r>
          </w:p>
        </w:tc>
        <w:tc>
          <w:tcPr>
            <w:tcW w:w="37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31DFDCB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276"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7423D86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377"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1E3306B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43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2696A0E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43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7BA8B89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3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2BEEC9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0" w:type="auto"/>
            <w:vMerge/>
            <w:tcBorders>
              <w:top w:val="single" w:sz="4" w:space="0" w:color="000000"/>
              <w:left w:val="single" w:sz="4" w:space="0" w:color="000000"/>
              <w:bottom w:val="single" w:sz="4" w:space="0" w:color="000000"/>
              <w:right w:val="single" w:sz="4" w:space="0" w:color="000000"/>
            </w:tcBorders>
          </w:tcPr>
          <w:p w14:paraId="41877EC7" w14:textId="77777777" w:rsidR="00171AA8" w:rsidRPr="00731FE2" w:rsidRDefault="00171AA8">
            <w:pPr>
              <w:rPr>
                <w:rFonts w:ascii="Times New Roman" w:hAnsi="Times New Roman" w:cs="Times New Roman"/>
                <w:sz w:val="16"/>
                <w:szCs w:val="16"/>
              </w:rPr>
            </w:pPr>
          </w:p>
        </w:tc>
        <w:tc>
          <w:tcPr>
            <w:tcW w:w="576"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06175FE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500"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49C7D37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0,8-1,3</w:t>
            </w:r>
          </w:p>
        </w:tc>
        <w:tc>
          <w:tcPr>
            <w:tcW w:w="272"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1207C02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6"/>
                <w:szCs w:val="16"/>
              </w:rPr>
            </w:pPr>
            <w:r w:rsidRPr="00731FE2">
              <w:rPr>
                <w:rFonts w:ascii="Times New Roman" w:eastAsia="Arial Narrow" w:hAnsi="Times New Roman" w:cs="Times New Roman"/>
                <w:color w:val="000000"/>
                <w:sz w:val="16"/>
                <w:szCs w:val="16"/>
              </w:rPr>
              <w:t>0,1-0,5</w:t>
            </w:r>
          </w:p>
        </w:tc>
      </w:tr>
      <w:tr w:rsidR="00171AA8" w:rsidRPr="00731FE2" w14:paraId="7E7DC9FC" w14:textId="77777777">
        <w:trPr>
          <w:trHeight w:val="285"/>
        </w:trPr>
        <w:tc>
          <w:tcPr>
            <w:tcW w:w="171"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42F7BBC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18</w:t>
            </w:r>
          </w:p>
        </w:tc>
        <w:tc>
          <w:tcPr>
            <w:tcW w:w="3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4EC143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77</w:t>
            </w:r>
          </w:p>
        </w:tc>
        <w:tc>
          <w:tcPr>
            <w:tcW w:w="5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FD0680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Курортный парк, в 90 м к ЮВ от Колоннады, на правом берегу Ольховки</w:t>
            </w:r>
          </w:p>
        </w:tc>
        <w:tc>
          <w:tcPr>
            <w:tcW w:w="412" w:type="dxa"/>
            <w:tcBorders>
              <w:top w:val="single" w:sz="4" w:space="0" w:color="000000"/>
              <w:left w:val="single" w:sz="4" w:space="0" w:color="000000"/>
              <w:bottom w:val="single" w:sz="4" w:space="0" w:color="000000"/>
              <w:right w:val="single" w:sz="4" w:space="0" w:color="000000"/>
            </w:tcBorders>
            <w:shd w:val="clear" w:color="FFFFFF" w:fill="FFFFFF"/>
            <w:tcMar>
              <w:top w:w="0" w:type="dxa"/>
              <w:left w:w="108" w:type="dxa"/>
              <w:bottom w:w="0" w:type="dxa"/>
              <w:right w:w="108" w:type="dxa"/>
            </w:tcMar>
            <w:vAlign w:val="center"/>
          </w:tcPr>
          <w:p w14:paraId="5933E3E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K1v2</w:t>
            </w:r>
          </w:p>
        </w:tc>
        <w:tc>
          <w:tcPr>
            <w:tcW w:w="484"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6BA1AF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наблюдательная</w:t>
            </w:r>
          </w:p>
        </w:tc>
        <w:tc>
          <w:tcPr>
            <w:tcW w:w="476"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CA827C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наблюдается</w:t>
            </w:r>
          </w:p>
        </w:tc>
        <w:tc>
          <w:tcPr>
            <w:tcW w:w="4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A09E44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4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887C82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325"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3C16F90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8316730,19</w:t>
            </w:r>
          </w:p>
        </w:tc>
        <w:tc>
          <w:tcPr>
            <w:tcW w:w="333"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585B7DF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4865044,43</w:t>
            </w:r>
          </w:p>
        </w:tc>
        <w:tc>
          <w:tcPr>
            <w:tcW w:w="37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48FC6E6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276"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17255BE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377"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0F43CD5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43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3729585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43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482E3A3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3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07B8C6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326"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EC5DEA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углекислый</w:t>
            </w:r>
          </w:p>
        </w:tc>
        <w:tc>
          <w:tcPr>
            <w:tcW w:w="576"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57FC607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500"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080DE2B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1,3-3,0</w:t>
            </w:r>
          </w:p>
        </w:tc>
        <w:tc>
          <w:tcPr>
            <w:tcW w:w="272"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17BE66E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6"/>
                <w:szCs w:val="16"/>
              </w:rPr>
            </w:pPr>
            <w:r w:rsidRPr="00731FE2">
              <w:rPr>
                <w:rFonts w:ascii="Times New Roman" w:eastAsia="Arial Narrow" w:hAnsi="Times New Roman" w:cs="Times New Roman"/>
                <w:color w:val="000000"/>
                <w:sz w:val="16"/>
                <w:szCs w:val="16"/>
              </w:rPr>
              <w:t>0,5-1,7</w:t>
            </w:r>
          </w:p>
        </w:tc>
      </w:tr>
      <w:tr w:rsidR="00171AA8" w:rsidRPr="00731FE2" w14:paraId="2906F0AF" w14:textId="77777777">
        <w:trPr>
          <w:trHeight w:val="285"/>
        </w:trPr>
        <w:tc>
          <w:tcPr>
            <w:tcW w:w="171" w:type="dxa"/>
            <w:tcBorders>
              <w:top w:val="single" w:sz="4" w:space="0" w:color="000000"/>
              <w:left w:val="single" w:sz="4" w:space="0" w:color="000000"/>
              <w:bottom w:val="single" w:sz="4" w:space="0" w:color="000000"/>
              <w:right w:val="single" w:sz="4" w:space="0" w:color="000000"/>
            </w:tcBorders>
            <w:shd w:val="clear" w:color="FFFFFF" w:fill="FFFFFF"/>
            <w:tcMar>
              <w:top w:w="0" w:type="dxa"/>
              <w:left w:w="108" w:type="dxa"/>
              <w:bottom w:w="0" w:type="dxa"/>
              <w:right w:w="108" w:type="dxa"/>
            </w:tcMar>
            <w:vAlign w:val="center"/>
          </w:tcPr>
          <w:p w14:paraId="3ABAB93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19</w:t>
            </w:r>
          </w:p>
        </w:tc>
        <w:tc>
          <w:tcPr>
            <w:tcW w:w="3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8613A3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78</w:t>
            </w:r>
          </w:p>
        </w:tc>
        <w:tc>
          <w:tcPr>
            <w:tcW w:w="5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5024C4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Курортный парк, в 40 м к ЮВ от читального павильона, левый берег Ольховки</w:t>
            </w:r>
          </w:p>
        </w:tc>
        <w:tc>
          <w:tcPr>
            <w:tcW w:w="412" w:type="dxa"/>
            <w:tcBorders>
              <w:top w:val="single" w:sz="4" w:space="0" w:color="000000"/>
              <w:left w:val="single" w:sz="4" w:space="0" w:color="000000"/>
              <w:bottom w:val="single" w:sz="4" w:space="0" w:color="000000"/>
              <w:right w:val="single" w:sz="4" w:space="0" w:color="000000"/>
            </w:tcBorders>
            <w:shd w:val="clear" w:color="FFFFFF" w:fill="FFFFFF"/>
            <w:tcMar>
              <w:top w:w="0" w:type="dxa"/>
              <w:left w:w="108" w:type="dxa"/>
              <w:bottom w:w="0" w:type="dxa"/>
              <w:right w:w="108" w:type="dxa"/>
            </w:tcMar>
            <w:vAlign w:val="center"/>
          </w:tcPr>
          <w:p w14:paraId="34344D6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K1v2</w:t>
            </w:r>
          </w:p>
        </w:tc>
        <w:tc>
          <w:tcPr>
            <w:tcW w:w="0" w:type="auto"/>
            <w:vMerge/>
            <w:tcBorders>
              <w:top w:val="single" w:sz="4" w:space="0" w:color="000000"/>
              <w:left w:val="single" w:sz="4" w:space="0" w:color="000000"/>
              <w:bottom w:val="single" w:sz="4" w:space="0" w:color="000000"/>
              <w:right w:val="single" w:sz="4" w:space="0" w:color="000000"/>
            </w:tcBorders>
          </w:tcPr>
          <w:p w14:paraId="55894E11" w14:textId="77777777" w:rsidR="00171AA8" w:rsidRPr="00731FE2" w:rsidRDefault="00171AA8">
            <w:pPr>
              <w:rPr>
                <w:rFonts w:ascii="Times New Roman" w:hAnsi="Times New Roman" w:cs="Times New Roman"/>
                <w:sz w:val="16"/>
                <w:szCs w:val="16"/>
              </w:rPr>
            </w:pPr>
          </w:p>
        </w:tc>
        <w:tc>
          <w:tcPr>
            <w:tcW w:w="0" w:type="auto"/>
            <w:vMerge/>
            <w:tcBorders>
              <w:top w:val="single" w:sz="4" w:space="0" w:color="000000"/>
              <w:left w:val="single" w:sz="4" w:space="0" w:color="000000"/>
              <w:bottom w:val="single" w:sz="4" w:space="0" w:color="000000"/>
              <w:right w:val="single" w:sz="4" w:space="0" w:color="000000"/>
            </w:tcBorders>
          </w:tcPr>
          <w:p w14:paraId="0F84B520" w14:textId="77777777" w:rsidR="00171AA8" w:rsidRPr="00731FE2" w:rsidRDefault="00171AA8">
            <w:pPr>
              <w:rPr>
                <w:rFonts w:ascii="Times New Roman" w:hAnsi="Times New Roman" w:cs="Times New Roman"/>
                <w:sz w:val="16"/>
                <w:szCs w:val="16"/>
              </w:rPr>
            </w:pPr>
          </w:p>
        </w:tc>
        <w:tc>
          <w:tcPr>
            <w:tcW w:w="4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125430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4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D89121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325"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4E87351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8316805,00</w:t>
            </w:r>
          </w:p>
        </w:tc>
        <w:tc>
          <w:tcPr>
            <w:tcW w:w="333"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340CE3E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4864914,48</w:t>
            </w:r>
          </w:p>
        </w:tc>
        <w:tc>
          <w:tcPr>
            <w:tcW w:w="37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6D8F533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276"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2E77E6A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377"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48D7885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43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0F95D03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43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01609AD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3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220853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0" w:type="auto"/>
            <w:vMerge/>
            <w:tcBorders>
              <w:top w:val="single" w:sz="4" w:space="0" w:color="000000"/>
              <w:left w:val="single" w:sz="4" w:space="0" w:color="000000"/>
              <w:bottom w:val="single" w:sz="4" w:space="0" w:color="000000"/>
              <w:right w:val="single" w:sz="4" w:space="0" w:color="000000"/>
            </w:tcBorders>
          </w:tcPr>
          <w:p w14:paraId="64A46746" w14:textId="77777777" w:rsidR="00171AA8" w:rsidRPr="00731FE2" w:rsidRDefault="00171AA8">
            <w:pPr>
              <w:rPr>
                <w:rFonts w:ascii="Times New Roman" w:hAnsi="Times New Roman" w:cs="Times New Roman"/>
                <w:sz w:val="16"/>
                <w:szCs w:val="16"/>
              </w:rPr>
            </w:pPr>
          </w:p>
        </w:tc>
        <w:tc>
          <w:tcPr>
            <w:tcW w:w="576"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121AE66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500"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2D05246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1,2-1,9</w:t>
            </w:r>
          </w:p>
        </w:tc>
        <w:tc>
          <w:tcPr>
            <w:tcW w:w="272"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3952655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6"/>
                <w:szCs w:val="16"/>
              </w:rPr>
            </w:pPr>
            <w:r w:rsidRPr="00731FE2">
              <w:rPr>
                <w:rFonts w:ascii="Times New Roman" w:eastAsia="Arial Narrow" w:hAnsi="Times New Roman" w:cs="Times New Roman"/>
                <w:color w:val="000000"/>
                <w:sz w:val="16"/>
                <w:szCs w:val="16"/>
              </w:rPr>
              <w:t>0,3-0,8</w:t>
            </w:r>
          </w:p>
        </w:tc>
      </w:tr>
      <w:tr w:rsidR="00171AA8" w:rsidRPr="00731FE2" w14:paraId="763A7DBD" w14:textId="77777777">
        <w:trPr>
          <w:trHeight w:val="285"/>
        </w:trPr>
        <w:tc>
          <w:tcPr>
            <w:tcW w:w="171"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0A4C2BE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20</w:t>
            </w:r>
          </w:p>
        </w:tc>
        <w:tc>
          <w:tcPr>
            <w:tcW w:w="3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73C73C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79</w:t>
            </w:r>
          </w:p>
        </w:tc>
        <w:tc>
          <w:tcPr>
            <w:tcW w:w="5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532DB6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пр. Мира, 10</w:t>
            </w:r>
          </w:p>
        </w:tc>
        <w:tc>
          <w:tcPr>
            <w:tcW w:w="412" w:type="dxa"/>
            <w:tcBorders>
              <w:top w:val="single" w:sz="4" w:space="0" w:color="000000"/>
              <w:left w:val="single" w:sz="4" w:space="0" w:color="000000"/>
              <w:bottom w:val="single" w:sz="4" w:space="0" w:color="000000"/>
              <w:right w:val="single" w:sz="4" w:space="0" w:color="000000"/>
            </w:tcBorders>
            <w:shd w:val="clear" w:color="FFFFFF" w:fill="FFFFFF"/>
            <w:tcMar>
              <w:top w:w="0" w:type="dxa"/>
              <w:left w:w="108" w:type="dxa"/>
              <w:bottom w:w="0" w:type="dxa"/>
              <w:right w:w="108" w:type="dxa"/>
            </w:tcMar>
            <w:vAlign w:val="center"/>
          </w:tcPr>
          <w:p w14:paraId="1B18FD0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K1v2</w:t>
            </w:r>
          </w:p>
        </w:tc>
        <w:tc>
          <w:tcPr>
            <w:tcW w:w="0" w:type="auto"/>
            <w:vMerge/>
            <w:tcBorders>
              <w:top w:val="single" w:sz="4" w:space="0" w:color="000000"/>
              <w:left w:val="single" w:sz="4" w:space="0" w:color="000000"/>
              <w:bottom w:val="single" w:sz="4" w:space="0" w:color="000000"/>
              <w:right w:val="single" w:sz="4" w:space="0" w:color="000000"/>
            </w:tcBorders>
          </w:tcPr>
          <w:p w14:paraId="28AED460" w14:textId="77777777" w:rsidR="00171AA8" w:rsidRPr="00731FE2" w:rsidRDefault="00171AA8">
            <w:pPr>
              <w:rPr>
                <w:rFonts w:ascii="Times New Roman" w:hAnsi="Times New Roman" w:cs="Times New Roman"/>
                <w:sz w:val="16"/>
                <w:szCs w:val="16"/>
              </w:rPr>
            </w:pPr>
          </w:p>
        </w:tc>
        <w:tc>
          <w:tcPr>
            <w:tcW w:w="0" w:type="auto"/>
            <w:vMerge/>
            <w:tcBorders>
              <w:top w:val="single" w:sz="4" w:space="0" w:color="000000"/>
              <w:left w:val="single" w:sz="4" w:space="0" w:color="000000"/>
              <w:bottom w:val="single" w:sz="4" w:space="0" w:color="000000"/>
              <w:right w:val="single" w:sz="4" w:space="0" w:color="000000"/>
            </w:tcBorders>
          </w:tcPr>
          <w:p w14:paraId="56162584" w14:textId="77777777" w:rsidR="00171AA8" w:rsidRPr="00731FE2" w:rsidRDefault="00171AA8">
            <w:pPr>
              <w:rPr>
                <w:rFonts w:ascii="Times New Roman" w:hAnsi="Times New Roman" w:cs="Times New Roman"/>
                <w:sz w:val="16"/>
                <w:szCs w:val="16"/>
              </w:rPr>
            </w:pPr>
          </w:p>
        </w:tc>
        <w:tc>
          <w:tcPr>
            <w:tcW w:w="4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AAA0D1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4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8C5513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325"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24CABD9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8316466,74</w:t>
            </w:r>
          </w:p>
        </w:tc>
        <w:tc>
          <w:tcPr>
            <w:tcW w:w="333"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10D7622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4864943,60</w:t>
            </w:r>
          </w:p>
        </w:tc>
        <w:tc>
          <w:tcPr>
            <w:tcW w:w="37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31DD636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276"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153A920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377"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0301C25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43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758906E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43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24DAA57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3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30A6CA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0" w:type="auto"/>
            <w:vMerge/>
            <w:tcBorders>
              <w:top w:val="single" w:sz="4" w:space="0" w:color="000000"/>
              <w:left w:val="single" w:sz="4" w:space="0" w:color="000000"/>
              <w:bottom w:val="single" w:sz="4" w:space="0" w:color="000000"/>
              <w:right w:val="single" w:sz="4" w:space="0" w:color="000000"/>
            </w:tcBorders>
          </w:tcPr>
          <w:p w14:paraId="71F7BCED" w14:textId="77777777" w:rsidR="00171AA8" w:rsidRPr="00731FE2" w:rsidRDefault="00171AA8">
            <w:pPr>
              <w:rPr>
                <w:rFonts w:ascii="Times New Roman" w:hAnsi="Times New Roman" w:cs="Times New Roman"/>
                <w:sz w:val="16"/>
                <w:szCs w:val="16"/>
              </w:rPr>
            </w:pPr>
          </w:p>
        </w:tc>
        <w:tc>
          <w:tcPr>
            <w:tcW w:w="576"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4817C40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500"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52C780E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1,1-1,3</w:t>
            </w:r>
          </w:p>
        </w:tc>
        <w:tc>
          <w:tcPr>
            <w:tcW w:w="272"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4AA9FC2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6"/>
                <w:szCs w:val="16"/>
              </w:rPr>
            </w:pPr>
            <w:r w:rsidRPr="00731FE2">
              <w:rPr>
                <w:rFonts w:ascii="Times New Roman" w:eastAsia="Arial Narrow" w:hAnsi="Times New Roman" w:cs="Times New Roman"/>
                <w:color w:val="000000"/>
                <w:sz w:val="16"/>
                <w:szCs w:val="16"/>
              </w:rPr>
              <w:t>0,3-0,5</w:t>
            </w:r>
          </w:p>
        </w:tc>
      </w:tr>
      <w:tr w:rsidR="00171AA8" w:rsidRPr="00731FE2" w14:paraId="02B62459" w14:textId="77777777">
        <w:trPr>
          <w:trHeight w:val="1134"/>
        </w:trPr>
        <w:tc>
          <w:tcPr>
            <w:tcW w:w="171" w:type="dxa"/>
            <w:tcBorders>
              <w:top w:val="single" w:sz="4" w:space="0" w:color="000000"/>
              <w:left w:val="single" w:sz="4" w:space="0" w:color="000000"/>
              <w:bottom w:val="single" w:sz="4" w:space="0" w:color="000000"/>
              <w:right w:val="single" w:sz="4" w:space="0" w:color="000000"/>
            </w:tcBorders>
            <w:shd w:val="clear" w:color="FFFFFF" w:fill="FFFFFF"/>
            <w:tcMar>
              <w:top w:w="0" w:type="dxa"/>
              <w:left w:w="108" w:type="dxa"/>
              <w:bottom w:w="0" w:type="dxa"/>
              <w:right w:w="108" w:type="dxa"/>
            </w:tcMar>
            <w:vAlign w:val="center"/>
          </w:tcPr>
          <w:p w14:paraId="3CF6B04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21</w:t>
            </w:r>
          </w:p>
        </w:tc>
        <w:tc>
          <w:tcPr>
            <w:tcW w:w="3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ED4530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Финкгейзер</w:t>
            </w:r>
          </w:p>
        </w:tc>
        <w:tc>
          <w:tcPr>
            <w:tcW w:w="5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281195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через дорогу от "Гранд-отеля", вблизи пересечения пр. Первомайского и пер. Яновского</w:t>
            </w:r>
          </w:p>
        </w:tc>
        <w:tc>
          <w:tcPr>
            <w:tcW w:w="412" w:type="dxa"/>
            <w:tcBorders>
              <w:top w:val="single" w:sz="4" w:space="0" w:color="000000"/>
              <w:left w:val="single" w:sz="4" w:space="0" w:color="000000"/>
              <w:bottom w:val="single" w:sz="4" w:space="0" w:color="000000"/>
              <w:right w:val="single" w:sz="4" w:space="0" w:color="000000"/>
            </w:tcBorders>
            <w:shd w:val="clear" w:color="FFFFFF" w:fill="FFFFFF"/>
            <w:tcMar>
              <w:top w:w="0" w:type="dxa"/>
              <w:left w:w="108" w:type="dxa"/>
              <w:bottom w:w="0" w:type="dxa"/>
              <w:right w:w="108" w:type="dxa"/>
            </w:tcMar>
            <w:vAlign w:val="center"/>
          </w:tcPr>
          <w:p w14:paraId="7DB5FF7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K1v2</w:t>
            </w:r>
          </w:p>
        </w:tc>
        <w:tc>
          <w:tcPr>
            <w:tcW w:w="0" w:type="auto"/>
            <w:vMerge/>
            <w:tcBorders>
              <w:top w:val="single" w:sz="4" w:space="0" w:color="000000"/>
              <w:left w:val="single" w:sz="4" w:space="0" w:color="000000"/>
              <w:bottom w:val="single" w:sz="4" w:space="0" w:color="000000"/>
              <w:right w:val="single" w:sz="4" w:space="0" w:color="000000"/>
            </w:tcBorders>
          </w:tcPr>
          <w:p w14:paraId="4A1732EE" w14:textId="77777777" w:rsidR="00171AA8" w:rsidRPr="00731FE2" w:rsidRDefault="00171AA8">
            <w:pPr>
              <w:rPr>
                <w:rFonts w:ascii="Times New Roman" w:hAnsi="Times New Roman" w:cs="Times New Roman"/>
                <w:sz w:val="16"/>
                <w:szCs w:val="16"/>
              </w:rPr>
            </w:pPr>
          </w:p>
        </w:tc>
        <w:tc>
          <w:tcPr>
            <w:tcW w:w="0" w:type="auto"/>
            <w:vMerge/>
            <w:tcBorders>
              <w:top w:val="single" w:sz="4" w:space="0" w:color="000000"/>
              <w:left w:val="single" w:sz="4" w:space="0" w:color="000000"/>
              <w:bottom w:val="single" w:sz="4" w:space="0" w:color="000000"/>
              <w:right w:val="single" w:sz="4" w:space="0" w:color="000000"/>
            </w:tcBorders>
          </w:tcPr>
          <w:p w14:paraId="7709AA1A" w14:textId="77777777" w:rsidR="00171AA8" w:rsidRPr="00731FE2" w:rsidRDefault="00171AA8">
            <w:pPr>
              <w:rPr>
                <w:rFonts w:ascii="Times New Roman" w:hAnsi="Times New Roman" w:cs="Times New Roman"/>
                <w:sz w:val="16"/>
                <w:szCs w:val="16"/>
              </w:rPr>
            </w:pPr>
          </w:p>
        </w:tc>
        <w:tc>
          <w:tcPr>
            <w:tcW w:w="4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8CF98E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4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F29169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325"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4654FF7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8316496,14</w:t>
            </w:r>
          </w:p>
        </w:tc>
        <w:tc>
          <w:tcPr>
            <w:tcW w:w="333"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45DA4DA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4865255,38</w:t>
            </w:r>
          </w:p>
        </w:tc>
        <w:tc>
          <w:tcPr>
            <w:tcW w:w="37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62E2DBE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276"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341C43D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377"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3B63EED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43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03CE967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43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276FC78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3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64532A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0" w:type="auto"/>
            <w:vMerge/>
            <w:tcBorders>
              <w:top w:val="single" w:sz="4" w:space="0" w:color="000000"/>
              <w:left w:val="single" w:sz="4" w:space="0" w:color="000000"/>
              <w:bottom w:val="single" w:sz="4" w:space="0" w:color="000000"/>
              <w:right w:val="single" w:sz="4" w:space="0" w:color="000000"/>
            </w:tcBorders>
          </w:tcPr>
          <w:p w14:paraId="27B5BAAA" w14:textId="77777777" w:rsidR="00171AA8" w:rsidRPr="00731FE2" w:rsidRDefault="00171AA8">
            <w:pPr>
              <w:rPr>
                <w:rFonts w:ascii="Times New Roman" w:hAnsi="Times New Roman" w:cs="Times New Roman"/>
                <w:sz w:val="16"/>
                <w:szCs w:val="16"/>
              </w:rPr>
            </w:pPr>
          </w:p>
        </w:tc>
        <w:tc>
          <w:tcPr>
            <w:tcW w:w="576"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01C6DED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500"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45603BE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0,8-1,1</w:t>
            </w:r>
          </w:p>
        </w:tc>
        <w:tc>
          <w:tcPr>
            <w:tcW w:w="272"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17E68CD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6"/>
                <w:szCs w:val="16"/>
              </w:rPr>
            </w:pPr>
            <w:r w:rsidRPr="00731FE2">
              <w:rPr>
                <w:rFonts w:ascii="Times New Roman" w:eastAsia="Arial Narrow" w:hAnsi="Times New Roman" w:cs="Times New Roman"/>
                <w:color w:val="000000"/>
                <w:sz w:val="16"/>
                <w:szCs w:val="16"/>
              </w:rPr>
              <w:t>0,02-0,30</w:t>
            </w:r>
          </w:p>
        </w:tc>
      </w:tr>
      <w:tr w:rsidR="00171AA8" w:rsidRPr="00731FE2" w14:paraId="0D014AAF" w14:textId="77777777">
        <w:trPr>
          <w:trHeight w:val="285"/>
        </w:trPr>
        <w:tc>
          <w:tcPr>
            <w:tcW w:w="171"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209D10B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22</w:t>
            </w:r>
          </w:p>
        </w:tc>
        <w:tc>
          <w:tcPr>
            <w:tcW w:w="3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496568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95-бис</w:t>
            </w:r>
          </w:p>
        </w:tc>
        <w:tc>
          <w:tcPr>
            <w:tcW w:w="5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6817B8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ул. Урицкого, 1 (сан. Долина нарзанов), на клубе против главного Корпуса</w:t>
            </w:r>
          </w:p>
        </w:tc>
        <w:tc>
          <w:tcPr>
            <w:tcW w:w="412" w:type="dxa"/>
            <w:tcBorders>
              <w:top w:val="single" w:sz="4" w:space="0" w:color="000000"/>
              <w:left w:val="single" w:sz="4" w:space="0" w:color="000000"/>
              <w:bottom w:val="single" w:sz="4" w:space="0" w:color="000000"/>
              <w:right w:val="single" w:sz="4" w:space="0" w:color="000000"/>
            </w:tcBorders>
            <w:shd w:val="clear" w:color="FFFFFF" w:fill="FFFFFF"/>
            <w:tcMar>
              <w:top w:w="0" w:type="dxa"/>
              <w:left w:w="108" w:type="dxa"/>
              <w:bottom w:w="0" w:type="dxa"/>
              <w:right w:w="108" w:type="dxa"/>
            </w:tcMar>
            <w:vAlign w:val="center"/>
          </w:tcPr>
          <w:p w14:paraId="406D2D7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K1v1</w:t>
            </w:r>
          </w:p>
        </w:tc>
        <w:tc>
          <w:tcPr>
            <w:tcW w:w="0" w:type="auto"/>
            <w:vMerge/>
            <w:tcBorders>
              <w:top w:val="single" w:sz="4" w:space="0" w:color="000000"/>
              <w:left w:val="single" w:sz="4" w:space="0" w:color="000000"/>
              <w:bottom w:val="single" w:sz="4" w:space="0" w:color="000000"/>
              <w:right w:val="single" w:sz="4" w:space="0" w:color="000000"/>
            </w:tcBorders>
          </w:tcPr>
          <w:p w14:paraId="3775B08E" w14:textId="77777777" w:rsidR="00171AA8" w:rsidRPr="00731FE2" w:rsidRDefault="00171AA8">
            <w:pPr>
              <w:rPr>
                <w:rFonts w:ascii="Times New Roman" w:hAnsi="Times New Roman" w:cs="Times New Roman"/>
                <w:sz w:val="16"/>
                <w:szCs w:val="16"/>
              </w:rPr>
            </w:pPr>
          </w:p>
        </w:tc>
        <w:tc>
          <w:tcPr>
            <w:tcW w:w="0" w:type="auto"/>
            <w:vMerge/>
            <w:tcBorders>
              <w:top w:val="single" w:sz="4" w:space="0" w:color="000000"/>
              <w:left w:val="single" w:sz="4" w:space="0" w:color="000000"/>
              <w:bottom w:val="single" w:sz="4" w:space="0" w:color="000000"/>
              <w:right w:val="single" w:sz="4" w:space="0" w:color="000000"/>
            </w:tcBorders>
          </w:tcPr>
          <w:p w14:paraId="39030344" w14:textId="77777777" w:rsidR="00171AA8" w:rsidRPr="00731FE2" w:rsidRDefault="00171AA8">
            <w:pPr>
              <w:rPr>
                <w:rFonts w:ascii="Times New Roman" w:hAnsi="Times New Roman" w:cs="Times New Roman"/>
                <w:sz w:val="16"/>
                <w:szCs w:val="16"/>
              </w:rPr>
            </w:pPr>
          </w:p>
        </w:tc>
        <w:tc>
          <w:tcPr>
            <w:tcW w:w="4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3A10CB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4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471872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325"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6259846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8316958,62</w:t>
            </w:r>
          </w:p>
        </w:tc>
        <w:tc>
          <w:tcPr>
            <w:tcW w:w="333"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1F3962F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4865859,44</w:t>
            </w:r>
          </w:p>
        </w:tc>
        <w:tc>
          <w:tcPr>
            <w:tcW w:w="37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7795BD9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276"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46976EB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377"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3A7E93E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43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24FC0A3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43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741F990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3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B3F316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0" w:type="auto"/>
            <w:vMerge/>
            <w:tcBorders>
              <w:top w:val="single" w:sz="4" w:space="0" w:color="000000"/>
              <w:left w:val="single" w:sz="4" w:space="0" w:color="000000"/>
              <w:bottom w:val="single" w:sz="4" w:space="0" w:color="000000"/>
              <w:right w:val="single" w:sz="4" w:space="0" w:color="000000"/>
            </w:tcBorders>
          </w:tcPr>
          <w:p w14:paraId="42565624" w14:textId="77777777" w:rsidR="00171AA8" w:rsidRPr="00731FE2" w:rsidRDefault="00171AA8">
            <w:pPr>
              <w:rPr>
                <w:rFonts w:ascii="Times New Roman" w:hAnsi="Times New Roman" w:cs="Times New Roman"/>
                <w:sz w:val="16"/>
                <w:szCs w:val="16"/>
              </w:rPr>
            </w:pPr>
          </w:p>
        </w:tc>
        <w:tc>
          <w:tcPr>
            <w:tcW w:w="576"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05337F5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500"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23A810E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4,2-4,7</w:t>
            </w:r>
          </w:p>
        </w:tc>
        <w:tc>
          <w:tcPr>
            <w:tcW w:w="272"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019D5CE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6"/>
                <w:szCs w:val="16"/>
              </w:rPr>
            </w:pPr>
            <w:r w:rsidRPr="00731FE2">
              <w:rPr>
                <w:rFonts w:ascii="Times New Roman" w:eastAsia="Arial Narrow" w:hAnsi="Times New Roman" w:cs="Times New Roman"/>
                <w:color w:val="000000"/>
                <w:sz w:val="16"/>
                <w:szCs w:val="16"/>
              </w:rPr>
              <w:t>1,6-2,3</w:t>
            </w:r>
          </w:p>
        </w:tc>
      </w:tr>
      <w:tr w:rsidR="00171AA8" w:rsidRPr="00731FE2" w14:paraId="22CCBA64" w14:textId="77777777">
        <w:trPr>
          <w:trHeight w:val="285"/>
        </w:trPr>
        <w:tc>
          <w:tcPr>
            <w:tcW w:w="171" w:type="dxa"/>
            <w:tcBorders>
              <w:top w:val="single" w:sz="4" w:space="0" w:color="000000"/>
              <w:left w:val="single" w:sz="4" w:space="0" w:color="000000"/>
              <w:bottom w:val="single" w:sz="4" w:space="0" w:color="000000"/>
              <w:right w:val="single" w:sz="4" w:space="0" w:color="000000"/>
            </w:tcBorders>
            <w:shd w:val="clear" w:color="FFFFFF" w:fill="FFFFFF"/>
            <w:tcMar>
              <w:top w:w="0" w:type="dxa"/>
              <w:left w:w="108" w:type="dxa"/>
              <w:bottom w:w="0" w:type="dxa"/>
              <w:right w:w="108" w:type="dxa"/>
            </w:tcMar>
            <w:vAlign w:val="center"/>
          </w:tcPr>
          <w:p w14:paraId="059AC35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23</w:t>
            </w:r>
          </w:p>
        </w:tc>
        <w:tc>
          <w:tcPr>
            <w:tcW w:w="3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D45971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101</w:t>
            </w:r>
          </w:p>
        </w:tc>
        <w:tc>
          <w:tcPr>
            <w:tcW w:w="5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1C16C4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 xml:space="preserve">во дворе сан. Красный Партизан </w:t>
            </w:r>
          </w:p>
        </w:tc>
        <w:tc>
          <w:tcPr>
            <w:tcW w:w="412" w:type="dxa"/>
            <w:tcBorders>
              <w:top w:val="single" w:sz="4" w:space="0" w:color="000000"/>
              <w:left w:val="single" w:sz="4" w:space="0" w:color="000000"/>
              <w:bottom w:val="single" w:sz="4" w:space="0" w:color="000000"/>
              <w:right w:val="single" w:sz="4" w:space="0" w:color="000000"/>
            </w:tcBorders>
            <w:shd w:val="clear" w:color="FFFFFF" w:fill="FFFFFF"/>
            <w:tcMar>
              <w:top w:w="0" w:type="dxa"/>
              <w:left w:w="108" w:type="dxa"/>
              <w:bottom w:w="0" w:type="dxa"/>
              <w:right w:w="108" w:type="dxa"/>
            </w:tcMar>
            <w:vAlign w:val="center"/>
          </w:tcPr>
          <w:p w14:paraId="44640D7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K1v1</w:t>
            </w:r>
          </w:p>
        </w:tc>
        <w:tc>
          <w:tcPr>
            <w:tcW w:w="0" w:type="auto"/>
            <w:vMerge/>
            <w:tcBorders>
              <w:top w:val="single" w:sz="4" w:space="0" w:color="000000"/>
              <w:left w:val="single" w:sz="4" w:space="0" w:color="000000"/>
              <w:bottom w:val="single" w:sz="4" w:space="0" w:color="000000"/>
              <w:right w:val="single" w:sz="4" w:space="0" w:color="000000"/>
            </w:tcBorders>
          </w:tcPr>
          <w:p w14:paraId="4D646CDF" w14:textId="77777777" w:rsidR="00171AA8" w:rsidRPr="00731FE2" w:rsidRDefault="00171AA8">
            <w:pPr>
              <w:rPr>
                <w:rFonts w:ascii="Times New Roman" w:hAnsi="Times New Roman" w:cs="Times New Roman"/>
                <w:sz w:val="16"/>
                <w:szCs w:val="16"/>
              </w:rPr>
            </w:pPr>
          </w:p>
        </w:tc>
        <w:tc>
          <w:tcPr>
            <w:tcW w:w="0" w:type="auto"/>
            <w:vMerge/>
            <w:tcBorders>
              <w:top w:val="single" w:sz="4" w:space="0" w:color="000000"/>
              <w:left w:val="single" w:sz="4" w:space="0" w:color="000000"/>
              <w:bottom w:val="single" w:sz="4" w:space="0" w:color="000000"/>
              <w:right w:val="single" w:sz="4" w:space="0" w:color="000000"/>
            </w:tcBorders>
          </w:tcPr>
          <w:p w14:paraId="20B18DD1" w14:textId="77777777" w:rsidR="00171AA8" w:rsidRPr="00731FE2" w:rsidRDefault="00171AA8">
            <w:pPr>
              <w:rPr>
                <w:rFonts w:ascii="Times New Roman" w:hAnsi="Times New Roman" w:cs="Times New Roman"/>
                <w:sz w:val="16"/>
                <w:szCs w:val="16"/>
              </w:rPr>
            </w:pPr>
          </w:p>
        </w:tc>
        <w:tc>
          <w:tcPr>
            <w:tcW w:w="4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69A467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4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78F391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325"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4C8F42F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8316472,35</w:t>
            </w:r>
          </w:p>
        </w:tc>
        <w:tc>
          <w:tcPr>
            <w:tcW w:w="333"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2F07C19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4865227,00</w:t>
            </w:r>
          </w:p>
        </w:tc>
        <w:tc>
          <w:tcPr>
            <w:tcW w:w="37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579A6D8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276"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5A68022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377"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6327313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43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7196DFE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43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4419204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3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2F7F87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0" w:type="auto"/>
            <w:vMerge/>
            <w:tcBorders>
              <w:top w:val="single" w:sz="4" w:space="0" w:color="000000"/>
              <w:left w:val="single" w:sz="4" w:space="0" w:color="000000"/>
              <w:bottom w:val="single" w:sz="4" w:space="0" w:color="000000"/>
              <w:right w:val="single" w:sz="4" w:space="0" w:color="000000"/>
            </w:tcBorders>
          </w:tcPr>
          <w:p w14:paraId="4E03E1AB" w14:textId="77777777" w:rsidR="00171AA8" w:rsidRPr="00731FE2" w:rsidRDefault="00171AA8">
            <w:pPr>
              <w:rPr>
                <w:rFonts w:ascii="Times New Roman" w:hAnsi="Times New Roman" w:cs="Times New Roman"/>
                <w:sz w:val="16"/>
                <w:szCs w:val="16"/>
              </w:rPr>
            </w:pPr>
          </w:p>
        </w:tc>
        <w:tc>
          <w:tcPr>
            <w:tcW w:w="576"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05F5414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500"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2CD6FB3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1,1-1,7</w:t>
            </w:r>
          </w:p>
        </w:tc>
        <w:tc>
          <w:tcPr>
            <w:tcW w:w="272"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4E6F66E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6"/>
                <w:szCs w:val="16"/>
              </w:rPr>
            </w:pPr>
            <w:r w:rsidRPr="00731FE2">
              <w:rPr>
                <w:rFonts w:ascii="Times New Roman" w:eastAsia="Arial Narrow" w:hAnsi="Times New Roman" w:cs="Times New Roman"/>
                <w:color w:val="000000"/>
                <w:sz w:val="16"/>
                <w:szCs w:val="16"/>
              </w:rPr>
              <w:t>0,1-0,4</w:t>
            </w:r>
          </w:p>
        </w:tc>
      </w:tr>
      <w:tr w:rsidR="00171AA8" w:rsidRPr="00731FE2" w14:paraId="3A968EAA" w14:textId="77777777">
        <w:trPr>
          <w:trHeight w:val="285"/>
        </w:trPr>
        <w:tc>
          <w:tcPr>
            <w:tcW w:w="171"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2317407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24</w:t>
            </w:r>
          </w:p>
        </w:tc>
        <w:tc>
          <w:tcPr>
            <w:tcW w:w="3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E108FD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103</w:t>
            </w:r>
          </w:p>
        </w:tc>
        <w:tc>
          <w:tcPr>
            <w:tcW w:w="5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C6ADB9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 xml:space="preserve">Курортный парк, 15 м ЮВ Колоннады </w:t>
            </w:r>
          </w:p>
        </w:tc>
        <w:tc>
          <w:tcPr>
            <w:tcW w:w="412" w:type="dxa"/>
            <w:tcBorders>
              <w:top w:val="single" w:sz="4" w:space="0" w:color="000000"/>
              <w:left w:val="single" w:sz="4" w:space="0" w:color="000000"/>
              <w:bottom w:val="single" w:sz="4" w:space="0" w:color="000000"/>
              <w:right w:val="single" w:sz="4" w:space="0" w:color="000000"/>
            </w:tcBorders>
            <w:shd w:val="clear" w:color="FFFFFF" w:fill="FFFFFF"/>
            <w:tcMar>
              <w:top w:w="0" w:type="dxa"/>
              <w:left w:w="108" w:type="dxa"/>
              <w:bottom w:w="0" w:type="dxa"/>
              <w:right w:w="108" w:type="dxa"/>
            </w:tcMar>
            <w:vAlign w:val="center"/>
          </w:tcPr>
          <w:p w14:paraId="5A76D0F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K1v1</w:t>
            </w:r>
          </w:p>
        </w:tc>
        <w:tc>
          <w:tcPr>
            <w:tcW w:w="0" w:type="auto"/>
            <w:vMerge/>
            <w:tcBorders>
              <w:top w:val="single" w:sz="4" w:space="0" w:color="000000"/>
              <w:left w:val="single" w:sz="4" w:space="0" w:color="000000"/>
              <w:bottom w:val="single" w:sz="4" w:space="0" w:color="000000"/>
              <w:right w:val="single" w:sz="4" w:space="0" w:color="000000"/>
            </w:tcBorders>
          </w:tcPr>
          <w:p w14:paraId="1B3BC563" w14:textId="77777777" w:rsidR="00171AA8" w:rsidRPr="00731FE2" w:rsidRDefault="00171AA8">
            <w:pPr>
              <w:rPr>
                <w:rFonts w:ascii="Times New Roman" w:hAnsi="Times New Roman" w:cs="Times New Roman"/>
                <w:sz w:val="16"/>
                <w:szCs w:val="16"/>
              </w:rPr>
            </w:pPr>
          </w:p>
        </w:tc>
        <w:tc>
          <w:tcPr>
            <w:tcW w:w="0" w:type="auto"/>
            <w:vMerge/>
            <w:tcBorders>
              <w:top w:val="single" w:sz="4" w:space="0" w:color="000000"/>
              <w:left w:val="single" w:sz="4" w:space="0" w:color="000000"/>
              <w:bottom w:val="single" w:sz="4" w:space="0" w:color="000000"/>
              <w:right w:val="single" w:sz="4" w:space="0" w:color="000000"/>
            </w:tcBorders>
          </w:tcPr>
          <w:p w14:paraId="5F103424" w14:textId="77777777" w:rsidR="00171AA8" w:rsidRPr="00731FE2" w:rsidRDefault="00171AA8">
            <w:pPr>
              <w:rPr>
                <w:rFonts w:ascii="Times New Roman" w:hAnsi="Times New Roman" w:cs="Times New Roman"/>
                <w:sz w:val="16"/>
                <w:szCs w:val="16"/>
              </w:rPr>
            </w:pPr>
          </w:p>
        </w:tc>
        <w:tc>
          <w:tcPr>
            <w:tcW w:w="4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BAD265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4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CA59D1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325"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48887D5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8316692,28</w:t>
            </w:r>
          </w:p>
        </w:tc>
        <w:tc>
          <w:tcPr>
            <w:tcW w:w="333"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373DEB8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4865184,16</w:t>
            </w:r>
          </w:p>
        </w:tc>
        <w:tc>
          <w:tcPr>
            <w:tcW w:w="37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5D81108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276"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3B63E24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377"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01EBE84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43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523BA22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43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54C84CE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3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33BBE4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0" w:type="auto"/>
            <w:vMerge/>
            <w:tcBorders>
              <w:top w:val="single" w:sz="4" w:space="0" w:color="000000"/>
              <w:left w:val="single" w:sz="4" w:space="0" w:color="000000"/>
              <w:bottom w:val="single" w:sz="4" w:space="0" w:color="000000"/>
              <w:right w:val="single" w:sz="4" w:space="0" w:color="000000"/>
            </w:tcBorders>
          </w:tcPr>
          <w:p w14:paraId="460024CD" w14:textId="77777777" w:rsidR="00171AA8" w:rsidRPr="00731FE2" w:rsidRDefault="00171AA8">
            <w:pPr>
              <w:rPr>
                <w:rFonts w:ascii="Times New Roman" w:hAnsi="Times New Roman" w:cs="Times New Roman"/>
                <w:sz w:val="16"/>
                <w:szCs w:val="16"/>
              </w:rPr>
            </w:pPr>
          </w:p>
        </w:tc>
        <w:tc>
          <w:tcPr>
            <w:tcW w:w="576"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0E90B95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500"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61233BE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2,8</w:t>
            </w:r>
          </w:p>
        </w:tc>
        <w:tc>
          <w:tcPr>
            <w:tcW w:w="272"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1FBD41E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6"/>
                <w:szCs w:val="16"/>
              </w:rPr>
            </w:pPr>
            <w:r w:rsidRPr="00731FE2">
              <w:rPr>
                <w:rFonts w:ascii="Times New Roman" w:eastAsia="Arial Narrow" w:hAnsi="Times New Roman" w:cs="Times New Roman"/>
                <w:color w:val="000000"/>
                <w:sz w:val="16"/>
                <w:szCs w:val="16"/>
              </w:rPr>
              <w:t>2,4</w:t>
            </w:r>
          </w:p>
        </w:tc>
      </w:tr>
      <w:tr w:rsidR="00171AA8" w:rsidRPr="00731FE2" w14:paraId="240FDA27" w14:textId="77777777">
        <w:trPr>
          <w:trHeight w:val="285"/>
        </w:trPr>
        <w:tc>
          <w:tcPr>
            <w:tcW w:w="171" w:type="dxa"/>
            <w:tcBorders>
              <w:top w:val="single" w:sz="4" w:space="0" w:color="000000"/>
              <w:left w:val="single" w:sz="4" w:space="0" w:color="000000"/>
              <w:bottom w:val="single" w:sz="4" w:space="0" w:color="000000"/>
              <w:right w:val="single" w:sz="4" w:space="0" w:color="000000"/>
            </w:tcBorders>
            <w:shd w:val="clear" w:color="FFFFFF" w:fill="FFFFFF"/>
            <w:tcMar>
              <w:top w:w="0" w:type="dxa"/>
              <w:left w:w="108" w:type="dxa"/>
              <w:bottom w:w="0" w:type="dxa"/>
              <w:right w:w="108" w:type="dxa"/>
            </w:tcMar>
            <w:vAlign w:val="center"/>
          </w:tcPr>
          <w:p w14:paraId="3CEBF5B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lastRenderedPageBreak/>
              <w:t>25</w:t>
            </w:r>
          </w:p>
        </w:tc>
        <w:tc>
          <w:tcPr>
            <w:tcW w:w="3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33F0F4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108</w:t>
            </w:r>
          </w:p>
        </w:tc>
        <w:tc>
          <w:tcPr>
            <w:tcW w:w="5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53AED4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Южная окраина город-курорт Кисловодск, левый берег Ольховки</w:t>
            </w:r>
          </w:p>
        </w:tc>
        <w:tc>
          <w:tcPr>
            <w:tcW w:w="412" w:type="dxa"/>
            <w:tcBorders>
              <w:top w:val="single" w:sz="4" w:space="0" w:color="000000"/>
              <w:left w:val="single" w:sz="4" w:space="0" w:color="000000"/>
              <w:bottom w:val="single" w:sz="4" w:space="0" w:color="000000"/>
              <w:right w:val="single" w:sz="4" w:space="0" w:color="000000"/>
            </w:tcBorders>
            <w:shd w:val="clear" w:color="FFFFFF" w:fill="FFFFFF"/>
            <w:tcMar>
              <w:top w:w="0" w:type="dxa"/>
              <w:left w:w="108" w:type="dxa"/>
              <w:bottom w:w="0" w:type="dxa"/>
              <w:right w:w="108" w:type="dxa"/>
            </w:tcMar>
            <w:vAlign w:val="center"/>
          </w:tcPr>
          <w:p w14:paraId="20AE147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K1v1</w:t>
            </w:r>
          </w:p>
        </w:tc>
        <w:tc>
          <w:tcPr>
            <w:tcW w:w="0" w:type="auto"/>
            <w:vMerge/>
            <w:tcBorders>
              <w:top w:val="single" w:sz="4" w:space="0" w:color="000000"/>
              <w:left w:val="single" w:sz="4" w:space="0" w:color="000000"/>
              <w:bottom w:val="single" w:sz="4" w:space="0" w:color="000000"/>
              <w:right w:val="single" w:sz="4" w:space="0" w:color="000000"/>
            </w:tcBorders>
          </w:tcPr>
          <w:p w14:paraId="5152DD62" w14:textId="77777777" w:rsidR="00171AA8" w:rsidRPr="00731FE2" w:rsidRDefault="00171AA8">
            <w:pPr>
              <w:rPr>
                <w:rFonts w:ascii="Times New Roman" w:hAnsi="Times New Roman" w:cs="Times New Roman"/>
                <w:sz w:val="16"/>
                <w:szCs w:val="16"/>
              </w:rPr>
            </w:pPr>
          </w:p>
        </w:tc>
        <w:tc>
          <w:tcPr>
            <w:tcW w:w="0" w:type="auto"/>
            <w:vMerge/>
            <w:tcBorders>
              <w:top w:val="single" w:sz="4" w:space="0" w:color="000000"/>
              <w:left w:val="single" w:sz="4" w:space="0" w:color="000000"/>
              <w:bottom w:val="single" w:sz="4" w:space="0" w:color="000000"/>
              <w:right w:val="single" w:sz="4" w:space="0" w:color="000000"/>
            </w:tcBorders>
          </w:tcPr>
          <w:p w14:paraId="7303EA7D" w14:textId="77777777" w:rsidR="00171AA8" w:rsidRPr="00731FE2" w:rsidRDefault="00171AA8">
            <w:pPr>
              <w:rPr>
                <w:rFonts w:ascii="Times New Roman" w:hAnsi="Times New Roman" w:cs="Times New Roman"/>
                <w:sz w:val="16"/>
                <w:szCs w:val="16"/>
              </w:rPr>
            </w:pPr>
          </w:p>
        </w:tc>
        <w:tc>
          <w:tcPr>
            <w:tcW w:w="4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847C13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4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3CBFB9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325"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737F10D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8317654,86</w:t>
            </w:r>
          </w:p>
        </w:tc>
        <w:tc>
          <w:tcPr>
            <w:tcW w:w="333"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6CB5EB3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4862800,55</w:t>
            </w:r>
          </w:p>
        </w:tc>
        <w:tc>
          <w:tcPr>
            <w:tcW w:w="37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1A0E42A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276"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301EC84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377"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27F5D83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43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1D752F1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43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339D6A0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3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8F8E64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0" w:type="auto"/>
            <w:vMerge/>
            <w:tcBorders>
              <w:top w:val="single" w:sz="4" w:space="0" w:color="000000"/>
              <w:left w:val="single" w:sz="4" w:space="0" w:color="000000"/>
              <w:bottom w:val="single" w:sz="4" w:space="0" w:color="000000"/>
              <w:right w:val="single" w:sz="4" w:space="0" w:color="000000"/>
            </w:tcBorders>
          </w:tcPr>
          <w:p w14:paraId="3FA829C9" w14:textId="77777777" w:rsidR="00171AA8" w:rsidRPr="00731FE2" w:rsidRDefault="00171AA8">
            <w:pPr>
              <w:rPr>
                <w:rFonts w:ascii="Times New Roman" w:hAnsi="Times New Roman" w:cs="Times New Roman"/>
                <w:sz w:val="16"/>
                <w:szCs w:val="16"/>
              </w:rPr>
            </w:pPr>
          </w:p>
        </w:tc>
        <w:tc>
          <w:tcPr>
            <w:tcW w:w="576"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3157C9A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500"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0FDEF58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0,8-1,8</w:t>
            </w:r>
          </w:p>
        </w:tc>
        <w:tc>
          <w:tcPr>
            <w:tcW w:w="272"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777D7C2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6"/>
                <w:szCs w:val="16"/>
              </w:rPr>
            </w:pPr>
            <w:r w:rsidRPr="00731FE2">
              <w:rPr>
                <w:rFonts w:ascii="Times New Roman" w:eastAsia="Arial Narrow" w:hAnsi="Times New Roman" w:cs="Times New Roman"/>
                <w:color w:val="000000"/>
                <w:sz w:val="16"/>
                <w:szCs w:val="16"/>
              </w:rPr>
              <w:t>0,3-0,5</w:t>
            </w:r>
          </w:p>
        </w:tc>
      </w:tr>
      <w:tr w:rsidR="00171AA8" w:rsidRPr="00731FE2" w14:paraId="57AB8E39" w14:textId="77777777">
        <w:trPr>
          <w:trHeight w:val="285"/>
        </w:trPr>
        <w:tc>
          <w:tcPr>
            <w:tcW w:w="171"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0F30CDD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26</w:t>
            </w:r>
          </w:p>
        </w:tc>
        <w:tc>
          <w:tcPr>
            <w:tcW w:w="3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E5518A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86</w:t>
            </w:r>
          </w:p>
        </w:tc>
        <w:tc>
          <w:tcPr>
            <w:tcW w:w="5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1A09CD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ул. Энгельса, вблизи д. 68,между улицами Калинина и Школьной</w:t>
            </w:r>
          </w:p>
        </w:tc>
        <w:tc>
          <w:tcPr>
            <w:tcW w:w="412" w:type="dxa"/>
            <w:tcBorders>
              <w:top w:val="single" w:sz="4" w:space="0" w:color="000000"/>
              <w:left w:val="single" w:sz="4" w:space="0" w:color="000000"/>
              <w:bottom w:val="single" w:sz="4" w:space="0" w:color="000000"/>
              <w:right w:val="single" w:sz="4" w:space="0" w:color="000000"/>
            </w:tcBorders>
            <w:shd w:val="clear" w:color="FFFFFF" w:fill="FFFFFF"/>
            <w:tcMar>
              <w:top w:w="0" w:type="dxa"/>
              <w:left w:w="108" w:type="dxa"/>
              <w:bottom w:w="0" w:type="dxa"/>
              <w:right w:w="108" w:type="dxa"/>
            </w:tcMar>
            <w:vAlign w:val="center"/>
          </w:tcPr>
          <w:p w14:paraId="09AC83A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K1v1</w:t>
            </w:r>
          </w:p>
        </w:tc>
        <w:tc>
          <w:tcPr>
            <w:tcW w:w="0" w:type="auto"/>
            <w:vMerge/>
            <w:tcBorders>
              <w:top w:val="single" w:sz="4" w:space="0" w:color="000000"/>
              <w:left w:val="single" w:sz="4" w:space="0" w:color="000000"/>
              <w:bottom w:val="single" w:sz="4" w:space="0" w:color="000000"/>
              <w:right w:val="single" w:sz="4" w:space="0" w:color="000000"/>
            </w:tcBorders>
          </w:tcPr>
          <w:p w14:paraId="3A423D1C" w14:textId="77777777" w:rsidR="00171AA8" w:rsidRPr="00731FE2" w:rsidRDefault="00171AA8">
            <w:pPr>
              <w:rPr>
                <w:rFonts w:ascii="Times New Roman" w:hAnsi="Times New Roman" w:cs="Times New Roman"/>
                <w:sz w:val="16"/>
                <w:szCs w:val="16"/>
              </w:rPr>
            </w:pPr>
          </w:p>
        </w:tc>
        <w:tc>
          <w:tcPr>
            <w:tcW w:w="0" w:type="auto"/>
            <w:vMerge/>
            <w:tcBorders>
              <w:top w:val="single" w:sz="4" w:space="0" w:color="000000"/>
              <w:left w:val="single" w:sz="4" w:space="0" w:color="000000"/>
              <w:bottom w:val="single" w:sz="4" w:space="0" w:color="000000"/>
              <w:right w:val="single" w:sz="4" w:space="0" w:color="000000"/>
            </w:tcBorders>
          </w:tcPr>
          <w:p w14:paraId="1A2F320E" w14:textId="77777777" w:rsidR="00171AA8" w:rsidRPr="00731FE2" w:rsidRDefault="00171AA8">
            <w:pPr>
              <w:rPr>
                <w:rFonts w:ascii="Times New Roman" w:hAnsi="Times New Roman" w:cs="Times New Roman"/>
                <w:sz w:val="16"/>
                <w:szCs w:val="16"/>
              </w:rPr>
            </w:pPr>
          </w:p>
        </w:tc>
        <w:tc>
          <w:tcPr>
            <w:tcW w:w="4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F9FFAD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4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7669C9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325"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169307B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8318296,89</w:t>
            </w:r>
          </w:p>
        </w:tc>
        <w:tc>
          <w:tcPr>
            <w:tcW w:w="333"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219B67F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4868070,06</w:t>
            </w:r>
          </w:p>
        </w:tc>
        <w:tc>
          <w:tcPr>
            <w:tcW w:w="37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61F07E4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276"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6229DDF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377"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7B35E51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43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5DA357D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43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5E6D7F8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3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9C29FF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0" w:type="auto"/>
            <w:vMerge/>
            <w:tcBorders>
              <w:top w:val="single" w:sz="4" w:space="0" w:color="000000"/>
              <w:left w:val="single" w:sz="4" w:space="0" w:color="000000"/>
              <w:bottom w:val="single" w:sz="4" w:space="0" w:color="000000"/>
              <w:right w:val="single" w:sz="4" w:space="0" w:color="000000"/>
            </w:tcBorders>
          </w:tcPr>
          <w:p w14:paraId="2A7F5724" w14:textId="77777777" w:rsidR="00171AA8" w:rsidRPr="00731FE2" w:rsidRDefault="00171AA8">
            <w:pPr>
              <w:rPr>
                <w:rFonts w:ascii="Times New Roman" w:hAnsi="Times New Roman" w:cs="Times New Roman"/>
                <w:sz w:val="16"/>
                <w:szCs w:val="16"/>
              </w:rPr>
            </w:pPr>
          </w:p>
        </w:tc>
        <w:tc>
          <w:tcPr>
            <w:tcW w:w="576"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723ED17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500"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6EF60CA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3,1</w:t>
            </w:r>
          </w:p>
        </w:tc>
        <w:tc>
          <w:tcPr>
            <w:tcW w:w="272"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705067D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6"/>
                <w:szCs w:val="16"/>
              </w:rPr>
            </w:pPr>
            <w:r w:rsidRPr="00731FE2">
              <w:rPr>
                <w:rFonts w:ascii="Times New Roman" w:eastAsia="Arial Narrow" w:hAnsi="Times New Roman" w:cs="Times New Roman"/>
                <w:color w:val="000000"/>
                <w:sz w:val="16"/>
                <w:szCs w:val="16"/>
              </w:rPr>
              <w:t>0,5</w:t>
            </w:r>
          </w:p>
        </w:tc>
      </w:tr>
      <w:tr w:rsidR="00171AA8" w:rsidRPr="00731FE2" w14:paraId="30641259" w14:textId="77777777">
        <w:trPr>
          <w:trHeight w:val="285"/>
        </w:trPr>
        <w:tc>
          <w:tcPr>
            <w:tcW w:w="171" w:type="dxa"/>
            <w:tcBorders>
              <w:top w:val="single" w:sz="4" w:space="0" w:color="000000"/>
              <w:left w:val="single" w:sz="4" w:space="0" w:color="000000"/>
              <w:bottom w:val="single" w:sz="4" w:space="0" w:color="000000"/>
              <w:right w:val="single" w:sz="4" w:space="0" w:color="000000"/>
            </w:tcBorders>
            <w:shd w:val="clear" w:color="FFFFFF" w:fill="FFFFFF"/>
            <w:tcMar>
              <w:top w:w="0" w:type="dxa"/>
              <w:left w:w="108" w:type="dxa"/>
              <w:bottom w:w="0" w:type="dxa"/>
              <w:right w:w="108" w:type="dxa"/>
            </w:tcMar>
            <w:vAlign w:val="center"/>
          </w:tcPr>
          <w:p w14:paraId="6B7BFDB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27</w:t>
            </w:r>
          </w:p>
        </w:tc>
        <w:tc>
          <w:tcPr>
            <w:tcW w:w="3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EC0591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87</w:t>
            </w:r>
          </w:p>
        </w:tc>
        <w:tc>
          <w:tcPr>
            <w:tcW w:w="5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427003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ул. Кирова, у д. 51</w:t>
            </w:r>
          </w:p>
        </w:tc>
        <w:tc>
          <w:tcPr>
            <w:tcW w:w="412" w:type="dxa"/>
            <w:tcBorders>
              <w:top w:val="single" w:sz="4" w:space="0" w:color="000000"/>
              <w:left w:val="single" w:sz="4" w:space="0" w:color="000000"/>
              <w:bottom w:val="single" w:sz="4" w:space="0" w:color="000000"/>
              <w:right w:val="single" w:sz="4" w:space="0" w:color="000000"/>
            </w:tcBorders>
            <w:shd w:val="clear" w:color="FFFFFF" w:fill="FFFFFF"/>
            <w:tcMar>
              <w:top w:w="0" w:type="dxa"/>
              <w:left w:w="108" w:type="dxa"/>
              <w:bottom w:w="0" w:type="dxa"/>
              <w:right w:w="108" w:type="dxa"/>
            </w:tcMar>
            <w:vAlign w:val="center"/>
          </w:tcPr>
          <w:p w14:paraId="673FA8D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K1v1</w:t>
            </w:r>
          </w:p>
        </w:tc>
        <w:tc>
          <w:tcPr>
            <w:tcW w:w="484"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03D847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наблюдательная</w:t>
            </w:r>
          </w:p>
        </w:tc>
        <w:tc>
          <w:tcPr>
            <w:tcW w:w="476"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310B2B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наблюдается</w:t>
            </w:r>
          </w:p>
        </w:tc>
        <w:tc>
          <w:tcPr>
            <w:tcW w:w="4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2A3C66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4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FFF4DA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325"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305329F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8317222,84</w:t>
            </w:r>
          </w:p>
        </w:tc>
        <w:tc>
          <w:tcPr>
            <w:tcW w:w="333"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017E571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4866905,14</w:t>
            </w:r>
          </w:p>
        </w:tc>
        <w:tc>
          <w:tcPr>
            <w:tcW w:w="37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66DF6C6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276"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244DEEC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377"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5CCF15C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43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0F841F7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43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5AB7980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3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04F49A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326"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CC9B66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углекислый</w:t>
            </w:r>
          </w:p>
        </w:tc>
        <w:tc>
          <w:tcPr>
            <w:tcW w:w="576"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3168723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500"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0EF2F3D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1,0-1,3</w:t>
            </w:r>
          </w:p>
        </w:tc>
        <w:tc>
          <w:tcPr>
            <w:tcW w:w="272"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1982222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6"/>
                <w:szCs w:val="16"/>
              </w:rPr>
            </w:pPr>
            <w:r w:rsidRPr="00731FE2">
              <w:rPr>
                <w:rFonts w:ascii="Times New Roman" w:eastAsia="Arial Narrow" w:hAnsi="Times New Roman" w:cs="Times New Roman"/>
                <w:color w:val="000000"/>
                <w:sz w:val="16"/>
                <w:szCs w:val="16"/>
              </w:rPr>
              <w:t>0,2-0,8</w:t>
            </w:r>
          </w:p>
        </w:tc>
      </w:tr>
      <w:tr w:rsidR="00171AA8" w:rsidRPr="00731FE2" w14:paraId="1FFDB15B" w14:textId="77777777">
        <w:trPr>
          <w:trHeight w:val="285"/>
        </w:trPr>
        <w:tc>
          <w:tcPr>
            <w:tcW w:w="171"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0A20A95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28</w:t>
            </w:r>
          </w:p>
        </w:tc>
        <w:tc>
          <w:tcPr>
            <w:tcW w:w="3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20C38C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89-а</w:t>
            </w:r>
          </w:p>
        </w:tc>
        <w:tc>
          <w:tcPr>
            <w:tcW w:w="5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9EA240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угол ул. К. Либкнехта и пр. Мира, в 30 м от д. 21</w:t>
            </w:r>
          </w:p>
        </w:tc>
        <w:tc>
          <w:tcPr>
            <w:tcW w:w="412" w:type="dxa"/>
            <w:tcBorders>
              <w:top w:val="single" w:sz="4" w:space="0" w:color="000000"/>
              <w:left w:val="single" w:sz="4" w:space="0" w:color="000000"/>
              <w:bottom w:val="single" w:sz="4" w:space="0" w:color="000000"/>
              <w:right w:val="single" w:sz="4" w:space="0" w:color="000000"/>
            </w:tcBorders>
            <w:shd w:val="clear" w:color="FFFFFF" w:fill="FFFFFF"/>
            <w:tcMar>
              <w:top w:w="0" w:type="dxa"/>
              <w:left w:w="108" w:type="dxa"/>
              <w:bottom w:w="0" w:type="dxa"/>
              <w:right w:w="108" w:type="dxa"/>
            </w:tcMar>
            <w:vAlign w:val="center"/>
          </w:tcPr>
          <w:p w14:paraId="3674C0D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K1v1</w:t>
            </w:r>
          </w:p>
        </w:tc>
        <w:tc>
          <w:tcPr>
            <w:tcW w:w="0" w:type="auto"/>
            <w:vMerge/>
            <w:tcBorders>
              <w:top w:val="single" w:sz="4" w:space="0" w:color="000000"/>
              <w:left w:val="single" w:sz="4" w:space="0" w:color="000000"/>
              <w:bottom w:val="single" w:sz="4" w:space="0" w:color="000000"/>
              <w:right w:val="single" w:sz="4" w:space="0" w:color="000000"/>
            </w:tcBorders>
          </w:tcPr>
          <w:p w14:paraId="3816B699" w14:textId="77777777" w:rsidR="00171AA8" w:rsidRPr="00731FE2" w:rsidRDefault="00171AA8">
            <w:pPr>
              <w:rPr>
                <w:rFonts w:ascii="Times New Roman" w:hAnsi="Times New Roman" w:cs="Times New Roman"/>
                <w:sz w:val="16"/>
                <w:szCs w:val="16"/>
              </w:rPr>
            </w:pPr>
          </w:p>
        </w:tc>
        <w:tc>
          <w:tcPr>
            <w:tcW w:w="0" w:type="auto"/>
            <w:vMerge/>
            <w:tcBorders>
              <w:top w:val="single" w:sz="4" w:space="0" w:color="000000"/>
              <w:left w:val="single" w:sz="4" w:space="0" w:color="000000"/>
              <w:bottom w:val="single" w:sz="4" w:space="0" w:color="000000"/>
              <w:right w:val="single" w:sz="4" w:space="0" w:color="000000"/>
            </w:tcBorders>
          </w:tcPr>
          <w:p w14:paraId="5A67D1CA" w14:textId="77777777" w:rsidR="00171AA8" w:rsidRPr="00731FE2" w:rsidRDefault="00171AA8">
            <w:pPr>
              <w:rPr>
                <w:rFonts w:ascii="Times New Roman" w:hAnsi="Times New Roman" w:cs="Times New Roman"/>
                <w:sz w:val="16"/>
                <w:szCs w:val="16"/>
              </w:rPr>
            </w:pPr>
          </w:p>
        </w:tc>
        <w:tc>
          <w:tcPr>
            <w:tcW w:w="4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BE813C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4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14C0B5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325"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0D5B019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8316736,52</w:t>
            </w:r>
          </w:p>
        </w:tc>
        <w:tc>
          <w:tcPr>
            <w:tcW w:w="333"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7758A55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4866493,54</w:t>
            </w:r>
          </w:p>
        </w:tc>
        <w:tc>
          <w:tcPr>
            <w:tcW w:w="37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1ECBF03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276"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10CC5B4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377"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0AD5B99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43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443C80D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43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60275C1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3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103FF9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0" w:type="auto"/>
            <w:vMerge/>
            <w:tcBorders>
              <w:top w:val="single" w:sz="4" w:space="0" w:color="000000"/>
              <w:left w:val="single" w:sz="4" w:space="0" w:color="000000"/>
              <w:bottom w:val="single" w:sz="4" w:space="0" w:color="000000"/>
              <w:right w:val="single" w:sz="4" w:space="0" w:color="000000"/>
            </w:tcBorders>
          </w:tcPr>
          <w:p w14:paraId="7170667E" w14:textId="77777777" w:rsidR="00171AA8" w:rsidRPr="00731FE2" w:rsidRDefault="00171AA8">
            <w:pPr>
              <w:rPr>
                <w:rFonts w:ascii="Times New Roman" w:hAnsi="Times New Roman" w:cs="Times New Roman"/>
                <w:sz w:val="16"/>
                <w:szCs w:val="16"/>
              </w:rPr>
            </w:pPr>
          </w:p>
        </w:tc>
        <w:tc>
          <w:tcPr>
            <w:tcW w:w="576"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0018E38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500"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55DDF10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2,6-3,2</w:t>
            </w:r>
          </w:p>
        </w:tc>
        <w:tc>
          <w:tcPr>
            <w:tcW w:w="272"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3E74C02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6"/>
                <w:szCs w:val="16"/>
              </w:rPr>
            </w:pPr>
            <w:r w:rsidRPr="00731FE2">
              <w:rPr>
                <w:rFonts w:ascii="Times New Roman" w:eastAsia="Arial Narrow" w:hAnsi="Times New Roman" w:cs="Times New Roman"/>
                <w:color w:val="000000"/>
                <w:sz w:val="16"/>
                <w:szCs w:val="16"/>
              </w:rPr>
              <w:t>1,6-2,2</w:t>
            </w:r>
          </w:p>
        </w:tc>
      </w:tr>
      <w:tr w:rsidR="00171AA8" w:rsidRPr="00731FE2" w14:paraId="2F800328" w14:textId="77777777">
        <w:trPr>
          <w:trHeight w:val="285"/>
        </w:trPr>
        <w:tc>
          <w:tcPr>
            <w:tcW w:w="171" w:type="dxa"/>
            <w:tcBorders>
              <w:top w:val="single" w:sz="4" w:space="0" w:color="000000"/>
              <w:left w:val="single" w:sz="4" w:space="0" w:color="000000"/>
              <w:bottom w:val="single" w:sz="4" w:space="0" w:color="000000"/>
              <w:right w:val="single" w:sz="4" w:space="0" w:color="000000"/>
            </w:tcBorders>
            <w:shd w:val="clear" w:color="FFFFFF" w:fill="FFFFFF"/>
            <w:tcMar>
              <w:top w:w="0" w:type="dxa"/>
              <w:left w:w="108" w:type="dxa"/>
              <w:bottom w:w="0" w:type="dxa"/>
              <w:right w:w="108" w:type="dxa"/>
            </w:tcMar>
            <w:vAlign w:val="center"/>
          </w:tcPr>
          <w:p w14:paraId="6289A13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29</w:t>
            </w:r>
          </w:p>
        </w:tc>
        <w:tc>
          <w:tcPr>
            <w:tcW w:w="3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4FA747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91</w:t>
            </w:r>
          </w:p>
        </w:tc>
        <w:tc>
          <w:tcPr>
            <w:tcW w:w="5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75245D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ул. Тельмана, 18,возле института</w:t>
            </w:r>
          </w:p>
        </w:tc>
        <w:tc>
          <w:tcPr>
            <w:tcW w:w="412" w:type="dxa"/>
            <w:tcBorders>
              <w:top w:val="single" w:sz="4" w:space="0" w:color="000000"/>
              <w:left w:val="single" w:sz="4" w:space="0" w:color="000000"/>
              <w:bottom w:val="single" w:sz="4" w:space="0" w:color="000000"/>
              <w:right w:val="single" w:sz="4" w:space="0" w:color="000000"/>
            </w:tcBorders>
            <w:shd w:val="clear" w:color="FFFFFF" w:fill="FFFFFF"/>
            <w:tcMar>
              <w:top w:w="0" w:type="dxa"/>
              <w:left w:w="108" w:type="dxa"/>
              <w:bottom w:w="0" w:type="dxa"/>
              <w:right w:w="108" w:type="dxa"/>
            </w:tcMar>
            <w:vAlign w:val="center"/>
          </w:tcPr>
          <w:p w14:paraId="1A4DBEF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K1v1</w:t>
            </w:r>
          </w:p>
        </w:tc>
        <w:tc>
          <w:tcPr>
            <w:tcW w:w="0" w:type="auto"/>
            <w:vMerge/>
            <w:tcBorders>
              <w:top w:val="single" w:sz="4" w:space="0" w:color="000000"/>
              <w:left w:val="single" w:sz="4" w:space="0" w:color="000000"/>
              <w:bottom w:val="single" w:sz="4" w:space="0" w:color="000000"/>
              <w:right w:val="single" w:sz="4" w:space="0" w:color="000000"/>
            </w:tcBorders>
          </w:tcPr>
          <w:p w14:paraId="33A4DC1C" w14:textId="77777777" w:rsidR="00171AA8" w:rsidRPr="00731FE2" w:rsidRDefault="00171AA8">
            <w:pPr>
              <w:rPr>
                <w:rFonts w:ascii="Times New Roman" w:hAnsi="Times New Roman" w:cs="Times New Roman"/>
                <w:sz w:val="16"/>
                <w:szCs w:val="16"/>
              </w:rPr>
            </w:pPr>
          </w:p>
        </w:tc>
        <w:tc>
          <w:tcPr>
            <w:tcW w:w="0" w:type="auto"/>
            <w:vMerge/>
            <w:tcBorders>
              <w:top w:val="single" w:sz="4" w:space="0" w:color="000000"/>
              <w:left w:val="single" w:sz="4" w:space="0" w:color="000000"/>
              <w:bottom w:val="single" w:sz="4" w:space="0" w:color="000000"/>
              <w:right w:val="single" w:sz="4" w:space="0" w:color="000000"/>
            </w:tcBorders>
          </w:tcPr>
          <w:p w14:paraId="569CDCBC" w14:textId="77777777" w:rsidR="00171AA8" w:rsidRPr="00731FE2" w:rsidRDefault="00171AA8">
            <w:pPr>
              <w:rPr>
                <w:rFonts w:ascii="Times New Roman" w:hAnsi="Times New Roman" w:cs="Times New Roman"/>
                <w:sz w:val="16"/>
                <w:szCs w:val="16"/>
              </w:rPr>
            </w:pPr>
          </w:p>
        </w:tc>
        <w:tc>
          <w:tcPr>
            <w:tcW w:w="4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ACD0BD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4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74BEE0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325"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06F761D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8316095,21</w:t>
            </w:r>
          </w:p>
        </w:tc>
        <w:tc>
          <w:tcPr>
            <w:tcW w:w="333"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5B71C3D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4866068,05</w:t>
            </w:r>
          </w:p>
        </w:tc>
        <w:tc>
          <w:tcPr>
            <w:tcW w:w="37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3672A1D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276"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66B7785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377"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278F92A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43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49F987E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43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04DF791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3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C354ED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0" w:type="auto"/>
            <w:vMerge/>
            <w:tcBorders>
              <w:top w:val="single" w:sz="4" w:space="0" w:color="000000"/>
              <w:left w:val="single" w:sz="4" w:space="0" w:color="000000"/>
              <w:bottom w:val="single" w:sz="4" w:space="0" w:color="000000"/>
              <w:right w:val="single" w:sz="4" w:space="0" w:color="000000"/>
            </w:tcBorders>
          </w:tcPr>
          <w:p w14:paraId="741E154C" w14:textId="77777777" w:rsidR="00171AA8" w:rsidRPr="00731FE2" w:rsidRDefault="00171AA8">
            <w:pPr>
              <w:rPr>
                <w:rFonts w:ascii="Times New Roman" w:hAnsi="Times New Roman" w:cs="Times New Roman"/>
                <w:sz w:val="16"/>
                <w:szCs w:val="16"/>
              </w:rPr>
            </w:pPr>
          </w:p>
        </w:tc>
        <w:tc>
          <w:tcPr>
            <w:tcW w:w="576"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4123EF3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500"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1A9D968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0,9-2,0</w:t>
            </w:r>
          </w:p>
        </w:tc>
        <w:tc>
          <w:tcPr>
            <w:tcW w:w="272"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2AA5A38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6"/>
                <w:szCs w:val="16"/>
              </w:rPr>
            </w:pPr>
            <w:r w:rsidRPr="00731FE2">
              <w:rPr>
                <w:rFonts w:ascii="Times New Roman" w:eastAsia="Arial Narrow" w:hAnsi="Times New Roman" w:cs="Times New Roman"/>
                <w:color w:val="000000"/>
                <w:sz w:val="16"/>
                <w:szCs w:val="16"/>
              </w:rPr>
              <w:t>0,3-0,7</w:t>
            </w:r>
          </w:p>
        </w:tc>
      </w:tr>
      <w:tr w:rsidR="00171AA8" w:rsidRPr="00731FE2" w14:paraId="37F76BF9" w14:textId="77777777">
        <w:trPr>
          <w:trHeight w:val="285"/>
        </w:trPr>
        <w:tc>
          <w:tcPr>
            <w:tcW w:w="171"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5D05F27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30</w:t>
            </w:r>
          </w:p>
        </w:tc>
        <w:tc>
          <w:tcPr>
            <w:tcW w:w="3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832BBE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94</w:t>
            </w:r>
          </w:p>
        </w:tc>
        <w:tc>
          <w:tcPr>
            <w:tcW w:w="5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D5E96F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 xml:space="preserve">ул. Желябова, д. 19 </w:t>
            </w:r>
          </w:p>
        </w:tc>
        <w:tc>
          <w:tcPr>
            <w:tcW w:w="412" w:type="dxa"/>
            <w:tcBorders>
              <w:top w:val="single" w:sz="4" w:space="0" w:color="000000"/>
              <w:left w:val="single" w:sz="4" w:space="0" w:color="000000"/>
              <w:bottom w:val="single" w:sz="4" w:space="0" w:color="000000"/>
              <w:right w:val="single" w:sz="4" w:space="0" w:color="000000"/>
            </w:tcBorders>
            <w:shd w:val="clear" w:color="FFFFFF" w:fill="FFFFFF"/>
            <w:tcMar>
              <w:top w:w="0" w:type="dxa"/>
              <w:left w:w="108" w:type="dxa"/>
              <w:bottom w:w="0" w:type="dxa"/>
              <w:right w:w="108" w:type="dxa"/>
            </w:tcMar>
            <w:vAlign w:val="center"/>
          </w:tcPr>
          <w:p w14:paraId="10D2F8C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K1v1</w:t>
            </w:r>
          </w:p>
        </w:tc>
        <w:tc>
          <w:tcPr>
            <w:tcW w:w="0" w:type="auto"/>
            <w:vMerge/>
            <w:tcBorders>
              <w:top w:val="single" w:sz="4" w:space="0" w:color="000000"/>
              <w:left w:val="single" w:sz="4" w:space="0" w:color="000000"/>
              <w:bottom w:val="single" w:sz="4" w:space="0" w:color="000000"/>
              <w:right w:val="single" w:sz="4" w:space="0" w:color="000000"/>
            </w:tcBorders>
          </w:tcPr>
          <w:p w14:paraId="089E7264" w14:textId="77777777" w:rsidR="00171AA8" w:rsidRPr="00731FE2" w:rsidRDefault="00171AA8">
            <w:pPr>
              <w:rPr>
                <w:rFonts w:ascii="Times New Roman" w:hAnsi="Times New Roman" w:cs="Times New Roman"/>
                <w:sz w:val="16"/>
                <w:szCs w:val="16"/>
              </w:rPr>
            </w:pPr>
          </w:p>
        </w:tc>
        <w:tc>
          <w:tcPr>
            <w:tcW w:w="0" w:type="auto"/>
            <w:vMerge/>
            <w:tcBorders>
              <w:top w:val="single" w:sz="4" w:space="0" w:color="000000"/>
              <w:left w:val="single" w:sz="4" w:space="0" w:color="000000"/>
              <w:bottom w:val="single" w:sz="4" w:space="0" w:color="000000"/>
              <w:right w:val="single" w:sz="4" w:space="0" w:color="000000"/>
            </w:tcBorders>
          </w:tcPr>
          <w:p w14:paraId="41970B1E" w14:textId="77777777" w:rsidR="00171AA8" w:rsidRPr="00731FE2" w:rsidRDefault="00171AA8">
            <w:pPr>
              <w:rPr>
                <w:rFonts w:ascii="Times New Roman" w:hAnsi="Times New Roman" w:cs="Times New Roman"/>
                <w:sz w:val="16"/>
                <w:szCs w:val="16"/>
              </w:rPr>
            </w:pPr>
          </w:p>
        </w:tc>
        <w:tc>
          <w:tcPr>
            <w:tcW w:w="4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A925ED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4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C4DD30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325"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10A644E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8317448,05</w:t>
            </w:r>
          </w:p>
        </w:tc>
        <w:tc>
          <w:tcPr>
            <w:tcW w:w="333"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55AD5D8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4865961,16</w:t>
            </w:r>
          </w:p>
        </w:tc>
        <w:tc>
          <w:tcPr>
            <w:tcW w:w="37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76EAE70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276"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2CAECF1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377"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494B787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43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6F58BE7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43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3A901AF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3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567956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0" w:type="auto"/>
            <w:vMerge/>
            <w:tcBorders>
              <w:top w:val="single" w:sz="4" w:space="0" w:color="000000"/>
              <w:left w:val="single" w:sz="4" w:space="0" w:color="000000"/>
              <w:bottom w:val="single" w:sz="4" w:space="0" w:color="000000"/>
              <w:right w:val="single" w:sz="4" w:space="0" w:color="000000"/>
            </w:tcBorders>
          </w:tcPr>
          <w:p w14:paraId="31DB6D2E" w14:textId="77777777" w:rsidR="00171AA8" w:rsidRPr="00731FE2" w:rsidRDefault="00171AA8">
            <w:pPr>
              <w:rPr>
                <w:rFonts w:ascii="Times New Roman" w:hAnsi="Times New Roman" w:cs="Times New Roman"/>
                <w:sz w:val="16"/>
                <w:szCs w:val="16"/>
              </w:rPr>
            </w:pPr>
          </w:p>
        </w:tc>
        <w:tc>
          <w:tcPr>
            <w:tcW w:w="576"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49F8529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500"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5685D66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нет свед.</w:t>
            </w:r>
          </w:p>
        </w:tc>
        <w:tc>
          <w:tcPr>
            <w:tcW w:w="272"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678016C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6"/>
                <w:szCs w:val="16"/>
              </w:rPr>
            </w:pPr>
            <w:r w:rsidRPr="00731FE2">
              <w:rPr>
                <w:rFonts w:ascii="Times New Roman" w:eastAsia="Arial Narrow" w:hAnsi="Times New Roman" w:cs="Times New Roman"/>
                <w:color w:val="000000"/>
                <w:sz w:val="16"/>
                <w:szCs w:val="16"/>
              </w:rPr>
              <w:t>нет свед.</w:t>
            </w:r>
          </w:p>
        </w:tc>
      </w:tr>
      <w:tr w:rsidR="00171AA8" w:rsidRPr="00731FE2" w14:paraId="1E8A3FC7" w14:textId="77777777">
        <w:trPr>
          <w:trHeight w:val="285"/>
        </w:trPr>
        <w:tc>
          <w:tcPr>
            <w:tcW w:w="171" w:type="dxa"/>
            <w:tcBorders>
              <w:top w:val="single" w:sz="4" w:space="0" w:color="000000"/>
              <w:left w:val="single" w:sz="4" w:space="0" w:color="000000"/>
              <w:bottom w:val="single" w:sz="4" w:space="0" w:color="000000"/>
              <w:right w:val="single" w:sz="4" w:space="0" w:color="000000"/>
            </w:tcBorders>
            <w:shd w:val="clear" w:color="FFFFFF" w:fill="FFFFFF"/>
            <w:tcMar>
              <w:top w:w="0" w:type="dxa"/>
              <w:left w:w="108" w:type="dxa"/>
              <w:bottom w:w="0" w:type="dxa"/>
              <w:right w:w="108" w:type="dxa"/>
            </w:tcMar>
            <w:vAlign w:val="center"/>
          </w:tcPr>
          <w:p w14:paraId="29F5FD7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31</w:t>
            </w:r>
          </w:p>
        </w:tc>
        <w:tc>
          <w:tcPr>
            <w:tcW w:w="3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D094EB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98</w:t>
            </w:r>
          </w:p>
        </w:tc>
        <w:tc>
          <w:tcPr>
            <w:tcW w:w="5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91D9AD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ул. Володарского, 3</w:t>
            </w:r>
          </w:p>
        </w:tc>
        <w:tc>
          <w:tcPr>
            <w:tcW w:w="412" w:type="dxa"/>
            <w:tcBorders>
              <w:top w:val="single" w:sz="4" w:space="0" w:color="000000"/>
              <w:left w:val="single" w:sz="4" w:space="0" w:color="000000"/>
              <w:bottom w:val="single" w:sz="4" w:space="0" w:color="000000"/>
              <w:right w:val="single" w:sz="4" w:space="0" w:color="000000"/>
            </w:tcBorders>
            <w:shd w:val="clear" w:color="FFFFFF" w:fill="FFFFFF"/>
            <w:tcMar>
              <w:top w:w="0" w:type="dxa"/>
              <w:left w:w="108" w:type="dxa"/>
              <w:bottom w:w="0" w:type="dxa"/>
              <w:right w:w="108" w:type="dxa"/>
            </w:tcMar>
            <w:vAlign w:val="center"/>
          </w:tcPr>
          <w:p w14:paraId="0FC94A0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K1v1</w:t>
            </w:r>
          </w:p>
        </w:tc>
        <w:tc>
          <w:tcPr>
            <w:tcW w:w="0" w:type="auto"/>
            <w:vMerge/>
            <w:tcBorders>
              <w:top w:val="single" w:sz="4" w:space="0" w:color="000000"/>
              <w:left w:val="single" w:sz="4" w:space="0" w:color="000000"/>
              <w:bottom w:val="single" w:sz="4" w:space="0" w:color="000000"/>
              <w:right w:val="single" w:sz="4" w:space="0" w:color="000000"/>
            </w:tcBorders>
          </w:tcPr>
          <w:p w14:paraId="382A8D72" w14:textId="77777777" w:rsidR="00171AA8" w:rsidRPr="00731FE2" w:rsidRDefault="00171AA8">
            <w:pPr>
              <w:rPr>
                <w:rFonts w:ascii="Times New Roman" w:hAnsi="Times New Roman" w:cs="Times New Roman"/>
                <w:sz w:val="16"/>
                <w:szCs w:val="16"/>
              </w:rPr>
            </w:pPr>
          </w:p>
        </w:tc>
        <w:tc>
          <w:tcPr>
            <w:tcW w:w="0" w:type="auto"/>
            <w:vMerge/>
            <w:tcBorders>
              <w:top w:val="single" w:sz="4" w:space="0" w:color="000000"/>
              <w:left w:val="single" w:sz="4" w:space="0" w:color="000000"/>
              <w:bottom w:val="single" w:sz="4" w:space="0" w:color="000000"/>
              <w:right w:val="single" w:sz="4" w:space="0" w:color="000000"/>
            </w:tcBorders>
          </w:tcPr>
          <w:p w14:paraId="53811525" w14:textId="77777777" w:rsidR="00171AA8" w:rsidRPr="00731FE2" w:rsidRDefault="00171AA8">
            <w:pPr>
              <w:rPr>
                <w:rFonts w:ascii="Times New Roman" w:hAnsi="Times New Roman" w:cs="Times New Roman"/>
                <w:sz w:val="16"/>
                <w:szCs w:val="16"/>
              </w:rPr>
            </w:pPr>
          </w:p>
        </w:tc>
        <w:tc>
          <w:tcPr>
            <w:tcW w:w="4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A15184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4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650AAC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325"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4FB4E92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8317047,46</w:t>
            </w:r>
          </w:p>
        </w:tc>
        <w:tc>
          <w:tcPr>
            <w:tcW w:w="333"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6A61CBA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4865380,38</w:t>
            </w:r>
          </w:p>
        </w:tc>
        <w:tc>
          <w:tcPr>
            <w:tcW w:w="37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44CF500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276"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603E5F3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377"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53D74A5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43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054C06D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43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50AFE72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3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744D7E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0" w:type="auto"/>
            <w:vMerge/>
            <w:tcBorders>
              <w:top w:val="single" w:sz="4" w:space="0" w:color="000000"/>
              <w:left w:val="single" w:sz="4" w:space="0" w:color="000000"/>
              <w:bottom w:val="single" w:sz="4" w:space="0" w:color="000000"/>
              <w:right w:val="single" w:sz="4" w:space="0" w:color="000000"/>
            </w:tcBorders>
          </w:tcPr>
          <w:p w14:paraId="771CA7D7" w14:textId="77777777" w:rsidR="00171AA8" w:rsidRPr="00731FE2" w:rsidRDefault="00171AA8">
            <w:pPr>
              <w:rPr>
                <w:rFonts w:ascii="Times New Roman" w:hAnsi="Times New Roman" w:cs="Times New Roman"/>
                <w:sz w:val="16"/>
                <w:szCs w:val="16"/>
              </w:rPr>
            </w:pPr>
          </w:p>
        </w:tc>
        <w:tc>
          <w:tcPr>
            <w:tcW w:w="576"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215FCFE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500"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73B7A0D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2,8-3,7</w:t>
            </w:r>
          </w:p>
        </w:tc>
        <w:tc>
          <w:tcPr>
            <w:tcW w:w="272"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66A3373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6"/>
                <w:szCs w:val="16"/>
              </w:rPr>
            </w:pPr>
            <w:r w:rsidRPr="00731FE2">
              <w:rPr>
                <w:rFonts w:ascii="Times New Roman" w:eastAsia="Arial Narrow" w:hAnsi="Times New Roman" w:cs="Times New Roman"/>
                <w:color w:val="000000"/>
                <w:sz w:val="16"/>
                <w:szCs w:val="16"/>
              </w:rPr>
              <w:t>0,4-1,2</w:t>
            </w:r>
          </w:p>
        </w:tc>
      </w:tr>
      <w:tr w:rsidR="00171AA8" w:rsidRPr="00731FE2" w14:paraId="4AF2A1A7" w14:textId="77777777">
        <w:trPr>
          <w:trHeight w:val="285"/>
        </w:trPr>
        <w:tc>
          <w:tcPr>
            <w:tcW w:w="171"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38BD865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32</w:t>
            </w:r>
          </w:p>
        </w:tc>
        <w:tc>
          <w:tcPr>
            <w:tcW w:w="3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9D88C2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1-Т</w:t>
            </w:r>
          </w:p>
        </w:tc>
        <w:tc>
          <w:tcPr>
            <w:tcW w:w="5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385A35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пр. Ленина, в саду сан. Орджоникидзе (Димитрова), к С от нарзанных ванн</w:t>
            </w:r>
          </w:p>
        </w:tc>
        <w:tc>
          <w:tcPr>
            <w:tcW w:w="41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8D8EF8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J3tt</w:t>
            </w:r>
          </w:p>
        </w:tc>
        <w:tc>
          <w:tcPr>
            <w:tcW w:w="0" w:type="auto"/>
            <w:vMerge/>
            <w:tcBorders>
              <w:top w:val="single" w:sz="4" w:space="0" w:color="000000"/>
              <w:left w:val="single" w:sz="4" w:space="0" w:color="000000"/>
              <w:bottom w:val="single" w:sz="4" w:space="0" w:color="000000"/>
              <w:right w:val="single" w:sz="4" w:space="0" w:color="000000"/>
            </w:tcBorders>
          </w:tcPr>
          <w:p w14:paraId="556A6948" w14:textId="77777777" w:rsidR="00171AA8" w:rsidRPr="00731FE2" w:rsidRDefault="00171AA8">
            <w:pPr>
              <w:rPr>
                <w:rFonts w:ascii="Times New Roman" w:hAnsi="Times New Roman" w:cs="Times New Roman"/>
                <w:sz w:val="16"/>
                <w:szCs w:val="16"/>
              </w:rPr>
            </w:pPr>
          </w:p>
        </w:tc>
        <w:tc>
          <w:tcPr>
            <w:tcW w:w="0" w:type="auto"/>
            <w:vMerge/>
            <w:tcBorders>
              <w:top w:val="single" w:sz="4" w:space="0" w:color="000000"/>
              <w:left w:val="single" w:sz="4" w:space="0" w:color="000000"/>
              <w:bottom w:val="single" w:sz="4" w:space="0" w:color="000000"/>
              <w:right w:val="single" w:sz="4" w:space="0" w:color="000000"/>
            </w:tcBorders>
          </w:tcPr>
          <w:p w14:paraId="6E55DB6D" w14:textId="77777777" w:rsidR="00171AA8" w:rsidRPr="00731FE2" w:rsidRDefault="00171AA8">
            <w:pPr>
              <w:rPr>
                <w:rFonts w:ascii="Times New Roman" w:hAnsi="Times New Roman" w:cs="Times New Roman"/>
                <w:sz w:val="16"/>
                <w:szCs w:val="16"/>
              </w:rPr>
            </w:pPr>
          </w:p>
        </w:tc>
        <w:tc>
          <w:tcPr>
            <w:tcW w:w="4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ECFD07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4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57E613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325"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4C63728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8318291,48</w:t>
            </w:r>
          </w:p>
        </w:tc>
        <w:tc>
          <w:tcPr>
            <w:tcW w:w="333"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1E2DD48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4865298,92</w:t>
            </w:r>
          </w:p>
        </w:tc>
        <w:tc>
          <w:tcPr>
            <w:tcW w:w="37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5F3F01F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276"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0F3ACF5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377"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5E315DC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43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26E769F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43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16D91E4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3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26BFCD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0" w:type="auto"/>
            <w:vMerge/>
            <w:tcBorders>
              <w:top w:val="single" w:sz="4" w:space="0" w:color="000000"/>
              <w:left w:val="single" w:sz="4" w:space="0" w:color="000000"/>
              <w:bottom w:val="single" w:sz="4" w:space="0" w:color="000000"/>
              <w:right w:val="single" w:sz="4" w:space="0" w:color="000000"/>
            </w:tcBorders>
          </w:tcPr>
          <w:p w14:paraId="23D0670E" w14:textId="77777777" w:rsidR="00171AA8" w:rsidRPr="00731FE2" w:rsidRDefault="00171AA8">
            <w:pPr>
              <w:rPr>
                <w:rFonts w:ascii="Times New Roman" w:hAnsi="Times New Roman" w:cs="Times New Roman"/>
                <w:sz w:val="16"/>
                <w:szCs w:val="16"/>
              </w:rPr>
            </w:pPr>
          </w:p>
        </w:tc>
        <w:tc>
          <w:tcPr>
            <w:tcW w:w="576"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0D0E437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500"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773F6C6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6,1-6,6</w:t>
            </w:r>
          </w:p>
        </w:tc>
        <w:tc>
          <w:tcPr>
            <w:tcW w:w="272"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572F418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6"/>
                <w:szCs w:val="16"/>
              </w:rPr>
            </w:pPr>
            <w:r w:rsidRPr="00731FE2">
              <w:rPr>
                <w:rFonts w:ascii="Times New Roman" w:eastAsia="Arial Narrow" w:hAnsi="Times New Roman" w:cs="Times New Roman"/>
                <w:color w:val="000000"/>
                <w:sz w:val="16"/>
                <w:szCs w:val="16"/>
              </w:rPr>
              <w:t>1,6-2,4</w:t>
            </w:r>
          </w:p>
        </w:tc>
      </w:tr>
      <w:tr w:rsidR="00171AA8" w:rsidRPr="00731FE2" w14:paraId="10726DF8" w14:textId="77777777">
        <w:trPr>
          <w:trHeight w:val="285"/>
        </w:trPr>
        <w:tc>
          <w:tcPr>
            <w:tcW w:w="171" w:type="dxa"/>
            <w:tcBorders>
              <w:top w:val="single" w:sz="4" w:space="0" w:color="000000"/>
              <w:left w:val="single" w:sz="4" w:space="0" w:color="000000"/>
              <w:bottom w:val="single" w:sz="4" w:space="0" w:color="000000"/>
              <w:right w:val="single" w:sz="4" w:space="0" w:color="000000"/>
            </w:tcBorders>
            <w:shd w:val="clear" w:color="FFFFFF" w:fill="FFFFFF"/>
            <w:tcMar>
              <w:top w:w="0" w:type="dxa"/>
              <w:left w:w="108" w:type="dxa"/>
              <w:bottom w:w="0" w:type="dxa"/>
              <w:right w:w="108" w:type="dxa"/>
            </w:tcMar>
            <w:vAlign w:val="center"/>
          </w:tcPr>
          <w:p w14:paraId="59305EE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33</w:t>
            </w:r>
          </w:p>
        </w:tc>
        <w:tc>
          <w:tcPr>
            <w:tcW w:w="3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FB6B37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2-Т</w:t>
            </w:r>
          </w:p>
        </w:tc>
        <w:tc>
          <w:tcPr>
            <w:tcW w:w="5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F0ECDD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пересечение ул. Горького и Коммуны (Кристалл)</w:t>
            </w:r>
          </w:p>
        </w:tc>
        <w:tc>
          <w:tcPr>
            <w:tcW w:w="41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5FC92F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J3tt</w:t>
            </w:r>
          </w:p>
        </w:tc>
        <w:tc>
          <w:tcPr>
            <w:tcW w:w="0" w:type="auto"/>
            <w:vMerge/>
            <w:tcBorders>
              <w:top w:val="single" w:sz="4" w:space="0" w:color="000000"/>
              <w:left w:val="single" w:sz="4" w:space="0" w:color="000000"/>
              <w:bottom w:val="single" w:sz="4" w:space="0" w:color="000000"/>
              <w:right w:val="single" w:sz="4" w:space="0" w:color="000000"/>
            </w:tcBorders>
          </w:tcPr>
          <w:p w14:paraId="059FEFD8" w14:textId="77777777" w:rsidR="00171AA8" w:rsidRPr="00731FE2" w:rsidRDefault="00171AA8">
            <w:pPr>
              <w:rPr>
                <w:rFonts w:ascii="Times New Roman" w:hAnsi="Times New Roman" w:cs="Times New Roman"/>
                <w:sz w:val="16"/>
                <w:szCs w:val="16"/>
              </w:rPr>
            </w:pPr>
          </w:p>
        </w:tc>
        <w:tc>
          <w:tcPr>
            <w:tcW w:w="0" w:type="auto"/>
            <w:vMerge/>
            <w:tcBorders>
              <w:top w:val="single" w:sz="4" w:space="0" w:color="000000"/>
              <w:left w:val="single" w:sz="4" w:space="0" w:color="000000"/>
              <w:bottom w:val="single" w:sz="4" w:space="0" w:color="000000"/>
              <w:right w:val="single" w:sz="4" w:space="0" w:color="000000"/>
            </w:tcBorders>
          </w:tcPr>
          <w:p w14:paraId="63C0F594" w14:textId="77777777" w:rsidR="00171AA8" w:rsidRPr="00731FE2" w:rsidRDefault="00171AA8">
            <w:pPr>
              <w:rPr>
                <w:rFonts w:ascii="Times New Roman" w:hAnsi="Times New Roman" w:cs="Times New Roman"/>
                <w:sz w:val="16"/>
                <w:szCs w:val="16"/>
              </w:rPr>
            </w:pPr>
          </w:p>
        </w:tc>
        <w:tc>
          <w:tcPr>
            <w:tcW w:w="4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C9A0CD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4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CECCC9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325"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6372516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8316271,92</w:t>
            </w:r>
          </w:p>
        </w:tc>
        <w:tc>
          <w:tcPr>
            <w:tcW w:w="333"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33AA3A0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4866296,05</w:t>
            </w:r>
          </w:p>
        </w:tc>
        <w:tc>
          <w:tcPr>
            <w:tcW w:w="37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2482102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276"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2CB2F65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377"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68A26F8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43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3A9E7AA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43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6CD3E08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3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759C46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0" w:type="auto"/>
            <w:vMerge/>
            <w:tcBorders>
              <w:top w:val="single" w:sz="4" w:space="0" w:color="000000"/>
              <w:left w:val="single" w:sz="4" w:space="0" w:color="000000"/>
              <w:bottom w:val="single" w:sz="4" w:space="0" w:color="000000"/>
              <w:right w:val="single" w:sz="4" w:space="0" w:color="000000"/>
            </w:tcBorders>
          </w:tcPr>
          <w:p w14:paraId="69CFAA8E" w14:textId="77777777" w:rsidR="00171AA8" w:rsidRPr="00731FE2" w:rsidRDefault="00171AA8">
            <w:pPr>
              <w:rPr>
                <w:rFonts w:ascii="Times New Roman" w:hAnsi="Times New Roman" w:cs="Times New Roman"/>
                <w:sz w:val="16"/>
                <w:szCs w:val="16"/>
              </w:rPr>
            </w:pPr>
          </w:p>
        </w:tc>
        <w:tc>
          <w:tcPr>
            <w:tcW w:w="576"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5ECF0A5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500"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47CB7B2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3,7-4,8</w:t>
            </w:r>
          </w:p>
        </w:tc>
        <w:tc>
          <w:tcPr>
            <w:tcW w:w="272"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644043B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6"/>
                <w:szCs w:val="16"/>
              </w:rPr>
            </w:pPr>
            <w:r w:rsidRPr="00731FE2">
              <w:rPr>
                <w:rFonts w:ascii="Times New Roman" w:eastAsia="Arial Narrow" w:hAnsi="Times New Roman" w:cs="Times New Roman"/>
                <w:color w:val="000000"/>
                <w:sz w:val="16"/>
                <w:szCs w:val="16"/>
              </w:rPr>
              <w:t>1,2-1,3</w:t>
            </w:r>
          </w:p>
        </w:tc>
      </w:tr>
      <w:tr w:rsidR="00171AA8" w:rsidRPr="00731FE2" w14:paraId="54A5D8EA" w14:textId="77777777">
        <w:trPr>
          <w:trHeight w:val="285"/>
        </w:trPr>
        <w:tc>
          <w:tcPr>
            <w:tcW w:w="171"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10F1763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34</w:t>
            </w:r>
          </w:p>
        </w:tc>
        <w:tc>
          <w:tcPr>
            <w:tcW w:w="3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A50315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3-Т</w:t>
            </w:r>
          </w:p>
        </w:tc>
        <w:tc>
          <w:tcPr>
            <w:tcW w:w="5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1825E0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 xml:space="preserve">правый берег р. Аликоновки, в 150 м выше ее впадения в </w:t>
            </w:r>
            <w:r w:rsidRPr="00731FE2">
              <w:rPr>
                <w:rStyle w:val="af6"/>
                <w:rFonts w:ascii="Times New Roman" w:hAnsi="Times New Roman" w:cs="Times New Roman"/>
                <w:color w:val="auto"/>
                <w:sz w:val="16"/>
                <w:szCs w:val="16"/>
                <w:u w:val="none"/>
              </w:rPr>
              <w:lastRenderedPageBreak/>
              <w:t>городское озеро</w:t>
            </w:r>
          </w:p>
        </w:tc>
        <w:tc>
          <w:tcPr>
            <w:tcW w:w="41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15F0B7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lastRenderedPageBreak/>
              <w:t>J3tt</w:t>
            </w:r>
          </w:p>
        </w:tc>
        <w:tc>
          <w:tcPr>
            <w:tcW w:w="0" w:type="auto"/>
            <w:vMerge/>
            <w:tcBorders>
              <w:top w:val="single" w:sz="4" w:space="0" w:color="000000"/>
              <w:left w:val="single" w:sz="4" w:space="0" w:color="000000"/>
              <w:bottom w:val="single" w:sz="4" w:space="0" w:color="000000"/>
              <w:right w:val="single" w:sz="4" w:space="0" w:color="000000"/>
            </w:tcBorders>
          </w:tcPr>
          <w:p w14:paraId="4646A50C" w14:textId="77777777" w:rsidR="00171AA8" w:rsidRPr="00731FE2" w:rsidRDefault="00171AA8">
            <w:pPr>
              <w:rPr>
                <w:rFonts w:ascii="Times New Roman" w:hAnsi="Times New Roman" w:cs="Times New Roman"/>
                <w:sz w:val="16"/>
                <w:szCs w:val="16"/>
              </w:rPr>
            </w:pPr>
          </w:p>
        </w:tc>
        <w:tc>
          <w:tcPr>
            <w:tcW w:w="0" w:type="auto"/>
            <w:vMerge/>
            <w:tcBorders>
              <w:top w:val="single" w:sz="4" w:space="0" w:color="000000"/>
              <w:left w:val="single" w:sz="4" w:space="0" w:color="000000"/>
              <w:bottom w:val="single" w:sz="4" w:space="0" w:color="000000"/>
              <w:right w:val="single" w:sz="4" w:space="0" w:color="000000"/>
            </w:tcBorders>
          </w:tcPr>
          <w:p w14:paraId="1F36A3A4" w14:textId="77777777" w:rsidR="00171AA8" w:rsidRPr="00731FE2" w:rsidRDefault="00171AA8">
            <w:pPr>
              <w:rPr>
                <w:rFonts w:ascii="Times New Roman" w:hAnsi="Times New Roman" w:cs="Times New Roman"/>
                <w:sz w:val="16"/>
                <w:szCs w:val="16"/>
              </w:rPr>
            </w:pPr>
          </w:p>
        </w:tc>
        <w:tc>
          <w:tcPr>
            <w:tcW w:w="4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E307BB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4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50794C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325" w:type="dxa"/>
            <w:tcBorders>
              <w:top w:val="single" w:sz="4" w:space="0" w:color="000000"/>
              <w:left w:val="single" w:sz="4" w:space="0" w:color="000000"/>
              <w:bottom w:val="single" w:sz="4" w:space="0" w:color="000000"/>
              <w:right w:val="single" w:sz="4" w:space="0" w:color="000000"/>
            </w:tcBorders>
            <w:shd w:val="clear" w:color="FFFFFF" w:fill="FFFFFF"/>
            <w:noWrap/>
            <w:tcMar>
              <w:top w:w="0" w:type="dxa"/>
              <w:left w:w="108" w:type="dxa"/>
              <w:bottom w:w="0" w:type="dxa"/>
              <w:right w:w="108" w:type="dxa"/>
            </w:tcMar>
            <w:vAlign w:val="center"/>
          </w:tcPr>
          <w:p w14:paraId="3EE3094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8314561,87</w:t>
            </w:r>
          </w:p>
        </w:tc>
        <w:tc>
          <w:tcPr>
            <w:tcW w:w="333" w:type="dxa"/>
            <w:tcBorders>
              <w:top w:val="single" w:sz="4" w:space="0" w:color="000000"/>
              <w:left w:val="single" w:sz="4" w:space="0" w:color="000000"/>
              <w:bottom w:val="single" w:sz="4" w:space="0" w:color="000000"/>
              <w:right w:val="single" w:sz="4" w:space="0" w:color="000000"/>
            </w:tcBorders>
            <w:shd w:val="clear" w:color="FFFFFF" w:fill="FFFFFF"/>
            <w:noWrap/>
            <w:tcMar>
              <w:top w:w="0" w:type="dxa"/>
              <w:left w:w="108" w:type="dxa"/>
              <w:bottom w:w="0" w:type="dxa"/>
              <w:right w:w="108" w:type="dxa"/>
            </w:tcMar>
            <w:vAlign w:val="center"/>
          </w:tcPr>
          <w:p w14:paraId="26E6EBB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4866515,72</w:t>
            </w:r>
          </w:p>
        </w:tc>
        <w:tc>
          <w:tcPr>
            <w:tcW w:w="37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03EE856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276"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7081A9A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377"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3956133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43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362C94A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43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67508D4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3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849EF1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0" w:type="auto"/>
            <w:vMerge/>
            <w:tcBorders>
              <w:top w:val="single" w:sz="4" w:space="0" w:color="000000"/>
              <w:left w:val="single" w:sz="4" w:space="0" w:color="000000"/>
              <w:bottom w:val="single" w:sz="4" w:space="0" w:color="000000"/>
              <w:right w:val="single" w:sz="4" w:space="0" w:color="000000"/>
            </w:tcBorders>
          </w:tcPr>
          <w:p w14:paraId="6765DB3C" w14:textId="77777777" w:rsidR="00171AA8" w:rsidRPr="00731FE2" w:rsidRDefault="00171AA8">
            <w:pPr>
              <w:rPr>
                <w:rFonts w:ascii="Times New Roman" w:hAnsi="Times New Roman" w:cs="Times New Roman"/>
                <w:sz w:val="16"/>
                <w:szCs w:val="16"/>
              </w:rPr>
            </w:pPr>
          </w:p>
        </w:tc>
        <w:tc>
          <w:tcPr>
            <w:tcW w:w="576"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4998682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500"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76DFCA4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2,4-2,6</w:t>
            </w:r>
          </w:p>
        </w:tc>
        <w:tc>
          <w:tcPr>
            <w:tcW w:w="272"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0260BFA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6"/>
                <w:szCs w:val="16"/>
              </w:rPr>
            </w:pPr>
            <w:r w:rsidRPr="00731FE2">
              <w:rPr>
                <w:rFonts w:ascii="Times New Roman" w:eastAsia="Arial Narrow" w:hAnsi="Times New Roman" w:cs="Times New Roman"/>
                <w:color w:val="000000"/>
                <w:sz w:val="16"/>
                <w:szCs w:val="16"/>
              </w:rPr>
              <w:t>0,1-0,3</w:t>
            </w:r>
          </w:p>
        </w:tc>
      </w:tr>
      <w:tr w:rsidR="00171AA8" w:rsidRPr="00731FE2" w14:paraId="48F0DE51" w14:textId="77777777">
        <w:trPr>
          <w:trHeight w:val="285"/>
        </w:trPr>
        <w:tc>
          <w:tcPr>
            <w:tcW w:w="171" w:type="dxa"/>
            <w:tcBorders>
              <w:top w:val="single" w:sz="4" w:space="0" w:color="000000"/>
              <w:left w:val="single" w:sz="4" w:space="0" w:color="000000"/>
              <w:bottom w:val="single" w:sz="4" w:space="0" w:color="000000"/>
              <w:right w:val="single" w:sz="4" w:space="0" w:color="000000"/>
            </w:tcBorders>
            <w:shd w:val="clear" w:color="FFFFFF" w:fill="FFFFFF"/>
            <w:tcMar>
              <w:top w:w="0" w:type="dxa"/>
              <w:left w:w="108" w:type="dxa"/>
              <w:bottom w:w="0" w:type="dxa"/>
              <w:right w:w="108" w:type="dxa"/>
            </w:tcMar>
            <w:vAlign w:val="center"/>
          </w:tcPr>
          <w:p w14:paraId="797F620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lastRenderedPageBreak/>
              <w:t>35</w:t>
            </w:r>
          </w:p>
        </w:tc>
        <w:tc>
          <w:tcPr>
            <w:tcW w:w="3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6E068E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75</w:t>
            </w:r>
          </w:p>
        </w:tc>
        <w:tc>
          <w:tcPr>
            <w:tcW w:w="5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A2649E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ул. Мира, 27,на территории сан. "X лет Октября"</w:t>
            </w:r>
          </w:p>
        </w:tc>
        <w:tc>
          <w:tcPr>
            <w:tcW w:w="412" w:type="dxa"/>
            <w:tcBorders>
              <w:top w:val="single" w:sz="4" w:space="0" w:color="000000"/>
              <w:left w:val="single" w:sz="4" w:space="0" w:color="000000"/>
              <w:bottom w:val="single" w:sz="4" w:space="0" w:color="000000"/>
              <w:right w:val="single" w:sz="4" w:space="0" w:color="000000"/>
            </w:tcBorders>
            <w:shd w:val="clear" w:color="FFFFFF" w:fill="FFFFFF"/>
            <w:tcMar>
              <w:top w:w="0" w:type="dxa"/>
              <w:left w:w="108" w:type="dxa"/>
              <w:bottom w:w="0" w:type="dxa"/>
              <w:right w:w="108" w:type="dxa"/>
            </w:tcMar>
            <w:vAlign w:val="center"/>
          </w:tcPr>
          <w:p w14:paraId="79EDFBC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K1v2</w:t>
            </w:r>
          </w:p>
        </w:tc>
        <w:tc>
          <w:tcPr>
            <w:tcW w:w="0" w:type="auto"/>
            <w:vMerge/>
            <w:tcBorders>
              <w:top w:val="single" w:sz="4" w:space="0" w:color="000000"/>
              <w:left w:val="single" w:sz="4" w:space="0" w:color="000000"/>
              <w:bottom w:val="single" w:sz="4" w:space="0" w:color="000000"/>
              <w:right w:val="single" w:sz="4" w:space="0" w:color="000000"/>
            </w:tcBorders>
          </w:tcPr>
          <w:p w14:paraId="39E111D5" w14:textId="77777777" w:rsidR="00171AA8" w:rsidRPr="00731FE2" w:rsidRDefault="00171AA8">
            <w:pPr>
              <w:rPr>
                <w:rFonts w:ascii="Times New Roman" w:hAnsi="Times New Roman" w:cs="Times New Roman"/>
                <w:sz w:val="16"/>
                <w:szCs w:val="16"/>
              </w:rPr>
            </w:pPr>
          </w:p>
        </w:tc>
        <w:tc>
          <w:tcPr>
            <w:tcW w:w="476"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A75DAB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не используется</w:t>
            </w:r>
          </w:p>
        </w:tc>
        <w:tc>
          <w:tcPr>
            <w:tcW w:w="4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653889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4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DAD312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325" w:type="dxa"/>
            <w:tcBorders>
              <w:top w:val="single" w:sz="4" w:space="0" w:color="000000"/>
              <w:left w:val="single" w:sz="4" w:space="0" w:color="000000"/>
              <w:bottom w:val="single" w:sz="4" w:space="0" w:color="000000"/>
              <w:right w:val="single" w:sz="4" w:space="0" w:color="000000"/>
            </w:tcBorders>
            <w:shd w:val="clear" w:color="FFFFFF" w:fill="FFFFFF"/>
            <w:tcMar>
              <w:top w:w="0" w:type="dxa"/>
              <w:left w:w="108" w:type="dxa"/>
              <w:bottom w:w="0" w:type="dxa"/>
              <w:right w:w="108" w:type="dxa"/>
            </w:tcMar>
            <w:vAlign w:val="center"/>
          </w:tcPr>
          <w:p w14:paraId="6844570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8316595,58</w:t>
            </w:r>
          </w:p>
        </w:tc>
        <w:tc>
          <w:tcPr>
            <w:tcW w:w="333" w:type="dxa"/>
            <w:tcBorders>
              <w:top w:val="single" w:sz="4" w:space="0" w:color="000000"/>
              <w:left w:val="single" w:sz="4" w:space="0" w:color="000000"/>
              <w:bottom w:val="single" w:sz="4" w:space="0" w:color="000000"/>
              <w:right w:val="single" w:sz="4" w:space="0" w:color="000000"/>
            </w:tcBorders>
            <w:shd w:val="clear" w:color="FFFFFF" w:fill="FFFFFF"/>
            <w:noWrap/>
            <w:tcMar>
              <w:top w:w="0" w:type="dxa"/>
              <w:left w:w="108" w:type="dxa"/>
              <w:bottom w:w="0" w:type="dxa"/>
              <w:right w:w="108" w:type="dxa"/>
            </w:tcMar>
            <w:vAlign w:val="center"/>
          </w:tcPr>
          <w:p w14:paraId="20CB6C8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4865025,58</w:t>
            </w:r>
          </w:p>
        </w:tc>
        <w:tc>
          <w:tcPr>
            <w:tcW w:w="37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3710423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276"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05C97F3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377"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1E223A2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43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221D7D2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43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60560CB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3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0339FE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0" w:type="auto"/>
            <w:vMerge/>
            <w:tcBorders>
              <w:top w:val="single" w:sz="4" w:space="0" w:color="000000"/>
              <w:left w:val="single" w:sz="4" w:space="0" w:color="000000"/>
              <w:bottom w:val="single" w:sz="4" w:space="0" w:color="000000"/>
              <w:right w:val="single" w:sz="4" w:space="0" w:color="000000"/>
            </w:tcBorders>
          </w:tcPr>
          <w:p w14:paraId="37893FD3" w14:textId="77777777" w:rsidR="00171AA8" w:rsidRPr="00731FE2" w:rsidRDefault="00171AA8">
            <w:pPr>
              <w:rPr>
                <w:rFonts w:ascii="Times New Roman" w:hAnsi="Times New Roman" w:cs="Times New Roman"/>
                <w:sz w:val="16"/>
                <w:szCs w:val="16"/>
              </w:rPr>
            </w:pPr>
          </w:p>
        </w:tc>
        <w:tc>
          <w:tcPr>
            <w:tcW w:w="576"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2762474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500"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0054A55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272"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4A58BA5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6"/>
                <w:szCs w:val="16"/>
              </w:rPr>
            </w:pPr>
            <w:r w:rsidRPr="00731FE2">
              <w:rPr>
                <w:rFonts w:ascii="Times New Roman" w:eastAsia="Arial Narrow" w:hAnsi="Times New Roman" w:cs="Times New Roman"/>
                <w:color w:val="000000"/>
                <w:sz w:val="16"/>
                <w:szCs w:val="16"/>
              </w:rPr>
              <w:t>-</w:t>
            </w:r>
          </w:p>
        </w:tc>
      </w:tr>
      <w:tr w:rsidR="00171AA8" w:rsidRPr="00731FE2" w14:paraId="5DDD71A5" w14:textId="77777777">
        <w:trPr>
          <w:trHeight w:val="285"/>
        </w:trPr>
        <w:tc>
          <w:tcPr>
            <w:tcW w:w="171"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5B8D9B5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36</w:t>
            </w:r>
          </w:p>
        </w:tc>
        <w:tc>
          <w:tcPr>
            <w:tcW w:w="3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28C871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76</w:t>
            </w:r>
          </w:p>
        </w:tc>
        <w:tc>
          <w:tcPr>
            <w:tcW w:w="5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42718D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Курортный парк, у первого мостика от колоннады, левый берег Ольховки</w:t>
            </w:r>
          </w:p>
        </w:tc>
        <w:tc>
          <w:tcPr>
            <w:tcW w:w="412" w:type="dxa"/>
            <w:tcBorders>
              <w:top w:val="single" w:sz="4" w:space="0" w:color="000000"/>
              <w:left w:val="single" w:sz="4" w:space="0" w:color="000000"/>
              <w:bottom w:val="single" w:sz="4" w:space="0" w:color="000000"/>
              <w:right w:val="single" w:sz="4" w:space="0" w:color="000000"/>
            </w:tcBorders>
            <w:shd w:val="clear" w:color="FFFFFF" w:fill="FFFFFF"/>
            <w:tcMar>
              <w:top w:w="0" w:type="dxa"/>
              <w:left w:w="108" w:type="dxa"/>
              <w:bottom w:w="0" w:type="dxa"/>
              <w:right w:w="108" w:type="dxa"/>
            </w:tcMar>
            <w:vAlign w:val="center"/>
          </w:tcPr>
          <w:p w14:paraId="2AF1567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K1v2</w:t>
            </w:r>
          </w:p>
        </w:tc>
        <w:tc>
          <w:tcPr>
            <w:tcW w:w="0" w:type="auto"/>
            <w:vMerge/>
            <w:tcBorders>
              <w:top w:val="single" w:sz="4" w:space="0" w:color="000000"/>
              <w:left w:val="single" w:sz="4" w:space="0" w:color="000000"/>
              <w:bottom w:val="single" w:sz="4" w:space="0" w:color="000000"/>
              <w:right w:val="single" w:sz="4" w:space="0" w:color="000000"/>
            </w:tcBorders>
          </w:tcPr>
          <w:p w14:paraId="078DC81B" w14:textId="77777777" w:rsidR="00171AA8" w:rsidRPr="00731FE2" w:rsidRDefault="00171AA8">
            <w:pPr>
              <w:rPr>
                <w:rFonts w:ascii="Times New Roman" w:hAnsi="Times New Roman" w:cs="Times New Roman"/>
                <w:sz w:val="16"/>
                <w:szCs w:val="16"/>
              </w:rPr>
            </w:pPr>
          </w:p>
        </w:tc>
        <w:tc>
          <w:tcPr>
            <w:tcW w:w="0" w:type="auto"/>
            <w:vMerge/>
            <w:tcBorders>
              <w:top w:val="single" w:sz="4" w:space="0" w:color="000000"/>
              <w:left w:val="single" w:sz="4" w:space="0" w:color="000000"/>
              <w:bottom w:val="single" w:sz="4" w:space="0" w:color="000000"/>
              <w:right w:val="single" w:sz="4" w:space="0" w:color="000000"/>
            </w:tcBorders>
          </w:tcPr>
          <w:p w14:paraId="654256E0" w14:textId="77777777" w:rsidR="00171AA8" w:rsidRPr="00731FE2" w:rsidRDefault="00171AA8">
            <w:pPr>
              <w:rPr>
                <w:rFonts w:ascii="Times New Roman" w:hAnsi="Times New Roman" w:cs="Times New Roman"/>
                <w:sz w:val="16"/>
                <w:szCs w:val="16"/>
              </w:rPr>
            </w:pPr>
          </w:p>
        </w:tc>
        <w:tc>
          <w:tcPr>
            <w:tcW w:w="4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D0BA98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4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372F42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325"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6C0CAB9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8316696,01</w:t>
            </w:r>
          </w:p>
        </w:tc>
        <w:tc>
          <w:tcPr>
            <w:tcW w:w="333"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3D20C27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4865092,94</w:t>
            </w:r>
          </w:p>
        </w:tc>
        <w:tc>
          <w:tcPr>
            <w:tcW w:w="37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2CD1F31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276"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0D670C8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377"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45593F3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43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0BDBBB9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43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07B92F3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3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654CE6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0" w:type="auto"/>
            <w:vMerge/>
            <w:tcBorders>
              <w:top w:val="single" w:sz="4" w:space="0" w:color="000000"/>
              <w:left w:val="single" w:sz="4" w:space="0" w:color="000000"/>
              <w:bottom w:val="single" w:sz="4" w:space="0" w:color="000000"/>
              <w:right w:val="single" w:sz="4" w:space="0" w:color="000000"/>
            </w:tcBorders>
          </w:tcPr>
          <w:p w14:paraId="5E804B6B" w14:textId="77777777" w:rsidR="00171AA8" w:rsidRPr="00731FE2" w:rsidRDefault="00171AA8">
            <w:pPr>
              <w:rPr>
                <w:rFonts w:ascii="Times New Roman" w:hAnsi="Times New Roman" w:cs="Times New Roman"/>
                <w:sz w:val="16"/>
                <w:szCs w:val="16"/>
              </w:rPr>
            </w:pPr>
          </w:p>
        </w:tc>
        <w:tc>
          <w:tcPr>
            <w:tcW w:w="576"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7ADA329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500"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1FD2D7B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0,8-1,1</w:t>
            </w:r>
          </w:p>
        </w:tc>
        <w:tc>
          <w:tcPr>
            <w:tcW w:w="272"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76A9743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6"/>
                <w:szCs w:val="16"/>
              </w:rPr>
            </w:pPr>
            <w:r w:rsidRPr="00731FE2">
              <w:rPr>
                <w:rFonts w:ascii="Times New Roman" w:eastAsia="Arial Narrow" w:hAnsi="Times New Roman" w:cs="Times New Roman"/>
                <w:color w:val="000000"/>
                <w:sz w:val="16"/>
                <w:szCs w:val="16"/>
              </w:rPr>
              <w:t>0,1-0,5</w:t>
            </w:r>
          </w:p>
        </w:tc>
      </w:tr>
      <w:tr w:rsidR="00171AA8" w:rsidRPr="00731FE2" w14:paraId="63ECA244" w14:textId="77777777">
        <w:trPr>
          <w:trHeight w:val="285"/>
        </w:trPr>
        <w:tc>
          <w:tcPr>
            <w:tcW w:w="171" w:type="dxa"/>
            <w:tcBorders>
              <w:top w:val="single" w:sz="4" w:space="0" w:color="000000"/>
              <w:left w:val="single" w:sz="4" w:space="0" w:color="000000"/>
              <w:bottom w:val="single" w:sz="4" w:space="0" w:color="000000"/>
              <w:right w:val="single" w:sz="4" w:space="0" w:color="000000"/>
            </w:tcBorders>
            <w:shd w:val="clear" w:color="FFFFFF" w:fill="FFFFFF"/>
            <w:tcMar>
              <w:top w:w="0" w:type="dxa"/>
              <w:left w:w="108" w:type="dxa"/>
              <w:bottom w:w="0" w:type="dxa"/>
              <w:right w:w="108" w:type="dxa"/>
            </w:tcMar>
            <w:vAlign w:val="center"/>
          </w:tcPr>
          <w:p w14:paraId="135DC25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37</w:t>
            </w:r>
          </w:p>
        </w:tc>
        <w:tc>
          <w:tcPr>
            <w:tcW w:w="3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EF5B06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104</w:t>
            </w:r>
          </w:p>
        </w:tc>
        <w:tc>
          <w:tcPr>
            <w:tcW w:w="5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27CC0E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ул. Коминтерна, 10 (сан. Луч)</w:t>
            </w:r>
          </w:p>
        </w:tc>
        <w:tc>
          <w:tcPr>
            <w:tcW w:w="412" w:type="dxa"/>
            <w:tcBorders>
              <w:top w:val="single" w:sz="4" w:space="0" w:color="000000"/>
              <w:left w:val="single" w:sz="4" w:space="0" w:color="000000"/>
              <w:bottom w:val="single" w:sz="4" w:space="0" w:color="000000"/>
              <w:right w:val="single" w:sz="4" w:space="0" w:color="000000"/>
            </w:tcBorders>
            <w:shd w:val="clear" w:color="FFFFFF" w:fill="FFFFFF"/>
            <w:tcMar>
              <w:top w:w="0" w:type="dxa"/>
              <w:left w:w="108" w:type="dxa"/>
              <w:bottom w:w="0" w:type="dxa"/>
              <w:right w:w="108" w:type="dxa"/>
            </w:tcMar>
            <w:vAlign w:val="center"/>
          </w:tcPr>
          <w:p w14:paraId="0701FA5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K1v1</w:t>
            </w:r>
          </w:p>
        </w:tc>
        <w:tc>
          <w:tcPr>
            <w:tcW w:w="484"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1EDEF4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наблюдательная</w:t>
            </w:r>
          </w:p>
        </w:tc>
        <w:tc>
          <w:tcPr>
            <w:tcW w:w="476"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001DB3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не используется</w:t>
            </w:r>
          </w:p>
        </w:tc>
        <w:tc>
          <w:tcPr>
            <w:tcW w:w="4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2449D5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4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D54AE7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325"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44B66E0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8316842,82</w:t>
            </w:r>
          </w:p>
        </w:tc>
        <w:tc>
          <w:tcPr>
            <w:tcW w:w="333"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25A848C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4865038,54</w:t>
            </w:r>
          </w:p>
        </w:tc>
        <w:tc>
          <w:tcPr>
            <w:tcW w:w="37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43FDD22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276"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7B73779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377"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17C06EE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43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4C6BFFB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43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663E013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3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3C1B73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326"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99E3B6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углекислый</w:t>
            </w:r>
          </w:p>
        </w:tc>
        <w:tc>
          <w:tcPr>
            <w:tcW w:w="576"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7658CAE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500"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476C275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2,1-3,7</w:t>
            </w:r>
          </w:p>
        </w:tc>
        <w:tc>
          <w:tcPr>
            <w:tcW w:w="272"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1B2E8D3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6"/>
                <w:szCs w:val="16"/>
              </w:rPr>
            </w:pPr>
            <w:r w:rsidRPr="00731FE2">
              <w:rPr>
                <w:rFonts w:ascii="Times New Roman" w:eastAsia="Arial Narrow" w:hAnsi="Times New Roman" w:cs="Times New Roman"/>
                <w:color w:val="000000"/>
                <w:sz w:val="16"/>
                <w:szCs w:val="16"/>
              </w:rPr>
              <w:t>0,9-2,2</w:t>
            </w:r>
          </w:p>
        </w:tc>
      </w:tr>
      <w:tr w:rsidR="00171AA8" w:rsidRPr="00731FE2" w14:paraId="64DBEC81" w14:textId="77777777">
        <w:trPr>
          <w:trHeight w:val="285"/>
        </w:trPr>
        <w:tc>
          <w:tcPr>
            <w:tcW w:w="171"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0819ED6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38</w:t>
            </w:r>
          </w:p>
        </w:tc>
        <w:tc>
          <w:tcPr>
            <w:tcW w:w="3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5B4AAE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68</w:t>
            </w:r>
          </w:p>
        </w:tc>
        <w:tc>
          <w:tcPr>
            <w:tcW w:w="5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F0D6C1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Курортный парк, в 50 м к ЮВ от Колоннады</w:t>
            </w:r>
          </w:p>
        </w:tc>
        <w:tc>
          <w:tcPr>
            <w:tcW w:w="412" w:type="dxa"/>
            <w:tcBorders>
              <w:top w:val="single" w:sz="4" w:space="0" w:color="000000"/>
              <w:left w:val="single" w:sz="4" w:space="0" w:color="000000"/>
              <w:bottom w:val="single" w:sz="4" w:space="0" w:color="000000"/>
              <w:right w:val="single" w:sz="4" w:space="0" w:color="000000"/>
            </w:tcBorders>
            <w:shd w:val="clear" w:color="FFFFFF" w:fill="FFFFFF"/>
            <w:tcMar>
              <w:top w:w="0" w:type="dxa"/>
              <w:left w:w="108" w:type="dxa"/>
              <w:bottom w:w="0" w:type="dxa"/>
              <w:right w:w="108" w:type="dxa"/>
            </w:tcMar>
            <w:vAlign w:val="center"/>
          </w:tcPr>
          <w:p w14:paraId="20F9423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K1v2</w:t>
            </w:r>
          </w:p>
        </w:tc>
        <w:tc>
          <w:tcPr>
            <w:tcW w:w="0" w:type="auto"/>
            <w:vMerge/>
            <w:tcBorders>
              <w:top w:val="single" w:sz="4" w:space="0" w:color="000000"/>
              <w:left w:val="single" w:sz="4" w:space="0" w:color="000000"/>
              <w:bottom w:val="single" w:sz="4" w:space="0" w:color="000000"/>
              <w:right w:val="single" w:sz="4" w:space="0" w:color="000000"/>
            </w:tcBorders>
          </w:tcPr>
          <w:p w14:paraId="156F16B9" w14:textId="77777777" w:rsidR="00171AA8" w:rsidRPr="00731FE2" w:rsidRDefault="00171AA8">
            <w:pPr>
              <w:rPr>
                <w:rFonts w:ascii="Times New Roman" w:hAnsi="Times New Roman" w:cs="Times New Roman"/>
                <w:sz w:val="16"/>
                <w:szCs w:val="16"/>
              </w:rPr>
            </w:pPr>
          </w:p>
        </w:tc>
        <w:tc>
          <w:tcPr>
            <w:tcW w:w="0" w:type="auto"/>
            <w:vMerge/>
            <w:tcBorders>
              <w:top w:val="single" w:sz="4" w:space="0" w:color="000000"/>
              <w:left w:val="single" w:sz="4" w:space="0" w:color="000000"/>
              <w:bottom w:val="single" w:sz="4" w:space="0" w:color="000000"/>
              <w:right w:val="single" w:sz="4" w:space="0" w:color="000000"/>
            </w:tcBorders>
          </w:tcPr>
          <w:p w14:paraId="61C774A6" w14:textId="77777777" w:rsidR="00171AA8" w:rsidRPr="00731FE2" w:rsidRDefault="00171AA8">
            <w:pPr>
              <w:rPr>
                <w:rFonts w:ascii="Times New Roman" w:hAnsi="Times New Roman" w:cs="Times New Roman"/>
                <w:sz w:val="16"/>
                <w:szCs w:val="16"/>
              </w:rPr>
            </w:pPr>
          </w:p>
        </w:tc>
        <w:tc>
          <w:tcPr>
            <w:tcW w:w="4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BD2DC0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4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35086B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325"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634DB3F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8316709,26</w:t>
            </w:r>
          </w:p>
        </w:tc>
        <w:tc>
          <w:tcPr>
            <w:tcW w:w="333"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36FEB4A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4865151,88</w:t>
            </w:r>
          </w:p>
        </w:tc>
        <w:tc>
          <w:tcPr>
            <w:tcW w:w="37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6464FF9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276"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11AD77E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377"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46DCC58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43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1E92E79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43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04CB8F5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3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047676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0" w:type="auto"/>
            <w:vMerge/>
            <w:tcBorders>
              <w:top w:val="single" w:sz="4" w:space="0" w:color="000000"/>
              <w:left w:val="single" w:sz="4" w:space="0" w:color="000000"/>
              <w:bottom w:val="single" w:sz="4" w:space="0" w:color="000000"/>
              <w:right w:val="single" w:sz="4" w:space="0" w:color="000000"/>
            </w:tcBorders>
          </w:tcPr>
          <w:p w14:paraId="1E57CAD8" w14:textId="77777777" w:rsidR="00171AA8" w:rsidRPr="00731FE2" w:rsidRDefault="00171AA8">
            <w:pPr>
              <w:rPr>
                <w:rFonts w:ascii="Times New Roman" w:hAnsi="Times New Roman" w:cs="Times New Roman"/>
                <w:sz w:val="16"/>
                <w:szCs w:val="16"/>
              </w:rPr>
            </w:pPr>
          </w:p>
        </w:tc>
        <w:tc>
          <w:tcPr>
            <w:tcW w:w="576"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290D78D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500"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04E0B42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0,8-1,1</w:t>
            </w:r>
          </w:p>
        </w:tc>
        <w:tc>
          <w:tcPr>
            <w:tcW w:w="272"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3B6D22C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6"/>
                <w:szCs w:val="16"/>
              </w:rPr>
            </w:pPr>
            <w:r w:rsidRPr="00731FE2">
              <w:rPr>
                <w:rFonts w:ascii="Times New Roman" w:eastAsia="Arial Narrow" w:hAnsi="Times New Roman" w:cs="Times New Roman"/>
                <w:color w:val="000000"/>
                <w:sz w:val="16"/>
                <w:szCs w:val="16"/>
              </w:rPr>
              <w:t>0,3-0,5</w:t>
            </w:r>
          </w:p>
        </w:tc>
      </w:tr>
      <w:tr w:rsidR="00171AA8" w:rsidRPr="00731FE2" w14:paraId="014661DB" w14:textId="77777777">
        <w:trPr>
          <w:trHeight w:val="285"/>
        </w:trPr>
        <w:tc>
          <w:tcPr>
            <w:tcW w:w="171" w:type="dxa"/>
            <w:tcBorders>
              <w:top w:val="single" w:sz="4" w:space="0" w:color="000000"/>
              <w:left w:val="single" w:sz="4" w:space="0" w:color="000000"/>
              <w:bottom w:val="single" w:sz="4" w:space="0" w:color="000000"/>
              <w:right w:val="single" w:sz="4" w:space="0" w:color="000000"/>
            </w:tcBorders>
            <w:shd w:val="clear" w:color="FFFFFF" w:fill="FFFFFF"/>
            <w:tcMar>
              <w:top w:w="0" w:type="dxa"/>
              <w:left w:w="108" w:type="dxa"/>
              <w:bottom w:w="0" w:type="dxa"/>
              <w:right w:w="108" w:type="dxa"/>
            </w:tcMar>
            <w:vAlign w:val="center"/>
          </w:tcPr>
          <w:p w14:paraId="640D044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39</w:t>
            </w:r>
          </w:p>
        </w:tc>
        <w:tc>
          <w:tcPr>
            <w:tcW w:w="3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26900F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20-бис</w:t>
            </w:r>
          </w:p>
        </w:tc>
        <w:tc>
          <w:tcPr>
            <w:tcW w:w="5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156C4E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ул. Зеленая, в 0.5 км от сан. "Москва", в 50 м к Ю от скв. 20</w:t>
            </w:r>
          </w:p>
        </w:tc>
        <w:tc>
          <w:tcPr>
            <w:tcW w:w="41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8CD464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J3tt</w:t>
            </w:r>
          </w:p>
        </w:tc>
        <w:tc>
          <w:tcPr>
            <w:tcW w:w="484"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60D388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эксплуатационная</w:t>
            </w:r>
          </w:p>
        </w:tc>
        <w:tc>
          <w:tcPr>
            <w:tcW w:w="476"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43F6C9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законсервирована</w:t>
            </w:r>
          </w:p>
        </w:tc>
        <w:tc>
          <w:tcPr>
            <w:tcW w:w="4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036926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4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89AA12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325"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1F25300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8318033,32</w:t>
            </w:r>
          </w:p>
        </w:tc>
        <w:tc>
          <w:tcPr>
            <w:tcW w:w="333"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70B16F9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4866691,03</w:t>
            </w:r>
          </w:p>
        </w:tc>
        <w:tc>
          <w:tcPr>
            <w:tcW w:w="37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6212B9E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276"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0373198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377"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71A8245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43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5A88047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43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2F1F11E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3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5FDD2B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0" w:type="auto"/>
            <w:vMerge/>
            <w:tcBorders>
              <w:top w:val="single" w:sz="4" w:space="0" w:color="000000"/>
              <w:left w:val="single" w:sz="4" w:space="0" w:color="000000"/>
              <w:bottom w:val="single" w:sz="4" w:space="0" w:color="000000"/>
              <w:right w:val="single" w:sz="4" w:space="0" w:color="000000"/>
            </w:tcBorders>
          </w:tcPr>
          <w:p w14:paraId="058A42A7" w14:textId="77777777" w:rsidR="00171AA8" w:rsidRPr="00731FE2" w:rsidRDefault="00171AA8">
            <w:pPr>
              <w:rPr>
                <w:rFonts w:ascii="Times New Roman" w:hAnsi="Times New Roman" w:cs="Times New Roman"/>
                <w:sz w:val="16"/>
                <w:szCs w:val="16"/>
              </w:rPr>
            </w:pPr>
          </w:p>
        </w:tc>
        <w:tc>
          <w:tcPr>
            <w:tcW w:w="576"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242BB7A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500"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3C31DB0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8,9</w:t>
            </w:r>
          </w:p>
        </w:tc>
        <w:tc>
          <w:tcPr>
            <w:tcW w:w="272"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5FACBFC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6"/>
                <w:szCs w:val="16"/>
              </w:rPr>
            </w:pPr>
            <w:r w:rsidRPr="00731FE2">
              <w:rPr>
                <w:rFonts w:ascii="Times New Roman" w:eastAsia="Arial Narrow" w:hAnsi="Times New Roman" w:cs="Times New Roman"/>
                <w:color w:val="000000"/>
                <w:sz w:val="16"/>
                <w:szCs w:val="16"/>
              </w:rPr>
              <w:t>1,65</w:t>
            </w:r>
          </w:p>
        </w:tc>
      </w:tr>
      <w:tr w:rsidR="00171AA8" w:rsidRPr="00731FE2" w14:paraId="59BA6C98" w14:textId="77777777">
        <w:trPr>
          <w:trHeight w:val="285"/>
        </w:trPr>
        <w:tc>
          <w:tcPr>
            <w:tcW w:w="171"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0424CE4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40</w:t>
            </w:r>
          </w:p>
        </w:tc>
        <w:tc>
          <w:tcPr>
            <w:tcW w:w="3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3092FD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26-бис</w:t>
            </w:r>
          </w:p>
        </w:tc>
        <w:tc>
          <w:tcPr>
            <w:tcW w:w="5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27E029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Курортный парк, к югу от плавательного бассейна</w:t>
            </w:r>
          </w:p>
        </w:tc>
        <w:tc>
          <w:tcPr>
            <w:tcW w:w="41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7372CF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J3tt</w:t>
            </w:r>
          </w:p>
        </w:tc>
        <w:tc>
          <w:tcPr>
            <w:tcW w:w="0" w:type="auto"/>
            <w:vMerge/>
            <w:tcBorders>
              <w:top w:val="single" w:sz="4" w:space="0" w:color="000000"/>
              <w:left w:val="single" w:sz="4" w:space="0" w:color="000000"/>
              <w:bottom w:val="single" w:sz="4" w:space="0" w:color="000000"/>
              <w:right w:val="single" w:sz="4" w:space="0" w:color="000000"/>
            </w:tcBorders>
          </w:tcPr>
          <w:p w14:paraId="3AC5BDCD" w14:textId="77777777" w:rsidR="00171AA8" w:rsidRPr="00731FE2" w:rsidRDefault="00171AA8">
            <w:pPr>
              <w:rPr>
                <w:rFonts w:ascii="Times New Roman" w:hAnsi="Times New Roman" w:cs="Times New Roman"/>
                <w:sz w:val="16"/>
                <w:szCs w:val="16"/>
              </w:rPr>
            </w:pPr>
          </w:p>
        </w:tc>
        <w:tc>
          <w:tcPr>
            <w:tcW w:w="0" w:type="auto"/>
            <w:vMerge/>
            <w:tcBorders>
              <w:top w:val="single" w:sz="4" w:space="0" w:color="000000"/>
              <w:left w:val="single" w:sz="4" w:space="0" w:color="000000"/>
              <w:bottom w:val="single" w:sz="4" w:space="0" w:color="000000"/>
              <w:right w:val="single" w:sz="4" w:space="0" w:color="000000"/>
            </w:tcBorders>
          </w:tcPr>
          <w:p w14:paraId="4F0F3DC9" w14:textId="77777777" w:rsidR="00171AA8" w:rsidRPr="00731FE2" w:rsidRDefault="00171AA8">
            <w:pPr>
              <w:rPr>
                <w:rFonts w:ascii="Times New Roman" w:hAnsi="Times New Roman" w:cs="Times New Roman"/>
                <w:sz w:val="16"/>
                <w:szCs w:val="16"/>
              </w:rPr>
            </w:pPr>
          </w:p>
        </w:tc>
        <w:tc>
          <w:tcPr>
            <w:tcW w:w="4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6C2197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4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F57D51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325"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57963AD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8318520,32</w:t>
            </w:r>
          </w:p>
        </w:tc>
        <w:tc>
          <w:tcPr>
            <w:tcW w:w="333"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395CAE3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4864283,54</w:t>
            </w:r>
          </w:p>
        </w:tc>
        <w:tc>
          <w:tcPr>
            <w:tcW w:w="37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33933DF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276"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32BD982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377"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2E83056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43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7374311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43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4B8B266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3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44E07E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0" w:type="auto"/>
            <w:vMerge/>
            <w:tcBorders>
              <w:top w:val="single" w:sz="4" w:space="0" w:color="000000"/>
              <w:left w:val="single" w:sz="4" w:space="0" w:color="000000"/>
              <w:bottom w:val="single" w:sz="4" w:space="0" w:color="000000"/>
              <w:right w:val="single" w:sz="4" w:space="0" w:color="000000"/>
            </w:tcBorders>
          </w:tcPr>
          <w:p w14:paraId="3092F141" w14:textId="77777777" w:rsidR="00171AA8" w:rsidRPr="00731FE2" w:rsidRDefault="00171AA8">
            <w:pPr>
              <w:rPr>
                <w:rFonts w:ascii="Times New Roman" w:hAnsi="Times New Roman" w:cs="Times New Roman"/>
                <w:sz w:val="16"/>
                <w:szCs w:val="16"/>
              </w:rPr>
            </w:pPr>
          </w:p>
        </w:tc>
        <w:tc>
          <w:tcPr>
            <w:tcW w:w="576"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103E228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500"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3ABE8B2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7,5</w:t>
            </w:r>
          </w:p>
        </w:tc>
        <w:tc>
          <w:tcPr>
            <w:tcW w:w="272"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3AEE0EC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6"/>
                <w:szCs w:val="16"/>
              </w:rPr>
            </w:pPr>
            <w:r w:rsidRPr="00731FE2">
              <w:rPr>
                <w:rFonts w:ascii="Times New Roman" w:eastAsia="Arial Narrow" w:hAnsi="Times New Roman" w:cs="Times New Roman"/>
                <w:color w:val="000000"/>
                <w:sz w:val="16"/>
                <w:szCs w:val="16"/>
              </w:rPr>
              <w:t>1,1</w:t>
            </w:r>
          </w:p>
        </w:tc>
      </w:tr>
      <w:tr w:rsidR="00171AA8" w:rsidRPr="00731FE2" w14:paraId="6A1E18D3" w14:textId="77777777">
        <w:trPr>
          <w:trHeight w:val="285"/>
        </w:trPr>
        <w:tc>
          <w:tcPr>
            <w:tcW w:w="7970" w:type="dxa"/>
            <w:gridSpan w:val="20"/>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5FE4DDC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b/>
                <w:bCs/>
                <w:color w:val="auto"/>
                <w:sz w:val="16"/>
                <w:szCs w:val="16"/>
                <w:u w:val="none"/>
              </w:rPr>
            </w:pPr>
            <w:r w:rsidRPr="00731FE2">
              <w:rPr>
                <w:rStyle w:val="af6"/>
                <w:rFonts w:ascii="Times New Roman" w:hAnsi="Times New Roman" w:cs="Times New Roman"/>
                <w:b/>
                <w:bCs/>
                <w:color w:val="auto"/>
                <w:sz w:val="16"/>
                <w:szCs w:val="16"/>
                <w:u w:val="none"/>
              </w:rPr>
              <w:t>Ольховский участок (долина реки Ольховка в 4-5 км юго-восточнее город-курорт Кисловодск)</w:t>
            </w:r>
          </w:p>
        </w:tc>
      </w:tr>
      <w:tr w:rsidR="00171AA8" w:rsidRPr="00731FE2" w14:paraId="05F975DE" w14:textId="77777777">
        <w:trPr>
          <w:trHeight w:val="1134"/>
        </w:trPr>
        <w:tc>
          <w:tcPr>
            <w:tcW w:w="171"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1FAB538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41</w:t>
            </w:r>
          </w:p>
        </w:tc>
        <w:tc>
          <w:tcPr>
            <w:tcW w:w="3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AB166E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114-Э</w:t>
            </w:r>
          </w:p>
        </w:tc>
        <w:tc>
          <w:tcPr>
            <w:tcW w:w="5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2C63AA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п. Нарзанный, правый берег р. Ольховка</w:t>
            </w:r>
          </w:p>
        </w:tc>
        <w:tc>
          <w:tcPr>
            <w:tcW w:w="41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9C43CF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J3tt</w:t>
            </w:r>
          </w:p>
        </w:tc>
        <w:tc>
          <w:tcPr>
            <w:tcW w:w="484"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863504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эксплуатационная</w:t>
            </w:r>
          </w:p>
        </w:tc>
        <w:tc>
          <w:tcPr>
            <w:tcW w:w="476"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50AB1D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эксплуатируется</w:t>
            </w:r>
          </w:p>
        </w:tc>
        <w:tc>
          <w:tcPr>
            <w:tcW w:w="4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6566CD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прерывистый крановый</w:t>
            </w:r>
          </w:p>
        </w:tc>
        <w:tc>
          <w:tcPr>
            <w:tcW w:w="476" w:type="dxa"/>
            <w:vMerge w:val="restart"/>
            <w:tcBorders>
              <w:top w:val="single" w:sz="4" w:space="0" w:color="000000"/>
              <w:left w:val="single" w:sz="4" w:space="0" w:color="000000"/>
              <w:bottom w:val="single" w:sz="4" w:space="0" w:color="000000"/>
              <w:right w:val="single" w:sz="4" w:space="0" w:color="000000"/>
            </w:tcBorders>
            <w:shd w:val="clear" w:color="FFFFFF" w:fill="FFFFFF"/>
            <w:tcMar>
              <w:top w:w="0" w:type="dxa"/>
              <w:left w:w="108" w:type="dxa"/>
              <w:bottom w:w="0" w:type="dxa"/>
              <w:right w:w="108" w:type="dxa"/>
            </w:tcMar>
            <w:vAlign w:val="center"/>
          </w:tcPr>
          <w:p w14:paraId="6C9A29C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Бальнео лечение</w:t>
            </w:r>
          </w:p>
        </w:tc>
        <w:tc>
          <w:tcPr>
            <w:tcW w:w="325"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7140AD0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8320701,74</w:t>
            </w:r>
          </w:p>
        </w:tc>
        <w:tc>
          <w:tcPr>
            <w:tcW w:w="333"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593BA0C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4860327,78</w:t>
            </w:r>
          </w:p>
        </w:tc>
        <w:tc>
          <w:tcPr>
            <w:tcW w:w="37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5F935F5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555</w:t>
            </w:r>
          </w:p>
        </w:tc>
        <w:tc>
          <w:tcPr>
            <w:tcW w:w="276"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33BD41C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750</w:t>
            </w:r>
          </w:p>
        </w:tc>
        <w:tc>
          <w:tcPr>
            <w:tcW w:w="377"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7E92545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750</w:t>
            </w:r>
          </w:p>
        </w:tc>
        <w:tc>
          <w:tcPr>
            <w:tcW w:w="438" w:type="dxa"/>
            <w:vMerge w:val="restart"/>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4EB9E1D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164</w:t>
            </w:r>
          </w:p>
        </w:tc>
        <w:tc>
          <w:tcPr>
            <w:tcW w:w="43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4C1A18A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18,70</w:t>
            </w:r>
          </w:p>
        </w:tc>
        <w:tc>
          <w:tcPr>
            <w:tcW w:w="356"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0316C5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Сульфатный нарзан</w:t>
            </w:r>
          </w:p>
        </w:tc>
        <w:tc>
          <w:tcPr>
            <w:tcW w:w="326"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315B74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углекислый</w:t>
            </w:r>
          </w:p>
        </w:tc>
        <w:tc>
          <w:tcPr>
            <w:tcW w:w="576"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3259DD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 xml:space="preserve">Углекислая средней концентрации и сильноуглекислая среднеминерализованная сульфатно-гидрокарбонатная натриево-магниево-кальциевая с повышенным </w:t>
            </w:r>
            <w:r w:rsidRPr="00731FE2">
              <w:rPr>
                <w:rStyle w:val="af6"/>
                <w:rFonts w:ascii="Times New Roman" w:hAnsi="Times New Roman" w:cs="Times New Roman"/>
                <w:color w:val="auto"/>
                <w:sz w:val="16"/>
                <w:szCs w:val="16"/>
                <w:u w:val="none"/>
              </w:rPr>
              <w:lastRenderedPageBreak/>
              <w:t>содержанием железа (15-23 мг/л)</w:t>
            </w:r>
          </w:p>
        </w:tc>
        <w:tc>
          <w:tcPr>
            <w:tcW w:w="500"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2525735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lastRenderedPageBreak/>
              <w:t>6,1-7,4</w:t>
            </w:r>
          </w:p>
        </w:tc>
        <w:tc>
          <w:tcPr>
            <w:tcW w:w="272"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28C76EF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6"/>
                <w:szCs w:val="16"/>
              </w:rPr>
            </w:pPr>
            <w:r w:rsidRPr="00731FE2">
              <w:rPr>
                <w:rFonts w:ascii="Times New Roman" w:eastAsia="Arial Narrow" w:hAnsi="Times New Roman" w:cs="Times New Roman"/>
                <w:color w:val="000000"/>
                <w:sz w:val="16"/>
                <w:szCs w:val="16"/>
              </w:rPr>
              <w:t>1,4-2,2</w:t>
            </w:r>
          </w:p>
        </w:tc>
      </w:tr>
      <w:tr w:rsidR="00171AA8" w:rsidRPr="00731FE2" w14:paraId="77C7135F" w14:textId="77777777">
        <w:trPr>
          <w:trHeight w:val="1134"/>
        </w:trPr>
        <w:tc>
          <w:tcPr>
            <w:tcW w:w="171"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4E2B819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42</w:t>
            </w:r>
          </w:p>
        </w:tc>
        <w:tc>
          <w:tcPr>
            <w:tcW w:w="3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61763A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115-Э</w:t>
            </w:r>
          </w:p>
        </w:tc>
        <w:tc>
          <w:tcPr>
            <w:tcW w:w="5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A5804A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п. Нарзанный, правый берег р. Ольховка</w:t>
            </w:r>
          </w:p>
        </w:tc>
        <w:tc>
          <w:tcPr>
            <w:tcW w:w="41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DB7004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J3tt</w:t>
            </w:r>
          </w:p>
        </w:tc>
        <w:tc>
          <w:tcPr>
            <w:tcW w:w="0" w:type="auto"/>
            <w:vMerge/>
            <w:tcBorders>
              <w:top w:val="single" w:sz="4" w:space="0" w:color="000000"/>
              <w:left w:val="single" w:sz="4" w:space="0" w:color="000000"/>
              <w:bottom w:val="single" w:sz="4" w:space="0" w:color="000000"/>
              <w:right w:val="single" w:sz="4" w:space="0" w:color="000000"/>
            </w:tcBorders>
          </w:tcPr>
          <w:p w14:paraId="1092E257" w14:textId="77777777" w:rsidR="00171AA8" w:rsidRPr="00731FE2" w:rsidRDefault="00171AA8">
            <w:pPr>
              <w:rPr>
                <w:rFonts w:ascii="Times New Roman" w:hAnsi="Times New Roman" w:cs="Times New Roman"/>
                <w:sz w:val="16"/>
                <w:szCs w:val="16"/>
              </w:rPr>
            </w:pPr>
          </w:p>
        </w:tc>
        <w:tc>
          <w:tcPr>
            <w:tcW w:w="0" w:type="auto"/>
            <w:vMerge/>
            <w:tcBorders>
              <w:top w:val="single" w:sz="4" w:space="0" w:color="000000"/>
              <w:left w:val="single" w:sz="4" w:space="0" w:color="000000"/>
              <w:bottom w:val="single" w:sz="4" w:space="0" w:color="000000"/>
              <w:right w:val="single" w:sz="4" w:space="0" w:color="000000"/>
            </w:tcBorders>
          </w:tcPr>
          <w:p w14:paraId="6E01D3B5" w14:textId="77777777" w:rsidR="00171AA8" w:rsidRPr="00731FE2" w:rsidRDefault="00171AA8">
            <w:pPr>
              <w:rPr>
                <w:rFonts w:ascii="Times New Roman" w:hAnsi="Times New Roman" w:cs="Times New Roman"/>
                <w:sz w:val="16"/>
                <w:szCs w:val="16"/>
              </w:rPr>
            </w:pPr>
          </w:p>
        </w:tc>
        <w:tc>
          <w:tcPr>
            <w:tcW w:w="4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723B81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зарегулированный самоизлив</w:t>
            </w:r>
          </w:p>
        </w:tc>
        <w:tc>
          <w:tcPr>
            <w:tcW w:w="0" w:type="auto"/>
            <w:vMerge/>
            <w:tcBorders>
              <w:top w:val="single" w:sz="4" w:space="0" w:color="000000"/>
              <w:left w:val="single" w:sz="4" w:space="0" w:color="000000"/>
              <w:bottom w:val="single" w:sz="4" w:space="0" w:color="000000"/>
              <w:right w:val="single" w:sz="4" w:space="0" w:color="000000"/>
            </w:tcBorders>
          </w:tcPr>
          <w:p w14:paraId="105B505C" w14:textId="77777777" w:rsidR="00171AA8" w:rsidRPr="00731FE2" w:rsidRDefault="00171AA8">
            <w:pPr>
              <w:rPr>
                <w:rFonts w:ascii="Times New Roman" w:hAnsi="Times New Roman" w:cs="Times New Roman"/>
                <w:sz w:val="16"/>
                <w:szCs w:val="16"/>
              </w:rPr>
            </w:pPr>
          </w:p>
        </w:tc>
        <w:tc>
          <w:tcPr>
            <w:tcW w:w="325"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1A269DC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8320339,29</w:t>
            </w:r>
          </w:p>
        </w:tc>
        <w:tc>
          <w:tcPr>
            <w:tcW w:w="333"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567EE82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4860446,30</w:t>
            </w:r>
          </w:p>
        </w:tc>
        <w:tc>
          <w:tcPr>
            <w:tcW w:w="37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5D9C0CD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814</w:t>
            </w:r>
          </w:p>
        </w:tc>
        <w:tc>
          <w:tcPr>
            <w:tcW w:w="276"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46A629B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680</w:t>
            </w:r>
          </w:p>
        </w:tc>
        <w:tc>
          <w:tcPr>
            <w:tcW w:w="377"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6F9B2A7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680</w:t>
            </w:r>
          </w:p>
        </w:tc>
        <w:tc>
          <w:tcPr>
            <w:tcW w:w="0" w:type="auto"/>
            <w:vMerge/>
            <w:tcBorders>
              <w:top w:val="single" w:sz="4" w:space="0" w:color="000000"/>
              <w:left w:val="single" w:sz="4" w:space="0" w:color="000000"/>
              <w:bottom w:val="single" w:sz="4" w:space="0" w:color="000000"/>
              <w:right w:val="single" w:sz="4" w:space="0" w:color="000000"/>
            </w:tcBorders>
          </w:tcPr>
          <w:p w14:paraId="2EBA1BE3" w14:textId="77777777" w:rsidR="00171AA8" w:rsidRPr="00731FE2" w:rsidRDefault="00171AA8">
            <w:pPr>
              <w:rPr>
                <w:rFonts w:ascii="Times New Roman" w:hAnsi="Times New Roman" w:cs="Times New Roman"/>
                <w:sz w:val="16"/>
                <w:szCs w:val="16"/>
              </w:rPr>
            </w:pPr>
          </w:p>
        </w:tc>
        <w:tc>
          <w:tcPr>
            <w:tcW w:w="43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34CC8D8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4,77</w:t>
            </w:r>
          </w:p>
        </w:tc>
        <w:tc>
          <w:tcPr>
            <w:tcW w:w="0" w:type="auto"/>
            <w:vMerge/>
            <w:tcBorders>
              <w:top w:val="single" w:sz="4" w:space="0" w:color="000000"/>
              <w:left w:val="single" w:sz="4" w:space="0" w:color="000000"/>
              <w:bottom w:val="single" w:sz="4" w:space="0" w:color="000000"/>
              <w:right w:val="single" w:sz="4" w:space="0" w:color="000000"/>
            </w:tcBorders>
          </w:tcPr>
          <w:p w14:paraId="265E91D8" w14:textId="77777777" w:rsidR="00171AA8" w:rsidRPr="00731FE2" w:rsidRDefault="00171AA8">
            <w:pPr>
              <w:rPr>
                <w:rFonts w:ascii="Times New Roman" w:hAnsi="Times New Roman" w:cs="Times New Roman"/>
                <w:sz w:val="16"/>
                <w:szCs w:val="16"/>
              </w:rPr>
            </w:pPr>
          </w:p>
        </w:tc>
        <w:tc>
          <w:tcPr>
            <w:tcW w:w="0" w:type="auto"/>
            <w:vMerge/>
            <w:tcBorders>
              <w:top w:val="single" w:sz="4" w:space="0" w:color="000000"/>
              <w:left w:val="single" w:sz="4" w:space="0" w:color="000000"/>
              <w:bottom w:val="single" w:sz="4" w:space="0" w:color="000000"/>
              <w:right w:val="single" w:sz="4" w:space="0" w:color="000000"/>
            </w:tcBorders>
          </w:tcPr>
          <w:p w14:paraId="150DD37A" w14:textId="77777777" w:rsidR="00171AA8" w:rsidRPr="00731FE2" w:rsidRDefault="00171AA8">
            <w:pPr>
              <w:rPr>
                <w:rFonts w:ascii="Times New Roman" w:hAnsi="Times New Roman" w:cs="Times New Roman"/>
                <w:sz w:val="16"/>
                <w:szCs w:val="16"/>
              </w:rPr>
            </w:pPr>
          </w:p>
        </w:tc>
        <w:tc>
          <w:tcPr>
            <w:tcW w:w="0" w:type="auto"/>
            <w:vMerge/>
            <w:tcBorders>
              <w:top w:val="single" w:sz="4" w:space="0" w:color="000000"/>
              <w:left w:val="single" w:sz="4" w:space="0" w:color="000000"/>
              <w:bottom w:val="single" w:sz="4" w:space="0" w:color="000000"/>
              <w:right w:val="single" w:sz="4" w:space="0" w:color="000000"/>
            </w:tcBorders>
          </w:tcPr>
          <w:p w14:paraId="4E76B826" w14:textId="77777777" w:rsidR="00171AA8" w:rsidRPr="00731FE2" w:rsidRDefault="00171AA8">
            <w:pPr>
              <w:rPr>
                <w:rFonts w:ascii="Times New Roman" w:hAnsi="Times New Roman" w:cs="Times New Roman"/>
                <w:sz w:val="16"/>
                <w:szCs w:val="16"/>
              </w:rPr>
            </w:pPr>
          </w:p>
        </w:tc>
        <w:tc>
          <w:tcPr>
            <w:tcW w:w="500"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3B8378E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6,3-7,0</w:t>
            </w:r>
          </w:p>
        </w:tc>
        <w:tc>
          <w:tcPr>
            <w:tcW w:w="272"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3DC2DDE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6"/>
                <w:szCs w:val="16"/>
              </w:rPr>
            </w:pPr>
            <w:r w:rsidRPr="00731FE2">
              <w:rPr>
                <w:rFonts w:ascii="Times New Roman" w:eastAsia="Arial Narrow" w:hAnsi="Times New Roman" w:cs="Times New Roman"/>
                <w:color w:val="000000"/>
                <w:sz w:val="16"/>
                <w:szCs w:val="16"/>
              </w:rPr>
              <w:t>1,4-2,2</w:t>
            </w:r>
          </w:p>
        </w:tc>
      </w:tr>
      <w:tr w:rsidR="00171AA8" w:rsidRPr="00731FE2" w14:paraId="536A5105" w14:textId="77777777">
        <w:trPr>
          <w:trHeight w:val="1134"/>
        </w:trPr>
        <w:tc>
          <w:tcPr>
            <w:tcW w:w="171"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2B3F0F6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lastRenderedPageBreak/>
              <w:t>43</w:t>
            </w:r>
          </w:p>
        </w:tc>
        <w:tc>
          <w:tcPr>
            <w:tcW w:w="3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D3EF83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115-бис</w:t>
            </w:r>
          </w:p>
        </w:tc>
        <w:tc>
          <w:tcPr>
            <w:tcW w:w="5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3C49A3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п. Нарзанный, правый берег р.Ольховка</w:t>
            </w:r>
          </w:p>
        </w:tc>
        <w:tc>
          <w:tcPr>
            <w:tcW w:w="41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85BFF3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J3tt</w:t>
            </w:r>
          </w:p>
        </w:tc>
        <w:tc>
          <w:tcPr>
            <w:tcW w:w="0" w:type="auto"/>
            <w:vMerge/>
            <w:tcBorders>
              <w:top w:val="single" w:sz="4" w:space="0" w:color="000000"/>
              <w:left w:val="single" w:sz="4" w:space="0" w:color="000000"/>
              <w:bottom w:val="single" w:sz="4" w:space="0" w:color="000000"/>
              <w:right w:val="single" w:sz="4" w:space="0" w:color="000000"/>
            </w:tcBorders>
          </w:tcPr>
          <w:p w14:paraId="4C5B1B1A" w14:textId="77777777" w:rsidR="00171AA8" w:rsidRPr="00731FE2" w:rsidRDefault="00171AA8">
            <w:pPr>
              <w:rPr>
                <w:rFonts w:ascii="Times New Roman" w:hAnsi="Times New Roman" w:cs="Times New Roman"/>
                <w:sz w:val="16"/>
                <w:szCs w:val="16"/>
              </w:rPr>
            </w:pPr>
          </w:p>
        </w:tc>
        <w:tc>
          <w:tcPr>
            <w:tcW w:w="4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E2B95C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не используется</w:t>
            </w:r>
          </w:p>
        </w:tc>
        <w:tc>
          <w:tcPr>
            <w:tcW w:w="484"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491DCB4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476"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170B864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325"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302A5F4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8320677,61</w:t>
            </w:r>
          </w:p>
        </w:tc>
        <w:tc>
          <w:tcPr>
            <w:tcW w:w="333"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6496F83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4860361,17</w:t>
            </w:r>
          </w:p>
        </w:tc>
        <w:tc>
          <w:tcPr>
            <w:tcW w:w="37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0EBC6D3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600</w:t>
            </w:r>
          </w:p>
        </w:tc>
        <w:tc>
          <w:tcPr>
            <w:tcW w:w="276"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6DB74CD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377"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2C0AECB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0" w:type="auto"/>
            <w:vMerge/>
            <w:tcBorders>
              <w:top w:val="single" w:sz="4" w:space="0" w:color="000000"/>
              <w:left w:val="single" w:sz="4" w:space="0" w:color="000000"/>
              <w:bottom w:val="single" w:sz="4" w:space="0" w:color="000000"/>
              <w:right w:val="single" w:sz="4" w:space="0" w:color="000000"/>
            </w:tcBorders>
          </w:tcPr>
          <w:p w14:paraId="3A279C1E" w14:textId="77777777" w:rsidR="00171AA8" w:rsidRPr="00731FE2" w:rsidRDefault="00171AA8">
            <w:pPr>
              <w:rPr>
                <w:rFonts w:ascii="Times New Roman" w:hAnsi="Times New Roman" w:cs="Times New Roman"/>
                <w:sz w:val="16"/>
                <w:szCs w:val="16"/>
              </w:rPr>
            </w:pPr>
          </w:p>
        </w:tc>
        <w:tc>
          <w:tcPr>
            <w:tcW w:w="43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1C9D05D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w:t>
            </w:r>
          </w:p>
        </w:tc>
        <w:tc>
          <w:tcPr>
            <w:tcW w:w="356"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4EF6B664" w14:textId="77777777" w:rsidR="00171AA8" w:rsidRPr="00731FE2" w:rsidRDefault="00171AA8">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p>
        </w:tc>
        <w:tc>
          <w:tcPr>
            <w:tcW w:w="0" w:type="auto"/>
            <w:vMerge/>
            <w:tcBorders>
              <w:top w:val="single" w:sz="4" w:space="0" w:color="000000"/>
              <w:left w:val="single" w:sz="4" w:space="0" w:color="000000"/>
              <w:bottom w:val="single" w:sz="4" w:space="0" w:color="000000"/>
              <w:right w:val="single" w:sz="4" w:space="0" w:color="000000"/>
            </w:tcBorders>
          </w:tcPr>
          <w:p w14:paraId="69C002A0" w14:textId="77777777" w:rsidR="00171AA8" w:rsidRPr="00731FE2" w:rsidRDefault="00171AA8">
            <w:pPr>
              <w:rPr>
                <w:rFonts w:ascii="Times New Roman" w:hAnsi="Times New Roman" w:cs="Times New Roman"/>
                <w:sz w:val="16"/>
                <w:szCs w:val="16"/>
              </w:rPr>
            </w:pPr>
          </w:p>
        </w:tc>
        <w:tc>
          <w:tcPr>
            <w:tcW w:w="0" w:type="auto"/>
            <w:vMerge/>
            <w:tcBorders>
              <w:top w:val="single" w:sz="4" w:space="0" w:color="000000"/>
              <w:left w:val="single" w:sz="4" w:space="0" w:color="000000"/>
              <w:bottom w:val="single" w:sz="4" w:space="0" w:color="000000"/>
              <w:right w:val="single" w:sz="4" w:space="0" w:color="000000"/>
            </w:tcBorders>
          </w:tcPr>
          <w:p w14:paraId="0631AE56" w14:textId="77777777" w:rsidR="00171AA8" w:rsidRPr="00731FE2" w:rsidRDefault="00171AA8">
            <w:pPr>
              <w:rPr>
                <w:rFonts w:ascii="Times New Roman" w:hAnsi="Times New Roman" w:cs="Times New Roman"/>
                <w:sz w:val="16"/>
                <w:szCs w:val="16"/>
              </w:rPr>
            </w:pPr>
          </w:p>
        </w:tc>
        <w:tc>
          <w:tcPr>
            <w:tcW w:w="500"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3AF9D68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6,9-7,2</w:t>
            </w:r>
          </w:p>
        </w:tc>
        <w:tc>
          <w:tcPr>
            <w:tcW w:w="272"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1DA80F9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6"/>
                <w:szCs w:val="16"/>
              </w:rPr>
            </w:pPr>
            <w:r w:rsidRPr="00731FE2">
              <w:rPr>
                <w:rFonts w:ascii="Times New Roman" w:eastAsia="Arial Narrow" w:hAnsi="Times New Roman" w:cs="Times New Roman"/>
                <w:color w:val="000000"/>
                <w:sz w:val="16"/>
                <w:szCs w:val="16"/>
              </w:rPr>
              <w:t>1,7-2,6</w:t>
            </w:r>
          </w:p>
        </w:tc>
      </w:tr>
      <w:tr w:rsidR="00171AA8" w:rsidRPr="00731FE2" w14:paraId="5EF0AE41" w14:textId="77777777">
        <w:trPr>
          <w:trHeight w:val="285"/>
        </w:trPr>
        <w:tc>
          <w:tcPr>
            <w:tcW w:w="7970" w:type="dxa"/>
            <w:gridSpan w:val="20"/>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30B305C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b/>
                <w:bCs/>
                <w:color w:val="auto"/>
                <w:sz w:val="16"/>
                <w:szCs w:val="16"/>
                <w:u w:val="none"/>
              </w:rPr>
            </w:pPr>
            <w:r w:rsidRPr="00731FE2">
              <w:rPr>
                <w:rStyle w:val="af6"/>
                <w:rFonts w:ascii="Times New Roman" w:hAnsi="Times New Roman" w:cs="Times New Roman"/>
                <w:b/>
                <w:bCs/>
                <w:color w:val="auto"/>
                <w:sz w:val="16"/>
                <w:szCs w:val="16"/>
                <w:u w:val="none"/>
              </w:rPr>
              <w:lastRenderedPageBreak/>
              <w:t>Подкумский участок (долина р. Подкумок, в 6 км к западу от город-курорт Кисловодск)</w:t>
            </w:r>
          </w:p>
        </w:tc>
      </w:tr>
      <w:tr w:rsidR="00171AA8" w:rsidRPr="00731FE2" w14:paraId="1F8365E9" w14:textId="77777777">
        <w:trPr>
          <w:trHeight w:val="1290"/>
        </w:trPr>
        <w:tc>
          <w:tcPr>
            <w:tcW w:w="171"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5259D81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44</w:t>
            </w:r>
          </w:p>
        </w:tc>
        <w:tc>
          <w:tcPr>
            <w:tcW w:w="3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BC3DA7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2-ПЭ-бис</w:t>
            </w:r>
          </w:p>
        </w:tc>
        <w:tc>
          <w:tcPr>
            <w:tcW w:w="5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3A03D6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6 км ЮЗ Кисловодска, правый.берег р.Подкумок</w:t>
            </w:r>
          </w:p>
        </w:tc>
        <w:tc>
          <w:tcPr>
            <w:tcW w:w="41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5615BA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J3tt</w:t>
            </w:r>
          </w:p>
        </w:tc>
        <w:tc>
          <w:tcPr>
            <w:tcW w:w="484"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3062CC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эксплуатационная</w:t>
            </w:r>
          </w:p>
        </w:tc>
        <w:tc>
          <w:tcPr>
            <w:tcW w:w="476"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EF1761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эксплуатируется</w:t>
            </w:r>
          </w:p>
        </w:tc>
        <w:tc>
          <w:tcPr>
            <w:tcW w:w="4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04CEE8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прерывистый крановый</w:t>
            </w:r>
          </w:p>
        </w:tc>
        <w:tc>
          <w:tcPr>
            <w:tcW w:w="476"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4266BF0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розлив</w:t>
            </w:r>
          </w:p>
        </w:tc>
        <w:tc>
          <w:tcPr>
            <w:tcW w:w="325"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7ABA51A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8312243,18</w:t>
            </w:r>
          </w:p>
        </w:tc>
        <w:tc>
          <w:tcPr>
            <w:tcW w:w="333"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58DBF1D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4869990,31</w:t>
            </w:r>
          </w:p>
        </w:tc>
        <w:tc>
          <w:tcPr>
            <w:tcW w:w="37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08D90A4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2253</w:t>
            </w:r>
          </w:p>
        </w:tc>
        <w:tc>
          <w:tcPr>
            <w:tcW w:w="276"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096C7C2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4600</w:t>
            </w:r>
          </w:p>
        </w:tc>
        <w:tc>
          <w:tcPr>
            <w:tcW w:w="377"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21E45BC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4600</w:t>
            </w:r>
          </w:p>
        </w:tc>
        <w:tc>
          <w:tcPr>
            <w:tcW w:w="438" w:type="dxa"/>
            <w:vMerge w:val="restart"/>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50A2D40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95</w:t>
            </w:r>
          </w:p>
        </w:tc>
        <w:tc>
          <w:tcPr>
            <w:tcW w:w="43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11AD542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12,56</w:t>
            </w:r>
          </w:p>
        </w:tc>
        <w:tc>
          <w:tcPr>
            <w:tcW w:w="35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1834CA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Сульфатный нарзан</w:t>
            </w:r>
          </w:p>
        </w:tc>
        <w:tc>
          <w:tcPr>
            <w:tcW w:w="326"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520FB6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углекислый</w:t>
            </w:r>
          </w:p>
        </w:tc>
        <w:tc>
          <w:tcPr>
            <w:tcW w:w="576"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D5ABDD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Углекислая средней концентрации и сильноуглекислая среднеминерализованная сульфатно-гидрокарбонатная натриево-магниево-кальциевая с повышенным содержанием железа (15-23 мг/л)</w:t>
            </w:r>
          </w:p>
        </w:tc>
        <w:tc>
          <w:tcPr>
            <w:tcW w:w="500"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5D30FBB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4,8-5,7</w:t>
            </w:r>
          </w:p>
        </w:tc>
        <w:tc>
          <w:tcPr>
            <w:tcW w:w="272"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3B35F1A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6"/>
                <w:szCs w:val="16"/>
              </w:rPr>
            </w:pPr>
            <w:r w:rsidRPr="00731FE2">
              <w:rPr>
                <w:rFonts w:ascii="Times New Roman" w:eastAsia="Arial Narrow" w:hAnsi="Times New Roman" w:cs="Times New Roman"/>
                <w:color w:val="000000"/>
                <w:sz w:val="16"/>
                <w:szCs w:val="16"/>
              </w:rPr>
              <w:t>1,4-2,1</w:t>
            </w:r>
          </w:p>
        </w:tc>
      </w:tr>
      <w:tr w:rsidR="00171AA8" w:rsidRPr="00731FE2" w14:paraId="5AAA7B93" w14:textId="77777777">
        <w:trPr>
          <w:trHeight w:val="1134"/>
        </w:trPr>
        <w:tc>
          <w:tcPr>
            <w:tcW w:w="171"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0EE96CD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45</w:t>
            </w:r>
          </w:p>
        </w:tc>
        <w:tc>
          <w:tcPr>
            <w:tcW w:w="3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C02569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5-НП</w:t>
            </w:r>
          </w:p>
        </w:tc>
        <w:tc>
          <w:tcPr>
            <w:tcW w:w="5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0C0C5C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Правый берег р. Аликоновка, в 0.5 км к С от рест. "Замок"</w:t>
            </w:r>
          </w:p>
        </w:tc>
        <w:tc>
          <w:tcPr>
            <w:tcW w:w="41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E715FB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J3tt</w:t>
            </w:r>
          </w:p>
        </w:tc>
        <w:tc>
          <w:tcPr>
            <w:tcW w:w="0" w:type="auto"/>
            <w:vMerge/>
            <w:tcBorders>
              <w:top w:val="single" w:sz="4" w:space="0" w:color="000000"/>
              <w:left w:val="single" w:sz="4" w:space="0" w:color="000000"/>
              <w:bottom w:val="single" w:sz="4" w:space="0" w:color="000000"/>
              <w:right w:val="single" w:sz="4" w:space="0" w:color="000000"/>
            </w:tcBorders>
          </w:tcPr>
          <w:p w14:paraId="4E715D92" w14:textId="77777777" w:rsidR="00171AA8" w:rsidRPr="00731FE2" w:rsidRDefault="00171AA8">
            <w:pPr>
              <w:rPr>
                <w:rFonts w:ascii="Times New Roman" w:hAnsi="Times New Roman" w:cs="Times New Roman"/>
                <w:sz w:val="16"/>
                <w:szCs w:val="16"/>
              </w:rPr>
            </w:pPr>
          </w:p>
        </w:tc>
        <w:tc>
          <w:tcPr>
            <w:tcW w:w="0" w:type="auto"/>
            <w:vMerge/>
            <w:tcBorders>
              <w:top w:val="single" w:sz="4" w:space="0" w:color="000000"/>
              <w:left w:val="single" w:sz="4" w:space="0" w:color="000000"/>
              <w:bottom w:val="single" w:sz="4" w:space="0" w:color="000000"/>
              <w:right w:val="single" w:sz="4" w:space="0" w:color="000000"/>
            </w:tcBorders>
          </w:tcPr>
          <w:p w14:paraId="6E1F9A6E" w14:textId="77777777" w:rsidR="00171AA8" w:rsidRPr="00731FE2" w:rsidRDefault="00171AA8">
            <w:pPr>
              <w:rPr>
                <w:rFonts w:ascii="Times New Roman" w:hAnsi="Times New Roman" w:cs="Times New Roman"/>
                <w:sz w:val="16"/>
                <w:szCs w:val="16"/>
              </w:rPr>
            </w:pPr>
          </w:p>
        </w:tc>
        <w:tc>
          <w:tcPr>
            <w:tcW w:w="4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D74597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зарегулированный самоизлив</w:t>
            </w:r>
          </w:p>
        </w:tc>
        <w:tc>
          <w:tcPr>
            <w:tcW w:w="476"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0399B6B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питье</w:t>
            </w:r>
          </w:p>
        </w:tc>
        <w:tc>
          <w:tcPr>
            <w:tcW w:w="325"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3B02C3E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8312863,78</w:t>
            </w:r>
          </w:p>
        </w:tc>
        <w:tc>
          <w:tcPr>
            <w:tcW w:w="333"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7422245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4865305,30</w:t>
            </w:r>
          </w:p>
        </w:tc>
        <w:tc>
          <w:tcPr>
            <w:tcW w:w="37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5CD94358" w14:textId="77777777" w:rsidR="00171AA8" w:rsidRPr="00731FE2" w:rsidRDefault="00171AA8">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p>
        </w:tc>
        <w:tc>
          <w:tcPr>
            <w:tcW w:w="276"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15F97F15" w14:textId="77777777" w:rsidR="00171AA8" w:rsidRPr="00731FE2" w:rsidRDefault="00171AA8">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p>
        </w:tc>
        <w:tc>
          <w:tcPr>
            <w:tcW w:w="377"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1F8D02A0" w14:textId="77777777" w:rsidR="00171AA8" w:rsidRPr="00731FE2" w:rsidRDefault="00171AA8">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p>
        </w:tc>
        <w:tc>
          <w:tcPr>
            <w:tcW w:w="0" w:type="auto"/>
            <w:vMerge/>
            <w:tcBorders>
              <w:top w:val="single" w:sz="4" w:space="0" w:color="000000"/>
              <w:left w:val="single" w:sz="4" w:space="0" w:color="000000"/>
              <w:bottom w:val="single" w:sz="4" w:space="0" w:color="000000"/>
              <w:right w:val="single" w:sz="4" w:space="0" w:color="000000"/>
            </w:tcBorders>
          </w:tcPr>
          <w:p w14:paraId="7FAA7E3A" w14:textId="77777777" w:rsidR="00171AA8" w:rsidRPr="00731FE2" w:rsidRDefault="00171AA8">
            <w:pPr>
              <w:rPr>
                <w:rFonts w:ascii="Times New Roman" w:hAnsi="Times New Roman" w:cs="Times New Roman"/>
                <w:sz w:val="16"/>
                <w:szCs w:val="16"/>
              </w:rPr>
            </w:pPr>
          </w:p>
        </w:tc>
        <w:tc>
          <w:tcPr>
            <w:tcW w:w="43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4AB9698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1,12</w:t>
            </w:r>
          </w:p>
        </w:tc>
        <w:tc>
          <w:tcPr>
            <w:tcW w:w="356"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461381C5" w14:textId="77777777" w:rsidR="00171AA8" w:rsidRPr="00731FE2" w:rsidRDefault="00171AA8">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p>
        </w:tc>
        <w:tc>
          <w:tcPr>
            <w:tcW w:w="0" w:type="auto"/>
            <w:vMerge/>
            <w:tcBorders>
              <w:top w:val="single" w:sz="4" w:space="0" w:color="000000"/>
              <w:left w:val="single" w:sz="4" w:space="0" w:color="000000"/>
              <w:bottom w:val="single" w:sz="4" w:space="0" w:color="000000"/>
              <w:right w:val="single" w:sz="4" w:space="0" w:color="000000"/>
            </w:tcBorders>
          </w:tcPr>
          <w:p w14:paraId="75662ED7" w14:textId="77777777" w:rsidR="00171AA8" w:rsidRPr="00731FE2" w:rsidRDefault="00171AA8">
            <w:pPr>
              <w:rPr>
                <w:rFonts w:ascii="Times New Roman" w:hAnsi="Times New Roman" w:cs="Times New Roman"/>
                <w:sz w:val="16"/>
                <w:szCs w:val="16"/>
              </w:rPr>
            </w:pPr>
          </w:p>
        </w:tc>
        <w:tc>
          <w:tcPr>
            <w:tcW w:w="0" w:type="auto"/>
            <w:vMerge/>
            <w:tcBorders>
              <w:top w:val="single" w:sz="4" w:space="0" w:color="000000"/>
              <w:left w:val="single" w:sz="4" w:space="0" w:color="000000"/>
              <w:bottom w:val="single" w:sz="4" w:space="0" w:color="000000"/>
              <w:right w:val="single" w:sz="4" w:space="0" w:color="000000"/>
            </w:tcBorders>
          </w:tcPr>
          <w:p w14:paraId="6C1FEADC" w14:textId="77777777" w:rsidR="00171AA8" w:rsidRPr="00731FE2" w:rsidRDefault="00171AA8">
            <w:pPr>
              <w:rPr>
                <w:rFonts w:ascii="Times New Roman" w:hAnsi="Times New Roman" w:cs="Times New Roman"/>
                <w:sz w:val="16"/>
                <w:szCs w:val="16"/>
              </w:rPr>
            </w:pPr>
          </w:p>
        </w:tc>
        <w:tc>
          <w:tcPr>
            <w:tcW w:w="500"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1F81E46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6,1-6,9</w:t>
            </w:r>
          </w:p>
        </w:tc>
        <w:tc>
          <w:tcPr>
            <w:tcW w:w="272"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5523D4E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6"/>
                <w:szCs w:val="16"/>
              </w:rPr>
            </w:pPr>
            <w:r w:rsidRPr="00731FE2">
              <w:rPr>
                <w:rFonts w:ascii="Times New Roman" w:eastAsia="Arial Narrow" w:hAnsi="Times New Roman" w:cs="Times New Roman"/>
                <w:color w:val="000000"/>
                <w:sz w:val="16"/>
                <w:szCs w:val="16"/>
              </w:rPr>
              <w:t>1,5-2,1</w:t>
            </w:r>
          </w:p>
        </w:tc>
      </w:tr>
      <w:tr w:rsidR="00171AA8" w:rsidRPr="00731FE2" w14:paraId="41AFD662" w14:textId="77777777">
        <w:trPr>
          <w:trHeight w:val="285"/>
        </w:trPr>
        <w:tc>
          <w:tcPr>
            <w:tcW w:w="171"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5953AD5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46</w:t>
            </w:r>
          </w:p>
        </w:tc>
        <w:tc>
          <w:tcPr>
            <w:tcW w:w="3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A2CBA0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1-ПЭ</w:t>
            </w:r>
          </w:p>
        </w:tc>
        <w:tc>
          <w:tcPr>
            <w:tcW w:w="5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0E9112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6 км к З от Кисловодска, правый берег р. Подкумок, 5 м от скв. 1-П</w:t>
            </w:r>
          </w:p>
        </w:tc>
        <w:tc>
          <w:tcPr>
            <w:tcW w:w="41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8430B9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J3tt</w:t>
            </w:r>
          </w:p>
        </w:tc>
        <w:tc>
          <w:tcPr>
            <w:tcW w:w="0" w:type="auto"/>
            <w:vMerge/>
            <w:tcBorders>
              <w:top w:val="single" w:sz="4" w:space="0" w:color="000000"/>
              <w:left w:val="single" w:sz="4" w:space="0" w:color="000000"/>
              <w:bottom w:val="single" w:sz="4" w:space="0" w:color="000000"/>
              <w:right w:val="single" w:sz="4" w:space="0" w:color="000000"/>
            </w:tcBorders>
          </w:tcPr>
          <w:p w14:paraId="2F1F4E5B" w14:textId="77777777" w:rsidR="00171AA8" w:rsidRPr="00731FE2" w:rsidRDefault="00171AA8">
            <w:pPr>
              <w:rPr>
                <w:rFonts w:ascii="Times New Roman" w:hAnsi="Times New Roman" w:cs="Times New Roman"/>
                <w:sz w:val="16"/>
                <w:szCs w:val="16"/>
              </w:rPr>
            </w:pPr>
          </w:p>
        </w:tc>
        <w:tc>
          <w:tcPr>
            <w:tcW w:w="476"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F0DD7F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наблюдается</w:t>
            </w:r>
          </w:p>
        </w:tc>
        <w:tc>
          <w:tcPr>
            <w:tcW w:w="484"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31240A6F" w14:textId="77777777" w:rsidR="00171AA8" w:rsidRPr="00731FE2" w:rsidRDefault="00171AA8">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p>
        </w:tc>
        <w:tc>
          <w:tcPr>
            <w:tcW w:w="476"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4EB11206" w14:textId="77777777" w:rsidR="00171AA8" w:rsidRPr="00731FE2" w:rsidRDefault="00171AA8">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p>
        </w:tc>
        <w:tc>
          <w:tcPr>
            <w:tcW w:w="325"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7A0D57E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8312757,85</w:t>
            </w:r>
          </w:p>
        </w:tc>
        <w:tc>
          <w:tcPr>
            <w:tcW w:w="333"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6CF13B9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4869507,45</w:t>
            </w:r>
          </w:p>
        </w:tc>
        <w:tc>
          <w:tcPr>
            <w:tcW w:w="37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7D86E1A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1362</w:t>
            </w:r>
          </w:p>
        </w:tc>
        <w:tc>
          <w:tcPr>
            <w:tcW w:w="276"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3A8B6B2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1400</w:t>
            </w:r>
          </w:p>
        </w:tc>
        <w:tc>
          <w:tcPr>
            <w:tcW w:w="377"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119AACE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1400</w:t>
            </w:r>
          </w:p>
        </w:tc>
        <w:tc>
          <w:tcPr>
            <w:tcW w:w="0" w:type="auto"/>
            <w:vMerge/>
            <w:tcBorders>
              <w:top w:val="single" w:sz="4" w:space="0" w:color="000000"/>
              <w:left w:val="single" w:sz="4" w:space="0" w:color="000000"/>
              <w:bottom w:val="single" w:sz="4" w:space="0" w:color="000000"/>
              <w:right w:val="single" w:sz="4" w:space="0" w:color="000000"/>
            </w:tcBorders>
          </w:tcPr>
          <w:p w14:paraId="75E71B49" w14:textId="77777777" w:rsidR="00171AA8" w:rsidRPr="00731FE2" w:rsidRDefault="00171AA8">
            <w:pPr>
              <w:rPr>
                <w:rFonts w:ascii="Times New Roman" w:hAnsi="Times New Roman" w:cs="Times New Roman"/>
                <w:sz w:val="16"/>
                <w:szCs w:val="16"/>
              </w:rPr>
            </w:pPr>
          </w:p>
        </w:tc>
        <w:tc>
          <w:tcPr>
            <w:tcW w:w="43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3E0EC0C5" w14:textId="77777777" w:rsidR="00171AA8" w:rsidRPr="00731FE2" w:rsidRDefault="00171AA8">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p>
        </w:tc>
        <w:tc>
          <w:tcPr>
            <w:tcW w:w="356"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57062C24" w14:textId="77777777" w:rsidR="00171AA8" w:rsidRPr="00731FE2" w:rsidRDefault="00171AA8">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p>
        </w:tc>
        <w:tc>
          <w:tcPr>
            <w:tcW w:w="0" w:type="auto"/>
            <w:vMerge/>
            <w:tcBorders>
              <w:top w:val="single" w:sz="4" w:space="0" w:color="000000"/>
              <w:left w:val="single" w:sz="4" w:space="0" w:color="000000"/>
              <w:bottom w:val="single" w:sz="4" w:space="0" w:color="000000"/>
              <w:right w:val="single" w:sz="4" w:space="0" w:color="000000"/>
            </w:tcBorders>
          </w:tcPr>
          <w:p w14:paraId="22D85478" w14:textId="77777777" w:rsidR="00171AA8" w:rsidRPr="00731FE2" w:rsidRDefault="00171AA8">
            <w:pPr>
              <w:rPr>
                <w:rFonts w:ascii="Times New Roman" w:hAnsi="Times New Roman" w:cs="Times New Roman"/>
                <w:sz w:val="16"/>
                <w:szCs w:val="16"/>
              </w:rPr>
            </w:pPr>
          </w:p>
        </w:tc>
        <w:tc>
          <w:tcPr>
            <w:tcW w:w="576"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602D4EF1" w14:textId="77777777" w:rsidR="00171AA8" w:rsidRPr="00731FE2" w:rsidRDefault="00171AA8">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p>
        </w:tc>
        <w:tc>
          <w:tcPr>
            <w:tcW w:w="500"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453A5B1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1,0-1,4</w:t>
            </w:r>
          </w:p>
        </w:tc>
        <w:tc>
          <w:tcPr>
            <w:tcW w:w="272"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6AC5CF5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6"/>
                <w:szCs w:val="16"/>
              </w:rPr>
            </w:pPr>
            <w:r w:rsidRPr="00731FE2">
              <w:rPr>
                <w:rFonts w:ascii="Times New Roman" w:eastAsia="Arial Narrow" w:hAnsi="Times New Roman" w:cs="Times New Roman"/>
                <w:color w:val="000000"/>
                <w:sz w:val="16"/>
                <w:szCs w:val="16"/>
              </w:rPr>
              <w:t>0,1-0,5</w:t>
            </w:r>
          </w:p>
        </w:tc>
      </w:tr>
      <w:tr w:rsidR="00171AA8" w:rsidRPr="00731FE2" w14:paraId="357FDC41" w14:textId="77777777">
        <w:trPr>
          <w:trHeight w:val="689"/>
        </w:trPr>
        <w:tc>
          <w:tcPr>
            <w:tcW w:w="171"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11C033A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47</w:t>
            </w:r>
          </w:p>
        </w:tc>
        <w:tc>
          <w:tcPr>
            <w:tcW w:w="3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58AADD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1-НП</w:t>
            </w:r>
          </w:p>
        </w:tc>
        <w:tc>
          <w:tcPr>
            <w:tcW w:w="5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43CDE7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водораздел р. Аликоновка и р. Подкумок С от озера</w:t>
            </w:r>
          </w:p>
        </w:tc>
        <w:tc>
          <w:tcPr>
            <w:tcW w:w="41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E2F334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J3tt</w:t>
            </w:r>
          </w:p>
        </w:tc>
        <w:tc>
          <w:tcPr>
            <w:tcW w:w="4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3CEFF8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наблюдательная</w:t>
            </w:r>
          </w:p>
        </w:tc>
        <w:tc>
          <w:tcPr>
            <w:tcW w:w="0" w:type="auto"/>
            <w:vMerge/>
            <w:tcBorders>
              <w:top w:val="single" w:sz="4" w:space="0" w:color="000000"/>
              <w:left w:val="single" w:sz="4" w:space="0" w:color="000000"/>
              <w:bottom w:val="single" w:sz="4" w:space="0" w:color="000000"/>
              <w:right w:val="single" w:sz="4" w:space="0" w:color="000000"/>
            </w:tcBorders>
          </w:tcPr>
          <w:p w14:paraId="172E1552" w14:textId="77777777" w:rsidR="00171AA8" w:rsidRPr="00731FE2" w:rsidRDefault="00171AA8">
            <w:pPr>
              <w:rPr>
                <w:rFonts w:ascii="Times New Roman" w:hAnsi="Times New Roman" w:cs="Times New Roman"/>
                <w:sz w:val="16"/>
                <w:szCs w:val="16"/>
              </w:rPr>
            </w:pPr>
          </w:p>
        </w:tc>
        <w:tc>
          <w:tcPr>
            <w:tcW w:w="484"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5DF4A981" w14:textId="77777777" w:rsidR="00171AA8" w:rsidRPr="00731FE2" w:rsidRDefault="00171AA8">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p>
        </w:tc>
        <w:tc>
          <w:tcPr>
            <w:tcW w:w="476"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0E1794FB" w14:textId="77777777" w:rsidR="00171AA8" w:rsidRPr="00731FE2" w:rsidRDefault="00171AA8">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p>
        </w:tc>
        <w:tc>
          <w:tcPr>
            <w:tcW w:w="325"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39BB0FD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8314384,72</w:t>
            </w:r>
          </w:p>
        </w:tc>
        <w:tc>
          <w:tcPr>
            <w:tcW w:w="333"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585C715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4867701,58</w:t>
            </w:r>
          </w:p>
        </w:tc>
        <w:tc>
          <w:tcPr>
            <w:tcW w:w="37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6D75118F" w14:textId="77777777" w:rsidR="00171AA8" w:rsidRPr="00731FE2" w:rsidRDefault="00171AA8">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p>
        </w:tc>
        <w:tc>
          <w:tcPr>
            <w:tcW w:w="276"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3F2F9DED" w14:textId="77777777" w:rsidR="00171AA8" w:rsidRPr="00731FE2" w:rsidRDefault="00171AA8">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p>
        </w:tc>
        <w:tc>
          <w:tcPr>
            <w:tcW w:w="377"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20CA540F" w14:textId="77777777" w:rsidR="00171AA8" w:rsidRPr="00731FE2" w:rsidRDefault="00171AA8">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p>
        </w:tc>
        <w:tc>
          <w:tcPr>
            <w:tcW w:w="43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0D077774" w14:textId="77777777" w:rsidR="00171AA8" w:rsidRPr="00731FE2" w:rsidRDefault="00171AA8">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p>
        </w:tc>
        <w:tc>
          <w:tcPr>
            <w:tcW w:w="43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727E52DD" w14:textId="77777777" w:rsidR="00171AA8" w:rsidRPr="00731FE2" w:rsidRDefault="00171AA8">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p>
        </w:tc>
        <w:tc>
          <w:tcPr>
            <w:tcW w:w="356"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733DCB30" w14:textId="77777777" w:rsidR="00171AA8" w:rsidRPr="00731FE2" w:rsidRDefault="00171AA8">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p>
        </w:tc>
        <w:tc>
          <w:tcPr>
            <w:tcW w:w="0" w:type="auto"/>
            <w:vMerge/>
            <w:tcBorders>
              <w:top w:val="single" w:sz="4" w:space="0" w:color="000000"/>
              <w:left w:val="single" w:sz="4" w:space="0" w:color="000000"/>
              <w:bottom w:val="single" w:sz="4" w:space="0" w:color="000000"/>
              <w:right w:val="single" w:sz="4" w:space="0" w:color="000000"/>
            </w:tcBorders>
          </w:tcPr>
          <w:p w14:paraId="24A8E7A7" w14:textId="77777777" w:rsidR="00171AA8" w:rsidRPr="00731FE2" w:rsidRDefault="00171AA8">
            <w:pPr>
              <w:rPr>
                <w:rFonts w:ascii="Times New Roman" w:hAnsi="Times New Roman" w:cs="Times New Roman"/>
                <w:sz w:val="16"/>
                <w:szCs w:val="16"/>
              </w:rPr>
            </w:pPr>
          </w:p>
        </w:tc>
        <w:tc>
          <w:tcPr>
            <w:tcW w:w="576"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7ECBA4D7" w14:textId="77777777" w:rsidR="00171AA8" w:rsidRPr="00731FE2" w:rsidRDefault="00171AA8">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p>
        </w:tc>
        <w:tc>
          <w:tcPr>
            <w:tcW w:w="500"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657FCEA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1,0-2,6</w:t>
            </w:r>
          </w:p>
        </w:tc>
        <w:tc>
          <w:tcPr>
            <w:tcW w:w="272"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7326E08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6"/>
                <w:szCs w:val="16"/>
              </w:rPr>
            </w:pPr>
            <w:r w:rsidRPr="00731FE2">
              <w:rPr>
                <w:rFonts w:ascii="Times New Roman" w:eastAsia="Arial Narrow" w:hAnsi="Times New Roman" w:cs="Times New Roman"/>
                <w:color w:val="000000"/>
                <w:sz w:val="16"/>
                <w:szCs w:val="16"/>
              </w:rPr>
              <w:t>0,1-0,5</w:t>
            </w:r>
          </w:p>
        </w:tc>
      </w:tr>
      <w:tr w:rsidR="00171AA8" w:rsidRPr="00731FE2" w14:paraId="4DB80716" w14:textId="77777777">
        <w:trPr>
          <w:trHeight w:val="285"/>
        </w:trPr>
        <w:tc>
          <w:tcPr>
            <w:tcW w:w="171"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05317B5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48</w:t>
            </w:r>
          </w:p>
        </w:tc>
        <w:tc>
          <w:tcPr>
            <w:tcW w:w="3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65658C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2-П-бис</w:t>
            </w:r>
          </w:p>
        </w:tc>
        <w:tc>
          <w:tcPr>
            <w:tcW w:w="5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998BAC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6 км ЮЗ Кисловодска, правый берег р. Подкумок</w:t>
            </w:r>
          </w:p>
        </w:tc>
        <w:tc>
          <w:tcPr>
            <w:tcW w:w="41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34196F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J3tt</w:t>
            </w:r>
          </w:p>
        </w:tc>
        <w:tc>
          <w:tcPr>
            <w:tcW w:w="4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649708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эксплуатационная</w:t>
            </w:r>
          </w:p>
        </w:tc>
        <w:tc>
          <w:tcPr>
            <w:tcW w:w="476"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A6F9D8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законсервирована</w:t>
            </w:r>
          </w:p>
        </w:tc>
        <w:tc>
          <w:tcPr>
            <w:tcW w:w="484"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36FA24E3" w14:textId="77777777" w:rsidR="00171AA8" w:rsidRPr="00731FE2" w:rsidRDefault="00171AA8">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p>
        </w:tc>
        <w:tc>
          <w:tcPr>
            <w:tcW w:w="476"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3565EA83" w14:textId="77777777" w:rsidR="00171AA8" w:rsidRPr="00731FE2" w:rsidRDefault="00171AA8">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p>
        </w:tc>
        <w:tc>
          <w:tcPr>
            <w:tcW w:w="325"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21E2797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8312229,86</w:t>
            </w:r>
          </w:p>
        </w:tc>
        <w:tc>
          <w:tcPr>
            <w:tcW w:w="333"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085A5D7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4869977,10</w:t>
            </w:r>
          </w:p>
        </w:tc>
        <w:tc>
          <w:tcPr>
            <w:tcW w:w="37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0DC1520A" w14:textId="77777777" w:rsidR="00171AA8" w:rsidRPr="00731FE2" w:rsidRDefault="00171AA8">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p>
        </w:tc>
        <w:tc>
          <w:tcPr>
            <w:tcW w:w="276"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4C750400" w14:textId="77777777" w:rsidR="00171AA8" w:rsidRPr="00731FE2" w:rsidRDefault="00171AA8">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p>
        </w:tc>
        <w:tc>
          <w:tcPr>
            <w:tcW w:w="377"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402760F2" w14:textId="77777777" w:rsidR="00171AA8" w:rsidRPr="00731FE2" w:rsidRDefault="00171AA8">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p>
        </w:tc>
        <w:tc>
          <w:tcPr>
            <w:tcW w:w="43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41BF01CD" w14:textId="77777777" w:rsidR="00171AA8" w:rsidRPr="00731FE2" w:rsidRDefault="00171AA8">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p>
        </w:tc>
        <w:tc>
          <w:tcPr>
            <w:tcW w:w="43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57B4DFCD" w14:textId="77777777" w:rsidR="00171AA8" w:rsidRPr="00731FE2" w:rsidRDefault="00171AA8">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p>
        </w:tc>
        <w:tc>
          <w:tcPr>
            <w:tcW w:w="356"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50FA9C81" w14:textId="77777777" w:rsidR="00171AA8" w:rsidRPr="00731FE2" w:rsidRDefault="00171AA8">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p>
        </w:tc>
        <w:tc>
          <w:tcPr>
            <w:tcW w:w="0" w:type="auto"/>
            <w:vMerge/>
            <w:tcBorders>
              <w:top w:val="single" w:sz="4" w:space="0" w:color="000000"/>
              <w:left w:val="single" w:sz="4" w:space="0" w:color="000000"/>
              <w:bottom w:val="single" w:sz="4" w:space="0" w:color="000000"/>
              <w:right w:val="single" w:sz="4" w:space="0" w:color="000000"/>
            </w:tcBorders>
          </w:tcPr>
          <w:p w14:paraId="3952E352" w14:textId="77777777" w:rsidR="00171AA8" w:rsidRPr="00731FE2" w:rsidRDefault="00171AA8">
            <w:pPr>
              <w:rPr>
                <w:rFonts w:ascii="Times New Roman" w:hAnsi="Times New Roman" w:cs="Times New Roman"/>
                <w:sz w:val="16"/>
                <w:szCs w:val="16"/>
              </w:rPr>
            </w:pPr>
          </w:p>
        </w:tc>
        <w:tc>
          <w:tcPr>
            <w:tcW w:w="576"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3BE78E31" w14:textId="77777777" w:rsidR="00171AA8" w:rsidRPr="00731FE2" w:rsidRDefault="00171AA8">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p>
        </w:tc>
        <w:tc>
          <w:tcPr>
            <w:tcW w:w="500"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3D46B9A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5,5</w:t>
            </w:r>
          </w:p>
        </w:tc>
        <w:tc>
          <w:tcPr>
            <w:tcW w:w="272"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5D4C286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6"/>
                <w:szCs w:val="16"/>
              </w:rPr>
            </w:pPr>
            <w:r w:rsidRPr="00731FE2">
              <w:rPr>
                <w:rFonts w:ascii="Times New Roman" w:eastAsia="Arial Narrow" w:hAnsi="Times New Roman" w:cs="Times New Roman"/>
                <w:color w:val="000000"/>
                <w:sz w:val="16"/>
                <w:szCs w:val="16"/>
              </w:rPr>
              <w:t>2,4</w:t>
            </w:r>
          </w:p>
        </w:tc>
      </w:tr>
      <w:tr w:rsidR="00171AA8" w:rsidRPr="00731FE2" w14:paraId="3409171F" w14:textId="77777777">
        <w:trPr>
          <w:trHeight w:val="285"/>
        </w:trPr>
        <w:tc>
          <w:tcPr>
            <w:tcW w:w="171"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27F4ABE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49</w:t>
            </w:r>
          </w:p>
        </w:tc>
        <w:tc>
          <w:tcPr>
            <w:tcW w:w="35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072F59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4-НП</w:t>
            </w:r>
          </w:p>
        </w:tc>
        <w:tc>
          <w:tcPr>
            <w:tcW w:w="52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544585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правый берег р. Подкумок, в пос. Мирный</w:t>
            </w:r>
          </w:p>
        </w:tc>
        <w:tc>
          <w:tcPr>
            <w:tcW w:w="41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9FD6A7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J3tt</w:t>
            </w:r>
          </w:p>
        </w:tc>
        <w:tc>
          <w:tcPr>
            <w:tcW w:w="48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9E9B91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наблюдательная</w:t>
            </w:r>
          </w:p>
        </w:tc>
        <w:tc>
          <w:tcPr>
            <w:tcW w:w="0" w:type="auto"/>
            <w:vMerge/>
            <w:tcBorders>
              <w:top w:val="single" w:sz="4" w:space="0" w:color="000000"/>
              <w:left w:val="single" w:sz="4" w:space="0" w:color="000000"/>
              <w:bottom w:val="single" w:sz="4" w:space="0" w:color="000000"/>
              <w:right w:val="single" w:sz="4" w:space="0" w:color="000000"/>
            </w:tcBorders>
          </w:tcPr>
          <w:p w14:paraId="166F4044" w14:textId="77777777" w:rsidR="00171AA8" w:rsidRPr="00731FE2" w:rsidRDefault="00171AA8">
            <w:pPr>
              <w:rPr>
                <w:rFonts w:ascii="Times New Roman" w:hAnsi="Times New Roman" w:cs="Times New Roman"/>
                <w:sz w:val="16"/>
                <w:szCs w:val="16"/>
              </w:rPr>
            </w:pPr>
          </w:p>
        </w:tc>
        <w:tc>
          <w:tcPr>
            <w:tcW w:w="484"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45012321" w14:textId="77777777" w:rsidR="00171AA8" w:rsidRPr="00731FE2" w:rsidRDefault="00171AA8">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p>
        </w:tc>
        <w:tc>
          <w:tcPr>
            <w:tcW w:w="476"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57AD8C31" w14:textId="77777777" w:rsidR="00171AA8" w:rsidRPr="00731FE2" w:rsidRDefault="00171AA8">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p>
        </w:tc>
        <w:tc>
          <w:tcPr>
            <w:tcW w:w="325"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37E8208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8313953,54</w:t>
            </w:r>
          </w:p>
        </w:tc>
        <w:tc>
          <w:tcPr>
            <w:tcW w:w="333"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5F347DA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4870076,71</w:t>
            </w:r>
          </w:p>
        </w:tc>
        <w:tc>
          <w:tcPr>
            <w:tcW w:w="37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7BC59315" w14:textId="77777777" w:rsidR="00171AA8" w:rsidRPr="00731FE2" w:rsidRDefault="00171AA8">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p>
        </w:tc>
        <w:tc>
          <w:tcPr>
            <w:tcW w:w="276"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65A892E6" w14:textId="77777777" w:rsidR="00171AA8" w:rsidRPr="00731FE2" w:rsidRDefault="00171AA8">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p>
        </w:tc>
        <w:tc>
          <w:tcPr>
            <w:tcW w:w="377"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0F186E94" w14:textId="77777777" w:rsidR="00171AA8" w:rsidRPr="00731FE2" w:rsidRDefault="00171AA8">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p>
        </w:tc>
        <w:tc>
          <w:tcPr>
            <w:tcW w:w="43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3756E242" w14:textId="77777777" w:rsidR="00171AA8" w:rsidRPr="00731FE2" w:rsidRDefault="00171AA8">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p>
        </w:tc>
        <w:tc>
          <w:tcPr>
            <w:tcW w:w="43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1B32C430" w14:textId="77777777" w:rsidR="00171AA8" w:rsidRPr="00731FE2" w:rsidRDefault="00171AA8">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p>
        </w:tc>
        <w:tc>
          <w:tcPr>
            <w:tcW w:w="356"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059D207C" w14:textId="77777777" w:rsidR="00171AA8" w:rsidRPr="00731FE2" w:rsidRDefault="00171AA8">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p>
        </w:tc>
        <w:tc>
          <w:tcPr>
            <w:tcW w:w="0" w:type="auto"/>
            <w:vMerge/>
            <w:tcBorders>
              <w:top w:val="single" w:sz="4" w:space="0" w:color="000000"/>
              <w:left w:val="single" w:sz="4" w:space="0" w:color="000000"/>
              <w:bottom w:val="single" w:sz="4" w:space="0" w:color="000000"/>
              <w:right w:val="single" w:sz="4" w:space="0" w:color="000000"/>
            </w:tcBorders>
          </w:tcPr>
          <w:p w14:paraId="77F3ED9D" w14:textId="77777777" w:rsidR="00171AA8" w:rsidRPr="00731FE2" w:rsidRDefault="00171AA8">
            <w:pPr>
              <w:rPr>
                <w:rFonts w:ascii="Times New Roman" w:hAnsi="Times New Roman" w:cs="Times New Roman"/>
                <w:sz w:val="16"/>
                <w:szCs w:val="16"/>
              </w:rPr>
            </w:pPr>
          </w:p>
        </w:tc>
        <w:tc>
          <w:tcPr>
            <w:tcW w:w="576"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63EFA58E" w14:textId="77777777" w:rsidR="00171AA8" w:rsidRPr="00731FE2" w:rsidRDefault="00171AA8">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p>
        </w:tc>
        <w:tc>
          <w:tcPr>
            <w:tcW w:w="500"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7BAF2CC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6"/>
                <w:szCs w:val="16"/>
                <w:u w:val="none"/>
              </w:rPr>
            </w:pPr>
            <w:r w:rsidRPr="00731FE2">
              <w:rPr>
                <w:rStyle w:val="af6"/>
                <w:rFonts w:ascii="Times New Roman" w:hAnsi="Times New Roman" w:cs="Times New Roman"/>
                <w:color w:val="auto"/>
                <w:sz w:val="16"/>
                <w:szCs w:val="16"/>
                <w:u w:val="none"/>
              </w:rPr>
              <w:t>1,5</w:t>
            </w:r>
          </w:p>
        </w:tc>
        <w:tc>
          <w:tcPr>
            <w:tcW w:w="272"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vAlign w:val="center"/>
          </w:tcPr>
          <w:p w14:paraId="0A5683C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6"/>
                <w:szCs w:val="16"/>
              </w:rPr>
            </w:pPr>
            <w:r w:rsidRPr="00731FE2">
              <w:rPr>
                <w:rFonts w:ascii="Times New Roman" w:eastAsia="Arial Narrow" w:hAnsi="Times New Roman" w:cs="Times New Roman"/>
                <w:color w:val="000000"/>
                <w:sz w:val="16"/>
                <w:szCs w:val="16"/>
              </w:rPr>
              <w:t>0,1</w:t>
            </w:r>
          </w:p>
        </w:tc>
      </w:tr>
    </w:tbl>
    <w:p w14:paraId="5BC8C6D8" w14:textId="77777777" w:rsidR="00171AA8" w:rsidRPr="00731FE2" w:rsidRDefault="007935AB">
      <w:pPr>
        <w:rPr>
          <w:rFonts w:ascii="Times New Roman" w:hAnsi="Times New Roman" w:cs="Times New Roman"/>
        </w:rPr>
      </w:pPr>
      <w:r w:rsidRPr="00731FE2">
        <w:rPr>
          <w:rFonts w:ascii="Times New Roman" w:hAnsi="Times New Roman" w:cs="Times New Roman"/>
        </w:rPr>
        <w:br w:type="page" w:clear="all"/>
      </w:r>
    </w:p>
    <w:p w14:paraId="40812A5B" w14:textId="0085F961" w:rsidR="00171AA8" w:rsidRPr="00731FE2" w:rsidRDefault="007935AB" w:rsidP="00717AA7">
      <w:pPr>
        <w:pStyle w:val="13"/>
        <w:spacing w:after="0" w:line="240" w:lineRule="auto"/>
        <w:rPr>
          <w:rStyle w:val="af6"/>
          <w:rFonts w:ascii="Times New Roman" w:hAnsi="Times New Roman" w:cs="Times New Roman"/>
          <w:bCs w:val="0"/>
          <w:color w:val="auto"/>
          <w:sz w:val="24"/>
          <w:szCs w:val="24"/>
          <w:u w:val="none"/>
        </w:rPr>
      </w:pPr>
      <w:bookmarkStart w:id="109" w:name="_Toc177392858"/>
      <w:r w:rsidRPr="00731FE2">
        <w:rPr>
          <w:rFonts w:ascii="Times New Roman" w:hAnsi="Times New Roman" w:cs="Times New Roman"/>
          <w:bCs w:val="0"/>
          <w:sz w:val="24"/>
          <w:szCs w:val="24"/>
        </w:rPr>
        <w:lastRenderedPageBreak/>
        <w:t xml:space="preserve">ПРИЛОЖЕНИЕ 2 – </w:t>
      </w:r>
      <w:r w:rsidR="005078BB" w:rsidRPr="00731FE2">
        <w:rPr>
          <w:rFonts w:ascii="Times New Roman" w:hAnsi="Times New Roman" w:cs="Times New Roman"/>
          <w:bCs w:val="0"/>
          <w:sz w:val="24"/>
          <w:szCs w:val="24"/>
        </w:rPr>
        <w:t>ПЕРЕЧЕНЬ</w:t>
      </w:r>
      <w:r w:rsidRPr="00731FE2">
        <w:rPr>
          <w:rFonts w:ascii="Times New Roman" w:hAnsi="Times New Roman" w:cs="Times New Roman"/>
          <w:bCs w:val="0"/>
          <w:sz w:val="24"/>
          <w:szCs w:val="24"/>
        </w:rPr>
        <w:t xml:space="preserve"> ОБЪЕКТОВ КУЛЬТУРНОГО НАСЛЕДИЯ ФЕДЕРАЛЬНОГО ЗНАЧЕНИЯ, РАСПОЛОЖЕННЫХ НА ТЕРРИТОРИИ ГОРОДСКОГО ОКРУГА ГОРОДА-КУРОРТА КИСЛОВОДСКА СТАВРОПОЛЬСКОГО КРАЯ</w:t>
      </w:r>
      <w:r w:rsidRPr="00731FE2">
        <w:rPr>
          <w:rStyle w:val="afb"/>
          <w:rFonts w:ascii="Times New Roman" w:hAnsi="Times New Roman" w:cs="Times New Roman"/>
          <w:bCs w:val="0"/>
          <w:color w:val="auto"/>
          <w:sz w:val="24"/>
          <w:szCs w:val="24"/>
          <w:vertAlign w:val="superscript"/>
        </w:rPr>
        <w:footnoteReference w:id="121"/>
      </w:r>
      <w:bookmarkEnd w:id="109"/>
    </w:p>
    <w:tbl>
      <w:tblPr>
        <w:tblW w:w="14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2410"/>
        <w:gridCol w:w="3402"/>
        <w:gridCol w:w="1417"/>
        <w:gridCol w:w="1872"/>
        <w:gridCol w:w="1734"/>
        <w:gridCol w:w="2915"/>
      </w:tblGrid>
      <w:tr w:rsidR="00E373FE" w:rsidRPr="00731FE2" w14:paraId="2BC72047" w14:textId="77777777" w:rsidTr="00397502">
        <w:trPr>
          <w:trHeight w:val="681"/>
        </w:trPr>
        <w:tc>
          <w:tcPr>
            <w:tcW w:w="704" w:type="dxa"/>
            <w:shd w:val="clear" w:color="auto" w:fill="auto"/>
            <w:noWrap/>
          </w:tcPr>
          <w:p w14:paraId="680A35C5" w14:textId="2B8BC0E8" w:rsidR="00E373FE" w:rsidRPr="00731FE2" w:rsidRDefault="00E373FE" w:rsidP="00397502">
            <w:pPr>
              <w:spacing w:line="240" w:lineRule="auto"/>
              <w:ind w:firstLine="0"/>
              <w:rPr>
                <w:rFonts w:ascii="Times New Roman" w:hAnsi="Times New Roman" w:cs="Times New Roman"/>
                <w:b/>
                <w:sz w:val="20"/>
                <w:szCs w:val="20"/>
              </w:rPr>
            </w:pPr>
            <w:r w:rsidRPr="00731FE2">
              <w:rPr>
                <w:rFonts w:ascii="Times New Roman" w:hAnsi="Times New Roman" w:cs="Times New Roman"/>
                <w:b/>
                <w:sz w:val="20"/>
                <w:szCs w:val="20"/>
              </w:rPr>
              <w:t>№ п/п</w:t>
            </w:r>
          </w:p>
        </w:tc>
        <w:tc>
          <w:tcPr>
            <w:tcW w:w="2410" w:type="dxa"/>
            <w:shd w:val="clear" w:color="000000" w:fill="auto"/>
            <w:hideMark/>
          </w:tcPr>
          <w:p w14:paraId="6ABDB6A8" w14:textId="77777777" w:rsidR="00E373FE" w:rsidRPr="00731FE2" w:rsidRDefault="00E373FE" w:rsidP="00397502">
            <w:pPr>
              <w:spacing w:line="240" w:lineRule="auto"/>
              <w:ind w:firstLine="0"/>
              <w:jc w:val="center"/>
              <w:rPr>
                <w:rFonts w:ascii="Times New Roman" w:eastAsia="Times New Roman" w:hAnsi="Times New Roman" w:cs="Times New Roman"/>
                <w:b/>
                <w:bCs/>
                <w:sz w:val="20"/>
                <w:szCs w:val="20"/>
                <w:lang w:eastAsia="ru-RU"/>
              </w:rPr>
            </w:pPr>
            <w:r w:rsidRPr="00731FE2">
              <w:rPr>
                <w:rFonts w:ascii="Times New Roman" w:eastAsia="Times New Roman" w:hAnsi="Times New Roman" w:cs="Times New Roman"/>
                <w:b/>
                <w:bCs/>
                <w:sz w:val="20"/>
                <w:szCs w:val="20"/>
                <w:lang w:eastAsia="ru-RU"/>
              </w:rPr>
              <w:t>Наименование объекта культурного наследия</w:t>
            </w:r>
          </w:p>
        </w:tc>
        <w:tc>
          <w:tcPr>
            <w:tcW w:w="3402" w:type="dxa"/>
            <w:shd w:val="clear" w:color="000000" w:fill="auto"/>
            <w:hideMark/>
          </w:tcPr>
          <w:p w14:paraId="0B15410C" w14:textId="77777777" w:rsidR="00E373FE" w:rsidRPr="00731FE2" w:rsidRDefault="00E373FE" w:rsidP="00397502">
            <w:pPr>
              <w:spacing w:line="240" w:lineRule="auto"/>
              <w:ind w:firstLine="0"/>
              <w:jc w:val="center"/>
              <w:rPr>
                <w:rFonts w:ascii="Times New Roman" w:eastAsia="Times New Roman" w:hAnsi="Times New Roman" w:cs="Times New Roman"/>
                <w:b/>
                <w:bCs/>
                <w:sz w:val="20"/>
                <w:szCs w:val="20"/>
                <w:lang w:eastAsia="ru-RU"/>
              </w:rPr>
            </w:pPr>
            <w:r w:rsidRPr="00731FE2">
              <w:rPr>
                <w:rFonts w:ascii="Times New Roman" w:eastAsia="Times New Roman" w:hAnsi="Times New Roman" w:cs="Times New Roman"/>
                <w:b/>
                <w:bCs/>
                <w:sz w:val="20"/>
                <w:szCs w:val="20"/>
                <w:lang w:eastAsia="ru-RU"/>
              </w:rPr>
              <w:t>Нормативный акт, на основании которого объект отнесен к памятникам истории и культуры</w:t>
            </w:r>
          </w:p>
        </w:tc>
        <w:tc>
          <w:tcPr>
            <w:tcW w:w="1417" w:type="dxa"/>
            <w:shd w:val="clear" w:color="000000" w:fill="auto"/>
            <w:hideMark/>
          </w:tcPr>
          <w:p w14:paraId="496D200F" w14:textId="77777777" w:rsidR="00E373FE" w:rsidRPr="00731FE2" w:rsidRDefault="00E373FE" w:rsidP="00397502">
            <w:pPr>
              <w:spacing w:line="240" w:lineRule="auto"/>
              <w:ind w:firstLine="0"/>
              <w:jc w:val="center"/>
              <w:rPr>
                <w:rFonts w:ascii="Times New Roman" w:eastAsia="Times New Roman" w:hAnsi="Times New Roman" w:cs="Times New Roman"/>
                <w:b/>
                <w:bCs/>
                <w:sz w:val="20"/>
                <w:szCs w:val="20"/>
                <w:lang w:eastAsia="ru-RU"/>
              </w:rPr>
            </w:pPr>
            <w:r w:rsidRPr="00731FE2">
              <w:rPr>
                <w:rFonts w:ascii="Times New Roman" w:eastAsia="Times New Roman" w:hAnsi="Times New Roman" w:cs="Times New Roman"/>
                <w:b/>
                <w:bCs/>
                <w:sz w:val="20"/>
                <w:szCs w:val="20"/>
                <w:lang w:eastAsia="ru-RU"/>
              </w:rPr>
              <w:t>Категория государственной охраны</w:t>
            </w:r>
          </w:p>
        </w:tc>
        <w:tc>
          <w:tcPr>
            <w:tcW w:w="1872" w:type="dxa"/>
            <w:shd w:val="clear" w:color="000000" w:fill="auto"/>
            <w:hideMark/>
          </w:tcPr>
          <w:p w14:paraId="7A73A9DA" w14:textId="77777777" w:rsidR="00E373FE" w:rsidRPr="00731FE2" w:rsidRDefault="00E373FE" w:rsidP="00397502">
            <w:pPr>
              <w:spacing w:line="240" w:lineRule="auto"/>
              <w:ind w:firstLine="0"/>
              <w:jc w:val="center"/>
              <w:rPr>
                <w:rFonts w:ascii="Times New Roman" w:eastAsia="Times New Roman" w:hAnsi="Times New Roman" w:cs="Times New Roman"/>
                <w:b/>
                <w:bCs/>
                <w:sz w:val="20"/>
                <w:szCs w:val="20"/>
                <w:lang w:eastAsia="ru-RU"/>
              </w:rPr>
            </w:pPr>
            <w:r w:rsidRPr="00731FE2">
              <w:rPr>
                <w:rFonts w:ascii="Times New Roman" w:eastAsia="Times New Roman" w:hAnsi="Times New Roman" w:cs="Times New Roman"/>
                <w:b/>
                <w:bCs/>
                <w:sz w:val="20"/>
                <w:szCs w:val="20"/>
                <w:lang w:eastAsia="ru-RU"/>
              </w:rPr>
              <w:t>Адрес объекта культурного наследия</w:t>
            </w:r>
          </w:p>
        </w:tc>
        <w:tc>
          <w:tcPr>
            <w:tcW w:w="1734" w:type="dxa"/>
            <w:shd w:val="clear" w:color="000000" w:fill="auto"/>
            <w:hideMark/>
          </w:tcPr>
          <w:p w14:paraId="4247F832" w14:textId="77777777" w:rsidR="00E373FE" w:rsidRPr="00731FE2" w:rsidRDefault="00E373FE" w:rsidP="00397502">
            <w:pPr>
              <w:spacing w:line="240" w:lineRule="auto"/>
              <w:ind w:firstLine="0"/>
              <w:jc w:val="center"/>
              <w:rPr>
                <w:rFonts w:ascii="Times New Roman" w:eastAsia="Times New Roman" w:hAnsi="Times New Roman" w:cs="Times New Roman"/>
                <w:b/>
                <w:bCs/>
                <w:sz w:val="20"/>
                <w:szCs w:val="20"/>
                <w:lang w:eastAsia="ru-RU"/>
              </w:rPr>
            </w:pPr>
            <w:r w:rsidRPr="00731FE2">
              <w:rPr>
                <w:rFonts w:ascii="Times New Roman" w:eastAsia="Times New Roman" w:hAnsi="Times New Roman" w:cs="Times New Roman"/>
                <w:b/>
                <w:bCs/>
                <w:sz w:val="20"/>
                <w:szCs w:val="20"/>
                <w:lang w:eastAsia="ru-RU"/>
              </w:rPr>
              <w:t>Сведения об установлении границ территории</w:t>
            </w:r>
          </w:p>
        </w:tc>
        <w:tc>
          <w:tcPr>
            <w:tcW w:w="2915" w:type="dxa"/>
            <w:shd w:val="clear" w:color="000000" w:fill="auto"/>
            <w:hideMark/>
          </w:tcPr>
          <w:p w14:paraId="5E09747F" w14:textId="77777777" w:rsidR="00E373FE" w:rsidRPr="00731FE2" w:rsidRDefault="00E373FE" w:rsidP="00397502">
            <w:pPr>
              <w:spacing w:line="240" w:lineRule="auto"/>
              <w:ind w:firstLine="0"/>
              <w:jc w:val="center"/>
              <w:rPr>
                <w:rFonts w:ascii="Times New Roman" w:eastAsia="Times New Roman" w:hAnsi="Times New Roman" w:cs="Times New Roman"/>
                <w:b/>
                <w:bCs/>
                <w:sz w:val="20"/>
                <w:szCs w:val="20"/>
                <w:lang w:eastAsia="ru-RU"/>
              </w:rPr>
            </w:pPr>
            <w:r w:rsidRPr="00731FE2">
              <w:rPr>
                <w:rFonts w:ascii="Times New Roman" w:eastAsia="Times New Roman" w:hAnsi="Times New Roman" w:cs="Times New Roman"/>
                <w:b/>
                <w:bCs/>
                <w:sz w:val="20"/>
                <w:szCs w:val="20"/>
                <w:lang w:eastAsia="ru-RU"/>
              </w:rPr>
              <w:t>Сведения о зонах охраны, режимах использования земель и градостроительных регламентов в границах данных зон</w:t>
            </w:r>
          </w:p>
        </w:tc>
      </w:tr>
      <w:tr w:rsidR="00E373FE" w:rsidRPr="00731FE2" w14:paraId="248989B1" w14:textId="77777777" w:rsidTr="00397502">
        <w:trPr>
          <w:trHeight w:val="2130"/>
        </w:trPr>
        <w:tc>
          <w:tcPr>
            <w:tcW w:w="704" w:type="dxa"/>
            <w:shd w:val="clear" w:color="auto" w:fill="auto"/>
            <w:noWrap/>
          </w:tcPr>
          <w:p w14:paraId="112E0C1A"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FFFFFF" w:fill="FFFFFF"/>
            <w:hideMark/>
          </w:tcPr>
          <w:p w14:paraId="2E92FFC9"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Особняк Гориной, где бывал А.И. Солженицын</w:t>
            </w:r>
          </w:p>
        </w:tc>
        <w:tc>
          <w:tcPr>
            <w:tcW w:w="3402" w:type="dxa"/>
            <w:shd w:val="clear" w:color="FFFFFF" w:fill="FFFFFF"/>
            <w:hideMark/>
          </w:tcPr>
          <w:p w14:paraId="586BA0A7"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Распоряжение Правительства РФ от 19.05.2009 N 678-р "Об отнесении памятника истории и культуры регионального значения "Особняк Гориной, где бывал А.И. Солженицын" (Ставропольский край, г. Кисловодск, переулок Бородинский, д. 3) к объектам культурного наследия</w:t>
            </w:r>
          </w:p>
        </w:tc>
        <w:tc>
          <w:tcPr>
            <w:tcW w:w="1417" w:type="dxa"/>
            <w:shd w:val="clear" w:color="FFFFFF" w:fill="FFFFFF"/>
            <w:hideMark/>
          </w:tcPr>
          <w:p w14:paraId="33FF1051"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FFFFFF" w:fill="FFFFFF"/>
            <w:hideMark/>
          </w:tcPr>
          <w:p w14:paraId="5B21D19C"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г. Кисловодск, пер. Бородинский, 3</w:t>
            </w:r>
          </w:p>
        </w:tc>
        <w:tc>
          <w:tcPr>
            <w:tcW w:w="1734" w:type="dxa"/>
            <w:shd w:val="clear" w:color="FFFFFF" w:fill="FFFFFF"/>
            <w:hideMark/>
          </w:tcPr>
          <w:p w14:paraId="3B7333E0"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приказ министерства культуры Ставропольского края от 24 сентября 2014 г. № 480, приказ от 11.10.2016 № 461</w:t>
            </w:r>
          </w:p>
        </w:tc>
        <w:tc>
          <w:tcPr>
            <w:tcW w:w="2915" w:type="dxa"/>
            <w:shd w:val="clear" w:color="9999FF" w:fill="FFFFFF"/>
            <w:hideMark/>
          </w:tcPr>
          <w:p w14:paraId="4D99E8EC"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приказ министерства культуры Ставропольского края от 19 января 2015 г. № 7 с изменениями, внесенными приказом от 11.10.2016 № 461</w:t>
            </w:r>
          </w:p>
        </w:tc>
      </w:tr>
      <w:tr w:rsidR="00E373FE" w:rsidRPr="00731FE2" w14:paraId="6C403694" w14:textId="77777777" w:rsidTr="00397502">
        <w:trPr>
          <w:trHeight w:val="1115"/>
        </w:trPr>
        <w:tc>
          <w:tcPr>
            <w:tcW w:w="704" w:type="dxa"/>
            <w:shd w:val="clear" w:color="auto" w:fill="auto"/>
            <w:noWrap/>
          </w:tcPr>
          <w:p w14:paraId="4B740A9D"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3DC81588"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Ансамбль Курзала Владикавказской железной дороги, 1895 г.</w:t>
            </w:r>
          </w:p>
        </w:tc>
        <w:tc>
          <w:tcPr>
            <w:tcW w:w="3402" w:type="dxa"/>
            <w:shd w:val="clear" w:color="000000" w:fill="auto"/>
            <w:hideMark/>
          </w:tcPr>
          <w:p w14:paraId="3FEEDCD8"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Указ Президента РФ от 20.02.1995 г. № 176 "Об утверждении Перечня объектов исторического и культурного наследия федерального (общероссийского) значения"</w:t>
            </w:r>
          </w:p>
        </w:tc>
        <w:tc>
          <w:tcPr>
            <w:tcW w:w="1417" w:type="dxa"/>
            <w:shd w:val="clear" w:color="000000" w:fill="auto"/>
            <w:hideMark/>
          </w:tcPr>
          <w:p w14:paraId="499B2D86"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612E4C76"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г. Кисловодск, ул. К. Маркса, 1/ ул. Карла Маркса, 3</w:t>
            </w:r>
          </w:p>
        </w:tc>
        <w:tc>
          <w:tcPr>
            <w:tcW w:w="1734" w:type="dxa"/>
            <w:shd w:val="clear" w:color="008080" w:fill="auto"/>
            <w:hideMark/>
          </w:tcPr>
          <w:p w14:paraId="48384274"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приказ управления СК по охране ОКН от 23.06.2017 г. № 151</w:t>
            </w:r>
          </w:p>
        </w:tc>
        <w:tc>
          <w:tcPr>
            <w:tcW w:w="2915" w:type="dxa"/>
            <w:shd w:val="clear" w:color="008080" w:fill="auto"/>
            <w:hideMark/>
          </w:tcPr>
          <w:p w14:paraId="315A3216"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В соответствии со ст. 34.1 ФЗ от 25.06.2002 № 73-ФЗ «Об объектах культурного наследия (памятниках истории и культуры) народов РФ» действуют защитные зоны 100 м</w:t>
            </w:r>
          </w:p>
        </w:tc>
      </w:tr>
      <w:tr w:rsidR="00E373FE" w:rsidRPr="00731FE2" w14:paraId="715C9C76" w14:textId="77777777" w:rsidTr="00397502">
        <w:trPr>
          <w:trHeight w:val="829"/>
        </w:trPr>
        <w:tc>
          <w:tcPr>
            <w:tcW w:w="704" w:type="dxa"/>
            <w:shd w:val="clear" w:color="auto" w:fill="auto"/>
            <w:noWrap/>
          </w:tcPr>
          <w:p w14:paraId="767ABBA1"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FFFF00" w:fill="auto"/>
            <w:hideMark/>
          </w:tcPr>
          <w:p w14:paraId="5D7D1708"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Дом Ярошенко Николая Александровича, в котором он жил в 1892-1898 гг.</w:t>
            </w:r>
          </w:p>
        </w:tc>
        <w:tc>
          <w:tcPr>
            <w:tcW w:w="3402" w:type="dxa"/>
            <w:shd w:val="clear" w:color="FFFF00" w:fill="auto"/>
            <w:hideMark/>
          </w:tcPr>
          <w:p w14:paraId="22E97E60"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Совета Министров РСФСР от 30.08.1960 г. № 1327                        "О дальнейшем улучшении дела охраны памятников культуры в РСФСР"</w:t>
            </w:r>
          </w:p>
        </w:tc>
        <w:tc>
          <w:tcPr>
            <w:tcW w:w="1417" w:type="dxa"/>
            <w:shd w:val="clear" w:color="FFFF00" w:fill="auto"/>
            <w:hideMark/>
          </w:tcPr>
          <w:p w14:paraId="72A1F500"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FFFF00" w:fill="auto"/>
            <w:hideMark/>
          </w:tcPr>
          <w:p w14:paraId="4A40EFD2"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г. Кисловодск, ул. Ярошенко, 3/ ул. Ярошенко,1</w:t>
            </w:r>
          </w:p>
        </w:tc>
        <w:tc>
          <w:tcPr>
            <w:tcW w:w="1734" w:type="dxa"/>
            <w:shd w:val="clear" w:color="FFFF00" w:fill="auto"/>
            <w:hideMark/>
          </w:tcPr>
          <w:p w14:paraId="383D17A4"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приказ министерства культуры Ставропольского края от 13 декабря 2012 г. № 980</w:t>
            </w:r>
          </w:p>
        </w:tc>
        <w:tc>
          <w:tcPr>
            <w:tcW w:w="2915" w:type="dxa"/>
            <w:shd w:val="clear" w:color="FFFF00" w:fill="auto"/>
            <w:hideMark/>
          </w:tcPr>
          <w:p w14:paraId="1AC0CBF1"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приказ управления СК по охране ОКН от 31.08.15 № 166</w:t>
            </w:r>
          </w:p>
        </w:tc>
      </w:tr>
      <w:tr w:rsidR="00E373FE" w:rsidRPr="00731FE2" w14:paraId="0A734345" w14:textId="77777777" w:rsidTr="00397502">
        <w:trPr>
          <w:trHeight w:val="1584"/>
        </w:trPr>
        <w:tc>
          <w:tcPr>
            <w:tcW w:w="704" w:type="dxa"/>
            <w:shd w:val="clear" w:color="auto" w:fill="auto"/>
            <w:noWrap/>
          </w:tcPr>
          <w:p w14:paraId="08EB58C0"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47B87738"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Два флигеля, расположенные на территории бывшей усадьбы художника Н.А. Ярошенко</w:t>
            </w:r>
          </w:p>
        </w:tc>
        <w:tc>
          <w:tcPr>
            <w:tcW w:w="3402" w:type="dxa"/>
            <w:shd w:val="clear" w:color="000000" w:fill="auto"/>
            <w:hideMark/>
          </w:tcPr>
          <w:p w14:paraId="0AC28566"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Распоряжение Совета Министров РСФСР от 16.12.1968 № 2597-р</w:t>
            </w:r>
          </w:p>
        </w:tc>
        <w:tc>
          <w:tcPr>
            <w:tcW w:w="1417" w:type="dxa"/>
            <w:shd w:val="clear" w:color="000000" w:fill="auto"/>
            <w:hideMark/>
          </w:tcPr>
          <w:p w14:paraId="63845CAA"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67E3D1F4"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г. Кисловодск, ул. Ярошенко, 3/ ул. Ярошенко,1</w:t>
            </w:r>
          </w:p>
        </w:tc>
        <w:tc>
          <w:tcPr>
            <w:tcW w:w="1734" w:type="dxa"/>
            <w:shd w:val="clear" w:color="000000" w:fill="auto"/>
            <w:hideMark/>
          </w:tcPr>
          <w:p w14:paraId="29FA6292"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приказ министерства культуры Ставропольского края от 13 декабря 2012 г. № 980</w:t>
            </w:r>
          </w:p>
        </w:tc>
        <w:tc>
          <w:tcPr>
            <w:tcW w:w="2915" w:type="dxa"/>
            <w:shd w:val="clear" w:color="9999FF" w:fill="auto"/>
            <w:hideMark/>
          </w:tcPr>
          <w:p w14:paraId="05A44838"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приказ управления СК по охране ОКН от 31.08.15 № 166</w:t>
            </w:r>
          </w:p>
        </w:tc>
      </w:tr>
      <w:tr w:rsidR="00E373FE" w:rsidRPr="00731FE2" w14:paraId="2FF4A87A" w14:textId="77777777" w:rsidTr="00397502">
        <w:trPr>
          <w:trHeight w:val="265"/>
        </w:trPr>
        <w:tc>
          <w:tcPr>
            <w:tcW w:w="704" w:type="dxa"/>
            <w:shd w:val="clear" w:color="auto" w:fill="auto"/>
            <w:noWrap/>
          </w:tcPr>
          <w:p w14:paraId="02E86704"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FFFF00" w:fill="auto"/>
            <w:hideMark/>
          </w:tcPr>
          <w:p w14:paraId="28C4B9BB"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Остатки русской крепости, XIX в.</w:t>
            </w:r>
          </w:p>
        </w:tc>
        <w:tc>
          <w:tcPr>
            <w:tcW w:w="3402" w:type="dxa"/>
            <w:shd w:val="clear" w:color="FFFF00" w:fill="auto"/>
            <w:hideMark/>
          </w:tcPr>
          <w:p w14:paraId="1E15F409"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Совета Министров РСФСР от 30.08.1960 г. № 1327                        "О дальнейшем улучшении дела охраны памятников культуры в РСФСР"</w:t>
            </w:r>
          </w:p>
        </w:tc>
        <w:tc>
          <w:tcPr>
            <w:tcW w:w="1417" w:type="dxa"/>
            <w:shd w:val="clear" w:color="FFFF00" w:fill="auto"/>
            <w:hideMark/>
          </w:tcPr>
          <w:p w14:paraId="4B3FB11F"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FFFF00" w:fill="auto"/>
            <w:hideMark/>
          </w:tcPr>
          <w:p w14:paraId="657AC069"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г. Кисловодск, адрес не указан/ ул. Мира, 11</w:t>
            </w:r>
          </w:p>
        </w:tc>
        <w:tc>
          <w:tcPr>
            <w:tcW w:w="1734" w:type="dxa"/>
            <w:shd w:val="clear" w:color="FFFF00" w:fill="auto"/>
            <w:hideMark/>
          </w:tcPr>
          <w:p w14:paraId="3134674B"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приказ министерства культуры СК</w:t>
            </w:r>
            <w:r w:rsidRPr="00731FE2">
              <w:rPr>
                <w:rFonts w:ascii="Times New Roman" w:eastAsia="Times New Roman" w:hAnsi="Times New Roman" w:cs="Times New Roman"/>
                <w:sz w:val="20"/>
                <w:szCs w:val="20"/>
                <w:lang w:eastAsia="ru-RU"/>
              </w:rPr>
              <w:br/>
              <w:t xml:space="preserve">от 13 декабря 2012 г. </w:t>
            </w:r>
            <w:r w:rsidRPr="00731FE2">
              <w:rPr>
                <w:rFonts w:ascii="Times New Roman" w:eastAsia="Times New Roman" w:hAnsi="Times New Roman" w:cs="Times New Roman"/>
                <w:sz w:val="20"/>
                <w:szCs w:val="20"/>
                <w:lang w:eastAsia="ru-RU"/>
              </w:rPr>
              <w:br/>
              <w:t>№ 975</w:t>
            </w:r>
          </w:p>
        </w:tc>
        <w:tc>
          <w:tcPr>
            <w:tcW w:w="2915" w:type="dxa"/>
            <w:shd w:val="clear" w:color="FFFF00" w:fill="auto"/>
            <w:hideMark/>
          </w:tcPr>
          <w:p w14:paraId="426B7858"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приказ управления СК по охране ОКН от 31.08.15 № 167</w:t>
            </w:r>
          </w:p>
        </w:tc>
      </w:tr>
      <w:tr w:rsidR="00E373FE" w:rsidRPr="00731FE2" w14:paraId="49AE13B0" w14:textId="77777777" w:rsidTr="00397502">
        <w:trPr>
          <w:trHeight w:val="58"/>
        </w:trPr>
        <w:tc>
          <w:tcPr>
            <w:tcW w:w="704" w:type="dxa"/>
            <w:shd w:val="clear" w:color="auto" w:fill="auto"/>
            <w:noWrap/>
          </w:tcPr>
          <w:p w14:paraId="57F0285C"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FFFF00" w:fill="auto"/>
            <w:hideMark/>
          </w:tcPr>
          <w:p w14:paraId="33493BAC"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Дом Реброва («Дом княжны Мэри»), в котором бывали Пушкин Александр Сергеевич и Лермонтов Михаил Юрьевич, описавший его в романе «Герой нашего времени»</w:t>
            </w:r>
          </w:p>
        </w:tc>
        <w:tc>
          <w:tcPr>
            <w:tcW w:w="3402" w:type="dxa"/>
            <w:shd w:val="clear" w:color="FFFF00" w:fill="auto"/>
            <w:hideMark/>
          </w:tcPr>
          <w:p w14:paraId="1B82FEB1"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Совмина РСФСР от 04.12.1974 г.№ 624 "О дополнении и частичном изменении Постановления Совета Министров РСФСР от 30 августа 1960 г. № 1327 "О дальнейшем улучшении дела охраны памятников культуры в РСФСР"</w:t>
            </w:r>
          </w:p>
        </w:tc>
        <w:tc>
          <w:tcPr>
            <w:tcW w:w="1417" w:type="dxa"/>
            <w:shd w:val="clear" w:color="FFFF00" w:fill="auto"/>
            <w:hideMark/>
          </w:tcPr>
          <w:p w14:paraId="0B71918A"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FFFF00" w:fill="auto"/>
            <w:hideMark/>
          </w:tcPr>
          <w:p w14:paraId="1EE90851"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г. Кисловодск, ул. Коминтерна, 3/ ул. Коминтерна, 3 лит.Б</w:t>
            </w:r>
          </w:p>
        </w:tc>
        <w:tc>
          <w:tcPr>
            <w:tcW w:w="1734" w:type="dxa"/>
            <w:shd w:val="clear" w:color="FFFF00" w:fill="auto"/>
            <w:hideMark/>
          </w:tcPr>
          <w:p w14:paraId="6CF0D334"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приказ министерства культуры Ставропольского края</w:t>
            </w:r>
            <w:r w:rsidRPr="00731FE2">
              <w:rPr>
                <w:rFonts w:ascii="Times New Roman" w:eastAsia="Times New Roman" w:hAnsi="Times New Roman" w:cs="Times New Roman"/>
                <w:sz w:val="20"/>
                <w:szCs w:val="20"/>
                <w:lang w:eastAsia="ru-RU"/>
              </w:rPr>
              <w:br/>
              <w:t xml:space="preserve">от 21 января 2015 г. </w:t>
            </w:r>
            <w:r w:rsidRPr="00731FE2">
              <w:rPr>
                <w:rFonts w:ascii="Times New Roman" w:eastAsia="Times New Roman" w:hAnsi="Times New Roman" w:cs="Times New Roman"/>
                <w:sz w:val="20"/>
                <w:szCs w:val="20"/>
                <w:lang w:eastAsia="ru-RU"/>
              </w:rPr>
              <w:br/>
              <w:t>№ 48</w:t>
            </w:r>
          </w:p>
        </w:tc>
        <w:tc>
          <w:tcPr>
            <w:tcW w:w="2915" w:type="dxa"/>
            <w:shd w:val="clear" w:color="FFFF00" w:fill="auto"/>
            <w:hideMark/>
          </w:tcPr>
          <w:p w14:paraId="6DE3728A"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в ЗРЗ "Курортный парк"</w:t>
            </w:r>
          </w:p>
        </w:tc>
      </w:tr>
      <w:tr w:rsidR="00E373FE" w:rsidRPr="00731FE2" w14:paraId="235AE7AC" w14:textId="77777777" w:rsidTr="00397502">
        <w:trPr>
          <w:trHeight w:val="579"/>
        </w:trPr>
        <w:tc>
          <w:tcPr>
            <w:tcW w:w="704" w:type="dxa"/>
            <w:shd w:val="clear" w:color="auto" w:fill="auto"/>
            <w:noWrap/>
          </w:tcPr>
          <w:p w14:paraId="36363502"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FFFF00" w:fill="auto"/>
            <w:hideMark/>
          </w:tcPr>
          <w:p w14:paraId="589C610C"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Дача Шаляпина Федора Ивановича, на которой он отдыхал с 1897 по 1917 гг. В оформлении интерьера принимали участие художники Коровин Константин Алексеевич и Рерих Николай Константинович</w:t>
            </w:r>
          </w:p>
        </w:tc>
        <w:tc>
          <w:tcPr>
            <w:tcW w:w="3402" w:type="dxa"/>
            <w:shd w:val="clear" w:color="FFFF00" w:fill="auto"/>
            <w:hideMark/>
          </w:tcPr>
          <w:p w14:paraId="0243E29A"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Совмина РСФСР от 04.12.1974 г.№ 624 "О дополнении и частичном изменении Постановления Совета Министров РСФСР от 30 августа 1960 г. № 1327 "О дальнейшем улучшении дела охраны памятников культуры в РСФСР"</w:t>
            </w:r>
          </w:p>
        </w:tc>
        <w:tc>
          <w:tcPr>
            <w:tcW w:w="1417" w:type="dxa"/>
            <w:shd w:val="clear" w:color="FFFF00" w:fill="auto"/>
            <w:hideMark/>
          </w:tcPr>
          <w:p w14:paraId="0158EE3D"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FFFF00" w:fill="auto"/>
            <w:hideMark/>
          </w:tcPr>
          <w:p w14:paraId="4BB847CB"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г. Кисловодск, на территории санатория им. Н.А. Семашко/ ул. Шаляпина, 1</w:t>
            </w:r>
          </w:p>
        </w:tc>
        <w:tc>
          <w:tcPr>
            <w:tcW w:w="1734" w:type="dxa"/>
            <w:shd w:val="clear" w:color="FFFF00" w:fill="auto"/>
            <w:hideMark/>
          </w:tcPr>
          <w:p w14:paraId="77A718F8"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приказ министерства культуры Ставропольского края</w:t>
            </w:r>
            <w:r w:rsidRPr="00731FE2">
              <w:rPr>
                <w:rFonts w:ascii="Times New Roman" w:eastAsia="Times New Roman" w:hAnsi="Times New Roman" w:cs="Times New Roman"/>
                <w:sz w:val="20"/>
                <w:szCs w:val="20"/>
                <w:lang w:eastAsia="ru-RU"/>
              </w:rPr>
              <w:br/>
              <w:t>от 25.12.2012 г. № 1105</w:t>
            </w:r>
          </w:p>
        </w:tc>
        <w:tc>
          <w:tcPr>
            <w:tcW w:w="2915" w:type="dxa"/>
            <w:shd w:val="clear" w:color="FFFF00" w:fill="auto"/>
            <w:hideMark/>
          </w:tcPr>
          <w:p w14:paraId="6075D435"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приказ управления СК по охране ОКН от 31.08.15 № 165</w:t>
            </w:r>
          </w:p>
        </w:tc>
      </w:tr>
      <w:tr w:rsidR="00E373FE" w:rsidRPr="00731FE2" w14:paraId="6E18EF8B" w14:textId="77777777" w:rsidTr="00397502">
        <w:trPr>
          <w:trHeight w:val="116"/>
        </w:trPr>
        <w:tc>
          <w:tcPr>
            <w:tcW w:w="704" w:type="dxa"/>
            <w:shd w:val="clear" w:color="auto" w:fill="auto"/>
            <w:noWrap/>
          </w:tcPr>
          <w:p w14:paraId="717672F8"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68258ADA"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Комплекс Главных нарзанных ванн, 1901 г.</w:t>
            </w:r>
          </w:p>
        </w:tc>
        <w:tc>
          <w:tcPr>
            <w:tcW w:w="3402" w:type="dxa"/>
            <w:shd w:val="clear" w:color="000000" w:fill="auto"/>
            <w:hideMark/>
          </w:tcPr>
          <w:p w14:paraId="034CC9A8"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Указ Президента РФ от 20.02.1995 г. № 176 "Об утверждении Перечня объектов исторического и культурного наследия федерального (общероссийского) значения"</w:t>
            </w:r>
          </w:p>
        </w:tc>
        <w:tc>
          <w:tcPr>
            <w:tcW w:w="1417" w:type="dxa"/>
            <w:shd w:val="clear" w:color="000000" w:fill="auto"/>
            <w:hideMark/>
          </w:tcPr>
          <w:p w14:paraId="33E0DA32"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541F716E"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г. Кисловодск, пр. 50-летия Октября, 4/ Курортный Бульвар, 4</w:t>
            </w:r>
          </w:p>
        </w:tc>
        <w:tc>
          <w:tcPr>
            <w:tcW w:w="1734" w:type="dxa"/>
            <w:shd w:val="clear" w:color="000000" w:fill="auto"/>
            <w:hideMark/>
          </w:tcPr>
          <w:p w14:paraId="554F5B75"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приказ министерства культуры Ставропольского края от 29 июля 2013 года № 433</w:t>
            </w:r>
          </w:p>
        </w:tc>
        <w:tc>
          <w:tcPr>
            <w:tcW w:w="2915" w:type="dxa"/>
            <w:shd w:val="clear" w:color="000000" w:fill="auto"/>
            <w:hideMark/>
          </w:tcPr>
          <w:p w14:paraId="607470D1"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 xml:space="preserve">приказ министерства культуры Ставропольского края от 24 мая 2013 г. </w:t>
            </w:r>
            <w:r w:rsidRPr="00731FE2">
              <w:rPr>
                <w:rFonts w:ascii="Times New Roman" w:eastAsia="Times New Roman" w:hAnsi="Times New Roman" w:cs="Times New Roman"/>
                <w:sz w:val="20"/>
                <w:szCs w:val="20"/>
                <w:lang w:eastAsia="ru-RU"/>
              </w:rPr>
              <w:br/>
              <w:t>№ 325</w:t>
            </w:r>
          </w:p>
        </w:tc>
      </w:tr>
      <w:tr w:rsidR="00E373FE" w:rsidRPr="00731FE2" w14:paraId="5E34D5C6" w14:textId="77777777" w:rsidTr="00397502">
        <w:trPr>
          <w:trHeight w:val="58"/>
        </w:trPr>
        <w:tc>
          <w:tcPr>
            <w:tcW w:w="704" w:type="dxa"/>
            <w:shd w:val="clear" w:color="auto" w:fill="auto"/>
            <w:noWrap/>
          </w:tcPr>
          <w:p w14:paraId="4DAA9DBC"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2572010D"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 xml:space="preserve">Нарзанная галерея, 1848 </w:t>
            </w:r>
            <w:r w:rsidRPr="00731FE2">
              <w:rPr>
                <w:rFonts w:ascii="Times New Roman" w:eastAsia="Times New Roman" w:hAnsi="Times New Roman" w:cs="Times New Roman"/>
                <w:sz w:val="20"/>
                <w:szCs w:val="20"/>
                <w:lang w:eastAsia="ru-RU"/>
              </w:rPr>
              <w:lastRenderedPageBreak/>
              <w:t>г.</w:t>
            </w:r>
          </w:p>
        </w:tc>
        <w:tc>
          <w:tcPr>
            <w:tcW w:w="3402" w:type="dxa"/>
            <w:shd w:val="clear" w:color="000000" w:fill="auto"/>
            <w:hideMark/>
          </w:tcPr>
          <w:p w14:paraId="219F1BB4"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lastRenderedPageBreak/>
              <w:t xml:space="preserve">Постановление Совмина РСФСР от </w:t>
            </w:r>
            <w:r w:rsidRPr="00731FE2">
              <w:rPr>
                <w:rFonts w:ascii="Times New Roman" w:eastAsia="Times New Roman" w:hAnsi="Times New Roman" w:cs="Times New Roman"/>
                <w:sz w:val="20"/>
                <w:szCs w:val="20"/>
                <w:lang w:eastAsia="ru-RU"/>
              </w:rPr>
              <w:lastRenderedPageBreak/>
              <w:t>04.12.1974 г.№ 624 "О дополнении и частичном изменении Постановления Совета Министров РСФСР от 30 августа 1960 г. № 1327 "О дальнейшем улучшении дела охраны памятников культуры в РСФСР"</w:t>
            </w:r>
          </w:p>
        </w:tc>
        <w:tc>
          <w:tcPr>
            <w:tcW w:w="1417" w:type="dxa"/>
            <w:shd w:val="clear" w:color="000000" w:fill="auto"/>
            <w:hideMark/>
          </w:tcPr>
          <w:p w14:paraId="6FF682E8"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lastRenderedPageBreak/>
              <w:t xml:space="preserve">федерального </w:t>
            </w:r>
            <w:r w:rsidRPr="00731FE2">
              <w:rPr>
                <w:rFonts w:ascii="Times New Roman" w:eastAsia="Times New Roman" w:hAnsi="Times New Roman" w:cs="Times New Roman"/>
                <w:sz w:val="20"/>
                <w:szCs w:val="20"/>
                <w:lang w:eastAsia="ru-RU"/>
              </w:rPr>
              <w:lastRenderedPageBreak/>
              <w:t>значения</w:t>
            </w:r>
          </w:p>
        </w:tc>
        <w:tc>
          <w:tcPr>
            <w:tcW w:w="1872" w:type="dxa"/>
            <w:shd w:val="clear" w:color="000000" w:fill="auto"/>
            <w:hideMark/>
          </w:tcPr>
          <w:p w14:paraId="5F08F929"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lastRenderedPageBreak/>
              <w:t xml:space="preserve">г. Кисловодск, </w:t>
            </w:r>
            <w:r w:rsidRPr="00731FE2">
              <w:rPr>
                <w:rFonts w:ascii="Times New Roman" w:eastAsia="Times New Roman" w:hAnsi="Times New Roman" w:cs="Times New Roman"/>
                <w:sz w:val="20"/>
                <w:szCs w:val="20"/>
                <w:lang w:eastAsia="ru-RU"/>
              </w:rPr>
              <w:lastRenderedPageBreak/>
              <w:t>адрес не указан/ бульвар Курортный/ Коминтерна ул., 21/2</w:t>
            </w:r>
          </w:p>
        </w:tc>
        <w:tc>
          <w:tcPr>
            <w:tcW w:w="1734" w:type="dxa"/>
            <w:shd w:val="clear" w:color="000000" w:fill="auto"/>
            <w:hideMark/>
          </w:tcPr>
          <w:p w14:paraId="764B95E6"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lastRenderedPageBreak/>
              <w:t>644 от 19.07.2023</w:t>
            </w:r>
          </w:p>
        </w:tc>
        <w:tc>
          <w:tcPr>
            <w:tcW w:w="2915" w:type="dxa"/>
            <w:shd w:val="clear" w:color="000000" w:fill="auto"/>
            <w:hideMark/>
          </w:tcPr>
          <w:p w14:paraId="4CC289FF"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 xml:space="preserve">в зонах охраны "Курортный </w:t>
            </w:r>
            <w:r w:rsidRPr="00731FE2">
              <w:rPr>
                <w:rFonts w:ascii="Times New Roman" w:eastAsia="Times New Roman" w:hAnsi="Times New Roman" w:cs="Times New Roman"/>
                <w:sz w:val="20"/>
                <w:szCs w:val="20"/>
                <w:lang w:eastAsia="ru-RU"/>
              </w:rPr>
              <w:lastRenderedPageBreak/>
              <w:t>парк"</w:t>
            </w:r>
          </w:p>
        </w:tc>
      </w:tr>
      <w:tr w:rsidR="00E373FE" w:rsidRPr="00731FE2" w14:paraId="20418D58" w14:textId="77777777" w:rsidTr="00397502">
        <w:trPr>
          <w:trHeight w:val="1682"/>
        </w:trPr>
        <w:tc>
          <w:tcPr>
            <w:tcW w:w="704" w:type="dxa"/>
            <w:shd w:val="clear" w:color="auto" w:fill="auto"/>
            <w:noWrap/>
          </w:tcPr>
          <w:p w14:paraId="2BF9FA7A"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300AE33A"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Санаторий им. Орджоникидзе, 1938 г.</w:t>
            </w:r>
          </w:p>
        </w:tc>
        <w:tc>
          <w:tcPr>
            <w:tcW w:w="3402" w:type="dxa"/>
            <w:shd w:val="clear" w:color="000000" w:fill="auto"/>
            <w:hideMark/>
          </w:tcPr>
          <w:p w14:paraId="2CBBF7CC"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Совмина РСФСР от 04.12.1974 г.№ 624 "О дополнении и частичном изменении Постановления Совета Министров РСФСР от 30 августа 1960 г. № 1327 "О дальнейшем улучшении дела охраны памятников культуры в РСФСР"</w:t>
            </w:r>
          </w:p>
        </w:tc>
        <w:tc>
          <w:tcPr>
            <w:tcW w:w="1417" w:type="dxa"/>
            <w:shd w:val="clear" w:color="000000" w:fill="auto"/>
            <w:hideMark/>
          </w:tcPr>
          <w:p w14:paraId="421E0AC7"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15903A94"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г. Кисловодск, адрес не указан/ ул. Ленина, 25</w:t>
            </w:r>
          </w:p>
        </w:tc>
        <w:tc>
          <w:tcPr>
            <w:tcW w:w="1734" w:type="dxa"/>
            <w:shd w:val="clear" w:color="000000" w:fill="auto"/>
            <w:hideMark/>
          </w:tcPr>
          <w:p w14:paraId="592401C7"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приказ Министерства культуры Российской Федерации от 11.09.2018 № 1580, приказ министерства культуры Ставропольского края от 19 апреля 2013 года № 213, приказ управления № 813 от 23.08.2021</w:t>
            </w:r>
          </w:p>
        </w:tc>
        <w:tc>
          <w:tcPr>
            <w:tcW w:w="2915" w:type="dxa"/>
            <w:shd w:val="clear" w:color="000000" w:fill="auto"/>
            <w:hideMark/>
          </w:tcPr>
          <w:p w14:paraId="55650A1B"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в ЗРЗ "Курортный парк"</w:t>
            </w:r>
          </w:p>
        </w:tc>
      </w:tr>
      <w:tr w:rsidR="00E373FE" w:rsidRPr="00731FE2" w14:paraId="7FFF5C74" w14:textId="77777777" w:rsidTr="00397502">
        <w:trPr>
          <w:trHeight w:val="356"/>
        </w:trPr>
        <w:tc>
          <w:tcPr>
            <w:tcW w:w="704" w:type="dxa"/>
            <w:shd w:val="clear" w:color="auto" w:fill="auto"/>
            <w:noWrap/>
          </w:tcPr>
          <w:p w14:paraId="0DD83327"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3A2F0BE7"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Лечебный корпус</w:t>
            </w:r>
          </w:p>
        </w:tc>
        <w:tc>
          <w:tcPr>
            <w:tcW w:w="3402" w:type="dxa"/>
            <w:shd w:val="clear" w:color="000000" w:fill="auto"/>
            <w:hideMark/>
          </w:tcPr>
          <w:p w14:paraId="39E86141"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приказ Министерства культуры Российской Федерации от 11.09.2018 № 1580</w:t>
            </w:r>
          </w:p>
        </w:tc>
        <w:tc>
          <w:tcPr>
            <w:tcW w:w="1417" w:type="dxa"/>
            <w:shd w:val="clear" w:color="000000" w:fill="auto"/>
            <w:hideMark/>
          </w:tcPr>
          <w:p w14:paraId="22E7C744"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30D44E93"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Ставропольский край, Кисловодск г, Ленина пр-кт, 25 литер А1</w:t>
            </w:r>
          </w:p>
        </w:tc>
        <w:tc>
          <w:tcPr>
            <w:tcW w:w="1734" w:type="dxa"/>
            <w:shd w:val="clear" w:color="000000" w:fill="auto"/>
            <w:hideMark/>
          </w:tcPr>
          <w:p w14:paraId="5BD73332"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приказ Министерства культуры Российской Федерации от 11.09.2018 № 1580</w:t>
            </w:r>
          </w:p>
        </w:tc>
        <w:tc>
          <w:tcPr>
            <w:tcW w:w="2915" w:type="dxa"/>
            <w:shd w:val="clear" w:color="000000" w:fill="auto"/>
            <w:hideMark/>
          </w:tcPr>
          <w:p w14:paraId="69D3DE2D"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в ЗРЗ "Курортный парк"</w:t>
            </w:r>
          </w:p>
        </w:tc>
      </w:tr>
      <w:tr w:rsidR="00E373FE" w:rsidRPr="00731FE2" w14:paraId="17D245D3" w14:textId="77777777" w:rsidTr="00397502">
        <w:trPr>
          <w:trHeight w:val="435"/>
        </w:trPr>
        <w:tc>
          <w:tcPr>
            <w:tcW w:w="704" w:type="dxa"/>
            <w:shd w:val="clear" w:color="auto" w:fill="auto"/>
            <w:noWrap/>
          </w:tcPr>
          <w:p w14:paraId="028AD4DE"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2314EC8B"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Корпус № 1</w:t>
            </w:r>
          </w:p>
        </w:tc>
        <w:tc>
          <w:tcPr>
            <w:tcW w:w="3402" w:type="dxa"/>
            <w:shd w:val="clear" w:color="000000" w:fill="auto"/>
            <w:hideMark/>
          </w:tcPr>
          <w:p w14:paraId="74C34432"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приказ Министерства культуры Российской Федерации от 11.09.2018 № 1580</w:t>
            </w:r>
          </w:p>
        </w:tc>
        <w:tc>
          <w:tcPr>
            <w:tcW w:w="1417" w:type="dxa"/>
            <w:shd w:val="clear" w:color="000000" w:fill="auto"/>
            <w:hideMark/>
          </w:tcPr>
          <w:p w14:paraId="021C2FBF"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0E60765A"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Ставропольский край, г. Кисловодск, проспект Ленина, 25, литер Б</w:t>
            </w:r>
          </w:p>
        </w:tc>
        <w:tc>
          <w:tcPr>
            <w:tcW w:w="1734" w:type="dxa"/>
            <w:shd w:val="clear" w:color="000000" w:fill="auto"/>
            <w:hideMark/>
          </w:tcPr>
          <w:p w14:paraId="25A90482"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приказ Министерства культуры Российской Федерации от 11.09.2018 № 1580</w:t>
            </w:r>
          </w:p>
        </w:tc>
        <w:tc>
          <w:tcPr>
            <w:tcW w:w="2915" w:type="dxa"/>
            <w:shd w:val="clear" w:color="000000" w:fill="auto"/>
            <w:hideMark/>
          </w:tcPr>
          <w:p w14:paraId="601EC757"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в ЗРЗ "Курортный парк"</w:t>
            </w:r>
          </w:p>
        </w:tc>
      </w:tr>
      <w:tr w:rsidR="00E373FE" w:rsidRPr="00731FE2" w14:paraId="344E3530" w14:textId="77777777" w:rsidTr="00397502">
        <w:trPr>
          <w:trHeight w:val="798"/>
        </w:trPr>
        <w:tc>
          <w:tcPr>
            <w:tcW w:w="704" w:type="dxa"/>
            <w:shd w:val="clear" w:color="auto" w:fill="auto"/>
            <w:noWrap/>
          </w:tcPr>
          <w:p w14:paraId="78CD74BC"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7D043C44"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Корпус № 2</w:t>
            </w:r>
          </w:p>
        </w:tc>
        <w:tc>
          <w:tcPr>
            <w:tcW w:w="3402" w:type="dxa"/>
            <w:shd w:val="clear" w:color="000000" w:fill="auto"/>
            <w:hideMark/>
          </w:tcPr>
          <w:p w14:paraId="2688F32B"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приказ Министерства культуры Российской Федерации от 11.09.2018 № 1580</w:t>
            </w:r>
          </w:p>
        </w:tc>
        <w:tc>
          <w:tcPr>
            <w:tcW w:w="1417" w:type="dxa"/>
            <w:shd w:val="clear" w:color="000000" w:fill="auto"/>
            <w:hideMark/>
          </w:tcPr>
          <w:p w14:paraId="6EE572D6"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7373811D"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Ставропольский край, г. Кисловодск, проспект Ленина, 25, литер В</w:t>
            </w:r>
          </w:p>
        </w:tc>
        <w:tc>
          <w:tcPr>
            <w:tcW w:w="1734" w:type="dxa"/>
            <w:shd w:val="clear" w:color="000000" w:fill="auto"/>
            <w:hideMark/>
          </w:tcPr>
          <w:p w14:paraId="312D1BAA"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приказ Министерства культуры Российской Федерации от 11.09.2018 № 1580</w:t>
            </w:r>
          </w:p>
        </w:tc>
        <w:tc>
          <w:tcPr>
            <w:tcW w:w="2915" w:type="dxa"/>
            <w:shd w:val="clear" w:color="000000" w:fill="auto"/>
            <w:hideMark/>
          </w:tcPr>
          <w:p w14:paraId="2A8B126A"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в ЗРЗ "Курортный парк"</w:t>
            </w:r>
          </w:p>
        </w:tc>
      </w:tr>
      <w:tr w:rsidR="00E373FE" w:rsidRPr="00731FE2" w14:paraId="4F778AB2" w14:textId="77777777" w:rsidTr="00397502">
        <w:trPr>
          <w:trHeight w:val="123"/>
        </w:trPr>
        <w:tc>
          <w:tcPr>
            <w:tcW w:w="704" w:type="dxa"/>
            <w:shd w:val="clear" w:color="auto" w:fill="auto"/>
            <w:noWrap/>
          </w:tcPr>
          <w:p w14:paraId="375B539F"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45A3C4CA"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Kopnyc № 3, санаторий "Минтяжстрой" - "Горные вершины", архитектор Н.С. Полюдов</w:t>
            </w:r>
          </w:p>
        </w:tc>
        <w:tc>
          <w:tcPr>
            <w:tcW w:w="3402" w:type="dxa"/>
            <w:shd w:val="clear" w:color="000000" w:fill="auto"/>
            <w:hideMark/>
          </w:tcPr>
          <w:p w14:paraId="36C164E8"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приказ Министерства культуры Российской Федерации от 11.09.2018 № 1580</w:t>
            </w:r>
          </w:p>
        </w:tc>
        <w:tc>
          <w:tcPr>
            <w:tcW w:w="1417" w:type="dxa"/>
            <w:shd w:val="clear" w:color="000000" w:fill="auto"/>
            <w:hideMark/>
          </w:tcPr>
          <w:p w14:paraId="3448E4DC"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6B8097D2"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Ставропольский край, г. Кисловодск, проспект Ленина, 25, литер Е1</w:t>
            </w:r>
          </w:p>
        </w:tc>
        <w:tc>
          <w:tcPr>
            <w:tcW w:w="1734" w:type="dxa"/>
            <w:shd w:val="clear" w:color="000000" w:fill="auto"/>
            <w:hideMark/>
          </w:tcPr>
          <w:p w14:paraId="3F4D5391"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приказ Министерства культуры Российской Федерации от 11.09.2018 № 1580</w:t>
            </w:r>
          </w:p>
        </w:tc>
        <w:tc>
          <w:tcPr>
            <w:tcW w:w="2915" w:type="dxa"/>
            <w:shd w:val="clear" w:color="000000" w:fill="auto"/>
            <w:hideMark/>
          </w:tcPr>
          <w:p w14:paraId="148BBA52"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в ЗРЗ "Курортный парк"</w:t>
            </w:r>
          </w:p>
        </w:tc>
      </w:tr>
      <w:tr w:rsidR="00E373FE" w:rsidRPr="00731FE2" w14:paraId="68CC27AC" w14:textId="77777777" w:rsidTr="00397502">
        <w:trPr>
          <w:trHeight w:val="58"/>
        </w:trPr>
        <w:tc>
          <w:tcPr>
            <w:tcW w:w="704" w:type="dxa"/>
            <w:shd w:val="clear" w:color="auto" w:fill="auto"/>
            <w:noWrap/>
          </w:tcPr>
          <w:p w14:paraId="38109D44"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706E01EE"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Административный корпус</w:t>
            </w:r>
          </w:p>
        </w:tc>
        <w:tc>
          <w:tcPr>
            <w:tcW w:w="3402" w:type="dxa"/>
            <w:shd w:val="clear" w:color="000000" w:fill="auto"/>
            <w:hideMark/>
          </w:tcPr>
          <w:p w14:paraId="474D0B8F"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приказ Министерства культуры Российской Федерации от 11.09.2018 № 1580</w:t>
            </w:r>
          </w:p>
        </w:tc>
        <w:tc>
          <w:tcPr>
            <w:tcW w:w="1417" w:type="dxa"/>
            <w:shd w:val="clear" w:color="000000" w:fill="auto"/>
            <w:hideMark/>
          </w:tcPr>
          <w:p w14:paraId="71C14FC7"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201E758A"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Ставропольский край, г. Кисловодск, проспект Ленина, 25, литер Г</w:t>
            </w:r>
          </w:p>
        </w:tc>
        <w:tc>
          <w:tcPr>
            <w:tcW w:w="1734" w:type="dxa"/>
            <w:shd w:val="clear" w:color="000000" w:fill="auto"/>
            <w:hideMark/>
          </w:tcPr>
          <w:p w14:paraId="4B8FE681"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приказ Министерства культуры Российской Федерации от 11.09.2018 № 1580</w:t>
            </w:r>
          </w:p>
        </w:tc>
        <w:tc>
          <w:tcPr>
            <w:tcW w:w="2915" w:type="dxa"/>
            <w:shd w:val="clear" w:color="000000" w:fill="auto"/>
            <w:hideMark/>
          </w:tcPr>
          <w:p w14:paraId="6A8AC59E"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в ЗРЗ "Курортный парк"</w:t>
            </w:r>
          </w:p>
        </w:tc>
      </w:tr>
      <w:tr w:rsidR="00E373FE" w:rsidRPr="00731FE2" w14:paraId="405D8F4B" w14:textId="77777777" w:rsidTr="00397502">
        <w:trPr>
          <w:trHeight w:val="58"/>
        </w:trPr>
        <w:tc>
          <w:tcPr>
            <w:tcW w:w="704" w:type="dxa"/>
            <w:shd w:val="clear" w:color="auto" w:fill="auto"/>
            <w:noWrap/>
          </w:tcPr>
          <w:p w14:paraId="7B1AD330"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4F24D33F"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Столово-заготовочный корпус</w:t>
            </w:r>
          </w:p>
        </w:tc>
        <w:tc>
          <w:tcPr>
            <w:tcW w:w="3402" w:type="dxa"/>
            <w:shd w:val="clear" w:color="000000" w:fill="auto"/>
            <w:hideMark/>
          </w:tcPr>
          <w:p w14:paraId="52C8E6A3"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приказ Министерства культуры Российской Федерации от 11.09.2018 № 1580</w:t>
            </w:r>
          </w:p>
        </w:tc>
        <w:tc>
          <w:tcPr>
            <w:tcW w:w="1417" w:type="dxa"/>
            <w:shd w:val="clear" w:color="000000" w:fill="auto"/>
            <w:hideMark/>
          </w:tcPr>
          <w:p w14:paraId="0044D163"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6B217218"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Ставропольский край, г. Кисловодск, проспект Ленина, 25, литер Е</w:t>
            </w:r>
          </w:p>
        </w:tc>
        <w:tc>
          <w:tcPr>
            <w:tcW w:w="1734" w:type="dxa"/>
            <w:shd w:val="clear" w:color="000000" w:fill="auto"/>
            <w:hideMark/>
          </w:tcPr>
          <w:p w14:paraId="7D22E639"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приказ Министерства культуры Российской Федерации от 11.09.2018 № 1580</w:t>
            </w:r>
          </w:p>
        </w:tc>
        <w:tc>
          <w:tcPr>
            <w:tcW w:w="2915" w:type="dxa"/>
            <w:shd w:val="clear" w:color="000000" w:fill="auto"/>
            <w:hideMark/>
          </w:tcPr>
          <w:p w14:paraId="3EE70953"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в ЗРЗ "Курортный парк"</w:t>
            </w:r>
          </w:p>
        </w:tc>
      </w:tr>
      <w:tr w:rsidR="00E373FE" w:rsidRPr="00731FE2" w14:paraId="4C8821DC" w14:textId="77777777" w:rsidTr="00397502">
        <w:trPr>
          <w:trHeight w:val="58"/>
        </w:trPr>
        <w:tc>
          <w:tcPr>
            <w:tcW w:w="704" w:type="dxa"/>
            <w:shd w:val="clear" w:color="auto" w:fill="auto"/>
            <w:noWrap/>
          </w:tcPr>
          <w:p w14:paraId="604EF76D"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5076FFDE"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Прачечная</w:t>
            </w:r>
          </w:p>
        </w:tc>
        <w:tc>
          <w:tcPr>
            <w:tcW w:w="3402" w:type="dxa"/>
            <w:shd w:val="clear" w:color="000000" w:fill="auto"/>
            <w:hideMark/>
          </w:tcPr>
          <w:p w14:paraId="0042B760"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приказ Министерства культуры Российской Федерации от 11.09.2018 № 1580</w:t>
            </w:r>
          </w:p>
        </w:tc>
        <w:tc>
          <w:tcPr>
            <w:tcW w:w="1417" w:type="dxa"/>
            <w:shd w:val="clear" w:color="000000" w:fill="auto"/>
            <w:hideMark/>
          </w:tcPr>
          <w:p w14:paraId="1A819B8B"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7938E9C7"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Ставропольский край, г. Кисловодск, проспект Ленина, 25, литер Ж</w:t>
            </w:r>
          </w:p>
        </w:tc>
        <w:tc>
          <w:tcPr>
            <w:tcW w:w="1734" w:type="dxa"/>
            <w:shd w:val="clear" w:color="000000" w:fill="auto"/>
            <w:hideMark/>
          </w:tcPr>
          <w:p w14:paraId="176D6E0A"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приказ Министерства культуры Российской Федерации от 11.09.2018 № 1580</w:t>
            </w:r>
          </w:p>
        </w:tc>
        <w:tc>
          <w:tcPr>
            <w:tcW w:w="2915" w:type="dxa"/>
            <w:shd w:val="clear" w:color="000000" w:fill="auto"/>
            <w:hideMark/>
          </w:tcPr>
          <w:p w14:paraId="5C232D27"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в ЗРЗ "Курортный парк"</w:t>
            </w:r>
          </w:p>
        </w:tc>
      </w:tr>
      <w:tr w:rsidR="00E373FE" w:rsidRPr="00731FE2" w14:paraId="77E40063" w14:textId="77777777" w:rsidTr="00397502">
        <w:trPr>
          <w:trHeight w:val="58"/>
        </w:trPr>
        <w:tc>
          <w:tcPr>
            <w:tcW w:w="704" w:type="dxa"/>
            <w:shd w:val="clear" w:color="auto" w:fill="auto"/>
            <w:noWrap/>
          </w:tcPr>
          <w:p w14:paraId="1D87D5F5"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7F27D418"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Лестница в нижний парк</w:t>
            </w:r>
          </w:p>
        </w:tc>
        <w:tc>
          <w:tcPr>
            <w:tcW w:w="3402" w:type="dxa"/>
            <w:shd w:val="clear" w:color="000000" w:fill="auto"/>
            <w:hideMark/>
          </w:tcPr>
          <w:p w14:paraId="3600907C"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приказ Министерства культуры Российской Федерации от 11.09.2018 № 1580</w:t>
            </w:r>
          </w:p>
        </w:tc>
        <w:tc>
          <w:tcPr>
            <w:tcW w:w="1417" w:type="dxa"/>
            <w:shd w:val="clear" w:color="000000" w:fill="auto"/>
            <w:hideMark/>
          </w:tcPr>
          <w:p w14:paraId="4EB3B0F3"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5E983431"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 xml:space="preserve">Ставропольский край, г. Кисловодск, </w:t>
            </w:r>
            <w:r w:rsidRPr="00731FE2">
              <w:rPr>
                <w:rFonts w:ascii="Times New Roman" w:eastAsia="Times New Roman" w:hAnsi="Times New Roman" w:cs="Times New Roman"/>
                <w:sz w:val="20"/>
                <w:szCs w:val="20"/>
                <w:lang w:eastAsia="ru-RU"/>
              </w:rPr>
              <w:lastRenderedPageBreak/>
              <w:t>проспект Ленина, 25, литер Т</w:t>
            </w:r>
          </w:p>
        </w:tc>
        <w:tc>
          <w:tcPr>
            <w:tcW w:w="1734" w:type="dxa"/>
            <w:shd w:val="clear" w:color="000000" w:fill="auto"/>
            <w:hideMark/>
          </w:tcPr>
          <w:p w14:paraId="10171472"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lastRenderedPageBreak/>
              <w:t xml:space="preserve">приказ Министерства культуры </w:t>
            </w:r>
            <w:r w:rsidRPr="00731FE2">
              <w:rPr>
                <w:rFonts w:ascii="Times New Roman" w:eastAsia="Times New Roman" w:hAnsi="Times New Roman" w:cs="Times New Roman"/>
                <w:sz w:val="20"/>
                <w:szCs w:val="20"/>
                <w:lang w:eastAsia="ru-RU"/>
              </w:rPr>
              <w:lastRenderedPageBreak/>
              <w:t>Российской Федерации от 11.09.2018 № 1580</w:t>
            </w:r>
          </w:p>
        </w:tc>
        <w:tc>
          <w:tcPr>
            <w:tcW w:w="2915" w:type="dxa"/>
            <w:shd w:val="clear" w:color="000000" w:fill="auto"/>
            <w:hideMark/>
          </w:tcPr>
          <w:p w14:paraId="60780851"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lastRenderedPageBreak/>
              <w:t>в ЗРЗ "Курортный парк"</w:t>
            </w:r>
          </w:p>
        </w:tc>
      </w:tr>
      <w:tr w:rsidR="00E373FE" w:rsidRPr="00731FE2" w14:paraId="441E3534" w14:textId="77777777" w:rsidTr="00397502">
        <w:trPr>
          <w:trHeight w:val="1056"/>
        </w:trPr>
        <w:tc>
          <w:tcPr>
            <w:tcW w:w="704" w:type="dxa"/>
            <w:shd w:val="clear" w:color="auto" w:fill="auto"/>
            <w:noWrap/>
          </w:tcPr>
          <w:p w14:paraId="00EFC490"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FFFFFF" w:fill="FFFFFF"/>
            <w:hideMark/>
          </w:tcPr>
          <w:p w14:paraId="09547FB0"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Курортный парк, 1823</w:t>
            </w:r>
          </w:p>
        </w:tc>
        <w:tc>
          <w:tcPr>
            <w:tcW w:w="3402" w:type="dxa"/>
            <w:shd w:val="clear" w:color="FFFFFF" w:fill="FFFFFF"/>
            <w:hideMark/>
          </w:tcPr>
          <w:p w14:paraId="09B33F56"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Приказ Министерства культуры Российской Федерации от 06.10.2015 г. № 2537</w:t>
            </w:r>
          </w:p>
        </w:tc>
        <w:tc>
          <w:tcPr>
            <w:tcW w:w="1417" w:type="dxa"/>
            <w:shd w:val="clear" w:color="FFFFFF" w:fill="FFFFFF"/>
            <w:hideMark/>
          </w:tcPr>
          <w:p w14:paraId="3C916E4B"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FFFFFF" w:fill="FFFFFF"/>
            <w:hideMark/>
          </w:tcPr>
          <w:p w14:paraId="3240FD3D"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Курортный парк</w:t>
            </w:r>
          </w:p>
        </w:tc>
        <w:tc>
          <w:tcPr>
            <w:tcW w:w="1734" w:type="dxa"/>
            <w:shd w:val="clear" w:color="CCFFFF" w:fill="FFFFFF"/>
            <w:hideMark/>
          </w:tcPr>
          <w:p w14:paraId="023FE1FC"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приказ управления СК об охране ОКН от 27.05.2015 № 56</w:t>
            </w:r>
          </w:p>
        </w:tc>
        <w:tc>
          <w:tcPr>
            <w:tcW w:w="2915" w:type="dxa"/>
            <w:shd w:val="clear" w:color="9999FF" w:fill="FFFFFF"/>
            <w:hideMark/>
          </w:tcPr>
          <w:p w14:paraId="67CD2556"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приказ управления СК об охране ОКН от 27.05.2015 № 56</w:t>
            </w:r>
          </w:p>
        </w:tc>
      </w:tr>
      <w:tr w:rsidR="00E373FE" w:rsidRPr="00731FE2" w14:paraId="5A7A1DD1" w14:textId="77777777" w:rsidTr="00397502">
        <w:trPr>
          <w:trHeight w:val="123"/>
        </w:trPr>
        <w:tc>
          <w:tcPr>
            <w:tcW w:w="704" w:type="dxa"/>
            <w:shd w:val="clear" w:color="auto" w:fill="auto"/>
            <w:noWrap/>
          </w:tcPr>
          <w:p w14:paraId="55EBD804"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53CB0045"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Барельеф В.И. Ленина, 1924 г., 1926 г.</w:t>
            </w:r>
          </w:p>
        </w:tc>
        <w:tc>
          <w:tcPr>
            <w:tcW w:w="3402" w:type="dxa"/>
            <w:shd w:val="clear" w:color="000000" w:fill="auto"/>
            <w:hideMark/>
          </w:tcPr>
          <w:p w14:paraId="2DD649B5"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Совмина РСФСР от 04.12.1974 г.№ 624 "О дополнении и частичном изменении Постановления Совета Министров РСФСР от 30 августа 1960 г. № 1327 "О дальнейшем улучшении дела охраны памятников культуры в РСФСР"</w:t>
            </w:r>
          </w:p>
        </w:tc>
        <w:tc>
          <w:tcPr>
            <w:tcW w:w="1417" w:type="dxa"/>
            <w:shd w:val="clear" w:color="000000" w:fill="auto"/>
            <w:hideMark/>
          </w:tcPr>
          <w:p w14:paraId="10D67B26"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0F3F24D8"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г. Кисловодск, Красные камни</w:t>
            </w:r>
          </w:p>
        </w:tc>
        <w:tc>
          <w:tcPr>
            <w:tcW w:w="1734" w:type="dxa"/>
            <w:shd w:val="clear" w:color="000000" w:fill="auto"/>
            <w:hideMark/>
          </w:tcPr>
          <w:p w14:paraId="04752340"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c>
          <w:tcPr>
            <w:tcW w:w="2915" w:type="dxa"/>
            <w:shd w:val="clear" w:color="000000" w:fill="auto"/>
            <w:hideMark/>
          </w:tcPr>
          <w:p w14:paraId="1CD60B3E"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монумент, в зонах охраны "Курортный парк"</w:t>
            </w:r>
          </w:p>
        </w:tc>
      </w:tr>
      <w:tr w:rsidR="00E373FE" w:rsidRPr="00731FE2" w14:paraId="662C0CDF" w14:textId="77777777" w:rsidTr="00397502">
        <w:trPr>
          <w:trHeight w:val="58"/>
        </w:trPr>
        <w:tc>
          <w:tcPr>
            <w:tcW w:w="704" w:type="dxa"/>
            <w:shd w:val="clear" w:color="auto" w:fill="auto"/>
            <w:noWrap/>
          </w:tcPr>
          <w:p w14:paraId="19D6C208"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5EDE5DFC"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Могила Ярошенко Николая Александровича (1847-1898)</w:t>
            </w:r>
          </w:p>
        </w:tc>
        <w:tc>
          <w:tcPr>
            <w:tcW w:w="3402" w:type="dxa"/>
            <w:shd w:val="clear" w:color="000000" w:fill="auto"/>
            <w:hideMark/>
          </w:tcPr>
          <w:p w14:paraId="13C8656A"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Совета Министров РСФСР от 30.08.1960 г. № 1327                        "О дальнейшем улучшении дела охраны памятников культуры в РСФСР"</w:t>
            </w:r>
          </w:p>
        </w:tc>
        <w:tc>
          <w:tcPr>
            <w:tcW w:w="1417" w:type="dxa"/>
            <w:shd w:val="clear" w:color="000000" w:fill="auto"/>
            <w:hideMark/>
          </w:tcPr>
          <w:p w14:paraId="09E75752"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0B0DA707"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г. Кисловодск, Красная площадь/ Сквер Ярошенко</w:t>
            </w:r>
          </w:p>
        </w:tc>
        <w:tc>
          <w:tcPr>
            <w:tcW w:w="1734" w:type="dxa"/>
            <w:shd w:val="clear" w:color="000000" w:fill="auto"/>
            <w:hideMark/>
          </w:tcPr>
          <w:p w14:paraId="25CD80E6"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714 от 10.08.2023</w:t>
            </w:r>
          </w:p>
        </w:tc>
        <w:tc>
          <w:tcPr>
            <w:tcW w:w="2915" w:type="dxa"/>
            <w:shd w:val="clear" w:color="008080" w:fill="auto"/>
            <w:hideMark/>
          </w:tcPr>
          <w:p w14:paraId="57D6CAB9"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В соответствии со ст. 34.1 ФЗ от 25.06.2002 № 73-ФЗ «Об объектах культурного наследия (памятниках истории и культуры) народов РФ» действуют защитные зоны 100 м</w:t>
            </w:r>
          </w:p>
        </w:tc>
      </w:tr>
      <w:tr w:rsidR="00E373FE" w:rsidRPr="00731FE2" w14:paraId="2F0374AF" w14:textId="77777777" w:rsidTr="00397502">
        <w:trPr>
          <w:trHeight w:val="1593"/>
        </w:trPr>
        <w:tc>
          <w:tcPr>
            <w:tcW w:w="704" w:type="dxa"/>
            <w:shd w:val="clear" w:color="auto" w:fill="auto"/>
            <w:noWrap/>
          </w:tcPr>
          <w:p w14:paraId="42F6B5E8"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0DAD5888"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Памятник Г.К. Орджоникидзе, 1952 г.</w:t>
            </w:r>
          </w:p>
        </w:tc>
        <w:tc>
          <w:tcPr>
            <w:tcW w:w="3402" w:type="dxa"/>
            <w:shd w:val="clear" w:color="000000" w:fill="auto"/>
            <w:hideMark/>
          </w:tcPr>
          <w:p w14:paraId="4E2A0550"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Совмина РСФСР от 04.12.1974 г.№ 624 "О дополнении и частичном изменении Постановления Совета Министров РСФСР от 30 августа 1960 г. № 1327 "О дальнейшем улучшении дела охраны памятников культуры в РСФСР"</w:t>
            </w:r>
          </w:p>
        </w:tc>
        <w:tc>
          <w:tcPr>
            <w:tcW w:w="1417" w:type="dxa"/>
            <w:shd w:val="clear" w:color="000000" w:fill="auto"/>
            <w:hideMark/>
          </w:tcPr>
          <w:p w14:paraId="3D1AB8D6"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4531BD5D"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г. Кисловодск, Санаторий им. Орджоникидзе</w:t>
            </w:r>
          </w:p>
        </w:tc>
        <w:tc>
          <w:tcPr>
            <w:tcW w:w="1734" w:type="dxa"/>
            <w:shd w:val="clear" w:color="000000" w:fill="auto"/>
            <w:hideMark/>
          </w:tcPr>
          <w:p w14:paraId="203A6789"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 xml:space="preserve">приказ Министерства культуры Российской Федерации от 11.09.2018 № 1580, приказ министерства культуры Ставропольского края от 19 апреля 2013 года № 213, приказ управления № </w:t>
            </w:r>
            <w:r w:rsidRPr="00731FE2">
              <w:rPr>
                <w:rFonts w:ascii="Times New Roman" w:eastAsia="Times New Roman" w:hAnsi="Times New Roman" w:cs="Times New Roman"/>
                <w:sz w:val="20"/>
                <w:szCs w:val="20"/>
                <w:lang w:eastAsia="ru-RU"/>
              </w:rPr>
              <w:lastRenderedPageBreak/>
              <w:t>813 от 23.08.2021</w:t>
            </w:r>
          </w:p>
        </w:tc>
        <w:tc>
          <w:tcPr>
            <w:tcW w:w="2915" w:type="dxa"/>
            <w:shd w:val="clear" w:color="000000" w:fill="auto"/>
            <w:hideMark/>
          </w:tcPr>
          <w:p w14:paraId="7BA2C8EF"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lastRenderedPageBreak/>
              <w:t>монумент</w:t>
            </w:r>
          </w:p>
        </w:tc>
      </w:tr>
      <w:tr w:rsidR="00E373FE" w:rsidRPr="00731FE2" w14:paraId="1FCA668E" w14:textId="77777777" w:rsidTr="00397502">
        <w:trPr>
          <w:trHeight w:val="690"/>
        </w:trPr>
        <w:tc>
          <w:tcPr>
            <w:tcW w:w="704" w:type="dxa"/>
            <w:shd w:val="clear" w:color="auto" w:fill="auto"/>
            <w:noWrap/>
          </w:tcPr>
          <w:p w14:paraId="32A01ACB"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4330A095"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Памятник Н.А. Ярошенко, 1899 г.</w:t>
            </w:r>
          </w:p>
        </w:tc>
        <w:tc>
          <w:tcPr>
            <w:tcW w:w="3402" w:type="dxa"/>
            <w:shd w:val="clear" w:color="000000" w:fill="auto"/>
            <w:hideMark/>
          </w:tcPr>
          <w:p w14:paraId="3B8D4EDE"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Совмина РСФСР от 04.12.1974 г.№ 624 "О дополнении и частичном изменении Постановления Совета Министров РСФСР от 30 августа 1960 г. № 1327 "О дальнейшем улучшении дела охраны памятников культуры в РСФСР"</w:t>
            </w:r>
          </w:p>
        </w:tc>
        <w:tc>
          <w:tcPr>
            <w:tcW w:w="1417" w:type="dxa"/>
            <w:shd w:val="clear" w:color="000000" w:fill="auto"/>
            <w:hideMark/>
          </w:tcPr>
          <w:p w14:paraId="37177337"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19ABD348"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г. Кисловодск, Сквер усадьбы Н.А. Ярошенко/ Сквер Ярошенко</w:t>
            </w:r>
          </w:p>
        </w:tc>
        <w:tc>
          <w:tcPr>
            <w:tcW w:w="1734" w:type="dxa"/>
            <w:shd w:val="clear" w:color="000000" w:fill="auto"/>
            <w:hideMark/>
          </w:tcPr>
          <w:p w14:paraId="6FD543E0"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715 от 10.08.2023</w:t>
            </w:r>
          </w:p>
        </w:tc>
        <w:tc>
          <w:tcPr>
            <w:tcW w:w="2915" w:type="dxa"/>
            <w:shd w:val="clear" w:color="000000" w:fill="auto"/>
            <w:hideMark/>
          </w:tcPr>
          <w:p w14:paraId="6399D698"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монумент</w:t>
            </w:r>
          </w:p>
        </w:tc>
      </w:tr>
      <w:tr w:rsidR="00E373FE" w:rsidRPr="00731FE2" w14:paraId="0E05F8A5" w14:textId="77777777" w:rsidTr="00397502">
        <w:trPr>
          <w:trHeight w:val="123"/>
        </w:trPr>
        <w:tc>
          <w:tcPr>
            <w:tcW w:w="704" w:type="dxa"/>
            <w:shd w:val="clear" w:color="auto" w:fill="auto"/>
            <w:noWrap/>
          </w:tcPr>
          <w:p w14:paraId="32CD0731"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7E999FB7"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Памятник Ф.А. Цандеру, 1959 г.</w:t>
            </w:r>
          </w:p>
        </w:tc>
        <w:tc>
          <w:tcPr>
            <w:tcW w:w="3402" w:type="dxa"/>
            <w:shd w:val="clear" w:color="000000" w:fill="auto"/>
            <w:hideMark/>
          </w:tcPr>
          <w:p w14:paraId="6691232B"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Совмина РСФСР от 04.12.1974 г.№ 624 "О дополнении и частичном изменении Постановления Совета Министров РСФСР от 30 августа 1960 г. № 1327 "О дальнейшем улучшении дела охраны памятников культуры в РСФСР"</w:t>
            </w:r>
          </w:p>
        </w:tc>
        <w:tc>
          <w:tcPr>
            <w:tcW w:w="1417" w:type="dxa"/>
            <w:shd w:val="clear" w:color="000000" w:fill="auto"/>
            <w:hideMark/>
          </w:tcPr>
          <w:p w14:paraId="68FF13D7"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1CA91C8A"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г. Кисловодск, Городское кладбище/ пр. Цандера</w:t>
            </w:r>
          </w:p>
        </w:tc>
        <w:tc>
          <w:tcPr>
            <w:tcW w:w="1734" w:type="dxa"/>
            <w:shd w:val="clear" w:color="000000" w:fill="auto"/>
            <w:hideMark/>
          </w:tcPr>
          <w:p w14:paraId="1EB89029"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c>
          <w:tcPr>
            <w:tcW w:w="2915" w:type="dxa"/>
            <w:shd w:val="clear" w:color="000000" w:fill="auto"/>
            <w:hideMark/>
          </w:tcPr>
          <w:p w14:paraId="297F26F3"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монумент</w:t>
            </w:r>
          </w:p>
        </w:tc>
      </w:tr>
      <w:tr w:rsidR="00E373FE" w:rsidRPr="00731FE2" w14:paraId="72324607" w14:textId="77777777" w:rsidTr="00397502">
        <w:trPr>
          <w:trHeight w:val="58"/>
        </w:trPr>
        <w:tc>
          <w:tcPr>
            <w:tcW w:w="704" w:type="dxa"/>
            <w:shd w:val="clear" w:color="auto" w:fill="auto"/>
            <w:noWrap/>
          </w:tcPr>
          <w:p w14:paraId="1620868B"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78D6499A"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Могила Цандера Фридриха Артуровича (1887-1933), энтузиаста межпланетных полетов</w:t>
            </w:r>
          </w:p>
        </w:tc>
        <w:tc>
          <w:tcPr>
            <w:tcW w:w="3402" w:type="dxa"/>
            <w:shd w:val="clear" w:color="000000" w:fill="auto"/>
            <w:hideMark/>
          </w:tcPr>
          <w:p w14:paraId="4FD2813F"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Совмина РСФСР от 04.12.1974 г.№ 624 "О дополнении и частичном изменении Постановления Совета Министров РСФСР от 30 августа 1960 г. № 1327 "О дальнейшем улучшении дела охраны памятников культуры в РСФСР"</w:t>
            </w:r>
          </w:p>
        </w:tc>
        <w:tc>
          <w:tcPr>
            <w:tcW w:w="1417" w:type="dxa"/>
            <w:shd w:val="clear" w:color="000000" w:fill="auto"/>
            <w:hideMark/>
          </w:tcPr>
          <w:p w14:paraId="59B521BB"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14DBE697"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г. Кисловодск, Городское кладбище/ пр. Цандера</w:t>
            </w:r>
          </w:p>
        </w:tc>
        <w:tc>
          <w:tcPr>
            <w:tcW w:w="1734" w:type="dxa"/>
            <w:shd w:val="clear" w:color="000000" w:fill="auto"/>
            <w:hideMark/>
          </w:tcPr>
          <w:p w14:paraId="5329F8A9"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c>
          <w:tcPr>
            <w:tcW w:w="2915" w:type="dxa"/>
            <w:shd w:val="clear" w:color="000000" w:fill="auto"/>
            <w:hideMark/>
          </w:tcPr>
          <w:p w14:paraId="0C354204"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на территории некрополя</w:t>
            </w:r>
          </w:p>
        </w:tc>
      </w:tr>
      <w:tr w:rsidR="00E373FE" w:rsidRPr="00731FE2" w14:paraId="780EEAFC" w14:textId="77777777" w:rsidTr="00397502">
        <w:trPr>
          <w:trHeight w:val="3960"/>
        </w:trPr>
        <w:tc>
          <w:tcPr>
            <w:tcW w:w="704" w:type="dxa"/>
            <w:shd w:val="clear" w:color="auto" w:fill="auto"/>
            <w:noWrap/>
          </w:tcPr>
          <w:p w14:paraId="0DB56BB0"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03F0FD35"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Поселение "Смена", сер. I тыс. н.э.</w:t>
            </w:r>
          </w:p>
        </w:tc>
        <w:tc>
          <w:tcPr>
            <w:tcW w:w="3402" w:type="dxa"/>
            <w:shd w:val="clear" w:color="000000" w:fill="auto"/>
            <w:hideMark/>
          </w:tcPr>
          <w:p w14:paraId="4F2E8B8E"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47ACB45B"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478FE4DE"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Ставропольский край, г. Кисловодск, северо- западная часть Георгиевского плато, район ул. С. Перовской. Точка привязки №1 - 0,146 км до пересечения пр. Дзержинского и ул. Желябова города-курорта Кисловодск, Ставропольского края (точка с координатами 43°54</w:t>
            </w:r>
          </w:p>
        </w:tc>
        <w:tc>
          <w:tcPr>
            <w:tcW w:w="1734" w:type="dxa"/>
            <w:shd w:val="clear" w:color="000000" w:fill="auto"/>
            <w:hideMark/>
          </w:tcPr>
          <w:p w14:paraId="764C025F"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приказ управления СК по охране ОКН от 08.09.2020 г. № 698</w:t>
            </w:r>
          </w:p>
        </w:tc>
        <w:tc>
          <w:tcPr>
            <w:tcW w:w="2915" w:type="dxa"/>
            <w:shd w:val="clear" w:color="000000" w:fill="auto"/>
            <w:hideMark/>
          </w:tcPr>
          <w:p w14:paraId="5D03DBAA"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33FDAB38" w14:textId="77777777" w:rsidTr="00397502">
        <w:trPr>
          <w:trHeight w:val="265"/>
        </w:trPr>
        <w:tc>
          <w:tcPr>
            <w:tcW w:w="704" w:type="dxa"/>
            <w:shd w:val="clear" w:color="auto" w:fill="auto"/>
            <w:noWrap/>
          </w:tcPr>
          <w:p w14:paraId="6F59CAC4"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62C4BFE8"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Могильник "Реброва Балка - 1", I пол. I тыс. до н.э.</w:t>
            </w:r>
          </w:p>
        </w:tc>
        <w:tc>
          <w:tcPr>
            <w:tcW w:w="3402" w:type="dxa"/>
            <w:shd w:val="clear" w:color="000000" w:fill="auto"/>
            <w:hideMark/>
          </w:tcPr>
          <w:p w14:paraId="3103071E"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5C34C996"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70266877"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Территория санатория им. Кирова, ул. Ленина - С. Перовской</w:t>
            </w:r>
          </w:p>
        </w:tc>
        <w:tc>
          <w:tcPr>
            <w:tcW w:w="1734" w:type="dxa"/>
            <w:shd w:val="clear" w:color="000000" w:fill="auto"/>
            <w:hideMark/>
          </w:tcPr>
          <w:p w14:paraId="0C82896E"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c>
          <w:tcPr>
            <w:tcW w:w="2915" w:type="dxa"/>
            <w:shd w:val="clear" w:color="000000" w:fill="auto"/>
            <w:hideMark/>
          </w:tcPr>
          <w:p w14:paraId="06DEFF88"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6A0065B9" w14:textId="77777777" w:rsidTr="00397502">
        <w:trPr>
          <w:trHeight w:val="3960"/>
        </w:trPr>
        <w:tc>
          <w:tcPr>
            <w:tcW w:w="704" w:type="dxa"/>
            <w:shd w:val="clear" w:color="auto" w:fill="auto"/>
            <w:noWrap/>
          </w:tcPr>
          <w:p w14:paraId="259E60A2"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47EDDFCC"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Могильник "Георгиевское Плато " (у санатория Орджоникидзе) - 1", IV - VII вв. н.э.</w:t>
            </w:r>
          </w:p>
        </w:tc>
        <w:tc>
          <w:tcPr>
            <w:tcW w:w="3402" w:type="dxa"/>
            <w:shd w:val="clear" w:color="000000" w:fill="auto"/>
            <w:hideMark/>
          </w:tcPr>
          <w:p w14:paraId="0BAF70C0"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64852ED8"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6462FE0A"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Ставропольский край, г. Кисловодск, территория санатория им. Орджоникидзе, 3-й корпус, район ул. Ленина. Точка привязки №1 - 0,322 км до пересечения пр. Дзержинского и ул. Желябова города-курорта Кисловодск, Ставропольского края (точка с координатами 43°5</w:t>
            </w:r>
          </w:p>
        </w:tc>
        <w:tc>
          <w:tcPr>
            <w:tcW w:w="1734" w:type="dxa"/>
            <w:shd w:val="clear" w:color="800080" w:fill="auto"/>
            <w:hideMark/>
          </w:tcPr>
          <w:p w14:paraId="44B8C336"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приказ управления СК по охране ОКН от 09.09.2020 № 699</w:t>
            </w:r>
          </w:p>
        </w:tc>
        <w:tc>
          <w:tcPr>
            <w:tcW w:w="2915" w:type="dxa"/>
            <w:shd w:val="clear" w:color="000000" w:fill="auto"/>
            <w:hideMark/>
          </w:tcPr>
          <w:p w14:paraId="7F25D8F0"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1B66800F" w14:textId="77777777" w:rsidTr="00397502">
        <w:trPr>
          <w:trHeight w:val="82"/>
        </w:trPr>
        <w:tc>
          <w:tcPr>
            <w:tcW w:w="704" w:type="dxa"/>
            <w:shd w:val="clear" w:color="auto" w:fill="auto"/>
            <w:noWrap/>
          </w:tcPr>
          <w:p w14:paraId="2C4B51D6"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608F3A3C"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Могильник "Реброва Балка - 2", I тыс. н.э</w:t>
            </w:r>
          </w:p>
        </w:tc>
        <w:tc>
          <w:tcPr>
            <w:tcW w:w="3402" w:type="dxa"/>
            <w:shd w:val="clear" w:color="000000" w:fill="auto"/>
            <w:hideMark/>
          </w:tcPr>
          <w:p w14:paraId="71B9F22D"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058C9526"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7D427C63"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ул. Ленина, между санаториями им. Кирова и им. Димитрова</w:t>
            </w:r>
          </w:p>
        </w:tc>
        <w:tc>
          <w:tcPr>
            <w:tcW w:w="1734" w:type="dxa"/>
            <w:shd w:val="clear" w:color="000000" w:fill="auto"/>
            <w:hideMark/>
          </w:tcPr>
          <w:p w14:paraId="7AAADAE5"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c>
          <w:tcPr>
            <w:tcW w:w="2915" w:type="dxa"/>
            <w:shd w:val="clear" w:color="000000" w:fill="auto"/>
            <w:hideMark/>
          </w:tcPr>
          <w:p w14:paraId="079C89FE"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6D938492" w14:textId="77777777" w:rsidTr="00397502">
        <w:trPr>
          <w:trHeight w:val="690"/>
        </w:trPr>
        <w:tc>
          <w:tcPr>
            <w:tcW w:w="704" w:type="dxa"/>
            <w:shd w:val="clear" w:color="auto" w:fill="auto"/>
            <w:noWrap/>
          </w:tcPr>
          <w:p w14:paraId="464B8E6C"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5BA3B04E"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Могильник "Георгиевское Плато-2", IV - VII вв. н.э.</w:t>
            </w:r>
          </w:p>
        </w:tc>
        <w:tc>
          <w:tcPr>
            <w:tcW w:w="3402" w:type="dxa"/>
            <w:shd w:val="clear" w:color="000000" w:fill="auto"/>
            <w:hideMark/>
          </w:tcPr>
          <w:p w14:paraId="31AF8FD5"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372D9CA5"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6BDF3D9B"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Район санатория им. Орджоникидзе, 1 - 2 корпуса</w:t>
            </w:r>
          </w:p>
        </w:tc>
        <w:tc>
          <w:tcPr>
            <w:tcW w:w="1734" w:type="dxa"/>
            <w:shd w:val="clear" w:color="800080" w:fill="auto"/>
            <w:hideMark/>
          </w:tcPr>
          <w:p w14:paraId="6E4B5113"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приказ управления СК по охране ОКН от 27.07.2017 № 176</w:t>
            </w:r>
          </w:p>
        </w:tc>
        <w:tc>
          <w:tcPr>
            <w:tcW w:w="2915" w:type="dxa"/>
            <w:shd w:val="clear" w:color="000000" w:fill="auto"/>
            <w:hideMark/>
          </w:tcPr>
          <w:p w14:paraId="5A724A26"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74AD9F54" w14:textId="77777777" w:rsidTr="00397502">
        <w:trPr>
          <w:trHeight w:val="690"/>
        </w:trPr>
        <w:tc>
          <w:tcPr>
            <w:tcW w:w="704" w:type="dxa"/>
            <w:shd w:val="clear" w:color="auto" w:fill="auto"/>
            <w:noWrap/>
          </w:tcPr>
          <w:p w14:paraId="4F51BD0A"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0DCE06F9"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Могильник "Улица Войкова", II - VI вв. до н.э.</w:t>
            </w:r>
          </w:p>
        </w:tc>
        <w:tc>
          <w:tcPr>
            <w:tcW w:w="3402" w:type="dxa"/>
            <w:shd w:val="clear" w:color="000000" w:fill="auto"/>
            <w:hideMark/>
          </w:tcPr>
          <w:p w14:paraId="33EE25DF"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522FA451"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08BF9C22"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Верхняя часть улицы Войкова</w:t>
            </w:r>
          </w:p>
        </w:tc>
        <w:tc>
          <w:tcPr>
            <w:tcW w:w="1734" w:type="dxa"/>
            <w:shd w:val="clear" w:color="000000" w:fill="auto"/>
            <w:hideMark/>
          </w:tcPr>
          <w:p w14:paraId="39D57CA0"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c>
          <w:tcPr>
            <w:tcW w:w="2915" w:type="dxa"/>
            <w:shd w:val="clear" w:color="000000" w:fill="auto"/>
            <w:hideMark/>
          </w:tcPr>
          <w:p w14:paraId="4E1AC969"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34A5ED2F" w14:textId="77777777" w:rsidTr="00397502">
        <w:trPr>
          <w:trHeight w:val="665"/>
        </w:trPr>
        <w:tc>
          <w:tcPr>
            <w:tcW w:w="704" w:type="dxa"/>
            <w:shd w:val="clear" w:color="auto" w:fill="auto"/>
            <w:noWrap/>
          </w:tcPr>
          <w:p w14:paraId="43C63FB8"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27874665"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Поселение "Красные камни", I тыс. н. э.</w:t>
            </w:r>
          </w:p>
        </w:tc>
        <w:tc>
          <w:tcPr>
            <w:tcW w:w="3402" w:type="dxa"/>
            <w:shd w:val="clear" w:color="000000" w:fill="auto"/>
            <w:hideMark/>
          </w:tcPr>
          <w:p w14:paraId="0BA44E49"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395C05D6"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1A58A8E1"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200 - 300 м юго-восточнее санатория "Красные Камни", курортный парк</w:t>
            </w:r>
          </w:p>
        </w:tc>
        <w:tc>
          <w:tcPr>
            <w:tcW w:w="1734" w:type="dxa"/>
            <w:shd w:val="clear" w:color="800080" w:fill="auto"/>
            <w:hideMark/>
          </w:tcPr>
          <w:p w14:paraId="565373D0"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приказ управления СК по охране ОКН от 27.07.2017 № 183</w:t>
            </w:r>
          </w:p>
        </w:tc>
        <w:tc>
          <w:tcPr>
            <w:tcW w:w="2915" w:type="dxa"/>
            <w:shd w:val="clear" w:color="000000" w:fill="auto"/>
            <w:hideMark/>
          </w:tcPr>
          <w:p w14:paraId="5A8ED59E"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6E806950" w14:textId="77777777" w:rsidTr="00397502">
        <w:trPr>
          <w:trHeight w:val="974"/>
        </w:trPr>
        <w:tc>
          <w:tcPr>
            <w:tcW w:w="704" w:type="dxa"/>
            <w:shd w:val="clear" w:color="auto" w:fill="auto"/>
            <w:noWrap/>
          </w:tcPr>
          <w:p w14:paraId="5C88F54C"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0D373A8E"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Могильник "Красные камни", VIII - VI вв. до н.э.</w:t>
            </w:r>
          </w:p>
        </w:tc>
        <w:tc>
          <w:tcPr>
            <w:tcW w:w="3402" w:type="dxa"/>
            <w:shd w:val="clear" w:color="000000" w:fill="auto"/>
            <w:hideMark/>
          </w:tcPr>
          <w:p w14:paraId="1ACE1A2D"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6FCEF9DA"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7254014D"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Территория санатория "Красные Камни"</w:t>
            </w:r>
          </w:p>
        </w:tc>
        <w:tc>
          <w:tcPr>
            <w:tcW w:w="1734" w:type="dxa"/>
            <w:shd w:val="clear" w:color="800080" w:fill="auto"/>
            <w:hideMark/>
          </w:tcPr>
          <w:p w14:paraId="1BC2D066"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приказ управления СК по охране ОКН от 27.07.2017 № 177</w:t>
            </w:r>
          </w:p>
        </w:tc>
        <w:tc>
          <w:tcPr>
            <w:tcW w:w="2915" w:type="dxa"/>
            <w:shd w:val="clear" w:color="000000" w:fill="auto"/>
            <w:hideMark/>
          </w:tcPr>
          <w:p w14:paraId="1BC1A269"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40B58DED" w14:textId="77777777" w:rsidTr="00397502">
        <w:trPr>
          <w:trHeight w:val="1257"/>
        </w:trPr>
        <w:tc>
          <w:tcPr>
            <w:tcW w:w="704" w:type="dxa"/>
            <w:shd w:val="clear" w:color="auto" w:fill="auto"/>
            <w:noWrap/>
          </w:tcPr>
          <w:p w14:paraId="4F5513BA"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0DE2B58B"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Могильник "Водонапорный", X - VIII вв. до н.э.</w:t>
            </w:r>
          </w:p>
        </w:tc>
        <w:tc>
          <w:tcPr>
            <w:tcW w:w="3402" w:type="dxa"/>
            <w:shd w:val="clear" w:color="000000" w:fill="auto"/>
            <w:hideMark/>
          </w:tcPr>
          <w:p w14:paraId="4D5B4959"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 xml:space="preserve">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w:t>
            </w:r>
            <w:r w:rsidRPr="00731FE2">
              <w:rPr>
                <w:rFonts w:ascii="Times New Roman" w:eastAsia="Times New Roman" w:hAnsi="Times New Roman" w:cs="Times New Roman"/>
                <w:sz w:val="20"/>
                <w:szCs w:val="20"/>
                <w:lang w:eastAsia="ru-RU"/>
              </w:rPr>
              <w:lastRenderedPageBreak/>
              <w:t>республиканского значения, утвержденного</w:t>
            </w:r>
          </w:p>
        </w:tc>
        <w:tc>
          <w:tcPr>
            <w:tcW w:w="1417" w:type="dxa"/>
            <w:shd w:val="clear" w:color="000000" w:fill="auto"/>
            <w:hideMark/>
          </w:tcPr>
          <w:p w14:paraId="4219A97C"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lastRenderedPageBreak/>
              <w:t>федерального значения</w:t>
            </w:r>
          </w:p>
        </w:tc>
        <w:tc>
          <w:tcPr>
            <w:tcW w:w="1872" w:type="dxa"/>
            <w:shd w:val="clear" w:color="000000" w:fill="auto"/>
            <w:hideMark/>
          </w:tcPr>
          <w:p w14:paraId="6D87BED4"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200 - 250 м юго-западнее санатория "Красные Камни", место водонапорных бассейнов</w:t>
            </w:r>
          </w:p>
        </w:tc>
        <w:tc>
          <w:tcPr>
            <w:tcW w:w="1734" w:type="dxa"/>
            <w:shd w:val="clear" w:color="800080" w:fill="auto"/>
            <w:hideMark/>
          </w:tcPr>
          <w:p w14:paraId="0BB0C17B"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приказ управления СК по охране ОКН от 27.07.2017 № 175</w:t>
            </w:r>
          </w:p>
        </w:tc>
        <w:tc>
          <w:tcPr>
            <w:tcW w:w="2915" w:type="dxa"/>
            <w:shd w:val="clear" w:color="000000" w:fill="auto"/>
            <w:hideMark/>
          </w:tcPr>
          <w:p w14:paraId="16FB45E8"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545BD05F" w14:textId="77777777" w:rsidTr="00397502">
        <w:trPr>
          <w:trHeight w:val="974"/>
        </w:trPr>
        <w:tc>
          <w:tcPr>
            <w:tcW w:w="704" w:type="dxa"/>
            <w:shd w:val="clear" w:color="auto" w:fill="auto"/>
            <w:noWrap/>
          </w:tcPr>
          <w:p w14:paraId="1012A33A"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360CB1A7"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Поселение "Первомайская поляна", I тыс. н.э.</w:t>
            </w:r>
          </w:p>
        </w:tc>
        <w:tc>
          <w:tcPr>
            <w:tcW w:w="3402" w:type="dxa"/>
            <w:shd w:val="clear" w:color="000000" w:fill="auto"/>
            <w:hideMark/>
          </w:tcPr>
          <w:p w14:paraId="20081562"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71290F8A"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4F461126"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100 - 150 м южнее Первомайской Поляны, мысообразный холм, курортный парк</w:t>
            </w:r>
          </w:p>
        </w:tc>
        <w:tc>
          <w:tcPr>
            <w:tcW w:w="1734" w:type="dxa"/>
            <w:shd w:val="clear" w:color="800080" w:fill="auto"/>
            <w:hideMark/>
          </w:tcPr>
          <w:p w14:paraId="4E0CCDEC"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приказ управления СК по охране ОКН от 27.07.2017 № 185</w:t>
            </w:r>
          </w:p>
        </w:tc>
        <w:tc>
          <w:tcPr>
            <w:tcW w:w="2915" w:type="dxa"/>
            <w:shd w:val="clear" w:color="000000" w:fill="auto"/>
            <w:hideMark/>
          </w:tcPr>
          <w:p w14:paraId="5C44BEE2"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050E6369" w14:textId="77777777" w:rsidTr="00397502">
        <w:trPr>
          <w:trHeight w:val="523"/>
        </w:trPr>
        <w:tc>
          <w:tcPr>
            <w:tcW w:w="704" w:type="dxa"/>
            <w:shd w:val="clear" w:color="auto" w:fill="auto"/>
            <w:noWrap/>
          </w:tcPr>
          <w:p w14:paraId="6155B868"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30905D33"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Поселение "Храм "Воздуха", I тыс. до н.э.</w:t>
            </w:r>
          </w:p>
        </w:tc>
        <w:tc>
          <w:tcPr>
            <w:tcW w:w="3402" w:type="dxa"/>
            <w:shd w:val="clear" w:color="000000" w:fill="auto"/>
            <w:hideMark/>
          </w:tcPr>
          <w:p w14:paraId="2D544B30"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15D54C3A"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32DA141A"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Курортный парк, мысообразный холм, на котором находится "Храм Воздуха"</w:t>
            </w:r>
          </w:p>
        </w:tc>
        <w:tc>
          <w:tcPr>
            <w:tcW w:w="1734" w:type="dxa"/>
            <w:shd w:val="clear" w:color="800080" w:fill="auto"/>
            <w:hideMark/>
          </w:tcPr>
          <w:p w14:paraId="73420AC6"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приказ управления СК по охране ОКН от 27.07.2017 № 186</w:t>
            </w:r>
          </w:p>
        </w:tc>
        <w:tc>
          <w:tcPr>
            <w:tcW w:w="2915" w:type="dxa"/>
            <w:shd w:val="clear" w:color="000000" w:fill="auto"/>
            <w:hideMark/>
          </w:tcPr>
          <w:p w14:paraId="47A44C42"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6EF57EFC" w14:textId="77777777" w:rsidTr="00397502">
        <w:trPr>
          <w:trHeight w:val="265"/>
        </w:trPr>
        <w:tc>
          <w:tcPr>
            <w:tcW w:w="704" w:type="dxa"/>
            <w:shd w:val="clear" w:color="auto" w:fill="auto"/>
            <w:noWrap/>
          </w:tcPr>
          <w:p w14:paraId="1408680C"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218C50FB"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Поселение "Буденновская Слобода - 1", сер. I тыс. н.э.</w:t>
            </w:r>
          </w:p>
        </w:tc>
        <w:tc>
          <w:tcPr>
            <w:tcW w:w="3402" w:type="dxa"/>
            <w:shd w:val="clear" w:color="000000" w:fill="auto"/>
            <w:hideMark/>
          </w:tcPr>
          <w:p w14:paraId="1F0B5EA3"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123A6890"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65CA0B84"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Окраина города, возвышенность между ул. Котовского - Минеральной и левым берегом р. Белой</w:t>
            </w:r>
          </w:p>
        </w:tc>
        <w:tc>
          <w:tcPr>
            <w:tcW w:w="1734" w:type="dxa"/>
            <w:shd w:val="clear" w:color="000000" w:fill="auto"/>
            <w:hideMark/>
          </w:tcPr>
          <w:p w14:paraId="1328B16E"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c>
          <w:tcPr>
            <w:tcW w:w="2915" w:type="dxa"/>
            <w:shd w:val="clear" w:color="000000" w:fill="auto"/>
            <w:hideMark/>
          </w:tcPr>
          <w:p w14:paraId="1B2B80B6"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53297EB7" w14:textId="77777777" w:rsidTr="00397502">
        <w:trPr>
          <w:trHeight w:val="974"/>
        </w:trPr>
        <w:tc>
          <w:tcPr>
            <w:tcW w:w="704" w:type="dxa"/>
            <w:shd w:val="clear" w:color="auto" w:fill="auto"/>
            <w:noWrap/>
          </w:tcPr>
          <w:p w14:paraId="5B158494"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638C057E"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Могильник "Буденновская Слобода - 1", II - III вв. н.э.</w:t>
            </w:r>
          </w:p>
        </w:tc>
        <w:tc>
          <w:tcPr>
            <w:tcW w:w="3402" w:type="dxa"/>
            <w:shd w:val="clear" w:color="000000" w:fill="auto"/>
            <w:hideMark/>
          </w:tcPr>
          <w:p w14:paraId="0DBBA9EA"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73722223"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7C949864"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Восточная окраина города, район средней школы N 7,</w:t>
            </w:r>
          </w:p>
        </w:tc>
        <w:tc>
          <w:tcPr>
            <w:tcW w:w="1734" w:type="dxa"/>
            <w:shd w:val="clear" w:color="000000" w:fill="auto"/>
            <w:hideMark/>
          </w:tcPr>
          <w:p w14:paraId="6BA721F2"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c>
          <w:tcPr>
            <w:tcW w:w="2915" w:type="dxa"/>
            <w:shd w:val="clear" w:color="000000" w:fill="auto"/>
            <w:hideMark/>
          </w:tcPr>
          <w:p w14:paraId="05CE373B"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2EB5AA47" w14:textId="77777777" w:rsidTr="00397502">
        <w:trPr>
          <w:trHeight w:val="123"/>
        </w:trPr>
        <w:tc>
          <w:tcPr>
            <w:tcW w:w="704" w:type="dxa"/>
            <w:shd w:val="clear" w:color="auto" w:fill="auto"/>
            <w:noWrap/>
          </w:tcPr>
          <w:p w14:paraId="79EF19BA"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64BB004F"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Могильник "Белореченский - 1", VI - V вв.  до н.э.</w:t>
            </w:r>
          </w:p>
        </w:tc>
        <w:tc>
          <w:tcPr>
            <w:tcW w:w="3402" w:type="dxa"/>
            <w:shd w:val="clear" w:color="000000" w:fill="auto"/>
            <w:hideMark/>
          </w:tcPr>
          <w:p w14:paraId="7507CDC2"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476D7D5E"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4E6F5C95"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Левый берег р. Белой, второй участок кладбища 50 - 70-х годов</w:t>
            </w:r>
          </w:p>
        </w:tc>
        <w:tc>
          <w:tcPr>
            <w:tcW w:w="1734" w:type="dxa"/>
            <w:shd w:val="clear" w:color="000000" w:fill="auto"/>
            <w:hideMark/>
          </w:tcPr>
          <w:p w14:paraId="213FAD60"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1624 от 27.12.2022 г.</w:t>
            </w:r>
          </w:p>
        </w:tc>
        <w:tc>
          <w:tcPr>
            <w:tcW w:w="2915" w:type="dxa"/>
            <w:shd w:val="clear" w:color="000000" w:fill="auto"/>
            <w:hideMark/>
          </w:tcPr>
          <w:p w14:paraId="22EB0F46"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3B12E626" w14:textId="77777777" w:rsidTr="00397502">
        <w:trPr>
          <w:trHeight w:val="807"/>
        </w:trPr>
        <w:tc>
          <w:tcPr>
            <w:tcW w:w="704" w:type="dxa"/>
            <w:shd w:val="clear" w:color="auto" w:fill="auto"/>
            <w:noWrap/>
          </w:tcPr>
          <w:p w14:paraId="0A5221F7"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0BEDAEBD"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Могильник "Джинал", VI - V вв.  до н.э.</w:t>
            </w:r>
          </w:p>
        </w:tc>
        <w:tc>
          <w:tcPr>
            <w:tcW w:w="3402" w:type="dxa"/>
            <w:shd w:val="clear" w:color="000000" w:fill="auto"/>
            <w:hideMark/>
          </w:tcPr>
          <w:p w14:paraId="3855505E"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3BF8F978"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598749D5"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Верхняя часть ул. Пятигорской, территория санатория "Туркмения"</w:t>
            </w:r>
          </w:p>
        </w:tc>
        <w:tc>
          <w:tcPr>
            <w:tcW w:w="1734" w:type="dxa"/>
            <w:shd w:val="clear" w:color="000000" w:fill="auto"/>
            <w:hideMark/>
          </w:tcPr>
          <w:p w14:paraId="36285708"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внес. изм. 495 от 09.06.2023; приказ от 12.12.2022 г. № 1563</w:t>
            </w:r>
          </w:p>
        </w:tc>
        <w:tc>
          <w:tcPr>
            <w:tcW w:w="2915" w:type="dxa"/>
            <w:shd w:val="clear" w:color="000000" w:fill="auto"/>
            <w:hideMark/>
          </w:tcPr>
          <w:p w14:paraId="449FA1E7"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1A2F1799" w14:textId="77777777" w:rsidTr="00397502">
        <w:trPr>
          <w:trHeight w:val="58"/>
        </w:trPr>
        <w:tc>
          <w:tcPr>
            <w:tcW w:w="704" w:type="dxa"/>
            <w:shd w:val="clear" w:color="auto" w:fill="auto"/>
            <w:noWrap/>
          </w:tcPr>
          <w:p w14:paraId="5F14015E"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1D854A84"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Укрепление "Туркмения, I тыс. н.э.</w:t>
            </w:r>
          </w:p>
        </w:tc>
        <w:tc>
          <w:tcPr>
            <w:tcW w:w="3402" w:type="dxa"/>
            <w:shd w:val="clear" w:color="000000" w:fill="auto"/>
            <w:hideMark/>
          </w:tcPr>
          <w:p w14:paraId="1D887BDA"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 xml:space="preserve">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w:t>
            </w:r>
            <w:r w:rsidRPr="00731FE2">
              <w:rPr>
                <w:rFonts w:ascii="Times New Roman" w:eastAsia="Times New Roman" w:hAnsi="Times New Roman" w:cs="Times New Roman"/>
                <w:sz w:val="20"/>
                <w:szCs w:val="20"/>
                <w:lang w:eastAsia="ru-RU"/>
              </w:rPr>
              <w:lastRenderedPageBreak/>
              <w:t>республиканского значения, утвержденного</w:t>
            </w:r>
          </w:p>
        </w:tc>
        <w:tc>
          <w:tcPr>
            <w:tcW w:w="1417" w:type="dxa"/>
            <w:shd w:val="clear" w:color="000000" w:fill="auto"/>
            <w:hideMark/>
          </w:tcPr>
          <w:p w14:paraId="18042221"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lastRenderedPageBreak/>
              <w:t>федерального значения</w:t>
            </w:r>
          </w:p>
        </w:tc>
        <w:tc>
          <w:tcPr>
            <w:tcW w:w="1872" w:type="dxa"/>
            <w:shd w:val="clear" w:color="000000" w:fill="auto"/>
            <w:hideMark/>
          </w:tcPr>
          <w:p w14:paraId="719E0DD9"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Гребень возвышенности над санаторием "Туркмения"</w:t>
            </w:r>
          </w:p>
        </w:tc>
        <w:tc>
          <w:tcPr>
            <w:tcW w:w="1734" w:type="dxa"/>
            <w:shd w:val="clear" w:color="000000" w:fill="auto"/>
            <w:hideMark/>
          </w:tcPr>
          <w:p w14:paraId="57863112"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c>
          <w:tcPr>
            <w:tcW w:w="2915" w:type="dxa"/>
            <w:shd w:val="clear" w:color="000000" w:fill="auto"/>
            <w:hideMark/>
          </w:tcPr>
          <w:p w14:paraId="52156777"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3DF1BA6B" w14:textId="77777777" w:rsidTr="00397502">
        <w:trPr>
          <w:trHeight w:val="974"/>
        </w:trPr>
        <w:tc>
          <w:tcPr>
            <w:tcW w:w="704" w:type="dxa"/>
            <w:shd w:val="clear" w:color="auto" w:fill="auto"/>
            <w:noWrap/>
          </w:tcPr>
          <w:p w14:paraId="1BA91A7B"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4169A89D"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Могильник "Кабан-Гора - 1", II в. до н.э. -</w:t>
            </w:r>
          </w:p>
        </w:tc>
        <w:tc>
          <w:tcPr>
            <w:tcW w:w="3402" w:type="dxa"/>
            <w:shd w:val="clear" w:color="000000" w:fill="auto"/>
            <w:hideMark/>
          </w:tcPr>
          <w:p w14:paraId="0D767744"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14CA1238"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2729AFC2"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Территория ПАТП N 2 отроги г. Кабан</w:t>
            </w:r>
          </w:p>
        </w:tc>
        <w:tc>
          <w:tcPr>
            <w:tcW w:w="1734" w:type="dxa"/>
            <w:shd w:val="clear" w:color="000000" w:fill="auto"/>
            <w:hideMark/>
          </w:tcPr>
          <w:p w14:paraId="05486EE9"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c>
          <w:tcPr>
            <w:tcW w:w="2915" w:type="dxa"/>
            <w:shd w:val="clear" w:color="000000" w:fill="auto"/>
            <w:hideMark/>
          </w:tcPr>
          <w:p w14:paraId="46D3946B"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3CAAAB9B" w14:textId="77777777" w:rsidTr="00397502">
        <w:trPr>
          <w:trHeight w:val="548"/>
        </w:trPr>
        <w:tc>
          <w:tcPr>
            <w:tcW w:w="704" w:type="dxa"/>
            <w:shd w:val="clear" w:color="auto" w:fill="auto"/>
            <w:noWrap/>
          </w:tcPr>
          <w:p w14:paraId="7D8963C6"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1AC59905"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Могильник "Кабан-Гора - 2", VIII - VI вв. до</w:t>
            </w:r>
          </w:p>
        </w:tc>
        <w:tc>
          <w:tcPr>
            <w:tcW w:w="3402" w:type="dxa"/>
            <w:shd w:val="clear" w:color="000000" w:fill="auto"/>
            <w:hideMark/>
          </w:tcPr>
          <w:p w14:paraId="298C127C"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7DADE554"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1343AFE5"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250 - 300 м северо-западнее могильника "Кабан-Гора - 1"</w:t>
            </w:r>
          </w:p>
        </w:tc>
        <w:tc>
          <w:tcPr>
            <w:tcW w:w="1734" w:type="dxa"/>
            <w:shd w:val="clear" w:color="000000" w:fill="auto"/>
            <w:hideMark/>
          </w:tcPr>
          <w:p w14:paraId="26BF98B8"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c>
          <w:tcPr>
            <w:tcW w:w="2915" w:type="dxa"/>
            <w:shd w:val="clear" w:color="000000" w:fill="auto"/>
            <w:hideMark/>
          </w:tcPr>
          <w:p w14:paraId="1F528AFC"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55ECF1F7" w14:textId="77777777" w:rsidTr="00397502">
        <w:trPr>
          <w:trHeight w:val="1232"/>
        </w:trPr>
        <w:tc>
          <w:tcPr>
            <w:tcW w:w="704" w:type="dxa"/>
            <w:shd w:val="clear" w:color="auto" w:fill="auto"/>
            <w:noWrap/>
          </w:tcPr>
          <w:p w14:paraId="7A862CC7"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0870B579"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Поселение "Белореченское - 1", I тыс. до н.э.</w:t>
            </w:r>
          </w:p>
        </w:tc>
        <w:tc>
          <w:tcPr>
            <w:tcW w:w="3402" w:type="dxa"/>
            <w:shd w:val="clear" w:color="000000" w:fill="auto"/>
            <w:hideMark/>
          </w:tcPr>
          <w:p w14:paraId="66EE9B14"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6AC029FA"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6917423F"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Территории ПАТП N 1 и индивидуальной застройки</w:t>
            </w:r>
          </w:p>
        </w:tc>
        <w:tc>
          <w:tcPr>
            <w:tcW w:w="1734" w:type="dxa"/>
            <w:shd w:val="clear" w:color="000000" w:fill="auto"/>
            <w:hideMark/>
          </w:tcPr>
          <w:p w14:paraId="3C555057"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приказ № 77 от 05.02.2021</w:t>
            </w:r>
          </w:p>
        </w:tc>
        <w:tc>
          <w:tcPr>
            <w:tcW w:w="2915" w:type="dxa"/>
            <w:shd w:val="clear" w:color="000000" w:fill="auto"/>
            <w:hideMark/>
          </w:tcPr>
          <w:p w14:paraId="2FF7F133"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1D2C72E5" w14:textId="77777777" w:rsidTr="00397502">
        <w:trPr>
          <w:trHeight w:val="974"/>
        </w:trPr>
        <w:tc>
          <w:tcPr>
            <w:tcW w:w="704" w:type="dxa"/>
            <w:shd w:val="clear" w:color="auto" w:fill="auto"/>
            <w:noWrap/>
          </w:tcPr>
          <w:p w14:paraId="7E0B72A9"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183AA6BF"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Могильник "Белореченский - 2", VIII - VI вв. до н.э.</w:t>
            </w:r>
          </w:p>
        </w:tc>
        <w:tc>
          <w:tcPr>
            <w:tcW w:w="3402" w:type="dxa"/>
            <w:shd w:val="clear" w:color="000000" w:fill="auto"/>
            <w:hideMark/>
          </w:tcPr>
          <w:p w14:paraId="1D1BAFDA"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 xml:space="preserve">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w:t>
            </w:r>
            <w:r w:rsidRPr="00731FE2">
              <w:rPr>
                <w:rFonts w:ascii="Times New Roman" w:eastAsia="Times New Roman" w:hAnsi="Times New Roman" w:cs="Times New Roman"/>
                <w:sz w:val="20"/>
                <w:szCs w:val="20"/>
                <w:lang w:eastAsia="ru-RU"/>
              </w:rPr>
              <w:lastRenderedPageBreak/>
              <w:t>государственной охране как памятников местного и республиканского значения, утвержденного</w:t>
            </w:r>
          </w:p>
        </w:tc>
        <w:tc>
          <w:tcPr>
            <w:tcW w:w="1417" w:type="dxa"/>
            <w:shd w:val="clear" w:color="000000" w:fill="auto"/>
            <w:hideMark/>
          </w:tcPr>
          <w:p w14:paraId="4A35F617"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lastRenderedPageBreak/>
              <w:t>федерального значения</w:t>
            </w:r>
          </w:p>
        </w:tc>
        <w:tc>
          <w:tcPr>
            <w:tcW w:w="1872" w:type="dxa"/>
            <w:shd w:val="clear" w:color="000000" w:fill="auto"/>
            <w:hideMark/>
          </w:tcPr>
          <w:p w14:paraId="132EBD87"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Северо-восточная территория ПАТП N 1</w:t>
            </w:r>
          </w:p>
        </w:tc>
        <w:tc>
          <w:tcPr>
            <w:tcW w:w="1734" w:type="dxa"/>
            <w:shd w:val="clear" w:color="000000" w:fill="auto"/>
            <w:hideMark/>
          </w:tcPr>
          <w:p w14:paraId="0329B079"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приказ № 80 от 05.02.2021 г.</w:t>
            </w:r>
          </w:p>
        </w:tc>
        <w:tc>
          <w:tcPr>
            <w:tcW w:w="2915" w:type="dxa"/>
            <w:shd w:val="clear" w:color="000000" w:fill="auto"/>
            <w:hideMark/>
          </w:tcPr>
          <w:p w14:paraId="7163CFEC"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00BD2328" w14:textId="77777777" w:rsidTr="00397502">
        <w:trPr>
          <w:trHeight w:val="1824"/>
        </w:trPr>
        <w:tc>
          <w:tcPr>
            <w:tcW w:w="704" w:type="dxa"/>
            <w:shd w:val="clear" w:color="auto" w:fill="auto"/>
            <w:noWrap/>
          </w:tcPr>
          <w:p w14:paraId="4D4083CC"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3F0D0353"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Поселение "Кабан-Гора - 1", кон. I тыс. до н.э. -нач. I тыс. н.э.</w:t>
            </w:r>
          </w:p>
        </w:tc>
        <w:tc>
          <w:tcPr>
            <w:tcW w:w="3402" w:type="dxa"/>
            <w:shd w:val="clear" w:color="000000" w:fill="auto"/>
            <w:hideMark/>
          </w:tcPr>
          <w:p w14:paraId="7145554D"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0BE65620"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1E82B383"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Юго-западные отроги г. Кабан, территория ПАТП N 1</w:t>
            </w:r>
          </w:p>
        </w:tc>
        <w:tc>
          <w:tcPr>
            <w:tcW w:w="1734" w:type="dxa"/>
            <w:shd w:val="clear" w:color="000000" w:fill="auto"/>
            <w:hideMark/>
          </w:tcPr>
          <w:p w14:paraId="172D70AC"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c>
          <w:tcPr>
            <w:tcW w:w="2915" w:type="dxa"/>
            <w:shd w:val="clear" w:color="000000" w:fill="auto"/>
            <w:hideMark/>
          </w:tcPr>
          <w:p w14:paraId="45484648"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67670D2A" w14:textId="77777777" w:rsidTr="00397502">
        <w:trPr>
          <w:trHeight w:val="1399"/>
        </w:trPr>
        <w:tc>
          <w:tcPr>
            <w:tcW w:w="704" w:type="dxa"/>
            <w:shd w:val="clear" w:color="auto" w:fill="auto"/>
            <w:noWrap/>
          </w:tcPr>
          <w:p w14:paraId="72FA77B1"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0DCEAA0E"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Могильник "Кабан-Гора - 3", VIII - VII вв. до н.э.</w:t>
            </w:r>
          </w:p>
        </w:tc>
        <w:tc>
          <w:tcPr>
            <w:tcW w:w="3402" w:type="dxa"/>
            <w:shd w:val="clear" w:color="000000" w:fill="auto"/>
            <w:hideMark/>
          </w:tcPr>
          <w:p w14:paraId="4C5E978D"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63E8EC77"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79C46ED0"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Западное подножье г. Кабан, пос. Белореченский</w:t>
            </w:r>
          </w:p>
        </w:tc>
        <w:tc>
          <w:tcPr>
            <w:tcW w:w="1734" w:type="dxa"/>
            <w:shd w:val="clear" w:color="000000" w:fill="auto"/>
            <w:hideMark/>
          </w:tcPr>
          <w:p w14:paraId="7FDC1CBE"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1298 от 26.10.2022 г.</w:t>
            </w:r>
          </w:p>
        </w:tc>
        <w:tc>
          <w:tcPr>
            <w:tcW w:w="2915" w:type="dxa"/>
            <w:shd w:val="clear" w:color="000000" w:fill="auto"/>
            <w:hideMark/>
          </w:tcPr>
          <w:p w14:paraId="3A47968A"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08AD0D86" w14:textId="77777777" w:rsidTr="00397502">
        <w:trPr>
          <w:trHeight w:val="1516"/>
        </w:trPr>
        <w:tc>
          <w:tcPr>
            <w:tcW w:w="704" w:type="dxa"/>
            <w:shd w:val="clear" w:color="auto" w:fill="auto"/>
            <w:noWrap/>
          </w:tcPr>
          <w:p w14:paraId="7770E6B6"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414FC7E2"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Поселение "Белореченское - 2", VIII - VII вв. до н.э.</w:t>
            </w:r>
          </w:p>
        </w:tc>
        <w:tc>
          <w:tcPr>
            <w:tcW w:w="3402" w:type="dxa"/>
            <w:shd w:val="clear" w:color="000000" w:fill="auto"/>
            <w:hideMark/>
          </w:tcPr>
          <w:p w14:paraId="2CB3F501"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0ECB0148"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1CFCD970"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Северная окраина пос. Белореченского</w:t>
            </w:r>
          </w:p>
        </w:tc>
        <w:tc>
          <w:tcPr>
            <w:tcW w:w="1734" w:type="dxa"/>
            <w:shd w:val="clear" w:color="000000" w:fill="auto"/>
            <w:hideMark/>
          </w:tcPr>
          <w:p w14:paraId="2B2E4C98"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1625 от 27.12.2022 г.</w:t>
            </w:r>
          </w:p>
        </w:tc>
        <w:tc>
          <w:tcPr>
            <w:tcW w:w="2915" w:type="dxa"/>
            <w:shd w:val="clear" w:color="000000" w:fill="auto"/>
            <w:hideMark/>
          </w:tcPr>
          <w:p w14:paraId="2A3D31D2"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00CC23A7" w14:textId="77777777" w:rsidTr="00397502">
        <w:trPr>
          <w:trHeight w:val="690"/>
        </w:trPr>
        <w:tc>
          <w:tcPr>
            <w:tcW w:w="704" w:type="dxa"/>
            <w:shd w:val="clear" w:color="auto" w:fill="auto"/>
            <w:noWrap/>
          </w:tcPr>
          <w:p w14:paraId="71EC850D"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19B9267B"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Укрепление "Красное Солнышко", I тыс. н.э.</w:t>
            </w:r>
          </w:p>
        </w:tc>
        <w:tc>
          <w:tcPr>
            <w:tcW w:w="3402" w:type="dxa"/>
            <w:shd w:val="clear" w:color="000000" w:fill="auto"/>
            <w:hideMark/>
          </w:tcPr>
          <w:p w14:paraId="6F05FFBE"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 xml:space="preserve">постановление главы администрации Ставропольского края от 1 ноября 1995 г. № 600 «О дополнении списка памятников </w:t>
            </w:r>
            <w:r w:rsidRPr="00731FE2">
              <w:rPr>
                <w:rFonts w:ascii="Times New Roman" w:eastAsia="Times New Roman" w:hAnsi="Times New Roman" w:cs="Times New Roman"/>
                <w:sz w:val="20"/>
                <w:szCs w:val="20"/>
                <w:lang w:eastAsia="ru-RU"/>
              </w:rPr>
              <w:lastRenderedPageBreak/>
              <w:t>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54310BAA"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lastRenderedPageBreak/>
              <w:t>федерального значения</w:t>
            </w:r>
          </w:p>
        </w:tc>
        <w:tc>
          <w:tcPr>
            <w:tcW w:w="1872" w:type="dxa"/>
            <w:shd w:val="clear" w:color="000000" w:fill="auto"/>
            <w:hideMark/>
          </w:tcPr>
          <w:p w14:paraId="78996B78"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 xml:space="preserve">Скальная возвышенность "Красное Солнышко", </w:t>
            </w:r>
            <w:r w:rsidRPr="00731FE2">
              <w:rPr>
                <w:rFonts w:ascii="Times New Roman" w:eastAsia="Times New Roman" w:hAnsi="Times New Roman" w:cs="Times New Roman"/>
                <w:sz w:val="20"/>
                <w:szCs w:val="20"/>
                <w:lang w:eastAsia="ru-RU"/>
              </w:rPr>
              <w:lastRenderedPageBreak/>
              <w:t>курортный парк</w:t>
            </w:r>
          </w:p>
        </w:tc>
        <w:tc>
          <w:tcPr>
            <w:tcW w:w="1734" w:type="dxa"/>
            <w:shd w:val="clear" w:color="800080" w:fill="auto"/>
            <w:hideMark/>
          </w:tcPr>
          <w:p w14:paraId="30BCDE52"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lastRenderedPageBreak/>
              <w:t xml:space="preserve">приказ управления СК по охране ОКН от 27.07.2017 № </w:t>
            </w:r>
            <w:r w:rsidRPr="00731FE2">
              <w:rPr>
                <w:rFonts w:ascii="Times New Roman" w:eastAsia="Times New Roman" w:hAnsi="Times New Roman" w:cs="Times New Roman"/>
                <w:sz w:val="20"/>
                <w:szCs w:val="20"/>
                <w:lang w:eastAsia="ru-RU"/>
              </w:rPr>
              <w:lastRenderedPageBreak/>
              <w:t>187</w:t>
            </w:r>
          </w:p>
        </w:tc>
        <w:tc>
          <w:tcPr>
            <w:tcW w:w="2915" w:type="dxa"/>
            <w:shd w:val="clear" w:color="000000" w:fill="auto"/>
            <w:hideMark/>
          </w:tcPr>
          <w:p w14:paraId="58A9AFDA"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14DD7671" w14:textId="77777777" w:rsidTr="00397502">
        <w:trPr>
          <w:trHeight w:val="1541"/>
        </w:trPr>
        <w:tc>
          <w:tcPr>
            <w:tcW w:w="704" w:type="dxa"/>
            <w:shd w:val="clear" w:color="auto" w:fill="auto"/>
            <w:noWrap/>
          </w:tcPr>
          <w:p w14:paraId="32806EE6"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079056B6"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Поселение "Красное Солнышко", I тыс. н.э.</w:t>
            </w:r>
          </w:p>
        </w:tc>
        <w:tc>
          <w:tcPr>
            <w:tcW w:w="3402" w:type="dxa"/>
            <w:shd w:val="clear" w:color="000000" w:fill="auto"/>
            <w:hideMark/>
          </w:tcPr>
          <w:p w14:paraId="475B2F63"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1035D20E"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7BC82039"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Восточный и южный склоны возвышенности "Красное Солнышко"</w:t>
            </w:r>
          </w:p>
        </w:tc>
        <w:tc>
          <w:tcPr>
            <w:tcW w:w="1734" w:type="dxa"/>
            <w:shd w:val="clear" w:color="800080" w:fill="auto"/>
            <w:hideMark/>
          </w:tcPr>
          <w:p w14:paraId="4789334D"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приказ управления СК по охране ОКН от 27.07.2017 № 182</w:t>
            </w:r>
          </w:p>
        </w:tc>
        <w:tc>
          <w:tcPr>
            <w:tcW w:w="2915" w:type="dxa"/>
            <w:shd w:val="clear" w:color="000000" w:fill="auto"/>
            <w:hideMark/>
          </w:tcPr>
          <w:p w14:paraId="7581EFE7"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516B2669" w14:textId="77777777" w:rsidTr="00397502">
        <w:trPr>
          <w:trHeight w:val="1824"/>
        </w:trPr>
        <w:tc>
          <w:tcPr>
            <w:tcW w:w="704" w:type="dxa"/>
            <w:shd w:val="clear" w:color="auto" w:fill="auto"/>
            <w:noWrap/>
          </w:tcPr>
          <w:p w14:paraId="0F159AE8"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4AE45F31"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Могильник "Малое Седло", VIII – VII вв. до н.э.</w:t>
            </w:r>
          </w:p>
        </w:tc>
        <w:tc>
          <w:tcPr>
            <w:tcW w:w="3402" w:type="dxa"/>
            <w:shd w:val="clear" w:color="000000" w:fill="auto"/>
            <w:hideMark/>
          </w:tcPr>
          <w:p w14:paraId="3624BB62"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3A357D9C"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3120AFCD"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Восточное подножие возвышенности "Малое Седло", курортный парк</w:t>
            </w:r>
          </w:p>
        </w:tc>
        <w:tc>
          <w:tcPr>
            <w:tcW w:w="1734" w:type="dxa"/>
            <w:shd w:val="clear" w:color="800080" w:fill="auto"/>
            <w:hideMark/>
          </w:tcPr>
          <w:p w14:paraId="4E05150D"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приказ управления СК по охране ОКН от 27.07.2017 № 178</w:t>
            </w:r>
          </w:p>
        </w:tc>
        <w:tc>
          <w:tcPr>
            <w:tcW w:w="2915" w:type="dxa"/>
            <w:shd w:val="clear" w:color="000000" w:fill="auto"/>
            <w:hideMark/>
          </w:tcPr>
          <w:p w14:paraId="34057BCD"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5C241651" w14:textId="77777777" w:rsidTr="00397502">
        <w:trPr>
          <w:trHeight w:val="1658"/>
        </w:trPr>
        <w:tc>
          <w:tcPr>
            <w:tcW w:w="704" w:type="dxa"/>
            <w:shd w:val="clear" w:color="auto" w:fill="auto"/>
            <w:noWrap/>
          </w:tcPr>
          <w:p w14:paraId="16AD7A2A"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183465F1"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Укрепление "Малое Седло (Глухая Балка") - 1", I тыс. н.э.</w:t>
            </w:r>
          </w:p>
        </w:tc>
        <w:tc>
          <w:tcPr>
            <w:tcW w:w="3402" w:type="dxa"/>
            <w:shd w:val="clear" w:color="000000" w:fill="auto"/>
            <w:hideMark/>
          </w:tcPr>
          <w:p w14:paraId="2D37895F"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469DCB8A"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2E9658A8"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Верхний курортный парк, скалистый выступ, разделяющий балки Глухую и Широкую</w:t>
            </w:r>
          </w:p>
        </w:tc>
        <w:tc>
          <w:tcPr>
            <w:tcW w:w="1734" w:type="dxa"/>
            <w:shd w:val="clear" w:color="800080" w:fill="auto"/>
            <w:hideMark/>
          </w:tcPr>
          <w:p w14:paraId="58D3F19B"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приказ управления СК по охране ОКН от 27.07.2017 № 188</w:t>
            </w:r>
          </w:p>
        </w:tc>
        <w:tc>
          <w:tcPr>
            <w:tcW w:w="2915" w:type="dxa"/>
            <w:shd w:val="clear" w:color="000000" w:fill="auto"/>
            <w:hideMark/>
          </w:tcPr>
          <w:p w14:paraId="55E8B993"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3A387D1A" w14:textId="77777777" w:rsidTr="00397502">
        <w:trPr>
          <w:trHeight w:val="1824"/>
        </w:trPr>
        <w:tc>
          <w:tcPr>
            <w:tcW w:w="704" w:type="dxa"/>
            <w:shd w:val="clear" w:color="auto" w:fill="auto"/>
            <w:noWrap/>
          </w:tcPr>
          <w:p w14:paraId="6F78FA10"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0F1E3373"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Поселение "Малое Седло - 2", I тыс. н.э.</w:t>
            </w:r>
          </w:p>
        </w:tc>
        <w:tc>
          <w:tcPr>
            <w:tcW w:w="3402" w:type="dxa"/>
            <w:shd w:val="clear" w:color="000000" w:fill="auto"/>
            <w:hideMark/>
          </w:tcPr>
          <w:p w14:paraId="14A86B2B"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1C24006E"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2C312B18"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Северо-Западный склон г. Малое Седло</w:t>
            </w:r>
          </w:p>
        </w:tc>
        <w:tc>
          <w:tcPr>
            <w:tcW w:w="1734" w:type="dxa"/>
            <w:shd w:val="clear" w:color="800080" w:fill="auto"/>
            <w:hideMark/>
          </w:tcPr>
          <w:p w14:paraId="754EF4DB"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приказ управления СК по охране ОКН от 27.07.2017 № 184</w:t>
            </w:r>
          </w:p>
        </w:tc>
        <w:tc>
          <w:tcPr>
            <w:tcW w:w="2915" w:type="dxa"/>
            <w:shd w:val="clear" w:color="000000" w:fill="auto"/>
            <w:hideMark/>
          </w:tcPr>
          <w:p w14:paraId="71147E26"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6B3EA4DB" w14:textId="77777777" w:rsidTr="00397502">
        <w:trPr>
          <w:trHeight w:val="1824"/>
        </w:trPr>
        <w:tc>
          <w:tcPr>
            <w:tcW w:w="704" w:type="dxa"/>
            <w:shd w:val="clear" w:color="auto" w:fill="auto"/>
            <w:noWrap/>
          </w:tcPr>
          <w:p w14:paraId="24242DAE"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1AF940E2"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Поселение "Глухая Балка", I тыс. н.э.</w:t>
            </w:r>
          </w:p>
        </w:tc>
        <w:tc>
          <w:tcPr>
            <w:tcW w:w="3402" w:type="dxa"/>
            <w:shd w:val="clear" w:color="000000" w:fill="auto"/>
            <w:hideMark/>
          </w:tcPr>
          <w:p w14:paraId="673ADB51"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57FC9BA0"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10EB23DE"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Восточный склон скального гребня</w:t>
            </w:r>
          </w:p>
        </w:tc>
        <w:tc>
          <w:tcPr>
            <w:tcW w:w="1734" w:type="dxa"/>
            <w:shd w:val="clear" w:color="800080" w:fill="auto"/>
            <w:hideMark/>
          </w:tcPr>
          <w:p w14:paraId="27CBADDA"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приказ управления СК по охране ОКН от 27.07.2017 № 181</w:t>
            </w:r>
          </w:p>
        </w:tc>
        <w:tc>
          <w:tcPr>
            <w:tcW w:w="2915" w:type="dxa"/>
            <w:shd w:val="clear" w:color="000000" w:fill="auto"/>
            <w:hideMark/>
          </w:tcPr>
          <w:p w14:paraId="4BD9527F"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42155629" w14:textId="77777777" w:rsidTr="00397502">
        <w:trPr>
          <w:trHeight w:val="1683"/>
        </w:trPr>
        <w:tc>
          <w:tcPr>
            <w:tcW w:w="704" w:type="dxa"/>
            <w:shd w:val="clear" w:color="auto" w:fill="auto"/>
            <w:noWrap/>
          </w:tcPr>
          <w:p w14:paraId="5D4753C7"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1465DAA1"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Могильник "Сосновый Бор",1 пол. I тыс. до н.э.</w:t>
            </w:r>
          </w:p>
        </w:tc>
        <w:tc>
          <w:tcPr>
            <w:tcW w:w="3402" w:type="dxa"/>
            <w:shd w:val="clear" w:color="000000" w:fill="auto"/>
            <w:hideMark/>
          </w:tcPr>
          <w:p w14:paraId="22810418"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4A86C9A3"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2FF23F8B"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Курортный парк, территория государственных дач "Сосновый Бор"</w:t>
            </w:r>
          </w:p>
        </w:tc>
        <w:tc>
          <w:tcPr>
            <w:tcW w:w="1734" w:type="dxa"/>
            <w:shd w:val="clear" w:color="800080" w:fill="auto"/>
            <w:hideMark/>
          </w:tcPr>
          <w:p w14:paraId="7B7C7C5A"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приказ управления СК по охране ОКН от 27.07.2017 № 180</w:t>
            </w:r>
          </w:p>
        </w:tc>
        <w:tc>
          <w:tcPr>
            <w:tcW w:w="2915" w:type="dxa"/>
            <w:shd w:val="clear" w:color="000000" w:fill="auto"/>
            <w:hideMark/>
          </w:tcPr>
          <w:p w14:paraId="71BB861F"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0FA611CE" w14:textId="77777777" w:rsidTr="00397502">
        <w:trPr>
          <w:trHeight w:val="1799"/>
        </w:trPr>
        <w:tc>
          <w:tcPr>
            <w:tcW w:w="704" w:type="dxa"/>
            <w:shd w:val="clear" w:color="auto" w:fill="auto"/>
            <w:noWrap/>
          </w:tcPr>
          <w:p w14:paraId="47974952"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11E4B43F"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Укрепленное поселение "Озерное", сер. I тыс. н.э</w:t>
            </w:r>
          </w:p>
        </w:tc>
        <w:tc>
          <w:tcPr>
            <w:tcW w:w="3402" w:type="dxa"/>
            <w:shd w:val="clear" w:color="000000" w:fill="auto"/>
            <w:hideMark/>
          </w:tcPr>
          <w:p w14:paraId="0DE3861E"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 xml:space="preserve">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w:t>
            </w:r>
            <w:r w:rsidRPr="00731FE2">
              <w:rPr>
                <w:rFonts w:ascii="Times New Roman" w:eastAsia="Times New Roman" w:hAnsi="Times New Roman" w:cs="Times New Roman"/>
                <w:sz w:val="20"/>
                <w:szCs w:val="20"/>
                <w:lang w:eastAsia="ru-RU"/>
              </w:rPr>
              <w:lastRenderedPageBreak/>
              <w:t>республиканского значения, утвержденного</w:t>
            </w:r>
          </w:p>
        </w:tc>
        <w:tc>
          <w:tcPr>
            <w:tcW w:w="1417" w:type="dxa"/>
            <w:shd w:val="clear" w:color="000000" w:fill="auto"/>
            <w:hideMark/>
          </w:tcPr>
          <w:p w14:paraId="6C9CED56"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lastRenderedPageBreak/>
              <w:t>федерального значения</w:t>
            </w:r>
          </w:p>
        </w:tc>
        <w:tc>
          <w:tcPr>
            <w:tcW w:w="1872" w:type="dxa"/>
            <w:shd w:val="clear" w:color="000000" w:fill="auto"/>
            <w:hideMark/>
          </w:tcPr>
          <w:p w14:paraId="5B49DE2C"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Северо-восточный берег старого городского озера, на возвышенности</w:t>
            </w:r>
          </w:p>
        </w:tc>
        <w:tc>
          <w:tcPr>
            <w:tcW w:w="1734" w:type="dxa"/>
            <w:shd w:val="clear" w:color="000000" w:fill="auto"/>
            <w:hideMark/>
          </w:tcPr>
          <w:p w14:paraId="3BDD2769"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приказ управления от 17.11.2021 г. № 1233</w:t>
            </w:r>
          </w:p>
        </w:tc>
        <w:tc>
          <w:tcPr>
            <w:tcW w:w="2915" w:type="dxa"/>
            <w:shd w:val="clear" w:color="000000" w:fill="auto"/>
            <w:hideMark/>
          </w:tcPr>
          <w:p w14:paraId="2E3DB06D"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58DA1BD0" w14:textId="77777777" w:rsidTr="00397502">
        <w:trPr>
          <w:trHeight w:val="1966"/>
        </w:trPr>
        <w:tc>
          <w:tcPr>
            <w:tcW w:w="704" w:type="dxa"/>
            <w:shd w:val="clear" w:color="auto" w:fill="auto"/>
            <w:noWrap/>
          </w:tcPr>
          <w:p w14:paraId="7105B4E5"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02F9A3B7"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Могильник "Агачевский", Х - VII вв. до н.э.</w:t>
            </w:r>
          </w:p>
        </w:tc>
        <w:tc>
          <w:tcPr>
            <w:tcW w:w="3402" w:type="dxa"/>
            <w:shd w:val="clear" w:color="000000" w:fill="auto"/>
            <w:hideMark/>
          </w:tcPr>
          <w:p w14:paraId="3E0A53F6"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2D43CBDA"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1CF03F9E"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Западная окраина, юго-западный угол территории пансионата "Велинград"</w:t>
            </w:r>
          </w:p>
        </w:tc>
        <w:tc>
          <w:tcPr>
            <w:tcW w:w="1734" w:type="dxa"/>
            <w:shd w:val="clear" w:color="000000" w:fill="auto"/>
            <w:hideMark/>
          </w:tcPr>
          <w:p w14:paraId="47C54692"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c>
          <w:tcPr>
            <w:tcW w:w="2915" w:type="dxa"/>
            <w:shd w:val="clear" w:color="000000" w:fill="auto"/>
            <w:hideMark/>
          </w:tcPr>
          <w:p w14:paraId="76313563"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4DE2E13A" w14:textId="77777777" w:rsidTr="00397502">
        <w:trPr>
          <w:trHeight w:val="1824"/>
        </w:trPr>
        <w:tc>
          <w:tcPr>
            <w:tcW w:w="704" w:type="dxa"/>
            <w:shd w:val="clear" w:color="auto" w:fill="auto"/>
            <w:noWrap/>
          </w:tcPr>
          <w:p w14:paraId="4269D65A"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715101BA"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Курган "Молочная Горка", II тыс. до н.э.</w:t>
            </w:r>
          </w:p>
        </w:tc>
        <w:tc>
          <w:tcPr>
            <w:tcW w:w="3402" w:type="dxa"/>
            <w:shd w:val="clear" w:color="000000" w:fill="auto"/>
            <w:hideMark/>
          </w:tcPr>
          <w:p w14:paraId="4BBC1DE7"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0AD3FEF6"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01E8E742"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Западная окраина, юго-западнее территории пансионата "Велинград"</w:t>
            </w:r>
          </w:p>
        </w:tc>
        <w:tc>
          <w:tcPr>
            <w:tcW w:w="1734" w:type="dxa"/>
            <w:shd w:val="clear" w:color="000000" w:fill="auto"/>
            <w:hideMark/>
          </w:tcPr>
          <w:p w14:paraId="5EFC71D1"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c>
          <w:tcPr>
            <w:tcW w:w="2915" w:type="dxa"/>
            <w:shd w:val="clear" w:color="000000" w:fill="auto"/>
            <w:hideMark/>
          </w:tcPr>
          <w:p w14:paraId="15A74A87"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1BC94CFD" w14:textId="77777777" w:rsidTr="00397502">
        <w:trPr>
          <w:trHeight w:val="1399"/>
        </w:trPr>
        <w:tc>
          <w:tcPr>
            <w:tcW w:w="704" w:type="dxa"/>
            <w:shd w:val="clear" w:color="auto" w:fill="auto"/>
            <w:noWrap/>
          </w:tcPr>
          <w:p w14:paraId="13E75327"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2C6DB3EB"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Поселение "Зеленогорские Сады", III - II тыс.  до н.э.</w:t>
            </w:r>
          </w:p>
        </w:tc>
        <w:tc>
          <w:tcPr>
            <w:tcW w:w="3402" w:type="dxa"/>
            <w:shd w:val="clear" w:color="000000" w:fill="auto"/>
            <w:hideMark/>
          </w:tcPr>
          <w:p w14:paraId="079C136B"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09A1A992"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19F2F446"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Гряда между "Велинградом" и пос. Неженский</w:t>
            </w:r>
          </w:p>
        </w:tc>
        <w:tc>
          <w:tcPr>
            <w:tcW w:w="1734" w:type="dxa"/>
            <w:shd w:val="clear" w:color="000000" w:fill="auto"/>
            <w:hideMark/>
          </w:tcPr>
          <w:p w14:paraId="1891D7AE"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c>
          <w:tcPr>
            <w:tcW w:w="2915" w:type="dxa"/>
            <w:shd w:val="clear" w:color="000000" w:fill="auto"/>
            <w:hideMark/>
          </w:tcPr>
          <w:p w14:paraId="2E0BF52B"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49B7B338" w14:textId="77777777" w:rsidTr="00397502">
        <w:trPr>
          <w:trHeight w:val="1799"/>
        </w:trPr>
        <w:tc>
          <w:tcPr>
            <w:tcW w:w="704" w:type="dxa"/>
            <w:shd w:val="clear" w:color="auto" w:fill="auto"/>
            <w:noWrap/>
          </w:tcPr>
          <w:p w14:paraId="149B3BA3"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224B98C2"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Могильник "Директорская Горка", III – VIII вв. н.э.</w:t>
            </w:r>
          </w:p>
        </w:tc>
        <w:tc>
          <w:tcPr>
            <w:tcW w:w="3402" w:type="dxa"/>
            <w:shd w:val="clear" w:color="000000" w:fill="auto"/>
            <w:hideMark/>
          </w:tcPr>
          <w:p w14:paraId="49301B53"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5595189E"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53DE3A97"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Юго-западная окраина пос. Аликоновский, на возвышенности</w:t>
            </w:r>
          </w:p>
        </w:tc>
        <w:tc>
          <w:tcPr>
            <w:tcW w:w="1734" w:type="dxa"/>
            <w:shd w:val="clear" w:color="000000" w:fill="auto"/>
            <w:hideMark/>
          </w:tcPr>
          <w:p w14:paraId="0F7AA0DA"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c>
          <w:tcPr>
            <w:tcW w:w="2915" w:type="dxa"/>
            <w:shd w:val="clear" w:color="000000" w:fill="auto"/>
            <w:hideMark/>
          </w:tcPr>
          <w:p w14:paraId="6E79978B"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1837D658" w14:textId="77777777" w:rsidTr="00397502">
        <w:trPr>
          <w:trHeight w:val="1541"/>
        </w:trPr>
        <w:tc>
          <w:tcPr>
            <w:tcW w:w="704" w:type="dxa"/>
            <w:shd w:val="clear" w:color="auto" w:fill="auto"/>
            <w:noWrap/>
          </w:tcPr>
          <w:p w14:paraId="276351C6"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2844D805"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Поселение "Директорская Горка", VI – VIII вв. н.э.</w:t>
            </w:r>
          </w:p>
        </w:tc>
        <w:tc>
          <w:tcPr>
            <w:tcW w:w="3402" w:type="dxa"/>
            <w:shd w:val="clear" w:color="000000" w:fill="auto"/>
            <w:hideMark/>
          </w:tcPr>
          <w:p w14:paraId="74200F68"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0CFBEF96"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38230910"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Склон гряды у останца "Директорская Горка", зона индивидуальной застройки</w:t>
            </w:r>
          </w:p>
        </w:tc>
        <w:tc>
          <w:tcPr>
            <w:tcW w:w="1734" w:type="dxa"/>
            <w:shd w:val="clear" w:color="000000" w:fill="auto"/>
            <w:hideMark/>
          </w:tcPr>
          <w:p w14:paraId="331F6DCD"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приказ управления СК по охране ОКН от 30.08.2022 г. № 977</w:t>
            </w:r>
          </w:p>
        </w:tc>
        <w:tc>
          <w:tcPr>
            <w:tcW w:w="2915" w:type="dxa"/>
            <w:shd w:val="clear" w:color="000000" w:fill="auto"/>
            <w:hideMark/>
          </w:tcPr>
          <w:p w14:paraId="57C413C8"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2F762D89" w14:textId="77777777" w:rsidTr="00397502">
        <w:trPr>
          <w:trHeight w:val="1966"/>
        </w:trPr>
        <w:tc>
          <w:tcPr>
            <w:tcW w:w="704" w:type="dxa"/>
            <w:shd w:val="clear" w:color="auto" w:fill="auto"/>
            <w:noWrap/>
          </w:tcPr>
          <w:p w14:paraId="3126BD05"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362E347F"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Поселение "Аликоновское - 1", III - II тыс.  до н.э.</w:t>
            </w:r>
          </w:p>
        </w:tc>
        <w:tc>
          <w:tcPr>
            <w:tcW w:w="3402" w:type="dxa"/>
            <w:shd w:val="clear" w:color="000000" w:fill="auto"/>
            <w:hideMark/>
          </w:tcPr>
          <w:p w14:paraId="25A0B126"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20B8BD72"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6A48928E"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300 - 350 м южнее пос. Аликоновка, левобережная скальная терраса р. Аликоновки</w:t>
            </w:r>
          </w:p>
        </w:tc>
        <w:tc>
          <w:tcPr>
            <w:tcW w:w="1734" w:type="dxa"/>
            <w:shd w:val="clear" w:color="000000" w:fill="auto"/>
            <w:hideMark/>
          </w:tcPr>
          <w:p w14:paraId="7D2B511C"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17.09.2020 № 724</w:t>
            </w:r>
          </w:p>
        </w:tc>
        <w:tc>
          <w:tcPr>
            <w:tcW w:w="2915" w:type="dxa"/>
            <w:shd w:val="clear" w:color="000000" w:fill="auto"/>
            <w:hideMark/>
          </w:tcPr>
          <w:p w14:paraId="01D3A539"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119F5A51" w14:textId="77777777" w:rsidTr="00397502">
        <w:trPr>
          <w:trHeight w:val="1824"/>
        </w:trPr>
        <w:tc>
          <w:tcPr>
            <w:tcW w:w="704" w:type="dxa"/>
            <w:shd w:val="clear" w:color="auto" w:fill="auto"/>
            <w:noWrap/>
          </w:tcPr>
          <w:p w14:paraId="63BDB297"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7F79492E"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Могильник "Отстойник - 1", VIII - VI вв. до н.э.</w:t>
            </w:r>
          </w:p>
        </w:tc>
        <w:tc>
          <w:tcPr>
            <w:tcW w:w="3402" w:type="dxa"/>
            <w:shd w:val="clear" w:color="000000" w:fill="auto"/>
            <w:hideMark/>
          </w:tcPr>
          <w:p w14:paraId="6AF9735A"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 xml:space="preserve">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w:t>
            </w:r>
            <w:r w:rsidRPr="00731FE2">
              <w:rPr>
                <w:rFonts w:ascii="Times New Roman" w:eastAsia="Times New Roman" w:hAnsi="Times New Roman" w:cs="Times New Roman"/>
                <w:sz w:val="20"/>
                <w:szCs w:val="20"/>
                <w:lang w:eastAsia="ru-RU"/>
              </w:rPr>
              <w:lastRenderedPageBreak/>
              <w:t>республиканского значения, утвержденного</w:t>
            </w:r>
          </w:p>
        </w:tc>
        <w:tc>
          <w:tcPr>
            <w:tcW w:w="1417" w:type="dxa"/>
            <w:shd w:val="clear" w:color="000000" w:fill="auto"/>
            <w:hideMark/>
          </w:tcPr>
          <w:p w14:paraId="7ECB3775"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lastRenderedPageBreak/>
              <w:t>федерального значения</w:t>
            </w:r>
          </w:p>
        </w:tc>
        <w:tc>
          <w:tcPr>
            <w:tcW w:w="1872" w:type="dxa"/>
            <w:shd w:val="clear" w:color="000000" w:fill="auto"/>
            <w:hideMark/>
          </w:tcPr>
          <w:p w14:paraId="551B75C5"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1,2 - 1,5 км южнее старого озера, у котельного пансионата "Горное Эхо"</w:t>
            </w:r>
          </w:p>
        </w:tc>
        <w:tc>
          <w:tcPr>
            <w:tcW w:w="1734" w:type="dxa"/>
            <w:shd w:val="clear" w:color="000000" w:fill="auto"/>
            <w:hideMark/>
          </w:tcPr>
          <w:p w14:paraId="1981E08F"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11.11.2022 № 1408</w:t>
            </w:r>
          </w:p>
        </w:tc>
        <w:tc>
          <w:tcPr>
            <w:tcW w:w="2915" w:type="dxa"/>
            <w:shd w:val="clear" w:color="000000" w:fill="auto"/>
            <w:hideMark/>
          </w:tcPr>
          <w:p w14:paraId="26908732"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7F149F5F" w14:textId="77777777" w:rsidTr="00397502">
        <w:trPr>
          <w:trHeight w:val="1799"/>
        </w:trPr>
        <w:tc>
          <w:tcPr>
            <w:tcW w:w="704" w:type="dxa"/>
            <w:shd w:val="clear" w:color="auto" w:fill="auto"/>
            <w:noWrap/>
          </w:tcPr>
          <w:p w14:paraId="29587E0A"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42E80A58"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Могильник "Отстойник - 2", VI - VIII вв. н.э.</w:t>
            </w:r>
          </w:p>
        </w:tc>
        <w:tc>
          <w:tcPr>
            <w:tcW w:w="3402" w:type="dxa"/>
            <w:shd w:val="clear" w:color="000000" w:fill="auto"/>
            <w:hideMark/>
          </w:tcPr>
          <w:p w14:paraId="5AE19B19"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1C07F2B7"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77F707C8"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Примыкает к территории могильника "Отстойник - 1"</w:t>
            </w:r>
          </w:p>
        </w:tc>
        <w:tc>
          <w:tcPr>
            <w:tcW w:w="1734" w:type="dxa"/>
            <w:shd w:val="clear" w:color="000000" w:fill="auto"/>
            <w:hideMark/>
          </w:tcPr>
          <w:p w14:paraId="5AF2716D"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17.09.2020 № 723</w:t>
            </w:r>
          </w:p>
        </w:tc>
        <w:tc>
          <w:tcPr>
            <w:tcW w:w="2915" w:type="dxa"/>
            <w:shd w:val="clear" w:color="000000" w:fill="auto"/>
            <w:hideMark/>
          </w:tcPr>
          <w:p w14:paraId="21F6407C"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5F7E3930" w14:textId="77777777" w:rsidTr="00397502">
        <w:trPr>
          <w:trHeight w:val="1824"/>
        </w:trPr>
        <w:tc>
          <w:tcPr>
            <w:tcW w:w="704" w:type="dxa"/>
            <w:shd w:val="clear" w:color="auto" w:fill="auto"/>
            <w:noWrap/>
          </w:tcPr>
          <w:p w14:paraId="553306E8"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219CD4D0"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Могильник "Горное Эхо - 1", VI - VIII вв. н.э.</w:t>
            </w:r>
          </w:p>
        </w:tc>
        <w:tc>
          <w:tcPr>
            <w:tcW w:w="3402" w:type="dxa"/>
            <w:shd w:val="clear" w:color="000000" w:fill="auto"/>
            <w:hideMark/>
          </w:tcPr>
          <w:p w14:paraId="189D03EF"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5AACAF87"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2DD6C7BA"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У южного въезда на территорию пансионата "Горное Эхо", левый берег р. Аликоновки</w:t>
            </w:r>
          </w:p>
        </w:tc>
        <w:tc>
          <w:tcPr>
            <w:tcW w:w="1734" w:type="dxa"/>
            <w:shd w:val="clear" w:color="000000" w:fill="auto"/>
            <w:hideMark/>
          </w:tcPr>
          <w:p w14:paraId="23B903D0"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c>
          <w:tcPr>
            <w:tcW w:w="2915" w:type="dxa"/>
            <w:shd w:val="clear" w:color="000000" w:fill="auto"/>
            <w:hideMark/>
          </w:tcPr>
          <w:p w14:paraId="0BD402DB"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1672FD02" w14:textId="77777777" w:rsidTr="00397502">
        <w:trPr>
          <w:trHeight w:val="1966"/>
        </w:trPr>
        <w:tc>
          <w:tcPr>
            <w:tcW w:w="704" w:type="dxa"/>
            <w:shd w:val="clear" w:color="auto" w:fill="auto"/>
            <w:noWrap/>
          </w:tcPr>
          <w:p w14:paraId="0864D808"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1FC06C79"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Могильник "Горное Эхо - 2", VI - VIII вв. н.э.</w:t>
            </w:r>
          </w:p>
        </w:tc>
        <w:tc>
          <w:tcPr>
            <w:tcW w:w="3402" w:type="dxa"/>
            <w:shd w:val="clear" w:color="000000" w:fill="auto"/>
            <w:hideMark/>
          </w:tcPr>
          <w:p w14:paraId="340E0EF6"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1A60C544"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0D7C89A3"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Левый берег р. Аликоновки, западнее двухэтажных корпусов пансионата "Горное Эхо"</w:t>
            </w:r>
          </w:p>
        </w:tc>
        <w:tc>
          <w:tcPr>
            <w:tcW w:w="1734" w:type="dxa"/>
            <w:shd w:val="clear" w:color="000000" w:fill="auto"/>
            <w:hideMark/>
          </w:tcPr>
          <w:p w14:paraId="7DB8F413"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c>
          <w:tcPr>
            <w:tcW w:w="2915" w:type="dxa"/>
            <w:shd w:val="clear" w:color="000000" w:fill="auto"/>
            <w:hideMark/>
          </w:tcPr>
          <w:p w14:paraId="3B787025"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6067CA4D" w14:textId="77777777" w:rsidTr="00397502">
        <w:trPr>
          <w:trHeight w:val="1966"/>
        </w:trPr>
        <w:tc>
          <w:tcPr>
            <w:tcW w:w="704" w:type="dxa"/>
            <w:shd w:val="clear" w:color="auto" w:fill="auto"/>
            <w:noWrap/>
          </w:tcPr>
          <w:p w14:paraId="5460E6BB"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248065D5"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Городище "Отстойник", VI - VIII вв. н.э.</w:t>
            </w:r>
          </w:p>
        </w:tc>
        <w:tc>
          <w:tcPr>
            <w:tcW w:w="3402" w:type="dxa"/>
            <w:shd w:val="clear" w:color="000000" w:fill="auto"/>
            <w:hideMark/>
          </w:tcPr>
          <w:p w14:paraId="6CCF644F"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6B4812EC"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470ADB0D"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Правый берег р. Аликоновки, останец скальной террасы возле пансионата "Горное Эхо"</w:t>
            </w:r>
          </w:p>
        </w:tc>
        <w:tc>
          <w:tcPr>
            <w:tcW w:w="1734" w:type="dxa"/>
            <w:shd w:val="clear" w:color="000000" w:fill="auto"/>
            <w:hideMark/>
          </w:tcPr>
          <w:p w14:paraId="06824A2F"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c>
          <w:tcPr>
            <w:tcW w:w="2915" w:type="dxa"/>
            <w:shd w:val="clear" w:color="000000" w:fill="auto"/>
            <w:hideMark/>
          </w:tcPr>
          <w:p w14:paraId="4F6492FD"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0BFEBF59" w14:textId="77777777" w:rsidTr="00397502">
        <w:trPr>
          <w:trHeight w:val="3960"/>
        </w:trPr>
        <w:tc>
          <w:tcPr>
            <w:tcW w:w="704" w:type="dxa"/>
            <w:shd w:val="clear" w:color="auto" w:fill="auto"/>
            <w:noWrap/>
          </w:tcPr>
          <w:p w14:paraId="08C8D660"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1BD4D1A8"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Поселение "Отстойник", VI - VII вв. н.э.</w:t>
            </w:r>
          </w:p>
        </w:tc>
        <w:tc>
          <w:tcPr>
            <w:tcW w:w="3402" w:type="dxa"/>
            <w:shd w:val="clear" w:color="000000" w:fill="auto"/>
            <w:hideMark/>
          </w:tcPr>
          <w:p w14:paraId="4E7BD706"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7FF4D578"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6EAE6A0E"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Склоны балки ручья Луначарка</w:t>
            </w:r>
          </w:p>
        </w:tc>
        <w:tc>
          <w:tcPr>
            <w:tcW w:w="1734" w:type="dxa"/>
            <w:shd w:val="clear" w:color="000000" w:fill="auto"/>
            <w:hideMark/>
          </w:tcPr>
          <w:p w14:paraId="342798E4"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c>
          <w:tcPr>
            <w:tcW w:w="2915" w:type="dxa"/>
            <w:shd w:val="clear" w:color="000000" w:fill="auto"/>
            <w:hideMark/>
          </w:tcPr>
          <w:p w14:paraId="6E213BC4"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46CF000E" w14:textId="77777777" w:rsidTr="00397502">
        <w:trPr>
          <w:trHeight w:val="2108"/>
        </w:trPr>
        <w:tc>
          <w:tcPr>
            <w:tcW w:w="704" w:type="dxa"/>
            <w:shd w:val="clear" w:color="auto" w:fill="auto"/>
            <w:noWrap/>
          </w:tcPr>
          <w:p w14:paraId="46FF7799"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519C003F"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Поселение "Горное Эхо", сер. I тыс. н.э.</w:t>
            </w:r>
          </w:p>
        </w:tc>
        <w:tc>
          <w:tcPr>
            <w:tcW w:w="3402" w:type="dxa"/>
            <w:shd w:val="clear" w:color="000000" w:fill="auto"/>
            <w:hideMark/>
          </w:tcPr>
          <w:p w14:paraId="68C25EA8"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03B630D8"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7F7C91D3"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Склон левобережной террасы р. Аликоновки, у пансионата «Горное Эхо"</w:t>
            </w:r>
          </w:p>
        </w:tc>
        <w:tc>
          <w:tcPr>
            <w:tcW w:w="1734" w:type="dxa"/>
            <w:shd w:val="clear" w:color="000000" w:fill="auto"/>
            <w:hideMark/>
          </w:tcPr>
          <w:p w14:paraId="68F3572B"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c>
          <w:tcPr>
            <w:tcW w:w="2915" w:type="dxa"/>
            <w:shd w:val="clear" w:color="000000" w:fill="auto"/>
            <w:hideMark/>
          </w:tcPr>
          <w:p w14:paraId="5A63EEDA"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5777618A" w14:textId="77777777" w:rsidTr="00397502">
        <w:trPr>
          <w:trHeight w:val="1966"/>
        </w:trPr>
        <w:tc>
          <w:tcPr>
            <w:tcW w:w="704" w:type="dxa"/>
            <w:shd w:val="clear" w:color="auto" w:fill="auto"/>
            <w:noWrap/>
          </w:tcPr>
          <w:p w14:paraId="0E41F148"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12D2029E"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Поселение "Луначарка", сер. I тыс. н.э.</w:t>
            </w:r>
          </w:p>
        </w:tc>
        <w:tc>
          <w:tcPr>
            <w:tcW w:w="3402" w:type="dxa"/>
            <w:shd w:val="clear" w:color="000000" w:fill="auto"/>
            <w:hideMark/>
          </w:tcPr>
          <w:p w14:paraId="1DBB285D"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30083DC5"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47367B11"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Возвышенность между строящейся инфекционной больницей и пос. Луначарка</w:t>
            </w:r>
          </w:p>
        </w:tc>
        <w:tc>
          <w:tcPr>
            <w:tcW w:w="1734" w:type="dxa"/>
            <w:shd w:val="clear" w:color="000000" w:fill="auto"/>
            <w:hideMark/>
          </w:tcPr>
          <w:p w14:paraId="101C267A"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c>
          <w:tcPr>
            <w:tcW w:w="2915" w:type="dxa"/>
            <w:shd w:val="clear" w:color="000000" w:fill="auto"/>
            <w:hideMark/>
          </w:tcPr>
          <w:p w14:paraId="22FCCDFE"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2436B7E9" w14:textId="77777777" w:rsidTr="00397502">
        <w:trPr>
          <w:trHeight w:val="1941"/>
        </w:trPr>
        <w:tc>
          <w:tcPr>
            <w:tcW w:w="704" w:type="dxa"/>
            <w:shd w:val="clear" w:color="auto" w:fill="auto"/>
            <w:noWrap/>
          </w:tcPr>
          <w:p w14:paraId="19E5C3ED"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1E9A17F1"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Могильник "Луначарка - 1", II – VIII вв. н.э.</w:t>
            </w:r>
          </w:p>
        </w:tc>
        <w:tc>
          <w:tcPr>
            <w:tcW w:w="3402" w:type="dxa"/>
            <w:shd w:val="clear" w:color="000000" w:fill="auto"/>
            <w:hideMark/>
          </w:tcPr>
          <w:p w14:paraId="18953EE9"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309B39A0"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4DFE85D1"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Между западной частью пос. Луначарки и дачами</w:t>
            </w:r>
          </w:p>
        </w:tc>
        <w:tc>
          <w:tcPr>
            <w:tcW w:w="1734" w:type="dxa"/>
            <w:shd w:val="clear" w:color="000000" w:fill="auto"/>
            <w:hideMark/>
          </w:tcPr>
          <w:p w14:paraId="386082D6"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777 от 22.08.2023, 612 от 30.06.2023</w:t>
            </w:r>
          </w:p>
        </w:tc>
        <w:tc>
          <w:tcPr>
            <w:tcW w:w="2915" w:type="dxa"/>
            <w:shd w:val="clear" w:color="000000" w:fill="auto"/>
            <w:hideMark/>
          </w:tcPr>
          <w:p w14:paraId="69881266"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30E48418" w14:textId="77777777" w:rsidTr="00397502">
        <w:trPr>
          <w:trHeight w:val="2108"/>
        </w:trPr>
        <w:tc>
          <w:tcPr>
            <w:tcW w:w="704" w:type="dxa"/>
            <w:shd w:val="clear" w:color="auto" w:fill="auto"/>
            <w:noWrap/>
          </w:tcPr>
          <w:p w14:paraId="623A2BDA"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6CB12B9A"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Могильник "Луначарка - 2", IX - VII вв. до н.э.</w:t>
            </w:r>
          </w:p>
        </w:tc>
        <w:tc>
          <w:tcPr>
            <w:tcW w:w="3402" w:type="dxa"/>
            <w:shd w:val="clear" w:color="000000" w:fill="auto"/>
            <w:hideMark/>
          </w:tcPr>
          <w:p w14:paraId="63E291E1"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060343FA"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46537C20"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Правый берег р. Аликоновки, край террасы примыкает к могильнику "Луначарка - 1"</w:t>
            </w:r>
          </w:p>
        </w:tc>
        <w:tc>
          <w:tcPr>
            <w:tcW w:w="1734" w:type="dxa"/>
            <w:shd w:val="clear" w:color="000000" w:fill="auto"/>
            <w:hideMark/>
          </w:tcPr>
          <w:p w14:paraId="0BCDBB35"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c>
          <w:tcPr>
            <w:tcW w:w="2915" w:type="dxa"/>
            <w:shd w:val="clear" w:color="000000" w:fill="auto"/>
            <w:hideMark/>
          </w:tcPr>
          <w:p w14:paraId="6E93A316"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1CE0C0BD" w14:textId="77777777" w:rsidTr="00397502">
        <w:trPr>
          <w:trHeight w:val="1966"/>
        </w:trPr>
        <w:tc>
          <w:tcPr>
            <w:tcW w:w="704" w:type="dxa"/>
            <w:shd w:val="clear" w:color="auto" w:fill="auto"/>
            <w:noWrap/>
          </w:tcPr>
          <w:p w14:paraId="49AC655C"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75B94FB0"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Поселение "Дачи", кон. II -нач. I тыс. до н.э.</w:t>
            </w:r>
          </w:p>
        </w:tc>
        <w:tc>
          <w:tcPr>
            <w:tcW w:w="3402" w:type="dxa"/>
            <w:shd w:val="clear" w:color="000000" w:fill="auto"/>
            <w:hideMark/>
          </w:tcPr>
          <w:p w14:paraId="613307E6"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 xml:space="preserve">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w:t>
            </w:r>
            <w:r w:rsidRPr="00731FE2">
              <w:rPr>
                <w:rFonts w:ascii="Times New Roman" w:eastAsia="Times New Roman" w:hAnsi="Times New Roman" w:cs="Times New Roman"/>
                <w:sz w:val="20"/>
                <w:szCs w:val="20"/>
                <w:lang w:eastAsia="ru-RU"/>
              </w:rPr>
              <w:lastRenderedPageBreak/>
              <w:t>республиканского значения, утвержденного</w:t>
            </w:r>
          </w:p>
        </w:tc>
        <w:tc>
          <w:tcPr>
            <w:tcW w:w="1417" w:type="dxa"/>
            <w:shd w:val="clear" w:color="000000" w:fill="auto"/>
            <w:hideMark/>
          </w:tcPr>
          <w:p w14:paraId="7DC2F138"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lastRenderedPageBreak/>
              <w:t>федерального значения</w:t>
            </w:r>
          </w:p>
        </w:tc>
        <w:tc>
          <w:tcPr>
            <w:tcW w:w="1872" w:type="dxa"/>
            <w:shd w:val="clear" w:color="000000" w:fill="auto"/>
            <w:hideMark/>
          </w:tcPr>
          <w:p w14:paraId="3AACFC69"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Правобережная терраса ущелья р. Аликоновки между ручьями "Митькин Кутан" и "Луначарка" район дачной застройки</w:t>
            </w:r>
          </w:p>
        </w:tc>
        <w:tc>
          <w:tcPr>
            <w:tcW w:w="1734" w:type="dxa"/>
            <w:shd w:val="clear" w:color="000000" w:fill="auto"/>
            <w:hideMark/>
          </w:tcPr>
          <w:p w14:paraId="195C26C8"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c>
          <w:tcPr>
            <w:tcW w:w="2915" w:type="dxa"/>
            <w:shd w:val="clear" w:color="000000" w:fill="auto"/>
            <w:hideMark/>
          </w:tcPr>
          <w:p w14:paraId="7F4889F0"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27D63F59" w14:textId="77777777" w:rsidTr="00397502">
        <w:trPr>
          <w:trHeight w:val="1966"/>
        </w:trPr>
        <w:tc>
          <w:tcPr>
            <w:tcW w:w="704" w:type="dxa"/>
            <w:shd w:val="clear" w:color="auto" w:fill="auto"/>
            <w:noWrap/>
          </w:tcPr>
          <w:p w14:paraId="754ED292"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6BF128EB"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Могильник "Митькин Кутан" (скальный), VIII – IX вв. н.э.</w:t>
            </w:r>
          </w:p>
        </w:tc>
        <w:tc>
          <w:tcPr>
            <w:tcW w:w="3402" w:type="dxa"/>
            <w:shd w:val="clear" w:color="000000" w:fill="auto"/>
            <w:hideMark/>
          </w:tcPr>
          <w:p w14:paraId="1DBB9F35"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41D77405"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018AAD66"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Скальные террасы балки ручья "Митькин Кутан", район пансионата "Горное Эхо" и дачного товарищества "Красный Курган - 2"</w:t>
            </w:r>
          </w:p>
        </w:tc>
        <w:tc>
          <w:tcPr>
            <w:tcW w:w="1734" w:type="dxa"/>
            <w:shd w:val="clear" w:color="000000" w:fill="auto"/>
            <w:hideMark/>
          </w:tcPr>
          <w:p w14:paraId="402AE3C4"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c>
          <w:tcPr>
            <w:tcW w:w="2915" w:type="dxa"/>
            <w:shd w:val="clear" w:color="000000" w:fill="auto"/>
            <w:hideMark/>
          </w:tcPr>
          <w:p w14:paraId="4870BB82"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7F465DD9" w14:textId="77777777" w:rsidTr="00397502">
        <w:trPr>
          <w:trHeight w:val="2083"/>
        </w:trPr>
        <w:tc>
          <w:tcPr>
            <w:tcW w:w="704" w:type="dxa"/>
            <w:shd w:val="clear" w:color="auto" w:fill="auto"/>
            <w:noWrap/>
          </w:tcPr>
          <w:p w14:paraId="6148F9FE"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47AB7C1C"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Аликоновский скальный могильник, VIII – IX вв. н.э.</w:t>
            </w:r>
          </w:p>
        </w:tc>
        <w:tc>
          <w:tcPr>
            <w:tcW w:w="3402" w:type="dxa"/>
            <w:shd w:val="clear" w:color="000000" w:fill="auto"/>
            <w:hideMark/>
          </w:tcPr>
          <w:p w14:paraId="18C51B29"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5CAFB754"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5C18FDA3"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Скалы левобережной террасы р. Аликоновки, 50 - 60 м выше моста через реку, дорога к "Замку коварства и любви"</w:t>
            </w:r>
          </w:p>
        </w:tc>
        <w:tc>
          <w:tcPr>
            <w:tcW w:w="1734" w:type="dxa"/>
            <w:shd w:val="clear" w:color="000000" w:fill="auto"/>
            <w:hideMark/>
          </w:tcPr>
          <w:p w14:paraId="45C7342D"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c>
          <w:tcPr>
            <w:tcW w:w="2915" w:type="dxa"/>
            <w:shd w:val="clear" w:color="000000" w:fill="auto"/>
            <w:hideMark/>
          </w:tcPr>
          <w:p w14:paraId="062973A6"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73E65D24" w14:textId="77777777" w:rsidTr="00397502">
        <w:trPr>
          <w:trHeight w:val="1966"/>
        </w:trPr>
        <w:tc>
          <w:tcPr>
            <w:tcW w:w="704" w:type="dxa"/>
            <w:shd w:val="clear" w:color="auto" w:fill="auto"/>
            <w:noWrap/>
          </w:tcPr>
          <w:p w14:paraId="498B5707"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01967180"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Могильник "Развилка", нач. I тыс. н.э.</w:t>
            </w:r>
          </w:p>
        </w:tc>
        <w:tc>
          <w:tcPr>
            <w:tcW w:w="3402" w:type="dxa"/>
            <w:shd w:val="clear" w:color="000000" w:fill="auto"/>
            <w:hideMark/>
          </w:tcPr>
          <w:p w14:paraId="038CF9B2"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5253CC00"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73C5F306"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Развилка дорог на пос. Зеленогорский и "Замок коварства и любви"</w:t>
            </w:r>
          </w:p>
        </w:tc>
        <w:tc>
          <w:tcPr>
            <w:tcW w:w="1734" w:type="dxa"/>
            <w:shd w:val="clear" w:color="000000" w:fill="auto"/>
            <w:hideMark/>
          </w:tcPr>
          <w:p w14:paraId="0C0911A9"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c>
          <w:tcPr>
            <w:tcW w:w="2915" w:type="dxa"/>
            <w:shd w:val="clear" w:color="000000" w:fill="auto"/>
            <w:hideMark/>
          </w:tcPr>
          <w:p w14:paraId="52F74A33"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7964D689" w14:textId="77777777" w:rsidTr="00397502">
        <w:trPr>
          <w:trHeight w:val="2108"/>
        </w:trPr>
        <w:tc>
          <w:tcPr>
            <w:tcW w:w="704" w:type="dxa"/>
            <w:shd w:val="clear" w:color="auto" w:fill="auto"/>
            <w:noWrap/>
          </w:tcPr>
          <w:p w14:paraId="67902D61"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2129D375"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Могильник "Зеленогорский", V – VII вв. н.э.</w:t>
            </w:r>
          </w:p>
        </w:tc>
        <w:tc>
          <w:tcPr>
            <w:tcW w:w="3402" w:type="dxa"/>
            <w:shd w:val="clear" w:color="000000" w:fill="auto"/>
            <w:hideMark/>
          </w:tcPr>
          <w:p w14:paraId="5CA1F496"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4C310A77"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106B4742"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Юго-западная окраина пос. Зеленогорский</w:t>
            </w:r>
          </w:p>
        </w:tc>
        <w:tc>
          <w:tcPr>
            <w:tcW w:w="1734" w:type="dxa"/>
            <w:shd w:val="clear" w:color="000000" w:fill="auto"/>
            <w:hideMark/>
          </w:tcPr>
          <w:p w14:paraId="7E996226"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830 от 06.09.2023</w:t>
            </w:r>
          </w:p>
        </w:tc>
        <w:tc>
          <w:tcPr>
            <w:tcW w:w="2915" w:type="dxa"/>
            <w:shd w:val="clear" w:color="000000" w:fill="auto"/>
            <w:hideMark/>
          </w:tcPr>
          <w:p w14:paraId="5D574E54"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5043007F" w14:textId="77777777" w:rsidTr="00397502">
        <w:trPr>
          <w:trHeight w:val="2249"/>
        </w:trPr>
        <w:tc>
          <w:tcPr>
            <w:tcW w:w="704" w:type="dxa"/>
            <w:shd w:val="clear" w:color="auto" w:fill="auto"/>
            <w:noWrap/>
          </w:tcPr>
          <w:p w14:paraId="2C8746CC"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5CB3D1DB"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Укрепление "Броненосец - 1", I тыс. н.э.</w:t>
            </w:r>
          </w:p>
        </w:tc>
        <w:tc>
          <w:tcPr>
            <w:tcW w:w="3402" w:type="dxa"/>
            <w:shd w:val="clear" w:color="000000" w:fill="auto"/>
            <w:hideMark/>
          </w:tcPr>
          <w:p w14:paraId="79869EEA"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3C8B677A"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4B0D7F86"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Восточная окраина пос. Зеленогорский, левый берег р. Аликоновки, на скальном останце "Броненосец"</w:t>
            </w:r>
          </w:p>
        </w:tc>
        <w:tc>
          <w:tcPr>
            <w:tcW w:w="1734" w:type="dxa"/>
            <w:shd w:val="clear" w:color="000000" w:fill="auto"/>
            <w:hideMark/>
          </w:tcPr>
          <w:p w14:paraId="5FE2071A"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c>
          <w:tcPr>
            <w:tcW w:w="2915" w:type="dxa"/>
            <w:shd w:val="clear" w:color="000000" w:fill="auto"/>
            <w:hideMark/>
          </w:tcPr>
          <w:p w14:paraId="7D375EF6"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7C7A2945" w14:textId="77777777" w:rsidTr="00397502">
        <w:trPr>
          <w:trHeight w:val="2225"/>
        </w:trPr>
        <w:tc>
          <w:tcPr>
            <w:tcW w:w="704" w:type="dxa"/>
            <w:shd w:val="clear" w:color="auto" w:fill="auto"/>
            <w:noWrap/>
          </w:tcPr>
          <w:p w14:paraId="3576EF2A"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2EC1EEBB"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Поселение "Броненосец", I тыс. н.э.</w:t>
            </w:r>
          </w:p>
        </w:tc>
        <w:tc>
          <w:tcPr>
            <w:tcW w:w="3402" w:type="dxa"/>
            <w:shd w:val="clear" w:color="000000" w:fill="auto"/>
            <w:hideMark/>
          </w:tcPr>
          <w:p w14:paraId="60F058EB"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7F90192B"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562272BE"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Восточные склоны останца "Броненосец".</w:t>
            </w:r>
          </w:p>
        </w:tc>
        <w:tc>
          <w:tcPr>
            <w:tcW w:w="1734" w:type="dxa"/>
            <w:shd w:val="clear" w:color="000000" w:fill="auto"/>
            <w:hideMark/>
          </w:tcPr>
          <w:p w14:paraId="0298C110"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c>
          <w:tcPr>
            <w:tcW w:w="2915" w:type="dxa"/>
            <w:shd w:val="clear" w:color="000000" w:fill="auto"/>
            <w:hideMark/>
          </w:tcPr>
          <w:p w14:paraId="393334B7"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6B368AEC" w14:textId="77777777" w:rsidTr="00397502">
        <w:trPr>
          <w:trHeight w:val="2108"/>
        </w:trPr>
        <w:tc>
          <w:tcPr>
            <w:tcW w:w="704" w:type="dxa"/>
            <w:shd w:val="clear" w:color="auto" w:fill="auto"/>
            <w:noWrap/>
          </w:tcPr>
          <w:p w14:paraId="758E3646"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6BC4FF28"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Укрепление "Броненосец - 2", I тыс. н.э.</w:t>
            </w:r>
          </w:p>
        </w:tc>
        <w:tc>
          <w:tcPr>
            <w:tcW w:w="3402" w:type="dxa"/>
            <w:shd w:val="clear" w:color="000000" w:fill="auto"/>
            <w:hideMark/>
          </w:tcPr>
          <w:p w14:paraId="7F7D98BD"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10598A91"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5625928C"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Левый берег р. Аликоновки, на скальном мысу террасы между Аликоновским ущельем и балкой р. Солдатской.</w:t>
            </w:r>
          </w:p>
        </w:tc>
        <w:tc>
          <w:tcPr>
            <w:tcW w:w="1734" w:type="dxa"/>
            <w:shd w:val="clear" w:color="000000" w:fill="auto"/>
            <w:hideMark/>
          </w:tcPr>
          <w:p w14:paraId="7A73F5B3"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c>
          <w:tcPr>
            <w:tcW w:w="2915" w:type="dxa"/>
            <w:shd w:val="clear" w:color="000000" w:fill="auto"/>
            <w:hideMark/>
          </w:tcPr>
          <w:p w14:paraId="4DA5C2FF"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60127E24" w14:textId="77777777" w:rsidTr="00397502">
        <w:trPr>
          <w:trHeight w:val="2250"/>
        </w:trPr>
        <w:tc>
          <w:tcPr>
            <w:tcW w:w="704" w:type="dxa"/>
            <w:shd w:val="clear" w:color="auto" w:fill="auto"/>
            <w:noWrap/>
          </w:tcPr>
          <w:p w14:paraId="267C7B38"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108FD403"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Могильник "Замковый-1", III – VI вв. н.э.</w:t>
            </w:r>
          </w:p>
        </w:tc>
        <w:tc>
          <w:tcPr>
            <w:tcW w:w="3402" w:type="dxa"/>
            <w:shd w:val="clear" w:color="000000" w:fill="auto"/>
            <w:hideMark/>
          </w:tcPr>
          <w:p w14:paraId="78C52132"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3D977E84"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77DD5176"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1 км юго-западнее скалы "Замок", на гряде,</w:t>
            </w:r>
          </w:p>
        </w:tc>
        <w:tc>
          <w:tcPr>
            <w:tcW w:w="1734" w:type="dxa"/>
            <w:shd w:val="clear" w:color="000000" w:fill="auto"/>
            <w:hideMark/>
          </w:tcPr>
          <w:p w14:paraId="008B0EF6"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c>
          <w:tcPr>
            <w:tcW w:w="2915" w:type="dxa"/>
            <w:shd w:val="clear" w:color="000000" w:fill="auto"/>
            <w:hideMark/>
          </w:tcPr>
          <w:p w14:paraId="71C9A6D7"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0560D21F" w14:textId="77777777" w:rsidTr="00397502">
        <w:trPr>
          <w:trHeight w:val="1966"/>
        </w:trPr>
        <w:tc>
          <w:tcPr>
            <w:tcW w:w="704" w:type="dxa"/>
            <w:shd w:val="clear" w:color="auto" w:fill="auto"/>
            <w:noWrap/>
          </w:tcPr>
          <w:p w14:paraId="407E1002"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3F38E9E7"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Могильник "Замковый-2", VIII – VI вв. до н.э.</w:t>
            </w:r>
          </w:p>
        </w:tc>
        <w:tc>
          <w:tcPr>
            <w:tcW w:w="3402" w:type="dxa"/>
            <w:shd w:val="clear" w:color="000000" w:fill="auto"/>
            <w:hideMark/>
          </w:tcPr>
          <w:p w14:paraId="05722035"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064A4A34"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6B0D622A"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Примыкает к могильнику "Замковый - 1"</w:t>
            </w:r>
          </w:p>
        </w:tc>
        <w:tc>
          <w:tcPr>
            <w:tcW w:w="1734" w:type="dxa"/>
            <w:shd w:val="clear" w:color="000000" w:fill="auto"/>
            <w:hideMark/>
          </w:tcPr>
          <w:p w14:paraId="7B7BC4B7"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c>
          <w:tcPr>
            <w:tcW w:w="2915" w:type="dxa"/>
            <w:shd w:val="clear" w:color="000000" w:fill="auto"/>
            <w:hideMark/>
          </w:tcPr>
          <w:p w14:paraId="56368A34"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73273C34" w14:textId="77777777" w:rsidTr="00397502">
        <w:trPr>
          <w:trHeight w:val="2224"/>
        </w:trPr>
        <w:tc>
          <w:tcPr>
            <w:tcW w:w="704" w:type="dxa"/>
            <w:shd w:val="clear" w:color="auto" w:fill="auto"/>
            <w:noWrap/>
          </w:tcPr>
          <w:p w14:paraId="6E69B1F2"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67DC8414"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Укрепление "Замковое", I тыс. н.э.</w:t>
            </w:r>
          </w:p>
        </w:tc>
        <w:tc>
          <w:tcPr>
            <w:tcW w:w="3402" w:type="dxa"/>
            <w:shd w:val="clear" w:color="000000" w:fill="auto"/>
            <w:hideMark/>
          </w:tcPr>
          <w:p w14:paraId="11C3D427"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20AE8A53"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62FD67CB"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Скала "Замок", над рестораном "Замок коварства и любви" и "Сакля"</w:t>
            </w:r>
          </w:p>
        </w:tc>
        <w:tc>
          <w:tcPr>
            <w:tcW w:w="1734" w:type="dxa"/>
            <w:shd w:val="clear" w:color="000000" w:fill="auto"/>
            <w:hideMark/>
          </w:tcPr>
          <w:p w14:paraId="2E83C830"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c>
          <w:tcPr>
            <w:tcW w:w="2915" w:type="dxa"/>
            <w:shd w:val="clear" w:color="000000" w:fill="auto"/>
            <w:hideMark/>
          </w:tcPr>
          <w:p w14:paraId="10A3B36E"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3B9B3F52" w14:textId="77777777" w:rsidTr="00397502">
        <w:trPr>
          <w:trHeight w:val="1966"/>
        </w:trPr>
        <w:tc>
          <w:tcPr>
            <w:tcW w:w="704" w:type="dxa"/>
            <w:shd w:val="clear" w:color="auto" w:fill="auto"/>
            <w:noWrap/>
          </w:tcPr>
          <w:p w14:paraId="433D8E67"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2B8CD478"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Поселение "Замковое-1", 1 пол.! тыс. до н.э.</w:t>
            </w:r>
          </w:p>
        </w:tc>
        <w:tc>
          <w:tcPr>
            <w:tcW w:w="3402" w:type="dxa"/>
            <w:shd w:val="clear" w:color="000000" w:fill="auto"/>
            <w:hideMark/>
          </w:tcPr>
          <w:p w14:paraId="54BFCB45"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5CE60170"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7ED20AB0"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Юго-западнее скалы "Замок", выше по склону террасы</w:t>
            </w:r>
          </w:p>
        </w:tc>
        <w:tc>
          <w:tcPr>
            <w:tcW w:w="1734" w:type="dxa"/>
            <w:shd w:val="clear" w:color="000000" w:fill="auto"/>
            <w:hideMark/>
          </w:tcPr>
          <w:p w14:paraId="5AF0FC72"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c>
          <w:tcPr>
            <w:tcW w:w="2915" w:type="dxa"/>
            <w:shd w:val="clear" w:color="000000" w:fill="auto"/>
            <w:hideMark/>
          </w:tcPr>
          <w:p w14:paraId="6A117AA7"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7082B79C" w14:textId="77777777" w:rsidTr="00397502">
        <w:trPr>
          <w:trHeight w:val="2249"/>
        </w:trPr>
        <w:tc>
          <w:tcPr>
            <w:tcW w:w="704" w:type="dxa"/>
            <w:shd w:val="clear" w:color="auto" w:fill="auto"/>
            <w:noWrap/>
          </w:tcPr>
          <w:p w14:paraId="4DD900C8"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18FFEA40"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Поселение "Замковое-2", II тыс. до н.э.</w:t>
            </w:r>
          </w:p>
        </w:tc>
        <w:tc>
          <w:tcPr>
            <w:tcW w:w="3402" w:type="dxa"/>
            <w:shd w:val="clear" w:color="000000" w:fill="auto"/>
            <w:hideMark/>
          </w:tcPr>
          <w:p w14:paraId="2CCA5AD0"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6A0AB4ED"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37CBE05C"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Северный и северо-западный склоны скалы "Замок"</w:t>
            </w:r>
          </w:p>
        </w:tc>
        <w:tc>
          <w:tcPr>
            <w:tcW w:w="1734" w:type="dxa"/>
            <w:shd w:val="clear" w:color="000000" w:fill="auto"/>
            <w:hideMark/>
          </w:tcPr>
          <w:p w14:paraId="236AF15B"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c>
          <w:tcPr>
            <w:tcW w:w="2915" w:type="dxa"/>
            <w:shd w:val="clear" w:color="000000" w:fill="auto"/>
            <w:hideMark/>
          </w:tcPr>
          <w:p w14:paraId="58B9F1EB"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2E8CE201" w14:textId="77777777" w:rsidTr="00397502">
        <w:trPr>
          <w:trHeight w:val="1682"/>
        </w:trPr>
        <w:tc>
          <w:tcPr>
            <w:tcW w:w="704" w:type="dxa"/>
            <w:shd w:val="clear" w:color="auto" w:fill="auto"/>
            <w:noWrap/>
          </w:tcPr>
          <w:p w14:paraId="61CAC372"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3AB8DC48"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Поселение "Замковое-3", кон. IV -нач. III тыс. до н.э.</w:t>
            </w:r>
          </w:p>
        </w:tc>
        <w:tc>
          <w:tcPr>
            <w:tcW w:w="3402" w:type="dxa"/>
            <w:shd w:val="clear" w:color="000000" w:fill="auto"/>
            <w:hideMark/>
          </w:tcPr>
          <w:p w14:paraId="60E79743"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 xml:space="preserve">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w:t>
            </w:r>
            <w:r w:rsidRPr="00731FE2">
              <w:rPr>
                <w:rFonts w:ascii="Times New Roman" w:eastAsia="Times New Roman" w:hAnsi="Times New Roman" w:cs="Times New Roman"/>
                <w:sz w:val="20"/>
                <w:szCs w:val="20"/>
                <w:lang w:eastAsia="ru-RU"/>
              </w:rPr>
              <w:lastRenderedPageBreak/>
              <w:t>республиканского значения, утвержденного</w:t>
            </w:r>
          </w:p>
        </w:tc>
        <w:tc>
          <w:tcPr>
            <w:tcW w:w="1417" w:type="dxa"/>
            <w:shd w:val="clear" w:color="000000" w:fill="auto"/>
            <w:hideMark/>
          </w:tcPr>
          <w:p w14:paraId="2FA2CEC4"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lastRenderedPageBreak/>
              <w:t>федерального значения</w:t>
            </w:r>
          </w:p>
        </w:tc>
        <w:tc>
          <w:tcPr>
            <w:tcW w:w="1872" w:type="dxa"/>
            <w:shd w:val="clear" w:color="000000" w:fill="auto"/>
            <w:hideMark/>
          </w:tcPr>
          <w:p w14:paraId="13E2FE7C"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Восточный и северный склоны скалы "Замок"</w:t>
            </w:r>
          </w:p>
        </w:tc>
        <w:tc>
          <w:tcPr>
            <w:tcW w:w="1734" w:type="dxa"/>
            <w:shd w:val="clear" w:color="000000" w:fill="auto"/>
            <w:hideMark/>
          </w:tcPr>
          <w:p w14:paraId="0649A741"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c>
          <w:tcPr>
            <w:tcW w:w="2915" w:type="dxa"/>
            <w:shd w:val="clear" w:color="000000" w:fill="auto"/>
            <w:hideMark/>
          </w:tcPr>
          <w:p w14:paraId="52A211AC"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7D44B078" w14:textId="77777777" w:rsidTr="00397502">
        <w:trPr>
          <w:trHeight w:val="1516"/>
        </w:trPr>
        <w:tc>
          <w:tcPr>
            <w:tcW w:w="704" w:type="dxa"/>
            <w:shd w:val="clear" w:color="auto" w:fill="auto"/>
            <w:noWrap/>
          </w:tcPr>
          <w:p w14:paraId="6DC71721"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09CF33DE"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Поселение "Замковое-4", I тыс. н.э.</w:t>
            </w:r>
          </w:p>
        </w:tc>
        <w:tc>
          <w:tcPr>
            <w:tcW w:w="3402" w:type="dxa"/>
            <w:shd w:val="clear" w:color="000000" w:fill="auto"/>
            <w:hideMark/>
          </w:tcPr>
          <w:p w14:paraId="6D058E42"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092F662D"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7A6F8AE9"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Склон правого берега р. Аликоновки, у "Замка коварства и любви"</w:t>
            </w:r>
          </w:p>
        </w:tc>
        <w:tc>
          <w:tcPr>
            <w:tcW w:w="1734" w:type="dxa"/>
            <w:shd w:val="clear" w:color="000000" w:fill="auto"/>
            <w:hideMark/>
          </w:tcPr>
          <w:p w14:paraId="24310030"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c>
          <w:tcPr>
            <w:tcW w:w="2915" w:type="dxa"/>
            <w:shd w:val="clear" w:color="000000" w:fill="auto"/>
            <w:hideMark/>
          </w:tcPr>
          <w:p w14:paraId="06E0E883"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68FE721C" w14:textId="77777777" w:rsidTr="00397502">
        <w:trPr>
          <w:trHeight w:val="1824"/>
        </w:trPr>
        <w:tc>
          <w:tcPr>
            <w:tcW w:w="704" w:type="dxa"/>
            <w:shd w:val="clear" w:color="auto" w:fill="auto"/>
            <w:noWrap/>
          </w:tcPr>
          <w:p w14:paraId="4F32E55A"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6E958DFA"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Курган "Горизонтальный", III - II тыс. до н.э.</w:t>
            </w:r>
          </w:p>
        </w:tc>
        <w:tc>
          <w:tcPr>
            <w:tcW w:w="3402" w:type="dxa"/>
            <w:shd w:val="clear" w:color="000000" w:fill="auto"/>
            <w:hideMark/>
          </w:tcPr>
          <w:p w14:paraId="7A749951"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662AAF09"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0E89DACB"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Юго-западная окраина города, перекресток улиц Кутузова и Зеленогорской</w:t>
            </w:r>
          </w:p>
        </w:tc>
        <w:tc>
          <w:tcPr>
            <w:tcW w:w="1734" w:type="dxa"/>
            <w:shd w:val="clear" w:color="000000" w:fill="auto"/>
            <w:hideMark/>
          </w:tcPr>
          <w:p w14:paraId="599B4E26"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c>
          <w:tcPr>
            <w:tcW w:w="2915" w:type="dxa"/>
            <w:shd w:val="clear" w:color="000000" w:fill="auto"/>
            <w:hideMark/>
          </w:tcPr>
          <w:p w14:paraId="3611EEAF"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3D0F74F7" w14:textId="77777777" w:rsidTr="00397502">
        <w:trPr>
          <w:trHeight w:val="1682"/>
        </w:trPr>
        <w:tc>
          <w:tcPr>
            <w:tcW w:w="704" w:type="dxa"/>
            <w:shd w:val="clear" w:color="auto" w:fill="auto"/>
            <w:noWrap/>
          </w:tcPr>
          <w:p w14:paraId="046C8167"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51AD0F1A"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Курганная группа "Сувенирная фабрика", III - II тыс. до н.э.</w:t>
            </w:r>
          </w:p>
        </w:tc>
        <w:tc>
          <w:tcPr>
            <w:tcW w:w="3402" w:type="dxa"/>
            <w:shd w:val="clear" w:color="000000" w:fill="auto"/>
            <w:hideMark/>
          </w:tcPr>
          <w:p w14:paraId="77294B9B"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0646807C"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59BBBC3C"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Район фирмы "Феникс", между улицами Станичная, Бургустанская, Черняховского</w:t>
            </w:r>
          </w:p>
        </w:tc>
        <w:tc>
          <w:tcPr>
            <w:tcW w:w="1734" w:type="dxa"/>
            <w:shd w:val="clear" w:color="000000" w:fill="auto"/>
            <w:hideMark/>
          </w:tcPr>
          <w:p w14:paraId="12312390"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c>
          <w:tcPr>
            <w:tcW w:w="2915" w:type="dxa"/>
            <w:shd w:val="clear" w:color="000000" w:fill="auto"/>
            <w:hideMark/>
          </w:tcPr>
          <w:p w14:paraId="022E1605"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1815B81B" w14:textId="77777777" w:rsidTr="00397502">
        <w:trPr>
          <w:trHeight w:val="2108"/>
        </w:trPr>
        <w:tc>
          <w:tcPr>
            <w:tcW w:w="704" w:type="dxa"/>
            <w:shd w:val="clear" w:color="auto" w:fill="auto"/>
            <w:noWrap/>
          </w:tcPr>
          <w:p w14:paraId="1506F596"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47083B68"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Скальный грот (пещера) "Попова Доля", I тыс. до н.э. II тыс. н.э.</w:t>
            </w:r>
          </w:p>
        </w:tc>
        <w:tc>
          <w:tcPr>
            <w:tcW w:w="3402" w:type="dxa"/>
            <w:shd w:val="clear" w:color="000000" w:fill="auto"/>
            <w:hideMark/>
          </w:tcPr>
          <w:p w14:paraId="21DBDC4D"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0A9F2F72"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17EBE81B"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Скальный выступ над ул. Станичной</w:t>
            </w:r>
          </w:p>
        </w:tc>
        <w:tc>
          <w:tcPr>
            <w:tcW w:w="1734" w:type="dxa"/>
            <w:shd w:val="clear" w:color="000000" w:fill="auto"/>
            <w:hideMark/>
          </w:tcPr>
          <w:p w14:paraId="5034166B"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c>
          <w:tcPr>
            <w:tcW w:w="2915" w:type="dxa"/>
            <w:shd w:val="clear" w:color="000000" w:fill="auto"/>
            <w:hideMark/>
          </w:tcPr>
          <w:p w14:paraId="794CF310"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60D07AF1" w14:textId="77777777" w:rsidTr="00397502">
        <w:trPr>
          <w:trHeight w:val="1799"/>
        </w:trPr>
        <w:tc>
          <w:tcPr>
            <w:tcW w:w="704" w:type="dxa"/>
            <w:shd w:val="clear" w:color="auto" w:fill="auto"/>
            <w:noWrap/>
          </w:tcPr>
          <w:p w14:paraId="1444B110"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2A4970B4"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Могильник "Попова Доля", Сер. и кон. I тыс. до н.э.</w:t>
            </w:r>
          </w:p>
        </w:tc>
        <w:tc>
          <w:tcPr>
            <w:tcW w:w="3402" w:type="dxa"/>
            <w:shd w:val="clear" w:color="000000" w:fill="auto"/>
            <w:hideMark/>
          </w:tcPr>
          <w:p w14:paraId="5E758494"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5D6BFDC7"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12F3973C"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Склон скальной террасы "Попова Доля", средняя часть ул. Станичной</w:t>
            </w:r>
          </w:p>
        </w:tc>
        <w:tc>
          <w:tcPr>
            <w:tcW w:w="1734" w:type="dxa"/>
            <w:shd w:val="clear" w:color="000000" w:fill="auto"/>
            <w:hideMark/>
          </w:tcPr>
          <w:p w14:paraId="25FD8767"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c>
          <w:tcPr>
            <w:tcW w:w="2915" w:type="dxa"/>
            <w:shd w:val="clear" w:color="000000" w:fill="auto"/>
            <w:hideMark/>
          </w:tcPr>
          <w:p w14:paraId="0A405383"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7D4EB9C8" w14:textId="77777777" w:rsidTr="00397502">
        <w:trPr>
          <w:trHeight w:val="1257"/>
        </w:trPr>
        <w:tc>
          <w:tcPr>
            <w:tcW w:w="704" w:type="dxa"/>
            <w:shd w:val="clear" w:color="auto" w:fill="auto"/>
            <w:noWrap/>
          </w:tcPr>
          <w:p w14:paraId="39094BCA"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34AD4EDD"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Поселение "Попова Доля", I - III вв. н.э.</w:t>
            </w:r>
          </w:p>
        </w:tc>
        <w:tc>
          <w:tcPr>
            <w:tcW w:w="3402" w:type="dxa"/>
            <w:shd w:val="clear" w:color="000000" w:fill="auto"/>
            <w:hideMark/>
          </w:tcPr>
          <w:p w14:paraId="77B73CE3"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4BA7D10B"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000B6127"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Склон северо-восточного окончания возвышенности "Попова Доля", левый берег р. Березовки</w:t>
            </w:r>
          </w:p>
        </w:tc>
        <w:tc>
          <w:tcPr>
            <w:tcW w:w="1734" w:type="dxa"/>
            <w:shd w:val="clear" w:color="000000" w:fill="auto"/>
            <w:hideMark/>
          </w:tcPr>
          <w:p w14:paraId="4F9AB397"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c>
          <w:tcPr>
            <w:tcW w:w="2915" w:type="dxa"/>
            <w:shd w:val="clear" w:color="000000" w:fill="auto"/>
            <w:hideMark/>
          </w:tcPr>
          <w:p w14:paraId="7CE877F4"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6296872F" w14:textId="77777777" w:rsidTr="00397502">
        <w:trPr>
          <w:trHeight w:val="1824"/>
        </w:trPr>
        <w:tc>
          <w:tcPr>
            <w:tcW w:w="704" w:type="dxa"/>
            <w:shd w:val="clear" w:color="auto" w:fill="auto"/>
            <w:noWrap/>
          </w:tcPr>
          <w:p w14:paraId="503A2E75"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631521A2"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Курганная группа "ГПТУ-2 9" ("Три камня"), III тыс. до н.э. - ХVII в. н.э.</w:t>
            </w:r>
          </w:p>
        </w:tc>
        <w:tc>
          <w:tcPr>
            <w:tcW w:w="3402" w:type="dxa"/>
            <w:shd w:val="clear" w:color="000000" w:fill="auto"/>
            <w:hideMark/>
          </w:tcPr>
          <w:p w14:paraId="3CB8299B"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 xml:space="preserve">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w:t>
            </w:r>
            <w:r w:rsidRPr="00731FE2">
              <w:rPr>
                <w:rFonts w:ascii="Times New Roman" w:eastAsia="Times New Roman" w:hAnsi="Times New Roman" w:cs="Times New Roman"/>
                <w:sz w:val="20"/>
                <w:szCs w:val="20"/>
                <w:lang w:eastAsia="ru-RU"/>
              </w:rPr>
              <w:lastRenderedPageBreak/>
              <w:t>республиканского значения, утвержденного</w:t>
            </w:r>
          </w:p>
        </w:tc>
        <w:tc>
          <w:tcPr>
            <w:tcW w:w="1417" w:type="dxa"/>
            <w:shd w:val="clear" w:color="000000" w:fill="auto"/>
            <w:hideMark/>
          </w:tcPr>
          <w:p w14:paraId="0020EC6A"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lastRenderedPageBreak/>
              <w:t>федерального значения</w:t>
            </w:r>
          </w:p>
        </w:tc>
        <w:tc>
          <w:tcPr>
            <w:tcW w:w="1872" w:type="dxa"/>
            <w:shd w:val="clear" w:color="000000" w:fill="auto"/>
            <w:hideMark/>
          </w:tcPr>
          <w:p w14:paraId="0A1A4E77"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Северное окончание возвышенности "Попова Доля", территория ГПТУ-29</w:t>
            </w:r>
          </w:p>
        </w:tc>
        <w:tc>
          <w:tcPr>
            <w:tcW w:w="1734" w:type="dxa"/>
            <w:shd w:val="clear" w:color="000000" w:fill="auto"/>
            <w:hideMark/>
          </w:tcPr>
          <w:p w14:paraId="2E40E84D"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c>
          <w:tcPr>
            <w:tcW w:w="2915" w:type="dxa"/>
            <w:shd w:val="clear" w:color="000000" w:fill="auto"/>
            <w:hideMark/>
          </w:tcPr>
          <w:p w14:paraId="0B1C9541"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71BCD174" w14:textId="77777777" w:rsidTr="00397502">
        <w:trPr>
          <w:trHeight w:val="1824"/>
        </w:trPr>
        <w:tc>
          <w:tcPr>
            <w:tcW w:w="704" w:type="dxa"/>
            <w:shd w:val="clear" w:color="auto" w:fill="auto"/>
            <w:noWrap/>
          </w:tcPr>
          <w:p w14:paraId="43CD10D8"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2D0C0CE1"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Могильник "Белореченский-3", I тыс. н.э.</w:t>
            </w:r>
          </w:p>
        </w:tc>
        <w:tc>
          <w:tcPr>
            <w:tcW w:w="3402" w:type="dxa"/>
            <w:shd w:val="clear" w:color="000000" w:fill="auto"/>
            <w:hideMark/>
          </w:tcPr>
          <w:p w14:paraId="4256E87B"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1B21A13C"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74333982"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Левый берег р. Белой, район хлебозавода</w:t>
            </w:r>
          </w:p>
        </w:tc>
        <w:tc>
          <w:tcPr>
            <w:tcW w:w="1734" w:type="dxa"/>
            <w:shd w:val="clear" w:color="000000" w:fill="auto"/>
            <w:hideMark/>
          </w:tcPr>
          <w:p w14:paraId="6C3231B3"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c>
          <w:tcPr>
            <w:tcW w:w="2915" w:type="dxa"/>
            <w:shd w:val="clear" w:color="000000" w:fill="auto"/>
            <w:hideMark/>
          </w:tcPr>
          <w:p w14:paraId="5CA99B6F"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35D72413" w14:textId="77777777" w:rsidTr="00397502">
        <w:trPr>
          <w:trHeight w:val="2366"/>
        </w:trPr>
        <w:tc>
          <w:tcPr>
            <w:tcW w:w="704" w:type="dxa"/>
            <w:shd w:val="clear" w:color="auto" w:fill="auto"/>
            <w:noWrap/>
          </w:tcPr>
          <w:p w14:paraId="73BC5110"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1A7ED1D2"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Могильник "Набережный", VI - VIII вв. н.э.</w:t>
            </w:r>
          </w:p>
        </w:tc>
        <w:tc>
          <w:tcPr>
            <w:tcW w:w="3402" w:type="dxa"/>
            <w:shd w:val="clear" w:color="000000" w:fill="auto"/>
            <w:hideMark/>
          </w:tcPr>
          <w:p w14:paraId="0E441446"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64CA70A2"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454FE153"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Склон правобережной террасы р. Березовки, центральная часть ул. Набережной</w:t>
            </w:r>
          </w:p>
        </w:tc>
        <w:tc>
          <w:tcPr>
            <w:tcW w:w="1734" w:type="dxa"/>
            <w:shd w:val="clear" w:color="000000" w:fill="auto"/>
            <w:hideMark/>
          </w:tcPr>
          <w:p w14:paraId="24840B44"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c>
          <w:tcPr>
            <w:tcW w:w="2915" w:type="dxa"/>
            <w:shd w:val="clear" w:color="000000" w:fill="auto"/>
            <w:hideMark/>
          </w:tcPr>
          <w:p w14:paraId="78B0E892"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2111D841" w14:textId="77777777" w:rsidTr="00397502">
        <w:trPr>
          <w:trHeight w:val="1824"/>
        </w:trPr>
        <w:tc>
          <w:tcPr>
            <w:tcW w:w="704" w:type="dxa"/>
            <w:shd w:val="clear" w:color="auto" w:fill="auto"/>
            <w:noWrap/>
          </w:tcPr>
          <w:p w14:paraId="198FAA45"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3783E9D7"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Могильник "Сафоновский Родник", VIII - VII вв. до н.э.</w:t>
            </w:r>
          </w:p>
        </w:tc>
        <w:tc>
          <w:tcPr>
            <w:tcW w:w="3402" w:type="dxa"/>
            <w:shd w:val="clear" w:color="000000" w:fill="auto"/>
            <w:hideMark/>
          </w:tcPr>
          <w:p w14:paraId="5AAEAF9A"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7A938042"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07AC519A"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Северо-восточная окраина города, территория ДРСУ "Кисловодскгражданстрой"</w:t>
            </w:r>
          </w:p>
        </w:tc>
        <w:tc>
          <w:tcPr>
            <w:tcW w:w="1734" w:type="dxa"/>
            <w:shd w:val="clear" w:color="000000" w:fill="auto"/>
            <w:hideMark/>
          </w:tcPr>
          <w:p w14:paraId="78C32A87"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приказ управления от 27.10.2022 г. № 1322</w:t>
            </w:r>
          </w:p>
        </w:tc>
        <w:tc>
          <w:tcPr>
            <w:tcW w:w="2915" w:type="dxa"/>
            <w:shd w:val="clear" w:color="000000" w:fill="auto"/>
            <w:hideMark/>
          </w:tcPr>
          <w:p w14:paraId="724375F9"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372C4CBC" w14:textId="77777777" w:rsidTr="00397502">
        <w:trPr>
          <w:trHeight w:val="1824"/>
        </w:trPr>
        <w:tc>
          <w:tcPr>
            <w:tcW w:w="704" w:type="dxa"/>
            <w:shd w:val="clear" w:color="auto" w:fill="auto"/>
            <w:noWrap/>
          </w:tcPr>
          <w:p w14:paraId="44A206C3"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16EA35D1"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Могильник "Ясли", VI – VIII вв.</w:t>
            </w:r>
          </w:p>
        </w:tc>
        <w:tc>
          <w:tcPr>
            <w:tcW w:w="3402" w:type="dxa"/>
            <w:shd w:val="clear" w:color="000000" w:fill="auto"/>
            <w:hideMark/>
          </w:tcPr>
          <w:p w14:paraId="321F57A3"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7771D158"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64790198"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Северо-восточная окраина города, западный склон возвышенности "Маркин Кош", 500 - 600 м восточнее плодоовощной базы</w:t>
            </w:r>
          </w:p>
        </w:tc>
        <w:tc>
          <w:tcPr>
            <w:tcW w:w="1734" w:type="dxa"/>
            <w:shd w:val="clear" w:color="000000" w:fill="auto"/>
            <w:hideMark/>
          </w:tcPr>
          <w:p w14:paraId="113F2254"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c>
          <w:tcPr>
            <w:tcW w:w="2915" w:type="dxa"/>
            <w:shd w:val="clear" w:color="000000" w:fill="auto"/>
            <w:hideMark/>
          </w:tcPr>
          <w:p w14:paraId="3E149887"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6CEA5329" w14:textId="77777777" w:rsidTr="00397502">
        <w:trPr>
          <w:trHeight w:val="1682"/>
        </w:trPr>
        <w:tc>
          <w:tcPr>
            <w:tcW w:w="704" w:type="dxa"/>
            <w:shd w:val="clear" w:color="auto" w:fill="auto"/>
            <w:noWrap/>
          </w:tcPr>
          <w:p w14:paraId="39888C08"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4670F08A"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Укрепление "Ясли", I тыс. н.э.</w:t>
            </w:r>
          </w:p>
        </w:tc>
        <w:tc>
          <w:tcPr>
            <w:tcW w:w="3402" w:type="dxa"/>
            <w:shd w:val="clear" w:color="000000" w:fill="auto"/>
            <w:hideMark/>
          </w:tcPr>
          <w:p w14:paraId="75C8AB9B"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2E6C5278"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0CA4947F"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100 - 120 м северо-восточнее могильника "Ясли", скальный выступ возвышенности "Маркин Кош"</w:t>
            </w:r>
          </w:p>
        </w:tc>
        <w:tc>
          <w:tcPr>
            <w:tcW w:w="1734" w:type="dxa"/>
            <w:shd w:val="clear" w:color="000000" w:fill="auto"/>
            <w:hideMark/>
          </w:tcPr>
          <w:p w14:paraId="20E189E1"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c>
          <w:tcPr>
            <w:tcW w:w="2915" w:type="dxa"/>
            <w:shd w:val="clear" w:color="000000" w:fill="auto"/>
            <w:hideMark/>
          </w:tcPr>
          <w:p w14:paraId="077349FE"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23704E23" w14:textId="77777777" w:rsidTr="00397502">
        <w:trPr>
          <w:trHeight w:val="1941"/>
        </w:trPr>
        <w:tc>
          <w:tcPr>
            <w:tcW w:w="704" w:type="dxa"/>
            <w:shd w:val="clear" w:color="auto" w:fill="auto"/>
            <w:noWrap/>
          </w:tcPr>
          <w:p w14:paraId="74854D71"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38F8EA80"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Поселение "Ясли - 1", VI – VIII вв. н.э.</w:t>
            </w:r>
          </w:p>
        </w:tc>
        <w:tc>
          <w:tcPr>
            <w:tcW w:w="3402" w:type="dxa"/>
            <w:shd w:val="clear" w:color="000000" w:fill="auto"/>
            <w:hideMark/>
          </w:tcPr>
          <w:p w14:paraId="4049137B"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4E7D2D80"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33475CD8"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Западный, северо-западный и северный склоны скального выступа "Ясли"</w:t>
            </w:r>
          </w:p>
        </w:tc>
        <w:tc>
          <w:tcPr>
            <w:tcW w:w="1734" w:type="dxa"/>
            <w:shd w:val="clear" w:color="000000" w:fill="auto"/>
            <w:hideMark/>
          </w:tcPr>
          <w:p w14:paraId="53C1A009"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c>
          <w:tcPr>
            <w:tcW w:w="2915" w:type="dxa"/>
            <w:shd w:val="clear" w:color="000000" w:fill="auto"/>
            <w:hideMark/>
          </w:tcPr>
          <w:p w14:paraId="462563BE"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537FDAE3" w14:textId="77777777" w:rsidTr="00397502">
        <w:trPr>
          <w:trHeight w:val="1824"/>
        </w:trPr>
        <w:tc>
          <w:tcPr>
            <w:tcW w:w="704" w:type="dxa"/>
            <w:shd w:val="clear" w:color="auto" w:fill="auto"/>
            <w:noWrap/>
          </w:tcPr>
          <w:p w14:paraId="26724D96"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0A17482A"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Поселение "Ясли - 2", VIII – VI вв. до н.э.</w:t>
            </w:r>
          </w:p>
        </w:tc>
        <w:tc>
          <w:tcPr>
            <w:tcW w:w="3402" w:type="dxa"/>
            <w:shd w:val="clear" w:color="000000" w:fill="auto"/>
            <w:hideMark/>
          </w:tcPr>
          <w:p w14:paraId="3A38307A"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 xml:space="preserve">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w:t>
            </w:r>
            <w:r w:rsidRPr="00731FE2">
              <w:rPr>
                <w:rFonts w:ascii="Times New Roman" w:eastAsia="Times New Roman" w:hAnsi="Times New Roman" w:cs="Times New Roman"/>
                <w:sz w:val="20"/>
                <w:szCs w:val="20"/>
                <w:lang w:eastAsia="ru-RU"/>
              </w:rPr>
              <w:lastRenderedPageBreak/>
              <w:t>республиканского значения, утвержденного</w:t>
            </w:r>
          </w:p>
        </w:tc>
        <w:tc>
          <w:tcPr>
            <w:tcW w:w="1417" w:type="dxa"/>
            <w:shd w:val="clear" w:color="000000" w:fill="auto"/>
            <w:hideMark/>
          </w:tcPr>
          <w:p w14:paraId="18A87B29"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lastRenderedPageBreak/>
              <w:t>федерального значения</w:t>
            </w:r>
          </w:p>
        </w:tc>
        <w:tc>
          <w:tcPr>
            <w:tcW w:w="1872" w:type="dxa"/>
            <w:shd w:val="clear" w:color="000000" w:fill="auto"/>
            <w:hideMark/>
          </w:tcPr>
          <w:p w14:paraId="12898846"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Примыкает к поселению "Ясли - 1"</w:t>
            </w:r>
          </w:p>
        </w:tc>
        <w:tc>
          <w:tcPr>
            <w:tcW w:w="1734" w:type="dxa"/>
            <w:shd w:val="clear" w:color="000000" w:fill="auto"/>
            <w:hideMark/>
          </w:tcPr>
          <w:p w14:paraId="413D97A2"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c>
          <w:tcPr>
            <w:tcW w:w="2915" w:type="dxa"/>
            <w:shd w:val="clear" w:color="000000" w:fill="auto"/>
            <w:hideMark/>
          </w:tcPr>
          <w:p w14:paraId="72EEF026"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2F2ED6B4" w14:textId="77777777" w:rsidTr="00397502">
        <w:trPr>
          <w:trHeight w:val="2108"/>
        </w:trPr>
        <w:tc>
          <w:tcPr>
            <w:tcW w:w="704" w:type="dxa"/>
            <w:shd w:val="clear" w:color="auto" w:fill="auto"/>
            <w:noWrap/>
          </w:tcPr>
          <w:p w14:paraId="6AFD24AF"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0C752ED6"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Поселение "Подкумские Дачи", XV - ХVII вв. н.э.</w:t>
            </w:r>
          </w:p>
        </w:tc>
        <w:tc>
          <w:tcPr>
            <w:tcW w:w="3402" w:type="dxa"/>
            <w:shd w:val="clear" w:color="000000" w:fill="auto"/>
            <w:hideMark/>
          </w:tcPr>
          <w:p w14:paraId="06927288"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3B407405"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32AFA887"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Северо-восточная окраина города, правобережная терраса р. Подкумок</w:t>
            </w:r>
          </w:p>
        </w:tc>
        <w:tc>
          <w:tcPr>
            <w:tcW w:w="1734" w:type="dxa"/>
            <w:shd w:val="clear" w:color="000000" w:fill="auto"/>
            <w:hideMark/>
          </w:tcPr>
          <w:p w14:paraId="17E10C2D"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c>
          <w:tcPr>
            <w:tcW w:w="2915" w:type="dxa"/>
            <w:shd w:val="clear" w:color="000000" w:fill="auto"/>
            <w:hideMark/>
          </w:tcPr>
          <w:p w14:paraId="2F9CD89D"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64D82129" w14:textId="77777777" w:rsidTr="00397502">
        <w:trPr>
          <w:trHeight w:val="1966"/>
        </w:trPr>
        <w:tc>
          <w:tcPr>
            <w:tcW w:w="704" w:type="dxa"/>
            <w:shd w:val="clear" w:color="auto" w:fill="auto"/>
            <w:noWrap/>
          </w:tcPr>
          <w:p w14:paraId="32EF7ECC"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28E035EC"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Курганная группа и могильник "Подкумские Дачи", XV - ХVII вв. н.э.</w:t>
            </w:r>
          </w:p>
        </w:tc>
        <w:tc>
          <w:tcPr>
            <w:tcW w:w="3402" w:type="dxa"/>
            <w:shd w:val="clear" w:color="000000" w:fill="auto"/>
            <w:hideMark/>
          </w:tcPr>
          <w:p w14:paraId="3C816218"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4A9D17DF"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07A9A819"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Восточная окраина пос. "Подкумские Дачи"</w:t>
            </w:r>
          </w:p>
        </w:tc>
        <w:tc>
          <w:tcPr>
            <w:tcW w:w="1734" w:type="dxa"/>
            <w:shd w:val="clear" w:color="000000" w:fill="auto"/>
            <w:hideMark/>
          </w:tcPr>
          <w:p w14:paraId="12A271A5"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c>
          <w:tcPr>
            <w:tcW w:w="2915" w:type="dxa"/>
            <w:shd w:val="clear" w:color="000000" w:fill="auto"/>
            <w:hideMark/>
          </w:tcPr>
          <w:p w14:paraId="7CEE8102"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050CB080" w14:textId="77777777" w:rsidTr="00397502">
        <w:trPr>
          <w:trHeight w:val="2225"/>
        </w:trPr>
        <w:tc>
          <w:tcPr>
            <w:tcW w:w="704" w:type="dxa"/>
            <w:shd w:val="clear" w:color="auto" w:fill="auto"/>
            <w:noWrap/>
          </w:tcPr>
          <w:p w14:paraId="527D106A"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22EB8947"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Поселение "Очистное", I тыс. -сер. II тыс. н.э.</w:t>
            </w:r>
          </w:p>
        </w:tc>
        <w:tc>
          <w:tcPr>
            <w:tcW w:w="3402" w:type="dxa"/>
            <w:shd w:val="clear" w:color="000000" w:fill="auto"/>
            <w:hideMark/>
          </w:tcPr>
          <w:p w14:paraId="40FE294E"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71837E3C"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5C8EA906"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Северо-восточная окраина города, возвышенность у очистных сооружений, конец ул. Чехова</w:t>
            </w:r>
          </w:p>
        </w:tc>
        <w:tc>
          <w:tcPr>
            <w:tcW w:w="1734" w:type="dxa"/>
            <w:shd w:val="clear" w:color="000000" w:fill="auto"/>
            <w:hideMark/>
          </w:tcPr>
          <w:p w14:paraId="67F7344D"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c>
          <w:tcPr>
            <w:tcW w:w="2915" w:type="dxa"/>
            <w:shd w:val="clear" w:color="000000" w:fill="auto"/>
            <w:hideMark/>
          </w:tcPr>
          <w:p w14:paraId="119E681C"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64082623" w14:textId="77777777" w:rsidTr="00397502">
        <w:trPr>
          <w:trHeight w:val="1683"/>
        </w:trPr>
        <w:tc>
          <w:tcPr>
            <w:tcW w:w="704" w:type="dxa"/>
            <w:shd w:val="clear" w:color="auto" w:fill="auto"/>
            <w:noWrap/>
          </w:tcPr>
          <w:p w14:paraId="52DBC610"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544A2A0E"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Могильник "Очистной", I - III вв. н.э.</w:t>
            </w:r>
          </w:p>
        </w:tc>
        <w:tc>
          <w:tcPr>
            <w:tcW w:w="3402" w:type="dxa"/>
            <w:shd w:val="clear" w:color="000000" w:fill="auto"/>
            <w:hideMark/>
          </w:tcPr>
          <w:p w14:paraId="3C3C378C"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6D2BD53E"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45A08E21"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Восточный склон возвышенности с поселением "Очистное"</w:t>
            </w:r>
          </w:p>
        </w:tc>
        <w:tc>
          <w:tcPr>
            <w:tcW w:w="1734" w:type="dxa"/>
            <w:shd w:val="clear" w:color="000000" w:fill="auto"/>
            <w:hideMark/>
          </w:tcPr>
          <w:p w14:paraId="3B796354"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c>
          <w:tcPr>
            <w:tcW w:w="2915" w:type="dxa"/>
            <w:shd w:val="clear" w:color="000000" w:fill="auto"/>
            <w:hideMark/>
          </w:tcPr>
          <w:p w14:paraId="3AE4511A"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2B2E7AC9" w14:textId="77777777" w:rsidTr="00397502">
        <w:trPr>
          <w:trHeight w:val="1966"/>
        </w:trPr>
        <w:tc>
          <w:tcPr>
            <w:tcW w:w="704" w:type="dxa"/>
            <w:shd w:val="clear" w:color="auto" w:fill="auto"/>
            <w:noWrap/>
          </w:tcPr>
          <w:p w14:paraId="27AC08CC"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0DDA4C29"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Поселение "Железнодорожное", I - III вв. н.э.</w:t>
            </w:r>
          </w:p>
        </w:tc>
        <w:tc>
          <w:tcPr>
            <w:tcW w:w="3402" w:type="dxa"/>
            <w:shd w:val="clear" w:color="000000" w:fill="auto"/>
            <w:hideMark/>
          </w:tcPr>
          <w:p w14:paraId="0AA87067"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7AECD909"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6B4F2242"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Окраина города, окончание ул. Железнодорожной</w:t>
            </w:r>
          </w:p>
        </w:tc>
        <w:tc>
          <w:tcPr>
            <w:tcW w:w="1734" w:type="dxa"/>
            <w:shd w:val="clear" w:color="000000" w:fill="auto"/>
            <w:hideMark/>
          </w:tcPr>
          <w:p w14:paraId="55E21EB5"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c>
          <w:tcPr>
            <w:tcW w:w="2915" w:type="dxa"/>
            <w:shd w:val="clear" w:color="000000" w:fill="auto"/>
            <w:hideMark/>
          </w:tcPr>
          <w:p w14:paraId="5EC0F2C6"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7862470F" w14:textId="77777777" w:rsidTr="00397502">
        <w:trPr>
          <w:trHeight w:val="2108"/>
        </w:trPr>
        <w:tc>
          <w:tcPr>
            <w:tcW w:w="704" w:type="dxa"/>
            <w:shd w:val="clear" w:color="auto" w:fill="auto"/>
            <w:noWrap/>
          </w:tcPr>
          <w:p w14:paraId="3129373B"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15388D7B"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Поселение "Железнодорожный Мост", I - III вв. н.э.</w:t>
            </w:r>
          </w:p>
        </w:tc>
        <w:tc>
          <w:tcPr>
            <w:tcW w:w="3402" w:type="dxa"/>
            <w:shd w:val="clear" w:color="000000" w:fill="auto"/>
            <w:hideMark/>
          </w:tcPr>
          <w:p w14:paraId="35986041"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31B17CC6"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010C85A2"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Правобережная высокая терраса р. Подкумок, у въезда в город</w:t>
            </w:r>
          </w:p>
        </w:tc>
        <w:tc>
          <w:tcPr>
            <w:tcW w:w="1734" w:type="dxa"/>
            <w:shd w:val="clear" w:color="000000" w:fill="auto"/>
            <w:hideMark/>
          </w:tcPr>
          <w:p w14:paraId="586F5930"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343 от 09.04.2024</w:t>
            </w:r>
          </w:p>
        </w:tc>
        <w:tc>
          <w:tcPr>
            <w:tcW w:w="2915" w:type="dxa"/>
            <w:shd w:val="clear" w:color="000000" w:fill="auto"/>
            <w:hideMark/>
          </w:tcPr>
          <w:p w14:paraId="42BD6F43"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2EDA58B6" w14:textId="77777777" w:rsidTr="00397502">
        <w:trPr>
          <w:trHeight w:val="2083"/>
        </w:trPr>
        <w:tc>
          <w:tcPr>
            <w:tcW w:w="704" w:type="dxa"/>
            <w:shd w:val="clear" w:color="auto" w:fill="auto"/>
            <w:noWrap/>
          </w:tcPr>
          <w:p w14:paraId="6D4D15F7"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415086F6"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Поселение "Подкумский Мост", VIII - VII вв. до н.э.</w:t>
            </w:r>
          </w:p>
        </w:tc>
        <w:tc>
          <w:tcPr>
            <w:tcW w:w="3402" w:type="dxa"/>
            <w:shd w:val="clear" w:color="000000" w:fill="auto"/>
            <w:hideMark/>
          </w:tcPr>
          <w:p w14:paraId="49566A4D"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1338EB22"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09A1450E"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Район автомобильного моста через р. Подкумок, на въезде в город</w:t>
            </w:r>
          </w:p>
        </w:tc>
        <w:tc>
          <w:tcPr>
            <w:tcW w:w="1734" w:type="dxa"/>
            <w:shd w:val="clear" w:color="000000" w:fill="auto"/>
            <w:hideMark/>
          </w:tcPr>
          <w:p w14:paraId="0AE2EB6D"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345 от 09.04.2024</w:t>
            </w:r>
          </w:p>
        </w:tc>
        <w:tc>
          <w:tcPr>
            <w:tcW w:w="2915" w:type="dxa"/>
            <w:shd w:val="clear" w:color="000000" w:fill="auto"/>
            <w:hideMark/>
          </w:tcPr>
          <w:p w14:paraId="3E6E770F"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7D9B2D08" w14:textId="77777777" w:rsidTr="00397502">
        <w:trPr>
          <w:trHeight w:val="2108"/>
        </w:trPr>
        <w:tc>
          <w:tcPr>
            <w:tcW w:w="704" w:type="dxa"/>
            <w:shd w:val="clear" w:color="auto" w:fill="auto"/>
            <w:noWrap/>
          </w:tcPr>
          <w:p w14:paraId="098A04EE"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0EEBC487"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Могильник "Подкумская Терраса", I - III вв. н.э.</w:t>
            </w:r>
          </w:p>
        </w:tc>
        <w:tc>
          <w:tcPr>
            <w:tcW w:w="3402" w:type="dxa"/>
            <w:shd w:val="clear" w:color="000000" w:fill="auto"/>
            <w:hideMark/>
          </w:tcPr>
          <w:p w14:paraId="05DF2D03"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5DCE87E2"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573FC0FE"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Правобережная терраса р. Подкумок, ул. Окопная, въезд в город</w:t>
            </w:r>
          </w:p>
        </w:tc>
        <w:tc>
          <w:tcPr>
            <w:tcW w:w="1734" w:type="dxa"/>
            <w:shd w:val="clear" w:color="000000" w:fill="auto"/>
            <w:hideMark/>
          </w:tcPr>
          <w:p w14:paraId="43DBAC96"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c>
          <w:tcPr>
            <w:tcW w:w="2915" w:type="dxa"/>
            <w:shd w:val="clear" w:color="000000" w:fill="auto"/>
            <w:hideMark/>
          </w:tcPr>
          <w:p w14:paraId="5D78C7F0"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7920D116" w14:textId="77777777" w:rsidTr="00397502">
        <w:trPr>
          <w:trHeight w:val="2108"/>
        </w:trPr>
        <w:tc>
          <w:tcPr>
            <w:tcW w:w="704" w:type="dxa"/>
            <w:shd w:val="clear" w:color="auto" w:fill="auto"/>
            <w:noWrap/>
          </w:tcPr>
          <w:p w14:paraId="451B8CDC"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4CF79EA0"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Поселение "Подкумская Терраса", XV - XVII вв. н.э.</w:t>
            </w:r>
          </w:p>
        </w:tc>
        <w:tc>
          <w:tcPr>
            <w:tcW w:w="3402" w:type="dxa"/>
            <w:shd w:val="clear" w:color="000000" w:fill="auto"/>
            <w:hideMark/>
          </w:tcPr>
          <w:p w14:paraId="528D3DA2"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0F826412"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1845AF74"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Территория старых районов бывшей ст. Кисловодской, ул. Крымушкинская - Окопная, Подкумская</w:t>
            </w:r>
          </w:p>
        </w:tc>
        <w:tc>
          <w:tcPr>
            <w:tcW w:w="1734" w:type="dxa"/>
            <w:shd w:val="clear" w:color="000000" w:fill="auto"/>
            <w:hideMark/>
          </w:tcPr>
          <w:p w14:paraId="4468AF5C"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1076 от 21.09.2022</w:t>
            </w:r>
          </w:p>
        </w:tc>
        <w:tc>
          <w:tcPr>
            <w:tcW w:w="2915" w:type="dxa"/>
            <w:shd w:val="clear" w:color="000000" w:fill="auto"/>
            <w:hideMark/>
          </w:tcPr>
          <w:p w14:paraId="7F1C3B6D"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2A06682E" w14:textId="77777777" w:rsidTr="00397502">
        <w:trPr>
          <w:trHeight w:val="1966"/>
        </w:trPr>
        <w:tc>
          <w:tcPr>
            <w:tcW w:w="704" w:type="dxa"/>
            <w:shd w:val="clear" w:color="auto" w:fill="auto"/>
            <w:noWrap/>
          </w:tcPr>
          <w:p w14:paraId="7B022902"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1CEC20D9"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Могильник "Долгоруковский", VIII - VI вв. до н.э.</w:t>
            </w:r>
          </w:p>
        </w:tc>
        <w:tc>
          <w:tcPr>
            <w:tcW w:w="3402" w:type="dxa"/>
            <w:shd w:val="clear" w:color="000000" w:fill="auto"/>
            <w:hideMark/>
          </w:tcPr>
          <w:p w14:paraId="29B4E6B2"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 xml:space="preserve">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w:t>
            </w:r>
            <w:r w:rsidRPr="00731FE2">
              <w:rPr>
                <w:rFonts w:ascii="Times New Roman" w:eastAsia="Times New Roman" w:hAnsi="Times New Roman" w:cs="Times New Roman"/>
                <w:sz w:val="20"/>
                <w:szCs w:val="20"/>
                <w:lang w:eastAsia="ru-RU"/>
              </w:rPr>
              <w:lastRenderedPageBreak/>
              <w:t>республиканского значения, утвержденного</w:t>
            </w:r>
          </w:p>
        </w:tc>
        <w:tc>
          <w:tcPr>
            <w:tcW w:w="1417" w:type="dxa"/>
            <w:shd w:val="clear" w:color="000000" w:fill="auto"/>
            <w:hideMark/>
          </w:tcPr>
          <w:p w14:paraId="1C03078B"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lastRenderedPageBreak/>
              <w:t>федерального значения</w:t>
            </w:r>
          </w:p>
        </w:tc>
        <w:tc>
          <w:tcPr>
            <w:tcW w:w="1872" w:type="dxa"/>
            <w:shd w:val="clear" w:color="000000" w:fill="auto"/>
            <w:hideMark/>
          </w:tcPr>
          <w:p w14:paraId="3B4520E9"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Территория старых районов бывшей ст. Кисловодской, начало ул. Долгоруковской</w:t>
            </w:r>
          </w:p>
        </w:tc>
        <w:tc>
          <w:tcPr>
            <w:tcW w:w="1734" w:type="dxa"/>
            <w:shd w:val="clear" w:color="000000" w:fill="auto"/>
            <w:hideMark/>
          </w:tcPr>
          <w:p w14:paraId="660C5412"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c>
          <w:tcPr>
            <w:tcW w:w="2915" w:type="dxa"/>
            <w:shd w:val="clear" w:color="000000" w:fill="auto"/>
            <w:hideMark/>
          </w:tcPr>
          <w:p w14:paraId="0202370C"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59AF80C5" w14:textId="77777777" w:rsidTr="00397502">
        <w:trPr>
          <w:trHeight w:val="1799"/>
        </w:trPr>
        <w:tc>
          <w:tcPr>
            <w:tcW w:w="704" w:type="dxa"/>
            <w:shd w:val="clear" w:color="auto" w:fill="auto"/>
            <w:noWrap/>
          </w:tcPr>
          <w:p w14:paraId="52D7759E"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2EC81520"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Могильник "Западный", VIII - VI вв. до н.э.</w:t>
            </w:r>
          </w:p>
        </w:tc>
        <w:tc>
          <w:tcPr>
            <w:tcW w:w="3402" w:type="dxa"/>
            <w:shd w:val="clear" w:color="000000" w:fill="auto"/>
            <w:hideMark/>
          </w:tcPr>
          <w:p w14:paraId="4CDF4796"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2CCA32F7"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6411EFAA"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Территория бывшей станицы Кисловодской, ул. Западная</w:t>
            </w:r>
          </w:p>
        </w:tc>
        <w:tc>
          <w:tcPr>
            <w:tcW w:w="1734" w:type="dxa"/>
            <w:shd w:val="clear" w:color="000000" w:fill="auto"/>
            <w:hideMark/>
          </w:tcPr>
          <w:p w14:paraId="1F2446F8"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c>
          <w:tcPr>
            <w:tcW w:w="2915" w:type="dxa"/>
            <w:shd w:val="clear" w:color="000000" w:fill="auto"/>
            <w:hideMark/>
          </w:tcPr>
          <w:p w14:paraId="4DC35562"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66E4DD72" w14:textId="77777777" w:rsidTr="00397502">
        <w:trPr>
          <w:trHeight w:val="1683"/>
        </w:trPr>
        <w:tc>
          <w:tcPr>
            <w:tcW w:w="704" w:type="dxa"/>
            <w:shd w:val="clear" w:color="auto" w:fill="auto"/>
            <w:noWrap/>
          </w:tcPr>
          <w:p w14:paraId="3CEBDC2F"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3F6AD004"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Поселение "Решинка-1", IV - III тыс. до н.э.</w:t>
            </w:r>
          </w:p>
        </w:tc>
        <w:tc>
          <w:tcPr>
            <w:tcW w:w="3402" w:type="dxa"/>
            <w:shd w:val="clear" w:color="000000" w:fill="auto"/>
            <w:hideMark/>
          </w:tcPr>
          <w:p w14:paraId="7FBAF43A"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42385FEA"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07C45DD1"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Ул. Западная, возвышенность на правом берегу р. Березовки в районе ее слияния с р. Подкумок</w:t>
            </w:r>
          </w:p>
        </w:tc>
        <w:tc>
          <w:tcPr>
            <w:tcW w:w="1734" w:type="dxa"/>
            <w:shd w:val="clear" w:color="000000" w:fill="auto"/>
            <w:hideMark/>
          </w:tcPr>
          <w:p w14:paraId="134FCB2F"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c>
          <w:tcPr>
            <w:tcW w:w="2915" w:type="dxa"/>
            <w:shd w:val="clear" w:color="000000" w:fill="auto"/>
            <w:hideMark/>
          </w:tcPr>
          <w:p w14:paraId="77327CA6"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4F5744E2" w14:textId="77777777" w:rsidTr="00397502">
        <w:trPr>
          <w:trHeight w:val="2108"/>
        </w:trPr>
        <w:tc>
          <w:tcPr>
            <w:tcW w:w="704" w:type="dxa"/>
            <w:shd w:val="clear" w:color="auto" w:fill="auto"/>
            <w:noWrap/>
          </w:tcPr>
          <w:p w14:paraId="7510430A"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0BE8D4AA"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Поселение "Решинка-2", XV - XVII вв. н.э.</w:t>
            </w:r>
          </w:p>
        </w:tc>
        <w:tc>
          <w:tcPr>
            <w:tcW w:w="3402" w:type="dxa"/>
            <w:shd w:val="clear" w:color="000000" w:fill="auto"/>
            <w:hideMark/>
          </w:tcPr>
          <w:p w14:paraId="7E334550"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0FF6F9D0"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10DA5BD6"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Примыкает к поселению "Решинка-1"</w:t>
            </w:r>
          </w:p>
        </w:tc>
        <w:tc>
          <w:tcPr>
            <w:tcW w:w="1734" w:type="dxa"/>
            <w:shd w:val="clear" w:color="000000" w:fill="auto"/>
            <w:hideMark/>
          </w:tcPr>
          <w:p w14:paraId="2401C7DB"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c>
          <w:tcPr>
            <w:tcW w:w="2915" w:type="dxa"/>
            <w:shd w:val="clear" w:color="000000" w:fill="auto"/>
            <w:hideMark/>
          </w:tcPr>
          <w:p w14:paraId="735CEF5A"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22FC1FDE" w14:textId="77777777" w:rsidTr="00397502">
        <w:trPr>
          <w:trHeight w:val="1682"/>
        </w:trPr>
        <w:tc>
          <w:tcPr>
            <w:tcW w:w="704" w:type="dxa"/>
            <w:shd w:val="clear" w:color="auto" w:fill="auto"/>
            <w:noWrap/>
          </w:tcPr>
          <w:p w14:paraId="61FA6F3C"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5F8A4888"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Курганная группа "Зеленогорские Сады", III - II тыс. до н.э.</w:t>
            </w:r>
          </w:p>
        </w:tc>
        <w:tc>
          <w:tcPr>
            <w:tcW w:w="3402" w:type="dxa"/>
            <w:shd w:val="clear" w:color="000000" w:fill="auto"/>
            <w:hideMark/>
          </w:tcPr>
          <w:p w14:paraId="570D6D49"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3926683B"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117969B1"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Северо-западная окраина города, между электроподстан</w:t>
            </w:r>
            <w:r w:rsidRPr="00731FE2">
              <w:rPr>
                <w:rFonts w:ascii="Times New Roman" w:eastAsia="Times New Roman" w:hAnsi="Times New Roman" w:cs="Times New Roman"/>
                <w:sz w:val="20"/>
                <w:szCs w:val="20"/>
                <w:lang w:eastAsia="ru-RU"/>
              </w:rPr>
              <w:softHyphen/>
              <w:t>цией и форелевым хозяйством</w:t>
            </w:r>
          </w:p>
        </w:tc>
        <w:tc>
          <w:tcPr>
            <w:tcW w:w="1734" w:type="dxa"/>
            <w:shd w:val="clear" w:color="000000" w:fill="auto"/>
            <w:hideMark/>
          </w:tcPr>
          <w:p w14:paraId="79D85F00"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c>
          <w:tcPr>
            <w:tcW w:w="2915" w:type="dxa"/>
            <w:shd w:val="clear" w:color="000000" w:fill="auto"/>
            <w:hideMark/>
          </w:tcPr>
          <w:p w14:paraId="7CC16993"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1887AD33" w14:textId="77777777" w:rsidTr="00397502">
        <w:trPr>
          <w:trHeight w:val="2083"/>
        </w:trPr>
        <w:tc>
          <w:tcPr>
            <w:tcW w:w="704" w:type="dxa"/>
            <w:shd w:val="clear" w:color="auto" w:fill="auto"/>
            <w:noWrap/>
          </w:tcPr>
          <w:p w14:paraId="3D5F5E0B"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0EA79009"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Могильник "Рыбные Пруды", VI - VIII вв. до н.э.</w:t>
            </w:r>
          </w:p>
        </w:tc>
        <w:tc>
          <w:tcPr>
            <w:tcW w:w="3402" w:type="dxa"/>
            <w:shd w:val="clear" w:color="000000" w:fill="auto"/>
            <w:hideMark/>
          </w:tcPr>
          <w:p w14:paraId="4D4D5A0C"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2B8461B7"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10A57DC7"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Восточная граница территории форелевого хозяйства, возвышенная терраса левого берега р. Аликоновки</w:t>
            </w:r>
          </w:p>
        </w:tc>
        <w:tc>
          <w:tcPr>
            <w:tcW w:w="1734" w:type="dxa"/>
            <w:shd w:val="clear" w:color="000000" w:fill="auto"/>
            <w:hideMark/>
          </w:tcPr>
          <w:p w14:paraId="37D6FC08"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586 от 19.06.2024</w:t>
            </w:r>
          </w:p>
        </w:tc>
        <w:tc>
          <w:tcPr>
            <w:tcW w:w="2915" w:type="dxa"/>
            <w:shd w:val="clear" w:color="000000" w:fill="auto"/>
            <w:hideMark/>
          </w:tcPr>
          <w:p w14:paraId="4D8F9659"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01899A19" w14:textId="77777777" w:rsidTr="00397502">
        <w:trPr>
          <w:trHeight w:val="2250"/>
        </w:trPr>
        <w:tc>
          <w:tcPr>
            <w:tcW w:w="704" w:type="dxa"/>
            <w:shd w:val="clear" w:color="auto" w:fill="auto"/>
            <w:noWrap/>
          </w:tcPr>
          <w:p w14:paraId="280C4157"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793368D7"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Курганная группа "Рыбные пруды", XV - XVII вв. н.э.</w:t>
            </w:r>
          </w:p>
        </w:tc>
        <w:tc>
          <w:tcPr>
            <w:tcW w:w="3402" w:type="dxa"/>
            <w:shd w:val="clear" w:color="000000" w:fill="auto"/>
            <w:hideMark/>
          </w:tcPr>
          <w:p w14:paraId="4449EFD3"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638244E5"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1799FDD4"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Возвышенная терраса левого берега р. Аликоновки, район ее впадения в р. Подкумок</w:t>
            </w:r>
          </w:p>
        </w:tc>
        <w:tc>
          <w:tcPr>
            <w:tcW w:w="1734" w:type="dxa"/>
            <w:shd w:val="clear" w:color="000000" w:fill="auto"/>
            <w:hideMark/>
          </w:tcPr>
          <w:p w14:paraId="09AB726E"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внес. изм. 434 от 02.05.2024; 2 от 09.01.2023 г.</w:t>
            </w:r>
          </w:p>
        </w:tc>
        <w:tc>
          <w:tcPr>
            <w:tcW w:w="2915" w:type="dxa"/>
            <w:shd w:val="clear" w:color="000000" w:fill="auto"/>
            <w:hideMark/>
          </w:tcPr>
          <w:p w14:paraId="11519339"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3C94BB25" w14:textId="77777777" w:rsidTr="00397502">
        <w:trPr>
          <w:trHeight w:val="1966"/>
        </w:trPr>
        <w:tc>
          <w:tcPr>
            <w:tcW w:w="704" w:type="dxa"/>
            <w:shd w:val="clear" w:color="auto" w:fill="auto"/>
            <w:noWrap/>
          </w:tcPr>
          <w:p w14:paraId="16E960E4"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1236B9F6"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Курганная группа "Кольцо-Гора", III - II вв. до н.э.</w:t>
            </w:r>
          </w:p>
        </w:tc>
        <w:tc>
          <w:tcPr>
            <w:tcW w:w="3402" w:type="dxa"/>
            <w:shd w:val="clear" w:color="000000" w:fill="auto"/>
            <w:hideMark/>
          </w:tcPr>
          <w:p w14:paraId="5888DB02"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 xml:space="preserve">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w:t>
            </w:r>
            <w:r w:rsidRPr="00731FE2">
              <w:rPr>
                <w:rFonts w:ascii="Times New Roman" w:eastAsia="Times New Roman" w:hAnsi="Times New Roman" w:cs="Times New Roman"/>
                <w:sz w:val="20"/>
                <w:szCs w:val="20"/>
                <w:lang w:eastAsia="ru-RU"/>
              </w:rPr>
              <w:lastRenderedPageBreak/>
              <w:t>республиканского значения, утвержденного</w:t>
            </w:r>
          </w:p>
        </w:tc>
        <w:tc>
          <w:tcPr>
            <w:tcW w:w="1417" w:type="dxa"/>
            <w:shd w:val="clear" w:color="000000" w:fill="auto"/>
            <w:hideMark/>
          </w:tcPr>
          <w:p w14:paraId="1546CC9C"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lastRenderedPageBreak/>
              <w:t>федерального значения</w:t>
            </w:r>
          </w:p>
        </w:tc>
        <w:tc>
          <w:tcPr>
            <w:tcW w:w="1872" w:type="dxa"/>
            <w:shd w:val="clear" w:color="000000" w:fill="auto"/>
            <w:hideMark/>
          </w:tcPr>
          <w:p w14:paraId="5824359E"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Левобережная терраса р. Подкумок в районе "Кольцо-Горы" и автозаправочной станции</w:t>
            </w:r>
          </w:p>
        </w:tc>
        <w:tc>
          <w:tcPr>
            <w:tcW w:w="1734" w:type="dxa"/>
            <w:shd w:val="clear" w:color="000000" w:fill="auto"/>
            <w:hideMark/>
          </w:tcPr>
          <w:p w14:paraId="0029CA0A"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c>
          <w:tcPr>
            <w:tcW w:w="2915" w:type="dxa"/>
            <w:shd w:val="clear" w:color="000000" w:fill="auto"/>
            <w:hideMark/>
          </w:tcPr>
          <w:p w14:paraId="5E389ABA"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0EA25C3E" w14:textId="77777777" w:rsidTr="00397502">
        <w:trPr>
          <w:trHeight w:val="2108"/>
        </w:trPr>
        <w:tc>
          <w:tcPr>
            <w:tcW w:w="704" w:type="dxa"/>
            <w:shd w:val="clear" w:color="auto" w:fill="auto"/>
            <w:noWrap/>
          </w:tcPr>
          <w:p w14:paraId="30DC600C"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115D6B87"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Укрепление "Кольцо-Гора", I тыс. н.э.</w:t>
            </w:r>
          </w:p>
        </w:tc>
        <w:tc>
          <w:tcPr>
            <w:tcW w:w="3402" w:type="dxa"/>
            <w:shd w:val="clear" w:color="000000" w:fill="auto"/>
            <w:hideMark/>
          </w:tcPr>
          <w:p w14:paraId="47F2D23D"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497850D7"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27C22A6A"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Скальный выступ "Кольцо-Горы"</w:t>
            </w:r>
          </w:p>
        </w:tc>
        <w:tc>
          <w:tcPr>
            <w:tcW w:w="1734" w:type="dxa"/>
            <w:shd w:val="clear" w:color="000000" w:fill="auto"/>
            <w:hideMark/>
          </w:tcPr>
          <w:p w14:paraId="5EE1E3F8"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c>
          <w:tcPr>
            <w:tcW w:w="2915" w:type="dxa"/>
            <w:shd w:val="clear" w:color="000000" w:fill="auto"/>
            <w:hideMark/>
          </w:tcPr>
          <w:p w14:paraId="1AF39B87"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0900B655" w14:textId="77777777" w:rsidTr="00397502">
        <w:trPr>
          <w:trHeight w:val="2225"/>
        </w:trPr>
        <w:tc>
          <w:tcPr>
            <w:tcW w:w="704" w:type="dxa"/>
            <w:shd w:val="clear" w:color="auto" w:fill="auto"/>
            <w:noWrap/>
          </w:tcPr>
          <w:p w14:paraId="05B973F8"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36A2A279"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Скальный грот "Кольцо-Гора", II тыс. до н.э. II тыс. н.э.</w:t>
            </w:r>
          </w:p>
        </w:tc>
        <w:tc>
          <w:tcPr>
            <w:tcW w:w="3402" w:type="dxa"/>
            <w:shd w:val="clear" w:color="000000" w:fill="auto"/>
            <w:hideMark/>
          </w:tcPr>
          <w:p w14:paraId="183FCA56"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6241F891"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17E9BCC7"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200 - 220 м от "Кольцо-Горы", в скальной гряде</w:t>
            </w:r>
          </w:p>
        </w:tc>
        <w:tc>
          <w:tcPr>
            <w:tcW w:w="1734" w:type="dxa"/>
            <w:shd w:val="clear" w:color="000000" w:fill="auto"/>
            <w:hideMark/>
          </w:tcPr>
          <w:p w14:paraId="7CFBD98F"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c>
          <w:tcPr>
            <w:tcW w:w="2915" w:type="dxa"/>
            <w:shd w:val="clear" w:color="000000" w:fill="auto"/>
            <w:hideMark/>
          </w:tcPr>
          <w:p w14:paraId="64D636C9"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5C44F4AB" w14:textId="77777777" w:rsidTr="00397502">
        <w:trPr>
          <w:trHeight w:val="2249"/>
        </w:trPr>
        <w:tc>
          <w:tcPr>
            <w:tcW w:w="704" w:type="dxa"/>
            <w:shd w:val="clear" w:color="auto" w:fill="auto"/>
            <w:noWrap/>
          </w:tcPr>
          <w:p w14:paraId="7B5F9146"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1C5525B0"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Поселение "Кольцо-Гора - 1", Х - ХИ вв. н.э.</w:t>
            </w:r>
          </w:p>
        </w:tc>
        <w:tc>
          <w:tcPr>
            <w:tcW w:w="3402" w:type="dxa"/>
            <w:shd w:val="clear" w:color="000000" w:fill="auto"/>
            <w:hideMark/>
          </w:tcPr>
          <w:p w14:paraId="0993A323"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7FE63327"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3D455D46"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Территория западной части тепличного комбината "Цветы Ставрополья" и автозаправочной станции</w:t>
            </w:r>
          </w:p>
        </w:tc>
        <w:tc>
          <w:tcPr>
            <w:tcW w:w="1734" w:type="dxa"/>
            <w:shd w:val="clear" w:color="000000" w:fill="auto"/>
            <w:hideMark/>
          </w:tcPr>
          <w:p w14:paraId="291814E2"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709 от 10.08.2023</w:t>
            </w:r>
          </w:p>
        </w:tc>
        <w:tc>
          <w:tcPr>
            <w:tcW w:w="2915" w:type="dxa"/>
            <w:shd w:val="clear" w:color="000000" w:fill="auto"/>
            <w:hideMark/>
          </w:tcPr>
          <w:p w14:paraId="1BE5DC66"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53A52D34" w14:textId="77777777" w:rsidTr="00397502">
        <w:trPr>
          <w:trHeight w:val="2108"/>
        </w:trPr>
        <w:tc>
          <w:tcPr>
            <w:tcW w:w="704" w:type="dxa"/>
            <w:shd w:val="clear" w:color="auto" w:fill="auto"/>
            <w:noWrap/>
          </w:tcPr>
          <w:p w14:paraId="5C6B2620"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15A289F2"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Поселение "Кольцо-Гора - 2", II - I тыс. до н.э.</w:t>
            </w:r>
          </w:p>
        </w:tc>
        <w:tc>
          <w:tcPr>
            <w:tcW w:w="3402" w:type="dxa"/>
            <w:shd w:val="clear" w:color="000000" w:fill="auto"/>
            <w:hideMark/>
          </w:tcPr>
          <w:p w14:paraId="1792C71B"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74ED2781"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491171C1"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Территория возле городской АЗС</w:t>
            </w:r>
          </w:p>
        </w:tc>
        <w:tc>
          <w:tcPr>
            <w:tcW w:w="1734" w:type="dxa"/>
            <w:shd w:val="clear" w:color="000000" w:fill="auto"/>
            <w:hideMark/>
          </w:tcPr>
          <w:p w14:paraId="3D45D68D"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c>
          <w:tcPr>
            <w:tcW w:w="2915" w:type="dxa"/>
            <w:shd w:val="clear" w:color="000000" w:fill="auto"/>
            <w:hideMark/>
          </w:tcPr>
          <w:p w14:paraId="3B44A61B"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2D2DCD62" w14:textId="77777777" w:rsidTr="00397502">
        <w:trPr>
          <w:trHeight w:val="2249"/>
        </w:trPr>
        <w:tc>
          <w:tcPr>
            <w:tcW w:w="704" w:type="dxa"/>
            <w:shd w:val="clear" w:color="auto" w:fill="auto"/>
            <w:noWrap/>
          </w:tcPr>
          <w:p w14:paraId="02C4041A"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34DE159D"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Могильник "Кольцо-Гора - 1", XI - XII вв. н.э.</w:t>
            </w:r>
          </w:p>
        </w:tc>
        <w:tc>
          <w:tcPr>
            <w:tcW w:w="3402" w:type="dxa"/>
            <w:shd w:val="clear" w:color="000000" w:fill="auto"/>
            <w:hideMark/>
          </w:tcPr>
          <w:p w14:paraId="46EFFC68"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7FB3007D"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1126AC08"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Территория возле городской АЗС, у "Кольцо-Горы"</w:t>
            </w:r>
          </w:p>
        </w:tc>
        <w:tc>
          <w:tcPr>
            <w:tcW w:w="1734" w:type="dxa"/>
            <w:shd w:val="clear" w:color="000000" w:fill="auto"/>
            <w:hideMark/>
          </w:tcPr>
          <w:p w14:paraId="13A262AF"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710 от 10.08.2023</w:t>
            </w:r>
          </w:p>
        </w:tc>
        <w:tc>
          <w:tcPr>
            <w:tcW w:w="2915" w:type="dxa"/>
            <w:shd w:val="clear" w:color="000000" w:fill="auto"/>
            <w:hideMark/>
          </w:tcPr>
          <w:p w14:paraId="57B09AC1"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229E0F0F" w14:textId="77777777" w:rsidTr="00397502">
        <w:trPr>
          <w:trHeight w:val="1941"/>
        </w:trPr>
        <w:tc>
          <w:tcPr>
            <w:tcW w:w="704" w:type="dxa"/>
            <w:shd w:val="clear" w:color="auto" w:fill="auto"/>
            <w:noWrap/>
          </w:tcPr>
          <w:p w14:paraId="512CF853"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453F6C2E"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Могильник "Кольцо-Гора - 2", VIII – VI вв. до н.э.</w:t>
            </w:r>
          </w:p>
        </w:tc>
        <w:tc>
          <w:tcPr>
            <w:tcW w:w="3402" w:type="dxa"/>
            <w:shd w:val="clear" w:color="000000" w:fill="auto"/>
            <w:hideMark/>
          </w:tcPr>
          <w:p w14:paraId="2D260D5C"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27DB446F"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21DD3124"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Район развилки автодорог Кисловодск - Учкекен и Кисловодск - пос. Неженский</w:t>
            </w:r>
          </w:p>
        </w:tc>
        <w:tc>
          <w:tcPr>
            <w:tcW w:w="1734" w:type="dxa"/>
            <w:shd w:val="clear" w:color="800080" w:fill="auto"/>
            <w:hideMark/>
          </w:tcPr>
          <w:p w14:paraId="3DB2EB40"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Приказ управления СК по охране ОКН от 20.03.2018 г. № 93</w:t>
            </w:r>
          </w:p>
        </w:tc>
        <w:tc>
          <w:tcPr>
            <w:tcW w:w="2915" w:type="dxa"/>
            <w:shd w:val="clear" w:color="000000" w:fill="auto"/>
            <w:hideMark/>
          </w:tcPr>
          <w:p w14:paraId="13F7C06F"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733950EA" w14:textId="77777777" w:rsidTr="00397502">
        <w:trPr>
          <w:trHeight w:val="1541"/>
        </w:trPr>
        <w:tc>
          <w:tcPr>
            <w:tcW w:w="704" w:type="dxa"/>
            <w:shd w:val="clear" w:color="auto" w:fill="auto"/>
            <w:noWrap/>
          </w:tcPr>
          <w:p w14:paraId="24B476C9"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3A3DC9AC"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Могильник "Левоподкумский", VIII – VII вв. до н.э.</w:t>
            </w:r>
          </w:p>
        </w:tc>
        <w:tc>
          <w:tcPr>
            <w:tcW w:w="3402" w:type="dxa"/>
            <w:shd w:val="clear" w:color="000000" w:fill="auto"/>
            <w:hideMark/>
          </w:tcPr>
          <w:p w14:paraId="6F6E9E5A"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 xml:space="preserve">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w:t>
            </w:r>
            <w:r w:rsidRPr="00731FE2">
              <w:rPr>
                <w:rFonts w:ascii="Times New Roman" w:eastAsia="Times New Roman" w:hAnsi="Times New Roman" w:cs="Times New Roman"/>
                <w:sz w:val="20"/>
                <w:szCs w:val="20"/>
                <w:lang w:eastAsia="ru-RU"/>
              </w:rPr>
              <w:lastRenderedPageBreak/>
              <w:t>республиканского значения, утвержденного</w:t>
            </w:r>
          </w:p>
        </w:tc>
        <w:tc>
          <w:tcPr>
            <w:tcW w:w="1417" w:type="dxa"/>
            <w:shd w:val="clear" w:color="000000" w:fill="auto"/>
            <w:hideMark/>
          </w:tcPr>
          <w:p w14:paraId="01BDDEDB"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lastRenderedPageBreak/>
              <w:t>федерального значения</w:t>
            </w:r>
          </w:p>
        </w:tc>
        <w:tc>
          <w:tcPr>
            <w:tcW w:w="1872" w:type="dxa"/>
            <w:shd w:val="clear" w:color="000000" w:fill="auto"/>
            <w:hideMark/>
          </w:tcPr>
          <w:p w14:paraId="6C1B2A48"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Левобережная терраса р. Подкумок, южнее комбината "Цветы Ставрополья"</w:t>
            </w:r>
          </w:p>
        </w:tc>
        <w:tc>
          <w:tcPr>
            <w:tcW w:w="1734" w:type="dxa"/>
            <w:shd w:val="clear" w:color="000000" w:fill="auto"/>
            <w:hideMark/>
          </w:tcPr>
          <w:p w14:paraId="69320B3C"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c>
          <w:tcPr>
            <w:tcW w:w="2915" w:type="dxa"/>
            <w:shd w:val="clear" w:color="000000" w:fill="auto"/>
            <w:hideMark/>
          </w:tcPr>
          <w:p w14:paraId="3FE5F01D"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3A763EB5" w14:textId="77777777" w:rsidTr="00397502">
        <w:trPr>
          <w:trHeight w:val="1966"/>
        </w:trPr>
        <w:tc>
          <w:tcPr>
            <w:tcW w:w="704" w:type="dxa"/>
            <w:shd w:val="clear" w:color="auto" w:fill="auto"/>
            <w:noWrap/>
          </w:tcPr>
          <w:p w14:paraId="78E20CAD"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130D49CD"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Поселение "Аланская Крепость - 1", IX – XII вв. н.э.</w:t>
            </w:r>
          </w:p>
        </w:tc>
        <w:tc>
          <w:tcPr>
            <w:tcW w:w="3402" w:type="dxa"/>
            <w:shd w:val="clear" w:color="000000" w:fill="auto"/>
            <w:hideMark/>
          </w:tcPr>
          <w:p w14:paraId="7FD5082C"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2AA783DC"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777A5CC5"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Район АЗС, под первой Песчанниковой грядой и мысообразным выступом "Аланская Крепость"</w:t>
            </w:r>
          </w:p>
        </w:tc>
        <w:tc>
          <w:tcPr>
            <w:tcW w:w="1734" w:type="dxa"/>
            <w:shd w:val="clear" w:color="000000" w:fill="auto"/>
            <w:hideMark/>
          </w:tcPr>
          <w:p w14:paraId="2C45E735"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c>
          <w:tcPr>
            <w:tcW w:w="2915" w:type="dxa"/>
            <w:shd w:val="clear" w:color="000000" w:fill="auto"/>
            <w:hideMark/>
          </w:tcPr>
          <w:p w14:paraId="10C396A0"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7A3906B8" w14:textId="77777777" w:rsidTr="00397502">
        <w:trPr>
          <w:trHeight w:val="2250"/>
        </w:trPr>
        <w:tc>
          <w:tcPr>
            <w:tcW w:w="704" w:type="dxa"/>
            <w:shd w:val="clear" w:color="auto" w:fill="auto"/>
            <w:noWrap/>
          </w:tcPr>
          <w:p w14:paraId="655083A3"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5CD6F4E8"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Поселение "Аланская Крепость - 2", V – VIII вв. н.э.</w:t>
            </w:r>
          </w:p>
        </w:tc>
        <w:tc>
          <w:tcPr>
            <w:tcW w:w="3402" w:type="dxa"/>
            <w:shd w:val="clear" w:color="000000" w:fill="auto"/>
            <w:hideMark/>
          </w:tcPr>
          <w:p w14:paraId="3D7E4950"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30CF6485"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1F500FB8"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Под скальной грядой между мысом "Аланская Крепость" и "Кольцо-Горой"</w:t>
            </w:r>
          </w:p>
        </w:tc>
        <w:tc>
          <w:tcPr>
            <w:tcW w:w="1734" w:type="dxa"/>
            <w:shd w:val="clear" w:color="000000" w:fill="auto"/>
            <w:hideMark/>
          </w:tcPr>
          <w:p w14:paraId="5D77D1AB"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c>
          <w:tcPr>
            <w:tcW w:w="2915" w:type="dxa"/>
            <w:shd w:val="clear" w:color="000000" w:fill="auto"/>
            <w:hideMark/>
          </w:tcPr>
          <w:p w14:paraId="58B3866E"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447601D5" w14:textId="77777777" w:rsidTr="00397502">
        <w:trPr>
          <w:trHeight w:val="2224"/>
        </w:trPr>
        <w:tc>
          <w:tcPr>
            <w:tcW w:w="704" w:type="dxa"/>
            <w:shd w:val="clear" w:color="auto" w:fill="auto"/>
            <w:noWrap/>
          </w:tcPr>
          <w:p w14:paraId="78C3BC19"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081403A5"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Укрепление "Аланская Крепость", V – VIII вв. н.э.</w:t>
            </w:r>
          </w:p>
        </w:tc>
        <w:tc>
          <w:tcPr>
            <w:tcW w:w="3402" w:type="dxa"/>
            <w:shd w:val="clear" w:color="000000" w:fill="auto"/>
            <w:hideMark/>
          </w:tcPr>
          <w:p w14:paraId="02DC8E76"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6251FD36"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7E6BF13C"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Мыс "Аланская Крепость"</w:t>
            </w:r>
          </w:p>
        </w:tc>
        <w:tc>
          <w:tcPr>
            <w:tcW w:w="1734" w:type="dxa"/>
            <w:shd w:val="clear" w:color="000000" w:fill="auto"/>
            <w:hideMark/>
          </w:tcPr>
          <w:p w14:paraId="0E127BDE"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c>
          <w:tcPr>
            <w:tcW w:w="2915" w:type="dxa"/>
            <w:shd w:val="clear" w:color="000000" w:fill="auto"/>
            <w:hideMark/>
          </w:tcPr>
          <w:p w14:paraId="7626AADE"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7899CEC6" w14:textId="77777777" w:rsidTr="00397502">
        <w:trPr>
          <w:trHeight w:val="2108"/>
        </w:trPr>
        <w:tc>
          <w:tcPr>
            <w:tcW w:w="704" w:type="dxa"/>
            <w:shd w:val="clear" w:color="auto" w:fill="auto"/>
            <w:noWrap/>
          </w:tcPr>
          <w:p w14:paraId="7E311387"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3BC7295D"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Могильник "Аланская Крепость - 1", IX - XII вв. VIII вв. н.э.</w:t>
            </w:r>
          </w:p>
        </w:tc>
        <w:tc>
          <w:tcPr>
            <w:tcW w:w="3402" w:type="dxa"/>
            <w:shd w:val="clear" w:color="000000" w:fill="auto"/>
            <w:hideMark/>
          </w:tcPr>
          <w:p w14:paraId="628AB06C"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7D9EFEB1"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579DB5E0"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Западные и юго-западные склоны скального мыса "Аланская Крепость"</w:t>
            </w:r>
          </w:p>
        </w:tc>
        <w:tc>
          <w:tcPr>
            <w:tcW w:w="1734" w:type="dxa"/>
            <w:shd w:val="clear" w:color="000000" w:fill="auto"/>
            <w:hideMark/>
          </w:tcPr>
          <w:p w14:paraId="585729AA"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c>
          <w:tcPr>
            <w:tcW w:w="2915" w:type="dxa"/>
            <w:shd w:val="clear" w:color="000000" w:fill="auto"/>
            <w:hideMark/>
          </w:tcPr>
          <w:p w14:paraId="22E6500D"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2A5F305E" w14:textId="77777777" w:rsidTr="00397502">
        <w:trPr>
          <w:trHeight w:val="2108"/>
        </w:trPr>
        <w:tc>
          <w:tcPr>
            <w:tcW w:w="704" w:type="dxa"/>
            <w:shd w:val="clear" w:color="auto" w:fill="auto"/>
            <w:noWrap/>
          </w:tcPr>
          <w:p w14:paraId="3F9E69C8"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3B4CEE34"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Могильник "Аланская Крепость - 2", VI - Х вв. н.э.</w:t>
            </w:r>
          </w:p>
        </w:tc>
        <w:tc>
          <w:tcPr>
            <w:tcW w:w="3402" w:type="dxa"/>
            <w:shd w:val="clear" w:color="000000" w:fill="auto"/>
            <w:hideMark/>
          </w:tcPr>
          <w:p w14:paraId="115B24D9"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70A15825"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78BF6FEF"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15 0 м южнее мыса "Аланская Крепость", под первой Песчанниковой грядой</w:t>
            </w:r>
          </w:p>
        </w:tc>
        <w:tc>
          <w:tcPr>
            <w:tcW w:w="1734" w:type="dxa"/>
            <w:shd w:val="clear" w:color="000000" w:fill="auto"/>
            <w:hideMark/>
          </w:tcPr>
          <w:p w14:paraId="633624A0"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c>
          <w:tcPr>
            <w:tcW w:w="2915" w:type="dxa"/>
            <w:shd w:val="clear" w:color="000000" w:fill="auto"/>
            <w:hideMark/>
          </w:tcPr>
          <w:p w14:paraId="2F27F142"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34A94B4F" w14:textId="77777777" w:rsidTr="00397502">
        <w:trPr>
          <w:trHeight w:val="2108"/>
        </w:trPr>
        <w:tc>
          <w:tcPr>
            <w:tcW w:w="704" w:type="dxa"/>
            <w:shd w:val="clear" w:color="auto" w:fill="auto"/>
            <w:noWrap/>
          </w:tcPr>
          <w:p w14:paraId="20CF5340"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4CB99491"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Поселение"Левоподкумское - 1", XI - XII вв. н.э.</w:t>
            </w:r>
          </w:p>
        </w:tc>
        <w:tc>
          <w:tcPr>
            <w:tcW w:w="3402" w:type="dxa"/>
            <w:shd w:val="clear" w:color="000000" w:fill="auto"/>
            <w:hideMark/>
          </w:tcPr>
          <w:p w14:paraId="0685621C"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46118112"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28917285"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Левобережная терраса р. Подкумок, севернее нового городского озера</w:t>
            </w:r>
          </w:p>
        </w:tc>
        <w:tc>
          <w:tcPr>
            <w:tcW w:w="1734" w:type="dxa"/>
            <w:shd w:val="clear" w:color="000000" w:fill="auto"/>
            <w:hideMark/>
          </w:tcPr>
          <w:p w14:paraId="6EE33021"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c>
          <w:tcPr>
            <w:tcW w:w="2915" w:type="dxa"/>
            <w:shd w:val="clear" w:color="000000" w:fill="auto"/>
            <w:hideMark/>
          </w:tcPr>
          <w:p w14:paraId="1CBA5DB3"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596DA814" w14:textId="77777777" w:rsidTr="00397502">
        <w:trPr>
          <w:trHeight w:val="2225"/>
        </w:trPr>
        <w:tc>
          <w:tcPr>
            <w:tcW w:w="704" w:type="dxa"/>
            <w:shd w:val="clear" w:color="auto" w:fill="auto"/>
            <w:noWrap/>
          </w:tcPr>
          <w:p w14:paraId="5DBAE0C7"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654E0C48"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Поселение "Лесхоз-1", VIII – VII вв. до н.э.</w:t>
            </w:r>
          </w:p>
        </w:tc>
        <w:tc>
          <w:tcPr>
            <w:tcW w:w="3402" w:type="dxa"/>
            <w:shd w:val="clear" w:color="000000" w:fill="auto"/>
            <w:hideMark/>
          </w:tcPr>
          <w:p w14:paraId="7E3A05C3"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12FC015B"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68CCA8BE"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Западная часть территории конторы Мехлесхоза</w:t>
            </w:r>
          </w:p>
        </w:tc>
        <w:tc>
          <w:tcPr>
            <w:tcW w:w="1734" w:type="dxa"/>
            <w:shd w:val="clear" w:color="000000" w:fill="auto"/>
            <w:hideMark/>
          </w:tcPr>
          <w:p w14:paraId="0E727311"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c>
          <w:tcPr>
            <w:tcW w:w="2915" w:type="dxa"/>
            <w:shd w:val="clear" w:color="000000" w:fill="auto"/>
            <w:hideMark/>
          </w:tcPr>
          <w:p w14:paraId="57B5182F"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39CBA377" w14:textId="77777777" w:rsidTr="00397502">
        <w:trPr>
          <w:trHeight w:val="1966"/>
        </w:trPr>
        <w:tc>
          <w:tcPr>
            <w:tcW w:w="704" w:type="dxa"/>
            <w:shd w:val="clear" w:color="auto" w:fill="auto"/>
            <w:noWrap/>
          </w:tcPr>
          <w:p w14:paraId="5ED5DB69"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4D4F244F"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Поселение "Лесхоз-2", X - XII вв. н.э.</w:t>
            </w:r>
          </w:p>
        </w:tc>
        <w:tc>
          <w:tcPr>
            <w:tcW w:w="3402" w:type="dxa"/>
            <w:shd w:val="clear" w:color="000000" w:fill="auto"/>
            <w:hideMark/>
          </w:tcPr>
          <w:p w14:paraId="7030CA61"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1AD0E9B8"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5BA302B2"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Северная окраина территории Мехлесхоза, на склоне</w:t>
            </w:r>
          </w:p>
        </w:tc>
        <w:tc>
          <w:tcPr>
            <w:tcW w:w="1734" w:type="dxa"/>
            <w:shd w:val="clear" w:color="000000" w:fill="auto"/>
            <w:hideMark/>
          </w:tcPr>
          <w:p w14:paraId="17AB521D"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775 от 21.08.2023</w:t>
            </w:r>
          </w:p>
        </w:tc>
        <w:tc>
          <w:tcPr>
            <w:tcW w:w="2915" w:type="dxa"/>
            <w:shd w:val="clear" w:color="000000" w:fill="auto"/>
            <w:hideMark/>
          </w:tcPr>
          <w:p w14:paraId="2279E825"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0E1F30F4" w14:textId="77777777" w:rsidTr="00397502">
        <w:trPr>
          <w:trHeight w:val="1966"/>
        </w:trPr>
        <w:tc>
          <w:tcPr>
            <w:tcW w:w="704" w:type="dxa"/>
            <w:shd w:val="clear" w:color="auto" w:fill="auto"/>
            <w:noWrap/>
          </w:tcPr>
          <w:p w14:paraId="544AE5C5"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585D92BA"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Могильник "Лесхоз", XI – XII вв. н.э.</w:t>
            </w:r>
          </w:p>
        </w:tc>
        <w:tc>
          <w:tcPr>
            <w:tcW w:w="3402" w:type="dxa"/>
            <w:shd w:val="clear" w:color="000000" w:fill="auto"/>
            <w:hideMark/>
          </w:tcPr>
          <w:p w14:paraId="18D2D372"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6B068923"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74C803EA"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Северо-восточная и северная окраины территории конторы Мехлесхоза</w:t>
            </w:r>
          </w:p>
        </w:tc>
        <w:tc>
          <w:tcPr>
            <w:tcW w:w="1734" w:type="dxa"/>
            <w:shd w:val="clear" w:color="000000" w:fill="auto"/>
            <w:hideMark/>
          </w:tcPr>
          <w:p w14:paraId="384B201E"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c>
          <w:tcPr>
            <w:tcW w:w="2915" w:type="dxa"/>
            <w:shd w:val="clear" w:color="000000" w:fill="auto"/>
            <w:hideMark/>
          </w:tcPr>
          <w:p w14:paraId="351BFF55"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5EE44ACC" w14:textId="77777777" w:rsidTr="00397502">
        <w:trPr>
          <w:trHeight w:val="2108"/>
        </w:trPr>
        <w:tc>
          <w:tcPr>
            <w:tcW w:w="704" w:type="dxa"/>
            <w:shd w:val="clear" w:color="auto" w:fill="auto"/>
            <w:noWrap/>
          </w:tcPr>
          <w:p w14:paraId="5DA5C8A5"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3C0F5123"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Укрепление "Тарный склад", VI - IX вв. н.э.</w:t>
            </w:r>
          </w:p>
        </w:tc>
        <w:tc>
          <w:tcPr>
            <w:tcW w:w="3402" w:type="dxa"/>
            <w:shd w:val="clear" w:color="000000" w:fill="auto"/>
            <w:hideMark/>
          </w:tcPr>
          <w:p w14:paraId="32A87479"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038907C0"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3AFAF04C"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Северная окраина промзоны, на мысообразном скальном выступе над территорией лесоторгового склада</w:t>
            </w:r>
          </w:p>
        </w:tc>
        <w:tc>
          <w:tcPr>
            <w:tcW w:w="1734" w:type="dxa"/>
            <w:shd w:val="clear" w:color="000000" w:fill="auto"/>
            <w:hideMark/>
          </w:tcPr>
          <w:p w14:paraId="47E15925"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c>
          <w:tcPr>
            <w:tcW w:w="2915" w:type="dxa"/>
            <w:shd w:val="clear" w:color="000000" w:fill="auto"/>
            <w:hideMark/>
          </w:tcPr>
          <w:p w14:paraId="2B25A980"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04EA1F58" w14:textId="77777777" w:rsidTr="00397502">
        <w:trPr>
          <w:trHeight w:val="3960"/>
        </w:trPr>
        <w:tc>
          <w:tcPr>
            <w:tcW w:w="704" w:type="dxa"/>
            <w:shd w:val="clear" w:color="auto" w:fill="auto"/>
            <w:noWrap/>
          </w:tcPr>
          <w:p w14:paraId="77164FE5"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2E03F197"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Поселение "Десять пещер", VI - IX вв. н.э.</w:t>
            </w:r>
          </w:p>
        </w:tc>
        <w:tc>
          <w:tcPr>
            <w:tcW w:w="3402" w:type="dxa"/>
            <w:shd w:val="clear" w:color="000000" w:fill="auto"/>
            <w:hideMark/>
          </w:tcPr>
          <w:p w14:paraId="6857E8D2"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0F8BBE9F"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7F1C96AD"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Северная часть города, под укреплением "Тарный склад". Фактический адрес: на северной окраине города-курорта, к северу от ул. Промышленной на левом берегу р. Подкумок под первой песчаниковой террасой у подножия мыса с выветрившимися пещерами; местоположен</w:t>
            </w:r>
          </w:p>
        </w:tc>
        <w:tc>
          <w:tcPr>
            <w:tcW w:w="1734" w:type="dxa"/>
            <w:shd w:val="clear" w:color="000000" w:fill="auto"/>
            <w:hideMark/>
          </w:tcPr>
          <w:p w14:paraId="06CD5E8A"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Приказ управления СК по охране ОКН от 03.06.2020 г. № 423, внесение изменений приказ № 322 от 01.04.2022</w:t>
            </w:r>
          </w:p>
        </w:tc>
        <w:tc>
          <w:tcPr>
            <w:tcW w:w="2915" w:type="dxa"/>
            <w:shd w:val="clear" w:color="000000" w:fill="auto"/>
            <w:hideMark/>
          </w:tcPr>
          <w:p w14:paraId="0FB098FF"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5A03C3FA" w14:textId="77777777" w:rsidTr="00397502">
        <w:trPr>
          <w:trHeight w:val="2250"/>
        </w:trPr>
        <w:tc>
          <w:tcPr>
            <w:tcW w:w="704" w:type="dxa"/>
            <w:shd w:val="clear" w:color="auto" w:fill="auto"/>
            <w:noWrap/>
          </w:tcPr>
          <w:p w14:paraId="24C128FE"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214E70B1"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Могильник "Винзавод-1", VIII – VI вв. до н.э.</w:t>
            </w:r>
          </w:p>
        </w:tc>
        <w:tc>
          <w:tcPr>
            <w:tcW w:w="3402" w:type="dxa"/>
            <w:shd w:val="clear" w:color="000000" w:fill="auto"/>
            <w:hideMark/>
          </w:tcPr>
          <w:p w14:paraId="5945F6AA"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6C14B2B8"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71192A50"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Промзона, северная граница территории винзавода</w:t>
            </w:r>
          </w:p>
        </w:tc>
        <w:tc>
          <w:tcPr>
            <w:tcW w:w="1734" w:type="dxa"/>
            <w:shd w:val="clear" w:color="000000" w:fill="auto"/>
            <w:hideMark/>
          </w:tcPr>
          <w:p w14:paraId="6D79276F"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c>
          <w:tcPr>
            <w:tcW w:w="2915" w:type="dxa"/>
            <w:shd w:val="clear" w:color="000000" w:fill="auto"/>
            <w:hideMark/>
          </w:tcPr>
          <w:p w14:paraId="5BEACE93"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113BEC0D" w14:textId="77777777" w:rsidTr="00397502">
        <w:trPr>
          <w:trHeight w:val="2108"/>
        </w:trPr>
        <w:tc>
          <w:tcPr>
            <w:tcW w:w="704" w:type="dxa"/>
            <w:shd w:val="clear" w:color="auto" w:fill="auto"/>
            <w:noWrap/>
          </w:tcPr>
          <w:p w14:paraId="5D824135"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690C83F7"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Поселение "Комбинат стройматериалов", VIII – VI вв. до н.э.</w:t>
            </w:r>
          </w:p>
        </w:tc>
        <w:tc>
          <w:tcPr>
            <w:tcW w:w="3402" w:type="dxa"/>
            <w:shd w:val="clear" w:color="000000" w:fill="auto"/>
            <w:hideMark/>
          </w:tcPr>
          <w:p w14:paraId="202F8249"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59A5DF0B"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4B6A8F7F"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Промзона, территория комбината стройматериалов и к северу от нее</w:t>
            </w:r>
          </w:p>
        </w:tc>
        <w:tc>
          <w:tcPr>
            <w:tcW w:w="1734" w:type="dxa"/>
            <w:shd w:val="clear" w:color="000000" w:fill="auto"/>
            <w:hideMark/>
          </w:tcPr>
          <w:p w14:paraId="520FE78F"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c>
          <w:tcPr>
            <w:tcW w:w="2915" w:type="dxa"/>
            <w:shd w:val="clear" w:color="000000" w:fill="auto"/>
            <w:hideMark/>
          </w:tcPr>
          <w:p w14:paraId="47332C6B"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3DBADBA3" w14:textId="77777777" w:rsidTr="00397502">
        <w:trPr>
          <w:trHeight w:val="1799"/>
        </w:trPr>
        <w:tc>
          <w:tcPr>
            <w:tcW w:w="704" w:type="dxa"/>
            <w:shd w:val="clear" w:color="auto" w:fill="auto"/>
            <w:noWrap/>
          </w:tcPr>
          <w:p w14:paraId="42DB66C5"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7602684F"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Могильник "Комбинат", VIII - VI вв. до н.э.</w:t>
            </w:r>
          </w:p>
        </w:tc>
        <w:tc>
          <w:tcPr>
            <w:tcW w:w="3402" w:type="dxa"/>
            <w:shd w:val="clear" w:color="000000" w:fill="auto"/>
            <w:hideMark/>
          </w:tcPr>
          <w:p w14:paraId="5568893F"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26661B1E"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362B1096"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Территория комбината стройматериалов, возле поселения "Комбинат стройматериалов - 1".</w:t>
            </w:r>
          </w:p>
        </w:tc>
        <w:tc>
          <w:tcPr>
            <w:tcW w:w="1734" w:type="dxa"/>
            <w:shd w:val="clear" w:color="000000" w:fill="auto"/>
            <w:hideMark/>
          </w:tcPr>
          <w:p w14:paraId="2D28174C"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c>
          <w:tcPr>
            <w:tcW w:w="2915" w:type="dxa"/>
            <w:shd w:val="clear" w:color="000000" w:fill="auto"/>
            <w:hideMark/>
          </w:tcPr>
          <w:p w14:paraId="7612790D"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78380E8D" w14:textId="77777777" w:rsidTr="00397502">
        <w:trPr>
          <w:trHeight w:val="1541"/>
        </w:trPr>
        <w:tc>
          <w:tcPr>
            <w:tcW w:w="704" w:type="dxa"/>
            <w:shd w:val="clear" w:color="auto" w:fill="auto"/>
            <w:noWrap/>
          </w:tcPr>
          <w:p w14:paraId="4488D60E"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5088A8C2"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Поселение "Комбинат стройматериалов - 2", VI - XII вв. н.э.</w:t>
            </w:r>
          </w:p>
        </w:tc>
        <w:tc>
          <w:tcPr>
            <w:tcW w:w="3402" w:type="dxa"/>
            <w:shd w:val="clear" w:color="000000" w:fill="auto"/>
            <w:hideMark/>
          </w:tcPr>
          <w:p w14:paraId="25BEF3DE"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 xml:space="preserve">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w:t>
            </w:r>
            <w:r w:rsidRPr="00731FE2">
              <w:rPr>
                <w:rFonts w:ascii="Times New Roman" w:eastAsia="Times New Roman" w:hAnsi="Times New Roman" w:cs="Times New Roman"/>
                <w:sz w:val="20"/>
                <w:szCs w:val="20"/>
                <w:lang w:eastAsia="ru-RU"/>
              </w:rPr>
              <w:lastRenderedPageBreak/>
              <w:t>республиканского значения, утвержденного</w:t>
            </w:r>
          </w:p>
        </w:tc>
        <w:tc>
          <w:tcPr>
            <w:tcW w:w="1417" w:type="dxa"/>
            <w:shd w:val="clear" w:color="000000" w:fill="auto"/>
            <w:hideMark/>
          </w:tcPr>
          <w:p w14:paraId="299E59E0"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lastRenderedPageBreak/>
              <w:t>федерального значения</w:t>
            </w:r>
          </w:p>
        </w:tc>
        <w:tc>
          <w:tcPr>
            <w:tcW w:w="1872" w:type="dxa"/>
            <w:shd w:val="clear" w:color="000000" w:fill="auto"/>
            <w:hideMark/>
          </w:tcPr>
          <w:p w14:paraId="3AEAB221"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Промзона, примыкает к территории поселения "Комбинат стройматериалов - 1"</w:t>
            </w:r>
          </w:p>
        </w:tc>
        <w:tc>
          <w:tcPr>
            <w:tcW w:w="1734" w:type="dxa"/>
            <w:shd w:val="clear" w:color="000000" w:fill="auto"/>
            <w:hideMark/>
          </w:tcPr>
          <w:p w14:paraId="58C067F7"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c>
          <w:tcPr>
            <w:tcW w:w="2915" w:type="dxa"/>
            <w:shd w:val="clear" w:color="000000" w:fill="auto"/>
            <w:hideMark/>
          </w:tcPr>
          <w:p w14:paraId="68614F9C"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1F919903" w14:textId="77777777" w:rsidTr="00397502">
        <w:trPr>
          <w:trHeight w:val="1824"/>
        </w:trPr>
        <w:tc>
          <w:tcPr>
            <w:tcW w:w="704" w:type="dxa"/>
            <w:shd w:val="clear" w:color="auto" w:fill="auto"/>
            <w:noWrap/>
          </w:tcPr>
          <w:p w14:paraId="1993333B"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3F212996"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Могильник "Мебельная фабрика - 1", VIII – VII вв. до н.э.</w:t>
            </w:r>
          </w:p>
        </w:tc>
        <w:tc>
          <w:tcPr>
            <w:tcW w:w="3402" w:type="dxa"/>
            <w:shd w:val="clear" w:color="000000" w:fill="auto"/>
            <w:hideMark/>
          </w:tcPr>
          <w:p w14:paraId="76454072"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59C65743"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290E9D4D"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Промзона, район основного корпуса мебельной фабрики "Бештау"</w:t>
            </w:r>
          </w:p>
        </w:tc>
        <w:tc>
          <w:tcPr>
            <w:tcW w:w="1734" w:type="dxa"/>
            <w:shd w:val="clear" w:color="000000" w:fill="auto"/>
            <w:hideMark/>
          </w:tcPr>
          <w:p w14:paraId="30B56565"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c>
          <w:tcPr>
            <w:tcW w:w="2915" w:type="dxa"/>
            <w:shd w:val="clear" w:color="000000" w:fill="auto"/>
            <w:hideMark/>
          </w:tcPr>
          <w:p w14:paraId="39FFA60A"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369390F3" w14:textId="77777777" w:rsidTr="00397502">
        <w:trPr>
          <w:trHeight w:val="1683"/>
        </w:trPr>
        <w:tc>
          <w:tcPr>
            <w:tcW w:w="704" w:type="dxa"/>
            <w:shd w:val="clear" w:color="auto" w:fill="auto"/>
            <w:noWrap/>
          </w:tcPr>
          <w:p w14:paraId="2FA7D797"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55068AFB"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Укрепленное поселение "Крымушкинская Балка - 1а", VI - IX вв. н.э.</w:t>
            </w:r>
          </w:p>
        </w:tc>
        <w:tc>
          <w:tcPr>
            <w:tcW w:w="3402" w:type="dxa"/>
            <w:shd w:val="clear" w:color="000000" w:fill="auto"/>
            <w:hideMark/>
          </w:tcPr>
          <w:p w14:paraId="770E91D4"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04FD5945"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06566B3C"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К северу от застроенной части города, на скалистом выступе правой стороны "Крымушкинской Балки"</w:t>
            </w:r>
          </w:p>
        </w:tc>
        <w:tc>
          <w:tcPr>
            <w:tcW w:w="1734" w:type="dxa"/>
            <w:shd w:val="clear" w:color="000000" w:fill="auto"/>
            <w:hideMark/>
          </w:tcPr>
          <w:p w14:paraId="3C5C94FE"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c>
          <w:tcPr>
            <w:tcW w:w="2915" w:type="dxa"/>
            <w:shd w:val="clear" w:color="000000" w:fill="auto"/>
            <w:hideMark/>
          </w:tcPr>
          <w:p w14:paraId="46CCB6F4"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4943FF2F" w14:textId="77777777" w:rsidTr="00397502">
        <w:trPr>
          <w:trHeight w:val="1516"/>
        </w:trPr>
        <w:tc>
          <w:tcPr>
            <w:tcW w:w="704" w:type="dxa"/>
            <w:shd w:val="clear" w:color="auto" w:fill="auto"/>
            <w:noWrap/>
          </w:tcPr>
          <w:p w14:paraId="562C79BE"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03474219"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Укрепленное поселение "Крымушкинская Балка - 1б", IX – IV вв. до н.э.</w:t>
            </w:r>
          </w:p>
        </w:tc>
        <w:tc>
          <w:tcPr>
            <w:tcW w:w="3402" w:type="dxa"/>
            <w:shd w:val="clear" w:color="000000" w:fill="auto"/>
            <w:hideMark/>
          </w:tcPr>
          <w:p w14:paraId="5FBF64EA"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4C8F48D0"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2FE9424F"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Примыкает к территории пос. "Крымушкинская Балка - 1-а"</w:t>
            </w:r>
          </w:p>
        </w:tc>
        <w:tc>
          <w:tcPr>
            <w:tcW w:w="1734" w:type="dxa"/>
            <w:shd w:val="clear" w:color="000000" w:fill="auto"/>
            <w:hideMark/>
          </w:tcPr>
          <w:p w14:paraId="22A19603"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c>
          <w:tcPr>
            <w:tcW w:w="2915" w:type="dxa"/>
            <w:shd w:val="clear" w:color="000000" w:fill="auto"/>
            <w:hideMark/>
          </w:tcPr>
          <w:p w14:paraId="2C04A53E"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78CDF7C1" w14:textId="77777777" w:rsidTr="00397502">
        <w:trPr>
          <w:trHeight w:val="1824"/>
        </w:trPr>
        <w:tc>
          <w:tcPr>
            <w:tcW w:w="704" w:type="dxa"/>
            <w:shd w:val="clear" w:color="auto" w:fill="auto"/>
            <w:noWrap/>
          </w:tcPr>
          <w:p w14:paraId="50A188BD"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60078C41"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Поселение "Крымушкинская Балка - 2", VIII – VI вв. до н.э.</w:t>
            </w:r>
          </w:p>
        </w:tc>
        <w:tc>
          <w:tcPr>
            <w:tcW w:w="3402" w:type="dxa"/>
            <w:shd w:val="clear" w:color="000000" w:fill="auto"/>
            <w:hideMark/>
          </w:tcPr>
          <w:p w14:paraId="1C9C9266"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3DA92567"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1D0CABCC"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Промзона, скалистый выступ левой стороны "Крымушкинской Балки"</w:t>
            </w:r>
          </w:p>
        </w:tc>
        <w:tc>
          <w:tcPr>
            <w:tcW w:w="1734" w:type="dxa"/>
            <w:shd w:val="clear" w:color="000000" w:fill="auto"/>
            <w:hideMark/>
          </w:tcPr>
          <w:p w14:paraId="0A27809D"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c>
          <w:tcPr>
            <w:tcW w:w="2915" w:type="dxa"/>
            <w:shd w:val="clear" w:color="000000" w:fill="auto"/>
            <w:hideMark/>
          </w:tcPr>
          <w:p w14:paraId="287DAFCC"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1CCFC72C" w14:textId="77777777" w:rsidTr="00397502">
        <w:trPr>
          <w:trHeight w:val="1824"/>
        </w:trPr>
        <w:tc>
          <w:tcPr>
            <w:tcW w:w="704" w:type="dxa"/>
            <w:shd w:val="clear" w:color="auto" w:fill="auto"/>
            <w:noWrap/>
          </w:tcPr>
          <w:p w14:paraId="10A68E5E"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60B06B50"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Могильник "Мебельная фабрика - 2", XI - XII вв. н.э.</w:t>
            </w:r>
          </w:p>
        </w:tc>
        <w:tc>
          <w:tcPr>
            <w:tcW w:w="3402" w:type="dxa"/>
            <w:shd w:val="clear" w:color="000000" w:fill="auto"/>
            <w:hideMark/>
          </w:tcPr>
          <w:p w14:paraId="6B11BA9F"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22314872"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57B4F96E"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Промзона, за основным и административными корпусами мебельной фабрики фирмы "Бештау"</w:t>
            </w:r>
          </w:p>
        </w:tc>
        <w:tc>
          <w:tcPr>
            <w:tcW w:w="1734" w:type="dxa"/>
            <w:shd w:val="clear" w:color="000000" w:fill="auto"/>
            <w:hideMark/>
          </w:tcPr>
          <w:p w14:paraId="54D1DDC2"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c>
          <w:tcPr>
            <w:tcW w:w="2915" w:type="dxa"/>
            <w:shd w:val="clear" w:color="000000" w:fill="auto"/>
            <w:hideMark/>
          </w:tcPr>
          <w:p w14:paraId="12352B6E"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7CA70678" w14:textId="77777777" w:rsidTr="00397502">
        <w:trPr>
          <w:trHeight w:val="1541"/>
        </w:trPr>
        <w:tc>
          <w:tcPr>
            <w:tcW w:w="704" w:type="dxa"/>
            <w:shd w:val="clear" w:color="auto" w:fill="auto"/>
            <w:noWrap/>
          </w:tcPr>
          <w:p w14:paraId="6A189CE7"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4D48336B"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Могильник "АТХ-1", XI - XII вв. н.э.</w:t>
            </w:r>
          </w:p>
        </w:tc>
        <w:tc>
          <w:tcPr>
            <w:tcW w:w="3402" w:type="dxa"/>
            <w:shd w:val="clear" w:color="000000" w:fill="auto"/>
            <w:hideMark/>
          </w:tcPr>
          <w:p w14:paraId="65E9601E"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45194D58"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76B8F8C4"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Промзона, территория грузового АТХ, у развилки дорог на Ессентуки и пос. Терезе</w:t>
            </w:r>
          </w:p>
        </w:tc>
        <w:tc>
          <w:tcPr>
            <w:tcW w:w="1734" w:type="dxa"/>
            <w:shd w:val="clear" w:color="000000" w:fill="auto"/>
            <w:hideMark/>
          </w:tcPr>
          <w:p w14:paraId="312C6234"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c>
          <w:tcPr>
            <w:tcW w:w="2915" w:type="dxa"/>
            <w:shd w:val="clear" w:color="000000" w:fill="auto"/>
            <w:hideMark/>
          </w:tcPr>
          <w:p w14:paraId="0EC0270E"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20496647" w14:textId="77777777" w:rsidTr="00397502">
        <w:trPr>
          <w:trHeight w:val="1232"/>
        </w:trPr>
        <w:tc>
          <w:tcPr>
            <w:tcW w:w="704" w:type="dxa"/>
            <w:shd w:val="clear" w:color="auto" w:fill="auto"/>
            <w:noWrap/>
          </w:tcPr>
          <w:p w14:paraId="2EB02740"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36DE8D41"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Могильник "АТХ-2", VIII – VI вв. до н.э.</w:t>
            </w:r>
          </w:p>
        </w:tc>
        <w:tc>
          <w:tcPr>
            <w:tcW w:w="3402" w:type="dxa"/>
            <w:shd w:val="clear" w:color="000000" w:fill="auto"/>
            <w:hideMark/>
          </w:tcPr>
          <w:p w14:paraId="12DDC9A3"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 xml:space="preserve">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w:t>
            </w:r>
            <w:r w:rsidRPr="00731FE2">
              <w:rPr>
                <w:rFonts w:ascii="Times New Roman" w:eastAsia="Times New Roman" w:hAnsi="Times New Roman" w:cs="Times New Roman"/>
                <w:sz w:val="20"/>
                <w:szCs w:val="20"/>
                <w:lang w:eastAsia="ru-RU"/>
              </w:rPr>
              <w:lastRenderedPageBreak/>
              <w:t>республиканского значения, утвержденного</w:t>
            </w:r>
          </w:p>
        </w:tc>
        <w:tc>
          <w:tcPr>
            <w:tcW w:w="1417" w:type="dxa"/>
            <w:shd w:val="clear" w:color="000000" w:fill="auto"/>
            <w:hideMark/>
          </w:tcPr>
          <w:p w14:paraId="618D2F94"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lastRenderedPageBreak/>
              <w:t>федерального значения</w:t>
            </w:r>
          </w:p>
        </w:tc>
        <w:tc>
          <w:tcPr>
            <w:tcW w:w="1872" w:type="dxa"/>
            <w:shd w:val="clear" w:color="000000" w:fill="auto"/>
            <w:hideMark/>
          </w:tcPr>
          <w:p w14:paraId="006737E8"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Промзона, северная часть территории АТХ и за ее пределами, на склонах</w:t>
            </w:r>
          </w:p>
        </w:tc>
        <w:tc>
          <w:tcPr>
            <w:tcW w:w="1734" w:type="dxa"/>
            <w:shd w:val="clear" w:color="000000" w:fill="auto"/>
            <w:hideMark/>
          </w:tcPr>
          <w:p w14:paraId="12D86B6B"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c>
          <w:tcPr>
            <w:tcW w:w="2915" w:type="dxa"/>
            <w:shd w:val="clear" w:color="000000" w:fill="auto"/>
            <w:hideMark/>
          </w:tcPr>
          <w:p w14:paraId="139D9AD4"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7A3ABFB9" w14:textId="77777777" w:rsidTr="00397502">
        <w:trPr>
          <w:trHeight w:val="1541"/>
        </w:trPr>
        <w:tc>
          <w:tcPr>
            <w:tcW w:w="704" w:type="dxa"/>
            <w:shd w:val="clear" w:color="auto" w:fill="auto"/>
            <w:noWrap/>
          </w:tcPr>
          <w:p w14:paraId="3AE584B8"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12216B7A"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Поселение "АТХ", VIII – VI вв. до н.э.</w:t>
            </w:r>
          </w:p>
        </w:tc>
        <w:tc>
          <w:tcPr>
            <w:tcW w:w="3402" w:type="dxa"/>
            <w:shd w:val="clear" w:color="000000" w:fill="auto"/>
            <w:hideMark/>
          </w:tcPr>
          <w:p w14:paraId="2724D8A0"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4B973988"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0386F438"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Промзона, к востоку от могильника "АТХ - 2"</w:t>
            </w:r>
          </w:p>
        </w:tc>
        <w:tc>
          <w:tcPr>
            <w:tcW w:w="1734" w:type="dxa"/>
            <w:shd w:val="clear" w:color="000000" w:fill="auto"/>
            <w:hideMark/>
          </w:tcPr>
          <w:p w14:paraId="6B53CBB4"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c>
          <w:tcPr>
            <w:tcW w:w="2915" w:type="dxa"/>
            <w:shd w:val="clear" w:color="000000" w:fill="auto"/>
            <w:hideMark/>
          </w:tcPr>
          <w:p w14:paraId="08BA9D8C"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1D5CAB54" w14:textId="77777777" w:rsidTr="00397502">
        <w:trPr>
          <w:trHeight w:val="1541"/>
        </w:trPr>
        <w:tc>
          <w:tcPr>
            <w:tcW w:w="704" w:type="dxa"/>
            <w:shd w:val="clear" w:color="auto" w:fill="auto"/>
            <w:noWrap/>
          </w:tcPr>
          <w:p w14:paraId="3ADA216E"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5D41514D"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Поселение "Автосервис", I - III вв. н.э.</w:t>
            </w:r>
          </w:p>
        </w:tc>
        <w:tc>
          <w:tcPr>
            <w:tcW w:w="3402" w:type="dxa"/>
            <w:shd w:val="clear" w:color="000000" w:fill="auto"/>
            <w:hideMark/>
          </w:tcPr>
          <w:p w14:paraId="2DD8D6BC"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72B2A304"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4A24BD8C"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Промзона, севернее автовокзала</w:t>
            </w:r>
          </w:p>
        </w:tc>
        <w:tc>
          <w:tcPr>
            <w:tcW w:w="1734" w:type="dxa"/>
            <w:shd w:val="clear" w:color="000000" w:fill="auto"/>
            <w:hideMark/>
          </w:tcPr>
          <w:p w14:paraId="7E888FAD"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приказ управления от 22.09.2020 №742</w:t>
            </w:r>
          </w:p>
        </w:tc>
        <w:tc>
          <w:tcPr>
            <w:tcW w:w="2915" w:type="dxa"/>
            <w:shd w:val="clear" w:color="000000" w:fill="auto"/>
            <w:hideMark/>
          </w:tcPr>
          <w:p w14:paraId="57FCEEA9"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5A14FF53" w14:textId="77777777" w:rsidTr="00397502">
        <w:trPr>
          <w:trHeight w:val="2225"/>
        </w:trPr>
        <w:tc>
          <w:tcPr>
            <w:tcW w:w="704" w:type="dxa"/>
            <w:shd w:val="clear" w:color="auto" w:fill="auto"/>
            <w:noWrap/>
          </w:tcPr>
          <w:p w14:paraId="07257881"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438CAF2D"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Грот "Юбилейный", I тыс. до н.э. – II тыс. н.э.</w:t>
            </w:r>
          </w:p>
        </w:tc>
        <w:tc>
          <w:tcPr>
            <w:tcW w:w="3402" w:type="dxa"/>
            <w:shd w:val="clear" w:color="000000" w:fill="auto"/>
            <w:hideMark/>
          </w:tcPr>
          <w:p w14:paraId="072921AD"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4FFD9288"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4DEB5D72"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Северо-восточная окраина промзоны, у котельной и лесопосадок в виде надписи "100 лет Ленин"</w:t>
            </w:r>
          </w:p>
        </w:tc>
        <w:tc>
          <w:tcPr>
            <w:tcW w:w="1734" w:type="dxa"/>
            <w:shd w:val="clear" w:color="000000" w:fill="auto"/>
            <w:hideMark/>
          </w:tcPr>
          <w:p w14:paraId="596CC9C9"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c>
          <w:tcPr>
            <w:tcW w:w="2915" w:type="dxa"/>
            <w:shd w:val="clear" w:color="000000" w:fill="auto"/>
            <w:hideMark/>
          </w:tcPr>
          <w:p w14:paraId="3D860906"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380E2ED7" w14:textId="77777777" w:rsidTr="00397502">
        <w:trPr>
          <w:trHeight w:val="1824"/>
        </w:trPr>
        <w:tc>
          <w:tcPr>
            <w:tcW w:w="704" w:type="dxa"/>
            <w:shd w:val="clear" w:color="auto" w:fill="auto"/>
            <w:noWrap/>
          </w:tcPr>
          <w:p w14:paraId="7293EC50"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auto" w:fill="auto"/>
            <w:hideMark/>
          </w:tcPr>
          <w:p w14:paraId="2FDDBF1C"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Могильник "Автовокзал", VIII - VI вв. до н.э.</w:t>
            </w:r>
          </w:p>
        </w:tc>
        <w:tc>
          <w:tcPr>
            <w:tcW w:w="3402" w:type="dxa"/>
            <w:shd w:val="clear" w:color="auto" w:fill="auto"/>
            <w:hideMark/>
          </w:tcPr>
          <w:p w14:paraId="68F96D5C"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auto" w:fill="auto"/>
            <w:hideMark/>
          </w:tcPr>
          <w:p w14:paraId="43E55A9B"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auto" w:fill="auto"/>
            <w:hideMark/>
          </w:tcPr>
          <w:p w14:paraId="50D1D3A2"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Территория автовокзала</w:t>
            </w:r>
          </w:p>
        </w:tc>
        <w:tc>
          <w:tcPr>
            <w:tcW w:w="1734" w:type="dxa"/>
            <w:shd w:val="clear" w:color="000000" w:fill="auto"/>
            <w:hideMark/>
          </w:tcPr>
          <w:p w14:paraId="1CB0DA33"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17.09.2020№ 725</w:t>
            </w:r>
          </w:p>
        </w:tc>
        <w:tc>
          <w:tcPr>
            <w:tcW w:w="2915" w:type="dxa"/>
            <w:shd w:val="clear" w:color="auto" w:fill="auto"/>
            <w:hideMark/>
          </w:tcPr>
          <w:p w14:paraId="47AFA307"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5FF5ED78" w14:textId="77777777" w:rsidTr="00397502">
        <w:trPr>
          <w:trHeight w:val="2108"/>
        </w:trPr>
        <w:tc>
          <w:tcPr>
            <w:tcW w:w="704" w:type="dxa"/>
            <w:shd w:val="clear" w:color="auto" w:fill="auto"/>
            <w:noWrap/>
          </w:tcPr>
          <w:p w14:paraId="1327CC25"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78CF5957"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Могильник "Железнодорожный мост", VIII - VI вв. до н.э.</w:t>
            </w:r>
          </w:p>
        </w:tc>
        <w:tc>
          <w:tcPr>
            <w:tcW w:w="3402" w:type="dxa"/>
            <w:shd w:val="clear" w:color="000000" w:fill="auto"/>
            <w:hideMark/>
          </w:tcPr>
          <w:p w14:paraId="45A35DC2"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2750BEC2"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5FB2E5CD"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150 - 200 м северо-восточнее железнодорожного моста, левобережная терраса р. Подкумок</w:t>
            </w:r>
          </w:p>
        </w:tc>
        <w:tc>
          <w:tcPr>
            <w:tcW w:w="1734" w:type="dxa"/>
            <w:shd w:val="clear" w:color="000000" w:fill="auto"/>
            <w:hideMark/>
          </w:tcPr>
          <w:p w14:paraId="6D26D4B1"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приказ управления № 855 от 06.09.2021</w:t>
            </w:r>
          </w:p>
        </w:tc>
        <w:tc>
          <w:tcPr>
            <w:tcW w:w="2915" w:type="dxa"/>
            <w:shd w:val="clear" w:color="000000" w:fill="auto"/>
            <w:hideMark/>
          </w:tcPr>
          <w:p w14:paraId="05BA87BC"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14170EA7" w14:textId="77777777" w:rsidTr="00397502">
        <w:trPr>
          <w:trHeight w:val="2225"/>
        </w:trPr>
        <w:tc>
          <w:tcPr>
            <w:tcW w:w="704" w:type="dxa"/>
            <w:shd w:val="clear" w:color="auto" w:fill="auto"/>
            <w:noWrap/>
          </w:tcPr>
          <w:p w14:paraId="78A3FAF1"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45DEF466"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Поселение "Промзона - 1", VIII - VI вв. до н.э.</w:t>
            </w:r>
          </w:p>
        </w:tc>
        <w:tc>
          <w:tcPr>
            <w:tcW w:w="3402" w:type="dxa"/>
            <w:shd w:val="clear" w:color="000000" w:fill="auto"/>
            <w:hideMark/>
          </w:tcPr>
          <w:p w14:paraId="1552C8D8"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23EFCD81"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41AB88D5"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Юго-восточная часть промзоны, у сооружений автотехобслуживания</w:t>
            </w:r>
          </w:p>
        </w:tc>
        <w:tc>
          <w:tcPr>
            <w:tcW w:w="1734" w:type="dxa"/>
            <w:shd w:val="clear" w:color="000000" w:fill="auto"/>
            <w:hideMark/>
          </w:tcPr>
          <w:p w14:paraId="6CAD2B58"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c>
          <w:tcPr>
            <w:tcW w:w="2915" w:type="dxa"/>
            <w:shd w:val="clear" w:color="000000" w:fill="auto"/>
            <w:hideMark/>
          </w:tcPr>
          <w:p w14:paraId="4A64B240"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77303399" w14:textId="77777777" w:rsidTr="00397502">
        <w:trPr>
          <w:trHeight w:val="1399"/>
        </w:trPr>
        <w:tc>
          <w:tcPr>
            <w:tcW w:w="704" w:type="dxa"/>
            <w:shd w:val="clear" w:color="auto" w:fill="auto"/>
            <w:noWrap/>
          </w:tcPr>
          <w:p w14:paraId="5399E87F"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52792315"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Поселение "Промзона - 2", IX - XII вв. н.э.</w:t>
            </w:r>
          </w:p>
        </w:tc>
        <w:tc>
          <w:tcPr>
            <w:tcW w:w="3402" w:type="dxa"/>
            <w:shd w:val="clear" w:color="000000" w:fill="auto"/>
            <w:hideMark/>
          </w:tcPr>
          <w:p w14:paraId="0C43B965"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 xml:space="preserve">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w:t>
            </w:r>
            <w:r w:rsidRPr="00731FE2">
              <w:rPr>
                <w:rFonts w:ascii="Times New Roman" w:eastAsia="Times New Roman" w:hAnsi="Times New Roman" w:cs="Times New Roman"/>
                <w:sz w:val="20"/>
                <w:szCs w:val="20"/>
                <w:lang w:eastAsia="ru-RU"/>
              </w:rPr>
              <w:lastRenderedPageBreak/>
              <w:t>республиканского значения, утвержденного</w:t>
            </w:r>
          </w:p>
        </w:tc>
        <w:tc>
          <w:tcPr>
            <w:tcW w:w="1417" w:type="dxa"/>
            <w:shd w:val="clear" w:color="000000" w:fill="auto"/>
            <w:hideMark/>
          </w:tcPr>
          <w:p w14:paraId="1D2C0639"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lastRenderedPageBreak/>
              <w:t>федерального значения</w:t>
            </w:r>
          </w:p>
        </w:tc>
        <w:tc>
          <w:tcPr>
            <w:tcW w:w="1872" w:type="dxa"/>
            <w:shd w:val="clear" w:color="000000" w:fill="auto"/>
            <w:hideMark/>
          </w:tcPr>
          <w:p w14:paraId="3CF78AD4"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Примыкает к территории пос. "Промзона - 1"</w:t>
            </w:r>
          </w:p>
        </w:tc>
        <w:tc>
          <w:tcPr>
            <w:tcW w:w="1734" w:type="dxa"/>
            <w:shd w:val="clear" w:color="000000" w:fill="auto"/>
            <w:hideMark/>
          </w:tcPr>
          <w:p w14:paraId="7F95C3D9"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c>
          <w:tcPr>
            <w:tcW w:w="2915" w:type="dxa"/>
            <w:shd w:val="clear" w:color="000000" w:fill="auto"/>
            <w:hideMark/>
          </w:tcPr>
          <w:p w14:paraId="2F875E0F"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2C45093E" w14:textId="77777777" w:rsidTr="00397502">
        <w:trPr>
          <w:trHeight w:val="1824"/>
        </w:trPr>
        <w:tc>
          <w:tcPr>
            <w:tcW w:w="704" w:type="dxa"/>
            <w:shd w:val="clear" w:color="auto" w:fill="auto"/>
            <w:noWrap/>
          </w:tcPr>
          <w:p w14:paraId="0F385FBC"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00BD5930"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Могильник "Промзона - 1", VIII – VII вв. до н.э.</w:t>
            </w:r>
          </w:p>
        </w:tc>
        <w:tc>
          <w:tcPr>
            <w:tcW w:w="3402" w:type="dxa"/>
            <w:shd w:val="clear" w:color="000000" w:fill="auto"/>
            <w:hideMark/>
          </w:tcPr>
          <w:p w14:paraId="7B132827"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28F85655"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5A14CB20"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У поселения "Промзона - 1"</w:t>
            </w:r>
          </w:p>
        </w:tc>
        <w:tc>
          <w:tcPr>
            <w:tcW w:w="1734" w:type="dxa"/>
            <w:shd w:val="clear" w:color="000000" w:fill="auto"/>
            <w:hideMark/>
          </w:tcPr>
          <w:p w14:paraId="6AC17911"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c>
          <w:tcPr>
            <w:tcW w:w="2915" w:type="dxa"/>
            <w:shd w:val="clear" w:color="000000" w:fill="auto"/>
            <w:hideMark/>
          </w:tcPr>
          <w:p w14:paraId="1B4E7757"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11CEA172" w14:textId="77777777" w:rsidTr="00397502">
        <w:trPr>
          <w:trHeight w:val="1799"/>
        </w:trPr>
        <w:tc>
          <w:tcPr>
            <w:tcW w:w="704" w:type="dxa"/>
            <w:shd w:val="clear" w:color="auto" w:fill="auto"/>
            <w:noWrap/>
          </w:tcPr>
          <w:p w14:paraId="6F8051AF"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28CA8F53"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Поселение "Казачка - 1", I тыс. до н.э. - нач. I тыс. н.э.</w:t>
            </w:r>
          </w:p>
        </w:tc>
        <w:tc>
          <w:tcPr>
            <w:tcW w:w="3402" w:type="dxa"/>
            <w:shd w:val="clear" w:color="000000" w:fill="auto"/>
            <w:hideMark/>
          </w:tcPr>
          <w:p w14:paraId="7DE93A97"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7779B215"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12B1B9F5"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Гора "Казачка" между реками Березовка и Аликоновка, центр города</w:t>
            </w:r>
          </w:p>
        </w:tc>
        <w:tc>
          <w:tcPr>
            <w:tcW w:w="1734" w:type="dxa"/>
            <w:shd w:val="clear" w:color="000000" w:fill="auto"/>
            <w:hideMark/>
          </w:tcPr>
          <w:p w14:paraId="473795E4"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приказ управления№ 854 от 06.09.2021</w:t>
            </w:r>
          </w:p>
        </w:tc>
        <w:tc>
          <w:tcPr>
            <w:tcW w:w="2915" w:type="dxa"/>
            <w:shd w:val="clear" w:color="000000" w:fill="auto"/>
            <w:hideMark/>
          </w:tcPr>
          <w:p w14:paraId="3A7E13E9"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6330F47F" w14:textId="77777777" w:rsidTr="00397502">
        <w:trPr>
          <w:trHeight w:val="1824"/>
        </w:trPr>
        <w:tc>
          <w:tcPr>
            <w:tcW w:w="704" w:type="dxa"/>
            <w:shd w:val="clear" w:color="auto" w:fill="auto"/>
            <w:noWrap/>
          </w:tcPr>
          <w:p w14:paraId="3F14570C"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0A5C4FE3"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Казачий пост, 1-я пол. XIX в.</w:t>
            </w:r>
          </w:p>
        </w:tc>
        <w:tc>
          <w:tcPr>
            <w:tcW w:w="3402" w:type="dxa"/>
            <w:shd w:val="clear" w:color="000000" w:fill="auto"/>
            <w:hideMark/>
          </w:tcPr>
          <w:p w14:paraId="127179DB"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265C777D"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4460C157"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Гора "Казачка", центр города</w:t>
            </w:r>
          </w:p>
        </w:tc>
        <w:tc>
          <w:tcPr>
            <w:tcW w:w="1734" w:type="dxa"/>
            <w:shd w:val="clear" w:color="000000" w:fill="auto"/>
            <w:hideMark/>
          </w:tcPr>
          <w:p w14:paraId="4EE5F2A8"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c>
          <w:tcPr>
            <w:tcW w:w="2915" w:type="dxa"/>
            <w:shd w:val="clear" w:color="000000" w:fill="auto"/>
            <w:hideMark/>
          </w:tcPr>
          <w:p w14:paraId="669AFEE1"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202DB677" w14:textId="77777777" w:rsidTr="00397502">
        <w:trPr>
          <w:trHeight w:val="2108"/>
        </w:trPr>
        <w:tc>
          <w:tcPr>
            <w:tcW w:w="704" w:type="dxa"/>
            <w:shd w:val="clear" w:color="auto" w:fill="auto"/>
            <w:noWrap/>
          </w:tcPr>
          <w:p w14:paraId="6820A884"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47EDBDDF"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Могильник "Курзал", I - III вв. н.э.</w:t>
            </w:r>
          </w:p>
        </w:tc>
        <w:tc>
          <w:tcPr>
            <w:tcW w:w="3402" w:type="dxa"/>
            <w:shd w:val="clear" w:color="000000" w:fill="auto"/>
            <w:hideMark/>
          </w:tcPr>
          <w:p w14:paraId="0699FFC3"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5CF596F5"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54AD1AE8"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Центр города, у госфилармонии КМВ</w:t>
            </w:r>
          </w:p>
        </w:tc>
        <w:tc>
          <w:tcPr>
            <w:tcW w:w="1734" w:type="dxa"/>
            <w:shd w:val="clear" w:color="000000" w:fill="auto"/>
            <w:hideMark/>
          </w:tcPr>
          <w:p w14:paraId="0FEE1153"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изменение 873 от 15.09.2023; 164 от 10.03.2023</w:t>
            </w:r>
          </w:p>
        </w:tc>
        <w:tc>
          <w:tcPr>
            <w:tcW w:w="2915" w:type="dxa"/>
            <w:shd w:val="clear" w:color="000000" w:fill="auto"/>
            <w:hideMark/>
          </w:tcPr>
          <w:p w14:paraId="3B1B44DD"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0D32E4A7" w14:textId="77777777" w:rsidTr="00397502">
        <w:trPr>
          <w:trHeight w:val="1799"/>
        </w:trPr>
        <w:tc>
          <w:tcPr>
            <w:tcW w:w="704" w:type="dxa"/>
            <w:shd w:val="clear" w:color="auto" w:fill="auto"/>
            <w:noWrap/>
          </w:tcPr>
          <w:p w14:paraId="14BDC774"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4F9966E9"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Могильник "Вокзальный - 1", X - VIII вв. до н.э.</w:t>
            </w:r>
          </w:p>
        </w:tc>
        <w:tc>
          <w:tcPr>
            <w:tcW w:w="3402" w:type="dxa"/>
            <w:shd w:val="clear" w:color="000000" w:fill="auto"/>
            <w:hideMark/>
          </w:tcPr>
          <w:p w14:paraId="4B0DD435"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6C92CDBE"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56EBDFB8"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Центр. Привокзальная площадь, у здания бывшего агентства "Аэрофлот"</w:t>
            </w:r>
          </w:p>
        </w:tc>
        <w:tc>
          <w:tcPr>
            <w:tcW w:w="1734" w:type="dxa"/>
            <w:shd w:val="clear" w:color="000000" w:fill="auto"/>
            <w:hideMark/>
          </w:tcPr>
          <w:p w14:paraId="31F26CB0"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приказ управления № 1426 от 21.12.2021</w:t>
            </w:r>
          </w:p>
        </w:tc>
        <w:tc>
          <w:tcPr>
            <w:tcW w:w="2915" w:type="dxa"/>
            <w:shd w:val="clear" w:color="000000" w:fill="auto"/>
            <w:hideMark/>
          </w:tcPr>
          <w:p w14:paraId="3C40636B"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0A5E9147" w14:textId="77777777" w:rsidTr="00397502">
        <w:trPr>
          <w:trHeight w:val="2250"/>
        </w:trPr>
        <w:tc>
          <w:tcPr>
            <w:tcW w:w="704" w:type="dxa"/>
            <w:shd w:val="clear" w:color="auto" w:fill="auto"/>
            <w:noWrap/>
          </w:tcPr>
          <w:p w14:paraId="747A99E8"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1E6F3ED0"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Могильник "Вокзальный - 2", VIII – VII вв. до н.э.</w:t>
            </w:r>
          </w:p>
        </w:tc>
        <w:tc>
          <w:tcPr>
            <w:tcW w:w="3402" w:type="dxa"/>
            <w:shd w:val="clear" w:color="000000" w:fill="auto"/>
            <w:hideMark/>
          </w:tcPr>
          <w:p w14:paraId="2CC969D6"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45EDFA07"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559DBCBA"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Центр. Привокзальная площадь, северное подножье г. Крестовой у здания кафе "Космос"</w:t>
            </w:r>
          </w:p>
        </w:tc>
        <w:tc>
          <w:tcPr>
            <w:tcW w:w="1734" w:type="dxa"/>
            <w:shd w:val="clear" w:color="000000" w:fill="auto"/>
            <w:hideMark/>
          </w:tcPr>
          <w:p w14:paraId="1F5E11C6"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1097 от 10.11.2023</w:t>
            </w:r>
          </w:p>
        </w:tc>
        <w:tc>
          <w:tcPr>
            <w:tcW w:w="2915" w:type="dxa"/>
            <w:shd w:val="clear" w:color="000000" w:fill="auto"/>
            <w:hideMark/>
          </w:tcPr>
          <w:p w14:paraId="76DCA979"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072C4FA8" w14:textId="77777777" w:rsidTr="00397502">
        <w:trPr>
          <w:trHeight w:val="2250"/>
        </w:trPr>
        <w:tc>
          <w:tcPr>
            <w:tcW w:w="704" w:type="dxa"/>
            <w:shd w:val="clear" w:color="auto" w:fill="auto"/>
            <w:noWrap/>
          </w:tcPr>
          <w:p w14:paraId="68F81041"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0F94880D"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Поселение "Крестовое", I тыс. до н.э. - нач. I тыс. н.э.</w:t>
            </w:r>
          </w:p>
        </w:tc>
        <w:tc>
          <w:tcPr>
            <w:tcW w:w="3402" w:type="dxa"/>
            <w:shd w:val="clear" w:color="000000" w:fill="auto"/>
            <w:hideMark/>
          </w:tcPr>
          <w:p w14:paraId="5034068E"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76EC5963"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642E2911"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Вершина горы "Крестовая" Центр, у санатория им. Горького</w:t>
            </w:r>
          </w:p>
        </w:tc>
        <w:tc>
          <w:tcPr>
            <w:tcW w:w="1734" w:type="dxa"/>
            <w:shd w:val="clear" w:color="000000" w:fill="auto"/>
            <w:hideMark/>
          </w:tcPr>
          <w:p w14:paraId="59EA65FD"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c>
          <w:tcPr>
            <w:tcW w:w="2915" w:type="dxa"/>
            <w:shd w:val="clear" w:color="000000" w:fill="auto"/>
            <w:hideMark/>
          </w:tcPr>
          <w:p w14:paraId="10577B92"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2CD255F8" w14:textId="77777777" w:rsidTr="00397502">
        <w:trPr>
          <w:trHeight w:val="3960"/>
        </w:trPr>
        <w:tc>
          <w:tcPr>
            <w:tcW w:w="704" w:type="dxa"/>
            <w:shd w:val="clear" w:color="auto" w:fill="auto"/>
            <w:noWrap/>
          </w:tcPr>
          <w:p w14:paraId="49F89BAD"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617905CD"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Поселение "Барановская Горка", I тыс. до н.э.</w:t>
            </w:r>
          </w:p>
        </w:tc>
        <w:tc>
          <w:tcPr>
            <w:tcW w:w="3402" w:type="dxa"/>
            <w:shd w:val="clear" w:color="000000" w:fill="auto"/>
            <w:hideMark/>
          </w:tcPr>
          <w:p w14:paraId="7AE06E06"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0EE9D33E"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3B59BD20"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Центр, вершина "Барановской Горки", у санатория "Кисловодск"</w:t>
            </w:r>
          </w:p>
        </w:tc>
        <w:tc>
          <w:tcPr>
            <w:tcW w:w="1734" w:type="dxa"/>
            <w:shd w:val="clear" w:color="000000" w:fill="auto"/>
            <w:hideMark/>
          </w:tcPr>
          <w:p w14:paraId="7CB95907"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приказ управления от 29.12.2021 г. № 1465</w:t>
            </w:r>
          </w:p>
        </w:tc>
        <w:tc>
          <w:tcPr>
            <w:tcW w:w="2915" w:type="dxa"/>
            <w:shd w:val="clear" w:color="000000" w:fill="auto"/>
            <w:hideMark/>
          </w:tcPr>
          <w:p w14:paraId="6D994AAA"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0C7C073C" w14:textId="77777777" w:rsidTr="00397502">
        <w:trPr>
          <w:trHeight w:val="1682"/>
        </w:trPr>
        <w:tc>
          <w:tcPr>
            <w:tcW w:w="704" w:type="dxa"/>
            <w:shd w:val="clear" w:color="auto" w:fill="auto"/>
            <w:noWrap/>
          </w:tcPr>
          <w:p w14:paraId="1C38C876"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496F27A4"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Могильник "Крестовая Горка", VIII – VI вв. до н.э.</w:t>
            </w:r>
          </w:p>
        </w:tc>
        <w:tc>
          <w:tcPr>
            <w:tcW w:w="3402" w:type="dxa"/>
            <w:shd w:val="clear" w:color="000000" w:fill="auto"/>
            <w:hideMark/>
          </w:tcPr>
          <w:p w14:paraId="48509113"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55DA5F37"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3583AE9A"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Вершина "Крестовой Горы" Центр, возле корпуса санатория им. Горького</w:t>
            </w:r>
          </w:p>
        </w:tc>
        <w:tc>
          <w:tcPr>
            <w:tcW w:w="1734" w:type="dxa"/>
            <w:shd w:val="clear" w:color="000000" w:fill="auto"/>
            <w:hideMark/>
          </w:tcPr>
          <w:p w14:paraId="17CE19D2"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c>
          <w:tcPr>
            <w:tcW w:w="2915" w:type="dxa"/>
            <w:shd w:val="clear" w:color="000000" w:fill="auto"/>
            <w:hideMark/>
          </w:tcPr>
          <w:p w14:paraId="58C158E4"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5CD29113" w14:textId="77777777" w:rsidTr="00397502">
        <w:trPr>
          <w:trHeight w:val="1232"/>
        </w:trPr>
        <w:tc>
          <w:tcPr>
            <w:tcW w:w="704" w:type="dxa"/>
            <w:shd w:val="clear" w:color="auto" w:fill="auto"/>
            <w:noWrap/>
          </w:tcPr>
          <w:p w14:paraId="0D2E4B90"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441580B8"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Могильник "Улица Коминтерна", VIII – VII вв. до н.э.</w:t>
            </w:r>
          </w:p>
        </w:tc>
        <w:tc>
          <w:tcPr>
            <w:tcW w:w="3402" w:type="dxa"/>
            <w:shd w:val="clear" w:color="000000" w:fill="auto"/>
            <w:hideMark/>
          </w:tcPr>
          <w:p w14:paraId="07F7EF89"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4DAD0255"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013F4D20"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Центр, верхняя часть ул. Коминтерна, за высотным корпусом санатория "Луч"</w:t>
            </w:r>
          </w:p>
        </w:tc>
        <w:tc>
          <w:tcPr>
            <w:tcW w:w="1734" w:type="dxa"/>
            <w:shd w:val="clear" w:color="000000" w:fill="auto"/>
            <w:hideMark/>
          </w:tcPr>
          <w:p w14:paraId="747E7AB8"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от 29.10.2021 № 1149</w:t>
            </w:r>
          </w:p>
        </w:tc>
        <w:tc>
          <w:tcPr>
            <w:tcW w:w="2915" w:type="dxa"/>
            <w:shd w:val="clear" w:color="000000" w:fill="auto"/>
            <w:hideMark/>
          </w:tcPr>
          <w:p w14:paraId="3336EA98"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32378961" w14:textId="77777777" w:rsidTr="00397502">
        <w:trPr>
          <w:trHeight w:val="1824"/>
        </w:trPr>
        <w:tc>
          <w:tcPr>
            <w:tcW w:w="704" w:type="dxa"/>
            <w:shd w:val="clear" w:color="auto" w:fill="auto"/>
            <w:noWrap/>
          </w:tcPr>
          <w:p w14:paraId="1514672A"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4AC660E4"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Могильник "Церковная Горка", сер. I тыс. н.э.</w:t>
            </w:r>
          </w:p>
        </w:tc>
        <w:tc>
          <w:tcPr>
            <w:tcW w:w="3402" w:type="dxa"/>
            <w:shd w:val="clear" w:color="000000" w:fill="auto"/>
            <w:hideMark/>
          </w:tcPr>
          <w:p w14:paraId="377FF23B"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427C8E63"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3F6F3459"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Центр, восточная часть "Церковной "Горки и территории у санатория "Смена"</w:t>
            </w:r>
          </w:p>
        </w:tc>
        <w:tc>
          <w:tcPr>
            <w:tcW w:w="1734" w:type="dxa"/>
            <w:shd w:val="clear" w:color="000000" w:fill="auto"/>
            <w:hideMark/>
          </w:tcPr>
          <w:p w14:paraId="2837FFA4"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внесение изм. № 398 от 19.05.2023; 163 от 10.03.2023</w:t>
            </w:r>
          </w:p>
        </w:tc>
        <w:tc>
          <w:tcPr>
            <w:tcW w:w="2915" w:type="dxa"/>
            <w:shd w:val="clear" w:color="000000" w:fill="auto"/>
            <w:hideMark/>
          </w:tcPr>
          <w:p w14:paraId="07571118"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6C80E4FB" w14:textId="77777777" w:rsidTr="00397502">
        <w:trPr>
          <w:trHeight w:val="2250"/>
        </w:trPr>
        <w:tc>
          <w:tcPr>
            <w:tcW w:w="704" w:type="dxa"/>
            <w:shd w:val="clear" w:color="auto" w:fill="auto"/>
            <w:noWrap/>
          </w:tcPr>
          <w:p w14:paraId="179E28E8"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2993F784"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Могильник "Кавказ", III – IV вв. н.э.</w:t>
            </w:r>
          </w:p>
        </w:tc>
        <w:tc>
          <w:tcPr>
            <w:tcW w:w="3402" w:type="dxa"/>
            <w:shd w:val="clear" w:color="000000" w:fill="auto"/>
            <w:hideMark/>
          </w:tcPr>
          <w:p w14:paraId="2C8B5560"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78571638"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3FFC5416"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Центр, восточная оконечность горки "Согласие", на территории пансионата "Кругозор"</w:t>
            </w:r>
          </w:p>
        </w:tc>
        <w:tc>
          <w:tcPr>
            <w:tcW w:w="1734" w:type="dxa"/>
            <w:shd w:val="clear" w:color="000000" w:fill="auto"/>
            <w:hideMark/>
          </w:tcPr>
          <w:p w14:paraId="4E329FA4"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1463 от 24.11.2022</w:t>
            </w:r>
          </w:p>
        </w:tc>
        <w:tc>
          <w:tcPr>
            <w:tcW w:w="2915" w:type="dxa"/>
            <w:shd w:val="clear" w:color="000000" w:fill="auto"/>
            <w:hideMark/>
          </w:tcPr>
          <w:p w14:paraId="072333A5"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5A12881A" w14:textId="77777777" w:rsidTr="00397502">
        <w:trPr>
          <w:trHeight w:val="3960"/>
        </w:trPr>
        <w:tc>
          <w:tcPr>
            <w:tcW w:w="704" w:type="dxa"/>
            <w:shd w:val="clear" w:color="auto" w:fill="auto"/>
            <w:noWrap/>
          </w:tcPr>
          <w:p w14:paraId="27DD5930"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71B33E68"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Курганная группа "Пятницкая горка", III – II тыс. до н.э.</w:t>
            </w:r>
          </w:p>
        </w:tc>
        <w:tc>
          <w:tcPr>
            <w:tcW w:w="3402" w:type="dxa"/>
            <w:shd w:val="clear" w:color="000000" w:fill="auto"/>
            <w:hideMark/>
          </w:tcPr>
          <w:p w14:paraId="046E0FED"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0D659932"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0DB2B915"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Центр, западная часть возвышенности "Пятницкие высоты", возле памятника "Павшим героям". Фактическое местоположение памятника: Ставропольский край, г. Кисловодск, 4,44 км на северо-восток до автомобильного моста через р. Подкумок, север г. Кисловодска (то</w:t>
            </w:r>
          </w:p>
        </w:tc>
        <w:tc>
          <w:tcPr>
            <w:tcW w:w="1734" w:type="dxa"/>
            <w:shd w:val="clear" w:color="000000" w:fill="auto"/>
            <w:hideMark/>
          </w:tcPr>
          <w:p w14:paraId="1C730AA9"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приказ управления от 19.04.2021 № 325</w:t>
            </w:r>
          </w:p>
        </w:tc>
        <w:tc>
          <w:tcPr>
            <w:tcW w:w="2915" w:type="dxa"/>
            <w:shd w:val="clear" w:color="000000" w:fill="auto"/>
            <w:hideMark/>
          </w:tcPr>
          <w:p w14:paraId="046CB96F"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6005B6A0" w14:textId="77777777" w:rsidTr="00397502">
        <w:trPr>
          <w:trHeight w:val="2108"/>
        </w:trPr>
        <w:tc>
          <w:tcPr>
            <w:tcW w:w="704" w:type="dxa"/>
            <w:shd w:val="clear" w:color="auto" w:fill="auto"/>
            <w:noWrap/>
          </w:tcPr>
          <w:p w14:paraId="13FC30CE"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4CE8FCC4"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Могильник "Красная Площадь", сер. I тыс. н.э.</w:t>
            </w:r>
          </w:p>
        </w:tc>
        <w:tc>
          <w:tcPr>
            <w:tcW w:w="3402" w:type="dxa"/>
            <w:shd w:val="clear" w:color="000000" w:fill="auto"/>
            <w:hideMark/>
          </w:tcPr>
          <w:p w14:paraId="2135D24F"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28D1D1C7"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14699829"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У крепости и восстанавливаемого Никольского собора</w:t>
            </w:r>
          </w:p>
        </w:tc>
        <w:tc>
          <w:tcPr>
            <w:tcW w:w="1734" w:type="dxa"/>
            <w:shd w:val="clear" w:color="000000" w:fill="auto"/>
            <w:hideMark/>
          </w:tcPr>
          <w:p w14:paraId="31FF20B5"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приказ управления от 15.09.2022 г. № 1048</w:t>
            </w:r>
          </w:p>
        </w:tc>
        <w:tc>
          <w:tcPr>
            <w:tcW w:w="2915" w:type="dxa"/>
            <w:shd w:val="clear" w:color="000000" w:fill="auto"/>
            <w:hideMark/>
          </w:tcPr>
          <w:p w14:paraId="239681FE"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7DEFDA02" w14:textId="77777777" w:rsidTr="00397502">
        <w:trPr>
          <w:trHeight w:val="2108"/>
        </w:trPr>
        <w:tc>
          <w:tcPr>
            <w:tcW w:w="704" w:type="dxa"/>
            <w:shd w:val="clear" w:color="auto" w:fill="auto"/>
            <w:noWrap/>
          </w:tcPr>
          <w:p w14:paraId="563C11A8"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597E4BB2"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Поселение "Ломоносовка", I тыс. н.э.</w:t>
            </w:r>
          </w:p>
        </w:tc>
        <w:tc>
          <w:tcPr>
            <w:tcW w:w="3402" w:type="dxa"/>
            <w:shd w:val="clear" w:color="000000" w:fill="auto"/>
            <w:hideMark/>
          </w:tcPr>
          <w:p w14:paraId="5D2ADA8E"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 xml:space="preserve">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w:t>
            </w:r>
            <w:r w:rsidRPr="00731FE2">
              <w:rPr>
                <w:rFonts w:ascii="Times New Roman" w:eastAsia="Times New Roman" w:hAnsi="Times New Roman" w:cs="Times New Roman"/>
                <w:sz w:val="20"/>
                <w:szCs w:val="20"/>
                <w:lang w:eastAsia="ru-RU"/>
              </w:rPr>
              <w:lastRenderedPageBreak/>
              <w:t>утвержденного</w:t>
            </w:r>
          </w:p>
        </w:tc>
        <w:tc>
          <w:tcPr>
            <w:tcW w:w="1417" w:type="dxa"/>
            <w:shd w:val="clear" w:color="000000" w:fill="auto"/>
            <w:hideMark/>
          </w:tcPr>
          <w:p w14:paraId="500F7332"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lastRenderedPageBreak/>
              <w:t>федерального значения</w:t>
            </w:r>
          </w:p>
        </w:tc>
        <w:tc>
          <w:tcPr>
            <w:tcW w:w="1872" w:type="dxa"/>
            <w:shd w:val="clear" w:color="000000" w:fill="auto"/>
            <w:hideMark/>
          </w:tcPr>
          <w:p w14:paraId="7BC3176F"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Юго-западная окраина города, склон возвышенности над ул. Ломоносова</w:t>
            </w:r>
          </w:p>
        </w:tc>
        <w:tc>
          <w:tcPr>
            <w:tcW w:w="1734" w:type="dxa"/>
            <w:shd w:val="clear" w:color="000000" w:fill="auto"/>
            <w:hideMark/>
          </w:tcPr>
          <w:p w14:paraId="0666E81A"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c>
          <w:tcPr>
            <w:tcW w:w="2915" w:type="dxa"/>
            <w:shd w:val="clear" w:color="000000" w:fill="auto"/>
            <w:hideMark/>
          </w:tcPr>
          <w:p w14:paraId="34E2DAC7"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592DFA63" w14:textId="77777777" w:rsidTr="00397502">
        <w:trPr>
          <w:trHeight w:val="1941"/>
        </w:trPr>
        <w:tc>
          <w:tcPr>
            <w:tcW w:w="704" w:type="dxa"/>
            <w:shd w:val="clear" w:color="auto" w:fill="auto"/>
            <w:noWrap/>
          </w:tcPr>
          <w:p w14:paraId="758B7722"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02664FA9"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Могильник "Ломоносовка" ("Бермамытский"), VI – VII вв. н.э</w:t>
            </w:r>
          </w:p>
        </w:tc>
        <w:tc>
          <w:tcPr>
            <w:tcW w:w="3402" w:type="dxa"/>
            <w:shd w:val="clear" w:color="000000" w:fill="auto"/>
            <w:hideMark/>
          </w:tcPr>
          <w:p w14:paraId="2A0AC70F"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7A835AEC"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1C4403BA"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Склон возвышенности возле поселения "Ломоносовка"</w:t>
            </w:r>
          </w:p>
        </w:tc>
        <w:tc>
          <w:tcPr>
            <w:tcW w:w="1734" w:type="dxa"/>
            <w:shd w:val="clear" w:color="000000" w:fill="auto"/>
            <w:hideMark/>
          </w:tcPr>
          <w:p w14:paraId="784FB0F0"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c>
          <w:tcPr>
            <w:tcW w:w="2915" w:type="dxa"/>
            <w:shd w:val="clear" w:color="000000" w:fill="auto"/>
            <w:hideMark/>
          </w:tcPr>
          <w:p w14:paraId="2443D423"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29538620" w14:textId="77777777" w:rsidTr="00397502">
        <w:trPr>
          <w:trHeight w:val="1683"/>
        </w:trPr>
        <w:tc>
          <w:tcPr>
            <w:tcW w:w="704" w:type="dxa"/>
            <w:shd w:val="clear" w:color="auto" w:fill="auto"/>
            <w:noWrap/>
          </w:tcPr>
          <w:p w14:paraId="53EB803B"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0CA3303A"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Могильник "Сосновая Горка - 1", VIII – VI вв. до н.э.</w:t>
            </w:r>
          </w:p>
        </w:tc>
        <w:tc>
          <w:tcPr>
            <w:tcW w:w="3402" w:type="dxa"/>
            <w:shd w:val="clear" w:color="000000" w:fill="auto"/>
            <w:hideMark/>
          </w:tcPr>
          <w:p w14:paraId="6B7DDDE9"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56B7205D"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4A617F34"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юго-восточная часть "Сосновой Горки", курортный парк</w:t>
            </w:r>
          </w:p>
        </w:tc>
        <w:tc>
          <w:tcPr>
            <w:tcW w:w="1734" w:type="dxa"/>
            <w:shd w:val="clear" w:color="800080" w:fill="auto"/>
            <w:hideMark/>
          </w:tcPr>
          <w:p w14:paraId="1959CB8E"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приказ управления СК по охране ОКН от 27.07.2017 № 179</w:t>
            </w:r>
          </w:p>
        </w:tc>
        <w:tc>
          <w:tcPr>
            <w:tcW w:w="2915" w:type="dxa"/>
            <w:shd w:val="clear" w:color="000000" w:fill="auto"/>
            <w:hideMark/>
          </w:tcPr>
          <w:p w14:paraId="24E2BC03"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0E4F72DA" w14:textId="77777777" w:rsidTr="00397502">
        <w:trPr>
          <w:trHeight w:val="1824"/>
        </w:trPr>
        <w:tc>
          <w:tcPr>
            <w:tcW w:w="704" w:type="dxa"/>
            <w:shd w:val="clear" w:color="auto" w:fill="auto"/>
            <w:noWrap/>
          </w:tcPr>
          <w:p w14:paraId="044D3499"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20E78330"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Могильник "Сосновая Горка - 2", VIII – VI вв. до н.э.</w:t>
            </w:r>
          </w:p>
        </w:tc>
        <w:tc>
          <w:tcPr>
            <w:tcW w:w="3402" w:type="dxa"/>
            <w:shd w:val="clear" w:color="000000" w:fill="auto"/>
            <w:hideMark/>
          </w:tcPr>
          <w:p w14:paraId="6CA0855A"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 xml:space="preserve">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w:t>
            </w:r>
            <w:r w:rsidRPr="00731FE2">
              <w:rPr>
                <w:rFonts w:ascii="Times New Roman" w:eastAsia="Times New Roman" w:hAnsi="Times New Roman" w:cs="Times New Roman"/>
                <w:sz w:val="20"/>
                <w:szCs w:val="20"/>
                <w:lang w:eastAsia="ru-RU"/>
              </w:rPr>
              <w:lastRenderedPageBreak/>
              <w:t>утвержденного</w:t>
            </w:r>
          </w:p>
        </w:tc>
        <w:tc>
          <w:tcPr>
            <w:tcW w:w="1417" w:type="dxa"/>
            <w:shd w:val="clear" w:color="000000" w:fill="auto"/>
            <w:hideMark/>
          </w:tcPr>
          <w:p w14:paraId="6528C162"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lastRenderedPageBreak/>
              <w:t>федерального значения</w:t>
            </w:r>
          </w:p>
        </w:tc>
        <w:tc>
          <w:tcPr>
            <w:tcW w:w="1872" w:type="dxa"/>
            <w:shd w:val="clear" w:color="000000" w:fill="auto"/>
            <w:hideMark/>
          </w:tcPr>
          <w:p w14:paraId="678FB7D2"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300 - 350 м севернее основного корпуса санатория "Эльбрус", курортный парк</w:t>
            </w:r>
          </w:p>
        </w:tc>
        <w:tc>
          <w:tcPr>
            <w:tcW w:w="1734" w:type="dxa"/>
            <w:shd w:val="clear" w:color="800080" w:fill="auto"/>
            <w:hideMark/>
          </w:tcPr>
          <w:p w14:paraId="0F8BF0B9"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приказ управления СК по охране ОКН от 27.07.2017 № 174</w:t>
            </w:r>
          </w:p>
        </w:tc>
        <w:tc>
          <w:tcPr>
            <w:tcW w:w="2915" w:type="dxa"/>
            <w:shd w:val="clear" w:color="000000" w:fill="auto"/>
            <w:hideMark/>
          </w:tcPr>
          <w:p w14:paraId="069E9F3C"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0F8EE64B" w14:textId="77777777" w:rsidTr="00397502">
        <w:trPr>
          <w:trHeight w:val="1941"/>
        </w:trPr>
        <w:tc>
          <w:tcPr>
            <w:tcW w:w="704" w:type="dxa"/>
            <w:shd w:val="clear" w:color="auto" w:fill="auto"/>
            <w:noWrap/>
          </w:tcPr>
          <w:p w14:paraId="18F5D590"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2A0EA9EA"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Поселение "Пикет", VIII – VI вв. до н.э.</w:t>
            </w:r>
          </w:p>
        </w:tc>
        <w:tc>
          <w:tcPr>
            <w:tcW w:w="3402" w:type="dxa"/>
            <w:shd w:val="clear" w:color="000000" w:fill="auto"/>
            <w:hideMark/>
          </w:tcPr>
          <w:p w14:paraId="0F993D1E"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04CA69D7"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644B0A96"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юго-восточная окраина города, склон левой стороны Пикетной балки, ул. Пикетная</w:t>
            </w:r>
          </w:p>
        </w:tc>
        <w:tc>
          <w:tcPr>
            <w:tcW w:w="1734" w:type="dxa"/>
            <w:shd w:val="clear" w:color="000000" w:fill="auto"/>
            <w:hideMark/>
          </w:tcPr>
          <w:p w14:paraId="2DE20026"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1369 от 03.11.2022 г.</w:t>
            </w:r>
          </w:p>
        </w:tc>
        <w:tc>
          <w:tcPr>
            <w:tcW w:w="2915" w:type="dxa"/>
            <w:shd w:val="clear" w:color="000000" w:fill="auto"/>
            <w:hideMark/>
          </w:tcPr>
          <w:p w14:paraId="522C7B9C"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3EF57E35" w14:textId="77777777" w:rsidTr="00397502">
        <w:trPr>
          <w:trHeight w:val="1682"/>
        </w:trPr>
        <w:tc>
          <w:tcPr>
            <w:tcW w:w="704" w:type="dxa"/>
            <w:shd w:val="clear" w:color="auto" w:fill="auto"/>
            <w:noWrap/>
          </w:tcPr>
          <w:p w14:paraId="78257DD2"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5158D26E"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Казачий пикет, I пол. XIX в.</w:t>
            </w:r>
          </w:p>
        </w:tc>
        <w:tc>
          <w:tcPr>
            <w:tcW w:w="3402" w:type="dxa"/>
            <w:shd w:val="clear" w:color="000000" w:fill="auto"/>
            <w:hideMark/>
          </w:tcPr>
          <w:p w14:paraId="578DAA97"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70D63A85"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658FEE16"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Западное окончание горы Пикетной</w:t>
            </w:r>
          </w:p>
        </w:tc>
        <w:tc>
          <w:tcPr>
            <w:tcW w:w="1734" w:type="dxa"/>
            <w:shd w:val="clear" w:color="000000" w:fill="auto"/>
            <w:hideMark/>
          </w:tcPr>
          <w:p w14:paraId="5DAD9FE0"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c>
          <w:tcPr>
            <w:tcW w:w="2915" w:type="dxa"/>
            <w:shd w:val="clear" w:color="000000" w:fill="auto"/>
            <w:hideMark/>
          </w:tcPr>
          <w:p w14:paraId="68DB4511"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6A766D83" w14:textId="77777777" w:rsidTr="00397502">
        <w:trPr>
          <w:trHeight w:val="1824"/>
        </w:trPr>
        <w:tc>
          <w:tcPr>
            <w:tcW w:w="704" w:type="dxa"/>
            <w:shd w:val="clear" w:color="auto" w:fill="auto"/>
            <w:noWrap/>
          </w:tcPr>
          <w:p w14:paraId="6AF799B5"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37D0A885"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Поселение "Звездочка", I тыс. до н.э</w:t>
            </w:r>
          </w:p>
        </w:tc>
        <w:tc>
          <w:tcPr>
            <w:tcW w:w="3402" w:type="dxa"/>
            <w:shd w:val="clear" w:color="000000" w:fill="auto"/>
            <w:hideMark/>
          </w:tcPr>
          <w:p w14:paraId="5ADDC238"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0870B843"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6759949D"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Верх ул. Гагарина возле лагеря "Звездочка"</w:t>
            </w:r>
          </w:p>
        </w:tc>
        <w:tc>
          <w:tcPr>
            <w:tcW w:w="1734" w:type="dxa"/>
            <w:shd w:val="clear" w:color="000000" w:fill="auto"/>
            <w:hideMark/>
          </w:tcPr>
          <w:p w14:paraId="72A746AA"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c>
          <w:tcPr>
            <w:tcW w:w="2915" w:type="dxa"/>
            <w:shd w:val="clear" w:color="000000" w:fill="auto"/>
            <w:hideMark/>
          </w:tcPr>
          <w:p w14:paraId="164EDCB9"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3804BE48" w14:textId="77777777" w:rsidTr="00397502">
        <w:trPr>
          <w:trHeight w:val="1516"/>
        </w:trPr>
        <w:tc>
          <w:tcPr>
            <w:tcW w:w="704" w:type="dxa"/>
            <w:shd w:val="clear" w:color="auto" w:fill="auto"/>
            <w:noWrap/>
          </w:tcPr>
          <w:p w14:paraId="5C541F4B"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22415EE2"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Могильник "Черкасский", I тыс. до н.э</w:t>
            </w:r>
          </w:p>
        </w:tc>
        <w:tc>
          <w:tcPr>
            <w:tcW w:w="3402" w:type="dxa"/>
            <w:shd w:val="clear" w:color="000000" w:fill="auto"/>
            <w:hideMark/>
          </w:tcPr>
          <w:p w14:paraId="40E1C763"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30AAFF27"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2B0B3B02"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Индивидуальный участок по ул. Черкасской</w:t>
            </w:r>
          </w:p>
        </w:tc>
        <w:tc>
          <w:tcPr>
            <w:tcW w:w="1734" w:type="dxa"/>
            <w:shd w:val="clear" w:color="000000" w:fill="auto"/>
            <w:hideMark/>
          </w:tcPr>
          <w:p w14:paraId="68E38C46"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c>
          <w:tcPr>
            <w:tcW w:w="2915" w:type="dxa"/>
            <w:shd w:val="clear" w:color="000000" w:fill="auto"/>
            <w:hideMark/>
          </w:tcPr>
          <w:p w14:paraId="7C893D61"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211BE0EB" w14:textId="77777777" w:rsidTr="00397502">
        <w:trPr>
          <w:trHeight w:val="1683"/>
        </w:trPr>
        <w:tc>
          <w:tcPr>
            <w:tcW w:w="704" w:type="dxa"/>
            <w:shd w:val="clear" w:color="auto" w:fill="auto"/>
            <w:noWrap/>
          </w:tcPr>
          <w:p w14:paraId="2904965E"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30094F31"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Могильник "Бермамытский", I тыс. до н.э</w:t>
            </w:r>
          </w:p>
        </w:tc>
        <w:tc>
          <w:tcPr>
            <w:tcW w:w="3402" w:type="dxa"/>
            <w:shd w:val="clear" w:color="000000" w:fill="auto"/>
            <w:hideMark/>
          </w:tcPr>
          <w:p w14:paraId="702FE9BB"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7926B074"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5C4C465A"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Юго-западная окраина города, возле лагеря "Сосновый Бор"</w:t>
            </w:r>
          </w:p>
        </w:tc>
        <w:tc>
          <w:tcPr>
            <w:tcW w:w="1734" w:type="dxa"/>
            <w:shd w:val="clear" w:color="000000" w:fill="auto"/>
            <w:hideMark/>
          </w:tcPr>
          <w:p w14:paraId="7533E068"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c>
          <w:tcPr>
            <w:tcW w:w="2915" w:type="dxa"/>
            <w:shd w:val="clear" w:color="000000" w:fill="auto"/>
            <w:hideMark/>
          </w:tcPr>
          <w:p w14:paraId="6234DD55"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5D68641C" w14:textId="77777777" w:rsidTr="00397502">
        <w:trPr>
          <w:trHeight w:val="1966"/>
        </w:trPr>
        <w:tc>
          <w:tcPr>
            <w:tcW w:w="704" w:type="dxa"/>
            <w:shd w:val="clear" w:color="auto" w:fill="auto"/>
            <w:noWrap/>
          </w:tcPr>
          <w:p w14:paraId="45906572"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4F90AA98"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Могильник "Березовский - 3", VIII в. до н.э.</w:t>
            </w:r>
          </w:p>
        </w:tc>
        <w:tc>
          <w:tcPr>
            <w:tcW w:w="3402" w:type="dxa"/>
            <w:shd w:val="clear" w:color="000000" w:fill="auto"/>
            <w:hideMark/>
          </w:tcPr>
          <w:p w14:paraId="7BED5D6F"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5C2671D2"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49E960ED"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1,5 - 2 км юго-западнее города, левобережная терраса р. Березовки</w:t>
            </w:r>
          </w:p>
        </w:tc>
        <w:tc>
          <w:tcPr>
            <w:tcW w:w="1734" w:type="dxa"/>
            <w:shd w:val="clear" w:color="000000" w:fill="auto"/>
            <w:hideMark/>
          </w:tcPr>
          <w:p w14:paraId="1938438F"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c>
          <w:tcPr>
            <w:tcW w:w="2915" w:type="dxa"/>
            <w:shd w:val="clear" w:color="000000" w:fill="auto"/>
            <w:hideMark/>
          </w:tcPr>
          <w:p w14:paraId="1E84882A"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70AB6D1A" w14:textId="77777777" w:rsidTr="00397502">
        <w:trPr>
          <w:trHeight w:val="2083"/>
        </w:trPr>
        <w:tc>
          <w:tcPr>
            <w:tcW w:w="704" w:type="dxa"/>
            <w:shd w:val="clear" w:color="auto" w:fill="auto"/>
            <w:noWrap/>
          </w:tcPr>
          <w:p w14:paraId="08D57080"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7F49884E"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Могильник "Березовский - 4", VIII – VII вв. до н.э.</w:t>
            </w:r>
          </w:p>
        </w:tc>
        <w:tc>
          <w:tcPr>
            <w:tcW w:w="3402" w:type="dxa"/>
            <w:shd w:val="clear" w:color="000000" w:fill="auto"/>
            <w:hideMark/>
          </w:tcPr>
          <w:p w14:paraId="42FF262D"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51686057"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2C44DB33"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2 - 2,65 км юго-западнее города, левобережная терраса р. Березовки</w:t>
            </w:r>
          </w:p>
        </w:tc>
        <w:tc>
          <w:tcPr>
            <w:tcW w:w="1734" w:type="dxa"/>
            <w:shd w:val="clear" w:color="000000" w:fill="auto"/>
            <w:hideMark/>
          </w:tcPr>
          <w:p w14:paraId="6899F516"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c>
          <w:tcPr>
            <w:tcW w:w="2915" w:type="dxa"/>
            <w:shd w:val="clear" w:color="000000" w:fill="auto"/>
            <w:hideMark/>
          </w:tcPr>
          <w:p w14:paraId="755C4AB8"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11E10A63" w14:textId="77777777" w:rsidTr="00397502">
        <w:trPr>
          <w:trHeight w:val="1824"/>
        </w:trPr>
        <w:tc>
          <w:tcPr>
            <w:tcW w:w="704" w:type="dxa"/>
            <w:shd w:val="clear" w:color="auto" w:fill="auto"/>
            <w:noWrap/>
          </w:tcPr>
          <w:p w14:paraId="7B856CD0"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48AC56D5"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Могильник "Березовский - 5", VIII - VII вв. до н.э.</w:t>
            </w:r>
          </w:p>
        </w:tc>
        <w:tc>
          <w:tcPr>
            <w:tcW w:w="3402" w:type="dxa"/>
            <w:shd w:val="clear" w:color="000000" w:fill="auto"/>
            <w:hideMark/>
          </w:tcPr>
          <w:p w14:paraId="168BF92E"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12E31E59"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2E0FFE7F"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2 км юго-западнее города, левобережная терраса р. Березовки</w:t>
            </w:r>
          </w:p>
        </w:tc>
        <w:tc>
          <w:tcPr>
            <w:tcW w:w="1734" w:type="dxa"/>
            <w:shd w:val="clear" w:color="000000" w:fill="auto"/>
            <w:hideMark/>
          </w:tcPr>
          <w:p w14:paraId="36A31086"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c>
          <w:tcPr>
            <w:tcW w:w="2915" w:type="dxa"/>
            <w:shd w:val="clear" w:color="000000" w:fill="auto"/>
            <w:hideMark/>
          </w:tcPr>
          <w:p w14:paraId="28BDBBF9"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60F70670" w14:textId="77777777" w:rsidTr="00397502">
        <w:trPr>
          <w:trHeight w:val="1682"/>
        </w:trPr>
        <w:tc>
          <w:tcPr>
            <w:tcW w:w="704" w:type="dxa"/>
            <w:shd w:val="clear" w:color="auto" w:fill="auto"/>
            <w:noWrap/>
          </w:tcPr>
          <w:p w14:paraId="01584405"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3236354E"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Поселение "Левоберезовское - 2", нач. I тыс. н.э.</w:t>
            </w:r>
          </w:p>
        </w:tc>
        <w:tc>
          <w:tcPr>
            <w:tcW w:w="3402" w:type="dxa"/>
            <w:shd w:val="clear" w:color="000000" w:fill="auto"/>
            <w:hideMark/>
          </w:tcPr>
          <w:p w14:paraId="64A7C1BC"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12C02AD2"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71376A17"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2 км юго - западнее лагеря "Сосновый бор", справа от до</w:t>
            </w:r>
            <w:r w:rsidRPr="00731FE2">
              <w:rPr>
                <w:rFonts w:ascii="Times New Roman" w:eastAsia="Times New Roman" w:hAnsi="Times New Roman" w:cs="Times New Roman"/>
                <w:sz w:val="20"/>
                <w:szCs w:val="20"/>
                <w:lang w:eastAsia="ru-RU"/>
              </w:rPr>
              <w:softHyphen/>
              <w:t>роги на пос. Левоберезовский, левая терраса р. Березовки</w:t>
            </w:r>
          </w:p>
        </w:tc>
        <w:tc>
          <w:tcPr>
            <w:tcW w:w="1734" w:type="dxa"/>
            <w:shd w:val="clear" w:color="000000" w:fill="auto"/>
            <w:hideMark/>
          </w:tcPr>
          <w:p w14:paraId="75EDF035"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c>
          <w:tcPr>
            <w:tcW w:w="2915" w:type="dxa"/>
            <w:shd w:val="clear" w:color="000000" w:fill="auto"/>
            <w:hideMark/>
          </w:tcPr>
          <w:p w14:paraId="44252B32"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20242BC3" w14:textId="77777777" w:rsidTr="00397502">
        <w:trPr>
          <w:trHeight w:val="1658"/>
        </w:trPr>
        <w:tc>
          <w:tcPr>
            <w:tcW w:w="704" w:type="dxa"/>
            <w:shd w:val="clear" w:color="auto" w:fill="auto"/>
            <w:noWrap/>
          </w:tcPr>
          <w:p w14:paraId="7FBED864"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57806F22"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Поселение "Левоберезовское - 1", нач. I тыс. н.э.</w:t>
            </w:r>
          </w:p>
        </w:tc>
        <w:tc>
          <w:tcPr>
            <w:tcW w:w="3402" w:type="dxa"/>
            <w:shd w:val="clear" w:color="000000" w:fill="auto"/>
            <w:hideMark/>
          </w:tcPr>
          <w:p w14:paraId="75346076"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 xml:space="preserve">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w:t>
            </w:r>
            <w:r w:rsidRPr="00731FE2">
              <w:rPr>
                <w:rFonts w:ascii="Times New Roman" w:eastAsia="Times New Roman" w:hAnsi="Times New Roman" w:cs="Times New Roman"/>
                <w:sz w:val="20"/>
                <w:szCs w:val="20"/>
                <w:lang w:eastAsia="ru-RU"/>
              </w:rPr>
              <w:lastRenderedPageBreak/>
              <w:t>республиканского значения, утвержденного</w:t>
            </w:r>
          </w:p>
        </w:tc>
        <w:tc>
          <w:tcPr>
            <w:tcW w:w="1417" w:type="dxa"/>
            <w:shd w:val="clear" w:color="000000" w:fill="auto"/>
            <w:hideMark/>
          </w:tcPr>
          <w:p w14:paraId="75658B65"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lastRenderedPageBreak/>
              <w:t>федерального значения</w:t>
            </w:r>
          </w:p>
        </w:tc>
        <w:tc>
          <w:tcPr>
            <w:tcW w:w="1872" w:type="dxa"/>
            <w:shd w:val="clear" w:color="000000" w:fill="auto"/>
            <w:hideMark/>
          </w:tcPr>
          <w:p w14:paraId="53A19DB2"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100 - 130 м северо-восточнее пос. Левоберезовский, левобе</w:t>
            </w:r>
            <w:r w:rsidRPr="00731FE2">
              <w:rPr>
                <w:rFonts w:ascii="Times New Roman" w:eastAsia="Times New Roman" w:hAnsi="Times New Roman" w:cs="Times New Roman"/>
                <w:sz w:val="20"/>
                <w:szCs w:val="20"/>
                <w:lang w:eastAsia="ru-RU"/>
              </w:rPr>
              <w:softHyphen/>
              <w:t>режная терраса р. Березовки</w:t>
            </w:r>
          </w:p>
        </w:tc>
        <w:tc>
          <w:tcPr>
            <w:tcW w:w="1734" w:type="dxa"/>
            <w:shd w:val="clear" w:color="000000" w:fill="auto"/>
            <w:hideMark/>
          </w:tcPr>
          <w:p w14:paraId="7A2BA72D"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c>
          <w:tcPr>
            <w:tcW w:w="2915" w:type="dxa"/>
            <w:shd w:val="clear" w:color="000000" w:fill="auto"/>
            <w:hideMark/>
          </w:tcPr>
          <w:p w14:paraId="77B970AA"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1C81AFF3" w14:textId="77777777" w:rsidTr="00397502">
        <w:trPr>
          <w:trHeight w:val="1541"/>
        </w:trPr>
        <w:tc>
          <w:tcPr>
            <w:tcW w:w="704" w:type="dxa"/>
            <w:shd w:val="clear" w:color="auto" w:fill="auto"/>
            <w:noWrap/>
          </w:tcPr>
          <w:p w14:paraId="26AF9103"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385AEA45"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Могильник "Березовский - 6", VII в. до н.э.</w:t>
            </w:r>
          </w:p>
        </w:tc>
        <w:tc>
          <w:tcPr>
            <w:tcW w:w="3402" w:type="dxa"/>
            <w:shd w:val="clear" w:color="000000" w:fill="auto"/>
            <w:hideMark/>
          </w:tcPr>
          <w:p w14:paraId="12DA2C2A"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56DD0B97"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791292DE"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4,5 - 6 км юго-западнее Кисловодска, левая терраса р. Березовки</w:t>
            </w:r>
          </w:p>
        </w:tc>
        <w:tc>
          <w:tcPr>
            <w:tcW w:w="1734" w:type="dxa"/>
            <w:shd w:val="clear" w:color="000000" w:fill="auto"/>
            <w:hideMark/>
          </w:tcPr>
          <w:p w14:paraId="589947E2"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c>
          <w:tcPr>
            <w:tcW w:w="2915" w:type="dxa"/>
            <w:shd w:val="clear" w:color="000000" w:fill="auto"/>
            <w:hideMark/>
          </w:tcPr>
          <w:p w14:paraId="0B677F0C"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4E0E5EBA" w14:textId="77777777" w:rsidTr="00397502">
        <w:trPr>
          <w:trHeight w:val="1966"/>
        </w:trPr>
        <w:tc>
          <w:tcPr>
            <w:tcW w:w="704" w:type="dxa"/>
            <w:shd w:val="clear" w:color="auto" w:fill="auto"/>
            <w:noWrap/>
          </w:tcPr>
          <w:p w14:paraId="3647C6C8"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7AA1C7C3"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Коши Березовские, XVIII - Х</w:t>
            </w:r>
            <w:r w:rsidRPr="00731FE2">
              <w:rPr>
                <w:rFonts w:ascii="Times New Roman" w:eastAsia="Times New Roman" w:hAnsi="Times New Roman" w:cs="Times New Roman"/>
                <w:sz w:val="20"/>
                <w:szCs w:val="20"/>
                <w:lang w:val="en-US" w:eastAsia="ru-RU"/>
              </w:rPr>
              <w:t>I</w:t>
            </w:r>
            <w:r w:rsidRPr="00731FE2">
              <w:rPr>
                <w:rFonts w:ascii="Times New Roman" w:eastAsia="Times New Roman" w:hAnsi="Times New Roman" w:cs="Times New Roman"/>
                <w:sz w:val="20"/>
                <w:szCs w:val="20"/>
                <w:lang w:eastAsia="ru-RU"/>
              </w:rPr>
              <w:t>Х вв. н.э.</w:t>
            </w:r>
          </w:p>
        </w:tc>
        <w:tc>
          <w:tcPr>
            <w:tcW w:w="3402" w:type="dxa"/>
            <w:shd w:val="clear" w:color="000000" w:fill="auto"/>
            <w:hideMark/>
          </w:tcPr>
          <w:p w14:paraId="2B796D44"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6C61930E"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7653799E"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Левый берег Березовского ущелья, 200 - 300 м северо-восточнее пчелосовхоза.</w:t>
            </w:r>
          </w:p>
        </w:tc>
        <w:tc>
          <w:tcPr>
            <w:tcW w:w="1734" w:type="dxa"/>
            <w:shd w:val="clear" w:color="000000" w:fill="auto"/>
            <w:hideMark/>
          </w:tcPr>
          <w:p w14:paraId="7B6D9436"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c>
          <w:tcPr>
            <w:tcW w:w="2915" w:type="dxa"/>
            <w:shd w:val="clear" w:color="000000" w:fill="auto"/>
            <w:hideMark/>
          </w:tcPr>
          <w:p w14:paraId="35DBD886"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5B74CE41" w14:textId="77777777" w:rsidTr="00397502">
        <w:trPr>
          <w:trHeight w:val="1374"/>
        </w:trPr>
        <w:tc>
          <w:tcPr>
            <w:tcW w:w="704" w:type="dxa"/>
            <w:shd w:val="clear" w:color="auto" w:fill="auto"/>
            <w:noWrap/>
          </w:tcPr>
          <w:p w14:paraId="1854DB71"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0A7337AD"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Укрепление Березовское - 1" ("Татарка"), I тыс. н.э.</w:t>
            </w:r>
          </w:p>
        </w:tc>
        <w:tc>
          <w:tcPr>
            <w:tcW w:w="3402" w:type="dxa"/>
            <w:shd w:val="clear" w:color="000000" w:fill="auto"/>
            <w:hideMark/>
          </w:tcPr>
          <w:p w14:paraId="012B8F1D"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7F1E05E7"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3DD55BDE"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700 - 800 м юго-западнее окраины города, правобережная терраса р. Березовки</w:t>
            </w:r>
          </w:p>
        </w:tc>
        <w:tc>
          <w:tcPr>
            <w:tcW w:w="1734" w:type="dxa"/>
            <w:shd w:val="clear" w:color="000000" w:fill="auto"/>
            <w:hideMark/>
          </w:tcPr>
          <w:p w14:paraId="3D3216B6"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c>
          <w:tcPr>
            <w:tcW w:w="2915" w:type="dxa"/>
            <w:shd w:val="clear" w:color="000000" w:fill="auto"/>
            <w:hideMark/>
          </w:tcPr>
          <w:p w14:paraId="459E0D66"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67A6C81C" w14:textId="77777777" w:rsidTr="00397502">
        <w:trPr>
          <w:trHeight w:val="1824"/>
        </w:trPr>
        <w:tc>
          <w:tcPr>
            <w:tcW w:w="704" w:type="dxa"/>
            <w:shd w:val="clear" w:color="auto" w:fill="auto"/>
            <w:noWrap/>
          </w:tcPr>
          <w:p w14:paraId="2B198967"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0DB8FC94"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Городище "Мосейкин Мыс", I тыс. н.э.</w:t>
            </w:r>
          </w:p>
        </w:tc>
        <w:tc>
          <w:tcPr>
            <w:tcW w:w="3402" w:type="dxa"/>
            <w:shd w:val="clear" w:color="000000" w:fill="auto"/>
            <w:hideMark/>
          </w:tcPr>
          <w:p w14:paraId="0CBE6A2C"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7FFBDA7E"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7BFA2308"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1,5 км северо-восточнее пос. Левоберезовский, правобережная терраса р. Березовки</w:t>
            </w:r>
          </w:p>
        </w:tc>
        <w:tc>
          <w:tcPr>
            <w:tcW w:w="1734" w:type="dxa"/>
            <w:shd w:val="clear" w:color="000000" w:fill="auto"/>
            <w:hideMark/>
          </w:tcPr>
          <w:p w14:paraId="461EF57F"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c>
          <w:tcPr>
            <w:tcW w:w="2915" w:type="dxa"/>
            <w:shd w:val="clear" w:color="000000" w:fill="auto"/>
            <w:hideMark/>
          </w:tcPr>
          <w:p w14:paraId="2CBCF243"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54C8F39F" w14:textId="77777777" w:rsidTr="00397502">
        <w:trPr>
          <w:trHeight w:val="2108"/>
        </w:trPr>
        <w:tc>
          <w:tcPr>
            <w:tcW w:w="704" w:type="dxa"/>
            <w:shd w:val="clear" w:color="auto" w:fill="auto"/>
            <w:noWrap/>
          </w:tcPr>
          <w:p w14:paraId="0457B6DD"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340EE3D9"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Поселение "Мосейкин Мыс - 1", I тыс. н.э.</w:t>
            </w:r>
          </w:p>
        </w:tc>
        <w:tc>
          <w:tcPr>
            <w:tcW w:w="3402" w:type="dxa"/>
            <w:shd w:val="clear" w:color="000000" w:fill="auto"/>
            <w:hideMark/>
          </w:tcPr>
          <w:p w14:paraId="3A47D213"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7052FF5C"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3B1B722B"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Северный и западный склоны скалы "Мосейкин Мыс"</w:t>
            </w:r>
          </w:p>
        </w:tc>
        <w:tc>
          <w:tcPr>
            <w:tcW w:w="1734" w:type="dxa"/>
            <w:shd w:val="clear" w:color="000000" w:fill="auto"/>
            <w:hideMark/>
          </w:tcPr>
          <w:p w14:paraId="26F7BE4E"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c>
          <w:tcPr>
            <w:tcW w:w="2915" w:type="dxa"/>
            <w:shd w:val="clear" w:color="000000" w:fill="auto"/>
            <w:hideMark/>
          </w:tcPr>
          <w:p w14:paraId="094C7248"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2336C0F6" w14:textId="77777777" w:rsidTr="00397502">
        <w:trPr>
          <w:trHeight w:val="949"/>
        </w:trPr>
        <w:tc>
          <w:tcPr>
            <w:tcW w:w="704" w:type="dxa"/>
            <w:shd w:val="clear" w:color="auto" w:fill="auto"/>
            <w:noWrap/>
          </w:tcPr>
          <w:p w14:paraId="3C36EED5"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22753394"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Поселение "Мосейкин Мыс - 2", VII – VI вв. до н.э.</w:t>
            </w:r>
          </w:p>
        </w:tc>
        <w:tc>
          <w:tcPr>
            <w:tcW w:w="3402" w:type="dxa"/>
            <w:shd w:val="clear" w:color="000000" w:fill="auto"/>
            <w:hideMark/>
          </w:tcPr>
          <w:p w14:paraId="05487236"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475232FF"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377B2F03"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Южная часть города, примыкает к территории пос. Мосейкин Мыс - 1"</w:t>
            </w:r>
          </w:p>
        </w:tc>
        <w:tc>
          <w:tcPr>
            <w:tcW w:w="1734" w:type="dxa"/>
            <w:shd w:val="clear" w:color="000000" w:fill="auto"/>
            <w:hideMark/>
          </w:tcPr>
          <w:p w14:paraId="0BC75FC8"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c>
          <w:tcPr>
            <w:tcW w:w="2915" w:type="dxa"/>
            <w:shd w:val="clear" w:color="000000" w:fill="auto"/>
            <w:hideMark/>
          </w:tcPr>
          <w:p w14:paraId="7AB23F63"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0571885E" w14:textId="77777777" w:rsidTr="00397502">
        <w:trPr>
          <w:trHeight w:val="1824"/>
        </w:trPr>
        <w:tc>
          <w:tcPr>
            <w:tcW w:w="704" w:type="dxa"/>
            <w:shd w:val="clear" w:color="auto" w:fill="auto"/>
            <w:noWrap/>
          </w:tcPr>
          <w:p w14:paraId="06956AEC"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2D339323"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Могильник "Правоберезовский", IV – VI вв. н.э.</w:t>
            </w:r>
          </w:p>
        </w:tc>
        <w:tc>
          <w:tcPr>
            <w:tcW w:w="3402" w:type="dxa"/>
            <w:shd w:val="clear" w:color="000000" w:fill="auto"/>
            <w:hideMark/>
          </w:tcPr>
          <w:p w14:paraId="2EA0706B"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 xml:space="preserve">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w:t>
            </w:r>
            <w:r w:rsidRPr="00731FE2">
              <w:rPr>
                <w:rFonts w:ascii="Times New Roman" w:eastAsia="Times New Roman" w:hAnsi="Times New Roman" w:cs="Times New Roman"/>
                <w:sz w:val="20"/>
                <w:szCs w:val="20"/>
                <w:lang w:eastAsia="ru-RU"/>
              </w:rPr>
              <w:lastRenderedPageBreak/>
              <w:t>республиканского значения, утвержденного</w:t>
            </w:r>
          </w:p>
        </w:tc>
        <w:tc>
          <w:tcPr>
            <w:tcW w:w="1417" w:type="dxa"/>
            <w:shd w:val="clear" w:color="000000" w:fill="auto"/>
            <w:hideMark/>
          </w:tcPr>
          <w:p w14:paraId="5C059661"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lastRenderedPageBreak/>
              <w:t>федерального значения</w:t>
            </w:r>
          </w:p>
        </w:tc>
        <w:tc>
          <w:tcPr>
            <w:tcW w:w="1872" w:type="dxa"/>
            <w:shd w:val="clear" w:color="000000" w:fill="auto"/>
            <w:hideMark/>
          </w:tcPr>
          <w:p w14:paraId="5D66FB73"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200 - 250 м юго-восточнее "Мосейкиного Мыса"</w:t>
            </w:r>
          </w:p>
        </w:tc>
        <w:tc>
          <w:tcPr>
            <w:tcW w:w="1734" w:type="dxa"/>
            <w:shd w:val="clear" w:color="000000" w:fill="auto"/>
            <w:hideMark/>
          </w:tcPr>
          <w:p w14:paraId="52C9606A"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c>
          <w:tcPr>
            <w:tcW w:w="2915" w:type="dxa"/>
            <w:shd w:val="clear" w:color="000000" w:fill="auto"/>
            <w:hideMark/>
          </w:tcPr>
          <w:p w14:paraId="1284A318"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77462B4E" w14:textId="77777777" w:rsidTr="00397502">
        <w:trPr>
          <w:trHeight w:val="1541"/>
        </w:trPr>
        <w:tc>
          <w:tcPr>
            <w:tcW w:w="704" w:type="dxa"/>
            <w:shd w:val="clear" w:color="auto" w:fill="auto"/>
            <w:noWrap/>
          </w:tcPr>
          <w:p w14:paraId="6F893DE9"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7F190395"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Поселение "Правоберезовское", II тыс. до н.э.</w:t>
            </w:r>
          </w:p>
        </w:tc>
        <w:tc>
          <w:tcPr>
            <w:tcW w:w="3402" w:type="dxa"/>
            <w:shd w:val="clear" w:color="000000" w:fill="auto"/>
            <w:hideMark/>
          </w:tcPr>
          <w:p w14:paraId="7DAB79B7"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366954CC"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01E6DE92"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2 км севернее пос. Правоберезовский, склон правого берега ручья</w:t>
            </w:r>
          </w:p>
        </w:tc>
        <w:tc>
          <w:tcPr>
            <w:tcW w:w="1734" w:type="dxa"/>
            <w:shd w:val="clear" w:color="000000" w:fill="auto"/>
            <w:hideMark/>
          </w:tcPr>
          <w:p w14:paraId="10F52CF5"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c>
          <w:tcPr>
            <w:tcW w:w="2915" w:type="dxa"/>
            <w:shd w:val="clear" w:color="000000" w:fill="auto"/>
            <w:hideMark/>
          </w:tcPr>
          <w:p w14:paraId="28CA6309"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2866BD1C" w14:textId="77777777" w:rsidTr="00397502">
        <w:trPr>
          <w:trHeight w:val="1941"/>
        </w:trPr>
        <w:tc>
          <w:tcPr>
            <w:tcW w:w="704" w:type="dxa"/>
            <w:shd w:val="clear" w:color="auto" w:fill="auto"/>
            <w:noWrap/>
          </w:tcPr>
          <w:p w14:paraId="59F843C6"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244CE743"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Поселение "Дачно-Березовское", III – II тыс. до н.э.</w:t>
            </w:r>
          </w:p>
        </w:tc>
        <w:tc>
          <w:tcPr>
            <w:tcW w:w="3402" w:type="dxa"/>
            <w:shd w:val="clear" w:color="000000" w:fill="auto"/>
            <w:hideMark/>
          </w:tcPr>
          <w:p w14:paraId="3550B122"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73A83D3D"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18424FD6"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1,1 - 1,2 км северо-западнее пос. Индустрия, правая терраса р. Березовки</w:t>
            </w:r>
          </w:p>
        </w:tc>
        <w:tc>
          <w:tcPr>
            <w:tcW w:w="1734" w:type="dxa"/>
            <w:shd w:val="clear" w:color="000000" w:fill="auto"/>
            <w:hideMark/>
          </w:tcPr>
          <w:p w14:paraId="42FD9630"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c>
          <w:tcPr>
            <w:tcW w:w="2915" w:type="dxa"/>
            <w:shd w:val="clear" w:color="000000" w:fill="auto"/>
            <w:hideMark/>
          </w:tcPr>
          <w:p w14:paraId="15779A4A"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1934B423" w14:textId="77777777" w:rsidTr="00397502">
        <w:trPr>
          <w:trHeight w:val="1824"/>
        </w:trPr>
        <w:tc>
          <w:tcPr>
            <w:tcW w:w="704" w:type="dxa"/>
            <w:shd w:val="clear" w:color="auto" w:fill="auto"/>
            <w:noWrap/>
          </w:tcPr>
          <w:p w14:paraId="0871A5CE"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0AF28005"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Могильник "Индустрия - 1", VIII – VII вв. до н.э.</w:t>
            </w:r>
          </w:p>
        </w:tc>
        <w:tc>
          <w:tcPr>
            <w:tcW w:w="3402" w:type="dxa"/>
            <w:shd w:val="clear" w:color="000000" w:fill="auto"/>
            <w:hideMark/>
          </w:tcPr>
          <w:p w14:paraId="1425EB6D"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0DC58380"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6D52833D"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700 - 800 м к югу от пос. Индустрия, левый берег р. Кабардинка.</w:t>
            </w:r>
          </w:p>
        </w:tc>
        <w:tc>
          <w:tcPr>
            <w:tcW w:w="1734" w:type="dxa"/>
            <w:shd w:val="clear" w:color="000000" w:fill="auto"/>
            <w:hideMark/>
          </w:tcPr>
          <w:p w14:paraId="1181AEC7"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c>
          <w:tcPr>
            <w:tcW w:w="2915" w:type="dxa"/>
            <w:shd w:val="clear" w:color="000000" w:fill="auto"/>
            <w:hideMark/>
          </w:tcPr>
          <w:p w14:paraId="371AC642"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5413CE6C" w14:textId="77777777" w:rsidTr="00397502">
        <w:trPr>
          <w:trHeight w:val="2250"/>
        </w:trPr>
        <w:tc>
          <w:tcPr>
            <w:tcW w:w="704" w:type="dxa"/>
            <w:shd w:val="clear" w:color="auto" w:fill="auto"/>
            <w:noWrap/>
          </w:tcPr>
          <w:p w14:paraId="15EF543F"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197FAAD6"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Поселение "Индустрия - 1", I тыс. до н.э.</w:t>
            </w:r>
          </w:p>
        </w:tc>
        <w:tc>
          <w:tcPr>
            <w:tcW w:w="3402" w:type="dxa"/>
            <w:shd w:val="clear" w:color="000000" w:fill="auto"/>
            <w:hideMark/>
          </w:tcPr>
          <w:p w14:paraId="51C9A530"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3FD30D49"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1EB1841C"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Южнее могильника "Индустрия - 1", на возвышенностях гряды.</w:t>
            </w:r>
          </w:p>
        </w:tc>
        <w:tc>
          <w:tcPr>
            <w:tcW w:w="1734" w:type="dxa"/>
            <w:shd w:val="clear" w:color="000000" w:fill="auto"/>
            <w:hideMark/>
          </w:tcPr>
          <w:p w14:paraId="1B25F0CE"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c>
          <w:tcPr>
            <w:tcW w:w="2915" w:type="dxa"/>
            <w:shd w:val="clear" w:color="000000" w:fill="auto"/>
            <w:hideMark/>
          </w:tcPr>
          <w:p w14:paraId="1993BF04"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1092FAB7" w14:textId="77777777" w:rsidTr="00397502">
        <w:trPr>
          <w:trHeight w:val="1799"/>
        </w:trPr>
        <w:tc>
          <w:tcPr>
            <w:tcW w:w="704" w:type="dxa"/>
            <w:shd w:val="clear" w:color="auto" w:fill="auto"/>
            <w:noWrap/>
          </w:tcPr>
          <w:p w14:paraId="16E2FA80"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1CB0BE3E"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Могильник "Индустрия - 2", VIII - VII вв. до н.э.</w:t>
            </w:r>
          </w:p>
        </w:tc>
        <w:tc>
          <w:tcPr>
            <w:tcW w:w="3402" w:type="dxa"/>
            <w:shd w:val="clear" w:color="000000" w:fill="auto"/>
            <w:hideMark/>
          </w:tcPr>
          <w:p w14:paraId="437F1DC6"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7EA6192E"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4520FB43"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350 - 400 м южнее пос. Индустрия на левобережной террасе р. Кабардинки</w:t>
            </w:r>
          </w:p>
        </w:tc>
        <w:tc>
          <w:tcPr>
            <w:tcW w:w="1734" w:type="dxa"/>
            <w:shd w:val="clear" w:color="000000" w:fill="auto"/>
            <w:hideMark/>
          </w:tcPr>
          <w:p w14:paraId="1D54156E"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c>
          <w:tcPr>
            <w:tcW w:w="2915" w:type="dxa"/>
            <w:shd w:val="clear" w:color="000000" w:fill="auto"/>
            <w:hideMark/>
          </w:tcPr>
          <w:p w14:paraId="3DC6D981"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61FBAB5D" w14:textId="77777777" w:rsidTr="00397502">
        <w:trPr>
          <w:trHeight w:val="2108"/>
        </w:trPr>
        <w:tc>
          <w:tcPr>
            <w:tcW w:w="704" w:type="dxa"/>
            <w:shd w:val="clear" w:color="auto" w:fill="auto"/>
            <w:noWrap/>
          </w:tcPr>
          <w:p w14:paraId="71A8F194"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7948B652"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Поселение "Индустрия - 2", нач. III тыс. до н.э.</w:t>
            </w:r>
          </w:p>
        </w:tc>
        <w:tc>
          <w:tcPr>
            <w:tcW w:w="3402" w:type="dxa"/>
            <w:shd w:val="clear" w:color="000000" w:fill="auto"/>
            <w:hideMark/>
          </w:tcPr>
          <w:p w14:paraId="758755DB"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63F5AC51"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62E07FB5"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400 - 450 м южнее пос. Индустрия, левобережная терраса р. Кабардинки</w:t>
            </w:r>
          </w:p>
        </w:tc>
        <w:tc>
          <w:tcPr>
            <w:tcW w:w="1734" w:type="dxa"/>
            <w:shd w:val="clear" w:color="000000" w:fill="auto"/>
            <w:hideMark/>
          </w:tcPr>
          <w:p w14:paraId="59902C40"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c>
          <w:tcPr>
            <w:tcW w:w="2915" w:type="dxa"/>
            <w:shd w:val="clear" w:color="000000" w:fill="auto"/>
            <w:hideMark/>
          </w:tcPr>
          <w:p w14:paraId="0AFE89DD"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7555615A" w14:textId="77777777" w:rsidTr="00397502">
        <w:trPr>
          <w:trHeight w:val="1966"/>
        </w:trPr>
        <w:tc>
          <w:tcPr>
            <w:tcW w:w="704" w:type="dxa"/>
            <w:shd w:val="clear" w:color="auto" w:fill="auto"/>
            <w:noWrap/>
          </w:tcPr>
          <w:p w14:paraId="0EEA04F3"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42CCA2E9"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Поселение "Индустрия - 3", I тыс. до н.э.</w:t>
            </w:r>
          </w:p>
        </w:tc>
        <w:tc>
          <w:tcPr>
            <w:tcW w:w="3402" w:type="dxa"/>
            <w:shd w:val="clear" w:color="000000" w:fill="auto"/>
            <w:hideMark/>
          </w:tcPr>
          <w:p w14:paraId="3F92AD2B"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 xml:space="preserve">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w:t>
            </w:r>
            <w:r w:rsidRPr="00731FE2">
              <w:rPr>
                <w:rFonts w:ascii="Times New Roman" w:eastAsia="Times New Roman" w:hAnsi="Times New Roman" w:cs="Times New Roman"/>
                <w:sz w:val="20"/>
                <w:szCs w:val="20"/>
                <w:lang w:eastAsia="ru-RU"/>
              </w:rPr>
              <w:lastRenderedPageBreak/>
              <w:t>республиканского значения, утвержденного</w:t>
            </w:r>
          </w:p>
        </w:tc>
        <w:tc>
          <w:tcPr>
            <w:tcW w:w="1417" w:type="dxa"/>
            <w:shd w:val="clear" w:color="000000" w:fill="auto"/>
            <w:hideMark/>
          </w:tcPr>
          <w:p w14:paraId="790A335E"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lastRenderedPageBreak/>
              <w:t>федерального значения</w:t>
            </w:r>
          </w:p>
        </w:tc>
        <w:tc>
          <w:tcPr>
            <w:tcW w:w="1872" w:type="dxa"/>
            <w:shd w:val="clear" w:color="000000" w:fill="auto"/>
            <w:hideMark/>
          </w:tcPr>
          <w:p w14:paraId="17619ACE"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Западная окраина пос. Индустрия.</w:t>
            </w:r>
          </w:p>
        </w:tc>
        <w:tc>
          <w:tcPr>
            <w:tcW w:w="1734" w:type="dxa"/>
            <w:shd w:val="clear" w:color="000000" w:fill="auto"/>
            <w:hideMark/>
          </w:tcPr>
          <w:p w14:paraId="167C9BD8"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c>
          <w:tcPr>
            <w:tcW w:w="2915" w:type="dxa"/>
            <w:shd w:val="clear" w:color="000000" w:fill="auto"/>
            <w:hideMark/>
          </w:tcPr>
          <w:p w14:paraId="45735A20"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11F22BE4" w14:textId="77777777" w:rsidTr="00397502">
        <w:trPr>
          <w:trHeight w:val="1824"/>
        </w:trPr>
        <w:tc>
          <w:tcPr>
            <w:tcW w:w="704" w:type="dxa"/>
            <w:shd w:val="clear" w:color="auto" w:fill="auto"/>
            <w:noWrap/>
          </w:tcPr>
          <w:p w14:paraId="6784B0D4"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6880AE06"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Могильник "Подсобное хозяйство Семашко - 1", VIII в. до н.э.</w:t>
            </w:r>
          </w:p>
        </w:tc>
        <w:tc>
          <w:tcPr>
            <w:tcW w:w="3402" w:type="dxa"/>
            <w:shd w:val="clear" w:color="000000" w:fill="auto"/>
            <w:hideMark/>
          </w:tcPr>
          <w:p w14:paraId="2BA1036F"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5B0D7856"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2ECE723B"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1 км юго-восточнее пос. Индустрия, правобережная терраса р. Кабардинки</w:t>
            </w:r>
          </w:p>
        </w:tc>
        <w:tc>
          <w:tcPr>
            <w:tcW w:w="1734" w:type="dxa"/>
            <w:shd w:val="clear" w:color="000000" w:fill="auto"/>
            <w:hideMark/>
          </w:tcPr>
          <w:p w14:paraId="410105FE"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c>
          <w:tcPr>
            <w:tcW w:w="2915" w:type="dxa"/>
            <w:shd w:val="clear" w:color="000000" w:fill="auto"/>
            <w:hideMark/>
          </w:tcPr>
          <w:p w14:paraId="5F4FC2D4"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51942ECD" w14:textId="77777777" w:rsidTr="00397502">
        <w:trPr>
          <w:trHeight w:val="1941"/>
        </w:trPr>
        <w:tc>
          <w:tcPr>
            <w:tcW w:w="704" w:type="dxa"/>
            <w:shd w:val="clear" w:color="auto" w:fill="auto"/>
            <w:noWrap/>
          </w:tcPr>
          <w:p w14:paraId="128A7A62"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6585D00D"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Могильник "Подсобное хозяйство Семашко - 2", нач. I тыс. до н.э.</w:t>
            </w:r>
          </w:p>
        </w:tc>
        <w:tc>
          <w:tcPr>
            <w:tcW w:w="3402" w:type="dxa"/>
            <w:shd w:val="clear" w:color="000000" w:fill="auto"/>
            <w:hideMark/>
          </w:tcPr>
          <w:p w14:paraId="598B6361"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53706637"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1A0E2DFD"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100 - 120 м юго-восточнее могильника N 1.</w:t>
            </w:r>
          </w:p>
        </w:tc>
        <w:tc>
          <w:tcPr>
            <w:tcW w:w="1734" w:type="dxa"/>
            <w:shd w:val="clear" w:color="000000" w:fill="auto"/>
            <w:hideMark/>
          </w:tcPr>
          <w:p w14:paraId="2D070CDE"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c>
          <w:tcPr>
            <w:tcW w:w="2915" w:type="dxa"/>
            <w:shd w:val="clear" w:color="000000" w:fill="auto"/>
            <w:hideMark/>
          </w:tcPr>
          <w:p w14:paraId="02855ED8"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0A350FB5" w14:textId="77777777" w:rsidTr="00397502">
        <w:trPr>
          <w:trHeight w:val="1966"/>
        </w:trPr>
        <w:tc>
          <w:tcPr>
            <w:tcW w:w="704" w:type="dxa"/>
            <w:shd w:val="clear" w:color="auto" w:fill="auto"/>
            <w:noWrap/>
          </w:tcPr>
          <w:p w14:paraId="3CD4605E"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3A81C439"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Курган "Индустрия", III - II тыс. до н.э.</w:t>
            </w:r>
          </w:p>
        </w:tc>
        <w:tc>
          <w:tcPr>
            <w:tcW w:w="3402" w:type="dxa"/>
            <w:shd w:val="clear" w:color="000000" w:fill="auto"/>
            <w:hideMark/>
          </w:tcPr>
          <w:p w14:paraId="1F51A2E3"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19E2B2B0"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28EDC3B5"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Южная окраина пос. Индустрия у дороги в а. Кичи-Балык.</w:t>
            </w:r>
          </w:p>
        </w:tc>
        <w:tc>
          <w:tcPr>
            <w:tcW w:w="1734" w:type="dxa"/>
            <w:shd w:val="clear" w:color="000000" w:fill="auto"/>
            <w:hideMark/>
          </w:tcPr>
          <w:p w14:paraId="4479D251"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c>
          <w:tcPr>
            <w:tcW w:w="2915" w:type="dxa"/>
            <w:shd w:val="clear" w:color="000000" w:fill="auto"/>
            <w:hideMark/>
          </w:tcPr>
          <w:p w14:paraId="108645EB"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1B7CE011" w14:textId="77777777" w:rsidTr="00397502">
        <w:trPr>
          <w:trHeight w:val="2108"/>
        </w:trPr>
        <w:tc>
          <w:tcPr>
            <w:tcW w:w="704" w:type="dxa"/>
            <w:shd w:val="clear" w:color="auto" w:fill="auto"/>
            <w:noWrap/>
          </w:tcPr>
          <w:p w14:paraId="30A8433C"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42281C47"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Городище "Кугуль", V - VIII вв. н.э.</w:t>
            </w:r>
          </w:p>
        </w:tc>
        <w:tc>
          <w:tcPr>
            <w:tcW w:w="3402" w:type="dxa"/>
            <w:shd w:val="clear" w:color="000000" w:fill="auto"/>
            <w:hideMark/>
          </w:tcPr>
          <w:p w14:paraId="17D1B493"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63092AA4"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71B5BB1A"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Верхняя часть возвышенности "Кугуль"</w:t>
            </w:r>
          </w:p>
        </w:tc>
        <w:tc>
          <w:tcPr>
            <w:tcW w:w="1734" w:type="dxa"/>
            <w:shd w:val="clear" w:color="000000" w:fill="auto"/>
            <w:hideMark/>
          </w:tcPr>
          <w:p w14:paraId="63D7D95E"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c>
          <w:tcPr>
            <w:tcW w:w="2915" w:type="dxa"/>
            <w:shd w:val="clear" w:color="000000" w:fill="auto"/>
            <w:hideMark/>
          </w:tcPr>
          <w:p w14:paraId="6ABACDFA"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08ED9557" w14:textId="77777777" w:rsidTr="00397502">
        <w:trPr>
          <w:trHeight w:val="1799"/>
        </w:trPr>
        <w:tc>
          <w:tcPr>
            <w:tcW w:w="704" w:type="dxa"/>
            <w:shd w:val="clear" w:color="auto" w:fill="auto"/>
            <w:noWrap/>
          </w:tcPr>
          <w:p w14:paraId="20ACA366"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1A0554E0"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Могильник "Кугульский-1" (катакомбный), V - VIII вв. н.э.</w:t>
            </w:r>
          </w:p>
        </w:tc>
        <w:tc>
          <w:tcPr>
            <w:tcW w:w="3402" w:type="dxa"/>
            <w:shd w:val="clear" w:color="000000" w:fill="auto"/>
            <w:hideMark/>
          </w:tcPr>
          <w:p w14:paraId="5995E087"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65D37C00"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7D48E77C"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Правобережная терраса р. Кабардинка, скальная возвышенность "Кугуль" на южном, юго-западном склонах.</w:t>
            </w:r>
          </w:p>
        </w:tc>
        <w:tc>
          <w:tcPr>
            <w:tcW w:w="1734" w:type="dxa"/>
            <w:shd w:val="clear" w:color="000000" w:fill="auto"/>
            <w:hideMark/>
          </w:tcPr>
          <w:p w14:paraId="70E577EE"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c>
          <w:tcPr>
            <w:tcW w:w="2915" w:type="dxa"/>
            <w:shd w:val="clear" w:color="000000" w:fill="auto"/>
            <w:hideMark/>
          </w:tcPr>
          <w:p w14:paraId="2E36D747"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742DAD4B" w14:textId="77777777" w:rsidTr="00397502">
        <w:trPr>
          <w:trHeight w:val="1966"/>
        </w:trPr>
        <w:tc>
          <w:tcPr>
            <w:tcW w:w="704" w:type="dxa"/>
            <w:shd w:val="clear" w:color="auto" w:fill="auto"/>
            <w:noWrap/>
          </w:tcPr>
          <w:p w14:paraId="1D86D637"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58D4CAE1"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Поселение "Кугуль", сер. I тыс. н.э.</w:t>
            </w:r>
          </w:p>
        </w:tc>
        <w:tc>
          <w:tcPr>
            <w:tcW w:w="3402" w:type="dxa"/>
            <w:shd w:val="clear" w:color="000000" w:fill="auto"/>
            <w:hideMark/>
          </w:tcPr>
          <w:p w14:paraId="7677FDD7"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745214B8"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0BF1BB2D"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Юго-западный склон возвышенности "Кугуль".</w:t>
            </w:r>
          </w:p>
        </w:tc>
        <w:tc>
          <w:tcPr>
            <w:tcW w:w="1734" w:type="dxa"/>
            <w:shd w:val="clear" w:color="000000" w:fill="auto"/>
            <w:hideMark/>
          </w:tcPr>
          <w:p w14:paraId="53A66937"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c>
          <w:tcPr>
            <w:tcW w:w="2915" w:type="dxa"/>
            <w:shd w:val="clear" w:color="000000" w:fill="auto"/>
            <w:hideMark/>
          </w:tcPr>
          <w:p w14:paraId="321F41D7"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12883B12" w14:textId="77777777" w:rsidTr="00397502">
        <w:trPr>
          <w:trHeight w:val="1541"/>
        </w:trPr>
        <w:tc>
          <w:tcPr>
            <w:tcW w:w="704" w:type="dxa"/>
            <w:shd w:val="clear" w:color="auto" w:fill="auto"/>
            <w:noWrap/>
          </w:tcPr>
          <w:p w14:paraId="175E0E6F"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0E5C794A"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Могильник "Кугульский - 2" (склеповый, западный)", VI - VII вв. н.э.</w:t>
            </w:r>
          </w:p>
        </w:tc>
        <w:tc>
          <w:tcPr>
            <w:tcW w:w="3402" w:type="dxa"/>
            <w:shd w:val="clear" w:color="000000" w:fill="auto"/>
            <w:hideMark/>
          </w:tcPr>
          <w:p w14:paraId="0CA5D1DF"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 xml:space="preserve">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w:t>
            </w:r>
            <w:r w:rsidRPr="00731FE2">
              <w:rPr>
                <w:rFonts w:ascii="Times New Roman" w:eastAsia="Times New Roman" w:hAnsi="Times New Roman" w:cs="Times New Roman"/>
                <w:sz w:val="20"/>
                <w:szCs w:val="20"/>
                <w:lang w:eastAsia="ru-RU"/>
              </w:rPr>
              <w:lastRenderedPageBreak/>
              <w:t>республиканского значения, утвержденного</w:t>
            </w:r>
          </w:p>
        </w:tc>
        <w:tc>
          <w:tcPr>
            <w:tcW w:w="1417" w:type="dxa"/>
            <w:shd w:val="clear" w:color="000000" w:fill="auto"/>
            <w:hideMark/>
          </w:tcPr>
          <w:p w14:paraId="5070FE26"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lastRenderedPageBreak/>
              <w:t>федерального значения</w:t>
            </w:r>
          </w:p>
        </w:tc>
        <w:tc>
          <w:tcPr>
            <w:tcW w:w="1872" w:type="dxa"/>
            <w:shd w:val="clear" w:color="000000" w:fill="auto"/>
            <w:hideMark/>
          </w:tcPr>
          <w:p w14:paraId="19D2E31B"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Северо-западное окончание возвышенности "Кугуль".</w:t>
            </w:r>
          </w:p>
        </w:tc>
        <w:tc>
          <w:tcPr>
            <w:tcW w:w="1734" w:type="dxa"/>
            <w:shd w:val="clear" w:color="000000" w:fill="auto"/>
            <w:hideMark/>
          </w:tcPr>
          <w:p w14:paraId="4A5F3A7B"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c>
          <w:tcPr>
            <w:tcW w:w="2915" w:type="dxa"/>
            <w:shd w:val="clear" w:color="000000" w:fill="auto"/>
            <w:hideMark/>
          </w:tcPr>
          <w:p w14:paraId="425358F3"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3BCB521F" w14:textId="77777777" w:rsidTr="00397502">
        <w:trPr>
          <w:trHeight w:val="2224"/>
        </w:trPr>
        <w:tc>
          <w:tcPr>
            <w:tcW w:w="704" w:type="dxa"/>
            <w:shd w:val="clear" w:color="auto" w:fill="auto"/>
            <w:noWrap/>
          </w:tcPr>
          <w:p w14:paraId="0F4EDE62"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5FB61BF5"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Могильник "Кугульский - 3 (склеповый восточный)", VII - VIII вв. н.э.</w:t>
            </w:r>
          </w:p>
        </w:tc>
        <w:tc>
          <w:tcPr>
            <w:tcW w:w="3402" w:type="dxa"/>
            <w:shd w:val="clear" w:color="000000" w:fill="auto"/>
            <w:hideMark/>
          </w:tcPr>
          <w:p w14:paraId="685B7558"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17B1AE07"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166DFC17"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Юго-восточное окончание возвышенности "Кугуль".</w:t>
            </w:r>
          </w:p>
        </w:tc>
        <w:tc>
          <w:tcPr>
            <w:tcW w:w="1734" w:type="dxa"/>
            <w:shd w:val="clear" w:color="000000" w:fill="auto"/>
            <w:hideMark/>
          </w:tcPr>
          <w:p w14:paraId="146CC504"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c>
          <w:tcPr>
            <w:tcW w:w="2915" w:type="dxa"/>
            <w:shd w:val="clear" w:color="000000" w:fill="auto"/>
            <w:hideMark/>
          </w:tcPr>
          <w:p w14:paraId="2BCEE8F2"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69B8B20D" w14:textId="77777777" w:rsidTr="00397502">
        <w:trPr>
          <w:trHeight w:val="1399"/>
        </w:trPr>
        <w:tc>
          <w:tcPr>
            <w:tcW w:w="704" w:type="dxa"/>
            <w:shd w:val="clear" w:color="auto" w:fill="auto"/>
            <w:noWrap/>
          </w:tcPr>
          <w:p w14:paraId="021A50AC"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46958F0E"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Могильник "Кугульский - 1", VIII - VI вв. до н.э.</w:t>
            </w:r>
          </w:p>
        </w:tc>
        <w:tc>
          <w:tcPr>
            <w:tcW w:w="3402" w:type="dxa"/>
            <w:shd w:val="clear" w:color="000000" w:fill="auto"/>
            <w:hideMark/>
          </w:tcPr>
          <w:p w14:paraId="729DEB3F"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2F56B497"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2C5AE37E"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500 - 600 м восточнее пос. Индустрия, северо-западный склон г. Кугуль</w:t>
            </w:r>
          </w:p>
        </w:tc>
        <w:tc>
          <w:tcPr>
            <w:tcW w:w="1734" w:type="dxa"/>
            <w:shd w:val="clear" w:color="000000" w:fill="auto"/>
            <w:hideMark/>
          </w:tcPr>
          <w:p w14:paraId="35D61C0F"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c>
          <w:tcPr>
            <w:tcW w:w="2915" w:type="dxa"/>
            <w:shd w:val="clear" w:color="000000" w:fill="auto"/>
            <w:hideMark/>
          </w:tcPr>
          <w:p w14:paraId="71FF49A2"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052DF333" w14:textId="77777777" w:rsidTr="00397502">
        <w:trPr>
          <w:trHeight w:val="1399"/>
        </w:trPr>
        <w:tc>
          <w:tcPr>
            <w:tcW w:w="704" w:type="dxa"/>
            <w:shd w:val="clear" w:color="auto" w:fill="auto"/>
            <w:noWrap/>
          </w:tcPr>
          <w:p w14:paraId="6D9393A2"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519391CE"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Могильник "Лермонтовская скала - 1-а", VIII - VII вв. до н.э.</w:t>
            </w:r>
          </w:p>
        </w:tc>
        <w:tc>
          <w:tcPr>
            <w:tcW w:w="3402" w:type="dxa"/>
            <w:shd w:val="clear" w:color="000000" w:fill="auto"/>
            <w:hideMark/>
          </w:tcPr>
          <w:p w14:paraId="254D71AA"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270E5AD4"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6CBF4936"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300 - 320 м северо-западнее Лермонтовской скалы, правая терраса р. Ольховки</w:t>
            </w:r>
          </w:p>
        </w:tc>
        <w:tc>
          <w:tcPr>
            <w:tcW w:w="1734" w:type="dxa"/>
            <w:shd w:val="clear" w:color="000000" w:fill="auto"/>
            <w:hideMark/>
          </w:tcPr>
          <w:p w14:paraId="0168806D"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1346 от 25.12.2023</w:t>
            </w:r>
          </w:p>
        </w:tc>
        <w:tc>
          <w:tcPr>
            <w:tcW w:w="2915" w:type="dxa"/>
            <w:shd w:val="clear" w:color="000000" w:fill="auto"/>
            <w:hideMark/>
          </w:tcPr>
          <w:p w14:paraId="211386FA"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0CC81BC2" w14:textId="77777777" w:rsidTr="00397502">
        <w:trPr>
          <w:trHeight w:val="2225"/>
        </w:trPr>
        <w:tc>
          <w:tcPr>
            <w:tcW w:w="704" w:type="dxa"/>
            <w:shd w:val="clear" w:color="auto" w:fill="auto"/>
            <w:noWrap/>
          </w:tcPr>
          <w:p w14:paraId="4ED7AA5B"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42AF3771"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Могильник "Лермонтовская скала - 1-б", V - VII вв. н.э.</w:t>
            </w:r>
          </w:p>
        </w:tc>
        <w:tc>
          <w:tcPr>
            <w:tcW w:w="3402" w:type="dxa"/>
            <w:shd w:val="clear" w:color="000000" w:fill="auto"/>
            <w:hideMark/>
          </w:tcPr>
          <w:p w14:paraId="56EECC0E"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22172568"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6D02C4F8"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Примыкает к территории могильника "Лермонтовская Скала - 1-а"</w:t>
            </w:r>
          </w:p>
        </w:tc>
        <w:tc>
          <w:tcPr>
            <w:tcW w:w="1734" w:type="dxa"/>
            <w:shd w:val="clear" w:color="000000" w:fill="auto"/>
            <w:hideMark/>
          </w:tcPr>
          <w:p w14:paraId="1E4B5528"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1345 от 25.12.2023</w:t>
            </w:r>
          </w:p>
        </w:tc>
        <w:tc>
          <w:tcPr>
            <w:tcW w:w="2915" w:type="dxa"/>
            <w:shd w:val="clear" w:color="000000" w:fill="auto"/>
            <w:hideMark/>
          </w:tcPr>
          <w:p w14:paraId="4B0EAB22"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2B5F038D" w14:textId="77777777" w:rsidTr="00397502">
        <w:trPr>
          <w:trHeight w:val="1682"/>
        </w:trPr>
        <w:tc>
          <w:tcPr>
            <w:tcW w:w="704" w:type="dxa"/>
            <w:shd w:val="clear" w:color="auto" w:fill="auto"/>
            <w:noWrap/>
          </w:tcPr>
          <w:p w14:paraId="73DDA43C"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18F28BEF"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Могильник "Лермонтовская скала - 2", VI - V вв. до н.э.</w:t>
            </w:r>
          </w:p>
        </w:tc>
        <w:tc>
          <w:tcPr>
            <w:tcW w:w="3402" w:type="dxa"/>
            <w:shd w:val="clear" w:color="000000" w:fill="auto"/>
            <w:hideMark/>
          </w:tcPr>
          <w:p w14:paraId="2BEF064C"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0BD16D7A"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7C6188F4"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У северного подножья Лермонтовской скалы, левый берег р. Ольховки.</w:t>
            </w:r>
          </w:p>
        </w:tc>
        <w:tc>
          <w:tcPr>
            <w:tcW w:w="1734" w:type="dxa"/>
            <w:shd w:val="clear" w:color="000000" w:fill="auto"/>
            <w:hideMark/>
          </w:tcPr>
          <w:p w14:paraId="44CFFC37"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c>
          <w:tcPr>
            <w:tcW w:w="2915" w:type="dxa"/>
            <w:shd w:val="clear" w:color="000000" w:fill="auto"/>
            <w:hideMark/>
          </w:tcPr>
          <w:p w14:paraId="7A0BA251"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15859385" w14:textId="77777777" w:rsidTr="00397502">
        <w:trPr>
          <w:trHeight w:val="2108"/>
        </w:trPr>
        <w:tc>
          <w:tcPr>
            <w:tcW w:w="704" w:type="dxa"/>
            <w:shd w:val="clear" w:color="auto" w:fill="auto"/>
            <w:noWrap/>
          </w:tcPr>
          <w:p w14:paraId="7717F117"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6C88FA63"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Могильник "Лермонтовская скала - 3", VI - VII в.в. н.э.</w:t>
            </w:r>
          </w:p>
        </w:tc>
        <w:tc>
          <w:tcPr>
            <w:tcW w:w="3402" w:type="dxa"/>
            <w:shd w:val="clear" w:color="000000" w:fill="auto"/>
            <w:hideMark/>
          </w:tcPr>
          <w:p w14:paraId="5DFA8BB1"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6FCDFC82"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4C5D070E"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Мысообразная возвышенность у слияния рек Ольховки и Сухой Ольховки</w:t>
            </w:r>
          </w:p>
        </w:tc>
        <w:tc>
          <w:tcPr>
            <w:tcW w:w="1734" w:type="dxa"/>
            <w:shd w:val="clear" w:color="000000" w:fill="auto"/>
            <w:hideMark/>
          </w:tcPr>
          <w:p w14:paraId="27E4796E"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c>
          <w:tcPr>
            <w:tcW w:w="2915" w:type="dxa"/>
            <w:shd w:val="clear" w:color="000000" w:fill="auto"/>
            <w:hideMark/>
          </w:tcPr>
          <w:p w14:paraId="03134688"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3D183269" w14:textId="77777777" w:rsidTr="00397502">
        <w:trPr>
          <w:trHeight w:val="2083"/>
        </w:trPr>
        <w:tc>
          <w:tcPr>
            <w:tcW w:w="704" w:type="dxa"/>
            <w:shd w:val="clear" w:color="auto" w:fill="auto"/>
            <w:noWrap/>
          </w:tcPr>
          <w:p w14:paraId="40790D11"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7EF7150C"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Могильник "Лермонтовская скала - 4", VIII - VII вв. до н.э.</w:t>
            </w:r>
          </w:p>
        </w:tc>
        <w:tc>
          <w:tcPr>
            <w:tcW w:w="3402" w:type="dxa"/>
            <w:shd w:val="clear" w:color="000000" w:fill="auto"/>
            <w:hideMark/>
          </w:tcPr>
          <w:p w14:paraId="67EF5F53"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6528D7A1"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6AE52B94"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Левобережная терраса р. Сухая Ольховка, возле дороги в пос. Высокогорный, 400 - 420 м юго-западнее Лермонтовской скалы</w:t>
            </w:r>
          </w:p>
        </w:tc>
        <w:tc>
          <w:tcPr>
            <w:tcW w:w="1734" w:type="dxa"/>
            <w:shd w:val="clear" w:color="000000" w:fill="auto"/>
            <w:hideMark/>
          </w:tcPr>
          <w:p w14:paraId="74C5C2C6"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c>
          <w:tcPr>
            <w:tcW w:w="2915" w:type="dxa"/>
            <w:shd w:val="clear" w:color="000000" w:fill="auto"/>
            <w:hideMark/>
          </w:tcPr>
          <w:p w14:paraId="61CE296D"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67852DFE" w14:textId="77777777" w:rsidTr="00397502">
        <w:trPr>
          <w:trHeight w:val="1541"/>
        </w:trPr>
        <w:tc>
          <w:tcPr>
            <w:tcW w:w="704" w:type="dxa"/>
            <w:shd w:val="clear" w:color="auto" w:fill="auto"/>
            <w:noWrap/>
          </w:tcPr>
          <w:p w14:paraId="6452AAA1"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5268BD13"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Могильник "Лермонтовская скала - 5", VI - VII в.в. н.э.</w:t>
            </w:r>
          </w:p>
        </w:tc>
        <w:tc>
          <w:tcPr>
            <w:tcW w:w="3402" w:type="dxa"/>
            <w:shd w:val="clear" w:color="000000" w:fill="auto"/>
            <w:hideMark/>
          </w:tcPr>
          <w:p w14:paraId="172A72E6"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528691BC"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0F91AB46"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Склоны террас у дороги в пос. Высокогорный</w:t>
            </w:r>
          </w:p>
        </w:tc>
        <w:tc>
          <w:tcPr>
            <w:tcW w:w="1734" w:type="dxa"/>
            <w:shd w:val="clear" w:color="000000" w:fill="auto"/>
            <w:hideMark/>
          </w:tcPr>
          <w:p w14:paraId="626444F7"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c>
          <w:tcPr>
            <w:tcW w:w="2915" w:type="dxa"/>
            <w:shd w:val="clear" w:color="000000" w:fill="auto"/>
            <w:hideMark/>
          </w:tcPr>
          <w:p w14:paraId="3BB69BD6"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14C5330C" w14:textId="77777777" w:rsidTr="00397502">
        <w:trPr>
          <w:trHeight w:val="1683"/>
        </w:trPr>
        <w:tc>
          <w:tcPr>
            <w:tcW w:w="704" w:type="dxa"/>
            <w:shd w:val="clear" w:color="auto" w:fill="auto"/>
            <w:noWrap/>
          </w:tcPr>
          <w:p w14:paraId="7B424D86"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39A50F3B"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Поселение "Лермонтовская Скала - 1",1 пол. I тыс. до н.э.</w:t>
            </w:r>
          </w:p>
        </w:tc>
        <w:tc>
          <w:tcPr>
            <w:tcW w:w="3402" w:type="dxa"/>
            <w:shd w:val="clear" w:color="000000" w:fill="auto"/>
            <w:hideMark/>
          </w:tcPr>
          <w:p w14:paraId="0C462686"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7A409F38"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1C291E8F"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Правобережная терраса р. Ольховки, скальный мыс напротив Лермонтовской скалы</w:t>
            </w:r>
          </w:p>
        </w:tc>
        <w:tc>
          <w:tcPr>
            <w:tcW w:w="1734" w:type="dxa"/>
            <w:shd w:val="clear" w:color="000000" w:fill="auto"/>
            <w:hideMark/>
          </w:tcPr>
          <w:p w14:paraId="7086071F"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1347 от 25.12.2023</w:t>
            </w:r>
          </w:p>
        </w:tc>
        <w:tc>
          <w:tcPr>
            <w:tcW w:w="2915" w:type="dxa"/>
            <w:shd w:val="clear" w:color="000000" w:fill="auto"/>
            <w:hideMark/>
          </w:tcPr>
          <w:p w14:paraId="60CC32C9"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6CB937C3" w14:textId="77777777" w:rsidTr="00397502">
        <w:trPr>
          <w:trHeight w:val="2225"/>
        </w:trPr>
        <w:tc>
          <w:tcPr>
            <w:tcW w:w="704" w:type="dxa"/>
            <w:shd w:val="clear" w:color="auto" w:fill="auto"/>
            <w:noWrap/>
          </w:tcPr>
          <w:p w14:paraId="6C4407A8"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08E6AFFF"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Поселение "Лермонтовская Скала - 2", I тыс. н.э.</w:t>
            </w:r>
          </w:p>
        </w:tc>
        <w:tc>
          <w:tcPr>
            <w:tcW w:w="3402" w:type="dxa"/>
            <w:shd w:val="clear" w:color="000000" w:fill="auto"/>
            <w:hideMark/>
          </w:tcPr>
          <w:p w14:paraId="14FA75C6"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6784DFE1"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6F8DA85B"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Левый берег р. Ольховки, восточный склон Лермонтовской скалы</w:t>
            </w:r>
          </w:p>
        </w:tc>
        <w:tc>
          <w:tcPr>
            <w:tcW w:w="1734" w:type="dxa"/>
            <w:shd w:val="clear" w:color="000000" w:fill="auto"/>
            <w:hideMark/>
          </w:tcPr>
          <w:p w14:paraId="2880A14C"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c>
          <w:tcPr>
            <w:tcW w:w="2915" w:type="dxa"/>
            <w:shd w:val="clear" w:color="000000" w:fill="auto"/>
            <w:hideMark/>
          </w:tcPr>
          <w:p w14:paraId="69B8AC5C"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15E13D9C" w14:textId="77777777" w:rsidTr="00397502">
        <w:trPr>
          <w:trHeight w:val="1541"/>
        </w:trPr>
        <w:tc>
          <w:tcPr>
            <w:tcW w:w="704" w:type="dxa"/>
            <w:shd w:val="clear" w:color="auto" w:fill="auto"/>
            <w:noWrap/>
          </w:tcPr>
          <w:p w14:paraId="189D14BA"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5D30D1CD"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Укрепление "Лермонтовская Скала", I тыс. н.э.</w:t>
            </w:r>
          </w:p>
        </w:tc>
        <w:tc>
          <w:tcPr>
            <w:tcW w:w="3402" w:type="dxa"/>
            <w:shd w:val="clear" w:color="000000" w:fill="auto"/>
            <w:hideMark/>
          </w:tcPr>
          <w:p w14:paraId="34ED8216"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16A44CF4"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3828E0A4"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200 - 250 м юго-западнее Лермонтовской скалы, скальный мыс между реками Ольховкой и Сухой Ольховкой</w:t>
            </w:r>
          </w:p>
        </w:tc>
        <w:tc>
          <w:tcPr>
            <w:tcW w:w="1734" w:type="dxa"/>
            <w:shd w:val="clear" w:color="000000" w:fill="auto"/>
            <w:hideMark/>
          </w:tcPr>
          <w:p w14:paraId="133ECFAB"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c>
          <w:tcPr>
            <w:tcW w:w="2915" w:type="dxa"/>
            <w:shd w:val="clear" w:color="000000" w:fill="auto"/>
            <w:hideMark/>
          </w:tcPr>
          <w:p w14:paraId="6BB18FA9"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62FF6E95" w14:textId="77777777" w:rsidTr="00397502">
        <w:trPr>
          <w:trHeight w:val="1824"/>
        </w:trPr>
        <w:tc>
          <w:tcPr>
            <w:tcW w:w="704" w:type="dxa"/>
            <w:shd w:val="clear" w:color="auto" w:fill="auto"/>
            <w:noWrap/>
          </w:tcPr>
          <w:p w14:paraId="7D053CD8"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4CFC2CFE"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Могильник "Нарзанный", сер. I тыс. н.э.</w:t>
            </w:r>
          </w:p>
        </w:tc>
        <w:tc>
          <w:tcPr>
            <w:tcW w:w="3402" w:type="dxa"/>
            <w:shd w:val="clear" w:color="000000" w:fill="auto"/>
            <w:hideMark/>
          </w:tcPr>
          <w:p w14:paraId="0156F64D"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417" w:type="dxa"/>
            <w:shd w:val="clear" w:color="000000" w:fill="auto"/>
            <w:hideMark/>
          </w:tcPr>
          <w:p w14:paraId="00339C47"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федерального значения</w:t>
            </w:r>
          </w:p>
        </w:tc>
        <w:tc>
          <w:tcPr>
            <w:tcW w:w="1872" w:type="dxa"/>
            <w:shd w:val="clear" w:color="000000" w:fill="auto"/>
            <w:hideMark/>
          </w:tcPr>
          <w:p w14:paraId="56FEFB07"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Восточная окраина пос. Нарзанный</w:t>
            </w:r>
          </w:p>
        </w:tc>
        <w:tc>
          <w:tcPr>
            <w:tcW w:w="1734" w:type="dxa"/>
            <w:shd w:val="clear" w:color="000000" w:fill="auto"/>
            <w:hideMark/>
          </w:tcPr>
          <w:p w14:paraId="0EF11978"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1348 от 25.12.2023</w:t>
            </w:r>
          </w:p>
        </w:tc>
        <w:tc>
          <w:tcPr>
            <w:tcW w:w="2915" w:type="dxa"/>
            <w:shd w:val="clear" w:color="000000" w:fill="auto"/>
            <w:hideMark/>
          </w:tcPr>
          <w:p w14:paraId="526AB71B"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r w:rsidR="00E373FE" w:rsidRPr="00731FE2" w14:paraId="48171FE3" w14:textId="77777777" w:rsidTr="00397502">
        <w:trPr>
          <w:trHeight w:val="1516"/>
        </w:trPr>
        <w:tc>
          <w:tcPr>
            <w:tcW w:w="704" w:type="dxa"/>
            <w:shd w:val="clear" w:color="auto" w:fill="auto"/>
            <w:noWrap/>
          </w:tcPr>
          <w:p w14:paraId="7C4239EB" w14:textId="77777777" w:rsidR="00E373FE" w:rsidRPr="00731FE2" w:rsidRDefault="00E373FE" w:rsidP="00397502">
            <w:pPr>
              <w:pStyle w:val="a3"/>
              <w:numPr>
                <w:ilvl w:val="0"/>
                <w:numId w:val="126"/>
              </w:numPr>
              <w:spacing w:line="240" w:lineRule="auto"/>
              <w:ind w:left="0" w:firstLine="0"/>
              <w:jc w:val="center"/>
              <w:rPr>
                <w:rFonts w:ascii="Times New Roman" w:eastAsia="Times New Roman" w:hAnsi="Times New Roman" w:cs="Times New Roman"/>
                <w:sz w:val="20"/>
                <w:szCs w:val="20"/>
                <w:lang w:eastAsia="ru-RU"/>
              </w:rPr>
            </w:pPr>
          </w:p>
        </w:tc>
        <w:tc>
          <w:tcPr>
            <w:tcW w:w="2410" w:type="dxa"/>
            <w:shd w:val="clear" w:color="000000" w:fill="auto"/>
            <w:hideMark/>
          </w:tcPr>
          <w:p w14:paraId="13B4ECE0"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Курган "Круглый", III - II тыс. до н.э.</w:t>
            </w:r>
          </w:p>
        </w:tc>
        <w:tc>
          <w:tcPr>
            <w:tcW w:w="3402" w:type="dxa"/>
            <w:shd w:val="clear" w:color="000000" w:fill="auto"/>
            <w:hideMark/>
          </w:tcPr>
          <w:p w14:paraId="1EF014A2"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 xml:space="preserve">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w:t>
            </w:r>
            <w:r w:rsidRPr="00731FE2">
              <w:rPr>
                <w:rFonts w:ascii="Times New Roman" w:eastAsia="Times New Roman" w:hAnsi="Times New Roman" w:cs="Times New Roman"/>
                <w:sz w:val="20"/>
                <w:szCs w:val="20"/>
                <w:lang w:eastAsia="ru-RU"/>
              </w:rPr>
              <w:lastRenderedPageBreak/>
              <w:t>республиканского значения, утвержденного</w:t>
            </w:r>
          </w:p>
        </w:tc>
        <w:tc>
          <w:tcPr>
            <w:tcW w:w="1417" w:type="dxa"/>
            <w:shd w:val="clear" w:color="000000" w:fill="auto"/>
            <w:hideMark/>
          </w:tcPr>
          <w:p w14:paraId="7B545AB9"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lastRenderedPageBreak/>
              <w:t>федерального значения</w:t>
            </w:r>
          </w:p>
        </w:tc>
        <w:tc>
          <w:tcPr>
            <w:tcW w:w="1872" w:type="dxa"/>
            <w:shd w:val="clear" w:color="000000" w:fill="auto"/>
            <w:hideMark/>
          </w:tcPr>
          <w:p w14:paraId="6E295D2C"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Южный сектор правый берег р. Ольховки, около 100 м восточнее пос. Нарзанный правый берег р. Ольховки.</w:t>
            </w:r>
          </w:p>
        </w:tc>
        <w:tc>
          <w:tcPr>
            <w:tcW w:w="1734" w:type="dxa"/>
            <w:shd w:val="clear" w:color="000000" w:fill="auto"/>
            <w:hideMark/>
          </w:tcPr>
          <w:p w14:paraId="43E84577"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c>
          <w:tcPr>
            <w:tcW w:w="2915" w:type="dxa"/>
            <w:shd w:val="clear" w:color="000000" w:fill="auto"/>
            <w:hideMark/>
          </w:tcPr>
          <w:p w14:paraId="40BDB009" w14:textId="77777777" w:rsidR="00E373FE" w:rsidRPr="00731FE2" w:rsidRDefault="00E373FE" w:rsidP="00397502">
            <w:pPr>
              <w:spacing w:line="240" w:lineRule="auto"/>
              <w:ind w:firstLine="0"/>
              <w:jc w:val="center"/>
              <w:rPr>
                <w:rFonts w:ascii="Times New Roman" w:eastAsia="Times New Roman" w:hAnsi="Times New Roman" w:cs="Times New Roman"/>
                <w:sz w:val="20"/>
                <w:szCs w:val="20"/>
                <w:lang w:eastAsia="ru-RU"/>
              </w:rPr>
            </w:pPr>
          </w:p>
        </w:tc>
      </w:tr>
    </w:tbl>
    <w:p w14:paraId="22393EE5" w14:textId="77777777" w:rsidR="00171AA8" w:rsidRPr="00731FE2" w:rsidRDefault="007935AB">
      <w:pPr>
        <w:rPr>
          <w:rFonts w:ascii="Times New Roman" w:hAnsi="Times New Roman" w:cs="Times New Roman"/>
        </w:rPr>
      </w:pPr>
      <w:r w:rsidRPr="00731FE2">
        <w:rPr>
          <w:rFonts w:ascii="Times New Roman" w:hAnsi="Times New Roman" w:cs="Times New Roman"/>
        </w:rPr>
        <w:lastRenderedPageBreak/>
        <w:br w:type="page" w:clear="all"/>
      </w:r>
    </w:p>
    <w:p w14:paraId="092E9A8E" w14:textId="09930688" w:rsidR="00171AA8" w:rsidRPr="00731FE2" w:rsidRDefault="007935AB" w:rsidP="00717AA7">
      <w:pPr>
        <w:pStyle w:val="13"/>
        <w:spacing w:after="0" w:line="240" w:lineRule="auto"/>
        <w:rPr>
          <w:rStyle w:val="af6"/>
          <w:rFonts w:ascii="Times New Roman" w:hAnsi="Times New Roman" w:cs="Times New Roman"/>
          <w:b w:val="0"/>
          <w:bCs w:val="0"/>
          <w:color w:val="auto"/>
          <w:sz w:val="24"/>
          <w:szCs w:val="24"/>
          <w:u w:val="none"/>
        </w:rPr>
      </w:pPr>
      <w:bookmarkStart w:id="110" w:name="_Toc177392859"/>
      <w:r w:rsidRPr="00731FE2">
        <w:rPr>
          <w:rStyle w:val="af6"/>
          <w:rFonts w:ascii="Times New Roman" w:hAnsi="Times New Roman" w:cs="Times New Roman"/>
          <w:bCs w:val="0"/>
          <w:color w:val="auto"/>
          <w:sz w:val="24"/>
          <w:szCs w:val="24"/>
          <w:u w:val="none"/>
        </w:rPr>
        <w:lastRenderedPageBreak/>
        <w:t xml:space="preserve">ПРИЛОЖЕНИЕ 3 – </w:t>
      </w:r>
      <w:r w:rsidR="005078BB" w:rsidRPr="00731FE2">
        <w:rPr>
          <w:rStyle w:val="af6"/>
          <w:rFonts w:ascii="Times New Roman" w:hAnsi="Times New Roman" w:cs="Times New Roman"/>
          <w:bCs w:val="0"/>
          <w:color w:val="auto"/>
          <w:sz w:val="24"/>
          <w:szCs w:val="24"/>
          <w:u w:val="none"/>
        </w:rPr>
        <w:t>ПЕРЕЧЕНЬ</w:t>
      </w:r>
      <w:r w:rsidRPr="00731FE2">
        <w:rPr>
          <w:rStyle w:val="af6"/>
          <w:rFonts w:ascii="Times New Roman" w:hAnsi="Times New Roman" w:cs="Times New Roman"/>
          <w:bCs w:val="0"/>
          <w:color w:val="auto"/>
          <w:sz w:val="24"/>
          <w:szCs w:val="24"/>
          <w:u w:val="none"/>
        </w:rPr>
        <w:t xml:space="preserve"> ОБЪЕКТОВ КУЛЬТУРНОГО НАСЛЕДИЯ РЕГИОНАЛЬНОГО И МЕСТНОГО ЗНАЧЕНИЯ, РАСПОЛОЖЕННЫХ НА ТЕРРИТОРИИ ГОРОДСКОГО ОКРУГА ГОРОДА-КУРОРТА КИСЛОВОДСКА СТАВРОПОЛЬСКОГО КРАЯ</w:t>
      </w:r>
      <w:r w:rsidR="00EE4EC5" w:rsidRPr="00731FE2">
        <w:rPr>
          <w:rStyle w:val="afb"/>
          <w:rFonts w:ascii="Times New Roman" w:hAnsi="Times New Roman" w:cs="Times New Roman"/>
          <w:color w:val="auto"/>
          <w:sz w:val="24"/>
          <w:szCs w:val="24"/>
          <w:vertAlign w:val="superscript"/>
        </w:rPr>
        <w:footnoteReference w:id="122"/>
      </w:r>
      <w:bookmarkEnd w:id="110"/>
    </w:p>
    <w:tbl>
      <w:tblPr>
        <w:tblW w:w="142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2581"/>
        <w:gridCol w:w="1977"/>
        <w:gridCol w:w="1780"/>
        <w:gridCol w:w="2738"/>
        <w:gridCol w:w="1993"/>
        <w:gridCol w:w="2427"/>
      </w:tblGrid>
      <w:tr w:rsidR="000C5E62" w:rsidRPr="00731FE2" w14:paraId="037257AA" w14:textId="77777777" w:rsidTr="000C5E62">
        <w:trPr>
          <w:trHeight w:val="716"/>
        </w:trPr>
        <w:tc>
          <w:tcPr>
            <w:tcW w:w="704" w:type="dxa"/>
            <w:shd w:val="clear" w:color="auto" w:fill="auto"/>
            <w:noWrap/>
            <w:hideMark/>
          </w:tcPr>
          <w:p w14:paraId="5C647574" w14:textId="77777777" w:rsidR="000C5E62" w:rsidRPr="00731FE2" w:rsidRDefault="000C5E62" w:rsidP="000C5E62">
            <w:pPr>
              <w:pBdr>
                <w:top w:val="none" w:sz="4" w:space="0" w:color="000000"/>
                <w:left w:val="none" w:sz="4" w:space="0" w:color="000000"/>
                <w:bottom w:val="none" w:sz="4" w:space="0" w:color="000000"/>
                <w:right w:val="none" w:sz="4" w:space="0" w:color="000000"/>
              </w:pBdr>
              <w:spacing w:line="240" w:lineRule="auto"/>
              <w:ind w:firstLine="0"/>
              <w:jc w:val="center"/>
              <w:rPr>
                <w:rStyle w:val="af6"/>
                <w:rFonts w:ascii="Times New Roman" w:hAnsi="Times New Roman" w:cs="Times New Roman"/>
                <w:b/>
                <w:bCs/>
                <w:color w:val="auto"/>
                <w:sz w:val="20"/>
                <w:szCs w:val="20"/>
                <w:u w:val="none"/>
              </w:rPr>
            </w:pPr>
            <w:r w:rsidRPr="00731FE2">
              <w:rPr>
                <w:rStyle w:val="af6"/>
                <w:rFonts w:ascii="Times New Roman" w:hAnsi="Times New Roman" w:cs="Times New Roman"/>
                <w:b/>
                <w:bCs/>
                <w:color w:val="auto"/>
                <w:sz w:val="20"/>
                <w:szCs w:val="20"/>
                <w:u w:val="none"/>
              </w:rPr>
              <w:t>№ п/п</w:t>
            </w:r>
          </w:p>
        </w:tc>
        <w:tc>
          <w:tcPr>
            <w:tcW w:w="2581" w:type="dxa"/>
            <w:shd w:val="clear" w:color="000000" w:fill="auto"/>
            <w:hideMark/>
          </w:tcPr>
          <w:p w14:paraId="14FAD4A9" w14:textId="77777777" w:rsidR="000C5E62" w:rsidRPr="00731FE2" w:rsidRDefault="000C5E62" w:rsidP="000C5E62">
            <w:pPr>
              <w:spacing w:line="240" w:lineRule="auto"/>
              <w:ind w:firstLine="0"/>
              <w:jc w:val="center"/>
              <w:rPr>
                <w:rFonts w:ascii="Times New Roman" w:eastAsia="Times New Roman" w:hAnsi="Times New Roman" w:cs="Times New Roman"/>
                <w:b/>
                <w:bCs/>
                <w:sz w:val="20"/>
                <w:szCs w:val="20"/>
                <w:lang w:eastAsia="ru-RU"/>
              </w:rPr>
            </w:pPr>
            <w:r w:rsidRPr="00731FE2">
              <w:rPr>
                <w:rFonts w:ascii="Times New Roman" w:eastAsia="Times New Roman" w:hAnsi="Times New Roman" w:cs="Times New Roman"/>
                <w:b/>
                <w:bCs/>
                <w:sz w:val="20"/>
                <w:szCs w:val="20"/>
                <w:lang w:eastAsia="ru-RU"/>
              </w:rPr>
              <w:t>Наименование объекта культурного наследия</w:t>
            </w:r>
          </w:p>
        </w:tc>
        <w:tc>
          <w:tcPr>
            <w:tcW w:w="1977" w:type="dxa"/>
            <w:shd w:val="clear" w:color="000000" w:fill="auto"/>
            <w:hideMark/>
          </w:tcPr>
          <w:p w14:paraId="75BD11FC" w14:textId="77777777" w:rsidR="000C5E62" w:rsidRPr="00731FE2" w:rsidRDefault="000C5E62" w:rsidP="000C5E62">
            <w:pPr>
              <w:spacing w:line="240" w:lineRule="auto"/>
              <w:ind w:firstLine="0"/>
              <w:jc w:val="center"/>
              <w:rPr>
                <w:rFonts w:ascii="Times New Roman" w:eastAsia="Times New Roman" w:hAnsi="Times New Roman" w:cs="Times New Roman"/>
                <w:b/>
                <w:bCs/>
                <w:sz w:val="20"/>
                <w:szCs w:val="20"/>
                <w:lang w:eastAsia="ru-RU"/>
              </w:rPr>
            </w:pPr>
            <w:r w:rsidRPr="00731FE2">
              <w:rPr>
                <w:rFonts w:ascii="Times New Roman" w:eastAsia="Times New Roman" w:hAnsi="Times New Roman" w:cs="Times New Roman"/>
                <w:b/>
                <w:bCs/>
                <w:sz w:val="20"/>
                <w:szCs w:val="20"/>
                <w:lang w:eastAsia="ru-RU"/>
              </w:rPr>
              <w:t>Нормативный акт, на основании которого объект отнесен к памятникам истории и культуры</w:t>
            </w:r>
          </w:p>
        </w:tc>
        <w:tc>
          <w:tcPr>
            <w:tcW w:w="1780" w:type="dxa"/>
            <w:shd w:val="clear" w:color="000000" w:fill="auto"/>
            <w:hideMark/>
          </w:tcPr>
          <w:p w14:paraId="7167F265" w14:textId="77777777" w:rsidR="000C5E62" w:rsidRPr="00731FE2" w:rsidRDefault="000C5E62" w:rsidP="000C5E62">
            <w:pPr>
              <w:spacing w:line="240" w:lineRule="auto"/>
              <w:ind w:firstLine="0"/>
              <w:jc w:val="center"/>
              <w:rPr>
                <w:rFonts w:ascii="Times New Roman" w:eastAsia="Times New Roman" w:hAnsi="Times New Roman" w:cs="Times New Roman"/>
                <w:b/>
                <w:bCs/>
                <w:sz w:val="20"/>
                <w:szCs w:val="20"/>
                <w:lang w:eastAsia="ru-RU"/>
              </w:rPr>
            </w:pPr>
            <w:r w:rsidRPr="00731FE2">
              <w:rPr>
                <w:rFonts w:ascii="Times New Roman" w:eastAsia="Times New Roman" w:hAnsi="Times New Roman" w:cs="Times New Roman"/>
                <w:b/>
                <w:bCs/>
                <w:sz w:val="20"/>
                <w:szCs w:val="20"/>
                <w:lang w:eastAsia="ru-RU"/>
              </w:rPr>
              <w:t>Категория государственной охраны</w:t>
            </w:r>
          </w:p>
        </w:tc>
        <w:tc>
          <w:tcPr>
            <w:tcW w:w="2738" w:type="dxa"/>
            <w:shd w:val="clear" w:color="000000" w:fill="auto"/>
            <w:hideMark/>
          </w:tcPr>
          <w:p w14:paraId="3BCB04A7" w14:textId="77777777" w:rsidR="000C5E62" w:rsidRPr="00731FE2" w:rsidRDefault="000C5E62" w:rsidP="000C5E62">
            <w:pPr>
              <w:spacing w:line="240" w:lineRule="auto"/>
              <w:ind w:firstLine="0"/>
              <w:jc w:val="center"/>
              <w:rPr>
                <w:rFonts w:ascii="Times New Roman" w:eastAsia="Times New Roman" w:hAnsi="Times New Roman" w:cs="Times New Roman"/>
                <w:b/>
                <w:bCs/>
                <w:sz w:val="20"/>
                <w:szCs w:val="20"/>
                <w:lang w:eastAsia="ru-RU"/>
              </w:rPr>
            </w:pPr>
            <w:r w:rsidRPr="00731FE2">
              <w:rPr>
                <w:rFonts w:ascii="Times New Roman" w:eastAsia="Times New Roman" w:hAnsi="Times New Roman" w:cs="Times New Roman"/>
                <w:b/>
                <w:bCs/>
                <w:sz w:val="20"/>
                <w:szCs w:val="20"/>
                <w:lang w:eastAsia="ru-RU"/>
              </w:rPr>
              <w:t>Адрес объекта культурного наследия</w:t>
            </w:r>
          </w:p>
        </w:tc>
        <w:tc>
          <w:tcPr>
            <w:tcW w:w="1993" w:type="dxa"/>
            <w:shd w:val="clear" w:color="000000" w:fill="auto"/>
            <w:hideMark/>
          </w:tcPr>
          <w:p w14:paraId="767E4D29" w14:textId="77777777" w:rsidR="000C5E62" w:rsidRPr="00731FE2" w:rsidRDefault="000C5E62" w:rsidP="000C5E62">
            <w:pPr>
              <w:spacing w:line="240" w:lineRule="auto"/>
              <w:ind w:firstLine="0"/>
              <w:jc w:val="center"/>
              <w:rPr>
                <w:rFonts w:ascii="Times New Roman" w:eastAsia="Times New Roman" w:hAnsi="Times New Roman" w:cs="Times New Roman"/>
                <w:b/>
                <w:bCs/>
                <w:sz w:val="20"/>
                <w:szCs w:val="20"/>
                <w:lang w:eastAsia="ru-RU"/>
              </w:rPr>
            </w:pPr>
            <w:r w:rsidRPr="00731FE2">
              <w:rPr>
                <w:rFonts w:ascii="Times New Roman" w:eastAsia="Times New Roman" w:hAnsi="Times New Roman" w:cs="Times New Roman"/>
                <w:b/>
                <w:bCs/>
                <w:sz w:val="20"/>
                <w:szCs w:val="20"/>
                <w:lang w:eastAsia="ru-RU"/>
              </w:rPr>
              <w:t>Сведения об установлении границ территории</w:t>
            </w:r>
          </w:p>
        </w:tc>
        <w:tc>
          <w:tcPr>
            <w:tcW w:w="2427" w:type="dxa"/>
            <w:shd w:val="clear" w:color="000000" w:fill="auto"/>
            <w:hideMark/>
          </w:tcPr>
          <w:p w14:paraId="66631D92" w14:textId="77777777" w:rsidR="000C5E62" w:rsidRPr="00731FE2" w:rsidRDefault="000C5E62" w:rsidP="000C5E62">
            <w:pPr>
              <w:spacing w:line="240" w:lineRule="auto"/>
              <w:ind w:firstLine="0"/>
              <w:jc w:val="center"/>
              <w:rPr>
                <w:rFonts w:ascii="Times New Roman" w:eastAsia="Times New Roman" w:hAnsi="Times New Roman" w:cs="Times New Roman"/>
                <w:b/>
                <w:bCs/>
                <w:sz w:val="20"/>
                <w:szCs w:val="20"/>
                <w:lang w:eastAsia="ru-RU"/>
              </w:rPr>
            </w:pPr>
            <w:r w:rsidRPr="00731FE2">
              <w:rPr>
                <w:rFonts w:ascii="Times New Roman" w:eastAsia="Times New Roman" w:hAnsi="Times New Roman" w:cs="Times New Roman"/>
                <w:b/>
                <w:bCs/>
                <w:sz w:val="20"/>
                <w:szCs w:val="20"/>
                <w:lang w:eastAsia="ru-RU"/>
              </w:rPr>
              <w:t>Сведения о зонах охраны, режимах использования земель и градостроительных регламентов в границах данных зон</w:t>
            </w:r>
          </w:p>
        </w:tc>
      </w:tr>
      <w:tr w:rsidR="000C5E62" w:rsidRPr="00731FE2" w14:paraId="7A33478D" w14:textId="77777777" w:rsidTr="000C5E62">
        <w:trPr>
          <w:trHeight w:val="268"/>
        </w:trPr>
        <w:tc>
          <w:tcPr>
            <w:tcW w:w="704" w:type="dxa"/>
            <w:shd w:val="clear" w:color="auto" w:fill="auto"/>
            <w:noWrap/>
            <w:hideMark/>
          </w:tcPr>
          <w:p w14:paraId="5499BE44" w14:textId="77777777" w:rsidR="000C5E62" w:rsidRPr="00731FE2" w:rsidRDefault="000C5E62" w:rsidP="000C5E62">
            <w:pPr>
              <w:pStyle w:val="a3"/>
              <w:numPr>
                <w:ilvl w:val="0"/>
                <w:numId w:val="127"/>
              </w:numPr>
              <w:spacing w:line="240" w:lineRule="auto"/>
              <w:ind w:left="0" w:firstLine="0"/>
              <w:jc w:val="center"/>
              <w:rPr>
                <w:rFonts w:ascii="Times New Roman" w:eastAsia="Times New Roman" w:hAnsi="Times New Roman" w:cs="Times New Roman"/>
                <w:sz w:val="20"/>
                <w:szCs w:val="20"/>
                <w:lang w:eastAsia="ru-RU"/>
              </w:rPr>
            </w:pPr>
          </w:p>
        </w:tc>
        <w:tc>
          <w:tcPr>
            <w:tcW w:w="2581" w:type="dxa"/>
            <w:shd w:val="clear" w:color="000000" w:fill="auto"/>
            <w:hideMark/>
          </w:tcPr>
          <w:p w14:paraId="292528AC"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«Здание телефонной станции», начало XX века</w:t>
            </w:r>
          </w:p>
        </w:tc>
        <w:tc>
          <w:tcPr>
            <w:tcW w:w="1977" w:type="dxa"/>
            <w:shd w:val="clear" w:color="000000" w:fill="auto"/>
            <w:hideMark/>
          </w:tcPr>
          <w:p w14:paraId="11960C87"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Приказ управления Ставропольского края по сохранению и государственной охране объектов культурного наследия от 19.07.2023 № 638</w:t>
            </w:r>
          </w:p>
        </w:tc>
        <w:tc>
          <w:tcPr>
            <w:tcW w:w="1780" w:type="dxa"/>
            <w:shd w:val="clear" w:color="000000" w:fill="auto"/>
            <w:hideMark/>
          </w:tcPr>
          <w:p w14:paraId="446B59CE"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регионального значения</w:t>
            </w:r>
          </w:p>
        </w:tc>
        <w:tc>
          <w:tcPr>
            <w:tcW w:w="2738" w:type="dxa"/>
            <w:shd w:val="clear" w:color="000000" w:fill="auto"/>
            <w:hideMark/>
          </w:tcPr>
          <w:p w14:paraId="6561079B"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Ставропольский край, город-курорт Кисловодск, пр. Мира/ул. Ермолова, д. 16/1</w:t>
            </w:r>
          </w:p>
        </w:tc>
        <w:tc>
          <w:tcPr>
            <w:tcW w:w="1993" w:type="dxa"/>
            <w:shd w:val="clear" w:color="000000" w:fill="auto"/>
            <w:hideMark/>
          </w:tcPr>
          <w:p w14:paraId="566DA1FE"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Приказ управления Ставропольского края по сохранению и государственной охране объектов культурного наследия от 19.07.2023 № 638</w:t>
            </w:r>
          </w:p>
        </w:tc>
        <w:tc>
          <w:tcPr>
            <w:tcW w:w="2427" w:type="dxa"/>
            <w:shd w:val="clear" w:color="auto" w:fill="auto"/>
            <w:hideMark/>
          </w:tcPr>
          <w:p w14:paraId="46EC8190"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В соответствии со ст. 34.1 ФЗ от 25.06.2002 № 73-ФЗ «Об объектах культурного наследия (памятниках истории и культуры) народов РФ» действуют защитные зоны 100 м</w:t>
            </w:r>
          </w:p>
        </w:tc>
      </w:tr>
      <w:tr w:rsidR="000C5E62" w:rsidRPr="00731FE2" w14:paraId="514FAA2B" w14:textId="77777777" w:rsidTr="000C5E62">
        <w:trPr>
          <w:trHeight w:val="123"/>
        </w:trPr>
        <w:tc>
          <w:tcPr>
            <w:tcW w:w="704" w:type="dxa"/>
            <w:shd w:val="clear" w:color="auto" w:fill="auto"/>
            <w:noWrap/>
          </w:tcPr>
          <w:p w14:paraId="1C4CEF0D" w14:textId="77777777" w:rsidR="000C5E62" w:rsidRPr="00731FE2" w:rsidRDefault="000C5E62" w:rsidP="000C5E62">
            <w:pPr>
              <w:pStyle w:val="a3"/>
              <w:numPr>
                <w:ilvl w:val="0"/>
                <w:numId w:val="127"/>
              </w:numPr>
              <w:spacing w:line="240" w:lineRule="auto"/>
              <w:ind w:left="0" w:firstLine="0"/>
              <w:jc w:val="center"/>
              <w:rPr>
                <w:rFonts w:ascii="Times New Roman" w:eastAsia="Times New Roman" w:hAnsi="Times New Roman" w:cs="Times New Roman"/>
                <w:sz w:val="20"/>
                <w:szCs w:val="20"/>
                <w:lang w:eastAsia="ru-RU"/>
              </w:rPr>
            </w:pPr>
          </w:p>
        </w:tc>
        <w:tc>
          <w:tcPr>
            <w:tcW w:w="2581" w:type="dxa"/>
            <w:shd w:val="clear" w:color="FFFFFF" w:fill="FFFFFF"/>
            <w:hideMark/>
          </w:tcPr>
          <w:p w14:paraId="4E7B7EE4"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"Дача Витуся", Начало ХХ в.</w:t>
            </w:r>
          </w:p>
        </w:tc>
        <w:tc>
          <w:tcPr>
            <w:tcW w:w="1977" w:type="dxa"/>
            <w:shd w:val="clear" w:color="FFFFFF" w:fill="FFFFFF"/>
            <w:hideMark/>
          </w:tcPr>
          <w:p w14:paraId="72BFE15E"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 xml:space="preserve">Приказ управления Ставропольского края по сохранению и государственной охране объектов культурного наследия от 30 декабря 2020 г. № 1047 "О включении выявленного объекта культурного наследия «Дача Витуся», начало ХХ века, Ставропольский </w:t>
            </w:r>
            <w:r w:rsidRPr="00731FE2">
              <w:rPr>
                <w:rFonts w:ascii="Times New Roman" w:eastAsia="Times New Roman" w:hAnsi="Times New Roman" w:cs="Times New Roman"/>
                <w:sz w:val="20"/>
                <w:szCs w:val="20"/>
                <w:lang w:eastAsia="ru-RU"/>
              </w:rPr>
              <w:lastRenderedPageBreak/>
              <w:t>край, г. Кисловодс</w:t>
            </w:r>
          </w:p>
        </w:tc>
        <w:tc>
          <w:tcPr>
            <w:tcW w:w="1780" w:type="dxa"/>
            <w:shd w:val="clear" w:color="FFFFFF" w:fill="FFFFFF"/>
            <w:hideMark/>
          </w:tcPr>
          <w:p w14:paraId="4635CC9B"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lastRenderedPageBreak/>
              <w:t>регионального значения</w:t>
            </w:r>
          </w:p>
        </w:tc>
        <w:tc>
          <w:tcPr>
            <w:tcW w:w="2738" w:type="dxa"/>
            <w:shd w:val="clear" w:color="FFFFFF" w:fill="FFFFFF"/>
            <w:hideMark/>
          </w:tcPr>
          <w:p w14:paraId="18F74116"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Ставропольский край, г. Кисловодск, ул. Шаляпина, д. 4</w:t>
            </w:r>
          </w:p>
        </w:tc>
        <w:tc>
          <w:tcPr>
            <w:tcW w:w="1993" w:type="dxa"/>
            <w:shd w:val="clear" w:color="FFFFFF" w:fill="FFFFFF"/>
            <w:hideMark/>
          </w:tcPr>
          <w:p w14:paraId="6088963F"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внес.изм. 78 от 28.01.2024 г.; Приказ управления Ставропольского края по сохранению и государственной охране объектов культурного наследия от 30 декабря 2020 г. № 1047</w:t>
            </w:r>
          </w:p>
        </w:tc>
        <w:tc>
          <w:tcPr>
            <w:tcW w:w="2427" w:type="dxa"/>
            <w:shd w:val="clear" w:color="FFFFFF" w:fill="FFFFFF"/>
            <w:hideMark/>
          </w:tcPr>
          <w:p w14:paraId="72F8E3FF"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517 от 15.06.2023</w:t>
            </w:r>
          </w:p>
        </w:tc>
      </w:tr>
      <w:tr w:rsidR="000C5E62" w:rsidRPr="00731FE2" w14:paraId="41B76434" w14:textId="77777777" w:rsidTr="000C5E62">
        <w:trPr>
          <w:trHeight w:val="3972"/>
        </w:trPr>
        <w:tc>
          <w:tcPr>
            <w:tcW w:w="704" w:type="dxa"/>
            <w:shd w:val="clear" w:color="auto" w:fill="auto"/>
            <w:noWrap/>
          </w:tcPr>
          <w:p w14:paraId="78400943" w14:textId="77777777" w:rsidR="000C5E62" w:rsidRPr="00731FE2" w:rsidRDefault="000C5E62" w:rsidP="000C5E62">
            <w:pPr>
              <w:pStyle w:val="a3"/>
              <w:numPr>
                <w:ilvl w:val="0"/>
                <w:numId w:val="127"/>
              </w:numPr>
              <w:spacing w:line="240" w:lineRule="auto"/>
              <w:ind w:left="0" w:firstLine="0"/>
              <w:jc w:val="center"/>
              <w:rPr>
                <w:rFonts w:ascii="Times New Roman" w:eastAsia="Times New Roman" w:hAnsi="Times New Roman" w:cs="Times New Roman"/>
                <w:sz w:val="20"/>
                <w:szCs w:val="20"/>
                <w:lang w:eastAsia="ru-RU"/>
              </w:rPr>
            </w:pPr>
          </w:p>
        </w:tc>
        <w:tc>
          <w:tcPr>
            <w:tcW w:w="2581" w:type="dxa"/>
            <w:shd w:val="clear" w:color="000000" w:fill="auto"/>
            <w:hideMark/>
          </w:tcPr>
          <w:p w14:paraId="4BB040C8"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Особняк Тимофея Дружинина, 1900 г.</w:t>
            </w:r>
          </w:p>
        </w:tc>
        <w:tc>
          <w:tcPr>
            <w:tcW w:w="1977" w:type="dxa"/>
            <w:shd w:val="clear" w:color="000000" w:fill="auto"/>
            <w:hideMark/>
          </w:tcPr>
          <w:p w14:paraId="43B212CC"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Приказ Управления Ставропольского края по сохранению и государственной охране объектов культурного наследия от 30 декабря 2020 года № 1048 "О включении выявленного объекта культурного наследия «Особняк Тимофея Дружинина», 1900 г., Ставропольский край, г.</w:t>
            </w:r>
          </w:p>
        </w:tc>
        <w:tc>
          <w:tcPr>
            <w:tcW w:w="1780" w:type="dxa"/>
            <w:shd w:val="clear" w:color="000000" w:fill="auto"/>
            <w:hideMark/>
          </w:tcPr>
          <w:p w14:paraId="2187E34B"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регионального значения</w:t>
            </w:r>
          </w:p>
        </w:tc>
        <w:tc>
          <w:tcPr>
            <w:tcW w:w="2738" w:type="dxa"/>
            <w:shd w:val="clear" w:color="000000" w:fill="auto"/>
            <w:hideMark/>
          </w:tcPr>
          <w:p w14:paraId="75277D26"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Ставропольский край, г. Кисловодск, ул. Парковый Пешеход, 5</w:t>
            </w:r>
          </w:p>
        </w:tc>
        <w:tc>
          <w:tcPr>
            <w:tcW w:w="1993" w:type="dxa"/>
            <w:shd w:val="clear" w:color="000000" w:fill="auto"/>
            <w:hideMark/>
          </w:tcPr>
          <w:p w14:paraId="06F910E5"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Приказ Управления Ставропольского края по сохранению и государственной охране объектов культурного наследия от 30 декабря 2020 года № 1048</w:t>
            </w:r>
          </w:p>
        </w:tc>
        <w:tc>
          <w:tcPr>
            <w:tcW w:w="2427" w:type="dxa"/>
            <w:shd w:val="clear" w:color="000000" w:fill="auto"/>
            <w:hideMark/>
          </w:tcPr>
          <w:p w14:paraId="1C09DEDC"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549 от 07.06.2024; в зонах охраны "Курортный парк"</w:t>
            </w:r>
          </w:p>
        </w:tc>
      </w:tr>
      <w:tr w:rsidR="000C5E62" w:rsidRPr="00731FE2" w14:paraId="6D6D5F1F" w14:textId="77777777" w:rsidTr="000C5E62">
        <w:trPr>
          <w:trHeight w:val="1584"/>
        </w:trPr>
        <w:tc>
          <w:tcPr>
            <w:tcW w:w="704" w:type="dxa"/>
            <w:shd w:val="clear" w:color="auto" w:fill="auto"/>
            <w:noWrap/>
          </w:tcPr>
          <w:p w14:paraId="338C0744" w14:textId="77777777" w:rsidR="000C5E62" w:rsidRPr="00731FE2" w:rsidRDefault="000C5E62" w:rsidP="000C5E62">
            <w:pPr>
              <w:pStyle w:val="a3"/>
              <w:numPr>
                <w:ilvl w:val="0"/>
                <w:numId w:val="127"/>
              </w:numPr>
              <w:spacing w:line="240" w:lineRule="auto"/>
              <w:ind w:left="0" w:firstLine="0"/>
              <w:jc w:val="center"/>
              <w:rPr>
                <w:rFonts w:ascii="Times New Roman" w:eastAsia="Times New Roman" w:hAnsi="Times New Roman" w:cs="Times New Roman"/>
                <w:sz w:val="20"/>
                <w:szCs w:val="20"/>
                <w:lang w:eastAsia="ru-RU"/>
              </w:rPr>
            </w:pPr>
          </w:p>
        </w:tc>
        <w:tc>
          <w:tcPr>
            <w:tcW w:w="2581" w:type="dxa"/>
            <w:shd w:val="clear" w:color="000000" w:fill="auto"/>
            <w:hideMark/>
          </w:tcPr>
          <w:p w14:paraId="1DFF9685"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Комплекс зданий отеля «Централь»</w:t>
            </w:r>
          </w:p>
        </w:tc>
        <w:tc>
          <w:tcPr>
            <w:tcW w:w="1977" w:type="dxa"/>
            <w:shd w:val="clear" w:color="000000" w:fill="auto"/>
            <w:hideMark/>
          </w:tcPr>
          <w:p w14:paraId="713E257C"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Приказ управления Ставропольского края по сохранению и государственной охране объектов культурного наследия № 30 от 17.01.2022 г.</w:t>
            </w:r>
          </w:p>
        </w:tc>
        <w:tc>
          <w:tcPr>
            <w:tcW w:w="1780" w:type="dxa"/>
            <w:shd w:val="clear" w:color="000000" w:fill="auto"/>
            <w:hideMark/>
          </w:tcPr>
          <w:p w14:paraId="7830F696"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регионального значения</w:t>
            </w:r>
          </w:p>
        </w:tc>
        <w:tc>
          <w:tcPr>
            <w:tcW w:w="2738" w:type="dxa"/>
            <w:shd w:val="clear" w:color="000000" w:fill="auto"/>
            <w:hideMark/>
          </w:tcPr>
          <w:p w14:paraId="0970D21B"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Ставропольский край, г. Кисловодск, ул. Красноармейская/ пр. Первомайский/ пер. Яновского, 2/1/1, лит. А, под лит. А, лит. А1, лит. А2</w:t>
            </w:r>
          </w:p>
        </w:tc>
        <w:tc>
          <w:tcPr>
            <w:tcW w:w="1993" w:type="dxa"/>
            <w:shd w:val="clear" w:color="000000" w:fill="auto"/>
            <w:hideMark/>
          </w:tcPr>
          <w:p w14:paraId="483901CB"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30.от 17.01.2022</w:t>
            </w:r>
          </w:p>
        </w:tc>
        <w:tc>
          <w:tcPr>
            <w:tcW w:w="2427" w:type="dxa"/>
            <w:shd w:val="clear" w:color="000000" w:fill="auto"/>
            <w:hideMark/>
          </w:tcPr>
          <w:p w14:paraId="4E069420"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532 от 06.06.2024</w:t>
            </w:r>
          </w:p>
        </w:tc>
      </w:tr>
      <w:tr w:rsidR="000C5E62" w:rsidRPr="00731FE2" w14:paraId="0221A02B" w14:textId="77777777" w:rsidTr="000C5E62">
        <w:trPr>
          <w:trHeight w:val="186"/>
        </w:trPr>
        <w:tc>
          <w:tcPr>
            <w:tcW w:w="704" w:type="dxa"/>
            <w:shd w:val="clear" w:color="auto" w:fill="auto"/>
            <w:noWrap/>
          </w:tcPr>
          <w:p w14:paraId="17E71DC1" w14:textId="77777777" w:rsidR="000C5E62" w:rsidRPr="00731FE2" w:rsidRDefault="000C5E62" w:rsidP="000C5E62">
            <w:pPr>
              <w:pStyle w:val="a3"/>
              <w:numPr>
                <w:ilvl w:val="0"/>
                <w:numId w:val="127"/>
              </w:numPr>
              <w:spacing w:line="240" w:lineRule="auto"/>
              <w:ind w:left="0" w:firstLine="0"/>
              <w:jc w:val="center"/>
              <w:rPr>
                <w:rFonts w:ascii="Times New Roman" w:eastAsia="Times New Roman" w:hAnsi="Times New Roman" w:cs="Times New Roman"/>
                <w:sz w:val="20"/>
                <w:szCs w:val="20"/>
                <w:lang w:eastAsia="ru-RU"/>
              </w:rPr>
            </w:pPr>
          </w:p>
        </w:tc>
        <w:tc>
          <w:tcPr>
            <w:tcW w:w="2581" w:type="dxa"/>
            <w:shd w:val="clear" w:color="FFFFFF" w:fill="FFFFFF"/>
            <w:hideMark/>
          </w:tcPr>
          <w:p w14:paraId="186D2166"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Каменный виадук, инженер М.С. Кербедз, 1894 г.</w:t>
            </w:r>
          </w:p>
        </w:tc>
        <w:tc>
          <w:tcPr>
            <w:tcW w:w="1977" w:type="dxa"/>
            <w:shd w:val="clear" w:color="FFFFFF" w:fill="FFFFFF"/>
            <w:hideMark/>
          </w:tcPr>
          <w:p w14:paraId="2DA706F2"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Приказ управления СК по сохранению и государственной охране ОКН № 1317 от 27.10.2022 г.</w:t>
            </w:r>
          </w:p>
        </w:tc>
        <w:tc>
          <w:tcPr>
            <w:tcW w:w="1780" w:type="dxa"/>
            <w:shd w:val="clear" w:color="FFFFFF" w:fill="FFFFFF"/>
            <w:hideMark/>
          </w:tcPr>
          <w:p w14:paraId="7BC230ED"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регионального значения</w:t>
            </w:r>
          </w:p>
        </w:tc>
        <w:tc>
          <w:tcPr>
            <w:tcW w:w="2738" w:type="dxa"/>
            <w:shd w:val="clear" w:color="FFFFFF" w:fill="FFFFFF"/>
            <w:hideMark/>
          </w:tcPr>
          <w:p w14:paraId="63DBEB15"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Ставропольский край, город-курорт Кисловодск, железнодорожный мост через ул. Кирова</w:t>
            </w:r>
          </w:p>
        </w:tc>
        <w:tc>
          <w:tcPr>
            <w:tcW w:w="1993" w:type="dxa"/>
            <w:shd w:val="clear" w:color="FFFFFF" w:fill="FFFFFF"/>
            <w:hideMark/>
          </w:tcPr>
          <w:p w14:paraId="06D66F8E"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Приказ управления СК по сохранению и государственной охране ОКН № 1317 от 27.10.2022 г.</w:t>
            </w:r>
          </w:p>
        </w:tc>
        <w:tc>
          <w:tcPr>
            <w:tcW w:w="2427" w:type="dxa"/>
            <w:shd w:val="clear" w:color="FFFFFF" w:fill="FFFFFF"/>
            <w:hideMark/>
          </w:tcPr>
          <w:p w14:paraId="6B8255C7"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349 от 02.05.2023</w:t>
            </w:r>
          </w:p>
        </w:tc>
      </w:tr>
      <w:tr w:rsidR="000C5E62" w:rsidRPr="00731FE2" w14:paraId="0CE920A9" w14:textId="77777777" w:rsidTr="000C5E62">
        <w:trPr>
          <w:trHeight w:val="58"/>
        </w:trPr>
        <w:tc>
          <w:tcPr>
            <w:tcW w:w="704" w:type="dxa"/>
            <w:shd w:val="clear" w:color="auto" w:fill="auto"/>
            <w:noWrap/>
          </w:tcPr>
          <w:p w14:paraId="5F0A423F" w14:textId="77777777" w:rsidR="000C5E62" w:rsidRPr="00731FE2" w:rsidRDefault="000C5E62" w:rsidP="000C5E62">
            <w:pPr>
              <w:pStyle w:val="a3"/>
              <w:numPr>
                <w:ilvl w:val="0"/>
                <w:numId w:val="127"/>
              </w:numPr>
              <w:spacing w:line="240" w:lineRule="auto"/>
              <w:ind w:left="0" w:firstLine="0"/>
              <w:jc w:val="center"/>
              <w:rPr>
                <w:rFonts w:ascii="Times New Roman" w:eastAsia="Times New Roman" w:hAnsi="Times New Roman" w:cs="Times New Roman"/>
                <w:sz w:val="20"/>
                <w:szCs w:val="20"/>
                <w:lang w:eastAsia="ru-RU"/>
              </w:rPr>
            </w:pPr>
          </w:p>
        </w:tc>
        <w:tc>
          <w:tcPr>
            <w:tcW w:w="2581" w:type="dxa"/>
            <w:shd w:val="clear" w:color="000000" w:fill="auto"/>
            <w:hideMark/>
          </w:tcPr>
          <w:p w14:paraId="279C66AC"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«Доходный дом К.Г. Мистрова, архитектор Н.И. Невинский», 1878 г.</w:t>
            </w:r>
          </w:p>
        </w:tc>
        <w:tc>
          <w:tcPr>
            <w:tcW w:w="1977" w:type="dxa"/>
            <w:shd w:val="clear" w:color="000000" w:fill="auto"/>
            <w:hideMark/>
          </w:tcPr>
          <w:p w14:paraId="361BA1A9"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Приказ управления СК по сохранению и государственной охране ОКН № 1315 от 27.10.2022 г.</w:t>
            </w:r>
          </w:p>
        </w:tc>
        <w:tc>
          <w:tcPr>
            <w:tcW w:w="1780" w:type="dxa"/>
            <w:shd w:val="clear" w:color="000000" w:fill="auto"/>
            <w:hideMark/>
          </w:tcPr>
          <w:p w14:paraId="5D15ADAE"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регионального значения</w:t>
            </w:r>
          </w:p>
        </w:tc>
        <w:tc>
          <w:tcPr>
            <w:tcW w:w="2738" w:type="dxa"/>
            <w:shd w:val="clear" w:color="000000" w:fill="auto"/>
            <w:hideMark/>
          </w:tcPr>
          <w:p w14:paraId="23B4CB86"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Ставропольский край, город-курорт Кисловодск, Курортный бульвар, д. 3</w:t>
            </w:r>
          </w:p>
        </w:tc>
        <w:tc>
          <w:tcPr>
            <w:tcW w:w="1993" w:type="dxa"/>
            <w:shd w:val="clear" w:color="000000" w:fill="auto"/>
            <w:hideMark/>
          </w:tcPr>
          <w:p w14:paraId="69F088F4"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Приказ управления СК по сохранению и государственной охране ОКН № 1315 от 27.10.2022 г.</w:t>
            </w:r>
          </w:p>
        </w:tc>
        <w:tc>
          <w:tcPr>
            <w:tcW w:w="2427" w:type="dxa"/>
            <w:shd w:val="clear" w:color="000000" w:fill="auto"/>
            <w:hideMark/>
          </w:tcPr>
          <w:p w14:paraId="4BC2D819"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870 от 15.09.2023</w:t>
            </w:r>
          </w:p>
        </w:tc>
      </w:tr>
      <w:tr w:rsidR="000C5E62" w:rsidRPr="00731FE2" w14:paraId="25260A64" w14:textId="77777777" w:rsidTr="000C5E62">
        <w:trPr>
          <w:trHeight w:val="123"/>
        </w:trPr>
        <w:tc>
          <w:tcPr>
            <w:tcW w:w="704" w:type="dxa"/>
            <w:shd w:val="clear" w:color="auto" w:fill="auto"/>
            <w:noWrap/>
          </w:tcPr>
          <w:p w14:paraId="6696A43F" w14:textId="77777777" w:rsidR="000C5E62" w:rsidRPr="00731FE2" w:rsidRDefault="000C5E62" w:rsidP="000C5E62">
            <w:pPr>
              <w:pStyle w:val="a3"/>
              <w:numPr>
                <w:ilvl w:val="0"/>
                <w:numId w:val="127"/>
              </w:numPr>
              <w:spacing w:line="240" w:lineRule="auto"/>
              <w:ind w:left="0" w:firstLine="0"/>
              <w:jc w:val="center"/>
              <w:rPr>
                <w:rFonts w:ascii="Times New Roman" w:eastAsia="Times New Roman" w:hAnsi="Times New Roman" w:cs="Times New Roman"/>
                <w:sz w:val="20"/>
                <w:szCs w:val="20"/>
                <w:lang w:eastAsia="ru-RU"/>
              </w:rPr>
            </w:pPr>
          </w:p>
        </w:tc>
        <w:tc>
          <w:tcPr>
            <w:tcW w:w="2581" w:type="dxa"/>
            <w:shd w:val="clear" w:color="000000" w:fill="auto"/>
            <w:hideMark/>
          </w:tcPr>
          <w:p w14:paraId="3C27EF36"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 xml:space="preserve">«Особняк Д.И. </w:t>
            </w:r>
            <w:r w:rsidRPr="00731FE2">
              <w:rPr>
                <w:rFonts w:ascii="Times New Roman" w:eastAsia="Times New Roman" w:hAnsi="Times New Roman" w:cs="Times New Roman"/>
                <w:sz w:val="20"/>
                <w:szCs w:val="20"/>
                <w:lang w:eastAsia="ru-RU"/>
              </w:rPr>
              <w:lastRenderedPageBreak/>
              <w:t>Цинцинатора», 1903 г.</w:t>
            </w:r>
          </w:p>
        </w:tc>
        <w:tc>
          <w:tcPr>
            <w:tcW w:w="1977" w:type="dxa"/>
            <w:shd w:val="clear" w:color="000000" w:fill="auto"/>
            <w:hideMark/>
          </w:tcPr>
          <w:p w14:paraId="6310BACA"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lastRenderedPageBreak/>
              <w:t xml:space="preserve">Приказ управления </w:t>
            </w:r>
            <w:r w:rsidRPr="00731FE2">
              <w:rPr>
                <w:rFonts w:ascii="Times New Roman" w:eastAsia="Times New Roman" w:hAnsi="Times New Roman" w:cs="Times New Roman"/>
                <w:sz w:val="20"/>
                <w:szCs w:val="20"/>
                <w:lang w:eastAsia="ru-RU"/>
              </w:rPr>
              <w:lastRenderedPageBreak/>
              <w:t>СК по сохранению и государственной охране ОКН № 1278 от 21.10.2022 г.</w:t>
            </w:r>
          </w:p>
        </w:tc>
        <w:tc>
          <w:tcPr>
            <w:tcW w:w="1780" w:type="dxa"/>
            <w:shd w:val="clear" w:color="000000" w:fill="auto"/>
            <w:hideMark/>
          </w:tcPr>
          <w:p w14:paraId="13DABEDD"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lastRenderedPageBreak/>
              <w:t xml:space="preserve">регионального </w:t>
            </w:r>
            <w:r w:rsidRPr="00731FE2">
              <w:rPr>
                <w:rFonts w:ascii="Times New Roman" w:eastAsia="Times New Roman" w:hAnsi="Times New Roman" w:cs="Times New Roman"/>
                <w:sz w:val="20"/>
                <w:szCs w:val="20"/>
                <w:lang w:eastAsia="ru-RU"/>
              </w:rPr>
              <w:lastRenderedPageBreak/>
              <w:t>значения</w:t>
            </w:r>
          </w:p>
        </w:tc>
        <w:tc>
          <w:tcPr>
            <w:tcW w:w="2738" w:type="dxa"/>
            <w:shd w:val="clear" w:color="000000" w:fill="auto"/>
            <w:hideMark/>
          </w:tcPr>
          <w:p w14:paraId="49D8D1D7"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lastRenderedPageBreak/>
              <w:t>Ставропольский край, город-</w:t>
            </w:r>
            <w:r w:rsidRPr="00731FE2">
              <w:rPr>
                <w:rFonts w:ascii="Times New Roman" w:eastAsia="Times New Roman" w:hAnsi="Times New Roman" w:cs="Times New Roman"/>
                <w:sz w:val="20"/>
                <w:szCs w:val="20"/>
                <w:lang w:eastAsia="ru-RU"/>
              </w:rPr>
              <w:lastRenderedPageBreak/>
              <w:t>курорт Кисловодск, ул. Гагарина/ул. Кольцова, д. 2/38</w:t>
            </w:r>
          </w:p>
        </w:tc>
        <w:tc>
          <w:tcPr>
            <w:tcW w:w="1993" w:type="dxa"/>
            <w:shd w:val="clear" w:color="000000" w:fill="auto"/>
            <w:hideMark/>
          </w:tcPr>
          <w:p w14:paraId="1DF70FBB"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lastRenderedPageBreak/>
              <w:t xml:space="preserve">Приказ управления </w:t>
            </w:r>
            <w:r w:rsidRPr="00731FE2">
              <w:rPr>
                <w:rFonts w:ascii="Times New Roman" w:eastAsia="Times New Roman" w:hAnsi="Times New Roman" w:cs="Times New Roman"/>
                <w:sz w:val="20"/>
                <w:szCs w:val="20"/>
                <w:lang w:eastAsia="ru-RU"/>
              </w:rPr>
              <w:lastRenderedPageBreak/>
              <w:t>СК по сохранению и государственной охране ОКН № 1278 от 21.10.2022 г.</w:t>
            </w:r>
          </w:p>
        </w:tc>
        <w:tc>
          <w:tcPr>
            <w:tcW w:w="2427" w:type="dxa"/>
            <w:shd w:val="clear" w:color="000000" w:fill="auto"/>
            <w:hideMark/>
          </w:tcPr>
          <w:p w14:paraId="2A233E9E"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lastRenderedPageBreak/>
              <w:t>760 от 18.08.2023</w:t>
            </w:r>
          </w:p>
        </w:tc>
      </w:tr>
      <w:tr w:rsidR="000C5E62" w:rsidRPr="00731FE2" w14:paraId="4592536A" w14:textId="77777777" w:rsidTr="000C5E62">
        <w:trPr>
          <w:trHeight w:val="239"/>
        </w:trPr>
        <w:tc>
          <w:tcPr>
            <w:tcW w:w="704" w:type="dxa"/>
            <w:shd w:val="clear" w:color="auto" w:fill="auto"/>
            <w:noWrap/>
          </w:tcPr>
          <w:p w14:paraId="3F6973BF" w14:textId="77777777" w:rsidR="000C5E62" w:rsidRPr="00731FE2" w:rsidRDefault="000C5E62" w:rsidP="000C5E62">
            <w:pPr>
              <w:pStyle w:val="a3"/>
              <w:numPr>
                <w:ilvl w:val="0"/>
                <w:numId w:val="127"/>
              </w:numPr>
              <w:spacing w:line="240" w:lineRule="auto"/>
              <w:ind w:left="0" w:firstLine="0"/>
              <w:jc w:val="center"/>
              <w:rPr>
                <w:rFonts w:ascii="Times New Roman" w:eastAsia="Times New Roman" w:hAnsi="Times New Roman" w:cs="Times New Roman"/>
                <w:sz w:val="20"/>
                <w:szCs w:val="20"/>
                <w:lang w:eastAsia="ru-RU"/>
              </w:rPr>
            </w:pPr>
          </w:p>
        </w:tc>
        <w:tc>
          <w:tcPr>
            <w:tcW w:w="2581" w:type="dxa"/>
            <w:shd w:val="clear" w:color="000000" w:fill="auto"/>
            <w:hideMark/>
          </w:tcPr>
          <w:p w14:paraId="4B8A42EC"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«Дом Д. Попандопуло», начало ХХ века</w:t>
            </w:r>
          </w:p>
        </w:tc>
        <w:tc>
          <w:tcPr>
            <w:tcW w:w="1977" w:type="dxa"/>
            <w:shd w:val="clear" w:color="000000" w:fill="auto"/>
            <w:hideMark/>
          </w:tcPr>
          <w:p w14:paraId="12363E17"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Приказ управления СК по сохранению и государственной охране ОКН № 1276 от 21.10.2022 г.</w:t>
            </w:r>
          </w:p>
        </w:tc>
        <w:tc>
          <w:tcPr>
            <w:tcW w:w="1780" w:type="dxa"/>
            <w:shd w:val="clear" w:color="000000" w:fill="auto"/>
            <w:hideMark/>
          </w:tcPr>
          <w:p w14:paraId="45F8B07A"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регионального значения</w:t>
            </w:r>
          </w:p>
        </w:tc>
        <w:tc>
          <w:tcPr>
            <w:tcW w:w="2738" w:type="dxa"/>
            <w:shd w:val="clear" w:color="000000" w:fill="auto"/>
            <w:hideMark/>
          </w:tcPr>
          <w:p w14:paraId="70971408"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Ставропольский край, город-курорт Кисловодск, бульвар Курортный/ул. Кирова, д. 1/2</w:t>
            </w:r>
          </w:p>
        </w:tc>
        <w:tc>
          <w:tcPr>
            <w:tcW w:w="1993" w:type="dxa"/>
            <w:shd w:val="clear" w:color="000000" w:fill="auto"/>
            <w:hideMark/>
          </w:tcPr>
          <w:p w14:paraId="6EE85D55"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Приказ управления СК по сохранению и государственной охране ОКН № 1276 от 21.10.2022 г.</w:t>
            </w:r>
          </w:p>
        </w:tc>
        <w:tc>
          <w:tcPr>
            <w:tcW w:w="2427" w:type="dxa"/>
            <w:shd w:val="clear" w:color="000000" w:fill="auto"/>
            <w:hideMark/>
          </w:tcPr>
          <w:p w14:paraId="63516B68"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870 от 15.09.2023</w:t>
            </w:r>
          </w:p>
        </w:tc>
      </w:tr>
      <w:tr w:rsidR="000C5E62" w:rsidRPr="00731FE2" w14:paraId="2B71A544" w14:textId="77777777" w:rsidTr="000C5E62">
        <w:trPr>
          <w:trHeight w:val="1848"/>
        </w:trPr>
        <w:tc>
          <w:tcPr>
            <w:tcW w:w="704" w:type="dxa"/>
            <w:shd w:val="clear" w:color="auto" w:fill="auto"/>
            <w:noWrap/>
          </w:tcPr>
          <w:p w14:paraId="1996F329" w14:textId="77777777" w:rsidR="000C5E62" w:rsidRPr="00731FE2" w:rsidRDefault="000C5E62" w:rsidP="000C5E62">
            <w:pPr>
              <w:pStyle w:val="a3"/>
              <w:numPr>
                <w:ilvl w:val="0"/>
                <w:numId w:val="127"/>
              </w:numPr>
              <w:spacing w:line="240" w:lineRule="auto"/>
              <w:ind w:left="0" w:firstLine="0"/>
              <w:jc w:val="center"/>
              <w:rPr>
                <w:rFonts w:ascii="Times New Roman" w:eastAsia="Times New Roman" w:hAnsi="Times New Roman" w:cs="Times New Roman"/>
                <w:sz w:val="20"/>
                <w:szCs w:val="20"/>
                <w:lang w:eastAsia="ru-RU"/>
              </w:rPr>
            </w:pPr>
          </w:p>
        </w:tc>
        <w:tc>
          <w:tcPr>
            <w:tcW w:w="2581" w:type="dxa"/>
            <w:shd w:val="clear" w:color="FFFFFF" w:fill="FFFFFF"/>
            <w:hideMark/>
          </w:tcPr>
          <w:p w14:paraId="4EFB23B7"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«Дача Н.И. Бландова», 1902 г.</w:t>
            </w:r>
          </w:p>
        </w:tc>
        <w:tc>
          <w:tcPr>
            <w:tcW w:w="1977" w:type="dxa"/>
            <w:shd w:val="clear" w:color="FFFFFF" w:fill="FFFFFF"/>
            <w:hideMark/>
          </w:tcPr>
          <w:p w14:paraId="139609B0"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Приказ управления СК по сохранению и государственной охране ОКН № 1202 от 11.10.2022 г.</w:t>
            </w:r>
          </w:p>
        </w:tc>
        <w:tc>
          <w:tcPr>
            <w:tcW w:w="1780" w:type="dxa"/>
            <w:shd w:val="clear" w:color="FFFFFF" w:fill="FFFFFF"/>
            <w:hideMark/>
          </w:tcPr>
          <w:p w14:paraId="7DFE4F1E"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местного (муниципального) значения</w:t>
            </w:r>
          </w:p>
        </w:tc>
        <w:tc>
          <w:tcPr>
            <w:tcW w:w="2738" w:type="dxa"/>
            <w:shd w:val="clear" w:color="FFFFFF" w:fill="FFFFFF"/>
            <w:hideMark/>
          </w:tcPr>
          <w:p w14:paraId="202E3C38"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Ставропольский край, город-курорт Кисловодск, ул. Кольцова, д.18</w:t>
            </w:r>
          </w:p>
        </w:tc>
        <w:tc>
          <w:tcPr>
            <w:tcW w:w="1993" w:type="dxa"/>
            <w:shd w:val="clear" w:color="FFFFFF" w:fill="FFFFFF"/>
            <w:hideMark/>
          </w:tcPr>
          <w:p w14:paraId="28C8EFCF"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внесение изменений от 22.03.2023 № 207; Приказ управления СК по сохранению и государственной охране ОКН № 1202 от 11.10.2022 г.</w:t>
            </w:r>
          </w:p>
        </w:tc>
        <w:tc>
          <w:tcPr>
            <w:tcW w:w="2427" w:type="dxa"/>
            <w:shd w:val="clear" w:color="FFFFFF" w:fill="FFFFFF"/>
            <w:hideMark/>
          </w:tcPr>
          <w:p w14:paraId="3FA4AC45"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457 от 01.06.2023</w:t>
            </w:r>
          </w:p>
        </w:tc>
      </w:tr>
      <w:tr w:rsidR="000C5E62" w:rsidRPr="00731FE2" w14:paraId="390B9DCD" w14:textId="77777777" w:rsidTr="000C5E62">
        <w:trPr>
          <w:trHeight w:val="866"/>
        </w:trPr>
        <w:tc>
          <w:tcPr>
            <w:tcW w:w="704" w:type="dxa"/>
            <w:shd w:val="clear" w:color="auto" w:fill="auto"/>
            <w:noWrap/>
          </w:tcPr>
          <w:p w14:paraId="41DDDF25" w14:textId="77777777" w:rsidR="000C5E62" w:rsidRPr="00731FE2" w:rsidRDefault="000C5E62" w:rsidP="000C5E62">
            <w:pPr>
              <w:pStyle w:val="a3"/>
              <w:numPr>
                <w:ilvl w:val="0"/>
                <w:numId w:val="127"/>
              </w:numPr>
              <w:spacing w:line="240" w:lineRule="auto"/>
              <w:ind w:left="0" w:firstLine="0"/>
              <w:jc w:val="center"/>
              <w:rPr>
                <w:rFonts w:ascii="Times New Roman" w:eastAsia="Times New Roman" w:hAnsi="Times New Roman" w:cs="Times New Roman"/>
                <w:sz w:val="20"/>
                <w:szCs w:val="20"/>
                <w:lang w:eastAsia="ru-RU"/>
              </w:rPr>
            </w:pPr>
          </w:p>
        </w:tc>
        <w:tc>
          <w:tcPr>
            <w:tcW w:w="2581" w:type="dxa"/>
            <w:shd w:val="clear" w:color="000000" w:fill="auto"/>
            <w:hideMark/>
          </w:tcPr>
          <w:p w14:paraId="77C6662E"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«Дом Финкейзеров, архитектор Э.Б. Ходжаев», начало XX в.</w:t>
            </w:r>
          </w:p>
        </w:tc>
        <w:tc>
          <w:tcPr>
            <w:tcW w:w="1977" w:type="dxa"/>
            <w:shd w:val="clear" w:color="000000" w:fill="auto"/>
            <w:hideMark/>
          </w:tcPr>
          <w:p w14:paraId="114AE774"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Приказ управления СК по сохранению и государственной охране ОКН № 1192 от 07.10.2022 г.</w:t>
            </w:r>
          </w:p>
        </w:tc>
        <w:tc>
          <w:tcPr>
            <w:tcW w:w="1780" w:type="dxa"/>
            <w:shd w:val="clear" w:color="000000" w:fill="auto"/>
            <w:hideMark/>
          </w:tcPr>
          <w:p w14:paraId="019E009F"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регионального значения</w:t>
            </w:r>
          </w:p>
        </w:tc>
        <w:tc>
          <w:tcPr>
            <w:tcW w:w="2738" w:type="dxa"/>
            <w:shd w:val="clear" w:color="000000" w:fill="auto"/>
            <w:hideMark/>
          </w:tcPr>
          <w:p w14:paraId="258A7F12"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Ставропольский край, город-курорт Кисловодск, пер. Яновского, д. 6</w:t>
            </w:r>
          </w:p>
        </w:tc>
        <w:tc>
          <w:tcPr>
            <w:tcW w:w="1993" w:type="dxa"/>
            <w:shd w:val="clear" w:color="000000" w:fill="auto"/>
            <w:hideMark/>
          </w:tcPr>
          <w:p w14:paraId="4D39AEEE"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Приказ управления СК по сохранению и государственной охране ОКН № 1192 от 07.10.2022 г.</w:t>
            </w:r>
          </w:p>
        </w:tc>
        <w:tc>
          <w:tcPr>
            <w:tcW w:w="2427" w:type="dxa"/>
            <w:shd w:val="clear" w:color="000000" w:fill="auto"/>
            <w:hideMark/>
          </w:tcPr>
          <w:p w14:paraId="38F8BA30"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1238 от 05.12.2023</w:t>
            </w:r>
          </w:p>
        </w:tc>
      </w:tr>
      <w:tr w:rsidR="000C5E62" w:rsidRPr="00731FE2" w14:paraId="16592E55" w14:textId="77777777" w:rsidTr="000C5E62">
        <w:trPr>
          <w:trHeight w:val="659"/>
        </w:trPr>
        <w:tc>
          <w:tcPr>
            <w:tcW w:w="704" w:type="dxa"/>
            <w:shd w:val="clear" w:color="auto" w:fill="auto"/>
            <w:noWrap/>
          </w:tcPr>
          <w:p w14:paraId="0DB19D90" w14:textId="77777777" w:rsidR="000C5E62" w:rsidRPr="00731FE2" w:rsidRDefault="000C5E62" w:rsidP="000C5E62">
            <w:pPr>
              <w:pStyle w:val="a3"/>
              <w:numPr>
                <w:ilvl w:val="0"/>
                <w:numId w:val="127"/>
              </w:numPr>
              <w:spacing w:line="240" w:lineRule="auto"/>
              <w:ind w:left="0" w:firstLine="0"/>
              <w:jc w:val="center"/>
              <w:rPr>
                <w:rFonts w:ascii="Times New Roman" w:eastAsia="Times New Roman" w:hAnsi="Times New Roman" w:cs="Times New Roman"/>
                <w:sz w:val="20"/>
                <w:szCs w:val="20"/>
                <w:lang w:eastAsia="ru-RU"/>
              </w:rPr>
            </w:pPr>
          </w:p>
        </w:tc>
        <w:tc>
          <w:tcPr>
            <w:tcW w:w="2581" w:type="dxa"/>
            <w:shd w:val="clear" w:color="000000" w:fill="auto"/>
            <w:hideMark/>
          </w:tcPr>
          <w:p w14:paraId="71F659DA"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«Дом врача П.И. Склотовского, архитектор А.Н. Клепенин», 1901 г.</w:t>
            </w:r>
          </w:p>
        </w:tc>
        <w:tc>
          <w:tcPr>
            <w:tcW w:w="1977" w:type="dxa"/>
            <w:shd w:val="clear" w:color="000000" w:fill="auto"/>
            <w:hideMark/>
          </w:tcPr>
          <w:p w14:paraId="12E1F769"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Приказ управления СК по сохранению и государственной охране ОКН № 1132 от 29.09.2022 г.</w:t>
            </w:r>
          </w:p>
        </w:tc>
        <w:tc>
          <w:tcPr>
            <w:tcW w:w="1780" w:type="dxa"/>
            <w:shd w:val="clear" w:color="000000" w:fill="auto"/>
            <w:hideMark/>
          </w:tcPr>
          <w:p w14:paraId="01DD2A53"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регионального значения</w:t>
            </w:r>
          </w:p>
        </w:tc>
        <w:tc>
          <w:tcPr>
            <w:tcW w:w="2738" w:type="dxa"/>
            <w:shd w:val="clear" w:color="000000" w:fill="auto"/>
            <w:hideMark/>
          </w:tcPr>
          <w:p w14:paraId="1CAD67F4"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Ставропольский край, город-курорт Кисловодск, ул. Красноармейская, д. 3</w:t>
            </w:r>
          </w:p>
        </w:tc>
        <w:tc>
          <w:tcPr>
            <w:tcW w:w="1993" w:type="dxa"/>
            <w:shd w:val="clear" w:color="000000" w:fill="auto"/>
            <w:hideMark/>
          </w:tcPr>
          <w:p w14:paraId="4379BF27"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Приказ управления СК по сохранению и государственной охране ОКН № 1132 от 29.09.2022 г., 1558 от 08.12.2022 г.</w:t>
            </w:r>
          </w:p>
        </w:tc>
        <w:tc>
          <w:tcPr>
            <w:tcW w:w="2427" w:type="dxa"/>
            <w:shd w:val="clear" w:color="000000" w:fill="auto"/>
            <w:hideMark/>
          </w:tcPr>
          <w:p w14:paraId="30A71EE6"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542 от 07.06.2024</w:t>
            </w:r>
          </w:p>
        </w:tc>
      </w:tr>
      <w:tr w:rsidR="000C5E62" w:rsidRPr="00731FE2" w14:paraId="42B90CC7" w14:textId="77777777" w:rsidTr="000C5E62">
        <w:trPr>
          <w:trHeight w:val="1848"/>
        </w:trPr>
        <w:tc>
          <w:tcPr>
            <w:tcW w:w="704" w:type="dxa"/>
            <w:shd w:val="clear" w:color="auto" w:fill="auto"/>
            <w:noWrap/>
          </w:tcPr>
          <w:p w14:paraId="76531F02" w14:textId="77777777" w:rsidR="000C5E62" w:rsidRPr="00731FE2" w:rsidRDefault="000C5E62" w:rsidP="000C5E62">
            <w:pPr>
              <w:pStyle w:val="a3"/>
              <w:numPr>
                <w:ilvl w:val="0"/>
                <w:numId w:val="127"/>
              </w:numPr>
              <w:spacing w:line="240" w:lineRule="auto"/>
              <w:ind w:left="0" w:firstLine="0"/>
              <w:jc w:val="center"/>
              <w:rPr>
                <w:rFonts w:ascii="Times New Roman" w:eastAsia="Times New Roman" w:hAnsi="Times New Roman" w:cs="Times New Roman"/>
                <w:sz w:val="20"/>
                <w:szCs w:val="20"/>
                <w:lang w:eastAsia="ru-RU"/>
              </w:rPr>
            </w:pPr>
          </w:p>
        </w:tc>
        <w:tc>
          <w:tcPr>
            <w:tcW w:w="2581" w:type="dxa"/>
            <w:shd w:val="clear" w:color="000000" w:fill="auto"/>
            <w:hideMark/>
          </w:tcPr>
          <w:p w14:paraId="6DD98F67"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«Гостиницы купца Власова» нач. ХХ в., 1920 г.</w:t>
            </w:r>
          </w:p>
        </w:tc>
        <w:tc>
          <w:tcPr>
            <w:tcW w:w="1977" w:type="dxa"/>
            <w:shd w:val="clear" w:color="000000" w:fill="auto"/>
            <w:hideMark/>
          </w:tcPr>
          <w:p w14:paraId="4E5F500A"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Приказ управления СК по сохранению и государственной охране ОКН № 910 от 19.08.2022 г.</w:t>
            </w:r>
          </w:p>
        </w:tc>
        <w:tc>
          <w:tcPr>
            <w:tcW w:w="1780" w:type="dxa"/>
            <w:shd w:val="clear" w:color="000000" w:fill="auto"/>
            <w:hideMark/>
          </w:tcPr>
          <w:p w14:paraId="398E5F95"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регионального значения</w:t>
            </w:r>
          </w:p>
        </w:tc>
        <w:tc>
          <w:tcPr>
            <w:tcW w:w="2738" w:type="dxa"/>
            <w:shd w:val="clear" w:color="000000" w:fill="auto"/>
            <w:hideMark/>
          </w:tcPr>
          <w:p w14:paraId="25F5A9B4"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Ставропольский край, город-курорт Кисловодск, ул. Алексея Реброва, д. 3</w:t>
            </w:r>
          </w:p>
        </w:tc>
        <w:tc>
          <w:tcPr>
            <w:tcW w:w="1993" w:type="dxa"/>
            <w:shd w:val="clear" w:color="000000" w:fill="auto"/>
            <w:hideMark/>
          </w:tcPr>
          <w:p w14:paraId="5C7C184F"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1209 от 12.10.2022 г.; Приказ управления СК по сохранению и государственной охране ОКН № 910 от 19.08.2022 г., 1209 от 12.10.2022 г.</w:t>
            </w:r>
          </w:p>
        </w:tc>
        <w:tc>
          <w:tcPr>
            <w:tcW w:w="2427" w:type="dxa"/>
            <w:shd w:val="clear" w:color="000000" w:fill="auto"/>
            <w:hideMark/>
          </w:tcPr>
          <w:p w14:paraId="1FBD7833"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547 от 07.06.2024 в зонах охраны "Курортный парк"</w:t>
            </w:r>
          </w:p>
        </w:tc>
      </w:tr>
      <w:tr w:rsidR="000C5E62" w:rsidRPr="00731FE2" w14:paraId="0CDE4F5E" w14:textId="77777777" w:rsidTr="000C5E62">
        <w:trPr>
          <w:trHeight w:val="1584"/>
        </w:trPr>
        <w:tc>
          <w:tcPr>
            <w:tcW w:w="704" w:type="dxa"/>
            <w:shd w:val="clear" w:color="auto" w:fill="auto"/>
            <w:noWrap/>
          </w:tcPr>
          <w:p w14:paraId="502BF660" w14:textId="77777777" w:rsidR="000C5E62" w:rsidRPr="00731FE2" w:rsidRDefault="000C5E62" w:rsidP="000C5E62">
            <w:pPr>
              <w:pStyle w:val="a3"/>
              <w:numPr>
                <w:ilvl w:val="0"/>
                <w:numId w:val="127"/>
              </w:numPr>
              <w:spacing w:line="240" w:lineRule="auto"/>
              <w:ind w:left="0" w:firstLine="0"/>
              <w:jc w:val="center"/>
              <w:rPr>
                <w:rFonts w:ascii="Times New Roman" w:eastAsia="Times New Roman" w:hAnsi="Times New Roman" w:cs="Times New Roman"/>
                <w:sz w:val="20"/>
                <w:szCs w:val="20"/>
                <w:lang w:eastAsia="ru-RU"/>
              </w:rPr>
            </w:pPr>
          </w:p>
        </w:tc>
        <w:tc>
          <w:tcPr>
            <w:tcW w:w="2581" w:type="dxa"/>
            <w:shd w:val="clear" w:color="000000" w:fill="auto"/>
            <w:hideMark/>
          </w:tcPr>
          <w:p w14:paraId="419790AD"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«Гостиница «Европа», нач. XX в.</w:t>
            </w:r>
          </w:p>
        </w:tc>
        <w:tc>
          <w:tcPr>
            <w:tcW w:w="1977" w:type="dxa"/>
            <w:shd w:val="clear" w:color="000000" w:fill="auto"/>
            <w:hideMark/>
          </w:tcPr>
          <w:p w14:paraId="6E96017B"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Приказ управления СК по сохранению и государственной охране ОКН № 910 от 19.08.2022 г.</w:t>
            </w:r>
          </w:p>
        </w:tc>
        <w:tc>
          <w:tcPr>
            <w:tcW w:w="1780" w:type="dxa"/>
            <w:shd w:val="clear" w:color="000000" w:fill="auto"/>
            <w:hideMark/>
          </w:tcPr>
          <w:p w14:paraId="0BC3B436"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регионального значения</w:t>
            </w:r>
          </w:p>
        </w:tc>
        <w:tc>
          <w:tcPr>
            <w:tcW w:w="2738" w:type="dxa"/>
            <w:shd w:val="clear" w:color="000000" w:fill="auto"/>
            <w:hideMark/>
          </w:tcPr>
          <w:p w14:paraId="6DE53E13"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Ставропольский край, город-курорт</w:t>
            </w:r>
            <w:r w:rsidRPr="00731FE2">
              <w:rPr>
                <w:rFonts w:ascii="Times New Roman" w:eastAsia="Times New Roman" w:hAnsi="Times New Roman" w:cs="Times New Roman"/>
                <w:sz w:val="20"/>
                <w:szCs w:val="20"/>
                <w:lang w:eastAsia="ru-RU"/>
              </w:rPr>
              <w:br/>
              <w:t>Кисловодск, ул. Алексея Реброва, д. 3, лит. Г</w:t>
            </w:r>
          </w:p>
        </w:tc>
        <w:tc>
          <w:tcPr>
            <w:tcW w:w="1993" w:type="dxa"/>
            <w:shd w:val="clear" w:color="000000" w:fill="auto"/>
            <w:hideMark/>
          </w:tcPr>
          <w:p w14:paraId="0E8B6387"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1209 от 12.10.2022 г.; Приказ управления СК по сохранению и государственной охране ОКН № 910 от 19.08.2022 г.</w:t>
            </w:r>
          </w:p>
        </w:tc>
        <w:tc>
          <w:tcPr>
            <w:tcW w:w="2427" w:type="dxa"/>
            <w:shd w:val="clear" w:color="000000" w:fill="auto"/>
            <w:hideMark/>
          </w:tcPr>
          <w:p w14:paraId="1475F901"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547 от 07.06.2024 в зонах охраны "Курортный парк"</w:t>
            </w:r>
          </w:p>
        </w:tc>
      </w:tr>
      <w:tr w:rsidR="000C5E62" w:rsidRPr="00731FE2" w14:paraId="34A90A3A" w14:textId="77777777" w:rsidTr="000C5E62">
        <w:trPr>
          <w:trHeight w:val="1584"/>
        </w:trPr>
        <w:tc>
          <w:tcPr>
            <w:tcW w:w="704" w:type="dxa"/>
            <w:shd w:val="clear" w:color="auto" w:fill="auto"/>
            <w:noWrap/>
          </w:tcPr>
          <w:p w14:paraId="47977EDF" w14:textId="77777777" w:rsidR="000C5E62" w:rsidRPr="00731FE2" w:rsidRDefault="000C5E62" w:rsidP="000C5E62">
            <w:pPr>
              <w:pStyle w:val="a3"/>
              <w:numPr>
                <w:ilvl w:val="0"/>
                <w:numId w:val="127"/>
              </w:numPr>
              <w:spacing w:line="240" w:lineRule="auto"/>
              <w:ind w:left="0" w:firstLine="0"/>
              <w:jc w:val="center"/>
              <w:rPr>
                <w:rFonts w:ascii="Times New Roman" w:eastAsia="Times New Roman" w:hAnsi="Times New Roman" w:cs="Times New Roman"/>
                <w:sz w:val="20"/>
                <w:szCs w:val="20"/>
                <w:lang w:eastAsia="ru-RU"/>
              </w:rPr>
            </w:pPr>
          </w:p>
        </w:tc>
        <w:tc>
          <w:tcPr>
            <w:tcW w:w="2581" w:type="dxa"/>
            <w:shd w:val="clear" w:color="000000" w:fill="auto"/>
            <w:hideMark/>
          </w:tcPr>
          <w:p w14:paraId="19EB13EB"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«Гостиница «Италия», нач. ХХ в.</w:t>
            </w:r>
          </w:p>
        </w:tc>
        <w:tc>
          <w:tcPr>
            <w:tcW w:w="1977" w:type="dxa"/>
            <w:shd w:val="clear" w:color="000000" w:fill="auto"/>
            <w:hideMark/>
          </w:tcPr>
          <w:p w14:paraId="6A67EF37"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Приказ управления СК по сохранению и государственной охране ОКН № 910 от 19.08.2022 г.</w:t>
            </w:r>
          </w:p>
        </w:tc>
        <w:tc>
          <w:tcPr>
            <w:tcW w:w="1780" w:type="dxa"/>
            <w:shd w:val="clear" w:color="000000" w:fill="auto"/>
            <w:hideMark/>
          </w:tcPr>
          <w:p w14:paraId="305110CF"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регионального значения</w:t>
            </w:r>
          </w:p>
        </w:tc>
        <w:tc>
          <w:tcPr>
            <w:tcW w:w="2738" w:type="dxa"/>
            <w:shd w:val="clear" w:color="000000" w:fill="auto"/>
            <w:hideMark/>
          </w:tcPr>
          <w:p w14:paraId="30FEAA65"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Ставропольский край, город-курорт</w:t>
            </w:r>
            <w:r w:rsidRPr="00731FE2">
              <w:rPr>
                <w:rFonts w:ascii="Times New Roman" w:eastAsia="Times New Roman" w:hAnsi="Times New Roman" w:cs="Times New Roman"/>
                <w:sz w:val="20"/>
                <w:szCs w:val="20"/>
                <w:lang w:eastAsia="ru-RU"/>
              </w:rPr>
              <w:br/>
              <w:t>Кисловодск, ул. Алексея Реброва, д. 3, лит. А</w:t>
            </w:r>
          </w:p>
        </w:tc>
        <w:tc>
          <w:tcPr>
            <w:tcW w:w="1993" w:type="dxa"/>
            <w:shd w:val="clear" w:color="000000" w:fill="auto"/>
            <w:hideMark/>
          </w:tcPr>
          <w:p w14:paraId="34DBAC53"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1209 от 12.10.2022 г.; Приказ управления СК по сохранению и государственной охране ОКН № 910 от 19.08.2022 г.</w:t>
            </w:r>
          </w:p>
        </w:tc>
        <w:tc>
          <w:tcPr>
            <w:tcW w:w="2427" w:type="dxa"/>
            <w:shd w:val="clear" w:color="000000" w:fill="auto"/>
            <w:hideMark/>
          </w:tcPr>
          <w:p w14:paraId="6A6EB881"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547 от 07.06.2024 в зонах охраны "Курортный парк"</w:t>
            </w:r>
          </w:p>
        </w:tc>
      </w:tr>
      <w:tr w:rsidR="000C5E62" w:rsidRPr="00731FE2" w14:paraId="4A3AAC88" w14:textId="77777777" w:rsidTr="000C5E62">
        <w:trPr>
          <w:trHeight w:val="579"/>
        </w:trPr>
        <w:tc>
          <w:tcPr>
            <w:tcW w:w="704" w:type="dxa"/>
            <w:shd w:val="clear" w:color="auto" w:fill="auto"/>
            <w:noWrap/>
          </w:tcPr>
          <w:p w14:paraId="53FA12FC" w14:textId="77777777" w:rsidR="000C5E62" w:rsidRPr="00731FE2" w:rsidRDefault="000C5E62" w:rsidP="000C5E62">
            <w:pPr>
              <w:pStyle w:val="a3"/>
              <w:numPr>
                <w:ilvl w:val="0"/>
                <w:numId w:val="127"/>
              </w:numPr>
              <w:spacing w:line="240" w:lineRule="auto"/>
              <w:ind w:left="0" w:firstLine="0"/>
              <w:jc w:val="center"/>
              <w:rPr>
                <w:rFonts w:ascii="Times New Roman" w:eastAsia="Times New Roman" w:hAnsi="Times New Roman" w:cs="Times New Roman"/>
                <w:sz w:val="20"/>
                <w:szCs w:val="20"/>
                <w:lang w:eastAsia="ru-RU"/>
              </w:rPr>
            </w:pPr>
          </w:p>
        </w:tc>
        <w:tc>
          <w:tcPr>
            <w:tcW w:w="2581" w:type="dxa"/>
            <w:shd w:val="clear" w:color="000000" w:fill="auto"/>
            <w:hideMark/>
          </w:tcPr>
          <w:p w14:paraId="3BB72510"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«Дача Игрушечка» Д.А. Черчикова», нач. XX в.</w:t>
            </w:r>
          </w:p>
        </w:tc>
        <w:tc>
          <w:tcPr>
            <w:tcW w:w="1977" w:type="dxa"/>
            <w:shd w:val="clear" w:color="000000" w:fill="auto"/>
            <w:hideMark/>
          </w:tcPr>
          <w:p w14:paraId="7C15B6A4"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Приказ управления СК по сохранению и государственной охране ОКН № 960 от 26.08.2022 г.</w:t>
            </w:r>
          </w:p>
        </w:tc>
        <w:tc>
          <w:tcPr>
            <w:tcW w:w="1780" w:type="dxa"/>
            <w:shd w:val="clear" w:color="000000" w:fill="auto"/>
            <w:hideMark/>
          </w:tcPr>
          <w:p w14:paraId="680CBDFE"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регионального значения</w:t>
            </w:r>
          </w:p>
        </w:tc>
        <w:tc>
          <w:tcPr>
            <w:tcW w:w="2738" w:type="dxa"/>
            <w:shd w:val="clear" w:color="000000" w:fill="auto"/>
            <w:hideMark/>
          </w:tcPr>
          <w:p w14:paraId="4BE1A266"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Ставропольский край, город-курорт Кисловодск, ул. Ярошенко, д. 8</w:t>
            </w:r>
          </w:p>
        </w:tc>
        <w:tc>
          <w:tcPr>
            <w:tcW w:w="1993" w:type="dxa"/>
            <w:shd w:val="clear" w:color="000000" w:fill="auto"/>
            <w:hideMark/>
          </w:tcPr>
          <w:p w14:paraId="2A1FF6D4"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Приказ управления СК по сохранению и государственной охране ОКН № 960 от 26.08.2022 г.</w:t>
            </w:r>
          </w:p>
        </w:tc>
        <w:tc>
          <w:tcPr>
            <w:tcW w:w="2427" w:type="dxa"/>
            <w:shd w:val="clear" w:color="auto" w:fill="auto"/>
            <w:hideMark/>
          </w:tcPr>
          <w:p w14:paraId="274CD957"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В соответствии со ст. 34.1 ФЗ от 25.06.2002 № 73-ФЗ «Об объектах культурного наследия (памятниках истории и культуры) народов РФ» действуют защитные зоны 100 м</w:t>
            </w:r>
          </w:p>
        </w:tc>
      </w:tr>
      <w:tr w:rsidR="000C5E62" w:rsidRPr="00731FE2" w14:paraId="74883A43" w14:textId="77777777" w:rsidTr="000C5E62">
        <w:trPr>
          <w:trHeight w:val="621"/>
        </w:trPr>
        <w:tc>
          <w:tcPr>
            <w:tcW w:w="704" w:type="dxa"/>
            <w:shd w:val="clear" w:color="auto" w:fill="auto"/>
            <w:noWrap/>
          </w:tcPr>
          <w:p w14:paraId="47F9B3A6" w14:textId="77777777" w:rsidR="000C5E62" w:rsidRPr="00731FE2" w:rsidRDefault="000C5E62" w:rsidP="000C5E62">
            <w:pPr>
              <w:pStyle w:val="a3"/>
              <w:numPr>
                <w:ilvl w:val="0"/>
                <w:numId w:val="127"/>
              </w:numPr>
              <w:spacing w:line="240" w:lineRule="auto"/>
              <w:ind w:left="0" w:firstLine="0"/>
              <w:jc w:val="center"/>
              <w:rPr>
                <w:rFonts w:ascii="Times New Roman" w:eastAsia="Times New Roman" w:hAnsi="Times New Roman" w:cs="Times New Roman"/>
                <w:sz w:val="20"/>
                <w:szCs w:val="20"/>
                <w:lang w:eastAsia="ru-RU"/>
              </w:rPr>
            </w:pPr>
          </w:p>
        </w:tc>
        <w:tc>
          <w:tcPr>
            <w:tcW w:w="2581" w:type="dxa"/>
            <w:shd w:val="clear" w:color="000000" w:fill="auto"/>
            <w:hideMark/>
          </w:tcPr>
          <w:p w14:paraId="516DC3C4"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«Дача П.С. Георгиевского», нач. XX в.</w:t>
            </w:r>
          </w:p>
        </w:tc>
        <w:tc>
          <w:tcPr>
            <w:tcW w:w="1977" w:type="dxa"/>
            <w:shd w:val="clear" w:color="000000" w:fill="auto"/>
            <w:hideMark/>
          </w:tcPr>
          <w:p w14:paraId="7AFC1595"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Приказ управления СК по сохранению и государственной охране ОКН № 961 от 26.08.2022 г.</w:t>
            </w:r>
          </w:p>
        </w:tc>
        <w:tc>
          <w:tcPr>
            <w:tcW w:w="1780" w:type="dxa"/>
            <w:shd w:val="clear" w:color="000000" w:fill="auto"/>
            <w:hideMark/>
          </w:tcPr>
          <w:p w14:paraId="33D4FE19"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регионального значения</w:t>
            </w:r>
          </w:p>
        </w:tc>
        <w:tc>
          <w:tcPr>
            <w:tcW w:w="2738" w:type="dxa"/>
            <w:shd w:val="clear" w:color="000000" w:fill="auto"/>
            <w:hideMark/>
          </w:tcPr>
          <w:p w14:paraId="0D24E06C"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Ставропольский край, город-курорт Кисловодск, пр. Ленина, д. 23, корп. 3</w:t>
            </w:r>
          </w:p>
        </w:tc>
        <w:tc>
          <w:tcPr>
            <w:tcW w:w="1993" w:type="dxa"/>
            <w:shd w:val="clear" w:color="000000" w:fill="auto"/>
            <w:hideMark/>
          </w:tcPr>
          <w:p w14:paraId="5AC252D2"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Приказ управления СК по сохранению и государственной охране ОКН № 961 от 26.08.2022 г.</w:t>
            </w:r>
          </w:p>
        </w:tc>
        <w:tc>
          <w:tcPr>
            <w:tcW w:w="2427" w:type="dxa"/>
            <w:shd w:val="clear" w:color="000000" w:fill="auto"/>
            <w:hideMark/>
          </w:tcPr>
          <w:p w14:paraId="6BF015FB"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548 от 07.06.2024</w:t>
            </w:r>
          </w:p>
        </w:tc>
      </w:tr>
      <w:tr w:rsidR="000C5E62" w:rsidRPr="00731FE2" w14:paraId="18E7E9F6" w14:textId="77777777" w:rsidTr="000C5E62">
        <w:trPr>
          <w:trHeight w:val="1932"/>
        </w:trPr>
        <w:tc>
          <w:tcPr>
            <w:tcW w:w="704" w:type="dxa"/>
            <w:shd w:val="clear" w:color="auto" w:fill="auto"/>
            <w:noWrap/>
          </w:tcPr>
          <w:p w14:paraId="293014C0" w14:textId="77777777" w:rsidR="000C5E62" w:rsidRPr="00731FE2" w:rsidRDefault="000C5E62" w:rsidP="000C5E62">
            <w:pPr>
              <w:pStyle w:val="a3"/>
              <w:numPr>
                <w:ilvl w:val="0"/>
                <w:numId w:val="127"/>
              </w:numPr>
              <w:spacing w:line="240" w:lineRule="auto"/>
              <w:ind w:left="0" w:firstLine="0"/>
              <w:jc w:val="center"/>
              <w:rPr>
                <w:rFonts w:ascii="Times New Roman" w:eastAsia="Times New Roman" w:hAnsi="Times New Roman" w:cs="Times New Roman"/>
                <w:sz w:val="20"/>
                <w:szCs w:val="20"/>
                <w:lang w:eastAsia="ru-RU"/>
              </w:rPr>
            </w:pPr>
          </w:p>
        </w:tc>
        <w:tc>
          <w:tcPr>
            <w:tcW w:w="2581" w:type="dxa"/>
            <w:shd w:val="clear" w:color="000000" w:fill="auto"/>
            <w:hideMark/>
          </w:tcPr>
          <w:p w14:paraId="3498DFB2"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«Памятник «Воинская Слава», скульпторы М. Роберман, Л. Роберман, Н. Санджиев, архитекторы И. Фриденталь, Ю. Хоменко» 1941-1945 гг.», 1970 г.</w:t>
            </w:r>
          </w:p>
        </w:tc>
        <w:tc>
          <w:tcPr>
            <w:tcW w:w="1977" w:type="dxa"/>
            <w:shd w:val="clear" w:color="000000" w:fill="auto"/>
            <w:hideMark/>
          </w:tcPr>
          <w:p w14:paraId="67CA7040"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Приказ управления СК по сохранению и государственной охране ОКН № 911 от 19.08.2022 г.</w:t>
            </w:r>
          </w:p>
        </w:tc>
        <w:tc>
          <w:tcPr>
            <w:tcW w:w="1780" w:type="dxa"/>
            <w:shd w:val="clear" w:color="000000" w:fill="auto"/>
            <w:hideMark/>
          </w:tcPr>
          <w:p w14:paraId="5C41371E"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регионального значения</w:t>
            </w:r>
          </w:p>
        </w:tc>
        <w:tc>
          <w:tcPr>
            <w:tcW w:w="2738" w:type="dxa"/>
            <w:shd w:val="clear" w:color="000000" w:fill="auto"/>
            <w:hideMark/>
          </w:tcPr>
          <w:p w14:paraId="4CEC5B01"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Ставропольский край, город-курорт Кисловодск, проезд Цандера</w:t>
            </w:r>
          </w:p>
        </w:tc>
        <w:tc>
          <w:tcPr>
            <w:tcW w:w="1993" w:type="dxa"/>
            <w:shd w:val="clear" w:color="000000" w:fill="auto"/>
            <w:hideMark/>
          </w:tcPr>
          <w:p w14:paraId="226C1ECA"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Приказ управления СК по сохранению и государственной охране ОКН № 911 от 19.08.2022 г.; 12.10.2022 г. № 1208</w:t>
            </w:r>
          </w:p>
        </w:tc>
        <w:tc>
          <w:tcPr>
            <w:tcW w:w="2427" w:type="dxa"/>
            <w:shd w:val="clear" w:color="auto" w:fill="auto"/>
            <w:hideMark/>
          </w:tcPr>
          <w:p w14:paraId="28E5F4AA"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В соответствии со ст. 34.1 ФЗ от 25.06.2002 № 73-ФЗ «Об объектах культурного наследия (памятниках истории и культуры) народов РФ» действуют защитные зоны 100 м</w:t>
            </w:r>
          </w:p>
        </w:tc>
      </w:tr>
      <w:tr w:rsidR="000C5E62" w:rsidRPr="00731FE2" w14:paraId="2A8FF333" w14:textId="77777777" w:rsidTr="000C5E62">
        <w:trPr>
          <w:trHeight w:val="690"/>
        </w:trPr>
        <w:tc>
          <w:tcPr>
            <w:tcW w:w="704" w:type="dxa"/>
            <w:shd w:val="clear" w:color="auto" w:fill="auto"/>
            <w:noWrap/>
          </w:tcPr>
          <w:p w14:paraId="140751CB" w14:textId="77777777" w:rsidR="000C5E62" w:rsidRPr="00731FE2" w:rsidRDefault="000C5E62" w:rsidP="000C5E62">
            <w:pPr>
              <w:pStyle w:val="a3"/>
              <w:numPr>
                <w:ilvl w:val="0"/>
                <w:numId w:val="127"/>
              </w:numPr>
              <w:spacing w:line="240" w:lineRule="auto"/>
              <w:ind w:left="0" w:firstLine="0"/>
              <w:jc w:val="center"/>
              <w:rPr>
                <w:rFonts w:ascii="Times New Roman" w:eastAsia="Times New Roman" w:hAnsi="Times New Roman" w:cs="Times New Roman"/>
                <w:sz w:val="20"/>
                <w:szCs w:val="20"/>
                <w:lang w:eastAsia="ru-RU"/>
              </w:rPr>
            </w:pPr>
          </w:p>
        </w:tc>
        <w:tc>
          <w:tcPr>
            <w:tcW w:w="2581" w:type="dxa"/>
            <w:shd w:val="clear" w:color="000000" w:fill="auto"/>
            <w:hideMark/>
          </w:tcPr>
          <w:p w14:paraId="77D9A0E6"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«Павильон «Читальня», архитекторы И.И. Байков и Д.П. Павлов, 1898 г.»</w:t>
            </w:r>
          </w:p>
        </w:tc>
        <w:tc>
          <w:tcPr>
            <w:tcW w:w="1977" w:type="dxa"/>
            <w:shd w:val="clear" w:color="000000" w:fill="auto"/>
            <w:hideMark/>
          </w:tcPr>
          <w:p w14:paraId="72FE94AF"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 xml:space="preserve">Приказ управления СК по сохранению и государственной </w:t>
            </w:r>
            <w:r w:rsidRPr="00731FE2">
              <w:rPr>
                <w:rFonts w:ascii="Times New Roman" w:eastAsia="Times New Roman" w:hAnsi="Times New Roman" w:cs="Times New Roman"/>
                <w:sz w:val="20"/>
                <w:szCs w:val="20"/>
                <w:lang w:eastAsia="ru-RU"/>
              </w:rPr>
              <w:lastRenderedPageBreak/>
              <w:t>охране ОКН № 986 от 31.08.2022 г.</w:t>
            </w:r>
          </w:p>
        </w:tc>
        <w:tc>
          <w:tcPr>
            <w:tcW w:w="1780" w:type="dxa"/>
            <w:shd w:val="clear" w:color="000000" w:fill="auto"/>
            <w:hideMark/>
          </w:tcPr>
          <w:p w14:paraId="2B9AE49A"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lastRenderedPageBreak/>
              <w:t>регионального значения</w:t>
            </w:r>
          </w:p>
        </w:tc>
        <w:tc>
          <w:tcPr>
            <w:tcW w:w="2738" w:type="dxa"/>
            <w:shd w:val="clear" w:color="000000" w:fill="auto"/>
            <w:hideMark/>
          </w:tcPr>
          <w:p w14:paraId="7040B87E"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 xml:space="preserve">Ставропольский край, город-курорт Кисловодск, ул. Нижний Курортный парк, </w:t>
            </w:r>
            <w:r w:rsidRPr="00731FE2">
              <w:rPr>
                <w:rFonts w:ascii="Times New Roman" w:eastAsia="Times New Roman" w:hAnsi="Times New Roman" w:cs="Times New Roman"/>
                <w:sz w:val="20"/>
                <w:szCs w:val="20"/>
                <w:lang w:eastAsia="ru-RU"/>
              </w:rPr>
              <w:lastRenderedPageBreak/>
              <w:t>26:34:000000:3900</w:t>
            </w:r>
          </w:p>
        </w:tc>
        <w:tc>
          <w:tcPr>
            <w:tcW w:w="1993" w:type="dxa"/>
            <w:shd w:val="clear" w:color="000000" w:fill="auto"/>
            <w:hideMark/>
          </w:tcPr>
          <w:p w14:paraId="7DF29DB9"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lastRenderedPageBreak/>
              <w:t xml:space="preserve">Приказ управления СК по сохранению и государственной </w:t>
            </w:r>
            <w:r w:rsidRPr="00731FE2">
              <w:rPr>
                <w:rFonts w:ascii="Times New Roman" w:eastAsia="Times New Roman" w:hAnsi="Times New Roman" w:cs="Times New Roman"/>
                <w:sz w:val="20"/>
                <w:szCs w:val="20"/>
                <w:lang w:eastAsia="ru-RU"/>
              </w:rPr>
              <w:lastRenderedPageBreak/>
              <w:t>охране ОКН № 986 от 31.08.2022 г., 1557 от 08.12.2022 г.</w:t>
            </w:r>
          </w:p>
        </w:tc>
        <w:tc>
          <w:tcPr>
            <w:tcW w:w="2427" w:type="dxa"/>
            <w:shd w:val="clear" w:color="000000" w:fill="auto"/>
            <w:hideMark/>
          </w:tcPr>
          <w:p w14:paraId="5F99CE65"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lastRenderedPageBreak/>
              <w:t>в зонах охраны "Курортный парк"</w:t>
            </w:r>
          </w:p>
        </w:tc>
      </w:tr>
      <w:tr w:rsidR="000C5E62" w:rsidRPr="00731FE2" w14:paraId="02A76617" w14:textId="77777777" w:rsidTr="000C5E62">
        <w:trPr>
          <w:trHeight w:val="656"/>
        </w:trPr>
        <w:tc>
          <w:tcPr>
            <w:tcW w:w="704" w:type="dxa"/>
            <w:shd w:val="clear" w:color="auto" w:fill="auto"/>
            <w:noWrap/>
          </w:tcPr>
          <w:p w14:paraId="6F71C4B0" w14:textId="77777777" w:rsidR="000C5E62" w:rsidRPr="00731FE2" w:rsidRDefault="000C5E62" w:rsidP="000C5E62">
            <w:pPr>
              <w:pStyle w:val="a3"/>
              <w:numPr>
                <w:ilvl w:val="0"/>
                <w:numId w:val="127"/>
              </w:numPr>
              <w:spacing w:line="240" w:lineRule="auto"/>
              <w:ind w:left="0" w:firstLine="0"/>
              <w:jc w:val="center"/>
              <w:rPr>
                <w:rFonts w:ascii="Times New Roman" w:eastAsia="Times New Roman" w:hAnsi="Times New Roman" w:cs="Times New Roman"/>
                <w:sz w:val="20"/>
                <w:szCs w:val="20"/>
                <w:lang w:eastAsia="ru-RU"/>
              </w:rPr>
            </w:pPr>
          </w:p>
        </w:tc>
        <w:tc>
          <w:tcPr>
            <w:tcW w:w="2581" w:type="dxa"/>
            <w:shd w:val="clear" w:color="000000" w:fill="auto"/>
            <w:hideMark/>
          </w:tcPr>
          <w:p w14:paraId="7A9399FB"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«Павильон «Подкова» 1899 г.</w:t>
            </w:r>
          </w:p>
        </w:tc>
        <w:tc>
          <w:tcPr>
            <w:tcW w:w="1977" w:type="dxa"/>
            <w:shd w:val="clear" w:color="000000" w:fill="auto"/>
            <w:hideMark/>
          </w:tcPr>
          <w:p w14:paraId="0B8730BE"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Приказ управления СК по сохранению и государственной охране ОКН № 988 от 31.08.2022 г.</w:t>
            </w:r>
          </w:p>
        </w:tc>
        <w:tc>
          <w:tcPr>
            <w:tcW w:w="1780" w:type="dxa"/>
            <w:shd w:val="clear" w:color="000000" w:fill="auto"/>
            <w:hideMark/>
          </w:tcPr>
          <w:p w14:paraId="5C65948E"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регионального значения</w:t>
            </w:r>
          </w:p>
        </w:tc>
        <w:tc>
          <w:tcPr>
            <w:tcW w:w="2738" w:type="dxa"/>
            <w:shd w:val="clear" w:color="000000" w:fill="auto"/>
            <w:hideMark/>
          </w:tcPr>
          <w:p w14:paraId="4000F9E1"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Ставропольский край, город-курорт Кисловодск, ул. Нижний Курортный парк, 26:34:000000:3733</w:t>
            </w:r>
          </w:p>
        </w:tc>
        <w:tc>
          <w:tcPr>
            <w:tcW w:w="1993" w:type="dxa"/>
            <w:shd w:val="clear" w:color="000000" w:fill="auto"/>
            <w:hideMark/>
          </w:tcPr>
          <w:p w14:paraId="007F14F8"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Приказ управления СК по сохранению и государственной охране ОКН № 988 от 31.08.2022 г., 1555 от 08.12.2022 г.</w:t>
            </w:r>
          </w:p>
        </w:tc>
        <w:tc>
          <w:tcPr>
            <w:tcW w:w="2427" w:type="dxa"/>
            <w:shd w:val="clear" w:color="000000" w:fill="auto"/>
            <w:hideMark/>
          </w:tcPr>
          <w:p w14:paraId="2654149C"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в зонах охраны "Курортный парк"</w:t>
            </w:r>
          </w:p>
        </w:tc>
      </w:tr>
      <w:tr w:rsidR="000C5E62" w:rsidRPr="00731FE2" w14:paraId="7719C825" w14:textId="77777777" w:rsidTr="000C5E62">
        <w:trPr>
          <w:trHeight w:val="762"/>
        </w:trPr>
        <w:tc>
          <w:tcPr>
            <w:tcW w:w="704" w:type="dxa"/>
            <w:shd w:val="clear" w:color="auto" w:fill="auto"/>
            <w:noWrap/>
          </w:tcPr>
          <w:p w14:paraId="6B042EEC" w14:textId="77777777" w:rsidR="000C5E62" w:rsidRPr="00731FE2" w:rsidRDefault="000C5E62" w:rsidP="000C5E62">
            <w:pPr>
              <w:pStyle w:val="a3"/>
              <w:numPr>
                <w:ilvl w:val="0"/>
                <w:numId w:val="127"/>
              </w:numPr>
              <w:spacing w:line="240" w:lineRule="auto"/>
              <w:ind w:left="0" w:firstLine="0"/>
              <w:jc w:val="center"/>
              <w:rPr>
                <w:rFonts w:ascii="Times New Roman" w:eastAsia="Times New Roman" w:hAnsi="Times New Roman" w:cs="Times New Roman"/>
                <w:sz w:val="20"/>
                <w:szCs w:val="20"/>
                <w:lang w:eastAsia="ru-RU"/>
              </w:rPr>
            </w:pPr>
          </w:p>
        </w:tc>
        <w:tc>
          <w:tcPr>
            <w:tcW w:w="2581" w:type="dxa"/>
            <w:shd w:val="clear" w:color="000000" w:fill="auto"/>
            <w:hideMark/>
          </w:tcPr>
          <w:p w14:paraId="1A88FC87"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«Доходный дом Тамбиевых», 1902 г., 1915 г.</w:t>
            </w:r>
          </w:p>
        </w:tc>
        <w:tc>
          <w:tcPr>
            <w:tcW w:w="1977" w:type="dxa"/>
            <w:shd w:val="clear" w:color="000000" w:fill="auto"/>
            <w:hideMark/>
          </w:tcPr>
          <w:p w14:paraId="144C7F51"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Приказ управления СК по сохранению и государственной охране ОКН № 1016 от 08.09.2022 г.</w:t>
            </w:r>
          </w:p>
        </w:tc>
        <w:tc>
          <w:tcPr>
            <w:tcW w:w="1780" w:type="dxa"/>
            <w:shd w:val="clear" w:color="000000" w:fill="auto"/>
            <w:hideMark/>
          </w:tcPr>
          <w:p w14:paraId="55BD09B6"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местного (муниципального) значения</w:t>
            </w:r>
          </w:p>
        </w:tc>
        <w:tc>
          <w:tcPr>
            <w:tcW w:w="2738" w:type="dxa"/>
            <w:shd w:val="clear" w:color="000000" w:fill="auto"/>
            <w:hideMark/>
          </w:tcPr>
          <w:p w14:paraId="502A694D"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Ставропольский край, город-курорт Кисловодск, ул. Кольцова, д. 34</w:t>
            </w:r>
          </w:p>
        </w:tc>
        <w:tc>
          <w:tcPr>
            <w:tcW w:w="1993" w:type="dxa"/>
            <w:shd w:val="clear" w:color="000000" w:fill="auto"/>
            <w:hideMark/>
          </w:tcPr>
          <w:p w14:paraId="0616952E"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Приказ управления СК по сохранению и государственной охране ОКН № 1016 от 08.09.2022 г., 1556 от 08.12.2022 г.</w:t>
            </w:r>
          </w:p>
        </w:tc>
        <w:tc>
          <w:tcPr>
            <w:tcW w:w="2427" w:type="dxa"/>
            <w:shd w:val="clear" w:color="000000" w:fill="auto"/>
            <w:hideMark/>
          </w:tcPr>
          <w:p w14:paraId="2B65AFE6"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761 от 18.08.2023</w:t>
            </w:r>
          </w:p>
        </w:tc>
      </w:tr>
      <w:tr w:rsidR="000C5E62" w:rsidRPr="00731FE2" w14:paraId="6A6BF651" w14:textId="77777777" w:rsidTr="000C5E62">
        <w:trPr>
          <w:trHeight w:val="3696"/>
        </w:trPr>
        <w:tc>
          <w:tcPr>
            <w:tcW w:w="704" w:type="dxa"/>
            <w:shd w:val="clear" w:color="auto" w:fill="auto"/>
            <w:noWrap/>
          </w:tcPr>
          <w:p w14:paraId="3320191F" w14:textId="77777777" w:rsidR="000C5E62" w:rsidRPr="00731FE2" w:rsidRDefault="000C5E62" w:rsidP="000C5E62">
            <w:pPr>
              <w:pStyle w:val="a3"/>
              <w:numPr>
                <w:ilvl w:val="0"/>
                <w:numId w:val="127"/>
              </w:numPr>
              <w:spacing w:line="240" w:lineRule="auto"/>
              <w:ind w:left="0" w:firstLine="0"/>
              <w:jc w:val="center"/>
              <w:rPr>
                <w:rFonts w:ascii="Times New Roman" w:eastAsia="Times New Roman" w:hAnsi="Times New Roman" w:cs="Times New Roman"/>
                <w:sz w:val="20"/>
                <w:szCs w:val="20"/>
                <w:lang w:eastAsia="ru-RU"/>
              </w:rPr>
            </w:pPr>
          </w:p>
        </w:tc>
        <w:tc>
          <w:tcPr>
            <w:tcW w:w="2581" w:type="dxa"/>
            <w:shd w:val="clear" w:color="000000" w:fill="auto"/>
            <w:hideMark/>
          </w:tcPr>
          <w:p w14:paraId="71708078"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Здание, в котором в 1918 году погибли 29 красногвардейцев- кисловодчан, Неизвест.</w:t>
            </w:r>
          </w:p>
        </w:tc>
        <w:tc>
          <w:tcPr>
            <w:tcW w:w="1977" w:type="dxa"/>
            <w:shd w:val="clear" w:color="000000" w:fill="auto"/>
            <w:hideMark/>
          </w:tcPr>
          <w:p w14:paraId="03FD5D01"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решение Ставропольского крайисполкома от 01.10.1981 № 702 «Об утверждении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w:t>
            </w:r>
          </w:p>
        </w:tc>
        <w:tc>
          <w:tcPr>
            <w:tcW w:w="1780" w:type="dxa"/>
            <w:shd w:val="clear" w:color="000000" w:fill="auto"/>
            <w:hideMark/>
          </w:tcPr>
          <w:p w14:paraId="29E5A7F0"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регионального значения</w:t>
            </w:r>
          </w:p>
        </w:tc>
        <w:tc>
          <w:tcPr>
            <w:tcW w:w="2738" w:type="dxa"/>
            <w:shd w:val="clear" w:color="000000" w:fill="auto"/>
            <w:hideMark/>
          </w:tcPr>
          <w:p w14:paraId="6A685AFB"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ул. Вокзальная, 25</w:t>
            </w:r>
          </w:p>
        </w:tc>
        <w:tc>
          <w:tcPr>
            <w:tcW w:w="1993" w:type="dxa"/>
            <w:shd w:val="clear" w:color="008080" w:fill="auto"/>
            <w:hideMark/>
          </w:tcPr>
          <w:p w14:paraId="4077433F"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приказ управление СК по охране ОКН от 15.06.2016 № 241</w:t>
            </w:r>
          </w:p>
        </w:tc>
        <w:tc>
          <w:tcPr>
            <w:tcW w:w="2427" w:type="dxa"/>
            <w:shd w:val="clear" w:color="auto" w:fill="auto"/>
            <w:hideMark/>
          </w:tcPr>
          <w:p w14:paraId="3A5BAF97"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В соответствии со ст. 34.1 ФЗ от 25.06.2002 № 73-ФЗ «Об объектах культурного наследия (памятниках истории и культуры) народов РФ» действуют защитные зоны 100 м</w:t>
            </w:r>
          </w:p>
        </w:tc>
      </w:tr>
      <w:tr w:rsidR="000C5E62" w:rsidRPr="00731FE2" w14:paraId="2A83E7A8" w14:textId="77777777" w:rsidTr="000C5E62">
        <w:trPr>
          <w:trHeight w:val="2817"/>
        </w:trPr>
        <w:tc>
          <w:tcPr>
            <w:tcW w:w="704" w:type="dxa"/>
            <w:shd w:val="clear" w:color="auto" w:fill="auto"/>
            <w:noWrap/>
          </w:tcPr>
          <w:p w14:paraId="4AD55FAF" w14:textId="77777777" w:rsidR="000C5E62" w:rsidRPr="00731FE2" w:rsidRDefault="000C5E62" w:rsidP="000C5E62">
            <w:pPr>
              <w:pStyle w:val="a3"/>
              <w:numPr>
                <w:ilvl w:val="0"/>
                <w:numId w:val="127"/>
              </w:numPr>
              <w:spacing w:line="240" w:lineRule="auto"/>
              <w:ind w:left="0" w:firstLine="0"/>
              <w:jc w:val="center"/>
              <w:rPr>
                <w:rFonts w:ascii="Times New Roman" w:eastAsia="Times New Roman" w:hAnsi="Times New Roman" w:cs="Times New Roman"/>
                <w:sz w:val="20"/>
                <w:szCs w:val="20"/>
                <w:lang w:eastAsia="ru-RU"/>
              </w:rPr>
            </w:pPr>
          </w:p>
        </w:tc>
        <w:tc>
          <w:tcPr>
            <w:tcW w:w="2581" w:type="dxa"/>
            <w:shd w:val="clear" w:color="000000" w:fill="auto"/>
            <w:hideMark/>
          </w:tcPr>
          <w:p w14:paraId="76C4A9BE"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Здание, где отдыхали и лечились соратники В.И. Ленина (б. дача «Карс»)</w:t>
            </w:r>
          </w:p>
        </w:tc>
        <w:tc>
          <w:tcPr>
            <w:tcW w:w="1977" w:type="dxa"/>
            <w:shd w:val="clear" w:color="000000" w:fill="auto"/>
            <w:hideMark/>
          </w:tcPr>
          <w:p w14:paraId="71B0D0D0"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решение Ставропольского крайисполкома от 01.10.1981 № 702 «Об утверждении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w:t>
            </w:r>
          </w:p>
        </w:tc>
        <w:tc>
          <w:tcPr>
            <w:tcW w:w="1780" w:type="dxa"/>
            <w:shd w:val="clear" w:color="000000" w:fill="auto"/>
            <w:hideMark/>
          </w:tcPr>
          <w:p w14:paraId="27479FE5"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регионального значения</w:t>
            </w:r>
          </w:p>
        </w:tc>
        <w:tc>
          <w:tcPr>
            <w:tcW w:w="2738" w:type="dxa"/>
            <w:shd w:val="clear" w:color="000000" w:fill="auto"/>
            <w:hideMark/>
          </w:tcPr>
          <w:p w14:paraId="01CDD010"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Дзержинского, 4</w:t>
            </w:r>
          </w:p>
        </w:tc>
        <w:tc>
          <w:tcPr>
            <w:tcW w:w="1993" w:type="dxa"/>
            <w:shd w:val="clear" w:color="000000" w:fill="auto"/>
            <w:hideMark/>
          </w:tcPr>
          <w:p w14:paraId="4FB3AE4F"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729 от 15.07.2022</w:t>
            </w:r>
          </w:p>
        </w:tc>
        <w:tc>
          <w:tcPr>
            <w:tcW w:w="2427" w:type="dxa"/>
            <w:shd w:val="clear" w:color="000000" w:fill="auto"/>
            <w:hideMark/>
          </w:tcPr>
          <w:p w14:paraId="3B32E4E5"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74 от 22.01.2024; в ЗРЗ "Курортный парк"</w:t>
            </w:r>
          </w:p>
        </w:tc>
      </w:tr>
      <w:tr w:rsidR="000C5E62" w:rsidRPr="00731FE2" w14:paraId="7E3F4FE7" w14:textId="77777777" w:rsidTr="000C5E62">
        <w:trPr>
          <w:trHeight w:val="3696"/>
        </w:trPr>
        <w:tc>
          <w:tcPr>
            <w:tcW w:w="704" w:type="dxa"/>
            <w:shd w:val="clear" w:color="auto" w:fill="auto"/>
            <w:noWrap/>
          </w:tcPr>
          <w:p w14:paraId="215ACFEE" w14:textId="77777777" w:rsidR="000C5E62" w:rsidRPr="00731FE2" w:rsidRDefault="000C5E62" w:rsidP="000C5E62">
            <w:pPr>
              <w:pStyle w:val="a3"/>
              <w:numPr>
                <w:ilvl w:val="0"/>
                <w:numId w:val="127"/>
              </w:numPr>
              <w:spacing w:line="240" w:lineRule="auto"/>
              <w:ind w:left="0" w:firstLine="0"/>
              <w:jc w:val="center"/>
              <w:rPr>
                <w:rFonts w:ascii="Times New Roman" w:eastAsia="Times New Roman" w:hAnsi="Times New Roman" w:cs="Times New Roman"/>
                <w:sz w:val="20"/>
                <w:szCs w:val="20"/>
                <w:lang w:eastAsia="ru-RU"/>
              </w:rPr>
            </w:pPr>
          </w:p>
        </w:tc>
        <w:tc>
          <w:tcPr>
            <w:tcW w:w="2581" w:type="dxa"/>
            <w:shd w:val="clear" w:color="000000" w:fill="auto"/>
            <w:hideMark/>
          </w:tcPr>
          <w:p w14:paraId="33E7A445"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Дом, где в 1918 году размещался Совет рабочих и солдатских депутатов, Неизвест.</w:t>
            </w:r>
          </w:p>
        </w:tc>
        <w:tc>
          <w:tcPr>
            <w:tcW w:w="1977" w:type="dxa"/>
            <w:shd w:val="clear" w:color="000000" w:fill="auto"/>
            <w:hideMark/>
          </w:tcPr>
          <w:p w14:paraId="5895B77E"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решение Ставропольского крайисполкома от 01.10.1981 № 702 «Об утверждении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w:t>
            </w:r>
          </w:p>
        </w:tc>
        <w:tc>
          <w:tcPr>
            <w:tcW w:w="1780" w:type="dxa"/>
            <w:shd w:val="clear" w:color="000000" w:fill="auto"/>
            <w:hideMark/>
          </w:tcPr>
          <w:p w14:paraId="02AD411B"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регионального значения</w:t>
            </w:r>
          </w:p>
        </w:tc>
        <w:tc>
          <w:tcPr>
            <w:tcW w:w="2738" w:type="dxa"/>
            <w:shd w:val="clear" w:color="000000" w:fill="auto"/>
            <w:hideMark/>
          </w:tcPr>
          <w:p w14:paraId="4BA7649A"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 50 лет Октября, 9</w:t>
            </w:r>
          </w:p>
        </w:tc>
        <w:tc>
          <w:tcPr>
            <w:tcW w:w="1993" w:type="dxa"/>
            <w:shd w:val="clear" w:color="008080" w:fill="auto"/>
            <w:hideMark/>
          </w:tcPr>
          <w:p w14:paraId="6FCB3FD6"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приказ управление СК по охране ОКН от 15.06.2016 № 239</w:t>
            </w:r>
          </w:p>
        </w:tc>
        <w:tc>
          <w:tcPr>
            <w:tcW w:w="2427" w:type="dxa"/>
            <w:shd w:val="clear" w:color="auto" w:fill="auto"/>
            <w:hideMark/>
          </w:tcPr>
          <w:p w14:paraId="635CE80E"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В соответствии со ст. 34.1 ФЗ от 25.06.2002 № 73-ФЗ «Об объектах культурного наследия (памятниках истории и культуры) народов РФ» действуют защитные зоны 100 м</w:t>
            </w:r>
          </w:p>
        </w:tc>
      </w:tr>
      <w:tr w:rsidR="000C5E62" w:rsidRPr="00731FE2" w14:paraId="7BFCF360" w14:textId="77777777" w:rsidTr="000C5E62">
        <w:trPr>
          <w:trHeight w:val="3100"/>
        </w:trPr>
        <w:tc>
          <w:tcPr>
            <w:tcW w:w="704" w:type="dxa"/>
            <w:shd w:val="clear" w:color="auto" w:fill="auto"/>
            <w:noWrap/>
          </w:tcPr>
          <w:p w14:paraId="5DE9438F" w14:textId="77777777" w:rsidR="000C5E62" w:rsidRPr="00731FE2" w:rsidRDefault="000C5E62" w:rsidP="000C5E62">
            <w:pPr>
              <w:pStyle w:val="a3"/>
              <w:numPr>
                <w:ilvl w:val="0"/>
                <w:numId w:val="127"/>
              </w:numPr>
              <w:spacing w:line="240" w:lineRule="auto"/>
              <w:ind w:left="0" w:firstLine="0"/>
              <w:jc w:val="center"/>
              <w:rPr>
                <w:rFonts w:ascii="Times New Roman" w:eastAsia="Times New Roman" w:hAnsi="Times New Roman" w:cs="Times New Roman"/>
                <w:sz w:val="20"/>
                <w:szCs w:val="20"/>
                <w:lang w:eastAsia="ru-RU"/>
              </w:rPr>
            </w:pPr>
          </w:p>
        </w:tc>
        <w:tc>
          <w:tcPr>
            <w:tcW w:w="2581" w:type="dxa"/>
            <w:shd w:val="clear" w:color="000000" w:fill="auto"/>
            <w:hideMark/>
          </w:tcPr>
          <w:p w14:paraId="58D19B7D"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Братская могила 322 мирных жителей, расстрелянных в 1942 году немецко-фашистскими захватчиками, 1943</w:t>
            </w:r>
          </w:p>
        </w:tc>
        <w:tc>
          <w:tcPr>
            <w:tcW w:w="1977" w:type="dxa"/>
            <w:shd w:val="clear" w:color="000000" w:fill="auto"/>
            <w:hideMark/>
          </w:tcPr>
          <w:p w14:paraId="7C4702BE"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решение Ставропольского крайисполкома от 01.10.1981 № 702 «Об утверждении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w:t>
            </w:r>
          </w:p>
        </w:tc>
        <w:tc>
          <w:tcPr>
            <w:tcW w:w="1780" w:type="dxa"/>
            <w:shd w:val="clear" w:color="000000" w:fill="auto"/>
            <w:hideMark/>
          </w:tcPr>
          <w:p w14:paraId="4B412849"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регионального значения</w:t>
            </w:r>
          </w:p>
        </w:tc>
        <w:tc>
          <w:tcPr>
            <w:tcW w:w="2738" w:type="dxa"/>
            <w:shd w:val="clear" w:color="000000" w:fill="auto"/>
            <w:hideMark/>
          </w:tcPr>
          <w:p w14:paraId="1DB35CB3"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Промзона</w:t>
            </w:r>
          </w:p>
        </w:tc>
        <w:tc>
          <w:tcPr>
            <w:tcW w:w="1993" w:type="dxa"/>
            <w:shd w:val="clear" w:color="008080" w:fill="auto"/>
            <w:hideMark/>
          </w:tcPr>
          <w:p w14:paraId="04F81340"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приказ управление СК по охране ОКН от 15.06.2016 № 265</w:t>
            </w:r>
          </w:p>
        </w:tc>
        <w:tc>
          <w:tcPr>
            <w:tcW w:w="2427" w:type="dxa"/>
            <w:shd w:val="clear" w:color="auto" w:fill="auto"/>
            <w:hideMark/>
          </w:tcPr>
          <w:p w14:paraId="3C073805"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В соответствии со ст. 34.1 ФЗ от 25.06.2002 № 73-ФЗ «Об объектах культурного наследия (памятниках истории и культуры) народов РФ» действуют защитные зоны 100 м</w:t>
            </w:r>
          </w:p>
        </w:tc>
      </w:tr>
      <w:tr w:rsidR="000C5E62" w:rsidRPr="00731FE2" w14:paraId="3766B85E" w14:textId="77777777" w:rsidTr="000C5E62">
        <w:trPr>
          <w:trHeight w:val="3696"/>
        </w:trPr>
        <w:tc>
          <w:tcPr>
            <w:tcW w:w="704" w:type="dxa"/>
            <w:shd w:val="clear" w:color="auto" w:fill="auto"/>
            <w:noWrap/>
          </w:tcPr>
          <w:p w14:paraId="3211A8BB" w14:textId="77777777" w:rsidR="000C5E62" w:rsidRPr="00731FE2" w:rsidRDefault="000C5E62" w:rsidP="000C5E62">
            <w:pPr>
              <w:pStyle w:val="a3"/>
              <w:numPr>
                <w:ilvl w:val="0"/>
                <w:numId w:val="127"/>
              </w:numPr>
              <w:spacing w:line="240" w:lineRule="auto"/>
              <w:ind w:left="0" w:firstLine="0"/>
              <w:jc w:val="center"/>
              <w:rPr>
                <w:rFonts w:ascii="Times New Roman" w:eastAsia="Times New Roman" w:hAnsi="Times New Roman" w:cs="Times New Roman"/>
                <w:sz w:val="20"/>
                <w:szCs w:val="20"/>
                <w:lang w:eastAsia="ru-RU"/>
              </w:rPr>
            </w:pPr>
          </w:p>
        </w:tc>
        <w:tc>
          <w:tcPr>
            <w:tcW w:w="2581" w:type="dxa"/>
            <w:shd w:val="clear" w:color="000000" w:fill="auto"/>
            <w:hideMark/>
          </w:tcPr>
          <w:p w14:paraId="6A82D557"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Особняк, Неизвест.</w:t>
            </w:r>
          </w:p>
        </w:tc>
        <w:tc>
          <w:tcPr>
            <w:tcW w:w="1977" w:type="dxa"/>
            <w:shd w:val="clear" w:color="000000" w:fill="auto"/>
            <w:hideMark/>
          </w:tcPr>
          <w:p w14:paraId="383F486B"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решение Ставропольского крайисполкома от 01.10.1981 № 702 «Об утверждении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w:t>
            </w:r>
          </w:p>
        </w:tc>
        <w:tc>
          <w:tcPr>
            <w:tcW w:w="1780" w:type="dxa"/>
            <w:shd w:val="clear" w:color="000000" w:fill="auto"/>
            <w:hideMark/>
          </w:tcPr>
          <w:p w14:paraId="6EC9F43B"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регионального значения</w:t>
            </w:r>
          </w:p>
        </w:tc>
        <w:tc>
          <w:tcPr>
            <w:tcW w:w="2738" w:type="dxa"/>
            <w:shd w:val="clear" w:color="000000" w:fill="auto"/>
            <w:hideMark/>
          </w:tcPr>
          <w:p w14:paraId="54AB6096"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ул. Авиации, 18</w:t>
            </w:r>
          </w:p>
        </w:tc>
        <w:tc>
          <w:tcPr>
            <w:tcW w:w="1993" w:type="dxa"/>
            <w:shd w:val="clear" w:color="000000" w:fill="auto"/>
            <w:hideMark/>
          </w:tcPr>
          <w:p w14:paraId="4DA53CB9"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715 от 15.07.2022</w:t>
            </w:r>
          </w:p>
        </w:tc>
        <w:tc>
          <w:tcPr>
            <w:tcW w:w="2427" w:type="dxa"/>
            <w:shd w:val="clear" w:color="000000" w:fill="auto"/>
            <w:hideMark/>
          </w:tcPr>
          <w:p w14:paraId="57176411"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440 от 06.05.2024</w:t>
            </w:r>
          </w:p>
        </w:tc>
      </w:tr>
      <w:tr w:rsidR="000C5E62" w:rsidRPr="00731FE2" w14:paraId="4A67A44B" w14:textId="77777777" w:rsidTr="000C5E62">
        <w:trPr>
          <w:trHeight w:val="2533"/>
        </w:trPr>
        <w:tc>
          <w:tcPr>
            <w:tcW w:w="704" w:type="dxa"/>
            <w:shd w:val="clear" w:color="auto" w:fill="auto"/>
            <w:noWrap/>
          </w:tcPr>
          <w:p w14:paraId="7ABBBFF8" w14:textId="77777777" w:rsidR="000C5E62" w:rsidRPr="00731FE2" w:rsidRDefault="000C5E62" w:rsidP="000C5E62">
            <w:pPr>
              <w:pStyle w:val="a3"/>
              <w:numPr>
                <w:ilvl w:val="0"/>
                <w:numId w:val="127"/>
              </w:numPr>
              <w:spacing w:line="240" w:lineRule="auto"/>
              <w:ind w:left="0" w:firstLine="0"/>
              <w:jc w:val="center"/>
              <w:rPr>
                <w:rFonts w:ascii="Times New Roman" w:eastAsia="Times New Roman" w:hAnsi="Times New Roman" w:cs="Times New Roman"/>
                <w:sz w:val="20"/>
                <w:szCs w:val="20"/>
                <w:lang w:eastAsia="ru-RU"/>
              </w:rPr>
            </w:pPr>
          </w:p>
        </w:tc>
        <w:tc>
          <w:tcPr>
            <w:tcW w:w="2581" w:type="dxa"/>
            <w:shd w:val="clear" w:color="FFFFFF" w:fill="FFFFFF"/>
            <w:hideMark/>
          </w:tcPr>
          <w:p w14:paraId="0FC0746C"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Особняк, Неизвест.</w:t>
            </w:r>
          </w:p>
        </w:tc>
        <w:tc>
          <w:tcPr>
            <w:tcW w:w="1977" w:type="dxa"/>
            <w:shd w:val="clear" w:color="FFFFFF" w:fill="FFFFFF"/>
            <w:hideMark/>
          </w:tcPr>
          <w:p w14:paraId="653F194A"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решение Ставропольского крайисполкома от 01.10.1981 № 702 «Об утверждении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w:t>
            </w:r>
          </w:p>
        </w:tc>
        <w:tc>
          <w:tcPr>
            <w:tcW w:w="1780" w:type="dxa"/>
            <w:shd w:val="clear" w:color="FFFFFF" w:fill="FFFFFF"/>
            <w:hideMark/>
          </w:tcPr>
          <w:p w14:paraId="40BA25B7"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регионального значения</w:t>
            </w:r>
          </w:p>
        </w:tc>
        <w:tc>
          <w:tcPr>
            <w:tcW w:w="2738" w:type="dxa"/>
            <w:shd w:val="clear" w:color="FFFFFF" w:fill="FFFFFF"/>
            <w:hideMark/>
          </w:tcPr>
          <w:p w14:paraId="4045C4A8"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Вокзальная, 18</w:t>
            </w:r>
          </w:p>
        </w:tc>
        <w:tc>
          <w:tcPr>
            <w:tcW w:w="1993" w:type="dxa"/>
            <w:shd w:val="clear" w:color="CCFFFF" w:fill="FFFFFF"/>
            <w:hideMark/>
          </w:tcPr>
          <w:p w14:paraId="4F963F71"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приказ управления СК по охране ОКН от 28.12.2015 № 367</w:t>
            </w:r>
          </w:p>
        </w:tc>
        <w:tc>
          <w:tcPr>
            <w:tcW w:w="2427" w:type="dxa"/>
            <w:shd w:val="clear" w:color="FFFFFF" w:fill="FFFFFF"/>
            <w:hideMark/>
          </w:tcPr>
          <w:p w14:paraId="520CA6CB"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1035 от 14.09.2022</w:t>
            </w:r>
          </w:p>
        </w:tc>
      </w:tr>
      <w:tr w:rsidR="000C5E62" w:rsidRPr="00731FE2" w14:paraId="4FC752AD" w14:textId="77777777" w:rsidTr="000C5E62">
        <w:trPr>
          <w:trHeight w:val="2624"/>
        </w:trPr>
        <w:tc>
          <w:tcPr>
            <w:tcW w:w="704" w:type="dxa"/>
            <w:shd w:val="clear" w:color="auto" w:fill="auto"/>
            <w:noWrap/>
          </w:tcPr>
          <w:p w14:paraId="0516B654" w14:textId="77777777" w:rsidR="000C5E62" w:rsidRPr="00731FE2" w:rsidRDefault="000C5E62" w:rsidP="000C5E62">
            <w:pPr>
              <w:pStyle w:val="a3"/>
              <w:numPr>
                <w:ilvl w:val="0"/>
                <w:numId w:val="127"/>
              </w:numPr>
              <w:spacing w:line="240" w:lineRule="auto"/>
              <w:ind w:left="0" w:firstLine="0"/>
              <w:jc w:val="center"/>
              <w:rPr>
                <w:rFonts w:ascii="Times New Roman" w:eastAsia="Times New Roman" w:hAnsi="Times New Roman" w:cs="Times New Roman"/>
                <w:sz w:val="20"/>
                <w:szCs w:val="20"/>
                <w:lang w:eastAsia="ru-RU"/>
              </w:rPr>
            </w:pPr>
          </w:p>
        </w:tc>
        <w:tc>
          <w:tcPr>
            <w:tcW w:w="2581" w:type="dxa"/>
            <w:shd w:val="clear" w:color="FFFFFF" w:fill="FFFFFF"/>
            <w:hideMark/>
          </w:tcPr>
          <w:p w14:paraId="535D6944"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Жилой дом, Неизвест.</w:t>
            </w:r>
          </w:p>
        </w:tc>
        <w:tc>
          <w:tcPr>
            <w:tcW w:w="1977" w:type="dxa"/>
            <w:shd w:val="clear" w:color="FFFFFF" w:fill="FFFFFF"/>
            <w:hideMark/>
          </w:tcPr>
          <w:p w14:paraId="419C2ABF"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решение Ставропольского крайисполкома от 01.10.1981 № 702 «Об утверждении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w:t>
            </w:r>
          </w:p>
        </w:tc>
        <w:tc>
          <w:tcPr>
            <w:tcW w:w="1780" w:type="dxa"/>
            <w:shd w:val="clear" w:color="FFFFFF" w:fill="FFFFFF"/>
            <w:hideMark/>
          </w:tcPr>
          <w:p w14:paraId="1F20C172"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регионального значения</w:t>
            </w:r>
          </w:p>
        </w:tc>
        <w:tc>
          <w:tcPr>
            <w:tcW w:w="2738" w:type="dxa"/>
            <w:shd w:val="clear" w:color="FFFFFF" w:fill="FFFFFF"/>
            <w:hideMark/>
          </w:tcPr>
          <w:p w14:paraId="46AA0702"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Вокзальная, 19</w:t>
            </w:r>
          </w:p>
        </w:tc>
        <w:tc>
          <w:tcPr>
            <w:tcW w:w="1993" w:type="dxa"/>
            <w:shd w:val="clear" w:color="FFFFFF" w:fill="FFFFFF"/>
            <w:hideMark/>
          </w:tcPr>
          <w:p w14:paraId="03DBB458"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499 от 25.05.2022</w:t>
            </w:r>
          </w:p>
        </w:tc>
        <w:tc>
          <w:tcPr>
            <w:tcW w:w="2427" w:type="dxa"/>
            <w:shd w:val="clear" w:color="FFFFFF" w:fill="FFFFFF"/>
            <w:hideMark/>
          </w:tcPr>
          <w:p w14:paraId="1EA23491"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517 от 15.06.2023</w:t>
            </w:r>
          </w:p>
        </w:tc>
      </w:tr>
      <w:tr w:rsidR="000C5E62" w:rsidRPr="00731FE2" w14:paraId="3ACF9F89" w14:textId="77777777" w:rsidTr="000C5E62">
        <w:trPr>
          <w:trHeight w:val="690"/>
        </w:trPr>
        <w:tc>
          <w:tcPr>
            <w:tcW w:w="704" w:type="dxa"/>
            <w:shd w:val="clear" w:color="auto" w:fill="auto"/>
            <w:noWrap/>
          </w:tcPr>
          <w:p w14:paraId="2CBB92F0" w14:textId="77777777" w:rsidR="000C5E62" w:rsidRPr="00731FE2" w:rsidRDefault="000C5E62" w:rsidP="000C5E62">
            <w:pPr>
              <w:pStyle w:val="a3"/>
              <w:numPr>
                <w:ilvl w:val="0"/>
                <w:numId w:val="127"/>
              </w:numPr>
              <w:spacing w:line="240" w:lineRule="auto"/>
              <w:ind w:left="0" w:firstLine="0"/>
              <w:jc w:val="center"/>
              <w:rPr>
                <w:rFonts w:ascii="Times New Roman" w:eastAsia="Times New Roman" w:hAnsi="Times New Roman" w:cs="Times New Roman"/>
                <w:sz w:val="20"/>
                <w:szCs w:val="20"/>
                <w:lang w:eastAsia="ru-RU"/>
              </w:rPr>
            </w:pPr>
          </w:p>
        </w:tc>
        <w:tc>
          <w:tcPr>
            <w:tcW w:w="2581" w:type="dxa"/>
            <w:shd w:val="clear" w:color="000000" w:fill="auto"/>
            <w:hideMark/>
          </w:tcPr>
          <w:p w14:paraId="3300BDBB"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Пешеходный мост, Неизвест.</w:t>
            </w:r>
          </w:p>
        </w:tc>
        <w:tc>
          <w:tcPr>
            <w:tcW w:w="1977" w:type="dxa"/>
            <w:shd w:val="clear" w:color="000000" w:fill="auto"/>
            <w:hideMark/>
          </w:tcPr>
          <w:p w14:paraId="3E7B7FC8"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 xml:space="preserve">решение Ставропольского крайисполкома от 01.10.1981 № 702 «Об утверждении списка памятников истории и культуры Ставропольского </w:t>
            </w:r>
            <w:r w:rsidRPr="00731FE2">
              <w:rPr>
                <w:rFonts w:ascii="Times New Roman" w:eastAsia="Times New Roman" w:hAnsi="Times New Roman" w:cs="Times New Roman"/>
                <w:sz w:val="20"/>
                <w:szCs w:val="20"/>
                <w:lang w:eastAsia="ru-RU"/>
              </w:rPr>
              <w:lastRenderedPageBreak/>
              <w:t>края, подлежащих государственной охране как памятников местного и республиканского значения»</w:t>
            </w:r>
          </w:p>
        </w:tc>
        <w:tc>
          <w:tcPr>
            <w:tcW w:w="1780" w:type="dxa"/>
            <w:shd w:val="clear" w:color="000000" w:fill="auto"/>
            <w:hideMark/>
          </w:tcPr>
          <w:p w14:paraId="22E1F51F"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lastRenderedPageBreak/>
              <w:t>регионального значения</w:t>
            </w:r>
          </w:p>
        </w:tc>
        <w:tc>
          <w:tcPr>
            <w:tcW w:w="2738" w:type="dxa"/>
            <w:shd w:val="clear" w:color="000000" w:fill="auto"/>
            <w:hideMark/>
          </w:tcPr>
          <w:p w14:paraId="51857B74"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Вокзальная</w:t>
            </w:r>
          </w:p>
        </w:tc>
        <w:tc>
          <w:tcPr>
            <w:tcW w:w="1993" w:type="dxa"/>
            <w:shd w:val="clear" w:color="008080" w:fill="auto"/>
            <w:hideMark/>
          </w:tcPr>
          <w:p w14:paraId="08DDFF24"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приказ управление СК по охране ОКН от 15.06.2016 № 271, 254 от 17.03.2022</w:t>
            </w:r>
          </w:p>
        </w:tc>
        <w:tc>
          <w:tcPr>
            <w:tcW w:w="2427" w:type="dxa"/>
            <w:shd w:val="clear" w:color="auto" w:fill="auto"/>
            <w:hideMark/>
          </w:tcPr>
          <w:p w14:paraId="4791AE11"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В соответствии со ст. 34.1 ФЗ от 25.06.2002 № 73-ФЗ «Об объектах культурного наследия (памятниках истории и культуры) народов РФ» действуют защитные зоны 100 м</w:t>
            </w:r>
          </w:p>
        </w:tc>
      </w:tr>
      <w:tr w:rsidR="000C5E62" w:rsidRPr="00731FE2" w14:paraId="3D35A1D6" w14:textId="77777777" w:rsidTr="000C5E62">
        <w:trPr>
          <w:trHeight w:val="2365"/>
        </w:trPr>
        <w:tc>
          <w:tcPr>
            <w:tcW w:w="704" w:type="dxa"/>
            <w:shd w:val="clear" w:color="auto" w:fill="auto"/>
            <w:noWrap/>
          </w:tcPr>
          <w:p w14:paraId="4A28310C" w14:textId="77777777" w:rsidR="000C5E62" w:rsidRPr="00731FE2" w:rsidRDefault="000C5E62" w:rsidP="000C5E62">
            <w:pPr>
              <w:pStyle w:val="a3"/>
              <w:numPr>
                <w:ilvl w:val="0"/>
                <w:numId w:val="127"/>
              </w:numPr>
              <w:spacing w:line="240" w:lineRule="auto"/>
              <w:ind w:left="0" w:firstLine="0"/>
              <w:jc w:val="center"/>
              <w:rPr>
                <w:rFonts w:ascii="Times New Roman" w:eastAsia="Times New Roman" w:hAnsi="Times New Roman" w:cs="Times New Roman"/>
                <w:sz w:val="20"/>
                <w:szCs w:val="20"/>
                <w:lang w:eastAsia="ru-RU"/>
              </w:rPr>
            </w:pPr>
          </w:p>
        </w:tc>
        <w:tc>
          <w:tcPr>
            <w:tcW w:w="2581" w:type="dxa"/>
            <w:shd w:val="clear" w:color="FFFFFF" w:fill="FFFFFF"/>
            <w:hideMark/>
          </w:tcPr>
          <w:p w14:paraId="02EE70E1"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Особняк, 1906</w:t>
            </w:r>
          </w:p>
        </w:tc>
        <w:tc>
          <w:tcPr>
            <w:tcW w:w="1977" w:type="dxa"/>
            <w:shd w:val="clear" w:color="FFFFFF" w:fill="FFFFFF"/>
            <w:hideMark/>
          </w:tcPr>
          <w:p w14:paraId="106D2136"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решение Ставропольского крайисполкома от 01.10.1981 № 702 «Об утверждении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w:t>
            </w:r>
          </w:p>
        </w:tc>
        <w:tc>
          <w:tcPr>
            <w:tcW w:w="1780" w:type="dxa"/>
            <w:shd w:val="clear" w:color="FFFFFF" w:fill="FFFFFF"/>
            <w:hideMark/>
          </w:tcPr>
          <w:p w14:paraId="459FD44F"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регионального значения</w:t>
            </w:r>
          </w:p>
        </w:tc>
        <w:tc>
          <w:tcPr>
            <w:tcW w:w="2738" w:type="dxa"/>
            <w:shd w:val="clear" w:color="FFFFFF" w:fill="FFFFFF"/>
            <w:hideMark/>
          </w:tcPr>
          <w:p w14:paraId="1FA0B451"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Герцена, 2</w:t>
            </w:r>
          </w:p>
        </w:tc>
        <w:tc>
          <w:tcPr>
            <w:tcW w:w="1993" w:type="dxa"/>
            <w:shd w:val="clear" w:color="008080" w:fill="FFFFFF"/>
            <w:hideMark/>
          </w:tcPr>
          <w:p w14:paraId="73324431"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приказ управление СК по охране ОКН от 15.06.2016 № 240</w:t>
            </w:r>
          </w:p>
        </w:tc>
        <w:tc>
          <w:tcPr>
            <w:tcW w:w="2427" w:type="dxa"/>
            <w:shd w:val="clear" w:color="FFFFFF" w:fill="FFFFFF"/>
            <w:hideMark/>
          </w:tcPr>
          <w:p w14:paraId="6A6EF18D"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1325 от 28.10.2022</w:t>
            </w:r>
          </w:p>
        </w:tc>
      </w:tr>
      <w:tr w:rsidR="000C5E62" w:rsidRPr="00731FE2" w14:paraId="11E7A0F1" w14:textId="77777777" w:rsidTr="000C5E62">
        <w:trPr>
          <w:trHeight w:val="3696"/>
        </w:trPr>
        <w:tc>
          <w:tcPr>
            <w:tcW w:w="704" w:type="dxa"/>
            <w:shd w:val="clear" w:color="auto" w:fill="auto"/>
            <w:noWrap/>
          </w:tcPr>
          <w:p w14:paraId="4D8E72FF" w14:textId="77777777" w:rsidR="000C5E62" w:rsidRPr="00731FE2" w:rsidRDefault="000C5E62" w:rsidP="000C5E62">
            <w:pPr>
              <w:pStyle w:val="a3"/>
              <w:numPr>
                <w:ilvl w:val="0"/>
                <w:numId w:val="127"/>
              </w:numPr>
              <w:spacing w:line="240" w:lineRule="auto"/>
              <w:ind w:left="0" w:firstLine="0"/>
              <w:jc w:val="center"/>
              <w:rPr>
                <w:rFonts w:ascii="Times New Roman" w:eastAsia="Times New Roman" w:hAnsi="Times New Roman" w:cs="Times New Roman"/>
                <w:sz w:val="20"/>
                <w:szCs w:val="20"/>
                <w:lang w:eastAsia="ru-RU"/>
              </w:rPr>
            </w:pPr>
          </w:p>
        </w:tc>
        <w:tc>
          <w:tcPr>
            <w:tcW w:w="2581" w:type="dxa"/>
            <w:shd w:val="clear" w:color="000000" w:fill="auto"/>
            <w:hideMark/>
          </w:tcPr>
          <w:p w14:paraId="6CDE7BD2"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Особняк</w:t>
            </w:r>
          </w:p>
        </w:tc>
        <w:tc>
          <w:tcPr>
            <w:tcW w:w="1977" w:type="dxa"/>
            <w:shd w:val="clear" w:color="000000" w:fill="auto"/>
            <w:hideMark/>
          </w:tcPr>
          <w:p w14:paraId="2E4129AA"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решение Ставропольского крайисполкома от 01.10.1981 № 702 «Об утверждении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w:t>
            </w:r>
          </w:p>
        </w:tc>
        <w:tc>
          <w:tcPr>
            <w:tcW w:w="1780" w:type="dxa"/>
            <w:shd w:val="clear" w:color="000000" w:fill="auto"/>
            <w:hideMark/>
          </w:tcPr>
          <w:p w14:paraId="14E83AB3"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регионального значения</w:t>
            </w:r>
          </w:p>
        </w:tc>
        <w:tc>
          <w:tcPr>
            <w:tcW w:w="2738" w:type="dxa"/>
            <w:shd w:val="clear" w:color="000000" w:fill="auto"/>
            <w:hideMark/>
          </w:tcPr>
          <w:p w14:paraId="2C2093A2"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Герцена, 9</w:t>
            </w:r>
          </w:p>
        </w:tc>
        <w:tc>
          <w:tcPr>
            <w:tcW w:w="1993" w:type="dxa"/>
            <w:shd w:val="clear" w:color="008080" w:fill="auto"/>
            <w:hideMark/>
          </w:tcPr>
          <w:p w14:paraId="78CC86F0"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приказ управление СК по охране ОКН от 15.06.2016 № 253</w:t>
            </w:r>
          </w:p>
        </w:tc>
        <w:tc>
          <w:tcPr>
            <w:tcW w:w="2427" w:type="dxa"/>
            <w:shd w:val="clear" w:color="000000" w:fill="auto"/>
            <w:hideMark/>
          </w:tcPr>
          <w:p w14:paraId="5961A444"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538 от 07.06.2024</w:t>
            </w:r>
          </w:p>
        </w:tc>
      </w:tr>
      <w:tr w:rsidR="000C5E62" w:rsidRPr="00731FE2" w14:paraId="65D0BE47" w14:textId="77777777" w:rsidTr="000C5E62">
        <w:trPr>
          <w:trHeight w:val="2533"/>
        </w:trPr>
        <w:tc>
          <w:tcPr>
            <w:tcW w:w="704" w:type="dxa"/>
            <w:shd w:val="clear" w:color="auto" w:fill="auto"/>
            <w:noWrap/>
          </w:tcPr>
          <w:p w14:paraId="7E160807" w14:textId="77777777" w:rsidR="000C5E62" w:rsidRPr="00731FE2" w:rsidRDefault="000C5E62" w:rsidP="000C5E62">
            <w:pPr>
              <w:pStyle w:val="a3"/>
              <w:numPr>
                <w:ilvl w:val="0"/>
                <w:numId w:val="127"/>
              </w:numPr>
              <w:spacing w:line="240" w:lineRule="auto"/>
              <w:ind w:left="0" w:firstLine="0"/>
              <w:jc w:val="center"/>
              <w:rPr>
                <w:rFonts w:ascii="Times New Roman" w:eastAsia="Times New Roman" w:hAnsi="Times New Roman" w:cs="Times New Roman"/>
                <w:sz w:val="20"/>
                <w:szCs w:val="20"/>
                <w:lang w:eastAsia="ru-RU"/>
              </w:rPr>
            </w:pPr>
          </w:p>
        </w:tc>
        <w:tc>
          <w:tcPr>
            <w:tcW w:w="2581" w:type="dxa"/>
            <w:shd w:val="clear" w:color="000000" w:fill="auto"/>
            <w:hideMark/>
          </w:tcPr>
          <w:p w14:paraId="2E3EE383"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Особняк</w:t>
            </w:r>
          </w:p>
        </w:tc>
        <w:tc>
          <w:tcPr>
            <w:tcW w:w="1977" w:type="dxa"/>
            <w:shd w:val="clear" w:color="000000" w:fill="auto"/>
            <w:hideMark/>
          </w:tcPr>
          <w:p w14:paraId="3DAAF2E1"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решение Ставропольского крайисполкома от 01.10.1981 № 702 «Об утверждении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w:t>
            </w:r>
          </w:p>
        </w:tc>
        <w:tc>
          <w:tcPr>
            <w:tcW w:w="1780" w:type="dxa"/>
            <w:shd w:val="clear" w:color="000000" w:fill="auto"/>
            <w:hideMark/>
          </w:tcPr>
          <w:p w14:paraId="623476DB"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регионального значения</w:t>
            </w:r>
          </w:p>
        </w:tc>
        <w:tc>
          <w:tcPr>
            <w:tcW w:w="2738" w:type="dxa"/>
            <w:shd w:val="clear" w:color="000000" w:fill="auto"/>
            <w:hideMark/>
          </w:tcPr>
          <w:p w14:paraId="11C09697"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Герцена, 14</w:t>
            </w:r>
          </w:p>
        </w:tc>
        <w:tc>
          <w:tcPr>
            <w:tcW w:w="1993" w:type="dxa"/>
            <w:shd w:val="clear" w:color="008080" w:fill="auto"/>
            <w:hideMark/>
          </w:tcPr>
          <w:p w14:paraId="245DC8F8"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приказ управление СК по охране ОКН от 15.06.2016 № 247(лит В); 534 от 06.06.2024 (лит Б)</w:t>
            </w:r>
          </w:p>
        </w:tc>
        <w:tc>
          <w:tcPr>
            <w:tcW w:w="2427" w:type="dxa"/>
            <w:shd w:val="clear" w:color="000000" w:fill="auto"/>
            <w:hideMark/>
          </w:tcPr>
          <w:p w14:paraId="3CF388B8"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537 от 07.06.2024</w:t>
            </w:r>
          </w:p>
        </w:tc>
      </w:tr>
      <w:tr w:rsidR="000C5E62" w:rsidRPr="00731FE2" w14:paraId="572AC902" w14:textId="77777777" w:rsidTr="000C5E62">
        <w:trPr>
          <w:trHeight w:val="3696"/>
        </w:trPr>
        <w:tc>
          <w:tcPr>
            <w:tcW w:w="704" w:type="dxa"/>
            <w:shd w:val="clear" w:color="auto" w:fill="auto"/>
            <w:noWrap/>
          </w:tcPr>
          <w:p w14:paraId="142095EB" w14:textId="77777777" w:rsidR="000C5E62" w:rsidRPr="00731FE2" w:rsidRDefault="000C5E62" w:rsidP="000C5E62">
            <w:pPr>
              <w:pStyle w:val="a3"/>
              <w:numPr>
                <w:ilvl w:val="0"/>
                <w:numId w:val="127"/>
              </w:numPr>
              <w:spacing w:line="240" w:lineRule="auto"/>
              <w:ind w:left="0" w:firstLine="0"/>
              <w:jc w:val="center"/>
              <w:rPr>
                <w:rFonts w:ascii="Times New Roman" w:eastAsia="Times New Roman" w:hAnsi="Times New Roman" w:cs="Times New Roman"/>
                <w:sz w:val="20"/>
                <w:szCs w:val="20"/>
                <w:lang w:eastAsia="ru-RU"/>
              </w:rPr>
            </w:pPr>
          </w:p>
        </w:tc>
        <w:tc>
          <w:tcPr>
            <w:tcW w:w="2581" w:type="dxa"/>
            <w:shd w:val="clear" w:color="000000" w:fill="auto"/>
            <w:hideMark/>
          </w:tcPr>
          <w:p w14:paraId="41240FF8"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Особняк</w:t>
            </w:r>
          </w:p>
        </w:tc>
        <w:tc>
          <w:tcPr>
            <w:tcW w:w="1977" w:type="dxa"/>
            <w:shd w:val="clear" w:color="000000" w:fill="auto"/>
            <w:hideMark/>
          </w:tcPr>
          <w:p w14:paraId="1F856E65"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решение Ставропольского крайисполкома от 01.10.1981 № 702 «Об утверждении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w:t>
            </w:r>
          </w:p>
        </w:tc>
        <w:tc>
          <w:tcPr>
            <w:tcW w:w="1780" w:type="dxa"/>
            <w:shd w:val="clear" w:color="000000" w:fill="auto"/>
            <w:hideMark/>
          </w:tcPr>
          <w:p w14:paraId="5CE8CF3D"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регионального значения</w:t>
            </w:r>
          </w:p>
        </w:tc>
        <w:tc>
          <w:tcPr>
            <w:tcW w:w="2738" w:type="dxa"/>
            <w:shd w:val="clear" w:color="000000" w:fill="auto"/>
            <w:hideMark/>
          </w:tcPr>
          <w:p w14:paraId="6A6339FD"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Дзержинского, 14</w:t>
            </w:r>
          </w:p>
        </w:tc>
        <w:tc>
          <w:tcPr>
            <w:tcW w:w="1993" w:type="dxa"/>
            <w:shd w:val="clear" w:color="CCFFFF" w:fill="auto"/>
            <w:hideMark/>
          </w:tcPr>
          <w:p w14:paraId="7BB48F26"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приказ управления СК по охране ОКН от 24.12.2015 № 350</w:t>
            </w:r>
          </w:p>
        </w:tc>
        <w:tc>
          <w:tcPr>
            <w:tcW w:w="2427" w:type="dxa"/>
            <w:shd w:val="clear" w:color="000000" w:fill="auto"/>
            <w:hideMark/>
          </w:tcPr>
          <w:p w14:paraId="58E4A8C1"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1236 от 05.12.2023</w:t>
            </w:r>
          </w:p>
        </w:tc>
      </w:tr>
      <w:tr w:rsidR="000C5E62" w:rsidRPr="00731FE2" w14:paraId="3B9CEC39" w14:textId="77777777" w:rsidTr="000C5E62">
        <w:trPr>
          <w:trHeight w:val="2533"/>
        </w:trPr>
        <w:tc>
          <w:tcPr>
            <w:tcW w:w="704" w:type="dxa"/>
            <w:shd w:val="clear" w:color="auto" w:fill="auto"/>
            <w:noWrap/>
          </w:tcPr>
          <w:p w14:paraId="1F6E23DA" w14:textId="77777777" w:rsidR="000C5E62" w:rsidRPr="00731FE2" w:rsidRDefault="000C5E62" w:rsidP="000C5E62">
            <w:pPr>
              <w:pStyle w:val="a3"/>
              <w:numPr>
                <w:ilvl w:val="0"/>
                <w:numId w:val="127"/>
              </w:numPr>
              <w:spacing w:line="240" w:lineRule="auto"/>
              <w:ind w:left="0" w:firstLine="0"/>
              <w:jc w:val="center"/>
              <w:rPr>
                <w:rFonts w:ascii="Times New Roman" w:eastAsia="Times New Roman" w:hAnsi="Times New Roman" w:cs="Times New Roman"/>
                <w:sz w:val="20"/>
                <w:szCs w:val="20"/>
                <w:lang w:eastAsia="ru-RU"/>
              </w:rPr>
            </w:pPr>
          </w:p>
        </w:tc>
        <w:tc>
          <w:tcPr>
            <w:tcW w:w="2581" w:type="dxa"/>
            <w:shd w:val="clear" w:color="000000" w:fill="auto"/>
            <w:hideMark/>
          </w:tcPr>
          <w:p w14:paraId="5F6218AB"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Архитектурный ансамбль санатория, 1939</w:t>
            </w:r>
          </w:p>
        </w:tc>
        <w:tc>
          <w:tcPr>
            <w:tcW w:w="1977" w:type="dxa"/>
            <w:shd w:val="clear" w:color="000000" w:fill="auto"/>
            <w:hideMark/>
          </w:tcPr>
          <w:p w14:paraId="515933FC"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решение Ставропольского крайисполкома от 01.10.1981 № 702 «Об утверждении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w:t>
            </w:r>
          </w:p>
        </w:tc>
        <w:tc>
          <w:tcPr>
            <w:tcW w:w="1780" w:type="dxa"/>
            <w:shd w:val="clear" w:color="000000" w:fill="auto"/>
            <w:hideMark/>
          </w:tcPr>
          <w:p w14:paraId="662C188C"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регионального значения</w:t>
            </w:r>
          </w:p>
        </w:tc>
        <w:tc>
          <w:tcPr>
            <w:tcW w:w="2738" w:type="dxa"/>
            <w:shd w:val="clear" w:color="000000" w:fill="auto"/>
            <w:hideMark/>
          </w:tcPr>
          <w:p w14:paraId="44B69012"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Дзержинского, 18</w:t>
            </w:r>
          </w:p>
        </w:tc>
        <w:tc>
          <w:tcPr>
            <w:tcW w:w="1993" w:type="dxa"/>
            <w:shd w:val="clear" w:color="008080" w:fill="auto"/>
            <w:hideMark/>
          </w:tcPr>
          <w:p w14:paraId="2AC1DAE2"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приказ управление СК по охране ОКН от 15.06.2016 № 248</w:t>
            </w:r>
          </w:p>
        </w:tc>
        <w:tc>
          <w:tcPr>
            <w:tcW w:w="2427" w:type="dxa"/>
            <w:shd w:val="clear" w:color="auto" w:fill="auto"/>
            <w:hideMark/>
          </w:tcPr>
          <w:p w14:paraId="69F6C97F"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В соответствии со ст. 34.1 ФЗ от 25.06.2002 № 73-ФЗ «Об объектах культурного наследия (памятниках истории и культуры) народов РФ» действуют защитные зоны 100 м</w:t>
            </w:r>
          </w:p>
        </w:tc>
      </w:tr>
      <w:tr w:rsidR="000C5E62" w:rsidRPr="00731FE2" w14:paraId="0AEBCD81" w14:textId="77777777" w:rsidTr="000C5E62">
        <w:trPr>
          <w:trHeight w:val="2765"/>
        </w:trPr>
        <w:tc>
          <w:tcPr>
            <w:tcW w:w="704" w:type="dxa"/>
            <w:shd w:val="clear" w:color="auto" w:fill="auto"/>
            <w:noWrap/>
          </w:tcPr>
          <w:p w14:paraId="0E1F0D71" w14:textId="77777777" w:rsidR="000C5E62" w:rsidRPr="00731FE2" w:rsidRDefault="000C5E62" w:rsidP="000C5E62">
            <w:pPr>
              <w:pStyle w:val="a3"/>
              <w:numPr>
                <w:ilvl w:val="0"/>
                <w:numId w:val="127"/>
              </w:numPr>
              <w:spacing w:line="240" w:lineRule="auto"/>
              <w:ind w:left="0" w:firstLine="0"/>
              <w:jc w:val="center"/>
              <w:rPr>
                <w:rFonts w:ascii="Times New Roman" w:eastAsia="Times New Roman" w:hAnsi="Times New Roman" w:cs="Times New Roman"/>
                <w:sz w:val="20"/>
                <w:szCs w:val="20"/>
                <w:lang w:eastAsia="ru-RU"/>
              </w:rPr>
            </w:pPr>
          </w:p>
        </w:tc>
        <w:tc>
          <w:tcPr>
            <w:tcW w:w="2581" w:type="dxa"/>
            <w:shd w:val="clear" w:color="000000" w:fill="auto"/>
            <w:hideMark/>
          </w:tcPr>
          <w:p w14:paraId="58536D82"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Каскадная лестница, 1936</w:t>
            </w:r>
          </w:p>
        </w:tc>
        <w:tc>
          <w:tcPr>
            <w:tcW w:w="1977" w:type="dxa"/>
            <w:shd w:val="clear" w:color="000000" w:fill="auto"/>
            <w:hideMark/>
          </w:tcPr>
          <w:p w14:paraId="139CFCAE"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решение Ставропольского крайисполкома от 01.10.1981 № 702 «Об утверждении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w:t>
            </w:r>
          </w:p>
        </w:tc>
        <w:tc>
          <w:tcPr>
            <w:tcW w:w="1780" w:type="dxa"/>
            <w:shd w:val="clear" w:color="000000" w:fill="auto"/>
            <w:hideMark/>
          </w:tcPr>
          <w:p w14:paraId="08965AA2"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регионального значения</w:t>
            </w:r>
          </w:p>
        </w:tc>
        <w:tc>
          <w:tcPr>
            <w:tcW w:w="2738" w:type="dxa"/>
            <w:shd w:val="clear" w:color="000000" w:fill="auto"/>
            <w:hideMark/>
          </w:tcPr>
          <w:p w14:paraId="0B1FADE8"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Дзержинского, 50</w:t>
            </w:r>
          </w:p>
        </w:tc>
        <w:tc>
          <w:tcPr>
            <w:tcW w:w="1993" w:type="dxa"/>
            <w:shd w:val="clear" w:color="008080" w:fill="auto"/>
            <w:hideMark/>
          </w:tcPr>
          <w:p w14:paraId="595F4178"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317 от 28.03.2024; приказ управление СК по охране ОКН от 15.06.2016 № 263</w:t>
            </w:r>
          </w:p>
        </w:tc>
        <w:tc>
          <w:tcPr>
            <w:tcW w:w="2427" w:type="dxa"/>
            <w:shd w:val="clear" w:color="000000" w:fill="auto"/>
            <w:hideMark/>
          </w:tcPr>
          <w:p w14:paraId="365F8E88"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в зонах охраны "Курортный парк"</w:t>
            </w:r>
          </w:p>
        </w:tc>
      </w:tr>
      <w:tr w:rsidR="000C5E62" w:rsidRPr="00731FE2" w14:paraId="62A8A327" w14:textId="77777777" w:rsidTr="000C5E62">
        <w:trPr>
          <w:trHeight w:val="407"/>
        </w:trPr>
        <w:tc>
          <w:tcPr>
            <w:tcW w:w="704" w:type="dxa"/>
            <w:shd w:val="clear" w:color="auto" w:fill="auto"/>
            <w:noWrap/>
          </w:tcPr>
          <w:p w14:paraId="13377607" w14:textId="77777777" w:rsidR="000C5E62" w:rsidRPr="00731FE2" w:rsidRDefault="000C5E62" w:rsidP="000C5E62">
            <w:pPr>
              <w:pStyle w:val="a3"/>
              <w:numPr>
                <w:ilvl w:val="0"/>
                <w:numId w:val="127"/>
              </w:numPr>
              <w:spacing w:line="240" w:lineRule="auto"/>
              <w:ind w:left="0" w:firstLine="0"/>
              <w:jc w:val="center"/>
              <w:rPr>
                <w:rFonts w:ascii="Times New Roman" w:eastAsia="Times New Roman" w:hAnsi="Times New Roman" w:cs="Times New Roman"/>
                <w:sz w:val="20"/>
                <w:szCs w:val="20"/>
                <w:lang w:eastAsia="ru-RU"/>
              </w:rPr>
            </w:pPr>
          </w:p>
        </w:tc>
        <w:tc>
          <w:tcPr>
            <w:tcW w:w="2581" w:type="dxa"/>
            <w:shd w:val="clear" w:color="FFFFFF" w:fill="FFFFFF"/>
            <w:hideMark/>
          </w:tcPr>
          <w:p w14:paraId="51B7ABCE"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Жилой дом, Неизвест.</w:t>
            </w:r>
          </w:p>
        </w:tc>
        <w:tc>
          <w:tcPr>
            <w:tcW w:w="1977" w:type="dxa"/>
            <w:shd w:val="clear" w:color="FFFFFF" w:fill="FFFFFF"/>
            <w:hideMark/>
          </w:tcPr>
          <w:p w14:paraId="0E46DFB2"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 xml:space="preserve">решение Ставропольского крайисполкома от 01.10.1981 № 702 «Об утверждении списка памятников истории и культуры Ставропольского </w:t>
            </w:r>
            <w:r w:rsidRPr="00731FE2">
              <w:rPr>
                <w:rFonts w:ascii="Times New Roman" w:eastAsia="Times New Roman" w:hAnsi="Times New Roman" w:cs="Times New Roman"/>
                <w:sz w:val="20"/>
                <w:szCs w:val="20"/>
                <w:lang w:eastAsia="ru-RU"/>
              </w:rPr>
              <w:lastRenderedPageBreak/>
              <w:t>края, подлежащих государственной охране как памятников местного и республиканского значения»</w:t>
            </w:r>
          </w:p>
        </w:tc>
        <w:tc>
          <w:tcPr>
            <w:tcW w:w="1780" w:type="dxa"/>
            <w:shd w:val="clear" w:color="FFFFFF" w:fill="FFFFFF"/>
            <w:hideMark/>
          </w:tcPr>
          <w:p w14:paraId="50006BAE"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lastRenderedPageBreak/>
              <w:t>регионального значения</w:t>
            </w:r>
          </w:p>
        </w:tc>
        <w:tc>
          <w:tcPr>
            <w:tcW w:w="2738" w:type="dxa"/>
            <w:shd w:val="clear" w:color="FFFFFF" w:fill="FFFFFF"/>
            <w:hideMark/>
          </w:tcPr>
          <w:p w14:paraId="3B2FDF02"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Желябова, 17</w:t>
            </w:r>
          </w:p>
        </w:tc>
        <w:tc>
          <w:tcPr>
            <w:tcW w:w="1993" w:type="dxa"/>
            <w:shd w:val="clear" w:color="FFFFFF" w:fill="FFFFFF"/>
            <w:hideMark/>
          </w:tcPr>
          <w:p w14:paraId="368B1FAD"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1015 от 04.10.2021</w:t>
            </w:r>
          </w:p>
        </w:tc>
        <w:tc>
          <w:tcPr>
            <w:tcW w:w="2427" w:type="dxa"/>
            <w:shd w:val="clear" w:color="FFFFFF" w:fill="FFFFFF"/>
            <w:hideMark/>
          </w:tcPr>
          <w:p w14:paraId="124B026C"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 50 от 24.01.2023</w:t>
            </w:r>
          </w:p>
        </w:tc>
      </w:tr>
      <w:tr w:rsidR="000C5E62" w:rsidRPr="00731FE2" w14:paraId="3B3063E8" w14:textId="77777777" w:rsidTr="000C5E62">
        <w:trPr>
          <w:trHeight w:val="2365"/>
        </w:trPr>
        <w:tc>
          <w:tcPr>
            <w:tcW w:w="704" w:type="dxa"/>
            <w:shd w:val="clear" w:color="auto" w:fill="auto"/>
            <w:noWrap/>
          </w:tcPr>
          <w:p w14:paraId="7A87F8AA" w14:textId="77777777" w:rsidR="000C5E62" w:rsidRPr="00731FE2" w:rsidRDefault="000C5E62" w:rsidP="000C5E62">
            <w:pPr>
              <w:pStyle w:val="a3"/>
              <w:numPr>
                <w:ilvl w:val="0"/>
                <w:numId w:val="127"/>
              </w:numPr>
              <w:spacing w:line="240" w:lineRule="auto"/>
              <w:ind w:left="0" w:firstLine="0"/>
              <w:jc w:val="center"/>
              <w:rPr>
                <w:rFonts w:ascii="Times New Roman" w:eastAsia="Times New Roman" w:hAnsi="Times New Roman" w:cs="Times New Roman"/>
                <w:sz w:val="20"/>
                <w:szCs w:val="20"/>
                <w:lang w:eastAsia="ru-RU"/>
              </w:rPr>
            </w:pPr>
          </w:p>
        </w:tc>
        <w:tc>
          <w:tcPr>
            <w:tcW w:w="2581" w:type="dxa"/>
            <w:shd w:val="clear" w:color="000000" w:fill="auto"/>
            <w:hideMark/>
          </w:tcPr>
          <w:p w14:paraId="4D5B885E"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Санаторий им.С.Орджоникидзе, 1929</w:t>
            </w:r>
          </w:p>
        </w:tc>
        <w:tc>
          <w:tcPr>
            <w:tcW w:w="1977" w:type="dxa"/>
            <w:shd w:val="clear" w:color="000000" w:fill="auto"/>
            <w:hideMark/>
          </w:tcPr>
          <w:p w14:paraId="4B8B6CAB"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решение Ставропольского крайисполкома от 01.10.1981 № 702 «Об утверждении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w:t>
            </w:r>
          </w:p>
        </w:tc>
        <w:tc>
          <w:tcPr>
            <w:tcW w:w="1780" w:type="dxa"/>
            <w:shd w:val="clear" w:color="000000" w:fill="auto"/>
            <w:hideMark/>
          </w:tcPr>
          <w:p w14:paraId="3ED4B2E3"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регионального значения</w:t>
            </w:r>
          </w:p>
        </w:tc>
        <w:tc>
          <w:tcPr>
            <w:tcW w:w="2738" w:type="dxa"/>
            <w:shd w:val="clear" w:color="000000" w:fill="auto"/>
            <w:hideMark/>
          </w:tcPr>
          <w:p w14:paraId="00DF9558"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Желябова, 7</w:t>
            </w:r>
          </w:p>
        </w:tc>
        <w:tc>
          <w:tcPr>
            <w:tcW w:w="1993" w:type="dxa"/>
            <w:shd w:val="clear" w:color="000000" w:fill="auto"/>
            <w:hideMark/>
          </w:tcPr>
          <w:p w14:paraId="1C711382"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приказ управления от 30.04.2020 336</w:t>
            </w:r>
          </w:p>
        </w:tc>
        <w:tc>
          <w:tcPr>
            <w:tcW w:w="2427" w:type="dxa"/>
            <w:shd w:val="clear" w:color="000000" w:fill="auto"/>
            <w:hideMark/>
          </w:tcPr>
          <w:p w14:paraId="39062118"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1147 от 21.11.2023</w:t>
            </w:r>
          </w:p>
        </w:tc>
      </w:tr>
      <w:tr w:rsidR="000C5E62" w:rsidRPr="00731FE2" w14:paraId="6D632955" w14:textId="77777777" w:rsidTr="000C5E62">
        <w:trPr>
          <w:trHeight w:val="3696"/>
        </w:trPr>
        <w:tc>
          <w:tcPr>
            <w:tcW w:w="704" w:type="dxa"/>
            <w:shd w:val="clear" w:color="auto" w:fill="auto"/>
            <w:noWrap/>
          </w:tcPr>
          <w:p w14:paraId="4A7596B2" w14:textId="77777777" w:rsidR="000C5E62" w:rsidRPr="00731FE2" w:rsidRDefault="000C5E62" w:rsidP="000C5E62">
            <w:pPr>
              <w:pStyle w:val="a3"/>
              <w:numPr>
                <w:ilvl w:val="0"/>
                <w:numId w:val="127"/>
              </w:numPr>
              <w:spacing w:line="240" w:lineRule="auto"/>
              <w:ind w:left="0" w:firstLine="0"/>
              <w:jc w:val="center"/>
              <w:rPr>
                <w:rFonts w:ascii="Times New Roman" w:eastAsia="Times New Roman" w:hAnsi="Times New Roman" w:cs="Times New Roman"/>
                <w:sz w:val="20"/>
                <w:szCs w:val="20"/>
                <w:lang w:eastAsia="ru-RU"/>
              </w:rPr>
            </w:pPr>
          </w:p>
        </w:tc>
        <w:tc>
          <w:tcPr>
            <w:tcW w:w="2581" w:type="dxa"/>
            <w:shd w:val="clear" w:color="000000" w:fill="auto"/>
            <w:hideMark/>
          </w:tcPr>
          <w:p w14:paraId="1C22F538"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Музыкальная раковина, 1896</w:t>
            </w:r>
          </w:p>
        </w:tc>
        <w:tc>
          <w:tcPr>
            <w:tcW w:w="1977" w:type="dxa"/>
            <w:shd w:val="clear" w:color="000000" w:fill="auto"/>
            <w:hideMark/>
          </w:tcPr>
          <w:p w14:paraId="042634EC"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решение Ставропольского крайисполкома от 01.10.1981 № 702 «Об утверждении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w:t>
            </w:r>
          </w:p>
        </w:tc>
        <w:tc>
          <w:tcPr>
            <w:tcW w:w="1780" w:type="dxa"/>
            <w:shd w:val="clear" w:color="000000" w:fill="auto"/>
            <w:hideMark/>
          </w:tcPr>
          <w:p w14:paraId="48C8F177"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регионального значения</w:t>
            </w:r>
          </w:p>
        </w:tc>
        <w:tc>
          <w:tcPr>
            <w:tcW w:w="2738" w:type="dxa"/>
            <w:shd w:val="clear" w:color="000000" w:fill="auto"/>
            <w:hideMark/>
          </w:tcPr>
          <w:p w14:paraId="5FE430C1"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К. Маркса</w:t>
            </w:r>
          </w:p>
        </w:tc>
        <w:tc>
          <w:tcPr>
            <w:tcW w:w="1993" w:type="dxa"/>
            <w:shd w:val="clear" w:color="008080" w:fill="auto"/>
            <w:hideMark/>
          </w:tcPr>
          <w:p w14:paraId="502F43BD"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приказ управление СК по охране ОКН от 15.06.2016 № 246</w:t>
            </w:r>
          </w:p>
        </w:tc>
        <w:tc>
          <w:tcPr>
            <w:tcW w:w="2427" w:type="dxa"/>
            <w:shd w:val="clear" w:color="auto" w:fill="auto"/>
            <w:hideMark/>
          </w:tcPr>
          <w:p w14:paraId="40468B84"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В соответствии со ст. 34.1 ФЗ от 25.06.2002 № 73-ФЗ «Об объектах культурного наследия (памятниках истории и культуры) народов РФ» действуют защитные зоны 100 м</w:t>
            </w:r>
          </w:p>
        </w:tc>
      </w:tr>
      <w:tr w:rsidR="000C5E62" w:rsidRPr="00731FE2" w14:paraId="428D0B73" w14:textId="77777777" w:rsidTr="000C5E62">
        <w:trPr>
          <w:trHeight w:val="2675"/>
        </w:trPr>
        <w:tc>
          <w:tcPr>
            <w:tcW w:w="704" w:type="dxa"/>
            <w:shd w:val="clear" w:color="auto" w:fill="auto"/>
            <w:noWrap/>
          </w:tcPr>
          <w:p w14:paraId="10358EAE" w14:textId="77777777" w:rsidR="000C5E62" w:rsidRPr="00731FE2" w:rsidRDefault="000C5E62" w:rsidP="000C5E62">
            <w:pPr>
              <w:pStyle w:val="a3"/>
              <w:numPr>
                <w:ilvl w:val="0"/>
                <w:numId w:val="127"/>
              </w:numPr>
              <w:spacing w:line="240" w:lineRule="auto"/>
              <w:ind w:left="0" w:firstLine="0"/>
              <w:jc w:val="center"/>
              <w:rPr>
                <w:rFonts w:ascii="Times New Roman" w:eastAsia="Times New Roman" w:hAnsi="Times New Roman" w:cs="Times New Roman"/>
                <w:sz w:val="20"/>
                <w:szCs w:val="20"/>
                <w:lang w:eastAsia="ru-RU"/>
              </w:rPr>
            </w:pPr>
          </w:p>
        </w:tc>
        <w:tc>
          <w:tcPr>
            <w:tcW w:w="2581" w:type="dxa"/>
            <w:shd w:val="clear" w:color="000000" w:fill="auto"/>
            <w:hideMark/>
          </w:tcPr>
          <w:p w14:paraId="71AF52CB"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Пешеходный мост, Неизвест.</w:t>
            </w:r>
          </w:p>
        </w:tc>
        <w:tc>
          <w:tcPr>
            <w:tcW w:w="1977" w:type="dxa"/>
            <w:shd w:val="clear" w:color="000000" w:fill="auto"/>
            <w:hideMark/>
          </w:tcPr>
          <w:p w14:paraId="6E082EAE"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решение Ставропольского крайисполкома от 01.10.1981 № 702 «Об утверждении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w:t>
            </w:r>
          </w:p>
        </w:tc>
        <w:tc>
          <w:tcPr>
            <w:tcW w:w="1780" w:type="dxa"/>
            <w:shd w:val="clear" w:color="000000" w:fill="auto"/>
            <w:hideMark/>
          </w:tcPr>
          <w:p w14:paraId="4AF3A9A5"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регионального значения</w:t>
            </w:r>
          </w:p>
        </w:tc>
        <w:tc>
          <w:tcPr>
            <w:tcW w:w="2738" w:type="dxa"/>
            <w:shd w:val="clear" w:color="000000" w:fill="auto"/>
            <w:hideMark/>
          </w:tcPr>
          <w:p w14:paraId="00BFF018"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К. Маркса</w:t>
            </w:r>
          </w:p>
        </w:tc>
        <w:tc>
          <w:tcPr>
            <w:tcW w:w="1993" w:type="dxa"/>
            <w:shd w:val="clear" w:color="008080" w:fill="auto"/>
            <w:hideMark/>
          </w:tcPr>
          <w:p w14:paraId="5E6A7154"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приказ управление СК по охране ОКН от 15.06.2016 № 249</w:t>
            </w:r>
          </w:p>
        </w:tc>
        <w:tc>
          <w:tcPr>
            <w:tcW w:w="2427" w:type="dxa"/>
            <w:shd w:val="clear" w:color="auto" w:fill="auto"/>
            <w:hideMark/>
          </w:tcPr>
          <w:p w14:paraId="348A8E97"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В соответствии со ст. 34.1 ФЗ от 25.06.2002 № 73-ФЗ «Об объектах культурного наследия (памятниках истории и культуры) народов РФ» действуют защитные зоны 100 м</w:t>
            </w:r>
          </w:p>
        </w:tc>
      </w:tr>
      <w:tr w:rsidR="000C5E62" w:rsidRPr="00731FE2" w14:paraId="01539E87" w14:textId="77777777" w:rsidTr="000C5E62">
        <w:trPr>
          <w:trHeight w:val="3696"/>
        </w:trPr>
        <w:tc>
          <w:tcPr>
            <w:tcW w:w="704" w:type="dxa"/>
            <w:shd w:val="clear" w:color="auto" w:fill="auto"/>
            <w:noWrap/>
          </w:tcPr>
          <w:p w14:paraId="37FD1764" w14:textId="77777777" w:rsidR="000C5E62" w:rsidRPr="00731FE2" w:rsidRDefault="000C5E62" w:rsidP="000C5E62">
            <w:pPr>
              <w:pStyle w:val="a3"/>
              <w:numPr>
                <w:ilvl w:val="0"/>
                <w:numId w:val="127"/>
              </w:numPr>
              <w:spacing w:line="240" w:lineRule="auto"/>
              <w:ind w:left="0" w:firstLine="0"/>
              <w:jc w:val="center"/>
              <w:rPr>
                <w:rFonts w:ascii="Times New Roman" w:eastAsia="Times New Roman" w:hAnsi="Times New Roman" w:cs="Times New Roman"/>
                <w:sz w:val="20"/>
                <w:szCs w:val="20"/>
                <w:lang w:eastAsia="ru-RU"/>
              </w:rPr>
            </w:pPr>
          </w:p>
        </w:tc>
        <w:tc>
          <w:tcPr>
            <w:tcW w:w="2581" w:type="dxa"/>
            <w:shd w:val="clear" w:color="FFFFFF" w:fill="FFFFFF"/>
            <w:hideMark/>
          </w:tcPr>
          <w:p w14:paraId="03771E4A"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Бювет источника «Нарзан» «Желябовский», 1960</w:t>
            </w:r>
          </w:p>
        </w:tc>
        <w:tc>
          <w:tcPr>
            <w:tcW w:w="1977" w:type="dxa"/>
            <w:shd w:val="clear" w:color="FFFFFF" w:fill="FFFFFF"/>
            <w:hideMark/>
          </w:tcPr>
          <w:p w14:paraId="0BD1B0E3"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решение Ставропольского крайисполкома от 01.10.1981 № 702 «Об утверждении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w:t>
            </w:r>
          </w:p>
        </w:tc>
        <w:tc>
          <w:tcPr>
            <w:tcW w:w="1780" w:type="dxa"/>
            <w:shd w:val="clear" w:color="FFFFFF" w:fill="FFFFFF"/>
            <w:hideMark/>
          </w:tcPr>
          <w:p w14:paraId="067BAA31"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регионального значения</w:t>
            </w:r>
          </w:p>
        </w:tc>
        <w:tc>
          <w:tcPr>
            <w:tcW w:w="2738" w:type="dxa"/>
            <w:shd w:val="clear" w:color="FFFFFF" w:fill="FFFFFF"/>
            <w:hideMark/>
          </w:tcPr>
          <w:p w14:paraId="513CD658"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Ул. Кирова</w:t>
            </w:r>
          </w:p>
        </w:tc>
        <w:tc>
          <w:tcPr>
            <w:tcW w:w="1993" w:type="dxa"/>
            <w:shd w:val="clear" w:color="FFFFFF" w:fill="FFFFFF"/>
            <w:hideMark/>
          </w:tcPr>
          <w:p w14:paraId="25F7BED1"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приказ № 187 от 04.03.2022</w:t>
            </w:r>
          </w:p>
        </w:tc>
        <w:tc>
          <w:tcPr>
            <w:tcW w:w="2427" w:type="dxa"/>
            <w:shd w:val="clear" w:color="FFFF00" w:fill="FFFFFF"/>
            <w:hideMark/>
          </w:tcPr>
          <w:p w14:paraId="2C603164"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10 от 12.01.2023 г.</w:t>
            </w:r>
          </w:p>
        </w:tc>
      </w:tr>
      <w:tr w:rsidR="000C5E62" w:rsidRPr="00731FE2" w14:paraId="3A4F5CDF" w14:textId="77777777" w:rsidTr="000C5E62">
        <w:trPr>
          <w:trHeight w:val="2533"/>
        </w:trPr>
        <w:tc>
          <w:tcPr>
            <w:tcW w:w="704" w:type="dxa"/>
            <w:shd w:val="clear" w:color="auto" w:fill="auto"/>
            <w:noWrap/>
          </w:tcPr>
          <w:p w14:paraId="7FF5424F" w14:textId="77777777" w:rsidR="000C5E62" w:rsidRPr="00731FE2" w:rsidRDefault="000C5E62" w:rsidP="000C5E62">
            <w:pPr>
              <w:pStyle w:val="a3"/>
              <w:numPr>
                <w:ilvl w:val="0"/>
                <w:numId w:val="127"/>
              </w:numPr>
              <w:spacing w:line="240" w:lineRule="auto"/>
              <w:ind w:left="0" w:firstLine="0"/>
              <w:jc w:val="center"/>
              <w:rPr>
                <w:rFonts w:ascii="Times New Roman" w:eastAsia="Times New Roman" w:hAnsi="Times New Roman" w:cs="Times New Roman"/>
                <w:sz w:val="20"/>
                <w:szCs w:val="20"/>
                <w:lang w:eastAsia="ru-RU"/>
              </w:rPr>
            </w:pPr>
          </w:p>
        </w:tc>
        <w:tc>
          <w:tcPr>
            <w:tcW w:w="2581" w:type="dxa"/>
            <w:shd w:val="clear" w:color="FFFF00" w:fill="auto"/>
            <w:hideMark/>
          </w:tcPr>
          <w:p w14:paraId="7EFDC369"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Дом Сафонова, 1880</w:t>
            </w:r>
          </w:p>
        </w:tc>
        <w:tc>
          <w:tcPr>
            <w:tcW w:w="1977" w:type="dxa"/>
            <w:shd w:val="clear" w:color="FFFF00" w:fill="auto"/>
            <w:hideMark/>
          </w:tcPr>
          <w:p w14:paraId="683EA27B"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решение Ставропольского крайисполкома от 01.10.1981 № 702 «Об утверждении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w:t>
            </w:r>
          </w:p>
        </w:tc>
        <w:tc>
          <w:tcPr>
            <w:tcW w:w="1780" w:type="dxa"/>
            <w:shd w:val="clear" w:color="FFFF00" w:fill="auto"/>
            <w:hideMark/>
          </w:tcPr>
          <w:p w14:paraId="45EC34F4"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регионального значения</w:t>
            </w:r>
          </w:p>
        </w:tc>
        <w:tc>
          <w:tcPr>
            <w:tcW w:w="2738" w:type="dxa"/>
            <w:shd w:val="clear" w:color="FFFF00" w:fill="auto"/>
            <w:hideMark/>
          </w:tcPr>
          <w:p w14:paraId="11B8608A"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Коминтерна, 6</w:t>
            </w:r>
          </w:p>
        </w:tc>
        <w:tc>
          <w:tcPr>
            <w:tcW w:w="1993" w:type="dxa"/>
            <w:shd w:val="clear" w:color="FFFF00" w:fill="auto"/>
            <w:hideMark/>
          </w:tcPr>
          <w:p w14:paraId="695C5730"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727 от 15.07.2022</w:t>
            </w:r>
          </w:p>
        </w:tc>
        <w:tc>
          <w:tcPr>
            <w:tcW w:w="2427" w:type="dxa"/>
            <w:shd w:val="clear" w:color="FFFF00" w:fill="auto"/>
            <w:hideMark/>
          </w:tcPr>
          <w:p w14:paraId="1689AA1A"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в ЗРЗ "Курортный парк"</w:t>
            </w:r>
          </w:p>
        </w:tc>
      </w:tr>
      <w:tr w:rsidR="000C5E62" w:rsidRPr="00731FE2" w14:paraId="38256997" w14:textId="77777777" w:rsidTr="000C5E62">
        <w:trPr>
          <w:trHeight w:val="3696"/>
        </w:trPr>
        <w:tc>
          <w:tcPr>
            <w:tcW w:w="704" w:type="dxa"/>
            <w:shd w:val="clear" w:color="auto" w:fill="auto"/>
            <w:noWrap/>
          </w:tcPr>
          <w:p w14:paraId="11AA9E0C" w14:textId="77777777" w:rsidR="000C5E62" w:rsidRPr="00731FE2" w:rsidRDefault="000C5E62" w:rsidP="000C5E62">
            <w:pPr>
              <w:pStyle w:val="a3"/>
              <w:numPr>
                <w:ilvl w:val="0"/>
                <w:numId w:val="127"/>
              </w:numPr>
              <w:spacing w:line="240" w:lineRule="auto"/>
              <w:ind w:left="0" w:firstLine="0"/>
              <w:jc w:val="center"/>
              <w:rPr>
                <w:rFonts w:ascii="Times New Roman" w:eastAsia="Times New Roman" w:hAnsi="Times New Roman" w:cs="Times New Roman"/>
                <w:sz w:val="20"/>
                <w:szCs w:val="20"/>
                <w:lang w:eastAsia="ru-RU"/>
              </w:rPr>
            </w:pPr>
          </w:p>
        </w:tc>
        <w:tc>
          <w:tcPr>
            <w:tcW w:w="2581" w:type="dxa"/>
            <w:shd w:val="clear" w:color="FFFFFF" w:fill="FFFFFF"/>
            <w:hideMark/>
          </w:tcPr>
          <w:p w14:paraId="597DED54"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Санаторий «Кисловодск», 1934</w:t>
            </w:r>
          </w:p>
        </w:tc>
        <w:tc>
          <w:tcPr>
            <w:tcW w:w="1977" w:type="dxa"/>
            <w:shd w:val="clear" w:color="FFFFFF" w:fill="FFFFFF"/>
            <w:hideMark/>
          </w:tcPr>
          <w:p w14:paraId="4F06877B"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решение Ставропольского крайисполкома от 01.10.1981 № 702 «Об утверждении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w:t>
            </w:r>
          </w:p>
        </w:tc>
        <w:tc>
          <w:tcPr>
            <w:tcW w:w="1780" w:type="dxa"/>
            <w:shd w:val="clear" w:color="FFFFFF" w:fill="FFFFFF"/>
            <w:hideMark/>
          </w:tcPr>
          <w:p w14:paraId="48885CF7"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регионального значения</w:t>
            </w:r>
          </w:p>
        </w:tc>
        <w:tc>
          <w:tcPr>
            <w:tcW w:w="2738" w:type="dxa"/>
            <w:shd w:val="clear" w:color="FFFFFF" w:fill="FFFFFF"/>
            <w:hideMark/>
          </w:tcPr>
          <w:p w14:paraId="32633D0F"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Коминтерна, 15</w:t>
            </w:r>
          </w:p>
        </w:tc>
        <w:tc>
          <w:tcPr>
            <w:tcW w:w="1993" w:type="dxa"/>
            <w:shd w:val="clear" w:color="FFFFFF" w:fill="FFFFFF"/>
            <w:hideMark/>
          </w:tcPr>
          <w:p w14:paraId="242A2D4F"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внес.изм. 540 от 20.06.2023; от 17.08.2020 623</w:t>
            </w:r>
          </w:p>
        </w:tc>
        <w:tc>
          <w:tcPr>
            <w:tcW w:w="2427" w:type="dxa"/>
            <w:shd w:val="clear" w:color="FFFFFF" w:fill="FFFFFF"/>
            <w:hideMark/>
          </w:tcPr>
          <w:p w14:paraId="011906C5"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471 от 07.06.2023</w:t>
            </w:r>
          </w:p>
        </w:tc>
      </w:tr>
      <w:tr w:rsidR="000C5E62" w:rsidRPr="00731FE2" w14:paraId="4012371A" w14:textId="77777777" w:rsidTr="000C5E62">
        <w:trPr>
          <w:trHeight w:val="2250"/>
        </w:trPr>
        <w:tc>
          <w:tcPr>
            <w:tcW w:w="704" w:type="dxa"/>
            <w:shd w:val="clear" w:color="auto" w:fill="auto"/>
            <w:noWrap/>
          </w:tcPr>
          <w:p w14:paraId="0E509E46" w14:textId="77777777" w:rsidR="000C5E62" w:rsidRPr="00731FE2" w:rsidRDefault="000C5E62" w:rsidP="000C5E62">
            <w:pPr>
              <w:pStyle w:val="a3"/>
              <w:numPr>
                <w:ilvl w:val="0"/>
                <w:numId w:val="127"/>
              </w:numPr>
              <w:spacing w:line="240" w:lineRule="auto"/>
              <w:ind w:left="0" w:firstLine="0"/>
              <w:jc w:val="center"/>
              <w:rPr>
                <w:rFonts w:ascii="Times New Roman" w:eastAsia="Times New Roman" w:hAnsi="Times New Roman" w:cs="Times New Roman"/>
                <w:sz w:val="20"/>
                <w:szCs w:val="20"/>
                <w:lang w:eastAsia="ru-RU"/>
              </w:rPr>
            </w:pPr>
          </w:p>
        </w:tc>
        <w:tc>
          <w:tcPr>
            <w:tcW w:w="2581" w:type="dxa"/>
            <w:shd w:val="clear" w:color="000000" w:fill="auto"/>
            <w:hideMark/>
          </w:tcPr>
          <w:p w14:paraId="45D4AF42"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Павильон «Стеклянная струя», 1839</w:t>
            </w:r>
          </w:p>
        </w:tc>
        <w:tc>
          <w:tcPr>
            <w:tcW w:w="1977" w:type="dxa"/>
            <w:shd w:val="clear" w:color="000000" w:fill="auto"/>
            <w:hideMark/>
          </w:tcPr>
          <w:p w14:paraId="0B5449ED"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решение Ставропольского крайисполкома от 01.10.1981 № 702 «Об утверждении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w:t>
            </w:r>
          </w:p>
        </w:tc>
        <w:tc>
          <w:tcPr>
            <w:tcW w:w="1780" w:type="dxa"/>
            <w:shd w:val="clear" w:color="000000" w:fill="auto"/>
            <w:hideMark/>
          </w:tcPr>
          <w:p w14:paraId="3BA4BF7F"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регионального значения</w:t>
            </w:r>
          </w:p>
        </w:tc>
        <w:tc>
          <w:tcPr>
            <w:tcW w:w="2738" w:type="dxa"/>
            <w:shd w:val="clear" w:color="000000" w:fill="auto"/>
            <w:hideMark/>
          </w:tcPr>
          <w:p w14:paraId="3A534008"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Курортный парк</w:t>
            </w:r>
          </w:p>
        </w:tc>
        <w:tc>
          <w:tcPr>
            <w:tcW w:w="1993" w:type="dxa"/>
            <w:shd w:val="clear" w:color="008080" w:fill="auto"/>
            <w:hideMark/>
          </w:tcPr>
          <w:p w14:paraId="26CC4508"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приказ управление СК по охране ОКН от 15.06.2016 № 260</w:t>
            </w:r>
          </w:p>
        </w:tc>
        <w:tc>
          <w:tcPr>
            <w:tcW w:w="2427" w:type="dxa"/>
            <w:shd w:val="clear" w:color="000000" w:fill="auto"/>
            <w:hideMark/>
          </w:tcPr>
          <w:p w14:paraId="0580FA62"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в зонах охраны "Курортный парк"</w:t>
            </w:r>
          </w:p>
        </w:tc>
      </w:tr>
      <w:tr w:rsidR="000C5E62" w:rsidRPr="00731FE2" w14:paraId="0B79BAD8" w14:textId="77777777" w:rsidTr="000C5E62">
        <w:trPr>
          <w:trHeight w:val="3696"/>
        </w:trPr>
        <w:tc>
          <w:tcPr>
            <w:tcW w:w="704" w:type="dxa"/>
            <w:shd w:val="clear" w:color="auto" w:fill="auto"/>
            <w:noWrap/>
          </w:tcPr>
          <w:p w14:paraId="15D8AE73" w14:textId="77777777" w:rsidR="000C5E62" w:rsidRPr="00731FE2" w:rsidRDefault="000C5E62" w:rsidP="000C5E62">
            <w:pPr>
              <w:pStyle w:val="a3"/>
              <w:numPr>
                <w:ilvl w:val="0"/>
                <w:numId w:val="127"/>
              </w:numPr>
              <w:spacing w:line="240" w:lineRule="auto"/>
              <w:ind w:left="0" w:firstLine="0"/>
              <w:jc w:val="center"/>
              <w:rPr>
                <w:rFonts w:ascii="Times New Roman" w:eastAsia="Times New Roman" w:hAnsi="Times New Roman" w:cs="Times New Roman"/>
                <w:sz w:val="20"/>
                <w:szCs w:val="20"/>
                <w:lang w:eastAsia="ru-RU"/>
              </w:rPr>
            </w:pPr>
          </w:p>
        </w:tc>
        <w:tc>
          <w:tcPr>
            <w:tcW w:w="2581" w:type="dxa"/>
            <w:shd w:val="clear" w:color="000000" w:fill="auto"/>
            <w:hideMark/>
          </w:tcPr>
          <w:p w14:paraId="34A928A0"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Павильон «Храм воздуха», 1912</w:t>
            </w:r>
          </w:p>
        </w:tc>
        <w:tc>
          <w:tcPr>
            <w:tcW w:w="1977" w:type="dxa"/>
            <w:shd w:val="clear" w:color="000000" w:fill="auto"/>
            <w:hideMark/>
          </w:tcPr>
          <w:p w14:paraId="58885A77"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решение Ставропольского крайисполкома от 01.10.1981 № 702 «Об утверждении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w:t>
            </w:r>
          </w:p>
        </w:tc>
        <w:tc>
          <w:tcPr>
            <w:tcW w:w="1780" w:type="dxa"/>
            <w:shd w:val="clear" w:color="000000" w:fill="auto"/>
            <w:hideMark/>
          </w:tcPr>
          <w:p w14:paraId="020366FE"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регионального значения</w:t>
            </w:r>
          </w:p>
        </w:tc>
        <w:tc>
          <w:tcPr>
            <w:tcW w:w="2738" w:type="dxa"/>
            <w:shd w:val="clear" w:color="000000" w:fill="auto"/>
            <w:hideMark/>
          </w:tcPr>
          <w:p w14:paraId="5792D6FE"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Курортный парк</w:t>
            </w:r>
          </w:p>
        </w:tc>
        <w:tc>
          <w:tcPr>
            <w:tcW w:w="1993" w:type="dxa"/>
            <w:shd w:val="clear" w:color="000000" w:fill="auto"/>
            <w:hideMark/>
          </w:tcPr>
          <w:p w14:paraId="374EBB5F"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908 от 18.08.2022</w:t>
            </w:r>
          </w:p>
        </w:tc>
        <w:tc>
          <w:tcPr>
            <w:tcW w:w="2427" w:type="dxa"/>
            <w:shd w:val="clear" w:color="000000" w:fill="auto"/>
            <w:hideMark/>
          </w:tcPr>
          <w:p w14:paraId="627707F9"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в зонах охраны "Курортный парк"</w:t>
            </w:r>
          </w:p>
        </w:tc>
      </w:tr>
      <w:tr w:rsidR="000C5E62" w:rsidRPr="00731FE2" w14:paraId="1CD45644" w14:textId="77777777" w:rsidTr="000C5E62">
        <w:trPr>
          <w:trHeight w:val="2675"/>
        </w:trPr>
        <w:tc>
          <w:tcPr>
            <w:tcW w:w="704" w:type="dxa"/>
            <w:shd w:val="clear" w:color="auto" w:fill="auto"/>
            <w:noWrap/>
          </w:tcPr>
          <w:p w14:paraId="5801ACB6" w14:textId="77777777" w:rsidR="000C5E62" w:rsidRPr="00731FE2" w:rsidRDefault="000C5E62" w:rsidP="000C5E62">
            <w:pPr>
              <w:pStyle w:val="a3"/>
              <w:numPr>
                <w:ilvl w:val="0"/>
                <w:numId w:val="127"/>
              </w:numPr>
              <w:spacing w:line="240" w:lineRule="auto"/>
              <w:ind w:left="0" w:firstLine="0"/>
              <w:jc w:val="center"/>
              <w:rPr>
                <w:rFonts w:ascii="Times New Roman" w:eastAsia="Times New Roman" w:hAnsi="Times New Roman" w:cs="Times New Roman"/>
                <w:sz w:val="20"/>
                <w:szCs w:val="20"/>
                <w:lang w:eastAsia="ru-RU"/>
              </w:rPr>
            </w:pPr>
          </w:p>
        </w:tc>
        <w:tc>
          <w:tcPr>
            <w:tcW w:w="2581" w:type="dxa"/>
            <w:shd w:val="clear" w:color="000000" w:fill="auto"/>
            <w:hideMark/>
          </w:tcPr>
          <w:p w14:paraId="534B9D74"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Павильон «Красное солнышко», Неизвест.</w:t>
            </w:r>
          </w:p>
        </w:tc>
        <w:tc>
          <w:tcPr>
            <w:tcW w:w="1977" w:type="dxa"/>
            <w:shd w:val="clear" w:color="000000" w:fill="auto"/>
            <w:hideMark/>
          </w:tcPr>
          <w:p w14:paraId="16E45518"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решение Ставропольского крайисполкома от 01.10.1981 № 702 «Об утверждении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w:t>
            </w:r>
          </w:p>
        </w:tc>
        <w:tc>
          <w:tcPr>
            <w:tcW w:w="1780" w:type="dxa"/>
            <w:shd w:val="clear" w:color="000000" w:fill="auto"/>
            <w:hideMark/>
          </w:tcPr>
          <w:p w14:paraId="50A1270D"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регионального значения</w:t>
            </w:r>
          </w:p>
        </w:tc>
        <w:tc>
          <w:tcPr>
            <w:tcW w:w="2738" w:type="dxa"/>
            <w:shd w:val="clear" w:color="000000" w:fill="auto"/>
            <w:hideMark/>
          </w:tcPr>
          <w:p w14:paraId="5163F371"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Курортный парк</w:t>
            </w:r>
          </w:p>
        </w:tc>
        <w:tc>
          <w:tcPr>
            <w:tcW w:w="1993" w:type="dxa"/>
            <w:shd w:val="clear" w:color="008080" w:fill="auto"/>
            <w:hideMark/>
          </w:tcPr>
          <w:p w14:paraId="027F081A"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приказ управление СК по охране ОКН от 15.06.2016 № 250</w:t>
            </w:r>
          </w:p>
        </w:tc>
        <w:tc>
          <w:tcPr>
            <w:tcW w:w="2427" w:type="dxa"/>
            <w:shd w:val="clear" w:color="000000" w:fill="auto"/>
            <w:hideMark/>
          </w:tcPr>
          <w:p w14:paraId="5E667CF3"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в зонах охраны "Курортный парк"</w:t>
            </w:r>
          </w:p>
        </w:tc>
      </w:tr>
      <w:tr w:rsidR="000C5E62" w:rsidRPr="00731FE2" w14:paraId="31CEFD53" w14:textId="77777777" w:rsidTr="000C5E62">
        <w:trPr>
          <w:trHeight w:val="3696"/>
        </w:trPr>
        <w:tc>
          <w:tcPr>
            <w:tcW w:w="704" w:type="dxa"/>
            <w:shd w:val="clear" w:color="auto" w:fill="auto"/>
            <w:noWrap/>
          </w:tcPr>
          <w:p w14:paraId="18FE2CF9" w14:textId="77777777" w:rsidR="000C5E62" w:rsidRPr="00731FE2" w:rsidRDefault="000C5E62" w:rsidP="000C5E62">
            <w:pPr>
              <w:pStyle w:val="a3"/>
              <w:numPr>
                <w:ilvl w:val="0"/>
                <w:numId w:val="127"/>
              </w:numPr>
              <w:spacing w:line="240" w:lineRule="auto"/>
              <w:ind w:left="0" w:firstLine="0"/>
              <w:jc w:val="center"/>
              <w:rPr>
                <w:rFonts w:ascii="Times New Roman" w:eastAsia="Times New Roman" w:hAnsi="Times New Roman" w:cs="Times New Roman"/>
                <w:sz w:val="20"/>
                <w:szCs w:val="20"/>
                <w:lang w:eastAsia="ru-RU"/>
              </w:rPr>
            </w:pPr>
          </w:p>
        </w:tc>
        <w:tc>
          <w:tcPr>
            <w:tcW w:w="2581" w:type="dxa"/>
            <w:shd w:val="clear" w:color="FFFFFF" w:fill="FFFFFF"/>
            <w:hideMark/>
          </w:tcPr>
          <w:p w14:paraId="6A0FFDC2"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Здание железнодорожного вокзала, 1895</w:t>
            </w:r>
          </w:p>
        </w:tc>
        <w:tc>
          <w:tcPr>
            <w:tcW w:w="1977" w:type="dxa"/>
            <w:shd w:val="clear" w:color="FFFFFF" w:fill="FFFFFF"/>
            <w:hideMark/>
          </w:tcPr>
          <w:p w14:paraId="0286E940"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решение Ставропольского крайисполкома от 01.10.1981 № 702 «Об утверждении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w:t>
            </w:r>
          </w:p>
        </w:tc>
        <w:tc>
          <w:tcPr>
            <w:tcW w:w="1780" w:type="dxa"/>
            <w:shd w:val="clear" w:color="FFFFFF" w:fill="FFFFFF"/>
            <w:hideMark/>
          </w:tcPr>
          <w:p w14:paraId="0CAEF3B3"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регионального значения</w:t>
            </w:r>
          </w:p>
        </w:tc>
        <w:tc>
          <w:tcPr>
            <w:tcW w:w="2738" w:type="dxa"/>
            <w:shd w:val="clear" w:color="FFFFFF" w:fill="FFFFFF"/>
            <w:hideMark/>
          </w:tcPr>
          <w:p w14:paraId="2EC7DD64"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ст. Кисловодск, ул. Вокзальная, 15 (Литер А, Б, В)</w:t>
            </w:r>
          </w:p>
        </w:tc>
        <w:tc>
          <w:tcPr>
            <w:tcW w:w="1993" w:type="dxa"/>
            <w:shd w:val="clear" w:color="FFFFFF" w:fill="FFFFFF"/>
            <w:hideMark/>
          </w:tcPr>
          <w:p w14:paraId="44851B1D"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496 от 25.05.2022</w:t>
            </w:r>
          </w:p>
        </w:tc>
        <w:tc>
          <w:tcPr>
            <w:tcW w:w="2427" w:type="dxa"/>
            <w:shd w:val="clear" w:color="FFFFFF" w:fill="FFFFFF"/>
            <w:hideMark/>
          </w:tcPr>
          <w:p w14:paraId="416DF14D"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517 от 15.06.2023; 211 от 27.03.2023</w:t>
            </w:r>
          </w:p>
        </w:tc>
      </w:tr>
      <w:tr w:rsidR="000C5E62" w:rsidRPr="00731FE2" w14:paraId="29499F7A" w14:textId="77777777" w:rsidTr="000C5E62">
        <w:trPr>
          <w:trHeight w:val="2249"/>
        </w:trPr>
        <w:tc>
          <w:tcPr>
            <w:tcW w:w="704" w:type="dxa"/>
            <w:shd w:val="clear" w:color="auto" w:fill="auto"/>
            <w:noWrap/>
          </w:tcPr>
          <w:p w14:paraId="6CD937A2" w14:textId="77777777" w:rsidR="000C5E62" w:rsidRPr="00731FE2" w:rsidRDefault="000C5E62" w:rsidP="000C5E62">
            <w:pPr>
              <w:pStyle w:val="a3"/>
              <w:numPr>
                <w:ilvl w:val="0"/>
                <w:numId w:val="127"/>
              </w:numPr>
              <w:spacing w:line="240" w:lineRule="auto"/>
              <w:ind w:left="0" w:firstLine="0"/>
              <w:jc w:val="center"/>
              <w:rPr>
                <w:rFonts w:ascii="Times New Roman" w:eastAsia="Times New Roman" w:hAnsi="Times New Roman" w:cs="Times New Roman"/>
                <w:sz w:val="20"/>
                <w:szCs w:val="20"/>
                <w:lang w:eastAsia="ru-RU"/>
              </w:rPr>
            </w:pPr>
          </w:p>
        </w:tc>
        <w:tc>
          <w:tcPr>
            <w:tcW w:w="2581" w:type="dxa"/>
            <w:shd w:val="clear" w:color="000000" w:fill="auto"/>
            <w:hideMark/>
          </w:tcPr>
          <w:p w14:paraId="643843ED"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Дача Кшесинской, 1906</w:t>
            </w:r>
          </w:p>
        </w:tc>
        <w:tc>
          <w:tcPr>
            <w:tcW w:w="1977" w:type="dxa"/>
            <w:shd w:val="clear" w:color="000000" w:fill="auto"/>
            <w:hideMark/>
          </w:tcPr>
          <w:p w14:paraId="5D92C186"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решение Ставропольского крайисполкома от 01.10.1981 № 702 «Об утверждении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w:t>
            </w:r>
          </w:p>
        </w:tc>
        <w:tc>
          <w:tcPr>
            <w:tcW w:w="1780" w:type="dxa"/>
            <w:shd w:val="clear" w:color="000000" w:fill="auto"/>
            <w:hideMark/>
          </w:tcPr>
          <w:p w14:paraId="62171721"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регионального значения</w:t>
            </w:r>
          </w:p>
        </w:tc>
        <w:tc>
          <w:tcPr>
            <w:tcW w:w="2738" w:type="dxa"/>
            <w:shd w:val="clear" w:color="000000" w:fill="auto"/>
            <w:hideMark/>
          </w:tcPr>
          <w:p w14:paraId="2ADF4AF2"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 Ленина, 13</w:t>
            </w:r>
          </w:p>
        </w:tc>
        <w:tc>
          <w:tcPr>
            <w:tcW w:w="1993" w:type="dxa"/>
            <w:shd w:val="clear" w:color="000000" w:fill="auto"/>
            <w:hideMark/>
          </w:tcPr>
          <w:p w14:paraId="534AE65A"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1183 от 06.10.2022</w:t>
            </w:r>
          </w:p>
        </w:tc>
        <w:tc>
          <w:tcPr>
            <w:tcW w:w="2427" w:type="dxa"/>
            <w:shd w:val="clear" w:color="auto" w:fill="auto"/>
            <w:hideMark/>
          </w:tcPr>
          <w:p w14:paraId="7B73ECA0"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В соответствии со ст. 34.1 ФЗ от 25.06.2002 № 73-ФЗ «Об объектах культурного наследия (памятниках истории и культуры) народов РФ» действуют защитные зоны 100 м</w:t>
            </w:r>
          </w:p>
        </w:tc>
      </w:tr>
      <w:tr w:rsidR="000C5E62" w:rsidRPr="00731FE2" w14:paraId="3C83B821" w14:textId="77777777" w:rsidTr="000C5E62">
        <w:trPr>
          <w:trHeight w:val="3696"/>
        </w:trPr>
        <w:tc>
          <w:tcPr>
            <w:tcW w:w="704" w:type="dxa"/>
            <w:shd w:val="clear" w:color="auto" w:fill="auto"/>
            <w:noWrap/>
          </w:tcPr>
          <w:p w14:paraId="0877CDC9" w14:textId="77777777" w:rsidR="000C5E62" w:rsidRPr="00731FE2" w:rsidRDefault="000C5E62" w:rsidP="000C5E62">
            <w:pPr>
              <w:pStyle w:val="a3"/>
              <w:numPr>
                <w:ilvl w:val="0"/>
                <w:numId w:val="127"/>
              </w:numPr>
              <w:spacing w:line="240" w:lineRule="auto"/>
              <w:ind w:left="0" w:firstLine="0"/>
              <w:jc w:val="center"/>
              <w:rPr>
                <w:rFonts w:ascii="Times New Roman" w:eastAsia="Times New Roman" w:hAnsi="Times New Roman" w:cs="Times New Roman"/>
                <w:sz w:val="20"/>
                <w:szCs w:val="20"/>
                <w:lang w:eastAsia="ru-RU"/>
              </w:rPr>
            </w:pPr>
          </w:p>
        </w:tc>
        <w:tc>
          <w:tcPr>
            <w:tcW w:w="2581" w:type="dxa"/>
            <w:shd w:val="clear" w:color="000000" w:fill="auto"/>
            <w:hideMark/>
          </w:tcPr>
          <w:p w14:paraId="771E4FEA"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Бывшее здание санатория «Россия», 1935</w:t>
            </w:r>
          </w:p>
        </w:tc>
        <w:tc>
          <w:tcPr>
            <w:tcW w:w="1977" w:type="dxa"/>
            <w:shd w:val="clear" w:color="000000" w:fill="auto"/>
            <w:hideMark/>
          </w:tcPr>
          <w:p w14:paraId="60ECB12D"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решение Ставропольского крайисполкома от 01.10.1981 № 702 «Об утверждении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w:t>
            </w:r>
          </w:p>
        </w:tc>
        <w:tc>
          <w:tcPr>
            <w:tcW w:w="1780" w:type="dxa"/>
            <w:shd w:val="clear" w:color="000000" w:fill="auto"/>
            <w:hideMark/>
          </w:tcPr>
          <w:p w14:paraId="7355FE36"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регионального значения</w:t>
            </w:r>
          </w:p>
        </w:tc>
        <w:tc>
          <w:tcPr>
            <w:tcW w:w="2738" w:type="dxa"/>
            <w:shd w:val="clear" w:color="000000" w:fill="auto"/>
            <w:hideMark/>
          </w:tcPr>
          <w:p w14:paraId="450648EA"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Ленина, 15 - 17</w:t>
            </w:r>
          </w:p>
        </w:tc>
        <w:tc>
          <w:tcPr>
            <w:tcW w:w="1993" w:type="dxa"/>
            <w:shd w:val="clear" w:color="000000" w:fill="auto"/>
            <w:hideMark/>
          </w:tcPr>
          <w:p w14:paraId="1D28170C"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приказ управления СК по охране ОКН от 15.06.2016 г. № 264; приказ управления СК по охране ОКН от 04.04.2022 г. № 323</w:t>
            </w:r>
          </w:p>
        </w:tc>
        <w:tc>
          <w:tcPr>
            <w:tcW w:w="2427" w:type="dxa"/>
            <w:shd w:val="clear" w:color="000000" w:fill="auto"/>
            <w:hideMark/>
          </w:tcPr>
          <w:p w14:paraId="2608D943"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546 от 07.06.2024</w:t>
            </w:r>
          </w:p>
        </w:tc>
      </w:tr>
      <w:tr w:rsidR="000C5E62" w:rsidRPr="00731FE2" w14:paraId="3F0A792F" w14:textId="77777777" w:rsidTr="000C5E62">
        <w:trPr>
          <w:trHeight w:val="2533"/>
        </w:trPr>
        <w:tc>
          <w:tcPr>
            <w:tcW w:w="704" w:type="dxa"/>
            <w:shd w:val="clear" w:color="auto" w:fill="auto"/>
            <w:noWrap/>
          </w:tcPr>
          <w:p w14:paraId="243BAD32" w14:textId="77777777" w:rsidR="000C5E62" w:rsidRPr="00731FE2" w:rsidRDefault="000C5E62" w:rsidP="000C5E62">
            <w:pPr>
              <w:pStyle w:val="a3"/>
              <w:numPr>
                <w:ilvl w:val="0"/>
                <w:numId w:val="127"/>
              </w:numPr>
              <w:spacing w:line="240" w:lineRule="auto"/>
              <w:ind w:left="0" w:firstLine="0"/>
              <w:jc w:val="center"/>
              <w:rPr>
                <w:rFonts w:ascii="Times New Roman" w:eastAsia="Times New Roman" w:hAnsi="Times New Roman" w:cs="Times New Roman"/>
                <w:sz w:val="20"/>
                <w:szCs w:val="20"/>
                <w:lang w:eastAsia="ru-RU"/>
              </w:rPr>
            </w:pPr>
          </w:p>
        </w:tc>
        <w:tc>
          <w:tcPr>
            <w:tcW w:w="2581" w:type="dxa"/>
            <w:shd w:val="clear" w:color="000000" w:fill="auto"/>
            <w:hideMark/>
          </w:tcPr>
          <w:p w14:paraId="20701D86"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Здание санатория «Родина», 1935</w:t>
            </w:r>
          </w:p>
        </w:tc>
        <w:tc>
          <w:tcPr>
            <w:tcW w:w="1977" w:type="dxa"/>
            <w:shd w:val="clear" w:color="000000" w:fill="auto"/>
            <w:hideMark/>
          </w:tcPr>
          <w:p w14:paraId="082966AA"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решение Ставропольского крайисполкома от 01.10.1981 № 702 «Об утверждении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w:t>
            </w:r>
          </w:p>
        </w:tc>
        <w:tc>
          <w:tcPr>
            <w:tcW w:w="1780" w:type="dxa"/>
            <w:shd w:val="clear" w:color="000000" w:fill="auto"/>
            <w:hideMark/>
          </w:tcPr>
          <w:p w14:paraId="37543816"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регионального значения</w:t>
            </w:r>
          </w:p>
        </w:tc>
        <w:tc>
          <w:tcPr>
            <w:tcW w:w="2738" w:type="dxa"/>
            <w:shd w:val="clear" w:color="000000" w:fill="auto"/>
            <w:hideMark/>
          </w:tcPr>
          <w:p w14:paraId="34F883E7"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Ленина, 16</w:t>
            </w:r>
          </w:p>
        </w:tc>
        <w:tc>
          <w:tcPr>
            <w:tcW w:w="1993" w:type="dxa"/>
            <w:shd w:val="clear" w:color="000000" w:fill="auto"/>
            <w:hideMark/>
          </w:tcPr>
          <w:p w14:paraId="3CE8FB93"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791 от 25.07.2022</w:t>
            </w:r>
          </w:p>
        </w:tc>
        <w:tc>
          <w:tcPr>
            <w:tcW w:w="2427" w:type="dxa"/>
            <w:shd w:val="clear" w:color="000000" w:fill="auto"/>
            <w:hideMark/>
          </w:tcPr>
          <w:p w14:paraId="51081B41"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17 от 11.01.2024</w:t>
            </w:r>
          </w:p>
        </w:tc>
      </w:tr>
      <w:tr w:rsidR="000C5E62" w:rsidRPr="00731FE2" w14:paraId="4F137CD6" w14:textId="77777777" w:rsidTr="000C5E62">
        <w:trPr>
          <w:trHeight w:val="3696"/>
        </w:trPr>
        <w:tc>
          <w:tcPr>
            <w:tcW w:w="704" w:type="dxa"/>
            <w:shd w:val="clear" w:color="auto" w:fill="auto"/>
            <w:noWrap/>
          </w:tcPr>
          <w:p w14:paraId="0FD7E17C" w14:textId="77777777" w:rsidR="000C5E62" w:rsidRPr="00731FE2" w:rsidRDefault="000C5E62" w:rsidP="000C5E62">
            <w:pPr>
              <w:pStyle w:val="a3"/>
              <w:numPr>
                <w:ilvl w:val="0"/>
                <w:numId w:val="127"/>
              </w:numPr>
              <w:spacing w:line="240" w:lineRule="auto"/>
              <w:ind w:left="0" w:firstLine="0"/>
              <w:jc w:val="center"/>
              <w:rPr>
                <w:rFonts w:ascii="Times New Roman" w:eastAsia="Times New Roman" w:hAnsi="Times New Roman" w:cs="Times New Roman"/>
                <w:sz w:val="20"/>
                <w:szCs w:val="20"/>
                <w:lang w:eastAsia="ru-RU"/>
              </w:rPr>
            </w:pPr>
          </w:p>
        </w:tc>
        <w:tc>
          <w:tcPr>
            <w:tcW w:w="2581" w:type="dxa"/>
            <w:shd w:val="clear" w:color="000000" w:fill="auto"/>
            <w:hideMark/>
          </w:tcPr>
          <w:p w14:paraId="67F20A9E"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Здание санатория им. Кирова, 1936</w:t>
            </w:r>
          </w:p>
        </w:tc>
        <w:tc>
          <w:tcPr>
            <w:tcW w:w="1977" w:type="dxa"/>
            <w:shd w:val="clear" w:color="000000" w:fill="auto"/>
            <w:hideMark/>
          </w:tcPr>
          <w:p w14:paraId="4B8E2E8F"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решение Ставропольского крайисполкома от 01.10.1981 № 702 «Об утверждении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w:t>
            </w:r>
          </w:p>
        </w:tc>
        <w:tc>
          <w:tcPr>
            <w:tcW w:w="1780" w:type="dxa"/>
            <w:shd w:val="clear" w:color="000000" w:fill="auto"/>
            <w:hideMark/>
          </w:tcPr>
          <w:p w14:paraId="289CF1A7"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регионального значения</w:t>
            </w:r>
          </w:p>
        </w:tc>
        <w:tc>
          <w:tcPr>
            <w:tcW w:w="2738" w:type="dxa"/>
            <w:shd w:val="clear" w:color="000000" w:fill="auto"/>
            <w:hideMark/>
          </w:tcPr>
          <w:p w14:paraId="27EF5502"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Ленина, 23</w:t>
            </w:r>
          </w:p>
        </w:tc>
        <w:tc>
          <w:tcPr>
            <w:tcW w:w="1993" w:type="dxa"/>
            <w:shd w:val="clear" w:color="008080" w:fill="auto"/>
            <w:hideMark/>
          </w:tcPr>
          <w:p w14:paraId="239CF031"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№264 от 15.06.2016 г., №707 от 15.07.2022 г., №323 от 04.04.2022 г.</w:t>
            </w:r>
          </w:p>
        </w:tc>
        <w:tc>
          <w:tcPr>
            <w:tcW w:w="2427" w:type="dxa"/>
            <w:shd w:val="clear" w:color="000000" w:fill="auto"/>
            <w:hideMark/>
          </w:tcPr>
          <w:p w14:paraId="56B73FB2"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1239 от 05.12.2023</w:t>
            </w:r>
          </w:p>
        </w:tc>
      </w:tr>
      <w:tr w:rsidR="000C5E62" w:rsidRPr="00731FE2" w14:paraId="64BD8E64" w14:textId="77777777" w:rsidTr="000C5E62">
        <w:trPr>
          <w:trHeight w:val="2391"/>
        </w:trPr>
        <w:tc>
          <w:tcPr>
            <w:tcW w:w="704" w:type="dxa"/>
            <w:shd w:val="clear" w:color="auto" w:fill="auto"/>
            <w:noWrap/>
          </w:tcPr>
          <w:p w14:paraId="39A8EA2B" w14:textId="77777777" w:rsidR="000C5E62" w:rsidRPr="00731FE2" w:rsidRDefault="000C5E62" w:rsidP="000C5E62">
            <w:pPr>
              <w:pStyle w:val="a3"/>
              <w:numPr>
                <w:ilvl w:val="0"/>
                <w:numId w:val="127"/>
              </w:numPr>
              <w:spacing w:line="240" w:lineRule="auto"/>
              <w:ind w:left="0" w:firstLine="0"/>
              <w:jc w:val="center"/>
              <w:rPr>
                <w:rFonts w:ascii="Times New Roman" w:eastAsia="Times New Roman" w:hAnsi="Times New Roman" w:cs="Times New Roman"/>
                <w:sz w:val="20"/>
                <w:szCs w:val="20"/>
                <w:lang w:eastAsia="ru-RU"/>
              </w:rPr>
            </w:pPr>
          </w:p>
        </w:tc>
        <w:tc>
          <w:tcPr>
            <w:tcW w:w="2581" w:type="dxa"/>
            <w:shd w:val="clear" w:color="000000" w:fill="auto"/>
            <w:hideMark/>
          </w:tcPr>
          <w:p w14:paraId="202C57F4"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Колоннада, 1912</w:t>
            </w:r>
          </w:p>
        </w:tc>
        <w:tc>
          <w:tcPr>
            <w:tcW w:w="1977" w:type="dxa"/>
            <w:shd w:val="clear" w:color="000000" w:fill="auto"/>
            <w:hideMark/>
          </w:tcPr>
          <w:p w14:paraId="6036E76F"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решение Ставропольского крайисполкома от 01.10.1981 № 702 «Об утверждении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w:t>
            </w:r>
          </w:p>
        </w:tc>
        <w:tc>
          <w:tcPr>
            <w:tcW w:w="1780" w:type="dxa"/>
            <w:shd w:val="clear" w:color="000000" w:fill="auto"/>
            <w:hideMark/>
          </w:tcPr>
          <w:p w14:paraId="35596537"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регионального значения</w:t>
            </w:r>
          </w:p>
        </w:tc>
        <w:tc>
          <w:tcPr>
            <w:tcW w:w="2738" w:type="dxa"/>
            <w:shd w:val="clear" w:color="000000" w:fill="auto"/>
            <w:hideMark/>
          </w:tcPr>
          <w:p w14:paraId="418CCB4B"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 Ленина</w:t>
            </w:r>
          </w:p>
        </w:tc>
        <w:tc>
          <w:tcPr>
            <w:tcW w:w="1993" w:type="dxa"/>
            <w:shd w:val="clear" w:color="008080" w:fill="auto"/>
            <w:hideMark/>
          </w:tcPr>
          <w:p w14:paraId="515FCDB1"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приказ управления СК по охране ОКН от 31.05.16 № 215</w:t>
            </w:r>
          </w:p>
        </w:tc>
        <w:tc>
          <w:tcPr>
            <w:tcW w:w="2427" w:type="dxa"/>
            <w:shd w:val="clear" w:color="000000" w:fill="auto"/>
            <w:hideMark/>
          </w:tcPr>
          <w:p w14:paraId="6362EA26"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в ЗРЗ "Курортный парк"</w:t>
            </w:r>
          </w:p>
        </w:tc>
      </w:tr>
      <w:tr w:rsidR="000C5E62" w:rsidRPr="00731FE2" w14:paraId="4DD75471" w14:textId="77777777" w:rsidTr="000C5E62">
        <w:trPr>
          <w:trHeight w:val="3696"/>
        </w:trPr>
        <w:tc>
          <w:tcPr>
            <w:tcW w:w="704" w:type="dxa"/>
            <w:shd w:val="clear" w:color="auto" w:fill="auto"/>
            <w:noWrap/>
          </w:tcPr>
          <w:p w14:paraId="570C8352" w14:textId="77777777" w:rsidR="000C5E62" w:rsidRPr="00731FE2" w:rsidRDefault="000C5E62" w:rsidP="000C5E62">
            <w:pPr>
              <w:pStyle w:val="a3"/>
              <w:numPr>
                <w:ilvl w:val="0"/>
                <w:numId w:val="127"/>
              </w:numPr>
              <w:spacing w:line="240" w:lineRule="auto"/>
              <w:ind w:left="0" w:firstLine="0"/>
              <w:jc w:val="center"/>
              <w:rPr>
                <w:rFonts w:ascii="Times New Roman" w:eastAsia="Times New Roman" w:hAnsi="Times New Roman" w:cs="Times New Roman"/>
                <w:sz w:val="20"/>
                <w:szCs w:val="20"/>
                <w:lang w:eastAsia="ru-RU"/>
              </w:rPr>
            </w:pPr>
          </w:p>
        </w:tc>
        <w:tc>
          <w:tcPr>
            <w:tcW w:w="2581" w:type="dxa"/>
            <w:shd w:val="clear" w:color="000000" w:fill="auto"/>
            <w:hideMark/>
          </w:tcPr>
          <w:p w14:paraId="1616B756"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Дача Дундукова, Неизвест.</w:t>
            </w:r>
          </w:p>
        </w:tc>
        <w:tc>
          <w:tcPr>
            <w:tcW w:w="1977" w:type="dxa"/>
            <w:shd w:val="clear" w:color="000000" w:fill="auto"/>
            <w:hideMark/>
          </w:tcPr>
          <w:p w14:paraId="008409DB"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решение Ставропольского крайисполкома от 01.10.1981 № 702 «Об утверждении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w:t>
            </w:r>
          </w:p>
        </w:tc>
        <w:tc>
          <w:tcPr>
            <w:tcW w:w="1780" w:type="dxa"/>
            <w:shd w:val="clear" w:color="000000" w:fill="auto"/>
            <w:hideMark/>
          </w:tcPr>
          <w:p w14:paraId="647ABF18"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регионального значения</w:t>
            </w:r>
          </w:p>
        </w:tc>
        <w:tc>
          <w:tcPr>
            <w:tcW w:w="2738" w:type="dxa"/>
            <w:shd w:val="clear" w:color="000000" w:fill="auto"/>
            <w:hideMark/>
          </w:tcPr>
          <w:p w14:paraId="5401DFD3"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Лермонтова, 2</w:t>
            </w:r>
          </w:p>
        </w:tc>
        <w:tc>
          <w:tcPr>
            <w:tcW w:w="1993" w:type="dxa"/>
            <w:shd w:val="clear" w:color="000000" w:fill="auto"/>
            <w:hideMark/>
          </w:tcPr>
          <w:p w14:paraId="66F47A5E"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724 от 15.07.2022</w:t>
            </w:r>
          </w:p>
        </w:tc>
        <w:tc>
          <w:tcPr>
            <w:tcW w:w="2427" w:type="dxa"/>
            <w:shd w:val="clear" w:color="auto" w:fill="auto"/>
            <w:hideMark/>
          </w:tcPr>
          <w:p w14:paraId="4C074462"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В соответствии со ст. 34.1 ФЗ от 25.06.2002 № 73-ФЗ «Об объектах культурного наследия (памятниках истории и культуры) народов РФ» действуют защитные зоны 100 м</w:t>
            </w:r>
          </w:p>
        </w:tc>
      </w:tr>
      <w:tr w:rsidR="000C5E62" w:rsidRPr="00731FE2" w14:paraId="40F0546D" w14:textId="77777777" w:rsidTr="000C5E62">
        <w:trPr>
          <w:trHeight w:val="2675"/>
        </w:trPr>
        <w:tc>
          <w:tcPr>
            <w:tcW w:w="704" w:type="dxa"/>
            <w:shd w:val="clear" w:color="auto" w:fill="auto"/>
            <w:noWrap/>
          </w:tcPr>
          <w:p w14:paraId="58CF6205" w14:textId="77777777" w:rsidR="000C5E62" w:rsidRPr="00731FE2" w:rsidRDefault="000C5E62" w:rsidP="000C5E62">
            <w:pPr>
              <w:pStyle w:val="a3"/>
              <w:numPr>
                <w:ilvl w:val="0"/>
                <w:numId w:val="127"/>
              </w:numPr>
              <w:spacing w:line="240" w:lineRule="auto"/>
              <w:ind w:left="0" w:firstLine="0"/>
              <w:jc w:val="center"/>
              <w:rPr>
                <w:rFonts w:ascii="Times New Roman" w:eastAsia="Times New Roman" w:hAnsi="Times New Roman" w:cs="Times New Roman"/>
                <w:sz w:val="20"/>
                <w:szCs w:val="20"/>
                <w:lang w:eastAsia="ru-RU"/>
              </w:rPr>
            </w:pPr>
          </w:p>
        </w:tc>
        <w:tc>
          <w:tcPr>
            <w:tcW w:w="2581" w:type="dxa"/>
            <w:shd w:val="clear" w:color="000000" w:fill="auto"/>
            <w:hideMark/>
          </w:tcPr>
          <w:p w14:paraId="26F03408"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Жилой дом, Неивест.</w:t>
            </w:r>
          </w:p>
        </w:tc>
        <w:tc>
          <w:tcPr>
            <w:tcW w:w="1977" w:type="dxa"/>
            <w:shd w:val="clear" w:color="000000" w:fill="auto"/>
            <w:hideMark/>
          </w:tcPr>
          <w:p w14:paraId="6808E50E"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решение Ставропольского крайисполкома от 01.10.1981 № 702 «Об утверждении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w:t>
            </w:r>
          </w:p>
        </w:tc>
        <w:tc>
          <w:tcPr>
            <w:tcW w:w="1780" w:type="dxa"/>
            <w:shd w:val="clear" w:color="000000" w:fill="auto"/>
            <w:hideMark/>
          </w:tcPr>
          <w:p w14:paraId="3848353C"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регионального значения</w:t>
            </w:r>
          </w:p>
        </w:tc>
        <w:tc>
          <w:tcPr>
            <w:tcW w:w="2738" w:type="dxa"/>
            <w:shd w:val="clear" w:color="000000" w:fill="auto"/>
            <w:hideMark/>
          </w:tcPr>
          <w:p w14:paraId="452F0EE5"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 Первомайский, 3</w:t>
            </w:r>
          </w:p>
        </w:tc>
        <w:tc>
          <w:tcPr>
            <w:tcW w:w="1993" w:type="dxa"/>
            <w:shd w:val="clear" w:color="000000" w:fill="auto"/>
            <w:hideMark/>
          </w:tcPr>
          <w:p w14:paraId="395B47B3"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1027 от 24.10.2023 г.</w:t>
            </w:r>
          </w:p>
        </w:tc>
        <w:tc>
          <w:tcPr>
            <w:tcW w:w="2427" w:type="dxa"/>
            <w:shd w:val="clear" w:color="000000" w:fill="auto"/>
            <w:hideMark/>
          </w:tcPr>
          <w:p w14:paraId="7DDA7611"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1241 от 05.12.2023</w:t>
            </w:r>
          </w:p>
        </w:tc>
      </w:tr>
      <w:tr w:rsidR="000C5E62" w:rsidRPr="00731FE2" w14:paraId="0D84DA84" w14:textId="77777777" w:rsidTr="000C5E62">
        <w:trPr>
          <w:trHeight w:val="3696"/>
        </w:trPr>
        <w:tc>
          <w:tcPr>
            <w:tcW w:w="704" w:type="dxa"/>
            <w:shd w:val="clear" w:color="auto" w:fill="auto"/>
            <w:noWrap/>
          </w:tcPr>
          <w:p w14:paraId="5EE3A2F3" w14:textId="77777777" w:rsidR="000C5E62" w:rsidRPr="00731FE2" w:rsidRDefault="000C5E62" w:rsidP="000C5E62">
            <w:pPr>
              <w:pStyle w:val="a3"/>
              <w:numPr>
                <w:ilvl w:val="0"/>
                <w:numId w:val="127"/>
              </w:numPr>
              <w:spacing w:line="240" w:lineRule="auto"/>
              <w:ind w:left="0" w:firstLine="0"/>
              <w:jc w:val="center"/>
              <w:rPr>
                <w:rFonts w:ascii="Times New Roman" w:eastAsia="Times New Roman" w:hAnsi="Times New Roman" w:cs="Times New Roman"/>
                <w:sz w:val="20"/>
                <w:szCs w:val="20"/>
                <w:lang w:eastAsia="ru-RU"/>
              </w:rPr>
            </w:pPr>
          </w:p>
        </w:tc>
        <w:tc>
          <w:tcPr>
            <w:tcW w:w="2581" w:type="dxa"/>
            <w:shd w:val="clear" w:color="000000" w:fill="auto"/>
            <w:hideMark/>
          </w:tcPr>
          <w:p w14:paraId="5DEF3DCF"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Дача «Орлиное гнездо», Неизвест.</w:t>
            </w:r>
          </w:p>
        </w:tc>
        <w:tc>
          <w:tcPr>
            <w:tcW w:w="1977" w:type="dxa"/>
            <w:shd w:val="clear" w:color="000000" w:fill="auto"/>
            <w:hideMark/>
          </w:tcPr>
          <w:p w14:paraId="3E231FDE"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решение Ставропольского крайисполкома от 01.10.1981 № 702 «Об утверждении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w:t>
            </w:r>
          </w:p>
        </w:tc>
        <w:tc>
          <w:tcPr>
            <w:tcW w:w="1780" w:type="dxa"/>
            <w:shd w:val="clear" w:color="000000" w:fill="auto"/>
            <w:hideMark/>
          </w:tcPr>
          <w:p w14:paraId="648A502D"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регионального значения</w:t>
            </w:r>
          </w:p>
        </w:tc>
        <w:tc>
          <w:tcPr>
            <w:tcW w:w="2738" w:type="dxa"/>
            <w:shd w:val="clear" w:color="000000" w:fill="auto"/>
            <w:hideMark/>
          </w:tcPr>
          <w:p w14:paraId="2932C7F5"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ул. Перовской, 1</w:t>
            </w:r>
          </w:p>
        </w:tc>
        <w:tc>
          <w:tcPr>
            <w:tcW w:w="1993" w:type="dxa"/>
            <w:shd w:val="clear" w:color="000000" w:fill="auto"/>
            <w:hideMark/>
          </w:tcPr>
          <w:p w14:paraId="1C2DD447"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1073 от 21.09.2022</w:t>
            </w:r>
          </w:p>
        </w:tc>
        <w:tc>
          <w:tcPr>
            <w:tcW w:w="2427" w:type="dxa"/>
            <w:shd w:val="clear" w:color="000000" w:fill="auto"/>
            <w:hideMark/>
          </w:tcPr>
          <w:p w14:paraId="25356C34"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545 от 07.06.2024</w:t>
            </w:r>
          </w:p>
        </w:tc>
      </w:tr>
      <w:tr w:rsidR="000C5E62" w:rsidRPr="00731FE2" w14:paraId="5A64CAB3" w14:textId="77777777" w:rsidTr="000C5E62">
        <w:trPr>
          <w:trHeight w:val="2817"/>
        </w:trPr>
        <w:tc>
          <w:tcPr>
            <w:tcW w:w="704" w:type="dxa"/>
            <w:shd w:val="clear" w:color="auto" w:fill="auto"/>
            <w:noWrap/>
          </w:tcPr>
          <w:p w14:paraId="3CBFA257" w14:textId="77777777" w:rsidR="000C5E62" w:rsidRPr="00731FE2" w:rsidRDefault="000C5E62" w:rsidP="000C5E62">
            <w:pPr>
              <w:pStyle w:val="a3"/>
              <w:numPr>
                <w:ilvl w:val="0"/>
                <w:numId w:val="127"/>
              </w:numPr>
              <w:spacing w:line="240" w:lineRule="auto"/>
              <w:ind w:left="0" w:firstLine="0"/>
              <w:jc w:val="center"/>
              <w:rPr>
                <w:rFonts w:ascii="Times New Roman" w:eastAsia="Times New Roman" w:hAnsi="Times New Roman" w:cs="Times New Roman"/>
                <w:sz w:val="20"/>
                <w:szCs w:val="20"/>
                <w:lang w:eastAsia="ru-RU"/>
              </w:rPr>
            </w:pPr>
          </w:p>
        </w:tc>
        <w:tc>
          <w:tcPr>
            <w:tcW w:w="2581" w:type="dxa"/>
            <w:shd w:val="clear" w:color="FFFFFF" w:fill="FFFFFF"/>
            <w:hideMark/>
          </w:tcPr>
          <w:p w14:paraId="1EC3B9C6"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Здание цирка, 1973</w:t>
            </w:r>
          </w:p>
        </w:tc>
        <w:tc>
          <w:tcPr>
            <w:tcW w:w="1977" w:type="dxa"/>
            <w:shd w:val="clear" w:color="FFFFFF" w:fill="FFFFFF"/>
            <w:hideMark/>
          </w:tcPr>
          <w:p w14:paraId="55BAB66C"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решение Ставропольского крайисполкома от 01.10.1981 № 702 «Об утверждении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w:t>
            </w:r>
          </w:p>
        </w:tc>
        <w:tc>
          <w:tcPr>
            <w:tcW w:w="1780" w:type="dxa"/>
            <w:shd w:val="clear" w:color="FFFFFF" w:fill="FFFFFF"/>
            <w:hideMark/>
          </w:tcPr>
          <w:p w14:paraId="76F530BC"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регионального значения</w:t>
            </w:r>
          </w:p>
        </w:tc>
        <w:tc>
          <w:tcPr>
            <w:tcW w:w="2738" w:type="dxa"/>
            <w:shd w:val="clear" w:color="FFFFFF" w:fill="FFFFFF"/>
            <w:hideMark/>
          </w:tcPr>
          <w:p w14:paraId="375BA4E4"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 Победы, 12</w:t>
            </w:r>
          </w:p>
        </w:tc>
        <w:tc>
          <w:tcPr>
            <w:tcW w:w="1993" w:type="dxa"/>
            <w:shd w:val="clear" w:color="008080" w:fill="FFFFFF"/>
            <w:hideMark/>
          </w:tcPr>
          <w:p w14:paraId="51D19DC3"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приказ управление СК по охране ОКН от 15.06.2016 № 262</w:t>
            </w:r>
          </w:p>
        </w:tc>
        <w:tc>
          <w:tcPr>
            <w:tcW w:w="2427" w:type="dxa"/>
            <w:shd w:val="clear" w:color="FFFF00" w:fill="FFFFFF"/>
            <w:hideMark/>
          </w:tcPr>
          <w:p w14:paraId="719E20FF"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03.10.2022 № 1166</w:t>
            </w:r>
          </w:p>
        </w:tc>
      </w:tr>
      <w:tr w:rsidR="000C5E62" w:rsidRPr="00731FE2" w14:paraId="7D64428D" w14:textId="77777777" w:rsidTr="000C5E62">
        <w:trPr>
          <w:trHeight w:val="3696"/>
        </w:trPr>
        <w:tc>
          <w:tcPr>
            <w:tcW w:w="704" w:type="dxa"/>
            <w:shd w:val="clear" w:color="auto" w:fill="auto"/>
            <w:noWrap/>
          </w:tcPr>
          <w:p w14:paraId="67C11CCD" w14:textId="77777777" w:rsidR="000C5E62" w:rsidRPr="00731FE2" w:rsidRDefault="000C5E62" w:rsidP="000C5E62">
            <w:pPr>
              <w:pStyle w:val="a3"/>
              <w:numPr>
                <w:ilvl w:val="0"/>
                <w:numId w:val="127"/>
              </w:numPr>
              <w:spacing w:line="240" w:lineRule="auto"/>
              <w:ind w:left="0" w:firstLine="0"/>
              <w:jc w:val="center"/>
              <w:rPr>
                <w:rFonts w:ascii="Times New Roman" w:eastAsia="Times New Roman" w:hAnsi="Times New Roman" w:cs="Times New Roman"/>
                <w:sz w:val="20"/>
                <w:szCs w:val="20"/>
                <w:lang w:eastAsia="ru-RU"/>
              </w:rPr>
            </w:pPr>
          </w:p>
        </w:tc>
        <w:tc>
          <w:tcPr>
            <w:tcW w:w="2581" w:type="dxa"/>
            <w:shd w:val="clear" w:color="FFFF00" w:fill="auto"/>
            <w:hideMark/>
          </w:tcPr>
          <w:p w14:paraId="767AD443"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Здание санатория «Эльбрус», 1954</w:t>
            </w:r>
          </w:p>
        </w:tc>
        <w:tc>
          <w:tcPr>
            <w:tcW w:w="1977" w:type="dxa"/>
            <w:shd w:val="clear" w:color="FFFF00" w:fill="auto"/>
            <w:hideMark/>
          </w:tcPr>
          <w:p w14:paraId="612E0ED7"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решение Ставропольского крайисполкома от 01.10.1981 № 702 «Об утверждении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w:t>
            </w:r>
          </w:p>
        </w:tc>
        <w:tc>
          <w:tcPr>
            <w:tcW w:w="1780" w:type="dxa"/>
            <w:shd w:val="clear" w:color="FFFF00" w:fill="auto"/>
            <w:hideMark/>
          </w:tcPr>
          <w:p w14:paraId="3EFC3BBA"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регионального значения</w:t>
            </w:r>
          </w:p>
        </w:tc>
        <w:tc>
          <w:tcPr>
            <w:tcW w:w="2738" w:type="dxa"/>
            <w:shd w:val="clear" w:color="FFFF00" w:fill="auto"/>
            <w:hideMark/>
          </w:tcPr>
          <w:p w14:paraId="6D8C1E71"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ул. Профинтерна, 33</w:t>
            </w:r>
          </w:p>
        </w:tc>
        <w:tc>
          <w:tcPr>
            <w:tcW w:w="1993" w:type="dxa"/>
            <w:shd w:val="clear" w:color="FFFF00" w:fill="auto"/>
            <w:hideMark/>
          </w:tcPr>
          <w:p w14:paraId="3378C705"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726 от 15.07.2022</w:t>
            </w:r>
          </w:p>
        </w:tc>
        <w:tc>
          <w:tcPr>
            <w:tcW w:w="2427" w:type="dxa"/>
            <w:shd w:val="clear" w:color="FFFF00" w:fill="auto"/>
            <w:hideMark/>
          </w:tcPr>
          <w:p w14:paraId="3B77C8EF"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в ЗРЗ "Курортный парк"</w:t>
            </w:r>
          </w:p>
        </w:tc>
      </w:tr>
      <w:tr w:rsidR="000C5E62" w:rsidRPr="00731FE2" w14:paraId="4B58432A" w14:textId="77777777" w:rsidTr="000C5E62">
        <w:trPr>
          <w:trHeight w:val="2249"/>
        </w:trPr>
        <w:tc>
          <w:tcPr>
            <w:tcW w:w="704" w:type="dxa"/>
            <w:shd w:val="clear" w:color="auto" w:fill="auto"/>
            <w:noWrap/>
          </w:tcPr>
          <w:p w14:paraId="0A5A113D" w14:textId="77777777" w:rsidR="000C5E62" w:rsidRPr="00731FE2" w:rsidRDefault="000C5E62" w:rsidP="000C5E62">
            <w:pPr>
              <w:pStyle w:val="a3"/>
              <w:numPr>
                <w:ilvl w:val="0"/>
                <w:numId w:val="127"/>
              </w:numPr>
              <w:spacing w:line="240" w:lineRule="auto"/>
              <w:ind w:left="0" w:firstLine="0"/>
              <w:jc w:val="center"/>
              <w:rPr>
                <w:rFonts w:ascii="Times New Roman" w:eastAsia="Times New Roman" w:hAnsi="Times New Roman" w:cs="Times New Roman"/>
                <w:sz w:val="20"/>
                <w:szCs w:val="20"/>
                <w:lang w:eastAsia="ru-RU"/>
              </w:rPr>
            </w:pPr>
          </w:p>
        </w:tc>
        <w:tc>
          <w:tcPr>
            <w:tcW w:w="2581" w:type="dxa"/>
            <w:shd w:val="clear" w:color="000000" w:fill="auto"/>
            <w:hideMark/>
          </w:tcPr>
          <w:p w14:paraId="3C5407EF"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Октябрьские нарзанные ванны, 1928</w:t>
            </w:r>
          </w:p>
        </w:tc>
        <w:tc>
          <w:tcPr>
            <w:tcW w:w="1977" w:type="dxa"/>
            <w:shd w:val="clear" w:color="000000" w:fill="auto"/>
            <w:hideMark/>
          </w:tcPr>
          <w:p w14:paraId="7EC12D31"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решение Ставропольского крайисполкома от 01.10.1981 № 702 «Об утверждении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w:t>
            </w:r>
          </w:p>
        </w:tc>
        <w:tc>
          <w:tcPr>
            <w:tcW w:w="1780" w:type="dxa"/>
            <w:shd w:val="clear" w:color="000000" w:fill="auto"/>
            <w:hideMark/>
          </w:tcPr>
          <w:p w14:paraId="53EFBB0B"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регионального значения</w:t>
            </w:r>
          </w:p>
        </w:tc>
        <w:tc>
          <w:tcPr>
            <w:tcW w:w="2738" w:type="dxa"/>
            <w:shd w:val="clear" w:color="000000" w:fill="auto"/>
            <w:hideMark/>
          </w:tcPr>
          <w:p w14:paraId="2EE773C8"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 50 лет Октября, 8</w:t>
            </w:r>
          </w:p>
        </w:tc>
        <w:tc>
          <w:tcPr>
            <w:tcW w:w="1993" w:type="dxa"/>
            <w:shd w:val="clear" w:color="008080" w:fill="auto"/>
            <w:hideMark/>
          </w:tcPr>
          <w:p w14:paraId="005190E2"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приказ управления СК по охране ОКН от 31.05.2016 № 214</w:t>
            </w:r>
          </w:p>
        </w:tc>
        <w:tc>
          <w:tcPr>
            <w:tcW w:w="2427" w:type="dxa"/>
            <w:shd w:val="clear" w:color="auto" w:fill="auto"/>
            <w:hideMark/>
          </w:tcPr>
          <w:p w14:paraId="542FDDAE"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В соответствии со ст. 34.1 ФЗ от 25.06.2002 № 73-ФЗ «Об объектах культурного наследия (памятниках истории и культуры) народов РФ» действуют защитные зоны 100 м</w:t>
            </w:r>
          </w:p>
        </w:tc>
      </w:tr>
      <w:tr w:rsidR="000C5E62" w:rsidRPr="00731FE2" w14:paraId="0EE78276" w14:textId="77777777" w:rsidTr="000C5E62">
        <w:trPr>
          <w:trHeight w:val="3696"/>
        </w:trPr>
        <w:tc>
          <w:tcPr>
            <w:tcW w:w="704" w:type="dxa"/>
            <w:shd w:val="clear" w:color="auto" w:fill="auto"/>
            <w:noWrap/>
          </w:tcPr>
          <w:p w14:paraId="14157A27" w14:textId="77777777" w:rsidR="000C5E62" w:rsidRPr="00731FE2" w:rsidRDefault="000C5E62" w:rsidP="000C5E62">
            <w:pPr>
              <w:pStyle w:val="a3"/>
              <w:numPr>
                <w:ilvl w:val="0"/>
                <w:numId w:val="127"/>
              </w:numPr>
              <w:spacing w:line="240" w:lineRule="auto"/>
              <w:ind w:left="0" w:firstLine="0"/>
              <w:jc w:val="center"/>
              <w:rPr>
                <w:rFonts w:ascii="Times New Roman" w:eastAsia="Times New Roman" w:hAnsi="Times New Roman" w:cs="Times New Roman"/>
                <w:sz w:val="20"/>
                <w:szCs w:val="20"/>
                <w:lang w:eastAsia="ru-RU"/>
              </w:rPr>
            </w:pPr>
          </w:p>
        </w:tc>
        <w:tc>
          <w:tcPr>
            <w:tcW w:w="2581" w:type="dxa"/>
            <w:shd w:val="clear" w:color="000000" w:fill="auto"/>
            <w:hideMark/>
          </w:tcPr>
          <w:p w14:paraId="16FBE01F"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Бювет источника «Грибок», 1963</w:t>
            </w:r>
          </w:p>
        </w:tc>
        <w:tc>
          <w:tcPr>
            <w:tcW w:w="1977" w:type="dxa"/>
            <w:shd w:val="clear" w:color="000000" w:fill="auto"/>
            <w:hideMark/>
          </w:tcPr>
          <w:p w14:paraId="57D1B058"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решение Ставропольского крайисполкома от 01.10.1981 № 702 «Об утверждении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w:t>
            </w:r>
          </w:p>
        </w:tc>
        <w:tc>
          <w:tcPr>
            <w:tcW w:w="1780" w:type="dxa"/>
            <w:shd w:val="clear" w:color="000000" w:fill="auto"/>
            <w:hideMark/>
          </w:tcPr>
          <w:p w14:paraId="22670AD2"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регионального значения</w:t>
            </w:r>
          </w:p>
        </w:tc>
        <w:tc>
          <w:tcPr>
            <w:tcW w:w="2738" w:type="dxa"/>
            <w:shd w:val="clear" w:color="000000" w:fill="auto"/>
            <w:hideMark/>
          </w:tcPr>
          <w:p w14:paraId="6616CE83"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 50 лет Октября, 9</w:t>
            </w:r>
          </w:p>
        </w:tc>
        <w:tc>
          <w:tcPr>
            <w:tcW w:w="1993" w:type="dxa"/>
            <w:shd w:val="clear" w:color="008080" w:fill="auto"/>
            <w:hideMark/>
          </w:tcPr>
          <w:p w14:paraId="13FD6896"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приказ управление СК по охране ОКН от 15.06.2016 № 261</w:t>
            </w:r>
          </w:p>
        </w:tc>
        <w:tc>
          <w:tcPr>
            <w:tcW w:w="2427" w:type="dxa"/>
            <w:shd w:val="clear" w:color="000000" w:fill="auto"/>
            <w:hideMark/>
          </w:tcPr>
          <w:p w14:paraId="7BA1F2AB"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в зонах охраны "Комплекс главных нарзанных ванн"</w:t>
            </w:r>
          </w:p>
        </w:tc>
      </w:tr>
      <w:tr w:rsidR="000C5E62" w:rsidRPr="00731FE2" w14:paraId="54854D96" w14:textId="77777777" w:rsidTr="000C5E62">
        <w:trPr>
          <w:trHeight w:val="2249"/>
        </w:trPr>
        <w:tc>
          <w:tcPr>
            <w:tcW w:w="704" w:type="dxa"/>
            <w:shd w:val="clear" w:color="auto" w:fill="auto"/>
            <w:noWrap/>
          </w:tcPr>
          <w:p w14:paraId="6284918D" w14:textId="77777777" w:rsidR="000C5E62" w:rsidRPr="00731FE2" w:rsidRDefault="000C5E62" w:rsidP="000C5E62">
            <w:pPr>
              <w:pStyle w:val="a3"/>
              <w:numPr>
                <w:ilvl w:val="0"/>
                <w:numId w:val="127"/>
              </w:numPr>
              <w:spacing w:line="240" w:lineRule="auto"/>
              <w:ind w:left="0" w:firstLine="0"/>
              <w:jc w:val="center"/>
              <w:rPr>
                <w:rFonts w:ascii="Times New Roman" w:eastAsia="Times New Roman" w:hAnsi="Times New Roman" w:cs="Times New Roman"/>
                <w:sz w:val="20"/>
                <w:szCs w:val="20"/>
                <w:lang w:eastAsia="ru-RU"/>
              </w:rPr>
            </w:pPr>
          </w:p>
        </w:tc>
        <w:tc>
          <w:tcPr>
            <w:tcW w:w="2581" w:type="dxa"/>
            <w:shd w:val="clear" w:color="000000" w:fill="auto"/>
            <w:hideMark/>
          </w:tcPr>
          <w:p w14:paraId="12D0C044"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Особняк, 1902</w:t>
            </w:r>
          </w:p>
        </w:tc>
        <w:tc>
          <w:tcPr>
            <w:tcW w:w="1977" w:type="dxa"/>
            <w:shd w:val="clear" w:color="000000" w:fill="auto"/>
            <w:hideMark/>
          </w:tcPr>
          <w:p w14:paraId="6D6CB5B6"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решение Ставропольского крайисполкома от 01.10.1981 № 702 «Об утверждении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w:t>
            </w:r>
          </w:p>
        </w:tc>
        <w:tc>
          <w:tcPr>
            <w:tcW w:w="1780" w:type="dxa"/>
            <w:shd w:val="clear" w:color="000000" w:fill="auto"/>
            <w:hideMark/>
          </w:tcPr>
          <w:p w14:paraId="7E83EC1E"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регионального значения</w:t>
            </w:r>
          </w:p>
        </w:tc>
        <w:tc>
          <w:tcPr>
            <w:tcW w:w="2738" w:type="dxa"/>
            <w:shd w:val="clear" w:color="000000" w:fill="auto"/>
            <w:hideMark/>
          </w:tcPr>
          <w:p w14:paraId="26063568"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 50 лет Октября, 19</w:t>
            </w:r>
          </w:p>
        </w:tc>
        <w:tc>
          <w:tcPr>
            <w:tcW w:w="1993" w:type="dxa"/>
            <w:shd w:val="clear" w:color="000000" w:fill="auto"/>
            <w:hideMark/>
          </w:tcPr>
          <w:p w14:paraId="573BB005"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1461 от 24.11.2022</w:t>
            </w:r>
          </w:p>
        </w:tc>
        <w:tc>
          <w:tcPr>
            <w:tcW w:w="2427" w:type="dxa"/>
            <w:shd w:val="clear" w:color="auto" w:fill="auto"/>
            <w:hideMark/>
          </w:tcPr>
          <w:p w14:paraId="27DC9678"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В соответствии со ст. 34.1 ФЗ от 25.06.2002 № 73-ФЗ «Об объектах культурного наследия (памятниках истории и культуры) народов РФ» действуют защитные зоны 100 м</w:t>
            </w:r>
          </w:p>
        </w:tc>
      </w:tr>
      <w:tr w:rsidR="000C5E62" w:rsidRPr="00731FE2" w14:paraId="27D48FBE" w14:textId="77777777" w:rsidTr="000C5E62">
        <w:trPr>
          <w:trHeight w:val="3696"/>
        </w:trPr>
        <w:tc>
          <w:tcPr>
            <w:tcW w:w="704" w:type="dxa"/>
            <w:shd w:val="clear" w:color="auto" w:fill="auto"/>
            <w:noWrap/>
          </w:tcPr>
          <w:p w14:paraId="18FE6516" w14:textId="77777777" w:rsidR="000C5E62" w:rsidRPr="00731FE2" w:rsidRDefault="000C5E62" w:rsidP="000C5E62">
            <w:pPr>
              <w:pStyle w:val="a3"/>
              <w:numPr>
                <w:ilvl w:val="0"/>
                <w:numId w:val="127"/>
              </w:numPr>
              <w:spacing w:line="240" w:lineRule="auto"/>
              <w:ind w:left="0" w:firstLine="0"/>
              <w:jc w:val="center"/>
              <w:rPr>
                <w:rFonts w:ascii="Times New Roman" w:eastAsia="Times New Roman" w:hAnsi="Times New Roman" w:cs="Times New Roman"/>
                <w:sz w:val="20"/>
                <w:szCs w:val="20"/>
                <w:lang w:eastAsia="ru-RU"/>
              </w:rPr>
            </w:pPr>
          </w:p>
        </w:tc>
        <w:tc>
          <w:tcPr>
            <w:tcW w:w="2581" w:type="dxa"/>
            <w:shd w:val="clear" w:color="FFFF00" w:fill="auto"/>
            <w:hideMark/>
          </w:tcPr>
          <w:p w14:paraId="7278BE8D"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Особняк, Неизвест.</w:t>
            </w:r>
          </w:p>
        </w:tc>
        <w:tc>
          <w:tcPr>
            <w:tcW w:w="1977" w:type="dxa"/>
            <w:shd w:val="clear" w:color="FFFF00" w:fill="auto"/>
            <w:hideMark/>
          </w:tcPr>
          <w:p w14:paraId="1D3324F4"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решение Ставропольского крайисполкома от 01.10.1981 № 702 «Об утверждении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w:t>
            </w:r>
          </w:p>
        </w:tc>
        <w:tc>
          <w:tcPr>
            <w:tcW w:w="1780" w:type="dxa"/>
            <w:shd w:val="clear" w:color="FFFF00" w:fill="auto"/>
            <w:hideMark/>
          </w:tcPr>
          <w:p w14:paraId="4E1D76B0"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регионального значения</w:t>
            </w:r>
          </w:p>
        </w:tc>
        <w:tc>
          <w:tcPr>
            <w:tcW w:w="2738" w:type="dxa"/>
            <w:shd w:val="clear" w:color="FFFF00" w:fill="auto"/>
            <w:hideMark/>
          </w:tcPr>
          <w:p w14:paraId="5B5F13CE"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 Саперный, 7</w:t>
            </w:r>
          </w:p>
        </w:tc>
        <w:tc>
          <w:tcPr>
            <w:tcW w:w="1993" w:type="dxa"/>
            <w:shd w:val="clear" w:color="FFFF00" w:fill="auto"/>
            <w:hideMark/>
          </w:tcPr>
          <w:p w14:paraId="6987A5D1"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964 от 29.08.2022</w:t>
            </w:r>
          </w:p>
        </w:tc>
        <w:tc>
          <w:tcPr>
            <w:tcW w:w="2427" w:type="dxa"/>
            <w:shd w:val="clear" w:color="auto" w:fill="auto"/>
            <w:hideMark/>
          </w:tcPr>
          <w:p w14:paraId="13F136EB"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В соответствии со ст. 34.1 ФЗ от 25.06.2002 № 73-ФЗ «Об объектах культурного наследия (памятниках истории и культуры) народов РФ» действуют защитные зоны 100 м</w:t>
            </w:r>
          </w:p>
        </w:tc>
      </w:tr>
      <w:tr w:rsidR="000C5E62" w:rsidRPr="00731FE2" w14:paraId="6A02623E" w14:textId="77777777" w:rsidTr="000C5E62">
        <w:trPr>
          <w:trHeight w:val="2958"/>
        </w:trPr>
        <w:tc>
          <w:tcPr>
            <w:tcW w:w="704" w:type="dxa"/>
            <w:shd w:val="clear" w:color="auto" w:fill="auto"/>
            <w:noWrap/>
          </w:tcPr>
          <w:p w14:paraId="209B329C" w14:textId="77777777" w:rsidR="000C5E62" w:rsidRPr="00731FE2" w:rsidRDefault="000C5E62" w:rsidP="000C5E62">
            <w:pPr>
              <w:pStyle w:val="a3"/>
              <w:numPr>
                <w:ilvl w:val="0"/>
                <w:numId w:val="127"/>
              </w:numPr>
              <w:spacing w:line="240" w:lineRule="auto"/>
              <w:ind w:left="0" w:firstLine="0"/>
              <w:jc w:val="center"/>
              <w:rPr>
                <w:rFonts w:ascii="Times New Roman" w:eastAsia="Times New Roman" w:hAnsi="Times New Roman" w:cs="Times New Roman"/>
                <w:sz w:val="20"/>
                <w:szCs w:val="20"/>
                <w:lang w:eastAsia="ru-RU"/>
              </w:rPr>
            </w:pPr>
          </w:p>
        </w:tc>
        <w:tc>
          <w:tcPr>
            <w:tcW w:w="2581" w:type="dxa"/>
            <w:shd w:val="clear" w:color="000000" w:fill="auto"/>
            <w:hideMark/>
          </w:tcPr>
          <w:p w14:paraId="7CF14231"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Дача Мухтарова, Неизвест.</w:t>
            </w:r>
          </w:p>
        </w:tc>
        <w:tc>
          <w:tcPr>
            <w:tcW w:w="1977" w:type="dxa"/>
            <w:shd w:val="clear" w:color="000000" w:fill="auto"/>
            <w:hideMark/>
          </w:tcPr>
          <w:p w14:paraId="4E85427E"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решение Ставропольского крайисполкома от 01.10.1981 № 702 «Об утверждении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w:t>
            </w:r>
          </w:p>
        </w:tc>
        <w:tc>
          <w:tcPr>
            <w:tcW w:w="1780" w:type="dxa"/>
            <w:shd w:val="clear" w:color="000000" w:fill="auto"/>
            <w:hideMark/>
          </w:tcPr>
          <w:p w14:paraId="6954BCCE"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регионального значения</w:t>
            </w:r>
          </w:p>
        </w:tc>
        <w:tc>
          <w:tcPr>
            <w:tcW w:w="2738" w:type="dxa"/>
            <w:shd w:val="clear" w:color="000000" w:fill="auto"/>
            <w:hideMark/>
          </w:tcPr>
          <w:p w14:paraId="72DC0D4A"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Урицкого, 2</w:t>
            </w:r>
          </w:p>
        </w:tc>
        <w:tc>
          <w:tcPr>
            <w:tcW w:w="1993" w:type="dxa"/>
            <w:shd w:val="clear" w:color="008080" w:fill="auto"/>
            <w:hideMark/>
          </w:tcPr>
          <w:p w14:paraId="7EF6C3A5"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приказ управление СК по охране ОКН от 15.06.2016 № 258</w:t>
            </w:r>
          </w:p>
        </w:tc>
        <w:tc>
          <w:tcPr>
            <w:tcW w:w="2427" w:type="dxa"/>
            <w:shd w:val="clear" w:color="auto" w:fill="auto"/>
            <w:hideMark/>
          </w:tcPr>
          <w:p w14:paraId="5BBC8335"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В соответствии со ст. 34.1 ФЗ от 25.06.2002 № 73-ФЗ «Об объектах культурного наследия (памятниках истории и культуры) народов РФ» действуют защитные зоны 100 м</w:t>
            </w:r>
          </w:p>
        </w:tc>
      </w:tr>
      <w:tr w:rsidR="000C5E62" w:rsidRPr="00731FE2" w14:paraId="17C6C406" w14:textId="77777777" w:rsidTr="000C5E62">
        <w:trPr>
          <w:trHeight w:val="3696"/>
        </w:trPr>
        <w:tc>
          <w:tcPr>
            <w:tcW w:w="704" w:type="dxa"/>
            <w:shd w:val="clear" w:color="auto" w:fill="auto"/>
            <w:noWrap/>
          </w:tcPr>
          <w:p w14:paraId="787FC421" w14:textId="77777777" w:rsidR="000C5E62" w:rsidRPr="00731FE2" w:rsidRDefault="000C5E62" w:rsidP="000C5E62">
            <w:pPr>
              <w:pStyle w:val="a3"/>
              <w:numPr>
                <w:ilvl w:val="0"/>
                <w:numId w:val="127"/>
              </w:numPr>
              <w:spacing w:line="240" w:lineRule="auto"/>
              <w:ind w:left="0" w:firstLine="0"/>
              <w:jc w:val="center"/>
              <w:rPr>
                <w:rFonts w:ascii="Times New Roman" w:eastAsia="Times New Roman" w:hAnsi="Times New Roman" w:cs="Times New Roman"/>
                <w:sz w:val="20"/>
                <w:szCs w:val="20"/>
                <w:lang w:eastAsia="ru-RU"/>
              </w:rPr>
            </w:pPr>
          </w:p>
        </w:tc>
        <w:tc>
          <w:tcPr>
            <w:tcW w:w="2581" w:type="dxa"/>
            <w:shd w:val="clear" w:color="000000" w:fill="auto"/>
            <w:hideMark/>
          </w:tcPr>
          <w:p w14:paraId="58941D7F"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Пансионат, 1908</w:t>
            </w:r>
          </w:p>
        </w:tc>
        <w:tc>
          <w:tcPr>
            <w:tcW w:w="1977" w:type="dxa"/>
            <w:shd w:val="clear" w:color="000000" w:fill="auto"/>
            <w:hideMark/>
          </w:tcPr>
          <w:p w14:paraId="453C868D"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решение Ставропольского крайисполкома от 01.10.1981 № 702 «Об утверждении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w:t>
            </w:r>
          </w:p>
        </w:tc>
        <w:tc>
          <w:tcPr>
            <w:tcW w:w="1780" w:type="dxa"/>
            <w:shd w:val="clear" w:color="000000" w:fill="auto"/>
            <w:hideMark/>
          </w:tcPr>
          <w:p w14:paraId="3E029AE7"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регионального значения</w:t>
            </w:r>
          </w:p>
        </w:tc>
        <w:tc>
          <w:tcPr>
            <w:tcW w:w="2738" w:type="dxa"/>
            <w:shd w:val="clear" w:color="000000" w:fill="auto"/>
            <w:hideMark/>
          </w:tcPr>
          <w:p w14:paraId="04FD54EE"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Урицкого, 4</w:t>
            </w:r>
          </w:p>
        </w:tc>
        <w:tc>
          <w:tcPr>
            <w:tcW w:w="1993" w:type="dxa"/>
            <w:shd w:val="clear" w:color="000000" w:fill="auto"/>
            <w:hideMark/>
          </w:tcPr>
          <w:p w14:paraId="05AFED1B"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1124 от 27.09.2022</w:t>
            </w:r>
          </w:p>
        </w:tc>
        <w:tc>
          <w:tcPr>
            <w:tcW w:w="2427" w:type="dxa"/>
            <w:shd w:val="clear" w:color="auto" w:fill="auto"/>
            <w:hideMark/>
          </w:tcPr>
          <w:p w14:paraId="4927D297"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В соответствии со ст. 34.1 ФЗ от 25.06.2002 № 73-ФЗ «Об объектах культурного наследия (памятниках истории и культуры) народов РФ» действуют защитные зоны 100 м</w:t>
            </w:r>
          </w:p>
        </w:tc>
      </w:tr>
      <w:tr w:rsidR="000C5E62" w:rsidRPr="00731FE2" w14:paraId="33393499" w14:textId="77777777" w:rsidTr="000C5E62">
        <w:trPr>
          <w:trHeight w:val="2675"/>
        </w:trPr>
        <w:tc>
          <w:tcPr>
            <w:tcW w:w="704" w:type="dxa"/>
            <w:shd w:val="clear" w:color="auto" w:fill="auto"/>
            <w:noWrap/>
          </w:tcPr>
          <w:p w14:paraId="3F5AD380" w14:textId="77777777" w:rsidR="000C5E62" w:rsidRPr="00731FE2" w:rsidRDefault="000C5E62" w:rsidP="000C5E62">
            <w:pPr>
              <w:pStyle w:val="a3"/>
              <w:numPr>
                <w:ilvl w:val="0"/>
                <w:numId w:val="127"/>
              </w:numPr>
              <w:spacing w:line="240" w:lineRule="auto"/>
              <w:ind w:left="0" w:firstLine="0"/>
              <w:jc w:val="center"/>
              <w:rPr>
                <w:rFonts w:ascii="Times New Roman" w:eastAsia="Times New Roman" w:hAnsi="Times New Roman" w:cs="Times New Roman"/>
                <w:sz w:val="20"/>
                <w:szCs w:val="20"/>
                <w:lang w:eastAsia="ru-RU"/>
              </w:rPr>
            </w:pPr>
          </w:p>
        </w:tc>
        <w:tc>
          <w:tcPr>
            <w:tcW w:w="2581" w:type="dxa"/>
            <w:shd w:val="clear" w:color="000000" w:fill="auto"/>
            <w:hideMark/>
          </w:tcPr>
          <w:p w14:paraId="1A70AD9E"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Пансионат, Неизвест.</w:t>
            </w:r>
          </w:p>
        </w:tc>
        <w:tc>
          <w:tcPr>
            <w:tcW w:w="1977" w:type="dxa"/>
            <w:shd w:val="clear" w:color="000000" w:fill="auto"/>
            <w:hideMark/>
          </w:tcPr>
          <w:p w14:paraId="6FC15140"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решение Ставропольского крайисполкома от 01.10.1981 № 702 «Об утверждении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w:t>
            </w:r>
          </w:p>
        </w:tc>
        <w:tc>
          <w:tcPr>
            <w:tcW w:w="1780" w:type="dxa"/>
            <w:shd w:val="clear" w:color="000000" w:fill="auto"/>
            <w:hideMark/>
          </w:tcPr>
          <w:p w14:paraId="6656EFB2"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регионального значения</w:t>
            </w:r>
          </w:p>
        </w:tc>
        <w:tc>
          <w:tcPr>
            <w:tcW w:w="2738" w:type="dxa"/>
            <w:shd w:val="clear" w:color="000000" w:fill="auto"/>
            <w:hideMark/>
          </w:tcPr>
          <w:p w14:paraId="30366BC9"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Урицкого, 6</w:t>
            </w:r>
          </w:p>
        </w:tc>
        <w:tc>
          <w:tcPr>
            <w:tcW w:w="1993" w:type="dxa"/>
            <w:shd w:val="clear" w:color="000000" w:fill="auto"/>
            <w:hideMark/>
          </w:tcPr>
          <w:p w14:paraId="32D1DBFB"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1300 от 26.10.2022 г.</w:t>
            </w:r>
          </w:p>
        </w:tc>
        <w:tc>
          <w:tcPr>
            <w:tcW w:w="2427" w:type="dxa"/>
            <w:shd w:val="clear" w:color="auto" w:fill="auto"/>
            <w:hideMark/>
          </w:tcPr>
          <w:p w14:paraId="37F0FD7B"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В соответствии со ст. 34.1 ФЗ от 25.06.2002 № 73-ФЗ «Об объектах культурного наследия (памятниках истории и культуры) народов РФ» действуют защитные зоны 100 м</w:t>
            </w:r>
          </w:p>
        </w:tc>
      </w:tr>
      <w:tr w:rsidR="000C5E62" w:rsidRPr="00731FE2" w14:paraId="7984DE91" w14:textId="77777777" w:rsidTr="000C5E62">
        <w:trPr>
          <w:trHeight w:val="3696"/>
        </w:trPr>
        <w:tc>
          <w:tcPr>
            <w:tcW w:w="704" w:type="dxa"/>
            <w:shd w:val="clear" w:color="auto" w:fill="auto"/>
            <w:noWrap/>
          </w:tcPr>
          <w:p w14:paraId="34A38E0D" w14:textId="77777777" w:rsidR="000C5E62" w:rsidRPr="00731FE2" w:rsidRDefault="000C5E62" w:rsidP="000C5E62">
            <w:pPr>
              <w:pStyle w:val="a3"/>
              <w:numPr>
                <w:ilvl w:val="0"/>
                <w:numId w:val="127"/>
              </w:numPr>
              <w:spacing w:line="240" w:lineRule="auto"/>
              <w:ind w:left="0" w:firstLine="0"/>
              <w:jc w:val="center"/>
              <w:rPr>
                <w:rFonts w:ascii="Times New Roman" w:eastAsia="Times New Roman" w:hAnsi="Times New Roman" w:cs="Times New Roman"/>
                <w:sz w:val="20"/>
                <w:szCs w:val="20"/>
                <w:lang w:eastAsia="ru-RU"/>
              </w:rPr>
            </w:pPr>
          </w:p>
        </w:tc>
        <w:tc>
          <w:tcPr>
            <w:tcW w:w="2581" w:type="dxa"/>
            <w:shd w:val="clear" w:color="000000" w:fill="auto"/>
            <w:hideMark/>
          </w:tcPr>
          <w:p w14:paraId="018D529B"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Жилой дом</w:t>
            </w:r>
          </w:p>
        </w:tc>
        <w:tc>
          <w:tcPr>
            <w:tcW w:w="1977" w:type="dxa"/>
            <w:shd w:val="clear" w:color="000000" w:fill="auto"/>
            <w:hideMark/>
          </w:tcPr>
          <w:p w14:paraId="25A6BB88"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решение Ставропольского крайисполкома от 01.10.1981 № 702 «Об утверждении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w:t>
            </w:r>
          </w:p>
        </w:tc>
        <w:tc>
          <w:tcPr>
            <w:tcW w:w="1780" w:type="dxa"/>
            <w:shd w:val="clear" w:color="000000" w:fill="auto"/>
            <w:hideMark/>
          </w:tcPr>
          <w:p w14:paraId="0875253B"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регионального значения</w:t>
            </w:r>
          </w:p>
        </w:tc>
        <w:tc>
          <w:tcPr>
            <w:tcW w:w="2738" w:type="dxa"/>
            <w:shd w:val="clear" w:color="000000" w:fill="auto"/>
            <w:hideMark/>
          </w:tcPr>
          <w:p w14:paraId="1121F8BA"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Урицкого, 10</w:t>
            </w:r>
          </w:p>
        </w:tc>
        <w:tc>
          <w:tcPr>
            <w:tcW w:w="1993" w:type="dxa"/>
            <w:shd w:val="clear" w:color="000000" w:fill="auto"/>
            <w:hideMark/>
          </w:tcPr>
          <w:p w14:paraId="5F4FC0D0"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1115 от 27.09.2022</w:t>
            </w:r>
          </w:p>
        </w:tc>
        <w:tc>
          <w:tcPr>
            <w:tcW w:w="2427" w:type="dxa"/>
            <w:shd w:val="clear" w:color="000000" w:fill="auto"/>
            <w:hideMark/>
          </w:tcPr>
          <w:p w14:paraId="11A4C777"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735 от 15.08.2023</w:t>
            </w:r>
          </w:p>
        </w:tc>
      </w:tr>
      <w:tr w:rsidR="000C5E62" w:rsidRPr="00731FE2" w14:paraId="023ACD15" w14:textId="77777777" w:rsidTr="000C5E62">
        <w:trPr>
          <w:trHeight w:val="2391"/>
        </w:trPr>
        <w:tc>
          <w:tcPr>
            <w:tcW w:w="704" w:type="dxa"/>
            <w:shd w:val="clear" w:color="auto" w:fill="auto"/>
            <w:noWrap/>
          </w:tcPr>
          <w:p w14:paraId="795B65AC" w14:textId="77777777" w:rsidR="000C5E62" w:rsidRPr="00731FE2" w:rsidRDefault="000C5E62" w:rsidP="000C5E62">
            <w:pPr>
              <w:pStyle w:val="a3"/>
              <w:numPr>
                <w:ilvl w:val="0"/>
                <w:numId w:val="127"/>
              </w:numPr>
              <w:spacing w:line="240" w:lineRule="auto"/>
              <w:ind w:left="0" w:firstLine="0"/>
              <w:jc w:val="center"/>
              <w:rPr>
                <w:rFonts w:ascii="Times New Roman" w:eastAsia="Times New Roman" w:hAnsi="Times New Roman" w:cs="Times New Roman"/>
                <w:sz w:val="20"/>
                <w:szCs w:val="20"/>
                <w:lang w:eastAsia="ru-RU"/>
              </w:rPr>
            </w:pPr>
          </w:p>
        </w:tc>
        <w:tc>
          <w:tcPr>
            <w:tcW w:w="2581" w:type="dxa"/>
            <w:shd w:val="clear" w:color="000000" w:fill="auto"/>
            <w:hideMark/>
          </w:tcPr>
          <w:p w14:paraId="42586135"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Здание курортной больницы</w:t>
            </w:r>
          </w:p>
        </w:tc>
        <w:tc>
          <w:tcPr>
            <w:tcW w:w="1977" w:type="dxa"/>
            <w:shd w:val="clear" w:color="000000" w:fill="auto"/>
            <w:hideMark/>
          </w:tcPr>
          <w:p w14:paraId="5396137B"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решение Ставропольского крайисполкома от 01.10.1981 № 702 «Об утверждении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w:t>
            </w:r>
          </w:p>
        </w:tc>
        <w:tc>
          <w:tcPr>
            <w:tcW w:w="1780" w:type="dxa"/>
            <w:shd w:val="clear" w:color="000000" w:fill="auto"/>
            <w:hideMark/>
          </w:tcPr>
          <w:p w14:paraId="3F763EBC"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регионального значения</w:t>
            </w:r>
          </w:p>
        </w:tc>
        <w:tc>
          <w:tcPr>
            <w:tcW w:w="2738" w:type="dxa"/>
            <w:shd w:val="clear" w:color="000000" w:fill="auto"/>
            <w:hideMark/>
          </w:tcPr>
          <w:p w14:paraId="36517F19"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Хмельницкого, 3</w:t>
            </w:r>
          </w:p>
        </w:tc>
        <w:tc>
          <w:tcPr>
            <w:tcW w:w="1993" w:type="dxa"/>
            <w:shd w:val="clear" w:color="008080" w:fill="auto"/>
            <w:hideMark/>
          </w:tcPr>
          <w:p w14:paraId="6F85C2E3"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приказ управление СК по охране ОКН от 15.06.2016 № 252</w:t>
            </w:r>
          </w:p>
        </w:tc>
        <w:tc>
          <w:tcPr>
            <w:tcW w:w="2427" w:type="dxa"/>
            <w:shd w:val="clear" w:color="000000" w:fill="auto"/>
            <w:hideMark/>
          </w:tcPr>
          <w:p w14:paraId="79927260"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731 от 15.08.2023</w:t>
            </w:r>
          </w:p>
        </w:tc>
      </w:tr>
      <w:tr w:rsidR="000C5E62" w:rsidRPr="00731FE2" w14:paraId="47B48734" w14:textId="77777777" w:rsidTr="000C5E62">
        <w:trPr>
          <w:trHeight w:val="4224"/>
        </w:trPr>
        <w:tc>
          <w:tcPr>
            <w:tcW w:w="704" w:type="dxa"/>
            <w:shd w:val="clear" w:color="auto" w:fill="auto"/>
            <w:noWrap/>
          </w:tcPr>
          <w:p w14:paraId="24DA4A04" w14:textId="77777777" w:rsidR="000C5E62" w:rsidRPr="00731FE2" w:rsidRDefault="000C5E62" w:rsidP="000C5E62">
            <w:pPr>
              <w:pStyle w:val="a3"/>
              <w:numPr>
                <w:ilvl w:val="0"/>
                <w:numId w:val="127"/>
              </w:numPr>
              <w:spacing w:line="240" w:lineRule="auto"/>
              <w:ind w:left="0" w:firstLine="0"/>
              <w:jc w:val="center"/>
              <w:rPr>
                <w:rFonts w:ascii="Times New Roman" w:eastAsia="Times New Roman" w:hAnsi="Times New Roman" w:cs="Times New Roman"/>
                <w:sz w:val="20"/>
                <w:szCs w:val="20"/>
                <w:lang w:eastAsia="ru-RU"/>
              </w:rPr>
            </w:pPr>
          </w:p>
        </w:tc>
        <w:tc>
          <w:tcPr>
            <w:tcW w:w="2581" w:type="dxa"/>
            <w:shd w:val="clear" w:color="000000" w:fill="auto"/>
            <w:hideMark/>
          </w:tcPr>
          <w:p w14:paraId="65563573"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Частный пансионат С.Ганешина, 1905-1907</w:t>
            </w:r>
          </w:p>
        </w:tc>
        <w:tc>
          <w:tcPr>
            <w:tcW w:w="1977" w:type="dxa"/>
            <w:shd w:val="clear" w:color="000000" w:fill="auto"/>
            <w:hideMark/>
          </w:tcPr>
          <w:p w14:paraId="374D5DE3"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решение Ставропольского крайисполкома от 01.10.1981 № 702 «Об утверждении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(в ред. постановления ПСК от 28.09.</w:t>
            </w:r>
          </w:p>
        </w:tc>
        <w:tc>
          <w:tcPr>
            <w:tcW w:w="1780" w:type="dxa"/>
            <w:shd w:val="clear" w:color="000000" w:fill="auto"/>
            <w:hideMark/>
          </w:tcPr>
          <w:p w14:paraId="2E179087"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регионального значения</w:t>
            </w:r>
          </w:p>
        </w:tc>
        <w:tc>
          <w:tcPr>
            <w:tcW w:w="2738" w:type="dxa"/>
            <w:shd w:val="clear" w:color="000000" w:fill="auto"/>
            <w:hideMark/>
          </w:tcPr>
          <w:p w14:paraId="59105452"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Ярошенко, 5 (литеры Б, В, Г)</w:t>
            </w:r>
          </w:p>
        </w:tc>
        <w:tc>
          <w:tcPr>
            <w:tcW w:w="1993" w:type="dxa"/>
            <w:shd w:val="clear" w:color="008080" w:fill="auto"/>
            <w:hideMark/>
          </w:tcPr>
          <w:p w14:paraId="627FC05A"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приказ управление СК по охране ОКН от 15.06.2016 № 267</w:t>
            </w:r>
          </w:p>
        </w:tc>
        <w:tc>
          <w:tcPr>
            <w:tcW w:w="2427" w:type="dxa"/>
            <w:shd w:val="clear" w:color="000000" w:fill="auto"/>
            <w:hideMark/>
          </w:tcPr>
          <w:p w14:paraId="5A03327B"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137 от 27.02.2023</w:t>
            </w:r>
          </w:p>
        </w:tc>
      </w:tr>
      <w:tr w:rsidR="000C5E62" w:rsidRPr="00731FE2" w14:paraId="5E4BDDCE" w14:textId="77777777" w:rsidTr="000C5E62">
        <w:trPr>
          <w:trHeight w:val="1966"/>
        </w:trPr>
        <w:tc>
          <w:tcPr>
            <w:tcW w:w="704" w:type="dxa"/>
            <w:shd w:val="clear" w:color="auto" w:fill="auto"/>
            <w:noWrap/>
          </w:tcPr>
          <w:p w14:paraId="73B3ACA8" w14:textId="77777777" w:rsidR="000C5E62" w:rsidRPr="00731FE2" w:rsidRDefault="000C5E62" w:rsidP="000C5E62">
            <w:pPr>
              <w:pStyle w:val="a3"/>
              <w:numPr>
                <w:ilvl w:val="0"/>
                <w:numId w:val="127"/>
              </w:numPr>
              <w:spacing w:line="240" w:lineRule="auto"/>
              <w:ind w:left="0" w:firstLine="0"/>
              <w:jc w:val="center"/>
              <w:rPr>
                <w:rFonts w:ascii="Times New Roman" w:eastAsia="Times New Roman" w:hAnsi="Times New Roman" w:cs="Times New Roman"/>
                <w:sz w:val="20"/>
                <w:szCs w:val="20"/>
                <w:lang w:eastAsia="ru-RU"/>
              </w:rPr>
            </w:pPr>
          </w:p>
        </w:tc>
        <w:tc>
          <w:tcPr>
            <w:tcW w:w="2581" w:type="dxa"/>
            <w:shd w:val="clear" w:color="000000" w:fill="auto"/>
            <w:hideMark/>
          </w:tcPr>
          <w:p w14:paraId="4EF38FE8"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Скала и замок «Коварства и любви»</w:t>
            </w:r>
          </w:p>
        </w:tc>
        <w:tc>
          <w:tcPr>
            <w:tcW w:w="1977" w:type="dxa"/>
            <w:shd w:val="clear" w:color="000000" w:fill="auto"/>
            <w:hideMark/>
          </w:tcPr>
          <w:p w14:paraId="70E4A041"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решение Ставропольского крайисполкома от 01.10.1981 № 702 «Об утверждении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w:t>
            </w:r>
          </w:p>
        </w:tc>
        <w:tc>
          <w:tcPr>
            <w:tcW w:w="1780" w:type="dxa"/>
            <w:shd w:val="clear" w:color="000000" w:fill="auto"/>
            <w:hideMark/>
          </w:tcPr>
          <w:p w14:paraId="0DE4C9D0"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регионального значения</w:t>
            </w:r>
          </w:p>
        </w:tc>
        <w:tc>
          <w:tcPr>
            <w:tcW w:w="2738" w:type="dxa"/>
            <w:shd w:val="clear" w:color="000000" w:fill="auto"/>
            <w:hideMark/>
          </w:tcPr>
          <w:p w14:paraId="1D1EEF21"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Ущелье р. Аликоновки</w:t>
            </w:r>
          </w:p>
        </w:tc>
        <w:tc>
          <w:tcPr>
            <w:tcW w:w="1993" w:type="dxa"/>
            <w:shd w:val="clear" w:color="000000" w:fill="auto"/>
            <w:hideMark/>
          </w:tcPr>
          <w:p w14:paraId="46C8922A"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77 от 02.02.2023 г.</w:t>
            </w:r>
          </w:p>
        </w:tc>
        <w:tc>
          <w:tcPr>
            <w:tcW w:w="2427" w:type="dxa"/>
            <w:shd w:val="clear" w:color="000000" w:fill="auto"/>
            <w:hideMark/>
          </w:tcPr>
          <w:p w14:paraId="179C328C"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достопримечательное место</w:t>
            </w:r>
          </w:p>
        </w:tc>
      </w:tr>
      <w:tr w:rsidR="000C5E62" w:rsidRPr="00731FE2" w14:paraId="4CA9E9C0" w14:textId="77777777" w:rsidTr="000C5E62">
        <w:trPr>
          <w:trHeight w:val="3696"/>
        </w:trPr>
        <w:tc>
          <w:tcPr>
            <w:tcW w:w="704" w:type="dxa"/>
            <w:shd w:val="clear" w:color="auto" w:fill="auto"/>
            <w:noWrap/>
          </w:tcPr>
          <w:p w14:paraId="1F89037A" w14:textId="77777777" w:rsidR="000C5E62" w:rsidRPr="00731FE2" w:rsidRDefault="000C5E62" w:rsidP="000C5E62">
            <w:pPr>
              <w:pStyle w:val="a3"/>
              <w:numPr>
                <w:ilvl w:val="0"/>
                <w:numId w:val="127"/>
              </w:numPr>
              <w:spacing w:line="240" w:lineRule="auto"/>
              <w:ind w:left="0" w:firstLine="0"/>
              <w:jc w:val="center"/>
              <w:rPr>
                <w:rFonts w:ascii="Times New Roman" w:eastAsia="Times New Roman" w:hAnsi="Times New Roman" w:cs="Times New Roman"/>
                <w:sz w:val="20"/>
                <w:szCs w:val="20"/>
                <w:lang w:eastAsia="ru-RU"/>
              </w:rPr>
            </w:pPr>
          </w:p>
        </w:tc>
        <w:tc>
          <w:tcPr>
            <w:tcW w:w="2581" w:type="dxa"/>
            <w:shd w:val="clear" w:color="000000" w:fill="auto"/>
            <w:hideMark/>
          </w:tcPr>
          <w:p w14:paraId="6657186A"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Медовый водопад</w:t>
            </w:r>
          </w:p>
        </w:tc>
        <w:tc>
          <w:tcPr>
            <w:tcW w:w="1977" w:type="dxa"/>
            <w:shd w:val="clear" w:color="000000" w:fill="auto"/>
            <w:hideMark/>
          </w:tcPr>
          <w:p w14:paraId="36508415"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решение Ставропольского крайисполкома от 01.10.1981 № 702 «Об утверждении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w:t>
            </w:r>
          </w:p>
        </w:tc>
        <w:tc>
          <w:tcPr>
            <w:tcW w:w="1780" w:type="dxa"/>
            <w:shd w:val="clear" w:color="000000" w:fill="auto"/>
            <w:hideMark/>
          </w:tcPr>
          <w:p w14:paraId="49E7F0D8"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регионального значения</w:t>
            </w:r>
          </w:p>
        </w:tc>
        <w:tc>
          <w:tcPr>
            <w:tcW w:w="2738" w:type="dxa"/>
            <w:shd w:val="clear" w:color="000000" w:fill="auto"/>
            <w:hideMark/>
          </w:tcPr>
          <w:p w14:paraId="620F78CA"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 Аликоновка</w:t>
            </w:r>
          </w:p>
        </w:tc>
        <w:tc>
          <w:tcPr>
            <w:tcW w:w="1993" w:type="dxa"/>
            <w:shd w:val="clear" w:color="000000" w:fill="auto"/>
            <w:hideMark/>
          </w:tcPr>
          <w:p w14:paraId="0699D3EC"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p>
        </w:tc>
        <w:tc>
          <w:tcPr>
            <w:tcW w:w="2427" w:type="dxa"/>
            <w:shd w:val="clear" w:color="auto" w:fill="auto"/>
            <w:hideMark/>
          </w:tcPr>
          <w:p w14:paraId="5663C5D9"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В соответствии со ст. 34.1 ФЗ от 25.06.2002 № 73-ФЗ «Об объектах культурного наследия (памятниках истории и культуры) народов РФ» действуют защитные зоны 100 м</w:t>
            </w:r>
          </w:p>
        </w:tc>
      </w:tr>
      <w:tr w:rsidR="000C5E62" w:rsidRPr="00731FE2" w14:paraId="178B1F76" w14:textId="77777777" w:rsidTr="000C5E62">
        <w:trPr>
          <w:trHeight w:val="2675"/>
        </w:trPr>
        <w:tc>
          <w:tcPr>
            <w:tcW w:w="704" w:type="dxa"/>
            <w:shd w:val="clear" w:color="auto" w:fill="auto"/>
            <w:noWrap/>
          </w:tcPr>
          <w:p w14:paraId="2D795560" w14:textId="77777777" w:rsidR="000C5E62" w:rsidRPr="00731FE2" w:rsidRDefault="000C5E62" w:rsidP="000C5E62">
            <w:pPr>
              <w:pStyle w:val="a3"/>
              <w:numPr>
                <w:ilvl w:val="0"/>
                <w:numId w:val="127"/>
              </w:numPr>
              <w:spacing w:line="240" w:lineRule="auto"/>
              <w:ind w:left="0" w:firstLine="0"/>
              <w:jc w:val="center"/>
              <w:rPr>
                <w:rFonts w:ascii="Times New Roman" w:eastAsia="Times New Roman" w:hAnsi="Times New Roman" w:cs="Times New Roman"/>
                <w:sz w:val="20"/>
                <w:szCs w:val="20"/>
                <w:lang w:eastAsia="ru-RU"/>
              </w:rPr>
            </w:pPr>
          </w:p>
        </w:tc>
        <w:tc>
          <w:tcPr>
            <w:tcW w:w="2581" w:type="dxa"/>
            <w:shd w:val="clear" w:color="000000" w:fill="auto"/>
            <w:hideMark/>
          </w:tcPr>
          <w:p w14:paraId="22CD098F"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Лермонтовский водопад</w:t>
            </w:r>
          </w:p>
        </w:tc>
        <w:tc>
          <w:tcPr>
            <w:tcW w:w="1977" w:type="dxa"/>
            <w:shd w:val="clear" w:color="000000" w:fill="auto"/>
            <w:hideMark/>
          </w:tcPr>
          <w:p w14:paraId="2EF489F1"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решение Ставропольского крайисполкома от 01.10.1981 № 702 «Об утверждении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w:t>
            </w:r>
          </w:p>
        </w:tc>
        <w:tc>
          <w:tcPr>
            <w:tcW w:w="1780" w:type="dxa"/>
            <w:shd w:val="clear" w:color="000000" w:fill="auto"/>
            <w:hideMark/>
          </w:tcPr>
          <w:p w14:paraId="765CB7F7"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регионального значения</w:t>
            </w:r>
          </w:p>
        </w:tc>
        <w:tc>
          <w:tcPr>
            <w:tcW w:w="2738" w:type="dxa"/>
            <w:shd w:val="clear" w:color="000000" w:fill="auto"/>
            <w:hideMark/>
          </w:tcPr>
          <w:p w14:paraId="5E0A81A1"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 Альховка</w:t>
            </w:r>
          </w:p>
        </w:tc>
        <w:tc>
          <w:tcPr>
            <w:tcW w:w="1993" w:type="dxa"/>
            <w:shd w:val="clear" w:color="000000" w:fill="auto"/>
            <w:hideMark/>
          </w:tcPr>
          <w:p w14:paraId="541BE3EA"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70 от 02.02.2023 г.</w:t>
            </w:r>
          </w:p>
        </w:tc>
        <w:tc>
          <w:tcPr>
            <w:tcW w:w="2427" w:type="dxa"/>
            <w:shd w:val="clear" w:color="000000" w:fill="auto"/>
            <w:hideMark/>
          </w:tcPr>
          <w:p w14:paraId="4D036D76"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достопримечательное место</w:t>
            </w:r>
          </w:p>
        </w:tc>
      </w:tr>
      <w:tr w:rsidR="000C5E62" w:rsidRPr="00731FE2" w14:paraId="6905C152" w14:textId="77777777" w:rsidTr="000C5E62">
        <w:trPr>
          <w:trHeight w:val="3696"/>
        </w:trPr>
        <w:tc>
          <w:tcPr>
            <w:tcW w:w="704" w:type="dxa"/>
            <w:shd w:val="clear" w:color="auto" w:fill="auto"/>
            <w:noWrap/>
          </w:tcPr>
          <w:p w14:paraId="4F42B24E" w14:textId="77777777" w:rsidR="000C5E62" w:rsidRPr="00731FE2" w:rsidRDefault="000C5E62" w:rsidP="000C5E62">
            <w:pPr>
              <w:pStyle w:val="a3"/>
              <w:numPr>
                <w:ilvl w:val="0"/>
                <w:numId w:val="127"/>
              </w:numPr>
              <w:spacing w:line="240" w:lineRule="auto"/>
              <w:ind w:left="0" w:firstLine="0"/>
              <w:jc w:val="center"/>
              <w:rPr>
                <w:rFonts w:ascii="Times New Roman" w:eastAsia="Times New Roman" w:hAnsi="Times New Roman" w:cs="Times New Roman"/>
                <w:sz w:val="20"/>
                <w:szCs w:val="20"/>
                <w:lang w:eastAsia="ru-RU"/>
              </w:rPr>
            </w:pPr>
          </w:p>
        </w:tc>
        <w:tc>
          <w:tcPr>
            <w:tcW w:w="2581" w:type="dxa"/>
            <w:shd w:val="clear" w:color="000000" w:fill="auto"/>
            <w:hideMark/>
          </w:tcPr>
          <w:p w14:paraId="4CBF3C44"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Ландшафт р. Аликоновки</w:t>
            </w:r>
          </w:p>
        </w:tc>
        <w:tc>
          <w:tcPr>
            <w:tcW w:w="1977" w:type="dxa"/>
            <w:shd w:val="clear" w:color="000000" w:fill="auto"/>
            <w:hideMark/>
          </w:tcPr>
          <w:p w14:paraId="5F77E60D"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решение Ставропольского крайисполкома от 01.10.1981 № 702 «Об утверждении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w:t>
            </w:r>
          </w:p>
        </w:tc>
        <w:tc>
          <w:tcPr>
            <w:tcW w:w="1780" w:type="dxa"/>
            <w:shd w:val="clear" w:color="000000" w:fill="auto"/>
            <w:hideMark/>
          </w:tcPr>
          <w:p w14:paraId="15C16966"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регионального значения</w:t>
            </w:r>
          </w:p>
        </w:tc>
        <w:tc>
          <w:tcPr>
            <w:tcW w:w="2738" w:type="dxa"/>
            <w:shd w:val="clear" w:color="000000" w:fill="auto"/>
            <w:hideMark/>
          </w:tcPr>
          <w:p w14:paraId="37F53E61"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p>
        </w:tc>
        <w:tc>
          <w:tcPr>
            <w:tcW w:w="1993" w:type="dxa"/>
            <w:shd w:val="clear" w:color="000000" w:fill="auto"/>
            <w:hideMark/>
          </w:tcPr>
          <w:p w14:paraId="5666DE49"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73 от 02.02.2023 г.</w:t>
            </w:r>
          </w:p>
        </w:tc>
        <w:tc>
          <w:tcPr>
            <w:tcW w:w="2427" w:type="dxa"/>
            <w:shd w:val="clear" w:color="000000" w:fill="auto"/>
            <w:hideMark/>
          </w:tcPr>
          <w:p w14:paraId="436A888F"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достопримечательное место</w:t>
            </w:r>
          </w:p>
        </w:tc>
      </w:tr>
      <w:tr w:rsidR="000C5E62" w:rsidRPr="00731FE2" w14:paraId="1F14CF28" w14:textId="77777777" w:rsidTr="000C5E62">
        <w:trPr>
          <w:trHeight w:val="2533"/>
        </w:trPr>
        <w:tc>
          <w:tcPr>
            <w:tcW w:w="704" w:type="dxa"/>
            <w:shd w:val="clear" w:color="auto" w:fill="auto"/>
            <w:noWrap/>
          </w:tcPr>
          <w:p w14:paraId="1CD64BCB" w14:textId="77777777" w:rsidR="000C5E62" w:rsidRPr="00731FE2" w:rsidRDefault="000C5E62" w:rsidP="000C5E62">
            <w:pPr>
              <w:pStyle w:val="a3"/>
              <w:numPr>
                <w:ilvl w:val="0"/>
                <w:numId w:val="127"/>
              </w:numPr>
              <w:spacing w:line="240" w:lineRule="auto"/>
              <w:ind w:left="0" w:firstLine="0"/>
              <w:jc w:val="center"/>
              <w:rPr>
                <w:rFonts w:ascii="Times New Roman" w:eastAsia="Times New Roman" w:hAnsi="Times New Roman" w:cs="Times New Roman"/>
                <w:sz w:val="20"/>
                <w:szCs w:val="20"/>
                <w:lang w:eastAsia="ru-RU"/>
              </w:rPr>
            </w:pPr>
          </w:p>
        </w:tc>
        <w:tc>
          <w:tcPr>
            <w:tcW w:w="2581" w:type="dxa"/>
            <w:shd w:val="clear" w:color="000000" w:fill="auto"/>
            <w:hideMark/>
          </w:tcPr>
          <w:p w14:paraId="64267EE4"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Ландшафт р. Березовки</w:t>
            </w:r>
          </w:p>
        </w:tc>
        <w:tc>
          <w:tcPr>
            <w:tcW w:w="1977" w:type="dxa"/>
            <w:shd w:val="clear" w:color="000000" w:fill="auto"/>
            <w:hideMark/>
          </w:tcPr>
          <w:p w14:paraId="33DEC9FE"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решение Ставропольского крайисполкома от 01.10.1981 № 702 «Об утверждении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w:t>
            </w:r>
          </w:p>
        </w:tc>
        <w:tc>
          <w:tcPr>
            <w:tcW w:w="1780" w:type="dxa"/>
            <w:shd w:val="clear" w:color="000000" w:fill="auto"/>
            <w:hideMark/>
          </w:tcPr>
          <w:p w14:paraId="04F7F4F6"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регионального значения</w:t>
            </w:r>
          </w:p>
        </w:tc>
        <w:tc>
          <w:tcPr>
            <w:tcW w:w="2738" w:type="dxa"/>
            <w:shd w:val="clear" w:color="000000" w:fill="auto"/>
            <w:hideMark/>
          </w:tcPr>
          <w:p w14:paraId="377D331F"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p>
        </w:tc>
        <w:tc>
          <w:tcPr>
            <w:tcW w:w="1993" w:type="dxa"/>
            <w:shd w:val="clear" w:color="000000" w:fill="auto"/>
            <w:hideMark/>
          </w:tcPr>
          <w:p w14:paraId="591EF71D"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внесение изменений 158 от 07.03.2023 г.; 1510 от 30.11.2022 г.</w:t>
            </w:r>
          </w:p>
        </w:tc>
        <w:tc>
          <w:tcPr>
            <w:tcW w:w="2427" w:type="dxa"/>
            <w:shd w:val="clear" w:color="000000" w:fill="auto"/>
            <w:hideMark/>
          </w:tcPr>
          <w:p w14:paraId="13FAFEFC"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достопримечательное место</w:t>
            </w:r>
          </w:p>
        </w:tc>
      </w:tr>
      <w:tr w:rsidR="000C5E62" w:rsidRPr="00731FE2" w14:paraId="41810A8C" w14:textId="77777777" w:rsidTr="000C5E62">
        <w:trPr>
          <w:trHeight w:val="3696"/>
        </w:trPr>
        <w:tc>
          <w:tcPr>
            <w:tcW w:w="704" w:type="dxa"/>
            <w:shd w:val="clear" w:color="auto" w:fill="auto"/>
            <w:noWrap/>
          </w:tcPr>
          <w:p w14:paraId="7C5C018D" w14:textId="77777777" w:rsidR="000C5E62" w:rsidRPr="00731FE2" w:rsidRDefault="000C5E62" w:rsidP="000C5E62">
            <w:pPr>
              <w:pStyle w:val="a3"/>
              <w:numPr>
                <w:ilvl w:val="0"/>
                <w:numId w:val="127"/>
              </w:numPr>
              <w:spacing w:line="240" w:lineRule="auto"/>
              <w:ind w:left="0" w:firstLine="0"/>
              <w:jc w:val="center"/>
              <w:rPr>
                <w:rFonts w:ascii="Times New Roman" w:eastAsia="Times New Roman" w:hAnsi="Times New Roman" w:cs="Times New Roman"/>
                <w:sz w:val="20"/>
                <w:szCs w:val="20"/>
                <w:lang w:eastAsia="ru-RU"/>
              </w:rPr>
            </w:pPr>
          </w:p>
        </w:tc>
        <w:tc>
          <w:tcPr>
            <w:tcW w:w="2581" w:type="dxa"/>
            <w:shd w:val="clear" w:color="000000" w:fill="auto"/>
            <w:hideMark/>
          </w:tcPr>
          <w:p w14:paraId="70B47E1F"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Памятник Ф.Э. Дзержинскому, 1967</w:t>
            </w:r>
          </w:p>
        </w:tc>
        <w:tc>
          <w:tcPr>
            <w:tcW w:w="1977" w:type="dxa"/>
            <w:shd w:val="clear" w:color="000000" w:fill="auto"/>
            <w:hideMark/>
          </w:tcPr>
          <w:p w14:paraId="57576DDC"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решение Ставропольского крайисполкома от 01.10.1981 № 702 «Об утверждении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w:t>
            </w:r>
          </w:p>
        </w:tc>
        <w:tc>
          <w:tcPr>
            <w:tcW w:w="1780" w:type="dxa"/>
            <w:shd w:val="clear" w:color="000000" w:fill="auto"/>
            <w:hideMark/>
          </w:tcPr>
          <w:p w14:paraId="501E81D7"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регионального значения</w:t>
            </w:r>
          </w:p>
        </w:tc>
        <w:tc>
          <w:tcPr>
            <w:tcW w:w="2738" w:type="dxa"/>
            <w:shd w:val="clear" w:color="000000" w:fill="auto"/>
            <w:hideMark/>
          </w:tcPr>
          <w:p w14:paraId="3D67E4AE"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Дзержинского, 4</w:t>
            </w:r>
          </w:p>
        </w:tc>
        <w:tc>
          <w:tcPr>
            <w:tcW w:w="1993" w:type="dxa"/>
            <w:shd w:val="clear" w:color="000000" w:fill="auto"/>
            <w:hideMark/>
          </w:tcPr>
          <w:p w14:paraId="55BCBD4D"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1163 от 03.10.2022</w:t>
            </w:r>
          </w:p>
        </w:tc>
        <w:tc>
          <w:tcPr>
            <w:tcW w:w="2427" w:type="dxa"/>
            <w:shd w:val="clear" w:color="000000" w:fill="auto"/>
            <w:hideMark/>
          </w:tcPr>
          <w:p w14:paraId="44B727DC"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не требуется</w:t>
            </w:r>
          </w:p>
        </w:tc>
      </w:tr>
      <w:tr w:rsidR="000C5E62" w:rsidRPr="00731FE2" w14:paraId="74FE6DDC" w14:textId="77777777" w:rsidTr="000C5E62">
        <w:trPr>
          <w:trHeight w:val="2391"/>
        </w:trPr>
        <w:tc>
          <w:tcPr>
            <w:tcW w:w="704" w:type="dxa"/>
            <w:shd w:val="clear" w:color="auto" w:fill="auto"/>
            <w:noWrap/>
          </w:tcPr>
          <w:p w14:paraId="0E7E7EB8" w14:textId="77777777" w:rsidR="000C5E62" w:rsidRPr="00731FE2" w:rsidRDefault="000C5E62" w:rsidP="000C5E62">
            <w:pPr>
              <w:pStyle w:val="a3"/>
              <w:numPr>
                <w:ilvl w:val="0"/>
                <w:numId w:val="127"/>
              </w:numPr>
              <w:spacing w:line="240" w:lineRule="auto"/>
              <w:ind w:left="0" w:firstLine="0"/>
              <w:jc w:val="center"/>
              <w:rPr>
                <w:rFonts w:ascii="Times New Roman" w:eastAsia="Times New Roman" w:hAnsi="Times New Roman" w:cs="Times New Roman"/>
                <w:sz w:val="20"/>
                <w:szCs w:val="20"/>
                <w:lang w:eastAsia="ru-RU"/>
              </w:rPr>
            </w:pPr>
          </w:p>
        </w:tc>
        <w:tc>
          <w:tcPr>
            <w:tcW w:w="2581" w:type="dxa"/>
            <w:shd w:val="clear" w:color="000000" w:fill="auto"/>
            <w:hideMark/>
          </w:tcPr>
          <w:p w14:paraId="25D014DD"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Памятник В.И. Ленину, Неизвест.</w:t>
            </w:r>
          </w:p>
        </w:tc>
        <w:tc>
          <w:tcPr>
            <w:tcW w:w="1977" w:type="dxa"/>
            <w:shd w:val="clear" w:color="000000" w:fill="auto"/>
            <w:hideMark/>
          </w:tcPr>
          <w:p w14:paraId="3ABD28B8"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решение Ставропольского крайисполкома от 01.10.1981 № 702 «Об утверждении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w:t>
            </w:r>
          </w:p>
        </w:tc>
        <w:tc>
          <w:tcPr>
            <w:tcW w:w="1780" w:type="dxa"/>
            <w:shd w:val="clear" w:color="000000" w:fill="auto"/>
            <w:hideMark/>
          </w:tcPr>
          <w:p w14:paraId="05CFEACC"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регионального значения</w:t>
            </w:r>
          </w:p>
        </w:tc>
        <w:tc>
          <w:tcPr>
            <w:tcW w:w="2738" w:type="dxa"/>
            <w:shd w:val="clear" w:color="000000" w:fill="auto"/>
            <w:hideMark/>
          </w:tcPr>
          <w:p w14:paraId="146F4052"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Дзержинского, 5</w:t>
            </w:r>
          </w:p>
        </w:tc>
        <w:tc>
          <w:tcPr>
            <w:tcW w:w="1993" w:type="dxa"/>
            <w:shd w:val="clear" w:color="000000" w:fill="auto"/>
            <w:hideMark/>
          </w:tcPr>
          <w:p w14:paraId="0B0343B6"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752 от 18.07.2022</w:t>
            </w:r>
          </w:p>
        </w:tc>
        <w:tc>
          <w:tcPr>
            <w:tcW w:w="2427" w:type="dxa"/>
            <w:shd w:val="clear" w:color="000000" w:fill="auto"/>
            <w:hideMark/>
          </w:tcPr>
          <w:p w14:paraId="17496041"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монумент</w:t>
            </w:r>
          </w:p>
        </w:tc>
      </w:tr>
      <w:tr w:rsidR="000C5E62" w:rsidRPr="00731FE2" w14:paraId="11E85E91" w14:textId="77777777" w:rsidTr="000C5E62">
        <w:trPr>
          <w:trHeight w:val="3696"/>
        </w:trPr>
        <w:tc>
          <w:tcPr>
            <w:tcW w:w="704" w:type="dxa"/>
            <w:shd w:val="clear" w:color="auto" w:fill="auto"/>
            <w:noWrap/>
          </w:tcPr>
          <w:p w14:paraId="5FC97F5D" w14:textId="77777777" w:rsidR="000C5E62" w:rsidRPr="00731FE2" w:rsidRDefault="000C5E62" w:rsidP="000C5E62">
            <w:pPr>
              <w:pStyle w:val="a3"/>
              <w:numPr>
                <w:ilvl w:val="0"/>
                <w:numId w:val="127"/>
              </w:numPr>
              <w:spacing w:line="240" w:lineRule="auto"/>
              <w:ind w:left="0" w:firstLine="0"/>
              <w:jc w:val="center"/>
              <w:rPr>
                <w:rFonts w:ascii="Times New Roman" w:eastAsia="Times New Roman" w:hAnsi="Times New Roman" w:cs="Times New Roman"/>
                <w:sz w:val="20"/>
                <w:szCs w:val="20"/>
                <w:lang w:eastAsia="ru-RU"/>
              </w:rPr>
            </w:pPr>
          </w:p>
        </w:tc>
        <w:tc>
          <w:tcPr>
            <w:tcW w:w="2581" w:type="dxa"/>
            <w:shd w:val="clear" w:color="000000" w:fill="auto"/>
            <w:hideMark/>
          </w:tcPr>
          <w:p w14:paraId="50280919"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Памятник героям гражданской войны, 1927</w:t>
            </w:r>
          </w:p>
        </w:tc>
        <w:tc>
          <w:tcPr>
            <w:tcW w:w="1977" w:type="dxa"/>
            <w:shd w:val="clear" w:color="000000" w:fill="auto"/>
            <w:hideMark/>
          </w:tcPr>
          <w:p w14:paraId="2AF1D6A8"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решение Ставропольского крайисполкома от 01.10.1981 № 702 «Об утверждении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w:t>
            </w:r>
          </w:p>
        </w:tc>
        <w:tc>
          <w:tcPr>
            <w:tcW w:w="1780" w:type="dxa"/>
            <w:shd w:val="clear" w:color="000000" w:fill="auto"/>
            <w:hideMark/>
          </w:tcPr>
          <w:p w14:paraId="1AC4A4F4"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регионального значения</w:t>
            </w:r>
          </w:p>
        </w:tc>
        <w:tc>
          <w:tcPr>
            <w:tcW w:w="2738" w:type="dxa"/>
            <w:shd w:val="clear" w:color="000000" w:fill="auto"/>
            <w:hideMark/>
          </w:tcPr>
          <w:p w14:paraId="04F8E7C8"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Комсомольский парк</w:t>
            </w:r>
          </w:p>
        </w:tc>
        <w:tc>
          <w:tcPr>
            <w:tcW w:w="1993" w:type="dxa"/>
            <w:shd w:val="clear" w:color="000000" w:fill="auto"/>
            <w:hideMark/>
          </w:tcPr>
          <w:p w14:paraId="5BE08D8A"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963 от 29.08.2022</w:t>
            </w:r>
          </w:p>
        </w:tc>
        <w:tc>
          <w:tcPr>
            <w:tcW w:w="2427" w:type="dxa"/>
            <w:shd w:val="clear" w:color="000000" w:fill="auto"/>
            <w:hideMark/>
          </w:tcPr>
          <w:p w14:paraId="50A2D594"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монумент</w:t>
            </w:r>
          </w:p>
        </w:tc>
      </w:tr>
      <w:tr w:rsidR="000C5E62" w:rsidRPr="00731FE2" w14:paraId="6A2B096D" w14:textId="77777777" w:rsidTr="000C5E62">
        <w:trPr>
          <w:trHeight w:val="2533"/>
        </w:trPr>
        <w:tc>
          <w:tcPr>
            <w:tcW w:w="704" w:type="dxa"/>
            <w:shd w:val="clear" w:color="auto" w:fill="auto"/>
            <w:noWrap/>
          </w:tcPr>
          <w:p w14:paraId="1A80A550" w14:textId="77777777" w:rsidR="000C5E62" w:rsidRPr="00731FE2" w:rsidRDefault="000C5E62" w:rsidP="000C5E62">
            <w:pPr>
              <w:pStyle w:val="a3"/>
              <w:numPr>
                <w:ilvl w:val="0"/>
                <w:numId w:val="127"/>
              </w:numPr>
              <w:spacing w:line="240" w:lineRule="auto"/>
              <w:ind w:left="0" w:firstLine="0"/>
              <w:jc w:val="center"/>
              <w:rPr>
                <w:rFonts w:ascii="Times New Roman" w:eastAsia="Times New Roman" w:hAnsi="Times New Roman" w:cs="Times New Roman"/>
                <w:sz w:val="20"/>
                <w:szCs w:val="20"/>
                <w:lang w:eastAsia="ru-RU"/>
              </w:rPr>
            </w:pPr>
          </w:p>
        </w:tc>
        <w:tc>
          <w:tcPr>
            <w:tcW w:w="2581" w:type="dxa"/>
            <w:shd w:val="clear" w:color="000000" w:fill="auto"/>
            <w:hideMark/>
          </w:tcPr>
          <w:p w14:paraId="5452B039"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Бюст М.Ю. Лермонтова, 1960</w:t>
            </w:r>
          </w:p>
        </w:tc>
        <w:tc>
          <w:tcPr>
            <w:tcW w:w="1977" w:type="dxa"/>
            <w:shd w:val="clear" w:color="000000" w:fill="auto"/>
            <w:hideMark/>
          </w:tcPr>
          <w:p w14:paraId="033F6376"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решение Ставропольского крайисполкома от 01.10.1981 № 702 «Об утверждении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w:t>
            </w:r>
          </w:p>
        </w:tc>
        <w:tc>
          <w:tcPr>
            <w:tcW w:w="1780" w:type="dxa"/>
            <w:shd w:val="clear" w:color="000000" w:fill="auto"/>
            <w:hideMark/>
          </w:tcPr>
          <w:p w14:paraId="31D756CC"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регионального значения</w:t>
            </w:r>
          </w:p>
        </w:tc>
        <w:tc>
          <w:tcPr>
            <w:tcW w:w="2738" w:type="dxa"/>
            <w:shd w:val="clear" w:color="000000" w:fill="auto"/>
            <w:hideMark/>
          </w:tcPr>
          <w:p w14:paraId="2D299B0B"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Курортный парк</w:t>
            </w:r>
          </w:p>
        </w:tc>
        <w:tc>
          <w:tcPr>
            <w:tcW w:w="1993" w:type="dxa"/>
            <w:shd w:val="clear" w:color="000000" w:fill="auto"/>
            <w:hideMark/>
          </w:tcPr>
          <w:p w14:paraId="302DB1B0"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967 от 29.08.2022</w:t>
            </w:r>
          </w:p>
        </w:tc>
        <w:tc>
          <w:tcPr>
            <w:tcW w:w="2427" w:type="dxa"/>
            <w:shd w:val="clear" w:color="000000" w:fill="auto"/>
            <w:hideMark/>
          </w:tcPr>
          <w:p w14:paraId="64068BB8"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монумент</w:t>
            </w:r>
          </w:p>
        </w:tc>
      </w:tr>
      <w:tr w:rsidR="000C5E62" w:rsidRPr="00731FE2" w14:paraId="52CC0338" w14:textId="77777777" w:rsidTr="000C5E62">
        <w:trPr>
          <w:trHeight w:val="3696"/>
        </w:trPr>
        <w:tc>
          <w:tcPr>
            <w:tcW w:w="704" w:type="dxa"/>
            <w:shd w:val="clear" w:color="auto" w:fill="auto"/>
            <w:noWrap/>
          </w:tcPr>
          <w:p w14:paraId="101596E8" w14:textId="77777777" w:rsidR="000C5E62" w:rsidRPr="00731FE2" w:rsidRDefault="000C5E62" w:rsidP="000C5E62">
            <w:pPr>
              <w:pStyle w:val="a3"/>
              <w:numPr>
                <w:ilvl w:val="0"/>
                <w:numId w:val="127"/>
              </w:numPr>
              <w:spacing w:line="240" w:lineRule="auto"/>
              <w:ind w:left="0" w:firstLine="0"/>
              <w:jc w:val="center"/>
              <w:rPr>
                <w:rFonts w:ascii="Times New Roman" w:eastAsia="Times New Roman" w:hAnsi="Times New Roman" w:cs="Times New Roman"/>
                <w:sz w:val="20"/>
                <w:szCs w:val="20"/>
                <w:lang w:eastAsia="ru-RU"/>
              </w:rPr>
            </w:pPr>
          </w:p>
        </w:tc>
        <w:tc>
          <w:tcPr>
            <w:tcW w:w="2581" w:type="dxa"/>
            <w:shd w:val="clear" w:color="000000" w:fill="auto"/>
            <w:hideMark/>
          </w:tcPr>
          <w:p w14:paraId="274B02DF"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Памятник «Журавли», 1970</w:t>
            </w:r>
          </w:p>
        </w:tc>
        <w:tc>
          <w:tcPr>
            <w:tcW w:w="1977" w:type="dxa"/>
            <w:shd w:val="clear" w:color="000000" w:fill="auto"/>
            <w:hideMark/>
          </w:tcPr>
          <w:p w14:paraId="03B9EE85"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решение Ставропольского крайисполкома от 01.10.1981 № 702 «Об утверждении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w:t>
            </w:r>
          </w:p>
        </w:tc>
        <w:tc>
          <w:tcPr>
            <w:tcW w:w="1780" w:type="dxa"/>
            <w:shd w:val="clear" w:color="000000" w:fill="auto"/>
            <w:hideMark/>
          </w:tcPr>
          <w:p w14:paraId="0F001F10"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регионального значения</w:t>
            </w:r>
          </w:p>
        </w:tc>
        <w:tc>
          <w:tcPr>
            <w:tcW w:w="2738" w:type="dxa"/>
            <w:shd w:val="clear" w:color="000000" w:fill="auto"/>
            <w:hideMark/>
          </w:tcPr>
          <w:p w14:paraId="12B46BE0"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ул. Кольцова</w:t>
            </w:r>
          </w:p>
        </w:tc>
        <w:tc>
          <w:tcPr>
            <w:tcW w:w="1993" w:type="dxa"/>
            <w:shd w:val="clear" w:color="008080" w:fill="auto"/>
            <w:hideMark/>
          </w:tcPr>
          <w:p w14:paraId="2E9B39A8"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приказ управление СК по охране ОКН от 15.06.2016 № 269</w:t>
            </w:r>
          </w:p>
        </w:tc>
        <w:tc>
          <w:tcPr>
            <w:tcW w:w="2427" w:type="dxa"/>
            <w:shd w:val="clear" w:color="000000" w:fill="auto"/>
            <w:hideMark/>
          </w:tcPr>
          <w:p w14:paraId="13FFAE3D"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монумент</w:t>
            </w:r>
          </w:p>
        </w:tc>
      </w:tr>
      <w:tr w:rsidR="000C5E62" w:rsidRPr="00731FE2" w14:paraId="06D4C76D" w14:textId="77777777" w:rsidTr="000C5E62">
        <w:trPr>
          <w:trHeight w:val="2958"/>
        </w:trPr>
        <w:tc>
          <w:tcPr>
            <w:tcW w:w="704" w:type="dxa"/>
            <w:shd w:val="clear" w:color="auto" w:fill="auto"/>
            <w:noWrap/>
          </w:tcPr>
          <w:p w14:paraId="77A469DC" w14:textId="77777777" w:rsidR="000C5E62" w:rsidRPr="00731FE2" w:rsidRDefault="000C5E62" w:rsidP="000C5E62">
            <w:pPr>
              <w:pStyle w:val="a3"/>
              <w:numPr>
                <w:ilvl w:val="0"/>
                <w:numId w:val="127"/>
              </w:numPr>
              <w:spacing w:line="240" w:lineRule="auto"/>
              <w:ind w:left="0" w:firstLine="0"/>
              <w:jc w:val="center"/>
              <w:rPr>
                <w:rFonts w:ascii="Times New Roman" w:eastAsia="Times New Roman" w:hAnsi="Times New Roman" w:cs="Times New Roman"/>
                <w:sz w:val="20"/>
                <w:szCs w:val="20"/>
                <w:lang w:eastAsia="ru-RU"/>
              </w:rPr>
            </w:pPr>
          </w:p>
        </w:tc>
        <w:tc>
          <w:tcPr>
            <w:tcW w:w="2581" w:type="dxa"/>
            <w:shd w:val="clear" w:color="000000" w:fill="auto"/>
            <w:hideMark/>
          </w:tcPr>
          <w:p w14:paraId="797E1A0D"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Памятник В.И. Ленину, 1957</w:t>
            </w:r>
          </w:p>
        </w:tc>
        <w:tc>
          <w:tcPr>
            <w:tcW w:w="1977" w:type="dxa"/>
            <w:shd w:val="clear" w:color="000000" w:fill="auto"/>
            <w:hideMark/>
          </w:tcPr>
          <w:p w14:paraId="75BA4BBF"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решение Ставропольского крайисполкома от 01.10.1981 № 702 «Об утверждении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w:t>
            </w:r>
          </w:p>
        </w:tc>
        <w:tc>
          <w:tcPr>
            <w:tcW w:w="1780" w:type="dxa"/>
            <w:shd w:val="clear" w:color="000000" w:fill="auto"/>
            <w:hideMark/>
          </w:tcPr>
          <w:p w14:paraId="06F8D54D"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регионального значения</w:t>
            </w:r>
          </w:p>
        </w:tc>
        <w:tc>
          <w:tcPr>
            <w:tcW w:w="2738" w:type="dxa"/>
            <w:shd w:val="clear" w:color="000000" w:fill="auto"/>
            <w:hideMark/>
          </w:tcPr>
          <w:p w14:paraId="131BA8A4"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пл. им. В.И. Ленина</w:t>
            </w:r>
          </w:p>
        </w:tc>
        <w:tc>
          <w:tcPr>
            <w:tcW w:w="1993" w:type="dxa"/>
            <w:shd w:val="clear" w:color="000000" w:fill="auto"/>
            <w:hideMark/>
          </w:tcPr>
          <w:p w14:paraId="272161DD"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750 от 18.07.2022</w:t>
            </w:r>
          </w:p>
        </w:tc>
        <w:tc>
          <w:tcPr>
            <w:tcW w:w="2427" w:type="dxa"/>
            <w:shd w:val="clear" w:color="000000" w:fill="auto"/>
            <w:hideMark/>
          </w:tcPr>
          <w:p w14:paraId="46B41D4C"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монумент</w:t>
            </w:r>
          </w:p>
        </w:tc>
      </w:tr>
      <w:tr w:rsidR="000C5E62" w:rsidRPr="00731FE2" w14:paraId="5745B003" w14:textId="77777777" w:rsidTr="000C5E62">
        <w:trPr>
          <w:trHeight w:val="3696"/>
        </w:trPr>
        <w:tc>
          <w:tcPr>
            <w:tcW w:w="704" w:type="dxa"/>
            <w:shd w:val="clear" w:color="auto" w:fill="auto"/>
            <w:noWrap/>
          </w:tcPr>
          <w:p w14:paraId="2BF359C5" w14:textId="77777777" w:rsidR="000C5E62" w:rsidRPr="00731FE2" w:rsidRDefault="000C5E62" w:rsidP="000C5E62">
            <w:pPr>
              <w:pStyle w:val="a3"/>
              <w:numPr>
                <w:ilvl w:val="0"/>
                <w:numId w:val="127"/>
              </w:numPr>
              <w:spacing w:line="240" w:lineRule="auto"/>
              <w:ind w:left="0" w:firstLine="0"/>
              <w:jc w:val="center"/>
              <w:rPr>
                <w:rFonts w:ascii="Times New Roman" w:eastAsia="Times New Roman" w:hAnsi="Times New Roman" w:cs="Times New Roman"/>
                <w:sz w:val="20"/>
                <w:szCs w:val="20"/>
                <w:lang w:eastAsia="ru-RU"/>
              </w:rPr>
            </w:pPr>
          </w:p>
        </w:tc>
        <w:tc>
          <w:tcPr>
            <w:tcW w:w="2581" w:type="dxa"/>
            <w:shd w:val="clear" w:color="000000" w:fill="auto"/>
            <w:hideMark/>
          </w:tcPr>
          <w:p w14:paraId="31C7A4BF"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Памятник Герою Советского Союза Г.А. Арустамову, 1967</w:t>
            </w:r>
          </w:p>
        </w:tc>
        <w:tc>
          <w:tcPr>
            <w:tcW w:w="1977" w:type="dxa"/>
            <w:shd w:val="clear" w:color="000000" w:fill="auto"/>
            <w:hideMark/>
          </w:tcPr>
          <w:p w14:paraId="5308067B"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решение Ставропольского крайисполкома от 01.10.1981 № 702 «Об утверждении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w:t>
            </w:r>
          </w:p>
        </w:tc>
        <w:tc>
          <w:tcPr>
            <w:tcW w:w="1780" w:type="dxa"/>
            <w:shd w:val="clear" w:color="000000" w:fill="auto"/>
            <w:hideMark/>
          </w:tcPr>
          <w:p w14:paraId="75ED8761"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регионального значения</w:t>
            </w:r>
          </w:p>
        </w:tc>
        <w:tc>
          <w:tcPr>
            <w:tcW w:w="2738" w:type="dxa"/>
            <w:shd w:val="clear" w:color="000000" w:fill="auto"/>
            <w:hideMark/>
          </w:tcPr>
          <w:p w14:paraId="346F8741"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 Мира, 15</w:t>
            </w:r>
          </w:p>
        </w:tc>
        <w:tc>
          <w:tcPr>
            <w:tcW w:w="1993" w:type="dxa"/>
            <w:shd w:val="clear" w:color="000000" w:fill="auto"/>
            <w:hideMark/>
          </w:tcPr>
          <w:p w14:paraId="35A49B8F"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970 от 29.08.2022</w:t>
            </w:r>
          </w:p>
        </w:tc>
        <w:tc>
          <w:tcPr>
            <w:tcW w:w="2427" w:type="dxa"/>
            <w:shd w:val="clear" w:color="000000" w:fill="auto"/>
            <w:hideMark/>
          </w:tcPr>
          <w:p w14:paraId="06F099B7"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монумент</w:t>
            </w:r>
          </w:p>
        </w:tc>
      </w:tr>
      <w:tr w:rsidR="000C5E62" w:rsidRPr="00731FE2" w14:paraId="6DCA0BD9" w14:textId="77777777" w:rsidTr="000C5E62">
        <w:trPr>
          <w:trHeight w:val="2533"/>
        </w:trPr>
        <w:tc>
          <w:tcPr>
            <w:tcW w:w="704" w:type="dxa"/>
            <w:shd w:val="clear" w:color="auto" w:fill="auto"/>
            <w:noWrap/>
          </w:tcPr>
          <w:p w14:paraId="277E3537" w14:textId="77777777" w:rsidR="000C5E62" w:rsidRPr="00731FE2" w:rsidRDefault="000C5E62" w:rsidP="000C5E62">
            <w:pPr>
              <w:pStyle w:val="a3"/>
              <w:numPr>
                <w:ilvl w:val="0"/>
                <w:numId w:val="127"/>
              </w:numPr>
              <w:spacing w:line="240" w:lineRule="auto"/>
              <w:ind w:left="0" w:firstLine="0"/>
              <w:jc w:val="center"/>
              <w:rPr>
                <w:rFonts w:ascii="Times New Roman" w:eastAsia="Times New Roman" w:hAnsi="Times New Roman" w:cs="Times New Roman"/>
                <w:sz w:val="20"/>
                <w:szCs w:val="20"/>
                <w:lang w:eastAsia="ru-RU"/>
              </w:rPr>
            </w:pPr>
          </w:p>
        </w:tc>
        <w:tc>
          <w:tcPr>
            <w:tcW w:w="2581" w:type="dxa"/>
            <w:shd w:val="clear" w:color="000000" w:fill="auto"/>
            <w:hideMark/>
          </w:tcPr>
          <w:p w14:paraId="2FCC3574"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Памятник Ксении Ге, следователю Кисловодского ЧК, 1957</w:t>
            </w:r>
          </w:p>
        </w:tc>
        <w:tc>
          <w:tcPr>
            <w:tcW w:w="1977" w:type="dxa"/>
            <w:shd w:val="clear" w:color="000000" w:fill="auto"/>
            <w:hideMark/>
          </w:tcPr>
          <w:p w14:paraId="482B7F01"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решение Ставропольского крайисполкома от 01.10.1981 № 702 «Об утверждении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w:t>
            </w:r>
          </w:p>
        </w:tc>
        <w:tc>
          <w:tcPr>
            <w:tcW w:w="1780" w:type="dxa"/>
            <w:shd w:val="clear" w:color="000000" w:fill="auto"/>
            <w:hideMark/>
          </w:tcPr>
          <w:p w14:paraId="47B4175D"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регионального значения</w:t>
            </w:r>
          </w:p>
        </w:tc>
        <w:tc>
          <w:tcPr>
            <w:tcW w:w="2738" w:type="dxa"/>
            <w:shd w:val="clear" w:color="000000" w:fill="auto"/>
            <w:hideMark/>
          </w:tcPr>
          <w:p w14:paraId="62F127FF"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 50 лет Октября, 15</w:t>
            </w:r>
          </w:p>
        </w:tc>
        <w:tc>
          <w:tcPr>
            <w:tcW w:w="1993" w:type="dxa"/>
            <w:shd w:val="clear" w:color="000000" w:fill="auto"/>
            <w:hideMark/>
          </w:tcPr>
          <w:p w14:paraId="589839FA"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1083 от 21.09.2022</w:t>
            </w:r>
          </w:p>
        </w:tc>
        <w:tc>
          <w:tcPr>
            <w:tcW w:w="2427" w:type="dxa"/>
            <w:shd w:val="clear" w:color="000000" w:fill="auto"/>
            <w:hideMark/>
          </w:tcPr>
          <w:p w14:paraId="62F50B94"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в ЗО Комплекс Главных нарзанных ванн</w:t>
            </w:r>
          </w:p>
        </w:tc>
      </w:tr>
      <w:tr w:rsidR="000C5E62" w:rsidRPr="00731FE2" w14:paraId="78FA2CCE" w14:textId="77777777" w:rsidTr="000C5E62">
        <w:trPr>
          <w:trHeight w:val="3696"/>
        </w:trPr>
        <w:tc>
          <w:tcPr>
            <w:tcW w:w="704" w:type="dxa"/>
            <w:shd w:val="clear" w:color="auto" w:fill="auto"/>
            <w:noWrap/>
          </w:tcPr>
          <w:p w14:paraId="7B3570ED" w14:textId="77777777" w:rsidR="000C5E62" w:rsidRPr="00731FE2" w:rsidRDefault="000C5E62" w:rsidP="000C5E62">
            <w:pPr>
              <w:pStyle w:val="a3"/>
              <w:numPr>
                <w:ilvl w:val="0"/>
                <w:numId w:val="127"/>
              </w:numPr>
              <w:spacing w:line="240" w:lineRule="auto"/>
              <w:ind w:left="0" w:firstLine="0"/>
              <w:jc w:val="center"/>
              <w:rPr>
                <w:rFonts w:ascii="Times New Roman" w:eastAsia="Times New Roman" w:hAnsi="Times New Roman" w:cs="Times New Roman"/>
                <w:sz w:val="20"/>
                <w:szCs w:val="20"/>
                <w:lang w:eastAsia="ru-RU"/>
              </w:rPr>
            </w:pPr>
          </w:p>
        </w:tc>
        <w:tc>
          <w:tcPr>
            <w:tcW w:w="2581" w:type="dxa"/>
            <w:shd w:val="clear" w:color="000000" w:fill="auto"/>
            <w:hideMark/>
          </w:tcPr>
          <w:p w14:paraId="4C3A1FEB"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Памятник Д.И. Тюленеву, первому председателю Кисловодского Совдепа, 1957</w:t>
            </w:r>
          </w:p>
        </w:tc>
        <w:tc>
          <w:tcPr>
            <w:tcW w:w="1977" w:type="dxa"/>
            <w:shd w:val="clear" w:color="000000" w:fill="auto"/>
            <w:hideMark/>
          </w:tcPr>
          <w:p w14:paraId="6CE762E5"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решение Ставропольского крайисполкома от 01.10.1981 № 702 «Об утверждении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w:t>
            </w:r>
          </w:p>
        </w:tc>
        <w:tc>
          <w:tcPr>
            <w:tcW w:w="1780" w:type="dxa"/>
            <w:shd w:val="clear" w:color="000000" w:fill="auto"/>
            <w:hideMark/>
          </w:tcPr>
          <w:p w14:paraId="03C9D3F2"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регионального значения</w:t>
            </w:r>
          </w:p>
        </w:tc>
        <w:tc>
          <w:tcPr>
            <w:tcW w:w="2738" w:type="dxa"/>
            <w:shd w:val="clear" w:color="000000" w:fill="auto"/>
            <w:hideMark/>
          </w:tcPr>
          <w:p w14:paraId="70D49BFD"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 50 лет Октября</w:t>
            </w:r>
          </w:p>
        </w:tc>
        <w:tc>
          <w:tcPr>
            <w:tcW w:w="1993" w:type="dxa"/>
            <w:shd w:val="clear" w:color="000000" w:fill="auto"/>
            <w:hideMark/>
          </w:tcPr>
          <w:p w14:paraId="27713824"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1085 от 21.09.2022</w:t>
            </w:r>
          </w:p>
        </w:tc>
        <w:tc>
          <w:tcPr>
            <w:tcW w:w="2427" w:type="dxa"/>
            <w:shd w:val="clear" w:color="000000" w:fill="auto"/>
            <w:hideMark/>
          </w:tcPr>
          <w:p w14:paraId="3D83810A"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монумент</w:t>
            </w:r>
          </w:p>
        </w:tc>
      </w:tr>
      <w:tr w:rsidR="000C5E62" w:rsidRPr="00731FE2" w14:paraId="6CB312C2" w14:textId="77777777" w:rsidTr="000C5E62">
        <w:trPr>
          <w:trHeight w:val="2391"/>
        </w:trPr>
        <w:tc>
          <w:tcPr>
            <w:tcW w:w="704" w:type="dxa"/>
            <w:shd w:val="clear" w:color="auto" w:fill="auto"/>
            <w:noWrap/>
          </w:tcPr>
          <w:p w14:paraId="3095C250" w14:textId="77777777" w:rsidR="000C5E62" w:rsidRPr="00731FE2" w:rsidRDefault="000C5E62" w:rsidP="000C5E62">
            <w:pPr>
              <w:pStyle w:val="a3"/>
              <w:numPr>
                <w:ilvl w:val="0"/>
                <w:numId w:val="127"/>
              </w:numPr>
              <w:spacing w:line="240" w:lineRule="auto"/>
              <w:ind w:left="0" w:firstLine="0"/>
              <w:jc w:val="center"/>
              <w:rPr>
                <w:rFonts w:ascii="Times New Roman" w:eastAsia="Times New Roman" w:hAnsi="Times New Roman" w:cs="Times New Roman"/>
                <w:sz w:val="20"/>
                <w:szCs w:val="20"/>
                <w:lang w:eastAsia="ru-RU"/>
              </w:rPr>
            </w:pPr>
          </w:p>
        </w:tc>
        <w:tc>
          <w:tcPr>
            <w:tcW w:w="2581" w:type="dxa"/>
            <w:shd w:val="clear" w:color="000000" w:fill="auto"/>
            <w:hideMark/>
          </w:tcPr>
          <w:p w14:paraId="7C4C4B0E"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Памятник Л.А. Семашко, 1949</w:t>
            </w:r>
          </w:p>
        </w:tc>
        <w:tc>
          <w:tcPr>
            <w:tcW w:w="1977" w:type="dxa"/>
            <w:shd w:val="clear" w:color="000000" w:fill="auto"/>
            <w:hideMark/>
          </w:tcPr>
          <w:p w14:paraId="15E849AE"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решение Ставропольского крайисполкома от 01.10.1981 № 702 «Об утверждении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w:t>
            </w:r>
          </w:p>
        </w:tc>
        <w:tc>
          <w:tcPr>
            <w:tcW w:w="1780" w:type="dxa"/>
            <w:shd w:val="clear" w:color="000000" w:fill="auto"/>
            <w:hideMark/>
          </w:tcPr>
          <w:p w14:paraId="0B5F59C7"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регионального значения</w:t>
            </w:r>
          </w:p>
        </w:tc>
        <w:tc>
          <w:tcPr>
            <w:tcW w:w="2738" w:type="dxa"/>
            <w:shd w:val="clear" w:color="000000" w:fill="auto"/>
            <w:hideMark/>
          </w:tcPr>
          <w:p w14:paraId="6403D84B"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Семашко, 2</w:t>
            </w:r>
          </w:p>
        </w:tc>
        <w:tc>
          <w:tcPr>
            <w:tcW w:w="1993" w:type="dxa"/>
            <w:shd w:val="clear" w:color="000000" w:fill="auto"/>
            <w:hideMark/>
          </w:tcPr>
          <w:p w14:paraId="028DAD83"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1306 от 26.10.2022 г.</w:t>
            </w:r>
          </w:p>
        </w:tc>
        <w:tc>
          <w:tcPr>
            <w:tcW w:w="2427" w:type="dxa"/>
            <w:shd w:val="clear" w:color="000000" w:fill="auto"/>
            <w:hideMark/>
          </w:tcPr>
          <w:p w14:paraId="10461C29"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монумент</w:t>
            </w:r>
          </w:p>
        </w:tc>
      </w:tr>
      <w:tr w:rsidR="000C5E62" w:rsidRPr="00731FE2" w14:paraId="20E524E7" w14:textId="77777777" w:rsidTr="000C5E62">
        <w:trPr>
          <w:trHeight w:val="3696"/>
        </w:trPr>
        <w:tc>
          <w:tcPr>
            <w:tcW w:w="704" w:type="dxa"/>
            <w:shd w:val="clear" w:color="auto" w:fill="auto"/>
            <w:noWrap/>
          </w:tcPr>
          <w:p w14:paraId="2CE3805C" w14:textId="77777777" w:rsidR="000C5E62" w:rsidRPr="00731FE2" w:rsidRDefault="000C5E62" w:rsidP="000C5E62">
            <w:pPr>
              <w:pStyle w:val="a3"/>
              <w:numPr>
                <w:ilvl w:val="0"/>
                <w:numId w:val="127"/>
              </w:numPr>
              <w:spacing w:line="240" w:lineRule="auto"/>
              <w:ind w:left="0" w:firstLine="0"/>
              <w:jc w:val="center"/>
              <w:rPr>
                <w:rFonts w:ascii="Times New Roman" w:eastAsia="Times New Roman" w:hAnsi="Times New Roman" w:cs="Times New Roman"/>
                <w:sz w:val="20"/>
                <w:szCs w:val="20"/>
                <w:lang w:eastAsia="ru-RU"/>
              </w:rPr>
            </w:pPr>
          </w:p>
        </w:tc>
        <w:tc>
          <w:tcPr>
            <w:tcW w:w="2581" w:type="dxa"/>
            <w:shd w:val="clear" w:color="000000" w:fill="auto"/>
            <w:hideMark/>
          </w:tcPr>
          <w:p w14:paraId="2EC001D8"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Памятник воину, погибшему в годы Великой Отечественной войны, 1949</w:t>
            </w:r>
          </w:p>
        </w:tc>
        <w:tc>
          <w:tcPr>
            <w:tcW w:w="1977" w:type="dxa"/>
            <w:shd w:val="clear" w:color="000000" w:fill="auto"/>
            <w:hideMark/>
          </w:tcPr>
          <w:p w14:paraId="17138CB2"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решение Ставропольского крайисполкома от 01.10.1981 № 702 «Об утверждении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w:t>
            </w:r>
          </w:p>
        </w:tc>
        <w:tc>
          <w:tcPr>
            <w:tcW w:w="1780" w:type="dxa"/>
            <w:shd w:val="clear" w:color="000000" w:fill="auto"/>
            <w:hideMark/>
          </w:tcPr>
          <w:p w14:paraId="6409383E"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регионального значения</w:t>
            </w:r>
          </w:p>
        </w:tc>
        <w:tc>
          <w:tcPr>
            <w:tcW w:w="2738" w:type="dxa"/>
            <w:shd w:val="clear" w:color="000000" w:fill="auto"/>
            <w:hideMark/>
          </w:tcPr>
          <w:p w14:paraId="50BF8979"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 Цандера</w:t>
            </w:r>
          </w:p>
        </w:tc>
        <w:tc>
          <w:tcPr>
            <w:tcW w:w="1993" w:type="dxa"/>
            <w:shd w:val="clear" w:color="008080" w:fill="auto"/>
            <w:hideMark/>
          </w:tcPr>
          <w:p w14:paraId="5F09D6D3"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приказ управление СК по охране ОКН от 15.06.2016 № 270</w:t>
            </w:r>
          </w:p>
        </w:tc>
        <w:tc>
          <w:tcPr>
            <w:tcW w:w="2427" w:type="dxa"/>
            <w:shd w:val="clear" w:color="000000" w:fill="auto"/>
            <w:hideMark/>
          </w:tcPr>
          <w:p w14:paraId="17833DC3"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монумент</w:t>
            </w:r>
          </w:p>
        </w:tc>
      </w:tr>
      <w:tr w:rsidR="000C5E62" w:rsidRPr="00731FE2" w14:paraId="5D52D447" w14:textId="77777777" w:rsidTr="000C5E62">
        <w:trPr>
          <w:trHeight w:val="2675"/>
        </w:trPr>
        <w:tc>
          <w:tcPr>
            <w:tcW w:w="704" w:type="dxa"/>
            <w:shd w:val="clear" w:color="auto" w:fill="auto"/>
            <w:noWrap/>
          </w:tcPr>
          <w:p w14:paraId="11C57B33" w14:textId="77777777" w:rsidR="000C5E62" w:rsidRPr="00731FE2" w:rsidRDefault="000C5E62" w:rsidP="000C5E62">
            <w:pPr>
              <w:pStyle w:val="a3"/>
              <w:numPr>
                <w:ilvl w:val="0"/>
                <w:numId w:val="127"/>
              </w:numPr>
              <w:spacing w:line="240" w:lineRule="auto"/>
              <w:ind w:left="0" w:firstLine="0"/>
              <w:jc w:val="center"/>
              <w:rPr>
                <w:rFonts w:ascii="Times New Roman" w:eastAsia="Times New Roman" w:hAnsi="Times New Roman" w:cs="Times New Roman"/>
                <w:sz w:val="20"/>
                <w:szCs w:val="20"/>
                <w:lang w:eastAsia="ru-RU"/>
              </w:rPr>
            </w:pPr>
          </w:p>
        </w:tc>
        <w:tc>
          <w:tcPr>
            <w:tcW w:w="2581" w:type="dxa"/>
            <w:shd w:val="clear" w:color="000000" w:fill="auto"/>
            <w:hideMark/>
          </w:tcPr>
          <w:p w14:paraId="60141FBA"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Памятник комсомольцу М.Л. Кардашу, 1967</w:t>
            </w:r>
          </w:p>
        </w:tc>
        <w:tc>
          <w:tcPr>
            <w:tcW w:w="1977" w:type="dxa"/>
            <w:shd w:val="clear" w:color="000000" w:fill="auto"/>
            <w:hideMark/>
          </w:tcPr>
          <w:p w14:paraId="7F12185B"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решение Ставропольского крайисполкома от 01.10.1981 № 702 «Об утверждении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w:t>
            </w:r>
          </w:p>
        </w:tc>
        <w:tc>
          <w:tcPr>
            <w:tcW w:w="1780" w:type="dxa"/>
            <w:shd w:val="clear" w:color="000000" w:fill="auto"/>
            <w:hideMark/>
          </w:tcPr>
          <w:p w14:paraId="743D4993"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регионального значения</w:t>
            </w:r>
          </w:p>
        </w:tc>
        <w:tc>
          <w:tcPr>
            <w:tcW w:w="2738" w:type="dxa"/>
            <w:shd w:val="clear" w:color="000000" w:fill="auto"/>
            <w:hideMark/>
          </w:tcPr>
          <w:p w14:paraId="6E3C899B"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 Цандера</w:t>
            </w:r>
          </w:p>
        </w:tc>
        <w:tc>
          <w:tcPr>
            <w:tcW w:w="1993" w:type="dxa"/>
            <w:shd w:val="clear" w:color="000000" w:fill="auto"/>
            <w:hideMark/>
          </w:tcPr>
          <w:p w14:paraId="2377ED3B"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1440 от 22.11.2022</w:t>
            </w:r>
          </w:p>
        </w:tc>
        <w:tc>
          <w:tcPr>
            <w:tcW w:w="2427" w:type="dxa"/>
            <w:shd w:val="clear" w:color="000000" w:fill="auto"/>
            <w:hideMark/>
          </w:tcPr>
          <w:p w14:paraId="4AD4B5E4"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монумент</w:t>
            </w:r>
          </w:p>
        </w:tc>
      </w:tr>
      <w:tr w:rsidR="000C5E62" w:rsidRPr="00731FE2" w14:paraId="7217678B" w14:textId="77777777" w:rsidTr="000C5E62">
        <w:trPr>
          <w:trHeight w:val="3696"/>
        </w:trPr>
        <w:tc>
          <w:tcPr>
            <w:tcW w:w="704" w:type="dxa"/>
            <w:shd w:val="clear" w:color="auto" w:fill="auto"/>
            <w:noWrap/>
          </w:tcPr>
          <w:p w14:paraId="4DA68993" w14:textId="77777777" w:rsidR="000C5E62" w:rsidRPr="00731FE2" w:rsidRDefault="000C5E62" w:rsidP="000C5E62">
            <w:pPr>
              <w:pStyle w:val="a3"/>
              <w:numPr>
                <w:ilvl w:val="0"/>
                <w:numId w:val="127"/>
              </w:numPr>
              <w:spacing w:line="240" w:lineRule="auto"/>
              <w:ind w:left="0" w:firstLine="0"/>
              <w:jc w:val="center"/>
              <w:rPr>
                <w:rFonts w:ascii="Times New Roman" w:eastAsia="Times New Roman" w:hAnsi="Times New Roman" w:cs="Times New Roman"/>
                <w:sz w:val="20"/>
                <w:szCs w:val="20"/>
                <w:lang w:eastAsia="ru-RU"/>
              </w:rPr>
            </w:pPr>
          </w:p>
        </w:tc>
        <w:tc>
          <w:tcPr>
            <w:tcW w:w="2581" w:type="dxa"/>
            <w:shd w:val="clear" w:color="auto" w:fill="auto"/>
            <w:hideMark/>
          </w:tcPr>
          <w:p w14:paraId="08F8A7D2"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Памятник М. Горькому, 1947</w:t>
            </w:r>
          </w:p>
        </w:tc>
        <w:tc>
          <w:tcPr>
            <w:tcW w:w="1977" w:type="dxa"/>
            <w:shd w:val="clear" w:color="auto" w:fill="auto"/>
            <w:hideMark/>
          </w:tcPr>
          <w:p w14:paraId="464AC77B"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решение Ставропольского крайисполкома от 01.10.1981 № 702 «Об утверждении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w:t>
            </w:r>
          </w:p>
        </w:tc>
        <w:tc>
          <w:tcPr>
            <w:tcW w:w="1780" w:type="dxa"/>
            <w:shd w:val="clear" w:color="auto" w:fill="auto"/>
            <w:hideMark/>
          </w:tcPr>
          <w:p w14:paraId="3DD38942"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регионального значения</w:t>
            </w:r>
          </w:p>
        </w:tc>
        <w:tc>
          <w:tcPr>
            <w:tcW w:w="2738" w:type="dxa"/>
            <w:shd w:val="clear" w:color="auto" w:fill="auto"/>
            <w:hideMark/>
          </w:tcPr>
          <w:p w14:paraId="77457F11"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у филармонии</w:t>
            </w:r>
          </w:p>
        </w:tc>
        <w:tc>
          <w:tcPr>
            <w:tcW w:w="1993" w:type="dxa"/>
            <w:shd w:val="clear" w:color="auto" w:fill="auto"/>
            <w:hideMark/>
          </w:tcPr>
          <w:p w14:paraId="4028A410"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p>
        </w:tc>
        <w:tc>
          <w:tcPr>
            <w:tcW w:w="2427" w:type="dxa"/>
            <w:shd w:val="clear" w:color="auto" w:fill="auto"/>
            <w:hideMark/>
          </w:tcPr>
          <w:p w14:paraId="722AE170"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монумент</w:t>
            </w:r>
          </w:p>
        </w:tc>
      </w:tr>
      <w:tr w:rsidR="000C5E62" w:rsidRPr="00731FE2" w14:paraId="364EE6B2" w14:textId="77777777" w:rsidTr="000C5E62">
        <w:trPr>
          <w:trHeight w:val="2250"/>
        </w:trPr>
        <w:tc>
          <w:tcPr>
            <w:tcW w:w="704" w:type="dxa"/>
            <w:shd w:val="clear" w:color="auto" w:fill="auto"/>
            <w:noWrap/>
          </w:tcPr>
          <w:p w14:paraId="06EC2208" w14:textId="77777777" w:rsidR="000C5E62" w:rsidRPr="00731FE2" w:rsidRDefault="000C5E62" w:rsidP="000C5E62">
            <w:pPr>
              <w:pStyle w:val="a3"/>
              <w:numPr>
                <w:ilvl w:val="0"/>
                <w:numId w:val="127"/>
              </w:numPr>
              <w:spacing w:line="240" w:lineRule="auto"/>
              <w:ind w:left="0" w:firstLine="0"/>
              <w:jc w:val="center"/>
              <w:rPr>
                <w:rFonts w:ascii="Times New Roman" w:eastAsia="Times New Roman" w:hAnsi="Times New Roman" w:cs="Times New Roman"/>
                <w:sz w:val="20"/>
                <w:szCs w:val="20"/>
                <w:lang w:eastAsia="ru-RU"/>
              </w:rPr>
            </w:pPr>
          </w:p>
        </w:tc>
        <w:tc>
          <w:tcPr>
            <w:tcW w:w="2581" w:type="dxa"/>
            <w:shd w:val="clear" w:color="auto" w:fill="auto"/>
            <w:hideMark/>
          </w:tcPr>
          <w:p w14:paraId="2BE23AFD"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Памятник В.И. Ленину, 1954</w:t>
            </w:r>
          </w:p>
        </w:tc>
        <w:tc>
          <w:tcPr>
            <w:tcW w:w="1977" w:type="dxa"/>
            <w:shd w:val="clear" w:color="auto" w:fill="auto"/>
            <w:hideMark/>
          </w:tcPr>
          <w:p w14:paraId="20FDCA96"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решение Ставропольского крайисполкома от 01.10.1981 № 702 «Об утверждении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w:t>
            </w:r>
          </w:p>
        </w:tc>
        <w:tc>
          <w:tcPr>
            <w:tcW w:w="1780" w:type="dxa"/>
            <w:shd w:val="clear" w:color="auto" w:fill="auto"/>
            <w:hideMark/>
          </w:tcPr>
          <w:p w14:paraId="4351ABB1"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регионального значения</w:t>
            </w:r>
          </w:p>
        </w:tc>
        <w:tc>
          <w:tcPr>
            <w:tcW w:w="2738" w:type="dxa"/>
            <w:shd w:val="clear" w:color="auto" w:fill="auto"/>
            <w:hideMark/>
          </w:tcPr>
          <w:p w14:paraId="2F347EEB"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ул. Шаумяна, 33</w:t>
            </w:r>
          </w:p>
        </w:tc>
        <w:tc>
          <w:tcPr>
            <w:tcW w:w="1993" w:type="dxa"/>
            <w:shd w:val="clear" w:color="auto" w:fill="auto"/>
            <w:hideMark/>
          </w:tcPr>
          <w:p w14:paraId="0BF5BA24"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p>
        </w:tc>
        <w:tc>
          <w:tcPr>
            <w:tcW w:w="2427" w:type="dxa"/>
            <w:shd w:val="clear" w:color="auto" w:fill="auto"/>
            <w:hideMark/>
          </w:tcPr>
          <w:p w14:paraId="6CF2B677"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монумент</w:t>
            </w:r>
          </w:p>
        </w:tc>
      </w:tr>
      <w:tr w:rsidR="000C5E62" w:rsidRPr="00731FE2" w14:paraId="630D9886" w14:textId="77777777" w:rsidTr="000C5E62">
        <w:trPr>
          <w:trHeight w:val="3960"/>
        </w:trPr>
        <w:tc>
          <w:tcPr>
            <w:tcW w:w="704" w:type="dxa"/>
            <w:shd w:val="clear" w:color="auto" w:fill="auto"/>
            <w:noWrap/>
          </w:tcPr>
          <w:p w14:paraId="0BF5110F" w14:textId="77777777" w:rsidR="000C5E62" w:rsidRPr="00731FE2" w:rsidRDefault="000C5E62" w:rsidP="000C5E62">
            <w:pPr>
              <w:pStyle w:val="a3"/>
              <w:numPr>
                <w:ilvl w:val="0"/>
                <w:numId w:val="127"/>
              </w:numPr>
              <w:spacing w:line="240" w:lineRule="auto"/>
              <w:ind w:left="0" w:firstLine="0"/>
              <w:jc w:val="center"/>
              <w:rPr>
                <w:rFonts w:ascii="Times New Roman" w:eastAsia="Times New Roman" w:hAnsi="Times New Roman" w:cs="Times New Roman"/>
                <w:sz w:val="20"/>
                <w:szCs w:val="20"/>
                <w:lang w:eastAsia="ru-RU"/>
              </w:rPr>
            </w:pPr>
          </w:p>
        </w:tc>
        <w:tc>
          <w:tcPr>
            <w:tcW w:w="2581" w:type="dxa"/>
            <w:shd w:val="clear" w:color="000000" w:fill="auto"/>
            <w:hideMark/>
          </w:tcPr>
          <w:p w14:paraId="539C307C"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Особняк Спициной, нач. ХХ в.</w:t>
            </w:r>
          </w:p>
        </w:tc>
        <w:tc>
          <w:tcPr>
            <w:tcW w:w="1977" w:type="dxa"/>
            <w:shd w:val="clear" w:color="000000" w:fill="auto"/>
            <w:hideMark/>
          </w:tcPr>
          <w:p w14:paraId="29FCDC31"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780" w:type="dxa"/>
            <w:shd w:val="clear" w:color="000000" w:fill="auto"/>
            <w:hideMark/>
          </w:tcPr>
          <w:p w14:paraId="649800CA"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регионального значения</w:t>
            </w:r>
          </w:p>
        </w:tc>
        <w:tc>
          <w:tcPr>
            <w:tcW w:w="2738" w:type="dxa"/>
            <w:shd w:val="clear" w:color="000000" w:fill="auto"/>
            <w:hideMark/>
          </w:tcPr>
          <w:p w14:paraId="3663400B"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ул. Авиации, 12</w:t>
            </w:r>
          </w:p>
        </w:tc>
        <w:tc>
          <w:tcPr>
            <w:tcW w:w="1993" w:type="dxa"/>
            <w:shd w:val="clear" w:color="008080" w:fill="auto"/>
            <w:hideMark/>
          </w:tcPr>
          <w:p w14:paraId="189CA6BD"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приказ управление СК по охране ОКН от 15.06.2016 № 256</w:t>
            </w:r>
          </w:p>
        </w:tc>
        <w:tc>
          <w:tcPr>
            <w:tcW w:w="2427" w:type="dxa"/>
            <w:shd w:val="clear" w:color="000000" w:fill="auto"/>
            <w:hideMark/>
          </w:tcPr>
          <w:p w14:paraId="4CB551BD"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445 от 13.05.2024</w:t>
            </w:r>
          </w:p>
        </w:tc>
      </w:tr>
      <w:tr w:rsidR="000C5E62" w:rsidRPr="00731FE2" w14:paraId="53E4A28D" w14:textId="77777777" w:rsidTr="000C5E62">
        <w:trPr>
          <w:trHeight w:val="3960"/>
        </w:trPr>
        <w:tc>
          <w:tcPr>
            <w:tcW w:w="704" w:type="dxa"/>
            <w:shd w:val="clear" w:color="auto" w:fill="auto"/>
            <w:noWrap/>
          </w:tcPr>
          <w:p w14:paraId="1BA136DB" w14:textId="77777777" w:rsidR="000C5E62" w:rsidRPr="00731FE2" w:rsidRDefault="000C5E62" w:rsidP="000C5E62">
            <w:pPr>
              <w:pStyle w:val="a3"/>
              <w:numPr>
                <w:ilvl w:val="0"/>
                <w:numId w:val="127"/>
              </w:numPr>
              <w:spacing w:line="240" w:lineRule="auto"/>
              <w:ind w:left="0" w:firstLine="0"/>
              <w:jc w:val="center"/>
              <w:rPr>
                <w:rFonts w:ascii="Times New Roman" w:eastAsia="Times New Roman" w:hAnsi="Times New Roman" w:cs="Times New Roman"/>
                <w:sz w:val="20"/>
                <w:szCs w:val="20"/>
                <w:lang w:eastAsia="ru-RU"/>
              </w:rPr>
            </w:pPr>
          </w:p>
        </w:tc>
        <w:tc>
          <w:tcPr>
            <w:tcW w:w="2581" w:type="dxa"/>
            <w:shd w:val="clear" w:color="auto" w:fill="auto"/>
            <w:hideMark/>
          </w:tcPr>
          <w:p w14:paraId="12C231CC"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Особняк, нач. ХХ в.</w:t>
            </w:r>
          </w:p>
        </w:tc>
        <w:tc>
          <w:tcPr>
            <w:tcW w:w="1977" w:type="dxa"/>
            <w:shd w:val="clear" w:color="auto" w:fill="auto"/>
            <w:hideMark/>
          </w:tcPr>
          <w:p w14:paraId="3EFD2877"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780" w:type="dxa"/>
            <w:shd w:val="clear" w:color="auto" w:fill="auto"/>
            <w:hideMark/>
          </w:tcPr>
          <w:p w14:paraId="11063067"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регионального значения</w:t>
            </w:r>
          </w:p>
        </w:tc>
        <w:tc>
          <w:tcPr>
            <w:tcW w:w="2738" w:type="dxa"/>
            <w:shd w:val="clear" w:color="auto" w:fill="auto"/>
            <w:hideMark/>
          </w:tcPr>
          <w:p w14:paraId="357BAAB9"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пер. Бородинский, 4</w:t>
            </w:r>
          </w:p>
        </w:tc>
        <w:tc>
          <w:tcPr>
            <w:tcW w:w="1993" w:type="dxa"/>
            <w:shd w:val="clear" w:color="auto" w:fill="auto"/>
            <w:hideMark/>
          </w:tcPr>
          <w:p w14:paraId="645143BC"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 661 от 28.06.2022</w:t>
            </w:r>
          </w:p>
        </w:tc>
        <w:tc>
          <w:tcPr>
            <w:tcW w:w="2427" w:type="dxa"/>
            <w:shd w:val="clear" w:color="000000" w:fill="auto"/>
            <w:hideMark/>
          </w:tcPr>
          <w:p w14:paraId="1CA07CE8"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1359 от 03.11.2022 г.</w:t>
            </w:r>
          </w:p>
        </w:tc>
      </w:tr>
      <w:tr w:rsidR="000C5E62" w:rsidRPr="00731FE2" w14:paraId="701CE0BE" w14:textId="77777777" w:rsidTr="000C5E62">
        <w:trPr>
          <w:trHeight w:val="3960"/>
        </w:trPr>
        <w:tc>
          <w:tcPr>
            <w:tcW w:w="704" w:type="dxa"/>
            <w:shd w:val="clear" w:color="auto" w:fill="auto"/>
            <w:noWrap/>
          </w:tcPr>
          <w:p w14:paraId="053CE600" w14:textId="77777777" w:rsidR="000C5E62" w:rsidRPr="00731FE2" w:rsidRDefault="000C5E62" w:rsidP="000C5E62">
            <w:pPr>
              <w:pStyle w:val="a3"/>
              <w:numPr>
                <w:ilvl w:val="0"/>
                <w:numId w:val="127"/>
              </w:numPr>
              <w:spacing w:line="240" w:lineRule="auto"/>
              <w:ind w:left="0" w:firstLine="0"/>
              <w:jc w:val="center"/>
              <w:rPr>
                <w:rFonts w:ascii="Times New Roman" w:eastAsia="Times New Roman" w:hAnsi="Times New Roman" w:cs="Times New Roman"/>
                <w:sz w:val="20"/>
                <w:szCs w:val="20"/>
                <w:lang w:eastAsia="ru-RU"/>
              </w:rPr>
            </w:pPr>
          </w:p>
        </w:tc>
        <w:tc>
          <w:tcPr>
            <w:tcW w:w="2581" w:type="dxa"/>
            <w:shd w:val="clear" w:color="FFFFFF" w:fill="FFFFFF"/>
            <w:hideMark/>
          </w:tcPr>
          <w:p w14:paraId="0C503B43"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Особняк, нач. ХХ в.</w:t>
            </w:r>
          </w:p>
        </w:tc>
        <w:tc>
          <w:tcPr>
            <w:tcW w:w="1977" w:type="dxa"/>
            <w:shd w:val="clear" w:color="FFFFFF" w:fill="FFFFFF"/>
            <w:hideMark/>
          </w:tcPr>
          <w:p w14:paraId="7CFE21B9"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780" w:type="dxa"/>
            <w:shd w:val="clear" w:color="FFFFFF" w:fill="FFFFFF"/>
            <w:hideMark/>
          </w:tcPr>
          <w:p w14:paraId="3C60B2BD"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регионального значения</w:t>
            </w:r>
          </w:p>
        </w:tc>
        <w:tc>
          <w:tcPr>
            <w:tcW w:w="2738" w:type="dxa"/>
            <w:shd w:val="clear" w:color="FFFFFF" w:fill="FFFFFF"/>
            <w:hideMark/>
          </w:tcPr>
          <w:p w14:paraId="64B5D24D"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пер. Бородинский, 4</w:t>
            </w:r>
          </w:p>
        </w:tc>
        <w:tc>
          <w:tcPr>
            <w:tcW w:w="1993" w:type="dxa"/>
            <w:shd w:val="clear" w:color="FFFFFF" w:fill="FFFFFF"/>
            <w:noWrap/>
            <w:hideMark/>
          </w:tcPr>
          <w:p w14:paraId="2E51C56A"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 663 от 28.06.2022</w:t>
            </w:r>
          </w:p>
        </w:tc>
        <w:tc>
          <w:tcPr>
            <w:tcW w:w="2427" w:type="dxa"/>
            <w:shd w:val="clear" w:color="FFFFFF" w:fill="FFFFFF"/>
            <w:hideMark/>
          </w:tcPr>
          <w:p w14:paraId="120F4D80"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1054 от 16.09.2022</w:t>
            </w:r>
          </w:p>
        </w:tc>
      </w:tr>
      <w:tr w:rsidR="000C5E62" w:rsidRPr="00731FE2" w14:paraId="7EE62A1B" w14:textId="77777777" w:rsidTr="000C5E62">
        <w:trPr>
          <w:trHeight w:val="3960"/>
        </w:trPr>
        <w:tc>
          <w:tcPr>
            <w:tcW w:w="704" w:type="dxa"/>
            <w:shd w:val="clear" w:color="auto" w:fill="auto"/>
            <w:noWrap/>
          </w:tcPr>
          <w:p w14:paraId="1EE6D089" w14:textId="77777777" w:rsidR="000C5E62" w:rsidRPr="00731FE2" w:rsidRDefault="000C5E62" w:rsidP="000C5E62">
            <w:pPr>
              <w:pStyle w:val="a3"/>
              <w:numPr>
                <w:ilvl w:val="0"/>
                <w:numId w:val="127"/>
              </w:numPr>
              <w:spacing w:line="240" w:lineRule="auto"/>
              <w:ind w:left="0" w:firstLine="0"/>
              <w:jc w:val="center"/>
              <w:rPr>
                <w:rFonts w:ascii="Times New Roman" w:eastAsia="Times New Roman" w:hAnsi="Times New Roman" w:cs="Times New Roman"/>
                <w:sz w:val="20"/>
                <w:szCs w:val="20"/>
                <w:lang w:eastAsia="ru-RU"/>
              </w:rPr>
            </w:pPr>
          </w:p>
        </w:tc>
        <w:tc>
          <w:tcPr>
            <w:tcW w:w="2581" w:type="dxa"/>
            <w:shd w:val="clear" w:color="FFFFFF" w:fill="FFFFFF"/>
            <w:hideMark/>
          </w:tcPr>
          <w:p w14:paraId="17DAE6D2"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Особняк купца Калинкина, кон. XIX -нач. XX в.</w:t>
            </w:r>
          </w:p>
        </w:tc>
        <w:tc>
          <w:tcPr>
            <w:tcW w:w="1977" w:type="dxa"/>
            <w:shd w:val="clear" w:color="FFFFFF" w:fill="FFFFFF"/>
            <w:hideMark/>
          </w:tcPr>
          <w:p w14:paraId="43D5D1F7"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780" w:type="dxa"/>
            <w:shd w:val="clear" w:color="FFFFFF" w:fill="FFFFFF"/>
            <w:hideMark/>
          </w:tcPr>
          <w:p w14:paraId="7CE4DC19"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регионального значения</w:t>
            </w:r>
          </w:p>
        </w:tc>
        <w:tc>
          <w:tcPr>
            <w:tcW w:w="2738" w:type="dxa"/>
            <w:shd w:val="clear" w:color="FFFFFF" w:fill="FFFFFF"/>
            <w:hideMark/>
          </w:tcPr>
          <w:p w14:paraId="72DCB672"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ул. Володарского/Дзержинского, 1/5 (литер А - основной корпус)</w:t>
            </w:r>
          </w:p>
        </w:tc>
        <w:tc>
          <w:tcPr>
            <w:tcW w:w="1993" w:type="dxa"/>
            <w:shd w:val="clear" w:color="FFFFFF" w:fill="FFFFFF"/>
            <w:hideMark/>
          </w:tcPr>
          <w:p w14:paraId="18502DED"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263 от 12.03.2024; от 07.12.2020 № 962</w:t>
            </w:r>
          </w:p>
        </w:tc>
        <w:tc>
          <w:tcPr>
            <w:tcW w:w="2427" w:type="dxa"/>
            <w:shd w:val="clear" w:color="FFFFFF" w:fill="FFFFFF"/>
            <w:hideMark/>
          </w:tcPr>
          <w:p w14:paraId="56FE8FF9"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от 20.02.2021 № 128</w:t>
            </w:r>
          </w:p>
        </w:tc>
      </w:tr>
      <w:tr w:rsidR="000C5E62" w:rsidRPr="00731FE2" w14:paraId="29465ED4" w14:textId="77777777" w:rsidTr="000C5E62">
        <w:trPr>
          <w:trHeight w:val="3960"/>
        </w:trPr>
        <w:tc>
          <w:tcPr>
            <w:tcW w:w="704" w:type="dxa"/>
            <w:shd w:val="clear" w:color="auto" w:fill="auto"/>
            <w:noWrap/>
          </w:tcPr>
          <w:p w14:paraId="5EEA482A" w14:textId="77777777" w:rsidR="000C5E62" w:rsidRPr="00731FE2" w:rsidRDefault="000C5E62" w:rsidP="000C5E62">
            <w:pPr>
              <w:pStyle w:val="a3"/>
              <w:numPr>
                <w:ilvl w:val="0"/>
                <w:numId w:val="127"/>
              </w:numPr>
              <w:spacing w:line="240" w:lineRule="auto"/>
              <w:ind w:left="0" w:firstLine="0"/>
              <w:jc w:val="center"/>
              <w:rPr>
                <w:rFonts w:ascii="Times New Roman" w:eastAsia="Times New Roman" w:hAnsi="Times New Roman" w:cs="Times New Roman"/>
                <w:sz w:val="20"/>
                <w:szCs w:val="20"/>
                <w:lang w:eastAsia="ru-RU"/>
              </w:rPr>
            </w:pPr>
          </w:p>
        </w:tc>
        <w:tc>
          <w:tcPr>
            <w:tcW w:w="2581" w:type="dxa"/>
            <w:shd w:val="clear" w:color="FFFFFF" w:fill="FFFFFF"/>
            <w:hideMark/>
          </w:tcPr>
          <w:p w14:paraId="5CDF64EC"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Особняк Ацатурова, нач. XX в.</w:t>
            </w:r>
          </w:p>
        </w:tc>
        <w:tc>
          <w:tcPr>
            <w:tcW w:w="1977" w:type="dxa"/>
            <w:shd w:val="clear" w:color="FFFFFF" w:fill="FFFFFF"/>
            <w:hideMark/>
          </w:tcPr>
          <w:p w14:paraId="012FA0A2"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780" w:type="dxa"/>
            <w:shd w:val="clear" w:color="FFFFFF" w:fill="FFFFFF"/>
            <w:hideMark/>
          </w:tcPr>
          <w:p w14:paraId="1B3213BC"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регионального значения</w:t>
            </w:r>
          </w:p>
        </w:tc>
        <w:tc>
          <w:tcPr>
            <w:tcW w:w="2738" w:type="dxa"/>
            <w:shd w:val="clear" w:color="FFFFFF" w:fill="FFFFFF"/>
            <w:hideMark/>
          </w:tcPr>
          <w:p w14:paraId="6B2BE591"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ул. Володарского, 2</w:t>
            </w:r>
          </w:p>
        </w:tc>
        <w:tc>
          <w:tcPr>
            <w:tcW w:w="1993" w:type="dxa"/>
            <w:shd w:val="clear" w:color="FFFFFF" w:fill="FFFFFF"/>
            <w:hideMark/>
          </w:tcPr>
          <w:p w14:paraId="0E12E1F4"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 51 от 21.01.2022</w:t>
            </w:r>
          </w:p>
        </w:tc>
        <w:tc>
          <w:tcPr>
            <w:tcW w:w="2427" w:type="dxa"/>
            <w:shd w:val="clear" w:color="FFFFFF" w:fill="FFFFFF"/>
            <w:hideMark/>
          </w:tcPr>
          <w:p w14:paraId="057309A9"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629 от 07.07.2023</w:t>
            </w:r>
          </w:p>
        </w:tc>
      </w:tr>
      <w:tr w:rsidR="000C5E62" w:rsidRPr="00731FE2" w14:paraId="16E40849" w14:textId="77777777" w:rsidTr="000C5E62">
        <w:trPr>
          <w:trHeight w:val="3960"/>
        </w:trPr>
        <w:tc>
          <w:tcPr>
            <w:tcW w:w="704" w:type="dxa"/>
            <w:shd w:val="clear" w:color="auto" w:fill="auto"/>
            <w:noWrap/>
          </w:tcPr>
          <w:p w14:paraId="0BB0BAF8" w14:textId="77777777" w:rsidR="000C5E62" w:rsidRPr="00731FE2" w:rsidRDefault="000C5E62" w:rsidP="000C5E62">
            <w:pPr>
              <w:pStyle w:val="a3"/>
              <w:numPr>
                <w:ilvl w:val="0"/>
                <w:numId w:val="127"/>
              </w:numPr>
              <w:spacing w:line="240" w:lineRule="auto"/>
              <w:ind w:left="0" w:firstLine="0"/>
              <w:jc w:val="center"/>
              <w:rPr>
                <w:rFonts w:ascii="Times New Roman" w:eastAsia="Times New Roman" w:hAnsi="Times New Roman" w:cs="Times New Roman"/>
                <w:sz w:val="20"/>
                <w:szCs w:val="20"/>
                <w:lang w:eastAsia="ru-RU"/>
              </w:rPr>
            </w:pPr>
          </w:p>
        </w:tc>
        <w:tc>
          <w:tcPr>
            <w:tcW w:w="2581" w:type="dxa"/>
            <w:shd w:val="clear" w:color="000000" w:fill="auto"/>
            <w:hideMark/>
          </w:tcPr>
          <w:p w14:paraId="1601684E"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Казенная гостиница "Красные Камни",1900 г.</w:t>
            </w:r>
          </w:p>
        </w:tc>
        <w:tc>
          <w:tcPr>
            <w:tcW w:w="1977" w:type="dxa"/>
            <w:shd w:val="clear" w:color="000000" w:fill="auto"/>
            <w:hideMark/>
          </w:tcPr>
          <w:p w14:paraId="4F0B3241"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780" w:type="dxa"/>
            <w:shd w:val="clear" w:color="000000" w:fill="auto"/>
            <w:hideMark/>
          </w:tcPr>
          <w:p w14:paraId="7B93D11C"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регионального значения</w:t>
            </w:r>
          </w:p>
        </w:tc>
        <w:tc>
          <w:tcPr>
            <w:tcW w:w="2738" w:type="dxa"/>
            <w:shd w:val="clear" w:color="000000" w:fill="auto"/>
            <w:hideMark/>
          </w:tcPr>
          <w:p w14:paraId="70CA15C8"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ул. Володарского, 14</w:t>
            </w:r>
          </w:p>
        </w:tc>
        <w:tc>
          <w:tcPr>
            <w:tcW w:w="1993" w:type="dxa"/>
            <w:shd w:val="clear" w:color="008080" w:fill="auto"/>
            <w:hideMark/>
          </w:tcPr>
          <w:p w14:paraId="13B2882E"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приказ управление СК по охране ОКН от 15.06.2016 № 244</w:t>
            </w:r>
          </w:p>
        </w:tc>
        <w:tc>
          <w:tcPr>
            <w:tcW w:w="2427" w:type="dxa"/>
            <w:shd w:val="clear" w:color="000000" w:fill="auto"/>
            <w:hideMark/>
          </w:tcPr>
          <w:p w14:paraId="431EFD31"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от 11.03.2020 № 156</w:t>
            </w:r>
          </w:p>
        </w:tc>
      </w:tr>
      <w:tr w:rsidR="000C5E62" w:rsidRPr="00731FE2" w14:paraId="1EAE9994" w14:textId="77777777" w:rsidTr="000C5E62">
        <w:trPr>
          <w:trHeight w:val="3960"/>
        </w:trPr>
        <w:tc>
          <w:tcPr>
            <w:tcW w:w="704" w:type="dxa"/>
            <w:shd w:val="clear" w:color="auto" w:fill="auto"/>
            <w:noWrap/>
          </w:tcPr>
          <w:p w14:paraId="451E96EF" w14:textId="77777777" w:rsidR="000C5E62" w:rsidRPr="00731FE2" w:rsidRDefault="000C5E62" w:rsidP="000C5E62">
            <w:pPr>
              <w:pStyle w:val="a3"/>
              <w:numPr>
                <w:ilvl w:val="0"/>
                <w:numId w:val="127"/>
              </w:numPr>
              <w:spacing w:line="240" w:lineRule="auto"/>
              <w:ind w:left="0" w:firstLine="0"/>
              <w:jc w:val="center"/>
              <w:rPr>
                <w:rFonts w:ascii="Times New Roman" w:eastAsia="Times New Roman" w:hAnsi="Times New Roman" w:cs="Times New Roman"/>
                <w:sz w:val="20"/>
                <w:szCs w:val="20"/>
                <w:lang w:eastAsia="ru-RU"/>
              </w:rPr>
            </w:pPr>
          </w:p>
        </w:tc>
        <w:tc>
          <w:tcPr>
            <w:tcW w:w="2581" w:type="dxa"/>
            <w:shd w:val="clear" w:color="FFFFFF" w:fill="FFFFFF"/>
            <w:hideMark/>
          </w:tcPr>
          <w:p w14:paraId="4191346D"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Дача "Тургеневка", нач. XX в.</w:t>
            </w:r>
          </w:p>
        </w:tc>
        <w:tc>
          <w:tcPr>
            <w:tcW w:w="1977" w:type="dxa"/>
            <w:shd w:val="clear" w:color="FFFFFF" w:fill="FFFFFF"/>
            <w:hideMark/>
          </w:tcPr>
          <w:p w14:paraId="7A951F1F"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780" w:type="dxa"/>
            <w:shd w:val="clear" w:color="FFFFFF" w:fill="FFFFFF"/>
            <w:hideMark/>
          </w:tcPr>
          <w:p w14:paraId="45D7ED2F"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регионального значения</w:t>
            </w:r>
          </w:p>
        </w:tc>
        <w:tc>
          <w:tcPr>
            <w:tcW w:w="2738" w:type="dxa"/>
            <w:shd w:val="clear" w:color="FFFFFF" w:fill="FFFFFF"/>
            <w:hideMark/>
          </w:tcPr>
          <w:p w14:paraId="07B306E9"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ул. Герцена, 16</w:t>
            </w:r>
          </w:p>
        </w:tc>
        <w:tc>
          <w:tcPr>
            <w:tcW w:w="1993" w:type="dxa"/>
            <w:shd w:val="clear" w:color="FFFFFF" w:fill="FFFFFF"/>
            <w:hideMark/>
          </w:tcPr>
          <w:p w14:paraId="7A1CBC28"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799 от 25.07.2022</w:t>
            </w:r>
          </w:p>
        </w:tc>
        <w:tc>
          <w:tcPr>
            <w:tcW w:w="2427" w:type="dxa"/>
            <w:shd w:val="clear" w:color="FFFFFF" w:fill="FFFFFF"/>
            <w:hideMark/>
          </w:tcPr>
          <w:p w14:paraId="3B6B4E7B"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1357 от 03.11.2022 г.</w:t>
            </w:r>
          </w:p>
        </w:tc>
      </w:tr>
      <w:tr w:rsidR="000C5E62" w:rsidRPr="00731FE2" w14:paraId="218C9852" w14:textId="77777777" w:rsidTr="000C5E62">
        <w:trPr>
          <w:trHeight w:val="3960"/>
        </w:trPr>
        <w:tc>
          <w:tcPr>
            <w:tcW w:w="704" w:type="dxa"/>
            <w:shd w:val="clear" w:color="auto" w:fill="auto"/>
            <w:noWrap/>
          </w:tcPr>
          <w:p w14:paraId="2B4694E3" w14:textId="77777777" w:rsidR="000C5E62" w:rsidRPr="00731FE2" w:rsidRDefault="000C5E62" w:rsidP="000C5E62">
            <w:pPr>
              <w:pStyle w:val="a3"/>
              <w:numPr>
                <w:ilvl w:val="0"/>
                <w:numId w:val="127"/>
              </w:numPr>
              <w:spacing w:line="240" w:lineRule="auto"/>
              <w:ind w:left="0" w:firstLine="0"/>
              <w:jc w:val="center"/>
              <w:rPr>
                <w:rFonts w:ascii="Times New Roman" w:eastAsia="Times New Roman" w:hAnsi="Times New Roman" w:cs="Times New Roman"/>
                <w:sz w:val="20"/>
                <w:szCs w:val="20"/>
                <w:lang w:eastAsia="ru-RU"/>
              </w:rPr>
            </w:pPr>
          </w:p>
        </w:tc>
        <w:tc>
          <w:tcPr>
            <w:tcW w:w="2581" w:type="dxa"/>
            <w:shd w:val="clear" w:color="000000" w:fill="auto"/>
            <w:hideMark/>
          </w:tcPr>
          <w:p w14:paraId="4DCAA54D"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Особняк Т.А. Тамбиевой, нач. ХХ в.</w:t>
            </w:r>
          </w:p>
        </w:tc>
        <w:tc>
          <w:tcPr>
            <w:tcW w:w="1977" w:type="dxa"/>
            <w:shd w:val="clear" w:color="000000" w:fill="auto"/>
            <w:hideMark/>
          </w:tcPr>
          <w:p w14:paraId="723456D5"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780" w:type="dxa"/>
            <w:shd w:val="clear" w:color="000000" w:fill="auto"/>
            <w:hideMark/>
          </w:tcPr>
          <w:p w14:paraId="5CF41DBE"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регионального значения</w:t>
            </w:r>
          </w:p>
        </w:tc>
        <w:tc>
          <w:tcPr>
            <w:tcW w:w="2738" w:type="dxa"/>
            <w:shd w:val="clear" w:color="000000" w:fill="auto"/>
            <w:hideMark/>
          </w:tcPr>
          <w:p w14:paraId="1C25DF50"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ул. Горького, 4</w:t>
            </w:r>
          </w:p>
        </w:tc>
        <w:tc>
          <w:tcPr>
            <w:tcW w:w="1993" w:type="dxa"/>
            <w:shd w:val="clear" w:color="000000" w:fill="auto"/>
            <w:hideMark/>
          </w:tcPr>
          <w:p w14:paraId="73F4B901"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1087 от 23.09.2022</w:t>
            </w:r>
          </w:p>
        </w:tc>
        <w:tc>
          <w:tcPr>
            <w:tcW w:w="2427" w:type="dxa"/>
            <w:shd w:val="clear" w:color="000000" w:fill="auto"/>
            <w:hideMark/>
          </w:tcPr>
          <w:p w14:paraId="0E6A5D5E"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252 от 07.03.2024</w:t>
            </w:r>
          </w:p>
        </w:tc>
      </w:tr>
      <w:tr w:rsidR="000C5E62" w:rsidRPr="00731FE2" w14:paraId="3861138E" w14:textId="77777777" w:rsidTr="000C5E62">
        <w:trPr>
          <w:trHeight w:val="3960"/>
        </w:trPr>
        <w:tc>
          <w:tcPr>
            <w:tcW w:w="704" w:type="dxa"/>
            <w:shd w:val="clear" w:color="auto" w:fill="auto"/>
            <w:noWrap/>
          </w:tcPr>
          <w:p w14:paraId="29BC4BF8" w14:textId="77777777" w:rsidR="000C5E62" w:rsidRPr="00731FE2" w:rsidRDefault="000C5E62" w:rsidP="000C5E62">
            <w:pPr>
              <w:pStyle w:val="a3"/>
              <w:numPr>
                <w:ilvl w:val="0"/>
                <w:numId w:val="127"/>
              </w:numPr>
              <w:spacing w:line="240" w:lineRule="auto"/>
              <w:ind w:left="0" w:firstLine="0"/>
              <w:jc w:val="center"/>
              <w:rPr>
                <w:rFonts w:ascii="Times New Roman" w:eastAsia="Times New Roman" w:hAnsi="Times New Roman" w:cs="Times New Roman"/>
                <w:sz w:val="20"/>
                <w:szCs w:val="20"/>
                <w:lang w:eastAsia="ru-RU"/>
              </w:rPr>
            </w:pPr>
          </w:p>
        </w:tc>
        <w:tc>
          <w:tcPr>
            <w:tcW w:w="2581" w:type="dxa"/>
            <w:shd w:val="clear" w:color="000000" w:fill="auto"/>
            <w:hideMark/>
          </w:tcPr>
          <w:p w14:paraId="37BB3C31"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Особняк Евангулова, нач. ХХ в.</w:t>
            </w:r>
          </w:p>
        </w:tc>
        <w:tc>
          <w:tcPr>
            <w:tcW w:w="1977" w:type="dxa"/>
            <w:shd w:val="clear" w:color="000000" w:fill="auto"/>
            <w:hideMark/>
          </w:tcPr>
          <w:p w14:paraId="2500E823"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780" w:type="dxa"/>
            <w:shd w:val="clear" w:color="000000" w:fill="auto"/>
            <w:hideMark/>
          </w:tcPr>
          <w:p w14:paraId="2ED6535E"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регионального значения</w:t>
            </w:r>
          </w:p>
        </w:tc>
        <w:tc>
          <w:tcPr>
            <w:tcW w:w="2738" w:type="dxa"/>
            <w:shd w:val="clear" w:color="000000" w:fill="auto"/>
            <w:hideMark/>
          </w:tcPr>
          <w:p w14:paraId="6F491004"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 Дзержинского, 2</w:t>
            </w:r>
          </w:p>
        </w:tc>
        <w:tc>
          <w:tcPr>
            <w:tcW w:w="1993" w:type="dxa"/>
            <w:shd w:val="clear" w:color="000000" w:fill="auto"/>
            <w:hideMark/>
          </w:tcPr>
          <w:p w14:paraId="60F8659C"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795 от 25.07.2022</w:t>
            </w:r>
          </w:p>
        </w:tc>
        <w:tc>
          <w:tcPr>
            <w:tcW w:w="2427" w:type="dxa"/>
            <w:shd w:val="clear" w:color="000000" w:fill="auto"/>
            <w:hideMark/>
          </w:tcPr>
          <w:p w14:paraId="345EEAC3"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443 от 13.05.2024</w:t>
            </w:r>
          </w:p>
        </w:tc>
      </w:tr>
      <w:tr w:rsidR="000C5E62" w:rsidRPr="00731FE2" w14:paraId="3264A4B3" w14:textId="77777777" w:rsidTr="000C5E62">
        <w:trPr>
          <w:trHeight w:val="3960"/>
        </w:trPr>
        <w:tc>
          <w:tcPr>
            <w:tcW w:w="704" w:type="dxa"/>
            <w:shd w:val="clear" w:color="auto" w:fill="auto"/>
            <w:noWrap/>
          </w:tcPr>
          <w:p w14:paraId="7F380AD2" w14:textId="77777777" w:rsidR="000C5E62" w:rsidRPr="00731FE2" w:rsidRDefault="000C5E62" w:rsidP="000C5E62">
            <w:pPr>
              <w:pStyle w:val="a3"/>
              <w:numPr>
                <w:ilvl w:val="0"/>
                <w:numId w:val="127"/>
              </w:numPr>
              <w:spacing w:line="240" w:lineRule="auto"/>
              <w:ind w:left="0" w:firstLine="0"/>
              <w:jc w:val="center"/>
              <w:rPr>
                <w:rFonts w:ascii="Times New Roman" w:eastAsia="Times New Roman" w:hAnsi="Times New Roman" w:cs="Times New Roman"/>
                <w:sz w:val="20"/>
                <w:szCs w:val="20"/>
                <w:lang w:eastAsia="ru-RU"/>
              </w:rPr>
            </w:pPr>
          </w:p>
        </w:tc>
        <w:tc>
          <w:tcPr>
            <w:tcW w:w="2581" w:type="dxa"/>
            <w:shd w:val="clear" w:color="000000" w:fill="auto"/>
            <w:hideMark/>
          </w:tcPr>
          <w:p w14:paraId="24040B22"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Особняк Тарасова, нач. ХХ в.</w:t>
            </w:r>
          </w:p>
        </w:tc>
        <w:tc>
          <w:tcPr>
            <w:tcW w:w="1977" w:type="dxa"/>
            <w:shd w:val="clear" w:color="000000" w:fill="auto"/>
            <w:hideMark/>
          </w:tcPr>
          <w:p w14:paraId="4A2BE01B"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780" w:type="dxa"/>
            <w:shd w:val="clear" w:color="000000" w:fill="auto"/>
            <w:hideMark/>
          </w:tcPr>
          <w:p w14:paraId="104153F6"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регионального значения</w:t>
            </w:r>
          </w:p>
        </w:tc>
        <w:tc>
          <w:tcPr>
            <w:tcW w:w="2738" w:type="dxa"/>
            <w:shd w:val="clear" w:color="000000" w:fill="auto"/>
            <w:hideMark/>
          </w:tcPr>
          <w:p w14:paraId="353ECA47"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 Дзержинского, 2</w:t>
            </w:r>
          </w:p>
        </w:tc>
        <w:tc>
          <w:tcPr>
            <w:tcW w:w="1993" w:type="dxa"/>
            <w:shd w:val="clear" w:color="CCCCFF" w:fill="auto"/>
            <w:hideMark/>
          </w:tcPr>
          <w:p w14:paraId="44E2CB54"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приказ управления СК по охране ОКН от 06.02.2019 № 33/1</w:t>
            </w:r>
          </w:p>
        </w:tc>
        <w:tc>
          <w:tcPr>
            <w:tcW w:w="2427" w:type="dxa"/>
            <w:shd w:val="clear" w:color="000000" w:fill="auto"/>
            <w:hideMark/>
          </w:tcPr>
          <w:p w14:paraId="4B9F1E92"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498 от 23.05.2024</w:t>
            </w:r>
          </w:p>
        </w:tc>
      </w:tr>
      <w:tr w:rsidR="000C5E62" w:rsidRPr="00731FE2" w14:paraId="0ECC919F" w14:textId="77777777" w:rsidTr="000C5E62">
        <w:trPr>
          <w:trHeight w:val="3960"/>
        </w:trPr>
        <w:tc>
          <w:tcPr>
            <w:tcW w:w="704" w:type="dxa"/>
            <w:shd w:val="clear" w:color="auto" w:fill="auto"/>
            <w:noWrap/>
          </w:tcPr>
          <w:p w14:paraId="5A0F42D0" w14:textId="77777777" w:rsidR="000C5E62" w:rsidRPr="00731FE2" w:rsidRDefault="000C5E62" w:rsidP="000C5E62">
            <w:pPr>
              <w:pStyle w:val="a3"/>
              <w:numPr>
                <w:ilvl w:val="0"/>
                <w:numId w:val="127"/>
              </w:numPr>
              <w:spacing w:line="240" w:lineRule="auto"/>
              <w:ind w:left="0" w:firstLine="0"/>
              <w:jc w:val="center"/>
              <w:rPr>
                <w:rFonts w:ascii="Times New Roman" w:eastAsia="Times New Roman" w:hAnsi="Times New Roman" w:cs="Times New Roman"/>
                <w:sz w:val="20"/>
                <w:szCs w:val="20"/>
                <w:lang w:eastAsia="ru-RU"/>
              </w:rPr>
            </w:pPr>
          </w:p>
        </w:tc>
        <w:tc>
          <w:tcPr>
            <w:tcW w:w="2581" w:type="dxa"/>
            <w:shd w:val="clear" w:color="000000" w:fill="auto"/>
            <w:hideMark/>
          </w:tcPr>
          <w:p w14:paraId="168312F6"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Дача, 1904 г.</w:t>
            </w:r>
          </w:p>
        </w:tc>
        <w:tc>
          <w:tcPr>
            <w:tcW w:w="1977" w:type="dxa"/>
            <w:shd w:val="clear" w:color="000000" w:fill="auto"/>
            <w:hideMark/>
          </w:tcPr>
          <w:p w14:paraId="3D7B2256"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780" w:type="dxa"/>
            <w:shd w:val="clear" w:color="000000" w:fill="auto"/>
            <w:hideMark/>
          </w:tcPr>
          <w:p w14:paraId="37E11535"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регионального значения</w:t>
            </w:r>
          </w:p>
        </w:tc>
        <w:tc>
          <w:tcPr>
            <w:tcW w:w="2738" w:type="dxa"/>
            <w:shd w:val="clear" w:color="000000" w:fill="auto"/>
            <w:hideMark/>
          </w:tcPr>
          <w:p w14:paraId="50F77588"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 Дзержинского, 4-а</w:t>
            </w:r>
          </w:p>
        </w:tc>
        <w:tc>
          <w:tcPr>
            <w:tcW w:w="1993" w:type="dxa"/>
            <w:shd w:val="clear" w:color="000000" w:fill="auto"/>
            <w:hideMark/>
          </w:tcPr>
          <w:p w14:paraId="4064D619"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730 от 15.07.2022</w:t>
            </w:r>
          </w:p>
        </w:tc>
        <w:tc>
          <w:tcPr>
            <w:tcW w:w="2427" w:type="dxa"/>
            <w:shd w:val="clear" w:color="000000" w:fill="auto"/>
            <w:hideMark/>
          </w:tcPr>
          <w:p w14:paraId="777641F0"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536 от 07.06.2024</w:t>
            </w:r>
          </w:p>
        </w:tc>
      </w:tr>
      <w:tr w:rsidR="000C5E62" w:rsidRPr="00731FE2" w14:paraId="1D5E9AA5" w14:textId="77777777" w:rsidTr="000C5E62">
        <w:trPr>
          <w:trHeight w:val="3960"/>
        </w:trPr>
        <w:tc>
          <w:tcPr>
            <w:tcW w:w="704" w:type="dxa"/>
            <w:shd w:val="clear" w:color="auto" w:fill="auto"/>
            <w:noWrap/>
          </w:tcPr>
          <w:p w14:paraId="58FB36EF" w14:textId="77777777" w:rsidR="000C5E62" w:rsidRPr="00731FE2" w:rsidRDefault="000C5E62" w:rsidP="000C5E62">
            <w:pPr>
              <w:pStyle w:val="a3"/>
              <w:numPr>
                <w:ilvl w:val="0"/>
                <w:numId w:val="127"/>
              </w:numPr>
              <w:spacing w:line="240" w:lineRule="auto"/>
              <w:ind w:left="0" w:firstLine="0"/>
              <w:jc w:val="center"/>
              <w:rPr>
                <w:rFonts w:ascii="Times New Roman" w:eastAsia="Times New Roman" w:hAnsi="Times New Roman" w:cs="Times New Roman"/>
                <w:sz w:val="20"/>
                <w:szCs w:val="20"/>
                <w:lang w:eastAsia="ru-RU"/>
              </w:rPr>
            </w:pPr>
          </w:p>
        </w:tc>
        <w:tc>
          <w:tcPr>
            <w:tcW w:w="2581" w:type="dxa"/>
            <w:shd w:val="clear" w:color="FFFFFF" w:fill="FFFFFF"/>
            <w:hideMark/>
          </w:tcPr>
          <w:p w14:paraId="3877552D"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Главный корпус санатория "Красные Камни",1935 г.</w:t>
            </w:r>
          </w:p>
        </w:tc>
        <w:tc>
          <w:tcPr>
            <w:tcW w:w="1977" w:type="dxa"/>
            <w:shd w:val="clear" w:color="FFFFFF" w:fill="FFFFFF"/>
            <w:hideMark/>
          </w:tcPr>
          <w:p w14:paraId="550B7DD5"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780" w:type="dxa"/>
            <w:shd w:val="clear" w:color="FFFFFF" w:fill="FFFFFF"/>
            <w:hideMark/>
          </w:tcPr>
          <w:p w14:paraId="34E73018"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регионального значения</w:t>
            </w:r>
          </w:p>
        </w:tc>
        <w:tc>
          <w:tcPr>
            <w:tcW w:w="2738" w:type="dxa"/>
            <w:shd w:val="clear" w:color="FFFFFF" w:fill="FFFFFF"/>
            <w:hideMark/>
          </w:tcPr>
          <w:p w14:paraId="242CC8C9"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 Дзержинского, 4</w:t>
            </w:r>
          </w:p>
        </w:tc>
        <w:tc>
          <w:tcPr>
            <w:tcW w:w="1993" w:type="dxa"/>
            <w:shd w:val="clear" w:color="FFFFFF" w:fill="FFFFFF"/>
            <w:hideMark/>
          </w:tcPr>
          <w:p w14:paraId="651F861B"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710 от 15.07.2022</w:t>
            </w:r>
          </w:p>
        </w:tc>
        <w:tc>
          <w:tcPr>
            <w:tcW w:w="2427" w:type="dxa"/>
            <w:shd w:val="clear" w:color="FFFFFF" w:fill="FFFFFF"/>
            <w:hideMark/>
          </w:tcPr>
          <w:p w14:paraId="0568B7C4"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1355 от 03.11.2022 г.</w:t>
            </w:r>
          </w:p>
        </w:tc>
      </w:tr>
      <w:tr w:rsidR="000C5E62" w:rsidRPr="00731FE2" w14:paraId="669863C4" w14:textId="77777777" w:rsidTr="000C5E62">
        <w:trPr>
          <w:trHeight w:val="3960"/>
        </w:trPr>
        <w:tc>
          <w:tcPr>
            <w:tcW w:w="704" w:type="dxa"/>
            <w:shd w:val="clear" w:color="auto" w:fill="auto"/>
            <w:noWrap/>
          </w:tcPr>
          <w:p w14:paraId="515F6782" w14:textId="77777777" w:rsidR="000C5E62" w:rsidRPr="00731FE2" w:rsidRDefault="000C5E62" w:rsidP="000C5E62">
            <w:pPr>
              <w:pStyle w:val="a3"/>
              <w:numPr>
                <w:ilvl w:val="0"/>
                <w:numId w:val="127"/>
              </w:numPr>
              <w:spacing w:line="240" w:lineRule="auto"/>
              <w:ind w:left="0" w:firstLine="0"/>
              <w:jc w:val="center"/>
              <w:rPr>
                <w:rFonts w:ascii="Times New Roman" w:eastAsia="Times New Roman" w:hAnsi="Times New Roman" w:cs="Times New Roman"/>
                <w:sz w:val="20"/>
                <w:szCs w:val="20"/>
                <w:lang w:eastAsia="ru-RU"/>
              </w:rPr>
            </w:pPr>
          </w:p>
        </w:tc>
        <w:tc>
          <w:tcPr>
            <w:tcW w:w="2581" w:type="dxa"/>
            <w:shd w:val="clear" w:color="auto" w:fill="auto"/>
            <w:hideMark/>
          </w:tcPr>
          <w:p w14:paraId="5412CF93"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Корпус N 4 санатория "Красный Октябрь", нач. XX в.</w:t>
            </w:r>
          </w:p>
        </w:tc>
        <w:tc>
          <w:tcPr>
            <w:tcW w:w="1977" w:type="dxa"/>
            <w:shd w:val="clear" w:color="auto" w:fill="auto"/>
            <w:hideMark/>
          </w:tcPr>
          <w:p w14:paraId="70B22313"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780" w:type="dxa"/>
            <w:shd w:val="clear" w:color="auto" w:fill="auto"/>
            <w:hideMark/>
          </w:tcPr>
          <w:p w14:paraId="7CF88696"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регионального значения</w:t>
            </w:r>
          </w:p>
        </w:tc>
        <w:tc>
          <w:tcPr>
            <w:tcW w:w="2738" w:type="dxa"/>
            <w:shd w:val="clear" w:color="auto" w:fill="auto"/>
            <w:hideMark/>
          </w:tcPr>
          <w:p w14:paraId="65501DE7"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 Дзержинского, 8</w:t>
            </w:r>
          </w:p>
        </w:tc>
        <w:tc>
          <w:tcPr>
            <w:tcW w:w="1993" w:type="dxa"/>
            <w:shd w:val="clear" w:color="000000" w:fill="auto"/>
            <w:hideMark/>
          </w:tcPr>
          <w:p w14:paraId="4D981909"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792 от 25.07.2022</w:t>
            </w:r>
          </w:p>
        </w:tc>
        <w:tc>
          <w:tcPr>
            <w:tcW w:w="2427" w:type="dxa"/>
            <w:shd w:val="clear" w:color="000000" w:fill="auto"/>
            <w:hideMark/>
          </w:tcPr>
          <w:p w14:paraId="5F053A3F"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535 от 07.06.2024</w:t>
            </w:r>
          </w:p>
        </w:tc>
      </w:tr>
      <w:tr w:rsidR="000C5E62" w:rsidRPr="00731FE2" w14:paraId="7F46B4CD" w14:textId="77777777" w:rsidTr="000C5E62">
        <w:trPr>
          <w:trHeight w:val="3960"/>
        </w:trPr>
        <w:tc>
          <w:tcPr>
            <w:tcW w:w="704" w:type="dxa"/>
            <w:shd w:val="clear" w:color="auto" w:fill="auto"/>
            <w:noWrap/>
          </w:tcPr>
          <w:p w14:paraId="7F385115" w14:textId="77777777" w:rsidR="000C5E62" w:rsidRPr="00731FE2" w:rsidRDefault="000C5E62" w:rsidP="000C5E62">
            <w:pPr>
              <w:pStyle w:val="a3"/>
              <w:numPr>
                <w:ilvl w:val="0"/>
                <w:numId w:val="127"/>
              </w:numPr>
              <w:spacing w:line="240" w:lineRule="auto"/>
              <w:ind w:left="0" w:firstLine="0"/>
              <w:jc w:val="center"/>
              <w:rPr>
                <w:rFonts w:ascii="Times New Roman" w:eastAsia="Times New Roman" w:hAnsi="Times New Roman" w:cs="Times New Roman"/>
                <w:sz w:val="20"/>
                <w:szCs w:val="20"/>
                <w:lang w:eastAsia="ru-RU"/>
              </w:rPr>
            </w:pPr>
          </w:p>
        </w:tc>
        <w:tc>
          <w:tcPr>
            <w:tcW w:w="2581" w:type="dxa"/>
            <w:shd w:val="clear" w:color="000000" w:fill="auto"/>
            <w:hideMark/>
          </w:tcPr>
          <w:p w14:paraId="2E8B8EA3"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Корпус № 3 Военного санатория, 1950 г.</w:t>
            </w:r>
          </w:p>
        </w:tc>
        <w:tc>
          <w:tcPr>
            <w:tcW w:w="1977" w:type="dxa"/>
            <w:shd w:val="clear" w:color="000000" w:fill="auto"/>
            <w:hideMark/>
          </w:tcPr>
          <w:p w14:paraId="3AEBCE5E"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780" w:type="dxa"/>
            <w:shd w:val="clear" w:color="000000" w:fill="auto"/>
            <w:hideMark/>
          </w:tcPr>
          <w:p w14:paraId="0358CD1C"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регионального значения</w:t>
            </w:r>
          </w:p>
        </w:tc>
        <w:tc>
          <w:tcPr>
            <w:tcW w:w="2738" w:type="dxa"/>
            <w:shd w:val="clear" w:color="000000" w:fill="auto"/>
            <w:hideMark/>
          </w:tcPr>
          <w:p w14:paraId="00C1604D"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 Дзержинского, 12</w:t>
            </w:r>
          </w:p>
        </w:tc>
        <w:tc>
          <w:tcPr>
            <w:tcW w:w="1993" w:type="dxa"/>
            <w:shd w:val="clear" w:color="CCFFFF" w:fill="auto"/>
            <w:hideMark/>
          </w:tcPr>
          <w:p w14:paraId="15981522"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приказ управления СК по охране ОКН от 24.12.2015 № 349</w:t>
            </w:r>
          </w:p>
        </w:tc>
        <w:tc>
          <w:tcPr>
            <w:tcW w:w="2427" w:type="dxa"/>
            <w:shd w:val="clear" w:color="000000" w:fill="auto"/>
            <w:hideMark/>
          </w:tcPr>
          <w:p w14:paraId="066F84CF"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1233 от 04.12.2023</w:t>
            </w:r>
          </w:p>
        </w:tc>
      </w:tr>
      <w:tr w:rsidR="000C5E62" w:rsidRPr="00731FE2" w14:paraId="2252DA86" w14:textId="77777777" w:rsidTr="000C5E62">
        <w:trPr>
          <w:trHeight w:val="3960"/>
        </w:trPr>
        <w:tc>
          <w:tcPr>
            <w:tcW w:w="704" w:type="dxa"/>
            <w:shd w:val="clear" w:color="auto" w:fill="auto"/>
            <w:noWrap/>
          </w:tcPr>
          <w:p w14:paraId="56931C7D" w14:textId="77777777" w:rsidR="000C5E62" w:rsidRPr="00731FE2" w:rsidRDefault="000C5E62" w:rsidP="000C5E62">
            <w:pPr>
              <w:pStyle w:val="a3"/>
              <w:numPr>
                <w:ilvl w:val="0"/>
                <w:numId w:val="127"/>
              </w:numPr>
              <w:spacing w:line="240" w:lineRule="auto"/>
              <w:ind w:left="0" w:firstLine="0"/>
              <w:jc w:val="center"/>
              <w:rPr>
                <w:rFonts w:ascii="Times New Roman" w:eastAsia="Times New Roman" w:hAnsi="Times New Roman" w:cs="Times New Roman"/>
                <w:sz w:val="20"/>
                <w:szCs w:val="20"/>
                <w:lang w:eastAsia="ru-RU"/>
              </w:rPr>
            </w:pPr>
          </w:p>
        </w:tc>
        <w:tc>
          <w:tcPr>
            <w:tcW w:w="2581" w:type="dxa"/>
            <w:shd w:val="clear" w:color="000000" w:fill="auto"/>
            <w:hideMark/>
          </w:tcPr>
          <w:p w14:paraId="64B8BAF4"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Особняк К. Барт, нач. XX в.</w:t>
            </w:r>
          </w:p>
        </w:tc>
        <w:tc>
          <w:tcPr>
            <w:tcW w:w="1977" w:type="dxa"/>
            <w:shd w:val="clear" w:color="000000" w:fill="auto"/>
            <w:hideMark/>
          </w:tcPr>
          <w:p w14:paraId="1DE910CA"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780" w:type="dxa"/>
            <w:shd w:val="clear" w:color="000000" w:fill="auto"/>
            <w:hideMark/>
          </w:tcPr>
          <w:p w14:paraId="1135C950"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регионального значения</w:t>
            </w:r>
          </w:p>
        </w:tc>
        <w:tc>
          <w:tcPr>
            <w:tcW w:w="2738" w:type="dxa"/>
            <w:shd w:val="clear" w:color="000000" w:fill="auto"/>
            <w:hideMark/>
          </w:tcPr>
          <w:p w14:paraId="5778B0D1"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 Дзержинского, 16</w:t>
            </w:r>
          </w:p>
        </w:tc>
        <w:tc>
          <w:tcPr>
            <w:tcW w:w="1993" w:type="dxa"/>
            <w:shd w:val="clear" w:color="CCFFFF" w:fill="auto"/>
            <w:hideMark/>
          </w:tcPr>
          <w:p w14:paraId="4C2428F4"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приказ управления СК по охране ОКН от 25.12.2015 № 361</w:t>
            </w:r>
          </w:p>
        </w:tc>
        <w:tc>
          <w:tcPr>
            <w:tcW w:w="2427" w:type="dxa"/>
            <w:shd w:val="clear" w:color="000000" w:fill="auto"/>
            <w:hideMark/>
          </w:tcPr>
          <w:p w14:paraId="2243E91E"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1234 от 04.12.2023</w:t>
            </w:r>
          </w:p>
        </w:tc>
      </w:tr>
      <w:tr w:rsidR="000C5E62" w:rsidRPr="00731FE2" w14:paraId="697AEB75" w14:textId="77777777" w:rsidTr="000C5E62">
        <w:trPr>
          <w:trHeight w:val="3960"/>
        </w:trPr>
        <w:tc>
          <w:tcPr>
            <w:tcW w:w="704" w:type="dxa"/>
            <w:shd w:val="clear" w:color="auto" w:fill="auto"/>
            <w:noWrap/>
          </w:tcPr>
          <w:p w14:paraId="5F960A1D" w14:textId="77777777" w:rsidR="000C5E62" w:rsidRPr="00731FE2" w:rsidRDefault="000C5E62" w:rsidP="000C5E62">
            <w:pPr>
              <w:pStyle w:val="a3"/>
              <w:numPr>
                <w:ilvl w:val="0"/>
                <w:numId w:val="127"/>
              </w:numPr>
              <w:spacing w:line="240" w:lineRule="auto"/>
              <w:ind w:left="0" w:firstLine="0"/>
              <w:jc w:val="center"/>
              <w:rPr>
                <w:rFonts w:ascii="Times New Roman" w:eastAsia="Times New Roman" w:hAnsi="Times New Roman" w:cs="Times New Roman"/>
                <w:sz w:val="20"/>
                <w:szCs w:val="20"/>
                <w:lang w:eastAsia="ru-RU"/>
              </w:rPr>
            </w:pPr>
          </w:p>
        </w:tc>
        <w:tc>
          <w:tcPr>
            <w:tcW w:w="2581" w:type="dxa"/>
            <w:shd w:val="clear" w:color="FFFFFF" w:fill="FFFFFF"/>
            <w:hideMark/>
          </w:tcPr>
          <w:p w14:paraId="1A0EE6A9"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Главный корпус санатория "Москва",1951 г.</w:t>
            </w:r>
          </w:p>
        </w:tc>
        <w:tc>
          <w:tcPr>
            <w:tcW w:w="1977" w:type="dxa"/>
            <w:shd w:val="clear" w:color="FFFFFF" w:fill="FFFFFF"/>
            <w:hideMark/>
          </w:tcPr>
          <w:p w14:paraId="48B398FE"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780" w:type="dxa"/>
            <w:shd w:val="clear" w:color="FFFFFF" w:fill="FFFFFF"/>
            <w:hideMark/>
          </w:tcPr>
          <w:p w14:paraId="2D011992"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регионального значения</w:t>
            </w:r>
          </w:p>
        </w:tc>
        <w:tc>
          <w:tcPr>
            <w:tcW w:w="2738" w:type="dxa"/>
            <w:shd w:val="clear" w:color="FFFFFF" w:fill="FFFFFF"/>
            <w:hideMark/>
          </w:tcPr>
          <w:p w14:paraId="1E3ED2F4"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 Дзержинского, 56</w:t>
            </w:r>
          </w:p>
        </w:tc>
        <w:tc>
          <w:tcPr>
            <w:tcW w:w="1993" w:type="dxa"/>
            <w:shd w:val="clear" w:color="FFFFFF" w:fill="FFFFFF"/>
            <w:hideMark/>
          </w:tcPr>
          <w:p w14:paraId="6B2F971B"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435 от 29.04.2022</w:t>
            </w:r>
          </w:p>
        </w:tc>
        <w:tc>
          <w:tcPr>
            <w:tcW w:w="2427" w:type="dxa"/>
            <w:shd w:val="clear" w:color="FFFFFF" w:fill="FFFFFF"/>
            <w:hideMark/>
          </w:tcPr>
          <w:p w14:paraId="1BC4D70E"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108 от 14.02.2023</w:t>
            </w:r>
          </w:p>
        </w:tc>
      </w:tr>
      <w:tr w:rsidR="000C5E62" w:rsidRPr="00731FE2" w14:paraId="5BA97358" w14:textId="77777777" w:rsidTr="000C5E62">
        <w:trPr>
          <w:trHeight w:val="3960"/>
        </w:trPr>
        <w:tc>
          <w:tcPr>
            <w:tcW w:w="704" w:type="dxa"/>
            <w:shd w:val="clear" w:color="auto" w:fill="auto"/>
            <w:noWrap/>
          </w:tcPr>
          <w:p w14:paraId="2BA7CA43" w14:textId="77777777" w:rsidR="000C5E62" w:rsidRPr="00731FE2" w:rsidRDefault="000C5E62" w:rsidP="000C5E62">
            <w:pPr>
              <w:pStyle w:val="a3"/>
              <w:numPr>
                <w:ilvl w:val="0"/>
                <w:numId w:val="127"/>
              </w:numPr>
              <w:spacing w:line="240" w:lineRule="auto"/>
              <w:ind w:left="0" w:firstLine="0"/>
              <w:jc w:val="center"/>
              <w:rPr>
                <w:rFonts w:ascii="Times New Roman" w:eastAsia="Times New Roman" w:hAnsi="Times New Roman" w:cs="Times New Roman"/>
                <w:sz w:val="20"/>
                <w:szCs w:val="20"/>
                <w:lang w:eastAsia="ru-RU"/>
              </w:rPr>
            </w:pPr>
          </w:p>
        </w:tc>
        <w:tc>
          <w:tcPr>
            <w:tcW w:w="2581" w:type="dxa"/>
            <w:shd w:val="clear" w:color="000000" w:fill="auto"/>
            <w:hideMark/>
          </w:tcPr>
          <w:p w14:paraId="5F072F40"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Дача, нач. XX в.</w:t>
            </w:r>
          </w:p>
        </w:tc>
        <w:tc>
          <w:tcPr>
            <w:tcW w:w="1977" w:type="dxa"/>
            <w:shd w:val="clear" w:color="000000" w:fill="auto"/>
            <w:hideMark/>
          </w:tcPr>
          <w:p w14:paraId="31AC8BF5"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780" w:type="dxa"/>
            <w:shd w:val="clear" w:color="000000" w:fill="auto"/>
            <w:hideMark/>
          </w:tcPr>
          <w:p w14:paraId="43820A73"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регионального значения</w:t>
            </w:r>
          </w:p>
        </w:tc>
        <w:tc>
          <w:tcPr>
            <w:tcW w:w="2738" w:type="dxa"/>
            <w:shd w:val="clear" w:color="000000" w:fill="auto"/>
            <w:hideMark/>
          </w:tcPr>
          <w:p w14:paraId="6ED7AC73"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ул. Желябова, 5-а</w:t>
            </w:r>
          </w:p>
        </w:tc>
        <w:tc>
          <w:tcPr>
            <w:tcW w:w="1993" w:type="dxa"/>
            <w:shd w:val="clear" w:color="000000" w:fill="auto"/>
            <w:hideMark/>
          </w:tcPr>
          <w:p w14:paraId="62FFAD57"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914 от 22.09.2023</w:t>
            </w:r>
          </w:p>
        </w:tc>
        <w:tc>
          <w:tcPr>
            <w:tcW w:w="2427" w:type="dxa"/>
            <w:shd w:val="clear" w:color="000000" w:fill="auto"/>
            <w:hideMark/>
          </w:tcPr>
          <w:p w14:paraId="05A9BC4C"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1072 от 27.11.2023</w:t>
            </w:r>
          </w:p>
        </w:tc>
      </w:tr>
      <w:tr w:rsidR="000C5E62" w:rsidRPr="00731FE2" w14:paraId="42972F21" w14:textId="77777777" w:rsidTr="000C5E62">
        <w:trPr>
          <w:trHeight w:val="3960"/>
        </w:trPr>
        <w:tc>
          <w:tcPr>
            <w:tcW w:w="704" w:type="dxa"/>
            <w:shd w:val="clear" w:color="auto" w:fill="auto"/>
            <w:noWrap/>
          </w:tcPr>
          <w:p w14:paraId="0EBAD89B" w14:textId="77777777" w:rsidR="000C5E62" w:rsidRPr="00731FE2" w:rsidRDefault="000C5E62" w:rsidP="000C5E62">
            <w:pPr>
              <w:pStyle w:val="a3"/>
              <w:numPr>
                <w:ilvl w:val="0"/>
                <w:numId w:val="127"/>
              </w:numPr>
              <w:spacing w:line="240" w:lineRule="auto"/>
              <w:ind w:left="0" w:firstLine="0"/>
              <w:jc w:val="center"/>
              <w:rPr>
                <w:rFonts w:ascii="Times New Roman" w:eastAsia="Times New Roman" w:hAnsi="Times New Roman" w:cs="Times New Roman"/>
                <w:sz w:val="20"/>
                <w:szCs w:val="20"/>
                <w:lang w:eastAsia="ru-RU"/>
              </w:rPr>
            </w:pPr>
          </w:p>
        </w:tc>
        <w:tc>
          <w:tcPr>
            <w:tcW w:w="2581" w:type="dxa"/>
            <w:shd w:val="clear" w:color="FFFFFF" w:fill="FFFFFF"/>
            <w:hideMark/>
          </w:tcPr>
          <w:p w14:paraId="3114596C"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Усадьба Померанцева, нач. ХХ в.</w:t>
            </w:r>
          </w:p>
        </w:tc>
        <w:tc>
          <w:tcPr>
            <w:tcW w:w="1977" w:type="dxa"/>
            <w:shd w:val="clear" w:color="FFFFFF" w:fill="FFFFFF"/>
            <w:hideMark/>
          </w:tcPr>
          <w:p w14:paraId="74B75707"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780" w:type="dxa"/>
            <w:shd w:val="clear" w:color="FFFFFF" w:fill="FFFFFF"/>
            <w:hideMark/>
          </w:tcPr>
          <w:p w14:paraId="38929CBB"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регионального значения</w:t>
            </w:r>
          </w:p>
        </w:tc>
        <w:tc>
          <w:tcPr>
            <w:tcW w:w="2738" w:type="dxa"/>
            <w:shd w:val="clear" w:color="FFFFFF" w:fill="FFFFFF"/>
            <w:hideMark/>
          </w:tcPr>
          <w:p w14:paraId="6B938F11"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ул. Желябова, 14</w:t>
            </w:r>
          </w:p>
        </w:tc>
        <w:tc>
          <w:tcPr>
            <w:tcW w:w="1993" w:type="dxa"/>
            <w:shd w:val="clear" w:color="FFFFFF" w:fill="FFFFFF"/>
            <w:noWrap/>
            <w:hideMark/>
          </w:tcPr>
          <w:p w14:paraId="16E476EA"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 710 от 28.07.2021</w:t>
            </w:r>
          </w:p>
        </w:tc>
        <w:tc>
          <w:tcPr>
            <w:tcW w:w="2427" w:type="dxa"/>
            <w:shd w:val="clear" w:color="FFFFFF" w:fill="FFFFFF"/>
            <w:hideMark/>
          </w:tcPr>
          <w:p w14:paraId="55B2ACAC"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231 от 31.03.2023; приказ управления 950 от 22.09.2021</w:t>
            </w:r>
          </w:p>
        </w:tc>
      </w:tr>
      <w:tr w:rsidR="000C5E62" w:rsidRPr="00731FE2" w14:paraId="17E9EBF5" w14:textId="77777777" w:rsidTr="000C5E62">
        <w:trPr>
          <w:trHeight w:val="3960"/>
        </w:trPr>
        <w:tc>
          <w:tcPr>
            <w:tcW w:w="704" w:type="dxa"/>
            <w:shd w:val="clear" w:color="auto" w:fill="auto"/>
            <w:noWrap/>
          </w:tcPr>
          <w:p w14:paraId="3CF7ED5D" w14:textId="77777777" w:rsidR="000C5E62" w:rsidRPr="00731FE2" w:rsidRDefault="000C5E62" w:rsidP="000C5E62">
            <w:pPr>
              <w:pStyle w:val="a3"/>
              <w:numPr>
                <w:ilvl w:val="0"/>
                <w:numId w:val="127"/>
              </w:numPr>
              <w:spacing w:line="240" w:lineRule="auto"/>
              <w:ind w:left="0" w:firstLine="0"/>
              <w:jc w:val="center"/>
              <w:rPr>
                <w:rFonts w:ascii="Times New Roman" w:eastAsia="Times New Roman" w:hAnsi="Times New Roman" w:cs="Times New Roman"/>
                <w:sz w:val="20"/>
                <w:szCs w:val="20"/>
                <w:lang w:eastAsia="ru-RU"/>
              </w:rPr>
            </w:pPr>
          </w:p>
        </w:tc>
        <w:tc>
          <w:tcPr>
            <w:tcW w:w="2581" w:type="dxa"/>
            <w:shd w:val="clear" w:color="FFFFFF" w:fill="FFFFFF"/>
            <w:hideMark/>
          </w:tcPr>
          <w:p w14:paraId="0E59E39A"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Особняк – 1, нач. ХХ в.</w:t>
            </w:r>
          </w:p>
        </w:tc>
        <w:tc>
          <w:tcPr>
            <w:tcW w:w="1977" w:type="dxa"/>
            <w:shd w:val="clear" w:color="FFFFFF" w:fill="FFFFFF"/>
            <w:hideMark/>
          </w:tcPr>
          <w:p w14:paraId="297D441E"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780" w:type="dxa"/>
            <w:shd w:val="clear" w:color="FFFFFF" w:fill="FFFFFF"/>
            <w:hideMark/>
          </w:tcPr>
          <w:p w14:paraId="45AAFD14"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регионального значения</w:t>
            </w:r>
          </w:p>
        </w:tc>
        <w:tc>
          <w:tcPr>
            <w:tcW w:w="2738" w:type="dxa"/>
            <w:shd w:val="clear" w:color="FFFFFF" w:fill="FFFFFF"/>
            <w:hideMark/>
          </w:tcPr>
          <w:p w14:paraId="4BBBBB5C"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ул. Желябова, 14</w:t>
            </w:r>
          </w:p>
        </w:tc>
        <w:tc>
          <w:tcPr>
            <w:tcW w:w="1993" w:type="dxa"/>
            <w:shd w:val="clear" w:color="FFFFFF" w:fill="FFFFFF"/>
            <w:noWrap/>
            <w:hideMark/>
          </w:tcPr>
          <w:p w14:paraId="7C0FA31E"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 710 от 28.07.2021</w:t>
            </w:r>
          </w:p>
        </w:tc>
        <w:tc>
          <w:tcPr>
            <w:tcW w:w="2427" w:type="dxa"/>
            <w:shd w:val="clear" w:color="FFFFFF" w:fill="FFFFFF"/>
            <w:hideMark/>
          </w:tcPr>
          <w:p w14:paraId="7EF1A8E9"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231 от 31.03.2023, приказ управления 950 от 22.09.2021</w:t>
            </w:r>
          </w:p>
        </w:tc>
      </w:tr>
      <w:tr w:rsidR="000C5E62" w:rsidRPr="00731FE2" w14:paraId="1B376E2A" w14:textId="77777777" w:rsidTr="000C5E62">
        <w:trPr>
          <w:trHeight w:val="3960"/>
        </w:trPr>
        <w:tc>
          <w:tcPr>
            <w:tcW w:w="704" w:type="dxa"/>
            <w:shd w:val="clear" w:color="auto" w:fill="auto"/>
            <w:noWrap/>
          </w:tcPr>
          <w:p w14:paraId="040DCC7B" w14:textId="77777777" w:rsidR="000C5E62" w:rsidRPr="00731FE2" w:rsidRDefault="000C5E62" w:rsidP="000C5E62">
            <w:pPr>
              <w:pStyle w:val="a3"/>
              <w:numPr>
                <w:ilvl w:val="0"/>
                <w:numId w:val="127"/>
              </w:numPr>
              <w:spacing w:line="240" w:lineRule="auto"/>
              <w:ind w:left="0" w:firstLine="0"/>
              <w:jc w:val="center"/>
              <w:rPr>
                <w:rFonts w:ascii="Times New Roman" w:eastAsia="Times New Roman" w:hAnsi="Times New Roman" w:cs="Times New Roman"/>
                <w:sz w:val="20"/>
                <w:szCs w:val="20"/>
                <w:lang w:eastAsia="ru-RU"/>
              </w:rPr>
            </w:pPr>
          </w:p>
        </w:tc>
        <w:tc>
          <w:tcPr>
            <w:tcW w:w="2581" w:type="dxa"/>
            <w:shd w:val="clear" w:color="FFFFFF" w:fill="FFFFFF"/>
            <w:hideMark/>
          </w:tcPr>
          <w:p w14:paraId="206A402F"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Особняк – 2, нач. ХХ в.</w:t>
            </w:r>
          </w:p>
        </w:tc>
        <w:tc>
          <w:tcPr>
            <w:tcW w:w="1977" w:type="dxa"/>
            <w:shd w:val="clear" w:color="FFFFFF" w:fill="FFFFFF"/>
            <w:hideMark/>
          </w:tcPr>
          <w:p w14:paraId="272D1914"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780" w:type="dxa"/>
            <w:shd w:val="clear" w:color="FFFFFF" w:fill="FFFFFF"/>
            <w:hideMark/>
          </w:tcPr>
          <w:p w14:paraId="0827CB1E"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регионального значения</w:t>
            </w:r>
          </w:p>
        </w:tc>
        <w:tc>
          <w:tcPr>
            <w:tcW w:w="2738" w:type="dxa"/>
            <w:shd w:val="clear" w:color="FFFFFF" w:fill="FFFFFF"/>
            <w:hideMark/>
          </w:tcPr>
          <w:p w14:paraId="79A7EFDF"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ул. Желябова, 14</w:t>
            </w:r>
          </w:p>
        </w:tc>
        <w:tc>
          <w:tcPr>
            <w:tcW w:w="1993" w:type="dxa"/>
            <w:shd w:val="clear" w:color="FFFFFF" w:fill="FFFFFF"/>
            <w:noWrap/>
            <w:hideMark/>
          </w:tcPr>
          <w:p w14:paraId="3AAA4422"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 710 от 28.07.2021</w:t>
            </w:r>
          </w:p>
        </w:tc>
        <w:tc>
          <w:tcPr>
            <w:tcW w:w="2427" w:type="dxa"/>
            <w:shd w:val="clear" w:color="FFFFFF" w:fill="FFFFFF"/>
            <w:hideMark/>
          </w:tcPr>
          <w:p w14:paraId="3104AB96"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231 от 31.03.2023, приказ управления 950 от 22.09.2021</w:t>
            </w:r>
          </w:p>
        </w:tc>
      </w:tr>
      <w:tr w:rsidR="000C5E62" w:rsidRPr="00731FE2" w14:paraId="16037EBA" w14:textId="77777777" w:rsidTr="000C5E62">
        <w:trPr>
          <w:trHeight w:val="3960"/>
        </w:trPr>
        <w:tc>
          <w:tcPr>
            <w:tcW w:w="704" w:type="dxa"/>
            <w:shd w:val="clear" w:color="auto" w:fill="auto"/>
            <w:noWrap/>
          </w:tcPr>
          <w:p w14:paraId="3889FE7A" w14:textId="77777777" w:rsidR="000C5E62" w:rsidRPr="00731FE2" w:rsidRDefault="000C5E62" w:rsidP="000C5E62">
            <w:pPr>
              <w:pStyle w:val="a3"/>
              <w:numPr>
                <w:ilvl w:val="0"/>
                <w:numId w:val="127"/>
              </w:numPr>
              <w:spacing w:line="240" w:lineRule="auto"/>
              <w:ind w:left="0" w:firstLine="0"/>
              <w:jc w:val="center"/>
              <w:rPr>
                <w:rFonts w:ascii="Times New Roman" w:eastAsia="Times New Roman" w:hAnsi="Times New Roman" w:cs="Times New Roman"/>
                <w:sz w:val="20"/>
                <w:szCs w:val="20"/>
                <w:lang w:eastAsia="ru-RU"/>
              </w:rPr>
            </w:pPr>
          </w:p>
        </w:tc>
        <w:tc>
          <w:tcPr>
            <w:tcW w:w="2581" w:type="dxa"/>
            <w:shd w:val="clear" w:color="FFFFFF" w:fill="FFFFFF"/>
            <w:hideMark/>
          </w:tcPr>
          <w:p w14:paraId="20F45129"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Особняк – 3, нач. ХХ в.</w:t>
            </w:r>
          </w:p>
        </w:tc>
        <w:tc>
          <w:tcPr>
            <w:tcW w:w="1977" w:type="dxa"/>
            <w:shd w:val="clear" w:color="FFFFFF" w:fill="FFFFFF"/>
            <w:hideMark/>
          </w:tcPr>
          <w:p w14:paraId="57DA4645"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780" w:type="dxa"/>
            <w:shd w:val="clear" w:color="FFFFFF" w:fill="FFFFFF"/>
            <w:hideMark/>
          </w:tcPr>
          <w:p w14:paraId="6BC69DA1"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регионального значения</w:t>
            </w:r>
          </w:p>
        </w:tc>
        <w:tc>
          <w:tcPr>
            <w:tcW w:w="2738" w:type="dxa"/>
            <w:shd w:val="clear" w:color="FFFFFF" w:fill="FFFFFF"/>
            <w:hideMark/>
          </w:tcPr>
          <w:p w14:paraId="3D9A1E27"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ул. Желябова, 14</w:t>
            </w:r>
          </w:p>
        </w:tc>
        <w:tc>
          <w:tcPr>
            <w:tcW w:w="1993" w:type="dxa"/>
            <w:shd w:val="clear" w:color="FFFFFF" w:fill="FFFFFF"/>
            <w:hideMark/>
          </w:tcPr>
          <w:p w14:paraId="5C8390F6"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приказ управления от 28.07.2021 № 710</w:t>
            </w:r>
          </w:p>
        </w:tc>
        <w:tc>
          <w:tcPr>
            <w:tcW w:w="2427" w:type="dxa"/>
            <w:shd w:val="clear" w:color="FFFFFF" w:fill="FFFFFF"/>
            <w:hideMark/>
          </w:tcPr>
          <w:p w14:paraId="3E5D228E"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231 от 31.03.2023, приказ управления 950 от 22.09.2021</w:t>
            </w:r>
          </w:p>
        </w:tc>
      </w:tr>
      <w:tr w:rsidR="000C5E62" w:rsidRPr="00731FE2" w14:paraId="5EC8AEDC" w14:textId="77777777" w:rsidTr="000C5E62">
        <w:trPr>
          <w:trHeight w:val="3960"/>
        </w:trPr>
        <w:tc>
          <w:tcPr>
            <w:tcW w:w="704" w:type="dxa"/>
            <w:shd w:val="clear" w:color="auto" w:fill="auto"/>
            <w:noWrap/>
          </w:tcPr>
          <w:p w14:paraId="1F215095" w14:textId="77777777" w:rsidR="000C5E62" w:rsidRPr="00731FE2" w:rsidRDefault="000C5E62" w:rsidP="000C5E62">
            <w:pPr>
              <w:pStyle w:val="a3"/>
              <w:numPr>
                <w:ilvl w:val="0"/>
                <w:numId w:val="127"/>
              </w:numPr>
              <w:spacing w:line="240" w:lineRule="auto"/>
              <w:ind w:left="0" w:firstLine="0"/>
              <w:jc w:val="center"/>
              <w:rPr>
                <w:rFonts w:ascii="Times New Roman" w:eastAsia="Times New Roman" w:hAnsi="Times New Roman" w:cs="Times New Roman"/>
                <w:sz w:val="20"/>
                <w:szCs w:val="20"/>
                <w:lang w:eastAsia="ru-RU"/>
              </w:rPr>
            </w:pPr>
          </w:p>
        </w:tc>
        <w:tc>
          <w:tcPr>
            <w:tcW w:w="2581" w:type="dxa"/>
            <w:shd w:val="clear" w:color="000000" w:fill="auto"/>
            <w:hideMark/>
          </w:tcPr>
          <w:p w14:paraId="5C1D21A5"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Особняк Сильникова, 1907 г.</w:t>
            </w:r>
          </w:p>
        </w:tc>
        <w:tc>
          <w:tcPr>
            <w:tcW w:w="1977" w:type="dxa"/>
            <w:shd w:val="clear" w:color="000000" w:fill="auto"/>
            <w:hideMark/>
          </w:tcPr>
          <w:p w14:paraId="64A095A6"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780" w:type="dxa"/>
            <w:shd w:val="clear" w:color="000000" w:fill="auto"/>
            <w:hideMark/>
          </w:tcPr>
          <w:p w14:paraId="7F99F1EB"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регионального значения</w:t>
            </w:r>
          </w:p>
        </w:tc>
        <w:tc>
          <w:tcPr>
            <w:tcW w:w="2738" w:type="dxa"/>
            <w:shd w:val="clear" w:color="000000" w:fill="auto"/>
            <w:hideMark/>
          </w:tcPr>
          <w:p w14:paraId="4FE2C4CC"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ул. Коминтерна, 4</w:t>
            </w:r>
          </w:p>
        </w:tc>
        <w:tc>
          <w:tcPr>
            <w:tcW w:w="1993" w:type="dxa"/>
            <w:shd w:val="clear" w:color="000000" w:fill="auto"/>
            <w:hideMark/>
          </w:tcPr>
          <w:p w14:paraId="49A4ACD6"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1089 от 23.09.2022</w:t>
            </w:r>
          </w:p>
        </w:tc>
        <w:tc>
          <w:tcPr>
            <w:tcW w:w="2427" w:type="dxa"/>
            <w:shd w:val="clear" w:color="000000" w:fill="auto"/>
            <w:hideMark/>
          </w:tcPr>
          <w:p w14:paraId="4D8768B4"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в ЗО "Курортный парк"</w:t>
            </w:r>
          </w:p>
        </w:tc>
      </w:tr>
      <w:tr w:rsidR="000C5E62" w:rsidRPr="00731FE2" w14:paraId="5C10ABC3" w14:textId="77777777" w:rsidTr="000C5E62">
        <w:trPr>
          <w:trHeight w:val="3960"/>
        </w:trPr>
        <w:tc>
          <w:tcPr>
            <w:tcW w:w="704" w:type="dxa"/>
            <w:shd w:val="clear" w:color="auto" w:fill="auto"/>
            <w:noWrap/>
          </w:tcPr>
          <w:p w14:paraId="53E91639" w14:textId="77777777" w:rsidR="000C5E62" w:rsidRPr="00731FE2" w:rsidRDefault="000C5E62" w:rsidP="000C5E62">
            <w:pPr>
              <w:pStyle w:val="a3"/>
              <w:numPr>
                <w:ilvl w:val="0"/>
                <w:numId w:val="127"/>
              </w:numPr>
              <w:spacing w:line="240" w:lineRule="auto"/>
              <w:ind w:left="0" w:firstLine="0"/>
              <w:jc w:val="center"/>
              <w:rPr>
                <w:rFonts w:ascii="Times New Roman" w:eastAsia="Times New Roman" w:hAnsi="Times New Roman" w:cs="Times New Roman"/>
                <w:sz w:val="20"/>
                <w:szCs w:val="20"/>
                <w:lang w:eastAsia="ru-RU"/>
              </w:rPr>
            </w:pPr>
          </w:p>
        </w:tc>
        <w:tc>
          <w:tcPr>
            <w:tcW w:w="2581" w:type="dxa"/>
            <w:shd w:val="clear" w:color="000000" w:fill="auto"/>
            <w:hideMark/>
          </w:tcPr>
          <w:p w14:paraId="30065C8E"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Дача А.И. Кабат, 1900 г.</w:t>
            </w:r>
          </w:p>
        </w:tc>
        <w:tc>
          <w:tcPr>
            <w:tcW w:w="1977" w:type="dxa"/>
            <w:shd w:val="clear" w:color="000000" w:fill="auto"/>
            <w:hideMark/>
          </w:tcPr>
          <w:p w14:paraId="7F1970E0"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780" w:type="dxa"/>
            <w:shd w:val="clear" w:color="000000" w:fill="auto"/>
            <w:hideMark/>
          </w:tcPr>
          <w:p w14:paraId="0E0C318C"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регионального значения</w:t>
            </w:r>
          </w:p>
        </w:tc>
        <w:tc>
          <w:tcPr>
            <w:tcW w:w="2738" w:type="dxa"/>
            <w:shd w:val="clear" w:color="000000" w:fill="auto"/>
            <w:hideMark/>
          </w:tcPr>
          <w:p w14:paraId="04D57831"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ул. Коминтерна, 9</w:t>
            </w:r>
          </w:p>
        </w:tc>
        <w:tc>
          <w:tcPr>
            <w:tcW w:w="1993" w:type="dxa"/>
            <w:shd w:val="clear" w:color="CCFFFF" w:fill="auto"/>
            <w:hideMark/>
          </w:tcPr>
          <w:p w14:paraId="0C70A959"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приказ управления СК об охране ОКН от 25.06.2015 № 74,  внесение изменений приказ от 11.12.2020 № 979</w:t>
            </w:r>
          </w:p>
        </w:tc>
        <w:tc>
          <w:tcPr>
            <w:tcW w:w="2427" w:type="dxa"/>
            <w:shd w:val="clear" w:color="CCFFFF" w:fill="auto"/>
            <w:hideMark/>
          </w:tcPr>
          <w:p w14:paraId="591D81FD"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приказ управления СК об охране ОКН от 25.06.2015 № 74, внесение изменений приказ от 11.12.2020 № 979</w:t>
            </w:r>
          </w:p>
        </w:tc>
      </w:tr>
      <w:tr w:rsidR="000C5E62" w:rsidRPr="00731FE2" w14:paraId="3AAACDE4" w14:textId="77777777" w:rsidTr="000C5E62">
        <w:trPr>
          <w:trHeight w:val="3960"/>
        </w:trPr>
        <w:tc>
          <w:tcPr>
            <w:tcW w:w="704" w:type="dxa"/>
            <w:shd w:val="clear" w:color="auto" w:fill="auto"/>
            <w:noWrap/>
          </w:tcPr>
          <w:p w14:paraId="069A446A" w14:textId="77777777" w:rsidR="000C5E62" w:rsidRPr="00731FE2" w:rsidRDefault="000C5E62" w:rsidP="000C5E62">
            <w:pPr>
              <w:pStyle w:val="a3"/>
              <w:numPr>
                <w:ilvl w:val="0"/>
                <w:numId w:val="127"/>
              </w:numPr>
              <w:spacing w:line="240" w:lineRule="auto"/>
              <w:ind w:left="0" w:firstLine="0"/>
              <w:jc w:val="center"/>
              <w:rPr>
                <w:rFonts w:ascii="Times New Roman" w:eastAsia="Times New Roman" w:hAnsi="Times New Roman" w:cs="Times New Roman"/>
                <w:sz w:val="20"/>
                <w:szCs w:val="20"/>
                <w:lang w:eastAsia="ru-RU"/>
              </w:rPr>
            </w:pPr>
          </w:p>
        </w:tc>
        <w:tc>
          <w:tcPr>
            <w:tcW w:w="2581" w:type="dxa"/>
            <w:shd w:val="clear" w:color="000000" w:fill="auto"/>
            <w:hideMark/>
          </w:tcPr>
          <w:p w14:paraId="673F518D"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Доходный дом (лечебный корпус санатория "Нарзан"), нач. XX в.</w:t>
            </w:r>
          </w:p>
        </w:tc>
        <w:tc>
          <w:tcPr>
            <w:tcW w:w="1977" w:type="dxa"/>
            <w:shd w:val="clear" w:color="000000" w:fill="auto"/>
            <w:hideMark/>
          </w:tcPr>
          <w:p w14:paraId="03286D29"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780" w:type="dxa"/>
            <w:shd w:val="clear" w:color="000000" w:fill="auto"/>
            <w:hideMark/>
          </w:tcPr>
          <w:p w14:paraId="40F076B1"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регионального значения</w:t>
            </w:r>
          </w:p>
        </w:tc>
        <w:tc>
          <w:tcPr>
            <w:tcW w:w="2738" w:type="dxa"/>
            <w:shd w:val="clear" w:color="000000" w:fill="auto"/>
            <w:hideMark/>
          </w:tcPr>
          <w:p w14:paraId="64063200"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ул. Красноармейская, 1</w:t>
            </w:r>
          </w:p>
        </w:tc>
        <w:tc>
          <w:tcPr>
            <w:tcW w:w="1993" w:type="dxa"/>
            <w:shd w:val="clear" w:color="000000" w:fill="auto"/>
            <w:hideMark/>
          </w:tcPr>
          <w:p w14:paraId="5CB928B4"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1088 от 23.09.2022 г.</w:t>
            </w:r>
          </w:p>
        </w:tc>
        <w:tc>
          <w:tcPr>
            <w:tcW w:w="2427" w:type="dxa"/>
            <w:shd w:val="clear" w:color="000000" w:fill="auto"/>
            <w:hideMark/>
          </w:tcPr>
          <w:p w14:paraId="465B6126"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541 от 07.06.2024</w:t>
            </w:r>
          </w:p>
        </w:tc>
      </w:tr>
      <w:tr w:rsidR="000C5E62" w:rsidRPr="00731FE2" w14:paraId="4414BC23" w14:textId="77777777" w:rsidTr="000C5E62">
        <w:trPr>
          <w:trHeight w:val="3960"/>
        </w:trPr>
        <w:tc>
          <w:tcPr>
            <w:tcW w:w="704" w:type="dxa"/>
            <w:shd w:val="clear" w:color="auto" w:fill="auto"/>
            <w:noWrap/>
          </w:tcPr>
          <w:p w14:paraId="45A96A8F" w14:textId="77777777" w:rsidR="000C5E62" w:rsidRPr="00731FE2" w:rsidRDefault="000C5E62" w:rsidP="000C5E62">
            <w:pPr>
              <w:pStyle w:val="a3"/>
              <w:numPr>
                <w:ilvl w:val="0"/>
                <w:numId w:val="127"/>
              </w:numPr>
              <w:spacing w:line="240" w:lineRule="auto"/>
              <w:ind w:left="0" w:firstLine="0"/>
              <w:jc w:val="center"/>
              <w:rPr>
                <w:rFonts w:ascii="Times New Roman" w:eastAsia="Times New Roman" w:hAnsi="Times New Roman" w:cs="Times New Roman"/>
                <w:sz w:val="20"/>
                <w:szCs w:val="20"/>
                <w:lang w:eastAsia="ru-RU"/>
              </w:rPr>
            </w:pPr>
          </w:p>
        </w:tc>
        <w:tc>
          <w:tcPr>
            <w:tcW w:w="2581" w:type="dxa"/>
            <w:shd w:val="clear" w:color="000000" w:fill="auto"/>
            <w:hideMark/>
          </w:tcPr>
          <w:p w14:paraId="0F69DBC6"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Особняк Тамбиева (гостиница "Московская"),1904 г.</w:t>
            </w:r>
          </w:p>
        </w:tc>
        <w:tc>
          <w:tcPr>
            <w:tcW w:w="1977" w:type="dxa"/>
            <w:shd w:val="clear" w:color="000000" w:fill="auto"/>
            <w:hideMark/>
          </w:tcPr>
          <w:p w14:paraId="6B20FD04"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780" w:type="dxa"/>
            <w:shd w:val="clear" w:color="000000" w:fill="auto"/>
            <w:hideMark/>
          </w:tcPr>
          <w:p w14:paraId="6B97643B"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регионального значения</w:t>
            </w:r>
          </w:p>
        </w:tc>
        <w:tc>
          <w:tcPr>
            <w:tcW w:w="2738" w:type="dxa"/>
            <w:shd w:val="clear" w:color="000000" w:fill="auto"/>
            <w:hideMark/>
          </w:tcPr>
          <w:p w14:paraId="29ED2D49"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ул. Красноармейская, 4</w:t>
            </w:r>
          </w:p>
        </w:tc>
        <w:tc>
          <w:tcPr>
            <w:tcW w:w="1993" w:type="dxa"/>
            <w:shd w:val="clear" w:color="000000" w:fill="auto"/>
            <w:hideMark/>
          </w:tcPr>
          <w:p w14:paraId="0AEF1B1F"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1301 от 26.10.2022 г.</w:t>
            </w:r>
          </w:p>
        </w:tc>
        <w:tc>
          <w:tcPr>
            <w:tcW w:w="2427" w:type="dxa"/>
            <w:shd w:val="clear" w:color="000000" w:fill="auto"/>
            <w:hideMark/>
          </w:tcPr>
          <w:p w14:paraId="11F02053"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533 от 06.06.2024</w:t>
            </w:r>
          </w:p>
        </w:tc>
      </w:tr>
      <w:tr w:rsidR="000C5E62" w:rsidRPr="00731FE2" w14:paraId="41D8E0E5" w14:textId="77777777" w:rsidTr="000C5E62">
        <w:trPr>
          <w:trHeight w:val="3960"/>
        </w:trPr>
        <w:tc>
          <w:tcPr>
            <w:tcW w:w="704" w:type="dxa"/>
            <w:shd w:val="clear" w:color="auto" w:fill="auto"/>
            <w:noWrap/>
          </w:tcPr>
          <w:p w14:paraId="6A825617" w14:textId="77777777" w:rsidR="000C5E62" w:rsidRPr="00731FE2" w:rsidRDefault="000C5E62" w:rsidP="000C5E62">
            <w:pPr>
              <w:pStyle w:val="a3"/>
              <w:numPr>
                <w:ilvl w:val="0"/>
                <w:numId w:val="127"/>
              </w:numPr>
              <w:spacing w:line="240" w:lineRule="auto"/>
              <w:ind w:left="0" w:firstLine="0"/>
              <w:jc w:val="center"/>
              <w:rPr>
                <w:rFonts w:ascii="Times New Roman" w:eastAsia="Times New Roman" w:hAnsi="Times New Roman" w:cs="Times New Roman"/>
                <w:sz w:val="20"/>
                <w:szCs w:val="20"/>
                <w:lang w:eastAsia="ru-RU"/>
              </w:rPr>
            </w:pPr>
          </w:p>
        </w:tc>
        <w:tc>
          <w:tcPr>
            <w:tcW w:w="2581" w:type="dxa"/>
            <w:shd w:val="clear" w:color="000000" w:fill="auto"/>
            <w:hideMark/>
          </w:tcPr>
          <w:p w14:paraId="252DA638"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Дом раввина, нач. XX в.</w:t>
            </w:r>
          </w:p>
        </w:tc>
        <w:tc>
          <w:tcPr>
            <w:tcW w:w="1977" w:type="dxa"/>
            <w:shd w:val="clear" w:color="000000" w:fill="auto"/>
            <w:hideMark/>
          </w:tcPr>
          <w:p w14:paraId="634E8177"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780" w:type="dxa"/>
            <w:shd w:val="clear" w:color="000000" w:fill="auto"/>
            <w:hideMark/>
          </w:tcPr>
          <w:p w14:paraId="55C9AB3D"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регионального значения</w:t>
            </w:r>
          </w:p>
        </w:tc>
        <w:tc>
          <w:tcPr>
            <w:tcW w:w="2738" w:type="dxa"/>
            <w:shd w:val="clear" w:color="000000" w:fill="auto"/>
            <w:hideMark/>
          </w:tcPr>
          <w:p w14:paraId="34BB2A6A"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ул. Куйбышева, 2</w:t>
            </w:r>
          </w:p>
        </w:tc>
        <w:tc>
          <w:tcPr>
            <w:tcW w:w="1993" w:type="dxa"/>
            <w:shd w:val="clear" w:color="000000" w:fill="auto"/>
            <w:hideMark/>
          </w:tcPr>
          <w:p w14:paraId="0B56E387"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приказ управления от 19.07.2021 № 634</w:t>
            </w:r>
          </w:p>
        </w:tc>
        <w:tc>
          <w:tcPr>
            <w:tcW w:w="2427" w:type="dxa"/>
            <w:shd w:val="clear" w:color="auto" w:fill="auto"/>
            <w:hideMark/>
          </w:tcPr>
          <w:p w14:paraId="1F635C4E"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В соответствии со ст. 34.1 ФЗ от 25.06.2002 № 73-ФЗ «Об объектах культурного наследия (памятниках истории и культуры) народов РФ» действуют защитные зоны 100 м</w:t>
            </w:r>
          </w:p>
        </w:tc>
      </w:tr>
      <w:tr w:rsidR="000C5E62" w:rsidRPr="00731FE2" w14:paraId="6C15F058" w14:textId="77777777" w:rsidTr="000C5E62">
        <w:trPr>
          <w:trHeight w:val="3960"/>
        </w:trPr>
        <w:tc>
          <w:tcPr>
            <w:tcW w:w="704" w:type="dxa"/>
            <w:shd w:val="clear" w:color="auto" w:fill="auto"/>
            <w:noWrap/>
          </w:tcPr>
          <w:p w14:paraId="383892C0" w14:textId="77777777" w:rsidR="000C5E62" w:rsidRPr="00731FE2" w:rsidRDefault="000C5E62" w:rsidP="000C5E62">
            <w:pPr>
              <w:pStyle w:val="a3"/>
              <w:numPr>
                <w:ilvl w:val="0"/>
                <w:numId w:val="127"/>
              </w:numPr>
              <w:spacing w:line="240" w:lineRule="auto"/>
              <w:ind w:left="0" w:firstLine="0"/>
              <w:jc w:val="center"/>
              <w:rPr>
                <w:rFonts w:ascii="Times New Roman" w:eastAsia="Times New Roman" w:hAnsi="Times New Roman" w:cs="Times New Roman"/>
                <w:sz w:val="20"/>
                <w:szCs w:val="20"/>
                <w:lang w:eastAsia="ru-RU"/>
              </w:rPr>
            </w:pPr>
          </w:p>
        </w:tc>
        <w:tc>
          <w:tcPr>
            <w:tcW w:w="2581" w:type="dxa"/>
            <w:shd w:val="clear" w:color="000000" w:fill="auto"/>
            <w:hideMark/>
          </w:tcPr>
          <w:p w14:paraId="6D629641"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Аптека Цинцинатора, нач. XX в.</w:t>
            </w:r>
          </w:p>
        </w:tc>
        <w:tc>
          <w:tcPr>
            <w:tcW w:w="1977" w:type="dxa"/>
            <w:shd w:val="clear" w:color="000000" w:fill="auto"/>
            <w:hideMark/>
          </w:tcPr>
          <w:p w14:paraId="7A2B38E4"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780" w:type="dxa"/>
            <w:shd w:val="clear" w:color="000000" w:fill="auto"/>
            <w:hideMark/>
          </w:tcPr>
          <w:p w14:paraId="673277A4"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регионального значения</w:t>
            </w:r>
          </w:p>
        </w:tc>
        <w:tc>
          <w:tcPr>
            <w:tcW w:w="2738" w:type="dxa"/>
            <w:shd w:val="clear" w:color="000000" w:fill="auto"/>
            <w:hideMark/>
          </w:tcPr>
          <w:p w14:paraId="1624AF50"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Курортный бульвар, 6</w:t>
            </w:r>
          </w:p>
        </w:tc>
        <w:tc>
          <w:tcPr>
            <w:tcW w:w="1993" w:type="dxa"/>
            <w:shd w:val="clear" w:color="008080" w:fill="auto"/>
            <w:hideMark/>
          </w:tcPr>
          <w:p w14:paraId="186656A6"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приказ управления СК по охране ОКН от 03.06.16 № 222</w:t>
            </w:r>
          </w:p>
        </w:tc>
        <w:tc>
          <w:tcPr>
            <w:tcW w:w="2427" w:type="dxa"/>
            <w:shd w:val="clear" w:color="auto" w:fill="auto"/>
            <w:hideMark/>
          </w:tcPr>
          <w:p w14:paraId="2916D5D4"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В соответствии со ст. 34.1 ФЗ от 25.06.2002 № 73-ФЗ «Об объектах культурного наследия (памятниках истории и культуры) народов РФ» действуют защитные зоны 100 м</w:t>
            </w:r>
          </w:p>
        </w:tc>
      </w:tr>
      <w:tr w:rsidR="000C5E62" w:rsidRPr="00731FE2" w14:paraId="451D13E6" w14:textId="77777777" w:rsidTr="000C5E62">
        <w:trPr>
          <w:trHeight w:val="3960"/>
        </w:trPr>
        <w:tc>
          <w:tcPr>
            <w:tcW w:w="704" w:type="dxa"/>
            <w:shd w:val="clear" w:color="auto" w:fill="auto"/>
            <w:noWrap/>
          </w:tcPr>
          <w:p w14:paraId="20B24101" w14:textId="77777777" w:rsidR="000C5E62" w:rsidRPr="00731FE2" w:rsidRDefault="000C5E62" w:rsidP="000C5E62">
            <w:pPr>
              <w:pStyle w:val="a3"/>
              <w:numPr>
                <w:ilvl w:val="0"/>
                <w:numId w:val="127"/>
              </w:numPr>
              <w:spacing w:line="240" w:lineRule="auto"/>
              <w:ind w:left="0" w:firstLine="0"/>
              <w:jc w:val="center"/>
              <w:rPr>
                <w:rFonts w:ascii="Times New Roman" w:eastAsia="Times New Roman" w:hAnsi="Times New Roman" w:cs="Times New Roman"/>
                <w:sz w:val="20"/>
                <w:szCs w:val="20"/>
                <w:lang w:eastAsia="ru-RU"/>
              </w:rPr>
            </w:pPr>
          </w:p>
        </w:tc>
        <w:tc>
          <w:tcPr>
            <w:tcW w:w="2581" w:type="dxa"/>
            <w:shd w:val="clear" w:color="000000" w:fill="auto"/>
            <w:hideMark/>
          </w:tcPr>
          <w:p w14:paraId="71747F87"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Гостиница "Бештау" С.А. Бештау, кон. XIX - нач. XX в.</w:t>
            </w:r>
          </w:p>
        </w:tc>
        <w:tc>
          <w:tcPr>
            <w:tcW w:w="1977" w:type="dxa"/>
            <w:shd w:val="clear" w:color="000000" w:fill="auto"/>
            <w:hideMark/>
          </w:tcPr>
          <w:p w14:paraId="1D4D58C7"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780" w:type="dxa"/>
            <w:shd w:val="clear" w:color="000000" w:fill="auto"/>
            <w:hideMark/>
          </w:tcPr>
          <w:p w14:paraId="3B539226"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регионального значения</w:t>
            </w:r>
          </w:p>
        </w:tc>
        <w:tc>
          <w:tcPr>
            <w:tcW w:w="2738" w:type="dxa"/>
            <w:shd w:val="clear" w:color="000000" w:fill="auto"/>
            <w:hideMark/>
          </w:tcPr>
          <w:p w14:paraId="101A9D11"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Курортный бульвар, 10</w:t>
            </w:r>
          </w:p>
        </w:tc>
        <w:tc>
          <w:tcPr>
            <w:tcW w:w="1993" w:type="dxa"/>
            <w:shd w:val="clear" w:color="000000" w:fill="auto"/>
            <w:hideMark/>
          </w:tcPr>
          <w:p w14:paraId="68083FCF"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приказ управления СК по охране ОКН от 31.05.2016 № 213</w:t>
            </w:r>
          </w:p>
        </w:tc>
        <w:tc>
          <w:tcPr>
            <w:tcW w:w="2427" w:type="dxa"/>
            <w:shd w:val="clear" w:color="000000" w:fill="auto"/>
            <w:hideMark/>
          </w:tcPr>
          <w:p w14:paraId="1F84CF9A"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в ЗО "Курортный парк"</w:t>
            </w:r>
          </w:p>
        </w:tc>
      </w:tr>
      <w:tr w:rsidR="000C5E62" w:rsidRPr="00731FE2" w14:paraId="577C959B" w14:textId="77777777" w:rsidTr="000C5E62">
        <w:trPr>
          <w:trHeight w:val="3960"/>
        </w:trPr>
        <w:tc>
          <w:tcPr>
            <w:tcW w:w="704" w:type="dxa"/>
            <w:shd w:val="clear" w:color="auto" w:fill="auto"/>
            <w:noWrap/>
          </w:tcPr>
          <w:p w14:paraId="079126F0" w14:textId="77777777" w:rsidR="000C5E62" w:rsidRPr="00731FE2" w:rsidRDefault="000C5E62" w:rsidP="000C5E62">
            <w:pPr>
              <w:pStyle w:val="a3"/>
              <w:numPr>
                <w:ilvl w:val="0"/>
                <w:numId w:val="127"/>
              </w:numPr>
              <w:spacing w:line="240" w:lineRule="auto"/>
              <w:ind w:left="0" w:firstLine="0"/>
              <w:jc w:val="center"/>
              <w:rPr>
                <w:rFonts w:ascii="Times New Roman" w:eastAsia="Times New Roman" w:hAnsi="Times New Roman" w:cs="Times New Roman"/>
                <w:sz w:val="20"/>
                <w:szCs w:val="20"/>
                <w:lang w:eastAsia="ru-RU"/>
              </w:rPr>
            </w:pPr>
          </w:p>
        </w:tc>
        <w:tc>
          <w:tcPr>
            <w:tcW w:w="2581" w:type="dxa"/>
            <w:shd w:val="clear" w:color="000000" w:fill="auto"/>
            <w:hideMark/>
          </w:tcPr>
          <w:p w14:paraId="668F8A7F"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Гостиница Зипалова, нач. ХХ в.</w:t>
            </w:r>
          </w:p>
        </w:tc>
        <w:tc>
          <w:tcPr>
            <w:tcW w:w="1977" w:type="dxa"/>
            <w:shd w:val="clear" w:color="000000" w:fill="auto"/>
            <w:hideMark/>
          </w:tcPr>
          <w:p w14:paraId="2BC104A7"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780" w:type="dxa"/>
            <w:shd w:val="clear" w:color="000000" w:fill="auto"/>
            <w:hideMark/>
          </w:tcPr>
          <w:p w14:paraId="26DC3E55"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регионального значения</w:t>
            </w:r>
          </w:p>
        </w:tc>
        <w:tc>
          <w:tcPr>
            <w:tcW w:w="2738" w:type="dxa"/>
            <w:shd w:val="clear" w:color="000000" w:fill="auto"/>
            <w:hideMark/>
          </w:tcPr>
          <w:p w14:paraId="6A4FF72D"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Курортный бульвар, 12</w:t>
            </w:r>
          </w:p>
        </w:tc>
        <w:tc>
          <w:tcPr>
            <w:tcW w:w="1993" w:type="dxa"/>
            <w:shd w:val="clear" w:color="000000" w:fill="auto"/>
            <w:hideMark/>
          </w:tcPr>
          <w:p w14:paraId="18CA7150"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1302 от 26.10.2022 г.</w:t>
            </w:r>
          </w:p>
        </w:tc>
        <w:tc>
          <w:tcPr>
            <w:tcW w:w="2427" w:type="dxa"/>
            <w:shd w:val="clear" w:color="000000" w:fill="auto"/>
            <w:hideMark/>
          </w:tcPr>
          <w:p w14:paraId="2969B61F"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в ЗО "Курортный парк"</w:t>
            </w:r>
          </w:p>
        </w:tc>
      </w:tr>
      <w:tr w:rsidR="000C5E62" w:rsidRPr="00731FE2" w14:paraId="57BA9DDD" w14:textId="77777777" w:rsidTr="000C5E62">
        <w:trPr>
          <w:trHeight w:val="3960"/>
        </w:trPr>
        <w:tc>
          <w:tcPr>
            <w:tcW w:w="704" w:type="dxa"/>
            <w:shd w:val="clear" w:color="auto" w:fill="auto"/>
            <w:noWrap/>
          </w:tcPr>
          <w:p w14:paraId="61844D0C" w14:textId="77777777" w:rsidR="000C5E62" w:rsidRPr="00731FE2" w:rsidRDefault="000C5E62" w:rsidP="000C5E62">
            <w:pPr>
              <w:pStyle w:val="a3"/>
              <w:numPr>
                <w:ilvl w:val="0"/>
                <w:numId w:val="127"/>
              </w:numPr>
              <w:spacing w:line="240" w:lineRule="auto"/>
              <w:ind w:left="0" w:firstLine="0"/>
              <w:jc w:val="center"/>
              <w:rPr>
                <w:rFonts w:ascii="Times New Roman" w:eastAsia="Times New Roman" w:hAnsi="Times New Roman" w:cs="Times New Roman"/>
                <w:sz w:val="20"/>
                <w:szCs w:val="20"/>
                <w:lang w:eastAsia="ru-RU"/>
              </w:rPr>
            </w:pPr>
          </w:p>
        </w:tc>
        <w:tc>
          <w:tcPr>
            <w:tcW w:w="2581" w:type="dxa"/>
            <w:shd w:val="clear" w:color="000000" w:fill="auto"/>
            <w:hideMark/>
          </w:tcPr>
          <w:p w14:paraId="2B8CBB39"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Гостиница Смирнова, нач. ХХ в.</w:t>
            </w:r>
          </w:p>
        </w:tc>
        <w:tc>
          <w:tcPr>
            <w:tcW w:w="1977" w:type="dxa"/>
            <w:shd w:val="clear" w:color="000000" w:fill="auto"/>
            <w:hideMark/>
          </w:tcPr>
          <w:p w14:paraId="50F748D5"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780" w:type="dxa"/>
            <w:shd w:val="clear" w:color="000000" w:fill="auto"/>
            <w:hideMark/>
          </w:tcPr>
          <w:p w14:paraId="39B1E607"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регионального значения</w:t>
            </w:r>
          </w:p>
        </w:tc>
        <w:tc>
          <w:tcPr>
            <w:tcW w:w="2738" w:type="dxa"/>
            <w:shd w:val="clear" w:color="000000" w:fill="auto"/>
            <w:hideMark/>
          </w:tcPr>
          <w:p w14:paraId="78D25B6D"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Курортный бульвар, 14</w:t>
            </w:r>
          </w:p>
        </w:tc>
        <w:tc>
          <w:tcPr>
            <w:tcW w:w="1993" w:type="dxa"/>
            <w:shd w:val="clear" w:color="000000" w:fill="auto"/>
            <w:hideMark/>
          </w:tcPr>
          <w:p w14:paraId="390A7057"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 1326 от 28.10.2022</w:t>
            </w:r>
          </w:p>
        </w:tc>
        <w:tc>
          <w:tcPr>
            <w:tcW w:w="2427" w:type="dxa"/>
            <w:shd w:val="clear" w:color="000000" w:fill="auto"/>
            <w:hideMark/>
          </w:tcPr>
          <w:p w14:paraId="60848A4D"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в ЗО "Курортный парк"</w:t>
            </w:r>
          </w:p>
        </w:tc>
      </w:tr>
      <w:tr w:rsidR="000C5E62" w:rsidRPr="00731FE2" w14:paraId="3D0C9157" w14:textId="77777777" w:rsidTr="000C5E62">
        <w:trPr>
          <w:trHeight w:val="3960"/>
        </w:trPr>
        <w:tc>
          <w:tcPr>
            <w:tcW w:w="704" w:type="dxa"/>
            <w:shd w:val="clear" w:color="auto" w:fill="auto"/>
            <w:noWrap/>
          </w:tcPr>
          <w:p w14:paraId="2D4704B9" w14:textId="77777777" w:rsidR="000C5E62" w:rsidRPr="00731FE2" w:rsidRDefault="000C5E62" w:rsidP="000C5E62">
            <w:pPr>
              <w:pStyle w:val="a3"/>
              <w:numPr>
                <w:ilvl w:val="0"/>
                <w:numId w:val="127"/>
              </w:numPr>
              <w:spacing w:line="240" w:lineRule="auto"/>
              <w:ind w:left="0" w:firstLine="0"/>
              <w:jc w:val="center"/>
              <w:rPr>
                <w:rFonts w:ascii="Times New Roman" w:eastAsia="Times New Roman" w:hAnsi="Times New Roman" w:cs="Times New Roman"/>
                <w:sz w:val="20"/>
                <w:szCs w:val="20"/>
                <w:lang w:eastAsia="ru-RU"/>
              </w:rPr>
            </w:pPr>
          </w:p>
        </w:tc>
        <w:tc>
          <w:tcPr>
            <w:tcW w:w="2581" w:type="dxa"/>
            <w:shd w:val="clear" w:color="000000" w:fill="auto"/>
            <w:hideMark/>
          </w:tcPr>
          <w:p w14:paraId="188CF418"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Типография, нач. ХХ в.</w:t>
            </w:r>
          </w:p>
        </w:tc>
        <w:tc>
          <w:tcPr>
            <w:tcW w:w="1977" w:type="dxa"/>
            <w:shd w:val="clear" w:color="000000" w:fill="auto"/>
            <w:hideMark/>
          </w:tcPr>
          <w:p w14:paraId="727CE9BF"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780" w:type="dxa"/>
            <w:shd w:val="clear" w:color="000000" w:fill="auto"/>
            <w:hideMark/>
          </w:tcPr>
          <w:p w14:paraId="3D204AF5"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регионального значения</w:t>
            </w:r>
          </w:p>
        </w:tc>
        <w:tc>
          <w:tcPr>
            <w:tcW w:w="2738" w:type="dxa"/>
            <w:shd w:val="clear" w:color="000000" w:fill="auto"/>
            <w:hideMark/>
          </w:tcPr>
          <w:p w14:paraId="1AE87B8A"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Курортный бульвар, 14</w:t>
            </w:r>
          </w:p>
        </w:tc>
        <w:tc>
          <w:tcPr>
            <w:tcW w:w="1993" w:type="dxa"/>
            <w:shd w:val="clear" w:color="000000" w:fill="auto"/>
            <w:hideMark/>
          </w:tcPr>
          <w:p w14:paraId="63D80B23"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1307 от 26.10.2022 г.</w:t>
            </w:r>
          </w:p>
        </w:tc>
        <w:tc>
          <w:tcPr>
            <w:tcW w:w="2427" w:type="dxa"/>
            <w:shd w:val="clear" w:color="000000" w:fill="auto"/>
            <w:hideMark/>
          </w:tcPr>
          <w:p w14:paraId="72302BC8"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в ЗО "Курортный парк"</w:t>
            </w:r>
          </w:p>
        </w:tc>
      </w:tr>
      <w:tr w:rsidR="000C5E62" w:rsidRPr="00731FE2" w14:paraId="1B01CD60" w14:textId="77777777" w:rsidTr="000C5E62">
        <w:trPr>
          <w:trHeight w:val="3960"/>
        </w:trPr>
        <w:tc>
          <w:tcPr>
            <w:tcW w:w="704" w:type="dxa"/>
            <w:shd w:val="clear" w:color="auto" w:fill="auto"/>
            <w:noWrap/>
          </w:tcPr>
          <w:p w14:paraId="26308FD9" w14:textId="77777777" w:rsidR="000C5E62" w:rsidRPr="00731FE2" w:rsidRDefault="000C5E62" w:rsidP="000C5E62">
            <w:pPr>
              <w:pStyle w:val="a3"/>
              <w:numPr>
                <w:ilvl w:val="0"/>
                <w:numId w:val="127"/>
              </w:numPr>
              <w:spacing w:line="240" w:lineRule="auto"/>
              <w:ind w:left="0" w:firstLine="0"/>
              <w:jc w:val="center"/>
              <w:rPr>
                <w:rFonts w:ascii="Times New Roman" w:eastAsia="Times New Roman" w:hAnsi="Times New Roman" w:cs="Times New Roman"/>
                <w:sz w:val="20"/>
                <w:szCs w:val="20"/>
                <w:lang w:eastAsia="ru-RU"/>
              </w:rPr>
            </w:pPr>
          </w:p>
        </w:tc>
        <w:tc>
          <w:tcPr>
            <w:tcW w:w="2581" w:type="dxa"/>
            <w:shd w:val="clear" w:color="000000" w:fill="auto"/>
            <w:hideMark/>
          </w:tcPr>
          <w:p w14:paraId="300B381F"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Гостиница "Россия" братьев Зипаловых, 1901 г.</w:t>
            </w:r>
          </w:p>
        </w:tc>
        <w:tc>
          <w:tcPr>
            <w:tcW w:w="1977" w:type="dxa"/>
            <w:shd w:val="clear" w:color="000000" w:fill="auto"/>
            <w:hideMark/>
          </w:tcPr>
          <w:p w14:paraId="3974D142"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780" w:type="dxa"/>
            <w:shd w:val="clear" w:color="000000" w:fill="auto"/>
            <w:hideMark/>
          </w:tcPr>
          <w:p w14:paraId="518C9C34"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регионального значения</w:t>
            </w:r>
          </w:p>
        </w:tc>
        <w:tc>
          <w:tcPr>
            <w:tcW w:w="2738" w:type="dxa"/>
            <w:shd w:val="clear" w:color="000000" w:fill="auto"/>
            <w:hideMark/>
          </w:tcPr>
          <w:p w14:paraId="1A515ED2"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Курортный бульвар, 15</w:t>
            </w:r>
          </w:p>
        </w:tc>
        <w:tc>
          <w:tcPr>
            <w:tcW w:w="1993" w:type="dxa"/>
            <w:shd w:val="clear" w:color="000000" w:fill="auto"/>
            <w:hideMark/>
          </w:tcPr>
          <w:p w14:paraId="3EAF4F4B"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приказ министерства культуры Ставропольского края от 19.03.2014 № 158</w:t>
            </w:r>
          </w:p>
        </w:tc>
        <w:tc>
          <w:tcPr>
            <w:tcW w:w="2427" w:type="dxa"/>
            <w:shd w:val="clear" w:color="000000" w:fill="auto"/>
            <w:hideMark/>
          </w:tcPr>
          <w:p w14:paraId="6681C224"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в ЗО "Комплекс главных нарзанных ванн"</w:t>
            </w:r>
          </w:p>
        </w:tc>
      </w:tr>
      <w:tr w:rsidR="000C5E62" w:rsidRPr="00731FE2" w14:paraId="1E8B3E65" w14:textId="77777777" w:rsidTr="000C5E62">
        <w:trPr>
          <w:trHeight w:val="3960"/>
        </w:trPr>
        <w:tc>
          <w:tcPr>
            <w:tcW w:w="704" w:type="dxa"/>
            <w:shd w:val="clear" w:color="auto" w:fill="auto"/>
            <w:noWrap/>
          </w:tcPr>
          <w:p w14:paraId="2F309DBD" w14:textId="77777777" w:rsidR="000C5E62" w:rsidRPr="00731FE2" w:rsidRDefault="000C5E62" w:rsidP="000C5E62">
            <w:pPr>
              <w:pStyle w:val="a3"/>
              <w:numPr>
                <w:ilvl w:val="0"/>
                <w:numId w:val="127"/>
              </w:numPr>
              <w:spacing w:line="240" w:lineRule="auto"/>
              <w:ind w:left="0" w:firstLine="0"/>
              <w:jc w:val="center"/>
              <w:rPr>
                <w:rFonts w:ascii="Times New Roman" w:eastAsia="Times New Roman" w:hAnsi="Times New Roman" w:cs="Times New Roman"/>
                <w:sz w:val="20"/>
                <w:szCs w:val="20"/>
                <w:lang w:eastAsia="ru-RU"/>
              </w:rPr>
            </w:pPr>
          </w:p>
        </w:tc>
        <w:tc>
          <w:tcPr>
            <w:tcW w:w="2581" w:type="dxa"/>
            <w:shd w:val="clear" w:color="FFFFCC" w:fill="auto"/>
            <w:hideMark/>
          </w:tcPr>
          <w:p w14:paraId="77202889"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Корпус № 2 Военного санатория, 1930 г.</w:t>
            </w:r>
          </w:p>
        </w:tc>
        <w:tc>
          <w:tcPr>
            <w:tcW w:w="1977" w:type="dxa"/>
            <w:shd w:val="clear" w:color="FFFFCC" w:fill="auto"/>
            <w:hideMark/>
          </w:tcPr>
          <w:p w14:paraId="27BFF78C"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780" w:type="dxa"/>
            <w:shd w:val="clear" w:color="FFFFCC" w:fill="auto"/>
            <w:hideMark/>
          </w:tcPr>
          <w:p w14:paraId="0A887F5E"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регионального значения</w:t>
            </w:r>
          </w:p>
        </w:tc>
        <w:tc>
          <w:tcPr>
            <w:tcW w:w="2738" w:type="dxa"/>
            <w:shd w:val="clear" w:color="FFFFCC" w:fill="auto"/>
            <w:hideMark/>
          </w:tcPr>
          <w:p w14:paraId="318AF3E5"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 Ленина, 5</w:t>
            </w:r>
          </w:p>
        </w:tc>
        <w:tc>
          <w:tcPr>
            <w:tcW w:w="1993" w:type="dxa"/>
            <w:shd w:val="clear" w:color="FFFFCC" w:fill="auto"/>
            <w:hideMark/>
          </w:tcPr>
          <w:p w14:paraId="3ABB5B41"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приказ управления СК по охране ОКН от 25.12.2015 № 360</w:t>
            </w:r>
          </w:p>
        </w:tc>
        <w:tc>
          <w:tcPr>
            <w:tcW w:w="2427" w:type="dxa"/>
            <w:shd w:val="clear" w:color="000000" w:fill="auto"/>
            <w:hideMark/>
          </w:tcPr>
          <w:p w14:paraId="40A895E5"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21 от 15.01.2024</w:t>
            </w:r>
          </w:p>
        </w:tc>
      </w:tr>
      <w:tr w:rsidR="000C5E62" w:rsidRPr="00731FE2" w14:paraId="43D54674" w14:textId="77777777" w:rsidTr="000C5E62">
        <w:trPr>
          <w:trHeight w:val="4488"/>
        </w:trPr>
        <w:tc>
          <w:tcPr>
            <w:tcW w:w="704" w:type="dxa"/>
            <w:shd w:val="clear" w:color="auto" w:fill="auto"/>
            <w:noWrap/>
          </w:tcPr>
          <w:p w14:paraId="5EE5781D" w14:textId="77777777" w:rsidR="000C5E62" w:rsidRPr="00731FE2" w:rsidRDefault="000C5E62" w:rsidP="000C5E62">
            <w:pPr>
              <w:pStyle w:val="a3"/>
              <w:numPr>
                <w:ilvl w:val="0"/>
                <w:numId w:val="127"/>
              </w:numPr>
              <w:spacing w:line="240" w:lineRule="auto"/>
              <w:ind w:left="0" w:firstLine="0"/>
              <w:jc w:val="center"/>
              <w:rPr>
                <w:rFonts w:ascii="Times New Roman" w:eastAsia="Times New Roman" w:hAnsi="Times New Roman" w:cs="Times New Roman"/>
                <w:sz w:val="20"/>
                <w:szCs w:val="20"/>
                <w:lang w:eastAsia="ru-RU"/>
              </w:rPr>
            </w:pPr>
          </w:p>
        </w:tc>
        <w:tc>
          <w:tcPr>
            <w:tcW w:w="2581" w:type="dxa"/>
            <w:shd w:val="clear" w:color="auto" w:fill="auto"/>
            <w:hideMark/>
          </w:tcPr>
          <w:p w14:paraId="243DDF0E"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Мужская гимназия Сильникова, нач. XX в.</w:t>
            </w:r>
          </w:p>
        </w:tc>
        <w:tc>
          <w:tcPr>
            <w:tcW w:w="1977" w:type="dxa"/>
            <w:shd w:val="clear" w:color="auto" w:fill="auto"/>
            <w:hideMark/>
          </w:tcPr>
          <w:p w14:paraId="74A2F2DA"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 смена категории № 130 от 05.02.2024 г.</w:t>
            </w:r>
          </w:p>
        </w:tc>
        <w:tc>
          <w:tcPr>
            <w:tcW w:w="1780" w:type="dxa"/>
            <w:shd w:val="clear" w:color="auto" w:fill="auto"/>
            <w:hideMark/>
          </w:tcPr>
          <w:p w14:paraId="2A4B7C13"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местного (муниципального) значения</w:t>
            </w:r>
          </w:p>
        </w:tc>
        <w:tc>
          <w:tcPr>
            <w:tcW w:w="2738" w:type="dxa"/>
            <w:shd w:val="clear" w:color="auto" w:fill="auto"/>
            <w:hideMark/>
          </w:tcPr>
          <w:p w14:paraId="2CE3A784"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 Ленина, 14</w:t>
            </w:r>
          </w:p>
        </w:tc>
        <w:tc>
          <w:tcPr>
            <w:tcW w:w="1993" w:type="dxa"/>
            <w:shd w:val="clear" w:color="000000" w:fill="auto"/>
            <w:hideMark/>
          </w:tcPr>
          <w:p w14:paraId="349E38CA"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внес.измен. 296 от 21.03.2024; 709 от 15.07.2022</w:t>
            </w:r>
          </w:p>
        </w:tc>
        <w:tc>
          <w:tcPr>
            <w:tcW w:w="2427" w:type="dxa"/>
            <w:shd w:val="clear" w:color="auto" w:fill="auto"/>
            <w:hideMark/>
          </w:tcPr>
          <w:p w14:paraId="34F55BF3"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В соответствии со ст. 34.1 ФЗ от 25.06.2002 № 73-ФЗ «Об объектах культурного наследия (памятниках истории и культуры) народов РФ» действуют защитные зоны 100 м</w:t>
            </w:r>
          </w:p>
        </w:tc>
      </w:tr>
      <w:tr w:rsidR="000C5E62" w:rsidRPr="00731FE2" w14:paraId="076FA68A" w14:textId="77777777" w:rsidTr="000C5E62">
        <w:trPr>
          <w:trHeight w:val="3960"/>
        </w:trPr>
        <w:tc>
          <w:tcPr>
            <w:tcW w:w="704" w:type="dxa"/>
            <w:shd w:val="clear" w:color="auto" w:fill="auto"/>
            <w:noWrap/>
          </w:tcPr>
          <w:p w14:paraId="67FCAD6D" w14:textId="77777777" w:rsidR="000C5E62" w:rsidRPr="00731FE2" w:rsidRDefault="000C5E62" w:rsidP="000C5E62">
            <w:pPr>
              <w:pStyle w:val="a3"/>
              <w:numPr>
                <w:ilvl w:val="0"/>
                <w:numId w:val="127"/>
              </w:numPr>
              <w:spacing w:line="240" w:lineRule="auto"/>
              <w:ind w:left="0" w:firstLine="0"/>
              <w:jc w:val="center"/>
              <w:rPr>
                <w:rFonts w:ascii="Times New Roman" w:eastAsia="Times New Roman" w:hAnsi="Times New Roman" w:cs="Times New Roman"/>
                <w:sz w:val="20"/>
                <w:szCs w:val="20"/>
                <w:lang w:eastAsia="ru-RU"/>
              </w:rPr>
            </w:pPr>
          </w:p>
        </w:tc>
        <w:tc>
          <w:tcPr>
            <w:tcW w:w="2581" w:type="dxa"/>
            <w:shd w:val="clear" w:color="000000" w:fill="auto"/>
            <w:hideMark/>
          </w:tcPr>
          <w:p w14:paraId="63960DE8"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Особняк Очакова, нач. XX в.</w:t>
            </w:r>
          </w:p>
        </w:tc>
        <w:tc>
          <w:tcPr>
            <w:tcW w:w="1977" w:type="dxa"/>
            <w:shd w:val="clear" w:color="000000" w:fill="auto"/>
            <w:hideMark/>
          </w:tcPr>
          <w:p w14:paraId="0EA058EC"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780" w:type="dxa"/>
            <w:shd w:val="clear" w:color="000000" w:fill="auto"/>
            <w:hideMark/>
          </w:tcPr>
          <w:p w14:paraId="38800ED5"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регионального значения</w:t>
            </w:r>
          </w:p>
        </w:tc>
        <w:tc>
          <w:tcPr>
            <w:tcW w:w="2738" w:type="dxa"/>
            <w:shd w:val="clear" w:color="000000" w:fill="auto"/>
            <w:hideMark/>
          </w:tcPr>
          <w:p w14:paraId="23C5C497"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 Ленина, 18</w:t>
            </w:r>
          </w:p>
        </w:tc>
        <w:tc>
          <w:tcPr>
            <w:tcW w:w="1993" w:type="dxa"/>
            <w:shd w:val="clear" w:color="008080" w:fill="auto"/>
            <w:hideMark/>
          </w:tcPr>
          <w:p w14:paraId="7513AC12"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приказ управление СК по охране ОКН от 15.06.2016 № 254,  приказ управления № 1258  от 23.11.2021</w:t>
            </w:r>
          </w:p>
        </w:tc>
        <w:tc>
          <w:tcPr>
            <w:tcW w:w="2427" w:type="dxa"/>
            <w:shd w:val="clear" w:color="000000" w:fill="auto"/>
            <w:hideMark/>
          </w:tcPr>
          <w:p w14:paraId="0EBD18DE"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169 от 15.02.2024</w:t>
            </w:r>
          </w:p>
        </w:tc>
      </w:tr>
      <w:tr w:rsidR="000C5E62" w:rsidRPr="00731FE2" w14:paraId="4490A26D" w14:textId="77777777" w:rsidTr="000C5E62">
        <w:trPr>
          <w:trHeight w:val="3960"/>
        </w:trPr>
        <w:tc>
          <w:tcPr>
            <w:tcW w:w="704" w:type="dxa"/>
            <w:shd w:val="clear" w:color="auto" w:fill="auto"/>
            <w:noWrap/>
          </w:tcPr>
          <w:p w14:paraId="61549DD9" w14:textId="77777777" w:rsidR="000C5E62" w:rsidRPr="00731FE2" w:rsidRDefault="000C5E62" w:rsidP="000C5E62">
            <w:pPr>
              <w:pStyle w:val="a3"/>
              <w:numPr>
                <w:ilvl w:val="0"/>
                <w:numId w:val="127"/>
              </w:numPr>
              <w:spacing w:line="240" w:lineRule="auto"/>
              <w:ind w:left="0" w:firstLine="0"/>
              <w:jc w:val="center"/>
              <w:rPr>
                <w:rFonts w:ascii="Times New Roman" w:eastAsia="Times New Roman" w:hAnsi="Times New Roman" w:cs="Times New Roman"/>
                <w:sz w:val="20"/>
                <w:szCs w:val="20"/>
                <w:lang w:eastAsia="ru-RU"/>
              </w:rPr>
            </w:pPr>
          </w:p>
        </w:tc>
        <w:tc>
          <w:tcPr>
            <w:tcW w:w="2581" w:type="dxa"/>
            <w:shd w:val="clear" w:color="000000" w:fill="auto"/>
            <w:hideMark/>
          </w:tcPr>
          <w:p w14:paraId="063883FF"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Особняк, 1877</w:t>
            </w:r>
          </w:p>
        </w:tc>
        <w:tc>
          <w:tcPr>
            <w:tcW w:w="1977" w:type="dxa"/>
            <w:shd w:val="clear" w:color="000000" w:fill="auto"/>
            <w:hideMark/>
          </w:tcPr>
          <w:p w14:paraId="412C9245"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780" w:type="dxa"/>
            <w:shd w:val="clear" w:color="000000" w:fill="auto"/>
            <w:hideMark/>
          </w:tcPr>
          <w:p w14:paraId="65F44997"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регионального значения</w:t>
            </w:r>
          </w:p>
        </w:tc>
        <w:tc>
          <w:tcPr>
            <w:tcW w:w="2738" w:type="dxa"/>
            <w:shd w:val="clear" w:color="000000" w:fill="auto"/>
            <w:hideMark/>
          </w:tcPr>
          <w:p w14:paraId="67B80E9A"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 Ленина, 22</w:t>
            </w:r>
          </w:p>
        </w:tc>
        <w:tc>
          <w:tcPr>
            <w:tcW w:w="1993" w:type="dxa"/>
            <w:shd w:val="clear" w:color="008080" w:fill="auto"/>
            <w:hideMark/>
          </w:tcPr>
          <w:p w14:paraId="1B15279A"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приказ управление СК по охране ОКН от 15.06.2016 № 259</w:t>
            </w:r>
          </w:p>
        </w:tc>
        <w:tc>
          <w:tcPr>
            <w:tcW w:w="2427" w:type="dxa"/>
            <w:shd w:val="clear" w:color="auto" w:fill="auto"/>
            <w:hideMark/>
          </w:tcPr>
          <w:p w14:paraId="159D09E0"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В соответствии со ст. 34.1 ФЗ от 25.06.2002 № 73-ФЗ «Об объектах культурного наследия (памятниках истории и культуры) народов РФ» действуют защитные зоны 100 м</w:t>
            </w:r>
          </w:p>
        </w:tc>
      </w:tr>
      <w:tr w:rsidR="000C5E62" w:rsidRPr="00731FE2" w14:paraId="5378171F" w14:textId="77777777" w:rsidTr="000C5E62">
        <w:trPr>
          <w:trHeight w:val="3960"/>
        </w:trPr>
        <w:tc>
          <w:tcPr>
            <w:tcW w:w="704" w:type="dxa"/>
            <w:shd w:val="clear" w:color="auto" w:fill="auto"/>
            <w:noWrap/>
          </w:tcPr>
          <w:p w14:paraId="7BB41772" w14:textId="77777777" w:rsidR="000C5E62" w:rsidRPr="00731FE2" w:rsidRDefault="000C5E62" w:rsidP="000C5E62">
            <w:pPr>
              <w:pStyle w:val="a3"/>
              <w:numPr>
                <w:ilvl w:val="0"/>
                <w:numId w:val="127"/>
              </w:numPr>
              <w:spacing w:line="240" w:lineRule="auto"/>
              <w:ind w:left="0" w:firstLine="0"/>
              <w:jc w:val="center"/>
              <w:rPr>
                <w:rFonts w:ascii="Times New Roman" w:eastAsia="Times New Roman" w:hAnsi="Times New Roman" w:cs="Times New Roman"/>
                <w:sz w:val="20"/>
                <w:szCs w:val="20"/>
                <w:lang w:eastAsia="ru-RU"/>
              </w:rPr>
            </w:pPr>
          </w:p>
        </w:tc>
        <w:tc>
          <w:tcPr>
            <w:tcW w:w="2581" w:type="dxa"/>
            <w:shd w:val="clear" w:color="000000" w:fill="auto"/>
            <w:hideMark/>
          </w:tcPr>
          <w:p w14:paraId="46F4672D"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Корпус № I санатория им. Х-летия октября, 1931 г.</w:t>
            </w:r>
          </w:p>
        </w:tc>
        <w:tc>
          <w:tcPr>
            <w:tcW w:w="1977" w:type="dxa"/>
            <w:shd w:val="clear" w:color="000000" w:fill="auto"/>
            <w:hideMark/>
          </w:tcPr>
          <w:p w14:paraId="2926FF71"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780" w:type="dxa"/>
            <w:shd w:val="clear" w:color="000000" w:fill="auto"/>
            <w:hideMark/>
          </w:tcPr>
          <w:p w14:paraId="58226093"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регионального значения</w:t>
            </w:r>
          </w:p>
        </w:tc>
        <w:tc>
          <w:tcPr>
            <w:tcW w:w="2738" w:type="dxa"/>
            <w:shd w:val="clear" w:color="000000" w:fill="auto"/>
            <w:hideMark/>
          </w:tcPr>
          <w:p w14:paraId="39DFCF07"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 Мира, 1</w:t>
            </w:r>
          </w:p>
        </w:tc>
        <w:tc>
          <w:tcPr>
            <w:tcW w:w="1993" w:type="dxa"/>
            <w:shd w:val="clear" w:color="008080" w:fill="auto"/>
            <w:hideMark/>
          </w:tcPr>
          <w:p w14:paraId="5A162166"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приказ управление СК по охране ОКН от 15.06.2016 № 243</w:t>
            </w:r>
          </w:p>
        </w:tc>
        <w:tc>
          <w:tcPr>
            <w:tcW w:w="2427" w:type="dxa"/>
            <w:shd w:val="clear" w:color="auto" w:fill="auto"/>
            <w:hideMark/>
          </w:tcPr>
          <w:p w14:paraId="1E0C2870"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В соответствии со ст. 34.1 ФЗ от 25.06.2002 № 73-ФЗ «Об объектах культурного наследия (памятниках истории и культуры) народов РФ» действуют защитные зоны 100 м</w:t>
            </w:r>
          </w:p>
        </w:tc>
      </w:tr>
      <w:tr w:rsidR="000C5E62" w:rsidRPr="00731FE2" w14:paraId="4C71EDB0" w14:textId="77777777" w:rsidTr="000C5E62">
        <w:trPr>
          <w:trHeight w:val="3960"/>
        </w:trPr>
        <w:tc>
          <w:tcPr>
            <w:tcW w:w="704" w:type="dxa"/>
            <w:shd w:val="clear" w:color="auto" w:fill="auto"/>
            <w:noWrap/>
          </w:tcPr>
          <w:p w14:paraId="411BD036" w14:textId="77777777" w:rsidR="000C5E62" w:rsidRPr="00731FE2" w:rsidRDefault="000C5E62" w:rsidP="000C5E62">
            <w:pPr>
              <w:pStyle w:val="a3"/>
              <w:numPr>
                <w:ilvl w:val="0"/>
                <w:numId w:val="127"/>
              </w:numPr>
              <w:spacing w:line="240" w:lineRule="auto"/>
              <w:ind w:left="0" w:firstLine="0"/>
              <w:jc w:val="center"/>
              <w:rPr>
                <w:rFonts w:ascii="Times New Roman" w:eastAsia="Times New Roman" w:hAnsi="Times New Roman" w:cs="Times New Roman"/>
                <w:sz w:val="20"/>
                <w:szCs w:val="20"/>
                <w:lang w:eastAsia="ru-RU"/>
              </w:rPr>
            </w:pPr>
          </w:p>
        </w:tc>
        <w:tc>
          <w:tcPr>
            <w:tcW w:w="2581" w:type="dxa"/>
            <w:shd w:val="clear" w:color="000000" w:fill="auto"/>
            <w:hideMark/>
          </w:tcPr>
          <w:p w14:paraId="630F7A30"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Особняк, 1900 г.</w:t>
            </w:r>
          </w:p>
        </w:tc>
        <w:tc>
          <w:tcPr>
            <w:tcW w:w="1977" w:type="dxa"/>
            <w:shd w:val="clear" w:color="000000" w:fill="auto"/>
            <w:hideMark/>
          </w:tcPr>
          <w:p w14:paraId="63CF63B8"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780" w:type="dxa"/>
            <w:shd w:val="clear" w:color="000000" w:fill="auto"/>
            <w:hideMark/>
          </w:tcPr>
          <w:p w14:paraId="26317358"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регионального значения</w:t>
            </w:r>
          </w:p>
        </w:tc>
        <w:tc>
          <w:tcPr>
            <w:tcW w:w="2738" w:type="dxa"/>
            <w:shd w:val="clear" w:color="000000" w:fill="auto"/>
            <w:hideMark/>
          </w:tcPr>
          <w:p w14:paraId="5222C737"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 Мира, 1</w:t>
            </w:r>
          </w:p>
        </w:tc>
        <w:tc>
          <w:tcPr>
            <w:tcW w:w="1993" w:type="dxa"/>
            <w:shd w:val="clear" w:color="008080" w:fill="auto"/>
            <w:hideMark/>
          </w:tcPr>
          <w:p w14:paraId="1B41776D"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приказ управление СК по охране ОКН от 15.06.2016 № 242</w:t>
            </w:r>
          </w:p>
        </w:tc>
        <w:tc>
          <w:tcPr>
            <w:tcW w:w="2427" w:type="dxa"/>
            <w:shd w:val="clear" w:color="000000" w:fill="auto"/>
            <w:hideMark/>
          </w:tcPr>
          <w:p w14:paraId="398F6066"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06.06.2024 № 529</w:t>
            </w:r>
          </w:p>
        </w:tc>
      </w:tr>
      <w:tr w:rsidR="000C5E62" w:rsidRPr="00731FE2" w14:paraId="02208567" w14:textId="77777777" w:rsidTr="000C5E62">
        <w:trPr>
          <w:trHeight w:val="3960"/>
        </w:trPr>
        <w:tc>
          <w:tcPr>
            <w:tcW w:w="704" w:type="dxa"/>
            <w:shd w:val="clear" w:color="auto" w:fill="auto"/>
            <w:noWrap/>
          </w:tcPr>
          <w:p w14:paraId="49B86176" w14:textId="77777777" w:rsidR="000C5E62" w:rsidRPr="00731FE2" w:rsidRDefault="000C5E62" w:rsidP="000C5E62">
            <w:pPr>
              <w:pStyle w:val="a3"/>
              <w:numPr>
                <w:ilvl w:val="0"/>
                <w:numId w:val="127"/>
              </w:numPr>
              <w:spacing w:line="240" w:lineRule="auto"/>
              <w:ind w:left="0" w:firstLine="0"/>
              <w:jc w:val="center"/>
              <w:rPr>
                <w:rFonts w:ascii="Times New Roman" w:eastAsia="Times New Roman" w:hAnsi="Times New Roman" w:cs="Times New Roman"/>
                <w:sz w:val="20"/>
                <w:szCs w:val="20"/>
                <w:lang w:eastAsia="ru-RU"/>
              </w:rPr>
            </w:pPr>
          </w:p>
        </w:tc>
        <w:tc>
          <w:tcPr>
            <w:tcW w:w="2581" w:type="dxa"/>
            <w:shd w:val="clear" w:color="000000" w:fill="auto"/>
            <w:hideMark/>
          </w:tcPr>
          <w:p w14:paraId="417FD49E"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Особняк, 1895 г.</w:t>
            </w:r>
          </w:p>
        </w:tc>
        <w:tc>
          <w:tcPr>
            <w:tcW w:w="1977" w:type="dxa"/>
            <w:shd w:val="clear" w:color="000000" w:fill="auto"/>
            <w:hideMark/>
          </w:tcPr>
          <w:p w14:paraId="600C88B0"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780" w:type="dxa"/>
            <w:shd w:val="clear" w:color="000000" w:fill="auto"/>
            <w:hideMark/>
          </w:tcPr>
          <w:p w14:paraId="5BE4B93A"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регионального значения</w:t>
            </w:r>
          </w:p>
        </w:tc>
        <w:tc>
          <w:tcPr>
            <w:tcW w:w="2738" w:type="dxa"/>
            <w:shd w:val="clear" w:color="000000" w:fill="auto"/>
            <w:hideMark/>
          </w:tcPr>
          <w:p w14:paraId="70A2D87C"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 Мира, 3</w:t>
            </w:r>
          </w:p>
        </w:tc>
        <w:tc>
          <w:tcPr>
            <w:tcW w:w="1993" w:type="dxa"/>
            <w:shd w:val="clear" w:color="000000" w:fill="auto"/>
            <w:hideMark/>
          </w:tcPr>
          <w:p w14:paraId="3257F4E6"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1460 от 24.11.2022</w:t>
            </w:r>
          </w:p>
        </w:tc>
        <w:tc>
          <w:tcPr>
            <w:tcW w:w="2427" w:type="dxa"/>
            <w:shd w:val="clear" w:color="000000" w:fill="auto"/>
            <w:hideMark/>
          </w:tcPr>
          <w:p w14:paraId="735AEC1A"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529 от 06.06.2024</w:t>
            </w:r>
          </w:p>
        </w:tc>
      </w:tr>
      <w:tr w:rsidR="000C5E62" w:rsidRPr="00731FE2" w14:paraId="21A08A1D" w14:textId="77777777" w:rsidTr="000C5E62">
        <w:trPr>
          <w:trHeight w:val="3960"/>
        </w:trPr>
        <w:tc>
          <w:tcPr>
            <w:tcW w:w="704" w:type="dxa"/>
            <w:shd w:val="clear" w:color="auto" w:fill="auto"/>
            <w:noWrap/>
          </w:tcPr>
          <w:p w14:paraId="34AA7FE2" w14:textId="77777777" w:rsidR="000C5E62" w:rsidRPr="00731FE2" w:rsidRDefault="000C5E62" w:rsidP="000C5E62">
            <w:pPr>
              <w:pStyle w:val="a3"/>
              <w:numPr>
                <w:ilvl w:val="0"/>
                <w:numId w:val="127"/>
              </w:numPr>
              <w:spacing w:line="240" w:lineRule="auto"/>
              <w:ind w:left="0" w:firstLine="0"/>
              <w:jc w:val="center"/>
              <w:rPr>
                <w:rFonts w:ascii="Times New Roman" w:eastAsia="Times New Roman" w:hAnsi="Times New Roman" w:cs="Times New Roman"/>
                <w:sz w:val="20"/>
                <w:szCs w:val="20"/>
                <w:lang w:eastAsia="ru-RU"/>
              </w:rPr>
            </w:pPr>
          </w:p>
        </w:tc>
        <w:tc>
          <w:tcPr>
            <w:tcW w:w="2581" w:type="dxa"/>
            <w:shd w:val="clear" w:color="000000" w:fill="auto"/>
            <w:hideMark/>
          </w:tcPr>
          <w:p w14:paraId="0BF8D52D"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Госбанк, 1900 г.</w:t>
            </w:r>
          </w:p>
        </w:tc>
        <w:tc>
          <w:tcPr>
            <w:tcW w:w="1977" w:type="dxa"/>
            <w:shd w:val="clear" w:color="000000" w:fill="auto"/>
            <w:hideMark/>
          </w:tcPr>
          <w:p w14:paraId="6416E22F"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780" w:type="dxa"/>
            <w:shd w:val="clear" w:color="000000" w:fill="auto"/>
            <w:hideMark/>
          </w:tcPr>
          <w:p w14:paraId="5CEFFFD0"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регионального значения</w:t>
            </w:r>
          </w:p>
        </w:tc>
        <w:tc>
          <w:tcPr>
            <w:tcW w:w="2738" w:type="dxa"/>
            <w:shd w:val="clear" w:color="000000" w:fill="auto"/>
            <w:hideMark/>
          </w:tcPr>
          <w:p w14:paraId="7E35A720"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 Мира, 10</w:t>
            </w:r>
          </w:p>
        </w:tc>
        <w:tc>
          <w:tcPr>
            <w:tcW w:w="1993" w:type="dxa"/>
            <w:shd w:val="clear" w:color="000000" w:fill="auto"/>
            <w:hideMark/>
          </w:tcPr>
          <w:p w14:paraId="6B596B49"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1303 от 26.10.2022 г.</w:t>
            </w:r>
          </w:p>
        </w:tc>
        <w:tc>
          <w:tcPr>
            <w:tcW w:w="2427" w:type="dxa"/>
            <w:shd w:val="clear" w:color="000000" w:fill="auto"/>
            <w:hideMark/>
          </w:tcPr>
          <w:p w14:paraId="6075C8AD"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530 от 06.06.2024</w:t>
            </w:r>
          </w:p>
        </w:tc>
      </w:tr>
      <w:tr w:rsidR="000C5E62" w:rsidRPr="00731FE2" w14:paraId="11556B1F" w14:textId="77777777" w:rsidTr="000C5E62">
        <w:trPr>
          <w:trHeight w:val="3960"/>
        </w:trPr>
        <w:tc>
          <w:tcPr>
            <w:tcW w:w="704" w:type="dxa"/>
            <w:shd w:val="clear" w:color="auto" w:fill="auto"/>
            <w:noWrap/>
          </w:tcPr>
          <w:p w14:paraId="26DF3847" w14:textId="77777777" w:rsidR="000C5E62" w:rsidRPr="00731FE2" w:rsidRDefault="000C5E62" w:rsidP="000C5E62">
            <w:pPr>
              <w:pStyle w:val="a3"/>
              <w:numPr>
                <w:ilvl w:val="0"/>
                <w:numId w:val="127"/>
              </w:numPr>
              <w:spacing w:line="240" w:lineRule="auto"/>
              <w:ind w:left="0" w:firstLine="0"/>
              <w:jc w:val="center"/>
              <w:rPr>
                <w:rFonts w:ascii="Times New Roman" w:eastAsia="Times New Roman" w:hAnsi="Times New Roman" w:cs="Times New Roman"/>
                <w:sz w:val="20"/>
                <w:szCs w:val="20"/>
                <w:lang w:eastAsia="ru-RU"/>
              </w:rPr>
            </w:pPr>
          </w:p>
        </w:tc>
        <w:tc>
          <w:tcPr>
            <w:tcW w:w="2581" w:type="dxa"/>
            <w:shd w:val="clear" w:color="000000" w:fill="auto"/>
            <w:hideMark/>
          </w:tcPr>
          <w:p w14:paraId="5C7EC90B"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Торговый дом Н. Тер-Погосова (Дом пионеров), 1909 г.</w:t>
            </w:r>
          </w:p>
        </w:tc>
        <w:tc>
          <w:tcPr>
            <w:tcW w:w="1977" w:type="dxa"/>
            <w:shd w:val="clear" w:color="000000" w:fill="auto"/>
            <w:hideMark/>
          </w:tcPr>
          <w:p w14:paraId="06F38F41"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780" w:type="dxa"/>
            <w:shd w:val="clear" w:color="000000" w:fill="auto"/>
            <w:hideMark/>
          </w:tcPr>
          <w:p w14:paraId="48CB6570"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регионального значения</w:t>
            </w:r>
          </w:p>
        </w:tc>
        <w:tc>
          <w:tcPr>
            <w:tcW w:w="2738" w:type="dxa"/>
            <w:shd w:val="clear" w:color="000000" w:fill="auto"/>
            <w:hideMark/>
          </w:tcPr>
          <w:p w14:paraId="3DFF55B3"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 Мира, 12</w:t>
            </w:r>
          </w:p>
        </w:tc>
        <w:tc>
          <w:tcPr>
            <w:tcW w:w="1993" w:type="dxa"/>
            <w:shd w:val="clear" w:color="008080" w:fill="auto"/>
            <w:hideMark/>
          </w:tcPr>
          <w:p w14:paraId="07878FF8"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приказ управление СК по охране ОКН от 15.06.2016 № 255</w:t>
            </w:r>
          </w:p>
        </w:tc>
        <w:tc>
          <w:tcPr>
            <w:tcW w:w="2427" w:type="dxa"/>
            <w:shd w:val="clear" w:color="000000" w:fill="auto"/>
            <w:hideMark/>
          </w:tcPr>
          <w:p w14:paraId="76AACBB2"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531 от 06.06.2024</w:t>
            </w:r>
          </w:p>
        </w:tc>
      </w:tr>
      <w:tr w:rsidR="000C5E62" w:rsidRPr="00731FE2" w14:paraId="21639DFD" w14:textId="77777777" w:rsidTr="000C5E62">
        <w:trPr>
          <w:trHeight w:val="3960"/>
        </w:trPr>
        <w:tc>
          <w:tcPr>
            <w:tcW w:w="704" w:type="dxa"/>
            <w:shd w:val="clear" w:color="auto" w:fill="auto"/>
            <w:noWrap/>
          </w:tcPr>
          <w:p w14:paraId="14FB36B1" w14:textId="77777777" w:rsidR="000C5E62" w:rsidRPr="00731FE2" w:rsidRDefault="000C5E62" w:rsidP="000C5E62">
            <w:pPr>
              <w:pStyle w:val="a3"/>
              <w:numPr>
                <w:ilvl w:val="0"/>
                <w:numId w:val="127"/>
              </w:numPr>
              <w:spacing w:line="240" w:lineRule="auto"/>
              <w:ind w:left="0" w:firstLine="0"/>
              <w:jc w:val="center"/>
              <w:rPr>
                <w:rFonts w:ascii="Times New Roman" w:eastAsia="Times New Roman" w:hAnsi="Times New Roman" w:cs="Times New Roman"/>
                <w:sz w:val="20"/>
                <w:szCs w:val="20"/>
                <w:lang w:eastAsia="ru-RU"/>
              </w:rPr>
            </w:pPr>
          </w:p>
        </w:tc>
        <w:tc>
          <w:tcPr>
            <w:tcW w:w="2581" w:type="dxa"/>
            <w:shd w:val="clear" w:color="000000" w:fill="auto"/>
            <w:hideMark/>
          </w:tcPr>
          <w:p w14:paraId="046DE126"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Особняк М.М. Коленкиной, 1900 г.</w:t>
            </w:r>
          </w:p>
        </w:tc>
        <w:tc>
          <w:tcPr>
            <w:tcW w:w="1977" w:type="dxa"/>
            <w:shd w:val="clear" w:color="000000" w:fill="auto"/>
            <w:hideMark/>
          </w:tcPr>
          <w:p w14:paraId="06630ECE"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780" w:type="dxa"/>
            <w:shd w:val="clear" w:color="000000" w:fill="auto"/>
            <w:hideMark/>
          </w:tcPr>
          <w:p w14:paraId="213B9774"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регионального значения</w:t>
            </w:r>
          </w:p>
        </w:tc>
        <w:tc>
          <w:tcPr>
            <w:tcW w:w="2738" w:type="dxa"/>
            <w:shd w:val="clear" w:color="000000" w:fill="auto"/>
            <w:hideMark/>
          </w:tcPr>
          <w:p w14:paraId="062E13D6"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 Мира, 19</w:t>
            </w:r>
          </w:p>
        </w:tc>
        <w:tc>
          <w:tcPr>
            <w:tcW w:w="1993" w:type="dxa"/>
            <w:shd w:val="clear" w:color="000000" w:fill="auto"/>
            <w:hideMark/>
          </w:tcPr>
          <w:p w14:paraId="30BBB24A"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1457 от 24.11.2022</w:t>
            </w:r>
          </w:p>
        </w:tc>
        <w:tc>
          <w:tcPr>
            <w:tcW w:w="2427" w:type="dxa"/>
            <w:shd w:val="clear" w:color="auto" w:fill="auto"/>
            <w:hideMark/>
          </w:tcPr>
          <w:p w14:paraId="2BB3878B"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В соответствии со ст. 34.1 ФЗ от 25.06.2002 № 73-ФЗ «Об объектах культурного наследия (памятниках истории и культуры) народов РФ» действуют защитные зоны 100 м</w:t>
            </w:r>
          </w:p>
        </w:tc>
      </w:tr>
      <w:tr w:rsidR="000C5E62" w:rsidRPr="00731FE2" w14:paraId="2374499A" w14:textId="77777777" w:rsidTr="000C5E62">
        <w:trPr>
          <w:trHeight w:val="3960"/>
        </w:trPr>
        <w:tc>
          <w:tcPr>
            <w:tcW w:w="704" w:type="dxa"/>
            <w:shd w:val="clear" w:color="auto" w:fill="auto"/>
            <w:noWrap/>
          </w:tcPr>
          <w:p w14:paraId="05B0B91F" w14:textId="77777777" w:rsidR="000C5E62" w:rsidRPr="00731FE2" w:rsidRDefault="000C5E62" w:rsidP="000C5E62">
            <w:pPr>
              <w:pStyle w:val="a3"/>
              <w:numPr>
                <w:ilvl w:val="0"/>
                <w:numId w:val="127"/>
              </w:numPr>
              <w:spacing w:line="240" w:lineRule="auto"/>
              <w:ind w:left="0" w:firstLine="0"/>
              <w:jc w:val="center"/>
              <w:rPr>
                <w:rFonts w:ascii="Times New Roman" w:eastAsia="Times New Roman" w:hAnsi="Times New Roman" w:cs="Times New Roman"/>
                <w:sz w:val="20"/>
                <w:szCs w:val="20"/>
                <w:lang w:eastAsia="ru-RU"/>
              </w:rPr>
            </w:pPr>
          </w:p>
        </w:tc>
        <w:tc>
          <w:tcPr>
            <w:tcW w:w="2581" w:type="dxa"/>
            <w:shd w:val="clear" w:color="000000" w:fill="auto"/>
            <w:hideMark/>
          </w:tcPr>
          <w:p w14:paraId="67BA954E"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Особняк Малхосянца, 1900 г.</w:t>
            </w:r>
          </w:p>
        </w:tc>
        <w:tc>
          <w:tcPr>
            <w:tcW w:w="1977" w:type="dxa"/>
            <w:shd w:val="clear" w:color="000000" w:fill="auto"/>
            <w:hideMark/>
          </w:tcPr>
          <w:p w14:paraId="7BFEB044"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780" w:type="dxa"/>
            <w:shd w:val="clear" w:color="000000" w:fill="auto"/>
            <w:hideMark/>
          </w:tcPr>
          <w:p w14:paraId="74BD2639"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регионального значения</w:t>
            </w:r>
          </w:p>
        </w:tc>
        <w:tc>
          <w:tcPr>
            <w:tcW w:w="2738" w:type="dxa"/>
            <w:shd w:val="clear" w:color="000000" w:fill="auto"/>
            <w:hideMark/>
          </w:tcPr>
          <w:p w14:paraId="17704CEC"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ул. С. Перовской, 5</w:t>
            </w:r>
          </w:p>
        </w:tc>
        <w:tc>
          <w:tcPr>
            <w:tcW w:w="1993" w:type="dxa"/>
            <w:shd w:val="clear" w:color="008080" w:fill="auto"/>
            <w:hideMark/>
          </w:tcPr>
          <w:p w14:paraId="4A43C915"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приказ управление СК по охране ОКН от 15.06.2016 № 257</w:t>
            </w:r>
          </w:p>
        </w:tc>
        <w:tc>
          <w:tcPr>
            <w:tcW w:w="2427" w:type="dxa"/>
            <w:shd w:val="clear" w:color="000000" w:fill="auto"/>
            <w:hideMark/>
          </w:tcPr>
          <w:p w14:paraId="2586122F"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1243 от 05.12.2023</w:t>
            </w:r>
          </w:p>
        </w:tc>
      </w:tr>
      <w:tr w:rsidR="000C5E62" w:rsidRPr="00731FE2" w14:paraId="090AED37" w14:textId="77777777" w:rsidTr="000C5E62">
        <w:trPr>
          <w:trHeight w:val="3960"/>
        </w:trPr>
        <w:tc>
          <w:tcPr>
            <w:tcW w:w="704" w:type="dxa"/>
            <w:shd w:val="clear" w:color="auto" w:fill="auto"/>
            <w:noWrap/>
          </w:tcPr>
          <w:p w14:paraId="3F385916" w14:textId="77777777" w:rsidR="000C5E62" w:rsidRPr="00731FE2" w:rsidRDefault="000C5E62" w:rsidP="000C5E62">
            <w:pPr>
              <w:pStyle w:val="a3"/>
              <w:numPr>
                <w:ilvl w:val="0"/>
                <w:numId w:val="127"/>
              </w:numPr>
              <w:spacing w:line="240" w:lineRule="auto"/>
              <w:ind w:left="0" w:firstLine="0"/>
              <w:jc w:val="center"/>
              <w:rPr>
                <w:rFonts w:ascii="Times New Roman" w:eastAsia="Times New Roman" w:hAnsi="Times New Roman" w:cs="Times New Roman"/>
                <w:sz w:val="20"/>
                <w:szCs w:val="20"/>
                <w:lang w:eastAsia="ru-RU"/>
              </w:rPr>
            </w:pPr>
          </w:p>
        </w:tc>
        <w:tc>
          <w:tcPr>
            <w:tcW w:w="2581" w:type="dxa"/>
            <w:shd w:val="clear" w:color="000000" w:fill="auto"/>
            <w:hideMark/>
          </w:tcPr>
          <w:p w14:paraId="6FBE670C"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Особняк Колодяжного, нач. XX в.</w:t>
            </w:r>
          </w:p>
        </w:tc>
        <w:tc>
          <w:tcPr>
            <w:tcW w:w="1977" w:type="dxa"/>
            <w:shd w:val="clear" w:color="000000" w:fill="auto"/>
            <w:hideMark/>
          </w:tcPr>
          <w:p w14:paraId="76843131"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780" w:type="dxa"/>
            <w:shd w:val="clear" w:color="000000" w:fill="auto"/>
            <w:hideMark/>
          </w:tcPr>
          <w:p w14:paraId="48600C20"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регионального значения</w:t>
            </w:r>
          </w:p>
        </w:tc>
        <w:tc>
          <w:tcPr>
            <w:tcW w:w="2738" w:type="dxa"/>
            <w:shd w:val="clear" w:color="000000" w:fill="auto"/>
            <w:hideMark/>
          </w:tcPr>
          <w:p w14:paraId="27BE140C"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ул. С. Перовской, 16</w:t>
            </w:r>
          </w:p>
        </w:tc>
        <w:tc>
          <w:tcPr>
            <w:tcW w:w="1993" w:type="dxa"/>
            <w:shd w:val="clear" w:color="000000" w:fill="auto"/>
            <w:hideMark/>
          </w:tcPr>
          <w:p w14:paraId="4213E3D4"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 324 от 04.04.2022</w:t>
            </w:r>
          </w:p>
        </w:tc>
        <w:tc>
          <w:tcPr>
            <w:tcW w:w="2427" w:type="dxa"/>
            <w:shd w:val="clear" w:color="000000" w:fill="auto"/>
            <w:hideMark/>
          </w:tcPr>
          <w:p w14:paraId="10182332"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1237 от 05.12.2023</w:t>
            </w:r>
          </w:p>
        </w:tc>
      </w:tr>
      <w:tr w:rsidR="000C5E62" w:rsidRPr="00731FE2" w14:paraId="7E29C283" w14:textId="77777777" w:rsidTr="000C5E62">
        <w:trPr>
          <w:trHeight w:val="3960"/>
        </w:trPr>
        <w:tc>
          <w:tcPr>
            <w:tcW w:w="704" w:type="dxa"/>
            <w:shd w:val="clear" w:color="auto" w:fill="auto"/>
            <w:noWrap/>
          </w:tcPr>
          <w:p w14:paraId="033B055D" w14:textId="77777777" w:rsidR="000C5E62" w:rsidRPr="00731FE2" w:rsidRDefault="000C5E62" w:rsidP="000C5E62">
            <w:pPr>
              <w:pStyle w:val="a3"/>
              <w:numPr>
                <w:ilvl w:val="0"/>
                <w:numId w:val="127"/>
              </w:numPr>
              <w:spacing w:line="240" w:lineRule="auto"/>
              <w:ind w:left="0" w:firstLine="0"/>
              <w:jc w:val="center"/>
              <w:rPr>
                <w:rFonts w:ascii="Times New Roman" w:eastAsia="Times New Roman" w:hAnsi="Times New Roman" w:cs="Times New Roman"/>
                <w:sz w:val="20"/>
                <w:szCs w:val="20"/>
                <w:lang w:eastAsia="ru-RU"/>
              </w:rPr>
            </w:pPr>
          </w:p>
        </w:tc>
        <w:tc>
          <w:tcPr>
            <w:tcW w:w="2581" w:type="dxa"/>
            <w:shd w:val="clear" w:color="000000" w:fill="auto"/>
            <w:hideMark/>
          </w:tcPr>
          <w:p w14:paraId="0A4984F9"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Особняк Будагова, 1910 г.</w:t>
            </w:r>
          </w:p>
        </w:tc>
        <w:tc>
          <w:tcPr>
            <w:tcW w:w="1977" w:type="dxa"/>
            <w:shd w:val="clear" w:color="000000" w:fill="auto"/>
            <w:hideMark/>
          </w:tcPr>
          <w:p w14:paraId="417F032D"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780" w:type="dxa"/>
            <w:shd w:val="clear" w:color="000000" w:fill="auto"/>
            <w:hideMark/>
          </w:tcPr>
          <w:p w14:paraId="40A9A117"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регионального значения</w:t>
            </w:r>
          </w:p>
        </w:tc>
        <w:tc>
          <w:tcPr>
            <w:tcW w:w="2738" w:type="dxa"/>
            <w:shd w:val="clear" w:color="000000" w:fill="auto"/>
            <w:hideMark/>
          </w:tcPr>
          <w:p w14:paraId="4695D269"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пер. Санаторный, 9</w:t>
            </w:r>
          </w:p>
        </w:tc>
        <w:tc>
          <w:tcPr>
            <w:tcW w:w="1993" w:type="dxa"/>
            <w:shd w:val="clear" w:color="000000" w:fill="auto"/>
            <w:hideMark/>
          </w:tcPr>
          <w:p w14:paraId="7CB5E4ED"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968 от 29.08.2022</w:t>
            </w:r>
          </w:p>
        </w:tc>
        <w:tc>
          <w:tcPr>
            <w:tcW w:w="2427" w:type="dxa"/>
            <w:shd w:val="clear" w:color="auto" w:fill="auto"/>
            <w:hideMark/>
          </w:tcPr>
          <w:p w14:paraId="691C4FAE"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В соответствии со ст. 34.1 ФЗ от 25.06.2002 № 73-ФЗ «Об объектах культурного наследия (памятниках истории и культуры) народов РФ» действуют защитные зоны 100 м</w:t>
            </w:r>
          </w:p>
        </w:tc>
      </w:tr>
      <w:tr w:rsidR="000C5E62" w:rsidRPr="00731FE2" w14:paraId="67235E84" w14:textId="77777777" w:rsidTr="000C5E62">
        <w:trPr>
          <w:trHeight w:val="3960"/>
        </w:trPr>
        <w:tc>
          <w:tcPr>
            <w:tcW w:w="704" w:type="dxa"/>
            <w:shd w:val="clear" w:color="auto" w:fill="auto"/>
            <w:noWrap/>
          </w:tcPr>
          <w:p w14:paraId="231828E8" w14:textId="77777777" w:rsidR="000C5E62" w:rsidRPr="00731FE2" w:rsidRDefault="000C5E62" w:rsidP="000C5E62">
            <w:pPr>
              <w:pStyle w:val="a3"/>
              <w:numPr>
                <w:ilvl w:val="0"/>
                <w:numId w:val="127"/>
              </w:numPr>
              <w:spacing w:line="240" w:lineRule="auto"/>
              <w:ind w:left="0" w:firstLine="0"/>
              <w:jc w:val="center"/>
              <w:rPr>
                <w:rFonts w:ascii="Times New Roman" w:eastAsia="Times New Roman" w:hAnsi="Times New Roman" w:cs="Times New Roman"/>
                <w:sz w:val="20"/>
                <w:szCs w:val="20"/>
                <w:lang w:eastAsia="ru-RU"/>
              </w:rPr>
            </w:pPr>
          </w:p>
        </w:tc>
        <w:tc>
          <w:tcPr>
            <w:tcW w:w="2581" w:type="dxa"/>
            <w:shd w:val="clear" w:color="auto" w:fill="auto"/>
            <w:hideMark/>
          </w:tcPr>
          <w:p w14:paraId="70E615EF"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Дача "Петрик", нач. XX в.</w:t>
            </w:r>
          </w:p>
        </w:tc>
        <w:tc>
          <w:tcPr>
            <w:tcW w:w="1977" w:type="dxa"/>
            <w:shd w:val="clear" w:color="auto" w:fill="auto"/>
            <w:hideMark/>
          </w:tcPr>
          <w:p w14:paraId="45E460DE"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780" w:type="dxa"/>
            <w:shd w:val="clear" w:color="auto" w:fill="auto"/>
            <w:hideMark/>
          </w:tcPr>
          <w:p w14:paraId="656505FA"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регионального значения</w:t>
            </w:r>
          </w:p>
        </w:tc>
        <w:tc>
          <w:tcPr>
            <w:tcW w:w="2738" w:type="dxa"/>
            <w:shd w:val="clear" w:color="auto" w:fill="auto"/>
            <w:hideMark/>
          </w:tcPr>
          <w:p w14:paraId="6FA34626"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ул. Стопани, 3</w:t>
            </w:r>
          </w:p>
        </w:tc>
        <w:tc>
          <w:tcPr>
            <w:tcW w:w="1993" w:type="dxa"/>
            <w:shd w:val="clear" w:color="000000" w:fill="auto"/>
            <w:hideMark/>
          </w:tcPr>
          <w:p w14:paraId="65C70315"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725 от 15.07.2022</w:t>
            </w:r>
          </w:p>
        </w:tc>
        <w:tc>
          <w:tcPr>
            <w:tcW w:w="2427" w:type="dxa"/>
            <w:shd w:val="clear" w:color="FFFF00" w:fill="auto"/>
            <w:hideMark/>
          </w:tcPr>
          <w:p w14:paraId="1ECE3065"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730 от 15.08.2023</w:t>
            </w:r>
          </w:p>
        </w:tc>
      </w:tr>
      <w:tr w:rsidR="000C5E62" w:rsidRPr="00731FE2" w14:paraId="1650E9C4" w14:textId="77777777" w:rsidTr="000C5E62">
        <w:trPr>
          <w:trHeight w:val="3960"/>
        </w:trPr>
        <w:tc>
          <w:tcPr>
            <w:tcW w:w="704" w:type="dxa"/>
            <w:shd w:val="clear" w:color="auto" w:fill="auto"/>
            <w:noWrap/>
          </w:tcPr>
          <w:p w14:paraId="52EDE743" w14:textId="77777777" w:rsidR="000C5E62" w:rsidRPr="00731FE2" w:rsidRDefault="000C5E62" w:rsidP="000C5E62">
            <w:pPr>
              <w:pStyle w:val="a3"/>
              <w:numPr>
                <w:ilvl w:val="0"/>
                <w:numId w:val="127"/>
              </w:numPr>
              <w:spacing w:line="240" w:lineRule="auto"/>
              <w:ind w:left="0" w:firstLine="0"/>
              <w:jc w:val="center"/>
              <w:rPr>
                <w:rFonts w:ascii="Times New Roman" w:eastAsia="Times New Roman" w:hAnsi="Times New Roman" w:cs="Times New Roman"/>
                <w:sz w:val="20"/>
                <w:szCs w:val="20"/>
                <w:lang w:eastAsia="ru-RU"/>
              </w:rPr>
            </w:pPr>
          </w:p>
        </w:tc>
        <w:tc>
          <w:tcPr>
            <w:tcW w:w="2581" w:type="dxa"/>
            <w:shd w:val="clear" w:color="FFFF00" w:fill="auto"/>
            <w:hideMark/>
          </w:tcPr>
          <w:p w14:paraId="0BCDD21B"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Особняк Банча, нач. XX в.</w:t>
            </w:r>
          </w:p>
        </w:tc>
        <w:tc>
          <w:tcPr>
            <w:tcW w:w="1977" w:type="dxa"/>
            <w:shd w:val="clear" w:color="FFFF00" w:fill="auto"/>
            <w:hideMark/>
          </w:tcPr>
          <w:p w14:paraId="72020456"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780" w:type="dxa"/>
            <w:shd w:val="clear" w:color="FFFF00" w:fill="auto"/>
            <w:hideMark/>
          </w:tcPr>
          <w:p w14:paraId="526D4FBA"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регионального значения</w:t>
            </w:r>
          </w:p>
        </w:tc>
        <w:tc>
          <w:tcPr>
            <w:tcW w:w="2738" w:type="dxa"/>
            <w:shd w:val="clear" w:color="FFFF00" w:fill="auto"/>
            <w:hideMark/>
          </w:tcPr>
          <w:p w14:paraId="46986F68"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ул. Стопани, 4</w:t>
            </w:r>
          </w:p>
        </w:tc>
        <w:tc>
          <w:tcPr>
            <w:tcW w:w="1993" w:type="dxa"/>
            <w:shd w:val="clear" w:color="FFFF00" w:fill="auto"/>
            <w:hideMark/>
          </w:tcPr>
          <w:p w14:paraId="60F6C4A4"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приказ министерства культуры Ставропольского края от 11.12.2014 № 703, приказ управление СК по охране ОКН от 15.06.2016 № 251</w:t>
            </w:r>
          </w:p>
        </w:tc>
        <w:tc>
          <w:tcPr>
            <w:tcW w:w="2427" w:type="dxa"/>
            <w:shd w:val="clear" w:color="000000" w:fill="auto"/>
            <w:hideMark/>
          </w:tcPr>
          <w:p w14:paraId="75E2BBF0"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718 от 10.08.2023</w:t>
            </w:r>
          </w:p>
        </w:tc>
      </w:tr>
      <w:tr w:rsidR="000C5E62" w:rsidRPr="00731FE2" w14:paraId="24AED81C" w14:textId="77777777" w:rsidTr="000C5E62">
        <w:trPr>
          <w:trHeight w:val="3960"/>
        </w:trPr>
        <w:tc>
          <w:tcPr>
            <w:tcW w:w="704" w:type="dxa"/>
            <w:shd w:val="clear" w:color="auto" w:fill="auto"/>
            <w:noWrap/>
          </w:tcPr>
          <w:p w14:paraId="3924B62E" w14:textId="77777777" w:rsidR="000C5E62" w:rsidRPr="00731FE2" w:rsidRDefault="000C5E62" w:rsidP="000C5E62">
            <w:pPr>
              <w:pStyle w:val="a3"/>
              <w:numPr>
                <w:ilvl w:val="0"/>
                <w:numId w:val="127"/>
              </w:numPr>
              <w:spacing w:line="240" w:lineRule="auto"/>
              <w:ind w:left="0" w:firstLine="0"/>
              <w:jc w:val="center"/>
              <w:rPr>
                <w:rFonts w:ascii="Times New Roman" w:eastAsia="Times New Roman" w:hAnsi="Times New Roman" w:cs="Times New Roman"/>
                <w:sz w:val="20"/>
                <w:szCs w:val="20"/>
                <w:lang w:eastAsia="ru-RU"/>
              </w:rPr>
            </w:pPr>
          </w:p>
        </w:tc>
        <w:tc>
          <w:tcPr>
            <w:tcW w:w="2581" w:type="dxa"/>
            <w:shd w:val="clear" w:color="auto" w:fill="auto"/>
            <w:hideMark/>
          </w:tcPr>
          <w:p w14:paraId="506DE278"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Особняк Милашевских, 1908 г.</w:t>
            </w:r>
          </w:p>
        </w:tc>
        <w:tc>
          <w:tcPr>
            <w:tcW w:w="1977" w:type="dxa"/>
            <w:shd w:val="clear" w:color="auto" w:fill="auto"/>
            <w:hideMark/>
          </w:tcPr>
          <w:p w14:paraId="2295F4AE"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780" w:type="dxa"/>
            <w:shd w:val="clear" w:color="auto" w:fill="auto"/>
            <w:hideMark/>
          </w:tcPr>
          <w:p w14:paraId="6DD87DF1"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регионального значения</w:t>
            </w:r>
          </w:p>
        </w:tc>
        <w:tc>
          <w:tcPr>
            <w:tcW w:w="2738" w:type="dxa"/>
            <w:shd w:val="clear" w:color="auto" w:fill="auto"/>
            <w:hideMark/>
          </w:tcPr>
          <w:p w14:paraId="25647260"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ул. Урицкого, 11</w:t>
            </w:r>
          </w:p>
        </w:tc>
        <w:tc>
          <w:tcPr>
            <w:tcW w:w="1993" w:type="dxa"/>
            <w:shd w:val="clear" w:color="000000" w:fill="auto"/>
            <w:hideMark/>
          </w:tcPr>
          <w:p w14:paraId="19848F0A"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708 от 15.07.2022</w:t>
            </w:r>
          </w:p>
        </w:tc>
        <w:tc>
          <w:tcPr>
            <w:tcW w:w="2427" w:type="dxa"/>
            <w:shd w:val="clear" w:color="000000" w:fill="auto"/>
            <w:hideMark/>
          </w:tcPr>
          <w:p w14:paraId="0D703506"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1242 от 05.12.2023</w:t>
            </w:r>
          </w:p>
        </w:tc>
      </w:tr>
      <w:tr w:rsidR="000C5E62" w:rsidRPr="00731FE2" w14:paraId="0F73DBDF" w14:textId="77777777" w:rsidTr="000C5E62">
        <w:trPr>
          <w:trHeight w:val="3960"/>
        </w:trPr>
        <w:tc>
          <w:tcPr>
            <w:tcW w:w="704" w:type="dxa"/>
            <w:shd w:val="clear" w:color="auto" w:fill="auto"/>
            <w:noWrap/>
          </w:tcPr>
          <w:p w14:paraId="62A57519" w14:textId="77777777" w:rsidR="000C5E62" w:rsidRPr="00731FE2" w:rsidRDefault="000C5E62" w:rsidP="000C5E62">
            <w:pPr>
              <w:pStyle w:val="a3"/>
              <w:numPr>
                <w:ilvl w:val="0"/>
                <w:numId w:val="127"/>
              </w:numPr>
              <w:spacing w:line="240" w:lineRule="auto"/>
              <w:ind w:left="0" w:firstLine="0"/>
              <w:jc w:val="center"/>
              <w:rPr>
                <w:rFonts w:ascii="Times New Roman" w:eastAsia="Times New Roman" w:hAnsi="Times New Roman" w:cs="Times New Roman"/>
                <w:sz w:val="20"/>
                <w:szCs w:val="20"/>
                <w:lang w:eastAsia="ru-RU"/>
              </w:rPr>
            </w:pPr>
          </w:p>
        </w:tc>
        <w:tc>
          <w:tcPr>
            <w:tcW w:w="2581" w:type="dxa"/>
            <w:shd w:val="clear" w:color="000000" w:fill="auto"/>
            <w:hideMark/>
          </w:tcPr>
          <w:p w14:paraId="008A3280"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Особняк, 1905 г.</w:t>
            </w:r>
          </w:p>
        </w:tc>
        <w:tc>
          <w:tcPr>
            <w:tcW w:w="1977" w:type="dxa"/>
            <w:shd w:val="clear" w:color="000000" w:fill="auto"/>
            <w:hideMark/>
          </w:tcPr>
          <w:p w14:paraId="50C019FD"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780" w:type="dxa"/>
            <w:shd w:val="clear" w:color="000000" w:fill="auto"/>
            <w:hideMark/>
          </w:tcPr>
          <w:p w14:paraId="74B1CF4E"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регионального значения</w:t>
            </w:r>
          </w:p>
        </w:tc>
        <w:tc>
          <w:tcPr>
            <w:tcW w:w="2738" w:type="dxa"/>
            <w:shd w:val="clear" w:color="000000" w:fill="auto"/>
            <w:hideMark/>
          </w:tcPr>
          <w:p w14:paraId="646AEB2E"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ул. Урицкого, 11</w:t>
            </w:r>
          </w:p>
        </w:tc>
        <w:tc>
          <w:tcPr>
            <w:tcW w:w="1993" w:type="dxa"/>
            <w:shd w:val="clear" w:color="000000" w:fill="auto"/>
            <w:hideMark/>
          </w:tcPr>
          <w:p w14:paraId="74CD29AF"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965 от 29.08.2022</w:t>
            </w:r>
          </w:p>
        </w:tc>
        <w:tc>
          <w:tcPr>
            <w:tcW w:w="2427" w:type="dxa"/>
            <w:shd w:val="clear" w:color="000000" w:fill="auto"/>
            <w:hideMark/>
          </w:tcPr>
          <w:p w14:paraId="7DC526F1"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1240 от 05.12.2023</w:t>
            </w:r>
          </w:p>
        </w:tc>
      </w:tr>
      <w:tr w:rsidR="000C5E62" w:rsidRPr="00731FE2" w14:paraId="78E3C665" w14:textId="77777777" w:rsidTr="000C5E62">
        <w:trPr>
          <w:trHeight w:val="3960"/>
        </w:trPr>
        <w:tc>
          <w:tcPr>
            <w:tcW w:w="704" w:type="dxa"/>
            <w:shd w:val="clear" w:color="auto" w:fill="auto"/>
            <w:noWrap/>
          </w:tcPr>
          <w:p w14:paraId="6AC6B846" w14:textId="77777777" w:rsidR="000C5E62" w:rsidRPr="00731FE2" w:rsidRDefault="000C5E62" w:rsidP="000C5E62">
            <w:pPr>
              <w:pStyle w:val="a3"/>
              <w:numPr>
                <w:ilvl w:val="0"/>
                <w:numId w:val="127"/>
              </w:numPr>
              <w:spacing w:line="240" w:lineRule="auto"/>
              <w:ind w:left="0" w:firstLine="0"/>
              <w:jc w:val="center"/>
              <w:rPr>
                <w:rFonts w:ascii="Times New Roman" w:eastAsia="Times New Roman" w:hAnsi="Times New Roman" w:cs="Times New Roman"/>
                <w:sz w:val="20"/>
                <w:szCs w:val="20"/>
                <w:lang w:eastAsia="ru-RU"/>
              </w:rPr>
            </w:pPr>
          </w:p>
        </w:tc>
        <w:tc>
          <w:tcPr>
            <w:tcW w:w="2581" w:type="dxa"/>
            <w:shd w:val="clear" w:color="000000" w:fill="auto"/>
            <w:hideMark/>
          </w:tcPr>
          <w:p w14:paraId="64985375"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Женская частная гимназия Васильевой, 1903 г.</w:t>
            </w:r>
          </w:p>
        </w:tc>
        <w:tc>
          <w:tcPr>
            <w:tcW w:w="1977" w:type="dxa"/>
            <w:shd w:val="clear" w:color="000000" w:fill="auto"/>
            <w:hideMark/>
          </w:tcPr>
          <w:p w14:paraId="42C69D6D"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780" w:type="dxa"/>
            <w:shd w:val="clear" w:color="000000" w:fill="auto"/>
            <w:hideMark/>
          </w:tcPr>
          <w:p w14:paraId="589223FB"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регионального значения</w:t>
            </w:r>
          </w:p>
        </w:tc>
        <w:tc>
          <w:tcPr>
            <w:tcW w:w="2738" w:type="dxa"/>
            <w:shd w:val="clear" w:color="000000" w:fill="auto"/>
            <w:hideMark/>
          </w:tcPr>
          <w:p w14:paraId="797B35AA"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ул. Хмельницкого, 7</w:t>
            </w:r>
          </w:p>
        </w:tc>
        <w:tc>
          <w:tcPr>
            <w:tcW w:w="1993" w:type="dxa"/>
            <w:shd w:val="clear" w:color="008080" w:fill="auto"/>
            <w:hideMark/>
          </w:tcPr>
          <w:p w14:paraId="06C6A0AA"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приказ управление СК по охране ОКН от 15.06.2016 № 268</w:t>
            </w:r>
          </w:p>
        </w:tc>
        <w:tc>
          <w:tcPr>
            <w:tcW w:w="2427" w:type="dxa"/>
            <w:shd w:val="clear" w:color="FFFF00" w:fill="auto"/>
            <w:hideMark/>
          </w:tcPr>
          <w:p w14:paraId="0D0E4E70"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719 от 10.08.2023</w:t>
            </w:r>
          </w:p>
        </w:tc>
      </w:tr>
      <w:tr w:rsidR="000C5E62" w:rsidRPr="00731FE2" w14:paraId="5F5B32BB" w14:textId="77777777" w:rsidTr="000C5E62">
        <w:trPr>
          <w:trHeight w:val="3960"/>
        </w:trPr>
        <w:tc>
          <w:tcPr>
            <w:tcW w:w="704" w:type="dxa"/>
            <w:shd w:val="clear" w:color="auto" w:fill="auto"/>
            <w:noWrap/>
          </w:tcPr>
          <w:p w14:paraId="553F1B3C" w14:textId="77777777" w:rsidR="000C5E62" w:rsidRPr="00731FE2" w:rsidRDefault="000C5E62" w:rsidP="000C5E62">
            <w:pPr>
              <w:pStyle w:val="a3"/>
              <w:numPr>
                <w:ilvl w:val="0"/>
                <w:numId w:val="127"/>
              </w:numPr>
              <w:spacing w:line="240" w:lineRule="auto"/>
              <w:ind w:left="0" w:firstLine="0"/>
              <w:jc w:val="center"/>
              <w:rPr>
                <w:rFonts w:ascii="Times New Roman" w:eastAsia="Times New Roman" w:hAnsi="Times New Roman" w:cs="Times New Roman"/>
                <w:sz w:val="20"/>
                <w:szCs w:val="20"/>
                <w:lang w:eastAsia="ru-RU"/>
              </w:rPr>
            </w:pPr>
          </w:p>
        </w:tc>
        <w:tc>
          <w:tcPr>
            <w:tcW w:w="2581" w:type="dxa"/>
            <w:shd w:val="clear" w:color="FFFF00" w:fill="auto"/>
            <w:hideMark/>
          </w:tcPr>
          <w:p w14:paraId="7104A117"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Особняк архитектора Э.Б. Ходжаева, 1904 г.</w:t>
            </w:r>
          </w:p>
        </w:tc>
        <w:tc>
          <w:tcPr>
            <w:tcW w:w="1977" w:type="dxa"/>
            <w:shd w:val="clear" w:color="FFFF00" w:fill="auto"/>
            <w:hideMark/>
          </w:tcPr>
          <w:p w14:paraId="59A4D675"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780" w:type="dxa"/>
            <w:shd w:val="clear" w:color="FFFF00" w:fill="auto"/>
            <w:hideMark/>
          </w:tcPr>
          <w:p w14:paraId="23C41DF3"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регионального значения</w:t>
            </w:r>
          </w:p>
        </w:tc>
        <w:tc>
          <w:tcPr>
            <w:tcW w:w="2738" w:type="dxa"/>
            <w:shd w:val="clear" w:color="FFFF00" w:fill="auto"/>
            <w:hideMark/>
          </w:tcPr>
          <w:p w14:paraId="35BDA5C8"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ул. Чкалова, 69</w:t>
            </w:r>
          </w:p>
        </w:tc>
        <w:tc>
          <w:tcPr>
            <w:tcW w:w="1993" w:type="dxa"/>
            <w:shd w:val="clear" w:color="FFFF00" w:fill="auto"/>
            <w:hideMark/>
          </w:tcPr>
          <w:p w14:paraId="478DAD77"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внесение изменений 170 от 10.03.2023; № 1587 от 16.12.2022; приказ управление СК по охране ОКН от 15.06.2016 № 266</w:t>
            </w:r>
          </w:p>
        </w:tc>
        <w:tc>
          <w:tcPr>
            <w:tcW w:w="2427" w:type="dxa"/>
            <w:shd w:val="clear" w:color="000000" w:fill="auto"/>
            <w:hideMark/>
          </w:tcPr>
          <w:p w14:paraId="214496D5"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425 от 27.04.2024</w:t>
            </w:r>
          </w:p>
        </w:tc>
      </w:tr>
      <w:tr w:rsidR="000C5E62" w:rsidRPr="00731FE2" w14:paraId="1DC9CF20" w14:textId="77777777" w:rsidTr="000C5E62">
        <w:trPr>
          <w:trHeight w:val="3960"/>
        </w:trPr>
        <w:tc>
          <w:tcPr>
            <w:tcW w:w="704" w:type="dxa"/>
            <w:shd w:val="clear" w:color="auto" w:fill="auto"/>
            <w:noWrap/>
          </w:tcPr>
          <w:p w14:paraId="48B62978" w14:textId="77777777" w:rsidR="000C5E62" w:rsidRPr="00731FE2" w:rsidRDefault="000C5E62" w:rsidP="000C5E62">
            <w:pPr>
              <w:pStyle w:val="a3"/>
              <w:numPr>
                <w:ilvl w:val="0"/>
                <w:numId w:val="127"/>
              </w:numPr>
              <w:spacing w:line="240" w:lineRule="auto"/>
              <w:ind w:left="0" w:firstLine="0"/>
              <w:jc w:val="center"/>
              <w:rPr>
                <w:rFonts w:ascii="Times New Roman" w:eastAsia="Times New Roman" w:hAnsi="Times New Roman" w:cs="Times New Roman"/>
                <w:sz w:val="20"/>
                <w:szCs w:val="20"/>
                <w:lang w:eastAsia="ru-RU"/>
              </w:rPr>
            </w:pPr>
          </w:p>
        </w:tc>
        <w:tc>
          <w:tcPr>
            <w:tcW w:w="2581" w:type="dxa"/>
            <w:shd w:val="clear" w:color="FFFFFF" w:fill="FFFFFF"/>
            <w:hideMark/>
          </w:tcPr>
          <w:p w14:paraId="0F61ABE6"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Отель "Скала" Сильникова, 1909 г.</w:t>
            </w:r>
          </w:p>
        </w:tc>
        <w:tc>
          <w:tcPr>
            <w:tcW w:w="1977" w:type="dxa"/>
            <w:shd w:val="clear" w:color="FFFFFF" w:fill="FFFFFF"/>
            <w:hideMark/>
          </w:tcPr>
          <w:p w14:paraId="310C5F16"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780" w:type="dxa"/>
            <w:shd w:val="clear" w:color="FFFFFF" w:fill="FFFFFF"/>
            <w:hideMark/>
          </w:tcPr>
          <w:p w14:paraId="42A8A23D"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регионального значения</w:t>
            </w:r>
          </w:p>
        </w:tc>
        <w:tc>
          <w:tcPr>
            <w:tcW w:w="2738" w:type="dxa"/>
            <w:shd w:val="clear" w:color="FFFFFF" w:fill="FFFFFF"/>
            <w:hideMark/>
          </w:tcPr>
          <w:p w14:paraId="5A64D06E"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ул. Шаляпина, 5</w:t>
            </w:r>
          </w:p>
        </w:tc>
        <w:tc>
          <w:tcPr>
            <w:tcW w:w="1993" w:type="dxa"/>
            <w:shd w:val="clear" w:color="FFFFFF" w:fill="FFFFFF"/>
            <w:hideMark/>
          </w:tcPr>
          <w:p w14:paraId="689CF6BB"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 497 от 25.05.2022</w:t>
            </w:r>
          </w:p>
        </w:tc>
        <w:tc>
          <w:tcPr>
            <w:tcW w:w="2427" w:type="dxa"/>
            <w:shd w:val="clear" w:color="FFFFFF" w:fill="FFFFFF"/>
            <w:hideMark/>
          </w:tcPr>
          <w:p w14:paraId="68B25DEA"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от 03.11.2022 №1384</w:t>
            </w:r>
          </w:p>
        </w:tc>
      </w:tr>
      <w:tr w:rsidR="000C5E62" w:rsidRPr="00731FE2" w14:paraId="4B2BB64E" w14:textId="77777777" w:rsidTr="000C5E62">
        <w:trPr>
          <w:trHeight w:val="3960"/>
        </w:trPr>
        <w:tc>
          <w:tcPr>
            <w:tcW w:w="704" w:type="dxa"/>
            <w:shd w:val="clear" w:color="auto" w:fill="auto"/>
            <w:noWrap/>
          </w:tcPr>
          <w:p w14:paraId="621BAE6D" w14:textId="77777777" w:rsidR="000C5E62" w:rsidRPr="00731FE2" w:rsidRDefault="000C5E62" w:rsidP="000C5E62">
            <w:pPr>
              <w:pStyle w:val="a3"/>
              <w:numPr>
                <w:ilvl w:val="0"/>
                <w:numId w:val="127"/>
              </w:numPr>
              <w:spacing w:line="240" w:lineRule="auto"/>
              <w:ind w:left="0" w:firstLine="0"/>
              <w:jc w:val="center"/>
              <w:rPr>
                <w:rFonts w:ascii="Times New Roman" w:eastAsia="Times New Roman" w:hAnsi="Times New Roman" w:cs="Times New Roman"/>
                <w:sz w:val="20"/>
                <w:szCs w:val="20"/>
                <w:lang w:eastAsia="ru-RU"/>
              </w:rPr>
            </w:pPr>
          </w:p>
        </w:tc>
        <w:tc>
          <w:tcPr>
            <w:tcW w:w="2581" w:type="dxa"/>
            <w:shd w:val="clear" w:color="FFFFFF" w:fill="FFFFFF"/>
            <w:hideMark/>
          </w:tcPr>
          <w:p w14:paraId="5AFF8774"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Частный пансион, 1890 г.</w:t>
            </w:r>
          </w:p>
        </w:tc>
        <w:tc>
          <w:tcPr>
            <w:tcW w:w="1977" w:type="dxa"/>
            <w:shd w:val="clear" w:color="FFFFFF" w:fill="FFFFFF"/>
            <w:hideMark/>
          </w:tcPr>
          <w:p w14:paraId="17FC50A6"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постановление главы администрации Ставропольского края от 1 ноября 1995 г. № 600 «О дополнении списка памятников истории и культуры Ставропольского края, подлежащих государственной охране как памятников местного и республиканского значения, утвержденного</w:t>
            </w:r>
          </w:p>
        </w:tc>
        <w:tc>
          <w:tcPr>
            <w:tcW w:w="1780" w:type="dxa"/>
            <w:shd w:val="clear" w:color="FFFFFF" w:fill="FFFFFF"/>
            <w:hideMark/>
          </w:tcPr>
          <w:p w14:paraId="45AEAC2C"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регионального значения</w:t>
            </w:r>
          </w:p>
        </w:tc>
        <w:tc>
          <w:tcPr>
            <w:tcW w:w="2738" w:type="dxa"/>
            <w:shd w:val="clear" w:color="FFFFFF" w:fill="FFFFFF"/>
            <w:hideMark/>
          </w:tcPr>
          <w:p w14:paraId="590FF2D8"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ул. Шаумяна, 33</w:t>
            </w:r>
          </w:p>
        </w:tc>
        <w:tc>
          <w:tcPr>
            <w:tcW w:w="1993" w:type="dxa"/>
            <w:shd w:val="clear" w:color="FFFFFF" w:fill="FFFFFF"/>
            <w:hideMark/>
          </w:tcPr>
          <w:p w14:paraId="53E420A9"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1459 от 24.11.2022</w:t>
            </w:r>
          </w:p>
        </w:tc>
        <w:tc>
          <w:tcPr>
            <w:tcW w:w="2427" w:type="dxa"/>
            <w:shd w:val="clear" w:color="FFFFFF" w:fill="FFFFFF"/>
            <w:hideMark/>
          </w:tcPr>
          <w:p w14:paraId="71C5C537" w14:textId="77777777" w:rsidR="000C5E62" w:rsidRPr="00731FE2" w:rsidRDefault="000C5E62" w:rsidP="000C5E62">
            <w:pPr>
              <w:spacing w:line="240" w:lineRule="auto"/>
              <w:ind w:firstLine="0"/>
              <w:jc w:val="center"/>
              <w:rPr>
                <w:rFonts w:ascii="Times New Roman" w:eastAsia="Times New Roman" w:hAnsi="Times New Roman" w:cs="Times New Roman"/>
                <w:sz w:val="20"/>
                <w:szCs w:val="20"/>
                <w:lang w:eastAsia="ru-RU"/>
              </w:rPr>
            </w:pPr>
            <w:r w:rsidRPr="00731FE2">
              <w:rPr>
                <w:rFonts w:ascii="Times New Roman" w:eastAsia="Times New Roman" w:hAnsi="Times New Roman" w:cs="Times New Roman"/>
                <w:sz w:val="20"/>
                <w:szCs w:val="20"/>
                <w:lang w:eastAsia="ru-RU"/>
              </w:rPr>
              <w:t>643 от 05.07.2024</w:t>
            </w:r>
          </w:p>
        </w:tc>
      </w:tr>
    </w:tbl>
    <w:p w14:paraId="5F010006" w14:textId="77777777" w:rsidR="00171AA8" w:rsidRPr="00731FE2" w:rsidRDefault="007935AB">
      <w:pPr>
        <w:rPr>
          <w:rFonts w:ascii="Times New Roman" w:hAnsi="Times New Roman" w:cs="Times New Roman"/>
        </w:rPr>
      </w:pPr>
      <w:r w:rsidRPr="00731FE2">
        <w:rPr>
          <w:rFonts w:ascii="Times New Roman" w:hAnsi="Times New Roman" w:cs="Times New Roman"/>
        </w:rPr>
        <w:br w:type="page" w:clear="all"/>
      </w:r>
    </w:p>
    <w:p w14:paraId="446AD0EA" w14:textId="0CD154A5" w:rsidR="00171AA8" w:rsidRPr="00731FE2" w:rsidRDefault="007935AB" w:rsidP="00717AA7">
      <w:pPr>
        <w:pStyle w:val="13"/>
        <w:spacing w:after="0" w:line="240" w:lineRule="auto"/>
        <w:rPr>
          <w:rStyle w:val="af6"/>
          <w:rFonts w:ascii="Times New Roman" w:hAnsi="Times New Roman" w:cs="Times New Roman"/>
          <w:color w:val="auto"/>
          <w:sz w:val="24"/>
          <w:szCs w:val="24"/>
          <w:u w:val="none"/>
        </w:rPr>
      </w:pPr>
      <w:bookmarkStart w:id="111" w:name="_Toc177392860"/>
      <w:r w:rsidRPr="00731FE2">
        <w:rPr>
          <w:rStyle w:val="af6"/>
          <w:rFonts w:ascii="Times New Roman" w:hAnsi="Times New Roman" w:cs="Times New Roman"/>
          <w:color w:val="auto"/>
          <w:sz w:val="24"/>
          <w:szCs w:val="24"/>
          <w:u w:val="none"/>
        </w:rPr>
        <w:lastRenderedPageBreak/>
        <w:t xml:space="preserve">ПРИЛОЖЕНИЕ 4 – СПИСОК ВЫЯВЛЕННЫХ ОБЪЕКТОВ </w:t>
      </w:r>
      <w:r w:rsidR="000C5E62" w:rsidRPr="00731FE2">
        <w:rPr>
          <w:rStyle w:val="af6"/>
          <w:rFonts w:ascii="Times New Roman" w:hAnsi="Times New Roman" w:cs="Times New Roman"/>
          <w:color w:val="auto"/>
          <w:sz w:val="24"/>
          <w:szCs w:val="24"/>
          <w:u w:val="none"/>
        </w:rPr>
        <w:t>КУЛЬТУРНОГО (</w:t>
      </w:r>
      <w:r w:rsidR="00706447" w:rsidRPr="00731FE2">
        <w:rPr>
          <w:rStyle w:val="af6"/>
          <w:rFonts w:ascii="Times New Roman" w:hAnsi="Times New Roman" w:cs="Times New Roman"/>
          <w:color w:val="auto"/>
          <w:sz w:val="24"/>
          <w:szCs w:val="24"/>
          <w:u w:val="none"/>
        </w:rPr>
        <w:t>в т. ч. археологического)</w:t>
      </w:r>
      <w:r w:rsidRPr="00731FE2">
        <w:rPr>
          <w:rStyle w:val="af6"/>
          <w:rFonts w:ascii="Times New Roman" w:hAnsi="Times New Roman" w:cs="Times New Roman"/>
          <w:color w:val="auto"/>
          <w:sz w:val="24"/>
          <w:szCs w:val="24"/>
          <w:u w:val="none"/>
        </w:rPr>
        <w:t xml:space="preserve"> НАСЛЕДИЯ, РАСПОЛОЖЕННЫХ НА ТЕРРИТОРИИ ГОРОДСКОГО ОКРУГА ГОРОДА-КУРОРТА КИСЛОВОДСКА СТАВРОПОЛЬСКОГО КРАЯ</w:t>
      </w:r>
      <w:r w:rsidR="00706447" w:rsidRPr="00731FE2">
        <w:rPr>
          <w:rStyle w:val="afb"/>
          <w:rFonts w:ascii="Times New Roman" w:hAnsi="Times New Roman" w:cs="Times New Roman"/>
          <w:color w:val="auto"/>
          <w:sz w:val="24"/>
          <w:szCs w:val="24"/>
          <w:vertAlign w:val="superscript"/>
        </w:rPr>
        <w:footnoteReference w:id="123"/>
      </w:r>
      <w:bookmarkEnd w:id="111"/>
      <w:r w:rsidR="000C5E62" w:rsidRPr="00731FE2">
        <w:rPr>
          <w:rStyle w:val="af6"/>
          <w:rFonts w:ascii="Times New Roman" w:hAnsi="Times New Roman" w:cs="Times New Roman"/>
          <w:color w:val="auto"/>
          <w:sz w:val="24"/>
          <w:szCs w:val="24"/>
          <w:u w:val="none"/>
        </w:rPr>
        <w:t xml:space="preserve"> </w:t>
      </w:r>
    </w:p>
    <w:p w14:paraId="7718D237" w14:textId="77777777" w:rsidR="00706447" w:rsidRPr="00731FE2" w:rsidRDefault="00706447" w:rsidP="003F00EB">
      <w:pPr>
        <w:spacing w:line="240" w:lineRule="auto"/>
        <w:ind w:firstLine="0"/>
        <w:jc w:val="center"/>
        <w:rPr>
          <w:rStyle w:val="af6"/>
          <w:rFonts w:ascii="Times New Roman" w:hAnsi="Times New Roman" w:cs="Times New Roman"/>
          <w:color w:val="auto"/>
          <w:szCs w:val="24"/>
          <w:u w:val="none"/>
        </w:rPr>
      </w:pPr>
    </w:p>
    <w:tbl>
      <w:tblPr>
        <w:tblStyle w:val="afe"/>
        <w:tblpPr w:leftFromText="181" w:rightFromText="181" w:vertAnchor="page" w:horzAnchor="page" w:tblpX="1217" w:tblpY="2063"/>
        <w:tblW w:w="14925" w:type="dxa"/>
        <w:tblLayout w:type="fixed"/>
        <w:tblLook w:val="04A0" w:firstRow="1" w:lastRow="0" w:firstColumn="1" w:lastColumn="0" w:noHBand="0" w:noVBand="1"/>
      </w:tblPr>
      <w:tblGrid>
        <w:gridCol w:w="543"/>
        <w:gridCol w:w="2890"/>
        <w:gridCol w:w="3889"/>
        <w:gridCol w:w="2829"/>
        <w:gridCol w:w="1945"/>
        <w:gridCol w:w="2829"/>
      </w:tblGrid>
      <w:tr w:rsidR="00706447" w:rsidRPr="00731FE2" w14:paraId="2B1E98D1" w14:textId="77777777" w:rsidTr="00C837D3">
        <w:trPr>
          <w:trHeight w:val="1100"/>
        </w:trPr>
        <w:tc>
          <w:tcPr>
            <w:tcW w:w="543" w:type="dxa"/>
          </w:tcPr>
          <w:p w14:paraId="4014765F" w14:textId="05663177" w:rsidR="00706447" w:rsidRPr="00731FE2" w:rsidRDefault="00706447" w:rsidP="00706447">
            <w:pPr>
              <w:ind w:firstLine="0"/>
              <w:jc w:val="center"/>
              <w:rPr>
                <w:rFonts w:ascii="Times New Roman" w:hAnsi="Times New Roman" w:cs="Times New Roman"/>
                <w:b/>
                <w:sz w:val="20"/>
                <w:szCs w:val="20"/>
              </w:rPr>
            </w:pPr>
            <w:r w:rsidRPr="00731FE2">
              <w:rPr>
                <w:rFonts w:ascii="Times New Roman" w:hAnsi="Times New Roman" w:cs="Times New Roman"/>
                <w:b/>
                <w:sz w:val="20"/>
                <w:szCs w:val="20"/>
              </w:rPr>
              <w:lastRenderedPageBreak/>
              <w:t>№ п/п</w:t>
            </w:r>
          </w:p>
        </w:tc>
        <w:tc>
          <w:tcPr>
            <w:tcW w:w="2890" w:type="dxa"/>
          </w:tcPr>
          <w:p w14:paraId="6C0DFDB7" w14:textId="77777777" w:rsidR="00706447" w:rsidRPr="00731FE2" w:rsidRDefault="00706447" w:rsidP="00706447">
            <w:pPr>
              <w:ind w:firstLine="0"/>
              <w:jc w:val="center"/>
              <w:rPr>
                <w:rFonts w:ascii="Times New Roman" w:hAnsi="Times New Roman" w:cs="Times New Roman"/>
                <w:b/>
                <w:sz w:val="20"/>
                <w:szCs w:val="20"/>
              </w:rPr>
            </w:pPr>
            <w:r w:rsidRPr="00731FE2">
              <w:rPr>
                <w:rFonts w:ascii="Times New Roman" w:hAnsi="Times New Roman" w:cs="Times New Roman"/>
                <w:b/>
                <w:sz w:val="20"/>
                <w:szCs w:val="20"/>
              </w:rPr>
              <w:t>Наименование памятника</w:t>
            </w:r>
          </w:p>
        </w:tc>
        <w:tc>
          <w:tcPr>
            <w:tcW w:w="3889" w:type="dxa"/>
          </w:tcPr>
          <w:p w14:paraId="6FCB4233" w14:textId="77777777" w:rsidR="00706447" w:rsidRPr="00731FE2" w:rsidRDefault="00706447" w:rsidP="00706447">
            <w:pPr>
              <w:ind w:firstLine="0"/>
              <w:jc w:val="center"/>
              <w:rPr>
                <w:rFonts w:ascii="Times New Roman" w:hAnsi="Times New Roman" w:cs="Times New Roman"/>
                <w:b/>
                <w:sz w:val="20"/>
                <w:szCs w:val="20"/>
              </w:rPr>
            </w:pPr>
            <w:r w:rsidRPr="00731FE2">
              <w:rPr>
                <w:rFonts w:ascii="Times New Roman" w:hAnsi="Times New Roman" w:cs="Times New Roman"/>
                <w:b/>
                <w:sz w:val="20"/>
                <w:szCs w:val="20"/>
              </w:rPr>
              <w:t>Местоположение памятника</w:t>
            </w:r>
          </w:p>
        </w:tc>
        <w:tc>
          <w:tcPr>
            <w:tcW w:w="2829" w:type="dxa"/>
          </w:tcPr>
          <w:p w14:paraId="63B78DF2" w14:textId="2990DB7F" w:rsidR="00706447" w:rsidRPr="00731FE2" w:rsidRDefault="00706447" w:rsidP="00706447">
            <w:pPr>
              <w:ind w:firstLine="0"/>
              <w:jc w:val="center"/>
              <w:rPr>
                <w:rFonts w:ascii="Times New Roman" w:hAnsi="Times New Roman" w:cs="Times New Roman"/>
                <w:b/>
                <w:sz w:val="20"/>
                <w:szCs w:val="20"/>
              </w:rPr>
            </w:pPr>
            <w:r w:rsidRPr="00731FE2">
              <w:rPr>
                <w:rFonts w:ascii="Times New Roman" w:hAnsi="Times New Roman" w:cs="Times New Roman"/>
                <w:b/>
                <w:sz w:val="20"/>
                <w:szCs w:val="20"/>
              </w:rPr>
              <w:t>Решение о включении в перечень выявленных ОКН</w:t>
            </w:r>
          </w:p>
        </w:tc>
        <w:tc>
          <w:tcPr>
            <w:tcW w:w="1945" w:type="dxa"/>
          </w:tcPr>
          <w:p w14:paraId="13CD5AA7" w14:textId="77777777" w:rsidR="00706447" w:rsidRPr="00731FE2" w:rsidRDefault="00706447" w:rsidP="00706447">
            <w:pPr>
              <w:ind w:firstLine="0"/>
              <w:jc w:val="center"/>
              <w:rPr>
                <w:rFonts w:ascii="Times New Roman" w:hAnsi="Times New Roman" w:cs="Times New Roman"/>
                <w:b/>
                <w:sz w:val="20"/>
                <w:szCs w:val="20"/>
              </w:rPr>
            </w:pPr>
            <w:r w:rsidRPr="00731FE2">
              <w:rPr>
                <w:rFonts w:ascii="Times New Roman" w:hAnsi="Times New Roman" w:cs="Times New Roman"/>
                <w:b/>
                <w:sz w:val="20"/>
                <w:szCs w:val="20"/>
              </w:rPr>
              <w:t>Категория историко-культурного значения</w:t>
            </w:r>
          </w:p>
        </w:tc>
        <w:tc>
          <w:tcPr>
            <w:tcW w:w="2829" w:type="dxa"/>
          </w:tcPr>
          <w:p w14:paraId="122B8875" w14:textId="4630898D" w:rsidR="00706447" w:rsidRPr="00731FE2" w:rsidRDefault="00706447" w:rsidP="00706447">
            <w:pPr>
              <w:ind w:firstLine="0"/>
              <w:jc w:val="center"/>
              <w:rPr>
                <w:rFonts w:ascii="Times New Roman" w:hAnsi="Times New Roman" w:cs="Times New Roman"/>
                <w:b/>
                <w:sz w:val="20"/>
                <w:szCs w:val="20"/>
              </w:rPr>
            </w:pPr>
            <w:r w:rsidRPr="00731FE2">
              <w:rPr>
                <w:rFonts w:ascii="Times New Roman" w:hAnsi="Times New Roman" w:cs="Times New Roman"/>
                <w:b/>
                <w:sz w:val="20"/>
                <w:szCs w:val="20"/>
              </w:rPr>
              <w:t>документ об утверждении границ территории</w:t>
            </w:r>
          </w:p>
        </w:tc>
      </w:tr>
      <w:tr w:rsidR="00706447" w:rsidRPr="00731FE2" w14:paraId="1573C345" w14:textId="77777777" w:rsidTr="00C837D3">
        <w:trPr>
          <w:trHeight w:val="637"/>
        </w:trPr>
        <w:tc>
          <w:tcPr>
            <w:tcW w:w="543" w:type="dxa"/>
            <w:vMerge w:val="restart"/>
          </w:tcPr>
          <w:p w14:paraId="1FDCED68" w14:textId="77777777" w:rsidR="00706447" w:rsidRPr="00731FE2" w:rsidRDefault="00706447" w:rsidP="003F00EB">
            <w:pPr>
              <w:pStyle w:val="a3"/>
              <w:numPr>
                <w:ilvl w:val="0"/>
                <w:numId w:val="129"/>
              </w:numPr>
              <w:ind w:left="0" w:firstLine="0"/>
              <w:jc w:val="center"/>
              <w:rPr>
                <w:rFonts w:ascii="Times New Roman" w:eastAsia="Times New Roman" w:hAnsi="Times New Roman" w:cs="Times New Roman"/>
                <w:sz w:val="20"/>
                <w:szCs w:val="20"/>
                <w:lang w:eastAsia="ru-RU"/>
              </w:rPr>
            </w:pPr>
          </w:p>
        </w:tc>
        <w:tc>
          <w:tcPr>
            <w:tcW w:w="2890" w:type="dxa"/>
            <w:vMerge w:val="restart"/>
          </w:tcPr>
          <w:p w14:paraId="798C6B65"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 xml:space="preserve">«Дача В.И. Сафонова», </w:t>
            </w:r>
          </w:p>
          <w:p w14:paraId="1B00FFE0"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 xml:space="preserve">1895 г. </w:t>
            </w:r>
          </w:p>
        </w:tc>
        <w:tc>
          <w:tcPr>
            <w:tcW w:w="3889" w:type="dxa"/>
            <w:vMerge w:val="restart"/>
          </w:tcPr>
          <w:p w14:paraId="195FB79A" w14:textId="7BA6D995"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Ставропольский край, г. Кисловодск, ул. Октябрьская/ул. Железнодорожная, 8/8</w:t>
            </w:r>
          </w:p>
        </w:tc>
        <w:tc>
          <w:tcPr>
            <w:tcW w:w="2829" w:type="dxa"/>
            <w:vMerge w:val="restart"/>
          </w:tcPr>
          <w:p w14:paraId="081346B2" w14:textId="47624318"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Приказ управления СК по охране ОКН от 21 декабря 2023 г. № 1233</w:t>
            </w:r>
          </w:p>
        </w:tc>
        <w:tc>
          <w:tcPr>
            <w:tcW w:w="1945" w:type="dxa"/>
            <w:vMerge w:val="restart"/>
            <w:vAlign w:val="center"/>
          </w:tcPr>
          <w:p w14:paraId="668BD388" w14:textId="77777777" w:rsidR="00706447" w:rsidRPr="00731FE2" w:rsidRDefault="00706447" w:rsidP="00706447">
            <w:pPr>
              <w:ind w:firstLine="0"/>
              <w:jc w:val="center"/>
              <w:rPr>
                <w:rFonts w:ascii="Times New Roman" w:hAnsi="Times New Roman" w:cs="Times New Roman"/>
                <w:sz w:val="20"/>
                <w:szCs w:val="20"/>
              </w:rPr>
            </w:pPr>
            <w:r w:rsidRPr="00731FE2">
              <w:rPr>
                <w:rFonts w:ascii="Times New Roman" w:hAnsi="Times New Roman" w:cs="Times New Roman"/>
                <w:sz w:val="20"/>
                <w:szCs w:val="20"/>
              </w:rPr>
              <w:t>выявленный</w:t>
            </w:r>
          </w:p>
        </w:tc>
        <w:tc>
          <w:tcPr>
            <w:tcW w:w="2829" w:type="dxa"/>
            <w:vMerge w:val="restart"/>
          </w:tcPr>
          <w:p w14:paraId="1D3F0371"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Границы территории не утверждались</w:t>
            </w:r>
          </w:p>
        </w:tc>
      </w:tr>
      <w:tr w:rsidR="00706447" w:rsidRPr="00731FE2" w14:paraId="4072E966" w14:textId="77777777" w:rsidTr="00C837D3">
        <w:trPr>
          <w:trHeight w:val="557"/>
        </w:trPr>
        <w:tc>
          <w:tcPr>
            <w:tcW w:w="543" w:type="dxa"/>
            <w:vMerge w:val="restart"/>
          </w:tcPr>
          <w:p w14:paraId="1516F0E8" w14:textId="77777777" w:rsidR="00706447" w:rsidRPr="00731FE2" w:rsidRDefault="00706447" w:rsidP="003F00EB">
            <w:pPr>
              <w:pStyle w:val="a3"/>
              <w:numPr>
                <w:ilvl w:val="0"/>
                <w:numId w:val="129"/>
              </w:numPr>
              <w:ind w:left="0" w:firstLine="0"/>
              <w:jc w:val="center"/>
              <w:rPr>
                <w:rFonts w:ascii="Times New Roman" w:eastAsia="Times New Roman" w:hAnsi="Times New Roman" w:cs="Times New Roman"/>
                <w:sz w:val="20"/>
                <w:szCs w:val="20"/>
                <w:lang w:eastAsia="ru-RU"/>
              </w:rPr>
            </w:pPr>
          </w:p>
        </w:tc>
        <w:tc>
          <w:tcPr>
            <w:tcW w:w="2890" w:type="dxa"/>
            <w:vMerge w:val="restart"/>
          </w:tcPr>
          <w:p w14:paraId="2C24A8A8"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«Особняк «Масонский дом», начало XX в.</w:t>
            </w:r>
          </w:p>
        </w:tc>
        <w:tc>
          <w:tcPr>
            <w:tcW w:w="3889" w:type="dxa"/>
            <w:vMerge w:val="restart"/>
          </w:tcPr>
          <w:p w14:paraId="5A6DD4D2" w14:textId="3E27179B" w:rsidR="00706447" w:rsidRPr="00731FE2" w:rsidRDefault="00706447" w:rsidP="00F42017">
            <w:pPr>
              <w:ind w:firstLine="0"/>
              <w:rPr>
                <w:rFonts w:ascii="Times New Roman" w:hAnsi="Times New Roman" w:cs="Times New Roman"/>
                <w:sz w:val="20"/>
                <w:szCs w:val="20"/>
              </w:rPr>
            </w:pPr>
            <w:r w:rsidRPr="00731FE2">
              <w:rPr>
                <w:rFonts w:ascii="Times New Roman" w:hAnsi="Times New Roman" w:cs="Times New Roman"/>
                <w:sz w:val="20"/>
                <w:szCs w:val="20"/>
              </w:rPr>
              <w:t>Ставропольский край, г. Кисловодск, ул. Чкалова, 73</w:t>
            </w:r>
          </w:p>
        </w:tc>
        <w:tc>
          <w:tcPr>
            <w:tcW w:w="2829" w:type="dxa"/>
            <w:vMerge w:val="restart"/>
          </w:tcPr>
          <w:p w14:paraId="428A6A82" w14:textId="5A6F7E2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 xml:space="preserve">Приказ управления СК по охране ОКН от 09.10.2023 г. № 968 </w:t>
            </w:r>
          </w:p>
        </w:tc>
        <w:tc>
          <w:tcPr>
            <w:tcW w:w="1945" w:type="dxa"/>
            <w:vMerge w:val="restart"/>
            <w:vAlign w:val="center"/>
          </w:tcPr>
          <w:p w14:paraId="5324DE7C" w14:textId="77777777" w:rsidR="00706447" w:rsidRPr="00731FE2" w:rsidRDefault="00706447" w:rsidP="00706447">
            <w:pPr>
              <w:ind w:firstLine="0"/>
              <w:jc w:val="center"/>
              <w:rPr>
                <w:rFonts w:ascii="Times New Roman" w:hAnsi="Times New Roman" w:cs="Times New Roman"/>
                <w:sz w:val="20"/>
                <w:szCs w:val="20"/>
              </w:rPr>
            </w:pPr>
            <w:r w:rsidRPr="00731FE2">
              <w:rPr>
                <w:rFonts w:ascii="Times New Roman" w:hAnsi="Times New Roman" w:cs="Times New Roman"/>
                <w:sz w:val="20"/>
                <w:szCs w:val="20"/>
              </w:rPr>
              <w:t>выявленный</w:t>
            </w:r>
          </w:p>
        </w:tc>
        <w:tc>
          <w:tcPr>
            <w:tcW w:w="2829" w:type="dxa"/>
            <w:vMerge w:val="restart"/>
          </w:tcPr>
          <w:p w14:paraId="48780C0B"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Границы территории не утверждались</w:t>
            </w:r>
          </w:p>
        </w:tc>
      </w:tr>
      <w:tr w:rsidR="00706447" w:rsidRPr="00731FE2" w14:paraId="5848830B" w14:textId="77777777" w:rsidTr="00C837D3">
        <w:trPr>
          <w:trHeight w:val="557"/>
        </w:trPr>
        <w:tc>
          <w:tcPr>
            <w:tcW w:w="543" w:type="dxa"/>
            <w:vMerge w:val="restart"/>
          </w:tcPr>
          <w:p w14:paraId="1370BB02" w14:textId="77777777" w:rsidR="00706447" w:rsidRPr="00731FE2" w:rsidRDefault="00706447" w:rsidP="003F00EB">
            <w:pPr>
              <w:pStyle w:val="a3"/>
              <w:numPr>
                <w:ilvl w:val="0"/>
                <w:numId w:val="129"/>
              </w:numPr>
              <w:ind w:left="0" w:firstLine="0"/>
              <w:jc w:val="center"/>
              <w:rPr>
                <w:rFonts w:ascii="Times New Roman" w:eastAsia="Times New Roman" w:hAnsi="Times New Roman" w:cs="Times New Roman"/>
                <w:sz w:val="20"/>
                <w:szCs w:val="20"/>
                <w:lang w:eastAsia="ru-RU"/>
              </w:rPr>
            </w:pPr>
          </w:p>
        </w:tc>
        <w:tc>
          <w:tcPr>
            <w:tcW w:w="2890" w:type="dxa"/>
            <w:vMerge w:val="restart"/>
          </w:tcPr>
          <w:p w14:paraId="66C3041B"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 xml:space="preserve"> «Здание железнодорожной станции «Минутка»</w:t>
            </w:r>
          </w:p>
        </w:tc>
        <w:tc>
          <w:tcPr>
            <w:tcW w:w="3889" w:type="dxa"/>
            <w:vMerge w:val="restart"/>
          </w:tcPr>
          <w:p w14:paraId="62816B7B"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 xml:space="preserve"> Ставропольский край, г. Кисловодск, ул. Главная, д. 2</w:t>
            </w:r>
          </w:p>
        </w:tc>
        <w:tc>
          <w:tcPr>
            <w:tcW w:w="2829" w:type="dxa"/>
            <w:vMerge w:val="restart"/>
          </w:tcPr>
          <w:p w14:paraId="1A052833" w14:textId="09A0A48D"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Приказ управления СК по охране ОКН от 30.09.2022 г. № 1159</w:t>
            </w:r>
          </w:p>
        </w:tc>
        <w:tc>
          <w:tcPr>
            <w:tcW w:w="1945" w:type="dxa"/>
            <w:vMerge w:val="restart"/>
            <w:vAlign w:val="center"/>
          </w:tcPr>
          <w:p w14:paraId="52E3F030" w14:textId="77777777" w:rsidR="00706447" w:rsidRPr="00731FE2" w:rsidRDefault="00706447" w:rsidP="00706447">
            <w:pPr>
              <w:ind w:firstLine="0"/>
              <w:jc w:val="center"/>
              <w:rPr>
                <w:rFonts w:ascii="Times New Roman" w:hAnsi="Times New Roman" w:cs="Times New Roman"/>
                <w:sz w:val="20"/>
                <w:szCs w:val="20"/>
              </w:rPr>
            </w:pPr>
            <w:r w:rsidRPr="00731FE2">
              <w:rPr>
                <w:rFonts w:ascii="Times New Roman" w:hAnsi="Times New Roman" w:cs="Times New Roman"/>
                <w:sz w:val="20"/>
                <w:szCs w:val="20"/>
              </w:rPr>
              <w:t>выявленный</w:t>
            </w:r>
          </w:p>
        </w:tc>
        <w:tc>
          <w:tcPr>
            <w:tcW w:w="2829" w:type="dxa"/>
            <w:vMerge w:val="restart"/>
          </w:tcPr>
          <w:p w14:paraId="0D823C1B"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Границы территории не утверждались</w:t>
            </w:r>
          </w:p>
        </w:tc>
      </w:tr>
      <w:tr w:rsidR="00706447" w:rsidRPr="00731FE2" w14:paraId="16468B18" w14:textId="77777777" w:rsidTr="00C837D3">
        <w:trPr>
          <w:trHeight w:val="708"/>
        </w:trPr>
        <w:tc>
          <w:tcPr>
            <w:tcW w:w="543" w:type="dxa"/>
            <w:vMerge w:val="restart"/>
          </w:tcPr>
          <w:p w14:paraId="70D80F6A" w14:textId="77777777" w:rsidR="00706447" w:rsidRPr="00731FE2" w:rsidRDefault="00706447" w:rsidP="003F00EB">
            <w:pPr>
              <w:pStyle w:val="a3"/>
              <w:numPr>
                <w:ilvl w:val="0"/>
                <w:numId w:val="129"/>
              </w:numPr>
              <w:ind w:left="0" w:firstLine="0"/>
              <w:jc w:val="center"/>
              <w:rPr>
                <w:rFonts w:ascii="Times New Roman" w:eastAsia="Times New Roman" w:hAnsi="Times New Roman" w:cs="Times New Roman"/>
                <w:sz w:val="20"/>
                <w:szCs w:val="20"/>
                <w:lang w:eastAsia="ru-RU"/>
              </w:rPr>
            </w:pPr>
          </w:p>
        </w:tc>
        <w:tc>
          <w:tcPr>
            <w:tcW w:w="2890" w:type="dxa"/>
            <w:vMerge w:val="restart"/>
          </w:tcPr>
          <w:p w14:paraId="2BD44E38"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Грязелечебница санатория «Крепость»</w:t>
            </w:r>
          </w:p>
        </w:tc>
        <w:tc>
          <w:tcPr>
            <w:tcW w:w="3889" w:type="dxa"/>
            <w:vMerge w:val="restart"/>
          </w:tcPr>
          <w:p w14:paraId="0AC985CD"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 xml:space="preserve">Ставропольский край, г. Кисловодск, просп. Мира/пер. Крепостной/ул. Парковый Пешеход, д. 11/3/7 (литер «Н»), </w:t>
            </w:r>
          </w:p>
        </w:tc>
        <w:tc>
          <w:tcPr>
            <w:tcW w:w="2829" w:type="dxa"/>
            <w:vMerge w:val="restart"/>
          </w:tcPr>
          <w:p w14:paraId="701EB993"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Приказ управления СК по охране ОКН 15.05.2017 № 126/2</w:t>
            </w:r>
          </w:p>
        </w:tc>
        <w:tc>
          <w:tcPr>
            <w:tcW w:w="1945" w:type="dxa"/>
            <w:vMerge w:val="restart"/>
            <w:vAlign w:val="center"/>
          </w:tcPr>
          <w:p w14:paraId="65C22DC4" w14:textId="77777777" w:rsidR="00706447" w:rsidRPr="00731FE2" w:rsidRDefault="00706447" w:rsidP="00706447">
            <w:pPr>
              <w:ind w:firstLine="0"/>
              <w:jc w:val="center"/>
              <w:rPr>
                <w:rFonts w:ascii="Times New Roman" w:hAnsi="Times New Roman" w:cs="Times New Roman"/>
                <w:sz w:val="20"/>
                <w:szCs w:val="20"/>
              </w:rPr>
            </w:pPr>
            <w:r w:rsidRPr="00731FE2">
              <w:rPr>
                <w:rFonts w:ascii="Times New Roman" w:hAnsi="Times New Roman" w:cs="Times New Roman"/>
                <w:sz w:val="20"/>
                <w:szCs w:val="20"/>
              </w:rPr>
              <w:t>выявленный</w:t>
            </w:r>
          </w:p>
        </w:tc>
        <w:tc>
          <w:tcPr>
            <w:tcW w:w="2829" w:type="dxa"/>
            <w:vMerge w:val="restart"/>
          </w:tcPr>
          <w:p w14:paraId="6562B1A9"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Границы территории не утверждались</w:t>
            </w:r>
          </w:p>
        </w:tc>
      </w:tr>
      <w:tr w:rsidR="00706447" w:rsidRPr="00731FE2" w14:paraId="2037B407" w14:textId="77777777" w:rsidTr="00C837D3">
        <w:trPr>
          <w:trHeight w:val="708"/>
        </w:trPr>
        <w:tc>
          <w:tcPr>
            <w:tcW w:w="543" w:type="dxa"/>
            <w:vMerge w:val="restart"/>
          </w:tcPr>
          <w:p w14:paraId="2B52E45F" w14:textId="77777777" w:rsidR="00706447" w:rsidRPr="00731FE2" w:rsidRDefault="00706447" w:rsidP="003F00EB">
            <w:pPr>
              <w:pStyle w:val="a3"/>
              <w:numPr>
                <w:ilvl w:val="0"/>
                <w:numId w:val="129"/>
              </w:numPr>
              <w:ind w:left="0" w:firstLine="0"/>
              <w:jc w:val="center"/>
              <w:rPr>
                <w:rFonts w:ascii="Times New Roman" w:eastAsia="Times New Roman" w:hAnsi="Times New Roman" w:cs="Times New Roman"/>
                <w:sz w:val="20"/>
                <w:szCs w:val="20"/>
                <w:lang w:eastAsia="ru-RU"/>
              </w:rPr>
            </w:pPr>
          </w:p>
        </w:tc>
        <w:tc>
          <w:tcPr>
            <w:tcW w:w="2890" w:type="dxa"/>
            <w:vMerge w:val="restart"/>
          </w:tcPr>
          <w:p w14:paraId="260FE362"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 xml:space="preserve">«Особняк», начало XX века </w:t>
            </w:r>
          </w:p>
        </w:tc>
        <w:tc>
          <w:tcPr>
            <w:tcW w:w="3889" w:type="dxa"/>
            <w:vMerge w:val="restart"/>
          </w:tcPr>
          <w:p w14:paraId="4A92FC65"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Ставропольский край, г. Кисловодск, ул. Ермолова, 8, литер «А»</w:t>
            </w:r>
          </w:p>
        </w:tc>
        <w:tc>
          <w:tcPr>
            <w:tcW w:w="2829" w:type="dxa"/>
            <w:vMerge w:val="restart"/>
          </w:tcPr>
          <w:p w14:paraId="03E987B6" w14:textId="2B38BBEF"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Приказ управления СК по охране ОКН 27 июня 2024 г. № 631</w:t>
            </w:r>
          </w:p>
        </w:tc>
        <w:tc>
          <w:tcPr>
            <w:tcW w:w="1945" w:type="dxa"/>
            <w:vMerge w:val="restart"/>
            <w:vAlign w:val="center"/>
          </w:tcPr>
          <w:p w14:paraId="3107FC80" w14:textId="77777777" w:rsidR="00706447" w:rsidRPr="00731FE2" w:rsidRDefault="00706447" w:rsidP="00706447">
            <w:pPr>
              <w:ind w:firstLine="0"/>
              <w:jc w:val="center"/>
              <w:rPr>
                <w:rFonts w:ascii="Times New Roman" w:hAnsi="Times New Roman" w:cs="Times New Roman"/>
                <w:sz w:val="20"/>
                <w:szCs w:val="20"/>
              </w:rPr>
            </w:pPr>
          </w:p>
        </w:tc>
        <w:tc>
          <w:tcPr>
            <w:tcW w:w="2829" w:type="dxa"/>
            <w:vMerge w:val="restart"/>
          </w:tcPr>
          <w:p w14:paraId="1A6E9ADC" w14:textId="77777777" w:rsidR="00706447" w:rsidRPr="00731FE2" w:rsidRDefault="00706447" w:rsidP="00706447">
            <w:pPr>
              <w:ind w:firstLine="0"/>
              <w:rPr>
                <w:rFonts w:ascii="Times New Roman" w:hAnsi="Times New Roman" w:cs="Times New Roman"/>
                <w:sz w:val="20"/>
                <w:szCs w:val="20"/>
              </w:rPr>
            </w:pPr>
          </w:p>
        </w:tc>
      </w:tr>
      <w:tr w:rsidR="00706447" w:rsidRPr="00731FE2" w14:paraId="3D908F8D" w14:textId="77777777" w:rsidTr="00C837D3">
        <w:trPr>
          <w:trHeight w:val="487"/>
        </w:trPr>
        <w:tc>
          <w:tcPr>
            <w:tcW w:w="543" w:type="dxa"/>
            <w:vMerge w:val="restart"/>
          </w:tcPr>
          <w:p w14:paraId="14023CAC" w14:textId="77777777" w:rsidR="00706447" w:rsidRPr="00731FE2" w:rsidRDefault="00706447" w:rsidP="003F00EB">
            <w:pPr>
              <w:pStyle w:val="a3"/>
              <w:numPr>
                <w:ilvl w:val="0"/>
                <w:numId w:val="129"/>
              </w:numPr>
              <w:ind w:left="0" w:firstLine="0"/>
              <w:jc w:val="center"/>
              <w:rPr>
                <w:rFonts w:ascii="Times New Roman" w:eastAsia="Times New Roman" w:hAnsi="Times New Roman" w:cs="Times New Roman"/>
                <w:sz w:val="20"/>
                <w:szCs w:val="20"/>
                <w:lang w:eastAsia="ru-RU"/>
              </w:rPr>
            </w:pPr>
          </w:p>
        </w:tc>
        <w:tc>
          <w:tcPr>
            <w:tcW w:w="2890" w:type="dxa"/>
            <w:vMerge w:val="restart"/>
          </w:tcPr>
          <w:p w14:paraId="34DE5AF1"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«Старо-Слободское кладбище», 1820-1914 гг.</w:t>
            </w:r>
          </w:p>
        </w:tc>
        <w:tc>
          <w:tcPr>
            <w:tcW w:w="3889" w:type="dxa"/>
            <w:vMerge w:val="restart"/>
          </w:tcPr>
          <w:p w14:paraId="51539BD4"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 xml:space="preserve"> Ставропольский край, г. Кисловодск, </w:t>
            </w:r>
            <w:r w:rsidRPr="00731FE2">
              <w:rPr>
                <w:rFonts w:ascii="Times New Roman" w:hAnsi="Times New Roman" w:cs="Times New Roman"/>
                <w:sz w:val="20"/>
                <w:szCs w:val="20"/>
              </w:rPr>
              <w:br/>
              <w:t>ул. Ермолова/ул. Кабардинская</w:t>
            </w:r>
          </w:p>
        </w:tc>
        <w:tc>
          <w:tcPr>
            <w:tcW w:w="2829" w:type="dxa"/>
            <w:vMerge w:val="restart"/>
          </w:tcPr>
          <w:p w14:paraId="0F8DEA69" w14:textId="3A8E76E6"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 xml:space="preserve">Приказ управления СК по охране ОКН от 28.12.2022 г. № 1632 </w:t>
            </w:r>
          </w:p>
        </w:tc>
        <w:tc>
          <w:tcPr>
            <w:tcW w:w="1945" w:type="dxa"/>
            <w:vMerge w:val="restart"/>
            <w:vAlign w:val="center"/>
          </w:tcPr>
          <w:p w14:paraId="5266822E" w14:textId="77777777" w:rsidR="00706447" w:rsidRPr="00731FE2" w:rsidRDefault="00706447" w:rsidP="00706447">
            <w:pPr>
              <w:ind w:firstLine="0"/>
              <w:jc w:val="center"/>
              <w:rPr>
                <w:rFonts w:ascii="Times New Roman" w:hAnsi="Times New Roman" w:cs="Times New Roman"/>
                <w:sz w:val="20"/>
                <w:szCs w:val="20"/>
              </w:rPr>
            </w:pPr>
          </w:p>
        </w:tc>
        <w:tc>
          <w:tcPr>
            <w:tcW w:w="2829" w:type="dxa"/>
            <w:vMerge w:val="restart"/>
          </w:tcPr>
          <w:p w14:paraId="419CF5DA" w14:textId="77777777" w:rsidR="00706447" w:rsidRPr="00731FE2" w:rsidRDefault="00706447" w:rsidP="00706447">
            <w:pPr>
              <w:ind w:firstLine="0"/>
              <w:rPr>
                <w:rFonts w:ascii="Times New Roman" w:hAnsi="Times New Roman" w:cs="Times New Roman"/>
                <w:sz w:val="20"/>
                <w:szCs w:val="20"/>
              </w:rPr>
            </w:pPr>
          </w:p>
        </w:tc>
      </w:tr>
      <w:tr w:rsidR="00706447" w:rsidRPr="00731FE2" w14:paraId="0EFE7009" w14:textId="77777777" w:rsidTr="00C837D3">
        <w:trPr>
          <w:trHeight w:val="708"/>
        </w:trPr>
        <w:tc>
          <w:tcPr>
            <w:tcW w:w="543" w:type="dxa"/>
            <w:vMerge w:val="restart"/>
          </w:tcPr>
          <w:p w14:paraId="6DDFE884" w14:textId="77777777" w:rsidR="00706447" w:rsidRPr="00731FE2" w:rsidRDefault="00706447" w:rsidP="003F00EB">
            <w:pPr>
              <w:pStyle w:val="a3"/>
              <w:numPr>
                <w:ilvl w:val="0"/>
                <w:numId w:val="129"/>
              </w:numPr>
              <w:ind w:left="0" w:firstLine="0"/>
              <w:jc w:val="center"/>
              <w:rPr>
                <w:rFonts w:ascii="Times New Roman" w:eastAsia="Times New Roman" w:hAnsi="Times New Roman" w:cs="Times New Roman"/>
                <w:sz w:val="20"/>
                <w:szCs w:val="20"/>
                <w:lang w:eastAsia="ru-RU"/>
              </w:rPr>
            </w:pPr>
          </w:p>
        </w:tc>
        <w:tc>
          <w:tcPr>
            <w:tcW w:w="2890" w:type="dxa"/>
            <w:vMerge w:val="restart"/>
          </w:tcPr>
          <w:p w14:paraId="41E7F70E"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 xml:space="preserve">«Дача А.И. Манташева», начало XX века </w:t>
            </w:r>
          </w:p>
        </w:tc>
        <w:tc>
          <w:tcPr>
            <w:tcW w:w="3889" w:type="dxa"/>
            <w:vMerge w:val="restart"/>
          </w:tcPr>
          <w:p w14:paraId="7AFDAB86"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Ставропольский край, г. Кисловодск, ул. Володарского, 4, литер А</w:t>
            </w:r>
          </w:p>
        </w:tc>
        <w:tc>
          <w:tcPr>
            <w:tcW w:w="2829" w:type="dxa"/>
            <w:vMerge w:val="restart"/>
          </w:tcPr>
          <w:p w14:paraId="70AA32E8" w14:textId="6D1A5625"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Приказ управления СК по охране ОКН   24 июля 2024 г. № 729</w:t>
            </w:r>
          </w:p>
        </w:tc>
        <w:tc>
          <w:tcPr>
            <w:tcW w:w="1945" w:type="dxa"/>
            <w:vMerge w:val="restart"/>
            <w:vAlign w:val="center"/>
          </w:tcPr>
          <w:p w14:paraId="4C6FD89B" w14:textId="77777777" w:rsidR="00706447" w:rsidRPr="00731FE2" w:rsidRDefault="00706447" w:rsidP="00706447">
            <w:pPr>
              <w:ind w:firstLine="0"/>
              <w:jc w:val="center"/>
              <w:rPr>
                <w:rFonts w:ascii="Times New Roman" w:hAnsi="Times New Roman" w:cs="Times New Roman"/>
                <w:sz w:val="20"/>
                <w:szCs w:val="20"/>
              </w:rPr>
            </w:pPr>
          </w:p>
        </w:tc>
        <w:tc>
          <w:tcPr>
            <w:tcW w:w="2829" w:type="dxa"/>
            <w:vMerge w:val="restart"/>
          </w:tcPr>
          <w:p w14:paraId="79D5828E" w14:textId="77777777" w:rsidR="00706447" w:rsidRPr="00731FE2" w:rsidRDefault="00706447" w:rsidP="00706447">
            <w:pPr>
              <w:ind w:firstLine="0"/>
              <w:rPr>
                <w:rFonts w:ascii="Times New Roman" w:hAnsi="Times New Roman" w:cs="Times New Roman"/>
                <w:sz w:val="20"/>
                <w:szCs w:val="20"/>
              </w:rPr>
            </w:pPr>
          </w:p>
        </w:tc>
      </w:tr>
      <w:tr w:rsidR="00706447" w:rsidRPr="00731FE2" w14:paraId="799DE112" w14:textId="77777777" w:rsidTr="00C837D3">
        <w:trPr>
          <w:trHeight w:val="548"/>
        </w:trPr>
        <w:tc>
          <w:tcPr>
            <w:tcW w:w="543" w:type="dxa"/>
            <w:vMerge w:val="restart"/>
          </w:tcPr>
          <w:p w14:paraId="521CB2DB" w14:textId="77777777" w:rsidR="00706447" w:rsidRPr="00731FE2" w:rsidRDefault="00706447" w:rsidP="003F00EB">
            <w:pPr>
              <w:pStyle w:val="a3"/>
              <w:numPr>
                <w:ilvl w:val="0"/>
                <w:numId w:val="129"/>
              </w:numPr>
              <w:ind w:left="0" w:firstLine="0"/>
              <w:jc w:val="center"/>
              <w:rPr>
                <w:rFonts w:ascii="Times New Roman" w:eastAsia="Times New Roman" w:hAnsi="Times New Roman" w:cs="Times New Roman"/>
                <w:sz w:val="20"/>
                <w:szCs w:val="20"/>
                <w:lang w:eastAsia="ru-RU"/>
              </w:rPr>
            </w:pPr>
          </w:p>
        </w:tc>
        <w:tc>
          <w:tcPr>
            <w:tcW w:w="2890" w:type="dxa"/>
            <w:vMerge w:val="restart"/>
          </w:tcPr>
          <w:p w14:paraId="32064E21"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 xml:space="preserve">«Дача Купца Шапошникова», </w:t>
            </w:r>
          </w:p>
          <w:p w14:paraId="36F02846"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начало ХХ в.</w:t>
            </w:r>
          </w:p>
        </w:tc>
        <w:tc>
          <w:tcPr>
            <w:tcW w:w="3889" w:type="dxa"/>
            <w:vMerge w:val="restart"/>
          </w:tcPr>
          <w:p w14:paraId="70AA762D" w14:textId="7CC15CA3" w:rsidR="00706447" w:rsidRPr="00731FE2" w:rsidRDefault="00706447" w:rsidP="00F42017">
            <w:pPr>
              <w:ind w:firstLine="0"/>
              <w:rPr>
                <w:rFonts w:ascii="Times New Roman" w:hAnsi="Times New Roman" w:cs="Times New Roman"/>
                <w:sz w:val="20"/>
                <w:szCs w:val="20"/>
              </w:rPr>
            </w:pPr>
            <w:r w:rsidRPr="00731FE2">
              <w:rPr>
                <w:rFonts w:ascii="Times New Roman" w:hAnsi="Times New Roman" w:cs="Times New Roman"/>
                <w:sz w:val="20"/>
                <w:szCs w:val="20"/>
              </w:rPr>
              <w:t>Ставропольский край, г. Кисловодск, ул. Дводненко/пер. Дачный, д. 21/1»</w:t>
            </w:r>
          </w:p>
        </w:tc>
        <w:tc>
          <w:tcPr>
            <w:tcW w:w="2829" w:type="dxa"/>
            <w:vMerge w:val="restart"/>
          </w:tcPr>
          <w:p w14:paraId="56849282"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 xml:space="preserve">Приказ управления СК по охране ОКН от 21 декабря 2023 г. № 1232  </w:t>
            </w:r>
          </w:p>
        </w:tc>
        <w:tc>
          <w:tcPr>
            <w:tcW w:w="1945" w:type="dxa"/>
            <w:vMerge w:val="restart"/>
            <w:vAlign w:val="center"/>
          </w:tcPr>
          <w:p w14:paraId="36F5704D" w14:textId="77777777" w:rsidR="00706447" w:rsidRPr="00731FE2" w:rsidRDefault="00706447" w:rsidP="00706447">
            <w:pPr>
              <w:ind w:firstLine="0"/>
              <w:jc w:val="center"/>
              <w:rPr>
                <w:rFonts w:ascii="Times New Roman" w:hAnsi="Times New Roman" w:cs="Times New Roman"/>
                <w:sz w:val="20"/>
                <w:szCs w:val="20"/>
              </w:rPr>
            </w:pPr>
            <w:r w:rsidRPr="00731FE2">
              <w:rPr>
                <w:rFonts w:ascii="Times New Roman" w:hAnsi="Times New Roman" w:cs="Times New Roman"/>
                <w:sz w:val="20"/>
                <w:szCs w:val="20"/>
              </w:rPr>
              <w:t>выявленный</w:t>
            </w:r>
          </w:p>
        </w:tc>
        <w:tc>
          <w:tcPr>
            <w:tcW w:w="2829" w:type="dxa"/>
            <w:vMerge w:val="restart"/>
          </w:tcPr>
          <w:p w14:paraId="00E2031B"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Границы территории не утверждались</w:t>
            </w:r>
          </w:p>
        </w:tc>
      </w:tr>
      <w:tr w:rsidR="00706447" w:rsidRPr="00731FE2" w14:paraId="131F36CE" w14:textId="77777777" w:rsidTr="00C837D3">
        <w:trPr>
          <w:trHeight w:val="798"/>
        </w:trPr>
        <w:tc>
          <w:tcPr>
            <w:tcW w:w="543" w:type="dxa"/>
            <w:vMerge w:val="restart"/>
          </w:tcPr>
          <w:p w14:paraId="38D06D92" w14:textId="77777777" w:rsidR="00706447" w:rsidRPr="00731FE2" w:rsidRDefault="00706447" w:rsidP="003F00EB">
            <w:pPr>
              <w:pStyle w:val="a3"/>
              <w:numPr>
                <w:ilvl w:val="0"/>
                <w:numId w:val="129"/>
              </w:numPr>
              <w:ind w:left="0" w:firstLine="0"/>
              <w:jc w:val="center"/>
              <w:rPr>
                <w:rFonts w:ascii="Times New Roman" w:eastAsia="Times New Roman" w:hAnsi="Times New Roman" w:cs="Times New Roman"/>
                <w:sz w:val="20"/>
                <w:szCs w:val="20"/>
                <w:lang w:eastAsia="ru-RU"/>
              </w:rPr>
            </w:pPr>
          </w:p>
        </w:tc>
        <w:tc>
          <w:tcPr>
            <w:tcW w:w="2890" w:type="dxa"/>
            <w:vMerge w:val="restart"/>
          </w:tcPr>
          <w:p w14:paraId="2F084CFC"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Поселение "Автовокзал-2"</w:t>
            </w:r>
          </w:p>
        </w:tc>
        <w:tc>
          <w:tcPr>
            <w:tcW w:w="3889" w:type="dxa"/>
            <w:vMerge w:val="restart"/>
          </w:tcPr>
          <w:p w14:paraId="6C7E3C4E" w14:textId="1FB4C4EA"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Ставропольский край, г. Кисловодск, на мысу первой высокой террасы левого берега р. Подкумок, в 1 км восточнее городского автовокзала г. Кисловодска</w:t>
            </w:r>
          </w:p>
        </w:tc>
        <w:tc>
          <w:tcPr>
            <w:tcW w:w="2829" w:type="dxa"/>
            <w:vMerge w:val="restart"/>
          </w:tcPr>
          <w:p w14:paraId="41DC7798"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приказ министра культуры СК от 13.02.2006 г. № 6</w:t>
            </w:r>
          </w:p>
        </w:tc>
        <w:tc>
          <w:tcPr>
            <w:tcW w:w="1945" w:type="dxa"/>
            <w:vMerge w:val="restart"/>
            <w:vAlign w:val="center"/>
          </w:tcPr>
          <w:p w14:paraId="41E4D46A" w14:textId="77777777" w:rsidR="00706447" w:rsidRPr="00731FE2" w:rsidRDefault="00706447" w:rsidP="00706447">
            <w:pPr>
              <w:ind w:firstLine="0"/>
              <w:jc w:val="center"/>
              <w:rPr>
                <w:rFonts w:ascii="Times New Roman" w:hAnsi="Times New Roman" w:cs="Times New Roman"/>
                <w:sz w:val="20"/>
                <w:szCs w:val="20"/>
              </w:rPr>
            </w:pPr>
            <w:r w:rsidRPr="00731FE2">
              <w:rPr>
                <w:rFonts w:ascii="Times New Roman" w:hAnsi="Times New Roman" w:cs="Times New Roman"/>
                <w:sz w:val="20"/>
                <w:szCs w:val="20"/>
              </w:rPr>
              <w:t>выявленный</w:t>
            </w:r>
          </w:p>
        </w:tc>
        <w:tc>
          <w:tcPr>
            <w:tcW w:w="2829" w:type="dxa"/>
            <w:vMerge w:val="restart"/>
          </w:tcPr>
          <w:p w14:paraId="02B5CA51" w14:textId="2667B018"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 xml:space="preserve">приказом управления от 24.01.2024 № 97 утверждены границы территории выявленного объекта культурного наследия </w:t>
            </w:r>
          </w:p>
        </w:tc>
      </w:tr>
      <w:tr w:rsidR="00706447" w:rsidRPr="00731FE2" w14:paraId="7A074790" w14:textId="77777777" w:rsidTr="00C837D3">
        <w:trPr>
          <w:trHeight w:val="809"/>
        </w:trPr>
        <w:tc>
          <w:tcPr>
            <w:tcW w:w="543" w:type="dxa"/>
            <w:vMerge w:val="restart"/>
          </w:tcPr>
          <w:p w14:paraId="2F864B37" w14:textId="77777777" w:rsidR="00706447" w:rsidRPr="00731FE2" w:rsidRDefault="00706447" w:rsidP="003F00EB">
            <w:pPr>
              <w:pStyle w:val="a3"/>
              <w:numPr>
                <w:ilvl w:val="0"/>
                <w:numId w:val="129"/>
              </w:numPr>
              <w:ind w:left="0" w:firstLine="0"/>
              <w:jc w:val="center"/>
              <w:rPr>
                <w:rFonts w:ascii="Times New Roman" w:eastAsia="Times New Roman" w:hAnsi="Times New Roman" w:cs="Times New Roman"/>
                <w:sz w:val="20"/>
                <w:szCs w:val="20"/>
                <w:lang w:eastAsia="ru-RU"/>
              </w:rPr>
            </w:pPr>
          </w:p>
        </w:tc>
        <w:tc>
          <w:tcPr>
            <w:tcW w:w="2890" w:type="dxa"/>
            <w:vMerge w:val="restart"/>
          </w:tcPr>
          <w:p w14:paraId="4E00474F"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Могильник "Луначарский-3"</w:t>
            </w:r>
          </w:p>
        </w:tc>
        <w:tc>
          <w:tcPr>
            <w:tcW w:w="3889" w:type="dxa"/>
            <w:vMerge w:val="restart"/>
          </w:tcPr>
          <w:p w14:paraId="7BBC82BA"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Ставропольский край, г. Кисловодск, поселок Луначарский, холм к востоку от могильника"Луначарский-1" в 200 метрах, справа от дороги к школе №12</w:t>
            </w:r>
          </w:p>
        </w:tc>
        <w:tc>
          <w:tcPr>
            <w:tcW w:w="2829" w:type="dxa"/>
            <w:vMerge w:val="restart"/>
          </w:tcPr>
          <w:p w14:paraId="09F02265"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приказ министра культуры Ставропольского края от 22.02.2008 г. №96</w:t>
            </w:r>
          </w:p>
        </w:tc>
        <w:tc>
          <w:tcPr>
            <w:tcW w:w="1945" w:type="dxa"/>
            <w:vMerge w:val="restart"/>
            <w:vAlign w:val="center"/>
          </w:tcPr>
          <w:p w14:paraId="5C6423E1" w14:textId="77777777" w:rsidR="00706447" w:rsidRPr="00731FE2" w:rsidRDefault="00706447" w:rsidP="00706447">
            <w:pPr>
              <w:ind w:firstLine="0"/>
              <w:jc w:val="center"/>
              <w:rPr>
                <w:rFonts w:ascii="Times New Roman" w:hAnsi="Times New Roman" w:cs="Times New Roman"/>
                <w:sz w:val="20"/>
                <w:szCs w:val="20"/>
              </w:rPr>
            </w:pPr>
            <w:r w:rsidRPr="00731FE2">
              <w:rPr>
                <w:rFonts w:ascii="Times New Roman" w:hAnsi="Times New Roman" w:cs="Times New Roman"/>
                <w:sz w:val="20"/>
                <w:szCs w:val="20"/>
              </w:rPr>
              <w:t>выявленный</w:t>
            </w:r>
          </w:p>
        </w:tc>
        <w:tc>
          <w:tcPr>
            <w:tcW w:w="2829" w:type="dxa"/>
            <w:vMerge w:val="restart"/>
          </w:tcPr>
          <w:p w14:paraId="08C14882"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Приказом управления от 19.01.2024 № 71 утверждены границы территории объекта культурного наследия</w:t>
            </w:r>
          </w:p>
        </w:tc>
      </w:tr>
      <w:tr w:rsidR="00706447" w:rsidRPr="00731FE2" w14:paraId="1516D878" w14:textId="77777777" w:rsidTr="00C837D3">
        <w:trPr>
          <w:trHeight w:val="778"/>
        </w:trPr>
        <w:tc>
          <w:tcPr>
            <w:tcW w:w="543" w:type="dxa"/>
            <w:vMerge w:val="restart"/>
          </w:tcPr>
          <w:p w14:paraId="04516331" w14:textId="77777777" w:rsidR="00706447" w:rsidRPr="00731FE2" w:rsidRDefault="00706447" w:rsidP="003F00EB">
            <w:pPr>
              <w:pStyle w:val="a3"/>
              <w:numPr>
                <w:ilvl w:val="0"/>
                <w:numId w:val="129"/>
              </w:numPr>
              <w:ind w:left="0" w:firstLine="0"/>
              <w:jc w:val="center"/>
              <w:rPr>
                <w:rFonts w:ascii="Times New Roman" w:eastAsia="Times New Roman" w:hAnsi="Times New Roman" w:cs="Times New Roman"/>
                <w:sz w:val="20"/>
                <w:szCs w:val="20"/>
                <w:lang w:eastAsia="ru-RU"/>
              </w:rPr>
            </w:pPr>
          </w:p>
        </w:tc>
        <w:tc>
          <w:tcPr>
            <w:tcW w:w="2890" w:type="dxa"/>
            <w:vMerge w:val="restart"/>
          </w:tcPr>
          <w:p w14:paraId="4156F64A"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Грунтовый могильник"Высокогорный-1"</w:t>
            </w:r>
          </w:p>
        </w:tc>
        <w:tc>
          <w:tcPr>
            <w:tcW w:w="3889" w:type="dxa"/>
            <w:vMerge w:val="restart"/>
          </w:tcPr>
          <w:p w14:paraId="40334428"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Ставропольский край, Предгорный район, на южной окраине пос. Высокогорный, примерно в 4 км на юго-восток от г. Кисловодска</w:t>
            </w:r>
          </w:p>
        </w:tc>
        <w:tc>
          <w:tcPr>
            <w:tcW w:w="2829" w:type="dxa"/>
            <w:vMerge w:val="restart"/>
          </w:tcPr>
          <w:p w14:paraId="09CA931E"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приказ министра культуры Ставропольского края от 22.02.2008 г. №96</w:t>
            </w:r>
          </w:p>
          <w:p w14:paraId="3B7A9E8B" w14:textId="77777777" w:rsidR="00706447" w:rsidRPr="00731FE2" w:rsidRDefault="00706447" w:rsidP="00706447">
            <w:pPr>
              <w:ind w:firstLine="0"/>
              <w:rPr>
                <w:rFonts w:ascii="Times New Roman" w:hAnsi="Times New Roman" w:cs="Times New Roman"/>
                <w:sz w:val="20"/>
                <w:szCs w:val="20"/>
              </w:rPr>
            </w:pPr>
          </w:p>
        </w:tc>
        <w:tc>
          <w:tcPr>
            <w:tcW w:w="1945" w:type="dxa"/>
            <w:vMerge w:val="restart"/>
            <w:vAlign w:val="center"/>
          </w:tcPr>
          <w:p w14:paraId="6A21209F" w14:textId="77777777" w:rsidR="00706447" w:rsidRPr="00731FE2" w:rsidRDefault="00706447" w:rsidP="00706447">
            <w:pPr>
              <w:ind w:firstLine="0"/>
              <w:jc w:val="center"/>
              <w:rPr>
                <w:rFonts w:ascii="Times New Roman" w:hAnsi="Times New Roman" w:cs="Times New Roman"/>
                <w:sz w:val="20"/>
                <w:szCs w:val="20"/>
              </w:rPr>
            </w:pPr>
            <w:r w:rsidRPr="00731FE2">
              <w:rPr>
                <w:rFonts w:ascii="Times New Roman" w:hAnsi="Times New Roman" w:cs="Times New Roman"/>
                <w:sz w:val="20"/>
                <w:szCs w:val="20"/>
              </w:rPr>
              <w:t>выявленный</w:t>
            </w:r>
          </w:p>
        </w:tc>
        <w:tc>
          <w:tcPr>
            <w:tcW w:w="2829" w:type="dxa"/>
            <w:vMerge w:val="restart"/>
          </w:tcPr>
          <w:p w14:paraId="13ED63B5"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Границы территории объекта культурного наследия не утверждались</w:t>
            </w:r>
          </w:p>
        </w:tc>
      </w:tr>
      <w:tr w:rsidR="00706447" w:rsidRPr="00731FE2" w14:paraId="519FBA86" w14:textId="77777777" w:rsidTr="00C837D3">
        <w:trPr>
          <w:trHeight w:val="424"/>
        </w:trPr>
        <w:tc>
          <w:tcPr>
            <w:tcW w:w="543" w:type="dxa"/>
            <w:vMerge w:val="restart"/>
          </w:tcPr>
          <w:p w14:paraId="287B3289" w14:textId="77777777" w:rsidR="00706447" w:rsidRPr="00731FE2" w:rsidRDefault="00706447" w:rsidP="003F00EB">
            <w:pPr>
              <w:pStyle w:val="a3"/>
              <w:numPr>
                <w:ilvl w:val="0"/>
                <w:numId w:val="129"/>
              </w:numPr>
              <w:ind w:left="0" w:firstLine="0"/>
              <w:jc w:val="center"/>
              <w:rPr>
                <w:rFonts w:ascii="Times New Roman" w:eastAsia="Times New Roman" w:hAnsi="Times New Roman" w:cs="Times New Roman"/>
                <w:sz w:val="20"/>
                <w:szCs w:val="20"/>
                <w:lang w:eastAsia="ru-RU"/>
              </w:rPr>
            </w:pPr>
          </w:p>
        </w:tc>
        <w:tc>
          <w:tcPr>
            <w:tcW w:w="2890" w:type="dxa"/>
            <w:vMerge w:val="restart"/>
          </w:tcPr>
          <w:p w14:paraId="194E7B6D"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Поселение у санатория "Москва"</w:t>
            </w:r>
          </w:p>
        </w:tc>
        <w:tc>
          <w:tcPr>
            <w:tcW w:w="3889" w:type="dxa"/>
            <w:vMerge w:val="restart"/>
          </w:tcPr>
          <w:p w14:paraId="72E1CD46"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Ставропольский край, г. Кисловодск, на южной возвышенности склона, занимаемом санаторием "Москва"</w:t>
            </w:r>
          </w:p>
        </w:tc>
        <w:tc>
          <w:tcPr>
            <w:tcW w:w="2829" w:type="dxa"/>
            <w:vMerge w:val="restart"/>
          </w:tcPr>
          <w:p w14:paraId="5B8CFDF9"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приказ министра культуры Ставропольского края от 22.02.2008 г. №96</w:t>
            </w:r>
          </w:p>
        </w:tc>
        <w:tc>
          <w:tcPr>
            <w:tcW w:w="1945" w:type="dxa"/>
            <w:vMerge w:val="restart"/>
            <w:vAlign w:val="center"/>
          </w:tcPr>
          <w:p w14:paraId="4AF829ED" w14:textId="77777777" w:rsidR="00706447" w:rsidRPr="00731FE2" w:rsidRDefault="00706447" w:rsidP="00706447">
            <w:pPr>
              <w:ind w:firstLine="0"/>
              <w:jc w:val="center"/>
              <w:rPr>
                <w:rFonts w:ascii="Times New Roman" w:hAnsi="Times New Roman" w:cs="Times New Roman"/>
                <w:sz w:val="20"/>
                <w:szCs w:val="20"/>
              </w:rPr>
            </w:pPr>
            <w:r w:rsidRPr="00731FE2">
              <w:rPr>
                <w:rFonts w:ascii="Times New Roman" w:hAnsi="Times New Roman" w:cs="Times New Roman"/>
                <w:sz w:val="20"/>
                <w:szCs w:val="20"/>
              </w:rPr>
              <w:t>выявленный</w:t>
            </w:r>
          </w:p>
        </w:tc>
        <w:tc>
          <w:tcPr>
            <w:tcW w:w="2829" w:type="dxa"/>
            <w:vMerge w:val="restart"/>
          </w:tcPr>
          <w:p w14:paraId="2D6D353A"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Приказом управления от 19.01.2024 № 72 утверждены границы территории объекта культурного наследия</w:t>
            </w:r>
          </w:p>
        </w:tc>
      </w:tr>
      <w:tr w:rsidR="00706447" w:rsidRPr="00731FE2" w14:paraId="21E4EFBB" w14:textId="77777777" w:rsidTr="00C837D3">
        <w:trPr>
          <w:trHeight w:val="283"/>
        </w:trPr>
        <w:tc>
          <w:tcPr>
            <w:tcW w:w="543" w:type="dxa"/>
            <w:vMerge w:val="restart"/>
          </w:tcPr>
          <w:p w14:paraId="77C39951" w14:textId="77777777" w:rsidR="00706447" w:rsidRPr="00731FE2" w:rsidRDefault="00706447" w:rsidP="003F00EB">
            <w:pPr>
              <w:pStyle w:val="a3"/>
              <w:numPr>
                <w:ilvl w:val="0"/>
                <w:numId w:val="129"/>
              </w:numPr>
              <w:ind w:left="0" w:firstLine="0"/>
              <w:jc w:val="center"/>
              <w:rPr>
                <w:rFonts w:ascii="Times New Roman" w:eastAsia="Times New Roman" w:hAnsi="Times New Roman" w:cs="Times New Roman"/>
                <w:sz w:val="20"/>
                <w:szCs w:val="20"/>
                <w:lang w:eastAsia="ru-RU"/>
              </w:rPr>
            </w:pPr>
          </w:p>
        </w:tc>
        <w:tc>
          <w:tcPr>
            <w:tcW w:w="2890" w:type="dxa"/>
            <w:vMerge w:val="restart"/>
          </w:tcPr>
          <w:p w14:paraId="25DDB52F"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Поселение "ГПТУ-29"</w:t>
            </w:r>
          </w:p>
        </w:tc>
        <w:tc>
          <w:tcPr>
            <w:tcW w:w="3889" w:type="dxa"/>
            <w:vMerge w:val="restart"/>
          </w:tcPr>
          <w:p w14:paraId="457C902F"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Ставропольский край, г. Кисловодск, на территории ГПТУ-29, на мысу, возле кургана N 2 курганного могильника "ГПТУ-29"</w:t>
            </w:r>
          </w:p>
        </w:tc>
        <w:tc>
          <w:tcPr>
            <w:tcW w:w="2829" w:type="dxa"/>
            <w:vMerge w:val="restart"/>
          </w:tcPr>
          <w:p w14:paraId="56B4392F"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приказ министра культуры Ставропольского края от 22.02.2008 г. №96</w:t>
            </w:r>
          </w:p>
        </w:tc>
        <w:tc>
          <w:tcPr>
            <w:tcW w:w="1945" w:type="dxa"/>
            <w:vMerge w:val="restart"/>
            <w:vAlign w:val="center"/>
          </w:tcPr>
          <w:p w14:paraId="5B029F4F" w14:textId="77777777" w:rsidR="00706447" w:rsidRPr="00731FE2" w:rsidRDefault="00706447" w:rsidP="00706447">
            <w:pPr>
              <w:ind w:firstLine="0"/>
              <w:jc w:val="center"/>
              <w:rPr>
                <w:rFonts w:ascii="Times New Roman" w:hAnsi="Times New Roman" w:cs="Times New Roman"/>
                <w:sz w:val="20"/>
                <w:szCs w:val="20"/>
              </w:rPr>
            </w:pPr>
            <w:r w:rsidRPr="00731FE2">
              <w:rPr>
                <w:rFonts w:ascii="Times New Roman" w:hAnsi="Times New Roman" w:cs="Times New Roman"/>
                <w:sz w:val="20"/>
                <w:szCs w:val="20"/>
              </w:rPr>
              <w:t>выявленный</w:t>
            </w:r>
          </w:p>
        </w:tc>
        <w:tc>
          <w:tcPr>
            <w:tcW w:w="2829" w:type="dxa"/>
            <w:vMerge w:val="restart"/>
          </w:tcPr>
          <w:p w14:paraId="0EA66E5F"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Приказом управления от 19.01.2024 № 73 утверждены границы территории объекта культурного наследия</w:t>
            </w:r>
          </w:p>
        </w:tc>
      </w:tr>
      <w:tr w:rsidR="00706447" w:rsidRPr="00731FE2" w14:paraId="5B04F875" w14:textId="77777777" w:rsidTr="00C837D3">
        <w:trPr>
          <w:trHeight w:val="830"/>
        </w:trPr>
        <w:tc>
          <w:tcPr>
            <w:tcW w:w="543" w:type="dxa"/>
            <w:vMerge w:val="restart"/>
          </w:tcPr>
          <w:p w14:paraId="66CD9BC5" w14:textId="77777777" w:rsidR="00706447" w:rsidRPr="00731FE2" w:rsidRDefault="00706447" w:rsidP="003F00EB">
            <w:pPr>
              <w:pStyle w:val="a3"/>
              <w:numPr>
                <w:ilvl w:val="0"/>
                <w:numId w:val="129"/>
              </w:numPr>
              <w:ind w:left="0" w:firstLine="0"/>
              <w:jc w:val="center"/>
              <w:rPr>
                <w:rFonts w:ascii="Times New Roman" w:eastAsia="Times New Roman" w:hAnsi="Times New Roman" w:cs="Times New Roman"/>
                <w:sz w:val="20"/>
                <w:szCs w:val="20"/>
                <w:lang w:eastAsia="ru-RU"/>
              </w:rPr>
            </w:pPr>
          </w:p>
        </w:tc>
        <w:tc>
          <w:tcPr>
            <w:tcW w:w="2890" w:type="dxa"/>
            <w:vMerge w:val="restart"/>
          </w:tcPr>
          <w:p w14:paraId="78DDAF4D"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Могильник "Нарзанный"</w:t>
            </w:r>
          </w:p>
        </w:tc>
        <w:tc>
          <w:tcPr>
            <w:tcW w:w="3889" w:type="dxa"/>
            <w:vMerge w:val="restart"/>
          </w:tcPr>
          <w:p w14:paraId="6B9B1BE6"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Ставропольский край, г. Кисловодск, северо-восточная окраина п. Нарзанный, справа от дороги в г. Кисловодск, в 150 м от автобусной остановки</w:t>
            </w:r>
          </w:p>
        </w:tc>
        <w:tc>
          <w:tcPr>
            <w:tcW w:w="2829" w:type="dxa"/>
            <w:vMerge w:val="restart"/>
          </w:tcPr>
          <w:p w14:paraId="388A3B5E"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приказ министра культуры Ставропольского края от 22.02.2008 г. №96</w:t>
            </w:r>
          </w:p>
        </w:tc>
        <w:tc>
          <w:tcPr>
            <w:tcW w:w="1945" w:type="dxa"/>
            <w:vMerge w:val="restart"/>
            <w:vAlign w:val="center"/>
          </w:tcPr>
          <w:p w14:paraId="2A1465E2" w14:textId="77777777" w:rsidR="00706447" w:rsidRPr="00731FE2" w:rsidRDefault="00706447" w:rsidP="00706447">
            <w:pPr>
              <w:ind w:firstLine="0"/>
              <w:jc w:val="center"/>
              <w:rPr>
                <w:rFonts w:ascii="Times New Roman" w:hAnsi="Times New Roman" w:cs="Times New Roman"/>
                <w:sz w:val="20"/>
                <w:szCs w:val="20"/>
              </w:rPr>
            </w:pPr>
            <w:r w:rsidRPr="00731FE2">
              <w:rPr>
                <w:rFonts w:ascii="Times New Roman" w:hAnsi="Times New Roman" w:cs="Times New Roman"/>
                <w:sz w:val="20"/>
                <w:szCs w:val="20"/>
              </w:rPr>
              <w:t>выявленный</w:t>
            </w:r>
          </w:p>
        </w:tc>
        <w:tc>
          <w:tcPr>
            <w:tcW w:w="2829" w:type="dxa"/>
            <w:vMerge w:val="restart"/>
          </w:tcPr>
          <w:p w14:paraId="6B9555AF"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Границы территории объекта культурного наследия не утверждались</w:t>
            </w:r>
          </w:p>
        </w:tc>
      </w:tr>
      <w:tr w:rsidR="00706447" w:rsidRPr="00731FE2" w14:paraId="58282A1A" w14:textId="77777777" w:rsidTr="00C837D3">
        <w:trPr>
          <w:trHeight w:val="708"/>
        </w:trPr>
        <w:tc>
          <w:tcPr>
            <w:tcW w:w="543" w:type="dxa"/>
            <w:vMerge w:val="restart"/>
          </w:tcPr>
          <w:p w14:paraId="68BC9145" w14:textId="77777777" w:rsidR="00706447" w:rsidRPr="00731FE2" w:rsidRDefault="00706447" w:rsidP="003F00EB">
            <w:pPr>
              <w:pStyle w:val="a3"/>
              <w:numPr>
                <w:ilvl w:val="0"/>
                <w:numId w:val="129"/>
              </w:numPr>
              <w:ind w:left="0" w:firstLine="0"/>
              <w:jc w:val="center"/>
              <w:rPr>
                <w:rFonts w:ascii="Times New Roman" w:eastAsia="Times New Roman" w:hAnsi="Times New Roman" w:cs="Times New Roman"/>
                <w:sz w:val="20"/>
                <w:szCs w:val="20"/>
                <w:lang w:eastAsia="ru-RU"/>
              </w:rPr>
            </w:pPr>
          </w:p>
        </w:tc>
        <w:tc>
          <w:tcPr>
            <w:tcW w:w="2890" w:type="dxa"/>
            <w:vMerge w:val="restart"/>
          </w:tcPr>
          <w:p w14:paraId="251DEC12"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Поселение у Кабан-гора</w:t>
            </w:r>
          </w:p>
        </w:tc>
        <w:tc>
          <w:tcPr>
            <w:tcW w:w="3889" w:type="dxa"/>
            <w:vMerge w:val="restart"/>
          </w:tcPr>
          <w:p w14:paraId="07F62684"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Ставропольский край, г. Кисловодск, юго-западный отрог Кабан-горы, возле ПАТП N 1, на площадке за укреплением "Кабан-гора"</w:t>
            </w:r>
          </w:p>
        </w:tc>
        <w:tc>
          <w:tcPr>
            <w:tcW w:w="2829" w:type="dxa"/>
            <w:vMerge w:val="restart"/>
          </w:tcPr>
          <w:p w14:paraId="09303D5E"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приказ министра культуры Ставропольского края от 22.02.2008 г. №96</w:t>
            </w:r>
          </w:p>
        </w:tc>
        <w:tc>
          <w:tcPr>
            <w:tcW w:w="1945" w:type="dxa"/>
            <w:vMerge w:val="restart"/>
            <w:vAlign w:val="center"/>
          </w:tcPr>
          <w:p w14:paraId="1AAF0775" w14:textId="77777777" w:rsidR="00706447" w:rsidRPr="00731FE2" w:rsidRDefault="00706447" w:rsidP="00706447">
            <w:pPr>
              <w:ind w:firstLine="0"/>
              <w:jc w:val="center"/>
              <w:rPr>
                <w:rFonts w:ascii="Times New Roman" w:hAnsi="Times New Roman" w:cs="Times New Roman"/>
                <w:sz w:val="20"/>
                <w:szCs w:val="20"/>
              </w:rPr>
            </w:pPr>
            <w:r w:rsidRPr="00731FE2">
              <w:rPr>
                <w:rFonts w:ascii="Times New Roman" w:hAnsi="Times New Roman" w:cs="Times New Roman"/>
                <w:sz w:val="20"/>
                <w:szCs w:val="20"/>
              </w:rPr>
              <w:t>выявленный</w:t>
            </w:r>
          </w:p>
        </w:tc>
        <w:tc>
          <w:tcPr>
            <w:tcW w:w="2829" w:type="dxa"/>
            <w:vMerge w:val="restart"/>
          </w:tcPr>
          <w:p w14:paraId="47BDD1D8"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Приказом управления от 29.01.2024 № 117 утверждены границы территории объекта культурного наследия</w:t>
            </w:r>
          </w:p>
        </w:tc>
      </w:tr>
      <w:tr w:rsidR="00706447" w:rsidRPr="00731FE2" w14:paraId="0B29D90B" w14:textId="77777777" w:rsidTr="00C837D3">
        <w:trPr>
          <w:trHeight w:val="903"/>
        </w:trPr>
        <w:tc>
          <w:tcPr>
            <w:tcW w:w="543" w:type="dxa"/>
            <w:vMerge w:val="restart"/>
          </w:tcPr>
          <w:p w14:paraId="17E41119" w14:textId="77777777" w:rsidR="00706447" w:rsidRPr="00731FE2" w:rsidRDefault="00706447" w:rsidP="003F00EB">
            <w:pPr>
              <w:pStyle w:val="a3"/>
              <w:numPr>
                <w:ilvl w:val="0"/>
                <w:numId w:val="129"/>
              </w:numPr>
              <w:ind w:left="0" w:firstLine="0"/>
              <w:jc w:val="center"/>
              <w:rPr>
                <w:rFonts w:ascii="Times New Roman" w:eastAsia="Times New Roman" w:hAnsi="Times New Roman" w:cs="Times New Roman"/>
                <w:sz w:val="20"/>
                <w:szCs w:val="20"/>
                <w:lang w:eastAsia="ru-RU"/>
              </w:rPr>
            </w:pPr>
          </w:p>
        </w:tc>
        <w:tc>
          <w:tcPr>
            <w:tcW w:w="2890" w:type="dxa"/>
            <w:vMerge w:val="restart"/>
          </w:tcPr>
          <w:p w14:paraId="2370A3E8"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Поселение "Ясли-3"</w:t>
            </w:r>
          </w:p>
        </w:tc>
        <w:tc>
          <w:tcPr>
            <w:tcW w:w="3889" w:type="dxa"/>
            <w:vMerge w:val="restart"/>
          </w:tcPr>
          <w:p w14:paraId="334CBB1F"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Ставропольский край, г. Кисловодск, площадка в 400 метрах к северо - северо-западу от могильника "Ясли"</w:t>
            </w:r>
          </w:p>
        </w:tc>
        <w:tc>
          <w:tcPr>
            <w:tcW w:w="2829" w:type="dxa"/>
            <w:vMerge w:val="restart"/>
          </w:tcPr>
          <w:p w14:paraId="21B364D0"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приказ министра культуры Ставропольского края от 22.02.2008 г. №96</w:t>
            </w:r>
          </w:p>
        </w:tc>
        <w:tc>
          <w:tcPr>
            <w:tcW w:w="1945" w:type="dxa"/>
            <w:vMerge w:val="restart"/>
            <w:vAlign w:val="center"/>
          </w:tcPr>
          <w:p w14:paraId="7A2F3D26" w14:textId="77777777" w:rsidR="00706447" w:rsidRPr="00731FE2" w:rsidRDefault="00706447" w:rsidP="00706447">
            <w:pPr>
              <w:ind w:firstLine="0"/>
              <w:jc w:val="center"/>
              <w:rPr>
                <w:rFonts w:ascii="Times New Roman" w:hAnsi="Times New Roman" w:cs="Times New Roman"/>
                <w:sz w:val="20"/>
                <w:szCs w:val="20"/>
              </w:rPr>
            </w:pPr>
            <w:r w:rsidRPr="00731FE2">
              <w:rPr>
                <w:rFonts w:ascii="Times New Roman" w:hAnsi="Times New Roman" w:cs="Times New Roman"/>
                <w:sz w:val="20"/>
                <w:szCs w:val="20"/>
              </w:rPr>
              <w:t>выявленный</w:t>
            </w:r>
          </w:p>
        </w:tc>
        <w:tc>
          <w:tcPr>
            <w:tcW w:w="2829" w:type="dxa"/>
            <w:vMerge w:val="restart"/>
          </w:tcPr>
          <w:p w14:paraId="0149E6DA"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Приказом управления от 29.01.2024 № 115 утверждены границы территории объекта культурного наследия</w:t>
            </w:r>
          </w:p>
        </w:tc>
      </w:tr>
      <w:tr w:rsidR="00706447" w:rsidRPr="00731FE2" w14:paraId="31003B7D" w14:textId="77777777" w:rsidTr="00C837D3">
        <w:trPr>
          <w:trHeight w:val="708"/>
        </w:trPr>
        <w:tc>
          <w:tcPr>
            <w:tcW w:w="543" w:type="dxa"/>
            <w:vMerge w:val="restart"/>
          </w:tcPr>
          <w:p w14:paraId="5F78360A" w14:textId="77777777" w:rsidR="00706447" w:rsidRPr="00731FE2" w:rsidRDefault="00706447" w:rsidP="003F00EB">
            <w:pPr>
              <w:pStyle w:val="a3"/>
              <w:numPr>
                <w:ilvl w:val="0"/>
                <w:numId w:val="129"/>
              </w:numPr>
              <w:ind w:left="0" w:firstLine="0"/>
              <w:jc w:val="center"/>
              <w:rPr>
                <w:rFonts w:ascii="Times New Roman" w:eastAsia="Times New Roman" w:hAnsi="Times New Roman" w:cs="Times New Roman"/>
                <w:sz w:val="20"/>
                <w:szCs w:val="20"/>
                <w:lang w:eastAsia="ru-RU"/>
              </w:rPr>
            </w:pPr>
          </w:p>
        </w:tc>
        <w:tc>
          <w:tcPr>
            <w:tcW w:w="2890" w:type="dxa"/>
            <w:vMerge w:val="restart"/>
          </w:tcPr>
          <w:p w14:paraId="21BE0812"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Поселение "Подкумские дачи-2"</w:t>
            </w:r>
          </w:p>
        </w:tc>
        <w:tc>
          <w:tcPr>
            <w:tcW w:w="3889" w:type="dxa"/>
            <w:vMerge w:val="restart"/>
          </w:tcPr>
          <w:p w14:paraId="12486206" w14:textId="72DB5CDC"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Ставропольский край, г. Кисловодск, на дальних северо-западных отрогах Кабан-горы, между курганной группой "Тупой мыс" и поселением" Подкумские дачи-1"</w:t>
            </w:r>
          </w:p>
        </w:tc>
        <w:tc>
          <w:tcPr>
            <w:tcW w:w="2829" w:type="dxa"/>
            <w:vMerge w:val="restart"/>
          </w:tcPr>
          <w:p w14:paraId="7DE53E97"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приказ министра культуры Ставропольского края от 22.02.2008 г. №96</w:t>
            </w:r>
          </w:p>
        </w:tc>
        <w:tc>
          <w:tcPr>
            <w:tcW w:w="1945" w:type="dxa"/>
            <w:vMerge w:val="restart"/>
            <w:vAlign w:val="center"/>
          </w:tcPr>
          <w:p w14:paraId="5E9F32D2" w14:textId="77777777" w:rsidR="00706447" w:rsidRPr="00731FE2" w:rsidRDefault="00706447" w:rsidP="00706447">
            <w:pPr>
              <w:ind w:firstLine="0"/>
              <w:jc w:val="center"/>
              <w:rPr>
                <w:rFonts w:ascii="Times New Roman" w:hAnsi="Times New Roman" w:cs="Times New Roman"/>
                <w:sz w:val="20"/>
                <w:szCs w:val="20"/>
              </w:rPr>
            </w:pPr>
            <w:r w:rsidRPr="00731FE2">
              <w:rPr>
                <w:rFonts w:ascii="Times New Roman" w:hAnsi="Times New Roman" w:cs="Times New Roman"/>
                <w:sz w:val="20"/>
                <w:szCs w:val="20"/>
              </w:rPr>
              <w:t>выявленный</w:t>
            </w:r>
          </w:p>
        </w:tc>
        <w:tc>
          <w:tcPr>
            <w:tcW w:w="2829" w:type="dxa"/>
            <w:vMerge w:val="restart"/>
          </w:tcPr>
          <w:p w14:paraId="1C6D87D2"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Приказом управления от 13.02.2024 № 158 утверждены границы территории объекта культурного наследия</w:t>
            </w:r>
          </w:p>
        </w:tc>
      </w:tr>
      <w:tr w:rsidR="00706447" w:rsidRPr="00731FE2" w14:paraId="2EB99583" w14:textId="77777777" w:rsidTr="00C837D3">
        <w:trPr>
          <w:trHeight w:val="862"/>
        </w:trPr>
        <w:tc>
          <w:tcPr>
            <w:tcW w:w="543" w:type="dxa"/>
            <w:vMerge w:val="restart"/>
          </w:tcPr>
          <w:p w14:paraId="70F6E6BA" w14:textId="77777777" w:rsidR="00706447" w:rsidRPr="00731FE2" w:rsidRDefault="00706447" w:rsidP="003F00EB">
            <w:pPr>
              <w:pStyle w:val="a3"/>
              <w:numPr>
                <w:ilvl w:val="0"/>
                <w:numId w:val="129"/>
              </w:numPr>
              <w:ind w:left="0" w:firstLine="0"/>
              <w:jc w:val="center"/>
              <w:rPr>
                <w:rFonts w:ascii="Times New Roman" w:eastAsia="Times New Roman" w:hAnsi="Times New Roman" w:cs="Times New Roman"/>
                <w:sz w:val="20"/>
                <w:szCs w:val="20"/>
                <w:lang w:eastAsia="ru-RU"/>
              </w:rPr>
            </w:pPr>
          </w:p>
        </w:tc>
        <w:tc>
          <w:tcPr>
            <w:tcW w:w="2890" w:type="dxa"/>
            <w:vMerge w:val="restart"/>
          </w:tcPr>
          <w:p w14:paraId="4AFE4FE0"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Поселение "Подкумские дачи-3"</w:t>
            </w:r>
          </w:p>
        </w:tc>
        <w:tc>
          <w:tcPr>
            <w:tcW w:w="3889" w:type="dxa"/>
            <w:vMerge w:val="restart"/>
          </w:tcPr>
          <w:p w14:paraId="194B2A35"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Ставропольский край, г. Кисловодск, на дальних северо-западных отрогах Кабан-горы, на склоне к западу от Тупого мыса</w:t>
            </w:r>
          </w:p>
        </w:tc>
        <w:tc>
          <w:tcPr>
            <w:tcW w:w="2829" w:type="dxa"/>
            <w:vMerge w:val="restart"/>
          </w:tcPr>
          <w:p w14:paraId="739EE0F5"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приказ министра культуры Ставропольского края от 22.02.2008 г. №96</w:t>
            </w:r>
          </w:p>
        </w:tc>
        <w:tc>
          <w:tcPr>
            <w:tcW w:w="1945" w:type="dxa"/>
            <w:vMerge w:val="restart"/>
            <w:vAlign w:val="center"/>
          </w:tcPr>
          <w:p w14:paraId="31290F91" w14:textId="77777777" w:rsidR="00706447" w:rsidRPr="00731FE2" w:rsidRDefault="00706447" w:rsidP="00706447">
            <w:pPr>
              <w:ind w:firstLine="0"/>
              <w:jc w:val="center"/>
              <w:rPr>
                <w:rFonts w:ascii="Times New Roman" w:hAnsi="Times New Roman" w:cs="Times New Roman"/>
                <w:sz w:val="20"/>
                <w:szCs w:val="20"/>
              </w:rPr>
            </w:pPr>
            <w:r w:rsidRPr="00731FE2">
              <w:rPr>
                <w:rFonts w:ascii="Times New Roman" w:hAnsi="Times New Roman" w:cs="Times New Roman"/>
                <w:sz w:val="20"/>
                <w:szCs w:val="20"/>
              </w:rPr>
              <w:t>выявленный</w:t>
            </w:r>
          </w:p>
        </w:tc>
        <w:tc>
          <w:tcPr>
            <w:tcW w:w="2829" w:type="dxa"/>
            <w:vMerge w:val="restart"/>
          </w:tcPr>
          <w:p w14:paraId="0F46EB32"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Приказом управления от 13.02.2024 № 156 утверждены границы территории объекта культурного наследия</w:t>
            </w:r>
          </w:p>
        </w:tc>
      </w:tr>
      <w:tr w:rsidR="00706447" w:rsidRPr="00731FE2" w14:paraId="3763746D" w14:textId="77777777" w:rsidTr="00C837D3">
        <w:trPr>
          <w:trHeight w:val="831"/>
        </w:trPr>
        <w:tc>
          <w:tcPr>
            <w:tcW w:w="543" w:type="dxa"/>
            <w:vMerge w:val="restart"/>
          </w:tcPr>
          <w:p w14:paraId="20A98CD9" w14:textId="77777777" w:rsidR="00706447" w:rsidRPr="00731FE2" w:rsidRDefault="00706447" w:rsidP="003F00EB">
            <w:pPr>
              <w:pStyle w:val="a3"/>
              <w:numPr>
                <w:ilvl w:val="0"/>
                <w:numId w:val="129"/>
              </w:numPr>
              <w:ind w:left="0" w:firstLine="0"/>
              <w:jc w:val="center"/>
              <w:rPr>
                <w:rFonts w:ascii="Times New Roman" w:eastAsia="Times New Roman" w:hAnsi="Times New Roman" w:cs="Times New Roman"/>
                <w:sz w:val="20"/>
                <w:szCs w:val="20"/>
                <w:lang w:eastAsia="ru-RU"/>
              </w:rPr>
            </w:pPr>
          </w:p>
        </w:tc>
        <w:tc>
          <w:tcPr>
            <w:tcW w:w="2890" w:type="dxa"/>
            <w:vMerge w:val="restart"/>
          </w:tcPr>
          <w:p w14:paraId="238D1489"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Поселение "Татарка"</w:t>
            </w:r>
          </w:p>
        </w:tc>
        <w:tc>
          <w:tcPr>
            <w:tcW w:w="3889" w:type="dxa"/>
            <w:vMerge w:val="restart"/>
          </w:tcPr>
          <w:p w14:paraId="76598BFB"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Ставропольский край, г. Кисловодск, высокий мыс под укреплением "Татарка"</w:t>
            </w:r>
          </w:p>
        </w:tc>
        <w:tc>
          <w:tcPr>
            <w:tcW w:w="2829" w:type="dxa"/>
            <w:vMerge w:val="restart"/>
          </w:tcPr>
          <w:p w14:paraId="645C0F92"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приказ министра культуры Ставропольского края от 22.02.2008 г. №96</w:t>
            </w:r>
          </w:p>
        </w:tc>
        <w:tc>
          <w:tcPr>
            <w:tcW w:w="1945" w:type="dxa"/>
            <w:vMerge w:val="restart"/>
            <w:vAlign w:val="center"/>
          </w:tcPr>
          <w:p w14:paraId="3ACE49C1" w14:textId="77777777" w:rsidR="00706447" w:rsidRPr="00731FE2" w:rsidRDefault="00706447" w:rsidP="00F42017">
            <w:pPr>
              <w:ind w:firstLine="0"/>
              <w:jc w:val="center"/>
              <w:rPr>
                <w:rFonts w:ascii="Times New Roman" w:hAnsi="Times New Roman" w:cs="Times New Roman"/>
                <w:sz w:val="20"/>
                <w:szCs w:val="20"/>
              </w:rPr>
            </w:pPr>
            <w:r w:rsidRPr="00731FE2">
              <w:rPr>
                <w:rFonts w:ascii="Times New Roman" w:hAnsi="Times New Roman" w:cs="Times New Roman"/>
                <w:sz w:val="20"/>
                <w:szCs w:val="20"/>
              </w:rPr>
              <w:t>выявленный</w:t>
            </w:r>
          </w:p>
        </w:tc>
        <w:tc>
          <w:tcPr>
            <w:tcW w:w="2829" w:type="dxa"/>
            <w:vMerge w:val="restart"/>
          </w:tcPr>
          <w:p w14:paraId="17C68EDD" w14:textId="12A2129D"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Приказом управления от 08.02.2024 № 141 утверждены границы территории объекта культурного наследия</w:t>
            </w:r>
          </w:p>
        </w:tc>
      </w:tr>
      <w:tr w:rsidR="00706447" w:rsidRPr="00731FE2" w14:paraId="7F9F682F" w14:textId="77777777" w:rsidTr="00C837D3">
        <w:trPr>
          <w:trHeight w:val="566"/>
        </w:trPr>
        <w:tc>
          <w:tcPr>
            <w:tcW w:w="543" w:type="dxa"/>
            <w:vMerge w:val="restart"/>
          </w:tcPr>
          <w:p w14:paraId="7D763FA7" w14:textId="77777777" w:rsidR="00706447" w:rsidRPr="00731FE2" w:rsidRDefault="00706447" w:rsidP="003F00EB">
            <w:pPr>
              <w:pStyle w:val="a3"/>
              <w:numPr>
                <w:ilvl w:val="0"/>
                <w:numId w:val="129"/>
              </w:numPr>
              <w:ind w:left="0" w:firstLine="0"/>
              <w:jc w:val="center"/>
              <w:rPr>
                <w:rFonts w:ascii="Times New Roman" w:eastAsia="Times New Roman" w:hAnsi="Times New Roman" w:cs="Times New Roman"/>
                <w:sz w:val="20"/>
                <w:szCs w:val="20"/>
                <w:lang w:eastAsia="ru-RU"/>
              </w:rPr>
            </w:pPr>
          </w:p>
        </w:tc>
        <w:tc>
          <w:tcPr>
            <w:tcW w:w="2890" w:type="dxa"/>
            <w:vMerge w:val="restart"/>
          </w:tcPr>
          <w:p w14:paraId="3C74E380"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Укрепление "Черкасское"</w:t>
            </w:r>
          </w:p>
        </w:tc>
        <w:tc>
          <w:tcPr>
            <w:tcW w:w="3889" w:type="dxa"/>
            <w:vMerge w:val="restart"/>
          </w:tcPr>
          <w:p w14:paraId="6B488CD3"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Ставропольский край, г. Кисловодск, на мысу над домами N 20 - 24 по улице Черкасской города Кисловодска</w:t>
            </w:r>
          </w:p>
        </w:tc>
        <w:tc>
          <w:tcPr>
            <w:tcW w:w="2829" w:type="dxa"/>
            <w:vMerge w:val="restart"/>
          </w:tcPr>
          <w:p w14:paraId="594F66FF"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приказ министра культуры Ставропольского края от 22.02.2008 г. №96</w:t>
            </w:r>
          </w:p>
        </w:tc>
        <w:tc>
          <w:tcPr>
            <w:tcW w:w="1945" w:type="dxa"/>
            <w:vMerge w:val="restart"/>
            <w:vAlign w:val="center"/>
          </w:tcPr>
          <w:p w14:paraId="562F37A7" w14:textId="77777777" w:rsidR="00706447" w:rsidRPr="00731FE2" w:rsidRDefault="00706447" w:rsidP="00F42017">
            <w:pPr>
              <w:ind w:firstLine="0"/>
              <w:jc w:val="center"/>
              <w:rPr>
                <w:rFonts w:ascii="Times New Roman" w:hAnsi="Times New Roman" w:cs="Times New Roman"/>
                <w:sz w:val="20"/>
                <w:szCs w:val="20"/>
              </w:rPr>
            </w:pPr>
            <w:r w:rsidRPr="00731FE2">
              <w:rPr>
                <w:rFonts w:ascii="Times New Roman" w:hAnsi="Times New Roman" w:cs="Times New Roman"/>
                <w:sz w:val="20"/>
                <w:szCs w:val="20"/>
              </w:rPr>
              <w:t>выявленный</w:t>
            </w:r>
          </w:p>
        </w:tc>
        <w:tc>
          <w:tcPr>
            <w:tcW w:w="2829" w:type="dxa"/>
            <w:vMerge w:val="restart"/>
          </w:tcPr>
          <w:p w14:paraId="25C487ED" w14:textId="1044322F"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Приказом управления от 08.02.2024 № 142 утверждены границы территории объекта культурного наследия</w:t>
            </w:r>
          </w:p>
        </w:tc>
      </w:tr>
      <w:tr w:rsidR="00706447" w:rsidRPr="00731FE2" w14:paraId="4CF19996" w14:textId="77777777" w:rsidTr="00C837D3">
        <w:trPr>
          <w:trHeight w:val="276"/>
        </w:trPr>
        <w:tc>
          <w:tcPr>
            <w:tcW w:w="543" w:type="dxa"/>
            <w:vMerge w:val="restart"/>
          </w:tcPr>
          <w:p w14:paraId="216CD228" w14:textId="77777777" w:rsidR="00706447" w:rsidRPr="00731FE2" w:rsidRDefault="00706447" w:rsidP="003F00EB">
            <w:pPr>
              <w:pStyle w:val="a3"/>
              <w:numPr>
                <w:ilvl w:val="0"/>
                <w:numId w:val="129"/>
              </w:numPr>
              <w:ind w:left="0" w:firstLine="0"/>
              <w:jc w:val="center"/>
              <w:rPr>
                <w:rFonts w:ascii="Times New Roman" w:eastAsia="Times New Roman" w:hAnsi="Times New Roman" w:cs="Times New Roman"/>
                <w:sz w:val="20"/>
                <w:szCs w:val="20"/>
                <w:lang w:eastAsia="ru-RU"/>
              </w:rPr>
            </w:pPr>
          </w:p>
        </w:tc>
        <w:tc>
          <w:tcPr>
            <w:tcW w:w="2890" w:type="dxa"/>
            <w:vMerge w:val="restart"/>
          </w:tcPr>
          <w:p w14:paraId="66C6FE67"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Укрепление "Глухая балка-2"</w:t>
            </w:r>
          </w:p>
        </w:tc>
        <w:tc>
          <w:tcPr>
            <w:tcW w:w="3889" w:type="dxa"/>
            <w:vMerge w:val="restart"/>
          </w:tcPr>
          <w:p w14:paraId="7B1AA642"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Ставропольский край, г. Кисловодск, к востоку от укрепления "Глухая балка-1" по дороге на Малое седло</w:t>
            </w:r>
          </w:p>
        </w:tc>
        <w:tc>
          <w:tcPr>
            <w:tcW w:w="2829" w:type="dxa"/>
            <w:vMerge w:val="restart"/>
          </w:tcPr>
          <w:p w14:paraId="486920F2"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приказ министра культуры Ставропольского края от 22.02.2008 г. №96</w:t>
            </w:r>
          </w:p>
        </w:tc>
        <w:tc>
          <w:tcPr>
            <w:tcW w:w="1945" w:type="dxa"/>
            <w:vMerge w:val="restart"/>
            <w:vAlign w:val="center"/>
          </w:tcPr>
          <w:p w14:paraId="0421BE35" w14:textId="77777777" w:rsidR="00706447" w:rsidRPr="00731FE2" w:rsidRDefault="00706447" w:rsidP="00F42017">
            <w:pPr>
              <w:ind w:firstLine="0"/>
              <w:jc w:val="center"/>
              <w:rPr>
                <w:rFonts w:ascii="Times New Roman" w:hAnsi="Times New Roman" w:cs="Times New Roman"/>
                <w:sz w:val="20"/>
                <w:szCs w:val="20"/>
              </w:rPr>
            </w:pPr>
            <w:r w:rsidRPr="00731FE2">
              <w:rPr>
                <w:rFonts w:ascii="Times New Roman" w:hAnsi="Times New Roman" w:cs="Times New Roman"/>
                <w:sz w:val="20"/>
                <w:szCs w:val="20"/>
              </w:rPr>
              <w:t>выявленный</w:t>
            </w:r>
          </w:p>
        </w:tc>
        <w:tc>
          <w:tcPr>
            <w:tcW w:w="2829" w:type="dxa"/>
            <w:vMerge w:val="restart"/>
          </w:tcPr>
          <w:p w14:paraId="6B0F81C0" w14:textId="4EBA5B14"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Приказом управления от 24.01.2024 № 99 утверждены границы территории объекта культурного наследия</w:t>
            </w:r>
          </w:p>
        </w:tc>
      </w:tr>
      <w:tr w:rsidR="00706447" w:rsidRPr="00731FE2" w14:paraId="25CF9715" w14:textId="77777777" w:rsidTr="00C837D3">
        <w:trPr>
          <w:trHeight w:val="566"/>
        </w:trPr>
        <w:tc>
          <w:tcPr>
            <w:tcW w:w="543" w:type="dxa"/>
            <w:vMerge w:val="restart"/>
          </w:tcPr>
          <w:p w14:paraId="6B9DECA0" w14:textId="77777777" w:rsidR="00706447" w:rsidRPr="00731FE2" w:rsidRDefault="00706447" w:rsidP="003F00EB">
            <w:pPr>
              <w:pStyle w:val="a3"/>
              <w:numPr>
                <w:ilvl w:val="0"/>
                <w:numId w:val="129"/>
              </w:numPr>
              <w:ind w:left="0" w:firstLine="0"/>
              <w:jc w:val="center"/>
              <w:rPr>
                <w:rFonts w:ascii="Times New Roman" w:eastAsia="Times New Roman" w:hAnsi="Times New Roman" w:cs="Times New Roman"/>
                <w:sz w:val="20"/>
                <w:szCs w:val="20"/>
                <w:lang w:eastAsia="ru-RU"/>
              </w:rPr>
            </w:pPr>
          </w:p>
        </w:tc>
        <w:tc>
          <w:tcPr>
            <w:tcW w:w="2890" w:type="dxa"/>
            <w:vMerge w:val="restart"/>
          </w:tcPr>
          <w:p w14:paraId="248BADDD"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Поселение "Митькин кутан"</w:t>
            </w:r>
          </w:p>
        </w:tc>
        <w:tc>
          <w:tcPr>
            <w:tcW w:w="3889" w:type="dxa"/>
            <w:vMerge w:val="restart"/>
          </w:tcPr>
          <w:p w14:paraId="1D99B4F4"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Ставропольский край, г. Кисловодск, 200 - 250 метров от возвышенности Острый курган</w:t>
            </w:r>
          </w:p>
        </w:tc>
        <w:tc>
          <w:tcPr>
            <w:tcW w:w="2829" w:type="dxa"/>
            <w:vMerge w:val="restart"/>
          </w:tcPr>
          <w:p w14:paraId="2CBFBAED"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приказ министра культуры Ставропольского края от 22.02.2008 г. №96</w:t>
            </w:r>
          </w:p>
        </w:tc>
        <w:tc>
          <w:tcPr>
            <w:tcW w:w="1945" w:type="dxa"/>
            <w:vMerge w:val="restart"/>
            <w:vAlign w:val="center"/>
          </w:tcPr>
          <w:p w14:paraId="5272D81C" w14:textId="77777777" w:rsidR="00706447" w:rsidRPr="00731FE2" w:rsidRDefault="00706447" w:rsidP="00F42017">
            <w:pPr>
              <w:ind w:firstLine="0"/>
              <w:jc w:val="center"/>
              <w:rPr>
                <w:rFonts w:ascii="Times New Roman" w:hAnsi="Times New Roman" w:cs="Times New Roman"/>
                <w:sz w:val="20"/>
                <w:szCs w:val="20"/>
              </w:rPr>
            </w:pPr>
            <w:r w:rsidRPr="00731FE2">
              <w:rPr>
                <w:rFonts w:ascii="Times New Roman" w:hAnsi="Times New Roman" w:cs="Times New Roman"/>
                <w:sz w:val="20"/>
                <w:szCs w:val="20"/>
              </w:rPr>
              <w:t>выявленный</w:t>
            </w:r>
          </w:p>
        </w:tc>
        <w:tc>
          <w:tcPr>
            <w:tcW w:w="2829" w:type="dxa"/>
            <w:vMerge w:val="restart"/>
          </w:tcPr>
          <w:p w14:paraId="1AD984FD"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Приказом управления от 13.02.2024 № 157 утверждены границы территории объекта культурного наследия</w:t>
            </w:r>
          </w:p>
        </w:tc>
      </w:tr>
      <w:tr w:rsidR="00706447" w:rsidRPr="00731FE2" w14:paraId="1C3FF453" w14:textId="77777777" w:rsidTr="00C837D3">
        <w:trPr>
          <w:trHeight w:val="944"/>
        </w:trPr>
        <w:tc>
          <w:tcPr>
            <w:tcW w:w="543" w:type="dxa"/>
            <w:vMerge w:val="restart"/>
          </w:tcPr>
          <w:p w14:paraId="27E3CACF" w14:textId="77777777" w:rsidR="00706447" w:rsidRPr="00731FE2" w:rsidRDefault="00706447" w:rsidP="003F00EB">
            <w:pPr>
              <w:pStyle w:val="a3"/>
              <w:numPr>
                <w:ilvl w:val="0"/>
                <w:numId w:val="129"/>
              </w:numPr>
              <w:ind w:left="0" w:firstLine="0"/>
              <w:jc w:val="center"/>
              <w:rPr>
                <w:rFonts w:ascii="Times New Roman" w:eastAsia="Times New Roman" w:hAnsi="Times New Roman" w:cs="Times New Roman"/>
                <w:sz w:val="20"/>
                <w:szCs w:val="20"/>
                <w:lang w:eastAsia="ru-RU"/>
              </w:rPr>
            </w:pPr>
          </w:p>
        </w:tc>
        <w:tc>
          <w:tcPr>
            <w:tcW w:w="2890" w:type="dxa"/>
            <w:vMerge w:val="restart"/>
          </w:tcPr>
          <w:p w14:paraId="68E83A4B"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Поселение "Мосейкин мыс-3"</w:t>
            </w:r>
          </w:p>
        </w:tc>
        <w:tc>
          <w:tcPr>
            <w:tcW w:w="3889" w:type="dxa"/>
            <w:vMerge w:val="restart"/>
          </w:tcPr>
          <w:p w14:paraId="301139F2"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Ставропольский край, г. Кисловодск, верхняя часть террасы под Мосейкиным мысом</w:t>
            </w:r>
          </w:p>
          <w:p w14:paraId="1FE8C591" w14:textId="77777777" w:rsidR="00706447" w:rsidRPr="00731FE2" w:rsidRDefault="00706447" w:rsidP="00706447">
            <w:pPr>
              <w:ind w:firstLine="0"/>
              <w:rPr>
                <w:rFonts w:ascii="Times New Roman" w:hAnsi="Times New Roman" w:cs="Times New Roman"/>
                <w:sz w:val="20"/>
                <w:szCs w:val="20"/>
              </w:rPr>
            </w:pPr>
          </w:p>
        </w:tc>
        <w:tc>
          <w:tcPr>
            <w:tcW w:w="2829" w:type="dxa"/>
            <w:vMerge w:val="restart"/>
          </w:tcPr>
          <w:p w14:paraId="3FF01E8C"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приказ министра культуры Ставропольского края от 22.02.2008 г. №96</w:t>
            </w:r>
          </w:p>
        </w:tc>
        <w:tc>
          <w:tcPr>
            <w:tcW w:w="1945" w:type="dxa"/>
            <w:vMerge w:val="restart"/>
            <w:vAlign w:val="center"/>
          </w:tcPr>
          <w:p w14:paraId="79D0B6A6" w14:textId="77777777" w:rsidR="00706447" w:rsidRPr="00731FE2" w:rsidRDefault="00706447" w:rsidP="00F42017">
            <w:pPr>
              <w:ind w:firstLine="0"/>
              <w:jc w:val="center"/>
              <w:rPr>
                <w:rFonts w:ascii="Times New Roman" w:hAnsi="Times New Roman" w:cs="Times New Roman"/>
                <w:sz w:val="20"/>
                <w:szCs w:val="20"/>
              </w:rPr>
            </w:pPr>
            <w:r w:rsidRPr="00731FE2">
              <w:rPr>
                <w:rFonts w:ascii="Times New Roman" w:hAnsi="Times New Roman" w:cs="Times New Roman"/>
                <w:sz w:val="20"/>
                <w:szCs w:val="20"/>
              </w:rPr>
              <w:t>выявленный</w:t>
            </w:r>
          </w:p>
        </w:tc>
        <w:tc>
          <w:tcPr>
            <w:tcW w:w="2829" w:type="dxa"/>
            <w:vMerge w:val="restart"/>
          </w:tcPr>
          <w:p w14:paraId="56FBFDAF"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Приказом управления от 29.01.2024 № 116 утверждены границы территории объекта культурного наследия</w:t>
            </w:r>
          </w:p>
        </w:tc>
      </w:tr>
      <w:tr w:rsidR="00706447" w:rsidRPr="00731FE2" w14:paraId="023D10DF" w14:textId="77777777" w:rsidTr="00C837D3">
        <w:trPr>
          <w:trHeight w:val="913"/>
        </w:trPr>
        <w:tc>
          <w:tcPr>
            <w:tcW w:w="543" w:type="dxa"/>
            <w:vMerge w:val="restart"/>
          </w:tcPr>
          <w:p w14:paraId="5C8CCE25" w14:textId="77777777" w:rsidR="00706447" w:rsidRPr="00731FE2" w:rsidRDefault="00706447" w:rsidP="003F00EB">
            <w:pPr>
              <w:pStyle w:val="a3"/>
              <w:numPr>
                <w:ilvl w:val="0"/>
                <w:numId w:val="129"/>
              </w:numPr>
              <w:ind w:left="0" w:firstLine="0"/>
              <w:jc w:val="center"/>
              <w:rPr>
                <w:rFonts w:ascii="Times New Roman" w:eastAsia="Times New Roman" w:hAnsi="Times New Roman" w:cs="Times New Roman"/>
                <w:sz w:val="20"/>
                <w:szCs w:val="20"/>
                <w:lang w:eastAsia="ru-RU"/>
              </w:rPr>
            </w:pPr>
          </w:p>
        </w:tc>
        <w:tc>
          <w:tcPr>
            <w:tcW w:w="2890" w:type="dxa"/>
            <w:vMerge w:val="restart"/>
          </w:tcPr>
          <w:p w14:paraId="20CD51E9"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Укрепление "Сосновый бор"</w:t>
            </w:r>
          </w:p>
        </w:tc>
        <w:tc>
          <w:tcPr>
            <w:tcW w:w="3889" w:type="dxa"/>
            <w:vMerge w:val="restart"/>
          </w:tcPr>
          <w:p w14:paraId="7FCC23C5"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Ставропольский край, г. Кисловодск, высокий мыс над пионерским лагерем "Сосновый бор" рядом с обувной фабрикой, на улице Ермолова</w:t>
            </w:r>
          </w:p>
          <w:p w14:paraId="55852B62" w14:textId="77777777" w:rsidR="00706447" w:rsidRPr="00731FE2" w:rsidRDefault="00706447" w:rsidP="00706447">
            <w:pPr>
              <w:ind w:firstLine="0"/>
              <w:rPr>
                <w:rFonts w:ascii="Times New Roman" w:hAnsi="Times New Roman" w:cs="Times New Roman"/>
                <w:sz w:val="20"/>
                <w:szCs w:val="20"/>
              </w:rPr>
            </w:pPr>
          </w:p>
        </w:tc>
        <w:tc>
          <w:tcPr>
            <w:tcW w:w="2829" w:type="dxa"/>
            <w:vMerge w:val="restart"/>
          </w:tcPr>
          <w:p w14:paraId="70DE4150"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приказ министра культуры Ставропольского края от 22.02.2008 г. №96</w:t>
            </w:r>
          </w:p>
        </w:tc>
        <w:tc>
          <w:tcPr>
            <w:tcW w:w="1945" w:type="dxa"/>
            <w:vMerge w:val="restart"/>
            <w:vAlign w:val="center"/>
          </w:tcPr>
          <w:p w14:paraId="197C9DCA" w14:textId="77777777" w:rsidR="00706447" w:rsidRPr="00731FE2" w:rsidRDefault="00706447" w:rsidP="00F42017">
            <w:pPr>
              <w:ind w:firstLine="0"/>
              <w:jc w:val="center"/>
              <w:rPr>
                <w:rFonts w:ascii="Times New Roman" w:hAnsi="Times New Roman" w:cs="Times New Roman"/>
                <w:sz w:val="20"/>
                <w:szCs w:val="20"/>
              </w:rPr>
            </w:pPr>
            <w:r w:rsidRPr="00731FE2">
              <w:rPr>
                <w:rFonts w:ascii="Times New Roman" w:hAnsi="Times New Roman" w:cs="Times New Roman"/>
                <w:sz w:val="20"/>
                <w:szCs w:val="20"/>
              </w:rPr>
              <w:t>выявленный</w:t>
            </w:r>
          </w:p>
        </w:tc>
        <w:tc>
          <w:tcPr>
            <w:tcW w:w="2829" w:type="dxa"/>
            <w:vMerge w:val="restart"/>
          </w:tcPr>
          <w:p w14:paraId="5CBE0E72"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Приказом управления от 08.02.2024 № 140 утверждены границы территории объекта культурного наследия</w:t>
            </w:r>
          </w:p>
        </w:tc>
      </w:tr>
      <w:tr w:rsidR="00706447" w:rsidRPr="00731FE2" w14:paraId="7CE40948" w14:textId="77777777" w:rsidTr="00C837D3">
        <w:trPr>
          <w:trHeight w:val="882"/>
        </w:trPr>
        <w:tc>
          <w:tcPr>
            <w:tcW w:w="543" w:type="dxa"/>
            <w:vMerge w:val="restart"/>
          </w:tcPr>
          <w:p w14:paraId="7BBCEC3C" w14:textId="77777777" w:rsidR="00706447" w:rsidRPr="00731FE2" w:rsidRDefault="00706447" w:rsidP="003F00EB">
            <w:pPr>
              <w:pStyle w:val="a3"/>
              <w:numPr>
                <w:ilvl w:val="0"/>
                <w:numId w:val="129"/>
              </w:numPr>
              <w:ind w:left="0" w:firstLine="0"/>
              <w:jc w:val="center"/>
              <w:rPr>
                <w:rFonts w:ascii="Times New Roman" w:eastAsia="Times New Roman" w:hAnsi="Times New Roman" w:cs="Times New Roman"/>
                <w:sz w:val="20"/>
                <w:szCs w:val="20"/>
                <w:lang w:eastAsia="ru-RU"/>
              </w:rPr>
            </w:pPr>
          </w:p>
        </w:tc>
        <w:tc>
          <w:tcPr>
            <w:tcW w:w="2890" w:type="dxa"/>
            <w:vMerge w:val="restart"/>
          </w:tcPr>
          <w:p w14:paraId="19BFC6F7"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Поселение "Нарзанное"</w:t>
            </w:r>
          </w:p>
        </w:tc>
        <w:tc>
          <w:tcPr>
            <w:tcW w:w="3889" w:type="dxa"/>
            <w:vMerge w:val="restart"/>
          </w:tcPr>
          <w:p w14:paraId="6D40C460"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Ставропольский край, г. Кисловодск, 600 метров к востоку- юго-востоку от поселка Нарзанный справа от дороги в г. Кисловодск, на склонах</w:t>
            </w:r>
          </w:p>
          <w:p w14:paraId="68BA7E20" w14:textId="77777777" w:rsidR="00706447" w:rsidRPr="00731FE2" w:rsidRDefault="00706447" w:rsidP="00706447">
            <w:pPr>
              <w:ind w:firstLine="0"/>
              <w:rPr>
                <w:rFonts w:ascii="Times New Roman" w:hAnsi="Times New Roman" w:cs="Times New Roman"/>
                <w:sz w:val="20"/>
                <w:szCs w:val="20"/>
              </w:rPr>
            </w:pPr>
          </w:p>
        </w:tc>
        <w:tc>
          <w:tcPr>
            <w:tcW w:w="2829" w:type="dxa"/>
            <w:vMerge w:val="restart"/>
          </w:tcPr>
          <w:p w14:paraId="55857727"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приказ министра культуры Ставропольского края от 22.02.2008 г. №96</w:t>
            </w:r>
          </w:p>
        </w:tc>
        <w:tc>
          <w:tcPr>
            <w:tcW w:w="1945" w:type="dxa"/>
            <w:vMerge w:val="restart"/>
            <w:vAlign w:val="center"/>
          </w:tcPr>
          <w:p w14:paraId="7C38F1B9" w14:textId="77777777" w:rsidR="00706447" w:rsidRPr="00731FE2" w:rsidRDefault="00706447" w:rsidP="00F42017">
            <w:pPr>
              <w:ind w:firstLine="0"/>
              <w:jc w:val="center"/>
              <w:rPr>
                <w:rFonts w:ascii="Times New Roman" w:hAnsi="Times New Roman" w:cs="Times New Roman"/>
                <w:sz w:val="20"/>
                <w:szCs w:val="20"/>
              </w:rPr>
            </w:pPr>
            <w:r w:rsidRPr="00731FE2">
              <w:rPr>
                <w:rFonts w:ascii="Times New Roman" w:hAnsi="Times New Roman" w:cs="Times New Roman"/>
                <w:sz w:val="20"/>
                <w:szCs w:val="20"/>
              </w:rPr>
              <w:t>выявленный</w:t>
            </w:r>
          </w:p>
        </w:tc>
        <w:tc>
          <w:tcPr>
            <w:tcW w:w="2829" w:type="dxa"/>
            <w:vMerge w:val="restart"/>
          </w:tcPr>
          <w:p w14:paraId="67532CA1" w14:textId="5E2DB4CA" w:rsidR="00706447" w:rsidRPr="00731FE2" w:rsidRDefault="00706447" w:rsidP="00F42017">
            <w:pPr>
              <w:ind w:firstLine="0"/>
              <w:rPr>
                <w:rFonts w:ascii="Times New Roman" w:hAnsi="Times New Roman" w:cs="Times New Roman"/>
                <w:sz w:val="20"/>
                <w:szCs w:val="20"/>
              </w:rPr>
            </w:pPr>
            <w:r w:rsidRPr="00731FE2">
              <w:rPr>
                <w:rFonts w:ascii="Times New Roman" w:hAnsi="Times New Roman" w:cs="Times New Roman"/>
                <w:sz w:val="20"/>
                <w:szCs w:val="20"/>
              </w:rPr>
              <w:t>Приказом управления от 29.11.2023 № 1213</w:t>
            </w:r>
            <w:r w:rsidR="00F42017" w:rsidRPr="00731FE2">
              <w:rPr>
                <w:rFonts w:ascii="Times New Roman" w:hAnsi="Times New Roman" w:cs="Times New Roman"/>
                <w:sz w:val="20"/>
                <w:szCs w:val="20"/>
              </w:rPr>
              <w:t xml:space="preserve"> </w:t>
            </w:r>
            <w:r w:rsidRPr="00731FE2">
              <w:rPr>
                <w:rFonts w:ascii="Times New Roman" w:hAnsi="Times New Roman" w:cs="Times New Roman"/>
                <w:sz w:val="20"/>
                <w:szCs w:val="20"/>
              </w:rPr>
              <w:t>утверждены границы территории объекта культурного наследия</w:t>
            </w:r>
          </w:p>
        </w:tc>
      </w:tr>
      <w:tr w:rsidR="00706447" w:rsidRPr="00731FE2" w14:paraId="2F576A42" w14:textId="77777777" w:rsidTr="00C837D3">
        <w:trPr>
          <w:trHeight w:val="850"/>
        </w:trPr>
        <w:tc>
          <w:tcPr>
            <w:tcW w:w="543" w:type="dxa"/>
            <w:vMerge w:val="restart"/>
          </w:tcPr>
          <w:p w14:paraId="53450578" w14:textId="77777777" w:rsidR="00706447" w:rsidRPr="00731FE2" w:rsidRDefault="00706447" w:rsidP="003F00EB">
            <w:pPr>
              <w:pStyle w:val="a3"/>
              <w:numPr>
                <w:ilvl w:val="0"/>
                <w:numId w:val="129"/>
              </w:numPr>
              <w:ind w:left="0" w:firstLine="0"/>
              <w:jc w:val="center"/>
              <w:rPr>
                <w:rFonts w:ascii="Times New Roman" w:eastAsia="Times New Roman" w:hAnsi="Times New Roman" w:cs="Times New Roman"/>
                <w:sz w:val="20"/>
                <w:szCs w:val="20"/>
                <w:lang w:eastAsia="ru-RU"/>
              </w:rPr>
            </w:pPr>
          </w:p>
        </w:tc>
        <w:tc>
          <w:tcPr>
            <w:tcW w:w="2890" w:type="dxa"/>
            <w:vMerge w:val="restart"/>
          </w:tcPr>
          <w:p w14:paraId="19EF9F3E"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Поселение "Дачно-Березовское"</w:t>
            </w:r>
          </w:p>
        </w:tc>
        <w:tc>
          <w:tcPr>
            <w:tcW w:w="3889" w:type="dxa"/>
            <w:vMerge w:val="restart"/>
          </w:tcPr>
          <w:p w14:paraId="18BCCE6A"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Ставропольский край, г. Кисловодск, на террасах в лесопосадке справа от дороги в дачный поселок за улицей Ермолова</w:t>
            </w:r>
          </w:p>
        </w:tc>
        <w:tc>
          <w:tcPr>
            <w:tcW w:w="2829" w:type="dxa"/>
            <w:vMerge w:val="restart"/>
          </w:tcPr>
          <w:p w14:paraId="1E477786"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приказ министра культуры Ставропольского края от 22.02.2008 г. №96</w:t>
            </w:r>
          </w:p>
        </w:tc>
        <w:tc>
          <w:tcPr>
            <w:tcW w:w="1945" w:type="dxa"/>
            <w:vMerge w:val="restart"/>
            <w:vAlign w:val="center"/>
          </w:tcPr>
          <w:p w14:paraId="36C1204E" w14:textId="77777777" w:rsidR="00706447" w:rsidRPr="00731FE2" w:rsidRDefault="00706447" w:rsidP="00F42017">
            <w:pPr>
              <w:ind w:firstLine="0"/>
              <w:jc w:val="center"/>
              <w:rPr>
                <w:rFonts w:ascii="Times New Roman" w:hAnsi="Times New Roman" w:cs="Times New Roman"/>
                <w:sz w:val="20"/>
                <w:szCs w:val="20"/>
              </w:rPr>
            </w:pPr>
            <w:r w:rsidRPr="00731FE2">
              <w:rPr>
                <w:rFonts w:ascii="Times New Roman" w:hAnsi="Times New Roman" w:cs="Times New Roman"/>
                <w:sz w:val="20"/>
                <w:szCs w:val="20"/>
              </w:rPr>
              <w:t>выявленный</w:t>
            </w:r>
          </w:p>
        </w:tc>
        <w:tc>
          <w:tcPr>
            <w:tcW w:w="2829" w:type="dxa"/>
            <w:vMerge w:val="restart"/>
          </w:tcPr>
          <w:p w14:paraId="068B76C0" w14:textId="5ECEF478" w:rsidR="00706447" w:rsidRPr="00731FE2" w:rsidRDefault="00706447" w:rsidP="00F42017">
            <w:pPr>
              <w:ind w:firstLine="0"/>
              <w:rPr>
                <w:rFonts w:ascii="Times New Roman" w:hAnsi="Times New Roman" w:cs="Times New Roman"/>
                <w:sz w:val="20"/>
                <w:szCs w:val="20"/>
              </w:rPr>
            </w:pPr>
            <w:r w:rsidRPr="00731FE2">
              <w:rPr>
                <w:rFonts w:ascii="Times New Roman" w:hAnsi="Times New Roman" w:cs="Times New Roman"/>
                <w:sz w:val="20"/>
                <w:szCs w:val="20"/>
              </w:rPr>
              <w:t>Приказом управления от 24.01.2024 № 98</w:t>
            </w:r>
            <w:r w:rsidR="00F42017" w:rsidRPr="00731FE2">
              <w:rPr>
                <w:rFonts w:ascii="Times New Roman" w:hAnsi="Times New Roman" w:cs="Times New Roman"/>
                <w:sz w:val="20"/>
                <w:szCs w:val="20"/>
              </w:rPr>
              <w:t xml:space="preserve"> </w:t>
            </w:r>
            <w:r w:rsidRPr="00731FE2">
              <w:rPr>
                <w:rFonts w:ascii="Times New Roman" w:hAnsi="Times New Roman" w:cs="Times New Roman"/>
                <w:sz w:val="20"/>
                <w:szCs w:val="20"/>
              </w:rPr>
              <w:t>утверждены границы территории объекта культурного наследия</w:t>
            </w:r>
          </w:p>
        </w:tc>
      </w:tr>
      <w:tr w:rsidR="00706447" w:rsidRPr="00731FE2" w14:paraId="1092CDA3" w14:textId="77777777" w:rsidTr="00C837D3">
        <w:trPr>
          <w:trHeight w:val="657"/>
        </w:trPr>
        <w:tc>
          <w:tcPr>
            <w:tcW w:w="543" w:type="dxa"/>
            <w:vMerge w:val="restart"/>
          </w:tcPr>
          <w:p w14:paraId="47943CE5" w14:textId="77777777" w:rsidR="00706447" w:rsidRPr="00731FE2" w:rsidRDefault="00706447" w:rsidP="003F00EB">
            <w:pPr>
              <w:pStyle w:val="a3"/>
              <w:numPr>
                <w:ilvl w:val="0"/>
                <w:numId w:val="129"/>
              </w:numPr>
              <w:ind w:left="0" w:firstLine="0"/>
              <w:jc w:val="center"/>
              <w:rPr>
                <w:rFonts w:ascii="Times New Roman" w:eastAsia="Times New Roman" w:hAnsi="Times New Roman" w:cs="Times New Roman"/>
                <w:sz w:val="20"/>
                <w:szCs w:val="20"/>
                <w:lang w:eastAsia="ru-RU"/>
              </w:rPr>
            </w:pPr>
          </w:p>
        </w:tc>
        <w:tc>
          <w:tcPr>
            <w:tcW w:w="2890" w:type="dxa"/>
            <w:vMerge w:val="restart"/>
          </w:tcPr>
          <w:p w14:paraId="1CF0EBA5"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Укрепление "Мосейкин мыс-2"</w:t>
            </w:r>
          </w:p>
        </w:tc>
        <w:tc>
          <w:tcPr>
            <w:tcW w:w="3889" w:type="dxa"/>
            <w:vMerge w:val="restart"/>
          </w:tcPr>
          <w:p w14:paraId="618CD33C"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Ставропольский край, г. Кисловодск, на правом берегу балки, образующей Мосейкин мыс на западной окраине дачных участков</w:t>
            </w:r>
          </w:p>
        </w:tc>
        <w:tc>
          <w:tcPr>
            <w:tcW w:w="2829" w:type="dxa"/>
            <w:vMerge w:val="restart"/>
          </w:tcPr>
          <w:p w14:paraId="72908AC6"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приказ министра культуры Ставропольского края от 22.02.2008 г. №96</w:t>
            </w:r>
          </w:p>
        </w:tc>
        <w:tc>
          <w:tcPr>
            <w:tcW w:w="1945" w:type="dxa"/>
            <w:vMerge w:val="restart"/>
            <w:vAlign w:val="center"/>
          </w:tcPr>
          <w:p w14:paraId="2E28AFF0" w14:textId="77777777" w:rsidR="00706447" w:rsidRPr="00731FE2" w:rsidRDefault="00706447" w:rsidP="00F42017">
            <w:pPr>
              <w:ind w:firstLine="0"/>
              <w:jc w:val="center"/>
              <w:rPr>
                <w:rFonts w:ascii="Times New Roman" w:hAnsi="Times New Roman" w:cs="Times New Roman"/>
                <w:sz w:val="20"/>
                <w:szCs w:val="20"/>
              </w:rPr>
            </w:pPr>
            <w:r w:rsidRPr="00731FE2">
              <w:rPr>
                <w:rFonts w:ascii="Times New Roman" w:hAnsi="Times New Roman" w:cs="Times New Roman"/>
                <w:sz w:val="20"/>
                <w:szCs w:val="20"/>
              </w:rPr>
              <w:t>выявленный</w:t>
            </w:r>
          </w:p>
        </w:tc>
        <w:tc>
          <w:tcPr>
            <w:tcW w:w="2829" w:type="dxa"/>
            <w:vMerge w:val="restart"/>
          </w:tcPr>
          <w:p w14:paraId="69F25424"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Границы территории объекта культурного наследия не утверждались</w:t>
            </w:r>
          </w:p>
        </w:tc>
      </w:tr>
      <w:tr w:rsidR="00706447" w:rsidRPr="00731FE2" w14:paraId="066247B1" w14:textId="77777777" w:rsidTr="00C837D3">
        <w:trPr>
          <w:trHeight w:val="640"/>
        </w:trPr>
        <w:tc>
          <w:tcPr>
            <w:tcW w:w="543" w:type="dxa"/>
            <w:vMerge w:val="restart"/>
          </w:tcPr>
          <w:p w14:paraId="6AE7908C" w14:textId="77777777" w:rsidR="00706447" w:rsidRPr="00731FE2" w:rsidRDefault="00706447" w:rsidP="003F00EB">
            <w:pPr>
              <w:pStyle w:val="a3"/>
              <w:numPr>
                <w:ilvl w:val="0"/>
                <w:numId w:val="129"/>
              </w:numPr>
              <w:ind w:left="0" w:firstLine="0"/>
              <w:jc w:val="center"/>
              <w:rPr>
                <w:rFonts w:ascii="Times New Roman" w:eastAsia="Times New Roman" w:hAnsi="Times New Roman" w:cs="Times New Roman"/>
                <w:sz w:val="20"/>
                <w:szCs w:val="20"/>
                <w:lang w:eastAsia="ru-RU"/>
              </w:rPr>
            </w:pPr>
          </w:p>
        </w:tc>
        <w:tc>
          <w:tcPr>
            <w:tcW w:w="2890" w:type="dxa"/>
            <w:vMerge w:val="restart"/>
          </w:tcPr>
          <w:p w14:paraId="50A13CC0"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Укрепление "Левоберезовское-4"</w:t>
            </w:r>
          </w:p>
        </w:tc>
        <w:tc>
          <w:tcPr>
            <w:tcW w:w="3889" w:type="dxa"/>
            <w:vMerge w:val="restart"/>
          </w:tcPr>
          <w:p w14:paraId="54A46F2F"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Ставропольский край, г. Кисловодск, мыс на левом берегу Березовой напротив Мосейкиного мыса</w:t>
            </w:r>
          </w:p>
        </w:tc>
        <w:tc>
          <w:tcPr>
            <w:tcW w:w="2829" w:type="dxa"/>
            <w:vMerge w:val="restart"/>
          </w:tcPr>
          <w:p w14:paraId="434A4B52"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приказ министра культуры Ставропольского края от 22.02.2008 г. №96</w:t>
            </w:r>
          </w:p>
        </w:tc>
        <w:tc>
          <w:tcPr>
            <w:tcW w:w="1945" w:type="dxa"/>
            <w:vMerge w:val="restart"/>
            <w:vAlign w:val="center"/>
          </w:tcPr>
          <w:p w14:paraId="14385C30" w14:textId="77777777" w:rsidR="00706447" w:rsidRPr="00731FE2" w:rsidRDefault="00706447" w:rsidP="00F42017">
            <w:pPr>
              <w:ind w:firstLine="0"/>
              <w:jc w:val="center"/>
              <w:rPr>
                <w:rFonts w:ascii="Times New Roman" w:hAnsi="Times New Roman" w:cs="Times New Roman"/>
                <w:sz w:val="20"/>
                <w:szCs w:val="20"/>
              </w:rPr>
            </w:pPr>
            <w:r w:rsidRPr="00731FE2">
              <w:rPr>
                <w:rFonts w:ascii="Times New Roman" w:hAnsi="Times New Roman" w:cs="Times New Roman"/>
                <w:sz w:val="20"/>
                <w:szCs w:val="20"/>
              </w:rPr>
              <w:t>выявленный</w:t>
            </w:r>
          </w:p>
        </w:tc>
        <w:tc>
          <w:tcPr>
            <w:tcW w:w="2829" w:type="dxa"/>
            <w:vMerge w:val="restart"/>
          </w:tcPr>
          <w:p w14:paraId="51355748"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Границы территории объекта культурного наследия не утверждались</w:t>
            </w:r>
          </w:p>
        </w:tc>
      </w:tr>
      <w:tr w:rsidR="00706447" w:rsidRPr="00731FE2" w14:paraId="0B0A6468" w14:textId="77777777" w:rsidTr="00C837D3">
        <w:trPr>
          <w:trHeight w:val="750"/>
        </w:trPr>
        <w:tc>
          <w:tcPr>
            <w:tcW w:w="543" w:type="dxa"/>
            <w:vMerge w:val="restart"/>
          </w:tcPr>
          <w:p w14:paraId="0364FF50" w14:textId="77777777" w:rsidR="00706447" w:rsidRPr="00731FE2" w:rsidRDefault="00706447" w:rsidP="003F00EB">
            <w:pPr>
              <w:pStyle w:val="a3"/>
              <w:numPr>
                <w:ilvl w:val="0"/>
                <w:numId w:val="129"/>
              </w:numPr>
              <w:ind w:left="0" w:firstLine="0"/>
              <w:jc w:val="center"/>
              <w:rPr>
                <w:rFonts w:ascii="Times New Roman" w:eastAsia="Times New Roman" w:hAnsi="Times New Roman" w:cs="Times New Roman"/>
                <w:sz w:val="20"/>
                <w:szCs w:val="20"/>
                <w:lang w:eastAsia="ru-RU"/>
              </w:rPr>
            </w:pPr>
          </w:p>
        </w:tc>
        <w:tc>
          <w:tcPr>
            <w:tcW w:w="2890" w:type="dxa"/>
            <w:vMerge w:val="restart"/>
          </w:tcPr>
          <w:p w14:paraId="54A34168"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Поселение "Левоберезовское-4"</w:t>
            </w:r>
          </w:p>
        </w:tc>
        <w:tc>
          <w:tcPr>
            <w:tcW w:w="3889" w:type="dxa"/>
            <w:vMerge w:val="restart"/>
          </w:tcPr>
          <w:p w14:paraId="1611061B"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Ставропольский край, г. Кисловодск, к западу от укрепления "Левоберезовское-4", на верхней площадке леса</w:t>
            </w:r>
          </w:p>
        </w:tc>
        <w:tc>
          <w:tcPr>
            <w:tcW w:w="2829" w:type="dxa"/>
            <w:vMerge w:val="restart"/>
          </w:tcPr>
          <w:p w14:paraId="2623ECB0"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приказ министра культуры Ставропольского края от 22.02.2008 г. №96</w:t>
            </w:r>
          </w:p>
        </w:tc>
        <w:tc>
          <w:tcPr>
            <w:tcW w:w="1945" w:type="dxa"/>
            <w:vMerge w:val="restart"/>
            <w:vAlign w:val="center"/>
          </w:tcPr>
          <w:p w14:paraId="4B3BDC3A" w14:textId="77777777" w:rsidR="00706447" w:rsidRPr="00731FE2" w:rsidRDefault="00706447" w:rsidP="00F42017">
            <w:pPr>
              <w:ind w:firstLine="0"/>
              <w:jc w:val="center"/>
              <w:rPr>
                <w:rFonts w:ascii="Times New Roman" w:hAnsi="Times New Roman" w:cs="Times New Roman"/>
                <w:sz w:val="20"/>
                <w:szCs w:val="20"/>
              </w:rPr>
            </w:pPr>
            <w:r w:rsidRPr="00731FE2">
              <w:rPr>
                <w:rFonts w:ascii="Times New Roman" w:hAnsi="Times New Roman" w:cs="Times New Roman"/>
                <w:sz w:val="20"/>
                <w:szCs w:val="20"/>
              </w:rPr>
              <w:t>выявленный</w:t>
            </w:r>
          </w:p>
        </w:tc>
        <w:tc>
          <w:tcPr>
            <w:tcW w:w="2829" w:type="dxa"/>
            <w:vMerge w:val="restart"/>
          </w:tcPr>
          <w:p w14:paraId="527C7110"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Границы территории объекта культурного наследия не утверждались</w:t>
            </w:r>
          </w:p>
        </w:tc>
      </w:tr>
      <w:tr w:rsidR="00706447" w:rsidRPr="00731FE2" w14:paraId="745920BA" w14:textId="77777777" w:rsidTr="00C837D3">
        <w:trPr>
          <w:trHeight w:val="566"/>
        </w:trPr>
        <w:tc>
          <w:tcPr>
            <w:tcW w:w="543" w:type="dxa"/>
            <w:vMerge w:val="restart"/>
          </w:tcPr>
          <w:p w14:paraId="28BAAB58" w14:textId="77777777" w:rsidR="00706447" w:rsidRPr="00731FE2" w:rsidRDefault="00706447" w:rsidP="003F00EB">
            <w:pPr>
              <w:pStyle w:val="a3"/>
              <w:numPr>
                <w:ilvl w:val="0"/>
                <w:numId w:val="129"/>
              </w:numPr>
              <w:ind w:left="0" w:firstLine="0"/>
              <w:jc w:val="center"/>
              <w:rPr>
                <w:rFonts w:ascii="Times New Roman" w:eastAsia="Times New Roman" w:hAnsi="Times New Roman" w:cs="Times New Roman"/>
                <w:sz w:val="20"/>
                <w:szCs w:val="20"/>
                <w:lang w:eastAsia="ru-RU"/>
              </w:rPr>
            </w:pPr>
          </w:p>
        </w:tc>
        <w:tc>
          <w:tcPr>
            <w:tcW w:w="2890" w:type="dxa"/>
            <w:vMerge w:val="restart"/>
          </w:tcPr>
          <w:p w14:paraId="1C4C2656"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Поселение "Митькин кутан-3"</w:t>
            </w:r>
          </w:p>
        </w:tc>
        <w:tc>
          <w:tcPr>
            <w:tcW w:w="3889" w:type="dxa"/>
            <w:vMerge w:val="restart"/>
          </w:tcPr>
          <w:p w14:paraId="30678324"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Ставропольский край, г. Кисловодск, на левом берегу реки Митькин кутан, на склоне плато, застроенного дачами</w:t>
            </w:r>
          </w:p>
        </w:tc>
        <w:tc>
          <w:tcPr>
            <w:tcW w:w="2829" w:type="dxa"/>
            <w:vMerge w:val="restart"/>
          </w:tcPr>
          <w:p w14:paraId="0E1EC403"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приказ министра культуры Ставропольского края от 22.02.2008 г. №96</w:t>
            </w:r>
          </w:p>
        </w:tc>
        <w:tc>
          <w:tcPr>
            <w:tcW w:w="1945" w:type="dxa"/>
            <w:vMerge w:val="restart"/>
            <w:vAlign w:val="center"/>
          </w:tcPr>
          <w:p w14:paraId="4D5268F4" w14:textId="77777777" w:rsidR="00706447" w:rsidRPr="00731FE2" w:rsidRDefault="00706447" w:rsidP="00F42017">
            <w:pPr>
              <w:ind w:firstLine="0"/>
              <w:jc w:val="center"/>
              <w:rPr>
                <w:rFonts w:ascii="Times New Roman" w:hAnsi="Times New Roman" w:cs="Times New Roman"/>
                <w:sz w:val="20"/>
                <w:szCs w:val="20"/>
              </w:rPr>
            </w:pPr>
            <w:r w:rsidRPr="00731FE2">
              <w:rPr>
                <w:rFonts w:ascii="Times New Roman" w:hAnsi="Times New Roman" w:cs="Times New Roman"/>
                <w:sz w:val="20"/>
                <w:szCs w:val="20"/>
              </w:rPr>
              <w:t>выявленный</w:t>
            </w:r>
          </w:p>
        </w:tc>
        <w:tc>
          <w:tcPr>
            <w:tcW w:w="2829" w:type="dxa"/>
            <w:vMerge w:val="restart"/>
          </w:tcPr>
          <w:p w14:paraId="6D912584"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Границы территории объекта культурного наследия не утверждались</w:t>
            </w:r>
          </w:p>
        </w:tc>
      </w:tr>
      <w:tr w:rsidR="00706447" w:rsidRPr="00731FE2" w14:paraId="176FC3A3" w14:textId="77777777" w:rsidTr="00C837D3">
        <w:trPr>
          <w:trHeight w:val="674"/>
        </w:trPr>
        <w:tc>
          <w:tcPr>
            <w:tcW w:w="543" w:type="dxa"/>
            <w:vMerge w:val="restart"/>
          </w:tcPr>
          <w:p w14:paraId="1A496F71" w14:textId="77777777" w:rsidR="00706447" w:rsidRPr="00731FE2" w:rsidRDefault="00706447" w:rsidP="003F00EB">
            <w:pPr>
              <w:pStyle w:val="a3"/>
              <w:numPr>
                <w:ilvl w:val="0"/>
                <w:numId w:val="129"/>
              </w:numPr>
              <w:ind w:left="0" w:firstLine="0"/>
              <w:jc w:val="center"/>
              <w:rPr>
                <w:rFonts w:ascii="Times New Roman" w:eastAsia="Times New Roman" w:hAnsi="Times New Roman" w:cs="Times New Roman"/>
                <w:sz w:val="20"/>
                <w:szCs w:val="20"/>
                <w:lang w:eastAsia="ru-RU"/>
              </w:rPr>
            </w:pPr>
          </w:p>
        </w:tc>
        <w:tc>
          <w:tcPr>
            <w:tcW w:w="2890" w:type="dxa"/>
            <w:vMerge w:val="restart"/>
          </w:tcPr>
          <w:p w14:paraId="0E44FCDF"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Поселение "Острый курган"</w:t>
            </w:r>
          </w:p>
        </w:tc>
        <w:tc>
          <w:tcPr>
            <w:tcW w:w="3889" w:type="dxa"/>
            <w:vMerge w:val="restart"/>
          </w:tcPr>
          <w:p w14:paraId="07A5C10B"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Ставропольский край, г. Кисловодск, на плато к западу от возвышенности Острый курган, на территории дачных участков</w:t>
            </w:r>
          </w:p>
        </w:tc>
        <w:tc>
          <w:tcPr>
            <w:tcW w:w="2829" w:type="dxa"/>
            <w:vMerge w:val="restart"/>
          </w:tcPr>
          <w:p w14:paraId="7CEB8827"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приказ министра культуры Ставропольского края от 22.02.2008 г. №96</w:t>
            </w:r>
          </w:p>
        </w:tc>
        <w:tc>
          <w:tcPr>
            <w:tcW w:w="1945" w:type="dxa"/>
            <w:vMerge w:val="restart"/>
            <w:vAlign w:val="center"/>
          </w:tcPr>
          <w:p w14:paraId="72D3331B" w14:textId="77777777" w:rsidR="00706447" w:rsidRPr="00731FE2" w:rsidRDefault="00706447" w:rsidP="00F42017">
            <w:pPr>
              <w:ind w:firstLine="0"/>
              <w:jc w:val="center"/>
              <w:rPr>
                <w:rFonts w:ascii="Times New Roman" w:hAnsi="Times New Roman" w:cs="Times New Roman"/>
                <w:sz w:val="20"/>
                <w:szCs w:val="20"/>
              </w:rPr>
            </w:pPr>
            <w:r w:rsidRPr="00731FE2">
              <w:rPr>
                <w:rFonts w:ascii="Times New Roman" w:hAnsi="Times New Roman" w:cs="Times New Roman"/>
                <w:sz w:val="20"/>
                <w:szCs w:val="20"/>
              </w:rPr>
              <w:t>выявленный</w:t>
            </w:r>
          </w:p>
        </w:tc>
        <w:tc>
          <w:tcPr>
            <w:tcW w:w="2829" w:type="dxa"/>
            <w:vMerge w:val="restart"/>
          </w:tcPr>
          <w:p w14:paraId="2B5C853A"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Границы территории объекта культурного наследия не утверждались</w:t>
            </w:r>
          </w:p>
        </w:tc>
      </w:tr>
      <w:tr w:rsidR="00706447" w:rsidRPr="00731FE2" w14:paraId="10A34370" w14:textId="77777777" w:rsidTr="00C837D3">
        <w:trPr>
          <w:trHeight w:val="692"/>
        </w:trPr>
        <w:tc>
          <w:tcPr>
            <w:tcW w:w="543" w:type="dxa"/>
            <w:vMerge w:val="restart"/>
          </w:tcPr>
          <w:p w14:paraId="35B0F538" w14:textId="77777777" w:rsidR="00706447" w:rsidRPr="00731FE2" w:rsidRDefault="00706447" w:rsidP="003F00EB">
            <w:pPr>
              <w:pStyle w:val="a3"/>
              <w:numPr>
                <w:ilvl w:val="0"/>
                <w:numId w:val="129"/>
              </w:numPr>
              <w:ind w:left="0" w:firstLine="0"/>
              <w:jc w:val="center"/>
              <w:rPr>
                <w:rFonts w:ascii="Times New Roman" w:eastAsia="Times New Roman" w:hAnsi="Times New Roman" w:cs="Times New Roman"/>
                <w:sz w:val="20"/>
                <w:szCs w:val="20"/>
                <w:lang w:eastAsia="ru-RU"/>
              </w:rPr>
            </w:pPr>
          </w:p>
        </w:tc>
        <w:tc>
          <w:tcPr>
            <w:tcW w:w="2890" w:type="dxa"/>
            <w:vMerge w:val="restart"/>
          </w:tcPr>
          <w:p w14:paraId="60BC373D"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Поселение "Острый курган - 2"</w:t>
            </w:r>
          </w:p>
        </w:tc>
        <w:tc>
          <w:tcPr>
            <w:tcW w:w="3889" w:type="dxa"/>
            <w:vMerge w:val="restart"/>
          </w:tcPr>
          <w:p w14:paraId="2FA00D75"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Ставропольский край, г. Кисловодск, на плато возле сосновых посадок, в600 метрах к западу от возвышенности Острый курган</w:t>
            </w:r>
          </w:p>
        </w:tc>
        <w:tc>
          <w:tcPr>
            <w:tcW w:w="2829" w:type="dxa"/>
            <w:vMerge w:val="restart"/>
          </w:tcPr>
          <w:p w14:paraId="2A31035E"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приказ министра культуры Ставропольского края от 22.02.2008 г. №96</w:t>
            </w:r>
          </w:p>
        </w:tc>
        <w:tc>
          <w:tcPr>
            <w:tcW w:w="1945" w:type="dxa"/>
            <w:vMerge w:val="restart"/>
            <w:vAlign w:val="center"/>
          </w:tcPr>
          <w:p w14:paraId="355AFA07" w14:textId="77777777" w:rsidR="00706447" w:rsidRPr="00731FE2" w:rsidRDefault="00706447" w:rsidP="00F42017">
            <w:pPr>
              <w:ind w:firstLine="0"/>
              <w:jc w:val="center"/>
              <w:rPr>
                <w:rFonts w:ascii="Times New Roman" w:hAnsi="Times New Roman" w:cs="Times New Roman"/>
                <w:sz w:val="20"/>
                <w:szCs w:val="20"/>
              </w:rPr>
            </w:pPr>
            <w:r w:rsidRPr="00731FE2">
              <w:rPr>
                <w:rFonts w:ascii="Times New Roman" w:hAnsi="Times New Roman" w:cs="Times New Roman"/>
                <w:sz w:val="20"/>
                <w:szCs w:val="20"/>
              </w:rPr>
              <w:t>выявленный</w:t>
            </w:r>
          </w:p>
        </w:tc>
        <w:tc>
          <w:tcPr>
            <w:tcW w:w="2829" w:type="dxa"/>
            <w:vMerge w:val="restart"/>
          </w:tcPr>
          <w:p w14:paraId="7E369FF4"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Границы территории объекта культурного наследия не утверждались</w:t>
            </w:r>
          </w:p>
        </w:tc>
      </w:tr>
      <w:tr w:rsidR="00706447" w:rsidRPr="00731FE2" w14:paraId="30C100EA" w14:textId="77777777" w:rsidTr="00C837D3">
        <w:trPr>
          <w:trHeight w:val="806"/>
        </w:trPr>
        <w:tc>
          <w:tcPr>
            <w:tcW w:w="543" w:type="dxa"/>
            <w:vMerge w:val="restart"/>
          </w:tcPr>
          <w:p w14:paraId="625ED376" w14:textId="77777777" w:rsidR="00706447" w:rsidRPr="00731FE2" w:rsidRDefault="00706447" w:rsidP="003F00EB">
            <w:pPr>
              <w:pStyle w:val="a3"/>
              <w:numPr>
                <w:ilvl w:val="0"/>
                <w:numId w:val="129"/>
              </w:numPr>
              <w:ind w:left="0" w:firstLine="0"/>
              <w:jc w:val="center"/>
              <w:rPr>
                <w:rFonts w:ascii="Times New Roman" w:eastAsia="Times New Roman" w:hAnsi="Times New Roman" w:cs="Times New Roman"/>
                <w:sz w:val="20"/>
                <w:szCs w:val="20"/>
                <w:lang w:eastAsia="ru-RU"/>
              </w:rPr>
            </w:pPr>
          </w:p>
        </w:tc>
        <w:tc>
          <w:tcPr>
            <w:tcW w:w="2890" w:type="dxa"/>
            <w:vMerge w:val="restart"/>
          </w:tcPr>
          <w:p w14:paraId="6AE34369"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Укрепление "Острый курган"</w:t>
            </w:r>
          </w:p>
          <w:p w14:paraId="2B9E026A" w14:textId="77777777" w:rsidR="00706447" w:rsidRPr="00731FE2" w:rsidRDefault="00706447" w:rsidP="00706447">
            <w:pPr>
              <w:ind w:firstLine="0"/>
              <w:rPr>
                <w:rFonts w:ascii="Times New Roman" w:hAnsi="Times New Roman" w:cs="Times New Roman"/>
                <w:sz w:val="20"/>
                <w:szCs w:val="20"/>
              </w:rPr>
            </w:pPr>
          </w:p>
        </w:tc>
        <w:tc>
          <w:tcPr>
            <w:tcW w:w="3889" w:type="dxa"/>
            <w:vMerge w:val="restart"/>
          </w:tcPr>
          <w:p w14:paraId="67CF6C4E"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Ставропольский край, г. Кисловодск, одиночная башня в посадках орехов на плато в 600 метрах к западу от возвышенности Острый курган</w:t>
            </w:r>
          </w:p>
        </w:tc>
        <w:tc>
          <w:tcPr>
            <w:tcW w:w="2829" w:type="dxa"/>
            <w:vMerge w:val="restart"/>
          </w:tcPr>
          <w:p w14:paraId="1B7AD756"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приказ министра культуры Ставропольского края от 22.02.2008 г. №96</w:t>
            </w:r>
          </w:p>
        </w:tc>
        <w:tc>
          <w:tcPr>
            <w:tcW w:w="1945" w:type="dxa"/>
            <w:vMerge w:val="restart"/>
            <w:vAlign w:val="center"/>
          </w:tcPr>
          <w:p w14:paraId="52A3C067" w14:textId="77777777" w:rsidR="00706447" w:rsidRPr="00731FE2" w:rsidRDefault="00706447" w:rsidP="00F42017">
            <w:pPr>
              <w:ind w:firstLine="0"/>
              <w:jc w:val="center"/>
              <w:rPr>
                <w:rFonts w:ascii="Times New Roman" w:hAnsi="Times New Roman" w:cs="Times New Roman"/>
                <w:sz w:val="20"/>
                <w:szCs w:val="20"/>
              </w:rPr>
            </w:pPr>
            <w:r w:rsidRPr="00731FE2">
              <w:rPr>
                <w:rFonts w:ascii="Times New Roman" w:hAnsi="Times New Roman" w:cs="Times New Roman"/>
                <w:sz w:val="20"/>
                <w:szCs w:val="20"/>
              </w:rPr>
              <w:t>выявленный</w:t>
            </w:r>
          </w:p>
        </w:tc>
        <w:tc>
          <w:tcPr>
            <w:tcW w:w="2829" w:type="dxa"/>
            <w:vMerge w:val="restart"/>
          </w:tcPr>
          <w:p w14:paraId="6F19182A"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Границы территории объекта культурного наследия не утверждались</w:t>
            </w:r>
          </w:p>
        </w:tc>
      </w:tr>
      <w:tr w:rsidR="00706447" w:rsidRPr="00731FE2" w14:paraId="6A665C94" w14:textId="77777777" w:rsidTr="00C837D3">
        <w:trPr>
          <w:trHeight w:val="916"/>
        </w:trPr>
        <w:tc>
          <w:tcPr>
            <w:tcW w:w="543" w:type="dxa"/>
            <w:vMerge w:val="restart"/>
          </w:tcPr>
          <w:p w14:paraId="774CDC02" w14:textId="77777777" w:rsidR="00706447" w:rsidRPr="00731FE2" w:rsidRDefault="00706447" w:rsidP="003F00EB">
            <w:pPr>
              <w:pStyle w:val="a3"/>
              <w:numPr>
                <w:ilvl w:val="0"/>
                <w:numId w:val="129"/>
              </w:numPr>
              <w:ind w:left="0" w:firstLine="0"/>
              <w:jc w:val="center"/>
              <w:rPr>
                <w:rFonts w:ascii="Times New Roman" w:eastAsia="Times New Roman" w:hAnsi="Times New Roman" w:cs="Times New Roman"/>
                <w:sz w:val="20"/>
                <w:szCs w:val="20"/>
                <w:lang w:eastAsia="ru-RU"/>
              </w:rPr>
            </w:pPr>
          </w:p>
        </w:tc>
        <w:tc>
          <w:tcPr>
            <w:tcW w:w="2890" w:type="dxa"/>
            <w:vMerge w:val="restart"/>
          </w:tcPr>
          <w:p w14:paraId="5AA1321C"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Курган "Кордон"</w:t>
            </w:r>
          </w:p>
        </w:tc>
        <w:tc>
          <w:tcPr>
            <w:tcW w:w="3889" w:type="dxa"/>
            <w:vMerge w:val="restart"/>
          </w:tcPr>
          <w:p w14:paraId="750C3FE6" w14:textId="4485857F"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Ставропольский край, г. Кисловодск, на плато под ореховыми посадками, в местности"</w:t>
            </w:r>
            <w:r w:rsidR="00F42017" w:rsidRPr="00731FE2">
              <w:rPr>
                <w:rFonts w:ascii="Times New Roman" w:hAnsi="Times New Roman" w:cs="Times New Roman"/>
                <w:sz w:val="20"/>
                <w:szCs w:val="20"/>
              </w:rPr>
              <w:t xml:space="preserve"> </w:t>
            </w:r>
            <w:r w:rsidRPr="00731FE2">
              <w:rPr>
                <w:rFonts w:ascii="Times New Roman" w:hAnsi="Times New Roman" w:cs="Times New Roman"/>
                <w:sz w:val="20"/>
                <w:szCs w:val="20"/>
              </w:rPr>
              <w:t>Лесничий кордон" в800 метрах к юго-западу от возвышенности Острый курган</w:t>
            </w:r>
          </w:p>
        </w:tc>
        <w:tc>
          <w:tcPr>
            <w:tcW w:w="2829" w:type="dxa"/>
            <w:vMerge w:val="restart"/>
          </w:tcPr>
          <w:p w14:paraId="71FC51B0"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приказ министра культуры Ставропольского края от 22.02.2008 г. №96</w:t>
            </w:r>
          </w:p>
        </w:tc>
        <w:tc>
          <w:tcPr>
            <w:tcW w:w="1945" w:type="dxa"/>
            <w:vMerge w:val="restart"/>
            <w:vAlign w:val="center"/>
          </w:tcPr>
          <w:p w14:paraId="77D6C5F2" w14:textId="77777777" w:rsidR="00706447" w:rsidRPr="00731FE2" w:rsidRDefault="00706447" w:rsidP="00F42017">
            <w:pPr>
              <w:ind w:firstLine="0"/>
              <w:jc w:val="center"/>
              <w:rPr>
                <w:rFonts w:ascii="Times New Roman" w:hAnsi="Times New Roman" w:cs="Times New Roman"/>
                <w:sz w:val="20"/>
                <w:szCs w:val="20"/>
              </w:rPr>
            </w:pPr>
            <w:r w:rsidRPr="00731FE2">
              <w:rPr>
                <w:rFonts w:ascii="Times New Roman" w:hAnsi="Times New Roman" w:cs="Times New Roman"/>
                <w:sz w:val="20"/>
                <w:szCs w:val="20"/>
              </w:rPr>
              <w:t>выявленный</w:t>
            </w:r>
          </w:p>
        </w:tc>
        <w:tc>
          <w:tcPr>
            <w:tcW w:w="2829" w:type="dxa"/>
            <w:vMerge w:val="restart"/>
          </w:tcPr>
          <w:p w14:paraId="0574BC3E"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Границы территории объекта культурного наследия не утверждались</w:t>
            </w:r>
          </w:p>
        </w:tc>
      </w:tr>
      <w:tr w:rsidR="00706447" w:rsidRPr="00731FE2" w14:paraId="6646EBE8" w14:textId="77777777" w:rsidTr="00C837D3">
        <w:trPr>
          <w:trHeight w:val="744"/>
        </w:trPr>
        <w:tc>
          <w:tcPr>
            <w:tcW w:w="543" w:type="dxa"/>
            <w:vMerge w:val="restart"/>
          </w:tcPr>
          <w:p w14:paraId="73FA9399" w14:textId="77777777" w:rsidR="00706447" w:rsidRPr="00731FE2" w:rsidRDefault="00706447" w:rsidP="003F00EB">
            <w:pPr>
              <w:pStyle w:val="a3"/>
              <w:numPr>
                <w:ilvl w:val="0"/>
                <w:numId w:val="129"/>
              </w:numPr>
              <w:ind w:left="0" w:firstLine="0"/>
              <w:jc w:val="center"/>
              <w:rPr>
                <w:rFonts w:ascii="Times New Roman" w:eastAsia="Times New Roman" w:hAnsi="Times New Roman" w:cs="Times New Roman"/>
                <w:sz w:val="20"/>
                <w:szCs w:val="20"/>
                <w:lang w:eastAsia="ru-RU"/>
              </w:rPr>
            </w:pPr>
          </w:p>
        </w:tc>
        <w:tc>
          <w:tcPr>
            <w:tcW w:w="2890" w:type="dxa"/>
            <w:vMerge w:val="restart"/>
          </w:tcPr>
          <w:p w14:paraId="6EFD3BC1"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 xml:space="preserve">Святилище "Мокрая балка" </w:t>
            </w:r>
          </w:p>
        </w:tc>
        <w:tc>
          <w:tcPr>
            <w:tcW w:w="3889" w:type="dxa"/>
            <w:vMerge w:val="restart"/>
          </w:tcPr>
          <w:p w14:paraId="03EA5FF7"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Ставропольский край, г. Кисловодск, скальная ниша на верхней террасе правого берега реки Мокрая балка под поселением "Мокрая балка-2"</w:t>
            </w:r>
          </w:p>
        </w:tc>
        <w:tc>
          <w:tcPr>
            <w:tcW w:w="2829" w:type="dxa"/>
            <w:vMerge w:val="restart"/>
          </w:tcPr>
          <w:p w14:paraId="51703C27"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приказ министра культуры Ставропольского края от 22.02.2008 г. №96</w:t>
            </w:r>
          </w:p>
        </w:tc>
        <w:tc>
          <w:tcPr>
            <w:tcW w:w="1945" w:type="dxa"/>
            <w:vMerge w:val="restart"/>
            <w:vAlign w:val="center"/>
          </w:tcPr>
          <w:p w14:paraId="59C09190" w14:textId="77777777" w:rsidR="00706447" w:rsidRPr="00731FE2" w:rsidRDefault="00706447" w:rsidP="00F42017">
            <w:pPr>
              <w:ind w:firstLine="0"/>
              <w:jc w:val="center"/>
              <w:rPr>
                <w:rFonts w:ascii="Times New Roman" w:hAnsi="Times New Roman" w:cs="Times New Roman"/>
                <w:sz w:val="20"/>
                <w:szCs w:val="20"/>
              </w:rPr>
            </w:pPr>
            <w:r w:rsidRPr="00731FE2">
              <w:rPr>
                <w:rFonts w:ascii="Times New Roman" w:hAnsi="Times New Roman" w:cs="Times New Roman"/>
                <w:sz w:val="20"/>
                <w:szCs w:val="20"/>
              </w:rPr>
              <w:t>выявленный</w:t>
            </w:r>
          </w:p>
        </w:tc>
        <w:tc>
          <w:tcPr>
            <w:tcW w:w="2829" w:type="dxa"/>
            <w:vMerge w:val="restart"/>
          </w:tcPr>
          <w:p w14:paraId="4B9D22A5"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Границы территории объекта культурного наследия не утверждались</w:t>
            </w:r>
          </w:p>
        </w:tc>
      </w:tr>
      <w:tr w:rsidR="00706447" w:rsidRPr="00731FE2" w14:paraId="389A83BC" w14:textId="77777777" w:rsidTr="00C837D3">
        <w:trPr>
          <w:trHeight w:val="850"/>
        </w:trPr>
        <w:tc>
          <w:tcPr>
            <w:tcW w:w="543" w:type="dxa"/>
            <w:vMerge w:val="restart"/>
          </w:tcPr>
          <w:p w14:paraId="49D50690" w14:textId="77777777" w:rsidR="00706447" w:rsidRPr="00731FE2" w:rsidRDefault="00706447" w:rsidP="003F00EB">
            <w:pPr>
              <w:pStyle w:val="a3"/>
              <w:numPr>
                <w:ilvl w:val="0"/>
                <w:numId w:val="129"/>
              </w:numPr>
              <w:ind w:left="0" w:firstLine="0"/>
              <w:jc w:val="center"/>
              <w:rPr>
                <w:rFonts w:ascii="Times New Roman" w:eastAsia="Times New Roman" w:hAnsi="Times New Roman" w:cs="Times New Roman"/>
                <w:sz w:val="20"/>
                <w:szCs w:val="20"/>
                <w:lang w:eastAsia="ru-RU"/>
              </w:rPr>
            </w:pPr>
          </w:p>
        </w:tc>
        <w:tc>
          <w:tcPr>
            <w:tcW w:w="2890" w:type="dxa"/>
            <w:vMerge w:val="restart"/>
          </w:tcPr>
          <w:p w14:paraId="0C698FA4"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Поселение "Мокрая балка-2"</w:t>
            </w:r>
          </w:p>
        </w:tc>
        <w:tc>
          <w:tcPr>
            <w:tcW w:w="3889" w:type="dxa"/>
            <w:vMerge w:val="restart"/>
          </w:tcPr>
          <w:p w14:paraId="48B84B70" w14:textId="5122C36A" w:rsidR="00706447" w:rsidRPr="00731FE2" w:rsidRDefault="00706447" w:rsidP="00F42017">
            <w:pPr>
              <w:ind w:firstLine="0"/>
              <w:rPr>
                <w:rFonts w:ascii="Times New Roman" w:hAnsi="Times New Roman" w:cs="Times New Roman"/>
                <w:sz w:val="20"/>
                <w:szCs w:val="20"/>
              </w:rPr>
            </w:pPr>
            <w:r w:rsidRPr="00731FE2">
              <w:rPr>
                <w:rFonts w:ascii="Times New Roman" w:hAnsi="Times New Roman" w:cs="Times New Roman"/>
                <w:sz w:val="20"/>
                <w:szCs w:val="20"/>
              </w:rPr>
              <w:t>Ставропольский край, г. Кисловодск,</w:t>
            </w:r>
            <w:r w:rsidR="00F42017" w:rsidRPr="00731FE2">
              <w:rPr>
                <w:rFonts w:ascii="Times New Roman" w:hAnsi="Times New Roman" w:cs="Times New Roman"/>
                <w:sz w:val="20"/>
                <w:szCs w:val="20"/>
              </w:rPr>
              <w:t xml:space="preserve"> </w:t>
            </w:r>
            <w:r w:rsidRPr="00731FE2">
              <w:rPr>
                <w:rFonts w:ascii="Times New Roman" w:hAnsi="Times New Roman" w:cs="Times New Roman"/>
                <w:sz w:val="20"/>
                <w:szCs w:val="20"/>
              </w:rPr>
              <w:t>плато над скальными выходами, на правом берегу Мокрой балки, в 1,1 км к юго-западу от возвышенности Острый курган</w:t>
            </w:r>
          </w:p>
        </w:tc>
        <w:tc>
          <w:tcPr>
            <w:tcW w:w="2829" w:type="dxa"/>
            <w:vMerge w:val="restart"/>
          </w:tcPr>
          <w:p w14:paraId="6132DEC1"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приказ министра культуры Ставропольского края от 22.02.2008 г. №96</w:t>
            </w:r>
          </w:p>
        </w:tc>
        <w:tc>
          <w:tcPr>
            <w:tcW w:w="1945" w:type="dxa"/>
            <w:vMerge w:val="restart"/>
            <w:vAlign w:val="center"/>
          </w:tcPr>
          <w:p w14:paraId="77986E7F" w14:textId="77777777" w:rsidR="00706447" w:rsidRPr="00731FE2" w:rsidRDefault="00706447" w:rsidP="00F42017">
            <w:pPr>
              <w:ind w:firstLine="0"/>
              <w:jc w:val="center"/>
              <w:rPr>
                <w:rFonts w:ascii="Times New Roman" w:hAnsi="Times New Roman" w:cs="Times New Roman"/>
                <w:sz w:val="20"/>
                <w:szCs w:val="20"/>
              </w:rPr>
            </w:pPr>
            <w:r w:rsidRPr="00731FE2">
              <w:rPr>
                <w:rFonts w:ascii="Times New Roman" w:hAnsi="Times New Roman" w:cs="Times New Roman"/>
                <w:sz w:val="20"/>
                <w:szCs w:val="20"/>
              </w:rPr>
              <w:t>выявленный</w:t>
            </w:r>
          </w:p>
        </w:tc>
        <w:tc>
          <w:tcPr>
            <w:tcW w:w="2829" w:type="dxa"/>
            <w:vMerge w:val="restart"/>
          </w:tcPr>
          <w:p w14:paraId="2DD3FCEB"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Границы территории объекта культурного наследия не утверждались</w:t>
            </w:r>
          </w:p>
        </w:tc>
      </w:tr>
      <w:tr w:rsidR="00706447" w:rsidRPr="00731FE2" w14:paraId="33977CDF" w14:textId="77777777" w:rsidTr="00C837D3">
        <w:trPr>
          <w:trHeight w:val="708"/>
        </w:trPr>
        <w:tc>
          <w:tcPr>
            <w:tcW w:w="543" w:type="dxa"/>
            <w:vMerge w:val="restart"/>
          </w:tcPr>
          <w:p w14:paraId="1ABC9E43" w14:textId="77777777" w:rsidR="00706447" w:rsidRPr="00731FE2" w:rsidRDefault="00706447" w:rsidP="003F00EB">
            <w:pPr>
              <w:pStyle w:val="a3"/>
              <w:numPr>
                <w:ilvl w:val="0"/>
                <w:numId w:val="129"/>
              </w:numPr>
              <w:ind w:left="0" w:firstLine="0"/>
              <w:jc w:val="center"/>
              <w:rPr>
                <w:rFonts w:ascii="Times New Roman" w:eastAsia="Times New Roman" w:hAnsi="Times New Roman" w:cs="Times New Roman"/>
                <w:sz w:val="20"/>
                <w:szCs w:val="20"/>
                <w:lang w:eastAsia="ru-RU"/>
              </w:rPr>
            </w:pPr>
          </w:p>
        </w:tc>
        <w:tc>
          <w:tcPr>
            <w:tcW w:w="2890" w:type="dxa"/>
            <w:vMerge w:val="restart"/>
          </w:tcPr>
          <w:p w14:paraId="51103772"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Дорога на святилище"Мокрая балка"</w:t>
            </w:r>
          </w:p>
        </w:tc>
        <w:tc>
          <w:tcPr>
            <w:tcW w:w="3889" w:type="dxa"/>
            <w:vMerge w:val="restart"/>
          </w:tcPr>
          <w:p w14:paraId="762BF8B6" w14:textId="4C61706C"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Ставропольский край, г. Кисловодск, остатки дороги между соединяющей поселение "Мокрая балка-2" и святилище</w:t>
            </w:r>
            <w:r w:rsidR="00F42017" w:rsidRPr="00731FE2">
              <w:rPr>
                <w:rFonts w:ascii="Times New Roman" w:hAnsi="Times New Roman" w:cs="Times New Roman"/>
                <w:sz w:val="20"/>
                <w:szCs w:val="20"/>
              </w:rPr>
              <w:t xml:space="preserve"> </w:t>
            </w:r>
            <w:r w:rsidRPr="00731FE2">
              <w:rPr>
                <w:rFonts w:ascii="Times New Roman" w:hAnsi="Times New Roman" w:cs="Times New Roman"/>
                <w:sz w:val="20"/>
                <w:szCs w:val="20"/>
              </w:rPr>
              <w:t>"Мокрая балка"</w:t>
            </w:r>
          </w:p>
        </w:tc>
        <w:tc>
          <w:tcPr>
            <w:tcW w:w="2829" w:type="dxa"/>
            <w:vMerge w:val="restart"/>
          </w:tcPr>
          <w:p w14:paraId="0FF15854"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приказ министра культуры Ставропольского края от 22.02.2008 г. №96</w:t>
            </w:r>
          </w:p>
        </w:tc>
        <w:tc>
          <w:tcPr>
            <w:tcW w:w="1945" w:type="dxa"/>
            <w:vMerge w:val="restart"/>
            <w:vAlign w:val="center"/>
          </w:tcPr>
          <w:p w14:paraId="38D64BE2" w14:textId="77777777" w:rsidR="00706447" w:rsidRPr="00731FE2" w:rsidRDefault="00706447" w:rsidP="00F42017">
            <w:pPr>
              <w:ind w:firstLine="0"/>
              <w:jc w:val="center"/>
              <w:rPr>
                <w:rFonts w:ascii="Times New Roman" w:hAnsi="Times New Roman" w:cs="Times New Roman"/>
                <w:sz w:val="20"/>
                <w:szCs w:val="20"/>
              </w:rPr>
            </w:pPr>
            <w:r w:rsidRPr="00731FE2">
              <w:rPr>
                <w:rFonts w:ascii="Times New Roman" w:hAnsi="Times New Roman" w:cs="Times New Roman"/>
                <w:sz w:val="20"/>
                <w:szCs w:val="20"/>
              </w:rPr>
              <w:t>выявленный</w:t>
            </w:r>
          </w:p>
        </w:tc>
        <w:tc>
          <w:tcPr>
            <w:tcW w:w="2829" w:type="dxa"/>
            <w:vMerge w:val="restart"/>
          </w:tcPr>
          <w:p w14:paraId="1029EDE1"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Границы территории объекта культурного наследия не утверждались</w:t>
            </w:r>
          </w:p>
        </w:tc>
      </w:tr>
      <w:tr w:rsidR="00706447" w:rsidRPr="00731FE2" w14:paraId="0765788B" w14:textId="77777777" w:rsidTr="00C837D3">
        <w:trPr>
          <w:trHeight w:val="704"/>
        </w:trPr>
        <w:tc>
          <w:tcPr>
            <w:tcW w:w="543" w:type="dxa"/>
            <w:vMerge w:val="restart"/>
          </w:tcPr>
          <w:p w14:paraId="559E5053" w14:textId="77777777" w:rsidR="00706447" w:rsidRPr="00731FE2" w:rsidRDefault="00706447" w:rsidP="003F00EB">
            <w:pPr>
              <w:pStyle w:val="a3"/>
              <w:numPr>
                <w:ilvl w:val="0"/>
                <w:numId w:val="129"/>
              </w:numPr>
              <w:ind w:left="0" w:firstLine="0"/>
              <w:jc w:val="center"/>
              <w:rPr>
                <w:rFonts w:ascii="Times New Roman" w:eastAsia="Times New Roman" w:hAnsi="Times New Roman" w:cs="Times New Roman"/>
                <w:sz w:val="20"/>
                <w:szCs w:val="20"/>
                <w:lang w:eastAsia="ru-RU"/>
              </w:rPr>
            </w:pPr>
          </w:p>
        </w:tc>
        <w:tc>
          <w:tcPr>
            <w:tcW w:w="2890" w:type="dxa"/>
            <w:vMerge w:val="restart"/>
          </w:tcPr>
          <w:p w14:paraId="357C6DC6"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Могильник "Васюкова балка"</w:t>
            </w:r>
          </w:p>
        </w:tc>
        <w:tc>
          <w:tcPr>
            <w:tcW w:w="3889" w:type="dxa"/>
            <w:vMerge w:val="restart"/>
          </w:tcPr>
          <w:p w14:paraId="018C14CF"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Ставропольский край, г. Кисловодск, за санаторием "Москва", на повороте дороги наверх и санаторием "Наркомтяжпром"</w:t>
            </w:r>
          </w:p>
        </w:tc>
        <w:tc>
          <w:tcPr>
            <w:tcW w:w="2829" w:type="dxa"/>
            <w:vMerge w:val="restart"/>
          </w:tcPr>
          <w:p w14:paraId="7606EE70"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приказ министра культуры Ставропольского края от 22.02.2008 г. №96</w:t>
            </w:r>
          </w:p>
        </w:tc>
        <w:tc>
          <w:tcPr>
            <w:tcW w:w="1945" w:type="dxa"/>
            <w:vMerge w:val="restart"/>
            <w:vAlign w:val="center"/>
          </w:tcPr>
          <w:p w14:paraId="02F62319" w14:textId="77777777" w:rsidR="00706447" w:rsidRPr="00731FE2" w:rsidRDefault="00706447" w:rsidP="00F42017">
            <w:pPr>
              <w:ind w:firstLine="0"/>
              <w:jc w:val="center"/>
              <w:rPr>
                <w:rFonts w:ascii="Times New Roman" w:hAnsi="Times New Roman" w:cs="Times New Roman"/>
                <w:sz w:val="20"/>
                <w:szCs w:val="20"/>
              </w:rPr>
            </w:pPr>
            <w:r w:rsidRPr="00731FE2">
              <w:rPr>
                <w:rFonts w:ascii="Times New Roman" w:hAnsi="Times New Roman" w:cs="Times New Roman"/>
                <w:sz w:val="20"/>
                <w:szCs w:val="20"/>
              </w:rPr>
              <w:t>выявленный</w:t>
            </w:r>
          </w:p>
        </w:tc>
        <w:tc>
          <w:tcPr>
            <w:tcW w:w="2829" w:type="dxa"/>
            <w:vMerge w:val="restart"/>
          </w:tcPr>
          <w:p w14:paraId="37AD1E05"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Границы территории объекта культурного наследия не утверждались</w:t>
            </w:r>
          </w:p>
        </w:tc>
      </w:tr>
      <w:tr w:rsidR="00706447" w:rsidRPr="00731FE2" w14:paraId="42B9C1E9" w14:textId="77777777" w:rsidTr="00C837D3">
        <w:trPr>
          <w:trHeight w:val="561"/>
        </w:trPr>
        <w:tc>
          <w:tcPr>
            <w:tcW w:w="543" w:type="dxa"/>
            <w:vMerge w:val="restart"/>
          </w:tcPr>
          <w:p w14:paraId="5ACE24FE" w14:textId="77777777" w:rsidR="00706447" w:rsidRPr="00731FE2" w:rsidRDefault="00706447" w:rsidP="003F00EB">
            <w:pPr>
              <w:pStyle w:val="a3"/>
              <w:numPr>
                <w:ilvl w:val="0"/>
                <w:numId w:val="129"/>
              </w:numPr>
              <w:ind w:left="0" w:firstLine="0"/>
              <w:jc w:val="center"/>
              <w:rPr>
                <w:rFonts w:ascii="Times New Roman" w:eastAsia="Times New Roman" w:hAnsi="Times New Roman" w:cs="Times New Roman"/>
                <w:sz w:val="20"/>
                <w:szCs w:val="20"/>
                <w:lang w:eastAsia="ru-RU"/>
              </w:rPr>
            </w:pPr>
          </w:p>
        </w:tc>
        <w:tc>
          <w:tcPr>
            <w:tcW w:w="2890" w:type="dxa"/>
            <w:vMerge w:val="restart"/>
          </w:tcPr>
          <w:p w14:paraId="316DFC77"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Склепы "Луначарские"</w:t>
            </w:r>
          </w:p>
        </w:tc>
        <w:tc>
          <w:tcPr>
            <w:tcW w:w="3889" w:type="dxa"/>
            <w:vMerge w:val="restart"/>
          </w:tcPr>
          <w:p w14:paraId="637B330D"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Ставропольский край, г. Кисловодск, северный склон холма Луначарка в лесопосадках на нижнем склоне</w:t>
            </w:r>
          </w:p>
        </w:tc>
        <w:tc>
          <w:tcPr>
            <w:tcW w:w="2829" w:type="dxa"/>
            <w:vMerge w:val="restart"/>
          </w:tcPr>
          <w:p w14:paraId="0862610D"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приказ министра культуры Ставропольского края от 22.02.2008 г. №96</w:t>
            </w:r>
          </w:p>
        </w:tc>
        <w:tc>
          <w:tcPr>
            <w:tcW w:w="1945" w:type="dxa"/>
            <w:vMerge w:val="restart"/>
            <w:vAlign w:val="center"/>
          </w:tcPr>
          <w:p w14:paraId="4131F5B5" w14:textId="77777777" w:rsidR="00706447" w:rsidRPr="00731FE2" w:rsidRDefault="00706447" w:rsidP="00F42017">
            <w:pPr>
              <w:ind w:firstLine="0"/>
              <w:jc w:val="center"/>
              <w:rPr>
                <w:rFonts w:ascii="Times New Roman" w:hAnsi="Times New Roman" w:cs="Times New Roman"/>
                <w:sz w:val="20"/>
                <w:szCs w:val="20"/>
              </w:rPr>
            </w:pPr>
            <w:r w:rsidRPr="00731FE2">
              <w:rPr>
                <w:rFonts w:ascii="Times New Roman" w:hAnsi="Times New Roman" w:cs="Times New Roman"/>
                <w:sz w:val="20"/>
                <w:szCs w:val="20"/>
              </w:rPr>
              <w:t>выявленный</w:t>
            </w:r>
          </w:p>
        </w:tc>
        <w:tc>
          <w:tcPr>
            <w:tcW w:w="2829" w:type="dxa"/>
            <w:vMerge w:val="restart"/>
          </w:tcPr>
          <w:p w14:paraId="34ABED42"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Границы территории объекта культурного наследия не утверждались</w:t>
            </w:r>
          </w:p>
        </w:tc>
      </w:tr>
      <w:tr w:rsidR="00706447" w:rsidRPr="00731FE2" w14:paraId="4D25903E" w14:textId="77777777" w:rsidTr="00C837D3">
        <w:trPr>
          <w:trHeight w:val="960"/>
        </w:trPr>
        <w:tc>
          <w:tcPr>
            <w:tcW w:w="543" w:type="dxa"/>
            <w:vMerge w:val="restart"/>
          </w:tcPr>
          <w:p w14:paraId="6B50E5AD" w14:textId="77777777" w:rsidR="00706447" w:rsidRPr="00731FE2" w:rsidRDefault="00706447" w:rsidP="003F00EB">
            <w:pPr>
              <w:pStyle w:val="a3"/>
              <w:numPr>
                <w:ilvl w:val="0"/>
                <w:numId w:val="129"/>
              </w:numPr>
              <w:ind w:left="0" w:firstLine="0"/>
              <w:jc w:val="center"/>
              <w:rPr>
                <w:rFonts w:ascii="Times New Roman" w:eastAsia="Times New Roman" w:hAnsi="Times New Roman" w:cs="Times New Roman"/>
                <w:sz w:val="20"/>
                <w:szCs w:val="20"/>
                <w:lang w:eastAsia="ru-RU"/>
              </w:rPr>
            </w:pPr>
          </w:p>
        </w:tc>
        <w:tc>
          <w:tcPr>
            <w:tcW w:w="2890" w:type="dxa"/>
            <w:vMerge w:val="restart"/>
          </w:tcPr>
          <w:p w14:paraId="19881C7B"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Могильник "Митькин кутан-2"</w:t>
            </w:r>
          </w:p>
        </w:tc>
        <w:tc>
          <w:tcPr>
            <w:tcW w:w="3889" w:type="dxa"/>
            <w:vMerge w:val="restart"/>
          </w:tcPr>
          <w:p w14:paraId="15B94D43"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Ставропольский край, г. Кисловодск, каменный ящик на дороге возле дома № 73 по улице Трудовая в поселке Луначарский в верховьях ручья Митькин кутан, на левом берегу</w:t>
            </w:r>
          </w:p>
        </w:tc>
        <w:tc>
          <w:tcPr>
            <w:tcW w:w="2829" w:type="dxa"/>
            <w:vMerge w:val="restart"/>
          </w:tcPr>
          <w:p w14:paraId="00D5CE1F"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приказ министра культуры Ставропольского края от 22.02.2008 г. №96</w:t>
            </w:r>
          </w:p>
        </w:tc>
        <w:tc>
          <w:tcPr>
            <w:tcW w:w="1945" w:type="dxa"/>
            <w:vMerge w:val="restart"/>
            <w:vAlign w:val="center"/>
          </w:tcPr>
          <w:p w14:paraId="25513961" w14:textId="77777777" w:rsidR="00706447" w:rsidRPr="00731FE2" w:rsidRDefault="00706447" w:rsidP="00F42017">
            <w:pPr>
              <w:ind w:firstLine="0"/>
              <w:jc w:val="center"/>
              <w:rPr>
                <w:rFonts w:ascii="Times New Roman" w:hAnsi="Times New Roman" w:cs="Times New Roman"/>
                <w:sz w:val="20"/>
                <w:szCs w:val="20"/>
              </w:rPr>
            </w:pPr>
            <w:r w:rsidRPr="00731FE2">
              <w:rPr>
                <w:rFonts w:ascii="Times New Roman" w:hAnsi="Times New Roman" w:cs="Times New Roman"/>
                <w:sz w:val="20"/>
                <w:szCs w:val="20"/>
              </w:rPr>
              <w:t>выявленный</w:t>
            </w:r>
          </w:p>
        </w:tc>
        <w:tc>
          <w:tcPr>
            <w:tcW w:w="2829" w:type="dxa"/>
            <w:vMerge w:val="restart"/>
          </w:tcPr>
          <w:p w14:paraId="381307F8"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Границы территории объекта культурного наследия не утверждались</w:t>
            </w:r>
          </w:p>
        </w:tc>
      </w:tr>
      <w:tr w:rsidR="00706447" w:rsidRPr="00731FE2" w14:paraId="22BD5A3F" w14:textId="77777777" w:rsidTr="00C837D3">
        <w:trPr>
          <w:trHeight w:val="716"/>
        </w:trPr>
        <w:tc>
          <w:tcPr>
            <w:tcW w:w="543" w:type="dxa"/>
            <w:vMerge w:val="restart"/>
          </w:tcPr>
          <w:p w14:paraId="351B8645" w14:textId="77777777" w:rsidR="00706447" w:rsidRPr="00731FE2" w:rsidRDefault="00706447" w:rsidP="003F00EB">
            <w:pPr>
              <w:pStyle w:val="a3"/>
              <w:numPr>
                <w:ilvl w:val="0"/>
                <w:numId w:val="129"/>
              </w:numPr>
              <w:ind w:left="0" w:firstLine="0"/>
              <w:jc w:val="center"/>
              <w:rPr>
                <w:rFonts w:ascii="Times New Roman" w:eastAsia="Times New Roman" w:hAnsi="Times New Roman" w:cs="Times New Roman"/>
                <w:sz w:val="20"/>
                <w:szCs w:val="20"/>
                <w:lang w:eastAsia="ru-RU"/>
              </w:rPr>
            </w:pPr>
          </w:p>
        </w:tc>
        <w:tc>
          <w:tcPr>
            <w:tcW w:w="2890" w:type="dxa"/>
            <w:vMerge w:val="restart"/>
          </w:tcPr>
          <w:p w14:paraId="7BFAE68B"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Поселение "Кабаногорское кольцо-1"</w:t>
            </w:r>
          </w:p>
        </w:tc>
        <w:tc>
          <w:tcPr>
            <w:tcW w:w="3889" w:type="dxa"/>
            <w:vMerge w:val="restart"/>
          </w:tcPr>
          <w:p w14:paraId="636B6EC3"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Ставропольский край, г. Кисловодск, юго-западный отрог Кабан-горы над пещерными гротами на северо-восточной окраине г. Кисловодска</w:t>
            </w:r>
          </w:p>
        </w:tc>
        <w:tc>
          <w:tcPr>
            <w:tcW w:w="2829" w:type="dxa"/>
            <w:vMerge w:val="restart"/>
          </w:tcPr>
          <w:p w14:paraId="2B8509E1"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приказ министра культуры Ставропольского края от 22.02.2008 г. №96</w:t>
            </w:r>
          </w:p>
        </w:tc>
        <w:tc>
          <w:tcPr>
            <w:tcW w:w="1945" w:type="dxa"/>
            <w:vMerge w:val="restart"/>
            <w:vAlign w:val="center"/>
          </w:tcPr>
          <w:p w14:paraId="29D8CAD1" w14:textId="77777777" w:rsidR="00706447" w:rsidRPr="00731FE2" w:rsidRDefault="00706447" w:rsidP="00F42017">
            <w:pPr>
              <w:ind w:firstLine="0"/>
              <w:jc w:val="center"/>
              <w:rPr>
                <w:rFonts w:ascii="Times New Roman" w:hAnsi="Times New Roman" w:cs="Times New Roman"/>
                <w:sz w:val="20"/>
                <w:szCs w:val="20"/>
              </w:rPr>
            </w:pPr>
            <w:r w:rsidRPr="00731FE2">
              <w:rPr>
                <w:rFonts w:ascii="Times New Roman" w:hAnsi="Times New Roman" w:cs="Times New Roman"/>
                <w:sz w:val="20"/>
                <w:szCs w:val="20"/>
              </w:rPr>
              <w:t>выявленный</w:t>
            </w:r>
          </w:p>
        </w:tc>
        <w:tc>
          <w:tcPr>
            <w:tcW w:w="2829" w:type="dxa"/>
            <w:vMerge w:val="restart"/>
          </w:tcPr>
          <w:p w14:paraId="7CE971BD"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Границы территории объекта культурного наследия не утверждались</w:t>
            </w:r>
          </w:p>
        </w:tc>
      </w:tr>
      <w:tr w:rsidR="00706447" w:rsidRPr="00731FE2" w14:paraId="7D42E480" w14:textId="77777777" w:rsidTr="00C837D3">
        <w:trPr>
          <w:trHeight w:val="982"/>
        </w:trPr>
        <w:tc>
          <w:tcPr>
            <w:tcW w:w="543" w:type="dxa"/>
            <w:vMerge w:val="restart"/>
          </w:tcPr>
          <w:p w14:paraId="553BDCA8" w14:textId="77777777" w:rsidR="00706447" w:rsidRPr="00731FE2" w:rsidRDefault="00706447" w:rsidP="003F00EB">
            <w:pPr>
              <w:pStyle w:val="a3"/>
              <w:numPr>
                <w:ilvl w:val="0"/>
                <w:numId w:val="129"/>
              </w:numPr>
              <w:ind w:left="0" w:firstLine="0"/>
              <w:jc w:val="center"/>
              <w:rPr>
                <w:rFonts w:ascii="Times New Roman" w:eastAsia="Times New Roman" w:hAnsi="Times New Roman" w:cs="Times New Roman"/>
                <w:sz w:val="20"/>
                <w:szCs w:val="20"/>
                <w:lang w:eastAsia="ru-RU"/>
              </w:rPr>
            </w:pPr>
          </w:p>
        </w:tc>
        <w:tc>
          <w:tcPr>
            <w:tcW w:w="2890" w:type="dxa"/>
            <w:vMerge w:val="restart"/>
          </w:tcPr>
          <w:p w14:paraId="748CF497"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Поселение "Кабаногорское кольцо-2"</w:t>
            </w:r>
          </w:p>
        </w:tc>
        <w:tc>
          <w:tcPr>
            <w:tcW w:w="3889" w:type="dxa"/>
            <w:vMerge w:val="restart"/>
          </w:tcPr>
          <w:p w14:paraId="5E9043B5" w14:textId="423DECF4"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 xml:space="preserve">Ставропольский край, г. Кисловодск, юго-западный склон над пещерными Гротами </w:t>
            </w:r>
            <w:r w:rsidR="00F42017" w:rsidRPr="00731FE2">
              <w:rPr>
                <w:rFonts w:ascii="Times New Roman" w:hAnsi="Times New Roman" w:cs="Times New Roman"/>
                <w:sz w:val="20"/>
                <w:szCs w:val="20"/>
              </w:rPr>
              <w:t>на юго-западный отрог</w:t>
            </w:r>
            <w:r w:rsidRPr="00731FE2">
              <w:rPr>
                <w:rFonts w:ascii="Times New Roman" w:hAnsi="Times New Roman" w:cs="Times New Roman"/>
                <w:sz w:val="20"/>
                <w:szCs w:val="20"/>
              </w:rPr>
              <w:t xml:space="preserve"> Кабан-горы на северо-восточной окраине г. Кисловодска</w:t>
            </w:r>
            <w:r w:rsidR="00F42017" w:rsidRPr="00731FE2">
              <w:rPr>
                <w:rFonts w:ascii="Times New Roman" w:hAnsi="Times New Roman" w:cs="Times New Roman"/>
                <w:sz w:val="20"/>
                <w:szCs w:val="20"/>
              </w:rPr>
              <w:t xml:space="preserve"> </w:t>
            </w:r>
            <w:r w:rsidRPr="00731FE2">
              <w:rPr>
                <w:rFonts w:ascii="Times New Roman" w:hAnsi="Times New Roman" w:cs="Times New Roman"/>
                <w:sz w:val="20"/>
                <w:szCs w:val="20"/>
              </w:rPr>
              <w:t xml:space="preserve">Чудотворца в ст. Новотроицкой </w:t>
            </w:r>
          </w:p>
        </w:tc>
        <w:tc>
          <w:tcPr>
            <w:tcW w:w="2829" w:type="dxa"/>
            <w:vMerge w:val="restart"/>
          </w:tcPr>
          <w:p w14:paraId="5F826486"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приказ министра культуры Ставропольского края от 22.02.2008 г. №96</w:t>
            </w:r>
          </w:p>
        </w:tc>
        <w:tc>
          <w:tcPr>
            <w:tcW w:w="1945" w:type="dxa"/>
            <w:vMerge w:val="restart"/>
            <w:vAlign w:val="center"/>
          </w:tcPr>
          <w:p w14:paraId="2857467E" w14:textId="77777777" w:rsidR="00706447" w:rsidRPr="00731FE2" w:rsidRDefault="00706447" w:rsidP="00F42017">
            <w:pPr>
              <w:ind w:firstLine="0"/>
              <w:jc w:val="center"/>
              <w:rPr>
                <w:rFonts w:ascii="Times New Roman" w:hAnsi="Times New Roman" w:cs="Times New Roman"/>
                <w:sz w:val="20"/>
                <w:szCs w:val="20"/>
              </w:rPr>
            </w:pPr>
            <w:r w:rsidRPr="00731FE2">
              <w:rPr>
                <w:rFonts w:ascii="Times New Roman" w:hAnsi="Times New Roman" w:cs="Times New Roman"/>
                <w:sz w:val="20"/>
                <w:szCs w:val="20"/>
              </w:rPr>
              <w:t>выявленный</w:t>
            </w:r>
          </w:p>
        </w:tc>
        <w:tc>
          <w:tcPr>
            <w:tcW w:w="2829" w:type="dxa"/>
            <w:vMerge w:val="restart"/>
          </w:tcPr>
          <w:p w14:paraId="37381323"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Границы территории объекта культурного наследия не утверждались</w:t>
            </w:r>
          </w:p>
        </w:tc>
      </w:tr>
      <w:tr w:rsidR="00706447" w:rsidRPr="00731FE2" w14:paraId="419D1F76" w14:textId="77777777" w:rsidTr="00C837D3">
        <w:trPr>
          <w:trHeight w:val="708"/>
        </w:trPr>
        <w:tc>
          <w:tcPr>
            <w:tcW w:w="543" w:type="dxa"/>
            <w:vMerge w:val="restart"/>
          </w:tcPr>
          <w:p w14:paraId="0A450AF3" w14:textId="77777777" w:rsidR="00706447" w:rsidRPr="00731FE2" w:rsidRDefault="00706447" w:rsidP="003F00EB">
            <w:pPr>
              <w:pStyle w:val="a3"/>
              <w:numPr>
                <w:ilvl w:val="0"/>
                <w:numId w:val="129"/>
              </w:numPr>
              <w:ind w:left="0" w:firstLine="0"/>
              <w:jc w:val="center"/>
              <w:rPr>
                <w:rFonts w:ascii="Times New Roman" w:eastAsia="Times New Roman" w:hAnsi="Times New Roman" w:cs="Times New Roman"/>
                <w:sz w:val="20"/>
                <w:szCs w:val="20"/>
                <w:lang w:eastAsia="ru-RU"/>
              </w:rPr>
            </w:pPr>
          </w:p>
        </w:tc>
        <w:tc>
          <w:tcPr>
            <w:tcW w:w="2890" w:type="dxa"/>
            <w:vMerge w:val="restart"/>
          </w:tcPr>
          <w:p w14:paraId="15C1B6EA"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Укрепление "Кабаногорское кольцо-1"</w:t>
            </w:r>
          </w:p>
        </w:tc>
        <w:tc>
          <w:tcPr>
            <w:tcW w:w="3889" w:type="dxa"/>
            <w:vMerge w:val="restart"/>
          </w:tcPr>
          <w:p w14:paraId="4392F00C"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Ставропольский край, г. Кисловодск, площадка под поселением «Кабаногорское кольцо-1», на северо-восточной окраине г. Кисловодска</w:t>
            </w:r>
          </w:p>
        </w:tc>
        <w:tc>
          <w:tcPr>
            <w:tcW w:w="2829" w:type="dxa"/>
            <w:vMerge w:val="restart"/>
          </w:tcPr>
          <w:p w14:paraId="770FC94F"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приказ министра культуры Ставропольского края от 22.02.2008 г. № 96</w:t>
            </w:r>
          </w:p>
        </w:tc>
        <w:tc>
          <w:tcPr>
            <w:tcW w:w="1945" w:type="dxa"/>
            <w:vMerge w:val="restart"/>
            <w:vAlign w:val="center"/>
          </w:tcPr>
          <w:p w14:paraId="33AACA72" w14:textId="77777777" w:rsidR="00706447" w:rsidRPr="00731FE2" w:rsidRDefault="00706447" w:rsidP="00F42017">
            <w:pPr>
              <w:ind w:firstLine="0"/>
              <w:jc w:val="center"/>
              <w:rPr>
                <w:rFonts w:ascii="Times New Roman" w:hAnsi="Times New Roman" w:cs="Times New Roman"/>
                <w:sz w:val="20"/>
                <w:szCs w:val="20"/>
              </w:rPr>
            </w:pPr>
            <w:r w:rsidRPr="00731FE2">
              <w:rPr>
                <w:rFonts w:ascii="Times New Roman" w:hAnsi="Times New Roman" w:cs="Times New Roman"/>
                <w:sz w:val="20"/>
                <w:szCs w:val="20"/>
              </w:rPr>
              <w:t>выявленный</w:t>
            </w:r>
          </w:p>
        </w:tc>
        <w:tc>
          <w:tcPr>
            <w:tcW w:w="2829" w:type="dxa"/>
            <w:vMerge w:val="restart"/>
          </w:tcPr>
          <w:p w14:paraId="3A253CE0"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Границы территории объекта культурного наследия не утверждались</w:t>
            </w:r>
          </w:p>
        </w:tc>
      </w:tr>
      <w:tr w:rsidR="00706447" w:rsidRPr="00731FE2" w14:paraId="14836114" w14:textId="77777777" w:rsidTr="00C837D3">
        <w:trPr>
          <w:trHeight w:val="283"/>
        </w:trPr>
        <w:tc>
          <w:tcPr>
            <w:tcW w:w="543" w:type="dxa"/>
            <w:vMerge w:val="restart"/>
          </w:tcPr>
          <w:p w14:paraId="43CCD3A6" w14:textId="77777777" w:rsidR="00706447" w:rsidRPr="00731FE2" w:rsidRDefault="00706447" w:rsidP="003F00EB">
            <w:pPr>
              <w:pStyle w:val="a3"/>
              <w:numPr>
                <w:ilvl w:val="0"/>
                <w:numId w:val="129"/>
              </w:numPr>
              <w:ind w:left="0" w:firstLine="0"/>
              <w:jc w:val="center"/>
              <w:rPr>
                <w:rFonts w:ascii="Times New Roman" w:eastAsia="Times New Roman" w:hAnsi="Times New Roman" w:cs="Times New Roman"/>
                <w:sz w:val="20"/>
                <w:szCs w:val="20"/>
                <w:lang w:eastAsia="ru-RU"/>
              </w:rPr>
            </w:pPr>
          </w:p>
        </w:tc>
        <w:tc>
          <w:tcPr>
            <w:tcW w:w="2890" w:type="dxa"/>
            <w:vMerge w:val="restart"/>
          </w:tcPr>
          <w:p w14:paraId="23E062B8"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Укрепление "Малое седло-1"</w:t>
            </w:r>
          </w:p>
        </w:tc>
        <w:tc>
          <w:tcPr>
            <w:tcW w:w="3889" w:type="dxa"/>
            <w:vMerge w:val="restart"/>
          </w:tcPr>
          <w:p w14:paraId="7237F765"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 xml:space="preserve">Ставропольский край, г. Кисловодск, скальный останец к югу от Малого седла на левой стороне балки над правительственной дачей "Сосновый бор" </w:t>
            </w:r>
          </w:p>
        </w:tc>
        <w:tc>
          <w:tcPr>
            <w:tcW w:w="2829" w:type="dxa"/>
            <w:vMerge w:val="restart"/>
          </w:tcPr>
          <w:p w14:paraId="681AD3A0"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приказ министра культуры Ставропольского края от 22.02.2008 г. № 96</w:t>
            </w:r>
          </w:p>
        </w:tc>
        <w:tc>
          <w:tcPr>
            <w:tcW w:w="1945" w:type="dxa"/>
            <w:vMerge w:val="restart"/>
            <w:vAlign w:val="center"/>
          </w:tcPr>
          <w:p w14:paraId="68359DBB" w14:textId="77777777" w:rsidR="00706447" w:rsidRPr="00731FE2" w:rsidRDefault="00706447" w:rsidP="00F42017">
            <w:pPr>
              <w:ind w:firstLine="0"/>
              <w:jc w:val="center"/>
              <w:rPr>
                <w:rFonts w:ascii="Times New Roman" w:hAnsi="Times New Roman" w:cs="Times New Roman"/>
                <w:sz w:val="20"/>
                <w:szCs w:val="20"/>
              </w:rPr>
            </w:pPr>
            <w:r w:rsidRPr="00731FE2">
              <w:rPr>
                <w:rFonts w:ascii="Times New Roman" w:hAnsi="Times New Roman" w:cs="Times New Roman"/>
                <w:sz w:val="20"/>
                <w:szCs w:val="20"/>
              </w:rPr>
              <w:t>выявленный</w:t>
            </w:r>
          </w:p>
        </w:tc>
        <w:tc>
          <w:tcPr>
            <w:tcW w:w="2829" w:type="dxa"/>
            <w:vMerge w:val="restart"/>
          </w:tcPr>
          <w:p w14:paraId="6BF0EB65"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Границы территории объекта культурного наследия не утверждались</w:t>
            </w:r>
          </w:p>
        </w:tc>
      </w:tr>
      <w:tr w:rsidR="00706447" w:rsidRPr="00731FE2" w14:paraId="4B926407" w14:textId="77777777" w:rsidTr="00C837D3">
        <w:trPr>
          <w:trHeight w:val="566"/>
        </w:trPr>
        <w:tc>
          <w:tcPr>
            <w:tcW w:w="543" w:type="dxa"/>
            <w:vMerge w:val="restart"/>
          </w:tcPr>
          <w:p w14:paraId="0F2FF896" w14:textId="77777777" w:rsidR="00706447" w:rsidRPr="00731FE2" w:rsidRDefault="00706447" w:rsidP="003F00EB">
            <w:pPr>
              <w:pStyle w:val="a3"/>
              <w:numPr>
                <w:ilvl w:val="0"/>
                <w:numId w:val="129"/>
              </w:numPr>
              <w:ind w:left="0" w:firstLine="0"/>
              <w:jc w:val="center"/>
              <w:rPr>
                <w:rFonts w:ascii="Times New Roman" w:eastAsia="Times New Roman" w:hAnsi="Times New Roman" w:cs="Times New Roman"/>
                <w:sz w:val="20"/>
                <w:szCs w:val="20"/>
                <w:lang w:eastAsia="ru-RU"/>
              </w:rPr>
            </w:pPr>
          </w:p>
        </w:tc>
        <w:tc>
          <w:tcPr>
            <w:tcW w:w="2890" w:type="dxa"/>
            <w:vMerge w:val="restart"/>
          </w:tcPr>
          <w:p w14:paraId="3E604E6F"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Поселение "Камышовая балка-1"</w:t>
            </w:r>
          </w:p>
        </w:tc>
        <w:tc>
          <w:tcPr>
            <w:tcW w:w="3889" w:type="dxa"/>
            <w:vMerge w:val="restart"/>
          </w:tcPr>
          <w:p w14:paraId="0FADDE28"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 xml:space="preserve">Ставропольский край, г. Кисловодск, юго-западный склон Джинальского хребта, к северо-востоку от поселка Нарзанный, в верховьях Камышовой балки </w:t>
            </w:r>
          </w:p>
        </w:tc>
        <w:tc>
          <w:tcPr>
            <w:tcW w:w="2829" w:type="dxa"/>
            <w:vMerge w:val="restart"/>
          </w:tcPr>
          <w:p w14:paraId="1C30523D"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приказ министра культуры Ставропольского края от 22.02.2008 г. № 96</w:t>
            </w:r>
          </w:p>
        </w:tc>
        <w:tc>
          <w:tcPr>
            <w:tcW w:w="1945" w:type="dxa"/>
            <w:vMerge w:val="restart"/>
            <w:vAlign w:val="center"/>
          </w:tcPr>
          <w:p w14:paraId="04CFC05C" w14:textId="77777777" w:rsidR="00706447" w:rsidRPr="00731FE2" w:rsidRDefault="00706447" w:rsidP="00F42017">
            <w:pPr>
              <w:ind w:firstLine="0"/>
              <w:jc w:val="center"/>
              <w:rPr>
                <w:rFonts w:ascii="Times New Roman" w:hAnsi="Times New Roman" w:cs="Times New Roman"/>
                <w:sz w:val="20"/>
                <w:szCs w:val="20"/>
              </w:rPr>
            </w:pPr>
            <w:r w:rsidRPr="00731FE2">
              <w:rPr>
                <w:rFonts w:ascii="Times New Roman" w:hAnsi="Times New Roman" w:cs="Times New Roman"/>
                <w:sz w:val="20"/>
                <w:szCs w:val="20"/>
              </w:rPr>
              <w:t>выявленный</w:t>
            </w:r>
          </w:p>
        </w:tc>
        <w:tc>
          <w:tcPr>
            <w:tcW w:w="2829" w:type="dxa"/>
            <w:vMerge w:val="restart"/>
          </w:tcPr>
          <w:p w14:paraId="311346DD"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Границы территории объекта культурного наследия не утверждались</w:t>
            </w:r>
          </w:p>
        </w:tc>
      </w:tr>
      <w:tr w:rsidR="00706447" w:rsidRPr="00731FE2" w14:paraId="2305EE3A" w14:textId="77777777" w:rsidTr="00C837D3">
        <w:trPr>
          <w:trHeight w:val="790"/>
        </w:trPr>
        <w:tc>
          <w:tcPr>
            <w:tcW w:w="543" w:type="dxa"/>
            <w:vMerge w:val="restart"/>
          </w:tcPr>
          <w:p w14:paraId="4A142EEB" w14:textId="77777777" w:rsidR="00706447" w:rsidRPr="00731FE2" w:rsidRDefault="00706447" w:rsidP="003F00EB">
            <w:pPr>
              <w:pStyle w:val="a3"/>
              <w:numPr>
                <w:ilvl w:val="0"/>
                <w:numId w:val="129"/>
              </w:numPr>
              <w:ind w:left="0" w:firstLine="0"/>
              <w:jc w:val="center"/>
              <w:rPr>
                <w:rFonts w:ascii="Times New Roman" w:eastAsia="Times New Roman" w:hAnsi="Times New Roman" w:cs="Times New Roman"/>
                <w:sz w:val="20"/>
                <w:szCs w:val="20"/>
                <w:lang w:eastAsia="ru-RU"/>
              </w:rPr>
            </w:pPr>
          </w:p>
        </w:tc>
        <w:tc>
          <w:tcPr>
            <w:tcW w:w="2890" w:type="dxa"/>
            <w:vMerge w:val="restart"/>
          </w:tcPr>
          <w:p w14:paraId="0358C710"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Поселение "Камышовая балка-2"</w:t>
            </w:r>
          </w:p>
        </w:tc>
        <w:tc>
          <w:tcPr>
            <w:tcW w:w="3889" w:type="dxa"/>
            <w:vMerge w:val="restart"/>
          </w:tcPr>
          <w:p w14:paraId="7FD9748B"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Ставропольский край, г. Кисловодск, на склонах, к северо-востоку от укрепления "Камышовая балка-1", на юго-западном склоне</w:t>
            </w:r>
          </w:p>
        </w:tc>
        <w:tc>
          <w:tcPr>
            <w:tcW w:w="2829" w:type="dxa"/>
            <w:vMerge w:val="restart"/>
          </w:tcPr>
          <w:p w14:paraId="5459007D"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приказ министра культуры Ставропольского края от 22.02.2008 г. № 96</w:t>
            </w:r>
          </w:p>
        </w:tc>
        <w:tc>
          <w:tcPr>
            <w:tcW w:w="1945" w:type="dxa"/>
            <w:vMerge w:val="restart"/>
            <w:vAlign w:val="center"/>
          </w:tcPr>
          <w:p w14:paraId="7574AF52" w14:textId="77777777" w:rsidR="00706447" w:rsidRPr="00731FE2" w:rsidRDefault="00706447" w:rsidP="00F42017">
            <w:pPr>
              <w:ind w:firstLine="0"/>
              <w:jc w:val="center"/>
              <w:rPr>
                <w:rFonts w:ascii="Times New Roman" w:hAnsi="Times New Roman" w:cs="Times New Roman"/>
                <w:sz w:val="20"/>
                <w:szCs w:val="20"/>
              </w:rPr>
            </w:pPr>
            <w:r w:rsidRPr="00731FE2">
              <w:rPr>
                <w:rFonts w:ascii="Times New Roman" w:hAnsi="Times New Roman" w:cs="Times New Roman"/>
                <w:sz w:val="20"/>
                <w:szCs w:val="20"/>
              </w:rPr>
              <w:t>выявленный</w:t>
            </w:r>
          </w:p>
        </w:tc>
        <w:tc>
          <w:tcPr>
            <w:tcW w:w="2829" w:type="dxa"/>
            <w:vMerge w:val="restart"/>
          </w:tcPr>
          <w:p w14:paraId="1876DCEB"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Границы территории объекта культурного наследия не утверждались</w:t>
            </w:r>
          </w:p>
        </w:tc>
      </w:tr>
      <w:tr w:rsidR="00706447" w:rsidRPr="00731FE2" w14:paraId="2F52844B" w14:textId="77777777" w:rsidTr="00C837D3">
        <w:trPr>
          <w:trHeight w:val="900"/>
        </w:trPr>
        <w:tc>
          <w:tcPr>
            <w:tcW w:w="543" w:type="dxa"/>
            <w:vMerge w:val="restart"/>
          </w:tcPr>
          <w:p w14:paraId="3590EC28" w14:textId="77777777" w:rsidR="00706447" w:rsidRPr="00731FE2" w:rsidRDefault="00706447" w:rsidP="003F00EB">
            <w:pPr>
              <w:pStyle w:val="a3"/>
              <w:numPr>
                <w:ilvl w:val="0"/>
                <w:numId w:val="129"/>
              </w:numPr>
              <w:ind w:left="0" w:firstLine="0"/>
              <w:jc w:val="center"/>
              <w:rPr>
                <w:rFonts w:ascii="Times New Roman" w:eastAsia="Times New Roman" w:hAnsi="Times New Roman" w:cs="Times New Roman"/>
                <w:sz w:val="20"/>
                <w:szCs w:val="20"/>
                <w:lang w:eastAsia="ru-RU"/>
              </w:rPr>
            </w:pPr>
          </w:p>
        </w:tc>
        <w:tc>
          <w:tcPr>
            <w:tcW w:w="2890" w:type="dxa"/>
            <w:vMerge w:val="restart"/>
          </w:tcPr>
          <w:p w14:paraId="13C08025"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Поселение "Камышовая балка-3"</w:t>
            </w:r>
          </w:p>
        </w:tc>
        <w:tc>
          <w:tcPr>
            <w:tcW w:w="3889" w:type="dxa"/>
            <w:vMerge w:val="restart"/>
          </w:tcPr>
          <w:p w14:paraId="5B00B51A"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Ставропольский край, г. Кисловодск, мыс на правой стороне Камышовой балки, к востоку от поселка Нарзанный, на окраине лесопосадок Курзеленстроя</w:t>
            </w:r>
          </w:p>
        </w:tc>
        <w:tc>
          <w:tcPr>
            <w:tcW w:w="2829" w:type="dxa"/>
            <w:vMerge w:val="restart"/>
          </w:tcPr>
          <w:p w14:paraId="45307FFC"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приказ министра культуры Ставропольского края от 22.02.2008 г. № 96</w:t>
            </w:r>
          </w:p>
        </w:tc>
        <w:tc>
          <w:tcPr>
            <w:tcW w:w="1945" w:type="dxa"/>
            <w:vMerge w:val="restart"/>
            <w:vAlign w:val="center"/>
          </w:tcPr>
          <w:p w14:paraId="70AAC2B5" w14:textId="77777777" w:rsidR="00706447" w:rsidRPr="00731FE2" w:rsidRDefault="00706447" w:rsidP="00F42017">
            <w:pPr>
              <w:ind w:firstLine="0"/>
              <w:jc w:val="center"/>
              <w:rPr>
                <w:rFonts w:ascii="Times New Roman" w:hAnsi="Times New Roman" w:cs="Times New Roman"/>
                <w:sz w:val="20"/>
                <w:szCs w:val="20"/>
              </w:rPr>
            </w:pPr>
            <w:r w:rsidRPr="00731FE2">
              <w:rPr>
                <w:rFonts w:ascii="Times New Roman" w:hAnsi="Times New Roman" w:cs="Times New Roman"/>
                <w:sz w:val="20"/>
                <w:szCs w:val="20"/>
              </w:rPr>
              <w:t>выявленный</w:t>
            </w:r>
          </w:p>
        </w:tc>
        <w:tc>
          <w:tcPr>
            <w:tcW w:w="2829" w:type="dxa"/>
            <w:vMerge w:val="restart"/>
          </w:tcPr>
          <w:p w14:paraId="61FC83A0"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Границы территории объекта культурного наследия не утверждались</w:t>
            </w:r>
          </w:p>
        </w:tc>
      </w:tr>
      <w:tr w:rsidR="00706447" w:rsidRPr="00731FE2" w14:paraId="4FE77CAD" w14:textId="77777777" w:rsidTr="00C837D3">
        <w:trPr>
          <w:trHeight w:val="991"/>
        </w:trPr>
        <w:tc>
          <w:tcPr>
            <w:tcW w:w="543" w:type="dxa"/>
            <w:vMerge w:val="restart"/>
          </w:tcPr>
          <w:p w14:paraId="0BA9EBB2" w14:textId="77777777" w:rsidR="00706447" w:rsidRPr="00731FE2" w:rsidRDefault="00706447" w:rsidP="003F00EB">
            <w:pPr>
              <w:pStyle w:val="a3"/>
              <w:numPr>
                <w:ilvl w:val="0"/>
                <w:numId w:val="129"/>
              </w:numPr>
              <w:ind w:left="0" w:firstLine="0"/>
              <w:jc w:val="center"/>
              <w:rPr>
                <w:rFonts w:ascii="Times New Roman" w:eastAsia="Times New Roman" w:hAnsi="Times New Roman" w:cs="Times New Roman"/>
                <w:sz w:val="20"/>
                <w:szCs w:val="20"/>
                <w:lang w:eastAsia="ru-RU"/>
              </w:rPr>
            </w:pPr>
          </w:p>
        </w:tc>
        <w:tc>
          <w:tcPr>
            <w:tcW w:w="2890" w:type="dxa"/>
            <w:vMerge w:val="restart"/>
          </w:tcPr>
          <w:p w14:paraId="10C3B2DB"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Укрепление "Камышовая балка-1"</w:t>
            </w:r>
          </w:p>
        </w:tc>
        <w:tc>
          <w:tcPr>
            <w:tcW w:w="3889" w:type="dxa"/>
            <w:vMerge w:val="restart"/>
          </w:tcPr>
          <w:p w14:paraId="3EB12EF6"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Ставропольский край, г. Кисловодск, мыс в районе лесопосадок Курзеленстроя, в верховьях 1-й Камышовой балки, к северо-востоку от п. Нарзанный, на окраине посадок Курзеленстроя</w:t>
            </w:r>
          </w:p>
        </w:tc>
        <w:tc>
          <w:tcPr>
            <w:tcW w:w="2829" w:type="dxa"/>
            <w:vMerge w:val="restart"/>
          </w:tcPr>
          <w:p w14:paraId="2E635E12"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приказ министра культуры Ставропольского края от 22.02.2008 г. № 96</w:t>
            </w:r>
          </w:p>
        </w:tc>
        <w:tc>
          <w:tcPr>
            <w:tcW w:w="1945" w:type="dxa"/>
            <w:vMerge w:val="restart"/>
            <w:vAlign w:val="center"/>
          </w:tcPr>
          <w:p w14:paraId="351CB60D" w14:textId="77777777" w:rsidR="00706447" w:rsidRPr="00731FE2" w:rsidRDefault="00706447" w:rsidP="00F42017">
            <w:pPr>
              <w:ind w:firstLine="0"/>
              <w:jc w:val="center"/>
              <w:rPr>
                <w:rFonts w:ascii="Times New Roman" w:hAnsi="Times New Roman" w:cs="Times New Roman"/>
                <w:sz w:val="20"/>
                <w:szCs w:val="20"/>
              </w:rPr>
            </w:pPr>
            <w:r w:rsidRPr="00731FE2">
              <w:rPr>
                <w:rFonts w:ascii="Times New Roman" w:hAnsi="Times New Roman" w:cs="Times New Roman"/>
                <w:sz w:val="20"/>
                <w:szCs w:val="20"/>
              </w:rPr>
              <w:t>выявленный</w:t>
            </w:r>
          </w:p>
        </w:tc>
        <w:tc>
          <w:tcPr>
            <w:tcW w:w="2829" w:type="dxa"/>
            <w:vMerge w:val="restart"/>
          </w:tcPr>
          <w:p w14:paraId="2980DE93"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Границы территории объекта культурного наследия не утверждались</w:t>
            </w:r>
          </w:p>
        </w:tc>
      </w:tr>
      <w:tr w:rsidR="00706447" w:rsidRPr="00731FE2" w14:paraId="10082956" w14:textId="77777777" w:rsidTr="00C837D3">
        <w:trPr>
          <w:trHeight w:val="708"/>
        </w:trPr>
        <w:tc>
          <w:tcPr>
            <w:tcW w:w="543" w:type="dxa"/>
            <w:vMerge w:val="restart"/>
          </w:tcPr>
          <w:p w14:paraId="7EA6D96D" w14:textId="77777777" w:rsidR="00706447" w:rsidRPr="00731FE2" w:rsidRDefault="00706447" w:rsidP="003F00EB">
            <w:pPr>
              <w:pStyle w:val="a3"/>
              <w:numPr>
                <w:ilvl w:val="0"/>
                <w:numId w:val="129"/>
              </w:numPr>
              <w:ind w:left="0" w:firstLine="0"/>
              <w:jc w:val="center"/>
              <w:rPr>
                <w:rFonts w:ascii="Times New Roman" w:eastAsia="Times New Roman" w:hAnsi="Times New Roman" w:cs="Times New Roman"/>
                <w:sz w:val="20"/>
                <w:szCs w:val="20"/>
                <w:lang w:eastAsia="ru-RU"/>
              </w:rPr>
            </w:pPr>
          </w:p>
        </w:tc>
        <w:tc>
          <w:tcPr>
            <w:tcW w:w="2890" w:type="dxa"/>
            <w:vMerge w:val="restart"/>
          </w:tcPr>
          <w:p w14:paraId="61F02FF8"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Поселение "Большое седло-1"</w:t>
            </w:r>
          </w:p>
        </w:tc>
        <w:tc>
          <w:tcPr>
            <w:tcW w:w="3889" w:type="dxa"/>
            <w:vMerge w:val="restart"/>
          </w:tcPr>
          <w:p w14:paraId="566D2338"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Ставропольский край, г. Кисловодск, слева от дороги из г. Кисловодска, на правом берегу реки Белой, на мысе-отроге Джинальского хребта</w:t>
            </w:r>
          </w:p>
        </w:tc>
        <w:tc>
          <w:tcPr>
            <w:tcW w:w="2829" w:type="dxa"/>
            <w:vMerge w:val="restart"/>
          </w:tcPr>
          <w:p w14:paraId="33ED0B4A"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приказ министра культуры Ставропольского края от 22.02.2008 г. № 96</w:t>
            </w:r>
          </w:p>
        </w:tc>
        <w:tc>
          <w:tcPr>
            <w:tcW w:w="1945" w:type="dxa"/>
            <w:vMerge w:val="restart"/>
            <w:vAlign w:val="center"/>
          </w:tcPr>
          <w:p w14:paraId="27D6D799" w14:textId="77777777" w:rsidR="00706447" w:rsidRPr="00731FE2" w:rsidRDefault="00706447" w:rsidP="00F42017">
            <w:pPr>
              <w:ind w:firstLine="0"/>
              <w:jc w:val="center"/>
              <w:rPr>
                <w:rFonts w:ascii="Times New Roman" w:hAnsi="Times New Roman" w:cs="Times New Roman"/>
                <w:sz w:val="20"/>
                <w:szCs w:val="20"/>
              </w:rPr>
            </w:pPr>
            <w:r w:rsidRPr="00731FE2">
              <w:rPr>
                <w:rFonts w:ascii="Times New Roman" w:hAnsi="Times New Roman" w:cs="Times New Roman"/>
                <w:sz w:val="20"/>
                <w:szCs w:val="20"/>
              </w:rPr>
              <w:t>выявленный</w:t>
            </w:r>
          </w:p>
        </w:tc>
        <w:tc>
          <w:tcPr>
            <w:tcW w:w="2829" w:type="dxa"/>
            <w:vMerge w:val="restart"/>
          </w:tcPr>
          <w:p w14:paraId="7819C785"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Границы территории объекта культурного наследия не утверждались</w:t>
            </w:r>
          </w:p>
        </w:tc>
      </w:tr>
      <w:tr w:rsidR="00706447" w:rsidRPr="00731FE2" w14:paraId="6D041948" w14:textId="77777777" w:rsidTr="00C837D3">
        <w:trPr>
          <w:trHeight w:val="850"/>
        </w:trPr>
        <w:tc>
          <w:tcPr>
            <w:tcW w:w="543" w:type="dxa"/>
            <w:vMerge w:val="restart"/>
          </w:tcPr>
          <w:p w14:paraId="24269100" w14:textId="77777777" w:rsidR="00706447" w:rsidRPr="00731FE2" w:rsidRDefault="00706447" w:rsidP="003F00EB">
            <w:pPr>
              <w:pStyle w:val="a3"/>
              <w:numPr>
                <w:ilvl w:val="0"/>
                <w:numId w:val="129"/>
              </w:numPr>
              <w:ind w:left="0" w:firstLine="0"/>
              <w:jc w:val="center"/>
              <w:rPr>
                <w:rFonts w:ascii="Times New Roman" w:eastAsia="Times New Roman" w:hAnsi="Times New Roman" w:cs="Times New Roman"/>
                <w:sz w:val="20"/>
                <w:szCs w:val="20"/>
                <w:lang w:eastAsia="ru-RU"/>
              </w:rPr>
            </w:pPr>
          </w:p>
        </w:tc>
        <w:tc>
          <w:tcPr>
            <w:tcW w:w="2890" w:type="dxa"/>
            <w:vMerge w:val="restart"/>
          </w:tcPr>
          <w:p w14:paraId="76956EC9"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Укрепление "Дзержинка"</w:t>
            </w:r>
          </w:p>
        </w:tc>
        <w:tc>
          <w:tcPr>
            <w:tcW w:w="3889" w:type="dxa"/>
            <w:vMerge w:val="restart"/>
          </w:tcPr>
          <w:p w14:paraId="5DC8014A"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Ставропольский край, г. Кисловодск, на мысу к северу от "Правительственной дачи", в балке на левом берегу ручья - притока Ольховки под хозяйством Дзержинка</w:t>
            </w:r>
          </w:p>
        </w:tc>
        <w:tc>
          <w:tcPr>
            <w:tcW w:w="2829" w:type="dxa"/>
            <w:vMerge w:val="restart"/>
          </w:tcPr>
          <w:p w14:paraId="5CE65FDA"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приказ министра культуры Ставропольского края от 22.02.2008 г. № 96</w:t>
            </w:r>
          </w:p>
        </w:tc>
        <w:tc>
          <w:tcPr>
            <w:tcW w:w="1945" w:type="dxa"/>
            <w:vMerge w:val="restart"/>
            <w:vAlign w:val="center"/>
          </w:tcPr>
          <w:p w14:paraId="0CF82496" w14:textId="77777777" w:rsidR="00706447" w:rsidRPr="00731FE2" w:rsidRDefault="00706447" w:rsidP="00F42017">
            <w:pPr>
              <w:ind w:firstLine="0"/>
              <w:jc w:val="center"/>
              <w:rPr>
                <w:rFonts w:ascii="Times New Roman" w:hAnsi="Times New Roman" w:cs="Times New Roman"/>
                <w:sz w:val="20"/>
                <w:szCs w:val="20"/>
              </w:rPr>
            </w:pPr>
            <w:r w:rsidRPr="00731FE2">
              <w:rPr>
                <w:rFonts w:ascii="Times New Roman" w:hAnsi="Times New Roman" w:cs="Times New Roman"/>
                <w:sz w:val="20"/>
                <w:szCs w:val="20"/>
              </w:rPr>
              <w:t>выявленный</w:t>
            </w:r>
          </w:p>
        </w:tc>
        <w:tc>
          <w:tcPr>
            <w:tcW w:w="2829" w:type="dxa"/>
            <w:vMerge w:val="restart"/>
          </w:tcPr>
          <w:p w14:paraId="26A041AC"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Границы территории объекта культурного наследия не утверждались</w:t>
            </w:r>
          </w:p>
        </w:tc>
      </w:tr>
      <w:tr w:rsidR="00706447" w:rsidRPr="00731FE2" w14:paraId="4EADECD9" w14:textId="77777777" w:rsidTr="00C837D3">
        <w:trPr>
          <w:trHeight w:val="698"/>
        </w:trPr>
        <w:tc>
          <w:tcPr>
            <w:tcW w:w="543" w:type="dxa"/>
            <w:vMerge w:val="restart"/>
          </w:tcPr>
          <w:p w14:paraId="514AC907" w14:textId="77777777" w:rsidR="00706447" w:rsidRPr="00731FE2" w:rsidRDefault="00706447" w:rsidP="003F00EB">
            <w:pPr>
              <w:pStyle w:val="a3"/>
              <w:numPr>
                <w:ilvl w:val="0"/>
                <w:numId w:val="129"/>
              </w:numPr>
              <w:ind w:left="0" w:firstLine="0"/>
              <w:jc w:val="center"/>
              <w:rPr>
                <w:rFonts w:ascii="Times New Roman" w:eastAsia="Times New Roman" w:hAnsi="Times New Roman" w:cs="Times New Roman"/>
                <w:sz w:val="20"/>
                <w:szCs w:val="20"/>
                <w:lang w:eastAsia="ru-RU"/>
              </w:rPr>
            </w:pPr>
          </w:p>
        </w:tc>
        <w:tc>
          <w:tcPr>
            <w:tcW w:w="2890" w:type="dxa"/>
            <w:vMerge w:val="restart"/>
          </w:tcPr>
          <w:p w14:paraId="3D0F04B5"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Поселение "Дзержинка"</w:t>
            </w:r>
          </w:p>
        </w:tc>
        <w:tc>
          <w:tcPr>
            <w:tcW w:w="3889" w:type="dxa"/>
            <w:vMerge w:val="restart"/>
          </w:tcPr>
          <w:p w14:paraId="04347491"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Ставропольский край, г. Кисловодск, на северном склоне мыса, где расположено укрепление «Дзержинка»</w:t>
            </w:r>
          </w:p>
        </w:tc>
        <w:tc>
          <w:tcPr>
            <w:tcW w:w="2829" w:type="dxa"/>
            <w:vMerge w:val="restart"/>
          </w:tcPr>
          <w:p w14:paraId="6B6885DC"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приказ министра культуры Ставропольского края от 22.02.2008 г. № 96</w:t>
            </w:r>
          </w:p>
        </w:tc>
        <w:tc>
          <w:tcPr>
            <w:tcW w:w="1945" w:type="dxa"/>
            <w:vMerge w:val="restart"/>
            <w:vAlign w:val="center"/>
          </w:tcPr>
          <w:p w14:paraId="23E4490D" w14:textId="77777777" w:rsidR="00706447" w:rsidRPr="00731FE2" w:rsidRDefault="00706447" w:rsidP="00F42017">
            <w:pPr>
              <w:ind w:firstLine="0"/>
              <w:jc w:val="center"/>
              <w:rPr>
                <w:rFonts w:ascii="Times New Roman" w:hAnsi="Times New Roman" w:cs="Times New Roman"/>
                <w:sz w:val="20"/>
                <w:szCs w:val="20"/>
              </w:rPr>
            </w:pPr>
            <w:r w:rsidRPr="00731FE2">
              <w:rPr>
                <w:rFonts w:ascii="Times New Roman" w:hAnsi="Times New Roman" w:cs="Times New Roman"/>
                <w:sz w:val="20"/>
                <w:szCs w:val="20"/>
              </w:rPr>
              <w:t>выявленный</w:t>
            </w:r>
          </w:p>
        </w:tc>
        <w:tc>
          <w:tcPr>
            <w:tcW w:w="2829" w:type="dxa"/>
            <w:vMerge w:val="restart"/>
          </w:tcPr>
          <w:p w14:paraId="07D34294"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Границы территории объекта культурного наследия не утверждались</w:t>
            </w:r>
          </w:p>
        </w:tc>
      </w:tr>
      <w:tr w:rsidR="00706447" w:rsidRPr="00731FE2" w14:paraId="687397D9" w14:textId="77777777" w:rsidTr="00C837D3">
        <w:trPr>
          <w:trHeight w:val="982"/>
        </w:trPr>
        <w:tc>
          <w:tcPr>
            <w:tcW w:w="543" w:type="dxa"/>
            <w:vMerge w:val="restart"/>
          </w:tcPr>
          <w:p w14:paraId="01642CCF" w14:textId="77777777" w:rsidR="00706447" w:rsidRPr="00731FE2" w:rsidRDefault="00706447" w:rsidP="003F00EB">
            <w:pPr>
              <w:pStyle w:val="a3"/>
              <w:numPr>
                <w:ilvl w:val="0"/>
                <w:numId w:val="129"/>
              </w:numPr>
              <w:ind w:left="0" w:firstLine="0"/>
              <w:jc w:val="center"/>
              <w:rPr>
                <w:rFonts w:ascii="Times New Roman" w:eastAsia="Times New Roman" w:hAnsi="Times New Roman" w:cs="Times New Roman"/>
                <w:sz w:val="20"/>
                <w:szCs w:val="20"/>
                <w:lang w:eastAsia="ru-RU"/>
              </w:rPr>
            </w:pPr>
          </w:p>
        </w:tc>
        <w:tc>
          <w:tcPr>
            <w:tcW w:w="2890" w:type="dxa"/>
            <w:vMerge w:val="restart"/>
          </w:tcPr>
          <w:p w14:paraId="7B17AADB"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Поселение «Промышленная-1»</w:t>
            </w:r>
          </w:p>
        </w:tc>
        <w:tc>
          <w:tcPr>
            <w:tcW w:w="3889" w:type="dxa"/>
            <w:vMerge w:val="restart"/>
          </w:tcPr>
          <w:p w14:paraId="56029376"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Ставропольский край, г. Кисловодск, к северу от ул. Промышленная</w:t>
            </w:r>
          </w:p>
        </w:tc>
        <w:tc>
          <w:tcPr>
            <w:tcW w:w="2829" w:type="dxa"/>
            <w:vMerge w:val="restart"/>
          </w:tcPr>
          <w:p w14:paraId="3BDFFDA5"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приказ управления Ставро польского края по сохране нию и государственной охране объектов культурного наследия от 11.07.2016 №318</w:t>
            </w:r>
          </w:p>
        </w:tc>
        <w:tc>
          <w:tcPr>
            <w:tcW w:w="1945" w:type="dxa"/>
            <w:vMerge w:val="restart"/>
            <w:vAlign w:val="center"/>
          </w:tcPr>
          <w:p w14:paraId="1B126C60" w14:textId="77777777" w:rsidR="00706447" w:rsidRPr="00731FE2" w:rsidRDefault="00706447" w:rsidP="00F42017">
            <w:pPr>
              <w:ind w:firstLine="0"/>
              <w:jc w:val="center"/>
              <w:rPr>
                <w:rFonts w:ascii="Times New Roman" w:hAnsi="Times New Roman" w:cs="Times New Roman"/>
                <w:sz w:val="20"/>
                <w:szCs w:val="20"/>
              </w:rPr>
            </w:pPr>
            <w:r w:rsidRPr="00731FE2">
              <w:rPr>
                <w:rFonts w:ascii="Times New Roman" w:hAnsi="Times New Roman" w:cs="Times New Roman"/>
                <w:sz w:val="20"/>
                <w:szCs w:val="20"/>
              </w:rPr>
              <w:t>выявленный</w:t>
            </w:r>
          </w:p>
        </w:tc>
        <w:tc>
          <w:tcPr>
            <w:tcW w:w="2829" w:type="dxa"/>
            <w:vMerge w:val="restart"/>
          </w:tcPr>
          <w:p w14:paraId="2CD452A7"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приказ управления Ставро польского края по сохране нию и государственной охране объектов культурного наследия от 11.07.2016 №318</w:t>
            </w:r>
          </w:p>
        </w:tc>
      </w:tr>
      <w:tr w:rsidR="00706447" w:rsidRPr="00731FE2" w14:paraId="2221E3C7" w14:textId="77777777" w:rsidTr="00C837D3">
        <w:trPr>
          <w:trHeight w:val="774"/>
        </w:trPr>
        <w:tc>
          <w:tcPr>
            <w:tcW w:w="543" w:type="dxa"/>
            <w:vMerge w:val="restart"/>
          </w:tcPr>
          <w:p w14:paraId="35954F1A" w14:textId="77777777" w:rsidR="00706447" w:rsidRPr="00731FE2" w:rsidRDefault="00706447" w:rsidP="003F00EB">
            <w:pPr>
              <w:pStyle w:val="a3"/>
              <w:numPr>
                <w:ilvl w:val="0"/>
                <w:numId w:val="129"/>
              </w:numPr>
              <w:ind w:left="0" w:firstLine="0"/>
              <w:jc w:val="center"/>
              <w:rPr>
                <w:rFonts w:ascii="Times New Roman" w:eastAsia="Times New Roman" w:hAnsi="Times New Roman" w:cs="Times New Roman"/>
                <w:sz w:val="20"/>
                <w:szCs w:val="20"/>
                <w:lang w:eastAsia="ru-RU"/>
              </w:rPr>
            </w:pPr>
          </w:p>
        </w:tc>
        <w:tc>
          <w:tcPr>
            <w:tcW w:w="2890" w:type="dxa"/>
            <w:vMerge w:val="restart"/>
          </w:tcPr>
          <w:p w14:paraId="3C08682B"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Поселение «Володарского-1»</w:t>
            </w:r>
          </w:p>
        </w:tc>
        <w:tc>
          <w:tcPr>
            <w:tcW w:w="3889" w:type="dxa"/>
            <w:vMerge w:val="restart"/>
          </w:tcPr>
          <w:p w14:paraId="3F2B55F3" w14:textId="5CB82521" w:rsidR="00706447" w:rsidRPr="00731FE2" w:rsidRDefault="00706447" w:rsidP="00F42017">
            <w:pPr>
              <w:ind w:firstLine="0"/>
              <w:rPr>
                <w:rFonts w:ascii="Times New Roman" w:hAnsi="Times New Roman" w:cs="Times New Roman"/>
                <w:sz w:val="20"/>
                <w:szCs w:val="20"/>
              </w:rPr>
            </w:pPr>
            <w:r w:rsidRPr="00731FE2">
              <w:rPr>
                <w:rFonts w:ascii="Times New Roman" w:hAnsi="Times New Roman" w:cs="Times New Roman"/>
                <w:sz w:val="20"/>
                <w:szCs w:val="20"/>
              </w:rPr>
              <w:t xml:space="preserve">Ставропольский край, г. Кисловодск, ул. Володарского 1/пр-т Дзержинского 5 </w:t>
            </w:r>
          </w:p>
        </w:tc>
        <w:tc>
          <w:tcPr>
            <w:tcW w:w="2829" w:type="dxa"/>
            <w:vMerge w:val="restart"/>
          </w:tcPr>
          <w:p w14:paraId="7C8D33A6"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приказ управления СК по сохранению и государственной охране ОКН от 28.12.18 № 390</w:t>
            </w:r>
          </w:p>
        </w:tc>
        <w:tc>
          <w:tcPr>
            <w:tcW w:w="1945" w:type="dxa"/>
            <w:vMerge w:val="restart"/>
            <w:vAlign w:val="center"/>
          </w:tcPr>
          <w:p w14:paraId="5003687B" w14:textId="77777777" w:rsidR="00706447" w:rsidRPr="00731FE2" w:rsidRDefault="00706447" w:rsidP="00F42017">
            <w:pPr>
              <w:ind w:firstLine="0"/>
              <w:jc w:val="center"/>
              <w:rPr>
                <w:rFonts w:ascii="Times New Roman" w:hAnsi="Times New Roman" w:cs="Times New Roman"/>
                <w:sz w:val="20"/>
                <w:szCs w:val="20"/>
              </w:rPr>
            </w:pPr>
            <w:r w:rsidRPr="00731FE2">
              <w:rPr>
                <w:rFonts w:ascii="Times New Roman" w:hAnsi="Times New Roman" w:cs="Times New Roman"/>
                <w:sz w:val="20"/>
                <w:szCs w:val="20"/>
              </w:rPr>
              <w:t>выявленный</w:t>
            </w:r>
          </w:p>
        </w:tc>
        <w:tc>
          <w:tcPr>
            <w:tcW w:w="2829" w:type="dxa"/>
            <w:vMerge w:val="restart"/>
          </w:tcPr>
          <w:p w14:paraId="097D2C87" w14:textId="1F7550B0" w:rsidR="00706447" w:rsidRPr="00731FE2" w:rsidRDefault="00706447" w:rsidP="00F42017">
            <w:pPr>
              <w:ind w:firstLine="0"/>
              <w:rPr>
                <w:rFonts w:ascii="Times New Roman" w:hAnsi="Times New Roman" w:cs="Times New Roman"/>
                <w:sz w:val="20"/>
                <w:szCs w:val="20"/>
              </w:rPr>
            </w:pPr>
            <w:r w:rsidRPr="00731FE2">
              <w:rPr>
                <w:rFonts w:ascii="Times New Roman" w:hAnsi="Times New Roman" w:cs="Times New Roman"/>
                <w:sz w:val="20"/>
                <w:szCs w:val="20"/>
              </w:rPr>
              <w:t>приказ управления СК по сохранению и государственной охране ОКН от 28.12.18 № 390</w:t>
            </w:r>
          </w:p>
        </w:tc>
      </w:tr>
      <w:tr w:rsidR="00706447" w:rsidRPr="00731FE2" w14:paraId="23155F01" w14:textId="77777777" w:rsidTr="00C837D3">
        <w:trPr>
          <w:trHeight w:val="1155"/>
        </w:trPr>
        <w:tc>
          <w:tcPr>
            <w:tcW w:w="543" w:type="dxa"/>
            <w:vMerge w:val="restart"/>
          </w:tcPr>
          <w:p w14:paraId="092C0DA2" w14:textId="77777777" w:rsidR="00706447" w:rsidRPr="00731FE2" w:rsidRDefault="00706447" w:rsidP="003F00EB">
            <w:pPr>
              <w:pStyle w:val="a3"/>
              <w:numPr>
                <w:ilvl w:val="0"/>
                <w:numId w:val="129"/>
              </w:numPr>
              <w:ind w:left="0" w:firstLine="0"/>
              <w:jc w:val="center"/>
              <w:rPr>
                <w:rFonts w:ascii="Times New Roman" w:eastAsia="Times New Roman" w:hAnsi="Times New Roman" w:cs="Times New Roman"/>
                <w:sz w:val="20"/>
                <w:szCs w:val="20"/>
                <w:lang w:eastAsia="ru-RU"/>
              </w:rPr>
            </w:pPr>
          </w:p>
        </w:tc>
        <w:tc>
          <w:tcPr>
            <w:tcW w:w="2890" w:type="dxa"/>
            <w:vMerge w:val="restart"/>
          </w:tcPr>
          <w:p w14:paraId="7A13A623"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 xml:space="preserve">Курганный могильник </w:t>
            </w:r>
          </w:p>
          <w:p w14:paraId="5ED985F3"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«Кисловодск-1»</w:t>
            </w:r>
          </w:p>
        </w:tc>
        <w:tc>
          <w:tcPr>
            <w:tcW w:w="3889" w:type="dxa"/>
            <w:vMerge w:val="restart"/>
          </w:tcPr>
          <w:p w14:paraId="59F49138"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Ставропольский край, г-к. Кисловодск, 3740 м на север-северо-восток до автомобильного моста через р. Подкумок на проспекте Победы в г. Кисловодск и 710 м на юг-юго-восток до пересечения ул. Тельмана и ул. Розы Люксембург в г. Кисловодск от вершины кургана №1</w:t>
            </w:r>
          </w:p>
        </w:tc>
        <w:tc>
          <w:tcPr>
            <w:tcW w:w="2829" w:type="dxa"/>
            <w:vMerge w:val="restart"/>
          </w:tcPr>
          <w:p w14:paraId="1673F84C"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приказ управления Ставропольского края по сохранению и государственной охране объектов культурного наследия от 09.03.2022 г. № 208</w:t>
            </w:r>
          </w:p>
        </w:tc>
        <w:tc>
          <w:tcPr>
            <w:tcW w:w="1945" w:type="dxa"/>
            <w:vMerge w:val="restart"/>
            <w:vAlign w:val="center"/>
          </w:tcPr>
          <w:p w14:paraId="7A09451C" w14:textId="77777777" w:rsidR="00706447" w:rsidRPr="00731FE2" w:rsidRDefault="00706447" w:rsidP="00F42017">
            <w:pPr>
              <w:ind w:firstLine="0"/>
              <w:jc w:val="center"/>
              <w:rPr>
                <w:rFonts w:ascii="Times New Roman" w:hAnsi="Times New Roman" w:cs="Times New Roman"/>
                <w:sz w:val="20"/>
                <w:szCs w:val="20"/>
              </w:rPr>
            </w:pPr>
            <w:r w:rsidRPr="00731FE2">
              <w:rPr>
                <w:rFonts w:ascii="Times New Roman" w:hAnsi="Times New Roman" w:cs="Times New Roman"/>
                <w:sz w:val="20"/>
                <w:szCs w:val="20"/>
              </w:rPr>
              <w:t>выявленный</w:t>
            </w:r>
          </w:p>
        </w:tc>
        <w:tc>
          <w:tcPr>
            <w:tcW w:w="2829" w:type="dxa"/>
            <w:vMerge w:val="restart"/>
          </w:tcPr>
          <w:p w14:paraId="50AD4AA4"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приказ управления Ставропольского края по сохранению и государственной охране объектов культурного наследия от 09.03.2022 г. № 208</w:t>
            </w:r>
          </w:p>
        </w:tc>
      </w:tr>
      <w:tr w:rsidR="00706447" w:rsidRPr="00731FE2" w14:paraId="54661091" w14:textId="77777777" w:rsidTr="00C837D3">
        <w:trPr>
          <w:trHeight w:val="1155"/>
        </w:trPr>
        <w:tc>
          <w:tcPr>
            <w:tcW w:w="543" w:type="dxa"/>
            <w:vMerge w:val="restart"/>
          </w:tcPr>
          <w:p w14:paraId="05EA72A6" w14:textId="77777777" w:rsidR="00706447" w:rsidRPr="00731FE2" w:rsidRDefault="00706447" w:rsidP="003F00EB">
            <w:pPr>
              <w:pStyle w:val="a3"/>
              <w:numPr>
                <w:ilvl w:val="0"/>
                <w:numId w:val="129"/>
              </w:numPr>
              <w:ind w:left="0" w:firstLine="0"/>
              <w:jc w:val="center"/>
              <w:rPr>
                <w:rFonts w:ascii="Times New Roman" w:eastAsia="Times New Roman" w:hAnsi="Times New Roman" w:cs="Times New Roman"/>
                <w:sz w:val="20"/>
                <w:szCs w:val="20"/>
                <w:lang w:eastAsia="ru-RU"/>
              </w:rPr>
            </w:pPr>
          </w:p>
        </w:tc>
        <w:tc>
          <w:tcPr>
            <w:tcW w:w="2890" w:type="dxa"/>
            <w:vMerge w:val="restart"/>
          </w:tcPr>
          <w:p w14:paraId="0E3CF026"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Поселение «Казачий переулок»</w:t>
            </w:r>
          </w:p>
        </w:tc>
        <w:tc>
          <w:tcPr>
            <w:tcW w:w="3889" w:type="dxa"/>
            <w:vMerge w:val="restart"/>
          </w:tcPr>
          <w:p w14:paraId="52D58ADD"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 xml:space="preserve">Ставропольский край, г.-к. Кисло водск, к северу от перекрестка пр-та Победы и пер. Казачьего, на ровной, в настоящее время задернованной, пло щадке пустыря. Участок расположе ния памятника </w:t>
            </w:r>
            <w:r w:rsidRPr="00731FE2">
              <w:rPr>
                <w:rFonts w:ascii="Times New Roman" w:hAnsi="Times New Roman" w:cs="Times New Roman"/>
                <w:sz w:val="20"/>
                <w:szCs w:val="20"/>
              </w:rPr>
              <w:lastRenderedPageBreak/>
              <w:t>приурочен к правобере жью р. Подкумок. Памятник располо жен на правом берегу р. Березовая у ее впадения в р. Подкумок. Местоположе ние объекта археологии определено по местоположению точки № 4 границы территории памятника, расположен ной на перекрестке пр-та Победы и пер. Казачьего, к северу от пересечения</w:t>
            </w:r>
          </w:p>
        </w:tc>
        <w:tc>
          <w:tcPr>
            <w:tcW w:w="2829" w:type="dxa"/>
            <w:vMerge w:val="restart"/>
          </w:tcPr>
          <w:p w14:paraId="653D2ECD" w14:textId="72A5206A"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lastRenderedPageBreak/>
              <w:t xml:space="preserve">приказ управления Ставропольского края по сохранению и государственной охране объектов культурного </w:t>
            </w:r>
            <w:r w:rsidRPr="00731FE2">
              <w:rPr>
                <w:rFonts w:ascii="Times New Roman" w:hAnsi="Times New Roman" w:cs="Times New Roman"/>
                <w:sz w:val="20"/>
                <w:szCs w:val="20"/>
              </w:rPr>
              <w:lastRenderedPageBreak/>
              <w:t>наследия</w:t>
            </w:r>
          </w:p>
          <w:p w14:paraId="77396B9A"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от 03.02.2023 № 79</w:t>
            </w:r>
          </w:p>
        </w:tc>
        <w:tc>
          <w:tcPr>
            <w:tcW w:w="1945" w:type="dxa"/>
            <w:vMerge w:val="restart"/>
            <w:vAlign w:val="center"/>
          </w:tcPr>
          <w:p w14:paraId="70E1D9D2" w14:textId="77777777" w:rsidR="00706447" w:rsidRPr="00731FE2" w:rsidRDefault="00706447" w:rsidP="00F42017">
            <w:pPr>
              <w:ind w:firstLine="0"/>
              <w:jc w:val="center"/>
              <w:rPr>
                <w:rFonts w:ascii="Times New Roman" w:hAnsi="Times New Roman" w:cs="Times New Roman"/>
                <w:sz w:val="20"/>
                <w:szCs w:val="20"/>
              </w:rPr>
            </w:pPr>
            <w:r w:rsidRPr="00731FE2">
              <w:rPr>
                <w:rFonts w:ascii="Times New Roman" w:hAnsi="Times New Roman" w:cs="Times New Roman"/>
                <w:sz w:val="20"/>
                <w:szCs w:val="20"/>
              </w:rPr>
              <w:lastRenderedPageBreak/>
              <w:t>выявленный</w:t>
            </w:r>
          </w:p>
        </w:tc>
        <w:tc>
          <w:tcPr>
            <w:tcW w:w="2829" w:type="dxa"/>
            <w:vMerge w:val="restart"/>
          </w:tcPr>
          <w:p w14:paraId="236E3644" w14:textId="43D9705A"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 xml:space="preserve">приказ управления Ставропольского края по сохранению и государственной охране объектов культурного </w:t>
            </w:r>
            <w:r w:rsidRPr="00731FE2">
              <w:rPr>
                <w:rFonts w:ascii="Times New Roman" w:hAnsi="Times New Roman" w:cs="Times New Roman"/>
                <w:sz w:val="20"/>
                <w:szCs w:val="20"/>
              </w:rPr>
              <w:lastRenderedPageBreak/>
              <w:t>наследия</w:t>
            </w:r>
          </w:p>
          <w:p w14:paraId="5624949C"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от 03.02.2023 № 79</w:t>
            </w:r>
          </w:p>
        </w:tc>
      </w:tr>
      <w:tr w:rsidR="00706447" w:rsidRPr="00731FE2" w14:paraId="261A459F" w14:textId="77777777" w:rsidTr="00C837D3">
        <w:trPr>
          <w:trHeight w:val="1155"/>
        </w:trPr>
        <w:tc>
          <w:tcPr>
            <w:tcW w:w="543" w:type="dxa"/>
            <w:vMerge w:val="restart"/>
          </w:tcPr>
          <w:p w14:paraId="6A967A18" w14:textId="77777777" w:rsidR="00706447" w:rsidRPr="00731FE2" w:rsidRDefault="00706447" w:rsidP="003F00EB">
            <w:pPr>
              <w:pStyle w:val="a3"/>
              <w:numPr>
                <w:ilvl w:val="0"/>
                <w:numId w:val="129"/>
              </w:numPr>
              <w:ind w:left="0" w:firstLine="0"/>
              <w:jc w:val="center"/>
              <w:rPr>
                <w:rFonts w:ascii="Times New Roman" w:eastAsia="Times New Roman" w:hAnsi="Times New Roman" w:cs="Times New Roman"/>
                <w:sz w:val="20"/>
                <w:szCs w:val="20"/>
                <w:lang w:eastAsia="ru-RU"/>
              </w:rPr>
            </w:pPr>
          </w:p>
        </w:tc>
        <w:tc>
          <w:tcPr>
            <w:tcW w:w="2890" w:type="dxa"/>
            <w:vMerge w:val="restart"/>
          </w:tcPr>
          <w:p w14:paraId="29D6C861"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Поселение «Левоберезовское 12»</w:t>
            </w:r>
          </w:p>
        </w:tc>
        <w:tc>
          <w:tcPr>
            <w:tcW w:w="3889" w:type="dxa"/>
            <w:vMerge w:val="restart"/>
          </w:tcPr>
          <w:p w14:paraId="2FD20D07"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Ставропольский край, г.-к. Кисловодск, северо-восточнее п. Левоберезовский. Участок расположения объекта археологии приурочен к левобережью р. Березовая. Занимает территорию мыса р. Березовая. Местоположение объекта археологии определено по местоположению поворотной точки 1 границ территории памятника. Расстояния до точки 1 от известных ориентиров: 1,89 км к ЮВ от Церкви Покрова Пресвятой Богородицы в п. Зеленогорский (азимут 166,68°), в 2,23 км к ЮЗ от Храма в честь святой равноапостольной Нины в г.-к. Кисловодске (азимут 219,23°)</w:t>
            </w:r>
          </w:p>
        </w:tc>
        <w:tc>
          <w:tcPr>
            <w:tcW w:w="2829" w:type="dxa"/>
            <w:vMerge w:val="restart"/>
          </w:tcPr>
          <w:p w14:paraId="284A8C94"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приказ управления Ставропольского края по сохранению и государственной охране объектов культурного наследия от 01 декабря 2023 года № 1226</w:t>
            </w:r>
          </w:p>
        </w:tc>
        <w:tc>
          <w:tcPr>
            <w:tcW w:w="1945" w:type="dxa"/>
            <w:vMerge w:val="restart"/>
            <w:vAlign w:val="center"/>
          </w:tcPr>
          <w:p w14:paraId="4EFFC4BC" w14:textId="77777777" w:rsidR="00706447" w:rsidRPr="00731FE2" w:rsidRDefault="00706447" w:rsidP="00F42017">
            <w:pPr>
              <w:ind w:firstLine="0"/>
              <w:jc w:val="center"/>
              <w:rPr>
                <w:rFonts w:ascii="Times New Roman" w:hAnsi="Times New Roman" w:cs="Times New Roman"/>
                <w:sz w:val="20"/>
                <w:szCs w:val="20"/>
              </w:rPr>
            </w:pPr>
            <w:r w:rsidRPr="00731FE2">
              <w:rPr>
                <w:rFonts w:ascii="Times New Roman" w:hAnsi="Times New Roman" w:cs="Times New Roman"/>
                <w:sz w:val="20"/>
                <w:szCs w:val="20"/>
              </w:rPr>
              <w:t>выявленный,</w:t>
            </w:r>
          </w:p>
        </w:tc>
        <w:tc>
          <w:tcPr>
            <w:tcW w:w="2829" w:type="dxa"/>
            <w:vMerge w:val="restart"/>
          </w:tcPr>
          <w:p w14:paraId="452B3843"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приказ управления Ставропольского края по сохранению и государственной охране объектов культурного наследия от 01 декабря 2023 года № 1226</w:t>
            </w:r>
          </w:p>
        </w:tc>
      </w:tr>
      <w:tr w:rsidR="00706447" w:rsidRPr="00731FE2" w14:paraId="749B41F9" w14:textId="77777777" w:rsidTr="00C837D3">
        <w:trPr>
          <w:trHeight w:val="1155"/>
        </w:trPr>
        <w:tc>
          <w:tcPr>
            <w:tcW w:w="543" w:type="dxa"/>
            <w:vMerge w:val="restart"/>
          </w:tcPr>
          <w:p w14:paraId="58EDB216" w14:textId="77777777" w:rsidR="00706447" w:rsidRPr="00731FE2" w:rsidRDefault="00706447" w:rsidP="003F00EB">
            <w:pPr>
              <w:pStyle w:val="a3"/>
              <w:numPr>
                <w:ilvl w:val="0"/>
                <w:numId w:val="129"/>
              </w:numPr>
              <w:ind w:left="0" w:firstLine="0"/>
              <w:jc w:val="center"/>
              <w:rPr>
                <w:rFonts w:ascii="Times New Roman" w:eastAsia="Times New Roman" w:hAnsi="Times New Roman" w:cs="Times New Roman"/>
                <w:sz w:val="20"/>
                <w:szCs w:val="20"/>
                <w:lang w:eastAsia="ru-RU"/>
              </w:rPr>
            </w:pPr>
          </w:p>
        </w:tc>
        <w:tc>
          <w:tcPr>
            <w:tcW w:w="2890" w:type="dxa"/>
            <w:vMerge w:val="restart"/>
          </w:tcPr>
          <w:p w14:paraId="31D5E137"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 xml:space="preserve">Курганный могильник </w:t>
            </w:r>
          </w:p>
          <w:p w14:paraId="752DD20B"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«Нарзанный-1»</w:t>
            </w:r>
          </w:p>
        </w:tc>
        <w:tc>
          <w:tcPr>
            <w:tcW w:w="3889" w:type="dxa"/>
            <w:vMerge w:val="restart"/>
          </w:tcPr>
          <w:p w14:paraId="79DFF2BE"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Ставропольский край, г. Кисловодск, 6375 м на северо-запад до пересечения ул. Лермонтова и ул. Мира в городе-курорте Кисловодск и 5870 м на северо-северо-запад до пересечения ул. Шоссейная и ул. Набережная в п. Индустрия города-курорта Кисловодск от вершиный кургана №1. Расположен на плоской вершине одного из мысов Джинальского хребта, открытого в долину р. Ольховка. Расположен на пастбище.</w:t>
            </w:r>
          </w:p>
        </w:tc>
        <w:tc>
          <w:tcPr>
            <w:tcW w:w="2829" w:type="dxa"/>
            <w:vMerge w:val="restart"/>
          </w:tcPr>
          <w:p w14:paraId="1F7061E1"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приказ управления Ставропольского края по сохарнению и государственной охране объектов культурного наследия от 22 февраля 2024 года № 190</w:t>
            </w:r>
          </w:p>
        </w:tc>
        <w:tc>
          <w:tcPr>
            <w:tcW w:w="1945" w:type="dxa"/>
            <w:vMerge w:val="restart"/>
            <w:vAlign w:val="center"/>
          </w:tcPr>
          <w:p w14:paraId="3567BC25" w14:textId="77777777" w:rsidR="00706447" w:rsidRPr="00731FE2" w:rsidRDefault="00706447" w:rsidP="00F42017">
            <w:pPr>
              <w:ind w:firstLine="0"/>
              <w:jc w:val="center"/>
              <w:rPr>
                <w:rFonts w:ascii="Times New Roman" w:hAnsi="Times New Roman" w:cs="Times New Roman"/>
                <w:sz w:val="20"/>
                <w:szCs w:val="20"/>
              </w:rPr>
            </w:pPr>
            <w:r w:rsidRPr="00731FE2">
              <w:rPr>
                <w:rFonts w:ascii="Times New Roman" w:hAnsi="Times New Roman" w:cs="Times New Roman"/>
                <w:sz w:val="20"/>
                <w:szCs w:val="20"/>
              </w:rPr>
              <w:t>границы утверждены</w:t>
            </w:r>
          </w:p>
        </w:tc>
        <w:tc>
          <w:tcPr>
            <w:tcW w:w="2829" w:type="dxa"/>
            <w:vMerge w:val="restart"/>
          </w:tcPr>
          <w:p w14:paraId="67A9B540"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приказ управления Ставропольского края по сохарнению и государственной охране объектов культурного наследия от 22 февраля 2024 года № 190</w:t>
            </w:r>
          </w:p>
        </w:tc>
      </w:tr>
      <w:tr w:rsidR="00706447" w:rsidRPr="00731FE2" w14:paraId="7EE1C09E" w14:textId="77777777" w:rsidTr="00C837D3">
        <w:trPr>
          <w:trHeight w:val="1155"/>
        </w:trPr>
        <w:tc>
          <w:tcPr>
            <w:tcW w:w="543" w:type="dxa"/>
            <w:vMerge w:val="restart"/>
          </w:tcPr>
          <w:p w14:paraId="033ED29D" w14:textId="77777777" w:rsidR="00706447" w:rsidRPr="00731FE2" w:rsidRDefault="00706447" w:rsidP="003F00EB">
            <w:pPr>
              <w:pStyle w:val="a3"/>
              <w:numPr>
                <w:ilvl w:val="0"/>
                <w:numId w:val="129"/>
              </w:numPr>
              <w:ind w:left="0" w:firstLine="0"/>
              <w:jc w:val="center"/>
              <w:rPr>
                <w:rFonts w:ascii="Times New Roman" w:eastAsia="Times New Roman" w:hAnsi="Times New Roman" w:cs="Times New Roman"/>
                <w:sz w:val="20"/>
                <w:szCs w:val="20"/>
                <w:lang w:eastAsia="ru-RU"/>
              </w:rPr>
            </w:pPr>
          </w:p>
        </w:tc>
        <w:tc>
          <w:tcPr>
            <w:tcW w:w="2890" w:type="dxa"/>
            <w:vMerge w:val="restart"/>
          </w:tcPr>
          <w:p w14:paraId="1C228CE8"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 xml:space="preserve">Курганный могильник </w:t>
            </w:r>
          </w:p>
          <w:p w14:paraId="748458C7"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«Нарзанный-2»</w:t>
            </w:r>
          </w:p>
        </w:tc>
        <w:tc>
          <w:tcPr>
            <w:tcW w:w="3889" w:type="dxa"/>
            <w:vMerge w:val="restart"/>
          </w:tcPr>
          <w:p w14:paraId="144EB97D"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 xml:space="preserve">Ставропольский край, г. Кисловодск, 6770 м на северо-запад до пересечения ул. Лермонтова и ул. Мира в городе-курорте Кисловодск и </w:t>
            </w:r>
            <w:r w:rsidRPr="00731FE2">
              <w:rPr>
                <w:rFonts w:ascii="Times New Roman" w:hAnsi="Times New Roman" w:cs="Times New Roman"/>
                <w:sz w:val="20"/>
                <w:szCs w:val="20"/>
              </w:rPr>
              <w:br/>
              <w:t xml:space="preserve">6240 м на запад-северо-запад до пересечения ул. Шоссейная и </w:t>
            </w:r>
            <w:r w:rsidRPr="00731FE2">
              <w:rPr>
                <w:rFonts w:ascii="Times New Roman" w:hAnsi="Times New Roman" w:cs="Times New Roman"/>
                <w:sz w:val="20"/>
                <w:szCs w:val="20"/>
              </w:rPr>
              <w:br/>
              <w:t>ул. Набережная в п. Индустрия города-курорта Кисловодск от вершины кургана №1. Расположен на краю плоской вершины одного из мысов Джинальского хребта, открытого в долину р. Ольховка. Выражен в рельефе, расположен на пастбище.</w:t>
            </w:r>
          </w:p>
        </w:tc>
        <w:tc>
          <w:tcPr>
            <w:tcW w:w="2829" w:type="dxa"/>
            <w:vMerge w:val="restart"/>
          </w:tcPr>
          <w:p w14:paraId="2B2EB92B"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приказ управления Ставропольского края по сохарнению и государственной охране объектов культурного наследия от 22 февраля 2024 года № 191</w:t>
            </w:r>
          </w:p>
        </w:tc>
        <w:tc>
          <w:tcPr>
            <w:tcW w:w="1945" w:type="dxa"/>
            <w:vMerge w:val="restart"/>
            <w:vAlign w:val="center"/>
          </w:tcPr>
          <w:p w14:paraId="3A826869" w14:textId="07B811A1" w:rsidR="00706447" w:rsidRPr="00731FE2" w:rsidRDefault="00706447" w:rsidP="00F42017">
            <w:pPr>
              <w:ind w:firstLine="0"/>
              <w:jc w:val="center"/>
              <w:rPr>
                <w:rFonts w:ascii="Times New Roman" w:hAnsi="Times New Roman" w:cs="Times New Roman"/>
                <w:sz w:val="20"/>
                <w:szCs w:val="20"/>
              </w:rPr>
            </w:pPr>
            <w:r w:rsidRPr="00731FE2">
              <w:rPr>
                <w:rFonts w:ascii="Times New Roman" w:hAnsi="Times New Roman" w:cs="Times New Roman"/>
                <w:sz w:val="20"/>
                <w:szCs w:val="20"/>
              </w:rPr>
              <w:t>выявленный</w:t>
            </w:r>
          </w:p>
        </w:tc>
        <w:tc>
          <w:tcPr>
            <w:tcW w:w="2829" w:type="dxa"/>
            <w:vMerge w:val="restart"/>
          </w:tcPr>
          <w:p w14:paraId="37EC4A0E"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приказ управления Ставропольского края по сохарнению и государственной охране объектов культурного наследия от 22 февраля 2024 года № 191</w:t>
            </w:r>
          </w:p>
        </w:tc>
      </w:tr>
      <w:tr w:rsidR="00706447" w:rsidRPr="00731FE2" w14:paraId="3D20B107" w14:textId="77777777" w:rsidTr="00C837D3">
        <w:trPr>
          <w:trHeight w:val="1155"/>
        </w:trPr>
        <w:tc>
          <w:tcPr>
            <w:tcW w:w="543" w:type="dxa"/>
            <w:vMerge w:val="restart"/>
          </w:tcPr>
          <w:p w14:paraId="35A75CD1" w14:textId="77777777" w:rsidR="00706447" w:rsidRPr="00731FE2" w:rsidRDefault="00706447" w:rsidP="003F00EB">
            <w:pPr>
              <w:pStyle w:val="a3"/>
              <w:numPr>
                <w:ilvl w:val="0"/>
                <w:numId w:val="129"/>
              </w:numPr>
              <w:ind w:left="0" w:firstLine="0"/>
              <w:jc w:val="center"/>
              <w:rPr>
                <w:rFonts w:ascii="Times New Roman" w:eastAsia="Times New Roman" w:hAnsi="Times New Roman" w:cs="Times New Roman"/>
                <w:sz w:val="20"/>
                <w:szCs w:val="20"/>
                <w:lang w:eastAsia="ru-RU"/>
              </w:rPr>
            </w:pPr>
          </w:p>
        </w:tc>
        <w:tc>
          <w:tcPr>
            <w:tcW w:w="2890" w:type="dxa"/>
            <w:vMerge w:val="restart"/>
          </w:tcPr>
          <w:p w14:paraId="70A09BA9"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 xml:space="preserve">Курганный могильник </w:t>
            </w:r>
          </w:p>
          <w:p w14:paraId="5C808526"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«Нарзанный-3»</w:t>
            </w:r>
          </w:p>
        </w:tc>
        <w:tc>
          <w:tcPr>
            <w:tcW w:w="3889" w:type="dxa"/>
            <w:vMerge w:val="restart"/>
          </w:tcPr>
          <w:p w14:paraId="4980EC3B"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 xml:space="preserve">Ставропольский край, г. Кисловодск, 5530 м на северо-запад до пересечения ул. Лермонтова и ул. Мира в городе-курорте Кисловодск и </w:t>
            </w:r>
            <w:r w:rsidRPr="00731FE2">
              <w:rPr>
                <w:rFonts w:ascii="Times New Roman" w:hAnsi="Times New Roman" w:cs="Times New Roman"/>
                <w:sz w:val="20"/>
                <w:szCs w:val="20"/>
              </w:rPr>
              <w:br/>
              <w:t xml:space="preserve">5190 м на запад-северо-запад до пересечения ул. Шоссейная и </w:t>
            </w:r>
            <w:r w:rsidRPr="00731FE2">
              <w:rPr>
                <w:rFonts w:ascii="Times New Roman" w:hAnsi="Times New Roman" w:cs="Times New Roman"/>
                <w:sz w:val="20"/>
                <w:szCs w:val="20"/>
              </w:rPr>
              <w:br/>
              <w:t>ул. Набережная в п. Индустрия города-курорта Кисловодск от вершины кургана №1. Находится на северном краю плоской вершины одной из локальных возвышенностей Джинальского хребта. Выражен в рельефе, расположен на пастбище.</w:t>
            </w:r>
          </w:p>
        </w:tc>
        <w:tc>
          <w:tcPr>
            <w:tcW w:w="2829" w:type="dxa"/>
            <w:vMerge w:val="restart"/>
          </w:tcPr>
          <w:p w14:paraId="71F35CB6"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приказ управления Ставропольского края по сохарнению и государственной охране объектов культурного наследия от 22 февраля 2024 года № 192</w:t>
            </w:r>
          </w:p>
        </w:tc>
        <w:tc>
          <w:tcPr>
            <w:tcW w:w="1945" w:type="dxa"/>
            <w:vMerge w:val="restart"/>
            <w:vAlign w:val="center"/>
          </w:tcPr>
          <w:p w14:paraId="2038A4AF" w14:textId="77777777" w:rsidR="00706447" w:rsidRPr="00731FE2" w:rsidRDefault="00706447" w:rsidP="00F42017">
            <w:pPr>
              <w:ind w:firstLine="0"/>
              <w:jc w:val="center"/>
              <w:rPr>
                <w:rFonts w:ascii="Times New Roman" w:hAnsi="Times New Roman" w:cs="Times New Roman"/>
                <w:sz w:val="20"/>
                <w:szCs w:val="20"/>
              </w:rPr>
            </w:pPr>
            <w:r w:rsidRPr="00731FE2">
              <w:rPr>
                <w:rFonts w:ascii="Times New Roman" w:hAnsi="Times New Roman" w:cs="Times New Roman"/>
                <w:sz w:val="20"/>
                <w:szCs w:val="20"/>
              </w:rPr>
              <w:t>границы утверждены</w:t>
            </w:r>
          </w:p>
        </w:tc>
        <w:tc>
          <w:tcPr>
            <w:tcW w:w="2829" w:type="dxa"/>
            <w:vMerge w:val="restart"/>
          </w:tcPr>
          <w:p w14:paraId="38129D13"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приказ управления Ставропольского края по сохарнению и государственной охране объектов культурного наследия от 22 февраля 2024 года № 192</w:t>
            </w:r>
          </w:p>
        </w:tc>
      </w:tr>
      <w:tr w:rsidR="00706447" w:rsidRPr="00731FE2" w14:paraId="2932C9E7" w14:textId="77777777" w:rsidTr="00C837D3">
        <w:trPr>
          <w:trHeight w:val="1155"/>
        </w:trPr>
        <w:tc>
          <w:tcPr>
            <w:tcW w:w="543" w:type="dxa"/>
            <w:vMerge w:val="restart"/>
          </w:tcPr>
          <w:p w14:paraId="2A342C31" w14:textId="77777777" w:rsidR="00706447" w:rsidRPr="00731FE2" w:rsidRDefault="00706447" w:rsidP="003F00EB">
            <w:pPr>
              <w:pStyle w:val="a3"/>
              <w:numPr>
                <w:ilvl w:val="0"/>
                <w:numId w:val="129"/>
              </w:numPr>
              <w:ind w:left="0" w:firstLine="0"/>
              <w:jc w:val="center"/>
              <w:rPr>
                <w:rFonts w:ascii="Times New Roman" w:eastAsia="Times New Roman" w:hAnsi="Times New Roman" w:cs="Times New Roman"/>
                <w:sz w:val="20"/>
                <w:szCs w:val="20"/>
                <w:lang w:eastAsia="ru-RU"/>
              </w:rPr>
            </w:pPr>
          </w:p>
        </w:tc>
        <w:tc>
          <w:tcPr>
            <w:tcW w:w="2890" w:type="dxa"/>
            <w:vMerge w:val="restart"/>
          </w:tcPr>
          <w:p w14:paraId="2E9014B1"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 xml:space="preserve">Курганный могильник </w:t>
            </w:r>
          </w:p>
          <w:p w14:paraId="68768950"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«Нарзанный-4»</w:t>
            </w:r>
          </w:p>
        </w:tc>
        <w:tc>
          <w:tcPr>
            <w:tcW w:w="3889" w:type="dxa"/>
            <w:vMerge w:val="restart"/>
          </w:tcPr>
          <w:p w14:paraId="267EB90D"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Ставропольский край, г. Кисловодск, 8250 м на северо-запад до пересечения ул. Лермонтова и ул. Мира в городе-курорте Кисловодск и 7850м на запад-северо-запад до пересечения ул. Шоссейная и ул. Набережная в п. Индустрия города-курорта Кисловодск от вершины кургана №1. Расположен на краю плоской вершины одного из мысов Джинальского хребта. Выражен в рельефе, расположен на пастбище.</w:t>
            </w:r>
          </w:p>
        </w:tc>
        <w:tc>
          <w:tcPr>
            <w:tcW w:w="2829" w:type="dxa"/>
            <w:vMerge w:val="restart"/>
          </w:tcPr>
          <w:p w14:paraId="668DEC48"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приказ управления Ставропольского края по сохарнению и государственной охране объектов культурного наследия от 22 февраля 2024 года № 193</w:t>
            </w:r>
          </w:p>
        </w:tc>
        <w:tc>
          <w:tcPr>
            <w:tcW w:w="1945" w:type="dxa"/>
            <w:vMerge w:val="restart"/>
            <w:vAlign w:val="center"/>
          </w:tcPr>
          <w:p w14:paraId="6DAE67B6" w14:textId="3B88F44D" w:rsidR="00706447" w:rsidRPr="00731FE2" w:rsidRDefault="00706447" w:rsidP="00F42017">
            <w:pPr>
              <w:ind w:firstLine="0"/>
              <w:jc w:val="center"/>
              <w:rPr>
                <w:rFonts w:ascii="Times New Roman" w:hAnsi="Times New Roman" w:cs="Times New Roman"/>
                <w:sz w:val="20"/>
                <w:szCs w:val="20"/>
              </w:rPr>
            </w:pPr>
            <w:r w:rsidRPr="00731FE2">
              <w:rPr>
                <w:rFonts w:ascii="Times New Roman" w:hAnsi="Times New Roman" w:cs="Times New Roman"/>
                <w:sz w:val="20"/>
                <w:szCs w:val="20"/>
              </w:rPr>
              <w:t>выявленный</w:t>
            </w:r>
          </w:p>
        </w:tc>
        <w:tc>
          <w:tcPr>
            <w:tcW w:w="2829" w:type="dxa"/>
            <w:vMerge w:val="restart"/>
          </w:tcPr>
          <w:p w14:paraId="56CD9DFD"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приказ управления Ставропольского края по сохарнению и государственной охране объектов культурного наследия от 22 февраля 2024 года № 193</w:t>
            </w:r>
          </w:p>
        </w:tc>
      </w:tr>
      <w:tr w:rsidR="00706447" w:rsidRPr="00731FE2" w14:paraId="04B84CBB" w14:textId="77777777" w:rsidTr="00C837D3">
        <w:trPr>
          <w:trHeight w:val="1155"/>
        </w:trPr>
        <w:tc>
          <w:tcPr>
            <w:tcW w:w="543" w:type="dxa"/>
            <w:vMerge w:val="restart"/>
          </w:tcPr>
          <w:p w14:paraId="1C787857" w14:textId="77777777" w:rsidR="00706447" w:rsidRPr="00731FE2" w:rsidRDefault="00706447" w:rsidP="003F00EB">
            <w:pPr>
              <w:pStyle w:val="a3"/>
              <w:numPr>
                <w:ilvl w:val="0"/>
                <w:numId w:val="129"/>
              </w:numPr>
              <w:ind w:left="0" w:firstLine="0"/>
              <w:jc w:val="center"/>
              <w:rPr>
                <w:rFonts w:ascii="Times New Roman" w:eastAsia="Times New Roman" w:hAnsi="Times New Roman" w:cs="Times New Roman"/>
                <w:sz w:val="20"/>
                <w:szCs w:val="20"/>
                <w:lang w:eastAsia="ru-RU"/>
              </w:rPr>
            </w:pPr>
          </w:p>
        </w:tc>
        <w:tc>
          <w:tcPr>
            <w:tcW w:w="2890" w:type="dxa"/>
            <w:vMerge w:val="restart"/>
          </w:tcPr>
          <w:p w14:paraId="54AD57C7"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 xml:space="preserve">Курганный могильник </w:t>
            </w:r>
          </w:p>
          <w:p w14:paraId="190D53A6"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«Нарзанный-5»</w:t>
            </w:r>
          </w:p>
        </w:tc>
        <w:tc>
          <w:tcPr>
            <w:tcW w:w="3889" w:type="dxa"/>
            <w:vMerge w:val="restart"/>
          </w:tcPr>
          <w:p w14:paraId="2F4EBF6D"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 xml:space="preserve">Ставропольский край, г. Кисловодск, 7345 м на запад-северо-запад до пересечения ул. Лермонтова и ул. Мира в городе-курорте Кисловодск и 7350 м на северо-запад до пересечения ул. Шоссейная и ул. Набережная в </w:t>
            </w:r>
            <w:r w:rsidRPr="00731FE2">
              <w:rPr>
                <w:rFonts w:ascii="Times New Roman" w:hAnsi="Times New Roman" w:cs="Times New Roman"/>
                <w:sz w:val="20"/>
                <w:szCs w:val="20"/>
              </w:rPr>
              <w:br/>
              <w:t>п. Индустрия города-курорта Кисловодск от вершины кургана №1. Находится на северном краю плоской вершины одной из локальных возвышенностей Джинальского хребта. Выражен в рельефе, расположен на пастбище.</w:t>
            </w:r>
          </w:p>
        </w:tc>
        <w:tc>
          <w:tcPr>
            <w:tcW w:w="2829" w:type="dxa"/>
            <w:vMerge w:val="restart"/>
          </w:tcPr>
          <w:p w14:paraId="7B12944E"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приказ управления Ставропольского края по сохарнению и государственной охране объектов культурного наследия от 22 февраля 2024 года № 194</w:t>
            </w:r>
          </w:p>
        </w:tc>
        <w:tc>
          <w:tcPr>
            <w:tcW w:w="1945" w:type="dxa"/>
            <w:vMerge w:val="restart"/>
            <w:vAlign w:val="center"/>
          </w:tcPr>
          <w:p w14:paraId="12D08121" w14:textId="77777777" w:rsidR="00706447" w:rsidRPr="00731FE2" w:rsidRDefault="00706447" w:rsidP="00F42017">
            <w:pPr>
              <w:ind w:firstLine="0"/>
              <w:jc w:val="center"/>
              <w:rPr>
                <w:rFonts w:ascii="Times New Roman" w:hAnsi="Times New Roman" w:cs="Times New Roman"/>
                <w:sz w:val="20"/>
                <w:szCs w:val="20"/>
              </w:rPr>
            </w:pPr>
            <w:r w:rsidRPr="00731FE2">
              <w:rPr>
                <w:rFonts w:ascii="Times New Roman" w:hAnsi="Times New Roman" w:cs="Times New Roman"/>
                <w:sz w:val="20"/>
                <w:szCs w:val="20"/>
              </w:rPr>
              <w:t>границы утверждены</w:t>
            </w:r>
          </w:p>
        </w:tc>
        <w:tc>
          <w:tcPr>
            <w:tcW w:w="2829" w:type="dxa"/>
            <w:vMerge w:val="restart"/>
          </w:tcPr>
          <w:p w14:paraId="63F68E27"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приказ управления Ставропольского края по сохарнению и государственной охране объектов культурного наследия от 22 февраля 2024 года № 194</w:t>
            </w:r>
          </w:p>
        </w:tc>
      </w:tr>
      <w:tr w:rsidR="00706447" w:rsidRPr="00731FE2" w14:paraId="6A7451AB" w14:textId="77777777" w:rsidTr="00C837D3">
        <w:trPr>
          <w:trHeight w:val="1155"/>
        </w:trPr>
        <w:tc>
          <w:tcPr>
            <w:tcW w:w="543" w:type="dxa"/>
            <w:vMerge w:val="restart"/>
          </w:tcPr>
          <w:p w14:paraId="2D645E41" w14:textId="77777777" w:rsidR="00706447" w:rsidRPr="00731FE2" w:rsidRDefault="00706447" w:rsidP="003F00EB">
            <w:pPr>
              <w:pStyle w:val="a3"/>
              <w:numPr>
                <w:ilvl w:val="0"/>
                <w:numId w:val="129"/>
              </w:numPr>
              <w:ind w:left="0" w:firstLine="0"/>
              <w:jc w:val="center"/>
              <w:rPr>
                <w:rFonts w:ascii="Times New Roman" w:eastAsia="Times New Roman" w:hAnsi="Times New Roman" w:cs="Times New Roman"/>
                <w:sz w:val="20"/>
                <w:szCs w:val="20"/>
                <w:lang w:eastAsia="ru-RU"/>
              </w:rPr>
            </w:pPr>
          </w:p>
        </w:tc>
        <w:tc>
          <w:tcPr>
            <w:tcW w:w="2890" w:type="dxa"/>
            <w:vMerge w:val="restart"/>
          </w:tcPr>
          <w:p w14:paraId="7E809F8D"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Укрепление «Султанное»</w:t>
            </w:r>
          </w:p>
        </w:tc>
        <w:tc>
          <w:tcPr>
            <w:tcW w:w="3889" w:type="dxa"/>
            <w:vMerge w:val="restart"/>
          </w:tcPr>
          <w:p w14:paraId="2775F06A"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 xml:space="preserve">Ставропольский край, </w:t>
            </w:r>
            <w:r w:rsidRPr="00731FE2">
              <w:rPr>
                <w:rFonts w:ascii="Times New Roman" w:hAnsi="Times New Roman" w:cs="Times New Roman"/>
                <w:sz w:val="20"/>
                <w:szCs w:val="20"/>
              </w:rPr>
              <w:br/>
              <w:t>г. Кисловодск, 5940 м на северо-запад до пересечения ул. Лермонтова и ул. Мира в г. Кисловодске и 5170 м на западо-северо-запад до пересечения ул. Шоссейная и ул. Набережная в п. Индустрия г. Кисловодска от характерной поворотной точки № 1 границы территории</w:t>
            </w:r>
          </w:p>
        </w:tc>
        <w:tc>
          <w:tcPr>
            <w:tcW w:w="2829" w:type="dxa"/>
            <w:vMerge w:val="restart"/>
          </w:tcPr>
          <w:p w14:paraId="7294E6A6"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приказ управления Ставропольского края по сохранению и государственной охране объектов культурного наследия от 04 апреля 2024 года № 323</w:t>
            </w:r>
          </w:p>
        </w:tc>
        <w:tc>
          <w:tcPr>
            <w:tcW w:w="1945" w:type="dxa"/>
            <w:vMerge w:val="restart"/>
            <w:vAlign w:val="center"/>
          </w:tcPr>
          <w:p w14:paraId="55616DD5" w14:textId="7B71C499" w:rsidR="00706447" w:rsidRPr="00731FE2" w:rsidRDefault="00FC157D" w:rsidP="00F42017">
            <w:pPr>
              <w:ind w:firstLine="0"/>
              <w:jc w:val="center"/>
              <w:rPr>
                <w:rFonts w:ascii="Times New Roman" w:hAnsi="Times New Roman" w:cs="Times New Roman"/>
                <w:sz w:val="20"/>
                <w:szCs w:val="20"/>
              </w:rPr>
            </w:pPr>
            <w:r w:rsidRPr="00731FE2">
              <w:rPr>
                <w:rFonts w:ascii="Times New Roman" w:hAnsi="Times New Roman" w:cs="Times New Roman"/>
                <w:sz w:val="20"/>
                <w:szCs w:val="20"/>
              </w:rPr>
              <w:t>выявленный</w:t>
            </w:r>
          </w:p>
        </w:tc>
        <w:tc>
          <w:tcPr>
            <w:tcW w:w="2829" w:type="dxa"/>
            <w:vMerge w:val="restart"/>
          </w:tcPr>
          <w:p w14:paraId="15BF6437"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приказ управления Ставропольского края по сохранению и государственной охране объектов культурного наследия от 04 апреля 2024 года № 323</w:t>
            </w:r>
          </w:p>
        </w:tc>
      </w:tr>
      <w:tr w:rsidR="00706447" w:rsidRPr="00731FE2" w14:paraId="39641578" w14:textId="77777777" w:rsidTr="00C837D3">
        <w:trPr>
          <w:trHeight w:val="1155"/>
        </w:trPr>
        <w:tc>
          <w:tcPr>
            <w:tcW w:w="543" w:type="dxa"/>
            <w:vMerge w:val="restart"/>
          </w:tcPr>
          <w:p w14:paraId="0B6DF619" w14:textId="77777777" w:rsidR="00706447" w:rsidRPr="00731FE2" w:rsidRDefault="00706447" w:rsidP="003F00EB">
            <w:pPr>
              <w:pStyle w:val="a3"/>
              <w:numPr>
                <w:ilvl w:val="0"/>
                <w:numId w:val="129"/>
              </w:numPr>
              <w:ind w:left="0" w:firstLine="0"/>
              <w:jc w:val="center"/>
              <w:rPr>
                <w:rFonts w:ascii="Times New Roman" w:eastAsia="Times New Roman" w:hAnsi="Times New Roman" w:cs="Times New Roman"/>
                <w:sz w:val="20"/>
                <w:szCs w:val="20"/>
                <w:lang w:eastAsia="ru-RU"/>
              </w:rPr>
            </w:pPr>
          </w:p>
        </w:tc>
        <w:tc>
          <w:tcPr>
            <w:tcW w:w="2890" w:type="dxa"/>
            <w:vMerge w:val="restart"/>
          </w:tcPr>
          <w:p w14:paraId="1486E2EB"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Поселение «Султанное»</w:t>
            </w:r>
          </w:p>
        </w:tc>
        <w:tc>
          <w:tcPr>
            <w:tcW w:w="3889" w:type="dxa"/>
            <w:vMerge w:val="restart"/>
          </w:tcPr>
          <w:p w14:paraId="15BC0FF0"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 xml:space="preserve">Ставропольский край, </w:t>
            </w:r>
            <w:r w:rsidRPr="00731FE2">
              <w:rPr>
                <w:rFonts w:ascii="Times New Roman" w:hAnsi="Times New Roman" w:cs="Times New Roman"/>
                <w:sz w:val="20"/>
                <w:szCs w:val="20"/>
              </w:rPr>
              <w:br/>
              <w:t>г. Кисловодск, 5760 м на северо-запад до пересечения ул. Лермонтова и ул. Мира в г. Кисловодске и 4990 м на западо-северо-запад до пересечения ул. Шоссейная и ул. Набережная в п. Индустрия г. Кисловодска от характерной поворотной точки № 1 границы территории</w:t>
            </w:r>
          </w:p>
        </w:tc>
        <w:tc>
          <w:tcPr>
            <w:tcW w:w="2829" w:type="dxa"/>
            <w:vMerge w:val="restart"/>
          </w:tcPr>
          <w:p w14:paraId="6ABC375D"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приказ управления Ставропольского края по сохранению и государственной охране объектов культурного наследия от 04 апреля 2024 года № 324</w:t>
            </w:r>
          </w:p>
        </w:tc>
        <w:tc>
          <w:tcPr>
            <w:tcW w:w="1945" w:type="dxa"/>
            <w:vMerge w:val="restart"/>
            <w:vAlign w:val="center"/>
          </w:tcPr>
          <w:p w14:paraId="51A4C812" w14:textId="77777777" w:rsidR="00706447" w:rsidRPr="00731FE2" w:rsidRDefault="00706447" w:rsidP="00F42017">
            <w:pPr>
              <w:ind w:firstLine="0"/>
              <w:jc w:val="center"/>
              <w:rPr>
                <w:rFonts w:ascii="Times New Roman" w:hAnsi="Times New Roman" w:cs="Times New Roman"/>
                <w:sz w:val="20"/>
                <w:szCs w:val="20"/>
              </w:rPr>
            </w:pPr>
            <w:r w:rsidRPr="00731FE2">
              <w:rPr>
                <w:rFonts w:ascii="Times New Roman" w:hAnsi="Times New Roman" w:cs="Times New Roman"/>
                <w:sz w:val="20"/>
                <w:szCs w:val="20"/>
              </w:rPr>
              <w:t>границы утверждены</w:t>
            </w:r>
          </w:p>
        </w:tc>
        <w:tc>
          <w:tcPr>
            <w:tcW w:w="2829" w:type="dxa"/>
            <w:vMerge w:val="restart"/>
          </w:tcPr>
          <w:p w14:paraId="399C39D9"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приказ управления Ставропольского края по сохранению и государственной охране объектов культурного наследия от 04 апреля 2024 года № 324</w:t>
            </w:r>
          </w:p>
        </w:tc>
      </w:tr>
      <w:tr w:rsidR="00706447" w:rsidRPr="00731FE2" w14:paraId="5CB014AB" w14:textId="77777777" w:rsidTr="00C837D3">
        <w:trPr>
          <w:trHeight w:val="1155"/>
        </w:trPr>
        <w:tc>
          <w:tcPr>
            <w:tcW w:w="543" w:type="dxa"/>
            <w:vMerge w:val="restart"/>
          </w:tcPr>
          <w:p w14:paraId="4F987C0D" w14:textId="77777777" w:rsidR="00706447" w:rsidRPr="00731FE2" w:rsidRDefault="00706447" w:rsidP="003F00EB">
            <w:pPr>
              <w:pStyle w:val="a3"/>
              <w:numPr>
                <w:ilvl w:val="0"/>
                <w:numId w:val="129"/>
              </w:numPr>
              <w:ind w:left="0" w:firstLine="0"/>
              <w:jc w:val="center"/>
              <w:rPr>
                <w:rFonts w:ascii="Times New Roman" w:eastAsia="Times New Roman" w:hAnsi="Times New Roman" w:cs="Times New Roman"/>
                <w:sz w:val="20"/>
                <w:szCs w:val="20"/>
                <w:lang w:eastAsia="ru-RU"/>
              </w:rPr>
            </w:pPr>
          </w:p>
        </w:tc>
        <w:tc>
          <w:tcPr>
            <w:tcW w:w="2890" w:type="dxa"/>
            <w:vMerge w:val="restart"/>
          </w:tcPr>
          <w:p w14:paraId="27DBE84C"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Могильник «Султанное»</w:t>
            </w:r>
          </w:p>
        </w:tc>
        <w:tc>
          <w:tcPr>
            <w:tcW w:w="3889" w:type="dxa"/>
            <w:vMerge w:val="restart"/>
          </w:tcPr>
          <w:p w14:paraId="3A6B82D4"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 xml:space="preserve">Ставропольский край, </w:t>
            </w:r>
            <w:r w:rsidRPr="00731FE2">
              <w:rPr>
                <w:rFonts w:ascii="Times New Roman" w:hAnsi="Times New Roman" w:cs="Times New Roman"/>
                <w:sz w:val="20"/>
                <w:szCs w:val="20"/>
              </w:rPr>
              <w:br/>
              <w:t>г. Кисловодск, 5690 м на северо-запад до пересечения ул. Лермонтова и ул. Мира в г. Кисловодске 4940 м на западо-северо-запад до пересечения ул. Шоссейная и ул. Набережная в п. Индустрия г. Кисловодска от характерной поворотной точки № 1 границы территории</w:t>
            </w:r>
          </w:p>
        </w:tc>
        <w:tc>
          <w:tcPr>
            <w:tcW w:w="2829" w:type="dxa"/>
            <w:vMerge w:val="restart"/>
          </w:tcPr>
          <w:p w14:paraId="4986C2FA"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приказ управления Ставропольского края по сохранению и государственной охране объектов культурного наследия от 04 апреля 2024 года № 325</w:t>
            </w:r>
          </w:p>
        </w:tc>
        <w:tc>
          <w:tcPr>
            <w:tcW w:w="1945" w:type="dxa"/>
            <w:vMerge w:val="restart"/>
            <w:vAlign w:val="center"/>
          </w:tcPr>
          <w:p w14:paraId="51F2C0FE" w14:textId="71BD95BA" w:rsidR="00706447" w:rsidRPr="00731FE2" w:rsidRDefault="00FC157D" w:rsidP="00F42017">
            <w:pPr>
              <w:ind w:firstLine="0"/>
              <w:jc w:val="center"/>
              <w:rPr>
                <w:rFonts w:ascii="Times New Roman" w:hAnsi="Times New Roman" w:cs="Times New Roman"/>
                <w:sz w:val="20"/>
                <w:szCs w:val="20"/>
              </w:rPr>
            </w:pPr>
            <w:r w:rsidRPr="00731FE2">
              <w:rPr>
                <w:rFonts w:ascii="Times New Roman" w:hAnsi="Times New Roman" w:cs="Times New Roman"/>
                <w:sz w:val="20"/>
                <w:szCs w:val="20"/>
              </w:rPr>
              <w:t>выявленный</w:t>
            </w:r>
          </w:p>
        </w:tc>
        <w:tc>
          <w:tcPr>
            <w:tcW w:w="2829" w:type="dxa"/>
            <w:vMerge w:val="restart"/>
          </w:tcPr>
          <w:p w14:paraId="68E2B7BF"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приказ управления Ставропольского края по сохранению и государственной охране объектов культурного наследия от 04 апреля 2024 года № 325</w:t>
            </w:r>
          </w:p>
        </w:tc>
      </w:tr>
      <w:tr w:rsidR="00706447" w:rsidRPr="00731FE2" w14:paraId="1D4097DF" w14:textId="77777777" w:rsidTr="00C837D3">
        <w:trPr>
          <w:trHeight w:val="1155"/>
        </w:trPr>
        <w:tc>
          <w:tcPr>
            <w:tcW w:w="543" w:type="dxa"/>
            <w:vMerge w:val="restart"/>
          </w:tcPr>
          <w:p w14:paraId="6A15CEBE" w14:textId="77777777" w:rsidR="00706447" w:rsidRPr="00731FE2" w:rsidRDefault="00706447" w:rsidP="003F00EB">
            <w:pPr>
              <w:pStyle w:val="a3"/>
              <w:numPr>
                <w:ilvl w:val="0"/>
                <w:numId w:val="129"/>
              </w:numPr>
              <w:ind w:left="0" w:firstLine="0"/>
              <w:jc w:val="center"/>
              <w:rPr>
                <w:rFonts w:ascii="Times New Roman" w:eastAsia="Times New Roman" w:hAnsi="Times New Roman" w:cs="Times New Roman"/>
                <w:sz w:val="20"/>
                <w:szCs w:val="20"/>
                <w:lang w:eastAsia="ru-RU"/>
              </w:rPr>
            </w:pPr>
          </w:p>
        </w:tc>
        <w:tc>
          <w:tcPr>
            <w:tcW w:w="2890" w:type="dxa"/>
            <w:vMerge w:val="restart"/>
          </w:tcPr>
          <w:p w14:paraId="61A93B11"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Могильник «Нарзанный-3»</w:t>
            </w:r>
          </w:p>
        </w:tc>
        <w:tc>
          <w:tcPr>
            <w:tcW w:w="3889" w:type="dxa"/>
            <w:vMerge w:val="restart"/>
          </w:tcPr>
          <w:p w14:paraId="344BF888"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Ставропольский край, г. Кисловодск, 6275 м на северо-запад до пересечения ул. Лермонтова и ул. Мира в г. Кисловодске 6010 м на запад до пересечения ул. Шоссейная и ул. Набережная в п. Индустрия г. Кисловодска от характерной точки № 1</w:t>
            </w:r>
          </w:p>
        </w:tc>
        <w:tc>
          <w:tcPr>
            <w:tcW w:w="2829" w:type="dxa"/>
            <w:vMerge w:val="restart"/>
          </w:tcPr>
          <w:p w14:paraId="618A4ED3"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приказ управления Ставропольского края по сохранению и государственной охране объектов культурного наследия от 14 июня 2024 года № 558</w:t>
            </w:r>
          </w:p>
        </w:tc>
        <w:tc>
          <w:tcPr>
            <w:tcW w:w="1945" w:type="dxa"/>
            <w:vMerge w:val="restart"/>
            <w:vAlign w:val="center"/>
          </w:tcPr>
          <w:p w14:paraId="11FED131" w14:textId="77777777" w:rsidR="00706447" w:rsidRPr="00731FE2" w:rsidRDefault="00706447" w:rsidP="00FC157D">
            <w:pPr>
              <w:ind w:firstLine="0"/>
              <w:jc w:val="center"/>
              <w:rPr>
                <w:rFonts w:ascii="Times New Roman" w:hAnsi="Times New Roman" w:cs="Times New Roman"/>
                <w:sz w:val="20"/>
                <w:szCs w:val="20"/>
              </w:rPr>
            </w:pPr>
            <w:r w:rsidRPr="00731FE2">
              <w:rPr>
                <w:rFonts w:ascii="Times New Roman" w:hAnsi="Times New Roman" w:cs="Times New Roman"/>
                <w:sz w:val="20"/>
                <w:szCs w:val="20"/>
              </w:rPr>
              <w:t>границы утверждены</w:t>
            </w:r>
          </w:p>
        </w:tc>
        <w:tc>
          <w:tcPr>
            <w:tcW w:w="2829" w:type="dxa"/>
            <w:vMerge w:val="restart"/>
          </w:tcPr>
          <w:p w14:paraId="77AC04C9"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приказ управления Ставропольского края по сохранению и государственной охране объектов культурного наследия от 14 июня 2024 года № 558</w:t>
            </w:r>
          </w:p>
        </w:tc>
      </w:tr>
      <w:tr w:rsidR="00706447" w:rsidRPr="00731FE2" w14:paraId="140E596B" w14:textId="77777777" w:rsidTr="00C837D3">
        <w:trPr>
          <w:trHeight w:val="1155"/>
        </w:trPr>
        <w:tc>
          <w:tcPr>
            <w:tcW w:w="543" w:type="dxa"/>
            <w:vMerge w:val="restart"/>
          </w:tcPr>
          <w:p w14:paraId="520EFB6F" w14:textId="77777777" w:rsidR="00706447" w:rsidRPr="00731FE2" w:rsidRDefault="00706447" w:rsidP="003F00EB">
            <w:pPr>
              <w:pStyle w:val="a3"/>
              <w:numPr>
                <w:ilvl w:val="0"/>
                <w:numId w:val="129"/>
              </w:numPr>
              <w:ind w:left="0" w:firstLine="0"/>
              <w:jc w:val="center"/>
              <w:rPr>
                <w:rFonts w:ascii="Times New Roman" w:eastAsia="Times New Roman" w:hAnsi="Times New Roman" w:cs="Times New Roman"/>
                <w:sz w:val="20"/>
                <w:szCs w:val="20"/>
                <w:lang w:eastAsia="ru-RU"/>
              </w:rPr>
            </w:pPr>
          </w:p>
        </w:tc>
        <w:tc>
          <w:tcPr>
            <w:tcW w:w="2890" w:type="dxa"/>
            <w:vMerge w:val="restart"/>
          </w:tcPr>
          <w:p w14:paraId="23D0BEB9"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Укрепление «Нарзанный»</w:t>
            </w:r>
          </w:p>
        </w:tc>
        <w:tc>
          <w:tcPr>
            <w:tcW w:w="3889" w:type="dxa"/>
            <w:vMerge w:val="restart"/>
          </w:tcPr>
          <w:p w14:paraId="1A317A2E"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Ставропольский край, г. Кисловодск, 6590 м на северо-запад до пересечения ул. Лермонтова и ул. Мира в г. Кисловодске 6025 м на запад-северо-запад до пересечения ул. Шоссейная и ул. Набережная в п. Индустрия г. Кисловодска от характерной поворотной точки границы № 1</w:t>
            </w:r>
          </w:p>
        </w:tc>
        <w:tc>
          <w:tcPr>
            <w:tcW w:w="2829" w:type="dxa"/>
            <w:vMerge w:val="restart"/>
          </w:tcPr>
          <w:p w14:paraId="7728E84F"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приказ управления Ставропольского края по сохранению и государственной охране объектов культурного наследия от 14 июня 2024 года № 559</w:t>
            </w:r>
          </w:p>
        </w:tc>
        <w:tc>
          <w:tcPr>
            <w:tcW w:w="1945" w:type="dxa"/>
            <w:vMerge w:val="restart"/>
            <w:vAlign w:val="center"/>
          </w:tcPr>
          <w:p w14:paraId="77652857" w14:textId="796BA416" w:rsidR="00706447" w:rsidRPr="00731FE2" w:rsidRDefault="00FC157D" w:rsidP="00FC157D">
            <w:pPr>
              <w:ind w:firstLine="0"/>
              <w:jc w:val="center"/>
              <w:rPr>
                <w:rFonts w:ascii="Times New Roman" w:hAnsi="Times New Roman" w:cs="Times New Roman"/>
                <w:sz w:val="20"/>
                <w:szCs w:val="20"/>
              </w:rPr>
            </w:pPr>
            <w:r w:rsidRPr="00731FE2">
              <w:rPr>
                <w:rFonts w:ascii="Times New Roman" w:hAnsi="Times New Roman" w:cs="Times New Roman"/>
                <w:sz w:val="20"/>
                <w:szCs w:val="20"/>
              </w:rPr>
              <w:t>выявленный</w:t>
            </w:r>
          </w:p>
        </w:tc>
        <w:tc>
          <w:tcPr>
            <w:tcW w:w="2829" w:type="dxa"/>
            <w:vMerge w:val="restart"/>
          </w:tcPr>
          <w:p w14:paraId="7EC9855E"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приказ управления Ставропольского края по сохранению и государственной охране объектов культурного наследия от 14 июня 2024 года № 559</w:t>
            </w:r>
          </w:p>
        </w:tc>
      </w:tr>
      <w:tr w:rsidR="00706447" w:rsidRPr="00731FE2" w14:paraId="6B474456" w14:textId="77777777" w:rsidTr="00C837D3">
        <w:trPr>
          <w:trHeight w:val="1155"/>
        </w:trPr>
        <w:tc>
          <w:tcPr>
            <w:tcW w:w="543" w:type="dxa"/>
            <w:vMerge w:val="restart"/>
          </w:tcPr>
          <w:p w14:paraId="05891180" w14:textId="77777777" w:rsidR="00706447" w:rsidRPr="00731FE2" w:rsidRDefault="00706447" w:rsidP="003F00EB">
            <w:pPr>
              <w:pStyle w:val="a3"/>
              <w:numPr>
                <w:ilvl w:val="0"/>
                <w:numId w:val="129"/>
              </w:numPr>
              <w:ind w:left="0" w:firstLine="0"/>
              <w:jc w:val="center"/>
              <w:rPr>
                <w:rFonts w:ascii="Times New Roman" w:eastAsia="Times New Roman" w:hAnsi="Times New Roman" w:cs="Times New Roman"/>
                <w:sz w:val="20"/>
                <w:szCs w:val="20"/>
                <w:lang w:eastAsia="ru-RU"/>
              </w:rPr>
            </w:pPr>
          </w:p>
        </w:tc>
        <w:tc>
          <w:tcPr>
            <w:tcW w:w="2890" w:type="dxa"/>
            <w:vMerge w:val="restart"/>
          </w:tcPr>
          <w:p w14:paraId="767114BE"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Менгир «Нарзанный-1»</w:t>
            </w:r>
          </w:p>
        </w:tc>
        <w:tc>
          <w:tcPr>
            <w:tcW w:w="3889" w:type="dxa"/>
            <w:vMerge w:val="restart"/>
          </w:tcPr>
          <w:p w14:paraId="6B35B488"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Ставропольский край, г. Кисловодск, 6240 м на северо-запад до пересечения ул. Лермонтова и ул. Мира в г. Кисловодске и 5880 м на запад до пересечения ул. Шоссейная и ул. Набережная в п. Индустрия г. Кисловодска от характерной поворотной точки границы № 1</w:t>
            </w:r>
          </w:p>
        </w:tc>
        <w:tc>
          <w:tcPr>
            <w:tcW w:w="2829" w:type="dxa"/>
            <w:vMerge w:val="restart"/>
          </w:tcPr>
          <w:p w14:paraId="065BBAD3"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приказ управления Ставропольского края по сохранению и государственной охране объектов культурного наследия от 14 июня 2024 года № 560</w:t>
            </w:r>
          </w:p>
        </w:tc>
        <w:tc>
          <w:tcPr>
            <w:tcW w:w="1945" w:type="dxa"/>
            <w:vMerge w:val="restart"/>
            <w:vAlign w:val="center"/>
          </w:tcPr>
          <w:p w14:paraId="081AD60C" w14:textId="77777777" w:rsidR="00706447" w:rsidRPr="00731FE2" w:rsidRDefault="00706447" w:rsidP="00FC157D">
            <w:pPr>
              <w:ind w:firstLine="0"/>
              <w:jc w:val="center"/>
              <w:rPr>
                <w:rFonts w:ascii="Times New Roman" w:hAnsi="Times New Roman" w:cs="Times New Roman"/>
                <w:sz w:val="20"/>
                <w:szCs w:val="20"/>
              </w:rPr>
            </w:pPr>
            <w:r w:rsidRPr="00731FE2">
              <w:rPr>
                <w:rFonts w:ascii="Times New Roman" w:hAnsi="Times New Roman" w:cs="Times New Roman"/>
                <w:sz w:val="20"/>
                <w:szCs w:val="20"/>
              </w:rPr>
              <w:t>границы утверждены</w:t>
            </w:r>
          </w:p>
        </w:tc>
        <w:tc>
          <w:tcPr>
            <w:tcW w:w="2829" w:type="dxa"/>
            <w:vMerge w:val="restart"/>
          </w:tcPr>
          <w:p w14:paraId="08922FFA"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приказ управления Ставропольского края по сохранению и государственной охране объектов культурного наследия от 14 июня 2024 года № 560</w:t>
            </w:r>
          </w:p>
        </w:tc>
      </w:tr>
      <w:tr w:rsidR="00706447" w:rsidRPr="00731FE2" w14:paraId="0474276A" w14:textId="77777777" w:rsidTr="00C837D3">
        <w:trPr>
          <w:trHeight w:val="1155"/>
        </w:trPr>
        <w:tc>
          <w:tcPr>
            <w:tcW w:w="543" w:type="dxa"/>
          </w:tcPr>
          <w:p w14:paraId="28159220" w14:textId="77777777" w:rsidR="00706447" w:rsidRPr="00731FE2" w:rsidRDefault="00706447" w:rsidP="003F00EB">
            <w:pPr>
              <w:pStyle w:val="a3"/>
              <w:numPr>
                <w:ilvl w:val="0"/>
                <w:numId w:val="129"/>
              </w:numPr>
              <w:ind w:left="0" w:firstLine="0"/>
              <w:jc w:val="center"/>
              <w:rPr>
                <w:rFonts w:ascii="Times New Roman" w:eastAsia="Times New Roman" w:hAnsi="Times New Roman" w:cs="Times New Roman"/>
                <w:sz w:val="20"/>
                <w:szCs w:val="20"/>
                <w:lang w:eastAsia="ru-RU"/>
              </w:rPr>
            </w:pPr>
          </w:p>
        </w:tc>
        <w:tc>
          <w:tcPr>
            <w:tcW w:w="2890" w:type="dxa"/>
          </w:tcPr>
          <w:p w14:paraId="5E93AB44"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Археологический комплекс «Улица Кочубея»</w:t>
            </w:r>
          </w:p>
        </w:tc>
        <w:tc>
          <w:tcPr>
            <w:tcW w:w="3889" w:type="dxa"/>
          </w:tcPr>
          <w:p w14:paraId="621E4125"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 xml:space="preserve">Ставропольский край, на территории г.-к. Кисловодска, на северо-западной окраине г. Кисловодска, на перекрестке улиц Римгорская и Кочубея, к западу от улицы Кочубея. Участок расположения памятника приурочен к правобережью р. Подкумок. Памятник расположен на правом берегу р. Аликоновка у ее впадения в р. Подкумок, на ровной в настоящее время возвышенной над местностью площадке. Местоположение объекта археологии определено по местоположению точки № 1 границы территории памятника. Расстояния до точки № 1 от известных ориентиров: 1,55 км к ЮВ от точки: скальный обрыв </w:t>
            </w:r>
            <w:r w:rsidRPr="00731FE2">
              <w:rPr>
                <w:rFonts w:ascii="Times New Roman" w:hAnsi="Times New Roman" w:cs="Times New Roman"/>
                <w:sz w:val="20"/>
                <w:szCs w:val="20"/>
              </w:rPr>
              <w:lastRenderedPageBreak/>
              <w:t>Кольцо-горы, г.-к. Кисловодск (азимут 133,98°), 2,28 км к ЮЗ от точки: ж/д мост через р. Подкумок в г.-к. Кисловодске (азимут 237,87°)</w:t>
            </w:r>
          </w:p>
        </w:tc>
        <w:tc>
          <w:tcPr>
            <w:tcW w:w="2829" w:type="dxa"/>
          </w:tcPr>
          <w:p w14:paraId="3DB6026E"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lastRenderedPageBreak/>
              <w:t>приказ управления Ставропольского края по сохранению и государственной охране объектов культурного наследия от 24 июля 2024 года № 730</w:t>
            </w:r>
          </w:p>
        </w:tc>
        <w:tc>
          <w:tcPr>
            <w:tcW w:w="1945" w:type="dxa"/>
            <w:vAlign w:val="center"/>
          </w:tcPr>
          <w:p w14:paraId="0A881593" w14:textId="02A96978" w:rsidR="00706447" w:rsidRPr="00731FE2" w:rsidRDefault="00FC157D" w:rsidP="00FC157D">
            <w:pPr>
              <w:ind w:firstLine="0"/>
              <w:jc w:val="center"/>
              <w:rPr>
                <w:rFonts w:ascii="Times New Roman" w:hAnsi="Times New Roman" w:cs="Times New Roman"/>
                <w:sz w:val="20"/>
                <w:szCs w:val="20"/>
              </w:rPr>
            </w:pPr>
            <w:r w:rsidRPr="00731FE2">
              <w:rPr>
                <w:rFonts w:ascii="Times New Roman" w:hAnsi="Times New Roman" w:cs="Times New Roman"/>
                <w:sz w:val="20"/>
                <w:szCs w:val="20"/>
              </w:rPr>
              <w:t>выявленный</w:t>
            </w:r>
          </w:p>
        </w:tc>
        <w:tc>
          <w:tcPr>
            <w:tcW w:w="2829" w:type="dxa"/>
          </w:tcPr>
          <w:p w14:paraId="21B05330" w14:textId="77777777" w:rsidR="00706447" w:rsidRPr="00731FE2" w:rsidRDefault="00706447" w:rsidP="00706447">
            <w:pPr>
              <w:ind w:firstLine="0"/>
              <w:rPr>
                <w:rFonts w:ascii="Times New Roman" w:hAnsi="Times New Roman" w:cs="Times New Roman"/>
                <w:sz w:val="20"/>
                <w:szCs w:val="20"/>
              </w:rPr>
            </w:pPr>
            <w:r w:rsidRPr="00731FE2">
              <w:rPr>
                <w:rFonts w:ascii="Times New Roman" w:hAnsi="Times New Roman" w:cs="Times New Roman"/>
                <w:sz w:val="20"/>
                <w:szCs w:val="20"/>
              </w:rPr>
              <w:t>приказ управления Ставропольского края по сохранению и государственной охране объектов культурного наследия от 24 июля 2024 года № 730</w:t>
            </w:r>
          </w:p>
        </w:tc>
      </w:tr>
    </w:tbl>
    <w:p w14:paraId="1820DD1D" w14:textId="77777777" w:rsidR="00171AA8" w:rsidRPr="00731FE2" w:rsidRDefault="007935AB">
      <w:pPr>
        <w:rPr>
          <w:rFonts w:ascii="Times New Roman" w:hAnsi="Times New Roman" w:cs="Times New Roman"/>
        </w:rPr>
      </w:pPr>
      <w:r w:rsidRPr="00731FE2">
        <w:rPr>
          <w:rFonts w:ascii="Times New Roman" w:hAnsi="Times New Roman" w:cs="Times New Roman"/>
        </w:rPr>
        <w:lastRenderedPageBreak/>
        <w:br w:type="page" w:clear="all"/>
      </w:r>
    </w:p>
    <w:p w14:paraId="3FCF5370" w14:textId="77777777" w:rsidR="00171AA8" w:rsidRPr="00731FE2" w:rsidRDefault="007935AB" w:rsidP="00717AA7">
      <w:pPr>
        <w:pStyle w:val="13"/>
        <w:spacing w:after="0" w:line="240" w:lineRule="auto"/>
        <w:rPr>
          <w:rStyle w:val="af6"/>
          <w:rFonts w:ascii="Times New Roman" w:hAnsi="Times New Roman" w:cs="Times New Roman"/>
          <w:b w:val="0"/>
          <w:bCs w:val="0"/>
          <w:color w:val="auto"/>
          <w:sz w:val="24"/>
          <w:szCs w:val="24"/>
          <w:u w:val="none"/>
        </w:rPr>
      </w:pPr>
      <w:bookmarkStart w:id="112" w:name="_Toc177392861"/>
      <w:r w:rsidRPr="00731FE2">
        <w:rPr>
          <w:rStyle w:val="af6"/>
          <w:rFonts w:ascii="Times New Roman" w:hAnsi="Times New Roman" w:cs="Times New Roman"/>
          <w:bCs w:val="0"/>
          <w:color w:val="auto"/>
          <w:sz w:val="24"/>
          <w:szCs w:val="24"/>
          <w:u w:val="none"/>
        </w:rPr>
        <w:lastRenderedPageBreak/>
        <w:t>ПРИЛОЖЕНИЕ 5 – ПЕРЕЧЕНЬ АВТОМОБИЛЬНЫХ ДОРОГ ОБЩЕГО ПОЛЬЗОВАНИЯ МЕСТНОГО ЗНАЧЕНИЯ НА ТЕРРИТОРИИ ГОРОДСКОГО ОКРУГА «ГОРОД-КУРОРТ КИСЛОВОДСК» НА КОНЕЦ 2023 Г.</w:t>
      </w:r>
      <w:r w:rsidRPr="00731FE2">
        <w:rPr>
          <w:rStyle w:val="afb"/>
          <w:rFonts w:ascii="Times New Roman" w:hAnsi="Times New Roman" w:cs="Times New Roman"/>
          <w:b w:val="0"/>
          <w:bCs w:val="0"/>
          <w:color w:val="auto"/>
          <w:sz w:val="24"/>
          <w:szCs w:val="24"/>
          <w:vertAlign w:val="superscript"/>
        </w:rPr>
        <w:footnoteReference w:id="124"/>
      </w:r>
      <w:bookmarkEnd w:id="112"/>
    </w:p>
    <w:tbl>
      <w:tblPr>
        <w:tblStyle w:val="afe"/>
        <w:tblW w:w="14616" w:type="dxa"/>
        <w:tblInd w:w="-5" w:type="dxa"/>
        <w:tblLayout w:type="fixed"/>
        <w:tblCellMar>
          <w:left w:w="57" w:type="dxa"/>
          <w:right w:w="57" w:type="dxa"/>
        </w:tblCellMar>
        <w:tblLook w:val="04A0" w:firstRow="1" w:lastRow="0" w:firstColumn="1" w:lastColumn="0" w:noHBand="0" w:noVBand="1"/>
      </w:tblPr>
      <w:tblGrid>
        <w:gridCol w:w="567"/>
        <w:gridCol w:w="2839"/>
        <w:gridCol w:w="2268"/>
        <w:gridCol w:w="1843"/>
        <w:gridCol w:w="2693"/>
        <w:gridCol w:w="3118"/>
        <w:gridCol w:w="1288"/>
      </w:tblGrid>
      <w:tr w:rsidR="00171AA8" w:rsidRPr="00731FE2" w14:paraId="77F5896C" w14:textId="77777777" w:rsidTr="00EE4EC5">
        <w:tc>
          <w:tcPr>
            <w:tcW w:w="567" w:type="dxa"/>
            <w:vAlign w:val="center"/>
          </w:tcPr>
          <w:p w14:paraId="0FC0C87B" w14:textId="77777777" w:rsidR="00171AA8" w:rsidRPr="00731FE2" w:rsidRDefault="007935AB">
            <w:pPr>
              <w:ind w:firstLine="0"/>
              <w:jc w:val="center"/>
              <w:rPr>
                <w:rFonts w:ascii="Times New Roman" w:eastAsia="Times New Roman" w:hAnsi="Times New Roman" w:cs="Times New Roman"/>
                <w:b/>
                <w:bCs/>
                <w:color w:val="000000"/>
                <w:sz w:val="18"/>
                <w:szCs w:val="18"/>
              </w:rPr>
            </w:pPr>
            <w:r w:rsidRPr="00731FE2">
              <w:rPr>
                <w:rFonts w:ascii="Times New Roman" w:eastAsia="Times New Roman" w:hAnsi="Times New Roman" w:cs="Times New Roman"/>
                <w:b/>
                <w:bCs/>
                <w:color w:val="000000"/>
                <w:sz w:val="18"/>
                <w:szCs w:val="18"/>
              </w:rPr>
              <w:t>№</w:t>
            </w:r>
          </w:p>
        </w:tc>
        <w:tc>
          <w:tcPr>
            <w:tcW w:w="2839" w:type="dxa"/>
            <w:vAlign w:val="center"/>
          </w:tcPr>
          <w:p w14:paraId="71D7D38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b/>
                <w:color w:val="000000"/>
                <w:sz w:val="18"/>
                <w:szCs w:val="18"/>
              </w:rPr>
              <w:t>Наименование автодороги</w:t>
            </w:r>
          </w:p>
        </w:tc>
        <w:tc>
          <w:tcPr>
            <w:tcW w:w="2268" w:type="dxa"/>
            <w:vAlign w:val="center"/>
          </w:tcPr>
          <w:p w14:paraId="7FDAA86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b/>
                <w:color w:val="000000"/>
                <w:sz w:val="18"/>
                <w:szCs w:val="18"/>
              </w:rPr>
              <w:t>Месторасположение автодороги</w:t>
            </w:r>
          </w:p>
        </w:tc>
        <w:tc>
          <w:tcPr>
            <w:tcW w:w="1843" w:type="dxa"/>
            <w:vAlign w:val="center"/>
          </w:tcPr>
          <w:p w14:paraId="027B407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b/>
                <w:color w:val="000000"/>
                <w:sz w:val="18"/>
                <w:szCs w:val="18"/>
              </w:rPr>
              <w:t>Протяженность, км</w:t>
            </w:r>
          </w:p>
        </w:tc>
        <w:tc>
          <w:tcPr>
            <w:tcW w:w="2693" w:type="dxa"/>
            <w:vAlign w:val="center"/>
          </w:tcPr>
          <w:p w14:paraId="4D653FB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b/>
                <w:color w:val="000000"/>
                <w:sz w:val="18"/>
                <w:szCs w:val="18"/>
              </w:rPr>
              <w:t>Идентификационный номер автомобильной дороги.</w:t>
            </w:r>
          </w:p>
        </w:tc>
        <w:tc>
          <w:tcPr>
            <w:tcW w:w="3118" w:type="dxa"/>
            <w:vAlign w:val="center"/>
          </w:tcPr>
          <w:p w14:paraId="40494C0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b/>
                <w:color w:val="000000"/>
                <w:sz w:val="18"/>
                <w:szCs w:val="18"/>
              </w:rPr>
              <w:t>Категория дороги</w:t>
            </w:r>
          </w:p>
        </w:tc>
        <w:tc>
          <w:tcPr>
            <w:tcW w:w="1288" w:type="dxa"/>
            <w:vAlign w:val="center"/>
          </w:tcPr>
          <w:p w14:paraId="56F7B55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b/>
                <w:color w:val="000000"/>
                <w:sz w:val="18"/>
                <w:szCs w:val="18"/>
              </w:rPr>
              <w:t>Площадь покрытия, м²</w:t>
            </w:r>
          </w:p>
        </w:tc>
      </w:tr>
      <w:tr w:rsidR="00171AA8" w:rsidRPr="00731FE2" w14:paraId="7837991C" w14:textId="77777777" w:rsidTr="00EE4EC5">
        <w:tc>
          <w:tcPr>
            <w:tcW w:w="567" w:type="dxa"/>
          </w:tcPr>
          <w:p w14:paraId="21A5EFDE"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75EFE665"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8 Марта</w:t>
            </w:r>
          </w:p>
        </w:tc>
        <w:tc>
          <w:tcPr>
            <w:tcW w:w="2268" w:type="dxa"/>
          </w:tcPr>
          <w:p w14:paraId="0F66AD3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8 Марта</w:t>
            </w:r>
          </w:p>
        </w:tc>
        <w:tc>
          <w:tcPr>
            <w:tcW w:w="1843" w:type="dxa"/>
          </w:tcPr>
          <w:p w14:paraId="7110395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0,667</w:t>
            </w:r>
          </w:p>
        </w:tc>
        <w:tc>
          <w:tcPr>
            <w:tcW w:w="2693" w:type="dxa"/>
          </w:tcPr>
          <w:p w14:paraId="1674FCC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07-415-ОП-МГ-А-001</w:t>
            </w:r>
          </w:p>
        </w:tc>
        <w:tc>
          <w:tcPr>
            <w:tcW w:w="3118" w:type="dxa"/>
          </w:tcPr>
          <w:p w14:paraId="2112121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IV, улица районного значения транспортно-пешеходная</w:t>
            </w:r>
          </w:p>
        </w:tc>
        <w:tc>
          <w:tcPr>
            <w:tcW w:w="1288" w:type="dxa"/>
          </w:tcPr>
          <w:p w14:paraId="4D4C03B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6336,5</w:t>
            </w:r>
          </w:p>
        </w:tc>
      </w:tr>
      <w:tr w:rsidR="00171AA8" w:rsidRPr="00731FE2" w14:paraId="13FC47DE" w14:textId="77777777" w:rsidTr="00EE4EC5">
        <w:tc>
          <w:tcPr>
            <w:tcW w:w="567" w:type="dxa"/>
          </w:tcPr>
          <w:p w14:paraId="07F9BD43"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12DE7102"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40 лет Октября</w:t>
            </w:r>
          </w:p>
        </w:tc>
        <w:tc>
          <w:tcPr>
            <w:tcW w:w="2268" w:type="dxa"/>
          </w:tcPr>
          <w:p w14:paraId="7AA2200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40 лет Октября</w:t>
            </w:r>
          </w:p>
        </w:tc>
        <w:tc>
          <w:tcPr>
            <w:tcW w:w="1843" w:type="dxa"/>
          </w:tcPr>
          <w:p w14:paraId="38B2D51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1,750</w:t>
            </w:r>
          </w:p>
        </w:tc>
        <w:tc>
          <w:tcPr>
            <w:tcW w:w="2693" w:type="dxa"/>
          </w:tcPr>
          <w:p w14:paraId="3FA6215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07-415-ОП-МГ-А-002</w:t>
            </w:r>
          </w:p>
        </w:tc>
        <w:tc>
          <w:tcPr>
            <w:tcW w:w="3118" w:type="dxa"/>
          </w:tcPr>
          <w:p w14:paraId="6359A06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IV, улица районного значения транспортно-пешеходная</w:t>
            </w:r>
          </w:p>
        </w:tc>
        <w:tc>
          <w:tcPr>
            <w:tcW w:w="1288" w:type="dxa"/>
          </w:tcPr>
          <w:p w14:paraId="006A95A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14875</w:t>
            </w:r>
          </w:p>
        </w:tc>
      </w:tr>
      <w:tr w:rsidR="00171AA8" w:rsidRPr="00731FE2" w14:paraId="6A7C61BF" w14:textId="77777777" w:rsidTr="00EE4EC5">
        <w:tc>
          <w:tcPr>
            <w:tcW w:w="567" w:type="dxa"/>
          </w:tcPr>
          <w:p w14:paraId="505DD076"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3A1328C7"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Авиации</w:t>
            </w:r>
          </w:p>
        </w:tc>
        <w:tc>
          <w:tcPr>
            <w:tcW w:w="2268" w:type="dxa"/>
          </w:tcPr>
          <w:p w14:paraId="0C103DA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Авиации</w:t>
            </w:r>
          </w:p>
        </w:tc>
        <w:tc>
          <w:tcPr>
            <w:tcW w:w="1843" w:type="dxa"/>
          </w:tcPr>
          <w:p w14:paraId="6619DD9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1,437</w:t>
            </w:r>
          </w:p>
        </w:tc>
        <w:tc>
          <w:tcPr>
            <w:tcW w:w="2693" w:type="dxa"/>
          </w:tcPr>
          <w:p w14:paraId="09571DB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07-415-ОП-МГ-А/ЩГ-003</w:t>
            </w:r>
          </w:p>
        </w:tc>
        <w:tc>
          <w:tcPr>
            <w:tcW w:w="3118" w:type="dxa"/>
          </w:tcPr>
          <w:p w14:paraId="6E1A9A0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улица районного значения транспортно-пешеходная</w:t>
            </w:r>
          </w:p>
        </w:tc>
        <w:tc>
          <w:tcPr>
            <w:tcW w:w="1288" w:type="dxa"/>
          </w:tcPr>
          <w:p w14:paraId="0D93645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7185</w:t>
            </w:r>
          </w:p>
        </w:tc>
      </w:tr>
      <w:tr w:rsidR="00171AA8" w:rsidRPr="00731FE2" w14:paraId="13D46F5E" w14:textId="77777777" w:rsidTr="00EE4EC5">
        <w:tc>
          <w:tcPr>
            <w:tcW w:w="567" w:type="dxa"/>
          </w:tcPr>
          <w:p w14:paraId="40BED2EC"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73AE8F35"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Аджарская 1</w:t>
            </w:r>
          </w:p>
        </w:tc>
        <w:tc>
          <w:tcPr>
            <w:tcW w:w="2268" w:type="dxa"/>
          </w:tcPr>
          <w:p w14:paraId="0AB8DE8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Аджарская 1</w:t>
            </w:r>
          </w:p>
        </w:tc>
        <w:tc>
          <w:tcPr>
            <w:tcW w:w="1843" w:type="dxa"/>
          </w:tcPr>
          <w:p w14:paraId="713E186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0,380</w:t>
            </w:r>
          </w:p>
        </w:tc>
        <w:tc>
          <w:tcPr>
            <w:tcW w:w="2693" w:type="dxa"/>
          </w:tcPr>
          <w:p w14:paraId="763AA05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07-415-ОП-МГ-А-004</w:t>
            </w:r>
          </w:p>
        </w:tc>
        <w:tc>
          <w:tcPr>
            <w:tcW w:w="3118" w:type="dxa"/>
          </w:tcPr>
          <w:p w14:paraId="42275A0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улица районного значения транспортно-пешеходная</w:t>
            </w:r>
          </w:p>
        </w:tc>
        <w:tc>
          <w:tcPr>
            <w:tcW w:w="1288" w:type="dxa"/>
          </w:tcPr>
          <w:p w14:paraId="7AB52EE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2888</w:t>
            </w:r>
          </w:p>
        </w:tc>
      </w:tr>
      <w:tr w:rsidR="00171AA8" w:rsidRPr="00731FE2" w14:paraId="7034A8FE" w14:textId="77777777" w:rsidTr="00EE4EC5">
        <w:tc>
          <w:tcPr>
            <w:tcW w:w="567" w:type="dxa"/>
          </w:tcPr>
          <w:p w14:paraId="57C125EA"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27D867C3"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Аджарская 2</w:t>
            </w:r>
          </w:p>
        </w:tc>
        <w:tc>
          <w:tcPr>
            <w:tcW w:w="2268" w:type="dxa"/>
          </w:tcPr>
          <w:p w14:paraId="341170F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Аджарская 2</w:t>
            </w:r>
          </w:p>
        </w:tc>
        <w:tc>
          <w:tcPr>
            <w:tcW w:w="1843" w:type="dxa"/>
          </w:tcPr>
          <w:p w14:paraId="1C26A3D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0,380</w:t>
            </w:r>
          </w:p>
        </w:tc>
        <w:tc>
          <w:tcPr>
            <w:tcW w:w="2693" w:type="dxa"/>
          </w:tcPr>
          <w:p w14:paraId="11695F1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07-415-ОП-МГ-А-005</w:t>
            </w:r>
          </w:p>
        </w:tc>
        <w:tc>
          <w:tcPr>
            <w:tcW w:w="3118" w:type="dxa"/>
          </w:tcPr>
          <w:p w14:paraId="12715D8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улица районного значения транспортно-пешеходная</w:t>
            </w:r>
          </w:p>
        </w:tc>
        <w:tc>
          <w:tcPr>
            <w:tcW w:w="1288" w:type="dxa"/>
          </w:tcPr>
          <w:p w14:paraId="221DE70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2926</w:t>
            </w:r>
          </w:p>
        </w:tc>
      </w:tr>
      <w:tr w:rsidR="00171AA8" w:rsidRPr="00731FE2" w14:paraId="6BEE867A" w14:textId="77777777" w:rsidTr="00EE4EC5">
        <w:tc>
          <w:tcPr>
            <w:tcW w:w="567" w:type="dxa"/>
          </w:tcPr>
          <w:p w14:paraId="2F4413FB"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61BF59D3"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Азербайджанская</w:t>
            </w:r>
          </w:p>
        </w:tc>
        <w:tc>
          <w:tcPr>
            <w:tcW w:w="2268" w:type="dxa"/>
          </w:tcPr>
          <w:p w14:paraId="04E5E51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Азербайджанская</w:t>
            </w:r>
          </w:p>
        </w:tc>
        <w:tc>
          <w:tcPr>
            <w:tcW w:w="1843" w:type="dxa"/>
          </w:tcPr>
          <w:p w14:paraId="0292A3B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0,919</w:t>
            </w:r>
          </w:p>
        </w:tc>
        <w:tc>
          <w:tcPr>
            <w:tcW w:w="2693" w:type="dxa"/>
          </w:tcPr>
          <w:p w14:paraId="4E9F365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07-415-ОП-МГ-А-006</w:t>
            </w:r>
          </w:p>
        </w:tc>
        <w:tc>
          <w:tcPr>
            <w:tcW w:w="3118" w:type="dxa"/>
          </w:tcPr>
          <w:p w14:paraId="4CF55EE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IV, улица районного значения транспортно-пешеходная</w:t>
            </w:r>
          </w:p>
        </w:tc>
        <w:tc>
          <w:tcPr>
            <w:tcW w:w="1288" w:type="dxa"/>
          </w:tcPr>
          <w:p w14:paraId="7C47DCC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9190</w:t>
            </w:r>
          </w:p>
        </w:tc>
      </w:tr>
      <w:tr w:rsidR="00171AA8" w:rsidRPr="00731FE2" w14:paraId="7E112CB9" w14:textId="77777777" w:rsidTr="00EE4EC5">
        <w:tc>
          <w:tcPr>
            <w:tcW w:w="567" w:type="dxa"/>
          </w:tcPr>
          <w:p w14:paraId="38A9E6A3"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6901DFD7"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Аликоновская</w:t>
            </w:r>
          </w:p>
        </w:tc>
        <w:tc>
          <w:tcPr>
            <w:tcW w:w="2268" w:type="dxa"/>
          </w:tcPr>
          <w:p w14:paraId="07F5392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Аликоновская</w:t>
            </w:r>
          </w:p>
        </w:tc>
        <w:tc>
          <w:tcPr>
            <w:tcW w:w="1843" w:type="dxa"/>
          </w:tcPr>
          <w:p w14:paraId="659DBB1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0,428</w:t>
            </w:r>
          </w:p>
        </w:tc>
        <w:tc>
          <w:tcPr>
            <w:tcW w:w="2693" w:type="dxa"/>
          </w:tcPr>
          <w:p w14:paraId="6F20721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07-415-ОП-МГ-А-007</w:t>
            </w:r>
          </w:p>
        </w:tc>
        <w:tc>
          <w:tcPr>
            <w:tcW w:w="3118" w:type="dxa"/>
          </w:tcPr>
          <w:p w14:paraId="4AC5064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основной</w:t>
            </w:r>
          </w:p>
        </w:tc>
        <w:tc>
          <w:tcPr>
            <w:tcW w:w="1288" w:type="dxa"/>
          </w:tcPr>
          <w:p w14:paraId="038E1D9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2354</w:t>
            </w:r>
          </w:p>
        </w:tc>
      </w:tr>
      <w:tr w:rsidR="00171AA8" w:rsidRPr="00731FE2" w14:paraId="025FC7FC" w14:textId="77777777" w:rsidTr="00EE4EC5">
        <w:tc>
          <w:tcPr>
            <w:tcW w:w="567" w:type="dxa"/>
          </w:tcPr>
          <w:p w14:paraId="73EDA85E"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7F612564"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Андрея Губина</w:t>
            </w:r>
          </w:p>
        </w:tc>
        <w:tc>
          <w:tcPr>
            <w:tcW w:w="2268" w:type="dxa"/>
          </w:tcPr>
          <w:p w14:paraId="4CE4684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Андрея Губина</w:t>
            </w:r>
          </w:p>
        </w:tc>
        <w:tc>
          <w:tcPr>
            <w:tcW w:w="1843" w:type="dxa"/>
          </w:tcPr>
          <w:p w14:paraId="7181953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1,275</w:t>
            </w:r>
          </w:p>
        </w:tc>
        <w:tc>
          <w:tcPr>
            <w:tcW w:w="2693" w:type="dxa"/>
          </w:tcPr>
          <w:p w14:paraId="1345E02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07-415-ОП-МГ-А-008</w:t>
            </w:r>
          </w:p>
        </w:tc>
        <w:tc>
          <w:tcPr>
            <w:tcW w:w="3118" w:type="dxa"/>
          </w:tcPr>
          <w:p w14:paraId="7AB61AF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IV, улица районного значения транспортно-пешеходная</w:t>
            </w:r>
          </w:p>
        </w:tc>
        <w:tc>
          <w:tcPr>
            <w:tcW w:w="1288" w:type="dxa"/>
          </w:tcPr>
          <w:p w14:paraId="3734DF1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11475</w:t>
            </w:r>
          </w:p>
        </w:tc>
      </w:tr>
      <w:tr w:rsidR="00171AA8" w:rsidRPr="00731FE2" w14:paraId="28C90140" w14:textId="77777777" w:rsidTr="00EE4EC5">
        <w:tc>
          <w:tcPr>
            <w:tcW w:w="567" w:type="dxa"/>
          </w:tcPr>
          <w:p w14:paraId="2F87B25D"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03D26CE3"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Аллейный переулок</w:t>
            </w:r>
          </w:p>
        </w:tc>
        <w:tc>
          <w:tcPr>
            <w:tcW w:w="2268" w:type="dxa"/>
          </w:tcPr>
          <w:p w14:paraId="3AA7F57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Аллейный переулок</w:t>
            </w:r>
          </w:p>
        </w:tc>
        <w:tc>
          <w:tcPr>
            <w:tcW w:w="1843" w:type="dxa"/>
          </w:tcPr>
          <w:p w14:paraId="587FB3A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0,100</w:t>
            </w:r>
          </w:p>
        </w:tc>
        <w:tc>
          <w:tcPr>
            <w:tcW w:w="2693" w:type="dxa"/>
          </w:tcPr>
          <w:p w14:paraId="361B47E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07-415-ОП-МГ-А-009</w:t>
            </w:r>
          </w:p>
        </w:tc>
        <w:tc>
          <w:tcPr>
            <w:tcW w:w="3118" w:type="dxa"/>
          </w:tcPr>
          <w:p w14:paraId="4FA28B5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улица районного значения транспортно-пешеходная</w:t>
            </w:r>
          </w:p>
        </w:tc>
        <w:tc>
          <w:tcPr>
            <w:tcW w:w="1288" w:type="dxa"/>
          </w:tcPr>
          <w:p w14:paraId="29C940D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800</w:t>
            </w:r>
          </w:p>
        </w:tc>
      </w:tr>
      <w:tr w:rsidR="00171AA8" w:rsidRPr="00731FE2" w14:paraId="364E4AD2" w14:textId="77777777" w:rsidTr="00EE4EC5">
        <w:tc>
          <w:tcPr>
            <w:tcW w:w="567" w:type="dxa"/>
          </w:tcPr>
          <w:p w14:paraId="4241ADDF"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6CB811A3"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Анджиевского</w:t>
            </w:r>
          </w:p>
        </w:tc>
        <w:tc>
          <w:tcPr>
            <w:tcW w:w="2268" w:type="dxa"/>
          </w:tcPr>
          <w:p w14:paraId="6C897AF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Анджиевского</w:t>
            </w:r>
          </w:p>
        </w:tc>
        <w:tc>
          <w:tcPr>
            <w:tcW w:w="1843" w:type="dxa"/>
          </w:tcPr>
          <w:p w14:paraId="713E82E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0,163</w:t>
            </w:r>
          </w:p>
        </w:tc>
        <w:tc>
          <w:tcPr>
            <w:tcW w:w="2693" w:type="dxa"/>
          </w:tcPr>
          <w:p w14:paraId="0631EFC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07-415-ОП-МГ-А-010</w:t>
            </w:r>
          </w:p>
        </w:tc>
        <w:tc>
          <w:tcPr>
            <w:tcW w:w="3118" w:type="dxa"/>
          </w:tcPr>
          <w:p w14:paraId="44C78C5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основной</w:t>
            </w:r>
          </w:p>
        </w:tc>
        <w:tc>
          <w:tcPr>
            <w:tcW w:w="1288" w:type="dxa"/>
          </w:tcPr>
          <w:p w14:paraId="3660B00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766,1</w:t>
            </w:r>
          </w:p>
        </w:tc>
      </w:tr>
      <w:tr w:rsidR="00171AA8" w:rsidRPr="00731FE2" w14:paraId="54447CCA" w14:textId="77777777" w:rsidTr="00EE4EC5">
        <w:tc>
          <w:tcPr>
            <w:tcW w:w="567" w:type="dxa"/>
          </w:tcPr>
          <w:p w14:paraId="7499364C"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34C503E9"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Апанасенко</w:t>
            </w:r>
          </w:p>
        </w:tc>
        <w:tc>
          <w:tcPr>
            <w:tcW w:w="2268" w:type="dxa"/>
          </w:tcPr>
          <w:p w14:paraId="0533D6B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Апанасенко</w:t>
            </w:r>
          </w:p>
        </w:tc>
        <w:tc>
          <w:tcPr>
            <w:tcW w:w="1843" w:type="dxa"/>
          </w:tcPr>
          <w:p w14:paraId="30BFFDF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0,368</w:t>
            </w:r>
          </w:p>
        </w:tc>
        <w:tc>
          <w:tcPr>
            <w:tcW w:w="2693" w:type="dxa"/>
          </w:tcPr>
          <w:p w14:paraId="507FF43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07-415-ОП-МГ-А-011</w:t>
            </w:r>
          </w:p>
        </w:tc>
        <w:tc>
          <w:tcPr>
            <w:tcW w:w="3118" w:type="dxa"/>
          </w:tcPr>
          <w:p w14:paraId="57C9580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62438B5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1472</w:t>
            </w:r>
          </w:p>
        </w:tc>
      </w:tr>
      <w:tr w:rsidR="00171AA8" w:rsidRPr="00731FE2" w14:paraId="502493C6" w14:textId="77777777" w:rsidTr="00EE4EC5">
        <w:tc>
          <w:tcPr>
            <w:tcW w:w="567" w:type="dxa"/>
          </w:tcPr>
          <w:p w14:paraId="62742D78"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1E013780"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Артема</w:t>
            </w:r>
          </w:p>
        </w:tc>
        <w:tc>
          <w:tcPr>
            <w:tcW w:w="2268" w:type="dxa"/>
          </w:tcPr>
          <w:p w14:paraId="2FBAFA5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Артема</w:t>
            </w:r>
          </w:p>
        </w:tc>
        <w:tc>
          <w:tcPr>
            <w:tcW w:w="1843" w:type="dxa"/>
          </w:tcPr>
          <w:p w14:paraId="332301C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1,015</w:t>
            </w:r>
          </w:p>
        </w:tc>
        <w:tc>
          <w:tcPr>
            <w:tcW w:w="2693" w:type="dxa"/>
          </w:tcPr>
          <w:p w14:paraId="6108C44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07-415-ОП-МГ-А/ЩГ-012</w:t>
            </w:r>
          </w:p>
        </w:tc>
        <w:tc>
          <w:tcPr>
            <w:tcW w:w="3118" w:type="dxa"/>
          </w:tcPr>
          <w:p w14:paraId="285FABF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основной</w:t>
            </w:r>
          </w:p>
        </w:tc>
        <w:tc>
          <w:tcPr>
            <w:tcW w:w="1288" w:type="dxa"/>
          </w:tcPr>
          <w:p w14:paraId="7955157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5075</w:t>
            </w:r>
          </w:p>
        </w:tc>
      </w:tr>
      <w:tr w:rsidR="00171AA8" w:rsidRPr="00731FE2" w14:paraId="4386DFA6" w14:textId="77777777" w:rsidTr="00EE4EC5">
        <w:tc>
          <w:tcPr>
            <w:tcW w:w="567" w:type="dxa"/>
          </w:tcPr>
          <w:p w14:paraId="2645F95C"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657BFD82"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Артиллерийская</w:t>
            </w:r>
          </w:p>
        </w:tc>
        <w:tc>
          <w:tcPr>
            <w:tcW w:w="2268" w:type="dxa"/>
          </w:tcPr>
          <w:p w14:paraId="60B9622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Артиллерийская</w:t>
            </w:r>
          </w:p>
        </w:tc>
        <w:tc>
          <w:tcPr>
            <w:tcW w:w="1843" w:type="dxa"/>
          </w:tcPr>
          <w:p w14:paraId="42F8658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0,248</w:t>
            </w:r>
          </w:p>
        </w:tc>
        <w:tc>
          <w:tcPr>
            <w:tcW w:w="2693" w:type="dxa"/>
          </w:tcPr>
          <w:p w14:paraId="4E5B348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07-415-ОП-МГ-А-013</w:t>
            </w:r>
          </w:p>
        </w:tc>
        <w:tc>
          <w:tcPr>
            <w:tcW w:w="3118" w:type="dxa"/>
          </w:tcPr>
          <w:p w14:paraId="1BFABBA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основной</w:t>
            </w:r>
          </w:p>
        </w:tc>
        <w:tc>
          <w:tcPr>
            <w:tcW w:w="1288" w:type="dxa"/>
          </w:tcPr>
          <w:p w14:paraId="7CFE516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1041,6</w:t>
            </w:r>
          </w:p>
        </w:tc>
      </w:tr>
      <w:tr w:rsidR="00171AA8" w:rsidRPr="00731FE2" w14:paraId="4A22D797" w14:textId="77777777" w:rsidTr="00EE4EC5">
        <w:tc>
          <w:tcPr>
            <w:tcW w:w="567" w:type="dxa"/>
          </w:tcPr>
          <w:p w14:paraId="283EB25B"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084D18BD"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Архитектора Еськова</w:t>
            </w:r>
          </w:p>
        </w:tc>
        <w:tc>
          <w:tcPr>
            <w:tcW w:w="2268" w:type="dxa"/>
          </w:tcPr>
          <w:p w14:paraId="10BACFA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Архитектора Еськова</w:t>
            </w:r>
          </w:p>
        </w:tc>
        <w:tc>
          <w:tcPr>
            <w:tcW w:w="1843" w:type="dxa"/>
          </w:tcPr>
          <w:p w14:paraId="69BDB81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0,300</w:t>
            </w:r>
          </w:p>
        </w:tc>
        <w:tc>
          <w:tcPr>
            <w:tcW w:w="2693" w:type="dxa"/>
          </w:tcPr>
          <w:p w14:paraId="2E4D77C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07-415-ОП-МГ-А/П-014</w:t>
            </w:r>
          </w:p>
        </w:tc>
        <w:tc>
          <w:tcPr>
            <w:tcW w:w="3118" w:type="dxa"/>
          </w:tcPr>
          <w:p w14:paraId="6CF899B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пешеходно-транспортная улица</w:t>
            </w:r>
          </w:p>
        </w:tc>
        <w:tc>
          <w:tcPr>
            <w:tcW w:w="1288" w:type="dxa"/>
          </w:tcPr>
          <w:p w14:paraId="182E7A9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1800</w:t>
            </w:r>
          </w:p>
        </w:tc>
      </w:tr>
      <w:tr w:rsidR="00171AA8" w:rsidRPr="00731FE2" w14:paraId="467A333D" w14:textId="77777777" w:rsidTr="00EE4EC5">
        <w:tc>
          <w:tcPr>
            <w:tcW w:w="567" w:type="dxa"/>
          </w:tcPr>
          <w:p w14:paraId="35B58DAE"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11090D2D"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Бабушкина переулок</w:t>
            </w:r>
          </w:p>
        </w:tc>
        <w:tc>
          <w:tcPr>
            <w:tcW w:w="2268" w:type="dxa"/>
          </w:tcPr>
          <w:p w14:paraId="234B3D5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Бабушкина переулок</w:t>
            </w:r>
          </w:p>
        </w:tc>
        <w:tc>
          <w:tcPr>
            <w:tcW w:w="1843" w:type="dxa"/>
          </w:tcPr>
          <w:p w14:paraId="187CB26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0,080</w:t>
            </w:r>
          </w:p>
        </w:tc>
        <w:tc>
          <w:tcPr>
            <w:tcW w:w="2693" w:type="dxa"/>
          </w:tcPr>
          <w:p w14:paraId="02D41E8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07-415-ОП-МГ-А-015</w:t>
            </w:r>
          </w:p>
        </w:tc>
        <w:tc>
          <w:tcPr>
            <w:tcW w:w="3118" w:type="dxa"/>
          </w:tcPr>
          <w:p w14:paraId="1EA44BC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1FFCF61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400</w:t>
            </w:r>
          </w:p>
        </w:tc>
      </w:tr>
      <w:tr w:rsidR="00171AA8" w:rsidRPr="00731FE2" w14:paraId="3140CA19" w14:textId="77777777" w:rsidTr="00EE4EC5">
        <w:tc>
          <w:tcPr>
            <w:tcW w:w="567" w:type="dxa"/>
          </w:tcPr>
          <w:p w14:paraId="590C854C"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5062A227"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Бассейная</w:t>
            </w:r>
          </w:p>
        </w:tc>
        <w:tc>
          <w:tcPr>
            <w:tcW w:w="2268" w:type="dxa"/>
          </w:tcPr>
          <w:p w14:paraId="72F3A16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Бассейная</w:t>
            </w:r>
          </w:p>
        </w:tc>
        <w:tc>
          <w:tcPr>
            <w:tcW w:w="1843" w:type="dxa"/>
          </w:tcPr>
          <w:p w14:paraId="0785156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0,150</w:t>
            </w:r>
          </w:p>
        </w:tc>
        <w:tc>
          <w:tcPr>
            <w:tcW w:w="2693" w:type="dxa"/>
          </w:tcPr>
          <w:p w14:paraId="1793412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07-415-ОП-МГ-ЩГ/Б-016</w:t>
            </w:r>
          </w:p>
        </w:tc>
        <w:tc>
          <w:tcPr>
            <w:tcW w:w="3118" w:type="dxa"/>
          </w:tcPr>
          <w:p w14:paraId="073821A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0F6F05D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525</w:t>
            </w:r>
          </w:p>
        </w:tc>
      </w:tr>
      <w:tr w:rsidR="00171AA8" w:rsidRPr="00731FE2" w14:paraId="089A56D1" w14:textId="77777777" w:rsidTr="00EE4EC5">
        <w:tc>
          <w:tcPr>
            <w:tcW w:w="567" w:type="dxa"/>
          </w:tcPr>
          <w:p w14:paraId="1D96009E"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1EA27794"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Белинского</w:t>
            </w:r>
          </w:p>
        </w:tc>
        <w:tc>
          <w:tcPr>
            <w:tcW w:w="2268" w:type="dxa"/>
          </w:tcPr>
          <w:p w14:paraId="59D23BD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Белинского</w:t>
            </w:r>
          </w:p>
        </w:tc>
        <w:tc>
          <w:tcPr>
            <w:tcW w:w="1843" w:type="dxa"/>
          </w:tcPr>
          <w:p w14:paraId="714F519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0,726</w:t>
            </w:r>
          </w:p>
        </w:tc>
        <w:tc>
          <w:tcPr>
            <w:tcW w:w="2693" w:type="dxa"/>
          </w:tcPr>
          <w:p w14:paraId="0AFB0D6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07-415-ОП-МГ-А-017</w:t>
            </w:r>
          </w:p>
        </w:tc>
        <w:tc>
          <w:tcPr>
            <w:tcW w:w="3118" w:type="dxa"/>
          </w:tcPr>
          <w:p w14:paraId="5C3E6E7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основной</w:t>
            </w:r>
          </w:p>
        </w:tc>
        <w:tc>
          <w:tcPr>
            <w:tcW w:w="1288" w:type="dxa"/>
          </w:tcPr>
          <w:p w14:paraId="622034E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3630</w:t>
            </w:r>
          </w:p>
        </w:tc>
      </w:tr>
      <w:tr w:rsidR="00171AA8" w:rsidRPr="00731FE2" w14:paraId="34553B0E" w14:textId="77777777" w:rsidTr="00EE4EC5">
        <w:tc>
          <w:tcPr>
            <w:tcW w:w="567" w:type="dxa"/>
          </w:tcPr>
          <w:p w14:paraId="24013BB0"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5E5B8569"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Белоглинская</w:t>
            </w:r>
          </w:p>
        </w:tc>
        <w:tc>
          <w:tcPr>
            <w:tcW w:w="2268" w:type="dxa"/>
          </w:tcPr>
          <w:p w14:paraId="7819E90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Белоглинская</w:t>
            </w:r>
          </w:p>
        </w:tc>
        <w:tc>
          <w:tcPr>
            <w:tcW w:w="1843" w:type="dxa"/>
          </w:tcPr>
          <w:p w14:paraId="150CBFB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0,765</w:t>
            </w:r>
          </w:p>
        </w:tc>
        <w:tc>
          <w:tcPr>
            <w:tcW w:w="2693" w:type="dxa"/>
          </w:tcPr>
          <w:p w14:paraId="25241FD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07-415-ОП-МГ-А/ЩГ-018</w:t>
            </w:r>
          </w:p>
        </w:tc>
        <w:tc>
          <w:tcPr>
            <w:tcW w:w="3118" w:type="dxa"/>
          </w:tcPr>
          <w:p w14:paraId="75E6F3D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основной</w:t>
            </w:r>
          </w:p>
        </w:tc>
        <w:tc>
          <w:tcPr>
            <w:tcW w:w="1288" w:type="dxa"/>
          </w:tcPr>
          <w:p w14:paraId="3826674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3060</w:t>
            </w:r>
          </w:p>
        </w:tc>
      </w:tr>
      <w:tr w:rsidR="00171AA8" w:rsidRPr="00731FE2" w14:paraId="293742EC" w14:textId="77777777" w:rsidTr="00EE4EC5">
        <w:tc>
          <w:tcPr>
            <w:tcW w:w="567" w:type="dxa"/>
          </w:tcPr>
          <w:p w14:paraId="44C75244"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2DABCDCD"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Белореченская</w:t>
            </w:r>
          </w:p>
        </w:tc>
        <w:tc>
          <w:tcPr>
            <w:tcW w:w="2268" w:type="dxa"/>
          </w:tcPr>
          <w:p w14:paraId="3302F5C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Белореченская</w:t>
            </w:r>
          </w:p>
        </w:tc>
        <w:tc>
          <w:tcPr>
            <w:tcW w:w="1843" w:type="dxa"/>
          </w:tcPr>
          <w:p w14:paraId="139CD2D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0,418</w:t>
            </w:r>
          </w:p>
        </w:tc>
        <w:tc>
          <w:tcPr>
            <w:tcW w:w="2693" w:type="dxa"/>
          </w:tcPr>
          <w:p w14:paraId="0251C81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07-415-ОП-МГ-А-019</w:t>
            </w:r>
          </w:p>
        </w:tc>
        <w:tc>
          <w:tcPr>
            <w:tcW w:w="3118" w:type="dxa"/>
          </w:tcPr>
          <w:p w14:paraId="167509F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230C481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2090</w:t>
            </w:r>
          </w:p>
        </w:tc>
      </w:tr>
      <w:tr w:rsidR="00171AA8" w:rsidRPr="00731FE2" w14:paraId="3E2FEDD7" w14:textId="77777777" w:rsidTr="00EE4EC5">
        <w:tc>
          <w:tcPr>
            <w:tcW w:w="567" w:type="dxa"/>
          </w:tcPr>
          <w:p w14:paraId="480F2F07"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098BEA7A"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Белорусская</w:t>
            </w:r>
          </w:p>
        </w:tc>
        <w:tc>
          <w:tcPr>
            <w:tcW w:w="2268" w:type="dxa"/>
          </w:tcPr>
          <w:p w14:paraId="57AEF00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Белорусская</w:t>
            </w:r>
          </w:p>
        </w:tc>
        <w:tc>
          <w:tcPr>
            <w:tcW w:w="1843" w:type="dxa"/>
          </w:tcPr>
          <w:p w14:paraId="6D3A649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0,351</w:t>
            </w:r>
          </w:p>
        </w:tc>
        <w:tc>
          <w:tcPr>
            <w:tcW w:w="2693" w:type="dxa"/>
          </w:tcPr>
          <w:p w14:paraId="7431522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07-415-ОП-МГ-А/ЩГ-020</w:t>
            </w:r>
          </w:p>
        </w:tc>
        <w:tc>
          <w:tcPr>
            <w:tcW w:w="3118" w:type="dxa"/>
          </w:tcPr>
          <w:p w14:paraId="2329EB5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1A36AA4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1755</w:t>
            </w:r>
          </w:p>
        </w:tc>
      </w:tr>
      <w:tr w:rsidR="00171AA8" w:rsidRPr="00731FE2" w14:paraId="68778142" w14:textId="77777777" w:rsidTr="00EE4EC5">
        <w:tc>
          <w:tcPr>
            <w:tcW w:w="567" w:type="dxa"/>
          </w:tcPr>
          <w:p w14:paraId="4FC42ED7"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3445D0DD"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Березовская</w:t>
            </w:r>
          </w:p>
        </w:tc>
        <w:tc>
          <w:tcPr>
            <w:tcW w:w="2268" w:type="dxa"/>
          </w:tcPr>
          <w:p w14:paraId="756A713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Березовская</w:t>
            </w:r>
          </w:p>
        </w:tc>
        <w:tc>
          <w:tcPr>
            <w:tcW w:w="1843" w:type="dxa"/>
          </w:tcPr>
          <w:p w14:paraId="0F856CE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1,128</w:t>
            </w:r>
          </w:p>
        </w:tc>
        <w:tc>
          <w:tcPr>
            <w:tcW w:w="2693" w:type="dxa"/>
          </w:tcPr>
          <w:p w14:paraId="0CAE7B7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07-415-ОП-МГ-А/ЩГ-021</w:t>
            </w:r>
          </w:p>
        </w:tc>
        <w:tc>
          <w:tcPr>
            <w:tcW w:w="3118" w:type="dxa"/>
          </w:tcPr>
          <w:p w14:paraId="1CC3062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основной</w:t>
            </w:r>
          </w:p>
        </w:tc>
        <w:tc>
          <w:tcPr>
            <w:tcW w:w="1288" w:type="dxa"/>
          </w:tcPr>
          <w:p w14:paraId="00D0E1E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8460</w:t>
            </w:r>
          </w:p>
        </w:tc>
      </w:tr>
      <w:tr w:rsidR="00171AA8" w:rsidRPr="00731FE2" w14:paraId="44E2D985" w14:textId="77777777" w:rsidTr="00EE4EC5">
        <w:tc>
          <w:tcPr>
            <w:tcW w:w="567" w:type="dxa"/>
          </w:tcPr>
          <w:p w14:paraId="4BA6A41C"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52F29106"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Богдана Хмельницкого</w:t>
            </w:r>
          </w:p>
        </w:tc>
        <w:tc>
          <w:tcPr>
            <w:tcW w:w="2268" w:type="dxa"/>
          </w:tcPr>
          <w:p w14:paraId="3EB27EA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Богдана Хмельницкого</w:t>
            </w:r>
          </w:p>
        </w:tc>
        <w:tc>
          <w:tcPr>
            <w:tcW w:w="1843" w:type="dxa"/>
          </w:tcPr>
          <w:p w14:paraId="60B0AC1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0,254</w:t>
            </w:r>
          </w:p>
        </w:tc>
        <w:tc>
          <w:tcPr>
            <w:tcW w:w="2693" w:type="dxa"/>
          </w:tcPr>
          <w:p w14:paraId="74C70B1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07-415-ОП-МГ-А-022</w:t>
            </w:r>
          </w:p>
        </w:tc>
        <w:tc>
          <w:tcPr>
            <w:tcW w:w="3118" w:type="dxa"/>
          </w:tcPr>
          <w:p w14:paraId="1301E45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IV, проезд основной</w:t>
            </w:r>
          </w:p>
        </w:tc>
        <w:tc>
          <w:tcPr>
            <w:tcW w:w="1288" w:type="dxa"/>
          </w:tcPr>
          <w:p w14:paraId="4AA2069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1397</w:t>
            </w:r>
          </w:p>
        </w:tc>
      </w:tr>
      <w:tr w:rsidR="00171AA8" w:rsidRPr="00731FE2" w14:paraId="56587743" w14:textId="77777777" w:rsidTr="00EE4EC5">
        <w:tc>
          <w:tcPr>
            <w:tcW w:w="567" w:type="dxa"/>
          </w:tcPr>
          <w:p w14:paraId="4DBF8BEC"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4867B6F3"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Боргустанская</w:t>
            </w:r>
          </w:p>
        </w:tc>
        <w:tc>
          <w:tcPr>
            <w:tcW w:w="2268" w:type="dxa"/>
          </w:tcPr>
          <w:p w14:paraId="4DE2566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Боргустанская</w:t>
            </w:r>
          </w:p>
        </w:tc>
        <w:tc>
          <w:tcPr>
            <w:tcW w:w="1843" w:type="dxa"/>
          </w:tcPr>
          <w:p w14:paraId="7F1A7EB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0,778</w:t>
            </w:r>
          </w:p>
        </w:tc>
        <w:tc>
          <w:tcPr>
            <w:tcW w:w="2693" w:type="dxa"/>
          </w:tcPr>
          <w:p w14:paraId="367D357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07-415-ОП-МГ-А-023</w:t>
            </w:r>
          </w:p>
        </w:tc>
        <w:tc>
          <w:tcPr>
            <w:tcW w:w="3118" w:type="dxa"/>
          </w:tcPr>
          <w:p w14:paraId="7C79B6A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улица районного значения транспортно-пешеходная</w:t>
            </w:r>
          </w:p>
        </w:tc>
        <w:tc>
          <w:tcPr>
            <w:tcW w:w="1288" w:type="dxa"/>
          </w:tcPr>
          <w:p w14:paraId="64601D7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7002</w:t>
            </w:r>
          </w:p>
        </w:tc>
      </w:tr>
      <w:tr w:rsidR="00171AA8" w:rsidRPr="00731FE2" w14:paraId="6856327E" w14:textId="77777777" w:rsidTr="00EE4EC5">
        <w:tc>
          <w:tcPr>
            <w:tcW w:w="567" w:type="dxa"/>
          </w:tcPr>
          <w:p w14:paraId="1AE43549"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3FDCF33B"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Бородинский переулок</w:t>
            </w:r>
          </w:p>
        </w:tc>
        <w:tc>
          <w:tcPr>
            <w:tcW w:w="2268" w:type="dxa"/>
          </w:tcPr>
          <w:p w14:paraId="1A6C03B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Бородинский переулок</w:t>
            </w:r>
          </w:p>
        </w:tc>
        <w:tc>
          <w:tcPr>
            <w:tcW w:w="1843" w:type="dxa"/>
          </w:tcPr>
          <w:p w14:paraId="3CD8335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0,207</w:t>
            </w:r>
          </w:p>
        </w:tc>
        <w:tc>
          <w:tcPr>
            <w:tcW w:w="2693" w:type="dxa"/>
          </w:tcPr>
          <w:p w14:paraId="4D35731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07-415-ОП-МГ-А-024</w:t>
            </w:r>
          </w:p>
        </w:tc>
        <w:tc>
          <w:tcPr>
            <w:tcW w:w="3118" w:type="dxa"/>
          </w:tcPr>
          <w:p w14:paraId="168DB3F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IV, проезд основной</w:t>
            </w:r>
          </w:p>
        </w:tc>
        <w:tc>
          <w:tcPr>
            <w:tcW w:w="1288" w:type="dxa"/>
          </w:tcPr>
          <w:p w14:paraId="553EE14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1449</w:t>
            </w:r>
          </w:p>
        </w:tc>
      </w:tr>
      <w:tr w:rsidR="00171AA8" w:rsidRPr="00731FE2" w14:paraId="49250FBA" w14:textId="77777777" w:rsidTr="00EE4EC5">
        <w:tc>
          <w:tcPr>
            <w:tcW w:w="567" w:type="dxa"/>
          </w:tcPr>
          <w:p w14:paraId="4DDBFEB7"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0BC77E63"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Буачидзе переулок</w:t>
            </w:r>
          </w:p>
        </w:tc>
        <w:tc>
          <w:tcPr>
            <w:tcW w:w="2268" w:type="dxa"/>
          </w:tcPr>
          <w:p w14:paraId="7F484F8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Буачидзе переулок</w:t>
            </w:r>
          </w:p>
        </w:tc>
        <w:tc>
          <w:tcPr>
            <w:tcW w:w="1843" w:type="dxa"/>
          </w:tcPr>
          <w:p w14:paraId="141F539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0,158</w:t>
            </w:r>
          </w:p>
        </w:tc>
        <w:tc>
          <w:tcPr>
            <w:tcW w:w="2693" w:type="dxa"/>
          </w:tcPr>
          <w:p w14:paraId="10D6C39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07-415-ОП-МГ-А/ЩГ-025</w:t>
            </w:r>
          </w:p>
        </w:tc>
        <w:tc>
          <w:tcPr>
            <w:tcW w:w="3118" w:type="dxa"/>
          </w:tcPr>
          <w:p w14:paraId="1A1940E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55DAE23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553</w:t>
            </w:r>
          </w:p>
        </w:tc>
      </w:tr>
      <w:tr w:rsidR="00171AA8" w:rsidRPr="00731FE2" w14:paraId="3C9A026B" w14:textId="77777777" w:rsidTr="00EE4EC5">
        <w:tc>
          <w:tcPr>
            <w:tcW w:w="567" w:type="dxa"/>
          </w:tcPr>
          <w:p w14:paraId="2DD931CE"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00588082"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Вашкевича</w:t>
            </w:r>
          </w:p>
        </w:tc>
        <w:tc>
          <w:tcPr>
            <w:tcW w:w="2268" w:type="dxa"/>
          </w:tcPr>
          <w:p w14:paraId="5E46B87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Вашкевича</w:t>
            </w:r>
          </w:p>
        </w:tc>
        <w:tc>
          <w:tcPr>
            <w:tcW w:w="1843" w:type="dxa"/>
          </w:tcPr>
          <w:p w14:paraId="5A1EB04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1,404</w:t>
            </w:r>
          </w:p>
        </w:tc>
        <w:tc>
          <w:tcPr>
            <w:tcW w:w="2693" w:type="dxa"/>
          </w:tcPr>
          <w:p w14:paraId="665C705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07-415-ОП-МГ-А/ЩГ-026</w:t>
            </w:r>
          </w:p>
        </w:tc>
        <w:tc>
          <w:tcPr>
            <w:tcW w:w="3118" w:type="dxa"/>
          </w:tcPr>
          <w:p w14:paraId="034FE6A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2B5024A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5616</w:t>
            </w:r>
          </w:p>
        </w:tc>
      </w:tr>
      <w:tr w:rsidR="00171AA8" w:rsidRPr="00731FE2" w14:paraId="4D3CBDF2" w14:textId="77777777" w:rsidTr="00EE4EC5">
        <w:tc>
          <w:tcPr>
            <w:tcW w:w="567" w:type="dxa"/>
          </w:tcPr>
          <w:p w14:paraId="7B5B89C0"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01C08483"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Велинградская</w:t>
            </w:r>
          </w:p>
        </w:tc>
        <w:tc>
          <w:tcPr>
            <w:tcW w:w="2268" w:type="dxa"/>
          </w:tcPr>
          <w:p w14:paraId="51A84F8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Велинградская</w:t>
            </w:r>
          </w:p>
        </w:tc>
        <w:tc>
          <w:tcPr>
            <w:tcW w:w="1843" w:type="dxa"/>
          </w:tcPr>
          <w:p w14:paraId="40FF17B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0,596</w:t>
            </w:r>
          </w:p>
        </w:tc>
        <w:tc>
          <w:tcPr>
            <w:tcW w:w="2693" w:type="dxa"/>
          </w:tcPr>
          <w:p w14:paraId="153E21D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07-415-ОП-МГ-А-027</w:t>
            </w:r>
          </w:p>
        </w:tc>
        <w:tc>
          <w:tcPr>
            <w:tcW w:w="3118" w:type="dxa"/>
          </w:tcPr>
          <w:p w14:paraId="0BA45AA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основной</w:t>
            </w:r>
          </w:p>
        </w:tc>
        <w:tc>
          <w:tcPr>
            <w:tcW w:w="1288" w:type="dxa"/>
          </w:tcPr>
          <w:p w14:paraId="3B3722B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4768</w:t>
            </w:r>
          </w:p>
        </w:tc>
      </w:tr>
      <w:tr w:rsidR="00171AA8" w:rsidRPr="00731FE2" w14:paraId="419F9D51" w14:textId="77777777" w:rsidTr="00EE4EC5">
        <w:tc>
          <w:tcPr>
            <w:tcW w:w="567" w:type="dxa"/>
          </w:tcPr>
          <w:p w14:paraId="2E4FCE79"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46B0BE77"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Верхнедонская</w:t>
            </w:r>
          </w:p>
        </w:tc>
        <w:tc>
          <w:tcPr>
            <w:tcW w:w="2268" w:type="dxa"/>
          </w:tcPr>
          <w:p w14:paraId="0587B22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Верхнедонская</w:t>
            </w:r>
          </w:p>
        </w:tc>
        <w:tc>
          <w:tcPr>
            <w:tcW w:w="1843" w:type="dxa"/>
          </w:tcPr>
          <w:p w14:paraId="41CA2A4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0,804</w:t>
            </w:r>
          </w:p>
        </w:tc>
        <w:tc>
          <w:tcPr>
            <w:tcW w:w="2693" w:type="dxa"/>
          </w:tcPr>
          <w:p w14:paraId="03C3E04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07-415-ОП-МГ-А/ЩГ-028</w:t>
            </w:r>
          </w:p>
        </w:tc>
        <w:tc>
          <w:tcPr>
            <w:tcW w:w="3118" w:type="dxa"/>
          </w:tcPr>
          <w:p w14:paraId="0C7F9D0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IV, улица районного значения транспортно-пешеходная</w:t>
            </w:r>
          </w:p>
        </w:tc>
        <w:tc>
          <w:tcPr>
            <w:tcW w:w="1288" w:type="dxa"/>
          </w:tcPr>
          <w:p w14:paraId="16B8910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3216</w:t>
            </w:r>
          </w:p>
        </w:tc>
      </w:tr>
      <w:tr w:rsidR="00171AA8" w:rsidRPr="00731FE2" w14:paraId="43C044FD" w14:textId="77777777" w:rsidTr="00EE4EC5">
        <w:tc>
          <w:tcPr>
            <w:tcW w:w="567" w:type="dxa"/>
          </w:tcPr>
          <w:p w14:paraId="236310FB"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2A8F3DE2"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Верхнепрудная</w:t>
            </w:r>
          </w:p>
        </w:tc>
        <w:tc>
          <w:tcPr>
            <w:tcW w:w="2268" w:type="dxa"/>
          </w:tcPr>
          <w:p w14:paraId="5445D2A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Верхнепрудная</w:t>
            </w:r>
          </w:p>
        </w:tc>
        <w:tc>
          <w:tcPr>
            <w:tcW w:w="1843" w:type="dxa"/>
          </w:tcPr>
          <w:p w14:paraId="15AE47E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0,185</w:t>
            </w:r>
          </w:p>
        </w:tc>
        <w:tc>
          <w:tcPr>
            <w:tcW w:w="2693" w:type="dxa"/>
          </w:tcPr>
          <w:p w14:paraId="5A0A15F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07-415-ОП-МГ-А/Б-029</w:t>
            </w:r>
          </w:p>
        </w:tc>
        <w:tc>
          <w:tcPr>
            <w:tcW w:w="3118" w:type="dxa"/>
          </w:tcPr>
          <w:p w14:paraId="4FFA119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основной</w:t>
            </w:r>
          </w:p>
        </w:tc>
        <w:tc>
          <w:tcPr>
            <w:tcW w:w="1288" w:type="dxa"/>
          </w:tcPr>
          <w:p w14:paraId="47813AF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1295</w:t>
            </w:r>
          </w:p>
        </w:tc>
      </w:tr>
      <w:tr w:rsidR="00171AA8" w:rsidRPr="00731FE2" w14:paraId="7154F0C4" w14:textId="77777777" w:rsidTr="00EE4EC5">
        <w:tc>
          <w:tcPr>
            <w:tcW w:w="567" w:type="dxa"/>
          </w:tcPr>
          <w:p w14:paraId="42237248"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64E3FBDC"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Веселая</w:t>
            </w:r>
          </w:p>
        </w:tc>
        <w:tc>
          <w:tcPr>
            <w:tcW w:w="2268" w:type="dxa"/>
          </w:tcPr>
          <w:p w14:paraId="1942209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Веселая</w:t>
            </w:r>
          </w:p>
        </w:tc>
        <w:tc>
          <w:tcPr>
            <w:tcW w:w="1843" w:type="dxa"/>
          </w:tcPr>
          <w:p w14:paraId="18E9B38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0,672</w:t>
            </w:r>
          </w:p>
        </w:tc>
        <w:tc>
          <w:tcPr>
            <w:tcW w:w="2693" w:type="dxa"/>
          </w:tcPr>
          <w:p w14:paraId="5899E88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07-415-ОП-МГ-П/ЩГ-030</w:t>
            </w:r>
          </w:p>
        </w:tc>
        <w:tc>
          <w:tcPr>
            <w:tcW w:w="3118" w:type="dxa"/>
          </w:tcPr>
          <w:p w14:paraId="2379BD9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основной</w:t>
            </w:r>
          </w:p>
        </w:tc>
        <w:tc>
          <w:tcPr>
            <w:tcW w:w="1288" w:type="dxa"/>
          </w:tcPr>
          <w:p w14:paraId="106AEEB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2352</w:t>
            </w:r>
          </w:p>
        </w:tc>
      </w:tr>
      <w:tr w:rsidR="00171AA8" w:rsidRPr="00731FE2" w14:paraId="2DEA3EC9" w14:textId="77777777" w:rsidTr="00EE4EC5">
        <w:tc>
          <w:tcPr>
            <w:tcW w:w="567" w:type="dxa"/>
          </w:tcPr>
          <w:p w14:paraId="62A58CEE"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041C7EE0"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Виноградная (Садово-Виноградная)</w:t>
            </w:r>
          </w:p>
        </w:tc>
        <w:tc>
          <w:tcPr>
            <w:tcW w:w="2268" w:type="dxa"/>
          </w:tcPr>
          <w:p w14:paraId="543C06E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Виноградная (Садово-Виноградная)</w:t>
            </w:r>
          </w:p>
        </w:tc>
        <w:tc>
          <w:tcPr>
            <w:tcW w:w="1843" w:type="dxa"/>
          </w:tcPr>
          <w:p w14:paraId="1DE0C5B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0,510</w:t>
            </w:r>
          </w:p>
        </w:tc>
        <w:tc>
          <w:tcPr>
            <w:tcW w:w="2693" w:type="dxa"/>
          </w:tcPr>
          <w:p w14:paraId="530E17D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07-415-ОП-МГ-П/ЩГ-031</w:t>
            </w:r>
          </w:p>
        </w:tc>
        <w:tc>
          <w:tcPr>
            <w:tcW w:w="3118" w:type="dxa"/>
          </w:tcPr>
          <w:p w14:paraId="5EB5271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основной</w:t>
            </w:r>
          </w:p>
        </w:tc>
        <w:tc>
          <w:tcPr>
            <w:tcW w:w="1288" w:type="dxa"/>
          </w:tcPr>
          <w:p w14:paraId="66AA4A1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1785</w:t>
            </w:r>
          </w:p>
        </w:tc>
      </w:tr>
      <w:tr w:rsidR="00171AA8" w:rsidRPr="00731FE2" w14:paraId="6236A65E" w14:textId="77777777" w:rsidTr="00EE4EC5">
        <w:tc>
          <w:tcPr>
            <w:tcW w:w="567" w:type="dxa"/>
          </w:tcPr>
          <w:p w14:paraId="0E776F5A"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16F78A5E"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Водопойная</w:t>
            </w:r>
          </w:p>
        </w:tc>
        <w:tc>
          <w:tcPr>
            <w:tcW w:w="2268" w:type="dxa"/>
          </w:tcPr>
          <w:p w14:paraId="3183F43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Водопойная</w:t>
            </w:r>
          </w:p>
        </w:tc>
        <w:tc>
          <w:tcPr>
            <w:tcW w:w="1843" w:type="dxa"/>
          </w:tcPr>
          <w:p w14:paraId="2E3DBBE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0,703</w:t>
            </w:r>
          </w:p>
        </w:tc>
        <w:tc>
          <w:tcPr>
            <w:tcW w:w="2693" w:type="dxa"/>
          </w:tcPr>
          <w:p w14:paraId="115F3EE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07-415-ОП-МГ-А-032</w:t>
            </w:r>
          </w:p>
        </w:tc>
        <w:tc>
          <w:tcPr>
            <w:tcW w:w="3118" w:type="dxa"/>
          </w:tcPr>
          <w:p w14:paraId="0DFDDD0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IV, улица районного значения транспортно-пешеходная</w:t>
            </w:r>
          </w:p>
        </w:tc>
        <w:tc>
          <w:tcPr>
            <w:tcW w:w="1288" w:type="dxa"/>
          </w:tcPr>
          <w:p w14:paraId="5F15CBC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8436</w:t>
            </w:r>
          </w:p>
        </w:tc>
      </w:tr>
      <w:tr w:rsidR="00171AA8" w:rsidRPr="00731FE2" w14:paraId="692E9BB5" w14:textId="77777777" w:rsidTr="00EE4EC5">
        <w:tc>
          <w:tcPr>
            <w:tcW w:w="567" w:type="dxa"/>
          </w:tcPr>
          <w:p w14:paraId="65995CA2"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47838FB0"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Войкова (от пр. Дзержинского до ул. Делегатской)</w:t>
            </w:r>
          </w:p>
        </w:tc>
        <w:tc>
          <w:tcPr>
            <w:tcW w:w="2268" w:type="dxa"/>
          </w:tcPr>
          <w:p w14:paraId="1D2C2EC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Войкова (от пр. Дзержинского до ул. Делегатской)</w:t>
            </w:r>
          </w:p>
        </w:tc>
        <w:tc>
          <w:tcPr>
            <w:tcW w:w="1843" w:type="dxa"/>
          </w:tcPr>
          <w:p w14:paraId="430C3C7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0,336</w:t>
            </w:r>
          </w:p>
        </w:tc>
        <w:tc>
          <w:tcPr>
            <w:tcW w:w="2693" w:type="dxa"/>
          </w:tcPr>
          <w:p w14:paraId="4778CB2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07-415-ОП-МГ-А-033</w:t>
            </w:r>
          </w:p>
        </w:tc>
        <w:tc>
          <w:tcPr>
            <w:tcW w:w="3118" w:type="dxa"/>
          </w:tcPr>
          <w:p w14:paraId="001708F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улица районного значения транспортно-пешеходная</w:t>
            </w:r>
          </w:p>
        </w:tc>
        <w:tc>
          <w:tcPr>
            <w:tcW w:w="1288" w:type="dxa"/>
          </w:tcPr>
          <w:p w14:paraId="0EBFA52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2856</w:t>
            </w:r>
          </w:p>
        </w:tc>
      </w:tr>
      <w:tr w:rsidR="00171AA8" w:rsidRPr="00731FE2" w14:paraId="76354E62" w14:textId="77777777" w:rsidTr="00EE4EC5">
        <w:tc>
          <w:tcPr>
            <w:tcW w:w="567" w:type="dxa"/>
          </w:tcPr>
          <w:p w14:paraId="3C186981"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0F946012"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Войкова (от пер. Шевченко до дома №117)</w:t>
            </w:r>
          </w:p>
        </w:tc>
        <w:tc>
          <w:tcPr>
            <w:tcW w:w="2268" w:type="dxa"/>
          </w:tcPr>
          <w:p w14:paraId="4A363CB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Войкова (от пер. Шевченко до дома №117)</w:t>
            </w:r>
          </w:p>
        </w:tc>
        <w:tc>
          <w:tcPr>
            <w:tcW w:w="1843" w:type="dxa"/>
          </w:tcPr>
          <w:p w14:paraId="1DC4692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0,938</w:t>
            </w:r>
          </w:p>
        </w:tc>
        <w:tc>
          <w:tcPr>
            <w:tcW w:w="2693" w:type="dxa"/>
          </w:tcPr>
          <w:p w14:paraId="13032F9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07-415-ОП-МГ-ЩГ-034</w:t>
            </w:r>
          </w:p>
        </w:tc>
        <w:tc>
          <w:tcPr>
            <w:tcW w:w="3118" w:type="dxa"/>
          </w:tcPr>
          <w:p w14:paraId="7C44E08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основной</w:t>
            </w:r>
          </w:p>
        </w:tc>
        <w:tc>
          <w:tcPr>
            <w:tcW w:w="1288" w:type="dxa"/>
          </w:tcPr>
          <w:p w14:paraId="7966C23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3752</w:t>
            </w:r>
          </w:p>
        </w:tc>
      </w:tr>
      <w:tr w:rsidR="00171AA8" w:rsidRPr="00731FE2" w14:paraId="00B97783" w14:textId="77777777" w:rsidTr="00EE4EC5">
        <w:tc>
          <w:tcPr>
            <w:tcW w:w="567" w:type="dxa"/>
          </w:tcPr>
          <w:p w14:paraId="760CEB6D"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68B0AF1A"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Вокзальная</w:t>
            </w:r>
          </w:p>
        </w:tc>
        <w:tc>
          <w:tcPr>
            <w:tcW w:w="2268" w:type="dxa"/>
          </w:tcPr>
          <w:p w14:paraId="5D3A780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Вокзальная</w:t>
            </w:r>
          </w:p>
        </w:tc>
        <w:tc>
          <w:tcPr>
            <w:tcW w:w="1843" w:type="dxa"/>
          </w:tcPr>
          <w:p w14:paraId="271C4B0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0,724</w:t>
            </w:r>
          </w:p>
        </w:tc>
        <w:tc>
          <w:tcPr>
            <w:tcW w:w="2693" w:type="dxa"/>
          </w:tcPr>
          <w:p w14:paraId="0376861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07-415-ОП-МГ-А-035</w:t>
            </w:r>
          </w:p>
        </w:tc>
        <w:tc>
          <w:tcPr>
            <w:tcW w:w="3118" w:type="dxa"/>
          </w:tcPr>
          <w:p w14:paraId="7502C53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IV, улица районного значения транспортно-пешеходная</w:t>
            </w:r>
          </w:p>
        </w:tc>
        <w:tc>
          <w:tcPr>
            <w:tcW w:w="1288" w:type="dxa"/>
          </w:tcPr>
          <w:p w14:paraId="0654DD4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6516</w:t>
            </w:r>
          </w:p>
        </w:tc>
      </w:tr>
      <w:tr w:rsidR="00171AA8" w:rsidRPr="00731FE2" w14:paraId="02FBDC61" w14:textId="77777777" w:rsidTr="00EE4EC5">
        <w:tc>
          <w:tcPr>
            <w:tcW w:w="567" w:type="dxa"/>
          </w:tcPr>
          <w:p w14:paraId="662A8F17"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09C04F89"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Вокзальная (проезд от Привокзальной площади к кафе «Ивушка» через дом №12)</w:t>
            </w:r>
          </w:p>
        </w:tc>
        <w:tc>
          <w:tcPr>
            <w:tcW w:w="2268" w:type="dxa"/>
          </w:tcPr>
          <w:p w14:paraId="31B7E21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Вокзальная (проезд от Привокзальной площади к кафе «Ивушка» через дом №12)</w:t>
            </w:r>
          </w:p>
        </w:tc>
        <w:tc>
          <w:tcPr>
            <w:tcW w:w="1843" w:type="dxa"/>
          </w:tcPr>
          <w:p w14:paraId="766A0D8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0,220</w:t>
            </w:r>
          </w:p>
        </w:tc>
        <w:tc>
          <w:tcPr>
            <w:tcW w:w="2693" w:type="dxa"/>
          </w:tcPr>
          <w:p w14:paraId="5D951D0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07-415-ОП-МГ-А-036</w:t>
            </w:r>
          </w:p>
        </w:tc>
        <w:tc>
          <w:tcPr>
            <w:tcW w:w="3118" w:type="dxa"/>
          </w:tcPr>
          <w:p w14:paraId="3C885A0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55F3BF3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990</w:t>
            </w:r>
          </w:p>
        </w:tc>
      </w:tr>
      <w:tr w:rsidR="00171AA8" w:rsidRPr="00731FE2" w14:paraId="609202EA" w14:textId="77777777" w:rsidTr="00EE4EC5">
        <w:tc>
          <w:tcPr>
            <w:tcW w:w="567" w:type="dxa"/>
          </w:tcPr>
          <w:p w14:paraId="13423395"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6DC19366"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Володарского</w:t>
            </w:r>
          </w:p>
        </w:tc>
        <w:tc>
          <w:tcPr>
            <w:tcW w:w="2268" w:type="dxa"/>
          </w:tcPr>
          <w:p w14:paraId="3640B0B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Володарского</w:t>
            </w:r>
          </w:p>
        </w:tc>
        <w:tc>
          <w:tcPr>
            <w:tcW w:w="1843" w:type="dxa"/>
          </w:tcPr>
          <w:p w14:paraId="6AC7E4F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0,528</w:t>
            </w:r>
          </w:p>
        </w:tc>
        <w:tc>
          <w:tcPr>
            <w:tcW w:w="2693" w:type="dxa"/>
          </w:tcPr>
          <w:p w14:paraId="11A705E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07-415-ОП-МГ-А-037</w:t>
            </w:r>
          </w:p>
        </w:tc>
        <w:tc>
          <w:tcPr>
            <w:tcW w:w="3118" w:type="dxa"/>
          </w:tcPr>
          <w:p w14:paraId="4F9A87F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IV, улица районного значения транспортно-пешеходная</w:t>
            </w:r>
          </w:p>
        </w:tc>
        <w:tc>
          <w:tcPr>
            <w:tcW w:w="1288" w:type="dxa"/>
          </w:tcPr>
          <w:p w14:paraId="76601EF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3696</w:t>
            </w:r>
          </w:p>
        </w:tc>
      </w:tr>
      <w:tr w:rsidR="00171AA8" w:rsidRPr="00731FE2" w14:paraId="4DCDB046" w14:textId="77777777" w:rsidTr="00EE4EC5">
        <w:tc>
          <w:tcPr>
            <w:tcW w:w="567" w:type="dxa"/>
          </w:tcPr>
          <w:p w14:paraId="5C86A299"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3418AE62"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Восточная</w:t>
            </w:r>
          </w:p>
        </w:tc>
        <w:tc>
          <w:tcPr>
            <w:tcW w:w="2268" w:type="dxa"/>
          </w:tcPr>
          <w:p w14:paraId="31E6C78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Восточная</w:t>
            </w:r>
          </w:p>
        </w:tc>
        <w:tc>
          <w:tcPr>
            <w:tcW w:w="1843" w:type="dxa"/>
          </w:tcPr>
          <w:p w14:paraId="7D8195C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0,391</w:t>
            </w:r>
          </w:p>
        </w:tc>
        <w:tc>
          <w:tcPr>
            <w:tcW w:w="2693" w:type="dxa"/>
          </w:tcPr>
          <w:p w14:paraId="6F5AF5C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07-415-ОП-МГ-ЩГ-038</w:t>
            </w:r>
          </w:p>
        </w:tc>
        <w:tc>
          <w:tcPr>
            <w:tcW w:w="3118" w:type="dxa"/>
          </w:tcPr>
          <w:p w14:paraId="0F9416C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3F3ACCC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1681,3</w:t>
            </w:r>
          </w:p>
        </w:tc>
      </w:tr>
      <w:tr w:rsidR="00171AA8" w:rsidRPr="00731FE2" w14:paraId="14689AEC" w14:textId="77777777" w:rsidTr="00EE4EC5">
        <w:tc>
          <w:tcPr>
            <w:tcW w:w="567" w:type="dxa"/>
          </w:tcPr>
          <w:p w14:paraId="66F0550E"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2CFBDBF2"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Гагарина</w:t>
            </w:r>
          </w:p>
        </w:tc>
        <w:tc>
          <w:tcPr>
            <w:tcW w:w="2268" w:type="dxa"/>
          </w:tcPr>
          <w:p w14:paraId="55318EE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Гагарина</w:t>
            </w:r>
          </w:p>
        </w:tc>
        <w:tc>
          <w:tcPr>
            <w:tcW w:w="1843" w:type="dxa"/>
          </w:tcPr>
          <w:p w14:paraId="69452D4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1,190</w:t>
            </w:r>
          </w:p>
        </w:tc>
        <w:tc>
          <w:tcPr>
            <w:tcW w:w="2693" w:type="dxa"/>
          </w:tcPr>
          <w:p w14:paraId="1DE60CE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07-415-ОП-МГ-А-039</w:t>
            </w:r>
          </w:p>
        </w:tc>
        <w:tc>
          <w:tcPr>
            <w:tcW w:w="3118" w:type="dxa"/>
          </w:tcPr>
          <w:p w14:paraId="1D8AB2A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улица районного значения транспортно-пешеходная</w:t>
            </w:r>
          </w:p>
        </w:tc>
        <w:tc>
          <w:tcPr>
            <w:tcW w:w="1288" w:type="dxa"/>
          </w:tcPr>
          <w:p w14:paraId="6CF52A6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10115</w:t>
            </w:r>
          </w:p>
        </w:tc>
      </w:tr>
      <w:tr w:rsidR="00171AA8" w:rsidRPr="00731FE2" w14:paraId="335A0E92" w14:textId="77777777" w:rsidTr="00EE4EC5">
        <w:tc>
          <w:tcPr>
            <w:tcW w:w="567" w:type="dxa"/>
          </w:tcPr>
          <w:p w14:paraId="0C0BF99F"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427410D8"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Гайдара</w:t>
            </w:r>
          </w:p>
        </w:tc>
        <w:tc>
          <w:tcPr>
            <w:tcW w:w="2268" w:type="dxa"/>
          </w:tcPr>
          <w:p w14:paraId="79B6FE4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Гайдара</w:t>
            </w:r>
          </w:p>
        </w:tc>
        <w:tc>
          <w:tcPr>
            <w:tcW w:w="1843" w:type="dxa"/>
          </w:tcPr>
          <w:p w14:paraId="7C4561B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1,317</w:t>
            </w:r>
          </w:p>
        </w:tc>
        <w:tc>
          <w:tcPr>
            <w:tcW w:w="2693" w:type="dxa"/>
          </w:tcPr>
          <w:p w14:paraId="0CC1F88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07-415-ОП-МГ-А/ЩГ-040</w:t>
            </w:r>
          </w:p>
        </w:tc>
        <w:tc>
          <w:tcPr>
            <w:tcW w:w="3118" w:type="dxa"/>
          </w:tcPr>
          <w:p w14:paraId="0869220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444C049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5926,5</w:t>
            </w:r>
          </w:p>
        </w:tc>
      </w:tr>
      <w:tr w:rsidR="00171AA8" w:rsidRPr="00731FE2" w14:paraId="6E71D5C6" w14:textId="77777777" w:rsidTr="00EE4EC5">
        <w:tc>
          <w:tcPr>
            <w:tcW w:w="567" w:type="dxa"/>
          </w:tcPr>
          <w:p w14:paraId="20EDC378"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5C70908F"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Гастелло</w:t>
            </w:r>
          </w:p>
        </w:tc>
        <w:tc>
          <w:tcPr>
            <w:tcW w:w="2268" w:type="dxa"/>
          </w:tcPr>
          <w:p w14:paraId="6566A01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Гастелло</w:t>
            </w:r>
          </w:p>
        </w:tc>
        <w:tc>
          <w:tcPr>
            <w:tcW w:w="1843" w:type="dxa"/>
          </w:tcPr>
          <w:p w14:paraId="2D1903B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0,680</w:t>
            </w:r>
          </w:p>
        </w:tc>
        <w:tc>
          <w:tcPr>
            <w:tcW w:w="2693" w:type="dxa"/>
          </w:tcPr>
          <w:p w14:paraId="33AFC65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07-415-ОП-МГ-А/ЩГ-041</w:t>
            </w:r>
          </w:p>
        </w:tc>
        <w:tc>
          <w:tcPr>
            <w:tcW w:w="3118" w:type="dxa"/>
          </w:tcPr>
          <w:p w14:paraId="7958C90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основной</w:t>
            </w:r>
          </w:p>
        </w:tc>
        <w:tc>
          <w:tcPr>
            <w:tcW w:w="1288" w:type="dxa"/>
          </w:tcPr>
          <w:p w14:paraId="5E25E29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4080</w:t>
            </w:r>
          </w:p>
        </w:tc>
      </w:tr>
      <w:tr w:rsidR="00171AA8" w:rsidRPr="00731FE2" w14:paraId="5841526B" w14:textId="77777777" w:rsidTr="00EE4EC5">
        <w:tc>
          <w:tcPr>
            <w:tcW w:w="567" w:type="dxa"/>
          </w:tcPr>
          <w:p w14:paraId="20230BDC"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7B8AC55E"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Гастелло</w:t>
            </w:r>
          </w:p>
        </w:tc>
        <w:tc>
          <w:tcPr>
            <w:tcW w:w="2268" w:type="dxa"/>
          </w:tcPr>
          <w:p w14:paraId="15C2AE2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Гастелло</w:t>
            </w:r>
          </w:p>
        </w:tc>
        <w:tc>
          <w:tcPr>
            <w:tcW w:w="1843" w:type="dxa"/>
          </w:tcPr>
          <w:p w14:paraId="68A08DB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0,308</w:t>
            </w:r>
          </w:p>
        </w:tc>
        <w:tc>
          <w:tcPr>
            <w:tcW w:w="2693" w:type="dxa"/>
          </w:tcPr>
          <w:p w14:paraId="726AC85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07-415-ОП-МГ-А/ЩГ-042</w:t>
            </w:r>
          </w:p>
        </w:tc>
        <w:tc>
          <w:tcPr>
            <w:tcW w:w="3118" w:type="dxa"/>
          </w:tcPr>
          <w:p w14:paraId="0594269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основной</w:t>
            </w:r>
          </w:p>
        </w:tc>
        <w:tc>
          <w:tcPr>
            <w:tcW w:w="1288" w:type="dxa"/>
          </w:tcPr>
          <w:p w14:paraId="1F99543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1848</w:t>
            </w:r>
          </w:p>
        </w:tc>
      </w:tr>
      <w:tr w:rsidR="00171AA8" w:rsidRPr="00731FE2" w14:paraId="7F233C0A" w14:textId="77777777" w:rsidTr="00EE4EC5">
        <w:tc>
          <w:tcPr>
            <w:tcW w:w="567" w:type="dxa"/>
          </w:tcPr>
          <w:p w14:paraId="5D03BDCB"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7394F64D"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Гастелло переулок</w:t>
            </w:r>
          </w:p>
        </w:tc>
        <w:tc>
          <w:tcPr>
            <w:tcW w:w="2268" w:type="dxa"/>
          </w:tcPr>
          <w:p w14:paraId="34B9D4D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Гастелло переулок</w:t>
            </w:r>
          </w:p>
        </w:tc>
        <w:tc>
          <w:tcPr>
            <w:tcW w:w="1843" w:type="dxa"/>
          </w:tcPr>
          <w:p w14:paraId="5827397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0,203</w:t>
            </w:r>
          </w:p>
        </w:tc>
        <w:tc>
          <w:tcPr>
            <w:tcW w:w="2693" w:type="dxa"/>
          </w:tcPr>
          <w:p w14:paraId="73D4394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07-415-ОП-МГ-А/ЩГ-043</w:t>
            </w:r>
          </w:p>
        </w:tc>
        <w:tc>
          <w:tcPr>
            <w:tcW w:w="3118" w:type="dxa"/>
          </w:tcPr>
          <w:p w14:paraId="2FA6820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21D8398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1015</w:t>
            </w:r>
          </w:p>
        </w:tc>
      </w:tr>
      <w:tr w:rsidR="00171AA8" w:rsidRPr="00731FE2" w14:paraId="779AEC6B" w14:textId="77777777" w:rsidTr="00EE4EC5">
        <w:tc>
          <w:tcPr>
            <w:tcW w:w="567" w:type="dxa"/>
          </w:tcPr>
          <w:p w14:paraId="05C34997"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2FEAE65F"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Героев Медиков</w:t>
            </w:r>
          </w:p>
        </w:tc>
        <w:tc>
          <w:tcPr>
            <w:tcW w:w="2268" w:type="dxa"/>
          </w:tcPr>
          <w:p w14:paraId="61948D0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Героев Медиков</w:t>
            </w:r>
          </w:p>
        </w:tc>
        <w:tc>
          <w:tcPr>
            <w:tcW w:w="1843" w:type="dxa"/>
          </w:tcPr>
          <w:p w14:paraId="1AF3EA9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1,120</w:t>
            </w:r>
          </w:p>
        </w:tc>
        <w:tc>
          <w:tcPr>
            <w:tcW w:w="2693" w:type="dxa"/>
          </w:tcPr>
          <w:p w14:paraId="1A7B658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07-415-ОП-МГ-А/ЩГ-044</w:t>
            </w:r>
          </w:p>
        </w:tc>
        <w:tc>
          <w:tcPr>
            <w:tcW w:w="3118" w:type="dxa"/>
          </w:tcPr>
          <w:p w14:paraId="0AF3524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улица районного значения транспортно-пешеходная</w:t>
            </w:r>
          </w:p>
        </w:tc>
        <w:tc>
          <w:tcPr>
            <w:tcW w:w="1288" w:type="dxa"/>
          </w:tcPr>
          <w:p w14:paraId="33A90E6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5600</w:t>
            </w:r>
          </w:p>
        </w:tc>
      </w:tr>
      <w:tr w:rsidR="00171AA8" w:rsidRPr="00731FE2" w14:paraId="4447085A" w14:textId="77777777" w:rsidTr="00EE4EC5">
        <w:tc>
          <w:tcPr>
            <w:tcW w:w="567" w:type="dxa"/>
          </w:tcPr>
          <w:p w14:paraId="0D6CC500"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20CE5BDB"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Герцена</w:t>
            </w:r>
          </w:p>
        </w:tc>
        <w:tc>
          <w:tcPr>
            <w:tcW w:w="2268" w:type="dxa"/>
          </w:tcPr>
          <w:p w14:paraId="27A6A5A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Герцена</w:t>
            </w:r>
          </w:p>
        </w:tc>
        <w:tc>
          <w:tcPr>
            <w:tcW w:w="1843" w:type="dxa"/>
          </w:tcPr>
          <w:p w14:paraId="3F2D708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0,615</w:t>
            </w:r>
          </w:p>
        </w:tc>
        <w:tc>
          <w:tcPr>
            <w:tcW w:w="2693" w:type="dxa"/>
          </w:tcPr>
          <w:p w14:paraId="4D43A13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07-415-ОП-МГ-А-045</w:t>
            </w:r>
          </w:p>
        </w:tc>
        <w:tc>
          <w:tcPr>
            <w:tcW w:w="3118" w:type="dxa"/>
          </w:tcPr>
          <w:p w14:paraId="368DC76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основной</w:t>
            </w:r>
          </w:p>
        </w:tc>
        <w:tc>
          <w:tcPr>
            <w:tcW w:w="1288" w:type="dxa"/>
          </w:tcPr>
          <w:p w14:paraId="78287CC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3997,5</w:t>
            </w:r>
          </w:p>
        </w:tc>
      </w:tr>
      <w:tr w:rsidR="00171AA8" w:rsidRPr="00731FE2" w14:paraId="0C120D07" w14:textId="77777777" w:rsidTr="00EE4EC5">
        <w:tc>
          <w:tcPr>
            <w:tcW w:w="567" w:type="dxa"/>
          </w:tcPr>
          <w:p w14:paraId="7418317E"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5F2FB5F1"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Главная</w:t>
            </w:r>
          </w:p>
        </w:tc>
        <w:tc>
          <w:tcPr>
            <w:tcW w:w="2268" w:type="dxa"/>
          </w:tcPr>
          <w:p w14:paraId="4463D27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Главная</w:t>
            </w:r>
          </w:p>
        </w:tc>
        <w:tc>
          <w:tcPr>
            <w:tcW w:w="1843" w:type="dxa"/>
          </w:tcPr>
          <w:p w14:paraId="448DF8F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2,023</w:t>
            </w:r>
          </w:p>
        </w:tc>
        <w:tc>
          <w:tcPr>
            <w:tcW w:w="2693" w:type="dxa"/>
          </w:tcPr>
          <w:p w14:paraId="1596195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07-415-ОП-МГ-А/ЩГ-046</w:t>
            </w:r>
          </w:p>
        </w:tc>
        <w:tc>
          <w:tcPr>
            <w:tcW w:w="3118" w:type="dxa"/>
          </w:tcPr>
          <w:p w14:paraId="3A56FC1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улица районного значения транспортно-пешеходная</w:t>
            </w:r>
          </w:p>
        </w:tc>
        <w:tc>
          <w:tcPr>
            <w:tcW w:w="1288" w:type="dxa"/>
          </w:tcPr>
          <w:p w14:paraId="3612D8C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10115</w:t>
            </w:r>
          </w:p>
        </w:tc>
      </w:tr>
      <w:tr w:rsidR="00171AA8" w:rsidRPr="00731FE2" w14:paraId="64BAC08F" w14:textId="77777777" w:rsidTr="00EE4EC5">
        <w:tc>
          <w:tcPr>
            <w:tcW w:w="567" w:type="dxa"/>
          </w:tcPr>
          <w:p w14:paraId="2B8A7FC4"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7B543AD8"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Гоголя</w:t>
            </w:r>
          </w:p>
        </w:tc>
        <w:tc>
          <w:tcPr>
            <w:tcW w:w="2268" w:type="dxa"/>
          </w:tcPr>
          <w:p w14:paraId="69627CF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Гоголя</w:t>
            </w:r>
          </w:p>
        </w:tc>
        <w:tc>
          <w:tcPr>
            <w:tcW w:w="1843" w:type="dxa"/>
          </w:tcPr>
          <w:p w14:paraId="0260B30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0,850</w:t>
            </w:r>
          </w:p>
        </w:tc>
        <w:tc>
          <w:tcPr>
            <w:tcW w:w="2693" w:type="dxa"/>
          </w:tcPr>
          <w:p w14:paraId="52C0B5D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07-415-ОП-МГ-А-047</w:t>
            </w:r>
          </w:p>
        </w:tc>
        <w:tc>
          <w:tcPr>
            <w:tcW w:w="3118" w:type="dxa"/>
          </w:tcPr>
          <w:p w14:paraId="460D9A1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IV, улица районного значения транспортно-пешеходная</w:t>
            </w:r>
          </w:p>
        </w:tc>
        <w:tc>
          <w:tcPr>
            <w:tcW w:w="1288" w:type="dxa"/>
          </w:tcPr>
          <w:p w14:paraId="12DDDED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5950</w:t>
            </w:r>
          </w:p>
        </w:tc>
      </w:tr>
      <w:tr w:rsidR="00171AA8" w:rsidRPr="00731FE2" w14:paraId="0589DE60" w14:textId="77777777" w:rsidTr="00EE4EC5">
        <w:tc>
          <w:tcPr>
            <w:tcW w:w="567" w:type="dxa"/>
          </w:tcPr>
          <w:p w14:paraId="6B7A21B6"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476C354F"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Горького</w:t>
            </w:r>
          </w:p>
        </w:tc>
        <w:tc>
          <w:tcPr>
            <w:tcW w:w="2268" w:type="dxa"/>
          </w:tcPr>
          <w:p w14:paraId="1D45EAA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Горького</w:t>
            </w:r>
          </w:p>
        </w:tc>
        <w:tc>
          <w:tcPr>
            <w:tcW w:w="1843" w:type="dxa"/>
          </w:tcPr>
          <w:p w14:paraId="1E4798B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0,806</w:t>
            </w:r>
          </w:p>
        </w:tc>
        <w:tc>
          <w:tcPr>
            <w:tcW w:w="2693" w:type="dxa"/>
          </w:tcPr>
          <w:p w14:paraId="3BBA064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07-415-ОП-МГ-А-048</w:t>
            </w:r>
          </w:p>
        </w:tc>
        <w:tc>
          <w:tcPr>
            <w:tcW w:w="3118" w:type="dxa"/>
          </w:tcPr>
          <w:p w14:paraId="6A8FF0A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IV, улица местного значения в жилой застройке</w:t>
            </w:r>
          </w:p>
        </w:tc>
        <w:tc>
          <w:tcPr>
            <w:tcW w:w="1288" w:type="dxa"/>
          </w:tcPr>
          <w:p w14:paraId="2F0FA06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8060</w:t>
            </w:r>
          </w:p>
        </w:tc>
      </w:tr>
      <w:tr w:rsidR="00171AA8" w:rsidRPr="00731FE2" w14:paraId="2F66ACF1" w14:textId="77777777" w:rsidTr="00EE4EC5">
        <w:tc>
          <w:tcPr>
            <w:tcW w:w="567" w:type="dxa"/>
          </w:tcPr>
          <w:p w14:paraId="1524B084"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3B946ECD"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Грибоедова</w:t>
            </w:r>
          </w:p>
        </w:tc>
        <w:tc>
          <w:tcPr>
            <w:tcW w:w="2268" w:type="dxa"/>
          </w:tcPr>
          <w:p w14:paraId="486B86D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Грибоедова</w:t>
            </w:r>
          </w:p>
        </w:tc>
        <w:tc>
          <w:tcPr>
            <w:tcW w:w="1843" w:type="dxa"/>
          </w:tcPr>
          <w:p w14:paraId="601FB95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0,212</w:t>
            </w:r>
          </w:p>
        </w:tc>
        <w:tc>
          <w:tcPr>
            <w:tcW w:w="2693" w:type="dxa"/>
          </w:tcPr>
          <w:p w14:paraId="3C155DE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07-415-ОП-МГ-П/ЩГ-049</w:t>
            </w:r>
          </w:p>
        </w:tc>
        <w:tc>
          <w:tcPr>
            <w:tcW w:w="3118" w:type="dxa"/>
          </w:tcPr>
          <w:p w14:paraId="1ABF211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3165F4A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742</w:t>
            </w:r>
          </w:p>
        </w:tc>
      </w:tr>
      <w:tr w:rsidR="00171AA8" w:rsidRPr="00731FE2" w14:paraId="0768ABB9" w14:textId="77777777" w:rsidTr="00EE4EC5">
        <w:tc>
          <w:tcPr>
            <w:tcW w:w="567" w:type="dxa"/>
          </w:tcPr>
          <w:p w14:paraId="110554F9"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14998982"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Грозненская 1</w:t>
            </w:r>
          </w:p>
        </w:tc>
        <w:tc>
          <w:tcPr>
            <w:tcW w:w="2268" w:type="dxa"/>
          </w:tcPr>
          <w:p w14:paraId="613D0AC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Грозненская 1</w:t>
            </w:r>
          </w:p>
        </w:tc>
        <w:tc>
          <w:tcPr>
            <w:tcW w:w="1843" w:type="dxa"/>
          </w:tcPr>
          <w:p w14:paraId="7DD36A3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0,268</w:t>
            </w:r>
          </w:p>
        </w:tc>
        <w:tc>
          <w:tcPr>
            <w:tcW w:w="2693" w:type="dxa"/>
          </w:tcPr>
          <w:p w14:paraId="329F2F8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07-415-ОП-МГ-А/ЩГ-050</w:t>
            </w:r>
          </w:p>
        </w:tc>
        <w:tc>
          <w:tcPr>
            <w:tcW w:w="3118" w:type="dxa"/>
          </w:tcPr>
          <w:p w14:paraId="1FEF1CA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332AAE2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1340</w:t>
            </w:r>
          </w:p>
        </w:tc>
      </w:tr>
      <w:tr w:rsidR="00171AA8" w:rsidRPr="00731FE2" w14:paraId="3CB2E57B" w14:textId="77777777" w:rsidTr="00EE4EC5">
        <w:tc>
          <w:tcPr>
            <w:tcW w:w="567" w:type="dxa"/>
          </w:tcPr>
          <w:p w14:paraId="55909499"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26A19ADC"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Грозненская 2</w:t>
            </w:r>
          </w:p>
        </w:tc>
        <w:tc>
          <w:tcPr>
            <w:tcW w:w="2268" w:type="dxa"/>
          </w:tcPr>
          <w:p w14:paraId="20BEA54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Грозненская 2</w:t>
            </w:r>
          </w:p>
        </w:tc>
        <w:tc>
          <w:tcPr>
            <w:tcW w:w="1843" w:type="dxa"/>
          </w:tcPr>
          <w:p w14:paraId="4CD6F62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0,105</w:t>
            </w:r>
          </w:p>
        </w:tc>
        <w:tc>
          <w:tcPr>
            <w:tcW w:w="2693" w:type="dxa"/>
          </w:tcPr>
          <w:p w14:paraId="6DADDE7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07-415-ОП-МГ-А/ЩГ-051</w:t>
            </w:r>
          </w:p>
        </w:tc>
        <w:tc>
          <w:tcPr>
            <w:tcW w:w="3118" w:type="dxa"/>
          </w:tcPr>
          <w:p w14:paraId="423CE3E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 </w:t>
            </w:r>
          </w:p>
        </w:tc>
        <w:tc>
          <w:tcPr>
            <w:tcW w:w="1288" w:type="dxa"/>
          </w:tcPr>
          <w:p w14:paraId="34FF2EC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525</w:t>
            </w:r>
          </w:p>
        </w:tc>
      </w:tr>
      <w:tr w:rsidR="00171AA8" w:rsidRPr="00731FE2" w14:paraId="2CFABF7A" w14:textId="77777777" w:rsidTr="00EE4EC5">
        <w:tc>
          <w:tcPr>
            <w:tcW w:w="567" w:type="dxa"/>
          </w:tcPr>
          <w:p w14:paraId="361A8151"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31DFCDE7"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Громова</w:t>
            </w:r>
          </w:p>
        </w:tc>
        <w:tc>
          <w:tcPr>
            <w:tcW w:w="2268" w:type="dxa"/>
          </w:tcPr>
          <w:p w14:paraId="71EAE9B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Громова</w:t>
            </w:r>
          </w:p>
        </w:tc>
        <w:tc>
          <w:tcPr>
            <w:tcW w:w="1843" w:type="dxa"/>
          </w:tcPr>
          <w:p w14:paraId="5C14E04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0,560</w:t>
            </w:r>
          </w:p>
        </w:tc>
        <w:tc>
          <w:tcPr>
            <w:tcW w:w="2693" w:type="dxa"/>
          </w:tcPr>
          <w:p w14:paraId="27EDED7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07-415-ОП-МГ-ЩГ-052</w:t>
            </w:r>
          </w:p>
        </w:tc>
        <w:tc>
          <w:tcPr>
            <w:tcW w:w="3118" w:type="dxa"/>
          </w:tcPr>
          <w:p w14:paraId="6DBC0C5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6231D66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1960</w:t>
            </w:r>
          </w:p>
        </w:tc>
      </w:tr>
      <w:tr w:rsidR="00171AA8" w:rsidRPr="00731FE2" w14:paraId="5E58129C" w14:textId="77777777" w:rsidTr="00EE4EC5">
        <w:tc>
          <w:tcPr>
            <w:tcW w:w="567" w:type="dxa"/>
          </w:tcPr>
          <w:p w14:paraId="2A907C8B"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0406B671"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Дальневосточная</w:t>
            </w:r>
          </w:p>
        </w:tc>
        <w:tc>
          <w:tcPr>
            <w:tcW w:w="2268" w:type="dxa"/>
          </w:tcPr>
          <w:p w14:paraId="1091CDA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Дальневосточная</w:t>
            </w:r>
          </w:p>
        </w:tc>
        <w:tc>
          <w:tcPr>
            <w:tcW w:w="1843" w:type="dxa"/>
          </w:tcPr>
          <w:p w14:paraId="448AD61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0,524</w:t>
            </w:r>
          </w:p>
        </w:tc>
        <w:tc>
          <w:tcPr>
            <w:tcW w:w="2693" w:type="dxa"/>
          </w:tcPr>
          <w:p w14:paraId="1D43C4B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07-415-ОП-МГ-ЩГ-053</w:t>
            </w:r>
          </w:p>
        </w:tc>
        <w:tc>
          <w:tcPr>
            <w:tcW w:w="3118" w:type="dxa"/>
          </w:tcPr>
          <w:p w14:paraId="4BDF49B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501C077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2096</w:t>
            </w:r>
          </w:p>
        </w:tc>
      </w:tr>
      <w:tr w:rsidR="00171AA8" w:rsidRPr="00731FE2" w14:paraId="0B47F061" w14:textId="77777777" w:rsidTr="00EE4EC5">
        <w:tc>
          <w:tcPr>
            <w:tcW w:w="567" w:type="dxa"/>
          </w:tcPr>
          <w:p w14:paraId="73CEE075"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6285D705"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Дамбовая</w:t>
            </w:r>
          </w:p>
        </w:tc>
        <w:tc>
          <w:tcPr>
            <w:tcW w:w="2268" w:type="dxa"/>
          </w:tcPr>
          <w:p w14:paraId="4396D80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Дамбовая</w:t>
            </w:r>
          </w:p>
        </w:tc>
        <w:tc>
          <w:tcPr>
            <w:tcW w:w="1843" w:type="dxa"/>
          </w:tcPr>
          <w:p w14:paraId="0CEA25A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0,113</w:t>
            </w:r>
          </w:p>
        </w:tc>
        <w:tc>
          <w:tcPr>
            <w:tcW w:w="2693" w:type="dxa"/>
          </w:tcPr>
          <w:p w14:paraId="0DB3A92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07-415-ОП-МГ-А-054</w:t>
            </w:r>
          </w:p>
        </w:tc>
        <w:tc>
          <w:tcPr>
            <w:tcW w:w="3118" w:type="dxa"/>
          </w:tcPr>
          <w:p w14:paraId="406DE29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529A7A0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452</w:t>
            </w:r>
          </w:p>
        </w:tc>
      </w:tr>
      <w:tr w:rsidR="00171AA8" w:rsidRPr="00731FE2" w14:paraId="67A6B03B" w14:textId="77777777" w:rsidTr="00EE4EC5">
        <w:tc>
          <w:tcPr>
            <w:tcW w:w="567" w:type="dxa"/>
          </w:tcPr>
          <w:p w14:paraId="61DD758E"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07F3AAE5"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Дарьяльский переулок</w:t>
            </w:r>
          </w:p>
        </w:tc>
        <w:tc>
          <w:tcPr>
            <w:tcW w:w="2268" w:type="dxa"/>
          </w:tcPr>
          <w:p w14:paraId="29EFD2A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Дарьяльский переулок</w:t>
            </w:r>
          </w:p>
        </w:tc>
        <w:tc>
          <w:tcPr>
            <w:tcW w:w="1843" w:type="dxa"/>
          </w:tcPr>
          <w:p w14:paraId="70714B1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0,286</w:t>
            </w:r>
          </w:p>
        </w:tc>
        <w:tc>
          <w:tcPr>
            <w:tcW w:w="2693" w:type="dxa"/>
          </w:tcPr>
          <w:p w14:paraId="455AF6A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07-415-ОП-МГ-А-055</w:t>
            </w:r>
          </w:p>
        </w:tc>
        <w:tc>
          <w:tcPr>
            <w:tcW w:w="3118" w:type="dxa"/>
          </w:tcPr>
          <w:p w14:paraId="4DB4D57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улица районного значения транспортно-пешеходная</w:t>
            </w:r>
          </w:p>
        </w:tc>
        <w:tc>
          <w:tcPr>
            <w:tcW w:w="1288" w:type="dxa"/>
          </w:tcPr>
          <w:p w14:paraId="2D6DC83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1859</w:t>
            </w:r>
          </w:p>
        </w:tc>
      </w:tr>
      <w:tr w:rsidR="00171AA8" w:rsidRPr="00731FE2" w14:paraId="1F0B7060" w14:textId="77777777" w:rsidTr="00EE4EC5">
        <w:tc>
          <w:tcPr>
            <w:tcW w:w="567" w:type="dxa"/>
          </w:tcPr>
          <w:p w14:paraId="00C3C7DD"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71D7297F"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Дачный</w:t>
            </w:r>
          </w:p>
        </w:tc>
        <w:tc>
          <w:tcPr>
            <w:tcW w:w="2268" w:type="dxa"/>
          </w:tcPr>
          <w:p w14:paraId="665FE08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Дачный</w:t>
            </w:r>
          </w:p>
        </w:tc>
        <w:tc>
          <w:tcPr>
            <w:tcW w:w="1843" w:type="dxa"/>
          </w:tcPr>
          <w:p w14:paraId="073575E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0,206</w:t>
            </w:r>
          </w:p>
        </w:tc>
        <w:tc>
          <w:tcPr>
            <w:tcW w:w="2693" w:type="dxa"/>
          </w:tcPr>
          <w:p w14:paraId="28FA11F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07-415-ОП-МГ-А-056</w:t>
            </w:r>
          </w:p>
        </w:tc>
        <w:tc>
          <w:tcPr>
            <w:tcW w:w="3118" w:type="dxa"/>
          </w:tcPr>
          <w:p w14:paraId="1C8FF6C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IV, проезд основной</w:t>
            </w:r>
          </w:p>
        </w:tc>
        <w:tc>
          <w:tcPr>
            <w:tcW w:w="1288" w:type="dxa"/>
          </w:tcPr>
          <w:p w14:paraId="59FB76D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1648</w:t>
            </w:r>
          </w:p>
        </w:tc>
      </w:tr>
      <w:tr w:rsidR="00171AA8" w:rsidRPr="00731FE2" w14:paraId="057C6D1A" w14:textId="77777777" w:rsidTr="00EE4EC5">
        <w:tc>
          <w:tcPr>
            <w:tcW w:w="567" w:type="dxa"/>
          </w:tcPr>
          <w:p w14:paraId="14E2CAED"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5B8F947A"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Дводненко</w:t>
            </w:r>
          </w:p>
        </w:tc>
        <w:tc>
          <w:tcPr>
            <w:tcW w:w="2268" w:type="dxa"/>
          </w:tcPr>
          <w:p w14:paraId="2E3FF6D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Дводненко</w:t>
            </w:r>
          </w:p>
        </w:tc>
        <w:tc>
          <w:tcPr>
            <w:tcW w:w="1843" w:type="dxa"/>
          </w:tcPr>
          <w:p w14:paraId="66EE87B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0,807</w:t>
            </w:r>
          </w:p>
        </w:tc>
        <w:tc>
          <w:tcPr>
            <w:tcW w:w="2693" w:type="dxa"/>
          </w:tcPr>
          <w:p w14:paraId="67D9C5A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07-415-ОП-МГ-А-057</w:t>
            </w:r>
          </w:p>
        </w:tc>
        <w:tc>
          <w:tcPr>
            <w:tcW w:w="3118" w:type="dxa"/>
          </w:tcPr>
          <w:p w14:paraId="28819F9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IV, улица районного значения транспортно-пешеходная</w:t>
            </w:r>
          </w:p>
        </w:tc>
        <w:tc>
          <w:tcPr>
            <w:tcW w:w="1288" w:type="dxa"/>
          </w:tcPr>
          <w:p w14:paraId="0FD5507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6456</w:t>
            </w:r>
          </w:p>
        </w:tc>
      </w:tr>
      <w:tr w:rsidR="00171AA8" w:rsidRPr="00731FE2" w14:paraId="20FA17EC" w14:textId="77777777" w:rsidTr="00EE4EC5">
        <w:tc>
          <w:tcPr>
            <w:tcW w:w="567" w:type="dxa"/>
          </w:tcPr>
          <w:p w14:paraId="117234B2"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655C579F"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Декабристов</w:t>
            </w:r>
          </w:p>
        </w:tc>
        <w:tc>
          <w:tcPr>
            <w:tcW w:w="2268" w:type="dxa"/>
          </w:tcPr>
          <w:p w14:paraId="229A492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Декабристов</w:t>
            </w:r>
          </w:p>
        </w:tc>
        <w:tc>
          <w:tcPr>
            <w:tcW w:w="1843" w:type="dxa"/>
          </w:tcPr>
          <w:p w14:paraId="13F42CB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1,109</w:t>
            </w:r>
          </w:p>
        </w:tc>
        <w:tc>
          <w:tcPr>
            <w:tcW w:w="2693" w:type="dxa"/>
          </w:tcPr>
          <w:p w14:paraId="1964250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07-415-ОП-МГ-А-058</w:t>
            </w:r>
          </w:p>
        </w:tc>
        <w:tc>
          <w:tcPr>
            <w:tcW w:w="3118" w:type="dxa"/>
          </w:tcPr>
          <w:p w14:paraId="31ED280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основной</w:t>
            </w:r>
          </w:p>
        </w:tc>
        <w:tc>
          <w:tcPr>
            <w:tcW w:w="1288" w:type="dxa"/>
          </w:tcPr>
          <w:p w14:paraId="72256E0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6654</w:t>
            </w:r>
          </w:p>
        </w:tc>
      </w:tr>
      <w:tr w:rsidR="00171AA8" w:rsidRPr="00731FE2" w14:paraId="156A1927" w14:textId="77777777" w:rsidTr="00EE4EC5">
        <w:tc>
          <w:tcPr>
            <w:tcW w:w="567" w:type="dxa"/>
          </w:tcPr>
          <w:p w14:paraId="35748071"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5170425F"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Делегатская</w:t>
            </w:r>
          </w:p>
        </w:tc>
        <w:tc>
          <w:tcPr>
            <w:tcW w:w="2268" w:type="dxa"/>
          </w:tcPr>
          <w:p w14:paraId="5AAF0FC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Делегатская</w:t>
            </w:r>
          </w:p>
        </w:tc>
        <w:tc>
          <w:tcPr>
            <w:tcW w:w="1843" w:type="dxa"/>
          </w:tcPr>
          <w:p w14:paraId="08FC1F6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0,235</w:t>
            </w:r>
          </w:p>
        </w:tc>
        <w:tc>
          <w:tcPr>
            <w:tcW w:w="2693" w:type="dxa"/>
          </w:tcPr>
          <w:p w14:paraId="4B4D866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07-415-ОП-МГ-А-059</w:t>
            </w:r>
          </w:p>
        </w:tc>
        <w:tc>
          <w:tcPr>
            <w:tcW w:w="3118" w:type="dxa"/>
          </w:tcPr>
          <w:p w14:paraId="782A5BB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основной</w:t>
            </w:r>
          </w:p>
        </w:tc>
        <w:tc>
          <w:tcPr>
            <w:tcW w:w="1288" w:type="dxa"/>
          </w:tcPr>
          <w:p w14:paraId="0C0E233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1175</w:t>
            </w:r>
          </w:p>
        </w:tc>
      </w:tr>
      <w:tr w:rsidR="00171AA8" w:rsidRPr="00731FE2" w14:paraId="5128C749" w14:textId="77777777" w:rsidTr="00EE4EC5">
        <w:tc>
          <w:tcPr>
            <w:tcW w:w="567" w:type="dxa"/>
          </w:tcPr>
          <w:p w14:paraId="22539FAC"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7D214D4B"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Дзержинского проспект</w:t>
            </w:r>
          </w:p>
        </w:tc>
        <w:tc>
          <w:tcPr>
            <w:tcW w:w="2268" w:type="dxa"/>
          </w:tcPr>
          <w:p w14:paraId="019F1ED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Дзержинского проспект</w:t>
            </w:r>
          </w:p>
        </w:tc>
        <w:tc>
          <w:tcPr>
            <w:tcW w:w="1843" w:type="dxa"/>
          </w:tcPr>
          <w:p w14:paraId="506F343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1,419</w:t>
            </w:r>
          </w:p>
        </w:tc>
        <w:tc>
          <w:tcPr>
            <w:tcW w:w="2693" w:type="dxa"/>
          </w:tcPr>
          <w:p w14:paraId="5531E89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07-415-ОП-МГ-А-060</w:t>
            </w:r>
          </w:p>
        </w:tc>
        <w:tc>
          <w:tcPr>
            <w:tcW w:w="3118" w:type="dxa"/>
          </w:tcPr>
          <w:p w14:paraId="76B57F7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IV, улица местного значения в жилой застройке</w:t>
            </w:r>
          </w:p>
        </w:tc>
        <w:tc>
          <w:tcPr>
            <w:tcW w:w="1288" w:type="dxa"/>
          </w:tcPr>
          <w:p w14:paraId="2BE6D29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14899,5</w:t>
            </w:r>
          </w:p>
        </w:tc>
      </w:tr>
      <w:tr w:rsidR="00171AA8" w:rsidRPr="00731FE2" w14:paraId="4F302051" w14:textId="77777777" w:rsidTr="00EE4EC5">
        <w:tc>
          <w:tcPr>
            <w:tcW w:w="567" w:type="dxa"/>
          </w:tcPr>
          <w:p w14:paraId="247227B8"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4A6A7C69"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Добролюбова</w:t>
            </w:r>
          </w:p>
        </w:tc>
        <w:tc>
          <w:tcPr>
            <w:tcW w:w="2268" w:type="dxa"/>
          </w:tcPr>
          <w:p w14:paraId="7233955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Добролюбова</w:t>
            </w:r>
          </w:p>
        </w:tc>
        <w:tc>
          <w:tcPr>
            <w:tcW w:w="1843" w:type="dxa"/>
          </w:tcPr>
          <w:p w14:paraId="3FF4481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0,430</w:t>
            </w:r>
          </w:p>
        </w:tc>
        <w:tc>
          <w:tcPr>
            <w:tcW w:w="2693" w:type="dxa"/>
          </w:tcPr>
          <w:p w14:paraId="197DE04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07-415-ОП-МГ-ЩГ-061</w:t>
            </w:r>
          </w:p>
        </w:tc>
        <w:tc>
          <w:tcPr>
            <w:tcW w:w="3118" w:type="dxa"/>
          </w:tcPr>
          <w:p w14:paraId="0D12332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0E402DF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1720</w:t>
            </w:r>
          </w:p>
        </w:tc>
      </w:tr>
      <w:tr w:rsidR="00171AA8" w:rsidRPr="00731FE2" w14:paraId="4C63AC5D" w14:textId="77777777" w:rsidTr="00EE4EC5">
        <w:tc>
          <w:tcPr>
            <w:tcW w:w="567" w:type="dxa"/>
          </w:tcPr>
          <w:p w14:paraId="04549720"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3C3655FB"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Долгорукова</w:t>
            </w:r>
          </w:p>
        </w:tc>
        <w:tc>
          <w:tcPr>
            <w:tcW w:w="2268" w:type="dxa"/>
          </w:tcPr>
          <w:p w14:paraId="0B8D503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Долгорукова</w:t>
            </w:r>
          </w:p>
        </w:tc>
        <w:tc>
          <w:tcPr>
            <w:tcW w:w="1843" w:type="dxa"/>
          </w:tcPr>
          <w:p w14:paraId="474BBD4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0,212</w:t>
            </w:r>
          </w:p>
        </w:tc>
        <w:tc>
          <w:tcPr>
            <w:tcW w:w="2693" w:type="dxa"/>
          </w:tcPr>
          <w:p w14:paraId="3FAA12F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07-415-ОП-МГ-А-062</w:t>
            </w:r>
          </w:p>
        </w:tc>
        <w:tc>
          <w:tcPr>
            <w:tcW w:w="3118" w:type="dxa"/>
          </w:tcPr>
          <w:p w14:paraId="7AA60EA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4F8C173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1060</w:t>
            </w:r>
          </w:p>
        </w:tc>
      </w:tr>
      <w:tr w:rsidR="00171AA8" w:rsidRPr="00731FE2" w14:paraId="512A8F3A" w14:textId="77777777" w:rsidTr="00EE4EC5">
        <w:tc>
          <w:tcPr>
            <w:tcW w:w="567" w:type="dxa"/>
          </w:tcPr>
          <w:p w14:paraId="26D850A4"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539A69C9"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Донская</w:t>
            </w:r>
          </w:p>
        </w:tc>
        <w:tc>
          <w:tcPr>
            <w:tcW w:w="2268" w:type="dxa"/>
          </w:tcPr>
          <w:p w14:paraId="65D9256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Донская</w:t>
            </w:r>
          </w:p>
        </w:tc>
        <w:tc>
          <w:tcPr>
            <w:tcW w:w="1843" w:type="dxa"/>
          </w:tcPr>
          <w:p w14:paraId="567DA58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1,673</w:t>
            </w:r>
          </w:p>
        </w:tc>
        <w:tc>
          <w:tcPr>
            <w:tcW w:w="2693" w:type="dxa"/>
          </w:tcPr>
          <w:p w14:paraId="2D44319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07-415-ОП-МГ-А/ЩГ-063</w:t>
            </w:r>
          </w:p>
        </w:tc>
        <w:tc>
          <w:tcPr>
            <w:tcW w:w="3118" w:type="dxa"/>
          </w:tcPr>
          <w:p w14:paraId="2C2E556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основной</w:t>
            </w:r>
          </w:p>
        </w:tc>
        <w:tc>
          <w:tcPr>
            <w:tcW w:w="1288" w:type="dxa"/>
          </w:tcPr>
          <w:p w14:paraId="088E2B9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10038</w:t>
            </w:r>
          </w:p>
        </w:tc>
      </w:tr>
      <w:tr w:rsidR="00171AA8" w:rsidRPr="00731FE2" w14:paraId="761B42FB" w14:textId="77777777" w:rsidTr="00EE4EC5">
        <w:tc>
          <w:tcPr>
            <w:tcW w:w="567" w:type="dxa"/>
          </w:tcPr>
          <w:p w14:paraId="68C58254"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7C25BDAF"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Дружбы</w:t>
            </w:r>
          </w:p>
        </w:tc>
        <w:tc>
          <w:tcPr>
            <w:tcW w:w="2268" w:type="dxa"/>
          </w:tcPr>
          <w:p w14:paraId="4EEAD55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Дружбы</w:t>
            </w:r>
          </w:p>
        </w:tc>
        <w:tc>
          <w:tcPr>
            <w:tcW w:w="1843" w:type="dxa"/>
          </w:tcPr>
          <w:p w14:paraId="2208351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0,706</w:t>
            </w:r>
          </w:p>
        </w:tc>
        <w:tc>
          <w:tcPr>
            <w:tcW w:w="2693" w:type="dxa"/>
          </w:tcPr>
          <w:p w14:paraId="2FEA7BB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07-415-ОП-МГ-А/ЩГ/Б-064</w:t>
            </w:r>
          </w:p>
        </w:tc>
        <w:tc>
          <w:tcPr>
            <w:tcW w:w="3118" w:type="dxa"/>
          </w:tcPr>
          <w:p w14:paraId="51980D3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513EED1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2824</w:t>
            </w:r>
          </w:p>
        </w:tc>
      </w:tr>
      <w:tr w:rsidR="00171AA8" w:rsidRPr="00731FE2" w14:paraId="5EB322C0" w14:textId="77777777" w:rsidTr="00EE4EC5">
        <w:tc>
          <w:tcPr>
            <w:tcW w:w="567" w:type="dxa"/>
          </w:tcPr>
          <w:p w14:paraId="0EE58209"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15BA47A6"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Ермолова</w:t>
            </w:r>
          </w:p>
        </w:tc>
        <w:tc>
          <w:tcPr>
            <w:tcW w:w="2268" w:type="dxa"/>
          </w:tcPr>
          <w:p w14:paraId="265B5D8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Ермолова</w:t>
            </w:r>
          </w:p>
        </w:tc>
        <w:tc>
          <w:tcPr>
            <w:tcW w:w="1843" w:type="dxa"/>
          </w:tcPr>
          <w:p w14:paraId="1A1F128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2,075</w:t>
            </w:r>
          </w:p>
        </w:tc>
        <w:tc>
          <w:tcPr>
            <w:tcW w:w="2693" w:type="dxa"/>
          </w:tcPr>
          <w:p w14:paraId="351697C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07-415-ОП-МГ-А/ЩГ-065</w:t>
            </w:r>
          </w:p>
        </w:tc>
        <w:tc>
          <w:tcPr>
            <w:tcW w:w="3118" w:type="dxa"/>
          </w:tcPr>
          <w:p w14:paraId="3EC9020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основной</w:t>
            </w:r>
          </w:p>
        </w:tc>
        <w:tc>
          <w:tcPr>
            <w:tcW w:w="1288" w:type="dxa"/>
          </w:tcPr>
          <w:p w14:paraId="4060DAB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11412,5</w:t>
            </w:r>
          </w:p>
        </w:tc>
      </w:tr>
      <w:tr w:rsidR="00171AA8" w:rsidRPr="00731FE2" w14:paraId="7E8A62BE" w14:textId="77777777" w:rsidTr="00EE4EC5">
        <w:tc>
          <w:tcPr>
            <w:tcW w:w="567" w:type="dxa"/>
          </w:tcPr>
          <w:p w14:paraId="19490727"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21A4301F"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Есенина</w:t>
            </w:r>
          </w:p>
        </w:tc>
        <w:tc>
          <w:tcPr>
            <w:tcW w:w="2268" w:type="dxa"/>
          </w:tcPr>
          <w:p w14:paraId="32D6DDA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Есенина</w:t>
            </w:r>
          </w:p>
        </w:tc>
        <w:tc>
          <w:tcPr>
            <w:tcW w:w="1843" w:type="dxa"/>
          </w:tcPr>
          <w:p w14:paraId="7801C83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0,261</w:t>
            </w:r>
          </w:p>
        </w:tc>
        <w:tc>
          <w:tcPr>
            <w:tcW w:w="2693" w:type="dxa"/>
          </w:tcPr>
          <w:p w14:paraId="776C19C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07-415-ОП-МГ-А-066</w:t>
            </w:r>
          </w:p>
        </w:tc>
        <w:tc>
          <w:tcPr>
            <w:tcW w:w="3118" w:type="dxa"/>
          </w:tcPr>
          <w:p w14:paraId="092537D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основной</w:t>
            </w:r>
          </w:p>
        </w:tc>
        <w:tc>
          <w:tcPr>
            <w:tcW w:w="1288" w:type="dxa"/>
          </w:tcPr>
          <w:p w14:paraId="73DCF40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1044</w:t>
            </w:r>
          </w:p>
        </w:tc>
      </w:tr>
      <w:tr w:rsidR="00171AA8" w:rsidRPr="00731FE2" w14:paraId="1B3DBB02" w14:textId="77777777" w:rsidTr="00EE4EC5">
        <w:tc>
          <w:tcPr>
            <w:tcW w:w="567" w:type="dxa"/>
          </w:tcPr>
          <w:p w14:paraId="1DFB07D7"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42687D7A"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Ессентукская</w:t>
            </w:r>
          </w:p>
        </w:tc>
        <w:tc>
          <w:tcPr>
            <w:tcW w:w="2268" w:type="dxa"/>
          </w:tcPr>
          <w:p w14:paraId="3DA277E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Ессентукская</w:t>
            </w:r>
          </w:p>
        </w:tc>
        <w:tc>
          <w:tcPr>
            <w:tcW w:w="1843" w:type="dxa"/>
          </w:tcPr>
          <w:p w14:paraId="1CDEB6C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0,579</w:t>
            </w:r>
          </w:p>
        </w:tc>
        <w:tc>
          <w:tcPr>
            <w:tcW w:w="2693" w:type="dxa"/>
          </w:tcPr>
          <w:p w14:paraId="2717C72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07-415-ОП-МГ-А/ЩГ-067</w:t>
            </w:r>
          </w:p>
        </w:tc>
        <w:tc>
          <w:tcPr>
            <w:tcW w:w="3118" w:type="dxa"/>
          </w:tcPr>
          <w:p w14:paraId="5640774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основной</w:t>
            </w:r>
          </w:p>
        </w:tc>
        <w:tc>
          <w:tcPr>
            <w:tcW w:w="1288" w:type="dxa"/>
          </w:tcPr>
          <w:p w14:paraId="022D345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3474</w:t>
            </w:r>
          </w:p>
        </w:tc>
      </w:tr>
      <w:tr w:rsidR="00171AA8" w:rsidRPr="00731FE2" w14:paraId="25EA2845" w14:textId="77777777" w:rsidTr="00EE4EC5">
        <w:tc>
          <w:tcPr>
            <w:tcW w:w="567" w:type="dxa"/>
          </w:tcPr>
          <w:p w14:paraId="2A3C078F"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5BFABC88"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Железноводская</w:t>
            </w:r>
          </w:p>
        </w:tc>
        <w:tc>
          <w:tcPr>
            <w:tcW w:w="2268" w:type="dxa"/>
          </w:tcPr>
          <w:p w14:paraId="3D1FA77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Железноводская</w:t>
            </w:r>
          </w:p>
        </w:tc>
        <w:tc>
          <w:tcPr>
            <w:tcW w:w="1843" w:type="dxa"/>
          </w:tcPr>
          <w:p w14:paraId="026855F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0,457</w:t>
            </w:r>
          </w:p>
        </w:tc>
        <w:tc>
          <w:tcPr>
            <w:tcW w:w="2693" w:type="dxa"/>
          </w:tcPr>
          <w:p w14:paraId="77B61D5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07-415-ОП-МГ-А/П/ЩГ-068</w:t>
            </w:r>
          </w:p>
        </w:tc>
        <w:tc>
          <w:tcPr>
            <w:tcW w:w="3118" w:type="dxa"/>
          </w:tcPr>
          <w:p w14:paraId="208FCF0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основной</w:t>
            </w:r>
          </w:p>
        </w:tc>
        <w:tc>
          <w:tcPr>
            <w:tcW w:w="1288" w:type="dxa"/>
          </w:tcPr>
          <w:p w14:paraId="4805E9E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2056,5</w:t>
            </w:r>
          </w:p>
        </w:tc>
      </w:tr>
      <w:tr w:rsidR="00171AA8" w:rsidRPr="00731FE2" w14:paraId="1C88841F" w14:textId="77777777" w:rsidTr="00EE4EC5">
        <w:tc>
          <w:tcPr>
            <w:tcW w:w="567" w:type="dxa"/>
          </w:tcPr>
          <w:p w14:paraId="23179624"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5AE7A9F5"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Железнодорожная</w:t>
            </w:r>
          </w:p>
        </w:tc>
        <w:tc>
          <w:tcPr>
            <w:tcW w:w="2268" w:type="dxa"/>
          </w:tcPr>
          <w:p w14:paraId="047015C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Железнодорожная</w:t>
            </w:r>
          </w:p>
        </w:tc>
        <w:tc>
          <w:tcPr>
            <w:tcW w:w="1843" w:type="dxa"/>
          </w:tcPr>
          <w:p w14:paraId="5AFFBA0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0,545</w:t>
            </w:r>
          </w:p>
        </w:tc>
        <w:tc>
          <w:tcPr>
            <w:tcW w:w="2693" w:type="dxa"/>
          </w:tcPr>
          <w:p w14:paraId="1F9140E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07-415-ОП-МГ-А-069</w:t>
            </w:r>
          </w:p>
        </w:tc>
        <w:tc>
          <w:tcPr>
            <w:tcW w:w="3118" w:type="dxa"/>
          </w:tcPr>
          <w:p w14:paraId="22733F3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основной</w:t>
            </w:r>
          </w:p>
        </w:tc>
        <w:tc>
          <w:tcPr>
            <w:tcW w:w="1288" w:type="dxa"/>
          </w:tcPr>
          <w:p w14:paraId="3A4C4F3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2725</w:t>
            </w:r>
          </w:p>
        </w:tc>
      </w:tr>
      <w:tr w:rsidR="00171AA8" w:rsidRPr="00731FE2" w14:paraId="3CFC649A" w14:textId="77777777" w:rsidTr="00EE4EC5">
        <w:tc>
          <w:tcPr>
            <w:tcW w:w="567" w:type="dxa"/>
          </w:tcPr>
          <w:p w14:paraId="3C414C23"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3012C15E"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Желябова</w:t>
            </w:r>
          </w:p>
        </w:tc>
        <w:tc>
          <w:tcPr>
            <w:tcW w:w="2268" w:type="dxa"/>
          </w:tcPr>
          <w:p w14:paraId="5A91072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Желябова</w:t>
            </w:r>
          </w:p>
        </w:tc>
        <w:tc>
          <w:tcPr>
            <w:tcW w:w="1843" w:type="dxa"/>
          </w:tcPr>
          <w:p w14:paraId="08CBE1A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0,684</w:t>
            </w:r>
          </w:p>
        </w:tc>
        <w:tc>
          <w:tcPr>
            <w:tcW w:w="2693" w:type="dxa"/>
          </w:tcPr>
          <w:p w14:paraId="109D450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07-415-ОП-МГ-А-070</w:t>
            </w:r>
          </w:p>
        </w:tc>
        <w:tc>
          <w:tcPr>
            <w:tcW w:w="3118" w:type="dxa"/>
          </w:tcPr>
          <w:p w14:paraId="7C6EB4B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улица местного значения в жилой застройке</w:t>
            </w:r>
          </w:p>
        </w:tc>
        <w:tc>
          <w:tcPr>
            <w:tcW w:w="1288" w:type="dxa"/>
          </w:tcPr>
          <w:p w14:paraId="3E18157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6156</w:t>
            </w:r>
          </w:p>
        </w:tc>
      </w:tr>
      <w:tr w:rsidR="00171AA8" w:rsidRPr="00731FE2" w14:paraId="43F8445A" w14:textId="77777777" w:rsidTr="00EE4EC5">
        <w:tc>
          <w:tcPr>
            <w:tcW w:w="567" w:type="dxa"/>
          </w:tcPr>
          <w:p w14:paraId="39AC30C7"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1DD80B0D"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Жмакина</w:t>
            </w:r>
          </w:p>
        </w:tc>
        <w:tc>
          <w:tcPr>
            <w:tcW w:w="2268" w:type="dxa"/>
          </w:tcPr>
          <w:p w14:paraId="042CB38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Жмакина</w:t>
            </w:r>
          </w:p>
        </w:tc>
        <w:tc>
          <w:tcPr>
            <w:tcW w:w="1843" w:type="dxa"/>
          </w:tcPr>
          <w:p w14:paraId="41EF6E8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1,178</w:t>
            </w:r>
          </w:p>
        </w:tc>
        <w:tc>
          <w:tcPr>
            <w:tcW w:w="2693" w:type="dxa"/>
          </w:tcPr>
          <w:p w14:paraId="196EEA0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07-415-ОП-МГ-А-071</w:t>
            </w:r>
          </w:p>
        </w:tc>
        <w:tc>
          <w:tcPr>
            <w:tcW w:w="3118" w:type="dxa"/>
          </w:tcPr>
          <w:p w14:paraId="4F15245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улица районного значения транспортно-пешеходная</w:t>
            </w:r>
          </w:p>
        </w:tc>
        <w:tc>
          <w:tcPr>
            <w:tcW w:w="1288" w:type="dxa"/>
          </w:tcPr>
          <w:p w14:paraId="791F61C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9424</w:t>
            </w:r>
          </w:p>
        </w:tc>
      </w:tr>
      <w:tr w:rsidR="00171AA8" w:rsidRPr="00731FE2" w14:paraId="7F1A1345" w14:textId="77777777" w:rsidTr="00EE4EC5">
        <w:tc>
          <w:tcPr>
            <w:tcW w:w="567" w:type="dxa"/>
          </w:tcPr>
          <w:p w14:paraId="2662F7CE"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3DC95BC6"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Жуковского</w:t>
            </w:r>
          </w:p>
        </w:tc>
        <w:tc>
          <w:tcPr>
            <w:tcW w:w="2268" w:type="dxa"/>
          </w:tcPr>
          <w:p w14:paraId="70D28EC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Жуковского</w:t>
            </w:r>
          </w:p>
        </w:tc>
        <w:tc>
          <w:tcPr>
            <w:tcW w:w="1843" w:type="dxa"/>
          </w:tcPr>
          <w:p w14:paraId="58BC259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0,650</w:t>
            </w:r>
          </w:p>
        </w:tc>
        <w:tc>
          <w:tcPr>
            <w:tcW w:w="2693" w:type="dxa"/>
          </w:tcPr>
          <w:p w14:paraId="44FAB57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07-415-ОП-МГ-А-072</w:t>
            </w:r>
          </w:p>
        </w:tc>
        <w:tc>
          <w:tcPr>
            <w:tcW w:w="3118" w:type="dxa"/>
          </w:tcPr>
          <w:p w14:paraId="610FBAF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IV, проезд основной</w:t>
            </w:r>
          </w:p>
        </w:tc>
        <w:tc>
          <w:tcPr>
            <w:tcW w:w="1288" w:type="dxa"/>
          </w:tcPr>
          <w:p w14:paraId="33848CC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4550</w:t>
            </w:r>
          </w:p>
        </w:tc>
      </w:tr>
      <w:tr w:rsidR="00171AA8" w:rsidRPr="00731FE2" w14:paraId="004E7AA1" w14:textId="77777777" w:rsidTr="00EE4EC5">
        <w:tc>
          <w:tcPr>
            <w:tcW w:w="567" w:type="dxa"/>
          </w:tcPr>
          <w:p w14:paraId="266241DE"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2285A89C"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Жуковского</w:t>
            </w:r>
          </w:p>
        </w:tc>
        <w:tc>
          <w:tcPr>
            <w:tcW w:w="2268" w:type="dxa"/>
          </w:tcPr>
          <w:p w14:paraId="7CA21CA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Жуковского</w:t>
            </w:r>
          </w:p>
        </w:tc>
        <w:tc>
          <w:tcPr>
            <w:tcW w:w="1843" w:type="dxa"/>
          </w:tcPr>
          <w:p w14:paraId="7232CE9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0,450</w:t>
            </w:r>
          </w:p>
        </w:tc>
        <w:tc>
          <w:tcPr>
            <w:tcW w:w="2693" w:type="dxa"/>
          </w:tcPr>
          <w:p w14:paraId="222B9A0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07-415-ОП-МГ-А-073</w:t>
            </w:r>
          </w:p>
        </w:tc>
        <w:tc>
          <w:tcPr>
            <w:tcW w:w="3118" w:type="dxa"/>
          </w:tcPr>
          <w:p w14:paraId="7DC089B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 </w:t>
            </w:r>
          </w:p>
        </w:tc>
        <w:tc>
          <w:tcPr>
            <w:tcW w:w="1288" w:type="dxa"/>
          </w:tcPr>
          <w:p w14:paraId="5E6FC11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1800</w:t>
            </w:r>
          </w:p>
        </w:tc>
      </w:tr>
      <w:tr w:rsidR="00171AA8" w:rsidRPr="00731FE2" w14:paraId="0A682EA0" w14:textId="77777777" w:rsidTr="00EE4EC5">
        <w:tc>
          <w:tcPr>
            <w:tcW w:w="567" w:type="dxa"/>
          </w:tcPr>
          <w:p w14:paraId="5DC3109C"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1F610B44"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Закурганная</w:t>
            </w:r>
          </w:p>
        </w:tc>
        <w:tc>
          <w:tcPr>
            <w:tcW w:w="2268" w:type="dxa"/>
          </w:tcPr>
          <w:p w14:paraId="68F9E25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Закурганная</w:t>
            </w:r>
          </w:p>
        </w:tc>
        <w:tc>
          <w:tcPr>
            <w:tcW w:w="1843" w:type="dxa"/>
          </w:tcPr>
          <w:p w14:paraId="556D8EC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0,296</w:t>
            </w:r>
          </w:p>
        </w:tc>
        <w:tc>
          <w:tcPr>
            <w:tcW w:w="2693" w:type="dxa"/>
          </w:tcPr>
          <w:p w14:paraId="670C553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07-415-ОП-МГ-ЩГ-074</w:t>
            </w:r>
          </w:p>
        </w:tc>
        <w:tc>
          <w:tcPr>
            <w:tcW w:w="3118" w:type="dxa"/>
          </w:tcPr>
          <w:p w14:paraId="5F2D294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6295083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1036</w:t>
            </w:r>
          </w:p>
        </w:tc>
      </w:tr>
      <w:tr w:rsidR="00171AA8" w:rsidRPr="00731FE2" w14:paraId="3AC49BF5" w14:textId="77777777" w:rsidTr="00EE4EC5">
        <w:tc>
          <w:tcPr>
            <w:tcW w:w="567" w:type="dxa"/>
          </w:tcPr>
          <w:p w14:paraId="59D1560A"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4EDE9406"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Замковая</w:t>
            </w:r>
          </w:p>
        </w:tc>
        <w:tc>
          <w:tcPr>
            <w:tcW w:w="2268" w:type="dxa"/>
          </w:tcPr>
          <w:p w14:paraId="4BE1949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Замковая</w:t>
            </w:r>
          </w:p>
        </w:tc>
        <w:tc>
          <w:tcPr>
            <w:tcW w:w="1843" w:type="dxa"/>
          </w:tcPr>
          <w:p w14:paraId="280DC8E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0,996</w:t>
            </w:r>
          </w:p>
        </w:tc>
        <w:tc>
          <w:tcPr>
            <w:tcW w:w="2693" w:type="dxa"/>
          </w:tcPr>
          <w:p w14:paraId="33E14FA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07-415-ОП-МГ-А-075</w:t>
            </w:r>
          </w:p>
        </w:tc>
        <w:tc>
          <w:tcPr>
            <w:tcW w:w="3118" w:type="dxa"/>
          </w:tcPr>
          <w:p w14:paraId="65B8F48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основной</w:t>
            </w:r>
          </w:p>
        </w:tc>
        <w:tc>
          <w:tcPr>
            <w:tcW w:w="1288" w:type="dxa"/>
          </w:tcPr>
          <w:p w14:paraId="0389065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11952</w:t>
            </w:r>
          </w:p>
        </w:tc>
      </w:tr>
      <w:tr w:rsidR="00171AA8" w:rsidRPr="00731FE2" w14:paraId="53A1BA53" w14:textId="77777777" w:rsidTr="00EE4EC5">
        <w:tc>
          <w:tcPr>
            <w:tcW w:w="567" w:type="dxa"/>
          </w:tcPr>
          <w:p w14:paraId="239FDEDF"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4735D4D2"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Замковая (проезд к дому №41)</w:t>
            </w:r>
          </w:p>
        </w:tc>
        <w:tc>
          <w:tcPr>
            <w:tcW w:w="2268" w:type="dxa"/>
          </w:tcPr>
          <w:p w14:paraId="773264E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Замковая (проезд к дому №41)</w:t>
            </w:r>
          </w:p>
        </w:tc>
        <w:tc>
          <w:tcPr>
            <w:tcW w:w="1843" w:type="dxa"/>
          </w:tcPr>
          <w:p w14:paraId="6355482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0,104</w:t>
            </w:r>
          </w:p>
        </w:tc>
        <w:tc>
          <w:tcPr>
            <w:tcW w:w="2693" w:type="dxa"/>
          </w:tcPr>
          <w:p w14:paraId="59BF065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07-415-ОП-МГ-ЩГ-076</w:t>
            </w:r>
          </w:p>
        </w:tc>
        <w:tc>
          <w:tcPr>
            <w:tcW w:w="3118" w:type="dxa"/>
          </w:tcPr>
          <w:p w14:paraId="10624A1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25C00C3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520</w:t>
            </w:r>
          </w:p>
        </w:tc>
      </w:tr>
      <w:tr w:rsidR="00171AA8" w:rsidRPr="00731FE2" w14:paraId="10950124" w14:textId="77777777" w:rsidTr="00EE4EC5">
        <w:tc>
          <w:tcPr>
            <w:tcW w:w="567" w:type="dxa"/>
          </w:tcPr>
          <w:p w14:paraId="7E75F743"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0E9BC1E0"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Заозерная</w:t>
            </w:r>
          </w:p>
        </w:tc>
        <w:tc>
          <w:tcPr>
            <w:tcW w:w="2268" w:type="dxa"/>
          </w:tcPr>
          <w:p w14:paraId="08695DA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Заозерная</w:t>
            </w:r>
          </w:p>
        </w:tc>
        <w:tc>
          <w:tcPr>
            <w:tcW w:w="1843" w:type="dxa"/>
          </w:tcPr>
          <w:p w14:paraId="4D3AC11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0,818</w:t>
            </w:r>
          </w:p>
        </w:tc>
        <w:tc>
          <w:tcPr>
            <w:tcW w:w="2693" w:type="dxa"/>
          </w:tcPr>
          <w:p w14:paraId="620F292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07-415-ОП-МГ-А/ЩГ-077</w:t>
            </w:r>
          </w:p>
        </w:tc>
        <w:tc>
          <w:tcPr>
            <w:tcW w:w="3118" w:type="dxa"/>
          </w:tcPr>
          <w:p w14:paraId="7AAAE98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09CCCB0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4908</w:t>
            </w:r>
          </w:p>
        </w:tc>
      </w:tr>
      <w:tr w:rsidR="00171AA8" w:rsidRPr="00731FE2" w14:paraId="6157B217" w14:textId="77777777" w:rsidTr="00EE4EC5">
        <w:tc>
          <w:tcPr>
            <w:tcW w:w="567" w:type="dxa"/>
          </w:tcPr>
          <w:p w14:paraId="3F598DC2"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69A0107C"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Западная</w:t>
            </w:r>
          </w:p>
        </w:tc>
        <w:tc>
          <w:tcPr>
            <w:tcW w:w="2268" w:type="dxa"/>
          </w:tcPr>
          <w:p w14:paraId="3CA54A0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Западная</w:t>
            </w:r>
          </w:p>
        </w:tc>
        <w:tc>
          <w:tcPr>
            <w:tcW w:w="1843" w:type="dxa"/>
          </w:tcPr>
          <w:p w14:paraId="2C16A8D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0,537</w:t>
            </w:r>
          </w:p>
        </w:tc>
        <w:tc>
          <w:tcPr>
            <w:tcW w:w="2693" w:type="dxa"/>
          </w:tcPr>
          <w:p w14:paraId="7C5925C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07-415-ОП-МГ-А-078</w:t>
            </w:r>
          </w:p>
        </w:tc>
        <w:tc>
          <w:tcPr>
            <w:tcW w:w="3118" w:type="dxa"/>
          </w:tcPr>
          <w:p w14:paraId="030C7C4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основной</w:t>
            </w:r>
          </w:p>
        </w:tc>
        <w:tc>
          <w:tcPr>
            <w:tcW w:w="1288" w:type="dxa"/>
          </w:tcPr>
          <w:p w14:paraId="1107551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2953,5</w:t>
            </w:r>
          </w:p>
        </w:tc>
      </w:tr>
      <w:tr w:rsidR="00171AA8" w:rsidRPr="00731FE2" w14:paraId="2F45973A" w14:textId="77777777" w:rsidTr="00EE4EC5">
        <w:tc>
          <w:tcPr>
            <w:tcW w:w="567" w:type="dxa"/>
          </w:tcPr>
          <w:p w14:paraId="7C57F451"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5544D111"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Западный тупик переулок</w:t>
            </w:r>
          </w:p>
        </w:tc>
        <w:tc>
          <w:tcPr>
            <w:tcW w:w="2268" w:type="dxa"/>
          </w:tcPr>
          <w:p w14:paraId="4C156CF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Западный тупик переулок</w:t>
            </w:r>
          </w:p>
        </w:tc>
        <w:tc>
          <w:tcPr>
            <w:tcW w:w="1843" w:type="dxa"/>
          </w:tcPr>
          <w:p w14:paraId="6D01256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0,126</w:t>
            </w:r>
          </w:p>
        </w:tc>
        <w:tc>
          <w:tcPr>
            <w:tcW w:w="2693" w:type="dxa"/>
          </w:tcPr>
          <w:p w14:paraId="6003CD2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07-415-ОП-МГ-А-079</w:t>
            </w:r>
          </w:p>
        </w:tc>
        <w:tc>
          <w:tcPr>
            <w:tcW w:w="3118" w:type="dxa"/>
          </w:tcPr>
          <w:p w14:paraId="0CE360E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0A09A68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504</w:t>
            </w:r>
          </w:p>
        </w:tc>
      </w:tr>
      <w:tr w:rsidR="00171AA8" w:rsidRPr="00731FE2" w14:paraId="20FFD610" w14:textId="77777777" w:rsidTr="00EE4EC5">
        <w:tc>
          <w:tcPr>
            <w:tcW w:w="567" w:type="dxa"/>
          </w:tcPr>
          <w:p w14:paraId="1BC76949"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4C1EC77F"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Зашкольный переулок</w:t>
            </w:r>
          </w:p>
        </w:tc>
        <w:tc>
          <w:tcPr>
            <w:tcW w:w="2268" w:type="dxa"/>
          </w:tcPr>
          <w:p w14:paraId="53D832E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Зашкольный переулок</w:t>
            </w:r>
          </w:p>
        </w:tc>
        <w:tc>
          <w:tcPr>
            <w:tcW w:w="1843" w:type="dxa"/>
          </w:tcPr>
          <w:p w14:paraId="28255A4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0,275</w:t>
            </w:r>
          </w:p>
        </w:tc>
        <w:tc>
          <w:tcPr>
            <w:tcW w:w="2693" w:type="dxa"/>
          </w:tcPr>
          <w:p w14:paraId="3C051C8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07-415-ОП-МГ-А/ЩГ-080</w:t>
            </w:r>
          </w:p>
        </w:tc>
        <w:tc>
          <w:tcPr>
            <w:tcW w:w="3118" w:type="dxa"/>
          </w:tcPr>
          <w:p w14:paraId="2B242C8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IV, проезд основной</w:t>
            </w:r>
          </w:p>
        </w:tc>
        <w:tc>
          <w:tcPr>
            <w:tcW w:w="1288" w:type="dxa"/>
          </w:tcPr>
          <w:p w14:paraId="25CC12F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1512,5</w:t>
            </w:r>
          </w:p>
        </w:tc>
      </w:tr>
      <w:tr w:rsidR="00171AA8" w:rsidRPr="00731FE2" w14:paraId="69062C10" w14:textId="77777777" w:rsidTr="00EE4EC5">
        <w:tc>
          <w:tcPr>
            <w:tcW w:w="567" w:type="dxa"/>
          </w:tcPr>
          <w:p w14:paraId="11C3D8DD"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216360D7"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Звездная</w:t>
            </w:r>
          </w:p>
        </w:tc>
        <w:tc>
          <w:tcPr>
            <w:tcW w:w="2268" w:type="dxa"/>
          </w:tcPr>
          <w:p w14:paraId="7C86E7A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Звездная</w:t>
            </w:r>
          </w:p>
        </w:tc>
        <w:tc>
          <w:tcPr>
            <w:tcW w:w="1843" w:type="dxa"/>
          </w:tcPr>
          <w:p w14:paraId="5E72D44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0,350</w:t>
            </w:r>
          </w:p>
        </w:tc>
        <w:tc>
          <w:tcPr>
            <w:tcW w:w="2693" w:type="dxa"/>
          </w:tcPr>
          <w:p w14:paraId="764782E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07-415-ОП-МГ-ЩГ-081</w:t>
            </w:r>
          </w:p>
        </w:tc>
        <w:tc>
          <w:tcPr>
            <w:tcW w:w="3118" w:type="dxa"/>
          </w:tcPr>
          <w:p w14:paraId="3076F96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5F4B5B9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1925</w:t>
            </w:r>
          </w:p>
        </w:tc>
      </w:tr>
      <w:tr w:rsidR="00171AA8" w:rsidRPr="00731FE2" w14:paraId="42D2CB90" w14:textId="77777777" w:rsidTr="00EE4EC5">
        <w:tc>
          <w:tcPr>
            <w:tcW w:w="567" w:type="dxa"/>
          </w:tcPr>
          <w:p w14:paraId="2CD54B17"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0DAE6CB4"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Зеленая</w:t>
            </w:r>
          </w:p>
        </w:tc>
        <w:tc>
          <w:tcPr>
            <w:tcW w:w="2268" w:type="dxa"/>
          </w:tcPr>
          <w:p w14:paraId="778CE37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Зеленая</w:t>
            </w:r>
          </w:p>
        </w:tc>
        <w:tc>
          <w:tcPr>
            <w:tcW w:w="1843" w:type="dxa"/>
          </w:tcPr>
          <w:p w14:paraId="72FF67A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0,742</w:t>
            </w:r>
          </w:p>
        </w:tc>
        <w:tc>
          <w:tcPr>
            <w:tcW w:w="2693" w:type="dxa"/>
          </w:tcPr>
          <w:p w14:paraId="4B37813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07-415-ОП-МГ-А/ЩГ-082</w:t>
            </w:r>
          </w:p>
        </w:tc>
        <w:tc>
          <w:tcPr>
            <w:tcW w:w="3118" w:type="dxa"/>
          </w:tcPr>
          <w:p w14:paraId="2B64692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4622DF0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3710</w:t>
            </w:r>
          </w:p>
        </w:tc>
      </w:tr>
      <w:tr w:rsidR="00171AA8" w:rsidRPr="00731FE2" w14:paraId="0A3EF786" w14:textId="77777777" w:rsidTr="00EE4EC5">
        <w:tc>
          <w:tcPr>
            <w:tcW w:w="567" w:type="dxa"/>
          </w:tcPr>
          <w:p w14:paraId="2BD819BF"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1C608456"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Зенитный переулок</w:t>
            </w:r>
          </w:p>
        </w:tc>
        <w:tc>
          <w:tcPr>
            <w:tcW w:w="2268" w:type="dxa"/>
          </w:tcPr>
          <w:p w14:paraId="3DC1A9D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Зенитный переулок</w:t>
            </w:r>
          </w:p>
        </w:tc>
        <w:tc>
          <w:tcPr>
            <w:tcW w:w="1843" w:type="dxa"/>
          </w:tcPr>
          <w:p w14:paraId="499C70D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0,127</w:t>
            </w:r>
          </w:p>
        </w:tc>
        <w:tc>
          <w:tcPr>
            <w:tcW w:w="2693" w:type="dxa"/>
          </w:tcPr>
          <w:p w14:paraId="11A1F7F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07-415-ОП-МГ-ЩГ-083</w:t>
            </w:r>
          </w:p>
        </w:tc>
        <w:tc>
          <w:tcPr>
            <w:tcW w:w="3118" w:type="dxa"/>
          </w:tcPr>
          <w:p w14:paraId="0DB2B55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1BE3B90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381</w:t>
            </w:r>
          </w:p>
        </w:tc>
      </w:tr>
      <w:tr w:rsidR="00171AA8" w:rsidRPr="00731FE2" w14:paraId="436BF714" w14:textId="77777777" w:rsidTr="00EE4EC5">
        <w:tc>
          <w:tcPr>
            <w:tcW w:w="567" w:type="dxa"/>
          </w:tcPr>
          <w:p w14:paraId="2CAA9451"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2708A997"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Зеркальный переулок</w:t>
            </w:r>
          </w:p>
        </w:tc>
        <w:tc>
          <w:tcPr>
            <w:tcW w:w="2268" w:type="dxa"/>
          </w:tcPr>
          <w:p w14:paraId="125EC83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Зеркальный переулок</w:t>
            </w:r>
          </w:p>
        </w:tc>
        <w:tc>
          <w:tcPr>
            <w:tcW w:w="1843" w:type="dxa"/>
          </w:tcPr>
          <w:p w14:paraId="5934C9D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0,640</w:t>
            </w:r>
          </w:p>
        </w:tc>
        <w:tc>
          <w:tcPr>
            <w:tcW w:w="2693" w:type="dxa"/>
          </w:tcPr>
          <w:p w14:paraId="592F21D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07-415-ОП-МГ-А-084</w:t>
            </w:r>
          </w:p>
        </w:tc>
        <w:tc>
          <w:tcPr>
            <w:tcW w:w="3118" w:type="dxa"/>
          </w:tcPr>
          <w:p w14:paraId="00329A9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30623A8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3200</w:t>
            </w:r>
          </w:p>
        </w:tc>
      </w:tr>
      <w:tr w:rsidR="00171AA8" w:rsidRPr="00731FE2" w14:paraId="0CACE6EE" w14:textId="77777777" w:rsidTr="00EE4EC5">
        <w:tc>
          <w:tcPr>
            <w:tcW w:w="567" w:type="dxa"/>
          </w:tcPr>
          <w:p w14:paraId="1FF29EAC"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39BDEF3F"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Интернациональная</w:t>
            </w:r>
          </w:p>
        </w:tc>
        <w:tc>
          <w:tcPr>
            <w:tcW w:w="2268" w:type="dxa"/>
          </w:tcPr>
          <w:p w14:paraId="469017A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Интернациональная</w:t>
            </w:r>
          </w:p>
        </w:tc>
        <w:tc>
          <w:tcPr>
            <w:tcW w:w="1843" w:type="dxa"/>
          </w:tcPr>
          <w:p w14:paraId="20E864B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0,257</w:t>
            </w:r>
          </w:p>
        </w:tc>
        <w:tc>
          <w:tcPr>
            <w:tcW w:w="2693" w:type="dxa"/>
          </w:tcPr>
          <w:p w14:paraId="0E6CB4C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07-415-ОП-МГ-А-085</w:t>
            </w:r>
          </w:p>
        </w:tc>
        <w:tc>
          <w:tcPr>
            <w:tcW w:w="3118" w:type="dxa"/>
          </w:tcPr>
          <w:p w14:paraId="7B5FBFC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основной</w:t>
            </w:r>
          </w:p>
        </w:tc>
        <w:tc>
          <w:tcPr>
            <w:tcW w:w="1288" w:type="dxa"/>
          </w:tcPr>
          <w:p w14:paraId="234E44A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2056</w:t>
            </w:r>
          </w:p>
        </w:tc>
      </w:tr>
      <w:tr w:rsidR="00171AA8" w:rsidRPr="00731FE2" w14:paraId="123F43CC" w14:textId="77777777" w:rsidTr="00EE4EC5">
        <w:tc>
          <w:tcPr>
            <w:tcW w:w="567" w:type="dxa"/>
          </w:tcPr>
          <w:p w14:paraId="602402A3"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608620AC"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Кабардинская</w:t>
            </w:r>
          </w:p>
        </w:tc>
        <w:tc>
          <w:tcPr>
            <w:tcW w:w="2268" w:type="dxa"/>
          </w:tcPr>
          <w:p w14:paraId="14A0512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Кабардинская</w:t>
            </w:r>
          </w:p>
        </w:tc>
        <w:tc>
          <w:tcPr>
            <w:tcW w:w="1843" w:type="dxa"/>
          </w:tcPr>
          <w:p w14:paraId="655744B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0,523</w:t>
            </w:r>
          </w:p>
        </w:tc>
        <w:tc>
          <w:tcPr>
            <w:tcW w:w="2693" w:type="dxa"/>
          </w:tcPr>
          <w:p w14:paraId="5FF4667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07-415-ОП-МГ-А/П-086</w:t>
            </w:r>
          </w:p>
        </w:tc>
        <w:tc>
          <w:tcPr>
            <w:tcW w:w="3118" w:type="dxa"/>
          </w:tcPr>
          <w:p w14:paraId="3E0AD2D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4047817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2615</w:t>
            </w:r>
          </w:p>
        </w:tc>
      </w:tr>
      <w:tr w:rsidR="00171AA8" w:rsidRPr="00731FE2" w14:paraId="6AE76439" w14:textId="77777777" w:rsidTr="00EE4EC5">
        <w:tc>
          <w:tcPr>
            <w:tcW w:w="567" w:type="dxa"/>
          </w:tcPr>
          <w:p w14:paraId="2018A31B"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6C360CE9"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Кавалерийская</w:t>
            </w:r>
          </w:p>
        </w:tc>
        <w:tc>
          <w:tcPr>
            <w:tcW w:w="2268" w:type="dxa"/>
          </w:tcPr>
          <w:p w14:paraId="709A392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Кавалерийская</w:t>
            </w:r>
          </w:p>
        </w:tc>
        <w:tc>
          <w:tcPr>
            <w:tcW w:w="1843" w:type="dxa"/>
          </w:tcPr>
          <w:p w14:paraId="678EBC2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0,115</w:t>
            </w:r>
          </w:p>
        </w:tc>
        <w:tc>
          <w:tcPr>
            <w:tcW w:w="2693" w:type="dxa"/>
          </w:tcPr>
          <w:p w14:paraId="69D5B05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07-415-ОП-МГ-ЩГ-087</w:t>
            </w:r>
          </w:p>
        </w:tc>
        <w:tc>
          <w:tcPr>
            <w:tcW w:w="3118" w:type="dxa"/>
          </w:tcPr>
          <w:p w14:paraId="45DAB09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71B5EA3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402,5</w:t>
            </w:r>
          </w:p>
        </w:tc>
      </w:tr>
      <w:tr w:rsidR="00171AA8" w:rsidRPr="00731FE2" w14:paraId="03D575D4" w14:textId="77777777" w:rsidTr="00EE4EC5">
        <w:tc>
          <w:tcPr>
            <w:tcW w:w="567" w:type="dxa"/>
          </w:tcPr>
          <w:p w14:paraId="49FCBE8A"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00269A44"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Кавказская</w:t>
            </w:r>
          </w:p>
        </w:tc>
        <w:tc>
          <w:tcPr>
            <w:tcW w:w="2268" w:type="dxa"/>
          </w:tcPr>
          <w:p w14:paraId="63F8C5E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Кавказская</w:t>
            </w:r>
          </w:p>
        </w:tc>
        <w:tc>
          <w:tcPr>
            <w:tcW w:w="1843" w:type="dxa"/>
          </w:tcPr>
          <w:p w14:paraId="59CDB07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0,317</w:t>
            </w:r>
          </w:p>
        </w:tc>
        <w:tc>
          <w:tcPr>
            <w:tcW w:w="2693" w:type="dxa"/>
          </w:tcPr>
          <w:p w14:paraId="42F6F91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07-415-ОП-МГ-ЩГ-088</w:t>
            </w:r>
          </w:p>
        </w:tc>
        <w:tc>
          <w:tcPr>
            <w:tcW w:w="3118" w:type="dxa"/>
          </w:tcPr>
          <w:p w14:paraId="17BF45A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1FE0883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1268</w:t>
            </w:r>
          </w:p>
        </w:tc>
      </w:tr>
      <w:tr w:rsidR="00171AA8" w:rsidRPr="00731FE2" w14:paraId="6A1FB024" w14:textId="77777777" w:rsidTr="00EE4EC5">
        <w:tc>
          <w:tcPr>
            <w:tcW w:w="567" w:type="dxa"/>
          </w:tcPr>
          <w:p w14:paraId="2F15F812"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78DA8AE6"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Казачий переулок</w:t>
            </w:r>
          </w:p>
        </w:tc>
        <w:tc>
          <w:tcPr>
            <w:tcW w:w="2268" w:type="dxa"/>
          </w:tcPr>
          <w:p w14:paraId="730F9AE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Казачий переулок</w:t>
            </w:r>
          </w:p>
        </w:tc>
        <w:tc>
          <w:tcPr>
            <w:tcW w:w="1843" w:type="dxa"/>
          </w:tcPr>
          <w:p w14:paraId="38B5975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0,255</w:t>
            </w:r>
          </w:p>
        </w:tc>
        <w:tc>
          <w:tcPr>
            <w:tcW w:w="2693" w:type="dxa"/>
          </w:tcPr>
          <w:p w14:paraId="297C745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07-415-ОП-МГ-А/ЩГ-089</w:t>
            </w:r>
          </w:p>
        </w:tc>
        <w:tc>
          <w:tcPr>
            <w:tcW w:w="3118" w:type="dxa"/>
          </w:tcPr>
          <w:p w14:paraId="2689331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основной</w:t>
            </w:r>
          </w:p>
        </w:tc>
        <w:tc>
          <w:tcPr>
            <w:tcW w:w="1288" w:type="dxa"/>
          </w:tcPr>
          <w:p w14:paraId="78798CE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1020</w:t>
            </w:r>
          </w:p>
        </w:tc>
      </w:tr>
      <w:tr w:rsidR="00171AA8" w:rsidRPr="00731FE2" w14:paraId="0E4B0529" w14:textId="77777777" w:rsidTr="00EE4EC5">
        <w:tc>
          <w:tcPr>
            <w:tcW w:w="567" w:type="dxa"/>
          </w:tcPr>
          <w:p w14:paraId="5CB54BB0"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32258D62"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Калинина</w:t>
            </w:r>
          </w:p>
        </w:tc>
        <w:tc>
          <w:tcPr>
            <w:tcW w:w="2268" w:type="dxa"/>
          </w:tcPr>
          <w:p w14:paraId="65ADB86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Калинина</w:t>
            </w:r>
          </w:p>
        </w:tc>
        <w:tc>
          <w:tcPr>
            <w:tcW w:w="1843" w:type="dxa"/>
          </w:tcPr>
          <w:p w14:paraId="54880C0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0,612</w:t>
            </w:r>
          </w:p>
        </w:tc>
        <w:tc>
          <w:tcPr>
            <w:tcW w:w="2693" w:type="dxa"/>
          </w:tcPr>
          <w:p w14:paraId="0243374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07-415-ОП-МГ-А/ЩГ-090</w:t>
            </w:r>
          </w:p>
        </w:tc>
        <w:tc>
          <w:tcPr>
            <w:tcW w:w="3118" w:type="dxa"/>
          </w:tcPr>
          <w:p w14:paraId="67AB54A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улица районного значения транспортно-пешеходная</w:t>
            </w:r>
          </w:p>
        </w:tc>
        <w:tc>
          <w:tcPr>
            <w:tcW w:w="1288" w:type="dxa"/>
          </w:tcPr>
          <w:p w14:paraId="32DAC88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3672</w:t>
            </w:r>
          </w:p>
        </w:tc>
      </w:tr>
      <w:tr w:rsidR="00171AA8" w:rsidRPr="00731FE2" w14:paraId="4A403901" w14:textId="77777777" w:rsidTr="00EE4EC5">
        <w:tc>
          <w:tcPr>
            <w:tcW w:w="567" w:type="dxa"/>
          </w:tcPr>
          <w:p w14:paraId="6F11B8E1"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15EE786A"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Калинина переулок</w:t>
            </w:r>
          </w:p>
        </w:tc>
        <w:tc>
          <w:tcPr>
            <w:tcW w:w="2268" w:type="dxa"/>
          </w:tcPr>
          <w:p w14:paraId="788E4AE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Калинина переулок</w:t>
            </w:r>
          </w:p>
        </w:tc>
        <w:tc>
          <w:tcPr>
            <w:tcW w:w="1843" w:type="dxa"/>
          </w:tcPr>
          <w:p w14:paraId="05DC7C4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0,344</w:t>
            </w:r>
          </w:p>
        </w:tc>
        <w:tc>
          <w:tcPr>
            <w:tcW w:w="2693" w:type="dxa"/>
          </w:tcPr>
          <w:p w14:paraId="76995D8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07-415-ОП-МГ-А-091</w:t>
            </w:r>
          </w:p>
        </w:tc>
        <w:tc>
          <w:tcPr>
            <w:tcW w:w="3118" w:type="dxa"/>
          </w:tcPr>
          <w:p w14:paraId="74A5EFC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1CECFA0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1376</w:t>
            </w:r>
          </w:p>
        </w:tc>
      </w:tr>
      <w:tr w:rsidR="00171AA8" w:rsidRPr="00731FE2" w14:paraId="6B7D69BF" w14:textId="77777777" w:rsidTr="00EE4EC5">
        <w:tc>
          <w:tcPr>
            <w:tcW w:w="567" w:type="dxa"/>
          </w:tcPr>
          <w:p w14:paraId="1CD7B521"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1A4C7DB2"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Карла Либкнехта</w:t>
            </w:r>
          </w:p>
        </w:tc>
        <w:tc>
          <w:tcPr>
            <w:tcW w:w="2268" w:type="dxa"/>
          </w:tcPr>
          <w:p w14:paraId="037ECCD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Карла Либкнехта</w:t>
            </w:r>
          </w:p>
        </w:tc>
        <w:tc>
          <w:tcPr>
            <w:tcW w:w="1843" w:type="dxa"/>
          </w:tcPr>
          <w:p w14:paraId="3284156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0,652</w:t>
            </w:r>
          </w:p>
        </w:tc>
        <w:tc>
          <w:tcPr>
            <w:tcW w:w="2693" w:type="dxa"/>
          </w:tcPr>
          <w:p w14:paraId="103652C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07-415-ОП-МГ-А-092</w:t>
            </w:r>
          </w:p>
        </w:tc>
        <w:tc>
          <w:tcPr>
            <w:tcW w:w="3118" w:type="dxa"/>
          </w:tcPr>
          <w:p w14:paraId="0F12A33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улица районного значения транспортно-пешеходная</w:t>
            </w:r>
          </w:p>
        </w:tc>
        <w:tc>
          <w:tcPr>
            <w:tcW w:w="1288" w:type="dxa"/>
          </w:tcPr>
          <w:p w14:paraId="590D3A2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4564</w:t>
            </w:r>
          </w:p>
        </w:tc>
      </w:tr>
      <w:tr w:rsidR="00171AA8" w:rsidRPr="00731FE2" w14:paraId="35B28187" w14:textId="77777777" w:rsidTr="00EE4EC5">
        <w:tc>
          <w:tcPr>
            <w:tcW w:w="567" w:type="dxa"/>
          </w:tcPr>
          <w:p w14:paraId="454EB454"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7768E2BD"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Карла Маркса проспект</w:t>
            </w:r>
          </w:p>
        </w:tc>
        <w:tc>
          <w:tcPr>
            <w:tcW w:w="2268" w:type="dxa"/>
          </w:tcPr>
          <w:p w14:paraId="0DCF5FE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Карла Маркса проспект</w:t>
            </w:r>
          </w:p>
        </w:tc>
        <w:tc>
          <w:tcPr>
            <w:tcW w:w="1843" w:type="dxa"/>
          </w:tcPr>
          <w:p w14:paraId="679EE27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0,544</w:t>
            </w:r>
          </w:p>
        </w:tc>
        <w:tc>
          <w:tcPr>
            <w:tcW w:w="2693" w:type="dxa"/>
          </w:tcPr>
          <w:p w14:paraId="5563600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07-415-ОП-МГ-А/Тр-093</w:t>
            </w:r>
          </w:p>
        </w:tc>
        <w:tc>
          <w:tcPr>
            <w:tcW w:w="3118" w:type="dxa"/>
          </w:tcPr>
          <w:p w14:paraId="6068A49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IV, парковая дорога</w:t>
            </w:r>
          </w:p>
        </w:tc>
        <w:tc>
          <w:tcPr>
            <w:tcW w:w="1288" w:type="dxa"/>
          </w:tcPr>
          <w:p w14:paraId="29802FB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3808</w:t>
            </w:r>
          </w:p>
        </w:tc>
      </w:tr>
      <w:tr w:rsidR="00171AA8" w:rsidRPr="00731FE2" w14:paraId="6D9BE73F" w14:textId="77777777" w:rsidTr="00EE4EC5">
        <w:tc>
          <w:tcPr>
            <w:tcW w:w="567" w:type="dxa"/>
          </w:tcPr>
          <w:p w14:paraId="1C1FE4EC"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0E9DF326"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Катыхина</w:t>
            </w:r>
          </w:p>
        </w:tc>
        <w:tc>
          <w:tcPr>
            <w:tcW w:w="2268" w:type="dxa"/>
          </w:tcPr>
          <w:p w14:paraId="5C85C23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Катыхина</w:t>
            </w:r>
          </w:p>
        </w:tc>
        <w:tc>
          <w:tcPr>
            <w:tcW w:w="1843" w:type="dxa"/>
          </w:tcPr>
          <w:p w14:paraId="127951F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2,238</w:t>
            </w:r>
          </w:p>
        </w:tc>
        <w:tc>
          <w:tcPr>
            <w:tcW w:w="2693" w:type="dxa"/>
          </w:tcPr>
          <w:p w14:paraId="53492B5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07-415-ОП-МГ-А-094</w:t>
            </w:r>
          </w:p>
        </w:tc>
        <w:tc>
          <w:tcPr>
            <w:tcW w:w="3118" w:type="dxa"/>
          </w:tcPr>
          <w:p w14:paraId="3911A46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IV, улица районного значения транспортно-пешеходная</w:t>
            </w:r>
          </w:p>
        </w:tc>
        <w:tc>
          <w:tcPr>
            <w:tcW w:w="1288" w:type="dxa"/>
          </w:tcPr>
          <w:p w14:paraId="74DD6C9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12309</w:t>
            </w:r>
          </w:p>
        </w:tc>
      </w:tr>
      <w:tr w:rsidR="00171AA8" w:rsidRPr="00731FE2" w14:paraId="424AF471" w14:textId="77777777" w:rsidTr="00EE4EC5">
        <w:tc>
          <w:tcPr>
            <w:tcW w:w="567" w:type="dxa"/>
          </w:tcPr>
          <w:p w14:paraId="1103489C"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460551BA"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Киевская</w:t>
            </w:r>
          </w:p>
        </w:tc>
        <w:tc>
          <w:tcPr>
            <w:tcW w:w="2268" w:type="dxa"/>
          </w:tcPr>
          <w:p w14:paraId="551D2A3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Киевская</w:t>
            </w:r>
          </w:p>
        </w:tc>
        <w:tc>
          <w:tcPr>
            <w:tcW w:w="1843" w:type="dxa"/>
          </w:tcPr>
          <w:p w14:paraId="5AE9F53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0,602</w:t>
            </w:r>
          </w:p>
        </w:tc>
        <w:tc>
          <w:tcPr>
            <w:tcW w:w="2693" w:type="dxa"/>
          </w:tcPr>
          <w:p w14:paraId="5C7152B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07-415-ОП-МГ-ЩГ-095</w:t>
            </w:r>
          </w:p>
        </w:tc>
        <w:tc>
          <w:tcPr>
            <w:tcW w:w="3118" w:type="dxa"/>
          </w:tcPr>
          <w:p w14:paraId="027FFDF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033FD13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2408</w:t>
            </w:r>
          </w:p>
        </w:tc>
      </w:tr>
      <w:tr w:rsidR="00171AA8" w:rsidRPr="00731FE2" w14:paraId="44779466" w14:textId="77777777" w:rsidTr="00EE4EC5">
        <w:tc>
          <w:tcPr>
            <w:tcW w:w="567" w:type="dxa"/>
          </w:tcPr>
          <w:p w14:paraId="50907760"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51407863"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Кирова</w:t>
            </w:r>
          </w:p>
        </w:tc>
        <w:tc>
          <w:tcPr>
            <w:tcW w:w="2268" w:type="dxa"/>
          </w:tcPr>
          <w:p w14:paraId="315757F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Кирова</w:t>
            </w:r>
          </w:p>
        </w:tc>
        <w:tc>
          <w:tcPr>
            <w:tcW w:w="1843" w:type="dxa"/>
          </w:tcPr>
          <w:p w14:paraId="7ED75F9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1,714</w:t>
            </w:r>
          </w:p>
        </w:tc>
        <w:tc>
          <w:tcPr>
            <w:tcW w:w="2693" w:type="dxa"/>
          </w:tcPr>
          <w:p w14:paraId="277A5C0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07-415-ОП-МГ-А-096</w:t>
            </w:r>
          </w:p>
        </w:tc>
        <w:tc>
          <w:tcPr>
            <w:tcW w:w="3118" w:type="dxa"/>
          </w:tcPr>
          <w:p w14:paraId="1C283E8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IV, улица районного значения транспортно-пешеходная</w:t>
            </w:r>
          </w:p>
        </w:tc>
        <w:tc>
          <w:tcPr>
            <w:tcW w:w="1288" w:type="dxa"/>
          </w:tcPr>
          <w:p w14:paraId="4EF2677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17140</w:t>
            </w:r>
          </w:p>
        </w:tc>
      </w:tr>
      <w:tr w:rsidR="00171AA8" w:rsidRPr="00731FE2" w14:paraId="4A72F26B" w14:textId="77777777" w:rsidTr="00EE4EC5">
        <w:tc>
          <w:tcPr>
            <w:tcW w:w="567" w:type="dxa"/>
          </w:tcPr>
          <w:p w14:paraId="3A84DCEE"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161C6211"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Кирпичный переулок</w:t>
            </w:r>
          </w:p>
        </w:tc>
        <w:tc>
          <w:tcPr>
            <w:tcW w:w="2268" w:type="dxa"/>
          </w:tcPr>
          <w:p w14:paraId="59EAE43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Кирпичный переулок</w:t>
            </w:r>
          </w:p>
        </w:tc>
        <w:tc>
          <w:tcPr>
            <w:tcW w:w="1843" w:type="dxa"/>
          </w:tcPr>
          <w:p w14:paraId="2341FB1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0,203</w:t>
            </w:r>
          </w:p>
        </w:tc>
        <w:tc>
          <w:tcPr>
            <w:tcW w:w="2693" w:type="dxa"/>
          </w:tcPr>
          <w:p w14:paraId="354B0E9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07-415-ОП-МГ-ЩГ-097</w:t>
            </w:r>
          </w:p>
        </w:tc>
        <w:tc>
          <w:tcPr>
            <w:tcW w:w="3118" w:type="dxa"/>
          </w:tcPr>
          <w:p w14:paraId="1B7B207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5D98D01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913,5</w:t>
            </w:r>
          </w:p>
        </w:tc>
      </w:tr>
      <w:tr w:rsidR="00171AA8" w:rsidRPr="00731FE2" w14:paraId="353016D9" w14:textId="77777777" w:rsidTr="00EE4EC5">
        <w:tc>
          <w:tcPr>
            <w:tcW w:w="567" w:type="dxa"/>
          </w:tcPr>
          <w:p w14:paraId="36CACF55"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1D80CF44"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Кисловодская</w:t>
            </w:r>
          </w:p>
        </w:tc>
        <w:tc>
          <w:tcPr>
            <w:tcW w:w="2268" w:type="dxa"/>
          </w:tcPr>
          <w:p w14:paraId="719C1FF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Кисловодская</w:t>
            </w:r>
          </w:p>
        </w:tc>
        <w:tc>
          <w:tcPr>
            <w:tcW w:w="1843" w:type="dxa"/>
          </w:tcPr>
          <w:p w14:paraId="0D82624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0,923</w:t>
            </w:r>
          </w:p>
        </w:tc>
        <w:tc>
          <w:tcPr>
            <w:tcW w:w="2693" w:type="dxa"/>
          </w:tcPr>
          <w:p w14:paraId="5E001B4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07-415-ОП-МГ-А-098</w:t>
            </w:r>
          </w:p>
        </w:tc>
        <w:tc>
          <w:tcPr>
            <w:tcW w:w="3118" w:type="dxa"/>
          </w:tcPr>
          <w:p w14:paraId="4523271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улица районного значения транспортно-пешеходная</w:t>
            </w:r>
          </w:p>
        </w:tc>
        <w:tc>
          <w:tcPr>
            <w:tcW w:w="1288" w:type="dxa"/>
          </w:tcPr>
          <w:p w14:paraId="709F955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7384</w:t>
            </w:r>
          </w:p>
        </w:tc>
      </w:tr>
      <w:tr w:rsidR="00171AA8" w:rsidRPr="00731FE2" w14:paraId="508E4F34" w14:textId="77777777" w:rsidTr="00EE4EC5">
        <w:tc>
          <w:tcPr>
            <w:tcW w:w="567" w:type="dxa"/>
          </w:tcPr>
          <w:p w14:paraId="10E9552E"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62759116"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Клары Цеткин</w:t>
            </w:r>
          </w:p>
        </w:tc>
        <w:tc>
          <w:tcPr>
            <w:tcW w:w="2268" w:type="dxa"/>
          </w:tcPr>
          <w:p w14:paraId="534BEED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Клары Цеткин</w:t>
            </w:r>
          </w:p>
        </w:tc>
        <w:tc>
          <w:tcPr>
            <w:tcW w:w="1843" w:type="dxa"/>
          </w:tcPr>
          <w:p w14:paraId="231716A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1,127</w:t>
            </w:r>
          </w:p>
        </w:tc>
        <w:tc>
          <w:tcPr>
            <w:tcW w:w="2693" w:type="dxa"/>
          </w:tcPr>
          <w:p w14:paraId="47CE0A3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07-415-ОП-МГ-А-099</w:t>
            </w:r>
          </w:p>
        </w:tc>
        <w:tc>
          <w:tcPr>
            <w:tcW w:w="3118" w:type="dxa"/>
          </w:tcPr>
          <w:p w14:paraId="466AED9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основной</w:t>
            </w:r>
          </w:p>
        </w:tc>
        <w:tc>
          <w:tcPr>
            <w:tcW w:w="1288" w:type="dxa"/>
          </w:tcPr>
          <w:p w14:paraId="0F29C59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7889</w:t>
            </w:r>
          </w:p>
        </w:tc>
      </w:tr>
      <w:tr w:rsidR="00171AA8" w:rsidRPr="00731FE2" w14:paraId="667A3D6E" w14:textId="77777777" w:rsidTr="00EE4EC5">
        <w:tc>
          <w:tcPr>
            <w:tcW w:w="567" w:type="dxa"/>
          </w:tcPr>
          <w:p w14:paraId="7E8168CF"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459ED51E"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Клубная</w:t>
            </w:r>
          </w:p>
        </w:tc>
        <w:tc>
          <w:tcPr>
            <w:tcW w:w="2268" w:type="dxa"/>
          </w:tcPr>
          <w:p w14:paraId="7962CCE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Клубная</w:t>
            </w:r>
          </w:p>
        </w:tc>
        <w:tc>
          <w:tcPr>
            <w:tcW w:w="1843" w:type="dxa"/>
          </w:tcPr>
          <w:p w14:paraId="5E5C383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0,287</w:t>
            </w:r>
          </w:p>
        </w:tc>
        <w:tc>
          <w:tcPr>
            <w:tcW w:w="2693" w:type="dxa"/>
          </w:tcPr>
          <w:p w14:paraId="12E5CF6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07-415-ОП-МГ-А-100</w:t>
            </w:r>
          </w:p>
        </w:tc>
        <w:tc>
          <w:tcPr>
            <w:tcW w:w="3118" w:type="dxa"/>
          </w:tcPr>
          <w:p w14:paraId="155377F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основной</w:t>
            </w:r>
          </w:p>
        </w:tc>
        <w:tc>
          <w:tcPr>
            <w:tcW w:w="1288" w:type="dxa"/>
          </w:tcPr>
          <w:p w14:paraId="3E2D2F3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1722</w:t>
            </w:r>
          </w:p>
        </w:tc>
      </w:tr>
      <w:tr w:rsidR="00171AA8" w:rsidRPr="00731FE2" w14:paraId="482457BC" w14:textId="77777777" w:rsidTr="00EE4EC5">
        <w:tc>
          <w:tcPr>
            <w:tcW w:w="567" w:type="dxa"/>
          </w:tcPr>
          <w:p w14:paraId="7A9391FA"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0A542F0A"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Коллективная</w:t>
            </w:r>
          </w:p>
        </w:tc>
        <w:tc>
          <w:tcPr>
            <w:tcW w:w="2268" w:type="dxa"/>
          </w:tcPr>
          <w:p w14:paraId="5A9D58F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Коллективная</w:t>
            </w:r>
          </w:p>
        </w:tc>
        <w:tc>
          <w:tcPr>
            <w:tcW w:w="1843" w:type="dxa"/>
          </w:tcPr>
          <w:p w14:paraId="616BD14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0,560</w:t>
            </w:r>
          </w:p>
        </w:tc>
        <w:tc>
          <w:tcPr>
            <w:tcW w:w="2693" w:type="dxa"/>
          </w:tcPr>
          <w:p w14:paraId="0047814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07-415-ОП-МГ-А-101</w:t>
            </w:r>
          </w:p>
        </w:tc>
        <w:tc>
          <w:tcPr>
            <w:tcW w:w="3118" w:type="dxa"/>
          </w:tcPr>
          <w:p w14:paraId="52386D3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основной</w:t>
            </w:r>
          </w:p>
        </w:tc>
        <w:tc>
          <w:tcPr>
            <w:tcW w:w="1288" w:type="dxa"/>
          </w:tcPr>
          <w:p w14:paraId="59C3D08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3360</w:t>
            </w:r>
          </w:p>
        </w:tc>
      </w:tr>
      <w:tr w:rsidR="00171AA8" w:rsidRPr="00731FE2" w14:paraId="40F9AD58" w14:textId="77777777" w:rsidTr="00EE4EC5">
        <w:tc>
          <w:tcPr>
            <w:tcW w:w="567" w:type="dxa"/>
          </w:tcPr>
          <w:p w14:paraId="3546AF13"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73B73554"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Кольцова</w:t>
            </w:r>
          </w:p>
        </w:tc>
        <w:tc>
          <w:tcPr>
            <w:tcW w:w="2268" w:type="dxa"/>
          </w:tcPr>
          <w:p w14:paraId="5685D80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Кольцова</w:t>
            </w:r>
          </w:p>
        </w:tc>
        <w:tc>
          <w:tcPr>
            <w:tcW w:w="1843" w:type="dxa"/>
          </w:tcPr>
          <w:p w14:paraId="67BCFF1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0,300</w:t>
            </w:r>
          </w:p>
        </w:tc>
        <w:tc>
          <w:tcPr>
            <w:tcW w:w="2693" w:type="dxa"/>
          </w:tcPr>
          <w:p w14:paraId="58924BC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07-415-ОП-МГ-А-102</w:t>
            </w:r>
          </w:p>
        </w:tc>
        <w:tc>
          <w:tcPr>
            <w:tcW w:w="3118" w:type="dxa"/>
          </w:tcPr>
          <w:p w14:paraId="7F71DCE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улица местного значения в жилой застройке</w:t>
            </w:r>
          </w:p>
        </w:tc>
        <w:tc>
          <w:tcPr>
            <w:tcW w:w="1288" w:type="dxa"/>
          </w:tcPr>
          <w:p w14:paraId="4E34219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3750</w:t>
            </w:r>
          </w:p>
        </w:tc>
      </w:tr>
      <w:tr w:rsidR="00171AA8" w:rsidRPr="00731FE2" w14:paraId="16A1F29E" w14:textId="77777777" w:rsidTr="00EE4EC5">
        <w:tc>
          <w:tcPr>
            <w:tcW w:w="567" w:type="dxa"/>
          </w:tcPr>
          <w:p w14:paraId="457BDCBD"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3BD01B59"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Коминтерна</w:t>
            </w:r>
          </w:p>
        </w:tc>
        <w:tc>
          <w:tcPr>
            <w:tcW w:w="2268" w:type="dxa"/>
          </w:tcPr>
          <w:p w14:paraId="39B5F34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Коминтерна</w:t>
            </w:r>
          </w:p>
        </w:tc>
        <w:tc>
          <w:tcPr>
            <w:tcW w:w="1843" w:type="dxa"/>
          </w:tcPr>
          <w:p w14:paraId="1442013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0,400</w:t>
            </w:r>
          </w:p>
        </w:tc>
        <w:tc>
          <w:tcPr>
            <w:tcW w:w="2693" w:type="dxa"/>
          </w:tcPr>
          <w:p w14:paraId="43359DC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07-415-ОП-МГ-А-103</w:t>
            </w:r>
          </w:p>
        </w:tc>
        <w:tc>
          <w:tcPr>
            <w:tcW w:w="3118" w:type="dxa"/>
          </w:tcPr>
          <w:p w14:paraId="7AF3C73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основной</w:t>
            </w:r>
          </w:p>
        </w:tc>
        <w:tc>
          <w:tcPr>
            <w:tcW w:w="1288" w:type="dxa"/>
          </w:tcPr>
          <w:p w14:paraId="752E91F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2320</w:t>
            </w:r>
          </w:p>
        </w:tc>
      </w:tr>
      <w:tr w:rsidR="00171AA8" w:rsidRPr="00731FE2" w14:paraId="751A18E9" w14:textId="77777777" w:rsidTr="00EE4EC5">
        <w:tc>
          <w:tcPr>
            <w:tcW w:w="567" w:type="dxa"/>
          </w:tcPr>
          <w:p w14:paraId="5DE55B0F"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42E3291D"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Коммунальная</w:t>
            </w:r>
          </w:p>
        </w:tc>
        <w:tc>
          <w:tcPr>
            <w:tcW w:w="2268" w:type="dxa"/>
          </w:tcPr>
          <w:p w14:paraId="1FAD0F2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Коммунальная</w:t>
            </w:r>
          </w:p>
        </w:tc>
        <w:tc>
          <w:tcPr>
            <w:tcW w:w="1843" w:type="dxa"/>
          </w:tcPr>
          <w:p w14:paraId="4D2A5DC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0,243</w:t>
            </w:r>
          </w:p>
        </w:tc>
        <w:tc>
          <w:tcPr>
            <w:tcW w:w="2693" w:type="dxa"/>
          </w:tcPr>
          <w:p w14:paraId="6D5C474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07-415-ОП-МГ-А-104</w:t>
            </w:r>
          </w:p>
        </w:tc>
        <w:tc>
          <w:tcPr>
            <w:tcW w:w="3118" w:type="dxa"/>
          </w:tcPr>
          <w:p w14:paraId="08273A2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63EF79A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972</w:t>
            </w:r>
          </w:p>
        </w:tc>
      </w:tr>
      <w:tr w:rsidR="00171AA8" w:rsidRPr="00731FE2" w14:paraId="7E84EDFB" w14:textId="77777777" w:rsidTr="00EE4EC5">
        <w:tc>
          <w:tcPr>
            <w:tcW w:w="567" w:type="dxa"/>
          </w:tcPr>
          <w:p w14:paraId="053A936A"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33360B39"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Конечный переулок</w:t>
            </w:r>
          </w:p>
        </w:tc>
        <w:tc>
          <w:tcPr>
            <w:tcW w:w="2268" w:type="dxa"/>
          </w:tcPr>
          <w:p w14:paraId="3B5948A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Конечный переулок</w:t>
            </w:r>
          </w:p>
        </w:tc>
        <w:tc>
          <w:tcPr>
            <w:tcW w:w="1843" w:type="dxa"/>
          </w:tcPr>
          <w:p w14:paraId="6B44D1F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0,238</w:t>
            </w:r>
          </w:p>
        </w:tc>
        <w:tc>
          <w:tcPr>
            <w:tcW w:w="2693" w:type="dxa"/>
          </w:tcPr>
          <w:p w14:paraId="4A37930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07-415-ОП-МГ-А-105</w:t>
            </w:r>
          </w:p>
        </w:tc>
        <w:tc>
          <w:tcPr>
            <w:tcW w:w="3118" w:type="dxa"/>
          </w:tcPr>
          <w:p w14:paraId="511114B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IV, проезд основной</w:t>
            </w:r>
          </w:p>
        </w:tc>
        <w:tc>
          <w:tcPr>
            <w:tcW w:w="1288" w:type="dxa"/>
          </w:tcPr>
          <w:p w14:paraId="1753A24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1451,8</w:t>
            </w:r>
          </w:p>
        </w:tc>
      </w:tr>
      <w:tr w:rsidR="00171AA8" w:rsidRPr="00731FE2" w14:paraId="677FE25E" w14:textId="77777777" w:rsidTr="00EE4EC5">
        <w:tc>
          <w:tcPr>
            <w:tcW w:w="567" w:type="dxa"/>
          </w:tcPr>
          <w:p w14:paraId="4CAAA9DF"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4A43BB3C"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Короткая</w:t>
            </w:r>
          </w:p>
        </w:tc>
        <w:tc>
          <w:tcPr>
            <w:tcW w:w="2268" w:type="dxa"/>
          </w:tcPr>
          <w:p w14:paraId="2372C3D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Короткая</w:t>
            </w:r>
          </w:p>
        </w:tc>
        <w:tc>
          <w:tcPr>
            <w:tcW w:w="1843" w:type="dxa"/>
          </w:tcPr>
          <w:p w14:paraId="04D0D1A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0,667</w:t>
            </w:r>
          </w:p>
        </w:tc>
        <w:tc>
          <w:tcPr>
            <w:tcW w:w="2693" w:type="dxa"/>
          </w:tcPr>
          <w:p w14:paraId="5A088BE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07-415-ОП-МГ-А/ЩГ-106</w:t>
            </w:r>
          </w:p>
        </w:tc>
        <w:tc>
          <w:tcPr>
            <w:tcW w:w="3118" w:type="dxa"/>
          </w:tcPr>
          <w:p w14:paraId="14EBDD4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3794EE1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3335</w:t>
            </w:r>
          </w:p>
        </w:tc>
      </w:tr>
      <w:tr w:rsidR="00171AA8" w:rsidRPr="00731FE2" w14:paraId="0DA37052" w14:textId="77777777" w:rsidTr="00EE4EC5">
        <w:tc>
          <w:tcPr>
            <w:tcW w:w="567" w:type="dxa"/>
          </w:tcPr>
          <w:p w14:paraId="301C1873"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40E2C79F"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Котовского</w:t>
            </w:r>
          </w:p>
        </w:tc>
        <w:tc>
          <w:tcPr>
            <w:tcW w:w="2268" w:type="dxa"/>
          </w:tcPr>
          <w:p w14:paraId="5711026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Котовского</w:t>
            </w:r>
          </w:p>
        </w:tc>
        <w:tc>
          <w:tcPr>
            <w:tcW w:w="1843" w:type="dxa"/>
          </w:tcPr>
          <w:p w14:paraId="42968CA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0,295</w:t>
            </w:r>
          </w:p>
        </w:tc>
        <w:tc>
          <w:tcPr>
            <w:tcW w:w="2693" w:type="dxa"/>
          </w:tcPr>
          <w:p w14:paraId="249F9F7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07-415-ОП-МГ-А/ЩГ-107</w:t>
            </w:r>
          </w:p>
        </w:tc>
        <w:tc>
          <w:tcPr>
            <w:tcW w:w="3118" w:type="dxa"/>
          </w:tcPr>
          <w:p w14:paraId="1AB5712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основной</w:t>
            </w:r>
          </w:p>
        </w:tc>
        <w:tc>
          <w:tcPr>
            <w:tcW w:w="1288" w:type="dxa"/>
          </w:tcPr>
          <w:p w14:paraId="3DC36FC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1180</w:t>
            </w:r>
          </w:p>
        </w:tc>
      </w:tr>
      <w:tr w:rsidR="00171AA8" w:rsidRPr="00731FE2" w14:paraId="4EA0DE04" w14:textId="77777777" w:rsidTr="00EE4EC5">
        <w:tc>
          <w:tcPr>
            <w:tcW w:w="567" w:type="dxa"/>
          </w:tcPr>
          <w:p w14:paraId="5218C385"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1B1194F8"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Кочубея</w:t>
            </w:r>
          </w:p>
        </w:tc>
        <w:tc>
          <w:tcPr>
            <w:tcW w:w="2268" w:type="dxa"/>
          </w:tcPr>
          <w:p w14:paraId="0C8CA4C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Кочубея</w:t>
            </w:r>
          </w:p>
        </w:tc>
        <w:tc>
          <w:tcPr>
            <w:tcW w:w="1843" w:type="dxa"/>
          </w:tcPr>
          <w:p w14:paraId="0A9ACA2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0,249</w:t>
            </w:r>
          </w:p>
        </w:tc>
        <w:tc>
          <w:tcPr>
            <w:tcW w:w="2693" w:type="dxa"/>
          </w:tcPr>
          <w:p w14:paraId="6F49FBC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07-415-ОП-МГ-ЩГ-108</w:t>
            </w:r>
          </w:p>
        </w:tc>
        <w:tc>
          <w:tcPr>
            <w:tcW w:w="3118" w:type="dxa"/>
          </w:tcPr>
          <w:p w14:paraId="044DEC2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основной</w:t>
            </w:r>
          </w:p>
        </w:tc>
        <w:tc>
          <w:tcPr>
            <w:tcW w:w="1288" w:type="dxa"/>
          </w:tcPr>
          <w:p w14:paraId="3C6A21D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1120,5</w:t>
            </w:r>
          </w:p>
        </w:tc>
      </w:tr>
      <w:tr w:rsidR="00171AA8" w:rsidRPr="00731FE2" w14:paraId="27B5D10B" w14:textId="77777777" w:rsidTr="00EE4EC5">
        <w:tc>
          <w:tcPr>
            <w:tcW w:w="567" w:type="dxa"/>
          </w:tcPr>
          <w:p w14:paraId="0C72200A"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1143D848"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Крайнего</w:t>
            </w:r>
          </w:p>
        </w:tc>
        <w:tc>
          <w:tcPr>
            <w:tcW w:w="2268" w:type="dxa"/>
          </w:tcPr>
          <w:p w14:paraId="72CD01E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Крайнего</w:t>
            </w:r>
          </w:p>
        </w:tc>
        <w:tc>
          <w:tcPr>
            <w:tcW w:w="1843" w:type="dxa"/>
          </w:tcPr>
          <w:p w14:paraId="3DCF845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0,290</w:t>
            </w:r>
          </w:p>
        </w:tc>
        <w:tc>
          <w:tcPr>
            <w:tcW w:w="2693" w:type="dxa"/>
          </w:tcPr>
          <w:p w14:paraId="5D13D94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07-415-ОП-МГ-ЩГ-109</w:t>
            </w:r>
          </w:p>
        </w:tc>
        <w:tc>
          <w:tcPr>
            <w:tcW w:w="3118" w:type="dxa"/>
          </w:tcPr>
          <w:p w14:paraId="5D83B8C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2153D24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1015</w:t>
            </w:r>
          </w:p>
        </w:tc>
      </w:tr>
      <w:tr w:rsidR="00171AA8" w:rsidRPr="00731FE2" w14:paraId="7A268FE4" w14:textId="77777777" w:rsidTr="00EE4EC5">
        <w:tc>
          <w:tcPr>
            <w:tcW w:w="567" w:type="dxa"/>
          </w:tcPr>
          <w:p w14:paraId="05216D24"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6E649EE5"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Красивая</w:t>
            </w:r>
          </w:p>
        </w:tc>
        <w:tc>
          <w:tcPr>
            <w:tcW w:w="2268" w:type="dxa"/>
          </w:tcPr>
          <w:p w14:paraId="2530A67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Красивая</w:t>
            </w:r>
          </w:p>
        </w:tc>
        <w:tc>
          <w:tcPr>
            <w:tcW w:w="1843" w:type="dxa"/>
          </w:tcPr>
          <w:p w14:paraId="566ECCA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1,176</w:t>
            </w:r>
          </w:p>
        </w:tc>
        <w:tc>
          <w:tcPr>
            <w:tcW w:w="2693" w:type="dxa"/>
          </w:tcPr>
          <w:p w14:paraId="73AE80C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07-415-ОП-МГ-А-110</w:t>
            </w:r>
          </w:p>
        </w:tc>
        <w:tc>
          <w:tcPr>
            <w:tcW w:w="3118" w:type="dxa"/>
          </w:tcPr>
          <w:p w14:paraId="088E54A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IV, улица районного значения транспортно-пешеходная</w:t>
            </w:r>
          </w:p>
        </w:tc>
        <w:tc>
          <w:tcPr>
            <w:tcW w:w="1288" w:type="dxa"/>
          </w:tcPr>
          <w:p w14:paraId="5751DA0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11760</w:t>
            </w:r>
          </w:p>
        </w:tc>
      </w:tr>
      <w:tr w:rsidR="00171AA8" w:rsidRPr="00731FE2" w14:paraId="0288299F" w14:textId="77777777" w:rsidTr="00EE4EC5">
        <w:tc>
          <w:tcPr>
            <w:tcW w:w="567" w:type="dxa"/>
          </w:tcPr>
          <w:p w14:paraId="346B0B00"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0991CB81"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Красивый переулок</w:t>
            </w:r>
          </w:p>
        </w:tc>
        <w:tc>
          <w:tcPr>
            <w:tcW w:w="2268" w:type="dxa"/>
          </w:tcPr>
          <w:p w14:paraId="3938D8C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Красивый переулок</w:t>
            </w:r>
          </w:p>
        </w:tc>
        <w:tc>
          <w:tcPr>
            <w:tcW w:w="1843" w:type="dxa"/>
          </w:tcPr>
          <w:p w14:paraId="54E1E82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0,300</w:t>
            </w:r>
          </w:p>
        </w:tc>
        <w:tc>
          <w:tcPr>
            <w:tcW w:w="2693" w:type="dxa"/>
          </w:tcPr>
          <w:p w14:paraId="7993ABB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07-415-ОП-МГ-А/ЩГ-111</w:t>
            </w:r>
          </w:p>
        </w:tc>
        <w:tc>
          <w:tcPr>
            <w:tcW w:w="3118" w:type="dxa"/>
          </w:tcPr>
          <w:p w14:paraId="312F178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76A712C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1050</w:t>
            </w:r>
          </w:p>
        </w:tc>
      </w:tr>
      <w:tr w:rsidR="00171AA8" w:rsidRPr="00731FE2" w14:paraId="4A77FAC7" w14:textId="77777777" w:rsidTr="00EE4EC5">
        <w:tc>
          <w:tcPr>
            <w:tcW w:w="567" w:type="dxa"/>
          </w:tcPr>
          <w:p w14:paraId="3CB17D9F"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002D13D6"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Красноармейская</w:t>
            </w:r>
          </w:p>
        </w:tc>
        <w:tc>
          <w:tcPr>
            <w:tcW w:w="2268" w:type="dxa"/>
          </w:tcPr>
          <w:p w14:paraId="5C5E9F6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Красноармейская</w:t>
            </w:r>
          </w:p>
        </w:tc>
        <w:tc>
          <w:tcPr>
            <w:tcW w:w="1843" w:type="dxa"/>
          </w:tcPr>
          <w:p w14:paraId="3516282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0,325</w:t>
            </w:r>
          </w:p>
        </w:tc>
        <w:tc>
          <w:tcPr>
            <w:tcW w:w="2693" w:type="dxa"/>
          </w:tcPr>
          <w:p w14:paraId="2E0E6FE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07-415-ОП-МГ-А-112</w:t>
            </w:r>
          </w:p>
        </w:tc>
        <w:tc>
          <w:tcPr>
            <w:tcW w:w="3118" w:type="dxa"/>
          </w:tcPr>
          <w:p w14:paraId="7AE8AD3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IV, улица районного значения транспортно-пешеходная</w:t>
            </w:r>
          </w:p>
        </w:tc>
        <w:tc>
          <w:tcPr>
            <w:tcW w:w="1288" w:type="dxa"/>
          </w:tcPr>
          <w:p w14:paraId="4B48FF5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2437,5</w:t>
            </w:r>
          </w:p>
        </w:tc>
      </w:tr>
      <w:tr w:rsidR="00171AA8" w:rsidRPr="00731FE2" w14:paraId="64EC4D9D" w14:textId="77777777" w:rsidTr="00EE4EC5">
        <w:tc>
          <w:tcPr>
            <w:tcW w:w="567" w:type="dxa"/>
          </w:tcPr>
          <w:p w14:paraId="77DC8625"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6213422F"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Красногвардейская</w:t>
            </w:r>
          </w:p>
        </w:tc>
        <w:tc>
          <w:tcPr>
            <w:tcW w:w="2268" w:type="dxa"/>
          </w:tcPr>
          <w:p w14:paraId="17DEF1F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Красногвардейская</w:t>
            </w:r>
          </w:p>
        </w:tc>
        <w:tc>
          <w:tcPr>
            <w:tcW w:w="1843" w:type="dxa"/>
          </w:tcPr>
          <w:p w14:paraId="5EF4A7D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0,562</w:t>
            </w:r>
          </w:p>
        </w:tc>
        <w:tc>
          <w:tcPr>
            <w:tcW w:w="2693" w:type="dxa"/>
          </w:tcPr>
          <w:p w14:paraId="6AD764D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07-415-ОП-МГ-А/ЩГ-113</w:t>
            </w:r>
          </w:p>
        </w:tc>
        <w:tc>
          <w:tcPr>
            <w:tcW w:w="3118" w:type="dxa"/>
          </w:tcPr>
          <w:p w14:paraId="6443F9A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1ECE219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2248</w:t>
            </w:r>
          </w:p>
        </w:tc>
      </w:tr>
      <w:tr w:rsidR="00171AA8" w:rsidRPr="00731FE2" w14:paraId="7208042B" w14:textId="77777777" w:rsidTr="00EE4EC5">
        <w:tc>
          <w:tcPr>
            <w:tcW w:w="567" w:type="dxa"/>
          </w:tcPr>
          <w:p w14:paraId="586A681C"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0528DF7B"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Кремушинская</w:t>
            </w:r>
          </w:p>
        </w:tc>
        <w:tc>
          <w:tcPr>
            <w:tcW w:w="2268" w:type="dxa"/>
          </w:tcPr>
          <w:p w14:paraId="0C1214F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Кремушинская</w:t>
            </w:r>
          </w:p>
        </w:tc>
        <w:tc>
          <w:tcPr>
            <w:tcW w:w="1843" w:type="dxa"/>
          </w:tcPr>
          <w:p w14:paraId="2CBB838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0,254</w:t>
            </w:r>
          </w:p>
        </w:tc>
        <w:tc>
          <w:tcPr>
            <w:tcW w:w="2693" w:type="dxa"/>
          </w:tcPr>
          <w:p w14:paraId="30B0A6A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07-415-ОП-МГ-ЩГ-114</w:t>
            </w:r>
          </w:p>
        </w:tc>
        <w:tc>
          <w:tcPr>
            <w:tcW w:w="3118" w:type="dxa"/>
          </w:tcPr>
          <w:p w14:paraId="03F7519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42026C7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889</w:t>
            </w:r>
          </w:p>
        </w:tc>
      </w:tr>
      <w:tr w:rsidR="00171AA8" w:rsidRPr="00731FE2" w14:paraId="1744412D" w14:textId="77777777" w:rsidTr="00EE4EC5">
        <w:tc>
          <w:tcPr>
            <w:tcW w:w="567" w:type="dxa"/>
          </w:tcPr>
          <w:p w14:paraId="3894D7E3"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412AF974"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Крепостная</w:t>
            </w:r>
          </w:p>
        </w:tc>
        <w:tc>
          <w:tcPr>
            <w:tcW w:w="2268" w:type="dxa"/>
          </w:tcPr>
          <w:p w14:paraId="28B0B6C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Крепостная</w:t>
            </w:r>
          </w:p>
        </w:tc>
        <w:tc>
          <w:tcPr>
            <w:tcW w:w="1843" w:type="dxa"/>
          </w:tcPr>
          <w:p w14:paraId="1E5FB4E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0,501</w:t>
            </w:r>
          </w:p>
        </w:tc>
        <w:tc>
          <w:tcPr>
            <w:tcW w:w="2693" w:type="dxa"/>
          </w:tcPr>
          <w:p w14:paraId="58ABAA8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07-415-ОП-МГ-ЩГ-115</w:t>
            </w:r>
          </w:p>
        </w:tc>
        <w:tc>
          <w:tcPr>
            <w:tcW w:w="3118" w:type="dxa"/>
          </w:tcPr>
          <w:p w14:paraId="4CB9E81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130A900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1753,5</w:t>
            </w:r>
          </w:p>
        </w:tc>
      </w:tr>
      <w:tr w:rsidR="00171AA8" w:rsidRPr="00731FE2" w14:paraId="74B3BEDF" w14:textId="77777777" w:rsidTr="00EE4EC5">
        <w:tc>
          <w:tcPr>
            <w:tcW w:w="567" w:type="dxa"/>
          </w:tcPr>
          <w:p w14:paraId="30850CA7"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7B432A12"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Крепостной переулок</w:t>
            </w:r>
          </w:p>
        </w:tc>
        <w:tc>
          <w:tcPr>
            <w:tcW w:w="2268" w:type="dxa"/>
          </w:tcPr>
          <w:p w14:paraId="5AB1F8B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Крепостной переулок</w:t>
            </w:r>
          </w:p>
        </w:tc>
        <w:tc>
          <w:tcPr>
            <w:tcW w:w="1843" w:type="dxa"/>
          </w:tcPr>
          <w:p w14:paraId="789F47D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0,146</w:t>
            </w:r>
          </w:p>
        </w:tc>
        <w:tc>
          <w:tcPr>
            <w:tcW w:w="2693" w:type="dxa"/>
          </w:tcPr>
          <w:p w14:paraId="1193E84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07-415-ОП-МГ-А-116</w:t>
            </w:r>
          </w:p>
        </w:tc>
        <w:tc>
          <w:tcPr>
            <w:tcW w:w="3118" w:type="dxa"/>
          </w:tcPr>
          <w:p w14:paraId="72420E3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основной</w:t>
            </w:r>
          </w:p>
        </w:tc>
        <w:tc>
          <w:tcPr>
            <w:tcW w:w="1288" w:type="dxa"/>
          </w:tcPr>
          <w:p w14:paraId="6B27E61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1095</w:t>
            </w:r>
          </w:p>
        </w:tc>
      </w:tr>
      <w:tr w:rsidR="00171AA8" w:rsidRPr="00731FE2" w14:paraId="6AEEC887" w14:textId="77777777" w:rsidTr="00EE4EC5">
        <w:tc>
          <w:tcPr>
            <w:tcW w:w="567" w:type="dxa"/>
          </w:tcPr>
          <w:p w14:paraId="2EAE7736"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76201261"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Крестьянский переулок</w:t>
            </w:r>
          </w:p>
        </w:tc>
        <w:tc>
          <w:tcPr>
            <w:tcW w:w="2268" w:type="dxa"/>
          </w:tcPr>
          <w:p w14:paraId="476E032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Крестьянский переулок</w:t>
            </w:r>
          </w:p>
        </w:tc>
        <w:tc>
          <w:tcPr>
            <w:tcW w:w="1843" w:type="dxa"/>
          </w:tcPr>
          <w:p w14:paraId="627CE3E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0,385</w:t>
            </w:r>
          </w:p>
        </w:tc>
        <w:tc>
          <w:tcPr>
            <w:tcW w:w="2693" w:type="dxa"/>
          </w:tcPr>
          <w:p w14:paraId="6C413B1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07-415-ОП-МГ-П/ЩГ-117</w:t>
            </w:r>
          </w:p>
        </w:tc>
        <w:tc>
          <w:tcPr>
            <w:tcW w:w="3118" w:type="dxa"/>
          </w:tcPr>
          <w:p w14:paraId="1D83BC9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61E6B65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1925</w:t>
            </w:r>
          </w:p>
        </w:tc>
      </w:tr>
      <w:tr w:rsidR="00171AA8" w:rsidRPr="00731FE2" w14:paraId="26FD1E4C" w14:textId="77777777" w:rsidTr="00EE4EC5">
        <w:tc>
          <w:tcPr>
            <w:tcW w:w="567" w:type="dxa"/>
          </w:tcPr>
          <w:p w14:paraId="658FCC77"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58A3E0F3"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Крупской</w:t>
            </w:r>
          </w:p>
        </w:tc>
        <w:tc>
          <w:tcPr>
            <w:tcW w:w="2268" w:type="dxa"/>
          </w:tcPr>
          <w:p w14:paraId="21F99D7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Крупской</w:t>
            </w:r>
          </w:p>
        </w:tc>
        <w:tc>
          <w:tcPr>
            <w:tcW w:w="1843" w:type="dxa"/>
          </w:tcPr>
          <w:p w14:paraId="001A101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0,957</w:t>
            </w:r>
          </w:p>
        </w:tc>
        <w:tc>
          <w:tcPr>
            <w:tcW w:w="2693" w:type="dxa"/>
          </w:tcPr>
          <w:p w14:paraId="02E7BE2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07-415-ОП-МГ-А/ЩГ/П/Б-118</w:t>
            </w:r>
          </w:p>
        </w:tc>
        <w:tc>
          <w:tcPr>
            <w:tcW w:w="3118" w:type="dxa"/>
          </w:tcPr>
          <w:p w14:paraId="0F76FE2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основной</w:t>
            </w:r>
          </w:p>
        </w:tc>
        <w:tc>
          <w:tcPr>
            <w:tcW w:w="1288" w:type="dxa"/>
          </w:tcPr>
          <w:p w14:paraId="63008BB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4785</w:t>
            </w:r>
          </w:p>
        </w:tc>
      </w:tr>
      <w:tr w:rsidR="00171AA8" w:rsidRPr="00731FE2" w14:paraId="2975D861" w14:textId="77777777" w:rsidTr="00EE4EC5">
        <w:tc>
          <w:tcPr>
            <w:tcW w:w="567" w:type="dxa"/>
          </w:tcPr>
          <w:p w14:paraId="578022EC"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69C8A55A"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Крутая дорога</w:t>
            </w:r>
          </w:p>
        </w:tc>
        <w:tc>
          <w:tcPr>
            <w:tcW w:w="2268" w:type="dxa"/>
          </w:tcPr>
          <w:p w14:paraId="517C63E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Крутая дорога</w:t>
            </w:r>
          </w:p>
        </w:tc>
        <w:tc>
          <w:tcPr>
            <w:tcW w:w="1843" w:type="dxa"/>
          </w:tcPr>
          <w:p w14:paraId="2C12936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0,420</w:t>
            </w:r>
          </w:p>
        </w:tc>
        <w:tc>
          <w:tcPr>
            <w:tcW w:w="2693" w:type="dxa"/>
          </w:tcPr>
          <w:p w14:paraId="5FAEA10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07-415-ОП-МГ-А/ЩГ-119</w:t>
            </w:r>
          </w:p>
        </w:tc>
        <w:tc>
          <w:tcPr>
            <w:tcW w:w="3118" w:type="dxa"/>
          </w:tcPr>
          <w:p w14:paraId="4963662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0551AD6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1470</w:t>
            </w:r>
          </w:p>
        </w:tc>
      </w:tr>
      <w:tr w:rsidR="00171AA8" w:rsidRPr="00731FE2" w14:paraId="3F62EB46" w14:textId="77777777" w:rsidTr="00EE4EC5">
        <w:tc>
          <w:tcPr>
            <w:tcW w:w="567" w:type="dxa"/>
          </w:tcPr>
          <w:p w14:paraId="28FACF2A"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38EA5480"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Крылова</w:t>
            </w:r>
          </w:p>
        </w:tc>
        <w:tc>
          <w:tcPr>
            <w:tcW w:w="2268" w:type="dxa"/>
          </w:tcPr>
          <w:p w14:paraId="10B88EF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Крылова</w:t>
            </w:r>
          </w:p>
        </w:tc>
        <w:tc>
          <w:tcPr>
            <w:tcW w:w="1843" w:type="dxa"/>
          </w:tcPr>
          <w:p w14:paraId="135152C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0,570</w:t>
            </w:r>
          </w:p>
        </w:tc>
        <w:tc>
          <w:tcPr>
            <w:tcW w:w="2693" w:type="dxa"/>
          </w:tcPr>
          <w:p w14:paraId="31E0725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07-415-ОП-МГ-А/ЩГ-120</w:t>
            </w:r>
          </w:p>
        </w:tc>
        <w:tc>
          <w:tcPr>
            <w:tcW w:w="3118" w:type="dxa"/>
          </w:tcPr>
          <w:p w14:paraId="0A8FE86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основной</w:t>
            </w:r>
          </w:p>
        </w:tc>
        <w:tc>
          <w:tcPr>
            <w:tcW w:w="1288" w:type="dxa"/>
          </w:tcPr>
          <w:p w14:paraId="4DD354A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3420</w:t>
            </w:r>
          </w:p>
        </w:tc>
      </w:tr>
      <w:tr w:rsidR="00171AA8" w:rsidRPr="00731FE2" w14:paraId="5C68454B" w14:textId="77777777" w:rsidTr="00EE4EC5">
        <w:tc>
          <w:tcPr>
            <w:tcW w:w="567" w:type="dxa"/>
          </w:tcPr>
          <w:p w14:paraId="50E8B226"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0A072DDB"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Ксении Ге</w:t>
            </w:r>
          </w:p>
        </w:tc>
        <w:tc>
          <w:tcPr>
            <w:tcW w:w="2268" w:type="dxa"/>
          </w:tcPr>
          <w:p w14:paraId="5076DA1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Ксении Ге</w:t>
            </w:r>
          </w:p>
        </w:tc>
        <w:tc>
          <w:tcPr>
            <w:tcW w:w="1843" w:type="dxa"/>
          </w:tcPr>
          <w:p w14:paraId="7A9877C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0,410</w:t>
            </w:r>
          </w:p>
        </w:tc>
        <w:tc>
          <w:tcPr>
            <w:tcW w:w="2693" w:type="dxa"/>
          </w:tcPr>
          <w:p w14:paraId="46389AB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07-415-ОП-МГ-А-121</w:t>
            </w:r>
          </w:p>
        </w:tc>
        <w:tc>
          <w:tcPr>
            <w:tcW w:w="3118" w:type="dxa"/>
          </w:tcPr>
          <w:p w14:paraId="0494FF0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IV, улица местного значения в жилой застройке</w:t>
            </w:r>
          </w:p>
        </w:tc>
        <w:tc>
          <w:tcPr>
            <w:tcW w:w="1288" w:type="dxa"/>
          </w:tcPr>
          <w:p w14:paraId="63089C7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3280</w:t>
            </w:r>
          </w:p>
        </w:tc>
      </w:tr>
      <w:tr w:rsidR="00171AA8" w:rsidRPr="00731FE2" w14:paraId="158246C3" w14:textId="77777777" w:rsidTr="00EE4EC5">
        <w:tc>
          <w:tcPr>
            <w:tcW w:w="567" w:type="dxa"/>
          </w:tcPr>
          <w:p w14:paraId="27373EF1"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0D765E39"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Кубанская</w:t>
            </w:r>
          </w:p>
        </w:tc>
        <w:tc>
          <w:tcPr>
            <w:tcW w:w="2268" w:type="dxa"/>
          </w:tcPr>
          <w:p w14:paraId="11096CC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Кубанская</w:t>
            </w:r>
          </w:p>
        </w:tc>
        <w:tc>
          <w:tcPr>
            <w:tcW w:w="1843" w:type="dxa"/>
          </w:tcPr>
          <w:p w14:paraId="319FC1E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0,524</w:t>
            </w:r>
          </w:p>
        </w:tc>
        <w:tc>
          <w:tcPr>
            <w:tcW w:w="2693" w:type="dxa"/>
          </w:tcPr>
          <w:p w14:paraId="58DD7A3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07-415-ОП-МГ-А/ЩГ-122</w:t>
            </w:r>
          </w:p>
        </w:tc>
        <w:tc>
          <w:tcPr>
            <w:tcW w:w="3118" w:type="dxa"/>
          </w:tcPr>
          <w:p w14:paraId="43A5EFD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4FEEC18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1834</w:t>
            </w:r>
          </w:p>
        </w:tc>
      </w:tr>
      <w:tr w:rsidR="00171AA8" w:rsidRPr="00731FE2" w14:paraId="47C19094" w14:textId="77777777" w:rsidTr="00EE4EC5">
        <w:tc>
          <w:tcPr>
            <w:tcW w:w="567" w:type="dxa"/>
          </w:tcPr>
          <w:p w14:paraId="41E15299"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7C2A946A"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Куйбышева</w:t>
            </w:r>
          </w:p>
        </w:tc>
        <w:tc>
          <w:tcPr>
            <w:tcW w:w="2268" w:type="dxa"/>
          </w:tcPr>
          <w:p w14:paraId="088CA8B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Куйбышева</w:t>
            </w:r>
          </w:p>
        </w:tc>
        <w:tc>
          <w:tcPr>
            <w:tcW w:w="1843" w:type="dxa"/>
          </w:tcPr>
          <w:p w14:paraId="1732027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1,490</w:t>
            </w:r>
          </w:p>
        </w:tc>
        <w:tc>
          <w:tcPr>
            <w:tcW w:w="2693" w:type="dxa"/>
          </w:tcPr>
          <w:p w14:paraId="7494BA8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07-415-ОП-МГ-А-123</w:t>
            </w:r>
          </w:p>
        </w:tc>
        <w:tc>
          <w:tcPr>
            <w:tcW w:w="3118" w:type="dxa"/>
          </w:tcPr>
          <w:p w14:paraId="08C5F66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IV, улица районного значения транспортно-пешеходная</w:t>
            </w:r>
          </w:p>
        </w:tc>
        <w:tc>
          <w:tcPr>
            <w:tcW w:w="1288" w:type="dxa"/>
          </w:tcPr>
          <w:p w14:paraId="2D8AFAB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13410</w:t>
            </w:r>
          </w:p>
        </w:tc>
      </w:tr>
      <w:tr w:rsidR="00171AA8" w:rsidRPr="00731FE2" w14:paraId="1BEEF983" w14:textId="77777777" w:rsidTr="00EE4EC5">
        <w:tc>
          <w:tcPr>
            <w:tcW w:w="567" w:type="dxa"/>
          </w:tcPr>
          <w:p w14:paraId="67D463E4"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5A0911C5"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Куйбышева переулок</w:t>
            </w:r>
          </w:p>
        </w:tc>
        <w:tc>
          <w:tcPr>
            <w:tcW w:w="2268" w:type="dxa"/>
          </w:tcPr>
          <w:p w14:paraId="28FB9AA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Куйбышева переулок</w:t>
            </w:r>
          </w:p>
        </w:tc>
        <w:tc>
          <w:tcPr>
            <w:tcW w:w="1843" w:type="dxa"/>
          </w:tcPr>
          <w:p w14:paraId="57686AE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0,121</w:t>
            </w:r>
          </w:p>
        </w:tc>
        <w:tc>
          <w:tcPr>
            <w:tcW w:w="2693" w:type="dxa"/>
          </w:tcPr>
          <w:p w14:paraId="5BD929C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07-415-ОП-МГ-ЩГ-124</w:t>
            </w:r>
          </w:p>
        </w:tc>
        <w:tc>
          <w:tcPr>
            <w:tcW w:w="3118" w:type="dxa"/>
          </w:tcPr>
          <w:p w14:paraId="3523C02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378F9FB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484</w:t>
            </w:r>
          </w:p>
        </w:tc>
      </w:tr>
      <w:tr w:rsidR="00171AA8" w:rsidRPr="00731FE2" w14:paraId="462D69A7" w14:textId="77777777" w:rsidTr="00EE4EC5">
        <w:tc>
          <w:tcPr>
            <w:tcW w:w="567" w:type="dxa"/>
          </w:tcPr>
          <w:p w14:paraId="39E6DBC0"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68892153"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Курганная</w:t>
            </w:r>
          </w:p>
        </w:tc>
        <w:tc>
          <w:tcPr>
            <w:tcW w:w="2268" w:type="dxa"/>
          </w:tcPr>
          <w:p w14:paraId="6FD05F6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Курганная</w:t>
            </w:r>
          </w:p>
        </w:tc>
        <w:tc>
          <w:tcPr>
            <w:tcW w:w="1843" w:type="dxa"/>
          </w:tcPr>
          <w:p w14:paraId="27E965C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1,086</w:t>
            </w:r>
          </w:p>
        </w:tc>
        <w:tc>
          <w:tcPr>
            <w:tcW w:w="2693" w:type="dxa"/>
          </w:tcPr>
          <w:p w14:paraId="3FF2A8A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07-415-ОП-МГ-А-125</w:t>
            </w:r>
          </w:p>
        </w:tc>
        <w:tc>
          <w:tcPr>
            <w:tcW w:w="3118" w:type="dxa"/>
          </w:tcPr>
          <w:p w14:paraId="5B3D30A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основной</w:t>
            </w:r>
          </w:p>
        </w:tc>
        <w:tc>
          <w:tcPr>
            <w:tcW w:w="1288" w:type="dxa"/>
          </w:tcPr>
          <w:p w14:paraId="5580B85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9774</w:t>
            </w:r>
          </w:p>
        </w:tc>
      </w:tr>
      <w:tr w:rsidR="00171AA8" w:rsidRPr="00731FE2" w14:paraId="78F0491C" w14:textId="77777777" w:rsidTr="00EE4EC5">
        <w:tc>
          <w:tcPr>
            <w:tcW w:w="567" w:type="dxa"/>
          </w:tcPr>
          <w:p w14:paraId="573B0967"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0EE4972D"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Курортный бульвар</w:t>
            </w:r>
          </w:p>
        </w:tc>
        <w:tc>
          <w:tcPr>
            <w:tcW w:w="2268" w:type="dxa"/>
          </w:tcPr>
          <w:p w14:paraId="72885C4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Курортный бульвар</w:t>
            </w:r>
          </w:p>
        </w:tc>
        <w:tc>
          <w:tcPr>
            <w:tcW w:w="1843" w:type="dxa"/>
          </w:tcPr>
          <w:p w14:paraId="744831A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0,757</w:t>
            </w:r>
          </w:p>
        </w:tc>
        <w:tc>
          <w:tcPr>
            <w:tcW w:w="2693" w:type="dxa"/>
          </w:tcPr>
          <w:p w14:paraId="10A6DB0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07-415-ОП-МГ-Тр-126</w:t>
            </w:r>
          </w:p>
        </w:tc>
        <w:tc>
          <w:tcPr>
            <w:tcW w:w="3118" w:type="dxa"/>
          </w:tcPr>
          <w:p w14:paraId="6C2D1D9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IV, парковая дорога</w:t>
            </w:r>
          </w:p>
        </w:tc>
        <w:tc>
          <w:tcPr>
            <w:tcW w:w="1288" w:type="dxa"/>
          </w:tcPr>
          <w:p w14:paraId="19D419D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11355</w:t>
            </w:r>
          </w:p>
        </w:tc>
      </w:tr>
      <w:tr w:rsidR="00171AA8" w:rsidRPr="00731FE2" w14:paraId="51B446E3" w14:textId="77777777" w:rsidTr="00EE4EC5">
        <w:tc>
          <w:tcPr>
            <w:tcW w:w="567" w:type="dxa"/>
          </w:tcPr>
          <w:p w14:paraId="3531A89D"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4D1E692C"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Кутузова</w:t>
            </w:r>
          </w:p>
        </w:tc>
        <w:tc>
          <w:tcPr>
            <w:tcW w:w="2268" w:type="dxa"/>
          </w:tcPr>
          <w:p w14:paraId="22B5AA8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Кутузова</w:t>
            </w:r>
          </w:p>
        </w:tc>
        <w:tc>
          <w:tcPr>
            <w:tcW w:w="1843" w:type="dxa"/>
          </w:tcPr>
          <w:p w14:paraId="2E5BEC5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2,551</w:t>
            </w:r>
          </w:p>
        </w:tc>
        <w:tc>
          <w:tcPr>
            <w:tcW w:w="2693" w:type="dxa"/>
          </w:tcPr>
          <w:p w14:paraId="178588C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07-415-ОП-МГ-А/ЩГ-127</w:t>
            </w:r>
          </w:p>
        </w:tc>
        <w:tc>
          <w:tcPr>
            <w:tcW w:w="3118" w:type="dxa"/>
          </w:tcPr>
          <w:p w14:paraId="78DD6B0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от 0 до 350 м- V, проезд второстепенный; от 431 до 2216- V, улица местного значения в жилой застройке</w:t>
            </w:r>
          </w:p>
        </w:tc>
        <w:tc>
          <w:tcPr>
            <w:tcW w:w="1288" w:type="dxa"/>
          </w:tcPr>
          <w:p w14:paraId="6160980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15306</w:t>
            </w:r>
          </w:p>
        </w:tc>
      </w:tr>
      <w:tr w:rsidR="00171AA8" w:rsidRPr="00731FE2" w14:paraId="5D01ED80" w14:textId="77777777" w:rsidTr="00EE4EC5">
        <w:tc>
          <w:tcPr>
            <w:tcW w:w="567" w:type="dxa"/>
          </w:tcPr>
          <w:p w14:paraId="0C105B38"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6A882445"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Лазо</w:t>
            </w:r>
          </w:p>
        </w:tc>
        <w:tc>
          <w:tcPr>
            <w:tcW w:w="2268" w:type="dxa"/>
          </w:tcPr>
          <w:p w14:paraId="03E45C5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Лазо</w:t>
            </w:r>
          </w:p>
        </w:tc>
        <w:tc>
          <w:tcPr>
            <w:tcW w:w="1843" w:type="dxa"/>
          </w:tcPr>
          <w:p w14:paraId="6AB8017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0,241</w:t>
            </w:r>
          </w:p>
        </w:tc>
        <w:tc>
          <w:tcPr>
            <w:tcW w:w="2693" w:type="dxa"/>
          </w:tcPr>
          <w:p w14:paraId="301D66C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07-415-ОП-МГ-А-128</w:t>
            </w:r>
          </w:p>
        </w:tc>
        <w:tc>
          <w:tcPr>
            <w:tcW w:w="3118" w:type="dxa"/>
          </w:tcPr>
          <w:p w14:paraId="72FDE39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11113A9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1084,5</w:t>
            </w:r>
          </w:p>
        </w:tc>
      </w:tr>
      <w:tr w:rsidR="00171AA8" w:rsidRPr="00731FE2" w14:paraId="2774332B" w14:textId="77777777" w:rsidTr="00EE4EC5">
        <w:tc>
          <w:tcPr>
            <w:tcW w:w="567" w:type="dxa"/>
          </w:tcPr>
          <w:p w14:paraId="2E013340"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7F17D95D"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Леваневского</w:t>
            </w:r>
          </w:p>
        </w:tc>
        <w:tc>
          <w:tcPr>
            <w:tcW w:w="2268" w:type="dxa"/>
          </w:tcPr>
          <w:p w14:paraId="50FAD10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Леваневского</w:t>
            </w:r>
          </w:p>
        </w:tc>
        <w:tc>
          <w:tcPr>
            <w:tcW w:w="1843" w:type="dxa"/>
          </w:tcPr>
          <w:p w14:paraId="4132BAC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0,125</w:t>
            </w:r>
          </w:p>
        </w:tc>
        <w:tc>
          <w:tcPr>
            <w:tcW w:w="2693" w:type="dxa"/>
          </w:tcPr>
          <w:p w14:paraId="523398E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07-415-ОП-МГ-А-129</w:t>
            </w:r>
          </w:p>
        </w:tc>
        <w:tc>
          <w:tcPr>
            <w:tcW w:w="3118" w:type="dxa"/>
          </w:tcPr>
          <w:p w14:paraId="207E2D3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23985EA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437,5</w:t>
            </w:r>
          </w:p>
        </w:tc>
      </w:tr>
      <w:tr w:rsidR="00171AA8" w:rsidRPr="00731FE2" w14:paraId="5CF98BB0" w14:textId="77777777" w:rsidTr="00EE4EC5">
        <w:tc>
          <w:tcPr>
            <w:tcW w:w="567" w:type="dxa"/>
          </w:tcPr>
          <w:p w14:paraId="2FDBADD2"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19A829C8"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Ленина проспект</w:t>
            </w:r>
          </w:p>
        </w:tc>
        <w:tc>
          <w:tcPr>
            <w:tcW w:w="2268" w:type="dxa"/>
          </w:tcPr>
          <w:p w14:paraId="6357A4F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Ленина проспект</w:t>
            </w:r>
          </w:p>
        </w:tc>
        <w:tc>
          <w:tcPr>
            <w:tcW w:w="1843" w:type="dxa"/>
          </w:tcPr>
          <w:p w14:paraId="346154C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1,298</w:t>
            </w:r>
          </w:p>
        </w:tc>
        <w:tc>
          <w:tcPr>
            <w:tcW w:w="2693" w:type="dxa"/>
          </w:tcPr>
          <w:p w14:paraId="14FD379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07-415-ОП-МГ-А-130</w:t>
            </w:r>
          </w:p>
        </w:tc>
        <w:tc>
          <w:tcPr>
            <w:tcW w:w="3118" w:type="dxa"/>
          </w:tcPr>
          <w:p w14:paraId="514AA6F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IV, улица местного значения в жилой застройке</w:t>
            </w:r>
          </w:p>
        </w:tc>
        <w:tc>
          <w:tcPr>
            <w:tcW w:w="1288" w:type="dxa"/>
          </w:tcPr>
          <w:p w14:paraId="37F56A3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14278</w:t>
            </w:r>
          </w:p>
        </w:tc>
      </w:tr>
      <w:tr w:rsidR="00171AA8" w:rsidRPr="00731FE2" w14:paraId="7A3CF9D4" w14:textId="77777777" w:rsidTr="00EE4EC5">
        <w:tc>
          <w:tcPr>
            <w:tcW w:w="567" w:type="dxa"/>
          </w:tcPr>
          <w:p w14:paraId="6C70BD7F"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3C2293D1"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Ленинградская</w:t>
            </w:r>
          </w:p>
        </w:tc>
        <w:tc>
          <w:tcPr>
            <w:tcW w:w="2268" w:type="dxa"/>
          </w:tcPr>
          <w:p w14:paraId="158D9B4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Ленинградская</w:t>
            </w:r>
          </w:p>
        </w:tc>
        <w:tc>
          <w:tcPr>
            <w:tcW w:w="1843" w:type="dxa"/>
          </w:tcPr>
          <w:p w14:paraId="748BEC2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1,200</w:t>
            </w:r>
          </w:p>
        </w:tc>
        <w:tc>
          <w:tcPr>
            <w:tcW w:w="2693" w:type="dxa"/>
          </w:tcPr>
          <w:p w14:paraId="36EEA44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07-415-ОП-МГ-А-131</w:t>
            </w:r>
          </w:p>
        </w:tc>
        <w:tc>
          <w:tcPr>
            <w:tcW w:w="3118" w:type="dxa"/>
          </w:tcPr>
          <w:p w14:paraId="7C21F09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IV, улица районного значения транспортно-пешеходная</w:t>
            </w:r>
          </w:p>
        </w:tc>
        <w:tc>
          <w:tcPr>
            <w:tcW w:w="1288" w:type="dxa"/>
          </w:tcPr>
          <w:p w14:paraId="3D18C4A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8400</w:t>
            </w:r>
          </w:p>
        </w:tc>
      </w:tr>
      <w:tr w:rsidR="00171AA8" w:rsidRPr="00731FE2" w14:paraId="4BEE4A77" w14:textId="77777777" w:rsidTr="00EE4EC5">
        <w:tc>
          <w:tcPr>
            <w:tcW w:w="567" w:type="dxa"/>
          </w:tcPr>
          <w:p w14:paraId="10493EF1"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65006004"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Лермонтова</w:t>
            </w:r>
          </w:p>
        </w:tc>
        <w:tc>
          <w:tcPr>
            <w:tcW w:w="2268" w:type="dxa"/>
          </w:tcPr>
          <w:p w14:paraId="5A7069B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Лермонтова</w:t>
            </w:r>
          </w:p>
        </w:tc>
        <w:tc>
          <w:tcPr>
            <w:tcW w:w="1843" w:type="dxa"/>
          </w:tcPr>
          <w:p w14:paraId="2593AF4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0,485</w:t>
            </w:r>
          </w:p>
        </w:tc>
        <w:tc>
          <w:tcPr>
            <w:tcW w:w="2693" w:type="dxa"/>
          </w:tcPr>
          <w:p w14:paraId="2DB6FF1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07-415-ОП-МГ-А-132</w:t>
            </w:r>
          </w:p>
        </w:tc>
        <w:tc>
          <w:tcPr>
            <w:tcW w:w="3118" w:type="dxa"/>
          </w:tcPr>
          <w:p w14:paraId="606420B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IV, проезд основной</w:t>
            </w:r>
          </w:p>
        </w:tc>
        <w:tc>
          <w:tcPr>
            <w:tcW w:w="1288" w:type="dxa"/>
          </w:tcPr>
          <w:p w14:paraId="7C47074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3880</w:t>
            </w:r>
          </w:p>
        </w:tc>
      </w:tr>
      <w:tr w:rsidR="00171AA8" w:rsidRPr="00731FE2" w14:paraId="7D7F30B8" w14:textId="77777777" w:rsidTr="00EE4EC5">
        <w:tc>
          <w:tcPr>
            <w:tcW w:w="567" w:type="dxa"/>
          </w:tcPr>
          <w:p w14:paraId="0FAB88D5"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42ACFF70"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Линейная</w:t>
            </w:r>
          </w:p>
        </w:tc>
        <w:tc>
          <w:tcPr>
            <w:tcW w:w="2268" w:type="dxa"/>
          </w:tcPr>
          <w:p w14:paraId="01D03E0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Линейная</w:t>
            </w:r>
          </w:p>
        </w:tc>
        <w:tc>
          <w:tcPr>
            <w:tcW w:w="1843" w:type="dxa"/>
          </w:tcPr>
          <w:p w14:paraId="2CE8AAA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0,959</w:t>
            </w:r>
          </w:p>
        </w:tc>
        <w:tc>
          <w:tcPr>
            <w:tcW w:w="2693" w:type="dxa"/>
          </w:tcPr>
          <w:p w14:paraId="74E771C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07-415-ОП-МГ-А/ЩГ-133</w:t>
            </w:r>
          </w:p>
        </w:tc>
        <w:tc>
          <w:tcPr>
            <w:tcW w:w="3118" w:type="dxa"/>
          </w:tcPr>
          <w:p w14:paraId="6E05D1F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основной</w:t>
            </w:r>
          </w:p>
        </w:tc>
        <w:tc>
          <w:tcPr>
            <w:tcW w:w="1288" w:type="dxa"/>
          </w:tcPr>
          <w:p w14:paraId="7054BA6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4795</w:t>
            </w:r>
          </w:p>
        </w:tc>
      </w:tr>
      <w:tr w:rsidR="00171AA8" w:rsidRPr="00731FE2" w14:paraId="209EBA27" w14:textId="77777777" w:rsidTr="00EE4EC5">
        <w:tc>
          <w:tcPr>
            <w:tcW w:w="567" w:type="dxa"/>
          </w:tcPr>
          <w:p w14:paraId="137CEB12"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3A52DE7E"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Ломоносова</w:t>
            </w:r>
          </w:p>
        </w:tc>
        <w:tc>
          <w:tcPr>
            <w:tcW w:w="2268" w:type="dxa"/>
          </w:tcPr>
          <w:p w14:paraId="182E502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Ломоносова</w:t>
            </w:r>
          </w:p>
        </w:tc>
        <w:tc>
          <w:tcPr>
            <w:tcW w:w="1843" w:type="dxa"/>
          </w:tcPr>
          <w:p w14:paraId="43C5D3D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1,130</w:t>
            </w:r>
          </w:p>
        </w:tc>
        <w:tc>
          <w:tcPr>
            <w:tcW w:w="2693" w:type="dxa"/>
          </w:tcPr>
          <w:p w14:paraId="175CB99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07-415-ОП-МГ-А/ЩГ-134</w:t>
            </w:r>
          </w:p>
        </w:tc>
        <w:tc>
          <w:tcPr>
            <w:tcW w:w="3118" w:type="dxa"/>
          </w:tcPr>
          <w:p w14:paraId="5B49CC6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основной</w:t>
            </w:r>
          </w:p>
        </w:tc>
        <w:tc>
          <w:tcPr>
            <w:tcW w:w="1288" w:type="dxa"/>
          </w:tcPr>
          <w:p w14:paraId="393425E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5650</w:t>
            </w:r>
          </w:p>
        </w:tc>
      </w:tr>
      <w:tr w:rsidR="00171AA8" w:rsidRPr="00731FE2" w14:paraId="3E1A8055" w14:textId="77777777" w:rsidTr="00EE4EC5">
        <w:tc>
          <w:tcPr>
            <w:tcW w:w="567" w:type="dxa"/>
          </w:tcPr>
          <w:p w14:paraId="04583C98"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48193F34"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Луначарского</w:t>
            </w:r>
          </w:p>
        </w:tc>
        <w:tc>
          <w:tcPr>
            <w:tcW w:w="2268" w:type="dxa"/>
          </w:tcPr>
          <w:p w14:paraId="0B9A794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Луначарского</w:t>
            </w:r>
          </w:p>
        </w:tc>
        <w:tc>
          <w:tcPr>
            <w:tcW w:w="1843" w:type="dxa"/>
          </w:tcPr>
          <w:p w14:paraId="402B1B9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0,636</w:t>
            </w:r>
          </w:p>
        </w:tc>
        <w:tc>
          <w:tcPr>
            <w:tcW w:w="2693" w:type="dxa"/>
          </w:tcPr>
          <w:p w14:paraId="50CD58C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07-415-ОП-МГ-А/ЩГ-135</w:t>
            </w:r>
          </w:p>
        </w:tc>
        <w:tc>
          <w:tcPr>
            <w:tcW w:w="3118" w:type="dxa"/>
          </w:tcPr>
          <w:p w14:paraId="70D4831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23B6FD2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2226</w:t>
            </w:r>
          </w:p>
        </w:tc>
      </w:tr>
      <w:tr w:rsidR="00171AA8" w:rsidRPr="00731FE2" w14:paraId="301260A8" w14:textId="77777777" w:rsidTr="00EE4EC5">
        <w:tc>
          <w:tcPr>
            <w:tcW w:w="567" w:type="dxa"/>
          </w:tcPr>
          <w:p w14:paraId="19BA1B71"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13BB7A5F"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Майский переулок</w:t>
            </w:r>
          </w:p>
        </w:tc>
        <w:tc>
          <w:tcPr>
            <w:tcW w:w="2268" w:type="dxa"/>
          </w:tcPr>
          <w:p w14:paraId="1A524A7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Майский переулок</w:t>
            </w:r>
          </w:p>
        </w:tc>
        <w:tc>
          <w:tcPr>
            <w:tcW w:w="1843" w:type="dxa"/>
          </w:tcPr>
          <w:p w14:paraId="61FF29F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0,086</w:t>
            </w:r>
          </w:p>
        </w:tc>
        <w:tc>
          <w:tcPr>
            <w:tcW w:w="2693" w:type="dxa"/>
          </w:tcPr>
          <w:p w14:paraId="14F9E32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07-415-ОП-МГ-А-136</w:t>
            </w:r>
          </w:p>
        </w:tc>
        <w:tc>
          <w:tcPr>
            <w:tcW w:w="3118" w:type="dxa"/>
          </w:tcPr>
          <w:p w14:paraId="518C947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192809F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344</w:t>
            </w:r>
          </w:p>
        </w:tc>
      </w:tr>
      <w:tr w:rsidR="00171AA8" w:rsidRPr="00731FE2" w14:paraId="36DD9577" w14:textId="77777777" w:rsidTr="00EE4EC5">
        <w:tc>
          <w:tcPr>
            <w:tcW w:w="567" w:type="dxa"/>
          </w:tcPr>
          <w:p w14:paraId="4C12DB68"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0A77FE79"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Марии Расковой</w:t>
            </w:r>
          </w:p>
        </w:tc>
        <w:tc>
          <w:tcPr>
            <w:tcW w:w="2268" w:type="dxa"/>
          </w:tcPr>
          <w:p w14:paraId="386A2BB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Марии Расковой</w:t>
            </w:r>
          </w:p>
        </w:tc>
        <w:tc>
          <w:tcPr>
            <w:tcW w:w="1843" w:type="dxa"/>
          </w:tcPr>
          <w:p w14:paraId="5C1B06E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0,535</w:t>
            </w:r>
          </w:p>
        </w:tc>
        <w:tc>
          <w:tcPr>
            <w:tcW w:w="2693" w:type="dxa"/>
          </w:tcPr>
          <w:p w14:paraId="13E5CC4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07-415-ОП-МГ-А/ЩГ-137</w:t>
            </w:r>
          </w:p>
        </w:tc>
        <w:tc>
          <w:tcPr>
            <w:tcW w:w="3118" w:type="dxa"/>
          </w:tcPr>
          <w:p w14:paraId="71DB78C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основной</w:t>
            </w:r>
          </w:p>
        </w:tc>
        <w:tc>
          <w:tcPr>
            <w:tcW w:w="1288" w:type="dxa"/>
          </w:tcPr>
          <w:p w14:paraId="0BB4EC6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2675</w:t>
            </w:r>
          </w:p>
        </w:tc>
      </w:tr>
      <w:tr w:rsidR="00171AA8" w:rsidRPr="00731FE2" w14:paraId="6108BB8D" w14:textId="77777777" w:rsidTr="00EE4EC5">
        <w:tc>
          <w:tcPr>
            <w:tcW w:w="567" w:type="dxa"/>
          </w:tcPr>
          <w:p w14:paraId="6DBBC79A"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57E542D3"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Мартовский переулок</w:t>
            </w:r>
          </w:p>
        </w:tc>
        <w:tc>
          <w:tcPr>
            <w:tcW w:w="2268" w:type="dxa"/>
          </w:tcPr>
          <w:p w14:paraId="1141777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Мартовский переулок</w:t>
            </w:r>
          </w:p>
        </w:tc>
        <w:tc>
          <w:tcPr>
            <w:tcW w:w="1843" w:type="dxa"/>
          </w:tcPr>
          <w:p w14:paraId="178FD4E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0,494</w:t>
            </w:r>
          </w:p>
        </w:tc>
        <w:tc>
          <w:tcPr>
            <w:tcW w:w="2693" w:type="dxa"/>
          </w:tcPr>
          <w:p w14:paraId="03E7C49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07-415-ОП-МГ-А-138</w:t>
            </w:r>
          </w:p>
        </w:tc>
        <w:tc>
          <w:tcPr>
            <w:tcW w:w="3118" w:type="dxa"/>
          </w:tcPr>
          <w:p w14:paraId="6D6D957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200AFFE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1976</w:t>
            </w:r>
          </w:p>
        </w:tc>
      </w:tr>
      <w:tr w:rsidR="00171AA8" w:rsidRPr="00731FE2" w14:paraId="50E7AE1C" w14:textId="77777777" w:rsidTr="00EE4EC5">
        <w:tc>
          <w:tcPr>
            <w:tcW w:w="567" w:type="dxa"/>
          </w:tcPr>
          <w:p w14:paraId="2710009E"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2BF4728F"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Марцинкевича</w:t>
            </w:r>
          </w:p>
        </w:tc>
        <w:tc>
          <w:tcPr>
            <w:tcW w:w="2268" w:type="dxa"/>
          </w:tcPr>
          <w:p w14:paraId="5BDBA48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Марцинкевича</w:t>
            </w:r>
          </w:p>
        </w:tc>
        <w:tc>
          <w:tcPr>
            <w:tcW w:w="1843" w:type="dxa"/>
          </w:tcPr>
          <w:p w14:paraId="14439AF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1,450</w:t>
            </w:r>
          </w:p>
        </w:tc>
        <w:tc>
          <w:tcPr>
            <w:tcW w:w="2693" w:type="dxa"/>
          </w:tcPr>
          <w:p w14:paraId="009C0FD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07-415-ОП-МГ-А/ЩГ-139</w:t>
            </w:r>
          </w:p>
        </w:tc>
        <w:tc>
          <w:tcPr>
            <w:tcW w:w="3118" w:type="dxa"/>
          </w:tcPr>
          <w:p w14:paraId="7E1810A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от 0 до 265 м- V, проезд основной; от 265 до 1472 IV, улица районного значения транспортно-пешеходная</w:t>
            </w:r>
          </w:p>
        </w:tc>
        <w:tc>
          <w:tcPr>
            <w:tcW w:w="1288" w:type="dxa"/>
          </w:tcPr>
          <w:p w14:paraId="7C43D24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7250</w:t>
            </w:r>
          </w:p>
        </w:tc>
      </w:tr>
      <w:tr w:rsidR="00171AA8" w:rsidRPr="00731FE2" w14:paraId="1439EF5B" w14:textId="77777777" w:rsidTr="00EE4EC5">
        <w:tc>
          <w:tcPr>
            <w:tcW w:w="567" w:type="dxa"/>
          </w:tcPr>
          <w:p w14:paraId="630F55CA"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5E5B1C9E"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Матросова</w:t>
            </w:r>
          </w:p>
        </w:tc>
        <w:tc>
          <w:tcPr>
            <w:tcW w:w="2268" w:type="dxa"/>
          </w:tcPr>
          <w:p w14:paraId="6865CB5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Матросова</w:t>
            </w:r>
          </w:p>
        </w:tc>
        <w:tc>
          <w:tcPr>
            <w:tcW w:w="1843" w:type="dxa"/>
          </w:tcPr>
          <w:p w14:paraId="2437933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0,551</w:t>
            </w:r>
          </w:p>
        </w:tc>
        <w:tc>
          <w:tcPr>
            <w:tcW w:w="2693" w:type="dxa"/>
          </w:tcPr>
          <w:p w14:paraId="0316819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07-415-ОП-МГ-А/ЩГ/П-140</w:t>
            </w:r>
          </w:p>
        </w:tc>
        <w:tc>
          <w:tcPr>
            <w:tcW w:w="3118" w:type="dxa"/>
          </w:tcPr>
          <w:p w14:paraId="1175451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основной</w:t>
            </w:r>
          </w:p>
        </w:tc>
        <w:tc>
          <w:tcPr>
            <w:tcW w:w="1288" w:type="dxa"/>
          </w:tcPr>
          <w:p w14:paraId="5AE8135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1928,5</w:t>
            </w:r>
          </w:p>
        </w:tc>
      </w:tr>
      <w:tr w:rsidR="00171AA8" w:rsidRPr="00731FE2" w14:paraId="2C658D45" w14:textId="77777777" w:rsidTr="00EE4EC5">
        <w:tc>
          <w:tcPr>
            <w:tcW w:w="567" w:type="dxa"/>
          </w:tcPr>
          <w:p w14:paraId="0DA0433D"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58403215"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Маяковского</w:t>
            </w:r>
          </w:p>
        </w:tc>
        <w:tc>
          <w:tcPr>
            <w:tcW w:w="2268" w:type="dxa"/>
          </w:tcPr>
          <w:p w14:paraId="31CE2EF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Маяковского</w:t>
            </w:r>
          </w:p>
        </w:tc>
        <w:tc>
          <w:tcPr>
            <w:tcW w:w="1843" w:type="dxa"/>
          </w:tcPr>
          <w:p w14:paraId="4DEB88D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0,404</w:t>
            </w:r>
          </w:p>
        </w:tc>
        <w:tc>
          <w:tcPr>
            <w:tcW w:w="2693" w:type="dxa"/>
          </w:tcPr>
          <w:p w14:paraId="5FECE61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07-415-ОП-МГ-ЩГ-141</w:t>
            </w:r>
          </w:p>
        </w:tc>
        <w:tc>
          <w:tcPr>
            <w:tcW w:w="3118" w:type="dxa"/>
          </w:tcPr>
          <w:p w14:paraId="1E44A9C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4B30DB9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1616</w:t>
            </w:r>
          </w:p>
        </w:tc>
      </w:tr>
      <w:tr w:rsidR="00171AA8" w:rsidRPr="00731FE2" w14:paraId="23DE525C" w14:textId="77777777" w:rsidTr="00EE4EC5">
        <w:tc>
          <w:tcPr>
            <w:tcW w:w="567" w:type="dxa"/>
          </w:tcPr>
          <w:p w14:paraId="4EE9603D"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6A1DEBA2"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Менделеева</w:t>
            </w:r>
          </w:p>
        </w:tc>
        <w:tc>
          <w:tcPr>
            <w:tcW w:w="2268" w:type="dxa"/>
          </w:tcPr>
          <w:p w14:paraId="18E5A02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Менделеева</w:t>
            </w:r>
          </w:p>
        </w:tc>
        <w:tc>
          <w:tcPr>
            <w:tcW w:w="1843" w:type="dxa"/>
          </w:tcPr>
          <w:p w14:paraId="3C3D22F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0,075</w:t>
            </w:r>
          </w:p>
        </w:tc>
        <w:tc>
          <w:tcPr>
            <w:tcW w:w="2693" w:type="dxa"/>
          </w:tcPr>
          <w:p w14:paraId="1073968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07-415-ОП-МГ-А-142</w:t>
            </w:r>
          </w:p>
        </w:tc>
        <w:tc>
          <w:tcPr>
            <w:tcW w:w="3118" w:type="dxa"/>
          </w:tcPr>
          <w:p w14:paraId="3D61A9D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66BE0BF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450</w:t>
            </w:r>
          </w:p>
        </w:tc>
      </w:tr>
      <w:tr w:rsidR="00171AA8" w:rsidRPr="00731FE2" w14:paraId="026F9A37" w14:textId="77777777" w:rsidTr="00EE4EC5">
        <w:tc>
          <w:tcPr>
            <w:tcW w:w="567" w:type="dxa"/>
          </w:tcPr>
          <w:p w14:paraId="230A536A"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5E2EC1A1"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Менжинского</w:t>
            </w:r>
          </w:p>
        </w:tc>
        <w:tc>
          <w:tcPr>
            <w:tcW w:w="2268" w:type="dxa"/>
          </w:tcPr>
          <w:p w14:paraId="42C7193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Менжинского</w:t>
            </w:r>
          </w:p>
        </w:tc>
        <w:tc>
          <w:tcPr>
            <w:tcW w:w="1843" w:type="dxa"/>
          </w:tcPr>
          <w:p w14:paraId="6B1E9FF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0,360</w:t>
            </w:r>
          </w:p>
        </w:tc>
        <w:tc>
          <w:tcPr>
            <w:tcW w:w="2693" w:type="dxa"/>
          </w:tcPr>
          <w:p w14:paraId="10EB391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07-415-ОП-МГ-А-143</w:t>
            </w:r>
          </w:p>
        </w:tc>
        <w:tc>
          <w:tcPr>
            <w:tcW w:w="3118" w:type="dxa"/>
          </w:tcPr>
          <w:p w14:paraId="2AFA257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597BEE3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1620</w:t>
            </w:r>
          </w:p>
        </w:tc>
      </w:tr>
      <w:tr w:rsidR="00171AA8" w:rsidRPr="00731FE2" w14:paraId="2FB6C198" w14:textId="77777777" w:rsidTr="00EE4EC5">
        <w:tc>
          <w:tcPr>
            <w:tcW w:w="567" w:type="dxa"/>
          </w:tcPr>
          <w:p w14:paraId="0E7BF3B8"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4441951D"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Минеральная</w:t>
            </w:r>
          </w:p>
        </w:tc>
        <w:tc>
          <w:tcPr>
            <w:tcW w:w="2268" w:type="dxa"/>
          </w:tcPr>
          <w:p w14:paraId="23025E0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Минеральная</w:t>
            </w:r>
          </w:p>
        </w:tc>
        <w:tc>
          <w:tcPr>
            <w:tcW w:w="1843" w:type="dxa"/>
          </w:tcPr>
          <w:p w14:paraId="2CDD892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0,787</w:t>
            </w:r>
          </w:p>
        </w:tc>
        <w:tc>
          <w:tcPr>
            <w:tcW w:w="2693" w:type="dxa"/>
          </w:tcPr>
          <w:p w14:paraId="49E49FB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07-415-ОП-МГ-А/ЩГ-144</w:t>
            </w:r>
          </w:p>
        </w:tc>
        <w:tc>
          <w:tcPr>
            <w:tcW w:w="3118" w:type="dxa"/>
          </w:tcPr>
          <w:p w14:paraId="62D0594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6DFD767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4328,5</w:t>
            </w:r>
          </w:p>
        </w:tc>
      </w:tr>
      <w:tr w:rsidR="00171AA8" w:rsidRPr="00731FE2" w14:paraId="6683ED05" w14:textId="77777777" w:rsidTr="00EE4EC5">
        <w:tc>
          <w:tcPr>
            <w:tcW w:w="567" w:type="dxa"/>
          </w:tcPr>
          <w:p w14:paraId="112DC28F"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238D8F5D"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Мира проспект</w:t>
            </w:r>
          </w:p>
        </w:tc>
        <w:tc>
          <w:tcPr>
            <w:tcW w:w="2268" w:type="dxa"/>
          </w:tcPr>
          <w:p w14:paraId="08C1AB1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Мира проспект</w:t>
            </w:r>
          </w:p>
        </w:tc>
        <w:tc>
          <w:tcPr>
            <w:tcW w:w="1843" w:type="dxa"/>
          </w:tcPr>
          <w:p w14:paraId="08CD761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0,864</w:t>
            </w:r>
          </w:p>
        </w:tc>
        <w:tc>
          <w:tcPr>
            <w:tcW w:w="2693" w:type="dxa"/>
          </w:tcPr>
          <w:p w14:paraId="4D36FC1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07-415-ОП-МГ-А-145</w:t>
            </w:r>
          </w:p>
        </w:tc>
        <w:tc>
          <w:tcPr>
            <w:tcW w:w="3118" w:type="dxa"/>
          </w:tcPr>
          <w:p w14:paraId="51719B4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IV, магистральная улица регулируемого движения</w:t>
            </w:r>
          </w:p>
        </w:tc>
        <w:tc>
          <w:tcPr>
            <w:tcW w:w="1288" w:type="dxa"/>
          </w:tcPr>
          <w:p w14:paraId="0E5ED0F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9504</w:t>
            </w:r>
          </w:p>
        </w:tc>
      </w:tr>
      <w:tr w:rsidR="00171AA8" w:rsidRPr="00731FE2" w14:paraId="02F7492B" w14:textId="77777777" w:rsidTr="00EE4EC5">
        <w:tc>
          <w:tcPr>
            <w:tcW w:w="567" w:type="dxa"/>
          </w:tcPr>
          <w:p w14:paraId="6E28CFBA"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2EB5F687"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Мичурина</w:t>
            </w:r>
          </w:p>
        </w:tc>
        <w:tc>
          <w:tcPr>
            <w:tcW w:w="2268" w:type="dxa"/>
          </w:tcPr>
          <w:p w14:paraId="15BF588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Мичурина</w:t>
            </w:r>
          </w:p>
        </w:tc>
        <w:tc>
          <w:tcPr>
            <w:tcW w:w="1843" w:type="dxa"/>
          </w:tcPr>
          <w:p w14:paraId="68B3474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0,615</w:t>
            </w:r>
          </w:p>
        </w:tc>
        <w:tc>
          <w:tcPr>
            <w:tcW w:w="2693" w:type="dxa"/>
          </w:tcPr>
          <w:p w14:paraId="40C300C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07-415-ОП-МГ-А/ЩГ-146</w:t>
            </w:r>
          </w:p>
        </w:tc>
        <w:tc>
          <w:tcPr>
            <w:tcW w:w="3118" w:type="dxa"/>
          </w:tcPr>
          <w:p w14:paraId="1402C2A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основной</w:t>
            </w:r>
          </w:p>
        </w:tc>
        <w:tc>
          <w:tcPr>
            <w:tcW w:w="1288" w:type="dxa"/>
          </w:tcPr>
          <w:p w14:paraId="48F1E55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3075</w:t>
            </w:r>
          </w:p>
        </w:tc>
      </w:tr>
      <w:tr w:rsidR="00171AA8" w:rsidRPr="00731FE2" w14:paraId="2C610B18" w14:textId="77777777" w:rsidTr="00EE4EC5">
        <w:tc>
          <w:tcPr>
            <w:tcW w:w="567" w:type="dxa"/>
          </w:tcPr>
          <w:p w14:paraId="63BEA9F2"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248A9304"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Московская</w:t>
            </w:r>
          </w:p>
        </w:tc>
        <w:tc>
          <w:tcPr>
            <w:tcW w:w="2268" w:type="dxa"/>
          </w:tcPr>
          <w:p w14:paraId="7336D2B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Московская</w:t>
            </w:r>
          </w:p>
        </w:tc>
        <w:tc>
          <w:tcPr>
            <w:tcW w:w="1843" w:type="dxa"/>
          </w:tcPr>
          <w:p w14:paraId="193EEDF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1,250</w:t>
            </w:r>
          </w:p>
        </w:tc>
        <w:tc>
          <w:tcPr>
            <w:tcW w:w="2693" w:type="dxa"/>
          </w:tcPr>
          <w:p w14:paraId="1E3C89E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07-415-ОП-МГ-А/ЩГ-147</w:t>
            </w:r>
          </w:p>
        </w:tc>
        <w:tc>
          <w:tcPr>
            <w:tcW w:w="3118" w:type="dxa"/>
          </w:tcPr>
          <w:p w14:paraId="1382527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основной</w:t>
            </w:r>
          </w:p>
        </w:tc>
        <w:tc>
          <w:tcPr>
            <w:tcW w:w="1288" w:type="dxa"/>
          </w:tcPr>
          <w:p w14:paraId="09A2248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5000</w:t>
            </w:r>
          </w:p>
        </w:tc>
      </w:tr>
      <w:tr w:rsidR="00171AA8" w:rsidRPr="00731FE2" w14:paraId="1B9026CA" w14:textId="77777777" w:rsidTr="00EE4EC5">
        <w:tc>
          <w:tcPr>
            <w:tcW w:w="567" w:type="dxa"/>
          </w:tcPr>
          <w:p w14:paraId="21F35157"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0E84443C"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Набережная</w:t>
            </w:r>
          </w:p>
        </w:tc>
        <w:tc>
          <w:tcPr>
            <w:tcW w:w="2268" w:type="dxa"/>
          </w:tcPr>
          <w:p w14:paraId="033A6C2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Набережная</w:t>
            </w:r>
          </w:p>
        </w:tc>
        <w:tc>
          <w:tcPr>
            <w:tcW w:w="1843" w:type="dxa"/>
          </w:tcPr>
          <w:p w14:paraId="7354743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2,582</w:t>
            </w:r>
          </w:p>
        </w:tc>
        <w:tc>
          <w:tcPr>
            <w:tcW w:w="2693" w:type="dxa"/>
          </w:tcPr>
          <w:p w14:paraId="09FACCC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07-415-ОП-МГ-А-148</w:t>
            </w:r>
          </w:p>
        </w:tc>
        <w:tc>
          <w:tcPr>
            <w:tcW w:w="3118" w:type="dxa"/>
          </w:tcPr>
          <w:p w14:paraId="758ECF9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основной</w:t>
            </w:r>
          </w:p>
        </w:tc>
        <w:tc>
          <w:tcPr>
            <w:tcW w:w="1288" w:type="dxa"/>
          </w:tcPr>
          <w:p w14:paraId="02C0051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14201</w:t>
            </w:r>
          </w:p>
        </w:tc>
      </w:tr>
      <w:tr w:rsidR="00171AA8" w:rsidRPr="00731FE2" w14:paraId="5906A67C" w14:textId="77777777" w:rsidTr="00EE4EC5">
        <w:tc>
          <w:tcPr>
            <w:tcW w:w="567" w:type="dxa"/>
          </w:tcPr>
          <w:p w14:paraId="042CC84A"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450C6C24"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Некрасова</w:t>
            </w:r>
          </w:p>
        </w:tc>
        <w:tc>
          <w:tcPr>
            <w:tcW w:w="2268" w:type="dxa"/>
          </w:tcPr>
          <w:p w14:paraId="089D6FD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Некрасова</w:t>
            </w:r>
          </w:p>
        </w:tc>
        <w:tc>
          <w:tcPr>
            <w:tcW w:w="1843" w:type="dxa"/>
          </w:tcPr>
          <w:p w14:paraId="1AD7EE3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0,123</w:t>
            </w:r>
          </w:p>
        </w:tc>
        <w:tc>
          <w:tcPr>
            <w:tcW w:w="2693" w:type="dxa"/>
          </w:tcPr>
          <w:p w14:paraId="68D9569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07-415-ОП-МГ-А/ЩГ-149</w:t>
            </w:r>
          </w:p>
        </w:tc>
        <w:tc>
          <w:tcPr>
            <w:tcW w:w="3118" w:type="dxa"/>
          </w:tcPr>
          <w:p w14:paraId="74DADC2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0B3DB2F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492</w:t>
            </w:r>
          </w:p>
        </w:tc>
      </w:tr>
      <w:tr w:rsidR="00171AA8" w:rsidRPr="00731FE2" w14:paraId="6A805B83" w14:textId="77777777" w:rsidTr="00EE4EC5">
        <w:tc>
          <w:tcPr>
            <w:tcW w:w="567" w:type="dxa"/>
          </w:tcPr>
          <w:p w14:paraId="6F2DC234"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498038F4"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Нелюбина</w:t>
            </w:r>
          </w:p>
        </w:tc>
        <w:tc>
          <w:tcPr>
            <w:tcW w:w="2268" w:type="dxa"/>
          </w:tcPr>
          <w:p w14:paraId="5715D06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Нелюбина</w:t>
            </w:r>
          </w:p>
        </w:tc>
        <w:tc>
          <w:tcPr>
            <w:tcW w:w="1843" w:type="dxa"/>
          </w:tcPr>
          <w:p w14:paraId="7AE9624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0,284</w:t>
            </w:r>
          </w:p>
        </w:tc>
        <w:tc>
          <w:tcPr>
            <w:tcW w:w="2693" w:type="dxa"/>
          </w:tcPr>
          <w:p w14:paraId="666CFE1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07-415-ОП-МГ-А-150</w:t>
            </w:r>
          </w:p>
        </w:tc>
        <w:tc>
          <w:tcPr>
            <w:tcW w:w="3118" w:type="dxa"/>
          </w:tcPr>
          <w:p w14:paraId="7E5D65C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основной</w:t>
            </w:r>
          </w:p>
        </w:tc>
        <w:tc>
          <w:tcPr>
            <w:tcW w:w="1288" w:type="dxa"/>
          </w:tcPr>
          <w:p w14:paraId="6016EC9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1420</w:t>
            </w:r>
          </w:p>
        </w:tc>
      </w:tr>
      <w:tr w:rsidR="00171AA8" w:rsidRPr="00731FE2" w14:paraId="3A3B3C28" w14:textId="77777777" w:rsidTr="00EE4EC5">
        <w:tc>
          <w:tcPr>
            <w:tcW w:w="567" w:type="dxa"/>
          </w:tcPr>
          <w:p w14:paraId="5943A2EE"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12CE6559"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Нижне-Пограничная</w:t>
            </w:r>
          </w:p>
        </w:tc>
        <w:tc>
          <w:tcPr>
            <w:tcW w:w="2268" w:type="dxa"/>
          </w:tcPr>
          <w:p w14:paraId="1312B57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Нижне-Пограничная</w:t>
            </w:r>
          </w:p>
        </w:tc>
        <w:tc>
          <w:tcPr>
            <w:tcW w:w="1843" w:type="dxa"/>
          </w:tcPr>
          <w:p w14:paraId="4FC9520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0,310</w:t>
            </w:r>
          </w:p>
        </w:tc>
        <w:tc>
          <w:tcPr>
            <w:tcW w:w="2693" w:type="dxa"/>
          </w:tcPr>
          <w:p w14:paraId="795DAE2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07-415-ОП-МГ-ЩГ-151</w:t>
            </w:r>
          </w:p>
        </w:tc>
        <w:tc>
          <w:tcPr>
            <w:tcW w:w="3118" w:type="dxa"/>
          </w:tcPr>
          <w:p w14:paraId="19EF5B4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0E8C5F9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1240</w:t>
            </w:r>
          </w:p>
        </w:tc>
      </w:tr>
      <w:tr w:rsidR="00171AA8" w:rsidRPr="00731FE2" w14:paraId="607A751F" w14:textId="77777777" w:rsidTr="00EE4EC5">
        <w:tc>
          <w:tcPr>
            <w:tcW w:w="567" w:type="dxa"/>
          </w:tcPr>
          <w:p w14:paraId="0D7F9563"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7292BC0C"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Новая</w:t>
            </w:r>
          </w:p>
        </w:tc>
        <w:tc>
          <w:tcPr>
            <w:tcW w:w="2268" w:type="dxa"/>
          </w:tcPr>
          <w:p w14:paraId="0245045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Новая</w:t>
            </w:r>
          </w:p>
        </w:tc>
        <w:tc>
          <w:tcPr>
            <w:tcW w:w="1843" w:type="dxa"/>
          </w:tcPr>
          <w:p w14:paraId="2CC400F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0,418</w:t>
            </w:r>
          </w:p>
        </w:tc>
        <w:tc>
          <w:tcPr>
            <w:tcW w:w="2693" w:type="dxa"/>
          </w:tcPr>
          <w:p w14:paraId="7666575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07-415-ОП-МГ-А-152</w:t>
            </w:r>
          </w:p>
        </w:tc>
        <w:tc>
          <w:tcPr>
            <w:tcW w:w="3118" w:type="dxa"/>
          </w:tcPr>
          <w:p w14:paraId="4F31208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2ABAEF4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2508</w:t>
            </w:r>
          </w:p>
        </w:tc>
      </w:tr>
      <w:tr w:rsidR="00171AA8" w:rsidRPr="00731FE2" w14:paraId="54AC2938" w14:textId="77777777" w:rsidTr="00EE4EC5">
        <w:tc>
          <w:tcPr>
            <w:tcW w:w="567" w:type="dxa"/>
          </w:tcPr>
          <w:p w14:paraId="54EC098A"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7E36E6D2"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Овражная</w:t>
            </w:r>
          </w:p>
        </w:tc>
        <w:tc>
          <w:tcPr>
            <w:tcW w:w="2268" w:type="dxa"/>
          </w:tcPr>
          <w:p w14:paraId="1B41F18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Овражная</w:t>
            </w:r>
          </w:p>
        </w:tc>
        <w:tc>
          <w:tcPr>
            <w:tcW w:w="1843" w:type="dxa"/>
          </w:tcPr>
          <w:p w14:paraId="4BDB05B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0,320</w:t>
            </w:r>
          </w:p>
        </w:tc>
        <w:tc>
          <w:tcPr>
            <w:tcW w:w="2693" w:type="dxa"/>
          </w:tcPr>
          <w:p w14:paraId="2C77BA4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07-415-ОП-МГ-А/П-153</w:t>
            </w:r>
          </w:p>
        </w:tc>
        <w:tc>
          <w:tcPr>
            <w:tcW w:w="3118" w:type="dxa"/>
          </w:tcPr>
          <w:p w14:paraId="08327D2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основной</w:t>
            </w:r>
          </w:p>
        </w:tc>
        <w:tc>
          <w:tcPr>
            <w:tcW w:w="1288" w:type="dxa"/>
          </w:tcPr>
          <w:p w14:paraId="13F90E7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1920</w:t>
            </w:r>
          </w:p>
        </w:tc>
      </w:tr>
      <w:tr w:rsidR="00171AA8" w:rsidRPr="00731FE2" w14:paraId="7BD70C2A" w14:textId="77777777" w:rsidTr="00EE4EC5">
        <w:tc>
          <w:tcPr>
            <w:tcW w:w="567" w:type="dxa"/>
          </w:tcPr>
          <w:p w14:paraId="6BB62235"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454B356D"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Огородная</w:t>
            </w:r>
          </w:p>
        </w:tc>
        <w:tc>
          <w:tcPr>
            <w:tcW w:w="2268" w:type="dxa"/>
          </w:tcPr>
          <w:p w14:paraId="714D7F4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Огородная</w:t>
            </w:r>
          </w:p>
        </w:tc>
        <w:tc>
          <w:tcPr>
            <w:tcW w:w="1843" w:type="dxa"/>
          </w:tcPr>
          <w:p w14:paraId="451870C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0,406</w:t>
            </w:r>
          </w:p>
        </w:tc>
        <w:tc>
          <w:tcPr>
            <w:tcW w:w="2693" w:type="dxa"/>
          </w:tcPr>
          <w:p w14:paraId="55AA6B2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07-415-ОП-МГ-ЩГ-154</w:t>
            </w:r>
          </w:p>
        </w:tc>
        <w:tc>
          <w:tcPr>
            <w:tcW w:w="3118" w:type="dxa"/>
          </w:tcPr>
          <w:p w14:paraId="05DDF5F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2F30BD3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1218</w:t>
            </w:r>
          </w:p>
        </w:tc>
      </w:tr>
      <w:tr w:rsidR="00171AA8" w:rsidRPr="00731FE2" w14:paraId="5A9D9E07" w14:textId="77777777" w:rsidTr="00EE4EC5">
        <w:tc>
          <w:tcPr>
            <w:tcW w:w="567" w:type="dxa"/>
          </w:tcPr>
          <w:p w14:paraId="03FAA1C5"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411CB571"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Одесская</w:t>
            </w:r>
          </w:p>
        </w:tc>
        <w:tc>
          <w:tcPr>
            <w:tcW w:w="2268" w:type="dxa"/>
          </w:tcPr>
          <w:p w14:paraId="056996B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Одесская</w:t>
            </w:r>
          </w:p>
        </w:tc>
        <w:tc>
          <w:tcPr>
            <w:tcW w:w="1843" w:type="dxa"/>
          </w:tcPr>
          <w:p w14:paraId="3EC74B6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0,489</w:t>
            </w:r>
          </w:p>
        </w:tc>
        <w:tc>
          <w:tcPr>
            <w:tcW w:w="2693" w:type="dxa"/>
          </w:tcPr>
          <w:p w14:paraId="7EA3E03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07-415-ОП-МГ-А-155</w:t>
            </w:r>
          </w:p>
        </w:tc>
        <w:tc>
          <w:tcPr>
            <w:tcW w:w="3118" w:type="dxa"/>
          </w:tcPr>
          <w:p w14:paraId="6FDC9FB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7DE87A0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2934</w:t>
            </w:r>
          </w:p>
        </w:tc>
      </w:tr>
      <w:tr w:rsidR="00171AA8" w:rsidRPr="00731FE2" w14:paraId="3383F544" w14:textId="77777777" w:rsidTr="00EE4EC5">
        <w:tc>
          <w:tcPr>
            <w:tcW w:w="567" w:type="dxa"/>
          </w:tcPr>
          <w:p w14:paraId="6BC463C2"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6833F4EC"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Одесский переулок</w:t>
            </w:r>
          </w:p>
        </w:tc>
        <w:tc>
          <w:tcPr>
            <w:tcW w:w="2268" w:type="dxa"/>
          </w:tcPr>
          <w:p w14:paraId="2C47EDD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Одесский переулок</w:t>
            </w:r>
          </w:p>
        </w:tc>
        <w:tc>
          <w:tcPr>
            <w:tcW w:w="1843" w:type="dxa"/>
          </w:tcPr>
          <w:p w14:paraId="5E7CC88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0,146</w:t>
            </w:r>
          </w:p>
        </w:tc>
        <w:tc>
          <w:tcPr>
            <w:tcW w:w="2693" w:type="dxa"/>
          </w:tcPr>
          <w:p w14:paraId="7425679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07-415-ОП-МГ-А-156</w:t>
            </w:r>
          </w:p>
        </w:tc>
        <w:tc>
          <w:tcPr>
            <w:tcW w:w="3118" w:type="dxa"/>
          </w:tcPr>
          <w:p w14:paraId="5A04CEF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 </w:t>
            </w:r>
          </w:p>
        </w:tc>
        <w:tc>
          <w:tcPr>
            <w:tcW w:w="1288" w:type="dxa"/>
          </w:tcPr>
          <w:p w14:paraId="0583FCC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584</w:t>
            </w:r>
          </w:p>
        </w:tc>
      </w:tr>
      <w:tr w:rsidR="00171AA8" w:rsidRPr="00731FE2" w14:paraId="38A034DB" w14:textId="77777777" w:rsidTr="00EE4EC5">
        <w:tc>
          <w:tcPr>
            <w:tcW w:w="567" w:type="dxa"/>
          </w:tcPr>
          <w:p w14:paraId="68650F49"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08085EB5"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Озерная</w:t>
            </w:r>
          </w:p>
        </w:tc>
        <w:tc>
          <w:tcPr>
            <w:tcW w:w="2268" w:type="dxa"/>
          </w:tcPr>
          <w:p w14:paraId="4425EA8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Озерная</w:t>
            </w:r>
          </w:p>
        </w:tc>
        <w:tc>
          <w:tcPr>
            <w:tcW w:w="1843" w:type="dxa"/>
          </w:tcPr>
          <w:p w14:paraId="7DA3B77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0,610</w:t>
            </w:r>
          </w:p>
        </w:tc>
        <w:tc>
          <w:tcPr>
            <w:tcW w:w="2693" w:type="dxa"/>
          </w:tcPr>
          <w:p w14:paraId="0CC1B8A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07-415-ОП-МГ-А/ЩГ-157</w:t>
            </w:r>
          </w:p>
        </w:tc>
        <w:tc>
          <w:tcPr>
            <w:tcW w:w="3118" w:type="dxa"/>
          </w:tcPr>
          <w:p w14:paraId="7ED4CA1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IV, улица районного значения транспортно-пешеходная</w:t>
            </w:r>
          </w:p>
        </w:tc>
        <w:tc>
          <w:tcPr>
            <w:tcW w:w="1288" w:type="dxa"/>
          </w:tcPr>
          <w:p w14:paraId="4459806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2440</w:t>
            </w:r>
          </w:p>
        </w:tc>
      </w:tr>
      <w:tr w:rsidR="00171AA8" w:rsidRPr="00731FE2" w14:paraId="43C94F85" w14:textId="77777777" w:rsidTr="00EE4EC5">
        <w:tc>
          <w:tcPr>
            <w:tcW w:w="567" w:type="dxa"/>
          </w:tcPr>
          <w:p w14:paraId="751880EF"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481746B0"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Озерная (подъездная дорога на Кисловодское озеро от ул.40 лет Октября до госпиталя Велинград)</w:t>
            </w:r>
          </w:p>
        </w:tc>
        <w:tc>
          <w:tcPr>
            <w:tcW w:w="2268" w:type="dxa"/>
          </w:tcPr>
          <w:p w14:paraId="3FFF9D2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Озерная (подъездная дорога на Кисловодское озеро от ул.40 лет Октября до госпиталя Велинград)</w:t>
            </w:r>
          </w:p>
        </w:tc>
        <w:tc>
          <w:tcPr>
            <w:tcW w:w="1843" w:type="dxa"/>
          </w:tcPr>
          <w:p w14:paraId="4C3C215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1,705</w:t>
            </w:r>
          </w:p>
        </w:tc>
        <w:tc>
          <w:tcPr>
            <w:tcW w:w="2693" w:type="dxa"/>
          </w:tcPr>
          <w:p w14:paraId="39D776A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07-415-ОП-МГ-А-158</w:t>
            </w:r>
          </w:p>
        </w:tc>
        <w:tc>
          <w:tcPr>
            <w:tcW w:w="3118" w:type="dxa"/>
          </w:tcPr>
          <w:p w14:paraId="19EF7DB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улица районного значения транспортно-пешеходная</w:t>
            </w:r>
          </w:p>
        </w:tc>
        <w:tc>
          <w:tcPr>
            <w:tcW w:w="1288" w:type="dxa"/>
          </w:tcPr>
          <w:p w14:paraId="13B5E2C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12787,5</w:t>
            </w:r>
          </w:p>
        </w:tc>
      </w:tr>
      <w:tr w:rsidR="00171AA8" w:rsidRPr="00731FE2" w14:paraId="287E15D9" w14:textId="77777777" w:rsidTr="00EE4EC5">
        <w:tc>
          <w:tcPr>
            <w:tcW w:w="567" w:type="dxa"/>
          </w:tcPr>
          <w:p w14:paraId="1CFC84C0"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1E7D6EA7"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Окопная</w:t>
            </w:r>
          </w:p>
        </w:tc>
        <w:tc>
          <w:tcPr>
            <w:tcW w:w="2268" w:type="dxa"/>
          </w:tcPr>
          <w:p w14:paraId="4D0AB94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Окопная</w:t>
            </w:r>
          </w:p>
        </w:tc>
        <w:tc>
          <w:tcPr>
            <w:tcW w:w="1843" w:type="dxa"/>
          </w:tcPr>
          <w:p w14:paraId="2F72FD5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0,340</w:t>
            </w:r>
          </w:p>
        </w:tc>
        <w:tc>
          <w:tcPr>
            <w:tcW w:w="2693" w:type="dxa"/>
          </w:tcPr>
          <w:p w14:paraId="696DA19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07-415-ОП-МГ-А-159</w:t>
            </w:r>
          </w:p>
        </w:tc>
        <w:tc>
          <w:tcPr>
            <w:tcW w:w="3118" w:type="dxa"/>
          </w:tcPr>
          <w:p w14:paraId="2DDCCD1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основной</w:t>
            </w:r>
          </w:p>
        </w:tc>
        <w:tc>
          <w:tcPr>
            <w:tcW w:w="1288" w:type="dxa"/>
          </w:tcPr>
          <w:p w14:paraId="0AB3A2E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2040</w:t>
            </w:r>
          </w:p>
        </w:tc>
      </w:tr>
      <w:tr w:rsidR="00171AA8" w:rsidRPr="00731FE2" w14:paraId="19F2045A" w14:textId="77777777" w:rsidTr="00EE4EC5">
        <w:tc>
          <w:tcPr>
            <w:tcW w:w="567" w:type="dxa"/>
          </w:tcPr>
          <w:p w14:paraId="0818DEB5"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3D24740F"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Октябрьская (от Седлогорской до Фоменко)</w:t>
            </w:r>
          </w:p>
        </w:tc>
        <w:tc>
          <w:tcPr>
            <w:tcW w:w="2268" w:type="dxa"/>
          </w:tcPr>
          <w:p w14:paraId="3A85470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Октябрьская (от Седлогорской до Фоменко)</w:t>
            </w:r>
          </w:p>
        </w:tc>
        <w:tc>
          <w:tcPr>
            <w:tcW w:w="1843" w:type="dxa"/>
          </w:tcPr>
          <w:p w14:paraId="2602C0B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1,020</w:t>
            </w:r>
          </w:p>
        </w:tc>
        <w:tc>
          <w:tcPr>
            <w:tcW w:w="2693" w:type="dxa"/>
          </w:tcPr>
          <w:p w14:paraId="52A913C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07-415-ОП-МГ-А/ЩГ-160</w:t>
            </w:r>
          </w:p>
        </w:tc>
        <w:tc>
          <w:tcPr>
            <w:tcW w:w="3118" w:type="dxa"/>
          </w:tcPr>
          <w:p w14:paraId="3B67F86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IV, улица районного значения транспортно-пешеходная</w:t>
            </w:r>
          </w:p>
        </w:tc>
        <w:tc>
          <w:tcPr>
            <w:tcW w:w="1288" w:type="dxa"/>
          </w:tcPr>
          <w:p w14:paraId="1EB17C1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6630</w:t>
            </w:r>
          </w:p>
        </w:tc>
      </w:tr>
      <w:tr w:rsidR="00171AA8" w:rsidRPr="00731FE2" w14:paraId="03FC79EB" w14:textId="77777777" w:rsidTr="00EE4EC5">
        <w:tc>
          <w:tcPr>
            <w:tcW w:w="567" w:type="dxa"/>
          </w:tcPr>
          <w:p w14:paraId="749DB88C"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61BDDA7A"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Октябрьская (от Фоменко до Дводненко)</w:t>
            </w:r>
          </w:p>
        </w:tc>
        <w:tc>
          <w:tcPr>
            <w:tcW w:w="2268" w:type="dxa"/>
          </w:tcPr>
          <w:p w14:paraId="4B7371D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Октябрьская (от Фоменко до Дводненко)</w:t>
            </w:r>
          </w:p>
        </w:tc>
        <w:tc>
          <w:tcPr>
            <w:tcW w:w="1843" w:type="dxa"/>
          </w:tcPr>
          <w:p w14:paraId="26E2C75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0,206</w:t>
            </w:r>
          </w:p>
        </w:tc>
        <w:tc>
          <w:tcPr>
            <w:tcW w:w="2693" w:type="dxa"/>
          </w:tcPr>
          <w:p w14:paraId="6506B2C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07-415-ОП-МГ-ЩГ-161</w:t>
            </w:r>
          </w:p>
        </w:tc>
        <w:tc>
          <w:tcPr>
            <w:tcW w:w="3118" w:type="dxa"/>
          </w:tcPr>
          <w:p w14:paraId="4D04F8B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улица районного значения транспортно-пешеходная</w:t>
            </w:r>
          </w:p>
        </w:tc>
        <w:tc>
          <w:tcPr>
            <w:tcW w:w="1288" w:type="dxa"/>
          </w:tcPr>
          <w:p w14:paraId="52C5A94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1442</w:t>
            </w:r>
          </w:p>
        </w:tc>
      </w:tr>
      <w:tr w:rsidR="00171AA8" w:rsidRPr="00731FE2" w14:paraId="03A75621" w14:textId="77777777" w:rsidTr="00EE4EC5">
        <w:tc>
          <w:tcPr>
            <w:tcW w:w="567" w:type="dxa"/>
          </w:tcPr>
          <w:p w14:paraId="07DDCD6B"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631E3951"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Октябрьская плащадь</w:t>
            </w:r>
          </w:p>
        </w:tc>
        <w:tc>
          <w:tcPr>
            <w:tcW w:w="2268" w:type="dxa"/>
          </w:tcPr>
          <w:p w14:paraId="1989C22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Октябрьская плащадь</w:t>
            </w:r>
          </w:p>
        </w:tc>
        <w:tc>
          <w:tcPr>
            <w:tcW w:w="1843" w:type="dxa"/>
          </w:tcPr>
          <w:p w14:paraId="54EA10F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0,192</w:t>
            </w:r>
          </w:p>
        </w:tc>
        <w:tc>
          <w:tcPr>
            <w:tcW w:w="2693" w:type="dxa"/>
          </w:tcPr>
          <w:p w14:paraId="3299691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07-415-ОП-МГ-А-162</w:t>
            </w:r>
          </w:p>
        </w:tc>
        <w:tc>
          <w:tcPr>
            <w:tcW w:w="3118" w:type="dxa"/>
          </w:tcPr>
          <w:p w14:paraId="426141E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IV, улица районного значения транспортно-пешеходная</w:t>
            </w:r>
          </w:p>
        </w:tc>
        <w:tc>
          <w:tcPr>
            <w:tcW w:w="1288" w:type="dxa"/>
          </w:tcPr>
          <w:p w14:paraId="282A8E7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w:t>
            </w:r>
          </w:p>
        </w:tc>
      </w:tr>
      <w:tr w:rsidR="00171AA8" w:rsidRPr="00731FE2" w14:paraId="692CCB77" w14:textId="77777777" w:rsidTr="00EE4EC5">
        <w:tc>
          <w:tcPr>
            <w:tcW w:w="567" w:type="dxa"/>
          </w:tcPr>
          <w:p w14:paraId="459FD1A2"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1F39FCAF"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Олега Кошевого переулок</w:t>
            </w:r>
          </w:p>
        </w:tc>
        <w:tc>
          <w:tcPr>
            <w:tcW w:w="2268" w:type="dxa"/>
          </w:tcPr>
          <w:p w14:paraId="0E9F8E5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Олега Кошевого переулок</w:t>
            </w:r>
          </w:p>
        </w:tc>
        <w:tc>
          <w:tcPr>
            <w:tcW w:w="1843" w:type="dxa"/>
          </w:tcPr>
          <w:p w14:paraId="1A2414A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0,216</w:t>
            </w:r>
          </w:p>
        </w:tc>
        <w:tc>
          <w:tcPr>
            <w:tcW w:w="2693" w:type="dxa"/>
          </w:tcPr>
          <w:p w14:paraId="7539AA0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07-415-ОП-МГ-А-163</w:t>
            </w:r>
          </w:p>
        </w:tc>
        <w:tc>
          <w:tcPr>
            <w:tcW w:w="3118" w:type="dxa"/>
          </w:tcPr>
          <w:p w14:paraId="403CBA7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74C94A1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864</w:t>
            </w:r>
          </w:p>
        </w:tc>
      </w:tr>
      <w:tr w:rsidR="00171AA8" w:rsidRPr="00731FE2" w14:paraId="5FCC0B3F" w14:textId="77777777" w:rsidTr="00EE4EC5">
        <w:tc>
          <w:tcPr>
            <w:tcW w:w="567" w:type="dxa"/>
          </w:tcPr>
          <w:p w14:paraId="76869687"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2449B461"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Ольховская</w:t>
            </w:r>
          </w:p>
        </w:tc>
        <w:tc>
          <w:tcPr>
            <w:tcW w:w="2268" w:type="dxa"/>
          </w:tcPr>
          <w:p w14:paraId="3A99A01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Ольховская</w:t>
            </w:r>
          </w:p>
        </w:tc>
        <w:tc>
          <w:tcPr>
            <w:tcW w:w="1843" w:type="dxa"/>
          </w:tcPr>
          <w:p w14:paraId="32A05F3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2,133</w:t>
            </w:r>
          </w:p>
        </w:tc>
        <w:tc>
          <w:tcPr>
            <w:tcW w:w="2693" w:type="dxa"/>
          </w:tcPr>
          <w:p w14:paraId="4D70886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07-415-ОП-МГ-А/ЩГ-164</w:t>
            </w:r>
          </w:p>
        </w:tc>
        <w:tc>
          <w:tcPr>
            <w:tcW w:w="3118" w:type="dxa"/>
          </w:tcPr>
          <w:p w14:paraId="712ED58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IV, проезд основной</w:t>
            </w:r>
          </w:p>
        </w:tc>
        <w:tc>
          <w:tcPr>
            <w:tcW w:w="1288" w:type="dxa"/>
          </w:tcPr>
          <w:p w14:paraId="2CC36A2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10665</w:t>
            </w:r>
          </w:p>
        </w:tc>
      </w:tr>
      <w:tr w:rsidR="00171AA8" w:rsidRPr="00731FE2" w14:paraId="06A2D7AB" w14:textId="77777777" w:rsidTr="00EE4EC5">
        <w:tc>
          <w:tcPr>
            <w:tcW w:w="567" w:type="dxa"/>
          </w:tcPr>
          <w:p w14:paraId="31D848C1"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516BD7EC"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Орджоникидзе</w:t>
            </w:r>
          </w:p>
        </w:tc>
        <w:tc>
          <w:tcPr>
            <w:tcW w:w="2268" w:type="dxa"/>
          </w:tcPr>
          <w:p w14:paraId="3147615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Орджоникидзе</w:t>
            </w:r>
          </w:p>
        </w:tc>
        <w:tc>
          <w:tcPr>
            <w:tcW w:w="1843" w:type="dxa"/>
          </w:tcPr>
          <w:p w14:paraId="1A6DE99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0,641</w:t>
            </w:r>
          </w:p>
        </w:tc>
        <w:tc>
          <w:tcPr>
            <w:tcW w:w="2693" w:type="dxa"/>
          </w:tcPr>
          <w:p w14:paraId="05A765C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07-415-ОП-МГ-А/ЩГ-165</w:t>
            </w:r>
          </w:p>
        </w:tc>
        <w:tc>
          <w:tcPr>
            <w:tcW w:w="3118" w:type="dxa"/>
          </w:tcPr>
          <w:p w14:paraId="01F7686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0B6D996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3205</w:t>
            </w:r>
          </w:p>
        </w:tc>
      </w:tr>
      <w:tr w:rsidR="00171AA8" w:rsidRPr="00731FE2" w14:paraId="40957012" w14:textId="77777777" w:rsidTr="00EE4EC5">
        <w:tc>
          <w:tcPr>
            <w:tcW w:w="567" w:type="dxa"/>
          </w:tcPr>
          <w:p w14:paraId="30387E06"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02477EA2"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Орлиная</w:t>
            </w:r>
          </w:p>
        </w:tc>
        <w:tc>
          <w:tcPr>
            <w:tcW w:w="2268" w:type="dxa"/>
          </w:tcPr>
          <w:p w14:paraId="0BD1C04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Орлиная</w:t>
            </w:r>
          </w:p>
        </w:tc>
        <w:tc>
          <w:tcPr>
            <w:tcW w:w="1843" w:type="dxa"/>
          </w:tcPr>
          <w:p w14:paraId="08C9485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0,671</w:t>
            </w:r>
          </w:p>
        </w:tc>
        <w:tc>
          <w:tcPr>
            <w:tcW w:w="2693" w:type="dxa"/>
          </w:tcPr>
          <w:p w14:paraId="2CE83FE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07-415-ОП-МГ-А/ЩГ-166</w:t>
            </w:r>
          </w:p>
        </w:tc>
        <w:tc>
          <w:tcPr>
            <w:tcW w:w="3118" w:type="dxa"/>
          </w:tcPr>
          <w:p w14:paraId="64E9695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основной</w:t>
            </w:r>
          </w:p>
        </w:tc>
        <w:tc>
          <w:tcPr>
            <w:tcW w:w="1288" w:type="dxa"/>
          </w:tcPr>
          <w:p w14:paraId="697B771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3690,5</w:t>
            </w:r>
          </w:p>
        </w:tc>
      </w:tr>
      <w:tr w:rsidR="00171AA8" w:rsidRPr="00731FE2" w14:paraId="370A2EBA" w14:textId="77777777" w:rsidTr="00EE4EC5">
        <w:tc>
          <w:tcPr>
            <w:tcW w:w="567" w:type="dxa"/>
          </w:tcPr>
          <w:p w14:paraId="3FF948E4"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596E3150"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Осипенко</w:t>
            </w:r>
          </w:p>
        </w:tc>
        <w:tc>
          <w:tcPr>
            <w:tcW w:w="2268" w:type="dxa"/>
          </w:tcPr>
          <w:p w14:paraId="7366A5C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Осипенко</w:t>
            </w:r>
          </w:p>
        </w:tc>
        <w:tc>
          <w:tcPr>
            <w:tcW w:w="1843" w:type="dxa"/>
          </w:tcPr>
          <w:p w14:paraId="43F2835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1,202</w:t>
            </w:r>
          </w:p>
        </w:tc>
        <w:tc>
          <w:tcPr>
            <w:tcW w:w="2693" w:type="dxa"/>
          </w:tcPr>
          <w:p w14:paraId="49A61F9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07-415-ОП-МГ-А/ЩГ-167</w:t>
            </w:r>
          </w:p>
        </w:tc>
        <w:tc>
          <w:tcPr>
            <w:tcW w:w="3118" w:type="dxa"/>
          </w:tcPr>
          <w:p w14:paraId="05169C0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основной</w:t>
            </w:r>
          </w:p>
        </w:tc>
        <w:tc>
          <w:tcPr>
            <w:tcW w:w="1288" w:type="dxa"/>
          </w:tcPr>
          <w:p w14:paraId="4F6D816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6010</w:t>
            </w:r>
          </w:p>
        </w:tc>
      </w:tr>
      <w:tr w:rsidR="00171AA8" w:rsidRPr="00731FE2" w14:paraId="27ADB2D4" w14:textId="77777777" w:rsidTr="00EE4EC5">
        <w:tc>
          <w:tcPr>
            <w:tcW w:w="567" w:type="dxa"/>
          </w:tcPr>
          <w:p w14:paraId="1CAF5509"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0D5E0E58"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Островского</w:t>
            </w:r>
          </w:p>
        </w:tc>
        <w:tc>
          <w:tcPr>
            <w:tcW w:w="2268" w:type="dxa"/>
          </w:tcPr>
          <w:p w14:paraId="6C58F1C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Островского</w:t>
            </w:r>
          </w:p>
        </w:tc>
        <w:tc>
          <w:tcPr>
            <w:tcW w:w="1843" w:type="dxa"/>
          </w:tcPr>
          <w:p w14:paraId="2B41294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1,006</w:t>
            </w:r>
          </w:p>
        </w:tc>
        <w:tc>
          <w:tcPr>
            <w:tcW w:w="2693" w:type="dxa"/>
          </w:tcPr>
          <w:p w14:paraId="7DD9608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07-415-ОП-МГ-А-168</w:t>
            </w:r>
          </w:p>
        </w:tc>
        <w:tc>
          <w:tcPr>
            <w:tcW w:w="3118" w:type="dxa"/>
          </w:tcPr>
          <w:p w14:paraId="1759362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IV, улица районного значения транспортно-пешеходная</w:t>
            </w:r>
          </w:p>
        </w:tc>
        <w:tc>
          <w:tcPr>
            <w:tcW w:w="1288" w:type="dxa"/>
          </w:tcPr>
          <w:p w14:paraId="547F034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7042</w:t>
            </w:r>
          </w:p>
        </w:tc>
      </w:tr>
      <w:tr w:rsidR="00171AA8" w:rsidRPr="00731FE2" w14:paraId="7C2DAED4" w14:textId="77777777" w:rsidTr="00EE4EC5">
        <w:tc>
          <w:tcPr>
            <w:tcW w:w="567" w:type="dxa"/>
          </w:tcPr>
          <w:p w14:paraId="4DB24868"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4B908C02"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Павших героев</w:t>
            </w:r>
          </w:p>
        </w:tc>
        <w:tc>
          <w:tcPr>
            <w:tcW w:w="2268" w:type="dxa"/>
          </w:tcPr>
          <w:p w14:paraId="0357F47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Павших героев</w:t>
            </w:r>
          </w:p>
        </w:tc>
        <w:tc>
          <w:tcPr>
            <w:tcW w:w="1843" w:type="dxa"/>
          </w:tcPr>
          <w:p w14:paraId="604ADEA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0,439</w:t>
            </w:r>
          </w:p>
        </w:tc>
        <w:tc>
          <w:tcPr>
            <w:tcW w:w="2693" w:type="dxa"/>
          </w:tcPr>
          <w:p w14:paraId="334CDA4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07-415-ОП-МГ-А-169</w:t>
            </w:r>
          </w:p>
        </w:tc>
        <w:tc>
          <w:tcPr>
            <w:tcW w:w="3118" w:type="dxa"/>
          </w:tcPr>
          <w:p w14:paraId="265EAA5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основной</w:t>
            </w:r>
          </w:p>
        </w:tc>
        <w:tc>
          <w:tcPr>
            <w:tcW w:w="1288" w:type="dxa"/>
          </w:tcPr>
          <w:p w14:paraId="18B894B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2195</w:t>
            </w:r>
          </w:p>
        </w:tc>
      </w:tr>
      <w:tr w:rsidR="00171AA8" w:rsidRPr="00731FE2" w14:paraId="62E3D7CC" w14:textId="77777777" w:rsidTr="00EE4EC5">
        <w:tc>
          <w:tcPr>
            <w:tcW w:w="567" w:type="dxa"/>
          </w:tcPr>
          <w:p w14:paraId="7F98FB5D"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2AF024D5"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Парковая</w:t>
            </w:r>
          </w:p>
        </w:tc>
        <w:tc>
          <w:tcPr>
            <w:tcW w:w="2268" w:type="dxa"/>
          </w:tcPr>
          <w:p w14:paraId="59C1D79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Парковая</w:t>
            </w:r>
          </w:p>
        </w:tc>
        <w:tc>
          <w:tcPr>
            <w:tcW w:w="1843" w:type="dxa"/>
          </w:tcPr>
          <w:p w14:paraId="7C77CDD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0,486</w:t>
            </w:r>
          </w:p>
        </w:tc>
        <w:tc>
          <w:tcPr>
            <w:tcW w:w="2693" w:type="dxa"/>
          </w:tcPr>
          <w:p w14:paraId="1B21584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07-415-ОП-МГ-А/ЩГ-170</w:t>
            </w:r>
          </w:p>
        </w:tc>
        <w:tc>
          <w:tcPr>
            <w:tcW w:w="3118" w:type="dxa"/>
          </w:tcPr>
          <w:p w14:paraId="6943554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основной</w:t>
            </w:r>
          </w:p>
        </w:tc>
        <w:tc>
          <w:tcPr>
            <w:tcW w:w="1288" w:type="dxa"/>
          </w:tcPr>
          <w:p w14:paraId="572C8B2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1944</w:t>
            </w:r>
          </w:p>
        </w:tc>
      </w:tr>
      <w:tr w:rsidR="00171AA8" w:rsidRPr="00731FE2" w14:paraId="730AC0D9" w14:textId="77777777" w:rsidTr="00EE4EC5">
        <w:tc>
          <w:tcPr>
            <w:tcW w:w="567" w:type="dxa"/>
          </w:tcPr>
          <w:p w14:paraId="59DA8B85"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30274210"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Парковый пешеход</w:t>
            </w:r>
          </w:p>
        </w:tc>
        <w:tc>
          <w:tcPr>
            <w:tcW w:w="2268" w:type="dxa"/>
          </w:tcPr>
          <w:p w14:paraId="6D1E23F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Парковый пешеход</w:t>
            </w:r>
          </w:p>
        </w:tc>
        <w:tc>
          <w:tcPr>
            <w:tcW w:w="1843" w:type="dxa"/>
          </w:tcPr>
          <w:p w14:paraId="3857D2B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0,850</w:t>
            </w:r>
          </w:p>
        </w:tc>
        <w:tc>
          <w:tcPr>
            <w:tcW w:w="2693" w:type="dxa"/>
          </w:tcPr>
          <w:p w14:paraId="1C3B91A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07-415-ОП-МГ-А-171</w:t>
            </w:r>
          </w:p>
        </w:tc>
        <w:tc>
          <w:tcPr>
            <w:tcW w:w="3118" w:type="dxa"/>
          </w:tcPr>
          <w:p w14:paraId="3450292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основной</w:t>
            </w:r>
          </w:p>
        </w:tc>
        <w:tc>
          <w:tcPr>
            <w:tcW w:w="1288" w:type="dxa"/>
          </w:tcPr>
          <w:p w14:paraId="0246D94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5950</w:t>
            </w:r>
          </w:p>
        </w:tc>
      </w:tr>
      <w:tr w:rsidR="00171AA8" w:rsidRPr="00731FE2" w14:paraId="35A88F3D" w14:textId="77777777" w:rsidTr="00EE4EC5">
        <w:tc>
          <w:tcPr>
            <w:tcW w:w="567" w:type="dxa"/>
          </w:tcPr>
          <w:p w14:paraId="7E954449"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3F69943D"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Партизанская</w:t>
            </w:r>
          </w:p>
        </w:tc>
        <w:tc>
          <w:tcPr>
            <w:tcW w:w="2268" w:type="dxa"/>
          </w:tcPr>
          <w:p w14:paraId="5068BB6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Партизанская</w:t>
            </w:r>
          </w:p>
        </w:tc>
        <w:tc>
          <w:tcPr>
            <w:tcW w:w="1843" w:type="dxa"/>
          </w:tcPr>
          <w:p w14:paraId="5CEA570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0,180</w:t>
            </w:r>
          </w:p>
        </w:tc>
        <w:tc>
          <w:tcPr>
            <w:tcW w:w="2693" w:type="dxa"/>
          </w:tcPr>
          <w:p w14:paraId="251A787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07-415-ОП-МГ-А/ЩГ-172</w:t>
            </w:r>
          </w:p>
        </w:tc>
        <w:tc>
          <w:tcPr>
            <w:tcW w:w="3118" w:type="dxa"/>
          </w:tcPr>
          <w:p w14:paraId="038D73C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649EA83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720</w:t>
            </w:r>
          </w:p>
        </w:tc>
      </w:tr>
      <w:tr w:rsidR="00171AA8" w:rsidRPr="00731FE2" w14:paraId="132FAC2F" w14:textId="77777777" w:rsidTr="00EE4EC5">
        <w:tc>
          <w:tcPr>
            <w:tcW w:w="567" w:type="dxa"/>
          </w:tcPr>
          <w:p w14:paraId="1E8BECA8"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7902A62B"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Пархоменко</w:t>
            </w:r>
          </w:p>
        </w:tc>
        <w:tc>
          <w:tcPr>
            <w:tcW w:w="2268" w:type="dxa"/>
          </w:tcPr>
          <w:p w14:paraId="75ADC83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Пархоменко</w:t>
            </w:r>
          </w:p>
        </w:tc>
        <w:tc>
          <w:tcPr>
            <w:tcW w:w="1843" w:type="dxa"/>
          </w:tcPr>
          <w:p w14:paraId="26E6C4E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0,130</w:t>
            </w:r>
          </w:p>
        </w:tc>
        <w:tc>
          <w:tcPr>
            <w:tcW w:w="2693" w:type="dxa"/>
          </w:tcPr>
          <w:p w14:paraId="7E1D243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07-415-ОП-МГ-А-173</w:t>
            </w:r>
          </w:p>
        </w:tc>
        <w:tc>
          <w:tcPr>
            <w:tcW w:w="3118" w:type="dxa"/>
          </w:tcPr>
          <w:p w14:paraId="3F04333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1F2CC28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520</w:t>
            </w:r>
          </w:p>
        </w:tc>
      </w:tr>
      <w:tr w:rsidR="00171AA8" w:rsidRPr="00731FE2" w14:paraId="669822E0" w14:textId="77777777" w:rsidTr="00EE4EC5">
        <w:tc>
          <w:tcPr>
            <w:tcW w:w="567" w:type="dxa"/>
          </w:tcPr>
          <w:p w14:paraId="26ED3335"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74D25191"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Первомайский проспект</w:t>
            </w:r>
          </w:p>
        </w:tc>
        <w:tc>
          <w:tcPr>
            <w:tcW w:w="2268" w:type="dxa"/>
          </w:tcPr>
          <w:p w14:paraId="4390154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Первомайский проспект</w:t>
            </w:r>
          </w:p>
        </w:tc>
        <w:tc>
          <w:tcPr>
            <w:tcW w:w="1843" w:type="dxa"/>
          </w:tcPr>
          <w:p w14:paraId="098DD49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0,880</w:t>
            </w:r>
          </w:p>
        </w:tc>
        <w:tc>
          <w:tcPr>
            <w:tcW w:w="2693" w:type="dxa"/>
          </w:tcPr>
          <w:p w14:paraId="2120448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07-415-ОП-МГ-А-174</w:t>
            </w:r>
          </w:p>
        </w:tc>
        <w:tc>
          <w:tcPr>
            <w:tcW w:w="3118" w:type="dxa"/>
          </w:tcPr>
          <w:p w14:paraId="6DF1829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IV, улица районного значения транспортно-пешеходная</w:t>
            </w:r>
          </w:p>
        </w:tc>
        <w:tc>
          <w:tcPr>
            <w:tcW w:w="1288" w:type="dxa"/>
          </w:tcPr>
          <w:p w14:paraId="652C111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7480</w:t>
            </w:r>
          </w:p>
        </w:tc>
      </w:tr>
      <w:tr w:rsidR="00171AA8" w:rsidRPr="00731FE2" w14:paraId="70EF58AD" w14:textId="77777777" w:rsidTr="00EE4EC5">
        <w:tc>
          <w:tcPr>
            <w:tcW w:w="567" w:type="dxa"/>
          </w:tcPr>
          <w:p w14:paraId="757ED9D1"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1E771D17"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Пешеходная</w:t>
            </w:r>
          </w:p>
        </w:tc>
        <w:tc>
          <w:tcPr>
            <w:tcW w:w="2268" w:type="dxa"/>
          </w:tcPr>
          <w:p w14:paraId="5AA3C01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Пешеходная</w:t>
            </w:r>
          </w:p>
        </w:tc>
        <w:tc>
          <w:tcPr>
            <w:tcW w:w="1843" w:type="dxa"/>
          </w:tcPr>
          <w:p w14:paraId="570C154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0,479</w:t>
            </w:r>
          </w:p>
        </w:tc>
        <w:tc>
          <w:tcPr>
            <w:tcW w:w="2693" w:type="dxa"/>
          </w:tcPr>
          <w:p w14:paraId="059A35F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07-415-ОП-МГ-А-175</w:t>
            </w:r>
          </w:p>
        </w:tc>
        <w:tc>
          <w:tcPr>
            <w:tcW w:w="3118" w:type="dxa"/>
          </w:tcPr>
          <w:p w14:paraId="08151C6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2CEF3C7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2395</w:t>
            </w:r>
          </w:p>
        </w:tc>
      </w:tr>
      <w:tr w:rsidR="00171AA8" w:rsidRPr="00731FE2" w14:paraId="305A5EF8" w14:textId="77777777" w:rsidTr="00EE4EC5">
        <w:tc>
          <w:tcPr>
            <w:tcW w:w="567" w:type="dxa"/>
          </w:tcPr>
          <w:p w14:paraId="2929CE93"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43E69C44"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Пикетный переулок</w:t>
            </w:r>
          </w:p>
        </w:tc>
        <w:tc>
          <w:tcPr>
            <w:tcW w:w="2268" w:type="dxa"/>
          </w:tcPr>
          <w:p w14:paraId="0105C5C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Пикетный переулок</w:t>
            </w:r>
          </w:p>
        </w:tc>
        <w:tc>
          <w:tcPr>
            <w:tcW w:w="1843" w:type="dxa"/>
          </w:tcPr>
          <w:p w14:paraId="558049E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0,733</w:t>
            </w:r>
          </w:p>
        </w:tc>
        <w:tc>
          <w:tcPr>
            <w:tcW w:w="2693" w:type="dxa"/>
          </w:tcPr>
          <w:p w14:paraId="35A076D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07-415-ОП-МГ-А/Б-176</w:t>
            </w:r>
          </w:p>
        </w:tc>
        <w:tc>
          <w:tcPr>
            <w:tcW w:w="3118" w:type="dxa"/>
          </w:tcPr>
          <w:p w14:paraId="67FB08F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2492D74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3665</w:t>
            </w:r>
          </w:p>
        </w:tc>
      </w:tr>
      <w:tr w:rsidR="00171AA8" w:rsidRPr="00731FE2" w14:paraId="060A852A" w14:textId="77777777" w:rsidTr="00EE4EC5">
        <w:tc>
          <w:tcPr>
            <w:tcW w:w="567" w:type="dxa"/>
          </w:tcPr>
          <w:p w14:paraId="15FA1A33"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36CBE2A8"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Пионерская (вверх от улицы Марцинкевича)</w:t>
            </w:r>
          </w:p>
        </w:tc>
        <w:tc>
          <w:tcPr>
            <w:tcW w:w="2268" w:type="dxa"/>
          </w:tcPr>
          <w:p w14:paraId="46C30F7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Пионерская (вверх от улицы Марцинкевича)</w:t>
            </w:r>
          </w:p>
        </w:tc>
        <w:tc>
          <w:tcPr>
            <w:tcW w:w="1843" w:type="dxa"/>
          </w:tcPr>
          <w:p w14:paraId="4435FAB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0,540</w:t>
            </w:r>
          </w:p>
        </w:tc>
        <w:tc>
          <w:tcPr>
            <w:tcW w:w="2693" w:type="dxa"/>
          </w:tcPr>
          <w:p w14:paraId="65DF085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07-415-ОП-МГ-А/ЩГ-177</w:t>
            </w:r>
          </w:p>
        </w:tc>
        <w:tc>
          <w:tcPr>
            <w:tcW w:w="3118" w:type="dxa"/>
          </w:tcPr>
          <w:p w14:paraId="384F68E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5978B02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2160</w:t>
            </w:r>
          </w:p>
        </w:tc>
      </w:tr>
      <w:tr w:rsidR="00171AA8" w:rsidRPr="00731FE2" w14:paraId="2A55FE18" w14:textId="77777777" w:rsidTr="00EE4EC5">
        <w:tc>
          <w:tcPr>
            <w:tcW w:w="567" w:type="dxa"/>
          </w:tcPr>
          <w:p w14:paraId="5CA34A30"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7F61FA89"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Пионерская (от ул. Азербайджанской до ул. Мацинкевича</w:t>
            </w:r>
          </w:p>
        </w:tc>
        <w:tc>
          <w:tcPr>
            <w:tcW w:w="2268" w:type="dxa"/>
          </w:tcPr>
          <w:p w14:paraId="6CD5579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Пионерская (от ул. Азербайджанской до ул. Мацинкевича</w:t>
            </w:r>
          </w:p>
        </w:tc>
        <w:tc>
          <w:tcPr>
            <w:tcW w:w="1843" w:type="dxa"/>
          </w:tcPr>
          <w:p w14:paraId="4F8D7B5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0,274</w:t>
            </w:r>
          </w:p>
        </w:tc>
        <w:tc>
          <w:tcPr>
            <w:tcW w:w="2693" w:type="dxa"/>
          </w:tcPr>
          <w:p w14:paraId="01C1A9D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07-415-ОП-МГ-А/ЩГ-178</w:t>
            </w:r>
          </w:p>
        </w:tc>
        <w:tc>
          <w:tcPr>
            <w:tcW w:w="3118" w:type="dxa"/>
          </w:tcPr>
          <w:p w14:paraId="7D9CC8B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02CDC04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1370</w:t>
            </w:r>
          </w:p>
        </w:tc>
      </w:tr>
      <w:tr w:rsidR="00171AA8" w:rsidRPr="00731FE2" w14:paraId="43C3722B" w14:textId="77777777" w:rsidTr="00EE4EC5">
        <w:tc>
          <w:tcPr>
            <w:tcW w:w="567" w:type="dxa"/>
          </w:tcPr>
          <w:p w14:paraId="4001AF32"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1BAADECB"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Победы проспект</w:t>
            </w:r>
          </w:p>
        </w:tc>
        <w:tc>
          <w:tcPr>
            <w:tcW w:w="2268" w:type="dxa"/>
          </w:tcPr>
          <w:p w14:paraId="0531CC1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Победы проспект</w:t>
            </w:r>
          </w:p>
        </w:tc>
        <w:tc>
          <w:tcPr>
            <w:tcW w:w="1843" w:type="dxa"/>
          </w:tcPr>
          <w:p w14:paraId="6270617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4,773</w:t>
            </w:r>
          </w:p>
        </w:tc>
        <w:tc>
          <w:tcPr>
            <w:tcW w:w="2693" w:type="dxa"/>
          </w:tcPr>
          <w:p w14:paraId="0C58899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07-415-ОП-МГ-А-179</w:t>
            </w:r>
          </w:p>
        </w:tc>
        <w:tc>
          <w:tcPr>
            <w:tcW w:w="3118" w:type="dxa"/>
          </w:tcPr>
          <w:p w14:paraId="3BA2705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IV, магистральная улица, регулируемого движения</w:t>
            </w:r>
          </w:p>
        </w:tc>
        <w:tc>
          <w:tcPr>
            <w:tcW w:w="1288" w:type="dxa"/>
          </w:tcPr>
          <w:p w14:paraId="61BDA72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57276</w:t>
            </w:r>
          </w:p>
        </w:tc>
      </w:tr>
      <w:tr w:rsidR="00171AA8" w:rsidRPr="00731FE2" w14:paraId="23BF58DA" w14:textId="77777777" w:rsidTr="00EE4EC5">
        <w:tc>
          <w:tcPr>
            <w:tcW w:w="567" w:type="dxa"/>
          </w:tcPr>
          <w:p w14:paraId="3BFFA906"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5A041701"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Пограничная</w:t>
            </w:r>
          </w:p>
        </w:tc>
        <w:tc>
          <w:tcPr>
            <w:tcW w:w="2268" w:type="dxa"/>
          </w:tcPr>
          <w:p w14:paraId="69F37AA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Пограничная</w:t>
            </w:r>
          </w:p>
        </w:tc>
        <w:tc>
          <w:tcPr>
            <w:tcW w:w="1843" w:type="dxa"/>
          </w:tcPr>
          <w:p w14:paraId="3CB5F53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0,247</w:t>
            </w:r>
          </w:p>
        </w:tc>
        <w:tc>
          <w:tcPr>
            <w:tcW w:w="2693" w:type="dxa"/>
          </w:tcPr>
          <w:p w14:paraId="2B8E46C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07-415-ОП-МГ-А/ЩГ-180</w:t>
            </w:r>
          </w:p>
        </w:tc>
        <w:tc>
          <w:tcPr>
            <w:tcW w:w="3118" w:type="dxa"/>
          </w:tcPr>
          <w:p w14:paraId="0C3E38C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IV, проезд основной</w:t>
            </w:r>
          </w:p>
        </w:tc>
        <w:tc>
          <w:tcPr>
            <w:tcW w:w="1288" w:type="dxa"/>
          </w:tcPr>
          <w:p w14:paraId="4A15072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1235</w:t>
            </w:r>
          </w:p>
        </w:tc>
      </w:tr>
      <w:tr w:rsidR="00171AA8" w:rsidRPr="00731FE2" w14:paraId="48237C4B" w14:textId="77777777" w:rsidTr="00EE4EC5">
        <w:tc>
          <w:tcPr>
            <w:tcW w:w="567" w:type="dxa"/>
          </w:tcPr>
          <w:p w14:paraId="7EC07131"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37C36860"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Подгорная</w:t>
            </w:r>
          </w:p>
        </w:tc>
        <w:tc>
          <w:tcPr>
            <w:tcW w:w="2268" w:type="dxa"/>
          </w:tcPr>
          <w:p w14:paraId="5E88033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Подгорная</w:t>
            </w:r>
          </w:p>
        </w:tc>
        <w:tc>
          <w:tcPr>
            <w:tcW w:w="1843" w:type="dxa"/>
          </w:tcPr>
          <w:p w14:paraId="22F034B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0,871</w:t>
            </w:r>
          </w:p>
        </w:tc>
        <w:tc>
          <w:tcPr>
            <w:tcW w:w="2693" w:type="dxa"/>
          </w:tcPr>
          <w:p w14:paraId="742415B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07-415-ОП-МГ-А-181</w:t>
            </w:r>
          </w:p>
        </w:tc>
        <w:tc>
          <w:tcPr>
            <w:tcW w:w="3118" w:type="dxa"/>
          </w:tcPr>
          <w:p w14:paraId="2763071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основной</w:t>
            </w:r>
          </w:p>
        </w:tc>
        <w:tc>
          <w:tcPr>
            <w:tcW w:w="1288" w:type="dxa"/>
          </w:tcPr>
          <w:p w14:paraId="1D14F5B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4355</w:t>
            </w:r>
          </w:p>
        </w:tc>
      </w:tr>
      <w:tr w:rsidR="00171AA8" w:rsidRPr="00731FE2" w14:paraId="12787210" w14:textId="77777777" w:rsidTr="00EE4EC5">
        <w:tc>
          <w:tcPr>
            <w:tcW w:w="567" w:type="dxa"/>
          </w:tcPr>
          <w:p w14:paraId="14642B08"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61D386F4"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Подкумская</w:t>
            </w:r>
          </w:p>
        </w:tc>
        <w:tc>
          <w:tcPr>
            <w:tcW w:w="2268" w:type="dxa"/>
          </w:tcPr>
          <w:p w14:paraId="0AED2F9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Подкумская</w:t>
            </w:r>
          </w:p>
        </w:tc>
        <w:tc>
          <w:tcPr>
            <w:tcW w:w="1843" w:type="dxa"/>
          </w:tcPr>
          <w:p w14:paraId="4846508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0,363</w:t>
            </w:r>
          </w:p>
        </w:tc>
        <w:tc>
          <w:tcPr>
            <w:tcW w:w="2693" w:type="dxa"/>
          </w:tcPr>
          <w:p w14:paraId="4C8BFAC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07-415-ОП-МГ-А/ЩГ-182</w:t>
            </w:r>
          </w:p>
        </w:tc>
        <w:tc>
          <w:tcPr>
            <w:tcW w:w="3118" w:type="dxa"/>
          </w:tcPr>
          <w:p w14:paraId="31204C7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основной</w:t>
            </w:r>
          </w:p>
        </w:tc>
        <w:tc>
          <w:tcPr>
            <w:tcW w:w="1288" w:type="dxa"/>
          </w:tcPr>
          <w:p w14:paraId="3F21E5C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1633,5</w:t>
            </w:r>
          </w:p>
        </w:tc>
      </w:tr>
      <w:tr w:rsidR="00171AA8" w:rsidRPr="00731FE2" w14:paraId="06E5C9B7" w14:textId="77777777" w:rsidTr="00EE4EC5">
        <w:tc>
          <w:tcPr>
            <w:tcW w:w="567" w:type="dxa"/>
          </w:tcPr>
          <w:p w14:paraId="31BC8BD5"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294D30D0"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Полевая</w:t>
            </w:r>
          </w:p>
        </w:tc>
        <w:tc>
          <w:tcPr>
            <w:tcW w:w="2268" w:type="dxa"/>
          </w:tcPr>
          <w:p w14:paraId="11566B8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Полевая</w:t>
            </w:r>
          </w:p>
        </w:tc>
        <w:tc>
          <w:tcPr>
            <w:tcW w:w="1843" w:type="dxa"/>
          </w:tcPr>
          <w:p w14:paraId="3B67532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0,524</w:t>
            </w:r>
          </w:p>
        </w:tc>
        <w:tc>
          <w:tcPr>
            <w:tcW w:w="2693" w:type="dxa"/>
          </w:tcPr>
          <w:p w14:paraId="05EE2C2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07-415-ОП-МГ-А-183</w:t>
            </w:r>
          </w:p>
        </w:tc>
        <w:tc>
          <w:tcPr>
            <w:tcW w:w="3118" w:type="dxa"/>
          </w:tcPr>
          <w:p w14:paraId="1D21A3D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2E978C1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2096</w:t>
            </w:r>
          </w:p>
        </w:tc>
      </w:tr>
      <w:tr w:rsidR="00171AA8" w:rsidRPr="00731FE2" w14:paraId="33C7AF52" w14:textId="77777777" w:rsidTr="00EE4EC5">
        <w:tc>
          <w:tcPr>
            <w:tcW w:w="567" w:type="dxa"/>
          </w:tcPr>
          <w:p w14:paraId="38781AEB"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72AD6E01"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Полтавская 1</w:t>
            </w:r>
          </w:p>
        </w:tc>
        <w:tc>
          <w:tcPr>
            <w:tcW w:w="2268" w:type="dxa"/>
          </w:tcPr>
          <w:p w14:paraId="026204E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Полтавская 1</w:t>
            </w:r>
          </w:p>
        </w:tc>
        <w:tc>
          <w:tcPr>
            <w:tcW w:w="1843" w:type="dxa"/>
          </w:tcPr>
          <w:p w14:paraId="0562614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0,200</w:t>
            </w:r>
          </w:p>
        </w:tc>
        <w:tc>
          <w:tcPr>
            <w:tcW w:w="2693" w:type="dxa"/>
          </w:tcPr>
          <w:p w14:paraId="2A3B322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07-415-ОП-МГ-А-184</w:t>
            </w:r>
          </w:p>
        </w:tc>
        <w:tc>
          <w:tcPr>
            <w:tcW w:w="3118" w:type="dxa"/>
          </w:tcPr>
          <w:p w14:paraId="3BFF933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основной</w:t>
            </w:r>
          </w:p>
        </w:tc>
        <w:tc>
          <w:tcPr>
            <w:tcW w:w="1288" w:type="dxa"/>
          </w:tcPr>
          <w:p w14:paraId="56C08C0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900</w:t>
            </w:r>
          </w:p>
        </w:tc>
      </w:tr>
      <w:tr w:rsidR="00171AA8" w:rsidRPr="00731FE2" w14:paraId="793E704D" w14:textId="77777777" w:rsidTr="00EE4EC5">
        <w:tc>
          <w:tcPr>
            <w:tcW w:w="567" w:type="dxa"/>
          </w:tcPr>
          <w:p w14:paraId="0E9DB608"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535D1132"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Полтавская 2</w:t>
            </w:r>
          </w:p>
        </w:tc>
        <w:tc>
          <w:tcPr>
            <w:tcW w:w="2268" w:type="dxa"/>
          </w:tcPr>
          <w:p w14:paraId="34697F2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Полтавская 2</w:t>
            </w:r>
          </w:p>
        </w:tc>
        <w:tc>
          <w:tcPr>
            <w:tcW w:w="1843" w:type="dxa"/>
          </w:tcPr>
          <w:p w14:paraId="4E40131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0,212</w:t>
            </w:r>
          </w:p>
        </w:tc>
        <w:tc>
          <w:tcPr>
            <w:tcW w:w="2693" w:type="dxa"/>
          </w:tcPr>
          <w:p w14:paraId="0B2A743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07-415-ОП-МГ-А-185</w:t>
            </w:r>
          </w:p>
        </w:tc>
        <w:tc>
          <w:tcPr>
            <w:tcW w:w="3118" w:type="dxa"/>
          </w:tcPr>
          <w:p w14:paraId="76B82CC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основной</w:t>
            </w:r>
          </w:p>
        </w:tc>
        <w:tc>
          <w:tcPr>
            <w:tcW w:w="1288" w:type="dxa"/>
          </w:tcPr>
          <w:p w14:paraId="129BACB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954</w:t>
            </w:r>
          </w:p>
        </w:tc>
      </w:tr>
      <w:tr w:rsidR="00171AA8" w:rsidRPr="00731FE2" w14:paraId="0FFF7AB4" w14:textId="77777777" w:rsidTr="00EE4EC5">
        <w:tc>
          <w:tcPr>
            <w:tcW w:w="567" w:type="dxa"/>
          </w:tcPr>
          <w:p w14:paraId="6B67292A"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6FA31F60"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Пороховая</w:t>
            </w:r>
          </w:p>
        </w:tc>
        <w:tc>
          <w:tcPr>
            <w:tcW w:w="2268" w:type="dxa"/>
          </w:tcPr>
          <w:p w14:paraId="5FF78E1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Пороховая</w:t>
            </w:r>
          </w:p>
        </w:tc>
        <w:tc>
          <w:tcPr>
            <w:tcW w:w="1843" w:type="dxa"/>
          </w:tcPr>
          <w:p w14:paraId="3713486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0,815</w:t>
            </w:r>
          </w:p>
        </w:tc>
        <w:tc>
          <w:tcPr>
            <w:tcW w:w="2693" w:type="dxa"/>
          </w:tcPr>
          <w:p w14:paraId="79CD396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07-415-ОП-МГ-А/ЩГ-186</w:t>
            </w:r>
          </w:p>
        </w:tc>
        <w:tc>
          <w:tcPr>
            <w:tcW w:w="3118" w:type="dxa"/>
          </w:tcPr>
          <w:p w14:paraId="512142F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основной</w:t>
            </w:r>
          </w:p>
        </w:tc>
        <w:tc>
          <w:tcPr>
            <w:tcW w:w="1288" w:type="dxa"/>
          </w:tcPr>
          <w:p w14:paraId="04140B3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4482,5</w:t>
            </w:r>
          </w:p>
        </w:tc>
      </w:tr>
      <w:tr w:rsidR="00171AA8" w:rsidRPr="00731FE2" w14:paraId="7173DEFF" w14:textId="77777777" w:rsidTr="00EE4EC5">
        <w:tc>
          <w:tcPr>
            <w:tcW w:w="567" w:type="dxa"/>
          </w:tcPr>
          <w:p w14:paraId="5712FB92"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0E49E204"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Пороховой переулок</w:t>
            </w:r>
          </w:p>
        </w:tc>
        <w:tc>
          <w:tcPr>
            <w:tcW w:w="2268" w:type="dxa"/>
          </w:tcPr>
          <w:p w14:paraId="43705BF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Пороховой переулок</w:t>
            </w:r>
          </w:p>
        </w:tc>
        <w:tc>
          <w:tcPr>
            <w:tcW w:w="1843" w:type="dxa"/>
          </w:tcPr>
          <w:p w14:paraId="4885DD0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0,364</w:t>
            </w:r>
          </w:p>
        </w:tc>
        <w:tc>
          <w:tcPr>
            <w:tcW w:w="2693" w:type="dxa"/>
          </w:tcPr>
          <w:p w14:paraId="527CAFB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07-415-ОП-МГ-А/ЩГ-187</w:t>
            </w:r>
          </w:p>
        </w:tc>
        <w:tc>
          <w:tcPr>
            <w:tcW w:w="3118" w:type="dxa"/>
          </w:tcPr>
          <w:p w14:paraId="146D70A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4587452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1638</w:t>
            </w:r>
          </w:p>
        </w:tc>
      </w:tr>
      <w:tr w:rsidR="00171AA8" w:rsidRPr="00731FE2" w14:paraId="398A4E0B" w14:textId="77777777" w:rsidTr="00EE4EC5">
        <w:tc>
          <w:tcPr>
            <w:tcW w:w="567" w:type="dxa"/>
          </w:tcPr>
          <w:p w14:paraId="053EDEF1"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57FB723B"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Почтовый переулок</w:t>
            </w:r>
          </w:p>
        </w:tc>
        <w:tc>
          <w:tcPr>
            <w:tcW w:w="2268" w:type="dxa"/>
          </w:tcPr>
          <w:p w14:paraId="645A217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Почтовый переулок</w:t>
            </w:r>
          </w:p>
        </w:tc>
        <w:tc>
          <w:tcPr>
            <w:tcW w:w="1843" w:type="dxa"/>
          </w:tcPr>
          <w:p w14:paraId="70C3B35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0,110</w:t>
            </w:r>
          </w:p>
        </w:tc>
        <w:tc>
          <w:tcPr>
            <w:tcW w:w="2693" w:type="dxa"/>
          </w:tcPr>
          <w:p w14:paraId="1EC4F9C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07-415-ОП-МГ-А-188</w:t>
            </w:r>
          </w:p>
        </w:tc>
        <w:tc>
          <w:tcPr>
            <w:tcW w:w="3118" w:type="dxa"/>
          </w:tcPr>
          <w:p w14:paraId="05AE74C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основной</w:t>
            </w:r>
          </w:p>
        </w:tc>
        <w:tc>
          <w:tcPr>
            <w:tcW w:w="1288" w:type="dxa"/>
          </w:tcPr>
          <w:p w14:paraId="10C3907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550</w:t>
            </w:r>
          </w:p>
        </w:tc>
      </w:tr>
      <w:tr w:rsidR="00171AA8" w:rsidRPr="00731FE2" w14:paraId="3A13CDDC" w14:textId="77777777" w:rsidTr="00EE4EC5">
        <w:tc>
          <w:tcPr>
            <w:tcW w:w="567" w:type="dxa"/>
          </w:tcPr>
          <w:p w14:paraId="09E0DEE8"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12D414C5"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Привокзальная площадь</w:t>
            </w:r>
          </w:p>
        </w:tc>
        <w:tc>
          <w:tcPr>
            <w:tcW w:w="2268" w:type="dxa"/>
          </w:tcPr>
          <w:p w14:paraId="6D2D7CA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Привокзальная площадь</w:t>
            </w:r>
          </w:p>
        </w:tc>
        <w:tc>
          <w:tcPr>
            <w:tcW w:w="1843" w:type="dxa"/>
          </w:tcPr>
          <w:p w14:paraId="0514815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0,179</w:t>
            </w:r>
          </w:p>
        </w:tc>
        <w:tc>
          <w:tcPr>
            <w:tcW w:w="2693" w:type="dxa"/>
          </w:tcPr>
          <w:p w14:paraId="7EB1C82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07-415-ОП-МГ-А-189</w:t>
            </w:r>
          </w:p>
        </w:tc>
        <w:tc>
          <w:tcPr>
            <w:tcW w:w="3118" w:type="dxa"/>
          </w:tcPr>
          <w:p w14:paraId="055793A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IV, улица районного значения транспортно-пешеходная</w:t>
            </w:r>
          </w:p>
        </w:tc>
        <w:tc>
          <w:tcPr>
            <w:tcW w:w="1288" w:type="dxa"/>
          </w:tcPr>
          <w:p w14:paraId="0BC906B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w:t>
            </w:r>
          </w:p>
        </w:tc>
      </w:tr>
      <w:tr w:rsidR="00171AA8" w:rsidRPr="00731FE2" w14:paraId="7D33A3C4" w14:textId="77777777" w:rsidTr="00EE4EC5">
        <w:tc>
          <w:tcPr>
            <w:tcW w:w="567" w:type="dxa"/>
          </w:tcPr>
          <w:p w14:paraId="24CD44EB"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71D9B699"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Промышленная</w:t>
            </w:r>
          </w:p>
        </w:tc>
        <w:tc>
          <w:tcPr>
            <w:tcW w:w="2268" w:type="dxa"/>
          </w:tcPr>
          <w:p w14:paraId="483EF38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Промышленная</w:t>
            </w:r>
          </w:p>
        </w:tc>
        <w:tc>
          <w:tcPr>
            <w:tcW w:w="1843" w:type="dxa"/>
          </w:tcPr>
          <w:p w14:paraId="321099A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2,470</w:t>
            </w:r>
          </w:p>
        </w:tc>
        <w:tc>
          <w:tcPr>
            <w:tcW w:w="2693" w:type="dxa"/>
          </w:tcPr>
          <w:p w14:paraId="41E40DF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07-415-ОП-МГ-А-190</w:t>
            </w:r>
          </w:p>
        </w:tc>
        <w:tc>
          <w:tcPr>
            <w:tcW w:w="3118" w:type="dxa"/>
          </w:tcPr>
          <w:p w14:paraId="64F966B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улица районного значения транспортно-пешеходная</w:t>
            </w:r>
          </w:p>
        </w:tc>
        <w:tc>
          <w:tcPr>
            <w:tcW w:w="1288" w:type="dxa"/>
          </w:tcPr>
          <w:p w14:paraId="4EE6897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20995</w:t>
            </w:r>
          </w:p>
        </w:tc>
      </w:tr>
      <w:tr w:rsidR="00171AA8" w:rsidRPr="00731FE2" w14:paraId="5EDF4E4A" w14:textId="77777777" w:rsidTr="00EE4EC5">
        <w:tc>
          <w:tcPr>
            <w:tcW w:w="567" w:type="dxa"/>
          </w:tcPr>
          <w:p w14:paraId="411E8FBD"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4C7D111D"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Профинтерна</w:t>
            </w:r>
          </w:p>
        </w:tc>
        <w:tc>
          <w:tcPr>
            <w:tcW w:w="2268" w:type="dxa"/>
          </w:tcPr>
          <w:p w14:paraId="75065C0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Профинтерна</w:t>
            </w:r>
          </w:p>
        </w:tc>
        <w:tc>
          <w:tcPr>
            <w:tcW w:w="1843" w:type="dxa"/>
          </w:tcPr>
          <w:p w14:paraId="10045D5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2,260</w:t>
            </w:r>
          </w:p>
        </w:tc>
        <w:tc>
          <w:tcPr>
            <w:tcW w:w="2693" w:type="dxa"/>
          </w:tcPr>
          <w:p w14:paraId="127EB23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07-415-ОП-МГ-А-191</w:t>
            </w:r>
          </w:p>
        </w:tc>
        <w:tc>
          <w:tcPr>
            <w:tcW w:w="3118" w:type="dxa"/>
          </w:tcPr>
          <w:p w14:paraId="2188DF3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IV, проезд основной</w:t>
            </w:r>
          </w:p>
        </w:tc>
        <w:tc>
          <w:tcPr>
            <w:tcW w:w="1288" w:type="dxa"/>
          </w:tcPr>
          <w:p w14:paraId="1AE85A5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11300</w:t>
            </w:r>
          </w:p>
        </w:tc>
      </w:tr>
      <w:tr w:rsidR="00171AA8" w:rsidRPr="00731FE2" w14:paraId="6FFB705C" w14:textId="77777777" w:rsidTr="00EE4EC5">
        <w:tc>
          <w:tcPr>
            <w:tcW w:w="567" w:type="dxa"/>
          </w:tcPr>
          <w:p w14:paraId="37CB690A"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11897DA7"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Прудная</w:t>
            </w:r>
          </w:p>
        </w:tc>
        <w:tc>
          <w:tcPr>
            <w:tcW w:w="2268" w:type="dxa"/>
          </w:tcPr>
          <w:p w14:paraId="62A61B0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Прудная</w:t>
            </w:r>
          </w:p>
        </w:tc>
        <w:tc>
          <w:tcPr>
            <w:tcW w:w="1843" w:type="dxa"/>
          </w:tcPr>
          <w:p w14:paraId="1968A21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5,060</w:t>
            </w:r>
          </w:p>
        </w:tc>
        <w:tc>
          <w:tcPr>
            <w:tcW w:w="2693" w:type="dxa"/>
          </w:tcPr>
          <w:p w14:paraId="5E1EC9B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07-415-ОП-МГ-А-192</w:t>
            </w:r>
          </w:p>
        </w:tc>
        <w:tc>
          <w:tcPr>
            <w:tcW w:w="3118" w:type="dxa"/>
          </w:tcPr>
          <w:p w14:paraId="5E2DFD6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IV, улица районного значения транспортно-пешеходная</w:t>
            </w:r>
          </w:p>
        </w:tc>
        <w:tc>
          <w:tcPr>
            <w:tcW w:w="1288" w:type="dxa"/>
          </w:tcPr>
          <w:p w14:paraId="2560070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35420</w:t>
            </w:r>
          </w:p>
        </w:tc>
      </w:tr>
      <w:tr w:rsidR="00171AA8" w:rsidRPr="00731FE2" w14:paraId="49403539" w14:textId="77777777" w:rsidTr="00EE4EC5">
        <w:tc>
          <w:tcPr>
            <w:tcW w:w="567" w:type="dxa"/>
          </w:tcPr>
          <w:p w14:paraId="1C12762E"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0B4C86D3"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Прудная (Дорога на Гос. Дачу)</w:t>
            </w:r>
          </w:p>
        </w:tc>
        <w:tc>
          <w:tcPr>
            <w:tcW w:w="2268" w:type="dxa"/>
          </w:tcPr>
          <w:p w14:paraId="11DD046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Прудная (Дорога на Гос. Дачу)</w:t>
            </w:r>
          </w:p>
        </w:tc>
        <w:tc>
          <w:tcPr>
            <w:tcW w:w="1843" w:type="dxa"/>
          </w:tcPr>
          <w:p w14:paraId="66FE9C4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3,480</w:t>
            </w:r>
          </w:p>
        </w:tc>
        <w:tc>
          <w:tcPr>
            <w:tcW w:w="2693" w:type="dxa"/>
          </w:tcPr>
          <w:p w14:paraId="50BE978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07-415-ОП-МГ-А-193</w:t>
            </w:r>
          </w:p>
        </w:tc>
        <w:tc>
          <w:tcPr>
            <w:tcW w:w="3118" w:type="dxa"/>
          </w:tcPr>
          <w:p w14:paraId="3AC8DFC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IV, улица районного значения транспортно-пешеходная</w:t>
            </w:r>
          </w:p>
        </w:tc>
        <w:tc>
          <w:tcPr>
            <w:tcW w:w="1288" w:type="dxa"/>
          </w:tcPr>
          <w:p w14:paraId="473EA4A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20880</w:t>
            </w:r>
          </w:p>
        </w:tc>
      </w:tr>
      <w:tr w:rsidR="00171AA8" w:rsidRPr="00731FE2" w14:paraId="0DC77A33" w14:textId="77777777" w:rsidTr="00EE4EC5">
        <w:tc>
          <w:tcPr>
            <w:tcW w:w="567" w:type="dxa"/>
          </w:tcPr>
          <w:p w14:paraId="3F46A446"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1418DFBC"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Пугачева</w:t>
            </w:r>
          </w:p>
        </w:tc>
        <w:tc>
          <w:tcPr>
            <w:tcW w:w="2268" w:type="dxa"/>
          </w:tcPr>
          <w:p w14:paraId="194BDBA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Пугачева</w:t>
            </w:r>
          </w:p>
        </w:tc>
        <w:tc>
          <w:tcPr>
            <w:tcW w:w="1843" w:type="dxa"/>
          </w:tcPr>
          <w:p w14:paraId="0E3683E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0,222</w:t>
            </w:r>
          </w:p>
        </w:tc>
        <w:tc>
          <w:tcPr>
            <w:tcW w:w="2693" w:type="dxa"/>
          </w:tcPr>
          <w:p w14:paraId="5C6E7CB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07-415-ОП-МГ-ЩГ-194</w:t>
            </w:r>
          </w:p>
        </w:tc>
        <w:tc>
          <w:tcPr>
            <w:tcW w:w="3118" w:type="dxa"/>
          </w:tcPr>
          <w:p w14:paraId="15B3963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2596304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666</w:t>
            </w:r>
          </w:p>
        </w:tc>
      </w:tr>
      <w:tr w:rsidR="00171AA8" w:rsidRPr="00731FE2" w14:paraId="34BCE409" w14:textId="77777777" w:rsidTr="00EE4EC5">
        <w:tc>
          <w:tcPr>
            <w:tcW w:w="567" w:type="dxa"/>
          </w:tcPr>
          <w:p w14:paraId="38A7BEE9"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1653B5F5"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Пушкина</w:t>
            </w:r>
          </w:p>
        </w:tc>
        <w:tc>
          <w:tcPr>
            <w:tcW w:w="2268" w:type="dxa"/>
          </w:tcPr>
          <w:p w14:paraId="24782C2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Пушкина</w:t>
            </w:r>
          </w:p>
        </w:tc>
        <w:tc>
          <w:tcPr>
            <w:tcW w:w="1843" w:type="dxa"/>
          </w:tcPr>
          <w:p w14:paraId="3142BE3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1,348</w:t>
            </w:r>
          </w:p>
        </w:tc>
        <w:tc>
          <w:tcPr>
            <w:tcW w:w="2693" w:type="dxa"/>
          </w:tcPr>
          <w:p w14:paraId="6887387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07-415-ОП-МГ-А/ЩГ-195</w:t>
            </w:r>
          </w:p>
        </w:tc>
        <w:tc>
          <w:tcPr>
            <w:tcW w:w="3118" w:type="dxa"/>
          </w:tcPr>
          <w:p w14:paraId="268DFED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IV, проезд основной</w:t>
            </w:r>
          </w:p>
        </w:tc>
        <w:tc>
          <w:tcPr>
            <w:tcW w:w="1288" w:type="dxa"/>
          </w:tcPr>
          <w:p w14:paraId="3075DD7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6740</w:t>
            </w:r>
          </w:p>
        </w:tc>
      </w:tr>
      <w:tr w:rsidR="00171AA8" w:rsidRPr="00731FE2" w14:paraId="279F6B9E" w14:textId="77777777" w:rsidTr="00EE4EC5">
        <w:tc>
          <w:tcPr>
            <w:tcW w:w="567" w:type="dxa"/>
          </w:tcPr>
          <w:p w14:paraId="4D84F8A6"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0143C7CF"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Пушкина переулок</w:t>
            </w:r>
          </w:p>
        </w:tc>
        <w:tc>
          <w:tcPr>
            <w:tcW w:w="2268" w:type="dxa"/>
          </w:tcPr>
          <w:p w14:paraId="2054F8F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Пушкина переулок</w:t>
            </w:r>
          </w:p>
        </w:tc>
        <w:tc>
          <w:tcPr>
            <w:tcW w:w="1843" w:type="dxa"/>
          </w:tcPr>
          <w:p w14:paraId="76DFC80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0,230</w:t>
            </w:r>
          </w:p>
        </w:tc>
        <w:tc>
          <w:tcPr>
            <w:tcW w:w="2693" w:type="dxa"/>
          </w:tcPr>
          <w:p w14:paraId="02090DD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07-415-ОП-МГ-А-196</w:t>
            </w:r>
          </w:p>
        </w:tc>
        <w:tc>
          <w:tcPr>
            <w:tcW w:w="3118" w:type="dxa"/>
          </w:tcPr>
          <w:p w14:paraId="3064E52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29B88A5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920</w:t>
            </w:r>
          </w:p>
        </w:tc>
      </w:tr>
      <w:tr w:rsidR="00171AA8" w:rsidRPr="00731FE2" w14:paraId="6E5A7E9C" w14:textId="77777777" w:rsidTr="00EE4EC5">
        <w:tc>
          <w:tcPr>
            <w:tcW w:w="567" w:type="dxa"/>
          </w:tcPr>
          <w:p w14:paraId="29F06198"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05DCCBDB"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Пчелиная</w:t>
            </w:r>
          </w:p>
        </w:tc>
        <w:tc>
          <w:tcPr>
            <w:tcW w:w="2268" w:type="dxa"/>
          </w:tcPr>
          <w:p w14:paraId="0285368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Пчелиная</w:t>
            </w:r>
          </w:p>
        </w:tc>
        <w:tc>
          <w:tcPr>
            <w:tcW w:w="1843" w:type="dxa"/>
          </w:tcPr>
          <w:p w14:paraId="4B8A763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0,411</w:t>
            </w:r>
          </w:p>
        </w:tc>
        <w:tc>
          <w:tcPr>
            <w:tcW w:w="2693" w:type="dxa"/>
          </w:tcPr>
          <w:p w14:paraId="19E628A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07-415-ОП-МГ-А/ЩГ-197</w:t>
            </w:r>
          </w:p>
        </w:tc>
        <w:tc>
          <w:tcPr>
            <w:tcW w:w="3118" w:type="dxa"/>
          </w:tcPr>
          <w:p w14:paraId="2DB14A4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057B82E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1438,5</w:t>
            </w:r>
          </w:p>
        </w:tc>
      </w:tr>
      <w:tr w:rsidR="00171AA8" w:rsidRPr="00731FE2" w14:paraId="7CFF6AB1" w14:textId="77777777" w:rsidTr="00EE4EC5">
        <w:tc>
          <w:tcPr>
            <w:tcW w:w="567" w:type="dxa"/>
          </w:tcPr>
          <w:p w14:paraId="20B80F93"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503A3944"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Пятигорская</w:t>
            </w:r>
          </w:p>
        </w:tc>
        <w:tc>
          <w:tcPr>
            <w:tcW w:w="2268" w:type="dxa"/>
          </w:tcPr>
          <w:p w14:paraId="64B3CEC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Пятигорская</w:t>
            </w:r>
          </w:p>
        </w:tc>
        <w:tc>
          <w:tcPr>
            <w:tcW w:w="1843" w:type="dxa"/>
          </w:tcPr>
          <w:p w14:paraId="610F8EE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1,556</w:t>
            </w:r>
          </w:p>
        </w:tc>
        <w:tc>
          <w:tcPr>
            <w:tcW w:w="2693" w:type="dxa"/>
          </w:tcPr>
          <w:p w14:paraId="2CEA87D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07-415-ОП-МГ-А/ЩГ-198</w:t>
            </w:r>
          </w:p>
        </w:tc>
        <w:tc>
          <w:tcPr>
            <w:tcW w:w="3118" w:type="dxa"/>
          </w:tcPr>
          <w:p w14:paraId="3C692A7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от 0 до 1112 м- IV, проезд основной; от 1112 до 1551- V, проезд второстепенный</w:t>
            </w:r>
          </w:p>
        </w:tc>
        <w:tc>
          <w:tcPr>
            <w:tcW w:w="1288" w:type="dxa"/>
          </w:tcPr>
          <w:p w14:paraId="298F641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9336</w:t>
            </w:r>
          </w:p>
        </w:tc>
      </w:tr>
      <w:tr w:rsidR="00171AA8" w:rsidRPr="00731FE2" w14:paraId="4EA80B20" w14:textId="77777777" w:rsidTr="00EE4EC5">
        <w:tc>
          <w:tcPr>
            <w:tcW w:w="567" w:type="dxa"/>
          </w:tcPr>
          <w:p w14:paraId="6DAD0C2C"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22B8E833"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Разина переулок</w:t>
            </w:r>
          </w:p>
        </w:tc>
        <w:tc>
          <w:tcPr>
            <w:tcW w:w="2268" w:type="dxa"/>
          </w:tcPr>
          <w:p w14:paraId="2AB0BBE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Разина переулок</w:t>
            </w:r>
          </w:p>
        </w:tc>
        <w:tc>
          <w:tcPr>
            <w:tcW w:w="1843" w:type="dxa"/>
          </w:tcPr>
          <w:p w14:paraId="592467E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1,260</w:t>
            </w:r>
          </w:p>
        </w:tc>
        <w:tc>
          <w:tcPr>
            <w:tcW w:w="2693" w:type="dxa"/>
          </w:tcPr>
          <w:p w14:paraId="64B3C9F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07-415-ОП-МГ-П-199</w:t>
            </w:r>
          </w:p>
        </w:tc>
        <w:tc>
          <w:tcPr>
            <w:tcW w:w="3118" w:type="dxa"/>
          </w:tcPr>
          <w:p w14:paraId="6058AF0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45404BC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5040</w:t>
            </w:r>
          </w:p>
        </w:tc>
      </w:tr>
      <w:tr w:rsidR="00171AA8" w:rsidRPr="00731FE2" w14:paraId="1A6840E3" w14:textId="77777777" w:rsidTr="00EE4EC5">
        <w:tc>
          <w:tcPr>
            <w:tcW w:w="567" w:type="dxa"/>
          </w:tcPr>
          <w:p w14:paraId="1FBFB1CE"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1814E3E3"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Ракитной горы переулок</w:t>
            </w:r>
          </w:p>
        </w:tc>
        <w:tc>
          <w:tcPr>
            <w:tcW w:w="2268" w:type="dxa"/>
          </w:tcPr>
          <w:p w14:paraId="747729D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Ракитной горы переулок</w:t>
            </w:r>
          </w:p>
        </w:tc>
        <w:tc>
          <w:tcPr>
            <w:tcW w:w="1843" w:type="dxa"/>
          </w:tcPr>
          <w:p w14:paraId="1A8D2E0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0,241</w:t>
            </w:r>
          </w:p>
        </w:tc>
        <w:tc>
          <w:tcPr>
            <w:tcW w:w="2693" w:type="dxa"/>
          </w:tcPr>
          <w:p w14:paraId="352B34A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07-415-ОП-МГ-А/Б-200</w:t>
            </w:r>
          </w:p>
        </w:tc>
        <w:tc>
          <w:tcPr>
            <w:tcW w:w="3118" w:type="dxa"/>
          </w:tcPr>
          <w:p w14:paraId="5590E04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31F8372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964</w:t>
            </w:r>
          </w:p>
        </w:tc>
      </w:tr>
      <w:tr w:rsidR="00171AA8" w:rsidRPr="00731FE2" w14:paraId="6BE7F46A" w14:textId="77777777" w:rsidTr="00EE4EC5">
        <w:tc>
          <w:tcPr>
            <w:tcW w:w="567" w:type="dxa"/>
          </w:tcPr>
          <w:p w14:paraId="2C8E1204"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6155FD37"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Революции</w:t>
            </w:r>
          </w:p>
        </w:tc>
        <w:tc>
          <w:tcPr>
            <w:tcW w:w="2268" w:type="dxa"/>
          </w:tcPr>
          <w:p w14:paraId="3AE0180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Революции</w:t>
            </w:r>
          </w:p>
        </w:tc>
        <w:tc>
          <w:tcPr>
            <w:tcW w:w="1843" w:type="dxa"/>
          </w:tcPr>
          <w:p w14:paraId="420761D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1,415</w:t>
            </w:r>
          </w:p>
        </w:tc>
        <w:tc>
          <w:tcPr>
            <w:tcW w:w="2693" w:type="dxa"/>
          </w:tcPr>
          <w:p w14:paraId="304275D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07-415-ОП-МГ-А-201</w:t>
            </w:r>
          </w:p>
        </w:tc>
        <w:tc>
          <w:tcPr>
            <w:tcW w:w="3118" w:type="dxa"/>
          </w:tcPr>
          <w:p w14:paraId="00B06E9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IV, улица районного значения транспортно-пешеходная</w:t>
            </w:r>
          </w:p>
        </w:tc>
        <w:tc>
          <w:tcPr>
            <w:tcW w:w="1288" w:type="dxa"/>
          </w:tcPr>
          <w:p w14:paraId="0B8E448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8490</w:t>
            </w:r>
          </w:p>
        </w:tc>
      </w:tr>
      <w:tr w:rsidR="00171AA8" w:rsidRPr="00731FE2" w14:paraId="563E82E5" w14:textId="77777777" w:rsidTr="00EE4EC5">
        <w:tc>
          <w:tcPr>
            <w:tcW w:w="567" w:type="dxa"/>
          </w:tcPr>
          <w:p w14:paraId="3C987823"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4045AF0E"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Редутная</w:t>
            </w:r>
          </w:p>
        </w:tc>
        <w:tc>
          <w:tcPr>
            <w:tcW w:w="2268" w:type="dxa"/>
          </w:tcPr>
          <w:p w14:paraId="4C598BD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Редутная</w:t>
            </w:r>
          </w:p>
        </w:tc>
        <w:tc>
          <w:tcPr>
            <w:tcW w:w="1843" w:type="dxa"/>
          </w:tcPr>
          <w:p w14:paraId="2256BC8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0,204</w:t>
            </w:r>
          </w:p>
        </w:tc>
        <w:tc>
          <w:tcPr>
            <w:tcW w:w="2693" w:type="dxa"/>
          </w:tcPr>
          <w:p w14:paraId="748C5A5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07-415-ОП-МГ-ЩГ-202</w:t>
            </w:r>
          </w:p>
        </w:tc>
        <w:tc>
          <w:tcPr>
            <w:tcW w:w="3118" w:type="dxa"/>
          </w:tcPr>
          <w:p w14:paraId="4771C13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720F766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816</w:t>
            </w:r>
          </w:p>
        </w:tc>
      </w:tr>
      <w:tr w:rsidR="00171AA8" w:rsidRPr="00731FE2" w14:paraId="2866BB6A" w14:textId="77777777" w:rsidTr="00EE4EC5">
        <w:tc>
          <w:tcPr>
            <w:tcW w:w="567" w:type="dxa"/>
          </w:tcPr>
          <w:p w14:paraId="373062A2"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5644B9B7"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Резервуарная</w:t>
            </w:r>
          </w:p>
        </w:tc>
        <w:tc>
          <w:tcPr>
            <w:tcW w:w="2268" w:type="dxa"/>
          </w:tcPr>
          <w:p w14:paraId="25958BA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Резервуарная</w:t>
            </w:r>
          </w:p>
        </w:tc>
        <w:tc>
          <w:tcPr>
            <w:tcW w:w="1843" w:type="dxa"/>
          </w:tcPr>
          <w:p w14:paraId="751B6E4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0,574</w:t>
            </w:r>
          </w:p>
        </w:tc>
        <w:tc>
          <w:tcPr>
            <w:tcW w:w="2693" w:type="dxa"/>
          </w:tcPr>
          <w:p w14:paraId="3862166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07-415-ОП-МГ-ЩГ-203</w:t>
            </w:r>
          </w:p>
        </w:tc>
        <w:tc>
          <w:tcPr>
            <w:tcW w:w="3118" w:type="dxa"/>
          </w:tcPr>
          <w:p w14:paraId="2603007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5C3640F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2009</w:t>
            </w:r>
          </w:p>
        </w:tc>
      </w:tr>
      <w:tr w:rsidR="00171AA8" w:rsidRPr="00731FE2" w14:paraId="2239A217" w14:textId="77777777" w:rsidTr="00EE4EC5">
        <w:tc>
          <w:tcPr>
            <w:tcW w:w="567" w:type="dxa"/>
          </w:tcPr>
          <w:p w14:paraId="0830A522"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4D3BB1BD"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Речной переулок</w:t>
            </w:r>
          </w:p>
        </w:tc>
        <w:tc>
          <w:tcPr>
            <w:tcW w:w="2268" w:type="dxa"/>
          </w:tcPr>
          <w:p w14:paraId="061E75D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Речной переулок</w:t>
            </w:r>
          </w:p>
        </w:tc>
        <w:tc>
          <w:tcPr>
            <w:tcW w:w="1843" w:type="dxa"/>
          </w:tcPr>
          <w:p w14:paraId="599B1B8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0,260</w:t>
            </w:r>
          </w:p>
        </w:tc>
        <w:tc>
          <w:tcPr>
            <w:tcW w:w="2693" w:type="dxa"/>
          </w:tcPr>
          <w:p w14:paraId="2E7B2DB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07-415-ОП-МГ-А-204</w:t>
            </w:r>
          </w:p>
        </w:tc>
        <w:tc>
          <w:tcPr>
            <w:tcW w:w="3118" w:type="dxa"/>
          </w:tcPr>
          <w:p w14:paraId="4696412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0D4EC71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1820</w:t>
            </w:r>
          </w:p>
        </w:tc>
      </w:tr>
      <w:tr w:rsidR="00171AA8" w:rsidRPr="00731FE2" w14:paraId="4E2E56AE" w14:textId="77777777" w:rsidTr="00EE4EC5">
        <w:tc>
          <w:tcPr>
            <w:tcW w:w="567" w:type="dxa"/>
          </w:tcPr>
          <w:p w14:paraId="180C1E2E"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23EE8BAD"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Римгорская</w:t>
            </w:r>
          </w:p>
        </w:tc>
        <w:tc>
          <w:tcPr>
            <w:tcW w:w="2268" w:type="dxa"/>
          </w:tcPr>
          <w:p w14:paraId="117131D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Римгорская</w:t>
            </w:r>
          </w:p>
        </w:tc>
        <w:tc>
          <w:tcPr>
            <w:tcW w:w="1843" w:type="dxa"/>
          </w:tcPr>
          <w:p w14:paraId="3E9184E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0,732</w:t>
            </w:r>
          </w:p>
        </w:tc>
        <w:tc>
          <w:tcPr>
            <w:tcW w:w="2693" w:type="dxa"/>
          </w:tcPr>
          <w:p w14:paraId="6FA3970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07-415-ОП-МГ-А-205</w:t>
            </w:r>
          </w:p>
        </w:tc>
        <w:tc>
          <w:tcPr>
            <w:tcW w:w="3118" w:type="dxa"/>
          </w:tcPr>
          <w:p w14:paraId="71E6124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от 0 до 520 м- IV, проезд основной; от 520 до 703 V, проезд второстепенный</w:t>
            </w:r>
          </w:p>
        </w:tc>
        <w:tc>
          <w:tcPr>
            <w:tcW w:w="1288" w:type="dxa"/>
          </w:tcPr>
          <w:p w14:paraId="225912A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5124</w:t>
            </w:r>
          </w:p>
        </w:tc>
      </w:tr>
      <w:tr w:rsidR="00171AA8" w:rsidRPr="00731FE2" w14:paraId="1BFC0131" w14:textId="77777777" w:rsidTr="00EE4EC5">
        <w:tc>
          <w:tcPr>
            <w:tcW w:w="567" w:type="dxa"/>
          </w:tcPr>
          <w:p w14:paraId="62C03743"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0314EE52"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Родниковский переулок</w:t>
            </w:r>
          </w:p>
        </w:tc>
        <w:tc>
          <w:tcPr>
            <w:tcW w:w="2268" w:type="dxa"/>
          </w:tcPr>
          <w:p w14:paraId="55075F4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Родниковский переулок</w:t>
            </w:r>
          </w:p>
        </w:tc>
        <w:tc>
          <w:tcPr>
            <w:tcW w:w="1843" w:type="dxa"/>
          </w:tcPr>
          <w:p w14:paraId="16DE4BE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0,413</w:t>
            </w:r>
          </w:p>
        </w:tc>
        <w:tc>
          <w:tcPr>
            <w:tcW w:w="2693" w:type="dxa"/>
          </w:tcPr>
          <w:p w14:paraId="6912E77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07-415-ОП-МГ-А-206</w:t>
            </w:r>
          </w:p>
        </w:tc>
        <w:tc>
          <w:tcPr>
            <w:tcW w:w="3118" w:type="dxa"/>
          </w:tcPr>
          <w:p w14:paraId="15466E1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49FA222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1652</w:t>
            </w:r>
          </w:p>
        </w:tc>
      </w:tr>
      <w:tr w:rsidR="00171AA8" w:rsidRPr="00731FE2" w14:paraId="10CA7B9E" w14:textId="77777777" w:rsidTr="00EE4EC5">
        <w:tc>
          <w:tcPr>
            <w:tcW w:w="567" w:type="dxa"/>
          </w:tcPr>
          <w:p w14:paraId="2DC666EE"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2F677FCB"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Розы Люксембург</w:t>
            </w:r>
          </w:p>
        </w:tc>
        <w:tc>
          <w:tcPr>
            <w:tcW w:w="2268" w:type="dxa"/>
          </w:tcPr>
          <w:p w14:paraId="309E659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Розы Люксембург</w:t>
            </w:r>
          </w:p>
        </w:tc>
        <w:tc>
          <w:tcPr>
            <w:tcW w:w="1843" w:type="dxa"/>
          </w:tcPr>
          <w:p w14:paraId="47AC195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0,910</w:t>
            </w:r>
          </w:p>
        </w:tc>
        <w:tc>
          <w:tcPr>
            <w:tcW w:w="2693" w:type="dxa"/>
          </w:tcPr>
          <w:p w14:paraId="3054DD0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07-415-ОП-МГ-А-207</w:t>
            </w:r>
          </w:p>
        </w:tc>
        <w:tc>
          <w:tcPr>
            <w:tcW w:w="3118" w:type="dxa"/>
          </w:tcPr>
          <w:p w14:paraId="42AFEE6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IV, улица районного значения транспортно-пешеходная</w:t>
            </w:r>
          </w:p>
        </w:tc>
        <w:tc>
          <w:tcPr>
            <w:tcW w:w="1288" w:type="dxa"/>
          </w:tcPr>
          <w:p w14:paraId="725A646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7280</w:t>
            </w:r>
          </w:p>
        </w:tc>
      </w:tr>
      <w:tr w:rsidR="00171AA8" w:rsidRPr="00731FE2" w14:paraId="774F695E" w14:textId="77777777" w:rsidTr="00EE4EC5">
        <w:tc>
          <w:tcPr>
            <w:tcW w:w="567" w:type="dxa"/>
          </w:tcPr>
          <w:p w14:paraId="42F518DE"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4FC7C687"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Романенко</w:t>
            </w:r>
          </w:p>
        </w:tc>
        <w:tc>
          <w:tcPr>
            <w:tcW w:w="2268" w:type="dxa"/>
          </w:tcPr>
          <w:p w14:paraId="3E1806A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Романенко</w:t>
            </w:r>
          </w:p>
        </w:tc>
        <w:tc>
          <w:tcPr>
            <w:tcW w:w="1843" w:type="dxa"/>
          </w:tcPr>
          <w:p w14:paraId="3AC3234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0,911</w:t>
            </w:r>
          </w:p>
        </w:tc>
        <w:tc>
          <w:tcPr>
            <w:tcW w:w="2693" w:type="dxa"/>
          </w:tcPr>
          <w:p w14:paraId="6B2E58D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07-415-ОП-МГ-А-208</w:t>
            </w:r>
          </w:p>
        </w:tc>
        <w:tc>
          <w:tcPr>
            <w:tcW w:w="3118" w:type="dxa"/>
          </w:tcPr>
          <w:p w14:paraId="6C13842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IV, проезд основной</w:t>
            </w:r>
          </w:p>
        </w:tc>
        <w:tc>
          <w:tcPr>
            <w:tcW w:w="1288" w:type="dxa"/>
          </w:tcPr>
          <w:p w14:paraId="43C1A7C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7834,6</w:t>
            </w:r>
          </w:p>
        </w:tc>
      </w:tr>
      <w:tr w:rsidR="00171AA8" w:rsidRPr="00731FE2" w14:paraId="4241755F" w14:textId="77777777" w:rsidTr="00EE4EC5">
        <w:tc>
          <w:tcPr>
            <w:tcW w:w="567" w:type="dxa"/>
          </w:tcPr>
          <w:p w14:paraId="3C8A2BB1"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1BBAF88C"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Рубина</w:t>
            </w:r>
          </w:p>
        </w:tc>
        <w:tc>
          <w:tcPr>
            <w:tcW w:w="2268" w:type="dxa"/>
          </w:tcPr>
          <w:p w14:paraId="6EDDE52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Рубина</w:t>
            </w:r>
          </w:p>
        </w:tc>
        <w:tc>
          <w:tcPr>
            <w:tcW w:w="1843" w:type="dxa"/>
          </w:tcPr>
          <w:p w14:paraId="51AC0DC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0,735</w:t>
            </w:r>
          </w:p>
        </w:tc>
        <w:tc>
          <w:tcPr>
            <w:tcW w:w="2693" w:type="dxa"/>
          </w:tcPr>
          <w:p w14:paraId="5098C58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07-415-ОП-МГ-А/ЩГ-209</w:t>
            </w:r>
          </w:p>
        </w:tc>
        <w:tc>
          <w:tcPr>
            <w:tcW w:w="3118" w:type="dxa"/>
          </w:tcPr>
          <w:p w14:paraId="0FDEEE7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7670037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2940</w:t>
            </w:r>
          </w:p>
        </w:tc>
      </w:tr>
      <w:tr w:rsidR="00171AA8" w:rsidRPr="00731FE2" w14:paraId="3A161B54" w14:textId="77777777" w:rsidTr="00EE4EC5">
        <w:tc>
          <w:tcPr>
            <w:tcW w:w="567" w:type="dxa"/>
          </w:tcPr>
          <w:p w14:paraId="64409DA5"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1DEC9E82"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Садовая</w:t>
            </w:r>
          </w:p>
        </w:tc>
        <w:tc>
          <w:tcPr>
            <w:tcW w:w="2268" w:type="dxa"/>
          </w:tcPr>
          <w:p w14:paraId="1989935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Садовая</w:t>
            </w:r>
          </w:p>
        </w:tc>
        <w:tc>
          <w:tcPr>
            <w:tcW w:w="1843" w:type="dxa"/>
          </w:tcPr>
          <w:p w14:paraId="4DE6D16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0,582</w:t>
            </w:r>
          </w:p>
        </w:tc>
        <w:tc>
          <w:tcPr>
            <w:tcW w:w="2693" w:type="dxa"/>
          </w:tcPr>
          <w:p w14:paraId="2AFBC02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07-415-ОП-МГ-ЩГ-210</w:t>
            </w:r>
          </w:p>
        </w:tc>
        <w:tc>
          <w:tcPr>
            <w:tcW w:w="3118" w:type="dxa"/>
          </w:tcPr>
          <w:p w14:paraId="17081F7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2DABFD0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2328</w:t>
            </w:r>
          </w:p>
        </w:tc>
      </w:tr>
      <w:tr w:rsidR="00171AA8" w:rsidRPr="00731FE2" w14:paraId="0D3B6854" w14:textId="77777777" w:rsidTr="00EE4EC5">
        <w:tc>
          <w:tcPr>
            <w:tcW w:w="567" w:type="dxa"/>
          </w:tcPr>
          <w:p w14:paraId="7D234B0A"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4E02C38E"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Санаторная</w:t>
            </w:r>
          </w:p>
        </w:tc>
        <w:tc>
          <w:tcPr>
            <w:tcW w:w="2268" w:type="dxa"/>
          </w:tcPr>
          <w:p w14:paraId="5B15016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Санаторная</w:t>
            </w:r>
          </w:p>
        </w:tc>
        <w:tc>
          <w:tcPr>
            <w:tcW w:w="1843" w:type="dxa"/>
          </w:tcPr>
          <w:p w14:paraId="4FE42FC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0,189</w:t>
            </w:r>
          </w:p>
        </w:tc>
        <w:tc>
          <w:tcPr>
            <w:tcW w:w="2693" w:type="dxa"/>
          </w:tcPr>
          <w:p w14:paraId="0008B65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07-415-ОП-МГ-А-211</w:t>
            </w:r>
          </w:p>
        </w:tc>
        <w:tc>
          <w:tcPr>
            <w:tcW w:w="3118" w:type="dxa"/>
          </w:tcPr>
          <w:p w14:paraId="6947D60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IV, проезд основной</w:t>
            </w:r>
          </w:p>
        </w:tc>
        <w:tc>
          <w:tcPr>
            <w:tcW w:w="1288" w:type="dxa"/>
          </w:tcPr>
          <w:p w14:paraId="03EBEEF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1417,5</w:t>
            </w:r>
          </w:p>
        </w:tc>
      </w:tr>
      <w:tr w:rsidR="00171AA8" w:rsidRPr="00731FE2" w14:paraId="6724293E" w14:textId="77777777" w:rsidTr="00EE4EC5">
        <w:tc>
          <w:tcPr>
            <w:tcW w:w="567" w:type="dxa"/>
          </w:tcPr>
          <w:p w14:paraId="3B1E15E3"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0C3A8839"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Саперный переулок</w:t>
            </w:r>
          </w:p>
        </w:tc>
        <w:tc>
          <w:tcPr>
            <w:tcW w:w="2268" w:type="dxa"/>
          </w:tcPr>
          <w:p w14:paraId="3C88B59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Саперный переулок</w:t>
            </w:r>
          </w:p>
        </w:tc>
        <w:tc>
          <w:tcPr>
            <w:tcW w:w="1843" w:type="dxa"/>
          </w:tcPr>
          <w:p w14:paraId="63AC501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0,196</w:t>
            </w:r>
          </w:p>
        </w:tc>
        <w:tc>
          <w:tcPr>
            <w:tcW w:w="2693" w:type="dxa"/>
          </w:tcPr>
          <w:p w14:paraId="6489F04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07-415-ОП-МГ-А-212</w:t>
            </w:r>
          </w:p>
        </w:tc>
        <w:tc>
          <w:tcPr>
            <w:tcW w:w="3118" w:type="dxa"/>
          </w:tcPr>
          <w:p w14:paraId="1AD2BC4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218E321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980</w:t>
            </w:r>
          </w:p>
        </w:tc>
      </w:tr>
      <w:tr w:rsidR="00171AA8" w:rsidRPr="00731FE2" w14:paraId="5E5CB01E" w14:textId="77777777" w:rsidTr="00EE4EC5">
        <w:tc>
          <w:tcPr>
            <w:tcW w:w="567" w:type="dxa"/>
          </w:tcPr>
          <w:p w14:paraId="714F12A7"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018B766D"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Свердлова</w:t>
            </w:r>
          </w:p>
        </w:tc>
        <w:tc>
          <w:tcPr>
            <w:tcW w:w="2268" w:type="dxa"/>
          </w:tcPr>
          <w:p w14:paraId="5E4ADA7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Свердлова</w:t>
            </w:r>
          </w:p>
        </w:tc>
        <w:tc>
          <w:tcPr>
            <w:tcW w:w="1843" w:type="dxa"/>
          </w:tcPr>
          <w:p w14:paraId="78ACAB4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0,550</w:t>
            </w:r>
          </w:p>
        </w:tc>
        <w:tc>
          <w:tcPr>
            <w:tcW w:w="2693" w:type="dxa"/>
          </w:tcPr>
          <w:p w14:paraId="13348FA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07-415-ОП-МГ-А-213</w:t>
            </w:r>
          </w:p>
        </w:tc>
        <w:tc>
          <w:tcPr>
            <w:tcW w:w="3118" w:type="dxa"/>
          </w:tcPr>
          <w:p w14:paraId="6276C14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улица районного значения транспортно-пешеходная</w:t>
            </w:r>
          </w:p>
        </w:tc>
        <w:tc>
          <w:tcPr>
            <w:tcW w:w="1288" w:type="dxa"/>
          </w:tcPr>
          <w:p w14:paraId="00E14D3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4400</w:t>
            </w:r>
          </w:p>
        </w:tc>
      </w:tr>
      <w:tr w:rsidR="00171AA8" w:rsidRPr="00731FE2" w14:paraId="1E07C650" w14:textId="77777777" w:rsidTr="00EE4EC5">
        <w:tc>
          <w:tcPr>
            <w:tcW w:w="567" w:type="dxa"/>
          </w:tcPr>
          <w:p w14:paraId="24DD4704"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57FA3AC5"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Севастопольская</w:t>
            </w:r>
          </w:p>
        </w:tc>
        <w:tc>
          <w:tcPr>
            <w:tcW w:w="2268" w:type="dxa"/>
          </w:tcPr>
          <w:p w14:paraId="35AD7AF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Севастопольская</w:t>
            </w:r>
          </w:p>
        </w:tc>
        <w:tc>
          <w:tcPr>
            <w:tcW w:w="1843" w:type="dxa"/>
          </w:tcPr>
          <w:p w14:paraId="5B5463E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0,326</w:t>
            </w:r>
          </w:p>
        </w:tc>
        <w:tc>
          <w:tcPr>
            <w:tcW w:w="2693" w:type="dxa"/>
          </w:tcPr>
          <w:p w14:paraId="4F89518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07-415-ОП-МГ-А/ЩГ-214</w:t>
            </w:r>
          </w:p>
        </w:tc>
        <w:tc>
          <w:tcPr>
            <w:tcW w:w="3118" w:type="dxa"/>
          </w:tcPr>
          <w:p w14:paraId="6209CC9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2CFA6BD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1630</w:t>
            </w:r>
          </w:p>
        </w:tc>
      </w:tr>
      <w:tr w:rsidR="00171AA8" w:rsidRPr="00731FE2" w14:paraId="6FFCB9A8" w14:textId="77777777" w:rsidTr="00EE4EC5">
        <w:tc>
          <w:tcPr>
            <w:tcW w:w="567" w:type="dxa"/>
          </w:tcPr>
          <w:p w14:paraId="2B4FAF2D"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2B000919"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Седлогорская</w:t>
            </w:r>
          </w:p>
        </w:tc>
        <w:tc>
          <w:tcPr>
            <w:tcW w:w="2268" w:type="dxa"/>
          </w:tcPr>
          <w:p w14:paraId="3B69BCF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Седлогорская</w:t>
            </w:r>
          </w:p>
        </w:tc>
        <w:tc>
          <w:tcPr>
            <w:tcW w:w="1843" w:type="dxa"/>
          </w:tcPr>
          <w:p w14:paraId="6282B14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2,554</w:t>
            </w:r>
          </w:p>
        </w:tc>
        <w:tc>
          <w:tcPr>
            <w:tcW w:w="2693" w:type="dxa"/>
          </w:tcPr>
          <w:p w14:paraId="4AD9074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07-415-ОП-МГ-А-215</w:t>
            </w:r>
          </w:p>
        </w:tc>
        <w:tc>
          <w:tcPr>
            <w:tcW w:w="3118" w:type="dxa"/>
          </w:tcPr>
          <w:p w14:paraId="02F917F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магистральная улица, регулируемого движения</w:t>
            </w:r>
          </w:p>
        </w:tc>
        <w:tc>
          <w:tcPr>
            <w:tcW w:w="1288" w:type="dxa"/>
          </w:tcPr>
          <w:p w14:paraId="291A460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22986</w:t>
            </w:r>
          </w:p>
        </w:tc>
      </w:tr>
      <w:tr w:rsidR="00171AA8" w:rsidRPr="00731FE2" w14:paraId="4E1440EF" w14:textId="77777777" w:rsidTr="00EE4EC5">
        <w:tc>
          <w:tcPr>
            <w:tcW w:w="567" w:type="dxa"/>
          </w:tcPr>
          <w:p w14:paraId="4D6B4755"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279C77E6"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Седлогорский переулок</w:t>
            </w:r>
          </w:p>
        </w:tc>
        <w:tc>
          <w:tcPr>
            <w:tcW w:w="2268" w:type="dxa"/>
          </w:tcPr>
          <w:p w14:paraId="38B07B3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Седлогорский переулок</w:t>
            </w:r>
          </w:p>
        </w:tc>
        <w:tc>
          <w:tcPr>
            <w:tcW w:w="1843" w:type="dxa"/>
          </w:tcPr>
          <w:p w14:paraId="65748DF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0,494</w:t>
            </w:r>
          </w:p>
        </w:tc>
        <w:tc>
          <w:tcPr>
            <w:tcW w:w="2693" w:type="dxa"/>
          </w:tcPr>
          <w:p w14:paraId="4377A03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07-415-ОП-МГ-ЩГ-216</w:t>
            </w:r>
          </w:p>
        </w:tc>
        <w:tc>
          <w:tcPr>
            <w:tcW w:w="3118" w:type="dxa"/>
          </w:tcPr>
          <w:p w14:paraId="5F4A232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3A32E8A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1729</w:t>
            </w:r>
          </w:p>
        </w:tc>
      </w:tr>
      <w:tr w:rsidR="00171AA8" w:rsidRPr="00731FE2" w14:paraId="1B113D13" w14:textId="77777777" w:rsidTr="00EE4EC5">
        <w:tc>
          <w:tcPr>
            <w:tcW w:w="567" w:type="dxa"/>
          </w:tcPr>
          <w:p w14:paraId="7A0BEABC"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36392D4D"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Седова</w:t>
            </w:r>
          </w:p>
        </w:tc>
        <w:tc>
          <w:tcPr>
            <w:tcW w:w="2268" w:type="dxa"/>
          </w:tcPr>
          <w:p w14:paraId="4A8BB85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Седова</w:t>
            </w:r>
          </w:p>
        </w:tc>
        <w:tc>
          <w:tcPr>
            <w:tcW w:w="1843" w:type="dxa"/>
          </w:tcPr>
          <w:p w14:paraId="6D2AD0F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0,161</w:t>
            </w:r>
          </w:p>
        </w:tc>
        <w:tc>
          <w:tcPr>
            <w:tcW w:w="2693" w:type="dxa"/>
          </w:tcPr>
          <w:p w14:paraId="1EA08AC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07-415-ОП-МГ-ЩГ-217</w:t>
            </w:r>
          </w:p>
        </w:tc>
        <w:tc>
          <w:tcPr>
            <w:tcW w:w="3118" w:type="dxa"/>
          </w:tcPr>
          <w:p w14:paraId="0FF79F9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основной</w:t>
            </w:r>
          </w:p>
        </w:tc>
        <w:tc>
          <w:tcPr>
            <w:tcW w:w="1288" w:type="dxa"/>
          </w:tcPr>
          <w:p w14:paraId="29B18A3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772,8</w:t>
            </w:r>
          </w:p>
        </w:tc>
      </w:tr>
      <w:tr w:rsidR="00171AA8" w:rsidRPr="00731FE2" w14:paraId="3C0270E4" w14:textId="77777777" w:rsidTr="00EE4EC5">
        <w:tc>
          <w:tcPr>
            <w:tcW w:w="567" w:type="dxa"/>
          </w:tcPr>
          <w:p w14:paraId="7F60BF7D"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3D9F2A74"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Семашко</w:t>
            </w:r>
          </w:p>
        </w:tc>
        <w:tc>
          <w:tcPr>
            <w:tcW w:w="2268" w:type="dxa"/>
          </w:tcPr>
          <w:p w14:paraId="1E2C6A5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Семашко</w:t>
            </w:r>
          </w:p>
        </w:tc>
        <w:tc>
          <w:tcPr>
            <w:tcW w:w="1843" w:type="dxa"/>
          </w:tcPr>
          <w:p w14:paraId="28F8B9B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0,260</w:t>
            </w:r>
          </w:p>
        </w:tc>
        <w:tc>
          <w:tcPr>
            <w:tcW w:w="2693" w:type="dxa"/>
          </w:tcPr>
          <w:p w14:paraId="68FA669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07-415-ОП-МГ-А-218</w:t>
            </w:r>
          </w:p>
        </w:tc>
        <w:tc>
          <w:tcPr>
            <w:tcW w:w="3118" w:type="dxa"/>
          </w:tcPr>
          <w:p w14:paraId="693EB46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основной</w:t>
            </w:r>
          </w:p>
        </w:tc>
        <w:tc>
          <w:tcPr>
            <w:tcW w:w="1288" w:type="dxa"/>
          </w:tcPr>
          <w:p w14:paraId="259ABAF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2340</w:t>
            </w:r>
          </w:p>
        </w:tc>
      </w:tr>
      <w:tr w:rsidR="00171AA8" w:rsidRPr="00731FE2" w14:paraId="174ADBCC" w14:textId="77777777" w:rsidTr="00EE4EC5">
        <w:tc>
          <w:tcPr>
            <w:tcW w:w="567" w:type="dxa"/>
          </w:tcPr>
          <w:p w14:paraId="44B19D4A"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6CEBFE24"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Сенной переулок</w:t>
            </w:r>
          </w:p>
        </w:tc>
        <w:tc>
          <w:tcPr>
            <w:tcW w:w="2268" w:type="dxa"/>
          </w:tcPr>
          <w:p w14:paraId="3481984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Сенной переулок</w:t>
            </w:r>
          </w:p>
        </w:tc>
        <w:tc>
          <w:tcPr>
            <w:tcW w:w="1843" w:type="dxa"/>
          </w:tcPr>
          <w:p w14:paraId="6ABA9BC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0,099</w:t>
            </w:r>
          </w:p>
        </w:tc>
        <w:tc>
          <w:tcPr>
            <w:tcW w:w="2693" w:type="dxa"/>
          </w:tcPr>
          <w:p w14:paraId="13F6000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07-415-ОП-МГ-А-219</w:t>
            </w:r>
          </w:p>
        </w:tc>
        <w:tc>
          <w:tcPr>
            <w:tcW w:w="3118" w:type="dxa"/>
          </w:tcPr>
          <w:p w14:paraId="5F6CAA6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66D1BCF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396</w:t>
            </w:r>
          </w:p>
        </w:tc>
      </w:tr>
      <w:tr w:rsidR="00171AA8" w:rsidRPr="00731FE2" w14:paraId="58795719" w14:textId="77777777" w:rsidTr="00EE4EC5">
        <w:tc>
          <w:tcPr>
            <w:tcW w:w="567" w:type="dxa"/>
          </w:tcPr>
          <w:p w14:paraId="2DDEDDF4"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59F59FFF"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Советская</w:t>
            </w:r>
          </w:p>
        </w:tc>
        <w:tc>
          <w:tcPr>
            <w:tcW w:w="2268" w:type="dxa"/>
          </w:tcPr>
          <w:p w14:paraId="3F07E8F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Советская</w:t>
            </w:r>
          </w:p>
        </w:tc>
        <w:tc>
          <w:tcPr>
            <w:tcW w:w="1843" w:type="dxa"/>
          </w:tcPr>
          <w:p w14:paraId="2D81BBE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0,420</w:t>
            </w:r>
          </w:p>
        </w:tc>
        <w:tc>
          <w:tcPr>
            <w:tcW w:w="2693" w:type="dxa"/>
          </w:tcPr>
          <w:p w14:paraId="6511604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07-415-ОП-МГ-А-220</w:t>
            </w:r>
          </w:p>
        </w:tc>
        <w:tc>
          <w:tcPr>
            <w:tcW w:w="3118" w:type="dxa"/>
          </w:tcPr>
          <w:p w14:paraId="66A7972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основной</w:t>
            </w:r>
          </w:p>
        </w:tc>
        <w:tc>
          <w:tcPr>
            <w:tcW w:w="1288" w:type="dxa"/>
          </w:tcPr>
          <w:p w14:paraId="465F7E3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2100</w:t>
            </w:r>
          </w:p>
        </w:tc>
      </w:tr>
      <w:tr w:rsidR="00171AA8" w:rsidRPr="00731FE2" w14:paraId="55647D26" w14:textId="77777777" w:rsidTr="00EE4EC5">
        <w:tc>
          <w:tcPr>
            <w:tcW w:w="567" w:type="dxa"/>
          </w:tcPr>
          <w:p w14:paraId="420F3B7D"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5D6A0958"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Солнечный переулок</w:t>
            </w:r>
          </w:p>
        </w:tc>
        <w:tc>
          <w:tcPr>
            <w:tcW w:w="2268" w:type="dxa"/>
          </w:tcPr>
          <w:p w14:paraId="47F5542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Солнечный переулок</w:t>
            </w:r>
          </w:p>
        </w:tc>
        <w:tc>
          <w:tcPr>
            <w:tcW w:w="1843" w:type="dxa"/>
          </w:tcPr>
          <w:p w14:paraId="29A943B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0,274</w:t>
            </w:r>
          </w:p>
        </w:tc>
        <w:tc>
          <w:tcPr>
            <w:tcW w:w="2693" w:type="dxa"/>
          </w:tcPr>
          <w:p w14:paraId="5D969EA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07-415-ОП-МГ-А/П-221</w:t>
            </w:r>
          </w:p>
        </w:tc>
        <w:tc>
          <w:tcPr>
            <w:tcW w:w="3118" w:type="dxa"/>
          </w:tcPr>
          <w:p w14:paraId="7650BC0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124AA9E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1096</w:t>
            </w:r>
          </w:p>
        </w:tc>
      </w:tr>
      <w:tr w:rsidR="00171AA8" w:rsidRPr="00731FE2" w14:paraId="0B28C447" w14:textId="77777777" w:rsidTr="00EE4EC5">
        <w:tc>
          <w:tcPr>
            <w:tcW w:w="567" w:type="dxa"/>
          </w:tcPr>
          <w:p w14:paraId="0B21F52C"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30C74EB6"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Софьи Перовской</w:t>
            </w:r>
          </w:p>
        </w:tc>
        <w:tc>
          <w:tcPr>
            <w:tcW w:w="2268" w:type="dxa"/>
          </w:tcPr>
          <w:p w14:paraId="692358A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Софьи Перовской</w:t>
            </w:r>
          </w:p>
        </w:tc>
        <w:tc>
          <w:tcPr>
            <w:tcW w:w="1843" w:type="dxa"/>
          </w:tcPr>
          <w:p w14:paraId="0C0D1C3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0,602</w:t>
            </w:r>
          </w:p>
        </w:tc>
        <w:tc>
          <w:tcPr>
            <w:tcW w:w="2693" w:type="dxa"/>
          </w:tcPr>
          <w:p w14:paraId="6E014FF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07-415-ОП-МГ-А-222</w:t>
            </w:r>
          </w:p>
        </w:tc>
        <w:tc>
          <w:tcPr>
            <w:tcW w:w="3118" w:type="dxa"/>
          </w:tcPr>
          <w:p w14:paraId="4366721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IV, проезд основной</w:t>
            </w:r>
          </w:p>
        </w:tc>
        <w:tc>
          <w:tcPr>
            <w:tcW w:w="1288" w:type="dxa"/>
          </w:tcPr>
          <w:p w14:paraId="4C343D8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4214</w:t>
            </w:r>
          </w:p>
        </w:tc>
      </w:tr>
      <w:tr w:rsidR="00171AA8" w:rsidRPr="00731FE2" w14:paraId="27B6BCE9" w14:textId="77777777" w:rsidTr="00EE4EC5">
        <w:tc>
          <w:tcPr>
            <w:tcW w:w="567" w:type="dxa"/>
          </w:tcPr>
          <w:p w14:paraId="35FE8AAC"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011AA8C7"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Спокойный переулок</w:t>
            </w:r>
          </w:p>
        </w:tc>
        <w:tc>
          <w:tcPr>
            <w:tcW w:w="2268" w:type="dxa"/>
          </w:tcPr>
          <w:p w14:paraId="76C987E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Спокойный переулок</w:t>
            </w:r>
          </w:p>
        </w:tc>
        <w:tc>
          <w:tcPr>
            <w:tcW w:w="1843" w:type="dxa"/>
          </w:tcPr>
          <w:p w14:paraId="2C705A5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0,189</w:t>
            </w:r>
          </w:p>
        </w:tc>
        <w:tc>
          <w:tcPr>
            <w:tcW w:w="2693" w:type="dxa"/>
          </w:tcPr>
          <w:p w14:paraId="6D46159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07-415-ОП-МГ-ЩГ-223</w:t>
            </w:r>
          </w:p>
        </w:tc>
        <w:tc>
          <w:tcPr>
            <w:tcW w:w="3118" w:type="dxa"/>
          </w:tcPr>
          <w:p w14:paraId="34B824B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176563E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756</w:t>
            </w:r>
          </w:p>
        </w:tc>
      </w:tr>
      <w:tr w:rsidR="00171AA8" w:rsidRPr="00731FE2" w14:paraId="1DC0FBFA" w14:textId="77777777" w:rsidTr="00EE4EC5">
        <w:tc>
          <w:tcPr>
            <w:tcW w:w="567" w:type="dxa"/>
          </w:tcPr>
          <w:p w14:paraId="2879F343"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69762927"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Ставропольская</w:t>
            </w:r>
          </w:p>
        </w:tc>
        <w:tc>
          <w:tcPr>
            <w:tcW w:w="2268" w:type="dxa"/>
          </w:tcPr>
          <w:p w14:paraId="7515B8D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Ставропольская</w:t>
            </w:r>
          </w:p>
        </w:tc>
        <w:tc>
          <w:tcPr>
            <w:tcW w:w="1843" w:type="dxa"/>
          </w:tcPr>
          <w:p w14:paraId="5D623EF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0,402</w:t>
            </w:r>
          </w:p>
        </w:tc>
        <w:tc>
          <w:tcPr>
            <w:tcW w:w="2693" w:type="dxa"/>
          </w:tcPr>
          <w:p w14:paraId="1D158E2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07-415-ОП-МГ-А-224</w:t>
            </w:r>
          </w:p>
        </w:tc>
        <w:tc>
          <w:tcPr>
            <w:tcW w:w="3118" w:type="dxa"/>
          </w:tcPr>
          <w:p w14:paraId="5EFC1A0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основной</w:t>
            </w:r>
          </w:p>
        </w:tc>
        <w:tc>
          <w:tcPr>
            <w:tcW w:w="1288" w:type="dxa"/>
          </w:tcPr>
          <w:p w14:paraId="087F7BE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2412</w:t>
            </w:r>
          </w:p>
        </w:tc>
      </w:tr>
      <w:tr w:rsidR="00171AA8" w:rsidRPr="00731FE2" w14:paraId="3D7545DF" w14:textId="77777777" w:rsidTr="00EE4EC5">
        <w:tc>
          <w:tcPr>
            <w:tcW w:w="567" w:type="dxa"/>
          </w:tcPr>
          <w:p w14:paraId="0F8F5BFF"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09C905A1"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Станичная</w:t>
            </w:r>
          </w:p>
        </w:tc>
        <w:tc>
          <w:tcPr>
            <w:tcW w:w="2268" w:type="dxa"/>
          </w:tcPr>
          <w:p w14:paraId="7FE9A99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Станичная</w:t>
            </w:r>
          </w:p>
        </w:tc>
        <w:tc>
          <w:tcPr>
            <w:tcW w:w="1843" w:type="dxa"/>
          </w:tcPr>
          <w:p w14:paraId="421CA16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1,255</w:t>
            </w:r>
          </w:p>
        </w:tc>
        <w:tc>
          <w:tcPr>
            <w:tcW w:w="2693" w:type="dxa"/>
          </w:tcPr>
          <w:p w14:paraId="5F68130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07-415-ОП-МГ-А/ЩГ-225</w:t>
            </w:r>
          </w:p>
        </w:tc>
        <w:tc>
          <w:tcPr>
            <w:tcW w:w="3118" w:type="dxa"/>
          </w:tcPr>
          <w:p w14:paraId="36AED8F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основной</w:t>
            </w:r>
          </w:p>
        </w:tc>
        <w:tc>
          <w:tcPr>
            <w:tcW w:w="1288" w:type="dxa"/>
          </w:tcPr>
          <w:p w14:paraId="6CC7863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5647,5</w:t>
            </w:r>
          </w:p>
        </w:tc>
      </w:tr>
      <w:tr w:rsidR="00171AA8" w:rsidRPr="00731FE2" w14:paraId="739071FB" w14:textId="77777777" w:rsidTr="00EE4EC5">
        <w:tc>
          <w:tcPr>
            <w:tcW w:w="567" w:type="dxa"/>
          </w:tcPr>
          <w:p w14:paraId="57065DF1"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2A4ECFE7"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Стародубовская</w:t>
            </w:r>
          </w:p>
        </w:tc>
        <w:tc>
          <w:tcPr>
            <w:tcW w:w="2268" w:type="dxa"/>
          </w:tcPr>
          <w:p w14:paraId="2C8A933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Стародубовская</w:t>
            </w:r>
          </w:p>
        </w:tc>
        <w:tc>
          <w:tcPr>
            <w:tcW w:w="1843" w:type="dxa"/>
          </w:tcPr>
          <w:p w14:paraId="5B3F0EC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0,484</w:t>
            </w:r>
          </w:p>
        </w:tc>
        <w:tc>
          <w:tcPr>
            <w:tcW w:w="2693" w:type="dxa"/>
          </w:tcPr>
          <w:p w14:paraId="1D25F78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07-415-ОП-МГ-А-226</w:t>
            </w:r>
          </w:p>
        </w:tc>
        <w:tc>
          <w:tcPr>
            <w:tcW w:w="3118" w:type="dxa"/>
          </w:tcPr>
          <w:p w14:paraId="5495C1B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основной</w:t>
            </w:r>
          </w:p>
        </w:tc>
        <w:tc>
          <w:tcPr>
            <w:tcW w:w="1288" w:type="dxa"/>
          </w:tcPr>
          <w:p w14:paraId="10359B3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2662</w:t>
            </w:r>
          </w:p>
        </w:tc>
      </w:tr>
      <w:tr w:rsidR="00171AA8" w:rsidRPr="00731FE2" w14:paraId="4C116EBA" w14:textId="77777777" w:rsidTr="00EE4EC5">
        <w:tc>
          <w:tcPr>
            <w:tcW w:w="567" w:type="dxa"/>
          </w:tcPr>
          <w:p w14:paraId="0771A4B2"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2DC7F38B"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Степной переулок</w:t>
            </w:r>
          </w:p>
        </w:tc>
        <w:tc>
          <w:tcPr>
            <w:tcW w:w="2268" w:type="dxa"/>
          </w:tcPr>
          <w:p w14:paraId="6AD6DBC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Степной переулок</w:t>
            </w:r>
          </w:p>
        </w:tc>
        <w:tc>
          <w:tcPr>
            <w:tcW w:w="1843" w:type="dxa"/>
          </w:tcPr>
          <w:p w14:paraId="4FBA820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0,453</w:t>
            </w:r>
          </w:p>
        </w:tc>
        <w:tc>
          <w:tcPr>
            <w:tcW w:w="2693" w:type="dxa"/>
          </w:tcPr>
          <w:p w14:paraId="411A9EC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07-415-ОП-МГ-ЩГ-227</w:t>
            </w:r>
          </w:p>
        </w:tc>
        <w:tc>
          <w:tcPr>
            <w:tcW w:w="3118" w:type="dxa"/>
          </w:tcPr>
          <w:p w14:paraId="3549410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564FBCF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1585,5</w:t>
            </w:r>
          </w:p>
        </w:tc>
      </w:tr>
      <w:tr w:rsidR="00171AA8" w:rsidRPr="00731FE2" w14:paraId="389BA0A4" w14:textId="77777777" w:rsidTr="00EE4EC5">
        <w:tc>
          <w:tcPr>
            <w:tcW w:w="567" w:type="dxa"/>
          </w:tcPr>
          <w:p w14:paraId="53D1C058"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30CCC397"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Стопани</w:t>
            </w:r>
          </w:p>
        </w:tc>
        <w:tc>
          <w:tcPr>
            <w:tcW w:w="2268" w:type="dxa"/>
          </w:tcPr>
          <w:p w14:paraId="3A78469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Стопани</w:t>
            </w:r>
          </w:p>
        </w:tc>
        <w:tc>
          <w:tcPr>
            <w:tcW w:w="1843" w:type="dxa"/>
          </w:tcPr>
          <w:p w14:paraId="33397E7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0,311</w:t>
            </w:r>
          </w:p>
        </w:tc>
        <w:tc>
          <w:tcPr>
            <w:tcW w:w="2693" w:type="dxa"/>
          </w:tcPr>
          <w:p w14:paraId="3FB5E3D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07-415-ОП-МГ-А-228</w:t>
            </w:r>
          </w:p>
        </w:tc>
        <w:tc>
          <w:tcPr>
            <w:tcW w:w="3118" w:type="dxa"/>
          </w:tcPr>
          <w:p w14:paraId="3FF1861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IV, проезд основной</w:t>
            </w:r>
          </w:p>
        </w:tc>
        <w:tc>
          <w:tcPr>
            <w:tcW w:w="1288" w:type="dxa"/>
          </w:tcPr>
          <w:p w14:paraId="2FB11C6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2177</w:t>
            </w:r>
          </w:p>
        </w:tc>
      </w:tr>
      <w:tr w:rsidR="00171AA8" w:rsidRPr="00731FE2" w14:paraId="0ECCEFE1" w14:textId="77777777" w:rsidTr="00EE4EC5">
        <w:tc>
          <w:tcPr>
            <w:tcW w:w="567" w:type="dxa"/>
          </w:tcPr>
          <w:p w14:paraId="456E8BC5"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3CF4D663"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Строительный переулок</w:t>
            </w:r>
          </w:p>
        </w:tc>
        <w:tc>
          <w:tcPr>
            <w:tcW w:w="2268" w:type="dxa"/>
          </w:tcPr>
          <w:p w14:paraId="17D17B4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Строительный переулок</w:t>
            </w:r>
          </w:p>
        </w:tc>
        <w:tc>
          <w:tcPr>
            <w:tcW w:w="1843" w:type="dxa"/>
          </w:tcPr>
          <w:p w14:paraId="5A73B23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0,319</w:t>
            </w:r>
          </w:p>
        </w:tc>
        <w:tc>
          <w:tcPr>
            <w:tcW w:w="2693" w:type="dxa"/>
          </w:tcPr>
          <w:p w14:paraId="23894DF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07-415-ОП-МГ-ЩГ-229</w:t>
            </w:r>
          </w:p>
        </w:tc>
        <w:tc>
          <w:tcPr>
            <w:tcW w:w="3118" w:type="dxa"/>
          </w:tcPr>
          <w:p w14:paraId="657FB51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6F54444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1116,5</w:t>
            </w:r>
          </w:p>
        </w:tc>
      </w:tr>
      <w:tr w:rsidR="00171AA8" w:rsidRPr="00731FE2" w14:paraId="1D28E596" w14:textId="77777777" w:rsidTr="00EE4EC5">
        <w:tc>
          <w:tcPr>
            <w:tcW w:w="567" w:type="dxa"/>
          </w:tcPr>
          <w:p w14:paraId="671B3D50"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1B0C1735"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Суворова</w:t>
            </w:r>
          </w:p>
        </w:tc>
        <w:tc>
          <w:tcPr>
            <w:tcW w:w="2268" w:type="dxa"/>
          </w:tcPr>
          <w:p w14:paraId="39E30A5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Суворова</w:t>
            </w:r>
          </w:p>
        </w:tc>
        <w:tc>
          <w:tcPr>
            <w:tcW w:w="1843" w:type="dxa"/>
          </w:tcPr>
          <w:p w14:paraId="5611A83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0,461</w:t>
            </w:r>
          </w:p>
        </w:tc>
        <w:tc>
          <w:tcPr>
            <w:tcW w:w="2693" w:type="dxa"/>
          </w:tcPr>
          <w:p w14:paraId="7E70222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07-415-ОП-МГ-А-230</w:t>
            </w:r>
          </w:p>
        </w:tc>
        <w:tc>
          <w:tcPr>
            <w:tcW w:w="3118" w:type="dxa"/>
          </w:tcPr>
          <w:p w14:paraId="2EDBCF0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IV, улица районного значения транспортно-пешеходная</w:t>
            </w:r>
          </w:p>
        </w:tc>
        <w:tc>
          <w:tcPr>
            <w:tcW w:w="1288" w:type="dxa"/>
          </w:tcPr>
          <w:p w14:paraId="41A2C9E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2766</w:t>
            </w:r>
          </w:p>
        </w:tc>
      </w:tr>
      <w:tr w:rsidR="00171AA8" w:rsidRPr="00731FE2" w14:paraId="757B5A12" w14:textId="77777777" w:rsidTr="00EE4EC5">
        <w:tc>
          <w:tcPr>
            <w:tcW w:w="567" w:type="dxa"/>
          </w:tcPr>
          <w:p w14:paraId="44FC5B39"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2044683C"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Тебердинская</w:t>
            </w:r>
          </w:p>
        </w:tc>
        <w:tc>
          <w:tcPr>
            <w:tcW w:w="2268" w:type="dxa"/>
          </w:tcPr>
          <w:p w14:paraId="7B5F870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Тебердинская</w:t>
            </w:r>
          </w:p>
        </w:tc>
        <w:tc>
          <w:tcPr>
            <w:tcW w:w="1843" w:type="dxa"/>
          </w:tcPr>
          <w:p w14:paraId="1ACD2C4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0,405</w:t>
            </w:r>
          </w:p>
        </w:tc>
        <w:tc>
          <w:tcPr>
            <w:tcW w:w="2693" w:type="dxa"/>
          </w:tcPr>
          <w:p w14:paraId="4C298ED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07-415-ОП-МГ-А/Б/ЩГ-231</w:t>
            </w:r>
          </w:p>
        </w:tc>
        <w:tc>
          <w:tcPr>
            <w:tcW w:w="3118" w:type="dxa"/>
          </w:tcPr>
          <w:p w14:paraId="715AAF0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3EF91A8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2025</w:t>
            </w:r>
          </w:p>
        </w:tc>
      </w:tr>
      <w:tr w:rsidR="00171AA8" w:rsidRPr="00731FE2" w14:paraId="641A7D74" w14:textId="77777777" w:rsidTr="00EE4EC5">
        <w:tc>
          <w:tcPr>
            <w:tcW w:w="567" w:type="dxa"/>
          </w:tcPr>
          <w:p w14:paraId="183B6B1D"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3A88F3B4"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Тельмана 1</w:t>
            </w:r>
          </w:p>
        </w:tc>
        <w:tc>
          <w:tcPr>
            <w:tcW w:w="2268" w:type="dxa"/>
          </w:tcPr>
          <w:p w14:paraId="32FA14C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Тельмана 1</w:t>
            </w:r>
          </w:p>
        </w:tc>
        <w:tc>
          <w:tcPr>
            <w:tcW w:w="1843" w:type="dxa"/>
          </w:tcPr>
          <w:p w14:paraId="3EFB448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0,400</w:t>
            </w:r>
          </w:p>
        </w:tc>
        <w:tc>
          <w:tcPr>
            <w:tcW w:w="2693" w:type="dxa"/>
          </w:tcPr>
          <w:p w14:paraId="4881822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07-415-ОП-МГ-А-232</w:t>
            </w:r>
          </w:p>
        </w:tc>
        <w:tc>
          <w:tcPr>
            <w:tcW w:w="3118" w:type="dxa"/>
          </w:tcPr>
          <w:p w14:paraId="2B6BF7F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IV, проезд основной</w:t>
            </w:r>
          </w:p>
        </w:tc>
        <w:tc>
          <w:tcPr>
            <w:tcW w:w="1288" w:type="dxa"/>
          </w:tcPr>
          <w:p w14:paraId="68140BE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3600</w:t>
            </w:r>
          </w:p>
        </w:tc>
      </w:tr>
      <w:tr w:rsidR="00171AA8" w:rsidRPr="00731FE2" w14:paraId="4DF74B9E" w14:textId="77777777" w:rsidTr="00EE4EC5">
        <w:tc>
          <w:tcPr>
            <w:tcW w:w="567" w:type="dxa"/>
          </w:tcPr>
          <w:p w14:paraId="674BBCBB"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5F9439DC"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Тельмана 2</w:t>
            </w:r>
          </w:p>
        </w:tc>
        <w:tc>
          <w:tcPr>
            <w:tcW w:w="2268" w:type="dxa"/>
          </w:tcPr>
          <w:p w14:paraId="547C844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Тельмана 2</w:t>
            </w:r>
          </w:p>
        </w:tc>
        <w:tc>
          <w:tcPr>
            <w:tcW w:w="1843" w:type="dxa"/>
          </w:tcPr>
          <w:p w14:paraId="47EBDCC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0,450</w:t>
            </w:r>
          </w:p>
        </w:tc>
        <w:tc>
          <w:tcPr>
            <w:tcW w:w="2693" w:type="dxa"/>
          </w:tcPr>
          <w:p w14:paraId="3E81AC9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07-415-ОП-МГ-А-233</w:t>
            </w:r>
          </w:p>
        </w:tc>
        <w:tc>
          <w:tcPr>
            <w:tcW w:w="3118" w:type="dxa"/>
          </w:tcPr>
          <w:p w14:paraId="0FC6DEB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IV, проезд основной</w:t>
            </w:r>
          </w:p>
        </w:tc>
        <w:tc>
          <w:tcPr>
            <w:tcW w:w="1288" w:type="dxa"/>
          </w:tcPr>
          <w:p w14:paraId="5B5B05B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2700</w:t>
            </w:r>
          </w:p>
        </w:tc>
      </w:tr>
      <w:tr w:rsidR="00171AA8" w:rsidRPr="00731FE2" w14:paraId="6C367E14" w14:textId="77777777" w:rsidTr="00EE4EC5">
        <w:tc>
          <w:tcPr>
            <w:tcW w:w="567" w:type="dxa"/>
          </w:tcPr>
          <w:p w14:paraId="231CDC32"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25381DF1"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Территориальная</w:t>
            </w:r>
          </w:p>
        </w:tc>
        <w:tc>
          <w:tcPr>
            <w:tcW w:w="2268" w:type="dxa"/>
          </w:tcPr>
          <w:p w14:paraId="74E16DB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Территориальная</w:t>
            </w:r>
          </w:p>
        </w:tc>
        <w:tc>
          <w:tcPr>
            <w:tcW w:w="1843" w:type="dxa"/>
          </w:tcPr>
          <w:p w14:paraId="073B8E3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0,556</w:t>
            </w:r>
          </w:p>
        </w:tc>
        <w:tc>
          <w:tcPr>
            <w:tcW w:w="2693" w:type="dxa"/>
          </w:tcPr>
          <w:p w14:paraId="12CB30B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07-415-ОП-МГ-А-234</w:t>
            </w:r>
          </w:p>
        </w:tc>
        <w:tc>
          <w:tcPr>
            <w:tcW w:w="3118" w:type="dxa"/>
          </w:tcPr>
          <w:p w14:paraId="1817BAF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IV, проезд основной</w:t>
            </w:r>
          </w:p>
        </w:tc>
        <w:tc>
          <w:tcPr>
            <w:tcW w:w="1288" w:type="dxa"/>
          </w:tcPr>
          <w:p w14:paraId="616B4B5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4170</w:t>
            </w:r>
          </w:p>
        </w:tc>
      </w:tr>
      <w:tr w:rsidR="00171AA8" w:rsidRPr="00731FE2" w14:paraId="163E4E04" w14:textId="77777777" w:rsidTr="00EE4EC5">
        <w:tc>
          <w:tcPr>
            <w:tcW w:w="567" w:type="dxa"/>
          </w:tcPr>
          <w:p w14:paraId="018FC2ED"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0335A2BE"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Терская</w:t>
            </w:r>
          </w:p>
        </w:tc>
        <w:tc>
          <w:tcPr>
            <w:tcW w:w="2268" w:type="dxa"/>
          </w:tcPr>
          <w:p w14:paraId="3BB0FFA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Терская</w:t>
            </w:r>
          </w:p>
        </w:tc>
        <w:tc>
          <w:tcPr>
            <w:tcW w:w="1843" w:type="dxa"/>
          </w:tcPr>
          <w:p w14:paraId="104DA57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0,468</w:t>
            </w:r>
          </w:p>
        </w:tc>
        <w:tc>
          <w:tcPr>
            <w:tcW w:w="2693" w:type="dxa"/>
          </w:tcPr>
          <w:p w14:paraId="0DD0A88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07-415-ОП-МГ-А/ЩГ-235</w:t>
            </w:r>
          </w:p>
        </w:tc>
        <w:tc>
          <w:tcPr>
            <w:tcW w:w="3118" w:type="dxa"/>
          </w:tcPr>
          <w:p w14:paraId="18DD4F8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7D3FDE4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2340</w:t>
            </w:r>
          </w:p>
        </w:tc>
      </w:tr>
      <w:tr w:rsidR="00171AA8" w:rsidRPr="00731FE2" w14:paraId="715C3182" w14:textId="77777777" w:rsidTr="00EE4EC5">
        <w:tc>
          <w:tcPr>
            <w:tcW w:w="567" w:type="dxa"/>
          </w:tcPr>
          <w:p w14:paraId="6F43A03B"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1066DACB"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Тимирязева</w:t>
            </w:r>
          </w:p>
        </w:tc>
        <w:tc>
          <w:tcPr>
            <w:tcW w:w="2268" w:type="dxa"/>
          </w:tcPr>
          <w:p w14:paraId="54E44BD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Тимирязева</w:t>
            </w:r>
          </w:p>
        </w:tc>
        <w:tc>
          <w:tcPr>
            <w:tcW w:w="1843" w:type="dxa"/>
          </w:tcPr>
          <w:p w14:paraId="553DD2B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0,487</w:t>
            </w:r>
          </w:p>
        </w:tc>
        <w:tc>
          <w:tcPr>
            <w:tcW w:w="2693" w:type="dxa"/>
          </w:tcPr>
          <w:p w14:paraId="3FC89F8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07-415-ОП-МГ-А/ЩГ-236</w:t>
            </w:r>
          </w:p>
        </w:tc>
        <w:tc>
          <w:tcPr>
            <w:tcW w:w="3118" w:type="dxa"/>
          </w:tcPr>
          <w:p w14:paraId="0E9BCB1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основной</w:t>
            </w:r>
          </w:p>
        </w:tc>
        <w:tc>
          <w:tcPr>
            <w:tcW w:w="1288" w:type="dxa"/>
          </w:tcPr>
          <w:p w14:paraId="09CBFAA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2678,5</w:t>
            </w:r>
          </w:p>
        </w:tc>
      </w:tr>
      <w:tr w:rsidR="00171AA8" w:rsidRPr="00731FE2" w14:paraId="77163E8F" w14:textId="77777777" w:rsidTr="00EE4EC5">
        <w:tc>
          <w:tcPr>
            <w:tcW w:w="567" w:type="dxa"/>
          </w:tcPr>
          <w:p w14:paraId="78E43BB0"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66D2CBB1"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Титова</w:t>
            </w:r>
          </w:p>
        </w:tc>
        <w:tc>
          <w:tcPr>
            <w:tcW w:w="2268" w:type="dxa"/>
          </w:tcPr>
          <w:p w14:paraId="3FDD2FC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Титова</w:t>
            </w:r>
          </w:p>
        </w:tc>
        <w:tc>
          <w:tcPr>
            <w:tcW w:w="1843" w:type="dxa"/>
          </w:tcPr>
          <w:p w14:paraId="237E9D0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0,649</w:t>
            </w:r>
          </w:p>
        </w:tc>
        <w:tc>
          <w:tcPr>
            <w:tcW w:w="2693" w:type="dxa"/>
          </w:tcPr>
          <w:p w14:paraId="4B5B67D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07-415-ОП-МГ-А-237</w:t>
            </w:r>
          </w:p>
        </w:tc>
        <w:tc>
          <w:tcPr>
            <w:tcW w:w="3118" w:type="dxa"/>
          </w:tcPr>
          <w:p w14:paraId="0CAC845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основной</w:t>
            </w:r>
          </w:p>
        </w:tc>
        <w:tc>
          <w:tcPr>
            <w:tcW w:w="1288" w:type="dxa"/>
          </w:tcPr>
          <w:p w14:paraId="515CFB0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3245</w:t>
            </w:r>
          </w:p>
        </w:tc>
      </w:tr>
      <w:tr w:rsidR="00171AA8" w:rsidRPr="00731FE2" w14:paraId="40AB690A" w14:textId="77777777" w:rsidTr="00EE4EC5">
        <w:tc>
          <w:tcPr>
            <w:tcW w:w="567" w:type="dxa"/>
          </w:tcPr>
          <w:p w14:paraId="2B6AF50D"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4147CC5D"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Толбухина</w:t>
            </w:r>
          </w:p>
        </w:tc>
        <w:tc>
          <w:tcPr>
            <w:tcW w:w="2268" w:type="dxa"/>
          </w:tcPr>
          <w:p w14:paraId="7A77E10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Толбухина</w:t>
            </w:r>
          </w:p>
        </w:tc>
        <w:tc>
          <w:tcPr>
            <w:tcW w:w="1843" w:type="dxa"/>
          </w:tcPr>
          <w:p w14:paraId="6401A4A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0,482</w:t>
            </w:r>
          </w:p>
        </w:tc>
        <w:tc>
          <w:tcPr>
            <w:tcW w:w="2693" w:type="dxa"/>
          </w:tcPr>
          <w:p w14:paraId="2E17BC3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07-415-ОП-МГ-А-238</w:t>
            </w:r>
          </w:p>
        </w:tc>
        <w:tc>
          <w:tcPr>
            <w:tcW w:w="3118" w:type="dxa"/>
          </w:tcPr>
          <w:p w14:paraId="5F9D7B3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378D3EB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1928</w:t>
            </w:r>
          </w:p>
        </w:tc>
      </w:tr>
      <w:tr w:rsidR="00171AA8" w:rsidRPr="00731FE2" w14:paraId="72C4B246" w14:textId="77777777" w:rsidTr="00EE4EC5">
        <w:tc>
          <w:tcPr>
            <w:tcW w:w="567" w:type="dxa"/>
          </w:tcPr>
          <w:p w14:paraId="0AE982D2"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3B4C7221"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Толстого</w:t>
            </w:r>
          </w:p>
        </w:tc>
        <w:tc>
          <w:tcPr>
            <w:tcW w:w="2268" w:type="dxa"/>
          </w:tcPr>
          <w:p w14:paraId="7EC32C8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Толстого</w:t>
            </w:r>
          </w:p>
        </w:tc>
        <w:tc>
          <w:tcPr>
            <w:tcW w:w="1843" w:type="dxa"/>
          </w:tcPr>
          <w:p w14:paraId="209067B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0,453</w:t>
            </w:r>
          </w:p>
        </w:tc>
        <w:tc>
          <w:tcPr>
            <w:tcW w:w="2693" w:type="dxa"/>
          </w:tcPr>
          <w:p w14:paraId="5EE80A0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07-415-ОП-МГ-А-239</w:t>
            </w:r>
          </w:p>
        </w:tc>
        <w:tc>
          <w:tcPr>
            <w:tcW w:w="3118" w:type="dxa"/>
          </w:tcPr>
          <w:p w14:paraId="06D5CF5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улица районного значения транспортно-пешеходная</w:t>
            </w:r>
          </w:p>
        </w:tc>
        <w:tc>
          <w:tcPr>
            <w:tcW w:w="1288" w:type="dxa"/>
          </w:tcPr>
          <w:p w14:paraId="53800EC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3624</w:t>
            </w:r>
          </w:p>
        </w:tc>
      </w:tr>
      <w:tr w:rsidR="00171AA8" w:rsidRPr="00731FE2" w14:paraId="294A84E9" w14:textId="77777777" w:rsidTr="00EE4EC5">
        <w:tc>
          <w:tcPr>
            <w:tcW w:w="567" w:type="dxa"/>
          </w:tcPr>
          <w:p w14:paraId="7EF82588"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10C4C739"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Тюленева</w:t>
            </w:r>
          </w:p>
        </w:tc>
        <w:tc>
          <w:tcPr>
            <w:tcW w:w="2268" w:type="dxa"/>
          </w:tcPr>
          <w:p w14:paraId="681B901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Тюленева</w:t>
            </w:r>
          </w:p>
        </w:tc>
        <w:tc>
          <w:tcPr>
            <w:tcW w:w="1843" w:type="dxa"/>
          </w:tcPr>
          <w:p w14:paraId="047315D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0,200</w:t>
            </w:r>
          </w:p>
        </w:tc>
        <w:tc>
          <w:tcPr>
            <w:tcW w:w="2693" w:type="dxa"/>
          </w:tcPr>
          <w:p w14:paraId="4E1A03B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07-415-ОП-МГ-А-240</w:t>
            </w:r>
          </w:p>
        </w:tc>
        <w:tc>
          <w:tcPr>
            <w:tcW w:w="3118" w:type="dxa"/>
          </w:tcPr>
          <w:p w14:paraId="570D742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основной</w:t>
            </w:r>
          </w:p>
        </w:tc>
        <w:tc>
          <w:tcPr>
            <w:tcW w:w="1288" w:type="dxa"/>
          </w:tcPr>
          <w:p w14:paraId="3A2E9D0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1200</w:t>
            </w:r>
          </w:p>
        </w:tc>
      </w:tr>
      <w:tr w:rsidR="00171AA8" w:rsidRPr="00731FE2" w14:paraId="5EBE1D7E" w14:textId="77777777" w:rsidTr="00EE4EC5">
        <w:tc>
          <w:tcPr>
            <w:tcW w:w="567" w:type="dxa"/>
          </w:tcPr>
          <w:p w14:paraId="2AD9AC0C"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7BAA142F"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Узбекистанская</w:t>
            </w:r>
          </w:p>
        </w:tc>
        <w:tc>
          <w:tcPr>
            <w:tcW w:w="2268" w:type="dxa"/>
          </w:tcPr>
          <w:p w14:paraId="46D5486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Узбекистанская</w:t>
            </w:r>
          </w:p>
        </w:tc>
        <w:tc>
          <w:tcPr>
            <w:tcW w:w="1843" w:type="dxa"/>
          </w:tcPr>
          <w:p w14:paraId="7F46B46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0,303</w:t>
            </w:r>
          </w:p>
        </w:tc>
        <w:tc>
          <w:tcPr>
            <w:tcW w:w="2693" w:type="dxa"/>
          </w:tcPr>
          <w:p w14:paraId="5685088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07-415-ОП-МГ-А/ЩГ-241</w:t>
            </w:r>
          </w:p>
        </w:tc>
        <w:tc>
          <w:tcPr>
            <w:tcW w:w="3118" w:type="dxa"/>
          </w:tcPr>
          <w:p w14:paraId="48A5D75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1D4442A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1363,5</w:t>
            </w:r>
          </w:p>
        </w:tc>
      </w:tr>
      <w:tr w:rsidR="00171AA8" w:rsidRPr="00731FE2" w14:paraId="7D6B5F70" w14:textId="77777777" w:rsidTr="00EE4EC5">
        <w:tc>
          <w:tcPr>
            <w:tcW w:w="567" w:type="dxa"/>
          </w:tcPr>
          <w:p w14:paraId="3E7E4B48"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0E1AE133"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Узкий переулок</w:t>
            </w:r>
          </w:p>
        </w:tc>
        <w:tc>
          <w:tcPr>
            <w:tcW w:w="2268" w:type="dxa"/>
          </w:tcPr>
          <w:p w14:paraId="383E256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Узкий переулок</w:t>
            </w:r>
          </w:p>
        </w:tc>
        <w:tc>
          <w:tcPr>
            <w:tcW w:w="1843" w:type="dxa"/>
          </w:tcPr>
          <w:p w14:paraId="432E1CB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0,204</w:t>
            </w:r>
          </w:p>
        </w:tc>
        <w:tc>
          <w:tcPr>
            <w:tcW w:w="2693" w:type="dxa"/>
          </w:tcPr>
          <w:p w14:paraId="5B105DB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07-415-ОП-МГ-А-242</w:t>
            </w:r>
          </w:p>
        </w:tc>
        <w:tc>
          <w:tcPr>
            <w:tcW w:w="3118" w:type="dxa"/>
          </w:tcPr>
          <w:p w14:paraId="1DE8090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69AF195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714</w:t>
            </w:r>
          </w:p>
        </w:tc>
      </w:tr>
      <w:tr w:rsidR="00171AA8" w:rsidRPr="00731FE2" w14:paraId="51C133E5" w14:textId="77777777" w:rsidTr="00EE4EC5">
        <w:tc>
          <w:tcPr>
            <w:tcW w:w="567" w:type="dxa"/>
          </w:tcPr>
          <w:p w14:paraId="1B39472C"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7F6C23A5"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Украинская</w:t>
            </w:r>
          </w:p>
        </w:tc>
        <w:tc>
          <w:tcPr>
            <w:tcW w:w="2268" w:type="dxa"/>
          </w:tcPr>
          <w:p w14:paraId="72A067C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Украинская</w:t>
            </w:r>
          </w:p>
        </w:tc>
        <w:tc>
          <w:tcPr>
            <w:tcW w:w="1843" w:type="dxa"/>
          </w:tcPr>
          <w:p w14:paraId="0EBA1A6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0,522</w:t>
            </w:r>
          </w:p>
        </w:tc>
        <w:tc>
          <w:tcPr>
            <w:tcW w:w="2693" w:type="dxa"/>
          </w:tcPr>
          <w:p w14:paraId="1494BF6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07-415-ОП-МГ-А-243</w:t>
            </w:r>
          </w:p>
        </w:tc>
        <w:tc>
          <w:tcPr>
            <w:tcW w:w="3118" w:type="dxa"/>
          </w:tcPr>
          <w:p w14:paraId="297FE3A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2A4C721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2349</w:t>
            </w:r>
          </w:p>
        </w:tc>
      </w:tr>
      <w:tr w:rsidR="00171AA8" w:rsidRPr="00731FE2" w14:paraId="41BA0D55" w14:textId="77777777" w:rsidTr="00EE4EC5">
        <w:tc>
          <w:tcPr>
            <w:tcW w:w="567" w:type="dxa"/>
          </w:tcPr>
          <w:p w14:paraId="7BF0AEBB"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5B6C3444"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Умара Алиева</w:t>
            </w:r>
          </w:p>
        </w:tc>
        <w:tc>
          <w:tcPr>
            <w:tcW w:w="2268" w:type="dxa"/>
          </w:tcPr>
          <w:p w14:paraId="611E0A1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Умара Алиева</w:t>
            </w:r>
          </w:p>
        </w:tc>
        <w:tc>
          <w:tcPr>
            <w:tcW w:w="1843" w:type="dxa"/>
          </w:tcPr>
          <w:p w14:paraId="5876EC9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1,029</w:t>
            </w:r>
          </w:p>
        </w:tc>
        <w:tc>
          <w:tcPr>
            <w:tcW w:w="2693" w:type="dxa"/>
          </w:tcPr>
          <w:p w14:paraId="655EAEC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07-415-ОП-МГ-А-244</w:t>
            </w:r>
          </w:p>
        </w:tc>
        <w:tc>
          <w:tcPr>
            <w:tcW w:w="3118" w:type="dxa"/>
          </w:tcPr>
          <w:p w14:paraId="7C63C6E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улица районного значения транспортно-пешеходная</w:t>
            </w:r>
          </w:p>
        </w:tc>
        <w:tc>
          <w:tcPr>
            <w:tcW w:w="1288" w:type="dxa"/>
          </w:tcPr>
          <w:p w14:paraId="1AD392F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10290</w:t>
            </w:r>
          </w:p>
        </w:tc>
      </w:tr>
      <w:tr w:rsidR="00171AA8" w:rsidRPr="00731FE2" w14:paraId="45FF015A" w14:textId="77777777" w:rsidTr="00EE4EC5">
        <w:tc>
          <w:tcPr>
            <w:tcW w:w="567" w:type="dxa"/>
          </w:tcPr>
          <w:p w14:paraId="199E5C89"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6B50A166"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Урицкого</w:t>
            </w:r>
          </w:p>
        </w:tc>
        <w:tc>
          <w:tcPr>
            <w:tcW w:w="2268" w:type="dxa"/>
          </w:tcPr>
          <w:p w14:paraId="0F4CB7A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Урицкого</w:t>
            </w:r>
          </w:p>
        </w:tc>
        <w:tc>
          <w:tcPr>
            <w:tcW w:w="1843" w:type="dxa"/>
          </w:tcPr>
          <w:p w14:paraId="0D2E1CD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0,341</w:t>
            </w:r>
          </w:p>
        </w:tc>
        <w:tc>
          <w:tcPr>
            <w:tcW w:w="2693" w:type="dxa"/>
          </w:tcPr>
          <w:p w14:paraId="3D16480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07-415-ОП-МГ-А-245</w:t>
            </w:r>
          </w:p>
        </w:tc>
        <w:tc>
          <w:tcPr>
            <w:tcW w:w="3118" w:type="dxa"/>
          </w:tcPr>
          <w:p w14:paraId="1AD5935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0E82ABA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1705</w:t>
            </w:r>
          </w:p>
        </w:tc>
      </w:tr>
      <w:tr w:rsidR="00171AA8" w:rsidRPr="00731FE2" w14:paraId="36ED52F3" w14:textId="77777777" w:rsidTr="00EE4EC5">
        <w:tc>
          <w:tcPr>
            <w:tcW w:w="567" w:type="dxa"/>
          </w:tcPr>
          <w:p w14:paraId="62E3A692"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527A16D0"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Учительская</w:t>
            </w:r>
          </w:p>
        </w:tc>
        <w:tc>
          <w:tcPr>
            <w:tcW w:w="2268" w:type="dxa"/>
          </w:tcPr>
          <w:p w14:paraId="30CA195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Учительская</w:t>
            </w:r>
          </w:p>
        </w:tc>
        <w:tc>
          <w:tcPr>
            <w:tcW w:w="1843" w:type="dxa"/>
          </w:tcPr>
          <w:p w14:paraId="543B923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0,516</w:t>
            </w:r>
          </w:p>
        </w:tc>
        <w:tc>
          <w:tcPr>
            <w:tcW w:w="2693" w:type="dxa"/>
          </w:tcPr>
          <w:p w14:paraId="0C6475B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07-415-ОП-МГ-А/ЩГ/Б-246</w:t>
            </w:r>
          </w:p>
        </w:tc>
        <w:tc>
          <w:tcPr>
            <w:tcW w:w="3118" w:type="dxa"/>
          </w:tcPr>
          <w:p w14:paraId="0504900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1B1605E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2064</w:t>
            </w:r>
          </w:p>
        </w:tc>
      </w:tr>
      <w:tr w:rsidR="00171AA8" w:rsidRPr="00731FE2" w14:paraId="69754AEF" w14:textId="77777777" w:rsidTr="00EE4EC5">
        <w:tc>
          <w:tcPr>
            <w:tcW w:w="567" w:type="dxa"/>
          </w:tcPr>
          <w:p w14:paraId="4993FA8F"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4D002853"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Физкультурный переулок</w:t>
            </w:r>
          </w:p>
        </w:tc>
        <w:tc>
          <w:tcPr>
            <w:tcW w:w="2268" w:type="dxa"/>
          </w:tcPr>
          <w:p w14:paraId="1A17D2F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Физкультурный переулок</w:t>
            </w:r>
          </w:p>
        </w:tc>
        <w:tc>
          <w:tcPr>
            <w:tcW w:w="1843" w:type="dxa"/>
          </w:tcPr>
          <w:p w14:paraId="1F052D4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0,326</w:t>
            </w:r>
          </w:p>
        </w:tc>
        <w:tc>
          <w:tcPr>
            <w:tcW w:w="2693" w:type="dxa"/>
          </w:tcPr>
          <w:p w14:paraId="24A653E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07-415-ОП-МГ-А/ЩГ-247</w:t>
            </w:r>
          </w:p>
        </w:tc>
        <w:tc>
          <w:tcPr>
            <w:tcW w:w="3118" w:type="dxa"/>
          </w:tcPr>
          <w:p w14:paraId="1BECD83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682EE0D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1304</w:t>
            </w:r>
          </w:p>
        </w:tc>
      </w:tr>
      <w:tr w:rsidR="00171AA8" w:rsidRPr="00731FE2" w14:paraId="7809CE2B" w14:textId="77777777" w:rsidTr="00EE4EC5">
        <w:tc>
          <w:tcPr>
            <w:tcW w:w="567" w:type="dxa"/>
          </w:tcPr>
          <w:p w14:paraId="53C8AC0F"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547D913E"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Фоменко</w:t>
            </w:r>
          </w:p>
        </w:tc>
        <w:tc>
          <w:tcPr>
            <w:tcW w:w="2268" w:type="dxa"/>
          </w:tcPr>
          <w:p w14:paraId="7039D08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Фоменко</w:t>
            </w:r>
          </w:p>
        </w:tc>
        <w:tc>
          <w:tcPr>
            <w:tcW w:w="1843" w:type="dxa"/>
          </w:tcPr>
          <w:p w14:paraId="75020FE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2,809</w:t>
            </w:r>
          </w:p>
        </w:tc>
        <w:tc>
          <w:tcPr>
            <w:tcW w:w="2693" w:type="dxa"/>
          </w:tcPr>
          <w:p w14:paraId="6B280B2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07-415-ОП-МГ-А-248</w:t>
            </w:r>
          </w:p>
        </w:tc>
        <w:tc>
          <w:tcPr>
            <w:tcW w:w="3118" w:type="dxa"/>
          </w:tcPr>
          <w:p w14:paraId="7A41682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IV, улица районного значения транспортно-пешеходная</w:t>
            </w:r>
          </w:p>
        </w:tc>
        <w:tc>
          <w:tcPr>
            <w:tcW w:w="1288" w:type="dxa"/>
          </w:tcPr>
          <w:p w14:paraId="3A44AF6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25281</w:t>
            </w:r>
          </w:p>
        </w:tc>
      </w:tr>
      <w:tr w:rsidR="00171AA8" w:rsidRPr="00731FE2" w14:paraId="525E0452" w14:textId="77777777" w:rsidTr="00EE4EC5">
        <w:tc>
          <w:tcPr>
            <w:tcW w:w="567" w:type="dxa"/>
          </w:tcPr>
          <w:p w14:paraId="2B3739F7"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00B77367"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Фоменко (дорога к кладбищу)</w:t>
            </w:r>
          </w:p>
        </w:tc>
        <w:tc>
          <w:tcPr>
            <w:tcW w:w="2268" w:type="dxa"/>
          </w:tcPr>
          <w:p w14:paraId="18D2F28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Фоменко (дорога к кладбищу)</w:t>
            </w:r>
          </w:p>
        </w:tc>
        <w:tc>
          <w:tcPr>
            <w:tcW w:w="1843" w:type="dxa"/>
          </w:tcPr>
          <w:p w14:paraId="6FAE58F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0,419</w:t>
            </w:r>
          </w:p>
        </w:tc>
        <w:tc>
          <w:tcPr>
            <w:tcW w:w="2693" w:type="dxa"/>
          </w:tcPr>
          <w:p w14:paraId="0E98DF9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07-415-ОП-МГ-А-249</w:t>
            </w:r>
          </w:p>
        </w:tc>
        <w:tc>
          <w:tcPr>
            <w:tcW w:w="3118" w:type="dxa"/>
          </w:tcPr>
          <w:p w14:paraId="19C6F89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улица промышленных и коммунально-складских районов</w:t>
            </w:r>
          </w:p>
        </w:tc>
        <w:tc>
          <w:tcPr>
            <w:tcW w:w="1288" w:type="dxa"/>
          </w:tcPr>
          <w:p w14:paraId="013B133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2723,5</w:t>
            </w:r>
          </w:p>
        </w:tc>
      </w:tr>
      <w:tr w:rsidR="00171AA8" w:rsidRPr="00731FE2" w14:paraId="70B6452A" w14:textId="77777777" w:rsidTr="00EE4EC5">
        <w:tc>
          <w:tcPr>
            <w:tcW w:w="567" w:type="dxa"/>
          </w:tcPr>
          <w:p w14:paraId="7BD88C9D"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3D974BA3"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Фрунзе</w:t>
            </w:r>
          </w:p>
        </w:tc>
        <w:tc>
          <w:tcPr>
            <w:tcW w:w="2268" w:type="dxa"/>
          </w:tcPr>
          <w:p w14:paraId="703D759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Фрунзе</w:t>
            </w:r>
          </w:p>
        </w:tc>
        <w:tc>
          <w:tcPr>
            <w:tcW w:w="1843" w:type="dxa"/>
          </w:tcPr>
          <w:p w14:paraId="00D4353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0,478</w:t>
            </w:r>
          </w:p>
        </w:tc>
        <w:tc>
          <w:tcPr>
            <w:tcW w:w="2693" w:type="dxa"/>
          </w:tcPr>
          <w:p w14:paraId="680A241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07-415-ОП-МГ-А/ЩГ-250</w:t>
            </w:r>
          </w:p>
        </w:tc>
        <w:tc>
          <w:tcPr>
            <w:tcW w:w="3118" w:type="dxa"/>
          </w:tcPr>
          <w:p w14:paraId="68169D0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46922C3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1912</w:t>
            </w:r>
          </w:p>
        </w:tc>
      </w:tr>
      <w:tr w:rsidR="00171AA8" w:rsidRPr="00731FE2" w14:paraId="231894F5" w14:textId="77777777" w:rsidTr="00EE4EC5">
        <w:tc>
          <w:tcPr>
            <w:tcW w:w="567" w:type="dxa"/>
          </w:tcPr>
          <w:p w14:paraId="1B8855A5"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584A584E"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Хасановская</w:t>
            </w:r>
          </w:p>
        </w:tc>
        <w:tc>
          <w:tcPr>
            <w:tcW w:w="2268" w:type="dxa"/>
          </w:tcPr>
          <w:p w14:paraId="372A9F7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Хасановская</w:t>
            </w:r>
          </w:p>
        </w:tc>
        <w:tc>
          <w:tcPr>
            <w:tcW w:w="1843" w:type="dxa"/>
          </w:tcPr>
          <w:p w14:paraId="7934B77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0,780</w:t>
            </w:r>
          </w:p>
        </w:tc>
        <w:tc>
          <w:tcPr>
            <w:tcW w:w="2693" w:type="dxa"/>
          </w:tcPr>
          <w:p w14:paraId="766EB67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07-415-ОП-МГ-А/ЩГ-251</w:t>
            </w:r>
          </w:p>
        </w:tc>
        <w:tc>
          <w:tcPr>
            <w:tcW w:w="3118" w:type="dxa"/>
          </w:tcPr>
          <w:p w14:paraId="105A6DC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основной</w:t>
            </w:r>
          </w:p>
        </w:tc>
        <w:tc>
          <w:tcPr>
            <w:tcW w:w="1288" w:type="dxa"/>
          </w:tcPr>
          <w:p w14:paraId="7831A1C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3900</w:t>
            </w:r>
          </w:p>
        </w:tc>
      </w:tr>
      <w:tr w:rsidR="00171AA8" w:rsidRPr="00731FE2" w14:paraId="5974C9EC" w14:textId="77777777" w:rsidTr="00EE4EC5">
        <w:tc>
          <w:tcPr>
            <w:tcW w:w="567" w:type="dxa"/>
          </w:tcPr>
          <w:p w14:paraId="01173514"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725BEAF9"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Хасановский переулок</w:t>
            </w:r>
          </w:p>
        </w:tc>
        <w:tc>
          <w:tcPr>
            <w:tcW w:w="2268" w:type="dxa"/>
          </w:tcPr>
          <w:p w14:paraId="4B5240D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Хасановский переулок</w:t>
            </w:r>
          </w:p>
        </w:tc>
        <w:tc>
          <w:tcPr>
            <w:tcW w:w="1843" w:type="dxa"/>
          </w:tcPr>
          <w:p w14:paraId="2D8DD97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0,260</w:t>
            </w:r>
          </w:p>
        </w:tc>
        <w:tc>
          <w:tcPr>
            <w:tcW w:w="2693" w:type="dxa"/>
          </w:tcPr>
          <w:p w14:paraId="35DC528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07-415-ОП-МГ-А-252</w:t>
            </w:r>
          </w:p>
        </w:tc>
        <w:tc>
          <w:tcPr>
            <w:tcW w:w="3118" w:type="dxa"/>
          </w:tcPr>
          <w:p w14:paraId="60576DB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15181F4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1040</w:t>
            </w:r>
          </w:p>
        </w:tc>
      </w:tr>
      <w:tr w:rsidR="00171AA8" w:rsidRPr="00731FE2" w14:paraId="4D0175E8" w14:textId="77777777" w:rsidTr="00EE4EC5">
        <w:tc>
          <w:tcPr>
            <w:tcW w:w="567" w:type="dxa"/>
          </w:tcPr>
          <w:p w14:paraId="7073487C"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11B0B084"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Цандера проезд (нечетная сторона)</w:t>
            </w:r>
          </w:p>
        </w:tc>
        <w:tc>
          <w:tcPr>
            <w:tcW w:w="2268" w:type="dxa"/>
          </w:tcPr>
          <w:p w14:paraId="427067F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Цандера проезд (нечетная сторона)</w:t>
            </w:r>
          </w:p>
        </w:tc>
        <w:tc>
          <w:tcPr>
            <w:tcW w:w="1843" w:type="dxa"/>
          </w:tcPr>
          <w:p w14:paraId="6D51F29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0,590</w:t>
            </w:r>
          </w:p>
        </w:tc>
        <w:tc>
          <w:tcPr>
            <w:tcW w:w="2693" w:type="dxa"/>
          </w:tcPr>
          <w:p w14:paraId="7BD4154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07-415-ОП-МГ-А-253</w:t>
            </w:r>
          </w:p>
        </w:tc>
        <w:tc>
          <w:tcPr>
            <w:tcW w:w="3118" w:type="dxa"/>
          </w:tcPr>
          <w:p w14:paraId="1240DB8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IV, улица районного значения транспортно-пешеходная</w:t>
            </w:r>
          </w:p>
        </w:tc>
        <w:tc>
          <w:tcPr>
            <w:tcW w:w="1288" w:type="dxa"/>
          </w:tcPr>
          <w:p w14:paraId="5D31727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4130</w:t>
            </w:r>
          </w:p>
        </w:tc>
      </w:tr>
      <w:tr w:rsidR="00171AA8" w:rsidRPr="00731FE2" w14:paraId="17C0E842" w14:textId="77777777" w:rsidTr="00EE4EC5">
        <w:tc>
          <w:tcPr>
            <w:tcW w:w="567" w:type="dxa"/>
          </w:tcPr>
          <w:p w14:paraId="4C1518FA"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606C0489"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Цандера проезд (четная сторона)</w:t>
            </w:r>
          </w:p>
        </w:tc>
        <w:tc>
          <w:tcPr>
            <w:tcW w:w="2268" w:type="dxa"/>
          </w:tcPr>
          <w:p w14:paraId="2AF6F42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Цандера проезд (четная сторона)</w:t>
            </w:r>
          </w:p>
        </w:tc>
        <w:tc>
          <w:tcPr>
            <w:tcW w:w="1843" w:type="dxa"/>
          </w:tcPr>
          <w:p w14:paraId="5F025E9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0,363</w:t>
            </w:r>
          </w:p>
        </w:tc>
        <w:tc>
          <w:tcPr>
            <w:tcW w:w="2693" w:type="dxa"/>
          </w:tcPr>
          <w:p w14:paraId="78F333B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07-415-ОП-МГ-А-254</w:t>
            </w:r>
          </w:p>
        </w:tc>
        <w:tc>
          <w:tcPr>
            <w:tcW w:w="3118" w:type="dxa"/>
          </w:tcPr>
          <w:p w14:paraId="25151A6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основной</w:t>
            </w:r>
          </w:p>
        </w:tc>
        <w:tc>
          <w:tcPr>
            <w:tcW w:w="1288" w:type="dxa"/>
          </w:tcPr>
          <w:p w14:paraId="35A1B59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1815</w:t>
            </w:r>
          </w:p>
        </w:tc>
      </w:tr>
      <w:tr w:rsidR="00171AA8" w:rsidRPr="00731FE2" w14:paraId="6E1572EB" w14:textId="77777777" w:rsidTr="00EE4EC5">
        <w:tc>
          <w:tcPr>
            <w:tcW w:w="567" w:type="dxa"/>
          </w:tcPr>
          <w:p w14:paraId="5E9AE37F"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77166FD3"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Цандера проезд (межквартальный)</w:t>
            </w:r>
          </w:p>
        </w:tc>
        <w:tc>
          <w:tcPr>
            <w:tcW w:w="2268" w:type="dxa"/>
          </w:tcPr>
          <w:p w14:paraId="32CCF90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Цандера проезд (межквартальный)</w:t>
            </w:r>
          </w:p>
        </w:tc>
        <w:tc>
          <w:tcPr>
            <w:tcW w:w="1843" w:type="dxa"/>
          </w:tcPr>
          <w:p w14:paraId="7C7B23E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0,517</w:t>
            </w:r>
          </w:p>
        </w:tc>
        <w:tc>
          <w:tcPr>
            <w:tcW w:w="2693" w:type="dxa"/>
          </w:tcPr>
          <w:p w14:paraId="1B1CB63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07-415-ОП-МГ-А-255</w:t>
            </w:r>
          </w:p>
        </w:tc>
        <w:tc>
          <w:tcPr>
            <w:tcW w:w="3118" w:type="dxa"/>
          </w:tcPr>
          <w:p w14:paraId="37868A6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основной</w:t>
            </w:r>
          </w:p>
        </w:tc>
        <w:tc>
          <w:tcPr>
            <w:tcW w:w="1288" w:type="dxa"/>
          </w:tcPr>
          <w:p w14:paraId="3F77B2D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2585</w:t>
            </w:r>
          </w:p>
        </w:tc>
      </w:tr>
      <w:tr w:rsidR="00171AA8" w:rsidRPr="00731FE2" w14:paraId="4034E4A8" w14:textId="77777777" w:rsidTr="00EE4EC5">
        <w:tc>
          <w:tcPr>
            <w:tcW w:w="567" w:type="dxa"/>
          </w:tcPr>
          <w:p w14:paraId="47E688C6"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7219E0E1"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Целинная</w:t>
            </w:r>
          </w:p>
        </w:tc>
        <w:tc>
          <w:tcPr>
            <w:tcW w:w="2268" w:type="dxa"/>
          </w:tcPr>
          <w:p w14:paraId="65D5067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Целинная</w:t>
            </w:r>
          </w:p>
        </w:tc>
        <w:tc>
          <w:tcPr>
            <w:tcW w:w="1843" w:type="dxa"/>
          </w:tcPr>
          <w:p w14:paraId="3866888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1,195</w:t>
            </w:r>
          </w:p>
        </w:tc>
        <w:tc>
          <w:tcPr>
            <w:tcW w:w="2693" w:type="dxa"/>
          </w:tcPr>
          <w:p w14:paraId="508FA55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07-415-ОП-МГ-А/ЩГ-256</w:t>
            </w:r>
          </w:p>
        </w:tc>
        <w:tc>
          <w:tcPr>
            <w:tcW w:w="3118" w:type="dxa"/>
          </w:tcPr>
          <w:p w14:paraId="31C5CFD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0CC36CE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5975</w:t>
            </w:r>
          </w:p>
        </w:tc>
      </w:tr>
      <w:tr w:rsidR="00171AA8" w:rsidRPr="00731FE2" w14:paraId="10F0481C" w14:textId="77777777" w:rsidTr="00EE4EC5">
        <w:tc>
          <w:tcPr>
            <w:tcW w:w="567" w:type="dxa"/>
          </w:tcPr>
          <w:p w14:paraId="4834D09B"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2D33A067"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Чайковского</w:t>
            </w:r>
          </w:p>
        </w:tc>
        <w:tc>
          <w:tcPr>
            <w:tcW w:w="2268" w:type="dxa"/>
          </w:tcPr>
          <w:p w14:paraId="309D5DF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Чайковского</w:t>
            </w:r>
          </w:p>
        </w:tc>
        <w:tc>
          <w:tcPr>
            <w:tcW w:w="1843" w:type="dxa"/>
          </w:tcPr>
          <w:p w14:paraId="2029CE2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0,218</w:t>
            </w:r>
          </w:p>
        </w:tc>
        <w:tc>
          <w:tcPr>
            <w:tcW w:w="2693" w:type="dxa"/>
          </w:tcPr>
          <w:p w14:paraId="7ED7763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07-415-ОП-МГ-А-257</w:t>
            </w:r>
          </w:p>
        </w:tc>
        <w:tc>
          <w:tcPr>
            <w:tcW w:w="3118" w:type="dxa"/>
          </w:tcPr>
          <w:p w14:paraId="2ADE8B4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3691C2F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872</w:t>
            </w:r>
          </w:p>
        </w:tc>
      </w:tr>
      <w:tr w:rsidR="00171AA8" w:rsidRPr="00731FE2" w14:paraId="1D8C5F87" w14:textId="77777777" w:rsidTr="00EE4EC5">
        <w:tc>
          <w:tcPr>
            <w:tcW w:w="567" w:type="dxa"/>
          </w:tcPr>
          <w:p w14:paraId="6D0B0242"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5A627EA2"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Чапаева переулок</w:t>
            </w:r>
          </w:p>
        </w:tc>
        <w:tc>
          <w:tcPr>
            <w:tcW w:w="2268" w:type="dxa"/>
          </w:tcPr>
          <w:p w14:paraId="0FA0F2F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Чапаева переулок</w:t>
            </w:r>
          </w:p>
        </w:tc>
        <w:tc>
          <w:tcPr>
            <w:tcW w:w="1843" w:type="dxa"/>
          </w:tcPr>
          <w:p w14:paraId="2C9650C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0,196</w:t>
            </w:r>
          </w:p>
        </w:tc>
        <w:tc>
          <w:tcPr>
            <w:tcW w:w="2693" w:type="dxa"/>
          </w:tcPr>
          <w:p w14:paraId="1DA530E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07-415-ОП-МГ-ЩГ-258</w:t>
            </w:r>
          </w:p>
        </w:tc>
        <w:tc>
          <w:tcPr>
            <w:tcW w:w="3118" w:type="dxa"/>
          </w:tcPr>
          <w:p w14:paraId="6552664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252BD4B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588</w:t>
            </w:r>
          </w:p>
        </w:tc>
      </w:tr>
      <w:tr w:rsidR="00171AA8" w:rsidRPr="00731FE2" w14:paraId="152EBAC8" w14:textId="77777777" w:rsidTr="00EE4EC5">
        <w:tc>
          <w:tcPr>
            <w:tcW w:w="567" w:type="dxa"/>
          </w:tcPr>
          <w:p w14:paraId="2D3978DD"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10DE8051"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Чапаева переулок (тупик)</w:t>
            </w:r>
          </w:p>
        </w:tc>
        <w:tc>
          <w:tcPr>
            <w:tcW w:w="2268" w:type="dxa"/>
          </w:tcPr>
          <w:p w14:paraId="42ED689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Чапаева переулок (тупик)</w:t>
            </w:r>
          </w:p>
        </w:tc>
        <w:tc>
          <w:tcPr>
            <w:tcW w:w="1843" w:type="dxa"/>
          </w:tcPr>
          <w:p w14:paraId="28D20F1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0,160</w:t>
            </w:r>
          </w:p>
        </w:tc>
        <w:tc>
          <w:tcPr>
            <w:tcW w:w="2693" w:type="dxa"/>
          </w:tcPr>
          <w:p w14:paraId="1D98F17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07-415-ОП-МГ-ЩГ-259</w:t>
            </w:r>
          </w:p>
        </w:tc>
        <w:tc>
          <w:tcPr>
            <w:tcW w:w="3118" w:type="dxa"/>
          </w:tcPr>
          <w:p w14:paraId="0F7355F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56B5BD5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480</w:t>
            </w:r>
          </w:p>
        </w:tc>
      </w:tr>
      <w:tr w:rsidR="00171AA8" w:rsidRPr="00731FE2" w14:paraId="56AAAA81" w14:textId="77777777" w:rsidTr="00EE4EC5">
        <w:tc>
          <w:tcPr>
            <w:tcW w:w="567" w:type="dxa"/>
          </w:tcPr>
          <w:p w14:paraId="3CC05942"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3A2D0135"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Чапаева 1</w:t>
            </w:r>
          </w:p>
        </w:tc>
        <w:tc>
          <w:tcPr>
            <w:tcW w:w="2268" w:type="dxa"/>
          </w:tcPr>
          <w:p w14:paraId="6B942BF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Чапаева 1</w:t>
            </w:r>
          </w:p>
        </w:tc>
        <w:tc>
          <w:tcPr>
            <w:tcW w:w="1843" w:type="dxa"/>
          </w:tcPr>
          <w:p w14:paraId="2E686BA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1,229</w:t>
            </w:r>
          </w:p>
        </w:tc>
        <w:tc>
          <w:tcPr>
            <w:tcW w:w="2693" w:type="dxa"/>
          </w:tcPr>
          <w:p w14:paraId="76F7422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07-415-ОП-МГ-А-260</w:t>
            </w:r>
          </w:p>
        </w:tc>
        <w:tc>
          <w:tcPr>
            <w:tcW w:w="3118" w:type="dxa"/>
          </w:tcPr>
          <w:p w14:paraId="06B2CE5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IV, улица районного значения транспортно-пешеходная</w:t>
            </w:r>
          </w:p>
        </w:tc>
        <w:tc>
          <w:tcPr>
            <w:tcW w:w="1288" w:type="dxa"/>
          </w:tcPr>
          <w:p w14:paraId="14A3456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11061</w:t>
            </w:r>
          </w:p>
        </w:tc>
      </w:tr>
      <w:tr w:rsidR="00171AA8" w:rsidRPr="00731FE2" w14:paraId="76EC997A" w14:textId="77777777" w:rsidTr="00EE4EC5">
        <w:tc>
          <w:tcPr>
            <w:tcW w:w="567" w:type="dxa"/>
          </w:tcPr>
          <w:p w14:paraId="6C5BFD23"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200B2599"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Чапаева 2</w:t>
            </w:r>
          </w:p>
        </w:tc>
        <w:tc>
          <w:tcPr>
            <w:tcW w:w="2268" w:type="dxa"/>
          </w:tcPr>
          <w:p w14:paraId="66AE180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Чапаева 2</w:t>
            </w:r>
          </w:p>
        </w:tc>
        <w:tc>
          <w:tcPr>
            <w:tcW w:w="1843" w:type="dxa"/>
          </w:tcPr>
          <w:p w14:paraId="3FDD90C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2,951</w:t>
            </w:r>
          </w:p>
        </w:tc>
        <w:tc>
          <w:tcPr>
            <w:tcW w:w="2693" w:type="dxa"/>
          </w:tcPr>
          <w:p w14:paraId="3207E4E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07-415-ОП-МГ-А/ЩГ-261</w:t>
            </w:r>
          </w:p>
        </w:tc>
        <w:tc>
          <w:tcPr>
            <w:tcW w:w="3118" w:type="dxa"/>
          </w:tcPr>
          <w:p w14:paraId="73E55E1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основной</w:t>
            </w:r>
          </w:p>
        </w:tc>
        <w:tc>
          <w:tcPr>
            <w:tcW w:w="1288" w:type="dxa"/>
          </w:tcPr>
          <w:p w14:paraId="4158637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11804</w:t>
            </w:r>
          </w:p>
        </w:tc>
      </w:tr>
      <w:tr w:rsidR="00171AA8" w:rsidRPr="00731FE2" w14:paraId="7F1FC4D0" w14:textId="77777777" w:rsidTr="00EE4EC5">
        <w:tc>
          <w:tcPr>
            <w:tcW w:w="567" w:type="dxa"/>
          </w:tcPr>
          <w:p w14:paraId="6DC8E7EF"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4F76BD86"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Челюскинцев</w:t>
            </w:r>
          </w:p>
        </w:tc>
        <w:tc>
          <w:tcPr>
            <w:tcW w:w="2268" w:type="dxa"/>
          </w:tcPr>
          <w:p w14:paraId="1951A7B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Челюскинцев</w:t>
            </w:r>
          </w:p>
        </w:tc>
        <w:tc>
          <w:tcPr>
            <w:tcW w:w="1843" w:type="dxa"/>
          </w:tcPr>
          <w:p w14:paraId="6C9B7F0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1,030</w:t>
            </w:r>
          </w:p>
        </w:tc>
        <w:tc>
          <w:tcPr>
            <w:tcW w:w="2693" w:type="dxa"/>
          </w:tcPr>
          <w:p w14:paraId="24660DA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07-415-ОП-МГ-А-262</w:t>
            </w:r>
          </w:p>
        </w:tc>
        <w:tc>
          <w:tcPr>
            <w:tcW w:w="3118" w:type="dxa"/>
          </w:tcPr>
          <w:p w14:paraId="7A27C51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основной</w:t>
            </w:r>
          </w:p>
        </w:tc>
        <w:tc>
          <w:tcPr>
            <w:tcW w:w="1288" w:type="dxa"/>
          </w:tcPr>
          <w:p w14:paraId="62C01CD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4635</w:t>
            </w:r>
          </w:p>
        </w:tc>
      </w:tr>
      <w:tr w:rsidR="00171AA8" w:rsidRPr="00731FE2" w14:paraId="12877944" w14:textId="77777777" w:rsidTr="00EE4EC5">
        <w:tc>
          <w:tcPr>
            <w:tcW w:w="567" w:type="dxa"/>
          </w:tcPr>
          <w:p w14:paraId="00CE55CE"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06BE653B"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Черкасская</w:t>
            </w:r>
          </w:p>
        </w:tc>
        <w:tc>
          <w:tcPr>
            <w:tcW w:w="2268" w:type="dxa"/>
          </w:tcPr>
          <w:p w14:paraId="513E2E0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Черкасская</w:t>
            </w:r>
          </w:p>
        </w:tc>
        <w:tc>
          <w:tcPr>
            <w:tcW w:w="1843" w:type="dxa"/>
          </w:tcPr>
          <w:p w14:paraId="59796EB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1,325</w:t>
            </w:r>
          </w:p>
        </w:tc>
        <w:tc>
          <w:tcPr>
            <w:tcW w:w="2693" w:type="dxa"/>
          </w:tcPr>
          <w:p w14:paraId="229A523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07-415-ОП-МГ-ЩГ-263</w:t>
            </w:r>
          </w:p>
        </w:tc>
        <w:tc>
          <w:tcPr>
            <w:tcW w:w="3118" w:type="dxa"/>
          </w:tcPr>
          <w:p w14:paraId="155167C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6F079FB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5300</w:t>
            </w:r>
          </w:p>
        </w:tc>
      </w:tr>
      <w:tr w:rsidR="00171AA8" w:rsidRPr="00731FE2" w14:paraId="298B93F3" w14:textId="77777777" w:rsidTr="00EE4EC5">
        <w:tc>
          <w:tcPr>
            <w:tcW w:w="567" w:type="dxa"/>
          </w:tcPr>
          <w:p w14:paraId="7243DF52"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30DB40C8"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Черкасский переулок</w:t>
            </w:r>
          </w:p>
        </w:tc>
        <w:tc>
          <w:tcPr>
            <w:tcW w:w="2268" w:type="dxa"/>
          </w:tcPr>
          <w:p w14:paraId="6650F30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Черкасский переулок</w:t>
            </w:r>
          </w:p>
        </w:tc>
        <w:tc>
          <w:tcPr>
            <w:tcW w:w="1843" w:type="dxa"/>
          </w:tcPr>
          <w:p w14:paraId="4A881A2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0,272</w:t>
            </w:r>
          </w:p>
        </w:tc>
        <w:tc>
          <w:tcPr>
            <w:tcW w:w="2693" w:type="dxa"/>
          </w:tcPr>
          <w:p w14:paraId="625F1B8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07-415-ОП-МГ-ЩГ-264</w:t>
            </w:r>
          </w:p>
        </w:tc>
        <w:tc>
          <w:tcPr>
            <w:tcW w:w="3118" w:type="dxa"/>
          </w:tcPr>
          <w:p w14:paraId="75AF3AE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улица районного значения транспортно-пешеходная</w:t>
            </w:r>
          </w:p>
        </w:tc>
        <w:tc>
          <w:tcPr>
            <w:tcW w:w="1288" w:type="dxa"/>
          </w:tcPr>
          <w:p w14:paraId="5E742A6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816</w:t>
            </w:r>
          </w:p>
        </w:tc>
      </w:tr>
      <w:tr w:rsidR="00171AA8" w:rsidRPr="00731FE2" w14:paraId="3E57297B" w14:textId="77777777" w:rsidTr="00EE4EC5">
        <w:tc>
          <w:tcPr>
            <w:tcW w:w="567" w:type="dxa"/>
          </w:tcPr>
          <w:p w14:paraId="6AB7A5A5"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225A9903"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Чернышевского</w:t>
            </w:r>
          </w:p>
        </w:tc>
        <w:tc>
          <w:tcPr>
            <w:tcW w:w="2268" w:type="dxa"/>
          </w:tcPr>
          <w:p w14:paraId="08ACDB6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Чернышевского</w:t>
            </w:r>
          </w:p>
        </w:tc>
        <w:tc>
          <w:tcPr>
            <w:tcW w:w="1843" w:type="dxa"/>
          </w:tcPr>
          <w:p w14:paraId="6A6A246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0,531</w:t>
            </w:r>
          </w:p>
        </w:tc>
        <w:tc>
          <w:tcPr>
            <w:tcW w:w="2693" w:type="dxa"/>
          </w:tcPr>
          <w:p w14:paraId="0502AA4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07-415-ОП-МГ-А-265</w:t>
            </w:r>
          </w:p>
        </w:tc>
        <w:tc>
          <w:tcPr>
            <w:tcW w:w="3118" w:type="dxa"/>
          </w:tcPr>
          <w:p w14:paraId="524A539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основной</w:t>
            </w:r>
          </w:p>
        </w:tc>
        <w:tc>
          <w:tcPr>
            <w:tcW w:w="1288" w:type="dxa"/>
          </w:tcPr>
          <w:p w14:paraId="087652E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4248</w:t>
            </w:r>
          </w:p>
        </w:tc>
      </w:tr>
      <w:tr w:rsidR="00171AA8" w:rsidRPr="00731FE2" w14:paraId="4748D8CE" w14:textId="77777777" w:rsidTr="00EE4EC5">
        <w:tc>
          <w:tcPr>
            <w:tcW w:w="567" w:type="dxa"/>
          </w:tcPr>
          <w:p w14:paraId="30DF2B0D"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7C83639E"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Черняховского</w:t>
            </w:r>
          </w:p>
        </w:tc>
        <w:tc>
          <w:tcPr>
            <w:tcW w:w="2268" w:type="dxa"/>
          </w:tcPr>
          <w:p w14:paraId="579192B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Черняховского</w:t>
            </w:r>
          </w:p>
        </w:tc>
        <w:tc>
          <w:tcPr>
            <w:tcW w:w="1843" w:type="dxa"/>
          </w:tcPr>
          <w:p w14:paraId="06B5788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0,544</w:t>
            </w:r>
          </w:p>
        </w:tc>
        <w:tc>
          <w:tcPr>
            <w:tcW w:w="2693" w:type="dxa"/>
          </w:tcPr>
          <w:p w14:paraId="7ADD9FE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07-415-ОП-МГ-А-266</w:t>
            </w:r>
          </w:p>
        </w:tc>
        <w:tc>
          <w:tcPr>
            <w:tcW w:w="3118" w:type="dxa"/>
          </w:tcPr>
          <w:p w14:paraId="234CE22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основной</w:t>
            </w:r>
          </w:p>
        </w:tc>
        <w:tc>
          <w:tcPr>
            <w:tcW w:w="1288" w:type="dxa"/>
          </w:tcPr>
          <w:p w14:paraId="578C954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2176</w:t>
            </w:r>
          </w:p>
        </w:tc>
      </w:tr>
      <w:tr w:rsidR="00171AA8" w:rsidRPr="00731FE2" w14:paraId="7DD00E99" w14:textId="77777777" w:rsidTr="00EE4EC5">
        <w:tc>
          <w:tcPr>
            <w:tcW w:w="567" w:type="dxa"/>
          </w:tcPr>
          <w:p w14:paraId="50B24042"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6158139E"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Чехова</w:t>
            </w:r>
          </w:p>
        </w:tc>
        <w:tc>
          <w:tcPr>
            <w:tcW w:w="2268" w:type="dxa"/>
          </w:tcPr>
          <w:p w14:paraId="0AF586F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Чехова</w:t>
            </w:r>
          </w:p>
        </w:tc>
        <w:tc>
          <w:tcPr>
            <w:tcW w:w="1843" w:type="dxa"/>
          </w:tcPr>
          <w:p w14:paraId="0847812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1,088</w:t>
            </w:r>
          </w:p>
        </w:tc>
        <w:tc>
          <w:tcPr>
            <w:tcW w:w="2693" w:type="dxa"/>
          </w:tcPr>
          <w:p w14:paraId="3A32A3B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07-415-ОП-МГ-А/ЩГ/П-267</w:t>
            </w:r>
          </w:p>
        </w:tc>
        <w:tc>
          <w:tcPr>
            <w:tcW w:w="3118" w:type="dxa"/>
          </w:tcPr>
          <w:p w14:paraId="43BE6DB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улица районного значения транспортно-пешеходная</w:t>
            </w:r>
          </w:p>
        </w:tc>
        <w:tc>
          <w:tcPr>
            <w:tcW w:w="1288" w:type="dxa"/>
          </w:tcPr>
          <w:p w14:paraId="7B83794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8160</w:t>
            </w:r>
          </w:p>
        </w:tc>
      </w:tr>
      <w:tr w:rsidR="00171AA8" w:rsidRPr="00731FE2" w14:paraId="55D2D03B" w14:textId="77777777" w:rsidTr="00EE4EC5">
        <w:tc>
          <w:tcPr>
            <w:tcW w:w="567" w:type="dxa"/>
          </w:tcPr>
          <w:p w14:paraId="31CD0F2D"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22CBF41C"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Чкалова</w:t>
            </w:r>
          </w:p>
        </w:tc>
        <w:tc>
          <w:tcPr>
            <w:tcW w:w="2268" w:type="dxa"/>
          </w:tcPr>
          <w:p w14:paraId="0560A9F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Чкалова</w:t>
            </w:r>
          </w:p>
        </w:tc>
        <w:tc>
          <w:tcPr>
            <w:tcW w:w="1843" w:type="dxa"/>
          </w:tcPr>
          <w:p w14:paraId="68645F3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1,416</w:t>
            </w:r>
          </w:p>
        </w:tc>
        <w:tc>
          <w:tcPr>
            <w:tcW w:w="2693" w:type="dxa"/>
          </w:tcPr>
          <w:p w14:paraId="6DA6751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07-415-ОП-МГ-А-268</w:t>
            </w:r>
          </w:p>
        </w:tc>
        <w:tc>
          <w:tcPr>
            <w:tcW w:w="3118" w:type="dxa"/>
          </w:tcPr>
          <w:p w14:paraId="25E6A33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улица районного значения транспортно-пешеходная</w:t>
            </w:r>
          </w:p>
        </w:tc>
        <w:tc>
          <w:tcPr>
            <w:tcW w:w="1288" w:type="dxa"/>
          </w:tcPr>
          <w:p w14:paraId="1C11115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12036</w:t>
            </w:r>
          </w:p>
        </w:tc>
      </w:tr>
      <w:tr w:rsidR="00171AA8" w:rsidRPr="00731FE2" w14:paraId="744D0361" w14:textId="77777777" w:rsidTr="00EE4EC5">
        <w:tc>
          <w:tcPr>
            <w:tcW w:w="567" w:type="dxa"/>
          </w:tcPr>
          <w:p w14:paraId="138B45EC"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61062415"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Шаляпина</w:t>
            </w:r>
          </w:p>
        </w:tc>
        <w:tc>
          <w:tcPr>
            <w:tcW w:w="2268" w:type="dxa"/>
          </w:tcPr>
          <w:p w14:paraId="43A3200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Шаляпина</w:t>
            </w:r>
          </w:p>
        </w:tc>
        <w:tc>
          <w:tcPr>
            <w:tcW w:w="1843" w:type="dxa"/>
          </w:tcPr>
          <w:p w14:paraId="64119E8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0,204</w:t>
            </w:r>
          </w:p>
        </w:tc>
        <w:tc>
          <w:tcPr>
            <w:tcW w:w="2693" w:type="dxa"/>
          </w:tcPr>
          <w:p w14:paraId="12FBEBB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07-415-ОП-МГ-А-269</w:t>
            </w:r>
          </w:p>
        </w:tc>
        <w:tc>
          <w:tcPr>
            <w:tcW w:w="3118" w:type="dxa"/>
          </w:tcPr>
          <w:p w14:paraId="658EFF0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IV, проезд второстепенный</w:t>
            </w:r>
          </w:p>
        </w:tc>
        <w:tc>
          <w:tcPr>
            <w:tcW w:w="1288" w:type="dxa"/>
          </w:tcPr>
          <w:p w14:paraId="39D9D1A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1836</w:t>
            </w:r>
          </w:p>
        </w:tc>
      </w:tr>
      <w:tr w:rsidR="00171AA8" w:rsidRPr="00731FE2" w14:paraId="77F0BBD8" w14:textId="77777777" w:rsidTr="00EE4EC5">
        <w:tc>
          <w:tcPr>
            <w:tcW w:w="567" w:type="dxa"/>
          </w:tcPr>
          <w:p w14:paraId="498788EA"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6F9C4967"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Шаумяна</w:t>
            </w:r>
          </w:p>
        </w:tc>
        <w:tc>
          <w:tcPr>
            <w:tcW w:w="2268" w:type="dxa"/>
          </w:tcPr>
          <w:p w14:paraId="59B8F0C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Шаумяна</w:t>
            </w:r>
          </w:p>
        </w:tc>
        <w:tc>
          <w:tcPr>
            <w:tcW w:w="1843" w:type="dxa"/>
          </w:tcPr>
          <w:p w14:paraId="26FAB00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0,511</w:t>
            </w:r>
          </w:p>
        </w:tc>
        <w:tc>
          <w:tcPr>
            <w:tcW w:w="2693" w:type="dxa"/>
          </w:tcPr>
          <w:p w14:paraId="7A3FE84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07-415-ОП-МГ-А-270</w:t>
            </w:r>
          </w:p>
        </w:tc>
        <w:tc>
          <w:tcPr>
            <w:tcW w:w="3118" w:type="dxa"/>
          </w:tcPr>
          <w:p w14:paraId="00BF405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IV, проезд второстепенный</w:t>
            </w:r>
          </w:p>
        </w:tc>
        <w:tc>
          <w:tcPr>
            <w:tcW w:w="1288" w:type="dxa"/>
          </w:tcPr>
          <w:p w14:paraId="441515C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2044</w:t>
            </w:r>
          </w:p>
        </w:tc>
      </w:tr>
      <w:tr w:rsidR="00171AA8" w:rsidRPr="00731FE2" w14:paraId="3970C60E" w14:textId="77777777" w:rsidTr="00EE4EC5">
        <w:tc>
          <w:tcPr>
            <w:tcW w:w="567" w:type="dxa"/>
          </w:tcPr>
          <w:p w14:paraId="69634940"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20FDF8CA"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Шевченко переулок</w:t>
            </w:r>
          </w:p>
        </w:tc>
        <w:tc>
          <w:tcPr>
            <w:tcW w:w="2268" w:type="dxa"/>
          </w:tcPr>
          <w:p w14:paraId="4A3E1D5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Шевченко переулок</w:t>
            </w:r>
          </w:p>
        </w:tc>
        <w:tc>
          <w:tcPr>
            <w:tcW w:w="1843" w:type="dxa"/>
          </w:tcPr>
          <w:p w14:paraId="4BF9A3F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0,186</w:t>
            </w:r>
          </w:p>
        </w:tc>
        <w:tc>
          <w:tcPr>
            <w:tcW w:w="2693" w:type="dxa"/>
          </w:tcPr>
          <w:p w14:paraId="4315495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07-415-ОП-МГ-П/ЩГ-271</w:t>
            </w:r>
          </w:p>
        </w:tc>
        <w:tc>
          <w:tcPr>
            <w:tcW w:w="3118" w:type="dxa"/>
          </w:tcPr>
          <w:p w14:paraId="22ABC1C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улица районного значения транспортно-пешеходная</w:t>
            </w:r>
          </w:p>
        </w:tc>
        <w:tc>
          <w:tcPr>
            <w:tcW w:w="1288" w:type="dxa"/>
          </w:tcPr>
          <w:p w14:paraId="323514E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744</w:t>
            </w:r>
          </w:p>
        </w:tc>
      </w:tr>
      <w:tr w:rsidR="00171AA8" w:rsidRPr="00731FE2" w14:paraId="51DBC6EA" w14:textId="77777777" w:rsidTr="00EE4EC5">
        <w:tc>
          <w:tcPr>
            <w:tcW w:w="567" w:type="dxa"/>
          </w:tcPr>
          <w:p w14:paraId="366AC786"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3975419D"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Широкая</w:t>
            </w:r>
          </w:p>
        </w:tc>
        <w:tc>
          <w:tcPr>
            <w:tcW w:w="2268" w:type="dxa"/>
          </w:tcPr>
          <w:p w14:paraId="6262E70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Широкая</w:t>
            </w:r>
          </w:p>
        </w:tc>
        <w:tc>
          <w:tcPr>
            <w:tcW w:w="1843" w:type="dxa"/>
          </w:tcPr>
          <w:p w14:paraId="0745937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1,208</w:t>
            </w:r>
          </w:p>
        </w:tc>
        <w:tc>
          <w:tcPr>
            <w:tcW w:w="2693" w:type="dxa"/>
          </w:tcPr>
          <w:p w14:paraId="1338191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07-415-ОП-МГ-А-272</w:t>
            </w:r>
          </w:p>
        </w:tc>
        <w:tc>
          <w:tcPr>
            <w:tcW w:w="3118" w:type="dxa"/>
          </w:tcPr>
          <w:p w14:paraId="6A27A32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IV, улица районного значения транспортно-пешеходная</w:t>
            </w:r>
          </w:p>
        </w:tc>
        <w:tc>
          <w:tcPr>
            <w:tcW w:w="1288" w:type="dxa"/>
          </w:tcPr>
          <w:p w14:paraId="0DAA1B0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10268</w:t>
            </w:r>
          </w:p>
        </w:tc>
      </w:tr>
      <w:tr w:rsidR="00171AA8" w:rsidRPr="00731FE2" w14:paraId="32EB408C" w14:textId="77777777" w:rsidTr="00EE4EC5">
        <w:tc>
          <w:tcPr>
            <w:tcW w:w="567" w:type="dxa"/>
          </w:tcPr>
          <w:p w14:paraId="776AE402"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5ABA1B3C"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Школьная</w:t>
            </w:r>
          </w:p>
        </w:tc>
        <w:tc>
          <w:tcPr>
            <w:tcW w:w="2268" w:type="dxa"/>
          </w:tcPr>
          <w:p w14:paraId="30B3A60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Школьная</w:t>
            </w:r>
          </w:p>
        </w:tc>
        <w:tc>
          <w:tcPr>
            <w:tcW w:w="1843" w:type="dxa"/>
          </w:tcPr>
          <w:p w14:paraId="76F58DE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1,599</w:t>
            </w:r>
          </w:p>
        </w:tc>
        <w:tc>
          <w:tcPr>
            <w:tcW w:w="2693" w:type="dxa"/>
          </w:tcPr>
          <w:p w14:paraId="45526AB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07-415-ОП-МГ-А/ЩГ-273</w:t>
            </w:r>
          </w:p>
        </w:tc>
        <w:tc>
          <w:tcPr>
            <w:tcW w:w="3118" w:type="dxa"/>
          </w:tcPr>
          <w:p w14:paraId="05D5533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63E713B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9594</w:t>
            </w:r>
          </w:p>
        </w:tc>
      </w:tr>
      <w:tr w:rsidR="00171AA8" w:rsidRPr="00731FE2" w14:paraId="0C2AB7A4" w14:textId="77777777" w:rsidTr="00EE4EC5">
        <w:tc>
          <w:tcPr>
            <w:tcW w:w="567" w:type="dxa"/>
          </w:tcPr>
          <w:p w14:paraId="06180D22"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63BC95C2"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Школьный переулок</w:t>
            </w:r>
          </w:p>
        </w:tc>
        <w:tc>
          <w:tcPr>
            <w:tcW w:w="2268" w:type="dxa"/>
          </w:tcPr>
          <w:p w14:paraId="54CA2D7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Школьный переулок</w:t>
            </w:r>
          </w:p>
        </w:tc>
        <w:tc>
          <w:tcPr>
            <w:tcW w:w="1843" w:type="dxa"/>
          </w:tcPr>
          <w:p w14:paraId="6B3ED69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0,560</w:t>
            </w:r>
          </w:p>
        </w:tc>
        <w:tc>
          <w:tcPr>
            <w:tcW w:w="2693" w:type="dxa"/>
          </w:tcPr>
          <w:p w14:paraId="64BC419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07-415-ОП-МГ-А-274</w:t>
            </w:r>
          </w:p>
        </w:tc>
        <w:tc>
          <w:tcPr>
            <w:tcW w:w="3118" w:type="dxa"/>
          </w:tcPr>
          <w:p w14:paraId="252C2D5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2AD36DD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2800</w:t>
            </w:r>
          </w:p>
        </w:tc>
      </w:tr>
      <w:tr w:rsidR="00171AA8" w:rsidRPr="00731FE2" w14:paraId="3DE86DC9" w14:textId="77777777" w:rsidTr="00EE4EC5">
        <w:tc>
          <w:tcPr>
            <w:tcW w:w="567" w:type="dxa"/>
          </w:tcPr>
          <w:p w14:paraId="5DD3C7D2"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20A5BACD"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Шмидта</w:t>
            </w:r>
          </w:p>
        </w:tc>
        <w:tc>
          <w:tcPr>
            <w:tcW w:w="2268" w:type="dxa"/>
          </w:tcPr>
          <w:p w14:paraId="10FC197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Шмидта</w:t>
            </w:r>
          </w:p>
        </w:tc>
        <w:tc>
          <w:tcPr>
            <w:tcW w:w="1843" w:type="dxa"/>
          </w:tcPr>
          <w:p w14:paraId="3269157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0,140</w:t>
            </w:r>
          </w:p>
        </w:tc>
        <w:tc>
          <w:tcPr>
            <w:tcW w:w="2693" w:type="dxa"/>
          </w:tcPr>
          <w:p w14:paraId="046A258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07-415-ОП-МГ-А-275</w:t>
            </w:r>
          </w:p>
        </w:tc>
        <w:tc>
          <w:tcPr>
            <w:tcW w:w="3118" w:type="dxa"/>
          </w:tcPr>
          <w:p w14:paraId="772F03C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61B0278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560</w:t>
            </w:r>
          </w:p>
        </w:tc>
      </w:tr>
      <w:tr w:rsidR="00171AA8" w:rsidRPr="00731FE2" w14:paraId="65AFA072" w14:textId="77777777" w:rsidTr="00EE4EC5">
        <w:tc>
          <w:tcPr>
            <w:tcW w:w="567" w:type="dxa"/>
          </w:tcPr>
          <w:p w14:paraId="18C87D68"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5E7FB9E6"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Штукатурный переулок</w:t>
            </w:r>
          </w:p>
        </w:tc>
        <w:tc>
          <w:tcPr>
            <w:tcW w:w="2268" w:type="dxa"/>
          </w:tcPr>
          <w:p w14:paraId="650B927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Штукатурный переулок</w:t>
            </w:r>
          </w:p>
        </w:tc>
        <w:tc>
          <w:tcPr>
            <w:tcW w:w="1843" w:type="dxa"/>
          </w:tcPr>
          <w:p w14:paraId="07FE6D8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0,295</w:t>
            </w:r>
          </w:p>
        </w:tc>
        <w:tc>
          <w:tcPr>
            <w:tcW w:w="2693" w:type="dxa"/>
          </w:tcPr>
          <w:p w14:paraId="46BD3B9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07-415-ОП-МГ-А/Б/ЩГ-276</w:t>
            </w:r>
          </w:p>
        </w:tc>
        <w:tc>
          <w:tcPr>
            <w:tcW w:w="3118" w:type="dxa"/>
          </w:tcPr>
          <w:p w14:paraId="64A3343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64171C9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1032,5</w:t>
            </w:r>
          </w:p>
        </w:tc>
      </w:tr>
      <w:tr w:rsidR="00171AA8" w:rsidRPr="00731FE2" w14:paraId="4C28C010" w14:textId="77777777" w:rsidTr="00EE4EC5">
        <w:tc>
          <w:tcPr>
            <w:tcW w:w="567" w:type="dxa"/>
          </w:tcPr>
          <w:p w14:paraId="1DAB10FB"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46B71F4F"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Щербакова</w:t>
            </w:r>
          </w:p>
        </w:tc>
        <w:tc>
          <w:tcPr>
            <w:tcW w:w="2268" w:type="dxa"/>
          </w:tcPr>
          <w:p w14:paraId="7A39076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Щербакова</w:t>
            </w:r>
          </w:p>
        </w:tc>
        <w:tc>
          <w:tcPr>
            <w:tcW w:w="1843" w:type="dxa"/>
          </w:tcPr>
          <w:p w14:paraId="78DD848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0,525</w:t>
            </w:r>
          </w:p>
        </w:tc>
        <w:tc>
          <w:tcPr>
            <w:tcW w:w="2693" w:type="dxa"/>
          </w:tcPr>
          <w:p w14:paraId="6532435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07-415-ОП-МГ-А/Б/П-277</w:t>
            </w:r>
          </w:p>
        </w:tc>
        <w:tc>
          <w:tcPr>
            <w:tcW w:w="3118" w:type="dxa"/>
          </w:tcPr>
          <w:p w14:paraId="544DB2F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IV, улица районного значения транспортно-пешеходная</w:t>
            </w:r>
          </w:p>
        </w:tc>
        <w:tc>
          <w:tcPr>
            <w:tcW w:w="1288" w:type="dxa"/>
          </w:tcPr>
          <w:p w14:paraId="43D7E2E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2887,5</w:t>
            </w:r>
          </w:p>
        </w:tc>
      </w:tr>
      <w:tr w:rsidR="00171AA8" w:rsidRPr="00731FE2" w14:paraId="093EDE7E" w14:textId="77777777" w:rsidTr="00EE4EC5">
        <w:tc>
          <w:tcPr>
            <w:tcW w:w="567" w:type="dxa"/>
          </w:tcPr>
          <w:p w14:paraId="525D0139"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5504D89F"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Щорса</w:t>
            </w:r>
          </w:p>
        </w:tc>
        <w:tc>
          <w:tcPr>
            <w:tcW w:w="2268" w:type="dxa"/>
          </w:tcPr>
          <w:p w14:paraId="35F741B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Щорса</w:t>
            </w:r>
          </w:p>
        </w:tc>
        <w:tc>
          <w:tcPr>
            <w:tcW w:w="1843" w:type="dxa"/>
          </w:tcPr>
          <w:p w14:paraId="69A0461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0,223</w:t>
            </w:r>
          </w:p>
        </w:tc>
        <w:tc>
          <w:tcPr>
            <w:tcW w:w="2693" w:type="dxa"/>
          </w:tcPr>
          <w:p w14:paraId="44AEE1C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07-415-ОП-МГ-А/ЩГ-278</w:t>
            </w:r>
          </w:p>
        </w:tc>
        <w:tc>
          <w:tcPr>
            <w:tcW w:w="3118" w:type="dxa"/>
          </w:tcPr>
          <w:p w14:paraId="0418C3A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451672C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780,5</w:t>
            </w:r>
          </w:p>
        </w:tc>
      </w:tr>
      <w:tr w:rsidR="00171AA8" w:rsidRPr="00731FE2" w14:paraId="78323DCE" w14:textId="77777777" w:rsidTr="00EE4EC5">
        <w:tc>
          <w:tcPr>
            <w:tcW w:w="567" w:type="dxa"/>
          </w:tcPr>
          <w:p w14:paraId="4BEA4E35"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76C71733"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Эльбрусская</w:t>
            </w:r>
          </w:p>
        </w:tc>
        <w:tc>
          <w:tcPr>
            <w:tcW w:w="2268" w:type="dxa"/>
          </w:tcPr>
          <w:p w14:paraId="4ED1F87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Эльбрусская</w:t>
            </w:r>
          </w:p>
        </w:tc>
        <w:tc>
          <w:tcPr>
            <w:tcW w:w="1843" w:type="dxa"/>
          </w:tcPr>
          <w:p w14:paraId="6835A74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0,540</w:t>
            </w:r>
          </w:p>
        </w:tc>
        <w:tc>
          <w:tcPr>
            <w:tcW w:w="2693" w:type="dxa"/>
          </w:tcPr>
          <w:p w14:paraId="6D60060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07-415-ОП-МГ-А/ЩГ/Б-279</w:t>
            </w:r>
          </w:p>
        </w:tc>
        <w:tc>
          <w:tcPr>
            <w:tcW w:w="3118" w:type="dxa"/>
          </w:tcPr>
          <w:p w14:paraId="17D4C25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5831590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2160</w:t>
            </w:r>
          </w:p>
        </w:tc>
      </w:tr>
      <w:tr w:rsidR="00171AA8" w:rsidRPr="00731FE2" w14:paraId="561B189B" w14:textId="77777777" w:rsidTr="00EE4EC5">
        <w:tc>
          <w:tcPr>
            <w:tcW w:w="567" w:type="dxa"/>
          </w:tcPr>
          <w:p w14:paraId="3A7A123B"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781A27CA"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Энгельса</w:t>
            </w:r>
          </w:p>
        </w:tc>
        <w:tc>
          <w:tcPr>
            <w:tcW w:w="2268" w:type="dxa"/>
          </w:tcPr>
          <w:p w14:paraId="1E755FB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Энгельса</w:t>
            </w:r>
          </w:p>
        </w:tc>
        <w:tc>
          <w:tcPr>
            <w:tcW w:w="1843" w:type="dxa"/>
          </w:tcPr>
          <w:p w14:paraId="17E6396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1,379</w:t>
            </w:r>
          </w:p>
        </w:tc>
        <w:tc>
          <w:tcPr>
            <w:tcW w:w="2693" w:type="dxa"/>
          </w:tcPr>
          <w:p w14:paraId="76355EF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07-415-ОП-МГ-А/ЩГ-280</w:t>
            </w:r>
          </w:p>
        </w:tc>
        <w:tc>
          <w:tcPr>
            <w:tcW w:w="3118" w:type="dxa"/>
          </w:tcPr>
          <w:p w14:paraId="7889F4B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основной</w:t>
            </w:r>
          </w:p>
        </w:tc>
        <w:tc>
          <w:tcPr>
            <w:tcW w:w="1288" w:type="dxa"/>
          </w:tcPr>
          <w:p w14:paraId="5F7CE99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4826,5</w:t>
            </w:r>
          </w:p>
        </w:tc>
      </w:tr>
      <w:tr w:rsidR="00171AA8" w:rsidRPr="00731FE2" w14:paraId="5799BFA0" w14:textId="77777777" w:rsidTr="00EE4EC5">
        <w:tc>
          <w:tcPr>
            <w:tcW w:w="567" w:type="dxa"/>
          </w:tcPr>
          <w:p w14:paraId="688BD3B7"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5745F26A"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Энгельса переулок</w:t>
            </w:r>
          </w:p>
        </w:tc>
        <w:tc>
          <w:tcPr>
            <w:tcW w:w="2268" w:type="dxa"/>
          </w:tcPr>
          <w:p w14:paraId="3171ABA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Энгельса переулок</w:t>
            </w:r>
          </w:p>
        </w:tc>
        <w:tc>
          <w:tcPr>
            <w:tcW w:w="1843" w:type="dxa"/>
          </w:tcPr>
          <w:p w14:paraId="70D38CD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0,187</w:t>
            </w:r>
          </w:p>
        </w:tc>
        <w:tc>
          <w:tcPr>
            <w:tcW w:w="2693" w:type="dxa"/>
          </w:tcPr>
          <w:p w14:paraId="7ECE3BF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07-415-ОП-МГ-ЩГ-281</w:t>
            </w:r>
          </w:p>
        </w:tc>
        <w:tc>
          <w:tcPr>
            <w:tcW w:w="3118" w:type="dxa"/>
          </w:tcPr>
          <w:p w14:paraId="48E041B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5E46A7A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654,5</w:t>
            </w:r>
          </w:p>
        </w:tc>
      </w:tr>
      <w:tr w:rsidR="00171AA8" w:rsidRPr="00731FE2" w14:paraId="36BDB14B" w14:textId="77777777" w:rsidTr="00EE4EC5">
        <w:tc>
          <w:tcPr>
            <w:tcW w:w="567" w:type="dxa"/>
          </w:tcPr>
          <w:p w14:paraId="40594BCB"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3CBD8F73"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Южный переулок</w:t>
            </w:r>
          </w:p>
        </w:tc>
        <w:tc>
          <w:tcPr>
            <w:tcW w:w="2268" w:type="dxa"/>
          </w:tcPr>
          <w:p w14:paraId="4F350D6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Южный переулок</w:t>
            </w:r>
          </w:p>
        </w:tc>
        <w:tc>
          <w:tcPr>
            <w:tcW w:w="1843" w:type="dxa"/>
          </w:tcPr>
          <w:p w14:paraId="41505EC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0,165</w:t>
            </w:r>
          </w:p>
        </w:tc>
        <w:tc>
          <w:tcPr>
            <w:tcW w:w="2693" w:type="dxa"/>
          </w:tcPr>
          <w:p w14:paraId="43516FE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07-415-ОП-МГ-А-282</w:t>
            </w:r>
          </w:p>
        </w:tc>
        <w:tc>
          <w:tcPr>
            <w:tcW w:w="3118" w:type="dxa"/>
          </w:tcPr>
          <w:p w14:paraId="263FE3A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7C0DC14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693</w:t>
            </w:r>
          </w:p>
        </w:tc>
      </w:tr>
      <w:tr w:rsidR="00171AA8" w:rsidRPr="00731FE2" w14:paraId="61206847" w14:textId="77777777" w:rsidTr="00EE4EC5">
        <w:tc>
          <w:tcPr>
            <w:tcW w:w="567" w:type="dxa"/>
          </w:tcPr>
          <w:p w14:paraId="264749B6"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17E39F31"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Яновского переулок</w:t>
            </w:r>
          </w:p>
        </w:tc>
        <w:tc>
          <w:tcPr>
            <w:tcW w:w="2268" w:type="dxa"/>
          </w:tcPr>
          <w:p w14:paraId="125EC6A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Яновского переулок</w:t>
            </w:r>
          </w:p>
        </w:tc>
        <w:tc>
          <w:tcPr>
            <w:tcW w:w="1843" w:type="dxa"/>
          </w:tcPr>
          <w:p w14:paraId="58F718A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0,299</w:t>
            </w:r>
          </w:p>
        </w:tc>
        <w:tc>
          <w:tcPr>
            <w:tcW w:w="2693" w:type="dxa"/>
          </w:tcPr>
          <w:p w14:paraId="1A79BCC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07-415-ОП-МГ-А/Тр-283</w:t>
            </w:r>
          </w:p>
        </w:tc>
        <w:tc>
          <w:tcPr>
            <w:tcW w:w="3118" w:type="dxa"/>
          </w:tcPr>
          <w:p w14:paraId="4B4BC64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улица районного значения транспортно-пешеходная</w:t>
            </w:r>
          </w:p>
        </w:tc>
        <w:tc>
          <w:tcPr>
            <w:tcW w:w="1288" w:type="dxa"/>
          </w:tcPr>
          <w:p w14:paraId="3503780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1196</w:t>
            </w:r>
          </w:p>
        </w:tc>
      </w:tr>
      <w:tr w:rsidR="00171AA8" w:rsidRPr="00731FE2" w14:paraId="29222F90" w14:textId="77777777" w:rsidTr="00EE4EC5">
        <w:tc>
          <w:tcPr>
            <w:tcW w:w="567" w:type="dxa"/>
          </w:tcPr>
          <w:p w14:paraId="334D4D6D"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37A01C13"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Ярошенко</w:t>
            </w:r>
          </w:p>
        </w:tc>
        <w:tc>
          <w:tcPr>
            <w:tcW w:w="2268" w:type="dxa"/>
          </w:tcPr>
          <w:p w14:paraId="1461D7B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Ярошенко</w:t>
            </w:r>
          </w:p>
        </w:tc>
        <w:tc>
          <w:tcPr>
            <w:tcW w:w="1843" w:type="dxa"/>
          </w:tcPr>
          <w:p w14:paraId="089CBCD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0,544</w:t>
            </w:r>
          </w:p>
        </w:tc>
        <w:tc>
          <w:tcPr>
            <w:tcW w:w="2693" w:type="dxa"/>
          </w:tcPr>
          <w:p w14:paraId="0005D45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07-415-ОП-МГ-А-284</w:t>
            </w:r>
          </w:p>
        </w:tc>
        <w:tc>
          <w:tcPr>
            <w:tcW w:w="3118" w:type="dxa"/>
          </w:tcPr>
          <w:p w14:paraId="7AAF923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улица районного значения транспортно-пешеходная</w:t>
            </w:r>
          </w:p>
        </w:tc>
        <w:tc>
          <w:tcPr>
            <w:tcW w:w="1288" w:type="dxa"/>
          </w:tcPr>
          <w:p w14:paraId="3C8A852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4896</w:t>
            </w:r>
          </w:p>
        </w:tc>
      </w:tr>
      <w:tr w:rsidR="00171AA8" w:rsidRPr="00731FE2" w14:paraId="113E2F36" w14:textId="77777777" w:rsidTr="00EE4EC5">
        <w:tc>
          <w:tcPr>
            <w:tcW w:w="567" w:type="dxa"/>
          </w:tcPr>
          <w:p w14:paraId="1F87625C"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27D51BFF"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подьездная дорога к «Замку» от дороги Аликоновка -Зеленогорский до ресторана «Замок ковартсва и любви»)</w:t>
            </w:r>
          </w:p>
        </w:tc>
        <w:tc>
          <w:tcPr>
            <w:tcW w:w="2268" w:type="dxa"/>
          </w:tcPr>
          <w:p w14:paraId="359FBE6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подьездная дорога к «Замку» от дороги Аликоновка -Зеленогорский до ресторана «Замок ковартсва и любви»)</w:t>
            </w:r>
          </w:p>
        </w:tc>
        <w:tc>
          <w:tcPr>
            <w:tcW w:w="1843" w:type="dxa"/>
          </w:tcPr>
          <w:p w14:paraId="4C59760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1,541</w:t>
            </w:r>
          </w:p>
        </w:tc>
        <w:tc>
          <w:tcPr>
            <w:tcW w:w="2693" w:type="dxa"/>
          </w:tcPr>
          <w:p w14:paraId="1F11ABE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07-415-ОП-МГ-А-285</w:t>
            </w:r>
          </w:p>
        </w:tc>
        <w:tc>
          <w:tcPr>
            <w:tcW w:w="3118" w:type="dxa"/>
          </w:tcPr>
          <w:p w14:paraId="03FBBF9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IV, улица районного значения транспортно-пешеходная</w:t>
            </w:r>
          </w:p>
        </w:tc>
        <w:tc>
          <w:tcPr>
            <w:tcW w:w="1288" w:type="dxa"/>
          </w:tcPr>
          <w:p w14:paraId="6BF0D59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10787</w:t>
            </w:r>
          </w:p>
        </w:tc>
      </w:tr>
      <w:tr w:rsidR="00171AA8" w:rsidRPr="00731FE2" w14:paraId="7D212119" w14:textId="77777777" w:rsidTr="00EE4EC5">
        <w:tc>
          <w:tcPr>
            <w:tcW w:w="567" w:type="dxa"/>
          </w:tcPr>
          <w:p w14:paraId="19A5F71F"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0F062533"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Дорога - транспортная развязка на въезде</w:t>
            </w:r>
          </w:p>
        </w:tc>
        <w:tc>
          <w:tcPr>
            <w:tcW w:w="2268" w:type="dxa"/>
          </w:tcPr>
          <w:p w14:paraId="79CDCD3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Дорога - транспортная развязка на въезде</w:t>
            </w:r>
          </w:p>
        </w:tc>
        <w:tc>
          <w:tcPr>
            <w:tcW w:w="1843" w:type="dxa"/>
          </w:tcPr>
          <w:p w14:paraId="6745F5C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0,810</w:t>
            </w:r>
          </w:p>
        </w:tc>
        <w:tc>
          <w:tcPr>
            <w:tcW w:w="2693" w:type="dxa"/>
          </w:tcPr>
          <w:p w14:paraId="01F345B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07-415-ОП-МГ-А-286</w:t>
            </w:r>
          </w:p>
        </w:tc>
        <w:tc>
          <w:tcPr>
            <w:tcW w:w="3118" w:type="dxa"/>
          </w:tcPr>
          <w:p w14:paraId="6CC53BB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IV, улица районного значения транспортно-пешеходная</w:t>
            </w:r>
          </w:p>
        </w:tc>
        <w:tc>
          <w:tcPr>
            <w:tcW w:w="1288" w:type="dxa"/>
          </w:tcPr>
          <w:p w14:paraId="6590BFF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6480</w:t>
            </w:r>
          </w:p>
        </w:tc>
      </w:tr>
      <w:tr w:rsidR="00171AA8" w:rsidRPr="00731FE2" w14:paraId="15585073" w14:textId="77777777" w:rsidTr="00EE4EC5">
        <w:tc>
          <w:tcPr>
            <w:tcW w:w="567" w:type="dxa"/>
          </w:tcPr>
          <w:p w14:paraId="7AFFA906"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3D044F94"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Дорога -Проезды с автовокзала</w:t>
            </w:r>
          </w:p>
        </w:tc>
        <w:tc>
          <w:tcPr>
            <w:tcW w:w="2268" w:type="dxa"/>
          </w:tcPr>
          <w:p w14:paraId="696DB91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Дорога -Проезды с автовокзала</w:t>
            </w:r>
          </w:p>
        </w:tc>
        <w:tc>
          <w:tcPr>
            <w:tcW w:w="1843" w:type="dxa"/>
          </w:tcPr>
          <w:p w14:paraId="3163209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0,833</w:t>
            </w:r>
          </w:p>
        </w:tc>
        <w:tc>
          <w:tcPr>
            <w:tcW w:w="2693" w:type="dxa"/>
          </w:tcPr>
          <w:p w14:paraId="42E539C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07-415-ОП-МГ-А-287</w:t>
            </w:r>
          </w:p>
        </w:tc>
        <w:tc>
          <w:tcPr>
            <w:tcW w:w="3118" w:type="dxa"/>
          </w:tcPr>
          <w:p w14:paraId="6EE5B49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IV, улица районного значения транспортно-пешеходная</w:t>
            </w:r>
          </w:p>
        </w:tc>
        <w:tc>
          <w:tcPr>
            <w:tcW w:w="1288" w:type="dxa"/>
          </w:tcPr>
          <w:p w14:paraId="7D4D30D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6664</w:t>
            </w:r>
          </w:p>
        </w:tc>
      </w:tr>
      <w:tr w:rsidR="00171AA8" w:rsidRPr="00731FE2" w14:paraId="6E09B952" w14:textId="77777777" w:rsidTr="00EE4EC5">
        <w:tc>
          <w:tcPr>
            <w:tcW w:w="567" w:type="dxa"/>
          </w:tcPr>
          <w:p w14:paraId="78130E3C"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0E16186C"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Дорога - проезд с ул. Промышленной к №№12б, 14б</w:t>
            </w:r>
          </w:p>
        </w:tc>
        <w:tc>
          <w:tcPr>
            <w:tcW w:w="2268" w:type="dxa"/>
          </w:tcPr>
          <w:p w14:paraId="00B3AE3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Дорога - проезд с ул. Промышленной к №№12б, 14б</w:t>
            </w:r>
          </w:p>
        </w:tc>
        <w:tc>
          <w:tcPr>
            <w:tcW w:w="1843" w:type="dxa"/>
          </w:tcPr>
          <w:p w14:paraId="082E682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0,791</w:t>
            </w:r>
          </w:p>
        </w:tc>
        <w:tc>
          <w:tcPr>
            <w:tcW w:w="2693" w:type="dxa"/>
          </w:tcPr>
          <w:p w14:paraId="775EEF5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07-415-ОП-МГ-А-288</w:t>
            </w:r>
          </w:p>
        </w:tc>
        <w:tc>
          <w:tcPr>
            <w:tcW w:w="3118" w:type="dxa"/>
          </w:tcPr>
          <w:p w14:paraId="1010F16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7508CF6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8701</w:t>
            </w:r>
          </w:p>
        </w:tc>
      </w:tr>
      <w:tr w:rsidR="00171AA8" w:rsidRPr="00731FE2" w14:paraId="74C22908" w14:textId="77777777" w:rsidTr="00EE4EC5">
        <w:tc>
          <w:tcPr>
            <w:tcW w:w="567" w:type="dxa"/>
          </w:tcPr>
          <w:p w14:paraId="06177867"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4D72B366"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Проезд на кладбище ул. Седлогорской</w:t>
            </w:r>
          </w:p>
        </w:tc>
        <w:tc>
          <w:tcPr>
            <w:tcW w:w="2268" w:type="dxa"/>
          </w:tcPr>
          <w:p w14:paraId="445941C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Проезд на кладбище ул. Седлогорской</w:t>
            </w:r>
          </w:p>
        </w:tc>
        <w:tc>
          <w:tcPr>
            <w:tcW w:w="1843" w:type="dxa"/>
          </w:tcPr>
          <w:p w14:paraId="2F3DFE9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0,750</w:t>
            </w:r>
          </w:p>
        </w:tc>
        <w:tc>
          <w:tcPr>
            <w:tcW w:w="2693" w:type="dxa"/>
          </w:tcPr>
          <w:p w14:paraId="785D75C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07-415-ОП-МГ-А-289</w:t>
            </w:r>
          </w:p>
        </w:tc>
        <w:tc>
          <w:tcPr>
            <w:tcW w:w="3118" w:type="dxa"/>
          </w:tcPr>
          <w:p w14:paraId="347CE5C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IV, улица районного значения транспортно-пешеходная</w:t>
            </w:r>
          </w:p>
        </w:tc>
        <w:tc>
          <w:tcPr>
            <w:tcW w:w="1288" w:type="dxa"/>
          </w:tcPr>
          <w:p w14:paraId="3687047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4875</w:t>
            </w:r>
          </w:p>
        </w:tc>
      </w:tr>
      <w:tr w:rsidR="00171AA8" w:rsidRPr="00731FE2" w14:paraId="49C52F6A" w14:textId="77777777" w:rsidTr="00EE4EC5">
        <w:tc>
          <w:tcPr>
            <w:tcW w:w="567" w:type="dxa"/>
          </w:tcPr>
          <w:p w14:paraId="57AD0AC5"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248312F1" w14:textId="34535055" w:rsidR="00171AA8" w:rsidRPr="00731FE2" w:rsidRDefault="007935AB" w:rsidP="005E3E3A">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18"/>
                <w:szCs w:val="18"/>
              </w:rPr>
            </w:pPr>
            <w:r w:rsidRPr="00731FE2">
              <w:rPr>
                <w:rFonts w:ascii="Times New Roman" w:eastAsia="Times New Roman" w:hAnsi="Times New Roman" w:cs="Times New Roman"/>
                <w:color w:val="000000"/>
                <w:sz w:val="18"/>
                <w:szCs w:val="18"/>
              </w:rPr>
              <w:t xml:space="preserve">Аликоновка-примыкание к </w:t>
            </w:r>
            <w:r w:rsidR="005E3E3A" w:rsidRPr="00731FE2">
              <w:rPr>
                <w:rFonts w:ascii="Times New Roman" w:eastAsia="Times New Roman" w:hAnsi="Times New Roman" w:cs="Times New Roman"/>
                <w:color w:val="000000"/>
                <w:sz w:val="18"/>
                <w:szCs w:val="18"/>
              </w:rPr>
              <w:t>автомобильной дороге общего пользования регионального значения «Кисловодск – Карачаевск (в границах Ставропольского края)</w:t>
            </w:r>
          </w:p>
        </w:tc>
        <w:tc>
          <w:tcPr>
            <w:tcW w:w="2268" w:type="dxa"/>
          </w:tcPr>
          <w:p w14:paraId="537A6631" w14:textId="51913BFF" w:rsidR="00171AA8" w:rsidRPr="00731FE2" w:rsidRDefault="007935AB" w:rsidP="005E3E3A">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18"/>
                <w:szCs w:val="18"/>
              </w:rPr>
            </w:pPr>
            <w:r w:rsidRPr="00731FE2">
              <w:rPr>
                <w:rFonts w:ascii="Times New Roman" w:eastAsia="Times New Roman" w:hAnsi="Times New Roman" w:cs="Times New Roman"/>
                <w:color w:val="000000"/>
                <w:sz w:val="18"/>
                <w:szCs w:val="18"/>
              </w:rPr>
              <w:t xml:space="preserve">Аликоновка-примыкание к </w:t>
            </w:r>
            <w:r w:rsidR="005E3E3A" w:rsidRPr="00731FE2">
              <w:rPr>
                <w:rFonts w:ascii="Times New Roman" w:eastAsia="Times New Roman" w:hAnsi="Times New Roman" w:cs="Times New Roman"/>
                <w:color w:val="000000"/>
                <w:sz w:val="18"/>
                <w:szCs w:val="18"/>
              </w:rPr>
              <w:t>автомобильной дороге общего пользования регионального значения «Кисловодск – Карачаевск (в границах Ставропольского края)</w:t>
            </w:r>
          </w:p>
        </w:tc>
        <w:tc>
          <w:tcPr>
            <w:tcW w:w="1843" w:type="dxa"/>
          </w:tcPr>
          <w:p w14:paraId="19AF39F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6,300</w:t>
            </w:r>
          </w:p>
        </w:tc>
        <w:tc>
          <w:tcPr>
            <w:tcW w:w="2693" w:type="dxa"/>
          </w:tcPr>
          <w:p w14:paraId="724ED21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07-415-ОП-МГ-А-290</w:t>
            </w:r>
          </w:p>
        </w:tc>
        <w:tc>
          <w:tcPr>
            <w:tcW w:w="3118" w:type="dxa"/>
          </w:tcPr>
          <w:p w14:paraId="54DE28F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IV, улица районного значения транспортно-пешеходная</w:t>
            </w:r>
          </w:p>
        </w:tc>
        <w:tc>
          <w:tcPr>
            <w:tcW w:w="1288" w:type="dxa"/>
          </w:tcPr>
          <w:p w14:paraId="69D5CA7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40950</w:t>
            </w:r>
          </w:p>
        </w:tc>
      </w:tr>
      <w:tr w:rsidR="00171AA8" w:rsidRPr="00731FE2" w14:paraId="2FE1A6E8" w14:textId="77777777" w:rsidTr="00EE4EC5">
        <w:tc>
          <w:tcPr>
            <w:tcW w:w="567" w:type="dxa"/>
          </w:tcPr>
          <w:p w14:paraId="2CB8DCD6"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4AFCC3BA"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автомоб. дорога «Подъезд к Кисловодскому экспериментальному тепличному комплексу»</w:t>
            </w:r>
          </w:p>
        </w:tc>
        <w:tc>
          <w:tcPr>
            <w:tcW w:w="2268" w:type="dxa"/>
          </w:tcPr>
          <w:p w14:paraId="5DED831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автомоб. дорога «Подъезд к Кисловодскому экспериментальному тепличному комплексу»</w:t>
            </w:r>
          </w:p>
        </w:tc>
        <w:tc>
          <w:tcPr>
            <w:tcW w:w="1843" w:type="dxa"/>
          </w:tcPr>
          <w:p w14:paraId="7BCA34D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2,800</w:t>
            </w:r>
          </w:p>
        </w:tc>
        <w:tc>
          <w:tcPr>
            <w:tcW w:w="2693" w:type="dxa"/>
          </w:tcPr>
          <w:p w14:paraId="1759D3C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07-415-ОП-МГ-А-291</w:t>
            </w:r>
          </w:p>
        </w:tc>
        <w:tc>
          <w:tcPr>
            <w:tcW w:w="3118" w:type="dxa"/>
          </w:tcPr>
          <w:p w14:paraId="6C1E51A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улица районного значения транспортно-пешеходная</w:t>
            </w:r>
          </w:p>
        </w:tc>
        <w:tc>
          <w:tcPr>
            <w:tcW w:w="1288" w:type="dxa"/>
          </w:tcPr>
          <w:p w14:paraId="622E939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22400</w:t>
            </w:r>
          </w:p>
        </w:tc>
      </w:tr>
      <w:tr w:rsidR="00171AA8" w:rsidRPr="00731FE2" w14:paraId="1149C42A" w14:textId="77777777" w:rsidTr="00EE4EC5">
        <w:tc>
          <w:tcPr>
            <w:tcW w:w="567" w:type="dxa"/>
          </w:tcPr>
          <w:p w14:paraId="7ECCE6F2"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15C4DBD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b/>
                <w:color w:val="000000"/>
                <w:sz w:val="18"/>
                <w:szCs w:val="18"/>
              </w:rPr>
              <w:t>п. Аликоновка</w:t>
            </w:r>
          </w:p>
        </w:tc>
        <w:tc>
          <w:tcPr>
            <w:tcW w:w="2268" w:type="dxa"/>
          </w:tcPr>
          <w:p w14:paraId="3C3349D5" w14:textId="77777777" w:rsidR="00171AA8" w:rsidRPr="00731FE2" w:rsidRDefault="00171AA8">
            <w:pPr>
              <w:pStyle w:val="24"/>
              <w:rPr>
                <w:rFonts w:ascii="Times New Roman" w:hAnsi="Times New Roman" w:cs="Times New Roman"/>
                <w:sz w:val="18"/>
                <w:szCs w:val="18"/>
              </w:rPr>
            </w:pPr>
          </w:p>
        </w:tc>
        <w:tc>
          <w:tcPr>
            <w:tcW w:w="1843" w:type="dxa"/>
          </w:tcPr>
          <w:p w14:paraId="16A45217" w14:textId="77777777" w:rsidR="00171AA8" w:rsidRPr="00731FE2" w:rsidRDefault="00171AA8">
            <w:pPr>
              <w:pStyle w:val="24"/>
              <w:rPr>
                <w:rFonts w:ascii="Times New Roman" w:hAnsi="Times New Roman" w:cs="Times New Roman"/>
                <w:sz w:val="18"/>
                <w:szCs w:val="18"/>
              </w:rPr>
            </w:pPr>
          </w:p>
        </w:tc>
        <w:tc>
          <w:tcPr>
            <w:tcW w:w="2693" w:type="dxa"/>
          </w:tcPr>
          <w:p w14:paraId="38EDEA70" w14:textId="77777777" w:rsidR="00171AA8" w:rsidRPr="00731FE2" w:rsidRDefault="00171AA8">
            <w:pPr>
              <w:pStyle w:val="24"/>
              <w:rPr>
                <w:rFonts w:ascii="Times New Roman" w:hAnsi="Times New Roman" w:cs="Times New Roman"/>
                <w:sz w:val="18"/>
                <w:szCs w:val="18"/>
              </w:rPr>
            </w:pPr>
          </w:p>
        </w:tc>
        <w:tc>
          <w:tcPr>
            <w:tcW w:w="3118" w:type="dxa"/>
          </w:tcPr>
          <w:p w14:paraId="1A47995D" w14:textId="77777777" w:rsidR="00171AA8" w:rsidRPr="00731FE2" w:rsidRDefault="00171AA8">
            <w:pPr>
              <w:pStyle w:val="24"/>
              <w:rPr>
                <w:rFonts w:ascii="Times New Roman" w:hAnsi="Times New Roman" w:cs="Times New Roman"/>
                <w:sz w:val="18"/>
                <w:szCs w:val="18"/>
              </w:rPr>
            </w:pPr>
          </w:p>
        </w:tc>
        <w:tc>
          <w:tcPr>
            <w:tcW w:w="1288" w:type="dxa"/>
          </w:tcPr>
          <w:p w14:paraId="47D353FC" w14:textId="77777777" w:rsidR="00171AA8" w:rsidRPr="00731FE2" w:rsidRDefault="00171AA8">
            <w:pPr>
              <w:pStyle w:val="24"/>
              <w:rPr>
                <w:rFonts w:ascii="Times New Roman" w:hAnsi="Times New Roman" w:cs="Times New Roman"/>
                <w:sz w:val="18"/>
                <w:szCs w:val="18"/>
              </w:rPr>
            </w:pPr>
          </w:p>
        </w:tc>
      </w:tr>
      <w:tr w:rsidR="00171AA8" w:rsidRPr="00731FE2" w14:paraId="05771D4C" w14:textId="77777777" w:rsidTr="00EE4EC5">
        <w:tc>
          <w:tcPr>
            <w:tcW w:w="567" w:type="dxa"/>
          </w:tcPr>
          <w:p w14:paraId="55F73C06"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08C697F0"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Нижняя</w:t>
            </w:r>
          </w:p>
        </w:tc>
        <w:tc>
          <w:tcPr>
            <w:tcW w:w="2268" w:type="dxa"/>
          </w:tcPr>
          <w:p w14:paraId="45BF78E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Нижняя</w:t>
            </w:r>
          </w:p>
        </w:tc>
        <w:tc>
          <w:tcPr>
            <w:tcW w:w="1843" w:type="dxa"/>
          </w:tcPr>
          <w:p w14:paraId="5D8EF26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0,394</w:t>
            </w:r>
          </w:p>
        </w:tc>
        <w:tc>
          <w:tcPr>
            <w:tcW w:w="2693" w:type="dxa"/>
          </w:tcPr>
          <w:p w14:paraId="4FF6AFF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 ОП МГ ЩГ-292</w:t>
            </w:r>
          </w:p>
        </w:tc>
        <w:tc>
          <w:tcPr>
            <w:tcW w:w="3118" w:type="dxa"/>
          </w:tcPr>
          <w:p w14:paraId="45C8657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33E8CFC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1379</w:t>
            </w:r>
          </w:p>
        </w:tc>
      </w:tr>
      <w:tr w:rsidR="00171AA8" w:rsidRPr="00731FE2" w14:paraId="6F04FBB6" w14:textId="77777777" w:rsidTr="00EE4EC5">
        <w:tc>
          <w:tcPr>
            <w:tcW w:w="567" w:type="dxa"/>
          </w:tcPr>
          <w:p w14:paraId="45AB9B97"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637CC56C"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Заозерная</w:t>
            </w:r>
          </w:p>
        </w:tc>
        <w:tc>
          <w:tcPr>
            <w:tcW w:w="2268" w:type="dxa"/>
          </w:tcPr>
          <w:p w14:paraId="44AEAAB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Заозерная</w:t>
            </w:r>
          </w:p>
        </w:tc>
        <w:tc>
          <w:tcPr>
            <w:tcW w:w="1843" w:type="dxa"/>
          </w:tcPr>
          <w:p w14:paraId="7BD7BFD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0,818</w:t>
            </w:r>
          </w:p>
        </w:tc>
        <w:tc>
          <w:tcPr>
            <w:tcW w:w="2693" w:type="dxa"/>
          </w:tcPr>
          <w:p w14:paraId="1EE8608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 ОП МГ А/ЩГ-293</w:t>
            </w:r>
          </w:p>
        </w:tc>
        <w:tc>
          <w:tcPr>
            <w:tcW w:w="3118" w:type="dxa"/>
          </w:tcPr>
          <w:p w14:paraId="53CBA30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463B60F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4908</w:t>
            </w:r>
          </w:p>
        </w:tc>
      </w:tr>
      <w:tr w:rsidR="00171AA8" w:rsidRPr="00731FE2" w14:paraId="11E596D4" w14:textId="77777777" w:rsidTr="00EE4EC5">
        <w:tc>
          <w:tcPr>
            <w:tcW w:w="567" w:type="dxa"/>
          </w:tcPr>
          <w:p w14:paraId="2D397698"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10877A44"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Светлая</w:t>
            </w:r>
          </w:p>
        </w:tc>
        <w:tc>
          <w:tcPr>
            <w:tcW w:w="2268" w:type="dxa"/>
          </w:tcPr>
          <w:p w14:paraId="386A3C6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Светлая</w:t>
            </w:r>
          </w:p>
        </w:tc>
        <w:tc>
          <w:tcPr>
            <w:tcW w:w="1843" w:type="dxa"/>
          </w:tcPr>
          <w:p w14:paraId="5E9BE9A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0,151</w:t>
            </w:r>
          </w:p>
        </w:tc>
        <w:tc>
          <w:tcPr>
            <w:tcW w:w="2693" w:type="dxa"/>
          </w:tcPr>
          <w:p w14:paraId="1E5F61E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 ОП МГ ЩГ-294</w:t>
            </w:r>
          </w:p>
        </w:tc>
        <w:tc>
          <w:tcPr>
            <w:tcW w:w="3118" w:type="dxa"/>
          </w:tcPr>
          <w:p w14:paraId="4C3C3B5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3DBCDFE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528,5</w:t>
            </w:r>
          </w:p>
        </w:tc>
      </w:tr>
      <w:tr w:rsidR="00171AA8" w:rsidRPr="00731FE2" w14:paraId="53210370" w14:textId="77777777" w:rsidTr="00EE4EC5">
        <w:tc>
          <w:tcPr>
            <w:tcW w:w="567" w:type="dxa"/>
          </w:tcPr>
          <w:p w14:paraId="2FD7FF8F"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0C73E1CD"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Луговая</w:t>
            </w:r>
          </w:p>
        </w:tc>
        <w:tc>
          <w:tcPr>
            <w:tcW w:w="2268" w:type="dxa"/>
          </w:tcPr>
          <w:p w14:paraId="54AA289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Луговая</w:t>
            </w:r>
          </w:p>
        </w:tc>
        <w:tc>
          <w:tcPr>
            <w:tcW w:w="1843" w:type="dxa"/>
          </w:tcPr>
          <w:p w14:paraId="1EE3649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0,362</w:t>
            </w:r>
          </w:p>
        </w:tc>
        <w:tc>
          <w:tcPr>
            <w:tcW w:w="2693" w:type="dxa"/>
          </w:tcPr>
          <w:p w14:paraId="1497093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 ОП МГ ЩГ-295</w:t>
            </w:r>
          </w:p>
        </w:tc>
        <w:tc>
          <w:tcPr>
            <w:tcW w:w="3118" w:type="dxa"/>
          </w:tcPr>
          <w:p w14:paraId="01494F5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74754D3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1267</w:t>
            </w:r>
          </w:p>
        </w:tc>
      </w:tr>
      <w:tr w:rsidR="00171AA8" w:rsidRPr="00731FE2" w14:paraId="122F3AD7" w14:textId="77777777" w:rsidTr="00EE4EC5">
        <w:tc>
          <w:tcPr>
            <w:tcW w:w="567" w:type="dxa"/>
          </w:tcPr>
          <w:p w14:paraId="348DC2D2"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3D77B1AE"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Цветочная</w:t>
            </w:r>
          </w:p>
        </w:tc>
        <w:tc>
          <w:tcPr>
            <w:tcW w:w="2268" w:type="dxa"/>
          </w:tcPr>
          <w:p w14:paraId="33E82D5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Цветочная</w:t>
            </w:r>
          </w:p>
        </w:tc>
        <w:tc>
          <w:tcPr>
            <w:tcW w:w="1843" w:type="dxa"/>
          </w:tcPr>
          <w:p w14:paraId="6D1F2C6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0,892</w:t>
            </w:r>
          </w:p>
        </w:tc>
        <w:tc>
          <w:tcPr>
            <w:tcW w:w="2693" w:type="dxa"/>
          </w:tcPr>
          <w:p w14:paraId="5FF668A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 ОП МГ ЩГ-296</w:t>
            </w:r>
          </w:p>
        </w:tc>
        <w:tc>
          <w:tcPr>
            <w:tcW w:w="3118" w:type="dxa"/>
          </w:tcPr>
          <w:p w14:paraId="0B1A437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099AC97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3122</w:t>
            </w:r>
          </w:p>
        </w:tc>
      </w:tr>
      <w:tr w:rsidR="00171AA8" w:rsidRPr="00731FE2" w14:paraId="6CD10B01" w14:textId="77777777" w:rsidTr="00EE4EC5">
        <w:tc>
          <w:tcPr>
            <w:tcW w:w="567" w:type="dxa"/>
          </w:tcPr>
          <w:p w14:paraId="38F0F976"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0F9EF5EB"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Весенняя</w:t>
            </w:r>
          </w:p>
        </w:tc>
        <w:tc>
          <w:tcPr>
            <w:tcW w:w="2268" w:type="dxa"/>
          </w:tcPr>
          <w:p w14:paraId="604CE7E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Весенняя</w:t>
            </w:r>
          </w:p>
        </w:tc>
        <w:tc>
          <w:tcPr>
            <w:tcW w:w="1843" w:type="dxa"/>
          </w:tcPr>
          <w:p w14:paraId="01685C5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0,43</w:t>
            </w:r>
          </w:p>
        </w:tc>
        <w:tc>
          <w:tcPr>
            <w:tcW w:w="2693" w:type="dxa"/>
          </w:tcPr>
          <w:p w14:paraId="1BAC030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 ОП МГ ЩГ-297</w:t>
            </w:r>
          </w:p>
        </w:tc>
        <w:tc>
          <w:tcPr>
            <w:tcW w:w="3118" w:type="dxa"/>
          </w:tcPr>
          <w:p w14:paraId="30FDC41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12589EC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1505</w:t>
            </w:r>
          </w:p>
        </w:tc>
      </w:tr>
      <w:tr w:rsidR="00171AA8" w:rsidRPr="00731FE2" w14:paraId="2EE1A53F" w14:textId="77777777" w:rsidTr="00EE4EC5">
        <w:tc>
          <w:tcPr>
            <w:tcW w:w="567" w:type="dxa"/>
          </w:tcPr>
          <w:p w14:paraId="2AA01678"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5A8AC771"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Верхняя</w:t>
            </w:r>
          </w:p>
        </w:tc>
        <w:tc>
          <w:tcPr>
            <w:tcW w:w="2268" w:type="dxa"/>
          </w:tcPr>
          <w:p w14:paraId="19122FB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Верхняя</w:t>
            </w:r>
          </w:p>
        </w:tc>
        <w:tc>
          <w:tcPr>
            <w:tcW w:w="1843" w:type="dxa"/>
          </w:tcPr>
          <w:p w14:paraId="69BC538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0,176</w:t>
            </w:r>
          </w:p>
        </w:tc>
        <w:tc>
          <w:tcPr>
            <w:tcW w:w="2693" w:type="dxa"/>
          </w:tcPr>
          <w:p w14:paraId="78DCF45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 ОП МГ ЩГ-298</w:t>
            </w:r>
          </w:p>
        </w:tc>
        <w:tc>
          <w:tcPr>
            <w:tcW w:w="3118" w:type="dxa"/>
          </w:tcPr>
          <w:p w14:paraId="4F95FA4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47AF65D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616</w:t>
            </w:r>
          </w:p>
        </w:tc>
      </w:tr>
      <w:tr w:rsidR="00171AA8" w:rsidRPr="00731FE2" w14:paraId="61E13D63" w14:textId="77777777" w:rsidTr="00EE4EC5">
        <w:tc>
          <w:tcPr>
            <w:tcW w:w="567" w:type="dxa"/>
          </w:tcPr>
          <w:p w14:paraId="218D1CB5"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3D9315C9"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Заречная</w:t>
            </w:r>
          </w:p>
        </w:tc>
        <w:tc>
          <w:tcPr>
            <w:tcW w:w="2268" w:type="dxa"/>
          </w:tcPr>
          <w:p w14:paraId="4EB7852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Заречная</w:t>
            </w:r>
          </w:p>
        </w:tc>
        <w:tc>
          <w:tcPr>
            <w:tcW w:w="1843" w:type="dxa"/>
          </w:tcPr>
          <w:p w14:paraId="717D024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0,496</w:t>
            </w:r>
          </w:p>
        </w:tc>
        <w:tc>
          <w:tcPr>
            <w:tcW w:w="2693" w:type="dxa"/>
          </w:tcPr>
          <w:p w14:paraId="63CD9CC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 ОП МГ ЩГ-299</w:t>
            </w:r>
          </w:p>
        </w:tc>
        <w:tc>
          <w:tcPr>
            <w:tcW w:w="3118" w:type="dxa"/>
          </w:tcPr>
          <w:p w14:paraId="6204A50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673B1D5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2132,8</w:t>
            </w:r>
          </w:p>
        </w:tc>
      </w:tr>
      <w:tr w:rsidR="00171AA8" w:rsidRPr="00731FE2" w14:paraId="5FA1292D" w14:textId="77777777" w:rsidTr="00EE4EC5">
        <w:tc>
          <w:tcPr>
            <w:tcW w:w="567" w:type="dxa"/>
          </w:tcPr>
          <w:p w14:paraId="18FCF44E"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3B35190C"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Прямая</w:t>
            </w:r>
          </w:p>
        </w:tc>
        <w:tc>
          <w:tcPr>
            <w:tcW w:w="2268" w:type="dxa"/>
          </w:tcPr>
          <w:p w14:paraId="7F0EAA7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Прямая</w:t>
            </w:r>
          </w:p>
        </w:tc>
        <w:tc>
          <w:tcPr>
            <w:tcW w:w="1843" w:type="dxa"/>
          </w:tcPr>
          <w:p w14:paraId="70AF620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1,815</w:t>
            </w:r>
          </w:p>
        </w:tc>
        <w:tc>
          <w:tcPr>
            <w:tcW w:w="2693" w:type="dxa"/>
          </w:tcPr>
          <w:p w14:paraId="1350F16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 ОП МГ А-300</w:t>
            </w:r>
          </w:p>
        </w:tc>
        <w:tc>
          <w:tcPr>
            <w:tcW w:w="3118" w:type="dxa"/>
          </w:tcPr>
          <w:p w14:paraId="2348BE5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IV, улица районного значения транспортно-пешеходная</w:t>
            </w:r>
          </w:p>
        </w:tc>
        <w:tc>
          <w:tcPr>
            <w:tcW w:w="1288" w:type="dxa"/>
          </w:tcPr>
          <w:p w14:paraId="38BA56D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11797,5</w:t>
            </w:r>
          </w:p>
        </w:tc>
      </w:tr>
      <w:tr w:rsidR="00171AA8" w:rsidRPr="00731FE2" w14:paraId="30A61136" w14:textId="77777777" w:rsidTr="00EE4EC5">
        <w:tc>
          <w:tcPr>
            <w:tcW w:w="567" w:type="dxa"/>
          </w:tcPr>
          <w:p w14:paraId="44B5855B"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02C9BE04"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Южная</w:t>
            </w:r>
          </w:p>
        </w:tc>
        <w:tc>
          <w:tcPr>
            <w:tcW w:w="2268" w:type="dxa"/>
          </w:tcPr>
          <w:p w14:paraId="108B5DA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Южная</w:t>
            </w:r>
          </w:p>
        </w:tc>
        <w:tc>
          <w:tcPr>
            <w:tcW w:w="1843" w:type="dxa"/>
          </w:tcPr>
          <w:p w14:paraId="4D9453A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0,507</w:t>
            </w:r>
          </w:p>
        </w:tc>
        <w:tc>
          <w:tcPr>
            <w:tcW w:w="2693" w:type="dxa"/>
          </w:tcPr>
          <w:p w14:paraId="4E599D1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 ОП МГ ЩГ-301</w:t>
            </w:r>
          </w:p>
        </w:tc>
        <w:tc>
          <w:tcPr>
            <w:tcW w:w="3118" w:type="dxa"/>
          </w:tcPr>
          <w:p w14:paraId="5EED0F8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477A0F3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1875,9</w:t>
            </w:r>
          </w:p>
        </w:tc>
      </w:tr>
      <w:tr w:rsidR="00171AA8" w:rsidRPr="00731FE2" w14:paraId="58C2E66E" w14:textId="77777777" w:rsidTr="00EE4EC5">
        <w:tc>
          <w:tcPr>
            <w:tcW w:w="567" w:type="dxa"/>
          </w:tcPr>
          <w:p w14:paraId="6DEF1DDB"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09594137"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Тенистая</w:t>
            </w:r>
          </w:p>
        </w:tc>
        <w:tc>
          <w:tcPr>
            <w:tcW w:w="2268" w:type="dxa"/>
          </w:tcPr>
          <w:p w14:paraId="402788C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Тенистая</w:t>
            </w:r>
          </w:p>
        </w:tc>
        <w:tc>
          <w:tcPr>
            <w:tcW w:w="1843" w:type="dxa"/>
          </w:tcPr>
          <w:p w14:paraId="47B67A0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0,739</w:t>
            </w:r>
          </w:p>
        </w:tc>
        <w:tc>
          <w:tcPr>
            <w:tcW w:w="2693" w:type="dxa"/>
          </w:tcPr>
          <w:p w14:paraId="3E73580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 ОП МГ ЩГ-302</w:t>
            </w:r>
          </w:p>
        </w:tc>
        <w:tc>
          <w:tcPr>
            <w:tcW w:w="3118" w:type="dxa"/>
          </w:tcPr>
          <w:p w14:paraId="6A059C7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7450BF2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2956</w:t>
            </w:r>
          </w:p>
        </w:tc>
      </w:tr>
      <w:tr w:rsidR="00171AA8" w:rsidRPr="00731FE2" w14:paraId="1DCE30B0" w14:textId="77777777" w:rsidTr="00EE4EC5">
        <w:tc>
          <w:tcPr>
            <w:tcW w:w="567" w:type="dxa"/>
          </w:tcPr>
          <w:p w14:paraId="480EF615"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01036198"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Былинная</w:t>
            </w:r>
          </w:p>
        </w:tc>
        <w:tc>
          <w:tcPr>
            <w:tcW w:w="2268" w:type="dxa"/>
          </w:tcPr>
          <w:p w14:paraId="79C3AF2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Былинная</w:t>
            </w:r>
          </w:p>
        </w:tc>
        <w:tc>
          <w:tcPr>
            <w:tcW w:w="1843" w:type="dxa"/>
          </w:tcPr>
          <w:p w14:paraId="6323481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0,292</w:t>
            </w:r>
          </w:p>
        </w:tc>
        <w:tc>
          <w:tcPr>
            <w:tcW w:w="2693" w:type="dxa"/>
          </w:tcPr>
          <w:p w14:paraId="5B9115A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 ОП МГ ЩГ-303</w:t>
            </w:r>
          </w:p>
        </w:tc>
        <w:tc>
          <w:tcPr>
            <w:tcW w:w="3118" w:type="dxa"/>
          </w:tcPr>
          <w:p w14:paraId="67F7D70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2A01B01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1022</w:t>
            </w:r>
          </w:p>
        </w:tc>
      </w:tr>
      <w:tr w:rsidR="00171AA8" w:rsidRPr="00731FE2" w14:paraId="5A5ED62F" w14:textId="77777777" w:rsidTr="00EE4EC5">
        <w:tc>
          <w:tcPr>
            <w:tcW w:w="567" w:type="dxa"/>
          </w:tcPr>
          <w:p w14:paraId="0A2E95D9"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38376B5E"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Каштановая</w:t>
            </w:r>
          </w:p>
        </w:tc>
        <w:tc>
          <w:tcPr>
            <w:tcW w:w="2268" w:type="dxa"/>
          </w:tcPr>
          <w:p w14:paraId="411EBE3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Каштановая</w:t>
            </w:r>
          </w:p>
        </w:tc>
        <w:tc>
          <w:tcPr>
            <w:tcW w:w="1843" w:type="dxa"/>
          </w:tcPr>
          <w:p w14:paraId="5373AE8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0,423</w:t>
            </w:r>
          </w:p>
        </w:tc>
        <w:tc>
          <w:tcPr>
            <w:tcW w:w="2693" w:type="dxa"/>
          </w:tcPr>
          <w:p w14:paraId="17FC330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 ОП МГ ЩГ-304</w:t>
            </w:r>
          </w:p>
        </w:tc>
        <w:tc>
          <w:tcPr>
            <w:tcW w:w="3118" w:type="dxa"/>
          </w:tcPr>
          <w:p w14:paraId="413DC11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7926A39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1480,5</w:t>
            </w:r>
          </w:p>
        </w:tc>
      </w:tr>
      <w:tr w:rsidR="00171AA8" w:rsidRPr="00731FE2" w14:paraId="0D182F6F" w14:textId="77777777" w:rsidTr="00EE4EC5">
        <w:tc>
          <w:tcPr>
            <w:tcW w:w="567" w:type="dxa"/>
          </w:tcPr>
          <w:p w14:paraId="034BAC82"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0925AC21"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Лесная</w:t>
            </w:r>
          </w:p>
        </w:tc>
        <w:tc>
          <w:tcPr>
            <w:tcW w:w="2268" w:type="dxa"/>
          </w:tcPr>
          <w:p w14:paraId="05492A9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Лесная</w:t>
            </w:r>
          </w:p>
        </w:tc>
        <w:tc>
          <w:tcPr>
            <w:tcW w:w="1843" w:type="dxa"/>
          </w:tcPr>
          <w:p w14:paraId="62F46B1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2,000</w:t>
            </w:r>
          </w:p>
        </w:tc>
        <w:tc>
          <w:tcPr>
            <w:tcW w:w="2693" w:type="dxa"/>
          </w:tcPr>
          <w:p w14:paraId="55BE414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 ОП МГ ЩГ-305</w:t>
            </w:r>
          </w:p>
        </w:tc>
        <w:tc>
          <w:tcPr>
            <w:tcW w:w="3118" w:type="dxa"/>
          </w:tcPr>
          <w:p w14:paraId="7EDB42D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3CA1251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7000</w:t>
            </w:r>
          </w:p>
        </w:tc>
      </w:tr>
      <w:tr w:rsidR="00171AA8" w:rsidRPr="00731FE2" w14:paraId="1871DA49" w14:textId="77777777" w:rsidTr="00EE4EC5">
        <w:tc>
          <w:tcPr>
            <w:tcW w:w="567" w:type="dxa"/>
          </w:tcPr>
          <w:p w14:paraId="73E06D85"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03D66A00"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Садовая</w:t>
            </w:r>
          </w:p>
        </w:tc>
        <w:tc>
          <w:tcPr>
            <w:tcW w:w="2268" w:type="dxa"/>
          </w:tcPr>
          <w:p w14:paraId="53AD3E0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Садовая</w:t>
            </w:r>
          </w:p>
        </w:tc>
        <w:tc>
          <w:tcPr>
            <w:tcW w:w="1843" w:type="dxa"/>
          </w:tcPr>
          <w:p w14:paraId="38310C4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0,249</w:t>
            </w:r>
          </w:p>
        </w:tc>
        <w:tc>
          <w:tcPr>
            <w:tcW w:w="2693" w:type="dxa"/>
          </w:tcPr>
          <w:p w14:paraId="4CAFC33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 ОП МГ ЩГ-306</w:t>
            </w:r>
          </w:p>
        </w:tc>
        <w:tc>
          <w:tcPr>
            <w:tcW w:w="3118" w:type="dxa"/>
          </w:tcPr>
          <w:p w14:paraId="0DE04E1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7120F55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871,5</w:t>
            </w:r>
          </w:p>
        </w:tc>
      </w:tr>
      <w:tr w:rsidR="00171AA8" w:rsidRPr="00731FE2" w14:paraId="745038AF" w14:textId="77777777" w:rsidTr="00EE4EC5">
        <w:tc>
          <w:tcPr>
            <w:tcW w:w="567" w:type="dxa"/>
          </w:tcPr>
          <w:p w14:paraId="62CFF2C4"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5EA137A5"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Васильковая</w:t>
            </w:r>
          </w:p>
        </w:tc>
        <w:tc>
          <w:tcPr>
            <w:tcW w:w="2268" w:type="dxa"/>
          </w:tcPr>
          <w:p w14:paraId="69E0AB1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Васильковая</w:t>
            </w:r>
          </w:p>
        </w:tc>
        <w:tc>
          <w:tcPr>
            <w:tcW w:w="1843" w:type="dxa"/>
          </w:tcPr>
          <w:p w14:paraId="6B10EF7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0,338</w:t>
            </w:r>
          </w:p>
        </w:tc>
        <w:tc>
          <w:tcPr>
            <w:tcW w:w="2693" w:type="dxa"/>
          </w:tcPr>
          <w:p w14:paraId="03BEAA9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 ОП МГ ЩГ-307</w:t>
            </w:r>
          </w:p>
        </w:tc>
        <w:tc>
          <w:tcPr>
            <w:tcW w:w="3118" w:type="dxa"/>
          </w:tcPr>
          <w:p w14:paraId="44A2B23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309C395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1183</w:t>
            </w:r>
          </w:p>
        </w:tc>
      </w:tr>
      <w:tr w:rsidR="00171AA8" w:rsidRPr="00731FE2" w14:paraId="4339A27F" w14:textId="77777777" w:rsidTr="00EE4EC5">
        <w:tc>
          <w:tcPr>
            <w:tcW w:w="567" w:type="dxa"/>
          </w:tcPr>
          <w:p w14:paraId="449B845D"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1D31C81E"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Бригадная</w:t>
            </w:r>
          </w:p>
        </w:tc>
        <w:tc>
          <w:tcPr>
            <w:tcW w:w="2268" w:type="dxa"/>
          </w:tcPr>
          <w:p w14:paraId="19D6E2B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Бригадная</w:t>
            </w:r>
          </w:p>
        </w:tc>
        <w:tc>
          <w:tcPr>
            <w:tcW w:w="1843" w:type="dxa"/>
          </w:tcPr>
          <w:p w14:paraId="63C3783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0,737</w:t>
            </w:r>
          </w:p>
        </w:tc>
        <w:tc>
          <w:tcPr>
            <w:tcW w:w="2693" w:type="dxa"/>
          </w:tcPr>
          <w:p w14:paraId="5CE6CC1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 ОП МГ А/ЩГ-308</w:t>
            </w:r>
          </w:p>
        </w:tc>
        <w:tc>
          <w:tcPr>
            <w:tcW w:w="3118" w:type="dxa"/>
          </w:tcPr>
          <w:p w14:paraId="1D3145F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основной</w:t>
            </w:r>
          </w:p>
        </w:tc>
        <w:tc>
          <w:tcPr>
            <w:tcW w:w="1288" w:type="dxa"/>
          </w:tcPr>
          <w:p w14:paraId="0656990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3316,5</w:t>
            </w:r>
          </w:p>
        </w:tc>
      </w:tr>
      <w:tr w:rsidR="00171AA8" w:rsidRPr="00731FE2" w14:paraId="25CA9F87" w14:textId="77777777" w:rsidTr="00EE4EC5">
        <w:tc>
          <w:tcPr>
            <w:tcW w:w="567" w:type="dxa"/>
          </w:tcPr>
          <w:p w14:paraId="151BACC5"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61BFB1BE"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Рассветная</w:t>
            </w:r>
          </w:p>
        </w:tc>
        <w:tc>
          <w:tcPr>
            <w:tcW w:w="2268" w:type="dxa"/>
          </w:tcPr>
          <w:p w14:paraId="1212BE5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Рассветная</w:t>
            </w:r>
          </w:p>
        </w:tc>
        <w:tc>
          <w:tcPr>
            <w:tcW w:w="1843" w:type="dxa"/>
          </w:tcPr>
          <w:p w14:paraId="741D9E5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0,302</w:t>
            </w:r>
          </w:p>
        </w:tc>
        <w:tc>
          <w:tcPr>
            <w:tcW w:w="2693" w:type="dxa"/>
          </w:tcPr>
          <w:p w14:paraId="2F4F93E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 ОП МГ ЩГ-309</w:t>
            </w:r>
          </w:p>
        </w:tc>
        <w:tc>
          <w:tcPr>
            <w:tcW w:w="3118" w:type="dxa"/>
          </w:tcPr>
          <w:p w14:paraId="1AE9857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0BB1244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1057</w:t>
            </w:r>
          </w:p>
        </w:tc>
      </w:tr>
      <w:tr w:rsidR="00171AA8" w:rsidRPr="00731FE2" w14:paraId="4F1B5F16" w14:textId="77777777" w:rsidTr="00EE4EC5">
        <w:tc>
          <w:tcPr>
            <w:tcW w:w="567" w:type="dxa"/>
          </w:tcPr>
          <w:p w14:paraId="6956B3B0"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3E38693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b/>
                <w:color w:val="000000"/>
                <w:sz w:val="18"/>
                <w:szCs w:val="18"/>
              </w:rPr>
              <w:t>п. Зеленогорский</w:t>
            </w:r>
          </w:p>
        </w:tc>
        <w:tc>
          <w:tcPr>
            <w:tcW w:w="2268" w:type="dxa"/>
          </w:tcPr>
          <w:p w14:paraId="152A1E22" w14:textId="77777777" w:rsidR="00171AA8" w:rsidRPr="00731FE2" w:rsidRDefault="00171AA8">
            <w:pPr>
              <w:pStyle w:val="24"/>
              <w:rPr>
                <w:rFonts w:ascii="Times New Roman" w:hAnsi="Times New Roman" w:cs="Times New Roman"/>
                <w:sz w:val="18"/>
                <w:szCs w:val="18"/>
              </w:rPr>
            </w:pPr>
          </w:p>
        </w:tc>
        <w:tc>
          <w:tcPr>
            <w:tcW w:w="1843" w:type="dxa"/>
          </w:tcPr>
          <w:p w14:paraId="0BD2B115" w14:textId="77777777" w:rsidR="00171AA8" w:rsidRPr="00731FE2" w:rsidRDefault="00171AA8">
            <w:pPr>
              <w:pStyle w:val="24"/>
              <w:rPr>
                <w:rFonts w:ascii="Times New Roman" w:hAnsi="Times New Roman" w:cs="Times New Roman"/>
                <w:sz w:val="18"/>
                <w:szCs w:val="18"/>
              </w:rPr>
            </w:pPr>
          </w:p>
        </w:tc>
        <w:tc>
          <w:tcPr>
            <w:tcW w:w="2693" w:type="dxa"/>
          </w:tcPr>
          <w:p w14:paraId="2CE024FB" w14:textId="77777777" w:rsidR="00171AA8" w:rsidRPr="00731FE2" w:rsidRDefault="00171AA8">
            <w:pPr>
              <w:pStyle w:val="24"/>
              <w:rPr>
                <w:rFonts w:ascii="Times New Roman" w:hAnsi="Times New Roman" w:cs="Times New Roman"/>
                <w:sz w:val="18"/>
                <w:szCs w:val="18"/>
              </w:rPr>
            </w:pPr>
          </w:p>
        </w:tc>
        <w:tc>
          <w:tcPr>
            <w:tcW w:w="3118" w:type="dxa"/>
          </w:tcPr>
          <w:p w14:paraId="2DF78D6C" w14:textId="77777777" w:rsidR="00171AA8" w:rsidRPr="00731FE2" w:rsidRDefault="00171AA8">
            <w:pPr>
              <w:pStyle w:val="24"/>
              <w:rPr>
                <w:rFonts w:ascii="Times New Roman" w:hAnsi="Times New Roman" w:cs="Times New Roman"/>
                <w:sz w:val="18"/>
                <w:szCs w:val="18"/>
              </w:rPr>
            </w:pPr>
          </w:p>
        </w:tc>
        <w:tc>
          <w:tcPr>
            <w:tcW w:w="1288" w:type="dxa"/>
          </w:tcPr>
          <w:p w14:paraId="0CF932B7" w14:textId="77777777" w:rsidR="00171AA8" w:rsidRPr="00731FE2" w:rsidRDefault="00171AA8">
            <w:pPr>
              <w:pStyle w:val="24"/>
              <w:rPr>
                <w:rFonts w:ascii="Times New Roman" w:hAnsi="Times New Roman" w:cs="Times New Roman"/>
                <w:sz w:val="18"/>
                <w:szCs w:val="18"/>
              </w:rPr>
            </w:pPr>
          </w:p>
        </w:tc>
      </w:tr>
      <w:tr w:rsidR="00171AA8" w:rsidRPr="00731FE2" w14:paraId="6C1D227E" w14:textId="77777777" w:rsidTr="00EE4EC5">
        <w:tc>
          <w:tcPr>
            <w:tcW w:w="567" w:type="dxa"/>
          </w:tcPr>
          <w:p w14:paraId="681BA934"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08372468"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Овражная</w:t>
            </w:r>
          </w:p>
        </w:tc>
        <w:tc>
          <w:tcPr>
            <w:tcW w:w="2268" w:type="dxa"/>
          </w:tcPr>
          <w:p w14:paraId="467C6E9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Овражная</w:t>
            </w:r>
          </w:p>
        </w:tc>
        <w:tc>
          <w:tcPr>
            <w:tcW w:w="1843" w:type="dxa"/>
          </w:tcPr>
          <w:p w14:paraId="2EAA80C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0,272</w:t>
            </w:r>
          </w:p>
        </w:tc>
        <w:tc>
          <w:tcPr>
            <w:tcW w:w="2693" w:type="dxa"/>
          </w:tcPr>
          <w:p w14:paraId="5E1B0C7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 ОП МГ ЩГ-310</w:t>
            </w:r>
          </w:p>
        </w:tc>
        <w:tc>
          <w:tcPr>
            <w:tcW w:w="3118" w:type="dxa"/>
          </w:tcPr>
          <w:p w14:paraId="4EB8FCB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29C455D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952</w:t>
            </w:r>
          </w:p>
        </w:tc>
      </w:tr>
      <w:tr w:rsidR="00171AA8" w:rsidRPr="00731FE2" w14:paraId="1E43FFBB" w14:textId="77777777" w:rsidTr="00EE4EC5">
        <w:tc>
          <w:tcPr>
            <w:tcW w:w="567" w:type="dxa"/>
          </w:tcPr>
          <w:p w14:paraId="34C1275F"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71103B0E"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Солнечная</w:t>
            </w:r>
          </w:p>
        </w:tc>
        <w:tc>
          <w:tcPr>
            <w:tcW w:w="2268" w:type="dxa"/>
          </w:tcPr>
          <w:p w14:paraId="16B6763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Солнечная</w:t>
            </w:r>
          </w:p>
        </w:tc>
        <w:tc>
          <w:tcPr>
            <w:tcW w:w="1843" w:type="dxa"/>
          </w:tcPr>
          <w:p w14:paraId="70E28FD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0,296</w:t>
            </w:r>
          </w:p>
        </w:tc>
        <w:tc>
          <w:tcPr>
            <w:tcW w:w="2693" w:type="dxa"/>
          </w:tcPr>
          <w:p w14:paraId="3EB6411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 ОП МГ ЩГ-311</w:t>
            </w:r>
          </w:p>
        </w:tc>
        <w:tc>
          <w:tcPr>
            <w:tcW w:w="3118" w:type="dxa"/>
          </w:tcPr>
          <w:p w14:paraId="70EB081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03A2F95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1036</w:t>
            </w:r>
          </w:p>
        </w:tc>
      </w:tr>
      <w:tr w:rsidR="00171AA8" w:rsidRPr="00731FE2" w14:paraId="01A1C37F" w14:textId="77777777" w:rsidTr="00EE4EC5">
        <w:tc>
          <w:tcPr>
            <w:tcW w:w="567" w:type="dxa"/>
          </w:tcPr>
          <w:p w14:paraId="31B67835"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402E69D6"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Высоцкого</w:t>
            </w:r>
          </w:p>
        </w:tc>
        <w:tc>
          <w:tcPr>
            <w:tcW w:w="2268" w:type="dxa"/>
          </w:tcPr>
          <w:p w14:paraId="4F9F15C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Высоцкого</w:t>
            </w:r>
          </w:p>
        </w:tc>
        <w:tc>
          <w:tcPr>
            <w:tcW w:w="1843" w:type="dxa"/>
          </w:tcPr>
          <w:p w14:paraId="25124CE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0,289</w:t>
            </w:r>
          </w:p>
        </w:tc>
        <w:tc>
          <w:tcPr>
            <w:tcW w:w="2693" w:type="dxa"/>
          </w:tcPr>
          <w:p w14:paraId="4A1C1D5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 ОП МГ ЩГ-312</w:t>
            </w:r>
          </w:p>
        </w:tc>
        <w:tc>
          <w:tcPr>
            <w:tcW w:w="3118" w:type="dxa"/>
          </w:tcPr>
          <w:p w14:paraId="339D948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3F56D7C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1011,5</w:t>
            </w:r>
          </w:p>
        </w:tc>
      </w:tr>
      <w:tr w:rsidR="00171AA8" w:rsidRPr="00731FE2" w14:paraId="2E925E79" w14:textId="77777777" w:rsidTr="00EE4EC5">
        <w:tc>
          <w:tcPr>
            <w:tcW w:w="567" w:type="dxa"/>
          </w:tcPr>
          <w:p w14:paraId="35D58174"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5AD42053"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Совхозная</w:t>
            </w:r>
          </w:p>
        </w:tc>
        <w:tc>
          <w:tcPr>
            <w:tcW w:w="2268" w:type="dxa"/>
          </w:tcPr>
          <w:p w14:paraId="16E8E5A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Совхозная</w:t>
            </w:r>
          </w:p>
        </w:tc>
        <w:tc>
          <w:tcPr>
            <w:tcW w:w="1843" w:type="dxa"/>
          </w:tcPr>
          <w:p w14:paraId="7FBECE7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0,419</w:t>
            </w:r>
          </w:p>
        </w:tc>
        <w:tc>
          <w:tcPr>
            <w:tcW w:w="2693" w:type="dxa"/>
          </w:tcPr>
          <w:p w14:paraId="5602CDA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 ОП МГ ЩГ-313</w:t>
            </w:r>
          </w:p>
        </w:tc>
        <w:tc>
          <w:tcPr>
            <w:tcW w:w="3118" w:type="dxa"/>
          </w:tcPr>
          <w:p w14:paraId="449811E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18F29D8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1466,5</w:t>
            </w:r>
          </w:p>
        </w:tc>
      </w:tr>
      <w:tr w:rsidR="00171AA8" w:rsidRPr="00731FE2" w14:paraId="4B86056F" w14:textId="77777777" w:rsidTr="00EE4EC5">
        <w:tc>
          <w:tcPr>
            <w:tcW w:w="567" w:type="dxa"/>
          </w:tcPr>
          <w:p w14:paraId="403F094B"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4D546B12"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Центральная</w:t>
            </w:r>
          </w:p>
        </w:tc>
        <w:tc>
          <w:tcPr>
            <w:tcW w:w="2268" w:type="dxa"/>
          </w:tcPr>
          <w:p w14:paraId="3A9C6FC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Центральная</w:t>
            </w:r>
          </w:p>
        </w:tc>
        <w:tc>
          <w:tcPr>
            <w:tcW w:w="1843" w:type="dxa"/>
          </w:tcPr>
          <w:p w14:paraId="1E79D24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1,286</w:t>
            </w:r>
          </w:p>
        </w:tc>
        <w:tc>
          <w:tcPr>
            <w:tcW w:w="2693" w:type="dxa"/>
          </w:tcPr>
          <w:p w14:paraId="4284E09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 ОП МГ А-314</w:t>
            </w:r>
          </w:p>
        </w:tc>
        <w:tc>
          <w:tcPr>
            <w:tcW w:w="3118" w:type="dxa"/>
          </w:tcPr>
          <w:p w14:paraId="7EA8987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IV, улица районного значения транспортно-пешеходная</w:t>
            </w:r>
          </w:p>
        </w:tc>
        <w:tc>
          <w:tcPr>
            <w:tcW w:w="1288" w:type="dxa"/>
          </w:tcPr>
          <w:p w14:paraId="24EDA2A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6687,2</w:t>
            </w:r>
          </w:p>
        </w:tc>
      </w:tr>
      <w:tr w:rsidR="00171AA8" w:rsidRPr="00731FE2" w14:paraId="4AFCB488" w14:textId="77777777" w:rsidTr="00EE4EC5">
        <w:tc>
          <w:tcPr>
            <w:tcW w:w="567" w:type="dxa"/>
          </w:tcPr>
          <w:p w14:paraId="6F8B5D92"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5091999B"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Плановая</w:t>
            </w:r>
          </w:p>
        </w:tc>
        <w:tc>
          <w:tcPr>
            <w:tcW w:w="2268" w:type="dxa"/>
          </w:tcPr>
          <w:p w14:paraId="7CBEBAF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Плановая</w:t>
            </w:r>
          </w:p>
        </w:tc>
        <w:tc>
          <w:tcPr>
            <w:tcW w:w="1843" w:type="dxa"/>
          </w:tcPr>
          <w:p w14:paraId="3C1809B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0,936</w:t>
            </w:r>
          </w:p>
        </w:tc>
        <w:tc>
          <w:tcPr>
            <w:tcW w:w="2693" w:type="dxa"/>
          </w:tcPr>
          <w:p w14:paraId="0138DBB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 ОП МГ А/ЩГ-315</w:t>
            </w:r>
          </w:p>
        </w:tc>
        <w:tc>
          <w:tcPr>
            <w:tcW w:w="3118" w:type="dxa"/>
          </w:tcPr>
          <w:p w14:paraId="7D50C99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основной</w:t>
            </w:r>
          </w:p>
        </w:tc>
        <w:tc>
          <w:tcPr>
            <w:tcW w:w="1288" w:type="dxa"/>
          </w:tcPr>
          <w:p w14:paraId="1F52EA8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4118,4</w:t>
            </w:r>
          </w:p>
        </w:tc>
      </w:tr>
      <w:tr w:rsidR="00171AA8" w:rsidRPr="00731FE2" w14:paraId="57F67F30" w14:textId="77777777" w:rsidTr="00EE4EC5">
        <w:tc>
          <w:tcPr>
            <w:tcW w:w="567" w:type="dxa"/>
          </w:tcPr>
          <w:p w14:paraId="5BA69DAC"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21FBA847"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Нарзанный</w:t>
            </w:r>
          </w:p>
        </w:tc>
        <w:tc>
          <w:tcPr>
            <w:tcW w:w="2268" w:type="dxa"/>
          </w:tcPr>
          <w:p w14:paraId="4E7368A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Нарзанный</w:t>
            </w:r>
          </w:p>
        </w:tc>
        <w:tc>
          <w:tcPr>
            <w:tcW w:w="1843" w:type="dxa"/>
          </w:tcPr>
          <w:p w14:paraId="3C81FB9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0,283</w:t>
            </w:r>
          </w:p>
        </w:tc>
        <w:tc>
          <w:tcPr>
            <w:tcW w:w="2693" w:type="dxa"/>
          </w:tcPr>
          <w:p w14:paraId="619CFF6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 ОП МГ ЩГ-316</w:t>
            </w:r>
          </w:p>
        </w:tc>
        <w:tc>
          <w:tcPr>
            <w:tcW w:w="3118" w:type="dxa"/>
          </w:tcPr>
          <w:p w14:paraId="5EFE294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5783022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990,5</w:t>
            </w:r>
          </w:p>
        </w:tc>
      </w:tr>
      <w:tr w:rsidR="00171AA8" w:rsidRPr="00731FE2" w14:paraId="560A7E21" w14:textId="77777777" w:rsidTr="00EE4EC5">
        <w:tc>
          <w:tcPr>
            <w:tcW w:w="567" w:type="dxa"/>
          </w:tcPr>
          <w:p w14:paraId="267A394B"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39F4B874"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Родниковый</w:t>
            </w:r>
          </w:p>
        </w:tc>
        <w:tc>
          <w:tcPr>
            <w:tcW w:w="2268" w:type="dxa"/>
          </w:tcPr>
          <w:p w14:paraId="7C551B8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Родниковый</w:t>
            </w:r>
          </w:p>
        </w:tc>
        <w:tc>
          <w:tcPr>
            <w:tcW w:w="1843" w:type="dxa"/>
          </w:tcPr>
          <w:p w14:paraId="680EA8C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0,146</w:t>
            </w:r>
          </w:p>
        </w:tc>
        <w:tc>
          <w:tcPr>
            <w:tcW w:w="2693" w:type="dxa"/>
          </w:tcPr>
          <w:p w14:paraId="156E52F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 ОП МГ ЩГ-317</w:t>
            </w:r>
          </w:p>
        </w:tc>
        <w:tc>
          <w:tcPr>
            <w:tcW w:w="3118" w:type="dxa"/>
          </w:tcPr>
          <w:p w14:paraId="44723BD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6D6EFDC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511</w:t>
            </w:r>
          </w:p>
        </w:tc>
      </w:tr>
      <w:tr w:rsidR="00171AA8" w:rsidRPr="00731FE2" w14:paraId="48BE30B0" w14:textId="77777777" w:rsidTr="00EE4EC5">
        <w:tc>
          <w:tcPr>
            <w:tcW w:w="567" w:type="dxa"/>
          </w:tcPr>
          <w:p w14:paraId="6B9592B9"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642AC222" w14:textId="77777777" w:rsidR="00171AA8" w:rsidRPr="00731FE2" w:rsidRDefault="007935AB">
            <w:pPr>
              <w:pBdr>
                <w:top w:val="none" w:sz="4" w:space="0" w:color="000000"/>
                <w:left w:val="none" w:sz="4" w:space="0" w:color="000000"/>
                <w:bottom w:val="none" w:sz="4" w:space="0" w:color="000000"/>
                <w:right w:val="none" w:sz="4" w:space="0" w:color="000000"/>
              </w:pBdr>
              <w:tabs>
                <w:tab w:val="left" w:pos="4545"/>
              </w:tabs>
              <w:ind w:firstLine="0"/>
              <w:jc w:val="center"/>
              <w:rPr>
                <w:rFonts w:ascii="Times New Roman" w:hAnsi="Times New Roman" w:cs="Times New Roman"/>
                <w:sz w:val="18"/>
                <w:szCs w:val="18"/>
              </w:rPr>
            </w:pPr>
            <w:r w:rsidRPr="00731FE2">
              <w:rPr>
                <w:rFonts w:ascii="Times New Roman" w:eastAsia="Times New Roman" w:hAnsi="Times New Roman" w:cs="Times New Roman"/>
                <w:b/>
                <w:color w:val="000000"/>
                <w:sz w:val="18"/>
                <w:szCs w:val="18"/>
              </w:rPr>
              <w:t>п. Новокисловодский</w:t>
            </w:r>
          </w:p>
        </w:tc>
        <w:tc>
          <w:tcPr>
            <w:tcW w:w="2268" w:type="dxa"/>
          </w:tcPr>
          <w:p w14:paraId="5766872A" w14:textId="77777777" w:rsidR="00171AA8" w:rsidRPr="00731FE2" w:rsidRDefault="00171AA8">
            <w:pPr>
              <w:pStyle w:val="24"/>
              <w:rPr>
                <w:rFonts w:ascii="Times New Roman" w:hAnsi="Times New Roman" w:cs="Times New Roman"/>
                <w:sz w:val="18"/>
                <w:szCs w:val="18"/>
              </w:rPr>
            </w:pPr>
          </w:p>
        </w:tc>
        <w:tc>
          <w:tcPr>
            <w:tcW w:w="1843" w:type="dxa"/>
          </w:tcPr>
          <w:p w14:paraId="135C36EB" w14:textId="77777777" w:rsidR="00171AA8" w:rsidRPr="00731FE2" w:rsidRDefault="00171AA8">
            <w:pPr>
              <w:pStyle w:val="24"/>
              <w:rPr>
                <w:rFonts w:ascii="Times New Roman" w:hAnsi="Times New Roman" w:cs="Times New Roman"/>
                <w:sz w:val="18"/>
                <w:szCs w:val="18"/>
              </w:rPr>
            </w:pPr>
          </w:p>
        </w:tc>
        <w:tc>
          <w:tcPr>
            <w:tcW w:w="2693" w:type="dxa"/>
          </w:tcPr>
          <w:p w14:paraId="53B394FC" w14:textId="77777777" w:rsidR="00171AA8" w:rsidRPr="00731FE2" w:rsidRDefault="00171AA8">
            <w:pPr>
              <w:pStyle w:val="24"/>
              <w:rPr>
                <w:rFonts w:ascii="Times New Roman" w:hAnsi="Times New Roman" w:cs="Times New Roman"/>
                <w:sz w:val="18"/>
                <w:szCs w:val="18"/>
              </w:rPr>
            </w:pPr>
          </w:p>
        </w:tc>
        <w:tc>
          <w:tcPr>
            <w:tcW w:w="3118" w:type="dxa"/>
          </w:tcPr>
          <w:p w14:paraId="2B67698E" w14:textId="77777777" w:rsidR="00171AA8" w:rsidRPr="00731FE2" w:rsidRDefault="00171AA8">
            <w:pPr>
              <w:pStyle w:val="24"/>
              <w:rPr>
                <w:rFonts w:ascii="Times New Roman" w:hAnsi="Times New Roman" w:cs="Times New Roman"/>
                <w:sz w:val="18"/>
                <w:szCs w:val="18"/>
              </w:rPr>
            </w:pPr>
          </w:p>
        </w:tc>
        <w:tc>
          <w:tcPr>
            <w:tcW w:w="1288" w:type="dxa"/>
          </w:tcPr>
          <w:p w14:paraId="3949368A" w14:textId="77777777" w:rsidR="00171AA8" w:rsidRPr="00731FE2" w:rsidRDefault="00171AA8">
            <w:pPr>
              <w:pStyle w:val="24"/>
              <w:rPr>
                <w:rFonts w:ascii="Times New Roman" w:hAnsi="Times New Roman" w:cs="Times New Roman"/>
                <w:sz w:val="18"/>
                <w:szCs w:val="18"/>
              </w:rPr>
            </w:pPr>
          </w:p>
        </w:tc>
      </w:tr>
      <w:tr w:rsidR="00171AA8" w:rsidRPr="00731FE2" w14:paraId="14201B1D" w14:textId="77777777" w:rsidTr="00EE4EC5">
        <w:tc>
          <w:tcPr>
            <w:tcW w:w="567" w:type="dxa"/>
          </w:tcPr>
          <w:p w14:paraId="435EA0A3"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204558BF"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Верхне - Донская</w:t>
            </w:r>
          </w:p>
        </w:tc>
        <w:tc>
          <w:tcPr>
            <w:tcW w:w="2268" w:type="dxa"/>
          </w:tcPr>
          <w:p w14:paraId="1F6A4E7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Верхне - Донская</w:t>
            </w:r>
          </w:p>
        </w:tc>
        <w:tc>
          <w:tcPr>
            <w:tcW w:w="1843" w:type="dxa"/>
          </w:tcPr>
          <w:p w14:paraId="4C50CBC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0,804</w:t>
            </w:r>
          </w:p>
        </w:tc>
        <w:tc>
          <w:tcPr>
            <w:tcW w:w="2693" w:type="dxa"/>
          </w:tcPr>
          <w:p w14:paraId="52A5582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 ОП МГ А/ЩГ-318</w:t>
            </w:r>
          </w:p>
        </w:tc>
        <w:tc>
          <w:tcPr>
            <w:tcW w:w="3118" w:type="dxa"/>
          </w:tcPr>
          <w:p w14:paraId="2C3363A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4A82B9D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3216</w:t>
            </w:r>
          </w:p>
        </w:tc>
      </w:tr>
      <w:tr w:rsidR="00171AA8" w:rsidRPr="00731FE2" w14:paraId="0C55BCA8" w14:textId="77777777" w:rsidTr="00EE4EC5">
        <w:tc>
          <w:tcPr>
            <w:tcW w:w="567" w:type="dxa"/>
          </w:tcPr>
          <w:p w14:paraId="2EBCEF3E"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2132F0D9"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Сиреневая</w:t>
            </w:r>
          </w:p>
        </w:tc>
        <w:tc>
          <w:tcPr>
            <w:tcW w:w="2268" w:type="dxa"/>
          </w:tcPr>
          <w:p w14:paraId="3A4E67B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Сиреневая</w:t>
            </w:r>
          </w:p>
        </w:tc>
        <w:tc>
          <w:tcPr>
            <w:tcW w:w="1843" w:type="dxa"/>
          </w:tcPr>
          <w:p w14:paraId="6CED716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0,939</w:t>
            </w:r>
          </w:p>
        </w:tc>
        <w:tc>
          <w:tcPr>
            <w:tcW w:w="2693" w:type="dxa"/>
          </w:tcPr>
          <w:p w14:paraId="6C2476C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 ОП МГ ЩГ-319</w:t>
            </w:r>
          </w:p>
        </w:tc>
        <w:tc>
          <w:tcPr>
            <w:tcW w:w="3118" w:type="dxa"/>
          </w:tcPr>
          <w:p w14:paraId="4DED7B9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2AAB653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3286,5</w:t>
            </w:r>
          </w:p>
        </w:tc>
      </w:tr>
      <w:tr w:rsidR="00171AA8" w:rsidRPr="00731FE2" w14:paraId="0E519212" w14:textId="77777777" w:rsidTr="00EE4EC5">
        <w:tc>
          <w:tcPr>
            <w:tcW w:w="567" w:type="dxa"/>
          </w:tcPr>
          <w:p w14:paraId="503320D1"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547EDD13"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Донская</w:t>
            </w:r>
          </w:p>
        </w:tc>
        <w:tc>
          <w:tcPr>
            <w:tcW w:w="2268" w:type="dxa"/>
          </w:tcPr>
          <w:p w14:paraId="21F3F20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Донская</w:t>
            </w:r>
          </w:p>
        </w:tc>
        <w:tc>
          <w:tcPr>
            <w:tcW w:w="1843" w:type="dxa"/>
          </w:tcPr>
          <w:p w14:paraId="2697CA8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1,673</w:t>
            </w:r>
          </w:p>
        </w:tc>
        <w:tc>
          <w:tcPr>
            <w:tcW w:w="2693" w:type="dxa"/>
          </w:tcPr>
          <w:p w14:paraId="2840B54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 ОП МГ ЩГ-320</w:t>
            </w:r>
          </w:p>
        </w:tc>
        <w:tc>
          <w:tcPr>
            <w:tcW w:w="3118" w:type="dxa"/>
          </w:tcPr>
          <w:p w14:paraId="5576DBF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4BE0E8D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6692</w:t>
            </w:r>
          </w:p>
        </w:tc>
      </w:tr>
      <w:tr w:rsidR="00171AA8" w:rsidRPr="00731FE2" w14:paraId="6E06DC31" w14:textId="77777777" w:rsidTr="00EE4EC5">
        <w:tc>
          <w:tcPr>
            <w:tcW w:w="567" w:type="dxa"/>
          </w:tcPr>
          <w:p w14:paraId="6A5D69B8"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1CADA5FE"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Черкасская</w:t>
            </w:r>
          </w:p>
        </w:tc>
        <w:tc>
          <w:tcPr>
            <w:tcW w:w="2268" w:type="dxa"/>
          </w:tcPr>
          <w:p w14:paraId="4CC5B53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Черкасская</w:t>
            </w:r>
          </w:p>
        </w:tc>
        <w:tc>
          <w:tcPr>
            <w:tcW w:w="1843" w:type="dxa"/>
          </w:tcPr>
          <w:p w14:paraId="57C53AA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1,325</w:t>
            </w:r>
          </w:p>
        </w:tc>
        <w:tc>
          <w:tcPr>
            <w:tcW w:w="2693" w:type="dxa"/>
          </w:tcPr>
          <w:p w14:paraId="4467B2F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 ОП МГ ЩГ-321</w:t>
            </w:r>
          </w:p>
        </w:tc>
        <w:tc>
          <w:tcPr>
            <w:tcW w:w="3118" w:type="dxa"/>
          </w:tcPr>
          <w:p w14:paraId="5949A49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793B2BA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5300</w:t>
            </w:r>
          </w:p>
        </w:tc>
      </w:tr>
      <w:tr w:rsidR="00171AA8" w:rsidRPr="00731FE2" w14:paraId="61DFC940" w14:textId="77777777" w:rsidTr="00EE4EC5">
        <w:tc>
          <w:tcPr>
            <w:tcW w:w="567" w:type="dxa"/>
          </w:tcPr>
          <w:p w14:paraId="183A2FED"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0B4D4EC6"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Черкасский переулок</w:t>
            </w:r>
          </w:p>
        </w:tc>
        <w:tc>
          <w:tcPr>
            <w:tcW w:w="2268" w:type="dxa"/>
          </w:tcPr>
          <w:p w14:paraId="2FD3B3D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Черкасский переулок</w:t>
            </w:r>
          </w:p>
        </w:tc>
        <w:tc>
          <w:tcPr>
            <w:tcW w:w="1843" w:type="dxa"/>
          </w:tcPr>
          <w:p w14:paraId="67A6CB2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0,118</w:t>
            </w:r>
          </w:p>
        </w:tc>
        <w:tc>
          <w:tcPr>
            <w:tcW w:w="2693" w:type="dxa"/>
          </w:tcPr>
          <w:p w14:paraId="04CD13D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 ОП МГ ЩГ-322</w:t>
            </w:r>
          </w:p>
        </w:tc>
        <w:tc>
          <w:tcPr>
            <w:tcW w:w="3118" w:type="dxa"/>
          </w:tcPr>
          <w:p w14:paraId="4A7E725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улица районного значения транспортно - пешеходная</w:t>
            </w:r>
          </w:p>
        </w:tc>
        <w:tc>
          <w:tcPr>
            <w:tcW w:w="1288" w:type="dxa"/>
          </w:tcPr>
          <w:p w14:paraId="6FF695D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354</w:t>
            </w:r>
          </w:p>
        </w:tc>
      </w:tr>
      <w:tr w:rsidR="00171AA8" w:rsidRPr="00731FE2" w14:paraId="058859FE" w14:textId="77777777" w:rsidTr="00EE4EC5">
        <w:tc>
          <w:tcPr>
            <w:tcW w:w="567" w:type="dxa"/>
          </w:tcPr>
          <w:p w14:paraId="61387C3B"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4F02D76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b/>
                <w:color w:val="000000"/>
                <w:sz w:val="18"/>
                <w:szCs w:val="18"/>
              </w:rPr>
              <w:t>п. Нарзанный</w:t>
            </w:r>
          </w:p>
        </w:tc>
        <w:tc>
          <w:tcPr>
            <w:tcW w:w="2268" w:type="dxa"/>
          </w:tcPr>
          <w:p w14:paraId="3B0F2AF8" w14:textId="77777777" w:rsidR="00171AA8" w:rsidRPr="00731FE2" w:rsidRDefault="00171AA8">
            <w:pPr>
              <w:pStyle w:val="24"/>
              <w:rPr>
                <w:rFonts w:ascii="Times New Roman" w:hAnsi="Times New Roman" w:cs="Times New Roman"/>
                <w:sz w:val="18"/>
                <w:szCs w:val="18"/>
              </w:rPr>
            </w:pPr>
          </w:p>
        </w:tc>
        <w:tc>
          <w:tcPr>
            <w:tcW w:w="1843" w:type="dxa"/>
          </w:tcPr>
          <w:p w14:paraId="4FF032AD" w14:textId="77777777" w:rsidR="00171AA8" w:rsidRPr="00731FE2" w:rsidRDefault="00171AA8">
            <w:pPr>
              <w:pStyle w:val="24"/>
              <w:rPr>
                <w:rFonts w:ascii="Times New Roman" w:hAnsi="Times New Roman" w:cs="Times New Roman"/>
                <w:sz w:val="18"/>
                <w:szCs w:val="18"/>
              </w:rPr>
            </w:pPr>
          </w:p>
        </w:tc>
        <w:tc>
          <w:tcPr>
            <w:tcW w:w="2693" w:type="dxa"/>
          </w:tcPr>
          <w:p w14:paraId="4CD4F4BB" w14:textId="77777777" w:rsidR="00171AA8" w:rsidRPr="00731FE2" w:rsidRDefault="00171AA8">
            <w:pPr>
              <w:pStyle w:val="24"/>
              <w:rPr>
                <w:rFonts w:ascii="Times New Roman" w:hAnsi="Times New Roman" w:cs="Times New Roman"/>
                <w:sz w:val="18"/>
                <w:szCs w:val="18"/>
              </w:rPr>
            </w:pPr>
          </w:p>
        </w:tc>
        <w:tc>
          <w:tcPr>
            <w:tcW w:w="3118" w:type="dxa"/>
          </w:tcPr>
          <w:p w14:paraId="20BD9AA1" w14:textId="77777777" w:rsidR="00171AA8" w:rsidRPr="00731FE2" w:rsidRDefault="00171AA8">
            <w:pPr>
              <w:pStyle w:val="24"/>
              <w:rPr>
                <w:rFonts w:ascii="Times New Roman" w:hAnsi="Times New Roman" w:cs="Times New Roman"/>
                <w:sz w:val="18"/>
                <w:szCs w:val="18"/>
              </w:rPr>
            </w:pPr>
          </w:p>
        </w:tc>
        <w:tc>
          <w:tcPr>
            <w:tcW w:w="1288" w:type="dxa"/>
          </w:tcPr>
          <w:p w14:paraId="24E1CD29" w14:textId="77777777" w:rsidR="00171AA8" w:rsidRPr="00731FE2" w:rsidRDefault="00171AA8">
            <w:pPr>
              <w:pStyle w:val="24"/>
              <w:rPr>
                <w:rFonts w:ascii="Times New Roman" w:hAnsi="Times New Roman" w:cs="Times New Roman"/>
                <w:sz w:val="18"/>
                <w:szCs w:val="18"/>
              </w:rPr>
            </w:pPr>
          </w:p>
        </w:tc>
      </w:tr>
      <w:tr w:rsidR="00171AA8" w:rsidRPr="00731FE2" w14:paraId="341D7B7E" w14:textId="77777777" w:rsidTr="00EE4EC5">
        <w:tc>
          <w:tcPr>
            <w:tcW w:w="567" w:type="dxa"/>
          </w:tcPr>
          <w:p w14:paraId="5AF10C4F"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6C7224E3"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Восточная</w:t>
            </w:r>
          </w:p>
        </w:tc>
        <w:tc>
          <w:tcPr>
            <w:tcW w:w="2268" w:type="dxa"/>
          </w:tcPr>
          <w:p w14:paraId="71FE11C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Восточная</w:t>
            </w:r>
          </w:p>
        </w:tc>
        <w:tc>
          <w:tcPr>
            <w:tcW w:w="1843" w:type="dxa"/>
          </w:tcPr>
          <w:p w14:paraId="3AFCB5C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1,235</w:t>
            </w:r>
          </w:p>
        </w:tc>
        <w:tc>
          <w:tcPr>
            <w:tcW w:w="2693" w:type="dxa"/>
          </w:tcPr>
          <w:p w14:paraId="0BD5FC2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 ОП МГ А/ЩГ-323</w:t>
            </w:r>
          </w:p>
        </w:tc>
        <w:tc>
          <w:tcPr>
            <w:tcW w:w="3118" w:type="dxa"/>
          </w:tcPr>
          <w:p w14:paraId="2B36C60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основной</w:t>
            </w:r>
          </w:p>
        </w:tc>
        <w:tc>
          <w:tcPr>
            <w:tcW w:w="1288" w:type="dxa"/>
          </w:tcPr>
          <w:p w14:paraId="6F58937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5557,5</w:t>
            </w:r>
          </w:p>
        </w:tc>
      </w:tr>
      <w:tr w:rsidR="00171AA8" w:rsidRPr="00731FE2" w14:paraId="1D37FCD4" w14:textId="77777777" w:rsidTr="00EE4EC5">
        <w:tc>
          <w:tcPr>
            <w:tcW w:w="567" w:type="dxa"/>
          </w:tcPr>
          <w:p w14:paraId="6A176D02"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1FBDD692"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Овражная</w:t>
            </w:r>
          </w:p>
        </w:tc>
        <w:tc>
          <w:tcPr>
            <w:tcW w:w="2268" w:type="dxa"/>
          </w:tcPr>
          <w:p w14:paraId="50DD67A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Овражная</w:t>
            </w:r>
          </w:p>
        </w:tc>
        <w:tc>
          <w:tcPr>
            <w:tcW w:w="1843" w:type="dxa"/>
          </w:tcPr>
          <w:p w14:paraId="58DDFF2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0,428</w:t>
            </w:r>
          </w:p>
        </w:tc>
        <w:tc>
          <w:tcPr>
            <w:tcW w:w="2693" w:type="dxa"/>
          </w:tcPr>
          <w:p w14:paraId="57926FA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 ОП МГ ЩГ-324</w:t>
            </w:r>
          </w:p>
        </w:tc>
        <w:tc>
          <w:tcPr>
            <w:tcW w:w="3118" w:type="dxa"/>
          </w:tcPr>
          <w:p w14:paraId="27D3515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70E5068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1712</w:t>
            </w:r>
          </w:p>
        </w:tc>
      </w:tr>
      <w:tr w:rsidR="00171AA8" w:rsidRPr="00731FE2" w14:paraId="6A223796" w14:textId="77777777" w:rsidTr="00EE4EC5">
        <w:tc>
          <w:tcPr>
            <w:tcW w:w="567" w:type="dxa"/>
          </w:tcPr>
          <w:p w14:paraId="07EB02B2"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5DD32A8C"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Овражный переулок</w:t>
            </w:r>
          </w:p>
        </w:tc>
        <w:tc>
          <w:tcPr>
            <w:tcW w:w="2268" w:type="dxa"/>
          </w:tcPr>
          <w:p w14:paraId="09142C6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Овражный переулок</w:t>
            </w:r>
          </w:p>
        </w:tc>
        <w:tc>
          <w:tcPr>
            <w:tcW w:w="1843" w:type="dxa"/>
          </w:tcPr>
          <w:p w14:paraId="65F93D3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0,108</w:t>
            </w:r>
          </w:p>
        </w:tc>
        <w:tc>
          <w:tcPr>
            <w:tcW w:w="2693" w:type="dxa"/>
          </w:tcPr>
          <w:p w14:paraId="25AD7AB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 ОП МГ ЩГ-325</w:t>
            </w:r>
          </w:p>
        </w:tc>
        <w:tc>
          <w:tcPr>
            <w:tcW w:w="3118" w:type="dxa"/>
          </w:tcPr>
          <w:p w14:paraId="0B495FE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18F0D4D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378</w:t>
            </w:r>
          </w:p>
        </w:tc>
      </w:tr>
      <w:tr w:rsidR="00171AA8" w:rsidRPr="00731FE2" w14:paraId="1A158C97" w14:textId="77777777" w:rsidTr="00EE4EC5">
        <w:tc>
          <w:tcPr>
            <w:tcW w:w="567" w:type="dxa"/>
          </w:tcPr>
          <w:p w14:paraId="3DBB5C85"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57D92ACA"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Южная</w:t>
            </w:r>
          </w:p>
        </w:tc>
        <w:tc>
          <w:tcPr>
            <w:tcW w:w="2268" w:type="dxa"/>
          </w:tcPr>
          <w:p w14:paraId="414B645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Южная</w:t>
            </w:r>
          </w:p>
        </w:tc>
        <w:tc>
          <w:tcPr>
            <w:tcW w:w="1843" w:type="dxa"/>
          </w:tcPr>
          <w:p w14:paraId="045653F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0,255</w:t>
            </w:r>
          </w:p>
        </w:tc>
        <w:tc>
          <w:tcPr>
            <w:tcW w:w="2693" w:type="dxa"/>
          </w:tcPr>
          <w:p w14:paraId="7EDF570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 ОП МГ ЩГ-326</w:t>
            </w:r>
          </w:p>
        </w:tc>
        <w:tc>
          <w:tcPr>
            <w:tcW w:w="3118" w:type="dxa"/>
          </w:tcPr>
          <w:p w14:paraId="591AD23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74FFF2E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892,5</w:t>
            </w:r>
          </w:p>
        </w:tc>
      </w:tr>
      <w:tr w:rsidR="00171AA8" w:rsidRPr="00731FE2" w14:paraId="08C57A76" w14:textId="77777777" w:rsidTr="00EE4EC5">
        <w:tc>
          <w:tcPr>
            <w:tcW w:w="567" w:type="dxa"/>
          </w:tcPr>
          <w:p w14:paraId="47BF313B"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0CD07D01"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Ручейная</w:t>
            </w:r>
          </w:p>
        </w:tc>
        <w:tc>
          <w:tcPr>
            <w:tcW w:w="2268" w:type="dxa"/>
          </w:tcPr>
          <w:p w14:paraId="3558374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Ручейная</w:t>
            </w:r>
          </w:p>
        </w:tc>
        <w:tc>
          <w:tcPr>
            <w:tcW w:w="1843" w:type="dxa"/>
          </w:tcPr>
          <w:p w14:paraId="144E57B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0,386</w:t>
            </w:r>
          </w:p>
        </w:tc>
        <w:tc>
          <w:tcPr>
            <w:tcW w:w="2693" w:type="dxa"/>
          </w:tcPr>
          <w:p w14:paraId="1C870F8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 ОП МГ ЩГ-327</w:t>
            </w:r>
          </w:p>
        </w:tc>
        <w:tc>
          <w:tcPr>
            <w:tcW w:w="3118" w:type="dxa"/>
          </w:tcPr>
          <w:p w14:paraId="046B429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21E5D26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1351</w:t>
            </w:r>
          </w:p>
        </w:tc>
      </w:tr>
      <w:tr w:rsidR="00171AA8" w:rsidRPr="00731FE2" w14:paraId="44A75BBE" w14:textId="77777777" w:rsidTr="00EE4EC5">
        <w:tc>
          <w:tcPr>
            <w:tcW w:w="567" w:type="dxa"/>
          </w:tcPr>
          <w:p w14:paraId="1AF7A775"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29DFFBE3"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Ольхово - Набережная</w:t>
            </w:r>
          </w:p>
        </w:tc>
        <w:tc>
          <w:tcPr>
            <w:tcW w:w="2268" w:type="dxa"/>
          </w:tcPr>
          <w:p w14:paraId="10CEF8C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Ольхово - Набережная</w:t>
            </w:r>
          </w:p>
        </w:tc>
        <w:tc>
          <w:tcPr>
            <w:tcW w:w="1843" w:type="dxa"/>
          </w:tcPr>
          <w:p w14:paraId="6F2A9E7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0,513</w:t>
            </w:r>
          </w:p>
        </w:tc>
        <w:tc>
          <w:tcPr>
            <w:tcW w:w="2693" w:type="dxa"/>
          </w:tcPr>
          <w:p w14:paraId="510D3F1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 ОП МГ ЩГ-328</w:t>
            </w:r>
          </w:p>
        </w:tc>
        <w:tc>
          <w:tcPr>
            <w:tcW w:w="3118" w:type="dxa"/>
          </w:tcPr>
          <w:p w14:paraId="043996A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3054EA2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1795,5</w:t>
            </w:r>
          </w:p>
        </w:tc>
      </w:tr>
      <w:tr w:rsidR="00171AA8" w:rsidRPr="00731FE2" w14:paraId="632B3AC7" w14:textId="77777777" w:rsidTr="00EE4EC5">
        <w:tc>
          <w:tcPr>
            <w:tcW w:w="567" w:type="dxa"/>
          </w:tcPr>
          <w:p w14:paraId="63775ABE"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74E1193D"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Садовая</w:t>
            </w:r>
          </w:p>
        </w:tc>
        <w:tc>
          <w:tcPr>
            <w:tcW w:w="2268" w:type="dxa"/>
          </w:tcPr>
          <w:p w14:paraId="7A9240C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Садовая</w:t>
            </w:r>
          </w:p>
        </w:tc>
        <w:tc>
          <w:tcPr>
            <w:tcW w:w="1843" w:type="dxa"/>
          </w:tcPr>
          <w:p w14:paraId="57CC09C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0,205</w:t>
            </w:r>
          </w:p>
        </w:tc>
        <w:tc>
          <w:tcPr>
            <w:tcW w:w="2693" w:type="dxa"/>
          </w:tcPr>
          <w:p w14:paraId="49A0F2E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 ОП МГ ЩГ-329</w:t>
            </w:r>
          </w:p>
        </w:tc>
        <w:tc>
          <w:tcPr>
            <w:tcW w:w="3118" w:type="dxa"/>
          </w:tcPr>
          <w:p w14:paraId="3E92BA2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1DFBE27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717,5</w:t>
            </w:r>
          </w:p>
        </w:tc>
      </w:tr>
      <w:tr w:rsidR="00171AA8" w:rsidRPr="00731FE2" w14:paraId="1A60DDAC" w14:textId="77777777" w:rsidTr="00EE4EC5">
        <w:tc>
          <w:tcPr>
            <w:tcW w:w="567" w:type="dxa"/>
          </w:tcPr>
          <w:p w14:paraId="0C7ADECE"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60C237A3" w14:textId="77777777" w:rsidR="00171AA8" w:rsidRPr="00731FE2" w:rsidRDefault="007935AB">
            <w:pPr>
              <w:pBdr>
                <w:top w:val="none" w:sz="4" w:space="0" w:color="000000"/>
                <w:left w:val="none" w:sz="4" w:space="0" w:color="000000"/>
                <w:bottom w:val="none" w:sz="4" w:space="0" w:color="000000"/>
                <w:right w:val="none" w:sz="4" w:space="0" w:color="000000"/>
              </w:pBdr>
              <w:tabs>
                <w:tab w:val="left" w:pos="4545"/>
              </w:tabs>
              <w:ind w:firstLine="0"/>
              <w:jc w:val="center"/>
              <w:rPr>
                <w:rFonts w:ascii="Times New Roman" w:hAnsi="Times New Roman" w:cs="Times New Roman"/>
                <w:sz w:val="18"/>
                <w:szCs w:val="18"/>
              </w:rPr>
            </w:pPr>
            <w:r w:rsidRPr="00731FE2">
              <w:rPr>
                <w:rFonts w:ascii="Times New Roman" w:eastAsia="Times New Roman" w:hAnsi="Times New Roman" w:cs="Times New Roman"/>
                <w:b/>
                <w:color w:val="000000"/>
                <w:sz w:val="18"/>
                <w:szCs w:val="18"/>
              </w:rPr>
              <w:t>п. Индустрия</w:t>
            </w:r>
          </w:p>
        </w:tc>
        <w:tc>
          <w:tcPr>
            <w:tcW w:w="2268" w:type="dxa"/>
          </w:tcPr>
          <w:p w14:paraId="15DD47E7" w14:textId="77777777" w:rsidR="00171AA8" w:rsidRPr="00731FE2" w:rsidRDefault="00171AA8">
            <w:pPr>
              <w:pStyle w:val="24"/>
              <w:rPr>
                <w:rFonts w:ascii="Times New Roman" w:hAnsi="Times New Roman" w:cs="Times New Roman"/>
                <w:sz w:val="18"/>
                <w:szCs w:val="18"/>
              </w:rPr>
            </w:pPr>
          </w:p>
        </w:tc>
        <w:tc>
          <w:tcPr>
            <w:tcW w:w="1843" w:type="dxa"/>
          </w:tcPr>
          <w:p w14:paraId="651C1AAB" w14:textId="77777777" w:rsidR="00171AA8" w:rsidRPr="00731FE2" w:rsidRDefault="00171AA8">
            <w:pPr>
              <w:pStyle w:val="24"/>
              <w:rPr>
                <w:rFonts w:ascii="Times New Roman" w:hAnsi="Times New Roman" w:cs="Times New Roman"/>
                <w:sz w:val="18"/>
                <w:szCs w:val="18"/>
              </w:rPr>
            </w:pPr>
          </w:p>
        </w:tc>
        <w:tc>
          <w:tcPr>
            <w:tcW w:w="2693" w:type="dxa"/>
          </w:tcPr>
          <w:p w14:paraId="02380358" w14:textId="77777777" w:rsidR="00171AA8" w:rsidRPr="00731FE2" w:rsidRDefault="00171AA8">
            <w:pPr>
              <w:pStyle w:val="24"/>
              <w:rPr>
                <w:rFonts w:ascii="Times New Roman" w:hAnsi="Times New Roman" w:cs="Times New Roman"/>
                <w:sz w:val="18"/>
                <w:szCs w:val="18"/>
              </w:rPr>
            </w:pPr>
          </w:p>
        </w:tc>
        <w:tc>
          <w:tcPr>
            <w:tcW w:w="3118" w:type="dxa"/>
          </w:tcPr>
          <w:p w14:paraId="39E4E5B1" w14:textId="77777777" w:rsidR="00171AA8" w:rsidRPr="00731FE2" w:rsidRDefault="00171AA8">
            <w:pPr>
              <w:pStyle w:val="24"/>
              <w:rPr>
                <w:rFonts w:ascii="Times New Roman" w:hAnsi="Times New Roman" w:cs="Times New Roman"/>
                <w:sz w:val="18"/>
                <w:szCs w:val="18"/>
              </w:rPr>
            </w:pPr>
          </w:p>
        </w:tc>
        <w:tc>
          <w:tcPr>
            <w:tcW w:w="1288" w:type="dxa"/>
          </w:tcPr>
          <w:p w14:paraId="1D4C7CEA" w14:textId="77777777" w:rsidR="00171AA8" w:rsidRPr="00731FE2" w:rsidRDefault="00171AA8">
            <w:pPr>
              <w:pStyle w:val="24"/>
              <w:rPr>
                <w:rFonts w:ascii="Times New Roman" w:hAnsi="Times New Roman" w:cs="Times New Roman"/>
                <w:sz w:val="18"/>
                <w:szCs w:val="18"/>
              </w:rPr>
            </w:pPr>
          </w:p>
        </w:tc>
      </w:tr>
      <w:tr w:rsidR="00171AA8" w:rsidRPr="00731FE2" w14:paraId="73D07ED3" w14:textId="77777777" w:rsidTr="00EE4EC5">
        <w:tc>
          <w:tcPr>
            <w:tcW w:w="567" w:type="dxa"/>
          </w:tcPr>
          <w:p w14:paraId="1124DFF6"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4EB096FD"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Шоссейная</w:t>
            </w:r>
          </w:p>
        </w:tc>
        <w:tc>
          <w:tcPr>
            <w:tcW w:w="2268" w:type="dxa"/>
          </w:tcPr>
          <w:p w14:paraId="679D51B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Шоссейная</w:t>
            </w:r>
          </w:p>
        </w:tc>
        <w:tc>
          <w:tcPr>
            <w:tcW w:w="1843" w:type="dxa"/>
          </w:tcPr>
          <w:p w14:paraId="195478E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0,483</w:t>
            </w:r>
          </w:p>
        </w:tc>
        <w:tc>
          <w:tcPr>
            <w:tcW w:w="2693" w:type="dxa"/>
          </w:tcPr>
          <w:p w14:paraId="58AE075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 ОП МГ А/ЩГ-330</w:t>
            </w:r>
          </w:p>
        </w:tc>
        <w:tc>
          <w:tcPr>
            <w:tcW w:w="3118" w:type="dxa"/>
          </w:tcPr>
          <w:p w14:paraId="275C3F8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основной, транспортно - пешеходная</w:t>
            </w:r>
          </w:p>
        </w:tc>
        <w:tc>
          <w:tcPr>
            <w:tcW w:w="1288" w:type="dxa"/>
          </w:tcPr>
          <w:p w14:paraId="18FE6E0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1690,5</w:t>
            </w:r>
          </w:p>
        </w:tc>
      </w:tr>
      <w:tr w:rsidR="00171AA8" w:rsidRPr="00731FE2" w14:paraId="77EE56CB" w14:textId="77777777" w:rsidTr="00EE4EC5">
        <w:tc>
          <w:tcPr>
            <w:tcW w:w="567" w:type="dxa"/>
          </w:tcPr>
          <w:p w14:paraId="209E54E6"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752BB2EC"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Набережная</w:t>
            </w:r>
          </w:p>
        </w:tc>
        <w:tc>
          <w:tcPr>
            <w:tcW w:w="2268" w:type="dxa"/>
          </w:tcPr>
          <w:p w14:paraId="287C10D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Набережная</w:t>
            </w:r>
          </w:p>
        </w:tc>
        <w:tc>
          <w:tcPr>
            <w:tcW w:w="1843" w:type="dxa"/>
          </w:tcPr>
          <w:p w14:paraId="3A9F649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0,305</w:t>
            </w:r>
          </w:p>
        </w:tc>
        <w:tc>
          <w:tcPr>
            <w:tcW w:w="2693" w:type="dxa"/>
          </w:tcPr>
          <w:p w14:paraId="0FE3F10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 ОП МГ ЩГ-331</w:t>
            </w:r>
          </w:p>
        </w:tc>
        <w:tc>
          <w:tcPr>
            <w:tcW w:w="3118" w:type="dxa"/>
          </w:tcPr>
          <w:p w14:paraId="36A2FF3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262516F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1067,5</w:t>
            </w:r>
          </w:p>
        </w:tc>
      </w:tr>
      <w:tr w:rsidR="00171AA8" w:rsidRPr="00731FE2" w14:paraId="3B6AF557" w14:textId="77777777" w:rsidTr="00EE4EC5">
        <w:tc>
          <w:tcPr>
            <w:tcW w:w="567" w:type="dxa"/>
          </w:tcPr>
          <w:p w14:paraId="0D84A6E1"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3502C667"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Овражная</w:t>
            </w:r>
          </w:p>
        </w:tc>
        <w:tc>
          <w:tcPr>
            <w:tcW w:w="2268" w:type="dxa"/>
          </w:tcPr>
          <w:p w14:paraId="46822DE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Овражная</w:t>
            </w:r>
          </w:p>
        </w:tc>
        <w:tc>
          <w:tcPr>
            <w:tcW w:w="1843" w:type="dxa"/>
          </w:tcPr>
          <w:p w14:paraId="0B2760D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0,173</w:t>
            </w:r>
          </w:p>
        </w:tc>
        <w:tc>
          <w:tcPr>
            <w:tcW w:w="2693" w:type="dxa"/>
          </w:tcPr>
          <w:p w14:paraId="00B9F55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 ОП МГ ЩГ-332</w:t>
            </w:r>
          </w:p>
        </w:tc>
        <w:tc>
          <w:tcPr>
            <w:tcW w:w="3118" w:type="dxa"/>
          </w:tcPr>
          <w:p w14:paraId="7906B68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1195D07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605,5</w:t>
            </w:r>
          </w:p>
        </w:tc>
      </w:tr>
      <w:tr w:rsidR="00171AA8" w:rsidRPr="00731FE2" w14:paraId="432FA5E2" w14:textId="77777777" w:rsidTr="00EE4EC5">
        <w:tc>
          <w:tcPr>
            <w:tcW w:w="567" w:type="dxa"/>
          </w:tcPr>
          <w:p w14:paraId="1152E679"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34605798"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Совхозная</w:t>
            </w:r>
          </w:p>
        </w:tc>
        <w:tc>
          <w:tcPr>
            <w:tcW w:w="2268" w:type="dxa"/>
          </w:tcPr>
          <w:p w14:paraId="6F0D3F6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Совхозная</w:t>
            </w:r>
          </w:p>
        </w:tc>
        <w:tc>
          <w:tcPr>
            <w:tcW w:w="1843" w:type="dxa"/>
          </w:tcPr>
          <w:p w14:paraId="6A47374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0,814</w:t>
            </w:r>
          </w:p>
        </w:tc>
        <w:tc>
          <w:tcPr>
            <w:tcW w:w="2693" w:type="dxa"/>
          </w:tcPr>
          <w:p w14:paraId="492164C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 ОП МГ ЩГ-333</w:t>
            </w:r>
          </w:p>
        </w:tc>
        <w:tc>
          <w:tcPr>
            <w:tcW w:w="3118" w:type="dxa"/>
          </w:tcPr>
          <w:p w14:paraId="212518E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2738A57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2849</w:t>
            </w:r>
          </w:p>
        </w:tc>
      </w:tr>
      <w:tr w:rsidR="00171AA8" w:rsidRPr="00731FE2" w14:paraId="4DE8382A" w14:textId="77777777" w:rsidTr="00EE4EC5">
        <w:tc>
          <w:tcPr>
            <w:tcW w:w="567" w:type="dxa"/>
          </w:tcPr>
          <w:p w14:paraId="15FBB408"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74366414"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Степная</w:t>
            </w:r>
          </w:p>
        </w:tc>
        <w:tc>
          <w:tcPr>
            <w:tcW w:w="2268" w:type="dxa"/>
          </w:tcPr>
          <w:p w14:paraId="65AA56E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Степная</w:t>
            </w:r>
          </w:p>
        </w:tc>
        <w:tc>
          <w:tcPr>
            <w:tcW w:w="1843" w:type="dxa"/>
          </w:tcPr>
          <w:p w14:paraId="52D52E6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0,602</w:t>
            </w:r>
          </w:p>
        </w:tc>
        <w:tc>
          <w:tcPr>
            <w:tcW w:w="2693" w:type="dxa"/>
          </w:tcPr>
          <w:p w14:paraId="576194E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 ОП МГ ЩГ-334</w:t>
            </w:r>
          </w:p>
        </w:tc>
        <w:tc>
          <w:tcPr>
            <w:tcW w:w="3118" w:type="dxa"/>
          </w:tcPr>
          <w:p w14:paraId="559B702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472ABED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2107</w:t>
            </w:r>
          </w:p>
        </w:tc>
      </w:tr>
      <w:tr w:rsidR="00171AA8" w:rsidRPr="00731FE2" w14:paraId="4E6200AF" w14:textId="77777777" w:rsidTr="00EE4EC5">
        <w:tc>
          <w:tcPr>
            <w:tcW w:w="567" w:type="dxa"/>
          </w:tcPr>
          <w:p w14:paraId="60BF78F9"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2C90E0DE"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Кооперативная</w:t>
            </w:r>
          </w:p>
        </w:tc>
        <w:tc>
          <w:tcPr>
            <w:tcW w:w="2268" w:type="dxa"/>
          </w:tcPr>
          <w:p w14:paraId="4D0F7A8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Кооперативная</w:t>
            </w:r>
          </w:p>
        </w:tc>
        <w:tc>
          <w:tcPr>
            <w:tcW w:w="1843" w:type="dxa"/>
          </w:tcPr>
          <w:p w14:paraId="65DBF9E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0,183</w:t>
            </w:r>
          </w:p>
        </w:tc>
        <w:tc>
          <w:tcPr>
            <w:tcW w:w="2693" w:type="dxa"/>
          </w:tcPr>
          <w:p w14:paraId="431039D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 ОП МГ ЩГ-335</w:t>
            </w:r>
          </w:p>
        </w:tc>
        <w:tc>
          <w:tcPr>
            <w:tcW w:w="3118" w:type="dxa"/>
          </w:tcPr>
          <w:p w14:paraId="6086C14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2CB2473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640,5</w:t>
            </w:r>
          </w:p>
        </w:tc>
      </w:tr>
      <w:tr w:rsidR="00171AA8" w:rsidRPr="00731FE2" w14:paraId="3B7180A6" w14:textId="77777777" w:rsidTr="00EE4EC5">
        <w:tc>
          <w:tcPr>
            <w:tcW w:w="567" w:type="dxa"/>
          </w:tcPr>
          <w:p w14:paraId="20C12A45"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2D7F53BD"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Молодежная</w:t>
            </w:r>
          </w:p>
        </w:tc>
        <w:tc>
          <w:tcPr>
            <w:tcW w:w="2268" w:type="dxa"/>
          </w:tcPr>
          <w:p w14:paraId="08BC35C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Молодежная</w:t>
            </w:r>
          </w:p>
        </w:tc>
        <w:tc>
          <w:tcPr>
            <w:tcW w:w="1843" w:type="dxa"/>
          </w:tcPr>
          <w:p w14:paraId="3766FA8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0,219</w:t>
            </w:r>
          </w:p>
        </w:tc>
        <w:tc>
          <w:tcPr>
            <w:tcW w:w="2693" w:type="dxa"/>
          </w:tcPr>
          <w:p w14:paraId="04A565C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 ОП МГ ЩГ-336</w:t>
            </w:r>
          </w:p>
        </w:tc>
        <w:tc>
          <w:tcPr>
            <w:tcW w:w="3118" w:type="dxa"/>
          </w:tcPr>
          <w:p w14:paraId="583E7C9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703EFCB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766,5</w:t>
            </w:r>
          </w:p>
        </w:tc>
      </w:tr>
      <w:tr w:rsidR="00171AA8" w:rsidRPr="00731FE2" w14:paraId="5E31C08E" w14:textId="77777777" w:rsidTr="00EE4EC5">
        <w:tc>
          <w:tcPr>
            <w:tcW w:w="567" w:type="dxa"/>
          </w:tcPr>
          <w:p w14:paraId="0C613281"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07DB3C4F"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Хасаутская</w:t>
            </w:r>
          </w:p>
        </w:tc>
        <w:tc>
          <w:tcPr>
            <w:tcW w:w="2268" w:type="dxa"/>
          </w:tcPr>
          <w:p w14:paraId="00A5541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Хасаутская</w:t>
            </w:r>
          </w:p>
        </w:tc>
        <w:tc>
          <w:tcPr>
            <w:tcW w:w="1843" w:type="dxa"/>
          </w:tcPr>
          <w:p w14:paraId="619751A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0,239</w:t>
            </w:r>
          </w:p>
        </w:tc>
        <w:tc>
          <w:tcPr>
            <w:tcW w:w="2693" w:type="dxa"/>
          </w:tcPr>
          <w:p w14:paraId="0523DA4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 ОП МГ ЩГ-337</w:t>
            </w:r>
          </w:p>
        </w:tc>
        <w:tc>
          <w:tcPr>
            <w:tcW w:w="3118" w:type="dxa"/>
          </w:tcPr>
          <w:p w14:paraId="4B79584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093C025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836,5</w:t>
            </w:r>
          </w:p>
        </w:tc>
      </w:tr>
      <w:tr w:rsidR="00171AA8" w:rsidRPr="00731FE2" w14:paraId="5D9694FD" w14:textId="77777777" w:rsidTr="00EE4EC5">
        <w:tc>
          <w:tcPr>
            <w:tcW w:w="567" w:type="dxa"/>
          </w:tcPr>
          <w:p w14:paraId="35B4ED57"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7901EFB4"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Сосновая</w:t>
            </w:r>
          </w:p>
        </w:tc>
        <w:tc>
          <w:tcPr>
            <w:tcW w:w="2268" w:type="dxa"/>
          </w:tcPr>
          <w:p w14:paraId="5A55C91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Сосновая</w:t>
            </w:r>
          </w:p>
        </w:tc>
        <w:tc>
          <w:tcPr>
            <w:tcW w:w="1843" w:type="dxa"/>
          </w:tcPr>
          <w:p w14:paraId="280F9AF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0,256</w:t>
            </w:r>
          </w:p>
        </w:tc>
        <w:tc>
          <w:tcPr>
            <w:tcW w:w="2693" w:type="dxa"/>
          </w:tcPr>
          <w:p w14:paraId="79B8F75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 ОП МГ ЩГ-338</w:t>
            </w:r>
          </w:p>
        </w:tc>
        <w:tc>
          <w:tcPr>
            <w:tcW w:w="3118" w:type="dxa"/>
          </w:tcPr>
          <w:p w14:paraId="47F6410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4D29F48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896</w:t>
            </w:r>
          </w:p>
        </w:tc>
      </w:tr>
      <w:tr w:rsidR="00171AA8" w:rsidRPr="00731FE2" w14:paraId="18D2BF82" w14:textId="77777777" w:rsidTr="00EE4EC5">
        <w:tc>
          <w:tcPr>
            <w:tcW w:w="567" w:type="dxa"/>
          </w:tcPr>
          <w:p w14:paraId="74DEA5B8"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1C886EB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b/>
                <w:color w:val="000000"/>
                <w:sz w:val="18"/>
                <w:szCs w:val="18"/>
              </w:rPr>
              <w:t>п. Белореченкий</w:t>
            </w:r>
          </w:p>
        </w:tc>
        <w:tc>
          <w:tcPr>
            <w:tcW w:w="2268" w:type="dxa"/>
          </w:tcPr>
          <w:p w14:paraId="390B570A" w14:textId="77777777" w:rsidR="00171AA8" w:rsidRPr="00731FE2" w:rsidRDefault="00171AA8">
            <w:pPr>
              <w:pStyle w:val="24"/>
              <w:rPr>
                <w:rFonts w:ascii="Times New Roman" w:hAnsi="Times New Roman" w:cs="Times New Roman"/>
                <w:sz w:val="18"/>
                <w:szCs w:val="18"/>
              </w:rPr>
            </w:pPr>
          </w:p>
        </w:tc>
        <w:tc>
          <w:tcPr>
            <w:tcW w:w="1843" w:type="dxa"/>
          </w:tcPr>
          <w:p w14:paraId="0316F334" w14:textId="77777777" w:rsidR="00171AA8" w:rsidRPr="00731FE2" w:rsidRDefault="00171AA8">
            <w:pPr>
              <w:pStyle w:val="24"/>
              <w:rPr>
                <w:rFonts w:ascii="Times New Roman" w:hAnsi="Times New Roman" w:cs="Times New Roman"/>
                <w:sz w:val="18"/>
                <w:szCs w:val="18"/>
              </w:rPr>
            </w:pPr>
          </w:p>
        </w:tc>
        <w:tc>
          <w:tcPr>
            <w:tcW w:w="2693" w:type="dxa"/>
          </w:tcPr>
          <w:p w14:paraId="227CB9D4" w14:textId="77777777" w:rsidR="00171AA8" w:rsidRPr="00731FE2" w:rsidRDefault="00171AA8">
            <w:pPr>
              <w:pStyle w:val="24"/>
              <w:rPr>
                <w:rFonts w:ascii="Times New Roman" w:hAnsi="Times New Roman" w:cs="Times New Roman"/>
                <w:sz w:val="18"/>
                <w:szCs w:val="18"/>
              </w:rPr>
            </w:pPr>
          </w:p>
        </w:tc>
        <w:tc>
          <w:tcPr>
            <w:tcW w:w="3118" w:type="dxa"/>
          </w:tcPr>
          <w:p w14:paraId="25F1CCBE" w14:textId="77777777" w:rsidR="00171AA8" w:rsidRPr="00731FE2" w:rsidRDefault="00171AA8">
            <w:pPr>
              <w:pStyle w:val="24"/>
              <w:rPr>
                <w:rFonts w:ascii="Times New Roman" w:hAnsi="Times New Roman" w:cs="Times New Roman"/>
                <w:sz w:val="18"/>
                <w:szCs w:val="18"/>
              </w:rPr>
            </w:pPr>
          </w:p>
        </w:tc>
        <w:tc>
          <w:tcPr>
            <w:tcW w:w="1288" w:type="dxa"/>
          </w:tcPr>
          <w:p w14:paraId="48484D85" w14:textId="77777777" w:rsidR="00171AA8" w:rsidRPr="00731FE2" w:rsidRDefault="00171AA8">
            <w:pPr>
              <w:pStyle w:val="24"/>
              <w:rPr>
                <w:rFonts w:ascii="Times New Roman" w:hAnsi="Times New Roman" w:cs="Times New Roman"/>
                <w:sz w:val="18"/>
                <w:szCs w:val="18"/>
              </w:rPr>
            </w:pPr>
          </w:p>
        </w:tc>
      </w:tr>
      <w:tr w:rsidR="00171AA8" w:rsidRPr="00731FE2" w14:paraId="447C3F2E" w14:textId="77777777" w:rsidTr="00EE4EC5">
        <w:tc>
          <w:tcPr>
            <w:tcW w:w="567" w:type="dxa"/>
          </w:tcPr>
          <w:p w14:paraId="6809B00C"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56B3A3AF"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Кисловодская</w:t>
            </w:r>
          </w:p>
        </w:tc>
        <w:tc>
          <w:tcPr>
            <w:tcW w:w="2268" w:type="dxa"/>
          </w:tcPr>
          <w:p w14:paraId="449B5CE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Кисловодская</w:t>
            </w:r>
          </w:p>
        </w:tc>
        <w:tc>
          <w:tcPr>
            <w:tcW w:w="1843" w:type="dxa"/>
          </w:tcPr>
          <w:p w14:paraId="1748963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1,285</w:t>
            </w:r>
          </w:p>
        </w:tc>
        <w:tc>
          <w:tcPr>
            <w:tcW w:w="2693" w:type="dxa"/>
          </w:tcPr>
          <w:p w14:paraId="56B8671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 ОП МГ А-339</w:t>
            </w:r>
          </w:p>
        </w:tc>
        <w:tc>
          <w:tcPr>
            <w:tcW w:w="3118" w:type="dxa"/>
          </w:tcPr>
          <w:p w14:paraId="7B57E1C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IV, улица районного значения транспортно-пешеходная</w:t>
            </w:r>
          </w:p>
        </w:tc>
        <w:tc>
          <w:tcPr>
            <w:tcW w:w="1288" w:type="dxa"/>
          </w:tcPr>
          <w:p w14:paraId="757C816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10280</w:t>
            </w:r>
          </w:p>
        </w:tc>
      </w:tr>
      <w:tr w:rsidR="00171AA8" w:rsidRPr="00731FE2" w14:paraId="40B55E2A" w14:textId="77777777" w:rsidTr="00EE4EC5">
        <w:tc>
          <w:tcPr>
            <w:tcW w:w="567" w:type="dxa"/>
          </w:tcPr>
          <w:p w14:paraId="6D909290"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5E5389C2"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Кооперативная</w:t>
            </w:r>
          </w:p>
        </w:tc>
        <w:tc>
          <w:tcPr>
            <w:tcW w:w="2268" w:type="dxa"/>
          </w:tcPr>
          <w:p w14:paraId="45D8C39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Кооперативная</w:t>
            </w:r>
          </w:p>
        </w:tc>
        <w:tc>
          <w:tcPr>
            <w:tcW w:w="1843" w:type="dxa"/>
          </w:tcPr>
          <w:p w14:paraId="27D4A28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0,930</w:t>
            </w:r>
          </w:p>
        </w:tc>
        <w:tc>
          <w:tcPr>
            <w:tcW w:w="2693" w:type="dxa"/>
          </w:tcPr>
          <w:p w14:paraId="236C7FC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 ОП МГ ЩГ-340</w:t>
            </w:r>
          </w:p>
        </w:tc>
        <w:tc>
          <w:tcPr>
            <w:tcW w:w="3118" w:type="dxa"/>
          </w:tcPr>
          <w:p w14:paraId="146F6BA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1181EED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4185</w:t>
            </w:r>
          </w:p>
        </w:tc>
      </w:tr>
      <w:tr w:rsidR="00171AA8" w:rsidRPr="00731FE2" w14:paraId="18E4D39D" w14:textId="77777777" w:rsidTr="00EE4EC5">
        <w:tc>
          <w:tcPr>
            <w:tcW w:w="567" w:type="dxa"/>
          </w:tcPr>
          <w:p w14:paraId="08EA4ED9"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1FDF894A"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Набережная</w:t>
            </w:r>
          </w:p>
        </w:tc>
        <w:tc>
          <w:tcPr>
            <w:tcW w:w="2268" w:type="dxa"/>
          </w:tcPr>
          <w:p w14:paraId="5DA2A70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Набережная</w:t>
            </w:r>
          </w:p>
        </w:tc>
        <w:tc>
          <w:tcPr>
            <w:tcW w:w="1843" w:type="dxa"/>
          </w:tcPr>
          <w:p w14:paraId="43EEE53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0,537</w:t>
            </w:r>
          </w:p>
        </w:tc>
        <w:tc>
          <w:tcPr>
            <w:tcW w:w="2693" w:type="dxa"/>
          </w:tcPr>
          <w:p w14:paraId="3EDCBD8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 ОП МГ ЩГ-341</w:t>
            </w:r>
          </w:p>
        </w:tc>
        <w:tc>
          <w:tcPr>
            <w:tcW w:w="3118" w:type="dxa"/>
          </w:tcPr>
          <w:p w14:paraId="3560E87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61C3356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2416,5</w:t>
            </w:r>
          </w:p>
        </w:tc>
      </w:tr>
      <w:tr w:rsidR="00171AA8" w:rsidRPr="00731FE2" w14:paraId="24A23402" w14:textId="77777777" w:rsidTr="00EE4EC5">
        <w:tc>
          <w:tcPr>
            <w:tcW w:w="567" w:type="dxa"/>
          </w:tcPr>
          <w:p w14:paraId="1D96F90A"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43DCC7A7"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Олимпийский переулок</w:t>
            </w:r>
          </w:p>
        </w:tc>
        <w:tc>
          <w:tcPr>
            <w:tcW w:w="2268" w:type="dxa"/>
          </w:tcPr>
          <w:p w14:paraId="07E4356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Олимпийский переулок</w:t>
            </w:r>
          </w:p>
        </w:tc>
        <w:tc>
          <w:tcPr>
            <w:tcW w:w="1843" w:type="dxa"/>
          </w:tcPr>
          <w:p w14:paraId="58E15AD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0,144</w:t>
            </w:r>
          </w:p>
        </w:tc>
        <w:tc>
          <w:tcPr>
            <w:tcW w:w="2693" w:type="dxa"/>
          </w:tcPr>
          <w:p w14:paraId="5866498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 ОП МГ ЩГ-342</w:t>
            </w:r>
          </w:p>
        </w:tc>
        <w:tc>
          <w:tcPr>
            <w:tcW w:w="3118" w:type="dxa"/>
          </w:tcPr>
          <w:p w14:paraId="671EFFE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2B4C2E8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864</w:t>
            </w:r>
          </w:p>
        </w:tc>
      </w:tr>
      <w:tr w:rsidR="00171AA8" w:rsidRPr="00731FE2" w14:paraId="54F1DCCD" w14:textId="77777777" w:rsidTr="00EE4EC5">
        <w:tc>
          <w:tcPr>
            <w:tcW w:w="567" w:type="dxa"/>
          </w:tcPr>
          <w:p w14:paraId="7DB1FC53"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302A06EC"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Овражная</w:t>
            </w:r>
          </w:p>
        </w:tc>
        <w:tc>
          <w:tcPr>
            <w:tcW w:w="2268" w:type="dxa"/>
          </w:tcPr>
          <w:p w14:paraId="57584E7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Овражная</w:t>
            </w:r>
          </w:p>
        </w:tc>
        <w:tc>
          <w:tcPr>
            <w:tcW w:w="1843" w:type="dxa"/>
          </w:tcPr>
          <w:p w14:paraId="71C831E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0,186</w:t>
            </w:r>
          </w:p>
        </w:tc>
        <w:tc>
          <w:tcPr>
            <w:tcW w:w="2693" w:type="dxa"/>
          </w:tcPr>
          <w:p w14:paraId="282F6DF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 ОП МГ ЩГ-343</w:t>
            </w:r>
          </w:p>
        </w:tc>
        <w:tc>
          <w:tcPr>
            <w:tcW w:w="3118" w:type="dxa"/>
          </w:tcPr>
          <w:p w14:paraId="3E9A911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4ABD22E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837</w:t>
            </w:r>
          </w:p>
        </w:tc>
      </w:tr>
      <w:tr w:rsidR="00171AA8" w:rsidRPr="00731FE2" w14:paraId="7EC86AAC" w14:textId="77777777" w:rsidTr="00EE4EC5">
        <w:tc>
          <w:tcPr>
            <w:tcW w:w="567" w:type="dxa"/>
          </w:tcPr>
          <w:p w14:paraId="5DB0843B"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57CDAA84"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Голаева</w:t>
            </w:r>
          </w:p>
        </w:tc>
        <w:tc>
          <w:tcPr>
            <w:tcW w:w="2268" w:type="dxa"/>
          </w:tcPr>
          <w:p w14:paraId="0813770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Голаева</w:t>
            </w:r>
          </w:p>
        </w:tc>
        <w:tc>
          <w:tcPr>
            <w:tcW w:w="1843" w:type="dxa"/>
          </w:tcPr>
          <w:p w14:paraId="6DCAF32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0,230</w:t>
            </w:r>
          </w:p>
        </w:tc>
        <w:tc>
          <w:tcPr>
            <w:tcW w:w="2693" w:type="dxa"/>
          </w:tcPr>
          <w:p w14:paraId="1DE0142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 ОП МГ ЩГ-344</w:t>
            </w:r>
          </w:p>
        </w:tc>
        <w:tc>
          <w:tcPr>
            <w:tcW w:w="3118" w:type="dxa"/>
          </w:tcPr>
          <w:p w14:paraId="38724AD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13AD6A0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805</w:t>
            </w:r>
          </w:p>
        </w:tc>
      </w:tr>
      <w:tr w:rsidR="00171AA8" w:rsidRPr="00731FE2" w14:paraId="0622AA9D" w14:textId="77777777" w:rsidTr="00EE4EC5">
        <w:tc>
          <w:tcPr>
            <w:tcW w:w="567" w:type="dxa"/>
          </w:tcPr>
          <w:p w14:paraId="69B13F2B"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4FD14A0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b/>
                <w:color w:val="000000"/>
                <w:sz w:val="18"/>
                <w:szCs w:val="18"/>
              </w:rPr>
              <w:t>п. Луначарский</w:t>
            </w:r>
          </w:p>
        </w:tc>
        <w:tc>
          <w:tcPr>
            <w:tcW w:w="2268" w:type="dxa"/>
          </w:tcPr>
          <w:p w14:paraId="2B1206F3" w14:textId="77777777" w:rsidR="00171AA8" w:rsidRPr="00731FE2" w:rsidRDefault="00171AA8">
            <w:pPr>
              <w:pStyle w:val="24"/>
              <w:rPr>
                <w:rFonts w:ascii="Times New Roman" w:hAnsi="Times New Roman" w:cs="Times New Roman"/>
                <w:sz w:val="18"/>
                <w:szCs w:val="18"/>
              </w:rPr>
            </w:pPr>
          </w:p>
        </w:tc>
        <w:tc>
          <w:tcPr>
            <w:tcW w:w="1843" w:type="dxa"/>
          </w:tcPr>
          <w:p w14:paraId="6DA15D49" w14:textId="77777777" w:rsidR="00171AA8" w:rsidRPr="00731FE2" w:rsidRDefault="00171AA8">
            <w:pPr>
              <w:pStyle w:val="24"/>
              <w:rPr>
                <w:rFonts w:ascii="Times New Roman" w:hAnsi="Times New Roman" w:cs="Times New Roman"/>
                <w:sz w:val="18"/>
                <w:szCs w:val="18"/>
              </w:rPr>
            </w:pPr>
          </w:p>
        </w:tc>
        <w:tc>
          <w:tcPr>
            <w:tcW w:w="2693" w:type="dxa"/>
          </w:tcPr>
          <w:p w14:paraId="62849E85" w14:textId="77777777" w:rsidR="00171AA8" w:rsidRPr="00731FE2" w:rsidRDefault="00171AA8">
            <w:pPr>
              <w:pStyle w:val="24"/>
              <w:rPr>
                <w:rFonts w:ascii="Times New Roman" w:hAnsi="Times New Roman" w:cs="Times New Roman"/>
                <w:sz w:val="18"/>
                <w:szCs w:val="18"/>
              </w:rPr>
            </w:pPr>
          </w:p>
        </w:tc>
        <w:tc>
          <w:tcPr>
            <w:tcW w:w="3118" w:type="dxa"/>
          </w:tcPr>
          <w:p w14:paraId="14C24ED4" w14:textId="77777777" w:rsidR="00171AA8" w:rsidRPr="00731FE2" w:rsidRDefault="00171AA8">
            <w:pPr>
              <w:pStyle w:val="24"/>
              <w:rPr>
                <w:rFonts w:ascii="Times New Roman" w:hAnsi="Times New Roman" w:cs="Times New Roman"/>
                <w:sz w:val="18"/>
                <w:szCs w:val="18"/>
              </w:rPr>
            </w:pPr>
          </w:p>
        </w:tc>
        <w:tc>
          <w:tcPr>
            <w:tcW w:w="1288" w:type="dxa"/>
          </w:tcPr>
          <w:p w14:paraId="7D56CDD0" w14:textId="77777777" w:rsidR="00171AA8" w:rsidRPr="00731FE2" w:rsidRDefault="00171AA8">
            <w:pPr>
              <w:pStyle w:val="24"/>
              <w:rPr>
                <w:rFonts w:ascii="Times New Roman" w:hAnsi="Times New Roman" w:cs="Times New Roman"/>
                <w:sz w:val="18"/>
                <w:szCs w:val="18"/>
              </w:rPr>
            </w:pPr>
          </w:p>
        </w:tc>
      </w:tr>
      <w:tr w:rsidR="00171AA8" w:rsidRPr="00731FE2" w14:paraId="353A7F4A" w14:textId="77777777" w:rsidTr="00EE4EC5">
        <w:tc>
          <w:tcPr>
            <w:tcW w:w="567" w:type="dxa"/>
          </w:tcPr>
          <w:p w14:paraId="7AF7FADC"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165FC21C"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Зеленоградский переулок</w:t>
            </w:r>
          </w:p>
        </w:tc>
        <w:tc>
          <w:tcPr>
            <w:tcW w:w="2268" w:type="dxa"/>
          </w:tcPr>
          <w:p w14:paraId="72A66D2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Зеленоградский переулок</w:t>
            </w:r>
          </w:p>
        </w:tc>
        <w:tc>
          <w:tcPr>
            <w:tcW w:w="1843" w:type="dxa"/>
          </w:tcPr>
          <w:p w14:paraId="75B59DB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0,872</w:t>
            </w:r>
          </w:p>
        </w:tc>
        <w:tc>
          <w:tcPr>
            <w:tcW w:w="2693" w:type="dxa"/>
          </w:tcPr>
          <w:p w14:paraId="536FA8A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 ОП МГ А/ЩГ-345</w:t>
            </w:r>
          </w:p>
        </w:tc>
        <w:tc>
          <w:tcPr>
            <w:tcW w:w="3118" w:type="dxa"/>
          </w:tcPr>
          <w:p w14:paraId="7DA6EE2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080B514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4360</w:t>
            </w:r>
          </w:p>
        </w:tc>
      </w:tr>
      <w:tr w:rsidR="00171AA8" w:rsidRPr="00731FE2" w14:paraId="45B6F333" w14:textId="77777777" w:rsidTr="00EE4EC5">
        <w:tc>
          <w:tcPr>
            <w:tcW w:w="567" w:type="dxa"/>
          </w:tcPr>
          <w:p w14:paraId="203219F1"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3D1A0725"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Трудовая</w:t>
            </w:r>
          </w:p>
        </w:tc>
        <w:tc>
          <w:tcPr>
            <w:tcW w:w="2268" w:type="dxa"/>
          </w:tcPr>
          <w:p w14:paraId="2A90F30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Трудовая</w:t>
            </w:r>
          </w:p>
        </w:tc>
        <w:tc>
          <w:tcPr>
            <w:tcW w:w="1843" w:type="dxa"/>
          </w:tcPr>
          <w:p w14:paraId="15C9270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2,676</w:t>
            </w:r>
          </w:p>
        </w:tc>
        <w:tc>
          <w:tcPr>
            <w:tcW w:w="2693" w:type="dxa"/>
          </w:tcPr>
          <w:p w14:paraId="60EBAB5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 ОП МГ А/ЩГ-346</w:t>
            </w:r>
          </w:p>
        </w:tc>
        <w:tc>
          <w:tcPr>
            <w:tcW w:w="3118" w:type="dxa"/>
          </w:tcPr>
          <w:p w14:paraId="4C19C48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1394922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13380</w:t>
            </w:r>
          </w:p>
        </w:tc>
      </w:tr>
      <w:tr w:rsidR="00171AA8" w:rsidRPr="00731FE2" w14:paraId="5B65FF80" w14:textId="77777777" w:rsidTr="00EE4EC5">
        <w:tc>
          <w:tcPr>
            <w:tcW w:w="567" w:type="dxa"/>
          </w:tcPr>
          <w:p w14:paraId="169CC4FF"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173E1978"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Трудовой переулок</w:t>
            </w:r>
          </w:p>
        </w:tc>
        <w:tc>
          <w:tcPr>
            <w:tcW w:w="2268" w:type="dxa"/>
          </w:tcPr>
          <w:p w14:paraId="4463D83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Трудовой переулок</w:t>
            </w:r>
          </w:p>
        </w:tc>
        <w:tc>
          <w:tcPr>
            <w:tcW w:w="1843" w:type="dxa"/>
          </w:tcPr>
          <w:p w14:paraId="456AF56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0,607</w:t>
            </w:r>
          </w:p>
        </w:tc>
        <w:tc>
          <w:tcPr>
            <w:tcW w:w="2693" w:type="dxa"/>
          </w:tcPr>
          <w:p w14:paraId="33560D9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 ОП МГ А/ЩГ-347</w:t>
            </w:r>
          </w:p>
        </w:tc>
        <w:tc>
          <w:tcPr>
            <w:tcW w:w="3118" w:type="dxa"/>
          </w:tcPr>
          <w:p w14:paraId="0754668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4BECEDA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2428</w:t>
            </w:r>
          </w:p>
        </w:tc>
      </w:tr>
      <w:tr w:rsidR="00171AA8" w:rsidRPr="00731FE2" w14:paraId="4398DBCE" w14:textId="77777777" w:rsidTr="00EE4EC5">
        <w:tc>
          <w:tcPr>
            <w:tcW w:w="567" w:type="dxa"/>
          </w:tcPr>
          <w:p w14:paraId="7307B78D"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0A198533"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Зеленогорская</w:t>
            </w:r>
          </w:p>
        </w:tc>
        <w:tc>
          <w:tcPr>
            <w:tcW w:w="2268" w:type="dxa"/>
          </w:tcPr>
          <w:p w14:paraId="1017BB7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Зеленогорская</w:t>
            </w:r>
          </w:p>
        </w:tc>
        <w:tc>
          <w:tcPr>
            <w:tcW w:w="1843" w:type="dxa"/>
          </w:tcPr>
          <w:p w14:paraId="797E7D3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1,676</w:t>
            </w:r>
          </w:p>
        </w:tc>
        <w:tc>
          <w:tcPr>
            <w:tcW w:w="2693" w:type="dxa"/>
          </w:tcPr>
          <w:p w14:paraId="0496BCC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 ОП МГ А/ЩГ-348</w:t>
            </w:r>
          </w:p>
        </w:tc>
        <w:tc>
          <w:tcPr>
            <w:tcW w:w="3118" w:type="dxa"/>
          </w:tcPr>
          <w:p w14:paraId="25D4629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основной</w:t>
            </w:r>
          </w:p>
        </w:tc>
        <w:tc>
          <w:tcPr>
            <w:tcW w:w="1288" w:type="dxa"/>
          </w:tcPr>
          <w:p w14:paraId="5FD6842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8380</w:t>
            </w:r>
          </w:p>
        </w:tc>
      </w:tr>
      <w:tr w:rsidR="00171AA8" w:rsidRPr="00731FE2" w14:paraId="065E3E66" w14:textId="77777777" w:rsidTr="00EE4EC5">
        <w:tc>
          <w:tcPr>
            <w:tcW w:w="567" w:type="dxa"/>
          </w:tcPr>
          <w:p w14:paraId="5A354F8B"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4A395BF1"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2 переулок Зеленогорский</w:t>
            </w:r>
          </w:p>
        </w:tc>
        <w:tc>
          <w:tcPr>
            <w:tcW w:w="2268" w:type="dxa"/>
          </w:tcPr>
          <w:p w14:paraId="1588FB3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2 переулок Зеленогорский</w:t>
            </w:r>
          </w:p>
        </w:tc>
        <w:tc>
          <w:tcPr>
            <w:tcW w:w="1843" w:type="dxa"/>
          </w:tcPr>
          <w:p w14:paraId="431AAF4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1,203</w:t>
            </w:r>
          </w:p>
        </w:tc>
        <w:tc>
          <w:tcPr>
            <w:tcW w:w="2693" w:type="dxa"/>
          </w:tcPr>
          <w:p w14:paraId="71C2C3A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 ОП МГ ЩГ-349</w:t>
            </w:r>
          </w:p>
        </w:tc>
        <w:tc>
          <w:tcPr>
            <w:tcW w:w="3118" w:type="dxa"/>
          </w:tcPr>
          <w:p w14:paraId="57D9CD5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59A7686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4210,5</w:t>
            </w:r>
          </w:p>
        </w:tc>
      </w:tr>
      <w:tr w:rsidR="00171AA8" w:rsidRPr="00731FE2" w14:paraId="7420CBC6" w14:textId="77777777" w:rsidTr="00EE4EC5">
        <w:tc>
          <w:tcPr>
            <w:tcW w:w="567" w:type="dxa"/>
          </w:tcPr>
          <w:p w14:paraId="688C7AE3" w14:textId="77777777" w:rsidR="00171AA8" w:rsidRPr="00731FE2" w:rsidRDefault="00171AA8" w:rsidP="007832E7">
            <w:pPr>
              <w:pStyle w:val="a3"/>
              <w:numPr>
                <w:ilvl w:val="0"/>
                <w:numId w:val="124"/>
              </w:numPr>
              <w:jc w:val="left"/>
              <w:rPr>
                <w:rStyle w:val="af6"/>
                <w:color w:val="auto"/>
                <w:sz w:val="16"/>
                <w:szCs w:val="16"/>
                <w:u w:val="none"/>
              </w:rPr>
            </w:pPr>
          </w:p>
        </w:tc>
        <w:tc>
          <w:tcPr>
            <w:tcW w:w="2839" w:type="dxa"/>
          </w:tcPr>
          <w:p w14:paraId="70533A44" w14:textId="77777777" w:rsidR="00171AA8" w:rsidRPr="00731FE2" w:rsidRDefault="007935AB">
            <w:pPr>
              <w:pBdr>
                <w:top w:val="none" w:sz="4" w:space="0" w:color="000000"/>
                <w:left w:val="none" w:sz="4" w:space="0" w:color="000000"/>
                <w:bottom w:val="none" w:sz="4" w:space="0" w:color="000000"/>
                <w:right w:val="none" w:sz="4" w:space="0" w:color="000000"/>
              </w:pBdr>
              <w:ind w:firstLine="0"/>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 переулок Зеленогорский</w:t>
            </w:r>
          </w:p>
        </w:tc>
        <w:tc>
          <w:tcPr>
            <w:tcW w:w="2268" w:type="dxa"/>
          </w:tcPr>
          <w:p w14:paraId="43EF40C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1 переулок Зеленогорский</w:t>
            </w:r>
          </w:p>
        </w:tc>
        <w:tc>
          <w:tcPr>
            <w:tcW w:w="1843" w:type="dxa"/>
          </w:tcPr>
          <w:p w14:paraId="4C9613A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0,627</w:t>
            </w:r>
          </w:p>
        </w:tc>
        <w:tc>
          <w:tcPr>
            <w:tcW w:w="2693" w:type="dxa"/>
          </w:tcPr>
          <w:p w14:paraId="347CA7F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07-415 ОП МГ ЩГ-350</w:t>
            </w:r>
          </w:p>
        </w:tc>
        <w:tc>
          <w:tcPr>
            <w:tcW w:w="3118" w:type="dxa"/>
          </w:tcPr>
          <w:p w14:paraId="2D446E5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V, проезд второстепенный</w:t>
            </w:r>
          </w:p>
        </w:tc>
        <w:tc>
          <w:tcPr>
            <w:tcW w:w="1288" w:type="dxa"/>
          </w:tcPr>
          <w:p w14:paraId="354A07F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Fonts w:ascii="Times New Roman" w:eastAsia="Times New Roman" w:hAnsi="Times New Roman" w:cs="Times New Roman"/>
                <w:color w:val="000000"/>
                <w:sz w:val="18"/>
                <w:szCs w:val="18"/>
              </w:rPr>
              <w:t>2194,5</w:t>
            </w:r>
          </w:p>
        </w:tc>
      </w:tr>
    </w:tbl>
    <w:p w14:paraId="29364F7C" w14:textId="77777777" w:rsidR="00171AA8" w:rsidRPr="00731FE2" w:rsidRDefault="00171AA8">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color w:val="000000"/>
          <w:sz w:val="22"/>
        </w:rPr>
      </w:pPr>
    </w:p>
    <w:p w14:paraId="239418E6" w14:textId="77777777" w:rsidR="00171AA8" w:rsidRPr="00731FE2" w:rsidRDefault="007935AB" w:rsidP="007832E7">
      <w:pPr>
        <w:pStyle w:val="a3"/>
        <w:numPr>
          <w:ilvl w:val="0"/>
          <w:numId w:val="47"/>
        </w:numPr>
        <w:ind w:left="0" w:firstLine="0"/>
        <w:jc w:val="center"/>
        <w:rPr>
          <w:rFonts w:ascii="Times New Roman" w:hAnsi="Times New Roman" w:cs="Times New Roman"/>
        </w:rPr>
      </w:pPr>
      <w:r w:rsidRPr="00731FE2">
        <w:rPr>
          <w:rFonts w:ascii="Times New Roman" w:hAnsi="Times New Roman" w:cs="Times New Roman"/>
        </w:rPr>
        <w:br w:type="page" w:clear="all"/>
      </w:r>
    </w:p>
    <w:p w14:paraId="038BE2A9" w14:textId="77777777" w:rsidR="00171AA8" w:rsidRPr="00731FE2" w:rsidRDefault="007935AB" w:rsidP="00717AA7">
      <w:pPr>
        <w:pStyle w:val="13"/>
        <w:spacing w:after="0" w:line="240" w:lineRule="auto"/>
        <w:rPr>
          <w:rFonts w:ascii="Times New Roman" w:hAnsi="Times New Roman" w:cs="Times New Roman"/>
          <w:bCs w:val="0"/>
          <w:color w:val="auto"/>
          <w:sz w:val="24"/>
          <w:szCs w:val="24"/>
          <w:vertAlign w:val="superscript"/>
        </w:rPr>
      </w:pPr>
      <w:bookmarkStart w:id="113" w:name="_Toc177392862"/>
      <w:r w:rsidRPr="00731FE2">
        <w:rPr>
          <w:rStyle w:val="af6"/>
          <w:rFonts w:ascii="Times New Roman" w:hAnsi="Times New Roman" w:cs="Times New Roman"/>
          <w:bCs w:val="0"/>
          <w:color w:val="auto"/>
          <w:sz w:val="24"/>
          <w:szCs w:val="24"/>
          <w:u w:val="none"/>
        </w:rPr>
        <w:lastRenderedPageBreak/>
        <w:t xml:space="preserve">ПРИЛОЖЕНИЕ 6 – ПЕРЕЧЕНЬ ПАРКОВОК ОБЩЕГО ПОЛЬЗОВАНИЯ НА ТЕРРИТОРИИ ГОРОДСКОГО ОКРУГА «ГОРОД-КУРОРТ </w:t>
      </w:r>
      <w:r w:rsidR="00A72799" w:rsidRPr="00731FE2">
        <w:rPr>
          <w:rStyle w:val="af6"/>
          <w:rFonts w:ascii="Times New Roman" w:hAnsi="Times New Roman" w:cs="Times New Roman"/>
          <w:bCs w:val="0"/>
          <w:color w:val="auto"/>
          <w:sz w:val="24"/>
          <w:szCs w:val="24"/>
          <w:u w:val="none"/>
        </w:rPr>
        <w:t>К</w:t>
      </w:r>
      <w:r w:rsidRPr="00731FE2">
        <w:rPr>
          <w:rStyle w:val="af6"/>
          <w:rFonts w:ascii="Times New Roman" w:hAnsi="Times New Roman" w:cs="Times New Roman"/>
          <w:bCs w:val="0"/>
          <w:color w:val="auto"/>
          <w:sz w:val="24"/>
          <w:szCs w:val="24"/>
          <w:u w:val="none"/>
        </w:rPr>
        <w:t>ИСЛОВОСДК»</w:t>
      </w:r>
      <w:r w:rsidRPr="00731FE2">
        <w:rPr>
          <w:rStyle w:val="afb"/>
          <w:rFonts w:ascii="Times New Roman" w:hAnsi="Times New Roman" w:cs="Times New Roman"/>
          <w:bCs w:val="0"/>
          <w:color w:val="auto"/>
          <w:sz w:val="24"/>
          <w:szCs w:val="24"/>
          <w:vertAlign w:val="superscript"/>
        </w:rPr>
        <w:footnoteReference w:id="125"/>
      </w:r>
      <w:bookmarkEnd w:id="113"/>
    </w:p>
    <w:tbl>
      <w:tblPr>
        <w:tblStyle w:val="afe"/>
        <w:tblW w:w="0" w:type="auto"/>
        <w:tblLayout w:type="fixed"/>
        <w:tblCellMar>
          <w:left w:w="57" w:type="dxa"/>
          <w:right w:w="57" w:type="dxa"/>
        </w:tblCellMar>
        <w:tblLook w:val="04A0" w:firstRow="1" w:lastRow="0" w:firstColumn="1" w:lastColumn="0" w:noHBand="0" w:noVBand="1"/>
      </w:tblPr>
      <w:tblGrid>
        <w:gridCol w:w="425"/>
        <w:gridCol w:w="4252"/>
        <w:gridCol w:w="2267"/>
        <w:gridCol w:w="2693"/>
        <w:gridCol w:w="1559"/>
        <w:gridCol w:w="1984"/>
        <w:gridCol w:w="1389"/>
      </w:tblGrid>
      <w:tr w:rsidR="00171AA8" w:rsidRPr="00731FE2" w14:paraId="1C8ACF78" w14:textId="77777777">
        <w:tc>
          <w:tcPr>
            <w:tcW w:w="425" w:type="dxa"/>
            <w:vAlign w:val="center"/>
          </w:tcPr>
          <w:p w14:paraId="28831C3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b/>
                <w:color w:val="000000"/>
                <w:sz w:val="20"/>
                <w:szCs w:val="20"/>
              </w:rPr>
              <w:t>№</w:t>
            </w:r>
          </w:p>
        </w:tc>
        <w:tc>
          <w:tcPr>
            <w:tcW w:w="4252" w:type="dxa"/>
            <w:vAlign w:val="center"/>
          </w:tcPr>
          <w:p w14:paraId="48DEA4B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b/>
                <w:color w:val="000000"/>
                <w:sz w:val="20"/>
                <w:szCs w:val="20"/>
              </w:rPr>
              <w:t>Местоположение</w:t>
            </w:r>
          </w:p>
        </w:tc>
        <w:tc>
          <w:tcPr>
            <w:tcW w:w="2267" w:type="dxa"/>
            <w:vAlign w:val="center"/>
          </w:tcPr>
          <w:p w14:paraId="206159B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b/>
                <w:color w:val="000000"/>
                <w:sz w:val="20"/>
                <w:szCs w:val="20"/>
              </w:rPr>
              <w:t>Характеристика</w:t>
            </w:r>
          </w:p>
        </w:tc>
        <w:tc>
          <w:tcPr>
            <w:tcW w:w="2693" w:type="dxa"/>
            <w:vAlign w:val="center"/>
          </w:tcPr>
          <w:p w14:paraId="51BCAB6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b/>
                <w:color w:val="000000"/>
                <w:sz w:val="20"/>
                <w:szCs w:val="20"/>
              </w:rPr>
              <w:t>Условия стоянки</w:t>
            </w:r>
          </w:p>
        </w:tc>
        <w:tc>
          <w:tcPr>
            <w:tcW w:w="1559" w:type="dxa"/>
            <w:vAlign w:val="center"/>
          </w:tcPr>
          <w:p w14:paraId="4E07B4E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b/>
                <w:color w:val="000000"/>
                <w:sz w:val="20"/>
                <w:szCs w:val="20"/>
              </w:rPr>
              <w:t>Режим работы</w:t>
            </w:r>
          </w:p>
        </w:tc>
        <w:tc>
          <w:tcPr>
            <w:tcW w:w="1984" w:type="dxa"/>
            <w:vAlign w:val="center"/>
          </w:tcPr>
          <w:p w14:paraId="18B2F34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b/>
                <w:color w:val="000000"/>
                <w:sz w:val="20"/>
                <w:szCs w:val="20"/>
              </w:rPr>
              <w:t>Назначение</w:t>
            </w:r>
          </w:p>
        </w:tc>
        <w:tc>
          <w:tcPr>
            <w:tcW w:w="1389" w:type="dxa"/>
            <w:vAlign w:val="center"/>
          </w:tcPr>
          <w:p w14:paraId="242AE47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b/>
                <w:color w:val="000000"/>
                <w:sz w:val="20"/>
                <w:szCs w:val="20"/>
              </w:rPr>
              <w:t>Общая площадь, м</w:t>
            </w:r>
            <w:r w:rsidRPr="00731FE2">
              <w:rPr>
                <w:rFonts w:ascii="Times New Roman" w:eastAsia="Times New Roman" w:hAnsi="Times New Roman" w:cs="Times New Roman"/>
                <w:b/>
                <w:color w:val="000000"/>
                <w:sz w:val="20"/>
                <w:szCs w:val="20"/>
                <w:vertAlign w:val="superscript"/>
              </w:rPr>
              <w:t>2</w:t>
            </w:r>
          </w:p>
        </w:tc>
      </w:tr>
      <w:tr w:rsidR="00171AA8" w:rsidRPr="00731FE2" w14:paraId="39CDC4D0" w14:textId="77777777">
        <w:tc>
          <w:tcPr>
            <w:tcW w:w="425" w:type="dxa"/>
            <w:vAlign w:val="center"/>
          </w:tcPr>
          <w:p w14:paraId="1445F135" w14:textId="77777777" w:rsidR="00171AA8" w:rsidRPr="00731FE2" w:rsidRDefault="007935AB" w:rsidP="007832E7">
            <w:pPr>
              <w:numPr>
                <w:ilvl w:val="0"/>
                <w:numId w:val="48"/>
              </w:numPr>
              <w:pBdr>
                <w:top w:val="none" w:sz="4" w:space="0" w:color="000000"/>
                <w:left w:val="none" w:sz="4" w:space="0" w:color="000000"/>
                <w:bottom w:val="none" w:sz="4" w:space="0" w:color="000000"/>
                <w:right w:val="none" w:sz="4" w:space="0" w:color="000000"/>
              </w:pBdr>
              <w:ind w:left="0"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 </w:t>
            </w:r>
          </w:p>
        </w:tc>
        <w:tc>
          <w:tcPr>
            <w:tcW w:w="4252" w:type="dxa"/>
            <w:vAlign w:val="center"/>
          </w:tcPr>
          <w:p w14:paraId="5A43441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ул. Вокзальная (Привокзальная площадь)</w:t>
            </w:r>
          </w:p>
        </w:tc>
        <w:tc>
          <w:tcPr>
            <w:tcW w:w="2267" w:type="dxa"/>
            <w:vAlign w:val="center"/>
          </w:tcPr>
          <w:p w14:paraId="6197E4E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наземная/закрытая</w:t>
            </w:r>
          </w:p>
        </w:tc>
        <w:tc>
          <w:tcPr>
            <w:tcW w:w="2693" w:type="dxa"/>
            <w:vAlign w:val="center"/>
          </w:tcPr>
          <w:p w14:paraId="1B35FEE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платная/охраняемая</w:t>
            </w:r>
          </w:p>
        </w:tc>
        <w:tc>
          <w:tcPr>
            <w:tcW w:w="1559" w:type="dxa"/>
            <w:vAlign w:val="center"/>
          </w:tcPr>
          <w:p w14:paraId="01810DE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8:00 – 20:00</w:t>
            </w:r>
          </w:p>
        </w:tc>
        <w:tc>
          <w:tcPr>
            <w:tcW w:w="1984" w:type="dxa"/>
            <w:vAlign w:val="center"/>
          </w:tcPr>
          <w:p w14:paraId="4F0042C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легковой/автобусы</w:t>
            </w:r>
          </w:p>
        </w:tc>
        <w:tc>
          <w:tcPr>
            <w:tcW w:w="1389" w:type="dxa"/>
            <w:vAlign w:val="center"/>
          </w:tcPr>
          <w:p w14:paraId="580E5B3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972</w:t>
            </w:r>
          </w:p>
        </w:tc>
      </w:tr>
      <w:tr w:rsidR="00171AA8" w:rsidRPr="00731FE2" w14:paraId="6A3F3B71" w14:textId="77777777">
        <w:tc>
          <w:tcPr>
            <w:tcW w:w="425" w:type="dxa"/>
            <w:vAlign w:val="center"/>
          </w:tcPr>
          <w:p w14:paraId="2604411F" w14:textId="77777777" w:rsidR="00171AA8" w:rsidRPr="00731FE2" w:rsidRDefault="007935AB" w:rsidP="007832E7">
            <w:pPr>
              <w:numPr>
                <w:ilvl w:val="0"/>
                <w:numId w:val="48"/>
              </w:numPr>
              <w:pBdr>
                <w:top w:val="none" w:sz="4" w:space="0" w:color="000000"/>
                <w:left w:val="none" w:sz="4" w:space="0" w:color="000000"/>
                <w:bottom w:val="none" w:sz="4" w:space="0" w:color="000000"/>
                <w:right w:val="none" w:sz="4" w:space="0" w:color="000000"/>
              </w:pBdr>
              <w:ind w:left="0"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 </w:t>
            </w:r>
          </w:p>
        </w:tc>
        <w:tc>
          <w:tcPr>
            <w:tcW w:w="4252" w:type="dxa"/>
            <w:vAlign w:val="center"/>
          </w:tcPr>
          <w:p w14:paraId="0C4308C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ул. Горького 15</w:t>
            </w:r>
          </w:p>
        </w:tc>
        <w:tc>
          <w:tcPr>
            <w:tcW w:w="2267" w:type="dxa"/>
            <w:vAlign w:val="center"/>
          </w:tcPr>
          <w:p w14:paraId="02B4447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наземная/закрытая</w:t>
            </w:r>
          </w:p>
        </w:tc>
        <w:tc>
          <w:tcPr>
            <w:tcW w:w="2693" w:type="dxa"/>
            <w:vAlign w:val="center"/>
          </w:tcPr>
          <w:p w14:paraId="58B4177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платная/охраняемая</w:t>
            </w:r>
          </w:p>
        </w:tc>
        <w:tc>
          <w:tcPr>
            <w:tcW w:w="1559" w:type="dxa"/>
            <w:vAlign w:val="center"/>
          </w:tcPr>
          <w:p w14:paraId="0FF643C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8:00 – 20:00</w:t>
            </w:r>
          </w:p>
        </w:tc>
        <w:tc>
          <w:tcPr>
            <w:tcW w:w="1984" w:type="dxa"/>
            <w:vAlign w:val="center"/>
          </w:tcPr>
          <w:p w14:paraId="7593BFB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легковой</w:t>
            </w:r>
          </w:p>
        </w:tc>
        <w:tc>
          <w:tcPr>
            <w:tcW w:w="1389" w:type="dxa"/>
            <w:vAlign w:val="center"/>
          </w:tcPr>
          <w:p w14:paraId="402F1B8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240</w:t>
            </w:r>
          </w:p>
        </w:tc>
      </w:tr>
      <w:tr w:rsidR="00171AA8" w:rsidRPr="00731FE2" w14:paraId="331A742E" w14:textId="77777777">
        <w:tc>
          <w:tcPr>
            <w:tcW w:w="425" w:type="dxa"/>
            <w:vAlign w:val="center"/>
          </w:tcPr>
          <w:p w14:paraId="16D84980" w14:textId="77777777" w:rsidR="00171AA8" w:rsidRPr="00731FE2" w:rsidRDefault="007935AB" w:rsidP="007832E7">
            <w:pPr>
              <w:numPr>
                <w:ilvl w:val="0"/>
                <w:numId w:val="48"/>
              </w:numPr>
              <w:pBdr>
                <w:top w:val="none" w:sz="4" w:space="0" w:color="000000"/>
                <w:left w:val="none" w:sz="4" w:space="0" w:color="000000"/>
                <w:bottom w:val="none" w:sz="4" w:space="0" w:color="000000"/>
                <w:right w:val="none" w:sz="4" w:space="0" w:color="000000"/>
              </w:pBdr>
              <w:ind w:left="0"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 </w:t>
            </w:r>
          </w:p>
        </w:tc>
        <w:tc>
          <w:tcPr>
            <w:tcW w:w="4252" w:type="dxa"/>
            <w:vAlign w:val="center"/>
          </w:tcPr>
          <w:p w14:paraId="0288791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пр. Победы 159 ТЦ Европейский</w:t>
            </w:r>
          </w:p>
        </w:tc>
        <w:tc>
          <w:tcPr>
            <w:tcW w:w="2267" w:type="dxa"/>
            <w:vAlign w:val="center"/>
          </w:tcPr>
          <w:p w14:paraId="489AF73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наземная/открытая</w:t>
            </w:r>
          </w:p>
        </w:tc>
        <w:tc>
          <w:tcPr>
            <w:tcW w:w="2693" w:type="dxa"/>
            <w:vAlign w:val="center"/>
          </w:tcPr>
          <w:p w14:paraId="7C0A12B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бесплатная/не охраняемая</w:t>
            </w:r>
          </w:p>
        </w:tc>
        <w:tc>
          <w:tcPr>
            <w:tcW w:w="1559" w:type="dxa"/>
            <w:vAlign w:val="center"/>
          </w:tcPr>
          <w:p w14:paraId="297C768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круглосуточно</w:t>
            </w:r>
          </w:p>
        </w:tc>
        <w:tc>
          <w:tcPr>
            <w:tcW w:w="1984" w:type="dxa"/>
            <w:vAlign w:val="center"/>
          </w:tcPr>
          <w:p w14:paraId="26DD067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легковой</w:t>
            </w:r>
          </w:p>
        </w:tc>
        <w:tc>
          <w:tcPr>
            <w:tcW w:w="1389" w:type="dxa"/>
            <w:vAlign w:val="center"/>
          </w:tcPr>
          <w:p w14:paraId="084DFE1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120</w:t>
            </w:r>
          </w:p>
        </w:tc>
      </w:tr>
      <w:tr w:rsidR="00171AA8" w:rsidRPr="00731FE2" w14:paraId="4AC0308E" w14:textId="77777777">
        <w:tc>
          <w:tcPr>
            <w:tcW w:w="425" w:type="dxa"/>
            <w:vAlign w:val="center"/>
          </w:tcPr>
          <w:p w14:paraId="18E7D3CB" w14:textId="77777777" w:rsidR="00171AA8" w:rsidRPr="00731FE2" w:rsidRDefault="007935AB" w:rsidP="007832E7">
            <w:pPr>
              <w:numPr>
                <w:ilvl w:val="0"/>
                <w:numId w:val="48"/>
              </w:numPr>
              <w:pBdr>
                <w:top w:val="none" w:sz="4" w:space="0" w:color="000000"/>
                <w:left w:val="none" w:sz="4" w:space="0" w:color="000000"/>
                <w:bottom w:val="none" w:sz="4" w:space="0" w:color="000000"/>
                <w:right w:val="none" w:sz="4" w:space="0" w:color="000000"/>
              </w:pBdr>
              <w:ind w:left="0"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 </w:t>
            </w:r>
          </w:p>
        </w:tc>
        <w:tc>
          <w:tcPr>
            <w:tcW w:w="4252" w:type="dxa"/>
            <w:vAlign w:val="center"/>
          </w:tcPr>
          <w:p w14:paraId="10B4C66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пр. Победы 124 Б ТЦ Вела</w:t>
            </w:r>
          </w:p>
        </w:tc>
        <w:tc>
          <w:tcPr>
            <w:tcW w:w="2267" w:type="dxa"/>
            <w:vAlign w:val="center"/>
          </w:tcPr>
          <w:p w14:paraId="022B0A2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наземная/открытая</w:t>
            </w:r>
          </w:p>
        </w:tc>
        <w:tc>
          <w:tcPr>
            <w:tcW w:w="2693" w:type="dxa"/>
            <w:vAlign w:val="center"/>
          </w:tcPr>
          <w:p w14:paraId="4830186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бесплатная/не охраняемая</w:t>
            </w:r>
          </w:p>
        </w:tc>
        <w:tc>
          <w:tcPr>
            <w:tcW w:w="1559" w:type="dxa"/>
            <w:vAlign w:val="center"/>
          </w:tcPr>
          <w:p w14:paraId="7825431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круглосуточно</w:t>
            </w:r>
          </w:p>
        </w:tc>
        <w:tc>
          <w:tcPr>
            <w:tcW w:w="1984" w:type="dxa"/>
            <w:vAlign w:val="center"/>
          </w:tcPr>
          <w:p w14:paraId="488CD7F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легковой</w:t>
            </w:r>
          </w:p>
        </w:tc>
        <w:tc>
          <w:tcPr>
            <w:tcW w:w="1389" w:type="dxa"/>
            <w:vAlign w:val="center"/>
          </w:tcPr>
          <w:p w14:paraId="5E4651E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180</w:t>
            </w:r>
          </w:p>
        </w:tc>
      </w:tr>
      <w:tr w:rsidR="00171AA8" w:rsidRPr="00731FE2" w14:paraId="5DB65206" w14:textId="77777777">
        <w:tc>
          <w:tcPr>
            <w:tcW w:w="425" w:type="dxa"/>
            <w:vAlign w:val="center"/>
          </w:tcPr>
          <w:p w14:paraId="4A138F2D" w14:textId="77777777" w:rsidR="00171AA8" w:rsidRPr="00731FE2" w:rsidRDefault="007935AB" w:rsidP="007832E7">
            <w:pPr>
              <w:numPr>
                <w:ilvl w:val="0"/>
                <w:numId w:val="48"/>
              </w:numPr>
              <w:pBdr>
                <w:top w:val="none" w:sz="4" w:space="0" w:color="000000"/>
                <w:left w:val="none" w:sz="4" w:space="0" w:color="000000"/>
                <w:bottom w:val="none" w:sz="4" w:space="0" w:color="000000"/>
                <w:right w:val="none" w:sz="4" w:space="0" w:color="000000"/>
              </w:pBdr>
              <w:ind w:left="0"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 </w:t>
            </w:r>
          </w:p>
        </w:tc>
        <w:tc>
          <w:tcPr>
            <w:tcW w:w="4252" w:type="dxa"/>
            <w:vAlign w:val="center"/>
          </w:tcPr>
          <w:p w14:paraId="6B68982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пр. Победы 151</w:t>
            </w:r>
          </w:p>
        </w:tc>
        <w:tc>
          <w:tcPr>
            <w:tcW w:w="2267" w:type="dxa"/>
            <w:vAlign w:val="center"/>
          </w:tcPr>
          <w:p w14:paraId="26A1CBB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наземная/открытая</w:t>
            </w:r>
          </w:p>
        </w:tc>
        <w:tc>
          <w:tcPr>
            <w:tcW w:w="2693" w:type="dxa"/>
            <w:vAlign w:val="center"/>
          </w:tcPr>
          <w:p w14:paraId="2811D4B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бесплатная/не охраняемая</w:t>
            </w:r>
          </w:p>
        </w:tc>
        <w:tc>
          <w:tcPr>
            <w:tcW w:w="1559" w:type="dxa"/>
            <w:vAlign w:val="center"/>
          </w:tcPr>
          <w:p w14:paraId="4F1A867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круглосуточно</w:t>
            </w:r>
          </w:p>
        </w:tc>
        <w:tc>
          <w:tcPr>
            <w:tcW w:w="1984" w:type="dxa"/>
            <w:vAlign w:val="center"/>
          </w:tcPr>
          <w:p w14:paraId="47A6359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легковой</w:t>
            </w:r>
          </w:p>
        </w:tc>
        <w:tc>
          <w:tcPr>
            <w:tcW w:w="1389" w:type="dxa"/>
            <w:vAlign w:val="center"/>
          </w:tcPr>
          <w:p w14:paraId="4E63977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400</w:t>
            </w:r>
          </w:p>
        </w:tc>
      </w:tr>
      <w:tr w:rsidR="00171AA8" w:rsidRPr="00731FE2" w14:paraId="612958F8" w14:textId="77777777">
        <w:tc>
          <w:tcPr>
            <w:tcW w:w="425" w:type="dxa"/>
            <w:vAlign w:val="center"/>
          </w:tcPr>
          <w:p w14:paraId="367586F3" w14:textId="77777777" w:rsidR="00171AA8" w:rsidRPr="00731FE2" w:rsidRDefault="007935AB" w:rsidP="007832E7">
            <w:pPr>
              <w:numPr>
                <w:ilvl w:val="0"/>
                <w:numId w:val="48"/>
              </w:numPr>
              <w:pBdr>
                <w:top w:val="none" w:sz="4" w:space="0" w:color="000000"/>
                <w:left w:val="none" w:sz="4" w:space="0" w:color="000000"/>
                <w:bottom w:val="none" w:sz="4" w:space="0" w:color="000000"/>
                <w:right w:val="none" w:sz="4" w:space="0" w:color="000000"/>
              </w:pBdr>
              <w:ind w:left="0"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 </w:t>
            </w:r>
          </w:p>
        </w:tc>
        <w:tc>
          <w:tcPr>
            <w:tcW w:w="4252" w:type="dxa"/>
            <w:vAlign w:val="center"/>
          </w:tcPr>
          <w:p w14:paraId="55C6D8C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пр. Победы 94 ТЦ Гранд</w:t>
            </w:r>
          </w:p>
        </w:tc>
        <w:tc>
          <w:tcPr>
            <w:tcW w:w="2267" w:type="dxa"/>
            <w:vAlign w:val="center"/>
          </w:tcPr>
          <w:p w14:paraId="4877A64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наземная/открытая</w:t>
            </w:r>
          </w:p>
        </w:tc>
        <w:tc>
          <w:tcPr>
            <w:tcW w:w="2693" w:type="dxa"/>
            <w:vAlign w:val="center"/>
          </w:tcPr>
          <w:p w14:paraId="3132FD6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бесплатная/не охраняемая</w:t>
            </w:r>
          </w:p>
        </w:tc>
        <w:tc>
          <w:tcPr>
            <w:tcW w:w="1559" w:type="dxa"/>
            <w:vAlign w:val="center"/>
          </w:tcPr>
          <w:p w14:paraId="0C2F81A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круглосуточно</w:t>
            </w:r>
          </w:p>
        </w:tc>
        <w:tc>
          <w:tcPr>
            <w:tcW w:w="1984" w:type="dxa"/>
            <w:vAlign w:val="center"/>
          </w:tcPr>
          <w:p w14:paraId="158DB07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легковой</w:t>
            </w:r>
          </w:p>
        </w:tc>
        <w:tc>
          <w:tcPr>
            <w:tcW w:w="1389" w:type="dxa"/>
            <w:vAlign w:val="center"/>
          </w:tcPr>
          <w:p w14:paraId="77B7CC6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360</w:t>
            </w:r>
          </w:p>
        </w:tc>
      </w:tr>
      <w:tr w:rsidR="00171AA8" w:rsidRPr="00731FE2" w14:paraId="580758D4" w14:textId="77777777">
        <w:tc>
          <w:tcPr>
            <w:tcW w:w="425" w:type="dxa"/>
            <w:vAlign w:val="center"/>
          </w:tcPr>
          <w:p w14:paraId="0A46FBF0" w14:textId="77777777" w:rsidR="00171AA8" w:rsidRPr="00731FE2" w:rsidRDefault="007935AB" w:rsidP="007832E7">
            <w:pPr>
              <w:numPr>
                <w:ilvl w:val="0"/>
                <w:numId w:val="48"/>
              </w:numPr>
              <w:pBdr>
                <w:top w:val="none" w:sz="4" w:space="0" w:color="000000"/>
                <w:left w:val="none" w:sz="4" w:space="0" w:color="000000"/>
                <w:bottom w:val="none" w:sz="4" w:space="0" w:color="000000"/>
                <w:right w:val="none" w:sz="4" w:space="0" w:color="000000"/>
              </w:pBdr>
              <w:ind w:left="0"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 </w:t>
            </w:r>
          </w:p>
        </w:tc>
        <w:tc>
          <w:tcPr>
            <w:tcW w:w="4252" w:type="dxa"/>
            <w:vAlign w:val="center"/>
          </w:tcPr>
          <w:p w14:paraId="603BD17F" w14:textId="77777777" w:rsidR="00171AA8" w:rsidRPr="00731FE2" w:rsidRDefault="00EE4EC5">
            <w:pPr>
              <w:pBdr>
                <w:top w:val="none" w:sz="4" w:space="0" w:color="000000"/>
                <w:left w:val="none" w:sz="4" w:space="0" w:color="000000"/>
                <w:bottom w:val="none" w:sz="4" w:space="0" w:color="000000"/>
                <w:right w:val="none" w:sz="4" w:space="0" w:color="000000"/>
              </w:pBdr>
              <w:ind w:firstLine="0"/>
              <w:jc w:val="left"/>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 xml:space="preserve">пр. Победы </w:t>
            </w:r>
            <w:r w:rsidR="007935AB" w:rsidRPr="00731FE2">
              <w:rPr>
                <w:rFonts w:ascii="Times New Roman" w:eastAsia="Times New Roman" w:hAnsi="Times New Roman" w:cs="Times New Roman"/>
                <w:color w:val="000000"/>
                <w:sz w:val="20"/>
                <w:szCs w:val="20"/>
              </w:rPr>
              <w:t>155</w:t>
            </w:r>
          </w:p>
        </w:tc>
        <w:tc>
          <w:tcPr>
            <w:tcW w:w="2267" w:type="dxa"/>
            <w:vAlign w:val="center"/>
          </w:tcPr>
          <w:p w14:paraId="71E0CE8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наземная/открытая</w:t>
            </w:r>
          </w:p>
        </w:tc>
        <w:tc>
          <w:tcPr>
            <w:tcW w:w="2693" w:type="dxa"/>
            <w:vAlign w:val="center"/>
          </w:tcPr>
          <w:p w14:paraId="585FDF4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бесплатная/не охраняемая</w:t>
            </w:r>
          </w:p>
        </w:tc>
        <w:tc>
          <w:tcPr>
            <w:tcW w:w="1559" w:type="dxa"/>
            <w:vAlign w:val="center"/>
          </w:tcPr>
          <w:p w14:paraId="710525D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круглосуточно</w:t>
            </w:r>
          </w:p>
        </w:tc>
        <w:tc>
          <w:tcPr>
            <w:tcW w:w="1984" w:type="dxa"/>
            <w:vAlign w:val="center"/>
          </w:tcPr>
          <w:p w14:paraId="6D88B54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легковой</w:t>
            </w:r>
          </w:p>
        </w:tc>
        <w:tc>
          <w:tcPr>
            <w:tcW w:w="1389" w:type="dxa"/>
            <w:vAlign w:val="center"/>
          </w:tcPr>
          <w:p w14:paraId="309ED2B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560</w:t>
            </w:r>
          </w:p>
        </w:tc>
      </w:tr>
      <w:tr w:rsidR="00171AA8" w:rsidRPr="00731FE2" w14:paraId="1CD12331" w14:textId="77777777">
        <w:trPr>
          <w:trHeight w:val="253"/>
        </w:trPr>
        <w:tc>
          <w:tcPr>
            <w:tcW w:w="425" w:type="dxa"/>
            <w:vMerge w:val="restart"/>
            <w:vAlign w:val="center"/>
          </w:tcPr>
          <w:p w14:paraId="2CE79163" w14:textId="77777777" w:rsidR="00171AA8" w:rsidRPr="00731FE2" w:rsidRDefault="007935AB" w:rsidP="007832E7">
            <w:pPr>
              <w:numPr>
                <w:ilvl w:val="0"/>
                <w:numId w:val="48"/>
              </w:numPr>
              <w:pBdr>
                <w:top w:val="none" w:sz="4" w:space="0" w:color="000000"/>
                <w:left w:val="none" w:sz="4" w:space="0" w:color="000000"/>
                <w:bottom w:val="none" w:sz="4" w:space="0" w:color="000000"/>
                <w:right w:val="none" w:sz="4" w:space="0" w:color="000000"/>
              </w:pBdr>
              <w:ind w:left="0"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 </w:t>
            </w:r>
          </w:p>
        </w:tc>
        <w:tc>
          <w:tcPr>
            <w:tcW w:w="4252" w:type="dxa"/>
            <w:vMerge w:val="restart"/>
            <w:vAlign w:val="center"/>
          </w:tcPr>
          <w:p w14:paraId="4AC14AA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пр. Победы 37 Музыкальная школа</w:t>
            </w:r>
          </w:p>
        </w:tc>
        <w:tc>
          <w:tcPr>
            <w:tcW w:w="2267" w:type="dxa"/>
            <w:vMerge w:val="restart"/>
            <w:vAlign w:val="center"/>
          </w:tcPr>
          <w:p w14:paraId="745A7BC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наземная/открытая</w:t>
            </w:r>
          </w:p>
        </w:tc>
        <w:tc>
          <w:tcPr>
            <w:tcW w:w="2693" w:type="dxa"/>
            <w:vMerge w:val="restart"/>
            <w:vAlign w:val="center"/>
          </w:tcPr>
          <w:p w14:paraId="4E4C671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бесплатная/не охраняемая</w:t>
            </w:r>
          </w:p>
        </w:tc>
        <w:tc>
          <w:tcPr>
            <w:tcW w:w="1559" w:type="dxa"/>
            <w:vMerge w:val="restart"/>
            <w:vAlign w:val="center"/>
          </w:tcPr>
          <w:p w14:paraId="641B2AA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круглосуточно</w:t>
            </w:r>
          </w:p>
        </w:tc>
        <w:tc>
          <w:tcPr>
            <w:tcW w:w="1984" w:type="dxa"/>
            <w:vMerge w:val="restart"/>
            <w:vAlign w:val="center"/>
          </w:tcPr>
          <w:p w14:paraId="013F3D7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легковой</w:t>
            </w:r>
          </w:p>
        </w:tc>
        <w:tc>
          <w:tcPr>
            <w:tcW w:w="1389" w:type="dxa"/>
            <w:vMerge w:val="restart"/>
            <w:vAlign w:val="center"/>
          </w:tcPr>
          <w:p w14:paraId="7225523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160</w:t>
            </w:r>
          </w:p>
        </w:tc>
      </w:tr>
      <w:tr w:rsidR="00171AA8" w:rsidRPr="00731FE2" w14:paraId="3727028A" w14:textId="77777777">
        <w:trPr>
          <w:trHeight w:val="253"/>
        </w:trPr>
        <w:tc>
          <w:tcPr>
            <w:tcW w:w="425" w:type="dxa"/>
            <w:vMerge w:val="restart"/>
            <w:vAlign w:val="center"/>
          </w:tcPr>
          <w:p w14:paraId="1E3FC7D3" w14:textId="77777777" w:rsidR="00171AA8" w:rsidRPr="00731FE2" w:rsidRDefault="007935AB" w:rsidP="007832E7">
            <w:pPr>
              <w:numPr>
                <w:ilvl w:val="0"/>
                <w:numId w:val="48"/>
              </w:numPr>
              <w:pBdr>
                <w:top w:val="none" w:sz="4" w:space="0" w:color="000000"/>
                <w:left w:val="none" w:sz="4" w:space="0" w:color="000000"/>
                <w:bottom w:val="none" w:sz="4" w:space="0" w:color="000000"/>
                <w:right w:val="none" w:sz="4" w:space="0" w:color="000000"/>
              </w:pBdr>
              <w:ind w:left="0"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 </w:t>
            </w:r>
          </w:p>
        </w:tc>
        <w:tc>
          <w:tcPr>
            <w:tcW w:w="4252" w:type="dxa"/>
            <w:vMerge w:val="restart"/>
            <w:vAlign w:val="center"/>
          </w:tcPr>
          <w:p w14:paraId="0FE1A5E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пр. Победы 12</w:t>
            </w:r>
          </w:p>
        </w:tc>
        <w:tc>
          <w:tcPr>
            <w:tcW w:w="2267" w:type="dxa"/>
            <w:vMerge w:val="restart"/>
            <w:vAlign w:val="center"/>
          </w:tcPr>
          <w:p w14:paraId="5EA61D8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наземная/открытая</w:t>
            </w:r>
          </w:p>
        </w:tc>
        <w:tc>
          <w:tcPr>
            <w:tcW w:w="2693" w:type="dxa"/>
            <w:vMerge w:val="restart"/>
            <w:vAlign w:val="center"/>
          </w:tcPr>
          <w:p w14:paraId="25C7ADF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бесплатная/не охраняемая</w:t>
            </w:r>
          </w:p>
        </w:tc>
        <w:tc>
          <w:tcPr>
            <w:tcW w:w="1559" w:type="dxa"/>
            <w:vMerge w:val="restart"/>
            <w:vAlign w:val="center"/>
          </w:tcPr>
          <w:p w14:paraId="786ABCF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круглосуточно</w:t>
            </w:r>
          </w:p>
        </w:tc>
        <w:tc>
          <w:tcPr>
            <w:tcW w:w="1984" w:type="dxa"/>
            <w:vMerge w:val="restart"/>
            <w:vAlign w:val="center"/>
          </w:tcPr>
          <w:p w14:paraId="31E04BD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легковой</w:t>
            </w:r>
          </w:p>
        </w:tc>
        <w:tc>
          <w:tcPr>
            <w:tcW w:w="1389" w:type="dxa"/>
            <w:vMerge w:val="restart"/>
            <w:vAlign w:val="center"/>
          </w:tcPr>
          <w:p w14:paraId="04C93C9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260</w:t>
            </w:r>
          </w:p>
        </w:tc>
      </w:tr>
      <w:tr w:rsidR="00171AA8" w:rsidRPr="00731FE2" w14:paraId="2063D187" w14:textId="77777777">
        <w:trPr>
          <w:trHeight w:val="253"/>
        </w:trPr>
        <w:tc>
          <w:tcPr>
            <w:tcW w:w="425" w:type="dxa"/>
            <w:vMerge w:val="restart"/>
            <w:vAlign w:val="center"/>
          </w:tcPr>
          <w:p w14:paraId="6E99481D" w14:textId="77777777" w:rsidR="00171AA8" w:rsidRPr="00731FE2" w:rsidRDefault="007935AB" w:rsidP="007832E7">
            <w:pPr>
              <w:numPr>
                <w:ilvl w:val="0"/>
                <w:numId w:val="48"/>
              </w:numPr>
              <w:pBdr>
                <w:top w:val="none" w:sz="4" w:space="0" w:color="000000"/>
                <w:left w:val="none" w:sz="4" w:space="0" w:color="000000"/>
                <w:bottom w:val="none" w:sz="4" w:space="0" w:color="000000"/>
                <w:right w:val="none" w:sz="4" w:space="0" w:color="000000"/>
              </w:pBdr>
              <w:ind w:left="0"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 </w:t>
            </w:r>
          </w:p>
        </w:tc>
        <w:tc>
          <w:tcPr>
            <w:tcW w:w="4252" w:type="dxa"/>
            <w:vMerge w:val="restart"/>
            <w:vAlign w:val="center"/>
          </w:tcPr>
          <w:p w14:paraId="0970748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пр. Победы 6 ТЦ Ситицентр</w:t>
            </w:r>
          </w:p>
        </w:tc>
        <w:tc>
          <w:tcPr>
            <w:tcW w:w="2267" w:type="dxa"/>
            <w:vMerge w:val="restart"/>
            <w:vAlign w:val="center"/>
          </w:tcPr>
          <w:p w14:paraId="3A33196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наземная/открытая</w:t>
            </w:r>
          </w:p>
        </w:tc>
        <w:tc>
          <w:tcPr>
            <w:tcW w:w="2693" w:type="dxa"/>
            <w:vMerge w:val="restart"/>
            <w:vAlign w:val="center"/>
          </w:tcPr>
          <w:p w14:paraId="5562BE1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бесплатная/не охраняемая</w:t>
            </w:r>
          </w:p>
        </w:tc>
        <w:tc>
          <w:tcPr>
            <w:tcW w:w="1559" w:type="dxa"/>
            <w:vMerge w:val="restart"/>
            <w:vAlign w:val="center"/>
          </w:tcPr>
          <w:p w14:paraId="4823563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08:00 – 22:00</w:t>
            </w:r>
          </w:p>
        </w:tc>
        <w:tc>
          <w:tcPr>
            <w:tcW w:w="1984" w:type="dxa"/>
            <w:vMerge w:val="restart"/>
            <w:vAlign w:val="center"/>
          </w:tcPr>
          <w:p w14:paraId="0EB052D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легковой</w:t>
            </w:r>
          </w:p>
        </w:tc>
        <w:tc>
          <w:tcPr>
            <w:tcW w:w="1389" w:type="dxa"/>
            <w:vMerge w:val="restart"/>
            <w:vAlign w:val="center"/>
          </w:tcPr>
          <w:p w14:paraId="1D67563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1000</w:t>
            </w:r>
          </w:p>
        </w:tc>
      </w:tr>
      <w:tr w:rsidR="00171AA8" w:rsidRPr="00731FE2" w14:paraId="09FA1949" w14:textId="77777777">
        <w:trPr>
          <w:trHeight w:val="253"/>
        </w:trPr>
        <w:tc>
          <w:tcPr>
            <w:tcW w:w="425" w:type="dxa"/>
            <w:vMerge w:val="restart"/>
            <w:vAlign w:val="center"/>
          </w:tcPr>
          <w:p w14:paraId="3069F572" w14:textId="77777777" w:rsidR="00171AA8" w:rsidRPr="00731FE2" w:rsidRDefault="007935AB" w:rsidP="007832E7">
            <w:pPr>
              <w:numPr>
                <w:ilvl w:val="0"/>
                <w:numId w:val="48"/>
              </w:numPr>
              <w:pBdr>
                <w:top w:val="none" w:sz="4" w:space="0" w:color="000000"/>
                <w:left w:val="none" w:sz="4" w:space="0" w:color="000000"/>
                <w:bottom w:val="none" w:sz="4" w:space="0" w:color="000000"/>
                <w:right w:val="none" w:sz="4" w:space="0" w:color="000000"/>
              </w:pBdr>
              <w:ind w:left="0"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 </w:t>
            </w:r>
          </w:p>
        </w:tc>
        <w:tc>
          <w:tcPr>
            <w:tcW w:w="4252" w:type="dxa"/>
            <w:vMerge w:val="restart"/>
            <w:vAlign w:val="center"/>
          </w:tcPr>
          <w:p w14:paraId="6BF9E23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пр. Победы 4Г</w:t>
            </w:r>
          </w:p>
        </w:tc>
        <w:tc>
          <w:tcPr>
            <w:tcW w:w="2267" w:type="dxa"/>
            <w:vMerge w:val="restart"/>
            <w:vAlign w:val="center"/>
          </w:tcPr>
          <w:p w14:paraId="6C69377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наземная/открытая</w:t>
            </w:r>
          </w:p>
        </w:tc>
        <w:tc>
          <w:tcPr>
            <w:tcW w:w="2693" w:type="dxa"/>
            <w:vMerge w:val="restart"/>
            <w:vAlign w:val="center"/>
          </w:tcPr>
          <w:p w14:paraId="1B81D36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платная/не охраняемая</w:t>
            </w:r>
          </w:p>
        </w:tc>
        <w:tc>
          <w:tcPr>
            <w:tcW w:w="1559" w:type="dxa"/>
            <w:vMerge w:val="restart"/>
            <w:vAlign w:val="center"/>
          </w:tcPr>
          <w:p w14:paraId="5E98FEE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круглосуточно</w:t>
            </w:r>
          </w:p>
        </w:tc>
        <w:tc>
          <w:tcPr>
            <w:tcW w:w="1984" w:type="dxa"/>
            <w:vMerge w:val="restart"/>
            <w:vAlign w:val="center"/>
          </w:tcPr>
          <w:p w14:paraId="2E77928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легковой</w:t>
            </w:r>
          </w:p>
        </w:tc>
        <w:tc>
          <w:tcPr>
            <w:tcW w:w="1389" w:type="dxa"/>
            <w:vMerge w:val="restart"/>
            <w:vAlign w:val="center"/>
          </w:tcPr>
          <w:p w14:paraId="3C3CF7C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240</w:t>
            </w:r>
          </w:p>
        </w:tc>
      </w:tr>
      <w:tr w:rsidR="00171AA8" w:rsidRPr="00731FE2" w14:paraId="1353A8DE" w14:textId="77777777">
        <w:trPr>
          <w:trHeight w:val="253"/>
        </w:trPr>
        <w:tc>
          <w:tcPr>
            <w:tcW w:w="425" w:type="dxa"/>
            <w:vMerge w:val="restart"/>
            <w:vAlign w:val="center"/>
          </w:tcPr>
          <w:p w14:paraId="5AA8BB64" w14:textId="77777777" w:rsidR="00171AA8" w:rsidRPr="00731FE2" w:rsidRDefault="007935AB" w:rsidP="007832E7">
            <w:pPr>
              <w:numPr>
                <w:ilvl w:val="0"/>
                <w:numId w:val="48"/>
              </w:numPr>
              <w:pBdr>
                <w:top w:val="none" w:sz="4" w:space="0" w:color="000000"/>
                <w:left w:val="none" w:sz="4" w:space="0" w:color="000000"/>
                <w:bottom w:val="none" w:sz="4" w:space="0" w:color="000000"/>
                <w:right w:val="none" w:sz="4" w:space="0" w:color="000000"/>
              </w:pBdr>
              <w:ind w:left="0"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 </w:t>
            </w:r>
          </w:p>
        </w:tc>
        <w:tc>
          <w:tcPr>
            <w:tcW w:w="4252" w:type="dxa"/>
            <w:vMerge w:val="restart"/>
            <w:vAlign w:val="center"/>
          </w:tcPr>
          <w:p w14:paraId="1629DC2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пр. Победы 4Б</w:t>
            </w:r>
          </w:p>
        </w:tc>
        <w:tc>
          <w:tcPr>
            <w:tcW w:w="2267" w:type="dxa"/>
            <w:vMerge w:val="restart"/>
            <w:vAlign w:val="center"/>
          </w:tcPr>
          <w:p w14:paraId="5EF04C9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наземная/открытая</w:t>
            </w:r>
          </w:p>
        </w:tc>
        <w:tc>
          <w:tcPr>
            <w:tcW w:w="2693" w:type="dxa"/>
            <w:vMerge w:val="restart"/>
            <w:vAlign w:val="center"/>
          </w:tcPr>
          <w:p w14:paraId="43B7171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бесплатная/не охраняемая</w:t>
            </w:r>
          </w:p>
        </w:tc>
        <w:tc>
          <w:tcPr>
            <w:tcW w:w="1559" w:type="dxa"/>
            <w:vMerge w:val="restart"/>
            <w:vAlign w:val="center"/>
          </w:tcPr>
          <w:p w14:paraId="61FCDBB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круглосуточно</w:t>
            </w:r>
          </w:p>
        </w:tc>
        <w:tc>
          <w:tcPr>
            <w:tcW w:w="1984" w:type="dxa"/>
            <w:vMerge w:val="restart"/>
            <w:vAlign w:val="center"/>
          </w:tcPr>
          <w:p w14:paraId="3C84DA1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легковой</w:t>
            </w:r>
          </w:p>
        </w:tc>
        <w:tc>
          <w:tcPr>
            <w:tcW w:w="1389" w:type="dxa"/>
            <w:vMerge w:val="restart"/>
            <w:vAlign w:val="center"/>
          </w:tcPr>
          <w:p w14:paraId="4FAF4E1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240</w:t>
            </w:r>
          </w:p>
        </w:tc>
      </w:tr>
      <w:tr w:rsidR="00171AA8" w:rsidRPr="00731FE2" w14:paraId="7E7243C3" w14:textId="77777777">
        <w:trPr>
          <w:trHeight w:val="253"/>
        </w:trPr>
        <w:tc>
          <w:tcPr>
            <w:tcW w:w="425" w:type="dxa"/>
            <w:vMerge w:val="restart"/>
            <w:vAlign w:val="center"/>
          </w:tcPr>
          <w:p w14:paraId="0B81FE54" w14:textId="77777777" w:rsidR="00171AA8" w:rsidRPr="00731FE2" w:rsidRDefault="007935AB" w:rsidP="007832E7">
            <w:pPr>
              <w:numPr>
                <w:ilvl w:val="0"/>
                <w:numId w:val="48"/>
              </w:numPr>
              <w:pBdr>
                <w:top w:val="none" w:sz="4" w:space="0" w:color="000000"/>
                <w:left w:val="none" w:sz="4" w:space="0" w:color="000000"/>
                <w:bottom w:val="none" w:sz="4" w:space="0" w:color="000000"/>
                <w:right w:val="none" w:sz="4" w:space="0" w:color="000000"/>
              </w:pBdr>
              <w:ind w:left="0"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 </w:t>
            </w:r>
          </w:p>
        </w:tc>
        <w:tc>
          <w:tcPr>
            <w:tcW w:w="4252" w:type="dxa"/>
            <w:vMerge w:val="restart"/>
            <w:vAlign w:val="center"/>
          </w:tcPr>
          <w:p w14:paraId="1506A06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пр. Победы 1</w:t>
            </w:r>
          </w:p>
        </w:tc>
        <w:tc>
          <w:tcPr>
            <w:tcW w:w="2267" w:type="dxa"/>
            <w:vMerge w:val="restart"/>
            <w:vAlign w:val="center"/>
          </w:tcPr>
          <w:p w14:paraId="3A4458A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наземная/открытая</w:t>
            </w:r>
          </w:p>
        </w:tc>
        <w:tc>
          <w:tcPr>
            <w:tcW w:w="2693" w:type="dxa"/>
            <w:vMerge w:val="restart"/>
            <w:vAlign w:val="center"/>
          </w:tcPr>
          <w:p w14:paraId="6B08B75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бесплатная/не охраняемая</w:t>
            </w:r>
          </w:p>
        </w:tc>
        <w:tc>
          <w:tcPr>
            <w:tcW w:w="1559" w:type="dxa"/>
            <w:vMerge w:val="restart"/>
            <w:vAlign w:val="center"/>
          </w:tcPr>
          <w:p w14:paraId="486F17F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круглосуточно</w:t>
            </w:r>
          </w:p>
        </w:tc>
        <w:tc>
          <w:tcPr>
            <w:tcW w:w="1984" w:type="dxa"/>
            <w:vMerge w:val="restart"/>
            <w:vAlign w:val="center"/>
          </w:tcPr>
          <w:p w14:paraId="68F74CF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легковой</w:t>
            </w:r>
          </w:p>
        </w:tc>
        <w:tc>
          <w:tcPr>
            <w:tcW w:w="1389" w:type="dxa"/>
            <w:vMerge w:val="restart"/>
            <w:vAlign w:val="center"/>
          </w:tcPr>
          <w:p w14:paraId="724FE78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100</w:t>
            </w:r>
          </w:p>
        </w:tc>
      </w:tr>
      <w:tr w:rsidR="00171AA8" w:rsidRPr="00731FE2" w14:paraId="6C3FCAFF" w14:textId="77777777">
        <w:trPr>
          <w:trHeight w:val="253"/>
        </w:trPr>
        <w:tc>
          <w:tcPr>
            <w:tcW w:w="425" w:type="dxa"/>
            <w:vMerge w:val="restart"/>
            <w:vAlign w:val="center"/>
          </w:tcPr>
          <w:p w14:paraId="009E9DAF" w14:textId="77777777" w:rsidR="00171AA8" w:rsidRPr="00731FE2" w:rsidRDefault="007935AB" w:rsidP="007832E7">
            <w:pPr>
              <w:numPr>
                <w:ilvl w:val="0"/>
                <w:numId w:val="48"/>
              </w:numPr>
              <w:pBdr>
                <w:top w:val="none" w:sz="4" w:space="0" w:color="000000"/>
                <w:left w:val="none" w:sz="4" w:space="0" w:color="000000"/>
                <w:bottom w:val="none" w:sz="4" w:space="0" w:color="000000"/>
                <w:right w:val="none" w:sz="4" w:space="0" w:color="000000"/>
              </w:pBdr>
              <w:ind w:left="0"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 </w:t>
            </w:r>
          </w:p>
        </w:tc>
        <w:tc>
          <w:tcPr>
            <w:tcW w:w="4252" w:type="dxa"/>
            <w:vMerge w:val="restart"/>
            <w:vAlign w:val="center"/>
          </w:tcPr>
          <w:p w14:paraId="6013F03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пр. Победы 2</w:t>
            </w:r>
          </w:p>
        </w:tc>
        <w:tc>
          <w:tcPr>
            <w:tcW w:w="2267" w:type="dxa"/>
            <w:vMerge w:val="restart"/>
            <w:vAlign w:val="center"/>
          </w:tcPr>
          <w:p w14:paraId="77F2EC7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наземная/открытая</w:t>
            </w:r>
          </w:p>
        </w:tc>
        <w:tc>
          <w:tcPr>
            <w:tcW w:w="2693" w:type="dxa"/>
            <w:vMerge w:val="restart"/>
            <w:vAlign w:val="center"/>
          </w:tcPr>
          <w:p w14:paraId="3D671E1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бесплатная/не охраняемая</w:t>
            </w:r>
          </w:p>
        </w:tc>
        <w:tc>
          <w:tcPr>
            <w:tcW w:w="1559" w:type="dxa"/>
            <w:vMerge w:val="restart"/>
            <w:vAlign w:val="center"/>
          </w:tcPr>
          <w:p w14:paraId="37F98E4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круглосуточно</w:t>
            </w:r>
          </w:p>
        </w:tc>
        <w:tc>
          <w:tcPr>
            <w:tcW w:w="1984" w:type="dxa"/>
            <w:vMerge w:val="restart"/>
            <w:vAlign w:val="center"/>
          </w:tcPr>
          <w:p w14:paraId="7BD314C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легковой</w:t>
            </w:r>
          </w:p>
        </w:tc>
        <w:tc>
          <w:tcPr>
            <w:tcW w:w="1389" w:type="dxa"/>
            <w:vMerge w:val="restart"/>
            <w:vAlign w:val="center"/>
          </w:tcPr>
          <w:p w14:paraId="6BD1D75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560</w:t>
            </w:r>
          </w:p>
        </w:tc>
      </w:tr>
      <w:tr w:rsidR="00171AA8" w:rsidRPr="00731FE2" w14:paraId="00C9FB46" w14:textId="77777777">
        <w:trPr>
          <w:trHeight w:val="253"/>
        </w:trPr>
        <w:tc>
          <w:tcPr>
            <w:tcW w:w="425" w:type="dxa"/>
            <w:vMerge w:val="restart"/>
            <w:vAlign w:val="center"/>
          </w:tcPr>
          <w:p w14:paraId="665B8C19" w14:textId="77777777" w:rsidR="00171AA8" w:rsidRPr="00731FE2" w:rsidRDefault="007935AB" w:rsidP="007832E7">
            <w:pPr>
              <w:numPr>
                <w:ilvl w:val="0"/>
                <w:numId w:val="48"/>
              </w:numPr>
              <w:pBdr>
                <w:top w:val="none" w:sz="4" w:space="0" w:color="000000"/>
                <w:left w:val="none" w:sz="4" w:space="0" w:color="000000"/>
                <w:bottom w:val="none" w:sz="4" w:space="0" w:color="000000"/>
                <w:right w:val="none" w:sz="4" w:space="0" w:color="000000"/>
              </w:pBdr>
              <w:ind w:left="0"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 </w:t>
            </w:r>
          </w:p>
        </w:tc>
        <w:tc>
          <w:tcPr>
            <w:tcW w:w="4252" w:type="dxa"/>
            <w:vMerge w:val="restart"/>
            <w:vAlign w:val="center"/>
          </w:tcPr>
          <w:p w14:paraId="611A97D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пр. Первомайский 25А</w:t>
            </w:r>
          </w:p>
        </w:tc>
        <w:tc>
          <w:tcPr>
            <w:tcW w:w="2267" w:type="dxa"/>
            <w:vMerge w:val="restart"/>
            <w:vAlign w:val="center"/>
          </w:tcPr>
          <w:p w14:paraId="543FD72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наземная/открытая</w:t>
            </w:r>
          </w:p>
        </w:tc>
        <w:tc>
          <w:tcPr>
            <w:tcW w:w="2693" w:type="dxa"/>
            <w:vMerge w:val="restart"/>
            <w:vAlign w:val="center"/>
          </w:tcPr>
          <w:p w14:paraId="302D573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бесплатная/не охраняемая</w:t>
            </w:r>
          </w:p>
        </w:tc>
        <w:tc>
          <w:tcPr>
            <w:tcW w:w="1559" w:type="dxa"/>
            <w:vMerge w:val="restart"/>
            <w:vAlign w:val="center"/>
          </w:tcPr>
          <w:p w14:paraId="5677E2B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круглосуточно</w:t>
            </w:r>
          </w:p>
        </w:tc>
        <w:tc>
          <w:tcPr>
            <w:tcW w:w="1984" w:type="dxa"/>
            <w:vMerge w:val="restart"/>
            <w:vAlign w:val="center"/>
          </w:tcPr>
          <w:p w14:paraId="5040C15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легковой</w:t>
            </w:r>
          </w:p>
        </w:tc>
        <w:tc>
          <w:tcPr>
            <w:tcW w:w="1389" w:type="dxa"/>
            <w:vMerge w:val="restart"/>
            <w:vAlign w:val="center"/>
          </w:tcPr>
          <w:p w14:paraId="5F454DE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460</w:t>
            </w:r>
          </w:p>
        </w:tc>
      </w:tr>
      <w:tr w:rsidR="00171AA8" w:rsidRPr="00731FE2" w14:paraId="7A0FD81F" w14:textId="77777777">
        <w:trPr>
          <w:trHeight w:val="253"/>
        </w:trPr>
        <w:tc>
          <w:tcPr>
            <w:tcW w:w="425" w:type="dxa"/>
            <w:vMerge w:val="restart"/>
            <w:vAlign w:val="center"/>
          </w:tcPr>
          <w:p w14:paraId="5FB95EEE" w14:textId="77777777" w:rsidR="00171AA8" w:rsidRPr="00731FE2" w:rsidRDefault="007935AB" w:rsidP="007832E7">
            <w:pPr>
              <w:numPr>
                <w:ilvl w:val="0"/>
                <w:numId w:val="48"/>
              </w:numPr>
              <w:pBdr>
                <w:top w:val="none" w:sz="4" w:space="0" w:color="000000"/>
                <w:left w:val="none" w:sz="4" w:space="0" w:color="000000"/>
                <w:bottom w:val="none" w:sz="4" w:space="0" w:color="000000"/>
                <w:right w:val="none" w:sz="4" w:space="0" w:color="000000"/>
              </w:pBdr>
              <w:ind w:left="0"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 </w:t>
            </w:r>
          </w:p>
        </w:tc>
        <w:tc>
          <w:tcPr>
            <w:tcW w:w="4252" w:type="dxa"/>
            <w:vMerge w:val="restart"/>
            <w:vAlign w:val="center"/>
          </w:tcPr>
          <w:p w14:paraId="657BBAA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пр. Первомайский 12</w:t>
            </w:r>
          </w:p>
        </w:tc>
        <w:tc>
          <w:tcPr>
            <w:tcW w:w="2267" w:type="dxa"/>
            <w:vMerge w:val="restart"/>
            <w:vAlign w:val="center"/>
          </w:tcPr>
          <w:p w14:paraId="56B3CCE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наземная/открытая</w:t>
            </w:r>
          </w:p>
        </w:tc>
        <w:tc>
          <w:tcPr>
            <w:tcW w:w="2693" w:type="dxa"/>
            <w:vMerge w:val="restart"/>
            <w:vAlign w:val="center"/>
          </w:tcPr>
          <w:p w14:paraId="4AC914B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бесплатная/не охраняемая</w:t>
            </w:r>
          </w:p>
        </w:tc>
        <w:tc>
          <w:tcPr>
            <w:tcW w:w="1559" w:type="dxa"/>
            <w:vMerge w:val="restart"/>
            <w:vAlign w:val="center"/>
          </w:tcPr>
          <w:p w14:paraId="1F2C4C9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08:00 – 22:00</w:t>
            </w:r>
          </w:p>
        </w:tc>
        <w:tc>
          <w:tcPr>
            <w:tcW w:w="1984" w:type="dxa"/>
            <w:vMerge w:val="restart"/>
            <w:vAlign w:val="center"/>
          </w:tcPr>
          <w:p w14:paraId="0182A80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легковой</w:t>
            </w:r>
          </w:p>
        </w:tc>
        <w:tc>
          <w:tcPr>
            <w:tcW w:w="1389" w:type="dxa"/>
            <w:vMerge w:val="restart"/>
            <w:vAlign w:val="center"/>
          </w:tcPr>
          <w:p w14:paraId="0C74DB5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300</w:t>
            </w:r>
          </w:p>
        </w:tc>
      </w:tr>
      <w:tr w:rsidR="00171AA8" w:rsidRPr="00731FE2" w14:paraId="70EA3992" w14:textId="77777777">
        <w:trPr>
          <w:trHeight w:val="253"/>
        </w:trPr>
        <w:tc>
          <w:tcPr>
            <w:tcW w:w="425" w:type="dxa"/>
            <w:vMerge w:val="restart"/>
            <w:vAlign w:val="center"/>
          </w:tcPr>
          <w:p w14:paraId="4CE30D17" w14:textId="77777777" w:rsidR="00171AA8" w:rsidRPr="00731FE2" w:rsidRDefault="007935AB" w:rsidP="007832E7">
            <w:pPr>
              <w:numPr>
                <w:ilvl w:val="0"/>
                <w:numId w:val="48"/>
              </w:numPr>
              <w:pBdr>
                <w:top w:val="none" w:sz="4" w:space="0" w:color="000000"/>
                <w:left w:val="none" w:sz="4" w:space="0" w:color="000000"/>
                <w:bottom w:val="none" w:sz="4" w:space="0" w:color="000000"/>
                <w:right w:val="none" w:sz="4" w:space="0" w:color="000000"/>
              </w:pBdr>
              <w:ind w:left="0"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 </w:t>
            </w:r>
          </w:p>
        </w:tc>
        <w:tc>
          <w:tcPr>
            <w:tcW w:w="4252" w:type="dxa"/>
            <w:vMerge w:val="restart"/>
            <w:vAlign w:val="center"/>
          </w:tcPr>
          <w:p w14:paraId="3D7A1C4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пр. Первомайский 8</w:t>
            </w:r>
          </w:p>
        </w:tc>
        <w:tc>
          <w:tcPr>
            <w:tcW w:w="2267" w:type="dxa"/>
            <w:vMerge w:val="restart"/>
            <w:vAlign w:val="center"/>
          </w:tcPr>
          <w:p w14:paraId="109B790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наземная/открытая</w:t>
            </w:r>
          </w:p>
        </w:tc>
        <w:tc>
          <w:tcPr>
            <w:tcW w:w="2693" w:type="dxa"/>
            <w:vMerge w:val="restart"/>
            <w:vAlign w:val="center"/>
          </w:tcPr>
          <w:p w14:paraId="377DF17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платная/охраняемая</w:t>
            </w:r>
          </w:p>
        </w:tc>
        <w:tc>
          <w:tcPr>
            <w:tcW w:w="1559" w:type="dxa"/>
            <w:vMerge w:val="restart"/>
            <w:vAlign w:val="center"/>
          </w:tcPr>
          <w:p w14:paraId="75A4E40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круглосуточно</w:t>
            </w:r>
          </w:p>
        </w:tc>
        <w:tc>
          <w:tcPr>
            <w:tcW w:w="1984" w:type="dxa"/>
            <w:vMerge w:val="restart"/>
            <w:vAlign w:val="center"/>
          </w:tcPr>
          <w:p w14:paraId="51CCC82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легковой</w:t>
            </w:r>
          </w:p>
        </w:tc>
        <w:tc>
          <w:tcPr>
            <w:tcW w:w="1389" w:type="dxa"/>
            <w:vMerge w:val="restart"/>
            <w:vAlign w:val="center"/>
          </w:tcPr>
          <w:p w14:paraId="3827FB8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160</w:t>
            </w:r>
          </w:p>
        </w:tc>
      </w:tr>
      <w:tr w:rsidR="00171AA8" w:rsidRPr="00731FE2" w14:paraId="428F48CB" w14:textId="77777777">
        <w:trPr>
          <w:trHeight w:val="253"/>
        </w:trPr>
        <w:tc>
          <w:tcPr>
            <w:tcW w:w="425" w:type="dxa"/>
            <w:vMerge w:val="restart"/>
            <w:vAlign w:val="center"/>
          </w:tcPr>
          <w:p w14:paraId="64AF7EB6" w14:textId="77777777" w:rsidR="00171AA8" w:rsidRPr="00731FE2" w:rsidRDefault="007935AB" w:rsidP="007832E7">
            <w:pPr>
              <w:numPr>
                <w:ilvl w:val="0"/>
                <w:numId w:val="48"/>
              </w:numPr>
              <w:pBdr>
                <w:top w:val="none" w:sz="4" w:space="0" w:color="000000"/>
                <w:left w:val="none" w:sz="4" w:space="0" w:color="000000"/>
                <w:bottom w:val="none" w:sz="4" w:space="0" w:color="000000"/>
                <w:right w:val="none" w:sz="4" w:space="0" w:color="000000"/>
              </w:pBdr>
              <w:ind w:left="0"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 </w:t>
            </w:r>
          </w:p>
        </w:tc>
        <w:tc>
          <w:tcPr>
            <w:tcW w:w="4252" w:type="dxa"/>
            <w:vMerge w:val="restart"/>
            <w:vAlign w:val="center"/>
          </w:tcPr>
          <w:p w14:paraId="3B9D02E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пр. Мира Памятник Ленина</w:t>
            </w:r>
          </w:p>
        </w:tc>
        <w:tc>
          <w:tcPr>
            <w:tcW w:w="2267" w:type="dxa"/>
            <w:vMerge w:val="restart"/>
            <w:vAlign w:val="center"/>
          </w:tcPr>
          <w:p w14:paraId="118447C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наземная/открытая</w:t>
            </w:r>
          </w:p>
        </w:tc>
        <w:tc>
          <w:tcPr>
            <w:tcW w:w="2693" w:type="dxa"/>
            <w:vMerge w:val="restart"/>
            <w:vAlign w:val="center"/>
          </w:tcPr>
          <w:p w14:paraId="1AC1A50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бесплатная/не охраняемая</w:t>
            </w:r>
          </w:p>
        </w:tc>
        <w:tc>
          <w:tcPr>
            <w:tcW w:w="1559" w:type="dxa"/>
            <w:vMerge w:val="restart"/>
            <w:vAlign w:val="center"/>
          </w:tcPr>
          <w:p w14:paraId="11E50FA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круглосуточно</w:t>
            </w:r>
          </w:p>
        </w:tc>
        <w:tc>
          <w:tcPr>
            <w:tcW w:w="1984" w:type="dxa"/>
            <w:vMerge w:val="restart"/>
            <w:vAlign w:val="center"/>
          </w:tcPr>
          <w:p w14:paraId="1B965B2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легковой</w:t>
            </w:r>
          </w:p>
        </w:tc>
        <w:tc>
          <w:tcPr>
            <w:tcW w:w="1389" w:type="dxa"/>
            <w:vMerge w:val="restart"/>
            <w:vAlign w:val="center"/>
          </w:tcPr>
          <w:p w14:paraId="7233A6B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300</w:t>
            </w:r>
          </w:p>
        </w:tc>
      </w:tr>
      <w:tr w:rsidR="00171AA8" w:rsidRPr="00731FE2" w14:paraId="4B452BB6" w14:textId="77777777">
        <w:trPr>
          <w:trHeight w:val="253"/>
        </w:trPr>
        <w:tc>
          <w:tcPr>
            <w:tcW w:w="425" w:type="dxa"/>
            <w:vMerge w:val="restart"/>
            <w:vAlign w:val="center"/>
          </w:tcPr>
          <w:p w14:paraId="0DE861E6" w14:textId="77777777" w:rsidR="00171AA8" w:rsidRPr="00731FE2" w:rsidRDefault="007935AB" w:rsidP="007832E7">
            <w:pPr>
              <w:numPr>
                <w:ilvl w:val="0"/>
                <w:numId w:val="48"/>
              </w:numPr>
              <w:pBdr>
                <w:top w:val="none" w:sz="4" w:space="0" w:color="000000"/>
                <w:left w:val="none" w:sz="4" w:space="0" w:color="000000"/>
                <w:bottom w:val="none" w:sz="4" w:space="0" w:color="000000"/>
                <w:right w:val="none" w:sz="4" w:space="0" w:color="000000"/>
              </w:pBdr>
              <w:ind w:left="0"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 </w:t>
            </w:r>
          </w:p>
        </w:tc>
        <w:tc>
          <w:tcPr>
            <w:tcW w:w="4252" w:type="dxa"/>
            <w:vMerge w:val="restart"/>
            <w:vAlign w:val="center"/>
          </w:tcPr>
          <w:p w14:paraId="2700795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пр. Мира пр. 14</w:t>
            </w:r>
          </w:p>
        </w:tc>
        <w:tc>
          <w:tcPr>
            <w:tcW w:w="2267" w:type="dxa"/>
            <w:vMerge w:val="restart"/>
            <w:vAlign w:val="center"/>
          </w:tcPr>
          <w:p w14:paraId="583BCEB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наземная/открытая</w:t>
            </w:r>
          </w:p>
        </w:tc>
        <w:tc>
          <w:tcPr>
            <w:tcW w:w="2693" w:type="dxa"/>
            <w:vMerge w:val="restart"/>
            <w:vAlign w:val="center"/>
          </w:tcPr>
          <w:p w14:paraId="0975AFE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бесплатная/не охраняемая</w:t>
            </w:r>
          </w:p>
        </w:tc>
        <w:tc>
          <w:tcPr>
            <w:tcW w:w="1559" w:type="dxa"/>
            <w:vMerge w:val="restart"/>
            <w:vAlign w:val="center"/>
          </w:tcPr>
          <w:p w14:paraId="02E9E29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круглосуточно</w:t>
            </w:r>
          </w:p>
        </w:tc>
        <w:tc>
          <w:tcPr>
            <w:tcW w:w="1984" w:type="dxa"/>
            <w:vMerge w:val="restart"/>
            <w:vAlign w:val="center"/>
          </w:tcPr>
          <w:p w14:paraId="61A6CB7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легковой</w:t>
            </w:r>
          </w:p>
        </w:tc>
        <w:tc>
          <w:tcPr>
            <w:tcW w:w="1389" w:type="dxa"/>
            <w:vMerge w:val="restart"/>
            <w:vAlign w:val="center"/>
          </w:tcPr>
          <w:p w14:paraId="56D883C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160</w:t>
            </w:r>
          </w:p>
        </w:tc>
      </w:tr>
      <w:tr w:rsidR="00171AA8" w:rsidRPr="00731FE2" w14:paraId="37D1F945" w14:textId="77777777">
        <w:trPr>
          <w:trHeight w:val="253"/>
        </w:trPr>
        <w:tc>
          <w:tcPr>
            <w:tcW w:w="425" w:type="dxa"/>
            <w:vMerge w:val="restart"/>
            <w:vAlign w:val="center"/>
          </w:tcPr>
          <w:p w14:paraId="37AAAF99" w14:textId="77777777" w:rsidR="00171AA8" w:rsidRPr="00731FE2" w:rsidRDefault="007935AB" w:rsidP="007832E7">
            <w:pPr>
              <w:numPr>
                <w:ilvl w:val="0"/>
                <w:numId w:val="48"/>
              </w:numPr>
              <w:pBdr>
                <w:top w:val="none" w:sz="4" w:space="0" w:color="000000"/>
                <w:left w:val="none" w:sz="4" w:space="0" w:color="000000"/>
                <w:bottom w:val="none" w:sz="4" w:space="0" w:color="000000"/>
                <w:right w:val="none" w:sz="4" w:space="0" w:color="000000"/>
              </w:pBdr>
              <w:ind w:left="0"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 </w:t>
            </w:r>
          </w:p>
        </w:tc>
        <w:tc>
          <w:tcPr>
            <w:tcW w:w="4252" w:type="dxa"/>
            <w:vMerge w:val="restart"/>
            <w:vAlign w:val="center"/>
          </w:tcPr>
          <w:p w14:paraId="2A1F493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пр. Мира 17</w:t>
            </w:r>
          </w:p>
        </w:tc>
        <w:tc>
          <w:tcPr>
            <w:tcW w:w="2267" w:type="dxa"/>
            <w:vMerge w:val="restart"/>
            <w:vAlign w:val="center"/>
          </w:tcPr>
          <w:p w14:paraId="0D4790A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наземная/открытая</w:t>
            </w:r>
          </w:p>
        </w:tc>
        <w:tc>
          <w:tcPr>
            <w:tcW w:w="2693" w:type="dxa"/>
            <w:vMerge w:val="restart"/>
            <w:vAlign w:val="center"/>
          </w:tcPr>
          <w:p w14:paraId="0D8524D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бесплатная/не охраняемая</w:t>
            </w:r>
          </w:p>
        </w:tc>
        <w:tc>
          <w:tcPr>
            <w:tcW w:w="1559" w:type="dxa"/>
            <w:vMerge w:val="restart"/>
            <w:vAlign w:val="center"/>
          </w:tcPr>
          <w:p w14:paraId="47E2511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круглосуточно</w:t>
            </w:r>
          </w:p>
        </w:tc>
        <w:tc>
          <w:tcPr>
            <w:tcW w:w="1984" w:type="dxa"/>
            <w:vMerge w:val="restart"/>
            <w:vAlign w:val="center"/>
          </w:tcPr>
          <w:p w14:paraId="504D160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легковой</w:t>
            </w:r>
          </w:p>
        </w:tc>
        <w:tc>
          <w:tcPr>
            <w:tcW w:w="1389" w:type="dxa"/>
            <w:vMerge w:val="restart"/>
            <w:vAlign w:val="center"/>
          </w:tcPr>
          <w:p w14:paraId="3851DE8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320</w:t>
            </w:r>
          </w:p>
        </w:tc>
      </w:tr>
      <w:tr w:rsidR="00171AA8" w:rsidRPr="00731FE2" w14:paraId="3D627DC5" w14:textId="77777777">
        <w:trPr>
          <w:trHeight w:val="253"/>
        </w:trPr>
        <w:tc>
          <w:tcPr>
            <w:tcW w:w="425" w:type="dxa"/>
            <w:vMerge w:val="restart"/>
            <w:vAlign w:val="center"/>
          </w:tcPr>
          <w:p w14:paraId="0D548FF4" w14:textId="77777777" w:rsidR="00171AA8" w:rsidRPr="00731FE2" w:rsidRDefault="007935AB" w:rsidP="007832E7">
            <w:pPr>
              <w:numPr>
                <w:ilvl w:val="0"/>
                <w:numId w:val="48"/>
              </w:numPr>
              <w:pBdr>
                <w:top w:val="none" w:sz="4" w:space="0" w:color="000000"/>
                <w:left w:val="none" w:sz="4" w:space="0" w:color="000000"/>
                <w:bottom w:val="none" w:sz="4" w:space="0" w:color="000000"/>
                <w:right w:val="none" w:sz="4" w:space="0" w:color="000000"/>
              </w:pBdr>
              <w:ind w:left="0"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 </w:t>
            </w:r>
          </w:p>
        </w:tc>
        <w:tc>
          <w:tcPr>
            <w:tcW w:w="4252" w:type="dxa"/>
            <w:vMerge w:val="restart"/>
            <w:vAlign w:val="center"/>
          </w:tcPr>
          <w:p w14:paraId="00234CD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ул. Р. Люксембург</w:t>
            </w:r>
          </w:p>
        </w:tc>
        <w:tc>
          <w:tcPr>
            <w:tcW w:w="2267" w:type="dxa"/>
            <w:vMerge w:val="restart"/>
            <w:vAlign w:val="center"/>
          </w:tcPr>
          <w:p w14:paraId="6547E61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наземная/открытая</w:t>
            </w:r>
          </w:p>
        </w:tc>
        <w:tc>
          <w:tcPr>
            <w:tcW w:w="2693" w:type="dxa"/>
            <w:vMerge w:val="restart"/>
            <w:vAlign w:val="center"/>
          </w:tcPr>
          <w:p w14:paraId="1251EDB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бесплатная/не охраняемая</w:t>
            </w:r>
          </w:p>
        </w:tc>
        <w:tc>
          <w:tcPr>
            <w:tcW w:w="1559" w:type="dxa"/>
            <w:vMerge w:val="restart"/>
            <w:vAlign w:val="center"/>
          </w:tcPr>
          <w:p w14:paraId="6C19A85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круглосуточно</w:t>
            </w:r>
          </w:p>
        </w:tc>
        <w:tc>
          <w:tcPr>
            <w:tcW w:w="1984" w:type="dxa"/>
            <w:vMerge w:val="restart"/>
            <w:vAlign w:val="center"/>
          </w:tcPr>
          <w:p w14:paraId="2F5D405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легковой</w:t>
            </w:r>
          </w:p>
        </w:tc>
        <w:tc>
          <w:tcPr>
            <w:tcW w:w="1389" w:type="dxa"/>
            <w:vMerge w:val="restart"/>
            <w:vAlign w:val="center"/>
          </w:tcPr>
          <w:p w14:paraId="277B39B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540</w:t>
            </w:r>
          </w:p>
        </w:tc>
      </w:tr>
      <w:tr w:rsidR="00171AA8" w:rsidRPr="00731FE2" w14:paraId="41E1A69D" w14:textId="77777777">
        <w:trPr>
          <w:trHeight w:val="253"/>
        </w:trPr>
        <w:tc>
          <w:tcPr>
            <w:tcW w:w="425" w:type="dxa"/>
            <w:vMerge w:val="restart"/>
            <w:vAlign w:val="center"/>
          </w:tcPr>
          <w:p w14:paraId="067FC94F" w14:textId="77777777" w:rsidR="00171AA8" w:rsidRPr="00731FE2" w:rsidRDefault="007935AB" w:rsidP="007832E7">
            <w:pPr>
              <w:numPr>
                <w:ilvl w:val="0"/>
                <w:numId w:val="48"/>
              </w:numPr>
              <w:pBdr>
                <w:top w:val="none" w:sz="4" w:space="0" w:color="000000"/>
                <w:left w:val="none" w:sz="4" w:space="0" w:color="000000"/>
                <w:bottom w:val="none" w:sz="4" w:space="0" w:color="000000"/>
                <w:right w:val="none" w:sz="4" w:space="0" w:color="000000"/>
              </w:pBdr>
              <w:ind w:left="0"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 </w:t>
            </w:r>
          </w:p>
        </w:tc>
        <w:tc>
          <w:tcPr>
            <w:tcW w:w="4252" w:type="dxa"/>
            <w:vMerge w:val="restart"/>
            <w:vAlign w:val="center"/>
          </w:tcPr>
          <w:p w14:paraId="6F5A8DE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ул. Кутузова 127</w:t>
            </w:r>
          </w:p>
        </w:tc>
        <w:tc>
          <w:tcPr>
            <w:tcW w:w="2267" w:type="dxa"/>
            <w:vMerge w:val="restart"/>
            <w:vAlign w:val="center"/>
          </w:tcPr>
          <w:p w14:paraId="0002A53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наземная/открытая</w:t>
            </w:r>
          </w:p>
        </w:tc>
        <w:tc>
          <w:tcPr>
            <w:tcW w:w="2693" w:type="dxa"/>
            <w:vMerge w:val="restart"/>
            <w:vAlign w:val="center"/>
          </w:tcPr>
          <w:p w14:paraId="0089282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бесплатная/не охраняемая</w:t>
            </w:r>
          </w:p>
        </w:tc>
        <w:tc>
          <w:tcPr>
            <w:tcW w:w="1559" w:type="dxa"/>
            <w:vMerge w:val="restart"/>
            <w:vAlign w:val="center"/>
          </w:tcPr>
          <w:p w14:paraId="28D5BBE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круглосуточно</w:t>
            </w:r>
          </w:p>
        </w:tc>
        <w:tc>
          <w:tcPr>
            <w:tcW w:w="1984" w:type="dxa"/>
            <w:vMerge w:val="restart"/>
            <w:vAlign w:val="center"/>
          </w:tcPr>
          <w:p w14:paraId="2A9677E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легковой</w:t>
            </w:r>
          </w:p>
        </w:tc>
        <w:tc>
          <w:tcPr>
            <w:tcW w:w="1389" w:type="dxa"/>
            <w:vMerge w:val="restart"/>
            <w:vAlign w:val="center"/>
          </w:tcPr>
          <w:p w14:paraId="69822C1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280</w:t>
            </w:r>
          </w:p>
        </w:tc>
      </w:tr>
      <w:tr w:rsidR="00171AA8" w:rsidRPr="00731FE2" w14:paraId="1FECBB85" w14:textId="77777777">
        <w:trPr>
          <w:trHeight w:val="253"/>
        </w:trPr>
        <w:tc>
          <w:tcPr>
            <w:tcW w:w="425" w:type="dxa"/>
            <w:vMerge w:val="restart"/>
            <w:vAlign w:val="center"/>
          </w:tcPr>
          <w:p w14:paraId="08C19EC5" w14:textId="77777777" w:rsidR="00171AA8" w:rsidRPr="00731FE2" w:rsidRDefault="007935AB" w:rsidP="007832E7">
            <w:pPr>
              <w:numPr>
                <w:ilvl w:val="0"/>
                <w:numId w:val="48"/>
              </w:numPr>
              <w:pBdr>
                <w:top w:val="none" w:sz="4" w:space="0" w:color="000000"/>
                <w:left w:val="none" w:sz="4" w:space="0" w:color="000000"/>
                <w:bottom w:val="none" w:sz="4" w:space="0" w:color="000000"/>
                <w:right w:val="none" w:sz="4" w:space="0" w:color="000000"/>
              </w:pBdr>
              <w:ind w:left="0"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 </w:t>
            </w:r>
          </w:p>
        </w:tc>
        <w:tc>
          <w:tcPr>
            <w:tcW w:w="4252" w:type="dxa"/>
            <w:vMerge w:val="restart"/>
            <w:vAlign w:val="center"/>
          </w:tcPr>
          <w:p w14:paraId="06F494D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ул. Куйбышева 8а</w:t>
            </w:r>
          </w:p>
        </w:tc>
        <w:tc>
          <w:tcPr>
            <w:tcW w:w="2267" w:type="dxa"/>
            <w:vMerge w:val="restart"/>
            <w:vAlign w:val="center"/>
          </w:tcPr>
          <w:p w14:paraId="6FFF4C4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наземная/открытая</w:t>
            </w:r>
          </w:p>
        </w:tc>
        <w:tc>
          <w:tcPr>
            <w:tcW w:w="2693" w:type="dxa"/>
            <w:vMerge w:val="restart"/>
            <w:vAlign w:val="center"/>
          </w:tcPr>
          <w:p w14:paraId="301D4A6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бесплатная/не охраняемая</w:t>
            </w:r>
          </w:p>
        </w:tc>
        <w:tc>
          <w:tcPr>
            <w:tcW w:w="1559" w:type="dxa"/>
            <w:vMerge w:val="restart"/>
            <w:vAlign w:val="center"/>
          </w:tcPr>
          <w:p w14:paraId="6EBB535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круглосуточно</w:t>
            </w:r>
          </w:p>
        </w:tc>
        <w:tc>
          <w:tcPr>
            <w:tcW w:w="1984" w:type="dxa"/>
            <w:vMerge w:val="restart"/>
            <w:vAlign w:val="center"/>
          </w:tcPr>
          <w:p w14:paraId="2378095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легковой</w:t>
            </w:r>
          </w:p>
        </w:tc>
        <w:tc>
          <w:tcPr>
            <w:tcW w:w="1389" w:type="dxa"/>
            <w:vMerge w:val="restart"/>
            <w:vAlign w:val="center"/>
          </w:tcPr>
          <w:p w14:paraId="4F0C24C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100</w:t>
            </w:r>
          </w:p>
        </w:tc>
      </w:tr>
      <w:tr w:rsidR="00171AA8" w:rsidRPr="00731FE2" w14:paraId="1EB4E586" w14:textId="77777777">
        <w:trPr>
          <w:trHeight w:val="253"/>
        </w:trPr>
        <w:tc>
          <w:tcPr>
            <w:tcW w:w="425" w:type="dxa"/>
            <w:vMerge w:val="restart"/>
            <w:vAlign w:val="center"/>
          </w:tcPr>
          <w:p w14:paraId="57E29822" w14:textId="77777777" w:rsidR="00171AA8" w:rsidRPr="00731FE2" w:rsidRDefault="007935AB" w:rsidP="007832E7">
            <w:pPr>
              <w:numPr>
                <w:ilvl w:val="0"/>
                <w:numId w:val="48"/>
              </w:numPr>
              <w:pBdr>
                <w:top w:val="none" w:sz="4" w:space="0" w:color="000000"/>
                <w:left w:val="none" w:sz="4" w:space="0" w:color="000000"/>
                <w:bottom w:val="none" w:sz="4" w:space="0" w:color="000000"/>
                <w:right w:val="none" w:sz="4" w:space="0" w:color="000000"/>
              </w:pBdr>
              <w:ind w:left="0"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 </w:t>
            </w:r>
          </w:p>
        </w:tc>
        <w:tc>
          <w:tcPr>
            <w:tcW w:w="4252" w:type="dxa"/>
            <w:vMerge w:val="restart"/>
            <w:vAlign w:val="center"/>
          </w:tcPr>
          <w:p w14:paraId="2AF340B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ул. Куйбышева 23</w:t>
            </w:r>
          </w:p>
        </w:tc>
        <w:tc>
          <w:tcPr>
            <w:tcW w:w="2267" w:type="dxa"/>
            <w:vMerge w:val="restart"/>
            <w:vAlign w:val="center"/>
          </w:tcPr>
          <w:p w14:paraId="5107A48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наземная/открытая</w:t>
            </w:r>
          </w:p>
        </w:tc>
        <w:tc>
          <w:tcPr>
            <w:tcW w:w="2693" w:type="dxa"/>
            <w:vMerge w:val="restart"/>
            <w:vAlign w:val="center"/>
          </w:tcPr>
          <w:p w14:paraId="2D405B7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бесплатная/не охраняемая</w:t>
            </w:r>
          </w:p>
        </w:tc>
        <w:tc>
          <w:tcPr>
            <w:tcW w:w="1559" w:type="dxa"/>
            <w:vMerge w:val="restart"/>
            <w:vAlign w:val="center"/>
          </w:tcPr>
          <w:p w14:paraId="1900A39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круглосуточно</w:t>
            </w:r>
          </w:p>
        </w:tc>
        <w:tc>
          <w:tcPr>
            <w:tcW w:w="1984" w:type="dxa"/>
            <w:vMerge w:val="restart"/>
            <w:vAlign w:val="center"/>
          </w:tcPr>
          <w:p w14:paraId="4890B1C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легковой</w:t>
            </w:r>
          </w:p>
        </w:tc>
        <w:tc>
          <w:tcPr>
            <w:tcW w:w="1389" w:type="dxa"/>
            <w:vMerge w:val="restart"/>
            <w:vAlign w:val="center"/>
          </w:tcPr>
          <w:p w14:paraId="7200AB3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80</w:t>
            </w:r>
          </w:p>
        </w:tc>
      </w:tr>
      <w:tr w:rsidR="00171AA8" w:rsidRPr="00731FE2" w14:paraId="63F13F96" w14:textId="77777777">
        <w:trPr>
          <w:trHeight w:val="253"/>
        </w:trPr>
        <w:tc>
          <w:tcPr>
            <w:tcW w:w="425" w:type="dxa"/>
            <w:vMerge w:val="restart"/>
            <w:vAlign w:val="center"/>
          </w:tcPr>
          <w:p w14:paraId="1CD6146F" w14:textId="77777777" w:rsidR="00171AA8" w:rsidRPr="00731FE2" w:rsidRDefault="007935AB" w:rsidP="007832E7">
            <w:pPr>
              <w:numPr>
                <w:ilvl w:val="0"/>
                <w:numId w:val="48"/>
              </w:numPr>
              <w:pBdr>
                <w:top w:val="none" w:sz="4" w:space="0" w:color="000000"/>
                <w:left w:val="none" w:sz="4" w:space="0" w:color="000000"/>
                <w:bottom w:val="none" w:sz="4" w:space="0" w:color="000000"/>
                <w:right w:val="none" w:sz="4" w:space="0" w:color="000000"/>
              </w:pBdr>
              <w:ind w:left="0"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 </w:t>
            </w:r>
          </w:p>
        </w:tc>
        <w:tc>
          <w:tcPr>
            <w:tcW w:w="4252" w:type="dxa"/>
            <w:vMerge w:val="restart"/>
            <w:vAlign w:val="center"/>
          </w:tcPr>
          <w:p w14:paraId="5BDA962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ул. Куйбышева 51</w:t>
            </w:r>
          </w:p>
        </w:tc>
        <w:tc>
          <w:tcPr>
            <w:tcW w:w="2267" w:type="dxa"/>
            <w:vMerge w:val="restart"/>
            <w:vAlign w:val="center"/>
          </w:tcPr>
          <w:p w14:paraId="6BBE457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наземная/открытая</w:t>
            </w:r>
          </w:p>
        </w:tc>
        <w:tc>
          <w:tcPr>
            <w:tcW w:w="2693" w:type="dxa"/>
            <w:vMerge w:val="restart"/>
            <w:vAlign w:val="center"/>
          </w:tcPr>
          <w:p w14:paraId="7D7C632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бесплатная/не охраняемая</w:t>
            </w:r>
          </w:p>
        </w:tc>
        <w:tc>
          <w:tcPr>
            <w:tcW w:w="1559" w:type="dxa"/>
            <w:vMerge w:val="restart"/>
            <w:vAlign w:val="center"/>
          </w:tcPr>
          <w:p w14:paraId="27F60AA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круглосуточно</w:t>
            </w:r>
          </w:p>
        </w:tc>
        <w:tc>
          <w:tcPr>
            <w:tcW w:w="1984" w:type="dxa"/>
            <w:vMerge w:val="restart"/>
            <w:vAlign w:val="center"/>
          </w:tcPr>
          <w:p w14:paraId="2504210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легковой</w:t>
            </w:r>
          </w:p>
        </w:tc>
        <w:tc>
          <w:tcPr>
            <w:tcW w:w="1389" w:type="dxa"/>
            <w:vMerge w:val="restart"/>
            <w:vAlign w:val="center"/>
          </w:tcPr>
          <w:p w14:paraId="2A74F53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340</w:t>
            </w:r>
          </w:p>
        </w:tc>
      </w:tr>
      <w:tr w:rsidR="00171AA8" w:rsidRPr="00731FE2" w14:paraId="4F93C906" w14:textId="77777777">
        <w:trPr>
          <w:trHeight w:val="253"/>
        </w:trPr>
        <w:tc>
          <w:tcPr>
            <w:tcW w:w="425" w:type="dxa"/>
            <w:vMerge w:val="restart"/>
            <w:vAlign w:val="center"/>
          </w:tcPr>
          <w:p w14:paraId="39214532" w14:textId="77777777" w:rsidR="00171AA8" w:rsidRPr="00731FE2" w:rsidRDefault="007935AB" w:rsidP="007832E7">
            <w:pPr>
              <w:numPr>
                <w:ilvl w:val="0"/>
                <w:numId w:val="48"/>
              </w:numPr>
              <w:pBdr>
                <w:top w:val="none" w:sz="4" w:space="0" w:color="000000"/>
                <w:left w:val="none" w:sz="4" w:space="0" w:color="000000"/>
                <w:bottom w:val="none" w:sz="4" w:space="0" w:color="000000"/>
                <w:right w:val="none" w:sz="4" w:space="0" w:color="000000"/>
              </w:pBdr>
              <w:ind w:left="0"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 </w:t>
            </w:r>
          </w:p>
        </w:tc>
        <w:tc>
          <w:tcPr>
            <w:tcW w:w="4252" w:type="dxa"/>
            <w:vMerge w:val="restart"/>
            <w:vAlign w:val="center"/>
          </w:tcPr>
          <w:p w14:paraId="4C6851A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ул. Губина 28 Промстройбанк</w:t>
            </w:r>
          </w:p>
        </w:tc>
        <w:tc>
          <w:tcPr>
            <w:tcW w:w="2267" w:type="dxa"/>
            <w:vMerge w:val="restart"/>
            <w:vAlign w:val="center"/>
          </w:tcPr>
          <w:p w14:paraId="5910456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наземная/открытая</w:t>
            </w:r>
          </w:p>
        </w:tc>
        <w:tc>
          <w:tcPr>
            <w:tcW w:w="2693" w:type="dxa"/>
            <w:vMerge w:val="restart"/>
            <w:vAlign w:val="center"/>
          </w:tcPr>
          <w:p w14:paraId="6042ADC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бесплатная/не охраняемая</w:t>
            </w:r>
          </w:p>
        </w:tc>
        <w:tc>
          <w:tcPr>
            <w:tcW w:w="1559" w:type="dxa"/>
            <w:vMerge w:val="restart"/>
            <w:vAlign w:val="center"/>
          </w:tcPr>
          <w:p w14:paraId="7911515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круглосуточно</w:t>
            </w:r>
          </w:p>
        </w:tc>
        <w:tc>
          <w:tcPr>
            <w:tcW w:w="1984" w:type="dxa"/>
            <w:vMerge w:val="restart"/>
            <w:vAlign w:val="center"/>
          </w:tcPr>
          <w:p w14:paraId="286AF46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легковой</w:t>
            </w:r>
          </w:p>
        </w:tc>
        <w:tc>
          <w:tcPr>
            <w:tcW w:w="1389" w:type="dxa"/>
            <w:vMerge w:val="restart"/>
            <w:vAlign w:val="center"/>
          </w:tcPr>
          <w:p w14:paraId="2A2E5C3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300</w:t>
            </w:r>
          </w:p>
        </w:tc>
      </w:tr>
      <w:tr w:rsidR="00171AA8" w:rsidRPr="00731FE2" w14:paraId="4B030582" w14:textId="77777777">
        <w:trPr>
          <w:trHeight w:val="253"/>
        </w:trPr>
        <w:tc>
          <w:tcPr>
            <w:tcW w:w="425" w:type="dxa"/>
            <w:vMerge w:val="restart"/>
            <w:vAlign w:val="center"/>
          </w:tcPr>
          <w:p w14:paraId="7393C35E" w14:textId="77777777" w:rsidR="00171AA8" w:rsidRPr="00731FE2" w:rsidRDefault="007935AB" w:rsidP="007832E7">
            <w:pPr>
              <w:numPr>
                <w:ilvl w:val="0"/>
                <w:numId w:val="48"/>
              </w:numPr>
              <w:pBdr>
                <w:top w:val="none" w:sz="4" w:space="0" w:color="000000"/>
                <w:left w:val="none" w:sz="4" w:space="0" w:color="000000"/>
                <w:bottom w:val="none" w:sz="4" w:space="0" w:color="000000"/>
                <w:right w:val="none" w:sz="4" w:space="0" w:color="000000"/>
              </w:pBdr>
              <w:ind w:left="0"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 </w:t>
            </w:r>
          </w:p>
        </w:tc>
        <w:tc>
          <w:tcPr>
            <w:tcW w:w="4252" w:type="dxa"/>
            <w:vMerge w:val="restart"/>
            <w:vAlign w:val="center"/>
          </w:tcPr>
          <w:p w14:paraId="06BAE55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ул. Губина 9 УАИГ</w:t>
            </w:r>
          </w:p>
        </w:tc>
        <w:tc>
          <w:tcPr>
            <w:tcW w:w="2267" w:type="dxa"/>
            <w:vMerge w:val="restart"/>
            <w:vAlign w:val="center"/>
          </w:tcPr>
          <w:p w14:paraId="4AFCD53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наземная/открытая</w:t>
            </w:r>
          </w:p>
        </w:tc>
        <w:tc>
          <w:tcPr>
            <w:tcW w:w="2693" w:type="dxa"/>
            <w:vMerge w:val="restart"/>
            <w:vAlign w:val="center"/>
          </w:tcPr>
          <w:p w14:paraId="608C183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бесплатная/не охраняемая</w:t>
            </w:r>
          </w:p>
        </w:tc>
        <w:tc>
          <w:tcPr>
            <w:tcW w:w="1559" w:type="dxa"/>
            <w:vMerge w:val="restart"/>
            <w:vAlign w:val="center"/>
          </w:tcPr>
          <w:p w14:paraId="798AA8A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круглосуточно</w:t>
            </w:r>
          </w:p>
        </w:tc>
        <w:tc>
          <w:tcPr>
            <w:tcW w:w="1984" w:type="dxa"/>
            <w:vMerge w:val="restart"/>
            <w:vAlign w:val="center"/>
          </w:tcPr>
          <w:p w14:paraId="577546B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легковой</w:t>
            </w:r>
          </w:p>
        </w:tc>
        <w:tc>
          <w:tcPr>
            <w:tcW w:w="1389" w:type="dxa"/>
            <w:vMerge w:val="restart"/>
            <w:vAlign w:val="center"/>
          </w:tcPr>
          <w:p w14:paraId="4925D25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280</w:t>
            </w:r>
          </w:p>
        </w:tc>
      </w:tr>
      <w:tr w:rsidR="00171AA8" w:rsidRPr="00731FE2" w14:paraId="18E080C5" w14:textId="77777777">
        <w:trPr>
          <w:trHeight w:val="253"/>
        </w:trPr>
        <w:tc>
          <w:tcPr>
            <w:tcW w:w="425" w:type="dxa"/>
            <w:vMerge w:val="restart"/>
            <w:vAlign w:val="center"/>
          </w:tcPr>
          <w:p w14:paraId="4DF72504" w14:textId="77777777" w:rsidR="00171AA8" w:rsidRPr="00731FE2" w:rsidRDefault="007935AB" w:rsidP="007832E7">
            <w:pPr>
              <w:numPr>
                <w:ilvl w:val="0"/>
                <w:numId w:val="48"/>
              </w:numPr>
              <w:pBdr>
                <w:top w:val="none" w:sz="4" w:space="0" w:color="000000"/>
                <w:left w:val="none" w:sz="4" w:space="0" w:color="000000"/>
                <w:bottom w:val="none" w:sz="4" w:space="0" w:color="000000"/>
                <w:right w:val="none" w:sz="4" w:space="0" w:color="000000"/>
              </w:pBdr>
              <w:ind w:left="0"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lastRenderedPageBreak/>
              <w:t> </w:t>
            </w:r>
          </w:p>
        </w:tc>
        <w:tc>
          <w:tcPr>
            <w:tcW w:w="4252" w:type="dxa"/>
            <w:vMerge w:val="restart"/>
            <w:vAlign w:val="center"/>
          </w:tcPr>
          <w:p w14:paraId="1D53EDA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ул. Губина 4</w:t>
            </w:r>
          </w:p>
        </w:tc>
        <w:tc>
          <w:tcPr>
            <w:tcW w:w="2267" w:type="dxa"/>
            <w:vMerge w:val="restart"/>
            <w:vAlign w:val="center"/>
          </w:tcPr>
          <w:p w14:paraId="37D132C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наземная/открытая</w:t>
            </w:r>
          </w:p>
        </w:tc>
        <w:tc>
          <w:tcPr>
            <w:tcW w:w="2693" w:type="dxa"/>
            <w:vMerge w:val="restart"/>
            <w:vAlign w:val="center"/>
          </w:tcPr>
          <w:p w14:paraId="6F94DF1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бесплатная/не охраняемая</w:t>
            </w:r>
          </w:p>
        </w:tc>
        <w:tc>
          <w:tcPr>
            <w:tcW w:w="1559" w:type="dxa"/>
            <w:vMerge w:val="restart"/>
            <w:vAlign w:val="center"/>
          </w:tcPr>
          <w:p w14:paraId="3D3F726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круглосуточно</w:t>
            </w:r>
          </w:p>
        </w:tc>
        <w:tc>
          <w:tcPr>
            <w:tcW w:w="1984" w:type="dxa"/>
            <w:vMerge w:val="restart"/>
            <w:vAlign w:val="center"/>
          </w:tcPr>
          <w:p w14:paraId="4615062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легковой</w:t>
            </w:r>
          </w:p>
        </w:tc>
        <w:tc>
          <w:tcPr>
            <w:tcW w:w="1389" w:type="dxa"/>
            <w:vMerge w:val="restart"/>
            <w:vAlign w:val="center"/>
          </w:tcPr>
          <w:p w14:paraId="2F98ED9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300</w:t>
            </w:r>
          </w:p>
        </w:tc>
      </w:tr>
      <w:tr w:rsidR="00171AA8" w:rsidRPr="00731FE2" w14:paraId="02B5429C" w14:textId="77777777">
        <w:trPr>
          <w:trHeight w:val="253"/>
        </w:trPr>
        <w:tc>
          <w:tcPr>
            <w:tcW w:w="425" w:type="dxa"/>
            <w:vMerge w:val="restart"/>
            <w:vAlign w:val="center"/>
          </w:tcPr>
          <w:p w14:paraId="77B8CC25" w14:textId="77777777" w:rsidR="00171AA8" w:rsidRPr="00731FE2" w:rsidRDefault="007935AB" w:rsidP="007832E7">
            <w:pPr>
              <w:numPr>
                <w:ilvl w:val="0"/>
                <w:numId w:val="48"/>
              </w:numPr>
              <w:pBdr>
                <w:top w:val="none" w:sz="4" w:space="0" w:color="000000"/>
                <w:left w:val="none" w:sz="4" w:space="0" w:color="000000"/>
                <w:bottom w:val="none" w:sz="4" w:space="0" w:color="000000"/>
                <w:right w:val="none" w:sz="4" w:space="0" w:color="000000"/>
              </w:pBdr>
              <w:ind w:left="0"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 </w:t>
            </w:r>
          </w:p>
        </w:tc>
        <w:tc>
          <w:tcPr>
            <w:tcW w:w="4252" w:type="dxa"/>
            <w:vMerge w:val="restart"/>
            <w:vAlign w:val="center"/>
          </w:tcPr>
          <w:p w14:paraId="077CABB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ул. 40лет октября 12Б</w:t>
            </w:r>
          </w:p>
        </w:tc>
        <w:tc>
          <w:tcPr>
            <w:tcW w:w="2267" w:type="dxa"/>
            <w:vMerge w:val="restart"/>
            <w:vAlign w:val="center"/>
          </w:tcPr>
          <w:p w14:paraId="54D36FB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наземная/открытая</w:t>
            </w:r>
          </w:p>
        </w:tc>
        <w:tc>
          <w:tcPr>
            <w:tcW w:w="2693" w:type="dxa"/>
            <w:vMerge w:val="restart"/>
            <w:vAlign w:val="center"/>
          </w:tcPr>
          <w:p w14:paraId="4E71346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бесплатная/не охраняемая</w:t>
            </w:r>
          </w:p>
        </w:tc>
        <w:tc>
          <w:tcPr>
            <w:tcW w:w="1559" w:type="dxa"/>
            <w:vMerge w:val="restart"/>
            <w:vAlign w:val="center"/>
          </w:tcPr>
          <w:p w14:paraId="67F3BEA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круглосуточно</w:t>
            </w:r>
          </w:p>
        </w:tc>
        <w:tc>
          <w:tcPr>
            <w:tcW w:w="1984" w:type="dxa"/>
            <w:vMerge w:val="restart"/>
            <w:vAlign w:val="center"/>
          </w:tcPr>
          <w:p w14:paraId="0CE64D8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легковой</w:t>
            </w:r>
          </w:p>
        </w:tc>
        <w:tc>
          <w:tcPr>
            <w:tcW w:w="1389" w:type="dxa"/>
            <w:vMerge w:val="restart"/>
            <w:vAlign w:val="center"/>
          </w:tcPr>
          <w:p w14:paraId="7A39491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80</w:t>
            </w:r>
          </w:p>
        </w:tc>
      </w:tr>
      <w:tr w:rsidR="00171AA8" w:rsidRPr="00731FE2" w14:paraId="4843F909" w14:textId="77777777">
        <w:trPr>
          <w:trHeight w:val="253"/>
        </w:trPr>
        <w:tc>
          <w:tcPr>
            <w:tcW w:w="425" w:type="dxa"/>
            <w:vMerge w:val="restart"/>
            <w:vAlign w:val="center"/>
          </w:tcPr>
          <w:p w14:paraId="7EC912F1" w14:textId="77777777" w:rsidR="00171AA8" w:rsidRPr="00731FE2" w:rsidRDefault="007935AB" w:rsidP="007832E7">
            <w:pPr>
              <w:numPr>
                <w:ilvl w:val="0"/>
                <w:numId w:val="48"/>
              </w:numPr>
              <w:pBdr>
                <w:top w:val="none" w:sz="4" w:space="0" w:color="000000"/>
                <w:left w:val="none" w:sz="4" w:space="0" w:color="000000"/>
                <w:bottom w:val="none" w:sz="4" w:space="0" w:color="000000"/>
                <w:right w:val="none" w:sz="4" w:space="0" w:color="000000"/>
              </w:pBdr>
              <w:ind w:left="0"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 </w:t>
            </w:r>
          </w:p>
        </w:tc>
        <w:tc>
          <w:tcPr>
            <w:tcW w:w="4252" w:type="dxa"/>
            <w:vMerge w:val="restart"/>
            <w:vAlign w:val="center"/>
          </w:tcPr>
          <w:p w14:paraId="02E8913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ул. Красивая 73</w:t>
            </w:r>
          </w:p>
        </w:tc>
        <w:tc>
          <w:tcPr>
            <w:tcW w:w="2267" w:type="dxa"/>
            <w:vMerge w:val="restart"/>
            <w:vAlign w:val="center"/>
          </w:tcPr>
          <w:p w14:paraId="2F1746C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наземная/открытая</w:t>
            </w:r>
          </w:p>
        </w:tc>
        <w:tc>
          <w:tcPr>
            <w:tcW w:w="2693" w:type="dxa"/>
            <w:vMerge w:val="restart"/>
            <w:vAlign w:val="center"/>
          </w:tcPr>
          <w:p w14:paraId="2B03977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бесплатная/не охраняемая</w:t>
            </w:r>
          </w:p>
        </w:tc>
        <w:tc>
          <w:tcPr>
            <w:tcW w:w="1559" w:type="dxa"/>
            <w:vMerge w:val="restart"/>
            <w:vAlign w:val="center"/>
          </w:tcPr>
          <w:p w14:paraId="43D77AA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круглосуточно</w:t>
            </w:r>
          </w:p>
        </w:tc>
        <w:tc>
          <w:tcPr>
            <w:tcW w:w="1984" w:type="dxa"/>
            <w:vMerge w:val="restart"/>
            <w:vAlign w:val="center"/>
          </w:tcPr>
          <w:p w14:paraId="3C89A6F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легковой</w:t>
            </w:r>
          </w:p>
        </w:tc>
        <w:tc>
          <w:tcPr>
            <w:tcW w:w="1389" w:type="dxa"/>
            <w:vMerge w:val="restart"/>
            <w:vAlign w:val="center"/>
          </w:tcPr>
          <w:p w14:paraId="07D66DE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120</w:t>
            </w:r>
          </w:p>
        </w:tc>
      </w:tr>
      <w:tr w:rsidR="00171AA8" w:rsidRPr="00731FE2" w14:paraId="1522F6AF" w14:textId="77777777">
        <w:trPr>
          <w:trHeight w:val="253"/>
        </w:trPr>
        <w:tc>
          <w:tcPr>
            <w:tcW w:w="425" w:type="dxa"/>
            <w:vMerge w:val="restart"/>
            <w:vAlign w:val="center"/>
          </w:tcPr>
          <w:p w14:paraId="72B5A33C" w14:textId="77777777" w:rsidR="00171AA8" w:rsidRPr="00731FE2" w:rsidRDefault="007935AB" w:rsidP="007832E7">
            <w:pPr>
              <w:numPr>
                <w:ilvl w:val="0"/>
                <w:numId w:val="48"/>
              </w:numPr>
              <w:pBdr>
                <w:top w:val="none" w:sz="4" w:space="0" w:color="000000"/>
                <w:left w:val="none" w:sz="4" w:space="0" w:color="000000"/>
                <w:bottom w:val="none" w:sz="4" w:space="0" w:color="000000"/>
                <w:right w:val="none" w:sz="4" w:space="0" w:color="000000"/>
              </w:pBdr>
              <w:ind w:left="0"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 </w:t>
            </w:r>
          </w:p>
        </w:tc>
        <w:tc>
          <w:tcPr>
            <w:tcW w:w="4252" w:type="dxa"/>
            <w:vMerge w:val="restart"/>
            <w:vAlign w:val="center"/>
          </w:tcPr>
          <w:p w14:paraId="3D44344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ул. Красивая 45</w:t>
            </w:r>
          </w:p>
        </w:tc>
        <w:tc>
          <w:tcPr>
            <w:tcW w:w="2267" w:type="dxa"/>
            <w:vMerge w:val="restart"/>
            <w:vAlign w:val="center"/>
          </w:tcPr>
          <w:p w14:paraId="7C95540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наземная/открытая</w:t>
            </w:r>
          </w:p>
        </w:tc>
        <w:tc>
          <w:tcPr>
            <w:tcW w:w="2693" w:type="dxa"/>
            <w:vMerge w:val="restart"/>
            <w:vAlign w:val="center"/>
          </w:tcPr>
          <w:p w14:paraId="07C5E6D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бесплатная/не охраняемая</w:t>
            </w:r>
          </w:p>
        </w:tc>
        <w:tc>
          <w:tcPr>
            <w:tcW w:w="1559" w:type="dxa"/>
            <w:vMerge w:val="restart"/>
            <w:vAlign w:val="center"/>
          </w:tcPr>
          <w:p w14:paraId="4E358C7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круглосуточно</w:t>
            </w:r>
          </w:p>
        </w:tc>
        <w:tc>
          <w:tcPr>
            <w:tcW w:w="1984" w:type="dxa"/>
            <w:vMerge w:val="restart"/>
            <w:vAlign w:val="center"/>
          </w:tcPr>
          <w:p w14:paraId="775A7A3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легковой</w:t>
            </w:r>
          </w:p>
        </w:tc>
        <w:tc>
          <w:tcPr>
            <w:tcW w:w="1389" w:type="dxa"/>
            <w:vMerge w:val="restart"/>
            <w:vAlign w:val="center"/>
          </w:tcPr>
          <w:p w14:paraId="650F404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80</w:t>
            </w:r>
          </w:p>
        </w:tc>
      </w:tr>
      <w:tr w:rsidR="00171AA8" w:rsidRPr="00731FE2" w14:paraId="201A599E" w14:textId="77777777">
        <w:trPr>
          <w:trHeight w:val="253"/>
        </w:trPr>
        <w:tc>
          <w:tcPr>
            <w:tcW w:w="425" w:type="dxa"/>
            <w:vMerge w:val="restart"/>
            <w:vAlign w:val="center"/>
          </w:tcPr>
          <w:p w14:paraId="795E6532" w14:textId="77777777" w:rsidR="00171AA8" w:rsidRPr="00731FE2" w:rsidRDefault="007935AB" w:rsidP="007832E7">
            <w:pPr>
              <w:numPr>
                <w:ilvl w:val="0"/>
                <w:numId w:val="48"/>
              </w:numPr>
              <w:pBdr>
                <w:top w:val="none" w:sz="4" w:space="0" w:color="000000"/>
                <w:left w:val="none" w:sz="4" w:space="0" w:color="000000"/>
                <w:bottom w:val="none" w:sz="4" w:space="0" w:color="000000"/>
                <w:right w:val="none" w:sz="4" w:space="0" w:color="000000"/>
              </w:pBdr>
              <w:ind w:left="0"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 </w:t>
            </w:r>
          </w:p>
        </w:tc>
        <w:tc>
          <w:tcPr>
            <w:tcW w:w="4252" w:type="dxa"/>
            <w:vMerge w:val="restart"/>
            <w:vAlign w:val="center"/>
          </w:tcPr>
          <w:p w14:paraId="355D364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ул. Красивая 31А</w:t>
            </w:r>
          </w:p>
        </w:tc>
        <w:tc>
          <w:tcPr>
            <w:tcW w:w="2267" w:type="dxa"/>
            <w:vMerge w:val="restart"/>
            <w:vAlign w:val="center"/>
          </w:tcPr>
          <w:p w14:paraId="53F76EF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наземная/открытая</w:t>
            </w:r>
          </w:p>
        </w:tc>
        <w:tc>
          <w:tcPr>
            <w:tcW w:w="2693" w:type="dxa"/>
            <w:vMerge w:val="restart"/>
            <w:vAlign w:val="center"/>
          </w:tcPr>
          <w:p w14:paraId="566A117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бесплатная/не охраняемая</w:t>
            </w:r>
          </w:p>
        </w:tc>
        <w:tc>
          <w:tcPr>
            <w:tcW w:w="1559" w:type="dxa"/>
            <w:vMerge w:val="restart"/>
            <w:vAlign w:val="center"/>
          </w:tcPr>
          <w:p w14:paraId="3E2DD4F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круглосуточно</w:t>
            </w:r>
          </w:p>
        </w:tc>
        <w:tc>
          <w:tcPr>
            <w:tcW w:w="1984" w:type="dxa"/>
            <w:vMerge w:val="restart"/>
            <w:vAlign w:val="center"/>
          </w:tcPr>
          <w:p w14:paraId="7F50829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легковой</w:t>
            </w:r>
          </w:p>
        </w:tc>
        <w:tc>
          <w:tcPr>
            <w:tcW w:w="1389" w:type="dxa"/>
            <w:vMerge w:val="restart"/>
            <w:vAlign w:val="center"/>
          </w:tcPr>
          <w:p w14:paraId="4EAEB9C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260</w:t>
            </w:r>
          </w:p>
        </w:tc>
      </w:tr>
      <w:tr w:rsidR="00171AA8" w:rsidRPr="00731FE2" w14:paraId="5E9B8380" w14:textId="77777777">
        <w:trPr>
          <w:trHeight w:val="253"/>
        </w:trPr>
        <w:tc>
          <w:tcPr>
            <w:tcW w:w="425" w:type="dxa"/>
            <w:vMerge w:val="restart"/>
            <w:vAlign w:val="center"/>
          </w:tcPr>
          <w:p w14:paraId="2DECD712" w14:textId="77777777" w:rsidR="00171AA8" w:rsidRPr="00731FE2" w:rsidRDefault="007935AB" w:rsidP="007832E7">
            <w:pPr>
              <w:numPr>
                <w:ilvl w:val="0"/>
                <w:numId w:val="48"/>
              </w:numPr>
              <w:pBdr>
                <w:top w:val="none" w:sz="4" w:space="0" w:color="000000"/>
                <w:left w:val="none" w:sz="4" w:space="0" w:color="000000"/>
                <w:bottom w:val="none" w:sz="4" w:space="0" w:color="000000"/>
                <w:right w:val="none" w:sz="4" w:space="0" w:color="000000"/>
              </w:pBdr>
              <w:ind w:left="0"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 </w:t>
            </w:r>
          </w:p>
        </w:tc>
        <w:tc>
          <w:tcPr>
            <w:tcW w:w="4252" w:type="dxa"/>
            <w:vMerge w:val="restart"/>
            <w:vAlign w:val="center"/>
          </w:tcPr>
          <w:p w14:paraId="72038AC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ул. Фоменко 133</w:t>
            </w:r>
          </w:p>
        </w:tc>
        <w:tc>
          <w:tcPr>
            <w:tcW w:w="2267" w:type="dxa"/>
            <w:vMerge w:val="restart"/>
            <w:vAlign w:val="center"/>
          </w:tcPr>
          <w:p w14:paraId="0CEEF75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наземная/открытая</w:t>
            </w:r>
          </w:p>
        </w:tc>
        <w:tc>
          <w:tcPr>
            <w:tcW w:w="2693" w:type="dxa"/>
            <w:vMerge w:val="restart"/>
            <w:vAlign w:val="center"/>
          </w:tcPr>
          <w:p w14:paraId="469292C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бесплатная/не охраняемая</w:t>
            </w:r>
          </w:p>
        </w:tc>
        <w:tc>
          <w:tcPr>
            <w:tcW w:w="1559" w:type="dxa"/>
            <w:vMerge w:val="restart"/>
            <w:vAlign w:val="center"/>
          </w:tcPr>
          <w:p w14:paraId="00169B0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круглосуточно</w:t>
            </w:r>
          </w:p>
        </w:tc>
        <w:tc>
          <w:tcPr>
            <w:tcW w:w="1984" w:type="dxa"/>
            <w:vMerge w:val="restart"/>
            <w:vAlign w:val="center"/>
          </w:tcPr>
          <w:p w14:paraId="7E469CE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легковой</w:t>
            </w:r>
          </w:p>
        </w:tc>
        <w:tc>
          <w:tcPr>
            <w:tcW w:w="1389" w:type="dxa"/>
            <w:vMerge w:val="restart"/>
            <w:vAlign w:val="center"/>
          </w:tcPr>
          <w:p w14:paraId="75FF4F8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260</w:t>
            </w:r>
          </w:p>
        </w:tc>
      </w:tr>
      <w:tr w:rsidR="00171AA8" w:rsidRPr="00731FE2" w14:paraId="79528C3D" w14:textId="77777777">
        <w:trPr>
          <w:trHeight w:val="253"/>
        </w:trPr>
        <w:tc>
          <w:tcPr>
            <w:tcW w:w="425" w:type="dxa"/>
            <w:vMerge w:val="restart"/>
            <w:vAlign w:val="center"/>
          </w:tcPr>
          <w:p w14:paraId="0F10B705" w14:textId="77777777" w:rsidR="00171AA8" w:rsidRPr="00731FE2" w:rsidRDefault="007935AB" w:rsidP="007832E7">
            <w:pPr>
              <w:numPr>
                <w:ilvl w:val="0"/>
                <w:numId w:val="48"/>
              </w:numPr>
              <w:pBdr>
                <w:top w:val="none" w:sz="4" w:space="0" w:color="000000"/>
                <w:left w:val="none" w:sz="4" w:space="0" w:color="000000"/>
                <w:bottom w:val="none" w:sz="4" w:space="0" w:color="000000"/>
                <w:right w:val="none" w:sz="4" w:space="0" w:color="000000"/>
              </w:pBdr>
              <w:ind w:left="0"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 </w:t>
            </w:r>
          </w:p>
        </w:tc>
        <w:tc>
          <w:tcPr>
            <w:tcW w:w="4252" w:type="dxa"/>
            <w:vMerge w:val="restart"/>
            <w:vAlign w:val="center"/>
          </w:tcPr>
          <w:p w14:paraId="0F49F56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ул. Фоменко 53</w:t>
            </w:r>
          </w:p>
        </w:tc>
        <w:tc>
          <w:tcPr>
            <w:tcW w:w="2267" w:type="dxa"/>
            <w:vMerge w:val="restart"/>
            <w:vAlign w:val="center"/>
          </w:tcPr>
          <w:p w14:paraId="235898A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наземная/открытая</w:t>
            </w:r>
          </w:p>
        </w:tc>
        <w:tc>
          <w:tcPr>
            <w:tcW w:w="2693" w:type="dxa"/>
            <w:vMerge w:val="restart"/>
            <w:vAlign w:val="center"/>
          </w:tcPr>
          <w:p w14:paraId="18E4506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бесплатная/не охраняемая</w:t>
            </w:r>
          </w:p>
        </w:tc>
        <w:tc>
          <w:tcPr>
            <w:tcW w:w="1559" w:type="dxa"/>
            <w:vMerge w:val="restart"/>
            <w:vAlign w:val="center"/>
          </w:tcPr>
          <w:p w14:paraId="09EC3E5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круглосуточно</w:t>
            </w:r>
          </w:p>
        </w:tc>
        <w:tc>
          <w:tcPr>
            <w:tcW w:w="1984" w:type="dxa"/>
            <w:vMerge w:val="restart"/>
            <w:vAlign w:val="center"/>
          </w:tcPr>
          <w:p w14:paraId="471FF2F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легковой</w:t>
            </w:r>
          </w:p>
        </w:tc>
        <w:tc>
          <w:tcPr>
            <w:tcW w:w="1389" w:type="dxa"/>
            <w:vMerge w:val="restart"/>
            <w:vAlign w:val="center"/>
          </w:tcPr>
          <w:p w14:paraId="2FB9788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120</w:t>
            </w:r>
          </w:p>
        </w:tc>
      </w:tr>
      <w:tr w:rsidR="00171AA8" w:rsidRPr="00731FE2" w14:paraId="50851161" w14:textId="77777777">
        <w:trPr>
          <w:trHeight w:val="253"/>
        </w:trPr>
        <w:tc>
          <w:tcPr>
            <w:tcW w:w="425" w:type="dxa"/>
            <w:vMerge w:val="restart"/>
            <w:vAlign w:val="center"/>
          </w:tcPr>
          <w:p w14:paraId="6EDB0A40" w14:textId="77777777" w:rsidR="00171AA8" w:rsidRPr="00731FE2" w:rsidRDefault="007935AB" w:rsidP="007832E7">
            <w:pPr>
              <w:numPr>
                <w:ilvl w:val="0"/>
                <w:numId w:val="48"/>
              </w:numPr>
              <w:pBdr>
                <w:top w:val="none" w:sz="4" w:space="0" w:color="000000"/>
                <w:left w:val="none" w:sz="4" w:space="0" w:color="000000"/>
                <w:bottom w:val="none" w:sz="4" w:space="0" w:color="000000"/>
                <w:right w:val="none" w:sz="4" w:space="0" w:color="000000"/>
              </w:pBdr>
              <w:ind w:left="0"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 </w:t>
            </w:r>
          </w:p>
        </w:tc>
        <w:tc>
          <w:tcPr>
            <w:tcW w:w="4252" w:type="dxa"/>
            <w:vMerge w:val="restart"/>
            <w:vAlign w:val="center"/>
          </w:tcPr>
          <w:p w14:paraId="6425307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ул. Фоменко 33</w:t>
            </w:r>
          </w:p>
        </w:tc>
        <w:tc>
          <w:tcPr>
            <w:tcW w:w="2267" w:type="dxa"/>
            <w:vMerge w:val="restart"/>
            <w:vAlign w:val="center"/>
          </w:tcPr>
          <w:p w14:paraId="01C0F86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наземная/открытая</w:t>
            </w:r>
          </w:p>
        </w:tc>
        <w:tc>
          <w:tcPr>
            <w:tcW w:w="2693" w:type="dxa"/>
            <w:vMerge w:val="restart"/>
            <w:vAlign w:val="center"/>
          </w:tcPr>
          <w:p w14:paraId="630689F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бесплатная/не охраняемая</w:t>
            </w:r>
          </w:p>
        </w:tc>
        <w:tc>
          <w:tcPr>
            <w:tcW w:w="1559" w:type="dxa"/>
            <w:vMerge w:val="restart"/>
            <w:vAlign w:val="center"/>
          </w:tcPr>
          <w:p w14:paraId="0CE6CC6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круглосуточно</w:t>
            </w:r>
          </w:p>
        </w:tc>
        <w:tc>
          <w:tcPr>
            <w:tcW w:w="1984" w:type="dxa"/>
            <w:vMerge w:val="restart"/>
            <w:vAlign w:val="center"/>
          </w:tcPr>
          <w:p w14:paraId="0D3D555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легковой</w:t>
            </w:r>
          </w:p>
        </w:tc>
        <w:tc>
          <w:tcPr>
            <w:tcW w:w="1389" w:type="dxa"/>
            <w:vMerge w:val="restart"/>
            <w:vAlign w:val="center"/>
          </w:tcPr>
          <w:p w14:paraId="04FF484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680</w:t>
            </w:r>
          </w:p>
        </w:tc>
      </w:tr>
      <w:tr w:rsidR="00171AA8" w:rsidRPr="00731FE2" w14:paraId="0A5C7097" w14:textId="77777777">
        <w:trPr>
          <w:trHeight w:val="253"/>
        </w:trPr>
        <w:tc>
          <w:tcPr>
            <w:tcW w:w="425" w:type="dxa"/>
            <w:vMerge w:val="restart"/>
            <w:vAlign w:val="center"/>
          </w:tcPr>
          <w:p w14:paraId="1BF88F8E" w14:textId="77777777" w:rsidR="00171AA8" w:rsidRPr="00731FE2" w:rsidRDefault="007935AB" w:rsidP="007832E7">
            <w:pPr>
              <w:numPr>
                <w:ilvl w:val="0"/>
                <w:numId w:val="48"/>
              </w:numPr>
              <w:pBdr>
                <w:top w:val="none" w:sz="4" w:space="0" w:color="000000"/>
                <w:left w:val="none" w:sz="4" w:space="0" w:color="000000"/>
                <w:bottom w:val="none" w:sz="4" w:space="0" w:color="000000"/>
                <w:right w:val="none" w:sz="4" w:space="0" w:color="000000"/>
              </w:pBdr>
              <w:ind w:left="0"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0</w:t>
            </w:r>
          </w:p>
        </w:tc>
        <w:tc>
          <w:tcPr>
            <w:tcW w:w="4252" w:type="dxa"/>
            <w:vMerge w:val="restart"/>
            <w:vAlign w:val="center"/>
          </w:tcPr>
          <w:p w14:paraId="29A801D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ул. Фоменко 102</w:t>
            </w:r>
          </w:p>
        </w:tc>
        <w:tc>
          <w:tcPr>
            <w:tcW w:w="2267" w:type="dxa"/>
            <w:vMerge w:val="restart"/>
            <w:vAlign w:val="center"/>
          </w:tcPr>
          <w:p w14:paraId="2D5B8B5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наземная/открытая</w:t>
            </w:r>
          </w:p>
        </w:tc>
        <w:tc>
          <w:tcPr>
            <w:tcW w:w="2693" w:type="dxa"/>
            <w:vMerge w:val="restart"/>
            <w:vAlign w:val="center"/>
          </w:tcPr>
          <w:p w14:paraId="2BFD7A9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бесплатная/не охраняемая</w:t>
            </w:r>
          </w:p>
        </w:tc>
        <w:tc>
          <w:tcPr>
            <w:tcW w:w="1559" w:type="dxa"/>
            <w:vMerge w:val="restart"/>
            <w:vAlign w:val="center"/>
          </w:tcPr>
          <w:p w14:paraId="3654177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круглосуточно</w:t>
            </w:r>
          </w:p>
        </w:tc>
        <w:tc>
          <w:tcPr>
            <w:tcW w:w="1984" w:type="dxa"/>
            <w:vMerge w:val="restart"/>
            <w:vAlign w:val="center"/>
          </w:tcPr>
          <w:p w14:paraId="5314332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легковой</w:t>
            </w:r>
          </w:p>
        </w:tc>
        <w:tc>
          <w:tcPr>
            <w:tcW w:w="1389" w:type="dxa"/>
            <w:vMerge w:val="restart"/>
            <w:vAlign w:val="center"/>
          </w:tcPr>
          <w:p w14:paraId="48FC191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260</w:t>
            </w:r>
          </w:p>
        </w:tc>
      </w:tr>
      <w:tr w:rsidR="00171AA8" w:rsidRPr="00731FE2" w14:paraId="16425C9C" w14:textId="77777777">
        <w:trPr>
          <w:trHeight w:val="253"/>
        </w:trPr>
        <w:tc>
          <w:tcPr>
            <w:tcW w:w="425" w:type="dxa"/>
            <w:vMerge w:val="restart"/>
            <w:vAlign w:val="center"/>
          </w:tcPr>
          <w:p w14:paraId="1757F86C" w14:textId="77777777" w:rsidR="00171AA8" w:rsidRPr="00731FE2" w:rsidRDefault="007935AB" w:rsidP="007832E7">
            <w:pPr>
              <w:numPr>
                <w:ilvl w:val="0"/>
                <w:numId w:val="48"/>
              </w:numPr>
              <w:pBdr>
                <w:top w:val="none" w:sz="4" w:space="0" w:color="000000"/>
                <w:left w:val="none" w:sz="4" w:space="0" w:color="000000"/>
                <w:bottom w:val="none" w:sz="4" w:space="0" w:color="000000"/>
                <w:right w:val="none" w:sz="4" w:space="0" w:color="000000"/>
              </w:pBdr>
              <w:ind w:left="0"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 </w:t>
            </w:r>
          </w:p>
        </w:tc>
        <w:tc>
          <w:tcPr>
            <w:tcW w:w="4252" w:type="dxa"/>
            <w:vMerge w:val="restart"/>
            <w:vAlign w:val="center"/>
          </w:tcPr>
          <w:p w14:paraId="24E1F71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ул. Фоменко 25</w:t>
            </w:r>
          </w:p>
        </w:tc>
        <w:tc>
          <w:tcPr>
            <w:tcW w:w="2267" w:type="dxa"/>
            <w:vMerge w:val="restart"/>
            <w:vAlign w:val="center"/>
          </w:tcPr>
          <w:p w14:paraId="0BD1F00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наземная/открытая</w:t>
            </w:r>
          </w:p>
        </w:tc>
        <w:tc>
          <w:tcPr>
            <w:tcW w:w="2693" w:type="dxa"/>
            <w:vMerge w:val="restart"/>
            <w:vAlign w:val="center"/>
          </w:tcPr>
          <w:p w14:paraId="0FF0E90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бесплатная/не охраняемая</w:t>
            </w:r>
          </w:p>
        </w:tc>
        <w:tc>
          <w:tcPr>
            <w:tcW w:w="1559" w:type="dxa"/>
            <w:vMerge w:val="restart"/>
            <w:vAlign w:val="center"/>
          </w:tcPr>
          <w:p w14:paraId="2828476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круглосуточно</w:t>
            </w:r>
          </w:p>
        </w:tc>
        <w:tc>
          <w:tcPr>
            <w:tcW w:w="1984" w:type="dxa"/>
            <w:vMerge w:val="restart"/>
            <w:vAlign w:val="center"/>
          </w:tcPr>
          <w:p w14:paraId="2C48D59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легковой</w:t>
            </w:r>
          </w:p>
        </w:tc>
        <w:tc>
          <w:tcPr>
            <w:tcW w:w="1389" w:type="dxa"/>
            <w:vMerge w:val="restart"/>
            <w:vAlign w:val="center"/>
          </w:tcPr>
          <w:p w14:paraId="01362BF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200</w:t>
            </w:r>
          </w:p>
        </w:tc>
      </w:tr>
      <w:tr w:rsidR="00171AA8" w:rsidRPr="00731FE2" w14:paraId="0BA9375A" w14:textId="77777777">
        <w:trPr>
          <w:trHeight w:val="253"/>
        </w:trPr>
        <w:tc>
          <w:tcPr>
            <w:tcW w:w="425" w:type="dxa"/>
            <w:vMerge w:val="restart"/>
            <w:vAlign w:val="center"/>
          </w:tcPr>
          <w:p w14:paraId="0AE77C08" w14:textId="77777777" w:rsidR="00171AA8" w:rsidRPr="00731FE2" w:rsidRDefault="007935AB" w:rsidP="007832E7">
            <w:pPr>
              <w:numPr>
                <w:ilvl w:val="0"/>
                <w:numId w:val="48"/>
              </w:numPr>
              <w:pBdr>
                <w:top w:val="none" w:sz="4" w:space="0" w:color="000000"/>
                <w:left w:val="none" w:sz="4" w:space="0" w:color="000000"/>
                <w:bottom w:val="none" w:sz="4" w:space="0" w:color="000000"/>
                <w:right w:val="none" w:sz="4" w:space="0" w:color="000000"/>
              </w:pBdr>
              <w:ind w:left="0"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 </w:t>
            </w:r>
          </w:p>
        </w:tc>
        <w:tc>
          <w:tcPr>
            <w:tcW w:w="4252" w:type="dxa"/>
            <w:vMerge w:val="restart"/>
            <w:vAlign w:val="center"/>
          </w:tcPr>
          <w:p w14:paraId="6D8DF61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ул. Фоменко 21</w:t>
            </w:r>
          </w:p>
        </w:tc>
        <w:tc>
          <w:tcPr>
            <w:tcW w:w="2267" w:type="dxa"/>
            <w:vMerge w:val="restart"/>
            <w:vAlign w:val="center"/>
          </w:tcPr>
          <w:p w14:paraId="7A26B4D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наземная/открытая</w:t>
            </w:r>
          </w:p>
        </w:tc>
        <w:tc>
          <w:tcPr>
            <w:tcW w:w="2693" w:type="dxa"/>
            <w:vMerge w:val="restart"/>
            <w:vAlign w:val="center"/>
          </w:tcPr>
          <w:p w14:paraId="39F5AF7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бесплатная/не охраняемая</w:t>
            </w:r>
          </w:p>
        </w:tc>
        <w:tc>
          <w:tcPr>
            <w:tcW w:w="1559" w:type="dxa"/>
            <w:vMerge w:val="restart"/>
            <w:vAlign w:val="center"/>
          </w:tcPr>
          <w:p w14:paraId="2158799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круглосуточно</w:t>
            </w:r>
          </w:p>
        </w:tc>
        <w:tc>
          <w:tcPr>
            <w:tcW w:w="1984" w:type="dxa"/>
            <w:vMerge w:val="restart"/>
            <w:vAlign w:val="center"/>
          </w:tcPr>
          <w:p w14:paraId="5A3C584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легковой</w:t>
            </w:r>
          </w:p>
        </w:tc>
        <w:tc>
          <w:tcPr>
            <w:tcW w:w="1389" w:type="dxa"/>
            <w:vMerge w:val="restart"/>
            <w:vAlign w:val="center"/>
          </w:tcPr>
          <w:p w14:paraId="5813D39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100</w:t>
            </w:r>
          </w:p>
        </w:tc>
      </w:tr>
      <w:tr w:rsidR="00171AA8" w:rsidRPr="00731FE2" w14:paraId="3192C20E" w14:textId="77777777">
        <w:trPr>
          <w:trHeight w:val="253"/>
        </w:trPr>
        <w:tc>
          <w:tcPr>
            <w:tcW w:w="425" w:type="dxa"/>
            <w:vMerge w:val="restart"/>
            <w:vAlign w:val="center"/>
          </w:tcPr>
          <w:p w14:paraId="75BD35F5" w14:textId="77777777" w:rsidR="00171AA8" w:rsidRPr="00731FE2" w:rsidRDefault="007935AB" w:rsidP="007832E7">
            <w:pPr>
              <w:numPr>
                <w:ilvl w:val="0"/>
                <w:numId w:val="48"/>
              </w:numPr>
              <w:pBdr>
                <w:top w:val="none" w:sz="4" w:space="0" w:color="000000"/>
                <w:left w:val="none" w:sz="4" w:space="0" w:color="000000"/>
                <w:bottom w:val="none" w:sz="4" w:space="0" w:color="000000"/>
                <w:right w:val="none" w:sz="4" w:space="0" w:color="000000"/>
              </w:pBdr>
              <w:ind w:left="0"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 </w:t>
            </w:r>
          </w:p>
        </w:tc>
        <w:tc>
          <w:tcPr>
            <w:tcW w:w="4252" w:type="dxa"/>
            <w:vMerge w:val="restart"/>
            <w:vAlign w:val="center"/>
          </w:tcPr>
          <w:p w14:paraId="76CBF60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ул. Октябрьская 31</w:t>
            </w:r>
          </w:p>
        </w:tc>
        <w:tc>
          <w:tcPr>
            <w:tcW w:w="2267" w:type="dxa"/>
            <w:vMerge w:val="restart"/>
            <w:vAlign w:val="center"/>
          </w:tcPr>
          <w:p w14:paraId="09AA7ED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наземная/открытая</w:t>
            </w:r>
          </w:p>
        </w:tc>
        <w:tc>
          <w:tcPr>
            <w:tcW w:w="2693" w:type="dxa"/>
            <w:vMerge w:val="restart"/>
            <w:vAlign w:val="center"/>
          </w:tcPr>
          <w:p w14:paraId="6CD0507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бесплатная/не охраняемая</w:t>
            </w:r>
          </w:p>
        </w:tc>
        <w:tc>
          <w:tcPr>
            <w:tcW w:w="1559" w:type="dxa"/>
            <w:vMerge w:val="restart"/>
            <w:vAlign w:val="center"/>
          </w:tcPr>
          <w:p w14:paraId="0EAC1A6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круглосуточно</w:t>
            </w:r>
          </w:p>
        </w:tc>
        <w:tc>
          <w:tcPr>
            <w:tcW w:w="1984" w:type="dxa"/>
            <w:vMerge w:val="restart"/>
            <w:vAlign w:val="center"/>
          </w:tcPr>
          <w:p w14:paraId="7B7DE9B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легковой</w:t>
            </w:r>
          </w:p>
        </w:tc>
        <w:tc>
          <w:tcPr>
            <w:tcW w:w="1389" w:type="dxa"/>
            <w:vMerge w:val="restart"/>
            <w:vAlign w:val="center"/>
          </w:tcPr>
          <w:p w14:paraId="287BD47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140</w:t>
            </w:r>
          </w:p>
        </w:tc>
      </w:tr>
      <w:tr w:rsidR="00171AA8" w:rsidRPr="00731FE2" w14:paraId="5D866A83" w14:textId="77777777">
        <w:trPr>
          <w:trHeight w:val="253"/>
        </w:trPr>
        <w:tc>
          <w:tcPr>
            <w:tcW w:w="425" w:type="dxa"/>
            <w:vMerge w:val="restart"/>
            <w:vAlign w:val="center"/>
          </w:tcPr>
          <w:p w14:paraId="662B7158" w14:textId="77777777" w:rsidR="00171AA8" w:rsidRPr="00731FE2" w:rsidRDefault="007935AB" w:rsidP="007832E7">
            <w:pPr>
              <w:numPr>
                <w:ilvl w:val="0"/>
                <w:numId w:val="48"/>
              </w:numPr>
              <w:pBdr>
                <w:top w:val="none" w:sz="4" w:space="0" w:color="000000"/>
                <w:left w:val="none" w:sz="4" w:space="0" w:color="000000"/>
                <w:bottom w:val="none" w:sz="4" w:space="0" w:color="000000"/>
                <w:right w:val="none" w:sz="4" w:space="0" w:color="000000"/>
              </w:pBdr>
              <w:ind w:left="0"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 </w:t>
            </w:r>
          </w:p>
        </w:tc>
        <w:tc>
          <w:tcPr>
            <w:tcW w:w="4252" w:type="dxa"/>
            <w:vMerge w:val="restart"/>
            <w:vAlign w:val="center"/>
          </w:tcPr>
          <w:p w14:paraId="2BA82A2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ул. Аджарская 4</w:t>
            </w:r>
          </w:p>
        </w:tc>
        <w:tc>
          <w:tcPr>
            <w:tcW w:w="2267" w:type="dxa"/>
            <w:vMerge w:val="restart"/>
            <w:vAlign w:val="center"/>
          </w:tcPr>
          <w:p w14:paraId="6D65738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наземная/открытая</w:t>
            </w:r>
          </w:p>
        </w:tc>
        <w:tc>
          <w:tcPr>
            <w:tcW w:w="2693" w:type="dxa"/>
            <w:vMerge w:val="restart"/>
            <w:vAlign w:val="center"/>
          </w:tcPr>
          <w:p w14:paraId="680D003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бесплатная/не охраняемая</w:t>
            </w:r>
          </w:p>
        </w:tc>
        <w:tc>
          <w:tcPr>
            <w:tcW w:w="1559" w:type="dxa"/>
            <w:vMerge w:val="restart"/>
            <w:vAlign w:val="center"/>
          </w:tcPr>
          <w:p w14:paraId="55CD3A0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круглосуточно</w:t>
            </w:r>
          </w:p>
        </w:tc>
        <w:tc>
          <w:tcPr>
            <w:tcW w:w="1984" w:type="dxa"/>
            <w:vMerge w:val="restart"/>
            <w:vAlign w:val="center"/>
          </w:tcPr>
          <w:p w14:paraId="3D3823C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легковой</w:t>
            </w:r>
          </w:p>
        </w:tc>
        <w:tc>
          <w:tcPr>
            <w:tcW w:w="1389" w:type="dxa"/>
            <w:vMerge w:val="restart"/>
            <w:vAlign w:val="center"/>
          </w:tcPr>
          <w:p w14:paraId="2DC0EE6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280</w:t>
            </w:r>
          </w:p>
        </w:tc>
      </w:tr>
      <w:tr w:rsidR="00171AA8" w:rsidRPr="00731FE2" w14:paraId="4AAF7FAA" w14:textId="77777777">
        <w:trPr>
          <w:trHeight w:val="253"/>
        </w:trPr>
        <w:tc>
          <w:tcPr>
            <w:tcW w:w="425" w:type="dxa"/>
            <w:vMerge w:val="restart"/>
            <w:vAlign w:val="center"/>
          </w:tcPr>
          <w:p w14:paraId="08B10AEB" w14:textId="77777777" w:rsidR="00171AA8" w:rsidRPr="00731FE2" w:rsidRDefault="007935AB" w:rsidP="007832E7">
            <w:pPr>
              <w:numPr>
                <w:ilvl w:val="0"/>
                <w:numId w:val="48"/>
              </w:numPr>
              <w:pBdr>
                <w:top w:val="none" w:sz="4" w:space="0" w:color="000000"/>
                <w:left w:val="none" w:sz="4" w:space="0" w:color="000000"/>
                <w:bottom w:val="none" w:sz="4" w:space="0" w:color="000000"/>
                <w:right w:val="none" w:sz="4" w:space="0" w:color="000000"/>
              </w:pBdr>
              <w:ind w:left="0"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 </w:t>
            </w:r>
          </w:p>
        </w:tc>
        <w:tc>
          <w:tcPr>
            <w:tcW w:w="4252" w:type="dxa"/>
            <w:vMerge w:val="restart"/>
            <w:vAlign w:val="center"/>
          </w:tcPr>
          <w:p w14:paraId="0AFC9F5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ул. Седлогорская 81</w:t>
            </w:r>
          </w:p>
        </w:tc>
        <w:tc>
          <w:tcPr>
            <w:tcW w:w="2267" w:type="dxa"/>
            <w:vMerge w:val="restart"/>
            <w:vAlign w:val="center"/>
          </w:tcPr>
          <w:p w14:paraId="187A329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наземная/открытая</w:t>
            </w:r>
          </w:p>
        </w:tc>
        <w:tc>
          <w:tcPr>
            <w:tcW w:w="2693" w:type="dxa"/>
            <w:vMerge w:val="restart"/>
            <w:vAlign w:val="center"/>
          </w:tcPr>
          <w:p w14:paraId="22F2834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бесплатная/не охраняемая</w:t>
            </w:r>
          </w:p>
        </w:tc>
        <w:tc>
          <w:tcPr>
            <w:tcW w:w="1559" w:type="dxa"/>
            <w:vMerge w:val="restart"/>
            <w:vAlign w:val="center"/>
          </w:tcPr>
          <w:p w14:paraId="4CA1E5E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круглосуточно</w:t>
            </w:r>
          </w:p>
        </w:tc>
        <w:tc>
          <w:tcPr>
            <w:tcW w:w="1984" w:type="dxa"/>
            <w:vMerge w:val="restart"/>
            <w:vAlign w:val="center"/>
          </w:tcPr>
          <w:p w14:paraId="79FE66F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легковой</w:t>
            </w:r>
          </w:p>
        </w:tc>
        <w:tc>
          <w:tcPr>
            <w:tcW w:w="1389" w:type="dxa"/>
            <w:vMerge w:val="restart"/>
            <w:vAlign w:val="center"/>
          </w:tcPr>
          <w:p w14:paraId="2FC243C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120</w:t>
            </w:r>
          </w:p>
        </w:tc>
      </w:tr>
      <w:tr w:rsidR="00171AA8" w:rsidRPr="00731FE2" w14:paraId="70AE50F2" w14:textId="77777777">
        <w:trPr>
          <w:trHeight w:val="253"/>
        </w:trPr>
        <w:tc>
          <w:tcPr>
            <w:tcW w:w="425" w:type="dxa"/>
            <w:vMerge w:val="restart"/>
            <w:vAlign w:val="center"/>
          </w:tcPr>
          <w:p w14:paraId="49C16A15" w14:textId="77777777" w:rsidR="00171AA8" w:rsidRPr="00731FE2" w:rsidRDefault="007935AB" w:rsidP="007832E7">
            <w:pPr>
              <w:numPr>
                <w:ilvl w:val="0"/>
                <w:numId w:val="48"/>
              </w:numPr>
              <w:pBdr>
                <w:top w:val="none" w:sz="4" w:space="0" w:color="000000"/>
                <w:left w:val="none" w:sz="4" w:space="0" w:color="000000"/>
                <w:bottom w:val="none" w:sz="4" w:space="0" w:color="000000"/>
                <w:right w:val="none" w:sz="4" w:space="0" w:color="000000"/>
              </w:pBdr>
              <w:ind w:left="0"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 </w:t>
            </w:r>
          </w:p>
        </w:tc>
        <w:tc>
          <w:tcPr>
            <w:tcW w:w="4252" w:type="dxa"/>
            <w:vMerge w:val="restart"/>
            <w:vAlign w:val="center"/>
          </w:tcPr>
          <w:p w14:paraId="1C0F92D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ул. Седлогорская 89</w:t>
            </w:r>
          </w:p>
        </w:tc>
        <w:tc>
          <w:tcPr>
            <w:tcW w:w="2267" w:type="dxa"/>
            <w:vMerge w:val="restart"/>
            <w:vAlign w:val="center"/>
          </w:tcPr>
          <w:p w14:paraId="1C818C4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наземная/открытая</w:t>
            </w:r>
          </w:p>
        </w:tc>
        <w:tc>
          <w:tcPr>
            <w:tcW w:w="2693" w:type="dxa"/>
            <w:vMerge w:val="restart"/>
            <w:vAlign w:val="center"/>
          </w:tcPr>
          <w:p w14:paraId="30EEC2B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бесплатная/не охраняемая</w:t>
            </w:r>
          </w:p>
        </w:tc>
        <w:tc>
          <w:tcPr>
            <w:tcW w:w="1559" w:type="dxa"/>
            <w:vMerge w:val="restart"/>
            <w:vAlign w:val="center"/>
          </w:tcPr>
          <w:p w14:paraId="52B131F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круглосуточно</w:t>
            </w:r>
          </w:p>
        </w:tc>
        <w:tc>
          <w:tcPr>
            <w:tcW w:w="1984" w:type="dxa"/>
            <w:vMerge w:val="restart"/>
            <w:vAlign w:val="center"/>
          </w:tcPr>
          <w:p w14:paraId="72D7774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легковой</w:t>
            </w:r>
          </w:p>
        </w:tc>
        <w:tc>
          <w:tcPr>
            <w:tcW w:w="1389" w:type="dxa"/>
            <w:vMerge w:val="restart"/>
            <w:vAlign w:val="center"/>
          </w:tcPr>
          <w:p w14:paraId="4F07936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320</w:t>
            </w:r>
          </w:p>
        </w:tc>
      </w:tr>
      <w:tr w:rsidR="00171AA8" w:rsidRPr="00731FE2" w14:paraId="61714F9B" w14:textId="77777777">
        <w:trPr>
          <w:trHeight w:val="253"/>
        </w:trPr>
        <w:tc>
          <w:tcPr>
            <w:tcW w:w="425" w:type="dxa"/>
            <w:vMerge w:val="restart"/>
            <w:vAlign w:val="center"/>
          </w:tcPr>
          <w:p w14:paraId="6A644A26" w14:textId="77777777" w:rsidR="00171AA8" w:rsidRPr="00731FE2" w:rsidRDefault="007935AB" w:rsidP="007832E7">
            <w:pPr>
              <w:numPr>
                <w:ilvl w:val="0"/>
                <w:numId w:val="48"/>
              </w:numPr>
              <w:pBdr>
                <w:top w:val="none" w:sz="4" w:space="0" w:color="000000"/>
                <w:left w:val="none" w:sz="4" w:space="0" w:color="000000"/>
                <w:bottom w:val="none" w:sz="4" w:space="0" w:color="000000"/>
                <w:right w:val="none" w:sz="4" w:space="0" w:color="000000"/>
              </w:pBdr>
              <w:ind w:left="0"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 </w:t>
            </w:r>
          </w:p>
        </w:tc>
        <w:tc>
          <w:tcPr>
            <w:tcW w:w="4252" w:type="dxa"/>
            <w:vMerge w:val="restart"/>
            <w:vAlign w:val="center"/>
          </w:tcPr>
          <w:p w14:paraId="247D85E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пр. Дзержинского 49</w:t>
            </w:r>
          </w:p>
        </w:tc>
        <w:tc>
          <w:tcPr>
            <w:tcW w:w="2267" w:type="dxa"/>
            <w:vMerge w:val="restart"/>
            <w:vAlign w:val="center"/>
          </w:tcPr>
          <w:p w14:paraId="7E877AB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наземная/открытая</w:t>
            </w:r>
          </w:p>
        </w:tc>
        <w:tc>
          <w:tcPr>
            <w:tcW w:w="2693" w:type="dxa"/>
            <w:vMerge w:val="restart"/>
            <w:vAlign w:val="center"/>
          </w:tcPr>
          <w:p w14:paraId="2E7B790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бесплатная/не охраняемая</w:t>
            </w:r>
          </w:p>
        </w:tc>
        <w:tc>
          <w:tcPr>
            <w:tcW w:w="1559" w:type="dxa"/>
            <w:vMerge w:val="restart"/>
            <w:vAlign w:val="center"/>
          </w:tcPr>
          <w:p w14:paraId="51DDC99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круглосуточно</w:t>
            </w:r>
          </w:p>
        </w:tc>
        <w:tc>
          <w:tcPr>
            <w:tcW w:w="1984" w:type="dxa"/>
            <w:vMerge w:val="restart"/>
            <w:vAlign w:val="center"/>
          </w:tcPr>
          <w:p w14:paraId="448BA8D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легковой</w:t>
            </w:r>
          </w:p>
        </w:tc>
        <w:tc>
          <w:tcPr>
            <w:tcW w:w="1389" w:type="dxa"/>
            <w:vMerge w:val="restart"/>
            <w:vAlign w:val="center"/>
          </w:tcPr>
          <w:p w14:paraId="3CD8BA5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180</w:t>
            </w:r>
          </w:p>
        </w:tc>
      </w:tr>
      <w:tr w:rsidR="00171AA8" w:rsidRPr="00731FE2" w14:paraId="0B7F5897" w14:textId="77777777">
        <w:trPr>
          <w:trHeight w:val="253"/>
        </w:trPr>
        <w:tc>
          <w:tcPr>
            <w:tcW w:w="425" w:type="dxa"/>
            <w:vMerge w:val="restart"/>
            <w:vAlign w:val="center"/>
          </w:tcPr>
          <w:p w14:paraId="5307C965" w14:textId="77777777" w:rsidR="00171AA8" w:rsidRPr="00731FE2" w:rsidRDefault="007935AB" w:rsidP="007832E7">
            <w:pPr>
              <w:numPr>
                <w:ilvl w:val="0"/>
                <w:numId w:val="48"/>
              </w:numPr>
              <w:pBdr>
                <w:top w:val="none" w:sz="4" w:space="0" w:color="000000"/>
                <w:left w:val="none" w:sz="4" w:space="0" w:color="000000"/>
                <w:bottom w:val="none" w:sz="4" w:space="0" w:color="000000"/>
                <w:right w:val="none" w:sz="4" w:space="0" w:color="000000"/>
              </w:pBdr>
              <w:ind w:left="0"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 </w:t>
            </w:r>
          </w:p>
        </w:tc>
        <w:tc>
          <w:tcPr>
            <w:tcW w:w="4252" w:type="dxa"/>
            <w:vMerge w:val="restart"/>
            <w:vAlign w:val="center"/>
          </w:tcPr>
          <w:p w14:paraId="6CC60A9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пр. Дзержинского 4А</w:t>
            </w:r>
          </w:p>
        </w:tc>
        <w:tc>
          <w:tcPr>
            <w:tcW w:w="2267" w:type="dxa"/>
            <w:vMerge w:val="restart"/>
            <w:vAlign w:val="center"/>
          </w:tcPr>
          <w:p w14:paraId="0491606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наземная/открытая</w:t>
            </w:r>
          </w:p>
        </w:tc>
        <w:tc>
          <w:tcPr>
            <w:tcW w:w="2693" w:type="dxa"/>
            <w:vMerge w:val="restart"/>
            <w:vAlign w:val="center"/>
          </w:tcPr>
          <w:p w14:paraId="582D358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бесплатная/не охраняемая</w:t>
            </w:r>
          </w:p>
        </w:tc>
        <w:tc>
          <w:tcPr>
            <w:tcW w:w="1559" w:type="dxa"/>
            <w:vMerge w:val="restart"/>
            <w:vAlign w:val="center"/>
          </w:tcPr>
          <w:p w14:paraId="596A4BA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круглосуточно</w:t>
            </w:r>
          </w:p>
        </w:tc>
        <w:tc>
          <w:tcPr>
            <w:tcW w:w="1984" w:type="dxa"/>
            <w:vMerge w:val="restart"/>
            <w:vAlign w:val="center"/>
          </w:tcPr>
          <w:p w14:paraId="5DE57C4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легковой</w:t>
            </w:r>
          </w:p>
        </w:tc>
        <w:tc>
          <w:tcPr>
            <w:tcW w:w="1389" w:type="dxa"/>
            <w:vMerge w:val="restart"/>
            <w:vAlign w:val="center"/>
          </w:tcPr>
          <w:p w14:paraId="47DD2FC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160</w:t>
            </w:r>
          </w:p>
        </w:tc>
      </w:tr>
      <w:tr w:rsidR="00171AA8" w:rsidRPr="00731FE2" w14:paraId="12060AC3" w14:textId="77777777">
        <w:trPr>
          <w:trHeight w:val="253"/>
        </w:trPr>
        <w:tc>
          <w:tcPr>
            <w:tcW w:w="425" w:type="dxa"/>
            <w:vMerge w:val="restart"/>
            <w:vAlign w:val="center"/>
          </w:tcPr>
          <w:p w14:paraId="2F76442A" w14:textId="77777777" w:rsidR="00171AA8" w:rsidRPr="00731FE2" w:rsidRDefault="007935AB" w:rsidP="007832E7">
            <w:pPr>
              <w:numPr>
                <w:ilvl w:val="0"/>
                <w:numId w:val="48"/>
              </w:numPr>
              <w:pBdr>
                <w:top w:val="none" w:sz="4" w:space="0" w:color="000000"/>
                <w:left w:val="none" w:sz="4" w:space="0" w:color="000000"/>
                <w:bottom w:val="none" w:sz="4" w:space="0" w:color="000000"/>
                <w:right w:val="none" w:sz="4" w:space="0" w:color="000000"/>
              </w:pBdr>
              <w:ind w:left="0"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 </w:t>
            </w:r>
          </w:p>
        </w:tc>
        <w:tc>
          <w:tcPr>
            <w:tcW w:w="4252" w:type="dxa"/>
            <w:vMerge w:val="restart"/>
            <w:vAlign w:val="center"/>
          </w:tcPr>
          <w:p w14:paraId="6721D8A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ул. Б. Хмельницкого 3</w:t>
            </w:r>
          </w:p>
        </w:tc>
        <w:tc>
          <w:tcPr>
            <w:tcW w:w="2267" w:type="dxa"/>
            <w:vMerge w:val="restart"/>
            <w:vAlign w:val="center"/>
          </w:tcPr>
          <w:p w14:paraId="1881268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наземная/открытая</w:t>
            </w:r>
          </w:p>
        </w:tc>
        <w:tc>
          <w:tcPr>
            <w:tcW w:w="2693" w:type="dxa"/>
            <w:vMerge w:val="restart"/>
            <w:vAlign w:val="center"/>
          </w:tcPr>
          <w:p w14:paraId="2DAFFB2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бесплатная/не охраняемая</w:t>
            </w:r>
          </w:p>
        </w:tc>
        <w:tc>
          <w:tcPr>
            <w:tcW w:w="1559" w:type="dxa"/>
            <w:vMerge w:val="restart"/>
            <w:vAlign w:val="center"/>
          </w:tcPr>
          <w:p w14:paraId="53431FD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круглосуточно</w:t>
            </w:r>
          </w:p>
        </w:tc>
        <w:tc>
          <w:tcPr>
            <w:tcW w:w="1984" w:type="dxa"/>
            <w:vMerge w:val="restart"/>
            <w:vAlign w:val="center"/>
          </w:tcPr>
          <w:p w14:paraId="512A8EE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легковой</w:t>
            </w:r>
          </w:p>
        </w:tc>
        <w:tc>
          <w:tcPr>
            <w:tcW w:w="1389" w:type="dxa"/>
            <w:vMerge w:val="restart"/>
            <w:vAlign w:val="center"/>
          </w:tcPr>
          <w:p w14:paraId="68B8BBB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260</w:t>
            </w:r>
          </w:p>
        </w:tc>
      </w:tr>
      <w:tr w:rsidR="00171AA8" w:rsidRPr="00731FE2" w14:paraId="28C49C57" w14:textId="77777777">
        <w:trPr>
          <w:trHeight w:val="253"/>
        </w:trPr>
        <w:tc>
          <w:tcPr>
            <w:tcW w:w="425" w:type="dxa"/>
            <w:vMerge w:val="restart"/>
            <w:vAlign w:val="center"/>
          </w:tcPr>
          <w:p w14:paraId="0CD7A5EC" w14:textId="77777777" w:rsidR="00171AA8" w:rsidRPr="00731FE2" w:rsidRDefault="007935AB" w:rsidP="007832E7">
            <w:pPr>
              <w:numPr>
                <w:ilvl w:val="0"/>
                <w:numId w:val="48"/>
              </w:numPr>
              <w:pBdr>
                <w:top w:val="none" w:sz="4" w:space="0" w:color="000000"/>
                <w:left w:val="none" w:sz="4" w:space="0" w:color="000000"/>
                <w:bottom w:val="none" w:sz="4" w:space="0" w:color="000000"/>
                <w:right w:val="none" w:sz="4" w:space="0" w:color="000000"/>
              </w:pBdr>
              <w:ind w:left="0"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 </w:t>
            </w:r>
          </w:p>
        </w:tc>
        <w:tc>
          <w:tcPr>
            <w:tcW w:w="4252" w:type="dxa"/>
            <w:vMerge w:val="restart"/>
            <w:vAlign w:val="center"/>
          </w:tcPr>
          <w:p w14:paraId="4805025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ул. Широкая 35</w:t>
            </w:r>
          </w:p>
        </w:tc>
        <w:tc>
          <w:tcPr>
            <w:tcW w:w="2267" w:type="dxa"/>
            <w:vMerge w:val="restart"/>
            <w:vAlign w:val="center"/>
          </w:tcPr>
          <w:p w14:paraId="0338630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наземная/открытая</w:t>
            </w:r>
          </w:p>
        </w:tc>
        <w:tc>
          <w:tcPr>
            <w:tcW w:w="2693" w:type="dxa"/>
            <w:vMerge w:val="restart"/>
            <w:vAlign w:val="center"/>
          </w:tcPr>
          <w:p w14:paraId="253BFB0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бесплатная/не охраняемая</w:t>
            </w:r>
          </w:p>
        </w:tc>
        <w:tc>
          <w:tcPr>
            <w:tcW w:w="1559" w:type="dxa"/>
            <w:vMerge w:val="restart"/>
            <w:vAlign w:val="center"/>
          </w:tcPr>
          <w:p w14:paraId="091B171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круглосуточно</w:t>
            </w:r>
          </w:p>
        </w:tc>
        <w:tc>
          <w:tcPr>
            <w:tcW w:w="1984" w:type="dxa"/>
            <w:vMerge w:val="restart"/>
            <w:vAlign w:val="center"/>
          </w:tcPr>
          <w:p w14:paraId="6F509C8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легковой</w:t>
            </w:r>
          </w:p>
        </w:tc>
        <w:tc>
          <w:tcPr>
            <w:tcW w:w="1389" w:type="dxa"/>
            <w:vMerge w:val="restart"/>
            <w:vAlign w:val="center"/>
          </w:tcPr>
          <w:p w14:paraId="0291A71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120</w:t>
            </w:r>
          </w:p>
        </w:tc>
      </w:tr>
      <w:tr w:rsidR="00171AA8" w:rsidRPr="00731FE2" w14:paraId="41EA44B4" w14:textId="77777777">
        <w:trPr>
          <w:trHeight w:val="253"/>
        </w:trPr>
        <w:tc>
          <w:tcPr>
            <w:tcW w:w="425" w:type="dxa"/>
            <w:vMerge w:val="restart"/>
            <w:vAlign w:val="center"/>
          </w:tcPr>
          <w:p w14:paraId="19AE6DCF" w14:textId="77777777" w:rsidR="00171AA8" w:rsidRPr="00731FE2" w:rsidRDefault="007935AB" w:rsidP="007832E7">
            <w:pPr>
              <w:numPr>
                <w:ilvl w:val="0"/>
                <w:numId w:val="48"/>
              </w:numPr>
              <w:pBdr>
                <w:top w:val="none" w:sz="4" w:space="0" w:color="000000"/>
                <w:left w:val="none" w:sz="4" w:space="0" w:color="000000"/>
                <w:bottom w:val="none" w:sz="4" w:space="0" w:color="000000"/>
                <w:right w:val="none" w:sz="4" w:space="0" w:color="000000"/>
              </w:pBdr>
              <w:ind w:left="0"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 </w:t>
            </w:r>
          </w:p>
        </w:tc>
        <w:tc>
          <w:tcPr>
            <w:tcW w:w="4252" w:type="dxa"/>
            <w:vMerge w:val="restart"/>
            <w:vAlign w:val="center"/>
          </w:tcPr>
          <w:p w14:paraId="53B74B2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ул. Широкая 40</w:t>
            </w:r>
          </w:p>
        </w:tc>
        <w:tc>
          <w:tcPr>
            <w:tcW w:w="2267" w:type="dxa"/>
            <w:vMerge w:val="restart"/>
            <w:vAlign w:val="center"/>
          </w:tcPr>
          <w:p w14:paraId="39CB16C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наземная/открытая</w:t>
            </w:r>
          </w:p>
        </w:tc>
        <w:tc>
          <w:tcPr>
            <w:tcW w:w="2693" w:type="dxa"/>
            <w:vMerge w:val="restart"/>
            <w:vAlign w:val="center"/>
          </w:tcPr>
          <w:p w14:paraId="3F356A3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бесплатная/не охраняемая</w:t>
            </w:r>
          </w:p>
        </w:tc>
        <w:tc>
          <w:tcPr>
            <w:tcW w:w="1559" w:type="dxa"/>
            <w:vMerge w:val="restart"/>
            <w:vAlign w:val="center"/>
          </w:tcPr>
          <w:p w14:paraId="7F38BA5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круглосуточно</w:t>
            </w:r>
          </w:p>
        </w:tc>
        <w:tc>
          <w:tcPr>
            <w:tcW w:w="1984" w:type="dxa"/>
            <w:vMerge w:val="restart"/>
            <w:vAlign w:val="center"/>
          </w:tcPr>
          <w:p w14:paraId="3E5166D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легковой</w:t>
            </w:r>
          </w:p>
        </w:tc>
        <w:tc>
          <w:tcPr>
            <w:tcW w:w="1389" w:type="dxa"/>
            <w:vMerge w:val="restart"/>
            <w:vAlign w:val="center"/>
          </w:tcPr>
          <w:p w14:paraId="53E2E14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100</w:t>
            </w:r>
          </w:p>
        </w:tc>
      </w:tr>
      <w:tr w:rsidR="00171AA8" w:rsidRPr="00731FE2" w14:paraId="3B51EED4" w14:textId="77777777">
        <w:trPr>
          <w:trHeight w:val="253"/>
        </w:trPr>
        <w:tc>
          <w:tcPr>
            <w:tcW w:w="425" w:type="dxa"/>
            <w:vMerge w:val="restart"/>
            <w:vAlign w:val="center"/>
          </w:tcPr>
          <w:p w14:paraId="535A7F49" w14:textId="77777777" w:rsidR="00171AA8" w:rsidRPr="00731FE2" w:rsidRDefault="007935AB" w:rsidP="007832E7">
            <w:pPr>
              <w:numPr>
                <w:ilvl w:val="0"/>
                <w:numId w:val="48"/>
              </w:numPr>
              <w:pBdr>
                <w:top w:val="none" w:sz="4" w:space="0" w:color="000000"/>
                <w:left w:val="none" w:sz="4" w:space="0" w:color="000000"/>
                <w:bottom w:val="none" w:sz="4" w:space="0" w:color="000000"/>
                <w:right w:val="none" w:sz="4" w:space="0" w:color="000000"/>
              </w:pBdr>
              <w:ind w:left="0"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 </w:t>
            </w:r>
          </w:p>
        </w:tc>
        <w:tc>
          <w:tcPr>
            <w:tcW w:w="4252" w:type="dxa"/>
            <w:vMerge w:val="restart"/>
            <w:vAlign w:val="center"/>
          </w:tcPr>
          <w:p w14:paraId="51D201D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ул. Широкая 21</w:t>
            </w:r>
          </w:p>
        </w:tc>
        <w:tc>
          <w:tcPr>
            <w:tcW w:w="2267" w:type="dxa"/>
            <w:vMerge w:val="restart"/>
            <w:vAlign w:val="center"/>
          </w:tcPr>
          <w:p w14:paraId="009C70C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наземная/открытая</w:t>
            </w:r>
          </w:p>
        </w:tc>
        <w:tc>
          <w:tcPr>
            <w:tcW w:w="2693" w:type="dxa"/>
            <w:vMerge w:val="restart"/>
            <w:vAlign w:val="center"/>
          </w:tcPr>
          <w:p w14:paraId="0C9FC24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бесплатная/не охраняемая</w:t>
            </w:r>
          </w:p>
        </w:tc>
        <w:tc>
          <w:tcPr>
            <w:tcW w:w="1559" w:type="dxa"/>
            <w:vMerge w:val="restart"/>
            <w:vAlign w:val="center"/>
          </w:tcPr>
          <w:p w14:paraId="67EC45C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круглосуточно</w:t>
            </w:r>
          </w:p>
        </w:tc>
        <w:tc>
          <w:tcPr>
            <w:tcW w:w="1984" w:type="dxa"/>
            <w:vMerge w:val="restart"/>
            <w:vAlign w:val="center"/>
          </w:tcPr>
          <w:p w14:paraId="6E3CD20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легковой</w:t>
            </w:r>
          </w:p>
        </w:tc>
        <w:tc>
          <w:tcPr>
            <w:tcW w:w="1389" w:type="dxa"/>
            <w:vMerge w:val="restart"/>
            <w:vAlign w:val="center"/>
          </w:tcPr>
          <w:p w14:paraId="2E52D8B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180</w:t>
            </w:r>
          </w:p>
        </w:tc>
      </w:tr>
      <w:tr w:rsidR="00171AA8" w:rsidRPr="00731FE2" w14:paraId="37A9B05F" w14:textId="77777777">
        <w:trPr>
          <w:trHeight w:val="253"/>
        </w:trPr>
        <w:tc>
          <w:tcPr>
            <w:tcW w:w="425" w:type="dxa"/>
            <w:vMerge w:val="restart"/>
            <w:vAlign w:val="center"/>
          </w:tcPr>
          <w:p w14:paraId="514413E1" w14:textId="77777777" w:rsidR="00171AA8" w:rsidRPr="00731FE2" w:rsidRDefault="007935AB" w:rsidP="007832E7">
            <w:pPr>
              <w:numPr>
                <w:ilvl w:val="0"/>
                <w:numId w:val="48"/>
              </w:numPr>
              <w:pBdr>
                <w:top w:val="none" w:sz="4" w:space="0" w:color="000000"/>
                <w:left w:val="none" w:sz="4" w:space="0" w:color="000000"/>
                <w:bottom w:val="none" w:sz="4" w:space="0" w:color="000000"/>
                <w:right w:val="none" w:sz="4" w:space="0" w:color="000000"/>
              </w:pBdr>
              <w:ind w:left="0"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 </w:t>
            </w:r>
          </w:p>
        </w:tc>
        <w:tc>
          <w:tcPr>
            <w:tcW w:w="4252" w:type="dxa"/>
            <w:vMerge w:val="restart"/>
            <w:vAlign w:val="center"/>
          </w:tcPr>
          <w:p w14:paraId="3BBB88E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ул. Кирова 35</w:t>
            </w:r>
          </w:p>
        </w:tc>
        <w:tc>
          <w:tcPr>
            <w:tcW w:w="2267" w:type="dxa"/>
            <w:vMerge w:val="restart"/>
            <w:vAlign w:val="center"/>
          </w:tcPr>
          <w:p w14:paraId="24803B3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наземная/открытая</w:t>
            </w:r>
          </w:p>
        </w:tc>
        <w:tc>
          <w:tcPr>
            <w:tcW w:w="2693" w:type="dxa"/>
            <w:vMerge w:val="restart"/>
            <w:vAlign w:val="center"/>
          </w:tcPr>
          <w:p w14:paraId="666DA93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бесплатная/не охраняемая</w:t>
            </w:r>
          </w:p>
        </w:tc>
        <w:tc>
          <w:tcPr>
            <w:tcW w:w="1559" w:type="dxa"/>
            <w:vMerge w:val="restart"/>
            <w:vAlign w:val="center"/>
          </w:tcPr>
          <w:p w14:paraId="180282B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круглосуточно</w:t>
            </w:r>
          </w:p>
        </w:tc>
        <w:tc>
          <w:tcPr>
            <w:tcW w:w="1984" w:type="dxa"/>
            <w:vMerge w:val="restart"/>
            <w:vAlign w:val="center"/>
          </w:tcPr>
          <w:p w14:paraId="335CB1F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легковой</w:t>
            </w:r>
          </w:p>
        </w:tc>
        <w:tc>
          <w:tcPr>
            <w:tcW w:w="1389" w:type="dxa"/>
            <w:vMerge w:val="restart"/>
            <w:vAlign w:val="center"/>
          </w:tcPr>
          <w:p w14:paraId="06243FA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240</w:t>
            </w:r>
          </w:p>
        </w:tc>
      </w:tr>
      <w:tr w:rsidR="00171AA8" w:rsidRPr="00731FE2" w14:paraId="47173F8E" w14:textId="77777777">
        <w:trPr>
          <w:trHeight w:val="253"/>
        </w:trPr>
        <w:tc>
          <w:tcPr>
            <w:tcW w:w="425" w:type="dxa"/>
            <w:vMerge w:val="restart"/>
            <w:vAlign w:val="center"/>
          </w:tcPr>
          <w:p w14:paraId="03DFFEC9" w14:textId="77777777" w:rsidR="00171AA8" w:rsidRPr="00731FE2" w:rsidRDefault="007935AB" w:rsidP="007832E7">
            <w:pPr>
              <w:numPr>
                <w:ilvl w:val="0"/>
                <w:numId w:val="48"/>
              </w:numPr>
              <w:pBdr>
                <w:top w:val="none" w:sz="4" w:space="0" w:color="000000"/>
                <w:left w:val="none" w:sz="4" w:space="0" w:color="000000"/>
                <w:bottom w:val="none" w:sz="4" w:space="0" w:color="000000"/>
                <w:right w:val="none" w:sz="4" w:space="0" w:color="000000"/>
              </w:pBdr>
              <w:ind w:left="0"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 </w:t>
            </w:r>
          </w:p>
        </w:tc>
        <w:tc>
          <w:tcPr>
            <w:tcW w:w="4252" w:type="dxa"/>
            <w:vMerge w:val="restart"/>
            <w:vAlign w:val="center"/>
          </w:tcPr>
          <w:p w14:paraId="433E296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ул. Кирова 32</w:t>
            </w:r>
          </w:p>
        </w:tc>
        <w:tc>
          <w:tcPr>
            <w:tcW w:w="2267" w:type="dxa"/>
            <w:vMerge w:val="restart"/>
            <w:vAlign w:val="center"/>
          </w:tcPr>
          <w:p w14:paraId="42C8349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наземная/открытая</w:t>
            </w:r>
          </w:p>
        </w:tc>
        <w:tc>
          <w:tcPr>
            <w:tcW w:w="2693" w:type="dxa"/>
            <w:vMerge w:val="restart"/>
            <w:vAlign w:val="center"/>
          </w:tcPr>
          <w:p w14:paraId="159606E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бесплатная/не охраняемая</w:t>
            </w:r>
          </w:p>
        </w:tc>
        <w:tc>
          <w:tcPr>
            <w:tcW w:w="1559" w:type="dxa"/>
            <w:vMerge w:val="restart"/>
            <w:vAlign w:val="center"/>
          </w:tcPr>
          <w:p w14:paraId="3792BBE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круглосуточно</w:t>
            </w:r>
          </w:p>
        </w:tc>
        <w:tc>
          <w:tcPr>
            <w:tcW w:w="1984" w:type="dxa"/>
            <w:vMerge w:val="restart"/>
            <w:vAlign w:val="center"/>
          </w:tcPr>
          <w:p w14:paraId="133F88C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легковой</w:t>
            </w:r>
          </w:p>
        </w:tc>
        <w:tc>
          <w:tcPr>
            <w:tcW w:w="1389" w:type="dxa"/>
            <w:vMerge w:val="restart"/>
            <w:vAlign w:val="center"/>
          </w:tcPr>
          <w:p w14:paraId="076EF77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120</w:t>
            </w:r>
          </w:p>
        </w:tc>
      </w:tr>
      <w:tr w:rsidR="00171AA8" w:rsidRPr="00731FE2" w14:paraId="266E6F32" w14:textId="77777777">
        <w:trPr>
          <w:trHeight w:val="253"/>
        </w:trPr>
        <w:tc>
          <w:tcPr>
            <w:tcW w:w="425" w:type="dxa"/>
            <w:vMerge w:val="restart"/>
            <w:vAlign w:val="center"/>
          </w:tcPr>
          <w:p w14:paraId="61EE0972" w14:textId="77777777" w:rsidR="00171AA8" w:rsidRPr="00731FE2" w:rsidRDefault="007935AB" w:rsidP="007832E7">
            <w:pPr>
              <w:numPr>
                <w:ilvl w:val="0"/>
                <w:numId w:val="48"/>
              </w:numPr>
              <w:pBdr>
                <w:top w:val="none" w:sz="4" w:space="0" w:color="000000"/>
                <w:left w:val="none" w:sz="4" w:space="0" w:color="000000"/>
                <w:bottom w:val="none" w:sz="4" w:space="0" w:color="000000"/>
                <w:right w:val="none" w:sz="4" w:space="0" w:color="000000"/>
              </w:pBdr>
              <w:ind w:left="0"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 </w:t>
            </w:r>
          </w:p>
        </w:tc>
        <w:tc>
          <w:tcPr>
            <w:tcW w:w="4252" w:type="dxa"/>
            <w:vMerge w:val="restart"/>
            <w:vAlign w:val="center"/>
          </w:tcPr>
          <w:p w14:paraId="03ED329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ул. Кирова 11</w:t>
            </w:r>
          </w:p>
        </w:tc>
        <w:tc>
          <w:tcPr>
            <w:tcW w:w="2267" w:type="dxa"/>
            <w:vMerge w:val="restart"/>
            <w:vAlign w:val="center"/>
          </w:tcPr>
          <w:p w14:paraId="3DBB362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наземная/открытая</w:t>
            </w:r>
          </w:p>
        </w:tc>
        <w:tc>
          <w:tcPr>
            <w:tcW w:w="2693" w:type="dxa"/>
            <w:vMerge w:val="restart"/>
            <w:vAlign w:val="center"/>
          </w:tcPr>
          <w:p w14:paraId="5218775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бесплатная/не охраняемая</w:t>
            </w:r>
          </w:p>
        </w:tc>
        <w:tc>
          <w:tcPr>
            <w:tcW w:w="1559" w:type="dxa"/>
            <w:vMerge w:val="restart"/>
            <w:vAlign w:val="center"/>
          </w:tcPr>
          <w:p w14:paraId="0FA6246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круглосуточно</w:t>
            </w:r>
          </w:p>
        </w:tc>
        <w:tc>
          <w:tcPr>
            <w:tcW w:w="1984" w:type="dxa"/>
            <w:vMerge w:val="restart"/>
            <w:vAlign w:val="center"/>
          </w:tcPr>
          <w:p w14:paraId="73CF9CA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легковой</w:t>
            </w:r>
          </w:p>
        </w:tc>
        <w:tc>
          <w:tcPr>
            <w:tcW w:w="1389" w:type="dxa"/>
            <w:vMerge w:val="restart"/>
            <w:vAlign w:val="center"/>
          </w:tcPr>
          <w:p w14:paraId="7EB9513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220</w:t>
            </w:r>
          </w:p>
        </w:tc>
      </w:tr>
      <w:tr w:rsidR="00171AA8" w:rsidRPr="00731FE2" w14:paraId="2D963E14" w14:textId="77777777">
        <w:trPr>
          <w:trHeight w:val="253"/>
        </w:trPr>
        <w:tc>
          <w:tcPr>
            <w:tcW w:w="425" w:type="dxa"/>
            <w:vMerge w:val="restart"/>
            <w:vAlign w:val="center"/>
          </w:tcPr>
          <w:p w14:paraId="75ACA980" w14:textId="77777777" w:rsidR="00171AA8" w:rsidRPr="00731FE2" w:rsidRDefault="007935AB" w:rsidP="007832E7">
            <w:pPr>
              <w:numPr>
                <w:ilvl w:val="0"/>
                <w:numId w:val="48"/>
              </w:numPr>
              <w:pBdr>
                <w:top w:val="none" w:sz="4" w:space="0" w:color="000000"/>
                <w:left w:val="none" w:sz="4" w:space="0" w:color="000000"/>
                <w:bottom w:val="none" w:sz="4" w:space="0" w:color="000000"/>
                <w:right w:val="none" w:sz="4" w:space="0" w:color="000000"/>
              </w:pBdr>
              <w:ind w:left="0"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 </w:t>
            </w:r>
          </w:p>
        </w:tc>
        <w:tc>
          <w:tcPr>
            <w:tcW w:w="4252" w:type="dxa"/>
            <w:vMerge w:val="restart"/>
            <w:vAlign w:val="center"/>
          </w:tcPr>
          <w:p w14:paraId="7BEF999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ул. Кирова 41</w:t>
            </w:r>
          </w:p>
        </w:tc>
        <w:tc>
          <w:tcPr>
            <w:tcW w:w="2267" w:type="dxa"/>
            <w:vMerge w:val="restart"/>
            <w:vAlign w:val="center"/>
          </w:tcPr>
          <w:p w14:paraId="31E547F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наземная/открытая</w:t>
            </w:r>
          </w:p>
        </w:tc>
        <w:tc>
          <w:tcPr>
            <w:tcW w:w="2693" w:type="dxa"/>
            <w:vMerge w:val="restart"/>
            <w:vAlign w:val="center"/>
          </w:tcPr>
          <w:p w14:paraId="4407D66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бесплатная/не охраняемая</w:t>
            </w:r>
          </w:p>
        </w:tc>
        <w:tc>
          <w:tcPr>
            <w:tcW w:w="1559" w:type="dxa"/>
            <w:vMerge w:val="restart"/>
            <w:vAlign w:val="center"/>
          </w:tcPr>
          <w:p w14:paraId="7BB831C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круглосуточно</w:t>
            </w:r>
          </w:p>
        </w:tc>
        <w:tc>
          <w:tcPr>
            <w:tcW w:w="1984" w:type="dxa"/>
            <w:vMerge w:val="restart"/>
            <w:vAlign w:val="center"/>
          </w:tcPr>
          <w:p w14:paraId="645AD11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легковой</w:t>
            </w:r>
          </w:p>
        </w:tc>
        <w:tc>
          <w:tcPr>
            <w:tcW w:w="1389" w:type="dxa"/>
            <w:vMerge w:val="restart"/>
            <w:vAlign w:val="center"/>
          </w:tcPr>
          <w:p w14:paraId="0B14874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480</w:t>
            </w:r>
          </w:p>
        </w:tc>
      </w:tr>
      <w:tr w:rsidR="00171AA8" w:rsidRPr="00731FE2" w14:paraId="1B0CBF48" w14:textId="77777777">
        <w:trPr>
          <w:trHeight w:val="253"/>
        </w:trPr>
        <w:tc>
          <w:tcPr>
            <w:tcW w:w="425" w:type="dxa"/>
            <w:vMerge w:val="restart"/>
            <w:vAlign w:val="center"/>
          </w:tcPr>
          <w:p w14:paraId="77D86133" w14:textId="77777777" w:rsidR="00171AA8" w:rsidRPr="00731FE2" w:rsidRDefault="007935AB" w:rsidP="007832E7">
            <w:pPr>
              <w:numPr>
                <w:ilvl w:val="0"/>
                <w:numId w:val="48"/>
              </w:numPr>
              <w:pBdr>
                <w:top w:val="none" w:sz="4" w:space="0" w:color="000000"/>
                <w:left w:val="none" w:sz="4" w:space="0" w:color="000000"/>
                <w:bottom w:val="none" w:sz="4" w:space="0" w:color="000000"/>
                <w:right w:val="none" w:sz="4" w:space="0" w:color="000000"/>
              </w:pBdr>
              <w:ind w:left="0"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 </w:t>
            </w:r>
          </w:p>
        </w:tc>
        <w:tc>
          <w:tcPr>
            <w:tcW w:w="4252" w:type="dxa"/>
            <w:vMerge w:val="restart"/>
            <w:vAlign w:val="center"/>
          </w:tcPr>
          <w:p w14:paraId="4315DCD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ул. Дводненко 4</w:t>
            </w:r>
          </w:p>
        </w:tc>
        <w:tc>
          <w:tcPr>
            <w:tcW w:w="2267" w:type="dxa"/>
            <w:vMerge w:val="restart"/>
            <w:vAlign w:val="center"/>
          </w:tcPr>
          <w:p w14:paraId="38C6BD2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наземная/открытая</w:t>
            </w:r>
          </w:p>
        </w:tc>
        <w:tc>
          <w:tcPr>
            <w:tcW w:w="2693" w:type="dxa"/>
            <w:vMerge w:val="restart"/>
            <w:vAlign w:val="center"/>
          </w:tcPr>
          <w:p w14:paraId="3B53B48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бесплатная/не охраняемая</w:t>
            </w:r>
          </w:p>
        </w:tc>
        <w:tc>
          <w:tcPr>
            <w:tcW w:w="1559" w:type="dxa"/>
            <w:vMerge w:val="restart"/>
            <w:vAlign w:val="center"/>
          </w:tcPr>
          <w:p w14:paraId="154232D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круглосуточно</w:t>
            </w:r>
          </w:p>
        </w:tc>
        <w:tc>
          <w:tcPr>
            <w:tcW w:w="1984" w:type="dxa"/>
            <w:vMerge w:val="restart"/>
            <w:vAlign w:val="center"/>
          </w:tcPr>
          <w:p w14:paraId="27A5C6C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легковой</w:t>
            </w:r>
          </w:p>
        </w:tc>
        <w:tc>
          <w:tcPr>
            <w:tcW w:w="1389" w:type="dxa"/>
            <w:vMerge w:val="restart"/>
            <w:vAlign w:val="center"/>
          </w:tcPr>
          <w:p w14:paraId="1DC7F4F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100</w:t>
            </w:r>
          </w:p>
        </w:tc>
      </w:tr>
      <w:tr w:rsidR="00171AA8" w:rsidRPr="00731FE2" w14:paraId="4BAAD779" w14:textId="77777777">
        <w:trPr>
          <w:trHeight w:val="253"/>
        </w:trPr>
        <w:tc>
          <w:tcPr>
            <w:tcW w:w="425" w:type="dxa"/>
            <w:vMerge w:val="restart"/>
            <w:vAlign w:val="center"/>
          </w:tcPr>
          <w:p w14:paraId="5312FF0D" w14:textId="77777777" w:rsidR="00171AA8" w:rsidRPr="00731FE2" w:rsidRDefault="007935AB" w:rsidP="007832E7">
            <w:pPr>
              <w:numPr>
                <w:ilvl w:val="0"/>
                <w:numId w:val="48"/>
              </w:numPr>
              <w:pBdr>
                <w:top w:val="none" w:sz="4" w:space="0" w:color="000000"/>
                <w:left w:val="none" w:sz="4" w:space="0" w:color="000000"/>
                <w:bottom w:val="none" w:sz="4" w:space="0" w:color="000000"/>
                <w:right w:val="none" w:sz="4" w:space="0" w:color="000000"/>
              </w:pBdr>
              <w:ind w:left="0"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 </w:t>
            </w:r>
          </w:p>
        </w:tc>
        <w:tc>
          <w:tcPr>
            <w:tcW w:w="4252" w:type="dxa"/>
            <w:vMerge w:val="restart"/>
            <w:vAlign w:val="center"/>
          </w:tcPr>
          <w:p w14:paraId="1ACF840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ул. Западная 24</w:t>
            </w:r>
          </w:p>
        </w:tc>
        <w:tc>
          <w:tcPr>
            <w:tcW w:w="2267" w:type="dxa"/>
            <w:vMerge w:val="restart"/>
            <w:vAlign w:val="center"/>
          </w:tcPr>
          <w:p w14:paraId="260875A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наземная/открытая</w:t>
            </w:r>
          </w:p>
        </w:tc>
        <w:tc>
          <w:tcPr>
            <w:tcW w:w="2693" w:type="dxa"/>
            <w:vMerge w:val="restart"/>
            <w:vAlign w:val="center"/>
          </w:tcPr>
          <w:p w14:paraId="2D97611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бесплатная/не охраняемая</w:t>
            </w:r>
          </w:p>
        </w:tc>
        <w:tc>
          <w:tcPr>
            <w:tcW w:w="1559" w:type="dxa"/>
            <w:vMerge w:val="restart"/>
            <w:vAlign w:val="center"/>
          </w:tcPr>
          <w:p w14:paraId="237470C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круглосуточно</w:t>
            </w:r>
          </w:p>
        </w:tc>
        <w:tc>
          <w:tcPr>
            <w:tcW w:w="1984" w:type="dxa"/>
            <w:vMerge w:val="restart"/>
            <w:vAlign w:val="center"/>
          </w:tcPr>
          <w:p w14:paraId="4516FEF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легковой</w:t>
            </w:r>
          </w:p>
        </w:tc>
        <w:tc>
          <w:tcPr>
            <w:tcW w:w="1389" w:type="dxa"/>
            <w:vMerge w:val="restart"/>
            <w:vAlign w:val="center"/>
          </w:tcPr>
          <w:p w14:paraId="1E4156C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320</w:t>
            </w:r>
          </w:p>
        </w:tc>
      </w:tr>
      <w:tr w:rsidR="00171AA8" w:rsidRPr="00731FE2" w14:paraId="0B8B303A" w14:textId="77777777">
        <w:trPr>
          <w:trHeight w:val="253"/>
        </w:trPr>
        <w:tc>
          <w:tcPr>
            <w:tcW w:w="425" w:type="dxa"/>
            <w:vMerge w:val="restart"/>
            <w:vAlign w:val="center"/>
          </w:tcPr>
          <w:p w14:paraId="74192C39" w14:textId="77777777" w:rsidR="00171AA8" w:rsidRPr="00731FE2" w:rsidRDefault="007935AB" w:rsidP="007832E7">
            <w:pPr>
              <w:numPr>
                <w:ilvl w:val="0"/>
                <w:numId w:val="48"/>
              </w:numPr>
              <w:pBdr>
                <w:top w:val="none" w:sz="4" w:space="0" w:color="000000"/>
                <w:left w:val="none" w:sz="4" w:space="0" w:color="000000"/>
                <w:bottom w:val="none" w:sz="4" w:space="0" w:color="000000"/>
                <w:right w:val="none" w:sz="4" w:space="0" w:color="000000"/>
              </w:pBdr>
              <w:ind w:left="0"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 </w:t>
            </w:r>
          </w:p>
        </w:tc>
        <w:tc>
          <w:tcPr>
            <w:tcW w:w="4252" w:type="dxa"/>
            <w:vMerge w:val="restart"/>
            <w:vAlign w:val="center"/>
          </w:tcPr>
          <w:p w14:paraId="04C27CC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ул. Кольцова 2</w:t>
            </w:r>
          </w:p>
        </w:tc>
        <w:tc>
          <w:tcPr>
            <w:tcW w:w="2267" w:type="dxa"/>
            <w:vMerge w:val="restart"/>
            <w:vAlign w:val="center"/>
          </w:tcPr>
          <w:p w14:paraId="343A5BC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наземная/открытая</w:t>
            </w:r>
          </w:p>
        </w:tc>
        <w:tc>
          <w:tcPr>
            <w:tcW w:w="2693" w:type="dxa"/>
            <w:vMerge w:val="restart"/>
            <w:vAlign w:val="center"/>
          </w:tcPr>
          <w:p w14:paraId="3DDFA79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бесплатная/не охраняемая</w:t>
            </w:r>
          </w:p>
        </w:tc>
        <w:tc>
          <w:tcPr>
            <w:tcW w:w="1559" w:type="dxa"/>
            <w:vMerge w:val="restart"/>
            <w:vAlign w:val="center"/>
          </w:tcPr>
          <w:p w14:paraId="482C9AC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круглосуточно</w:t>
            </w:r>
          </w:p>
        </w:tc>
        <w:tc>
          <w:tcPr>
            <w:tcW w:w="1984" w:type="dxa"/>
            <w:vMerge w:val="restart"/>
            <w:vAlign w:val="center"/>
          </w:tcPr>
          <w:p w14:paraId="723A9F1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легковой</w:t>
            </w:r>
          </w:p>
        </w:tc>
        <w:tc>
          <w:tcPr>
            <w:tcW w:w="1389" w:type="dxa"/>
            <w:vMerge w:val="restart"/>
            <w:vAlign w:val="center"/>
          </w:tcPr>
          <w:p w14:paraId="4DF6AE5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280</w:t>
            </w:r>
          </w:p>
        </w:tc>
      </w:tr>
      <w:tr w:rsidR="00171AA8" w:rsidRPr="00731FE2" w14:paraId="599D8475" w14:textId="77777777">
        <w:trPr>
          <w:trHeight w:val="253"/>
        </w:trPr>
        <w:tc>
          <w:tcPr>
            <w:tcW w:w="425" w:type="dxa"/>
            <w:vMerge w:val="restart"/>
            <w:vAlign w:val="center"/>
          </w:tcPr>
          <w:p w14:paraId="75C5D4C5" w14:textId="77777777" w:rsidR="00171AA8" w:rsidRPr="00731FE2" w:rsidRDefault="007935AB" w:rsidP="007832E7">
            <w:pPr>
              <w:numPr>
                <w:ilvl w:val="0"/>
                <w:numId w:val="48"/>
              </w:numPr>
              <w:pBdr>
                <w:top w:val="none" w:sz="4" w:space="0" w:color="000000"/>
                <w:left w:val="none" w:sz="4" w:space="0" w:color="000000"/>
                <w:bottom w:val="none" w:sz="4" w:space="0" w:color="000000"/>
                <w:right w:val="none" w:sz="4" w:space="0" w:color="000000"/>
              </w:pBdr>
              <w:ind w:left="0"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 </w:t>
            </w:r>
          </w:p>
        </w:tc>
        <w:tc>
          <w:tcPr>
            <w:tcW w:w="4252" w:type="dxa"/>
            <w:vMerge w:val="restart"/>
            <w:vAlign w:val="center"/>
          </w:tcPr>
          <w:p w14:paraId="4180702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пер. Крепостной 2</w:t>
            </w:r>
          </w:p>
        </w:tc>
        <w:tc>
          <w:tcPr>
            <w:tcW w:w="2267" w:type="dxa"/>
            <w:vMerge w:val="restart"/>
            <w:vAlign w:val="center"/>
          </w:tcPr>
          <w:p w14:paraId="775B088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наземная/открытая</w:t>
            </w:r>
          </w:p>
        </w:tc>
        <w:tc>
          <w:tcPr>
            <w:tcW w:w="2693" w:type="dxa"/>
            <w:vMerge w:val="restart"/>
            <w:vAlign w:val="center"/>
          </w:tcPr>
          <w:p w14:paraId="7A6392C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бесплатная/не охраняемая</w:t>
            </w:r>
          </w:p>
        </w:tc>
        <w:tc>
          <w:tcPr>
            <w:tcW w:w="1559" w:type="dxa"/>
            <w:vMerge w:val="restart"/>
            <w:vAlign w:val="center"/>
          </w:tcPr>
          <w:p w14:paraId="590418F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круглосуточно</w:t>
            </w:r>
          </w:p>
        </w:tc>
        <w:tc>
          <w:tcPr>
            <w:tcW w:w="1984" w:type="dxa"/>
            <w:vMerge w:val="restart"/>
            <w:vAlign w:val="center"/>
          </w:tcPr>
          <w:p w14:paraId="0D3FA39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легковой</w:t>
            </w:r>
          </w:p>
        </w:tc>
        <w:tc>
          <w:tcPr>
            <w:tcW w:w="1389" w:type="dxa"/>
            <w:vMerge w:val="restart"/>
            <w:vAlign w:val="center"/>
          </w:tcPr>
          <w:p w14:paraId="5D74819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500</w:t>
            </w:r>
          </w:p>
        </w:tc>
      </w:tr>
      <w:tr w:rsidR="00171AA8" w:rsidRPr="00731FE2" w14:paraId="3ED943DB" w14:textId="77777777">
        <w:trPr>
          <w:trHeight w:val="253"/>
        </w:trPr>
        <w:tc>
          <w:tcPr>
            <w:tcW w:w="425" w:type="dxa"/>
            <w:vMerge w:val="restart"/>
            <w:vAlign w:val="center"/>
          </w:tcPr>
          <w:p w14:paraId="0AEF523A" w14:textId="77777777" w:rsidR="00171AA8" w:rsidRPr="00731FE2" w:rsidRDefault="007935AB" w:rsidP="007832E7">
            <w:pPr>
              <w:numPr>
                <w:ilvl w:val="0"/>
                <w:numId w:val="48"/>
              </w:numPr>
              <w:pBdr>
                <w:top w:val="none" w:sz="4" w:space="0" w:color="000000"/>
                <w:left w:val="none" w:sz="4" w:space="0" w:color="000000"/>
                <w:bottom w:val="none" w:sz="4" w:space="0" w:color="000000"/>
                <w:right w:val="none" w:sz="4" w:space="0" w:color="000000"/>
              </w:pBdr>
              <w:ind w:left="0" w:firstLine="0"/>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 </w:t>
            </w:r>
          </w:p>
        </w:tc>
        <w:tc>
          <w:tcPr>
            <w:tcW w:w="4252" w:type="dxa"/>
            <w:vMerge w:val="restart"/>
            <w:vAlign w:val="center"/>
          </w:tcPr>
          <w:p w14:paraId="1A3226C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пр. Мира 21</w:t>
            </w:r>
          </w:p>
        </w:tc>
        <w:tc>
          <w:tcPr>
            <w:tcW w:w="2267" w:type="dxa"/>
            <w:vMerge w:val="restart"/>
            <w:vAlign w:val="center"/>
          </w:tcPr>
          <w:p w14:paraId="11058FF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наземная/открытая</w:t>
            </w:r>
          </w:p>
        </w:tc>
        <w:tc>
          <w:tcPr>
            <w:tcW w:w="2693" w:type="dxa"/>
            <w:vMerge w:val="restart"/>
            <w:vAlign w:val="center"/>
          </w:tcPr>
          <w:p w14:paraId="1D71702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бесплатная/не охраняемая</w:t>
            </w:r>
          </w:p>
        </w:tc>
        <w:tc>
          <w:tcPr>
            <w:tcW w:w="1559" w:type="dxa"/>
            <w:vMerge w:val="restart"/>
            <w:vAlign w:val="center"/>
          </w:tcPr>
          <w:p w14:paraId="23E8EF4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круглосуточно</w:t>
            </w:r>
          </w:p>
        </w:tc>
        <w:tc>
          <w:tcPr>
            <w:tcW w:w="1984" w:type="dxa"/>
            <w:vMerge w:val="restart"/>
            <w:vAlign w:val="center"/>
          </w:tcPr>
          <w:p w14:paraId="3A2F249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легковой/автобусы</w:t>
            </w:r>
          </w:p>
        </w:tc>
        <w:tc>
          <w:tcPr>
            <w:tcW w:w="1389" w:type="dxa"/>
            <w:vMerge w:val="restart"/>
            <w:vAlign w:val="center"/>
          </w:tcPr>
          <w:p w14:paraId="3D9CAE5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20"/>
                <w:szCs w:val="20"/>
              </w:rPr>
            </w:pPr>
            <w:r w:rsidRPr="00731FE2">
              <w:rPr>
                <w:rFonts w:ascii="Times New Roman" w:eastAsia="Times New Roman" w:hAnsi="Times New Roman" w:cs="Times New Roman"/>
                <w:color w:val="000000"/>
                <w:sz w:val="20"/>
                <w:szCs w:val="20"/>
              </w:rPr>
              <w:t>600</w:t>
            </w:r>
          </w:p>
        </w:tc>
      </w:tr>
    </w:tbl>
    <w:p w14:paraId="300CF2E4" w14:textId="77777777" w:rsidR="00171AA8" w:rsidRPr="00731FE2" w:rsidRDefault="00171AA8">
      <w:pPr>
        <w:rPr>
          <w:rFonts w:ascii="Times New Roman" w:hAnsi="Times New Roman" w:cs="Times New Roman"/>
        </w:rPr>
      </w:pPr>
    </w:p>
    <w:p w14:paraId="7BCECF7E" w14:textId="77777777" w:rsidR="00171AA8" w:rsidRPr="00731FE2" w:rsidRDefault="007935AB">
      <w:pPr>
        <w:rPr>
          <w:rFonts w:ascii="Times New Roman" w:hAnsi="Times New Roman" w:cs="Times New Roman"/>
        </w:rPr>
      </w:pPr>
      <w:r w:rsidRPr="00731FE2">
        <w:rPr>
          <w:rFonts w:ascii="Times New Roman" w:hAnsi="Times New Roman" w:cs="Times New Roman"/>
        </w:rPr>
        <w:br w:type="page" w:clear="all"/>
      </w:r>
    </w:p>
    <w:p w14:paraId="47FB1D98" w14:textId="77777777" w:rsidR="00171AA8" w:rsidRPr="00731FE2" w:rsidRDefault="007935AB" w:rsidP="00717AA7">
      <w:pPr>
        <w:pStyle w:val="13"/>
        <w:spacing w:after="0" w:line="240" w:lineRule="auto"/>
        <w:rPr>
          <w:rStyle w:val="af6"/>
          <w:rFonts w:ascii="Times New Roman" w:hAnsi="Times New Roman" w:cs="Times New Roman"/>
          <w:bCs w:val="0"/>
          <w:color w:val="auto"/>
          <w:sz w:val="24"/>
          <w:szCs w:val="24"/>
          <w:u w:val="none"/>
          <w:vertAlign w:val="superscript"/>
        </w:rPr>
      </w:pPr>
      <w:bookmarkStart w:id="114" w:name="_Toc177392863"/>
      <w:r w:rsidRPr="00731FE2">
        <w:rPr>
          <w:rStyle w:val="af6"/>
          <w:rFonts w:ascii="Times New Roman" w:hAnsi="Times New Roman" w:cs="Times New Roman"/>
          <w:bCs w:val="0"/>
          <w:color w:val="auto"/>
          <w:sz w:val="24"/>
          <w:szCs w:val="24"/>
          <w:u w:val="none"/>
        </w:rPr>
        <w:lastRenderedPageBreak/>
        <w:t xml:space="preserve">ПРИЛОЖЕНИЕ </w:t>
      </w:r>
      <w:r w:rsidR="00EE4EC5" w:rsidRPr="00731FE2">
        <w:rPr>
          <w:rStyle w:val="af6"/>
          <w:rFonts w:ascii="Times New Roman" w:hAnsi="Times New Roman" w:cs="Times New Roman"/>
          <w:bCs w:val="0"/>
          <w:color w:val="auto"/>
          <w:sz w:val="24"/>
          <w:szCs w:val="24"/>
          <w:u w:val="none"/>
        </w:rPr>
        <w:t>7</w:t>
      </w:r>
      <w:r w:rsidRPr="00731FE2">
        <w:rPr>
          <w:rStyle w:val="af6"/>
          <w:rFonts w:ascii="Times New Roman" w:hAnsi="Times New Roman" w:cs="Times New Roman"/>
          <w:bCs w:val="0"/>
          <w:color w:val="auto"/>
          <w:sz w:val="24"/>
          <w:szCs w:val="24"/>
          <w:u w:val="none"/>
        </w:rPr>
        <w:t xml:space="preserve"> – КРАТКАЯ ХАРАКТЕРИСТИКА ИСТОЧНИКОВ ЦЕНТРАЛИЗОВАННОГО ТЕПЛОСНАБЖЕНИЯ ООО «ТЕПЛОЭНЕРГО КИСЛОВОДСК»</w:t>
      </w:r>
      <w:r w:rsidRPr="00731FE2">
        <w:rPr>
          <w:rStyle w:val="af6"/>
          <w:rFonts w:ascii="Times New Roman" w:hAnsi="Times New Roman" w:cs="Times New Roman"/>
          <w:bCs w:val="0"/>
          <w:color w:val="auto"/>
          <w:sz w:val="24"/>
          <w:szCs w:val="24"/>
          <w:u w:val="none"/>
          <w:vertAlign w:val="superscript"/>
        </w:rPr>
        <w:footnoteReference w:id="126"/>
      </w:r>
      <w:bookmarkEnd w:id="114"/>
    </w:p>
    <w:tbl>
      <w:tblPr>
        <w:tblStyle w:val="afe"/>
        <w:tblW w:w="0" w:type="auto"/>
        <w:tblInd w:w="567" w:type="dxa"/>
        <w:tblLayout w:type="fixed"/>
        <w:tblLook w:val="04A0" w:firstRow="1" w:lastRow="0" w:firstColumn="1" w:lastColumn="0" w:noHBand="0" w:noVBand="1"/>
      </w:tblPr>
      <w:tblGrid>
        <w:gridCol w:w="709"/>
        <w:gridCol w:w="1984"/>
        <w:gridCol w:w="1701"/>
        <w:gridCol w:w="1430"/>
        <w:gridCol w:w="1630"/>
        <w:gridCol w:w="1630"/>
        <w:gridCol w:w="1630"/>
        <w:gridCol w:w="1630"/>
        <w:gridCol w:w="1630"/>
      </w:tblGrid>
      <w:tr w:rsidR="00171AA8" w:rsidRPr="00731FE2" w14:paraId="4C647F46" w14:textId="77777777">
        <w:trPr>
          <w:trHeight w:val="1062"/>
        </w:trPr>
        <w:tc>
          <w:tcPr>
            <w:tcW w:w="709" w:type="dxa"/>
            <w:vAlign w:val="center"/>
          </w:tcPr>
          <w:p w14:paraId="07AB1DC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b/>
                <w:bCs/>
                <w:color w:val="auto"/>
                <w:sz w:val="18"/>
                <w:szCs w:val="18"/>
                <w:u w:val="none"/>
              </w:rPr>
            </w:pPr>
            <w:r w:rsidRPr="00731FE2">
              <w:rPr>
                <w:rStyle w:val="af6"/>
                <w:rFonts w:ascii="Times New Roman" w:hAnsi="Times New Roman" w:cs="Times New Roman"/>
                <w:b/>
                <w:bCs/>
                <w:color w:val="auto"/>
                <w:sz w:val="18"/>
                <w:szCs w:val="18"/>
                <w:u w:val="none"/>
              </w:rPr>
              <w:t>№ п/п</w:t>
            </w:r>
          </w:p>
        </w:tc>
        <w:tc>
          <w:tcPr>
            <w:tcW w:w="1984" w:type="dxa"/>
            <w:vAlign w:val="center"/>
          </w:tcPr>
          <w:p w14:paraId="4AA1E85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b/>
                <w:bCs/>
                <w:color w:val="auto"/>
                <w:sz w:val="18"/>
                <w:szCs w:val="18"/>
                <w:u w:val="none"/>
              </w:rPr>
            </w:pPr>
            <w:r w:rsidRPr="00731FE2">
              <w:rPr>
                <w:rStyle w:val="af6"/>
                <w:rFonts w:ascii="Times New Roman" w:hAnsi="Times New Roman" w:cs="Times New Roman"/>
                <w:b/>
                <w:bCs/>
                <w:color w:val="auto"/>
                <w:sz w:val="18"/>
                <w:szCs w:val="18"/>
                <w:u w:val="none"/>
              </w:rPr>
              <w:t>Наименование и адрес котельной</w:t>
            </w:r>
          </w:p>
        </w:tc>
        <w:tc>
          <w:tcPr>
            <w:tcW w:w="1701" w:type="dxa"/>
            <w:vAlign w:val="center"/>
          </w:tcPr>
          <w:p w14:paraId="405ACF9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b/>
                <w:bCs/>
                <w:color w:val="auto"/>
                <w:sz w:val="18"/>
                <w:szCs w:val="18"/>
                <w:u w:val="none"/>
              </w:rPr>
            </w:pPr>
            <w:r w:rsidRPr="00731FE2">
              <w:rPr>
                <w:rStyle w:val="af6"/>
                <w:rFonts w:ascii="Times New Roman" w:hAnsi="Times New Roman" w:cs="Times New Roman"/>
                <w:b/>
                <w:bCs/>
                <w:color w:val="auto"/>
                <w:sz w:val="18"/>
                <w:szCs w:val="18"/>
                <w:u w:val="none"/>
              </w:rPr>
              <w:t>Наименование котла</w:t>
            </w:r>
          </w:p>
        </w:tc>
        <w:tc>
          <w:tcPr>
            <w:tcW w:w="1430" w:type="dxa"/>
            <w:vAlign w:val="center"/>
          </w:tcPr>
          <w:p w14:paraId="76DA64A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b/>
                <w:bCs/>
                <w:color w:val="auto"/>
                <w:sz w:val="18"/>
                <w:szCs w:val="18"/>
                <w:u w:val="none"/>
              </w:rPr>
            </w:pPr>
            <w:r w:rsidRPr="00731FE2">
              <w:rPr>
                <w:rStyle w:val="af6"/>
                <w:rFonts w:ascii="Times New Roman" w:hAnsi="Times New Roman" w:cs="Times New Roman"/>
                <w:b/>
                <w:bCs/>
                <w:color w:val="auto"/>
                <w:sz w:val="18"/>
                <w:szCs w:val="18"/>
                <w:u w:val="none"/>
              </w:rPr>
              <w:t>Установленная мощность по паспортам котлов, Гкал/ч</w:t>
            </w:r>
          </w:p>
        </w:tc>
        <w:tc>
          <w:tcPr>
            <w:tcW w:w="1630" w:type="dxa"/>
            <w:vAlign w:val="center"/>
          </w:tcPr>
          <w:p w14:paraId="3353B56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b/>
                <w:bCs/>
                <w:color w:val="auto"/>
                <w:sz w:val="18"/>
                <w:szCs w:val="18"/>
                <w:u w:val="none"/>
              </w:rPr>
            </w:pPr>
            <w:r w:rsidRPr="00731FE2">
              <w:rPr>
                <w:rStyle w:val="af6"/>
                <w:rFonts w:ascii="Times New Roman" w:hAnsi="Times New Roman" w:cs="Times New Roman"/>
                <w:b/>
                <w:bCs/>
                <w:color w:val="auto"/>
                <w:sz w:val="18"/>
                <w:szCs w:val="18"/>
                <w:u w:val="none"/>
              </w:rPr>
              <w:t>Исполнение</w:t>
            </w:r>
          </w:p>
        </w:tc>
        <w:tc>
          <w:tcPr>
            <w:tcW w:w="1630" w:type="dxa"/>
            <w:vAlign w:val="center"/>
          </w:tcPr>
          <w:p w14:paraId="2D640C5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b/>
                <w:bCs/>
                <w:color w:val="auto"/>
                <w:sz w:val="18"/>
                <w:szCs w:val="18"/>
                <w:u w:val="none"/>
              </w:rPr>
            </w:pPr>
            <w:r w:rsidRPr="00731FE2">
              <w:rPr>
                <w:rStyle w:val="af6"/>
                <w:rFonts w:ascii="Times New Roman" w:hAnsi="Times New Roman" w:cs="Times New Roman"/>
                <w:b/>
                <w:bCs/>
                <w:color w:val="auto"/>
                <w:sz w:val="18"/>
                <w:szCs w:val="18"/>
                <w:u w:val="none"/>
              </w:rPr>
              <w:t>Количество тепловых узлов на балансе</w:t>
            </w:r>
          </w:p>
        </w:tc>
        <w:tc>
          <w:tcPr>
            <w:tcW w:w="1630" w:type="dxa"/>
            <w:vAlign w:val="center"/>
          </w:tcPr>
          <w:p w14:paraId="72391A3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b/>
                <w:bCs/>
                <w:color w:val="auto"/>
                <w:sz w:val="18"/>
                <w:szCs w:val="18"/>
                <w:u w:val="none"/>
              </w:rPr>
            </w:pPr>
            <w:r w:rsidRPr="00731FE2">
              <w:rPr>
                <w:rStyle w:val="af6"/>
                <w:rFonts w:ascii="Times New Roman" w:hAnsi="Times New Roman" w:cs="Times New Roman"/>
                <w:b/>
                <w:bCs/>
                <w:color w:val="auto"/>
                <w:sz w:val="18"/>
                <w:szCs w:val="18"/>
                <w:u w:val="none"/>
              </w:rPr>
              <w:t>Подключаемая нагрузка, Гкал/ч</w:t>
            </w:r>
          </w:p>
        </w:tc>
        <w:tc>
          <w:tcPr>
            <w:tcW w:w="1630" w:type="dxa"/>
            <w:vAlign w:val="center"/>
          </w:tcPr>
          <w:p w14:paraId="13B0E42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b/>
                <w:bCs/>
                <w:color w:val="auto"/>
                <w:sz w:val="18"/>
                <w:szCs w:val="18"/>
                <w:u w:val="none"/>
              </w:rPr>
            </w:pPr>
            <w:r w:rsidRPr="00731FE2">
              <w:rPr>
                <w:rStyle w:val="af6"/>
                <w:rFonts w:ascii="Times New Roman" w:hAnsi="Times New Roman" w:cs="Times New Roman"/>
                <w:b/>
                <w:bCs/>
                <w:color w:val="auto"/>
                <w:sz w:val="18"/>
                <w:szCs w:val="18"/>
                <w:u w:val="none"/>
              </w:rPr>
              <w:t>Протяженность в двухтрубном исчислении, км</w:t>
            </w:r>
          </w:p>
        </w:tc>
        <w:tc>
          <w:tcPr>
            <w:tcW w:w="1630" w:type="dxa"/>
            <w:vAlign w:val="center"/>
          </w:tcPr>
          <w:p w14:paraId="042CF94C" w14:textId="77777777" w:rsidR="00171AA8" w:rsidRPr="00731FE2" w:rsidRDefault="007935AB" w:rsidP="00076CFF">
            <w:pPr>
              <w:ind w:firstLine="0"/>
              <w:jc w:val="center"/>
              <w:rPr>
                <w:rStyle w:val="af6"/>
                <w:rFonts w:ascii="Times New Roman" w:hAnsi="Times New Roman" w:cs="Times New Roman"/>
                <w:b/>
                <w:bCs/>
                <w:color w:val="auto"/>
                <w:sz w:val="18"/>
                <w:szCs w:val="18"/>
                <w:u w:val="none"/>
              </w:rPr>
            </w:pPr>
            <w:r w:rsidRPr="00731FE2">
              <w:rPr>
                <w:rStyle w:val="af6"/>
                <w:rFonts w:ascii="Times New Roman" w:hAnsi="Times New Roman" w:cs="Times New Roman"/>
                <w:b/>
                <w:bCs/>
                <w:color w:val="auto"/>
                <w:sz w:val="18"/>
                <w:szCs w:val="18"/>
                <w:u w:val="none"/>
              </w:rPr>
              <w:t>Протяженность ТС с учетом коэффициентов</w:t>
            </w:r>
          </w:p>
        </w:tc>
      </w:tr>
      <w:tr w:rsidR="00171AA8" w:rsidRPr="00731FE2" w14:paraId="5E3F937B" w14:textId="77777777">
        <w:trPr>
          <w:trHeight w:val="30"/>
        </w:trPr>
        <w:tc>
          <w:tcPr>
            <w:tcW w:w="709" w:type="dxa"/>
            <w:vMerge w:val="restart"/>
            <w:vAlign w:val="center"/>
          </w:tcPr>
          <w:p w14:paraId="46736FC7" w14:textId="77777777" w:rsidR="00171AA8" w:rsidRPr="00731FE2" w:rsidRDefault="00171AA8">
            <w:pPr>
              <w:pStyle w:val="a3"/>
              <w:numPr>
                <w:ilvl w:val="0"/>
                <w:numId w:val="29"/>
              </w:numPr>
              <w:pBdr>
                <w:top w:val="none" w:sz="4" w:space="0" w:color="000000"/>
                <w:left w:val="none" w:sz="4" w:space="0" w:color="000000"/>
                <w:bottom w:val="none" w:sz="4" w:space="0" w:color="000000"/>
                <w:right w:val="none" w:sz="4" w:space="0" w:color="000000"/>
              </w:pBdr>
              <w:jc w:val="center"/>
              <w:rPr>
                <w:rStyle w:val="af6"/>
                <w:rFonts w:ascii="Times New Roman" w:hAnsi="Times New Roman" w:cs="Times New Roman"/>
                <w:color w:val="auto"/>
                <w:sz w:val="18"/>
                <w:szCs w:val="18"/>
                <w:u w:val="none"/>
              </w:rPr>
            </w:pPr>
          </w:p>
        </w:tc>
        <w:tc>
          <w:tcPr>
            <w:tcW w:w="1984" w:type="dxa"/>
            <w:vMerge w:val="restart"/>
            <w:vAlign w:val="center"/>
          </w:tcPr>
          <w:p w14:paraId="55940CD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Котельная №1, г. Кисловодск,</w:t>
            </w:r>
          </w:p>
          <w:p w14:paraId="2BBD955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ул. Минеральная, 25</w:t>
            </w:r>
          </w:p>
        </w:tc>
        <w:tc>
          <w:tcPr>
            <w:tcW w:w="1701" w:type="dxa"/>
            <w:vAlign w:val="center"/>
          </w:tcPr>
          <w:p w14:paraId="2317AA9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ДКВР-20/13</w:t>
            </w:r>
          </w:p>
        </w:tc>
        <w:tc>
          <w:tcPr>
            <w:tcW w:w="1430" w:type="dxa"/>
            <w:vAlign w:val="center"/>
          </w:tcPr>
          <w:p w14:paraId="5DF71C5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17,25</w:t>
            </w:r>
          </w:p>
        </w:tc>
        <w:tc>
          <w:tcPr>
            <w:tcW w:w="1630" w:type="dxa"/>
            <w:vAlign w:val="center"/>
          </w:tcPr>
          <w:p w14:paraId="6C083BF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двухтрубная</w:t>
            </w:r>
          </w:p>
        </w:tc>
        <w:tc>
          <w:tcPr>
            <w:tcW w:w="1630" w:type="dxa"/>
            <w:vMerge w:val="restart"/>
            <w:vAlign w:val="center"/>
          </w:tcPr>
          <w:p w14:paraId="12F1F35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3</w:t>
            </w:r>
          </w:p>
        </w:tc>
        <w:tc>
          <w:tcPr>
            <w:tcW w:w="1630" w:type="dxa"/>
            <w:vMerge w:val="restart"/>
            <w:vAlign w:val="center"/>
          </w:tcPr>
          <w:p w14:paraId="6711EEE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29,5714</w:t>
            </w:r>
          </w:p>
        </w:tc>
        <w:tc>
          <w:tcPr>
            <w:tcW w:w="1630" w:type="dxa"/>
            <w:vAlign w:val="center"/>
          </w:tcPr>
          <w:p w14:paraId="360715F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16,76565</w:t>
            </w:r>
          </w:p>
        </w:tc>
        <w:tc>
          <w:tcPr>
            <w:tcW w:w="1630" w:type="dxa"/>
            <w:vAlign w:val="center"/>
          </w:tcPr>
          <w:p w14:paraId="48E397B3" w14:textId="77777777" w:rsidR="00171AA8" w:rsidRPr="00731FE2" w:rsidRDefault="007935AB">
            <w:pP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16,76565</w:t>
            </w:r>
          </w:p>
        </w:tc>
      </w:tr>
      <w:tr w:rsidR="00171AA8" w:rsidRPr="00731FE2" w14:paraId="70031B23" w14:textId="77777777">
        <w:trPr>
          <w:trHeight w:val="96"/>
        </w:trPr>
        <w:tc>
          <w:tcPr>
            <w:tcW w:w="709" w:type="dxa"/>
            <w:vMerge/>
            <w:vAlign w:val="center"/>
          </w:tcPr>
          <w:p w14:paraId="4809AD46" w14:textId="77777777" w:rsidR="00171AA8" w:rsidRPr="00731FE2" w:rsidRDefault="00171AA8"/>
        </w:tc>
        <w:tc>
          <w:tcPr>
            <w:tcW w:w="1984" w:type="dxa"/>
            <w:vMerge/>
            <w:vAlign w:val="center"/>
          </w:tcPr>
          <w:p w14:paraId="36493D3B" w14:textId="77777777" w:rsidR="00171AA8" w:rsidRPr="00731FE2" w:rsidRDefault="00171AA8"/>
        </w:tc>
        <w:tc>
          <w:tcPr>
            <w:tcW w:w="1701" w:type="dxa"/>
            <w:vMerge w:val="restart"/>
            <w:vAlign w:val="center"/>
          </w:tcPr>
          <w:p w14:paraId="32BEE25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Style w:val="af6"/>
                <w:rFonts w:ascii="Times New Roman" w:hAnsi="Times New Roman" w:cs="Times New Roman"/>
                <w:color w:val="auto"/>
                <w:sz w:val="18"/>
                <w:szCs w:val="18"/>
                <w:u w:val="none"/>
              </w:rPr>
              <w:t>ДКВР-20/13</w:t>
            </w:r>
          </w:p>
        </w:tc>
        <w:tc>
          <w:tcPr>
            <w:tcW w:w="1430" w:type="dxa"/>
            <w:vMerge w:val="restart"/>
            <w:vAlign w:val="center"/>
          </w:tcPr>
          <w:p w14:paraId="5FFEF32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17,25</w:t>
            </w:r>
          </w:p>
        </w:tc>
        <w:tc>
          <w:tcPr>
            <w:tcW w:w="1630" w:type="dxa"/>
            <w:vMerge w:val="restart"/>
            <w:vAlign w:val="center"/>
          </w:tcPr>
          <w:p w14:paraId="52C2480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четырехтрубная</w:t>
            </w:r>
          </w:p>
        </w:tc>
        <w:tc>
          <w:tcPr>
            <w:tcW w:w="1630" w:type="dxa"/>
            <w:vMerge/>
            <w:vAlign w:val="center"/>
          </w:tcPr>
          <w:p w14:paraId="025204DF" w14:textId="77777777" w:rsidR="00171AA8" w:rsidRPr="00731FE2" w:rsidRDefault="00171AA8"/>
        </w:tc>
        <w:tc>
          <w:tcPr>
            <w:tcW w:w="1630" w:type="dxa"/>
            <w:vMerge/>
            <w:vAlign w:val="center"/>
          </w:tcPr>
          <w:p w14:paraId="1F9187B3" w14:textId="77777777" w:rsidR="00171AA8" w:rsidRPr="00731FE2" w:rsidRDefault="00171AA8"/>
        </w:tc>
        <w:tc>
          <w:tcPr>
            <w:tcW w:w="1630" w:type="dxa"/>
            <w:vMerge w:val="restart"/>
            <w:vAlign w:val="center"/>
          </w:tcPr>
          <w:p w14:paraId="2D0FA9B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9,15785</w:t>
            </w:r>
          </w:p>
        </w:tc>
        <w:tc>
          <w:tcPr>
            <w:tcW w:w="1630" w:type="dxa"/>
            <w:vAlign w:val="center"/>
          </w:tcPr>
          <w:p w14:paraId="4CEE60C4" w14:textId="77777777" w:rsidR="00171AA8" w:rsidRPr="00731FE2" w:rsidRDefault="007935AB">
            <w:pP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6,8683875</w:t>
            </w:r>
          </w:p>
        </w:tc>
      </w:tr>
      <w:tr w:rsidR="00171AA8" w:rsidRPr="00731FE2" w14:paraId="3CF98BC4" w14:textId="77777777">
        <w:trPr>
          <w:trHeight w:val="15"/>
        </w:trPr>
        <w:tc>
          <w:tcPr>
            <w:tcW w:w="709" w:type="dxa"/>
            <w:vMerge/>
            <w:vAlign w:val="center"/>
          </w:tcPr>
          <w:p w14:paraId="4235090C" w14:textId="77777777" w:rsidR="00171AA8" w:rsidRPr="00731FE2" w:rsidRDefault="00171AA8"/>
        </w:tc>
        <w:tc>
          <w:tcPr>
            <w:tcW w:w="1984" w:type="dxa"/>
            <w:vMerge/>
            <w:vAlign w:val="center"/>
          </w:tcPr>
          <w:p w14:paraId="07A8EA9A" w14:textId="77777777" w:rsidR="00171AA8" w:rsidRPr="00731FE2" w:rsidRDefault="00171AA8"/>
        </w:tc>
        <w:tc>
          <w:tcPr>
            <w:tcW w:w="1701" w:type="dxa"/>
            <w:vMerge w:val="restart"/>
            <w:vAlign w:val="center"/>
          </w:tcPr>
          <w:p w14:paraId="763CD63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Style w:val="af6"/>
                <w:rFonts w:ascii="Times New Roman" w:hAnsi="Times New Roman" w:cs="Times New Roman"/>
                <w:color w:val="auto"/>
                <w:sz w:val="18"/>
                <w:szCs w:val="18"/>
                <w:u w:val="none"/>
              </w:rPr>
              <w:t>ДЕ-25/14</w:t>
            </w:r>
          </w:p>
        </w:tc>
        <w:tc>
          <w:tcPr>
            <w:tcW w:w="1430" w:type="dxa"/>
            <w:vMerge w:val="restart"/>
            <w:vAlign w:val="center"/>
          </w:tcPr>
          <w:p w14:paraId="16F38FCB" w14:textId="77777777" w:rsidR="00171AA8" w:rsidRPr="00731FE2" w:rsidRDefault="007935AB">
            <w:pPr>
              <w:ind w:firstLine="0"/>
              <w:jc w:val="center"/>
            </w:pPr>
            <w:r w:rsidRPr="00731FE2">
              <w:rPr>
                <w:rStyle w:val="af6"/>
                <w:rFonts w:ascii="Times New Roman" w:hAnsi="Times New Roman" w:cs="Times New Roman"/>
                <w:color w:val="auto"/>
                <w:sz w:val="18"/>
                <w:szCs w:val="18"/>
                <w:u w:val="none"/>
              </w:rPr>
              <w:t>17,5</w:t>
            </w:r>
          </w:p>
        </w:tc>
        <w:tc>
          <w:tcPr>
            <w:tcW w:w="1630" w:type="dxa"/>
            <w:vMerge w:val="restart"/>
            <w:vAlign w:val="center"/>
          </w:tcPr>
          <w:p w14:paraId="18E02A0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w:t>
            </w:r>
          </w:p>
        </w:tc>
        <w:tc>
          <w:tcPr>
            <w:tcW w:w="1630" w:type="dxa"/>
            <w:vMerge/>
            <w:vAlign w:val="center"/>
          </w:tcPr>
          <w:p w14:paraId="6AB9FD40" w14:textId="77777777" w:rsidR="00171AA8" w:rsidRPr="00731FE2" w:rsidRDefault="00171AA8"/>
        </w:tc>
        <w:tc>
          <w:tcPr>
            <w:tcW w:w="1630" w:type="dxa"/>
            <w:vMerge/>
            <w:vAlign w:val="center"/>
          </w:tcPr>
          <w:p w14:paraId="7C3579DB" w14:textId="77777777" w:rsidR="00171AA8" w:rsidRPr="00731FE2" w:rsidRDefault="00171AA8"/>
        </w:tc>
        <w:tc>
          <w:tcPr>
            <w:tcW w:w="1630" w:type="dxa"/>
            <w:vMerge w:val="restart"/>
            <w:vAlign w:val="center"/>
          </w:tcPr>
          <w:p w14:paraId="2A90BF3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w:t>
            </w:r>
          </w:p>
        </w:tc>
        <w:tc>
          <w:tcPr>
            <w:tcW w:w="1630" w:type="dxa"/>
            <w:vAlign w:val="center"/>
          </w:tcPr>
          <w:p w14:paraId="0E03A5BA" w14:textId="77777777" w:rsidR="00171AA8" w:rsidRPr="00731FE2" w:rsidRDefault="007935AB">
            <w:pP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w:t>
            </w:r>
          </w:p>
        </w:tc>
      </w:tr>
      <w:tr w:rsidR="00171AA8" w:rsidRPr="00731FE2" w14:paraId="78206734" w14:textId="77777777">
        <w:trPr>
          <w:trHeight w:val="213"/>
        </w:trPr>
        <w:tc>
          <w:tcPr>
            <w:tcW w:w="709" w:type="dxa"/>
            <w:vMerge w:val="restart"/>
            <w:vAlign w:val="center"/>
          </w:tcPr>
          <w:p w14:paraId="4C73A4B6" w14:textId="77777777" w:rsidR="00171AA8" w:rsidRPr="00731FE2" w:rsidRDefault="00171AA8">
            <w:pPr>
              <w:pStyle w:val="a3"/>
              <w:numPr>
                <w:ilvl w:val="0"/>
                <w:numId w:val="29"/>
              </w:numPr>
              <w:pBdr>
                <w:top w:val="none" w:sz="4" w:space="0" w:color="000000"/>
                <w:left w:val="none" w:sz="4" w:space="0" w:color="000000"/>
                <w:bottom w:val="none" w:sz="4" w:space="0" w:color="000000"/>
                <w:right w:val="none" w:sz="4" w:space="0" w:color="000000"/>
              </w:pBdr>
              <w:jc w:val="center"/>
              <w:rPr>
                <w:rStyle w:val="af6"/>
                <w:rFonts w:ascii="Times New Roman" w:hAnsi="Times New Roman" w:cs="Times New Roman"/>
                <w:color w:val="auto"/>
                <w:sz w:val="18"/>
                <w:szCs w:val="18"/>
                <w:u w:val="none"/>
              </w:rPr>
            </w:pPr>
          </w:p>
        </w:tc>
        <w:tc>
          <w:tcPr>
            <w:tcW w:w="1984" w:type="dxa"/>
            <w:vMerge w:val="restart"/>
            <w:vAlign w:val="center"/>
          </w:tcPr>
          <w:p w14:paraId="0B82B10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Котельная №2, г. Кисловодск, ул. Зеленогорская, 5</w:t>
            </w:r>
          </w:p>
        </w:tc>
        <w:tc>
          <w:tcPr>
            <w:tcW w:w="1701" w:type="dxa"/>
            <w:vAlign w:val="center"/>
          </w:tcPr>
          <w:p w14:paraId="2FCE74B9" w14:textId="77777777" w:rsidR="00171AA8" w:rsidRPr="00731FE2" w:rsidRDefault="007935AB">
            <w:pPr>
              <w:ind w:firstLine="0"/>
              <w:jc w:val="center"/>
            </w:pPr>
            <w:r w:rsidRPr="00731FE2">
              <w:rPr>
                <w:rStyle w:val="af6"/>
                <w:rFonts w:ascii="Times New Roman" w:hAnsi="Times New Roman" w:cs="Times New Roman"/>
                <w:color w:val="auto"/>
                <w:sz w:val="18"/>
                <w:szCs w:val="18"/>
                <w:u w:val="none"/>
              </w:rPr>
              <w:t>ДЕ-25/14</w:t>
            </w:r>
          </w:p>
        </w:tc>
        <w:tc>
          <w:tcPr>
            <w:tcW w:w="1430" w:type="dxa"/>
            <w:vAlign w:val="center"/>
          </w:tcPr>
          <w:p w14:paraId="1E609781" w14:textId="77777777" w:rsidR="00171AA8" w:rsidRPr="00731FE2" w:rsidRDefault="007935AB">
            <w:pPr>
              <w:ind w:firstLine="0"/>
              <w:jc w:val="center"/>
            </w:pPr>
            <w:r w:rsidRPr="00731FE2">
              <w:rPr>
                <w:rStyle w:val="af6"/>
                <w:rFonts w:ascii="Times New Roman" w:hAnsi="Times New Roman" w:cs="Times New Roman"/>
                <w:color w:val="auto"/>
                <w:sz w:val="18"/>
                <w:szCs w:val="18"/>
                <w:u w:val="none"/>
              </w:rPr>
              <w:t>17,5</w:t>
            </w:r>
          </w:p>
        </w:tc>
        <w:tc>
          <w:tcPr>
            <w:tcW w:w="1630" w:type="dxa"/>
            <w:vAlign w:val="center"/>
          </w:tcPr>
          <w:p w14:paraId="7AA0EF7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двухтрубная</w:t>
            </w:r>
          </w:p>
        </w:tc>
        <w:tc>
          <w:tcPr>
            <w:tcW w:w="1630" w:type="dxa"/>
            <w:vMerge w:val="restart"/>
            <w:vAlign w:val="center"/>
          </w:tcPr>
          <w:p w14:paraId="0B0FFD5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1</w:t>
            </w:r>
          </w:p>
        </w:tc>
        <w:tc>
          <w:tcPr>
            <w:tcW w:w="1630" w:type="dxa"/>
            <w:vMerge w:val="restart"/>
            <w:vAlign w:val="center"/>
          </w:tcPr>
          <w:p w14:paraId="7F76497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10,9904</w:t>
            </w:r>
          </w:p>
        </w:tc>
        <w:tc>
          <w:tcPr>
            <w:tcW w:w="1630" w:type="dxa"/>
            <w:vAlign w:val="center"/>
          </w:tcPr>
          <w:p w14:paraId="77ED652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7,6754</w:t>
            </w:r>
          </w:p>
        </w:tc>
        <w:tc>
          <w:tcPr>
            <w:tcW w:w="1630" w:type="dxa"/>
            <w:vAlign w:val="center"/>
          </w:tcPr>
          <w:p w14:paraId="694E33A6" w14:textId="77777777" w:rsidR="00171AA8" w:rsidRPr="00731FE2" w:rsidRDefault="007935AB">
            <w:pP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7,6754</w:t>
            </w:r>
          </w:p>
        </w:tc>
      </w:tr>
      <w:tr w:rsidR="00171AA8" w:rsidRPr="00731FE2" w14:paraId="5B4A8CBA" w14:textId="77777777">
        <w:trPr>
          <w:trHeight w:val="213"/>
        </w:trPr>
        <w:tc>
          <w:tcPr>
            <w:tcW w:w="709" w:type="dxa"/>
            <w:vMerge/>
            <w:vAlign w:val="center"/>
          </w:tcPr>
          <w:p w14:paraId="0E24386B" w14:textId="77777777" w:rsidR="00171AA8" w:rsidRPr="00731FE2" w:rsidRDefault="00171AA8"/>
        </w:tc>
        <w:tc>
          <w:tcPr>
            <w:tcW w:w="1984" w:type="dxa"/>
            <w:vMerge/>
            <w:vAlign w:val="center"/>
          </w:tcPr>
          <w:p w14:paraId="1E952489" w14:textId="77777777" w:rsidR="00171AA8" w:rsidRPr="00731FE2" w:rsidRDefault="00171AA8"/>
        </w:tc>
        <w:tc>
          <w:tcPr>
            <w:tcW w:w="1701" w:type="dxa"/>
            <w:vMerge w:val="restart"/>
            <w:vAlign w:val="center"/>
          </w:tcPr>
          <w:p w14:paraId="5AA75011" w14:textId="77777777" w:rsidR="00171AA8" w:rsidRPr="00731FE2" w:rsidRDefault="007935AB">
            <w:pPr>
              <w:ind w:firstLine="0"/>
              <w:jc w:val="center"/>
            </w:pPr>
            <w:r w:rsidRPr="00731FE2">
              <w:rPr>
                <w:rStyle w:val="af6"/>
                <w:rFonts w:ascii="Times New Roman" w:hAnsi="Times New Roman" w:cs="Times New Roman"/>
                <w:color w:val="auto"/>
                <w:sz w:val="18"/>
                <w:szCs w:val="18"/>
                <w:u w:val="none"/>
              </w:rPr>
              <w:t>ДЕ-25/14</w:t>
            </w:r>
          </w:p>
        </w:tc>
        <w:tc>
          <w:tcPr>
            <w:tcW w:w="1430" w:type="dxa"/>
            <w:vMerge w:val="restart"/>
            <w:vAlign w:val="center"/>
          </w:tcPr>
          <w:p w14:paraId="5FB79422" w14:textId="77777777" w:rsidR="00171AA8" w:rsidRPr="00731FE2" w:rsidRDefault="007935AB">
            <w:pPr>
              <w:ind w:firstLine="0"/>
              <w:jc w:val="center"/>
            </w:pPr>
            <w:r w:rsidRPr="00731FE2">
              <w:rPr>
                <w:rStyle w:val="af6"/>
                <w:rFonts w:ascii="Times New Roman" w:hAnsi="Times New Roman" w:cs="Times New Roman"/>
                <w:color w:val="auto"/>
                <w:sz w:val="18"/>
                <w:szCs w:val="18"/>
                <w:u w:val="none"/>
              </w:rPr>
              <w:t>17,5</w:t>
            </w:r>
          </w:p>
        </w:tc>
        <w:tc>
          <w:tcPr>
            <w:tcW w:w="1630" w:type="dxa"/>
            <w:vMerge w:val="restart"/>
            <w:vAlign w:val="center"/>
          </w:tcPr>
          <w:p w14:paraId="20BAD52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четырехтрубная</w:t>
            </w:r>
          </w:p>
        </w:tc>
        <w:tc>
          <w:tcPr>
            <w:tcW w:w="1630" w:type="dxa"/>
            <w:vMerge/>
            <w:vAlign w:val="center"/>
          </w:tcPr>
          <w:p w14:paraId="3A8F7210" w14:textId="77777777" w:rsidR="00171AA8" w:rsidRPr="00731FE2" w:rsidRDefault="00171AA8"/>
        </w:tc>
        <w:tc>
          <w:tcPr>
            <w:tcW w:w="1630" w:type="dxa"/>
            <w:vMerge/>
            <w:vAlign w:val="center"/>
          </w:tcPr>
          <w:p w14:paraId="2C179B31" w14:textId="77777777" w:rsidR="00171AA8" w:rsidRPr="00731FE2" w:rsidRDefault="00171AA8"/>
        </w:tc>
        <w:tc>
          <w:tcPr>
            <w:tcW w:w="1630" w:type="dxa"/>
            <w:vMerge w:val="restart"/>
            <w:vAlign w:val="center"/>
          </w:tcPr>
          <w:p w14:paraId="20A9764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3,0476</w:t>
            </w:r>
          </w:p>
        </w:tc>
        <w:tc>
          <w:tcPr>
            <w:tcW w:w="1630" w:type="dxa"/>
            <w:vAlign w:val="center"/>
          </w:tcPr>
          <w:p w14:paraId="202C3719" w14:textId="77777777" w:rsidR="00171AA8" w:rsidRPr="00731FE2" w:rsidRDefault="007935AB">
            <w:pP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2,2857</w:t>
            </w:r>
          </w:p>
        </w:tc>
      </w:tr>
      <w:tr w:rsidR="00171AA8" w:rsidRPr="00731FE2" w14:paraId="5F173402" w14:textId="77777777">
        <w:trPr>
          <w:trHeight w:val="178"/>
        </w:trPr>
        <w:tc>
          <w:tcPr>
            <w:tcW w:w="709" w:type="dxa"/>
            <w:vMerge/>
            <w:vAlign w:val="center"/>
          </w:tcPr>
          <w:p w14:paraId="5605A2D2" w14:textId="77777777" w:rsidR="00171AA8" w:rsidRPr="00731FE2" w:rsidRDefault="00171AA8"/>
        </w:tc>
        <w:tc>
          <w:tcPr>
            <w:tcW w:w="1984" w:type="dxa"/>
            <w:vMerge/>
            <w:vAlign w:val="center"/>
          </w:tcPr>
          <w:p w14:paraId="314437AB" w14:textId="77777777" w:rsidR="00171AA8" w:rsidRPr="00731FE2" w:rsidRDefault="00171AA8"/>
        </w:tc>
        <w:tc>
          <w:tcPr>
            <w:tcW w:w="1701" w:type="dxa"/>
            <w:vMerge w:val="restart"/>
            <w:vAlign w:val="center"/>
          </w:tcPr>
          <w:p w14:paraId="21186BBF" w14:textId="77777777" w:rsidR="00171AA8" w:rsidRPr="00731FE2" w:rsidRDefault="007935AB">
            <w:pPr>
              <w:ind w:firstLine="0"/>
              <w:jc w:val="center"/>
            </w:pPr>
            <w:r w:rsidRPr="00731FE2">
              <w:rPr>
                <w:rStyle w:val="af6"/>
                <w:rFonts w:ascii="Times New Roman" w:hAnsi="Times New Roman" w:cs="Times New Roman"/>
                <w:color w:val="auto"/>
                <w:sz w:val="18"/>
                <w:szCs w:val="18"/>
                <w:u w:val="none"/>
              </w:rPr>
              <w:t>ДЕ-25/14</w:t>
            </w:r>
          </w:p>
        </w:tc>
        <w:tc>
          <w:tcPr>
            <w:tcW w:w="1430" w:type="dxa"/>
            <w:vMerge w:val="restart"/>
            <w:vAlign w:val="center"/>
          </w:tcPr>
          <w:p w14:paraId="40EA42F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17,5</w:t>
            </w:r>
          </w:p>
        </w:tc>
        <w:tc>
          <w:tcPr>
            <w:tcW w:w="1630" w:type="dxa"/>
            <w:vMerge w:val="restart"/>
            <w:vAlign w:val="center"/>
          </w:tcPr>
          <w:p w14:paraId="76171F7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w:t>
            </w:r>
          </w:p>
        </w:tc>
        <w:tc>
          <w:tcPr>
            <w:tcW w:w="1630" w:type="dxa"/>
            <w:vMerge/>
            <w:vAlign w:val="center"/>
          </w:tcPr>
          <w:p w14:paraId="701F2B76" w14:textId="77777777" w:rsidR="00171AA8" w:rsidRPr="00731FE2" w:rsidRDefault="00171AA8"/>
        </w:tc>
        <w:tc>
          <w:tcPr>
            <w:tcW w:w="1630" w:type="dxa"/>
            <w:vMerge/>
            <w:vAlign w:val="center"/>
          </w:tcPr>
          <w:p w14:paraId="76D34B38" w14:textId="77777777" w:rsidR="00171AA8" w:rsidRPr="00731FE2" w:rsidRDefault="00171AA8"/>
        </w:tc>
        <w:tc>
          <w:tcPr>
            <w:tcW w:w="1630" w:type="dxa"/>
            <w:vMerge w:val="restart"/>
            <w:vAlign w:val="center"/>
          </w:tcPr>
          <w:p w14:paraId="22F99F3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w:t>
            </w:r>
          </w:p>
        </w:tc>
        <w:tc>
          <w:tcPr>
            <w:tcW w:w="1630" w:type="dxa"/>
            <w:vAlign w:val="center"/>
          </w:tcPr>
          <w:p w14:paraId="5D5D4B1B" w14:textId="77777777" w:rsidR="00171AA8" w:rsidRPr="00731FE2" w:rsidRDefault="007935AB">
            <w:pPr>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w:t>
            </w:r>
          </w:p>
        </w:tc>
      </w:tr>
      <w:tr w:rsidR="00171AA8" w:rsidRPr="00731FE2" w14:paraId="51CAF3AD" w14:textId="77777777">
        <w:trPr>
          <w:trHeight w:val="275"/>
        </w:trPr>
        <w:tc>
          <w:tcPr>
            <w:tcW w:w="709" w:type="dxa"/>
            <w:vMerge w:val="restart"/>
            <w:vAlign w:val="center"/>
          </w:tcPr>
          <w:p w14:paraId="18330B78" w14:textId="77777777" w:rsidR="00171AA8" w:rsidRPr="00731FE2" w:rsidRDefault="00171AA8">
            <w:pPr>
              <w:pStyle w:val="a3"/>
              <w:numPr>
                <w:ilvl w:val="0"/>
                <w:numId w:val="29"/>
              </w:numPr>
              <w:pBdr>
                <w:top w:val="none" w:sz="4" w:space="0" w:color="000000"/>
                <w:left w:val="none" w:sz="4" w:space="0" w:color="000000"/>
                <w:bottom w:val="none" w:sz="4" w:space="0" w:color="000000"/>
                <w:right w:val="none" w:sz="4" w:space="0" w:color="000000"/>
              </w:pBdr>
              <w:jc w:val="center"/>
              <w:rPr>
                <w:rStyle w:val="af6"/>
                <w:rFonts w:ascii="Times New Roman" w:hAnsi="Times New Roman" w:cs="Times New Roman"/>
                <w:color w:val="auto"/>
                <w:sz w:val="18"/>
                <w:szCs w:val="18"/>
                <w:u w:val="none"/>
              </w:rPr>
            </w:pPr>
          </w:p>
        </w:tc>
        <w:tc>
          <w:tcPr>
            <w:tcW w:w="1984" w:type="dxa"/>
            <w:vMerge w:val="restart"/>
            <w:vAlign w:val="center"/>
          </w:tcPr>
          <w:p w14:paraId="794BACC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 xml:space="preserve">Котельная №3, г. Кисловодск, </w:t>
            </w:r>
          </w:p>
          <w:p w14:paraId="6730DC6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 ул. Набережная, 1</w:t>
            </w:r>
          </w:p>
        </w:tc>
        <w:tc>
          <w:tcPr>
            <w:tcW w:w="1701" w:type="dxa"/>
            <w:vAlign w:val="center"/>
          </w:tcPr>
          <w:p w14:paraId="58847AF0" w14:textId="77777777" w:rsidR="00171AA8" w:rsidRPr="00731FE2" w:rsidRDefault="007935AB">
            <w:pP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ПТВМ-30</w:t>
            </w:r>
          </w:p>
        </w:tc>
        <w:tc>
          <w:tcPr>
            <w:tcW w:w="1430" w:type="dxa"/>
            <w:vAlign w:val="center"/>
          </w:tcPr>
          <w:p w14:paraId="6D6D3E5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30</w:t>
            </w:r>
          </w:p>
        </w:tc>
        <w:tc>
          <w:tcPr>
            <w:tcW w:w="1630" w:type="dxa"/>
            <w:vAlign w:val="center"/>
          </w:tcPr>
          <w:p w14:paraId="12FEC60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Style w:val="af6"/>
                <w:rFonts w:ascii="Times New Roman" w:hAnsi="Times New Roman" w:cs="Times New Roman"/>
                <w:color w:val="auto"/>
                <w:sz w:val="18"/>
                <w:szCs w:val="18"/>
                <w:u w:val="none"/>
              </w:rPr>
              <w:t>двухтрубная</w:t>
            </w:r>
          </w:p>
        </w:tc>
        <w:tc>
          <w:tcPr>
            <w:tcW w:w="1630" w:type="dxa"/>
            <w:vMerge w:val="restart"/>
            <w:vAlign w:val="center"/>
          </w:tcPr>
          <w:p w14:paraId="52FF328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8</w:t>
            </w:r>
          </w:p>
        </w:tc>
        <w:tc>
          <w:tcPr>
            <w:tcW w:w="1630" w:type="dxa"/>
            <w:vMerge w:val="restart"/>
            <w:vAlign w:val="center"/>
          </w:tcPr>
          <w:p w14:paraId="23429C9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53,4136</w:t>
            </w:r>
          </w:p>
        </w:tc>
        <w:tc>
          <w:tcPr>
            <w:tcW w:w="1630" w:type="dxa"/>
            <w:vAlign w:val="center"/>
          </w:tcPr>
          <w:p w14:paraId="4D7F33F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17,0056</w:t>
            </w:r>
          </w:p>
        </w:tc>
        <w:tc>
          <w:tcPr>
            <w:tcW w:w="1630" w:type="dxa"/>
            <w:vAlign w:val="center"/>
          </w:tcPr>
          <w:p w14:paraId="23FA3B8A" w14:textId="77777777" w:rsidR="00171AA8" w:rsidRPr="00731FE2" w:rsidRDefault="007935AB">
            <w:pP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17,0056</w:t>
            </w:r>
          </w:p>
        </w:tc>
      </w:tr>
      <w:tr w:rsidR="00171AA8" w:rsidRPr="00731FE2" w14:paraId="4265529E" w14:textId="77777777">
        <w:trPr>
          <w:trHeight w:val="213"/>
        </w:trPr>
        <w:tc>
          <w:tcPr>
            <w:tcW w:w="709" w:type="dxa"/>
            <w:vMerge/>
            <w:vAlign w:val="center"/>
          </w:tcPr>
          <w:p w14:paraId="71F305D1" w14:textId="77777777" w:rsidR="00171AA8" w:rsidRPr="00731FE2" w:rsidRDefault="00171AA8"/>
        </w:tc>
        <w:tc>
          <w:tcPr>
            <w:tcW w:w="1984" w:type="dxa"/>
            <w:vMerge/>
            <w:vAlign w:val="center"/>
          </w:tcPr>
          <w:p w14:paraId="13331831" w14:textId="77777777" w:rsidR="00171AA8" w:rsidRPr="00731FE2" w:rsidRDefault="00171AA8"/>
        </w:tc>
        <w:tc>
          <w:tcPr>
            <w:tcW w:w="1701" w:type="dxa"/>
            <w:vMerge w:val="restart"/>
            <w:vAlign w:val="center"/>
          </w:tcPr>
          <w:p w14:paraId="2A33CD9E" w14:textId="77777777" w:rsidR="00171AA8" w:rsidRPr="00731FE2" w:rsidRDefault="007935AB">
            <w:pPr>
              <w:ind w:firstLine="0"/>
              <w:jc w:val="center"/>
              <w:rPr>
                <w:rFonts w:ascii="Times New Roman" w:hAnsi="Times New Roman" w:cs="Times New Roman"/>
                <w:sz w:val="18"/>
                <w:szCs w:val="18"/>
              </w:rPr>
            </w:pPr>
            <w:r w:rsidRPr="00731FE2">
              <w:rPr>
                <w:rStyle w:val="af6"/>
                <w:rFonts w:ascii="Times New Roman" w:hAnsi="Times New Roman" w:cs="Times New Roman"/>
                <w:color w:val="auto"/>
                <w:sz w:val="18"/>
                <w:szCs w:val="18"/>
                <w:u w:val="none"/>
              </w:rPr>
              <w:t>ПТВМ-30</w:t>
            </w:r>
          </w:p>
        </w:tc>
        <w:tc>
          <w:tcPr>
            <w:tcW w:w="1430" w:type="dxa"/>
            <w:vMerge w:val="restart"/>
            <w:vAlign w:val="center"/>
          </w:tcPr>
          <w:p w14:paraId="2063FA9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30</w:t>
            </w:r>
          </w:p>
        </w:tc>
        <w:tc>
          <w:tcPr>
            <w:tcW w:w="1630" w:type="dxa"/>
            <w:vMerge w:val="restart"/>
            <w:vAlign w:val="center"/>
          </w:tcPr>
          <w:p w14:paraId="36925F8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Style w:val="af6"/>
                <w:rFonts w:ascii="Times New Roman" w:hAnsi="Times New Roman" w:cs="Times New Roman"/>
                <w:color w:val="auto"/>
                <w:sz w:val="18"/>
                <w:szCs w:val="18"/>
                <w:u w:val="none"/>
              </w:rPr>
              <w:t>четырехтрубная</w:t>
            </w:r>
          </w:p>
        </w:tc>
        <w:tc>
          <w:tcPr>
            <w:tcW w:w="1630" w:type="dxa"/>
            <w:vMerge/>
            <w:vAlign w:val="center"/>
          </w:tcPr>
          <w:p w14:paraId="2867BFF8" w14:textId="77777777" w:rsidR="00171AA8" w:rsidRPr="00731FE2" w:rsidRDefault="00171AA8"/>
        </w:tc>
        <w:tc>
          <w:tcPr>
            <w:tcW w:w="1630" w:type="dxa"/>
            <w:vMerge/>
            <w:vAlign w:val="center"/>
          </w:tcPr>
          <w:p w14:paraId="2F3C6596" w14:textId="77777777" w:rsidR="00171AA8" w:rsidRPr="00731FE2" w:rsidRDefault="00171AA8"/>
        </w:tc>
        <w:tc>
          <w:tcPr>
            <w:tcW w:w="1630" w:type="dxa"/>
            <w:vMerge w:val="restart"/>
            <w:vAlign w:val="center"/>
          </w:tcPr>
          <w:p w14:paraId="3B11F2D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11,6239</w:t>
            </w:r>
          </w:p>
        </w:tc>
        <w:tc>
          <w:tcPr>
            <w:tcW w:w="1630" w:type="dxa"/>
            <w:vAlign w:val="center"/>
          </w:tcPr>
          <w:p w14:paraId="3A9D5F7F" w14:textId="77777777" w:rsidR="00171AA8" w:rsidRPr="00731FE2" w:rsidRDefault="007935AB">
            <w:pP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8,717925</w:t>
            </w:r>
          </w:p>
        </w:tc>
      </w:tr>
      <w:tr w:rsidR="00171AA8" w:rsidRPr="00731FE2" w14:paraId="5A945693" w14:textId="77777777">
        <w:trPr>
          <w:trHeight w:val="213"/>
        </w:trPr>
        <w:tc>
          <w:tcPr>
            <w:tcW w:w="709" w:type="dxa"/>
            <w:vMerge w:val="restart"/>
            <w:vAlign w:val="center"/>
          </w:tcPr>
          <w:p w14:paraId="441F5C2D" w14:textId="77777777" w:rsidR="00171AA8" w:rsidRPr="00731FE2" w:rsidRDefault="00171AA8">
            <w:pPr>
              <w:pStyle w:val="a3"/>
              <w:numPr>
                <w:ilvl w:val="0"/>
                <w:numId w:val="29"/>
              </w:numPr>
              <w:pBdr>
                <w:top w:val="none" w:sz="4" w:space="0" w:color="000000"/>
                <w:left w:val="none" w:sz="4" w:space="0" w:color="000000"/>
                <w:bottom w:val="none" w:sz="4" w:space="0" w:color="000000"/>
                <w:right w:val="none" w:sz="4" w:space="0" w:color="000000"/>
              </w:pBdr>
              <w:jc w:val="center"/>
              <w:rPr>
                <w:rStyle w:val="af6"/>
                <w:rFonts w:ascii="Times New Roman" w:hAnsi="Times New Roman" w:cs="Times New Roman"/>
                <w:color w:val="auto"/>
                <w:sz w:val="18"/>
                <w:szCs w:val="18"/>
                <w:u w:val="none"/>
              </w:rPr>
            </w:pPr>
          </w:p>
        </w:tc>
        <w:tc>
          <w:tcPr>
            <w:tcW w:w="1984" w:type="dxa"/>
            <w:vMerge w:val="restart"/>
            <w:vAlign w:val="center"/>
          </w:tcPr>
          <w:p w14:paraId="02200FF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 xml:space="preserve">Котельная №4, г. Кисловодск, </w:t>
            </w:r>
          </w:p>
          <w:p w14:paraId="2310C2C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ул. Островского, 35</w:t>
            </w:r>
          </w:p>
        </w:tc>
        <w:tc>
          <w:tcPr>
            <w:tcW w:w="1701" w:type="dxa"/>
            <w:vAlign w:val="center"/>
          </w:tcPr>
          <w:p w14:paraId="550E376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ТВГ-8М</w:t>
            </w:r>
          </w:p>
        </w:tc>
        <w:tc>
          <w:tcPr>
            <w:tcW w:w="1430" w:type="dxa"/>
            <w:vAlign w:val="center"/>
          </w:tcPr>
          <w:p w14:paraId="1D70176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5,6</w:t>
            </w:r>
          </w:p>
        </w:tc>
        <w:tc>
          <w:tcPr>
            <w:tcW w:w="1630" w:type="dxa"/>
            <w:vAlign w:val="center"/>
          </w:tcPr>
          <w:p w14:paraId="703D971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Style w:val="af6"/>
                <w:rFonts w:ascii="Times New Roman" w:hAnsi="Times New Roman" w:cs="Times New Roman"/>
                <w:color w:val="auto"/>
                <w:sz w:val="18"/>
                <w:szCs w:val="18"/>
                <w:u w:val="none"/>
              </w:rPr>
              <w:t>двухтрубная</w:t>
            </w:r>
          </w:p>
        </w:tc>
        <w:tc>
          <w:tcPr>
            <w:tcW w:w="1630" w:type="dxa"/>
            <w:vMerge w:val="restart"/>
            <w:vAlign w:val="center"/>
          </w:tcPr>
          <w:p w14:paraId="05DB1A3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10</w:t>
            </w:r>
          </w:p>
        </w:tc>
        <w:tc>
          <w:tcPr>
            <w:tcW w:w="1630" w:type="dxa"/>
            <w:vMerge w:val="restart"/>
            <w:vAlign w:val="center"/>
          </w:tcPr>
          <w:p w14:paraId="4188779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43,5579</w:t>
            </w:r>
          </w:p>
        </w:tc>
        <w:tc>
          <w:tcPr>
            <w:tcW w:w="1630" w:type="dxa"/>
            <w:vAlign w:val="center"/>
          </w:tcPr>
          <w:p w14:paraId="2B60684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14,44904</w:t>
            </w:r>
          </w:p>
        </w:tc>
        <w:tc>
          <w:tcPr>
            <w:tcW w:w="1630" w:type="dxa"/>
            <w:vAlign w:val="center"/>
          </w:tcPr>
          <w:p w14:paraId="2C8DE4EE" w14:textId="77777777" w:rsidR="00171AA8" w:rsidRPr="00731FE2" w:rsidRDefault="007935AB">
            <w:pP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14,44904</w:t>
            </w:r>
          </w:p>
        </w:tc>
      </w:tr>
      <w:tr w:rsidR="00171AA8" w:rsidRPr="00731FE2" w14:paraId="417C5A6F" w14:textId="77777777">
        <w:trPr>
          <w:trHeight w:val="213"/>
        </w:trPr>
        <w:tc>
          <w:tcPr>
            <w:tcW w:w="709" w:type="dxa"/>
            <w:vMerge/>
            <w:vAlign w:val="center"/>
          </w:tcPr>
          <w:p w14:paraId="07CA369F" w14:textId="77777777" w:rsidR="00171AA8" w:rsidRPr="00731FE2" w:rsidRDefault="00171AA8"/>
        </w:tc>
        <w:tc>
          <w:tcPr>
            <w:tcW w:w="1984" w:type="dxa"/>
            <w:vMerge/>
            <w:vAlign w:val="center"/>
          </w:tcPr>
          <w:p w14:paraId="739E36D8" w14:textId="77777777" w:rsidR="00171AA8" w:rsidRPr="00731FE2" w:rsidRDefault="00171AA8"/>
        </w:tc>
        <w:tc>
          <w:tcPr>
            <w:tcW w:w="1701" w:type="dxa"/>
            <w:vMerge w:val="restart"/>
            <w:vAlign w:val="center"/>
          </w:tcPr>
          <w:p w14:paraId="17AAE87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Style w:val="af6"/>
                <w:rFonts w:ascii="Times New Roman" w:hAnsi="Times New Roman" w:cs="Times New Roman"/>
                <w:color w:val="auto"/>
                <w:sz w:val="18"/>
                <w:szCs w:val="18"/>
                <w:u w:val="none"/>
              </w:rPr>
              <w:t>ТВГ-8М</w:t>
            </w:r>
          </w:p>
        </w:tc>
        <w:tc>
          <w:tcPr>
            <w:tcW w:w="1430" w:type="dxa"/>
            <w:vMerge w:val="restart"/>
            <w:vAlign w:val="center"/>
          </w:tcPr>
          <w:p w14:paraId="12A4072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5,6</w:t>
            </w:r>
          </w:p>
        </w:tc>
        <w:tc>
          <w:tcPr>
            <w:tcW w:w="1630" w:type="dxa"/>
            <w:vMerge w:val="restart"/>
            <w:vAlign w:val="center"/>
          </w:tcPr>
          <w:p w14:paraId="39B31D5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Style w:val="af6"/>
                <w:rFonts w:ascii="Times New Roman" w:hAnsi="Times New Roman" w:cs="Times New Roman"/>
                <w:color w:val="auto"/>
                <w:sz w:val="18"/>
                <w:szCs w:val="18"/>
                <w:u w:val="none"/>
              </w:rPr>
              <w:t>четырехтрубная</w:t>
            </w:r>
          </w:p>
        </w:tc>
        <w:tc>
          <w:tcPr>
            <w:tcW w:w="1630" w:type="dxa"/>
            <w:vMerge/>
            <w:vAlign w:val="center"/>
          </w:tcPr>
          <w:p w14:paraId="27785E1B" w14:textId="77777777" w:rsidR="00171AA8" w:rsidRPr="00731FE2" w:rsidRDefault="00171AA8"/>
        </w:tc>
        <w:tc>
          <w:tcPr>
            <w:tcW w:w="1630" w:type="dxa"/>
            <w:vMerge/>
            <w:vAlign w:val="center"/>
          </w:tcPr>
          <w:p w14:paraId="4FBEF5B1" w14:textId="77777777" w:rsidR="00171AA8" w:rsidRPr="00731FE2" w:rsidRDefault="00171AA8"/>
        </w:tc>
        <w:tc>
          <w:tcPr>
            <w:tcW w:w="1630" w:type="dxa"/>
            <w:vMerge w:val="restart"/>
            <w:vAlign w:val="center"/>
          </w:tcPr>
          <w:p w14:paraId="6BE476D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10,78446</w:t>
            </w:r>
          </w:p>
        </w:tc>
        <w:tc>
          <w:tcPr>
            <w:tcW w:w="1630" w:type="dxa"/>
            <w:vAlign w:val="center"/>
          </w:tcPr>
          <w:p w14:paraId="36B10E3F" w14:textId="77777777" w:rsidR="00171AA8" w:rsidRPr="00731FE2" w:rsidRDefault="007935AB">
            <w:pP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8,088345</w:t>
            </w:r>
          </w:p>
        </w:tc>
      </w:tr>
      <w:tr w:rsidR="00171AA8" w:rsidRPr="00731FE2" w14:paraId="500E509C" w14:textId="77777777">
        <w:trPr>
          <w:trHeight w:val="213"/>
        </w:trPr>
        <w:tc>
          <w:tcPr>
            <w:tcW w:w="709" w:type="dxa"/>
            <w:vMerge/>
            <w:vAlign w:val="center"/>
          </w:tcPr>
          <w:p w14:paraId="5AA61C1B" w14:textId="77777777" w:rsidR="00171AA8" w:rsidRPr="00731FE2" w:rsidRDefault="00171AA8"/>
        </w:tc>
        <w:tc>
          <w:tcPr>
            <w:tcW w:w="1984" w:type="dxa"/>
            <w:vMerge/>
            <w:vAlign w:val="center"/>
          </w:tcPr>
          <w:p w14:paraId="31911219" w14:textId="77777777" w:rsidR="00171AA8" w:rsidRPr="00731FE2" w:rsidRDefault="00171AA8"/>
        </w:tc>
        <w:tc>
          <w:tcPr>
            <w:tcW w:w="1701" w:type="dxa"/>
            <w:vMerge w:val="restart"/>
            <w:vAlign w:val="center"/>
          </w:tcPr>
          <w:p w14:paraId="25701E3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Style w:val="af6"/>
                <w:rFonts w:ascii="Times New Roman" w:hAnsi="Times New Roman" w:cs="Times New Roman"/>
                <w:color w:val="auto"/>
                <w:sz w:val="18"/>
                <w:szCs w:val="18"/>
                <w:u w:val="none"/>
              </w:rPr>
              <w:t>ТВГ-8М</w:t>
            </w:r>
          </w:p>
        </w:tc>
        <w:tc>
          <w:tcPr>
            <w:tcW w:w="1430" w:type="dxa"/>
            <w:vMerge w:val="restart"/>
            <w:vAlign w:val="center"/>
          </w:tcPr>
          <w:p w14:paraId="5943718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5,6</w:t>
            </w:r>
          </w:p>
        </w:tc>
        <w:tc>
          <w:tcPr>
            <w:tcW w:w="1630" w:type="dxa"/>
            <w:vMerge w:val="restart"/>
            <w:vAlign w:val="center"/>
          </w:tcPr>
          <w:p w14:paraId="0B68251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w:t>
            </w:r>
          </w:p>
        </w:tc>
        <w:tc>
          <w:tcPr>
            <w:tcW w:w="1630" w:type="dxa"/>
            <w:vMerge/>
            <w:vAlign w:val="center"/>
          </w:tcPr>
          <w:p w14:paraId="35628D70" w14:textId="77777777" w:rsidR="00171AA8" w:rsidRPr="00731FE2" w:rsidRDefault="00171AA8"/>
        </w:tc>
        <w:tc>
          <w:tcPr>
            <w:tcW w:w="1630" w:type="dxa"/>
            <w:vMerge/>
            <w:vAlign w:val="center"/>
          </w:tcPr>
          <w:p w14:paraId="20D8C520" w14:textId="77777777" w:rsidR="00171AA8" w:rsidRPr="00731FE2" w:rsidRDefault="00171AA8"/>
        </w:tc>
        <w:tc>
          <w:tcPr>
            <w:tcW w:w="1630" w:type="dxa"/>
            <w:vMerge w:val="restart"/>
            <w:vAlign w:val="center"/>
          </w:tcPr>
          <w:p w14:paraId="370F226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Style w:val="af6"/>
                <w:rFonts w:ascii="Times New Roman" w:hAnsi="Times New Roman" w:cs="Times New Roman"/>
                <w:color w:val="auto"/>
                <w:sz w:val="18"/>
                <w:szCs w:val="18"/>
                <w:u w:val="none"/>
              </w:rPr>
              <w:t>-</w:t>
            </w:r>
          </w:p>
        </w:tc>
        <w:tc>
          <w:tcPr>
            <w:tcW w:w="1630" w:type="dxa"/>
            <w:vAlign w:val="center"/>
          </w:tcPr>
          <w:p w14:paraId="5AA6E78F" w14:textId="77777777" w:rsidR="00171AA8" w:rsidRPr="00731FE2" w:rsidRDefault="007935AB">
            <w:pPr>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w:t>
            </w:r>
          </w:p>
        </w:tc>
      </w:tr>
      <w:tr w:rsidR="00171AA8" w:rsidRPr="00731FE2" w14:paraId="7A408ED1" w14:textId="77777777">
        <w:trPr>
          <w:trHeight w:val="213"/>
        </w:trPr>
        <w:tc>
          <w:tcPr>
            <w:tcW w:w="709" w:type="dxa"/>
            <w:vMerge w:val="restart"/>
            <w:vAlign w:val="center"/>
          </w:tcPr>
          <w:p w14:paraId="50374D95" w14:textId="77777777" w:rsidR="00171AA8" w:rsidRPr="00731FE2" w:rsidRDefault="00171AA8">
            <w:pPr>
              <w:pStyle w:val="a3"/>
              <w:numPr>
                <w:ilvl w:val="0"/>
                <w:numId w:val="29"/>
              </w:numPr>
              <w:pBdr>
                <w:top w:val="none" w:sz="4" w:space="0" w:color="000000"/>
                <w:left w:val="none" w:sz="4" w:space="0" w:color="000000"/>
                <w:bottom w:val="none" w:sz="4" w:space="0" w:color="000000"/>
                <w:right w:val="none" w:sz="4" w:space="0" w:color="000000"/>
              </w:pBdr>
              <w:jc w:val="center"/>
              <w:rPr>
                <w:rStyle w:val="af6"/>
                <w:rFonts w:ascii="Times New Roman" w:hAnsi="Times New Roman" w:cs="Times New Roman"/>
                <w:color w:val="auto"/>
                <w:sz w:val="18"/>
                <w:szCs w:val="18"/>
                <w:u w:val="none"/>
              </w:rPr>
            </w:pPr>
          </w:p>
        </w:tc>
        <w:tc>
          <w:tcPr>
            <w:tcW w:w="1984" w:type="dxa"/>
            <w:vMerge w:val="restart"/>
            <w:vAlign w:val="center"/>
          </w:tcPr>
          <w:p w14:paraId="74A82FF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 xml:space="preserve">Котельная №5, г. Кисловодск,  </w:t>
            </w:r>
          </w:p>
          <w:p w14:paraId="7344BA3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ул. Замковая, 72</w:t>
            </w:r>
          </w:p>
        </w:tc>
        <w:tc>
          <w:tcPr>
            <w:tcW w:w="1701" w:type="dxa"/>
            <w:vAlign w:val="center"/>
          </w:tcPr>
          <w:p w14:paraId="2EA9E0A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ТВГ-8М</w:t>
            </w:r>
          </w:p>
        </w:tc>
        <w:tc>
          <w:tcPr>
            <w:tcW w:w="1430" w:type="dxa"/>
            <w:vAlign w:val="center"/>
          </w:tcPr>
          <w:p w14:paraId="461B169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6,2</w:t>
            </w:r>
          </w:p>
        </w:tc>
        <w:tc>
          <w:tcPr>
            <w:tcW w:w="1630" w:type="dxa"/>
            <w:vAlign w:val="center"/>
          </w:tcPr>
          <w:p w14:paraId="183E8F1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Style w:val="af6"/>
                <w:rFonts w:ascii="Times New Roman" w:hAnsi="Times New Roman" w:cs="Times New Roman"/>
                <w:color w:val="auto"/>
                <w:sz w:val="18"/>
                <w:szCs w:val="18"/>
                <w:u w:val="none"/>
              </w:rPr>
              <w:t>двухтрубная</w:t>
            </w:r>
          </w:p>
        </w:tc>
        <w:tc>
          <w:tcPr>
            <w:tcW w:w="1630" w:type="dxa"/>
            <w:vMerge w:val="restart"/>
            <w:vAlign w:val="center"/>
          </w:tcPr>
          <w:p w14:paraId="33048FA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2</w:t>
            </w:r>
          </w:p>
        </w:tc>
        <w:tc>
          <w:tcPr>
            <w:tcW w:w="1630" w:type="dxa"/>
            <w:vMerge w:val="restart"/>
            <w:vAlign w:val="center"/>
          </w:tcPr>
          <w:p w14:paraId="510867F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9,679</w:t>
            </w:r>
          </w:p>
        </w:tc>
        <w:tc>
          <w:tcPr>
            <w:tcW w:w="1630" w:type="dxa"/>
            <w:vAlign w:val="center"/>
          </w:tcPr>
          <w:p w14:paraId="4A8853B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Style w:val="af6"/>
                <w:rFonts w:ascii="Times New Roman" w:hAnsi="Times New Roman" w:cs="Times New Roman"/>
                <w:color w:val="auto"/>
                <w:sz w:val="18"/>
                <w:szCs w:val="18"/>
                <w:u w:val="none"/>
              </w:rPr>
              <w:t>5,6166</w:t>
            </w:r>
          </w:p>
        </w:tc>
        <w:tc>
          <w:tcPr>
            <w:tcW w:w="1630" w:type="dxa"/>
            <w:vAlign w:val="center"/>
          </w:tcPr>
          <w:p w14:paraId="6B000158" w14:textId="77777777" w:rsidR="00171AA8" w:rsidRPr="00731FE2" w:rsidRDefault="007935AB">
            <w:pP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5,6166</w:t>
            </w:r>
          </w:p>
        </w:tc>
      </w:tr>
      <w:tr w:rsidR="00171AA8" w:rsidRPr="00731FE2" w14:paraId="27E04E4B" w14:textId="77777777">
        <w:trPr>
          <w:trHeight w:val="213"/>
        </w:trPr>
        <w:tc>
          <w:tcPr>
            <w:tcW w:w="709" w:type="dxa"/>
            <w:vMerge/>
            <w:vAlign w:val="center"/>
          </w:tcPr>
          <w:p w14:paraId="19B3DFE3" w14:textId="77777777" w:rsidR="00171AA8" w:rsidRPr="00731FE2" w:rsidRDefault="00171AA8"/>
        </w:tc>
        <w:tc>
          <w:tcPr>
            <w:tcW w:w="1984" w:type="dxa"/>
            <w:vMerge/>
            <w:vAlign w:val="center"/>
          </w:tcPr>
          <w:p w14:paraId="24A0D9F6" w14:textId="77777777" w:rsidR="00171AA8" w:rsidRPr="00731FE2" w:rsidRDefault="00171AA8"/>
        </w:tc>
        <w:tc>
          <w:tcPr>
            <w:tcW w:w="1701" w:type="dxa"/>
            <w:vMerge w:val="restart"/>
            <w:vAlign w:val="center"/>
          </w:tcPr>
          <w:p w14:paraId="49D68BA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ТВГ-8М</w:t>
            </w:r>
          </w:p>
        </w:tc>
        <w:tc>
          <w:tcPr>
            <w:tcW w:w="1430" w:type="dxa"/>
            <w:vMerge w:val="restart"/>
            <w:vAlign w:val="center"/>
          </w:tcPr>
          <w:p w14:paraId="46B97FD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6,2</w:t>
            </w:r>
          </w:p>
        </w:tc>
        <w:tc>
          <w:tcPr>
            <w:tcW w:w="1630" w:type="dxa"/>
            <w:vMerge w:val="restart"/>
            <w:vAlign w:val="center"/>
          </w:tcPr>
          <w:p w14:paraId="5569DE4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Style w:val="af6"/>
                <w:rFonts w:ascii="Times New Roman" w:hAnsi="Times New Roman" w:cs="Times New Roman"/>
                <w:color w:val="auto"/>
                <w:sz w:val="18"/>
                <w:szCs w:val="18"/>
                <w:u w:val="none"/>
              </w:rPr>
              <w:t>четырехтрубная</w:t>
            </w:r>
          </w:p>
        </w:tc>
        <w:tc>
          <w:tcPr>
            <w:tcW w:w="1630" w:type="dxa"/>
            <w:vMerge/>
            <w:vAlign w:val="center"/>
          </w:tcPr>
          <w:p w14:paraId="59802F37" w14:textId="77777777" w:rsidR="00171AA8" w:rsidRPr="00731FE2" w:rsidRDefault="00171AA8"/>
        </w:tc>
        <w:tc>
          <w:tcPr>
            <w:tcW w:w="1630" w:type="dxa"/>
            <w:vMerge/>
            <w:vAlign w:val="center"/>
          </w:tcPr>
          <w:p w14:paraId="25A03563" w14:textId="77777777" w:rsidR="00171AA8" w:rsidRPr="00731FE2" w:rsidRDefault="00171AA8"/>
        </w:tc>
        <w:tc>
          <w:tcPr>
            <w:tcW w:w="1630" w:type="dxa"/>
            <w:vMerge w:val="restart"/>
            <w:vAlign w:val="center"/>
          </w:tcPr>
          <w:p w14:paraId="0E2CD9B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Style w:val="af6"/>
                <w:rFonts w:ascii="Times New Roman" w:hAnsi="Times New Roman" w:cs="Times New Roman"/>
                <w:color w:val="auto"/>
                <w:sz w:val="18"/>
                <w:szCs w:val="18"/>
                <w:u w:val="none"/>
              </w:rPr>
              <w:t>3,8664</w:t>
            </w:r>
          </w:p>
        </w:tc>
        <w:tc>
          <w:tcPr>
            <w:tcW w:w="1630" w:type="dxa"/>
            <w:vAlign w:val="center"/>
          </w:tcPr>
          <w:p w14:paraId="69A98857" w14:textId="77777777" w:rsidR="00171AA8" w:rsidRPr="00731FE2" w:rsidRDefault="007935AB">
            <w:pP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2,8998</w:t>
            </w:r>
          </w:p>
        </w:tc>
      </w:tr>
      <w:tr w:rsidR="00171AA8" w:rsidRPr="00731FE2" w14:paraId="3DE0B8C6" w14:textId="77777777">
        <w:trPr>
          <w:trHeight w:val="213"/>
        </w:trPr>
        <w:tc>
          <w:tcPr>
            <w:tcW w:w="709" w:type="dxa"/>
            <w:vMerge/>
            <w:vAlign w:val="center"/>
          </w:tcPr>
          <w:p w14:paraId="6328612B" w14:textId="77777777" w:rsidR="00171AA8" w:rsidRPr="00731FE2" w:rsidRDefault="00171AA8"/>
        </w:tc>
        <w:tc>
          <w:tcPr>
            <w:tcW w:w="1984" w:type="dxa"/>
            <w:vMerge/>
            <w:vAlign w:val="center"/>
          </w:tcPr>
          <w:p w14:paraId="1F24AB3B" w14:textId="77777777" w:rsidR="00171AA8" w:rsidRPr="00731FE2" w:rsidRDefault="00171AA8"/>
        </w:tc>
        <w:tc>
          <w:tcPr>
            <w:tcW w:w="1701" w:type="dxa"/>
            <w:vMerge w:val="restart"/>
            <w:vAlign w:val="center"/>
          </w:tcPr>
          <w:p w14:paraId="5CC9AC8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ТВГ-8М</w:t>
            </w:r>
          </w:p>
        </w:tc>
        <w:tc>
          <w:tcPr>
            <w:tcW w:w="1430" w:type="dxa"/>
            <w:vMerge w:val="restart"/>
            <w:vAlign w:val="center"/>
          </w:tcPr>
          <w:p w14:paraId="3FECBCC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6,2</w:t>
            </w:r>
          </w:p>
        </w:tc>
        <w:tc>
          <w:tcPr>
            <w:tcW w:w="1630" w:type="dxa"/>
            <w:vMerge w:val="restart"/>
            <w:vAlign w:val="center"/>
          </w:tcPr>
          <w:p w14:paraId="781373F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w:t>
            </w:r>
          </w:p>
        </w:tc>
        <w:tc>
          <w:tcPr>
            <w:tcW w:w="1630" w:type="dxa"/>
            <w:vMerge/>
            <w:vAlign w:val="center"/>
          </w:tcPr>
          <w:p w14:paraId="1D558C40" w14:textId="77777777" w:rsidR="00171AA8" w:rsidRPr="00731FE2" w:rsidRDefault="00171AA8"/>
        </w:tc>
        <w:tc>
          <w:tcPr>
            <w:tcW w:w="1630" w:type="dxa"/>
            <w:vMerge/>
            <w:vAlign w:val="center"/>
          </w:tcPr>
          <w:p w14:paraId="75F236E8" w14:textId="77777777" w:rsidR="00171AA8" w:rsidRPr="00731FE2" w:rsidRDefault="00171AA8"/>
        </w:tc>
        <w:tc>
          <w:tcPr>
            <w:tcW w:w="1630" w:type="dxa"/>
            <w:vMerge w:val="restart"/>
            <w:vAlign w:val="center"/>
          </w:tcPr>
          <w:p w14:paraId="6831634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Style w:val="af6"/>
                <w:rFonts w:ascii="Times New Roman" w:hAnsi="Times New Roman" w:cs="Times New Roman"/>
                <w:color w:val="auto"/>
                <w:sz w:val="18"/>
                <w:szCs w:val="18"/>
                <w:u w:val="none"/>
              </w:rPr>
              <w:t>-</w:t>
            </w:r>
          </w:p>
        </w:tc>
        <w:tc>
          <w:tcPr>
            <w:tcW w:w="1630" w:type="dxa"/>
            <w:vAlign w:val="center"/>
          </w:tcPr>
          <w:p w14:paraId="49BB9F72" w14:textId="77777777" w:rsidR="00171AA8" w:rsidRPr="00731FE2" w:rsidRDefault="007935AB">
            <w:pPr>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w:t>
            </w:r>
          </w:p>
        </w:tc>
      </w:tr>
      <w:tr w:rsidR="00171AA8" w:rsidRPr="00731FE2" w14:paraId="7989BC58" w14:textId="77777777">
        <w:trPr>
          <w:trHeight w:val="213"/>
        </w:trPr>
        <w:tc>
          <w:tcPr>
            <w:tcW w:w="709" w:type="dxa"/>
            <w:vMerge w:val="restart"/>
            <w:vAlign w:val="center"/>
          </w:tcPr>
          <w:p w14:paraId="711D4E08" w14:textId="77777777" w:rsidR="00171AA8" w:rsidRPr="00731FE2" w:rsidRDefault="00171AA8">
            <w:pPr>
              <w:pStyle w:val="a3"/>
              <w:numPr>
                <w:ilvl w:val="0"/>
                <w:numId w:val="29"/>
              </w:numPr>
              <w:pBdr>
                <w:top w:val="none" w:sz="4" w:space="0" w:color="000000"/>
                <w:left w:val="none" w:sz="4" w:space="0" w:color="000000"/>
                <w:bottom w:val="none" w:sz="4" w:space="0" w:color="000000"/>
                <w:right w:val="none" w:sz="4" w:space="0" w:color="000000"/>
              </w:pBdr>
              <w:jc w:val="center"/>
              <w:rPr>
                <w:rStyle w:val="af6"/>
                <w:rFonts w:ascii="Times New Roman" w:hAnsi="Times New Roman" w:cs="Times New Roman"/>
                <w:color w:val="auto"/>
                <w:sz w:val="18"/>
                <w:szCs w:val="18"/>
                <w:u w:val="none"/>
              </w:rPr>
            </w:pPr>
          </w:p>
        </w:tc>
        <w:tc>
          <w:tcPr>
            <w:tcW w:w="1984" w:type="dxa"/>
            <w:vMerge w:val="restart"/>
            <w:vAlign w:val="center"/>
          </w:tcPr>
          <w:p w14:paraId="0C477B6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 xml:space="preserve">Котельная №6, г. Кисловодск,  </w:t>
            </w:r>
          </w:p>
          <w:p w14:paraId="2D55C08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ул. Фоменко, 110</w:t>
            </w:r>
          </w:p>
        </w:tc>
        <w:tc>
          <w:tcPr>
            <w:tcW w:w="1701" w:type="dxa"/>
            <w:vAlign w:val="center"/>
          </w:tcPr>
          <w:p w14:paraId="4DC72DD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ТВГ-2,5</w:t>
            </w:r>
          </w:p>
        </w:tc>
        <w:tc>
          <w:tcPr>
            <w:tcW w:w="1430" w:type="dxa"/>
            <w:vAlign w:val="center"/>
          </w:tcPr>
          <w:p w14:paraId="6D37740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Style w:val="af6"/>
                <w:rFonts w:ascii="Times New Roman" w:hAnsi="Times New Roman" w:cs="Times New Roman"/>
                <w:color w:val="auto"/>
                <w:sz w:val="18"/>
                <w:szCs w:val="18"/>
                <w:u w:val="none"/>
              </w:rPr>
              <w:t>2,5</w:t>
            </w:r>
          </w:p>
        </w:tc>
        <w:tc>
          <w:tcPr>
            <w:tcW w:w="1630" w:type="dxa"/>
            <w:vAlign w:val="center"/>
          </w:tcPr>
          <w:p w14:paraId="036B8E0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четырехтрубная</w:t>
            </w:r>
          </w:p>
        </w:tc>
        <w:tc>
          <w:tcPr>
            <w:tcW w:w="1630" w:type="dxa"/>
            <w:vMerge w:val="restart"/>
            <w:vAlign w:val="center"/>
          </w:tcPr>
          <w:p w14:paraId="5034A00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w:t>
            </w:r>
          </w:p>
        </w:tc>
        <w:tc>
          <w:tcPr>
            <w:tcW w:w="1630" w:type="dxa"/>
            <w:vMerge w:val="restart"/>
            <w:vAlign w:val="center"/>
          </w:tcPr>
          <w:p w14:paraId="0DECCFB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11,6751</w:t>
            </w:r>
          </w:p>
        </w:tc>
        <w:tc>
          <w:tcPr>
            <w:tcW w:w="1630" w:type="dxa"/>
            <w:vAlign w:val="center"/>
          </w:tcPr>
          <w:p w14:paraId="50E973C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7,8929</w:t>
            </w:r>
          </w:p>
        </w:tc>
        <w:tc>
          <w:tcPr>
            <w:tcW w:w="1630" w:type="dxa"/>
            <w:vAlign w:val="center"/>
          </w:tcPr>
          <w:p w14:paraId="270B5A08" w14:textId="77777777" w:rsidR="00171AA8" w:rsidRPr="00731FE2" w:rsidRDefault="007935AB">
            <w:pP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5,919375</w:t>
            </w:r>
          </w:p>
        </w:tc>
      </w:tr>
      <w:tr w:rsidR="00171AA8" w:rsidRPr="00731FE2" w14:paraId="6778334D" w14:textId="77777777">
        <w:trPr>
          <w:trHeight w:val="212"/>
        </w:trPr>
        <w:tc>
          <w:tcPr>
            <w:tcW w:w="709" w:type="dxa"/>
            <w:vMerge/>
            <w:vAlign w:val="center"/>
          </w:tcPr>
          <w:p w14:paraId="340B7B33" w14:textId="77777777" w:rsidR="00171AA8" w:rsidRPr="00731FE2" w:rsidRDefault="00171AA8"/>
        </w:tc>
        <w:tc>
          <w:tcPr>
            <w:tcW w:w="1984" w:type="dxa"/>
            <w:vMerge/>
            <w:vAlign w:val="center"/>
          </w:tcPr>
          <w:p w14:paraId="3782177D" w14:textId="77777777" w:rsidR="00171AA8" w:rsidRPr="00731FE2" w:rsidRDefault="00171AA8"/>
        </w:tc>
        <w:tc>
          <w:tcPr>
            <w:tcW w:w="1701" w:type="dxa"/>
            <w:vMerge w:val="restart"/>
            <w:vAlign w:val="center"/>
          </w:tcPr>
          <w:p w14:paraId="14CBE69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ТВГ-2,5</w:t>
            </w:r>
          </w:p>
        </w:tc>
        <w:tc>
          <w:tcPr>
            <w:tcW w:w="1430" w:type="dxa"/>
            <w:vMerge w:val="restart"/>
            <w:vAlign w:val="center"/>
          </w:tcPr>
          <w:p w14:paraId="6D59C99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Style w:val="af6"/>
                <w:rFonts w:ascii="Times New Roman" w:hAnsi="Times New Roman" w:cs="Times New Roman"/>
                <w:color w:val="auto"/>
                <w:sz w:val="18"/>
                <w:szCs w:val="18"/>
                <w:u w:val="none"/>
              </w:rPr>
              <w:t>2,5</w:t>
            </w:r>
          </w:p>
        </w:tc>
        <w:tc>
          <w:tcPr>
            <w:tcW w:w="1630" w:type="dxa"/>
            <w:vMerge w:val="restart"/>
            <w:vAlign w:val="center"/>
          </w:tcPr>
          <w:p w14:paraId="2898133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w:t>
            </w:r>
          </w:p>
        </w:tc>
        <w:tc>
          <w:tcPr>
            <w:tcW w:w="1630" w:type="dxa"/>
            <w:vMerge/>
            <w:vAlign w:val="center"/>
          </w:tcPr>
          <w:p w14:paraId="6D2682B1" w14:textId="77777777" w:rsidR="00171AA8" w:rsidRPr="00731FE2" w:rsidRDefault="00171AA8"/>
        </w:tc>
        <w:tc>
          <w:tcPr>
            <w:tcW w:w="1630" w:type="dxa"/>
            <w:vMerge/>
            <w:vAlign w:val="center"/>
          </w:tcPr>
          <w:p w14:paraId="7970AC58" w14:textId="77777777" w:rsidR="00171AA8" w:rsidRPr="00731FE2" w:rsidRDefault="00171AA8"/>
        </w:tc>
        <w:tc>
          <w:tcPr>
            <w:tcW w:w="1630" w:type="dxa"/>
            <w:vMerge w:val="restart"/>
            <w:vAlign w:val="center"/>
          </w:tcPr>
          <w:p w14:paraId="7290A97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w:t>
            </w:r>
          </w:p>
        </w:tc>
        <w:tc>
          <w:tcPr>
            <w:tcW w:w="1630" w:type="dxa"/>
            <w:vAlign w:val="center"/>
          </w:tcPr>
          <w:p w14:paraId="32C26A6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Style w:val="af6"/>
                <w:rFonts w:ascii="Times New Roman" w:hAnsi="Times New Roman" w:cs="Times New Roman"/>
                <w:color w:val="auto"/>
                <w:sz w:val="18"/>
                <w:szCs w:val="18"/>
                <w:u w:val="none"/>
              </w:rPr>
              <w:t>-</w:t>
            </w:r>
          </w:p>
        </w:tc>
      </w:tr>
      <w:tr w:rsidR="00171AA8" w:rsidRPr="00731FE2" w14:paraId="55CAE530" w14:textId="77777777">
        <w:trPr>
          <w:trHeight w:val="213"/>
        </w:trPr>
        <w:tc>
          <w:tcPr>
            <w:tcW w:w="709" w:type="dxa"/>
            <w:vMerge/>
            <w:vAlign w:val="center"/>
          </w:tcPr>
          <w:p w14:paraId="0954FAED" w14:textId="77777777" w:rsidR="00171AA8" w:rsidRPr="00731FE2" w:rsidRDefault="00171AA8"/>
        </w:tc>
        <w:tc>
          <w:tcPr>
            <w:tcW w:w="1984" w:type="dxa"/>
            <w:vMerge/>
            <w:vAlign w:val="center"/>
          </w:tcPr>
          <w:p w14:paraId="1C2B036F" w14:textId="77777777" w:rsidR="00171AA8" w:rsidRPr="00731FE2" w:rsidRDefault="00171AA8"/>
        </w:tc>
        <w:tc>
          <w:tcPr>
            <w:tcW w:w="1701" w:type="dxa"/>
            <w:vMerge w:val="restart"/>
            <w:vAlign w:val="center"/>
          </w:tcPr>
          <w:p w14:paraId="392F68A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ТВГ-1,5</w:t>
            </w:r>
          </w:p>
        </w:tc>
        <w:tc>
          <w:tcPr>
            <w:tcW w:w="1430" w:type="dxa"/>
            <w:vMerge w:val="restart"/>
            <w:vAlign w:val="center"/>
          </w:tcPr>
          <w:p w14:paraId="6ACFAD4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Style w:val="af6"/>
                <w:rFonts w:ascii="Times New Roman" w:hAnsi="Times New Roman" w:cs="Times New Roman"/>
                <w:color w:val="auto"/>
                <w:sz w:val="18"/>
                <w:szCs w:val="18"/>
                <w:u w:val="none"/>
              </w:rPr>
              <w:t>1,5</w:t>
            </w:r>
          </w:p>
        </w:tc>
        <w:tc>
          <w:tcPr>
            <w:tcW w:w="1630" w:type="dxa"/>
            <w:vMerge w:val="restart"/>
            <w:vAlign w:val="center"/>
          </w:tcPr>
          <w:p w14:paraId="3C3692D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w:t>
            </w:r>
          </w:p>
        </w:tc>
        <w:tc>
          <w:tcPr>
            <w:tcW w:w="1630" w:type="dxa"/>
            <w:vMerge/>
            <w:vAlign w:val="center"/>
          </w:tcPr>
          <w:p w14:paraId="14AC489B" w14:textId="77777777" w:rsidR="00171AA8" w:rsidRPr="00731FE2" w:rsidRDefault="00171AA8"/>
        </w:tc>
        <w:tc>
          <w:tcPr>
            <w:tcW w:w="1630" w:type="dxa"/>
            <w:vMerge/>
            <w:vAlign w:val="center"/>
          </w:tcPr>
          <w:p w14:paraId="306A1782" w14:textId="77777777" w:rsidR="00171AA8" w:rsidRPr="00731FE2" w:rsidRDefault="00171AA8"/>
        </w:tc>
        <w:tc>
          <w:tcPr>
            <w:tcW w:w="1630" w:type="dxa"/>
            <w:vMerge w:val="restart"/>
            <w:vAlign w:val="center"/>
          </w:tcPr>
          <w:p w14:paraId="7114AEB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w:t>
            </w:r>
          </w:p>
        </w:tc>
        <w:tc>
          <w:tcPr>
            <w:tcW w:w="1630" w:type="dxa"/>
            <w:vAlign w:val="center"/>
          </w:tcPr>
          <w:p w14:paraId="417F902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Style w:val="af6"/>
                <w:rFonts w:ascii="Times New Roman" w:hAnsi="Times New Roman" w:cs="Times New Roman"/>
                <w:color w:val="auto"/>
                <w:sz w:val="18"/>
                <w:szCs w:val="18"/>
                <w:u w:val="none"/>
              </w:rPr>
              <w:t>-</w:t>
            </w:r>
          </w:p>
        </w:tc>
      </w:tr>
      <w:tr w:rsidR="00171AA8" w:rsidRPr="00731FE2" w14:paraId="37087E7B" w14:textId="77777777">
        <w:trPr>
          <w:trHeight w:val="213"/>
        </w:trPr>
        <w:tc>
          <w:tcPr>
            <w:tcW w:w="709" w:type="dxa"/>
            <w:vMerge/>
            <w:vAlign w:val="center"/>
          </w:tcPr>
          <w:p w14:paraId="63C75048" w14:textId="77777777" w:rsidR="00171AA8" w:rsidRPr="00731FE2" w:rsidRDefault="00171AA8"/>
        </w:tc>
        <w:tc>
          <w:tcPr>
            <w:tcW w:w="1984" w:type="dxa"/>
            <w:vMerge/>
            <w:vAlign w:val="center"/>
          </w:tcPr>
          <w:p w14:paraId="705FBEEF" w14:textId="77777777" w:rsidR="00171AA8" w:rsidRPr="00731FE2" w:rsidRDefault="00171AA8"/>
        </w:tc>
        <w:tc>
          <w:tcPr>
            <w:tcW w:w="1701" w:type="dxa"/>
            <w:vMerge w:val="restart"/>
            <w:vAlign w:val="center"/>
          </w:tcPr>
          <w:p w14:paraId="242CBC6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ТВГ-1,5</w:t>
            </w:r>
          </w:p>
        </w:tc>
        <w:tc>
          <w:tcPr>
            <w:tcW w:w="1430" w:type="dxa"/>
            <w:vMerge w:val="restart"/>
            <w:vAlign w:val="center"/>
          </w:tcPr>
          <w:p w14:paraId="6345872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Style w:val="af6"/>
                <w:rFonts w:ascii="Times New Roman" w:hAnsi="Times New Roman" w:cs="Times New Roman"/>
                <w:color w:val="auto"/>
                <w:sz w:val="18"/>
                <w:szCs w:val="18"/>
                <w:u w:val="none"/>
              </w:rPr>
              <w:t>1,5</w:t>
            </w:r>
          </w:p>
        </w:tc>
        <w:tc>
          <w:tcPr>
            <w:tcW w:w="1630" w:type="dxa"/>
            <w:vMerge w:val="restart"/>
            <w:vAlign w:val="center"/>
          </w:tcPr>
          <w:p w14:paraId="7D5DB52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w:t>
            </w:r>
          </w:p>
        </w:tc>
        <w:tc>
          <w:tcPr>
            <w:tcW w:w="1630" w:type="dxa"/>
            <w:vMerge/>
            <w:vAlign w:val="center"/>
          </w:tcPr>
          <w:p w14:paraId="0EFCAEC2" w14:textId="77777777" w:rsidR="00171AA8" w:rsidRPr="00731FE2" w:rsidRDefault="00171AA8"/>
        </w:tc>
        <w:tc>
          <w:tcPr>
            <w:tcW w:w="1630" w:type="dxa"/>
            <w:vMerge/>
            <w:vAlign w:val="center"/>
          </w:tcPr>
          <w:p w14:paraId="0EC9047F" w14:textId="77777777" w:rsidR="00171AA8" w:rsidRPr="00731FE2" w:rsidRDefault="00171AA8"/>
        </w:tc>
        <w:tc>
          <w:tcPr>
            <w:tcW w:w="1630" w:type="dxa"/>
            <w:vMerge w:val="restart"/>
            <w:vAlign w:val="center"/>
          </w:tcPr>
          <w:p w14:paraId="50BE429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w:t>
            </w:r>
          </w:p>
        </w:tc>
        <w:tc>
          <w:tcPr>
            <w:tcW w:w="1630" w:type="dxa"/>
            <w:vAlign w:val="center"/>
          </w:tcPr>
          <w:p w14:paraId="2E0CAAF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Style w:val="af6"/>
                <w:rFonts w:ascii="Times New Roman" w:hAnsi="Times New Roman" w:cs="Times New Roman"/>
                <w:color w:val="auto"/>
                <w:sz w:val="18"/>
                <w:szCs w:val="18"/>
                <w:u w:val="none"/>
              </w:rPr>
              <w:t>-</w:t>
            </w:r>
          </w:p>
        </w:tc>
      </w:tr>
      <w:tr w:rsidR="00171AA8" w:rsidRPr="00731FE2" w14:paraId="55A2ACFD" w14:textId="77777777">
        <w:trPr>
          <w:trHeight w:val="213"/>
        </w:trPr>
        <w:tc>
          <w:tcPr>
            <w:tcW w:w="709" w:type="dxa"/>
            <w:vMerge/>
            <w:vAlign w:val="center"/>
          </w:tcPr>
          <w:p w14:paraId="5BE914F7" w14:textId="77777777" w:rsidR="00171AA8" w:rsidRPr="00731FE2" w:rsidRDefault="00171AA8"/>
        </w:tc>
        <w:tc>
          <w:tcPr>
            <w:tcW w:w="1984" w:type="dxa"/>
            <w:vMerge/>
            <w:vAlign w:val="center"/>
          </w:tcPr>
          <w:p w14:paraId="17D6313B" w14:textId="77777777" w:rsidR="00171AA8" w:rsidRPr="00731FE2" w:rsidRDefault="00171AA8"/>
        </w:tc>
        <w:tc>
          <w:tcPr>
            <w:tcW w:w="1701" w:type="dxa"/>
            <w:vMerge w:val="restart"/>
            <w:vAlign w:val="center"/>
          </w:tcPr>
          <w:p w14:paraId="0F2B74A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ТВГ-1,5</w:t>
            </w:r>
          </w:p>
        </w:tc>
        <w:tc>
          <w:tcPr>
            <w:tcW w:w="1430" w:type="dxa"/>
            <w:vMerge w:val="restart"/>
            <w:vAlign w:val="center"/>
          </w:tcPr>
          <w:p w14:paraId="112825A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Style w:val="af6"/>
                <w:rFonts w:ascii="Times New Roman" w:hAnsi="Times New Roman" w:cs="Times New Roman"/>
                <w:color w:val="auto"/>
                <w:sz w:val="18"/>
                <w:szCs w:val="18"/>
                <w:u w:val="none"/>
              </w:rPr>
              <w:t>1,5</w:t>
            </w:r>
          </w:p>
        </w:tc>
        <w:tc>
          <w:tcPr>
            <w:tcW w:w="1630" w:type="dxa"/>
            <w:vMerge w:val="restart"/>
            <w:vAlign w:val="center"/>
          </w:tcPr>
          <w:p w14:paraId="4C396DD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w:t>
            </w:r>
          </w:p>
        </w:tc>
        <w:tc>
          <w:tcPr>
            <w:tcW w:w="1630" w:type="dxa"/>
            <w:vMerge/>
            <w:vAlign w:val="center"/>
          </w:tcPr>
          <w:p w14:paraId="52374903" w14:textId="77777777" w:rsidR="00171AA8" w:rsidRPr="00731FE2" w:rsidRDefault="00171AA8"/>
        </w:tc>
        <w:tc>
          <w:tcPr>
            <w:tcW w:w="1630" w:type="dxa"/>
            <w:vMerge/>
            <w:vAlign w:val="center"/>
          </w:tcPr>
          <w:p w14:paraId="2DF8E09E" w14:textId="77777777" w:rsidR="00171AA8" w:rsidRPr="00731FE2" w:rsidRDefault="00171AA8"/>
        </w:tc>
        <w:tc>
          <w:tcPr>
            <w:tcW w:w="1630" w:type="dxa"/>
            <w:vMerge w:val="restart"/>
            <w:vAlign w:val="center"/>
          </w:tcPr>
          <w:p w14:paraId="3FCDCFC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w:t>
            </w:r>
          </w:p>
        </w:tc>
        <w:tc>
          <w:tcPr>
            <w:tcW w:w="1630" w:type="dxa"/>
            <w:vAlign w:val="center"/>
          </w:tcPr>
          <w:p w14:paraId="55A9294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Style w:val="af6"/>
                <w:rFonts w:ascii="Times New Roman" w:hAnsi="Times New Roman" w:cs="Times New Roman"/>
                <w:color w:val="auto"/>
                <w:sz w:val="18"/>
                <w:szCs w:val="18"/>
                <w:u w:val="none"/>
              </w:rPr>
              <w:t>-</w:t>
            </w:r>
          </w:p>
        </w:tc>
      </w:tr>
      <w:tr w:rsidR="00171AA8" w:rsidRPr="00731FE2" w14:paraId="349D48BB" w14:textId="77777777">
        <w:trPr>
          <w:trHeight w:val="213"/>
        </w:trPr>
        <w:tc>
          <w:tcPr>
            <w:tcW w:w="709" w:type="dxa"/>
            <w:vMerge/>
            <w:vAlign w:val="center"/>
          </w:tcPr>
          <w:p w14:paraId="5CD35853" w14:textId="77777777" w:rsidR="00171AA8" w:rsidRPr="00731FE2" w:rsidRDefault="00171AA8"/>
        </w:tc>
        <w:tc>
          <w:tcPr>
            <w:tcW w:w="1984" w:type="dxa"/>
            <w:vMerge/>
            <w:vAlign w:val="center"/>
          </w:tcPr>
          <w:p w14:paraId="32F05001" w14:textId="77777777" w:rsidR="00171AA8" w:rsidRPr="00731FE2" w:rsidRDefault="00171AA8"/>
        </w:tc>
        <w:tc>
          <w:tcPr>
            <w:tcW w:w="1701" w:type="dxa"/>
            <w:vMerge w:val="restart"/>
            <w:vAlign w:val="center"/>
          </w:tcPr>
          <w:p w14:paraId="483A06C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ТВГ-1,5</w:t>
            </w:r>
          </w:p>
        </w:tc>
        <w:tc>
          <w:tcPr>
            <w:tcW w:w="1430" w:type="dxa"/>
            <w:vMerge w:val="restart"/>
            <w:vAlign w:val="center"/>
          </w:tcPr>
          <w:p w14:paraId="75223CD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Style w:val="af6"/>
                <w:rFonts w:ascii="Times New Roman" w:hAnsi="Times New Roman" w:cs="Times New Roman"/>
                <w:color w:val="auto"/>
                <w:sz w:val="18"/>
                <w:szCs w:val="18"/>
                <w:u w:val="none"/>
              </w:rPr>
              <w:t>1,5</w:t>
            </w:r>
          </w:p>
        </w:tc>
        <w:tc>
          <w:tcPr>
            <w:tcW w:w="1630" w:type="dxa"/>
            <w:vMerge w:val="restart"/>
            <w:vAlign w:val="center"/>
          </w:tcPr>
          <w:p w14:paraId="3D858B7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w:t>
            </w:r>
          </w:p>
        </w:tc>
        <w:tc>
          <w:tcPr>
            <w:tcW w:w="1630" w:type="dxa"/>
            <w:vMerge/>
            <w:vAlign w:val="center"/>
          </w:tcPr>
          <w:p w14:paraId="4744B324" w14:textId="77777777" w:rsidR="00171AA8" w:rsidRPr="00731FE2" w:rsidRDefault="00171AA8"/>
        </w:tc>
        <w:tc>
          <w:tcPr>
            <w:tcW w:w="1630" w:type="dxa"/>
            <w:vMerge/>
            <w:vAlign w:val="center"/>
          </w:tcPr>
          <w:p w14:paraId="31995488" w14:textId="77777777" w:rsidR="00171AA8" w:rsidRPr="00731FE2" w:rsidRDefault="00171AA8"/>
        </w:tc>
        <w:tc>
          <w:tcPr>
            <w:tcW w:w="1630" w:type="dxa"/>
            <w:vMerge w:val="restart"/>
            <w:vAlign w:val="center"/>
          </w:tcPr>
          <w:p w14:paraId="624CA0D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w:t>
            </w:r>
          </w:p>
        </w:tc>
        <w:tc>
          <w:tcPr>
            <w:tcW w:w="1630" w:type="dxa"/>
            <w:vAlign w:val="center"/>
          </w:tcPr>
          <w:p w14:paraId="30C29A1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Style w:val="af6"/>
                <w:rFonts w:ascii="Times New Roman" w:hAnsi="Times New Roman" w:cs="Times New Roman"/>
                <w:color w:val="auto"/>
                <w:sz w:val="18"/>
                <w:szCs w:val="18"/>
                <w:u w:val="none"/>
              </w:rPr>
              <w:t>-</w:t>
            </w:r>
          </w:p>
        </w:tc>
      </w:tr>
      <w:tr w:rsidR="00171AA8" w:rsidRPr="00731FE2" w14:paraId="16FBC5BF" w14:textId="77777777">
        <w:trPr>
          <w:trHeight w:val="213"/>
        </w:trPr>
        <w:tc>
          <w:tcPr>
            <w:tcW w:w="709" w:type="dxa"/>
            <w:vMerge/>
            <w:vAlign w:val="center"/>
          </w:tcPr>
          <w:p w14:paraId="10FBFD83" w14:textId="77777777" w:rsidR="00171AA8" w:rsidRPr="00731FE2" w:rsidRDefault="00171AA8"/>
        </w:tc>
        <w:tc>
          <w:tcPr>
            <w:tcW w:w="1984" w:type="dxa"/>
            <w:vMerge/>
            <w:vAlign w:val="center"/>
          </w:tcPr>
          <w:p w14:paraId="2E393A52" w14:textId="77777777" w:rsidR="00171AA8" w:rsidRPr="00731FE2" w:rsidRDefault="00171AA8"/>
        </w:tc>
        <w:tc>
          <w:tcPr>
            <w:tcW w:w="1701" w:type="dxa"/>
            <w:vMerge w:val="restart"/>
            <w:vAlign w:val="center"/>
          </w:tcPr>
          <w:p w14:paraId="647F2A5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КСВ-1,86</w:t>
            </w:r>
          </w:p>
        </w:tc>
        <w:tc>
          <w:tcPr>
            <w:tcW w:w="1430" w:type="dxa"/>
            <w:vMerge w:val="restart"/>
            <w:vAlign w:val="center"/>
          </w:tcPr>
          <w:p w14:paraId="7D8726A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1,86</w:t>
            </w:r>
          </w:p>
        </w:tc>
        <w:tc>
          <w:tcPr>
            <w:tcW w:w="1630" w:type="dxa"/>
            <w:vMerge w:val="restart"/>
            <w:vAlign w:val="center"/>
          </w:tcPr>
          <w:p w14:paraId="44E40FC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w:t>
            </w:r>
          </w:p>
        </w:tc>
        <w:tc>
          <w:tcPr>
            <w:tcW w:w="1630" w:type="dxa"/>
            <w:vMerge/>
            <w:vAlign w:val="center"/>
          </w:tcPr>
          <w:p w14:paraId="7C3EC146" w14:textId="77777777" w:rsidR="00171AA8" w:rsidRPr="00731FE2" w:rsidRDefault="00171AA8"/>
        </w:tc>
        <w:tc>
          <w:tcPr>
            <w:tcW w:w="1630" w:type="dxa"/>
            <w:vMerge/>
            <w:vAlign w:val="center"/>
          </w:tcPr>
          <w:p w14:paraId="0E89952A" w14:textId="77777777" w:rsidR="00171AA8" w:rsidRPr="00731FE2" w:rsidRDefault="00171AA8"/>
        </w:tc>
        <w:tc>
          <w:tcPr>
            <w:tcW w:w="1630" w:type="dxa"/>
            <w:vMerge w:val="restart"/>
            <w:vAlign w:val="center"/>
          </w:tcPr>
          <w:p w14:paraId="4F2C341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w:t>
            </w:r>
          </w:p>
        </w:tc>
        <w:tc>
          <w:tcPr>
            <w:tcW w:w="1630" w:type="dxa"/>
            <w:vAlign w:val="center"/>
          </w:tcPr>
          <w:p w14:paraId="6DD81DC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Style w:val="af6"/>
                <w:rFonts w:ascii="Times New Roman" w:hAnsi="Times New Roman" w:cs="Times New Roman"/>
                <w:color w:val="auto"/>
                <w:sz w:val="18"/>
                <w:szCs w:val="18"/>
                <w:u w:val="none"/>
              </w:rPr>
              <w:t>-</w:t>
            </w:r>
          </w:p>
        </w:tc>
      </w:tr>
      <w:tr w:rsidR="00171AA8" w:rsidRPr="00731FE2" w14:paraId="328A9801" w14:textId="77777777">
        <w:trPr>
          <w:trHeight w:val="213"/>
        </w:trPr>
        <w:tc>
          <w:tcPr>
            <w:tcW w:w="709" w:type="dxa"/>
            <w:vMerge/>
            <w:vAlign w:val="center"/>
          </w:tcPr>
          <w:p w14:paraId="53DDF180" w14:textId="77777777" w:rsidR="00171AA8" w:rsidRPr="00731FE2" w:rsidRDefault="00171AA8"/>
        </w:tc>
        <w:tc>
          <w:tcPr>
            <w:tcW w:w="1984" w:type="dxa"/>
            <w:vMerge/>
            <w:vAlign w:val="center"/>
          </w:tcPr>
          <w:p w14:paraId="04868F6C" w14:textId="77777777" w:rsidR="00171AA8" w:rsidRPr="00731FE2" w:rsidRDefault="00171AA8"/>
        </w:tc>
        <w:tc>
          <w:tcPr>
            <w:tcW w:w="1701" w:type="dxa"/>
            <w:vMerge w:val="restart"/>
            <w:vAlign w:val="center"/>
          </w:tcPr>
          <w:p w14:paraId="3938E67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КСВ-1,86</w:t>
            </w:r>
          </w:p>
        </w:tc>
        <w:tc>
          <w:tcPr>
            <w:tcW w:w="1430" w:type="dxa"/>
            <w:vMerge w:val="restart"/>
            <w:vAlign w:val="center"/>
          </w:tcPr>
          <w:p w14:paraId="56EF5BD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1,86</w:t>
            </w:r>
          </w:p>
        </w:tc>
        <w:tc>
          <w:tcPr>
            <w:tcW w:w="1630" w:type="dxa"/>
            <w:vMerge w:val="restart"/>
            <w:vAlign w:val="center"/>
          </w:tcPr>
          <w:p w14:paraId="37A25E4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w:t>
            </w:r>
          </w:p>
        </w:tc>
        <w:tc>
          <w:tcPr>
            <w:tcW w:w="1630" w:type="dxa"/>
            <w:vMerge/>
            <w:vAlign w:val="center"/>
          </w:tcPr>
          <w:p w14:paraId="6B07C592" w14:textId="77777777" w:rsidR="00171AA8" w:rsidRPr="00731FE2" w:rsidRDefault="00171AA8"/>
        </w:tc>
        <w:tc>
          <w:tcPr>
            <w:tcW w:w="1630" w:type="dxa"/>
            <w:vMerge/>
            <w:vAlign w:val="center"/>
          </w:tcPr>
          <w:p w14:paraId="243374F1" w14:textId="77777777" w:rsidR="00171AA8" w:rsidRPr="00731FE2" w:rsidRDefault="00171AA8"/>
        </w:tc>
        <w:tc>
          <w:tcPr>
            <w:tcW w:w="1630" w:type="dxa"/>
            <w:vMerge w:val="restart"/>
            <w:vAlign w:val="center"/>
          </w:tcPr>
          <w:p w14:paraId="651A019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w:t>
            </w:r>
          </w:p>
        </w:tc>
        <w:tc>
          <w:tcPr>
            <w:tcW w:w="1630" w:type="dxa"/>
            <w:vAlign w:val="center"/>
          </w:tcPr>
          <w:p w14:paraId="31BCC97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Style w:val="af6"/>
                <w:rFonts w:ascii="Times New Roman" w:hAnsi="Times New Roman" w:cs="Times New Roman"/>
                <w:color w:val="auto"/>
                <w:sz w:val="18"/>
                <w:szCs w:val="18"/>
                <w:u w:val="none"/>
              </w:rPr>
              <w:t>-</w:t>
            </w:r>
          </w:p>
        </w:tc>
      </w:tr>
      <w:tr w:rsidR="00171AA8" w:rsidRPr="00731FE2" w14:paraId="5273777D" w14:textId="77777777">
        <w:trPr>
          <w:trHeight w:val="354"/>
        </w:trPr>
        <w:tc>
          <w:tcPr>
            <w:tcW w:w="709" w:type="dxa"/>
            <w:vMerge w:val="restart"/>
            <w:vAlign w:val="center"/>
          </w:tcPr>
          <w:p w14:paraId="09F61ECE" w14:textId="77777777" w:rsidR="00171AA8" w:rsidRPr="00731FE2" w:rsidRDefault="00171AA8">
            <w:pPr>
              <w:pStyle w:val="a3"/>
              <w:numPr>
                <w:ilvl w:val="0"/>
                <w:numId w:val="29"/>
              </w:numPr>
              <w:pBdr>
                <w:top w:val="none" w:sz="4" w:space="0" w:color="000000"/>
                <w:left w:val="none" w:sz="4" w:space="0" w:color="000000"/>
                <w:bottom w:val="none" w:sz="4" w:space="0" w:color="000000"/>
                <w:right w:val="none" w:sz="4" w:space="0" w:color="000000"/>
              </w:pBdr>
              <w:jc w:val="center"/>
              <w:rPr>
                <w:rStyle w:val="af6"/>
                <w:rFonts w:ascii="Times New Roman" w:hAnsi="Times New Roman" w:cs="Times New Roman"/>
                <w:color w:val="auto"/>
                <w:sz w:val="18"/>
                <w:szCs w:val="18"/>
                <w:u w:val="none"/>
              </w:rPr>
            </w:pPr>
          </w:p>
        </w:tc>
        <w:tc>
          <w:tcPr>
            <w:tcW w:w="1984" w:type="dxa"/>
            <w:vMerge w:val="restart"/>
            <w:vAlign w:val="center"/>
          </w:tcPr>
          <w:p w14:paraId="42088067" w14:textId="77777777" w:rsidR="00171AA8" w:rsidRPr="00731FE2" w:rsidRDefault="007935AB">
            <w:pPr>
              <w:pBdr>
                <w:top w:val="none" w:sz="4" w:space="0" w:color="000000"/>
                <w:left w:val="none" w:sz="4" w:space="0" w:color="000000"/>
                <w:bottom w:val="none" w:sz="4" w:space="0" w:color="000000"/>
                <w:right w:val="none" w:sz="4" w:space="0" w:color="000000"/>
              </w:pBdr>
              <w:tabs>
                <w:tab w:val="center" w:pos="884"/>
              </w:tabs>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 xml:space="preserve">Котельная №7, г. Кисловодск, </w:t>
            </w:r>
            <w:r w:rsidRPr="00731FE2">
              <w:rPr>
                <w:rStyle w:val="af6"/>
                <w:rFonts w:ascii="Times New Roman" w:hAnsi="Times New Roman" w:cs="Times New Roman"/>
                <w:color w:val="auto"/>
                <w:sz w:val="18"/>
                <w:szCs w:val="18"/>
                <w:u w:val="none"/>
              </w:rPr>
              <w:tab/>
            </w:r>
          </w:p>
          <w:p w14:paraId="5B32D8C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ул. Катыхина, 155</w:t>
            </w:r>
          </w:p>
        </w:tc>
        <w:tc>
          <w:tcPr>
            <w:tcW w:w="1701" w:type="dxa"/>
            <w:vAlign w:val="center"/>
          </w:tcPr>
          <w:p w14:paraId="48B2BFE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ТВГ-1,5</w:t>
            </w:r>
          </w:p>
        </w:tc>
        <w:tc>
          <w:tcPr>
            <w:tcW w:w="1430" w:type="dxa"/>
            <w:vAlign w:val="center"/>
          </w:tcPr>
          <w:p w14:paraId="0C77EB1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1,5</w:t>
            </w:r>
          </w:p>
        </w:tc>
        <w:tc>
          <w:tcPr>
            <w:tcW w:w="1630" w:type="dxa"/>
            <w:vAlign w:val="center"/>
          </w:tcPr>
          <w:p w14:paraId="6F8193D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четырехтрубная</w:t>
            </w:r>
          </w:p>
        </w:tc>
        <w:tc>
          <w:tcPr>
            <w:tcW w:w="1630" w:type="dxa"/>
            <w:vMerge w:val="restart"/>
            <w:vAlign w:val="center"/>
          </w:tcPr>
          <w:p w14:paraId="591250F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w:t>
            </w:r>
          </w:p>
        </w:tc>
        <w:tc>
          <w:tcPr>
            <w:tcW w:w="1630" w:type="dxa"/>
            <w:vMerge w:val="restart"/>
            <w:vAlign w:val="center"/>
          </w:tcPr>
          <w:p w14:paraId="2EB8D8E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2,004</w:t>
            </w:r>
          </w:p>
        </w:tc>
        <w:tc>
          <w:tcPr>
            <w:tcW w:w="1630" w:type="dxa"/>
            <w:vAlign w:val="center"/>
          </w:tcPr>
          <w:p w14:paraId="04656F6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1,9295</w:t>
            </w:r>
          </w:p>
        </w:tc>
        <w:tc>
          <w:tcPr>
            <w:tcW w:w="1630" w:type="dxa"/>
            <w:vAlign w:val="center"/>
          </w:tcPr>
          <w:p w14:paraId="426FB4AF" w14:textId="77777777" w:rsidR="00171AA8" w:rsidRPr="00731FE2" w:rsidRDefault="007935AB">
            <w:pP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1,447125</w:t>
            </w:r>
          </w:p>
        </w:tc>
      </w:tr>
      <w:tr w:rsidR="00171AA8" w:rsidRPr="00731FE2" w14:paraId="231D13B1" w14:textId="77777777">
        <w:trPr>
          <w:trHeight w:val="213"/>
        </w:trPr>
        <w:tc>
          <w:tcPr>
            <w:tcW w:w="709" w:type="dxa"/>
            <w:vMerge/>
            <w:vAlign w:val="center"/>
          </w:tcPr>
          <w:p w14:paraId="32BBCF0D" w14:textId="77777777" w:rsidR="00171AA8" w:rsidRPr="00731FE2" w:rsidRDefault="00171AA8"/>
        </w:tc>
        <w:tc>
          <w:tcPr>
            <w:tcW w:w="1984" w:type="dxa"/>
            <w:vMerge/>
            <w:vAlign w:val="center"/>
          </w:tcPr>
          <w:p w14:paraId="6A02FAFD" w14:textId="77777777" w:rsidR="00171AA8" w:rsidRPr="00731FE2" w:rsidRDefault="00171AA8"/>
        </w:tc>
        <w:tc>
          <w:tcPr>
            <w:tcW w:w="1701" w:type="dxa"/>
            <w:vMerge w:val="restart"/>
            <w:vAlign w:val="center"/>
          </w:tcPr>
          <w:p w14:paraId="0F63B0E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ТВГ-1,5</w:t>
            </w:r>
          </w:p>
        </w:tc>
        <w:tc>
          <w:tcPr>
            <w:tcW w:w="1430" w:type="dxa"/>
            <w:vMerge w:val="restart"/>
            <w:vAlign w:val="center"/>
          </w:tcPr>
          <w:p w14:paraId="7E85499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1,5</w:t>
            </w:r>
          </w:p>
        </w:tc>
        <w:tc>
          <w:tcPr>
            <w:tcW w:w="1630" w:type="dxa"/>
            <w:vMerge w:val="restart"/>
            <w:vAlign w:val="center"/>
          </w:tcPr>
          <w:p w14:paraId="5A659D0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w:t>
            </w:r>
          </w:p>
        </w:tc>
        <w:tc>
          <w:tcPr>
            <w:tcW w:w="1630" w:type="dxa"/>
            <w:vMerge/>
            <w:vAlign w:val="center"/>
          </w:tcPr>
          <w:p w14:paraId="074691D5" w14:textId="77777777" w:rsidR="00171AA8" w:rsidRPr="00731FE2" w:rsidRDefault="00171AA8"/>
        </w:tc>
        <w:tc>
          <w:tcPr>
            <w:tcW w:w="1630" w:type="dxa"/>
            <w:vMerge/>
            <w:vAlign w:val="center"/>
          </w:tcPr>
          <w:p w14:paraId="39553BE5" w14:textId="77777777" w:rsidR="00171AA8" w:rsidRPr="00731FE2" w:rsidRDefault="00171AA8"/>
        </w:tc>
        <w:tc>
          <w:tcPr>
            <w:tcW w:w="1630" w:type="dxa"/>
            <w:vMerge w:val="restart"/>
            <w:vAlign w:val="center"/>
          </w:tcPr>
          <w:p w14:paraId="15E79DC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Style w:val="af6"/>
                <w:rFonts w:ascii="Times New Roman" w:hAnsi="Times New Roman" w:cs="Times New Roman"/>
                <w:color w:val="auto"/>
                <w:sz w:val="18"/>
                <w:szCs w:val="18"/>
                <w:u w:val="none"/>
              </w:rPr>
              <w:t>-</w:t>
            </w:r>
          </w:p>
        </w:tc>
        <w:tc>
          <w:tcPr>
            <w:tcW w:w="1630" w:type="dxa"/>
            <w:vAlign w:val="center"/>
          </w:tcPr>
          <w:p w14:paraId="719CB01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Style w:val="af6"/>
                <w:rFonts w:ascii="Times New Roman" w:hAnsi="Times New Roman" w:cs="Times New Roman"/>
                <w:color w:val="auto"/>
                <w:sz w:val="18"/>
                <w:szCs w:val="18"/>
                <w:u w:val="none"/>
              </w:rPr>
              <w:t>-</w:t>
            </w:r>
          </w:p>
        </w:tc>
      </w:tr>
      <w:tr w:rsidR="00171AA8" w:rsidRPr="00731FE2" w14:paraId="6CD4700F" w14:textId="77777777">
        <w:trPr>
          <w:trHeight w:val="290"/>
        </w:trPr>
        <w:tc>
          <w:tcPr>
            <w:tcW w:w="709" w:type="dxa"/>
            <w:vMerge w:val="restart"/>
            <w:vAlign w:val="center"/>
          </w:tcPr>
          <w:p w14:paraId="2D8927F9" w14:textId="77777777" w:rsidR="00171AA8" w:rsidRPr="00731FE2" w:rsidRDefault="00171AA8">
            <w:pPr>
              <w:pStyle w:val="a3"/>
              <w:numPr>
                <w:ilvl w:val="0"/>
                <w:numId w:val="29"/>
              </w:numPr>
              <w:pBdr>
                <w:top w:val="none" w:sz="4" w:space="0" w:color="000000"/>
                <w:left w:val="none" w:sz="4" w:space="0" w:color="000000"/>
                <w:bottom w:val="none" w:sz="4" w:space="0" w:color="000000"/>
                <w:right w:val="none" w:sz="4" w:space="0" w:color="000000"/>
              </w:pBdr>
              <w:jc w:val="center"/>
              <w:rPr>
                <w:rStyle w:val="af6"/>
                <w:rFonts w:ascii="Times New Roman" w:hAnsi="Times New Roman" w:cs="Times New Roman"/>
                <w:color w:val="auto"/>
                <w:sz w:val="18"/>
                <w:szCs w:val="18"/>
                <w:u w:val="none"/>
              </w:rPr>
            </w:pPr>
          </w:p>
        </w:tc>
        <w:tc>
          <w:tcPr>
            <w:tcW w:w="1984" w:type="dxa"/>
            <w:vMerge w:val="restart"/>
            <w:vAlign w:val="center"/>
          </w:tcPr>
          <w:p w14:paraId="01CF378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 xml:space="preserve">Котельная №8, г. Кисловодск, </w:t>
            </w:r>
          </w:p>
          <w:p w14:paraId="0592E9A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lastRenderedPageBreak/>
              <w:t>ул. Чкалова, 17</w:t>
            </w:r>
          </w:p>
        </w:tc>
        <w:tc>
          <w:tcPr>
            <w:tcW w:w="1701" w:type="dxa"/>
            <w:vAlign w:val="center"/>
          </w:tcPr>
          <w:p w14:paraId="70196AF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lastRenderedPageBreak/>
              <w:t>«Универсал-6»</w:t>
            </w:r>
          </w:p>
        </w:tc>
        <w:tc>
          <w:tcPr>
            <w:tcW w:w="1430" w:type="dxa"/>
            <w:vAlign w:val="center"/>
          </w:tcPr>
          <w:p w14:paraId="1A28FC9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0,304</w:t>
            </w:r>
          </w:p>
        </w:tc>
        <w:tc>
          <w:tcPr>
            <w:tcW w:w="1630" w:type="dxa"/>
            <w:vAlign w:val="center"/>
          </w:tcPr>
          <w:p w14:paraId="316EA4B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w:t>
            </w:r>
          </w:p>
        </w:tc>
        <w:tc>
          <w:tcPr>
            <w:tcW w:w="1630" w:type="dxa"/>
            <w:vMerge w:val="restart"/>
            <w:vAlign w:val="center"/>
          </w:tcPr>
          <w:p w14:paraId="7CB0D57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w:t>
            </w:r>
          </w:p>
        </w:tc>
        <w:tc>
          <w:tcPr>
            <w:tcW w:w="1630" w:type="dxa"/>
            <w:vMerge w:val="restart"/>
            <w:vAlign w:val="center"/>
          </w:tcPr>
          <w:p w14:paraId="26FB2FA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0,18</w:t>
            </w:r>
          </w:p>
        </w:tc>
        <w:tc>
          <w:tcPr>
            <w:tcW w:w="1630" w:type="dxa"/>
            <w:vAlign w:val="center"/>
          </w:tcPr>
          <w:p w14:paraId="0D5FA3F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Style w:val="af6"/>
                <w:rFonts w:ascii="Times New Roman" w:hAnsi="Times New Roman" w:cs="Times New Roman"/>
                <w:color w:val="auto"/>
                <w:sz w:val="18"/>
                <w:szCs w:val="18"/>
                <w:u w:val="none"/>
              </w:rPr>
              <w:t>-</w:t>
            </w:r>
          </w:p>
        </w:tc>
        <w:tc>
          <w:tcPr>
            <w:tcW w:w="1630" w:type="dxa"/>
            <w:vAlign w:val="center"/>
          </w:tcPr>
          <w:p w14:paraId="2920DD3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Style w:val="af6"/>
                <w:rFonts w:ascii="Times New Roman" w:hAnsi="Times New Roman" w:cs="Times New Roman"/>
                <w:color w:val="auto"/>
                <w:sz w:val="18"/>
                <w:szCs w:val="18"/>
                <w:u w:val="none"/>
              </w:rPr>
              <w:t>-</w:t>
            </w:r>
          </w:p>
        </w:tc>
      </w:tr>
      <w:tr w:rsidR="00171AA8" w:rsidRPr="00731FE2" w14:paraId="41BDBCCC" w14:textId="77777777">
        <w:trPr>
          <w:trHeight w:val="213"/>
        </w:trPr>
        <w:tc>
          <w:tcPr>
            <w:tcW w:w="709" w:type="dxa"/>
            <w:vMerge/>
            <w:vAlign w:val="center"/>
          </w:tcPr>
          <w:p w14:paraId="2CDBD5CE" w14:textId="77777777" w:rsidR="00171AA8" w:rsidRPr="00731FE2" w:rsidRDefault="00171AA8"/>
        </w:tc>
        <w:tc>
          <w:tcPr>
            <w:tcW w:w="1984" w:type="dxa"/>
            <w:vMerge/>
            <w:vAlign w:val="center"/>
          </w:tcPr>
          <w:p w14:paraId="08A5F81C" w14:textId="77777777" w:rsidR="00171AA8" w:rsidRPr="00731FE2" w:rsidRDefault="00171AA8"/>
        </w:tc>
        <w:tc>
          <w:tcPr>
            <w:tcW w:w="1701" w:type="dxa"/>
            <w:vMerge w:val="restart"/>
            <w:vAlign w:val="center"/>
          </w:tcPr>
          <w:p w14:paraId="622C0D7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НР-18</w:t>
            </w:r>
          </w:p>
        </w:tc>
        <w:tc>
          <w:tcPr>
            <w:tcW w:w="1430" w:type="dxa"/>
            <w:vMerge w:val="restart"/>
            <w:vAlign w:val="center"/>
          </w:tcPr>
          <w:p w14:paraId="4F0D1FB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0,44</w:t>
            </w:r>
          </w:p>
        </w:tc>
        <w:tc>
          <w:tcPr>
            <w:tcW w:w="1630" w:type="dxa"/>
            <w:vMerge w:val="restart"/>
            <w:vAlign w:val="center"/>
          </w:tcPr>
          <w:p w14:paraId="4585892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w:t>
            </w:r>
          </w:p>
        </w:tc>
        <w:tc>
          <w:tcPr>
            <w:tcW w:w="1630" w:type="dxa"/>
            <w:vMerge/>
            <w:vAlign w:val="center"/>
          </w:tcPr>
          <w:p w14:paraId="2EEAFAA1" w14:textId="77777777" w:rsidR="00171AA8" w:rsidRPr="00731FE2" w:rsidRDefault="00171AA8"/>
        </w:tc>
        <w:tc>
          <w:tcPr>
            <w:tcW w:w="1630" w:type="dxa"/>
            <w:vMerge/>
            <w:vAlign w:val="center"/>
          </w:tcPr>
          <w:p w14:paraId="079DB015" w14:textId="77777777" w:rsidR="00171AA8" w:rsidRPr="00731FE2" w:rsidRDefault="00171AA8"/>
        </w:tc>
        <w:tc>
          <w:tcPr>
            <w:tcW w:w="1630" w:type="dxa"/>
            <w:vMerge w:val="restart"/>
            <w:vAlign w:val="center"/>
          </w:tcPr>
          <w:p w14:paraId="4778D4F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Style w:val="af6"/>
                <w:rFonts w:ascii="Times New Roman" w:hAnsi="Times New Roman" w:cs="Times New Roman"/>
                <w:color w:val="auto"/>
                <w:sz w:val="18"/>
                <w:szCs w:val="18"/>
                <w:u w:val="none"/>
              </w:rPr>
              <w:t>-</w:t>
            </w:r>
          </w:p>
        </w:tc>
        <w:tc>
          <w:tcPr>
            <w:tcW w:w="1630" w:type="dxa"/>
            <w:vAlign w:val="center"/>
          </w:tcPr>
          <w:p w14:paraId="018E0E0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Style w:val="af6"/>
                <w:rFonts w:ascii="Times New Roman" w:hAnsi="Times New Roman" w:cs="Times New Roman"/>
                <w:color w:val="auto"/>
                <w:sz w:val="18"/>
                <w:szCs w:val="18"/>
                <w:u w:val="none"/>
              </w:rPr>
              <w:t>-</w:t>
            </w:r>
          </w:p>
        </w:tc>
      </w:tr>
      <w:tr w:rsidR="00171AA8" w:rsidRPr="00731FE2" w14:paraId="3F27AF34" w14:textId="77777777">
        <w:trPr>
          <w:trHeight w:val="213"/>
        </w:trPr>
        <w:tc>
          <w:tcPr>
            <w:tcW w:w="709" w:type="dxa"/>
            <w:vMerge w:val="restart"/>
            <w:vAlign w:val="center"/>
          </w:tcPr>
          <w:p w14:paraId="2700C12B" w14:textId="77777777" w:rsidR="00171AA8" w:rsidRPr="00731FE2" w:rsidRDefault="00171AA8">
            <w:pPr>
              <w:pStyle w:val="a3"/>
              <w:numPr>
                <w:ilvl w:val="0"/>
                <w:numId w:val="29"/>
              </w:numPr>
              <w:pBdr>
                <w:top w:val="none" w:sz="4" w:space="0" w:color="000000"/>
                <w:left w:val="none" w:sz="4" w:space="0" w:color="000000"/>
                <w:bottom w:val="none" w:sz="4" w:space="0" w:color="000000"/>
                <w:right w:val="none" w:sz="4" w:space="0" w:color="000000"/>
              </w:pBdr>
              <w:jc w:val="center"/>
              <w:rPr>
                <w:rStyle w:val="af6"/>
                <w:rFonts w:ascii="Times New Roman" w:hAnsi="Times New Roman" w:cs="Times New Roman"/>
                <w:color w:val="auto"/>
                <w:sz w:val="18"/>
                <w:szCs w:val="18"/>
                <w:u w:val="none"/>
              </w:rPr>
            </w:pPr>
          </w:p>
        </w:tc>
        <w:tc>
          <w:tcPr>
            <w:tcW w:w="1984" w:type="dxa"/>
            <w:vMerge w:val="restart"/>
            <w:vAlign w:val="center"/>
          </w:tcPr>
          <w:p w14:paraId="62FF528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 xml:space="preserve">Котельная №9, г. Кисловодск, </w:t>
            </w:r>
          </w:p>
          <w:p w14:paraId="780D0E6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ул. Чкалова, 44</w:t>
            </w:r>
          </w:p>
        </w:tc>
        <w:tc>
          <w:tcPr>
            <w:tcW w:w="1701" w:type="dxa"/>
            <w:vAlign w:val="center"/>
          </w:tcPr>
          <w:p w14:paraId="27EF7D8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Style w:val="af6"/>
                <w:rFonts w:ascii="Times New Roman" w:hAnsi="Times New Roman" w:cs="Times New Roman"/>
                <w:color w:val="auto"/>
                <w:sz w:val="18"/>
                <w:szCs w:val="18"/>
                <w:u w:val="none"/>
              </w:rPr>
              <w:t>«Универсал-6»</w:t>
            </w:r>
          </w:p>
        </w:tc>
        <w:tc>
          <w:tcPr>
            <w:tcW w:w="1430" w:type="dxa"/>
            <w:vAlign w:val="center"/>
          </w:tcPr>
          <w:p w14:paraId="29B0AA7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0,315</w:t>
            </w:r>
          </w:p>
        </w:tc>
        <w:tc>
          <w:tcPr>
            <w:tcW w:w="1630" w:type="dxa"/>
            <w:vAlign w:val="center"/>
          </w:tcPr>
          <w:p w14:paraId="798991E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двухтрубная</w:t>
            </w:r>
          </w:p>
        </w:tc>
        <w:tc>
          <w:tcPr>
            <w:tcW w:w="1630" w:type="dxa"/>
            <w:vMerge w:val="restart"/>
            <w:vAlign w:val="center"/>
          </w:tcPr>
          <w:p w14:paraId="2DAFBEA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w:t>
            </w:r>
          </w:p>
        </w:tc>
        <w:tc>
          <w:tcPr>
            <w:tcW w:w="1630" w:type="dxa"/>
            <w:vMerge w:val="restart"/>
            <w:vAlign w:val="center"/>
          </w:tcPr>
          <w:p w14:paraId="4A322E9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0,113</w:t>
            </w:r>
          </w:p>
        </w:tc>
        <w:tc>
          <w:tcPr>
            <w:tcW w:w="1630" w:type="dxa"/>
            <w:vAlign w:val="center"/>
          </w:tcPr>
          <w:p w14:paraId="02321E7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0,075</w:t>
            </w:r>
          </w:p>
        </w:tc>
        <w:tc>
          <w:tcPr>
            <w:tcW w:w="1630" w:type="dxa"/>
            <w:vAlign w:val="center"/>
          </w:tcPr>
          <w:p w14:paraId="57C86DC3" w14:textId="77777777" w:rsidR="00171AA8" w:rsidRPr="00731FE2" w:rsidRDefault="007935AB">
            <w:pP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0,025</w:t>
            </w:r>
          </w:p>
        </w:tc>
      </w:tr>
      <w:tr w:rsidR="00171AA8" w:rsidRPr="00731FE2" w14:paraId="2BADD188" w14:textId="77777777">
        <w:trPr>
          <w:trHeight w:val="213"/>
        </w:trPr>
        <w:tc>
          <w:tcPr>
            <w:tcW w:w="709" w:type="dxa"/>
            <w:vMerge/>
            <w:vAlign w:val="center"/>
          </w:tcPr>
          <w:p w14:paraId="707934CE" w14:textId="77777777" w:rsidR="00171AA8" w:rsidRPr="00731FE2" w:rsidRDefault="00171AA8"/>
        </w:tc>
        <w:tc>
          <w:tcPr>
            <w:tcW w:w="1984" w:type="dxa"/>
            <w:vMerge/>
            <w:vAlign w:val="center"/>
          </w:tcPr>
          <w:p w14:paraId="74EBB7A5" w14:textId="77777777" w:rsidR="00171AA8" w:rsidRPr="00731FE2" w:rsidRDefault="00171AA8"/>
        </w:tc>
        <w:tc>
          <w:tcPr>
            <w:tcW w:w="1701" w:type="dxa"/>
            <w:vMerge w:val="restart"/>
            <w:vAlign w:val="center"/>
          </w:tcPr>
          <w:p w14:paraId="11F13C0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Style w:val="af6"/>
                <w:rFonts w:ascii="Times New Roman" w:hAnsi="Times New Roman" w:cs="Times New Roman"/>
                <w:color w:val="auto"/>
                <w:sz w:val="18"/>
                <w:szCs w:val="18"/>
                <w:u w:val="none"/>
              </w:rPr>
              <w:t>«Универсал-6»</w:t>
            </w:r>
          </w:p>
        </w:tc>
        <w:tc>
          <w:tcPr>
            <w:tcW w:w="1430" w:type="dxa"/>
            <w:vMerge w:val="restart"/>
            <w:vAlign w:val="center"/>
          </w:tcPr>
          <w:p w14:paraId="6E99124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0,315</w:t>
            </w:r>
          </w:p>
        </w:tc>
        <w:tc>
          <w:tcPr>
            <w:tcW w:w="1630" w:type="dxa"/>
            <w:vMerge w:val="restart"/>
            <w:vAlign w:val="center"/>
          </w:tcPr>
          <w:p w14:paraId="015F85B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w:t>
            </w:r>
          </w:p>
        </w:tc>
        <w:tc>
          <w:tcPr>
            <w:tcW w:w="1630" w:type="dxa"/>
            <w:vMerge/>
            <w:vAlign w:val="center"/>
          </w:tcPr>
          <w:p w14:paraId="489A6A05" w14:textId="77777777" w:rsidR="00171AA8" w:rsidRPr="00731FE2" w:rsidRDefault="00171AA8"/>
        </w:tc>
        <w:tc>
          <w:tcPr>
            <w:tcW w:w="1630" w:type="dxa"/>
            <w:vMerge/>
            <w:vAlign w:val="center"/>
          </w:tcPr>
          <w:p w14:paraId="66E20ACC" w14:textId="77777777" w:rsidR="00171AA8" w:rsidRPr="00731FE2" w:rsidRDefault="00171AA8"/>
        </w:tc>
        <w:tc>
          <w:tcPr>
            <w:tcW w:w="1630" w:type="dxa"/>
            <w:vMerge w:val="restart"/>
            <w:vAlign w:val="center"/>
          </w:tcPr>
          <w:p w14:paraId="08C5164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Style w:val="af6"/>
                <w:rFonts w:ascii="Times New Roman" w:hAnsi="Times New Roman" w:cs="Times New Roman"/>
                <w:color w:val="auto"/>
                <w:sz w:val="18"/>
                <w:szCs w:val="18"/>
                <w:u w:val="none"/>
              </w:rPr>
              <w:t>-</w:t>
            </w:r>
          </w:p>
        </w:tc>
        <w:tc>
          <w:tcPr>
            <w:tcW w:w="1630" w:type="dxa"/>
            <w:vAlign w:val="center"/>
          </w:tcPr>
          <w:p w14:paraId="0BF4069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Style w:val="af6"/>
                <w:rFonts w:ascii="Times New Roman" w:hAnsi="Times New Roman" w:cs="Times New Roman"/>
                <w:color w:val="auto"/>
                <w:sz w:val="18"/>
                <w:szCs w:val="18"/>
                <w:u w:val="none"/>
              </w:rPr>
              <w:t>-</w:t>
            </w:r>
          </w:p>
        </w:tc>
      </w:tr>
      <w:tr w:rsidR="00171AA8" w:rsidRPr="00731FE2" w14:paraId="15ACF652" w14:textId="77777777">
        <w:trPr>
          <w:trHeight w:val="213"/>
        </w:trPr>
        <w:tc>
          <w:tcPr>
            <w:tcW w:w="709" w:type="dxa"/>
            <w:vAlign w:val="center"/>
          </w:tcPr>
          <w:p w14:paraId="464C1FDA" w14:textId="77777777" w:rsidR="00171AA8" w:rsidRPr="00731FE2" w:rsidRDefault="00171AA8">
            <w:pPr>
              <w:pStyle w:val="a3"/>
              <w:numPr>
                <w:ilvl w:val="0"/>
                <w:numId w:val="29"/>
              </w:numPr>
              <w:pBdr>
                <w:top w:val="none" w:sz="4" w:space="0" w:color="000000"/>
                <w:left w:val="none" w:sz="4" w:space="0" w:color="000000"/>
                <w:bottom w:val="none" w:sz="4" w:space="0" w:color="000000"/>
                <w:right w:val="none" w:sz="4" w:space="0" w:color="000000"/>
              </w:pBdr>
              <w:jc w:val="center"/>
              <w:rPr>
                <w:rStyle w:val="af6"/>
                <w:rFonts w:ascii="Times New Roman" w:hAnsi="Times New Roman" w:cs="Times New Roman"/>
                <w:color w:val="auto"/>
                <w:sz w:val="18"/>
                <w:szCs w:val="18"/>
                <w:u w:val="none"/>
              </w:rPr>
            </w:pPr>
          </w:p>
        </w:tc>
        <w:tc>
          <w:tcPr>
            <w:tcW w:w="1984" w:type="dxa"/>
            <w:vAlign w:val="center"/>
          </w:tcPr>
          <w:p w14:paraId="716ED90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 xml:space="preserve">Котельная №10, г. Кисловодск,  </w:t>
            </w:r>
          </w:p>
          <w:p w14:paraId="4489559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ул. Чкалова, 60А</w:t>
            </w:r>
          </w:p>
        </w:tc>
        <w:tc>
          <w:tcPr>
            <w:tcW w:w="1701" w:type="dxa"/>
            <w:vAlign w:val="center"/>
          </w:tcPr>
          <w:p w14:paraId="63A5263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Style w:val="af6"/>
                <w:rFonts w:ascii="Times New Roman" w:hAnsi="Times New Roman" w:cs="Times New Roman"/>
                <w:color w:val="auto"/>
                <w:sz w:val="18"/>
                <w:szCs w:val="18"/>
                <w:u w:val="none"/>
              </w:rPr>
              <w:t>«Универсал-3»</w:t>
            </w:r>
          </w:p>
        </w:tc>
        <w:tc>
          <w:tcPr>
            <w:tcW w:w="1430" w:type="dxa"/>
            <w:vAlign w:val="center"/>
          </w:tcPr>
          <w:p w14:paraId="51B729A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0,294</w:t>
            </w:r>
          </w:p>
        </w:tc>
        <w:tc>
          <w:tcPr>
            <w:tcW w:w="1630" w:type="dxa"/>
            <w:vAlign w:val="center"/>
          </w:tcPr>
          <w:p w14:paraId="7AC69FB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w:t>
            </w:r>
          </w:p>
        </w:tc>
        <w:tc>
          <w:tcPr>
            <w:tcW w:w="1630" w:type="dxa"/>
            <w:vAlign w:val="center"/>
          </w:tcPr>
          <w:p w14:paraId="30E9654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w:t>
            </w:r>
          </w:p>
        </w:tc>
        <w:tc>
          <w:tcPr>
            <w:tcW w:w="1630" w:type="dxa"/>
            <w:vAlign w:val="center"/>
          </w:tcPr>
          <w:p w14:paraId="04E01BB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0,06</w:t>
            </w:r>
          </w:p>
        </w:tc>
        <w:tc>
          <w:tcPr>
            <w:tcW w:w="1630" w:type="dxa"/>
            <w:vAlign w:val="center"/>
          </w:tcPr>
          <w:p w14:paraId="2493B55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Style w:val="af6"/>
                <w:rFonts w:ascii="Times New Roman" w:hAnsi="Times New Roman" w:cs="Times New Roman"/>
                <w:color w:val="auto"/>
                <w:sz w:val="18"/>
                <w:szCs w:val="18"/>
                <w:u w:val="none"/>
              </w:rPr>
              <w:t>-</w:t>
            </w:r>
          </w:p>
        </w:tc>
        <w:tc>
          <w:tcPr>
            <w:tcW w:w="1630" w:type="dxa"/>
            <w:vAlign w:val="center"/>
          </w:tcPr>
          <w:p w14:paraId="51A0822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Style w:val="af6"/>
                <w:rFonts w:ascii="Times New Roman" w:hAnsi="Times New Roman" w:cs="Times New Roman"/>
                <w:color w:val="auto"/>
                <w:sz w:val="18"/>
                <w:szCs w:val="18"/>
                <w:u w:val="none"/>
              </w:rPr>
              <w:t>-</w:t>
            </w:r>
          </w:p>
        </w:tc>
      </w:tr>
      <w:tr w:rsidR="00171AA8" w:rsidRPr="00731FE2" w14:paraId="696FE298" w14:textId="77777777">
        <w:trPr>
          <w:trHeight w:val="281"/>
        </w:trPr>
        <w:tc>
          <w:tcPr>
            <w:tcW w:w="709" w:type="dxa"/>
            <w:vMerge w:val="restart"/>
            <w:vAlign w:val="center"/>
          </w:tcPr>
          <w:p w14:paraId="27726276" w14:textId="77777777" w:rsidR="00171AA8" w:rsidRPr="00731FE2" w:rsidRDefault="00171AA8">
            <w:pPr>
              <w:pStyle w:val="a3"/>
              <w:numPr>
                <w:ilvl w:val="0"/>
                <w:numId w:val="29"/>
              </w:numPr>
              <w:pBdr>
                <w:top w:val="none" w:sz="4" w:space="0" w:color="000000"/>
                <w:left w:val="none" w:sz="4" w:space="0" w:color="000000"/>
                <w:bottom w:val="none" w:sz="4" w:space="0" w:color="000000"/>
                <w:right w:val="none" w:sz="4" w:space="0" w:color="000000"/>
              </w:pBdr>
              <w:jc w:val="center"/>
              <w:rPr>
                <w:rStyle w:val="af6"/>
                <w:rFonts w:ascii="Times New Roman" w:hAnsi="Times New Roman" w:cs="Times New Roman"/>
                <w:color w:val="auto"/>
                <w:sz w:val="18"/>
                <w:szCs w:val="18"/>
                <w:u w:val="none"/>
              </w:rPr>
            </w:pPr>
          </w:p>
        </w:tc>
        <w:tc>
          <w:tcPr>
            <w:tcW w:w="1984" w:type="dxa"/>
            <w:vMerge w:val="restart"/>
            <w:vAlign w:val="center"/>
          </w:tcPr>
          <w:p w14:paraId="6A3804F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 xml:space="preserve">Котельная №11, г. Кисловодск, </w:t>
            </w:r>
          </w:p>
          <w:p w14:paraId="02231EC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ул. Подгорная, 45</w:t>
            </w:r>
          </w:p>
        </w:tc>
        <w:tc>
          <w:tcPr>
            <w:tcW w:w="1701" w:type="dxa"/>
            <w:vAlign w:val="center"/>
          </w:tcPr>
          <w:p w14:paraId="1860376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КВЖГ-100</w:t>
            </w:r>
          </w:p>
        </w:tc>
        <w:tc>
          <w:tcPr>
            <w:tcW w:w="1430" w:type="dxa"/>
            <w:vAlign w:val="center"/>
          </w:tcPr>
          <w:p w14:paraId="3E39F0A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0,1</w:t>
            </w:r>
          </w:p>
        </w:tc>
        <w:tc>
          <w:tcPr>
            <w:tcW w:w="1630" w:type="dxa"/>
            <w:vAlign w:val="center"/>
          </w:tcPr>
          <w:p w14:paraId="4FD190F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w:t>
            </w:r>
          </w:p>
        </w:tc>
        <w:tc>
          <w:tcPr>
            <w:tcW w:w="1630" w:type="dxa"/>
            <w:vMerge w:val="restart"/>
            <w:vAlign w:val="center"/>
          </w:tcPr>
          <w:p w14:paraId="35B3B90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w:t>
            </w:r>
          </w:p>
        </w:tc>
        <w:tc>
          <w:tcPr>
            <w:tcW w:w="1630" w:type="dxa"/>
            <w:vMerge w:val="restart"/>
            <w:vAlign w:val="center"/>
          </w:tcPr>
          <w:p w14:paraId="4ACD7B0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0,14</w:t>
            </w:r>
          </w:p>
        </w:tc>
        <w:tc>
          <w:tcPr>
            <w:tcW w:w="1630" w:type="dxa"/>
            <w:vAlign w:val="center"/>
          </w:tcPr>
          <w:p w14:paraId="47F5E50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Style w:val="af6"/>
                <w:rFonts w:ascii="Times New Roman" w:hAnsi="Times New Roman" w:cs="Times New Roman"/>
                <w:color w:val="auto"/>
                <w:sz w:val="18"/>
                <w:szCs w:val="18"/>
                <w:u w:val="none"/>
              </w:rPr>
              <w:t>-</w:t>
            </w:r>
          </w:p>
        </w:tc>
        <w:tc>
          <w:tcPr>
            <w:tcW w:w="1630" w:type="dxa"/>
            <w:vAlign w:val="center"/>
          </w:tcPr>
          <w:p w14:paraId="3F6038C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Style w:val="af6"/>
                <w:rFonts w:ascii="Times New Roman" w:hAnsi="Times New Roman" w:cs="Times New Roman"/>
                <w:color w:val="auto"/>
                <w:sz w:val="18"/>
                <w:szCs w:val="18"/>
                <w:u w:val="none"/>
              </w:rPr>
              <w:t>-</w:t>
            </w:r>
          </w:p>
        </w:tc>
      </w:tr>
      <w:tr w:rsidR="00171AA8" w:rsidRPr="00731FE2" w14:paraId="554FB444" w14:textId="77777777">
        <w:trPr>
          <w:trHeight w:val="213"/>
        </w:trPr>
        <w:tc>
          <w:tcPr>
            <w:tcW w:w="709" w:type="dxa"/>
            <w:vMerge/>
            <w:vAlign w:val="center"/>
          </w:tcPr>
          <w:p w14:paraId="0454BE0F" w14:textId="77777777" w:rsidR="00171AA8" w:rsidRPr="00731FE2" w:rsidRDefault="00171AA8"/>
        </w:tc>
        <w:tc>
          <w:tcPr>
            <w:tcW w:w="1984" w:type="dxa"/>
            <w:vMerge/>
            <w:vAlign w:val="center"/>
          </w:tcPr>
          <w:p w14:paraId="420BFAF3" w14:textId="77777777" w:rsidR="00171AA8" w:rsidRPr="00731FE2" w:rsidRDefault="00171AA8"/>
        </w:tc>
        <w:tc>
          <w:tcPr>
            <w:tcW w:w="1701" w:type="dxa"/>
            <w:vMerge w:val="restart"/>
            <w:vAlign w:val="center"/>
          </w:tcPr>
          <w:p w14:paraId="60A70A4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КВЖГ-200</w:t>
            </w:r>
          </w:p>
        </w:tc>
        <w:tc>
          <w:tcPr>
            <w:tcW w:w="1430" w:type="dxa"/>
            <w:vMerge w:val="restart"/>
            <w:vAlign w:val="center"/>
          </w:tcPr>
          <w:p w14:paraId="0342230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0,2</w:t>
            </w:r>
          </w:p>
        </w:tc>
        <w:tc>
          <w:tcPr>
            <w:tcW w:w="1630" w:type="dxa"/>
            <w:vMerge w:val="restart"/>
            <w:vAlign w:val="center"/>
          </w:tcPr>
          <w:p w14:paraId="1B45B5B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w:t>
            </w:r>
          </w:p>
        </w:tc>
        <w:tc>
          <w:tcPr>
            <w:tcW w:w="1630" w:type="dxa"/>
            <w:vMerge/>
            <w:vAlign w:val="center"/>
          </w:tcPr>
          <w:p w14:paraId="5C589A26" w14:textId="77777777" w:rsidR="00171AA8" w:rsidRPr="00731FE2" w:rsidRDefault="00171AA8"/>
        </w:tc>
        <w:tc>
          <w:tcPr>
            <w:tcW w:w="1630" w:type="dxa"/>
            <w:vMerge/>
            <w:vAlign w:val="center"/>
          </w:tcPr>
          <w:p w14:paraId="4E1E99E4" w14:textId="77777777" w:rsidR="00171AA8" w:rsidRPr="00731FE2" w:rsidRDefault="00171AA8"/>
        </w:tc>
        <w:tc>
          <w:tcPr>
            <w:tcW w:w="1630" w:type="dxa"/>
            <w:vMerge w:val="restart"/>
            <w:vAlign w:val="center"/>
          </w:tcPr>
          <w:p w14:paraId="0702A3D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Style w:val="af6"/>
                <w:rFonts w:ascii="Times New Roman" w:hAnsi="Times New Roman" w:cs="Times New Roman"/>
                <w:color w:val="auto"/>
                <w:sz w:val="18"/>
                <w:szCs w:val="18"/>
                <w:u w:val="none"/>
              </w:rPr>
              <w:t>-</w:t>
            </w:r>
          </w:p>
        </w:tc>
        <w:tc>
          <w:tcPr>
            <w:tcW w:w="1630" w:type="dxa"/>
            <w:vAlign w:val="center"/>
          </w:tcPr>
          <w:p w14:paraId="0B54F53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Style w:val="af6"/>
                <w:rFonts w:ascii="Times New Roman" w:hAnsi="Times New Roman" w:cs="Times New Roman"/>
                <w:color w:val="auto"/>
                <w:sz w:val="18"/>
                <w:szCs w:val="18"/>
                <w:u w:val="none"/>
              </w:rPr>
              <w:t>-</w:t>
            </w:r>
          </w:p>
        </w:tc>
      </w:tr>
      <w:tr w:rsidR="00171AA8" w:rsidRPr="00731FE2" w14:paraId="55163076" w14:textId="77777777">
        <w:trPr>
          <w:trHeight w:val="298"/>
        </w:trPr>
        <w:tc>
          <w:tcPr>
            <w:tcW w:w="709" w:type="dxa"/>
            <w:vMerge w:val="restart"/>
            <w:vAlign w:val="center"/>
          </w:tcPr>
          <w:p w14:paraId="6DC36F84" w14:textId="77777777" w:rsidR="00171AA8" w:rsidRPr="00731FE2" w:rsidRDefault="00171AA8">
            <w:pPr>
              <w:pStyle w:val="a3"/>
              <w:numPr>
                <w:ilvl w:val="0"/>
                <w:numId w:val="29"/>
              </w:numPr>
              <w:pBdr>
                <w:top w:val="none" w:sz="4" w:space="0" w:color="000000"/>
                <w:left w:val="none" w:sz="4" w:space="0" w:color="000000"/>
                <w:bottom w:val="none" w:sz="4" w:space="0" w:color="000000"/>
                <w:right w:val="none" w:sz="4" w:space="0" w:color="000000"/>
              </w:pBdr>
              <w:jc w:val="center"/>
              <w:rPr>
                <w:rStyle w:val="af6"/>
                <w:rFonts w:ascii="Times New Roman" w:hAnsi="Times New Roman" w:cs="Times New Roman"/>
                <w:color w:val="auto"/>
                <w:sz w:val="18"/>
                <w:szCs w:val="18"/>
                <w:u w:val="none"/>
              </w:rPr>
            </w:pPr>
          </w:p>
        </w:tc>
        <w:tc>
          <w:tcPr>
            <w:tcW w:w="1984" w:type="dxa"/>
            <w:vMerge w:val="restart"/>
            <w:vAlign w:val="center"/>
          </w:tcPr>
          <w:p w14:paraId="7D99FA7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 xml:space="preserve">Котельная №12, г. Кисловодск, </w:t>
            </w:r>
          </w:p>
          <w:p w14:paraId="172B57A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пр. Победы, 34</w:t>
            </w:r>
          </w:p>
        </w:tc>
        <w:tc>
          <w:tcPr>
            <w:tcW w:w="1701" w:type="dxa"/>
            <w:vAlign w:val="center"/>
          </w:tcPr>
          <w:p w14:paraId="74CEEEE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«Универсал-4»</w:t>
            </w:r>
          </w:p>
        </w:tc>
        <w:tc>
          <w:tcPr>
            <w:tcW w:w="1430" w:type="dxa"/>
            <w:vAlign w:val="center"/>
          </w:tcPr>
          <w:p w14:paraId="41AFB4B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0,214</w:t>
            </w:r>
          </w:p>
        </w:tc>
        <w:tc>
          <w:tcPr>
            <w:tcW w:w="1630" w:type="dxa"/>
            <w:vAlign w:val="center"/>
          </w:tcPr>
          <w:p w14:paraId="0CB57FB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w:t>
            </w:r>
          </w:p>
        </w:tc>
        <w:tc>
          <w:tcPr>
            <w:tcW w:w="1630" w:type="dxa"/>
            <w:vMerge w:val="restart"/>
            <w:vAlign w:val="center"/>
          </w:tcPr>
          <w:p w14:paraId="29F16D2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w:t>
            </w:r>
          </w:p>
        </w:tc>
        <w:tc>
          <w:tcPr>
            <w:tcW w:w="1630" w:type="dxa"/>
            <w:vMerge w:val="restart"/>
            <w:vAlign w:val="center"/>
          </w:tcPr>
          <w:p w14:paraId="2DF4D9D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0,0928</w:t>
            </w:r>
          </w:p>
        </w:tc>
        <w:tc>
          <w:tcPr>
            <w:tcW w:w="1630" w:type="dxa"/>
            <w:vAlign w:val="center"/>
          </w:tcPr>
          <w:p w14:paraId="2556E0A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Style w:val="af6"/>
                <w:rFonts w:ascii="Times New Roman" w:hAnsi="Times New Roman" w:cs="Times New Roman"/>
                <w:color w:val="auto"/>
                <w:sz w:val="18"/>
                <w:szCs w:val="18"/>
                <w:u w:val="none"/>
              </w:rPr>
              <w:t>-</w:t>
            </w:r>
          </w:p>
        </w:tc>
        <w:tc>
          <w:tcPr>
            <w:tcW w:w="1630" w:type="dxa"/>
            <w:vAlign w:val="center"/>
          </w:tcPr>
          <w:p w14:paraId="10F6548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Style w:val="af6"/>
                <w:rFonts w:ascii="Times New Roman" w:hAnsi="Times New Roman" w:cs="Times New Roman"/>
                <w:color w:val="auto"/>
                <w:sz w:val="18"/>
                <w:szCs w:val="18"/>
                <w:u w:val="none"/>
              </w:rPr>
              <w:t>-</w:t>
            </w:r>
          </w:p>
        </w:tc>
      </w:tr>
      <w:tr w:rsidR="00171AA8" w:rsidRPr="00731FE2" w14:paraId="58A6A11C" w14:textId="77777777">
        <w:trPr>
          <w:trHeight w:val="213"/>
        </w:trPr>
        <w:tc>
          <w:tcPr>
            <w:tcW w:w="709" w:type="dxa"/>
            <w:vMerge/>
            <w:vAlign w:val="center"/>
          </w:tcPr>
          <w:p w14:paraId="4F4E0226" w14:textId="77777777" w:rsidR="00171AA8" w:rsidRPr="00731FE2" w:rsidRDefault="00171AA8"/>
        </w:tc>
        <w:tc>
          <w:tcPr>
            <w:tcW w:w="1984" w:type="dxa"/>
            <w:vMerge/>
            <w:vAlign w:val="center"/>
          </w:tcPr>
          <w:p w14:paraId="7EB53921" w14:textId="77777777" w:rsidR="00171AA8" w:rsidRPr="00731FE2" w:rsidRDefault="00171AA8"/>
        </w:tc>
        <w:tc>
          <w:tcPr>
            <w:tcW w:w="1701" w:type="dxa"/>
            <w:vMerge w:val="restart"/>
            <w:vAlign w:val="center"/>
          </w:tcPr>
          <w:p w14:paraId="095D923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«Универсал-3»</w:t>
            </w:r>
          </w:p>
        </w:tc>
        <w:tc>
          <w:tcPr>
            <w:tcW w:w="1430" w:type="dxa"/>
            <w:vMerge w:val="restart"/>
            <w:vAlign w:val="center"/>
          </w:tcPr>
          <w:p w14:paraId="65BEF8C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0,182</w:t>
            </w:r>
          </w:p>
        </w:tc>
        <w:tc>
          <w:tcPr>
            <w:tcW w:w="1630" w:type="dxa"/>
            <w:vMerge w:val="restart"/>
            <w:vAlign w:val="center"/>
          </w:tcPr>
          <w:p w14:paraId="6A5A0DD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w:t>
            </w:r>
          </w:p>
        </w:tc>
        <w:tc>
          <w:tcPr>
            <w:tcW w:w="1630" w:type="dxa"/>
            <w:vMerge/>
            <w:vAlign w:val="center"/>
          </w:tcPr>
          <w:p w14:paraId="1BD178AD" w14:textId="77777777" w:rsidR="00171AA8" w:rsidRPr="00731FE2" w:rsidRDefault="00171AA8"/>
        </w:tc>
        <w:tc>
          <w:tcPr>
            <w:tcW w:w="1630" w:type="dxa"/>
            <w:vMerge/>
            <w:vAlign w:val="center"/>
          </w:tcPr>
          <w:p w14:paraId="4E0F4596" w14:textId="77777777" w:rsidR="00171AA8" w:rsidRPr="00731FE2" w:rsidRDefault="00171AA8"/>
        </w:tc>
        <w:tc>
          <w:tcPr>
            <w:tcW w:w="1630" w:type="dxa"/>
            <w:vMerge w:val="restart"/>
            <w:vAlign w:val="center"/>
          </w:tcPr>
          <w:p w14:paraId="3AED62E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Style w:val="af6"/>
                <w:rFonts w:ascii="Times New Roman" w:hAnsi="Times New Roman" w:cs="Times New Roman"/>
                <w:color w:val="auto"/>
                <w:sz w:val="18"/>
                <w:szCs w:val="18"/>
                <w:u w:val="none"/>
              </w:rPr>
              <w:t>-</w:t>
            </w:r>
          </w:p>
        </w:tc>
        <w:tc>
          <w:tcPr>
            <w:tcW w:w="1630" w:type="dxa"/>
            <w:vAlign w:val="center"/>
          </w:tcPr>
          <w:p w14:paraId="3FF943B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Style w:val="af6"/>
                <w:rFonts w:ascii="Times New Roman" w:hAnsi="Times New Roman" w:cs="Times New Roman"/>
                <w:color w:val="auto"/>
                <w:sz w:val="18"/>
                <w:szCs w:val="18"/>
                <w:u w:val="none"/>
              </w:rPr>
              <w:t>-</w:t>
            </w:r>
          </w:p>
        </w:tc>
      </w:tr>
      <w:tr w:rsidR="00171AA8" w:rsidRPr="00731FE2" w14:paraId="4C4BD447" w14:textId="77777777">
        <w:trPr>
          <w:trHeight w:val="376"/>
        </w:trPr>
        <w:tc>
          <w:tcPr>
            <w:tcW w:w="709" w:type="dxa"/>
            <w:vMerge w:val="restart"/>
            <w:vAlign w:val="center"/>
          </w:tcPr>
          <w:p w14:paraId="0B7F97C6" w14:textId="77777777" w:rsidR="00171AA8" w:rsidRPr="00731FE2" w:rsidRDefault="00171AA8">
            <w:pPr>
              <w:pStyle w:val="a3"/>
              <w:numPr>
                <w:ilvl w:val="0"/>
                <w:numId w:val="29"/>
              </w:numPr>
              <w:pBdr>
                <w:top w:val="none" w:sz="4" w:space="0" w:color="000000"/>
                <w:left w:val="none" w:sz="4" w:space="0" w:color="000000"/>
                <w:bottom w:val="none" w:sz="4" w:space="0" w:color="000000"/>
                <w:right w:val="none" w:sz="4" w:space="0" w:color="000000"/>
              </w:pBdr>
              <w:jc w:val="center"/>
              <w:rPr>
                <w:rStyle w:val="af6"/>
                <w:rFonts w:ascii="Times New Roman" w:hAnsi="Times New Roman" w:cs="Times New Roman"/>
                <w:color w:val="auto"/>
                <w:sz w:val="18"/>
                <w:szCs w:val="18"/>
                <w:u w:val="none"/>
              </w:rPr>
            </w:pPr>
          </w:p>
        </w:tc>
        <w:tc>
          <w:tcPr>
            <w:tcW w:w="1984" w:type="dxa"/>
            <w:vMerge w:val="restart"/>
            <w:vAlign w:val="center"/>
          </w:tcPr>
          <w:p w14:paraId="38EE504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 xml:space="preserve">Котельная №13, г. Кисловодск,  </w:t>
            </w:r>
          </w:p>
          <w:p w14:paraId="298AD3B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ул. Седлогорская, 1</w:t>
            </w:r>
          </w:p>
        </w:tc>
        <w:tc>
          <w:tcPr>
            <w:tcW w:w="1701" w:type="dxa"/>
            <w:vAlign w:val="center"/>
          </w:tcPr>
          <w:p w14:paraId="4DE7F89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«Универсал-5»</w:t>
            </w:r>
          </w:p>
        </w:tc>
        <w:tc>
          <w:tcPr>
            <w:tcW w:w="1430" w:type="dxa"/>
            <w:vAlign w:val="center"/>
          </w:tcPr>
          <w:p w14:paraId="57391AD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0,152</w:t>
            </w:r>
          </w:p>
        </w:tc>
        <w:tc>
          <w:tcPr>
            <w:tcW w:w="1630" w:type="dxa"/>
            <w:vAlign w:val="center"/>
          </w:tcPr>
          <w:p w14:paraId="44C77D5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двухтрубная</w:t>
            </w:r>
          </w:p>
        </w:tc>
        <w:tc>
          <w:tcPr>
            <w:tcW w:w="1630" w:type="dxa"/>
            <w:vMerge w:val="restart"/>
            <w:vAlign w:val="center"/>
          </w:tcPr>
          <w:p w14:paraId="3420B7F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w:t>
            </w:r>
          </w:p>
        </w:tc>
        <w:tc>
          <w:tcPr>
            <w:tcW w:w="1630" w:type="dxa"/>
            <w:vMerge w:val="restart"/>
            <w:vAlign w:val="center"/>
          </w:tcPr>
          <w:p w14:paraId="663E698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0,11</w:t>
            </w:r>
          </w:p>
        </w:tc>
        <w:tc>
          <w:tcPr>
            <w:tcW w:w="1630" w:type="dxa"/>
            <w:vAlign w:val="center"/>
          </w:tcPr>
          <w:p w14:paraId="03624D7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0,215</w:t>
            </w:r>
          </w:p>
        </w:tc>
        <w:tc>
          <w:tcPr>
            <w:tcW w:w="1630" w:type="dxa"/>
            <w:vAlign w:val="center"/>
          </w:tcPr>
          <w:p w14:paraId="6D435CC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0,215</w:t>
            </w:r>
          </w:p>
        </w:tc>
      </w:tr>
      <w:tr w:rsidR="00171AA8" w:rsidRPr="00731FE2" w14:paraId="54FAD64F" w14:textId="77777777">
        <w:trPr>
          <w:trHeight w:val="213"/>
        </w:trPr>
        <w:tc>
          <w:tcPr>
            <w:tcW w:w="709" w:type="dxa"/>
            <w:vMerge/>
            <w:vAlign w:val="center"/>
          </w:tcPr>
          <w:p w14:paraId="141B7D70" w14:textId="77777777" w:rsidR="00171AA8" w:rsidRPr="00731FE2" w:rsidRDefault="00171AA8"/>
        </w:tc>
        <w:tc>
          <w:tcPr>
            <w:tcW w:w="1984" w:type="dxa"/>
            <w:vMerge/>
            <w:vAlign w:val="center"/>
          </w:tcPr>
          <w:p w14:paraId="7DA7FCC3" w14:textId="77777777" w:rsidR="00171AA8" w:rsidRPr="00731FE2" w:rsidRDefault="00171AA8"/>
        </w:tc>
        <w:tc>
          <w:tcPr>
            <w:tcW w:w="1701" w:type="dxa"/>
            <w:vMerge w:val="restart"/>
            <w:vAlign w:val="center"/>
          </w:tcPr>
          <w:p w14:paraId="3098C53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«Универсал-3»</w:t>
            </w:r>
          </w:p>
        </w:tc>
        <w:tc>
          <w:tcPr>
            <w:tcW w:w="1430" w:type="dxa"/>
            <w:vMerge w:val="restart"/>
            <w:vAlign w:val="center"/>
          </w:tcPr>
          <w:p w14:paraId="6FD1C87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0,238</w:t>
            </w:r>
          </w:p>
        </w:tc>
        <w:tc>
          <w:tcPr>
            <w:tcW w:w="1630" w:type="dxa"/>
            <w:vMerge w:val="restart"/>
            <w:vAlign w:val="center"/>
          </w:tcPr>
          <w:p w14:paraId="5E05152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w:t>
            </w:r>
          </w:p>
        </w:tc>
        <w:tc>
          <w:tcPr>
            <w:tcW w:w="1630" w:type="dxa"/>
            <w:vMerge/>
            <w:vAlign w:val="center"/>
          </w:tcPr>
          <w:p w14:paraId="0409B71D" w14:textId="77777777" w:rsidR="00171AA8" w:rsidRPr="00731FE2" w:rsidRDefault="00171AA8"/>
        </w:tc>
        <w:tc>
          <w:tcPr>
            <w:tcW w:w="1630" w:type="dxa"/>
            <w:vMerge/>
            <w:vAlign w:val="center"/>
          </w:tcPr>
          <w:p w14:paraId="03C2989F" w14:textId="77777777" w:rsidR="00171AA8" w:rsidRPr="00731FE2" w:rsidRDefault="00171AA8"/>
        </w:tc>
        <w:tc>
          <w:tcPr>
            <w:tcW w:w="1630" w:type="dxa"/>
            <w:vMerge w:val="restart"/>
            <w:vAlign w:val="center"/>
          </w:tcPr>
          <w:p w14:paraId="5B65D15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w:t>
            </w:r>
          </w:p>
        </w:tc>
        <w:tc>
          <w:tcPr>
            <w:tcW w:w="1630" w:type="dxa"/>
            <w:vAlign w:val="center"/>
          </w:tcPr>
          <w:p w14:paraId="6C1DF988" w14:textId="77777777" w:rsidR="00171AA8" w:rsidRPr="00731FE2" w:rsidRDefault="007935AB">
            <w:pP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w:t>
            </w:r>
          </w:p>
        </w:tc>
      </w:tr>
      <w:tr w:rsidR="00171AA8" w:rsidRPr="00731FE2" w14:paraId="4FC10FD6" w14:textId="77777777">
        <w:trPr>
          <w:trHeight w:val="28"/>
        </w:trPr>
        <w:tc>
          <w:tcPr>
            <w:tcW w:w="709" w:type="dxa"/>
            <w:vMerge w:val="restart"/>
            <w:vAlign w:val="center"/>
          </w:tcPr>
          <w:p w14:paraId="35FC70F0" w14:textId="77777777" w:rsidR="00171AA8" w:rsidRPr="00731FE2" w:rsidRDefault="00171AA8">
            <w:pPr>
              <w:pStyle w:val="a3"/>
              <w:numPr>
                <w:ilvl w:val="0"/>
                <w:numId w:val="29"/>
              </w:numPr>
              <w:pBdr>
                <w:top w:val="none" w:sz="4" w:space="0" w:color="000000"/>
                <w:left w:val="none" w:sz="4" w:space="0" w:color="000000"/>
                <w:bottom w:val="none" w:sz="4" w:space="0" w:color="000000"/>
                <w:right w:val="none" w:sz="4" w:space="0" w:color="000000"/>
              </w:pBdr>
              <w:jc w:val="center"/>
              <w:rPr>
                <w:rStyle w:val="af6"/>
                <w:rFonts w:ascii="Times New Roman" w:hAnsi="Times New Roman" w:cs="Times New Roman"/>
                <w:color w:val="auto"/>
                <w:sz w:val="18"/>
                <w:szCs w:val="18"/>
                <w:u w:val="none"/>
              </w:rPr>
            </w:pPr>
          </w:p>
        </w:tc>
        <w:tc>
          <w:tcPr>
            <w:tcW w:w="1984" w:type="dxa"/>
            <w:vMerge w:val="restart"/>
            <w:vAlign w:val="center"/>
          </w:tcPr>
          <w:p w14:paraId="308571A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 xml:space="preserve">Котельная №14, г. Кисловодск, </w:t>
            </w:r>
          </w:p>
          <w:p w14:paraId="0A6675B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ул. Аджарская, 19</w:t>
            </w:r>
          </w:p>
        </w:tc>
        <w:tc>
          <w:tcPr>
            <w:tcW w:w="1701" w:type="dxa"/>
            <w:vAlign w:val="center"/>
          </w:tcPr>
          <w:p w14:paraId="17BF3AC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«Ланкашир»</w:t>
            </w:r>
          </w:p>
        </w:tc>
        <w:tc>
          <w:tcPr>
            <w:tcW w:w="1430" w:type="dxa"/>
            <w:vAlign w:val="center"/>
          </w:tcPr>
          <w:p w14:paraId="1E3EFF2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1,5</w:t>
            </w:r>
          </w:p>
        </w:tc>
        <w:tc>
          <w:tcPr>
            <w:tcW w:w="1630" w:type="dxa"/>
            <w:vAlign w:val="center"/>
          </w:tcPr>
          <w:p w14:paraId="71CFFFC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двухтрубная</w:t>
            </w:r>
          </w:p>
        </w:tc>
        <w:tc>
          <w:tcPr>
            <w:tcW w:w="1630" w:type="dxa"/>
            <w:vMerge w:val="restart"/>
            <w:vAlign w:val="center"/>
          </w:tcPr>
          <w:p w14:paraId="5393F8A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w:t>
            </w:r>
          </w:p>
        </w:tc>
        <w:tc>
          <w:tcPr>
            <w:tcW w:w="1630" w:type="dxa"/>
            <w:vMerge w:val="restart"/>
            <w:vAlign w:val="center"/>
          </w:tcPr>
          <w:p w14:paraId="6EB7725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1,8053</w:t>
            </w:r>
          </w:p>
        </w:tc>
        <w:tc>
          <w:tcPr>
            <w:tcW w:w="1630" w:type="dxa"/>
            <w:vAlign w:val="center"/>
          </w:tcPr>
          <w:p w14:paraId="0EAA529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0,995</w:t>
            </w:r>
          </w:p>
        </w:tc>
        <w:tc>
          <w:tcPr>
            <w:tcW w:w="1630" w:type="dxa"/>
            <w:vAlign w:val="center"/>
          </w:tcPr>
          <w:p w14:paraId="3730372A" w14:textId="77777777" w:rsidR="00171AA8" w:rsidRPr="00731FE2" w:rsidRDefault="007935AB">
            <w:pP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0,995</w:t>
            </w:r>
          </w:p>
        </w:tc>
      </w:tr>
      <w:tr w:rsidR="00171AA8" w:rsidRPr="00731FE2" w14:paraId="12BA5DC9" w14:textId="77777777">
        <w:trPr>
          <w:trHeight w:val="213"/>
        </w:trPr>
        <w:tc>
          <w:tcPr>
            <w:tcW w:w="709" w:type="dxa"/>
            <w:vMerge/>
            <w:vAlign w:val="center"/>
          </w:tcPr>
          <w:p w14:paraId="3C896CD1" w14:textId="77777777" w:rsidR="00171AA8" w:rsidRPr="00731FE2" w:rsidRDefault="00171AA8"/>
        </w:tc>
        <w:tc>
          <w:tcPr>
            <w:tcW w:w="1984" w:type="dxa"/>
            <w:vMerge/>
            <w:vAlign w:val="center"/>
          </w:tcPr>
          <w:p w14:paraId="7F20733A" w14:textId="77777777" w:rsidR="00171AA8" w:rsidRPr="00731FE2" w:rsidRDefault="00171AA8"/>
        </w:tc>
        <w:tc>
          <w:tcPr>
            <w:tcW w:w="1701" w:type="dxa"/>
            <w:vMerge w:val="restart"/>
            <w:vAlign w:val="center"/>
          </w:tcPr>
          <w:p w14:paraId="1AF1681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«Ланкашир»</w:t>
            </w:r>
          </w:p>
        </w:tc>
        <w:tc>
          <w:tcPr>
            <w:tcW w:w="1430" w:type="dxa"/>
            <w:vMerge w:val="restart"/>
            <w:vAlign w:val="center"/>
          </w:tcPr>
          <w:p w14:paraId="3A33031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1,5</w:t>
            </w:r>
          </w:p>
        </w:tc>
        <w:tc>
          <w:tcPr>
            <w:tcW w:w="1630" w:type="dxa"/>
            <w:vMerge w:val="restart"/>
            <w:vAlign w:val="center"/>
          </w:tcPr>
          <w:p w14:paraId="520B315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w:t>
            </w:r>
          </w:p>
        </w:tc>
        <w:tc>
          <w:tcPr>
            <w:tcW w:w="1630" w:type="dxa"/>
            <w:vMerge/>
            <w:vAlign w:val="center"/>
          </w:tcPr>
          <w:p w14:paraId="12700310" w14:textId="77777777" w:rsidR="00171AA8" w:rsidRPr="00731FE2" w:rsidRDefault="00171AA8"/>
        </w:tc>
        <w:tc>
          <w:tcPr>
            <w:tcW w:w="1630" w:type="dxa"/>
            <w:vMerge/>
            <w:vAlign w:val="center"/>
          </w:tcPr>
          <w:p w14:paraId="6E324258" w14:textId="77777777" w:rsidR="00171AA8" w:rsidRPr="00731FE2" w:rsidRDefault="00171AA8"/>
        </w:tc>
        <w:tc>
          <w:tcPr>
            <w:tcW w:w="1630" w:type="dxa"/>
            <w:vMerge w:val="restart"/>
            <w:vAlign w:val="center"/>
          </w:tcPr>
          <w:p w14:paraId="1928196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Style w:val="af6"/>
                <w:rFonts w:ascii="Times New Roman" w:hAnsi="Times New Roman" w:cs="Times New Roman"/>
                <w:color w:val="auto"/>
                <w:sz w:val="18"/>
                <w:szCs w:val="18"/>
                <w:u w:val="none"/>
              </w:rPr>
              <w:t>-</w:t>
            </w:r>
          </w:p>
        </w:tc>
        <w:tc>
          <w:tcPr>
            <w:tcW w:w="1630" w:type="dxa"/>
            <w:vAlign w:val="center"/>
          </w:tcPr>
          <w:p w14:paraId="3262C8B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Style w:val="af6"/>
                <w:rFonts w:ascii="Times New Roman" w:hAnsi="Times New Roman" w:cs="Times New Roman"/>
                <w:color w:val="auto"/>
                <w:sz w:val="18"/>
                <w:szCs w:val="18"/>
                <w:u w:val="none"/>
              </w:rPr>
              <w:t>-</w:t>
            </w:r>
          </w:p>
        </w:tc>
      </w:tr>
      <w:tr w:rsidR="00171AA8" w:rsidRPr="00731FE2" w14:paraId="384D339F" w14:textId="77777777">
        <w:trPr>
          <w:trHeight w:val="213"/>
        </w:trPr>
        <w:tc>
          <w:tcPr>
            <w:tcW w:w="709" w:type="dxa"/>
            <w:vMerge/>
            <w:vAlign w:val="center"/>
          </w:tcPr>
          <w:p w14:paraId="12ACAAEF" w14:textId="77777777" w:rsidR="00171AA8" w:rsidRPr="00731FE2" w:rsidRDefault="00171AA8"/>
        </w:tc>
        <w:tc>
          <w:tcPr>
            <w:tcW w:w="1984" w:type="dxa"/>
            <w:vMerge/>
            <w:vAlign w:val="center"/>
          </w:tcPr>
          <w:p w14:paraId="05264E2C" w14:textId="77777777" w:rsidR="00171AA8" w:rsidRPr="00731FE2" w:rsidRDefault="00171AA8"/>
        </w:tc>
        <w:tc>
          <w:tcPr>
            <w:tcW w:w="1701" w:type="dxa"/>
            <w:vMerge w:val="restart"/>
            <w:vAlign w:val="center"/>
          </w:tcPr>
          <w:p w14:paraId="29919C1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ДВ-10/14</w:t>
            </w:r>
          </w:p>
        </w:tc>
        <w:tc>
          <w:tcPr>
            <w:tcW w:w="1430" w:type="dxa"/>
            <w:vMerge w:val="restart"/>
            <w:vAlign w:val="center"/>
          </w:tcPr>
          <w:p w14:paraId="521D06D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7,5</w:t>
            </w:r>
          </w:p>
        </w:tc>
        <w:tc>
          <w:tcPr>
            <w:tcW w:w="1630" w:type="dxa"/>
            <w:vMerge w:val="restart"/>
            <w:vAlign w:val="center"/>
          </w:tcPr>
          <w:p w14:paraId="3E9CA86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w:t>
            </w:r>
          </w:p>
        </w:tc>
        <w:tc>
          <w:tcPr>
            <w:tcW w:w="1630" w:type="dxa"/>
            <w:vMerge/>
            <w:vAlign w:val="center"/>
          </w:tcPr>
          <w:p w14:paraId="1AF5044F" w14:textId="77777777" w:rsidR="00171AA8" w:rsidRPr="00731FE2" w:rsidRDefault="00171AA8"/>
        </w:tc>
        <w:tc>
          <w:tcPr>
            <w:tcW w:w="1630" w:type="dxa"/>
            <w:vMerge/>
            <w:vAlign w:val="center"/>
          </w:tcPr>
          <w:p w14:paraId="44B30777" w14:textId="77777777" w:rsidR="00171AA8" w:rsidRPr="00731FE2" w:rsidRDefault="00171AA8"/>
        </w:tc>
        <w:tc>
          <w:tcPr>
            <w:tcW w:w="1630" w:type="dxa"/>
            <w:vMerge w:val="restart"/>
            <w:vAlign w:val="center"/>
          </w:tcPr>
          <w:p w14:paraId="233245F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Style w:val="af6"/>
                <w:rFonts w:ascii="Times New Roman" w:hAnsi="Times New Roman" w:cs="Times New Roman"/>
                <w:color w:val="auto"/>
                <w:sz w:val="18"/>
                <w:szCs w:val="18"/>
                <w:u w:val="none"/>
              </w:rPr>
              <w:t>-</w:t>
            </w:r>
          </w:p>
        </w:tc>
        <w:tc>
          <w:tcPr>
            <w:tcW w:w="1630" w:type="dxa"/>
            <w:vAlign w:val="center"/>
          </w:tcPr>
          <w:p w14:paraId="5AB3A1A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Style w:val="af6"/>
                <w:rFonts w:ascii="Times New Roman" w:hAnsi="Times New Roman" w:cs="Times New Roman"/>
                <w:color w:val="auto"/>
                <w:sz w:val="18"/>
                <w:szCs w:val="18"/>
                <w:u w:val="none"/>
              </w:rPr>
              <w:t>-</w:t>
            </w:r>
          </w:p>
        </w:tc>
      </w:tr>
      <w:tr w:rsidR="00171AA8" w:rsidRPr="00731FE2" w14:paraId="16A1DCFE" w14:textId="77777777">
        <w:trPr>
          <w:trHeight w:val="75"/>
        </w:trPr>
        <w:tc>
          <w:tcPr>
            <w:tcW w:w="709" w:type="dxa"/>
            <w:vMerge w:val="restart"/>
            <w:vAlign w:val="center"/>
          </w:tcPr>
          <w:p w14:paraId="04C23E32" w14:textId="77777777" w:rsidR="00171AA8" w:rsidRPr="00731FE2" w:rsidRDefault="00171AA8">
            <w:pPr>
              <w:pStyle w:val="a3"/>
              <w:numPr>
                <w:ilvl w:val="0"/>
                <w:numId w:val="29"/>
              </w:numPr>
              <w:pBdr>
                <w:top w:val="none" w:sz="4" w:space="0" w:color="000000"/>
                <w:left w:val="none" w:sz="4" w:space="0" w:color="000000"/>
                <w:bottom w:val="none" w:sz="4" w:space="0" w:color="000000"/>
                <w:right w:val="none" w:sz="4" w:space="0" w:color="000000"/>
              </w:pBdr>
              <w:jc w:val="center"/>
              <w:rPr>
                <w:rStyle w:val="af6"/>
                <w:rFonts w:ascii="Times New Roman" w:hAnsi="Times New Roman" w:cs="Times New Roman"/>
                <w:color w:val="auto"/>
                <w:sz w:val="18"/>
                <w:szCs w:val="18"/>
                <w:u w:val="none"/>
              </w:rPr>
            </w:pPr>
          </w:p>
        </w:tc>
        <w:tc>
          <w:tcPr>
            <w:tcW w:w="1984" w:type="dxa"/>
            <w:vMerge w:val="restart"/>
            <w:vAlign w:val="center"/>
          </w:tcPr>
          <w:p w14:paraId="2AD8B91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 xml:space="preserve">Котельная №15, г. Кисловодск, </w:t>
            </w:r>
          </w:p>
          <w:p w14:paraId="57407DC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ул. Вашкевича, 7</w:t>
            </w:r>
          </w:p>
        </w:tc>
        <w:tc>
          <w:tcPr>
            <w:tcW w:w="1701" w:type="dxa"/>
            <w:vAlign w:val="center"/>
          </w:tcPr>
          <w:p w14:paraId="6026AC8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«Универсал-5»</w:t>
            </w:r>
          </w:p>
        </w:tc>
        <w:tc>
          <w:tcPr>
            <w:tcW w:w="1430" w:type="dxa"/>
            <w:vAlign w:val="center"/>
          </w:tcPr>
          <w:p w14:paraId="46B6E5A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0,231</w:t>
            </w:r>
          </w:p>
        </w:tc>
        <w:tc>
          <w:tcPr>
            <w:tcW w:w="1630" w:type="dxa"/>
            <w:vAlign w:val="center"/>
          </w:tcPr>
          <w:p w14:paraId="7195339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w:t>
            </w:r>
          </w:p>
        </w:tc>
        <w:tc>
          <w:tcPr>
            <w:tcW w:w="1630" w:type="dxa"/>
            <w:vMerge w:val="restart"/>
            <w:vAlign w:val="center"/>
          </w:tcPr>
          <w:p w14:paraId="03E95F0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w:t>
            </w:r>
          </w:p>
        </w:tc>
        <w:tc>
          <w:tcPr>
            <w:tcW w:w="1630" w:type="dxa"/>
            <w:vMerge w:val="restart"/>
            <w:vAlign w:val="center"/>
          </w:tcPr>
          <w:p w14:paraId="2AF07A4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0,24</w:t>
            </w:r>
          </w:p>
        </w:tc>
        <w:tc>
          <w:tcPr>
            <w:tcW w:w="1630" w:type="dxa"/>
            <w:vAlign w:val="center"/>
          </w:tcPr>
          <w:p w14:paraId="668F8F4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Style w:val="af6"/>
                <w:rFonts w:ascii="Times New Roman" w:hAnsi="Times New Roman" w:cs="Times New Roman"/>
                <w:color w:val="auto"/>
                <w:sz w:val="18"/>
                <w:szCs w:val="18"/>
                <w:u w:val="none"/>
              </w:rPr>
              <w:t>-</w:t>
            </w:r>
          </w:p>
        </w:tc>
        <w:tc>
          <w:tcPr>
            <w:tcW w:w="1630" w:type="dxa"/>
            <w:vAlign w:val="center"/>
          </w:tcPr>
          <w:p w14:paraId="2C781A9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Style w:val="af6"/>
                <w:rFonts w:ascii="Times New Roman" w:hAnsi="Times New Roman" w:cs="Times New Roman"/>
                <w:color w:val="auto"/>
                <w:sz w:val="18"/>
                <w:szCs w:val="18"/>
                <w:u w:val="none"/>
              </w:rPr>
              <w:t>-</w:t>
            </w:r>
          </w:p>
        </w:tc>
      </w:tr>
      <w:tr w:rsidR="00171AA8" w:rsidRPr="00731FE2" w14:paraId="3F74FAE0" w14:textId="77777777">
        <w:trPr>
          <w:trHeight w:val="406"/>
        </w:trPr>
        <w:tc>
          <w:tcPr>
            <w:tcW w:w="709" w:type="dxa"/>
            <w:vMerge/>
            <w:vAlign w:val="center"/>
          </w:tcPr>
          <w:p w14:paraId="5AA7BB96" w14:textId="77777777" w:rsidR="00171AA8" w:rsidRPr="00731FE2" w:rsidRDefault="00171AA8"/>
        </w:tc>
        <w:tc>
          <w:tcPr>
            <w:tcW w:w="1984" w:type="dxa"/>
            <w:vMerge/>
            <w:vAlign w:val="center"/>
          </w:tcPr>
          <w:p w14:paraId="6FD455FC" w14:textId="77777777" w:rsidR="00171AA8" w:rsidRPr="00731FE2" w:rsidRDefault="00171AA8"/>
        </w:tc>
        <w:tc>
          <w:tcPr>
            <w:tcW w:w="1701" w:type="dxa"/>
            <w:vMerge w:val="restart"/>
            <w:vAlign w:val="center"/>
          </w:tcPr>
          <w:p w14:paraId="3FF3A55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«Универсал-5»</w:t>
            </w:r>
          </w:p>
        </w:tc>
        <w:tc>
          <w:tcPr>
            <w:tcW w:w="1430" w:type="dxa"/>
            <w:vMerge w:val="restart"/>
            <w:vAlign w:val="center"/>
          </w:tcPr>
          <w:p w14:paraId="011B2A7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0,231</w:t>
            </w:r>
          </w:p>
        </w:tc>
        <w:tc>
          <w:tcPr>
            <w:tcW w:w="1630" w:type="dxa"/>
            <w:vMerge w:val="restart"/>
            <w:vAlign w:val="center"/>
          </w:tcPr>
          <w:p w14:paraId="0A38D6A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w:t>
            </w:r>
          </w:p>
        </w:tc>
        <w:tc>
          <w:tcPr>
            <w:tcW w:w="1630" w:type="dxa"/>
            <w:vMerge/>
            <w:vAlign w:val="center"/>
          </w:tcPr>
          <w:p w14:paraId="418E5EDD" w14:textId="77777777" w:rsidR="00171AA8" w:rsidRPr="00731FE2" w:rsidRDefault="00171AA8"/>
        </w:tc>
        <w:tc>
          <w:tcPr>
            <w:tcW w:w="1630" w:type="dxa"/>
            <w:vMerge/>
            <w:vAlign w:val="center"/>
          </w:tcPr>
          <w:p w14:paraId="0DDA261C" w14:textId="77777777" w:rsidR="00171AA8" w:rsidRPr="00731FE2" w:rsidRDefault="00171AA8"/>
        </w:tc>
        <w:tc>
          <w:tcPr>
            <w:tcW w:w="1630" w:type="dxa"/>
            <w:vMerge w:val="restart"/>
            <w:vAlign w:val="center"/>
          </w:tcPr>
          <w:p w14:paraId="04F4A57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Style w:val="af6"/>
                <w:rFonts w:ascii="Times New Roman" w:hAnsi="Times New Roman" w:cs="Times New Roman"/>
                <w:color w:val="auto"/>
                <w:sz w:val="18"/>
                <w:szCs w:val="18"/>
                <w:u w:val="none"/>
              </w:rPr>
              <w:t>-</w:t>
            </w:r>
          </w:p>
        </w:tc>
        <w:tc>
          <w:tcPr>
            <w:tcW w:w="1630" w:type="dxa"/>
            <w:vAlign w:val="center"/>
          </w:tcPr>
          <w:p w14:paraId="387D716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Style w:val="af6"/>
                <w:rFonts w:ascii="Times New Roman" w:hAnsi="Times New Roman" w:cs="Times New Roman"/>
                <w:color w:val="auto"/>
                <w:sz w:val="18"/>
                <w:szCs w:val="18"/>
                <w:u w:val="none"/>
              </w:rPr>
              <w:t>-</w:t>
            </w:r>
          </w:p>
        </w:tc>
      </w:tr>
      <w:tr w:rsidR="00171AA8" w:rsidRPr="00731FE2" w14:paraId="47B22EEE" w14:textId="77777777">
        <w:trPr>
          <w:trHeight w:val="281"/>
        </w:trPr>
        <w:tc>
          <w:tcPr>
            <w:tcW w:w="709" w:type="dxa"/>
            <w:vMerge w:val="restart"/>
            <w:vAlign w:val="center"/>
          </w:tcPr>
          <w:p w14:paraId="05C93786" w14:textId="77777777" w:rsidR="00171AA8" w:rsidRPr="00731FE2" w:rsidRDefault="00171AA8">
            <w:pPr>
              <w:pStyle w:val="a3"/>
              <w:numPr>
                <w:ilvl w:val="0"/>
                <w:numId w:val="29"/>
              </w:numPr>
              <w:pBdr>
                <w:top w:val="none" w:sz="4" w:space="0" w:color="000000"/>
                <w:left w:val="none" w:sz="4" w:space="0" w:color="000000"/>
                <w:bottom w:val="none" w:sz="4" w:space="0" w:color="000000"/>
                <w:right w:val="none" w:sz="4" w:space="0" w:color="000000"/>
              </w:pBdr>
              <w:jc w:val="center"/>
              <w:rPr>
                <w:rStyle w:val="af6"/>
                <w:rFonts w:ascii="Times New Roman" w:hAnsi="Times New Roman" w:cs="Times New Roman"/>
                <w:color w:val="auto"/>
                <w:sz w:val="18"/>
                <w:szCs w:val="18"/>
                <w:u w:val="none"/>
              </w:rPr>
            </w:pPr>
          </w:p>
        </w:tc>
        <w:tc>
          <w:tcPr>
            <w:tcW w:w="1984" w:type="dxa"/>
            <w:vMerge w:val="restart"/>
            <w:vAlign w:val="center"/>
          </w:tcPr>
          <w:p w14:paraId="1363C27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 xml:space="preserve">Котельная №16, г. Кисловодск, </w:t>
            </w:r>
          </w:p>
          <w:p w14:paraId="7528C85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ул. Толстого, 6</w:t>
            </w:r>
          </w:p>
        </w:tc>
        <w:tc>
          <w:tcPr>
            <w:tcW w:w="1701" w:type="dxa"/>
            <w:vAlign w:val="center"/>
          </w:tcPr>
          <w:p w14:paraId="389B964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НР-18</w:t>
            </w:r>
          </w:p>
        </w:tc>
        <w:tc>
          <w:tcPr>
            <w:tcW w:w="1430" w:type="dxa"/>
            <w:vAlign w:val="center"/>
          </w:tcPr>
          <w:p w14:paraId="43E0798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0,273</w:t>
            </w:r>
          </w:p>
        </w:tc>
        <w:tc>
          <w:tcPr>
            <w:tcW w:w="1630" w:type="dxa"/>
            <w:vAlign w:val="center"/>
          </w:tcPr>
          <w:p w14:paraId="15A4280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двухтрубная</w:t>
            </w:r>
          </w:p>
        </w:tc>
        <w:tc>
          <w:tcPr>
            <w:tcW w:w="1630" w:type="dxa"/>
            <w:vMerge w:val="restart"/>
            <w:vAlign w:val="center"/>
          </w:tcPr>
          <w:p w14:paraId="55A0A6E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w:t>
            </w:r>
          </w:p>
        </w:tc>
        <w:tc>
          <w:tcPr>
            <w:tcW w:w="1630" w:type="dxa"/>
            <w:vMerge w:val="restart"/>
            <w:vAlign w:val="center"/>
          </w:tcPr>
          <w:p w14:paraId="0F2ED5C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0,15</w:t>
            </w:r>
          </w:p>
        </w:tc>
        <w:tc>
          <w:tcPr>
            <w:tcW w:w="1630" w:type="dxa"/>
            <w:vAlign w:val="center"/>
          </w:tcPr>
          <w:p w14:paraId="12CB736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0,201</w:t>
            </w:r>
          </w:p>
        </w:tc>
        <w:tc>
          <w:tcPr>
            <w:tcW w:w="1630" w:type="dxa"/>
            <w:vAlign w:val="center"/>
          </w:tcPr>
          <w:p w14:paraId="22162C67" w14:textId="77777777" w:rsidR="00171AA8" w:rsidRPr="00731FE2" w:rsidRDefault="007935AB">
            <w:pP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0,201</w:t>
            </w:r>
          </w:p>
        </w:tc>
      </w:tr>
      <w:tr w:rsidR="00171AA8" w:rsidRPr="00731FE2" w14:paraId="27E9BD14" w14:textId="77777777">
        <w:trPr>
          <w:trHeight w:val="213"/>
        </w:trPr>
        <w:tc>
          <w:tcPr>
            <w:tcW w:w="709" w:type="dxa"/>
            <w:vMerge/>
            <w:vAlign w:val="center"/>
          </w:tcPr>
          <w:p w14:paraId="19BF2D31" w14:textId="77777777" w:rsidR="00171AA8" w:rsidRPr="00731FE2" w:rsidRDefault="00171AA8"/>
        </w:tc>
        <w:tc>
          <w:tcPr>
            <w:tcW w:w="1984" w:type="dxa"/>
            <w:vMerge/>
            <w:vAlign w:val="center"/>
          </w:tcPr>
          <w:p w14:paraId="56356447" w14:textId="77777777" w:rsidR="00171AA8" w:rsidRPr="00731FE2" w:rsidRDefault="00171AA8"/>
        </w:tc>
        <w:tc>
          <w:tcPr>
            <w:tcW w:w="1701" w:type="dxa"/>
            <w:vMerge w:val="restart"/>
            <w:vAlign w:val="center"/>
          </w:tcPr>
          <w:p w14:paraId="5954C97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НР-18</w:t>
            </w:r>
          </w:p>
        </w:tc>
        <w:tc>
          <w:tcPr>
            <w:tcW w:w="1430" w:type="dxa"/>
            <w:vMerge w:val="restart"/>
            <w:vAlign w:val="center"/>
          </w:tcPr>
          <w:p w14:paraId="24C1B39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0,273</w:t>
            </w:r>
          </w:p>
        </w:tc>
        <w:tc>
          <w:tcPr>
            <w:tcW w:w="1630" w:type="dxa"/>
            <w:vMerge w:val="restart"/>
            <w:vAlign w:val="center"/>
          </w:tcPr>
          <w:p w14:paraId="3614A8F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w:t>
            </w:r>
          </w:p>
        </w:tc>
        <w:tc>
          <w:tcPr>
            <w:tcW w:w="1630" w:type="dxa"/>
            <w:vMerge/>
            <w:vAlign w:val="center"/>
          </w:tcPr>
          <w:p w14:paraId="51A3BDA9" w14:textId="77777777" w:rsidR="00171AA8" w:rsidRPr="00731FE2" w:rsidRDefault="00171AA8"/>
        </w:tc>
        <w:tc>
          <w:tcPr>
            <w:tcW w:w="1630" w:type="dxa"/>
            <w:vMerge/>
            <w:vAlign w:val="center"/>
          </w:tcPr>
          <w:p w14:paraId="11AFEEBD" w14:textId="77777777" w:rsidR="00171AA8" w:rsidRPr="00731FE2" w:rsidRDefault="00171AA8"/>
        </w:tc>
        <w:tc>
          <w:tcPr>
            <w:tcW w:w="1630" w:type="dxa"/>
            <w:vMerge w:val="restart"/>
            <w:vAlign w:val="center"/>
          </w:tcPr>
          <w:p w14:paraId="2566832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Style w:val="af6"/>
                <w:rFonts w:ascii="Times New Roman" w:hAnsi="Times New Roman" w:cs="Times New Roman"/>
                <w:color w:val="auto"/>
                <w:sz w:val="18"/>
                <w:szCs w:val="18"/>
                <w:u w:val="none"/>
              </w:rPr>
              <w:t>-</w:t>
            </w:r>
          </w:p>
        </w:tc>
        <w:tc>
          <w:tcPr>
            <w:tcW w:w="1630" w:type="dxa"/>
            <w:vAlign w:val="center"/>
          </w:tcPr>
          <w:p w14:paraId="68C3503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Style w:val="af6"/>
                <w:rFonts w:ascii="Times New Roman" w:hAnsi="Times New Roman" w:cs="Times New Roman"/>
                <w:color w:val="auto"/>
                <w:sz w:val="18"/>
                <w:szCs w:val="18"/>
                <w:u w:val="none"/>
              </w:rPr>
              <w:t>-</w:t>
            </w:r>
          </w:p>
        </w:tc>
      </w:tr>
      <w:tr w:rsidR="00171AA8" w:rsidRPr="00731FE2" w14:paraId="77BBCAC6" w14:textId="77777777">
        <w:trPr>
          <w:trHeight w:val="213"/>
        </w:trPr>
        <w:tc>
          <w:tcPr>
            <w:tcW w:w="709" w:type="dxa"/>
            <w:vAlign w:val="center"/>
          </w:tcPr>
          <w:p w14:paraId="4D077358" w14:textId="77777777" w:rsidR="00171AA8" w:rsidRPr="00731FE2" w:rsidRDefault="00171AA8">
            <w:pPr>
              <w:pStyle w:val="a3"/>
              <w:numPr>
                <w:ilvl w:val="0"/>
                <w:numId w:val="29"/>
              </w:numPr>
              <w:pBdr>
                <w:top w:val="none" w:sz="4" w:space="0" w:color="000000"/>
                <w:left w:val="none" w:sz="4" w:space="0" w:color="000000"/>
                <w:bottom w:val="none" w:sz="4" w:space="0" w:color="000000"/>
                <w:right w:val="none" w:sz="4" w:space="0" w:color="000000"/>
              </w:pBdr>
              <w:jc w:val="center"/>
              <w:rPr>
                <w:rStyle w:val="af6"/>
                <w:rFonts w:ascii="Times New Roman" w:hAnsi="Times New Roman" w:cs="Times New Roman"/>
                <w:color w:val="auto"/>
                <w:sz w:val="18"/>
                <w:szCs w:val="18"/>
                <w:u w:val="none"/>
              </w:rPr>
            </w:pPr>
          </w:p>
        </w:tc>
        <w:tc>
          <w:tcPr>
            <w:tcW w:w="1984" w:type="dxa"/>
            <w:vAlign w:val="center"/>
          </w:tcPr>
          <w:p w14:paraId="31E0D0F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 xml:space="preserve">Котельная №17, г. Кисловодск,  </w:t>
            </w:r>
          </w:p>
          <w:p w14:paraId="18BD269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ул. Гоголя, 29</w:t>
            </w:r>
          </w:p>
        </w:tc>
        <w:tc>
          <w:tcPr>
            <w:tcW w:w="1701" w:type="dxa"/>
            <w:vAlign w:val="center"/>
          </w:tcPr>
          <w:p w14:paraId="2B7F262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«Универсал-6»</w:t>
            </w:r>
          </w:p>
        </w:tc>
        <w:tc>
          <w:tcPr>
            <w:tcW w:w="1430" w:type="dxa"/>
            <w:vAlign w:val="center"/>
          </w:tcPr>
          <w:p w14:paraId="47E8A80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0,234</w:t>
            </w:r>
          </w:p>
        </w:tc>
        <w:tc>
          <w:tcPr>
            <w:tcW w:w="1630" w:type="dxa"/>
            <w:vAlign w:val="center"/>
          </w:tcPr>
          <w:p w14:paraId="4383BF6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w:t>
            </w:r>
          </w:p>
        </w:tc>
        <w:tc>
          <w:tcPr>
            <w:tcW w:w="1630" w:type="dxa"/>
            <w:vAlign w:val="center"/>
          </w:tcPr>
          <w:p w14:paraId="3053CE7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w:t>
            </w:r>
          </w:p>
        </w:tc>
        <w:tc>
          <w:tcPr>
            <w:tcW w:w="1630" w:type="dxa"/>
            <w:vAlign w:val="center"/>
          </w:tcPr>
          <w:p w14:paraId="1A241CC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0,11</w:t>
            </w:r>
          </w:p>
        </w:tc>
        <w:tc>
          <w:tcPr>
            <w:tcW w:w="1630" w:type="dxa"/>
            <w:vAlign w:val="center"/>
          </w:tcPr>
          <w:p w14:paraId="7670893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Style w:val="af6"/>
                <w:rFonts w:ascii="Times New Roman" w:hAnsi="Times New Roman" w:cs="Times New Roman"/>
                <w:color w:val="auto"/>
                <w:sz w:val="18"/>
                <w:szCs w:val="18"/>
                <w:u w:val="none"/>
              </w:rPr>
              <w:t>-</w:t>
            </w:r>
          </w:p>
        </w:tc>
        <w:tc>
          <w:tcPr>
            <w:tcW w:w="1630" w:type="dxa"/>
            <w:vAlign w:val="center"/>
          </w:tcPr>
          <w:p w14:paraId="564D8A3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Style w:val="af6"/>
                <w:rFonts w:ascii="Times New Roman" w:hAnsi="Times New Roman" w:cs="Times New Roman"/>
                <w:color w:val="auto"/>
                <w:sz w:val="18"/>
                <w:szCs w:val="18"/>
                <w:u w:val="none"/>
              </w:rPr>
              <w:t>-</w:t>
            </w:r>
          </w:p>
        </w:tc>
      </w:tr>
      <w:tr w:rsidR="00171AA8" w:rsidRPr="00731FE2" w14:paraId="60124A4F" w14:textId="77777777">
        <w:trPr>
          <w:trHeight w:val="213"/>
        </w:trPr>
        <w:tc>
          <w:tcPr>
            <w:tcW w:w="709" w:type="dxa"/>
            <w:vAlign w:val="center"/>
          </w:tcPr>
          <w:p w14:paraId="7A5EFE9E" w14:textId="77777777" w:rsidR="00171AA8" w:rsidRPr="00731FE2" w:rsidRDefault="00171AA8">
            <w:pPr>
              <w:pStyle w:val="a3"/>
              <w:numPr>
                <w:ilvl w:val="0"/>
                <w:numId w:val="29"/>
              </w:numPr>
              <w:pBdr>
                <w:top w:val="none" w:sz="4" w:space="0" w:color="000000"/>
                <w:left w:val="none" w:sz="4" w:space="0" w:color="000000"/>
                <w:bottom w:val="none" w:sz="4" w:space="0" w:color="000000"/>
                <w:right w:val="none" w:sz="4" w:space="0" w:color="000000"/>
              </w:pBdr>
              <w:jc w:val="center"/>
              <w:rPr>
                <w:rStyle w:val="af6"/>
                <w:rFonts w:ascii="Times New Roman" w:hAnsi="Times New Roman" w:cs="Times New Roman"/>
                <w:color w:val="auto"/>
                <w:sz w:val="18"/>
                <w:szCs w:val="18"/>
                <w:u w:val="none"/>
              </w:rPr>
            </w:pPr>
          </w:p>
        </w:tc>
        <w:tc>
          <w:tcPr>
            <w:tcW w:w="1984" w:type="dxa"/>
            <w:vAlign w:val="center"/>
          </w:tcPr>
          <w:p w14:paraId="295AFAC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 xml:space="preserve">Котельная №18, г. Кисловодск, </w:t>
            </w:r>
          </w:p>
          <w:p w14:paraId="2254204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ул. Седлогорская, 19</w:t>
            </w:r>
          </w:p>
        </w:tc>
        <w:tc>
          <w:tcPr>
            <w:tcW w:w="1701" w:type="dxa"/>
            <w:vAlign w:val="center"/>
          </w:tcPr>
          <w:p w14:paraId="1067182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«Универсал-2»</w:t>
            </w:r>
          </w:p>
        </w:tc>
        <w:tc>
          <w:tcPr>
            <w:tcW w:w="1430" w:type="dxa"/>
            <w:vAlign w:val="center"/>
          </w:tcPr>
          <w:p w14:paraId="5E16CAF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0,294</w:t>
            </w:r>
          </w:p>
        </w:tc>
        <w:tc>
          <w:tcPr>
            <w:tcW w:w="1630" w:type="dxa"/>
            <w:vAlign w:val="center"/>
          </w:tcPr>
          <w:p w14:paraId="2B75390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w:t>
            </w:r>
          </w:p>
        </w:tc>
        <w:tc>
          <w:tcPr>
            <w:tcW w:w="1630" w:type="dxa"/>
            <w:vAlign w:val="center"/>
          </w:tcPr>
          <w:p w14:paraId="4B1A80F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w:t>
            </w:r>
          </w:p>
        </w:tc>
        <w:tc>
          <w:tcPr>
            <w:tcW w:w="1630" w:type="dxa"/>
            <w:vAlign w:val="center"/>
          </w:tcPr>
          <w:p w14:paraId="52D2440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0,12</w:t>
            </w:r>
          </w:p>
        </w:tc>
        <w:tc>
          <w:tcPr>
            <w:tcW w:w="1630" w:type="dxa"/>
            <w:vAlign w:val="center"/>
          </w:tcPr>
          <w:p w14:paraId="678847C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Style w:val="af6"/>
                <w:rFonts w:ascii="Times New Roman" w:hAnsi="Times New Roman" w:cs="Times New Roman"/>
                <w:color w:val="auto"/>
                <w:sz w:val="18"/>
                <w:szCs w:val="18"/>
                <w:u w:val="none"/>
              </w:rPr>
              <w:t>-</w:t>
            </w:r>
          </w:p>
        </w:tc>
        <w:tc>
          <w:tcPr>
            <w:tcW w:w="1630" w:type="dxa"/>
            <w:vAlign w:val="center"/>
          </w:tcPr>
          <w:p w14:paraId="7237C1C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Fonts w:ascii="Times New Roman" w:hAnsi="Times New Roman" w:cs="Times New Roman"/>
                <w:sz w:val="18"/>
                <w:szCs w:val="18"/>
              </w:rPr>
            </w:pPr>
            <w:r w:rsidRPr="00731FE2">
              <w:rPr>
                <w:rStyle w:val="af6"/>
                <w:rFonts w:ascii="Times New Roman" w:hAnsi="Times New Roman" w:cs="Times New Roman"/>
                <w:color w:val="auto"/>
                <w:sz w:val="18"/>
                <w:szCs w:val="18"/>
                <w:u w:val="none"/>
              </w:rPr>
              <w:t>-</w:t>
            </w:r>
          </w:p>
        </w:tc>
      </w:tr>
      <w:tr w:rsidR="00171AA8" w:rsidRPr="00731FE2" w14:paraId="085E433F" w14:textId="77777777">
        <w:trPr>
          <w:trHeight w:val="372"/>
        </w:trPr>
        <w:tc>
          <w:tcPr>
            <w:tcW w:w="709" w:type="dxa"/>
            <w:vMerge w:val="restart"/>
            <w:vAlign w:val="center"/>
          </w:tcPr>
          <w:p w14:paraId="38B99024" w14:textId="77777777" w:rsidR="00171AA8" w:rsidRPr="00731FE2" w:rsidRDefault="00171AA8">
            <w:pPr>
              <w:pStyle w:val="a3"/>
              <w:numPr>
                <w:ilvl w:val="0"/>
                <w:numId w:val="29"/>
              </w:numPr>
              <w:pBdr>
                <w:top w:val="none" w:sz="4" w:space="0" w:color="000000"/>
                <w:left w:val="none" w:sz="4" w:space="0" w:color="000000"/>
                <w:bottom w:val="none" w:sz="4" w:space="0" w:color="000000"/>
                <w:right w:val="none" w:sz="4" w:space="0" w:color="000000"/>
              </w:pBdr>
              <w:jc w:val="center"/>
              <w:rPr>
                <w:rStyle w:val="af6"/>
                <w:rFonts w:ascii="Times New Roman" w:hAnsi="Times New Roman" w:cs="Times New Roman"/>
                <w:color w:val="auto"/>
                <w:sz w:val="18"/>
                <w:szCs w:val="18"/>
                <w:u w:val="none"/>
              </w:rPr>
            </w:pPr>
          </w:p>
        </w:tc>
        <w:tc>
          <w:tcPr>
            <w:tcW w:w="1984" w:type="dxa"/>
            <w:vMerge w:val="restart"/>
            <w:vAlign w:val="center"/>
          </w:tcPr>
          <w:p w14:paraId="41DB8DF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 xml:space="preserve">Котельная №19, г. Кисловодск, </w:t>
            </w:r>
          </w:p>
          <w:p w14:paraId="1EE140B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«Форелевое хозяйство»</w:t>
            </w:r>
          </w:p>
        </w:tc>
        <w:tc>
          <w:tcPr>
            <w:tcW w:w="1701" w:type="dxa"/>
            <w:vAlign w:val="center"/>
          </w:tcPr>
          <w:p w14:paraId="427CE1C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ТВГ-0,75</w:t>
            </w:r>
          </w:p>
        </w:tc>
        <w:tc>
          <w:tcPr>
            <w:tcW w:w="1430" w:type="dxa"/>
            <w:vAlign w:val="center"/>
          </w:tcPr>
          <w:p w14:paraId="4BEF8B8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0,75</w:t>
            </w:r>
          </w:p>
        </w:tc>
        <w:tc>
          <w:tcPr>
            <w:tcW w:w="1630" w:type="dxa"/>
            <w:vAlign w:val="center"/>
          </w:tcPr>
          <w:p w14:paraId="3FC999C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двухтрубная</w:t>
            </w:r>
          </w:p>
        </w:tc>
        <w:tc>
          <w:tcPr>
            <w:tcW w:w="1630" w:type="dxa"/>
            <w:vMerge w:val="restart"/>
            <w:vAlign w:val="center"/>
          </w:tcPr>
          <w:p w14:paraId="341C72C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w:t>
            </w:r>
          </w:p>
        </w:tc>
        <w:tc>
          <w:tcPr>
            <w:tcW w:w="1630" w:type="dxa"/>
            <w:vMerge w:val="restart"/>
            <w:vAlign w:val="center"/>
          </w:tcPr>
          <w:p w14:paraId="426C2B3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0,024</w:t>
            </w:r>
          </w:p>
        </w:tc>
        <w:tc>
          <w:tcPr>
            <w:tcW w:w="1630" w:type="dxa"/>
            <w:vAlign w:val="center"/>
          </w:tcPr>
          <w:p w14:paraId="4AC1A3A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0,295</w:t>
            </w:r>
          </w:p>
        </w:tc>
        <w:tc>
          <w:tcPr>
            <w:tcW w:w="1630" w:type="dxa"/>
            <w:vAlign w:val="center"/>
          </w:tcPr>
          <w:p w14:paraId="01B142DA" w14:textId="77777777" w:rsidR="00171AA8" w:rsidRPr="00731FE2" w:rsidRDefault="007935AB">
            <w:pP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0,295</w:t>
            </w:r>
          </w:p>
        </w:tc>
      </w:tr>
      <w:tr w:rsidR="00171AA8" w:rsidRPr="00731FE2" w14:paraId="66C05422" w14:textId="77777777">
        <w:trPr>
          <w:trHeight w:val="427"/>
        </w:trPr>
        <w:tc>
          <w:tcPr>
            <w:tcW w:w="709" w:type="dxa"/>
            <w:vMerge/>
            <w:vAlign w:val="center"/>
          </w:tcPr>
          <w:p w14:paraId="23467526" w14:textId="77777777" w:rsidR="00171AA8" w:rsidRPr="00731FE2" w:rsidRDefault="00171AA8"/>
        </w:tc>
        <w:tc>
          <w:tcPr>
            <w:tcW w:w="1984" w:type="dxa"/>
            <w:vMerge/>
            <w:vAlign w:val="center"/>
          </w:tcPr>
          <w:p w14:paraId="6108F22F" w14:textId="77777777" w:rsidR="00171AA8" w:rsidRPr="00731FE2" w:rsidRDefault="00171AA8"/>
        </w:tc>
        <w:tc>
          <w:tcPr>
            <w:tcW w:w="1701" w:type="dxa"/>
            <w:vMerge w:val="restart"/>
            <w:vAlign w:val="center"/>
          </w:tcPr>
          <w:p w14:paraId="2F3FD94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ТВГ-0,75</w:t>
            </w:r>
          </w:p>
        </w:tc>
        <w:tc>
          <w:tcPr>
            <w:tcW w:w="1430" w:type="dxa"/>
            <w:vMerge w:val="restart"/>
            <w:vAlign w:val="center"/>
          </w:tcPr>
          <w:p w14:paraId="3F7FD6B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0,75</w:t>
            </w:r>
          </w:p>
        </w:tc>
        <w:tc>
          <w:tcPr>
            <w:tcW w:w="1630" w:type="dxa"/>
            <w:vMerge w:val="restart"/>
            <w:vAlign w:val="center"/>
          </w:tcPr>
          <w:p w14:paraId="265D9E8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w:t>
            </w:r>
          </w:p>
        </w:tc>
        <w:tc>
          <w:tcPr>
            <w:tcW w:w="1630" w:type="dxa"/>
            <w:vMerge/>
            <w:vAlign w:val="center"/>
          </w:tcPr>
          <w:p w14:paraId="7097454E" w14:textId="77777777" w:rsidR="00171AA8" w:rsidRPr="00731FE2" w:rsidRDefault="00171AA8"/>
        </w:tc>
        <w:tc>
          <w:tcPr>
            <w:tcW w:w="1630" w:type="dxa"/>
            <w:vMerge/>
            <w:vAlign w:val="center"/>
          </w:tcPr>
          <w:p w14:paraId="764ABE3D" w14:textId="77777777" w:rsidR="00171AA8" w:rsidRPr="00731FE2" w:rsidRDefault="00171AA8"/>
        </w:tc>
        <w:tc>
          <w:tcPr>
            <w:tcW w:w="1630" w:type="dxa"/>
            <w:vMerge w:val="restart"/>
            <w:vAlign w:val="center"/>
          </w:tcPr>
          <w:p w14:paraId="2C71229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w:t>
            </w:r>
          </w:p>
        </w:tc>
        <w:tc>
          <w:tcPr>
            <w:tcW w:w="1630" w:type="dxa"/>
            <w:vAlign w:val="center"/>
          </w:tcPr>
          <w:p w14:paraId="0B4810FC" w14:textId="77777777" w:rsidR="00171AA8" w:rsidRPr="00731FE2" w:rsidRDefault="007935AB">
            <w:pP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w:t>
            </w:r>
          </w:p>
        </w:tc>
      </w:tr>
      <w:tr w:rsidR="00171AA8" w:rsidRPr="00731FE2" w14:paraId="621F4D0E" w14:textId="77777777">
        <w:trPr>
          <w:trHeight w:val="213"/>
        </w:trPr>
        <w:tc>
          <w:tcPr>
            <w:tcW w:w="4394" w:type="dxa"/>
            <w:gridSpan w:val="3"/>
            <w:vMerge w:val="restart"/>
            <w:vAlign w:val="center"/>
          </w:tcPr>
          <w:p w14:paraId="7B688C3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right"/>
              <w:rPr>
                <w:rStyle w:val="af6"/>
                <w:rFonts w:ascii="Times New Roman" w:hAnsi="Times New Roman" w:cs="Times New Roman"/>
                <w:b/>
                <w:bCs/>
                <w:color w:val="auto"/>
                <w:sz w:val="18"/>
                <w:szCs w:val="18"/>
                <w:u w:val="none"/>
              </w:rPr>
            </w:pPr>
            <w:r w:rsidRPr="00731FE2">
              <w:rPr>
                <w:rStyle w:val="af6"/>
                <w:rFonts w:ascii="Times New Roman" w:hAnsi="Times New Roman" w:cs="Times New Roman"/>
                <w:b/>
                <w:bCs/>
                <w:color w:val="auto"/>
                <w:sz w:val="18"/>
                <w:szCs w:val="18"/>
                <w:u w:val="none"/>
              </w:rPr>
              <w:t>Итого:</w:t>
            </w:r>
          </w:p>
        </w:tc>
        <w:tc>
          <w:tcPr>
            <w:tcW w:w="1430" w:type="dxa"/>
            <w:vMerge w:val="restart"/>
            <w:vAlign w:val="center"/>
          </w:tcPr>
          <w:p w14:paraId="74D8217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b/>
                <w:bCs/>
                <w:color w:val="auto"/>
                <w:sz w:val="18"/>
                <w:szCs w:val="18"/>
                <w:u w:val="none"/>
              </w:rPr>
            </w:pPr>
            <w:r w:rsidRPr="00731FE2">
              <w:rPr>
                <w:rStyle w:val="af6"/>
                <w:rFonts w:ascii="Times New Roman" w:hAnsi="Times New Roman" w:cs="Times New Roman"/>
                <w:b/>
                <w:bCs/>
                <w:color w:val="auto"/>
                <w:sz w:val="18"/>
                <w:szCs w:val="18"/>
                <w:u w:val="none"/>
              </w:rPr>
              <w:t>233,91</w:t>
            </w:r>
          </w:p>
        </w:tc>
        <w:tc>
          <w:tcPr>
            <w:tcW w:w="1630" w:type="dxa"/>
            <w:vMerge w:val="restart"/>
            <w:vAlign w:val="center"/>
          </w:tcPr>
          <w:p w14:paraId="22882234" w14:textId="77777777" w:rsidR="00171AA8" w:rsidRPr="00731FE2" w:rsidRDefault="00171AA8">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b/>
                <w:bCs/>
                <w:color w:val="auto"/>
                <w:sz w:val="18"/>
                <w:szCs w:val="18"/>
                <w:u w:val="none"/>
              </w:rPr>
            </w:pPr>
          </w:p>
        </w:tc>
        <w:tc>
          <w:tcPr>
            <w:tcW w:w="1630" w:type="dxa"/>
            <w:vMerge w:val="restart"/>
            <w:vAlign w:val="center"/>
          </w:tcPr>
          <w:p w14:paraId="5B94EE3E" w14:textId="77777777" w:rsidR="00171AA8" w:rsidRPr="00731FE2" w:rsidRDefault="00171AA8">
            <w:pPr>
              <w:rPr>
                <w:b/>
                <w:bCs/>
              </w:rPr>
            </w:pPr>
          </w:p>
        </w:tc>
        <w:tc>
          <w:tcPr>
            <w:tcW w:w="1630" w:type="dxa"/>
            <w:vMerge w:val="restart"/>
            <w:vAlign w:val="center"/>
          </w:tcPr>
          <w:p w14:paraId="7B84BA0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b/>
                <w:bCs/>
                <w:color w:val="auto"/>
                <w:sz w:val="18"/>
                <w:szCs w:val="18"/>
                <w:u w:val="none"/>
              </w:rPr>
            </w:pPr>
            <w:r w:rsidRPr="00731FE2">
              <w:rPr>
                <w:rStyle w:val="af6"/>
                <w:rFonts w:ascii="Times New Roman" w:hAnsi="Times New Roman" w:cs="Times New Roman"/>
                <w:b/>
                <w:bCs/>
                <w:color w:val="auto"/>
                <w:sz w:val="18"/>
                <w:szCs w:val="18"/>
                <w:u w:val="none"/>
              </w:rPr>
              <w:t>1</w:t>
            </w:r>
          </w:p>
        </w:tc>
        <w:tc>
          <w:tcPr>
            <w:tcW w:w="1630" w:type="dxa"/>
            <w:vMerge w:val="restart"/>
            <w:vAlign w:val="center"/>
          </w:tcPr>
          <w:p w14:paraId="2DE29CC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b/>
                <w:bCs/>
                <w:color w:val="auto"/>
                <w:sz w:val="18"/>
                <w:szCs w:val="18"/>
                <w:u w:val="none"/>
              </w:rPr>
            </w:pPr>
            <w:r w:rsidRPr="00731FE2">
              <w:rPr>
                <w:rStyle w:val="af6"/>
                <w:rFonts w:ascii="Times New Roman" w:hAnsi="Times New Roman" w:cs="Times New Roman"/>
                <w:b/>
                <w:bCs/>
                <w:color w:val="auto"/>
                <w:sz w:val="18"/>
                <w:szCs w:val="18"/>
                <w:u w:val="none"/>
              </w:rPr>
              <w:t>111,546</w:t>
            </w:r>
          </w:p>
        </w:tc>
        <w:tc>
          <w:tcPr>
            <w:tcW w:w="1630" w:type="dxa"/>
            <w:vMerge w:val="restart"/>
            <w:vAlign w:val="center"/>
          </w:tcPr>
          <w:p w14:paraId="69A460B7" w14:textId="77777777" w:rsidR="00171AA8" w:rsidRPr="00731FE2" w:rsidRDefault="007935AB">
            <w:pPr>
              <w:ind w:firstLine="0"/>
              <w:jc w:val="center"/>
              <w:rPr>
                <w:rStyle w:val="af6"/>
                <w:rFonts w:ascii="Times New Roman" w:hAnsi="Times New Roman" w:cs="Times New Roman"/>
                <w:b/>
                <w:bCs/>
                <w:color w:val="auto"/>
                <w:sz w:val="18"/>
                <w:szCs w:val="18"/>
                <w:u w:val="none"/>
              </w:rPr>
            </w:pPr>
            <w:r w:rsidRPr="00731FE2">
              <w:rPr>
                <w:rStyle w:val="af6"/>
                <w:rFonts w:ascii="Times New Roman" w:hAnsi="Times New Roman" w:cs="Times New Roman"/>
                <w:b/>
                <w:bCs/>
                <w:color w:val="auto"/>
                <w:sz w:val="18"/>
                <w:szCs w:val="18"/>
                <w:u w:val="none"/>
              </w:rPr>
              <w:t>99,470</w:t>
            </w:r>
          </w:p>
        </w:tc>
      </w:tr>
    </w:tbl>
    <w:p w14:paraId="65DC0699" w14:textId="77777777" w:rsidR="00171AA8" w:rsidRPr="00731FE2" w:rsidRDefault="007935AB">
      <w:pPr>
        <w:rPr>
          <w:rFonts w:ascii="Times New Roman" w:hAnsi="Times New Roman" w:cs="Times New Roman"/>
          <w:szCs w:val="24"/>
        </w:rPr>
      </w:pPr>
      <w:r w:rsidRPr="00731FE2">
        <w:rPr>
          <w:rFonts w:ascii="Times New Roman" w:hAnsi="Times New Roman" w:cs="Times New Roman"/>
          <w:szCs w:val="24"/>
        </w:rPr>
        <w:br w:type="page" w:clear="all"/>
      </w:r>
    </w:p>
    <w:p w14:paraId="44F606BB" w14:textId="77777777" w:rsidR="00171AA8" w:rsidRPr="00731FE2" w:rsidRDefault="00EE4EC5" w:rsidP="00717AA7">
      <w:pPr>
        <w:pStyle w:val="13"/>
        <w:spacing w:after="0" w:line="240" w:lineRule="auto"/>
        <w:rPr>
          <w:rFonts w:ascii="Times New Roman" w:hAnsi="Times New Roman" w:cs="Times New Roman"/>
          <w:sz w:val="24"/>
          <w:szCs w:val="24"/>
        </w:rPr>
      </w:pPr>
      <w:bookmarkStart w:id="115" w:name="_Toc177392864"/>
      <w:r w:rsidRPr="00731FE2">
        <w:rPr>
          <w:rStyle w:val="af6"/>
          <w:rFonts w:ascii="Times New Roman" w:hAnsi="Times New Roman" w:cs="Times New Roman"/>
          <w:bCs w:val="0"/>
          <w:color w:val="auto"/>
          <w:sz w:val="24"/>
          <w:szCs w:val="24"/>
          <w:u w:val="none"/>
        </w:rPr>
        <w:lastRenderedPageBreak/>
        <w:t>ПРИЛОЖЕНИЕ 8</w:t>
      </w:r>
      <w:r w:rsidR="007935AB" w:rsidRPr="00731FE2">
        <w:rPr>
          <w:rStyle w:val="af6"/>
          <w:rFonts w:ascii="Times New Roman" w:hAnsi="Times New Roman" w:cs="Times New Roman"/>
          <w:bCs w:val="0"/>
          <w:color w:val="auto"/>
          <w:sz w:val="24"/>
          <w:szCs w:val="24"/>
          <w:u w:val="none"/>
        </w:rPr>
        <w:t xml:space="preserve"> – БАЛАНСЫ ТЕПЛОВОЙ МОЩНОСТИ И ТЕПЛОВОЙ НАГРУЗКИ ИСТОЧНИКОВ ТЕПЛОВОЙ ЭНЕРГИИ ГОРОДСКОГО ОКРУГА ГОРОДА-КУРОРТА КИСЛОВОДСКА</w:t>
      </w:r>
      <w:r w:rsidR="007935AB" w:rsidRPr="00731FE2">
        <w:rPr>
          <w:rStyle w:val="af6"/>
          <w:rFonts w:ascii="Times New Roman" w:hAnsi="Times New Roman" w:cs="Times New Roman"/>
          <w:bCs w:val="0"/>
          <w:color w:val="auto"/>
          <w:sz w:val="24"/>
          <w:szCs w:val="24"/>
          <w:u w:val="none"/>
          <w:vertAlign w:val="superscript"/>
        </w:rPr>
        <w:footnoteReference w:id="127"/>
      </w:r>
      <w:bookmarkEnd w:id="115"/>
    </w:p>
    <w:tbl>
      <w:tblPr>
        <w:tblStyle w:val="afe"/>
        <w:tblW w:w="0" w:type="auto"/>
        <w:tblInd w:w="578" w:type="dxa"/>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ayout w:type="fixed"/>
        <w:tblLook w:val="04A0" w:firstRow="1" w:lastRow="0" w:firstColumn="1" w:lastColumn="0" w:noHBand="0" w:noVBand="1"/>
      </w:tblPr>
      <w:tblGrid>
        <w:gridCol w:w="556"/>
        <w:gridCol w:w="2409"/>
        <w:gridCol w:w="1276"/>
        <w:gridCol w:w="1417"/>
        <w:gridCol w:w="1417"/>
        <w:gridCol w:w="1559"/>
        <w:gridCol w:w="992"/>
        <w:gridCol w:w="1701"/>
        <w:gridCol w:w="1399"/>
        <w:gridCol w:w="1151"/>
      </w:tblGrid>
      <w:tr w:rsidR="00171AA8" w:rsidRPr="00731FE2" w14:paraId="51EDB040" w14:textId="77777777">
        <w:trPr>
          <w:trHeight w:val="789"/>
        </w:trPr>
        <w:tc>
          <w:tcPr>
            <w:tcW w:w="556"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2D6D040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b/>
                <w:bCs/>
                <w:color w:val="auto"/>
                <w:sz w:val="18"/>
                <w:szCs w:val="18"/>
                <w:u w:val="none"/>
              </w:rPr>
            </w:pPr>
            <w:r w:rsidRPr="00731FE2">
              <w:rPr>
                <w:rStyle w:val="af6"/>
                <w:rFonts w:ascii="Times New Roman" w:hAnsi="Times New Roman" w:cs="Times New Roman"/>
                <w:b/>
                <w:bCs/>
                <w:color w:val="auto"/>
                <w:sz w:val="18"/>
                <w:szCs w:val="18"/>
                <w:u w:val="none"/>
              </w:rPr>
              <w:t>№ п/п</w:t>
            </w:r>
          </w:p>
        </w:tc>
        <w:tc>
          <w:tcPr>
            <w:tcW w:w="2409" w:type="dxa"/>
            <w:tcBorders>
              <w:top w:val="single" w:sz="8"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4A40876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b/>
                <w:bCs/>
                <w:color w:val="auto"/>
                <w:sz w:val="18"/>
                <w:szCs w:val="18"/>
                <w:u w:val="none"/>
              </w:rPr>
            </w:pPr>
            <w:r w:rsidRPr="00731FE2">
              <w:rPr>
                <w:rStyle w:val="af6"/>
                <w:rFonts w:ascii="Times New Roman" w:hAnsi="Times New Roman" w:cs="Times New Roman"/>
                <w:b/>
                <w:bCs/>
                <w:color w:val="auto"/>
                <w:sz w:val="18"/>
                <w:szCs w:val="18"/>
                <w:u w:val="none"/>
              </w:rPr>
              <w:t>Наименование источника</w:t>
            </w:r>
          </w:p>
        </w:tc>
        <w:tc>
          <w:tcPr>
            <w:tcW w:w="1276" w:type="dxa"/>
            <w:tcBorders>
              <w:top w:val="single" w:sz="8"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2897C58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b/>
                <w:bCs/>
                <w:color w:val="auto"/>
                <w:sz w:val="18"/>
                <w:szCs w:val="18"/>
                <w:u w:val="none"/>
              </w:rPr>
            </w:pPr>
            <w:r w:rsidRPr="00731FE2">
              <w:rPr>
                <w:rStyle w:val="af6"/>
                <w:rFonts w:ascii="Times New Roman" w:hAnsi="Times New Roman" w:cs="Times New Roman"/>
                <w:b/>
                <w:bCs/>
                <w:color w:val="auto"/>
                <w:sz w:val="18"/>
                <w:szCs w:val="18"/>
                <w:u w:val="none"/>
              </w:rPr>
              <w:t>Установленная мощность, Гкал/час</w:t>
            </w:r>
          </w:p>
        </w:tc>
        <w:tc>
          <w:tcPr>
            <w:tcW w:w="1417" w:type="dxa"/>
            <w:tcBorders>
              <w:top w:val="single" w:sz="8"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6182761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b/>
                <w:bCs/>
                <w:color w:val="auto"/>
                <w:sz w:val="18"/>
                <w:szCs w:val="18"/>
                <w:u w:val="none"/>
              </w:rPr>
            </w:pPr>
            <w:r w:rsidRPr="00731FE2">
              <w:rPr>
                <w:rStyle w:val="af6"/>
                <w:rFonts w:ascii="Times New Roman" w:hAnsi="Times New Roman" w:cs="Times New Roman"/>
                <w:b/>
                <w:bCs/>
                <w:color w:val="auto"/>
                <w:sz w:val="18"/>
                <w:szCs w:val="18"/>
                <w:u w:val="none"/>
              </w:rPr>
              <w:t>Располагаемая мощность, Гкал/час</w:t>
            </w:r>
          </w:p>
        </w:tc>
        <w:tc>
          <w:tcPr>
            <w:tcW w:w="1417" w:type="dxa"/>
            <w:tcBorders>
              <w:top w:val="single" w:sz="8"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64F9D96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b/>
                <w:bCs/>
                <w:color w:val="auto"/>
                <w:sz w:val="18"/>
                <w:szCs w:val="18"/>
                <w:u w:val="none"/>
              </w:rPr>
            </w:pPr>
            <w:r w:rsidRPr="00731FE2">
              <w:rPr>
                <w:rStyle w:val="af6"/>
                <w:rFonts w:ascii="Times New Roman" w:hAnsi="Times New Roman" w:cs="Times New Roman"/>
                <w:b/>
                <w:bCs/>
                <w:color w:val="auto"/>
                <w:sz w:val="18"/>
                <w:szCs w:val="18"/>
                <w:u w:val="none"/>
              </w:rPr>
              <w:t>Собственные нужды, Гкал/час</w:t>
            </w:r>
          </w:p>
        </w:tc>
        <w:tc>
          <w:tcPr>
            <w:tcW w:w="1559" w:type="dxa"/>
            <w:tcBorders>
              <w:top w:val="single" w:sz="8"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6015237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b/>
                <w:bCs/>
                <w:color w:val="auto"/>
                <w:sz w:val="18"/>
                <w:szCs w:val="18"/>
                <w:u w:val="none"/>
              </w:rPr>
            </w:pPr>
            <w:r w:rsidRPr="00731FE2">
              <w:rPr>
                <w:rStyle w:val="af6"/>
                <w:rFonts w:ascii="Times New Roman" w:hAnsi="Times New Roman" w:cs="Times New Roman"/>
                <w:b/>
                <w:bCs/>
                <w:color w:val="auto"/>
                <w:sz w:val="18"/>
                <w:szCs w:val="18"/>
                <w:u w:val="none"/>
              </w:rPr>
              <w:t>Располагаемая мощность без учета СН, Гкал/час</w:t>
            </w:r>
          </w:p>
        </w:tc>
        <w:tc>
          <w:tcPr>
            <w:tcW w:w="992" w:type="dxa"/>
            <w:tcBorders>
              <w:top w:val="single" w:sz="8"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25FEAC8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b/>
                <w:bCs/>
                <w:color w:val="auto"/>
                <w:sz w:val="18"/>
                <w:szCs w:val="18"/>
                <w:u w:val="none"/>
              </w:rPr>
            </w:pPr>
            <w:r w:rsidRPr="00731FE2">
              <w:rPr>
                <w:rStyle w:val="af6"/>
                <w:rFonts w:ascii="Times New Roman" w:hAnsi="Times New Roman" w:cs="Times New Roman"/>
                <w:b/>
                <w:bCs/>
                <w:color w:val="auto"/>
                <w:sz w:val="18"/>
                <w:szCs w:val="18"/>
                <w:u w:val="none"/>
              </w:rPr>
              <w:t>Потери, Гкал/час</w:t>
            </w:r>
          </w:p>
        </w:tc>
        <w:tc>
          <w:tcPr>
            <w:tcW w:w="1701" w:type="dxa"/>
            <w:tcBorders>
              <w:top w:val="single" w:sz="8"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362C98A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b/>
                <w:bCs/>
                <w:color w:val="auto"/>
                <w:sz w:val="18"/>
                <w:szCs w:val="18"/>
                <w:u w:val="none"/>
              </w:rPr>
            </w:pPr>
            <w:r w:rsidRPr="00731FE2">
              <w:rPr>
                <w:rStyle w:val="af6"/>
                <w:rFonts w:ascii="Times New Roman" w:hAnsi="Times New Roman" w:cs="Times New Roman"/>
                <w:b/>
                <w:bCs/>
                <w:color w:val="auto"/>
                <w:sz w:val="18"/>
                <w:szCs w:val="18"/>
                <w:u w:val="none"/>
              </w:rPr>
              <w:t>Подключенная нагрузка ОВ, Гкал/час</w:t>
            </w:r>
          </w:p>
        </w:tc>
        <w:tc>
          <w:tcPr>
            <w:tcW w:w="1399" w:type="dxa"/>
            <w:tcBorders>
              <w:top w:val="single" w:sz="8"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67E8CC3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b/>
                <w:bCs/>
                <w:color w:val="auto"/>
                <w:sz w:val="18"/>
                <w:szCs w:val="18"/>
                <w:u w:val="none"/>
              </w:rPr>
            </w:pPr>
            <w:r w:rsidRPr="00731FE2">
              <w:rPr>
                <w:rStyle w:val="af6"/>
                <w:rFonts w:ascii="Times New Roman" w:hAnsi="Times New Roman" w:cs="Times New Roman"/>
                <w:b/>
                <w:bCs/>
                <w:color w:val="auto"/>
                <w:sz w:val="18"/>
                <w:szCs w:val="18"/>
                <w:u w:val="none"/>
              </w:rPr>
              <w:t>Подключенная нагрузка ГВС, Гкал/час</w:t>
            </w:r>
          </w:p>
        </w:tc>
        <w:tc>
          <w:tcPr>
            <w:tcW w:w="1151" w:type="dxa"/>
            <w:tcBorders>
              <w:top w:val="single" w:sz="8"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68EFC88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b/>
                <w:bCs/>
                <w:color w:val="auto"/>
                <w:sz w:val="18"/>
                <w:szCs w:val="18"/>
                <w:u w:val="none"/>
              </w:rPr>
            </w:pPr>
            <w:r w:rsidRPr="00731FE2">
              <w:rPr>
                <w:rStyle w:val="af6"/>
                <w:rFonts w:ascii="Times New Roman" w:hAnsi="Times New Roman" w:cs="Times New Roman"/>
                <w:b/>
                <w:bCs/>
                <w:color w:val="auto"/>
                <w:sz w:val="18"/>
                <w:szCs w:val="18"/>
                <w:u w:val="none"/>
              </w:rPr>
              <w:t>Резерв/ дефицит тепловой мощности</w:t>
            </w:r>
          </w:p>
        </w:tc>
      </w:tr>
      <w:tr w:rsidR="00171AA8" w:rsidRPr="00731FE2" w14:paraId="01DD0E9B" w14:textId="77777777">
        <w:trPr>
          <w:trHeight w:val="235"/>
        </w:trPr>
        <w:tc>
          <w:tcPr>
            <w:tcW w:w="556"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268F57B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b/>
                <w:bCs/>
                <w:color w:val="auto"/>
                <w:sz w:val="18"/>
                <w:szCs w:val="18"/>
                <w:u w:val="none"/>
              </w:rPr>
            </w:pPr>
            <w:r w:rsidRPr="00731FE2">
              <w:rPr>
                <w:rStyle w:val="af6"/>
                <w:rFonts w:ascii="Times New Roman" w:hAnsi="Times New Roman" w:cs="Times New Roman"/>
                <w:b/>
                <w:bCs/>
                <w:color w:val="auto"/>
                <w:sz w:val="18"/>
                <w:szCs w:val="18"/>
                <w:u w:val="none"/>
              </w:rPr>
              <w:t> </w:t>
            </w:r>
          </w:p>
        </w:tc>
        <w:tc>
          <w:tcPr>
            <w:tcW w:w="13321" w:type="dxa"/>
            <w:gridSpan w:val="9"/>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6425313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b/>
                <w:bCs/>
                <w:color w:val="auto"/>
                <w:sz w:val="18"/>
                <w:szCs w:val="18"/>
                <w:u w:val="none"/>
              </w:rPr>
            </w:pPr>
            <w:r w:rsidRPr="00731FE2">
              <w:rPr>
                <w:rStyle w:val="af6"/>
                <w:rFonts w:ascii="Times New Roman" w:hAnsi="Times New Roman" w:cs="Times New Roman"/>
                <w:b/>
                <w:bCs/>
                <w:color w:val="auto"/>
                <w:sz w:val="18"/>
                <w:szCs w:val="18"/>
                <w:u w:val="none"/>
              </w:rPr>
              <w:t>На балансе ООО «ЛУКОЙЛ-Ростовэнерго»</w:t>
            </w:r>
          </w:p>
        </w:tc>
      </w:tr>
      <w:tr w:rsidR="00171AA8" w:rsidRPr="00731FE2" w14:paraId="3D310991" w14:textId="77777777">
        <w:tc>
          <w:tcPr>
            <w:tcW w:w="556"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1885EFB5" w14:textId="77777777" w:rsidR="00171AA8" w:rsidRPr="00731FE2" w:rsidRDefault="00171AA8" w:rsidP="007832E7">
            <w:pPr>
              <w:pStyle w:val="a3"/>
              <w:numPr>
                <w:ilvl w:val="0"/>
                <w:numId w:val="41"/>
              </w:numPr>
              <w:pBdr>
                <w:top w:val="none" w:sz="4" w:space="0" w:color="000000"/>
                <w:left w:val="none" w:sz="4" w:space="0" w:color="000000"/>
                <w:bottom w:val="none" w:sz="4" w:space="0" w:color="000000"/>
                <w:right w:val="none" w:sz="4" w:space="0" w:color="000000"/>
              </w:pBdr>
              <w:ind w:left="0" w:firstLine="363"/>
              <w:contextualSpacing w:val="0"/>
              <w:jc w:val="center"/>
              <w:rPr>
                <w:rStyle w:val="af6"/>
                <w:rFonts w:ascii="Times New Roman" w:hAnsi="Times New Roman" w:cs="Times New Roman"/>
                <w:color w:val="auto"/>
                <w:sz w:val="18"/>
                <w:szCs w:val="18"/>
                <w:u w:val="none"/>
              </w:rPr>
            </w:pPr>
          </w:p>
        </w:tc>
        <w:tc>
          <w:tcPr>
            <w:tcW w:w="2409"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6549AA5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КТЭЦ</w:t>
            </w:r>
          </w:p>
        </w:tc>
        <w:tc>
          <w:tcPr>
            <w:tcW w:w="1276"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561926F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130</w:t>
            </w:r>
          </w:p>
        </w:tc>
        <w:tc>
          <w:tcPr>
            <w:tcW w:w="1417"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1DF9D87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130</w:t>
            </w:r>
          </w:p>
        </w:tc>
        <w:tc>
          <w:tcPr>
            <w:tcW w:w="1417"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14F2CA5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0,31</w:t>
            </w:r>
          </w:p>
        </w:tc>
        <w:tc>
          <w:tcPr>
            <w:tcW w:w="1559"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4149356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129,69</w:t>
            </w:r>
          </w:p>
        </w:tc>
        <w:tc>
          <w:tcPr>
            <w:tcW w:w="992"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3092D3C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13,012</w:t>
            </w:r>
          </w:p>
        </w:tc>
        <w:tc>
          <w:tcPr>
            <w:tcW w:w="1701"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0BD2B8C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60,235</w:t>
            </w:r>
          </w:p>
        </w:tc>
        <w:tc>
          <w:tcPr>
            <w:tcW w:w="1399"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2E079B7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19,32</w:t>
            </w:r>
          </w:p>
        </w:tc>
        <w:tc>
          <w:tcPr>
            <w:tcW w:w="1151"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74E2D5C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37,123</w:t>
            </w:r>
          </w:p>
        </w:tc>
      </w:tr>
      <w:tr w:rsidR="00171AA8" w:rsidRPr="00731FE2" w14:paraId="3515854B" w14:textId="77777777">
        <w:tc>
          <w:tcPr>
            <w:tcW w:w="556"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1D48CF54" w14:textId="77777777" w:rsidR="00171AA8" w:rsidRPr="00731FE2" w:rsidRDefault="00171AA8" w:rsidP="007832E7">
            <w:pPr>
              <w:pStyle w:val="a3"/>
              <w:numPr>
                <w:ilvl w:val="0"/>
                <w:numId w:val="41"/>
              </w:numPr>
              <w:pBdr>
                <w:top w:val="none" w:sz="4" w:space="0" w:color="000000"/>
                <w:left w:val="none" w:sz="4" w:space="0" w:color="000000"/>
                <w:bottom w:val="none" w:sz="4" w:space="0" w:color="000000"/>
                <w:right w:val="none" w:sz="4" w:space="0" w:color="000000"/>
              </w:pBdr>
              <w:ind w:left="0" w:firstLine="363"/>
              <w:contextualSpacing w:val="0"/>
              <w:jc w:val="center"/>
              <w:rPr>
                <w:rStyle w:val="af6"/>
                <w:rFonts w:ascii="Times New Roman" w:hAnsi="Times New Roman" w:cs="Times New Roman"/>
                <w:color w:val="auto"/>
                <w:sz w:val="18"/>
                <w:szCs w:val="18"/>
                <w:u w:val="none"/>
              </w:rPr>
            </w:pPr>
          </w:p>
        </w:tc>
        <w:tc>
          <w:tcPr>
            <w:tcW w:w="2409"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0D46803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Котельная Запикетная</w:t>
            </w:r>
          </w:p>
        </w:tc>
        <w:tc>
          <w:tcPr>
            <w:tcW w:w="1276"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64B1886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44,89</w:t>
            </w:r>
          </w:p>
        </w:tc>
        <w:tc>
          <w:tcPr>
            <w:tcW w:w="1417"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09C9FF9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44,89</w:t>
            </w:r>
          </w:p>
        </w:tc>
        <w:tc>
          <w:tcPr>
            <w:tcW w:w="1417"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255F954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0,863</w:t>
            </w:r>
          </w:p>
        </w:tc>
        <w:tc>
          <w:tcPr>
            <w:tcW w:w="1559"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5EEEB8E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44,027</w:t>
            </w:r>
          </w:p>
        </w:tc>
        <w:tc>
          <w:tcPr>
            <w:tcW w:w="992"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0739712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5,463</w:t>
            </w:r>
          </w:p>
        </w:tc>
        <w:tc>
          <w:tcPr>
            <w:tcW w:w="1701"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41B5E3B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20,208</w:t>
            </w:r>
          </w:p>
        </w:tc>
        <w:tc>
          <w:tcPr>
            <w:tcW w:w="1399"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79ECDBE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7,231</w:t>
            </w:r>
          </w:p>
        </w:tc>
        <w:tc>
          <w:tcPr>
            <w:tcW w:w="1151"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0EBE497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11,127</w:t>
            </w:r>
          </w:p>
        </w:tc>
      </w:tr>
      <w:tr w:rsidR="00171AA8" w:rsidRPr="00731FE2" w14:paraId="07982010" w14:textId="77777777">
        <w:trPr>
          <w:trHeight w:val="7"/>
        </w:trPr>
        <w:tc>
          <w:tcPr>
            <w:tcW w:w="556"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15A75C0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b/>
                <w:bCs/>
                <w:color w:val="auto"/>
                <w:sz w:val="18"/>
                <w:szCs w:val="18"/>
                <w:u w:val="none"/>
              </w:rPr>
            </w:pPr>
            <w:r w:rsidRPr="00731FE2">
              <w:rPr>
                <w:rStyle w:val="af6"/>
                <w:rFonts w:ascii="Times New Roman" w:hAnsi="Times New Roman" w:cs="Times New Roman"/>
                <w:b/>
                <w:bCs/>
                <w:color w:val="auto"/>
                <w:sz w:val="18"/>
                <w:szCs w:val="18"/>
                <w:u w:val="none"/>
              </w:rPr>
              <w:t> </w:t>
            </w:r>
          </w:p>
        </w:tc>
        <w:tc>
          <w:tcPr>
            <w:tcW w:w="2409"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50821A7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b/>
                <w:bCs/>
                <w:color w:val="auto"/>
                <w:sz w:val="18"/>
                <w:szCs w:val="18"/>
                <w:u w:val="none"/>
              </w:rPr>
            </w:pPr>
            <w:r w:rsidRPr="00731FE2">
              <w:rPr>
                <w:rStyle w:val="af6"/>
                <w:rFonts w:ascii="Times New Roman" w:hAnsi="Times New Roman" w:cs="Times New Roman"/>
                <w:b/>
                <w:bCs/>
                <w:color w:val="auto"/>
                <w:sz w:val="18"/>
                <w:szCs w:val="18"/>
                <w:u w:val="none"/>
              </w:rPr>
              <w:t>Итого</w:t>
            </w:r>
          </w:p>
        </w:tc>
        <w:tc>
          <w:tcPr>
            <w:tcW w:w="1276"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2A3EEBC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b/>
                <w:bCs/>
                <w:color w:val="auto"/>
                <w:sz w:val="18"/>
                <w:szCs w:val="18"/>
                <w:u w:val="none"/>
              </w:rPr>
            </w:pPr>
            <w:r w:rsidRPr="00731FE2">
              <w:rPr>
                <w:rStyle w:val="af6"/>
                <w:rFonts w:ascii="Times New Roman" w:hAnsi="Times New Roman" w:cs="Times New Roman"/>
                <w:b/>
                <w:bCs/>
                <w:color w:val="auto"/>
                <w:sz w:val="18"/>
                <w:szCs w:val="18"/>
                <w:u w:val="none"/>
              </w:rPr>
              <w:t>174,89</w:t>
            </w:r>
          </w:p>
        </w:tc>
        <w:tc>
          <w:tcPr>
            <w:tcW w:w="1417"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4AE7036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b/>
                <w:bCs/>
                <w:color w:val="auto"/>
                <w:sz w:val="18"/>
                <w:szCs w:val="18"/>
                <w:u w:val="none"/>
              </w:rPr>
            </w:pPr>
            <w:r w:rsidRPr="00731FE2">
              <w:rPr>
                <w:rStyle w:val="af6"/>
                <w:rFonts w:ascii="Times New Roman" w:hAnsi="Times New Roman" w:cs="Times New Roman"/>
                <w:b/>
                <w:bCs/>
                <w:color w:val="auto"/>
                <w:sz w:val="18"/>
                <w:szCs w:val="18"/>
                <w:u w:val="none"/>
              </w:rPr>
              <w:t>174,89</w:t>
            </w:r>
          </w:p>
        </w:tc>
        <w:tc>
          <w:tcPr>
            <w:tcW w:w="1417"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1B79B04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b/>
                <w:bCs/>
                <w:color w:val="auto"/>
                <w:sz w:val="18"/>
                <w:szCs w:val="18"/>
                <w:u w:val="none"/>
              </w:rPr>
            </w:pPr>
            <w:r w:rsidRPr="00731FE2">
              <w:rPr>
                <w:rStyle w:val="af6"/>
                <w:rFonts w:ascii="Times New Roman" w:hAnsi="Times New Roman" w:cs="Times New Roman"/>
                <w:b/>
                <w:bCs/>
                <w:color w:val="auto"/>
                <w:sz w:val="18"/>
                <w:szCs w:val="18"/>
                <w:u w:val="none"/>
              </w:rPr>
              <w:t>1,173</w:t>
            </w:r>
          </w:p>
        </w:tc>
        <w:tc>
          <w:tcPr>
            <w:tcW w:w="1559"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266B657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b/>
                <w:bCs/>
                <w:color w:val="auto"/>
                <w:sz w:val="18"/>
                <w:szCs w:val="18"/>
                <w:u w:val="none"/>
              </w:rPr>
            </w:pPr>
            <w:r w:rsidRPr="00731FE2">
              <w:rPr>
                <w:rStyle w:val="af6"/>
                <w:rFonts w:ascii="Times New Roman" w:hAnsi="Times New Roman" w:cs="Times New Roman"/>
                <w:b/>
                <w:bCs/>
                <w:color w:val="auto"/>
                <w:sz w:val="18"/>
                <w:szCs w:val="18"/>
                <w:u w:val="none"/>
              </w:rPr>
              <w:t>173,717</w:t>
            </w:r>
          </w:p>
        </w:tc>
        <w:tc>
          <w:tcPr>
            <w:tcW w:w="992"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011F398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b/>
                <w:bCs/>
                <w:color w:val="auto"/>
                <w:sz w:val="18"/>
                <w:szCs w:val="18"/>
                <w:u w:val="none"/>
              </w:rPr>
            </w:pPr>
            <w:r w:rsidRPr="00731FE2">
              <w:rPr>
                <w:rStyle w:val="af6"/>
                <w:rFonts w:ascii="Times New Roman" w:hAnsi="Times New Roman" w:cs="Times New Roman"/>
                <w:b/>
                <w:bCs/>
                <w:color w:val="auto"/>
                <w:sz w:val="18"/>
                <w:szCs w:val="18"/>
                <w:u w:val="none"/>
              </w:rPr>
              <w:t>18,475</w:t>
            </w:r>
          </w:p>
        </w:tc>
        <w:tc>
          <w:tcPr>
            <w:tcW w:w="1701"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25EEC09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b/>
                <w:bCs/>
                <w:color w:val="auto"/>
                <w:sz w:val="18"/>
                <w:szCs w:val="18"/>
                <w:u w:val="none"/>
              </w:rPr>
            </w:pPr>
            <w:r w:rsidRPr="00731FE2">
              <w:rPr>
                <w:rStyle w:val="af6"/>
                <w:rFonts w:ascii="Times New Roman" w:hAnsi="Times New Roman" w:cs="Times New Roman"/>
                <w:b/>
                <w:bCs/>
                <w:color w:val="auto"/>
                <w:sz w:val="18"/>
                <w:szCs w:val="18"/>
                <w:u w:val="none"/>
              </w:rPr>
              <w:t>80,443</w:t>
            </w:r>
          </w:p>
        </w:tc>
        <w:tc>
          <w:tcPr>
            <w:tcW w:w="1399"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535F44C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b/>
                <w:bCs/>
                <w:color w:val="auto"/>
                <w:sz w:val="18"/>
                <w:szCs w:val="18"/>
                <w:u w:val="none"/>
              </w:rPr>
            </w:pPr>
            <w:r w:rsidRPr="00731FE2">
              <w:rPr>
                <w:rStyle w:val="af6"/>
                <w:rFonts w:ascii="Times New Roman" w:hAnsi="Times New Roman" w:cs="Times New Roman"/>
                <w:b/>
                <w:bCs/>
                <w:color w:val="auto"/>
                <w:sz w:val="18"/>
                <w:szCs w:val="18"/>
                <w:u w:val="none"/>
              </w:rPr>
              <w:t>26,551</w:t>
            </w:r>
          </w:p>
        </w:tc>
        <w:tc>
          <w:tcPr>
            <w:tcW w:w="1151"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08DFAA6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b/>
                <w:bCs/>
                <w:color w:val="auto"/>
                <w:sz w:val="18"/>
                <w:szCs w:val="18"/>
                <w:u w:val="none"/>
              </w:rPr>
            </w:pPr>
            <w:r w:rsidRPr="00731FE2">
              <w:rPr>
                <w:rStyle w:val="af6"/>
                <w:rFonts w:ascii="Times New Roman" w:hAnsi="Times New Roman" w:cs="Times New Roman"/>
                <w:b/>
                <w:bCs/>
                <w:color w:val="auto"/>
                <w:sz w:val="18"/>
                <w:szCs w:val="18"/>
                <w:u w:val="none"/>
              </w:rPr>
              <w:t>-</w:t>
            </w:r>
          </w:p>
        </w:tc>
      </w:tr>
      <w:tr w:rsidR="00171AA8" w:rsidRPr="00731FE2" w14:paraId="5127B6E7" w14:textId="77777777">
        <w:trPr>
          <w:trHeight w:val="235"/>
        </w:trPr>
        <w:tc>
          <w:tcPr>
            <w:tcW w:w="13877" w:type="dxa"/>
            <w:gridSpan w:val="10"/>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7212AA9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center"/>
              <w:rPr>
                <w:rStyle w:val="af6"/>
                <w:rFonts w:ascii="Times New Roman" w:hAnsi="Times New Roman" w:cs="Times New Roman"/>
                <w:b/>
                <w:bCs/>
                <w:color w:val="auto"/>
                <w:sz w:val="18"/>
                <w:szCs w:val="18"/>
                <w:u w:val="none"/>
              </w:rPr>
            </w:pPr>
            <w:r w:rsidRPr="00731FE2">
              <w:rPr>
                <w:rStyle w:val="af6"/>
                <w:rFonts w:ascii="Times New Roman" w:hAnsi="Times New Roman" w:cs="Times New Roman"/>
                <w:b/>
                <w:bCs/>
                <w:color w:val="auto"/>
                <w:sz w:val="18"/>
                <w:szCs w:val="18"/>
                <w:u w:val="none"/>
              </w:rPr>
              <w:t>На балансе ООО «Газпром Теплоэнерго Кисловодск»</w:t>
            </w:r>
          </w:p>
        </w:tc>
      </w:tr>
      <w:tr w:rsidR="00171AA8" w:rsidRPr="00731FE2" w14:paraId="76620126" w14:textId="77777777">
        <w:tc>
          <w:tcPr>
            <w:tcW w:w="556"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7BA0978D" w14:textId="77777777" w:rsidR="00171AA8" w:rsidRPr="00731FE2" w:rsidRDefault="00171AA8" w:rsidP="007832E7">
            <w:pPr>
              <w:pStyle w:val="a3"/>
              <w:numPr>
                <w:ilvl w:val="0"/>
                <w:numId w:val="42"/>
              </w:numPr>
              <w:pBdr>
                <w:top w:val="none" w:sz="4" w:space="0" w:color="000000"/>
                <w:left w:val="none" w:sz="4" w:space="0" w:color="000000"/>
                <w:bottom w:val="none" w:sz="4" w:space="0" w:color="000000"/>
                <w:right w:val="none" w:sz="4" w:space="0" w:color="000000"/>
              </w:pBdr>
              <w:ind w:left="0" w:firstLine="363"/>
              <w:contextualSpacing w:val="0"/>
              <w:jc w:val="center"/>
              <w:rPr>
                <w:rStyle w:val="af6"/>
                <w:rFonts w:ascii="Times New Roman" w:hAnsi="Times New Roman" w:cs="Times New Roman"/>
                <w:color w:val="auto"/>
                <w:sz w:val="18"/>
                <w:szCs w:val="18"/>
                <w:u w:val="none"/>
              </w:rPr>
            </w:pPr>
          </w:p>
        </w:tc>
        <w:tc>
          <w:tcPr>
            <w:tcW w:w="2409"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5AE3020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Котельная Минеральная, 25</w:t>
            </w:r>
          </w:p>
        </w:tc>
        <w:tc>
          <w:tcPr>
            <w:tcW w:w="1276"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51D249B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52</w:t>
            </w:r>
          </w:p>
        </w:tc>
        <w:tc>
          <w:tcPr>
            <w:tcW w:w="1417"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0B62FD0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22,62</w:t>
            </w:r>
          </w:p>
        </w:tc>
        <w:tc>
          <w:tcPr>
            <w:tcW w:w="1417"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6F90A4B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0,9</w:t>
            </w:r>
          </w:p>
        </w:tc>
        <w:tc>
          <w:tcPr>
            <w:tcW w:w="1559"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1B0BF7C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21,72</w:t>
            </w:r>
          </w:p>
        </w:tc>
        <w:tc>
          <w:tcPr>
            <w:tcW w:w="992"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352CFAA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4,624</w:t>
            </w:r>
          </w:p>
        </w:tc>
        <w:tc>
          <w:tcPr>
            <w:tcW w:w="1701"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1998104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16,226</w:t>
            </w:r>
          </w:p>
        </w:tc>
        <w:tc>
          <w:tcPr>
            <w:tcW w:w="1399"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79B5AEE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6,378</w:t>
            </w:r>
          </w:p>
        </w:tc>
        <w:tc>
          <w:tcPr>
            <w:tcW w:w="1151"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4A0329A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-5,509</w:t>
            </w:r>
          </w:p>
        </w:tc>
      </w:tr>
      <w:tr w:rsidR="00171AA8" w:rsidRPr="00731FE2" w14:paraId="69F856A2" w14:textId="77777777">
        <w:tc>
          <w:tcPr>
            <w:tcW w:w="556"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28D2F6F5" w14:textId="77777777" w:rsidR="00171AA8" w:rsidRPr="00731FE2" w:rsidRDefault="00171AA8" w:rsidP="007832E7">
            <w:pPr>
              <w:pStyle w:val="a3"/>
              <w:numPr>
                <w:ilvl w:val="0"/>
                <w:numId w:val="42"/>
              </w:numPr>
              <w:pBdr>
                <w:top w:val="none" w:sz="4" w:space="0" w:color="000000"/>
                <w:left w:val="none" w:sz="4" w:space="0" w:color="000000"/>
                <w:bottom w:val="none" w:sz="4" w:space="0" w:color="000000"/>
                <w:right w:val="none" w:sz="4" w:space="0" w:color="000000"/>
              </w:pBdr>
              <w:ind w:left="0" w:firstLine="363"/>
              <w:contextualSpacing w:val="0"/>
              <w:jc w:val="center"/>
              <w:rPr>
                <w:rStyle w:val="af6"/>
                <w:rFonts w:ascii="Times New Roman" w:hAnsi="Times New Roman" w:cs="Times New Roman"/>
                <w:color w:val="auto"/>
                <w:sz w:val="18"/>
                <w:szCs w:val="18"/>
                <w:u w:val="none"/>
              </w:rPr>
            </w:pPr>
          </w:p>
        </w:tc>
        <w:tc>
          <w:tcPr>
            <w:tcW w:w="2409"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4058DB1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Котельная Зеленогорская,5</w:t>
            </w:r>
          </w:p>
        </w:tc>
        <w:tc>
          <w:tcPr>
            <w:tcW w:w="1276"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2BD8C84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52,5</w:t>
            </w:r>
          </w:p>
        </w:tc>
        <w:tc>
          <w:tcPr>
            <w:tcW w:w="1417"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3688595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18,8</w:t>
            </w:r>
          </w:p>
        </w:tc>
        <w:tc>
          <w:tcPr>
            <w:tcW w:w="1417"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27D7F04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0,748</w:t>
            </w:r>
          </w:p>
        </w:tc>
        <w:tc>
          <w:tcPr>
            <w:tcW w:w="1559"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222A1BA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18,052</w:t>
            </w:r>
          </w:p>
        </w:tc>
        <w:tc>
          <w:tcPr>
            <w:tcW w:w="992"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4472B3A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3,139</w:t>
            </w:r>
          </w:p>
        </w:tc>
        <w:tc>
          <w:tcPr>
            <w:tcW w:w="1701"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7F63B28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5,54</w:t>
            </w:r>
          </w:p>
        </w:tc>
        <w:tc>
          <w:tcPr>
            <w:tcW w:w="1399"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2EC6196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3,489</w:t>
            </w:r>
          </w:p>
        </w:tc>
        <w:tc>
          <w:tcPr>
            <w:tcW w:w="1151"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00CA3FA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5,973</w:t>
            </w:r>
          </w:p>
        </w:tc>
      </w:tr>
      <w:tr w:rsidR="00171AA8" w:rsidRPr="00731FE2" w14:paraId="6845EBD5" w14:textId="77777777">
        <w:tc>
          <w:tcPr>
            <w:tcW w:w="556"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77207FCF" w14:textId="77777777" w:rsidR="00171AA8" w:rsidRPr="00731FE2" w:rsidRDefault="00171AA8" w:rsidP="007832E7">
            <w:pPr>
              <w:pStyle w:val="a3"/>
              <w:numPr>
                <w:ilvl w:val="0"/>
                <w:numId w:val="42"/>
              </w:numPr>
              <w:pBdr>
                <w:top w:val="none" w:sz="4" w:space="0" w:color="000000"/>
                <w:left w:val="none" w:sz="4" w:space="0" w:color="000000"/>
                <w:bottom w:val="none" w:sz="4" w:space="0" w:color="000000"/>
                <w:right w:val="none" w:sz="4" w:space="0" w:color="000000"/>
              </w:pBdr>
              <w:ind w:left="0" w:firstLine="363"/>
              <w:contextualSpacing w:val="0"/>
              <w:jc w:val="center"/>
              <w:rPr>
                <w:rStyle w:val="af6"/>
                <w:rFonts w:ascii="Times New Roman" w:hAnsi="Times New Roman" w:cs="Times New Roman"/>
                <w:color w:val="auto"/>
                <w:sz w:val="18"/>
                <w:szCs w:val="18"/>
                <w:u w:val="none"/>
              </w:rPr>
            </w:pPr>
          </w:p>
        </w:tc>
        <w:tc>
          <w:tcPr>
            <w:tcW w:w="2409"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34D4104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Котельная Набережная, 1</w:t>
            </w:r>
          </w:p>
        </w:tc>
        <w:tc>
          <w:tcPr>
            <w:tcW w:w="1276"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468132C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60</w:t>
            </w:r>
          </w:p>
        </w:tc>
        <w:tc>
          <w:tcPr>
            <w:tcW w:w="1417"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6586FFD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55,85</w:t>
            </w:r>
          </w:p>
        </w:tc>
        <w:tc>
          <w:tcPr>
            <w:tcW w:w="1417"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0711063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2,223</w:t>
            </w:r>
          </w:p>
        </w:tc>
        <w:tc>
          <w:tcPr>
            <w:tcW w:w="1559"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3328272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53,627</w:t>
            </w:r>
          </w:p>
        </w:tc>
        <w:tc>
          <w:tcPr>
            <w:tcW w:w="992"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2673AFD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14,681</w:t>
            </w:r>
          </w:p>
        </w:tc>
        <w:tc>
          <w:tcPr>
            <w:tcW w:w="1701"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3F2E3B7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32,634</w:t>
            </w:r>
          </w:p>
        </w:tc>
        <w:tc>
          <w:tcPr>
            <w:tcW w:w="1399"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6BAC85C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15,873</w:t>
            </w:r>
          </w:p>
        </w:tc>
        <w:tc>
          <w:tcPr>
            <w:tcW w:w="1151"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5494B73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-9,561</w:t>
            </w:r>
          </w:p>
        </w:tc>
      </w:tr>
      <w:tr w:rsidR="00171AA8" w:rsidRPr="00731FE2" w14:paraId="2948646F" w14:textId="77777777">
        <w:tc>
          <w:tcPr>
            <w:tcW w:w="556"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5D753A52" w14:textId="77777777" w:rsidR="00171AA8" w:rsidRPr="00731FE2" w:rsidRDefault="00171AA8" w:rsidP="007832E7">
            <w:pPr>
              <w:pStyle w:val="a3"/>
              <w:numPr>
                <w:ilvl w:val="0"/>
                <w:numId w:val="42"/>
              </w:numPr>
              <w:pBdr>
                <w:top w:val="none" w:sz="4" w:space="0" w:color="000000"/>
                <w:left w:val="none" w:sz="4" w:space="0" w:color="000000"/>
                <w:bottom w:val="none" w:sz="4" w:space="0" w:color="000000"/>
                <w:right w:val="none" w:sz="4" w:space="0" w:color="000000"/>
              </w:pBdr>
              <w:ind w:left="0" w:firstLine="363"/>
              <w:contextualSpacing w:val="0"/>
              <w:jc w:val="center"/>
              <w:rPr>
                <w:rStyle w:val="af6"/>
                <w:rFonts w:ascii="Times New Roman" w:hAnsi="Times New Roman" w:cs="Times New Roman"/>
                <w:color w:val="auto"/>
                <w:sz w:val="18"/>
                <w:szCs w:val="18"/>
                <w:u w:val="none"/>
              </w:rPr>
            </w:pPr>
          </w:p>
        </w:tc>
        <w:tc>
          <w:tcPr>
            <w:tcW w:w="2409"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754B43D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Котельная Островского, 35</w:t>
            </w:r>
          </w:p>
        </w:tc>
        <w:tc>
          <w:tcPr>
            <w:tcW w:w="1276"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63775A9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16,8</w:t>
            </w:r>
          </w:p>
        </w:tc>
        <w:tc>
          <w:tcPr>
            <w:tcW w:w="1417"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74DB1C8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16,67</w:t>
            </w:r>
          </w:p>
        </w:tc>
        <w:tc>
          <w:tcPr>
            <w:tcW w:w="1417"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14E1964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0,663</w:t>
            </w:r>
          </w:p>
        </w:tc>
        <w:tc>
          <w:tcPr>
            <w:tcW w:w="1559"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2D4EB66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16,007</w:t>
            </w:r>
          </w:p>
        </w:tc>
        <w:tc>
          <w:tcPr>
            <w:tcW w:w="992"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3FB83F0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2,237</w:t>
            </w:r>
          </w:p>
        </w:tc>
        <w:tc>
          <w:tcPr>
            <w:tcW w:w="1701"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1A56861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13,923</w:t>
            </w:r>
          </w:p>
        </w:tc>
        <w:tc>
          <w:tcPr>
            <w:tcW w:w="1399"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04633A6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3,059</w:t>
            </w:r>
          </w:p>
        </w:tc>
        <w:tc>
          <w:tcPr>
            <w:tcW w:w="1151"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6DC4930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-3,212</w:t>
            </w:r>
          </w:p>
        </w:tc>
      </w:tr>
      <w:tr w:rsidR="00171AA8" w:rsidRPr="00731FE2" w14:paraId="2CB00B24" w14:textId="77777777">
        <w:tc>
          <w:tcPr>
            <w:tcW w:w="556"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5941AC7F" w14:textId="77777777" w:rsidR="00171AA8" w:rsidRPr="00731FE2" w:rsidRDefault="00171AA8" w:rsidP="007832E7">
            <w:pPr>
              <w:pStyle w:val="a3"/>
              <w:numPr>
                <w:ilvl w:val="0"/>
                <w:numId w:val="42"/>
              </w:numPr>
              <w:pBdr>
                <w:top w:val="none" w:sz="4" w:space="0" w:color="000000"/>
                <w:left w:val="none" w:sz="4" w:space="0" w:color="000000"/>
                <w:bottom w:val="none" w:sz="4" w:space="0" w:color="000000"/>
                <w:right w:val="none" w:sz="4" w:space="0" w:color="000000"/>
              </w:pBdr>
              <w:ind w:left="0" w:firstLine="363"/>
              <w:contextualSpacing w:val="0"/>
              <w:jc w:val="center"/>
              <w:rPr>
                <w:rStyle w:val="af6"/>
                <w:rFonts w:ascii="Times New Roman" w:hAnsi="Times New Roman" w:cs="Times New Roman"/>
                <w:color w:val="auto"/>
                <w:sz w:val="18"/>
                <w:szCs w:val="18"/>
                <w:u w:val="none"/>
              </w:rPr>
            </w:pPr>
          </w:p>
        </w:tc>
        <w:tc>
          <w:tcPr>
            <w:tcW w:w="2409"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47836A7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Котельная Замковая, 72</w:t>
            </w:r>
          </w:p>
        </w:tc>
        <w:tc>
          <w:tcPr>
            <w:tcW w:w="1276"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17991BE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18,6</w:t>
            </w:r>
          </w:p>
        </w:tc>
        <w:tc>
          <w:tcPr>
            <w:tcW w:w="1417"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67CFFBE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16,66</w:t>
            </w:r>
          </w:p>
        </w:tc>
        <w:tc>
          <w:tcPr>
            <w:tcW w:w="1417"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30FFB35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0,663</w:t>
            </w:r>
          </w:p>
        </w:tc>
        <w:tc>
          <w:tcPr>
            <w:tcW w:w="1559"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5C901C6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15,997</w:t>
            </w:r>
          </w:p>
        </w:tc>
        <w:tc>
          <w:tcPr>
            <w:tcW w:w="992"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1F9F32D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2,376</w:t>
            </w:r>
          </w:p>
        </w:tc>
        <w:tc>
          <w:tcPr>
            <w:tcW w:w="1701"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396DAF7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6,845</w:t>
            </w:r>
          </w:p>
        </w:tc>
        <w:tc>
          <w:tcPr>
            <w:tcW w:w="1399"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3FF0D71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3,876</w:t>
            </w:r>
          </w:p>
        </w:tc>
        <w:tc>
          <w:tcPr>
            <w:tcW w:w="1151"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1577B6E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2,899</w:t>
            </w:r>
          </w:p>
        </w:tc>
      </w:tr>
      <w:tr w:rsidR="00171AA8" w:rsidRPr="00731FE2" w14:paraId="7622CF71" w14:textId="77777777">
        <w:tc>
          <w:tcPr>
            <w:tcW w:w="556"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78A83466" w14:textId="77777777" w:rsidR="00171AA8" w:rsidRPr="00731FE2" w:rsidRDefault="00171AA8" w:rsidP="007832E7">
            <w:pPr>
              <w:pStyle w:val="a3"/>
              <w:numPr>
                <w:ilvl w:val="0"/>
                <w:numId w:val="42"/>
              </w:numPr>
              <w:pBdr>
                <w:top w:val="none" w:sz="4" w:space="0" w:color="000000"/>
                <w:left w:val="none" w:sz="4" w:space="0" w:color="000000"/>
                <w:bottom w:val="none" w:sz="4" w:space="0" w:color="000000"/>
                <w:right w:val="none" w:sz="4" w:space="0" w:color="000000"/>
              </w:pBdr>
              <w:ind w:left="0" w:firstLine="363"/>
              <w:contextualSpacing w:val="0"/>
              <w:jc w:val="center"/>
              <w:rPr>
                <w:rStyle w:val="af6"/>
                <w:rFonts w:ascii="Times New Roman" w:hAnsi="Times New Roman" w:cs="Times New Roman"/>
                <w:color w:val="auto"/>
                <w:sz w:val="18"/>
                <w:szCs w:val="18"/>
                <w:u w:val="none"/>
              </w:rPr>
            </w:pPr>
          </w:p>
        </w:tc>
        <w:tc>
          <w:tcPr>
            <w:tcW w:w="2409"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67EF227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Котельная Фоменко, 110</w:t>
            </w:r>
          </w:p>
        </w:tc>
        <w:tc>
          <w:tcPr>
            <w:tcW w:w="1276"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5C0A215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14,72</w:t>
            </w:r>
          </w:p>
        </w:tc>
        <w:tc>
          <w:tcPr>
            <w:tcW w:w="1417"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0BAE1F5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13,64</w:t>
            </w:r>
          </w:p>
        </w:tc>
        <w:tc>
          <w:tcPr>
            <w:tcW w:w="1417"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31F3FA9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0,543</w:t>
            </w:r>
          </w:p>
        </w:tc>
        <w:tc>
          <w:tcPr>
            <w:tcW w:w="1559"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77E0FAA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13,097</w:t>
            </w:r>
          </w:p>
        </w:tc>
        <w:tc>
          <w:tcPr>
            <w:tcW w:w="992"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0CFC87F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1,762</w:t>
            </w:r>
          </w:p>
        </w:tc>
        <w:tc>
          <w:tcPr>
            <w:tcW w:w="1701"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4EF8406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6,462</w:t>
            </w:r>
          </w:p>
        </w:tc>
        <w:tc>
          <w:tcPr>
            <w:tcW w:w="1399"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24CC9CE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3,429</w:t>
            </w:r>
          </w:p>
        </w:tc>
        <w:tc>
          <w:tcPr>
            <w:tcW w:w="1151"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58ACBED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1,444</w:t>
            </w:r>
          </w:p>
        </w:tc>
      </w:tr>
      <w:tr w:rsidR="00171AA8" w:rsidRPr="00731FE2" w14:paraId="126B15CC" w14:textId="77777777">
        <w:tc>
          <w:tcPr>
            <w:tcW w:w="556"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307D13DE" w14:textId="77777777" w:rsidR="00171AA8" w:rsidRPr="00731FE2" w:rsidRDefault="00171AA8" w:rsidP="007832E7">
            <w:pPr>
              <w:pStyle w:val="a3"/>
              <w:numPr>
                <w:ilvl w:val="0"/>
                <w:numId w:val="42"/>
              </w:numPr>
              <w:pBdr>
                <w:top w:val="none" w:sz="4" w:space="0" w:color="000000"/>
                <w:left w:val="none" w:sz="4" w:space="0" w:color="000000"/>
                <w:bottom w:val="none" w:sz="4" w:space="0" w:color="000000"/>
                <w:right w:val="none" w:sz="4" w:space="0" w:color="000000"/>
              </w:pBdr>
              <w:ind w:left="0" w:firstLine="363"/>
              <w:contextualSpacing w:val="0"/>
              <w:jc w:val="center"/>
              <w:rPr>
                <w:rStyle w:val="af6"/>
                <w:rFonts w:ascii="Times New Roman" w:hAnsi="Times New Roman" w:cs="Times New Roman"/>
                <w:color w:val="auto"/>
                <w:sz w:val="18"/>
                <w:szCs w:val="18"/>
                <w:u w:val="none"/>
              </w:rPr>
            </w:pPr>
          </w:p>
        </w:tc>
        <w:tc>
          <w:tcPr>
            <w:tcW w:w="2409"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4970023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Котельная Катыхина, 155</w:t>
            </w:r>
          </w:p>
        </w:tc>
        <w:tc>
          <w:tcPr>
            <w:tcW w:w="1276"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6910E3C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3</w:t>
            </w:r>
          </w:p>
        </w:tc>
        <w:tc>
          <w:tcPr>
            <w:tcW w:w="1417"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47FEF1D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2,47</w:t>
            </w:r>
          </w:p>
        </w:tc>
        <w:tc>
          <w:tcPr>
            <w:tcW w:w="1417"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1A90361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0,098</w:t>
            </w:r>
          </w:p>
        </w:tc>
        <w:tc>
          <w:tcPr>
            <w:tcW w:w="1559"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2979108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2,372</w:t>
            </w:r>
          </w:p>
        </w:tc>
        <w:tc>
          <w:tcPr>
            <w:tcW w:w="992"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247B55D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0,353</w:t>
            </w:r>
          </w:p>
        </w:tc>
        <w:tc>
          <w:tcPr>
            <w:tcW w:w="1701"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2A991AA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1,436</w:t>
            </w:r>
          </w:p>
        </w:tc>
        <w:tc>
          <w:tcPr>
            <w:tcW w:w="1399"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4EA07B0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0,621</w:t>
            </w:r>
          </w:p>
        </w:tc>
        <w:tc>
          <w:tcPr>
            <w:tcW w:w="1151"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7D9D30E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-0,038</w:t>
            </w:r>
          </w:p>
        </w:tc>
      </w:tr>
      <w:tr w:rsidR="00171AA8" w:rsidRPr="00731FE2" w14:paraId="6A9E784F" w14:textId="77777777">
        <w:tc>
          <w:tcPr>
            <w:tcW w:w="556"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312FE5FD" w14:textId="77777777" w:rsidR="00171AA8" w:rsidRPr="00731FE2" w:rsidRDefault="00171AA8" w:rsidP="007832E7">
            <w:pPr>
              <w:pStyle w:val="a3"/>
              <w:numPr>
                <w:ilvl w:val="0"/>
                <w:numId w:val="42"/>
              </w:numPr>
              <w:pBdr>
                <w:top w:val="none" w:sz="4" w:space="0" w:color="000000"/>
                <w:left w:val="none" w:sz="4" w:space="0" w:color="000000"/>
                <w:bottom w:val="none" w:sz="4" w:space="0" w:color="000000"/>
                <w:right w:val="none" w:sz="4" w:space="0" w:color="000000"/>
              </w:pBdr>
              <w:ind w:left="0" w:firstLine="363"/>
              <w:contextualSpacing w:val="0"/>
              <w:jc w:val="center"/>
              <w:rPr>
                <w:rStyle w:val="af6"/>
                <w:rFonts w:ascii="Times New Roman" w:hAnsi="Times New Roman" w:cs="Times New Roman"/>
                <w:color w:val="auto"/>
                <w:sz w:val="18"/>
                <w:szCs w:val="18"/>
                <w:u w:val="none"/>
              </w:rPr>
            </w:pPr>
          </w:p>
        </w:tc>
        <w:tc>
          <w:tcPr>
            <w:tcW w:w="2409"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1596DB3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Котельная Чкалова, 17</w:t>
            </w:r>
          </w:p>
        </w:tc>
        <w:tc>
          <w:tcPr>
            <w:tcW w:w="1276"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5764078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0,744</w:t>
            </w:r>
          </w:p>
        </w:tc>
        <w:tc>
          <w:tcPr>
            <w:tcW w:w="1417"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33816AE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0,6</w:t>
            </w:r>
          </w:p>
        </w:tc>
        <w:tc>
          <w:tcPr>
            <w:tcW w:w="1417"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06EF2E3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0,024</w:t>
            </w:r>
          </w:p>
        </w:tc>
        <w:tc>
          <w:tcPr>
            <w:tcW w:w="1559"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20CC7E9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0,576</w:t>
            </w:r>
          </w:p>
        </w:tc>
        <w:tc>
          <w:tcPr>
            <w:tcW w:w="992"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60226BA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0,077</w:t>
            </w:r>
          </w:p>
        </w:tc>
        <w:tc>
          <w:tcPr>
            <w:tcW w:w="1701"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2388FA5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0,132</w:t>
            </w:r>
          </w:p>
        </w:tc>
        <w:tc>
          <w:tcPr>
            <w:tcW w:w="1399"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58F82A6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w:t>
            </w:r>
          </w:p>
        </w:tc>
        <w:tc>
          <w:tcPr>
            <w:tcW w:w="1151"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437E981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0,367</w:t>
            </w:r>
          </w:p>
        </w:tc>
      </w:tr>
      <w:tr w:rsidR="00171AA8" w:rsidRPr="00731FE2" w14:paraId="79F94862" w14:textId="77777777">
        <w:tc>
          <w:tcPr>
            <w:tcW w:w="556"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5C7A5E7E" w14:textId="77777777" w:rsidR="00171AA8" w:rsidRPr="00731FE2" w:rsidRDefault="00171AA8" w:rsidP="007832E7">
            <w:pPr>
              <w:pStyle w:val="a3"/>
              <w:numPr>
                <w:ilvl w:val="0"/>
                <w:numId w:val="42"/>
              </w:numPr>
              <w:pBdr>
                <w:top w:val="none" w:sz="4" w:space="0" w:color="000000"/>
                <w:left w:val="none" w:sz="4" w:space="0" w:color="000000"/>
                <w:bottom w:val="none" w:sz="4" w:space="0" w:color="000000"/>
                <w:right w:val="none" w:sz="4" w:space="0" w:color="000000"/>
              </w:pBdr>
              <w:ind w:left="0" w:firstLine="363"/>
              <w:contextualSpacing w:val="0"/>
              <w:jc w:val="center"/>
              <w:rPr>
                <w:rStyle w:val="af6"/>
                <w:rFonts w:ascii="Times New Roman" w:hAnsi="Times New Roman" w:cs="Times New Roman"/>
                <w:color w:val="auto"/>
                <w:sz w:val="18"/>
                <w:szCs w:val="18"/>
                <w:u w:val="none"/>
              </w:rPr>
            </w:pPr>
          </w:p>
        </w:tc>
        <w:tc>
          <w:tcPr>
            <w:tcW w:w="2409"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5D87E1E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Котельная Чкалова, 44</w:t>
            </w:r>
          </w:p>
        </w:tc>
        <w:tc>
          <w:tcPr>
            <w:tcW w:w="1276"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40F2953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0,63</w:t>
            </w:r>
          </w:p>
        </w:tc>
        <w:tc>
          <w:tcPr>
            <w:tcW w:w="1417"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355241B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0,49</w:t>
            </w:r>
          </w:p>
        </w:tc>
        <w:tc>
          <w:tcPr>
            <w:tcW w:w="1417"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2FAF8C7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0,02</w:t>
            </w:r>
          </w:p>
        </w:tc>
        <w:tc>
          <w:tcPr>
            <w:tcW w:w="1559"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7CAD085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0,47</w:t>
            </w:r>
          </w:p>
        </w:tc>
        <w:tc>
          <w:tcPr>
            <w:tcW w:w="992"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15262AF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0,063</w:t>
            </w:r>
          </w:p>
        </w:tc>
        <w:tc>
          <w:tcPr>
            <w:tcW w:w="1701"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744BA15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0,103</w:t>
            </w:r>
          </w:p>
        </w:tc>
        <w:tc>
          <w:tcPr>
            <w:tcW w:w="1399"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147995B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w:t>
            </w:r>
          </w:p>
        </w:tc>
        <w:tc>
          <w:tcPr>
            <w:tcW w:w="1151"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17718B4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0,305</w:t>
            </w:r>
          </w:p>
        </w:tc>
      </w:tr>
      <w:tr w:rsidR="00171AA8" w:rsidRPr="00731FE2" w14:paraId="3B4ED2CC" w14:textId="77777777">
        <w:tc>
          <w:tcPr>
            <w:tcW w:w="556"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6B5AC1C6" w14:textId="77777777" w:rsidR="00171AA8" w:rsidRPr="00731FE2" w:rsidRDefault="00171AA8" w:rsidP="007832E7">
            <w:pPr>
              <w:pStyle w:val="a3"/>
              <w:numPr>
                <w:ilvl w:val="0"/>
                <w:numId w:val="42"/>
              </w:numPr>
              <w:pBdr>
                <w:top w:val="none" w:sz="4" w:space="0" w:color="000000"/>
                <w:left w:val="none" w:sz="4" w:space="0" w:color="000000"/>
                <w:bottom w:val="none" w:sz="4" w:space="0" w:color="000000"/>
                <w:right w:val="none" w:sz="4" w:space="0" w:color="000000"/>
              </w:pBdr>
              <w:ind w:left="0" w:firstLine="363"/>
              <w:contextualSpacing w:val="0"/>
              <w:jc w:val="center"/>
              <w:rPr>
                <w:rStyle w:val="af6"/>
                <w:rFonts w:ascii="Times New Roman" w:hAnsi="Times New Roman" w:cs="Times New Roman"/>
                <w:color w:val="auto"/>
                <w:sz w:val="18"/>
                <w:szCs w:val="18"/>
                <w:u w:val="none"/>
              </w:rPr>
            </w:pPr>
          </w:p>
        </w:tc>
        <w:tc>
          <w:tcPr>
            <w:tcW w:w="2409"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13C8B19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Котельная Чкалова, 60а</w:t>
            </w:r>
          </w:p>
        </w:tc>
        <w:tc>
          <w:tcPr>
            <w:tcW w:w="1276"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155257B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0,294</w:t>
            </w:r>
          </w:p>
        </w:tc>
        <w:tc>
          <w:tcPr>
            <w:tcW w:w="1417"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12FB90C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0,26</w:t>
            </w:r>
          </w:p>
        </w:tc>
        <w:tc>
          <w:tcPr>
            <w:tcW w:w="1417"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57EDC37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0,01</w:t>
            </w:r>
          </w:p>
        </w:tc>
        <w:tc>
          <w:tcPr>
            <w:tcW w:w="1559"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577157C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0,25</w:t>
            </w:r>
          </w:p>
        </w:tc>
        <w:tc>
          <w:tcPr>
            <w:tcW w:w="992"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3241E83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0,032</w:t>
            </w:r>
          </w:p>
        </w:tc>
        <w:tc>
          <w:tcPr>
            <w:tcW w:w="1701"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2576DEF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0,048</w:t>
            </w:r>
          </w:p>
        </w:tc>
        <w:tc>
          <w:tcPr>
            <w:tcW w:w="1399"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5C54D17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w:t>
            </w:r>
          </w:p>
        </w:tc>
        <w:tc>
          <w:tcPr>
            <w:tcW w:w="1151"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3CF5C33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0,17</w:t>
            </w:r>
          </w:p>
        </w:tc>
      </w:tr>
      <w:tr w:rsidR="00171AA8" w:rsidRPr="00731FE2" w14:paraId="7B47EAEE" w14:textId="77777777">
        <w:tc>
          <w:tcPr>
            <w:tcW w:w="556"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59F9B054" w14:textId="77777777" w:rsidR="00171AA8" w:rsidRPr="00731FE2" w:rsidRDefault="00171AA8" w:rsidP="007832E7">
            <w:pPr>
              <w:pStyle w:val="a3"/>
              <w:numPr>
                <w:ilvl w:val="0"/>
                <w:numId w:val="42"/>
              </w:numPr>
              <w:pBdr>
                <w:top w:val="none" w:sz="4" w:space="0" w:color="000000"/>
                <w:left w:val="none" w:sz="4" w:space="0" w:color="000000"/>
                <w:bottom w:val="none" w:sz="4" w:space="0" w:color="000000"/>
                <w:right w:val="none" w:sz="4" w:space="0" w:color="000000"/>
              </w:pBdr>
              <w:ind w:left="0" w:firstLine="363"/>
              <w:contextualSpacing w:val="0"/>
              <w:jc w:val="center"/>
              <w:rPr>
                <w:rStyle w:val="af6"/>
                <w:rFonts w:ascii="Times New Roman" w:hAnsi="Times New Roman" w:cs="Times New Roman"/>
                <w:color w:val="auto"/>
                <w:sz w:val="18"/>
                <w:szCs w:val="18"/>
                <w:u w:val="none"/>
              </w:rPr>
            </w:pPr>
          </w:p>
        </w:tc>
        <w:tc>
          <w:tcPr>
            <w:tcW w:w="2409"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5AEE66A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Котельная Подгорная, 45</w:t>
            </w:r>
          </w:p>
        </w:tc>
        <w:tc>
          <w:tcPr>
            <w:tcW w:w="1276"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06E4C9D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0,3</w:t>
            </w:r>
          </w:p>
        </w:tc>
        <w:tc>
          <w:tcPr>
            <w:tcW w:w="1417"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1221222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0,22</w:t>
            </w:r>
          </w:p>
        </w:tc>
        <w:tc>
          <w:tcPr>
            <w:tcW w:w="1417"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1C27866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0,009</w:t>
            </w:r>
          </w:p>
        </w:tc>
        <w:tc>
          <w:tcPr>
            <w:tcW w:w="1559"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335C40F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0,211</w:t>
            </w:r>
          </w:p>
        </w:tc>
        <w:tc>
          <w:tcPr>
            <w:tcW w:w="992"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7535F16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0,029</w:t>
            </w:r>
          </w:p>
        </w:tc>
        <w:tc>
          <w:tcPr>
            <w:tcW w:w="1701"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317A6E1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0,133</w:t>
            </w:r>
          </w:p>
        </w:tc>
        <w:tc>
          <w:tcPr>
            <w:tcW w:w="1399"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40DEE77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w:t>
            </w:r>
          </w:p>
        </w:tc>
        <w:tc>
          <w:tcPr>
            <w:tcW w:w="1151"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42636C8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0,05</w:t>
            </w:r>
          </w:p>
        </w:tc>
      </w:tr>
      <w:tr w:rsidR="00171AA8" w:rsidRPr="00731FE2" w14:paraId="0E814F92" w14:textId="77777777">
        <w:tc>
          <w:tcPr>
            <w:tcW w:w="556"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110CB5E2" w14:textId="77777777" w:rsidR="00171AA8" w:rsidRPr="00731FE2" w:rsidRDefault="00171AA8" w:rsidP="007832E7">
            <w:pPr>
              <w:pStyle w:val="a3"/>
              <w:numPr>
                <w:ilvl w:val="0"/>
                <w:numId w:val="42"/>
              </w:numPr>
              <w:pBdr>
                <w:top w:val="none" w:sz="4" w:space="0" w:color="000000"/>
                <w:left w:val="none" w:sz="4" w:space="0" w:color="000000"/>
                <w:bottom w:val="none" w:sz="4" w:space="0" w:color="000000"/>
                <w:right w:val="none" w:sz="4" w:space="0" w:color="000000"/>
              </w:pBdr>
              <w:ind w:left="0" w:firstLine="363"/>
              <w:contextualSpacing w:val="0"/>
              <w:jc w:val="center"/>
              <w:rPr>
                <w:rStyle w:val="af6"/>
                <w:rFonts w:ascii="Times New Roman" w:hAnsi="Times New Roman" w:cs="Times New Roman"/>
                <w:color w:val="auto"/>
                <w:sz w:val="18"/>
                <w:szCs w:val="18"/>
                <w:u w:val="none"/>
              </w:rPr>
            </w:pPr>
          </w:p>
        </w:tc>
        <w:tc>
          <w:tcPr>
            <w:tcW w:w="2409"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2FAA57A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Котельная Победы, 34</w:t>
            </w:r>
          </w:p>
        </w:tc>
        <w:tc>
          <w:tcPr>
            <w:tcW w:w="1276"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34F240A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0,396</w:t>
            </w:r>
          </w:p>
        </w:tc>
        <w:tc>
          <w:tcPr>
            <w:tcW w:w="1417"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4CA6C7A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0,12</w:t>
            </w:r>
          </w:p>
        </w:tc>
        <w:tc>
          <w:tcPr>
            <w:tcW w:w="1417"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3545C64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0,005</w:t>
            </w:r>
          </w:p>
        </w:tc>
        <w:tc>
          <w:tcPr>
            <w:tcW w:w="1559"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50D47A9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0,115</w:t>
            </w:r>
          </w:p>
        </w:tc>
        <w:tc>
          <w:tcPr>
            <w:tcW w:w="992"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0270DDA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0,018</w:t>
            </w:r>
          </w:p>
        </w:tc>
        <w:tc>
          <w:tcPr>
            <w:tcW w:w="1701"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3EF4633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0,063</w:t>
            </w:r>
          </w:p>
        </w:tc>
        <w:tc>
          <w:tcPr>
            <w:tcW w:w="1399"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408E8E5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w:t>
            </w:r>
          </w:p>
        </w:tc>
        <w:tc>
          <w:tcPr>
            <w:tcW w:w="1151"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37F6B4C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0,003</w:t>
            </w:r>
          </w:p>
        </w:tc>
      </w:tr>
      <w:tr w:rsidR="00171AA8" w:rsidRPr="00731FE2" w14:paraId="243043B9" w14:textId="77777777">
        <w:tc>
          <w:tcPr>
            <w:tcW w:w="556"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11D64665" w14:textId="77777777" w:rsidR="00171AA8" w:rsidRPr="00731FE2" w:rsidRDefault="00171AA8" w:rsidP="007832E7">
            <w:pPr>
              <w:pStyle w:val="a3"/>
              <w:numPr>
                <w:ilvl w:val="0"/>
                <w:numId w:val="42"/>
              </w:numPr>
              <w:pBdr>
                <w:top w:val="none" w:sz="4" w:space="0" w:color="000000"/>
                <w:left w:val="none" w:sz="4" w:space="0" w:color="000000"/>
                <w:bottom w:val="none" w:sz="4" w:space="0" w:color="000000"/>
                <w:right w:val="none" w:sz="4" w:space="0" w:color="000000"/>
              </w:pBdr>
              <w:ind w:left="0" w:firstLine="363"/>
              <w:contextualSpacing w:val="0"/>
              <w:jc w:val="center"/>
              <w:rPr>
                <w:rStyle w:val="af6"/>
                <w:rFonts w:ascii="Times New Roman" w:hAnsi="Times New Roman" w:cs="Times New Roman"/>
                <w:color w:val="auto"/>
                <w:sz w:val="18"/>
                <w:szCs w:val="18"/>
                <w:u w:val="none"/>
              </w:rPr>
            </w:pPr>
          </w:p>
        </w:tc>
        <w:tc>
          <w:tcPr>
            <w:tcW w:w="2409"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6457469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Котельная Седлогорская, 1</w:t>
            </w:r>
          </w:p>
        </w:tc>
        <w:tc>
          <w:tcPr>
            <w:tcW w:w="1276"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033AF32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0,39</w:t>
            </w:r>
          </w:p>
        </w:tc>
        <w:tc>
          <w:tcPr>
            <w:tcW w:w="1417"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078F0E2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0,338</w:t>
            </w:r>
          </w:p>
        </w:tc>
        <w:tc>
          <w:tcPr>
            <w:tcW w:w="1417"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161E2EE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0,013</w:t>
            </w:r>
          </w:p>
        </w:tc>
        <w:tc>
          <w:tcPr>
            <w:tcW w:w="1559"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1EFB459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0,325</w:t>
            </w:r>
          </w:p>
        </w:tc>
        <w:tc>
          <w:tcPr>
            <w:tcW w:w="992"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28AA1E2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0,042</w:t>
            </w:r>
          </w:p>
        </w:tc>
        <w:tc>
          <w:tcPr>
            <w:tcW w:w="1701"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2153309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0,174</w:t>
            </w:r>
          </w:p>
        </w:tc>
        <w:tc>
          <w:tcPr>
            <w:tcW w:w="1399"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0F7B18F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w:t>
            </w:r>
          </w:p>
        </w:tc>
        <w:tc>
          <w:tcPr>
            <w:tcW w:w="1151"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00785A6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0,109</w:t>
            </w:r>
          </w:p>
        </w:tc>
      </w:tr>
      <w:tr w:rsidR="00171AA8" w:rsidRPr="00731FE2" w14:paraId="58D4DD4D" w14:textId="77777777">
        <w:tc>
          <w:tcPr>
            <w:tcW w:w="556"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6AA2D16E" w14:textId="77777777" w:rsidR="00171AA8" w:rsidRPr="00731FE2" w:rsidRDefault="00171AA8" w:rsidP="007832E7">
            <w:pPr>
              <w:pStyle w:val="a3"/>
              <w:numPr>
                <w:ilvl w:val="0"/>
                <w:numId w:val="42"/>
              </w:numPr>
              <w:pBdr>
                <w:top w:val="none" w:sz="4" w:space="0" w:color="000000"/>
                <w:left w:val="none" w:sz="4" w:space="0" w:color="000000"/>
                <w:bottom w:val="none" w:sz="4" w:space="0" w:color="000000"/>
                <w:right w:val="none" w:sz="4" w:space="0" w:color="000000"/>
              </w:pBdr>
              <w:ind w:left="0" w:firstLine="363"/>
              <w:contextualSpacing w:val="0"/>
              <w:jc w:val="center"/>
              <w:rPr>
                <w:rStyle w:val="af6"/>
                <w:rFonts w:ascii="Times New Roman" w:hAnsi="Times New Roman" w:cs="Times New Roman"/>
                <w:color w:val="auto"/>
                <w:sz w:val="18"/>
                <w:szCs w:val="18"/>
                <w:u w:val="none"/>
              </w:rPr>
            </w:pPr>
          </w:p>
        </w:tc>
        <w:tc>
          <w:tcPr>
            <w:tcW w:w="2409"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0349660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Котельная Аджарская, 19</w:t>
            </w:r>
          </w:p>
        </w:tc>
        <w:tc>
          <w:tcPr>
            <w:tcW w:w="1276"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31DB875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10,5</w:t>
            </w:r>
          </w:p>
        </w:tc>
        <w:tc>
          <w:tcPr>
            <w:tcW w:w="1417"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4DE4C17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9,05</w:t>
            </w:r>
          </w:p>
        </w:tc>
        <w:tc>
          <w:tcPr>
            <w:tcW w:w="1417"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5BDE07E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0,36</w:t>
            </w:r>
          </w:p>
        </w:tc>
        <w:tc>
          <w:tcPr>
            <w:tcW w:w="1559"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6FE232C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8,69</w:t>
            </w:r>
          </w:p>
        </w:tc>
        <w:tc>
          <w:tcPr>
            <w:tcW w:w="992"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53C32B4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1,125</w:t>
            </w:r>
          </w:p>
        </w:tc>
        <w:tc>
          <w:tcPr>
            <w:tcW w:w="1701"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015F1530"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1,355</w:t>
            </w:r>
          </w:p>
        </w:tc>
        <w:tc>
          <w:tcPr>
            <w:tcW w:w="1399"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37BC8B3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0,525</w:t>
            </w:r>
          </w:p>
        </w:tc>
        <w:tc>
          <w:tcPr>
            <w:tcW w:w="1151"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57364A7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5,685</w:t>
            </w:r>
          </w:p>
        </w:tc>
      </w:tr>
      <w:tr w:rsidR="00171AA8" w:rsidRPr="00731FE2" w14:paraId="1FEE8451" w14:textId="77777777">
        <w:tc>
          <w:tcPr>
            <w:tcW w:w="556"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793AB3C7" w14:textId="77777777" w:rsidR="00171AA8" w:rsidRPr="00731FE2" w:rsidRDefault="00171AA8" w:rsidP="007832E7">
            <w:pPr>
              <w:pStyle w:val="a3"/>
              <w:numPr>
                <w:ilvl w:val="0"/>
                <w:numId w:val="42"/>
              </w:numPr>
              <w:pBdr>
                <w:top w:val="none" w:sz="4" w:space="0" w:color="000000"/>
                <w:left w:val="none" w:sz="4" w:space="0" w:color="000000"/>
                <w:bottom w:val="none" w:sz="4" w:space="0" w:color="000000"/>
                <w:right w:val="none" w:sz="4" w:space="0" w:color="000000"/>
              </w:pBdr>
              <w:ind w:left="0" w:firstLine="363"/>
              <w:contextualSpacing w:val="0"/>
              <w:jc w:val="center"/>
              <w:rPr>
                <w:rStyle w:val="af6"/>
                <w:rFonts w:ascii="Times New Roman" w:hAnsi="Times New Roman" w:cs="Times New Roman"/>
                <w:color w:val="auto"/>
                <w:sz w:val="18"/>
                <w:szCs w:val="18"/>
                <w:u w:val="none"/>
              </w:rPr>
            </w:pPr>
          </w:p>
        </w:tc>
        <w:tc>
          <w:tcPr>
            <w:tcW w:w="2409"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5C0FCD3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Котельная Вашкевича, 7</w:t>
            </w:r>
          </w:p>
        </w:tc>
        <w:tc>
          <w:tcPr>
            <w:tcW w:w="1276"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6540441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0,462</w:t>
            </w:r>
          </w:p>
        </w:tc>
        <w:tc>
          <w:tcPr>
            <w:tcW w:w="1417"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6D811E6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0,421</w:t>
            </w:r>
          </w:p>
        </w:tc>
        <w:tc>
          <w:tcPr>
            <w:tcW w:w="1417"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0D77BBB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0,017</w:t>
            </w:r>
          </w:p>
        </w:tc>
        <w:tc>
          <w:tcPr>
            <w:tcW w:w="1559"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4569502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0,404</w:t>
            </w:r>
          </w:p>
        </w:tc>
        <w:tc>
          <w:tcPr>
            <w:tcW w:w="992"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74346E2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0,058</w:t>
            </w:r>
          </w:p>
        </w:tc>
        <w:tc>
          <w:tcPr>
            <w:tcW w:w="1701"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1A73091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0,174</w:t>
            </w:r>
          </w:p>
        </w:tc>
        <w:tc>
          <w:tcPr>
            <w:tcW w:w="1399"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4A317ED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w:t>
            </w:r>
          </w:p>
        </w:tc>
        <w:tc>
          <w:tcPr>
            <w:tcW w:w="1151"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67DCE29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0,172</w:t>
            </w:r>
          </w:p>
        </w:tc>
      </w:tr>
      <w:tr w:rsidR="00171AA8" w:rsidRPr="00731FE2" w14:paraId="53C95C1B" w14:textId="77777777">
        <w:tc>
          <w:tcPr>
            <w:tcW w:w="556"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1C56E4C1" w14:textId="77777777" w:rsidR="00171AA8" w:rsidRPr="00731FE2" w:rsidRDefault="00171AA8" w:rsidP="007832E7">
            <w:pPr>
              <w:pStyle w:val="a3"/>
              <w:numPr>
                <w:ilvl w:val="0"/>
                <w:numId w:val="42"/>
              </w:numPr>
              <w:pBdr>
                <w:top w:val="none" w:sz="4" w:space="0" w:color="000000"/>
                <w:left w:val="none" w:sz="4" w:space="0" w:color="000000"/>
                <w:bottom w:val="none" w:sz="4" w:space="0" w:color="000000"/>
                <w:right w:val="none" w:sz="4" w:space="0" w:color="000000"/>
              </w:pBdr>
              <w:ind w:left="0" w:firstLine="363"/>
              <w:contextualSpacing w:val="0"/>
              <w:jc w:val="center"/>
              <w:rPr>
                <w:rStyle w:val="af6"/>
                <w:rFonts w:ascii="Times New Roman" w:hAnsi="Times New Roman" w:cs="Times New Roman"/>
                <w:color w:val="auto"/>
                <w:sz w:val="18"/>
                <w:szCs w:val="18"/>
                <w:u w:val="none"/>
              </w:rPr>
            </w:pPr>
          </w:p>
        </w:tc>
        <w:tc>
          <w:tcPr>
            <w:tcW w:w="2409"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4C9284F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Котельная Толстого, 6</w:t>
            </w:r>
          </w:p>
        </w:tc>
        <w:tc>
          <w:tcPr>
            <w:tcW w:w="1276"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2C041B8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0,546</w:t>
            </w:r>
          </w:p>
        </w:tc>
        <w:tc>
          <w:tcPr>
            <w:tcW w:w="1417"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34A0C01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0,45</w:t>
            </w:r>
          </w:p>
        </w:tc>
        <w:tc>
          <w:tcPr>
            <w:tcW w:w="1417"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15F5249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0,018</w:t>
            </w:r>
          </w:p>
        </w:tc>
        <w:tc>
          <w:tcPr>
            <w:tcW w:w="1559"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78899B9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0,432</w:t>
            </w:r>
          </w:p>
        </w:tc>
        <w:tc>
          <w:tcPr>
            <w:tcW w:w="992"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52227E1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0,057</w:t>
            </w:r>
          </w:p>
        </w:tc>
        <w:tc>
          <w:tcPr>
            <w:tcW w:w="1701"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104C25F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0,122</w:t>
            </w:r>
          </w:p>
        </w:tc>
        <w:tc>
          <w:tcPr>
            <w:tcW w:w="1399"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5459B7B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w:t>
            </w:r>
          </w:p>
        </w:tc>
        <w:tc>
          <w:tcPr>
            <w:tcW w:w="1151"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10E8F34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0,253</w:t>
            </w:r>
          </w:p>
        </w:tc>
      </w:tr>
      <w:tr w:rsidR="00171AA8" w:rsidRPr="00731FE2" w14:paraId="62F112C5" w14:textId="77777777">
        <w:tc>
          <w:tcPr>
            <w:tcW w:w="556"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6EDF60EE" w14:textId="77777777" w:rsidR="00171AA8" w:rsidRPr="00731FE2" w:rsidRDefault="00171AA8" w:rsidP="007832E7">
            <w:pPr>
              <w:pStyle w:val="a3"/>
              <w:numPr>
                <w:ilvl w:val="0"/>
                <w:numId w:val="42"/>
              </w:numPr>
              <w:pBdr>
                <w:top w:val="none" w:sz="4" w:space="0" w:color="000000"/>
                <w:left w:val="none" w:sz="4" w:space="0" w:color="000000"/>
                <w:bottom w:val="none" w:sz="4" w:space="0" w:color="000000"/>
                <w:right w:val="none" w:sz="4" w:space="0" w:color="000000"/>
              </w:pBdr>
              <w:ind w:left="0" w:firstLine="363"/>
              <w:contextualSpacing w:val="0"/>
              <w:jc w:val="center"/>
              <w:rPr>
                <w:rStyle w:val="af6"/>
                <w:rFonts w:ascii="Times New Roman" w:hAnsi="Times New Roman" w:cs="Times New Roman"/>
                <w:color w:val="auto"/>
                <w:sz w:val="18"/>
                <w:szCs w:val="18"/>
                <w:u w:val="none"/>
              </w:rPr>
            </w:pPr>
          </w:p>
        </w:tc>
        <w:tc>
          <w:tcPr>
            <w:tcW w:w="2409"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0A96849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Котельная Гоголя, 29</w:t>
            </w:r>
          </w:p>
        </w:tc>
        <w:tc>
          <w:tcPr>
            <w:tcW w:w="1276"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4B69980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0,234</w:t>
            </w:r>
          </w:p>
        </w:tc>
        <w:tc>
          <w:tcPr>
            <w:tcW w:w="1417"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2CFB2CF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0,19</w:t>
            </w:r>
          </w:p>
        </w:tc>
        <w:tc>
          <w:tcPr>
            <w:tcW w:w="1417"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3AF8344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0,008</w:t>
            </w:r>
          </w:p>
        </w:tc>
        <w:tc>
          <w:tcPr>
            <w:tcW w:w="1559"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5EFA650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0,182</w:t>
            </w:r>
          </w:p>
        </w:tc>
        <w:tc>
          <w:tcPr>
            <w:tcW w:w="992"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4701AFB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0,026</w:t>
            </w:r>
          </w:p>
        </w:tc>
        <w:tc>
          <w:tcPr>
            <w:tcW w:w="1701"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26BE6C27"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0,099</w:t>
            </w:r>
          </w:p>
        </w:tc>
        <w:tc>
          <w:tcPr>
            <w:tcW w:w="1399"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7247CCE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w:t>
            </w:r>
          </w:p>
        </w:tc>
        <w:tc>
          <w:tcPr>
            <w:tcW w:w="1151"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478C0D8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0,057</w:t>
            </w:r>
          </w:p>
        </w:tc>
      </w:tr>
      <w:tr w:rsidR="00171AA8" w:rsidRPr="00731FE2" w14:paraId="25C4F495" w14:textId="77777777">
        <w:tc>
          <w:tcPr>
            <w:tcW w:w="556"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5569F804" w14:textId="77777777" w:rsidR="00171AA8" w:rsidRPr="00731FE2" w:rsidRDefault="00171AA8" w:rsidP="007832E7">
            <w:pPr>
              <w:pStyle w:val="a3"/>
              <w:numPr>
                <w:ilvl w:val="0"/>
                <w:numId w:val="42"/>
              </w:numPr>
              <w:pBdr>
                <w:top w:val="none" w:sz="4" w:space="0" w:color="000000"/>
                <w:left w:val="none" w:sz="4" w:space="0" w:color="000000"/>
                <w:bottom w:val="none" w:sz="4" w:space="0" w:color="000000"/>
                <w:right w:val="none" w:sz="4" w:space="0" w:color="000000"/>
              </w:pBdr>
              <w:ind w:left="0" w:firstLine="363"/>
              <w:contextualSpacing w:val="0"/>
              <w:jc w:val="center"/>
              <w:rPr>
                <w:rStyle w:val="af6"/>
                <w:rFonts w:ascii="Times New Roman" w:hAnsi="Times New Roman" w:cs="Times New Roman"/>
                <w:color w:val="auto"/>
                <w:sz w:val="18"/>
                <w:szCs w:val="18"/>
                <w:u w:val="none"/>
              </w:rPr>
            </w:pPr>
          </w:p>
        </w:tc>
        <w:tc>
          <w:tcPr>
            <w:tcW w:w="2409"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5D5C933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Котельная Седлогорская, 19</w:t>
            </w:r>
          </w:p>
        </w:tc>
        <w:tc>
          <w:tcPr>
            <w:tcW w:w="1276"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43894036"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0,294</w:t>
            </w:r>
          </w:p>
        </w:tc>
        <w:tc>
          <w:tcPr>
            <w:tcW w:w="1417"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0371222D"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0,21</w:t>
            </w:r>
          </w:p>
        </w:tc>
        <w:tc>
          <w:tcPr>
            <w:tcW w:w="1417"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2638C18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0,008</w:t>
            </w:r>
          </w:p>
        </w:tc>
        <w:tc>
          <w:tcPr>
            <w:tcW w:w="1559"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6A66610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0,202</w:t>
            </w:r>
          </w:p>
        </w:tc>
        <w:tc>
          <w:tcPr>
            <w:tcW w:w="992"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74A5B18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0,027</w:t>
            </w:r>
          </w:p>
        </w:tc>
        <w:tc>
          <w:tcPr>
            <w:tcW w:w="1701"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139822F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0,072</w:t>
            </w:r>
          </w:p>
        </w:tc>
        <w:tc>
          <w:tcPr>
            <w:tcW w:w="1399"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4E81597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w:t>
            </w:r>
          </w:p>
        </w:tc>
        <w:tc>
          <w:tcPr>
            <w:tcW w:w="1151"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5352AD0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0,103</w:t>
            </w:r>
          </w:p>
        </w:tc>
      </w:tr>
      <w:tr w:rsidR="00171AA8" w:rsidRPr="00731FE2" w14:paraId="6FCDA9D9" w14:textId="77777777">
        <w:tc>
          <w:tcPr>
            <w:tcW w:w="556"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0FE7C875" w14:textId="77777777" w:rsidR="00171AA8" w:rsidRPr="00731FE2" w:rsidRDefault="00171AA8" w:rsidP="007832E7">
            <w:pPr>
              <w:pStyle w:val="a3"/>
              <w:numPr>
                <w:ilvl w:val="0"/>
                <w:numId w:val="42"/>
              </w:numPr>
              <w:pBdr>
                <w:top w:val="none" w:sz="4" w:space="0" w:color="000000"/>
                <w:left w:val="none" w:sz="4" w:space="0" w:color="000000"/>
                <w:bottom w:val="none" w:sz="4" w:space="0" w:color="000000"/>
                <w:right w:val="none" w:sz="4" w:space="0" w:color="000000"/>
              </w:pBdr>
              <w:ind w:left="0" w:firstLine="363"/>
              <w:contextualSpacing w:val="0"/>
              <w:jc w:val="center"/>
              <w:rPr>
                <w:rStyle w:val="af6"/>
                <w:rFonts w:ascii="Times New Roman" w:hAnsi="Times New Roman" w:cs="Times New Roman"/>
                <w:color w:val="auto"/>
                <w:sz w:val="18"/>
                <w:szCs w:val="18"/>
                <w:u w:val="none"/>
              </w:rPr>
            </w:pPr>
          </w:p>
        </w:tc>
        <w:tc>
          <w:tcPr>
            <w:tcW w:w="2409"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4A01D93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Котельная «Форелевое хозяйство»</w:t>
            </w:r>
          </w:p>
        </w:tc>
        <w:tc>
          <w:tcPr>
            <w:tcW w:w="1276"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43F5F87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1,5</w:t>
            </w:r>
          </w:p>
        </w:tc>
        <w:tc>
          <w:tcPr>
            <w:tcW w:w="1417"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4E4A4BB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1,24</w:t>
            </w:r>
          </w:p>
        </w:tc>
        <w:tc>
          <w:tcPr>
            <w:tcW w:w="1417"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1346AA4F"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0,049</w:t>
            </w:r>
          </w:p>
        </w:tc>
        <w:tc>
          <w:tcPr>
            <w:tcW w:w="1559"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1900467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1,191</w:t>
            </w:r>
          </w:p>
        </w:tc>
        <w:tc>
          <w:tcPr>
            <w:tcW w:w="992"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3A9CB5D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0,374</w:t>
            </w:r>
          </w:p>
        </w:tc>
        <w:tc>
          <w:tcPr>
            <w:tcW w:w="1701"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28F9258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0,063</w:t>
            </w:r>
          </w:p>
        </w:tc>
        <w:tc>
          <w:tcPr>
            <w:tcW w:w="1399"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7921111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0,008</w:t>
            </w:r>
          </w:p>
        </w:tc>
        <w:tc>
          <w:tcPr>
            <w:tcW w:w="1151"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0498AA65"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0,746</w:t>
            </w:r>
          </w:p>
        </w:tc>
      </w:tr>
      <w:tr w:rsidR="00171AA8" w:rsidRPr="00731FE2" w14:paraId="019A139C" w14:textId="77777777">
        <w:trPr>
          <w:trHeight w:val="255"/>
        </w:trPr>
        <w:tc>
          <w:tcPr>
            <w:tcW w:w="556"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3FF9DCC6" w14:textId="77777777" w:rsidR="00171AA8" w:rsidRPr="00731FE2" w:rsidRDefault="007935AB" w:rsidP="007832E7">
            <w:pPr>
              <w:pStyle w:val="a3"/>
              <w:numPr>
                <w:ilvl w:val="0"/>
                <w:numId w:val="42"/>
              </w:numPr>
              <w:pBdr>
                <w:top w:val="none" w:sz="4" w:space="0" w:color="000000"/>
                <w:left w:val="none" w:sz="4" w:space="0" w:color="000000"/>
                <w:bottom w:val="none" w:sz="4" w:space="0" w:color="000000"/>
                <w:right w:val="none" w:sz="4" w:space="0" w:color="000000"/>
              </w:pBdr>
              <w:ind w:left="0" w:firstLine="363"/>
              <w:contextualSpacing w:val="0"/>
              <w:jc w:val="center"/>
              <w:rPr>
                <w:rStyle w:val="af6"/>
                <w:rFonts w:ascii="Times New Roman" w:hAnsi="Times New Roman" w:cs="Times New Roman"/>
                <w:color w:val="auto"/>
                <w:sz w:val="18"/>
                <w:szCs w:val="18"/>
                <w:u w:val="none"/>
              </w:rPr>
            </w:pPr>
            <w:r w:rsidRPr="00731FE2">
              <w:rPr>
                <w:rStyle w:val="af6"/>
                <w:rFonts w:ascii="Times New Roman" w:hAnsi="Times New Roman" w:cs="Times New Roman"/>
                <w:color w:val="auto"/>
                <w:sz w:val="18"/>
                <w:szCs w:val="18"/>
                <w:u w:val="none"/>
              </w:rPr>
              <w:t> </w:t>
            </w:r>
          </w:p>
        </w:tc>
        <w:tc>
          <w:tcPr>
            <w:tcW w:w="2409"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6F9763F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b/>
                <w:bCs/>
                <w:color w:val="auto"/>
                <w:sz w:val="18"/>
                <w:szCs w:val="18"/>
                <w:u w:val="none"/>
              </w:rPr>
            </w:pPr>
            <w:r w:rsidRPr="00731FE2">
              <w:rPr>
                <w:rStyle w:val="af6"/>
                <w:rFonts w:ascii="Times New Roman" w:hAnsi="Times New Roman" w:cs="Times New Roman"/>
                <w:b/>
                <w:bCs/>
                <w:color w:val="auto"/>
                <w:sz w:val="18"/>
                <w:szCs w:val="18"/>
                <w:u w:val="none"/>
              </w:rPr>
              <w:t>Итого</w:t>
            </w:r>
          </w:p>
        </w:tc>
        <w:tc>
          <w:tcPr>
            <w:tcW w:w="1276"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1DE37C09"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b/>
                <w:bCs/>
                <w:color w:val="auto"/>
                <w:sz w:val="18"/>
                <w:szCs w:val="18"/>
                <w:u w:val="none"/>
              </w:rPr>
            </w:pPr>
            <w:r w:rsidRPr="00731FE2">
              <w:rPr>
                <w:rStyle w:val="af6"/>
                <w:rFonts w:ascii="Times New Roman" w:hAnsi="Times New Roman" w:cs="Times New Roman"/>
                <w:b/>
                <w:bCs/>
                <w:color w:val="auto"/>
                <w:sz w:val="18"/>
                <w:szCs w:val="18"/>
                <w:u w:val="none"/>
              </w:rPr>
              <w:t>233,91</w:t>
            </w:r>
          </w:p>
        </w:tc>
        <w:tc>
          <w:tcPr>
            <w:tcW w:w="1417"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3B1A35D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b/>
                <w:bCs/>
                <w:color w:val="auto"/>
                <w:sz w:val="18"/>
                <w:szCs w:val="18"/>
                <w:u w:val="none"/>
              </w:rPr>
            </w:pPr>
            <w:r w:rsidRPr="00731FE2">
              <w:rPr>
                <w:rStyle w:val="af6"/>
                <w:rFonts w:ascii="Times New Roman" w:hAnsi="Times New Roman" w:cs="Times New Roman"/>
                <w:b/>
                <w:bCs/>
                <w:color w:val="auto"/>
                <w:sz w:val="18"/>
                <w:szCs w:val="18"/>
                <w:u w:val="none"/>
              </w:rPr>
              <w:t>160,299</w:t>
            </w:r>
          </w:p>
        </w:tc>
        <w:tc>
          <w:tcPr>
            <w:tcW w:w="1417"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778F76E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b/>
                <w:bCs/>
                <w:color w:val="auto"/>
                <w:sz w:val="18"/>
                <w:szCs w:val="18"/>
                <w:u w:val="none"/>
              </w:rPr>
            </w:pPr>
            <w:r w:rsidRPr="00731FE2">
              <w:rPr>
                <w:rStyle w:val="af6"/>
                <w:rFonts w:ascii="Times New Roman" w:hAnsi="Times New Roman" w:cs="Times New Roman"/>
                <w:b/>
                <w:bCs/>
                <w:color w:val="auto"/>
                <w:sz w:val="18"/>
                <w:szCs w:val="18"/>
                <w:u w:val="none"/>
              </w:rPr>
              <w:t>6,379</w:t>
            </w:r>
          </w:p>
        </w:tc>
        <w:tc>
          <w:tcPr>
            <w:tcW w:w="1559"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55D07B6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b/>
                <w:bCs/>
                <w:color w:val="auto"/>
                <w:sz w:val="18"/>
                <w:szCs w:val="18"/>
                <w:u w:val="none"/>
              </w:rPr>
            </w:pPr>
            <w:r w:rsidRPr="00731FE2">
              <w:rPr>
                <w:rStyle w:val="af6"/>
                <w:rFonts w:ascii="Times New Roman" w:hAnsi="Times New Roman" w:cs="Times New Roman"/>
                <w:b/>
                <w:bCs/>
                <w:color w:val="auto"/>
                <w:sz w:val="18"/>
                <w:szCs w:val="18"/>
                <w:u w:val="none"/>
              </w:rPr>
              <w:t>153,92</w:t>
            </w:r>
          </w:p>
        </w:tc>
        <w:tc>
          <w:tcPr>
            <w:tcW w:w="992"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3A1B7E14"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b/>
                <w:bCs/>
                <w:color w:val="auto"/>
                <w:sz w:val="18"/>
                <w:szCs w:val="18"/>
                <w:u w:val="none"/>
              </w:rPr>
            </w:pPr>
            <w:r w:rsidRPr="00731FE2">
              <w:rPr>
                <w:rStyle w:val="af6"/>
                <w:rFonts w:ascii="Times New Roman" w:hAnsi="Times New Roman" w:cs="Times New Roman"/>
                <w:b/>
                <w:bCs/>
                <w:color w:val="auto"/>
                <w:sz w:val="18"/>
                <w:szCs w:val="18"/>
                <w:u w:val="none"/>
              </w:rPr>
              <w:t>31,1</w:t>
            </w:r>
          </w:p>
        </w:tc>
        <w:tc>
          <w:tcPr>
            <w:tcW w:w="1701"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4BC0A6A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b/>
                <w:bCs/>
                <w:color w:val="auto"/>
                <w:sz w:val="18"/>
                <w:szCs w:val="18"/>
                <w:u w:val="none"/>
              </w:rPr>
            </w:pPr>
            <w:r w:rsidRPr="00731FE2">
              <w:rPr>
                <w:rStyle w:val="af6"/>
                <w:rFonts w:ascii="Times New Roman" w:hAnsi="Times New Roman" w:cs="Times New Roman"/>
                <w:b/>
                <w:bCs/>
                <w:color w:val="auto"/>
                <w:sz w:val="18"/>
                <w:szCs w:val="18"/>
                <w:u w:val="none"/>
              </w:rPr>
              <w:t>85,514</w:t>
            </w:r>
          </w:p>
        </w:tc>
        <w:tc>
          <w:tcPr>
            <w:tcW w:w="1399"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38C6F36B"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b/>
                <w:bCs/>
                <w:color w:val="auto"/>
                <w:sz w:val="18"/>
                <w:szCs w:val="18"/>
                <w:u w:val="none"/>
              </w:rPr>
            </w:pPr>
            <w:r w:rsidRPr="00731FE2">
              <w:rPr>
                <w:rStyle w:val="af6"/>
                <w:rFonts w:ascii="Times New Roman" w:hAnsi="Times New Roman" w:cs="Times New Roman"/>
                <w:b/>
                <w:bCs/>
                <w:color w:val="auto"/>
                <w:sz w:val="18"/>
                <w:szCs w:val="18"/>
                <w:u w:val="none"/>
              </w:rPr>
              <w:t>37,258</w:t>
            </w:r>
          </w:p>
        </w:tc>
        <w:tc>
          <w:tcPr>
            <w:tcW w:w="1151"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43752F08"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b/>
                <w:bCs/>
                <w:color w:val="auto"/>
                <w:sz w:val="18"/>
                <w:szCs w:val="18"/>
                <w:u w:val="none"/>
              </w:rPr>
            </w:pPr>
            <w:r w:rsidRPr="00731FE2">
              <w:rPr>
                <w:rStyle w:val="af6"/>
                <w:rFonts w:ascii="Times New Roman" w:hAnsi="Times New Roman" w:cs="Times New Roman"/>
                <w:b/>
                <w:bCs/>
                <w:color w:val="auto"/>
                <w:sz w:val="18"/>
                <w:szCs w:val="18"/>
                <w:u w:val="none"/>
              </w:rPr>
              <w:t>-</w:t>
            </w:r>
          </w:p>
        </w:tc>
      </w:tr>
      <w:tr w:rsidR="00171AA8" w:rsidRPr="00CC69CA" w14:paraId="6357BA9E" w14:textId="77777777">
        <w:trPr>
          <w:trHeight w:val="255"/>
        </w:trPr>
        <w:tc>
          <w:tcPr>
            <w:tcW w:w="556"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tcPr>
          <w:p w14:paraId="0EEF0903"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pPr>
            <w:r w:rsidRPr="00731FE2">
              <w:rPr>
                <w:rFonts w:ascii="Arial Narrow" w:eastAsia="Arial Narrow" w:hAnsi="Arial Narrow" w:cs="Arial Narrow"/>
                <w:color w:val="000000"/>
                <w:sz w:val="22"/>
              </w:rPr>
              <w:t> </w:t>
            </w:r>
          </w:p>
        </w:tc>
        <w:tc>
          <w:tcPr>
            <w:tcW w:w="2409"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03397A8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b/>
                <w:bCs/>
                <w:color w:val="auto"/>
                <w:sz w:val="18"/>
                <w:szCs w:val="18"/>
                <w:u w:val="none"/>
              </w:rPr>
            </w:pPr>
            <w:r w:rsidRPr="00731FE2">
              <w:rPr>
                <w:rStyle w:val="af6"/>
                <w:rFonts w:ascii="Times New Roman" w:hAnsi="Times New Roman" w:cs="Times New Roman"/>
                <w:b/>
                <w:bCs/>
                <w:color w:val="auto"/>
                <w:sz w:val="18"/>
                <w:szCs w:val="18"/>
                <w:u w:val="none"/>
              </w:rPr>
              <w:t>ВСЕГО</w:t>
            </w:r>
          </w:p>
        </w:tc>
        <w:tc>
          <w:tcPr>
            <w:tcW w:w="1276"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4F1F5CF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b/>
                <w:bCs/>
                <w:color w:val="auto"/>
                <w:sz w:val="18"/>
                <w:szCs w:val="18"/>
                <w:u w:val="none"/>
              </w:rPr>
            </w:pPr>
            <w:r w:rsidRPr="00731FE2">
              <w:rPr>
                <w:rStyle w:val="af6"/>
                <w:rFonts w:ascii="Times New Roman" w:hAnsi="Times New Roman" w:cs="Times New Roman"/>
                <w:b/>
                <w:bCs/>
                <w:color w:val="auto"/>
                <w:sz w:val="18"/>
                <w:szCs w:val="18"/>
                <w:u w:val="none"/>
              </w:rPr>
              <w:t>408,8</w:t>
            </w:r>
          </w:p>
        </w:tc>
        <w:tc>
          <w:tcPr>
            <w:tcW w:w="1417"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013F0502"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b/>
                <w:bCs/>
                <w:color w:val="auto"/>
                <w:sz w:val="18"/>
                <w:szCs w:val="18"/>
                <w:u w:val="none"/>
              </w:rPr>
            </w:pPr>
            <w:r w:rsidRPr="00731FE2">
              <w:rPr>
                <w:rStyle w:val="af6"/>
                <w:rFonts w:ascii="Times New Roman" w:hAnsi="Times New Roman" w:cs="Times New Roman"/>
                <w:b/>
                <w:bCs/>
                <w:color w:val="auto"/>
                <w:sz w:val="18"/>
                <w:szCs w:val="18"/>
                <w:u w:val="none"/>
              </w:rPr>
              <w:t>335,189</w:t>
            </w:r>
          </w:p>
        </w:tc>
        <w:tc>
          <w:tcPr>
            <w:tcW w:w="1417"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69AFDB2A"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b/>
                <w:bCs/>
                <w:color w:val="auto"/>
                <w:sz w:val="18"/>
                <w:szCs w:val="18"/>
                <w:u w:val="none"/>
              </w:rPr>
            </w:pPr>
            <w:r w:rsidRPr="00731FE2">
              <w:rPr>
                <w:rStyle w:val="af6"/>
                <w:rFonts w:ascii="Times New Roman" w:hAnsi="Times New Roman" w:cs="Times New Roman"/>
                <w:b/>
                <w:bCs/>
                <w:color w:val="auto"/>
                <w:sz w:val="18"/>
                <w:szCs w:val="18"/>
                <w:u w:val="none"/>
              </w:rPr>
              <w:t>7,552</w:t>
            </w:r>
          </w:p>
        </w:tc>
        <w:tc>
          <w:tcPr>
            <w:tcW w:w="1559"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1A77D85E"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b/>
                <w:bCs/>
                <w:color w:val="auto"/>
                <w:sz w:val="18"/>
                <w:szCs w:val="18"/>
                <w:u w:val="none"/>
              </w:rPr>
            </w:pPr>
            <w:r w:rsidRPr="00731FE2">
              <w:rPr>
                <w:rStyle w:val="af6"/>
                <w:rFonts w:ascii="Times New Roman" w:hAnsi="Times New Roman" w:cs="Times New Roman"/>
                <w:b/>
                <w:bCs/>
                <w:color w:val="auto"/>
                <w:sz w:val="18"/>
                <w:szCs w:val="18"/>
                <w:u w:val="none"/>
              </w:rPr>
              <w:t>327,637</w:t>
            </w:r>
          </w:p>
        </w:tc>
        <w:tc>
          <w:tcPr>
            <w:tcW w:w="992"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02B441A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b/>
                <w:bCs/>
                <w:color w:val="auto"/>
                <w:sz w:val="18"/>
                <w:szCs w:val="18"/>
                <w:u w:val="none"/>
              </w:rPr>
            </w:pPr>
            <w:r w:rsidRPr="00731FE2">
              <w:rPr>
                <w:rStyle w:val="af6"/>
                <w:rFonts w:ascii="Times New Roman" w:hAnsi="Times New Roman" w:cs="Times New Roman"/>
                <w:b/>
                <w:bCs/>
                <w:color w:val="auto"/>
                <w:sz w:val="18"/>
                <w:szCs w:val="18"/>
                <w:u w:val="none"/>
              </w:rPr>
              <w:t>49,575</w:t>
            </w:r>
          </w:p>
        </w:tc>
        <w:tc>
          <w:tcPr>
            <w:tcW w:w="1701"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584668CC"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b/>
                <w:bCs/>
                <w:color w:val="auto"/>
                <w:sz w:val="18"/>
                <w:szCs w:val="18"/>
                <w:u w:val="none"/>
              </w:rPr>
            </w:pPr>
            <w:r w:rsidRPr="00731FE2">
              <w:rPr>
                <w:rStyle w:val="af6"/>
                <w:rFonts w:ascii="Times New Roman" w:hAnsi="Times New Roman" w:cs="Times New Roman"/>
                <w:b/>
                <w:bCs/>
                <w:color w:val="auto"/>
                <w:sz w:val="18"/>
                <w:szCs w:val="18"/>
                <w:u w:val="none"/>
              </w:rPr>
              <w:t>165,957</w:t>
            </w:r>
          </w:p>
        </w:tc>
        <w:tc>
          <w:tcPr>
            <w:tcW w:w="1399"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202F3381" w14:textId="77777777" w:rsidR="00171AA8" w:rsidRPr="00731FE2"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b/>
                <w:bCs/>
                <w:color w:val="auto"/>
                <w:sz w:val="18"/>
                <w:szCs w:val="18"/>
                <w:u w:val="none"/>
              </w:rPr>
            </w:pPr>
            <w:r w:rsidRPr="00731FE2">
              <w:rPr>
                <w:rStyle w:val="af6"/>
                <w:rFonts w:ascii="Times New Roman" w:hAnsi="Times New Roman" w:cs="Times New Roman"/>
                <w:b/>
                <w:bCs/>
                <w:color w:val="auto"/>
                <w:sz w:val="18"/>
                <w:szCs w:val="18"/>
                <w:u w:val="none"/>
              </w:rPr>
              <w:t>63,809</w:t>
            </w:r>
          </w:p>
        </w:tc>
        <w:tc>
          <w:tcPr>
            <w:tcW w:w="1151"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vAlign w:val="center"/>
          </w:tcPr>
          <w:p w14:paraId="4DD79ABA" w14:textId="77777777" w:rsidR="00171AA8" w:rsidRPr="00CC69CA" w:rsidRDefault="007935AB">
            <w:pPr>
              <w:pBdr>
                <w:top w:val="none" w:sz="4" w:space="0" w:color="000000"/>
                <w:left w:val="none" w:sz="4" w:space="0" w:color="000000"/>
                <w:bottom w:val="none" w:sz="4" w:space="0" w:color="000000"/>
                <w:right w:val="none" w:sz="4" w:space="0" w:color="000000"/>
              </w:pBdr>
              <w:ind w:firstLine="0"/>
              <w:jc w:val="left"/>
              <w:rPr>
                <w:rStyle w:val="af6"/>
                <w:rFonts w:ascii="Times New Roman" w:hAnsi="Times New Roman" w:cs="Times New Roman"/>
                <w:b/>
                <w:bCs/>
                <w:color w:val="auto"/>
                <w:sz w:val="18"/>
                <w:szCs w:val="18"/>
                <w:u w:val="none"/>
              </w:rPr>
            </w:pPr>
            <w:r w:rsidRPr="00731FE2">
              <w:rPr>
                <w:rStyle w:val="af6"/>
                <w:rFonts w:ascii="Times New Roman" w:hAnsi="Times New Roman" w:cs="Times New Roman"/>
                <w:b/>
                <w:bCs/>
                <w:color w:val="auto"/>
                <w:sz w:val="18"/>
                <w:szCs w:val="18"/>
                <w:u w:val="none"/>
              </w:rPr>
              <w:t>-</w:t>
            </w:r>
          </w:p>
        </w:tc>
      </w:tr>
    </w:tbl>
    <w:p w14:paraId="379F3290" w14:textId="77777777" w:rsidR="00171AA8" w:rsidRPr="00CC69CA" w:rsidRDefault="00171AA8" w:rsidP="00065131">
      <w:pPr>
        <w:ind w:firstLine="0"/>
        <w:rPr>
          <w:rFonts w:ascii="Times New Roman" w:hAnsi="Times New Roman" w:cs="Times New Roman"/>
          <w:szCs w:val="24"/>
        </w:rPr>
      </w:pPr>
    </w:p>
    <w:sectPr w:rsidR="00171AA8" w:rsidRPr="00CC69CA">
      <w:pgSz w:w="16838" w:h="11906" w:orient="landscape"/>
      <w:pgMar w:top="1701" w:right="1134" w:bottom="850" w:left="1134"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9D71167" w14:textId="77777777" w:rsidR="00403890" w:rsidRDefault="00403890">
      <w:pPr>
        <w:spacing w:line="240" w:lineRule="auto"/>
      </w:pPr>
      <w:r>
        <w:separator/>
      </w:r>
    </w:p>
  </w:endnote>
  <w:endnote w:type="continuationSeparator" w:id="0">
    <w:p w14:paraId="06F5DB27" w14:textId="77777777" w:rsidR="00403890" w:rsidRDefault="00403890">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CC"/>
    <w:family w:val="swiss"/>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Impact">
    <w:panose1 w:val="020B0806030902050204"/>
    <w:charset w:val="CC"/>
    <w:family w:val="swiss"/>
    <w:pitch w:val="variable"/>
    <w:sig w:usb0="00000287" w:usb1="00000000" w:usb2="00000000" w:usb3="00000000" w:csb0="0000009F" w:csb1="00000000"/>
  </w:font>
  <w:font w:name="Cambria">
    <w:panose1 w:val="02040503050406030204"/>
    <w:charset w:val="CC"/>
    <w:family w:val="roman"/>
    <w:pitch w:val="variable"/>
    <w:sig w:usb0="E00006FF" w:usb1="420024FF" w:usb2="02000000" w:usb3="00000000" w:csb0="0000019F" w:csb1="00000000"/>
  </w:font>
  <w:font w:name="Segoe UI">
    <w:panose1 w:val="020B0502040204020203"/>
    <w:charset w:val="CC"/>
    <w:family w:val="swiss"/>
    <w:pitch w:val="variable"/>
    <w:sig w:usb0="E4002EFF" w:usb1="C000E47F" w:usb2="00000009" w:usb3="00000000" w:csb0="000001FF" w:csb1="00000000"/>
  </w:font>
  <w:font w:name="Arial Narrow">
    <w:panose1 w:val="020B0606020202030204"/>
    <w:charset w:val="CC"/>
    <w:family w:val="swiss"/>
    <w:pitch w:val="variable"/>
    <w:sig w:usb0="00000287" w:usb1="000008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5894360"/>
      <w:docPartObj>
        <w:docPartGallery w:val="Page Numbers (Bottom of Page)"/>
        <w:docPartUnique/>
      </w:docPartObj>
    </w:sdtPr>
    <w:sdtEndPr/>
    <w:sdtContent>
      <w:p w14:paraId="6E1DDD55" w14:textId="77777777" w:rsidR="00403890" w:rsidRDefault="00403890">
        <w:pPr>
          <w:pStyle w:val="ad"/>
          <w:jc w:val="right"/>
        </w:pPr>
        <w:r>
          <w:fldChar w:fldCharType="begin"/>
        </w:r>
        <w:r>
          <w:instrText>PAGE   \* MERGEFORMAT</w:instrText>
        </w:r>
        <w:r>
          <w:fldChar w:fldCharType="separate"/>
        </w:r>
        <w:r w:rsidR="000D173B">
          <w:rPr>
            <w:noProof/>
          </w:rPr>
          <w:t>2</w:t>
        </w:r>
        <w:r>
          <w:fldChar w:fldCharType="end"/>
        </w:r>
      </w:p>
    </w:sdtContent>
  </w:sdt>
  <w:p w14:paraId="0AC0F035" w14:textId="77777777" w:rsidR="00403890" w:rsidRDefault="00403890">
    <w:pPr>
      <w:pStyle w:val="ad"/>
      <w:ind w:firstLine="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17E8B18" w14:textId="77777777" w:rsidR="00403890" w:rsidRDefault="00403890">
      <w:pPr>
        <w:spacing w:line="240" w:lineRule="auto"/>
      </w:pPr>
      <w:r>
        <w:separator/>
      </w:r>
    </w:p>
  </w:footnote>
  <w:footnote w:type="continuationSeparator" w:id="0">
    <w:p w14:paraId="3BCBB19C" w14:textId="77777777" w:rsidR="00403890" w:rsidRDefault="00403890">
      <w:pPr>
        <w:spacing w:line="240" w:lineRule="auto"/>
      </w:pPr>
      <w:r>
        <w:continuationSeparator/>
      </w:r>
    </w:p>
  </w:footnote>
  <w:footnote w:id="1">
    <w:p w14:paraId="033CB0B2" w14:textId="77777777" w:rsidR="00403890" w:rsidRPr="006B7AF5" w:rsidRDefault="00403890" w:rsidP="006B7AF5">
      <w:pPr>
        <w:pStyle w:val="afc"/>
        <w:spacing w:before="0" w:beforeAutospacing="0" w:after="0" w:afterAutospacing="0"/>
        <w:jc w:val="both"/>
        <w:rPr>
          <w:rFonts w:cs="Arial"/>
          <w:bCs/>
          <w:sz w:val="20"/>
          <w:szCs w:val="20"/>
        </w:rPr>
      </w:pPr>
      <w:r w:rsidRPr="006B7AF5">
        <w:rPr>
          <w:rStyle w:val="afb"/>
          <w:rFonts w:eastAsia="Arial"/>
          <w:sz w:val="20"/>
          <w:szCs w:val="20"/>
        </w:rPr>
        <w:footnoteRef/>
      </w:r>
      <w:r w:rsidRPr="006B7AF5">
        <w:rPr>
          <w:rFonts w:cs="Arial"/>
          <w:sz w:val="20"/>
          <w:szCs w:val="20"/>
        </w:rPr>
        <w:t xml:space="preserve"> К пашне не относятся участки сенокосов и пастбищ, занятые посевами сельскохозяйственных культур не более 2-3 лет, распаханные с целью коренного улучшения, а также междурядья садов, используемые под посевы (ГОСТ 26640-85 </w:t>
      </w:r>
      <w:r w:rsidRPr="006B7AF5">
        <w:rPr>
          <w:rFonts w:cs="Arial"/>
          <w:bCs/>
          <w:sz w:val="20"/>
          <w:szCs w:val="20"/>
        </w:rPr>
        <w:t>(</w:t>
      </w:r>
      <w:proofErr w:type="gramStart"/>
      <w:r w:rsidRPr="006B7AF5">
        <w:rPr>
          <w:rFonts w:cs="Arial"/>
          <w:bCs/>
          <w:sz w:val="20"/>
          <w:szCs w:val="20"/>
        </w:rPr>
        <w:t>СТ</w:t>
      </w:r>
      <w:proofErr w:type="gramEnd"/>
      <w:r w:rsidRPr="006B7AF5">
        <w:rPr>
          <w:rFonts w:cs="Arial"/>
          <w:bCs/>
          <w:sz w:val="20"/>
          <w:szCs w:val="20"/>
        </w:rPr>
        <w:t xml:space="preserve"> СЭВ 4472-84) Земли. </w:t>
      </w:r>
      <w:proofErr w:type="gramStart"/>
      <w:r w:rsidRPr="006B7AF5">
        <w:rPr>
          <w:rFonts w:cs="Arial"/>
          <w:bCs/>
          <w:sz w:val="20"/>
          <w:szCs w:val="20"/>
        </w:rPr>
        <w:t>Термины и определения).</w:t>
      </w:r>
      <w:proofErr w:type="gramEnd"/>
    </w:p>
  </w:footnote>
  <w:footnote w:id="2">
    <w:p w14:paraId="4A53615F" w14:textId="77777777" w:rsidR="00403890" w:rsidRPr="00FD1C19" w:rsidRDefault="00403890" w:rsidP="00FD1C19">
      <w:pPr>
        <w:pStyle w:val="afc"/>
        <w:spacing w:before="0" w:beforeAutospacing="0" w:after="0" w:afterAutospacing="0"/>
        <w:jc w:val="both"/>
        <w:rPr>
          <w:sz w:val="20"/>
          <w:szCs w:val="20"/>
        </w:rPr>
      </w:pPr>
      <w:r w:rsidRPr="00FD1C19">
        <w:rPr>
          <w:rStyle w:val="af1"/>
          <w:sz w:val="20"/>
          <w:szCs w:val="20"/>
        </w:rPr>
        <w:footnoteRef/>
      </w:r>
      <w:r w:rsidRPr="00FD1C19">
        <w:rPr>
          <w:sz w:val="20"/>
          <w:szCs w:val="20"/>
        </w:rPr>
        <w:t xml:space="preserve"> </w:t>
      </w:r>
      <w:r w:rsidRPr="00FD1C19">
        <w:rPr>
          <w:rFonts w:eastAsia="Arial"/>
          <w:color w:val="000000"/>
          <w:sz w:val="20"/>
          <w:szCs w:val="20"/>
        </w:rPr>
        <w:t xml:space="preserve">при подготовке </w:t>
      </w:r>
      <w:proofErr w:type="gramStart"/>
      <w:r w:rsidRPr="00FD1C19">
        <w:rPr>
          <w:rFonts w:eastAsia="Arial"/>
          <w:color w:val="000000"/>
          <w:sz w:val="20"/>
          <w:szCs w:val="20"/>
        </w:rPr>
        <w:t>проекта генерального плана городского округа города-курорта Кисловодска Ставропольского края</w:t>
      </w:r>
      <w:proofErr w:type="gramEnd"/>
      <w:r w:rsidRPr="00FD1C19">
        <w:rPr>
          <w:rFonts w:eastAsia="Arial"/>
          <w:color w:val="000000"/>
          <w:sz w:val="20"/>
          <w:szCs w:val="20"/>
        </w:rPr>
        <w:t xml:space="preserve"> использованы актуальные редакции нормативных правовых актов различного уровня (федерального, регионального, местного)</w:t>
      </w:r>
    </w:p>
  </w:footnote>
  <w:footnote w:id="3">
    <w:p w14:paraId="7BCB6901" w14:textId="77777777" w:rsidR="00403890" w:rsidRPr="00FD1C19" w:rsidRDefault="00403890">
      <w:pPr>
        <w:pBdr>
          <w:top w:val="none" w:sz="4" w:space="0" w:color="000000"/>
          <w:left w:val="none" w:sz="4" w:space="0" w:color="000000"/>
          <w:bottom w:val="none" w:sz="4" w:space="0" w:color="000000"/>
          <w:right w:val="none" w:sz="4" w:space="0" w:color="000000"/>
        </w:pBdr>
        <w:tabs>
          <w:tab w:val="left" w:pos="199"/>
        </w:tabs>
        <w:spacing w:line="17" w:lineRule="atLeast"/>
        <w:ind w:firstLine="0"/>
        <w:rPr>
          <w:rFonts w:ascii="Times New Roman" w:eastAsia="Times New Roman" w:hAnsi="Times New Roman" w:cs="Times New Roman"/>
          <w:color w:val="000000"/>
          <w:sz w:val="20"/>
          <w:szCs w:val="20"/>
        </w:rPr>
      </w:pPr>
      <w:r w:rsidRPr="00FD1C19">
        <w:rPr>
          <w:rStyle w:val="af1"/>
          <w:rFonts w:ascii="Times New Roman" w:hAnsi="Times New Roman" w:cs="Times New Roman"/>
          <w:sz w:val="20"/>
          <w:szCs w:val="20"/>
        </w:rPr>
        <w:footnoteRef/>
      </w:r>
      <w:r w:rsidRPr="00FD1C19">
        <w:rPr>
          <w:rFonts w:ascii="Times New Roman" w:hAnsi="Times New Roman" w:cs="Times New Roman"/>
          <w:sz w:val="16"/>
          <w:szCs w:val="16"/>
        </w:rPr>
        <w:t xml:space="preserve"> </w:t>
      </w:r>
      <w:r w:rsidRPr="00FD1C19">
        <w:rPr>
          <w:rFonts w:ascii="Times New Roman" w:eastAsia="Times New Roman" w:hAnsi="Times New Roman" w:cs="Times New Roman"/>
          <w:color w:val="000000"/>
          <w:sz w:val="20"/>
          <w:szCs w:val="20"/>
        </w:rPr>
        <w:t xml:space="preserve">при подготовке </w:t>
      </w:r>
      <w:proofErr w:type="gramStart"/>
      <w:r w:rsidRPr="00FD1C19">
        <w:rPr>
          <w:rFonts w:ascii="Times New Roman" w:eastAsia="Times New Roman" w:hAnsi="Times New Roman" w:cs="Times New Roman"/>
          <w:color w:val="000000"/>
          <w:sz w:val="20"/>
          <w:szCs w:val="20"/>
        </w:rPr>
        <w:t>проекта генерального плана городского округа города-курорта Кисловодска Ставропольского края</w:t>
      </w:r>
      <w:proofErr w:type="gramEnd"/>
      <w:r w:rsidRPr="00FD1C19">
        <w:rPr>
          <w:rFonts w:ascii="Times New Roman" w:eastAsia="Times New Roman" w:hAnsi="Times New Roman" w:cs="Times New Roman"/>
          <w:color w:val="000000"/>
          <w:sz w:val="20"/>
          <w:szCs w:val="20"/>
        </w:rPr>
        <w:t xml:space="preserve"> использованы актуальные редакции нормативных правовых актов различного уровня (федерального, регионального, местного)</w:t>
      </w:r>
    </w:p>
  </w:footnote>
  <w:footnote w:id="4">
    <w:p w14:paraId="458846FF" w14:textId="77777777" w:rsidR="00403890" w:rsidRDefault="00403890">
      <w:pPr>
        <w:pBdr>
          <w:top w:val="none" w:sz="4" w:space="0" w:color="000000"/>
          <w:left w:val="none" w:sz="4" w:space="0" w:color="000000"/>
          <w:bottom w:val="none" w:sz="4" w:space="0" w:color="000000"/>
          <w:right w:val="none" w:sz="4" w:space="0" w:color="000000"/>
        </w:pBdr>
        <w:shd w:val="clear" w:color="FFFFFF" w:fill="FFFFFF"/>
        <w:ind w:firstLine="0"/>
      </w:pPr>
      <w:r>
        <w:rPr>
          <w:rFonts w:ascii="Times New Roman" w:eastAsia="Times New Roman" w:hAnsi="Times New Roman" w:cs="Times New Roman"/>
          <w:color w:val="000000"/>
          <w:sz w:val="20"/>
          <w:szCs w:val="20"/>
        </w:rPr>
        <w:footnoteRef/>
      </w:r>
      <w:r>
        <w:rPr>
          <w:rFonts w:ascii="Times New Roman" w:eastAsia="Times New Roman" w:hAnsi="Times New Roman" w:cs="Times New Roman"/>
          <w:color w:val="000000"/>
          <w:sz w:val="20"/>
          <w:szCs w:val="20"/>
        </w:rPr>
        <w:t xml:space="preserve"> </w:t>
      </w:r>
      <w:proofErr w:type="gramStart"/>
      <w:r>
        <w:rPr>
          <w:rFonts w:ascii="Times New Roman" w:eastAsia="Times New Roman" w:hAnsi="Times New Roman" w:cs="Times New Roman"/>
          <w:color w:val="000000"/>
          <w:sz w:val="20"/>
          <w:szCs w:val="20"/>
        </w:rPr>
        <w:t>Утверждена</w:t>
      </w:r>
      <w:proofErr w:type="gramEnd"/>
      <w:r>
        <w:rPr>
          <w:rFonts w:ascii="Times New Roman" w:eastAsia="Times New Roman" w:hAnsi="Times New Roman" w:cs="Times New Roman"/>
          <w:color w:val="000000"/>
          <w:sz w:val="20"/>
          <w:szCs w:val="20"/>
        </w:rPr>
        <w:t xml:space="preserve"> Законом Ставропольского края от 12.02.2020 № 27-кз «О стратегии социально-экономического развития города-курорта Кисловодска до 2035 года»</w:t>
      </w:r>
    </w:p>
  </w:footnote>
  <w:footnote w:id="5">
    <w:p w14:paraId="18187364" w14:textId="77777777" w:rsidR="00403890" w:rsidRDefault="00403890">
      <w:pPr>
        <w:pBdr>
          <w:top w:val="none" w:sz="4" w:space="0" w:color="000000"/>
          <w:left w:val="none" w:sz="4" w:space="0" w:color="000000"/>
          <w:bottom w:val="none" w:sz="4" w:space="0" w:color="000000"/>
          <w:right w:val="none" w:sz="4" w:space="0" w:color="000000"/>
        </w:pBdr>
        <w:tabs>
          <w:tab w:val="left" w:pos="199"/>
        </w:tabs>
        <w:spacing w:line="17" w:lineRule="atLeast"/>
        <w:ind w:firstLine="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footnoteRef/>
      </w:r>
      <w:r>
        <w:rPr>
          <w:rFonts w:ascii="Times New Roman" w:eastAsia="Times New Roman" w:hAnsi="Times New Roman" w:cs="Times New Roman"/>
          <w:color w:val="000000"/>
          <w:sz w:val="20"/>
          <w:szCs w:val="20"/>
        </w:rPr>
        <w:t xml:space="preserve"> </w:t>
      </w:r>
      <w:proofErr w:type="gramStart"/>
      <w:r>
        <w:rPr>
          <w:rFonts w:ascii="Times New Roman" w:eastAsia="Times New Roman" w:hAnsi="Times New Roman" w:cs="Times New Roman"/>
          <w:color w:val="000000"/>
          <w:sz w:val="20"/>
          <w:szCs w:val="20"/>
        </w:rPr>
        <w:t>Утвержден распоряжением Администрации города-курорта Кисловодска Ставропольского края от 29.11.2018 № 368-р «Об утверждении Прогноза социально-экономического развития города-курорта Кисловодска на период до 2035 года»</w:t>
      </w:r>
      <w:proofErr w:type="gramEnd"/>
    </w:p>
  </w:footnote>
  <w:footnote w:id="6">
    <w:p w14:paraId="7D0F7321" w14:textId="77777777" w:rsidR="00403890" w:rsidRDefault="00403890">
      <w:pPr>
        <w:pStyle w:val="afc"/>
        <w:spacing w:before="0" w:beforeAutospacing="0" w:after="0" w:afterAutospacing="0"/>
        <w:jc w:val="both"/>
        <w:rPr>
          <w:sz w:val="20"/>
          <w:szCs w:val="20"/>
        </w:rPr>
      </w:pPr>
      <w:r>
        <w:rPr>
          <w:rStyle w:val="afb"/>
          <w:sz w:val="20"/>
          <w:szCs w:val="20"/>
          <w:vertAlign w:val="superscript"/>
        </w:rPr>
        <w:footnoteRef/>
      </w:r>
      <w:r>
        <w:rPr>
          <w:sz w:val="20"/>
          <w:szCs w:val="20"/>
          <w:vertAlign w:val="superscript"/>
        </w:rPr>
        <w:t xml:space="preserve"> </w:t>
      </w:r>
      <w:r>
        <w:rPr>
          <w:sz w:val="20"/>
          <w:szCs w:val="20"/>
        </w:rPr>
        <w:t xml:space="preserve">Численность населения Российской Федерации по муниципальным образованиям на 1 января 2023 года. Федеральная служба государственной статистики </w:t>
      </w:r>
      <w:hyperlink r:id="rId1" w:tooltip="https://rosstat.gov.ru/compendium/document/13282" w:history="1">
        <w:r>
          <w:rPr>
            <w:rStyle w:val="af6"/>
            <w:sz w:val="20"/>
            <w:szCs w:val="20"/>
          </w:rPr>
          <w:t>https://rosstat.gov.ru/compendium/document/13282</w:t>
        </w:r>
      </w:hyperlink>
      <w:r>
        <w:rPr>
          <w:sz w:val="20"/>
          <w:szCs w:val="20"/>
        </w:rPr>
        <w:t xml:space="preserve"> </w:t>
      </w:r>
    </w:p>
  </w:footnote>
  <w:footnote w:id="7">
    <w:p w14:paraId="54C0B4D8" w14:textId="77777777" w:rsidR="00403890" w:rsidRDefault="00403890">
      <w:pPr>
        <w:pStyle w:val="afc"/>
        <w:spacing w:before="0" w:beforeAutospacing="0" w:after="0" w:afterAutospacing="0"/>
        <w:jc w:val="both"/>
        <w:rPr>
          <w:sz w:val="20"/>
          <w:szCs w:val="20"/>
        </w:rPr>
      </w:pPr>
      <w:r>
        <w:rPr>
          <w:rStyle w:val="afb"/>
          <w:sz w:val="20"/>
          <w:szCs w:val="20"/>
          <w:vertAlign w:val="superscript"/>
        </w:rPr>
        <w:footnoteRef/>
      </w:r>
      <w:r>
        <w:rPr>
          <w:sz w:val="20"/>
          <w:szCs w:val="20"/>
          <w:vertAlign w:val="superscript"/>
        </w:rPr>
        <w:t xml:space="preserve"> </w:t>
      </w:r>
      <w:r>
        <w:rPr>
          <w:sz w:val="20"/>
          <w:szCs w:val="20"/>
        </w:rPr>
        <w:t xml:space="preserve">Схема территориального планирования Кавказских Минеральных Вод. </w:t>
      </w:r>
      <w:r>
        <w:rPr>
          <w:bCs/>
          <w:sz w:val="20"/>
          <w:szCs w:val="20"/>
        </w:rPr>
        <w:t xml:space="preserve">Том 4. Определение возможных </w:t>
      </w:r>
      <w:proofErr w:type="gramStart"/>
      <w:r>
        <w:rPr>
          <w:bCs/>
          <w:sz w:val="20"/>
          <w:szCs w:val="20"/>
        </w:rPr>
        <w:t>направлений развития территории Региона Кавказских Минеральных Вод</w:t>
      </w:r>
      <w:proofErr w:type="gramEnd"/>
    </w:p>
  </w:footnote>
  <w:footnote w:id="8">
    <w:p w14:paraId="7FE6A60B" w14:textId="77777777" w:rsidR="00403890" w:rsidRDefault="00403890">
      <w:pPr>
        <w:pStyle w:val="afc"/>
        <w:rPr>
          <w:sz w:val="20"/>
          <w:szCs w:val="20"/>
        </w:rPr>
      </w:pPr>
      <w:r>
        <w:rPr>
          <w:rStyle w:val="afb"/>
          <w:sz w:val="20"/>
          <w:szCs w:val="20"/>
        </w:rPr>
        <w:footnoteRef/>
      </w:r>
      <w:r>
        <w:rPr>
          <w:sz w:val="20"/>
          <w:szCs w:val="20"/>
        </w:rPr>
        <w:t xml:space="preserve"> </w:t>
      </w:r>
      <w:hyperlink r:id="rId2" w:tooltip="https://www.meteoblue.com/ru/%D0%BF%D0%BE%D0%B3%D0%BE%D0%B4%D0%B0/historyclimate/climatemodelled/%d0%9a%d0%b8%d1%81%d0%bb%d0%be%d0%b2%d0%be%d0%b4%d1%81%d0%ba_%d0%a0%d0%be%d1%81%d1%81%d0%b8%d1%8f_548114" w:history="1">
        <w:r>
          <w:rPr>
            <w:rStyle w:val="af6"/>
            <w:color w:val="auto"/>
            <w:sz w:val="20"/>
            <w:szCs w:val="20"/>
            <w:u w:val="none"/>
          </w:rPr>
          <w:t xml:space="preserve">Моделирование </w:t>
        </w:r>
        <w:proofErr w:type="gramStart"/>
        <w:r>
          <w:rPr>
            <w:rStyle w:val="af6"/>
            <w:color w:val="auto"/>
            <w:sz w:val="20"/>
            <w:szCs w:val="20"/>
            <w:u w:val="none"/>
          </w:rPr>
          <w:t>исторических</w:t>
        </w:r>
        <w:proofErr w:type="gramEnd"/>
        <w:r>
          <w:rPr>
            <w:rStyle w:val="af6"/>
            <w:color w:val="auto"/>
            <w:sz w:val="20"/>
            <w:szCs w:val="20"/>
            <w:u w:val="none"/>
          </w:rPr>
          <w:t xml:space="preserve"> данные о климате и погоде для Кисловодск - meteoblue</w:t>
        </w:r>
      </w:hyperlink>
      <w:r>
        <w:rPr>
          <w:sz w:val="20"/>
          <w:szCs w:val="20"/>
        </w:rPr>
        <w:t xml:space="preserve"> </w:t>
      </w:r>
    </w:p>
  </w:footnote>
  <w:footnote w:id="9">
    <w:p w14:paraId="4E7D038F" w14:textId="77777777" w:rsidR="00403890" w:rsidRDefault="00403890">
      <w:pPr>
        <w:pStyle w:val="afc"/>
        <w:rPr>
          <w:sz w:val="20"/>
          <w:szCs w:val="20"/>
        </w:rPr>
      </w:pPr>
      <w:r>
        <w:rPr>
          <w:rStyle w:val="afb"/>
          <w:sz w:val="20"/>
          <w:szCs w:val="20"/>
        </w:rPr>
        <w:footnoteRef/>
      </w:r>
      <w:r>
        <w:rPr>
          <w:sz w:val="20"/>
          <w:szCs w:val="20"/>
        </w:rPr>
        <w:t xml:space="preserve"> </w:t>
      </w:r>
      <w:hyperlink r:id="rId3" w:tooltip="https://www.meteoblue.com/ru/%D0%BF%D0%BE%D0%B3%D0%BE%D0%B4%D0%B0/historyclimate/climatemodelled/%d0%9a%d0%b8%d1%81%d0%bb%d0%be%d0%b2%d0%be%d0%b4%d1%81%d0%ba_%d0%a0%d0%be%d1%81%d1%81%d0%b8%d1%8f_548114" w:history="1">
        <w:r>
          <w:rPr>
            <w:rStyle w:val="af6"/>
            <w:color w:val="auto"/>
            <w:sz w:val="20"/>
            <w:szCs w:val="20"/>
            <w:u w:val="none"/>
          </w:rPr>
          <w:t xml:space="preserve">Моделирование </w:t>
        </w:r>
        <w:proofErr w:type="gramStart"/>
        <w:r>
          <w:rPr>
            <w:rStyle w:val="af6"/>
            <w:color w:val="auto"/>
            <w:sz w:val="20"/>
            <w:szCs w:val="20"/>
            <w:u w:val="none"/>
          </w:rPr>
          <w:t>исторических</w:t>
        </w:r>
        <w:proofErr w:type="gramEnd"/>
        <w:r>
          <w:rPr>
            <w:rStyle w:val="af6"/>
            <w:color w:val="auto"/>
            <w:sz w:val="20"/>
            <w:szCs w:val="20"/>
            <w:u w:val="none"/>
          </w:rPr>
          <w:t xml:space="preserve"> данные о климате и погоде для Кисловодск - meteoblue</w:t>
        </w:r>
      </w:hyperlink>
      <w:r>
        <w:rPr>
          <w:sz w:val="20"/>
          <w:szCs w:val="20"/>
        </w:rPr>
        <w:t xml:space="preserve"> </w:t>
      </w:r>
    </w:p>
  </w:footnote>
  <w:footnote w:id="10">
    <w:p w14:paraId="2CFE5FB0" w14:textId="77777777" w:rsidR="00403890" w:rsidRDefault="00403890">
      <w:pPr>
        <w:pStyle w:val="afc"/>
        <w:rPr>
          <w:sz w:val="20"/>
          <w:szCs w:val="20"/>
        </w:rPr>
      </w:pPr>
      <w:r>
        <w:rPr>
          <w:rStyle w:val="afb"/>
          <w:sz w:val="20"/>
          <w:szCs w:val="20"/>
        </w:rPr>
        <w:footnoteRef/>
      </w:r>
      <w:r>
        <w:rPr>
          <w:sz w:val="20"/>
          <w:szCs w:val="20"/>
        </w:rPr>
        <w:t xml:space="preserve"> </w:t>
      </w:r>
      <w:hyperlink r:id="rId4" w:tooltip="https://www.meteoblue.com/ru/%D0%BF%D0%BE%D0%B3%D0%BE%D0%B4%D0%B0/historyclimate/climatemodelled/%d0%9a%d0%b8%d1%81%d0%bb%d0%be%d0%b2%d0%be%d0%b4%d1%81%d0%ba_%d0%a0%d0%be%d1%81%d1%81%d0%b8%d1%8f_548114" w:history="1">
        <w:r>
          <w:rPr>
            <w:rStyle w:val="af6"/>
            <w:color w:val="auto"/>
            <w:sz w:val="20"/>
            <w:szCs w:val="20"/>
            <w:u w:val="none"/>
          </w:rPr>
          <w:t xml:space="preserve">Моделирование </w:t>
        </w:r>
        <w:proofErr w:type="gramStart"/>
        <w:r>
          <w:rPr>
            <w:rStyle w:val="af6"/>
            <w:color w:val="auto"/>
            <w:sz w:val="20"/>
            <w:szCs w:val="20"/>
            <w:u w:val="none"/>
          </w:rPr>
          <w:t>исторических</w:t>
        </w:r>
        <w:proofErr w:type="gramEnd"/>
        <w:r>
          <w:rPr>
            <w:rStyle w:val="af6"/>
            <w:color w:val="auto"/>
            <w:sz w:val="20"/>
            <w:szCs w:val="20"/>
            <w:u w:val="none"/>
          </w:rPr>
          <w:t xml:space="preserve"> данные о климате и погоде для Кисловодск - meteoblue</w:t>
        </w:r>
      </w:hyperlink>
      <w:r>
        <w:rPr>
          <w:sz w:val="20"/>
          <w:szCs w:val="20"/>
        </w:rPr>
        <w:t xml:space="preserve"> </w:t>
      </w:r>
    </w:p>
  </w:footnote>
  <w:footnote w:id="11">
    <w:p w14:paraId="35A9BB81" w14:textId="77777777" w:rsidR="00403890" w:rsidRDefault="00403890">
      <w:pPr>
        <w:pStyle w:val="afc"/>
        <w:spacing w:before="0" w:beforeAutospacing="0" w:after="0" w:afterAutospacing="0"/>
        <w:rPr>
          <w:sz w:val="20"/>
          <w:szCs w:val="20"/>
          <w:vertAlign w:val="superscript"/>
        </w:rPr>
      </w:pPr>
      <w:r>
        <w:rPr>
          <w:rStyle w:val="afb"/>
          <w:sz w:val="20"/>
          <w:szCs w:val="20"/>
          <w:vertAlign w:val="superscript"/>
        </w:rPr>
        <w:footnoteRef/>
      </w:r>
      <w:r>
        <w:rPr>
          <w:sz w:val="20"/>
          <w:szCs w:val="20"/>
          <w:vertAlign w:val="superscript"/>
        </w:rPr>
        <w:t xml:space="preserve"> </w:t>
      </w:r>
      <w:r>
        <w:rPr>
          <w:sz w:val="20"/>
          <w:szCs w:val="20"/>
        </w:rPr>
        <w:t>Генеральный план городского округа города-курорта Кисловодска. Том II. Материалы по обоснованию генерального плана городского округа города-курорта Кисловодска. – М.: ОАО «Гипрогор», 2011</w:t>
      </w:r>
    </w:p>
  </w:footnote>
  <w:footnote w:id="12">
    <w:p w14:paraId="4B8B122A" w14:textId="77777777" w:rsidR="00403890" w:rsidRDefault="00403890">
      <w:pPr>
        <w:pBdr>
          <w:top w:val="none" w:sz="4" w:space="0" w:color="000000"/>
          <w:left w:val="none" w:sz="4" w:space="0" w:color="000000"/>
          <w:bottom w:val="none" w:sz="4" w:space="0" w:color="000000"/>
          <w:right w:val="none" w:sz="4" w:space="0" w:color="000000"/>
        </w:pBdr>
        <w:spacing w:line="240" w:lineRule="auto"/>
        <w:ind w:firstLine="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vertAlign w:val="superscript"/>
        </w:rPr>
        <w:footnoteRef/>
      </w:r>
      <w:r>
        <w:rPr>
          <w:rFonts w:ascii="Times New Roman" w:eastAsia="Times New Roman" w:hAnsi="Times New Roman" w:cs="Times New Roman"/>
          <w:color w:val="000000"/>
          <w:sz w:val="20"/>
          <w:szCs w:val="20"/>
        </w:rPr>
        <w:t xml:space="preserve">Лесохозяйственный регламент Кисловодского лесничества. </w:t>
      </w:r>
      <w:proofErr w:type="gramStart"/>
      <w:r>
        <w:rPr>
          <w:rFonts w:ascii="Times New Roman" w:eastAsia="Times New Roman" w:hAnsi="Times New Roman" w:cs="Times New Roman"/>
          <w:color w:val="000000"/>
          <w:sz w:val="20"/>
          <w:szCs w:val="20"/>
        </w:rPr>
        <w:t>Утвержден</w:t>
      </w:r>
      <w:proofErr w:type="gramEnd"/>
      <w:r>
        <w:rPr>
          <w:rFonts w:ascii="Times New Roman" w:eastAsia="Times New Roman" w:hAnsi="Times New Roman" w:cs="Times New Roman"/>
          <w:color w:val="000000"/>
          <w:sz w:val="20"/>
          <w:szCs w:val="20"/>
        </w:rPr>
        <w:t xml:space="preserve"> Приказом Министерства природных ресурсов и охраны окружающей среды Ставропольского края от 13 января 2022 года № 10 «О внесении изменений в лесохозяйственные регламенты лесничеств, утвержденные приказом министерства природных ресурсов и охраны окружающей среды Ставропольского края от 31.07.2018 № 356 «Об утверждении лесохозяйственных регламентов лесничеств»</w:t>
      </w:r>
    </w:p>
  </w:footnote>
  <w:footnote w:id="13">
    <w:p w14:paraId="3144A7FB" w14:textId="77777777" w:rsidR="00403890" w:rsidRDefault="00403890">
      <w:pPr>
        <w:pBdr>
          <w:top w:val="none" w:sz="4" w:space="0" w:color="000000"/>
          <w:left w:val="none" w:sz="4" w:space="0" w:color="000000"/>
          <w:bottom w:val="none" w:sz="4" w:space="0" w:color="000000"/>
          <w:right w:val="none" w:sz="4" w:space="0" w:color="000000"/>
        </w:pBdr>
        <w:spacing w:line="240" w:lineRule="auto"/>
        <w:ind w:firstLine="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vertAlign w:val="superscript"/>
        </w:rPr>
        <w:footnoteRef/>
      </w:r>
      <w:r>
        <w:rPr>
          <w:rFonts w:ascii="Times New Roman" w:eastAsia="Times New Roman" w:hAnsi="Times New Roman" w:cs="Times New Roman"/>
          <w:color w:val="000000"/>
          <w:sz w:val="20"/>
          <w:szCs w:val="20"/>
        </w:rPr>
        <w:t xml:space="preserve">  Там же</w:t>
      </w:r>
    </w:p>
  </w:footnote>
  <w:footnote w:id="14">
    <w:p w14:paraId="31ED100A" w14:textId="77777777" w:rsidR="00403890" w:rsidRDefault="00403890">
      <w:pPr>
        <w:pBdr>
          <w:top w:val="none" w:sz="4" w:space="0" w:color="000000"/>
          <w:left w:val="none" w:sz="4" w:space="0" w:color="000000"/>
          <w:bottom w:val="none" w:sz="4" w:space="0" w:color="000000"/>
          <w:right w:val="none" w:sz="4" w:space="0" w:color="000000"/>
        </w:pBdr>
        <w:spacing w:line="240" w:lineRule="auto"/>
        <w:ind w:firstLine="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vertAlign w:val="superscript"/>
        </w:rPr>
        <w:footnoteRef/>
      </w:r>
      <w:r>
        <w:rPr>
          <w:rFonts w:ascii="Times New Roman" w:eastAsia="Times New Roman" w:hAnsi="Times New Roman" w:cs="Times New Roman"/>
          <w:color w:val="000000"/>
          <w:sz w:val="20"/>
          <w:szCs w:val="20"/>
        </w:rPr>
        <w:t xml:space="preserve">  Там же</w:t>
      </w:r>
    </w:p>
    <w:p w14:paraId="6E8D30E3" w14:textId="77777777" w:rsidR="00403890" w:rsidRDefault="00403890">
      <w:pPr>
        <w:pBdr>
          <w:top w:val="none" w:sz="4" w:space="0" w:color="000000"/>
          <w:left w:val="none" w:sz="4" w:space="0" w:color="000000"/>
          <w:bottom w:val="none" w:sz="4" w:space="0" w:color="000000"/>
          <w:right w:val="none" w:sz="4" w:space="0" w:color="000000"/>
        </w:pBdr>
        <w:spacing w:line="240" w:lineRule="auto"/>
        <w:ind w:firstLine="0"/>
        <w:rPr>
          <w:rFonts w:ascii="Times New Roman" w:eastAsia="Times New Roman" w:hAnsi="Times New Roman" w:cs="Times New Roman"/>
          <w:color w:val="000000"/>
          <w:sz w:val="20"/>
          <w:szCs w:val="20"/>
        </w:rPr>
      </w:pPr>
    </w:p>
  </w:footnote>
  <w:footnote w:id="15">
    <w:p w14:paraId="39996BD4" w14:textId="77777777" w:rsidR="00403890" w:rsidRDefault="00403890">
      <w:pPr>
        <w:pStyle w:val="afc"/>
        <w:jc w:val="both"/>
        <w:rPr>
          <w:sz w:val="20"/>
          <w:szCs w:val="20"/>
        </w:rPr>
      </w:pPr>
      <w:r>
        <w:rPr>
          <w:rStyle w:val="af1"/>
          <w:sz w:val="20"/>
          <w:szCs w:val="20"/>
        </w:rPr>
        <w:footnoteRef/>
      </w:r>
      <w:r>
        <w:rPr>
          <w:sz w:val="20"/>
          <w:szCs w:val="20"/>
        </w:rPr>
        <w:t xml:space="preserve"> </w:t>
      </w:r>
      <w:r>
        <w:rPr>
          <w:rFonts w:ascii="Arial" w:eastAsia="Arial" w:hAnsi="Arial" w:cs="Arial"/>
          <w:color w:val="000000"/>
          <w:sz w:val="20"/>
          <w:szCs w:val="20"/>
        </w:rPr>
        <w:t xml:space="preserve"> </w:t>
      </w:r>
      <w:r>
        <w:rPr>
          <w:color w:val="000000"/>
          <w:sz w:val="20"/>
          <w:szCs w:val="20"/>
        </w:rPr>
        <w:t>Приказ ФГБУ «</w:t>
      </w:r>
      <w:proofErr w:type="gramStart"/>
      <w:r>
        <w:rPr>
          <w:color w:val="000000"/>
          <w:sz w:val="20"/>
          <w:szCs w:val="20"/>
        </w:rPr>
        <w:t>Северо-Кавказское</w:t>
      </w:r>
      <w:proofErr w:type="gramEnd"/>
      <w:r>
        <w:rPr>
          <w:color w:val="000000"/>
          <w:sz w:val="20"/>
          <w:szCs w:val="20"/>
        </w:rPr>
        <w:t xml:space="preserve"> УГМС» от 01.03.2022 </w:t>
      </w:r>
      <w:hyperlink r:id="rId5" w:tooltip="https://yugmeteo.donpac.ru/export/sites/default/Observation/order-40.pdf" w:history="1">
        <w:r>
          <w:rPr>
            <w:color w:val="000000"/>
            <w:sz w:val="20"/>
            <w:szCs w:val="20"/>
          </w:rPr>
          <w:t>№40</w:t>
        </w:r>
      </w:hyperlink>
      <w:r>
        <w:rPr>
          <w:rFonts w:ascii="Arial" w:eastAsia="Arial" w:hAnsi="Arial" w:cs="Arial"/>
          <w:color w:val="000000"/>
          <w:sz w:val="20"/>
          <w:szCs w:val="20"/>
        </w:rPr>
        <w:t xml:space="preserve"> </w:t>
      </w:r>
      <w:r>
        <w:rPr>
          <w:color w:val="000000"/>
          <w:sz w:val="20"/>
          <w:szCs w:val="20"/>
        </w:rPr>
        <w:t>«Перечень наблюдательных подразделений Ставропольского центра по гидрометеорологии и мониторингу окружающей среды – филиала ФГБУ «Северо-Кавказское УГМС»</w:t>
      </w:r>
    </w:p>
  </w:footnote>
  <w:footnote w:id="16">
    <w:p w14:paraId="4DCA6521" w14:textId="77777777" w:rsidR="00403890" w:rsidRDefault="00403890">
      <w:pPr>
        <w:pBdr>
          <w:top w:val="none" w:sz="4" w:space="0" w:color="000000"/>
          <w:left w:val="none" w:sz="4" w:space="0" w:color="000000"/>
          <w:bottom w:val="none" w:sz="4" w:space="0" w:color="000000"/>
          <w:right w:val="none" w:sz="4" w:space="0" w:color="000000"/>
        </w:pBdr>
        <w:spacing w:line="240" w:lineRule="auto"/>
        <w:ind w:firstLine="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footnoteRef/>
      </w:r>
      <w:r>
        <w:rPr>
          <w:rFonts w:ascii="Times New Roman" w:eastAsia="Times New Roman" w:hAnsi="Times New Roman" w:cs="Times New Roman"/>
          <w:color w:val="000000"/>
          <w:sz w:val="20"/>
          <w:szCs w:val="20"/>
        </w:rPr>
        <w:t xml:space="preserve">  Генеральный план городского округа города-курорта Кисловодска. Том II. Материалы по обоснованию генерального плана городского округа города-курорта Кисловодска. – М.: ОАО «Гипрогор», 2011</w:t>
      </w:r>
    </w:p>
  </w:footnote>
  <w:footnote w:id="17">
    <w:p w14:paraId="71A2FF2E" w14:textId="77777777" w:rsidR="00403890" w:rsidRDefault="00403890" w:rsidP="00DD3AB0">
      <w:pPr>
        <w:pBdr>
          <w:top w:val="none" w:sz="4" w:space="0" w:color="000000"/>
          <w:left w:val="none" w:sz="4" w:space="0" w:color="000000"/>
          <w:bottom w:val="none" w:sz="4" w:space="0" w:color="000000"/>
          <w:right w:val="none" w:sz="4" w:space="0" w:color="000000"/>
        </w:pBdr>
        <w:spacing w:line="17" w:lineRule="atLeast"/>
        <w:ind w:firstLine="0"/>
        <w:rPr>
          <w:rFonts w:ascii="Times New Roman" w:eastAsia="Times New Roman" w:hAnsi="Times New Roman" w:cs="Times New Roman"/>
          <w:color w:val="000000"/>
          <w:sz w:val="16"/>
          <w:szCs w:val="14"/>
        </w:rPr>
      </w:pPr>
      <w:r>
        <w:rPr>
          <w:rFonts w:ascii="Times New Roman" w:eastAsia="Times New Roman" w:hAnsi="Times New Roman" w:cs="Times New Roman"/>
          <w:color w:val="000000"/>
          <w:sz w:val="20"/>
          <w:szCs w:val="18"/>
          <w:vertAlign w:val="superscript"/>
        </w:rPr>
        <w:footnoteRef/>
      </w:r>
      <w:r>
        <w:rPr>
          <w:rFonts w:ascii="Times New Roman" w:eastAsia="Times New Roman" w:hAnsi="Times New Roman" w:cs="Times New Roman"/>
          <w:color w:val="000000"/>
          <w:sz w:val="20"/>
          <w:szCs w:val="18"/>
        </w:rPr>
        <w:t xml:space="preserve"> Федеральный закон «Об особо охраняемых природных территориях» от 14.03.1995 № 33-ФЗ (последняя редакция).</w:t>
      </w:r>
    </w:p>
  </w:footnote>
  <w:footnote w:id="18">
    <w:p w14:paraId="152480DF" w14:textId="77777777" w:rsidR="00403890" w:rsidRDefault="00403890" w:rsidP="00DD3AB0">
      <w:pPr>
        <w:pStyle w:val="afc"/>
        <w:spacing w:before="0" w:beforeAutospacing="0" w:after="0" w:afterAutospacing="0"/>
        <w:jc w:val="both"/>
      </w:pPr>
      <w:r>
        <w:rPr>
          <w:rFonts w:ascii="Calibri" w:eastAsia="Calibri" w:hAnsi="Calibri" w:cs="Calibri"/>
          <w:color w:val="000000" w:themeColor="text1"/>
          <w:sz w:val="20"/>
          <w:vertAlign w:val="superscript"/>
        </w:rPr>
        <w:footnoteRef/>
      </w:r>
      <w:r>
        <w:rPr>
          <w:color w:val="000000" w:themeColor="text1"/>
        </w:rPr>
        <w:t xml:space="preserve"> </w:t>
      </w:r>
      <w:r>
        <w:rPr>
          <w:color w:val="000000" w:themeColor="text1"/>
          <w:sz w:val="20"/>
        </w:rPr>
        <w:t>За</w:t>
      </w:r>
      <w:r>
        <w:rPr>
          <w:color w:val="000000"/>
          <w:sz w:val="20"/>
        </w:rPr>
        <w:t>кон Ставропольского края от 06.05.2014 № 33-кз «Об особо охраняемых природных территориях» (с изм. на 02.10.2023)</w:t>
      </w:r>
    </w:p>
  </w:footnote>
  <w:footnote w:id="19">
    <w:p w14:paraId="3470B9EA" w14:textId="77777777" w:rsidR="00403890" w:rsidRDefault="00403890" w:rsidP="00DD3AB0">
      <w:pPr>
        <w:pStyle w:val="afc"/>
        <w:spacing w:before="0" w:beforeAutospacing="0" w:after="0" w:afterAutospacing="0"/>
        <w:jc w:val="both"/>
      </w:pPr>
      <w:r>
        <w:rPr>
          <w:color w:val="000000" w:themeColor="text1"/>
          <w:sz w:val="20"/>
          <w:vertAlign w:val="superscript"/>
        </w:rPr>
        <w:footnoteRef/>
      </w:r>
      <w:r>
        <w:t xml:space="preserve"> </w:t>
      </w:r>
      <w:r>
        <w:rPr>
          <w:color w:val="000000"/>
          <w:sz w:val="20"/>
        </w:rPr>
        <w:t xml:space="preserve">Министерство природных ресурсов и экологии Российской Федерации – </w:t>
      </w:r>
      <w:hyperlink r:id="rId6" w:tooltip="https://www.mnr.gov.ru/activity/oopt/kislovodskiy_natsionalnyy_park/?ysclid=lty9o2fb53377585560" w:history="1">
        <w:r>
          <w:rPr>
            <w:rStyle w:val="af6"/>
            <w:color w:val="0563C1"/>
            <w:sz w:val="20"/>
          </w:rPr>
          <w:t>https://www.mnr.gov.ru/activity/oopt/kislovodskiy_natsionalnyy_park/?ysclid=lty9o2fb53377585560</w:t>
        </w:r>
      </w:hyperlink>
      <w:r>
        <w:rPr>
          <w:color w:val="000000"/>
          <w:sz w:val="20"/>
        </w:rPr>
        <w:t xml:space="preserve"> </w:t>
      </w:r>
    </w:p>
  </w:footnote>
  <w:footnote w:id="20">
    <w:p w14:paraId="639903BF" w14:textId="77777777" w:rsidR="00403890" w:rsidRDefault="00403890" w:rsidP="00DD3AB0">
      <w:pPr>
        <w:pStyle w:val="afc"/>
        <w:spacing w:before="0" w:beforeAutospacing="0" w:after="0" w:afterAutospacing="0"/>
        <w:jc w:val="both"/>
      </w:pPr>
      <w:r>
        <w:rPr>
          <w:rFonts w:ascii="Calibri" w:eastAsia="Calibri" w:hAnsi="Calibri" w:cs="Calibri"/>
          <w:color w:val="000000" w:themeColor="text1"/>
          <w:sz w:val="20"/>
          <w:vertAlign w:val="superscript"/>
        </w:rPr>
        <w:footnoteRef/>
      </w:r>
      <w:r>
        <w:rPr>
          <w:color w:val="000000" w:themeColor="text1"/>
        </w:rPr>
        <w:t xml:space="preserve"> </w:t>
      </w:r>
      <w:r>
        <w:rPr>
          <w:color w:val="000000" w:themeColor="text1"/>
          <w:sz w:val="20"/>
        </w:rPr>
        <w:t>При</w:t>
      </w:r>
      <w:r>
        <w:rPr>
          <w:color w:val="000000"/>
          <w:sz w:val="20"/>
        </w:rPr>
        <w:t xml:space="preserve">каз Министерства природных ресурсов и экологии Российской Федерации от 15.02.2023 № 83 «Об утверждении Положения о национальном парке «Кисловодский» – </w:t>
      </w:r>
      <w:hyperlink r:id="rId7" w:tooltip="https://docs.cntd.ru/document/1300953649?marker=6540IN" w:history="1">
        <w:r>
          <w:rPr>
            <w:rStyle w:val="af6"/>
            <w:color w:val="0563C1"/>
            <w:sz w:val="20"/>
          </w:rPr>
          <w:t>https://docs.cntd.ru/document/1300953649?marker=6540IN</w:t>
        </w:r>
      </w:hyperlink>
      <w:r>
        <w:rPr>
          <w:color w:val="000000"/>
          <w:sz w:val="20"/>
        </w:rPr>
        <w:t xml:space="preserve"> </w:t>
      </w:r>
    </w:p>
  </w:footnote>
  <w:footnote w:id="21">
    <w:p w14:paraId="0031AA01" w14:textId="77777777" w:rsidR="00403890" w:rsidRDefault="00403890" w:rsidP="00DD3AB0">
      <w:pPr>
        <w:pStyle w:val="afc"/>
        <w:spacing w:before="0" w:beforeAutospacing="0" w:after="0" w:afterAutospacing="0"/>
        <w:jc w:val="both"/>
      </w:pPr>
      <w:r>
        <w:rPr>
          <w:rFonts w:ascii="Calibri" w:eastAsia="Calibri" w:hAnsi="Calibri" w:cs="Calibri"/>
          <w:color w:val="000000" w:themeColor="text1"/>
          <w:sz w:val="20"/>
          <w:vertAlign w:val="superscript"/>
        </w:rPr>
        <w:footnoteRef/>
      </w:r>
      <w:r>
        <w:rPr>
          <w:color w:val="000000" w:themeColor="text1"/>
        </w:rPr>
        <w:t xml:space="preserve"> </w:t>
      </w:r>
      <w:r>
        <w:rPr>
          <w:color w:val="000000" w:themeColor="text1"/>
          <w:sz w:val="20"/>
        </w:rPr>
        <w:t>Перече</w:t>
      </w:r>
      <w:r>
        <w:rPr>
          <w:color w:val="000000"/>
          <w:sz w:val="20"/>
        </w:rPr>
        <w:t xml:space="preserve">нь особо охраняемых природных территорий краевого значения в Ставропольском крае по состоянию на 01.01.2024 г. – </w:t>
      </w:r>
      <w:hyperlink r:id="rId8" w:tooltip="https://mpr26.ru/oopt/testovyy-razdel/" w:history="1">
        <w:r>
          <w:rPr>
            <w:rStyle w:val="af6"/>
            <w:color w:val="0563C1"/>
            <w:sz w:val="20"/>
          </w:rPr>
          <w:t>https://mpr26.ru/oopt/testovyy-razdel/</w:t>
        </w:r>
      </w:hyperlink>
      <w:r>
        <w:rPr>
          <w:color w:val="000000"/>
          <w:sz w:val="20"/>
        </w:rPr>
        <w:t xml:space="preserve"> </w:t>
      </w:r>
    </w:p>
  </w:footnote>
  <w:footnote w:id="22">
    <w:p w14:paraId="0C53A642" w14:textId="77777777" w:rsidR="00403890" w:rsidRDefault="00403890" w:rsidP="00DD3AB0">
      <w:pPr>
        <w:pStyle w:val="afc"/>
        <w:spacing w:before="0" w:beforeAutospacing="0" w:after="0" w:afterAutospacing="0"/>
        <w:jc w:val="both"/>
      </w:pPr>
      <w:r>
        <w:rPr>
          <w:rFonts w:ascii="Calibri" w:eastAsia="Calibri" w:hAnsi="Calibri" w:cs="Calibri"/>
          <w:color w:val="000000" w:themeColor="text1"/>
          <w:sz w:val="20"/>
          <w:vertAlign w:val="superscript"/>
        </w:rPr>
        <w:footnoteRef/>
      </w:r>
      <w:r>
        <w:rPr>
          <w:color w:val="000000" w:themeColor="text1"/>
        </w:rPr>
        <w:t xml:space="preserve"> </w:t>
      </w:r>
      <w:r>
        <w:rPr>
          <w:color w:val="000000" w:themeColor="text1"/>
          <w:sz w:val="20"/>
        </w:rPr>
        <w:t>Перечень ос</w:t>
      </w:r>
      <w:r>
        <w:rPr>
          <w:color w:val="000000"/>
          <w:sz w:val="20"/>
        </w:rPr>
        <w:t xml:space="preserve">обо охраняемых природных территорий краевого значения в Ставропольском крае по состоянию на 01.01.2024 г. – </w:t>
      </w:r>
      <w:hyperlink r:id="rId9" w:tooltip="https://mpr26.ru/oopt/testovyy-razdel/" w:history="1">
        <w:r>
          <w:rPr>
            <w:rStyle w:val="af6"/>
            <w:color w:val="0563C1"/>
            <w:sz w:val="20"/>
          </w:rPr>
          <w:t>https://mpr26.ru/oopt/testovyy-razdel/</w:t>
        </w:r>
      </w:hyperlink>
      <w:r>
        <w:rPr>
          <w:color w:val="000000"/>
          <w:sz w:val="20"/>
        </w:rPr>
        <w:t xml:space="preserve"> </w:t>
      </w:r>
    </w:p>
  </w:footnote>
  <w:footnote w:id="23">
    <w:p w14:paraId="403FADCC" w14:textId="77777777" w:rsidR="00403890" w:rsidRDefault="00403890" w:rsidP="00FA0215">
      <w:pPr>
        <w:pStyle w:val="afc"/>
        <w:spacing w:before="0" w:beforeAutospacing="0" w:after="0" w:afterAutospacing="0"/>
        <w:jc w:val="both"/>
      </w:pPr>
      <w:r>
        <w:rPr>
          <w:rFonts w:ascii="Calibri" w:eastAsia="Calibri" w:hAnsi="Calibri" w:cs="Calibri"/>
          <w:color w:val="000000" w:themeColor="text1"/>
          <w:sz w:val="20"/>
          <w:vertAlign w:val="superscript"/>
        </w:rPr>
        <w:footnoteRef/>
      </w:r>
      <w:r>
        <w:rPr>
          <w:color w:val="000000" w:themeColor="text1"/>
        </w:rPr>
        <w:t xml:space="preserve"> </w:t>
      </w:r>
      <w:r>
        <w:rPr>
          <w:color w:val="000000" w:themeColor="text1"/>
          <w:sz w:val="20"/>
        </w:rPr>
        <w:t xml:space="preserve">Паспорт </w:t>
      </w:r>
      <w:r>
        <w:rPr>
          <w:color w:val="000000"/>
          <w:sz w:val="20"/>
        </w:rPr>
        <w:t xml:space="preserve">памятника природы краевого значения «Скала «Замок коварства и любви», утв. Приказом Министерства природных ресурсов и охраны окружающей среды Ставропольского края от 04.09.2017 г. № 355 – </w:t>
      </w:r>
      <w:hyperlink r:id="rId10" w:tooltip="https://mpr26.ru/oopt/pamyatniki-prirody/zamok-kovarstva-i-lyubvi/" w:history="1">
        <w:r>
          <w:rPr>
            <w:rStyle w:val="af6"/>
            <w:color w:val="0563C1"/>
            <w:sz w:val="20"/>
            <w:u w:val="none"/>
          </w:rPr>
          <w:t>https://mpr26.ru/oopt/pamyatniki-prirody/zamok-kovarstva-i-lyubvi/</w:t>
        </w:r>
      </w:hyperlink>
      <w:r>
        <w:rPr>
          <w:color w:val="000000"/>
          <w:sz w:val="20"/>
        </w:rPr>
        <w:t xml:space="preserve"> </w:t>
      </w:r>
    </w:p>
  </w:footnote>
  <w:footnote w:id="24">
    <w:p w14:paraId="65FB4C5D" w14:textId="77777777" w:rsidR="00403890" w:rsidRDefault="00403890" w:rsidP="00FA0215">
      <w:pPr>
        <w:pStyle w:val="afc"/>
        <w:spacing w:before="0" w:beforeAutospacing="0" w:after="0" w:afterAutospacing="0"/>
        <w:jc w:val="both"/>
      </w:pPr>
      <w:r>
        <w:rPr>
          <w:rFonts w:ascii="Calibri" w:eastAsia="Calibri" w:hAnsi="Calibri" w:cs="Calibri"/>
          <w:color w:val="000000" w:themeColor="text1"/>
          <w:sz w:val="20"/>
          <w:vertAlign w:val="superscript"/>
        </w:rPr>
        <w:footnoteRef/>
      </w:r>
      <w:r>
        <w:rPr>
          <w:color w:val="000000" w:themeColor="text1"/>
        </w:rPr>
        <w:t xml:space="preserve"> </w:t>
      </w:r>
      <w:r>
        <w:rPr>
          <w:color w:val="000000" w:themeColor="text1"/>
          <w:sz w:val="20"/>
        </w:rPr>
        <w:t>Пас</w:t>
      </w:r>
      <w:r>
        <w:rPr>
          <w:color w:val="000000"/>
          <w:sz w:val="20"/>
        </w:rPr>
        <w:t xml:space="preserve">порт памятника природы краевого значения «Скалы «Броненосец» и «Миноносец», утв. Приказом Министерства природных ресурсов и охраны окружающей среды Ставропольского края от 24.07.2017 № 296 – </w:t>
      </w:r>
      <w:hyperlink r:id="rId11" w:tooltip="https://mpr26.ru/oopt/pamyatniki-prirody/skaly-bronenosets-i-minonosets/" w:history="1">
        <w:r>
          <w:rPr>
            <w:rStyle w:val="af6"/>
            <w:color w:val="0563C1"/>
            <w:sz w:val="20"/>
            <w:u w:val="none"/>
          </w:rPr>
          <w:t>https://mpr26.ru/oopt/pamyatniki-prirody/skaly-bronenosets-i-minonosets/</w:t>
        </w:r>
      </w:hyperlink>
      <w:r>
        <w:rPr>
          <w:color w:val="000000"/>
          <w:sz w:val="20"/>
        </w:rPr>
        <w:t xml:space="preserve"> </w:t>
      </w:r>
    </w:p>
  </w:footnote>
  <w:footnote w:id="25">
    <w:p w14:paraId="74AD8325" w14:textId="77777777" w:rsidR="00403890" w:rsidRDefault="00403890" w:rsidP="00FA0215">
      <w:pPr>
        <w:pStyle w:val="afc"/>
        <w:spacing w:before="0" w:beforeAutospacing="0" w:after="0" w:afterAutospacing="0"/>
        <w:jc w:val="both"/>
      </w:pPr>
      <w:r>
        <w:rPr>
          <w:rFonts w:ascii="Calibri" w:eastAsia="Calibri" w:hAnsi="Calibri" w:cs="Calibri"/>
          <w:color w:val="000000" w:themeColor="text1"/>
          <w:sz w:val="20"/>
          <w:vertAlign w:val="superscript"/>
        </w:rPr>
        <w:footnoteRef/>
      </w:r>
      <w:r>
        <w:rPr>
          <w:color w:val="000000" w:themeColor="text1"/>
        </w:rPr>
        <w:t xml:space="preserve"> </w:t>
      </w:r>
      <w:r>
        <w:rPr>
          <w:color w:val="000000" w:themeColor="text1"/>
          <w:sz w:val="20"/>
        </w:rPr>
        <w:t>Пасп</w:t>
      </w:r>
      <w:r>
        <w:rPr>
          <w:color w:val="000000"/>
          <w:sz w:val="20"/>
        </w:rPr>
        <w:t xml:space="preserve">орт памятника природы краевого значения «Лермонтовская скала», утв. Приказом Министерства природных ресурсов и охраны окружающей среды Ставропольского края от 24.07.2017 № 296 – </w:t>
      </w:r>
      <w:hyperlink r:id="rId12" w:tooltip="https://mpr26.ru/oopt/pamyatniki-prirody/lermontovskaya-skala/" w:history="1">
        <w:r>
          <w:rPr>
            <w:rStyle w:val="af6"/>
            <w:color w:val="0563C1"/>
            <w:sz w:val="20"/>
            <w:u w:val="none"/>
          </w:rPr>
          <w:t>https://mpr26.ru/oopt/pamyatniki-prirody/lermontovskaya-skala/</w:t>
        </w:r>
      </w:hyperlink>
      <w:r>
        <w:rPr>
          <w:color w:val="000000"/>
          <w:sz w:val="20"/>
        </w:rPr>
        <w:t xml:space="preserve"> </w:t>
      </w:r>
    </w:p>
  </w:footnote>
  <w:footnote w:id="26">
    <w:p w14:paraId="3F8D09D8" w14:textId="77777777" w:rsidR="00403890" w:rsidRDefault="00403890" w:rsidP="00FA0215">
      <w:pPr>
        <w:pStyle w:val="afc"/>
        <w:spacing w:before="0" w:beforeAutospacing="0" w:after="0" w:afterAutospacing="0"/>
        <w:jc w:val="both"/>
      </w:pPr>
      <w:r>
        <w:rPr>
          <w:rFonts w:ascii="Calibri" w:eastAsia="Calibri" w:hAnsi="Calibri" w:cs="Calibri"/>
          <w:color w:val="000000" w:themeColor="text1"/>
          <w:sz w:val="20"/>
          <w:vertAlign w:val="superscript"/>
        </w:rPr>
        <w:footnoteRef/>
      </w:r>
      <w:r>
        <w:rPr>
          <w:color w:val="000000" w:themeColor="text1"/>
        </w:rPr>
        <w:t xml:space="preserve"> </w:t>
      </w:r>
      <w:r>
        <w:rPr>
          <w:color w:val="000000" w:themeColor="text1"/>
          <w:sz w:val="20"/>
        </w:rPr>
        <w:t>Паспорт памятника</w:t>
      </w:r>
      <w:r>
        <w:rPr>
          <w:color w:val="000000"/>
          <w:sz w:val="20"/>
        </w:rPr>
        <w:t xml:space="preserve"> природы краевого значения «Лермонтовский водопад», утв. Приказом Министерства природных ресурсов и охраны окружающей среды Ставропольского края от 04.09.2017 г. № 356 – </w:t>
      </w:r>
      <w:hyperlink r:id="rId13" w:tooltip="https://mpr26.ru/oopt/pamyatniki-prirody/lermontovskiy-vodopad/" w:history="1">
        <w:r>
          <w:rPr>
            <w:rStyle w:val="af6"/>
            <w:color w:val="0563C1"/>
            <w:sz w:val="20"/>
            <w:u w:val="none"/>
          </w:rPr>
          <w:t>https://mpr26.ru/oopt/pamyatniki-prirody/lermontovskiy-vodopad/</w:t>
        </w:r>
      </w:hyperlink>
      <w:r>
        <w:rPr>
          <w:color w:val="000000"/>
          <w:sz w:val="20"/>
        </w:rPr>
        <w:t xml:space="preserve"> </w:t>
      </w:r>
    </w:p>
  </w:footnote>
  <w:footnote w:id="27">
    <w:p w14:paraId="20BF706C" w14:textId="77777777" w:rsidR="00403890" w:rsidRDefault="00403890" w:rsidP="00FA0215">
      <w:pPr>
        <w:pStyle w:val="afc"/>
        <w:spacing w:before="0" w:beforeAutospacing="0" w:after="0" w:afterAutospacing="0"/>
        <w:jc w:val="both"/>
      </w:pPr>
      <w:r>
        <w:rPr>
          <w:rFonts w:ascii="Calibri" w:eastAsia="Calibri" w:hAnsi="Calibri" w:cs="Calibri"/>
          <w:color w:val="000000" w:themeColor="text1"/>
          <w:sz w:val="20"/>
          <w:vertAlign w:val="superscript"/>
        </w:rPr>
        <w:footnoteRef/>
      </w:r>
      <w:r>
        <w:rPr>
          <w:color w:val="000000" w:themeColor="text1"/>
        </w:rPr>
        <w:t xml:space="preserve"> </w:t>
      </w:r>
      <w:r>
        <w:rPr>
          <w:color w:val="000000" w:themeColor="text1"/>
          <w:sz w:val="20"/>
        </w:rPr>
        <w:t>Паспо</w:t>
      </w:r>
      <w:r>
        <w:rPr>
          <w:color w:val="000000"/>
          <w:sz w:val="20"/>
        </w:rPr>
        <w:t xml:space="preserve">рт памятника природы краевого значения «Кольцо гора», утв. Приказом Министерства природных ресурсов и охраны окружающей среды Ставропольского края от 16.03.2020 г. № 94 – </w:t>
      </w:r>
      <w:hyperlink r:id="rId14" w:tooltip="https://mpr26.ru/upload/oopt/pasport-pamyatnika-prirody-kolco-gora-2020.pdf" w:history="1">
        <w:r>
          <w:rPr>
            <w:rStyle w:val="af6"/>
            <w:color w:val="0563C1"/>
            <w:sz w:val="20"/>
            <w:u w:val="none"/>
          </w:rPr>
          <w:t>https://mpr26.ru/upload/oopt/pasport-pamyatnika-prirody-kolco-gora-2020.pdf</w:t>
        </w:r>
      </w:hyperlink>
      <w:r>
        <w:rPr>
          <w:color w:val="000000"/>
          <w:sz w:val="20"/>
        </w:rPr>
        <w:t xml:space="preserve"> </w:t>
      </w:r>
    </w:p>
  </w:footnote>
  <w:footnote w:id="28">
    <w:p w14:paraId="6B48A79D" w14:textId="77777777" w:rsidR="00403890" w:rsidRPr="00D97880" w:rsidRDefault="00403890" w:rsidP="00FA0215">
      <w:pPr>
        <w:pStyle w:val="afc"/>
        <w:spacing w:before="0" w:beforeAutospacing="0" w:after="0" w:afterAutospacing="0"/>
        <w:jc w:val="both"/>
      </w:pPr>
      <w:r w:rsidRPr="00D97880">
        <w:rPr>
          <w:rFonts w:eastAsia="Calibri"/>
          <w:color w:val="000000" w:themeColor="text1"/>
          <w:sz w:val="20"/>
          <w:vertAlign w:val="superscript"/>
        </w:rPr>
        <w:footnoteRef/>
      </w:r>
      <w:r w:rsidRPr="00D97880">
        <w:rPr>
          <w:color w:val="000000" w:themeColor="text1"/>
        </w:rPr>
        <w:t xml:space="preserve"> </w:t>
      </w:r>
      <w:r w:rsidRPr="00D97880">
        <w:rPr>
          <w:color w:val="000000" w:themeColor="text1"/>
          <w:sz w:val="20"/>
        </w:rPr>
        <w:t>По</w:t>
      </w:r>
      <w:r w:rsidRPr="00D97880">
        <w:rPr>
          <w:color w:val="000000"/>
          <w:sz w:val="20"/>
        </w:rPr>
        <w:t xml:space="preserve">ложение «О памятнике природы краевого значения «Кольцо гора», утв. Постановлением Правительства Ставропольского края от 12.01.2023 г. № 19-п – </w:t>
      </w:r>
      <w:hyperlink r:id="rId15" w:tooltip="https://mpr26.ru/oopt/pamyatniki-prirody/koltso-gora/" w:history="1">
        <w:r w:rsidRPr="00D97880">
          <w:rPr>
            <w:rStyle w:val="af6"/>
            <w:color w:val="0563C1"/>
            <w:sz w:val="20"/>
            <w:u w:val="none"/>
          </w:rPr>
          <w:t>https://mpr26.ru/oopt/pamyatniki-prirody/koltso-gora/</w:t>
        </w:r>
      </w:hyperlink>
      <w:r w:rsidRPr="00D97880">
        <w:rPr>
          <w:color w:val="000000"/>
          <w:sz w:val="20"/>
        </w:rPr>
        <w:t xml:space="preserve"> </w:t>
      </w:r>
    </w:p>
  </w:footnote>
  <w:footnote w:id="29">
    <w:p w14:paraId="1A321968" w14:textId="77777777" w:rsidR="00403890" w:rsidRDefault="00403890">
      <w:pPr>
        <w:pStyle w:val="afc"/>
        <w:spacing w:before="0" w:beforeAutospacing="0" w:after="0" w:afterAutospacing="0"/>
        <w:jc w:val="both"/>
      </w:pPr>
      <w:r>
        <w:rPr>
          <w:rFonts w:ascii="Calibri" w:eastAsia="Calibri" w:hAnsi="Calibri" w:cs="Calibri"/>
          <w:sz w:val="20"/>
          <w:vertAlign w:val="superscript"/>
        </w:rPr>
        <w:footnoteRef/>
      </w:r>
      <w:r>
        <w:t xml:space="preserve"> </w:t>
      </w:r>
      <w:r>
        <w:rPr>
          <w:sz w:val="20"/>
        </w:rPr>
        <w:t>Рас</w:t>
      </w:r>
      <w:r>
        <w:rPr>
          <w:color w:val="000000"/>
          <w:sz w:val="20"/>
        </w:rPr>
        <w:t xml:space="preserve">поряжение Губернатора Ставропольского края от 11.01.2019 № 7-р «Об утверждении лесного плана Ставропольского края» – </w:t>
      </w:r>
      <w:hyperlink r:id="rId16" w:tooltip="https://mpr26.ru/forest/lesnoy-plan-stavropolskogo-kraya/" w:history="1">
        <w:r>
          <w:rPr>
            <w:rStyle w:val="af6"/>
            <w:color w:val="0563C1"/>
            <w:sz w:val="20"/>
            <w:u w:val="none"/>
          </w:rPr>
          <w:t>https://mpr26.ru/forest/lesnoy-plan-stavropolskogo-kraya/</w:t>
        </w:r>
      </w:hyperlink>
      <w:r>
        <w:rPr>
          <w:color w:val="000000"/>
          <w:sz w:val="20"/>
        </w:rPr>
        <w:t xml:space="preserve"> </w:t>
      </w:r>
    </w:p>
  </w:footnote>
  <w:footnote w:id="30">
    <w:p w14:paraId="0F057530" w14:textId="77777777" w:rsidR="00403890" w:rsidRDefault="00403890">
      <w:pPr>
        <w:pStyle w:val="afc"/>
        <w:spacing w:before="0" w:beforeAutospacing="0" w:after="0" w:afterAutospacing="0"/>
        <w:jc w:val="both"/>
      </w:pPr>
      <w:r>
        <w:rPr>
          <w:sz w:val="20"/>
          <w:vertAlign w:val="superscript"/>
        </w:rPr>
        <w:footnoteRef/>
      </w:r>
      <w:r>
        <w:rPr>
          <w:sz w:val="20"/>
        </w:rPr>
        <w:t xml:space="preserve"> Лесох</w:t>
      </w:r>
      <w:r>
        <w:rPr>
          <w:color w:val="000000"/>
          <w:sz w:val="20"/>
        </w:rPr>
        <w:t xml:space="preserve">озяйственный регламент Кисловодского лесничества, утв. Приказом Министерства природных ресурсов и охраны окружающей среды Ставропольского края от 13.01.2022 № 10 – </w:t>
      </w:r>
      <w:hyperlink r:id="rId17" w:tooltip="https://mpr26.ru/forest/lesokhozyaystvennye-reglamenty/?PAGEN_1=2" w:history="1">
        <w:r>
          <w:rPr>
            <w:rStyle w:val="af6"/>
            <w:color w:val="0563C1"/>
            <w:sz w:val="20"/>
            <w:u w:val="none"/>
          </w:rPr>
          <w:t>https://mpr26.ru/forest/lesokhozyaystvennye-reglamenty/?PAGEN_1=2</w:t>
        </w:r>
      </w:hyperlink>
      <w:r>
        <w:rPr>
          <w:color w:val="000000"/>
          <w:sz w:val="20"/>
        </w:rPr>
        <w:t xml:space="preserve"> </w:t>
      </w:r>
    </w:p>
  </w:footnote>
  <w:footnote w:id="31">
    <w:p w14:paraId="5F6D7413" w14:textId="77777777" w:rsidR="00403890" w:rsidRDefault="00403890">
      <w:pPr>
        <w:pStyle w:val="afc"/>
        <w:spacing w:before="0" w:beforeAutospacing="0" w:after="0" w:afterAutospacing="0"/>
        <w:jc w:val="both"/>
      </w:pPr>
      <w:r>
        <w:rPr>
          <w:color w:val="000000"/>
          <w:sz w:val="20"/>
          <w:vertAlign w:val="superscript"/>
        </w:rPr>
        <w:footnoteRef/>
      </w:r>
      <w:r>
        <w:t xml:space="preserve"> </w:t>
      </w:r>
      <w:r>
        <w:rPr>
          <w:color w:val="000000"/>
          <w:sz w:val="20"/>
        </w:rPr>
        <w:t xml:space="preserve">Федеральная служба государственной статистики. Оценка численности населения на 1 января текущего года – </w:t>
      </w:r>
      <w:hyperlink r:id="rId18" w:tooltip="https://rosstat.gov.ru/dbscripts/munst/munst07/DBInet.cgi" w:history="1">
        <w:r>
          <w:rPr>
            <w:rStyle w:val="af6"/>
            <w:sz w:val="20"/>
          </w:rPr>
          <w:t>https://rosstat.gov.ru/dbscripts/munst/munst07/DBInet.cgi</w:t>
        </w:r>
      </w:hyperlink>
      <w:r>
        <w:rPr>
          <w:color w:val="000000"/>
          <w:sz w:val="20"/>
        </w:rPr>
        <w:t xml:space="preserve"> </w:t>
      </w:r>
    </w:p>
  </w:footnote>
  <w:footnote w:id="32">
    <w:p w14:paraId="050ADB3E" w14:textId="77777777" w:rsidR="00403890" w:rsidRDefault="00403890">
      <w:pPr>
        <w:pStyle w:val="afc"/>
        <w:spacing w:before="0" w:beforeAutospacing="0" w:after="0" w:afterAutospacing="0"/>
        <w:jc w:val="both"/>
        <w:rPr>
          <w:color w:val="000000"/>
          <w:sz w:val="20"/>
          <w:szCs w:val="20"/>
        </w:rPr>
      </w:pPr>
      <w:r>
        <w:rPr>
          <w:color w:val="000000"/>
          <w:sz w:val="20"/>
          <w:szCs w:val="20"/>
          <w:vertAlign w:val="superscript"/>
        </w:rPr>
        <w:footnoteRef/>
      </w:r>
      <w:r>
        <w:rPr>
          <w:color w:val="000000"/>
          <w:sz w:val="20"/>
          <w:szCs w:val="20"/>
          <w:vertAlign w:val="superscript"/>
        </w:rPr>
        <w:t xml:space="preserve"> </w:t>
      </w:r>
      <w:r>
        <w:rPr>
          <w:color w:val="000000"/>
          <w:sz w:val="20"/>
          <w:szCs w:val="20"/>
        </w:rPr>
        <w:t>Федера</w:t>
      </w:r>
      <w:r>
        <w:rPr>
          <w:color w:val="000000"/>
          <w:sz w:val="20"/>
        </w:rPr>
        <w:t xml:space="preserve">льная служба государственной статистики. </w:t>
      </w:r>
      <w:r>
        <w:rPr>
          <w:color w:val="000000"/>
          <w:sz w:val="20"/>
          <w:szCs w:val="20"/>
        </w:rPr>
        <w:t xml:space="preserve">Показатели естественного воспроизводства населения – </w:t>
      </w:r>
      <w:hyperlink r:id="rId19" w:tooltip="https://rosstat.gov.ru/dbscripts/munst/munst07/DBInet.cgi" w:history="1">
        <w:r>
          <w:rPr>
            <w:rStyle w:val="af6"/>
            <w:sz w:val="20"/>
            <w:szCs w:val="20"/>
          </w:rPr>
          <w:t>https://rosstat.gov.ru/dbscripts/munst/munst07/DBInet.cgi</w:t>
        </w:r>
      </w:hyperlink>
      <w:r>
        <w:rPr>
          <w:color w:val="000000"/>
          <w:sz w:val="20"/>
          <w:szCs w:val="20"/>
        </w:rPr>
        <w:t xml:space="preserve"> </w:t>
      </w:r>
    </w:p>
  </w:footnote>
  <w:footnote w:id="33">
    <w:p w14:paraId="0C8980F0" w14:textId="77777777" w:rsidR="00403890" w:rsidRDefault="00403890">
      <w:pPr>
        <w:pStyle w:val="afc"/>
        <w:spacing w:before="0" w:beforeAutospacing="0" w:after="0" w:afterAutospacing="0"/>
        <w:jc w:val="both"/>
        <w:rPr>
          <w:color w:val="000000"/>
          <w:sz w:val="20"/>
          <w:szCs w:val="20"/>
        </w:rPr>
      </w:pPr>
      <w:r>
        <w:rPr>
          <w:rFonts w:ascii="Arial" w:eastAsia="Arial" w:hAnsi="Arial" w:cs="Arial"/>
          <w:color w:val="0000FF"/>
          <w:sz w:val="20"/>
          <w:vertAlign w:val="superscript"/>
        </w:rPr>
        <w:footnoteRef/>
      </w:r>
      <w:r>
        <w:rPr>
          <w:color w:val="000000"/>
          <w:sz w:val="20"/>
          <w:szCs w:val="20"/>
        </w:rPr>
        <w:t xml:space="preserve"> Федера</w:t>
      </w:r>
      <w:r>
        <w:rPr>
          <w:color w:val="000000"/>
          <w:sz w:val="20"/>
        </w:rPr>
        <w:t xml:space="preserve">льная служба государственной статистики. </w:t>
      </w:r>
      <w:r>
        <w:rPr>
          <w:color w:val="000000"/>
          <w:sz w:val="20"/>
          <w:szCs w:val="20"/>
        </w:rPr>
        <w:t xml:space="preserve">Показатели миграционного движения населения – </w:t>
      </w:r>
      <w:hyperlink r:id="rId20" w:tooltip="https://rosstat.gov.ru/dbscripts/munst/munst07/DBInet.cgi" w:history="1">
        <w:r>
          <w:rPr>
            <w:rStyle w:val="af6"/>
            <w:sz w:val="20"/>
            <w:szCs w:val="20"/>
          </w:rPr>
          <w:t>https://rosstat.gov.ru/dbscripts/munst/munst07/DBInet.cgi</w:t>
        </w:r>
      </w:hyperlink>
      <w:r>
        <w:rPr>
          <w:color w:val="000000"/>
          <w:sz w:val="20"/>
          <w:szCs w:val="20"/>
        </w:rPr>
        <w:t xml:space="preserve"> </w:t>
      </w:r>
    </w:p>
  </w:footnote>
  <w:footnote w:id="34">
    <w:p w14:paraId="12243F7F" w14:textId="77777777" w:rsidR="00403890" w:rsidRDefault="00403890">
      <w:pPr>
        <w:pStyle w:val="afc"/>
        <w:spacing w:before="0" w:beforeAutospacing="0" w:after="0" w:afterAutospacing="0"/>
        <w:jc w:val="both"/>
        <w:rPr>
          <w:color w:val="000000"/>
          <w:sz w:val="12"/>
          <w:szCs w:val="12"/>
        </w:rPr>
      </w:pPr>
      <w:r>
        <w:rPr>
          <w:rFonts w:ascii="Arial" w:eastAsia="Arial" w:hAnsi="Arial" w:cs="Arial"/>
          <w:color w:val="0000FF"/>
          <w:sz w:val="20"/>
          <w:vertAlign w:val="superscript"/>
        </w:rPr>
        <w:footnoteRef/>
      </w:r>
      <w:r>
        <w:rPr>
          <w:color w:val="000000"/>
          <w:sz w:val="20"/>
          <w:szCs w:val="20"/>
        </w:rPr>
        <w:t xml:space="preserve"> Федеральная служба государственной статистики. Численность всего населения по полу и возрасту на 1 января текущего года, 2023 г. – </w:t>
      </w:r>
      <w:hyperlink r:id="rId21" w:tooltip="https://rosstat.gov.ru/dbscripts/munst/munst07/DBInet.cgi" w:history="1">
        <w:r>
          <w:rPr>
            <w:rStyle w:val="af6"/>
            <w:sz w:val="20"/>
            <w:szCs w:val="20"/>
          </w:rPr>
          <w:t>https://rosstat.gov.ru/dbscripts/munst/munst07/DBInet.cgi</w:t>
        </w:r>
      </w:hyperlink>
      <w:r>
        <w:rPr>
          <w:color w:val="000000"/>
          <w:sz w:val="20"/>
          <w:szCs w:val="20"/>
        </w:rPr>
        <w:t xml:space="preserve"> </w:t>
      </w:r>
    </w:p>
  </w:footnote>
  <w:footnote w:id="35">
    <w:p w14:paraId="13A4A97B" w14:textId="77777777" w:rsidR="00403890" w:rsidRDefault="00403890">
      <w:pPr>
        <w:pStyle w:val="afc"/>
        <w:spacing w:before="0" w:beforeAutospacing="0" w:after="0" w:afterAutospacing="0"/>
        <w:jc w:val="both"/>
        <w:rPr>
          <w:color w:val="000000"/>
          <w:sz w:val="20"/>
          <w:szCs w:val="20"/>
        </w:rPr>
      </w:pPr>
      <w:r>
        <w:rPr>
          <w:rFonts w:ascii="Arial" w:eastAsia="Arial" w:hAnsi="Arial" w:cs="Arial"/>
          <w:color w:val="0000FF"/>
          <w:sz w:val="20"/>
          <w:szCs w:val="20"/>
          <w:vertAlign w:val="superscript"/>
        </w:rPr>
        <w:footnoteRef/>
      </w:r>
      <w:r>
        <w:t xml:space="preserve"> </w:t>
      </w:r>
      <w:r>
        <w:rPr>
          <w:color w:val="000000"/>
          <w:sz w:val="20"/>
          <w:szCs w:val="20"/>
        </w:rPr>
        <w:t xml:space="preserve">Всероссийская перепись населения 2020 г. Том 4. НАциональный состав и владение языками. Таблица 1. Национальный состав населения по городским и муниципальным округам Ставропольского края – </w:t>
      </w:r>
      <w:hyperlink r:id="rId22" w:tooltip="https://26.rosstat.gov.ru/folder/77775" w:history="1">
        <w:r>
          <w:rPr>
            <w:rStyle w:val="af6"/>
            <w:sz w:val="20"/>
            <w:szCs w:val="20"/>
          </w:rPr>
          <w:t>https://26.rosstat.gov.ru/folder/77775</w:t>
        </w:r>
      </w:hyperlink>
      <w:r>
        <w:rPr>
          <w:color w:val="000000"/>
          <w:sz w:val="20"/>
          <w:szCs w:val="20"/>
        </w:rPr>
        <w:t xml:space="preserve"> </w:t>
      </w:r>
    </w:p>
  </w:footnote>
  <w:footnote w:id="36">
    <w:p w14:paraId="2F068BF5" w14:textId="77777777" w:rsidR="00403890" w:rsidRDefault="00403890">
      <w:pPr>
        <w:pStyle w:val="afc"/>
        <w:spacing w:before="0" w:beforeAutospacing="0" w:after="0" w:afterAutospacing="0"/>
        <w:jc w:val="both"/>
        <w:rPr>
          <w:color w:val="000000"/>
          <w:sz w:val="20"/>
          <w:szCs w:val="20"/>
        </w:rPr>
      </w:pPr>
      <w:r>
        <w:rPr>
          <w:color w:val="000000"/>
          <w:sz w:val="20"/>
          <w:szCs w:val="20"/>
          <w:vertAlign w:val="superscript"/>
        </w:rPr>
        <w:footnoteRef/>
      </w:r>
      <w:r>
        <w:rPr>
          <w:color w:val="000000"/>
          <w:sz w:val="20"/>
          <w:szCs w:val="20"/>
        </w:rPr>
        <w:t xml:space="preserve"> Отчет Главы города-курорта Кисловодска о результатах деятельности администрации города-курорта Кисловодска в 2022 г.</w:t>
      </w:r>
    </w:p>
  </w:footnote>
  <w:footnote w:id="37">
    <w:p w14:paraId="2B91F95A" w14:textId="0694A108" w:rsidR="00403890" w:rsidRPr="00A14233" w:rsidRDefault="00403890">
      <w:pPr>
        <w:pStyle w:val="afc"/>
        <w:rPr>
          <w:sz w:val="20"/>
          <w:szCs w:val="20"/>
        </w:rPr>
      </w:pPr>
      <w:r w:rsidRPr="00A14233">
        <w:rPr>
          <w:rStyle w:val="afb"/>
          <w:sz w:val="20"/>
          <w:szCs w:val="20"/>
          <w:vertAlign w:val="superscript"/>
        </w:rPr>
        <w:footnoteRef/>
      </w:r>
      <w:r w:rsidRPr="00A14233">
        <w:rPr>
          <w:sz w:val="20"/>
          <w:szCs w:val="20"/>
          <w:vertAlign w:val="superscript"/>
        </w:rPr>
        <w:t xml:space="preserve"> </w:t>
      </w:r>
      <w:r>
        <w:rPr>
          <w:sz w:val="20"/>
          <w:szCs w:val="20"/>
        </w:rPr>
        <w:t xml:space="preserve">Данные </w:t>
      </w:r>
      <w:r w:rsidRPr="002719D0">
        <w:rPr>
          <w:sz w:val="20"/>
          <w:szCs w:val="20"/>
        </w:rPr>
        <w:t>Министерств</w:t>
      </w:r>
      <w:r>
        <w:rPr>
          <w:sz w:val="20"/>
          <w:szCs w:val="20"/>
        </w:rPr>
        <w:t>а</w:t>
      </w:r>
      <w:r w:rsidRPr="002719D0">
        <w:rPr>
          <w:sz w:val="20"/>
          <w:szCs w:val="20"/>
        </w:rPr>
        <w:t xml:space="preserve"> образования Ставропольского края</w:t>
      </w:r>
      <w:r>
        <w:rPr>
          <w:sz w:val="20"/>
          <w:szCs w:val="20"/>
        </w:rPr>
        <w:t>, 2024 г.</w:t>
      </w:r>
    </w:p>
  </w:footnote>
  <w:footnote w:id="38">
    <w:p w14:paraId="2933F94B" w14:textId="77777777" w:rsidR="00403890" w:rsidRDefault="00403890" w:rsidP="00902F18">
      <w:pPr>
        <w:pStyle w:val="afc"/>
        <w:rPr>
          <w:rStyle w:val="afb"/>
          <w:rFonts w:eastAsia="Arial"/>
        </w:rPr>
      </w:pPr>
      <w:r>
        <w:rPr>
          <w:rStyle w:val="afb"/>
          <w:rFonts w:eastAsia="Arial"/>
        </w:rPr>
        <w:footnoteRef/>
      </w:r>
      <w:r>
        <w:rPr>
          <w:rStyle w:val="afb"/>
          <w:rFonts w:eastAsia="Arial"/>
          <w:color w:val="000000"/>
          <w:sz w:val="20"/>
          <w:szCs w:val="20"/>
        </w:rPr>
        <w:t>По данным Управления по физической культуре и спорту администрации города-курорта Кисловодска.</w:t>
      </w:r>
    </w:p>
  </w:footnote>
  <w:footnote w:id="39">
    <w:p w14:paraId="49EF6A11" w14:textId="77777777" w:rsidR="00403890" w:rsidRDefault="00403890">
      <w:pPr>
        <w:pBdr>
          <w:top w:val="none" w:sz="4" w:space="0" w:color="000000"/>
          <w:left w:val="none" w:sz="4" w:space="0" w:color="000000"/>
          <w:bottom w:val="none" w:sz="4" w:space="0" w:color="000000"/>
          <w:right w:val="none" w:sz="4" w:space="0" w:color="000000"/>
        </w:pBdr>
        <w:spacing w:line="240" w:lineRule="auto"/>
        <w:ind w:firstLine="0"/>
        <w:rPr>
          <w:rFonts w:ascii="Times New Roman" w:eastAsia="Times New Roman" w:hAnsi="Times New Roman" w:cs="Times New Roman"/>
          <w:color w:val="000000"/>
          <w:sz w:val="20"/>
          <w:szCs w:val="20"/>
        </w:rPr>
      </w:pPr>
      <w:r>
        <w:rPr>
          <w:rStyle w:val="af1"/>
        </w:rPr>
        <w:footnoteRef/>
      </w:r>
      <w:r>
        <w:rPr>
          <w:rFonts w:ascii="Times New Roman" w:eastAsia="Times New Roman" w:hAnsi="Times New Roman" w:cs="Times New Roman"/>
          <w:color w:val="000000"/>
          <w:sz w:val="20"/>
          <w:szCs w:val="20"/>
        </w:rPr>
        <w:t xml:space="preserve">Деятельность предприятий. </w:t>
      </w:r>
      <w:r>
        <w:rPr>
          <w:rFonts w:ascii="Times New Roman" w:eastAsia="Times New Roman" w:hAnsi="Times New Roman" w:cs="Times New Roman"/>
          <w:color w:val="000000"/>
          <w:sz w:val="20"/>
        </w:rPr>
        <w:t>Федеральная служба государственной статистики. База данных муниципальных образований. Городской округ город-курорт Кислово</w:t>
      </w:r>
      <w:r>
        <w:rPr>
          <w:rFonts w:ascii="Times New Roman" w:eastAsia="Times New Roman" w:hAnsi="Times New Roman" w:cs="Times New Roman"/>
          <w:color w:val="000000"/>
          <w:sz w:val="20"/>
          <w:szCs w:val="20"/>
        </w:rPr>
        <w:t xml:space="preserve">дск. </w:t>
      </w:r>
      <w:hyperlink r:id="rId23" w:tooltip="https://rosstat.gov.ru/scripts/db_inet2/passport/pass.aspx?base=munst07&amp;r=7715000" w:history="1">
        <w:r>
          <w:rPr>
            <w:rFonts w:ascii="Times New Roman" w:eastAsia="Times New Roman" w:hAnsi="Times New Roman" w:cs="Times New Roman"/>
            <w:color w:val="000000"/>
            <w:sz w:val="20"/>
            <w:szCs w:val="20"/>
          </w:rPr>
          <w:t>https://rosstat.gov.ru/scripts/db_inet2/passport/pass.aspx?base=munst07&amp;r=7715000</w:t>
        </w:r>
      </w:hyperlink>
      <w:r>
        <w:rPr>
          <w:rFonts w:ascii="Times New Roman" w:eastAsia="Times New Roman" w:hAnsi="Times New Roman" w:cs="Times New Roman"/>
          <w:color w:val="000000"/>
          <w:sz w:val="20"/>
          <w:szCs w:val="20"/>
        </w:rPr>
        <w:t xml:space="preserve"> </w:t>
      </w:r>
    </w:p>
  </w:footnote>
  <w:footnote w:id="40">
    <w:p w14:paraId="00C4F462" w14:textId="77777777" w:rsidR="00403890" w:rsidRDefault="00403890">
      <w:pPr>
        <w:pStyle w:val="afc"/>
        <w:spacing w:before="0" w:beforeAutospacing="0" w:after="0" w:afterAutospacing="0"/>
        <w:jc w:val="both"/>
        <w:rPr>
          <w:sz w:val="20"/>
          <w:szCs w:val="20"/>
        </w:rPr>
      </w:pPr>
      <w:r>
        <w:rPr>
          <w:color w:val="0563C1"/>
          <w:sz w:val="20"/>
          <w:szCs w:val="20"/>
          <w:u w:val="single"/>
          <w:vertAlign w:val="superscript"/>
        </w:rPr>
        <w:footnoteRef/>
      </w:r>
      <w:r>
        <w:rPr>
          <w:sz w:val="20"/>
          <w:szCs w:val="20"/>
        </w:rPr>
        <w:t xml:space="preserve"> </w:t>
      </w:r>
      <w:r>
        <w:rPr>
          <w:color w:val="000000"/>
          <w:sz w:val="20"/>
          <w:szCs w:val="20"/>
        </w:rPr>
        <w:t xml:space="preserve"> Постановление Правительства РФ от 17.01.2006 г. № 14 «О признании курортов Ессентуки, Железноводск, Кисловодск и Пятигорск, расположенных в Ставропольском крае, курортами федерального значения и об утверждении положений об этих курортах»</w:t>
      </w:r>
    </w:p>
  </w:footnote>
  <w:footnote w:id="41">
    <w:p w14:paraId="1EDFFDCA" w14:textId="77777777" w:rsidR="00403890" w:rsidRDefault="00403890">
      <w:pPr>
        <w:pStyle w:val="afc"/>
        <w:spacing w:before="0" w:beforeAutospacing="0" w:after="0" w:afterAutospacing="0"/>
        <w:jc w:val="both"/>
        <w:rPr>
          <w:sz w:val="20"/>
          <w:szCs w:val="20"/>
        </w:rPr>
      </w:pPr>
      <w:r>
        <w:rPr>
          <w:rStyle w:val="afb"/>
          <w:sz w:val="20"/>
          <w:szCs w:val="20"/>
          <w:vertAlign w:val="superscript"/>
        </w:rPr>
        <w:footnoteRef/>
      </w:r>
      <w:r>
        <w:rPr>
          <w:sz w:val="20"/>
          <w:szCs w:val="20"/>
        </w:rPr>
        <w:t xml:space="preserve"> </w:t>
      </w:r>
      <w:r>
        <w:rPr>
          <w:color w:val="000000"/>
          <w:sz w:val="20"/>
          <w:szCs w:val="20"/>
        </w:rPr>
        <w:t xml:space="preserve">Паспорт городского округа города-курорта Кисловодска, 2022 г. </w:t>
      </w:r>
      <w:hyperlink r:id="rId24" w:tooltip="https://kislovodsk-kurort.org/dokumenty/pasport-goroda-kurorta-kislovodska" w:history="1">
        <w:r>
          <w:rPr>
            <w:rStyle w:val="af6"/>
            <w:color w:val="0563C1"/>
            <w:sz w:val="20"/>
            <w:szCs w:val="20"/>
          </w:rPr>
          <w:t>https://kislovodsk-kurort.org/dokumenty/pasport-goroda-kurorta-kislovodska</w:t>
        </w:r>
      </w:hyperlink>
    </w:p>
  </w:footnote>
  <w:footnote w:id="42">
    <w:p w14:paraId="1217EBFA" w14:textId="77777777" w:rsidR="00403890" w:rsidRDefault="00403890">
      <w:pPr>
        <w:pStyle w:val="afc"/>
        <w:spacing w:before="0" w:beforeAutospacing="0" w:after="0" w:afterAutospacing="0"/>
        <w:jc w:val="both"/>
        <w:rPr>
          <w:color w:val="000000"/>
          <w:sz w:val="20"/>
          <w:szCs w:val="20"/>
        </w:rPr>
      </w:pPr>
      <w:r>
        <w:rPr>
          <w:color w:val="000000"/>
          <w:sz w:val="20"/>
          <w:szCs w:val="20"/>
          <w:vertAlign w:val="superscript"/>
        </w:rPr>
        <w:footnoteRef/>
      </w:r>
      <w:r>
        <w:rPr>
          <w:color w:val="000000"/>
          <w:sz w:val="20"/>
          <w:szCs w:val="20"/>
        </w:rPr>
        <w:t xml:space="preserve"> </w:t>
      </w:r>
      <w:r>
        <w:rPr>
          <w:color w:val="000000" w:themeColor="text1"/>
          <w:sz w:val="20"/>
        </w:rPr>
        <w:t>Письмо №184-03 от 11.03.2024 г. от Управления архитектуры и градостроительства администрации города-курорта Кисловодстка Ставропольского края</w:t>
      </w:r>
    </w:p>
  </w:footnote>
  <w:footnote w:id="43">
    <w:p w14:paraId="3AC4A0A3" w14:textId="77777777" w:rsidR="00403890" w:rsidRDefault="00403890">
      <w:pPr>
        <w:pStyle w:val="afc"/>
        <w:spacing w:before="0" w:beforeAutospacing="0" w:after="0" w:afterAutospacing="0"/>
        <w:rPr>
          <w:sz w:val="20"/>
          <w:szCs w:val="20"/>
        </w:rPr>
      </w:pPr>
      <w:r>
        <w:rPr>
          <w:rStyle w:val="afb"/>
          <w:sz w:val="20"/>
          <w:szCs w:val="20"/>
          <w:vertAlign w:val="superscript"/>
        </w:rPr>
        <w:footnoteRef/>
      </w:r>
      <w:r>
        <w:rPr>
          <w:sz w:val="20"/>
          <w:szCs w:val="20"/>
        </w:rPr>
        <w:t xml:space="preserve"> Паспорт городского округа города-курорта Кисловодска, 2022г. </w:t>
      </w:r>
    </w:p>
  </w:footnote>
  <w:footnote w:id="44">
    <w:p w14:paraId="24536200" w14:textId="77777777" w:rsidR="00403890" w:rsidRDefault="00403890">
      <w:pPr>
        <w:pStyle w:val="afc"/>
        <w:spacing w:before="0" w:beforeAutospacing="0" w:after="0" w:afterAutospacing="0"/>
      </w:pPr>
      <w:r>
        <w:rPr>
          <w:rStyle w:val="afb"/>
          <w:vertAlign w:val="superscript"/>
        </w:rPr>
        <w:footnoteRef/>
      </w:r>
      <w:r>
        <w:rPr>
          <w:vertAlign w:val="superscript"/>
        </w:rPr>
        <w:t xml:space="preserve"> </w:t>
      </w:r>
      <w:r>
        <w:rPr>
          <w:sz w:val="20"/>
          <w:szCs w:val="20"/>
        </w:rPr>
        <w:t xml:space="preserve">Паспорт городского округа города-курорта Кисловодска, 2019 г., 2020 г., 2021 г., 2022 г. </w:t>
      </w:r>
    </w:p>
  </w:footnote>
  <w:footnote w:id="45">
    <w:p w14:paraId="2DE34E74" w14:textId="77777777" w:rsidR="00403890" w:rsidRDefault="00403890">
      <w:pPr>
        <w:pStyle w:val="afc"/>
        <w:spacing w:before="0" w:beforeAutospacing="0" w:after="0" w:afterAutospacing="0"/>
      </w:pPr>
      <w:r>
        <w:rPr>
          <w:rStyle w:val="afb"/>
          <w:vertAlign w:val="superscript"/>
        </w:rPr>
        <w:footnoteRef/>
      </w:r>
      <w:r>
        <w:t xml:space="preserve"> </w:t>
      </w:r>
      <w:r>
        <w:rPr>
          <w:sz w:val="20"/>
          <w:szCs w:val="20"/>
        </w:rPr>
        <w:t xml:space="preserve">Паспорт городского округа города-курорта Кисловодска, 2019 г., 2020 г., 2021 г., 2022 г. </w:t>
      </w:r>
    </w:p>
  </w:footnote>
  <w:footnote w:id="46">
    <w:p w14:paraId="04457151" w14:textId="77777777" w:rsidR="00403890" w:rsidRDefault="00403890">
      <w:pPr>
        <w:pStyle w:val="afc"/>
        <w:spacing w:before="0" w:beforeAutospacing="0" w:after="0" w:afterAutospacing="0"/>
      </w:pPr>
      <w:r>
        <w:rPr>
          <w:rStyle w:val="afb"/>
          <w:vertAlign w:val="superscript"/>
        </w:rPr>
        <w:footnoteRef/>
      </w:r>
      <w:r>
        <w:t xml:space="preserve"> </w:t>
      </w:r>
      <w:r>
        <w:rPr>
          <w:color w:val="000000"/>
          <w:sz w:val="20"/>
          <w:szCs w:val="20"/>
        </w:rPr>
        <w:t>Отчет о результатах деятельности Главы города-курорта и администрации города-курорта Кисловодска за 2022 г.</w:t>
      </w:r>
      <w:r>
        <w:rPr>
          <w:sz w:val="20"/>
          <w:szCs w:val="20"/>
        </w:rPr>
        <w:t xml:space="preserve"> </w:t>
      </w:r>
    </w:p>
  </w:footnote>
  <w:footnote w:id="47">
    <w:p w14:paraId="7718D43D" w14:textId="77777777" w:rsidR="00403890" w:rsidRDefault="00403890">
      <w:pPr>
        <w:pStyle w:val="afc"/>
        <w:spacing w:before="0" w:beforeAutospacing="0" w:after="0" w:afterAutospacing="0"/>
      </w:pPr>
      <w:r>
        <w:rPr>
          <w:rStyle w:val="afb"/>
          <w:vertAlign w:val="superscript"/>
        </w:rPr>
        <w:footnoteRef/>
      </w:r>
      <w:r>
        <w:t xml:space="preserve"> </w:t>
      </w:r>
      <w:r>
        <w:rPr>
          <w:color w:val="000000"/>
          <w:sz w:val="20"/>
          <w:szCs w:val="20"/>
        </w:rPr>
        <w:t>Отчет о результатах деятельности Главы города-курорта и администрации города-курорта Кисловодска за 2022 г.</w:t>
      </w:r>
      <w:r>
        <w:rPr>
          <w:sz w:val="20"/>
          <w:szCs w:val="20"/>
        </w:rPr>
        <w:t xml:space="preserve"> </w:t>
      </w:r>
    </w:p>
  </w:footnote>
  <w:footnote w:id="48">
    <w:p w14:paraId="0E93219F" w14:textId="77777777" w:rsidR="00403890" w:rsidRPr="0052190C" w:rsidRDefault="00403890" w:rsidP="0052190C">
      <w:pPr>
        <w:pStyle w:val="afc"/>
        <w:spacing w:before="0" w:beforeAutospacing="0" w:after="0" w:afterAutospacing="0"/>
        <w:jc w:val="both"/>
        <w:rPr>
          <w:sz w:val="20"/>
          <w:szCs w:val="20"/>
        </w:rPr>
      </w:pPr>
      <w:r w:rsidRPr="0052190C">
        <w:rPr>
          <w:rStyle w:val="afb"/>
          <w:sz w:val="20"/>
          <w:szCs w:val="20"/>
          <w:vertAlign w:val="superscript"/>
        </w:rPr>
        <w:footnoteRef/>
      </w:r>
      <w:r w:rsidRPr="0052190C">
        <w:rPr>
          <w:sz w:val="20"/>
          <w:szCs w:val="20"/>
        </w:rPr>
        <w:t xml:space="preserve"> </w:t>
      </w:r>
      <w:r w:rsidRPr="0052190C">
        <w:rPr>
          <w:color w:val="000000" w:themeColor="text1"/>
          <w:sz w:val="20"/>
          <w:szCs w:val="20"/>
        </w:rPr>
        <w:t>Письмо №184-03 от 11.03.2024 г. от Управления архитектуры и градостроительства админис</w:t>
      </w:r>
      <w:r>
        <w:rPr>
          <w:color w:val="000000" w:themeColor="text1"/>
          <w:sz w:val="20"/>
          <w:szCs w:val="20"/>
        </w:rPr>
        <w:t>трации города-курорта Кисловодс</w:t>
      </w:r>
      <w:r w:rsidRPr="0052190C">
        <w:rPr>
          <w:color w:val="000000" w:themeColor="text1"/>
          <w:sz w:val="20"/>
          <w:szCs w:val="20"/>
        </w:rPr>
        <w:t>ка Ставропольского края</w:t>
      </w:r>
    </w:p>
  </w:footnote>
  <w:footnote w:id="49">
    <w:p w14:paraId="3D7D952C" w14:textId="77777777" w:rsidR="00403890" w:rsidRDefault="00403890">
      <w:pPr>
        <w:pStyle w:val="afc"/>
        <w:spacing w:before="0" w:beforeAutospacing="0" w:after="0" w:afterAutospacing="0"/>
        <w:jc w:val="both"/>
        <w:rPr>
          <w:color w:val="000000" w:themeColor="text1"/>
          <w:sz w:val="20"/>
          <w:szCs w:val="20"/>
        </w:rPr>
      </w:pPr>
      <w:r>
        <w:rPr>
          <w:rStyle w:val="afb"/>
          <w:vertAlign w:val="superscript"/>
        </w:rPr>
        <w:footnoteRef/>
      </w:r>
      <w:r>
        <w:rPr>
          <w:vertAlign w:val="superscript"/>
        </w:rPr>
        <w:t xml:space="preserve"> </w:t>
      </w:r>
      <w:r>
        <w:rPr>
          <w:color w:val="000000" w:themeColor="text1"/>
          <w:sz w:val="20"/>
        </w:rPr>
        <w:t>Инвестиционный профиль г. Кисловодска, 2023 г.</w:t>
      </w:r>
      <w:r>
        <w:rPr>
          <w:color w:val="000000" w:themeColor="text1"/>
          <w:sz w:val="20"/>
          <w:szCs w:val="20"/>
        </w:rPr>
        <w:t xml:space="preserve"> </w:t>
      </w:r>
      <w:hyperlink r:id="rId25" w:tooltip="https://kislovodsk-kurort.org/investitsii/investitsionnyi-pasport-goroda-kurorta-kislovodska" w:history="1">
        <w:r>
          <w:rPr>
            <w:rStyle w:val="af6"/>
            <w:color w:val="000000" w:themeColor="text1"/>
            <w:sz w:val="20"/>
            <w:szCs w:val="20"/>
          </w:rPr>
          <w:t>https://kislovodsk-kurort.org/investitsii/investitsionnyi-pasport-goroda-kurorta-kislovodska</w:t>
        </w:r>
      </w:hyperlink>
      <w:r>
        <w:rPr>
          <w:color w:val="000000" w:themeColor="text1"/>
          <w:sz w:val="20"/>
          <w:szCs w:val="20"/>
        </w:rPr>
        <w:t xml:space="preserve"> </w:t>
      </w:r>
    </w:p>
  </w:footnote>
  <w:footnote w:id="50">
    <w:p w14:paraId="15D08C9B" w14:textId="77777777" w:rsidR="00403890" w:rsidRDefault="00403890">
      <w:pPr>
        <w:pStyle w:val="afc"/>
        <w:spacing w:before="0" w:beforeAutospacing="0" w:after="0" w:afterAutospacing="0"/>
        <w:jc w:val="both"/>
        <w:rPr>
          <w:sz w:val="20"/>
          <w:szCs w:val="20"/>
        </w:rPr>
      </w:pPr>
      <w:r>
        <w:rPr>
          <w:rFonts w:ascii="Calibri" w:eastAsia="Calibri" w:hAnsi="Calibri" w:cs="Calibri"/>
          <w:sz w:val="20"/>
          <w:vertAlign w:val="superscript"/>
        </w:rPr>
        <w:footnoteRef/>
      </w:r>
      <w:r>
        <w:t xml:space="preserve"> </w:t>
      </w:r>
      <w:r>
        <w:rPr>
          <w:color w:val="000000"/>
          <w:sz w:val="20"/>
        </w:rPr>
        <w:t>П</w:t>
      </w:r>
      <w:r>
        <w:rPr>
          <w:color w:val="000000"/>
          <w:sz w:val="20"/>
          <w:szCs w:val="20"/>
        </w:rPr>
        <w:t xml:space="preserve">рограмма Транспортной инфраструктуры города-курорта Кисловодска, 2019 г. – </w:t>
      </w:r>
      <w:hyperlink r:id="rId26" w:tooltip="https://kislovodsk-kurort.org/dokumenty/obshchestvennye-obsuzhdeniia/pasport-programmy-kompleksnogo-razvitiia-transportnoi-infrastruktury-gorodskogo-okruga-goroda-kurorta-kislovodska-stavropolskogo-kraia?ysclid=lu82pvin92618776842" w:history="1">
        <w:r>
          <w:rPr>
            <w:rStyle w:val="af6"/>
            <w:color w:val="0563C1"/>
            <w:sz w:val="20"/>
            <w:szCs w:val="20"/>
            <w:u w:val="none"/>
          </w:rPr>
          <w:t>https://kislovodsk-kurort.org/dokumenty/obshchestvennye-obsuzhdeniia/pasport-programmy-kompleksnogo-razvitiia-transportnoi-infrastruktury-gorodskogo-okruga-goroda-kurorta-kislovodska-stavropolskogo-kraia?ysclid=lu82pvin92618776842</w:t>
        </w:r>
      </w:hyperlink>
      <w:r>
        <w:rPr>
          <w:color w:val="000000"/>
          <w:sz w:val="20"/>
          <w:szCs w:val="20"/>
        </w:rPr>
        <w:t xml:space="preserve"> </w:t>
      </w:r>
    </w:p>
  </w:footnote>
  <w:footnote w:id="51">
    <w:p w14:paraId="7CAEE50E" w14:textId="77777777" w:rsidR="00403890" w:rsidRDefault="00403890">
      <w:pPr>
        <w:pStyle w:val="afc"/>
        <w:spacing w:before="0" w:beforeAutospacing="0" w:after="0" w:afterAutospacing="0"/>
        <w:jc w:val="both"/>
        <w:rPr>
          <w:sz w:val="20"/>
          <w:szCs w:val="20"/>
        </w:rPr>
      </w:pPr>
      <w:r>
        <w:rPr>
          <w:rFonts w:ascii="Calibri" w:eastAsia="Calibri" w:hAnsi="Calibri" w:cs="Calibri"/>
          <w:sz w:val="20"/>
          <w:szCs w:val="20"/>
          <w:vertAlign w:val="superscript"/>
        </w:rPr>
        <w:footnoteRef/>
      </w:r>
      <w:r>
        <w:rPr>
          <w:sz w:val="20"/>
          <w:szCs w:val="20"/>
        </w:rPr>
        <w:t xml:space="preserve"> За</w:t>
      </w:r>
      <w:r>
        <w:rPr>
          <w:color w:val="000000"/>
          <w:sz w:val="20"/>
          <w:szCs w:val="20"/>
        </w:rPr>
        <w:t xml:space="preserve">кон Ставропольского края от 12.12.2020 г. № 27-кз «О Стратегии социально-экономического развития города-курорта Кисловодска до 2035 года» – </w:t>
      </w:r>
      <w:hyperlink r:id="rId27" w:tooltip="https://docs.cntd.ru/document/561749884?ysclid=lu12nvchs4556561019&amp;marker=O9827E&amp;section=text" w:history="1">
        <w:r>
          <w:rPr>
            <w:rStyle w:val="af6"/>
            <w:color w:val="0563C1"/>
            <w:sz w:val="20"/>
            <w:szCs w:val="20"/>
            <w:u w:val="none"/>
          </w:rPr>
          <w:t>https://docs.cntd.ru/document/561749884?ysclid=lu12nvchs4556561019&amp;marker=O9827E&amp;section=text</w:t>
        </w:r>
      </w:hyperlink>
      <w:r>
        <w:rPr>
          <w:color w:val="000000"/>
          <w:sz w:val="20"/>
          <w:szCs w:val="20"/>
        </w:rPr>
        <w:t xml:space="preserve"> </w:t>
      </w:r>
    </w:p>
  </w:footnote>
  <w:footnote w:id="52">
    <w:p w14:paraId="5C96469E" w14:textId="77777777" w:rsidR="00403890" w:rsidRDefault="00403890">
      <w:pPr>
        <w:pStyle w:val="afc"/>
        <w:spacing w:before="0" w:beforeAutospacing="0" w:after="0" w:afterAutospacing="0"/>
        <w:jc w:val="both"/>
      </w:pPr>
      <w:r>
        <w:rPr>
          <w:sz w:val="20"/>
          <w:szCs w:val="20"/>
          <w:vertAlign w:val="superscript"/>
        </w:rPr>
        <w:footnoteRef/>
      </w:r>
      <w:r>
        <w:rPr>
          <w:sz w:val="20"/>
          <w:szCs w:val="20"/>
        </w:rPr>
        <w:t xml:space="preserve"> Пас</w:t>
      </w:r>
      <w:r>
        <w:rPr>
          <w:color w:val="000000"/>
          <w:sz w:val="20"/>
          <w:szCs w:val="20"/>
        </w:rPr>
        <w:t xml:space="preserve">порт городского округа города-курорта Кисловодска, 2022 г. – </w:t>
      </w:r>
      <w:hyperlink r:id="rId28" w:tooltip="https://kislovodsk-kurort.org/dokumenty/pasport-goroda-kurorta-kislovodska" w:history="1">
        <w:r>
          <w:rPr>
            <w:rStyle w:val="af6"/>
            <w:color w:val="0563C1"/>
            <w:sz w:val="20"/>
            <w:szCs w:val="20"/>
            <w:u w:val="none"/>
          </w:rPr>
          <w:t>https://kislovodsk-kurort.org/dokumenty/pasport-goroda-kurorta-kislovodska</w:t>
        </w:r>
      </w:hyperlink>
      <w:r>
        <w:rPr>
          <w:color w:val="000000"/>
          <w:sz w:val="20"/>
          <w:szCs w:val="20"/>
        </w:rPr>
        <w:t xml:space="preserve"> </w:t>
      </w:r>
    </w:p>
  </w:footnote>
  <w:footnote w:id="53">
    <w:p w14:paraId="0C1FF10C" w14:textId="77777777" w:rsidR="00403890" w:rsidRDefault="00403890">
      <w:pPr>
        <w:pStyle w:val="afc"/>
        <w:spacing w:before="0" w:beforeAutospacing="0" w:after="0" w:afterAutospacing="0"/>
        <w:jc w:val="both"/>
        <w:rPr>
          <w:sz w:val="20"/>
          <w:szCs w:val="20"/>
        </w:rPr>
      </w:pPr>
      <w:r>
        <w:rPr>
          <w:sz w:val="20"/>
          <w:szCs w:val="20"/>
          <w:vertAlign w:val="superscript"/>
        </w:rPr>
        <w:footnoteRef/>
      </w:r>
      <w:r>
        <w:rPr>
          <w:sz w:val="20"/>
          <w:szCs w:val="20"/>
        </w:rPr>
        <w:t xml:space="preserve"> П</w:t>
      </w:r>
      <w:r>
        <w:rPr>
          <w:color w:val="000000"/>
          <w:sz w:val="20"/>
          <w:szCs w:val="20"/>
        </w:rPr>
        <w:t xml:space="preserve">рограмма Транспортной инфраструктуры города-курорта Кисловодска, 2019 г. – </w:t>
      </w:r>
      <w:hyperlink r:id="rId29" w:tooltip="https://kislovodsk-kurort.org/dokumenty/obshchestvennye-obsuzhdeniia/pasport-programmy-kompleksnogo-razvitiia-transportnoi-infrastruktury-gorodskogo-okruga-goroda-kurorta-kislovodska-stavropolskogo-kraia?ysclid=lu82pvin92618776842" w:history="1">
        <w:r>
          <w:rPr>
            <w:rStyle w:val="af6"/>
            <w:color w:val="0563C1"/>
            <w:sz w:val="20"/>
            <w:szCs w:val="20"/>
            <w:u w:val="none"/>
          </w:rPr>
          <w:t>https://kislovodsk-kurort.org/dokumenty/obshchestvennye-obsuzhdeniia/pasport-programmy-kompleksnogo-razvitiia-transportnoi-infrastruktury-gorodskogo-okruga-goroda-kurorta-kislovodska-stavropolskogo-kraia?ysclid=lu82pvin92618776842</w:t>
        </w:r>
      </w:hyperlink>
      <w:r>
        <w:rPr>
          <w:color w:val="000000"/>
          <w:sz w:val="20"/>
          <w:szCs w:val="20"/>
        </w:rPr>
        <w:t xml:space="preserve"> </w:t>
      </w:r>
    </w:p>
  </w:footnote>
  <w:footnote w:id="54">
    <w:p w14:paraId="406EFE13" w14:textId="77777777" w:rsidR="00403890" w:rsidRPr="00A72799" w:rsidRDefault="00403890">
      <w:pPr>
        <w:pStyle w:val="afc"/>
        <w:spacing w:before="0" w:beforeAutospacing="0" w:after="0" w:afterAutospacing="0"/>
        <w:jc w:val="both"/>
        <w:rPr>
          <w:sz w:val="20"/>
          <w:szCs w:val="20"/>
        </w:rPr>
      </w:pPr>
      <w:r w:rsidRPr="00A72799">
        <w:rPr>
          <w:rFonts w:eastAsia="Calibri"/>
          <w:sz w:val="20"/>
          <w:szCs w:val="20"/>
          <w:vertAlign w:val="superscript"/>
        </w:rPr>
        <w:footnoteRef/>
      </w:r>
      <w:r w:rsidRPr="00A72799">
        <w:rPr>
          <w:sz w:val="20"/>
          <w:szCs w:val="20"/>
        </w:rPr>
        <w:t xml:space="preserve"> Муниципальная программа города-курорта Кисловодска «Развитие транспортной системы и обеспечение безопасног</w:t>
      </w:r>
      <w:r w:rsidRPr="00A72799">
        <w:rPr>
          <w:color w:val="000000"/>
          <w:sz w:val="20"/>
          <w:szCs w:val="20"/>
        </w:rPr>
        <w:t>о дорожного движения», 2022-2027 г.</w:t>
      </w:r>
      <w:r w:rsidRPr="00A72799">
        <w:rPr>
          <w:sz w:val="20"/>
          <w:szCs w:val="20"/>
        </w:rPr>
        <w:t xml:space="preserve"> – </w:t>
      </w:r>
      <w:hyperlink r:id="rId30" w:tooltip="https://kislovodsk-kurort.org/home/ispolnitelnaia-vlast/upravlenie-po-ekonomike-i-investitsiiam1532965164/strategicheskoe-planirovanie/munitsipalnye-programmy-goroda-kurorta-kislovodska?ysclid=lue6q33n9o994689955" w:history="1">
        <w:r w:rsidRPr="00A72799">
          <w:rPr>
            <w:rStyle w:val="af6"/>
            <w:color w:val="0563C1"/>
            <w:sz w:val="20"/>
            <w:szCs w:val="20"/>
          </w:rPr>
          <w:t>https://kislovodsk-kurort.org/home/ispolnitelnaia-vlast/upravlenie-po-ekonomike-i-investitsiiam1532965164/strategicheskoe-planirovanie/munitsipalnye-programmy-goroda-kurorta-kislovodska?ysclid=lue6q33n9o994689955</w:t>
        </w:r>
      </w:hyperlink>
    </w:p>
  </w:footnote>
  <w:footnote w:id="55">
    <w:p w14:paraId="7D15F8E3" w14:textId="77777777" w:rsidR="00403890" w:rsidRPr="00A72799" w:rsidRDefault="00403890">
      <w:pPr>
        <w:pStyle w:val="afc"/>
        <w:spacing w:before="0" w:beforeAutospacing="0" w:after="0" w:afterAutospacing="0"/>
        <w:jc w:val="both"/>
        <w:rPr>
          <w:sz w:val="20"/>
          <w:szCs w:val="20"/>
        </w:rPr>
      </w:pPr>
      <w:r w:rsidRPr="00A72799">
        <w:rPr>
          <w:rFonts w:eastAsia="Calibri"/>
          <w:sz w:val="20"/>
          <w:szCs w:val="20"/>
          <w:vertAlign w:val="superscript"/>
        </w:rPr>
        <w:footnoteRef/>
      </w:r>
      <w:r w:rsidRPr="00A72799">
        <w:rPr>
          <w:sz w:val="20"/>
          <w:szCs w:val="20"/>
        </w:rPr>
        <w:t xml:space="preserve"> </w:t>
      </w:r>
      <w:proofErr w:type="gramStart"/>
      <w:r w:rsidRPr="00A72799">
        <w:rPr>
          <w:sz w:val="20"/>
          <w:szCs w:val="20"/>
        </w:rPr>
        <w:t>Федеральн</w:t>
      </w:r>
      <w:r w:rsidRPr="00A72799">
        <w:rPr>
          <w:color w:val="000000"/>
          <w:sz w:val="20"/>
          <w:szCs w:val="20"/>
        </w:rPr>
        <w:t>ая</w:t>
      </w:r>
      <w:proofErr w:type="gramEnd"/>
      <w:r w:rsidRPr="00A72799">
        <w:rPr>
          <w:color w:val="000000"/>
          <w:sz w:val="20"/>
          <w:szCs w:val="20"/>
        </w:rPr>
        <w:t xml:space="preserve"> служб государственной статистики – </w:t>
      </w:r>
      <w:hyperlink r:id="rId31" w:tooltip="https://rosstat.gov.ru/" w:history="1">
        <w:r w:rsidRPr="00A72799">
          <w:rPr>
            <w:rStyle w:val="af6"/>
            <w:color w:val="0563C1"/>
            <w:sz w:val="20"/>
            <w:szCs w:val="20"/>
            <w:u w:val="none"/>
          </w:rPr>
          <w:t>https://rosstat.gov.ru/</w:t>
        </w:r>
      </w:hyperlink>
      <w:r w:rsidRPr="00A72799">
        <w:rPr>
          <w:color w:val="000000"/>
          <w:sz w:val="20"/>
          <w:szCs w:val="20"/>
        </w:rPr>
        <w:t xml:space="preserve"> </w:t>
      </w:r>
    </w:p>
  </w:footnote>
  <w:footnote w:id="56">
    <w:p w14:paraId="4EFA2270" w14:textId="77777777" w:rsidR="00403890" w:rsidRDefault="00403890" w:rsidP="00A72799">
      <w:pPr>
        <w:pStyle w:val="afc"/>
        <w:spacing w:before="0" w:beforeAutospacing="0" w:after="0" w:afterAutospacing="0"/>
        <w:rPr>
          <w:sz w:val="20"/>
          <w:szCs w:val="20"/>
        </w:rPr>
      </w:pPr>
      <w:r>
        <w:rPr>
          <w:rStyle w:val="af1"/>
          <w:color w:val="000000" w:themeColor="text1"/>
          <w:sz w:val="20"/>
          <w:szCs w:val="20"/>
        </w:rPr>
        <w:footnoteRef/>
      </w:r>
      <w:r>
        <w:rPr>
          <w:color w:val="000000" w:themeColor="text1"/>
          <w:sz w:val="20"/>
          <w:szCs w:val="20"/>
        </w:rPr>
        <w:t xml:space="preserve"> </w:t>
      </w:r>
      <w:r>
        <w:rPr>
          <w:color w:val="000000"/>
          <w:sz w:val="20"/>
          <w:szCs w:val="20"/>
        </w:rPr>
        <w:t>Данные Управления городского хозяйства администрации города-курорта Кисловодска, 2023 г.</w:t>
      </w:r>
    </w:p>
  </w:footnote>
  <w:footnote w:id="57">
    <w:p w14:paraId="6D07F3D5" w14:textId="77777777" w:rsidR="00403890" w:rsidRDefault="00403890">
      <w:pPr>
        <w:pStyle w:val="afc"/>
        <w:spacing w:before="0" w:beforeAutospacing="0" w:after="0" w:afterAutospacing="0"/>
        <w:jc w:val="both"/>
      </w:pPr>
      <w:r>
        <w:rPr>
          <w:rFonts w:ascii="Calibri" w:eastAsia="Calibri" w:hAnsi="Calibri" w:cs="Calibri"/>
          <w:color w:val="000000" w:themeColor="text1"/>
          <w:sz w:val="20"/>
          <w:vertAlign w:val="superscript"/>
        </w:rPr>
        <w:footnoteRef/>
      </w:r>
      <w:r>
        <w:rPr>
          <w:color w:val="000000" w:themeColor="text1"/>
        </w:rPr>
        <w:t xml:space="preserve"> </w:t>
      </w:r>
      <w:r>
        <w:rPr>
          <w:color w:val="000000"/>
          <w:sz w:val="20"/>
        </w:rPr>
        <w:t xml:space="preserve">Программа Транспортной инфраструктуры города-курорта Кисловодска, 2019 г. – </w:t>
      </w:r>
      <w:hyperlink r:id="rId32" w:tooltip="https://kislovodsk-kurort.org/dokumenty/obshchestvennye-obsuzhdeniia/pasport-programmy-kompleksnogo-razvitiia-transportnoi-infrastruktury-gorodskogo-okruga-goroda-kurorta-kislovodska-stavropolskogo-kraia?ysclid=lu82pvin92618776842" w:history="1">
        <w:r>
          <w:rPr>
            <w:rStyle w:val="af6"/>
            <w:color w:val="0563C1"/>
            <w:sz w:val="20"/>
            <w:u w:val="none"/>
          </w:rPr>
          <w:t>https://kislovodsk-kurort.org/dokumenty/obshchestvennye-obsuzhdeniia/pasport-programmy-kompleksnogo-razvitiia-transportnoi-infrastruktury-gorodskogo-okruga-goroda-kurorta-kislovodska-stavropolskogo-kraia?ysclid=lu82pvin92618776842</w:t>
        </w:r>
      </w:hyperlink>
      <w:r>
        <w:rPr>
          <w:color w:val="000000"/>
          <w:sz w:val="20"/>
        </w:rPr>
        <w:t xml:space="preserve"> </w:t>
      </w:r>
    </w:p>
  </w:footnote>
  <w:footnote w:id="58">
    <w:p w14:paraId="652227B7" w14:textId="77777777" w:rsidR="00403890" w:rsidRDefault="00403890">
      <w:pPr>
        <w:pStyle w:val="afc"/>
        <w:spacing w:before="0" w:beforeAutospacing="0" w:after="0" w:afterAutospacing="0"/>
        <w:jc w:val="both"/>
        <w:rPr>
          <w:sz w:val="20"/>
          <w:szCs w:val="20"/>
        </w:rPr>
      </w:pPr>
      <w:r>
        <w:rPr>
          <w:rFonts w:ascii="Calibri" w:eastAsia="Calibri" w:hAnsi="Calibri" w:cs="Calibri"/>
          <w:color w:val="000000" w:themeColor="text1"/>
          <w:sz w:val="20"/>
          <w:vertAlign w:val="superscript"/>
        </w:rPr>
        <w:footnoteRef/>
      </w:r>
      <w:r>
        <w:rPr>
          <w:color w:val="000000" w:themeColor="text1"/>
        </w:rPr>
        <w:t xml:space="preserve"> </w:t>
      </w:r>
      <w:r>
        <w:rPr>
          <w:color w:val="000000"/>
          <w:sz w:val="20"/>
          <w:szCs w:val="20"/>
        </w:rPr>
        <w:t xml:space="preserve">Паспорт городского округа города-курорта Кисловодска, 2022 г. – </w:t>
      </w:r>
      <w:hyperlink r:id="rId33" w:tooltip="https://kislovodsk-kurort.org/dokumenty/pasport-goroda-kurorta-kislovodska" w:history="1">
        <w:r>
          <w:rPr>
            <w:rStyle w:val="af6"/>
            <w:color w:val="0563C1"/>
            <w:sz w:val="20"/>
            <w:szCs w:val="20"/>
            <w:u w:val="none"/>
          </w:rPr>
          <w:t>https://kislovodsk-kurort.org/dokumenty/pasport-goroda-kurorta-kislovodska</w:t>
        </w:r>
      </w:hyperlink>
      <w:r>
        <w:rPr>
          <w:color w:val="000000"/>
          <w:sz w:val="20"/>
          <w:szCs w:val="20"/>
        </w:rPr>
        <w:t xml:space="preserve"> </w:t>
      </w:r>
    </w:p>
  </w:footnote>
  <w:footnote w:id="59">
    <w:p w14:paraId="6A5A82B3" w14:textId="77777777" w:rsidR="00403890" w:rsidRDefault="00403890">
      <w:pPr>
        <w:pStyle w:val="afc"/>
        <w:spacing w:before="0" w:beforeAutospacing="0" w:after="0" w:afterAutospacing="0"/>
        <w:jc w:val="both"/>
        <w:rPr>
          <w:sz w:val="20"/>
          <w:szCs w:val="20"/>
        </w:rPr>
      </w:pPr>
      <w:r>
        <w:rPr>
          <w:rFonts w:ascii="Calibri" w:eastAsia="Calibri" w:hAnsi="Calibri" w:cs="Calibri"/>
          <w:color w:val="000000" w:themeColor="text1"/>
          <w:sz w:val="20"/>
          <w:szCs w:val="20"/>
          <w:vertAlign w:val="superscript"/>
        </w:rPr>
        <w:footnoteRef/>
      </w:r>
      <w:r>
        <w:rPr>
          <w:color w:val="000000" w:themeColor="text1"/>
          <w:sz w:val="20"/>
          <w:szCs w:val="20"/>
        </w:rPr>
        <w:t xml:space="preserve"> </w:t>
      </w:r>
      <w:r>
        <w:rPr>
          <w:color w:val="000000"/>
          <w:sz w:val="20"/>
          <w:szCs w:val="20"/>
        </w:rPr>
        <w:t xml:space="preserve">Программа Транспортной инфраструктуры города-курорта Кисловодска, 2019 г. – </w:t>
      </w:r>
      <w:hyperlink r:id="rId34" w:tooltip="https://kislovodsk-kurort.org/dokumenty/obshchestvennye-obsuzhdeniia/pasport-programmy-kompleksnogo-razvitiia-transportnoi-infrastruktury-gorodskogo-okruga-goroda-kurorta-kislovodska-stavropolskogo-kraia?ysclid=lu82pvin92618776842" w:history="1">
        <w:r>
          <w:rPr>
            <w:rStyle w:val="af6"/>
            <w:color w:val="0563C1"/>
            <w:sz w:val="20"/>
            <w:szCs w:val="20"/>
            <w:u w:val="none"/>
          </w:rPr>
          <w:t>https://kislovodsk-kurort.org/dokumenty/obshchestvennye-obsuzhdeniia/pasport-programmy-kompleksnogo-razvitiia-transportnoi-infrastruktury-gorodskogo-okruga-goroda-kurorta-kislovodska-stavropolskogo-kraia?ysclid=lu82pvin92618776842</w:t>
        </w:r>
      </w:hyperlink>
      <w:r>
        <w:rPr>
          <w:color w:val="000000"/>
          <w:sz w:val="20"/>
          <w:szCs w:val="20"/>
        </w:rPr>
        <w:t xml:space="preserve"> </w:t>
      </w:r>
    </w:p>
  </w:footnote>
  <w:footnote w:id="60">
    <w:p w14:paraId="2D550A75" w14:textId="77777777" w:rsidR="00403890" w:rsidRDefault="00403890">
      <w:pPr>
        <w:pStyle w:val="afc"/>
        <w:spacing w:before="0" w:beforeAutospacing="0" w:after="0" w:afterAutospacing="0"/>
        <w:jc w:val="both"/>
        <w:rPr>
          <w:sz w:val="20"/>
          <w:szCs w:val="20"/>
        </w:rPr>
      </w:pPr>
      <w:r>
        <w:rPr>
          <w:rFonts w:ascii="Calibri" w:eastAsia="Calibri" w:hAnsi="Calibri" w:cs="Calibri"/>
          <w:color w:val="000000" w:themeColor="text1"/>
          <w:sz w:val="20"/>
          <w:szCs w:val="20"/>
          <w:vertAlign w:val="superscript"/>
        </w:rPr>
        <w:footnoteRef/>
      </w:r>
      <w:r>
        <w:rPr>
          <w:color w:val="000000" w:themeColor="text1"/>
          <w:sz w:val="20"/>
          <w:szCs w:val="20"/>
        </w:rPr>
        <w:t xml:space="preserve"> С</w:t>
      </w:r>
      <w:r>
        <w:rPr>
          <w:color w:val="000000"/>
          <w:sz w:val="20"/>
          <w:szCs w:val="20"/>
        </w:rPr>
        <w:t xml:space="preserve">правочник организаций в Кисловодске – </w:t>
      </w:r>
      <w:hyperlink r:id="rId35" w:tooltip="https://kislovodsk.spravker.ru/taksi/?ysclid=lucdrwo8v2765380818" w:history="1">
        <w:r>
          <w:rPr>
            <w:rStyle w:val="af6"/>
            <w:color w:val="0563C1"/>
            <w:sz w:val="20"/>
            <w:szCs w:val="20"/>
            <w:u w:val="none"/>
          </w:rPr>
          <w:t>https://kislovodsk.spravker.ru/taksi/?ysclid=lucdrwo8v2765380818</w:t>
        </w:r>
      </w:hyperlink>
      <w:r>
        <w:rPr>
          <w:color w:val="000000"/>
          <w:sz w:val="20"/>
          <w:szCs w:val="20"/>
        </w:rPr>
        <w:t xml:space="preserve"> </w:t>
      </w:r>
    </w:p>
  </w:footnote>
  <w:footnote w:id="61">
    <w:p w14:paraId="327F06E4" w14:textId="77777777" w:rsidR="00403890" w:rsidRDefault="00403890">
      <w:pPr>
        <w:pStyle w:val="afc"/>
        <w:spacing w:before="0" w:beforeAutospacing="0" w:after="0" w:afterAutospacing="0"/>
        <w:jc w:val="both"/>
        <w:rPr>
          <w:sz w:val="20"/>
          <w:szCs w:val="20"/>
        </w:rPr>
      </w:pPr>
      <w:r>
        <w:rPr>
          <w:rFonts w:ascii="Calibri" w:eastAsia="Calibri" w:hAnsi="Calibri" w:cs="Calibri"/>
          <w:color w:val="0563C1"/>
          <w:sz w:val="20"/>
          <w:szCs w:val="20"/>
          <w:u w:val="single"/>
          <w:vertAlign w:val="superscript"/>
        </w:rPr>
        <w:footnoteRef/>
      </w:r>
      <w:r>
        <w:rPr>
          <w:sz w:val="20"/>
          <w:szCs w:val="20"/>
        </w:rPr>
        <w:t xml:space="preserve"> </w:t>
      </w:r>
      <w:r>
        <w:rPr>
          <w:color w:val="000000"/>
          <w:sz w:val="20"/>
          <w:szCs w:val="20"/>
        </w:rPr>
        <w:t xml:space="preserve">Перечень легальных такси в Кисловодске. Официальный портал Администрации Кисловодска – </w:t>
      </w:r>
      <w:hyperlink r:id="rId36" w:tooltip="https://kislovodsk-kurort.org/home/ispolnitelnaia-vlast/novosti-gorodskogo-hoziaistva/perechen-legalnyh-taksi-v-kislovodske" w:history="1">
        <w:r>
          <w:rPr>
            <w:rStyle w:val="af6"/>
            <w:color w:val="0563C1"/>
            <w:sz w:val="20"/>
            <w:szCs w:val="20"/>
            <w:u w:val="none"/>
          </w:rPr>
          <w:t>https://kislovodsk-kurort.org/home/ispolnitelnaia-vlast/novosti-gorodskogo-hoziaistva/perechen-legalnyh-taksi-v-kislovodske</w:t>
        </w:r>
      </w:hyperlink>
      <w:r>
        <w:rPr>
          <w:color w:val="000000"/>
          <w:sz w:val="20"/>
          <w:szCs w:val="20"/>
        </w:rPr>
        <w:t xml:space="preserve"> </w:t>
      </w:r>
    </w:p>
  </w:footnote>
  <w:footnote w:id="62">
    <w:p w14:paraId="4E38313E" w14:textId="77777777" w:rsidR="00403890" w:rsidRDefault="00403890">
      <w:pPr>
        <w:pStyle w:val="afc"/>
        <w:spacing w:before="0" w:beforeAutospacing="0" w:after="0" w:afterAutospacing="0"/>
        <w:jc w:val="both"/>
        <w:rPr>
          <w:sz w:val="20"/>
          <w:szCs w:val="20"/>
        </w:rPr>
      </w:pPr>
      <w:r>
        <w:rPr>
          <w:rFonts w:ascii="Calibri" w:eastAsia="Calibri" w:hAnsi="Calibri" w:cs="Calibri"/>
          <w:color w:val="000000" w:themeColor="text1"/>
          <w:sz w:val="20"/>
          <w:vertAlign w:val="superscript"/>
        </w:rPr>
        <w:footnoteRef/>
      </w:r>
      <w:r>
        <w:rPr>
          <w:color w:val="000000" w:themeColor="text1"/>
        </w:rPr>
        <w:t xml:space="preserve"> </w:t>
      </w:r>
      <w:r>
        <w:rPr>
          <w:color w:val="000000"/>
          <w:sz w:val="20"/>
          <w:szCs w:val="20"/>
        </w:rPr>
        <w:t xml:space="preserve">Паспорт городского округа города-курорта Кисловодска, 2022 г. – </w:t>
      </w:r>
      <w:hyperlink r:id="rId37" w:tooltip="https://kislovodsk-kurort.org/dokumenty/pasport-goroda-kurorta-kislovodska" w:history="1">
        <w:r>
          <w:rPr>
            <w:rStyle w:val="af6"/>
            <w:color w:val="0563C1"/>
            <w:sz w:val="20"/>
            <w:szCs w:val="20"/>
            <w:u w:val="none"/>
          </w:rPr>
          <w:t>https://kislovodsk-kurort.org/dokumenty/pasport-goroda-kurorta-kislovodska</w:t>
        </w:r>
      </w:hyperlink>
      <w:r>
        <w:rPr>
          <w:color w:val="000000"/>
          <w:sz w:val="20"/>
          <w:szCs w:val="20"/>
        </w:rPr>
        <w:t xml:space="preserve"> </w:t>
      </w:r>
    </w:p>
  </w:footnote>
  <w:footnote w:id="63">
    <w:p w14:paraId="5CC5FE40" w14:textId="77777777" w:rsidR="00403890" w:rsidRDefault="00403890">
      <w:pPr>
        <w:pStyle w:val="afc"/>
        <w:spacing w:before="0" w:beforeAutospacing="0" w:after="0" w:afterAutospacing="0"/>
      </w:pPr>
      <w:r>
        <w:rPr>
          <w:rFonts w:ascii="Calibri" w:eastAsia="Calibri" w:hAnsi="Calibri" w:cs="Calibri"/>
          <w:color w:val="0563C1"/>
          <w:sz w:val="20"/>
          <w:u w:val="single"/>
          <w:vertAlign w:val="superscript"/>
        </w:rPr>
        <w:footnoteRef/>
      </w:r>
      <w:r>
        <w:t xml:space="preserve"> </w:t>
      </w:r>
      <w:r>
        <w:rPr>
          <w:color w:val="000000"/>
          <w:sz w:val="20"/>
        </w:rPr>
        <w:t xml:space="preserve">Данные с сайта «РБК» – </w:t>
      </w:r>
      <w:hyperlink r:id="rId38" w:tooltip="https://kavkaz.rbc.ru/kavkaz/freenews/6606ced69a7947514b5f7274" w:history="1">
        <w:r>
          <w:rPr>
            <w:rStyle w:val="af6"/>
            <w:color w:val="0563C1"/>
            <w:sz w:val="20"/>
            <w:u w:val="none"/>
          </w:rPr>
          <w:t>https://kavkaz.rbc.ru/kavkaz/freenews/6606ced69a7947514b5f7274</w:t>
        </w:r>
      </w:hyperlink>
      <w:r>
        <w:rPr>
          <w:color w:val="000000"/>
          <w:sz w:val="20"/>
        </w:rPr>
        <w:t xml:space="preserve"> </w:t>
      </w:r>
    </w:p>
  </w:footnote>
  <w:footnote w:id="64">
    <w:p w14:paraId="32B7B837" w14:textId="77777777" w:rsidR="00403890" w:rsidRDefault="00403890">
      <w:pPr>
        <w:pStyle w:val="afc"/>
        <w:spacing w:before="0" w:beforeAutospacing="0" w:after="0" w:afterAutospacing="0"/>
        <w:jc w:val="both"/>
        <w:rPr>
          <w:sz w:val="20"/>
          <w:szCs w:val="20"/>
        </w:rPr>
      </w:pPr>
      <w:r>
        <w:rPr>
          <w:color w:val="0563C1"/>
          <w:sz w:val="20"/>
          <w:u w:val="single"/>
          <w:vertAlign w:val="superscript"/>
        </w:rPr>
        <w:footnoteRef/>
      </w:r>
      <w:r>
        <w:t xml:space="preserve"> </w:t>
      </w:r>
      <w:r>
        <w:rPr>
          <w:color w:val="000000"/>
          <w:sz w:val="20"/>
        </w:rPr>
        <w:t xml:space="preserve"> </w:t>
      </w:r>
      <w:r>
        <w:rPr>
          <w:color w:val="000000"/>
          <w:sz w:val="20"/>
          <w:szCs w:val="20"/>
        </w:rPr>
        <w:t xml:space="preserve">Данные с сайта «Яндекс Карты» – </w:t>
      </w:r>
      <w:hyperlink r:id="rId39" w:tooltip="https://yandex.ru/maps/?ysclid=luchtwqgw5388242888" w:history="1">
        <w:r>
          <w:rPr>
            <w:rStyle w:val="af6"/>
            <w:color w:val="0563C1"/>
            <w:sz w:val="20"/>
            <w:szCs w:val="20"/>
            <w:u w:val="none"/>
          </w:rPr>
          <w:t>https://yandex.ru/maps/?ysclid=luchtwqgw5388242888</w:t>
        </w:r>
      </w:hyperlink>
      <w:r>
        <w:rPr>
          <w:color w:val="000000"/>
          <w:sz w:val="20"/>
          <w:szCs w:val="20"/>
        </w:rPr>
        <w:t xml:space="preserve"> </w:t>
      </w:r>
    </w:p>
  </w:footnote>
  <w:footnote w:id="65">
    <w:p w14:paraId="4D22DD16" w14:textId="77777777" w:rsidR="00403890" w:rsidRPr="00A72799" w:rsidRDefault="00403890">
      <w:pPr>
        <w:pStyle w:val="afc"/>
        <w:spacing w:before="0" w:beforeAutospacing="0" w:after="0" w:afterAutospacing="0"/>
        <w:jc w:val="both"/>
        <w:rPr>
          <w:sz w:val="20"/>
          <w:szCs w:val="20"/>
        </w:rPr>
      </w:pPr>
      <w:r w:rsidRPr="00A72799">
        <w:rPr>
          <w:rFonts w:eastAsia="Calibri"/>
          <w:color w:val="0563C1"/>
          <w:sz w:val="20"/>
          <w:szCs w:val="20"/>
          <w:u w:val="single"/>
          <w:vertAlign w:val="superscript"/>
        </w:rPr>
        <w:footnoteRef/>
      </w:r>
      <w:r w:rsidRPr="00A72799">
        <w:rPr>
          <w:sz w:val="20"/>
          <w:szCs w:val="20"/>
        </w:rPr>
        <w:t xml:space="preserve"> </w:t>
      </w:r>
      <w:r w:rsidRPr="00A72799">
        <w:rPr>
          <w:color w:val="000000"/>
          <w:sz w:val="20"/>
          <w:szCs w:val="20"/>
        </w:rPr>
        <w:t xml:space="preserve">Паспорт городского округа города-курорта Кисловодска на 2021 г. – </w:t>
      </w:r>
      <w:hyperlink r:id="rId40" w:tooltip="https://adm-kislovodsk.ru/site/section?id=432" w:history="1">
        <w:r w:rsidRPr="00A72799">
          <w:rPr>
            <w:rStyle w:val="af6"/>
            <w:color w:val="0563C1"/>
            <w:sz w:val="20"/>
            <w:szCs w:val="20"/>
            <w:u w:val="none"/>
          </w:rPr>
          <w:t>https://adm-kislovodsk.ru/site/section?id=432</w:t>
        </w:r>
      </w:hyperlink>
      <w:r w:rsidRPr="00A72799">
        <w:rPr>
          <w:color w:val="000000"/>
          <w:sz w:val="20"/>
          <w:szCs w:val="20"/>
        </w:rPr>
        <w:t xml:space="preserve"> </w:t>
      </w:r>
    </w:p>
  </w:footnote>
  <w:footnote w:id="66">
    <w:p w14:paraId="4D887D4B" w14:textId="77777777" w:rsidR="00403890" w:rsidRDefault="00403890">
      <w:pPr>
        <w:pStyle w:val="afc"/>
        <w:jc w:val="both"/>
        <w:rPr>
          <w:sz w:val="20"/>
          <w:szCs w:val="20"/>
        </w:rPr>
      </w:pPr>
      <w:r>
        <w:rPr>
          <w:rStyle w:val="afb"/>
          <w:vertAlign w:val="superscript"/>
        </w:rPr>
        <w:footnoteRef/>
      </w:r>
      <w:r>
        <w:t xml:space="preserve"> </w:t>
      </w:r>
      <w:r>
        <w:rPr>
          <w:color w:val="000000" w:themeColor="text1"/>
          <w:sz w:val="20"/>
          <w:szCs w:val="20"/>
        </w:rPr>
        <w:t>Филиал ГУП Ставропольского края «Ставрополькрайводоканал» – Предгорный «Межрайводоканал» ПТП Кисловодское</w:t>
      </w:r>
      <w:r>
        <w:rPr>
          <w:sz w:val="20"/>
          <w:szCs w:val="20"/>
        </w:rPr>
        <w:t xml:space="preserve"> – </w:t>
      </w:r>
      <w:hyperlink r:id="rId41" w:tooltip="http://ksvoda.ru/" w:history="1">
        <w:r>
          <w:rPr>
            <w:rStyle w:val="af6"/>
            <w:sz w:val="20"/>
            <w:szCs w:val="20"/>
          </w:rPr>
          <w:t>http://ksvoda.ru/</w:t>
        </w:r>
      </w:hyperlink>
    </w:p>
  </w:footnote>
  <w:footnote w:id="67">
    <w:p w14:paraId="083B7A18" w14:textId="77777777" w:rsidR="00403890" w:rsidRDefault="00403890">
      <w:pPr>
        <w:pStyle w:val="afc"/>
        <w:spacing w:before="0" w:after="0"/>
        <w:jc w:val="both"/>
        <w:rPr>
          <w:sz w:val="20"/>
          <w:szCs w:val="20"/>
        </w:rPr>
      </w:pPr>
      <w:r>
        <w:rPr>
          <w:rStyle w:val="afb"/>
          <w:sz w:val="20"/>
          <w:szCs w:val="20"/>
          <w:vertAlign w:val="superscript"/>
        </w:rPr>
        <w:footnoteRef/>
      </w:r>
      <w:r>
        <w:rPr>
          <w:sz w:val="20"/>
          <w:szCs w:val="20"/>
          <w:vertAlign w:val="superscript"/>
        </w:rPr>
        <w:t xml:space="preserve"> </w:t>
      </w:r>
      <w:r>
        <w:rPr>
          <w:sz w:val="20"/>
          <w:szCs w:val="20"/>
        </w:rPr>
        <w:t>Управление Федеральной службы государственной статистики по Северо-Кавказскому федеральному округу, 2024 г.</w:t>
      </w:r>
    </w:p>
  </w:footnote>
  <w:footnote w:id="68">
    <w:p w14:paraId="6CC7A802" w14:textId="77777777" w:rsidR="00403890" w:rsidRDefault="00403890">
      <w:pPr>
        <w:pStyle w:val="afc"/>
        <w:spacing w:before="0" w:after="0"/>
        <w:jc w:val="both"/>
        <w:rPr>
          <w:sz w:val="20"/>
          <w:szCs w:val="20"/>
        </w:rPr>
      </w:pPr>
      <w:r>
        <w:rPr>
          <w:rStyle w:val="afb"/>
          <w:sz w:val="20"/>
          <w:szCs w:val="20"/>
          <w:vertAlign w:val="superscript"/>
        </w:rPr>
        <w:footnoteRef/>
      </w:r>
      <w:r>
        <w:rPr>
          <w:sz w:val="20"/>
          <w:szCs w:val="20"/>
        </w:rPr>
        <w:t xml:space="preserve"> </w:t>
      </w:r>
      <w:r>
        <w:rPr>
          <w:color w:val="000000" w:themeColor="text1"/>
          <w:sz w:val="20"/>
          <w:szCs w:val="20"/>
        </w:rPr>
        <w:t>Филиал ГУП Ставропольского края «Ставрополькрайводоканал» – Предгорный «Межрайводоканал» ПТП Кисловодское</w:t>
      </w:r>
      <w:r>
        <w:rPr>
          <w:sz w:val="20"/>
          <w:szCs w:val="20"/>
        </w:rPr>
        <w:t xml:space="preserve"> – </w:t>
      </w:r>
      <w:hyperlink r:id="rId42" w:tooltip="http://ksvoda.ru/" w:history="1">
        <w:r>
          <w:rPr>
            <w:rStyle w:val="af6"/>
            <w:sz w:val="20"/>
            <w:szCs w:val="20"/>
          </w:rPr>
          <w:t>http://ksvoda.ru/</w:t>
        </w:r>
      </w:hyperlink>
    </w:p>
  </w:footnote>
  <w:footnote w:id="69">
    <w:p w14:paraId="428544E5" w14:textId="77777777" w:rsidR="00403890" w:rsidRDefault="00403890">
      <w:pPr>
        <w:pStyle w:val="afc"/>
        <w:jc w:val="both"/>
        <w:rPr>
          <w:sz w:val="20"/>
          <w:szCs w:val="20"/>
        </w:rPr>
      </w:pPr>
      <w:r>
        <w:rPr>
          <w:rStyle w:val="afb"/>
          <w:vertAlign w:val="superscript"/>
        </w:rPr>
        <w:footnoteRef/>
      </w:r>
      <w:r>
        <w:t xml:space="preserve"> </w:t>
      </w:r>
      <w:r>
        <w:rPr>
          <w:color w:val="000000" w:themeColor="text1"/>
          <w:sz w:val="20"/>
          <w:szCs w:val="20"/>
        </w:rPr>
        <w:t>Филиал ГУП Ставропольского края «Ставрополькрайводоканал» – Предгорный «Межрайводоканал» ПТП Кисловодское</w:t>
      </w:r>
      <w:r>
        <w:rPr>
          <w:sz w:val="20"/>
          <w:szCs w:val="20"/>
        </w:rPr>
        <w:t xml:space="preserve"> – </w:t>
      </w:r>
      <w:hyperlink r:id="rId43" w:tooltip="http://ksvoda.ru/" w:history="1">
        <w:r>
          <w:rPr>
            <w:rStyle w:val="af6"/>
            <w:sz w:val="20"/>
            <w:szCs w:val="20"/>
          </w:rPr>
          <w:t>http://ksvoda.ru/</w:t>
        </w:r>
      </w:hyperlink>
    </w:p>
  </w:footnote>
  <w:footnote w:id="70">
    <w:p w14:paraId="0DB0DBE3" w14:textId="77777777" w:rsidR="00403890" w:rsidRDefault="00403890" w:rsidP="007637B5">
      <w:pPr>
        <w:pStyle w:val="afc"/>
        <w:spacing w:before="0" w:beforeAutospacing="0" w:after="0" w:afterAutospacing="0"/>
        <w:jc w:val="both"/>
        <w:rPr>
          <w:sz w:val="20"/>
          <w:szCs w:val="20"/>
        </w:rPr>
      </w:pPr>
      <w:r>
        <w:rPr>
          <w:rStyle w:val="afb"/>
          <w:sz w:val="20"/>
          <w:szCs w:val="20"/>
          <w:vertAlign w:val="superscript"/>
        </w:rPr>
        <w:footnoteRef/>
      </w:r>
      <w:r>
        <w:rPr>
          <w:sz w:val="20"/>
          <w:szCs w:val="20"/>
          <w:vertAlign w:val="superscript"/>
        </w:rPr>
        <w:t xml:space="preserve"> </w:t>
      </w:r>
      <w:r>
        <w:rPr>
          <w:sz w:val="20"/>
          <w:szCs w:val="20"/>
        </w:rPr>
        <w:t>Объекты генерац</w:t>
      </w:r>
      <w:proofErr w:type="gramStart"/>
      <w:r>
        <w:rPr>
          <w:sz w:val="20"/>
          <w:szCs w:val="20"/>
        </w:rPr>
        <w:t>ии / ООО</w:t>
      </w:r>
      <w:proofErr w:type="gramEnd"/>
      <w:r>
        <w:rPr>
          <w:sz w:val="20"/>
          <w:szCs w:val="20"/>
        </w:rPr>
        <w:t xml:space="preserve"> «ЛУКОЙЛ-Ростовэнерго»</w:t>
      </w:r>
      <w:r>
        <w:rPr>
          <w:color w:val="000000" w:themeColor="text1"/>
          <w:sz w:val="20"/>
          <w:szCs w:val="20"/>
        </w:rPr>
        <w:t xml:space="preserve"> – </w:t>
      </w:r>
      <w:hyperlink r:id="rId44" w:tooltip="https://rostovenergo.lukoil.ru/ru/About/GeneratingFacilities" w:history="1">
        <w:r>
          <w:rPr>
            <w:rStyle w:val="af6"/>
            <w:sz w:val="20"/>
            <w:szCs w:val="20"/>
          </w:rPr>
          <w:t>https://rostovenergo.lukoil.ru/ru/About/GeneratingFacilities</w:t>
        </w:r>
      </w:hyperlink>
    </w:p>
  </w:footnote>
  <w:footnote w:id="71">
    <w:p w14:paraId="54F04D02" w14:textId="77777777" w:rsidR="00403890" w:rsidRDefault="00403890" w:rsidP="007637B5">
      <w:pPr>
        <w:pStyle w:val="afc"/>
        <w:spacing w:before="0" w:beforeAutospacing="0" w:after="0" w:afterAutospacing="0"/>
        <w:jc w:val="both"/>
        <w:rPr>
          <w:sz w:val="20"/>
          <w:szCs w:val="20"/>
        </w:rPr>
      </w:pPr>
      <w:r>
        <w:rPr>
          <w:rStyle w:val="afb"/>
          <w:sz w:val="20"/>
          <w:szCs w:val="20"/>
          <w:vertAlign w:val="superscript"/>
        </w:rPr>
        <w:footnoteRef/>
      </w:r>
      <w:r>
        <w:rPr>
          <w:sz w:val="20"/>
          <w:szCs w:val="20"/>
          <w:vertAlign w:val="superscript"/>
        </w:rPr>
        <w:t xml:space="preserve"> </w:t>
      </w:r>
      <w:r>
        <w:rPr>
          <w:sz w:val="20"/>
          <w:szCs w:val="20"/>
        </w:rPr>
        <w:t>Схема теплоснабжения города-курорта Кисловодска до 2028 г.</w:t>
      </w:r>
    </w:p>
  </w:footnote>
  <w:footnote w:id="72">
    <w:p w14:paraId="21C732C0" w14:textId="77777777" w:rsidR="00403890" w:rsidRDefault="00403890" w:rsidP="00076CFF">
      <w:pPr>
        <w:pStyle w:val="afc"/>
        <w:spacing w:before="0" w:beforeAutospacing="0" w:after="0" w:afterAutospacing="0"/>
        <w:contextualSpacing/>
        <w:jc w:val="both"/>
        <w:rPr>
          <w:sz w:val="20"/>
          <w:szCs w:val="20"/>
        </w:rPr>
      </w:pPr>
      <w:r>
        <w:rPr>
          <w:rStyle w:val="afb"/>
          <w:sz w:val="20"/>
          <w:szCs w:val="20"/>
          <w:vertAlign w:val="superscript"/>
        </w:rPr>
        <w:footnoteRef/>
      </w:r>
      <w:r>
        <w:rPr>
          <w:sz w:val="20"/>
          <w:szCs w:val="20"/>
        </w:rPr>
        <w:t xml:space="preserve"> Объекты генерац</w:t>
      </w:r>
      <w:proofErr w:type="gramStart"/>
      <w:r>
        <w:rPr>
          <w:sz w:val="20"/>
          <w:szCs w:val="20"/>
        </w:rPr>
        <w:t>ии / ООО</w:t>
      </w:r>
      <w:proofErr w:type="gramEnd"/>
      <w:r>
        <w:rPr>
          <w:sz w:val="20"/>
          <w:szCs w:val="20"/>
        </w:rPr>
        <w:t xml:space="preserve"> «ЛУКОЙЛ-Ростовэнерго»</w:t>
      </w:r>
      <w:r>
        <w:rPr>
          <w:color w:val="000000" w:themeColor="text1"/>
          <w:sz w:val="20"/>
          <w:szCs w:val="20"/>
        </w:rPr>
        <w:t xml:space="preserve"> – </w:t>
      </w:r>
      <w:hyperlink r:id="rId45" w:tooltip="https://rostovenergo.lukoil.ru/ru/About/GeneratingFacilities" w:history="1">
        <w:r>
          <w:rPr>
            <w:rStyle w:val="af6"/>
            <w:sz w:val="20"/>
            <w:szCs w:val="20"/>
          </w:rPr>
          <w:t>https://rostovenergo.lukoil.ru/ru/About/GeneratingFacilities</w:t>
        </w:r>
      </w:hyperlink>
    </w:p>
  </w:footnote>
  <w:footnote w:id="73">
    <w:p w14:paraId="71F2AE3D" w14:textId="77777777" w:rsidR="00403890" w:rsidRDefault="00403890" w:rsidP="00076CFF">
      <w:pPr>
        <w:pStyle w:val="afc"/>
        <w:spacing w:before="0" w:beforeAutospacing="0" w:after="0" w:afterAutospacing="0"/>
        <w:jc w:val="both"/>
        <w:rPr>
          <w:sz w:val="20"/>
          <w:szCs w:val="20"/>
        </w:rPr>
      </w:pPr>
      <w:r>
        <w:rPr>
          <w:rStyle w:val="afb"/>
          <w:sz w:val="20"/>
          <w:szCs w:val="20"/>
          <w:vertAlign w:val="superscript"/>
        </w:rPr>
        <w:footnoteRef/>
      </w:r>
      <w:r>
        <w:rPr>
          <w:sz w:val="20"/>
          <w:szCs w:val="20"/>
          <w:vertAlign w:val="superscript"/>
        </w:rPr>
        <w:t xml:space="preserve"> </w:t>
      </w:r>
      <w:r>
        <w:rPr>
          <w:sz w:val="20"/>
          <w:szCs w:val="20"/>
        </w:rPr>
        <w:t>Схема теплоснабжения города-курорта Кисловодска до 2028 г.</w:t>
      </w:r>
    </w:p>
  </w:footnote>
  <w:footnote w:id="74">
    <w:p w14:paraId="061346BC" w14:textId="77777777" w:rsidR="00403890" w:rsidRDefault="00403890" w:rsidP="00076CFF">
      <w:pPr>
        <w:pStyle w:val="afc"/>
        <w:spacing w:before="0" w:beforeAutospacing="0" w:after="0" w:afterAutospacing="0"/>
        <w:jc w:val="both"/>
        <w:rPr>
          <w:sz w:val="20"/>
          <w:szCs w:val="20"/>
        </w:rPr>
      </w:pPr>
      <w:r>
        <w:rPr>
          <w:rStyle w:val="afb"/>
          <w:vertAlign w:val="superscript"/>
        </w:rPr>
        <w:footnoteRef/>
      </w:r>
      <w:r>
        <w:t xml:space="preserve"> </w:t>
      </w:r>
      <w:r>
        <w:rPr>
          <w:sz w:val="20"/>
          <w:szCs w:val="20"/>
        </w:rPr>
        <w:t>Составлено на основе данных</w:t>
      </w:r>
      <w:r>
        <w:t xml:space="preserve"> </w:t>
      </w:r>
      <w:r>
        <w:rPr>
          <w:sz w:val="20"/>
          <w:szCs w:val="20"/>
        </w:rPr>
        <w:t>Программы «Развития инженерных коммунальных систем городского округа города-курорта Кисловодска, 2016 г.</w:t>
      </w:r>
    </w:p>
  </w:footnote>
  <w:footnote w:id="75">
    <w:p w14:paraId="2C8D556B" w14:textId="77777777" w:rsidR="00403890" w:rsidRDefault="00403890" w:rsidP="00076CFF">
      <w:pPr>
        <w:pStyle w:val="afc"/>
        <w:spacing w:before="0" w:beforeAutospacing="0" w:after="0" w:afterAutospacing="0"/>
        <w:jc w:val="both"/>
        <w:rPr>
          <w:sz w:val="20"/>
          <w:szCs w:val="20"/>
        </w:rPr>
      </w:pPr>
      <w:r>
        <w:rPr>
          <w:rStyle w:val="afb"/>
          <w:sz w:val="20"/>
          <w:szCs w:val="20"/>
          <w:vertAlign w:val="superscript"/>
        </w:rPr>
        <w:footnoteRef/>
      </w:r>
      <w:r>
        <w:rPr>
          <w:sz w:val="20"/>
          <w:szCs w:val="20"/>
        </w:rPr>
        <w:t xml:space="preserve"> </w:t>
      </w:r>
      <w:hyperlink r:id="rId46" w:tooltip="https://gpte26.ru/media/reports/prilozhenie_2.pdf" w:history="1">
        <w:r>
          <w:rPr>
            <w:sz w:val="20"/>
            <w:szCs w:val="20"/>
          </w:rPr>
          <w:t>Данные о фактических значениях показателей надежности за 2023 г.</w:t>
        </w:r>
      </w:hyperlink>
      <w:r>
        <w:rPr>
          <w:sz w:val="20"/>
          <w:szCs w:val="20"/>
        </w:rPr>
        <w:t xml:space="preserve"> / ООО «Теплоэнерго Кисловодск»</w:t>
      </w:r>
      <w:r>
        <w:rPr>
          <w:color w:val="000000" w:themeColor="text1"/>
          <w:sz w:val="20"/>
          <w:szCs w:val="20"/>
        </w:rPr>
        <w:t xml:space="preserve"> – </w:t>
      </w:r>
      <w:hyperlink r:id="rId47" w:tooltip="https://gpte26.ru/media/reports/prilozhenie_2.pdf" w:history="1">
        <w:r>
          <w:rPr>
            <w:rStyle w:val="af6"/>
            <w:sz w:val="20"/>
            <w:szCs w:val="20"/>
          </w:rPr>
          <w:t>https://gpte26.ru/media/reports/prilozhenie_2.pdf</w:t>
        </w:r>
      </w:hyperlink>
    </w:p>
  </w:footnote>
  <w:footnote w:id="76">
    <w:p w14:paraId="4512A969" w14:textId="77777777" w:rsidR="00403890" w:rsidRDefault="00403890" w:rsidP="00076CFF">
      <w:pPr>
        <w:pStyle w:val="afc"/>
        <w:spacing w:before="0" w:beforeAutospacing="0" w:after="0" w:afterAutospacing="0"/>
        <w:rPr>
          <w:sz w:val="20"/>
          <w:szCs w:val="20"/>
        </w:rPr>
      </w:pPr>
      <w:r>
        <w:rPr>
          <w:rStyle w:val="afb"/>
          <w:sz w:val="20"/>
          <w:szCs w:val="20"/>
          <w:vertAlign w:val="superscript"/>
        </w:rPr>
        <w:footnoteRef/>
      </w:r>
      <w:r>
        <w:rPr>
          <w:sz w:val="20"/>
          <w:szCs w:val="20"/>
        </w:rPr>
        <w:t xml:space="preserve"> </w:t>
      </w:r>
      <w:hyperlink r:id="rId48" w:tooltip="https://gpte26.ru/media/reports/prilozhenie_2.pdf" w:history="1">
        <w:r>
          <w:rPr>
            <w:sz w:val="20"/>
            <w:szCs w:val="20"/>
          </w:rPr>
          <w:t>Данные о фактических значениях показателей надежности за 2023 г.</w:t>
        </w:r>
      </w:hyperlink>
      <w:r>
        <w:rPr>
          <w:sz w:val="20"/>
          <w:szCs w:val="20"/>
        </w:rPr>
        <w:t xml:space="preserve"> / ООО «Теплоэнерго Кисловодск»</w:t>
      </w:r>
      <w:r>
        <w:rPr>
          <w:color w:val="000000" w:themeColor="text1"/>
          <w:sz w:val="20"/>
          <w:szCs w:val="20"/>
        </w:rPr>
        <w:t xml:space="preserve"> – </w:t>
      </w:r>
      <w:hyperlink r:id="rId49" w:tooltip="https://gpte26.ru/media/reports/prilozhenie_2.pdf" w:history="1">
        <w:r>
          <w:rPr>
            <w:rStyle w:val="af6"/>
            <w:sz w:val="20"/>
            <w:szCs w:val="20"/>
          </w:rPr>
          <w:t>https://gpte26.ru/media/reports/prilozhenie_2.pdf</w:t>
        </w:r>
      </w:hyperlink>
    </w:p>
  </w:footnote>
  <w:footnote w:id="77">
    <w:p w14:paraId="77F9FC2E" w14:textId="77777777" w:rsidR="00403890" w:rsidRDefault="00403890">
      <w:pPr>
        <w:pStyle w:val="afc"/>
        <w:spacing w:before="0" w:beforeAutospacing="0" w:after="0" w:afterAutospacing="0"/>
        <w:jc w:val="both"/>
        <w:rPr>
          <w:sz w:val="20"/>
          <w:szCs w:val="20"/>
        </w:rPr>
      </w:pPr>
      <w:r>
        <w:rPr>
          <w:rStyle w:val="afb"/>
          <w:vertAlign w:val="superscript"/>
        </w:rPr>
        <w:footnoteRef/>
      </w:r>
      <w:r>
        <w:t xml:space="preserve"> </w:t>
      </w:r>
      <w:r>
        <w:rPr>
          <w:sz w:val="20"/>
          <w:szCs w:val="20"/>
        </w:rPr>
        <w:t>Программа «Развития инженерных коммунальных систем городского округа города-курорта Кисловодска, 2016 г.</w:t>
      </w:r>
    </w:p>
  </w:footnote>
  <w:footnote w:id="78">
    <w:p w14:paraId="4C4C6526" w14:textId="77777777" w:rsidR="00403890" w:rsidRDefault="00403890">
      <w:pPr>
        <w:pStyle w:val="afc"/>
        <w:jc w:val="both"/>
        <w:rPr>
          <w:sz w:val="20"/>
          <w:szCs w:val="20"/>
        </w:rPr>
      </w:pPr>
      <w:r>
        <w:rPr>
          <w:rStyle w:val="afb"/>
          <w:vertAlign w:val="superscript"/>
        </w:rPr>
        <w:footnoteRef/>
      </w:r>
      <w:r>
        <w:rPr>
          <w:sz w:val="20"/>
          <w:szCs w:val="20"/>
          <w:vertAlign w:val="superscript"/>
        </w:rPr>
        <w:t xml:space="preserve"> </w:t>
      </w:r>
      <w:r>
        <w:rPr>
          <w:sz w:val="20"/>
          <w:szCs w:val="20"/>
        </w:rPr>
        <w:t>Составлено по данным Программы «Развития инженерных коммунальных систем городского округа города-курорта Кисловодска, 2016 г.</w:t>
      </w:r>
    </w:p>
  </w:footnote>
  <w:footnote w:id="79">
    <w:p w14:paraId="29D14723" w14:textId="77777777" w:rsidR="00403890" w:rsidRPr="008B0AA2" w:rsidRDefault="00403890" w:rsidP="008B0AA2">
      <w:pPr>
        <w:pStyle w:val="afc"/>
        <w:spacing w:before="0" w:beforeAutospacing="0" w:after="0" w:afterAutospacing="0"/>
        <w:jc w:val="both"/>
        <w:rPr>
          <w:sz w:val="20"/>
          <w:szCs w:val="20"/>
        </w:rPr>
      </w:pPr>
      <w:r w:rsidRPr="008B0AA2">
        <w:rPr>
          <w:rStyle w:val="afb"/>
          <w:sz w:val="20"/>
          <w:szCs w:val="20"/>
          <w:vertAlign w:val="superscript"/>
        </w:rPr>
        <w:footnoteRef/>
      </w:r>
      <w:r w:rsidRPr="008B0AA2">
        <w:rPr>
          <w:sz w:val="20"/>
          <w:szCs w:val="20"/>
          <w:vertAlign w:val="superscript"/>
        </w:rPr>
        <w:t xml:space="preserve"> </w:t>
      </w:r>
      <w:r w:rsidRPr="008B0AA2">
        <w:rPr>
          <w:sz w:val="20"/>
          <w:szCs w:val="20"/>
        </w:rPr>
        <w:t>Программа «Развития инженерных коммунальных систем городского округа города-курорта Кисловодска, 2016 г.</w:t>
      </w:r>
    </w:p>
  </w:footnote>
  <w:footnote w:id="80">
    <w:p w14:paraId="5CA2C582" w14:textId="77777777" w:rsidR="00403890" w:rsidRPr="008B0AA2" w:rsidRDefault="00403890" w:rsidP="008B0AA2">
      <w:pPr>
        <w:pStyle w:val="afc"/>
        <w:spacing w:before="0" w:beforeAutospacing="0" w:after="0" w:afterAutospacing="0"/>
        <w:jc w:val="both"/>
        <w:rPr>
          <w:sz w:val="20"/>
          <w:szCs w:val="20"/>
        </w:rPr>
      </w:pPr>
      <w:r w:rsidRPr="008B0AA2">
        <w:rPr>
          <w:rStyle w:val="afb"/>
          <w:sz w:val="20"/>
          <w:szCs w:val="20"/>
          <w:vertAlign w:val="superscript"/>
        </w:rPr>
        <w:footnoteRef/>
      </w:r>
      <w:r w:rsidRPr="008B0AA2">
        <w:rPr>
          <w:sz w:val="20"/>
          <w:szCs w:val="20"/>
          <w:vertAlign w:val="superscript"/>
        </w:rPr>
        <w:t xml:space="preserve"> </w:t>
      </w:r>
      <w:r w:rsidRPr="008B0AA2">
        <w:rPr>
          <w:sz w:val="20"/>
          <w:szCs w:val="20"/>
        </w:rPr>
        <w:t>Программа «Развития инженерных коммунальных систем городского округа города-курорта Кисловодска, 2016 г.</w:t>
      </w:r>
    </w:p>
  </w:footnote>
  <w:footnote w:id="81">
    <w:p w14:paraId="6B7FE41D" w14:textId="77777777" w:rsidR="00403890" w:rsidRDefault="00403890">
      <w:pPr>
        <w:pStyle w:val="afc"/>
        <w:jc w:val="both"/>
        <w:rPr>
          <w:sz w:val="20"/>
          <w:szCs w:val="20"/>
        </w:rPr>
      </w:pPr>
      <w:r>
        <w:rPr>
          <w:rStyle w:val="afb"/>
          <w:vertAlign w:val="superscript"/>
        </w:rPr>
        <w:footnoteRef/>
      </w:r>
      <w:r>
        <w:rPr>
          <w:sz w:val="20"/>
          <w:szCs w:val="20"/>
          <w:vertAlign w:val="superscript"/>
        </w:rPr>
        <w:t xml:space="preserve"> </w:t>
      </w:r>
      <w:r>
        <w:rPr>
          <w:sz w:val="20"/>
          <w:szCs w:val="20"/>
        </w:rPr>
        <w:t>Программа «Развития инженерных коммунальных систем городского округа города-курорта Кисловодска, 2016 г.</w:t>
      </w:r>
    </w:p>
  </w:footnote>
  <w:footnote w:id="82">
    <w:p w14:paraId="245F2F36" w14:textId="77777777" w:rsidR="00403890" w:rsidRDefault="00403890">
      <w:pPr>
        <w:pStyle w:val="afc"/>
        <w:spacing w:before="0" w:beforeAutospacing="0" w:after="0" w:afterAutospacing="0"/>
        <w:jc w:val="both"/>
        <w:rPr>
          <w:sz w:val="20"/>
          <w:szCs w:val="20"/>
        </w:rPr>
      </w:pPr>
      <w:r>
        <w:rPr>
          <w:rStyle w:val="afb"/>
          <w:sz w:val="20"/>
          <w:szCs w:val="20"/>
          <w:vertAlign w:val="superscript"/>
        </w:rPr>
        <w:footnoteRef/>
      </w:r>
      <w:r>
        <w:rPr>
          <w:sz w:val="20"/>
          <w:szCs w:val="20"/>
          <w:vertAlign w:val="superscript"/>
        </w:rPr>
        <w:t xml:space="preserve"> </w:t>
      </w:r>
      <w:r>
        <w:rPr>
          <w:sz w:val="20"/>
          <w:szCs w:val="20"/>
        </w:rPr>
        <w:t>Программа «Развития инженерных коммунальных систем городского округа города-курорта Кисловодска, 2016 г.</w:t>
      </w:r>
    </w:p>
  </w:footnote>
  <w:footnote w:id="83">
    <w:p w14:paraId="72A2FC10" w14:textId="77777777" w:rsidR="00403890" w:rsidRDefault="00403890">
      <w:pPr>
        <w:pStyle w:val="afc"/>
        <w:spacing w:before="0" w:beforeAutospacing="0" w:after="0" w:afterAutospacing="0"/>
        <w:jc w:val="both"/>
        <w:rPr>
          <w:sz w:val="20"/>
          <w:szCs w:val="20"/>
        </w:rPr>
      </w:pPr>
      <w:r>
        <w:rPr>
          <w:rStyle w:val="afb"/>
          <w:sz w:val="20"/>
          <w:szCs w:val="20"/>
          <w:vertAlign w:val="superscript"/>
        </w:rPr>
        <w:footnoteRef/>
      </w:r>
      <w:r>
        <w:rPr>
          <w:sz w:val="20"/>
          <w:szCs w:val="20"/>
          <w:vertAlign w:val="superscript"/>
        </w:rPr>
        <w:t xml:space="preserve"> </w:t>
      </w:r>
      <w:r>
        <w:rPr>
          <w:sz w:val="20"/>
          <w:szCs w:val="20"/>
        </w:rPr>
        <w:t>Программа «Развития инженерных коммунальных систем городского округа города-курорта Кисловодска, 2016 г.</w:t>
      </w:r>
    </w:p>
  </w:footnote>
  <w:footnote w:id="84">
    <w:p w14:paraId="71ACDCA8" w14:textId="77777777" w:rsidR="00403890" w:rsidRDefault="00403890">
      <w:pPr>
        <w:pBdr>
          <w:top w:val="none" w:sz="4" w:space="0" w:color="000000"/>
          <w:left w:val="none" w:sz="4" w:space="0" w:color="000000"/>
          <w:bottom w:val="none" w:sz="4" w:space="0" w:color="000000"/>
          <w:right w:val="none" w:sz="4" w:space="0" w:color="000000"/>
        </w:pBdr>
        <w:ind w:firstLine="0"/>
        <w:rPr>
          <w:rFonts w:ascii="Times New Roman" w:hAnsi="Times New Roman" w:cs="Times New Roman"/>
          <w:color w:val="000000" w:themeColor="text1"/>
          <w:sz w:val="20"/>
          <w:szCs w:val="18"/>
        </w:rPr>
      </w:pPr>
      <w:r>
        <w:rPr>
          <w:rFonts w:ascii="Times New Roman" w:hAnsi="Times New Roman" w:cs="Times New Roman"/>
          <w:color w:val="000000" w:themeColor="text1"/>
          <w:sz w:val="20"/>
          <w:szCs w:val="18"/>
          <w:vertAlign w:val="superscript"/>
        </w:rPr>
        <w:footnoteRef/>
      </w:r>
      <w:r>
        <w:rPr>
          <w:rFonts w:ascii="Times New Roman" w:hAnsi="Times New Roman" w:cs="Times New Roman"/>
          <w:color w:val="000000" w:themeColor="text1"/>
          <w:sz w:val="20"/>
          <w:szCs w:val="18"/>
          <w:vertAlign w:val="superscript"/>
        </w:rPr>
        <w:t xml:space="preserve"> </w:t>
      </w:r>
      <w:r>
        <w:rPr>
          <w:rFonts w:ascii="Times New Roman" w:hAnsi="Times New Roman" w:cs="Times New Roman"/>
          <w:color w:val="000000" w:themeColor="text1"/>
          <w:sz w:val="20"/>
          <w:szCs w:val="18"/>
        </w:rPr>
        <w:t xml:space="preserve"> Утверждены решением Думы города-курорта Кисловодска от 27 февраля 2019 г. № 10-519</w:t>
      </w:r>
    </w:p>
  </w:footnote>
  <w:footnote w:id="85">
    <w:p w14:paraId="0F9A1A23" w14:textId="77777777" w:rsidR="00403890" w:rsidRDefault="00403890">
      <w:pPr>
        <w:pStyle w:val="afc"/>
        <w:spacing w:before="0" w:beforeAutospacing="0" w:after="0" w:afterAutospacing="0"/>
        <w:jc w:val="both"/>
        <w:rPr>
          <w:sz w:val="20"/>
          <w:szCs w:val="20"/>
        </w:rPr>
      </w:pPr>
      <w:r>
        <w:rPr>
          <w:rStyle w:val="afb"/>
          <w:sz w:val="20"/>
          <w:szCs w:val="20"/>
          <w:vertAlign w:val="superscript"/>
        </w:rPr>
        <w:footnoteRef/>
      </w:r>
      <w:r>
        <w:rPr>
          <w:sz w:val="20"/>
          <w:szCs w:val="20"/>
        </w:rPr>
        <w:t xml:space="preserve"> Управление Федеральной службы государственной статистики по Северо-Кавказскому федеральному округу, 2024 г.</w:t>
      </w:r>
    </w:p>
  </w:footnote>
  <w:footnote w:id="86">
    <w:p w14:paraId="294BBBB8" w14:textId="1D6D6A64" w:rsidR="00403890" w:rsidRPr="009E5E9F" w:rsidRDefault="00403890" w:rsidP="009E5E9F">
      <w:pPr>
        <w:pStyle w:val="afc"/>
        <w:spacing w:before="0" w:beforeAutospacing="0" w:after="0" w:afterAutospacing="0"/>
        <w:rPr>
          <w:sz w:val="20"/>
          <w:szCs w:val="20"/>
        </w:rPr>
      </w:pPr>
      <w:r w:rsidRPr="009E5E9F">
        <w:rPr>
          <w:rStyle w:val="afb"/>
          <w:sz w:val="20"/>
          <w:szCs w:val="20"/>
          <w:vertAlign w:val="superscript"/>
        </w:rPr>
        <w:footnoteRef/>
      </w:r>
      <w:r w:rsidRPr="009E5E9F">
        <w:rPr>
          <w:sz w:val="20"/>
          <w:szCs w:val="20"/>
        </w:rPr>
        <w:t xml:space="preserve"> </w:t>
      </w:r>
      <w:r>
        <w:rPr>
          <w:color w:val="000000" w:themeColor="text1"/>
          <w:sz w:val="20"/>
          <w:szCs w:val="20"/>
        </w:rPr>
        <w:t>П</w:t>
      </w:r>
      <w:r w:rsidRPr="009E5E9F">
        <w:rPr>
          <w:color w:val="000000" w:themeColor="text1"/>
          <w:sz w:val="20"/>
          <w:szCs w:val="20"/>
        </w:rPr>
        <w:t>остановление Правительства Ставропольского края N 408-п от 22 сентября 2016 года «Об утверждении территориальной схемы обращения с отходами в Ставропольском крае»</w:t>
      </w:r>
    </w:p>
  </w:footnote>
  <w:footnote w:id="87">
    <w:p w14:paraId="3D3C1027" w14:textId="73659CC1" w:rsidR="00403890" w:rsidRPr="00CC75B2" w:rsidRDefault="00403890">
      <w:pPr>
        <w:pStyle w:val="afc"/>
        <w:rPr>
          <w:vertAlign w:val="superscript"/>
        </w:rPr>
      </w:pPr>
      <w:r w:rsidRPr="00CC75B2">
        <w:rPr>
          <w:rStyle w:val="afb"/>
          <w:vertAlign w:val="superscript"/>
        </w:rPr>
        <w:footnoteRef/>
      </w:r>
      <w:r w:rsidRPr="00CC75B2">
        <w:rPr>
          <w:vertAlign w:val="superscript"/>
        </w:rPr>
        <w:t xml:space="preserve"> </w:t>
      </w:r>
      <w:r>
        <w:rPr>
          <w:color w:val="000000" w:themeColor="text1"/>
          <w:sz w:val="20"/>
          <w:szCs w:val="20"/>
        </w:rPr>
        <w:t>П</w:t>
      </w:r>
      <w:r w:rsidRPr="009E5E9F">
        <w:rPr>
          <w:color w:val="000000" w:themeColor="text1"/>
          <w:sz w:val="20"/>
          <w:szCs w:val="20"/>
        </w:rPr>
        <w:t>остановление Правительства Ставропольского края N 408-п от 22 сентября 2016 года «Об утверждении территориальной схемы обращения с отходами в Ставропольском крае»</w:t>
      </w:r>
    </w:p>
  </w:footnote>
  <w:footnote w:id="88">
    <w:p w14:paraId="25E962FE" w14:textId="77777777" w:rsidR="00403890" w:rsidRDefault="00403890">
      <w:pPr>
        <w:pStyle w:val="afc"/>
        <w:spacing w:before="0" w:beforeAutospacing="0" w:after="0" w:afterAutospacing="0" w:line="147" w:lineRule="atLeast"/>
        <w:jc w:val="both"/>
        <w:rPr>
          <w:sz w:val="20"/>
          <w:szCs w:val="20"/>
        </w:rPr>
      </w:pPr>
      <w:r>
        <w:rPr>
          <w:rStyle w:val="afb"/>
          <w:sz w:val="20"/>
          <w:szCs w:val="20"/>
          <w:vertAlign w:val="superscript"/>
        </w:rPr>
        <w:footnoteRef/>
      </w:r>
      <w:r>
        <w:rPr>
          <w:sz w:val="20"/>
          <w:szCs w:val="20"/>
          <w:vertAlign w:val="superscript"/>
        </w:rPr>
        <w:t xml:space="preserve"> </w:t>
      </w:r>
      <w:r>
        <w:rPr>
          <w:sz w:val="20"/>
          <w:szCs w:val="20"/>
        </w:rPr>
        <w:t>Программа «Развития инженерных коммунальных систем городского округа города-курорта Кисловодска, 2016 г.</w:t>
      </w:r>
    </w:p>
  </w:footnote>
  <w:footnote w:id="89">
    <w:p w14:paraId="05877F8C" w14:textId="77777777" w:rsidR="00403890" w:rsidRDefault="00403890">
      <w:pPr>
        <w:pStyle w:val="afc"/>
        <w:spacing w:before="0" w:beforeAutospacing="0" w:after="0" w:afterAutospacing="0" w:line="147" w:lineRule="atLeast"/>
        <w:jc w:val="both"/>
        <w:rPr>
          <w:sz w:val="20"/>
          <w:szCs w:val="20"/>
        </w:rPr>
      </w:pPr>
      <w:r>
        <w:rPr>
          <w:rStyle w:val="afb"/>
          <w:sz w:val="20"/>
          <w:szCs w:val="20"/>
          <w:vertAlign w:val="superscript"/>
        </w:rPr>
        <w:footnoteRef/>
      </w:r>
      <w:r>
        <w:rPr>
          <w:sz w:val="20"/>
          <w:szCs w:val="20"/>
        </w:rPr>
        <w:t xml:space="preserve"> Управление Федеральной службы государственной статистики по Северо-Кавказскому федеральному округу, 2024 г.</w:t>
      </w:r>
    </w:p>
  </w:footnote>
  <w:footnote w:id="90">
    <w:p w14:paraId="3A34C619" w14:textId="77777777" w:rsidR="00403890" w:rsidRDefault="00403890">
      <w:pPr>
        <w:pStyle w:val="afc"/>
        <w:jc w:val="both"/>
        <w:rPr>
          <w:sz w:val="20"/>
          <w:szCs w:val="20"/>
        </w:rPr>
      </w:pPr>
      <w:r>
        <w:rPr>
          <w:rStyle w:val="afb"/>
          <w:sz w:val="20"/>
          <w:szCs w:val="20"/>
          <w:vertAlign w:val="superscript"/>
        </w:rPr>
        <w:footnoteRef/>
      </w:r>
      <w:r>
        <w:t xml:space="preserve"> </w:t>
      </w:r>
      <w:r>
        <w:rPr>
          <w:sz w:val="20"/>
          <w:szCs w:val="20"/>
        </w:rPr>
        <w:t>Управление федеральной службы государственной статистики по Северо-Кавказскому федеральному округу, 2024 г.</w:t>
      </w:r>
    </w:p>
  </w:footnote>
  <w:footnote w:id="91">
    <w:p w14:paraId="15A07551" w14:textId="77777777" w:rsidR="00403890" w:rsidRDefault="00403890" w:rsidP="007C46CA">
      <w:pPr>
        <w:pStyle w:val="afc"/>
        <w:spacing w:before="0" w:beforeAutospacing="0" w:after="0" w:afterAutospacing="0"/>
        <w:jc w:val="both"/>
        <w:rPr>
          <w:sz w:val="20"/>
          <w:szCs w:val="20"/>
        </w:rPr>
      </w:pPr>
      <w:r>
        <w:rPr>
          <w:rStyle w:val="afb"/>
          <w:sz w:val="20"/>
          <w:szCs w:val="20"/>
          <w:vertAlign w:val="superscript"/>
        </w:rPr>
        <w:footnoteRef/>
      </w:r>
      <w:r>
        <w:rPr>
          <w:sz w:val="20"/>
          <w:szCs w:val="20"/>
        </w:rPr>
        <w:t xml:space="preserve"> Статистический ежегодник. Ставропольский край в цифрах за 2017-2022 гг. Статистический сборник. – Управление федеральной службы государственной статистики по Северо-Кавказскому федеральному округу, 2023 г.; данные администрации городского округа города-курорта Кисловодска, 2024 г.</w:t>
      </w:r>
    </w:p>
  </w:footnote>
  <w:footnote w:id="92">
    <w:p w14:paraId="47C15BCC" w14:textId="77777777" w:rsidR="00403890" w:rsidRDefault="00403890" w:rsidP="007C46CA">
      <w:pPr>
        <w:pStyle w:val="afc"/>
        <w:spacing w:before="0" w:beforeAutospacing="0" w:after="0" w:afterAutospacing="0"/>
        <w:jc w:val="both"/>
        <w:rPr>
          <w:sz w:val="20"/>
          <w:szCs w:val="20"/>
        </w:rPr>
      </w:pPr>
      <w:r>
        <w:rPr>
          <w:rStyle w:val="afb"/>
          <w:sz w:val="20"/>
          <w:szCs w:val="20"/>
          <w:vertAlign w:val="superscript"/>
        </w:rPr>
        <w:footnoteRef/>
      </w:r>
      <w:r>
        <w:rPr>
          <w:sz w:val="20"/>
          <w:szCs w:val="20"/>
        </w:rPr>
        <w:t xml:space="preserve"> Данные администрации городского округа города-курорта Кисловодска, 2024 г.</w:t>
      </w:r>
    </w:p>
  </w:footnote>
  <w:footnote w:id="93">
    <w:p w14:paraId="5FEB83DD" w14:textId="77777777" w:rsidR="00403890" w:rsidRDefault="00403890" w:rsidP="007C46CA">
      <w:pPr>
        <w:pStyle w:val="afc"/>
        <w:spacing w:before="0" w:beforeAutospacing="0" w:after="0" w:afterAutospacing="0"/>
        <w:jc w:val="both"/>
        <w:rPr>
          <w:sz w:val="20"/>
          <w:szCs w:val="20"/>
        </w:rPr>
      </w:pPr>
      <w:r>
        <w:rPr>
          <w:rStyle w:val="afb"/>
          <w:sz w:val="20"/>
          <w:szCs w:val="20"/>
          <w:vertAlign w:val="superscript"/>
        </w:rPr>
        <w:footnoteRef/>
      </w:r>
      <w:r>
        <w:rPr>
          <w:sz w:val="20"/>
          <w:szCs w:val="20"/>
        </w:rPr>
        <w:t xml:space="preserve"> Данные администрации городского округа города-курорта Кисловодска, 2024 г.</w:t>
      </w:r>
    </w:p>
  </w:footnote>
  <w:footnote w:id="94">
    <w:p w14:paraId="692E9E8F" w14:textId="77777777" w:rsidR="00403890" w:rsidRDefault="00403890" w:rsidP="007C46CA">
      <w:pPr>
        <w:pStyle w:val="afc"/>
        <w:spacing w:before="0" w:beforeAutospacing="0" w:after="0" w:afterAutospacing="0"/>
        <w:jc w:val="both"/>
        <w:rPr>
          <w:sz w:val="20"/>
          <w:szCs w:val="20"/>
        </w:rPr>
      </w:pPr>
      <w:r>
        <w:rPr>
          <w:rStyle w:val="afb"/>
          <w:sz w:val="20"/>
          <w:szCs w:val="20"/>
          <w:vertAlign w:val="superscript"/>
        </w:rPr>
        <w:footnoteRef/>
      </w:r>
      <w:r>
        <w:rPr>
          <w:sz w:val="20"/>
          <w:szCs w:val="20"/>
        </w:rPr>
        <w:t xml:space="preserve"> Данные администрации городского округа города-курорта Кисловодска, 2024 г.</w:t>
      </w:r>
    </w:p>
  </w:footnote>
  <w:footnote w:id="95">
    <w:p w14:paraId="3C85B5A8" w14:textId="77777777" w:rsidR="00403890" w:rsidRDefault="00403890" w:rsidP="007C46CA">
      <w:pPr>
        <w:pStyle w:val="afc"/>
        <w:spacing w:before="0" w:beforeAutospacing="0" w:after="0" w:afterAutospacing="0"/>
        <w:jc w:val="both"/>
        <w:rPr>
          <w:sz w:val="20"/>
          <w:szCs w:val="20"/>
        </w:rPr>
      </w:pPr>
      <w:r>
        <w:rPr>
          <w:rStyle w:val="afb"/>
          <w:sz w:val="20"/>
          <w:szCs w:val="20"/>
          <w:vertAlign w:val="superscript"/>
        </w:rPr>
        <w:footnoteRef/>
      </w:r>
      <w:r>
        <w:rPr>
          <w:sz w:val="20"/>
          <w:szCs w:val="20"/>
        </w:rPr>
        <w:t xml:space="preserve"> Статистический ежегодник. Ставропольский край в цифрах за 2017-2022 гг. Статистический сборник. – Управление федеральной службы государственной статистики по Северо-Кавказскому федеральному округу, 2023 г.; данные администрации городского округа города-курорта Кисловодска, 2024 г.</w:t>
      </w:r>
    </w:p>
  </w:footnote>
  <w:footnote w:id="96">
    <w:p w14:paraId="7096C279" w14:textId="77777777" w:rsidR="00403890" w:rsidRDefault="00403890" w:rsidP="007C46CA">
      <w:pPr>
        <w:pStyle w:val="afc"/>
        <w:spacing w:before="0" w:beforeAutospacing="0" w:after="0" w:afterAutospacing="0"/>
        <w:jc w:val="both"/>
        <w:rPr>
          <w:sz w:val="20"/>
          <w:szCs w:val="20"/>
        </w:rPr>
      </w:pPr>
      <w:r>
        <w:rPr>
          <w:rStyle w:val="afb"/>
          <w:sz w:val="20"/>
          <w:szCs w:val="20"/>
          <w:vertAlign w:val="superscript"/>
        </w:rPr>
        <w:footnoteRef/>
      </w:r>
      <w:r>
        <w:rPr>
          <w:sz w:val="20"/>
          <w:szCs w:val="20"/>
        </w:rPr>
        <w:t xml:space="preserve"> Статистический ежегодник. Ставропольский край в цифрах за 2017-2022 гг. Статистический сборник. – Управление федеральной службы государственной статистики по Северо-Кавказскому федеральному округу, 2023 г.</w:t>
      </w:r>
    </w:p>
  </w:footnote>
  <w:footnote w:id="97">
    <w:p w14:paraId="62AF90FE" w14:textId="77777777" w:rsidR="00403890" w:rsidRDefault="00403890">
      <w:pPr>
        <w:pStyle w:val="afc"/>
        <w:jc w:val="both"/>
        <w:rPr>
          <w:sz w:val="20"/>
          <w:szCs w:val="20"/>
        </w:rPr>
      </w:pPr>
      <w:r>
        <w:rPr>
          <w:rStyle w:val="afb"/>
          <w:sz w:val="20"/>
          <w:szCs w:val="20"/>
          <w:vertAlign w:val="superscript"/>
        </w:rPr>
        <w:footnoteRef/>
      </w:r>
      <w:r>
        <w:rPr>
          <w:sz w:val="20"/>
          <w:szCs w:val="20"/>
        </w:rPr>
        <w:t xml:space="preserve"> Статистический ежегодник. Ставропольский край в цифрах за 2017-2022 гг. Статистический сборник. – Управление федеральной службы государственной статистики по Северо-Кавказскому федеральному округу, 2023 г.</w:t>
      </w:r>
    </w:p>
  </w:footnote>
  <w:footnote w:id="98">
    <w:p w14:paraId="045A55FD" w14:textId="77777777" w:rsidR="00403890" w:rsidRDefault="00403890">
      <w:pPr>
        <w:pBdr>
          <w:top w:val="none" w:sz="4" w:space="0" w:color="000000"/>
          <w:left w:val="none" w:sz="4" w:space="0" w:color="000000"/>
          <w:bottom w:val="none" w:sz="4" w:space="0" w:color="000000"/>
          <w:right w:val="none" w:sz="4" w:space="0" w:color="000000"/>
        </w:pBdr>
        <w:ind w:firstLine="0"/>
        <w:jc w:val="left"/>
        <w:rPr>
          <w:rFonts w:ascii="Times New Roman" w:eastAsia="Times New Roman" w:hAnsi="Times New Roman" w:cs="Times New Roman"/>
          <w:color w:val="000000"/>
          <w:sz w:val="20"/>
          <w:szCs w:val="20"/>
        </w:rPr>
      </w:pPr>
      <w:r>
        <w:rPr>
          <w:rStyle w:val="afb"/>
          <w:sz w:val="20"/>
          <w:szCs w:val="20"/>
          <w:vertAlign w:val="superscript"/>
        </w:rPr>
        <w:footnoteRef/>
      </w:r>
      <w:r>
        <w:rPr>
          <w:sz w:val="20"/>
          <w:szCs w:val="20"/>
        </w:rPr>
        <w:t xml:space="preserve"> </w:t>
      </w:r>
      <w:r>
        <w:rPr>
          <w:rFonts w:ascii="Times New Roman" w:eastAsia="Times New Roman" w:hAnsi="Times New Roman" w:cs="Times New Roman"/>
          <w:color w:val="000000"/>
          <w:sz w:val="20"/>
          <w:szCs w:val="20"/>
        </w:rPr>
        <w:t>Паспорт городского округа города-курорта Кисловодска за 2022 г.</w:t>
      </w:r>
    </w:p>
  </w:footnote>
  <w:footnote w:id="99">
    <w:p w14:paraId="18A18C1A" w14:textId="77777777" w:rsidR="00403890" w:rsidRDefault="00403890">
      <w:pPr>
        <w:pBdr>
          <w:top w:val="none" w:sz="4" w:space="0" w:color="000000"/>
          <w:left w:val="none" w:sz="4" w:space="0" w:color="000000"/>
          <w:bottom w:val="none" w:sz="4" w:space="0" w:color="000000"/>
          <w:right w:val="none" w:sz="4" w:space="0" w:color="000000"/>
        </w:pBdr>
        <w:spacing w:line="240" w:lineRule="auto"/>
        <w:ind w:firstLine="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vertAlign w:val="superscript"/>
        </w:rPr>
        <w:footnoteRef/>
      </w:r>
      <w:r>
        <w:rPr>
          <w:rFonts w:ascii="Times New Roman" w:hAnsi="Times New Roman" w:cs="Times New Roman"/>
          <w:color w:val="000000" w:themeColor="text1"/>
          <w:sz w:val="20"/>
          <w:szCs w:val="20"/>
        </w:rPr>
        <w:t xml:space="preserve">  Город Кисловодск. Проект планировки. Пояснительная записка. – Государственный комитет Совета Министров РСФСР по строительству. Государственный институт проектирования городов «ГИПРОГОР». – М., 1968. – С. 139</w:t>
      </w:r>
    </w:p>
  </w:footnote>
  <w:footnote w:id="100">
    <w:p w14:paraId="088875F9" w14:textId="77777777" w:rsidR="00403890" w:rsidRDefault="00403890">
      <w:pPr>
        <w:pBdr>
          <w:top w:val="none" w:sz="4" w:space="0" w:color="000000"/>
          <w:left w:val="none" w:sz="4" w:space="0" w:color="000000"/>
          <w:bottom w:val="none" w:sz="4" w:space="0" w:color="000000"/>
          <w:right w:val="none" w:sz="4" w:space="0" w:color="000000"/>
        </w:pBdr>
        <w:ind w:firstLine="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vertAlign w:val="superscript"/>
        </w:rPr>
        <w:footnoteRef/>
      </w:r>
      <w:r>
        <w:rPr>
          <w:rFonts w:ascii="Times New Roman" w:hAnsi="Times New Roman" w:cs="Times New Roman"/>
          <w:color w:val="000000" w:themeColor="text1"/>
          <w:sz w:val="20"/>
          <w:szCs w:val="20"/>
          <w:vertAlign w:val="superscript"/>
        </w:rPr>
        <w:t xml:space="preserve"> </w:t>
      </w:r>
      <w:r>
        <w:rPr>
          <w:rFonts w:ascii="Times New Roman" w:hAnsi="Times New Roman" w:cs="Times New Roman"/>
          <w:color w:val="000000" w:themeColor="text1"/>
          <w:sz w:val="20"/>
          <w:szCs w:val="20"/>
        </w:rPr>
        <w:t>Научно-исследовательская работа по внесению изменений в Схему территориального планирования Кавказских Минеральных Вод. ИТП «Град». – Омск, 2014.</w:t>
      </w:r>
    </w:p>
    <w:p w14:paraId="76229198" w14:textId="77777777" w:rsidR="00403890" w:rsidRDefault="00403890">
      <w:pPr>
        <w:pStyle w:val="afc"/>
        <w:rPr>
          <w:sz w:val="20"/>
          <w:szCs w:val="20"/>
        </w:rPr>
      </w:pPr>
    </w:p>
  </w:footnote>
  <w:footnote w:id="101">
    <w:p w14:paraId="38E04720" w14:textId="77777777" w:rsidR="00403890" w:rsidRDefault="00403890">
      <w:pPr>
        <w:pBdr>
          <w:top w:val="none" w:sz="4" w:space="0" w:color="000000"/>
          <w:left w:val="none" w:sz="4" w:space="0" w:color="000000"/>
          <w:bottom w:val="none" w:sz="4" w:space="0" w:color="000000"/>
          <w:right w:val="none" w:sz="4" w:space="0" w:color="000000"/>
        </w:pBdr>
        <w:ind w:firstLine="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vertAlign w:val="superscript"/>
        </w:rPr>
        <w:footnoteRef/>
      </w:r>
      <w:r>
        <w:rPr>
          <w:rFonts w:ascii="Times New Roman" w:hAnsi="Times New Roman" w:cs="Times New Roman"/>
          <w:color w:val="000000" w:themeColor="text1"/>
          <w:sz w:val="20"/>
          <w:szCs w:val="20"/>
        </w:rPr>
        <w:t xml:space="preserve">  Приказ Министерства строительства и жилищно-коммунального хозяйства Российской Федерации от 25 апреля 2017 г. № 738/</w:t>
      </w:r>
      <w:proofErr w:type="gramStart"/>
      <w:r>
        <w:rPr>
          <w:rFonts w:ascii="Times New Roman" w:hAnsi="Times New Roman" w:cs="Times New Roman"/>
          <w:color w:val="000000" w:themeColor="text1"/>
          <w:sz w:val="20"/>
          <w:szCs w:val="20"/>
        </w:rPr>
        <w:t>пр</w:t>
      </w:r>
      <w:proofErr w:type="gramEnd"/>
      <w:r>
        <w:rPr>
          <w:rFonts w:ascii="Times New Roman" w:hAnsi="Times New Roman" w:cs="Times New Roman"/>
          <w:color w:val="000000" w:themeColor="text1"/>
          <w:sz w:val="20"/>
          <w:szCs w:val="20"/>
        </w:rPr>
        <w:t xml:space="preserve"> «Об утверждении видов элементов планировочной структуры»</w:t>
      </w:r>
    </w:p>
  </w:footnote>
  <w:footnote w:id="102">
    <w:p w14:paraId="0F155E69" w14:textId="77777777" w:rsidR="00403890" w:rsidRDefault="00403890">
      <w:pPr>
        <w:pBdr>
          <w:top w:val="none" w:sz="4" w:space="0" w:color="000000"/>
          <w:left w:val="none" w:sz="4" w:space="0" w:color="000000"/>
          <w:bottom w:val="none" w:sz="4" w:space="0" w:color="000000"/>
          <w:right w:val="none" w:sz="4" w:space="0" w:color="000000"/>
        </w:pBdr>
        <w:ind w:firstLine="0"/>
        <w:rPr>
          <w:rFonts w:ascii="Times New Roman" w:hAnsi="Times New Roman" w:cs="Times New Roman"/>
          <w:color w:val="000000" w:themeColor="text1"/>
          <w:sz w:val="20"/>
          <w:szCs w:val="20"/>
          <w:vertAlign w:val="superscript"/>
        </w:rPr>
      </w:pPr>
      <w:r>
        <w:rPr>
          <w:rFonts w:ascii="Times New Roman" w:hAnsi="Times New Roman" w:cs="Times New Roman"/>
          <w:color w:val="000000" w:themeColor="text1"/>
          <w:sz w:val="20"/>
          <w:szCs w:val="20"/>
          <w:vertAlign w:val="superscript"/>
        </w:rPr>
        <w:footnoteRef/>
      </w:r>
      <w:r>
        <w:rPr>
          <w:rFonts w:ascii="Times New Roman" w:hAnsi="Times New Roman" w:cs="Times New Roman"/>
          <w:color w:val="000000" w:themeColor="text1"/>
          <w:sz w:val="20"/>
          <w:szCs w:val="20"/>
        </w:rPr>
        <w:t xml:space="preserve"> Постановление Правительства Ставропольского края от 23 декабря 2009 года № 334-п «Об утверждении перечня автомобильных дорог общего пользования, являющихся государственной собственностью Ставропольского края (автомобильные дороги общего пользования регионального или межмуниципального значения)»</w:t>
      </w:r>
    </w:p>
  </w:footnote>
  <w:footnote w:id="103">
    <w:p w14:paraId="41D39612" w14:textId="77777777" w:rsidR="00403890" w:rsidRDefault="00403890">
      <w:pPr>
        <w:pBdr>
          <w:top w:val="none" w:sz="4" w:space="0" w:color="000000"/>
          <w:left w:val="none" w:sz="4" w:space="0" w:color="000000"/>
          <w:bottom w:val="none" w:sz="4" w:space="0" w:color="000000"/>
          <w:right w:val="none" w:sz="4" w:space="0" w:color="000000"/>
        </w:pBdr>
        <w:ind w:firstLine="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vertAlign w:val="superscript"/>
        </w:rPr>
        <w:footnoteRef/>
      </w:r>
      <w:r>
        <w:rPr>
          <w:rFonts w:ascii="Times New Roman" w:hAnsi="Times New Roman" w:cs="Times New Roman"/>
          <w:color w:val="000000" w:themeColor="text1"/>
          <w:sz w:val="20"/>
          <w:szCs w:val="20"/>
          <w:vertAlign w:val="superscript"/>
        </w:rPr>
        <w:t xml:space="preserve"> </w:t>
      </w:r>
      <w:r>
        <w:rPr>
          <w:rFonts w:ascii="Times New Roman" w:hAnsi="Times New Roman" w:cs="Times New Roman"/>
          <w:color w:val="000000" w:themeColor="text1"/>
          <w:sz w:val="20"/>
          <w:szCs w:val="20"/>
        </w:rPr>
        <w:t>Колбовский, Е.Ю. Ландшафтное планирование [Текст] / Е.Ю. Колбовский. – М.: Академия, 2008. – 348 с.</w:t>
      </w:r>
    </w:p>
  </w:footnote>
  <w:footnote w:id="104">
    <w:p w14:paraId="6D3105A8" w14:textId="77777777" w:rsidR="00403890" w:rsidRDefault="00403890">
      <w:pPr>
        <w:pBdr>
          <w:top w:val="none" w:sz="4" w:space="0" w:color="000000"/>
          <w:left w:val="none" w:sz="4" w:space="0" w:color="000000"/>
          <w:bottom w:val="none" w:sz="4" w:space="0" w:color="000000"/>
          <w:right w:val="none" w:sz="4" w:space="0" w:color="000000"/>
        </w:pBdr>
        <w:ind w:firstLine="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vertAlign w:val="superscript"/>
        </w:rPr>
        <w:footnoteRef/>
      </w:r>
      <w:r>
        <w:rPr>
          <w:rFonts w:ascii="Times New Roman" w:hAnsi="Times New Roman" w:cs="Times New Roman"/>
          <w:color w:val="000000" w:themeColor="text1"/>
          <w:sz w:val="20"/>
          <w:szCs w:val="20"/>
        </w:rPr>
        <w:t xml:space="preserve"> Георгица, И.М. Специфика городского экологического каркаса // Ярославский педагогический вестник – 2011 – № 2 – Том III (Естественные науки). – С. 133-136.</w:t>
      </w:r>
    </w:p>
  </w:footnote>
  <w:footnote w:id="105">
    <w:p w14:paraId="0CB2E510" w14:textId="77777777" w:rsidR="00403890" w:rsidRDefault="00403890" w:rsidP="0058161E">
      <w:pPr>
        <w:pStyle w:val="afc"/>
        <w:jc w:val="both"/>
        <w:rPr>
          <w:sz w:val="20"/>
          <w:szCs w:val="20"/>
          <w:highlight w:val="yellow"/>
        </w:rPr>
      </w:pPr>
      <w:r>
        <w:rPr>
          <w:rStyle w:val="afb"/>
          <w:sz w:val="20"/>
          <w:szCs w:val="20"/>
          <w:vertAlign w:val="superscript"/>
        </w:rPr>
        <w:footnoteRef/>
      </w:r>
      <w:r>
        <w:rPr>
          <w:sz w:val="20"/>
          <w:szCs w:val="20"/>
        </w:rPr>
        <w:t xml:space="preserve"> </w:t>
      </w:r>
      <w:r>
        <w:rPr>
          <w:color w:val="000000"/>
          <w:sz w:val="20"/>
          <w:szCs w:val="20"/>
        </w:rPr>
        <w:t xml:space="preserve">Решение Думы города-курорта Кисловодска Ставропольского края от 21.12.2022 г. №119-622 «О внесении изменений в решение Думы города-курорта Кисловодска от 28 июля 2021 № 65-521 «Об утверждении Генерального </w:t>
      </w:r>
      <w:proofErr w:type="gramStart"/>
      <w:r>
        <w:rPr>
          <w:color w:val="000000"/>
          <w:sz w:val="20"/>
          <w:szCs w:val="20"/>
        </w:rPr>
        <w:t>плана городского округа города-курорта Кисловодска Ставропольского края</w:t>
      </w:r>
      <w:proofErr w:type="gramEnd"/>
      <w:r>
        <w:rPr>
          <w:color w:val="000000"/>
          <w:sz w:val="20"/>
          <w:szCs w:val="20"/>
        </w:rPr>
        <w:t>»</w:t>
      </w:r>
    </w:p>
  </w:footnote>
  <w:footnote w:id="106">
    <w:p w14:paraId="460A40FF" w14:textId="77777777" w:rsidR="00403890" w:rsidRDefault="00403890">
      <w:pPr>
        <w:pStyle w:val="afc"/>
        <w:jc w:val="both"/>
        <w:rPr>
          <w:color w:val="000000" w:themeColor="text1"/>
          <w:sz w:val="16"/>
          <w:szCs w:val="16"/>
        </w:rPr>
      </w:pPr>
      <w:r>
        <w:rPr>
          <w:rStyle w:val="afb"/>
          <w:vertAlign w:val="superscript"/>
        </w:rPr>
        <w:footnoteRef/>
      </w:r>
      <w:r>
        <w:rPr>
          <w:color w:val="000000" w:themeColor="text1"/>
          <w:sz w:val="16"/>
          <w:szCs w:val="16"/>
        </w:rPr>
        <w:t xml:space="preserve"> </w:t>
      </w:r>
      <w:r>
        <w:rPr>
          <w:color w:val="000000" w:themeColor="text1"/>
          <w:sz w:val="20"/>
          <w:szCs w:val="16"/>
        </w:rPr>
        <w:t xml:space="preserve">Распоряжение Правительства Российской Федерации от 31 октября 2022 года № 3268-р «О </w:t>
      </w:r>
      <w:hyperlink r:id="rId50" w:anchor="6560IO" w:tooltip="https://docs.cntd.ru/document/352185341#6560IO" w:history="1">
        <w:r>
          <w:rPr>
            <w:rStyle w:val="af6"/>
            <w:color w:val="000000" w:themeColor="text1"/>
            <w:sz w:val="20"/>
            <w:szCs w:val="16"/>
            <w:u w:val="none"/>
          </w:rPr>
          <w:t>Стратегии развития строительной отрасли и жилищно-коммунального хозяйства Российской Федерации на период до 2030 года с прогнозом до 2035 года</w:t>
        </w:r>
      </w:hyperlink>
      <w:r>
        <w:rPr>
          <w:color w:val="000000" w:themeColor="text1"/>
          <w:sz w:val="20"/>
          <w:szCs w:val="16"/>
        </w:rPr>
        <w:t>»</w:t>
      </w:r>
    </w:p>
  </w:footnote>
  <w:footnote w:id="107">
    <w:p w14:paraId="126C5A98" w14:textId="77777777" w:rsidR="00403890" w:rsidRPr="008E1343" w:rsidRDefault="00403890">
      <w:pPr>
        <w:pStyle w:val="afc"/>
        <w:spacing w:before="0" w:beforeAutospacing="0" w:after="0" w:afterAutospacing="0"/>
        <w:jc w:val="both"/>
        <w:rPr>
          <w:color w:val="000000" w:themeColor="text1"/>
          <w:sz w:val="20"/>
          <w:szCs w:val="20"/>
        </w:rPr>
      </w:pPr>
      <w:r>
        <w:rPr>
          <w:rStyle w:val="afb"/>
          <w:vertAlign w:val="superscript"/>
        </w:rPr>
        <w:footnoteRef/>
      </w:r>
      <w:r>
        <w:t xml:space="preserve"> </w:t>
      </w:r>
      <w:r w:rsidRPr="008E1343">
        <w:rPr>
          <w:color w:val="000000" w:themeColor="text1"/>
          <w:sz w:val="20"/>
        </w:rPr>
        <w:t>Официальный сайт администрации Кисловодска. Инвест</w:t>
      </w:r>
      <w:r w:rsidRPr="008E1343">
        <w:rPr>
          <w:color w:val="000000" w:themeColor="text1"/>
          <w:sz w:val="20"/>
          <w:szCs w:val="20"/>
        </w:rPr>
        <w:t xml:space="preserve">иции. Инвестиционная деятельность на территории г. Кисловодска </w:t>
      </w:r>
      <w:hyperlink r:id="rId51" w:tooltip="https://kislovodsk-kurort.org/investitsii/investitsionnaia-deiatelnost-na-territorii-g-kislovodska" w:history="1">
        <w:r w:rsidRPr="008E1343">
          <w:rPr>
            <w:rStyle w:val="af6"/>
            <w:color w:val="000000" w:themeColor="text1"/>
            <w:sz w:val="20"/>
            <w:szCs w:val="20"/>
            <w:u w:val="none"/>
          </w:rPr>
          <w:t>https://kislovodsk-kurort.org/investitsii/investitsionnaia-deiatelnost-na-territorii-g-kislovodska</w:t>
        </w:r>
      </w:hyperlink>
      <w:r w:rsidRPr="008E1343">
        <w:rPr>
          <w:color w:val="000000" w:themeColor="text1"/>
          <w:sz w:val="20"/>
          <w:szCs w:val="20"/>
        </w:rPr>
        <w:t xml:space="preserve">  </w:t>
      </w:r>
    </w:p>
  </w:footnote>
  <w:footnote w:id="108">
    <w:p w14:paraId="61DC3888" w14:textId="77777777" w:rsidR="00403890" w:rsidRDefault="00403890">
      <w:pPr>
        <w:pStyle w:val="afc"/>
        <w:spacing w:before="0" w:beforeAutospacing="0" w:after="0" w:afterAutospacing="0"/>
        <w:jc w:val="both"/>
        <w:rPr>
          <w:sz w:val="20"/>
          <w:szCs w:val="20"/>
        </w:rPr>
      </w:pPr>
      <w:r>
        <w:rPr>
          <w:rStyle w:val="afb"/>
          <w:sz w:val="20"/>
          <w:szCs w:val="20"/>
          <w:vertAlign w:val="superscript"/>
        </w:rPr>
        <w:footnoteRef/>
      </w:r>
      <w:r>
        <w:rPr>
          <w:sz w:val="20"/>
          <w:szCs w:val="20"/>
        </w:rPr>
        <w:t xml:space="preserve"> </w:t>
      </w:r>
      <w:r>
        <w:rPr>
          <w:color w:val="000000" w:themeColor="text1"/>
          <w:sz w:val="20"/>
          <w:szCs w:val="20"/>
        </w:rPr>
        <w:t>Стратегия пространственного развития (</w:t>
      </w:r>
      <w:proofErr w:type="gramStart"/>
      <w:r>
        <w:rPr>
          <w:color w:val="000000" w:themeColor="text1"/>
          <w:sz w:val="20"/>
          <w:szCs w:val="20"/>
        </w:rPr>
        <w:t>мастер-плана</w:t>
      </w:r>
      <w:proofErr w:type="gramEnd"/>
      <w:r>
        <w:rPr>
          <w:color w:val="000000" w:themeColor="text1"/>
          <w:sz w:val="20"/>
          <w:szCs w:val="20"/>
        </w:rPr>
        <w:t>) Агломерации Кавказских Минеральных Вод</w:t>
      </w:r>
    </w:p>
  </w:footnote>
  <w:footnote w:id="109">
    <w:p w14:paraId="5871A5E7" w14:textId="77777777" w:rsidR="00403890" w:rsidRDefault="00403890">
      <w:pPr>
        <w:pBdr>
          <w:top w:val="none" w:sz="4" w:space="0" w:color="000000"/>
          <w:left w:val="none" w:sz="4" w:space="0" w:color="000000"/>
          <w:bottom w:val="none" w:sz="4" w:space="0" w:color="000000"/>
          <w:right w:val="none" w:sz="4" w:space="0" w:color="000000"/>
        </w:pBdr>
        <w:spacing w:line="240" w:lineRule="auto"/>
        <w:ind w:firstLine="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vertAlign w:val="superscript"/>
        </w:rPr>
        <w:footnoteRef/>
      </w:r>
      <w:r>
        <w:rPr>
          <w:rFonts w:ascii="Times New Roman" w:eastAsia="Times New Roman" w:hAnsi="Times New Roman" w:cs="Times New Roman"/>
          <w:color w:val="000000"/>
          <w:sz w:val="20"/>
          <w:szCs w:val="20"/>
        </w:rPr>
        <w:t xml:space="preserve"> Решение Думы города-курорта Кисловодска Ставропольского края от 21.12.2022 г. №119-622 «О внесении изменений в решение Думы города-курорта Кисловодска от 28 июля 2021 № 65-521 «Об утверждении Генерального </w:t>
      </w:r>
      <w:proofErr w:type="gramStart"/>
      <w:r>
        <w:rPr>
          <w:rFonts w:ascii="Times New Roman" w:eastAsia="Times New Roman" w:hAnsi="Times New Roman" w:cs="Times New Roman"/>
          <w:color w:val="000000"/>
          <w:sz w:val="20"/>
          <w:szCs w:val="20"/>
        </w:rPr>
        <w:t>плана городского округа города-курорта Кисловодска Ставропольского края</w:t>
      </w:r>
      <w:proofErr w:type="gramEnd"/>
      <w:r>
        <w:rPr>
          <w:rFonts w:ascii="Times New Roman" w:eastAsia="Times New Roman" w:hAnsi="Times New Roman" w:cs="Times New Roman"/>
          <w:color w:val="000000"/>
          <w:sz w:val="20"/>
          <w:szCs w:val="20"/>
        </w:rPr>
        <w:t>»</w:t>
      </w:r>
    </w:p>
  </w:footnote>
  <w:footnote w:id="110">
    <w:p w14:paraId="1AF6695C" w14:textId="77777777" w:rsidR="00403890" w:rsidRDefault="00403890">
      <w:pPr>
        <w:pBdr>
          <w:top w:val="none" w:sz="4" w:space="0" w:color="000000"/>
          <w:left w:val="none" w:sz="4" w:space="0" w:color="000000"/>
          <w:bottom w:val="none" w:sz="4" w:space="0" w:color="000000"/>
          <w:right w:val="none" w:sz="4" w:space="0" w:color="000000"/>
        </w:pBdr>
        <w:spacing w:line="240" w:lineRule="auto"/>
        <w:ind w:firstLine="0"/>
        <w:rPr>
          <w:rFonts w:ascii="Times New Roman" w:eastAsia="Times New Roman" w:hAnsi="Times New Roman" w:cs="Times New Roman"/>
          <w:color w:val="000000"/>
          <w:sz w:val="22"/>
        </w:rPr>
      </w:pPr>
      <w:r>
        <w:rPr>
          <w:rFonts w:ascii="Times New Roman" w:eastAsia="Times New Roman" w:hAnsi="Times New Roman" w:cs="Times New Roman"/>
          <w:color w:val="000000"/>
          <w:sz w:val="20"/>
          <w:szCs w:val="20"/>
          <w:vertAlign w:val="superscript"/>
        </w:rPr>
        <w:footnoteRef/>
      </w:r>
      <w:r>
        <w:rPr>
          <w:rFonts w:ascii="Times New Roman" w:eastAsia="Times New Roman" w:hAnsi="Times New Roman" w:cs="Times New Roman"/>
          <w:color w:val="000000"/>
          <w:sz w:val="20"/>
          <w:szCs w:val="20"/>
        </w:rPr>
        <w:t xml:space="preserve"> Решение Думы города-курорта Кисловодска Ставропольского края от 21.12.2022 г. №119-622 «О внесении изменений в решение Думы города-курорта Кисловодска от 28 июля 2021 № 65-521 «Об утверждении Генерального </w:t>
      </w:r>
      <w:proofErr w:type="gramStart"/>
      <w:r>
        <w:rPr>
          <w:rFonts w:ascii="Times New Roman" w:eastAsia="Times New Roman" w:hAnsi="Times New Roman" w:cs="Times New Roman"/>
          <w:color w:val="000000"/>
          <w:sz w:val="20"/>
          <w:szCs w:val="20"/>
        </w:rPr>
        <w:t>плана городского округа города-курорта Кисловодска Ставропольского края</w:t>
      </w:r>
      <w:proofErr w:type="gramEnd"/>
      <w:r>
        <w:rPr>
          <w:rFonts w:ascii="Times New Roman" w:eastAsia="Times New Roman" w:hAnsi="Times New Roman" w:cs="Times New Roman"/>
          <w:color w:val="000000"/>
          <w:sz w:val="20"/>
          <w:szCs w:val="20"/>
        </w:rPr>
        <w:t>»</w:t>
      </w:r>
    </w:p>
  </w:footnote>
  <w:footnote w:id="111">
    <w:p w14:paraId="7A34AB1C" w14:textId="77777777" w:rsidR="00403890" w:rsidRDefault="00403890">
      <w:pPr>
        <w:pBdr>
          <w:top w:val="none" w:sz="4" w:space="0" w:color="000000"/>
          <w:left w:val="none" w:sz="4" w:space="0" w:color="000000"/>
          <w:bottom w:val="none" w:sz="4" w:space="0" w:color="000000"/>
          <w:right w:val="none" w:sz="4" w:space="0" w:color="000000"/>
        </w:pBdr>
        <w:spacing w:line="240" w:lineRule="auto"/>
        <w:ind w:firstLine="0"/>
        <w:rPr>
          <w:rFonts w:ascii="Times New Roman" w:eastAsia="Times New Roman" w:hAnsi="Times New Roman" w:cs="Times New Roman"/>
          <w:color w:val="000000"/>
          <w:sz w:val="22"/>
        </w:rPr>
      </w:pPr>
      <w:r>
        <w:rPr>
          <w:rFonts w:ascii="Times New Roman" w:eastAsia="Times New Roman" w:hAnsi="Times New Roman" w:cs="Times New Roman"/>
          <w:color w:val="000000"/>
          <w:sz w:val="20"/>
          <w:szCs w:val="20"/>
          <w:vertAlign w:val="superscript"/>
        </w:rPr>
        <w:footnoteRef/>
      </w:r>
      <w:r>
        <w:rPr>
          <w:rFonts w:ascii="Times New Roman" w:eastAsia="Times New Roman" w:hAnsi="Times New Roman" w:cs="Times New Roman"/>
          <w:color w:val="000000"/>
          <w:sz w:val="20"/>
          <w:szCs w:val="20"/>
        </w:rPr>
        <w:t xml:space="preserve"> </w:t>
      </w:r>
      <w:r>
        <w:rPr>
          <w:rFonts w:ascii="Times New Roman" w:hAnsi="Times New Roman" w:cs="Times New Roman"/>
          <w:color w:val="000000" w:themeColor="text1"/>
          <w:sz w:val="20"/>
          <w:szCs w:val="20"/>
        </w:rPr>
        <w:t>Стратегия пространственного развития (мастер-план) города-курорта Кисловодска до 2030 г</w:t>
      </w:r>
    </w:p>
  </w:footnote>
  <w:footnote w:id="112">
    <w:p w14:paraId="51955652" w14:textId="77777777" w:rsidR="00403890" w:rsidRPr="008E1343" w:rsidRDefault="00403890">
      <w:pPr>
        <w:pStyle w:val="afc"/>
        <w:spacing w:before="0" w:beforeAutospacing="0" w:after="0" w:afterAutospacing="0"/>
        <w:jc w:val="both"/>
      </w:pPr>
      <w:r w:rsidRPr="008E1343">
        <w:rPr>
          <w:rStyle w:val="af1"/>
        </w:rPr>
        <w:footnoteRef/>
      </w:r>
      <w:r w:rsidRPr="008E1343">
        <w:t xml:space="preserve"> </w:t>
      </w:r>
      <w:r w:rsidRPr="008E1343">
        <w:rPr>
          <w:sz w:val="20"/>
        </w:rPr>
        <w:t>Приказ Министерства строительства и архитектуры Ставропольского края от 10.10.2022 г. № 532 «Об утверждении региональных нормативов градостроительного проектирования Ставропольского края в новой редакции» (с изм. на 16.12.2022 г.)</w:t>
      </w:r>
    </w:p>
  </w:footnote>
  <w:footnote w:id="113">
    <w:p w14:paraId="691D5916" w14:textId="77777777" w:rsidR="00403890" w:rsidRPr="008E1343" w:rsidRDefault="00403890">
      <w:pPr>
        <w:pStyle w:val="afc"/>
        <w:spacing w:before="0" w:beforeAutospacing="0" w:after="0" w:afterAutospacing="0"/>
        <w:jc w:val="both"/>
      </w:pPr>
      <w:r w:rsidRPr="008E1343">
        <w:rPr>
          <w:rFonts w:ascii="Calibri" w:eastAsia="Calibri" w:hAnsi="Calibri" w:cs="Calibri"/>
          <w:sz w:val="20"/>
          <w:vertAlign w:val="superscript"/>
        </w:rPr>
        <w:footnoteRef/>
      </w:r>
      <w:r w:rsidRPr="008E1343">
        <w:t xml:space="preserve"> </w:t>
      </w:r>
      <w:r w:rsidRPr="008E1343">
        <w:rPr>
          <w:sz w:val="20"/>
        </w:rPr>
        <w:t xml:space="preserve">Стратегия пространственного развития Кисловодска до 2030 г. – </w:t>
      </w:r>
      <w:hyperlink r:id="rId52" w:tooltip="https://kislovodsk-kurort.org/uploads/images/docum/ekonomika/1_2022/2020-_---2-1.pdf?ysclid=lugyru2pxh229433914" w:history="1">
        <w:r w:rsidRPr="008E1343">
          <w:rPr>
            <w:rStyle w:val="af6"/>
            <w:color w:val="auto"/>
            <w:sz w:val="20"/>
            <w:u w:val="none"/>
          </w:rPr>
          <w:t>https://kislovodsk-kurort.org/uploads/images/docum/ekonomika/1_2022/2020-_---2-1.pdf?ysclid=lugyru2pxh229433914</w:t>
        </w:r>
      </w:hyperlink>
      <w:r w:rsidRPr="008E1343">
        <w:rPr>
          <w:sz w:val="20"/>
        </w:rPr>
        <w:t xml:space="preserve"> </w:t>
      </w:r>
    </w:p>
  </w:footnote>
  <w:footnote w:id="114">
    <w:p w14:paraId="25EF7DE8" w14:textId="77777777" w:rsidR="00403890" w:rsidRPr="008E1343" w:rsidRDefault="00403890" w:rsidP="008E1343">
      <w:pPr>
        <w:pStyle w:val="afc"/>
        <w:spacing w:before="0" w:beforeAutospacing="0" w:after="0" w:afterAutospacing="0"/>
        <w:jc w:val="both"/>
      </w:pPr>
      <w:r w:rsidRPr="008E1343">
        <w:rPr>
          <w:rFonts w:ascii="Calibri" w:eastAsia="Calibri" w:hAnsi="Calibri" w:cs="Calibri"/>
          <w:sz w:val="20"/>
          <w:vertAlign w:val="superscript"/>
        </w:rPr>
        <w:footnoteRef/>
      </w:r>
      <w:r w:rsidRPr="008E1343">
        <w:t xml:space="preserve"> </w:t>
      </w:r>
      <w:r w:rsidRPr="008E1343">
        <w:rPr>
          <w:sz w:val="20"/>
        </w:rPr>
        <w:t xml:space="preserve">Стратегия пространственного развития Кисловодска до 2030 г. – </w:t>
      </w:r>
      <w:hyperlink r:id="rId53" w:tooltip="https://kislovodsk-kurort.org/uploads/images/docum/ekonomika/1_2022/2020-_---2-1.pdf?ysclid=lugyru2pxh229433914" w:history="1">
        <w:r w:rsidRPr="008E1343">
          <w:rPr>
            <w:rStyle w:val="af6"/>
            <w:color w:val="auto"/>
            <w:sz w:val="20"/>
            <w:u w:val="none"/>
          </w:rPr>
          <w:t>https://kislovodsk-kurort.org/uploads/images/docum/ekonomika/1_2022/2020-_---2-1.pdf?ysclid=lugyru2pxh229433914</w:t>
        </w:r>
      </w:hyperlink>
      <w:r w:rsidRPr="008E1343">
        <w:rPr>
          <w:sz w:val="20"/>
        </w:rPr>
        <w:t xml:space="preserve"> </w:t>
      </w:r>
    </w:p>
  </w:footnote>
  <w:footnote w:id="115">
    <w:p w14:paraId="6FBDE9BF" w14:textId="77777777" w:rsidR="00403890" w:rsidRDefault="00403890" w:rsidP="008E1343">
      <w:pPr>
        <w:pStyle w:val="afc"/>
        <w:spacing w:before="0" w:beforeAutospacing="0" w:after="0" w:afterAutospacing="0"/>
        <w:jc w:val="both"/>
      </w:pPr>
      <w:r>
        <w:rPr>
          <w:rStyle w:val="af1"/>
        </w:rPr>
        <w:footnoteRef/>
      </w:r>
      <w:r>
        <w:t xml:space="preserve"> </w:t>
      </w:r>
      <w:r>
        <w:rPr>
          <w:color w:val="000000"/>
          <w:sz w:val="20"/>
        </w:rPr>
        <w:t xml:space="preserve"> П. 5.18 СП 8.13130.2020 «Системы противопожарной защиты. Наружное противопожарное водоснабжение. Требования пожарной безопасности».</w:t>
      </w:r>
    </w:p>
  </w:footnote>
  <w:footnote w:id="116">
    <w:p w14:paraId="63BD34A1" w14:textId="77777777" w:rsidR="00403890" w:rsidRPr="00E27FAB" w:rsidRDefault="00403890" w:rsidP="00E27FAB">
      <w:pPr>
        <w:pStyle w:val="afc"/>
        <w:spacing w:before="0" w:beforeAutospacing="0" w:after="0" w:afterAutospacing="0"/>
        <w:jc w:val="both"/>
        <w:rPr>
          <w:sz w:val="20"/>
          <w:szCs w:val="20"/>
        </w:rPr>
      </w:pPr>
      <w:r w:rsidRPr="00E27FAB">
        <w:rPr>
          <w:rStyle w:val="afb"/>
          <w:sz w:val="20"/>
          <w:szCs w:val="20"/>
          <w:vertAlign w:val="superscript"/>
        </w:rPr>
        <w:footnoteRef/>
      </w:r>
      <w:r w:rsidRPr="00E27FAB">
        <w:t xml:space="preserve"> </w:t>
      </w:r>
      <w:r w:rsidRPr="00E27FAB">
        <w:rPr>
          <w:sz w:val="20"/>
          <w:szCs w:val="20"/>
        </w:rPr>
        <w:t xml:space="preserve">Приказ Министерства жилищно-коммунального хозяйства Ставропольского края от 12.10.2016 г. № 399 «Об утверждении нормативов расхода тепловой энергии, используемой на подогрев холодной воды для предоставления коммунальной услуги по горячему водоснабжению» – </w:t>
      </w:r>
      <w:hyperlink r:id="rId54" w:tooltip="file:///C:/Users/User/Downloads/np_20161116d_1.pdf" w:history="1">
        <w:r w:rsidRPr="00E27FAB">
          <w:rPr>
            <w:rStyle w:val="af6"/>
            <w:color w:val="auto"/>
            <w:sz w:val="20"/>
            <w:szCs w:val="20"/>
            <w:u w:val="none"/>
          </w:rPr>
          <w:t>file:///C:/Users/User/Downloads/np_20161116d_1.pdf</w:t>
        </w:r>
      </w:hyperlink>
    </w:p>
  </w:footnote>
  <w:footnote w:id="117">
    <w:p w14:paraId="6C98E239" w14:textId="77777777" w:rsidR="00403890" w:rsidRPr="00E27FAB" w:rsidRDefault="00403890" w:rsidP="00E27FAB">
      <w:pPr>
        <w:pBdr>
          <w:top w:val="none" w:sz="4" w:space="0" w:color="000000"/>
          <w:left w:val="none" w:sz="4" w:space="0" w:color="000000"/>
          <w:bottom w:val="none" w:sz="4" w:space="0" w:color="000000"/>
          <w:right w:val="none" w:sz="4" w:space="0" w:color="000000"/>
        </w:pBdr>
        <w:ind w:firstLine="0"/>
        <w:rPr>
          <w:rFonts w:ascii="Times New Roman" w:eastAsia="Times New Roman" w:hAnsi="Times New Roman" w:cs="Times New Roman"/>
          <w:sz w:val="20"/>
          <w:szCs w:val="20"/>
        </w:rPr>
      </w:pPr>
      <w:r w:rsidRPr="00E27FAB">
        <w:rPr>
          <w:rStyle w:val="afb"/>
          <w:sz w:val="20"/>
          <w:szCs w:val="20"/>
          <w:vertAlign w:val="superscript"/>
        </w:rPr>
        <w:footnoteRef/>
      </w:r>
      <w:r w:rsidRPr="00E27FAB">
        <w:t xml:space="preserve"> </w:t>
      </w:r>
      <w:r w:rsidRPr="00E27FAB">
        <w:rPr>
          <w:rFonts w:ascii="Times New Roman" w:eastAsia="Times New Roman" w:hAnsi="Times New Roman" w:cs="Times New Roman"/>
          <w:sz w:val="20"/>
          <w:szCs w:val="20"/>
        </w:rPr>
        <w:t>СП 131.13330.2018 «Строительная климатология». Актуализированная редакция «СНиП 23-01-99*»</w:t>
      </w:r>
    </w:p>
  </w:footnote>
  <w:footnote w:id="118">
    <w:p w14:paraId="7D0EE82D" w14:textId="45759C83" w:rsidR="00403890" w:rsidRDefault="00403890">
      <w:pPr>
        <w:pStyle w:val="afc"/>
      </w:pPr>
      <w:r w:rsidRPr="00CC75B2">
        <w:rPr>
          <w:rStyle w:val="afb"/>
          <w:sz w:val="20"/>
          <w:szCs w:val="20"/>
          <w:vertAlign w:val="superscript"/>
        </w:rPr>
        <w:footnoteRef/>
      </w:r>
      <w:r w:rsidRPr="00CC75B2">
        <w:rPr>
          <w:sz w:val="20"/>
          <w:szCs w:val="20"/>
          <w:vertAlign w:val="superscript"/>
        </w:rPr>
        <w:t xml:space="preserve"> </w:t>
      </w:r>
      <w:r>
        <w:rPr>
          <w:color w:val="000000" w:themeColor="text1"/>
          <w:sz w:val="20"/>
          <w:szCs w:val="20"/>
        </w:rPr>
        <w:t>П</w:t>
      </w:r>
      <w:r w:rsidRPr="009E5E9F">
        <w:rPr>
          <w:color w:val="000000" w:themeColor="text1"/>
          <w:sz w:val="20"/>
          <w:szCs w:val="20"/>
        </w:rPr>
        <w:t>остановление Правительства Ставропольского края N 408-п от 22 сентября 2016 года «Об утверждении территориальной схемы обращения с отходами в Ставропольском крае»</w:t>
      </w:r>
    </w:p>
  </w:footnote>
  <w:footnote w:id="119">
    <w:p w14:paraId="402B8776" w14:textId="77777777" w:rsidR="00403890" w:rsidRPr="00D77F5C" w:rsidRDefault="00403890" w:rsidP="00D77F5C">
      <w:pPr>
        <w:pBdr>
          <w:top w:val="none" w:sz="4" w:space="0" w:color="000000"/>
          <w:left w:val="none" w:sz="4" w:space="0" w:color="000000"/>
          <w:bottom w:val="none" w:sz="4" w:space="0" w:color="000000"/>
          <w:right w:val="none" w:sz="4" w:space="0" w:color="000000"/>
        </w:pBdr>
        <w:tabs>
          <w:tab w:val="left" w:pos="992"/>
        </w:tabs>
        <w:spacing w:line="240" w:lineRule="auto"/>
        <w:ind w:firstLine="0"/>
        <w:rPr>
          <w:rFonts w:ascii="Times New Roman" w:eastAsia="Times New Roman" w:hAnsi="Times New Roman" w:cs="Times New Roman"/>
          <w:color w:val="000000"/>
          <w:sz w:val="20"/>
          <w:szCs w:val="20"/>
        </w:rPr>
      </w:pPr>
      <w:r w:rsidRPr="00D77F5C">
        <w:rPr>
          <w:rStyle w:val="afb"/>
          <w:rFonts w:ascii="Times New Roman" w:hAnsi="Times New Roman" w:cs="Times New Roman"/>
          <w:sz w:val="20"/>
          <w:szCs w:val="20"/>
          <w:vertAlign w:val="superscript"/>
        </w:rPr>
        <w:footnoteRef/>
      </w:r>
      <w:r w:rsidRPr="00D77F5C">
        <w:rPr>
          <w:rFonts w:ascii="Times New Roman" w:hAnsi="Times New Roman" w:cs="Times New Roman"/>
          <w:sz w:val="20"/>
          <w:szCs w:val="20"/>
        </w:rPr>
        <w:t xml:space="preserve"> </w:t>
      </w:r>
      <w:proofErr w:type="gramStart"/>
      <w:r w:rsidRPr="00D77F5C">
        <w:rPr>
          <w:rFonts w:ascii="Times New Roman" w:eastAsia="Times New Roman" w:hAnsi="Times New Roman" w:cs="Times New Roman"/>
          <w:color w:val="000000"/>
          <w:sz w:val="20"/>
          <w:szCs w:val="20"/>
        </w:rPr>
        <w:t>П</w:t>
      </w:r>
      <w:hyperlink r:id="rId55" w:anchor="1" w:tooltip="http://base.consultant.ru/cons/cgi/online.cgi?req=doc;base=LAW;n=151211;fld=134;dst=1000000001,0;rnd=0.1225387891754508#1" w:history="1">
        <w:r w:rsidRPr="00D77F5C">
          <w:rPr>
            <w:rFonts w:ascii="Times New Roman" w:eastAsia="Times New Roman" w:hAnsi="Times New Roman" w:cs="Times New Roman"/>
            <w:color w:val="000000"/>
            <w:sz w:val="20"/>
            <w:szCs w:val="20"/>
          </w:rPr>
          <w:t>остановление</w:t>
        </w:r>
        <w:proofErr w:type="gramEnd"/>
        <w:r w:rsidRPr="00D77F5C">
          <w:rPr>
            <w:rFonts w:ascii="Times New Roman" w:eastAsia="Times New Roman" w:hAnsi="Times New Roman" w:cs="Times New Roman"/>
            <w:color w:val="000000"/>
            <w:sz w:val="20"/>
            <w:szCs w:val="20"/>
          </w:rPr>
          <w:t> Правительства Российской Федерации</w:t>
        </w:r>
      </w:hyperlink>
      <w:r w:rsidRPr="00D77F5C">
        <w:rPr>
          <w:rFonts w:ascii="Times New Roman" w:eastAsia="Times New Roman" w:hAnsi="Times New Roman" w:cs="Times New Roman"/>
          <w:color w:val="000000"/>
          <w:sz w:val="20"/>
          <w:szCs w:val="20"/>
        </w:rPr>
        <w:t> от 24 февраля 2009 года № 160 «</w:t>
      </w:r>
      <w:r w:rsidRPr="00D77F5C">
        <w:rPr>
          <w:rFonts w:ascii="Times New Roman" w:eastAsia="Times New Roman" w:hAnsi="Times New Roman" w:cs="Times New Roman"/>
          <w:color w:val="000000"/>
          <w:sz w:val="20"/>
          <w:szCs w:val="18"/>
        </w:rPr>
        <w:t>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r w:rsidRPr="00D77F5C">
        <w:rPr>
          <w:rFonts w:ascii="Times New Roman" w:eastAsia="Times New Roman" w:hAnsi="Times New Roman" w:cs="Times New Roman"/>
          <w:color w:val="000000"/>
          <w:sz w:val="20"/>
          <w:szCs w:val="20"/>
        </w:rPr>
        <w:t>»</w:t>
      </w:r>
    </w:p>
  </w:footnote>
  <w:footnote w:id="120">
    <w:p w14:paraId="7984CD44" w14:textId="77777777" w:rsidR="00403890" w:rsidRPr="00516CA0" w:rsidRDefault="00403890" w:rsidP="00D50841">
      <w:pPr>
        <w:pStyle w:val="afc"/>
        <w:spacing w:before="0" w:beforeAutospacing="0" w:after="0" w:afterAutospacing="0"/>
        <w:rPr>
          <w:sz w:val="20"/>
          <w:szCs w:val="20"/>
        </w:rPr>
      </w:pPr>
      <w:r w:rsidRPr="00696F23">
        <w:rPr>
          <w:rStyle w:val="afb"/>
          <w:sz w:val="20"/>
          <w:szCs w:val="20"/>
          <w:vertAlign w:val="superscript"/>
        </w:rPr>
        <w:footnoteRef/>
      </w:r>
      <w:r w:rsidRPr="00696F23">
        <w:rPr>
          <w:sz w:val="20"/>
          <w:szCs w:val="20"/>
          <w:vertAlign w:val="superscript"/>
        </w:rPr>
        <w:t xml:space="preserve"> </w:t>
      </w:r>
      <w:r w:rsidRPr="00696F23">
        <w:rPr>
          <w:sz w:val="20"/>
          <w:szCs w:val="20"/>
        </w:rPr>
        <w:t xml:space="preserve">Приказ </w:t>
      </w:r>
      <w:r>
        <w:rPr>
          <w:sz w:val="20"/>
          <w:szCs w:val="20"/>
        </w:rPr>
        <w:t xml:space="preserve">Министерства природных ресурсов и экологии РФ от 15.07.2023 г. «Об утверждении </w:t>
      </w:r>
      <w:r w:rsidRPr="00516CA0">
        <w:rPr>
          <w:sz w:val="20"/>
          <w:szCs w:val="20"/>
        </w:rPr>
        <w:t>Положения о национальном парке «Кисловодский»</w:t>
      </w:r>
    </w:p>
  </w:footnote>
  <w:footnote w:id="121">
    <w:p w14:paraId="60F8A34A" w14:textId="44151931" w:rsidR="00403890" w:rsidRPr="00397502" w:rsidRDefault="00403890" w:rsidP="00397502">
      <w:pPr>
        <w:pBdr>
          <w:top w:val="none" w:sz="4" w:space="0" w:color="000000"/>
          <w:left w:val="none" w:sz="4" w:space="0" w:color="000000"/>
          <w:bottom w:val="none" w:sz="4" w:space="0" w:color="000000"/>
          <w:right w:val="none" w:sz="4" w:space="0" w:color="000000"/>
        </w:pBdr>
        <w:spacing w:line="240" w:lineRule="auto"/>
        <w:ind w:firstLine="0"/>
        <w:jc w:val="left"/>
        <w:rPr>
          <w:rStyle w:val="af6"/>
          <w:rFonts w:ascii="Times New Roman" w:hAnsi="Times New Roman" w:cs="Times New Roman"/>
          <w:color w:val="auto"/>
          <w:sz w:val="20"/>
          <w:szCs w:val="20"/>
          <w:u w:val="none"/>
        </w:rPr>
      </w:pPr>
      <w:r w:rsidRPr="00397502">
        <w:rPr>
          <w:rStyle w:val="afb"/>
          <w:rFonts w:ascii="Times New Roman" w:hAnsi="Times New Roman" w:cs="Times New Roman"/>
          <w:sz w:val="20"/>
          <w:szCs w:val="20"/>
          <w:vertAlign w:val="superscript"/>
        </w:rPr>
        <w:footnoteRef/>
      </w:r>
      <w:r w:rsidRPr="00397502">
        <w:rPr>
          <w:rStyle w:val="af6"/>
          <w:rFonts w:ascii="Times New Roman" w:hAnsi="Times New Roman" w:cs="Times New Roman"/>
          <w:color w:val="auto"/>
          <w:sz w:val="20"/>
          <w:szCs w:val="20"/>
          <w:u w:val="none"/>
        </w:rPr>
        <w:t xml:space="preserve"> Составлено на основе данных, предоставленных Управлением Ставропольского края по сохранению и государственной охране объектов культурного наследия, 2024 г. (вх. письмо от 27.08.2024 №06-13/8099)</w:t>
      </w:r>
    </w:p>
  </w:footnote>
  <w:footnote w:id="122">
    <w:p w14:paraId="3D9D3D87" w14:textId="0A16DBE7" w:rsidR="00403890" w:rsidRPr="007E2FE1" w:rsidRDefault="00403890" w:rsidP="00040D2F">
      <w:pPr>
        <w:pStyle w:val="afc"/>
        <w:spacing w:before="0" w:beforeAutospacing="0" w:after="0" w:afterAutospacing="0"/>
        <w:rPr>
          <w:sz w:val="20"/>
          <w:szCs w:val="20"/>
        </w:rPr>
      </w:pPr>
      <w:r w:rsidRPr="007E2FE1">
        <w:rPr>
          <w:rStyle w:val="afb"/>
          <w:sz w:val="20"/>
          <w:szCs w:val="20"/>
          <w:vertAlign w:val="superscript"/>
        </w:rPr>
        <w:footnoteRef/>
      </w:r>
      <w:r w:rsidRPr="007E2FE1">
        <w:rPr>
          <w:sz w:val="20"/>
          <w:szCs w:val="20"/>
          <w:vertAlign w:val="superscript"/>
        </w:rPr>
        <w:t xml:space="preserve"> </w:t>
      </w:r>
      <w:r w:rsidRPr="00397502">
        <w:rPr>
          <w:rStyle w:val="af6"/>
          <w:color w:val="auto"/>
          <w:sz w:val="20"/>
          <w:szCs w:val="20"/>
          <w:u w:val="none"/>
        </w:rPr>
        <w:t>Составлено на основе данных, предоставленных Управлением Ставропольского края по сохранению и государственной охране объектов культурного наследия, 2024 г. (вх. письмо от 27.08.2024 №06-13/8099)</w:t>
      </w:r>
    </w:p>
  </w:footnote>
  <w:footnote w:id="123">
    <w:p w14:paraId="55A8E31B" w14:textId="0856B3F7" w:rsidR="00403890" w:rsidRDefault="00403890" w:rsidP="00706447">
      <w:pPr>
        <w:pStyle w:val="afc"/>
        <w:spacing w:before="0" w:beforeAutospacing="0" w:after="0" w:afterAutospacing="0"/>
      </w:pPr>
      <w:r w:rsidRPr="00706447">
        <w:rPr>
          <w:rStyle w:val="afb"/>
          <w:vertAlign w:val="superscript"/>
        </w:rPr>
        <w:footnoteRef/>
      </w:r>
      <w:r>
        <w:t xml:space="preserve"> </w:t>
      </w:r>
      <w:r w:rsidRPr="00397502">
        <w:rPr>
          <w:rStyle w:val="af6"/>
          <w:color w:val="auto"/>
          <w:sz w:val="20"/>
          <w:szCs w:val="20"/>
          <w:u w:val="none"/>
        </w:rPr>
        <w:t>Составлено на основе данных, предоставленных Управлением Ставропольского края по сохранению и государственной охране объектов культурного наследия, 2024 г. (вх. письмо от 27.08.2024 №06-13/8099)</w:t>
      </w:r>
    </w:p>
  </w:footnote>
  <w:footnote w:id="124">
    <w:p w14:paraId="544E303E" w14:textId="77777777" w:rsidR="00403890" w:rsidRDefault="00403890">
      <w:pPr>
        <w:pBdr>
          <w:top w:val="none" w:sz="4" w:space="0" w:color="000000"/>
          <w:left w:val="none" w:sz="4" w:space="0" w:color="000000"/>
          <w:bottom w:val="none" w:sz="4" w:space="0" w:color="000000"/>
          <w:right w:val="none" w:sz="4" w:space="0" w:color="000000"/>
        </w:pBdr>
        <w:ind w:firstLine="0"/>
        <w:rPr>
          <w:rFonts w:ascii="Times New Roman" w:hAnsi="Times New Roman" w:cs="Times New Roman"/>
        </w:rPr>
      </w:pPr>
      <w:r>
        <w:rPr>
          <w:rStyle w:val="afb"/>
          <w:rFonts w:ascii="Times New Roman" w:eastAsia="Times New Roman" w:hAnsi="Times New Roman" w:cs="Times New Roman"/>
          <w:sz w:val="20"/>
          <w:szCs w:val="20"/>
        </w:rPr>
        <w:footnoteRef/>
      </w:r>
      <w:r>
        <w:rPr>
          <w:rFonts w:ascii="Times New Roman" w:eastAsia="Times New Roman" w:hAnsi="Times New Roman" w:cs="Times New Roman"/>
          <w:sz w:val="20"/>
          <w:szCs w:val="20"/>
        </w:rPr>
        <w:t xml:space="preserve"> Данные Управления городского хозяйства Администрации города-курорта Кисловодска, 2023 г.</w:t>
      </w:r>
    </w:p>
  </w:footnote>
  <w:footnote w:id="125">
    <w:p w14:paraId="569DB04F" w14:textId="77777777" w:rsidR="00403890" w:rsidRPr="00EE4EC5" w:rsidRDefault="00403890">
      <w:pPr>
        <w:pStyle w:val="afc"/>
        <w:spacing w:before="0" w:beforeAutospacing="0" w:after="0" w:afterAutospacing="0"/>
        <w:jc w:val="both"/>
        <w:rPr>
          <w:sz w:val="20"/>
          <w:szCs w:val="20"/>
        </w:rPr>
      </w:pPr>
      <w:r w:rsidRPr="00EE4EC5">
        <w:rPr>
          <w:rStyle w:val="afb"/>
          <w:sz w:val="20"/>
          <w:szCs w:val="20"/>
        </w:rPr>
        <w:footnoteRef/>
      </w:r>
      <w:r w:rsidRPr="00EE4EC5">
        <w:rPr>
          <w:sz w:val="20"/>
          <w:szCs w:val="20"/>
        </w:rPr>
        <w:t xml:space="preserve"> Реестр парковок общего пользования в городе-курорте Кисловодске. Официальный портал Администрации Кисловодска – </w:t>
      </w:r>
      <w:hyperlink r:id="rId56" w:tooltip="https://kislovodsk-kurort.org/home/ispolnitelnaia-vlast/novosti-gorodskogo-hoziaistva/reestr-parkovok-obshchego-polzovaniia-v-gorode-kurorte-kislovodske?ysclid=lucik72ceq262482832" w:history="1">
        <w:r w:rsidRPr="00EE4EC5">
          <w:rPr>
            <w:rStyle w:val="af6"/>
            <w:color w:val="auto"/>
            <w:sz w:val="20"/>
            <w:szCs w:val="20"/>
            <w:u w:val="none"/>
          </w:rPr>
          <w:t>https://kislovodsk-kurort.org/home/ispolnitelnaia-vlast/novosti-gorodskogo-hoziaistva/reestr-parkovok-obshchego-polzovaniia-v-gorode-kurorte-kislovodske?ysclid=lucik72ceq262482832</w:t>
        </w:r>
      </w:hyperlink>
    </w:p>
  </w:footnote>
  <w:footnote w:id="126">
    <w:p w14:paraId="7A81B537" w14:textId="77777777" w:rsidR="00403890" w:rsidRDefault="00403890">
      <w:pPr>
        <w:pStyle w:val="afc"/>
        <w:rPr>
          <w:sz w:val="20"/>
          <w:szCs w:val="20"/>
        </w:rPr>
      </w:pPr>
      <w:r>
        <w:rPr>
          <w:rStyle w:val="afb"/>
          <w:sz w:val="20"/>
          <w:szCs w:val="20"/>
          <w:vertAlign w:val="superscript"/>
        </w:rPr>
        <w:footnoteRef/>
      </w:r>
      <w:r>
        <w:rPr>
          <w:sz w:val="20"/>
          <w:szCs w:val="20"/>
        </w:rPr>
        <w:t xml:space="preserve"> </w:t>
      </w:r>
      <w:hyperlink r:id="rId57" w:tooltip="https://gpte26.ru/media/reports/prilozhenie_2.pdf" w:history="1">
        <w:r>
          <w:rPr>
            <w:sz w:val="20"/>
            <w:szCs w:val="20"/>
          </w:rPr>
          <w:t>Данные о фактических значениях показателей надежности за 2023 г.</w:t>
        </w:r>
      </w:hyperlink>
      <w:r>
        <w:rPr>
          <w:sz w:val="20"/>
          <w:szCs w:val="20"/>
        </w:rPr>
        <w:t xml:space="preserve"> / ООО «Теплоэнерго Кисловодск»</w:t>
      </w:r>
      <w:r>
        <w:rPr>
          <w:color w:val="000000" w:themeColor="text1"/>
          <w:sz w:val="20"/>
          <w:szCs w:val="20"/>
        </w:rPr>
        <w:t xml:space="preserve"> – </w:t>
      </w:r>
      <w:hyperlink r:id="rId58" w:tooltip="https://gpte26.ru/media/reports/prilozhenie_2.pdf" w:history="1">
        <w:r>
          <w:rPr>
            <w:rStyle w:val="af6"/>
            <w:sz w:val="20"/>
            <w:szCs w:val="20"/>
          </w:rPr>
          <w:t>https://gpte26.ru/media/reports/prilozhenie_2.pdf</w:t>
        </w:r>
      </w:hyperlink>
    </w:p>
  </w:footnote>
  <w:footnote w:id="127">
    <w:p w14:paraId="5D11FC1C" w14:textId="77777777" w:rsidR="00403890" w:rsidRDefault="00403890">
      <w:pPr>
        <w:pStyle w:val="afc"/>
        <w:rPr>
          <w:sz w:val="20"/>
          <w:szCs w:val="20"/>
        </w:rPr>
      </w:pPr>
      <w:r>
        <w:rPr>
          <w:rStyle w:val="afb"/>
          <w:sz w:val="20"/>
          <w:szCs w:val="20"/>
          <w:vertAlign w:val="superscript"/>
        </w:rPr>
        <w:footnoteRef/>
      </w:r>
      <w:r>
        <w:rPr>
          <w:sz w:val="20"/>
          <w:szCs w:val="20"/>
        </w:rPr>
        <w:t xml:space="preserve"> Программа «Развития инженерных коммунальных систем городского округа города-курорта Кисловодска, 2016 г.</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1B3C6C"/>
    <w:multiLevelType w:val="hybridMultilevel"/>
    <w:tmpl w:val="6024C4B6"/>
    <w:lvl w:ilvl="0" w:tplc="17628B6E">
      <w:start w:val="1"/>
      <w:numFmt w:val="bullet"/>
      <w:lvlText w:val="–"/>
      <w:lvlJc w:val="left"/>
      <w:pPr>
        <w:ind w:left="720" w:hanging="360"/>
      </w:pPr>
      <w:rPr>
        <w:rFonts w:ascii="Arial" w:eastAsia="Arial" w:hAnsi="Arial" w:cs="Arial"/>
      </w:rPr>
    </w:lvl>
    <w:lvl w:ilvl="1" w:tplc="A718DE80">
      <w:start w:val="1"/>
      <w:numFmt w:val="bullet"/>
      <w:lvlText w:val="o"/>
      <w:lvlJc w:val="left"/>
      <w:pPr>
        <w:ind w:left="1440" w:hanging="360"/>
      </w:pPr>
      <w:rPr>
        <w:rFonts w:ascii="Courier New" w:eastAsia="Courier New" w:hAnsi="Courier New" w:cs="Courier New" w:hint="default"/>
      </w:rPr>
    </w:lvl>
    <w:lvl w:ilvl="2" w:tplc="61BA9F7A">
      <w:start w:val="1"/>
      <w:numFmt w:val="bullet"/>
      <w:lvlText w:val="§"/>
      <w:lvlJc w:val="left"/>
      <w:pPr>
        <w:ind w:left="2160" w:hanging="360"/>
      </w:pPr>
      <w:rPr>
        <w:rFonts w:ascii="Wingdings" w:eastAsia="Wingdings" w:hAnsi="Wingdings" w:cs="Wingdings" w:hint="default"/>
      </w:rPr>
    </w:lvl>
    <w:lvl w:ilvl="3" w:tplc="B172D866">
      <w:start w:val="1"/>
      <w:numFmt w:val="bullet"/>
      <w:lvlText w:val="·"/>
      <w:lvlJc w:val="left"/>
      <w:pPr>
        <w:ind w:left="2880" w:hanging="360"/>
      </w:pPr>
      <w:rPr>
        <w:rFonts w:ascii="Symbol" w:eastAsia="Symbol" w:hAnsi="Symbol" w:cs="Symbol" w:hint="default"/>
      </w:rPr>
    </w:lvl>
    <w:lvl w:ilvl="4" w:tplc="7DB4DB6A">
      <w:start w:val="1"/>
      <w:numFmt w:val="bullet"/>
      <w:lvlText w:val="o"/>
      <w:lvlJc w:val="left"/>
      <w:pPr>
        <w:ind w:left="3600" w:hanging="360"/>
      </w:pPr>
      <w:rPr>
        <w:rFonts w:ascii="Courier New" w:eastAsia="Courier New" w:hAnsi="Courier New" w:cs="Courier New" w:hint="default"/>
      </w:rPr>
    </w:lvl>
    <w:lvl w:ilvl="5" w:tplc="12524A0E">
      <w:start w:val="1"/>
      <w:numFmt w:val="bullet"/>
      <w:lvlText w:val="§"/>
      <w:lvlJc w:val="left"/>
      <w:pPr>
        <w:ind w:left="4320" w:hanging="360"/>
      </w:pPr>
      <w:rPr>
        <w:rFonts w:ascii="Wingdings" w:eastAsia="Wingdings" w:hAnsi="Wingdings" w:cs="Wingdings" w:hint="default"/>
      </w:rPr>
    </w:lvl>
    <w:lvl w:ilvl="6" w:tplc="78249FE4">
      <w:start w:val="1"/>
      <w:numFmt w:val="bullet"/>
      <w:lvlText w:val="·"/>
      <w:lvlJc w:val="left"/>
      <w:pPr>
        <w:ind w:left="5040" w:hanging="360"/>
      </w:pPr>
      <w:rPr>
        <w:rFonts w:ascii="Symbol" w:eastAsia="Symbol" w:hAnsi="Symbol" w:cs="Symbol" w:hint="default"/>
      </w:rPr>
    </w:lvl>
    <w:lvl w:ilvl="7" w:tplc="87E016BA">
      <w:start w:val="1"/>
      <w:numFmt w:val="bullet"/>
      <w:lvlText w:val="o"/>
      <w:lvlJc w:val="left"/>
      <w:pPr>
        <w:ind w:left="5760" w:hanging="360"/>
      </w:pPr>
      <w:rPr>
        <w:rFonts w:ascii="Courier New" w:eastAsia="Courier New" w:hAnsi="Courier New" w:cs="Courier New" w:hint="default"/>
      </w:rPr>
    </w:lvl>
    <w:lvl w:ilvl="8" w:tplc="509E15C6">
      <w:start w:val="1"/>
      <w:numFmt w:val="bullet"/>
      <w:lvlText w:val="§"/>
      <w:lvlJc w:val="left"/>
      <w:pPr>
        <w:ind w:left="6480" w:hanging="360"/>
      </w:pPr>
      <w:rPr>
        <w:rFonts w:ascii="Wingdings" w:eastAsia="Wingdings" w:hAnsi="Wingdings" w:cs="Wingdings" w:hint="default"/>
      </w:rPr>
    </w:lvl>
  </w:abstractNum>
  <w:abstractNum w:abstractNumId="1">
    <w:nsid w:val="01037F9B"/>
    <w:multiLevelType w:val="hybridMultilevel"/>
    <w:tmpl w:val="62E45574"/>
    <w:lvl w:ilvl="0" w:tplc="AD1EF4A6">
      <w:start w:val="1"/>
      <w:numFmt w:val="bullet"/>
      <w:lvlText w:val="–"/>
      <w:lvlJc w:val="left"/>
      <w:pPr>
        <w:ind w:left="720" w:hanging="360"/>
      </w:pPr>
      <w:rPr>
        <w:rFonts w:ascii="Arial" w:eastAsia="Arial" w:hAnsi="Arial" w:cs="Arial"/>
      </w:rPr>
    </w:lvl>
    <w:lvl w:ilvl="1" w:tplc="1FA8B7FA">
      <w:start w:val="1"/>
      <w:numFmt w:val="bullet"/>
      <w:lvlText w:val="o"/>
      <w:lvlJc w:val="left"/>
      <w:pPr>
        <w:ind w:left="1440" w:hanging="360"/>
      </w:pPr>
      <w:rPr>
        <w:rFonts w:ascii="Courier New" w:eastAsia="Courier New" w:hAnsi="Courier New" w:cs="Courier New" w:hint="default"/>
      </w:rPr>
    </w:lvl>
    <w:lvl w:ilvl="2" w:tplc="A95819F2">
      <w:start w:val="1"/>
      <w:numFmt w:val="bullet"/>
      <w:lvlText w:val="§"/>
      <w:lvlJc w:val="left"/>
      <w:pPr>
        <w:ind w:left="2160" w:hanging="360"/>
      </w:pPr>
      <w:rPr>
        <w:rFonts w:ascii="Wingdings" w:eastAsia="Wingdings" w:hAnsi="Wingdings" w:cs="Wingdings" w:hint="default"/>
      </w:rPr>
    </w:lvl>
    <w:lvl w:ilvl="3" w:tplc="989C1B5C">
      <w:start w:val="1"/>
      <w:numFmt w:val="bullet"/>
      <w:lvlText w:val="·"/>
      <w:lvlJc w:val="left"/>
      <w:pPr>
        <w:ind w:left="2880" w:hanging="360"/>
      </w:pPr>
      <w:rPr>
        <w:rFonts w:ascii="Symbol" w:eastAsia="Symbol" w:hAnsi="Symbol" w:cs="Symbol" w:hint="default"/>
      </w:rPr>
    </w:lvl>
    <w:lvl w:ilvl="4" w:tplc="E124B8FC">
      <w:start w:val="1"/>
      <w:numFmt w:val="bullet"/>
      <w:lvlText w:val="o"/>
      <w:lvlJc w:val="left"/>
      <w:pPr>
        <w:ind w:left="3600" w:hanging="360"/>
      </w:pPr>
      <w:rPr>
        <w:rFonts w:ascii="Courier New" w:eastAsia="Courier New" w:hAnsi="Courier New" w:cs="Courier New" w:hint="default"/>
      </w:rPr>
    </w:lvl>
    <w:lvl w:ilvl="5" w:tplc="1F626692">
      <w:start w:val="1"/>
      <w:numFmt w:val="bullet"/>
      <w:lvlText w:val="§"/>
      <w:lvlJc w:val="left"/>
      <w:pPr>
        <w:ind w:left="4320" w:hanging="360"/>
      </w:pPr>
      <w:rPr>
        <w:rFonts w:ascii="Wingdings" w:eastAsia="Wingdings" w:hAnsi="Wingdings" w:cs="Wingdings" w:hint="default"/>
      </w:rPr>
    </w:lvl>
    <w:lvl w:ilvl="6" w:tplc="63DEB850">
      <w:start w:val="1"/>
      <w:numFmt w:val="bullet"/>
      <w:lvlText w:val="·"/>
      <w:lvlJc w:val="left"/>
      <w:pPr>
        <w:ind w:left="5040" w:hanging="360"/>
      </w:pPr>
      <w:rPr>
        <w:rFonts w:ascii="Symbol" w:eastAsia="Symbol" w:hAnsi="Symbol" w:cs="Symbol" w:hint="default"/>
      </w:rPr>
    </w:lvl>
    <w:lvl w:ilvl="7" w:tplc="58927364">
      <w:start w:val="1"/>
      <w:numFmt w:val="bullet"/>
      <w:lvlText w:val="o"/>
      <w:lvlJc w:val="left"/>
      <w:pPr>
        <w:ind w:left="5760" w:hanging="360"/>
      </w:pPr>
      <w:rPr>
        <w:rFonts w:ascii="Courier New" w:eastAsia="Courier New" w:hAnsi="Courier New" w:cs="Courier New" w:hint="default"/>
      </w:rPr>
    </w:lvl>
    <w:lvl w:ilvl="8" w:tplc="42029A3A">
      <w:start w:val="1"/>
      <w:numFmt w:val="bullet"/>
      <w:lvlText w:val="§"/>
      <w:lvlJc w:val="left"/>
      <w:pPr>
        <w:ind w:left="6480" w:hanging="360"/>
      </w:pPr>
      <w:rPr>
        <w:rFonts w:ascii="Wingdings" w:eastAsia="Wingdings" w:hAnsi="Wingdings" w:cs="Wingdings" w:hint="default"/>
      </w:rPr>
    </w:lvl>
  </w:abstractNum>
  <w:abstractNum w:abstractNumId="2">
    <w:nsid w:val="018F034B"/>
    <w:multiLevelType w:val="hybridMultilevel"/>
    <w:tmpl w:val="2B409496"/>
    <w:lvl w:ilvl="0" w:tplc="D74AD0A6">
      <w:start w:val="1"/>
      <w:numFmt w:val="bullet"/>
      <w:lvlText w:val="–"/>
      <w:lvlJc w:val="left"/>
      <w:pPr>
        <w:ind w:left="720" w:hanging="360"/>
      </w:pPr>
      <w:rPr>
        <w:rFonts w:ascii="Arial" w:eastAsia="Arial" w:hAnsi="Arial" w:cs="Arial"/>
      </w:rPr>
    </w:lvl>
    <w:lvl w:ilvl="1" w:tplc="EF0AF79A">
      <w:start w:val="1"/>
      <w:numFmt w:val="bullet"/>
      <w:lvlText w:val="o"/>
      <w:lvlJc w:val="left"/>
      <w:pPr>
        <w:ind w:left="1440" w:hanging="360"/>
      </w:pPr>
      <w:rPr>
        <w:rFonts w:ascii="Courier New" w:eastAsia="Courier New" w:hAnsi="Courier New" w:cs="Courier New" w:hint="default"/>
      </w:rPr>
    </w:lvl>
    <w:lvl w:ilvl="2" w:tplc="54DCCC5E">
      <w:start w:val="1"/>
      <w:numFmt w:val="bullet"/>
      <w:lvlText w:val="§"/>
      <w:lvlJc w:val="left"/>
      <w:pPr>
        <w:ind w:left="2160" w:hanging="360"/>
      </w:pPr>
      <w:rPr>
        <w:rFonts w:ascii="Wingdings" w:eastAsia="Wingdings" w:hAnsi="Wingdings" w:cs="Wingdings" w:hint="default"/>
      </w:rPr>
    </w:lvl>
    <w:lvl w:ilvl="3" w:tplc="C8526C96">
      <w:start w:val="1"/>
      <w:numFmt w:val="bullet"/>
      <w:lvlText w:val="·"/>
      <w:lvlJc w:val="left"/>
      <w:pPr>
        <w:ind w:left="2880" w:hanging="360"/>
      </w:pPr>
      <w:rPr>
        <w:rFonts w:ascii="Symbol" w:eastAsia="Symbol" w:hAnsi="Symbol" w:cs="Symbol" w:hint="default"/>
      </w:rPr>
    </w:lvl>
    <w:lvl w:ilvl="4" w:tplc="1CC66294">
      <w:start w:val="1"/>
      <w:numFmt w:val="bullet"/>
      <w:lvlText w:val="o"/>
      <w:lvlJc w:val="left"/>
      <w:pPr>
        <w:ind w:left="3600" w:hanging="360"/>
      </w:pPr>
      <w:rPr>
        <w:rFonts w:ascii="Courier New" w:eastAsia="Courier New" w:hAnsi="Courier New" w:cs="Courier New" w:hint="default"/>
      </w:rPr>
    </w:lvl>
    <w:lvl w:ilvl="5" w:tplc="672EADE4">
      <w:start w:val="1"/>
      <w:numFmt w:val="bullet"/>
      <w:lvlText w:val="§"/>
      <w:lvlJc w:val="left"/>
      <w:pPr>
        <w:ind w:left="4320" w:hanging="360"/>
      </w:pPr>
      <w:rPr>
        <w:rFonts w:ascii="Wingdings" w:eastAsia="Wingdings" w:hAnsi="Wingdings" w:cs="Wingdings" w:hint="default"/>
      </w:rPr>
    </w:lvl>
    <w:lvl w:ilvl="6" w:tplc="80748534">
      <w:start w:val="1"/>
      <w:numFmt w:val="bullet"/>
      <w:lvlText w:val="·"/>
      <w:lvlJc w:val="left"/>
      <w:pPr>
        <w:ind w:left="5040" w:hanging="360"/>
      </w:pPr>
      <w:rPr>
        <w:rFonts w:ascii="Symbol" w:eastAsia="Symbol" w:hAnsi="Symbol" w:cs="Symbol" w:hint="default"/>
      </w:rPr>
    </w:lvl>
    <w:lvl w:ilvl="7" w:tplc="9CF023B8">
      <w:start w:val="1"/>
      <w:numFmt w:val="bullet"/>
      <w:lvlText w:val="o"/>
      <w:lvlJc w:val="left"/>
      <w:pPr>
        <w:ind w:left="5760" w:hanging="360"/>
      </w:pPr>
      <w:rPr>
        <w:rFonts w:ascii="Courier New" w:eastAsia="Courier New" w:hAnsi="Courier New" w:cs="Courier New" w:hint="default"/>
      </w:rPr>
    </w:lvl>
    <w:lvl w:ilvl="8" w:tplc="AD3C6F9A">
      <w:start w:val="1"/>
      <w:numFmt w:val="bullet"/>
      <w:lvlText w:val="§"/>
      <w:lvlJc w:val="left"/>
      <w:pPr>
        <w:ind w:left="6480" w:hanging="360"/>
      </w:pPr>
      <w:rPr>
        <w:rFonts w:ascii="Wingdings" w:eastAsia="Wingdings" w:hAnsi="Wingdings" w:cs="Wingdings" w:hint="default"/>
      </w:rPr>
    </w:lvl>
  </w:abstractNum>
  <w:abstractNum w:abstractNumId="3">
    <w:nsid w:val="0193166B"/>
    <w:multiLevelType w:val="hybridMultilevel"/>
    <w:tmpl w:val="5350B17E"/>
    <w:lvl w:ilvl="0" w:tplc="A5E4A17C">
      <w:start w:val="1"/>
      <w:numFmt w:val="bullet"/>
      <w:lvlText w:val="–"/>
      <w:lvlJc w:val="left"/>
      <w:pPr>
        <w:ind w:left="720" w:hanging="360"/>
      </w:pPr>
      <w:rPr>
        <w:rFonts w:ascii="Arial" w:eastAsia="Arial" w:hAnsi="Arial" w:cs="Arial"/>
      </w:rPr>
    </w:lvl>
    <w:lvl w:ilvl="1" w:tplc="BD54C582">
      <w:start w:val="1"/>
      <w:numFmt w:val="bullet"/>
      <w:lvlText w:val="o"/>
      <w:lvlJc w:val="left"/>
      <w:pPr>
        <w:ind w:left="1440" w:hanging="360"/>
      </w:pPr>
      <w:rPr>
        <w:rFonts w:ascii="Courier New" w:eastAsia="Courier New" w:hAnsi="Courier New" w:cs="Courier New" w:hint="default"/>
      </w:rPr>
    </w:lvl>
    <w:lvl w:ilvl="2" w:tplc="BDFAC37A">
      <w:start w:val="1"/>
      <w:numFmt w:val="bullet"/>
      <w:lvlText w:val="§"/>
      <w:lvlJc w:val="left"/>
      <w:pPr>
        <w:ind w:left="2160" w:hanging="360"/>
      </w:pPr>
      <w:rPr>
        <w:rFonts w:ascii="Wingdings" w:eastAsia="Wingdings" w:hAnsi="Wingdings" w:cs="Wingdings" w:hint="default"/>
      </w:rPr>
    </w:lvl>
    <w:lvl w:ilvl="3" w:tplc="CDE4582A">
      <w:start w:val="1"/>
      <w:numFmt w:val="bullet"/>
      <w:lvlText w:val="·"/>
      <w:lvlJc w:val="left"/>
      <w:pPr>
        <w:ind w:left="2880" w:hanging="360"/>
      </w:pPr>
      <w:rPr>
        <w:rFonts w:ascii="Symbol" w:eastAsia="Symbol" w:hAnsi="Symbol" w:cs="Symbol" w:hint="default"/>
      </w:rPr>
    </w:lvl>
    <w:lvl w:ilvl="4" w:tplc="99FCF7DC">
      <w:start w:val="1"/>
      <w:numFmt w:val="bullet"/>
      <w:lvlText w:val="o"/>
      <w:lvlJc w:val="left"/>
      <w:pPr>
        <w:ind w:left="3600" w:hanging="360"/>
      </w:pPr>
      <w:rPr>
        <w:rFonts w:ascii="Courier New" w:eastAsia="Courier New" w:hAnsi="Courier New" w:cs="Courier New" w:hint="default"/>
      </w:rPr>
    </w:lvl>
    <w:lvl w:ilvl="5" w:tplc="6E7A9B4C">
      <w:start w:val="1"/>
      <w:numFmt w:val="bullet"/>
      <w:lvlText w:val="§"/>
      <w:lvlJc w:val="left"/>
      <w:pPr>
        <w:ind w:left="4320" w:hanging="360"/>
      </w:pPr>
      <w:rPr>
        <w:rFonts w:ascii="Wingdings" w:eastAsia="Wingdings" w:hAnsi="Wingdings" w:cs="Wingdings" w:hint="default"/>
      </w:rPr>
    </w:lvl>
    <w:lvl w:ilvl="6" w:tplc="4B6A71AC">
      <w:start w:val="1"/>
      <w:numFmt w:val="bullet"/>
      <w:lvlText w:val="·"/>
      <w:lvlJc w:val="left"/>
      <w:pPr>
        <w:ind w:left="5040" w:hanging="360"/>
      </w:pPr>
      <w:rPr>
        <w:rFonts w:ascii="Symbol" w:eastAsia="Symbol" w:hAnsi="Symbol" w:cs="Symbol" w:hint="default"/>
      </w:rPr>
    </w:lvl>
    <w:lvl w:ilvl="7" w:tplc="50AE73A2">
      <w:start w:val="1"/>
      <w:numFmt w:val="bullet"/>
      <w:lvlText w:val="o"/>
      <w:lvlJc w:val="left"/>
      <w:pPr>
        <w:ind w:left="5760" w:hanging="360"/>
      </w:pPr>
      <w:rPr>
        <w:rFonts w:ascii="Courier New" w:eastAsia="Courier New" w:hAnsi="Courier New" w:cs="Courier New" w:hint="default"/>
      </w:rPr>
    </w:lvl>
    <w:lvl w:ilvl="8" w:tplc="AA9E12D4">
      <w:start w:val="1"/>
      <w:numFmt w:val="bullet"/>
      <w:lvlText w:val="§"/>
      <w:lvlJc w:val="left"/>
      <w:pPr>
        <w:ind w:left="6480" w:hanging="360"/>
      </w:pPr>
      <w:rPr>
        <w:rFonts w:ascii="Wingdings" w:eastAsia="Wingdings" w:hAnsi="Wingdings" w:cs="Wingdings" w:hint="default"/>
      </w:rPr>
    </w:lvl>
  </w:abstractNum>
  <w:abstractNum w:abstractNumId="4">
    <w:nsid w:val="01D9170D"/>
    <w:multiLevelType w:val="hybridMultilevel"/>
    <w:tmpl w:val="F8AEB116"/>
    <w:lvl w:ilvl="0" w:tplc="0A5E02BA">
      <w:start w:val="1"/>
      <w:numFmt w:val="bullet"/>
      <w:lvlText w:val="–"/>
      <w:lvlJc w:val="left"/>
      <w:pPr>
        <w:ind w:left="720" w:hanging="360"/>
      </w:pPr>
      <w:rPr>
        <w:rFonts w:ascii="Arial" w:eastAsia="Arial" w:hAnsi="Arial" w:cs="Arial"/>
      </w:rPr>
    </w:lvl>
    <w:lvl w:ilvl="1" w:tplc="D1A41EFE">
      <w:start w:val="1"/>
      <w:numFmt w:val="bullet"/>
      <w:lvlText w:val="o"/>
      <w:lvlJc w:val="left"/>
      <w:pPr>
        <w:ind w:left="1440" w:hanging="360"/>
      </w:pPr>
      <w:rPr>
        <w:rFonts w:ascii="Courier New" w:eastAsia="Courier New" w:hAnsi="Courier New" w:cs="Courier New" w:hint="default"/>
      </w:rPr>
    </w:lvl>
    <w:lvl w:ilvl="2" w:tplc="7E1C6452">
      <w:start w:val="1"/>
      <w:numFmt w:val="bullet"/>
      <w:lvlText w:val="§"/>
      <w:lvlJc w:val="left"/>
      <w:pPr>
        <w:ind w:left="2160" w:hanging="360"/>
      </w:pPr>
      <w:rPr>
        <w:rFonts w:ascii="Wingdings" w:eastAsia="Wingdings" w:hAnsi="Wingdings" w:cs="Wingdings" w:hint="default"/>
      </w:rPr>
    </w:lvl>
    <w:lvl w:ilvl="3" w:tplc="F344F852">
      <w:start w:val="1"/>
      <w:numFmt w:val="bullet"/>
      <w:lvlText w:val="·"/>
      <w:lvlJc w:val="left"/>
      <w:pPr>
        <w:ind w:left="2880" w:hanging="360"/>
      </w:pPr>
      <w:rPr>
        <w:rFonts w:ascii="Symbol" w:eastAsia="Symbol" w:hAnsi="Symbol" w:cs="Symbol" w:hint="default"/>
      </w:rPr>
    </w:lvl>
    <w:lvl w:ilvl="4" w:tplc="083A0BFC">
      <w:start w:val="1"/>
      <w:numFmt w:val="bullet"/>
      <w:lvlText w:val="o"/>
      <w:lvlJc w:val="left"/>
      <w:pPr>
        <w:ind w:left="3600" w:hanging="360"/>
      </w:pPr>
      <w:rPr>
        <w:rFonts w:ascii="Courier New" w:eastAsia="Courier New" w:hAnsi="Courier New" w:cs="Courier New" w:hint="default"/>
      </w:rPr>
    </w:lvl>
    <w:lvl w:ilvl="5" w:tplc="3E56F760">
      <w:start w:val="1"/>
      <w:numFmt w:val="bullet"/>
      <w:lvlText w:val="§"/>
      <w:lvlJc w:val="left"/>
      <w:pPr>
        <w:ind w:left="4320" w:hanging="360"/>
      </w:pPr>
      <w:rPr>
        <w:rFonts w:ascii="Wingdings" w:eastAsia="Wingdings" w:hAnsi="Wingdings" w:cs="Wingdings" w:hint="default"/>
      </w:rPr>
    </w:lvl>
    <w:lvl w:ilvl="6" w:tplc="D0F60620">
      <w:start w:val="1"/>
      <w:numFmt w:val="bullet"/>
      <w:lvlText w:val="·"/>
      <w:lvlJc w:val="left"/>
      <w:pPr>
        <w:ind w:left="5040" w:hanging="360"/>
      </w:pPr>
      <w:rPr>
        <w:rFonts w:ascii="Symbol" w:eastAsia="Symbol" w:hAnsi="Symbol" w:cs="Symbol" w:hint="default"/>
      </w:rPr>
    </w:lvl>
    <w:lvl w:ilvl="7" w:tplc="599C4FA4">
      <w:start w:val="1"/>
      <w:numFmt w:val="bullet"/>
      <w:lvlText w:val="o"/>
      <w:lvlJc w:val="left"/>
      <w:pPr>
        <w:ind w:left="5760" w:hanging="360"/>
      </w:pPr>
      <w:rPr>
        <w:rFonts w:ascii="Courier New" w:eastAsia="Courier New" w:hAnsi="Courier New" w:cs="Courier New" w:hint="default"/>
      </w:rPr>
    </w:lvl>
    <w:lvl w:ilvl="8" w:tplc="9DB22A0C">
      <w:start w:val="1"/>
      <w:numFmt w:val="bullet"/>
      <w:lvlText w:val="§"/>
      <w:lvlJc w:val="left"/>
      <w:pPr>
        <w:ind w:left="6480" w:hanging="360"/>
      </w:pPr>
      <w:rPr>
        <w:rFonts w:ascii="Wingdings" w:eastAsia="Wingdings" w:hAnsi="Wingdings" w:cs="Wingdings" w:hint="default"/>
      </w:rPr>
    </w:lvl>
  </w:abstractNum>
  <w:abstractNum w:abstractNumId="5">
    <w:nsid w:val="024B2BD3"/>
    <w:multiLevelType w:val="hybridMultilevel"/>
    <w:tmpl w:val="10225644"/>
    <w:lvl w:ilvl="0" w:tplc="CB760288">
      <w:start w:val="1"/>
      <w:numFmt w:val="bullet"/>
      <w:lvlText w:val="–"/>
      <w:lvlJc w:val="left"/>
      <w:pPr>
        <w:ind w:left="720" w:hanging="360"/>
      </w:pPr>
      <w:rPr>
        <w:rFonts w:ascii="Arial" w:eastAsia="Arial" w:hAnsi="Arial" w:cs="Arial"/>
      </w:rPr>
    </w:lvl>
    <w:lvl w:ilvl="1" w:tplc="957423A6">
      <w:start w:val="1"/>
      <w:numFmt w:val="bullet"/>
      <w:lvlText w:val="o"/>
      <w:lvlJc w:val="left"/>
      <w:pPr>
        <w:ind w:left="1440" w:hanging="360"/>
      </w:pPr>
      <w:rPr>
        <w:rFonts w:ascii="Courier New" w:eastAsia="Courier New" w:hAnsi="Courier New" w:cs="Courier New" w:hint="default"/>
      </w:rPr>
    </w:lvl>
    <w:lvl w:ilvl="2" w:tplc="FC6C4168">
      <w:start w:val="1"/>
      <w:numFmt w:val="bullet"/>
      <w:lvlText w:val="§"/>
      <w:lvlJc w:val="left"/>
      <w:pPr>
        <w:ind w:left="2160" w:hanging="360"/>
      </w:pPr>
      <w:rPr>
        <w:rFonts w:ascii="Wingdings" w:eastAsia="Wingdings" w:hAnsi="Wingdings" w:cs="Wingdings" w:hint="default"/>
      </w:rPr>
    </w:lvl>
    <w:lvl w:ilvl="3" w:tplc="A41670AA">
      <w:start w:val="1"/>
      <w:numFmt w:val="bullet"/>
      <w:lvlText w:val="·"/>
      <w:lvlJc w:val="left"/>
      <w:pPr>
        <w:ind w:left="2880" w:hanging="360"/>
      </w:pPr>
      <w:rPr>
        <w:rFonts w:ascii="Symbol" w:eastAsia="Symbol" w:hAnsi="Symbol" w:cs="Symbol" w:hint="default"/>
      </w:rPr>
    </w:lvl>
    <w:lvl w:ilvl="4" w:tplc="84E61032">
      <w:start w:val="1"/>
      <w:numFmt w:val="bullet"/>
      <w:lvlText w:val="o"/>
      <w:lvlJc w:val="left"/>
      <w:pPr>
        <w:ind w:left="3600" w:hanging="360"/>
      </w:pPr>
      <w:rPr>
        <w:rFonts w:ascii="Courier New" w:eastAsia="Courier New" w:hAnsi="Courier New" w:cs="Courier New" w:hint="default"/>
      </w:rPr>
    </w:lvl>
    <w:lvl w:ilvl="5" w:tplc="A56E206A">
      <w:start w:val="1"/>
      <w:numFmt w:val="bullet"/>
      <w:lvlText w:val="§"/>
      <w:lvlJc w:val="left"/>
      <w:pPr>
        <w:ind w:left="4320" w:hanging="360"/>
      </w:pPr>
      <w:rPr>
        <w:rFonts w:ascii="Wingdings" w:eastAsia="Wingdings" w:hAnsi="Wingdings" w:cs="Wingdings" w:hint="default"/>
      </w:rPr>
    </w:lvl>
    <w:lvl w:ilvl="6" w:tplc="00F27B38">
      <w:start w:val="1"/>
      <w:numFmt w:val="bullet"/>
      <w:lvlText w:val="·"/>
      <w:lvlJc w:val="left"/>
      <w:pPr>
        <w:ind w:left="5040" w:hanging="360"/>
      </w:pPr>
      <w:rPr>
        <w:rFonts w:ascii="Symbol" w:eastAsia="Symbol" w:hAnsi="Symbol" w:cs="Symbol" w:hint="default"/>
      </w:rPr>
    </w:lvl>
    <w:lvl w:ilvl="7" w:tplc="B0A2AF2E">
      <w:start w:val="1"/>
      <w:numFmt w:val="bullet"/>
      <w:lvlText w:val="o"/>
      <w:lvlJc w:val="left"/>
      <w:pPr>
        <w:ind w:left="5760" w:hanging="360"/>
      </w:pPr>
      <w:rPr>
        <w:rFonts w:ascii="Courier New" w:eastAsia="Courier New" w:hAnsi="Courier New" w:cs="Courier New" w:hint="default"/>
      </w:rPr>
    </w:lvl>
    <w:lvl w:ilvl="8" w:tplc="E52C53DE">
      <w:start w:val="1"/>
      <w:numFmt w:val="bullet"/>
      <w:lvlText w:val="§"/>
      <w:lvlJc w:val="left"/>
      <w:pPr>
        <w:ind w:left="6480" w:hanging="360"/>
      </w:pPr>
      <w:rPr>
        <w:rFonts w:ascii="Wingdings" w:eastAsia="Wingdings" w:hAnsi="Wingdings" w:cs="Wingdings" w:hint="default"/>
      </w:rPr>
    </w:lvl>
  </w:abstractNum>
  <w:abstractNum w:abstractNumId="6">
    <w:nsid w:val="02A07380"/>
    <w:multiLevelType w:val="hybridMultilevel"/>
    <w:tmpl w:val="96F265D4"/>
    <w:lvl w:ilvl="0" w:tplc="CE342428">
      <w:start w:val="1"/>
      <w:numFmt w:val="bullet"/>
      <w:lvlText w:val="–"/>
      <w:lvlJc w:val="left"/>
      <w:pPr>
        <w:ind w:left="720" w:hanging="360"/>
      </w:pPr>
      <w:rPr>
        <w:rFonts w:ascii="Arial" w:eastAsia="Arial" w:hAnsi="Arial" w:cs="Arial"/>
      </w:rPr>
    </w:lvl>
    <w:lvl w:ilvl="1" w:tplc="80F83B78">
      <w:start w:val="1"/>
      <w:numFmt w:val="bullet"/>
      <w:lvlText w:val="o"/>
      <w:lvlJc w:val="left"/>
      <w:pPr>
        <w:ind w:left="1440" w:hanging="360"/>
      </w:pPr>
      <w:rPr>
        <w:rFonts w:ascii="Courier New" w:eastAsia="Courier New" w:hAnsi="Courier New" w:cs="Courier New" w:hint="default"/>
      </w:rPr>
    </w:lvl>
    <w:lvl w:ilvl="2" w:tplc="C988F406">
      <w:start w:val="1"/>
      <w:numFmt w:val="bullet"/>
      <w:lvlText w:val="§"/>
      <w:lvlJc w:val="left"/>
      <w:pPr>
        <w:ind w:left="2160" w:hanging="360"/>
      </w:pPr>
      <w:rPr>
        <w:rFonts w:ascii="Wingdings" w:eastAsia="Wingdings" w:hAnsi="Wingdings" w:cs="Wingdings" w:hint="default"/>
      </w:rPr>
    </w:lvl>
    <w:lvl w:ilvl="3" w:tplc="45E27284">
      <w:start w:val="1"/>
      <w:numFmt w:val="bullet"/>
      <w:lvlText w:val="·"/>
      <w:lvlJc w:val="left"/>
      <w:pPr>
        <w:ind w:left="2880" w:hanging="360"/>
      </w:pPr>
      <w:rPr>
        <w:rFonts w:ascii="Symbol" w:eastAsia="Symbol" w:hAnsi="Symbol" w:cs="Symbol" w:hint="default"/>
      </w:rPr>
    </w:lvl>
    <w:lvl w:ilvl="4" w:tplc="C832CF5E">
      <w:start w:val="1"/>
      <w:numFmt w:val="bullet"/>
      <w:lvlText w:val="o"/>
      <w:lvlJc w:val="left"/>
      <w:pPr>
        <w:ind w:left="3600" w:hanging="360"/>
      </w:pPr>
      <w:rPr>
        <w:rFonts w:ascii="Courier New" w:eastAsia="Courier New" w:hAnsi="Courier New" w:cs="Courier New" w:hint="default"/>
      </w:rPr>
    </w:lvl>
    <w:lvl w:ilvl="5" w:tplc="CFD0DE6C">
      <w:start w:val="1"/>
      <w:numFmt w:val="bullet"/>
      <w:lvlText w:val="§"/>
      <w:lvlJc w:val="left"/>
      <w:pPr>
        <w:ind w:left="4320" w:hanging="360"/>
      </w:pPr>
      <w:rPr>
        <w:rFonts w:ascii="Wingdings" w:eastAsia="Wingdings" w:hAnsi="Wingdings" w:cs="Wingdings" w:hint="default"/>
      </w:rPr>
    </w:lvl>
    <w:lvl w:ilvl="6" w:tplc="740A30DC">
      <w:start w:val="1"/>
      <w:numFmt w:val="bullet"/>
      <w:lvlText w:val="·"/>
      <w:lvlJc w:val="left"/>
      <w:pPr>
        <w:ind w:left="5040" w:hanging="360"/>
      </w:pPr>
      <w:rPr>
        <w:rFonts w:ascii="Symbol" w:eastAsia="Symbol" w:hAnsi="Symbol" w:cs="Symbol" w:hint="default"/>
      </w:rPr>
    </w:lvl>
    <w:lvl w:ilvl="7" w:tplc="C38E9F00">
      <w:start w:val="1"/>
      <w:numFmt w:val="bullet"/>
      <w:lvlText w:val="o"/>
      <w:lvlJc w:val="left"/>
      <w:pPr>
        <w:ind w:left="5760" w:hanging="360"/>
      </w:pPr>
      <w:rPr>
        <w:rFonts w:ascii="Courier New" w:eastAsia="Courier New" w:hAnsi="Courier New" w:cs="Courier New" w:hint="default"/>
      </w:rPr>
    </w:lvl>
    <w:lvl w:ilvl="8" w:tplc="6352B4B6">
      <w:start w:val="1"/>
      <w:numFmt w:val="bullet"/>
      <w:lvlText w:val="§"/>
      <w:lvlJc w:val="left"/>
      <w:pPr>
        <w:ind w:left="6480" w:hanging="360"/>
      </w:pPr>
      <w:rPr>
        <w:rFonts w:ascii="Wingdings" w:eastAsia="Wingdings" w:hAnsi="Wingdings" w:cs="Wingdings" w:hint="default"/>
      </w:rPr>
    </w:lvl>
  </w:abstractNum>
  <w:abstractNum w:abstractNumId="7">
    <w:nsid w:val="03377293"/>
    <w:multiLevelType w:val="multilevel"/>
    <w:tmpl w:val="A32ECECE"/>
    <w:lvl w:ilvl="0">
      <w:start w:val="1"/>
      <w:numFmt w:val="bullet"/>
      <w:lvlText w:val="–"/>
      <w:lvlJc w:val="left"/>
      <w:pPr>
        <w:tabs>
          <w:tab w:val="num" w:pos="720"/>
        </w:tabs>
        <w:ind w:left="720" w:hanging="360"/>
      </w:pPr>
      <w:rPr>
        <w:rFonts w:ascii="Arial" w:eastAsia="Arial" w:hAnsi="Arial" w:cs="Aria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041D0692"/>
    <w:multiLevelType w:val="multilevel"/>
    <w:tmpl w:val="7A9C4ADA"/>
    <w:lvl w:ilvl="0">
      <w:start w:val="1"/>
      <w:numFmt w:val="bullet"/>
      <w:lvlText w:val="–"/>
      <w:lvlJc w:val="left"/>
      <w:pPr>
        <w:tabs>
          <w:tab w:val="num" w:pos="720"/>
        </w:tabs>
        <w:ind w:left="720" w:hanging="360"/>
      </w:pPr>
      <w:rPr>
        <w:rFonts w:ascii="Arial" w:eastAsia="Arial" w:hAnsi="Arial" w:cs="Aria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046B2800"/>
    <w:multiLevelType w:val="hybridMultilevel"/>
    <w:tmpl w:val="7C1250DA"/>
    <w:lvl w:ilvl="0" w:tplc="3D1496C6">
      <w:start w:val="1"/>
      <w:numFmt w:val="bullet"/>
      <w:lvlText w:val="–"/>
      <w:lvlJc w:val="left"/>
      <w:pPr>
        <w:ind w:left="720" w:hanging="360"/>
      </w:pPr>
      <w:rPr>
        <w:rFonts w:ascii="Arial" w:eastAsia="Arial" w:hAnsi="Arial" w:cs="Arial"/>
      </w:rPr>
    </w:lvl>
    <w:lvl w:ilvl="1" w:tplc="D8086582">
      <w:start w:val="1"/>
      <w:numFmt w:val="bullet"/>
      <w:lvlText w:val="o"/>
      <w:lvlJc w:val="left"/>
      <w:pPr>
        <w:ind w:left="1440" w:hanging="360"/>
      </w:pPr>
      <w:rPr>
        <w:rFonts w:ascii="Courier New" w:eastAsia="Courier New" w:hAnsi="Courier New" w:cs="Courier New" w:hint="default"/>
      </w:rPr>
    </w:lvl>
    <w:lvl w:ilvl="2" w:tplc="86503B28">
      <w:start w:val="1"/>
      <w:numFmt w:val="bullet"/>
      <w:lvlText w:val="§"/>
      <w:lvlJc w:val="left"/>
      <w:pPr>
        <w:ind w:left="2160" w:hanging="360"/>
      </w:pPr>
      <w:rPr>
        <w:rFonts w:ascii="Wingdings" w:eastAsia="Wingdings" w:hAnsi="Wingdings" w:cs="Wingdings" w:hint="default"/>
      </w:rPr>
    </w:lvl>
    <w:lvl w:ilvl="3" w:tplc="C29ED476">
      <w:start w:val="1"/>
      <w:numFmt w:val="bullet"/>
      <w:lvlText w:val="·"/>
      <w:lvlJc w:val="left"/>
      <w:pPr>
        <w:ind w:left="2880" w:hanging="360"/>
      </w:pPr>
      <w:rPr>
        <w:rFonts w:ascii="Symbol" w:eastAsia="Symbol" w:hAnsi="Symbol" w:cs="Symbol" w:hint="default"/>
      </w:rPr>
    </w:lvl>
    <w:lvl w:ilvl="4" w:tplc="405EDC1C">
      <w:start w:val="1"/>
      <w:numFmt w:val="bullet"/>
      <w:lvlText w:val="o"/>
      <w:lvlJc w:val="left"/>
      <w:pPr>
        <w:ind w:left="3600" w:hanging="360"/>
      </w:pPr>
      <w:rPr>
        <w:rFonts w:ascii="Courier New" w:eastAsia="Courier New" w:hAnsi="Courier New" w:cs="Courier New" w:hint="default"/>
      </w:rPr>
    </w:lvl>
    <w:lvl w:ilvl="5" w:tplc="BC5A4D3A">
      <w:start w:val="1"/>
      <w:numFmt w:val="bullet"/>
      <w:lvlText w:val="§"/>
      <w:lvlJc w:val="left"/>
      <w:pPr>
        <w:ind w:left="4320" w:hanging="360"/>
      </w:pPr>
      <w:rPr>
        <w:rFonts w:ascii="Wingdings" w:eastAsia="Wingdings" w:hAnsi="Wingdings" w:cs="Wingdings" w:hint="default"/>
      </w:rPr>
    </w:lvl>
    <w:lvl w:ilvl="6" w:tplc="379008EC">
      <w:start w:val="1"/>
      <w:numFmt w:val="bullet"/>
      <w:lvlText w:val="·"/>
      <w:lvlJc w:val="left"/>
      <w:pPr>
        <w:ind w:left="5040" w:hanging="360"/>
      </w:pPr>
      <w:rPr>
        <w:rFonts w:ascii="Symbol" w:eastAsia="Symbol" w:hAnsi="Symbol" w:cs="Symbol" w:hint="default"/>
      </w:rPr>
    </w:lvl>
    <w:lvl w:ilvl="7" w:tplc="8DE88A20">
      <w:start w:val="1"/>
      <w:numFmt w:val="bullet"/>
      <w:lvlText w:val="o"/>
      <w:lvlJc w:val="left"/>
      <w:pPr>
        <w:ind w:left="5760" w:hanging="360"/>
      </w:pPr>
      <w:rPr>
        <w:rFonts w:ascii="Courier New" w:eastAsia="Courier New" w:hAnsi="Courier New" w:cs="Courier New" w:hint="default"/>
      </w:rPr>
    </w:lvl>
    <w:lvl w:ilvl="8" w:tplc="882C6634">
      <w:start w:val="1"/>
      <w:numFmt w:val="bullet"/>
      <w:lvlText w:val="§"/>
      <w:lvlJc w:val="left"/>
      <w:pPr>
        <w:ind w:left="6480" w:hanging="360"/>
      </w:pPr>
      <w:rPr>
        <w:rFonts w:ascii="Wingdings" w:eastAsia="Wingdings" w:hAnsi="Wingdings" w:cs="Wingdings" w:hint="default"/>
      </w:rPr>
    </w:lvl>
  </w:abstractNum>
  <w:abstractNum w:abstractNumId="10">
    <w:nsid w:val="0CDF702A"/>
    <w:multiLevelType w:val="hybridMultilevel"/>
    <w:tmpl w:val="8AAA472A"/>
    <w:lvl w:ilvl="0" w:tplc="6E529E7C">
      <w:start w:val="1"/>
      <w:numFmt w:val="bullet"/>
      <w:lvlText w:val="–"/>
      <w:lvlJc w:val="left"/>
      <w:pPr>
        <w:ind w:left="720" w:hanging="360"/>
      </w:pPr>
      <w:rPr>
        <w:rFonts w:ascii="Arial" w:eastAsia="Arial" w:hAnsi="Arial" w:cs="Arial"/>
      </w:rPr>
    </w:lvl>
    <w:lvl w:ilvl="1" w:tplc="77F44E54">
      <w:start w:val="1"/>
      <w:numFmt w:val="bullet"/>
      <w:lvlText w:val="o"/>
      <w:lvlJc w:val="left"/>
      <w:pPr>
        <w:ind w:left="1440" w:hanging="360"/>
      </w:pPr>
      <w:rPr>
        <w:rFonts w:ascii="Courier New" w:eastAsia="Courier New" w:hAnsi="Courier New" w:cs="Courier New" w:hint="default"/>
      </w:rPr>
    </w:lvl>
    <w:lvl w:ilvl="2" w:tplc="74A8C734">
      <w:start w:val="1"/>
      <w:numFmt w:val="bullet"/>
      <w:lvlText w:val="§"/>
      <w:lvlJc w:val="left"/>
      <w:pPr>
        <w:ind w:left="2160" w:hanging="360"/>
      </w:pPr>
      <w:rPr>
        <w:rFonts w:ascii="Wingdings" w:eastAsia="Wingdings" w:hAnsi="Wingdings" w:cs="Wingdings" w:hint="default"/>
      </w:rPr>
    </w:lvl>
    <w:lvl w:ilvl="3" w:tplc="A1E20794">
      <w:start w:val="1"/>
      <w:numFmt w:val="bullet"/>
      <w:lvlText w:val="·"/>
      <w:lvlJc w:val="left"/>
      <w:pPr>
        <w:ind w:left="2880" w:hanging="360"/>
      </w:pPr>
      <w:rPr>
        <w:rFonts w:ascii="Symbol" w:eastAsia="Symbol" w:hAnsi="Symbol" w:cs="Symbol" w:hint="default"/>
      </w:rPr>
    </w:lvl>
    <w:lvl w:ilvl="4" w:tplc="270EA5BE">
      <w:start w:val="1"/>
      <w:numFmt w:val="bullet"/>
      <w:lvlText w:val="o"/>
      <w:lvlJc w:val="left"/>
      <w:pPr>
        <w:ind w:left="3600" w:hanging="360"/>
      </w:pPr>
      <w:rPr>
        <w:rFonts w:ascii="Courier New" w:eastAsia="Courier New" w:hAnsi="Courier New" w:cs="Courier New" w:hint="default"/>
      </w:rPr>
    </w:lvl>
    <w:lvl w:ilvl="5" w:tplc="0B80B21C">
      <w:start w:val="1"/>
      <w:numFmt w:val="bullet"/>
      <w:lvlText w:val="§"/>
      <w:lvlJc w:val="left"/>
      <w:pPr>
        <w:ind w:left="4320" w:hanging="360"/>
      </w:pPr>
      <w:rPr>
        <w:rFonts w:ascii="Wingdings" w:eastAsia="Wingdings" w:hAnsi="Wingdings" w:cs="Wingdings" w:hint="default"/>
      </w:rPr>
    </w:lvl>
    <w:lvl w:ilvl="6" w:tplc="903E30AE">
      <w:start w:val="1"/>
      <w:numFmt w:val="bullet"/>
      <w:lvlText w:val="·"/>
      <w:lvlJc w:val="left"/>
      <w:pPr>
        <w:ind w:left="5040" w:hanging="360"/>
      </w:pPr>
      <w:rPr>
        <w:rFonts w:ascii="Symbol" w:eastAsia="Symbol" w:hAnsi="Symbol" w:cs="Symbol" w:hint="default"/>
      </w:rPr>
    </w:lvl>
    <w:lvl w:ilvl="7" w:tplc="0FE4EB28">
      <w:start w:val="1"/>
      <w:numFmt w:val="bullet"/>
      <w:lvlText w:val="o"/>
      <w:lvlJc w:val="left"/>
      <w:pPr>
        <w:ind w:left="5760" w:hanging="360"/>
      </w:pPr>
      <w:rPr>
        <w:rFonts w:ascii="Courier New" w:eastAsia="Courier New" w:hAnsi="Courier New" w:cs="Courier New" w:hint="default"/>
      </w:rPr>
    </w:lvl>
    <w:lvl w:ilvl="8" w:tplc="DF369FA0">
      <w:start w:val="1"/>
      <w:numFmt w:val="bullet"/>
      <w:lvlText w:val="§"/>
      <w:lvlJc w:val="left"/>
      <w:pPr>
        <w:ind w:left="6480" w:hanging="360"/>
      </w:pPr>
      <w:rPr>
        <w:rFonts w:ascii="Wingdings" w:eastAsia="Wingdings" w:hAnsi="Wingdings" w:cs="Wingdings" w:hint="default"/>
      </w:rPr>
    </w:lvl>
  </w:abstractNum>
  <w:abstractNum w:abstractNumId="11">
    <w:nsid w:val="0E4239BB"/>
    <w:multiLevelType w:val="hybridMultilevel"/>
    <w:tmpl w:val="DD220EBC"/>
    <w:lvl w:ilvl="0" w:tplc="947A7ACE">
      <w:start w:val="1"/>
      <w:numFmt w:val="decimal"/>
      <w:lvlText w:val="%1)"/>
      <w:lvlJc w:val="right"/>
      <w:pPr>
        <w:ind w:left="720" w:hanging="360"/>
      </w:pPr>
    </w:lvl>
    <w:lvl w:ilvl="1" w:tplc="A978E218">
      <w:start w:val="1"/>
      <w:numFmt w:val="lowerLetter"/>
      <w:lvlText w:val="%2."/>
      <w:lvlJc w:val="left"/>
      <w:pPr>
        <w:ind w:left="1440" w:hanging="360"/>
      </w:pPr>
    </w:lvl>
    <w:lvl w:ilvl="2" w:tplc="7604F8CA">
      <w:start w:val="1"/>
      <w:numFmt w:val="lowerRoman"/>
      <w:lvlText w:val="%3."/>
      <w:lvlJc w:val="right"/>
      <w:pPr>
        <w:ind w:left="2160" w:hanging="180"/>
      </w:pPr>
    </w:lvl>
    <w:lvl w:ilvl="3" w:tplc="F3EEB61E">
      <w:start w:val="1"/>
      <w:numFmt w:val="decimal"/>
      <w:lvlText w:val="%4."/>
      <w:lvlJc w:val="left"/>
      <w:pPr>
        <w:ind w:left="2880" w:hanging="360"/>
      </w:pPr>
    </w:lvl>
    <w:lvl w:ilvl="4" w:tplc="3C02764A">
      <w:start w:val="1"/>
      <w:numFmt w:val="lowerLetter"/>
      <w:lvlText w:val="%5."/>
      <w:lvlJc w:val="left"/>
      <w:pPr>
        <w:ind w:left="3600" w:hanging="360"/>
      </w:pPr>
    </w:lvl>
    <w:lvl w:ilvl="5" w:tplc="5AB43AA2">
      <w:start w:val="1"/>
      <w:numFmt w:val="lowerRoman"/>
      <w:lvlText w:val="%6."/>
      <w:lvlJc w:val="right"/>
      <w:pPr>
        <w:ind w:left="4320" w:hanging="180"/>
      </w:pPr>
    </w:lvl>
    <w:lvl w:ilvl="6" w:tplc="D9FC508E">
      <w:start w:val="1"/>
      <w:numFmt w:val="decimal"/>
      <w:lvlText w:val="%7."/>
      <w:lvlJc w:val="left"/>
      <w:pPr>
        <w:ind w:left="5040" w:hanging="360"/>
      </w:pPr>
    </w:lvl>
    <w:lvl w:ilvl="7" w:tplc="C5CCD5F2">
      <w:start w:val="1"/>
      <w:numFmt w:val="lowerLetter"/>
      <w:lvlText w:val="%8."/>
      <w:lvlJc w:val="left"/>
      <w:pPr>
        <w:ind w:left="5760" w:hanging="360"/>
      </w:pPr>
    </w:lvl>
    <w:lvl w:ilvl="8" w:tplc="5E14ABC8">
      <w:start w:val="1"/>
      <w:numFmt w:val="lowerRoman"/>
      <w:lvlText w:val="%9."/>
      <w:lvlJc w:val="right"/>
      <w:pPr>
        <w:ind w:left="6480" w:hanging="180"/>
      </w:pPr>
    </w:lvl>
  </w:abstractNum>
  <w:abstractNum w:abstractNumId="12">
    <w:nsid w:val="0E4347E7"/>
    <w:multiLevelType w:val="hybridMultilevel"/>
    <w:tmpl w:val="767AC6EA"/>
    <w:lvl w:ilvl="0" w:tplc="770A60EE">
      <w:start w:val="1"/>
      <w:numFmt w:val="bullet"/>
      <w:lvlText w:val="–"/>
      <w:lvlJc w:val="left"/>
      <w:pPr>
        <w:ind w:left="720" w:hanging="360"/>
      </w:pPr>
      <w:rPr>
        <w:rFonts w:ascii="Arial" w:eastAsia="Arial" w:hAnsi="Arial" w:cs="Arial"/>
      </w:rPr>
    </w:lvl>
    <w:lvl w:ilvl="1" w:tplc="06B801C2">
      <w:start w:val="1"/>
      <w:numFmt w:val="bullet"/>
      <w:lvlText w:val="o"/>
      <w:lvlJc w:val="left"/>
      <w:pPr>
        <w:ind w:left="1440" w:hanging="360"/>
      </w:pPr>
      <w:rPr>
        <w:rFonts w:ascii="Courier New" w:eastAsia="Courier New" w:hAnsi="Courier New" w:cs="Courier New" w:hint="default"/>
      </w:rPr>
    </w:lvl>
    <w:lvl w:ilvl="2" w:tplc="B382237E">
      <w:start w:val="1"/>
      <w:numFmt w:val="bullet"/>
      <w:lvlText w:val="§"/>
      <w:lvlJc w:val="left"/>
      <w:pPr>
        <w:ind w:left="2160" w:hanging="360"/>
      </w:pPr>
      <w:rPr>
        <w:rFonts w:ascii="Wingdings" w:eastAsia="Wingdings" w:hAnsi="Wingdings" w:cs="Wingdings" w:hint="default"/>
      </w:rPr>
    </w:lvl>
    <w:lvl w:ilvl="3" w:tplc="089A58E2">
      <w:start w:val="1"/>
      <w:numFmt w:val="bullet"/>
      <w:lvlText w:val="·"/>
      <w:lvlJc w:val="left"/>
      <w:pPr>
        <w:ind w:left="2880" w:hanging="360"/>
      </w:pPr>
      <w:rPr>
        <w:rFonts w:ascii="Symbol" w:eastAsia="Symbol" w:hAnsi="Symbol" w:cs="Symbol" w:hint="default"/>
      </w:rPr>
    </w:lvl>
    <w:lvl w:ilvl="4" w:tplc="57C0CFAA">
      <w:start w:val="1"/>
      <w:numFmt w:val="bullet"/>
      <w:lvlText w:val="o"/>
      <w:lvlJc w:val="left"/>
      <w:pPr>
        <w:ind w:left="3600" w:hanging="360"/>
      </w:pPr>
      <w:rPr>
        <w:rFonts w:ascii="Courier New" w:eastAsia="Courier New" w:hAnsi="Courier New" w:cs="Courier New" w:hint="default"/>
      </w:rPr>
    </w:lvl>
    <w:lvl w:ilvl="5" w:tplc="4948A1B4">
      <w:start w:val="1"/>
      <w:numFmt w:val="bullet"/>
      <w:lvlText w:val="§"/>
      <w:lvlJc w:val="left"/>
      <w:pPr>
        <w:ind w:left="4320" w:hanging="360"/>
      </w:pPr>
      <w:rPr>
        <w:rFonts w:ascii="Wingdings" w:eastAsia="Wingdings" w:hAnsi="Wingdings" w:cs="Wingdings" w:hint="default"/>
      </w:rPr>
    </w:lvl>
    <w:lvl w:ilvl="6" w:tplc="102CB2EA">
      <w:start w:val="1"/>
      <w:numFmt w:val="bullet"/>
      <w:lvlText w:val="·"/>
      <w:lvlJc w:val="left"/>
      <w:pPr>
        <w:ind w:left="5040" w:hanging="360"/>
      </w:pPr>
      <w:rPr>
        <w:rFonts w:ascii="Symbol" w:eastAsia="Symbol" w:hAnsi="Symbol" w:cs="Symbol" w:hint="default"/>
      </w:rPr>
    </w:lvl>
    <w:lvl w:ilvl="7" w:tplc="4148B4B6">
      <w:start w:val="1"/>
      <w:numFmt w:val="bullet"/>
      <w:lvlText w:val="o"/>
      <w:lvlJc w:val="left"/>
      <w:pPr>
        <w:ind w:left="5760" w:hanging="360"/>
      </w:pPr>
      <w:rPr>
        <w:rFonts w:ascii="Courier New" w:eastAsia="Courier New" w:hAnsi="Courier New" w:cs="Courier New" w:hint="default"/>
      </w:rPr>
    </w:lvl>
    <w:lvl w:ilvl="8" w:tplc="56D6E63C">
      <w:start w:val="1"/>
      <w:numFmt w:val="bullet"/>
      <w:lvlText w:val="§"/>
      <w:lvlJc w:val="left"/>
      <w:pPr>
        <w:ind w:left="6480" w:hanging="360"/>
      </w:pPr>
      <w:rPr>
        <w:rFonts w:ascii="Wingdings" w:eastAsia="Wingdings" w:hAnsi="Wingdings" w:cs="Wingdings" w:hint="default"/>
      </w:rPr>
    </w:lvl>
  </w:abstractNum>
  <w:abstractNum w:abstractNumId="13">
    <w:nsid w:val="0E8D75C5"/>
    <w:multiLevelType w:val="hybridMultilevel"/>
    <w:tmpl w:val="A9E2D40C"/>
    <w:lvl w:ilvl="0" w:tplc="6D70DE92">
      <w:start w:val="1"/>
      <w:numFmt w:val="bullet"/>
      <w:lvlText w:val="–"/>
      <w:lvlJc w:val="left"/>
      <w:pPr>
        <w:ind w:left="720" w:hanging="360"/>
      </w:pPr>
      <w:rPr>
        <w:rFonts w:ascii="Arial" w:eastAsia="Arial" w:hAnsi="Arial" w:cs="Arial"/>
      </w:rPr>
    </w:lvl>
    <w:lvl w:ilvl="1" w:tplc="4752A9C6">
      <w:start w:val="1"/>
      <w:numFmt w:val="bullet"/>
      <w:lvlText w:val="o"/>
      <w:lvlJc w:val="left"/>
      <w:pPr>
        <w:ind w:left="1440" w:hanging="360"/>
      </w:pPr>
      <w:rPr>
        <w:rFonts w:ascii="Courier New" w:eastAsia="Courier New" w:hAnsi="Courier New" w:cs="Courier New" w:hint="default"/>
      </w:rPr>
    </w:lvl>
    <w:lvl w:ilvl="2" w:tplc="7AC0ACB0">
      <w:start w:val="1"/>
      <w:numFmt w:val="bullet"/>
      <w:lvlText w:val="§"/>
      <w:lvlJc w:val="left"/>
      <w:pPr>
        <w:ind w:left="2160" w:hanging="360"/>
      </w:pPr>
      <w:rPr>
        <w:rFonts w:ascii="Wingdings" w:eastAsia="Wingdings" w:hAnsi="Wingdings" w:cs="Wingdings" w:hint="default"/>
      </w:rPr>
    </w:lvl>
    <w:lvl w:ilvl="3" w:tplc="5FF0EA12">
      <w:start w:val="1"/>
      <w:numFmt w:val="bullet"/>
      <w:lvlText w:val="·"/>
      <w:lvlJc w:val="left"/>
      <w:pPr>
        <w:ind w:left="2880" w:hanging="360"/>
      </w:pPr>
      <w:rPr>
        <w:rFonts w:ascii="Symbol" w:eastAsia="Symbol" w:hAnsi="Symbol" w:cs="Symbol" w:hint="default"/>
      </w:rPr>
    </w:lvl>
    <w:lvl w:ilvl="4" w:tplc="73DC2058">
      <w:start w:val="1"/>
      <w:numFmt w:val="bullet"/>
      <w:lvlText w:val="o"/>
      <w:lvlJc w:val="left"/>
      <w:pPr>
        <w:ind w:left="3600" w:hanging="360"/>
      </w:pPr>
      <w:rPr>
        <w:rFonts w:ascii="Courier New" w:eastAsia="Courier New" w:hAnsi="Courier New" w:cs="Courier New" w:hint="default"/>
      </w:rPr>
    </w:lvl>
    <w:lvl w:ilvl="5" w:tplc="23640128">
      <w:start w:val="1"/>
      <w:numFmt w:val="bullet"/>
      <w:lvlText w:val="§"/>
      <w:lvlJc w:val="left"/>
      <w:pPr>
        <w:ind w:left="4320" w:hanging="360"/>
      </w:pPr>
      <w:rPr>
        <w:rFonts w:ascii="Wingdings" w:eastAsia="Wingdings" w:hAnsi="Wingdings" w:cs="Wingdings" w:hint="default"/>
      </w:rPr>
    </w:lvl>
    <w:lvl w:ilvl="6" w:tplc="94FADF5E">
      <w:start w:val="1"/>
      <w:numFmt w:val="bullet"/>
      <w:lvlText w:val="·"/>
      <w:lvlJc w:val="left"/>
      <w:pPr>
        <w:ind w:left="5040" w:hanging="360"/>
      </w:pPr>
      <w:rPr>
        <w:rFonts w:ascii="Symbol" w:eastAsia="Symbol" w:hAnsi="Symbol" w:cs="Symbol" w:hint="default"/>
      </w:rPr>
    </w:lvl>
    <w:lvl w:ilvl="7" w:tplc="D7964D9E">
      <w:start w:val="1"/>
      <w:numFmt w:val="bullet"/>
      <w:lvlText w:val="o"/>
      <w:lvlJc w:val="left"/>
      <w:pPr>
        <w:ind w:left="5760" w:hanging="360"/>
      </w:pPr>
      <w:rPr>
        <w:rFonts w:ascii="Courier New" w:eastAsia="Courier New" w:hAnsi="Courier New" w:cs="Courier New" w:hint="default"/>
      </w:rPr>
    </w:lvl>
    <w:lvl w:ilvl="8" w:tplc="F6E0AE00">
      <w:start w:val="1"/>
      <w:numFmt w:val="bullet"/>
      <w:lvlText w:val="§"/>
      <w:lvlJc w:val="left"/>
      <w:pPr>
        <w:ind w:left="6480" w:hanging="360"/>
      </w:pPr>
      <w:rPr>
        <w:rFonts w:ascii="Wingdings" w:eastAsia="Wingdings" w:hAnsi="Wingdings" w:cs="Wingdings" w:hint="default"/>
      </w:rPr>
    </w:lvl>
  </w:abstractNum>
  <w:abstractNum w:abstractNumId="14">
    <w:nsid w:val="0F6964E1"/>
    <w:multiLevelType w:val="hybridMultilevel"/>
    <w:tmpl w:val="CD96A320"/>
    <w:lvl w:ilvl="0" w:tplc="6E18FAD6">
      <w:start w:val="1"/>
      <w:numFmt w:val="bullet"/>
      <w:lvlText w:val="–"/>
      <w:lvlJc w:val="left"/>
      <w:pPr>
        <w:ind w:left="720" w:hanging="360"/>
      </w:pPr>
      <w:rPr>
        <w:rFonts w:ascii="Arial" w:eastAsia="Arial" w:hAnsi="Arial" w:cs="Arial"/>
      </w:rPr>
    </w:lvl>
    <w:lvl w:ilvl="1" w:tplc="700CED4C">
      <w:start w:val="1"/>
      <w:numFmt w:val="bullet"/>
      <w:lvlText w:val="o"/>
      <w:lvlJc w:val="left"/>
      <w:pPr>
        <w:ind w:left="1440" w:hanging="360"/>
      </w:pPr>
      <w:rPr>
        <w:rFonts w:ascii="Courier New" w:eastAsia="Courier New" w:hAnsi="Courier New" w:cs="Courier New" w:hint="default"/>
      </w:rPr>
    </w:lvl>
    <w:lvl w:ilvl="2" w:tplc="1EAADFC8">
      <w:start w:val="1"/>
      <w:numFmt w:val="bullet"/>
      <w:lvlText w:val="§"/>
      <w:lvlJc w:val="left"/>
      <w:pPr>
        <w:ind w:left="2160" w:hanging="360"/>
      </w:pPr>
      <w:rPr>
        <w:rFonts w:ascii="Wingdings" w:eastAsia="Wingdings" w:hAnsi="Wingdings" w:cs="Wingdings" w:hint="default"/>
      </w:rPr>
    </w:lvl>
    <w:lvl w:ilvl="3" w:tplc="8020F36E">
      <w:start w:val="1"/>
      <w:numFmt w:val="bullet"/>
      <w:lvlText w:val="·"/>
      <w:lvlJc w:val="left"/>
      <w:pPr>
        <w:ind w:left="2880" w:hanging="360"/>
      </w:pPr>
      <w:rPr>
        <w:rFonts w:ascii="Symbol" w:eastAsia="Symbol" w:hAnsi="Symbol" w:cs="Symbol" w:hint="default"/>
      </w:rPr>
    </w:lvl>
    <w:lvl w:ilvl="4" w:tplc="56C662B0">
      <w:start w:val="1"/>
      <w:numFmt w:val="bullet"/>
      <w:lvlText w:val="o"/>
      <w:lvlJc w:val="left"/>
      <w:pPr>
        <w:ind w:left="3600" w:hanging="360"/>
      </w:pPr>
      <w:rPr>
        <w:rFonts w:ascii="Courier New" w:eastAsia="Courier New" w:hAnsi="Courier New" w:cs="Courier New" w:hint="default"/>
      </w:rPr>
    </w:lvl>
    <w:lvl w:ilvl="5" w:tplc="7702FD0E">
      <w:start w:val="1"/>
      <w:numFmt w:val="bullet"/>
      <w:lvlText w:val="§"/>
      <w:lvlJc w:val="left"/>
      <w:pPr>
        <w:ind w:left="4320" w:hanging="360"/>
      </w:pPr>
      <w:rPr>
        <w:rFonts w:ascii="Wingdings" w:eastAsia="Wingdings" w:hAnsi="Wingdings" w:cs="Wingdings" w:hint="default"/>
      </w:rPr>
    </w:lvl>
    <w:lvl w:ilvl="6" w:tplc="C7F24380">
      <w:start w:val="1"/>
      <w:numFmt w:val="bullet"/>
      <w:lvlText w:val="·"/>
      <w:lvlJc w:val="left"/>
      <w:pPr>
        <w:ind w:left="5040" w:hanging="360"/>
      </w:pPr>
      <w:rPr>
        <w:rFonts w:ascii="Symbol" w:eastAsia="Symbol" w:hAnsi="Symbol" w:cs="Symbol" w:hint="default"/>
      </w:rPr>
    </w:lvl>
    <w:lvl w:ilvl="7" w:tplc="10329EC8">
      <w:start w:val="1"/>
      <w:numFmt w:val="bullet"/>
      <w:lvlText w:val="o"/>
      <w:lvlJc w:val="left"/>
      <w:pPr>
        <w:ind w:left="5760" w:hanging="360"/>
      </w:pPr>
      <w:rPr>
        <w:rFonts w:ascii="Courier New" w:eastAsia="Courier New" w:hAnsi="Courier New" w:cs="Courier New" w:hint="default"/>
      </w:rPr>
    </w:lvl>
    <w:lvl w:ilvl="8" w:tplc="E662C04C">
      <w:start w:val="1"/>
      <w:numFmt w:val="bullet"/>
      <w:lvlText w:val="§"/>
      <w:lvlJc w:val="left"/>
      <w:pPr>
        <w:ind w:left="6480" w:hanging="360"/>
      </w:pPr>
      <w:rPr>
        <w:rFonts w:ascii="Wingdings" w:eastAsia="Wingdings" w:hAnsi="Wingdings" w:cs="Wingdings" w:hint="default"/>
      </w:rPr>
    </w:lvl>
  </w:abstractNum>
  <w:abstractNum w:abstractNumId="15">
    <w:nsid w:val="0FC074E8"/>
    <w:multiLevelType w:val="hybridMultilevel"/>
    <w:tmpl w:val="6DCC9966"/>
    <w:lvl w:ilvl="0" w:tplc="7C7636A2">
      <w:start w:val="1"/>
      <w:numFmt w:val="bullet"/>
      <w:lvlText w:val="–"/>
      <w:lvlJc w:val="left"/>
      <w:pPr>
        <w:ind w:left="720" w:hanging="360"/>
      </w:pPr>
      <w:rPr>
        <w:rFonts w:ascii="Arial" w:eastAsia="Arial" w:hAnsi="Arial" w:cs="Arial"/>
      </w:rPr>
    </w:lvl>
    <w:lvl w:ilvl="1" w:tplc="608C651E">
      <w:start w:val="1"/>
      <w:numFmt w:val="bullet"/>
      <w:lvlText w:val="o"/>
      <w:lvlJc w:val="left"/>
      <w:pPr>
        <w:ind w:left="1440" w:hanging="360"/>
      </w:pPr>
      <w:rPr>
        <w:rFonts w:ascii="Courier New" w:eastAsia="Courier New" w:hAnsi="Courier New" w:cs="Courier New" w:hint="default"/>
      </w:rPr>
    </w:lvl>
    <w:lvl w:ilvl="2" w:tplc="AD38C6FE">
      <w:start w:val="1"/>
      <w:numFmt w:val="bullet"/>
      <w:lvlText w:val="§"/>
      <w:lvlJc w:val="left"/>
      <w:pPr>
        <w:ind w:left="2160" w:hanging="360"/>
      </w:pPr>
      <w:rPr>
        <w:rFonts w:ascii="Wingdings" w:eastAsia="Wingdings" w:hAnsi="Wingdings" w:cs="Wingdings" w:hint="default"/>
      </w:rPr>
    </w:lvl>
    <w:lvl w:ilvl="3" w:tplc="B5A4E3BE">
      <w:start w:val="1"/>
      <w:numFmt w:val="bullet"/>
      <w:lvlText w:val="·"/>
      <w:lvlJc w:val="left"/>
      <w:pPr>
        <w:ind w:left="2880" w:hanging="360"/>
      </w:pPr>
      <w:rPr>
        <w:rFonts w:ascii="Symbol" w:eastAsia="Symbol" w:hAnsi="Symbol" w:cs="Symbol" w:hint="default"/>
      </w:rPr>
    </w:lvl>
    <w:lvl w:ilvl="4" w:tplc="7F8E00EC">
      <w:start w:val="1"/>
      <w:numFmt w:val="bullet"/>
      <w:lvlText w:val="o"/>
      <w:lvlJc w:val="left"/>
      <w:pPr>
        <w:ind w:left="3600" w:hanging="360"/>
      </w:pPr>
      <w:rPr>
        <w:rFonts w:ascii="Courier New" w:eastAsia="Courier New" w:hAnsi="Courier New" w:cs="Courier New" w:hint="default"/>
      </w:rPr>
    </w:lvl>
    <w:lvl w:ilvl="5" w:tplc="C242F498">
      <w:start w:val="1"/>
      <w:numFmt w:val="bullet"/>
      <w:lvlText w:val="§"/>
      <w:lvlJc w:val="left"/>
      <w:pPr>
        <w:ind w:left="4320" w:hanging="360"/>
      </w:pPr>
      <w:rPr>
        <w:rFonts w:ascii="Wingdings" w:eastAsia="Wingdings" w:hAnsi="Wingdings" w:cs="Wingdings" w:hint="default"/>
      </w:rPr>
    </w:lvl>
    <w:lvl w:ilvl="6" w:tplc="23EC995A">
      <w:start w:val="1"/>
      <w:numFmt w:val="bullet"/>
      <w:lvlText w:val="·"/>
      <w:lvlJc w:val="left"/>
      <w:pPr>
        <w:ind w:left="5040" w:hanging="360"/>
      </w:pPr>
      <w:rPr>
        <w:rFonts w:ascii="Symbol" w:eastAsia="Symbol" w:hAnsi="Symbol" w:cs="Symbol" w:hint="default"/>
      </w:rPr>
    </w:lvl>
    <w:lvl w:ilvl="7" w:tplc="9EBAADDE">
      <w:start w:val="1"/>
      <w:numFmt w:val="bullet"/>
      <w:lvlText w:val="o"/>
      <w:lvlJc w:val="left"/>
      <w:pPr>
        <w:ind w:left="5760" w:hanging="360"/>
      </w:pPr>
      <w:rPr>
        <w:rFonts w:ascii="Courier New" w:eastAsia="Courier New" w:hAnsi="Courier New" w:cs="Courier New" w:hint="default"/>
      </w:rPr>
    </w:lvl>
    <w:lvl w:ilvl="8" w:tplc="B07ABBAA">
      <w:start w:val="1"/>
      <w:numFmt w:val="bullet"/>
      <w:lvlText w:val="§"/>
      <w:lvlJc w:val="left"/>
      <w:pPr>
        <w:ind w:left="6480" w:hanging="360"/>
      </w:pPr>
      <w:rPr>
        <w:rFonts w:ascii="Wingdings" w:eastAsia="Wingdings" w:hAnsi="Wingdings" w:cs="Wingdings" w:hint="default"/>
      </w:rPr>
    </w:lvl>
  </w:abstractNum>
  <w:abstractNum w:abstractNumId="16">
    <w:nsid w:val="104E3E95"/>
    <w:multiLevelType w:val="hybridMultilevel"/>
    <w:tmpl w:val="20A0E72E"/>
    <w:lvl w:ilvl="0" w:tplc="7F402C54">
      <w:start w:val="1"/>
      <w:numFmt w:val="bullet"/>
      <w:lvlText w:val="–"/>
      <w:lvlJc w:val="left"/>
      <w:pPr>
        <w:ind w:left="720" w:hanging="360"/>
      </w:pPr>
      <w:rPr>
        <w:rFonts w:ascii="Arial" w:eastAsia="Arial" w:hAnsi="Arial" w:cs="Arial"/>
      </w:rPr>
    </w:lvl>
    <w:lvl w:ilvl="1" w:tplc="E6BE8778">
      <w:start w:val="1"/>
      <w:numFmt w:val="bullet"/>
      <w:lvlText w:val="o"/>
      <w:lvlJc w:val="left"/>
      <w:pPr>
        <w:ind w:left="1440" w:hanging="360"/>
      </w:pPr>
      <w:rPr>
        <w:rFonts w:ascii="Courier New" w:eastAsia="Courier New" w:hAnsi="Courier New" w:cs="Courier New" w:hint="default"/>
      </w:rPr>
    </w:lvl>
    <w:lvl w:ilvl="2" w:tplc="6CD493DA">
      <w:start w:val="1"/>
      <w:numFmt w:val="bullet"/>
      <w:lvlText w:val="§"/>
      <w:lvlJc w:val="left"/>
      <w:pPr>
        <w:ind w:left="2160" w:hanging="360"/>
      </w:pPr>
      <w:rPr>
        <w:rFonts w:ascii="Wingdings" w:eastAsia="Wingdings" w:hAnsi="Wingdings" w:cs="Wingdings" w:hint="default"/>
      </w:rPr>
    </w:lvl>
    <w:lvl w:ilvl="3" w:tplc="B532BFF6">
      <w:start w:val="1"/>
      <w:numFmt w:val="bullet"/>
      <w:lvlText w:val="·"/>
      <w:lvlJc w:val="left"/>
      <w:pPr>
        <w:ind w:left="2880" w:hanging="360"/>
      </w:pPr>
      <w:rPr>
        <w:rFonts w:ascii="Symbol" w:eastAsia="Symbol" w:hAnsi="Symbol" w:cs="Symbol" w:hint="default"/>
      </w:rPr>
    </w:lvl>
    <w:lvl w:ilvl="4" w:tplc="B298FF14">
      <w:start w:val="1"/>
      <w:numFmt w:val="bullet"/>
      <w:lvlText w:val="o"/>
      <w:lvlJc w:val="left"/>
      <w:pPr>
        <w:ind w:left="3600" w:hanging="360"/>
      </w:pPr>
      <w:rPr>
        <w:rFonts w:ascii="Courier New" w:eastAsia="Courier New" w:hAnsi="Courier New" w:cs="Courier New" w:hint="default"/>
      </w:rPr>
    </w:lvl>
    <w:lvl w:ilvl="5" w:tplc="55504006">
      <w:start w:val="1"/>
      <w:numFmt w:val="bullet"/>
      <w:lvlText w:val="§"/>
      <w:lvlJc w:val="left"/>
      <w:pPr>
        <w:ind w:left="4320" w:hanging="360"/>
      </w:pPr>
      <w:rPr>
        <w:rFonts w:ascii="Wingdings" w:eastAsia="Wingdings" w:hAnsi="Wingdings" w:cs="Wingdings" w:hint="default"/>
      </w:rPr>
    </w:lvl>
    <w:lvl w:ilvl="6" w:tplc="98601F7A">
      <w:start w:val="1"/>
      <w:numFmt w:val="bullet"/>
      <w:lvlText w:val="·"/>
      <w:lvlJc w:val="left"/>
      <w:pPr>
        <w:ind w:left="5040" w:hanging="360"/>
      </w:pPr>
      <w:rPr>
        <w:rFonts w:ascii="Symbol" w:eastAsia="Symbol" w:hAnsi="Symbol" w:cs="Symbol" w:hint="default"/>
      </w:rPr>
    </w:lvl>
    <w:lvl w:ilvl="7" w:tplc="F0AC7938">
      <w:start w:val="1"/>
      <w:numFmt w:val="bullet"/>
      <w:lvlText w:val="o"/>
      <w:lvlJc w:val="left"/>
      <w:pPr>
        <w:ind w:left="5760" w:hanging="360"/>
      </w:pPr>
      <w:rPr>
        <w:rFonts w:ascii="Courier New" w:eastAsia="Courier New" w:hAnsi="Courier New" w:cs="Courier New" w:hint="default"/>
      </w:rPr>
    </w:lvl>
    <w:lvl w:ilvl="8" w:tplc="D7E06490">
      <w:start w:val="1"/>
      <w:numFmt w:val="bullet"/>
      <w:lvlText w:val="§"/>
      <w:lvlJc w:val="left"/>
      <w:pPr>
        <w:ind w:left="6480" w:hanging="360"/>
      </w:pPr>
      <w:rPr>
        <w:rFonts w:ascii="Wingdings" w:eastAsia="Wingdings" w:hAnsi="Wingdings" w:cs="Wingdings" w:hint="default"/>
      </w:rPr>
    </w:lvl>
  </w:abstractNum>
  <w:abstractNum w:abstractNumId="17">
    <w:nsid w:val="113832E3"/>
    <w:multiLevelType w:val="hybridMultilevel"/>
    <w:tmpl w:val="EE0E5208"/>
    <w:lvl w:ilvl="0" w:tplc="75FCA018">
      <w:start w:val="1"/>
      <w:numFmt w:val="bullet"/>
      <w:lvlText w:val="–"/>
      <w:lvlJc w:val="left"/>
      <w:pPr>
        <w:ind w:left="720" w:hanging="360"/>
      </w:pPr>
      <w:rPr>
        <w:rFonts w:ascii="Arial" w:eastAsia="Arial" w:hAnsi="Arial" w:cs="Arial"/>
      </w:rPr>
    </w:lvl>
    <w:lvl w:ilvl="1" w:tplc="538460AA">
      <w:start w:val="1"/>
      <w:numFmt w:val="bullet"/>
      <w:lvlText w:val="o"/>
      <w:lvlJc w:val="left"/>
      <w:pPr>
        <w:ind w:left="1440" w:hanging="360"/>
      </w:pPr>
      <w:rPr>
        <w:rFonts w:ascii="Courier New" w:eastAsia="Courier New" w:hAnsi="Courier New" w:cs="Courier New" w:hint="default"/>
      </w:rPr>
    </w:lvl>
    <w:lvl w:ilvl="2" w:tplc="E97A79EC">
      <w:start w:val="1"/>
      <w:numFmt w:val="bullet"/>
      <w:lvlText w:val="§"/>
      <w:lvlJc w:val="left"/>
      <w:pPr>
        <w:ind w:left="2160" w:hanging="360"/>
      </w:pPr>
      <w:rPr>
        <w:rFonts w:ascii="Wingdings" w:eastAsia="Wingdings" w:hAnsi="Wingdings" w:cs="Wingdings" w:hint="default"/>
      </w:rPr>
    </w:lvl>
    <w:lvl w:ilvl="3" w:tplc="C442CF12">
      <w:start w:val="1"/>
      <w:numFmt w:val="bullet"/>
      <w:lvlText w:val="·"/>
      <w:lvlJc w:val="left"/>
      <w:pPr>
        <w:ind w:left="2880" w:hanging="360"/>
      </w:pPr>
      <w:rPr>
        <w:rFonts w:ascii="Symbol" w:eastAsia="Symbol" w:hAnsi="Symbol" w:cs="Symbol" w:hint="default"/>
      </w:rPr>
    </w:lvl>
    <w:lvl w:ilvl="4" w:tplc="7EA8574C">
      <w:start w:val="1"/>
      <w:numFmt w:val="bullet"/>
      <w:lvlText w:val="o"/>
      <w:lvlJc w:val="left"/>
      <w:pPr>
        <w:ind w:left="3600" w:hanging="360"/>
      </w:pPr>
      <w:rPr>
        <w:rFonts w:ascii="Courier New" w:eastAsia="Courier New" w:hAnsi="Courier New" w:cs="Courier New" w:hint="default"/>
      </w:rPr>
    </w:lvl>
    <w:lvl w:ilvl="5" w:tplc="5FA6C8A0">
      <w:start w:val="1"/>
      <w:numFmt w:val="bullet"/>
      <w:lvlText w:val="§"/>
      <w:lvlJc w:val="left"/>
      <w:pPr>
        <w:ind w:left="4320" w:hanging="360"/>
      </w:pPr>
      <w:rPr>
        <w:rFonts w:ascii="Wingdings" w:eastAsia="Wingdings" w:hAnsi="Wingdings" w:cs="Wingdings" w:hint="default"/>
      </w:rPr>
    </w:lvl>
    <w:lvl w:ilvl="6" w:tplc="49CA3B5C">
      <w:start w:val="1"/>
      <w:numFmt w:val="bullet"/>
      <w:lvlText w:val="·"/>
      <w:lvlJc w:val="left"/>
      <w:pPr>
        <w:ind w:left="5040" w:hanging="360"/>
      </w:pPr>
      <w:rPr>
        <w:rFonts w:ascii="Symbol" w:eastAsia="Symbol" w:hAnsi="Symbol" w:cs="Symbol" w:hint="default"/>
      </w:rPr>
    </w:lvl>
    <w:lvl w:ilvl="7" w:tplc="B8F89534">
      <w:start w:val="1"/>
      <w:numFmt w:val="bullet"/>
      <w:lvlText w:val="o"/>
      <w:lvlJc w:val="left"/>
      <w:pPr>
        <w:ind w:left="5760" w:hanging="360"/>
      </w:pPr>
      <w:rPr>
        <w:rFonts w:ascii="Courier New" w:eastAsia="Courier New" w:hAnsi="Courier New" w:cs="Courier New" w:hint="default"/>
      </w:rPr>
    </w:lvl>
    <w:lvl w:ilvl="8" w:tplc="6F906B8E">
      <w:start w:val="1"/>
      <w:numFmt w:val="bullet"/>
      <w:lvlText w:val="§"/>
      <w:lvlJc w:val="left"/>
      <w:pPr>
        <w:ind w:left="6480" w:hanging="360"/>
      </w:pPr>
      <w:rPr>
        <w:rFonts w:ascii="Wingdings" w:eastAsia="Wingdings" w:hAnsi="Wingdings" w:cs="Wingdings" w:hint="default"/>
      </w:rPr>
    </w:lvl>
  </w:abstractNum>
  <w:abstractNum w:abstractNumId="18">
    <w:nsid w:val="13A12C7F"/>
    <w:multiLevelType w:val="hybridMultilevel"/>
    <w:tmpl w:val="A23EA1E8"/>
    <w:lvl w:ilvl="0" w:tplc="CE342428">
      <w:start w:val="1"/>
      <w:numFmt w:val="bullet"/>
      <w:lvlText w:val="–"/>
      <w:lvlJc w:val="left"/>
      <w:pPr>
        <w:ind w:left="1429" w:hanging="360"/>
      </w:pPr>
      <w:rPr>
        <w:rFonts w:ascii="Arial" w:eastAsia="Arial" w:hAnsi="Arial" w:cs="Arial" w:hint="default"/>
      </w:rPr>
    </w:lvl>
    <w:lvl w:ilvl="1" w:tplc="41E09008">
      <w:start w:val="1"/>
      <w:numFmt w:val="bullet"/>
      <w:lvlText w:val="o"/>
      <w:lvlJc w:val="left"/>
      <w:pPr>
        <w:ind w:left="2149" w:hanging="360"/>
      </w:pPr>
      <w:rPr>
        <w:rFonts w:ascii="Courier New" w:eastAsia="Courier New" w:hAnsi="Courier New" w:cs="Courier New" w:hint="default"/>
      </w:rPr>
    </w:lvl>
    <w:lvl w:ilvl="2" w:tplc="F58E0140">
      <w:start w:val="1"/>
      <w:numFmt w:val="bullet"/>
      <w:lvlText w:val=""/>
      <w:lvlJc w:val="left"/>
      <w:pPr>
        <w:ind w:left="2869" w:hanging="360"/>
      </w:pPr>
      <w:rPr>
        <w:rFonts w:ascii="Wingdings" w:eastAsia="Wingdings" w:hAnsi="Wingdings" w:cs="Wingdings" w:hint="default"/>
      </w:rPr>
    </w:lvl>
    <w:lvl w:ilvl="3" w:tplc="3A9E4530">
      <w:start w:val="1"/>
      <w:numFmt w:val="bullet"/>
      <w:lvlText w:val=""/>
      <w:lvlJc w:val="left"/>
      <w:pPr>
        <w:ind w:left="3589" w:hanging="360"/>
      </w:pPr>
      <w:rPr>
        <w:rFonts w:ascii="Symbol" w:eastAsia="Symbol" w:hAnsi="Symbol" w:cs="Symbol" w:hint="default"/>
      </w:rPr>
    </w:lvl>
    <w:lvl w:ilvl="4" w:tplc="B5C01D04">
      <w:start w:val="1"/>
      <w:numFmt w:val="bullet"/>
      <w:lvlText w:val="o"/>
      <w:lvlJc w:val="left"/>
      <w:pPr>
        <w:ind w:left="4309" w:hanging="360"/>
      </w:pPr>
      <w:rPr>
        <w:rFonts w:ascii="Courier New" w:eastAsia="Courier New" w:hAnsi="Courier New" w:cs="Courier New" w:hint="default"/>
      </w:rPr>
    </w:lvl>
    <w:lvl w:ilvl="5" w:tplc="98E6250E">
      <w:start w:val="1"/>
      <w:numFmt w:val="bullet"/>
      <w:lvlText w:val=""/>
      <w:lvlJc w:val="left"/>
      <w:pPr>
        <w:ind w:left="5029" w:hanging="360"/>
      </w:pPr>
      <w:rPr>
        <w:rFonts w:ascii="Wingdings" w:eastAsia="Wingdings" w:hAnsi="Wingdings" w:cs="Wingdings" w:hint="default"/>
      </w:rPr>
    </w:lvl>
    <w:lvl w:ilvl="6" w:tplc="D474F8AC">
      <w:start w:val="1"/>
      <w:numFmt w:val="bullet"/>
      <w:lvlText w:val=""/>
      <w:lvlJc w:val="left"/>
      <w:pPr>
        <w:ind w:left="5749" w:hanging="360"/>
      </w:pPr>
      <w:rPr>
        <w:rFonts w:ascii="Symbol" w:eastAsia="Symbol" w:hAnsi="Symbol" w:cs="Symbol" w:hint="default"/>
      </w:rPr>
    </w:lvl>
    <w:lvl w:ilvl="7" w:tplc="8208FB3E">
      <w:start w:val="1"/>
      <w:numFmt w:val="bullet"/>
      <w:lvlText w:val="o"/>
      <w:lvlJc w:val="left"/>
      <w:pPr>
        <w:ind w:left="6469" w:hanging="360"/>
      </w:pPr>
      <w:rPr>
        <w:rFonts w:ascii="Courier New" w:eastAsia="Courier New" w:hAnsi="Courier New" w:cs="Courier New" w:hint="default"/>
      </w:rPr>
    </w:lvl>
    <w:lvl w:ilvl="8" w:tplc="FEFCADD8">
      <w:start w:val="1"/>
      <w:numFmt w:val="bullet"/>
      <w:lvlText w:val=""/>
      <w:lvlJc w:val="left"/>
      <w:pPr>
        <w:ind w:left="7189" w:hanging="360"/>
      </w:pPr>
      <w:rPr>
        <w:rFonts w:ascii="Wingdings" w:eastAsia="Wingdings" w:hAnsi="Wingdings" w:cs="Wingdings" w:hint="default"/>
      </w:rPr>
    </w:lvl>
  </w:abstractNum>
  <w:abstractNum w:abstractNumId="19">
    <w:nsid w:val="15227933"/>
    <w:multiLevelType w:val="hybridMultilevel"/>
    <w:tmpl w:val="BD8C4A3C"/>
    <w:lvl w:ilvl="0" w:tplc="46B27614">
      <w:start w:val="1"/>
      <w:numFmt w:val="bullet"/>
      <w:lvlText w:val="–"/>
      <w:lvlJc w:val="left"/>
      <w:pPr>
        <w:ind w:left="720" w:hanging="360"/>
      </w:pPr>
      <w:rPr>
        <w:rFonts w:ascii="Arial" w:eastAsia="Arial" w:hAnsi="Arial" w:cs="Arial"/>
      </w:rPr>
    </w:lvl>
    <w:lvl w:ilvl="1" w:tplc="6658DEE6">
      <w:start w:val="1"/>
      <w:numFmt w:val="bullet"/>
      <w:lvlText w:val="o"/>
      <w:lvlJc w:val="left"/>
      <w:pPr>
        <w:ind w:left="1440" w:hanging="360"/>
      </w:pPr>
      <w:rPr>
        <w:rFonts w:ascii="Courier New" w:eastAsia="Courier New" w:hAnsi="Courier New" w:cs="Courier New" w:hint="default"/>
      </w:rPr>
    </w:lvl>
    <w:lvl w:ilvl="2" w:tplc="A350CEBA">
      <w:start w:val="1"/>
      <w:numFmt w:val="bullet"/>
      <w:lvlText w:val="§"/>
      <w:lvlJc w:val="left"/>
      <w:pPr>
        <w:ind w:left="2160" w:hanging="360"/>
      </w:pPr>
      <w:rPr>
        <w:rFonts w:ascii="Wingdings" w:eastAsia="Wingdings" w:hAnsi="Wingdings" w:cs="Wingdings" w:hint="default"/>
      </w:rPr>
    </w:lvl>
    <w:lvl w:ilvl="3" w:tplc="5D027624">
      <w:start w:val="1"/>
      <w:numFmt w:val="bullet"/>
      <w:lvlText w:val="·"/>
      <w:lvlJc w:val="left"/>
      <w:pPr>
        <w:ind w:left="2880" w:hanging="360"/>
      </w:pPr>
      <w:rPr>
        <w:rFonts w:ascii="Symbol" w:eastAsia="Symbol" w:hAnsi="Symbol" w:cs="Symbol" w:hint="default"/>
      </w:rPr>
    </w:lvl>
    <w:lvl w:ilvl="4" w:tplc="B4640C96">
      <w:start w:val="1"/>
      <w:numFmt w:val="bullet"/>
      <w:lvlText w:val="o"/>
      <w:lvlJc w:val="left"/>
      <w:pPr>
        <w:ind w:left="3600" w:hanging="360"/>
      </w:pPr>
      <w:rPr>
        <w:rFonts w:ascii="Courier New" w:eastAsia="Courier New" w:hAnsi="Courier New" w:cs="Courier New" w:hint="default"/>
      </w:rPr>
    </w:lvl>
    <w:lvl w:ilvl="5" w:tplc="33D27104">
      <w:start w:val="1"/>
      <w:numFmt w:val="bullet"/>
      <w:lvlText w:val="§"/>
      <w:lvlJc w:val="left"/>
      <w:pPr>
        <w:ind w:left="4320" w:hanging="360"/>
      </w:pPr>
      <w:rPr>
        <w:rFonts w:ascii="Wingdings" w:eastAsia="Wingdings" w:hAnsi="Wingdings" w:cs="Wingdings" w:hint="default"/>
      </w:rPr>
    </w:lvl>
    <w:lvl w:ilvl="6" w:tplc="104455BE">
      <w:start w:val="1"/>
      <w:numFmt w:val="bullet"/>
      <w:lvlText w:val="·"/>
      <w:lvlJc w:val="left"/>
      <w:pPr>
        <w:ind w:left="5040" w:hanging="360"/>
      </w:pPr>
      <w:rPr>
        <w:rFonts w:ascii="Symbol" w:eastAsia="Symbol" w:hAnsi="Symbol" w:cs="Symbol" w:hint="default"/>
      </w:rPr>
    </w:lvl>
    <w:lvl w:ilvl="7" w:tplc="D7602C4E">
      <w:start w:val="1"/>
      <w:numFmt w:val="bullet"/>
      <w:lvlText w:val="o"/>
      <w:lvlJc w:val="left"/>
      <w:pPr>
        <w:ind w:left="5760" w:hanging="360"/>
      </w:pPr>
      <w:rPr>
        <w:rFonts w:ascii="Courier New" w:eastAsia="Courier New" w:hAnsi="Courier New" w:cs="Courier New" w:hint="default"/>
      </w:rPr>
    </w:lvl>
    <w:lvl w:ilvl="8" w:tplc="2B9A0A9A">
      <w:start w:val="1"/>
      <w:numFmt w:val="bullet"/>
      <w:lvlText w:val="§"/>
      <w:lvlJc w:val="left"/>
      <w:pPr>
        <w:ind w:left="6480" w:hanging="360"/>
      </w:pPr>
      <w:rPr>
        <w:rFonts w:ascii="Wingdings" w:eastAsia="Wingdings" w:hAnsi="Wingdings" w:cs="Wingdings" w:hint="default"/>
      </w:rPr>
    </w:lvl>
  </w:abstractNum>
  <w:abstractNum w:abstractNumId="20">
    <w:nsid w:val="164F7A4B"/>
    <w:multiLevelType w:val="hybridMultilevel"/>
    <w:tmpl w:val="B11E40EA"/>
    <w:lvl w:ilvl="0" w:tplc="B5E6EAEE">
      <w:start w:val="1"/>
      <w:numFmt w:val="bullet"/>
      <w:lvlText w:val="–"/>
      <w:lvlJc w:val="left"/>
      <w:pPr>
        <w:ind w:left="720" w:hanging="360"/>
      </w:pPr>
      <w:rPr>
        <w:rFonts w:ascii="Arial" w:eastAsia="Arial" w:hAnsi="Arial" w:cs="Arial"/>
      </w:rPr>
    </w:lvl>
    <w:lvl w:ilvl="1" w:tplc="2BEC7098">
      <w:start w:val="1"/>
      <w:numFmt w:val="bullet"/>
      <w:lvlText w:val="o"/>
      <w:lvlJc w:val="left"/>
      <w:pPr>
        <w:ind w:left="1440" w:hanging="360"/>
      </w:pPr>
      <w:rPr>
        <w:rFonts w:ascii="Courier New" w:eastAsia="Courier New" w:hAnsi="Courier New" w:cs="Courier New" w:hint="default"/>
      </w:rPr>
    </w:lvl>
    <w:lvl w:ilvl="2" w:tplc="FA38FD6E">
      <w:start w:val="1"/>
      <w:numFmt w:val="bullet"/>
      <w:lvlText w:val="§"/>
      <w:lvlJc w:val="left"/>
      <w:pPr>
        <w:ind w:left="2160" w:hanging="360"/>
      </w:pPr>
      <w:rPr>
        <w:rFonts w:ascii="Wingdings" w:eastAsia="Wingdings" w:hAnsi="Wingdings" w:cs="Wingdings" w:hint="default"/>
      </w:rPr>
    </w:lvl>
    <w:lvl w:ilvl="3" w:tplc="E81C2BB2">
      <w:start w:val="1"/>
      <w:numFmt w:val="bullet"/>
      <w:lvlText w:val="·"/>
      <w:lvlJc w:val="left"/>
      <w:pPr>
        <w:ind w:left="2880" w:hanging="360"/>
      </w:pPr>
      <w:rPr>
        <w:rFonts w:ascii="Symbol" w:eastAsia="Symbol" w:hAnsi="Symbol" w:cs="Symbol" w:hint="default"/>
      </w:rPr>
    </w:lvl>
    <w:lvl w:ilvl="4" w:tplc="9A6000C6">
      <w:start w:val="1"/>
      <w:numFmt w:val="bullet"/>
      <w:lvlText w:val="o"/>
      <w:lvlJc w:val="left"/>
      <w:pPr>
        <w:ind w:left="3600" w:hanging="360"/>
      </w:pPr>
      <w:rPr>
        <w:rFonts w:ascii="Courier New" w:eastAsia="Courier New" w:hAnsi="Courier New" w:cs="Courier New" w:hint="default"/>
      </w:rPr>
    </w:lvl>
    <w:lvl w:ilvl="5" w:tplc="FB2A1914">
      <w:start w:val="1"/>
      <w:numFmt w:val="bullet"/>
      <w:lvlText w:val="§"/>
      <w:lvlJc w:val="left"/>
      <w:pPr>
        <w:ind w:left="4320" w:hanging="360"/>
      </w:pPr>
      <w:rPr>
        <w:rFonts w:ascii="Wingdings" w:eastAsia="Wingdings" w:hAnsi="Wingdings" w:cs="Wingdings" w:hint="default"/>
      </w:rPr>
    </w:lvl>
    <w:lvl w:ilvl="6" w:tplc="82625C84">
      <w:start w:val="1"/>
      <w:numFmt w:val="bullet"/>
      <w:lvlText w:val="·"/>
      <w:lvlJc w:val="left"/>
      <w:pPr>
        <w:ind w:left="5040" w:hanging="360"/>
      </w:pPr>
      <w:rPr>
        <w:rFonts w:ascii="Symbol" w:eastAsia="Symbol" w:hAnsi="Symbol" w:cs="Symbol" w:hint="default"/>
      </w:rPr>
    </w:lvl>
    <w:lvl w:ilvl="7" w:tplc="98BA8A4E">
      <w:start w:val="1"/>
      <w:numFmt w:val="bullet"/>
      <w:lvlText w:val="o"/>
      <w:lvlJc w:val="left"/>
      <w:pPr>
        <w:ind w:left="5760" w:hanging="360"/>
      </w:pPr>
      <w:rPr>
        <w:rFonts w:ascii="Courier New" w:eastAsia="Courier New" w:hAnsi="Courier New" w:cs="Courier New" w:hint="default"/>
      </w:rPr>
    </w:lvl>
    <w:lvl w:ilvl="8" w:tplc="3A84692A">
      <w:start w:val="1"/>
      <w:numFmt w:val="bullet"/>
      <w:lvlText w:val="§"/>
      <w:lvlJc w:val="left"/>
      <w:pPr>
        <w:ind w:left="6480" w:hanging="360"/>
      </w:pPr>
      <w:rPr>
        <w:rFonts w:ascii="Wingdings" w:eastAsia="Wingdings" w:hAnsi="Wingdings" w:cs="Wingdings" w:hint="default"/>
      </w:rPr>
    </w:lvl>
  </w:abstractNum>
  <w:abstractNum w:abstractNumId="21">
    <w:nsid w:val="16AD10F5"/>
    <w:multiLevelType w:val="hybridMultilevel"/>
    <w:tmpl w:val="82C8AE96"/>
    <w:lvl w:ilvl="0" w:tplc="1ECCB9E6">
      <w:start w:val="1"/>
      <w:numFmt w:val="bullet"/>
      <w:lvlText w:val="–"/>
      <w:lvlJc w:val="left"/>
      <w:pPr>
        <w:ind w:left="720" w:hanging="360"/>
      </w:pPr>
      <w:rPr>
        <w:rFonts w:ascii="Arial" w:eastAsia="Arial" w:hAnsi="Arial" w:cs="Arial"/>
      </w:rPr>
    </w:lvl>
    <w:lvl w:ilvl="1" w:tplc="28D25890">
      <w:start w:val="1"/>
      <w:numFmt w:val="bullet"/>
      <w:lvlText w:val="o"/>
      <w:lvlJc w:val="left"/>
      <w:pPr>
        <w:ind w:left="1440" w:hanging="360"/>
      </w:pPr>
      <w:rPr>
        <w:rFonts w:ascii="Courier New" w:eastAsia="Courier New" w:hAnsi="Courier New" w:cs="Courier New" w:hint="default"/>
      </w:rPr>
    </w:lvl>
    <w:lvl w:ilvl="2" w:tplc="002E6536">
      <w:start w:val="1"/>
      <w:numFmt w:val="bullet"/>
      <w:lvlText w:val="§"/>
      <w:lvlJc w:val="left"/>
      <w:pPr>
        <w:ind w:left="2160" w:hanging="360"/>
      </w:pPr>
      <w:rPr>
        <w:rFonts w:ascii="Wingdings" w:eastAsia="Wingdings" w:hAnsi="Wingdings" w:cs="Wingdings" w:hint="default"/>
      </w:rPr>
    </w:lvl>
    <w:lvl w:ilvl="3" w:tplc="52BC7E70">
      <w:start w:val="1"/>
      <w:numFmt w:val="bullet"/>
      <w:lvlText w:val="·"/>
      <w:lvlJc w:val="left"/>
      <w:pPr>
        <w:ind w:left="2880" w:hanging="360"/>
      </w:pPr>
      <w:rPr>
        <w:rFonts w:ascii="Symbol" w:eastAsia="Symbol" w:hAnsi="Symbol" w:cs="Symbol" w:hint="default"/>
      </w:rPr>
    </w:lvl>
    <w:lvl w:ilvl="4" w:tplc="188E865C">
      <w:start w:val="1"/>
      <w:numFmt w:val="bullet"/>
      <w:lvlText w:val="o"/>
      <w:lvlJc w:val="left"/>
      <w:pPr>
        <w:ind w:left="3600" w:hanging="360"/>
      </w:pPr>
      <w:rPr>
        <w:rFonts w:ascii="Courier New" w:eastAsia="Courier New" w:hAnsi="Courier New" w:cs="Courier New" w:hint="default"/>
      </w:rPr>
    </w:lvl>
    <w:lvl w:ilvl="5" w:tplc="115A055A">
      <w:start w:val="1"/>
      <w:numFmt w:val="bullet"/>
      <w:lvlText w:val="§"/>
      <w:lvlJc w:val="left"/>
      <w:pPr>
        <w:ind w:left="4320" w:hanging="360"/>
      </w:pPr>
      <w:rPr>
        <w:rFonts w:ascii="Wingdings" w:eastAsia="Wingdings" w:hAnsi="Wingdings" w:cs="Wingdings" w:hint="default"/>
      </w:rPr>
    </w:lvl>
    <w:lvl w:ilvl="6" w:tplc="A08CCC34">
      <w:start w:val="1"/>
      <w:numFmt w:val="bullet"/>
      <w:lvlText w:val="·"/>
      <w:lvlJc w:val="left"/>
      <w:pPr>
        <w:ind w:left="5040" w:hanging="360"/>
      </w:pPr>
      <w:rPr>
        <w:rFonts w:ascii="Symbol" w:eastAsia="Symbol" w:hAnsi="Symbol" w:cs="Symbol" w:hint="default"/>
      </w:rPr>
    </w:lvl>
    <w:lvl w:ilvl="7" w:tplc="80EC6A6A">
      <w:start w:val="1"/>
      <w:numFmt w:val="bullet"/>
      <w:lvlText w:val="o"/>
      <w:lvlJc w:val="left"/>
      <w:pPr>
        <w:ind w:left="5760" w:hanging="360"/>
      </w:pPr>
      <w:rPr>
        <w:rFonts w:ascii="Courier New" w:eastAsia="Courier New" w:hAnsi="Courier New" w:cs="Courier New" w:hint="default"/>
      </w:rPr>
    </w:lvl>
    <w:lvl w:ilvl="8" w:tplc="E42E69C2">
      <w:start w:val="1"/>
      <w:numFmt w:val="bullet"/>
      <w:lvlText w:val="§"/>
      <w:lvlJc w:val="left"/>
      <w:pPr>
        <w:ind w:left="6480" w:hanging="360"/>
      </w:pPr>
      <w:rPr>
        <w:rFonts w:ascii="Wingdings" w:eastAsia="Wingdings" w:hAnsi="Wingdings" w:cs="Wingdings" w:hint="default"/>
      </w:rPr>
    </w:lvl>
  </w:abstractNum>
  <w:abstractNum w:abstractNumId="22">
    <w:nsid w:val="16D3609F"/>
    <w:multiLevelType w:val="hybridMultilevel"/>
    <w:tmpl w:val="DC22B978"/>
    <w:lvl w:ilvl="0" w:tplc="AEF6836E">
      <w:start w:val="1"/>
      <w:numFmt w:val="bullet"/>
      <w:lvlText w:val="–"/>
      <w:lvlJc w:val="left"/>
      <w:pPr>
        <w:ind w:left="720" w:hanging="360"/>
      </w:pPr>
      <w:rPr>
        <w:rFonts w:ascii="Arial" w:eastAsia="Arial" w:hAnsi="Arial" w:cs="Arial"/>
      </w:rPr>
    </w:lvl>
    <w:lvl w:ilvl="1" w:tplc="B0CC17B8">
      <w:start w:val="1"/>
      <w:numFmt w:val="bullet"/>
      <w:lvlText w:val="o"/>
      <w:lvlJc w:val="left"/>
      <w:pPr>
        <w:ind w:left="1440" w:hanging="360"/>
      </w:pPr>
      <w:rPr>
        <w:rFonts w:ascii="Courier New" w:eastAsia="Courier New" w:hAnsi="Courier New" w:cs="Courier New" w:hint="default"/>
      </w:rPr>
    </w:lvl>
    <w:lvl w:ilvl="2" w:tplc="6CB6E308">
      <w:start w:val="1"/>
      <w:numFmt w:val="bullet"/>
      <w:lvlText w:val="§"/>
      <w:lvlJc w:val="left"/>
      <w:pPr>
        <w:ind w:left="2160" w:hanging="360"/>
      </w:pPr>
      <w:rPr>
        <w:rFonts w:ascii="Wingdings" w:eastAsia="Wingdings" w:hAnsi="Wingdings" w:cs="Wingdings" w:hint="default"/>
      </w:rPr>
    </w:lvl>
    <w:lvl w:ilvl="3" w:tplc="64AC8DE4">
      <w:start w:val="1"/>
      <w:numFmt w:val="bullet"/>
      <w:lvlText w:val="·"/>
      <w:lvlJc w:val="left"/>
      <w:pPr>
        <w:ind w:left="2880" w:hanging="360"/>
      </w:pPr>
      <w:rPr>
        <w:rFonts w:ascii="Symbol" w:eastAsia="Symbol" w:hAnsi="Symbol" w:cs="Symbol" w:hint="default"/>
      </w:rPr>
    </w:lvl>
    <w:lvl w:ilvl="4" w:tplc="DBB67E1E">
      <w:start w:val="1"/>
      <w:numFmt w:val="bullet"/>
      <w:lvlText w:val="o"/>
      <w:lvlJc w:val="left"/>
      <w:pPr>
        <w:ind w:left="3600" w:hanging="360"/>
      </w:pPr>
      <w:rPr>
        <w:rFonts w:ascii="Courier New" w:eastAsia="Courier New" w:hAnsi="Courier New" w:cs="Courier New" w:hint="default"/>
      </w:rPr>
    </w:lvl>
    <w:lvl w:ilvl="5" w:tplc="C9708140">
      <w:start w:val="1"/>
      <w:numFmt w:val="bullet"/>
      <w:lvlText w:val="§"/>
      <w:lvlJc w:val="left"/>
      <w:pPr>
        <w:ind w:left="4320" w:hanging="360"/>
      </w:pPr>
      <w:rPr>
        <w:rFonts w:ascii="Wingdings" w:eastAsia="Wingdings" w:hAnsi="Wingdings" w:cs="Wingdings" w:hint="default"/>
      </w:rPr>
    </w:lvl>
    <w:lvl w:ilvl="6" w:tplc="0DE452B0">
      <w:start w:val="1"/>
      <w:numFmt w:val="bullet"/>
      <w:lvlText w:val="·"/>
      <w:lvlJc w:val="left"/>
      <w:pPr>
        <w:ind w:left="5040" w:hanging="360"/>
      </w:pPr>
      <w:rPr>
        <w:rFonts w:ascii="Symbol" w:eastAsia="Symbol" w:hAnsi="Symbol" w:cs="Symbol" w:hint="default"/>
      </w:rPr>
    </w:lvl>
    <w:lvl w:ilvl="7" w:tplc="942E2860">
      <w:start w:val="1"/>
      <w:numFmt w:val="bullet"/>
      <w:lvlText w:val="o"/>
      <w:lvlJc w:val="left"/>
      <w:pPr>
        <w:ind w:left="5760" w:hanging="360"/>
      </w:pPr>
      <w:rPr>
        <w:rFonts w:ascii="Courier New" w:eastAsia="Courier New" w:hAnsi="Courier New" w:cs="Courier New" w:hint="default"/>
      </w:rPr>
    </w:lvl>
    <w:lvl w:ilvl="8" w:tplc="54025C96">
      <w:start w:val="1"/>
      <w:numFmt w:val="bullet"/>
      <w:lvlText w:val="§"/>
      <w:lvlJc w:val="left"/>
      <w:pPr>
        <w:ind w:left="6480" w:hanging="360"/>
      </w:pPr>
      <w:rPr>
        <w:rFonts w:ascii="Wingdings" w:eastAsia="Wingdings" w:hAnsi="Wingdings" w:cs="Wingdings" w:hint="default"/>
      </w:rPr>
    </w:lvl>
  </w:abstractNum>
  <w:abstractNum w:abstractNumId="23">
    <w:nsid w:val="177E6E9F"/>
    <w:multiLevelType w:val="hybridMultilevel"/>
    <w:tmpl w:val="55CCDD10"/>
    <w:lvl w:ilvl="0" w:tplc="2918D25C">
      <w:start w:val="1"/>
      <w:numFmt w:val="decimal"/>
      <w:lvlText w:val="%1."/>
      <w:lvlJc w:val="right"/>
      <w:pPr>
        <w:ind w:left="709" w:hanging="360"/>
      </w:pPr>
    </w:lvl>
    <w:lvl w:ilvl="1" w:tplc="BFA2561C">
      <w:start w:val="1"/>
      <w:numFmt w:val="lowerLetter"/>
      <w:lvlText w:val="%2."/>
      <w:lvlJc w:val="left"/>
      <w:pPr>
        <w:ind w:left="1429" w:hanging="360"/>
      </w:pPr>
    </w:lvl>
    <w:lvl w:ilvl="2" w:tplc="CB4CAB50">
      <w:start w:val="1"/>
      <w:numFmt w:val="lowerRoman"/>
      <w:lvlText w:val="%3."/>
      <w:lvlJc w:val="right"/>
      <w:pPr>
        <w:ind w:left="2149" w:hanging="180"/>
      </w:pPr>
    </w:lvl>
    <w:lvl w:ilvl="3" w:tplc="A9743300">
      <w:start w:val="1"/>
      <w:numFmt w:val="decimal"/>
      <w:lvlText w:val="%4."/>
      <w:lvlJc w:val="left"/>
      <w:pPr>
        <w:ind w:left="2869" w:hanging="360"/>
      </w:pPr>
    </w:lvl>
    <w:lvl w:ilvl="4" w:tplc="E224FE80">
      <w:start w:val="1"/>
      <w:numFmt w:val="lowerLetter"/>
      <w:lvlText w:val="%5."/>
      <w:lvlJc w:val="left"/>
      <w:pPr>
        <w:ind w:left="3589" w:hanging="360"/>
      </w:pPr>
    </w:lvl>
    <w:lvl w:ilvl="5" w:tplc="1598B0C0">
      <w:start w:val="1"/>
      <w:numFmt w:val="lowerRoman"/>
      <w:lvlText w:val="%6."/>
      <w:lvlJc w:val="right"/>
      <w:pPr>
        <w:ind w:left="4309" w:hanging="180"/>
      </w:pPr>
    </w:lvl>
    <w:lvl w:ilvl="6" w:tplc="20FEFCF6">
      <w:start w:val="1"/>
      <w:numFmt w:val="decimal"/>
      <w:lvlText w:val="%7."/>
      <w:lvlJc w:val="left"/>
      <w:pPr>
        <w:ind w:left="5029" w:hanging="360"/>
      </w:pPr>
    </w:lvl>
    <w:lvl w:ilvl="7" w:tplc="ECEA6466">
      <w:start w:val="1"/>
      <w:numFmt w:val="lowerLetter"/>
      <w:lvlText w:val="%8."/>
      <w:lvlJc w:val="left"/>
      <w:pPr>
        <w:ind w:left="5749" w:hanging="360"/>
      </w:pPr>
    </w:lvl>
    <w:lvl w:ilvl="8" w:tplc="FA1833EC">
      <w:start w:val="1"/>
      <w:numFmt w:val="lowerRoman"/>
      <w:lvlText w:val="%9."/>
      <w:lvlJc w:val="right"/>
      <w:pPr>
        <w:ind w:left="6469" w:hanging="180"/>
      </w:pPr>
    </w:lvl>
  </w:abstractNum>
  <w:abstractNum w:abstractNumId="24">
    <w:nsid w:val="17C218E8"/>
    <w:multiLevelType w:val="hybridMultilevel"/>
    <w:tmpl w:val="827415B8"/>
    <w:lvl w:ilvl="0" w:tplc="9D5A0B30">
      <w:start w:val="1"/>
      <w:numFmt w:val="decimal"/>
      <w:lvlText w:val="%1."/>
      <w:lvlJc w:val="right"/>
      <w:pPr>
        <w:ind w:left="1418" w:hanging="360"/>
      </w:pPr>
    </w:lvl>
    <w:lvl w:ilvl="1" w:tplc="856E57B8">
      <w:start w:val="1"/>
      <w:numFmt w:val="lowerLetter"/>
      <w:lvlText w:val="%2."/>
      <w:lvlJc w:val="left"/>
      <w:pPr>
        <w:ind w:left="2138" w:hanging="360"/>
      </w:pPr>
    </w:lvl>
    <w:lvl w:ilvl="2" w:tplc="8A242626">
      <w:start w:val="1"/>
      <w:numFmt w:val="lowerRoman"/>
      <w:lvlText w:val="%3."/>
      <w:lvlJc w:val="right"/>
      <w:pPr>
        <w:ind w:left="2858" w:hanging="180"/>
      </w:pPr>
    </w:lvl>
    <w:lvl w:ilvl="3" w:tplc="0180F678">
      <w:start w:val="1"/>
      <w:numFmt w:val="decimal"/>
      <w:lvlText w:val="%4."/>
      <w:lvlJc w:val="left"/>
      <w:pPr>
        <w:ind w:left="3578" w:hanging="360"/>
      </w:pPr>
    </w:lvl>
    <w:lvl w:ilvl="4" w:tplc="07FA3F58">
      <w:start w:val="1"/>
      <w:numFmt w:val="lowerLetter"/>
      <w:lvlText w:val="%5."/>
      <w:lvlJc w:val="left"/>
      <w:pPr>
        <w:ind w:left="4298" w:hanging="360"/>
      </w:pPr>
    </w:lvl>
    <w:lvl w:ilvl="5" w:tplc="7E285876">
      <w:start w:val="1"/>
      <w:numFmt w:val="lowerRoman"/>
      <w:lvlText w:val="%6."/>
      <w:lvlJc w:val="right"/>
      <w:pPr>
        <w:ind w:left="5018" w:hanging="180"/>
      </w:pPr>
    </w:lvl>
    <w:lvl w:ilvl="6" w:tplc="027A76F8">
      <w:start w:val="1"/>
      <w:numFmt w:val="decimal"/>
      <w:lvlText w:val="%7."/>
      <w:lvlJc w:val="left"/>
      <w:pPr>
        <w:ind w:left="5738" w:hanging="360"/>
      </w:pPr>
    </w:lvl>
    <w:lvl w:ilvl="7" w:tplc="6A7A6402">
      <w:start w:val="1"/>
      <w:numFmt w:val="lowerLetter"/>
      <w:lvlText w:val="%8."/>
      <w:lvlJc w:val="left"/>
      <w:pPr>
        <w:ind w:left="6458" w:hanging="360"/>
      </w:pPr>
    </w:lvl>
    <w:lvl w:ilvl="8" w:tplc="2B48F1C6">
      <w:start w:val="1"/>
      <w:numFmt w:val="lowerRoman"/>
      <w:lvlText w:val="%9."/>
      <w:lvlJc w:val="right"/>
      <w:pPr>
        <w:ind w:left="7178" w:hanging="180"/>
      </w:pPr>
    </w:lvl>
  </w:abstractNum>
  <w:abstractNum w:abstractNumId="25">
    <w:nsid w:val="18F64FDE"/>
    <w:multiLevelType w:val="hybridMultilevel"/>
    <w:tmpl w:val="994C7CC0"/>
    <w:lvl w:ilvl="0" w:tplc="6EC8779E">
      <w:start w:val="1"/>
      <w:numFmt w:val="bullet"/>
      <w:lvlText w:val="–"/>
      <w:lvlJc w:val="left"/>
      <w:pPr>
        <w:ind w:left="720" w:hanging="360"/>
      </w:pPr>
      <w:rPr>
        <w:rFonts w:ascii="Arial" w:eastAsia="Arial" w:hAnsi="Arial" w:cs="Arial"/>
      </w:rPr>
    </w:lvl>
    <w:lvl w:ilvl="1" w:tplc="759C776E">
      <w:start w:val="1"/>
      <w:numFmt w:val="bullet"/>
      <w:lvlText w:val="o"/>
      <w:lvlJc w:val="left"/>
      <w:pPr>
        <w:ind w:left="1440" w:hanging="360"/>
      </w:pPr>
      <w:rPr>
        <w:rFonts w:ascii="Courier New" w:eastAsia="Courier New" w:hAnsi="Courier New" w:cs="Courier New" w:hint="default"/>
      </w:rPr>
    </w:lvl>
    <w:lvl w:ilvl="2" w:tplc="25B27A4A">
      <w:start w:val="1"/>
      <w:numFmt w:val="bullet"/>
      <w:lvlText w:val="§"/>
      <w:lvlJc w:val="left"/>
      <w:pPr>
        <w:ind w:left="2160" w:hanging="360"/>
      </w:pPr>
      <w:rPr>
        <w:rFonts w:ascii="Wingdings" w:eastAsia="Wingdings" w:hAnsi="Wingdings" w:cs="Wingdings" w:hint="default"/>
      </w:rPr>
    </w:lvl>
    <w:lvl w:ilvl="3" w:tplc="E294DAA2">
      <w:start w:val="1"/>
      <w:numFmt w:val="bullet"/>
      <w:lvlText w:val="·"/>
      <w:lvlJc w:val="left"/>
      <w:pPr>
        <w:ind w:left="2880" w:hanging="360"/>
      </w:pPr>
      <w:rPr>
        <w:rFonts w:ascii="Symbol" w:eastAsia="Symbol" w:hAnsi="Symbol" w:cs="Symbol" w:hint="default"/>
      </w:rPr>
    </w:lvl>
    <w:lvl w:ilvl="4" w:tplc="3C12EBE4">
      <w:start w:val="1"/>
      <w:numFmt w:val="bullet"/>
      <w:lvlText w:val="o"/>
      <w:lvlJc w:val="left"/>
      <w:pPr>
        <w:ind w:left="3600" w:hanging="360"/>
      </w:pPr>
      <w:rPr>
        <w:rFonts w:ascii="Courier New" w:eastAsia="Courier New" w:hAnsi="Courier New" w:cs="Courier New" w:hint="default"/>
      </w:rPr>
    </w:lvl>
    <w:lvl w:ilvl="5" w:tplc="0A1AE07A">
      <w:start w:val="1"/>
      <w:numFmt w:val="bullet"/>
      <w:lvlText w:val="§"/>
      <w:lvlJc w:val="left"/>
      <w:pPr>
        <w:ind w:left="4320" w:hanging="360"/>
      </w:pPr>
      <w:rPr>
        <w:rFonts w:ascii="Wingdings" w:eastAsia="Wingdings" w:hAnsi="Wingdings" w:cs="Wingdings" w:hint="default"/>
      </w:rPr>
    </w:lvl>
    <w:lvl w:ilvl="6" w:tplc="595C74EA">
      <w:start w:val="1"/>
      <w:numFmt w:val="bullet"/>
      <w:lvlText w:val="·"/>
      <w:lvlJc w:val="left"/>
      <w:pPr>
        <w:ind w:left="5040" w:hanging="360"/>
      </w:pPr>
      <w:rPr>
        <w:rFonts w:ascii="Symbol" w:eastAsia="Symbol" w:hAnsi="Symbol" w:cs="Symbol" w:hint="default"/>
      </w:rPr>
    </w:lvl>
    <w:lvl w:ilvl="7" w:tplc="A47246CE">
      <w:start w:val="1"/>
      <w:numFmt w:val="bullet"/>
      <w:lvlText w:val="o"/>
      <w:lvlJc w:val="left"/>
      <w:pPr>
        <w:ind w:left="5760" w:hanging="360"/>
      </w:pPr>
      <w:rPr>
        <w:rFonts w:ascii="Courier New" w:eastAsia="Courier New" w:hAnsi="Courier New" w:cs="Courier New" w:hint="default"/>
      </w:rPr>
    </w:lvl>
    <w:lvl w:ilvl="8" w:tplc="C2F6037E">
      <w:start w:val="1"/>
      <w:numFmt w:val="bullet"/>
      <w:lvlText w:val="§"/>
      <w:lvlJc w:val="left"/>
      <w:pPr>
        <w:ind w:left="6480" w:hanging="360"/>
      </w:pPr>
      <w:rPr>
        <w:rFonts w:ascii="Wingdings" w:eastAsia="Wingdings" w:hAnsi="Wingdings" w:cs="Wingdings" w:hint="default"/>
      </w:rPr>
    </w:lvl>
  </w:abstractNum>
  <w:abstractNum w:abstractNumId="26">
    <w:nsid w:val="19EE0167"/>
    <w:multiLevelType w:val="hybridMultilevel"/>
    <w:tmpl w:val="DE96E25E"/>
    <w:lvl w:ilvl="0" w:tplc="0419000F">
      <w:start w:val="1"/>
      <w:numFmt w:val="decimal"/>
      <w:lvlText w:val="%1."/>
      <w:lvlJc w:val="left"/>
      <w:pPr>
        <w:ind w:left="644"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19F03873"/>
    <w:multiLevelType w:val="hybridMultilevel"/>
    <w:tmpl w:val="9ABCC2A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1A7C463A"/>
    <w:multiLevelType w:val="hybridMultilevel"/>
    <w:tmpl w:val="AEE4FBA2"/>
    <w:lvl w:ilvl="0" w:tplc="2C7E6B74">
      <w:start w:val="1"/>
      <w:numFmt w:val="bullet"/>
      <w:lvlText w:val="–"/>
      <w:lvlJc w:val="left"/>
      <w:pPr>
        <w:ind w:left="720" w:hanging="360"/>
      </w:pPr>
      <w:rPr>
        <w:rFonts w:ascii="Arial" w:eastAsia="Arial" w:hAnsi="Arial" w:cs="Arial"/>
      </w:rPr>
    </w:lvl>
    <w:lvl w:ilvl="1" w:tplc="C172DE5A">
      <w:start w:val="1"/>
      <w:numFmt w:val="bullet"/>
      <w:lvlText w:val="o"/>
      <w:lvlJc w:val="left"/>
      <w:pPr>
        <w:ind w:left="1440" w:hanging="360"/>
      </w:pPr>
      <w:rPr>
        <w:rFonts w:ascii="Courier New" w:eastAsia="Courier New" w:hAnsi="Courier New" w:cs="Courier New" w:hint="default"/>
      </w:rPr>
    </w:lvl>
    <w:lvl w:ilvl="2" w:tplc="ABEACA46">
      <w:start w:val="1"/>
      <w:numFmt w:val="bullet"/>
      <w:lvlText w:val="§"/>
      <w:lvlJc w:val="left"/>
      <w:pPr>
        <w:ind w:left="2160" w:hanging="360"/>
      </w:pPr>
      <w:rPr>
        <w:rFonts w:ascii="Wingdings" w:eastAsia="Wingdings" w:hAnsi="Wingdings" w:cs="Wingdings" w:hint="default"/>
      </w:rPr>
    </w:lvl>
    <w:lvl w:ilvl="3" w:tplc="584E0E5E">
      <w:start w:val="1"/>
      <w:numFmt w:val="bullet"/>
      <w:lvlText w:val="·"/>
      <w:lvlJc w:val="left"/>
      <w:pPr>
        <w:ind w:left="2880" w:hanging="360"/>
      </w:pPr>
      <w:rPr>
        <w:rFonts w:ascii="Symbol" w:eastAsia="Symbol" w:hAnsi="Symbol" w:cs="Symbol" w:hint="default"/>
      </w:rPr>
    </w:lvl>
    <w:lvl w:ilvl="4" w:tplc="8E90A448">
      <w:start w:val="1"/>
      <w:numFmt w:val="bullet"/>
      <w:lvlText w:val="o"/>
      <w:lvlJc w:val="left"/>
      <w:pPr>
        <w:ind w:left="3600" w:hanging="360"/>
      </w:pPr>
      <w:rPr>
        <w:rFonts w:ascii="Courier New" w:eastAsia="Courier New" w:hAnsi="Courier New" w:cs="Courier New" w:hint="default"/>
      </w:rPr>
    </w:lvl>
    <w:lvl w:ilvl="5" w:tplc="E9D883B0">
      <w:start w:val="1"/>
      <w:numFmt w:val="bullet"/>
      <w:lvlText w:val="§"/>
      <w:lvlJc w:val="left"/>
      <w:pPr>
        <w:ind w:left="4320" w:hanging="360"/>
      </w:pPr>
      <w:rPr>
        <w:rFonts w:ascii="Wingdings" w:eastAsia="Wingdings" w:hAnsi="Wingdings" w:cs="Wingdings" w:hint="default"/>
      </w:rPr>
    </w:lvl>
    <w:lvl w:ilvl="6" w:tplc="90241A74">
      <w:start w:val="1"/>
      <w:numFmt w:val="bullet"/>
      <w:lvlText w:val="·"/>
      <w:lvlJc w:val="left"/>
      <w:pPr>
        <w:ind w:left="5040" w:hanging="360"/>
      </w:pPr>
      <w:rPr>
        <w:rFonts w:ascii="Symbol" w:eastAsia="Symbol" w:hAnsi="Symbol" w:cs="Symbol" w:hint="default"/>
      </w:rPr>
    </w:lvl>
    <w:lvl w:ilvl="7" w:tplc="345873BA">
      <w:start w:val="1"/>
      <w:numFmt w:val="bullet"/>
      <w:lvlText w:val="o"/>
      <w:lvlJc w:val="left"/>
      <w:pPr>
        <w:ind w:left="5760" w:hanging="360"/>
      </w:pPr>
      <w:rPr>
        <w:rFonts w:ascii="Courier New" w:eastAsia="Courier New" w:hAnsi="Courier New" w:cs="Courier New" w:hint="default"/>
      </w:rPr>
    </w:lvl>
    <w:lvl w:ilvl="8" w:tplc="3F66AFA0">
      <w:start w:val="1"/>
      <w:numFmt w:val="bullet"/>
      <w:lvlText w:val="§"/>
      <w:lvlJc w:val="left"/>
      <w:pPr>
        <w:ind w:left="6480" w:hanging="360"/>
      </w:pPr>
      <w:rPr>
        <w:rFonts w:ascii="Wingdings" w:eastAsia="Wingdings" w:hAnsi="Wingdings" w:cs="Wingdings" w:hint="default"/>
      </w:rPr>
    </w:lvl>
  </w:abstractNum>
  <w:abstractNum w:abstractNumId="29">
    <w:nsid w:val="1B75096F"/>
    <w:multiLevelType w:val="hybridMultilevel"/>
    <w:tmpl w:val="FB741BD6"/>
    <w:lvl w:ilvl="0" w:tplc="383CBE7A">
      <w:start w:val="1"/>
      <w:numFmt w:val="decimal"/>
      <w:lvlText w:val="%1."/>
      <w:lvlJc w:val="right"/>
      <w:pPr>
        <w:ind w:left="1057" w:hanging="360"/>
      </w:pPr>
    </w:lvl>
    <w:lvl w:ilvl="1" w:tplc="FCF0273A">
      <w:start w:val="1"/>
      <w:numFmt w:val="lowerLetter"/>
      <w:lvlText w:val="%2."/>
      <w:lvlJc w:val="left"/>
      <w:pPr>
        <w:ind w:left="1777" w:hanging="360"/>
      </w:pPr>
    </w:lvl>
    <w:lvl w:ilvl="2" w:tplc="46CC6414">
      <w:start w:val="1"/>
      <w:numFmt w:val="lowerRoman"/>
      <w:lvlText w:val="%3."/>
      <w:lvlJc w:val="right"/>
      <w:pPr>
        <w:ind w:left="2497" w:hanging="180"/>
      </w:pPr>
    </w:lvl>
    <w:lvl w:ilvl="3" w:tplc="C4F0B414">
      <w:start w:val="1"/>
      <w:numFmt w:val="decimal"/>
      <w:lvlText w:val="%4."/>
      <w:lvlJc w:val="left"/>
      <w:pPr>
        <w:ind w:left="3217" w:hanging="360"/>
      </w:pPr>
    </w:lvl>
    <w:lvl w:ilvl="4" w:tplc="FC0639BE">
      <w:start w:val="1"/>
      <w:numFmt w:val="lowerLetter"/>
      <w:lvlText w:val="%5."/>
      <w:lvlJc w:val="left"/>
      <w:pPr>
        <w:ind w:left="3937" w:hanging="360"/>
      </w:pPr>
    </w:lvl>
    <w:lvl w:ilvl="5" w:tplc="8850F0E4">
      <w:start w:val="1"/>
      <w:numFmt w:val="lowerRoman"/>
      <w:lvlText w:val="%6."/>
      <w:lvlJc w:val="right"/>
      <w:pPr>
        <w:ind w:left="4657" w:hanging="180"/>
      </w:pPr>
    </w:lvl>
    <w:lvl w:ilvl="6" w:tplc="FA563998">
      <w:start w:val="1"/>
      <w:numFmt w:val="decimal"/>
      <w:lvlText w:val="%7."/>
      <w:lvlJc w:val="left"/>
      <w:pPr>
        <w:ind w:left="5377" w:hanging="360"/>
      </w:pPr>
    </w:lvl>
    <w:lvl w:ilvl="7" w:tplc="FD0AF420">
      <w:start w:val="1"/>
      <w:numFmt w:val="lowerLetter"/>
      <w:lvlText w:val="%8."/>
      <w:lvlJc w:val="left"/>
      <w:pPr>
        <w:ind w:left="6097" w:hanging="360"/>
      </w:pPr>
    </w:lvl>
    <w:lvl w:ilvl="8" w:tplc="1A8A8E54">
      <w:start w:val="1"/>
      <w:numFmt w:val="lowerRoman"/>
      <w:lvlText w:val="%9."/>
      <w:lvlJc w:val="right"/>
      <w:pPr>
        <w:ind w:left="6817" w:hanging="180"/>
      </w:pPr>
    </w:lvl>
  </w:abstractNum>
  <w:abstractNum w:abstractNumId="30">
    <w:nsid w:val="1CEC2DC8"/>
    <w:multiLevelType w:val="hybridMultilevel"/>
    <w:tmpl w:val="2B1078F6"/>
    <w:lvl w:ilvl="0" w:tplc="1BDAFB76">
      <w:start w:val="1"/>
      <w:numFmt w:val="decimal"/>
      <w:lvlText w:val="%1."/>
      <w:lvlJc w:val="left"/>
      <w:pPr>
        <w:ind w:left="709" w:hanging="360"/>
      </w:pPr>
    </w:lvl>
    <w:lvl w:ilvl="1" w:tplc="A238C9BE">
      <w:start w:val="1"/>
      <w:numFmt w:val="lowerLetter"/>
      <w:lvlText w:val="%2."/>
      <w:lvlJc w:val="left"/>
      <w:pPr>
        <w:ind w:left="1429" w:hanging="360"/>
      </w:pPr>
    </w:lvl>
    <w:lvl w:ilvl="2" w:tplc="F8EC2A4A">
      <w:start w:val="1"/>
      <w:numFmt w:val="lowerRoman"/>
      <w:lvlText w:val="%3."/>
      <w:lvlJc w:val="right"/>
      <w:pPr>
        <w:ind w:left="2149" w:hanging="180"/>
      </w:pPr>
    </w:lvl>
    <w:lvl w:ilvl="3" w:tplc="A45840D6">
      <w:start w:val="1"/>
      <w:numFmt w:val="decimal"/>
      <w:lvlText w:val="%4."/>
      <w:lvlJc w:val="left"/>
      <w:pPr>
        <w:ind w:left="2869" w:hanging="360"/>
      </w:pPr>
    </w:lvl>
    <w:lvl w:ilvl="4" w:tplc="A6823784">
      <w:start w:val="1"/>
      <w:numFmt w:val="lowerLetter"/>
      <w:lvlText w:val="%5."/>
      <w:lvlJc w:val="left"/>
      <w:pPr>
        <w:ind w:left="3589" w:hanging="360"/>
      </w:pPr>
    </w:lvl>
    <w:lvl w:ilvl="5" w:tplc="37C01AD8">
      <w:start w:val="1"/>
      <w:numFmt w:val="lowerRoman"/>
      <w:lvlText w:val="%6."/>
      <w:lvlJc w:val="right"/>
      <w:pPr>
        <w:ind w:left="4309" w:hanging="180"/>
      </w:pPr>
    </w:lvl>
    <w:lvl w:ilvl="6" w:tplc="2862992E">
      <w:start w:val="1"/>
      <w:numFmt w:val="decimal"/>
      <w:lvlText w:val="%7."/>
      <w:lvlJc w:val="left"/>
      <w:pPr>
        <w:ind w:left="5029" w:hanging="360"/>
      </w:pPr>
    </w:lvl>
    <w:lvl w:ilvl="7" w:tplc="FE98CD88">
      <w:start w:val="1"/>
      <w:numFmt w:val="lowerLetter"/>
      <w:lvlText w:val="%8."/>
      <w:lvlJc w:val="left"/>
      <w:pPr>
        <w:ind w:left="5749" w:hanging="360"/>
      </w:pPr>
    </w:lvl>
    <w:lvl w:ilvl="8" w:tplc="4F2EF3C4">
      <w:start w:val="1"/>
      <w:numFmt w:val="lowerRoman"/>
      <w:lvlText w:val="%9."/>
      <w:lvlJc w:val="right"/>
      <w:pPr>
        <w:ind w:left="6469" w:hanging="180"/>
      </w:pPr>
    </w:lvl>
  </w:abstractNum>
  <w:abstractNum w:abstractNumId="31">
    <w:nsid w:val="1CF22D4B"/>
    <w:multiLevelType w:val="hybridMultilevel"/>
    <w:tmpl w:val="84B2140C"/>
    <w:lvl w:ilvl="0" w:tplc="8AB6F426">
      <w:start w:val="1"/>
      <w:numFmt w:val="bullet"/>
      <w:lvlText w:val="–"/>
      <w:lvlJc w:val="left"/>
      <w:pPr>
        <w:ind w:left="709" w:hanging="360"/>
      </w:pPr>
      <w:rPr>
        <w:rFonts w:ascii="Arial" w:eastAsia="Arial" w:hAnsi="Arial" w:cs="Arial"/>
      </w:rPr>
    </w:lvl>
    <w:lvl w:ilvl="1" w:tplc="12E67924">
      <w:start w:val="1"/>
      <w:numFmt w:val="bullet"/>
      <w:lvlText w:val="o"/>
      <w:lvlJc w:val="left"/>
      <w:pPr>
        <w:ind w:left="1429" w:hanging="360"/>
      </w:pPr>
      <w:rPr>
        <w:rFonts w:ascii="Courier New" w:eastAsia="Courier New" w:hAnsi="Courier New" w:cs="Courier New" w:hint="default"/>
      </w:rPr>
    </w:lvl>
    <w:lvl w:ilvl="2" w:tplc="CCF42BD8">
      <w:start w:val="1"/>
      <w:numFmt w:val="bullet"/>
      <w:lvlText w:val="§"/>
      <w:lvlJc w:val="left"/>
      <w:pPr>
        <w:ind w:left="2149" w:hanging="360"/>
      </w:pPr>
      <w:rPr>
        <w:rFonts w:ascii="Wingdings" w:eastAsia="Wingdings" w:hAnsi="Wingdings" w:cs="Wingdings" w:hint="default"/>
      </w:rPr>
    </w:lvl>
    <w:lvl w:ilvl="3" w:tplc="8618E5C8">
      <w:start w:val="1"/>
      <w:numFmt w:val="bullet"/>
      <w:lvlText w:val="·"/>
      <w:lvlJc w:val="left"/>
      <w:pPr>
        <w:ind w:left="2869" w:hanging="360"/>
      </w:pPr>
      <w:rPr>
        <w:rFonts w:ascii="Symbol" w:eastAsia="Symbol" w:hAnsi="Symbol" w:cs="Symbol" w:hint="default"/>
      </w:rPr>
    </w:lvl>
    <w:lvl w:ilvl="4" w:tplc="A7BAF9F4">
      <w:start w:val="1"/>
      <w:numFmt w:val="bullet"/>
      <w:lvlText w:val="o"/>
      <w:lvlJc w:val="left"/>
      <w:pPr>
        <w:ind w:left="3589" w:hanging="360"/>
      </w:pPr>
      <w:rPr>
        <w:rFonts w:ascii="Courier New" w:eastAsia="Courier New" w:hAnsi="Courier New" w:cs="Courier New" w:hint="default"/>
      </w:rPr>
    </w:lvl>
    <w:lvl w:ilvl="5" w:tplc="B5062152">
      <w:start w:val="1"/>
      <w:numFmt w:val="bullet"/>
      <w:lvlText w:val="§"/>
      <w:lvlJc w:val="left"/>
      <w:pPr>
        <w:ind w:left="4309" w:hanging="360"/>
      </w:pPr>
      <w:rPr>
        <w:rFonts w:ascii="Wingdings" w:eastAsia="Wingdings" w:hAnsi="Wingdings" w:cs="Wingdings" w:hint="default"/>
      </w:rPr>
    </w:lvl>
    <w:lvl w:ilvl="6" w:tplc="983EF652">
      <w:start w:val="1"/>
      <w:numFmt w:val="bullet"/>
      <w:lvlText w:val="·"/>
      <w:lvlJc w:val="left"/>
      <w:pPr>
        <w:ind w:left="5029" w:hanging="360"/>
      </w:pPr>
      <w:rPr>
        <w:rFonts w:ascii="Symbol" w:eastAsia="Symbol" w:hAnsi="Symbol" w:cs="Symbol" w:hint="default"/>
      </w:rPr>
    </w:lvl>
    <w:lvl w:ilvl="7" w:tplc="5BBA65A8">
      <w:start w:val="1"/>
      <w:numFmt w:val="bullet"/>
      <w:lvlText w:val="o"/>
      <w:lvlJc w:val="left"/>
      <w:pPr>
        <w:ind w:left="5749" w:hanging="360"/>
      </w:pPr>
      <w:rPr>
        <w:rFonts w:ascii="Courier New" w:eastAsia="Courier New" w:hAnsi="Courier New" w:cs="Courier New" w:hint="default"/>
      </w:rPr>
    </w:lvl>
    <w:lvl w:ilvl="8" w:tplc="344E1BC2">
      <w:start w:val="1"/>
      <w:numFmt w:val="bullet"/>
      <w:lvlText w:val="§"/>
      <w:lvlJc w:val="left"/>
      <w:pPr>
        <w:ind w:left="6469" w:hanging="360"/>
      </w:pPr>
      <w:rPr>
        <w:rFonts w:ascii="Wingdings" w:eastAsia="Wingdings" w:hAnsi="Wingdings" w:cs="Wingdings" w:hint="default"/>
      </w:rPr>
    </w:lvl>
  </w:abstractNum>
  <w:abstractNum w:abstractNumId="32">
    <w:nsid w:val="1DA50C85"/>
    <w:multiLevelType w:val="hybridMultilevel"/>
    <w:tmpl w:val="E85230C4"/>
    <w:lvl w:ilvl="0" w:tplc="1B1EC612">
      <w:start w:val="1"/>
      <w:numFmt w:val="bullet"/>
      <w:lvlText w:val="–"/>
      <w:lvlJc w:val="left"/>
      <w:pPr>
        <w:ind w:left="720" w:hanging="360"/>
      </w:pPr>
      <w:rPr>
        <w:rFonts w:ascii="Arial" w:eastAsia="Arial" w:hAnsi="Arial" w:cs="Arial"/>
      </w:rPr>
    </w:lvl>
    <w:lvl w:ilvl="1" w:tplc="2EAE26D2">
      <w:start w:val="1"/>
      <w:numFmt w:val="bullet"/>
      <w:lvlText w:val="o"/>
      <w:lvlJc w:val="left"/>
      <w:pPr>
        <w:ind w:left="1440" w:hanging="360"/>
      </w:pPr>
      <w:rPr>
        <w:rFonts w:ascii="Courier New" w:eastAsia="Courier New" w:hAnsi="Courier New" w:cs="Courier New" w:hint="default"/>
      </w:rPr>
    </w:lvl>
    <w:lvl w:ilvl="2" w:tplc="8E40C188">
      <w:start w:val="1"/>
      <w:numFmt w:val="bullet"/>
      <w:lvlText w:val="§"/>
      <w:lvlJc w:val="left"/>
      <w:pPr>
        <w:ind w:left="2160" w:hanging="360"/>
      </w:pPr>
      <w:rPr>
        <w:rFonts w:ascii="Wingdings" w:eastAsia="Wingdings" w:hAnsi="Wingdings" w:cs="Wingdings" w:hint="default"/>
      </w:rPr>
    </w:lvl>
    <w:lvl w:ilvl="3" w:tplc="1D86FA48">
      <w:start w:val="1"/>
      <w:numFmt w:val="bullet"/>
      <w:lvlText w:val="·"/>
      <w:lvlJc w:val="left"/>
      <w:pPr>
        <w:ind w:left="2880" w:hanging="360"/>
      </w:pPr>
      <w:rPr>
        <w:rFonts w:ascii="Symbol" w:eastAsia="Symbol" w:hAnsi="Symbol" w:cs="Symbol" w:hint="default"/>
      </w:rPr>
    </w:lvl>
    <w:lvl w:ilvl="4" w:tplc="2BD621BE">
      <w:start w:val="1"/>
      <w:numFmt w:val="bullet"/>
      <w:lvlText w:val="o"/>
      <w:lvlJc w:val="left"/>
      <w:pPr>
        <w:ind w:left="3600" w:hanging="360"/>
      </w:pPr>
      <w:rPr>
        <w:rFonts w:ascii="Courier New" w:eastAsia="Courier New" w:hAnsi="Courier New" w:cs="Courier New" w:hint="default"/>
      </w:rPr>
    </w:lvl>
    <w:lvl w:ilvl="5" w:tplc="FAD2D200">
      <w:start w:val="1"/>
      <w:numFmt w:val="bullet"/>
      <w:lvlText w:val="§"/>
      <w:lvlJc w:val="left"/>
      <w:pPr>
        <w:ind w:left="4320" w:hanging="360"/>
      </w:pPr>
      <w:rPr>
        <w:rFonts w:ascii="Wingdings" w:eastAsia="Wingdings" w:hAnsi="Wingdings" w:cs="Wingdings" w:hint="default"/>
      </w:rPr>
    </w:lvl>
    <w:lvl w:ilvl="6" w:tplc="C910120C">
      <w:start w:val="1"/>
      <w:numFmt w:val="bullet"/>
      <w:lvlText w:val="·"/>
      <w:lvlJc w:val="left"/>
      <w:pPr>
        <w:ind w:left="5040" w:hanging="360"/>
      </w:pPr>
      <w:rPr>
        <w:rFonts w:ascii="Symbol" w:eastAsia="Symbol" w:hAnsi="Symbol" w:cs="Symbol" w:hint="default"/>
      </w:rPr>
    </w:lvl>
    <w:lvl w:ilvl="7" w:tplc="C5CE1D96">
      <w:start w:val="1"/>
      <w:numFmt w:val="bullet"/>
      <w:lvlText w:val="o"/>
      <w:lvlJc w:val="left"/>
      <w:pPr>
        <w:ind w:left="5760" w:hanging="360"/>
      </w:pPr>
      <w:rPr>
        <w:rFonts w:ascii="Courier New" w:eastAsia="Courier New" w:hAnsi="Courier New" w:cs="Courier New" w:hint="default"/>
      </w:rPr>
    </w:lvl>
    <w:lvl w:ilvl="8" w:tplc="68D2C77C">
      <w:start w:val="1"/>
      <w:numFmt w:val="bullet"/>
      <w:lvlText w:val="§"/>
      <w:lvlJc w:val="left"/>
      <w:pPr>
        <w:ind w:left="6480" w:hanging="360"/>
      </w:pPr>
      <w:rPr>
        <w:rFonts w:ascii="Wingdings" w:eastAsia="Wingdings" w:hAnsi="Wingdings" w:cs="Wingdings" w:hint="default"/>
      </w:rPr>
    </w:lvl>
  </w:abstractNum>
  <w:abstractNum w:abstractNumId="33">
    <w:nsid w:val="1E696B88"/>
    <w:multiLevelType w:val="hybridMultilevel"/>
    <w:tmpl w:val="26088252"/>
    <w:lvl w:ilvl="0" w:tplc="FA22AC48">
      <w:start w:val="1"/>
      <w:numFmt w:val="bullet"/>
      <w:lvlText w:val="–"/>
      <w:lvlJc w:val="left"/>
      <w:pPr>
        <w:ind w:left="720" w:hanging="360"/>
      </w:pPr>
      <w:rPr>
        <w:rFonts w:ascii="Arial" w:eastAsia="Arial" w:hAnsi="Arial" w:cs="Arial"/>
      </w:rPr>
    </w:lvl>
    <w:lvl w:ilvl="1" w:tplc="EE025420">
      <w:start w:val="1"/>
      <w:numFmt w:val="bullet"/>
      <w:lvlText w:val="o"/>
      <w:lvlJc w:val="left"/>
      <w:pPr>
        <w:ind w:left="1440" w:hanging="360"/>
      </w:pPr>
      <w:rPr>
        <w:rFonts w:ascii="Courier New" w:eastAsia="Courier New" w:hAnsi="Courier New" w:cs="Courier New" w:hint="default"/>
      </w:rPr>
    </w:lvl>
    <w:lvl w:ilvl="2" w:tplc="B13E0954">
      <w:start w:val="1"/>
      <w:numFmt w:val="bullet"/>
      <w:lvlText w:val="§"/>
      <w:lvlJc w:val="left"/>
      <w:pPr>
        <w:ind w:left="2160" w:hanging="360"/>
      </w:pPr>
      <w:rPr>
        <w:rFonts w:ascii="Wingdings" w:eastAsia="Wingdings" w:hAnsi="Wingdings" w:cs="Wingdings" w:hint="default"/>
      </w:rPr>
    </w:lvl>
    <w:lvl w:ilvl="3" w:tplc="3620BB5E">
      <w:start w:val="1"/>
      <w:numFmt w:val="bullet"/>
      <w:lvlText w:val="·"/>
      <w:lvlJc w:val="left"/>
      <w:pPr>
        <w:ind w:left="2880" w:hanging="360"/>
      </w:pPr>
      <w:rPr>
        <w:rFonts w:ascii="Symbol" w:eastAsia="Symbol" w:hAnsi="Symbol" w:cs="Symbol" w:hint="default"/>
      </w:rPr>
    </w:lvl>
    <w:lvl w:ilvl="4" w:tplc="949CC6A4">
      <w:start w:val="1"/>
      <w:numFmt w:val="bullet"/>
      <w:lvlText w:val="o"/>
      <w:lvlJc w:val="left"/>
      <w:pPr>
        <w:ind w:left="3600" w:hanging="360"/>
      </w:pPr>
      <w:rPr>
        <w:rFonts w:ascii="Courier New" w:eastAsia="Courier New" w:hAnsi="Courier New" w:cs="Courier New" w:hint="default"/>
      </w:rPr>
    </w:lvl>
    <w:lvl w:ilvl="5" w:tplc="3E12B37A">
      <w:start w:val="1"/>
      <w:numFmt w:val="bullet"/>
      <w:lvlText w:val="§"/>
      <w:lvlJc w:val="left"/>
      <w:pPr>
        <w:ind w:left="4320" w:hanging="360"/>
      </w:pPr>
      <w:rPr>
        <w:rFonts w:ascii="Wingdings" w:eastAsia="Wingdings" w:hAnsi="Wingdings" w:cs="Wingdings" w:hint="default"/>
      </w:rPr>
    </w:lvl>
    <w:lvl w:ilvl="6" w:tplc="BE6841FA">
      <w:start w:val="1"/>
      <w:numFmt w:val="bullet"/>
      <w:lvlText w:val="·"/>
      <w:lvlJc w:val="left"/>
      <w:pPr>
        <w:ind w:left="5040" w:hanging="360"/>
      </w:pPr>
      <w:rPr>
        <w:rFonts w:ascii="Symbol" w:eastAsia="Symbol" w:hAnsi="Symbol" w:cs="Symbol" w:hint="default"/>
      </w:rPr>
    </w:lvl>
    <w:lvl w:ilvl="7" w:tplc="7E309F2C">
      <w:start w:val="1"/>
      <w:numFmt w:val="bullet"/>
      <w:lvlText w:val="o"/>
      <w:lvlJc w:val="left"/>
      <w:pPr>
        <w:ind w:left="5760" w:hanging="360"/>
      </w:pPr>
      <w:rPr>
        <w:rFonts w:ascii="Courier New" w:eastAsia="Courier New" w:hAnsi="Courier New" w:cs="Courier New" w:hint="default"/>
      </w:rPr>
    </w:lvl>
    <w:lvl w:ilvl="8" w:tplc="D5F8015C">
      <w:start w:val="1"/>
      <w:numFmt w:val="bullet"/>
      <w:lvlText w:val="§"/>
      <w:lvlJc w:val="left"/>
      <w:pPr>
        <w:ind w:left="6480" w:hanging="360"/>
      </w:pPr>
      <w:rPr>
        <w:rFonts w:ascii="Wingdings" w:eastAsia="Wingdings" w:hAnsi="Wingdings" w:cs="Wingdings" w:hint="default"/>
      </w:rPr>
    </w:lvl>
  </w:abstractNum>
  <w:abstractNum w:abstractNumId="34">
    <w:nsid w:val="1E9D1706"/>
    <w:multiLevelType w:val="hybridMultilevel"/>
    <w:tmpl w:val="D1265958"/>
    <w:lvl w:ilvl="0" w:tplc="E0885CF6">
      <w:start w:val="1"/>
      <w:numFmt w:val="bullet"/>
      <w:lvlText w:val="–"/>
      <w:lvlJc w:val="left"/>
      <w:pPr>
        <w:ind w:left="720" w:hanging="360"/>
      </w:pPr>
      <w:rPr>
        <w:rFonts w:ascii="Arial" w:eastAsia="Arial" w:hAnsi="Arial" w:cs="Arial"/>
      </w:rPr>
    </w:lvl>
    <w:lvl w:ilvl="1" w:tplc="C70A7BAE">
      <w:start w:val="1"/>
      <w:numFmt w:val="bullet"/>
      <w:lvlText w:val="o"/>
      <w:lvlJc w:val="left"/>
      <w:pPr>
        <w:ind w:left="1440" w:hanging="360"/>
      </w:pPr>
      <w:rPr>
        <w:rFonts w:ascii="Courier New" w:eastAsia="Courier New" w:hAnsi="Courier New" w:cs="Courier New" w:hint="default"/>
      </w:rPr>
    </w:lvl>
    <w:lvl w:ilvl="2" w:tplc="1EFAD668">
      <w:start w:val="1"/>
      <w:numFmt w:val="bullet"/>
      <w:lvlText w:val="§"/>
      <w:lvlJc w:val="left"/>
      <w:pPr>
        <w:ind w:left="2160" w:hanging="360"/>
      </w:pPr>
      <w:rPr>
        <w:rFonts w:ascii="Wingdings" w:eastAsia="Wingdings" w:hAnsi="Wingdings" w:cs="Wingdings" w:hint="default"/>
      </w:rPr>
    </w:lvl>
    <w:lvl w:ilvl="3" w:tplc="F4CE4D60">
      <w:start w:val="1"/>
      <w:numFmt w:val="bullet"/>
      <w:lvlText w:val="·"/>
      <w:lvlJc w:val="left"/>
      <w:pPr>
        <w:ind w:left="2880" w:hanging="360"/>
      </w:pPr>
      <w:rPr>
        <w:rFonts w:ascii="Symbol" w:eastAsia="Symbol" w:hAnsi="Symbol" w:cs="Symbol" w:hint="default"/>
      </w:rPr>
    </w:lvl>
    <w:lvl w:ilvl="4" w:tplc="F5DA784C">
      <w:start w:val="1"/>
      <w:numFmt w:val="bullet"/>
      <w:lvlText w:val="o"/>
      <w:lvlJc w:val="left"/>
      <w:pPr>
        <w:ind w:left="3600" w:hanging="360"/>
      </w:pPr>
      <w:rPr>
        <w:rFonts w:ascii="Courier New" w:eastAsia="Courier New" w:hAnsi="Courier New" w:cs="Courier New" w:hint="default"/>
      </w:rPr>
    </w:lvl>
    <w:lvl w:ilvl="5" w:tplc="87321BBC">
      <w:start w:val="1"/>
      <w:numFmt w:val="bullet"/>
      <w:lvlText w:val="§"/>
      <w:lvlJc w:val="left"/>
      <w:pPr>
        <w:ind w:left="4320" w:hanging="360"/>
      </w:pPr>
      <w:rPr>
        <w:rFonts w:ascii="Wingdings" w:eastAsia="Wingdings" w:hAnsi="Wingdings" w:cs="Wingdings" w:hint="default"/>
      </w:rPr>
    </w:lvl>
    <w:lvl w:ilvl="6" w:tplc="40206A14">
      <w:start w:val="1"/>
      <w:numFmt w:val="bullet"/>
      <w:lvlText w:val="·"/>
      <w:lvlJc w:val="left"/>
      <w:pPr>
        <w:ind w:left="5040" w:hanging="360"/>
      </w:pPr>
      <w:rPr>
        <w:rFonts w:ascii="Symbol" w:eastAsia="Symbol" w:hAnsi="Symbol" w:cs="Symbol" w:hint="default"/>
      </w:rPr>
    </w:lvl>
    <w:lvl w:ilvl="7" w:tplc="DA30E18C">
      <w:start w:val="1"/>
      <w:numFmt w:val="bullet"/>
      <w:lvlText w:val="o"/>
      <w:lvlJc w:val="left"/>
      <w:pPr>
        <w:ind w:left="5760" w:hanging="360"/>
      </w:pPr>
      <w:rPr>
        <w:rFonts w:ascii="Courier New" w:eastAsia="Courier New" w:hAnsi="Courier New" w:cs="Courier New" w:hint="default"/>
      </w:rPr>
    </w:lvl>
    <w:lvl w:ilvl="8" w:tplc="4C76B00C">
      <w:start w:val="1"/>
      <w:numFmt w:val="bullet"/>
      <w:lvlText w:val="§"/>
      <w:lvlJc w:val="left"/>
      <w:pPr>
        <w:ind w:left="6480" w:hanging="360"/>
      </w:pPr>
      <w:rPr>
        <w:rFonts w:ascii="Wingdings" w:eastAsia="Wingdings" w:hAnsi="Wingdings" w:cs="Wingdings" w:hint="default"/>
      </w:rPr>
    </w:lvl>
  </w:abstractNum>
  <w:abstractNum w:abstractNumId="35">
    <w:nsid w:val="1F0837BF"/>
    <w:multiLevelType w:val="hybridMultilevel"/>
    <w:tmpl w:val="8FB45E02"/>
    <w:lvl w:ilvl="0" w:tplc="038206E6">
      <w:start w:val="1"/>
      <w:numFmt w:val="bullet"/>
      <w:lvlText w:val="–"/>
      <w:lvlJc w:val="left"/>
      <w:pPr>
        <w:ind w:left="720" w:hanging="360"/>
      </w:pPr>
      <w:rPr>
        <w:rFonts w:ascii="Arial" w:eastAsia="Arial" w:hAnsi="Arial" w:cs="Arial"/>
      </w:rPr>
    </w:lvl>
    <w:lvl w:ilvl="1" w:tplc="07F82450">
      <w:start w:val="1"/>
      <w:numFmt w:val="bullet"/>
      <w:lvlText w:val="o"/>
      <w:lvlJc w:val="left"/>
      <w:pPr>
        <w:ind w:left="1440" w:hanging="360"/>
      </w:pPr>
      <w:rPr>
        <w:rFonts w:ascii="Courier New" w:eastAsia="Courier New" w:hAnsi="Courier New" w:cs="Courier New" w:hint="default"/>
      </w:rPr>
    </w:lvl>
    <w:lvl w:ilvl="2" w:tplc="5FE42C76">
      <w:start w:val="1"/>
      <w:numFmt w:val="bullet"/>
      <w:lvlText w:val="§"/>
      <w:lvlJc w:val="left"/>
      <w:pPr>
        <w:ind w:left="2160" w:hanging="360"/>
      </w:pPr>
      <w:rPr>
        <w:rFonts w:ascii="Wingdings" w:eastAsia="Wingdings" w:hAnsi="Wingdings" w:cs="Wingdings" w:hint="default"/>
      </w:rPr>
    </w:lvl>
    <w:lvl w:ilvl="3" w:tplc="005C30B6">
      <w:start w:val="1"/>
      <w:numFmt w:val="bullet"/>
      <w:lvlText w:val="·"/>
      <w:lvlJc w:val="left"/>
      <w:pPr>
        <w:ind w:left="2880" w:hanging="360"/>
      </w:pPr>
      <w:rPr>
        <w:rFonts w:ascii="Symbol" w:eastAsia="Symbol" w:hAnsi="Symbol" w:cs="Symbol" w:hint="default"/>
      </w:rPr>
    </w:lvl>
    <w:lvl w:ilvl="4" w:tplc="0F4AECA8">
      <w:start w:val="1"/>
      <w:numFmt w:val="bullet"/>
      <w:lvlText w:val="o"/>
      <w:lvlJc w:val="left"/>
      <w:pPr>
        <w:ind w:left="3600" w:hanging="360"/>
      </w:pPr>
      <w:rPr>
        <w:rFonts w:ascii="Courier New" w:eastAsia="Courier New" w:hAnsi="Courier New" w:cs="Courier New" w:hint="default"/>
      </w:rPr>
    </w:lvl>
    <w:lvl w:ilvl="5" w:tplc="8C26F00C">
      <w:start w:val="1"/>
      <w:numFmt w:val="bullet"/>
      <w:lvlText w:val="§"/>
      <w:lvlJc w:val="left"/>
      <w:pPr>
        <w:ind w:left="4320" w:hanging="360"/>
      </w:pPr>
      <w:rPr>
        <w:rFonts w:ascii="Wingdings" w:eastAsia="Wingdings" w:hAnsi="Wingdings" w:cs="Wingdings" w:hint="default"/>
      </w:rPr>
    </w:lvl>
    <w:lvl w:ilvl="6" w:tplc="B7C6A900">
      <w:start w:val="1"/>
      <w:numFmt w:val="bullet"/>
      <w:lvlText w:val="·"/>
      <w:lvlJc w:val="left"/>
      <w:pPr>
        <w:ind w:left="5040" w:hanging="360"/>
      </w:pPr>
      <w:rPr>
        <w:rFonts w:ascii="Symbol" w:eastAsia="Symbol" w:hAnsi="Symbol" w:cs="Symbol" w:hint="default"/>
      </w:rPr>
    </w:lvl>
    <w:lvl w:ilvl="7" w:tplc="061A79AC">
      <w:start w:val="1"/>
      <w:numFmt w:val="bullet"/>
      <w:lvlText w:val="o"/>
      <w:lvlJc w:val="left"/>
      <w:pPr>
        <w:ind w:left="5760" w:hanging="360"/>
      </w:pPr>
      <w:rPr>
        <w:rFonts w:ascii="Courier New" w:eastAsia="Courier New" w:hAnsi="Courier New" w:cs="Courier New" w:hint="default"/>
      </w:rPr>
    </w:lvl>
    <w:lvl w:ilvl="8" w:tplc="386CEE4A">
      <w:start w:val="1"/>
      <w:numFmt w:val="bullet"/>
      <w:lvlText w:val="§"/>
      <w:lvlJc w:val="left"/>
      <w:pPr>
        <w:ind w:left="6480" w:hanging="360"/>
      </w:pPr>
      <w:rPr>
        <w:rFonts w:ascii="Wingdings" w:eastAsia="Wingdings" w:hAnsi="Wingdings" w:cs="Wingdings" w:hint="default"/>
      </w:rPr>
    </w:lvl>
  </w:abstractNum>
  <w:abstractNum w:abstractNumId="36">
    <w:nsid w:val="20B87C3F"/>
    <w:multiLevelType w:val="hybridMultilevel"/>
    <w:tmpl w:val="BAB89A8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20BD1BEA"/>
    <w:multiLevelType w:val="hybridMultilevel"/>
    <w:tmpl w:val="51C6A208"/>
    <w:lvl w:ilvl="0" w:tplc="A2681862">
      <w:start w:val="1"/>
      <w:numFmt w:val="bullet"/>
      <w:lvlText w:val="–"/>
      <w:lvlJc w:val="left"/>
      <w:pPr>
        <w:ind w:left="720" w:hanging="360"/>
      </w:pPr>
      <w:rPr>
        <w:rFonts w:ascii="Arial" w:eastAsia="Arial" w:hAnsi="Arial" w:cs="Arial"/>
      </w:rPr>
    </w:lvl>
    <w:lvl w:ilvl="1" w:tplc="C69CE510">
      <w:start w:val="1"/>
      <w:numFmt w:val="bullet"/>
      <w:lvlText w:val="o"/>
      <w:lvlJc w:val="left"/>
      <w:pPr>
        <w:ind w:left="1440" w:hanging="360"/>
      </w:pPr>
      <w:rPr>
        <w:rFonts w:ascii="Courier New" w:eastAsia="Courier New" w:hAnsi="Courier New" w:cs="Courier New" w:hint="default"/>
      </w:rPr>
    </w:lvl>
    <w:lvl w:ilvl="2" w:tplc="40C65126">
      <w:start w:val="1"/>
      <w:numFmt w:val="bullet"/>
      <w:lvlText w:val="§"/>
      <w:lvlJc w:val="left"/>
      <w:pPr>
        <w:ind w:left="2160" w:hanging="360"/>
      </w:pPr>
      <w:rPr>
        <w:rFonts w:ascii="Wingdings" w:eastAsia="Wingdings" w:hAnsi="Wingdings" w:cs="Wingdings" w:hint="default"/>
      </w:rPr>
    </w:lvl>
    <w:lvl w:ilvl="3" w:tplc="AE80F07C">
      <w:start w:val="1"/>
      <w:numFmt w:val="bullet"/>
      <w:lvlText w:val="·"/>
      <w:lvlJc w:val="left"/>
      <w:pPr>
        <w:ind w:left="2880" w:hanging="360"/>
      </w:pPr>
      <w:rPr>
        <w:rFonts w:ascii="Symbol" w:eastAsia="Symbol" w:hAnsi="Symbol" w:cs="Symbol" w:hint="default"/>
      </w:rPr>
    </w:lvl>
    <w:lvl w:ilvl="4" w:tplc="753E3B24">
      <w:start w:val="1"/>
      <w:numFmt w:val="bullet"/>
      <w:lvlText w:val="o"/>
      <w:lvlJc w:val="left"/>
      <w:pPr>
        <w:ind w:left="3600" w:hanging="360"/>
      </w:pPr>
      <w:rPr>
        <w:rFonts w:ascii="Courier New" w:eastAsia="Courier New" w:hAnsi="Courier New" w:cs="Courier New" w:hint="default"/>
      </w:rPr>
    </w:lvl>
    <w:lvl w:ilvl="5" w:tplc="4A8EA3BE">
      <w:start w:val="1"/>
      <w:numFmt w:val="bullet"/>
      <w:lvlText w:val="§"/>
      <w:lvlJc w:val="left"/>
      <w:pPr>
        <w:ind w:left="4320" w:hanging="360"/>
      </w:pPr>
      <w:rPr>
        <w:rFonts w:ascii="Wingdings" w:eastAsia="Wingdings" w:hAnsi="Wingdings" w:cs="Wingdings" w:hint="default"/>
      </w:rPr>
    </w:lvl>
    <w:lvl w:ilvl="6" w:tplc="3342EC72">
      <w:start w:val="1"/>
      <w:numFmt w:val="bullet"/>
      <w:lvlText w:val="·"/>
      <w:lvlJc w:val="left"/>
      <w:pPr>
        <w:ind w:left="5040" w:hanging="360"/>
      </w:pPr>
      <w:rPr>
        <w:rFonts w:ascii="Symbol" w:eastAsia="Symbol" w:hAnsi="Symbol" w:cs="Symbol" w:hint="default"/>
      </w:rPr>
    </w:lvl>
    <w:lvl w:ilvl="7" w:tplc="5758588A">
      <w:start w:val="1"/>
      <w:numFmt w:val="bullet"/>
      <w:lvlText w:val="o"/>
      <w:lvlJc w:val="left"/>
      <w:pPr>
        <w:ind w:left="5760" w:hanging="360"/>
      </w:pPr>
      <w:rPr>
        <w:rFonts w:ascii="Courier New" w:eastAsia="Courier New" w:hAnsi="Courier New" w:cs="Courier New" w:hint="default"/>
      </w:rPr>
    </w:lvl>
    <w:lvl w:ilvl="8" w:tplc="2CD44826">
      <w:start w:val="1"/>
      <w:numFmt w:val="bullet"/>
      <w:lvlText w:val="§"/>
      <w:lvlJc w:val="left"/>
      <w:pPr>
        <w:ind w:left="6480" w:hanging="360"/>
      </w:pPr>
      <w:rPr>
        <w:rFonts w:ascii="Wingdings" w:eastAsia="Wingdings" w:hAnsi="Wingdings" w:cs="Wingdings" w:hint="default"/>
      </w:rPr>
    </w:lvl>
  </w:abstractNum>
  <w:abstractNum w:abstractNumId="38">
    <w:nsid w:val="20E9406A"/>
    <w:multiLevelType w:val="hybridMultilevel"/>
    <w:tmpl w:val="DE96E25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21C52B3E"/>
    <w:multiLevelType w:val="hybridMultilevel"/>
    <w:tmpl w:val="5B3C98C8"/>
    <w:lvl w:ilvl="0" w:tplc="D2000332">
      <w:start w:val="1"/>
      <w:numFmt w:val="bullet"/>
      <w:lvlText w:val="–"/>
      <w:lvlJc w:val="left"/>
      <w:pPr>
        <w:ind w:left="709" w:hanging="360"/>
      </w:pPr>
      <w:rPr>
        <w:rFonts w:ascii="Arial" w:eastAsia="Arial" w:hAnsi="Arial" w:cs="Arial"/>
      </w:rPr>
    </w:lvl>
    <w:lvl w:ilvl="1" w:tplc="EBF26332">
      <w:start w:val="1"/>
      <w:numFmt w:val="bullet"/>
      <w:lvlText w:val="o"/>
      <w:lvlJc w:val="left"/>
      <w:pPr>
        <w:ind w:left="1429" w:hanging="360"/>
      </w:pPr>
      <w:rPr>
        <w:rFonts w:ascii="Courier New" w:eastAsia="Courier New" w:hAnsi="Courier New" w:cs="Courier New" w:hint="default"/>
      </w:rPr>
    </w:lvl>
    <w:lvl w:ilvl="2" w:tplc="F188862C">
      <w:start w:val="1"/>
      <w:numFmt w:val="bullet"/>
      <w:lvlText w:val="§"/>
      <w:lvlJc w:val="left"/>
      <w:pPr>
        <w:ind w:left="2149" w:hanging="360"/>
      </w:pPr>
      <w:rPr>
        <w:rFonts w:ascii="Wingdings" w:eastAsia="Wingdings" w:hAnsi="Wingdings" w:cs="Wingdings" w:hint="default"/>
      </w:rPr>
    </w:lvl>
    <w:lvl w:ilvl="3" w:tplc="A758786C">
      <w:start w:val="1"/>
      <w:numFmt w:val="bullet"/>
      <w:lvlText w:val="·"/>
      <w:lvlJc w:val="left"/>
      <w:pPr>
        <w:ind w:left="2869" w:hanging="360"/>
      </w:pPr>
      <w:rPr>
        <w:rFonts w:ascii="Symbol" w:eastAsia="Symbol" w:hAnsi="Symbol" w:cs="Symbol" w:hint="default"/>
      </w:rPr>
    </w:lvl>
    <w:lvl w:ilvl="4" w:tplc="465A6616">
      <w:start w:val="1"/>
      <w:numFmt w:val="bullet"/>
      <w:lvlText w:val="o"/>
      <w:lvlJc w:val="left"/>
      <w:pPr>
        <w:ind w:left="3589" w:hanging="360"/>
      </w:pPr>
      <w:rPr>
        <w:rFonts w:ascii="Courier New" w:eastAsia="Courier New" w:hAnsi="Courier New" w:cs="Courier New" w:hint="default"/>
      </w:rPr>
    </w:lvl>
    <w:lvl w:ilvl="5" w:tplc="E8745EA4">
      <w:start w:val="1"/>
      <w:numFmt w:val="bullet"/>
      <w:lvlText w:val="§"/>
      <w:lvlJc w:val="left"/>
      <w:pPr>
        <w:ind w:left="4309" w:hanging="360"/>
      </w:pPr>
      <w:rPr>
        <w:rFonts w:ascii="Wingdings" w:eastAsia="Wingdings" w:hAnsi="Wingdings" w:cs="Wingdings" w:hint="default"/>
      </w:rPr>
    </w:lvl>
    <w:lvl w:ilvl="6" w:tplc="2A2A137E">
      <w:start w:val="1"/>
      <w:numFmt w:val="bullet"/>
      <w:lvlText w:val="·"/>
      <w:lvlJc w:val="left"/>
      <w:pPr>
        <w:ind w:left="5029" w:hanging="360"/>
      </w:pPr>
      <w:rPr>
        <w:rFonts w:ascii="Symbol" w:eastAsia="Symbol" w:hAnsi="Symbol" w:cs="Symbol" w:hint="default"/>
      </w:rPr>
    </w:lvl>
    <w:lvl w:ilvl="7" w:tplc="25F203F2">
      <w:start w:val="1"/>
      <w:numFmt w:val="bullet"/>
      <w:lvlText w:val="o"/>
      <w:lvlJc w:val="left"/>
      <w:pPr>
        <w:ind w:left="5749" w:hanging="360"/>
      </w:pPr>
      <w:rPr>
        <w:rFonts w:ascii="Courier New" w:eastAsia="Courier New" w:hAnsi="Courier New" w:cs="Courier New" w:hint="default"/>
      </w:rPr>
    </w:lvl>
    <w:lvl w:ilvl="8" w:tplc="BF00D6A6">
      <w:start w:val="1"/>
      <w:numFmt w:val="bullet"/>
      <w:lvlText w:val="§"/>
      <w:lvlJc w:val="left"/>
      <w:pPr>
        <w:ind w:left="6469" w:hanging="360"/>
      </w:pPr>
      <w:rPr>
        <w:rFonts w:ascii="Wingdings" w:eastAsia="Wingdings" w:hAnsi="Wingdings" w:cs="Wingdings" w:hint="default"/>
      </w:rPr>
    </w:lvl>
  </w:abstractNum>
  <w:abstractNum w:abstractNumId="40">
    <w:nsid w:val="234B29DD"/>
    <w:multiLevelType w:val="hybridMultilevel"/>
    <w:tmpl w:val="7B725712"/>
    <w:lvl w:ilvl="0" w:tplc="E61698C6">
      <w:start w:val="1"/>
      <w:numFmt w:val="bullet"/>
      <w:lvlText w:val="–"/>
      <w:lvlJc w:val="left"/>
      <w:pPr>
        <w:ind w:left="720" w:hanging="360"/>
      </w:pPr>
      <w:rPr>
        <w:rFonts w:ascii="Arial" w:eastAsia="Arial" w:hAnsi="Arial" w:cs="Arial"/>
      </w:rPr>
    </w:lvl>
    <w:lvl w:ilvl="1" w:tplc="71F43B18">
      <w:start w:val="1"/>
      <w:numFmt w:val="bullet"/>
      <w:lvlText w:val="o"/>
      <w:lvlJc w:val="left"/>
      <w:pPr>
        <w:ind w:left="1440" w:hanging="360"/>
      </w:pPr>
      <w:rPr>
        <w:rFonts w:ascii="Courier New" w:eastAsia="Courier New" w:hAnsi="Courier New" w:cs="Courier New" w:hint="default"/>
      </w:rPr>
    </w:lvl>
    <w:lvl w:ilvl="2" w:tplc="5F50F2F2">
      <w:start w:val="1"/>
      <w:numFmt w:val="bullet"/>
      <w:lvlText w:val="§"/>
      <w:lvlJc w:val="left"/>
      <w:pPr>
        <w:ind w:left="2160" w:hanging="360"/>
      </w:pPr>
      <w:rPr>
        <w:rFonts w:ascii="Wingdings" w:eastAsia="Wingdings" w:hAnsi="Wingdings" w:cs="Wingdings" w:hint="default"/>
      </w:rPr>
    </w:lvl>
    <w:lvl w:ilvl="3" w:tplc="BC825D7E">
      <w:start w:val="1"/>
      <w:numFmt w:val="bullet"/>
      <w:lvlText w:val="·"/>
      <w:lvlJc w:val="left"/>
      <w:pPr>
        <w:ind w:left="2880" w:hanging="360"/>
      </w:pPr>
      <w:rPr>
        <w:rFonts w:ascii="Symbol" w:eastAsia="Symbol" w:hAnsi="Symbol" w:cs="Symbol" w:hint="default"/>
      </w:rPr>
    </w:lvl>
    <w:lvl w:ilvl="4" w:tplc="35545578">
      <w:start w:val="1"/>
      <w:numFmt w:val="bullet"/>
      <w:lvlText w:val="o"/>
      <w:lvlJc w:val="left"/>
      <w:pPr>
        <w:ind w:left="3600" w:hanging="360"/>
      </w:pPr>
      <w:rPr>
        <w:rFonts w:ascii="Courier New" w:eastAsia="Courier New" w:hAnsi="Courier New" w:cs="Courier New" w:hint="default"/>
      </w:rPr>
    </w:lvl>
    <w:lvl w:ilvl="5" w:tplc="680294D6">
      <w:start w:val="1"/>
      <w:numFmt w:val="bullet"/>
      <w:lvlText w:val="§"/>
      <w:lvlJc w:val="left"/>
      <w:pPr>
        <w:ind w:left="4320" w:hanging="360"/>
      </w:pPr>
      <w:rPr>
        <w:rFonts w:ascii="Wingdings" w:eastAsia="Wingdings" w:hAnsi="Wingdings" w:cs="Wingdings" w:hint="default"/>
      </w:rPr>
    </w:lvl>
    <w:lvl w:ilvl="6" w:tplc="550AC5BA">
      <w:start w:val="1"/>
      <w:numFmt w:val="bullet"/>
      <w:lvlText w:val="·"/>
      <w:lvlJc w:val="left"/>
      <w:pPr>
        <w:ind w:left="5040" w:hanging="360"/>
      </w:pPr>
      <w:rPr>
        <w:rFonts w:ascii="Symbol" w:eastAsia="Symbol" w:hAnsi="Symbol" w:cs="Symbol" w:hint="default"/>
      </w:rPr>
    </w:lvl>
    <w:lvl w:ilvl="7" w:tplc="0CC0678E">
      <w:start w:val="1"/>
      <w:numFmt w:val="bullet"/>
      <w:lvlText w:val="o"/>
      <w:lvlJc w:val="left"/>
      <w:pPr>
        <w:ind w:left="5760" w:hanging="360"/>
      </w:pPr>
      <w:rPr>
        <w:rFonts w:ascii="Courier New" w:eastAsia="Courier New" w:hAnsi="Courier New" w:cs="Courier New" w:hint="default"/>
      </w:rPr>
    </w:lvl>
    <w:lvl w:ilvl="8" w:tplc="2482ECF2">
      <w:start w:val="1"/>
      <w:numFmt w:val="bullet"/>
      <w:lvlText w:val="§"/>
      <w:lvlJc w:val="left"/>
      <w:pPr>
        <w:ind w:left="6480" w:hanging="360"/>
      </w:pPr>
      <w:rPr>
        <w:rFonts w:ascii="Wingdings" w:eastAsia="Wingdings" w:hAnsi="Wingdings" w:cs="Wingdings" w:hint="default"/>
      </w:rPr>
    </w:lvl>
  </w:abstractNum>
  <w:abstractNum w:abstractNumId="41">
    <w:nsid w:val="2366474E"/>
    <w:multiLevelType w:val="hybridMultilevel"/>
    <w:tmpl w:val="76F03FA4"/>
    <w:lvl w:ilvl="0" w:tplc="FE1E4894">
      <w:start w:val="1"/>
      <w:numFmt w:val="decimal"/>
      <w:lvlText w:val="%1."/>
      <w:lvlJc w:val="right"/>
      <w:pPr>
        <w:ind w:left="709" w:hanging="360"/>
      </w:pPr>
    </w:lvl>
    <w:lvl w:ilvl="1" w:tplc="A62423BC">
      <w:start w:val="1"/>
      <w:numFmt w:val="lowerLetter"/>
      <w:lvlText w:val="%2."/>
      <w:lvlJc w:val="left"/>
      <w:pPr>
        <w:ind w:left="1429" w:hanging="360"/>
      </w:pPr>
    </w:lvl>
    <w:lvl w:ilvl="2" w:tplc="54BAC544">
      <w:start w:val="1"/>
      <w:numFmt w:val="lowerRoman"/>
      <w:lvlText w:val="%3."/>
      <w:lvlJc w:val="right"/>
      <w:pPr>
        <w:ind w:left="2149" w:hanging="180"/>
      </w:pPr>
    </w:lvl>
    <w:lvl w:ilvl="3" w:tplc="51D84744">
      <w:start w:val="1"/>
      <w:numFmt w:val="decimal"/>
      <w:lvlText w:val="%4."/>
      <w:lvlJc w:val="left"/>
      <w:pPr>
        <w:ind w:left="2869" w:hanging="360"/>
      </w:pPr>
    </w:lvl>
    <w:lvl w:ilvl="4" w:tplc="54406CDE">
      <w:start w:val="1"/>
      <w:numFmt w:val="lowerLetter"/>
      <w:lvlText w:val="%5."/>
      <w:lvlJc w:val="left"/>
      <w:pPr>
        <w:ind w:left="3589" w:hanging="360"/>
      </w:pPr>
    </w:lvl>
    <w:lvl w:ilvl="5" w:tplc="1CD2EC82">
      <w:start w:val="1"/>
      <w:numFmt w:val="lowerRoman"/>
      <w:lvlText w:val="%6."/>
      <w:lvlJc w:val="right"/>
      <w:pPr>
        <w:ind w:left="4309" w:hanging="180"/>
      </w:pPr>
    </w:lvl>
    <w:lvl w:ilvl="6" w:tplc="BFE89A86">
      <w:start w:val="1"/>
      <w:numFmt w:val="decimal"/>
      <w:lvlText w:val="%7."/>
      <w:lvlJc w:val="left"/>
      <w:pPr>
        <w:ind w:left="5029" w:hanging="360"/>
      </w:pPr>
    </w:lvl>
    <w:lvl w:ilvl="7" w:tplc="9A287CC6">
      <w:start w:val="1"/>
      <w:numFmt w:val="lowerLetter"/>
      <w:lvlText w:val="%8."/>
      <w:lvlJc w:val="left"/>
      <w:pPr>
        <w:ind w:left="5749" w:hanging="360"/>
      </w:pPr>
    </w:lvl>
    <w:lvl w:ilvl="8" w:tplc="5D924248">
      <w:start w:val="1"/>
      <w:numFmt w:val="lowerRoman"/>
      <w:lvlText w:val="%9."/>
      <w:lvlJc w:val="right"/>
      <w:pPr>
        <w:ind w:left="6469" w:hanging="180"/>
      </w:pPr>
    </w:lvl>
  </w:abstractNum>
  <w:abstractNum w:abstractNumId="42">
    <w:nsid w:val="23CC12B1"/>
    <w:multiLevelType w:val="hybridMultilevel"/>
    <w:tmpl w:val="9AD691FA"/>
    <w:lvl w:ilvl="0" w:tplc="0419000F">
      <w:start w:val="1"/>
      <w:numFmt w:val="decimal"/>
      <w:lvlText w:val="%1."/>
      <w:lvlJc w:val="left"/>
      <w:pPr>
        <w:ind w:left="862" w:hanging="360"/>
      </w:pPr>
    </w:lvl>
    <w:lvl w:ilvl="1" w:tplc="04190019" w:tentative="1">
      <w:start w:val="1"/>
      <w:numFmt w:val="lowerLetter"/>
      <w:lvlText w:val="%2."/>
      <w:lvlJc w:val="left"/>
      <w:pPr>
        <w:ind w:left="1582" w:hanging="360"/>
      </w:pPr>
    </w:lvl>
    <w:lvl w:ilvl="2" w:tplc="0419001B" w:tentative="1">
      <w:start w:val="1"/>
      <w:numFmt w:val="lowerRoman"/>
      <w:lvlText w:val="%3."/>
      <w:lvlJc w:val="right"/>
      <w:pPr>
        <w:ind w:left="2302" w:hanging="180"/>
      </w:pPr>
    </w:lvl>
    <w:lvl w:ilvl="3" w:tplc="0419000F" w:tentative="1">
      <w:start w:val="1"/>
      <w:numFmt w:val="decimal"/>
      <w:lvlText w:val="%4."/>
      <w:lvlJc w:val="left"/>
      <w:pPr>
        <w:ind w:left="3022" w:hanging="360"/>
      </w:pPr>
    </w:lvl>
    <w:lvl w:ilvl="4" w:tplc="04190019" w:tentative="1">
      <w:start w:val="1"/>
      <w:numFmt w:val="lowerLetter"/>
      <w:lvlText w:val="%5."/>
      <w:lvlJc w:val="left"/>
      <w:pPr>
        <w:ind w:left="3742" w:hanging="360"/>
      </w:pPr>
    </w:lvl>
    <w:lvl w:ilvl="5" w:tplc="0419001B" w:tentative="1">
      <w:start w:val="1"/>
      <w:numFmt w:val="lowerRoman"/>
      <w:lvlText w:val="%6."/>
      <w:lvlJc w:val="right"/>
      <w:pPr>
        <w:ind w:left="4462" w:hanging="180"/>
      </w:pPr>
    </w:lvl>
    <w:lvl w:ilvl="6" w:tplc="0419000F" w:tentative="1">
      <w:start w:val="1"/>
      <w:numFmt w:val="decimal"/>
      <w:lvlText w:val="%7."/>
      <w:lvlJc w:val="left"/>
      <w:pPr>
        <w:ind w:left="5182" w:hanging="360"/>
      </w:pPr>
    </w:lvl>
    <w:lvl w:ilvl="7" w:tplc="04190019" w:tentative="1">
      <w:start w:val="1"/>
      <w:numFmt w:val="lowerLetter"/>
      <w:lvlText w:val="%8."/>
      <w:lvlJc w:val="left"/>
      <w:pPr>
        <w:ind w:left="5902" w:hanging="360"/>
      </w:pPr>
    </w:lvl>
    <w:lvl w:ilvl="8" w:tplc="0419001B" w:tentative="1">
      <w:start w:val="1"/>
      <w:numFmt w:val="lowerRoman"/>
      <w:lvlText w:val="%9."/>
      <w:lvlJc w:val="right"/>
      <w:pPr>
        <w:ind w:left="6622" w:hanging="180"/>
      </w:pPr>
    </w:lvl>
  </w:abstractNum>
  <w:abstractNum w:abstractNumId="43">
    <w:nsid w:val="26E978C8"/>
    <w:multiLevelType w:val="hybridMultilevel"/>
    <w:tmpl w:val="AAD43AB0"/>
    <w:lvl w:ilvl="0" w:tplc="CB749BC8">
      <w:start w:val="1"/>
      <w:numFmt w:val="bullet"/>
      <w:lvlText w:val="–"/>
      <w:lvlJc w:val="left"/>
      <w:pPr>
        <w:ind w:left="720" w:hanging="360"/>
      </w:pPr>
      <w:rPr>
        <w:rFonts w:ascii="Arial" w:eastAsia="Arial" w:hAnsi="Arial" w:cs="Arial"/>
      </w:rPr>
    </w:lvl>
    <w:lvl w:ilvl="1" w:tplc="B80052D0">
      <w:start w:val="1"/>
      <w:numFmt w:val="bullet"/>
      <w:lvlText w:val="o"/>
      <w:lvlJc w:val="left"/>
      <w:pPr>
        <w:ind w:left="1440" w:hanging="360"/>
      </w:pPr>
      <w:rPr>
        <w:rFonts w:ascii="Courier New" w:eastAsia="Courier New" w:hAnsi="Courier New" w:cs="Courier New" w:hint="default"/>
      </w:rPr>
    </w:lvl>
    <w:lvl w:ilvl="2" w:tplc="83A84732">
      <w:start w:val="1"/>
      <w:numFmt w:val="bullet"/>
      <w:lvlText w:val="§"/>
      <w:lvlJc w:val="left"/>
      <w:pPr>
        <w:ind w:left="2160" w:hanging="360"/>
      </w:pPr>
      <w:rPr>
        <w:rFonts w:ascii="Wingdings" w:eastAsia="Wingdings" w:hAnsi="Wingdings" w:cs="Wingdings" w:hint="default"/>
      </w:rPr>
    </w:lvl>
    <w:lvl w:ilvl="3" w:tplc="D51A000C">
      <w:start w:val="1"/>
      <w:numFmt w:val="bullet"/>
      <w:lvlText w:val="·"/>
      <w:lvlJc w:val="left"/>
      <w:pPr>
        <w:ind w:left="2880" w:hanging="360"/>
      </w:pPr>
      <w:rPr>
        <w:rFonts w:ascii="Symbol" w:eastAsia="Symbol" w:hAnsi="Symbol" w:cs="Symbol" w:hint="default"/>
      </w:rPr>
    </w:lvl>
    <w:lvl w:ilvl="4" w:tplc="03EE27A2">
      <w:start w:val="1"/>
      <w:numFmt w:val="bullet"/>
      <w:lvlText w:val="o"/>
      <w:lvlJc w:val="left"/>
      <w:pPr>
        <w:ind w:left="3600" w:hanging="360"/>
      </w:pPr>
      <w:rPr>
        <w:rFonts w:ascii="Courier New" w:eastAsia="Courier New" w:hAnsi="Courier New" w:cs="Courier New" w:hint="default"/>
      </w:rPr>
    </w:lvl>
    <w:lvl w:ilvl="5" w:tplc="DB4C85B0">
      <w:start w:val="1"/>
      <w:numFmt w:val="bullet"/>
      <w:lvlText w:val="§"/>
      <w:lvlJc w:val="left"/>
      <w:pPr>
        <w:ind w:left="4320" w:hanging="360"/>
      </w:pPr>
      <w:rPr>
        <w:rFonts w:ascii="Wingdings" w:eastAsia="Wingdings" w:hAnsi="Wingdings" w:cs="Wingdings" w:hint="default"/>
      </w:rPr>
    </w:lvl>
    <w:lvl w:ilvl="6" w:tplc="16E4B040">
      <w:start w:val="1"/>
      <w:numFmt w:val="bullet"/>
      <w:lvlText w:val="·"/>
      <w:lvlJc w:val="left"/>
      <w:pPr>
        <w:ind w:left="5040" w:hanging="360"/>
      </w:pPr>
      <w:rPr>
        <w:rFonts w:ascii="Symbol" w:eastAsia="Symbol" w:hAnsi="Symbol" w:cs="Symbol" w:hint="default"/>
      </w:rPr>
    </w:lvl>
    <w:lvl w:ilvl="7" w:tplc="0ED685B2">
      <w:start w:val="1"/>
      <w:numFmt w:val="bullet"/>
      <w:lvlText w:val="o"/>
      <w:lvlJc w:val="left"/>
      <w:pPr>
        <w:ind w:left="5760" w:hanging="360"/>
      </w:pPr>
      <w:rPr>
        <w:rFonts w:ascii="Courier New" w:eastAsia="Courier New" w:hAnsi="Courier New" w:cs="Courier New" w:hint="default"/>
      </w:rPr>
    </w:lvl>
    <w:lvl w:ilvl="8" w:tplc="9A30C388">
      <w:start w:val="1"/>
      <w:numFmt w:val="bullet"/>
      <w:lvlText w:val="§"/>
      <w:lvlJc w:val="left"/>
      <w:pPr>
        <w:ind w:left="6480" w:hanging="360"/>
      </w:pPr>
      <w:rPr>
        <w:rFonts w:ascii="Wingdings" w:eastAsia="Wingdings" w:hAnsi="Wingdings" w:cs="Wingdings" w:hint="default"/>
      </w:rPr>
    </w:lvl>
  </w:abstractNum>
  <w:abstractNum w:abstractNumId="44">
    <w:nsid w:val="281C615B"/>
    <w:multiLevelType w:val="hybridMultilevel"/>
    <w:tmpl w:val="445253AE"/>
    <w:lvl w:ilvl="0" w:tplc="D0029044">
      <w:start w:val="1"/>
      <w:numFmt w:val="bullet"/>
      <w:lvlText w:val="–"/>
      <w:lvlJc w:val="left"/>
      <w:pPr>
        <w:ind w:left="720" w:hanging="360"/>
      </w:pPr>
      <w:rPr>
        <w:rFonts w:ascii="Arial" w:eastAsia="Arial" w:hAnsi="Arial" w:cs="Arial"/>
      </w:rPr>
    </w:lvl>
    <w:lvl w:ilvl="1" w:tplc="FFA28ADE">
      <w:start w:val="1"/>
      <w:numFmt w:val="bullet"/>
      <w:lvlText w:val="o"/>
      <w:lvlJc w:val="left"/>
      <w:pPr>
        <w:ind w:left="1440" w:hanging="360"/>
      </w:pPr>
      <w:rPr>
        <w:rFonts w:ascii="Courier New" w:eastAsia="Courier New" w:hAnsi="Courier New" w:cs="Courier New" w:hint="default"/>
      </w:rPr>
    </w:lvl>
    <w:lvl w:ilvl="2" w:tplc="F1781BA0">
      <w:start w:val="1"/>
      <w:numFmt w:val="bullet"/>
      <w:lvlText w:val="§"/>
      <w:lvlJc w:val="left"/>
      <w:pPr>
        <w:ind w:left="2160" w:hanging="360"/>
      </w:pPr>
      <w:rPr>
        <w:rFonts w:ascii="Wingdings" w:eastAsia="Wingdings" w:hAnsi="Wingdings" w:cs="Wingdings" w:hint="default"/>
      </w:rPr>
    </w:lvl>
    <w:lvl w:ilvl="3" w:tplc="520292BC">
      <w:start w:val="1"/>
      <w:numFmt w:val="bullet"/>
      <w:lvlText w:val="·"/>
      <w:lvlJc w:val="left"/>
      <w:pPr>
        <w:ind w:left="2880" w:hanging="360"/>
      </w:pPr>
      <w:rPr>
        <w:rFonts w:ascii="Symbol" w:eastAsia="Symbol" w:hAnsi="Symbol" w:cs="Symbol" w:hint="default"/>
      </w:rPr>
    </w:lvl>
    <w:lvl w:ilvl="4" w:tplc="D75217AA">
      <w:start w:val="1"/>
      <w:numFmt w:val="bullet"/>
      <w:lvlText w:val="o"/>
      <w:lvlJc w:val="left"/>
      <w:pPr>
        <w:ind w:left="3600" w:hanging="360"/>
      </w:pPr>
      <w:rPr>
        <w:rFonts w:ascii="Courier New" w:eastAsia="Courier New" w:hAnsi="Courier New" w:cs="Courier New" w:hint="default"/>
      </w:rPr>
    </w:lvl>
    <w:lvl w:ilvl="5" w:tplc="37AAFFE8">
      <w:start w:val="1"/>
      <w:numFmt w:val="bullet"/>
      <w:lvlText w:val="§"/>
      <w:lvlJc w:val="left"/>
      <w:pPr>
        <w:ind w:left="4320" w:hanging="360"/>
      </w:pPr>
      <w:rPr>
        <w:rFonts w:ascii="Wingdings" w:eastAsia="Wingdings" w:hAnsi="Wingdings" w:cs="Wingdings" w:hint="default"/>
      </w:rPr>
    </w:lvl>
    <w:lvl w:ilvl="6" w:tplc="196481FA">
      <w:start w:val="1"/>
      <w:numFmt w:val="bullet"/>
      <w:lvlText w:val="·"/>
      <w:lvlJc w:val="left"/>
      <w:pPr>
        <w:ind w:left="5040" w:hanging="360"/>
      </w:pPr>
      <w:rPr>
        <w:rFonts w:ascii="Symbol" w:eastAsia="Symbol" w:hAnsi="Symbol" w:cs="Symbol" w:hint="default"/>
      </w:rPr>
    </w:lvl>
    <w:lvl w:ilvl="7" w:tplc="C902EE38">
      <w:start w:val="1"/>
      <w:numFmt w:val="bullet"/>
      <w:lvlText w:val="o"/>
      <w:lvlJc w:val="left"/>
      <w:pPr>
        <w:ind w:left="5760" w:hanging="360"/>
      </w:pPr>
      <w:rPr>
        <w:rFonts w:ascii="Courier New" w:eastAsia="Courier New" w:hAnsi="Courier New" w:cs="Courier New" w:hint="default"/>
      </w:rPr>
    </w:lvl>
    <w:lvl w:ilvl="8" w:tplc="720CBAE8">
      <w:start w:val="1"/>
      <w:numFmt w:val="bullet"/>
      <w:lvlText w:val="§"/>
      <w:lvlJc w:val="left"/>
      <w:pPr>
        <w:ind w:left="6480" w:hanging="360"/>
      </w:pPr>
      <w:rPr>
        <w:rFonts w:ascii="Wingdings" w:eastAsia="Wingdings" w:hAnsi="Wingdings" w:cs="Wingdings" w:hint="default"/>
      </w:rPr>
    </w:lvl>
  </w:abstractNum>
  <w:abstractNum w:abstractNumId="45">
    <w:nsid w:val="284B118D"/>
    <w:multiLevelType w:val="hybridMultilevel"/>
    <w:tmpl w:val="21A88720"/>
    <w:lvl w:ilvl="0" w:tplc="410E1204">
      <w:start w:val="1"/>
      <w:numFmt w:val="decimal"/>
      <w:lvlText w:val="%1."/>
      <w:lvlJc w:val="left"/>
      <w:pPr>
        <w:ind w:left="720" w:hanging="360"/>
      </w:pPr>
    </w:lvl>
    <w:lvl w:ilvl="1" w:tplc="669C087E">
      <w:start w:val="1"/>
      <w:numFmt w:val="lowerLetter"/>
      <w:lvlText w:val="%2."/>
      <w:lvlJc w:val="left"/>
      <w:pPr>
        <w:ind w:left="1440" w:hanging="360"/>
      </w:pPr>
    </w:lvl>
    <w:lvl w:ilvl="2" w:tplc="080ADD04">
      <w:start w:val="1"/>
      <w:numFmt w:val="lowerRoman"/>
      <w:lvlText w:val="%3."/>
      <w:lvlJc w:val="right"/>
      <w:pPr>
        <w:ind w:left="2160" w:hanging="180"/>
      </w:pPr>
    </w:lvl>
    <w:lvl w:ilvl="3" w:tplc="70B66AF2">
      <w:start w:val="1"/>
      <w:numFmt w:val="decimal"/>
      <w:lvlText w:val="%4."/>
      <w:lvlJc w:val="left"/>
      <w:pPr>
        <w:ind w:left="2880" w:hanging="360"/>
      </w:pPr>
    </w:lvl>
    <w:lvl w:ilvl="4" w:tplc="1E34001C">
      <w:start w:val="1"/>
      <w:numFmt w:val="lowerLetter"/>
      <w:lvlText w:val="%5."/>
      <w:lvlJc w:val="left"/>
      <w:pPr>
        <w:ind w:left="3600" w:hanging="360"/>
      </w:pPr>
    </w:lvl>
    <w:lvl w:ilvl="5" w:tplc="78F031B0">
      <w:start w:val="1"/>
      <w:numFmt w:val="lowerRoman"/>
      <w:lvlText w:val="%6."/>
      <w:lvlJc w:val="right"/>
      <w:pPr>
        <w:ind w:left="4320" w:hanging="180"/>
      </w:pPr>
    </w:lvl>
    <w:lvl w:ilvl="6" w:tplc="898058DA">
      <w:start w:val="1"/>
      <w:numFmt w:val="decimal"/>
      <w:lvlText w:val="%7."/>
      <w:lvlJc w:val="left"/>
      <w:pPr>
        <w:ind w:left="5040" w:hanging="360"/>
      </w:pPr>
    </w:lvl>
    <w:lvl w:ilvl="7" w:tplc="F4249A6A">
      <w:start w:val="1"/>
      <w:numFmt w:val="lowerLetter"/>
      <w:lvlText w:val="%8."/>
      <w:lvlJc w:val="left"/>
      <w:pPr>
        <w:ind w:left="5760" w:hanging="360"/>
      </w:pPr>
    </w:lvl>
    <w:lvl w:ilvl="8" w:tplc="3DAA28BE">
      <w:start w:val="1"/>
      <w:numFmt w:val="lowerRoman"/>
      <w:lvlText w:val="%9."/>
      <w:lvlJc w:val="right"/>
      <w:pPr>
        <w:ind w:left="6480" w:hanging="180"/>
      </w:pPr>
    </w:lvl>
  </w:abstractNum>
  <w:abstractNum w:abstractNumId="46">
    <w:nsid w:val="28C00790"/>
    <w:multiLevelType w:val="hybridMultilevel"/>
    <w:tmpl w:val="8DF0A628"/>
    <w:lvl w:ilvl="0" w:tplc="D06EBCE2">
      <w:start w:val="1"/>
      <w:numFmt w:val="bullet"/>
      <w:lvlText w:val="–"/>
      <w:lvlJc w:val="left"/>
      <w:pPr>
        <w:ind w:left="720" w:hanging="360"/>
      </w:pPr>
      <w:rPr>
        <w:rFonts w:ascii="Arial" w:eastAsia="Arial" w:hAnsi="Arial" w:cs="Arial"/>
      </w:rPr>
    </w:lvl>
    <w:lvl w:ilvl="1" w:tplc="9AC64130">
      <w:start w:val="1"/>
      <w:numFmt w:val="bullet"/>
      <w:lvlText w:val="o"/>
      <w:lvlJc w:val="left"/>
      <w:pPr>
        <w:ind w:left="1440" w:hanging="360"/>
      </w:pPr>
      <w:rPr>
        <w:rFonts w:ascii="Courier New" w:eastAsia="Courier New" w:hAnsi="Courier New" w:cs="Courier New" w:hint="default"/>
      </w:rPr>
    </w:lvl>
    <w:lvl w:ilvl="2" w:tplc="2A8C91BE">
      <w:start w:val="1"/>
      <w:numFmt w:val="bullet"/>
      <w:lvlText w:val="§"/>
      <w:lvlJc w:val="left"/>
      <w:pPr>
        <w:ind w:left="2160" w:hanging="360"/>
      </w:pPr>
      <w:rPr>
        <w:rFonts w:ascii="Wingdings" w:eastAsia="Wingdings" w:hAnsi="Wingdings" w:cs="Wingdings" w:hint="default"/>
      </w:rPr>
    </w:lvl>
    <w:lvl w:ilvl="3" w:tplc="9BA8EC98">
      <w:start w:val="1"/>
      <w:numFmt w:val="bullet"/>
      <w:lvlText w:val="·"/>
      <w:lvlJc w:val="left"/>
      <w:pPr>
        <w:ind w:left="2880" w:hanging="360"/>
      </w:pPr>
      <w:rPr>
        <w:rFonts w:ascii="Symbol" w:eastAsia="Symbol" w:hAnsi="Symbol" w:cs="Symbol" w:hint="default"/>
      </w:rPr>
    </w:lvl>
    <w:lvl w:ilvl="4" w:tplc="0FEAF6DA">
      <w:start w:val="1"/>
      <w:numFmt w:val="bullet"/>
      <w:lvlText w:val="o"/>
      <w:lvlJc w:val="left"/>
      <w:pPr>
        <w:ind w:left="3600" w:hanging="360"/>
      </w:pPr>
      <w:rPr>
        <w:rFonts w:ascii="Courier New" w:eastAsia="Courier New" w:hAnsi="Courier New" w:cs="Courier New" w:hint="default"/>
      </w:rPr>
    </w:lvl>
    <w:lvl w:ilvl="5" w:tplc="C0E24DBA">
      <w:start w:val="1"/>
      <w:numFmt w:val="bullet"/>
      <w:lvlText w:val="§"/>
      <w:lvlJc w:val="left"/>
      <w:pPr>
        <w:ind w:left="4320" w:hanging="360"/>
      </w:pPr>
      <w:rPr>
        <w:rFonts w:ascii="Wingdings" w:eastAsia="Wingdings" w:hAnsi="Wingdings" w:cs="Wingdings" w:hint="default"/>
      </w:rPr>
    </w:lvl>
    <w:lvl w:ilvl="6" w:tplc="5546EE16">
      <w:start w:val="1"/>
      <w:numFmt w:val="bullet"/>
      <w:lvlText w:val="·"/>
      <w:lvlJc w:val="left"/>
      <w:pPr>
        <w:ind w:left="5040" w:hanging="360"/>
      </w:pPr>
      <w:rPr>
        <w:rFonts w:ascii="Symbol" w:eastAsia="Symbol" w:hAnsi="Symbol" w:cs="Symbol" w:hint="default"/>
      </w:rPr>
    </w:lvl>
    <w:lvl w:ilvl="7" w:tplc="63C4CE00">
      <w:start w:val="1"/>
      <w:numFmt w:val="bullet"/>
      <w:lvlText w:val="o"/>
      <w:lvlJc w:val="left"/>
      <w:pPr>
        <w:ind w:left="5760" w:hanging="360"/>
      </w:pPr>
      <w:rPr>
        <w:rFonts w:ascii="Courier New" w:eastAsia="Courier New" w:hAnsi="Courier New" w:cs="Courier New" w:hint="default"/>
      </w:rPr>
    </w:lvl>
    <w:lvl w:ilvl="8" w:tplc="4CBC3908">
      <w:start w:val="1"/>
      <w:numFmt w:val="bullet"/>
      <w:lvlText w:val="§"/>
      <w:lvlJc w:val="left"/>
      <w:pPr>
        <w:ind w:left="6480" w:hanging="360"/>
      </w:pPr>
      <w:rPr>
        <w:rFonts w:ascii="Wingdings" w:eastAsia="Wingdings" w:hAnsi="Wingdings" w:cs="Wingdings" w:hint="default"/>
      </w:rPr>
    </w:lvl>
  </w:abstractNum>
  <w:abstractNum w:abstractNumId="47">
    <w:nsid w:val="28EE7A41"/>
    <w:multiLevelType w:val="hybridMultilevel"/>
    <w:tmpl w:val="A5DC58A0"/>
    <w:lvl w:ilvl="0" w:tplc="6BF40B74">
      <w:start w:val="1"/>
      <w:numFmt w:val="decimal"/>
      <w:lvlText w:val="%1."/>
      <w:lvlJc w:val="left"/>
      <w:pPr>
        <w:ind w:left="709" w:hanging="360"/>
      </w:pPr>
    </w:lvl>
    <w:lvl w:ilvl="1" w:tplc="ADFADBB6">
      <w:start w:val="1"/>
      <w:numFmt w:val="lowerLetter"/>
      <w:lvlText w:val="%2."/>
      <w:lvlJc w:val="left"/>
      <w:pPr>
        <w:ind w:left="1429" w:hanging="360"/>
      </w:pPr>
    </w:lvl>
    <w:lvl w:ilvl="2" w:tplc="77821464">
      <w:start w:val="1"/>
      <w:numFmt w:val="lowerRoman"/>
      <w:lvlText w:val="%3."/>
      <w:lvlJc w:val="right"/>
      <w:pPr>
        <w:ind w:left="2149" w:hanging="180"/>
      </w:pPr>
    </w:lvl>
    <w:lvl w:ilvl="3" w:tplc="B5088DC8">
      <w:start w:val="1"/>
      <w:numFmt w:val="decimal"/>
      <w:lvlText w:val="%4."/>
      <w:lvlJc w:val="left"/>
      <w:pPr>
        <w:ind w:left="2869" w:hanging="360"/>
      </w:pPr>
    </w:lvl>
    <w:lvl w:ilvl="4" w:tplc="953ED3C0">
      <w:start w:val="1"/>
      <w:numFmt w:val="lowerLetter"/>
      <w:lvlText w:val="%5."/>
      <w:lvlJc w:val="left"/>
      <w:pPr>
        <w:ind w:left="3589" w:hanging="360"/>
      </w:pPr>
    </w:lvl>
    <w:lvl w:ilvl="5" w:tplc="F86CD988">
      <w:start w:val="1"/>
      <w:numFmt w:val="lowerRoman"/>
      <w:lvlText w:val="%6."/>
      <w:lvlJc w:val="right"/>
      <w:pPr>
        <w:ind w:left="4309" w:hanging="180"/>
      </w:pPr>
    </w:lvl>
    <w:lvl w:ilvl="6" w:tplc="F970D18A">
      <w:start w:val="1"/>
      <w:numFmt w:val="decimal"/>
      <w:lvlText w:val="%7."/>
      <w:lvlJc w:val="left"/>
      <w:pPr>
        <w:ind w:left="5029" w:hanging="360"/>
      </w:pPr>
    </w:lvl>
    <w:lvl w:ilvl="7" w:tplc="1FD8E326">
      <w:start w:val="1"/>
      <w:numFmt w:val="lowerLetter"/>
      <w:lvlText w:val="%8."/>
      <w:lvlJc w:val="left"/>
      <w:pPr>
        <w:ind w:left="5749" w:hanging="360"/>
      </w:pPr>
    </w:lvl>
    <w:lvl w:ilvl="8" w:tplc="B62AF3BA">
      <w:start w:val="1"/>
      <w:numFmt w:val="lowerRoman"/>
      <w:lvlText w:val="%9."/>
      <w:lvlJc w:val="right"/>
      <w:pPr>
        <w:ind w:left="6469" w:hanging="180"/>
      </w:pPr>
    </w:lvl>
  </w:abstractNum>
  <w:abstractNum w:abstractNumId="48">
    <w:nsid w:val="2A9D0194"/>
    <w:multiLevelType w:val="hybridMultilevel"/>
    <w:tmpl w:val="844E3FF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9">
    <w:nsid w:val="2B67493C"/>
    <w:multiLevelType w:val="hybridMultilevel"/>
    <w:tmpl w:val="960CC660"/>
    <w:lvl w:ilvl="0" w:tplc="DF847908">
      <w:start w:val="1"/>
      <w:numFmt w:val="bullet"/>
      <w:lvlText w:val="–"/>
      <w:lvlJc w:val="left"/>
      <w:pPr>
        <w:ind w:left="720" w:hanging="360"/>
      </w:pPr>
      <w:rPr>
        <w:rFonts w:ascii="Arial" w:eastAsia="Arial" w:hAnsi="Arial" w:cs="Arial"/>
      </w:rPr>
    </w:lvl>
    <w:lvl w:ilvl="1" w:tplc="BAC0DDCA">
      <w:start w:val="1"/>
      <w:numFmt w:val="bullet"/>
      <w:lvlText w:val="o"/>
      <w:lvlJc w:val="left"/>
      <w:pPr>
        <w:ind w:left="1440" w:hanging="360"/>
      </w:pPr>
      <w:rPr>
        <w:rFonts w:ascii="Courier New" w:eastAsia="Courier New" w:hAnsi="Courier New" w:cs="Courier New" w:hint="default"/>
      </w:rPr>
    </w:lvl>
    <w:lvl w:ilvl="2" w:tplc="130E632A">
      <w:start w:val="1"/>
      <w:numFmt w:val="bullet"/>
      <w:lvlText w:val="§"/>
      <w:lvlJc w:val="left"/>
      <w:pPr>
        <w:ind w:left="2160" w:hanging="360"/>
      </w:pPr>
      <w:rPr>
        <w:rFonts w:ascii="Wingdings" w:eastAsia="Wingdings" w:hAnsi="Wingdings" w:cs="Wingdings" w:hint="default"/>
      </w:rPr>
    </w:lvl>
    <w:lvl w:ilvl="3" w:tplc="9FFAB63C">
      <w:start w:val="1"/>
      <w:numFmt w:val="bullet"/>
      <w:lvlText w:val="·"/>
      <w:lvlJc w:val="left"/>
      <w:pPr>
        <w:ind w:left="2880" w:hanging="360"/>
      </w:pPr>
      <w:rPr>
        <w:rFonts w:ascii="Symbol" w:eastAsia="Symbol" w:hAnsi="Symbol" w:cs="Symbol" w:hint="default"/>
      </w:rPr>
    </w:lvl>
    <w:lvl w:ilvl="4" w:tplc="95B480CC">
      <w:start w:val="1"/>
      <w:numFmt w:val="bullet"/>
      <w:lvlText w:val="o"/>
      <w:lvlJc w:val="left"/>
      <w:pPr>
        <w:ind w:left="3600" w:hanging="360"/>
      </w:pPr>
      <w:rPr>
        <w:rFonts w:ascii="Courier New" w:eastAsia="Courier New" w:hAnsi="Courier New" w:cs="Courier New" w:hint="default"/>
      </w:rPr>
    </w:lvl>
    <w:lvl w:ilvl="5" w:tplc="80D01C02">
      <w:start w:val="1"/>
      <w:numFmt w:val="bullet"/>
      <w:lvlText w:val="§"/>
      <w:lvlJc w:val="left"/>
      <w:pPr>
        <w:ind w:left="4320" w:hanging="360"/>
      </w:pPr>
      <w:rPr>
        <w:rFonts w:ascii="Wingdings" w:eastAsia="Wingdings" w:hAnsi="Wingdings" w:cs="Wingdings" w:hint="default"/>
      </w:rPr>
    </w:lvl>
    <w:lvl w:ilvl="6" w:tplc="C8DAEC96">
      <w:start w:val="1"/>
      <w:numFmt w:val="bullet"/>
      <w:lvlText w:val="·"/>
      <w:lvlJc w:val="left"/>
      <w:pPr>
        <w:ind w:left="5040" w:hanging="360"/>
      </w:pPr>
      <w:rPr>
        <w:rFonts w:ascii="Symbol" w:eastAsia="Symbol" w:hAnsi="Symbol" w:cs="Symbol" w:hint="default"/>
      </w:rPr>
    </w:lvl>
    <w:lvl w:ilvl="7" w:tplc="F01050B2">
      <w:start w:val="1"/>
      <w:numFmt w:val="bullet"/>
      <w:lvlText w:val="o"/>
      <w:lvlJc w:val="left"/>
      <w:pPr>
        <w:ind w:left="5760" w:hanging="360"/>
      </w:pPr>
      <w:rPr>
        <w:rFonts w:ascii="Courier New" w:eastAsia="Courier New" w:hAnsi="Courier New" w:cs="Courier New" w:hint="default"/>
      </w:rPr>
    </w:lvl>
    <w:lvl w:ilvl="8" w:tplc="3BC673E2">
      <w:start w:val="1"/>
      <w:numFmt w:val="bullet"/>
      <w:lvlText w:val="§"/>
      <w:lvlJc w:val="left"/>
      <w:pPr>
        <w:ind w:left="6480" w:hanging="360"/>
      </w:pPr>
      <w:rPr>
        <w:rFonts w:ascii="Wingdings" w:eastAsia="Wingdings" w:hAnsi="Wingdings" w:cs="Wingdings" w:hint="default"/>
      </w:rPr>
    </w:lvl>
  </w:abstractNum>
  <w:abstractNum w:abstractNumId="50">
    <w:nsid w:val="2C4A5F34"/>
    <w:multiLevelType w:val="hybridMultilevel"/>
    <w:tmpl w:val="1CF0A1D2"/>
    <w:lvl w:ilvl="0" w:tplc="75BE5A4C">
      <w:start w:val="1"/>
      <w:numFmt w:val="bullet"/>
      <w:lvlText w:val="–"/>
      <w:lvlJc w:val="left"/>
      <w:pPr>
        <w:ind w:left="720" w:hanging="360"/>
      </w:pPr>
      <w:rPr>
        <w:rFonts w:ascii="Arial" w:eastAsia="Arial" w:hAnsi="Arial" w:cs="Arial"/>
      </w:rPr>
    </w:lvl>
    <w:lvl w:ilvl="1" w:tplc="849CD096">
      <w:start w:val="1"/>
      <w:numFmt w:val="bullet"/>
      <w:lvlText w:val="o"/>
      <w:lvlJc w:val="left"/>
      <w:pPr>
        <w:ind w:left="1440" w:hanging="360"/>
      </w:pPr>
      <w:rPr>
        <w:rFonts w:ascii="Courier New" w:eastAsia="Courier New" w:hAnsi="Courier New" w:cs="Courier New" w:hint="default"/>
      </w:rPr>
    </w:lvl>
    <w:lvl w:ilvl="2" w:tplc="C6566FAE">
      <w:start w:val="1"/>
      <w:numFmt w:val="bullet"/>
      <w:lvlText w:val="§"/>
      <w:lvlJc w:val="left"/>
      <w:pPr>
        <w:ind w:left="2160" w:hanging="360"/>
      </w:pPr>
      <w:rPr>
        <w:rFonts w:ascii="Wingdings" w:eastAsia="Wingdings" w:hAnsi="Wingdings" w:cs="Wingdings" w:hint="default"/>
      </w:rPr>
    </w:lvl>
    <w:lvl w:ilvl="3" w:tplc="DBBEB29C">
      <w:start w:val="1"/>
      <w:numFmt w:val="bullet"/>
      <w:lvlText w:val="·"/>
      <w:lvlJc w:val="left"/>
      <w:pPr>
        <w:ind w:left="2880" w:hanging="360"/>
      </w:pPr>
      <w:rPr>
        <w:rFonts w:ascii="Symbol" w:eastAsia="Symbol" w:hAnsi="Symbol" w:cs="Symbol" w:hint="default"/>
      </w:rPr>
    </w:lvl>
    <w:lvl w:ilvl="4" w:tplc="A18ADBAE">
      <w:start w:val="1"/>
      <w:numFmt w:val="bullet"/>
      <w:lvlText w:val="o"/>
      <w:lvlJc w:val="left"/>
      <w:pPr>
        <w:ind w:left="3600" w:hanging="360"/>
      </w:pPr>
      <w:rPr>
        <w:rFonts w:ascii="Courier New" w:eastAsia="Courier New" w:hAnsi="Courier New" w:cs="Courier New" w:hint="default"/>
      </w:rPr>
    </w:lvl>
    <w:lvl w:ilvl="5" w:tplc="1FB0F478">
      <w:start w:val="1"/>
      <w:numFmt w:val="bullet"/>
      <w:lvlText w:val="§"/>
      <w:lvlJc w:val="left"/>
      <w:pPr>
        <w:ind w:left="4320" w:hanging="360"/>
      </w:pPr>
      <w:rPr>
        <w:rFonts w:ascii="Wingdings" w:eastAsia="Wingdings" w:hAnsi="Wingdings" w:cs="Wingdings" w:hint="default"/>
      </w:rPr>
    </w:lvl>
    <w:lvl w:ilvl="6" w:tplc="39A4C354">
      <w:start w:val="1"/>
      <w:numFmt w:val="bullet"/>
      <w:lvlText w:val="·"/>
      <w:lvlJc w:val="left"/>
      <w:pPr>
        <w:ind w:left="5040" w:hanging="360"/>
      </w:pPr>
      <w:rPr>
        <w:rFonts w:ascii="Symbol" w:eastAsia="Symbol" w:hAnsi="Symbol" w:cs="Symbol" w:hint="default"/>
      </w:rPr>
    </w:lvl>
    <w:lvl w:ilvl="7" w:tplc="1974DE6E">
      <w:start w:val="1"/>
      <w:numFmt w:val="bullet"/>
      <w:lvlText w:val="o"/>
      <w:lvlJc w:val="left"/>
      <w:pPr>
        <w:ind w:left="5760" w:hanging="360"/>
      </w:pPr>
      <w:rPr>
        <w:rFonts w:ascii="Courier New" w:eastAsia="Courier New" w:hAnsi="Courier New" w:cs="Courier New" w:hint="default"/>
      </w:rPr>
    </w:lvl>
    <w:lvl w:ilvl="8" w:tplc="A07AE0F4">
      <w:start w:val="1"/>
      <w:numFmt w:val="bullet"/>
      <w:lvlText w:val="§"/>
      <w:lvlJc w:val="left"/>
      <w:pPr>
        <w:ind w:left="6480" w:hanging="360"/>
      </w:pPr>
      <w:rPr>
        <w:rFonts w:ascii="Wingdings" w:eastAsia="Wingdings" w:hAnsi="Wingdings" w:cs="Wingdings" w:hint="default"/>
      </w:rPr>
    </w:lvl>
  </w:abstractNum>
  <w:abstractNum w:abstractNumId="51">
    <w:nsid w:val="2CB5576B"/>
    <w:multiLevelType w:val="hybridMultilevel"/>
    <w:tmpl w:val="F098AF78"/>
    <w:lvl w:ilvl="0" w:tplc="090A1EC4">
      <w:start w:val="1"/>
      <w:numFmt w:val="decimal"/>
      <w:lvlText w:val="%1."/>
      <w:lvlJc w:val="right"/>
      <w:pPr>
        <w:ind w:left="709" w:hanging="360"/>
      </w:pPr>
    </w:lvl>
    <w:lvl w:ilvl="1" w:tplc="CB7CF510">
      <w:start w:val="1"/>
      <w:numFmt w:val="lowerLetter"/>
      <w:lvlText w:val="%2."/>
      <w:lvlJc w:val="left"/>
      <w:pPr>
        <w:ind w:left="1429" w:hanging="360"/>
      </w:pPr>
    </w:lvl>
    <w:lvl w:ilvl="2" w:tplc="020273E4">
      <w:start w:val="1"/>
      <w:numFmt w:val="lowerRoman"/>
      <w:lvlText w:val="%3."/>
      <w:lvlJc w:val="right"/>
      <w:pPr>
        <w:ind w:left="2149" w:hanging="180"/>
      </w:pPr>
    </w:lvl>
    <w:lvl w:ilvl="3" w:tplc="6116F98C">
      <w:start w:val="1"/>
      <w:numFmt w:val="decimal"/>
      <w:lvlText w:val="%4."/>
      <w:lvlJc w:val="left"/>
      <w:pPr>
        <w:ind w:left="2869" w:hanging="360"/>
      </w:pPr>
    </w:lvl>
    <w:lvl w:ilvl="4" w:tplc="32CE5F5A">
      <w:start w:val="1"/>
      <w:numFmt w:val="lowerLetter"/>
      <w:lvlText w:val="%5."/>
      <w:lvlJc w:val="left"/>
      <w:pPr>
        <w:ind w:left="3589" w:hanging="360"/>
      </w:pPr>
    </w:lvl>
    <w:lvl w:ilvl="5" w:tplc="66ECE348">
      <w:start w:val="1"/>
      <w:numFmt w:val="lowerRoman"/>
      <w:lvlText w:val="%6."/>
      <w:lvlJc w:val="right"/>
      <w:pPr>
        <w:ind w:left="4309" w:hanging="180"/>
      </w:pPr>
    </w:lvl>
    <w:lvl w:ilvl="6" w:tplc="D3DADDFE">
      <w:start w:val="1"/>
      <w:numFmt w:val="decimal"/>
      <w:lvlText w:val="%7."/>
      <w:lvlJc w:val="left"/>
      <w:pPr>
        <w:ind w:left="5029" w:hanging="360"/>
      </w:pPr>
    </w:lvl>
    <w:lvl w:ilvl="7" w:tplc="E0F6D9DE">
      <w:start w:val="1"/>
      <w:numFmt w:val="lowerLetter"/>
      <w:lvlText w:val="%8."/>
      <w:lvlJc w:val="left"/>
      <w:pPr>
        <w:ind w:left="5749" w:hanging="360"/>
      </w:pPr>
    </w:lvl>
    <w:lvl w:ilvl="8" w:tplc="B88679E4">
      <w:start w:val="1"/>
      <w:numFmt w:val="lowerRoman"/>
      <w:lvlText w:val="%9."/>
      <w:lvlJc w:val="right"/>
      <w:pPr>
        <w:ind w:left="6469" w:hanging="180"/>
      </w:pPr>
    </w:lvl>
  </w:abstractNum>
  <w:abstractNum w:abstractNumId="52">
    <w:nsid w:val="2D8B6AF8"/>
    <w:multiLevelType w:val="hybridMultilevel"/>
    <w:tmpl w:val="0A48B3BC"/>
    <w:lvl w:ilvl="0" w:tplc="B224B27C">
      <w:start w:val="1"/>
      <w:numFmt w:val="bullet"/>
      <w:lvlText w:val="–"/>
      <w:lvlJc w:val="left"/>
      <w:pPr>
        <w:ind w:left="720" w:hanging="360"/>
      </w:pPr>
      <w:rPr>
        <w:rFonts w:ascii="Arial" w:eastAsia="Arial" w:hAnsi="Arial" w:cs="Arial"/>
      </w:rPr>
    </w:lvl>
    <w:lvl w:ilvl="1" w:tplc="EB04B978">
      <w:start w:val="1"/>
      <w:numFmt w:val="bullet"/>
      <w:lvlText w:val="o"/>
      <w:lvlJc w:val="left"/>
      <w:pPr>
        <w:ind w:left="1440" w:hanging="360"/>
      </w:pPr>
      <w:rPr>
        <w:rFonts w:ascii="Courier New" w:eastAsia="Courier New" w:hAnsi="Courier New" w:cs="Courier New" w:hint="default"/>
      </w:rPr>
    </w:lvl>
    <w:lvl w:ilvl="2" w:tplc="C83C4EAE">
      <w:start w:val="1"/>
      <w:numFmt w:val="bullet"/>
      <w:lvlText w:val="§"/>
      <w:lvlJc w:val="left"/>
      <w:pPr>
        <w:ind w:left="2160" w:hanging="360"/>
      </w:pPr>
      <w:rPr>
        <w:rFonts w:ascii="Wingdings" w:eastAsia="Wingdings" w:hAnsi="Wingdings" w:cs="Wingdings" w:hint="default"/>
      </w:rPr>
    </w:lvl>
    <w:lvl w:ilvl="3" w:tplc="C4129670">
      <w:start w:val="1"/>
      <w:numFmt w:val="bullet"/>
      <w:lvlText w:val="·"/>
      <w:lvlJc w:val="left"/>
      <w:pPr>
        <w:ind w:left="2880" w:hanging="360"/>
      </w:pPr>
      <w:rPr>
        <w:rFonts w:ascii="Symbol" w:eastAsia="Symbol" w:hAnsi="Symbol" w:cs="Symbol" w:hint="default"/>
      </w:rPr>
    </w:lvl>
    <w:lvl w:ilvl="4" w:tplc="E1AAB5DC">
      <w:start w:val="1"/>
      <w:numFmt w:val="bullet"/>
      <w:lvlText w:val="o"/>
      <w:lvlJc w:val="left"/>
      <w:pPr>
        <w:ind w:left="3600" w:hanging="360"/>
      </w:pPr>
      <w:rPr>
        <w:rFonts w:ascii="Courier New" w:eastAsia="Courier New" w:hAnsi="Courier New" w:cs="Courier New" w:hint="default"/>
      </w:rPr>
    </w:lvl>
    <w:lvl w:ilvl="5" w:tplc="3588218C">
      <w:start w:val="1"/>
      <w:numFmt w:val="bullet"/>
      <w:lvlText w:val="§"/>
      <w:lvlJc w:val="left"/>
      <w:pPr>
        <w:ind w:left="4320" w:hanging="360"/>
      </w:pPr>
      <w:rPr>
        <w:rFonts w:ascii="Wingdings" w:eastAsia="Wingdings" w:hAnsi="Wingdings" w:cs="Wingdings" w:hint="default"/>
      </w:rPr>
    </w:lvl>
    <w:lvl w:ilvl="6" w:tplc="49BC2374">
      <w:start w:val="1"/>
      <w:numFmt w:val="bullet"/>
      <w:lvlText w:val="·"/>
      <w:lvlJc w:val="left"/>
      <w:pPr>
        <w:ind w:left="5040" w:hanging="360"/>
      </w:pPr>
      <w:rPr>
        <w:rFonts w:ascii="Symbol" w:eastAsia="Symbol" w:hAnsi="Symbol" w:cs="Symbol" w:hint="default"/>
      </w:rPr>
    </w:lvl>
    <w:lvl w:ilvl="7" w:tplc="7D28D58C">
      <w:start w:val="1"/>
      <w:numFmt w:val="bullet"/>
      <w:lvlText w:val="o"/>
      <w:lvlJc w:val="left"/>
      <w:pPr>
        <w:ind w:left="5760" w:hanging="360"/>
      </w:pPr>
      <w:rPr>
        <w:rFonts w:ascii="Courier New" w:eastAsia="Courier New" w:hAnsi="Courier New" w:cs="Courier New" w:hint="default"/>
      </w:rPr>
    </w:lvl>
    <w:lvl w:ilvl="8" w:tplc="12E2BC0E">
      <w:start w:val="1"/>
      <w:numFmt w:val="bullet"/>
      <w:lvlText w:val="§"/>
      <w:lvlJc w:val="left"/>
      <w:pPr>
        <w:ind w:left="6480" w:hanging="360"/>
      </w:pPr>
      <w:rPr>
        <w:rFonts w:ascii="Wingdings" w:eastAsia="Wingdings" w:hAnsi="Wingdings" w:cs="Wingdings" w:hint="default"/>
      </w:rPr>
    </w:lvl>
  </w:abstractNum>
  <w:abstractNum w:abstractNumId="53">
    <w:nsid w:val="2DC46A64"/>
    <w:multiLevelType w:val="hybridMultilevel"/>
    <w:tmpl w:val="9F82E52C"/>
    <w:lvl w:ilvl="0" w:tplc="6FB4E674">
      <w:start w:val="1"/>
      <w:numFmt w:val="decimal"/>
      <w:lvlText w:val="%1."/>
      <w:lvlJc w:val="right"/>
      <w:pPr>
        <w:ind w:left="709" w:hanging="360"/>
      </w:pPr>
    </w:lvl>
    <w:lvl w:ilvl="1" w:tplc="87740832">
      <w:start w:val="1"/>
      <w:numFmt w:val="lowerLetter"/>
      <w:lvlText w:val="%2."/>
      <w:lvlJc w:val="left"/>
      <w:pPr>
        <w:ind w:left="1429" w:hanging="360"/>
      </w:pPr>
    </w:lvl>
    <w:lvl w:ilvl="2" w:tplc="BB8A2774">
      <w:start w:val="1"/>
      <w:numFmt w:val="lowerRoman"/>
      <w:lvlText w:val="%3."/>
      <w:lvlJc w:val="right"/>
      <w:pPr>
        <w:ind w:left="2149" w:hanging="180"/>
      </w:pPr>
    </w:lvl>
    <w:lvl w:ilvl="3" w:tplc="F7B6A6AE">
      <w:start w:val="1"/>
      <w:numFmt w:val="decimal"/>
      <w:lvlText w:val="%4."/>
      <w:lvlJc w:val="left"/>
      <w:pPr>
        <w:ind w:left="2869" w:hanging="360"/>
      </w:pPr>
    </w:lvl>
    <w:lvl w:ilvl="4" w:tplc="F30CD192">
      <w:start w:val="1"/>
      <w:numFmt w:val="lowerLetter"/>
      <w:lvlText w:val="%5."/>
      <w:lvlJc w:val="left"/>
      <w:pPr>
        <w:ind w:left="3589" w:hanging="360"/>
      </w:pPr>
    </w:lvl>
    <w:lvl w:ilvl="5" w:tplc="709C9418">
      <w:start w:val="1"/>
      <w:numFmt w:val="lowerRoman"/>
      <w:lvlText w:val="%6."/>
      <w:lvlJc w:val="right"/>
      <w:pPr>
        <w:ind w:left="4309" w:hanging="180"/>
      </w:pPr>
    </w:lvl>
    <w:lvl w:ilvl="6" w:tplc="EB6296C8">
      <w:start w:val="1"/>
      <w:numFmt w:val="decimal"/>
      <w:lvlText w:val="%7."/>
      <w:lvlJc w:val="left"/>
      <w:pPr>
        <w:ind w:left="5029" w:hanging="360"/>
      </w:pPr>
    </w:lvl>
    <w:lvl w:ilvl="7" w:tplc="DD5A759C">
      <w:start w:val="1"/>
      <w:numFmt w:val="lowerLetter"/>
      <w:lvlText w:val="%8."/>
      <w:lvlJc w:val="left"/>
      <w:pPr>
        <w:ind w:left="5749" w:hanging="360"/>
      </w:pPr>
    </w:lvl>
    <w:lvl w:ilvl="8" w:tplc="4C12C54E">
      <w:start w:val="1"/>
      <w:numFmt w:val="lowerRoman"/>
      <w:lvlText w:val="%9."/>
      <w:lvlJc w:val="right"/>
      <w:pPr>
        <w:ind w:left="6469" w:hanging="180"/>
      </w:pPr>
    </w:lvl>
  </w:abstractNum>
  <w:abstractNum w:abstractNumId="54">
    <w:nsid w:val="2F244029"/>
    <w:multiLevelType w:val="hybridMultilevel"/>
    <w:tmpl w:val="3FFAAE64"/>
    <w:lvl w:ilvl="0" w:tplc="9F1C8B3E">
      <w:start w:val="1"/>
      <w:numFmt w:val="bullet"/>
      <w:lvlText w:val="–"/>
      <w:lvlJc w:val="left"/>
      <w:pPr>
        <w:ind w:left="720" w:hanging="360"/>
      </w:pPr>
      <w:rPr>
        <w:rFonts w:ascii="Arial" w:eastAsia="Arial" w:hAnsi="Arial" w:cs="Arial"/>
      </w:rPr>
    </w:lvl>
    <w:lvl w:ilvl="1" w:tplc="53123E60">
      <w:start w:val="1"/>
      <w:numFmt w:val="bullet"/>
      <w:lvlText w:val="o"/>
      <w:lvlJc w:val="left"/>
      <w:pPr>
        <w:ind w:left="1440" w:hanging="360"/>
      </w:pPr>
      <w:rPr>
        <w:rFonts w:ascii="Courier New" w:eastAsia="Courier New" w:hAnsi="Courier New" w:cs="Courier New" w:hint="default"/>
      </w:rPr>
    </w:lvl>
    <w:lvl w:ilvl="2" w:tplc="5EB00AB8">
      <w:start w:val="1"/>
      <w:numFmt w:val="bullet"/>
      <w:lvlText w:val="§"/>
      <w:lvlJc w:val="left"/>
      <w:pPr>
        <w:ind w:left="2160" w:hanging="360"/>
      </w:pPr>
      <w:rPr>
        <w:rFonts w:ascii="Wingdings" w:eastAsia="Wingdings" w:hAnsi="Wingdings" w:cs="Wingdings" w:hint="default"/>
      </w:rPr>
    </w:lvl>
    <w:lvl w:ilvl="3" w:tplc="A2A40C18">
      <w:start w:val="1"/>
      <w:numFmt w:val="bullet"/>
      <w:lvlText w:val="·"/>
      <w:lvlJc w:val="left"/>
      <w:pPr>
        <w:ind w:left="2880" w:hanging="360"/>
      </w:pPr>
      <w:rPr>
        <w:rFonts w:ascii="Symbol" w:eastAsia="Symbol" w:hAnsi="Symbol" w:cs="Symbol" w:hint="default"/>
      </w:rPr>
    </w:lvl>
    <w:lvl w:ilvl="4" w:tplc="65C4750E">
      <w:start w:val="1"/>
      <w:numFmt w:val="bullet"/>
      <w:lvlText w:val="o"/>
      <w:lvlJc w:val="left"/>
      <w:pPr>
        <w:ind w:left="3600" w:hanging="360"/>
      </w:pPr>
      <w:rPr>
        <w:rFonts w:ascii="Courier New" w:eastAsia="Courier New" w:hAnsi="Courier New" w:cs="Courier New" w:hint="default"/>
      </w:rPr>
    </w:lvl>
    <w:lvl w:ilvl="5" w:tplc="0DACF89C">
      <w:start w:val="1"/>
      <w:numFmt w:val="bullet"/>
      <w:lvlText w:val="§"/>
      <w:lvlJc w:val="left"/>
      <w:pPr>
        <w:ind w:left="4320" w:hanging="360"/>
      </w:pPr>
      <w:rPr>
        <w:rFonts w:ascii="Wingdings" w:eastAsia="Wingdings" w:hAnsi="Wingdings" w:cs="Wingdings" w:hint="default"/>
      </w:rPr>
    </w:lvl>
    <w:lvl w:ilvl="6" w:tplc="06C4C8A4">
      <w:start w:val="1"/>
      <w:numFmt w:val="bullet"/>
      <w:lvlText w:val="·"/>
      <w:lvlJc w:val="left"/>
      <w:pPr>
        <w:ind w:left="5040" w:hanging="360"/>
      </w:pPr>
      <w:rPr>
        <w:rFonts w:ascii="Symbol" w:eastAsia="Symbol" w:hAnsi="Symbol" w:cs="Symbol" w:hint="default"/>
      </w:rPr>
    </w:lvl>
    <w:lvl w:ilvl="7" w:tplc="BD0C2356">
      <w:start w:val="1"/>
      <w:numFmt w:val="bullet"/>
      <w:lvlText w:val="o"/>
      <w:lvlJc w:val="left"/>
      <w:pPr>
        <w:ind w:left="5760" w:hanging="360"/>
      </w:pPr>
      <w:rPr>
        <w:rFonts w:ascii="Courier New" w:eastAsia="Courier New" w:hAnsi="Courier New" w:cs="Courier New" w:hint="default"/>
      </w:rPr>
    </w:lvl>
    <w:lvl w:ilvl="8" w:tplc="EC4A80D0">
      <w:start w:val="1"/>
      <w:numFmt w:val="bullet"/>
      <w:lvlText w:val="§"/>
      <w:lvlJc w:val="left"/>
      <w:pPr>
        <w:ind w:left="6480" w:hanging="360"/>
      </w:pPr>
      <w:rPr>
        <w:rFonts w:ascii="Wingdings" w:eastAsia="Wingdings" w:hAnsi="Wingdings" w:cs="Wingdings" w:hint="default"/>
      </w:rPr>
    </w:lvl>
  </w:abstractNum>
  <w:abstractNum w:abstractNumId="55">
    <w:nsid w:val="2F7E4299"/>
    <w:multiLevelType w:val="hybridMultilevel"/>
    <w:tmpl w:val="5DAE5658"/>
    <w:lvl w:ilvl="0" w:tplc="C0540074">
      <w:start w:val="1"/>
      <w:numFmt w:val="bullet"/>
      <w:lvlText w:val="–"/>
      <w:lvlJc w:val="left"/>
      <w:pPr>
        <w:ind w:left="720" w:hanging="360"/>
      </w:pPr>
      <w:rPr>
        <w:rFonts w:ascii="Arial" w:eastAsia="Arial" w:hAnsi="Arial" w:cs="Arial"/>
      </w:rPr>
    </w:lvl>
    <w:lvl w:ilvl="1" w:tplc="A81E1700">
      <w:start w:val="1"/>
      <w:numFmt w:val="bullet"/>
      <w:lvlText w:val="o"/>
      <w:lvlJc w:val="left"/>
      <w:pPr>
        <w:ind w:left="1440" w:hanging="360"/>
      </w:pPr>
      <w:rPr>
        <w:rFonts w:ascii="Courier New" w:eastAsia="Courier New" w:hAnsi="Courier New" w:cs="Courier New" w:hint="default"/>
      </w:rPr>
    </w:lvl>
    <w:lvl w:ilvl="2" w:tplc="A3928A8E">
      <w:start w:val="1"/>
      <w:numFmt w:val="bullet"/>
      <w:lvlText w:val="§"/>
      <w:lvlJc w:val="left"/>
      <w:pPr>
        <w:ind w:left="2160" w:hanging="360"/>
      </w:pPr>
      <w:rPr>
        <w:rFonts w:ascii="Wingdings" w:eastAsia="Wingdings" w:hAnsi="Wingdings" w:cs="Wingdings" w:hint="default"/>
      </w:rPr>
    </w:lvl>
    <w:lvl w:ilvl="3" w:tplc="CFB26ED6">
      <w:start w:val="1"/>
      <w:numFmt w:val="bullet"/>
      <w:lvlText w:val="·"/>
      <w:lvlJc w:val="left"/>
      <w:pPr>
        <w:ind w:left="2880" w:hanging="360"/>
      </w:pPr>
      <w:rPr>
        <w:rFonts w:ascii="Symbol" w:eastAsia="Symbol" w:hAnsi="Symbol" w:cs="Symbol" w:hint="default"/>
      </w:rPr>
    </w:lvl>
    <w:lvl w:ilvl="4" w:tplc="76D66000">
      <w:start w:val="1"/>
      <w:numFmt w:val="bullet"/>
      <w:lvlText w:val="o"/>
      <w:lvlJc w:val="left"/>
      <w:pPr>
        <w:ind w:left="3600" w:hanging="360"/>
      </w:pPr>
      <w:rPr>
        <w:rFonts w:ascii="Courier New" w:eastAsia="Courier New" w:hAnsi="Courier New" w:cs="Courier New" w:hint="default"/>
      </w:rPr>
    </w:lvl>
    <w:lvl w:ilvl="5" w:tplc="7958C06C">
      <w:start w:val="1"/>
      <w:numFmt w:val="bullet"/>
      <w:lvlText w:val="§"/>
      <w:lvlJc w:val="left"/>
      <w:pPr>
        <w:ind w:left="4320" w:hanging="360"/>
      </w:pPr>
      <w:rPr>
        <w:rFonts w:ascii="Wingdings" w:eastAsia="Wingdings" w:hAnsi="Wingdings" w:cs="Wingdings" w:hint="default"/>
      </w:rPr>
    </w:lvl>
    <w:lvl w:ilvl="6" w:tplc="6990283E">
      <w:start w:val="1"/>
      <w:numFmt w:val="bullet"/>
      <w:lvlText w:val="·"/>
      <w:lvlJc w:val="left"/>
      <w:pPr>
        <w:ind w:left="5040" w:hanging="360"/>
      </w:pPr>
      <w:rPr>
        <w:rFonts w:ascii="Symbol" w:eastAsia="Symbol" w:hAnsi="Symbol" w:cs="Symbol" w:hint="default"/>
      </w:rPr>
    </w:lvl>
    <w:lvl w:ilvl="7" w:tplc="493E53D2">
      <w:start w:val="1"/>
      <w:numFmt w:val="bullet"/>
      <w:lvlText w:val="o"/>
      <w:lvlJc w:val="left"/>
      <w:pPr>
        <w:ind w:left="5760" w:hanging="360"/>
      </w:pPr>
      <w:rPr>
        <w:rFonts w:ascii="Courier New" w:eastAsia="Courier New" w:hAnsi="Courier New" w:cs="Courier New" w:hint="default"/>
      </w:rPr>
    </w:lvl>
    <w:lvl w:ilvl="8" w:tplc="FD649FD4">
      <w:start w:val="1"/>
      <w:numFmt w:val="bullet"/>
      <w:lvlText w:val="§"/>
      <w:lvlJc w:val="left"/>
      <w:pPr>
        <w:ind w:left="6480" w:hanging="360"/>
      </w:pPr>
      <w:rPr>
        <w:rFonts w:ascii="Wingdings" w:eastAsia="Wingdings" w:hAnsi="Wingdings" w:cs="Wingdings" w:hint="default"/>
      </w:rPr>
    </w:lvl>
  </w:abstractNum>
  <w:abstractNum w:abstractNumId="56">
    <w:nsid w:val="30363268"/>
    <w:multiLevelType w:val="hybridMultilevel"/>
    <w:tmpl w:val="D692525E"/>
    <w:lvl w:ilvl="0" w:tplc="439661E2">
      <w:start w:val="1"/>
      <w:numFmt w:val="bullet"/>
      <w:lvlText w:val="–"/>
      <w:lvlJc w:val="left"/>
      <w:pPr>
        <w:ind w:left="720" w:hanging="360"/>
      </w:pPr>
      <w:rPr>
        <w:rFonts w:ascii="Arial" w:eastAsia="Arial" w:hAnsi="Arial" w:cs="Arial"/>
      </w:rPr>
    </w:lvl>
    <w:lvl w:ilvl="1" w:tplc="94C823D6">
      <w:start w:val="1"/>
      <w:numFmt w:val="bullet"/>
      <w:lvlText w:val="o"/>
      <w:lvlJc w:val="left"/>
      <w:pPr>
        <w:ind w:left="1440" w:hanging="360"/>
      </w:pPr>
      <w:rPr>
        <w:rFonts w:ascii="Courier New" w:eastAsia="Courier New" w:hAnsi="Courier New" w:cs="Courier New" w:hint="default"/>
      </w:rPr>
    </w:lvl>
    <w:lvl w:ilvl="2" w:tplc="30A8F2F0">
      <w:start w:val="1"/>
      <w:numFmt w:val="bullet"/>
      <w:lvlText w:val="§"/>
      <w:lvlJc w:val="left"/>
      <w:pPr>
        <w:ind w:left="2160" w:hanging="360"/>
      </w:pPr>
      <w:rPr>
        <w:rFonts w:ascii="Wingdings" w:eastAsia="Wingdings" w:hAnsi="Wingdings" w:cs="Wingdings" w:hint="default"/>
      </w:rPr>
    </w:lvl>
    <w:lvl w:ilvl="3" w:tplc="99CA857C">
      <w:start w:val="1"/>
      <w:numFmt w:val="bullet"/>
      <w:lvlText w:val="·"/>
      <w:lvlJc w:val="left"/>
      <w:pPr>
        <w:ind w:left="2880" w:hanging="360"/>
      </w:pPr>
      <w:rPr>
        <w:rFonts w:ascii="Symbol" w:eastAsia="Symbol" w:hAnsi="Symbol" w:cs="Symbol" w:hint="default"/>
      </w:rPr>
    </w:lvl>
    <w:lvl w:ilvl="4" w:tplc="8BCC74E2">
      <w:start w:val="1"/>
      <w:numFmt w:val="bullet"/>
      <w:lvlText w:val="o"/>
      <w:lvlJc w:val="left"/>
      <w:pPr>
        <w:ind w:left="3600" w:hanging="360"/>
      </w:pPr>
      <w:rPr>
        <w:rFonts w:ascii="Courier New" w:eastAsia="Courier New" w:hAnsi="Courier New" w:cs="Courier New" w:hint="default"/>
      </w:rPr>
    </w:lvl>
    <w:lvl w:ilvl="5" w:tplc="85C8EEEA">
      <w:start w:val="1"/>
      <w:numFmt w:val="bullet"/>
      <w:lvlText w:val="§"/>
      <w:lvlJc w:val="left"/>
      <w:pPr>
        <w:ind w:left="4320" w:hanging="360"/>
      </w:pPr>
      <w:rPr>
        <w:rFonts w:ascii="Wingdings" w:eastAsia="Wingdings" w:hAnsi="Wingdings" w:cs="Wingdings" w:hint="default"/>
      </w:rPr>
    </w:lvl>
    <w:lvl w:ilvl="6" w:tplc="24F88C5E">
      <w:start w:val="1"/>
      <w:numFmt w:val="bullet"/>
      <w:lvlText w:val="·"/>
      <w:lvlJc w:val="left"/>
      <w:pPr>
        <w:ind w:left="5040" w:hanging="360"/>
      </w:pPr>
      <w:rPr>
        <w:rFonts w:ascii="Symbol" w:eastAsia="Symbol" w:hAnsi="Symbol" w:cs="Symbol" w:hint="default"/>
      </w:rPr>
    </w:lvl>
    <w:lvl w:ilvl="7" w:tplc="669CEFFC">
      <w:start w:val="1"/>
      <w:numFmt w:val="bullet"/>
      <w:lvlText w:val="o"/>
      <w:lvlJc w:val="left"/>
      <w:pPr>
        <w:ind w:left="5760" w:hanging="360"/>
      </w:pPr>
      <w:rPr>
        <w:rFonts w:ascii="Courier New" w:eastAsia="Courier New" w:hAnsi="Courier New" w:cs="Courier New" w:hint="default"/>
      </w:rPr>
    </w:lvl>
    <w:lvl w:ilvl="8" w:tplc="4B5426F2">
      <w:start w:val="1"/>
      <w:numFmt w:val="bullet"/>
      <w:lvlText w:val="§"/>
      <w:lvlJc w:val="left"/>
      <w:pPr>
        <w:ind w:left="6480" w:hanging="360"/>
      </w:pPr>
      <w:rPr>
        <w:rFonts w:ascii="Wingdings" w:eastAsia="Wingdings" w:hAnsi="Wingdings" w:cs="Wingdings" w:hint="default"/>
      </w:rPr>
    </w:lvl>
  </w:abstractNum>
  <w:abstractNum w:abstractNumId="57">
    <w:nsid w:val="319319E6"/>
    <w:multiLevelType w:val="hybridMultilevel"/>
    <w:tmpl w:val="9F82E52C"/>
    <w:lvl w:ilvl="0" w:tplc="6FB4E674">
      <w:start w:val="1"/>
      <w:numFmt w:val="decimal"/>
      <w:lvlText w:val="%1."/>
      <w:lvlJc w:val="right"/>
      <w:pPr>
        <w:ind w:left="709" w:hanging="360"/>
      </w:pPr>
    </w:lvl>
    <w:lvl w:ilvl="1" w:tplc="87740832">
      <w:start w:val="1"/>
      <w:numFmt w:val="lowerLetter"/>
      <w:lvlText w:val="%2."/>
      <w:lvlJc w:val="left"/>
      <w:pPr>
        <w:ind w:left="1429" w:hanging="360"/>
      </w:pPr>
    </w:lvl>
    <w:lvl w:ilvl="2" w:tplc="BB8A2774">
      <w:start w:val="1"/>
      <w:numFmt w:val="lowerRoman"/>
      <w:lvlText w:val="%3."/>
      <w:lvlJc w:val="right"/>
      <w:pPr>
        <w:ind w:left="2149" w:hanging="180"/>
      </w:pPr>
    </w:lvl>
    <w:lvl w:ilvl="3" w:tplc="F7B6A6AE">
      <w:start w:val="1"/>
      <w:numFmt w:val="decimal"/>
      <w:lvlText w:val="%4."/>
      <w:lvlJc w:val="left"/>
      <w:pPr>
        <w:ind w:left="2869" w:hanging="360"/>
      </w:pPr>
    </w:lvl>
    <w:lvl w:ilvl="4" w:tplc="F30CD192">
      <w:start w:val="1"/>
      <w:numFmt w:val="lowerLetter"/>
      <w:lvlText w:val="%5."/>
      <w:lvlJc w:val="left"/>
      <w:pPr>
        <w:ind w:left="3589" w:hanging="360"/>
      </w:pPr>
    </w:lvl>
    <w:lvl w:ilvl="5" w:tplc="709C9418">
      <w:start w:val="1"/>
      <w:numFmt w:val="lowerRoman"/>
      <w:lvlText w:val="%6."/>
      <w:lvlJc w:val="right"/>
      <w:pPr>
        <w:ind w:left="4309" w:hanging="180"/>
      </w:pPr>
    </w:lvl>
    <w:lvl w:ilvl="6" w:tplc="EB6296C8">
      <w:start w:val="1"/>
      <w:numFmt w:val="decimal"/>
      <w:lvlText w:val="%7."/>
      <w:lvlJc w:val="left"/>
      <w:pPr>
        <w:ind w:left="5029" w:hanging="360"/>
      </w:pPr>
    </w:lvl>
    <w:lvl w:ilvl="7" w:tplc="DD5A759C">
      <w:start w:val="1"/>
      <w:numFmt w:val="lowerLetter"/>
      <w:lvlText w:val="%8."/>
      <w:lvlJc w:val="left"/>
      <w:pPr>
        <w:ind w:left="5749" w:hanging="360"/>
      </w:pPr>
    </w:lvl>
    <w:lvl w:ilvl="8" w:tplc="4C12C54E">
      <w:start w:val="1"/>
      <w:numFmt w:val="lowerRoman"/>
      <w:lvlText w:val="%9."/>
      <w:lvlJc w:val="right"/>
      <w:pPr>
        <w:ind w:left="6469" w:hanging="180"/>
      </w:pPr>
    </w:lvl>
  </w:abstractNum>
  <w:abstractNum w:abstractNumId="58">
    <w:nsid w:val="31C75F3B"/>
    <w:multiLevelType w:val="hybridMultilevel"/>
    <w:tmpl w:val="3372050C"/>
    <w:lvl w:ilvl="0" w:tplc="E9E6BBC8">
      <w:start w:val="1"/>
      <w:numFmt w:val="bullet"/>
      <w:lvlText w:val="–"/>
      <w:lvlJc w:val="left"/>
      <w:pPr>
        <w:ind w:left="720" w:hanging="360"/>
      </w:pPr>
      <w:rPr>
        <w:rFonts w:ascii="Arial" w:eastAsia="Arial" w:hAnsi="Arial" w:cs="Arial"/>
      </w:rPr>
    </w:lvl>
    <w:lvl w:ilvl="1" w:tplc="5C3CF0C6">
      <w:start w:val="1"/>
      <w:numFmt w:val="bullet"/>
      <w:lvlText w:val="o"/>
      <w:lvlJc w:val="left"/>
      <w:pPr>
        <w:ind w:left="1440" w:hanging="360"/>
      </w:pPr>
      <w:rPr>
        <w:rFonts w:ascii="Courier New" w:eastAsia="Courier New" w:hAnsi="Courier New" w:cs="Courier New" w:hint="default"/>
      </w:rPr>
    </w:lvl>
    <w:lvl w:ilvl="2" w:tplc="5F6E8140">
      <w:start w:val="1"/>
      <w:numFmt w:val="bullet"/>
      <w:lvlText w:val="§"/>
      <w:lvlJc w:val="left"/>
      <w:pPr>
        <w:ind w:left="2160" w:hanging="360"/>
      </w:pPr>
      <w:rPr>
        <w:rFonts w:ascii="Wingdings" w:eastAsia="Wingdings" w:hAnsi="Wingdings" w:cs="Wingdings" w:hint="default"/>
      </w:rPr>
    </w:lvl>
    <w:lvl w:ilvl="3" w:tplc="07746560">
      <w:start w:val="1"/>
      <w:numFmt w:val="bullet"/>
      <w:lvlText w:val="·"/>
      <w:lvlJc w:val="left"/>
      <w:pPr>
        <w:ind w:left="2880" w:hanging="360"/>
      </w:pPr>
      <w:rPr>
        <w:rFonts w:ascii="Symbol" w:eastAsia="Symbol" w:hAnsi="Symbol" w:cs="Symbol" w:hint="default"/>
      </w:rPr>
    </w:lvl>
    <w:lvl w:ilvl="4" w:tplc="AEC65504">
      <w:start w:val="1"/>
      <w:numFmt w:val="bullet"/>
      <w:lvlText w:val="o"/>
      <w:lvlJc w:val="left"/>
      <w:pPr>
        <w:ind w:left="3600" w:hanging="360"/>
      </w:pPr>
      <w:rPr>
        <w:rFonts w:ascii="Courier New" w:eastAsia="Courier New" w:hAnsi="Courier New" w:cs="Courier New" w:hint="default"/>
      </w:rPr>
    </w:lvl>
    <w:lvl w:ilvl="5" w:tplc="02FA84C8">
      <w:start w:val="1"/>
      <w:numFmt w:val="bullet"/>
      <w:lvlText w:val="§"/>
      <w:lvlJc w:val="left"/>
      <w:pPr>
        <w:ind w:left="4320" w:hanging="360"/>
      </w:pPr>
      <w:rPr>
        <w:rFonts w:ascii="Wingdings" w:eastAsia="Wingdings" w:hAnsi="Wingdings" w:cs="Wingdings" w:hint="default"/>
      </w:rPr>
    </w:lvl>
    <w:lvl w:ilvl="6" w:tplc="7480B07C">
      <w:start w:val="1"/>
      <w:numFmt w:val="bullet"/>
      <w:lvlText w:val="·"/>
      <w:lvlJc w:val="left"/>
      <w:pPr>
        <w:ind w:left="5040" w:hanging="360"/>
      </w:pPr>
      <w:rPr>
        <w:rFonts w:ascii="Symbol" w:eastAsia="Symbol" w:hAnsi="Symbol" w:cs="Symbol" w:hint="default"/>
      </w:rPr>
    </w:lvl>
    <w:lvl w:ilvl="7" w:tplc="F83EF168">
      <w:start w:val="1"/>
      <w:numFmt w:val="bullet"/>
      <w:lvlText w:val="o"/>
      <w:lvlJc w:val="left"/>
      <w:pPr>
        <w:ind w:left="5760" w:hanging="360"/>
      </w:pPr>
      <w:rPr>
        <w:rFonts w:ascii="Courier New" w:eastAsia="Courier New" w:hAnsi="Courier New" w:cs="Courier New" w:hint="default"/>
      </w:rPr>
    </w:lvl>
    <w:lvl w:ilvl="8" w:tplc="D242DABA">
      <w:start w:val="1"/>
      <w:numFmt w:val="bullet"/>
      <w:lvlText w:val="§"/>
      <w:lvlJc w:val="left"/>
      <w:pPr>
        <w:ind w:left="6480" w:hanging="360"/>
      </w:pPr>
      <w:rPr>
        <w:rFonts w:ascii="Wingdings" w:eastAsia="Wingdings" w:hAnsi="Wingdings" w:cs="Wingdings" w:hint="default"/>
      </w:rPr>
    </w:lvl>
  </w:abstractNum>
  <w:abstractNum w:abstractNumId="59">
    <w:nsid w:val="334C304A"/>
    <w:multiLevelType w:val="hybridMultilevel"/>
    <w:tmpl w:val="9D14B6BC"/>
    <w:lvl w:ilvl="0" w:tplc="CE342428">
      <w:start w:val="1"/>
      <w:numFmt w:val="bullet"/>
      <w:lvlText w:val="–"/>
      <w:lvlJc w:val="left"/>
      <w:pPr>
        <w:ind w:left="1429" w:hanging="360"/>
      </w:pPr>
      <w:rPr>
        <w:rFonts w:ascii="Arial" w:eastAsia="Arial" w:hAnsi="Arial" w:cs="Arial" w:hint="default"/>
      </w:rPr>
    </w:lvl>
    <w:lvl w:ilvl="1" w:tplc="06FEA97E">
      <w:start w:val="1"/>
      <w:numFmt w:val="bullet"/>
      <w:lvlText w:val="o"/>
      <w:lvlJc w:val="left"/>
      <w:pPr>
        <w:ind w:left="2149" w:hanging="360"/>
      </w:pPr>
      <w:rPr>
        <w:rFonts w:ascii="Courier New" w:eastAsia="Courier New" w:hAnsi="Courier New" w:cs="Courier New" w:hint="default"/>
      </w:rPr>
    </w:lvl>
    <w:lvl w:ilvl="2" w:tplc="E05E25A8">
      <w:start w:val="1"/>
      <w:numFmt w:val="bullet"/>
      <w:lvlText w:val=""/>
      <w:lvlJc w:val="left"/>
      <w:pPr>
        <w:ind w:left="2869" w:hanging="360"/>
      </w:pPr>
      <w:rPr>
        <w:rFonts w:ascii="Wingdings" w:eastAsia="Wingdings" w:hAnsi="Wingdings" w:cs="Wingdings" w:hint="default"/>
      </w:rPr>
    </w:lvl>
    <w:lvl w:ilvl="3" w:tplc="E3F6ED6A">
      <w:start w:val="1"/>
      <w:numFmt w:val="bullet"/>
      <w:lvlText w:val=""/>
      <w:lvlJc w:val="left"/>
      <w:pPr>
        <w:ind w:left="3589" w:hanging="360"/>
      </w:pPr>
      <w:rPr>
        <w:rFonts w:ascii="Symbol" w:eastAsia="Symbol" w:hAnsi="Symbol" w:cs="Symbol" w:hint="default"/>
      </w:rPr>
    </w:lvl>
    <w:lvl w:ilvl="4" w:tplc="7FE4E392">
      <w:start w:val="1"/>
      <w:numFmt w:val="bullet"/>
      <w:lvlText w:val="o"/>
      <w:lvlJc w:val="left"/>
      <w:pPr>
        <w:ind w:left="4309" w:hanging="360"/>
      </w:pPr>
      <w:rPr>
        <w:rFonts w:ascii="Courier New" w:eastAsia="Courier New" w:hAnsi="Courier New" w:cs="Courier New" w:hint="default"/>
      </w:rPr>
    </w:lvl>
    <w:lvl w:ilvl="5" w:tplc="D9F8BD28">
      <w:start w:val="1"/>
      <w:numFmt w:val="bullet"/>
      <w:lvlText w:val=""/>
      <w:lvlJc w:val="left"/>
      <w:pPr>
        <w:ind w:left="5029" w:hanging="360"/>
      </w:pPr>
      <w:rPr>
        <w:rFonts w:ascii="Wingdings" w:eastAsia="Wingdings" w:hAnsi="Wingdings" w:cs="Wingdings" w:hint="default"/>
      </w:rPr>
    </w:lvl>
    <w:lvl w:ilvl="6" w:tplc="375668A0">
      <w:start w:val="1"/>
      <w:numFmt w:val="bullet"/>
      <w:lvlText w:val=""/>
      <w:lvlJc w:val="left"/>
      <w:pPr>
        <w:ind w:left="5749" w:hanging="360"/>
      </w:pPr>
      <w:rPr>
        <w:rFonts w:ascii="Symbol" w:eastAsia="Symbol" w:hAnsi="Symbol" w:cs="Symbol" w:hint="default"/>
      </w:rPr>
    </w:lvl>
    <w:lvl w:ilvl="7" w:tplc="5EECD7C4">
      <w:start w:val="1"/>
      <w:numFmt w:val="bullet"/>
      <w:lvlText w:val="o"/>
      <w:lvlJc w:val="left"/>
      <w:pPr>
        <w:ind w:left="6469" w:hanging="360"/>
      </w:pPr>
      <w:rPr>
        <w:rFonts w:ascii="Courier New" w:eastAsia="Courier New" w:hAnsi="Courier New" w:cs="Courier New" w:hint="default"/>
      </w:rPr>
    </w:lvl>
    <w:lvl w:ilvl="8" w:tplc="FB906D02">
      <w:start w:val="1"/>
      <w:numFmt w:val="bullet"/>
      <w:lvlText w:val=""/>
      <w:lvlJc w:val="left"/>
      <w:pPr>
        <w:ind w:left="7189" w:hanging="360"/>
      </w:pPr>
      <w:rPr>
        <w:rFonts w:ascii="Wingdings" w:eastAsia="Wingdings" w:hAnsi="Wingdings" w:cs="Wingdings" w:hint="default"/>
      </w:rPr>
    </w:lvl>
  </w:abstractNum>
  <w:abstractNum w:abstractNumId="60">
    <w:nsid w:val="33E634CC"/>
    <w:multiLevelType w:val="hybridMultilevel"/>
    <w:tmpl w:val="5BEE35A4"/>
    <w:lvl w:ilvl="0" w:tplc="CE342428">
      <w:start w:val="1"/>
      <w:numFmt w:val="bullet"/>
      <w:lvlText w:val="–"/>
      <w:lvlJc w:val="left"/>
      <w:pPr>
        <w:ind w:left="1004" w:hanging="360"/>
      </w:pPr>
      <w:rPr>
        <w:rFonts w:ascii="Arial" w:eastAsia="Arial" w:hAnsi="Arial" w:cs="Arial"/>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61">
    <w:nsid w:val="35E42D48"/>
    <w:multiLevelType w:val="hybridMultilevel"/>
    <w:tmpl w:val="B052AE0A"/>
    <w:lvl w:ilvl="0" w:tplc="5B1CD288">
      <w:start w:val="1"/>
      <w:numFmt w:val="bullet"/>
      <w:lvlText w:val="–"/>
      <w:lvlJc w:val="left"/>
      <w:pPr>
        <w:ind w:left="720" w:hanging="360"/>
      </w:pPr>
      <w:rPr>
        <w:rFonts w:ascii="Arial" w:eastAsia="Arial" w:hAnsi="Arial" w:cs="Arial"/>
      </w:rPr>
    </w:lvl>
    <w:lvl w:ilvl="1" w:tplc="42FC4F3A">
      <w:start w:val="1"/>
      <w:numFmt w:val="bullet"/>
      <w:lvlText w:val="o"/>
      <w:lvlJc w:val="left"/>
      <w:pPr>
        <w:ind w:left="1440" w:hanging="360"/>
      </w:pPr>
      <w:rPr>
        <w:rFonts w:ascii="Courier New" w:eastAsia="Courier New" w:hAnsi="Courier New" w:cs="Courier New" w:hint="default"/>
      </w:rPr>
    </w:lvl>
    <w:lvl w:ilvl="2" w:tplc="C51098C2">
      <w:start w:val="1"/>
      <w:numFmt w:val="bullet"/>
      <w:lvlText w:val="§"/>
      <w:lvlJc w:val="left"/>
      <w:pPr>
        <w:ind w:left="2160" w:hanging="360"/>
      </w:pPr>
      <w:rPr>
        <w:rFonts w:ascii="Wingdings" w:eastAsia="Wingdings" w:hAnsi="Wingdings" w:cs="Wingdings" w:hint="default"/>
      </w:rPr>
    </w:lvl>
    <w:lvl w:ilvl="3" w:tplc="F18AC258">
      <w:start w:val="1"/>
      <w:numFmt w:val="bullet"/>
      <w:lvlText w:val="·"/>
      <w:lvlJc w:val="left"/>
      <w:pPr>
        <w:ind w:left="2880" w:hanging="360"/>
      </w:pPr>
      <w:rPr>
        <w:rFonts w:ascii="Symbol" w:eastAsia="Symbol" w:hAnsi="Symbol" w:cs="Symbol" w:hint="default"/>
      </w:rPr>
    </w:lvl>
    <w:lvl w:ilvl="4" w:tplc="49521EBA">
      <w:start w:val="1"/>
      <w:numFmt w:val="bullet"/>
      <w:lvlText w:val="o"/>
      <w:lvlJc w:val="left"/>
      <w:pPr>
        <w:ind w:left="3600" w:hanging="360"/>
      </w:pPr>
      <w:rPr>
        <w:rFonts w:ascii="Courier New" w:eastAsia="Courier New" w:hAnsi="Courier New" w:cs="Courier New" w:hint="default"/>
      </w:rPr>
    </w:lvl>
    <w:lvl w:ilvl="5" w:tplc="4276F45C">
      <w:start w:val="1"/>
      <w:numFmt w:val="bullet"/>
      <w:lvlText w:val="§"/>
      <w:lvlJc w:val="left"/>
      <w:pPr>
        <w:ind w:left="4320" w:hanging="360"/>
      </w:pPr>
      <w:rPr>
        <w:rFonts w:ascii="Wingdings" w:eastAsia="Wingdings" w:hAnsi="Wingdings" w:cs="Wingdings" w:hint="default"/>
      </w:rPr>
    </w:lvl>
    <w:lvl w:ilvl="6" w:tplc="FAD2068E">
      <w:start w:val="1"/>
      <w:numFmt w:val="bullet"/>
      <w:lvlText w:val="·"/>
      <w:lvlJc w:val="left"/>
      <w:pPr>
        <w:ind w:left="5040" w:hanging="360"/>
      </w:pPr>
      <w:rPr>
        <w:rFonts w:ascii="Symbol" w:eastAsia="Symbol" w:hAnsi="Symbol" w:cs="Symbol" w:hint="default"/>
      </w:rPr>
    </w:lvl>
    <w:lvl w:ilvl="7" w:tplc="C47E9B78">
      <w:start w:val="1"/>
      <w:numFmt w:val="bullet"/>
      <w:lvlText w:val="o"/>
      <w:lvlJc w:val="left"/>
      <w:pPr>
        <w:ind w:left="5760" w:hanging="360"/>
      </w:pPr>
      <w:rPr>
        <w:rFonts w:ascii="Courier New" w:eastAsia="Courier New" w:hAnsi="Courier New" w:cs="Courier New" w:hint="default"/>
      </w:rPr>
    </w:lvl>
    <w:lvl w:ilvl="8" w:tplc="BD1453AA">
      <w:start w:val="1"/>
      <w:numFmt w:val="bullet"/>
      <w:lvlText w:val="§"/>
      <w:lvlJc w:val="left"/>
      <w:pPr>
        <w:ind w:left="6480" w:hanging="360"/>
      </w:pPr>
      <w:rPr>
        <w:rFonts w:ascii="Wingdings" w:eastAsia="Wingdings" w:hAnsi="Wingdings" w:cs="Wingdings" w:hint="default"/>
      </w:rPr>
    </w:lvl>
  </w:abstractNum>
  <w:abstractNum w:abstractNumId="62">
    <w:nsid w:val="362B47AF"/>
    <w:multiLevelType w:val="hybridMultilevel"/>
    <w:tmpl w:val="75001220"/>
    <w:lvl w:ilvl="0" w:tplc="92D0D5AE">
      <w:start w:val="1"/>
      <w:numFmt w:val="bullet"/>
      <w:lvlText w:val="–"/>
      <w:lvlJc w:val="left"/>
      <w:pPr>
        <w:ind w:left="720" w:hanging="360"/>
      </w:pPr>
      <w:rPr>
        <w:rFonts w:ascii="Arial" w:eastAsia="Arial" w:hAnsi="Arial" w:cs="Arial"/>
      </w:rPr>
    </w:lvl>
    <w:lvl w:ilvl="1" w:tplc="ED72DEF6">
      <w:start w:val="1"/>
      <w:numFmt w:val="bullet"/>
      <w:lvlText w:val="o"/>
      <w:lvlJc w:val="left"/>
      <w:pPr>
        <w:ind w:left="1440" w:hanging="360"/>
      </w:pPr>
      <w:rPr>
        <w:rFonts w:ascii="Courier New" w:eastAsia="Courier New" w:hAnsi="Courier New" w:cs="Courier New" w:hint="default"/>
      </w:rPr>
    </w:lvl>
    <w:lvl w:ilvl="2" w:tplc="19CAD730">
      <w:start w:val="1"/>
      <w:numFmt w:val="bullet"/>
      <w:lvlText w:val="§"/>
      <w:lvlJc w:val="left"/>
      <w:pPr>
        <w:ind w:left="2160" w:hanging="360"/>
      </w:pPr>
      <w:rPr>
        <w:rFonts w:ascii="Wingdings" w:eastAsia="Wingdings" w:hAnsi="Wingdings" w:cs="Wingdings" w:hint="default"/>
      </w:rPr>
    </w:lvl>
    <w:lvl w:ilvl="3" w:tplc="06FAF7C2">
      <w:start w:val="1"/>
      <w:numFmt w:val="bullet"/>
      <w:lvlText w:val="·"/>
      <w:lvlJc w:val="left"/>
      <w:pPr>
        <w:ind w:left="2880" w:hanging="360"/>
      </w:pPr>
      <w:rPr>
        <w:rFonts w:ascii="Symbol" w:eastAsia="Symbol" w:hAnsi="Symbol" w:cs="Symbol" w:hint="default"/>
      </w:rPr>
    </w:lvl>
    <w:lvl w:ilvl="4" w:tplc="77F68F5E">
      <w:start w:val="1"/>
      <w:numFmt w:val="bullet"/>
      <w:lvlText w:val="o"/>
      <w:lvlJc w:val="left"/>
      <w:pPr>
        <w:ind w:left="3600" w:hanging="360"/>
      </w:pPr>
      <w:rPr>
        <w:rFonts w:ascii="Courier New" w:eastAsia="Courier New" w:hAnsi="Courier New" w:cs="Courier New" w:hint="default"/>
      </w:rPr>
    </w:lvl>
    <w:lvl w:ilvl="5" w:tplc="95A676C8">
      <w:start w:val="1"/>
      <w:numFmt w:val="bullet"/>
      <w:lvlText w:val="§"/>
      <w:lvlJc w:val="left"/>
      <w:pPr>
        <w:ind w:left="4320" w:hanging="360"/>
      </w:pPr>
      <w:rPr>
        <w:rFonts w:ascii="Wingdings" w:eastAsia="Wingdings" w:hAnsi="Wingdings" w:cs="Wingdings" w:hint="default"/>
      </w:rPr>
    </w:lvl>
    <w:lvl w:ilvl="6" w:tplc="5BC408EA">
      <w:start w:val="1"/>
      <w:numFmt w:val="bullet"/>
      <w:lvlText w:val="·"/>
      <w:lvlJc w:val="left"/>
      <w:pPr>
        <w:ind w:left="5040" w:hanging="360"/>
      </w:pPr>
      <w:rPr>
        <w:rFonts w:ascii="Symbol" w:eastAsia="Symbol" w:hAnsi="Symbol" w:cs="Symbol" w:hint="default"/>
      </w:rPr>
    </w:lvl>
    <w:lvl w:ilvl="7" w:tplc="676AA852">
      <w:start w:val="1"/>
      <w:numFmt w:val="bullet"/>
      <w:lvlText w:val="o"/>
      <w:lvlJc w:val="left"/>
      <w:pPr>
        <w:ind w:left="5760" w:hanging="360"/>
      </w:pPr>
      <w:rPr>
        <w:rFonts w:ascii="Courier New" w:eastAsia="Courier New" w:hAnsi="Courier New" w:cs="Courier New" w:hint="default"/>
      </w:rPr>
    </w:lvl>
    <w:lvl w:ilvl="8" w:tplc="BACE0804">
      <w:start w:val="1"/>
      <w:numFmt w:val="bullet"/>
      <w:lvlText w:val="§"/>
      <w:lvlJc w:val="left"/>
      <w:pPr>
        <w:ind w:left="6480" w:hanging="360"/>
      </w:pPr>
      <w:rPr>
        <w:rFonts w:ascii="Wingdings" w:eastAsia="Wingdings" w:hAnsi="Wingdings" w:cs="Wingdings" w:hint="default"/>
      </w:rPr>
    </w:lvl>
  </w:abstractNum>
  <w:abstractNum w:abstractNumId="63">
    <w:nsid w:val="362B5597"/>
    <w:multiLevelType w:val="hybridMultilevel"/>
    <w:tmpl w:val="A558A590"/>
    <w:lvl w:ilvl="0" w:tplc="F4C255E6">
      <w:start w:val="1"/>
      <w:numFmt w:val="bullet"/>
      <w:lvlText w:val="–"/>
      <w:lvlJc w:val="left"/>
      <w:pPr>
        <w:ind w:left="720" w:hanging="360"/>
      </w:pPr>
      <w:rPr>
        <w:rFonts w:ascii="Arial" w:eastAsia="Arial" w:hAnsi="Arial" w:cs="Arial"/>
      </w:rPr>
    </w:lvl>
    <w:lvl w:ilvl="1" w:tplc="C36EE1E0">
      <w:start w:val="1"/>
      <w:numFmt w:val="bullet"/>
      <w:lvlText w:val="o"/>
      <w:lvlJc w:val="left"/>
      <w:pPr>
        <w:ind w:left="1440" w:hanging="360"/>
      </w:pPr>
      <w:rPr>
        <w:rFonts w:ascii="Courier New" w:eastAsia="Courier New" w:hAnsi="Courier New" w:cs="Courier New" w:hint="default"/>
      </w:rPr>
    </w:lvl>
    <w:lvl w:ilvl="2" w:tplc="F8D0ED32">
      <w:start w:val="1"/>
      <w:numFmt w:val="bullet"/>
      <w:lvlText w:val="§"/>
      <w:lvlJc w:val="left"/>
      <w:pPr>
        <w:ind w:left="2160" w:hanging="360"/>
      </w:pPr>
      <w:rPr>
        <w:rFonts w:ascii="Wingdings" w:eastAsia="Wingdings" w:hAnsi="Wingdings" w:cs="Wingdings" w:hint="default"/>
      </w:rPr>
    </w:lvl>
    <w:lvl w:ilvl="3" w:tplc="1786B31E">
      <w:start w:val="1"/>
      <w:numFmt w:val="bullet"/>
      <w:lvlText w:val="·"/>
      <w:lvlJc w:val="left"/>
      <w:pPr>
        <w:ind w:left="2880" w:hanging="360"/>
      </w:pPr>
      <w:rPr>
        <w:rFonts w:ascii="Symbol" w:eastAsia="Symbol" w:hAnsi="Symbol" w:cs="Symbol" w:hint="default"/>
      </w:rPr>
    </w:lvl>
    <w:lvl w:ilvl="4" w:tplc="2D5A5B7E">
      <w:start w:val="1"/>
      <w:numFmt w:val="bullet"/>
      <w:lvlText w:val="o"/>
      <w:lvlJc w:val="left"/>
      <w:pPr>
        <w:ind w:left="3600" w:hanging="360"/>
      </w:pPr>
      <w:rPr>
        <w:rFonts w:ascii="Courier New" w:eastAsia="Courier New" w:hAnsi="Courier New" w:cs="Courier New" w:hint="default"/>
      </w:rPr>
    </w:lvl>
    <w:lvl w:ilvl="5" w:tplc="8528B4B6">
      <w:start w:val="1"/>
      <w:numFmt w:val="bullet"/>
      <w:lvlText w:val="§"/>
      <w:lvlJc w:val="left"/>
      <w:pPr>
        <w:ind w:left="4320" w:hanging="360"/>
      </w:pPr>
      <w:rPr>
        <w:rFonts w:ascii="Wingdings" w:eastAsia="Wingdings" w:hAnsi="Wingdings" w:cs="Wingdings" w:hint="default"/>
      </w:rPr>
    </w:lvl>
    <w:lvl w:ilvl="6" w:tplc="22C0A3FA">
      <w:start w:val="1"/>
      <w:numFmt w:val="bullet"/>
      <w:lvlText w:val="·"/>
      <w:lvlJc w:val="left"/>
      <w:pPr>
        <w:ind w:left="5040" w:hanging="360"/>
      </w:pPr>
      <w:rPr>
        <w:rFonts w:ascii="Symbol" w:eastAsia="Symbol" w:hAnsi="Symbol" w:cs="Symbol" w:hint="default"/>
      </w:rPr>
    </w:lvl>
    <w:lvl w:ilvl="7" w:tplc="161CB556">
      <w:start w:val="1"/>
      <w:numFmt w:val="bullet"/>
      <w:lvlText w:val="o"/>
      <w:lvlJc w:val="left"/>
      <w:pPr>
        <w:ind w:left="5760" w:hanging="360"/>
      </w:pPr>
      <w:rPr>
        <w:rFonts w:ascii="Courier New" w:eastAsia="Courier New" w:hAnsi="Courier New" w:cs="Courier New" w:hint="default"/>
      </w:rPr>
    </w:lvl>
    <w:lvl w:ilvl="8" w:tplc="33BE71E6">
      <w:start w:val="1"/>
      <w:numFmt w:val="bullet"/>
      <w:lvlText w:val="§"/>
      <w:lvlJc w:val="left"/>
      <w:pPr>
        <w:ind w:left="6480" w:hanging="360"/>
      </w:pPr>
      <w:rPr>
        <w:rFonts w:ascii="Wingdings" w:eastAsia="Wingdings" w:hAnsi="Wingdings" w:cs="Wingdings" w:hint="default"/>
      </w:rPr>
    </w:lvl>
  </w:abstractNum>
  <w:abstractNum w:abstractNumId="64">
    <w:nsid w:val="37FF6C69"/>
    <w:multiLevelType w:val="hybridMultilevel"/>
    <w:tmpl w:val="9ABCC2A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5">
    <w:nsid w:val="395C31EB"/>
    <w:multiLevelType w:val="hybridMultilevel"/>
    <w:tmpl w:val="773EFA2C"/>
    <w:lvl w:ilvl="0" w:tplc="1C68446A">
      <w:start w:val="1"/>
      <w:numFmt w:val="bullet"/>
      <w:lvlText w:val="–"/>
      <w:lvlJc w:val="left"/>
      <w:pPr>
        <w:ind w:left="720" w:hanging="360"/>
      </w:pPr>
      <w:rPr>
        <w:rFonts w:ascii="Arial" w:eastAsia="Arial" w:hAnsi="Arial" w:cs="Arial"/>
      </w:rPr>
    </w:lvl>
    <w:lvl w:ilvl="1" w:tplc="2CC27296">
      <w:start w:val="1"/>
      <w:numFmt w:val="bullet"/>
      <w:lvlText w:val="o"/>
      <w:lvlJc w:val="left"/>
      <w:pPr>
        <w:ind w:left="1440" w:hanging="360"/>
      </w:pPr>
      <w:rPr>
        <w:rFonts w:ascii="Courier New" w:eastAsia="Courier New" w:hAnsi="Courier New" w:cs="Courier New" w:hint="default"/>
      </w:rPr>
    </w:lvl>
    <w:lvl w:ilvl="2" w:tplc="845887E8">
      <w:start w:val="1"/>
      <w:numFmt w:val="bullet"/>
      <w:lvlText w:val="§"/>
      <w:lvlJc w:val="left"/>
      <w:pPr>
        <w:ind w:left="2160" w:hanging="360"/>
      </w:pPr>
      <w:rPr>
        <w:rFonts w:ascii="Wingdings" w:eastAsia="Wingdings" w:hAnsi="Wingdings" w:cs="Wingdings" w:hint="default"/>
      </w:rPr>
    </w:lvl>
    <w:lvl w:ilvl="3" w:tplc="4934DFF2">
      <w:start w:val="1"/>
      <w:numFmt w:val="bullet"/>
      <w:lvlText w:val="·"/>
      <w:lvlJc w:val="left"/>
      <w:pPr>
        <w:ind w:left="2880" w:hanging="360"/>
      </w:pPr>
      <w:rPr>
        <w:rFonts w:ascii="Symbol" w:eastAsia="Symbol" w:hAnsi="Symbol" w:cs="Symbol" w:hint="default"/>
      </w:rPr>
    </w:lvl>
    <w:lvl w:ilvl="4" w:tplc="E47E5930">
      <w:start w:val="1"/>
      <w:numFmt w:val="bullet"/>
      <w:lvlText w:val="o"/>
      <w:lvlJc w:val="left"/>
      <w:pPr>
        <w:ind w:left="3600" w:hanging="360"/>
      </w:pPr>
      <w:rPr>
        <w:rFonts w:ascii="Courier New" w:eastAsia="Courier New" w:hAnsi="Courier New" w:cs="Courier New" w:hint="default"/>
      </w:rPr>
    </w:lvl>
    <w:lvl w:ilvl="5" w:tplc="1A324366">
      <w:start w:val="1"/>
      <w:numFmt w:val="bullet"/>
      <w:lvlText w:val="§"/>
      <w:lvlJc w:val="left"/>
      <w:pPr>
        <w:ind w:left="4320" w:hanging="360"/>
      </w:pPr>
      <w:rPr>
        <w:rFonts w:ascii="Wingdings" w:eastAsia="Wingdings" w:hAnsi="Wingdings" w:cs="Wingdings" w:hint="default"/>
      </w:rPr>
    </w:lvl>
    <w:lvl w:ilvl="6" w:tplc="342E1C70">
      <w:start w:val="1"/>
      <w:numFmt w:val="bullet"/>
      <w:lvlText w:val="·"/>
      <w:lvlJc w:val="left"/>
      <w:pPr>
        <w:ind w:left="5040" w:hanging="360"/>
      </w:pPr>
      <w:rPr>
        <w:rFonts w:ascii="Symbol" w:eastAsia="Symbol" w:hAnsi="Symbol" w:cs="Symbol" w:hint="default"/>
      </w:rPr>
    </w:lvl>
    <w:lvl w:ilvl="7" w:tplc="6B702F0C">
      <w:start w:val="1"/>
      <w:numFmt w:val="bullet"/>
      <w:lvlText w:val="o"/>
      <w:lvlJc w:val="left"/>
      <w:pPr>
        <w:ind w:left="5760" w:hanging="360"/>
      </w:pPr>
      <w:rPr>
        <w:rFonts w:ascii="Courier New" w:eastAsia="Courier New" w:hAnsi="Courier New" w:cs="Courier New" w:hint="default"/>
      </w:rPr>
    </w:lvl>
    <w:lvl w:ilvl="8" w:tplc="6F7EC1F6">
      <w:start w:val="1"/>
      <w:numFmt w:val="bullet"/>
      <w:lvlText w:val="§"/>
      <w:lvlJc w:val="left"/>
      <w:pPr>
        <w:ind w:left="6480" w:hanging="360"/>
      </w:pPr>
      <w:rPr>
        <w:rFonts w:ascii="Wingdings" w:eastAsia="Wingdings" w:hAnsi="Wingdings" w:cs="Wingdings" w:hint="default"/>
      </w:rPr>
    </w:lvl>
  </w:abstractNum>
  <w:abstractNum w:abstractNumId="66">
    <w:nsid w:val="39D010C3"/>
    <w:multiLevelType w:val="hybridMultilevel"/>
    <w:tmpl w:val="6E902632"/>
    <w:lvl w:ilvl="0" w:tplc="BA7473A6">
      <w:start w:val="1"/>
      <w:numFmt w:val="decimal"/>
      <w:lvlText w:val="%1."/>
      <w:lvlJc w:val="right"/>
      <w:pPr>
        <w:ind w:left="720" w:hanging="360"/>
      </w:pPr>
    </w:lvl>
    <w:lvl w:ilvl="1" w:tplc="0BAE8174">
      <w:start w:val="1"/>
      <w:numFmt w:val="lowerLetter"/>
      <w:lvlText w:val="%2."/>
      <w:lvlJc w:val="left"/>
      <w:pPr>
        <w:ind w:left="1440" w:hanging="360"/>
      </w:pPr>
    </w:lvl>
    <w:lvl w:ilvl="2" w:tplc="C28043E0">
      <w:start w:val="1"/>
      <w:numFmt w:val="lowerRoman"/>
      <w:lvlText w:val="%3."/>
      <w:lvlJc w:val="right"/>
      <w:pPr>
        <w:ind w:left="2160" w:hanging="180"/>
      </w:pPr>
    </w:lvl>
    <w:lvl w:ilvl="3" w:tplc="424CD546">
      <w:start w:val="1"/>
      <w:numFmt w:val="decimal"/>
      <w:lvlText w:val="%4."/>
      <w:lvlJc w:val="left"/>
      <w:pPr>
        <w:ind w:left="2880" w:hanging="360"/>
      </w:pPr>
    </w:lvl>
    <w:lvl w:ilvl="4" w:tplc="96E6788E">
      <w:start w:val="1"/>
      <w:numFmt w:val="lowerLetter"/>
      <w:lvlText w:val="%5."/>
      <w:lvlJc w:val="left"/>
      <w:pPr>
        <w:ind w:left="3600" w:hanging="360"/>
      </w:pPr>
    </w:lvl>
    <w:lvl w:ilvl="5" w:tplc="71AC6564">
      <w:start w:val="1"/>
      <w:numFmt w:val="lowerRoman"/>
      <w:lvlText w:val="%6."/>
      <w:lvlJc w:val="right"/>
      <w:pPr>
        <w:ind w:left="4320" w:hanging="180"/>
      </w:pPr>
    </w:lvl>
    <w:lvl w:ilvl="6" w:tplc="04544682">
      <w:start w:val="1"/>
      <w:numFmt w:val="decimal"/>
      <w:lvlText w:val="%7."/>
      <w:lvlJc w:val="left"/>
      <w:pPr>
        <w:ind w:left="5040" w:hanging="360"/>
      </w:pPr>
    </w:lvl>
    <w:lvl w:ilvl="7" w:tplc="5DC6F292">
      <w:start w:val="1"/>
      <w:numFmt w:val="lowerLetter"/>
      <w:lvlText w:val="%8."/>
      <w:lvlJc w:val="left"/>
      <w:pPr>
        <w:ind w:left="5760" w:hanging="360"/>
      </w:pPr>
    </w:lvl>
    <w:lvl w:ilvl="8" w:tplc="715C3E56">
      <w:start w:val="1"/>
      <w:numFmt w:val="lowerRoman"/>
      <w:lvlText w:val="%9."/>
      <w:lvlJc w:val="right"/>
      <w:pPr>
        <w:ind w:left="6480" w:hanging="180"/>
      </w:pPr>
    </w:lvl>
  </w:abstractNum>
  <w:abstractNum w:abstractNumId="67">
    <w:nsid w:val="3B3E7BE6"/>
    <w:multiLevelType w:val="hybridMultilevel"/>
    <w:tmpl w:val="15C22A82"/>
    <w:lvl w:ilvl="0" w:tplc="0152F3FA">
      <w:start w:val="1"/>
      <w:numFmt w:val="bullet"/>
      <w:lvlText w:val="–"/>
      <w:lvlJc w:val="left"/>
      <w:pPr>
        <w:ind w:left="720" w:hanging="360"/>
      </w:pPr>
      <w:rPr>
        <w:rFonts w:ascii="Arial" w:eastAsia="Arial" w:hAnsi="Arial" w:cs="Arial"/>
      </w:rPr>
    </w:lvl>
    <w:lvl w:ilvl="1" w:tplc="50D0A7E6">
      <w:start w:val="1"/>
      <w:numFmt w:val="bullet"/>
      <w:lvlText w:val="o"/>
      <w:lvlJc w:val="left"/>
      <w:pPr>
        <w:ind w:left="1440" w:hanging="360"/>
      </w:pPr>
      <w:rPr>
        <w:rFonts w:ascii="Courier New" w:eastAsia="Courier New" w:hAnsi="Courier New" w:cs="Courier New" w:hint="default"/>
      </w:rPr>
    </w:lvl>
    <w:lvl w:ilvl="2" w:tplc="CA14F390">
      <w:start w:val="1"/>
      <w:numFmt w:val="bullet"/>
      <w:lvlText w:val="§"/>
      <w:lvlJc w:val="left"/>
      <w:pPr>
        <w:ind w:left="2160" w:hanging="360"/>
      </w:pPr>
      <w:rPr>
        <w:rFonts w:ascii="Wingdings" w:eastAsia="Wingdings" w:hAnsi="Wingdings" w:cs="Wingdings" w:hint="default"/>
      </w:rPr>
    </w:lvl>
    <w:lvl w:ilvl="3" w:tplc="6AB2A88E">
      <w:start w:val="1"/>
      <w:numFmt w:val="bullet"/>
      <w:lvlText w:val="·"/>
      <w:lvlJc w:val="left"/>
      <w:pPr>
        <w:ind w:left="2880" w:hanging="360"/>
      </w:pPr>
      <w:rPr>
        <w:rFonts w:ascii="Symbol" w:eastAsia="Symbol" w:hAnsi="Symbol" w:cs="Symbol" w:hint="default"/>
      </w:rPr>
    </w:lvl>
    <w:lvl w:ilvl="4" w:tplc="C22A5E66">
      <w:start w:val="1"/>
      <w:numFmt w:val="bullet"/>
      <w:lvlText w:val="o"/>
      <w:lvlJc w:val="left"/>
      <w:pPr>
        <w:ind w:left="3600" w:hanging="360"/>
      </w:pPr>
      <w:rPr>
        <w:rFonts w:ascii="Courier New" w:eastAsia="Courier New" w:hAnsi="Courier New" w:cs="Courier New" w:hint="default"/>
      </w:rPr>
    </w:lvl>
    <w:lvl w:ilvl="5" w:tplc="D1A8BD00">
      <w:start w:val="1"/>
      <w:numFmt w:val="bullet"/>
      <w:lvlText w:val="§"/>
      <w:lvlJc w:val="left"/>
      <w:pPr>
        <w:ind w:left="4320" w:hanging="360"/>
      </w:pPr>
      <w:rPr>
        <w:rFonts w:ascii="Wingdings" w:eastAsia="Wingdings" w:hAnsi="Wingdings" w:cs="Wingdings" w:hint="default"/>
      </w:rPr>
    </w:lvl>
    <w:lvl w:ilvl="6" w:tplc="1A22E9E2">
      <w:start w:val="1"/>
      <w:numFmt w:val="bullet"/>
      <w:lvlText w:val="·"/>
      <w:lvlJc w:val="left"/>
      <w:pPr>
        <w:ind w:left="5040" w:hanging="360"/>
      </w:pPr>
      <w:rPr>
        <w:rFonts w:ascii="Symbol" w:eastAsia="Symbol" w:hAnsi="Symbol" w:cs="Symbol" w:hint="default"/>
      </w:rPr>
    </w:lvl>
    <w:lvl w:ilvl="7" w:tplc="3A7C039E">
      <w:start w:val="1"/>
      <w:numFmt w:val="bullet"/>
      <w:lvlText w:val="o"/>
      <w:lvlJc w:val="left"/>
      <w:pPr>
        <w:ind w:left="5760" w:hanging="360"/>
      </w:pPr>
      <w:rPr>
        <w:rFonts w:ascii="Courier New" w:eastAsia="Courier New" w:hAnsi="Courier New" w:cs="Courier New" w:hint="default"/>
      </w:rPr>
    </w:lvl>
    <w:lvl w:ilvl="8" w:tplc="15803BA6">
      <w:start w:val="1"/>
      <w:numFmt w:val="bullet"/>
      <w:lvlText w:val="§"/>
      <w:lvlJc w:val="left"/>
      <w:pPr>
        <w:ind w:left="6480" w:hanging="360"/>
      </w:pPr>
      <w:rPr>
        <w:rFonts w:ascii="Wingdings" w:eastAsia="Wingdings" w:hAnsi="Wingdings" w:cs="Wingdings" w:hint="default"/>
      </w:rPr>
    </w:lvl>
  </w:abstractNum>
  <w:abstractNum w:abstractNumId="68">
    <w:nsid w:val="3B601234"/>
    <w:multiLevelType w:val="hybridMultilevel"/>
    <w:tmpl w:val="290E6778"/>
    <w:lvl w:ilvl="0" w:tplc="D9122C9A">
      <w:start w:val="1"/>
      <w:numFmt w:val="bullet"/>
      <w:lvlText w:val="–"/>
      <w:lvlJc w:val="left"/>
      <w:pPr>
        <w:ind w:left="720" w:hanging="360"/>
      </w:pPr>
      <w:rPr>
        <w:rFonts w:ascii="Arial" w:eastAsia="Arial" w:hAnsi="Arial" w:cs="Arial"/>
      </w:rPr>
    </w:lvl>
    <w:lvl w:ilvl="1" w:tplc="62CEFDE6">
      <w:start w:val="1"/>
      <w:numFmt w:val="bullet"/>
      <w:lvlText w:val="o"/>
      <w:lvlJc w:val="left"/>
      <w:pPr>
        <w:ind w:left="1440" w:hanging="360"/>
      </w:pPr>
      <w:rPr>
        <w:rFonts w:ascii="Courier New" w:eastAsia="Courier New" w:hAnsi="Courier New" w:cs="Courier New" w:hint="default"/>
      </w:rPr>
    </w:lvl>
    <w:lvl w:ilvl="2" w:tplc="2C146A46">
      <w:start w:val="1"/>
      <w:numFmt w:val="bullet"/>
      <w:lvlText w:val="§"/>
      <w:lvlJc w:val="left"/>
      <w:pPr>
        <w:ind w:left="2160" w:hanging="360"/>
      </w:pPr>
      <w:rPr>
        <w:rFonts w:ascii="Wingdings" w:eastAsia="Wingdings" w:hAnsi="Wingdings" w:cs="Wingdings" w:hint="default"/>
      </w:rPr>
    </w:lvl>
    <w:lvl w:ilvl="3" w:tplc="915284F6">
      <w:start w:val="1"/>
      <w:numFmt w:val="bullet"/>
      <w:lvlText w:val="·"/>
      <w:lvlJc w:val="left"/>
      <w:pPr>
        <w:ind w:left="2880" w:hanging="360"/>
      </w:pPr>
      <w:rPr>
        <w:rFonts w:ascii="Symbol" w:eastAsia="Symbol" w:hAnsi="Symbol" w:cs="Symbol" w:hint="default"/>
      </w:rPr>
    </w:lvl>
    <w:lvl w:ilvl="4" w:tplc="6A40888A">
      <w:start w:val="1"/>
      <w:numFmt w:val="bullet"/>
      <w:lvlText w:val="o"/>
      <w:lvlJc w:val="left"/>
      <w:pPr>
        <w:ind w:left="3600" w:hanging="360"/>
      </w:pPr>
      <w:rPr>
        <w:rFonts w:ascii="Courier New" w:eastAsia="Courier New" w:hAnsi="Courier New" w:cs="Courier New" w:hint="default"/>
      </w:rPr>
    </w:lvl>
    <w:lvl w:ilvl="5" w:tplc="9662A970">
      <w:start w:val="1"/>
      <w:numFmt w:val="bullet"/>
      <w:lvlText w:val="§"/>
      <w:lvlJc w:val="left"/>
      <w:pPr>
        <w:ind w:left="4320" w:hanging="360"/>
      </w:pPr>
      <w:rPr>
        <w:rFonts w:ascii="Wingdings" w:eastAsia="Wingdings" w:hAnsi="Wingdings" w:cs="Wingdings" w:hint="default"/>
      </w:rPr>
    </w:lvl>
    <w:lvl w:ilvl="6" w:tplc="D6AAF784">
      <w:start w:val="1"/>
      <w:numFmt w:val="bullet"/>
      <w:lvlText w:val="·"/>
      <w:lvlJc w:val="left"/>
      <w:pPr>
        <w:ind w:left="5040" w:hanging="360"/>
      </w:pPr>
      <w:rPr>
        <w:rFonts w:ascii="Symbol" w:eastAsia="Symbol" w:hAnsi="Symbol" w:cs="Symbol" w:hint="default"/>
      </w:rPr>
    </w:lvl>
    <w:lvl w:ilvl="7" w:tplc="0DE8D35C">
      <w:start w:val="1"/>
      <w:numFmt w:val="bullet"/>
      <w:lvlText w:val="o"/>
      <w:lvlJc w:val="left"/>
      <w:pPr>
        <w:ind w:left="5760" w:hanging="360"/>
      </w:pPr>
      <w:rPr>
        <w:rFonts w:ascii="Courier New" w:eastAsia="Courier New" w:hAnsi="Courier New" w:cs="Courier New" w:hint="default"/>
      </w:rPr>
    </w:lvl>
    <w:lvl w:ilvl="8" w:tplc="FB908F14">
      <w:start w:val="1"/>
      <w:numFmt w:val="bullet"/>
      <w:lvlText w:val="§"/>
      <w:lvlJc w:val="left"/>
      <w:pPr>
        <w:ind w:left="6480" w:hanging="360"/>
      </w:pPr>
      <w:rPr>
        <w:rFonts w:ascii="Wingdings" w:eastAsia="Wingdings" w:hAnsi="Wingdings" w:cs="Wingdings" w:hint="default"/>
      </w:rPr>
    </w:lvl>
  </w:abstractNum>
  <w:abstractNum w:abstractNumId="69">
    <w:nsid w:val="3BC7748D"/>
    <w:multiLevelType w:val="hybridMultilevel"/>
    <w:tmpl w:val="515A4EC6"/>
    <w:lvl w:ilvl="0" w:tplc="8D046B9C">
      <w:start w:val="1"/>
      <w:numFmt w:val="decimal"/>
      <w:lvlText w:val="%1."/>
      <w:lvlJc w:val="right"/>
      <w:pPr>
        <w:ind w:left="720" w:hanging="360"/>
      </w:pPr>
    </w:lvl>
    <w:lvl w:ilvl="1" w:tplc="A64A049C">
      <w:start w:val="1"/>
      <w:numFmt w:val="lowerLetter"/>
      <w:lvlText w:val="%2."/>
      <w:lvlJc w:val="left"/>
      <w:pPr>
        <w:ind w:left="1440" w:hanging="360"/>
      </w:pPr>
    </w:lvl>
    <w:lvl w:ilvl="2" w:tplc="18A6E8CA">
      <w:start w:val="1"/>
      <w:numFmt w:val="lowerRoman"/>
      <w:lvlText w:val="%3."/>
      <w:lvlJc w:val="right"/>
      <w:pPr>
        <w:ind w:left="2160" w:hanging="180"/>
      </w:pPr>
    </w:lvl>
    <w:lvl w:ilvl="3" w:tplc="4BC67D22">
      <w:start w:val="1"/>
      <w:numFmt w:val="decimal"/>
      <w:lvlText w:val="%4."/>
      <w:lvlJc w:val="left"/>
      <w:pPr>
        <w:ind w:left="2880" w:hanging="360"/>
      </w:pPr>
    </w:lvl>
    <w:lvl w:ilvl="4" w:tplc="ECA62B32">
      <w:start w:val="1"/>
      <w:numFmt w:val="lowerLetter"/>
      <w:lvlText w:val="%5."/>
      <w:lvlJc w:val="left"/>
      <w:pPr>
        <w:ind w:left="3600" w:hanging="360"/>
      </w:pPr>
    </w:lvl>
    <w:lvl w:ilvl="5" w:tplc="74E4DEAC">
      <w:start w:val="1"/>
      <w:numFmt w:val="lowerRoman"/>
      <w:lvlText w:val="%6."/>
      <w:lvlJc w:val="right"/>
      <w:pPr>
        <w:ind w:left="4320" w:hanging="180"/>
      </w:pPr>
    </w:lvl>
    <w:lvl w:ilvl="6" w:tplc="21F2A62A">
      <w:start w:val="1"/>
      <w:numFmt w:val="decimal"/>
      <w:lvlText w:val="%7."/>
      <w:lvlJc w:val="left"/>
      <w:pPr>
        <w:ind w:left="5040" w:hanging="360"/>
      </w:pPr>
    </w:lvl>
    <w:lvl w:ilvl="7" w:tplc="12A0F14C">
      <w:start w:val="1"/>
      <w:numFmt w:val="lowerLetter"/>
      <w:lvlText w:val="%8."/>
      <w:lvlJc w:val="left"/>
      <w:pPr>
        <w:ind w:left="5760" w:hanging="360"/>
      </w:pPr>
    </w:lvl>
    <w:lvl w:ilvl="8" w:tplc="812E342A">
      <w:start w:val="1"/>
      <w:numFmt w:val="lowerRoman"/>
      <w:lvlText w:val="%9."/>
      <w:lvlJc w:val="right"/>
      <w:pPr>
        <w:ind w:left="6480" w:hanging="180"/>
      </w:pPr>
    </w:lvl>
  </w:abstractNum>
  <w:abstractNum w:abstractNumId="70">
    <w:nsid w:val="3D906FC9"/>
    <w:multiLevelType w:val="hybridMultilevel"/>
    <w:tmpl w:val="8E6AFF7C"/>
    <w:lvl w:ilvl="0" w:tplc="BF1E679E">
      <w:start w:val="1"/>
      <w:numFmt w:val="bullet"/>
      <w:lvlText w:val="–"/>
      <w:lvlJc w:val="left"/>
      <w:pPr>
        <w:ind w:left="720" w:hanging="360"/>
      </w:pPr>
      <w:rPr>
        <w:rFonts w:ascii="Arial" w:eastAsia="Arial" w:hAnsi="Arial" w:cs="Arial"/>
      </w:rPr>
    </w:lvl>
    <w:lvl w:ilvl="1" w:tplc="99C80136">
      <w:start w:val="1"/>
      <w:numFmt w:val="bullet"/>
      <w:lvlText w:val="o"/>
      <w:lvlJc w:val="left"/>
      <w:pPr>
        <w:ind w:left="1440" w:hanging="360"/>
      </w:pPr>
      <w:rPr>
        <w:rFonts w:ascii="Courier New" w:eastAsia="Courier New" w:hAnsi="Courier New" w:cs="Courier New" w:hint="default"/>
      </w:rPr>
    </w:lvl>
    <w:lvl w:ilvl="2" w:tplc="DDB27B50">
      <w:start w:val="1"/>
      <w:numFmt w:val="bullet"/>
      <w:lvlText w:val="§"/>
      <w:lvlJc w:val="left"/>
      <w:pPr>
        <w:ind w:left="2160" w:hanging="360"/>
      </w:pPr>
      <w:rPr>
        <w:rFonts w:ascii="Wingdings" w:eastAsia="Wingdings" w:hAnsi="Wingdings" w:cs="Wingdings" w:hint="default"/>
      </w:rPr>
    </w:lvl>
    <w:lvl w:ilvl="3" w:tplc="0E94A5F4">
      <w:start w:val="1"/>
      <w:numFmt w:val="bullet"/>
      <w:lvlText w:val="·"/>
      <w:lvlJc w:val="left"/>
      <w:pPr>
        <w:ind w:left="2880" w:hanging="360"/>
      </w:pPr>
      <w:rPr>
        <w:rFonts w:ascii="Symbol" w:eastAsia="Symbol" w:hAnsi="Symbol" w:cs="Symbol" w:hint="default"/>
      </w:rPr>
    </w:lvl>
    <w:lvl w:ilvl="4" w:tplc="318AFA98">
      <w:start w:val="1"/>
      <w:numFmt w:val="bullet"/>
      <w:lvlText w:val="o"/>
      <w:lvlJc w:val="left"/>
      <w:pPr>
        <w:ind w:left="3600" w:hanging="360"/>
      </w:pPr>
      <w:rPr>
        <w:rFonts w:ascii="Courier New" w:eastAsia="Courier New" w:hAnsi="Courier New" w:cs="Courier New" w:hint="default"/>
      </w:rPr>
    </w:lvl>
    <w:lvl w:ilvl="5" w:tplc="5164FCB2">
      <w:start w:val="1"/>
      <w:numFmt w:val="bullet"/>
      <w:lvlText w:val="§"/>
      <w:lvlJc w:val="left"/>
      <w:pPr>
        <w:ind w:left="4320" w:hanging="360"/>
      </w:pPr>
      <w:rPr>
        <w:rFonts w:ascii="Wingdings" w:eastAsia="Wingdings" w:hAnsi="Wingdings" w:cs="Wingdings" w:hint="default"/>
      </w:rPr>
    </w:lvl>
    <w:lvl w:ilvl="6" w:tplc="C8723994">
      <w:start w:val="1"/>
      <w:numFmt w:val="bullet"/>
      <w:lvlText w:val="·"/>
      <w:lvlJc w:val="left"/>
      <w:pPr>
        <w:ind w:left="5040" w:hanging="360"/>
      </w:pPr>
      <w:rPr>
        <w:rFonts w:ascii="Symbol" w:eastAsia="Symbol" w:hAnsi="Symbol" w:cs="Symbol" w:hint="default"/>
      </w:rPr>
    </w:lvl>
    <w:lvl w:ilvl="7" w:tplc="75CED302">
      <w:start w:val="1"/>
      <w:numFmt w:val="bullet"/>
      <w:lvlText w:val="o"/>
      <w:lvlJc w:val="left"/>
      <w:pPr>
        <w:ind w:left="5760" w:hanging="360"/>
      </w:pPr>
      <w:rPr>
        <w:rFonts w:ascii="Courier New" w:eastAsia="Courier New" w:hAnsi="Courier New" w:cs="Courier New" w:hint="default"/>
      </w:rPr>
    </w:lvl>
    <w:lvl w:ilvl="8" w:tplc="970C1AE0">
      <w:start w:val="1"/>
      <w:numFmt w:val="bullet"/>
      <w:lvlText w:val="§"/>
      <w:lvlJc w:val="left"/>
      <w:pPr>
        <w:ind w:left="6480" w:hanging="360"/>
      </w:pPr>
      <w:rPr>
        <w:rFonts w:ascii="Wingdings" w:eastAsia="Wingdings" w:hAnsi="Wingdings" w:cs="Wingdings" w:hint="default"/>
      </w:rPr>
    </w:lvl>
  </w:abstractNum>
  <w:abstractNum w:abstractNumId="71">
    <w:nsid w:val="3FE31700"/>
    <w:multiLevelType w:val="hybridMultilevel"/>
    <w:tmpl w:val="1B1C624E"/>
    <w:lvl w:ilvl="0" w:tplc="AD0291C2">
      <w:start w:val="1"/>
      <w:numFmt w:val="decimal"/>
      <w:lvlText w:val="%1."/>
      <w:lvlJc w:val="right"/>
      <w:pPr>
        <w:ind w:left="709" w:hanging="360"/>
      </w:pPr>
    </w:lvl>
    <w:lvl w:ilvl="1" w:tplc="2354B67A">
      <w:start w:val="1"/>
      <w:numFmt w:val="lowerLetter"/>
      <w:lvlText w:val="%2."/>
      <w:lvlJc w:val="left"/>
      <w:pPr>
        <w:ind w:left="1429" w:hanging="360"/>
      </w:pPr>
    </w:lvl>
    <w:lvl w:ilvl="2" w:tplc="D908A902">
      <w:start w:val="1"/>
      <w:numFmt w:val="lowerRoman"/>
      <w:lvlText w:val="%3."/>
      <w:lvlJc w:val="right"/>
      <w:pPr>
        <w:ind w:left="2149" w:hanging="180"/>
      </w:pPr>
    </w:lvl>
    <w:lvl w:ilvl="3" w:tplc="55D8C4B6">
      <w:start w:val="1"/>
      <w:numFmt w:val="decimal"/>
      <w:lvlText w:val="%4."/>
      <w:lvlJc w:val="left"/>
      <w:pPr>
        <w:ind w:left="2869" w:hanging="360"/>
      </w:pPr>
    </w:lvl>
    <w:lvl w:ilvl="4" w:tplc="190C416E">
      <w:start w:val="1"/>
      <w:numFmt w:val="lowerLetter"/>
      <w:lvlText w:val="%5."/>
      <w:lvlJc w:val="left"/>
      <w:pPr>
        <w:ind w:left="3589" w:hanging="360"/>
      </w:pPr>
    </w:lvl>
    <w:lvl w:ilvl="5" w:tplc="9CD0691A">
      <w:start w:val="1"/>
      <w:numFmt w:val="lowerRoman"/>
      <w:lvlText w:val="%6."/>
      <w:lvlJc w:val="right"/>
      <w:pPr>
        <w:ind w:left="4309" w:hanging="180"/>
      </w:pPr>
    </w:lvl>
    <w:lvl w:ilvl="6" w:tplc="8976FA64">
      <w:start w:val="1"/>
      <w:numFmt w:val="decimal"/>
      <w:lvlText w:val="%7."/>
      <w:lvlJc w:val="left"/>
      <w:pPr>
        <w:ind w:left="5029" w:hanging="360"/>
      </w:pPr>
    </w:lvl>
    <w:lvl w:ilvl="7" w:tplc="6B2E35B2">
      <w:start w:val="1"/>
      <w:numFmt w:val="lowerLetter"/>
      <w:lvlText w:val="%8."/>
      <w:lvlJc w:val="left"/>
      <w:pPr>
        <w:ind w:left="5749" w:hanging="360"/>
      </w:pPr>
    </w:lvl>
    <w:lvl w:ilvl="8" w:tplc="6E9CC08E">
      <w:start w:val="1"/>
      <w:numFmt w:val="lowerRoman"/>
      <w:lvlText w:val="%9."/>
      <w:lvlJc w:val="right"/>
      <w:pPr>
        <w:ind w:left="6469" w:hanging="180"/>
      </w:pPr>
    </w:lvl>
  </w:abstractNum>
  <w:abstractNum w:abstractNumId="72">
    <w:nsid w:val="402C2A17"/>
    <w:multiLevelType w:val="hybridMultilevel"/>
    <w:tmpl w:val="F2F43A38"/>
    <w:lvl w:ilvl="0" w:tplc="CD18BDE2">
      <w:start w:val="1"/>
      <w:numFmt w:val="decimal"/>
      <w:lvlText w:val="%1."/>
      <w:lvlJc w:val="left"/>
      <w:pPr>
        <w:ind w:left="720" w:hanging="360"/>
      </w:pPr>
    </w:lvl>
    <w:lvl w:ilvl="1" w:tplc="3200A2C8">
      <w:start w:val="1"/>
      <w:numFmt w:val="lowerLetter"/>
      <w:lvlText w:val="%2."/>
      <w:lvlJc w:val="left"/>
      <w:pPr>
        <w:ind w:left="1440" w:hanging="360"/>
      </w:pPr>
    </w:lvl>
    <w:lvl w:ilvl="2" w:tplc="40FA2E5E">
      <w:start w:val="1"/>
      <w:numFmt w:val="lowerRoman"/>
      <w:lvlText w:val="%3."/>
      <w:lvlJc w:val="right"/>
      <w:pPr>
        <w:ind w:left="2160" w:hanging="360"/>
      </w:pPr>
    </w:lvl>
    <w:lvl w:ilvl="3" w:tplc="45A0927E">
      <w:start w:val="1"/>
      <w:numFmt w:val="decimal"/>
      <w:lvlText w:val="%4."/>
      <w:lvlJc w:val="left"/>
      <w:pPr>
        <w:ind w:left="2880" w:hanging="360"/>
      </w:pPr>
    </w:lvl>
    <w:lvl w:ilvl="4" w:tplc="98DCD9B2">
      <w:start w:val="1"/>
      <w:numFmt w:val="lowerLetter"/>
      <w:lvlText w:val="%5."/>
      <w:lvlJc w:val="left"/>
      <w:pPr>
        <w:ind w:left="3600" w:hanging="360"/>
      </w:pPr>
    </w:lvl>
    <w:lvl w:ilvl="5" w:tplc="32AA1DDE">
      <w:start w:val="1"/>
      <w:numFmt w:val="lowerRoman"/>
      <w:lvlText w:val="%6."/>
      <w:lvlJc w:val="right"/>
      <w:pPr>
        <w:ind w:left="4320" w:hanging="360"/>
      </w:pPr>
    </w:lvl>
    <w:lvl w:ilvl="6" w:tplc="39861BB4">
      <w:start w:val="1"/>
      <w:numFmt w:val="decimal"/>
      <w:lvlText w:val="%7."/>
      <w:lvlJc w:val="left"/>
      <w:pPr>
        <w:ind w:left="5040" w:hanging="360"/>
      </w:pPr>
    </w:lvl>
    <w:lvl w:ilvl="7" w:tplc="181C5FE4">
      <w:start w:val="1"/>
      <w:numFmt w:val="lowerLetter"/>
      <w:lvlText w:val="%8."/>
      <w:lvlJc w:val="left"/>
      <w:pPr>
        <w:ind w:left="5760" w:hanging="360"/>
      </w:pPr>
    </w:lvl>
    <w:lvl w:ilvl="8" w:tplc="1EDA0168">
      <w:start w:val="1"/>
      <w:numFmt w:val="lowerRoman"/>
      <w:lvlText w:val="%9."/>
      <w:lvlJc w:val="right"/>
      <w:pPr>
        <w:ind w:left="6480" w:hanging="360"/>
      </w:pPr>
    </w:lvl>
  </w:abstractNum>
  <w:abstractNum w:abstractNumId="73">
    <w:nsid w:val="40A71182"/>
    <w:multiLevelType w:val="hybridMultilevel"/>
    <w:tmpl w:val="BD18D2AA"/>
    <w:lvl w:ilvl="0" w:tplc="51C45982">
      <w:start w:val="1"/>
      <w:numFmt w:val="decimal"/>
      <w:lvlText w:val="%1."/>
      <w:lvlJc w:val="left"/>
      <w:pPr>
        <w:ind w:left="644" w:hanging="360"/>
      </w:pPr>
    </w:lvl>
    <w:lvl w:ilvl="1" w:tplc="665C5B9A">
      <w:start w:val="1"/>
      <w:numFmt w:val="lowerLetter"/>
      <w:lvlText w:val="%2."/>
      <w:lvlJc w:val="left"/>
      <w:pPr>
        <w:ind w:left="1429" w:hanging="360"/>
      </w:pPr>
    </w:lvl>
    <w:lvl w:ilvl="2" w:tplc="B2F4B356">
      <w:start w:val="1"/>
      <w:numFmt w:val="lowerRoman"/>
      <w:lvlText w:val="%3."/>
      <w:lvlJc w:val="right"/>
      <w:pPr>
        <w:ind w:left="2149" w:hanging="180"/>
      </w:pPr>
    </w:lvl>
    <w:lvl w:ilvl="3" w:tplc="88B8A474">
      <w:start w:val="1"/>
      <w:numFmt w:val="decimal"/>
      <w:lvlText w:val="%4."/>
      <w:lvlJc w:val="left"/>
      <w:pPr>
        <w:ind w:left="2869" w:hanging="360"/>
      </w:pPr>
    </w:lvl>
    <w:lvl w:ilvl="4" w:tplc="9CC809FA">
      <w:start w:val="1"/>
      <w:numFmt w:val="lowerLetter"/>
      <w:lvlText w:val="%5."/>
      <w:lvlJc w:val="left"/>
      <w:pPr>
        <w:ind w:left="3589" w:hanging="360"/>
      </w:pPr>
    </w:lvl>
    <w:lvl w:ilvl="5" w:tplc="F8AC94B8">
      <w:start w:val="1"/>
      <w:numFmt w:val="lowerRoman"/>
      <w:lvlText w:val="%6."/>
      <w:lvlJc w:val="right"/>
      <w:pPr>
        <w:ind w:left="4309" w:hanging="180"/>
      </w:pPr>
    </w:lvl>
    <w:lvl w:ilvl="6" w:tplc="C436DD6A">
      <w:start w:val="1"/>
      <w:numFmt w:val="decimal"/>
      <w:lvlText w:val="%7."/>
      <w:lvlJc w:val="left"/>
      <w:pPr>
        <w:ind w:left="5029" w:hanging="360"/>
      </w:pPr>
    </w:lvl>
    <w:lvl w:ilvl="7" w:tplc="F03CB254">
      <w:start w:val="1"/>
      <w:numFmt w:val="lowerLetter"/>
      <w:lvlText w:val="%8."/>
      <w:lvlJc w:val="left"/>
      <w:pPr>
        <w:ind w:left="5749" w:hanging="360"/>
      </w:pPr>
    </w:lvl>
    <w:lvl w:ilvl="8" w:tplc="B628AC24">
      <w:start w:val="1"/>
      <w:numFmt w:val="lowerRoman"/>
      <w:lvlText w:val="%9."/>
      <w:lvlJc w:val="right"/>
      <w:pPr>
        <w:ind w:left="6469" w:hanging="180"/>
      </w:pPr>
    </w:lvl>
  </w:abstractNum>
  <w:abstractNum w:abstractNumId="74">
    <w:nsid w:val="40C175C9"/>
    <w:multiLevelType w:val="hybridMultilevel"/>
    <w:tmpl w:val="08920DB2"/>
    <w:lvl w:ilvl="0" w:tplc="D1E256D4">
      <w:start w:val="1"/>
      <w:numFmt w:val="bullet"/>
      <w:lvlText w:val="–"/>
      <w:lvlJc w:val="left"/>
      <w:pPr>
        <w:ind w:left="720" w:hanging="360"/>
      </w:pPr>
      <w:rPr>
        <w:rFonts w:ascii="Arial" w:eastAsia="Arial" w:hAnsi="Arial" w:cs="Arial"/>
      </w:rPr>
    </w:lvl>
    <w:lvl w:ilvl="1" w:tplc="668A2694">
      <w:start w:val="1"/>
      <w:numFmt w:val="bullet"/>
      <w:lvlText w:val="o"/>
      <w:lvlJc w:val="left"/>
      <w:pPr>
        <w:ind w:left="1440" w:hanging="360"/>
      </w:pPr>
      <w:rPr>
        <w:rFonts w:ascii="Courier New" w:eastAsia="Courier New" w:hAnsi="Courier New" w:cs="Courier New" w:hint="default"/>
      </w:rPr>
    </w:lvl>
    <w:lvl w:ilvl="2" w:tplc="880E177E">
      <w:start w:val="1"/>
      <w:numFmt w:val="bullet"/>
      <w:lvlText w:val="§"/>
      <w:lvlJc w:val="left"/>
      <w:pPr>
        <w:ind w:left="2160" w:hanging="360"/>
      </w:pPr>
      <w:rPr>
        <w:rFonts w:ascii="Wingdings" w:eastAsia="Wingdings" w:hAnsi="Wingdings" w:cs="Wingdings" w:hint="default"/>
      </w:rPr>
    </w:lvl>
    <w:lvl w:ilvl="3" w:tplc="A40E15FE">
      <w:start w:val="1"/>
      <w:numFmt w:val="bullet"/>
      <w:lvlText w:val="·"/>
      <w:lvlJc w:val="left"/>
      <w:pPr>
        <w:ind w:left="2880" w:hanging="360"/>
      </w:pPr>
      <w:rPr>
        <w:rFonts w:ascii="Symbol" w:eastAsia="Symbol" w:hAnsi="Symbol" w:cs="Symbol" w:hint="default"/>
      </w:rPr>
    </w:lvl>
    <w:lvl w:ilvl="4" w:tplc="0A3C1D54">
      <w:start w:val="1"/>
      <w:numFmt w:val="bullet"/>
      <w:lvlText w:val="o"/>
      <w:lvlJc w:val="left"/>
      <w:pPr>
        <w:ind w:left="3600" w:hanging="360"/>
      </w:pPr>
      <w:rPr>
        <w:rFonts w:ascii="Courier New" w:eastAsia="Courier New" w:hAnsi="Courier New" w:cs="Courier New" w:hint="default"/>
      </w:rPr>
    </w:lvl>
    <w:lvl w:ilvl="5" w:tplc="7B32AF62">
      <w:start w:val="1"/>
      <w:numFmt w:val="bullet"/>
      <w:lvlText w:val="§"/>
      <w:lvlJc w:val="left"/>
      <w:pPr>
        <w:ind w:left="4320" w:hanging="360"/>
      </w:pPr>
      <w:rPr>
        <w:rFonts w:ascii="Wingdings" w:eastAsia="Wingdings" w:hAnsi="Wingdings" w:cs="Wingdings" w:hint="default"/>
      </w:rPr>
    </w:lvl>
    <w:lvl w:ilvl="6" w:tplc="EADA506E">
      <w:start w:val="1"/>
      <w:numFmt w:val="bullet"/>
      <w:lvlText w:val="·"/>
      <w:lvlJc w:val="left"/>
      <w:pPr>
        <w:ind w:left="5040" w:hanging="360"/>
      </w:pPr>
      <w:rPr>
        <w:rFonts w:ascii="Symbol" w:eastAsia="Symbol" w:hAnsi="Symbol" w:cs="Symbol" w:hint="default"/>
      </w:rPr>
    </w:lvl>
    <w:lvl w:ilvl="7" w:tplc="0FF2348E">
      <w:start w:val="1"/>
      <w:numFmt w:val="bullet"/>
      <w:lvlText w:val="o"/>
      <w:lvlJc w:val="left"/>
      <w:pPr>
        <w:ind w:left="5760" w:hanging="360"/>
      </w:pPr>
      <w:rPr>
        <w:rFonts w:ascii="Courier New" w:eastAsia="Courier New" w:hAnsi="Courier New" w:cs="Courier New" w:hint="default"/>
      </w:rPr>
    </w:lvl>
    <w:lvl w:ilvl="8" w:tplc="8C5AF582">
      <w:start w:val="1"/>
      <w:numFmt w:val="bullet"/>
      <w:lvlText w:val="§"/>
      <w:lvlJc w:val="left"/>
      <w:pPr>
        <w:ind w:left="6480" w:hanging="360"/>
      </w:pPr>
      <w:rPr>
        <w:rFonts w:ascii="Wingdings" w:eastAsia="Wingdings" w:hAnsi="Wingdings" w:cs="Wingdings" w:hint="default"/>
      </w:rPr>
    </w:lvl>
  </w:abstractNum>
  <w:abstractNum w:abstractNumId="75">
    <w:nsid w:val="40F401C4"/>
    <w:multiLevelType w:val="hybridMultilevel"/>
    <w:tmpl w:val="C5A25A22"/>
    <w:lvl w:ilvl="0" w:tplc="532654E0">
      <w:start w:val="1"/>
      <w:numFmt w:val="bullet"/>
      <w:lvlText w:val="–"/>
      <w:lvlJc w:val="left"/>
      <w:pPr>
        <w:ind w:left="720" w:hanging="360"/>
      </w:pPr>
      <w:rPr>
        <w:rFonts w:ascii="Arial" w:eastAsia="Arial" w:hAnsi="Arial" w:cs="Arial"/>
      </w:rPr>
    </w:lvl>
    <w:lvl w:ilvl="1" w:tplc="8EDC20B0">
      <w:start w:val="1"/>
      <w:numFmt w:val="bullet"/>
      <w:lvlText w:val="o"/>
      <w:lvlJc w:val="left"/>
      <w:pPr>
        <w:ind w:left="1440" w:hanging="360"/>
      </w:pPr>
      <w:rPr>
        <w:rFonts w:ascii="Courier New" w:eastAsia="Courier New" w:hAnsi="Courier New" w:cs="Courier New" w:hint="default"/>
      </w:rPr>
    </w:lvl>
    <w:lvl w:ilvl="2" w:tplc="8806B350">
      <w:start w:val="1"/>
      <w:numFmt w:val="bullet"/>
      <w:lvlText w:val="§"/>
      <w:lvlJc w:val="left"/>
      <w:pPr>
        <w:ind w:left="2160" w:hanging="360"/>
      </w:pPr>
      <w:rPr>
        <w:rFonts w:ascii="Wingdings" w:eastAsia="Wingdings" w:hAnsi="Wingdings" w:cs="Wingdings" w:hint="default"/>
      </w:rPr>
    </w:lvl>
    <w:lvl w:ilvl="3" w:tplc="83CEFF82">
      <w:start w:val="1"/>
      <w:numFmt w:val="bullet"/>
      <w:lvlText w:val="·"/>
      <w:lvlJc w:val="left"/>
      <w:pPr>
        <w:ind w:left="2880" w:hanging="360"/>
      </w:pPr>
      <w:rPr>
        <w:rFonts w:ascii="Symbol" w:eastAsia="Symbol" w:hAnsi="Symbol" w:cs="Symbol" w:hint="default"/>
      </w:rPr>
    </w:lvl>
    <w:lvl w:ilvl="4" w:tplc="B44C3F76">
      <w:start w:val="1"/>
      <w:numFmt w:val="bullet"/>
      <w:lvlText w:val="o"/>
      <w:lvlJc w:val="left"/>
      <w:pPr>
        <w:ind w:left="3600" w:hanging="360"/>
      </w:pPr>
      <w:rPr>
        <w:rFonts w:ascii="Courier New" w:eastAsia="Courier New" w:hAnsi="Courier New" w:cs="Courier New" w:hint="default"/>
      </w:rPr>
    </w:lvl>
    <w:lvl w:ilvl="5" w:tplc="EEE6AAB4">
      <w:start w:val="1"/>
      <w:numFmt w:val="bullet"/>
      <w:lvlText w:val="§"/>
      <w:lvlJc w:val="left"/>
      <w:pPr>
        <w:ind w:left="4320" w:hanging="360"/>
      </w:pPr>
      <w:rPr>
        <w:rFonts w:ascii="Wingdings" w:eastAsia="Wingdings" w:hAnsi="Wingdings" w:cs="Wingdings" w:hint="default"/>
      </w:rPr>
    </w:lvl>
    <w:lvl w:ilvl="6" w:tplc="69904456">
      <w:start w:val="1"/>
      <w:numFmt w:val="bullet"/>
      <w:lvlText w:val="·"/>
      <w:lvlJc w:val="left"/>
      <w:pPr>
        <w:ind w:left="5040" w:hanging="360"/>
      </w:pPr>
      <w:rPr>
        <w:rFonts w:ascii="Symbol" w:eastAsia="Symbol" w:hAnsi="Symbol" w:cs="Symbol" w:hint="default"/>
      </w:rPr>
    </w:lvl>
    <w:lvl w:ilvl="7" w:tplc="2410FA2A">
      <w:start w:val="1"/>
      <w:numFmt w:val="bullet"/>
      <w:lvlText w:val="o"/>
      <w:lvlJc w:val="left"/>
      <w:pPr>
        <w:ind w:left="5760" w:hanging="360"/>
      </w:pPr>
      <w:rPr>
        <w:rFonts w:ascii="Courier New" w:eastAsia="Courier New" w:hAnsi="Courier New" w:cs="Courier New" w:hint="default"/>
      </w:rPr>
    </w:lvl>
    <w:lvl w:ilvl="8" w:tplc="BE5669E6">
      <w:start w:val="1"/>
      <w:numFmt w:val="bullet"/>
      <w:lvlText w:val="§"/>
      <w:lvlJc w:val="left"/>
      <w:pPr>
        <w:ind w:left="6480" w:hanging="360"/>
      </w:pPr>
      <w:rPr>
        <w:rFonts w:ascii="Wingdings" w:eastAsia="Wingdings" w:hAnsi="Wingdings" w:cs="Wingdings" w:hint="default"/>
      </w:rPr>
    </w:lvl>
  </w:abstractNum>
  <w:abstractNum w:abstractNumId="76">
    <w:nsid w:val="42405D31"/>
    <w:multiLevelType w:val="hybridMultilevel"/>
    <w:tmpl w:val="6B96D45E"/>
    <w:lvl w:ilvl="0" w:tplc="CE342428">
      <w:start w:val="1"/>
      <w:numFmt w:val="bullet"/>
      <w:lvlText w:val="–"/>
      <w:lvlJc w:val="left"/>
      <w:pPr>
        <w:ind w:left="720" w:hanging="360"/>
      </w:pPr>
      <w:rPr>
        <w:rFonts w:ascii="Arial" w:eastAsia="Arial" w:hAnsi="Arial" w:cs="Arial"/>
      </w:rPr>
    </w:lvl>
    <w:lvl w:ilvl="1" w:tplc="FA64507A">
      <w:start w:val="1"/>
      <w:numFmt w:val="bullet"/>
      <w:lvlText w:val="o"/>
      <w:lvlJc w:val="left"/>
      <w:pPr>
        <w:ind w:left="1440" w:hanging="360"/>
      </w:pPr>
      <w:rPr>
        <w:rFonts w:ascii="Courier New" w:eastAsia="Courier New" w:hAnsi="Courier New" w:cs="Courier New" w:hint="default"/>
      </w:rPr>
    </w:lvl>
    <w:lvl w:ilvl="2" w:tplc="D5F0D48C">
      <w:start w:val="1"/>
      <w:numFmt w:val="bullet"/>
      <w:lvlText w:val="§"/>
      <w:lvlJc w:val="left"/>
      <w:pPr>
        <w:ind w:left="2160" w:hanging="360"/>
      </w:pPr>
      <w:rPr>
        <w:rFonts w:ascii="Wingdings" w:eastAsia="Wingdings" w:hAnsi="Wingdings" w:cs="Wingdings" w:hint="default"/>
      </w:rPr>
    </w:lvl>
    <w:lvl w:ilvl="3" w:tplc="A9A813D6">
      <w:start w:val="1"/>
      <w:numFmt w:val="bullet"/>
      <w:lvlText w:val="·"/>
      <w:lvlJc w:val="left"/>
      <w:pPr>
        <w:ind w:left="2880" w:hanging="360"/>
      </w:pPr>
      <w:rPr>
        <w:rFonts w:ascii="Symbol" w:eastAsia="Symbol" w:hAnsi="Symbol" w:cs="Symbol" w:hint="default"/>
      </w:rPr>
    </w:lvl>
    <w:lvl w:ilvl="4" w:tplc="65E8001E">
      <w:start w:val="1"/>
      <w:numFmt w:val="bullet"/>
      <w:lvlText w:val="o"/>
      <w:lvlJc w:val="left"/>
      <w:pPr>
        <w:ind w:left="3600" w:hanging="360"/>
      </w:pPr>
      <w:rPr>
        <w:rFonts w:ascii="Courier New" w:eastAsia="Courier New" w:hAnsi="Courier New" w:cs="Courier New" w:hint="default"/>
      </w:rPr>
    </w:lvl>
    <w:lvl w:ilvl="5" w:tplc="E638AD92">
      <w:start w:val="1"/>
      <w:numFmt w:val="bullet"/>
      <w:lvlText w:val="§"/>
      <w:lvlJc w:val="left"/>
      <w:pPr>
        <w:ind w:left="4320" w:hanging="360"/>
      </w:pPr>
      <w:rPr>
        <w:rFonts w:ascii="Wingdings" w:eastAsia="Wingdings" w:hAnsi="Wingdings" w:cs="Wingdings" w:hint="default"/>
      </w:rPr>
    </w:lvl>
    <w:lvl w:ilvl="6" w:tplc="57860C96">
      <w:start w:val="1"/>
      <w:numFmt w:val="bullet"/>
      <w:lvlText w:val="·"/>
      <w:lvlJc w:val="left"/>
      <w:pPr>
        <w:ind w:left="5040" w:hanging="360"/>
      </w:pPr>
      <w:rPr>
        <w:rFonts w:ascii="Symbol" w:eastAsia="Symbol" w:hAnsi="Symbol" w:cs="Symbol" w:hint="default"/>
      </w:rPr>
    </w:lvl>
    <w:lvl w:ilvl="7" w:tplc="512A3570">
      <w:start w:val="1"/>
      <w:numFmt w:val="bullet"/>
      <w:lvlText w:val="o"/>
      <w:lvlJc w:val="left"/>
      <w:pPr>
        <w:ind w:left="5760" w:hanging="360"/>
      </w:pPr>
      <w:rPr>
        <w:rFonts w:ascii="Courier New" w:eastAsia="Courier New" w:hAnsi="Courier New" w:cs="Courier New" w:hint="default"/>
      </w:rPr>
    </w:lvl>
    <w:lvl w:ilvl="8" w:tplc="88E43B14">
      <w:start w:val="1"/>
      <w:numFmt w:val="bullet"/>
      <w:lvlText w:val="§"/>
      <w:lvlJc w:val="left"/>
      <w:pPr>
        <w:ind w:left="6480" w:hanging="360"/>
      </w:pPr>
      <w:rPr>
        <w:rFonts w:ascii="Wingdings" w:eastAsia="Wingdings" w:hAnsi="Wingdings" w:cs="Wingdings" w:hint="default"/>
      </w:rPr>
    </w:lvl>
  </w:abstractNum>
  <w:abstractNum w:abstractNumId="77">
    <w:nsid w:val="42F45B3C"/>
    <w:multiLevelType w:val="hybridMultilevel"/>
    <w:tmpl w:val="9AEA6F08"/>
    <w:lvl w:ilvl="0" w:tplc="139CA9B0">
      <w:start w:val="1"/>
      <w:numFmt w:val="bullet"/>
      <w:lvlText w:val="–"/>
      <w:lvlJc w:val="left"/>
      <w:pPr>
        <w:ind w:left="720" w:hanging="360"/>
      </w:pPr>
      <w:rPr>
        <w:rFonts w:ascii="Arial" w:eastAsia="Arial" w:hAnsi="Arial" w:cs="Arial"/>
      </w:rPr>
    </w:lvl>
    <w:lvl w:ilvl="1" w:tplc="678CDD56">
      <w:start w:val="1"/>
      <w:numFmt w:val="bullet"/>
      <w:lvlText w:val="o"/>
      <w:lvlJc w:val="left"/>
      <w:pPr>
        <w:ind w:left="1440" w:hanging="360"/>
      </w:pPr>
      <w:rPr>
        <w:rFonts w:ascii="Courier New" w:eastAsia="Courier New" w:hAnsi="Courier New" w:cs="Courier New" w:hint="default"/>
      </w:rPr>
    </w:lvl>
    <w:lvl w:ilvl="2" w:tplc="A8C88EF0">
      <w:start w:val="1"/>
      <w:numFmt w:val="bullet"/>
      <w:lvlText w:val="§"/>
      <w:lvlJc w:val="left"/>
      <w:pPr>
        <w:ind w:left="2160" w:hanging="360"/>
      </w:pPr>
      <w:rPr>
        <w:rFonts w:ascii="Wingdings" w:eastAsia="Wingdings" w:hAnsi="Wingdings" w:cs="Wingdings" w:hint="default"/>
      </w:rPr>
    </w:lvl>
    <w:lvl w:ilvl="3" w:tplc="0AAA8768">
      <w:start w:val="1"/>
      <w:numFmt w:val="bullet"/>
      <w:lvlText w:val="·"/>
      <w:lvlJc w:val="left"/>
      <w:pPr>
        <w:ind w:left="2880" w:hanging="360"/>
      </w:pPr>
      <w:rPr>
        <w:rFonts w:ascii="Symbol" w:eastAsia="Symbol" w:hAnsi="Symbol" w:cs="Symbol" w:hint="default"/>
      </w:rPr>
    </w:lvl>
    <w:lvl w:ilvl="4" w:tplc="3DAEC50A">
      <w:start w:val="1"/>
      <w:numFmt w:val="bullet"/>
      <w:lvlText w:val="o"/>
      <w:lvlJc w:val="left"/>
      <w:pPr>
        <w:ind w:left="3600" w:hanging="360"/>
      </w:pPr>
      <w:rPr>
        <w:rFonts w:ascii="Courier New" w:eastAsia="Courier New" w:hAnsi="Courier New" w:cs="Courier New" w:hint="default"/>
      </w:rPr>
    </w:lvl>
    <w:lvl w:ilvl="5" w:tplc="B84E0AAA">
      <w:start w:val="1"/>
      <w:numFmt w:val="bullet"/>
      <w:lvlText w:val="§"/>
      <w:lvlJc w:val="left"/>
      <w:pPr>
        <w:ind w:left="4320" w:hanging="360"/>
      </w:pPr>
      <w:rPr>
        <w:rFonts w:ascii="Wingdings" w:eastAsia="Wingdings" w:hAnsi="Wingdings" w:cs="Wingdings" w:hint="default"/>
      </w:rPr>
    </w:lvl>
    <w:lvl w:ilvl="6" w:tplc="63703D38">
      <w:start w:val="1"/>
      <w:numFmt w:val="bullet"/>
      <w:lvlText w:val="·"/>
      <w:lvlJc w:val="left"/>
      <w:pPr>
        <w:ind w:left="5040" w:hanging="360"/>
      </w:pPr>
      <w:rPr>
        <w:rFonts w:ascii="Symbol" w:eastAsia="Symbol" w:hAnsi="Symbol" w:cs="Symbol" w:hint="default"/>
      </w:rPr>
    </w:lvl>
    <w:lvl w:ilvl="7" w:tplc="E17A9490">
      <w:start w:val="1"/>
      <w:numFmt w:val="bullet"/>
      <w:lvlText w:val="o"/>
      <w:lvlJc w:val="left"/>
      <w:pPr>
        <w:ind w:left="5760" w:hanging="360"/>
      </w:pPr>
      <w:rPr>
        <w:rFonts w:ascii="Courier New" w:eastAsia="Courier New" w:hAnsi="Courier New" w:cs="Courier New" w:hint="default"/>
      </w:rPr>
    </w:lvl>
    <w:lvl w:ilvl="8" w:tplc="01FEAF62">
      <w:start w:val="1"/>
      <w:numFmt w:val="bullet"/>
      <w:lvlText w:val="§"/>
      <w:lvlJc w:val="left"/>
      <w:pPr>
        <w:ind w:left="6480" w:hanging="360"/>
      </w:pPr>
      <w:rPr>
        <w:rFonts w:ascii="Wingdings" w:eastAsia="Wingdings" w:hAnsi="Wingdings" w:cs="Wingdings" w:hint="default"/>
      </w:rPr>
    </w:lvl>
  </w:abstractNum>
  <w:abstractNum w:abstractNumId="78">
    <w:nsid w:val="44135459"/>
    <w:multiLevelType w:val="hybridMultilevel"/>
    <w:tmpl w:val="69EE2ACA"/>
    <w:lvl w:ilvl="0" w:tplc="DA3833EA">
      <w:start w:val="1"/>
      <w:numFmt w:val="bullet"/>
      <w:lvlText w:val="–"/>
      <w:lvlJc w:val="left"/>
      <w:pPr>
        <w:ind w:left="720" w:hanging="360"/>
      </w:pPr>
      <w:rPr>
        <w:rFonts w:ascii="Arial" w:eastAsia="Arial" w:hAnsi="Arial" w:cs="Arial"/>
      </w:rPr>
    </w:lvl>
    <w:lvl w:ilvl="1" w:tplc="F09640EA">
      <w:start w:val="1"/>
      <w:numFmt w:val="bullet"/>
      <w:lvlText w:val="o"/>
      <w:lvlJc w:val="left"/>
      <w:pPr>
        <w:ind w:left="1440" w:hanging="360"/>
      </w:pPr>
      <w:rPr>
        <w:rFonts w:ascii="Courier New" w:eastAsia="Courier New" w:hAnsi="Courier New" w:cs="Courier New" w:hint="default"/>
      </w:rPr>
    </w:lvl>
    <w:lvl w:ilvl="2" w:tplc="B756FC76">
      <w:start w:val="1"/>
      <w:numFmt w:val="bullet"/>
      <w:lvlText w:val="§"/>
      <w:lvlJc w:val="left"/>
      <w:pPr>
        <w:ind w:left="2160" w:hanging="360"/>
      </w:pPr>
      <w:rPr>
        <w:rFonts w:ascii="Wingdings" w:eastAsia="Wingdings" w:hAnsi="Wingdings" w:cs="Wingdings" w:hint="default"/>
      </w:rPr>
    </w:lvl>
    <w:lvl w:ilvl="3" w:tplc="CD2479CE">
      <w:start w:val="1"/>
      <w:numFmt w:val="bullet"/>
      <w:lvlText w:val="·"/>
      <w:lvlJc w:val="left"/>
      <w:pPr>
        <w:ind w:left="2880" w:hanging="360"/>
      </w:pPr>
      <w:rPr>
        <w:rFonts w:ascii="Symbol" w:eastAsia="Symbol" w:hAnsi="Symbol" w:cs="Symbol" w:hint="default"/>
      </w:rPr>
    </w:lvl>
    <w:lvl w:ilvl="4" w:tplc="6C743F9C">
      <w:start w:val="1"/>
      <w:numFmt w:val="bullet"/>
      <w:lvlText w:val="o"/>
      <w:lvlJc w:val="left"/>
      <w:pPr>
        <w:ind w:left="3600" w:hanging="360"/>
      </w:pPr>
      <w:rPr>
        <w:rFonts w:ascii="Courier New" w:eastAsia="Courier New" w:hAnsi="Courier New" w:cs="Courier New" w:hint="default"/>
      </w:rPr>
    </w:lvl>
    <w:lvl w:ilvl="5" w:tplc="B4F6E4FE">
      <w:start w:val="1"/>
      <w:numFmt w:val="bullet"/>
      <w:lvlText w:val="§"/>
      <w:lvlJc w:val="left"/>
      <w:pPr>
        <w:ind w:left="4320" w:hanging="360"/>
      </w:pPr>
      <w:rPr>
        <w:rFonts w:ascii="Wingdings" w:eastAsia="Wingdings" w:hAnsi="Wingdings" w:cs="Wingdings" w:hint="default"/>
      </w:rPr>
    </w:lvl>
    <w:lvl w:ilvl="6" w:tplc="71543404">
      <w:start w:val="1"/>
      <w:numFmt w:val="bullet"/>
      <w:lvlText w:val="·"/>
      <w:lvlJc w:val="left"/>
      <w:pPr>
        <w:ind w:left="5040" w:hanging="360"/>
      </w:pPr>
      <w:rPr>
        <w:rFonts w:ascii="Symbol" w:eastAsia="Symbol" w:hAnsi="Symbol" w:cs="Symbol" w:hint="default"/>
      </w:rPr>
    </w:lvl>
    <w:lvl w:ilvl="7" w:tplc="09F8B2C6">
      <w:start w:val="1"/>
      <w:numFmt w:val="bullet"/>
      <w:lvlText w:val="o"/>
      <w:lvlJc w:val="left"/>
      <w:pPr>
        <w:ind w:left="5760" w:hanging="360"/>
      </w:pPr>
      <w:rPr>
        <w:rFonts w:ascii="Courier New" w:eastAsia="Courier New" w:hAnsi="Courier New" w:cs="Courier New" w:hint="default"/>
      </w:rPr>
    </w:lvl>
    <w:lvl w:ilvl="8" w:tplc="0E4E2E7C">
      <w:start w:val="1"/>
      <w:numFmt w:val="bullet"/>
      <w:lvlText w:val="§"/>
      <w:lvlJc w:val="left"/>
      <w:pPr>
        <w:ind w:left="6480" w:hanging="360"/>
      </w:pPr>
      <w:rPr>
        <w:rFonts w:ascii="Wingdings" w:eastAsia="Wingdings" w:hAnsi="Wingdings" w:cs="Wingdings" w:hint="default"/>
      </w:rPr>
    </w:lvl>
  </w:abstractNum>
  <w:abstractNum w:abstractNumId="79">
    <w:nsid w:val="459F2268"/>
    <w:multiLevelType w:val="hybridMultilevel"/>
    <w:tmpl w:val="66184760"/>
    <w:lvl w:ilvl="0" w:tplc="9B22FF06">
      <w:start w:val="1"/>
      <w:numFmt w:val="bullet"/>
      <w:lvlText w:val="–"/>
      <w:lvlJc w:val="left"/>
      <w:pPr>
        <w:ind w:left="720" w:hanging="360"/>
      </w:pPr>
      <w:rPr>
        <w:rFonts w:ascii="Arial" w:eastAsia="Arial" w:hAnsi="Arial" w:cs="Arial"/>
      </w:rPr>
    </w:lvl>
    <w:lvl w:ilvl="1" w:tplc="206669C4">
      <w:start w:val="1"/>
      <w:numFmt w:val="bullet"/>
      <w:lvlText w:val="o"/>
      <w:lvlJc w:val="left"/>
      <w:pPr>
        <w:ind w:left="1440" w:hanging="360"/>
      </w:pPr>
      <w:rPr>
        <w:rFonts w:ascii="Courier New" w:eastAsia="Courier New" w:hAnsi="Courier New" w:cs="Courier New" w:hint="default"/>
      </w:rPr>
    </w:lvl>
    <w:lvl w:ilvl="2" w:tplc="174E55CE">
      <w:start w:val="1"/>
      <w:numFmt w:val="bullet"/>
      <w:lvlText w:val="§"/>
      <w:lvlJc w:val="left"/>
      <w:pPr>
        <w:ind w:left="2160" w:hanging="360"/>
      </w:pPr>
      <w:rPr>
        <w:rFonts w:ascii="Wingdings" w:eastAsia="Wingdings" w:hAnsi="Wingdings" w:cs="Wingdings" w:hint="default"/>
      </w:rPr>
    </w:lvl>
    <w:lvl w:ilvl="3" w:tplc="1EB45106">
      <w:start w:val="1"/>
      <w:numFmt w:val="bullet"/>
      <w:lvlText w:val="·"/>
      <w:lvlJc w:val="left"/>
      <w:pPr>
        <w:ind w:left="2880" w:hanging="360"/>
      </w:pPr>
      <w:rPr>
        <w:rFonts w:ascii="Symbol" w:eastAsia="Symbol" w:hAnsi="Symbol" w:cs="Symbol" w:hint="default"/>
      </w:rPr>
    </w:lvl>
    <w:lvl w:ilvl="4" w:tplc="A85A20CC">
      <w:start w:val="1"/>
      <w:numFmt w:val="bullet"/>
      <w:lvlText w:val="o"/>
      <w:lvlJc w:val="left"/>
      <w:pPr>
        <w:ind w:left="3600" w:hanging="360"/>
      </w:pPr>
      <w:rPr>
        <w:rFonts w:ascii="Courier New" w:eastAsia="Courier New" w:hAnsi="Courier New" w:cs="Courier New" w:hint="default"/>
      </w:rPr>
    </w:lvl>
    <w:lvl w:ilvl="5" w:tplc="747AEE86">
      <w:start w:val="1"/>
      <w:numFmt w:val="bullet"/>
      <w:lvlText w:val="§"/>
      <w:lvlJc w:val="left"/>
      <w:pPr>
        <w:ind w:left="4320" w:hanging="360"/>
      </w:pPr>
      <w:rPr>
        <w:rFonts w:ascii="Wingdings" w:eastAsia="Wingdings" w:hAnsi="Wingdings" w:cs="Wingdings" w:hint="default"/>
      </w:rPr>
    </w:lvl>
    <w:lvl w:ilvl="6" w:tplc="0AACED9E">
      <w:start w:val="1"/>
      <w:numFmt w:val="bullet"/>
      <w:lvlText w:val="·"/>
      <w:lvlJc w:val="left"/>
      <w:pPr>
        <w:ind w:left="5040" w:hanging="360"/>
      </w:pPr>
      <w:rPr>
        <w:rFonts w:ascii="Symbol" w:eastAsia="Symbol" w:hAnsi="Symbol" w:cs="Symbol" w:hint="default"/>
      </w:rPr>
    </w:lvl>
    <w:lvl w:ilvl="7" w:tplc="48F8E616">
      <w:start w:val="1"/>
      <w:numFmt w:val="bullet"/>
      <w:lvlText w:val="o"/>
      <w:lvlJc w:val="left"/>
      <w:pPr>
        <w:ind w:left="5760" w:hanging="360"/>
      </w:pPr>
      <w:rPr>
        <w:rFonts w:ascii="Courier New" w:eastAsia="Courier New" w:hAnsi="Courier New" w:cs="Courier New" w:hint="default"/>
      </w:rPr>
    </w:lvl>
    <w:lvl w:ilvl="8" w:tplc="899EEB08">
      <w:start w:val="1"/>
      <w:numFmt w:val="bullet"/>
      <w:lvlText w:val="§"/>
      <w:lvlJc w:val="left"/>
      <w:pPr>
        <w:ind w:left="6480" w:hanging="360"/>
      </w:pPr>
      <w:rPr>
        <w:rFonts w:ascii="Wingdings" w:eastAsia="Wingdings" w:hAnsi="Wingdings" w:cs="Wingdings" w:hint="default"/>
      </w:rPr>
    </w:lvl>
  </w:abstractNum>
  <w:abstractNum w:abstractNumId="80">
    <w:nsid w:val="473B6EAE"/>
    <w:multiLevelType w:val="hybridMultilevel"/>
    <w:tmpl w:val="9F82E52C"/>
    <w:lvl w:ilvl="0" w:tplc="6FB4E674">
      <w:start w:val="1"/>
      <w:numFmt w:val="decimal"/>
      <w:lvlText w:val="%1."/>
      <w:lvlJc w:val="right"/>
      <w:pPr>
        <w:ind w:left="709" w:hanging="360"/>
      </w:pPr>
    </w:lvl>
    <w:lvl w:ilvl="1" w:tplc="87740832">
      <w:start w:val="1"/>
      <w:numFmt w:val="lowerLetter"/>
      <w:lvlText w:val="%2."/>
      <w:lvlJc w:val="left"/>
      <w:pPr>
        <w:ind w:left="1429" w:hanging="360"/>
      </w:pPr>
    </w:lvl>
    <w:lvl w:ilvl="2" w:tplc="BB8A2774">
      <w:start w:val="1"/>
      <w:numFmt w:val="lowerRoman"/>
      <w:lvlText w:val="%3."/>
      <w:lvlJc w:val="right"/>
      <w:pPr>
        <w:ind w:left="2149" w:hanging="180"/>
      </w:pPr>
    </w:lvl>
    <w:lvl w:ilvl="3" w:tplc="F7B6A6AE">
      <w:start w:val="1"/>
      <w:numFmt w:val="decimal"/>
      <w:lvlText w:val="%4."/>
      <w:lvlJc w:val="left"/>
      <w:pPr>
        <w:ind w:left="2869" w:hanging="360"/>
      </w:pPr>
    </w:lvl>
    <w:lvl w:ilvl="4" w:tplc="F30CD192">
      <w:start w:val="1"/>
      <w:numFmt w:val="lowerLetter"/>
      <w:lvlText w:val="%5."/>
      <w:lvlJc w:val="left"/>
      <w:pPr>
        <w:ind w:left="3589" w:hanging="360"/>
      </w:pPr>
    </w:lvl>
    <w:lvl w:ilvl="5" w:tplc="709C9418">
      <w:start w:val="1"/>
      <w:numFmt w:val="lowerRoman"/>
      <w:lvlText w:val="%6."/>
      <w:lvlJc w:val="right"/>
      <w:pPr>
        <w:ind w:left="4309" w:hanging="180"/>
      </w:pPr>
    </w:lvl>
    <w:lvl w:ilvl="6" w:tplc="EB6296C8">
      <w:start w:val="1"/>
      <w:numFmt w:val="decimal"/>
      <w:lvlText w:val="%7."/>
      <w:lvlJc w:val="left"/>
      <w:pPr>
        <w:ind w:left="5029" w:hanging="360"/>
      </w:pPr>
    </w:lvl>
    <w:lvl w:ilvl="7" w:tplc="DD5A759C">
      <w:start w:val="1"/>
      <w:numFmt w:val="lowerLetter"/>
      <w:lvlText w:val="%8."/>
      <w:lvlJc w:val="left"/>
      <w:pPr>
        <w:ind w:left="5749" w:hanging="360"/>
      </w:pPr>
    </w:lvl>
    <w:lvl w:ilvl="8" w:tplc="4C12C54E">
      <w:start w:val="1"/>
      <w:numFmt w:val="lowerRoman"/>
      <w:lvlText w:val="%9."/>
      <w:lvlJc w:val="right"/>
      <w:pPr>
        <w:ind w:left="6469" w:hanging="180"/>
      </w:pPr>
    </w:lvl>
  </w:abstractNum>
  <w:abstractNum w:abstractNumId="81">
    <w:nsid w:val="482A4816"/>
    <w:multiLevelType w:val="hybridMultilevel"/>
    <w:tmpl w:val="6EF2B100"/>
    <w:lvl w:ilvl="0" w:tplc="CDDAAEDA">
      <w:start w:val="1"/>
      <w:numFmt w:val="bullet"/>
      <w:lvlText w:val="–"/>
      <w:lvlJc w:val="left"/>
      <w:pPr>
        <w:ind w:left="720" w:hanging="360"/>
      </w:pPr>
      <w:rPr>
        <w:rFonts w:ascii="Arial" w:eastAsia="Arial" w:hAnsi="Arial" w:cs="Arial"/>
      </w:rPr>
    </w:lvl>
    <w:lvl w:ilvl="1" w:tplc="64F80DD2">
      <w:start w:val="1"/>
      <w:numFmt w:val="bullet"/>
      <w:lvlText w:val="o"/>
      <w:lvlJc w:val="left"/>
      <w:pPr>
        <w:ind w:left="1440" w:hanging="360"/>
      </w:pPr>
      <w:rPr>
        <w:rFonts w:ascii="Courier New" w:eastAsia="Courier New" w:hAnsi="Courier New" w:cs="Courier New" w:hint="default"/>
      </w:rPr>
    </w:lvl>
    <w:lvl w:ilvl="2" w:tplc="71125796">
      <w:start w:val="1"/>
      <w:numFmt w:val="bullet"/>
      <w:lvlText w:val="§"/>
      <w:lvlJc w:val="left"/>
      <w:pPr>
        <w:ind w:left="2160" w:hanging="360"/>
      </w:pPr>
      <w:rPr>
        <w:rFonts w:ascii="Wingdings" w:eastAsia="Wingdings" w:hAnsi="Wingdings" w:cs="Wingdings" w:hint="default"/>
      </w:rPr>
    </w:lvl>
    <w:lvl w:ilvl="3" w:tplc="9A52D4BC">
      <w:start w:val="1"/>
      <w:numFmt w:val="bullet"/>
      <w:lvlText w:val="·"/>
      <w:lvlJc w:val="left"/>
      <w:pPr>
        <w:ind w:left="2880" w:hanging="360"/>
      </w:pPr>
      <w:rPr>
        <w:rFonts w:ascii="Symbol" w:eastAsia="Symbol" w:hAnsi="Symbol" w:cs="Symbol" w:hint="default"/>
      </w:rPr>
    </w:lvl>
    <w:lvl w:ilvl="4" w:tplc="D286D8E2">
      <w:start w:val="1"/>
      <w:numFmt w:val="bullet"/>
      <w:lvlText w:val="o"/>
      <w:lvlJc w:val="left"/>
      <w:pPr>
        <w:ind w:left="3600" w:hanging="360"/>
      </w:pPr>
      <w:rPr>
        <w:rFonts w:ascii="Courier New" w:eastAsia="Courier New" w:hAnsi="Courier New" w:cs="Courier New" w:hint="default"/>
      </w:rPr>
    </w:lvl>
    <w:lvl w:ilvl="5" w:tplc="D39804A6">
      <w:start w:val="1"/>
      <w:numFmt w:val="bullet"/>
      <w:lvlText w:val="§"/>
      <w:lvlJc w:val="left"/>
      <w:pPr>
        <w:ind w:left="4320" w:hanging="360"/>
      </w:pPr>
      <w:rPr>
        <w:rFonts w:ascii="Wingdings" w:eastAsia="Wingdings" w:hAnsi="Wingdings" w:cs="Wingdings" w:hint="default"/>
      </w:rPr>
    </w:lvl>
    <w:lvl w:ilvl="6" w:tplc="BE3CA730">
      <w:start w:val="1"/>
      <w:numFmt w:val="bullet"/>
      <w:lvlText w:val="·"/>
      <w:lvlJc w:val="left"/>
      <w:pPr>
        <w:ind w:left="5040" w:hanging="360"/>
      </w:pPr>
      <w:rPr>
        <w:rFonts w:ascii="Symbol" w:eastAsia="Symbol" w:hAnsi="Symbol" w:cs="Symbol" w:hint="default"/>
      </w:rPr>
    </w:lvl>
    <w:lvl w:ilvl="7" w:tplc="61464F20">
      <w:start w:val="1"/>
      <w:numFmt w:val="bullet"/>
      <w:lvlText w:val="o"/>
      <w:lvlJc w:val="left"/>
      <w:pPr>
        <w:ind w:left="5760" w:hanging="360"/>
      </w:pPr>
      <w:rPr>
        <w:rFonts w:ascii="Courier New" w:eastAsia="Courier New" w:hAnsi="Courier New" w:cs="Courier New" w:hint="default"/>
      </w:rPr>
    </w:lvl>
    <w:lvl w:ilvl="8" w:tplc="D3B8F188">
      <w:start w:val="1"/>
      <w:numFmt w:val="bullet"/>
      <w:lvlText w:val="§"/>
      <w:lvlJc w:val="left"/>
      <w:pPr>
        <w:ind w:left="6480" w:hanging="360"/>
      </w:pPr>
      <w:rPr>
        <w:rFonts w:ascii="Wingdings" w:eastAsia="Wingdings" w:hAnsi="Wingdings" w:cs="Wingdings" w:hint="default"/>
      </w:rPr>
    </w:lvl>
  </w:abstractNum>
  <w:abstractNum w:abstractNumId="82">
    <w:nsid w:val="491900D9"/>
    <w:multiLevelType w:val="hybridMultilevel"/>
    <w:tmpl w:val="799CCE96"/>
    <w:lvl w:ilvl="0" w:tplc="009CC2F2">
      <w:start w:val="1"/>
      <w:numFmt w:val="bullet"/>
      <w:lvlText w:val="–"/>
      <w:lvlJc w:val="left"/>
      <w:pPr>
        <w:ind w:left="720" w:hanging="360"/>
      </w:pPr>
      <w:rPr>
        <w:rFonts w:ascii="Arial" w:eastAsia="Arial" w:hAnsi="Arial" w:cs="Arial"/>
      </w:rPr>
    </w:lvl>
    <w:lvl w:ilvl="1" w:tplc="5F5CC924">
      <w:start w:val="1"/>
      <w:numFmt w:val="bullet"/>
      <w:lvlText w:val="o"/>
      <w:lvlJc w:val="left"/>
      <w:pPr>
        <w:ind w:left="1440" w:hanging="360"/>
      </w:pPr>
      <w:rPr>
        <w:rFonts w:ascii="Courier New" w:eastAsia="Courier New" w:hAnsi="Courier New" w:cs="Courier New" w:hint="default"/>
      </w:rPr>
    </w:lvl>
    <w:lvl w:ilvl="2" w:tplc="EF2C2C42">
      <w:start w:val="1"/>
      <w:numFmt w:val="bullet"/>
      <w:lvlText w:val="§"/>
      <w:lvlJc w:val="left"/>
      <w:pPr>
        <w:ind w:left="2160" w:hanging="360"/>
      </w:pPr>
      <w:rPr>
        <w:rFonts w:ascii="Wingdings" w:eastAsia="Wingdings" w:hAnsi="Wingdings" w:cs="Wingdings" w:hint="default"/>
      </w:rPr>
    </w:lvl>
    <w:lvl w:ilvl="3" w:tplc="54DC174E">
      <w:start w:val="1"/>
      <w:numFmt w:val="bullet"/>
      <w:lvlText w:val="·"/>
      <w:lvlJc w:val="left"/>
      <w:pPr>
        <w:ind w:left="2880" w:hanging="360"/>
      </w:pPr>
      <w:rPr>
        <w:rFonts w:ascii="Symbol" w:eastAsia="Symbol" w:hAnsi="Symbol" w:cs="Symbol" w:hint="default"/>
      </w:rPr>
    </w:lvl>
    <w:lvl w:ilvl="4" w:tplc="79E82258">
      <w:start w:val="1"/>
      <w:numFmt w:val="bullet"/>
      <w:lvlText w:val="o"/>
      <w:lvlJc w:val="left"/>
      <w:pPr>
        <w:ind w:left="3600" w:hanging="360"/>
      </w:pPr>
      <w:rPr>
        <w:rFonts w:ascii="Courier New" w:eastAsia="Courier New" w:hAnsi="Courier New" w:cs="Courier New" w:hint="default"/>
      </w:rPr>
    </w:lvl>
    <w:lvl w:ilvl="5" w:tplc="D11E103A">
      <w:start w:val="1"/>
      <w:numFmt w:val="bullet"/>
      <w:lvlText w:val="§"/>
      <w:lvlJc w:val="left"/>
      <w:pPr>
        <w:ind w:left="4320" w:hanging="360"/>
      </w:pPr>
      <w:rPr>
        <w:rFonts w:ascii="Wingdings" w:eastAsia="Wingdings" w:hAnsi="Wingdings" w:cs="Wingdings" w:hint="default"/>
      </w:rPr>
    </w:lvl>
    <w:lvl w:ilvl="6" w:tplc="04C429DC">
      <w:start w:val="1"/>
      <w:numFmt w:val="bullet"/>
      <w:lvlText w:val="·"/>
      <w:lvlJc w:val="left"/>
      <w:pPr>
        <w:ind w:left="5040" w:hanging="360"/>
      </w:pPr>
      <w:rPr>
        <w:rFonts w:ascii="Symbol" w:eastAsia="Symbol" w:hAnsi="Symbol" w:cs="Symbol" w:hint="default"/>
      </w:rPr>
    </w:lvl>
    <w:lvl w:ilvl="7" w:tplc="6330A856">
      <w:start w:val="1"/>
      <w:numFmt w:val="bullet"/>
      <w:lvlText w:val="o"/>
      <w:lvlJc w:val="left"/>
      <w:pPr>
        <w:ind w:left="5760" w:hanging="360"/>
      </w:pPr>
      <w:rPr>
        <w:rFonts w:ascii="Courier New" w:eastAsia="Courier New" w:hAnsi="Courier New" w:cs="Courier New" w:hint="default"/>
      </w:rPr>
    </w:lvl>
    <w:lvl w:ilvl="8" w:tplc="76169628">
      <w:start w:val="1"/>
      <w:numFmt w:val="bullet"/>
      <w:lvlText w:val="§"/>
      <w:lvlJc w:val="left"/>
      <w:pPr>
        <w:ind w:left="6480" w:hanging="360"/>
      </w:pPr>
      <w:rPr>
        <w:rFonts w:ascii="Wingdings" w:eastAsia="Wingdings" w:hAnsi="Wingdings" w:cs="Wingdings" w:hint="default"/>
      </w:rPr>
    </w:lvl>
  </w:abstractNum>
  <w:abstractNum w:abstractNumId="83">
    <w:nsid w:val="49546A3B"/>
    <w:multiLevelType w:val="hybridMultilevel"/>
    <w:tmpl w:val="9ABCC2A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4">
    <w:nsid w:val="49DD5B54"/>
    <w:multiLevelType w:val="hybridMultilevel"/>
    <w:tmpl w:val="FFCCEBCC"/>
    <w:lvl w:ilvl="0" w:tplc="76784358">
      <w:start w:val="1"/>
      <w:numFmt w:val="decimal"/>
      <w:lvlText w:val="%1."/>
      <w:lvlJc w:val="left"/>
      <w:pPr>
        <w:ind w:left="720" w:hanging="360"/>
      </w:pPr>
    </w:lvl>
    <w:lvl w:ilvl="1" w:tplc="F4F88E4E">
      <w:start w:val="1"/>
      <w:numFmt w:val="lowerLetter"/>
      <w:lvlText w:val="%2."/>
      <w:lvlJc w:val="left"/>
      <w:pPr>
        <w:ind w:left="1440" w:hanging="360"/>
      </w:pPr>
    </w:lvl>
    <w:lvl w:ilvl="2" w:tplc="AD1C976C">
      <w:start w:val="1"/>
      <w:numFmt w:val="lowerRoman"/>
      <w:lvlText w:val="%3."/>
      <w:lvlJc w:val="right"/>
      <w:pPr>
        <w:ind w:left="2160" w:hanging="360"/>
      </w:pPr>
    </w:lvl>
    <w:lvl w:ilvl="3" w:tplc="8B0E2E96">
      <w:start w:val="1"/>
      <w:numFmt w:val="decimal"/>
      <w:lvlText w:val="%4."/>
      <w:lvlJc w:val="left"/>
      <w:pPr>
        <w:ind w:left="2880" w:hanging="360"/>
      </w:pPr>
    </w:lvl>
    <w:lvl w:ilvl="4" w:tplc="B53A148C">
      <w:start w:val="1"/>
      <w:numFmt w:val="lowerLetter"/>
      <w:lvlText w:val="%5."/>
      <w:lvlJc w:val="left"/>
      <w:pPr>
        <w:ind w:left="3600" w:hanging="360"/>
      </w:pPr>
    </w:lvl>
    <w:lvl w:ilvl="5" w:tplc="B0F2E72A">
      <w:start w:val="1"/>
      <w:numFmt w:val="lowerRoman"/>
      <w:lvlText w:val="%6."/>
      <w:lvlJc w:val="right"/>
      <w:pPr>
        <w:ind w:left="4320" w:hanging="360"/>
      </w:pPr>
    </w:lvl>
    <w:lvl w:ilvl="6" w:tplc="C12AF398">
      <w:start w:val="1"/>
      <w:numFmt w:val="decimal"/>
      <w:lvlText w:val="%7."/>
      <w:lvlJc w:val="left"/>
      <w:pPr>
        <w:ind w:left="5040" w:hanging="360"/>
      </w:pPr>
    </w:lvl>
    <w:lvl w:ilvl="7" w:tplc="A57AE7BA">
      <w:start w:val="1"/>
      <w:numFmt w:val="lowerLetter"/>
      <w:lvlText w:val="%8."/>
      <w:lvlJc w:val="left"/>
      <w:pPr>
        <w:ind w:left="5760" w:hanging="360"/>
      </w:pPr>
    </w:lvl>
    <w:lvl w:ilvl="8" w:tplc="8B0AA000">
      <w:start w:val="1"/>
      <w:numFmt w:val="lowerRoman"/>
      <w:lvlText w:val="%9."/>
      <w:lvlJc w:val="right"/>
      <w:pPr>
        <w:ind w:left="6480" w:hanging="360"/>
      </w:pPr>
    </w:lvl>
  </w:abstractNum>
  <w:abstractNum w:abstractNumId="85">
    <w:nsid w:val="49E22E9C"/>
    <w:multiLevelType w:val="hybridMultilevel"/>
    <w:tmpl w:val="C3228474"/>
    <w:lvl w:ilvl="0" w:tplc="CE38E57A">
      <w:start w:val="1"/>
      <w:numFmt w:val="bullet"/>
      <w:lvlText w:val="–"/>
      <w:lvlJc w:val="left"/>
      <w:pPr>
        <w:ind w:left="720" w:hanging="360"/>
      </w:pPr>
      <w:rPr>
        <w:rFonts w:ascii="Arial" w:eastAsia="Arial" w:hAnsi="Arial" w:cs="Arial"/>
      </w:rPr>
    </w:lvl>
    <w:lvl w:ilvl="1" w:tplc="01DE05A8">
      <w:start w:val="1"/>
      <w:numFmt w:val="bullet"/>
      <w:lvlText w:val="o"/>
      <w:lvlJc w:val="left"/>
      <w:pPr>
        <w:ind w:left="1440" w:hanging="360"/>
      </w:pPr>
      <w:rPr>
        <w:rFonts w:ascii="Courier New" w:eastAsia="Courier New" w:hAnsi="Courier New" w:cs="Courier New" w:hint="default"/>
      </w:rPr>
    </w:lvl>
    <w:lvl w:ilvl="2" w:tplc="362C9B88">
      <w:start w:val="1"/>
      <w:numFmt w:val="bullet"/>
      <w:lvlText w:val="§"/>
      <w:lvlJc w:val="left"/>
      <w:pPr>
        <w:ind w:left="2160" w:hanging="360"/>
      </w:pPr>
      <w:rPr>
        <w:rFonts w:ascii="Wingdings" w:eastAsia="Wingdings" w:hAnsi="Wingdings" w:cs="Wingdings" w:hint="default"/>
      </w:rPr>
    </w:lvl>
    <w:lvl w:ilvl="3" w:tplc="1E90CBA4">
      <w:start w:val="1"/>
      <w:numFmt w:val="bullet"/>
      <w:lvlText w:val="·"/>
      <w:lvlJc w:val="left"/>
      <w:pPr>
        <w:ind w:left="2880" w:hanging="360"/>
      </w:pPr>
      <w:rPr>
        <w:rFonts w:ascii="Symbol" w:eastAsia="Symbol" w:hAnsi="Symbol" w:cs="Symbol" w:hint="default"/>
      </w:rPr>
    </w:lvl>
    <w:lvl w:ilvl="4" w:tplc="C5C84784">
      <w:start w:val="1"/>
      <w:numFmt w:val="bullet"/>
      <w:lvlText w:val="o"/>
      <w:lvlJc w:val="left"/>
      <w:pPr>
        <w:ind w:left="3600" w:hanging="360"/>
      </w:pPr>
      <w:rPr>
        <w:rFonts w:ascii="Courier New" w:eastAsia="Courier New" w:hAnsi="Courier New" w:cs="Courier New" w:hint="default"/>
      </w:rPr>
    </w:lvl>
    <w:lvl w:ilvl="5" w:tplc="E0060A3E">
      <w:start w:val="1"/>
      <w:numFmt w:val="bullet"/>
      <w:lvlText w:val="§"/>
      <w:lvlJc w:val="left"/>
      <w:pPr>
        <w:ind w:left="4320" w:hanging="360"/>
      </w:pPr>
      <w:rPr>
        <w:rFonts w:ascii="Wingdings" w:eastAsia="Wingdings" w:hAnsi="Wingdings" w:cs="Wingdings" w:hint="default"/>
      </w:rPr>
    </w:lvl>
    <w:lvl w:ilvl="6" w:tplc="4874FFA4">
      <w:start w:val="1"/>
      <w:numFmt w:val="bullet"/>
      <w:lvlText w:val="·"/>
      <w:lvlJc w:val="left"/>
      <w:pPr>
        <w:ind w:left="5040" w:hanging="360"/>
      </w:pPr>
      <w:rPr>
        <w:rFonts w:ascii="Symbol" w:eastAsia="Symbol" w:hAnsi="Symbol" w:cs="Symbol" w:hint="default"/>
      </w:rPr>
    </w:lvl>
    <w:lvl w:ilvl="7" w:tplc="FFC25CE6">
      <w:start w:val="1"/>
      <w:numFmt w:val="bullet"/>
      <w:lvlText w:val="o"/>
      <w:lvlJc w:val="left"/>
      <w:pPr>
        <w:ind w:left="5760" w:hanging="360"/>
      </w:pPr>
      <w:rPr>
        <w:rFonts w:ascii="Courier New" w:eastAsia="Courier New" w:hAnsi="Courier New" w:cs="Courier New" w:hint="default"/>
      </w:rPr>
    </w:lvl>
    <w:lvl w:ilvl="8" w:tplc="77B61224">
      <w:start w:val="1"/>
      <w:numFmt w:val="bullet"/>
      <w:lvlText w:val="§"/>
      <w:lvlJc w:val="left"/>
      <w:pPr>
        <w:ind w:left="6480" w:hanging="360"/>
      </w:pPr>
      <w:rPr>
        <w:rFonts w:ascii="Wingdings" w:eastAsia="Wingdings" w:hAnsi="Wingdings" w:cs="Wingdings" w:hint="default"/>
      </w:rPr>
    </w:lvl>
  </w:abstractNum>
  <w:abstractNum w:abstractNumId="86">
    <w:nsid w:val="4C1B706E"/>
    <w:multiLevelType w:val="hybridMultilevel"/>
    <w:tmpl w:val="1CD22270"/>
    <w:lvl w:ilvl="0" w:tplc="9BEEA09C">
      <w:start w:val="1"/>
      <w:numFmt w:val="decimal"/>
      <w:lvlText w:val="%1."/>
      <w:lvlJc w:val="right"/>
      <w:pPr>
        <w:ind w:left="709" w:hanging="360"/>
      </w:pPr>
    </w:lvl>
    <w:lvl w:ilvl="1" w:tplc="02CCCEF4">
      <w:start w:val="1"/>
      <w:numFmt w:val="lowerLetter"/>
      <w:lvlText w:val="%2."/>
      <w:lvlJc w:val="left"/>
      <w:pPr>
        <w:ind w:left="1429" w:hanging="360"/>
      </w:pPr>
    </w:lvl>
    <w:lvl w:ilvl="2" w:tplc="F134EEB6">
      <w:start w:val="1"/>
      <w:numFmt w:val="lowerRoman"/>
      <w:lvlText w:val="%3."/>
      <w:lvlJc w:val="right"/>
      <w:pPr>
        <w:ind w:left="2149" w:hanging="180"/>
      </w:pPr>
    </w:lvl>
    <w:lvl w:ilvl="3" w:tplc="5B6E1196">
      <w:start w:val="1"/>
      <w:numFmt w:val="decimal"/>
      <w:lvlText w:val="%4."/>
      <w:lvlJc w:val="left"/>
      <w:pPr>
        <w:ind w:left="2869" w:hanging="360"/>
      </w:pPr>
    </w:lvl>
    <w:lvl w:ilvl="4" w:tplc="F65A6E8E">
      <w:start w:val="1"/>
      <w:numFmt w:val="lowerLetter"/>
      <w:lvlText w:val="%5."/>
      <w:lvlJc w:val="left"/>
      <w:pPr>
        <w:ind w:left="3589" w:hanging="360"/>
      </w:pPr>
    </w:lvl>
    <w:lvl w:ilvl="5" w:tplc="962C927A">
      <w:start w:val="1"/>
      <w:numFmt w:val="lowerRoman"/>
      <w:lvlText w:val="%6."/>
      <w:lvlJc w:val="right"/>
      <w:pPr>
        <w:ind w:left="4309" w:hanging="180"/>
      </w:pPr>
    </w:lvl>
    <w:lvl w:ilvl="6" w:tplc="C0E220E8">
      <w:start w:val="1"/>
      <w:numFmt w:val="decimal"/>
      <w:lvlText w:val="%7."/>
      <w:lvlJc w:val="left"/>
      <w:pPr>
        <w:ind w:left="5029" w:hanging="360"/>
      </w:pPr>
    </w:lvl>
    <w:lvl w:ilvl="7" w:tplc="F03CD5C8">
      <w:start w:val="1"/>
      <w:numFmt w:val="lowerLetter"/>
      <w:lvlText w:val="%8."/>
      <w:lvlJc w:val="left"/>
      <w:pPr>
        <w:ind w:left="5749" w:hanging="360"/>
      </w:pPr>
    </w:lvl>
    <w:lvl w:ilvl="8" w:tplc="D012FB9C">
      <w:start w:val="1"/>
      <w:numFmt w:val="lowerRoman"/>
      <w:lvlText w:val="%9."/>
      <w:lvlJc w:val="right"/>
      <w:pPr>
        <w:ind w:left="6469" w:hanging="180"/>
      </w:pPr>
    </w:lvl>
  </w:abstractNum>
  <w:abstractNum w:abstractNumId="87">
    <w:nsid w:val="4D3D562C"/>
    <w:multiLevelType w:val="hybridMultilevel"/>
    <w:tmpl w:val="452AE8A0"/>
    <w:lvl w:ilvl="0" w:tplc="E370F346">
      <w:start w:val="1"/>
      <w:numFmt w:val="decimal"/>
      <w:lvlText w:val="%1."/>
      <w:lvlJc w:val="left"/>
      <w:pPr>
        <w:ind w:left="720" w:hanging="360"/>
      </w:pPr>
    </w:lvl>
    <w:lvl w:ilvl="1" w:tplc="43EAC66C">
      <w:start w:val="1"/>
      <w:numFmt w:val="lowerLetter"/>
      <w:lvlText w:val="%2."/>
      <w:lvlJc w:val="left"/>
      <w:pPr>
        <w:ind w:left="1440" w:hanging="360"/>
      </w:pPr>
    </w:lvl>
    <w:lvl w:ilvl="2" w:tplc="C134917A">
      <w:start w:val="1"/>
      <w:numFmt w:val="lowerRoman"/>
      <w:lvlText w:val="%3."/>
      <w:lvlJc w:val="right"/>
      <w:pPr>
        <w:ind w:left="2160" w:hanging="360"/>
      </w:pPr>
    </w:lvl>
    <w:lvl w:ilvl="3" w:tplc="9C06FB72">
      <w:start w:val="1"/>
      <w:numFmt w:val="decimal"/>
      <w:lvlText w:val="%4."/>
      <w:lvlJc w:val="left"/>
      <w:pPr>
        <w:ind w:left="2880" w:hanging="360"/>
      </w:pPr>
    </w:lvl>
    <w:lvl w:ilvl="4" w:tplc="F2AC4F6A">
      <w:start w:val="1"/>
      <w:numFmt w:val="lowerLetter"/>
      <w:lvlText w:val="%5."/>
      <w:lvlJc w:val="left"/>
      <w:pPr>
        <w:ind w:left="3600" w:hanging="360"/>
      </w:pPr>
    </w:lvl>
    <w:lvl w:ilvl="5" w:tplc="1DDE4588">
      <w:start w:val="1"/>
      <w:numFmt w:val="lowerRoman"/>
      <w:lvlText w:val="%6."/>
      <w:lvlJc w:val="right"/>
      <w:pPr>
        <w:ind w:left="4320" w:hanging="360"/>
      </w:pPr>
    </w:lvl>
    <w:lvl w:ilvl="6" w:tplc="FF10AB16">
      <w:start w:val="1"/>
      <w:numFmt w:val="decimal"/>
      <w:lvlText w:val="%7."/>
      <w:lvlJc w:val="left"/>
      <w:pPr>
        <w:ind w:left="5040" w:hanging="360"/>
      </w:pPr>
    </w:lvl>
    <w:lvl w:ilvl="7" w:tplc="1DEEB9FC">
      <w:start w:val="1"/>
      <w:numFmt w:val="lowerLetter"/>
      <w:lvlText w:val="%8."/>
      <w:lvlJc w:val="left"/>
      <w:pPr>
        <w:ind w:left="5760" w:hanging="360"/>
      </w:pPr>
    </w:lvl>
    <w:lvl w:ilvl="8" w:tplc="AB44FBD6">
      <w:start w:val="1"/>
      <w:numFmt w:val="lowerRoman"/>
      <w:lvlText w:val="%9."/>
      <w:lvlJc w:val="right"/>
      <w:pPr>
        <w:ind w:left="6480" w:hanging="360"/>
      </w:pPr>
    </w:lvl>
  </w:abstractNum>
  <w:abstractNum w:abstractNumId="88">
    <w:nsid w:val="4E3C0EE6"/>
    <w:multiLevelType w:val="hybridMultilevel"/>
    <w:tmpl w:val="DAFEE2D6"/>
    <w:lvl w:ilvl="0" w:tplc="74623684">
      <w:start w:val="1"/>
      <w:numFmt w:val="decimal"/>
      <w:lvlText w:val="%1."/>
      <w:lvlJc w:val="left"/>
      <w:pPr>
        <w:ind w:left="720" w:hanging="360"/>
      </w:pPr>
      <w:rPr>
        <w:rFonts w:cstheme="minorBidi"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9">
    <w:nsid w:val="510D1816"/>
    <w:multiLevelType w:val="hybridMultilevel"/>
    <w:tmpl w:val="4D08814A"/>
    <w:lvl w:ilvl="0" w:tplc="6012295E">
      <w:start w:val="1"/>
      <w:numFmt w:val="decimal"/>
      <w:lvlText w:val="%1)"/>
      <w:lvlJc w:val="right"/>
      <w:pPr>
        <w:ind w:left="4897" w:hanging="360"/>
      </w:pPr>
    </w:lvl>
    <w:lvl w:ilvl="1" w:tplc="6A804890">
      <w:start w:val="1"/>
      <w:numFmt w:val="lowerLetter"/>
      <w:lvlText w:val="%2."/>
      <w:lvlJc w:val="left"/>
      <w:pPr>
        <w:ind w:left="1440" w:hanging="360"/>
      </w:pPr>
    </w:lvl>
    <w:lvl w:ilvl="2" w:tplc="14348600">
      <w:start w:val="1"/>
      <w:numFmt w:val="lowerRoman"/>
      <w:lvlText w:val="%3."/>
      <w:lvlJc w:val="right"/>
      <w:pPr>
        <w:ind w:left="2160" w:hanging="180"/>
      </w:pPr>
    </w:lvl>
    <w:lvl w:ilvl="3" w:tplc="3828C37A">
      <w:start w:val="1"/>
      <w:numFmt w:val="decimal"/>
      <w:lvlText w:val="%4."/>
      <w:lvlJc w:val="left"/>
      <w:pPr>
        <w:ind w:left="2880" w:hanging="360"/>
      </w:pPr>
    </w:lvl>
    <w:lvl w:ilvl="4" w:tplc="A3B4BC00">
      <w:start w:val="1"/>
      <w:numFmt w:val="lowerLetter"/>
      <w:lvlText w:val="%5."/>
      <w:lvlJc w:val="left"/>
      <w:pPr>
        <w:ind w:left="3600" w:hanging="360"/>
      </w:pPr>
    </w:lvl>
    <w:lvl w:ilvl="5" w:tplc="FC2A74CA">
      <w:start w:val="1"/>
      <w:numFmt w:val="lowerRoman"/>
      <w:lvlText w:val="%6."/>
      <w:lvlJc w:val="right"/>
      <w:pPr>
        <w:ind w:left="4320" w:hanging="180"/>
      </w:pPr>
    </w:lvl>
    <w:lvl w:ilvl="6" w:tplc="C2CA7186">
      <w:start w:val="1"/>
      <w:numFmt w:val="decimal"/>
      <w:lvlText w:val="%7."/>
      <w:lvlJc w:val="left"/>
      <w:pPr>
        <w:ind w:left="5040" w:hanging="360"/>
      </w:pPr>
    </w:lvl>
    <w:lvl w:ilvl="7" w:tplc="95206DEC">
      <w:start w:val="1"/>
      <w:numFmt w:val="lowerLetter"/>
      <w:lvlText w:val="%8."/>
      <w:lvlJc w:val="left"/>
      <w:pPr>
        <w:ind w:left="5760" w:hanging="360"/>
      </w:pPr>
    </w:lvl>
    <w:lvl w:ilvl="8" w:tplc="7258F410">
      <w:start w:val="1"/>
      <w:numFmt w:val="lowerRoman"/>
      <w:lvlText w:val="%9."/>
      <w:lvlJc w:val="right"/>
      <w:pPr>
        <w:ind w:left="6480" w:hanging="180"/>
      </w:pPr>
    </w:lvl>
  </w:abstractNum>
  <w:abstractNum w:abstractNumId="90">
    <w:nsid w:val="538134E0"/>
    <w:multiLevelType w:val="hybridMultilevel"/>
    <w:tmpl w:val="7736EB5E"/>
    <w:lvl w:ilvl="0" w:tplc="3A6E10B4">
      <w:start w:val="1"/>
      <w:numFmt w:val="bullet"/>
      <w:lvlText w:val="–"/>
      <w:lvlJc w:val="left"/>
      <w:pPr>
        <w:ind w:left="720" w:hanging="360"/>
      </w:pPr>
      <w:rPr>
        <w:rFonts w:ascii="Arial" w:eastAsia="Arial" w:hAnsi="Arial" w:cs="Arial"/>
      </w:rPr>
    </w:lvl>
    <w:lvl w:ilvl="1" w:tplc="4830B316">
      <w:start w:val="1"/>
      <w:numFmt w:val="bullet"/>
      <w:lvlText w:val="o"/>
      <w:lvlJc w:val="left"/>
      <w:pPr>
        <w:ind w:left="1440" w:hanging="360"/>
      </w:pPr>
      <w:rPr>
        <w:rFonts w:ascii="Courier New" w:eastAsia="Courier New" w:hAnsi="Courier New" w:cs="Courier New" w:hint="default"/>
      </w:rPr>
    </w:lvl>
    <w:lvl w:ilvl="2" w:tplc="002293FA">
      <w:start w:val="1"/>
      <w:numFmt w:val="bullet"/>
      <w:lvlText w:val="§"/>
      <w:lvlJc w:val="left"/>
      <w:pPr>
        <w:ind w:left="2160" w:hanging="360"/>
      </w:pPr>
      <w:rPr>
        <w:rFonts w:ascii="Wingdings" w:eastAsia="Wingdings" w:hAnsi="Wingdings" w:cs="Wingdings" w:hint="default"/>
      </w:rPr>
    </w:lvl>
    <w:lvl w:ilvl="3" w:tplc="5B842970">
      <w:start w:val="1"/>
      <w:numFmt w:val="bullet"/>
      <w:lvlText w:val="·"/>
      <w:lvlJc w:val="left"/>
      <w:pPr>
        <w:ind w:left="2880" w:hanging="360"/>
      </w:pPr>
      <w:rPr>
        <w:rFonts w:ascii="Symbol" w:eastAsia="Symbol" w:hAnsi="Symbol" w:cs="Symbol" w:hint="default"/>
      </w:rPr>
    </w:lvl>
    <w:lvl w:ilvl="4" w:tplc="143CC33A">
      <w:start w:val="1"/>
      <w:numFmt w:val="bullet"/>
      <w:lvlText w:val="o"/>
      <w:lvlJc w:val="left"/>
      <w:pPr>
        <w:ind w:left="3600" w:hanging="360"/>
      </w:pPr>
      <w:rPr>
        <w:rFonts w:ascii="Courier New" w:eastAsia="Courier New" w:hAnsi="Courier New" w:cs="Courier New" w:hint="default"/>
      </w:rPr>
    </w:lvl>
    <w:lvl w:ilvl="5" w:tplc="3C782220">
      <w:start w:val="1"/>
      <w:numFmt w:val="bullet"/>
      <w:lvlText w:val="§"/>
      <w:lvlJc w:val="left"/>
      <w:pPr>
        <w:ind w:left="4320" w:hanging="360"/>
      </w:pPr>
      <w:rPr>
        <w:rFonts w:ascii="Wingdings" w:eastAsia="Wingdings" w:hAnsi="Wingdings" w:cs="Wingdings" w:hint="default"/>
      </w:rPr>
    </w:lvl>
    <w:lvl w:ilvl="6" w:tplc="9392F44E">
      <w:start w:val="1"/>
      <w:numFmt w:val="bullet"/>
      <w:lvlText w:val="·"/>
      <w:lvlJc w:val="left"/>
      <w:pPr>
        <w:ind w:left="5040" w:hanging="360"/>
      </w:pPr>
      <w:rPr>
        <w:rFonts w:ascii="Symbol" w:eastAsia="Symbol" w:hAnsi="Symbol" w:cs="Symbol" w:hint="default"/>
      </w:rPr>
    </w:lvl>
    <w:lvl w:ilvl="7" w:tplc="0A2ED498">
      <w:start w:val="1"/>
      <w:numFmt w:val="bullet"/>
      <w:lvlText w:val="o"/>
      <w:lvlJc w:val="left"/>
      <w:pPr>
        <w:ind w:left="5760" w:hanging="360"/>
      </w:pPr>
      <w:rPr>
        <w:rFonts w:ascii="Courier New" w:eastAsia="Courier New" w:hAnsi="Courier New" w:cs="Courier New" w:hint="default"/>
      </w:rPr>
    </w:lvl>
    <w:lvl w:ilvl="8" w:tplc="5DA4C130">
      <w:start w:val="1"/>
      <w:numFmt w:val="bullet"/>
      <w:lvlText w:val="§"/>
      <w:lvlJc w:val="left"/>
      <w:pPr>
        <w:ind w:left="6480" w:hanging="360"/>
      </w:pPr>
      <w:rPr>
        <w:rFonts w:ascii="Wingdings" w:eastAsia="Wingdings" w:hAnsi="Wingdings" w:cs="Wingdings" w:hint="default"/>
      </w:rPr>
    </w:lvl>
  </w:abstractNum>
  <w:abstractNum w:abstractNumId="91">
    <w:nsid w:val="53D30ACE"/>
    <w:multiLevelType w:val="hybridMultilevel"/>
    <w:tmpl w:val="79402ADE"/>
    <w:lvl w:ilvl="0" w:tplc="D54A1CE0">
      <w:start w:val="1"/>
      <w:numFmt w:val="bullet"/>
      <w:lvlText w:val="–"/>
      <w:lvlJc w:val="left"/>
      <w:pPr>
        <w:ind w:left="720" w:hanging="360"/>
      </w:pPr>
      <w:rPr>
        <w:rFonts w:ascii="Arial" w:eastAsia="Arial" w:hAnsi="Arial" w:cs="Arial"/>
      </w:rPr>
    </w:lvl>
    <w:lvl w:ilvl="1" w:tplc="FE5EE5E2">
      <w:start w:val="1"/>
      <w:numFmt w:val="bullet"/>
      <w:lvlText w:val="o"/>
      <w:lvlJc w:val="left"/>
      <w:pPr>
        <w:ind w:left="1440" w:hanging="360"/>
      </w:pPr>
      <w:rPr>
        <w:rFonts w:ascii="Courier New" w:eastAsia="Courier New" w:hAnsi="Courier New" w:cs="Courier New" w:hint="default"/>
      </w:rPr>
    </w:lvl>
    <w:lvl w:ilvl="2" w:tplc="D0BE8790">
      <w:start w:val="1"/>
      <w:numFmt w:val="bullet"/>
      <w:lvlText w:val="§"/>
      <w:lvlJc w:val="left"/>
      <w:pPr>
        <w:ind w:left="2160" w:hanging="360"/>
      </w:pPr>
      <w:rPr>
        <w:rFonts w:ascii="Wingdings" w:eastAsia="Wingdings" w:hAnsi="Wingdings" w:cs="Wingdings" w:hint="default"/>
      </w:rPr>
    </w:lvl>
    <w:lvl w:ilvl="3" w:tplc="0D84C444">
      <w:start w:val="1"/>
      <w:numFmt w:val="bullet"/>
      <w:lvlText w:val="·"/>
      <w:lvlJc w:val="left"/>
      <w:pPr>
        <w:ind w:left="2880" w:hanging="360"/>
      </w:pPr>
      <w:rPr>
        <w:rFonts w:ascii="Symbol" w:eastAsia="Symbol" w:hAnsi="Symbol" w:cs="Symbol" w:hint="default"/>
      </w:rPr>
    </w:lvl>
    <w:lvl w:ilvl="4" w:tplc="D992627E">
      <w:start w:val="1"/>
      <w:numFmt w:val="bullet"/>
      <w:lvlText w:val="o"/>
      <w:lvlJc w:val="left"/>
      <w:pPr>
        <w:ind w:left="3600" w:hanging="360"/>
      </w:pPr>
      <w:rPr>
        <w:rFonts w:ascii="Courier New" w:eastAsia="Courier New" w:hAnsi="Courier New" w:cs="Courier New" w:hint="default"/>
      </w:rPr>
    </w:lvl>
    <w:lvl w:ilvl="5" w:tplc="F9248F48">
      <w:start w:val="1"/>
      <w:numFmt w:val="bullet"/>
      <w:lvlText w:val="§"/>
      <w:lvlJc w:val="left"/>
      <w:pPr>
        <w:ind w:left="4320" w:hanging="360"/>
      </w:pPr>
      <w:rPr>
        <w:rFonts w:ascii="Wingdings" w:eastAsia="Wingdings" w:hAnsi="Wingdings" w:cs="Wingdings" w:hint="default"/>
      </w:rPr>
    </w:lvl>
    <w:lvl w:ilvl="6" w:tplc="645C8B32">
      <w:start w:val="1"/>
      <w:numFmt w:val="bullet"/>
      <w:lvlText w:val="·"/>
      <w:lvlJc w:val="left"/>
      <w:pPr>
        <w:ind w:left="5040" w:hanging="360"/>
      </w:pPr>
      <w:rPr>
        <w:rFonts w:ascii="Symbol" w:eastAsia="Symbol" w:hAnsi="Symbol" w:cs="Symbol" w:hint="default"/>
      </w:rPr>
    </w:lvl>
    <w:lvl w:ilvl="7" w:tplc="89AAB630">
      <w:start w:val="1"/>
      <w:numFmt w:val="bullet"/>
      <w:lvlText w:val="o"/>
      <w:lvlJc w:val="left"/>
      <w:pPr>
        <w:ind w:left="5760" w:hanging="360"/>
      </w:pPr>
      <w:rPr>
        <w:rFonts w:ascii="Courier New" w:eastAsia="Courier New" w:hAnsi="Courier New" w:cs="Courier New" w:hint="default"/>
      </w:rPr>
    </w:lvl>
    <w:lvl w:ilvl="8" w:tplc="DAC42ADC">
      <w:start w:val="1"/>
      <w:numFmt w:val="bullet"/>
      <w:lvlText w:val="§"/>
      <w:lvlJc w:val="left"/>
      <w:pPr>
        <w:ind w:left="6480" w:hanging="360"/>
      </w:pPr>
      <w:rPr>
        <w:rFonts w:ascii="Wingdings" w:eastAsia="Wingdings" w:hAnsi="Wingdings" w:cs="Wingdings" w:hint="default"/>
      </w:rPr>
    </w:lvl>
  </w:abstractNum>
  <w:abstractNum w:abstractNumId="92">
    <w:nsid w:val="54BD16C8"/>
    <w:multiLevelType w:val="hybridMultilevel"/>
    <w:tmpl w:val="4CACBE1C"/>
    <w:lvl w:ilvl="0" w:tplc="B444310C">
      <w:start w:val="1"/>
      <w:numFmt w:val="bullet"/>
      <w:lvlText w:val="–"/>
      <w:lvlJc w:val="left"/>
      <w:pPr>
        <w:ind w:left="720" w:hanging="360"/>
      </w:pPr>
      <w:rPr>
        <w:rFonts w:ascii="Arial" w:eastAsia="Arial" w:hAnsi="Arial" w:cs="Arial"/>
      </w:rPr>
    </w:lvl>
    <w:lvl w:ilvl="1" w:tplc="1BDAED2E">
      <w:start w:val="1"/>
      <w:numFmt w:val="bullet"/>
      <w:lvlText w:val="o"/>
      <w:lvlJc w:val="left"/>
      <w:pPr>
        <w:ind w:left="1440" w:hanging="360"/>
      </w:pPr>
      <w:rPr>
        <w:rFonts w:ascii="Courier New" w:eastAsia="Courier New" w:hAnsi="Courier New" w:cs="Courier New" w:hint="default"/>
      </w:rPr>
    </w:lvl>
    <w:lvl w:ilvl="2" w:tplc="87204AA6">
      <w:start w:val="1"/>
      <w:numFmt w:val="bullet"/>
      <w:lvlText w:val="§"/>
      <w:lvlJc w:val="left"/>
      <w:pPr>
        <w:ind w:left="2160" w:hanging="360"/>
      </w:pPr>
      <w:rPr>
        <w:rFonts w:ascii="Wingdings" w:eastAsia="Wingdings" w:hAnsi="Wingdings" w:cs="Wingdings" w:hint="default"/>
      </w:rPr>
    </w:lvl>
    <w:lvl w:ilvl="3" w:tplc="24F66A56">
      <w:start w:val="1"/>
      <w:numFmt w:val="bullet"/>
      <w:lvlText w:val="·"/>
      <w:lvlJc w:val="left"/>
      <w:pPr>
        <w:ind w:left="2880" w:hanging="360"/>
      </w:pPr>
      <w:rPr>
        <w:rFonts w:ascii="Symbol" w:eastAsia="Symbol" w:hAnsi="Symbol" w:cs="Symbol" w:hint="default"/>
      </w:rPr>
    </w:lvl>
    <w:lvl w:ilvl="4" w:tplc="DF0695E8">
      <w:start w:val="1"/>
      <w:numFmt w:val="bullet"/>
      <w:lvlText w:val="o"/>
      <w:lvlJc w:val="left"/>
      <w:pPr>
        <w:ind w:left="3600" w:hanging="360"/>
      </w:pPr>
      <w:rPr>
        <w:rFonts w:ascii="Courier New" w:eastAsia="Courier New" w:hAnsi="Courier New" w:cs="Courier New" w:hint="default"/>
      </w:rPr>
    </w:lvl>
    <w:lvl w:ilvl="5" w:tplc="9020C2CE">
      <w:start w:val="1"/>
      <w:numFmt w:val="bullet"/>
      <w:lvlText w:val="§"/>
      <w:lvlJc w:val="left"/>
      <w:pPr>
        <w:ind w:left="4320" w:hanging="360"/>
      </w:pPr>
      <w:rPr>
        <w:rFonts w:ascii="Wingdings" w:eastAsia="Wingdings" w:hAnsi="Wingdings" w:cs="Wingdings" w:hint="default"/>
      </w:rPr>
    </w:lvl>
    <w:lvl w:ilvl="6" w:tplc="DD44F658">
      <w:start w:val="1"/>
      <w:numFmt w:val="bullet"/>
      <w:lvlText w:val="·"/>
      <w:lvlJc w:val="left"/>
      <w:pPr>
        <w:ind w:left="5040" w:hanging="360"/>
      </w:pPr>
      <w:rPr>
        <w:rFonts w:ascii="Symbol" w:eastAsia="Symbol" w:hAnsi="Symbol" w:cs="Symbol" w:hint="default"/>
      </w:rPr>
    </w:lvl>
    <w:lvl w:ilvl="7" w:tplc="3312BAC0">
      <w:start w:val="1"/>
      <w:numFmt w:val="bullet"/>
      <w:lvlText w:val="o"/>
      <w:lvlJc w:val="left"/>
      <w:pPr>
        <w:ind w:left="5760" w:hanging="360"/>
      </w:pPr>
      <w:rPr>
        <w:rFonts w:ascii="Courier New" w:eastAsia="Courier New" w:hAnsi="Courier New" w:cs="Courier New" w:hint="default"/>
      </w:rPr>
    </w:lvl>
    <w:lvl w:ilvl="8" w:tplc="D92E722C">
      <w:start w:val="1"/>
      <w:numFmt w:val="bullet"/>
      <w:lvlText w:val="§"/>
      <w:lvlJc w:val="left"/>
      <w:pPr>
        <w:ind w:left="6480" w:hanging="360"/>
      </w:pPr>
      <w:rPr>
        <w:rFonts w:ascii="Wingdings" w:eastAsia="Wingdings" w:hAnsi="Wingdings" w:cs="Wingdings" w:hint="default"/>
      </w:rPr>
    </w:lvl>
  </w:abstractNum>
  <w:abstractNum w:abstractNumId="93">
    <w:nsid w:val="571502F8"/>
    <w:multiLevelType w:val="hybridMultilevel"/>
    <w:tmpl w:val="463E3638"/>
    <w:lvl w:ilvl="0" w:tplc="954C21BA">
      <w:start w:val="1"/>
      <w:numFmt w:val="bullet"/>
      <w:lvlText w:val="–"/>
      <w:lvlJc w:val="left"/>
      <w:pPr>
        <w:ind w:left="720" w:hanging="360"/>
      </w:pPr>
      <w:rPr>
        <w:rFonts w:ascii="Arial" w:eastAsia="Arial" w:hAnsi="Arial" w:cs="Arial"/>
      </w:rPr>
    </w:lvl>
    <w:lvl w:ilvl="1" w:tplc="53321990">
      <w:start w:val="1"/>
      <w:numFmt w:val="bullet"/>
      <w:lvlText w:val="o"/>
      <w:lvlJc w:val="left"/>
      <w:pPr>
        <w:ind w:left="1440" w:hanging="360"/>
      </w:pPr>
      <w:rPr>
        <w:rFonts w:ascii="Courier New" w:eastAsia="Courier New" w:hAnsi="Courier New" w:cs="Courier New" w:hint="default"/>
      </w:rPr>
    </w:lvl>
    <w:lvl w:ilvl="2" w:tplc="29888E72">
      <w:start w:val="1"/>
      <w:numFmt w:val="bullet"/>
      <w:lvlText w:val="§"/>
      <w:lvlJc w:val="left"/>
      <w:pPr>
        <w:ind w:left="2160" w:hanging="360"/>
      </w:pPr>
      <w:rPr>
        <w:rFonts w:ascii="Wingdings" w:eastAsia="Wingdings" w:hAnsi="Wingdings" w:cs="Wingdings" w:hint="default"/>
      </w:rPr>
    </w:lvl>
    <w:lvl w:ilvl="3" w:tplc="3CF0365A">
      <w:start w:val="1"/>
      <w:numFmt w:val="bullet"/>
      <w:lvlText w:val="·"/>
      <w:lvlJc w:val="left"/>
      <w:pPr>
        <w:ind w:left="2880" w:hanging="360"/>
      </w:pPr>
      <w:rPr>
        <w:rFonts w:ascii="Symbol" w:eastAsia="Symbol" w:hAnsi="Symbol" w:cs="Symbol" w:hint="default"/>
      </w:rPr>
    </w:lvl>
    <w:lvl w:ilvl="4" w:tplc="953833D4">
      <w:start w:val="1"/>
      <w:numFmt w:val="bullet"/>
      <w:lvlText w:val="o"/>
      <w:lvlJc w:val="left"/>
      <w:pPr>
        <w:ind w:left="3600" w:hanging="360"/>
      </w:pPr>
      <w:rPr>
        <w:rFonts w:ascii="Courier New" w:eastAsia="Courier New" w:hAnsi="Courier New" w:cs="Courier New" w:hint="default"/>
      </w:rPr>
    </w:lvl>
    <w:lvl w:ilvl="5" w:tplc="B30A1E94">
      <w:start w:val="1"/>
      <w:numFmt w:val="bullet"/>
      <w:lvlText w:val="§"/>
      <w:lvlJc w:val="left"/>
      <w:pPr>
        <w:ind w:left="4320" w:hanging="360"/>
      </w:pPr>
      <w:rPr>
        <w:rFonts w:ascii="Wingdings" w:eastAsia="Wingdings" w:hAnsi="Wingdings" w:cs="Wingdings" w:hint="default"/>
      </w:rPr>
    </w:lvl>
    <w:lvl w:ilvl="6" w:tplc="94FAB87C">
      <w:start w:val="1"/>
      <w:numFmt w:val="bullet"/>
      <w:lvlText w:val="·"/>
      <w:lvlJc w:val="left"/>
      <w:pPr>
        <w:ind w:left="5040" w:hanging="360"/>
      </w:pPr>
      <w:rPr>
        <w:rFonts w:ascii="Symbol" w:eastAsia="Symbol" w:hAnsi="Symbol" w:cs="Symbol" w:hint="default"/>
      </w:rPr>
    </w:lvl>
    <w:lvl w:ilvl="7" w:tplc="DF4AB13E">
      <w:start w:val="1"/>
      <w:numFmt w:val="bullet"/>
      <w:lvlText w:val="o"/>
      <w:lvlJc w:val="left"/>
      <w:pPr>
        <w:ind w:left="5760" w:hanging="360"/>
      </w:pPr>
      <w:rPr>
        <w:rFonts w:ascii="Courier New" w:eastAsia="Courier New" w:hAnsi="Courier New" w:cs="Courier New" w:hint="default"/>
      </w:rPr>
    </w:lvl>
    <w:lvl w:ilvl="8" w:tplc="17800570">
      <w:start w:val="1"/>
      <w:numFmt w:val="bullet"/>
      <w:lvlText w:val="§"/>
      <w:lvlJc w:val="left"/>
      <w:pPr>
        <w:ind w:left="6480" w:hanging="360"/>
      </w:pPr>
      <w:rPr>
        <w:rFonts w:ascii="Wingdings" w:eastAsia="Wingdings" w:hAnsi="Wingdings" w:cs="Wingdings" w:hint="default"/>
      </w:rPr>
    </w:lvl>
  </w:abstractNum>
  <w:abstractNum w:abstractNumId="94">
    <w:nsid w:val="597517B2"/>
    <w:multiLevelType w:val="hybridMultilevel"/>
    <w:tmpl w:val="90325E1E"/>
    <w:lvl w:ilvl="0" w:tplc="21F4FBA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5">
    <w:nsid w:val="59D46764"/>
    <w:multiLevelType w:val="hybridMultilevel"/>
    <w:tmpl w:val="86BE9224"/>
    <w:lvl w:ilvl="0" w:tplc="ECEA5AF0">
      <w:start w:val="1"/>
      <w:numFmt w:val="bullet"/>
      <w:lvlText w:val="–"/>
      <w:lvlJc w:val="left"/>
      <w:pPr>
        <w:ind w:left="720" w:hanging="360"/>
      </w:pPr>
      <w:rPr>
        <w:rFonts w:ascii="Arial" w:eastAsia="Arial" w:hAnsi="Arial" w:cs="Arial"/>
      </w:rPr>
    </w:lvl>
    <w:lvl w:ilvl="1" w:tplc="261A2D1E">
      <w:start w:val="1"/>
      <w:numFmt w:val="bullet"/>
      <w:lvlText w:val="o"/>
      <w:lvlJc w:val="left"/>
      <w:pPr>
        <w:ind w:left="1440" w:hanging="360"/>
      </w:pPr>
      <w:rPr>
        <w:rFonts w:ascii="Courier New" w:eastAsia="Courier New" w:hAnsi="Courier New" w:cs="Courier New" w:hint="default"/>
      </w:rPr>
    </w:lvl>
    <w:lvl w:ilvl="2" w:tplc="417EFD70">
      <w:start w:val="1"/>
      <w:numFmt w:val="bullet"/>
      <w:lvlText w:val="§"/>
      <w:lvlJc w:val="left"/>
      <w:pPr>
        <w:ind w:left="2160" w:hanging="360"/>
      </w:pPr>
      <w:rPr>
        <w:rFonts w:ascii="Wingdings" w:eastAsia="Wingdings" w:hAnsi="Wingdings" w:cs="Wingdings" w:hint="default"/>
      </w:rPr>
    </w:lvl>
    <w:lvl w:ilvl="3" w:tplc="69D807A4">
      <w:start w:val="1"/>
      <w:numFmt w:val="bullet"/>
      <w:lvlText w:val="·"/>
      <w:lvlJc w:val="left"/>
      <w:pPr>
        <w:ind w:left="2880" w:hanging="360"/>
      </w:pPr>
      <w:rPr>
        <w:rFonts w:ascii="Symbol" w:eastAsia="Symbol" w:hAnsi="Symbol" w:cs="Symbol" w:hint="default"/>
      </w:rPr>
    </w:lvl>
    <w:lvl w:ilvl="4" w:tplc="8B5CF27A">
      <w:start w:val="1"/>
      <w:numFmt w:val="bullet"/>
      <w:lvlText w:val="o"/>
      <w:lvlJc w:val="left"/>
      <w:pPr>
        <w:ind w:left="3600" w:hanging="360"/>
      </w:pPr>
      <w:rPr>
        <w:rFonts w:ascii="Courier New" w:eastAsia="Courier New" w:hAnsi="Courier New" w:cs="Courier New" w:hint="default"/>
      </w:rPr>
    </w:lvl>
    <w:lvl w:ilvl="5" w:tplc="D2E8CA3C">
      <w:start w:val="1"/>
      <w:numFmt w:val="bullet"/>
      <w:lvlText w:val="§"/>
      <w:lvlJc w:val="left"/>
      <w:pPr>
        <w:ind w:left="4320" w:hanging="360"/>
      </w:pPr>
      <w:rPr>
        <w:rFonts w:ascii="Wingdings" w:eastAsia="Wingdings" w:hAnsi="Wingdings" w:cs="Wingdings" w:hint="default"/>
      </w:rPr>
    </w:lvl>
    <w:lvl w:ilvl="6" w:tplc="154A2902">
      <w:start w:val="1"/>
      <w:numFmt w:val="bullet"/>
      <w:lvlText w:val="·"/>
      <w:lvlJc w:val="left"/>
      <w:pPr>
        <w:ind w:left="5040" w:hanging="360"/>
      </w:pPr>
      <w:rPr>
        <w:rFonts w:ascii="Symbol" w:eastAsia="Symbol" w:hAnsi="Symbol" w:cs="Symbol" w:hint="default"/>
      </w:rPr>
    </w:lvl>
    <w:lvl w:ilvl="7" w:tplc="812C1656">
      <w:start w:val="1"/>
      <w:numFmt w:val="bullet"/>
      <w:lvlText w:val="o"/>
      <w:lvlJc w:val="left"/>
      <w:pPr>
        <w:ind w:left="5760" w:hanging="360"/>
      </w:pPr>
      <w:rPr>
        <w:rFonts w:ascii="Courier New" w:eastAsia="Courier New" w:hAnsi="Courier New" w:cs="Courier New" w:hint="default"/>
      </w:rPr>
    </w:lvl>
    <w:lvl w:ilvl="8" w:tplc="5FF22498">
      <w:start w:val="1"/>
      <w:numFmt w:val="bullet"/>
      <w:lvlText w:val="§"/>
      <w:lvlJc w:val="left"/>
      <w:pPr>
        <w:ind w:left="6480" w:hanging="360"/>
      </w:pPr>
      <w:rPr>
        <w:rFonts w:ascii="Wingdings" w:eastAsia="Wingdings" w:hAnsi="Wingdings" w:cs="Wingdings" w:hint="default"/>
      </w:rPr>
    </w:lvl>
  </w:abstractNum>
  <w:abstractNum w:abstractNumId="96">
    <w:nsid w:val="59EF7DC7"/>
    <w:multiLevelType w:val="hybridMultilevel"/>
    <w:tmpl w:val="013A6814"/>
    <w:lvl w:ilvl="0" w:tplc="58423048">
      <w:start w:val="1"/>
      <w:numFmt w:val="bullet"/>
      <w:lvlText w:val="–"/>
      <w:lvlJc w:val="left"/>
      <w:pPr>
        <w:ind w:left="720" w:hanging="360"/>
      </w:pPr>
      <w:rPr>
        <w:rFonts w:ascii="Arial" w:eastAsia="Arial" w:hAnsi="Arial" w:cs="Arial"/>
      </w:rPr>
    </w:lvl>
    <w:lvl w:ilvl="1" w:tplc="B34A9E5C">
      <w:start w:val="1"/>
      <w:numFmt w:val="bullet"/>
      <w:lvlText w:val="o"/>
      <w:lvlJc w:val="left"/>
      <w:pPr>
        <w:ind w:left="1440" w:hanging="360"/>
      </w:pPr>
      <w:rPr>
        <w:rFonts w:ascii="Courier New" w:eastAsia="Courier New" w:hAnsi="Courier New" w:cs="Courier New" w:hint="default"/>
      </w:rPr>
    </w:lvl>
    <w:lvl w:ilvl="2" w:tplc="A5C2AD08">
      <w:start w:val="1"/>
      <w:numFmt w:val="bullet"/>
      <w:lvlText w:val="§"/>
      <w:lvlJc w:val="left"/>
      <w:pPr>
        <w:ind w:left="2160" w:hanging="360"/>
      </w:pPr>
      <w:rPr>
        <w:rFonts w:ascii="Wingdings" w:eastAsia="Wingdings" w:hAnsi="Wingdings" w:cs="Wingdings" w:hint="default"/>
      </w:rPr>
    </w:lvl>
    <w:lvl w:ilvl="3" w:tplc="B5A03E30">
      <w:start w:val="1"/>
      <w:numFmt w:val="bullet"/>
      <w:lvlText w:val="·"/>
      <w:lvlJc w:val="left"/>
      <w:pPr>
        <w:ind w:left="2880" w:hanging="360"/>
      </w:pPr>
      <w:rPr>
        <w:rFonts w:ascii="Symbol" w:eastAsia="Symbol" w:hAnsi="Symbol" w:cs="Symbol" w:hint="default"/>
      </w:rPr>
    </w:lvl>
    <w:lvl w:ilvl="4" w:tplc="00DC72F0">
      <w:start w:val="1"/>
      <w:numFmt w:val="bullet"/>
      <w:lvlText w:val="o"/>
      <w:lvlJc w:val="left"/>
      <w:pPr>
        <w:ind w:left="3600" w:hanging="360"/>
      </w:pPr>
      <w:rPr>
        <w:rFonts w:ascii="Courier New" w:eastAsia="Courier New" w:hAnsi="Courier New" w:cs="Courier New" w:hint="default"/>
      </w:rPr>
    </w:lvl>
    <w:lvl w:ilvl="5" w:tplc="D4BE2456">
      <w:start w:val="1"/>
      <w:numFmt w:val="bullet"/>
      <w:lvlText w:val="§"/>
      <w:lvlJc w:val="left"/>
      <w:pPr>
        <w:ind w:left="4320" w:hanging="360"/>
      </w:pPr>
      <w:rPr>
        <w:rFonts w:ascii="Wingdings" w:eastAsia="Wingdings" w:hAnsi="Wingdings" w:cs="Wingdings" w:hint="default"/>
      </w:rPr>
    </w:lvl>
    <w:lvl w:ilvl="6" w:tplc="44E0A676">
      <w:start w:val="1"/>
      <w:numFmt w:val="bullet"/>
      <w:lvlText w:val="·"/>
      <w:lvlJc w:val="left"/>
      <w:pPr>
        <w:ind w:left="5040" w:hanging="360"/>
      </w:pPr>
      <w:rPr>
        <w:rFonts w:ascii="Symbol" w:eastAsia="Symbol" w:hAnsi="Symbol" w:cs="Symbol" w:hint="default"/>
      </w:rPr>
    </w:lvl>
    <w:lvl w:ilvl="7" w:tplc="7BB09F3C">
      <w:start w:val="1"/>
      <w:numFmt w:val="bullet"/>
      <w:lvlText w:val="o"/>
      <w:lvlJc w:val="left"/>
      <w:pPr>
        <w:ind w:left="5760" w:hanging="360"/>
      </w:pPr>
      <w:rPr>
        <w:rFonts w:ascii="Courier New" w:eastAsia="Courier New" w:hAnsi="Courier New" w:cs="Courier New" w:hint="default"/>
      </w:rPr>
    </w:lvl>
    <w:lvl w:ilvl="8" w:tplc="31ECB0EE">
      <w:start w:val="1"/>
      <w:numFmt w:val="bullet"/>
      <w:lvlText w:val="§"/>
      <w:lvlJc w:val="left"/>
      <w:pPr>
        <w:ind w:left="6480" w:hanging="360"/>
      </w:pPr>
      <w:rPr>
        <w:rFonts w:ascii="Wingdings" w:eastAsia="Wingdings" w:hAnsi="Wingdings" w:cs="Wingdings" w:hint="default"/>
      </w:rPr>
    </w:lvl>
  </w:abstractNum>
  <w:abstractNum w:abstractNumId="97">
    <w:nsid w:val="5A524C8A"/>
    <w:multiLevelType w:val="hybridMultilevel"/>
    <w:tmpl w:val="3AA40824"/>
    <w:lvl w:ilvl="0" w:tplc="B9905F50">
      <w:start w:val="1"/>
      <w:numFmt w:val="bullet"/>
      <w:lvlText w:val="–"/>
      <w:lvlJc w:val="left"/>
      <w:pPr>
        <w:ind w:left="720" w:hanging="360"/>
      </w:pPr>
      <w:rPr>
        <w:rFonts w:ascii="Arial" w:eastAsia="Arial" w:hAnsi="Arial" w:cs="Arial"/>
      </w:rPr>
    </w:lvl>
    <w:lvl w:ilvl="1" w:tplc="FD486968">
      <w:start w:val="1"/>
      <w:numFmt w:val="bullet"/>
      <w:lvlText w:val="o"/>
      <w:lvlJc w:val="left"/>
      <w:pPr>
        <w:ind w:left="1440" w:hanging="360"/>
      </w:pPr>
      <w:rPr>
        <w:rFonts w:ascii="Courier New" w:eastAsia="Courier New" w:hAnsi="Courier New" w:cs="Courier New" w:hint="default"/>
      </w:rPr>
    </w:lvl>
    <w:lvl w:ilvl="2" w:tplc="339AFFEC">
      <w:start w:val="1"/>
      <w:numFmt w:val="bullet"/>
      <w:lvlText w:val="§"/>
      <w:lvlJc w:val="left"/>
      <w:pPr>
        <w:ind w:left="2160" w:hanging="360"/>
      </w:pPr>
      <w:rPr>
        <w:rFonts w:ascii="Wingdings" w:eastAsia="Wingdings" w:hAnsi="Wingdings" w:cs="Wingdings" w:hint="default"/>
      </w:rPr>
    </w:lvl>
    <w:lvl w:ilvl="3" w:tplc="8806CC5A">
      <w:start w:val="1"/>
      <w:numFmt w:val="bullet"/>
      <w:lvlText w:val="·"/>
      <w:lvlJc w:val="left"/>
      <w:pPr>
        <w:ind w:left="2880" w:hanging="360"/>
      </w:pPr>
      <w:rPr>
        <w:rFonts w:ascii="Symbol" w:eastAsia="Symbol" w:hAnsi="Symbol" w:cs="Symbol" w:hint="default"/>
      </w:rPr>
    </w:lvl>
    <w:lvl w:ilvl="4" w:tplc="5118921E">
      <w:start w:val="1"/>
      <w:numFmt w:val="bullet"/>
      <w:lvlText w:val="o"/>
      <w:lvlJc w:val="left"/>
      <w:pPr>
        <w:ind w:left="3600" w:hanging="360"/>
      </w:pPr>
      <w:rPr>
        <w:rFonts w:ascii="Courier New" w:eastAsia="Courier New" w:hAnsi="Courier New" w:cs="Courier New" w:hint="default"/>
      </w:rPr>
    </w:lvl>
    <w:lvl w:ilvl="5" w:tplc="03CAA372">
      <w:start w:val="1"/>
      <w:numFmt w:val="bullet"/>
      <w:lvlText w:val="§"/>
      <w:lvlJc w:val="left"/>
      <w:pPr>
        <w:ind w:left="4320" w:hanging="360"/>
      </w:pPr>
      <w:rPr>
        <w:rFonts w:ascii="Wingdings" w:eastAsia="Wingdings" w:hAnsi="Wingdings" w:cs="Wingdings" w:hint="default"/>
      </w:rPr>
    </w:lvl>
    <w:lvl w:ilvl="6" w:tplc="CCBCCF82">
      <w:start w:val="1"/>
      <w:numFmt w:val="bullet"/>
      <w:lvlText w:val="·"/>
      <w:lvlJc w:val="left"/>
      <w:pPr>
        <w:ind w:left="5040" w:hanging="360"/>
      </w:pPr>
      <w:rPr>
        <w:rFonts w:ascii="Symbol" w:eastAsia="Symbol" w:hAnsi="Symbol" w:cs="Symbol" w:hint="default"/>
      </w:rPr>
    </w:lvl>
    <w:lvl w:ilvl="7" w:tplc="6E3A1E90">
      <w:start w:val="1"/>
      <w:numFmt w:val="bullet"/>
      <w:lvlText w:val="o"/>
      <w:lvlJc w:val="left"/>
      <w:pPr>
        <w:ind w:left="5760" w:hanging="360"/>
      </w:pPr>
      <w:rPr>
        <w:rFonts w:ascii="Courier New" w:eastAsia="Courier New" w:hAnsi="Courier New" w:cs="Courier New" w:hint="default"/>
      </w:rPr>
    </w:lvl>
    <w:lvl w:ilvl="8" w:tplc="CB26E4B4">
      <w:start w:val="1"/>
      <w:numFmt w:val="bullet"/>
      <w:lvlText w:val="§"/>
      <w:lvlJc w:val="left"/>
      <w:pPr>
        <w:ind w:left="6480" w:hanging="360"/>
      </w:pPr>
      <w:rPr>
        <w:rFonts w:ascii="Wingdings" w:eastAsia="Wingdings" w:hAnsi="Wingdings" w:cs="Wingdings" w:hint="default"/>
      </w:rPr>
    </w:lvl>
  </w:abstractNum>
  <w:abstractNum w:abstractNumId="98">
    <w:nsid w:val="5AEB400F"/>
    <w:multiLevelType w:val="hybridMultilevel"/>
    <w:tmpl w:val="75A01228"/>
    <w:lvl w:ilvl="0" w:tplc="0B480624">
      <w:start w:val="1"/>
      <w:numFmt w:val="decimal"/>
      <w:lvlText w:val="%1."/>
      <w:lvlJc w:val="right"/>
      <w:pPr>
        <w:ind w:left="709" w:hanging="360"/>
      </w:pPr>
    </w:lvl>
    <w:lvl w:ilvl="1" w:tplc="ED127ABC">
      <w:start w:val="1"/>
      <w:numFmt w:val="lowerLetter"/>
      <w:lvlText w:val="%2."/>
      <w:lvlJc w:val="left"/>
      <w:pPr>
        <w:ind w:left="1429" w:hanging="360"/>
      </w:pPr>
    </w:lvl>
    <w:lvl w:ilvl="2" w:tplc="0DDE77DE">
      <w:start w:val="1"/>
      <w:numFmt w:val="lowerRoman"/>
      <w:lvlText w:val="%3."/>
      <w:lvlJc w:val="right"/>
      <w:pPr>
        <w:ind w:left="2149" w:hanging="180"/>
      </w:pPr>
    </w:lvl>
    <w:lvl w:ilvl="3" w:tplc="EDE89B44">
      <w:start w:val="1"/>
      <w:numFmt w:val="decimal"/>
      <w:lvlText w:val="%4."/>
      <w:lvlJc w:val="left"/>
      <w:pPr>
        <w:ind w:left="2869" w:hanging="360"/>
      </w:pPr>
    </w:lvl>
    <w:lvl w:ilvl="4" w:tplc="30AEF1E6">
      <w:start w:val="1"/>
      <w:numFmt w:val="lowerLetter"/>
      <w:lvlText w:val="%5."/>
      <w:lvlJc w:val="left"/>
      <w:pPr>
        <w:ind w:left="3589" w:hanging="360"/>
      </w:pPr>
    </w:lvl>
    <w:lvl w:ilvl="5" w:tplc="CB4CD372">
      <w:start w:val="1"/>
      <w:numFmt w:val="lowerRoman"/>
      <w:lvlText w:val="%6."/>
      <w:lvlJc w:val="right"/>
      <w:pPr>
        <w:ind w:left="4309" w:hanging="180"/>
      </w:pPr>
    </w:lvl>
    <w:lvl w:ilvl="6" w:tplc="677EC3B0">
      <w:start w:val="1"/>
      <w:numFmt w:val="decimal"/>
      <w:lvlText w:val="%7."/>
      <w:lvlJc w:val="left"/>
      <w:pPr>
        <w:ind w:left="5029" w:hanging="360"/>
      </w:pPr>
    </w:lvl>
    <w:lvl w:ilvl="7" w:tplc="EF985BD8">
      <w:start w:val="1"/>
      <w:numFmt w:val="lowerLetter"/>
      <w:lvlText w:val="%8."/>
      <w:lvlJc w:val="left"/>
      <w:pPr>
        <w:ind w:left="5749" w:hanging="360"/>
      </w:pPr>
    </w:lvl>
    <w:lvl w:ilvl="8" w:tplc="EFA057C2">
      <w:start w:val="1"/>
      <w:numFmt w:val="lowerRoman"/>
      <w:lvlText w:val="%9."/>
      <w:lvlJc w:val="right"/>
      <w:pPr>
        <w:ind w:left="6469" w:hanging="180"/>
      </w:pPr>
    </w:lvl>
  </w:abstractNum>
  <w:abstractNum w:abstractNumId="99">
    <w:nsid w:val="5C101665"/>
    <w:multiLevelType w:val="hybridMultilevel"/>
    <w:tmpl w:val="C908E0C8"/>
    <w:lvl w:ilvl="0" w:tplc="EC1A30FC">
      <w:start w:val="1"/>
      <w:numFmt w:val="bullet"/>
      <w:lvlText w:val="–"/>
      <w:lvlJc w:val="left"/>
      <w:pPr>
        <w:ind w:left="720" w:hanging="360"/>
      </w:pPr>
      <w:rPr>
        <w:rFonts w:ascii="Arial" w:eastAsia="Arial" w:hAnsi="Arial" w:cs="Arial"/>
      </w:rPr>
    </w:lvl>
    <w:lvl w:ilvl="1" w:tplc="7F6CCF98">
      <w:start w:val="1"/>
      <w:numFmt w:val="bullet"/>
      <w:lvlText w:val="o"/>
      <w:lvlJc w:val="left"/>
      <w:pPr>
        <w:ind w:left="1440" w:hanging="360"/>
      </w:pPr>
      <w:rPr>
        <w:rFonts w:ascii="Courier New" w:eastAsia="Courier New" w:hAnsi="Courier New" w:cs="Courier New" w:hint="default"/>
      </w:rPr>
    </w:lvl>
    <w:lvl w:ilvl="2" w:tplc="8960A568">
      <w:start w:val="1"/>
      <w:numFmt w:val="bullet"/>
      <w:lvlText w:val="§"/>
      <w:lvlJc w:val="left"/>
      <w:pPr>
        <w:ind w:left="2160" w:hanging="360"/>
      </w:pPr>
      <w:rPr>
        <w:rFonts w:ascii="Wingdings" w:eastAsia="Wingdings" w:hAnsi="Wingdings" w:cs="Wingdings" w:hint="default"/>
      </w:rPr>
    </w:lvl>
    <w:lvl w:ilvl="3" w:tplc="3A566FA8">
      <w:start w:val="1"/>
      <w:numFmt w:val="bullet"/>
      <w:lvlText w:val="·"/>
      <w:lvlJc w:val="left"/>
      <w:pPr>
        <w:ind w:left="2880" w:hanging="360"/>
      </w:pPr>
      <w:rPr>
        <w:rFonts w:ascii="Symbol" w:eastAsia="Symbol" w:hAnsi="Symbol" w:cs="Symbol" w:hint="default"/>
      </w:rPr>
    </w:lvl>
    <w:lvl w:ilvl="4" w:tplc="062C15BA">
      <w:start w:val="1"/>
      <w:numFmt w:val="bullet"/>
      <w:lvlText w:val="o"/>
      <w:lvlJc w:val="left"/>
      <w:pPr>
        <w:ind w:left="3600" w:hanging="360"/>
      </w:pPr>
      <w:rPr>
        <w:rFonts w:ascii="Courier New" w:eastAsia="Courier New" w:hAnsi="Courier New" w:cs="Courier New" w:hint="default"/>
      </w:rPr>
    </w:lvl>
    <w:lvl w:ilvl="5" w:tplc="00A05ED6">
      <w:start w:val="1"/>
      <w:numFmt w:val="bullet"/>
      <w:lvlText w:val="§"/>
      <w:lvlJc w:val="left"/>
      <w:pPr>
        <w:ind w:left="4320" w:hanging="360"/>
      </w:pPr>
      <w:rPr>
        <w:rFonts w:ascii="Wingdings" w:eastAsia="Wingdings" w:hAnsi="Wingdings" w:cs="Wingdings" w:hint="default"/>
      </w:rPr>
    </w:lvl>
    <w:lvl w:ilvl="6" w:tplc="B18A8CB8">
      <w:start w:val="1"/>
      <w:numFmt w:val="bullet"/>
      <w:lvlText w:val="·"/>
      <w:lvlJc w:val="left"/>
      <w:pPr>
        <w:ind w:left="5040" w:hanging="360"/>
      </w:pPr>
      <w:rPr>
        <w:rFonts w:ascii="Symbol" w:eastAsia="Symbol" w:hAnsi="Symbol" w:cs="Symbol" w:hint="default"/>
      </w:rPr>
    </w:lvl>
    <w:lvl w:ilvl="7" w:tplc="E370C1AC">
      <w:start w:val="1"/>
      <w:numFmt w:val="bullet"/>
      <w:lvlText w:val="o"/>
      <w:lvlJc w:val="left"/>
      <w:pPr>
        <w:ind w:left="5760" w:hanging="360"/>
      </w:pPr>
      <w:rPr>
        <w:rFonts w:ascii="Courier New" w:eastAsia="Courier New" w:hAnsi="Courier New" w:cs="Courier New" w:hint="default"/>
      </w:rPr>
    </w:lvl>
    <w:lvl w:ilvl="8" w:tplc="7CE0FCAC">
      <w:start w:val="1"/>
      <w:numFmt w:val="bullet"/>
      <w:lvlText w:val="§"/>
      <w:lvlJc w:val="left"/>
      <w:pPr>
        <w:ind w:left="6480" w:hanging="360"/>
      </w:pPr>
      <w:rPr>
        <w:rFonts w:ascii="Wingdings" w:eastAsia="Wingdings" w:hAnsi="Wingdings" w:cs="Wingdings" w:hint="default"/>
      </w:rPr>
    </w:lvl>
  </w:abstractNum>
  <w:abstractNum w:abstractNumId="100">
    <w:nsid w:val="5C8F1635"/>
    <w:multiLevelType w:val="hybridMultilevel"/>
    <w:tmpl w:val="3D3C710E"/>
    <w:lvl w:ilvl="0" w:tplc="9E105376">
      <w:start w:val="1"/>
      <w:numFmt w:val="bullet"/>
      <w:lvlText w:val="–"/>
      <w:lvlJc w:val="left"/>
      <w:pPr>
        <w:ind w:left="720" w:hanging="360"/>
      </w:pPr>
      <w:rPr>
        <w:rFonts w:ascii="Arial" w:eastAsia="Arial" w:hAnsi="Arial" w:cs="Arial"/>
      </w:rPr>
    </w:lvl>
    <w:lvl w:ilvl="1" w:tplc="4A2CFEAA">
      <w:start w:val="1"/>
      <w:numFmt w:val="bullet"/>
      <w:lvlText w:val="o"/>
      <w:lvlJc w:val="left"/>
      <w:pPr>
        <w:ind w:left="1440" w:hanging="360"/>
      </w:pPr>
      <w:rPr>
        <w:rFonts w:ascii="Courier New" w:eastAsia="Courier New" w:hAnsi="Courier New" w:cs="Courier New" w:hint="default"/>
      </w:rPr>
    </w:lvl>
    <w:lvl w:ilvl="2" w:tplc="836E8B96">
      <w:start w:val="1"/>
      <w:numFmt w:val="bullet"/>
      <w:lvlText w:val="§"/>
      <w:lvlJc w:val="left"/>
      <w:pPr>
        <w:ind w:left="2160" w:hanging="360"/>
      </w:pPr>
      <w:rPr>
        <w:rFonts w:ascii="Wingdings" w:eastAsia="Wingdings" w:hAnsi="Wingdings" w:cs="Wingdings" w:hint="default"/>
      </w:rPr>
    </w:lvl>
    <w:lvl w:ilvl="3" w:tplc="A1304128">
      <w:start w:val="1"/>
      <w:numFmt w:val="bullet"/>
      <w:lvlText w:val="·"/>
      <w:lvlJc w:val="left"/>
      <w:pPr>
        <w:ind w:left="2880" w:hanging="360"/>
      </w:pPr>
      <w:rPr>
        <w:rFonts w:ascii="Symbol" w:eastAsia="Symbol" w:hAnsi="Symbol" w:cs="Symbol" w:hint="default"/>
      </w:rPr>
    </w:lvl>
    <w:lvl w:ilvl="4" w:tplc="2C5893C2">
      <w:start w:val="1"/>
      <w:numFmt w:val="bullet"/>
      <w:lvlText w:val="o"/>
      <w:lvlJc w:val="left"/>
      <w:pPr>
        <w:ind w:left="3600" w:hanging="360"/>
      </w:pPr>
      <w:rPr>
        <w:rFonts w:ascii="Courier New" w:eastAsia="Courier New" w:hAnsi="Courier New" w:cs="Courier New" w:hint="default"/>
      </w:rPr>
    </w:lvl>
    <w:lvl w:ilvl="5" w:tplc="16423C58">
      <w:start w:val="1"/>
      <w:numFmt w:val="bullet"/>
      <w:lvlText w:val="§"/>
      <w:lvlJc w:val="left"/>
      <w:pPr>
        <w:ind w:left="4320" w:hanging="360"/>
      </w:pPr>
      <w:rPr>
        <w:rFonts w:ascii="Wingdings" w:eastAsia="Wingdings" w:hAnsi="Wingdings" w:cs="Wingdings" w:hint="default"/>
      </w:rPr>
    </w:lvl>
    <w:lvl w:ilvl="6" w:tplc="8B7C8612">
      <w:start w:val="1"/>
      <w:numFmt w:val="bullet"/>
      <w:lvlText w:val="·"/>
      <w:lvlJc w:val="left"/>
      <w:pPr>
        <w:ind w:left="5040" w:hanging="360"/>
      </w:pPr>
      <w:rPr>
        <w:rFonts w:ascii="Symbol" w:eastAsia="Symbol" w:hAnsi="Symbol" w:cs="Symbol" w:hint="default"/>
      </w:rPr>
    </w:lvl>
    <w:lvl w:ilvl="7" w:tplc="ECD2CD5A">
      <w:start w:val="1"/>
      <w:numFmt w:val="bullet"/>
      <w:lvlText w:val="o"/>
      <w:lvlJc w:val="left"/>
      <w:pPr>
        <w:ind w:left="5760" w:hanging="360"/>
      </w:pPr>
      <w:rPr>
        <w:rFonts w:ascii="Courier New" w:eastAsia="Courier New" w:hAnsi="Courier New" w:cs="Courier New" w:hint="default"/>
      </w:rPr>
    </w:lvl>
    <w:lvl w:ilvl="8" w:tplc="A342C39E">
      <w:start w:val="1"/>
      <w:numFmt w:val="bullet"/>
      <w:lvlText w:val="§"/>
      <w:lvlJc w:val="left"/>
      <w:pPr>
        <w:ind w:left="6480" w:hanging="360"/>
      </w:pPr>
      <w:rPr>
        <w:rFonts w:ascii="Wingdings" w:eastAsia="Wingdings" w:hAnsi="Wingdings" w:cs="Wingdings" w:hint="default"/>
      </w:rPr>
    </w:lvl>
  </w:abstractNum>
  <w:abstractNum w:abstractNumId="101">
    <w:nsid w:val="5CA31650"/>
    <w:multiLevelType w:val="hybridMultilevel"/>
    <w:tmpl w:val="44D04842"/>
    <w:lvl w:ilvl="0" w:tplc="A34E6A88">
      <w:start w:val="1"/>
      <w:numFmt w:val="bullet"/>
      <w:lvlText w:val="–"/>
      <w:lvlJc w:val="left"/>
      <w:pPr>
        <w:ind w:left="720" w:hanging="360"/>
      </w:pPr>
      <w:rPr>
        <w:rFonts w:ascii="Arial" w:eastAsia="Arial" w:hAnsi="Arial" w:cs="Arial"/>
      </w:rPr>
    </w:lvl>
    <w:lvl w:ilvl="1" w:tplc="6F30DC30">
      <w:start w:val="1"/>
      <w:numFmt w:val="bullet"/>
      <w:lvlText w:val="o"/>
      <w:lvlJc w:val="left"/>
      <w:pPr>
        <w:ind w:left="1440" w:hanging="360"/>
      </w:pPr>
      <w:rPr>
        <w:rFonts w:ascii="Courier New" w:eastAsia="Courier New" w:hAnsi="Courier New" w:cs="Courier New" w:hint="default"/>
      </w:rPr>
    </w:lvl>
    <w:lvl w:ilvl="2" w:tplc="95EAABD6">
      <w:start w:val="1"/>
      <w:numFmt w:val="bullet"/>
      <w:lvlText w:val="§"/>
      <w:lvlJc w:val="left"/>
      <w:pPr>
        <w:ind w:left="2160" w:hanging="360"/>
      </w:pPr>
      <w:rPr>
        <w:rFonts w:ascii="Wingdings" w:eastAsia="Wingdings" w:hAnsi="Wingdings" w:cs="Wingdings" w:hint="default"/>
      </w:rPr>
    </w:lvl>
    <w:lvl w:ilvl="3" w:tplc="A2F04914">
      <w:start w:val="1"/>
      <w:numFmt w:val="bullet"/>
      <w:lvlText w:val="·"/>
      <w:lvlJc w:val="left"/>
      <w:pPr>
        <w:ind w:left="2880" w:hanging="360"/>
      </w:pPr>
      <w:rPr>
        <w:rFonts w:ascii="Symbol" w:eastAsia="Symbol" w:hAnsi="Symbol" w:cs="Symbol" w:hint="default"/>
      </w:rPr>
    </w:lvl>
    <w:lvl w:ilvl="4" w:tplc="EC5E9896">
      <w:start w:val="1"/>
      <w:numFmt w:val="bullet"/>
      <w:lvlText w:val="o"/>
      <w:lvlJc w:val="left"/>
      <w:pPr>
        <w:ind w:left="3600" w:hanging="360"/>
      </w:pPr>
      <w:rPr>
        <w:rFonts w:ascii="Courier New" w:eastAsia="Courier New" w:hAnsi="Courier New" w:cs="Courier New" w:hint="default"/>
      </w:rPr>
    </w:lvl>
    <w:lvl w:ilvl="5" w:tplc="183AC7AE">
      <w:start w:val="1"/>
      <w:numFmt w:val="bullet"/>
      <w:lvlText w:val="§"/>
      <w:lvlJc w:val="left"/>
      <w:pPr>
        <w:ind w:left="4320" w:hanging="360"/>
      </w:pPr>
      <w:rPr>
        <w:rFonts w:ascii="Wingdings" w:eastAsia="Wingdings" w:hAnsi="Wingdings" w:cs="Wingdings" w:hint="default"/>
      </w:rPr>
    </w:lvl>
    <w:lvl w:ilvl="6" w:tplc="0BD8BAF0">
      <w:start w:val="1"/>
      <w:numFmt w:val="bullet"/>
      <w:lvlText w:val="·"/>
      <w:lvlJc w:val="left"/>
      <w:pPr>
        <w:ind w:left="5040" w:hanging="360"/>
      </w:pPr>
      <w:rPr>
        <w:rFonts w:ascii="Symbol" w:eastAsia="Symbol" w:hAnsi="Symbol" w:cs="Symbol" w:hint="default"/>
      </w:rPr>
    </w:lvl>
    <w:lvl w:ilvl="7" w:tplc="0BECA3FC">
      <w:start w:val="1"/>
      <w:numFmt w:val="bullet"/>
      <w:lvlText w:val="o"/>
      <w:lvlJc w:val="left"/>
      <w:pPr>
        <w:ind w:left="5760" w:hanging="360"/>
      </w:pPr>
      <w:rPr>
        <w:rFonts w:ascii="Courier New" w:eastAsia="Courier New" w:hAnsi="Courier New" w:cs="Courier New" w:hint="default"/>
      </w:rPr>
    </w:lvl>
    <w:lvl w:ilvl="8" w:tplc="658074AA">
      <w:start w:val="1"/>
      <w:numFmt w:val="bullet"/>
      <w:lvlText w:val="§"/>
      <w:lvlJc w:val="left"/>
      <w:pPr>
        <w:ind w:left="6480" w:hanging="360"/>
      </w:pPr>
      <w:rPr>
        <w:rFonts w:ascii="Wingdings" w:eastAsia="Wingdings" w:hAnsi="Wingdings" w:cs="Wingdings" w:hint="default"/>
      </w:rPr>
    </w:lvl>
  </w:abstractNum>
  <w:abstractNum w:abstractNumId="102">
    <w:nsid w:val="5DAA1E0A"/>
    <w:multiLevelType w:val="hybridMultilevel"/>
    <w:tmpl w:val="50A4F966"/>
    <w:lvl w:ilvl="0" w:tplc="654C6986">
      <w:start w:val="1"/>
      <w:numFmt w:val="bullet"/>
      <w:lvlText w:val="–"/>
      <w:lvlJc w:val="left"/>
      <w:pPr>
        <w:ind w:left="720" w:hanging="360"/>
      </w:pPr>
      <w:rPr>
        <w:rFonts w:ascii="Arial" w:eastAsia="Arial" w:hAnsi="Arial" w:cs="Arial"/>
      </w:rPr>
    </w:lvl>
    <w:lvl w:ilvl="1" w:tplc="C0C6EC14">
      <w:start w:val="1"/>
      <w:numFmt w:val="bullet"/>
      <w:lvlText w:val="o"/>
      <w:lvlJc w:val="left"/>
      <w:pPr>
        <w:ind w:left="1440" w:hanging="360"/>
      </w:pPr>
      <w:rPr>
        <w:rFonts w:ascii="Courier New" w:eastAsia="Courier New" w:hAnsi="Courier New" w:cs="Courier New" w:hint="default"/>
      </w:rPr>
    </w:lvl>
    <w:lvl w:ilvl="2" w:tplc="7224508A">
      <w:start w:val="1"/>
      <w:numFmt w:val="bullet"/>
      <w:lvlText w:val="§"/>
      <w:lvlJc w:val="left"/>
      <w:pPr>
        <w:ind w:left="2160" w:hanging="360"/>
      </w:pPr>
      <w:rPr>
        <w:rFonts w:ascii="Wingdings" w:eastAsia="Wingdings" w:hAnsi="Wingdings" w:cs="Wingdings" w:hint="default"/>
      </w:rPr>
    </w:lvl>
    <w:lvl w:ilvl="3" w:tplc="51324D0E">
      <w:start w:val="1"/>
      <w:numFmt w:val="bullet"/>
      <w:lvlText w:val="·"/>
      <w:lvlJc w:val="left"/>
      <w:pPr>
        <w:ind w:left="2880" w:hanging="360"/>
      </w:pPr>
      <w:rPr>
        <w:rFonts w:ascii="Symbol" w:eastAsia="Symbol" w:hAnsi="Symbol" w:cs="Symbol" w:hint="default"/>
      </w:rPr>
    </w:lvl>
    <w:lvl w:ilvl="4" w:tplc="78DC17AA">
      <w:start w:val="1"/>
      <w:numFmt w:val="bullet"/>
      <w:lvlText w:val="o"/>
      <w:lvlJc w:val="left"/>
      <w:pPr>
        <w:ind w:left="3600" w:hanging="360"/>
      </w:pPr>
      <w:rPr>
        <w:rFonts w:ascii="Courier New" w:eastAsia="Courier New" w:hAnsi="Courier New" w:cs="Courier New" w:hint="default"/>
      </w:rPr>
    </w:lvl>
    <w:lvl w:ilvl="5" w:tplc="1A3EFB80">
      <w:start w:val="1"/>
      <w:numFmt w:val="bullet"/>
      <w:lvlText w:val="§"/>
      <w:lvlJc w:val="left"/>
      <w:pPr>
        <w:ind w:left="4320" w:hanging="360"/>
      </w:pPr>
      <w:rPr>
        <w:rFonts w:ascii="Wingdings" w:eastAsia="Wingdings" w:hAnsi="Wingdings" w:cs="Wingdings" w:hint="default"/>
      </w:rPr>
    </w:lvl>
    <w:lvl w:ilvl="6" w:tplc="E46804B8">
      <w:start w:val="1"/>
      <w:numFmt w:val="bullet"/>
      <w:lvlText w:val="·"/>
      <w:lvlJc w:val="left"/>
      <w:pPr>
        <w:ind w:left="5040" w:hanging="360"/>
      </w:pPr>
      <w:rPr>
        <w:rFonts w:ascii="Symbol" w:eastAsia="Symbol" w:hAnsi="Symbol" w:cs="Symbol" w:hint="default"/>
      </w:rPr>
    </w:lvl>
    <w:lvl w:ilvl="7" w:tplc="501EFF52">
      <w:start w:val="1"/>
      <w:numFmt w:val="bullet"/>
      <w:lvlText w:val="o"/>
      <w:lvlJc w:val="left"/>
      <w:pPr>
        <w:ind w:left="5760" w:hanging="360"/>
      </w:pPr>
      <w:rPr>
        <w:rFonts w:ascii="Courier New" w:eastAsia="Courier New" w:hAnsi="Courier New" w:cs="Courier New" w:hint="default"/>
      </w:rPr>
    </w:lvl>
    <w:lvl w:ilvl="8" w:tplc="7F962EB0">
      <w:start w:val="1"/>
      <w:numFmt w:val="bullet"/>
      <w:lvlText w:val="§"/>
      <w:lvlJc w:val="left"/>
      <w:pPr>
        <w:ind w:left="6480" w:hanging="360"/>
      </w:pPr>
      <w:rPr>
        <w:rFonts w:ascii="Wingdings" w:eastAsia="Wingdings" w:hAnsi="Wingdings" w:cs="Wingdings" w:hint="default"/>
      </w:rPr>
    </w:lvl>
  </w:abstractNum>
  <w:abstractNum w:abstractNumId="103">
    <w:nsid w:val="5DFF5AC9"/>
    <w:multiLevelType w:val="hybridMultilevel"/>
    <w:tmpl w:val="30685A32"/>
    <w:lvl w:ilvl="0" w:tplc="83DC350C">
      <w:start w:val="1"/>
      <w:numFmt w:val="bullet"/>
      <w:lvlText w:val="–"/>
      <w:lvlJc w:val="left"/>
      <w:pPr>
        <w:ind w:left="720" w:hanging="360"/>
      </w:pPr>
      <w:rPr>
        <w:rFonts w:ascii="Arial" w:eastAsia="Arial" w:hAnsi="Arial" w:cs="Arial"/>
      </w:rPr>
    </w:lvl>
    <w:lvl w:ilvl="1" w:tplc="6B8C4C82">
      <w:start w:val="1"/>
      <w:numFmt w:val="bullet"/>
      <w:lvlText w:val="o"/>
      <w:lvlJc w:val="left"/>
      <w:pPr>
        <w:ind w:left="1440" w:hanging="360"/>
      </w:pPr>
      <w:rPr>
        <w:rFonts w:ascii="Courier New" w:eastAsia="Courier New" w:hAnsi="Courier New" w:cs="Courier New" w:hint="default"/>
      </w:rPr>
    </w:lvl>
    <w:lvl w:ilvl="2" w:tplc="6D749514">
      <w:start w:val="1"/>
      <w:numFmt w:val="bullet"/>
      <w:lvlText w:val="§"/>
      <w:lvlJc w:val="left"/>
      <w:pPr>
        <w:ind w:left="2160" w:hanging="360"/>
      </w:pPr>
      <w:rPr>
        <w:rFonts w:ascii="Wingdings" w:eastAsia="Wingdings" w:hAnsi="Wingdings" w:cs="Wingdings" w:hint="default"/>
      </w:rPr>
    </w:lvl>
    <w:lvl w:ilvl="3" w:tplc="A8C62E4C">
      <w:start w:val="1"/>
      <w:numFmt w:val="bullet"/>
      <w:lvlText w:val="·"/>
      <w:lvlJc w:val="left"/>
      <w:pPr>
        <w:ind w:left="2880" w:hanging="360"/>
      </w:pPr>
      <w:rPr>
        <w:rFonts w:ascii="Symbol" w:eastAsia="Symbol" w:hAnsi="Symbol" w:cs="Symbol" w:hint="default"/>
      </w:rPr>
    </w:lvl>
    <w:lvl w:ilvl="4" w:tplc="9E9C6D3A">
      <w:start w:val="1"/>
      <w:numFmt w:val="bullet"/>
      <w:lvlText w:val="o"/>
      <w:lvlJc w:val="left"/>
      <w:pPr>
        <w:ind w:left="3600" w:hanging="360"/>
      </w:pPr>
      <w:rPr>
        <w:rFonts w:ascii="Courier New" w:eastAsia="Courier New" w:hAnsi="Courier New" w:cs="Courier New" w:hint="default"/>
      </w:rPr>
    </w:lvl>
    <w:lvl w:ilvl="5" w:tplc="BA32B5F4">
      <w:start w:val="1"/>
      <w:numFmt w:val="bullet"/>
      <w:lvlText w:val="§"/>
      <w:lvlJc w:val="left"/>
      <w:pPr>
        <w:ind w:left="4320" w:hanging="360"/>
      </w:pPr>
      <w:rPr>
        <w:rFonts w:ascii="Wingdings" w:eastAsia="Wingdings" w:hAnsi="Wingdings" w:cs="Wingdings" w:hint="default"/>
      </w:rPr>
    </w:lvl>
    <w:lvl w:ilvl="6" w:tplc="F1D88326">
      <w:start w:val="1"/>
      <w:numFmt w:val="bullet"/>
      <w:lvlText w:val="·"/>
      <w:lvlJc w:val="left"/>
      <w:pPr>
        <w:ind w:left="5040" w:hanging="360"/>
      </w:pPr>
      <w:rPr>
        <w:rFonts w:ascii="Symbol" w:eastAsia="Symbol" w:hAnsi="Symbol" w:cs="Symbol" w:hint="default"/>
      </w:rPr>
    </w:lvl>
    <w:lvl w:ilvl="7" w:tplc="B2B690F8">
      <w:start w:val="1"/>
      <w:numFmt w:val="bullet"/>
      <w:lvlText w:val="o"/>
      <w:lvlJc w:val="left"/>
      <w:pPr>
        <w:ind w:left="5760" w:hanging="360"/>
      </w:pPr>
      <w:rPr>
        <w:rFonts w:ascii="Courier New" w:eastAsia="Courier New" w:hAnsi="Courier New" w:cs="Courier New" w:hint="default"/>
      </w:rPr>
    </w:lvl>
    <w:lvl w:ilvl="8" w:tplc="E1040A56">
      <w:start w:val="1"/>
      <w:numFmt w:val="bullet"/>
      <w:lvlText w:val="§"/>
      <w:lvlJc w:val="left"/>
      <w:pPr>
        <w:ind w:left="6480" w:hanging="360"/>
      </w:pPr>
      <w:rPr>
        <w:rFonts w:ascii="Wingdings" w:eastAsia="Wingdings" w:hAnsi="Wingdings" w:cs="Wingdings" w:hint="default"/>
      </w:rPr>
    </w:lvl>
  </w:abstractNum>
  <w:abstractNum w:abstractNumId="104">
    <w:nsid w:val="609863A5"/>
    <w:multiLevelType w:val="hybridMultilevel"/>
    <w:tmpl w:val="1FB248FE"/>
    <w:lvl w:ilvl="0" w:tplc="C8F4AD0E">
      <w:start w:val="1"/>
      <w:numFmt w:val="bullet"/>
      <w:lvlText w:val="–"/>
      <w:lvlJc w:val="left"/>
      <w:pPr>
        <w:ind w:left="720" w:hanging="360"/>
      </w:pPr>
      <w:rPr>
        <w:rFonts w:ascii="Arial" w:eastAsia="Arial" w:hAnsi="Arial" w:cs="Arial"/>
      </w:rPr>
    </w:lvl>
    <w:lvl w:ilvl="1" w:tplc="934EA6C4">
      <w:start w:val="1"/>
      <w:numFmt w:val="bullet"/>
      <w:lvlText w:val="o"/>
      <w:lvlJc w:val="left"/>
      <w:pPr>
        <w:ind w:left="1440" w:hanging="360"/>
      </w:pPr>
      <w:rPr>
        <w:rFonts w:ascii="Courier New" w:eastAsia="Courier New" w:hAnsi="Courier New" w:cs="Courier New" w:hint="default"/>
      </w:rPr>
    </w:lvl>
    <w:lvl w:ilvl="2" w:tplc="5E8CA846">
      <w:start w:val="1"/>
      <w:numFmt w:val="bullet"/>
      <w:lvlText w:val="§"/>
      <w:lvlJc w:val="left"/>
      <w:pPr>
        <w:ind w:left="2160" w:hanging="360"/>
      </w:pPr>
      <w:rPr>
        <w:rFonts w:ascii="Wingdings" w:eastAsia="Wingdings" w:hAnsi="Wingdings" w:cs="Wingdings" w:hint="default"/>
      </w:rPr>
    </w:lvl>
    <w:lvl w:ilvl="3" w:tplc="0E94A6C6">
      <w:start w:val="1"/>
      <w:numFmt w:val="bullet"/>
      <w:lvlText w:val="·"/>
      <w:lvlJc w:val="left"/>
      <w:pPr>
        <w:ind w:left="2880" w:hanging="360"/>
      </w:pPr>
      <w:rPr>
        <w:rFonts w:ascii="Symbol" w:eastAsia="Symbol" w:hAnsi="Symbol" w:cs="Symbol" w:hint="default"/>
      </w:rPr>
    </w:lvl>
    <w:lvl w:ilvl="4" w:tplc="74E02850">
      <w:start w:val="1"/>
      <w:numFmt w:val="bullet"/>
      <w:lvlText w:val="o"/>
      <w:lvlJc w:val="left"/>
      <w:pPr>
        <w:ind w:left="3600" w:hanging="360"/>
      </w:pPr>
      <w:rPr>
        <w:rFonts w:ascii="Courier New" w:eastAsia="Courier New" w:hAnsi="Courier New" w:cs="Courier New" w:hint="default"/>
      </w:rPr>
    </w:lvl>
    <w:lvl w:ilvl="5" w:tplc="1346D84C">
      <w:start w:val="1"/>
      <w:numFmt w:val="bullet"/>
      <w:lvlText w:val="§"/>
      <w:lvlJc w:val="left"/>
      <w:pPr>
        <w:ind w:left="4320" w:hanging="360"/>
      </w:pPr>
      <w:rPr>
        <w:rFonts w:ascii="Wingdings" w:eastAsia="Wingdings" w:hAnsi="Wingdings" w:cs="Wingdings" w:hint="default"/>
      </w:rPr>
    </w:lvl>
    <w:lvl w:ilvl="6" w:tplc="8A64C20E">
      <w:start w:val="1"/>
      <w:numFmt w:val="bullet"/>
      <w:lvlText w:val="·"/>
      <w:lvlJc w:val="left"/>
      <w:pPr>
        <w:ind w:left="5040" w:hanging="360"/>
      </w:pPr>
      <w:rPr>
        <w:rFonts w:ascii="Symbol" w:eastAsia="Symbol" w:hAnsi="Symbol" w:cs="Symbol" w:hint="default"/>
      </w:rPr>
    </w:lvl>
    <w:lvl w:ilvl="7" w:tplc="41CA50C2">
      <w:start w:val="1"/>
      <w:numFmt w:val="bullet"/>
      <w:lvlText w:val="o"/>
      <w:lvlJc w:val="left"/>
      <w:pPr>
        <w:ind w:left="5760" w:hanging="360"/>
      </w:pPr>
      <w:rPr>
        <w:rFonts w:ascii="Courier New" w:eastAsia="Courier New" w:hAnsi="Courier New" w:cs="Courier New" w:hint="default"/>
      </w:rPr>
    </w:lvl>
    <w:lvl w:ilvl="8" w:tplc="9496A7E2">
      <w:start w:val="1"/>
      <w:numFmt w:val="bullet"/>
      <w:lvlText w:val="§"/>
      <w:lvlJc w:val="left"/>
      <w:pPr>
        <w:ind w:left="6480" w:hanging="360"/>
      </w:pPr>
      <w:rPr>
        <w:rFonts w:ascii="Wingdings" w:eastAsia="Wingdings" w:hAnsi="Wingdings" w:cs="Wingdings" w:hint="default"/>
      </w:rPr>
    </w:lvl>
  </w:abstractNum>
  <w:abstractNum w:abstractNumId="105">
    <w:nsid w:val="60F140F9"/>
    <w:multiLevelType w:val="hybridMultilevel"/>
    <w:tmpl w:val="989CFCD8"/>
    <w:lvl w:ilvl="0" w:tplc="B0009E4E">
      <w:start w:val="1"/>
      <w:numFmt w:val="bullet"/>
      <w:lvlText w:val="–"/>
      <w:lvlJc w:val="left"/>
      <w:pPr>
        <w:ind w:left="720" w:hanging="360"/>
      </w:pPr>
      <w:rPr>
        <w:rFonts w:ascii="Arial" w:eastAsia="Arial" w:hAnsi="Arial" w:cs="Arial"/>
      </w:rPr>
    </w:lvl>
    <w:lvl w:ilvl="1" w:tplc="8E7EF7BE">
      <w:start w:val="1"/>
      <w:numFmt w:val="bullet"/>
      <w:lvlText w:val="o"/>
      <w:lvlJc w:val="left"/>
      <w:pPr>
        <w:ind w:left="1440" w:hanging="360"/>
      </w:pPr>
      <w:rPr>
        <w:rFonts w:ascii="Courier New" w:eastAsia="Courier New" w:hAnsi="Courier New" w:cs="Courier New" w:hint="default"/>
      </w:rPr>
    </w:lvl>
    <w:lvl w:ilvl="2" w:tplc="CCC2A66C">
      <w:start w:val="1"/>
      <w:numFmt w:val="bullet"/>
      <w:lvlText w:val="§"/>
      <w:lvlJc w:val="left"/>
      <w:pPr>
        <w:ind w:left="2160" w:hanging="360"/>
      </w:pPr>
      <w:rPr>
        <w:rFonts w:ascii="Wingdings" w:eastAsia="Wingdings" w:hAnsi="Wingdings" w:cs="Wingdings" w:hint="default"/>
      </w:rPr>
    </w:lvl>
    <w:lvl w:ilvl="3" w:tplc="F1EA2218">
      <w:start w:val="1"/>
      <w:numFmt w:val="bullet"/>
      <w:lvlText w:val="·"/>
      <w:lvlJc w:val="left"/>
      <w:pPr>
        <w:ind w:left="2880" w:hanging="360"/>
      </w:pPr>
      <w:rPr>
        <w:rFonts w:ascii="Symbol" w:eastAsia="Symbol" w:hAnsi="Symbol" w:cs="Symbol" w:hint="default"/>
      </w:rPr>
    </w:lvl>
    <w:lvl w:ilvl="4" w:tplc="63342AF8">
      <w:start w:val="1"/>
      <w:numFmt w:val="bullet"/>
      <w:lvlText w:val="o"/>
      <w:lvlJc w:val="left"/>
      <w:pPr>
        <w:ind w:left="3600" w:hanging="360"/>
      </w:pPr>
      <w:rPr>
        <w:rFonts w:ascii="Courier New" w:eastAsia="Courier New" w:hAnsi="Courier New" w:cs="Courier New" w:hint="default"/>
      </w:rPr>
    </w:lvl>
    <w:lvl w:ilvl="5" w:tplc="E3A25F12">
      <w:start w:val="1"/>
      <w:numFmt w:val="bullet"/>
      <w:lvlText w:val="§"/>
      <w:lvlJc w:val="left"/>
      <w:pPr>
        <w:ind w:left="4320" w:hanging="360"/>
      </w:pPr>
      <w:rPr>
        <w:rFonts w:ascii="Wingdings" w:eastAsia="Wingdings" w:hAnsi="Wingdings" w:cs="Wingdings" w:hint="default"/>
      </w:rPr>
    </w:lvl>
    <w:lvl w:ilvl="6" w:tplc="A66E6356">
      <w:start w:val="1"/>
      <w:numFmt w:val="bullet"/>
      <w:lvlText w:val="·"/>
      <w:lvlJc w:val="left"/>
      <w:pPr>
        <w:ind w:left="5040" w:hanging="360"/>
      </w:pPr>
      <w:rPr>
        <w:rFonts w:ascii="Symbol" w:eastAsia="Symbol" w:hAnsi="Symbol" w:cs="Symbol" w:hint="default"/>
      </w:rPr>
    </w:lvl>
    <w:lvl w:ilvl="7" w:tplc="7160E5D8">
      <w:start w:val="1"/>
      <w:numFmt w:val="bullet"/>
      <w:lvlText w:val="o"/>
      <w:lvlJc w:val="left"/>
      <w:pPr>
        <w:ind w:left="5760" w:hanging="360"/>
      </w:pPr>
      <w:rPr>
        <w:rFonts w:ascii="Courier New" w:eastAsia="Courier New" w:hAnsi="Courier New" w:cs="Courier New" w:hint="default"/>
      </w:rPr>
    </w:lvl>
    <w:lvl w:ilvl="8" w:tplc="17380024">
      <w:start w:val="1"/>
      <w:numFmt w:val="bullet"/>
      <w:lvlText w:val="§"/>
      <w:lvlJc w:val="left"/>
      <w:pPr>
        <w:ind w:left="6480" w:hanging="360"/>
      </w:pPr>
      <w:rPr>
        <w:rFonts w:ascii="Wingdings" w:eastAsia="Wingdings" w:hAnsi="Wingdings" w:cs="Wingdings" w:hint="default"/>
      </w:rPr>
    </w:lvl>
  </w:abstractNum>
  <w:abstractNum w:abstractNumId="106">
    <w:nsid w:val="61FE1946"/>
    <w:multiLevelType w:val="hybridMultilevel"/>
    <w:tmpl w:val="7DF0C684"/>
    <w:lvl w:ilvl="0" w:tplc="421E03FA">
      <w:start w:val="1"/>
      <w:numFmt w:val="bullet"/>
      <w:lvlText w:val="–"/>
      <w:lvlJc w:val="left"/>
      <w:pPr>
        <w:ind w:left="720" w:hanging="360"/>
      </w:pPr>
      <w:rPr>
        <w:rFonts w:ascii="Arial" w:eastAsia="Arial" w:hAnsi="Arial" w:cs="Arial"/>
      </w:rPr>
    </w:lvl>
    <w:lvl w:ilvl="1" w:tplc="FE5CB0B4">
      <w:start w:val="1"/>
      <w:numFmt w:val="bullet"/>
      <w:lvlText w:val="o"/>
      <w:lvlJc w:val="left"/>
      <w:pPr>
        <w:ind w:left="1440" w:hanging="360"/>
      </w:pPr>
      <w:rPr>
        <w:rFonts w:ascii="Courier New" w:eastAsia="Courier New" w:hAnsi="Courier New" w:cs="Courier New" w:hint="default"/>
      </w:rPr>
    </w:lvl>
    <w:lvl w:ilvl="2" w:tplc="7650766A">
      <w:start w:val="1"/>
      <w:numFmt w:val="bullet"/>
      <w:lvlText w:val="§"/>
      <w:lvlJc w:val="left"/>
      <w:pPr>
        <w:ind w:left="2160" w:hanging="360"/>
      </w:pPr>
      <w:rPr>
        <w:rFonts w:ascii="Wingdings" w:eastAsia="Wingdings" w:hAnsi="Wingdings" w:cs="Wingdings" w:hint="default"/>
      </w:rPr>
    </w:lvl>
    <w:lvl w:ilvl="3" w:tplc="4AEE1DFC">
      <w:start w:val="1"/>
      <w:numFmt w:val="bullet"/>
      <w:lvlText w:val="·"/>
      <w:lvlJc w:val="left"/>
      <w:pPr>
        <w:ind w:left="2880" w:hanging="360"/>
      </w:pPr>
      <w:rPr>
        <w:rFonts w:ascii="Symbol" w:eastAsia="Symbol" w:hAnsi="Symbol" w:cs="Symbol" w:hint="default"/>
      </w:rPr>
    </w:lvl>
    <w:lvl w:ilvl="4" w:tplc="A078C272">
      <w:start w:val="1"/>
      <w:numFmt w:val="bullet"/>
      <w:lvlText w:val="o"/>
      <w:lvlJc w:val="left"/>
      <w:pPr>
        <w:ind w:left="3600" w:hanging="360"/>
      </w:pPr>
      <w:rPr>
        <w:rFonts w:ascii="Courier New" w:eastAsia="Courier New" w:hAnsi="Courier New" w:cs="Courier New" w:hint="default"/>
      </w:rPr>
    </w:lvl>
    <w:lvl w:ilvl="5" w:tplc="21C039F2">
      <w:start w:val="1"/>
      <w:numFmt w:val="bullet"/>
      <w:lvlText w:val="§"/>
      <w:lvlJc w:val="left"/>
      <w:pPr>
        <w:ind w:left="4320" w:hanging="360"/>
      </w:pPr>
      <w:rPr>
        <w:rFonts w:ascii="Wingdings" w:eastAsia="Wingdings" w:hAnsi="Wingdings" w:cs="Wingdings" w:hint="default"/>
      </w:rPr>
    </w:lvl>
    <w:lvl w:ilvl="6" w:tplc="7F64C3A6">
      <w:start w:val="1"/>
      <w:numFmt w:val="bullet"/>
      <w:lvlText w:val="·"/>
      <w:lvlJc w:val="left"/>
      <w:pPr>
        <w:ind w:left="5040" w:hanging="360"/>
      </w:pPr>
      <w:rPr>
        <w:rFonts w:ascii="Symbol" w:eastAsia="Symbol" w:hAnsi="Symbol" w:cs="Symbol" w:hint="default"/>
      </w:rPr>
    </w:lvl>
    <w:lvl w:ilvl="7" w:tplc="2E20C64C">
      <w:start w:val="1"/>
      <w:numFmt w:val="bullet"/>
      <w:lvlText w:val="o"/>
      <w:lvlJc w:val="left"/>
      <w:pPr>
        <w:ind w:left="5760" w:hanging="360"/>
      </w:pPr>
      <w:rPr>
        <w:rFonts w:ascii="Courier New" w:eastAsia="Courier New" w:hAnsi="Courier New" w:cs="Courier New" w:hint="default"/>
      </w:rPr>
    </w:lvl>
    <w:lvl w:ilvl="8" w:tplc="0582C96A">
      <w:start w:val="1"/>
      <w:numFmt w:val="bullet"/>
      <w:lvlText w:val="§"/>
      <w:lvlJc w:val="left"/>
      <w:pPr>
        <w:ind w:left="6480" w:hanging="360"/>
      </w:pPr>
      <w:rPr>
        <w:rFonts w:ascii="Wingdings" w:eastAsia="Wingdings" w:hAnsi="Wingdings" w:cs="Wingdings" w:hint="default"/>
      </w:rPr>
    </w:lvl>
  </w:abstractNum>
  <w:abstractNum w:abstractNumId="107">
    <w:nsid w:val="62B7422A"/>
    <w:multiLevelType w:val="hybridMultilevel"/>
    <w:tmpl w:val="12BE89B6"/>
    <w:lvl w:ilvl="0" w:tplc="8EDE6EAE">
      <w:start w:val="1"/>
      <w:numFmt w:val="decimal"/>
      <w:lvlText w:val="%1."/>
      <w:lvlJc w:val="right"/>
      <w:pPr>
        <w:ind w:left="709" w:hanging="360"/>
      </w:pPr>
    </w:lvl>
    <w:lvl w:ilvl="1" w:tplc="626660A4">
      <w:start w:val="1"/>
      <w:numFmt w:val="lowerLetter"/>
      <w:lvlText w:val="%2."/>
      <w:lvlJc w:val="left"/>
      <w:pPr>
        <w:ind w:left="1429" w:hanging="360"/>
      </w:pPr>
    </w:lvl>
    <w:lvl w:ilvl="2" w:tplc="F162F0B6">
      <w:start w:val="1"/>
      <w:numFmt w:val="lowerRoman"/>
      <w:lvlText w:val="%3."/>
      <w:lvlJc w:val="right"/>
      <w:pPr>
        <w:ind w:left="2149" w:hanging="180"/>
      </w:pPr>
    </w:lvl>
    <w:lvl w:ilvl="3" w:tplc="3008F182">
      <w:start w:val="1"/>
      <w:numFmt w:val="decimal"/>
      <w:lvlText w:val="%4."/>
      <w:lvlJc w:val="left"/>
      <w:pPr>
        <w:ind w:left="2869" w:hanging="360"/>
      </w:pPr>
    </w:lvl>
    <w:lvl w:ilvl="4" w:tplc="C9DECCA6">
      <w:start w:val="1"/>
      <w:numFmt w:val="lowerLetter"/>
      <w:lvlText w:val="%5."/>
      <w:lvlJc w:val="left"/>
      <w:pPr>
        <w:ind w:left="3589" w:hanging="360"/>
      </w:pPr>
    </w:lvl>
    <w:lvl w:ilvl="5" w:tplc="B914E5FA">
      <w:start w:val="1"/>
      <w:numFmt w:val="lowerRoman"/>
      <w:lvlText w:val="%6."/>
      <w:lvlJc w:val="right"/>
      <w:pPr>
        <w:ind w:left="4309" w:hanging="180"/>
      </w:pPr>
    </w:lvl>
    <w:lvl w:ilvl="6" w:tplc="642A06DA">
      <w:start w:val="1"/>
      <w:numFmt w:val="decimal"/>
      <w:lvlText w:val="%7."/>
      <w:lvlJc w:val="left"/>
      <w:pPr>
        <w:ind w:left="5029" w:hanging="360"/>
      </w:pPr>
    </w:lvl>
    <w:lvl w:ilvl="7" w:tplc="16BC9B18">
      <w:start w:val="1"/>
      <w:numFmt w:val="lowerLetter"/>
      <w:lvlText w:val="%8."/>
      <w:lvlJc w:val="left"/>
      <w:pPr>
        <w:ind w:left="5749" w:hanging="360"/>
      </w:pPr>
    </w:lvl>
    <w:lvl w:ilvl="8" w:tplc="7F3CB838">
      <w:start w:val="1"/>
      <w:numFmt w:val="lowerRoman"/>
      <w:lvlText w:val="%9."/>
      <w:lvlJc w:val="right"/>
      <w:pPr>
        <w:ind w:left="6469" w:hanging="180"/>
      </w:pPr>
    </w:lvl>
  </w:abstractNum>
  <w:abstractNum w:abstractNumId="108">
    <w:nsid w:val="63E758AA"/>
    <w:multiLevelType w:val="hybridMultilevel"/>
    <w:tmpl w:val="5B762AA0"/>
    <w:lvl w:ilvl="0" w:tplc="8AC2A3F0">
      <w:start w:val="1"/>
      <w:numFmt w:val="bullet"/>
      <w:lvlText w:val="–"/>
      <w:lvlJc w:val="left"/>
      <w:pPr>
        <w:ind w:left="720" w:hanging="360"/>
      </w:pPr>
      <w:rPr>
        <w:rFonts w:ascii="Arial" w:eastAsia="Arial" w:hAnsi="Arial" w:cs="Arial"/>
      </w:rPr>
    </w:lvl>
    <w:lvl w:ilvl="1" w:tplc="B68A4F54">
      <w:start w:val="1"/>
      <w:numFmt w:val="bullet"/>
      <w:lvlText w:val="o"/>
      <w:lvlJc w:val="left"/>
      <w:pPr>
        <w:ind w:left="1440" w:hanging="360"/>
      </w:pPr>
      <w:rPr>
        <w:rFonts w:ascii="Courier New" w:eastAsia="Courier New" w:hAnsi="Courier New" w:cs="Courier New" w:hint="default"/>
      </w:rPr>
    </w:lvl>
    <w:lvl w:ilvl="2" w:tplc="B73887C4">
      <w:start w:val="1"/>
      <w:numFmt w:val="bullet"/>
      <w:lvlText w:val="§"/>
      <w:lvlJc w:val="left"/>
      <w:pPr>
        <w:ind w:left="2160" w:hanging="360"/>
      </w:pPr>
      <w:rPr>
        <w:rFonts w:ascii="Wingdings" w:eastAsia="Wingdings" w:hAnsi="Wingdings" w:cs="Wingdings" w:hint="default"/>
      </w:rPr>
    </w:lvl>
    <w:lvl w:ilvl="3" w:tplc="ED9633D6">
      <w:start w:val="1"/>
      <w:numFmt w:val="bullet"/>
      <w:lvlText w:val="·"/>
      <w:lvlJc w:val="left"/>
      <w:pPr>
        <w:ind w:left="2880" w:hanging="360"/>
      </w:pPr>
      <w:rPr>
        <w:rFonts w:ascii="Symbol" w:eastAsia="Symbol" w:hAnsi="Symbol" w:cs="Symbol" w:hint="default"/>
      </w:rPr>
    </w:lvl>
    <w:lvl w:ilvl="4" w:tplc="E606F966">
      <w:start w:val="1"/>
      <w:numFmt w:val="bullet"/>
      <w:lvlText w:val="o"/>
      <w:lvlJc w:val="left"/>
      <w:pPr>
        <w:ind w:left="3600" w:hanging="360"/>
      </w:pPr>
      <w:rPr>
        <w:rFonts w:ascii="Courier New" w:eastAsia="Courier New" w:hAnsi="Courier New" w:cs="Courier New" w:hint="default"/>
      </w:rPr>
    </w:lvl>
    <w:lvl w:ilvl="5" w:tplc="4516BA6C">
      <w:start w:val="1"/>
      <w:numFmt w:val="bullet"/>
      <w:lvlText w:val="§"/>
      <w:lvlJc w:val="left"/>
      <w:pPr>
        <w:ind w:left="4320" w:hanging="360"/>
      </w:pPr>
      <w:rPr>
        <w:rFonts w:ascii="Wingdings" w:eastAsia="Wingdings" w:hAnsi="Wingdings" w:cs="Wingdings" w:hint="default"/>
      </w:rPr>
    </w:lvl>
    <w:lvl w:ilvl="6" w:tplc="4F04A760">
      <w:start w:val="1"/>
      <w:numFmt w:val="bullet"/>
      <w:lvlText w:val="·"/>
      <w:lvlJc w:val="left"/>
      <w:pPr>
        <w:ind w:left="5040" w:hanging="360"/>
      </w:pPr>
      <w:rPr>
        <w:rFonts w:ascii="Symbol" w:eastAsia="Symbol" w:hAnsi="Symbol" w:cs="Symbol" w:hint="default"/>
      </w:rPr>
    </w:lvl>
    <w:lvl w:ilvl="7" w:tplc="959AD744">
      <w:start w:val="1"/>
      <w:numFmt w:val="bullet"/>
      <w:lvlText w:val="o"/>
      <w:lvlJc w:val="left"/>
      <w:pPr>
        <w:ind w:left="5760" w:hanging="360"/>
      </w:pPr>
      <w:rPr>
        <w:rFonts w:ascii="Courier New" w:eastAsia="Courier New" w:hAnsi="Courier New" w:cs="Courier New" w:hint="default"/>
      </w:rPr>
    </w:lvl>
    <w:lvl w:ilvl="8" w:tplc="C3566F0A">
      <w:start w:val="1"/>
      <w:numFmt w:val="bullet"/>
      <w:lvlText w:val="§"/>
      <w:lvlJc w:val="left"/>
      <w:pPr>
        <w:ind w:left="6480" w:hanging="360"/>
      </w:pPr>
      <w:rPr>
        <w:rFonts w:ascii="Wingdings" w:eastAsia="Wingdings" w:hAnsi="Wingdings" w:cs="Wingdings" w:hint="default"/>
      </w:rPr>
    </w:lvl>
  </w:abstractNum>
  <w:abstractNum w:abstractNumId="109">
    <w:nsid w:val="67946A09"/>
    <w:multiLevelType w:val="hybridMultilevel"/>
    <w:tmpl w:val="51C6B0AC"/>
    <w:lvl w:ilvl="0" w:tplc="289400E0">
      <w:start w:val="1"/>
      <w:numFmt w:val="bullet"/>
      <w:lvlText w:val="–"/>
      <w:lvlJc w:val="left"/>
      <w:pPr>
        <w:ind w:left="720" w:hanging="360"/>
      </w:pPr>
      <w:rPr>
        <w:rFonts w:ascii="Arial" w:eastAsia="Arial" w:hAnsi="Arial" w:cs="Arial"/>
      </w:rPr>
    </w:lvl>
    <w:lvl w:ilvl="1" w:tplc="E21CD3C2">
      <w:start w:val="1"/>
      <w:numFmt w:val="bullet"/>
      <w:lvlText w:val="o"/>
      <w:lvlJc w:val="left"/>
      <w:pPr>
        <w:ind w:left="1440" w:hanging="360"/>
      </w:pPr>
      <w:rPr>
        <w:rFonts w:ascii="Courier New" w:eastAsia="Courier New" w:hAnsi="Courier New" w:cs="Courier New" w:hint="default"/>
      </w:rPr>
    </w:lvl>
    <w:lvl w:ilvl="2" w:tplc="74D0AE50">
      <w:start w:val="1"/>
      <w:numFmt w:val="bullet"/>
      <w:lvlText w:val="§"/>
      <w:lvlJc w:val="left"/>
      <w:pPr>
        <w:ind w:left="2160" w:hanging="360"/>
      </w:pPr>
      <w:rPr>
        <w:rFonts w:ascii="Wingdings" w:eastAsia="Wingdings" w:hAnsi="Wingdings" w:cs="Wingdings" w:hint="default"/>
      </w:rPr>
    </w:lvl>
    <w:lvl w:ilvl="3" w:tplc="A866BDC0">
      <w:start w:val="1"/>
      <w:numFmt w:val="bullet"/>
      <w:lvlText w:val="·"/>
      <w:lvlJc w:val="left"/>
      <w:pPr>
        <w:ind w:left="2880" w:hanging="360"/>
      </w:pPr>
      <w:rPr>
        <w:rFonts w:ascii="Symbol" w:eastAsia="Symbol" w:hAnsi="Symbol" w:cs="Symbol" w:hint="default"/>
      </w:rPr>
    </w:lvl>
    <w:lvl w:ilvl="4" w:tplc="FF425294">
      <w:start w:val="1"/>
      <w:numFmt w:val="bullet"/>
      <w:lvlText w:val="o"/>
      <w:lvlJc w:val="left"/>
      <w:pPr>
        <w:ind w:left="3600" w:hanging="360"/>
      </w:pPr>
      <w:rPr>
        <w:rFonts w:ascii="Courier New" w:eastAsia="Courier New" w:hAnsi="Courier New" w:cs="Courier New" w:hint="default"/>
      </w:rPr>
    </w:lvl>
    <w:lvl w:ilvl="5" w:tplc="69DA5266">
      <w:start w:val="1"/>
      <w:numFmt w:val="bullet"/>
      <w:lvlText w:val="§"/>
      <w:lvlJc w:val="left"/>
      <w:pPr>
        <w:ind w:left="4320" w:hanging="360"/>
      </w:pPr>
      <w:rPr>
        <w:rFonts w:ascii="Wingdings" w:eastAsia="Wingdings" w:hAnsi="Wingdings" w:cs="Wingdings" w:hint="default"/>
      </w:rPr>
    </w:lvl>
    <w:lvl w:ilvl="6" w:tplc="A5E48A08">
      <w:start w:val="1"/>
      <w:numFmt w:val="bullet"/>
      <w:lvlText w:val="·"/>
      <w:lvlJc w:val="left"/>
      <w:pPr>
        <w:ind w:left="5040" w:hanging="360"/>
      </w:pPr>
      <w:rPr>
        <w:rFonts w:ascii="Symbol" w:eastAsia="Symbol" w:hAnsi="Symbol" w:cs="Symbol" w:hint="default"/>
      </w:rPr>
    </w:lvl>
    <w:lvl w:ilvl="7" w:tplc="DA824922">
      <w:start w:val="1"/>
      <w:numFmt w:val="bullet"/>
      <w:lvlText w:val="o"/>
      <w:lvlJc w:val="left"/>
      <w:pPr>
        <w:ind w:left="5760" w:hanging="360"/>
      </w:pPr>
      <w:rPr>
        <w:rFonts w:ascii="Courier New" w:eastAsia="Courier New" w:hAnsi="Courier New" w:cs="Courier New" w:hint="default"/>
      </w:rPr>
    </w:lvl>
    <w:lvl w:ilvl="8" w:tplc="010C9A5C">
      <w:start w:val="1"/>
      <w:numFmt w:val="bullet"/>
      <w:lvlText w:val="§"/>
      <w:lvlJc w:val="left"/>
      <w:pPr>
        <w:ind w:left="6480" w:hanging="360"/>
      </w:pPr>
      <w:rPr>
        <w:rFonts w:ascii="Wingdings" w:eastAsia="Wingdings" w:hAnsi="Wingdings" w:cs="Wingdings" w:hint="default"/>
      </w:rPr>
    </w:lvl>
  </w:abstractNum>
  <w:abstractNum w:abstractNumId="110">
    <w:nsid w:val="68525BEA"/>
    <w:multiLevelType w:val="hybridMultilevel"/>
    <w:tmpl w:val="F4726688"/>
    <w:lvl w:ilvl="0" w:tplc="EFA08082">
      <w:start w:val="1"/>
      <w:numFmt w:val="bullet"/>
      <w:lvlText w:val="–"/>
      <w:lvlJc w:val="left"/>
      <w:pPr>
        <w:ind w:left="720" w:hanging="360"/>
      </w:pPr>
      <w:rPr>
        <w:rFonts w:ascii="Arial" w:eastAsia="Arial" w:hAnsi="Arial" w:cs="Arial"/>
      </w:rPr>
    </w:lvl>
    <w:lvl w:ilvl="1" w:tplc="934AFEB0">
      <w:start w:val="1"/>
      <w:numFmt w:val="bullet"/>
      <w:lvlText w:val="o"/>
      <w:lvlJc w:val="left"/>
      <w:pPr>
        <w:ind w:left="1440" w:hanging="360"/>
      </w:pPr>
      <w:rPr>
        <w:rFonts w:ascii="Courier New" w:eastAsia="Courier New" w:hAnsi="Courier New" w:cs="Courier New" w:hint="default"/>
      </w:rPr>
    </w:lvl>
    <w:lvl w:ilvl="2" w:tplc="3656F00E">
      <w:start w:val="1"/>
      <w:numFmt w:val="bullet"/>
      <w:lvlText w:val="§"/>
      <w:lvlJc w:val="left"/>
      <w:pPr>
        <w:ind w:left="2160" w:hanging="360"/>
      </w:pPr>
      <w:rPr>
        <w:rFonts w:ascii="Wingdings" w:eastAsia="Wingdings" w:hAnsi="Wingdings" w:cs="Wingdings" w:hint="default"/>
      </w:rPr>
    </w:lvl>
    <w:lvl w:ilvl="3" w:tplc="F4D2D612">
      <w:start w:val="1"/>
      <w:numFmt w:val="bullet"/>
      <w:lvlText w:val="·"/>
      <w:lvlJc w:val="left"/>
      <w:pPr>
        <w:ind w:left="2880" w:hanging="360"/>
      </w:pPr>
      <w:rPr>
        <w:rFonts w:ascii="Symbol" w:eastAsia="Symbol" w:hAnsi="Symbol" w:cs="Symbol" w:hint="default"/>
      </w:rPr>
    </w:lvl>
    <w:lvl w:ilvl="4" w:tplc="2A2403D6">
      <w:start w:val="1"/>
      <w:numFmt w:val="bullet"/>
      <w:lvlText w:val="o"/>
      <w:lvlJc w:val="left"/>
      <w:pPr>
        <w:ind w:left="3600" w:hanging="360"/>
      </w:pPr>
      <w:rPr>
        <w:rFonts w:ascii="Courier New" w:eastAsia="Courier New" w:hAnsi="Courier New" w:cs="Courier New" w:hint="default"/>
      </w:rPr>
    </w:lvl>
    <w:lvl w:ilvl="5" w:tplc="9B78F59E">
      <w:start w:val="1"/>
      <w:numFmt w:val="bullet"/>
      <w:lvlText w:val="§"/>
      <w:lvlJc w:val="left"/>
      <w:pPr>
        <w:ind w:left="4320" w:hanging="360"/>
      </w:pPr>
      <w:rPr>
        <w:rFonts w:ascii="Wingdings" w:eastAsia="Wingdings" w:hAnsi="Wingdings" w:cs="Wingdings" w:hint="default"/>
      </w:rPr>
    </w:lvl>
    <w:lvl w:ilvl="6" w:tplc="4EAC6B02">
      <w:start w:val="1"/>
      <w:numFmt w:val="bullet"/>
      <w:lvlText w:val="·"/>
      <w:lvlJc w:val="left"/>
      <w:pPr>
        <w:ind w:left="5040" w:hanging="360"/>
      </w:pPr>
      <w:rPr>
        <w:rFonts w:ascii="Symbol" w:eastAsia="Symbol" w:hAnsi="Symbol" w:cs="Symbol" w:hint="default"/>
      </w:rPr>
    </w:lvl>
    <w:lvl w:ilvl="7" w:tplc="C4962BEE">
      <w:start w:val="1"/>
      <w:numFmt w:val="bullet"/>
      <w:lvlText w:val="o"/>
      <w:lvlJc w:val="left"/>
      <w:pPr>
        <w:ind w:left="5760" w:hanging="360"/>
      </w:pPr>
      <w:rPr>
        <w:rFonts w:ascii="Courier New" w:eastAsia="Courier New" w:hAnsi="Courier New" w:cs="Courier New" w:hint="default"/>
      </w:rPr>
    </w:lvl>
    <w:lvl w:ilvl="8" w:tplc="98986DD2">
      <w:start w:val="1"/>
      <w:numFmt w:val="bullet"/>
      <w:lvlText w:val="§"/>
      <w:lvlJc w:val="left"/>
      <w:pPr>
        <w:ind w:left="6480" w:hanging="360"/>
      </w:pPr>
      <w:rPr>
        <w:rFonts w:ascii="Wingdings" w:eastAsia="Wingdings" w:hAnsi="Wingdings" w:cs="Wingdings" w:hint="default"/>
      </w:rPr>
    </w:lvl>
  </w:abstractNum>
  <w:abstractNum w:abstractNumId="111">
    <w:nsid w:val="68BD6DEA"/>
    <w:multiLevelType w:val="hybridMultilevel"/>
    <w:tmpl w:val="F0DE0EEC"/>
    <w:lvl w:ilvl="0" w:tplc="E8AE169A">
      <w:start w:val="1"/>
      <w:numFmt w:val="bullet"/>
      <w:lvlText w:val="–"/>
      <w:lvlJc w:val="left"/>
      <w:pPr>
        <w:ind w:left="720" w:hanging="360"/>
      </w:pPr>
      <w:rPr>
        <w:rFonts w:ascii="Arial" w:eastAsia="Arial" w:hAnsi="Arial" w:cs="Arial"/>
      </w:rPr>
    </w:lvl>
    <w:lvl w:ilvl="1" w:tplc="6B309294">
      <w:start w:val="1"/>
      <w:numFmt w:val="bullet"/>
      <w:lvlText w:val="o"/>
      <w:lvlJc w:val="left"/>
      <w:pPr>
        <w:ind w:left="1440" w:hanging="360"/>
      </w:pPr>
      <w:rPr>
        <w:rFonts w:ascii="Courier New" w:eastAsia="Courier New" w:hAnsi="Courier New" w:cs="Courier New" w:hint="default"/>
      </w:rPr>
    </w:lvl>
    <w:lvl w:ilvl="2" w:tplc="B1047214">
      <w:start w:val="1"/>
      <w:numFmt w:val="bullet"/>
      <w:lvlText w:val="§"/>
      <w:lvlJc w:val="left"/>
      <w:pPr>
        <w:ind w:left="2160" w:hanging="360"/>
      </w:pPr>
      <w:rPr>
        <w:rFonts w:ascii="Wingdings" w:eastAsia="Wingdings" w:hAnsi="Wingdings" w:cs="Wingdings" w:hint="default"/>
      </w:rPr>
    </w:lvl>
    <w:lvl w:ilvl="3" w:tplc="ECC84C9E">
      <w:start w:val="1"/>
      <w:numFmt w:val="bullet"/>
      <w:lvlText w:val="·"/>
      <w:lvlJc w:val="left"/>
      <w:pPr>
        <w:ind w:left="2880" w:hanging="360"/>
      </w:pPr>
      <w:rPr>
        <w:rFonts w:ascii="Symbol" w:eastAsia="Symbol" w:hAnsi="Symbol" w:cs="Symbol" w:hint="default"/>
      </w:rPr>
    </w:lvl>
    <w:lvl w:ilvl="4" w:tplc="A7AE68B4">
      <w:start w:val="1"/>
      <w:numFmt w:val="bullet"/>
      <w:lvlText w:val="o"/>
      <w:lvlJc w:val="left"/>
      <w:pPr>
        <w:ind w:left="3600" w:hanging="360"/>
      </w:pPr>
      <w:rPr>
        <w:rFonts w:ascii="Courier New" w:eastAsia="Courier New" w:hAnsi="Courier New" w:cs="Courier New" w:hint="default"/>
      </w:rPr>
    </w:lvl>
    <w:lvl w:ilvl="5" w:tplc="2D3E0B86">
      <w:start w:val="1"/>
      <w:numFmt w:val="bullet"/>
      <w:lvlText w:val="§"/>
      <w:lvlJc w:val="left"/>
      <w:pPr>
        <w:ind w:left="4320" w:hanging="360"/>
      </w:pPr>
      <w:rPr>
        <w:rFonts w:ascii="Wingdings" w:eastAsia="Wingdings" w:hAnsi="Wingdings" w:cs="Wingdings" w:hint="default"/>
      </w:rPr>
    </w:lvl>
    <w:lvl w:ilvl="6" w:tplc="8E40B140">
      <w:start w:val="1"/>
      <w:numFmt w:val="bullet"/>
      <w:lvlText w:val="·"/>
      <w:lvlJc w:val="left"/>
      <w:pPr>
        <w:ind w:left="5040" w:hanging="360"/>
      </w:pPr>
      <w:rPr>
        <w:rFonts w:ascii="Symbol" w:eastAsia="Symbol" w:hAnsi="Symbol" w:cs="Symbol" w:hint="default"/>
      </w:rPr>
    </w:lvl>
    <w:lvl w:ilvl="7" w:tplc="7948518C">
      <w:start w:val="1"/>
      <w:numFmt w:val="bullet"/>
      <w:lvlText w:val="o"/>
      <w:lvlJc w:val="left"/>
      <w:pPr>
        <w:ind w:left="5760" w:hanging="360"/>
      </w:pPr>
      <w:rPr>
        <w:rFonts w:ascii="Courier New" w:eastAsia="Courier New" w:hAnsi="Courier New" w:cs="Courier New" w:hint="default"/>
      </w:rPr>
    </w:lvl>
    <w:lvl w:ilvl="8" w:tplc="D5025C06">
      <w:start w:val="1"/>
      <w:numFmt w:val="bullet"/>
      <w:lvlText w:val="§"/>
      <w:lvlJc w:val="left"/>
      <w:pPr>
        <w:ind w:left="6480" w:hanging="360"/>
      </w:pPr>
      <w:rPr>
        <w:rFonts w:ascii="Wingdings" w:eastAsia="Wingdings" w:hAnsi="Wingdings" w:cs="Wingdings" w:hint="default"/>
      </w:rPr>
    </w:lvl>
  </w:abstractNum>
  <w:abstractNum w:abstractNumId="112">
    <w:nsid w:val="68E97DC2"/>
    <w:multiLevelType w:val="hybridMultilevel"/>
    <w:tmpl w:val="A000C99A"/>
    <w:lvl w:ilvl="0" w:tplc="D122A0D8">
      <w:start w:val="1"/>
      <w:numFmt w:val="bullet"/>
      <w:lvlText w:val="–"/>
      <w:lvlJc w:val="left"/>
      <w:pPr>
        <w:ind w:left="720" w:hanging="360"/>
      </w:pPr>
      <w:rPr>
        <w:rFonts w:ascii="Arial" w:eastAsia="Arial" w:hAnsi="Arial" w:cs="Arial"/>
      </w:rPr>
    </w:lvl>
    <w:lvl w:ilvl="1" w:tplc="0D7C8F4E">
      <w:start w:val="1"/>
      <w:numFmt w:val="bullet"/>
      <w:lvlText w:val="o"/>
      <w:lvlJc w:val="left"/>
      <w:pPr>
        <w:ind w:left="1440" w:hanging="360"/>
      </w:pPr>
      <w:rPr>
        <w:rFonts w:ascii="Courier New" w:eastAsia="Courier New" w:hAnsi="Courier New" w:cs="Courier New" w:hint="default"/>
      </w:rPr>
    </w:lvl>
    <w:lvl w:ilvl="2" w:tplc="211A4128">
      <w:start w:val="1"/>
      <w:numFmt w:val="bullet"/>
      <w:lvlText w:val="§"/>
      <w:lvlJc w:val="left"/>
      <w:pPr>
        <w:ind w:left="2160" w:hanging="360"/>
      </w:pPr>
      <w:rPr>
        <w:rFonts w:ascii="Wingdings" w:eastAsia="Wingdings" w:hAnsi="Wingdings" w:cs="Wingdings" w:hint="default"/>
      </w:rPr>
    </w:lvl>
    <w:lvl w:ilvl="3" w:tplc="1FD4481A">
      <w:start w:val="1"/>
      <w:numFmt w:val="bullet"/>
      <w:lvlText w:val="·"/>
      <w:lvlJc w:val="left"/>
      <w:pPr>
        <w:ind w:left="2880" w:hanging="360"/>
      </w:pPr>
      <w:rPr>
        <w:rFonts w:ascii="Symbol" w:eastAsia="Symbol" w:hAnsi="Symbol" w:cs="Symbol" w:hint="default"/>
      </w:rPr>
    </w:lvl>
    <w:lvl w:ilvl="4" w:tplc="6BE809F0">
      <w:start w:val="1"/>
      <w:numFmt w:val="bullet"/>
      <w:lvlText w:val="o"/>
      <w:lvlJc w:val="left"/>
      <w:pPr>
        <w:ind w:left="3600" w:hanging="360"/>
      </w:pPr>
      <w:rPr>
        <w:rFonts w:ascii="Courier New" w:eastAsia="Courier New" w:hAnsi="Courier New" w:cs="Courier New" w:hint="default"/>
      </w:rPr>
    </w:lvl>
    <w:lvl w:ilvl="5" w:tplc="91422F0C">
      <w:start w:val="1"/>
      <w:numFmt w:val="bullet"/>
      <w:lvlText w:val="§"/>
      <w:lvlJc w:val="left"/>
      <w:pPr>
        <w:ind w:left="4320" w:hanging="360"/>
      </w:pPr>
      <w:rPr>
        <w:rFonts w:ascii="Wingdings" w:eastAsia="Wingdings" w:hAnsi="Wingdings" w:cs="Wingdings" w:hint="default"/>
      </w:rPr>
    </w:lvl>
    <w:lvl w:ilvl="6" w:tplc="3FEEDF50">
      <w:start w:val="1"/>
      <w:numFmt w:val="bullet"/>
      <w:lvlText w:val="·"/>
      <w:lvlJc w:val="left"/>
      <w:pPr>
        <w:ind w:left="5040" w:hanging="360"/>
      </w:pPr>
      <w:rPr>
        <w:rFonts w:ascii="Symbol" w:eastAsia="Symbol" w:hAnsi="Symbol" w:cs="Symbol" w:hint="default"/>
      </w:rPr>
    </w:lvl>
    <w:lvl w:ilvl="7" w:tplc="9DF44616">
      <w:start w:val="1"/>
      <w:numFmt w:val="bullet"/>
      <w:lvlText w:val="o"/>
      <w:lvlJc w:val="left"/>
      <w:pPr>
        <w:ind w:left="5760" w:hanging="360"/>
      </w:pPr>
      <w:rPr>
        <w:rFonts w:ascii="Courier New" w:eastAsia="Courier New" w:hAnsi="Courier New" w:cs="Courier New" w:hint="default"/>
      </w:rPr>
    </w:lvl>
    <w:lvl w:ilvl="8" w:tplc="27FAFCA2">
      <w:start w:val="1"/>
      <w:numFmt w:val="bullet"/>
      <w:lvlText w:val="§"/>
      <w:lvlJc w:val="left"/>
      <w:pPr>
        <w:ind w:left="6480" w:hanging="360"/>
      </w:pPr>
      <w:rPr>
        <w:rFonts w:ascii="Wingdings" w:eastAsia="Wingdings" w:hAnsi="Wingdings" w:cs="Wingdings" w:hint="default"/>
      </w:rPr>
    </w:lvl>
  </w:abstractNum>
  <w:abstractNum w:abstractNumId="113">
    <w:nsid w:val="690C467A"/>
    <w:multiLevelType w:val="hybridMultilevel"/>
    <w:tmpl w:val="CF5ED7BC"/>
    <w:lvl w:ilvl="0" w:tplc="BF883436">
      <w:start w:val="1"/>
      <w:numFmt w:val="decimal"/>
      <w:lvlText w:val="%1."/>
      <w:lvlJc w:val="left"/>
      <w:pPr>
        <w:ind w:left="1417" w:hanging="360"/>
      </w:pPr>
    </w:lvl>
    <w:lvl w:ilvl="1" w:tplc="62C493A6">
      <w:start w:val="1"/>
      <w:numFmt w:val="lowerLetter"/>
      <w:lvlText w:val="%2."/>
      <w:lvlJc w:val="left"/>
      <w:pPr>
        <w:ind w:left="2137" w:hanging="360"/>
      </w:pPr>
    </w:lvl>
    <w:lvl w:ilvl="2" w:tplc="D812DE68">
      <w:start w:val="1"/>
      <w:numFmt w:val="lowerRoman"/>
      <w:lvlText w:val="%3."/>
      <w:lvlJc w:val="right"/>
      <w:pPr>
        <w:ind w:left="2857" w:hanging="180"/>
      </w:pPr>
    </w:lvl>
    <w:lvl w:ilvl="3" w:tplc="BD4A5D1A">
      <w:start w:val="1"/>
      <w:numFmt w:val="decimal"/>
      <w:lvlText w:val="%4."/>
      <w:lvlJc w:val="left"/>
      <w:pPr>
        <w:ind w:left="3577" w:hanging="360"/>
      </w:pPr>
    </w:lvl>
    <w:lvl w:ilvl="4" w:tplc="303CF074">
      <w:start w:val="1"/>
      <w:numFmt w:val="lowerLetter"/>
      <w:lvlText w:val="%5."/>
      <w:lvlJc w:val="left"/>
      <w:pPr>
        <w:ind w:left="4297" w:hanging="360"/>
      </w:pPr>
    </w:lvl>
    <w:lvl w:ilvl="5" w:tplc="40EADD08">
      <w:start w:val="1"/>
      <w:numFmt w:val="lowerRoman"/>
      <w:lvlText w:val="%6."/>
      <w:lvlJc w:val="right"/>
      <w:pPr>
        <w:ind w:left="5017" w:hanging="180"/>
      </w:pPr>
    </w:lvl>
    <w:lvl w:ilvl="6" w:tplc="3E7EE736">
      <w:start w:val="1"/>
      <w:numFmt w:val="decimal"/>
      <w:lvlText w:val="%7."/>
      <w:lvlJc w:val="left"/>
      <w:pPr>
        <w:ind w:left="5737" w:hanging="360"/>
      </w:pPr>
    </w:lvl>
    <w:lvl w:ilvl="7" w:tplc="BE44C822">
      <w:start w:val="1"/>
      <w:numFmt w:val="lowerLetter"/>
      <w:lvlText w:val="%8."/>
      <w:lvlJc w:val="left"/>
      <w:pPr>
        <w:ind w:left="6457" w:hanging="360"/>
      </w:pPr>
    </w:lvl>
    <w:lvl w:ilvl="8" w:tplc="6B0E82EC">
      <w:start w:val="1"/>
      <w:numFmt w:val="lowerRoman"/>
      <w:lvlText w:val="%9."/>
      <w:lvlJc w:val="right"/>
      <w:pPr>
        <w:ind w:left="7177" w:hanging="180"/>
      </w:pPr>
    </w:lvl>
  </w:abstractNum>
  <w:abstractNum w:abstractNumId="114">
    <w:nsid w:val="69181CC8"/>
    <w:multiLevelType w:val="multilevel"/>
    <w:tmpl w:val="C744206E"/>
    <w:lvl w:ilvl="0">
      <w:start w:val="1"/>
      <w:numFmt w:val="bullet"/>
      <w:lvlText w:val="–"/>
      <w:lvlJc w:val="left"/>
      <w:pPr>
        <w:tabs>
          <w:tab w:val="num" w:pos="720"/>
        </w:tabs>
        <w:ind w:left="720" w:hanging="360"/>
      </w:pPr>
      <w:rPr>
        <w:rFonts w:ascii="Arial" w:eastAsia="Arial" w:hAnsi="Arial" w:cs="Aria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5">
    <w:nsid w:val="6AB144DF"/>
    <w:multiLevelType w:val="hybridMultilevel"/>
    <w:tmpl w:val="DDBCF5E8"/>
    <w:lvl w:ilvl="0" w:tplc="4C782B6A">
      <w:start w:val="1"/>
      <w:numFmt w:val="bullet"/>
      <w:lvlText w:val="–"/>
      <w:lvlJc w:val="left"/>
      <w:pPr>
        <w:ind w:left="720" w:hanging="360"/>
      </w:pPr>
      <w:rPr>
        <w:rFonts w:ascii="Arial" w:eastAsia="Arial" w:hAnsi="Arial" w:cs="Arial"/>
      </w:rPr>
    </w:lvl>
    <w:lvl w:ilvl="1" w:tplc="0FCA2EE0">
      <w:start w:val="1"/>
      <w:numFmt w:val="bullet"/>
      <w:lvlText w:val="o"/>
      <w:lvlJc w:val="left"/>
      <w:pPr>
        <w:ind w:left="1440" w:hanging="360"/>
      </w:pPr>
      <w:rPr>
        <w:rFonts w:ascii="Courier New" w:eastAsia="Courier New" w:hAnsi="Courier New" w:cs="Courier New" w:hint="default"/>
      </w:rPr>
    </w:lvl>
    <w:lvl w:ilvl="2" w:tplc="B57C0E86">
      <w:start w:val="1"/>
      <w:numFmt w:val="bullet"/>
      <w:lvlText w:val="§"/>
      <w:lvlJc w:val="left"/>
      <w:pPr>
        <w:ind w:left="2160" w:hanging="360"/>
      </w:pPr>
      <w:rPr>
        <w:rFonts w:ascii="Wingdings" w:eastAsia="Wingdings" w:hAnsi="Wingdings" w:cs="Wingdings" w:hint="default"/>
      </w:rPr>
    </w:lvl>
    <w:lvl w:ilvl="3" w:tplc="923A31AA">
      <w:start w:val="1"/>
      <w:numFmt w:val="bullet"/>
      <w:lvlText w:val="·"/>
      <w:lvlJc w:val="left"/>
      <w:pPr>
        <w:ind w:left="2880" w:hanging="360"/>
      </w:pPr>
      <w:rPr>
        <w:rFonts w:ascii="Symbol" w:eastAsia="Symbol" w:hAnsi="Symbol" w:cs="Symbol" w:hint="default"/>
      </w:rPr>
    </w:lvl>
    <w:lvl w:ilvl="4" w:tplc="B388DB3C">
      <w:start w:val="1"/>
      <w:numFmt w:val="bullet"/>
      <w:lvlText w:val="o"/>
      <w:lvlJc w:val="left"/>
      <w:pPr>
        <w:ind w:left="3600" w:hanging="360"/>
      </w:pPr>
      <w:rPr>
        <w:rFonts w:ascii="Courier New" w:eastAsia="Courier New" w:hAnsi="Courier New" w:cs="Courier New" w:hint="default"/>
      </w:rPr>
    </w:lvl>
    <w:lvl w:ilvl="5" w:tplc="049C1BE2">
      <w:start w:val="1"/>
      <w:numFmt w:val="bullet"/>
      <w:lvlText w:val="§"/>
      <w:lvlJc w:val="left"/>
      <w:pPr>
        <w:ind w:left="4320" w:hanging="360"/>
      </w:pPr>
      <w:rPr>
        <w:rFonts w:ascii="Wingdings" w:eastAsia="Wingdings" w:hAnsi="Wingdings" w:cs="Wingdings" w:hint="default"/>
      </w:rPr>
    </w:lvl>
    <w:lvl w:ilvl="6" w:tplc="1D3A8D28">
      <w:start w:val="1"/>
      <w:numFmt w:val="bullet"/>
      <w:lvlText w:val="·"/>
      <w:lvlJc w:val="left"/>
      <w:pPr>
        <w:ind w:left="5040" w:hanging="360"/>
      </w:pPr>
      <w:rPr>
        <w:rFonts w:ascii="Symbol" w:eastAsia="Symbol" w:hAnsi="Symbol" w:cs="Symbol" w:hint="default"/>
      </w:rPr>
    </w:lvl>
    <w:lvl w:ilvl="7" w:tplc="A3FA4964">
      <w:start w:val="1"/>
      <w:numFmt w:val="bullet"/>
      <w:lvlText w:val="o"/>
      <w:lvlJc w:val="left"/>
      <w:pPr>
        <w:ind w:left="5760" w:hanging="360"/>
      </w:pPr>
      <w:rPr>
        <w:rFonts w:ascii="Courier New" w:eastAsia="Courier New" w:hAnsi="Courier New" w:cs="Courier New" w:hint="default"/>
      </w:rPr>
    </w:lvl>
    <w:lvl w:ilvl="8" w:tplc="F552D6AE">
      <w:start w:val="1"/>
      <w:numFmt w:val="bullet"/>
      <w:lvlText w:val="§"/>
      <w:lvlJc w:val="left"/>
      <w:pPr>
        <w:ind w:left="6480" w:hanging="360"/>
      </w:pPr>
      <w:rPr>
        <w:rFonts w:ascii="Wingdings" w:eastAsia="Wingdings" w:hAnsi="Wingdings" w:cs="Wingdings" w:hint="default"/>
      </w:rPr>
    </w:lvl>
  </w:abstractNum>
  <w:abstractNum w:abstractNumId="116">
    <w:nsid w:val="6B1140F6"/>
    <w:multiLevelType w:val="hybridMultilevel"/>
    <w:tmpl w:val="B10CCA70"/>
    <w:lvl w:ilvl="0" w:tplc="A5227D72">
      <w:start w:val="1"/>
      <w:numFmt w:val="bullet"/>
      <w:lvlText w:val="–"/>
      <w:lvlJc w:val="left"/>
      <w:pPr>
        <w:ind w:left="720" w:hanging="360"/>
      </w:pPr>
      <w:rPr>
        <w:rFonts w:ascii="Arial" w:eastAsia="Arial" w:hAnsi="Arial" w:cs="Arial"/>
      </w:rPr>
    </w:lvl>
    <w:lvl w:ilvl="1" w:tplc="FE408ABC">
      <w:start w:val="1"/>
      <w:numFmt w:val="bullet"/>
      <w:lvlText w:val="o"/>
      <w:lvlJc w:val="left"/>
      <w:pPr>
        <w:ind w:left="1440" w:hanging="360"/>
      </w:pPr>
      <w:rPr>
        <w:rFonts w:ascii="Courier New" w:eastAsia="Courier New" w:hAnsi="Courier New" w:cs="Courier New" w:hint="default"/>
      </w:rPr>
    </w:lvl>
    <w:lvl w:ilvl="2" w:tplc="F63271B4">
      <w:start w:val="1"/>
      <w:numFmt w:val="bullet"/>
      <w:lvlText w:val="§"/>
      <w:lvlJc w:val="left"/>
      <w:pPr>
        <w:ind w:left="2160" w:hanging="360"/>
      </w:pPr>
      <w:rPr>
        <w:rFonts w:ascii="Wingdings" w:eastAsia="Wingdings" w:hAnsi="Wingdings" w:cs="Wingdings" w:hint="default"/>
      </w:rPr>
    </w:lvl>
    <w:lvl w:ilvl="3" w:tplc="6BE845C8">
      <w:start w:val="1"/>
      <w:numFmt w:val="bullet"/>
      <w:lvlText w:val="·"/>
      <w:lvlJc w:val="left"/>
      <w:pPr>
        <w:ind w:left="2880" w:hanging="360"/>
      </w:pPr>
      <w:rPr>
        <w:rFonts w:ascii="Symbol" w:eastAsia="Symbol" w:hAnsi="Symbol" w:cs="Symbol" w:hint="default"/>
      </w:rPr>
    </w:lvl>
    <w:lvl w:ilvl="4" w:tplc="6E76017E">
      <w:start w:val="1"/>
      <w:numFmt w:val="bullet"/>
      <w:lvlText w:val="o"/>
      <w:lvlJc w:val="left"/>
      <w:pPr>
        <w:ind w:left="3600" w:hanging="360"/>
      </w:pPr>
      <w:rPr>
        <w:rFonts w:ascii="Courier New" w:eastAsia="Courier New" w:hAnsi="Courier New" w:cs="Courier New" w:hint="default"/>
      </w:rPr>
    </w:lvl>
    <w:lvl w:ilvl="5" w:tplc="C14CFAA8">
      <w:start w:val="1"/>
      <w:numFmt w:val="bullet"/>
      <w:lvlText w:val="§"/>
      <w:lvlJc w:val="left"/>
      <w:pPr>
        <w:ind w:left="4320" w:hanging="360"/>
      </w:pPr>
      <w:rPr>
        <w:rFonts w:ascii="Wingdings" w:eastAsia="Wingdings" w:hAnsi="Wingdings" w:cs="Wingdings" w:hint="default"/>
      </w:rPr>
    </w:lvl>
    <w:lvl w:ilvl="6" w:tplc="A0649696">
      <w:start w:val="1"/>
      <w:numFmt w:val="bullet"/>
      <w:lvlText w:val="·"/>
      <w:lvlJc w:val="left"/>
      <w:pPr>
        <w:ind w:left="5040" w:hanging="360"/>
      </w:pPr>
      <w:rPr>
        <w:rFonts w:ascii="Symbol" w:eastAsia="Symbol" w:hAnsi="Symbol" w:cs="Symbol" w:hint="default"/>
      </w:rPr>
    </w:lvl>
    <w:lvl w:ilvl="7" w:tplc="A2DA0172">
      <w:start w:val="1"/>
      <w:numFmt w:val="bullet"/>
      <w:lvlText w:val="o"/>
      <w:lvlJc w:val="left"/>
      <w:pPr>
        <w:ind w:left="5760" w:hanging="360"/>
      </w:pPr>
      <w:rPr>
        <w:rFonts w:ascii="Courier New" w:eastAsia="Courier New" w:hAnsi="Courier New" w:cs="Courier New" w:hint="default"/>
      </w:rPr>
    </w:lvl>
    <w:lvl w:ilvl="8" w:tplc="D8583088">
      <w:start w:val="1"/>
      <w:numFmt w:val="bullet"/>
      <w:lvlText w:val="§"/>
      <w:lvlJc w:val="left"/>
      <w:pPr>
        <w:ind w:left="6480" w:hanging="360"/>
      </w:pPr>
      <w:rPr>
        <w:rFonts w:ascii="Wingdings" w:eastAsia="Wingdings" w:hAnsi="Wingdings" w:cs="Wingdings" w:hint="default"/>
      </w:rPr>
    </w:lvl>
  </w:abstractNum>
  <w:abstractNum w:abstractNumId="117">
    <w:nsid w:val="6BC106EC"/>
    <w:multiLevelType w:val="hybridMultilevel"/>
    <w:tmpl w:val="9F82E52C"/>
    <w:lvl w:ilvl="0" w:tplc="6FB4E674">
      <w:start w:val="1"/>
      <w:numFmt w:val="decimal"/>
      <w:lvlText w:val="%1."/>
      <w:lvlJc w:val="right"/>
      <w:pPr>
        <w:ind w:left="709" w:hanging="360"/>
      </w:pPr>
    </w:lvl>
    <w:lvl w:ilvl="1" w:tplc="87740832">
      <w:start w:val="1"/>
      <w:numFmt w:val="lowerLetter"/>
      <w:lvlText w:val="%2."/>
      <w:lvlJc w:val="left"/>
      <w:pPr>
        <w:ind w:left="1429" w:hanging="360"/>
      </w:pPr>
    </w:lvl>
    <w:lvl w:ilvl="2" w:tplc="BB8A2774">
      <w:start w:val="1"/>
      <w:numFmt w:val="lowerRoman"/>
      <w:lvlText w:val="%3."/>
      <w:lvlJc w:val="right"/>
      <w:pPr>
        <w:ind w:left="2149" w:hanging="180"/>
      </w:pPr>
    </w:lvl>
    <w:lvl w:ilvl="3" w:tplc="F7B6A6AE">
      <w:start w:val="1"/>
      <w:numFmt w:val="decimal"/>
      <w:lvlText w:val="%4."/>
      <w:lvlJc w:val="left"/>
      <w:pPr>
        <w:ind w:left="2869" w:hanging="360"/>
      </w:pPr>
    </w:lvl>
    <w:lvl w:ilvl="4" w:tplc="F30CD192">
      <w:start w:val="1"/>
      <w:numFmt w:val="lowerLetter"/>
      <w:lvlText w:val="%5."/>
      <w:lvlJc w:val="left"/>
      <w:pPr>
        <w:ind w:left="3589" w:hanging="360"/>
      </w:pPr>
    </w:lvl>
    <w:lvl w:ilvl="5" w:tplc="709C9418">
      <w:start w:val="1"/>
      <w:numFmt w:val="lowerRoman"/>
      <w:lvlText w:val="%6."/>
      <w:lvlJc w:val="right"/>
      <w:pPr>
        <w:ind w:left="4309" w:hanging="180"/>
      </w:pPr>
    </w:lvl>
    <w:lvl w:ilvl="6" w:tplc="EB6296C8">
      <w:start w:val="1"/>
      <w:numFmt w:val="decimal"/>
      <w:lvlText w:val="%7."/>
      <w:lvlJc w:val="left"/>
      <w:pPr>
        <w:ind w:left="5029" w:hanging="360"/>
      </w:pPr>
    </w:lvl>
    <w:lvl w:ilvl="7" w:tplc="DD5A759C">
      <w:start w:val="1"/>
      <w:numFmt w:val="lowerLetter"/>
      <w:lvlText w:val="%8."/>
      <w:lvlJc w:val="left"/>
      <w:pPr>
        <w:ind w:left="5749" w:hanging="360"/>
      </w:pPr>
    </w:lvl>
    <w:lvl w:ilvl="8" w:tplc="4C12C54E">
      <w:start w:val="1"/>
      <w:numFmt w:val="lowerRoman"/>
      <w:lvlText w:val="%9."/>
      <w:lvlJc w:val="right"/>
      <w:pPr>
        <w:ind w:left="6469" w:hanging="180"/>
      </w:pPr>
    </w:lvl>
  </w:abstractNum>
  <w:abstractNum w:abstractNumId="118">
    <w:nsid w:val="6C75092C"/>
    <w:multiLevelType w:val="hybridMultilevel"/>
    <w:tmpl w:val="0660125A"/>
    <w:lvl w:ilvl="0" w:tplc="728AA49E">
      <w:start w:val="1"/>
      <w:numFmt w:val="bullet"/>
      <w:lvlText w:val="–"/>
      <w:lvlJc w:val="left"/>
      <w:pPr>
        <w:ind w:left="720" w:hanging="360"/>
      </w:pPr>
      <w:rPr>
        <w:rFonts w:ascii="Arial" w:eastAsia="Arial" w:hAnsi="Arial" w:cs="Arial"/>
      </w:rPr>
    </w:lvl>
    <w:lvl w:ilvl="1" w:tplc="BB9830B2">
      <w:start w:val="1"/>
      <w:numFmt w:val="bullet"/>
      <w:lvlText w:val="o"/>
      <w:lvlJc w:val="left"/>
      <w:pPr>
        <w:ind w:left="1440" w:hanging="360"/>
      </w:pPr>
      <w:rPr>
        <w:rFonts w:ascii="Courier New" w:eastAsia="Courier New" w:hAnsi="Courier New" w:cs="Courier New" w:hint="default"/>
      </w:rPr>
    </w:lvl>
    <w:lvl w:ilvl="2" w:tplc="99B06CBC">
      <w:start w:val="1"/>
      <w:numFmt w:val="bullet"/>
      <w:lvlText w:val="§"/>
      <w:lvlJc w:val="left"/>
      <w:pPr>
        <w:ind w:left="2160" w:hanging="360"/>
      </w:pPr>
      <w:rPr>
        <w:rFonts w:ascii="Wingdings" w:eastAsia="Wingdings" w:hAnsi="Wingdings" w:cs="Wingdings" w:hint="default"/>
      </w:rPr>
    </w:lvl>
    <w:lvl w:ilvl="3" w:tplc="E550E0AA">
      <w:start w:val="1"/>
      <w:numFmt w:val="bullet"/>
      <w:lvlText w:val="·"/>
      <w:lvlJc w:val="left"/>
      <w:pPr>
        <w:ind w:left="2880" w:hanging="360"/>
      </w:pPr>
      <w:rPr>
        <w:rFonts w:ascii="Symbol" w:eastAsia="Symbol" w:hAnsi="Symbol" w:cs="Symbol" w:hint="default"/>
      </w:rPr>
    </w:lvl>
    <w:lvl w:ilvl="4" w:tplc="62885B16">
      <w:start w:val="1"/>
      <w:numFmt w:val="bullet"/>
      <w:lvlText w:val="o"/>
      <w:lvlJc w:val="left"/>
      <w:pPr>
        <w:ind w:left="3600" w:hanging="360"/>
      </w:pPr>
      <w:rPr>
        <w:rFonts w:ascii="Courier New" w:eastAsia="Courier New" w:hAnsi="Courier New" w:cs="Courier New" w:hint="default"/>
      </w:rPr>
    </w:lvl>
    <w:lvl w:ilvl="5" w:tplc="D99CDDA6">
      <w:start w:val="1"/>
      <w:numFmt w:val="bullet"/>
      <w:lvlText w:val="§"/>
      <w:lvlJc w:val="left"/>
      <w:pPr>
        <w:ind w:left="4320" w:hanging="360"/>
      </w:pPr>
      <w:rPr>
        <w:rFonts w:ascii="Wingdings" w:eastAsia="Wingdings" w:hAnsi="Wingdings" w:cs="Wingdings" w:hint="default"/>
      </w:rPr>
    </w:lvl>
    <w:lvl w:ilvl="6" w:tplc="BE58D524">
      <w:start w:val="1"/>
      <w:numFmt w:val="bullet"/>
      <w:lvlText w:val="·"/>
      <w:lvlJc w:val="left"/>
      <w:pPr>
        <w:ind w:left="5040" w:hanging="360"/>
      </w:pPr>
      <w:rPr>
        <w:rFonts w:ascii="Symbol" w:eastAsia="Symbol" w:hAnsi="Symbol" w:cs="Symbol" w:hint="default"/>
      </w:rPr>
    </w:lvl>
    <w:lvl w:ilvl="7" w:tplc="6BC0364C">
      <w:start w:val="1"/>
      <w:numFmt w:val="bullet"/>
      <w:lvlText w:val="o"/>
      <w:lvlJc w:val="left"/>
      <w:pPr>
        <w:ind w:left="5760" w:hanging="360"/>
      </w:pPr>
      <w:rPr>
        <w:rFonts w:ascii="Courier New" w:eastAsia="Courier New" w:hAnsi="Courier New" w:cs="Courier New" w:hint="default"/>
      </w:rPr>
    </w:lvl>
    <w:lvl w:ilvl="8" w:tplc="4A3EBC70">
      <w:start w:val="1"/>
      <w:numFmt w:val="bullet"/>
      <w:lvlText w:val="§"/>
      <w:lvlJc w:val="left"/>
      <w:pPr>
        <w:ind w:left="6480" w:hanging="360"/>
      </w:pPr>
      <w:rPr>
        <w:rFonts w:ascii="Wingdings" w:eastAsia="Wingdings" w:hAnsi="Wingdings" w:cs="Wingdings" w:hint="default"/>
      </w:rPr>
    </w:lvl>
  </w:abstractNum>
  <w:abstractNum w:abstractNumId="119">
    <w:nsid w:val="6CA674F4"/>
    <w:multiLevelType w:val="hybridMultilevel"/>
    <w:tmpl w:val="30A0D038"/>
    <w:lvl w:ilvl="0" w:tplc="A1B4DDA6">
      <w:start w:val="1"/>
      <w:numFmt w:val="bullet"/>
      <w:lvlText w:val="–"/>
      <w:lvlJc w:val="left"/>
      <w:pPr>
        <w:ind w:left="720" w:hanging="360"/>
      </w:pPr>
      <w:rPr>
        <w:rFonts w:ascii="Arial" w:eastAsia="Arial" w:hAnsi="Arial" w:cs="Arial"/>
      </w:rPr>
    </w:lvl>
    <w:lvl w:ilvl="1" w:tplc="C42A32B0">
      <w:start w:val="1"/>
      <w:numFmt w:val="bullet"/>
      <w:lvlText w:val="o"/>
      <w:lvlJc w:val="left"/>
      <w:pPr>
        <w:ind w:left="1440" w:hanging="360"/>
      </w:pPr>
      <w:rPr>
        <w:rFonts w:ascii="Courier New" w:eastAsia="Courier New" w:hAnsi="Courier New" w:cs="Courier New" w:hint="default"/>
      </w:rPr>
    </w:lvl>
    <w:lvl w:ilvl="2" w:tplc="E6EC8732">
      <w:start w:val="1"/>
      <w:numFmt w:val="bullet"/>
      <w:lvlText w:val="§"/>
      <w:lvlJc w:val="left"/>
      <w:pPr>
        <w:ind w:left="2160" w:hanging="360"/>
      </w:pPr>
      <w:rPr>
        <w:rFonts w:ascii="Wingdings" w:eastAsia="Wingdings" w:hAnsi="Wingdings" w:cs="Wingdings" w:hint="default"/>
      </w:rPr>
    </w:lvl>
    <w:lvl w:ilvl="3" w:tplc="F35A5058">
      <w:start w:val="1"/>
      <w:numFmt w:val="bullet"/>
      <w:lvlText w:val="·"/>
      <w:lvlJc w:val="left"/>
      <w:pPr>
        <w:ind w:left="2880" w:hanging="360"/>
      </w:pPr>
      <w:rPr>
        <w:rFonts w:ascii="Symbol" w:eastAsia="Symbol" w:hAnsi="Symbol" w:cs="Symbol" w:hint="default"/>
      </w:rPr>
    </w:lvl>
    <w:lvl w:ilvl="4" w:tplc="AC2A32AA">
      <w:start w:val="1"/>
      <w:numFmt w:val="bullet"/>
      <w:lvlText w:val="o"/>
      <w:lvlJc w:val="left"/>
      <w:pPr>
        <w:ind w:left="3600" w:hanging="360"/>
      </w:pPr>
      <w:rPr>
        <w:rFonts w:ascii="Courier New" w:eastAsia="Courier New" w:hAnsi="Courier New" w:cs="Courier New" w:hint="default"/>
      </w:rPr>
    </w:lvl>
    <w:lvl w:ilvl="5" w:tplc="09962B26">
      <w:start w:val="1"/>
      <w:numFmt w:val="bullet"/>
      <w:lvlText w:val="§"/>
      <w:lvlJc w:val="left"/>
      <w:pPr>
        <w:ind w:left="4320" w:hanging="360"/>
      </w:pPr>
      <w:rPr>
        <w:rFonts w:ascii="Wingdings" w:eastAsia="Wingdings" w:hAnsi="Wingdings" w:cs="Wingdings" w:hint="default"/>
      </w:rPr>
    </w:lvl>
    <w:lvl w:ilvl="6" w:tplc="D7A8EF28">
      <w:start w:val="1"/>
      <w:numFmt w:val="bullet"/>
      <w:lvlText w:val="·"/>
      <w:lvlJc w:val="left"/>
      <w:pPr>
        <w:ind w:left="5040" w:hanging="360"/>
      </w:pPr>
      <w:rPr>
        <w:rFonts w:ascii="Symbol" w:eastAsia="Symbol" w:hAnsi="Symbol" w:cs="Symbol" w:hint="default"/>
      </w:rPr>
    </w:lvl>
    <w:lvl w:ilvl="7" w:tplc="88B872F2">
      <w:start w:val="1"/>
      <w:numFmt w:val="bullet"/>
      <w:lvlText w:val="o"/>
      <w:lvlJc w:val="left"/>
      <w:pPr>
        <w:ind w:left="5760" w:hanging="360"/>
      </w:pPr>
      <w:rPr>
        <w:rFonts w:ascii="Courier New" w:eastAsia="Courier New" w:hAnsi="Courier New" w:cs="Courier New" w:hint="default"/>
      </w:rPr>
    </w:lvl>
    <w:lvl w:ilvl="8" w:tplc="0AF85110">
      <w:start w:val="1"/>
      <w:numFmt w:val="bullet"/>
      <w:lvlText w:val="§"/>
      <w:lvlJc w:val="left"/>
      <w:pPr>
        <w:ind w:left="6480" w:hanging="360"/>
      </w:pPr>
      <w:rPr>
        <w:rFonts w:ascii="Wingdings" w:eastAsia="Wingdings" w:hAnsi="Wingdings" w:cs="Wingdings" w:hint="default"/>
      </w:rPr>
    </w:lvl>
  </w:abstractNum>
  <w:abstractNum w:abstractNumId="120">
    <w:nsid w:val="6F532545"/>
    <w:multiLevelType w:val="hybridMultilevel"/>
    <w:tmpl w:val="16200BD6"/>
    <w:lvl w:ilvl="0" w:tplc="8528D5AA">
      <w:start w:val="1"/>
      <w:numFmt w:val="bullet"/>
      <w:lvlText w:val="–"/>
      <w:lvlJc w:val="left"/>
      <w:pPr>
        <w:ind w:left="720" w:hanging="360"/>
      </w:pPr>
      <w:rPr>
        <w:rFonts w:ascii="Arial" w:eastAsia="Arial" w:hAnsi="Arial" w:cs="Arial"/>
      </w:rPr>
    </w:lvl>
    <w:lvl w:ilvl="1" w:tplc="85C2D40A">
      <w:start w:val="1"/>
      <w:numFmt w:val="bullet"/>
      <w:lvlText w:val="o"/>
      <w:lvlJc w:val="left"/>
      <w:pPr>
        <w:ind w:left="1440" w:hanging="360"/>
      </w:pPr>
      <w:rPr>
        <w:rFonts w:ascii="Courier New" w:eastAsia="Courier New" w:hAnsi="Courier New" w:cs="Courier New" w:hint="default"/>
      </w:rPr>
    </w:lvl>
    <w:lvl w:ilvl="2" w:tplc="181AEFB2">
      <w:start w:val="1"/>
      <w:numFmt w:val="bullet"/>
      <w:lvlText w:val="§"/>
      <w:lvlJc w:val="left"/>
      <w:pPr>
        <w:ind w:left="2160" w:hanging="360"/>
      </w:pPr>
      <w:rPr>
        <w:rFonts w:ascii="Wingdings" w:eastAsia="Wingdings" w:hAnsi="Wingdings" w:cs="Wingdings" w:hint="default"/>
      </w:rPr>
    </w:lvl>
    <w:lvl w:ilvl="3" w:tplc="40660A92">
      <w:start w:val="1"/>
      <w:numFmt w:val="bullet"/>
      <w:lvlText w:val="·"/>
      <w:lvlJc w:val="left"/>
      <w:pPr>
        <w:ind w:left="2880" w:hanging="360"/>
      </w:pPr>
      <w:rPr>
        <w:rFonts w:ascii="Symbol" w:eastAsia="Symbol" w:hAnsi="Symbol" w:cs="Symbol" w:hint="default"/>
      </w:rPr>
    </w:lvl>
    <w:lvl w:ilvl="4" w:tplc="06322338">
      <w:start w:val="1"/>
      <w:numFmt w:val="bullet"/>
      <w:lvlText w:val="o"/>
      <w:lvlJc w:val="left"/>
      <w:pPr>
        <w:ind w:left="3600" w:hanging="360"/>
      </w:pPr>
      <w:rPr>
        <w:rFonts w:ascii="Courier New" w:eastAsia="Courier New" w:hAnsi="Courier New" w:cs="Courier New" w:hint="default"/>
      </w:rPr>
    </w:lvl>
    <w:lvl w:ilvl="5" w:tplc="674C4D4C">
      <w:start w:val="1"/>
      <w:numFmt w:val="bullet"/>
      <w:lvlText w:val="§"/>
      <w:lvlJc w:val="left"/>
      <w:pPr>
        <w:ind w:left="4320" w:hanging="360"/>
      </w:pPr>
      <w:rPr>
        <w:rFonts w:ascii="Wingdings" w:eastAsia="Wingdings" w:hAnsi="Wingdings" w:cs="Wingdings" w:hint="default"/>
      </w:rPr>
    </w:lvl>
    <w:lvl w:ilvl="6" w:tplc="D2D6E424">
      <w:start w:val="1"/>
      <w:numFmt w:val="bullet"/>
      <w:lvlText w:val="·"/>
      <w:lvlJc w:val="left"/>
      <w:pPr>
        <w:ind w:left="5040" w:hanging="360"/>
      </w:pPr>
      <w:rPr>
        <w:rFonts w:ascii="Symbol" w:eastAsia="Symbol" w:hAnsi="Symbol" w:cs="Symbol" w:hint="default"/>
      </w:rPr>
    </w:lvl>
    <w:lvl w:ilvl="7" w:tplc="BF1C1C38">
      <w:start w:val="1"/>
      <w:numFmt w:val="bullet"/>
      <w:lvlText w:val="o"/>
      <w:lvlJc w:val="left"/>
      <w:pPr>
        <w:ind w:left="5760" w:hanging="360"/>
      </w:pPr>
      <w:rPr>
        <w:rFonts w:ascii="Courier New" w:eastAsia="Courier New" w:hAnsi="Courier New" w:cs="Courier New" w:hint="default"/>
      </w:rPr>
    </w:lvl>
    <w:lvl w:ilvl="8" w:tplc="D0BC3322">
      <w:start w:val="1"/>
      <w:numFmt w:val="bullet"/>
      <w:lvlText w:val="§"/>
      <w:lvlJc w:val="left"/>
      <w:pPr>
        <w:ind w:left="6480" w:hanging="360"/>
      </w:pPr>
      <w:rPr>
        <w:rFonts w:ascii="Wingdings" w:eastAsia="Wingdings" w:hAnsi="Wingdings" w:cs="Wingdings" w:hint="default"/>
      </w:rPr>
    </w:lvl>
  </w:abstractNum>
  <w:abstractNum w:abstractNumId="121">
    <w:nsid w:val="70EE1AC2"/>
    <w:multiLevelType w:val="hybridMultilevel"/>
    <w:tmpl w:val="615EE74A"/>
    <w:lvl w:ilvl="0" w:tplc="9232F058">
      <w:start w:val="1"/>
      <w:numFmt w:val="bullet"/>
      <w:lvlText w:val="–"/>
      <w:lvlJc w:val="left"/>
      <w:pPr>
        <w:ind w:left="720" w:hanging="360"/>
      </w:pPr>
      <w:rPr>
        <w:rFonts w:ascii="Arial" w:eastAsia="Arial" w:hAnsi="Arial" w:cs="Arial"/>
      </w:rPr>
    </w:lvl>
    <w:lvl w:ilvl="1" w:tplc="02E8B708">
      <w:start w:val="1"/>
      <w:numFmt w:val="bullet"/>
      <w:lvlText w:val="o"/>
      <w:lvlJc w:val="left"/>
      <w:pPr>
        <w:ind w:left="1440" w:hanging="360"/>
      </w:pPr>
      <w:rPr>
        <w:rFonts w:ascii="Courier New" w:eastAsia="Courier New" w:hAnsi="Courier New" w:cs="Courier New" w:hint="default"/>
      </w:rPr>
    </w:lvl>
    <w:lvl w:ilvl="2" w:tplc="244CFE94">
      <w:start w:val="1"/>
      <w:numFmt w:val="bullet"/>
      <w:lvlText w:val="§"/>
      <w:lvlJc w:val="left"/>
      <w:pPr>
        <w:ind w:left="2160" w:hanging="360"/>
      </w:pPr>
      <w:rPr>
        <w:rFonts w:ascii="Wingdings" w:eastAsia="Wingdings" w:hAnsi="Wingdings" w:cs="Wingdings" w:hint="default"/>
      </w:rPr>
    </w:lvl>
    <w:lvl w:ilvl="3" w:tplc="099CF348">
      <w:start w:val="1"/>
      <w:numFmt w:val="bullet"/>
      <w:lvlText w:val="·"/>
      <w:lvlJc w:val="left"/>
      <w:pPr>
        <w:ind w:left="2880" w:hanging="360"/>
      </w:pPr>
      <w:rPr>
        <w:rFonts w:ascii="Symbol" w:eastAsia="Symbol" w:hAnsi="Symbol" w:cs="Symbol" w:hint="default"/>
      </w:rPr>
    </w:lvl>
    <w:lvl w:ilvl="4" w:tplc="CE66B91A">
      <w:start w:val="1"/>
      <w:numFmt w:val="bullet"/>
      <w:lvlText w:val="o"/>
      <w:lvlJc w:val="left"/>
      <w:pPr>
        <w:ind w:left="3600" w:hanging="360"/>
      </w:pPr>
      <w:rPr>
        <w:rFonts w:ascii="Courier New" w:eastAsia="Courier New" w:hAnsi="Courier New" w:cs="Courier New" w:hint="default"/>
      </w:rPr>
    </w:lvl>
    <w:lvl w:ilvl="5" w:tplc="9B2698D4">
      <w:start w:val="1"/>
      <w:numFmt w:val="bullet"/>
      <w:lvlText w:val="§"/>
      <w:lvlJc w:val="left"/>
      <w:pPr>
        <w:ind w:left="4320" w:hanging="360"/>
      </w:pPr>
      <w:rPr>
        <w:rFonts w:ascii="Wingdings" w:eastAsia="Wingdings" w:hAnsi="Wingdings" w:cs="Wingdings" w:hint="default"/>
      </w:rPr>
    </w:lvl>
    <w:lvl w:ilvl="6" w:tplc="A6A0D59C">
      <w:start w:val="1"/>
      <w:numFmt w:val="bullet"/>
      <w:lvlText w:val="·"/>
      <w:lvlJc w:val="left"/>
      <w:pPr>
        <w:ind w:left="5040" w:hanging="360"/>
      </w:pPr>
      <w:rPr>
        <w:rFonts w:ascii="Symbol" w:eastAsia="Symbol" w:hAnsi="Symbol" w:cs="Symbol" w:hint="default"/>
      </w:rPr>
    </w:lvl>
    <w:lvl w:ilvl="7" w:tplc="526687CC">
      <w:start w:val="1"/>
      <w:numFmt w:val="bullet"/>
      <w:lvlText w:val="o"/>
      <w:lvlJc w:val="left"/>
      <w:pPr>
        <w:ind w:left="5760" w:hanging="360"/>
      </w:pPr>
      <w:rPr>
        <w:rFonts w:ascii="Courier New" w:eastAsia="Courier New" w:hAnsi="Courier New" w:cs="Courier New" w:hint="default"/>
      </w:rPr>
    </w:lvl>
    <w:lvl w:ilvl="8" w:tplc="0F545142">
      <w:start w:val="1"/>
      <w:numFmt w:val="bullet"/>
      <w:lvlText w:val="§"/>
      <w:lvlJc w:val="left"/>
      <w:pPr>
        <w:ind w:left="6480" w:hanging="360"/>
      </w:pPr>
      <w:rPr>
        <w:rFonts w:ascii="Wingdings" w:eastAsia="Wingdings" w:hAnsi="Wingdings" w:cs="Wingdings" w:hint="default"/>
      </w:rPr>
    </w:lvl>
  </w:abstractNum>
  <w:abstractNum w:abstractNumId="122">
    <w:nsid w:val="72B56798"/>
    <w:multiLevelType w:val="hybridMultilevel"/>
    <w:tmpl w:val="DBF26502"/>
    <w:lvl w:ilvl="0" w:tplc="5B007F96">
      <w:start w:val="1"/>
      <w:numFmt w:val="bullet"/>
      <w:lvlText w:val="–"/>
      <w:lvlJc w:val="left"/>
      <w:pPr>
        <w:ind w:left="720" w:hanging="360"/>
      </w:pPr>
      <w:rPr>
        <w:rFonts w:ascii="Arial" w:eastAsia="Arial" w:hAnsi="Arial" w:cs="Arial"/>
      </w:rPr>
    </w:lvl>
    <w:lvl w:ilvl="1" w:tplc="05F86ED8">
      <w:start w:val="1"/>
      <w:numFmt w:val="bullet"/>
      <w:lvlText w:val="o"/>
      <w:lvlJc w:val="left"/>
      <w:pPr>
        <w:ind w:left="1440" w:hanging="360"/>
      </w:pPr>
      <w:rPr>
        <w:rFonts w:ascii="Courier New" w:eastAsia="Courier New" w:hAnsi="Courier New" w:cs="Courier New" w:hint="default"/>
      </w:rPr>
    </w:lvl>
    <w:lvl w:ilvl="2" w:tplc="EB165336">
      <w:start w:val="1"/>
      <w:numFmt w:val="bullet"/>
      <w:lvlText w:val="§"/>
      <w:lvlJc w:val="left"/>
      <w:pPr>
        <w:ind w:left="2160" w:hanging="360"/>
      </w:pPr>
      <w:rPr>
        <w:rFonts w:ascii="Wingdings" w:eastAsia="Wingdings" w:hAnsi="Wingdings" w:cs="Wingdings" w:hint="default"/>
      </w:rPr>
    </w:lvl>
    <w:lvl w:ilvl="3" w:tplc="CFF6A24A">
      <w:start w:val="1"/>
      <w:numFmt w:val="bullet"/>
      <w:lvlText w:val="·"/>
      <w:lvlJc w:val="left"/>
      <w:pPr>
        <w:ind w:left="2880" w:hanging="360"/>
      </w:pPr>
      <w:rPr>
        <w:rFonts w:ascii="Symbol" w:eastAsia="Symbol" w:hAnsi="Symbol" w:cs="Symbol" w:hint="default"/>
      </w:rPr>
    </w:lvl>
    <w:lvl w:ilvl="4" w:tplc="923A3A3C">
      <w:start w:val="1"/>
      <w:numFmt w:val="bullet"/>
      <w:lvlText w:val="o"/>
      <w:lvlJc w:val="left"/>
      <w:pPr>
        <w:ind w:left="3600" w:hanging="360"/>
      </w:pPr>
      <w:rPr>
        <w:rFonts w:ascii="Courier New" w:eastAsia="Courier New" w:hAnsi="Courier New" w:cs="Courier New" w:hint="default"/>
      </w:rPr>
    </w:lvl>
    <w:lvl w:ilvl="5" w:tplc="7E04DFC0">
      <w:start w:val="1"/>
      <w:numFmt w:val="bullet"/>
      <w:lvlText w:val="§"/>
      <w:lvlJc w:val="left"/>
      <w:pPr>
        <w:ind w:left="4320" w:hanging="360"/>
      </w:pPr>
      <w:rPr>
        <w:rFonts w:ascii="Wingdings" w:eastAsia="Wingdings" w:hAnsi="Wingdings" w:cs="Wingdings" w:hint="default"/>
      </w:rPr>
    </w:lvl>
    <w:lvl w:ilvl="6" w:tplc="67E68002">
      <w:start w:val="1"/>
      <w:numFmt w:val="bullet"/>
      <w:lvlText w:val="·"/>
      <w:lvlJc w:val="left"/>
      <w:pPr>
        <w:ind w:left="5040" w:hanging="360"/>
      </w:pPr>
      <w:rPr>
        <w:rFonts w:ascii="Symbol" w:eastAsia="Symbol" w:hAnsi="Symbol" w:cs="Symbol" w:hint="default"/>
      </w:rPr>
    </w:lvl>
    <w:lvl w:ilvl="7" w:tplc="2D6ABB76">
      <w:start w:val="1"/>
      <w:numFmt w:val="bullet"/>
      <w:lvlText w:val="o"/>
      <w:lvlJc w:val="left"/>
      <w:pPr>
        <w:ind w:left="5760" w:hanging="360"/>
      </w:pPr>
      <w:rPr>
        <w:rFonts w:ascii="Courier New" w:eastAsia="Courier New" w:hAnsi="Courier New" w:cs="Courier New" w:hint="default"/>
      </w:rPr>
    </w:lvl>
    <w:lvl w:ilvl="8" w:tplc="548ABF72">
      <w:start w:val="1"/>
      <w:numFmt w:val="bullet"/>
      <w:lvlText w:val="§"/>
      <w:lvlJc w:val="left"/>
      <w:pPr>
        <w:ind w:left="6480" w:hanging="360"/>
      </w:pPr>
      <w:rPr>
        <w:rFonts w:ascii="Wingdings" w:eastAsia="Wingdings" w:hAnsi="Wingdings" w:cs="Wingdings" w:hint="default"/>
      </w:rPr>
    </w:lvl>
  </w:abstractNum>
  <w:abstractNum w:abstractNumId="123">
    <w:nsid w:val="73537A2B"/>
    <w:multiLevelType w:val="hybridMultilevel"/>
    <w:tmpl w:val="4C2CC95E"/>
    <w:lvl w:ilvl="0" w:tplc="90688B5C">
      <w:start w:val="1"/>
      <w:numFmt w:val="bullet"/>
      <w:lvlText w:val="–"/>
      <w:lvlJc w:val="left"/>
      <w:pPr>
        <w:ind w:left="720" w:hanging="360"/>
      </w:pPr>
      <w:rPr>
        <w:rFonts w:ascii="Arial" w:eastAsia="Arial" w:hAnsi="Arial" w:cs="Arial"/>
      </w:rPr>
    </w:lvl>
    <w:lvl w:ilvl="1" w:tplc="E104F97C">
      <w:start w:val="1"/>
      <w:numFmt w:val="bullet"/>
      <w:lvlText w:val="o"/>
      <w:lvlJc w:val="left"/>
      <w:pPr>
        <w:ind w:left="1440" w:hanging="360"/>
      </w:pPr>
      <w:rPr>
        <w:rFonts w:ascii="Courier New" w:eastAsia="Courier New" w:hAnsi="Courier New" w:cs="Courier New" w:hint="default"/>
      </w:rPr>
    </w:lvl>
    <w:lvl w:ilvl="2" w:tplc="ACA60EA8">
      <w:start w:val="1"/>
      <w:numFmt w:val="bullet"/>
      <w:lvlText w:val="§"/>
      <w:lvlJc w:val="left"/>
      <w:pPr>
        <w:ind w:left="2160" w:hanging="360"/>
      </w:pPr>
      <w:rPr>
        <w:rFonts w:ascii="Wingdings" w:eastAsia="Wingdings" w:hAnsi="Wingdings" w:cs="Wingdings" w:hint="default"/>
      </w:rPr>
    </w:lvl>
    <w:lvl w:ilvl="3" w:tplc="AE742910">
      <w:start w:val="1"/>
      <w:numFmt w:val="bullet"/>
      <w:lvlText w:val="·"/>
      <w:lvlJc w:val="left"/>
      <w:pPr>
        <w:ind w:left="2880" w:hanging="360"/>
      </w:pPr>
      <w:rPr>
        <w:rFonts w:ascii="Symbol" w:eastAsia="Symbol" w:hAnsi="Symbol" w:cs="Symbol" w:hint="default"/>
      </w:rPr>
    </w:lvl>
    <w:lvl w:ilvl="4" w:tplc="96247472">
      <w:start w:val="1"/>
      <w:numFmt w:val="bullet"/>
      <w:lvlText w:val="o"/>
      <w:lvlJc w:val="left"/>
      <w:pPr>
        <w:ind w:left="3600" w:hanging="360"/>
      </w:pPr>
      <w:rPr>
        <w:rFonts w:ascii="Courier New" w:eastAsia="Courier New" w:hAnsi="Courier New" w:cs="Courier New" w:hint="default"/>
      </w:rPr>
    </w:lvl>
    <w:lvl w:ilvl="5" w:tplc="DB54D724">
      <w:start w:val="1"/>
      <w:numFmt w:val="bullet"/>
      <w:lvlText w:val="§"/>
      <w:lvlJc w:val="left"/>
      <w:pPr>
        <w:ind w:left="4320" w:hanging="360"/>
      </w:pPr>
      <w:rPr>
        <w:rFonts w:ascii="Wingdings" w:eastAsia="Wingdings" w:hAnsi="Wingdings" w:cs="Wingdings" w:hint="default"/>
      </w:rPr>
    </w:lvl>
    <w:lvl w:ilvl="6" w:tplc="140EE2EC">
      <w:start w:val="1"/>
      <w:numFmt w:val="bullet"/>
      <w:lvlText w:val="·"/>
      <w:lvlJc w:val="left"/>
      <w:pPr>
        <w:ind w:left="5040" w:hanging="360"/>
      </w:pPr>
      <w:rPr>
        <w:rFonts w:ascii="Symbol" w:eastAsia="Symbol" w:hAnsi="Symbol" w:cs="Symbol" w:hint="default"/>
      </w:rPr>
    </w:lvl>
    <w:lvl w:ilvl="7" w:tplc="FB4AF7AA">
      <w:start w:val="1"/>
      <w:numFmt w:val="bullet"/>
      <w:lvlText w:val="o"/>
      <w:lvlJc w:val="left"/>
      <w:pPr>
        <w:ind w:left="5760" w:hanging="360"/>
      </w:pPr>
      <w:rPr>
        <w:rFonts w:ascii="Courier New" w:eastAsia="Courier New" w:hAnsi="Courier New" w:cs="Courier New" w:hint="default"/>
      </w:rPr>
    </w:lvl>
    <w:lvl w:ilvl="8" w:tplc="C5FE3D7E">
      <w:start w:val="1"/>
      <w:numFmt w:val="bullet"/>
      <w:lvlText w:val="§"/>
      <w:lvlJc w:val="left"/>
      <w:pPr>
        <w:ind w:left="6480" w:hanging="360"/>
      </w:pPr>
      <w:rPr>
        <w:rFonts w:ascii="Wingdings" w:eastAsia="Wingdings" w:hAnsi="Wingdings" w:cs="Wingdings" w:hint="default"/>
      </w:rPr>
    </w:lvl>
  </w:abstractNum>
  <w:abstractNum w:abstractNumId="124">
    <w:nsid w:val="7387445E"/>
    <w:multiLevelType w:val="hybridMultilevel"/>
    <w:tmpl w:val="FB741BD6"/>
    <w:lvl w:ilvl="0" w:tplc="383CBE7A">
      <w:start w:val="1"/>
      <w:numFmt w:val="decimal"/>
      <w:lvlText w:val="%1."/>
      <w:lvlJc w:val="right"/>
      <w:pPr>
        <w:ind w:left="1057" w:hanging="360"/>
      </w:pPr>
    </w:lvl>
    <w:lvl w:ilvl="1" w:tplc="FCF0273A">
      <w:start w:val="1"/>
      <w:numFmt w:val="lowerLetter"/>
      <w:lvlText w:val="%2."/>
      <w:lvlJc w:val="left"/>
      <w:pPr>
        <w:ind w:left="1777" w:hanging="360"/>
      </w:pPr>
    </w:lvl>
    <w:lvl w:ilvl="2" w:tplc="46CC6414">
      <w:start w:val="1"/>
      <w:numFmt w:val="lowerRoman"/>
      <w:lvlText w:val="%3."/>
      <w:lvlJc w:val="right"/>
      <w:pPr>
        <w:ind w:left="2497" w:hanging="180"/>
      </w:pPr>
    </w:lvl>
    <w:lvl w:ilvl="3" w:tplc="C4F0B414">
      <w:start w:val="1"/>
      <w:numFmt w:val="decimal"/>
      <w:lvlText w:val="%4."/>
      <w:lvlJc w:val="left"/>
      <w:pPr>
        <w:ind w:left="3217" w:hanging="360"/>
      </w:pPr>
    </w:lvl>
    <w:lvl w:ilvl="4" w:tplc="FC0639BE">
      <w:start w:val="1"/>
      <w:numFmt w:val="lowerLetter"/>
      <w:lvlText w:val="%5."/>
      <w:lvlJc w:val="left"/>
      <w:pPr>
        <w:ind w:left="3937" w:hanging="360"/>
      </w:pPr>
    </w:lvl>
    <w:lvl w:ilvl="5" w:tplc="8850F0E4">
      <w:start w:val="1"/>
      <w:numFmt w:val="lowerRoman"/>
      <w:lvlText w:val="%6."/>
      <w:lvlJc w:val="right"/>
      <w:pPr>
        <w:ind w:left="4657" w:hanging="180"/>
      </w:pPr>
    </w:lvl>
    <w:lvl w:ilvl="6" w:tplc="FA563998">
      <w:start w:val="1"/>
      <w:numFmt w:val="decimal"/>
      <w:lvlText w:val="%7."/>
      <w:lvlJc w:val="left"/>
      <w:pPr>
        <w:ind w:left="5377" w:hanging="360"/>
      </w:pPr>
    </w:lvl>
    <w:lvl w:ilvl="7" w:tplc="FD0AF420">
      <w:start w:val="1"/>
      <w:numFmt w:val="lowerLetter"/>
      <w:lvlText w:val="%8."/>
      <w:lvlJc w:val="left"/>
      <w:pPr>
        <w:ind w:left="6097" w:hanging="360"/>
      </w:pPr>
    </w:lvl>
    <w:lvl w:ilvl="8" w:tplc="1A8A8E54">
      <w:start w:val="1"/>
      <w:numFmt w:val="lowerRoman"/>
      <w:lvlText w:val="%9."/>
      <w:lvlJc w:val="right"/>
      <w:pPr>
        <w:ind w:left="6817" w:hanging="180"/>
      </w:pPr>
    </w:lvl>
  </w:abstractNum>
  <w:abstractNum w:abstractNumId="125">
    <w:nsid w:val="74523FA7"/>
    <w:multiLevelType w:val="hybridMultilevel"/>
    <w:tmpl w:val="3342EE40"/>
    <w:lvl w:ilvl="0" w:tplc="BFEC47AE">
      <w:start w:val="1"/>
      <w:numFmt w:val="bullet"/>
      <w:lvlText w:val="–"/>
      <w:lvlJc w:val="left"/>
      <w:pPr>
        <w:ind w:left="720" w:hanging="360"/>
      </w:pPr>
      <w:rPr>
        <w:rFonts w:ascii="Arial" w:eastAsia="Arial" w:hAnsi="Arial" w:cs="Arial"/>
      </w:rPr>
    </w:lvl>
    <w:lvl w:ilvl="1" w:tplc="3E72E9B6">
      <w:start w:val="1"/>
      <w:numFmt w:val="bullet"/>
      <w:lvlText w:val="o"/>
      <w:lvlJc w:val="left"/>
      <w:pPr>
        <w:ind w:left="1440" w:hanging="360"/>
      </w:pPr>
      <w:rPr>
        <w:rFonts w:ascii="Courier New" w:eastAsia="Courier New" w:hAnsi="Courier New" w:cs="Courier New" w:hint="default"/>
      </w:rPr>
    </w:lvl>
    <w:lvl w:ilvl="2" w:tplc="9FDA0C60">
      <w:start w:val="1"/>
      <w:numFmt w:val="bullet"/>
      <w:lvlText w:val="§"/>
      <w:lvlJc w:val="left"/>
      <w:pPr>
        <w:ind w:left="2160" w:hanging="360"/>
      </w:pPr>
      <w:rPr>
        <w:rFonts w:ascii="Wingdings" w:eastAsia="Wingdings" w:hAnsi="Wingdings" w:cs="Wingdings" w:hint="default"/>
      </w:rPr>
    </w:lvl>
    <w:lvl w:ilvl="3" w:tplc="07500A2C">
      <w:start w:val="1"/>
      <w:numFmt w:val="bullet"/>
      <w:lvlText w:val="·"/>
      <w:lvlJc w:val="left"/>
      <w:pPr>
        <w:ind w:left="2880" w:hanging="360"/>
      </w:pPr>
      <w:rPr>
        <w:rFonts w:ascii="Symbol" w:eastAsia="Symbol" w:hAnsi="Symbol" w:cs="Symbol" w:hint="default"/>
      </w:rPr>
    </w:lvl>
    <w:lvl w:ilvl="4" w:tplc="790EB39E">
      <w:start w:val="1"/>
      <w:numFmt w:val="bullet"/>
      <w:lvlText w:val="o"/>
      <w:lvlJc w:val="left"/>
      <w:pPr>
        <w:ind w:left="3600" w:hanging="360"/>
      </w:pPr>
      <w:rPr>
        <w:rFonts w:ascii="Courier New" w:eastAsia="Courier New" w:hAnsi="Courier New" w:cs="Courier New" w:hint="default"/>
      </w:rPr>
    </w:lvl>
    <w:lvl w:ilvl="5" w:tplc="60867E24">
      <w:start w:val="1"/>
      <w:numFmt w:val="bullet"/>
      <w:lvlText w:val="§"/>
      <w:lvlJc w:val="left"/>
      <w:pPr>
        <w:ind w:left="4320" w:hanging="360"/>
      </w:pPr>
      <w:rPr>
        <w:rFonts w:ascii="Wingdings" w:eastAsia="Wingdings" w:hAnsi="Wingdings" w:cs="Wingdings" w:hint="default"/>
      </w:rPr>
    </w:lvl>
    <w:lvl w:ilvl="6" w:tplc="9AD2D5CA">
      <w:start w:val="1"/>
      <w:numFmt w:val="bullet"/>
      <w:lvlText w:val="·"/>
      <w:lvlJc w:val="left"/>
      <w:pPr>
        <w:ind w:left="5040" w:hanging="360"/>
      </w:pPr>
      <w:rPr>
        <w:rFonts w:ascii="Symbol" w:eastAsia="Symbol" w:hAnsi="Symbol" w:cs="Symbol" w:hint="default"/>
      </w:rPr>
    </w:lvl>
    <w:lvl w:ilvl="7" w:tplc="475CF33A">
      <w:start w:val="1"/>
      <w:numFmt w:val="bullet"/>
      <w:lvlText w:val="o"/>
      <w:lvlJc w:val="left"/>
      <w:pPr>
        <w:ind w:left="5760" w:hanging="360"/>
      </w:pPr>
      <w:rPr>
        <w:rFonts w:ascii="Courier New" w:eastAsia="Courier New" w:hAnsi="Courier New" w:cs="Courier New" w:hint="default"/>
      </w:rPr>
    </w:lvl>
    <w:lvl w:ilvl="8" w:tplc="8AC071D2">
      <w:start w:val="1"/>
      <w:numFmt w:val="bullet"/>
      <w:lvlText w:val="§"/>
      <w:lvlJc w:val="left"/>
      <w:pPr>
        <w:ind w:left="6480" w:hanging="360"/>
      </w:pPr>
      <w:rPr>
        <w:rFonts w:ascii="Wingdings" w:eastAsia="Wingdings" w:hAnsi="Wingdings" w:cs="Wingdings" w:hint="default"/>
      </w:rPr>
    </w:lvl>
  </w:abstractNum>
  <w:abstractNum w:abstractNumId="126">
    <w:nsid w:val="74761E48"/>
    <w:multiLevelType w:val="hybridMultilevel"/>
    <w:tmpl w:val="D91EF868"/>
    <w:lvl w:ilvl="0" w:tplc="5D2E1CE2">
      <w:start w:val="1"/>
      <w:numFmt w:val="bullet"/>
      <w:lvlText w:val="–"/>
      <w:lvlJc w:val="left"/>
      <w:pPr>
        <w:ind w:left="720" w:hanging="360"/>
      </w:pPr>
      <w:rPr>
        <w:rFonts w:ascii="Arial" w:eastAsia="Arial" w:hAnsi="Arial" w:cs="Arial"/>
      </w:rPr>
    </w:lvl>
    <w:lvl w:ilvl="1" w:tplc="8EE8FF5A">
      <w:start w:val="1"/>
      <w:numFmt w:val="bullet"/>
      <w:lvlText w:val="o"/>
      <w:lvlJc w:val="left"/>
      <w:pPr>
        <w:ind w:left="1440" w:hanging="360"/>
      </w:pPr>
      <w:rPr>
        <w:rFonts w:ascii="Courier New" w:eastAsia="Courier New" w:hAnsi="Courier New" w:cs="Courier New" w:hint="default"/>
      </w:rPr>
    </w:lvl>
    <w:lvl w:ilvl="2" w:tplc="A7784EDA">
      <w:start w:val="1"/>
      <w:numFmt w:val="bullet"/>
      <w:lvlText w:val="§"/>
      <w:lvlJc w:val="left"/>
      <w:pPr>
        <w:ind w:left="2160" w:hanging="360"/>
      </w:pPr>
      <w:rPr>
        <w:rFonts w:ascii="Wingdings" w:eastAsia="Wingdings" w:hAnsi="Wingdings" w:cs="Wingdings" w:hint="default"/>
      </w:rPr>
    </w:lvl>
    <w:lvl w:ilvl="3" w:tplc="79A2DB96">
      <w:start w:val="1"/>
      <w:numFmt w:val="bullet"/>
      <w:lvlText w:val="·"/>
      <w:lvlJc w:val="left"/>
      <w:pPr>
        <w:ind w:left="2880" w:hanging="360"/>
      </w:pPr>
      <w:rPr>
        <w:rFonts w:ascii="Symbol" w:eastAsia="Symbol" w:hAnsi="Symbol" w:cs="Symbol" w:hint="default"/>
      </w:rPr>
    </w:lvl>
    <w:lvl w:ilvl="4" w:tplc="8758C2DA">
      <w:start w:val="1"/>
      <w:numFmt w:val="bullet"/>
      <w:lvlText w:val="o"/>
      <w:lvlJc w:val="left"/>
      <w:pPr>
        <w:ind w:left="3600" w:hanging="360"/>
      </w:pPr>
      <w:rPr>
        <w:rFonts w:ascii="Courier New" w:eastAsia="Courier New" w:hAnsi="Courier New" w:cs="Courier New" w:hint="default"/>
      </w:rPr>
    </w:lvl>
    <w:lvl w:ilvl="5" w:tplc="B03A229C">
      <w:start w:val="1"/>
      <w:numFmt w:val="bullet"/>
      <w:lvlText w:val="§"/>
      <w:lvlJc w:val="left"/>
      <w:pPr>
        <w:ind w:left="4320" w:hanging="360"/>
      </w:pPr>
      <w:rPr>
        <w:rFonts w:ascii="Wingdings" w:eastAsia="Wingdings" w:hAnsi="Wingdings" w:cs="Wingdings" w:hint="default"/>
      </w:rPr>
    </w:lvl>
    <w:lvl w:ilvl="6" w:tplc="03A07F12">
      <w:start w:val="1"/>
      <w:numFmt w:val="bullet"/>
      <w:lvlText w:val="·"/>
      <w:lvlJc w:val="left"/>
      <w:pPr>
        <w:ind w:left="5040" w:hanging="360"/>
      </w:pPr>
      <w:rPr>
        <w:rFonts w:ascii="Symbol" w:eastAsia="Symbol" w:hAnsi="Symbol" w:cs="Symbol" w:hint="default"/>
      </w:rPr>
    </w:lvl>
    <w:lvl w:ilvl="7" w:tplc="510E1366">
      <w:start w:val="1"/>
      <w:numFmt w:val="bullet"/>
      <w:lvlText w:val="o"/>
      <w:lvlJc w:val="left"/>
      <w:pPr>
        <w:ind w:left="5760" w:hanging="360"/>
      </w:pPr>
      <w:rPr>
        <w:rFonts w:ascii="Courier New" w:eastAsia="Courier New" w:hAnsi="Courier New" w:cs="Courier New" w:hint="default"/>
      </w:rPr>
    </w:lvl>
    <w:lvl w:ilvl="8" w:tplc="84A43200">
      <w:start w:val="1"/>
      <w:numFmt w:val="bullet"/>
      <w:lvlText w:val="§"/>
      <w:lvlJc w:val="left"/>
      <w:pPr>
        <w:ind w:left="6480" w:hanging="360"/>
      </w:pPr>
      <w:rPr>
        <w:rFonts w:ascii="Wingdings" w:eastAsia="Wingdings" w:hAnsi="Wingdings" w:cs="Wingdings" w:hint="default"/>
      </w:rPr>
    </w:lvl>
  </w:abstractNum>
  <w:abstractNum w:abstractNumId="127">
    <w:nsid w:val="75AB019A"/>
    <w:multiLevelType w:val="hybridMultilevel"/>
    <w:tmpl w:val="24BE0EBC"/>
    <w:lvl w:ilvl="0" w:tplc="7F1E20CC">
      <w:start w:val="1"/>
      <w:numFmt w:val="bullet"/>
      <w:lvlText w:val="–"/>
      <w:lvlJc w:val="left"/>
      <w:pPr>
        <w:ind w:left="720" w:hanging="360"/>
      </w:pPr>
      <w:rPr>
        <w:rFonts w:ascii="Arial" w:eastAsia="Arial" w:hAnsi="Arial" w:cs="Arial"/>
      </w:rPr>
    </w:lvl>
    <w:lvl w:ilvl="1" w:tplc="9C82ADD4">
      <w:start w:val="1"/>
      <w:numFmt w:val="bullet"/>
      <w:lvlText w:val="o"/>
      <w:lvlJc w:val="left"/>
      <w:pPr>
        <w:ind w:left="1440" w:hanging="360"/>
      </w:pPr>
      <w:rPr>
        <w:rFonts w:ascii="Courier New" w:eastAsia="Courier New" w:hAnsi="Courier New" w:cs="Courier New" w:hint="default"/>
      </w:rPr>
    </w:lvl>
    <w:lvl w:ilvl="2" w:tplc="166C870C">
      <w:start w:val="1"/>
      <w:numFmt w:val="bullet"/>
      <w:lvlText w:val="§"/>
      <w:lvlJc w:val="left"/>
      <w:pPr>
        <w:ind w:left="2160" w:hanging="360"/>
      </w:pPr>
      <w:rPr>
        <w:rFonts w:ascii="Wingdings" w:eastAsia="Wingdings" w:hAnsi="Wingdings" w:cs="Wingdings" w:hint="default"/>
      </w:rPr>
    </w:lvl>
    <w:lvl w:ilvl="3" w:tplc="537086C2">
      <w:start w:val="1"/>
      <w:numFmt w:val="bullet"/>
      <w:lvlText w:val="·"/>
      <w:lvlJc w:val="left"/>
      <w:pPr>
        <w:ind w:left="2880" w:hanging="360"/>
      </w:pPr>
      <w:rPr>
        <w:rFonts w:ascii="Symbol" w:eastAsia="Symbol" w:hAnsi="Symbol" w:cs="Symbol" w:hint="default"/>
      </w:rPr>
    </w:lvl>
    <w:lvl w:ilvl="4" w:tplc="48626B32">
      <w:start w:val="1"/>
      <w:numFmt w:val="bullet"/>
      <w:lvlText w:val="o"/>
      <w:lvlJc w:val="left"/>
      <w:pPr>
        <w:ind w:left="3600" w:hanging="360"/>
      </w:pPr>
      <w:rPr>
        <w:rFonts w:ascii="Courier New" w:eastAsia="Courier New" w:hAnsi="Courier New" w:cs="Courier New" w:hint="default"/>
      </w:rPr>
    </w:lvl>
    <w:lvl w:ilvl="5" w:tplc="CBDA1B58">
      <w:start w:val="1"/>
      <w:numFmt w:val="bullet"/>
      <w:lvlText w:val="§"/>
      <w:lvlJc w:val="left"/>
      <w:pPr>
        <w:ind w:left="4320" w:hanging="360"/>
      </w:pPr>
      <w:rPr>
        <w:rFonts w:ascii="Wingdings" w:eastAsia="Wingdings" w:hAnsi="Wingdings" w:cs="Wingdings" w:hint="default"/>
      </w:rPr>
    </w:lvl>
    <w:lvl w:ilvl="6" w:tplc="4ED47FB2">
      <w:start w:val="1"/>
      <w:numFmt w:val="bullet"/>
      <w:lvlText w:val="·"/>
      <w:lvlJc w:val="left"/>
      <w:pPr>
        <w:ind w:left="5040" w:hanging="360"/>
      </w:pPr>
      <w:rPr>
        <w:rFonts w:ascii="Symbol" w:eastAsia="Symbol" w:hAnsi="Symbol" w:cs="Symbol" w:hint="default"/>
      </w:rPr>
    </w:lvl>
    <w:lvl w:ilvl="7" w:tplc="3286BF56">
      <w:start w:val="1"/>
      <w:numFmt w:val="bullet"/>
      <w:lvlText w:val="o"/>
      <w:lvlJc w:val="left"/>
      <w:pPr>
        <w:ind w:left="5760" w:hanging="360"/>
      </w:pPr>
      <w:rPr>
        <w:rFonts w:ascii="Courier New" w:eastAsia="Courier New" w:hAnsi="Courier New" w:cs="Courier New" w:hint="default"/>
      </w:rPr>
    </w:lvl>
    <w:lvl w:ilvl="8" w:tplc="CF766A08">
      <w:start w:val="1"/>
      <w:numFmt w:val="bullet"/>
      <w:lvlText w:val="§"/>
      <w:lvlJc w:val="left"/>
      <w:pPr>
        <w:ind w:left="6480" w:hanging="360"/>
      </w:pPr>
      <w:rPr>
        <w:rFonts w:ascii="Wingdings" w:eastAsia="Wingdings" w:hAnsi="Wingdings" w:cs="Wingdings" w:hint="default"/>
      </w:rPr>
    </w:lvl>
  </w:abstractNum>
  <w:abstractNum w:abstractNumId="128">
    <w:nsid w:val="77537DDB"/>
    <w:multiLevelType w:val="hybridMultilevel"/>
    <w:tmpl w:val="3B3E1F08"/>
    <w:lvl w:ilvl="0" w:tplc="EB2461FA">
      <w:start w:val="1"/>
      <w:numFmt w:val="bullet"/>
      <w:lvlText w:val="–"/>
      <w:lvlJc w:val="left"/>
      <w:pPr>
        <w:ind w:left="720" w:hanging="360"/>
      </w:pPr>
      <w:rPr>
        <w:rFonts w:ascii="Arial" w:eastAsia="Arial" w:hAnsi="Arial" w:cs="Arial"/>
      </w:rPr>
    </w:lvl>
    <w:lvl w:ilvl="1" w:tplc="1A9E6460">
      <w:start w:val="1"/>
      <w:numFmt w:val="bullet"/>
      <w:lvlText w:val="o"/>
      <w:lvlJc w:val="left"/>
      <w:pPr>
        <w:ind w:left="1440" w:hanging="360"/>
      </w:pPr>
      <w:rPr>
        <w:rFonts w:ascii="Courier New" w:eastAsia="Courier New" w:hAnsi="Courier New" w:cs="Courier New" w:hint="default"/>
      </w:rPr>
    </w:lvl>
    <w:lvl w:ilvl="2" w:tplc="31F884B4">
      <w:start w:val="1"/>
      <w:numFmt w:val="bullet"/>
      <w:lvlText w:val="§"/>
      <w:lvlJc w:val="left"/>
      <w:pPr>
        <w:ind w:left="2160" w:hanging="360"/>
      </w:pPr>
      <w:rPr>
        <w:rFonts w:ascii="Wingdings" w:eastAsia="Wingdings" w:hAnsi="Wingdings" w:cs="Wingdings" w:hint="default"/>
      </w:rPr>
    </w:lvl>
    <w:lvl w:ilvl="3" w:tplc="66F8D57A">
      <w:start w:val="1"/>
      <w:numFmt w:val="bullet"/>
      <w:lvlText w:val="·"/>
      <w:lvlJc w:val="left"/>
      <w:pPr>
        <w:ind w:left="2880" w:hanging="360"/>
      </w:pPr>
      <w:rPr>
        <w:rFonts w:ascii="Symbol" w:eastAsia="Symbol" w:hAnsi="Symbol" w:cs="Symbol" w:hint="default"/>
      </w:rPr>
    </w:lvl>
    <w:lvl w:ilvl="4" w:tplc="352EA0E6">
      <w:start w:val="1"/>
      <w:numFmt w:val="bullet"/>
      <w:lvlText w:val="o"/>
      <w:lvlJc w:val="left"/>
      <w:pPr>
        <w:ind w:left="3600" w:hanging="360"/>
      </w:pPr>
      <w:rPr>
        <w:rFonts w:ascii="Courier New" w:eastAsia="Courier New" w:hAnsi="Courier New" w:cs="Courier New" w:hint="default"/>
      </w:rPr>
    </w:lvl>
    <w:lvl w:ilvl="5" w:tplc="0BA657E4">
      <w:start w:val="1"/>
      <w:numFmt w:val="bullet"/>
      <w:lvlText w:val="§"/>
      <w:lvlJc w:val="left"/>
      <w:pPr>
        <w:ind w:left="4320" w:hanging="360"/>
      </w:pPr>
      <w:rPr>
        <w:rFonts w:ascii="Wingdings" w:eastAsia="Wingdings" w:hAnsi="Wingdings" w:cs="Wingdings" w:hint="default"/>
      </w:rPr>
    </w:lvl>
    <w:lvl w:ilvl="6" w:tplc="4FE20AA6">
      <w:start w:val="1"/>
      <w:numFmt w:val="bullet"/>
      <w:lvlText w:val="·"/>
      <w:lvlJc w:val="left"/>
      <w:pPr>
        <w:ind w:left="5040" w:hanging="360"/>
      </w:pPr>
      <w:rPr>
        <w:rFonts w:ascii="Symbol" w:eastAsia="Symbol" w:hAnsi="Symbol" w:cs="Symbol" w:hint="default"/>
      </w:rPr>
    </w:lvl>
    <w:lvl w:ilvl="7" w:tplc="BC3CD6E6">
      <w:start w:val="1"/>
      <w:numFmt w:val="bullet"/>
      <w:lvlText w:val="o"/>
      <w:lvlJc w:val="left"/>
      <w:pPr>
        <w:ind w:left="5760" w:hanging="360"/>
      </w:pPr>
      <w:rPr>
        <w:rFonts w:ascii="Courier New" w:eastAsia="Courier New" w:hAnsi="Courier New" w:cs="Courier New" w:hint="default"/>
      </w:rPr>
    </w:lvl>
    <w:lvl w:ilvl="8" w:tplc="C542E78C">
      <w:start w:val="1"/>
      <w:numFmt w:val="bullet"/>
      <w:lvlText w:val="§"/>
      <w:lvlJc w:val="left"/>
      <w:pPr>
        <w:ind w:left="6480" w:hanging="360"/>
      </w:pPr>
      <w:rPr>
        <w:rFonts w:ascii="Wingdings" w:eastAsia="Wingdings" w:hAnsi="Wingdings" w:cs="Wingdings" w:hint="default"/>
      </w:rPr>
    </w:lvl>
  </w:abstractNum>
  <w:abstractNum w:abstractNumId="129">
    <w:nsid w:val="79655C8C"/>
    <w:multiLevelType w:val="hybridMultilevel"/>
    <w:tmpl w:val="7DE2CB18"/>
    <w:lvl w:ilvl="0" w:tplc="E6CA6E38">
      <w:start w:val="1"/>
      <w:numFmt w:val="decimal"/>
      <w:lvlText w:val="%1."/>
      <w:lvlJc w:val="left"/>
      <w:pPr>
        <w:ind w:left="1418" w:hanging="360"/>
      </w:pPr>
    </w:lvl>
    <w:lvl w:ilvl="1" w:tplc="C7128258">
      <w:start w:val="1"/>
      <w:numFmt w:val="lowerLetter"/>
      <w:lvlText w:val="%2."/>
      <w:lvlJc w:val="left"/>
      <w:pPr>
        <w:ind w:left="2138" w:hanging="360"/>
      </w:pPr>
    </w:lvl>
    <w:lvl w:ilvl="2" w:tplc="FAD41B52">
      <w:start w:val="1"/>
      <w:numFmt w:val="lowerRoman"/>
      <w:lvlText w:val="%3."/>
      <w:lvlJc w:val="right"/>
      <w:pPr>
        <w:ind w:left="2858" w:hanging="180"/>
      </w:pPr>
    </w:lvl>
    <w:lvl w:ilvl="3" w:tplc="5F76AD28">
      <w:start w:val="1"/>
      <w:numFmt w:val="decimal"/>
      <w:lvlText w:val="%4."/>
      <w:lvlJc w:val="left"/>
      <w:pPr>
        <w:ind w:left="3578" w:hanging="360"/>
      </w:pPr>
    </w:lvl>
    <w:lvl w:ilvl="4" w:tplc="6B40E360">
      <w:start w:val="1"/>
      <w:numFmt w:val="lowerLetter"/>
      <w:lvlText w:val="%5."/>
      <w:lvlJc w:val="left"/>
      <w:pPr>
        <w:ind w:left="4298" w:hanging="360"/>
      </w:pPr>
    </w:lvl>
    <w:lvl w:ilvl="5" w:tplc="84D2FC7A">
      <w:start w:val="1"/>
      <w:numFmt w:val="lowerRoman"/>
      <w:lvlText w:val="%6."/>
      <w:lvlJc w:val="right"/>
      <w:pPr>
        <w:ind w:left="5018" w:hanging="180"/>
      </w:pPr>
    </w:lvl>
    <w:lvl w:ilvl="6" w:tplc="5EDA6812">
      <w:start w:val="1"/>
      <w:numFmt w:val="decimal"/>
      <w:lvlText w:val="%7."/>
      <w:lvlJc w:val="left"/>
      <w:pPr>
        <w:ind w:left="5738" w:hanging="360"/>
      </w:pPr>
    </w:lvl>
    <w:lvl w:ilvl="7" w:tplc="0F02FC6C">
      <w:start w:val="1"/>
      <w:numFmt w:val="lowerLetter"/>
      <w:lvlText w:val="%8."/>
      <w:lvlJc w:val="left"/>
      <w:pPr>
        <w:ind w:left="6458" w:hanging="360"/>
      </w:pPr>
    </w:lvl>
    <w:lvl w:ilvl="8" w:tplc="547460C0">
      <w:start w:val="1"/>
      <w:numFmt w:val="lowerRoman"/>
      <w:lvlText w:val="%9."/>
      <w:lvlJc w:val="right"/>
      <w:pPr>
        <w:ind w:left="7178" w:hanging="180"/>
      </w:pPr>
    </w:lvl>
  </w:abstractNum>
  <w:abstractNum w:abstractNumId="130">
    <w:nsid w:val="7AE90C45"/>
    <w:multiLevelType w:val="hybridMultilevel"/>
    <w:tmpl w:val="216463D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1">
    <w:nsid w:val="7BDA355B"/>
    <w:multiLevelType w:val="hybridMultilevel"/>
    <w:tmpl w:val="642AFE5E"/>
    <w:lvl w:ilvl="0" w:tplc="261C7C40">
      <w:start w:val="1"/>
      <w:numFmt w:val="bullet"/>
      <w:lvlText w:val="–"/>
      <w:lvlJc w:val="left"/>
      <w:pPr>
        <w:ind w:left="720" w:hanging="360"/>
      </w:pPr>
      <w:rPr>
        <w:rFonts w:ascii="Arial" w:eastAsia="Arial" w:hAnsi="Arial" w:cs="Arial"/>
      </w:rPr>
    </w:lvl>
    <w:lvl w:ilvl="1" w:tplc="410A7C2E">
      <w:start w:val="1"/>
      <w:numFmt w:val="bullet"/>
      <w:lvlText w:val="o"/>
      <w:lvlJc w:val="left"/>
      <w:pPr>
        <w:ind w:left="1440" w:hanging="360"/>
      </w:pPr>
      <w:rPr>
        <w:rFonts w:ascii="Courier New" w:eastAsia="Courier New" w:hAnsi="Courier New" w:cs="Courier New" w:hint="default"/>
      </w:rPr>
    </w:lvl>
    <w:lvl w:ilvl="2" w:tplc="6B844962">
      <w:start w:val="1"/>
      <w:numFmt w:val="bullet"/>
      <w:lvlText w:val="§"/>
      <w:lvlJc w:val="left"/>
      <w:pPr>
        <w:ind w:left="2160" w:hanging="360"/>
      </w:pPr>
      <w:rPr>
        <w:rFonts w:ascii="Wingdings" w:eastAsia="Wingdings" w:hAnsi="Wingdings" w:cs="Wingdings" w:hint="default"/>
      </w:rPr>
    </w:lvl>
    <w:lvl w:ilvl="3" w:tplc="C2C6CD9C">
      <w:start w:val="1"/>
      <w:numFmt w:val="bullet"/>
      <w:lvlText w:val="·"/>
      <w:lvlJc w:val="left"/>
      <w:pPr>
        <w:ind w:left="2880" w:hanging="360"/>
      </w:pPr>
      <w:rPr>
        <w:rFonts w:ascii="Symbol" w:eastAsia="Symbol" w:hAnsi="Symbol" w:cs="Symbol" w:hint="default"/>
      </w:rPr>
    </w:lvl>
    <w:lvl w:ilvl="4" w:tplc="5F604658">
      <w:start w:val="1"/>
      <w:numFmt w:val="bullet"/>
      <w:lvlText w:val="o"/>
      <w:lvlJc w:val="left"/>
      <w:pPr>
        <w:ind w:left="3600" w:hanging="360"/>
      </w:pPr>
      <w:rPr>
        <w:rFonts w:ascii="Courier New" w:eastAsia="Courier New" w:hAnsi="Courier New" w:cs="Courier New" w:hint="default"/>
      </w:rPr>
    </w:lvl>
    <w:lvl w:ilvl="5" w:tplc="F0548EB8">
      <w:start w:val="1"/>
      <w:numFmt w:val="bullet"/>
      <w:lvlText w:val="§"/>
      <w:lvlJc w:val="left"/>
      <w:pPr>
        <w:ind w:left="4320" w:hanging="360"/>
      </w:pPr>
      <w:rPr>
        <w:rFonts w:ascii="Wingdings" w:eastAsia="Wingdings" w:hAnsi="Wingdings" w:cs="Wingdings" w:hint="default"/>
      </w:rPr>
    </w:lvl>
    <w:lvl w:ilvl="6" w:tplc="ADAAC2B0">
      <w:start w:val="1"/>
      <w:numFmt w:val="bullet"/>
      <w:lvlText w:val="·"/>
      <w:lvlJc w:val="left"/>
      <w:pPr>
        <w:ind w:left="5040" w:hanging="360"/>
      </w:pPr>
      <w:rPr>
        <w:rFonts w:ascii="Symbol" w:eastAsia="Symbol" w:hAnsi="Symbol" w:cs="Symbol" w:hint="default"/>
      </w:rPr>
    </w:lvl>
    <w:lvl w:ilvl="7" w:tplc="7DFA71C6">
      <w:start w:val="1"/>
      <w:numFmt w:val="bullet"/>
      <w:lvlText w:val="o"/>
      <w:lvlJc w:val="left"/>
      <w:pPr>
        <w:ind w:left="5760" w:hanging="360"/>
      </w:pPr>
      <w:rPr>
        <w:rFonts w:ascii="Courier New" w:eastAsia="Courier New" w:hAnsi="Courier New" w:cs="Courier New" w:hint="default"/>
      </w:rPr>
    </w:lvl>
    <w:lvl w:ilvl="8" w:tplc="55DE7A3E">
      <w:start w:val="1"/>
      <w:numFmt w:val="bullet"/>
      <w:lvlText w:val="§"/>
      <w:lvlJc w:val="left"/>
      <w:pPr>
        <w:ind w:left="6480" w:hanging="360"/>
      </w:pPr>
      <w:rPr>
        <w:rFonts w:ascii="Wingdings" w:eastAsia="Wingdings" w:hAnsi="Wingdings" w:cs="Wingdings" w:hint="default"/>
      </w:rPr>
    </w:lvl>
  </w:abstractNum>
  <w:abstractNum w:abstractNumId="132">
    <w:nsid w:val="7E067D43"/>
    <w:multiLevelType w:val="hybridMultilevel"/>
    <w:tmpl w:val="74C65F84"/>
    <w:lvl w:ilvl="0" w:tplc="B7E441E0">
      <w:start w:val="1"/>
      <w:numFmt w:val="bullet"/>
      <w:lvlText w:val="–"/>
      <w:lvlJc w:val="left"/>
      <w:pPr>
        <w:ind w:left="720" w:hanging="360"/>
      </w:pPr>
      <w:rPr>
        <w:rFonts w:ascii="Arial" w:eastAsia="Arial" w:hAnsi="Arial" w:cs="Arial"/>
      </w:rPr>
    </w:lvl>
    <w:lvl w:ilvl="1" w:tplc="98E63F76">
      <w:start w:val="1"/>
      <w:numFmt w:val="bullet"/>
      <w:lvlText w:val="o"/>
      <w:lvlJc w:val="left"/>
      <w:pPr>
        <w:ind w:left="1440" w:hanging="360"/>
      </w:pPr>
      <w:rPr>
        <w:rFonts w:ascii="Courier New" w:eastAsia="Courier New" w:hAnsi="Courier New" w:cs="Courier New" w:hint="default"/>
      </w:rPr>
    </w:lvl>
    <w:lvl w:ilvl="2" w:tplc="17AECAF0">
      <w:start w:val="1"/>
      <w:numFmt w:val="bullet"/>
      <w:lvlText w:val="§"/>
      <w:lvlJc w:val="left"/>
      <w:pPr>
        <w:ind w:left="2160" w:hanging="360"/>
      </w:pPr>
      <w:rPr>
        <w:rFonts w:ascii="Wingdings" w:eastAsia="Wingdings" w:hAnsi="Wingdings" w:cs="Wingdings" w:hint="default"/>
      </w:rPr>
    </w:lvl>
    <w:lvl w:ilvl="3" w:tplc="DEF8660E">
      <w:start w:val="1"/>
      <w:numFmt w:val="bullet"/>
      <w:lvlText w:val="·"/>
      <w:lvlJc w:val="left"/>
      <w:pPr>
        <w:ind w:left="2880" w:hanging="360"/>
      </w:pPr>
      <w:rPr>
        <w:rFonts w:ascii="Symbol" w:eastAsia="Symbol" w:hAnsi="Symbol" w:cs="Symbol" w:hint="default"/>
      </w:rPr>
    </w:lvl>
    <w:lvl w:ilvl="4" w:tplc="7C44E226">
      <w:start w:val="1"/>
      <w:numFmt w:val="bullet"/>
      <w:lvlText w:val="o"/>
      <w:lvlJc w:val="left"/>
      <w:pPr>
        <w:ind w:left="3600" w:hanging="360"/>
      </w:pPr>
      <w:rPr>
        <w:rFonts w:ascii="Courier New" w:eastAsia="Courier New" w:hAnsi="Courier New" w:cs="Courier New" w:hint="default"/>
      </w:rPr>
    </w:lvl>
    <w:lvl w:ilvl="5" w:tplc="56321548">
      <w:start w:val="1"/>
      <w:numFmt w:val="bullet"/>
      <w:lvlText w:val="§"/>
      <w:lvlJc w:val="left"/>
      <w:pPr>
        <w:ind w:left="4320" w:hanging="360"/>
      </w:pPr>
      <w:rPr>
        <w:rFonts w:ascii="Wingdings" w:eastAsia="Wingdings" w:hAnsi="Wingdings" w:cs="Wingdings" w:hint="default"/>
      </w:rPr>
    </w:lvl>
    <w:lvl w:ilvl="6" w:tplc="DF8A5E32">
      <w:start w:val="1"/>
      <w:numFmt w:val="bullet"/>
      <w:lvlText w:val="·"/>
      <w:lvlJc w:val="left"/>
      <w:pPr>
        <w:ind w:left="5040" w:hanging="360"/>
      </w:pPr>
      <w:rPr>
        <w:rFonts w:ascii="Symbol" w:eastAsia="Symbol" w:hAnsi="Symbol" w:cs="Symbol" w:hint="default"/>
      </w:rPr>
    </w:lvl>
    <w:lvl w:ilvl="7" w:tplc="3490EFB4">
      <w:start w:val="1"/>
      <w:numFmt w:val="bullet"/>
      <w:lvlText w:val="o"/>
      <w:lvlJc w:val="left"/>
      <w:pPr>
        <w:ind w:left="5760" w:hanging="360"/>
      </w:pPr>
      <w:rPr>
        <w:rFonts w:ascii="Courier New" w:eastAsia="Courier New" w:hAnsi="Courier New" w:cs="Courier New" w:hint="default"/>
      </w:rPr>
    </w:lvl>
    <w:lvl w:ilvl="8" w:tplc="7C7C1868">
      <w:start w:val="1"/>
      <w:numFmt w:val="bullet"/>
      <w:lvlText w:val="§"/>
      <w:lvlJc w:val="left"/>
      <w:pPr>
        <w:ind w:left="6480" w:hanging="360"/>
      </w:pPr>
      <w:rPr>
        <w:rFonts w:ascii="Wingdings" w:eastAsia="Wingdings" w:hAnsi="Wingdings" w:cs="Wingdings" w:hint="default"/>
      </w:rPr>
    </w:lvl>
  </w:abstractNum>
  <w:num w:numId="1">
    <w:abstractNumId w:val="112"/>
  </w:num>
  <w:num w:numId="2">
    <w:abstractNumId w:val="6"/>
  </w:num>
  <w:num w:numId="3">
    <w:abstractNumId w:val="118"/>
  </w:num>
  <w:num w:numId="4">
    <w:abstractNumId w:val="101"/>
  </w:num>
  <w:num w:numId="5">
    <w:abstractNumId w:val="70"/>
  </w:num>
  <w:num w:numId="6">
    <w:abstractNumId w:val="5"/>
  </w:num>
  <w:num w:numId="7">
    <w:abstractNumId w:val="84"/>
  </w:num>
  <w:num w:numId="8">
    <w:abstractNumId w:val="25"/>
  </w:num>
  <w:num w:numId="9">
    <w:abstractNumId w:val="0"/>
  </w:num>
  <w:num w:numId="10">
    <w:abstractNumId w:val="4"/>
  </w:num>
  <w:num w:numId="11">
    <w:abstractNumId w:val="105"/>
  </w:num>
  <w:num w:numId="12">
    <w:abstractNumId w:val="22"/>
  </w:num>
  <w:num w:numId="13">
    <w:abstractNumId w:val="82"/>
  </w:num>
  <w:num w:numId="14">
    <w:abstractNumId w:val="58"/>
  </w:num>
  <w:num w:numId="15">
    <w:abstractNumId w:val="116"/>
  </w:num>
  <w:num w:numId="16">
    <w:abstractNumId w:val="77"/>
  </w:num>
  <w:num w:numId="17">
    <w:abstractNumId w:val="104"/>
  </w:num>
  <w:num w:numId="18">
    <w:abstractNumId w:val="35"/>
  </w:num>
  <w:num w:numId="19">
    <w:abstractNumId w:val="34"/>
  </w:num>
  <w:num w:numId="20">
    <w:abstractNumId w:val="20"/>
  </w:num>
  <w:num w:numId="21">
    <w:abstractNumId w:val="131"/>
  </w:num>
  <w:num w:numId="22">
    <w:abstractNumId w:val="80"/>
  </w:num>
  <w:num w:numId="23">
    <w:abstractNumId w:val="31"/>
  </w:num>
  <w:num w:numId="24">
    <w:abstractNumId w:val="69"/>
  </w:num>
  <w:num w:numId="25">
    <w:abstractNumId w:val="129"/>
  </w:num>
  <w:num w:numId="26">
    <w:abstractNumId w:val="103"/>
  </w:num>
  <w:num w:numId="27">
    <w:abstractNumId w:val="65"/>
  </w:num>
  <w:num w:numId="28">
    <w:abstractNumId w:val="13"/>
  </w:num>
  <w:num w:numId="29">
    <w:abstractNumId w:val="86"/>
  </w:num>
  <w:num w:numId="30">
    <w:abstractNumId w:val="92"/>
  </w:num>
  <w:num w:numId="31">
    <w:abstractNumId w:val="41"/>
  </w:num>
  <w:num w:numId="32">
    <w:abstractNumId w:val="23"/>
  </w:num>
  <w:num w:numId="33">
    <w:abstractNumId w:val="98"/>
  </w:num>
  <w:num w:numId="34">
    <w:abstractNumId w:val="124"/>
  </w:num>
  <w:num w:numId="35">
    <w:abstractNumId w:val="14"/>
  </w:num>
  <w:num w:numId="36">
    <w:abstractNumId w:val="16"/>
  </w:num>
  <w:num w:numId="37">
    <w:abstractNumId w:val="54"/>
  </w:num>
  <w:num w:numId="38">
    <w:abstractNumId w:val="72"/>
  </w:num>
  <w:num w:numId="39">
    <w:abstractNumId w:val="49"/>
  </w:num>
  <w:num w:numId="40">
    <w:abstractNumId w:val="108"/>
  </w:num>
  <w:num w:numId="41">
    <w:abstractNumId w:val="107"/>
  </w:num>
  <w:num w:numId="42">
    <w:abstractNumId w:val="71"/>
  </w:num>
  <w:num w:numId="43">
    <w:abstractNumId w:val="120"/>
  </w:num>
  <w:num w:numId="44">
    <w:abstractNumId w:val="109"/>
  </w:num>
  <w:num w:numId="45">
    <w:abstractNumId w:val="56"/>
  </w:num>
  <w:num w:numId="46">
    <w:abstractNumId w:val="50"/>
  </w:num>
  <w:num w:numId="47">
    <w:abstractNumId w:val="24"/>
  </w:num>
  <w:num w:numId="48">
    <w:abstractNumId w:val="87"/>
  </w:num>
  <w:num w:numId="49">
    <w:abstractNumId w:val="43"/>
  </w:num>
  <w:num w:numId="50">
    <w:abstractNumId w:val="81"/>
  </w:num>
  <w:num w:numId="51">
    <w:abstractNumId w:val="115"/>
  </w:num>
  <w:num w:numId="52">
    <w:abstractNumId w:val="68"/>
  </w:num>
  <w:num w:numId="53">
    <w:abstractNumId w:val="73"/>
  </w:num>
  <w:num w:numId="54">
    <w:abstractNumId w:val="47"/>
  </w:num>
  <w:num w:numId="55">
    <w:abstractNumId w:val="33"/>
  </w:num>
  <w:num w:numId="56">
    <w:abstractNumId w:val="102"/>
  </w:num>
  <w:num w:numId="57">
    <w:abstractNumId w:val="122"/>
  </w:num>
  <w:num w:numId="58">
    <w:abstractNumId w:val="19"/>
  </w:num>
  <w:num w:numId="59">
    <w:abstractNumId w:val="95"/>
  </w:num>
  <w:num w:numId="60">
    <w:abstractNumId w:val="62"/>
  </w:num>
  <w:num w:numId="61">
    <w:abstractNumId w:val="111"/>
  </w:num>
  <w:num w:numId="62">
    <w:abstractNumId w:val="61"/>
  </w:num>
  <w:num w:numId="63">
    <w:abstractNumId w:val="55"/>
  </w:num>
  <w:num w:numId="64">
    <w:abstractNumId w:val="63"/>
  </w:num>
  <w:num w:numId="65">
    <w:abstractNumId w:val="78"/>
  </w:num>
  <w:num w:numId="66">
    <w:abstractNumId w:val="17"/>
  </w:num>
  <w:num w:numId="67">
    <w:abstractNumId w:val="52"/>
  </w:num>
  <w:num w:numId="68">
    <w:abstractNumId w:val="96"/>
  </w:num>
  <w:num w:numId="69">
    <w:abstractNumId w:val="21"/>
  </w:num>
  <w:num w:numId="70">
    <w:abstractNumId w:val="32"/>
  </w:num>
  <w:num w:numId="71">
    <w:abstractNumId w:val="110"/>
  </w:num>
  <w:num w:numId="72">
    <w:abstractNumId w:val="37"/>
  </w:num>
  <w:num w:numId="73">
    <w:abstractNumId w:val="99"/>
  </w:num>
  <w:num w:numId="74">
    <w:abstractNumId w:val="45"/>
  </w:num>
  <w:num w:numId="75">
    <w:abstractNumId w:val="74"/>
  </w:num>
  <w:num w:numId="76">
    <w:abstractNumId w:val="46"/>
  </w:num>
  <w:num w:numId="77">
    <w:abstractNumId w:val="91"/>
  </w:num>
  <w:num w:numId="78">
    <w:abstractNumId w:val="75"/>
  </w:num>
  <w:num w:numId="79">
    <w:abstractNumId w:val="79"/>
  </w:num>
  <w:num w:numId="80">
    <w:abstractNumId w:val="40"/>
  </w:num>
  <w:num w:numId="81">
    <w:abstractNumId w:val="28"/>
  </w:num>
  <w:num w:numId="82">
    <w:abstractNumId w:val="1"/>
  </w:num>
  <w:num w:numId="83">
    <w:abstractNumId w:val="2"/>
  </w:num>
  <w:num w:numId="84">
    <w:abstractNumId w:val="106"/>
  </w:num>
  <w:num w:numId="85">
    <w:abstractNumId w:val="3"/>
  </w:num>
  <w:num w:numId="86">
    <w:abstractNumId w:val="9"/>
  </w:num>
  <w:num w:numId="87">
    <w:abstractNumId w:val="126"/>
  </w:num>
  <w:num w:numId="88">
    <w:abstractNumId w:val="39"/>
  </w:num>
  <w:num w:numId="89">
    <w:abstractNumId w:val="97"/>
  </w:num>
  <w:num w:numId="90">
    <w:abstractNumId w:val="100"/>
  </w:num>
  <w:num w:numId="91">
    <w:abstractNumId w:val="125"/>
  </w:num>
  <w:num w:numId="92">
    <w:abstractNumId w:val="15"/>
  </w:num>
  <w:num w:numId="93">
    <w:abstractNumId w:val="12"/>
  </w:num>
  <w:num w:numId="94">
    <w:abstractNumId w:val="123"/>
  </w:num>
  <w:num w:numId="95">
    <w:abstractNumId w:val="85"/>
  </w:num>
  <w:num w:numId="96">
    <w:abstractNumId w:val="67"/>
  </w:num>
  <w:num w:numId="97">
    <w:abstractNumId w:val="10"/>
  </w:num>
  <w:num w:numId="98">
    <w:abstractNumId w:val="44"/>
  </w:num>
  <w:num w:numId="99">
    <w:abstractNumId w:val="121"/>
  </w:num>
  <w:num w:numId="100">
    <w:abstractNumId w:val="127"/>
  </w:num>
  <w:num w:numId="101">
    <w:abstractNumId w:val="30"/>
  </w:num>
  <w:num w:numId="102">
    <w:abstractNumId w:val="76"/>
  </w:num>
  <w:num w:numId="103">
    <w:abstractNumId w:val="66"/>
  </w:num>
  <w:num w:numId="104">
    <w:abstractNumId w:val="132"/>
  </w:num>
  <w:num w:numId="105">
    <w:abstractNumId w:val="128"/>
  </w:num>
  <w:num w:numId="106">
    <w:abstractNumId w:val="90"/>
  </w:num>
  <w:num w:numId="107">
    <w:abstractNumId w:val="119"/>
  </w:num>
  <w:num w:numId="108">
    <w:abstractNumId w:val="11"/>
  </w:num>
  <w:num w:numId="109">
    <w:abstractNumId w:val="93"/>
  </w:num>
  <w:num w:numId="110">
    <w:abstractNumId w:val="113"/>
  </w:num>
  <w:num w:numId="111">
    <w:abstractNumId w:val="89"/>
  </w:num>
  <w:num w:numId="112">
    <w:abstractNumId w:val="29"/>
  </w:num>
  <w:num w:numId="113">
    <w:abstractNumId w:val="114"/>
  </w:num>
  <w:num w:numId="114">
    <w:abstractNumId w:val="8"/>
  </w:num>
  <w:num w:numId="115">
    <w:abstractNumId w:val="7"/>
  </w:num>
  <w:num w:numId="116">
    <w:abstractNumId w:val="48"/>
  </w:num>
  <w:num w:numId="117">
    <w:abstractNumId w:val="36"/>
  </w:num>
  <w:num w:numId="118">
    <w:abstractNumId w:val="42"/>
  </w:num>
  <w:num w:numId="119">
    <w:abstractNumId w:val="60"/>
  </w:num>
  <w:num w:numId="120">
    <w:abstractNumId w:val="59"/>
  </w:num>
  <w:num w:numId="121">
    <w:abstractNumId w:val="18"/>
  </w:num>
  <w:num w:numId="122">
    <w:abstractNumId w:val="53"/>
  </w:num>
  <w:num w:numId="123">
    <w:abstractNumId w:val="57"/>
  </w:num>
  <w:num w:numId="124">
    <w:abstractNumId w:val="117"/>
  </w:num>
  <w:num w:numId="125">
    <w:abstractNumId w:val="94"/>
  </w:num>
  <w:num w:numId="126">
    <w:abstractNumId w:val="64"/>
  </w:num>
  <w:num w:numId="127">
    <w:abstractNumId w:val="83"/>
  </w:num>
  <w:num w:numId="128">
    <w:abstractNumId w:val="51"/>
  </w:num>
  <w:num w:numId="129">
    <w:abstractNumId w:val="27"/>
  </w:num>
  <w:num w:numId="130">
    <w:abstractNumId w:val="26"/>
  </w:num>
  <w:num w:numId="131">
    <w:abstractNumId w:val="130"/>
  </w:num>
  <w:num w:numId="132">
    <w:abstractNumId w:val="38"/>
  </w:num>
  <w:num w:numId="133">
    <w:abstractNumId w:val="88"/>
  </w:num>
  <w:numIdMacAtCleanup w:val="1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1AA8"/>
    <w:rsid w:val="00000F84"/>
    <w:rsid w:val="000068DE"/>
    <w:rsid w:val="000115F2"/>
    <w:rsid w:val="00014B27"/>
    <w:rsid w:val="00017E6C"/>
    <w:rsid w:val="00023275"/>
    <w:rsid w:val="00023B24"/>
    <w:rsid w:val="000312EC"/>
    <w:rsid w:val="0004064D"/>
    <w:rsid w:val="00040D2F"/>
    <w:rsid w:val="00051CF3"/>
    <w:rsid w:val="00065131"/>
    <w:rsid w:val="00065AA3"/>
    <w:rsid w:val="00076CFF"/>
    <w:rsid w:val="00082C86"/>
    <w:rsid w:val="000874FB"/>
    <w:rsid w:val="00087AAD"/>
    <w:rsid w:val="00090DAF"/>
    <w:rsid w:val="000A72CA"/>
    <w:rsid w:val="000B6128"/>
    <w:rsid w:val="000B667E"/>
    <w:rsid w:val="000B782A"/>
    <w:rsid w:val="000C5E62"/>
    <w:rsid w:val="000D173B"/>
    <w:rsid w:val="000D2CEA"/>
    <w:rsid w:val="000D48F5"/>
    <w:rsid w:val="000E5465"/>
    <w:rsid w:val="000E5B6F"/>
    <w:rsid w:val="000F2C8B"/>
    <w:rsid w:val="000F4D3C"/>
    <w:rsid w:val="000F6ACA"/>
    <w:rsid w:val="000F737F"/>
    <w:rsid w:val="000F78CE"/>
    <w:rsid w:val="00112AFC"/>
    <w:rsid w:val="00114B07"/>
    <w:rsid w:val="0014132B"/>
    <w:rsid w:val="00144027"/>
    <w:rsid w:val="0014556C"/>
    <w:rsid w:val="00151610"/>
    <w:rsid w:val="00157038"/>
    <w:rsid w:val="00163E7A"/>
    <w:rsid w:val="00171AA8"/>
    <w:rsid w:val="00174C12"/>
    <w:rsid w:val="001816B6"/>
    <w:rsid w:val="00181FEE"/>
    <w:rsid w:val="0018442F"/>
    <w:rsid w:val="00186B84"/>
    <w:rsid w:val="00187404"/>
    <w:rsid w:val="001A2F20"/>
    <w:rsid w:val="001B22B7"/>
    <w:rsid w:val="001C4EF9"/>
    <w:rsid w:val="001D59C1"/>
    <w:rsid w:val="001D7D85"/>
    <w:rsid w:val="001E12AA"/>
    <w:rsid w:val="001E625E"/>
    <w:rsid w:val="001E6D0C"/>
    <w:rsid w:val="002160AF"/>
    <w:rsid w:val="00243810"/>
    <w:rsid w:val="002455DE"/>
    <w:rsid w:val="0024774D"/>
    <w:rsid w:val="002505CE"/>
    <w:rsid w:val="002635BA"/>
    <w:rsid w:val="002719D0"/>
    <w:rsid w:val="00276B70"/>
    <w:rsid w:val="002948D1"/>
    <w:rsid w:val="002A24B8"/>
    <w:rsid w:val="002A37F7"/>
    <w:rsid w:val="002B29B6"/>
    <w:rsid w:val="002B7019"/>
    <w:rsid w:val="002C05AF"/>
    <w:rsid w:val="002C4E4A"/>
    <w:rsid w:val="002D4BFD"/>
    <w:rsid w:val="002D51D1"/>
    <w:rsid w:val="002E12B7"/>
    <w:rsid w:val="002F0AB0"/>
    <w:rsid w:val="002F1CC7"/>
    <w:rsid w:val="003022EB"/>
    <w:rsid w:val="00302E11"/>
    <w:rsid w:val="003042C9"/>
    <w:rsid w:val="00317751"/>
    <w:rsid w:val="00332FAB"/>
    <w:rsid w:val="003411D0"/>
    <w:rsid w:val="00343545"/>
    <w:rsid w:val="00343801"/>
    <w:rsid w:val="003460EA"/>
    <w:rsid w:val="00351CE9"/>
    <w:rsid w:val="00354158"/>
    <w:rsid w:val="00357DCA"/>
    <w:rsid w:val="00365951"/>
    <w:rsid w:val="00365EF5"/>
    <w:rsid w:val="003707AB"/>
    <w:rsid w:val="003879CC"/>
    <w:rsid w:val="00393F4E"/>
    <w:rsid w:val="00397502"/>
    <w:rsid w:val="003A595D"/>
    <w:rsid w:val="003A7755"/>
    <w:rsid w:val="003B153A"/>
    <w:rsid w:val="003B2779"/>
    <w:rsid w:val="003B4FEF"/>
    <w:rsid w:val="003B6692"/>
    <w:rsid w:val="003C5559"/>
    <w:rsid w:val="003C6773"/>
    <w:rsid w:val="003C78EB"/>
    <w:rsid w:val="003D4DDC"/>
    <w:rsid w:val="003E439F"/>
    <w:rsid w:val="003E4882"/>
    <w:rsid w:val="003F00EB"/>
    <w:rsid w:val="003F520D"/>
    <w:rsid w:val="00403890"/>
    <w:rsid w:val="00404942"/>
    <w:rsid w:val="00416942"/>
    <w:rsid w:val="00422170"/>
    <w:rsid w:val="00423B27"/>
    <w:rsid w:val="00445196"/>
    <w:rsid w:val="00445639"/>
    <w:rsid w:val="00446C14"/>
    <w:rsid w:val="00454143"/>
    <w:rsid w:val="00454FD6"/>
    <w:rsid w:val="00457673"/>
    <w:rsid w:val="00466A10"/>
    <w:rsid w:val="00473909"/>
    <w:rsid w:val="00474476"/>
    <w:rsid w:val="00475A8E"/>
    <w:rsid w:val="0048468C"/>
    <w:rsid w:val="00497240"/>
    <w:rsid w:val="004A77FD"/>
    <w:rsid w:val="004C3819"/>
    <w:rsid w:val="004D62B6"/>
    <w:rsid w:val="004D7C1B"/>
    <w:rsid w:val="004E2F72"/>
    <w:rsid w:val="004F0A49"/>
    <w:rsid w:val="004F1109"/>
    <w:rsid w:val="005078BB"/>
    <w:rsid w:val="00516CA0"/>
    <w:rsid w:val="0052190C"/>
    <w:rsid w:val="00542ACE"/>
    <w:rsid w:val="00550557"/>
    <w:rsid w:val="00556BE6"/>
    <w:rsid w:val="00560DDD"/>
    <w:rsid w:val="00577496"/>
    <w:rsid w:val="0058161E"/>
    <w:rsid w:val="005842DE"/>
    <w:rsid w:val="00594330"/>
    <w:rsid w:val="00595CA6"/>
    <w:rsid w:val="005D626F"/>
    <w:rsid w:val="005E3E3A"/>
    <w:rsid w:val="005E5139"/>
    <w:rsid w:val="005F2D4D"/>
    <w:rsid w:val="00604668"/>
    <w:rsid w:val="00631561"/>
    <w:rsid w:val="00637918"/>
    <w:rsid w:val="00642AE5"/>
    <w:rsid w:val="006530E4"/>
    <w:rsid w:val="0065410D"/>
    <w:rsid w:val="00660354"/>
    <w:rsid w:val="006825F1"/>
    <w:rsid w:val="00683317"/>
    <w:rsid w:val="0068356D"/>
    <w:rsid w:val="00694F84"/>
    <w:rsid w:val="00696F23"/>
    <w:rsid w:val="006B0212"/>
    <w:rsid w:val="006B40AD"/>
    <w:rsid w:val="006B7AF5"/>
    <w:rsid w:val="006C152B"/>
    <w:rsid w:val="006C6912"/>
    <w:rsid w:val="006C7DE5"/>
    <w:rsid w:val="007030E6"/>
    <w:rsid w:val="00706447"/>
    <w:rsid w:val="0070704B"/>
    <w:rsid w:val="0070771B"/>
    <w:rsid w:val="00707D6B"/>
    <w:rsid w:val="00717AA7"/>
    <w:rsid w:val="0072402E"/>
    <w:rsid w:val="00730362"/>
    <w:rsid w:val="00731FE2"/>
    <w:rsid w:val="00732CE9"/>
    <w:rsid w:val="00743CB1"/>
    <w:rsid w:val="00745E4D"/>
    <w:rsid w:val="00753990"/>
    <w:rsid w:val="00753B5A"/>
    <w:rsid w:val="00756B1F"/>
    <w:rsid w:val="007637B5"/>
    <w:rsid w:val="00763D7E"/>
    <w:rsid w:val="00775234"/>
    <w:rsid w:val="007832E7"/>
    <w:rsid w:val="00784037"/>
    <w:rsid w:val="0078723C"/>
    <w:rsid w:val="00787376"/>
    <w:rsid w:val="007935AB"/>
    <w:rsid w:val="007940EC"/>
    <w:rsid w:val="007B214F"/>
    <w:rsid w:val="007B3252"/>
    <w:rsid w:val="007C0ADD"/>
    <w:rsid w:val="007C1F6E"/>
    <w:rsid w:val="007C46CA"/>
    <w:rsid w:val="007C5915"/>
    <w:rsid w:val="007C5A62"/>
    <w:rsid w:val="007C699D"/>
    <w:rsid w:val="007F4617"/>
    <w:rsid w:val="007F655B"/>
    <w:rsid w:val="00801F0D"/>
    <w:rsid w:val="008045BD"/>
    <w:rsid w:val="008246F5"/>
    <w:rsid w:val="00824EC7"/>
    <w:rsid w:val="00863B05"/>
    <w:rsid w:val="00865C39"/>
    <w:rsid w:val="00871EE7"/>
    <w:rsid w:val="00883090"/>
    <w:rsid w:val="00887871"/>
    <w:rsid w:val="008B0AA2"/>
    <w:rsid w:val="008C630D"/>
    <w:rsid w:val="008D0AC5"/>
    <w:rsid w:val="008D213F"/>
    <w:rsid w:val="008D364F"/>
    <w:rsid w:val="008D3FEE"/>
    <w:rsid w:val="008D5B76"/>
    <w:rsid w:val="008D702D"/>
    <w:rsid w:val="008E1343"/>
    <w:rsid w:val="008E31E9"/>
    <w:rsid w:val="008F13E3"/>
    <w:rsid w:val="009025C3"/>
    <w:rsid w:val="00902F18"/>
    <w:rsid w:val="00926026"/>
    <w:rsid w:val="00927608"/>
    <w:rsid w:val="009315F0"/>
    <w:rsid w:val="00934DF9"/>
    <w:rsid w:val="00934FDC"/>
    <w:rsid w:val="0093579E"/>
    <w:rsid w:val="009372FE"/>
    <w:rsid w:val="00937689"/>
    <w:rsid w:val="0095738B"/>
    <w:rsid w:val="00967120"/>
    <w:rsid w:val="00974146"/>
    <w:rsid w:val="00991A08"/>
    <w:rsid w:val="009B6BDD"/>
    <w:rsid w:val="009C057C"/>
    <w:rsid w:val="009D293E"/>
    <w:rsid w:val="009D5C8F"/>
    <w:rsid w:val="009E5E9F"/>
    <w:rsid w:val="009F19FB"/>
    <w:rsid w:val="009F2575"/>
    <w:rsid w:val="009F50E0"/>
    <w:rsid w:val="009F6F1D"/>
    <w:rsid w:val="00A14233"/>
    <w:rsid w:val="00A242FD"/>
    <w:rsid w:val="00A30D63"/>
    <w:rsid w:val="00A31712"/>
    <w:rsid w:val="00A341A6"/>
    <w:rsid w:val="00A42B56"/>
    <w:rsid w:val="00A4474C"/>
    <w:rsid w:val="00A4523A"/>
    <w:rsid w:val="00A46EEE"/>
    <w:rsid w:val="00A508F3"/>
    <w:rsid w:val="00A576F7"/>
    <w:rsid w:val="00A632CE"/>
    <w:rsid w:val="00A64EFE"/>
    <w:rsid w:val="00A71BE5"/>
    <w:rsid w:val="00A72799"/>
    <w:rsid w:val="00A879D3"/>
    <w:rsid w:val="00A90F57"/>
    <w:rsid w:val="00AA6D11"/>
    <w:rsid w:val="00AC030C"/>
    <w:rsid w:val="00AC0394"/>
    <w:rsid w:val="00AC0638"/>
    <w:rsid w:val="00AD373C"/>
    <w:rsid w:val="00AE0D79"/>
    <w:rsid w:val="00AF3076"/>
    <w:rsid w:val="00B0252F"/>
    <w:rsid w:val="00B043D3"/>
    <w:rsid w:val="00B06966"/>
    <w:rsid w:val="00B148EE"/>
    <w:rsid w:val="00B31AD8"/>
    <w:rsid w:val="00B36194"/>
    <w:rsid w:val="00B55403"/>
    <w:rsid w:val="00B559CF"/>
    <w:rsid w:val="00B749DB"/>
    <w:rsid w:val="00B83241"/>
    <w:rsid w:val="00B85507"/>
    <w:rsid w:val="00B955FB"/>
    <w:rsid w:val="00BB076E"/>
    <w:rsid w:val="00BB2011"/>
    <w:rsid w:val="00BB35B1"/>
    <w:rsid w:val="00BB6D35"/>
    <w:rsid w:val="00BD6F4A"/>
    <w:rsid w:val="00BE12F8"/>
    <w:rsid w:val="00BE59BF"/>
    <w:rsid w:val="00BF7FBD"/>
    <w:rsid w:val="00C058F5"/>
    <w:rsid w:val="00C07F4C"/>
    <w:rsid w:val="00C157D0"/>
    <w:rsid w:val="00C17568"/>
    <w:rsid w:val="00C22465"/>
    <w:rsid w:val="00C271E6"/>
    <w:rsid w:val="00C44877"/>
    <w:rsid w:val="00C50915"/>
    <w:rsid w:val="00C53CC4"/>
    <w:rsid w:val="00C61512"/>
    <w:rsid w:val="00C810F5"/>
    <w:rsid w:val="00C81A35"/>
    <w:rsid w:val="00C837D3"/>
    <w:rsid w:val="00C84C65"/>
    <w:rsid w:val="00C974E7"/>
    <w:rsid w:val="00CA121F"/>
    <w:rsid w:val="00CA1D45"/>
    <w:rsid w:val="00CB02EA"/>
    <w:rsid w:val="00CB1156"/>
    <w:rsid w:val="00CB645C"/>
    <w:rsid w:val="00CC6125"/>
    <w:rsid w:val="00CC69CA"/>
    <w:rsid w:val="00CC75B2"/>
    <w:rsid w:val="00CD5804"/>
    <w:rsid w:val="00CF359B"/>
    <w:rsid w:val="00D11BB5"/>
    <w:rsid w:val="00D154A0"/>
    <w:rsid w:val="00D179D8"/>
    <w:rsid w:val="00D20FED"/>
    <w:rsid w:val="00D2541A"/>
    <w:rsid w:val="00D3705B"/>
    <w:rsid w:val="00D42522"/>
    <w:rsid w:val="00D50841"/>
    <w:rsid w:val="00D542E2"/>
    <w:rsid w:val="00D619C9"/>
    <w:rsid w:val="00D6418C"/>
    <w:rsid w:val="00D6507B"/>
    <w:rsid w:val="00D65515"/>
    <w:rsid w:val="00D77F5C"/>
    <w:rsid w:val="00D823C7"/>
    <w:rsid w:val="00D85CF4"/>
    <w:rsid w:val="00D92011"/>
    <w:rsid w:val="00D9276C"/>
    <w:rsid w:val="00D92C97"/>
    <w:rsid w:val="00D97880"/>
    <w:rsid w:val="00DA6D62"/>
    <w:rsid w:val="00DB0406"/>
    <w:rsid w:val="00DB6930"/>
    <w:rsid w:val="00DC1D4B"/>
    <w:rsid w:val="00DD3AB0"/>
    <w:rsid w:val="00DE3FA5"/>
    <w:rsid w:val="00DE53DF"/>
    <w:rsid w:val="00DF5509"/>
    <w:rsid w:val="00E065BE"/>
    <w:rsid w:val="00E13A80"/>
    <w:rsid w:val="00E16C49"/>
    <w:rsid w:val="00E16CA8"/>
    <w:rsid w:val="00E25289"/>
    <w:rsid w:val="00E27FAB"/>
    <w:rsid w:val="00E373FE"/>
    <w:rsid w:val="00E52F06"/>
    <w:rsid w:val="00E605B1"/>
    <w:rsid w:val="00E616A4"/>
    <w:rsid w:val="00E860A5"/>
    <w:rsid w:val="00E92787"/>
    <w:rsid w:val="00E949B5"/>
    <w:rsid w:val="00E9502A"/>
    <w:rsid w:val="00EA454C"/>
    <w:rsid w:val="00EB3F8F"/>
    <w:rsid w:val="00EB796A"/>
    <w:rsid w:val="00ED5DD1"/>
    <w:rsid w:val="00ED717B"/>
    <w:rsid w:val="00EE4EC5"/>
    <w:rsid w:val="00EE7563"/>
    <w:rsid w:val="00EF2FDD"/>
    <w:rsid w:val="00EF3088"/>
    <w:rsid w:val="00F11618"/>
    <w:rsid w:val="00F14282"/>
    <w:rsid w:val="00F21DFA"/>
    <w:rsid w:val="00F221DB"/>
    <w:rsid w:val="00F3587A"/>
    <w:rsid w:val="00F41790"/>
    <w:rsid w:val="00F42017"/>
    <w:rsid w:val="00F50D2A"/>
    <w:rsid w:val="00F5108A"/>
    <w:rsid w:val="00F54880"/>
    <w:rsid w:val="00F54D3D"/>
    <w:rsid w:val="00F65D18"/>
    <w:rsid w:val="00F74F26"/>
    <w:rsid w:val="00F9552D"/>
    <w:rsid w:val="00F974A8"/>
    <w:rsid w:val="00FA0215"/>
    <w:rsid w:val="00FA3145"/>
    <w:rsid w:val="00FA38A5"/>
    <w:rsid w:val="00FA56A5"/>
    <w:rsid w:val="00FB48BE"/>
    <w:rsid w:val="00FC157D"/>
    <w:rsid w:val="00FC1D9B"/>
    <w:rsid w:val="00FC22D9"/>
    <w:rsid w:val="00FD1C19"/>
    <w:rsid w:val="00FD3ADB"/>
    <w:rsid w:val="00FE131B"/>
    <w:rsid w:val="00FE28EA"/>
    <w:rsid w:val="00FF782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8DEBE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caption" w:uiPriority="35" w:qFormat="1"/>
    <w:lsdException w:name="footnote reference"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spacing w:after="0"/>
      <w:ind w:firstLine="709"/>
      <w:jc w:val="both"/>
    </w:pPr>
    <w:rPr>
      <w:rFonts w:ascii="Arial" w:hAnsi="Arial"/>
      <w:sz w:val="24"/>
    </w:rPr>
  </w:style>
  <w:style w:type="paragraph" w:styleId="1">
    <w:name w:val="heading 1"/>
    <w:basedOn w:val="a"/>
    <w:next w:val="a"/>
    <w:link w:val="10"/>
    <w:uiPriority w:val="9"/>
    <w:pPr>
      <w:keepNext/>
      <w:keepLines/>
      <w:ind w:firstLine="0"/>
      <w:outlineLvl w:val="0"/>
    </w:pPr>
    <w:rPr>
      <w:rFonts w:ascii="Impact" w:eastAsiaTheme="majorEastAsia" w:hAnsi="Impact" w:cstheme="majorBidi"/>
      <w:b/>
      <w:bCs/>
      <w:sz w:val="28"/>
      <w:szCs w:val="28"/>
    </w:rPr>
  </w:style>
  <w:style w:type="paragraph" w:styleId="2">
    <w:name w:val="heading 2"/>
    <w:basedOn w:val="a"/>
    <w:next w:val="a"/>
    <w:link w:val="20"/>
    <w:uiPriority w:val="9"/>
    <w:unhideWhenUsed/>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unhideWhenUsed/>
    <w:qFormat/>
    <w:pPr>
      <w:keepNext/>
      <w:keepLines/>
      <w:spacing w:before="20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0"/>
    <w:uiPriority w:val="9"/>
    <w:unhideWhenUsed/>
    <w:qFormat/>
    <w:pPr>
      <w:keepNext/>
      <w:keepLines/>
      <w:spacing w:before="200"/>
      <w:outlineLvl w:val="4"/>
    </w:pPr>
    <w:rPr>
      <w:rFonts w:asciiTheme="majorHAnsi" w:eastAsiaTheme="majorEastAsia" w:hAnsiTheme="majorHAnsi" w:cstheme="majorBidi"/>
      <w:color w:val="243F60" w:themeColor="accent1" w:themeShade="7F"/>
    </w:rPr>
  </w:style>
  <w:style w:type="paragraph" w:styleId="6">
    <w:name w:val="heading 6"/>
    <w:basedOn w:val="a"/>
    <w:next w:val="a"/>
    <w:link w:val="60"/>
    <w:uiPriority w:val="9"/>
    <w:unhideWhenUsed/>
    <w:pPr>
      <w:keepNext/>
      <w:keepLines/>
      <w:spacing w:before="200"/>
      <w:outlineLvl w:val="5"/>
    </w:pPr>
    <w:rPr>
      <w:rFonts w:asciiTheme="majorHAnsi" w:eastAsiaTheme="majorEastAsia" w:hAnsiTheme="majorHAnsi" w:cstheme="majorBidi"/>
      <w:i/>
      <w:iCs/>
      <w:color w:val="243F60" w:themeColor="accent1" w:themeShade="7F"/>
    </w:rPr>
  </w:style>
  <w:style w:type="paragraph" w:styleId="7">
    <w:name w:val="heading 7"/>
    <w:basedOn w:val="a"/>
    <w:next w:val="a"/>
    <w:link w:val="70"/>
    <w:uiPriority w:val="9"/>
    <w:unhideWhenUsed/>
    <w:qFormat/>
    <w:pPr>
      <w:keepNext/>
      <w:keepLines/>
      <w:spacing w:before="320" w:after="200"/>
      <w:outlineLvl w:val="6"/>
    </w:pPr>
    <w:rPr>
      <w:rFonts w:eastAsia="Arial" w:cs="Arial"/>
      <w:b/>
      <w:bCs/>
      <w:i/>
      <w:iCs/>
      <w:sz w:val="22"/>
    </w:rPr>
  </w:style>
  <w:style w:type="paragraph" w:styleId="8">
    <w:name w:val="heading 8"/>
    <w:basedOn w:val="a"/>
    <w:next w:val="a"/>
    <w:link w:val="80"/>
    <w:uiPriority w:val="9"/>
    <w:unhideWhenUsed/>
    <w:qFormat/>
    <w:pPr>
      <w:keepNext/>
      <w:keepLines/>
      <w:spacing w:before="320" w:after="200"/>
      <w:outlineLvl w:val="7"/>
    </w:pPr>
    <w:rPr>
      <w:rFonts w:eastAsia="Arial" w:cs="Arial"/>
      <w:i/>
      <w:iCs/>
      <w:sz w:val="22"/>
    </w:rPr>
  </w:style>
  <w:style w:type="paragraph" w:styleId="9">
    <w:name w:val="heading 9"/>
    <w:basedOn w:val="a"/>
    <w:next w:val="a"/>
    <w:link w:val="90"/>
    <w:uiPriority w:val="9"/>
    <w:unhideWhenUsed/>
    <w:qFormat/>
    <w:pPr>
      <w:keepNext/>
      <w:keepLines/>
      <w:spacing w:before="320" w:after="200"/>
      <w:outlineLvl w:val="8"/>
    </w:pPr>
    <w:rPr>
      <w:rFonts w:eastAsia="Arial" w:cs="Arial"/>
      <w:i/>
      <w:iCs/>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Heading7Char">
    <w:name w:val="Heading 7 Char"/>
    <w:basedOn w:val="a0"/>
    <w:uiPriority w:val="9"/>
    <w:rPr>
      <w:rFonts w:ascii="Arial" w:eastAsia="Arial" w:hAnsi="Arial" w:cs="Arial"/>
      <w:b/>
      <w:bCs/>
      <w:i/>
      <w:iCs/>
      <w:sz w:val="22"/>
      <w:szCs w:val="22"/>
    </w:rPr>
  </w:style>
  <w:style w:type="character" w:customStyle="1" w:styleId="Heading8Char">
    <w:name w:val="Heading 8 Char"/>
    <w:basedOn w:val="a0"/>
    <w:uiPriority w:val="9"/>
    <w:rPr>
      <w:rFonts w:ascii="Arial" w:eastAsia="Arial" w:hAnsi="Arial" w:cs="Arial"/>
      <w:i/>
      <w:iCs/>
      <w:sz w:val="22"/>
      <w:szCs w:val="22"/>
    </w:rPr>
  </w:style>
  <w:style w:type="character" w:customStyle="1" w:styleId="Heading9Char">
    <w:name w:val="Heading 9 Char"/>
    <w:basedOn w:val="a0"/>
    <w:uiPriority w:val="9"/>
    <w:rPr>
      <w:rFonts w:ascii="Arial" w:eastAsia="Arial" w:hAnsi="Arial" w:cs="Arial"/>
      <w:i/>
      <w:iCs/>
      <w:sz w:val="21"/>
      <w:szCs w:val="21"/>
    </w:rPr>
  </w:style>
  <w:style w:type="character" w:customStyle="1" w:styleId="TitleChar">
    <w:name w:val="Title Char"/>
    <w:basedOn w:val="a0"/>
    <w:uiPriority w:val="10"/>
    <w:rPr>
      <w:sz w:val="48"/>
      <w:szCs w:val="48"/>
    </w:rPr>
  </w:style>
  <w:style w:type="character" w:customStyle="1" w:styleId="SubtitleChar">
    <w:name w:val="Subtitle Char"/>
    <w:basedOn w:val="a0"/>
    <w:uiPriority w:val="11"/>
    <w:rPr>
      <w:sz w:val="24"/>
      <w:szCs w:val="24"/>
    </w:rPr>
  </w:style>
  <w:style w:type="character" w:customStyle="1" w:styleId="QuoteChar">
    <w:name w:val="Quote Char"/>
    <w:uiPriority w:val="29"/>
    <w:rPr>
      <w:i/>
    </w:rPr>
  </w:style>
  <w:style w:type="character" w:customStyle="1" w:styleId="IntenseQuoteChar">
    <w:name w:val="Intense Quote Char"/>
    <w:uiPriority w:val="30"/>
    <w:rPr>
      <w:i/>
    </w:rPr>
  </w:style>
  <w:style w:type="character" w:customStyle="1" w:styleId="HeaderChar">
    <w:name w:val="Header Char"/>
    <w:basedOn w:val="a0"/>
    <w:uiPriority w:val="99"/>
  </w:style>
  <w:style w:type="character" w:customStyle="1" w:styleId="CaptionChar">
    <w:name w:val="Caption Char"/>
    <w:uiPriority w:val="99"/>
  </w:style>
  <w:style w:type="character" w:customStyle="1" w:styleId="EndnoteTextChar">
    <w:name w:val="Endnote Text Char"/>
    <w:uiPriority w:val="99"/>
    <w:rPr>
      <w:sz w:val="20"/>
    </w:rPr>
  </w:style>
  <w:style w:type="character" w:customStyle="1" w:styleId="Heading1Char">
    <w:name w:val="Heading 1 Char"/>
    <w:basedOn w:val="a0"/>
    <w:uiPriority w:val="9"/>
    <w:rPr>
      <w:rFonts w:ascii="Arial" w:eastAsia="Arial" w:hAnsi="Arial" w:cs="Arial"/>
      <w:sz w:val="40"/>
      <w:szCs w:val="40"/>
    </w:rPr>
  </w:style>
  <w:style w:type="character" w:customStyle="1" w:styleId="Heading2Char">
    <w:name w:val="Heading 2 Char"/>
    <w:basedOn w:val="a0"/>
    <w:uiPriority w:val="9"/>
    <w:rPr>
      <w:rFonts w:ascii="Arial" w:eastAsia="Arial" w:hAnsi="Arial" w:cs="Arial"/>
      <w:sz w:val="34"/>
    </w:rPr>
  </w:style>
  <w:style w:type="character" w:customStyle="1" w:styleId="Heading3Char">
    <w:name w:val="Heading 3 Char"/>
    <w:basedOn w:val="a0"/>
    <w:uiPriority w:val="9"/>
    <w:rPr>
      <w:rFonts w:ascii="Arial" w:eastAsia="Arial" w:hAnsi="Arial" w:cs="Arial"/>
      <w:sz w:val="30"/>
      <w:szCs w:val="30"/>
    </w:rPr>
  </w:style>
  <w:style w:type="character" w:customStyle="1" w:styleId="Heading4Char">
    <w:name w:val="Heading 4 Char"/>
    <w:basedOn w:val="a0"/>
    <w:uiPriority w:val="9"/>
    <w:rPr>
      <w:rFonts w:ascii="Arial" w:eastAsia="Arial" w:hAnsi="Arial" w:cs="Arial"/>
      <w:b/>
      <w:bCs/>
      <w:sz w:val="26"/>
      <w:szCs w:val="26"/>
    </w:rPr>
  </w:style>
  <w:style w:type="character" w:customStyle="1" w:styleId="Heading5Char">
    <w:name w:val="Heading 5 Char"/>
    <w:basedOn w:val="a0"/>
    <w:uiPriority w:val="9"/>
    <w:rPr>
      <w:rFonts w:ascii="Arial" w:eastAsia="Arial" w:hAnsi="Arial" w:cs="Arial"/>
      <w:b/>
      <w:bCs/>
      <w:sz w:val="24"/>
      <w:szCs w:val="24"/>
    </w:rPr>
  </w:style>
  <w:style w:type="character" w:customStyle="1" w:styleId="Heading6Char">
    <w:name w:val="Heading 6 Char"/>
    <w:basedOn w:val="a0"/>
    <w:uiPriority w:val="9"/>
    <w:rPr>
      <w:rFonts w:ascii="Arial" w:eastAsia="Arial" w:hAnsi="Arial" w:cs="Arial"/>
      <w:b/>
      <w:bCs/>
      <w:sz w:val="22"/>
      <w:szCs w:val="22"/>
    </w:rPr>
  </w:style>
  <w:style w:type="character" w:customStyle="1" w:styleId="70">
    <w:name w:val="Заголовок 7 Знак"/>
    <w:basedOn w:val="a0"/>
    <w:link w:val="7"/>
    <w:uiPriority w:val="9"/>
    <w:rPr>
      <w:rFonts w:ascii="Arial" w:eastAsia="Arial" w:hAnsi="Arial" w:cs="Arial"/>
      <w:b/>
      <w:bCs/>
      <w:i/>
      <w:iCs/>
      <w:sz w:val="22"/>
      <w:szCs w:val="22"/>
    </w:rPr>
  </w:style>
  <w:style w:type="character" w:customStyle="1" w:styleId="80">
    <w:name w:val="Заголовок 8 Знак"/>
    <w:basedOn w:val="a0"/>
    <w:link w:val="8"/>
    <w:uiPriority w:val="9"/>
    <w:rPr>
      <w:rFonts w:ascii="Arial" w:eastAsia="Arial" w:hAnsi="Arial" w:cs="Arial"/>
      <w:i/>
      <w:iCs/>
      <w:sz w:val="22"/>
      <w:szCs w:val="22"/>
    </w:rPr>
  </w:style>
  <w:style w:type="character" w:customStyle="1" w:styleId="90">
    <w:name w:val="Заголовок 9 Знак"/>
    <w:basedOn w:val="a0"/>
    <w:link w:val="9"/>
    <w:uiPriority w:val="9"/>
    <w:rPr>
      <w:rFonts w:ascii="Arial" w:eastAsia="Arial" w:hAnsi="Arial" w:cs="Arial"/>
      <w:i/>
      <w:iCs/>
      <w:sz w:val="21"/>
      <w:szCs w:val="21"/>
    </w:rPr>
  </w:style>
  <w:style w:type="paragraph" w:styleId="a3">
    <w:name w:val="List Paragraph"/>
    <w:aliases w:val="ПАРАГРАФ,Абзац списка11,Булит,Маркер,Bullet Number,Нумерованый список,List Paragraph1,Bullet List,FooterText,numbered,lp1,название,Paragraphe de liste1,Bullet 1,Use Case List Paragraph,Абзац списка 2,список 1,Глава,ТЗ список,List Paragraph"/>
    <w:basedOn w:val="a"/>
    <w:link w:val="a4"/>
    <w:uiPriority w:val="34"/>
    <w:qFormat/>
    <w:pPr>
      <w:ind w:left="720"/>
      <w:contextualSpacing/>
    </w:pPr>
  </w:style>
  <w:style w:type="paragraph" w:styleId="a5">
    <w:name w:val="Title"/>
    <w:basedOn w:val="a"/>
    <w:next w:val="a"/>
    <w:link w:val="a6"/>
    <w:uiPriority w:val="10"/>
    <w:qFormat/>
    <w:pPr>
      <w:spacing w:before="300" w:after="200"/>
      <w:contextualSpacing/>
    </w:pPr>
    <w:rPr>
      <w:sz w:val="48"/>
      <w:szCs w:val="48"/>
    </w:rPr>
  </w:style>
  <w:style w:type="character" w:customStyle="1" w:styleId="a6">
    <w:name w:val="Название Знак"/>
    <w:basedOn w:val="a0"/>
    <w:link w:val="a5"/>
    <w:uiPriority w:val="10"/>
    <w:rPr>
      <w:sz w:val="48"/>
      <w:szCs w:val="48"/>
    </w:rPr>
  </w:style>
  <w:style w:type="paragraph" w:styleId="a7">
    <w:name w:val="Subtitle"/>
    <w:basedOn w:val="a"/>
    <w:next w:val="a"/>
    <w:link w:val="a8"/>
    <w:uiPriority w:val="11"/>
    <w:qFormat/>
    <w:pPr>
      <w:spacing w:before="200" w:after="200"/>
    </w:pPr>
    <w:rPr>
      <w:szCs w:val="24"/>
    </w:rPr>
  </w:style>
  <w:style w:type="character" w:customStyle="1" w:styleId="a8">
    <w:name w:val="Подзаголовок Знак"/>
    <w:basedOn w:val="a0"/>
    <w:link w:val="a7"/>
    <w:uiPriority w:val="11"/>
    <w:rPr>
      <w:sz w:val="24"/>
      <w:szCs w:val="24"/>
    </w:rPr>
  </w:style>
  <w:style w:type="paragraph" w:styleId="21">
    <w:name w:val="Quote"/>
    <w:basedOn w:val="a"/>
    <w:next w:val="a"/>
    <w:link w:val="22"/>
    <w:uiPriority w:val="29"/>
    <w:qFormat/>
    <w:pPr>
      <w:ind w:left="720" w:right="720"/>
    </w:pPr>
    <w:rPr>
      <w:i/>
    </w:rPr>
  </w:style>
  <w:style w:type="character" w:customStyle="1" w:styleId="22">
    <w:name w:val="Цитата 2 Знак"/>
    <w:link w:val="21"/>
    <w:uiPriority w:val="29"/>
    <w:rPr>
      <w:i/>
    </w:rPr>
  </w:style>
  <w:style w:type="paragraph" w:styleId="a9">
    <w:name w:val="Intense Quote"/>
    <w:basedOn w:val="a"/>
    <w:next w:val="a"/>
    <w:link w:val="aa"/>
    <w:uiPriority w:val="30"/>
    <w:qFormat/>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aa">
    <w:name w:val="Выделенная цитата Знак"/>
    <w:link w:val="a9"/>
    <w:uiPriority w:val="30"/>
    <w:rPr>
      <w:i/>
    </w:rPr>
  </w:style>
  <w:style w:type="paragraph" w:styleId="ab">
    <w:name w:val="header"/>
    <w:basedOn w:val="a"/>
    <w:link w:val="ac"/>
    <w:uiPriority w:val="99"/>
    <w:unhideWhenUsed/>
    <w:pPr>
      <w:tabs>
        <w:tab w:val="center" w:pos="7143"/>
        <w:tab w:val="right" w:pos="14287"/>
      </w:tabs>
      <w:spacing w:line="240" w:lineRule="auto"/>
    </w:pPr>
  </w:style>
  <w:style w:type="character" w:customStyle="1" w:styleId="ac">
    <w:name w:val="Верхний колонтитул Знак"/>
    <w:basedOn w:val="a0"/>
    <w:link w:val="ab"/>
    <w:uiPriority w:val="99"/>
  </w:style>
  <w:style w:type="paragraph" w:styleId="ad">
    <w:name w:val="footer"/>
    <w:basedOn w:val="a"/>
    <w:link w:val="ae"/>
    <w:uiPriority w:val="99"/>
    <w:unhideWhenUsed/>
    <w:pPr>
      <w:tabs>
        <w:tab w:val="center" w:pos="7143"/>
        <w:tab w:val="right" w:pos="14287"/>
      </w:tabs>
      <w:spacing w:line="240" w:lineRule="auto"/>
    </w:pPr>
  </w:style>
  <w:style w:type="character" w:customStyle="1" w:styleId="FooterChar">
    <w:name w:val="Footer Char"/>
    <w:basedOn w:val="a0"/>
    <w:uiPriority w:val="99"/>
  </w:style>
  <w:style w:type="character" w:customStyle="1" w:styleId="ae">
    <w:name w:val="Нижний колонтитул Знак"/>
    <w:link w:val="ad"/>
    <w:uiPriority w:val="99"/>
  </w:style>
  <w:style w:type="table" w:customStyle="1" w:styleId="TableGridLight">
    <w:name w:val="Table Grid Light"/>
    <w:basedOn w:val="a1"/>
    <w:uiPriority w:val="59"/>
    <w:pPr>
      <w:spacing w:after="0" w:line="240" w:lineRule="auto"/>
    </w:pPr>
    <w:tblPr>
      <w:tblInd w:w="0" w:type="dxa"/>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CellMar>
        <w:top w:w="0" w:type="dxa"/>
        <w:left w:w="108" w:type="dxa"/>
        <w:bottom w:w="0" w:type="dxa"/>
        <w:right w:w="108" w:type="dxa"/>
      </w:tblCellMar>
    </w:tblPr>
  </w:style>
  <w:style w:type="table" w:customStyle="1" w:styleId="11">
    <w:name w:val="Таблица простая 11"/>
    <w:basedOn w:val="a1"/>
    <w:uiPriority w:val="59"/>
    <w:pPr>
      <w:spacing w:after="0" w:line="240" w:lineRule="auto"/>
    </w:pPr>
    <w:tblPr>
      <w:tblInd w:w="0" w:type="dxa"/>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CellMar>
        <w:top w:w="0" w:type="dxa"/>
        <w:left w:w="108" w:type="dxa"/>
        <w:bottom w:w="0" w:type="dxa"/>
        <w:right w:w="108" w:type="dxa"/>
      </w:tblCellMar>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customStyle="1" w:styleId="210">
    <w:name w:val="Таблица простая 21"/>
    <w:basedOn w:val="a1"/>
    <w:uiPriority w:val="59"/>
    <w:pPr>
      <w:spacing w:after="0" w:line="240" w:lineRule="auto"/>
    </w:pPr>
    <w:tblPr>
      <w:tblInd w:w="0" w:type="dxa"/>
      <w:tblBorders>
        <w:top w:val="single" w:sz="4" w:space="0" w:color="000000" w:themeColor="text1"/>
        <w:left w:val="none" w:sz="4" w:space="0" w:color="000000" w:themeColor="text1"/>
        <w:bottom w:val="single" w:sz="4" w:space="0" w:color="000000" w:themeColor="text1"/>
        <w:right w:val="none" w:sz="4" w:space="0" w:color="000000" w:themeColor="text1"/>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31">
    <w:name w:val="Таблица простая 31"/>
    <w:basedOn w:val="a1"/>
    <w:uiPriority w:val="99"/>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41">
    <w:name w:val="Таблица простая 41"/>
    <w:basedOn w:val="a1"/>
    <w:uiPriority w:val="99"/>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51">
    <w:name w:val="Таблица простая 51"/>
    <w:basedOn w:val="a1"/>
    <w:uiPriority w:val="99"/>
    <w:pPr>
      <w:spacing w:after="0" w:line="240" w:lineRule="auto"/>
    </w:pPr>
    <w:tblPr>
      <w:tblStyleRowBandSize w:val="1"/>
      <w:tblStyleColBandSize w:val="1"/>
      <w:tblInd w:w="0" w:type="dxa"/>
      <w:tblCellMar>
        <w:top w:w="0" w:type="dxa"/>
        <w:left w:w="108" w:type="dxa"/>
        <w:bottom w:w="0" w:type="dxa"/>
        <w:right w:w="108" w:type="dxa"/>
      </w:tblCellMar>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11">
    <w:name w:val="Таблица-сетка 1 светлая1"/>
    <w:basedOn w:val="a1"/>
    <w:uiPriority w:val="99"/>
    <w:pPr>
      <w:spacing w:after="0" w:line="240" w:lineRule="auto"/>
    </w:pPr>
    <w:tblPr>
      <w:tblStyleRowBandSize w:val="1"/>
      <w:tblStyleColBandSize w:val="1"/>
      <w:tblInd w:w="0" w:type="dxa"/>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CellMar>
        <w:top w:w="0" w:type="dxa"/>
        <w:left w:w="108" w:type="dxa"/>
        <w:bottom w:w="0" w:type="dxa"/>
        <w:right w:w="108" w:type="dxa"/>
      </w:tblCellMar>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a1"/>
    <w:uiPriority w:val="99"/>
    <w:pPr>
      <w:spacing w:after="0" w:line="240" w:lineRule="auto"/>
    </w:pPr>
    <w:tblPr>
      <w:tblStyleRowBandSize w:val="1"/>
      <w:tblStyleColBandSize w:val="1"/>
      <w:tblInd w:w="0" w:type="dxa"/>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CellMar>
        <w:top w:w="0" w:type="dxa"/>
        <w:left w:w="108" w:type="dxa"/>
        <w:bottom w:w="0" w:type="dxa"/>
        <w:right w:w="108" w:type="dxa"/>
      </w:tblCellMar>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GridTable1Light-Accent2">
    <w:name w:val="Grid Table 1 Light - Accent 2"/>
    <w:basedOn w:val="a1"/>
    <w:uiPriority w:val="99"/>
    <w:pPr>
      <w:spacing w:after="0" w:line="240" w:lineRule="auto"/>
    </w:pPr>
    <w:tblPr>
      <w:tblStyleRowBandSize w:val="1"/>
      <w:tblStyleColBandSize w:val="1"/>
      <w:tblInd w:w="0" w:type="dxa"/>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CellMar>
        <w:top w:w="0" w:type="dxa"/>
        <w:left w:w="108" w:type="dxa"/>
        <w:bottom w:w="0" w:type="dxa"/>
        <w:right w:w="108" w:type="dxa"/>
      </w:tblCellMar>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GridTable1Light-Accent3">
    <w:name w:val="Grid Table 1 Light - Accent 3"/>
    <w:basedOn w:val="a1"/>
    <w:uiPriority w:val="99"/>
    <w:pPr>
      <w:spacing w:after="0" w:line="240" w:lineRule="auto"/>
    </w:pPr>
    <w:tblPr>
      <w:tblStyleRowBandSize w:val="1"/>
      <w:tblStyleColBandSize w:val="1"/>
      <w:tblInd w:w="0" w:type="dxa"/>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CellMar>
        <w:top w:w="0" w:type="dxa"/>
        <w:left w:w="108" w:type="dxa"/>
        <w:bottom w:w="0" w:type="dxa"/>
        <w:right w:w="108" w:type="dxa"/>
      </w:tblCellMar>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GridTable1Light-Accent4">
    <w:name w:val="Grid Table 1 Light - Accent 4"/>
    <w:basedOn w:val="a1"/>
    <w:uiPriority w:val="99"/>
    <w:pPr>
      <w:spacing w:after="0" w:line="240" w:lineRule="auto"/>
    </w:pPr>
    <w:tblPr>
      <w:tblStyleRowBandSize w:val="1"/>
      <w:tblStyleColBandSize w:val="1"/>
      <w:tblInd w:w="0" w:type="dxa"/>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CellMar>
        <w:top w:w="0" w:type="dxa"/>
        <w:left w:w="108" w:type="dxa"/>
        <w:bottom w:w="0" w:type="dxa"/>
        <w:right w:w="108" w:type="dxa"/>
      </w:tblCellMar>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GridTable1Light-Accent5">
    <w:name w:val="Grid Table 1 Light - Accent 5"/>
    <w:basedOn w:val="a1"/>
    <w:uiPriority w:val="99"/>
    <w:pPr>
      <w:spacing w:after="0" w:line="240" w:lineRule="auto"/>
    </w:pPr>
    <w:tblPr>
      <w:tblStyleRowBandSize w:val="1"/>
      <w:tblStyleColBandSize w:val="1"/>
      <w:tblInd w:w="0" w:type="dxa"/>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CellMar>
        <w:top w:w="0" w:type="dxa"/>
        <w:left w:w="108" w:type="dxa"/>
        <w:bottom w:w="0" w:type="dxa"/>
        <w:right w:w="108" w:type="dxa"/>
      </w:tblCellMar>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GridTable1Light-Accent6">
    <w:name w:val="Grid Table 1 Light - Accent 6"/>
    <w:basedOn w:val="a1"/>
    <w:uiPriority w:val="99"/>
    <w:pPr>
      <w:spacing w:after="0" w:line="240" w:lineRule="auto"/>
    </w:pPr>
    <w:tblPr>
      <w:tblStyleRowBandSize w:val="1"/>
      <w:tblStyleColBandSize w:val="1"/>
      <w:tblInd w:w="0" w:type="dxa"/>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CellMar>
        <w:top w:w="0" w:type="dxa"/>
        <w:left w:w="108" w:type="dxa"/>
        <w:bottom w:w="0" w:type="dxa"/>
        <w:right w:w="108" w:type="dxa"/>
      </w:tblCellMar>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customStyle="1" w:styleId="-21">
    <w:name w:val="Таблица-сетка 21"/>
    <w:basedOn w:val="a1"/>
    <w:uiPriority w:val="99"/>
    <w:pPr>
      <w:spacing w:after="0" w:line="240" w:lineRule="auto"/>
    </w:pPr>
    <w:tblPr>
      <w:tblStyleRowBandSize w:val="1"/>
      <w:tblStyleColBandSize w:val="1"/>
      <w:tblInd w:w="0" w:type="dxa"/>
      <w:tblBorders>
        <w:bottom w:val="single" w:sz="4" w:space="0" w:color="6A6A6A" w:themeColor="text1" w:themeTint="95"/>
        <w:insideH w:val="single" w:sz="4" w:space="0" w:color="6A6A6A" w:themeColor="text1" w:themeTint="95"/>
        <w:insideV w:val="single" w:sz="4" w:space="0" w:color="6A6A6A" w:themeColor="text1" w:themeTint="95"/>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a1"/>
    <w:uiPriority w:val="99"/>
    <w:pPr>
      <w:spacing w:after="0" w:line="240" w:lineRule="auto"/>
    </w:pPr>
    <w:tblPr>
      <w:tblStyleRowBandSize w:val="1"/>
      <w:tblStyleColBandSize w:val="1"/>
      <w:tblInd w:w="0" w:type="dxa"/>
      <w:tblBorders>
        <w:bottom w:val="single" w:sz="4" w:space="0" w:color="5D8AC2" w:themeColor="accent1" w:themeTint="EA"/>
        <w:insideH w:val="single" w:sz="4" w:space="0" w:color="5D8AC2" w:themeColor="accent1" w:themeTint="EA"/>
        <w:insideV w:val="single" w:sz="4" w:space="0" w:color="5D8AC2" w:themeColor="accent1" w:themeTint="EA"/>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auto"/>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2-Accent2">
    <w:name w:val="Grid Table 2 - Accent 2"/>
    <w:basedOn w:val="a1"/>
    <w:uiPriority w:val="99"/>
    <w:pPr>
      <w:spacing w:after="0" w:line="240" w:lineRule="auto"/>
    </w:pPr>
    <w:tblPr>
      <w:tblStyleRowBandSize w:val="1"/>
      <w:tblStyleColBandSize w:val="1"/>
      <w:tblInd w:w="0" w:type="dxa"/>
      <w:tblBorders>
        <w:bottom w:val="single" w:sz="4" w:space="0" w:color="D99695" w:themeColor="accent2" w:themeTint="97"/>
        <w:insideH w:val="single" w:sz="4" w:space="0" w:color="D99695" w:themeColor="accent2" w:themeTint="97"/>
        <w:insideV w:val="single" w:sz="4" w:space="0" w:color="D99695" w:themeColor="accent2" w:themeTint="97"/>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auto"/>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2-Accent3">
    <w:name w:val="Grid Table 2 - Accent 3"/>
    <w:basedOn w:val="a1"/>
    <w:uiPriority w:val="99"/>
    <w:pPr>
      <w:spacing w:after="0" w:line="240" w:lineRule="auto"/>
    </w:pPr>
    <w:tblPr>
      <w:tblStyleRowBandSize w:val="1"/>
      <w:tblStyleColBandSize w:val="1"/>
      <w:tblInd w:w="0" w:type="dxa"/>
      <w:tblBorders>
        <w:bottom w:val="single" w:sz="4" w:space="0" w:color="9ABB59" w:themeColor="accent3" w:themeTint="FE"/>
        <w:insideH w:val="single" w:sz="4" w:space="0" w:color="9ABB59" w:themeColor="accent3" w:themeTint="FE"/>
        <w:insideV w:val="single" w:sz="4" w:space="0" w:color="9ABB59" w:themeColor="accent3" w:themeTint="FE"/>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auto"/>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2-Accent4">
    <w:name w:val="Grid Table 2 - Accent 4"/>
    <w:basedOn w:val="a1"/>
    <w:uiPriority w:val="99"/>
    <w:pPr>
      <w:spacing w:after="0" w:line="240" w:lineRule="auto"/>
    </w:pPr>
    <w:tblPr>
      <w:tblStyleRowBandSize w:val="1"/>
      <w:tblStyleColBandSize w:val="1"/>
      <w:tblInd w:w="0" w:type="dxa"/>
      <w:tblBorders>
        <w:bottom w:val="single" w:sz="4" w:space="0" w:color="B2A1C6" w:themeColor="accent4" w:themeTint="9A"/>
        <w:insideH w:val="single" w:sz="4" w:space="0" w:color="B2A1C6" w:themeColor="accent4" w:themeTint="9A"/>
        <w:insideV w:val="single" w:sz="4" w:space="0" w:color="B2A1C6" w:themeColor="accent4" w:themeTint="9A"/>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auto"/>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2-Accent5">
    <w:name w:val="Grid Table 2 - Accent 5"/>
    <w:basedOn w:val="a1"/>
    <w:uiPriority w:val="99"/>
    <w:pPr>
      <w:spacing w:after="0" w:line="240" w:lineRule="auto"/>
    </w:pPr>
    <w:tblPr>
      <w:tblStyleRowBandSize w:val="1"/>
      <w:tblStyleColBandSize w:val="1"/>
      <w:tblInd w:w="0" w:type="dxa"/>
      <w:tblBorders>
        <w:bottom w:val="single" w:sz="4" w:space="0" w:color="4BACC6" w:themeColor="accent5"/>
        <w:insideH w:val="single" w:sz="4" w:space="0" w:color="4BACC6" w:themeColor="accent5"/>
        <w:insideV w:val="single" w:sz="4" w:space="0" w:color="4BACC6" w:themeColor="accent5"/>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2-Accent6">
    <w:name w:val="Grid Table 2 - Accent 6"/>
    <w:basedOn w:val="a1"/>
    <w:uiPriority w:val="99"/>
    <w:pPr>
      <w:spacing w:after="0" w:line="240" w:lineRule="auto"/>
    </w:pPr>
    <w:tblPr>
      <w:tblStyleRowBandSize w:val="1"/>
      <w:tblStyleColBandSize w:val="1"/>
      <w:tblInd w:w="0" w:type="dxa"/>
      <w:tblBorders>
        <w:bottom w:val="single" w:sz="4" w:space="0" w:color="F79646" w:themeColor="accent6"/>
        <w:insideH w:val="single" w:sz="4" w:space="0" w:color="F79646" w:themeColor="accent6"/>
        <w:insideV w:val="single" w:sz="4" w:space="0" w:color="F79646" w:themeColor="accent6"/>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31">
    <w:name w:val="Таблица-сетка 31"/>
    <w:basedOn w:val="a1"/>
    <w:uiPriority w:val="99"/>
    <w:pPr>
      <w:spacing w:after="0" w:line="240" w:lineRule="auto"/>
    </w:pPr>
    <w:tblPr>
      <w:tblStyleRowBandSize w:val="1"/>
      <w:tblStyleColBandSize w:val="1"/>
      <w:tblInd w:w="0" w:type="dxa"/>
      <w:tblBorders>
        <w:bottom w:val="single" w:sz="4" w:space="0" w:color="6A6A6A" w:themeColor="text1" w:themeTint="95"/>
        <w:insideH w:val="single" w:sz="4" w:space="0" w:color="6A6A6A" w:themeColor="text1" w:themeTint="95"/>
        <w:insideV w:val="single" w:sz="4" w:space="0" w:color="6A6A6A" w:themeColor="text1" w:themeTint="95"/>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a1"/>
    <w:uiPriority w:val="99"/>
    <w:pPr>
      <w:spacing w:after="0" w:line="240" w:lineRule="auto"/>
    </w:pPr>
    <w:tblPr>
      <w:tblStyleRowBandSize w:val="1"/>
      <w:tblStyleColBandSize w:val="1"/>
      <w:tblInd w:w="0" w:type="dxa"/>
      <w:tblBorders>
        <w:bottom w:val="single" w:sz="4" w:space="0" w:color="5D8AC2" w:themeColor="accent1" w:themeTint="EA"/>
        <w:insideH w:val="single" w:sz="4" w:space="0" w:color="5D8AC2" w:themeColor="accent1" w:themeTint="EA"/>
        <w:insideV w:val="single" w:sz="4" w:space="0" w:color="5D8AC2" w:themeColor="accent1" w:themeTint="EA"/>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3-Accent2">
    <w:name w:val="Grid Table 3 - Accent 2"/>
    <w:basedOn w:val="a1"/>
    <w:uiPriority w:val="99"/>
    <w:pPr>
      <w:spacing w:after="0" w:line="240" w:lineRule="auto"/>
    </w:pPr>
    <w:tblPr>
      <w:tblStyleRowBandSize w:val="1"/>
      <w:tblStyleColBandSize w:val="1"/>
      <w:tblInd w:w="0" w:type="dxa"/>
      <w:tblBorders>
        <w:bottom w:val="single" w:sz="4" w:space="0" w:color="D99695" w:themeColor="accent2" w:themeTint="97"/>
        <w:insideH w:val="single" w:sz="4" w:space="0" w:color="D99695" w:themeColor="accent2" w:themeTint="97"/>
        <w:insideV w:val="single" w:sz="4" w:space="0" w:color="D99695" w:themeColor="accent2" w:themeTint="97"/>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3-Accent3">
    <w:name w:val="Grid Table 3 - Accent 3"/>
    <w:basedOn w:val="a1"/>
    <w:uiPriority w:val="99"/>
    <w:pPr>
      <w:spacing w:after="0" w:line="240" w:lineRule="auto"/>
    </w:pPr>
    <w:tblPr>
      <w:tblStyleRowBandSize w:val="1"/>
      <w:tblStyleColBandSize w:val="1"/>
      <w:tblInd w:w="0" w:type="dxa"/>
      <w:tblBorders>
        <w:bottom w:val="single" w:sz="4" w:space="0" w:color="9ABB59" w:themeColor="accent3" w:themeTint="FE"/>
        <w:insideH w:val="single" w:sz="4" w:space="0" w:color="9ABB59" w:themeColor="accent3" w:themeTint="FE"/>
        <w:insideV w:val="single" w:sz="4" w:space="0" w:color="9ABB59" w:themeColor="accent3" w:themeTint="FE"/>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3-Accent4">
    <w:name w:val="Grid Table 3 - Accent 4"/>
    <w:basedOn w:val="a1"/>
    <w:uiPriority w:val="99"/>
    <w:pPr>
      <w:spacing w:after="0" w:line="240" w:lineRule="auto"/>
    </w:pPr>
    <w:tblPr>
      <w:tblStyleRowBandSize w:val="1"/>
      <w:tblStyleColBandSize w:val="1"/>
      <w:tblInd w:w="0" w:type="dxa"/>
      <w:tblBorders>
        <w:bottom w:val="single" w:sz="4" w:space="0" w:color="B2A1C6" w:themeColor="accent4" w:themeTint="9A"/>
        <w:insideH w:val="single" w:sz="4" w:space="0" w:color="B2A1C6" w:themeColor="accent4" w:themeTint="9A"/>
        <w:insideV w:val="single" w:sz="4" w:space="0" w:color="B2A1C6" w:themeColor="accent4" w:themeTint="9A"/>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3-Accent5">
    <w:name w:val="Grid Table 3 - Accent 5"/>
    <w:basedOn w:val="a1"/>
    <w:uiPriority w:val="99"/>
    <w:pPr>
      <w:spacing w:after="0" w:line="240" w:lineRule="auto"/>
    </w:pPr>
    <w:tblPr>
      <w:tblStyleRowBandSize w:val="1"/>
      <w:tblStyleColBandSize w:val="1"/>
      <w:tblInd w:w="0" w:type="dxa"/>
      <w:tblBorders>
        <w:bottom w:val="single" w:sz="4" w:space="0" w:color="4BACC6" w:themeColor="accent5"/>
        <w:insideH w:val="single" w:sz="4" w:space="0" w:color="4BACC6" w:themeColor="accent5"/>
        <w:insideV w:val="single" w:sz="4" w:space="0" w:color="4BACC6" w:themeColor="accent5"/>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3-Accent6">
    <w:name w:val="Grid Table 3 - Accent 6"/>
    <w:basedOn w:val="a1"/>
    <w:uiPriority w:val="99"/>
    <w:pPr>
      <w:spacing w:after="0" w:line="240" w:lineRule="auto"/>
    </w:pPr>
    <w:tblPr>
      <w:tblStyleRowBandSize w:val="1"/>
      <w:tblStyleColBandSize w:val="1"/>
      <w:tblInd w:w="0" w:type="dxa"/>
      <w:tblBorders>
        <w:bottom w:val="single" w:sz="4" w:space="0" w:color="F79646" w:themeColor="accent6"/>
        <w:insideH w:val="single" w:sz="4" w:space="0" w:color="F79646" w:themeColor="accent6"/>
        <w:insideV w:val="single" w:sz="4" w:space="0" w:color="F79646" w:themeColor="accent6"/>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41">
    <w:name w:val="Таблица-сетка 41"/>
    <w:basedOn w:val="a1"/>
    <w:uiPriority w:val="59"/>
    <w:pPr>
      <w:spacing w:after="0" w:line="240" w:lineRule="auto"/>
    </w:pPr>
    <w:tblPr>
      <w:tblStyleRowBandSize w:val="1"/>
      <w:tblStyleColBandSize w:val="1"/>
      <w:tblInd w:w="0" w:type="dxa"/>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CellMar>
        <w:top w:w="0" w:type="dxa"/>
        <w:left w:w="108" w:type="dxa"/>
        <w:bottom w:w="0" w:type="dxa"/>
        <w:right w:w="108" w:type="dxa"/>
      </w:tblCellMar>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a1"/>
    <w:uiPriority w:val="59"/>
    <w:pPr>
      <w:spacing w:after="0" w:line="240" w:lineRule="auto"/>
    </w:pPr>
    <w:tblPr>
      <w:tblStyleRowBandSize w:val="1"/>
      <w:tblStyleColBandSize w:val="1"/>
      <w:tblInd w:w="0" w:type="dxa"/>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CellMar>
        <w:top w:w="0" w:type="dxa"/>
        <w:left w:w="108" w:type="dxa"/>
        <w:bottom w:w="0" w:type="dxa"/>
        <w:right w:w="108" w:type="dxa"/>
      </w:tblCellMar>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themeColor="accent1" w:themeTint="EA"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themeColor="accent1" w:themeTint="32" w:fill="DCE6F2" w:themeFill="accent1" w:themeFillTint="32"/>
      </w:tcPr>
    </w:tblStylePr>
    <w:tblStylePr w:type="band1Horz">
      <w:rPr>
        <w:rFonts w:ascii="Arial" w:hAnsi="Arial"/>
        <w:color w:val="404040"/>
        <w:sz w:val="22"/>
      </w:rPr>
      <w:tblPr/>
      <w:tcPr>
        <w:shd w:val="clear" w:color="DCE6F2" w:themeColor="accent1" w:themeTint="32" w:fill="DCE6F2" w:themeFill="accent1" w:themeFillTint="32"/>
      </w:tcPr>
    </w:tblStylePr>
  </w:style>
  <w:style w:type="table" w:customStyle="1" w:styleId="GridTable4-Accent2">
    <w:name w:val="Grid Table 4 - Accent 2"/>
    <w:basedOn w:val="a1"/>
    <w:uiPriority w:val="59"/>
    <w:pPr>
      <w:spacing w:after="0" w:line="240" w:lineRule="auto"/>
    </w:pPr>
    <w:tblPr>
      <w:tblStyleRowBandSize w:val="1"/>
      <w:tblStyleColBandSize w:val="1"/>
      <w:tblInd w:w="0" w:type="dxa"/>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CellMar>
        <w:top w:w="0" w:type="dxa"/>
        <w:left w:w="108" w:type="dxa"/>
        <w:bottom w:w="0" w:type="dxa"/>
        <w:right w:w="108" w:type="dxa"/>
      </w:tblCellMar>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themeColor="accent2" w:themeTint="97"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4-Accent3">
    <w:name w:val="Grid Table 4 - Accent 3"/>
    <w:basedOn w:val="a1"/>
    <w:uiPriority w:val="59"/>
    <w:pPr>
      <w:spacing w:after="0" w:line="240" w:lineRule="auto"/>
    </w:pPr>
    <w:tblPr>
      <w:tblStyleRowBandSize w:val="1"/>
      <w:tblStyleColBandSize w:val="1"/>
      <w:tblInd w:w="0" w:type="dxa"/>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CellMar>
        <w:top w:w="0" w:type="dxa"/>
        <w:left w:w="108" w:type="dxa"/>
        <w:bottom w:w="0" w:type="dxa"/>
        <w:right w:w="108" w:type="dxa"/>
      </w:tblCellMar>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themeColor="accent3" w:themeTint="FE"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4-Accent4">
    <w:name w:val="Grid Table 4 - Accent 4"/>
    <w:basedOn w:val="a1"/>
    <w:uiPriority w:val="59"/>
    <w:pPr>
      <w:spacing w:after="0" w:line="240" w:lineRule="auto"/>
    </w:pPr>
    <w:tblPr>
      <w:tblStyleRowBandSize w:val="1"/>
      <w:tblStyleColBandSize w:val="1"/>
      <w:tblInd w:w="0" w:type="dxa"/>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CellMar>
        <w:top w:w="0" w:type="dxa"/>
        <w:left w:w="108" w:type="dxa"/>
        <w:bottom w:w="0" w:type="dxa"/>
        <w:right w:w="108" w:type="dxa"/>
      </w:tblCellMar>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themeColor="accent4" w:themeTint="9A"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4-Accent5">
    <w:name w:val="Grid Table 4 - Accent 5"/>
    <w:basedOn w:val="a1"/>
    <w:uiPriority w:val="59"/>
    <w:pPr>
      <w:spacing w:after="0" w:line="240" w:lineRule="auto"/>
    </w:pPr>
    <w:tblPr>
      <w:tblStyleRowBandSize w:val="1"/>
      <w:tblStyleColBandSize w:val="1"/>
      <w:tblInd w:w="0" w:type="dxa"/>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CellMar>
        <w:top w:w="0" w:type="dxa"/>
        <w:left w:w="108" w:type="dxa"/>
        <w:bottom w:w="0" w:type="dxa"/>
        <w:right w:w="108" w:type="dxa"/>
      </w:tblCellMar>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themeColor="accent5"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4-Accent6">
    <w:name w:val="Grid Table 4 - Accent 6"/>
    <w:basedOn w:val="a1"/>
    <w:uiPriority w:val="59"/>
    <w:pPr>
      <w:spacing w:after="0" w:line="240" w:lineRule="auto"/>
    </w:pPr>
    <w:tblPr>
      <w:tblStyleRowBandSize w:val="1"/>
      <w:tblStyleColBandSize w:val="1"/>
      <w:tblInd w:w="0" w:type="dxa"/>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CellMar>
        <w:top w:w="0" w:type="dxa"/>
        <w:left w:w="108" w:type="dxa"/>
        <w:bottom w:w="0" w:type="dxa"/>
        <w:right w:w="108" w:type="dxa"/>
      </w:tblCellMar>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themeColor="accent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51">
    <w:name w:val="Таблица-сетка 5 темная1"/>
    <w:basedOn w:val="a1"/>
    <w:uiPriority w:val="99"/>
    <w:pPr>
      <w:spacing w:after="0" w:line="240" w:lineRule="auto"/>
    </w:pPr>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CellMar>
        <w:top w:w="0" w:type="dxa"/>
        <w:left w:w="108" w:type="dxa"/>
        <w:bottom w:w="0" w:type="dxa"/>
        <w:right w:w="108" w:type="dxa"/>
      </w:tblCellMar>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a1"/>
    <w:uiPriority w:val="99"/>
    <w:pPr>
      <w:spacing w:after="0" w:line="240" w:lineRule="auto"/>
    </w:pPr>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5F1" w:themeColor="accent1" w:themeTint="34" w:fill="DAE5F1" w:themeFill="accent1" w:themeFillTint="34"/>
      <w:tblCellMar>
        <w:top w:w="0" w:type="dxa"/>
        <w:left w:w="108" w:type="dxa"/>
        <w:bottom w:w="0" w:type="dxa"/>
        <w:right w:w="108" w:type="dxa"/>
      </w:tblCellMar>
    </w:tblPr>
    <w:tblStylePr w:type="firstRow">
      <w:rPr>
        <w:rFonts w:ascii="Arial" w:hAnsi="Arial"/>
        <w:b/>
        <w:color w:val="FFFFFF"/>
        <w:sz w:val="22"/>
      </w:rPr>
      <w:tblPr/>
      <w:tcPr>
        <w:shd w:val="clear" w:color="4F81BD" w:themeColor="accent1" w:fill="4F81BD" w:themeFill="accent1"/>
      </w:tcPr>
    </w:tblStylePr>
    <w:tblStylePr w:type="lastRow">
      <w:rPr>
        <w:rFonts w:ascii="Arial" w:hAnsi="Arial"/>
        <w:b/>
        <w:color w:val="FFFFFF"/>
        <w:sz w:val="22"/>
      </w:rPr>
      <w:tblPr/>
      <w:tcPr>
        <w:tcBorders>
          <w:top w:val="single" w:sz="4" w:space="0" w:color="FFFFFF" w:themeColor="light1"/>
        </w:tcBorders>
        <w:shd w:val="clear" w:color="4F81BD" w:themeColor="accent1" w:fill="4F81BD" w:themeFill="accent1"/>
      </w:tcPr>
    </w:tblStylePr>
    <w:tblStylePr w:type="firstCol">
      <w:rPr>
        <w:rFonts w:ascii="Arial" w:hAnsi="Arial"/>
        <w:b/>
        <w:color w:val="FFFFFF"/>
        <w:sz w:val="22"/>
      </w:rPr>
      <w:tblPr/>
      <w:tcPr>
        <w:shd w:val="clear" w:color="4F81BD" w:themeColor="accent1" w:fill="4F81BD" w:themeFill="accent1"/>
      </w:tcPr>
    </w:tblStylePr>
    <w:tblStylePr w:type="lastCol">
      <w:rPr>
        <w:rFonts w:ascii="Arial" w:hAnsi="Arial"/>
        <w:b/>
        <w:color w:val="FFFFFF"/>
        <w:sz w:val="22"/>
      </w:rPr>
      <w:tblPr/>
      <w:tcPr>
        <w:shd w:val="clear" w:color="4F81BD" w:themeColor="accent1" w:fill="4F81BD" w:themeFill="accent1"/>
      </w:tcPr>
    </w:tblStylePr>
    <w:tblStylePr w:type="band1Vert">
      <w:tblPr/>
      <w:tcPr>
        <w:shd w:val="clear" w:color="AEC4E0" w:themeColor="accent1" w:themeTint="75" w:fill="AEC4E0" w:themeFill="accent1" w:themeFillTint="75"/>
      </w:tcPr>
    </w:tblStylePr>
    <w:tblStylePr w:type="band1Horz">
      <w:tblPr/>
      <w:tcPr>
        <w:shd w:val="clear" w:color="AEC4E0" w:themeColor="accent1" w:themeTint="75" w:fill="AEC4E0" w:themeFill="accent1" w:themeFillTint="75"/>
      </w:tcPr>
    </w:tblStylePr>
  </w:style>
  <w:style w:type="table" w:customStyle="1" w:styleId="GridTable5Dark-Accent2">
    <w:name w:val="Grid Table 5 Dark - Accent 2"/>
    <w:basedOn w:val="a1"/>
    <w:uiPriority w:val="99"/>
    <w:pPr>
      <w:spacing w:after="0" w:line="240" w:lineRule="auto"/>
    </w:pPr>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2DCDC" w:themeColor="accent2" w:themeTint="32" w:fill="F2DCDC" w:themeFill="accent2" w:themeFillTint="32"/>
      <w:tblCellMar>
        <w:top w:w="0" w:type="dxa"/>
        <w:left w:w="108" w:type="dxa"/>
        <w:bottom w:w="0" w:type="dxa"/>
        <w:right w:w="108" w:type="dxa"/>
      </w:tblCellMar>
    </w:tblPr>
    <w:tblStylePr w:type="firstRow">
      <w:rPr>
        <w:rFonts w:ascii="Arial" w:hAnsi="Arial"/>
        <w:b/>
        <w:color w:val="FFFFFF"/>
        <w:sz w:val="22"/>
      </w:rPr>
      <w:tblPr/>
      <w:tcPr>
        <w:shd w:val="clear" w:color="C0504D" w:themeColor="accent2" w:fill="C0504D" w:themeFill="accent2"/>
      </w:tcPr>
    </w:tblStylePr>
    <w:tblStylePr w:type="lastRow">
      <w:rPr>
        <w:rFonts w:ascii="Arial" w:hAnsi="Arial"/>
        <w:b/>
        <w:color w:val="FFFFFF"/>
        <w:sz w:val="22"/>
      </w:rPr>
      <w:tblPr/>
      <w:tcPr>
        <w:tcBorders>
          <w:top w:val="single" w:sz="4" w:space="0" w:color="FFFFFF" w:themeColor="light1"/>
        </w:tcBorders>
        <w:shd w:val="clear" w:color="C0504D" w:themeColor="accent2" w:fill="C0504D" w:themeFill="accent2"/>
      </w:tcPr>
    </w:tblStylePr>
    <w:tblStylePr w:type="firstCol">
      <w:rPr>
        <w:rFonts w:ascii="Arial" w:hAnsi="Arial"/>
        <w:b/>
        <w:color w:val="FFFFFF"/>
        <w:sz w:val="22"/>
      </w:rPr>
      <w:tblPr/>
      <w:tcPr>
        <w:shd w:val="clear" w:color="C0504D" w:themeColor="accent2" w:fill="C0504D" w:themeFill="accent2"/>
      </w:tcPr>
    </w:tblStylePr>
    <w:tblStylePr w:type="lastCol">
      <w:rPr>
        <w:rFonts w:ascii="Arial" w:hAnsi="Arial"/>
        <w:b/>
        <w:color w:val="FFFFFF"/>
        <w:sz w:val="22"/>
      </w:rPr>
      <w:tblPr/>
      <w:tcPr>
        <w:shd w:val="clear" w:color="C0504D" w:themeColor="accent2" w:fill="C0504D" w:themeFill="accent2"/>
      </w:tcPr>
    </w:tblStylePr>
    <w:tblStylePr w:type="band1Vert">
      <w:tblPr/>
      <w:tcPr>
        <w:shd w:val="clear" w:color="E2AEAD" w:themeColor="accent2" w:themeTint="75" w:fill="E2AEAD" w:themeFill="accent2" w:themeFillTint="75"/>
      </w:tcPr>
    </w:tblStylePr>
    <w:tblStylePr w:type="band1Horz">
      <w:tblPr/>
      <w:tcPr>
        <w:shd w:val="clear" w:color="E2AEAD" w:themeColor="accent2" w:themeTint="75" w:fill="E2AEAD" w:themeFill="accent2" w:themeFillTint="75"/>
      </w:tcPr>
    </w:tblStylePr>
  </w:style>
  <w:style w:type="table" w:customStyle="1" w:styleId="GridTable5Dark-Accent3">
    <w:name w:val="Grid Table 5 Dark - Accent 3"/>
    <w:basedOn w:val="a1"/>
    <w:uiPriority w:val="99"/>
    <w:pPr>
      <w:spacing w:after="0" w:line="240" w:lineRule="auto"/>
    </w:pPr>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AF1DC" w:themeColor="accent3" w:themeTint="34" w:fill="EAF1DC" w:themeFill="accent3" w:themeFillTint="34"/>
      <w:tblCellMar>
        <w:top w:w="0" w:type="dxa"/>
        <w:left w:w="108" w:type="dxa"/>
        <w:bottom w:w="0" w:type="dxa"/>
        <w:right w:w="108" w:type="dxa"/>
      </w:tblCellMar>
    </w:tblPr>
    <w:tblStylePr w:type="firstRow">
      <w:rPr>
        <w:rFonts w:ascii="Arial" w:hAnsi="Arial"/>
        <w:b/>
        <w:color w:val="FFFFFF"/>
        <w:sz w:val="22"/>
      </w:rPr>
      <w:tblPr/>
      <w:tcPr>
        <w:shd w:val="clear" w:color="9BBB59" w:themeColor="accent3" w:fill="9BBB59" w:themeFill="accent3"/>
      </w:tcPr>
    </w:tblStylePr>
    <w:tblStylePr w:type="lastRow">
      <w:rPr>
        <w:rFonts w:ascii="Arial" w:hAnsi="Arial"/>
        <w:b/>
        <w:color w:val="FFFFFF"/>
        <w:sz w:val="22"/>
      </w:rPr>
      <w:tblPr/>
      <w:tcPr>
        <w:tcBorders>
          <w:top w:val="single" w:sz="4" w:space="0" w:color="FFFFFF" w:themeColor="light1"/>
        </w:tcBorders>
        <w:shd w:val="clear" w:color="9BBB59" w:themeColor="accent3" w:fill="9BBB59" w:themeFill="accent3"/>
      </w:tcPr>
    </w:tblStylePr>
    <w:tblStylePr w:type="firstCol">
      <w:rPr>
        <w:rFonts w:ascii="Arial" w:hAnsi="Arial"/>
        <w:b/>
        <w:color w:val="FFFFFF"/>
        <w:sz w:val="22"/>
      </w:rPr>
      <w:tblPr/>
      <w:tcPr>
        <w:shd w:val="clear" w:color="9BBB59" w:themeColor="accent3" w:fill="9BBB59" w:themeFill="accent3"/>
      </w:tcPr>
    </w:tblStylePr>
    <w:tblStylePr w:type="lastCol">
      <w:rPr>
        <w:rFonts w:ascii="Arial" w:hAnsi="Arial"/>
        <w:b/>
        <w:color w:val="FFFFFF"/>
        <w:sz w:val="22"/>
      </w:rPr>
      <w:tblPr/>
      <w:tcPr>
        <w:shd w:val="clear" w:color="9BBB59" w:themeColor="accent3" w:fill="9BBB59" w:themeFill="accent3"/>
      </w:tcPr>
    </w:tblStylePr>
    <w:tblStylePr w:type="band1Vert">
      <w:tblPr/>
      <w:tcPr>
        <w:shd w:val="clear" w:color="D0DFB2" w:themeColor="accent3" w:themeTint="75" w:fill="D0DFB2" w:themeFill="accent3" w:themeFillTint="75"/>
      </w:tcPr>
    </w:tblStylePr>
    <w:tblStylePr w:type="band1Horz">
      <w:tblPr/>
      <w:tcPr>
        <w:shd w:val="clear" w:color="D0DFB2" w:themeColor="accent3" w:themeTint="75" w:fill="D0DFB2" w:themeFill="accent3" w:themeFillTint="75"/>
      </w:tcPr>
    </w:tblStylePr>
  </w:style>
  <w:style w:type="table" w:customStyle="1" w:styleId="GridTable5Dark-Accent4">
    <w:name w:val="Grid Table 5 Dark- Accent 4"/>
    <w:basedOn w:val="a1"/>
    <w:uiPriority w:val="99"/>
    <w:pPr>
      <w:spacing w:after="0" w:line="240" w:lineRule="auto"/>
    </w:pPr>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5DFEC" w:themeColor="accent4" w:themeTint="34" w:fill="E5DFEC" w:themeFill="accent4" w:themeFillTint="34"/>
      <w:tblCellMar>
        <w:top w:w="0" w:type="dxa"/>
        <w:left w:w="108" w:type="dxa"/>
        <w:bottom w:w="0" w:type="dxa"/>
        <w:right w:w="108" w:type="dxa"/>
      </w:tblCellMar>
    </w:tblPr>
    <w:tblStylePr w:type="firstRow">
      <w:rPr>
        <w:rFonts w:ascii="Arial" w:hAnsi="Arial"/>
        <w:b/>
        <w:color w:val="FFFFFF"/>
        <w:sz w:val="22"/>
      </w:rPr>
      <w:tblPr/>
      <w:tcPr>
        <w:shd w:val="clear" w:color="8064A2" w:themeColor="accent4" w:fill="8064A2" w:themeFill="accent4"/>
      </w:tcPr>
    </w:tblStylePr>
    <w:tblStylePr w:type="lastRow">
      <w:rPr>
        <w:rFonts w:ascii="Arial" w:hAnsi="Arial"/>
        <w:b/>
        <w:color w:val="FFFFFF"/>
        <w:sz w:val="22"/>
      </w:rPr>
      <w:tblPr/>
      <w:tcPr>
        <w:tcBorders>
          <w:top w:val="single" w:sz="4" w:space="0" w:color="FFFFFF" w:themeColor="light1"/>
        </w:tcBorders>
        <w:shd w:val="clear" w:color="8064A2" w:themeColor="accent4" w:fill="8064A2" w:themeFill="accent4"/>
      </w:tcPr>
    </w:tblStylePr>
    <w:tblStylePr w:type="firstCol">
      <w:rPr>
        <w:rFonts w:ascii="Arial" w:hAnsi="Arial"/>
        <w:b/>
        <w:color w:val="FFFFFF"/>
        <w:sz w:val="22"/>
      </w:rPr>
      <w:tblPr/>
      <w:tcPr>
        <w:shd w:val="clear" w:color="8064A2" w:themeColor="accent4" w:fill="8064A2" w:themeFill="accent4"/>
      </w:tcPr>
    </w:tblStylePr>
    <w:tblStylePr w:type="lastCol">
      <w:rPr>
        <w:rFonts w:ascii="Arial" w:hAnsi="Arial"/>
        <w:b/>
        <w:color w:val="FFFFFF"/>
        <w:sz w:val="22"/>
      </w:rPr>
      <w:tblPr/>
      <w:tcPr>
        <w:shd w:val="clear" w:color="8064A2" w:themeColor="accent4" w:fill="8064A2" w:themeFill="accent4"/>
      </w:tcPr>
    </w:tblStylePr>
    <w:tblStylePr w:type="band1Vert">
      <w:tblPr/>
      <w:tcPr>
        <w:shd w:val="clear" w:color="C4B7D4" w:themeColor="accent4" w:themeTint="75" w:fill="C4B7D4" w:themeFill="accent4" w:themeFillTint="75"/>
      </w:tcPr>
    </w:tblStylePr>
    <w:tblStylePr w:type="band1Horz">
      <w:tblPr/>
      <w:tcPr>
        <w:shd w:val="clear" w:color="C4B7D4" w:themeColor="accent4" w:themeTint="75" w:fill="C4B7D4" w:themeFill="accent4" w:themeFillTint="75"/>
      </w:tcPr>
    </w:tblStylePr>
  </w:style>
  <w:style w:type="table" w:customStyle="1" w:styleId="GridTable5Dark-Accent5">
    <w:name w:val="Grid Table 5 Dark - Accent 5"/>
    <w:basedOn w:val="a1"/>
    <w:uiPriority w:val="99"/>
    <w:pPr>
      <w:spacing w:after="0" w:line="240" w:lineRule="auto"/>
    </w:pPr>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EF3" w:themeColor="accent5" w:themeTint="34" w:fill="DAEEF3" w:themeFill="accent5" w:themeFillTint="34"/>
      <w:tblCellMar>
        <w:top w:w="0" w:type="dxa"/>
        <w:left w:w="108" w:type="dxa"/>
        <w:bottom w:w="0" w:type="dxa"/>
        <w:right w:w="108" w:type="dxa"/>
      </w:tblCellMar>
    </w:tblPr>
    <w:tblStylePr w:type="firstRow">
      <w:rPr>
        <w:rFonts w:ascii="Arial" w:hAnsi="Arial"/>
        <w:b/>
        <w:color w:val="FFFFFF"/>
        <w:sz w:val="22"/>
      </w:rPr>
      <w:tblPr/>
      <w:tcPr>
        <w:shd w:val="clear" w:color="4BACC6" w:themeColor="accent5" w:fill="4BACC6" w:themeFill="accent5"/>
      </w:tcPr>
    </w:tblStylePr>
    <w:tblStylePr w:type="lastRow">
      <w:rPr>
        <w:rFonts w:ascii="Arial" w:hAnsi="Arial"/>
        <w:b/>
        <w:color w:val="FFFFFF"/>
        <w:sz w:val="22"/>
      </w:rPr>
      <w:tblPr/>
      <w:tcPr>
        <w:tcBorders>
          <w:top w:val="single" w:sz="4" w:space="0" w:color="FFFFFF" w:themeColor="light1"/>
        </w:tcBorders>
        <w:shd w:val="clear" w:color="4BACC6" w:themeColor="accent5" w:fill="4BACC6" w:themeFill="accent5"/>
      </w:tcPr>
    </w:tblStylePr>
    <w:tblStylePr w:type="firstCol">
      <w:rPr>
        <w:rFonts w:ascii="Arial" w:hAnsi="Arial"/>
        <w:b/>
        <w:color w:val="FFFFFF"/>
        <w:sz w:val="22"/>
      </w:rPr>
      <w:tblPr/>
      <w:tcPr>
        <w:shd w:val="clear" w:color="4BACC6" w:themeColor="accent5" w:fill="4BACC6" w:themeFill="accent5"/>
      </w:tcPr>
    </w:tblStylePr>
    <w:tblStylePr w:type="lastCol">
      <w:rPr>
        <w:rFonts w:ascii="Arial" w:hAnsi="Arial"/>
        <w:b/>
        <w:color w:val="FFFFFF"/>
        <w:sz w:val="22"/>
      </w:rPr>
      <w:tblPr/>
      <w:tcPr>
        <w:shd w:val="clear" w:color="4BACC6" w:themeColor="accent5" w:fill="4BACC6" w:themeFill="accent5"/>
      </w:tcPr>
    </w:tblStylePr>
    <w:tblStylePr w:type="band1Vert">
      <w:tblPr/>
      <w:tcPr>
        <w:shd w:val="clear" w:color="ACD8E4" w:themeColor="accent5" w:themeTint="75" w:fill="ACD8E4" w:themeFill="accent5" w:themeFillTint="75"/>
      </w:tcPr>
    </w:tblStylePr>
    <w:tblStylePr w:type="band1Horz">
      <w:tblPr/>
      <w:tcPr>
        <w:shd w:val="clear" w:color="ACD8E4" w:themeColor="accent5" w:themeTint="75" w:fill="ACD8E4" w:themeFill="accent5" w:themeFillTint="75"/>
      </w:tcPr>
    </w:tblStylePr>
  </w:style>
  <w:style w:type="table" w:customStyle="1" w:styleId="GridTable5Dark-Accent6">
    <w:name w:val="Grid Table 5 Dark - Accent 6"/>
    <w:basedOn w:val="a1"/>
    <w:uiPriority w:val="99"/>
    <w:pPr>
      <w:spacing w:after="0" w:line="240" w:lineRule="auto"/>
    </w:pPr>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DE9D8" w:themeColor="accent6" w:themeTint="34" w:fill="FDE9D8" w:themeFill="accent6" w:themeFillTint="34"/>
      <w:tblCellMar>
        <w:top w:w="0" w:type="dxa"/>
        <w:left w:w="108" w:type="dxa"/>
        <w:bottom w:w="0" w:type="dxa"/>
        <w:right w:w="108" w:type="dxa"/>
      </w:tblCellMar>
    </w:tblPr>
    <w:tblStylePr w:type="firstRow">
      <w:rPr>
        <w:rFonts w:ascii="Arial" w:hAnsi="Arial"/>
        <w:b/>
        <w:color w:val="FFFFFF"/>
        <w:sz w:val="22"/>
      </w:rPr>
      <w:tblPr/>
      <w:tcPr>
        <w:shd w:val="clear" w:color="F79646" w:themeColor="accent6" w:fill="F79646" w:themeFill="accent6"/>
      </w:tcPr>
    </w:tblStylePr>
    <w:tblStylePr w:type="lastRow">
      <w:rPr>
        <w:rFonts w:ascii="Arial" w:hAnsi="Arial"/>
        <w:b/>
        <w:color w:val="FFFFFF"/>
        <w:sz w:val="22"/>
      </w:rPr>
      <w:tblPr/>
      <w:tcPr>
        <w:tcBorders>
          <w:top w:val="single" w:sz="4" w:space="0" w:color="FFFFFF" w:themeColor="light1"/>
        </w:tcBorders>
        <w:shd w:val="clear" w:color="F79646" w:themeColor="accent6" w:fill="F79646" w:themeFill="accent6"/>
      </w:tcPr>
    </w:tblStylePr>
    <w:tblStylePr w:type="firstCol">
      <w:rPr>
        <w:rFonts w:ascii="Arial" w:hAnsi="Arial"/>
        <w:b/>
        <w:color w:val="FFFFFF"/>
        <w:sz w:val="22"/>
      </w:rPr>
      <w:tblPr/>
      <w:tcPr>
        <w:shd w:val="clear" w:color="F79646" w:themeColor="accent6" w:fill="F79646" w:themeFill="accent6"/>
      </w:tcPr>
    </w:tblStylePr>
    <w:tblStylePr w:type="lastCol">
      <w:rPr>
        <w:rFonts w:ascii="Arial" w:hAnsi="Arial"/>
        <w:b/>
        <w:color w:val="FFFFFF"/>
        <w:sz w:val="22"/>
      </w:rPr>
      <w:tblPr/>
      <w:tcPr>
        <w:shd w:val="clear" w:color="F79646" w:themeColor="accent6" w:fill="F79646" w:themeFill="accent6"/>
      </w:tcPr>
    </w:tblStylePr>
    <w:tblStylePr w:type="band1Vert">
      <w:tblPr/>
      <w:tcPr>
        <w:shd w:val="clear" w:color="FBCEAA" w:themeColor="accent6" w:themeTint="75" w:fill="FBCEAA" w:themeFill="accent6" w:themeFillTint="75"/>
      </w:tcPr>
    </w:tblStylePr>
    <w:tblStylePr w:type="band1Horz">
      <w:tblPr/>
      <w:tcPr>
        <w:shd w:val="clear" w:color="FBCEAA" w:themeColor="accent6" w:themeTint="75" w:fill="FBCEAA" w:themeFill="accent6" w:themeFillTint="75"/>
      </w:tcPr>
    </w:tblStylePr>
  </w:style>
  <w:style w:type="table" w:customStyle="1" w:styleId="-61">
    <w:name w:val="Таблица-сетка 6 цветная1"/>
    <w:basedOn w:val="a1"/>
    <w:uiPriority w:val="99"/>
    <w:pPr>
      <w:spacing w:after="0" w:line="240" w:lineRule="auto"/>
    </w:pPr>
    <w:tblPr>
      <w:tblStyleRowBandSize w:val="1"/>
      <w:tblStyleColBandSize w:val="1"/>
      <w:tblInd w:w="0"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CellMar>
        <w:top w:w="0" w:type="dxa"/>
        <w:left w:w="108" w:type="dxa"/>
        <w:bottom w:w="0" w:type="dxa"/>
        <w:right w:w="108" w:type="dxa"/>
      </w:tblCellMar>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a1"/>
    <w:uiPriority w:val="99"/>
    <w:pPr>
      <w:spacing w:after="0" w:line="240" w:lineRule="auto"/>
    </w:pPr>
    <w:tblPr>
      <w:tblStyleRowBandSize w:val="1"/>
      <w:tblStyleColBandSize w:val="1"/>
      <w:tblInd w:w="0" w:type="dxa"/>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CellMar>
        <w:top w:w="0" w:type="dxa"/>
        <w:left w:w="108" w:type="dxa"/>
        <w:bottom w:w="0" w:type="dxa"/>
        <w:right w:w="108" w:type="dxa"/>
      </w:tblCellMar>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6Colorful-Accent2">
    <w:name w:val="Grid Table 6 Colorful - Accent 2"/>
    <w:basedOn w:val="a1"/>
    <w:uiPriority w:val="99"/>
    <w:pPr>
      <w:spacing w:after="0" w:line="240" w:lineRule="auto"/>
    </w:pPr>
    <w:tblPr>
      <w:tblStyleRowBandSize w:val="1"/>
      <w:tblStyleColBandSize w:val="1"/>
      <w:tblInd w:w="0" w:type="dxa"/>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CellMar>
        <w:top w:w="0" w:type="dxa"/>
        <w:left w:w="108" w:type="dxa"/>
        <w:bottom w:w="0" w:type="dxa"/>
        <w:right w:w="108" w:type="dxa"/>
      </w:tblCellMar>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6Colorful-Accent3">
    <w:name w:val="Grid Table 6 Colorful - Accent 3"/>
    <w:basedOn w:val="a1"/>
    <w:uiPriority w:val="99"/>
    <w:pPr>
      <w:spacing w:after="0" w:line="240" w:lineRule="auto"/>
    </w:pPr>
    <w:tblPr>
      <w:tblStyleRowBandSize w:val="1"/>
      <w:tblStyleColBandSize w:val="1"/>
      <w:tblInd w:w="0" w:type="dxa"/>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CellMar>
        <w:top w:w="0" w:type="dxa"/>
        <w:left w:w="108" w:type="dxa"/>
        <w:bottom w:w="0" w:type="dxa"/>
        <w:right w:w="108" w:type="dxa"/>
      </w:tblCellMar>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6Colorful-Accent4">
    <w:name w:val="Grid Table 6 Colorful - Accent 4"/>
    <w:basedOn w:val="a1"/>
    <w:uiPriority w:val="99"/>
    <w:pPr>
      <w:spacing w:after="0" w:line="240" w:lineRule="auto"/>
    </w:pPr>
    <w:tblPr>
      <w:tblStyleRowBandSize w:val="1"/>
      <w:tblStyleColBandSize w:val="1"/>
      <w:tblInd w:w="0" w:type="dxa"/>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CellMar>
        <w:top w:w="0" w:type="dxa"/>
        <w:left w:w="108" w:type="dxa"/>
        <w:bottom w:w="0" w:type="dxa"/>
        <w:right w:w="108" w:type="dxa"/>
      </w:tblCellMar>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6Colorful-Accent5">
    <w:name w:val="Grid Table 6 Colorful - Accent 5"/>
    <w:basedOn w:val="a1"/>
    <w:uiPriority w:val="99"/>
    <w:pPr>
      <w:spacing w:after="0" w:line="240" w:lineRule="auto"/>
    </w:pPr>
    <w:tblPr>
      <w:tblStyleRowBandSize w:val="1"/>
      <w:tblStyleColBandSize w:val="1"/>
      <w:tblInd w:w="0" w:type="dxa"/>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CellMar>
        <w:top w:w="0" w:type="dxa"/>
        <w:left w:w="108" w:type="dxa"/>
        <w:bottom w:w="0" w:type="dxa"/>
        <w:right w:w="108" w:type="dxa"/>
      </w:tblCellMar>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6Colorful-Accent6">
    <w:name w:val="Grid Table 6 Colorful - Accent 6"/>
    <w:basedOn w:val="a1"/>
    <w:uiPriority w:val="99"/>
    <w:pPr>
      <w:spacing w:after="0" w:line="240" w:lineRule="auto"/>
    </w:pPr>
    <w:tblPr>
      <w:tblStyleRowBandSize w:val="1"/>
      <w:tblStyleColBandSize w:val="1"/>
      <w:tblInd w:w="0" w:type="dxa"/>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CellMar>
        <w:top w:w="0" w:type="dxa"/>
        <w:left w:w="108" w:type="dxa"/>
        <w:bottom w:w="0" w:type="dxa"/>
        <w:right w:w="108" w:type="dxa"/>
      </w:tblCellMar>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themeColor="accent6" w:themeTint="34" w:fill="FDE9D8" w:themeFill="accent6" w:themeFillTint="34"/>
      </w:tcPr>
    </w:tblStylePr>
    <w:tblStylePr w:type="band1Horz">
      <w:rPr>
        <w:rFonts w:ascii="Arial" w:hAnsi="Arial"/>
        <w:color w:val="266779" w:themeColor="accent5" w:themeShade="95"/>
        <w:sz w:val="22"/>
      </w:rPr>
      <w:tblPr/>
      <w:tcPr>
        <w:shd w:val="clear" w:color="FDE9D8" w:themeColor="accent6" w:themeTint="34" w:fill="FDE9D8" w:themeFill="accent6" w:themeFillTint="34"/>
      </w:tcPr>
    </w:tblStylePr>
    <w:tblStylePr w:type="band2Horz">
      <w:rPr>
        <w:rFonts w:ascii="Arial" w:hAnsi="Arial"/>
        <w:color w:val="266779" w:themeColor="accent5" w:themeShade="95"/>
        <w:sz w:val="22"/>
      </w:rPr>
    </w:tblStylePr>
  </w:style>
  <w:style w:type="table" w:customStyle="1" w:styleId="-71">
    <w:name w:val="Таблица-сетка 7 цветная1"/>
    <w:basedOn w:val="a1"/>
    <w:uiPriority w:val="99"/>
    <w:pPr>
      <w:spacing w:after="0" w:line="240" w:lineRule="auto"/>
    </w:pPr>
    <w:tblPr>
      <w:tblStyleRowBandSize w:val="1"/>
      <w:tblStyleColBandSize w:val="1"/>
      <w:tblInd w:w="0" w:type="dxa"/>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CellMar>
        <w:top w:w="0" w:type="dxa"/>
        <w:left w:w="108" w:type="dxa"/>
        <w:bottom w:w="0" w:type="dxa"/>
        <w:right w:w="108" w:type="dxa"/>
      </w:tblCellMar>
    </w:tblPr>
    <w:tblStylePr w:type="firstRow">
      <w:rPr>
        <w:rFonts w:ascii="Arial" w:hAnsi="Arial"/>
        <w:b/>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a1"/>
    <w:uiPriority w:val="99"/>
    <w:pPr>
      <w:spacing w:after="0" w:line="240" w:lineRule="auto"/>
    </w:pPr>
    <w:tblPr>
      <w:tblStyleRowBandSize w:val="1"/>
      <w:tblStyleColBandSize w:val="1"/>
      <w:tblInd w:w="0" w:type="dxa"/>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CellMar>
        <w:top w:w="0" w:type="dxa"/>
        <w:left w:w="108" w:type="dxa"/>
        <w:bottom w:w="0" w:type="dxa"/>
        <w:right w:w="108" w:type="dxa"/>
      </w:tblCellMar>
    </w:tblPr>
    <w:tblStylePr w:type="firstRow">
      <w:rPr>
        <w:rFonts w:ascii="Arial" w:hAnsi="Arial"/>
        <w:b/>
        <w:color w:val="A6BFDD" w:themeColor="accent1" w:themeTint="80" w:themeShade="95"/>
        <w:sz w:val="22"/>
      </w:rPr>
      <w:tblPr/>
      <w:tcPr>
        <w:tcBorders>
          <w:top w:val="none" w:sz="4" w:space="0" w:color="000000"/>
          <w:left w:val="none" w:sz="4" w:space="0" w:color="000000"/>
          <w:bottom w:val="single" w:sz="4" w:space="0" w:color="A6BFDD" w:themeColor="accent1" w:themeTint="80"/>
          <w:right w:val="none" w:sz="4" w:space="0" w:color="000000"/>
        </w:tcBorders>
        <w:shd w:val="clear" w:color="FFFFFF" w:themeColor="light1"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6BFDD" w:themeColor="accent1" w:themeTint="80" w:themeShade="95"/>
        <w:sz w:val="22"/>
      </w:rPr>
      <w:tblPr/>
      <w:tcPr>
        <w:tcBorders>
          <w:top w:val="none" w:sz="4" w:space="0" w:color="000000"/>
          <w:left w:val="none" w:sz="4" w:space="0" w:color="000000"/>
          <w:bottom w:val="none" w:sz="4" w:space="0" w:color="000000"/>
          <w:right w:val="single" w:sz="4" w:space="0" w:color="A6BFDD" w:themeColor="accent1" w:themeTint="80"/>
        </w:tcBorders>
        <w:shd w:val="clear" w:color="FFFFFF" w:fill="auto"/>
      </w:tcPr>
    </w:tblStylePr>
    <w:tblStylePr w:type="lastCol">
      <w:rPr>
        <w:rFonts w:ascii="Arial" w:hAnsi="Arial"/>
        <w:i/>
        <w:color w:val="A6BFDD" w:themeColor="accent1" w:themeTint="80" w:themeShade="95"/>
        <w:sz w:val="22"/>
      </w:rPr>
      <w:tblPr/>
      <w:tcPr>
        <w:tcBorders>
          <w:top w:val="none" w:sz="4" w:space="0" w:color="000000"/>
          <w:left w:val="single" w:sz="4" w:space="0" w:color="A6BFDD" w:themeColor="accent1" w:themeTint="80"/>
          <w:bottom w:val="none" w:sz="4" w:space="0" w:color="000000"/>
          <w:right w:val="none" w:sz="4" w:space="0" w:color="000000"/>
        </w:tcBorders>
        <w:shd w:val="clear" w:color="FFFFFF" w:fill="auto"/>
      </w:tc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7Colorful-Accent2">
    <w:name w:val="Grid Table 7 Colorful - Accent 2"/>
    <w:basedOn w:val="a1"/>
    <w:uiPriority w:val="99"/>
    <w:pPr>
      <w:spacing w:after="0" w:line="240" w:lineRule="auto"/>
    </w:pPr>
    <w:tblPr>
      <w:tblStyleRowBandSize w:val="1"/>
      <w:tblStyleColBandSize w:val="1"/>
      <w:tblInd w:w="0" w:type="dxa"/>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CellMar>
        <w:top w:w="0" w:type="dxa"/>
        <w:left w:w="108" w:type="dxa"/>
        <w:bottom w:w="0" w:type="dxa"/>
        <w:right w:w="108" w:type="dxa"/>
      </w:tblCellMar>
    </w:tblPr>
    <w:tblStylePr w:type="firstRow">
      <w:rPr>
        <w:rFonts w:ascii="Arial" w:hAnsi="Arial"/>
        <w:b/>
        <w:color w:val="D99695" w:themeColor="accent2" w:themeTint="97" w:themeShade="95"/>
        <w:sz w:val="22"/>
      </w:rPr>
      <w:tblPr/>
      <w:tcPr>
        <w:tcBorders>
          <w:top w:val="none" w:sz="4" w:space="0" w:color="000000"/>
          <w:left w:val="none" w:sz="4" w:space="0" w:color="000000"/>
          <w:bottom w:val="single" w:sz="4" w:space="0" w:color="D99695" w:themeColor="accent2" w:themeTint="97"/>
          <w:right w:val="none" w:sz="4" w:space="0" w:color="000000"/>
        </w:tcBorders>
        <w:shd w:val="clear" w:color="FFFFFF" w:themeColor="light1"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4" w:space="0" w:color="000000"/>
          <w:left w:val="none" w:sz="4" w:space="0" w:color="000000"/>
          <w:bottom w:val="none" w:sz="4" w:space="0" w:color="000000"/>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4" w:space="0" w:color="000000"/>
          <w:left w:val="single" w:sz="4" w:space="0" w:color="D99695" w:themeColor="accent2" w:themeTint="97"/>
          <w:bottom w:val="none" w:sz="4" w:space="0" w:color="000000"/>
          <w:right w:val="none" w:sz="4" w:space="0" w:color="000000"/>
        </w:tcBorders>
        <w:shd w:val="clear" w:color="FFFFFF" w:fill="auto"/>
      </w:tc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7Colorful-Accent3">
    <w:name w:val="Grid Table 7 Colorful - Accent 3"/>
    <w:basedOn w:val="a1"/>
    <w:uiPriority w:val="99"/>
    <w:pPr>
      <w:spacing w:after="0" w:line="240" w:lineRule="auto"/>
    </w:pPr>
    <w:tblPr>
      <w:tblStyleRowBandSize w:val="1"/>
      <w:tblStyleColBandSize w:val="1"/>
      <w:tblInd w:w="0" w:type="dxa"/>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CellMar>
        <w:top w:w="0" w:type="dxa"/>
        <w:left w:w="108" w:type="dxa"/>
        <w:bottom w:w="0" w:type="dxa"/>
        <w:right w:w="108" w:type="dxa"/>
      </w:tblCellMar>
    </w:tblPr>
    <w:tblStylePr w:type="firstRow">
      <w:rPr>
        <w:rFonts w:ascii="Arial" w:hAnsi="Arial"/>
        <w:b/>
        <w:color w:val="9ABB59" w:themeColor="accent3" w:themeTint="FE" w:themeShade="95"/>
        <w:sz w:val="22"/>
      </w:rPr>
      <w:tblPr/>
      <w:tcPr>
        <w:tcBorders>
          <w:top w:val="none" w:sz="4" w:space="0" w:color="000000"/>
          <w:left w:val="none" w:sz="4" w:space="0" w:color="000000"/>
          <w:bottom w:val="single" w:sz="4" w:space="0" w:color="9ABB59" w:themeColor="accent3" w:themeTint="FE"/>
          <w:right w:val="none" w:sz="4" w:space="0" w:color="000000"/>
        </w:tcBorders>
        <w:shd w:val="clear" w:color="FFFFFF" w:themeColor="light1"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9ABB59" w:themeColor="accent3" w:themeTint="FE" w:themeShade="95"/>
        <w:sz w:val="22"/>
      </w:rPr>
      <w:tblPr/>
      <w:tcPr>
        <w:tcBorders>
          <w:top w:val="none" w:sz="4" w:space="0" w:color="000000"/>
          <w:left w:val="none" w:sz="4" w:space="0" w:color="000000"/>
          <w:bottom w:val="none" w:sz="4" w:space="0" w:color="000000"/>
          <w:right w:val="single" w:sz="4" w:space="0" w:color="9ABB59" w:themeColor="accent3" w:themeTint="FE"/>
        </w:tcBorders>
        <w:shd w:val="clear" w:color="FFFFFF" w:fill="auto"/>
      </w:tcPr>
    </w:tblStylePr>
    <w:tblStylePr w:type="lastCol">
      <w:rPr>
        <w:rFonts w:ascii="Arial" w:hAnsi="Arial"/>
        <w:i/>
        <w:color w:val="9ABB59" w:themeColor="accent3" w:themeTint="FE" w:themeShade="95"/>
        <w:sz w:val="22"/>
      </w:rPr>
      <w:tblPr/>
      <w:tcPr>
        <w:tcBorders>
          <w:top w:val="none" w:sz="4" w:space="0" w:color="000000"/>
          <w:left w:val="single" w:sz="4" w:space="0" w:color="9ABB59" w:themeColor="accent3" w:themeTint="FE"/>
          <w:bottom w:val="none" w:sz="4" w:space="0" w:color="000000"/>
          <w:right w:val="none" w:sz="4" w:space="0" w:color="000000"/>
        </w:tcBorders>
        <w:shd w:val="clear" w:color="FFFFFF" w:fill="auto"/>
      </w:tc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7Colorful-Accent4">
    <w:name w:val="Grid Table 7 Colorful - Accent 4"/>
    <w:basedOn w:val="a1"/>
    <w:uiPriority w:val="99"/>
    <w:pPr>
      <w:spacing w:after="0" w:line="240" w:lineRule="auto"/>
    </w:pPr>
    <w:tblPr>
      <w:tblStyleRowBandSize w:val="1"/>
      <w:tblStyleColBandSize w:val="1"/>
      <w:tblInd w:w="0" w:type="dxa"/>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CellMar>
        <w:top w:w="0" w:type="dxa"/>
        <w:left w:w="108" w:type="dxa"/>
        <w:bottom w:w="0" w:type="dxa"/>
        <w:right w:w="108" w:type="dxa"/>
      </w:tblCellMar>
    </w:tblPr>
    <w:tblStylePr w:type="firstRow">
      <w:rPr>
        <w:rFonts w:ascii="Arial" w:hAnsi="Arial"/>
        <w:b/>
        <w:color w:val="B2A1C6" w:themeColor="accent4" w:themeTint="9A" w:themeShade="95"/>
        <w:sz w:val="22"/>
      </w:rPr>
      <w:tblPr/>
      <w:tcPr>
        <w:tcBorders>
          <w:top w:val="none" w:sz="4" w:space="0" w:color="000000"/>
          <w:left w:val="none" w:sz="4" w:space="0" w:color="000000"/>
          <w:bottom w:val="single" w:sz="4" w:space="0" w:color="B2A1C6" w:themeColor="accent4" w:themeTint="9A"/>
          <w:right w:val="none" w:sz="4" w:space="0" w:color="000000"/>
        </w:tcBorders>
        <w:shd w:val="clear" w:color="FFFFFF" w:themeColor="light1"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4" w:space="0" w:color="000000"/>
          <w:left w:val="none" w:sz="4" w:space="0" w:color="000000"/>
          <w:bottom w:val="none" w:sz="4" w:space="0" w:color="000000"/>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4" w:space="0" w:color="000000"/>
          <w:left w:val="single" w:sz="4" w:space="0" w:color="B2A1C6" w:themeColor="accent4" w:themeTint="9A"/>
          <w:bottom w:val="none" w:sz="4" w:space="0" w:color="000000"/>
          <w:right w:val="none" w:sz="4" w:space="0" w:color="000000"/>
        </w:tcBorders>
        <w:shd w:val="clear" w:color="FFFFFF" w:fill="auto"/>
      </w:tc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7Colorful-Accent5">
    <w:name w:val="Grid Table 7 Colorful - Accent 5"/>
    <w:basedOn w:val="a1"/>
    <w:uiPriority w:val="99"/>
    <w:pPr>
      <w:spacing w:after="0" w:line="240" w:lineRule="auto"/>
    </w:pPr>
    <w:tblPr>
      <w:tblStyleRowBandSize w:val="1"/>
      <w:tblStyleColBandSize w:val="1"/>
      <w:tblInd w:w="0" w:type="dxa"/>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CellMar>
        <w:top w:w="0" w:type="dxa"/>
        <w:left w:w="108" w:type="dxa"/>
        <w:bottom w:w="0" w:type="dxa"/>
        <w:right w:w="108" w:type="dxa"/>
      </w:tblCellMar>
    </w:tblPr>
    <w:tblStylePr w:type="firstRow">
      <w:rPr>
        <w:rFonts w:ascii="Arial" w:hAnsi="Arial"/>
        <w:b/>
        <w:color w:val="266779" w:themeColor="accent5" w:themeShade="95"/>
        <w:sz w:val="22"/>
      </w:rPr>
      <w:tblPr/>
      <w:tcPr>
        <w:tcBorders>
          <w:top w:val="none" w:sz="4" w:space="0" w:color="000000"/>
          <w:left w:val="none" w:sz="4" w:space="0" w:color="000000"/>
          <w:bottom w:val="single" w:sz="4" w:space="0" w:color="99D0DE" w:themeColor="accent5" w:themeTint="90"/>
          <w:right w:val="none" w:sz="4" w:space="0" w:color="000000"/>
        </w:tcBorders>
        <w:shd w:val="clear" w:color="FFFFFF" w:themeColor="light1"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66779" w:themeColor="accent5" w:themeShade="95"/>
        <w:sz w:val="22"/>
      </w:rPr>
      <w:tblPr/>
      <w:tcPr>
        <w:tcBorders>
          <w:top w:val="none" w:sz="4" w:space="0" w:color="000000"/>
          <w:left w:val="none" w:sz="4" w:space="0" w:color="000000"/>
          <w:bottom w:val="none" w:sz="4" w:space="0" w:color="000000"/>
          <w:right w:val="single" w:sz="4" w:space="0" w:color="99D0DE" w:themeColor="accent5" w:themeTint="90"/>
        </w:tcBorders>
        <w:shd w:val="clear" w:color="FFFFFF" w:fill="auto"/>
      </w:tcPr>
    </w:tblStylePr>
    <w:tblStylePr w:type="lastCol">
      <w:rPr>
        <w:rFonts w:ascii="Arial" w:hAnsi="Arial"/>
        <w:i/>
        <w:color w:val="266779" w:themeColor="accent5" w:themeShade="95"/>
        <w:sz w:val="22"/>
      </w:rPr>
      <w:tblPr/>
      <w:tcPr>
        <w:tcBorders>
          <w:top w:val="none" w:sz="4" w:space="0" w:color="000000"/>
          <w:left w:val="single" w:sz="4" w:space="0" w:color="99D0DE" w:themeColor="accent5" w:themeTint="90"/>
          <w:bottom w:val="none" w:sz="4" w:space="0" w:color="000000"/>
          <w:right w:val="none" w:sz="4" w:space="0" w:color="000000"/>
        </w:tcBorders>
        <w:shd w:val="clear" w:color="FFFFFF" w:fill="auto"/>
      </w:tc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7Colorful-Accent6">
    <w:name w:val="Grid Table 7 Colorful - Accent 6"/>
    <w:basedOn w:val="a1"/>
    <w:uiPriority w:val="99"/>
    <w:pPr>
      <w:spacing w:after="0" w:line="240" w:lineRule="auto"/>
    </w:pPr>
    <w:tblPr>
      <w:tblStyleRowBandSize w:val="1"/>
      <w:tblStyleColBandSize w:val="1"/>
      <w:tblInd w:w="0" w:type="dxa"/>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CellMar>
        <w:top w:w="0" w:type="dxa"/>
        <w:left w:w="108" w:type="dxa"/>
        <w:bottom w:w="0" w:type="dxa"/>
        <w:right w:w="108" w:type="dxa"/>
      </w:tblCellMar>
    </w:tblPr>
    <w:tblStylePr w:type="firstRow">
      <w:rPr>
        <w:rFonts w:ascii="Arial" w:hAnsi="Arial"/>
        <w:b/>
        <w:color w:val="B15407" w:themeColor="accent6" w:themeShade="95"/>
        <w:sz w:val="22"/>
      </w:rPr>
      <w:tblPr/>
      <w:tcPr>
        <w:tcBorders>
          <w:top w:val="none" w:sz="4" w:space="0" w:color="000000"/>
          <w:left w:val="none" w:sz="4" w:space="0" w:color="000000"/>
          <w:bottom w:val="single" w:sz="4" w:space="0" w:color="FAC396" w:themeColor="accent6" w:themeTint="90"/>
          <w:right w:val="none" w:sz="4" w:space="0" w:color="000000"/>
        </w:tcBorders>
        <w:shd w:val="clear" w:color="FFFFFF" w:themeColor="light1"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15407" w:themeColor="accent6" w:themeShade="95"/>
        <w:sz w:val="22"/>
      </w:rPr>
      <w:tblPr/>
      <w:tcPr>
        <w:tcBorders>
          <w:top w:val="none" w:sz="4" w:space="0" w:color="000000"/>
          <w:left w:val="none" w:sz="4" w:space="0" w:color="000000"/>
          <w:bottom w:val="none" w:sz="4" w:space="0" w:color="000000"/>
          <w:right w:val="single" w:sz="4" w:space="0" w:color="FAC396" w:themeColor="accent6" w:themeTint="90"/>
        </w:tcBorders>
        <w:shd w:val="clear" w:color="FFFFFF" w:fill="auto"/>
      </w:tcPr>
    </w:tblStylePr>
    <w:tblStylePr w:type="lastCol">
      <w:rPr>
        <w:rFonts w:ascii="Arial" w:hAnsi="Arial"/>
        <w:i/>
        <w:color w:val="B15407" w:themeColor="accent6" w:themeShade="95"/>
        <w:sz w:val="22"/>
      </w:rPr>
      <w:tblPr/>
      <w:tcPr>
        <w:tcBorders>
          <w:top w:val="none" w:sz="4" w:space="0" w:color="000000"/>
          <w:left w:val="single" w:sz="4" w:space="0" w:color="FAC396" w:themeColor="accent6" w:themeTint="90"/>
          <w:bottom w:val="none" w:sz="4" w:space="0" w:color="000000"/>
          <w:right w:val="none" w:sz="4" w:space="0" w:color="000000"/>
        </w:tcBorders>
        <w:shd w:val="clear" w:color="FFFFFF" w:fill="auto"/>
      </w:tcPr>
    </w:tblStylePr>
    <w:tblStylePr w:type="band1Vert">
      <w:tblPr/>
      <w:tcPr>
        <w:shd w:val="clear" w:color="FDE9D8" w:themeColor="accent6" w:themeTint="34" w:fill="FDE9D8" w:themeFill="accent6" w:themeFillTint="34"/>
      </w:tcPr>
    </w:tblStylePr>
    <w:tblStylePr w:type="band1Horz">
      <w:rPr>
        <w:rFonts w:ascii="Arial" w:hAnsi="Arial"/>
        <w:color w:val="B15407" w:themeColor="accent6" w:themeShade="95"/>
        <w:sz w:val="22"/>
      </w:rPr>
      <w:tblPr/>
      <w:tcPr>
        <w:shd w:val="clear" w:color="FDE9D8" w:themeColor="accent6" w:themeTint="34" w:fill="FDE9D8" w:themeFill="accent6" w:themeFillTint="34"/>
      </w:tcPr>
    </w:tblStylePr>
    <w:tblStylePr w:type="band2Horz">
      <w:rPr>
        <w:rFonts w:ascii="Arial" w:hAnsi="Arial"/>
        <w:color w:val="B15407" w:themeColor="accent6" w:themeShade="95"/>
        <w:sz w:val="22"/>
      </w:rPr>
    </w:tblStylePr>
  </w:style>
  <w:style w:type="table" w:customStyle="1" w:styleId="-110">
    <w:name w:val="Список-таблица 1 светлая1"/>
    <w:basedOn w:val="a1"/>
    <w:uiPriority w:val="99"/>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a1"/>
    <w:uiPriority w:val="99"/>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themeColor="accent1" w:themeTint="40" w:fill="D2DFEE" w:themeFill="accent1" w:themeFillTint="40"/>
      </w:tcPr>
    </w:tblStylePr>
    <w:tblStylePr w:type="band1Horz">
      <w:tblPr/>
      <w:tcPr>
        <w:shd w:val="clear" w:color="D2DFEE" w:themeColor="accent1" w:themeTint="40" w:fill="D2DFEE" w:themeFill="accent1" w:themeFillTint="40"/>
      </w:tcPr>
    </w:tblStylePr>
  </w:style>
  <w:style w:type="table" w:customStyle="1" w:styleId="ListTable1Light-Accent2">
    <w:name w:val="List Table 1 Light - Accent 2"/>
    <w:basedOn w:val="a1"/>
    <w:uiPriority w:val="99"/>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themeColor="accent2" w:themeTint="40" w:fill="EFD2D2" w:themeFill="accent2" w:themeFillTint="40"/>
      </w:tcPr>
    </w:tblStylePr>
    <w:tblStylePr w:type="band1Horz">
      <w:tblPr/>
      <w:tcPr>
        <w:shd w:val="clear" w:color="EFD2D2" w:themeColor="accent2" w:themeTint="40" w:fill="EFD2D2" w:themeFill="accent2" w:themeFillTint="40"/>
      </w:tcPr>
    </w:tblStylePr>
  </w:style>
  <w:style w:type="table" w:customStyle="1" w:styleId="ListTable1Light-Accent3">
    <w:name w:val="List Table 1 Light - Accent 3"/>
    <w:basedOn w:val="a1"/>
    <w:uiPriority w:val="99"/>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themeColor="accent3" w:themeTint="40" w:fill="E5EED5" w:themeFill="accent3" w:themeFillTint="40"/>
      </w:tcPr>
    </w:tblStylePr>
    <w:tblStylePr w:type="band1Horz">
      <w:tblPr/>
      <w:tcPr>
        <w:shd w:val="clear" w:color="E5EED5" w:themeColor="accent3" w:themeTint="40" w:fill="E5EED5" w:themeFill="accent3" w:themeFillTint="40"/>
      </w:tcPr>
    </w:tblStylePr>
  </w:style>
  <w:style w:type="table" w:customStyle="1" w:styleId="ListTable1Light-Accent4">
    <w:name w:val="List Table 1 Light - Accent 4"/>
    <w:basedOn w:val="a1"/>
    <w:uiPriority w:val="99"/>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themeColor="accent4" w:themeTint="40" w:fill="DFD8E7" w:themeFill="accent4" w:themeFillTint="40"/>
      </w:tcPr>
    </w:tblStylePr>
    <w:tblStylePr w:type="band1Horz">
      <w:tblPr/>
      <w:tcPr>
        <w:shd w:val="clear" w:color="DFD8E7" w:themeColor="accent4" w:themeTint="40" w:fill="DFD8E7" w:themeFill="accent4" w:themeFillTint="40"/>
      </w:tcPr>
    </w:tblStylePr>
  </w:style>
  <w:style w:type="table" w:customStyle="1" w:styleId="ListTable1Light-Accent5">
    <w:name w:val="List Table 1 Light - Accent 5"/>
    <w:basedOn w:val="a1"/>
    <w:uiPriority w:val="99"/>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themeColor="accent5" w:themeTint="40" w:fill="D1EAF0" w:themeFill="accent5" w:themeFillTint="40"/>
      </w:tcPr>
    </w:tblStylePr>
    <w:tblStylePr w:type="band1Horz">
      <w:tblPr/>
      <w:tcPr>
        <w:shd w:val="clear" w:color="D1EAF0" w:themeColor="accent5" w:themeTint="40" w:fill="D1EAF0" w:themeFill="accent5" w:themeFillTint="40"/>
      </w:tcPr>
    </w:tblStylePr>
  </w:style>
  <w:style w:type="table" w:customStyle="1" w:styleId="ListTable1Light-Accent6">
    <w:name w:val="List Table 1 Light - Accent 6"/>
    <w:basedOn w:val="a1"/>
    <w:uiPriority w:val="99"/>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themeColor="accent6" w:themeTint="40" w:fill="FDE4D0" w:themeFill="accent6" w:themeFillTint="40"/>
      </w:tcPr>
    </w:tblStylePr>
    <w:tblStylePr w:type="band1Horz">
      <w:tblPr/>
      <w:tcPr>
        <w:shd w:val="clear" w:color="FDE4D0" w:themeColor="accent6" w:themeTint="40" w:fill="FDE4D0" w:themeFill="accent6" w:themeFillTint="40"/>
      </w:tcPr>
    </w:tblStylePr>
  </w:style>
  <w:style w:type="table" w:customStyle="1" w:styleId="-210">
    <w:name w:val="Список-таблица 21"/>
    <w:basedOn w:val="a1"/>
    <w:uiPriority w:val="99"/>
    <w:pPr>
      <w:spacing w:after="0" w:line="240" w:lineRule="auto"/>
    </w:pPr>
    <w:tblPr>
      <w:tblStyleRowBandSize w:val="1"/>
      <w:tblStyleColBandSize w:val="1"/>
      <w:tblInd w:w="0" w:type="dxa"/>
      <w:tblBorders>
        <w:top w:val="single" w:sz="4" w:space="0" w:color="6F6F6F" w:themeColor="text1" w:themeTint="90"/>
        <w:bottom w:val="single" w:sz="4" w:space="0" w:color="6F6F6F" w:themeColor="text1" w:themeTint="90"/>
        <w:insideH w:val="single" w:sz="4" w:space="0" w:color="6F6F6F" w:themeColor="text1" w:themeTint="90"/>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a1"/>
    <w:uiPriority w:val="99"/>
    <w:pPr>
      <w:spacing w:after="0" w:line="240" w:lineRule="auto"/>
    </w:pPr>
    <w:tblPr>
      <w:tblStyleRowBandSize w:val="1"/>
      <w:tblStyleColBandSize w:val="1"/>
      <w:tblInd w:w="0" w:type="dxa"/>
      <w:tblBorders>
        <w:top w:val="single" w:sz="4" w:space="0" w:color="9BB7D9" w:themeColor="accent1" w:themeTint="90"/>
        <w:bottom w:val="single" w:sz="4" w:space="0" w:color="9BB7D9" w:themeColor="accent1" w:themeTint="90"/>
        <w:insideH w:val="single" w:sz="4" w:space="0" w:color="9BB7D9" w:themeColor="accent1" w:themeTint="90"/>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2-Accent2">
    <w:name w:val="List Table 2 - Accent 2"/>
    <w:basedOn w:val="a1"/>
    <w:uiPriority w:val="99"/>
    <w:pPr>
      <w:spacing w:after="0" w:line="240" w:lineRule="auto"/>
    </w:pPr>
    <w:tblPr>
      <w:tblStyleRowBandSize w:val="1"/>
      <w:tblStyleColBandSize w:val="1"/>
      <w:tblInd w:w="0" w:type="dxa"/>
      <w:tblBorders>
        <w:top w:val="single" w:sz="4" w:space="0" w:color="DB9B9A" w:themeColor="accent2" w:themeTint="90"/>
        <w:bottom w:val="single" w:sz="4" w:space="0" w:color="DB9B9A" w:themeColor="accent2" w:themeTint="90"/>
        <w:insideH w:val="single" w:sz="4" w:space="0" w:color="DB9B9A" w:themeColor="accent2" w:themeTint="90"/>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2-Accent3">
    <w:name w:val="List Table 2 - Accent 3"/>
    <w:basedOn w:val="a1"/>
    <w:uiPriority w:val="99"/>
    <w:pPr>
      <w:spacing w:after="0" w:line="240" w:lineRule="auto"/>
    </w:pPr>
    <w:tblPr>
      <w:tblStyleRowBandSize w:val="1"/>
      <w:tblStyleColBandSize w:val="1"/>
      <w:tblInd w:w="0" w:type="dxa"/>
      <w:tblBorders>
        <w:top w:val="single" w:sz="4" w:space="0" w:color="C6D8A1" w:themeColor="accent3" w:themeTint="90"/>
        <w:bottom w:val="single" w:sz="4" w:space="0" w:color="C6D8A1" w:themeColor="accent3" w:themeTint="90"/>
        <w:insideH w:val="single" w:sz="4" w:space="0" w:color="C6D8A1" w:themeColor="accent3" w:themeTint="90"/>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2-Accent4">
    <w:name w:val="List Table 2 - Accent 4"/>
    <w:basedOn w:val="a1"/>
    <w:uiPriority w:val="99"/>
    <w:pPr>
      <w:spacing w:after="0" w:line="240" w:lineRule="auto"/>
    </w:pPr>
    <w:tblPr>
      <w:tblStyleRowBandSize w:val="1"/>
      <w:tblStyleColBandSize w:val="1"/>
      <w:tblInd w:w="0" w:type="dxa"/>
      <w:tblBorders>
        <w:top w:val="single" w:sz="4" w:space="0" w:color="B7A7CA" w:themeColor="accent4" w:themeTint="90"/>
        <w:bottom w:val="single" w:sz="4" w:space="0" w:color="B7A7CA" w:themeColor="accent4" w:themeTint="90"/>
        <w:insideH w:val="single" w:sz="4" w:space="0" w:color="B7A7CA" w:themeColor="accent4" w:themeTint="90"/>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2-Accent5">
    <w:name w:val="List Table 2 - Accent 5"/>
    <w:basedOn w:val="a1"/>
    <w:uiPriority w:val="99"/>
    <w:pPr>
      <w:spacing w:after="0" w:line="240" w:lineRule="auto"/>
    </w:pPr>
    <w:tblPr>
      <w:tblStyleRowBandSize w:val="1"/>
      <w:tblStyleColBandSize w:val="1"/>
      <w:tblInd w:w="0" w:type="dxa"/>
      <w:tblBorders>
        <w:top w:val="single" w:sz="4" w:space="0" w:color="99D0DE" w:themeColor="accent5" w:themeTint="90"/>
        <w:bottom w:val="single" w:sz="4" w:space="0" w:color="99D0DE" w:themeColor="accent5" w:themeTint="90"/>
        <w:insideH w:val="single" w:sz="4" w:space="0" w:color="99D0DE" w:themeColor="accent5" w:themeTint="90"/>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2-Accent6">
    <w:name w:val="List Table 2 - Accent 6"/>
    <w:basedOn w:val="a1"/>
    <w:uiPriority w:val="99"/>
    <w:pPr>
      <w:spacing w:after="0" w:line="240" w:lineRule="auto"/>
    </w:pPr>
    <w:tblPr>
      <w:tblStyleRowBandSize w:val="1"/>
      <w:tblStyleColBandSize w:val="1"/>
      <w:tblInd w:w="0" w:type="dxa"/>
      <w:tblBorders>
        <w:top w:val="single" w:sz="4" w:space="0" w:color="FAC396" w:themeColor="accent6" w:themeTint="90"/>
        <w:bottom w:val="single" w:sz="4" w:space="0" w:color="FAC396" w:themeColor="accent6" w:themeTint="90"/>
        <w:insideH w:val="single" w:sz="4" w:space="0" w:color="FAC396" w:themeColor="accent6" w:themeTint="90"/>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customStyle="1" w:styleId="-310">
    <w:name w:val="Список-таблица 31"/>
    <w:basedOn w:val="a1"/>
    <w:uiPriority w:val="99"/>
    <w:pPr>
      <w:spacing w:after="0" w:line="240" w:lineRule="auto"/>
    </w:pPr>
    <w:tblPr>
      <w:tblStyleRowBandSize w:val="1"/>
      <w:tblStyleColBandSize w:val="1"/>
      <w:tblInd w:w="0" w:type="dxa"/>
      <w:tblBorders>
        <w:top w:val="single" w:sz="4" w:space="0" w:color="000000" w:themeColor="text1"/>
        <w:left w:val="single" w:sz="4" w:space="0" w:color="000000" w:themeColor="text1"/>
        <w:bottom w:val="single" w:sz="4" w:space="0" w:color="000000" w:themeColor="text1"/>
        <w:right w:val="single" w:sz="4" w:space="0" w:color="000000" w:themeColor="text1"/>
      </w:tblBorders>
      <w:tblCellMar>
        <w:top w:w="0" w:type="dxa"/>
        <w:left w:w="108" w:type="dxa"/>
        <w:bottom w:w="0" w:type="dxa"/>
        <w:right w:w="108" w:type="dxa"/>
      </w:tblCellMar>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a1"/>
    <w:uiPriority w:val="99"/>
    <w:pPr>
      <w:spacing w:after="0" w:line="240" w:lineRule="auto"/>
    </w:pPr>
    <w:tblPr>
      <w:tblStyleRowBandSize w:val="1"/>
      <w:tblStyleColBandSize w:val="1"/>
      <w:tblInd w:w="0" w:type="dxa"/>
      <w:tblBorders>
        <w:top w:val="single" w:sz="4" w:space="0" w:color="4F81BD" w:themeColor="accent1"/>
        <w:left w:val="single" w:sz="4" w:space="0" w:color="4F81BD" w:themeColor="accent1"/>
        <w:bottom w:val="single" w:sz="4" w:space="0" w:color="4F81BD" w:themeColor="accent1"/>
        <w:right w:val="single" w:sz="4" w:space="0" w:color="4F81BD" w:themeColor="accent1"/>
      </w:tblBorders>
      <w:tblCellMar>
        <w:top w:w="0" w:type="dxa"/>
        <w:left w:w="108" w:type="dxa"/>
        <w:bottom w:w="0" w:type="dxa"/>
        <w:right w:w="108" w:type="dxa"/>
      </w:tblCellMar>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customStyle="1" w:styleId="ListTable3-Accent2">
    <w:name w:val="List Table 3 - Accent 2"/>
    <w:basedOn w:val="a1"/>
    <w:uiPriority w:val="99"/>
    <w:pPr>
      <w:spacing w:after="0" w:line="240" w:lineRule="auto"/>
    </w:pPr>
    <w:tblPr>
      <w:tblStyleRowBandSize w:val="1"/>
      <w:tblStyleColBandSize w:val="1"/>
      <w:tblInd w:w="0" w:type="dxa"/>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CellMar>
        <w:top w:w="0" w:type="dxa"/>
        <w:left w:w="108" w:type="dxa"/>
        <w:bottom w:w="0" w:type="dxa"/>
        <w:right w:w="108" w:type="dxa"/>
      </w:tblCellMar>
    </w:tblPr>
    <w:tblStylePr w:type="firstRow">
      <w:rPr>
        <w:rFonts w:ascii="Arial" w:hAnsi="Arial"/>
        <w:b/>
        <w:color w:val="FFFFFF"/>
        <w:sz w:val="22"/>
      </w:rPr>
      <w:tblPr/>
      <w:tcPr>
        <w:shd w:val="clear" w:color="D99695" w:themeColor="accent2" w:themeTint="97"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customStyle="1" w:styleId="ListTable3-Accent3">
    <w:name w:val="List Table 3 - Accent 3"/>
    <w:basedOn w:val="a1"/>
    <w:uiPriority w:val="99"/>
    <w:pPr>
      <w:spacing w:after="0" w:line="240" w:lineRule="auto"/>
    </w:pPr>
    <w:tblPr>
      <w:tblStyleRowBandSize w:val="1"/>
      <w:tblStyleColBandSize w:val="1"/>
      <w:tblInd w:w="0" w:type="dxa"/>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CellMar>
        <w:top w:w="0" w:type="dxa"/>
        <w:left w:w="108" w:type="dxa"/>
        <w:bottom w:w="0" w:type="dxa"/>
        <w:right w:w="108" w:type="dxa"/>
      </w:tblCellMar>
    </w:tblPr>
    <w:tblStylePr w:type="firstRow">
      <w:rPr>
        <w:rFonts w:ascii="Arial" w:hAnsi="Arial"/>
        <w:b/>
        <w:color w:val="FFFFFF"/>
        <w:sz w:val="22"/>
      </w:rPr>
      <w:tblPr/>
      <w:tcPr>
        <w:shd w:val="clear" w:color="C3D69B" w:themeColor="accent3" w:themeTint="98"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customStyle="1" w:styleId="ListTable3-Accent4">
    <w:name w:val="List Table 3 - Accent 4"/>
    <w:basedOn w:val="a1"/>
    <w:uiPriority w:val="99"/>
    <w:pPr>
      <w:spacing w:after="0" w:line="240" w:lineRule="auto"/>
    </w:pPr>
    <w:tblPr>
      <w:tblStyleRowBandSize w:val="1"/>
      <w:tblStyleColBandSize w:val="1"/>
      <w:tblInd w:w="0" w:type="dxa"/>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CellMar>
        <w:top w:w="0" w:type="dxa"/>
        <w:left w:w="108" w:type="dxa"/>
        <w:bottom w:w="0" w:type="dxa"/>
        <w:right w:w="108" w:type="dxa"/>
      </w:tblCellMar>
    </w:tblPr>
    <w:tblStylePr w:type="firstRow">
      <w:rPr>
        <w:rFonts w:ascii="Arial" w:hAnsi="Arial"/>
        <w:b/>
        <w:color w:val="FFFFFF"/>
        <w:sz w:val="22"/>
      </w:rPr>
      <w:tblPr/>
      <w:tcPr>
        <w:shd w:val="clear" w:color="B2A1C6" w:themeColor="accent4" w:themeTint="9A"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customStyle="1" w:styleId="ListTable3-Accent5">
    <w:name w:val="List Table 3 - Accent 5"/>
    <w:basedOn w:val="a1"/>
    <w:uiPriority w:val="99"/>
    <w:pPr>
      <w:spacing w:after="0" w:line="240" w:lineRule="auto"/>
    </w:pPr>
    <w:tblPr>
      <w:tblStyleRowBandSize w:val="1"/>
      <w:tblStyleColBandSize w:val="1"/>
      <w:tblInd w:w="0" w:type="dxa"/>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CellMar>
        <w:top w:w="0" w:type="dxa"/>
        <w:left w:w="108" w:type="dxa"/>
        <w:bottom w:w="0" w:type="dxa"/>
        <w:right w:w="108" w:type="dxa"/>
      </w:tblCellMar>
    </w:tblPr>
    <w:tblStylePr w:type="firstRow">
      <w:rPr>
        <w:rFonts w:ascii="Arial" w:hAnsi="Arial"/>
        <w:b/>
        <w:color w:val="FFFFFF"/>
        <w:sz w:val="22"/>
      </w:rPr>
      <w:tblPr/>
      <w:tcPr>
        <w:shd w:val="clear" w:color="92CCDC" w:themeColor="accent5" w:themeTint="9A"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customStyle="1" w:styleId="ListTable3-Accent6">
    <w:name w:val="List Table 3 - Accent 6"/>
    <w:basedOn w:val="a1"/>
    <w:uiPriority w:val="99"/>
    <w:pPr>
      <w:spacing w:after="0" w:line="240" w:lineRule="auto"/>
    </w:pPr>
    <w:tblPr>
      <w:tblStyleRowBandSize w:val="1"/>
      <w:tblStyleColBandSize w:val="1"/>
      <w:tblInd w:w="0" w:type="dxa"/>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CellMar>
        <w:top w:w="0" w:type="dxa"/>
        <w:left w:w="108" w:type="dxa"/>
        <w:bottom w:w="0" w:type="dxa"/>
        <w:right w:w="108" w:type="dxa"/>
      </w:tblCellMar>
    </w:tblPr>
    <w:tblStylePr w:type="firstRow">
      <w:rPr>
        <w:rFonts w:ascii="Arial" w:hAnsi="Arial"/>
        <w:b/>
        <w:color w:val="FFFFFF"/>
        <w:sz w:val="22"/>
      </w:rPr>
      <w:tblPr/>
      <w:tcPr>
        <w:shd w:val="clear" w:color="FAC090" w:themeColor="accent6" w:themeTint="98"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customStyle="1" w:styleId="-410">
    <w:name w:val="Список-таблица 41"/>
    <w:basedOn w:val="a1"/>
    <w:uiPriority w:val="99"/>
    <w:pPr>
      <w:spacing w:after="0" w:line="240" w:lineRule="auto"/>
    </w:pPr>
    <w:tblPr>
      <w:tblStyleRowBandSize w:val="1"/>
      <w:tblStyleColBandSize w:val="1"/>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CellMar>
        <w:top w:w="0" w:type="dxa"/>
        <w:left w:w="108" w:type="dxa"/>
        <w:bottom w:w="0" w:type="dxa"/>
        <w:right w:w="108" w:type="dxa"/>
      </w:tblCellMar>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a1"/>
    <w:uiPriority w:val="99"/>
    <w:pPr>
      <w:spacing w:after="0" w:line="240" w:lineRule="auto"/>
    </w:pPr>
    <w:tblPr>
      <w:tblStyleRowBandSize w:val="1"/>
      <w:tblStyleColBandSize w:val="1"/>
      <w:tblInd w:w="0" w:type="dxa"/>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CellMar>
        <w:top w:w="0" w:type="dxa"/>
        <w:left w:w="108" w:type="dxa"/>
        <w:bottom w:w="0" w:type="dxa"/>
        <w:right w:w="108" w:type="dxa"/>
      </w:tblCellMar>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4-Accent2">
    <w:name w:val="List Table 4 - Accent 2"/>
    <w:basedOn w:val="a1"/>
    <w:uiPriority w:val="99"/>
    <w:pPr>
      <w:spacing w:after="0" w:line="240" w:lineRule="auto"/>
    </w:pPr>
    <w:tblPr>
      <w:tblStyleRowBandSize w:val="1"/>
      <w:tblStyleColBandSize w:val="1"/>
      <w:tblInd w:w="0" w:type="dxa"/>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CellMar>
        <w:top w:w="0" w:type="dxa"/>
        <w:left w:w="108" w:type="dxa"/>
        <w:bottom w:w="0" w:type="dxa"/>
        <w:right w:w="108" w:type="dxa"/>
      </w:tblCellMar>
    </w:tblPr>
    <w:tblStylePr w:type="firstRow">
      <w:rPr>
        <w:rFonts w:ascii="Arial" w:hAnsi="Arial"/>
        <w:b/>
        <w:color w:val="FFFFFF"/>
        <w:sz w:val="22"/>
      </w:rPr>
      <w:tblPr/>
      <w:tcPr>
        <w:shd w:val="clear" w:color="C0504D" w:themeColor="accent2"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4-Accent3">
    <w:name w:val="List Table 4 - Accent 3"/>
    <w:basedOn w:val="a1"/>
    <w:uiPriority w:val="99"/>
    <w:pPr>
      <w:spacing w:after="0" w:line="240" w:lineRule="auto"/>
    </w:pPr>
    <w:tblPr>
      <w:tblStyleRowBandSize w:val="1"/>
      <w:tblStyleColBandSize w:val="1"/>
      <w:tblInd w:w="0" w:type="dxa"/>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CellMar>
        <w:top w:w="0" w:type="dxa"/>
        <w:left w:w="108" w:type="dxa"/>
        <w:bottom w:w="0" w:type="dxa"/>
        <w:right w:w="108" w:type="dxa"/>
      </w:tblCellMar>
    </w:tblPr>
    <w:tblStylePr w:type="firstRow">
      <w:rPr>
        <w:rFonts w:ascii="Arial" w:hAnsi="Arial"/>
        <w:b/>
        <w:color w:val="FFFFFF"/>
        <w:sz w:val="22"/>
      </w:rPr>
      <w:tblPr/>
      <w:tcPr>
        <w:shd w:val="clear" w:color="9BBB59" w:themeColor="accent3"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4-Accent4">
    <w:name w:val="List Table 4 - Accent 4"/>
    <w:basedOn w:val="a1"/>
    <w:uiPriority w:val="99"/>
    <w:pPr>
      <w:spacing w:after="0" w:line="240" w:lineRule="auto"/>
    </w:pPr>
    <w:tblPr>
      <w:tblStyleRowBandSize w:val="1"/>
      <w:tblStyleColBandSize w:val="1"/>
      <w:tblInd w:w="0" w:type="dxa"/>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CellMar>
        <w:top w:w="0" w:type="dxa"/>
        <w:left w:w="108" w:type="dxa"/>
        <w:bottom w:w="0" w:type="dxa"/>
        <w:right w:w="108" w:type="dxa"/>
      </w:tblCellMar>
    </w:tblPr>
    <w:tblStylePr w:type="firstRow">
      <w:rPr>
        <w:rFonts w:ascii="Arial" w:hAnsi="Arial"/>
        <w:b/>
        <w:color w:val="FFFFFF"/>
        <w:sz w:val="22"/>
      </w:rPr>
      <w:tblPr/>
      <w:tcPr>
        <w:shd w:val="clear" w:color="8064A2" w:themeColor="accent4"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4-Accent5">
    <w:name w:val="List Table 4 - Accent 5"/>
    <w:basedOn w:val="a1"/>
    <w:uiPriority w:val="99"/>
    <w:pPr>
      <w:spacing w:after="0" w:line="240" w:lineRule="auto"/>
    </w:pPr>
    <w:tblPr>
      <w:tblStyleRowBandSize w:val="1"/>
      <w:tblStyleColBandSize w:val="1"/>
      <w:tblInd w:w="0" w:type="dxa"/>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CellMar>
        <w:top w:w="0" w:type="dxa"/>
        <w:left w:w="108" w:type="dxa"/>
        <w:bottom w:w="0" w:type="dxa"/>
        <w:right w:w="108" w:type="dxa"/>
      </w:tblCellMar>
    </w:tblPr>
    <w:tblStylePr w:type="firstRow">
      <w:rPr>
        <w:rFonts w:ascii="Arial" w:hAnsi="Arial"/>
        <w:b/>
        <w:color w:val="FFFFFF"/>
        <w:sz w:val="22"/>
      </w:rPr>
      <w:tblPr/>
      <w:tcPr>
        <w:shd w:val="clear" w:color="4BACC6" w:themeColor="accent5"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4-Accent6">
    <w:name w:val="List Table 4 - Accent 6"/>
    <w:basedOn w:val="a1"/>
    <w:uiPriority w:val="99"/>
    <w:pPr>
      <w:spacing w:after="0" w:line="240" w:lineRule="auto"/>
    </w:pPr>
    <w:tblPr>
      <w:tblStyleRowBandSize w:val="1"/>
      <w:tblStyleColBandSize w:val="1"/>
      <w:tblInd w:w="0" w:type="dxa"/>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CellMar>
        <w:top w:w="0" w:type="dxa"/>
        <w:left w:w="108" w:type="dxa"/>
        <w:bottom w:w="0" w:type="dxa"/>
        <w:right w:w="108" w:type="dxa"/>
      </w:tblCellMar>
    </w:tblPr>
    <w:tblStylePr w:type="firstRow">
      <w:rPr>
        <w:rFonts w:ascii="Arial" w:hAnsi="Arial"/>
        <w:b/>
        <w:color w:val="FFFFFF"/>
        <w:sz w:val="22"/>
      </w:rPr>
      <w:tblPr/>
      <w:tcPr>
        <w:shd w:val="clear" w:color="F79646" w:themeColor="accent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customStyle="1" w:styleId="-510">
    <w:name w:val="Список-таблица 5 темная1"/>
    <w:basedOn w:val="a1"/>
    <w:uiPriority w:val="99"/>
    <w:pPr>
      <w:spacing w:after="0" w:line="240" w:lineRule="auto"/>
    </w:pPr>
    <w:tblPr>
      <w:tblStyleRowBandSize w:val="1"/>
      <w:tblStyleColBandSize w:val="1"/>
      <w:tblInd w:w="0" w:type="dxa"/>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CellMar>
        <w:top w:w="0" w:type="dxa"/>
        <w:left w:w="108" w:type="dxa"/>
        <w:bottom w:w="0" w:type="dxa"/>
        <w:right w:w="108" w:type="dxa"/>
      </w:tblCellMar>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a1"/>
    <w:uiPriority w:val="99"/>
    <w:pPr>
      <w:spacing w:after="0" w:line="240" w:lineRule="auto"/>
    </w:pPr>
    <w:tblPr>
      <w:tblStyleRowBandSize w:val="1"/>
      <w:tblStyleColBandSize w:val="1"/>
      <w:tblInd w:w="0" w:type="dxa"/>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4F81BD" w:themeColor="accent1" w:fill="4F81BD" w:themeFill="accent1"/>
      <w:tblCellMar>
        <w:top w:w="0" w:type="dxa"/>
        <w:left w:w="108" w:type="dxa"/>
        <w:bottom w:w="0" w:type="dxa"/>
        <w:right w:w="108" w:type="dxa"/>
      </w:tblCellMar>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themeColor="accent1"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themeColor="accent1"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themeColor="accent1" w:fill="4F81BD" w:themeFill="accent1"/>
      </w:tcPr>
    </w:tblStylePr>
    <w:tblStylePr w:type="band2Horz">
      <w:tblPr/>
      <w:tcPr>
        <w:tcBorders>
          <w:top w:val="single" w:sz="4" w:space="0" w:color="FFFFFF" w:themeColor="light1"/>
          <w:bottom w:val="single" w:sz="4" w:space="0" w:color="FFFFFF" w:themeColor="light1"/>
        </w:tcBorders>
        <w:shd w:val="clear" w:color="4F81BD" w:themeColor="accent1" w:fill="4F81BD" w:themeFill="accent1"/>
      </w:tcPr>
    </w:tblStylePr>
  </w:style>
  <w:style w:type="table" w:customStyle="1" w:styleId="ListTable5Dark-Accent2">
    <w:name w:val="List Table 5 Dark - Accent 2"/>
    <w:basedOn w:val="a1"/>
    <w:uiPriority w:val="99"/>
    <w:pPr>
      <w:spacing w:after="0" w:line="240" w:lineRule="auto"/>
    </w:pPr>
    <w:tblPr>
      <w:tblStyleRowBandSize w:val="1"/>
      <w:tblStyleColBandSize w:val="1"/>
      <w:tblInd w:w="0" w:type="dxa"/>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D99695" w:themeColor="accent2" w:themeTint="97" w:fill="D99695" w:themeFill="accent2" w:themeFillTint="97"/>
      <w:tblCellMar>
        <w:top w:w="0" w:type="dxa"/>
        <w:left w:w="108" w:type="dxa"/>
        <w:bottom w:w="0" w:type="dxa"/>
        <w:right w:w="108" w:type="dxa"/>
      </w:tblCellMar>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themeColor="accent2" w:themeTint="97"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themeColor="accent2" w:themeTint="97"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style>
  <w:style w:type="table" w:customStyle="1" w:styleId="ListTable5Dark-Accent3">
    <w:name w:val="List Table 5 Dark - Accent 3"/>
    <w:basedOn w:val="a1"/>
    <w:uiPriority w:val="99"/>
    <w:pPr>
      <w:spacing w:after="0" w:line="240" w:lineRule="auto"/>
    </w:pPr>
    <w:tblPr>
      <w:tblStyleRowBandSize w:val="1"/>
      <w:tblStyleColBandSize w:val="1"/>
      <w:tblInd w:w="0" w:type="dxa"/>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C3D69B" w:themeColor="accent3" w:themeTint="98" w:fill="C3D69B" w:themeFill="accent3" w:themeFillTint="98"/>
      <w:tblCellMar>
        <w:top w:w="0" w:type="dxa"/>
        <w:left w:w="108" w:type="dxa"/>
        <w:bottom w:w="0" w:type="dxa"/>
        <w:right w:w="108" w:type="dxa"/>
      </w:tblCellMar>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themeColor="accent3" w:themeTint="98"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themeColor="accent3" w:themeTint="98"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style>
  <w:style w:type="table" w:customStyle="1" w:styleId="ListTable5Dark-Accent4">
    <w:name w:val="List Table 5 Dark - Accent 4"/>
    <w:basedOn w:val="a1"/>
    <w:uiPriority w:val="99"/>
    <w:pPr>
      <w:spacing w:after="0" w:line="240" w:lineRule="auto"/>
    </w:pPr>
    <w:tblPr>
      <w:tblStyleRowBandSize w:val="1"/>
      <w:tblStyleColBandSize w:val="1"/>
      <w:tblInd w:w="0" w:type="dxa"/>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B2A1C6" w:themeColor="accent4" w:themeTint="9A" w:fill="B2A1C6" w:themeFill="accent4" w:themeFillTint="9A"/>
      <w:tblCellMar>
        <w:top w:w="0" w:type="dxa"/>
        <w:left w:w="108" w:type="dxa"/>
        <w:bottom w:w="0" w:type="dxa"/>
        <w:right w:w="108" w:type="dxa"/>
      </w:tblCellMar>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themeColor="accent4" w:themeTint="9A"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themeColor="accent4" w:themeTint="9A"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style>
  <w:style w:type="table" w:customStyle="1" w:styleId="ListTable5Dark-Accent5">
    <w:name w:val="List Table 5 Dark - Accent 5"/>
    <w:basedOn w:val="a1"/>
    <w:uiPriority w:val="99"/>
    <w:pPr>
      <w:spacing w:after="0" w:line="240" w:lineRule="auto"/>
    </w:pPr>
    <w:tblPr>
      <w:tblStyleRowBandSize w:val="1"/>
      <w:tblStyleColBandSize w:val="1"/>
      <w:tblInd w:w="0" w:type="dxa"/>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92CCDC" w:themeColor="accent5" w:themeTint="9A" w:fill="92CCDC" w:themeFill="accent5" w:themeFillTint="9A"/>
      <w:tblCellMar>
        <w:top w:w="0" w:type="dxa"/>
        <w:left w:w="108" w:type="dxa"/>
        <w:bottom w:w="0" w:type="dxa"/>
        <w:right w:w="108" w:type="dxa"/>
      </w:tblCellMar>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themeColor="accent5" w:themeTint="9A"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themeColor="accent5" w:themeTint="9A"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style>
  <w:style w:type="table" w:customStyle="1" w:styleId="ListTable5Dark-Accent6">
    <w:name w:val="List Table 5 Dark - Accent 6"/>
    <w:basedOn w:val="a1"/>
    <w:uiPriority w:val="99"/>
    <w:pPr>
      <w:spacing w:after="0" w:line="240" w:lineRule="auto"/>
    </w:pPr>
    <w:tblPr>
      <w:tblStyleRowBandSize w:val="1"/>
      <w:tblStyleColBandSize w:val="1"/>
      <w:tblInd w:w="0" w:type="dxa"/>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AC090" w:themeColor="accent6" w:themeTint="98" w:fill="FAC090" w:themeFill="accent6" w:themeFillTint="98"/>
      <w:tblCellMar>
        <w:top w:w="0" w:type="dxa"/>
        <w:left w:w="108" w:type="dxa"/>
        <w:bottom w:w="0" w:type="dxa"/>
        <w:right w:w="108" w:type="dxa"/>
      </w:tblCellMar>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themeColor="accent6" w:themeTint="98"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themeColor="accent6" w:themeTint="98"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style>
  <w:style w:type="table" w:customStyle="1" w:styleId="-610">
    <w:name w:val="Список-таблица 6 цветная1"/>
    <w:basedOn w:val="a1"/>
    <w:uiPriority w:val="99"/>
    <w:pPr>
      <w:spacing w:after="0" w:line="240" w:lineRule="auto"/>
    </w:pPr>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a1"/>
    <w:uiPriority w:val="99"/>
    <w:pPr>
      <w:spacing w:after="0" w:line="240" w:lineRule="auto"/>
    </w:pPr>
    <w:tblPr>
      <w:tblStyleRowBandSize w:val="1"/>
      <w:tblStyleColBandSize w:val="1"/>
      <w:tblInd w:w="0" w:type="dxa"/>
      <w:tblBorders>
        <w:top w:val="single" w:sz="4" w:space="0" w:color="4F81BD" w:themeColor="accent1"/>
        <w:bottom w:val="single" w:sz="4" w:space="0" w:color="4F81BD" w:themeColor="accent1"/>
      </w:tblBorders>
      <w:tblCellMar>
        <w:top w:w="0" w:type="dxa"/>
        <w:left w:w="108" w:type="dxa"/>
        <w:bottom w:w="0" w:type="dxa"/>
        <w:right w:w="108" w:type="dxa"/>
      </w:tblCellMar>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6Colorful-Accent2">
    <w:name w:val="List Table 6 Colorful - Accent 2"/>
    <w:basedOn w:val="a1"/>
    <w:uiPriority w:val="99"/>
    <w:pPr>
      <w:spacing w:after="0" w:line="240" w:lineRule="auto"/>
    </w:pPr>
    <w:tblPr>
      <w:tblStyleRowBandSize w:val="1"/>
      <w:tblStyleColBandSize w:val="1"/>
      <w:tblInd w:w="0" w:type="dxa"/>
      <w:tblBorders>
        <w:top w:val="single" w:sz="4" w:space="0" w:color="D99695" w:themeColor="accent2" w:themeTint="97"/>
        <w:bottom w:val="single" w:sz="4" w:space="0" w:color="D99695" w:themeColor="accent2" w:themeTint="97"/>
      </w:tblBorders>
      <w:tblCellMar>
        <w:top w:w="0" w:type="dxa"/>
        <w:left w:w="108" w:type="dxa"/>
        <w:bottom w:w="0" w:type="dxa"/>
        <w:right w:w="108" w:type="dxa"/>
      </w:tblCellMar>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6Colorful-Accent3">
    <w:name w:val="List Table 6 Colorful - Accent 3"/>
    <w:basedOn w:val="a1"/>
    <w:uiPriority w:val="99"/>
    <w:pPr>
      <w:spacing w:after="0" w:line="240" w:lineRule="auto"/>
    </w:pPr>
    <w:tblPr>
      <w:tblStyleRowBandSize w:val="1"/>
      <w:tblStyleColBandSize w:val="1"/>
      <w:tblInd w:w="0" w:type="dxa"/>
      <w:tblBorders>
        <w:top w:val="single" w:sz="4" w:space="0" w:color="C3D69B" w:themeColor="accent3" w:themeTint="98"/>
        <w:bottom w:val="single" w:sz="4" w:space="0" w:color="C3D69B" w:themeColor="accent3" w:themeTint="98"/>
      </w:tblBorders>
      <w:tblCellMar>
        <w:top w:w="0" w:type="dxa"/>
        <w:left w:w="108" w:type="dxa"/>
        <w:bottom w:w="0" w:type="dxa"/>
        <w:right w:w="108" w:type="dxa"/>
      </w:tblCellMar>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6Colorful-Accent4">
    <w:name w:val="List Table 6 Colorful - Accent 4"/>
    <w:basedOn w:val="a1"/>
    <w:uiPriority w:val="99"/>
    <w:pPr>
      <w:spacing w:after="0" w:line="240" w:lineRule="auto"/>
    </w:pPr>
    <w:tblPr>
      <w:tblStyleRowBandSize w:val="1"/>
      <w:tblStyleColBandSize w:val="1"/>
      <w:tblInd w:w="0" w:type="dxa"/>
      <w:tblBorders>
        <w:top w:val="single" w:sz="4" w:space="0" w:color="B2A1C6" w:themeColor="accent4" w:themeTint="9A"/>
        <w:bottom w:val="single" w:sz="4" w:space="0" w:color="B2A1C6" w:themeColor="accent4" w:themeTint="9A"/>
      </w:tblBorders>
      <w:tblCellMar>
        <w:top w:w="0" w:type="dxa"/>
        <w:left w:w="108" w:type="dxa"/>
        <w:bottom w:w="0" w:type="dxa"/>
        <w:right w:w="108" w:type="dxa"/>
      </w:tblCellMar>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6Colorful-Accent5">
    <w:name w:val="List Table 6 Colorful - Accent 5"/>
    <w:basedOn w:val="a1"/>
    <w:uiPriority w:val="99"/>
    <w:pPr>
      <w:spacing w:after="0" w:line="240" w:lineRule="auto"/>
    </w:pPr>
    <w:tblPr>
      <w:tblStyleRowBandSize w:val="1"/>
      <w:tblStyleColBandSize w:val="1"/>
      <w:tblInd w:w="0" w:type="dxa"/>
      <w:tblBorders>
        <w:top w:val="single" w:sz="4" w:space="0" w:color="92CCDC" w:themeColor="accent5" w:themeTint="9A"/>
        <w:bottom w:val="single" w:sz="4" w:space="0" w:color="92CCDC" w:themeColor="accent5" w:themeTint="9A"/>
      </w:tblBorders>
      <w:tblCellMar>
        <w:top w:w="0" w:type="dxa"/>
        <w:left w:w="108" w:type="dxa"/>
        <w:bottom w:w="0" w:type="dxa"/>
        <w:right w:w="108" w:type="dxa"/>
      </w:tblCellMar>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6Colorful-Accent6">
    <w:name w:val="List Table 6 Colorful - Accent 6"/>
    <w:basedOn w:val="a1"/>
    <w:uiPriority w:val="99"/>
    <w:pPr>
      <w:spacing w:after="0" w:line="240" w:lineRule="auto"/>
    </w:pPr>
    <w:tblPr>
      <w:tblStyleRowBandSize w:val="1"/>
      <w:tblStyleColBandSize w:val="1"/>
      <w:tblInd w:w="0" w:type="dxa"/>
      <w:tblBorders>
        <w:top w:val="single" w:sz="4" w:space="0" w:color="FAC090" w:themeColor="accent6" w:themeTint="98"/>
        <w:bottom w:val="single" w:sz="4" w:space="0" w:color="FAC090" w:themeColor="accent6" w:themeTint="98"/>
      </w:tblBorders>
      <w:tblCellMar>
        <w:top w:w="0" w:type="dxa"/>
        <w:left w:w="108" w:type="dxa"/>
        <w:bottom w:w="0" w:type="dxa"/>
        <w:right w:w="108" w:type="dxa"/>
      </w:tblCellMar>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710">
    <w:name w:val="Список-таблица 7 цветная1"/>
    <w:basedOn w:val="a1"/>
    <w:uiPriority w:val="99"/>
    <w:pPr>
      <w:spacing w:after="0" w:line="240" w:lineRule="auto"/>
    </w:pPr>
    <w:tblPr>
      <w:tblStyleRowBandSize w:val="1"/>
      <w:tblStyleColBandSize w:val="1"/>
      <w:tblInd w:w="0" w:type="dxa"/>
      <w:tblBorders>
        <w:right w:val="single" w:sz="4" w:space="0" w:color="7F7F7F" w:themeColor="text1" w:themeTint="80"/>
      </w:tblBorders>
      <w:tblCellMar>
        <w:top w:w="0" w:type="dxa"/>
        <w:left w:w="108" w:type="dxa"/>
        <w:bottom w:w="0" w:type="dxa"/>
        <w:right w:w="108" w:type="dxa"/>
      </w:tblCellMar>
    </w:tblPr>
    <w:tblStylePr w:type="firstRow">
      <w:rPr>
        <w:rFonts w:ascii="Arial" w:hAnsi="Arial"/>
        <w:i/>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a1"/>
    <w:uiPriority w:val="99"/>
    <w:pPr>
      <w:spacing w:after="0" w:line="240" w:lineRule="auto"/>
    </w:pPr>
    <w:tblPr>
      <w:tblStyleRowBandSize w:val="1"/>
      <w:tblStyleColBandSize w:val="1"/>
      <w:tblInd w:w="0" w:type="dxa"/>
      <w:tblBorders>
        <w:right w:val="single" w:sz="4" w:space="0" w:color="4F81BD" w:themeColor="accent1"/>
      </w:tblBorders>
      <w:tblCellMar>
        <w:top w:w="0" w:type="dxa"/>
        <w:left w:w="108" w:type="dxa"/>
        <w:bottom w:w="0" w:type="dxa"/>
        <w:right w:w="108" w:type="dxa"/>
      </w:tblCellMar>
    </w:tblPr>
    <w:tblStylePr w:type="firstRow">
      <w:rPr>
        <w:rFonts w:ascii="Arial" w:hAnsi="Arial"/>
        <w:i/>
        <w:color w:val="2A4A71" w:themeColor="accent1" w:themeShade="95"/>
        <w:sz w:val="22"/>
      </w:rPr>
      <w:tblPr/>
      <w:tcPr>
        <w:tcBorders>
          <w:top w:val="none" w:sz="4" w:space="0" w:color="000000"/>
          <w:left w:val="none" w:sz="4" w:space="0" w:color="000000"/>
          <w:bottom w:val="single" w:sz="4" w:space="0" w:color="4F81BD" w:themeColor="accent1"/>
          <w:right w:val="none" w:sz="4" w:space="0" w:color="000000"/>
        </w:tcBorders>
        <w:shd w:val="clear" w:color="FFFFFF" w:themeColor="light1"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A4A71" w:themeColor="accent1" w:themeShade="95"/>
        <w:sz w:val="22"/>
      </w:rPr>
      <w:tblPr/>
      <w:tcPr>
        <w:tcBorders>
          <w:top w:val="none" w:sz="4" w:space="0" w:color="000000"/>
          <w:left w:val="none" w:sz="4" w:space="0" w:color="000000"/>
          <w:bottom w:val="none" w:sz="4" w:space="0" w:color="000000"/>
          <w:right w:val="single" w:sz="4" w:space="0" w:color="4F81BD" w:themeColor="accent1"/>
        </w:tcBorders>
        <w:shd w:val="clear" w:color="FFFFFF" w:fill="auto"/>
      </w:tcPr>
    </w:tblStylePr>
    <w:tblStylePr w:type="lastCol">
      <w:rPr>
        <w:rFonts w:ascii="Arial" w:hAnsi="Arial"/>
        <w:i/>
        <w:color w:val="2A4A71" w:themeColor="accent1" w:themeShade="95"/>
        <w:sz w:val="22"/>
      </w:rPr>
      <w:tblPr/>
      <w:tcPr>
        <w:tcBorders>
          <w:top w:val="none" w:sz="4" w:space="0" w:color="000000"/>
          <w:left w:val="single" w:sz="4" w:space="0" w:color="4F81BD" w:themeColor="accent1"/>
          <w:bottom w:val="none" w:sz="4" w:space="0" w:color="000000"/>
          <w:right w:val="none" w:sz="4" w:space="0" w:color="000000"/>
        </w:tcBorders>
        <w:shd w:val="clear" w:color="FFFFFF" w:fill="auto"/>
      </w:tc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7Colorful-Accent2">
    <w:name w:val="List Table 7 Colorful - Accent 2"/>
    <w:basedOn w:val="a1"/>
    <w:uiPriority w:val="99"/>
    <w:pPr>
      <w:spacing w:after="0" w:line="240" w:lineRule="auto"/>
    </w:pPr>
    <w:tblPr>
      <w:tblStyleRowBandSize w:val="1"/>
      <w:tblStyleColBandSize w:val="1"/>
      <w:tblInd w:w="0" w:type="dxa"/>
      <w:tblBorders>
        <w:right w:val="single" w:sz="4" w:space="0" w:color="D99695" w:themeColor="accent2" w:themeTint="97"/>
      </w:tblBorders>
      <w:tblCellMar>
        <w:top w:w="0" w:type="dxa"/>
        <w:left w:w="108" w:type="dxa"/>
        <w:bottom w:w="0" w:type="dxa"/>
        <w:right w:w="108" w:type="dxa"/>
      </w:tblCellMar>
    </w:tblPr>
    <w:tblStylePr w:type="firstRow">
      <w:rPr>
        <w:rFonts w:ascii="Arial" w:hAnsi="Arial"/>
        <w:i/>
        <w:color w:val="D99695" w:themeColor="accent2" w:themeTint="97" w:themeShade="95"/>
        <w:sz w:val="22"/>
      </w:rPr>
      <w:tblPr/>
      <w:tcPr>
        <w:tcBorders>
          <w:top w:val="none" w:sz="4" w:space="0" w:color="000000"/>
          <w:left w:val="none" w:sz="4" w:space="0" w:color="000000"/>
          <w:bottom w:val="single" w:sz="4" w:space="0" w:color="D99695" w:themeColor="accent2" w:themeTint="97"/>
          <w:right w:val="none" w:sz="4" w:space="0" w:color="000000"/>
        </w:tcBorders>
        <w:shd w:val="clear" w:color="FFFFFF" w:themeColor="light1"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4" w:space="0" w:color="000000"/>
          <w:left w:val="none" w:sz="4" w:space="0" w:color="000000"/>
          <w:bottom w:val="none" w:sz="4" w:space="0" w:color="000000"/>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4" w:space="0" w:color="000000"/>
          <w:left w:val="single" w:sz="4" w:space="0" w:color="D99695" w:themeColor="accent2" w:themeTint="97"/>
          <w:bottom w:val="none" w:sz="4" w:space="0" w:color="000000"/>
          <w:right w:val="none" w:sz="4" w:space="0" w:color="000000"/>
        </w:tcBorders>
        <w:shd w:val="clear" w:color="FFFFFF" w:fill="auto"/>
      </w:tc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7Colorful-Accent3">
    <w:name w:val="List Table 7 Colorful - Accent 3"/>
    <w:basedOn w:val="a1"/>
    <w:uiPriority w:val="99"/>
    <w:pPr>
      <w:spacing w:after="0" w:line="240" w:lineRule="auto"/>
    </w:pPr>
    <w:tblPr>
      <w:tblStyleRowBandSize w:val="1"/>
      <w:tblStyleColBandSize w:val="1"/>
      <w:tblInd w:w="0" w:type="dxa"/>
      <w:tblBorders>
        <w:right w:val="single" w:sz="4" w:space="0" w:color="C3D69B" w:themeColor="accent3" w:themeTint="98"/>
      </w:tblBorders>
      <w:tblCellMar>
        <w:top w:w="0" w:type="dxa"/>
        <w:left w:w="108" w:type="dxa"/>
        <w:bottom w:w="0" w:type="dxa"/>
        <w:right w:w="108" w:type="dxa"/>
      </w:tblCellMar>
    </w:tblPr>
    <w:tblStylePr w:type="firstRow">
      <w:rPr>
        <w:rFonts w:ascii="Arial" w:hAnsi="Arial"/>
        <w:i/>
        <w:color w:val="C3D69B" w:themeColor="accent3" w:themeTint="98" w:themeShade="95"/>
        <w:sz w:val="22"/>
      </w:rPr>
      <w:tblPr/>
      <w:tcPr>
        <w:tcBorders>
          <w:top w:val="none" w:sz="4" w:space="0" w:color="000000"/>
          <w:left w:val="none" w:sz="4" w:space="0" w:color="000000"/>
          <w:bottom w:val="single" w:sz="4" w:space="0" w:color="C3D69B" w:themeColor="accent3" w:themeTint="98"/>
          <w:right w:val="none" w:sz="4" w:space="0" w:color="000000"/>
        </w:tcBorders>
        <w:shd w:val="clear" w:color="FFFFFF" w:themeColor="light1"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C3D69B" w:themeColor="accent3" w:themeTint="98" w:themeShade="95"/>
        <w:sz w:val="22"/>
      </w:rPr>
      <w:tblPr/>
      <w:tcPr>
        <w:tcBorders>
          <w:top w:val="none" w:sz="4" w:space="0" w:color="000000"/>
          <w:left w:val="none" w:sz="4" w:space="0" w:color="000000"/>
          <w:bottom w:val="none" w:sz="4" w:space="0" w:color="000000"/>
          <w:right w:val="single" w:sz="4" w:space="0" w:color="C3D69B" w:themeColor="accent3" w:themeTint="98"/>
        </w:tcBorders>
        <w:shd w:val="clear" w:color="FFFFFF" w:fill="auto"/>
      </w:tcPr>
    </w:tblStylePr>
    <w:tblStylePr w:type="lastCol">
      <w:rPr>
        <w:rFonts w:ascii="Arial" w:hAnsi="Arial"/>
        <w:i/>
        <w:color w:val="C3D69B" w:themeColor="accent3" w:themeTint="98" w:themeShade="95"/>
        <w:sz w:val="22"/>
      </w:rPr>
      <w:tblPr/>
      <w:tcPr>
        <w:tcBorders>
          <w:top w:val="none" w:sz="4" w:space="0" w:color="000000"/>
          <w:left w:val="single" w:sz="4" w:space="0" w:color="C3D69B" w:themeColor="accent3" w:themeTint="98"/>
          <w:bottom w:val="none" w:sz="4" w:space="0" w:color="000000"/>
          <w:right w:val="none" w:sz="4" w:space="0" w:color="000000"/>
        </w:tcBorders>
        <w:shd w:val="clear" w:color="FFFFFF" w:fill="auto"/>
      </w:tc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7Colorful-Accent4">
    <w:name w:val="List Table 7 Colorful - Accent 4"/>
    <w:basedOn w:val="a1"/>
    <w:uiPriority w:val="99"/>
    <w:pPr>
      <w:spacing w:after="0" w:line="240" w:lineRule="auto"/>
    </w:pPr>
    <w:tblPr>
      <w:tblStyleRowBandSize w:val="1"/>
      <w:tblStyleColBandSize w:val="1"/>
      <w:tblInd w:w="0" w:type="dxa"/>
      <w:tblBorders>
        <w:right w:val="single" w:sz="4" w:space="0" w:color="B2A1C6" w:themeColor="accent4" w:themeTint="9A"/>
      </w:tblBorders>
      <w:tblCellMar>
        <w:top w:w="0" w:type="dxa"/>
        <w:left w:w="108" w:type="dxa"/>
        <w:bottom w:w="0" w:type="dxa"/>
        <w:right w:w="108" w:type="dxa"/>
      </w:tblCellMar>
    </w:tblPr>
    <w:tblStylePr w:type="firstRow">
      <w:rPr>
        <w:rFonts w:ascii="Arial" w:hAnsi="Arial"/>
        <w:i/>
        <w:color w:val="B2A1C6" w:themeColor="accent4" w:themeTint="9A" w:themeShade="95"/>
        <w:sz w:val="22"/>
      </w:rPr>
      <w:tblPr/>
      <w:tcPr>
        <w:tcBorders>
          <w:top w:val="none" w:sz="4" w:space="0" w:color="000000"/>
          <w:left w:val="none" w:sz="4" w:space="0" w:color="000000"/>
          <w:bottom w:val="single" w:sz="4" w:space="0" w:color="B2A1C6" w:themeColor="accent4" w:themeTint="9A"/>
          <w:right w:val="none" w:sz="4" w:space="0" w:color="000000"/>
        </w:tcBorders>
        <w:shd w:val="clear" w:color="FFFFFF" w:themeColor="light1"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4" w:space="0" w:color="000000"/>
          <w:left w:val="none" w:sz="4" w:space="0" w:color="000000"/>
          <w:bottom w:val="none" w:sz="4" w:space="0" w:color="000000"/>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4" w:space="0" w:color="000000"/>
          <w:left w:val="single" w:sz="4" w:space="0" w:color="B2A1C6" w:themeColor="accent4" w:themeTint="9A"/>
          <w:bottom w:val="none" w:sz="4" w:space="0" w:color="000000"/>
          <w:right w:val="none" w:sz="4" w:space="0" w:color="000000"/>
        </w:tcBorders>
        <w:shd w:val="clear" w:color="FFFFFF" w:fill="auto"/>
      </w:tc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7Colorful-Accent5">
    <w:name w:val="List Table 7 Colorful - Accent 5"/>
    <w:basedOn w:val="a1"/>
    <w:uiPriority w:val="99"/>
    <w:pPr>
      <w:spacing w:after="0" w:line="240" w:lineRule="auto"/>
    </w:pPr>
    <w:tblPr>
      <w:tblStyleRowBandSize w:val="1"/>
      <w:tblStyleColBandSize w:val="1"/>
      <w:tblInd w:w="0" w:type="dxa"/>
      <w:tblBorders>
        <w:right w:val="single" w:sz="4" w:space="0" w:color="92CCDC" w:themeColor="accent5" w:themeTint="9A"/>
      </w:tblBorders>
      <w:tblCellMar>
        <w:top w:w="0" w:type="dxa"/>
        <w:left w:w="108" w:type="dxa"/>
        <w:bottom w:w="0" w:type="dxa"/>
        <w:right w:w="108" w:type="dxa"/>
      </w:tblCellMar>
    </w:tblPr>
    <w:tblStylePr w:type="firstRow">
      <w:rPr>
        <w:rFonts w:ascii="Arial" w:hAnsi="Arial"/>
        <w:i/>
        <w:color w:val="92CCDC" w:themeColor="accent5" w:themeTint="9A" w:themeShade="95"/>
        <w:sz w:val="22"/>
      </w:rPr>
      <w:tblPr/>
      <w:tcPr>
        <w:tcBorders>
          <w:top w:val="none" w:sz="4" w:space="0" w:color="000000"/>
          <w:left w:val="none" w:sz="4" w:space="0" w:color="000000"/>
          <w:bottom w:val="single" w:sz="4" w:space="0" w:color="92CCDC" w:themeColor="accent5" w:themeTint="9A"/>
          <w:right w:val="none" w:sz="4" w:space="0" w:color="000000"/>
        </w:tcBorders>
        <w:shd w:val="clear" w:color="FFFFFF" w:themeColor="light1"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92CCDC" w:themeColor="accent5" w:themeTint="9A" w:themeShade="95"/>
        <w:sz w:val="22"/>
      </w:rPr>
      <w:tblPr/>
      <w:tcPr>
        <w:tcBorders>
          <w:top w:val="none" w:sz="4" w:space="0" w:color="000000"/>
          <w:left w:val="none" w:sz="4" w:space="0" w:color="000000"/>
          <w:bottom w:val="none" w:sz="4" w:space="0" w:color="000000"/>
          <w:right w:val="single" w:sz="4" w:space="0" w:color="92CCDC" w:themeColor="accent5" w:themeTint="9A"/>
        </w:tcBorders>
        <w:shd w:val="clear" w:color="FFFFFF" w:fill="auto"/>
      </w:tcPr>
    </w:tblStylePr>
    <w:tblStylePr w:type="lastCol">
      <w:rPr>
        <w:rFonts w:ascii="Arial" w:hAnsi="Arial"/>
        <w:i/>
        <w:color w:val="92CCDC" w:themeColor="accent5" w:themeTint="9A" w:themeShade="95"/>
        <w:sz w:val="22"/>
      </w:rPr>
      <w:tblPr/>
      <w:tcPr>
        <w:tcBorders>
          <w:top w:val="none" w:sz="4" w:space="0" w:color="000000"/>
          <w:left w:val="single" w:sz="4" w:space="0" w:color="92CCDC" w:themeColor="accent5" w:themeTint="9A"/>
          <w:bottom w:val="none" w:sz="4" w:space="0" w:color="000000"/>
          <w:right w:val="none" w:sz="4" w:space="0" w:color="000000"/>
        </w:tcBorders>
        <w:shd w:val="clear" w:color="FFFFFF" w:fill="auto"/>
      </w:tc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7Colorful-Accent6">
    <w:name w:val="List Table 7 Colorful - Accent 6"/>
    <w:basedOn w:val="a1"/>
    <w:uiPriority w:val="99"/>
    <w:pPr>
      <w:spacing w:after="0" w:line="240" w:lineRule="auto"/>
    </w:pPr>
    <w:tblPr>
      <w:tblStyleRowBandSize w:val="1"/>
      <w:tblStyleColBandSize w:val="1"/>
      <w:tblInd w:w="0" w:type="dxa"/>
      <w:tblBorders>
        <w:right w:val="single" w:sz="4" w:space="0" w:color="FAC090" w:themeColor="accent6" w:themeTint="98"/>
      </w:tblBorders>
      <w:tblCellMar>
        <w:top w:w="0" w:type="dxa"/>
        <w:left w:w="108" w:type="dxa"/>
        <w:bottom w:w="0" w:type="dxa"/>
        <w:right w:w="108" w:type="dxa"/>
      </w:tblCellMar>
    </w:tblPr>
    <w:tblStylePr w:type="firstRow">
      <w:rPr>
        <w:rFonts w:ascii="Arial" w:hAnsi="Arial"/>
        <w:i/>
        <w:color w:val="FAC090" w:themeColor="accent6" w:themeTint="98" w:themeShade="95"/>
        <w:sz w:val="22"/>
      </w:rPr>
      <w:tblPr/>
      <w:tcPr>
        <w:tcBorders>
          <w:top w:val="none" w:sz="4" w:space="0" w:color="000000"/>
          <w:left w:val="none" w:sz="4" w:space="0" w:color="000000"/>
          <w:bottom w:val="single" w:sz="4" w:space="0" w:color="FAC090" w:themeColor="accent6" w:themeTint="98"/>
          <w:right w:val="none" w:sz="4" w:space="0" w:color="000000"/>
        </w:tcBorders>
        <w:shd w:val="clear" w:color="FFFFFF" w:themeColor="light1"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AC090" w:themeColor="accent6" w:themeTint="98" w:themeShade="95"/>
        <w:sz w:val="22"/>
      </w:rPr>
      <w:tblPr/>
      <w:tcPr>
        <w:tcBorders>
          <w:top w:val="none" w:sz="4" w:space="0" w:color="000000"/>
          <w:left w:val="none" w:sz="4" w:space="0" w:color="000000"/>
          <w:bottom w:val="none" w:sz="4" w:space="0" w:color="000000"/>
          <w:right w:val="single" w:sz="4" w:space="0" w:color="FAC090" w:themeColor="accent6" w:themeTint="98"/>
        </w:tcBorders>
        <w:shd w:val="clear" w:color="FFFFFF" w:fill="auto"/>
      </w:tcPr>
    </w:tblStylePr>
    <w:tblStylePr w:type="lastCol">
      <w:rPr>
        <w:rFonts w:ascii="Arial" w:hAnsi="Arial"/>
        <w:i/>
        <w:color w:val="FAC090" w:themeColor="accent6" w:themeTint="98" w:themeShade="95"/>
        <w:sz w:val="22"/>
      </w:rPr>
      <w:tblPr/>
      <w:tcPr>
        <w:tcBorders>
          <w:top w:val="none" w:sz="4" w:space="0" w:color="000000"/>
          <w:left w:val="single" w:sz="4" w:space="0" w:color="FAC090" w:themeColor="accent6" w:themeTint="98"/>
          <w:bottom w:val="none" w:sz="4" w:space="0" w:color="000000"/>
          <w:right w:val="none" w:sz="4" w:space="0" w:color="000000"/>
        </w:tcBorders>
        <w:shd w:val="clear" w:color="FFFFFF" w:fill="auto"/>
      </w:tc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ned-Accent">
    <w:name w:val="Lined - Accent"/>
    <w:basedOn w:val="a1"/>
    <w:uiPriority w:val="99"/>
    <w:pPr>
      <w:spacing w:after="0" w:line="240" w:lineRule="auto"/>
    </w:pPr>
    <w:rPr>
      <w:color w:val="404040"/>
      <w:sz w:val="20"/>
      <w:szCs w:val="20"/>
      <w:lang w:eastAsia="ru-RU"/>
    </w:rPr>
    <w:tblPr>
      <w:tblStyleRowBandSize w:val="1"/>
      <w:tblStyleColBandSize w:val="1"/>
      <w:tblInd w:w="0" w:type="dxa"/>
      <w:tblCellMar>
        <w:top w:w="0" w:type="dxa"/>
        <w:left w:w="108" w:type="dxa"/>
        <w:bottom w:w="0" w:type="dxa"/>
        <w:right w:w="108" w:type="dxa"/>
      </w:tblCellMar>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a1"/>
    <w:uiPriority w:val="99"/>
    <w:pPr>
      <w:spacing w:after="0" w:line="240" w:lineRule="auto"/>
    </w:pPr>
    <w:rPr>
      <w:color w:val="404040"/>
      <w:sz w:val="20"/>
      <w:szCs w:val="20"/>
      <w:lang w:eastAsia="ru-RU"/>
    </w:rPr>
    <w:tblPr>
      <w:tblStyleRowBandSize w:val="1"/>
      <w:tblStyleColBandSize w:val="1"/>
      <w:tblInd w:w="0" w:type="dxa"/>
      <w:tblCellMar>
        <w:top w:w="0" w:type="dxa"/>
        <w:left w:w="108" w:type="dxa"/>
        <w:bottom w:w="0" w:type="dxa"/>
        <w:right w:w="108" w:type="dxa"/>
      </w:tblCellMar>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Lined-Accent2">
    <w:name w:val="Lined - Accent 2"/>
    <w:basedOn w:val="a1"/>
    <w:uiPriority w:val="99"/>
    <w:pPr>
      <w:spacing w:after="0" w:line="240" w:lineRule="auto"/>
    </w:pPr>
    <w:rPr>
      <w:color w:val="404040"/>
      <w:sz w:val="20"/>
      <w:szCs w:val="20"/>
      <w:lang w:eastAsia="ru-RU"/>
    </w:rPr>
    <w:tblPr>
      <w:tblStyleRowBandSize w:val="1"/>
      <w:tblStyleColBandSize w:val="1"/>
      <w:tblInd w:w="0" w:type="dxa"/>
      <w:tblCellMar>
        <w:top w:w="0" w:type="dxa"/>
        <w:left w:w="108" w:type="dxa"/>
        <w:bottom w:w="0" w:type="dxa"/>
        <w:right w:w="108" w:type="dxa"/>
      </w:tblCellMar>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Lined-Accent3">
    <w:name w:val="Lined - Accent 3"/>
    <w:basedOn w:val="a1"/>
    <w:uiPriority w:val="99"/>
    <w:pPr>
      <w:spacing w:after="0" w:line="240" w:lineRule="auto"/>
    </w:pPr>
    <w:rPr>
      <w:color w:val="404040"/>
      <w:sz w:val="20"/>
      <w:szCs w:val="20"/>
      <w:lang w:eastAsia="ru-RU"/>
    </w:rPr>
    <w:tblPr>
      <w:tblStyleRowBandSize w:val="1"/>
      <w:tblStyleColBandSize w:val="1"/>
      <w:tblInd w:w="0" w:type="dxa"/>
      <w:tblCellMar>
        <w:top w:w="0" w:type="dxa"/>
        <w:left w:w="108" w:type="dxa"/>
        <w:bottom w:w="0" w:type="dxa"/>
        <w:right w:w="108" w:type="dxa"/>
      </w:tblCellMar>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Lined-Accent4">
    <w:name w:val="Lined - Accent 4"/>
    <w:basedOn w:val="a1"/>
    <w:uiPriority w:val="99"/>
    <w:pPr>
      <w:spacing w:after="0" w:line="240" w:lineRule="auto"/>
    </w:pPr>
    <w:rPr>
      <w:color w:val="404040"/>
      <w:sz w:val="20"/>
      <w:szCs w:val="20"/>
      <w:lang w:eastAsia="ru-RU"/>
    </w:rPr>
    <w:tblPr>
      <w:tblStyleRowBandSize w:val="1"/>
      <w:tblStyleColBandSize w:val="1"/>
      <w:tblInd w:w="0" w:type="dxa"/>
      <w:tblCellMar>
        <w:top w:w="0" w:type="dxa"/>
        <w:left w:w="108" w:type="dxa"/>
        <w:bottom w:w="0" w:type="dxa"/>
        <w:right w:w="108" w:type="dxa"/>
      </w:tblCellMar>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Lined-Accent5">
    <w:name w:val="Lined - Accent 5"/>
    <w:basedOn w:val="a1"/>
    <w:uiPriority w:val="99"/>
    <w:pPr>
      <w:spacing w:after="0" w:line="240" w:lineRule="auto"/>
    </w:pPr>
    <w:rPr>
      <w:color w:val="404040"/>
      <w:sz w:val="20"/>
      <w:szCs w:val="20"/>
      <w:lang w:eastAsia="ru-RU"/>
    </w:rPr>
    <w:tblPr>
      <w:tblStyleRowBandSize w:val="1"/>
      <w:tblStyleColBandSize w:val="1"/>
      <w:tblInd w:w="0" w:type="dxa"/>
      <w:tblCellMar>
        <w:top w:w="0" w:type="dxa"/>
        <w:left w:w="108" w:type="dxa"/>
        <w:bottom w:w="0" w:type="dxa"/>
        <w:right w:w="108" w:type="dxa"/>
      </w:tblCellMar>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Lined-Accent6">
    <w:name w:val="Lined - Accent 6"/>
    <w:basedOn w:val="a1"/>
    <w:uiPriority w:val="99"/>
    <w:pPr>
      <w:spacing w:after="0" w:line="240" w:lineRule="auto"/>
    </w:pPr>
    <w:rPr>
      <w:color w:val="404040"/>
      <w:sz w:val="20"/>
      <w:szCs w:val="20"/>
      <w:lang w:eastAsia="ru-RU"/>
    </w:rPr>
    <w:tblPr>
      <w:tblStyleRowBandSize w:val="1"/>
      <w:tblStyleColBandSize w:val="1"/>
      <w:tblInd w:w="0" w:type="dxa"/>
      <w:tblCellMar>
        <w:top w:w="0" w:type="dxa"/>
        <w:left w:w="108" w:type="dxa"/>
        <w:bottom w:w="0" w:type="dxa"/>
        <w:right w:w="108" w:type="dxa"/>
      </w:tblCellMar>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Lined-Accent">
    <w:name w:val="Bordered &amp; Lined - Accent"/>
    <w:basedOn w:val="a1"/>
    <w:uiPriority w:val="99"/>
    <w:pPr>
      <w:spacing w:after="0" w:line="240" w:lineRule="auto"/>
    </w:pPr>
    <w:rPr>
      <w:color w:val="404040"/>
      <w:sz w:val="20"/>
      <w:szCs w:val="20"/>
      <w:lang w:eastAsia="ru-RU"/>
    </w:rPr>
    <w:tblPr>
      <w:tblStyleRowBandSize w:val="1"/>
      <w:tblStyleColBandSize w:val="1"/>
      <w:tblInd w:w="0" w:type="dxa"/>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CellMar>
        <w:top w:w="0" w:type="dxa"/>
        <w:left w:w="108" w:type="dxa"/>
        <w:bottom w:w="0" w:type="dxa"/>
        <w:right w:w="108" w:type="dxa"/>
      </w:tblCellMar>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a1"/>
    <w:uiPriority w:val="99"/>
    <w:pPr>
      <w:spacing w:after="0" w:line="240" w:lineRule="auto"/>
    </w:pPr>
    <w:rPr>
      <w:color w:val="404040"/>
      <w:sz w:val="20"/>
      <w:szCs w:val="20"/>
      <w:lang w:eastAsia="ru-RU"/>
    </w:rPr>
    <w:tblPr>
      <w:tblStyleRowBandSize w:val="1"/>
      <w:tblStyleColBandSize w:val="1"/>
      <w:tblInd w:w="0" w:type="dxa"/>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CellMar>
        <w:top w:w="0" w:type="dxa"/>
        <w:left w:w="108" w:type="dxa"/>
        <w:bottom w:w="0" w:type="dxa"/>
        <w:right w:w="108" w:type="dxa"/>
      </w:tblCellMar>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BorderedLined-Accent2">
    <w:name w:val="Bordered &amp; Lined - Accent 2"/>
    <w:basedOn w:val="a1"/>
    <w:uiPriority w:val="99"/>
    <w:pPr>
      <w:spacing w:after="0" w:line="240" w:lineRule="auto"/>
    </w:pPr>
    <w:rPr>
      <w:color w:val="404040"/>
      <w:sz w:val="20"/>
      <w:szCs w:val="20"/>
      <w:lang w:eastAsia="ru-RU"/>
    </w:rPr>
    <w:tblPr>
      <w:tblStyleRowBandSize w:val="1"/>
      <w:tblStyleColBandSize w:val="1"/>
      <w:tblInd w:w="0" w:type="dxa"/>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CellMar>
        <w:top w:w="0" w:type="dxa"/>
        <w:left w:w="108" w:type="dxa"/>
        <w:bottom w:w="0" w:type="dxa"/>
        <w:right w:w="108" w:type="dxa"/>
      </w:tblCellMar>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BorderedLined-Accent3">
    <w:name w:val="Bordered &amp; Lined - Accent 3"/>
    <w:basedOn w:val="a1"/>
    <w:uiPriority w:val="99"/>
    <w:pPr>
      <w:spacing w:after="0" w:line="240" w:lineRule="auto"/>
    </w:pPr>
    <w:rPr>
      <w:color w:val="404040"/>
      <w:sz w:val="20"/>
      <w:szCs w:val="20"/>
      <w:lang w:eastAsia="ru-RU"/>
    </w:rPr>
    <w:tblPr>
      <w:tblStyleRowBandSize w:val="1"/>
      <w:tblStyleColBandSize w:val="1"/>
      <w:tblInd w:w="0" w:type="dxa"/>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CellMar>
        <w:top w:w="0" w:type="dxa"/>
        <w:left w:w="108" w:type="dxa"/>
        <w:bottom w:w="0" w:type="dxa"/>
        <w:right w:w="108" w:type="dxa"/>
      </w:tblCellMar>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BorderedLined-Accent4">
    <w:name w:val="Bordered &amp; Lined - Accent 4"/>
    <w:basedOn w:val="a1"/>
    <w:uiPriority w:val="99"/>
    <w:pPr>
      <w:spacing w:after="0" w:line="240" w:lineRule="auto"/>
    </w:pPr>
    <w:rPr>
      <w:color w:val="404040"/>
      <w:sz w:val="20"/>
      <w:szCs w:val="20"/>
      <w:lang w:eastAsia="ru-RU"/>
    </w:rPr>
    <w:tblPr>
      <w:tblStyleRowBandSize w:val="1"/>
      <w:tblStyleColBandSize w:val="1"/>
      <w:tblInd w:w="0" w:type="dxa"/>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CellMar>
        <w:top w:w="0" w:type="dxa"/>
        <w:left w:w="108" w:type="dxa"/>
        <w:bottom w:w="0" w:type="dxa"/>
        <w:right w:w="108" w:type="dxa"/>
      </w:tblCellMar>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BorderedLined-Accent5">
    <w:name w:val="Bordered &amp; Lined - Accent 5"/>
    <w:basedOn w:val="a1"/>
    <w:uiPriority w:val="99"/>
    <w:pPr>
      <w:spacing w:after="0" w:line="240" w:lineRule="auto"/>
    </w:pPr>
    <w:rPr>
      <w:color w:val="404040"/>
      <w:sz w:val="20"/>
      <w:szCs w:val="20"/>
      <w:lang w:eastAsia="ru-RU"/>
    </w:rPr>
    <w:tblPr>
      <w:tblStyleRowBandSize w:val="1"/>
      <w:tblStyleColBandSize w:val="1"/>
      <w:tblInd w:w="0" w:type="dxa"/>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CellMar>
        <w:top w:w="0" w:type="dxa"/>
        <w:left w:w="108" w:type="dxa"/>
        <w:bottom w:w="0" w:type="dxa"/>
        <w:right w:w="108" w:type="dxa"/>
      </w:tblCellMar>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BorderedLined-Accent6">
    <w:name w:val="Bordered &amp; Lined - Accent 6"/>
    <w:basedOn w:val="a1"/>
    <w:uiPriority w:val="99"/>
    <w:pPr>
      <w:spacing w:after="0" w:line="240" w:lineRule="auto"/>
    </w:pPr>
    <w:rPr>
      <w:color w:val="404040"/>
      <w:sz w:val="20"/>
      <w:szCs w:val="20"/>
      <w:lang w:eastAsia="ru-RU"/>
    </w:rPr>
    <w:tblPr>
      <w:tblStyleRowBandSize w:val="1"/>
      <w:tblStyleColBandSize w:val="1"/>
      <w:tblInd w:w="0" w:type="dxa"/>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CellMar>
        <w:top w:w="0" w:type="dxa"/>
        <w:left w:w="108" w:type="dxa"/>
        <w:bottom w:w="0" w:type="dxa"/>
        <w:right w:w="108" w:type="dxa"/>
      </w:tblCellMar>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
    <w:name w:val="Bordered"/>
    <w:basedOn w:val="a1"/>
    <w:uiPriority w:val="99"/>
    <w:pPr>
      <w:spacing w:after="0" w:line="240" w:lineRule="auto"/>
    </w:pPr>
    <w:tblPr>
      <w:tblStyleRowBandSize w:val="1"/>
      <w:tblStyleColBandSize w:val="1"/>
      <w:tblInd w:w="0" w:type="dxa"/>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CellMar>
        <w:top w:w="0" w:type="dxa"/>
        <w:left w:w="108" w:type="dxa"/>
        <w:bottom w:w="0" w:type="dxa"/>
        <w:right w:w="108" w:type="dxa"/>
      </w:tblCellMar>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a1"/>
    <w:uiPriority w:val="99"/>
    <w:pPr>
      <w:spacing w:after="0" w:line="240" w:lineRule="auto"/>
    </w:pPr>
    <w:tblPr>
      <w:tblStyleRowBandSize w:val="1"/>
      <w:tblStyleColBandSize w:val="1"/>
      <w:tblInd w:w="0" w:type="dxa"/>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CellMar>
        <w:top w:w="0" w:type="dxa"/>
        <w:left w:w="108" w:type="dxa"/>
        <w:bottom w:w="0" w:type="dxa"/>
        <w:right w:w="108" w:type="dxa"/>
      </w:tblCellMar>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
    <w:name w:val="Bordered - Accent 2"/>
    <w:basedOn w:val="a1"/>
    <w:uiPriority w:val="99"/>
    <w:pPr>
      <w:spacing w:after="0" w:line="240" w:lineRule="auto"/>
    </w:pPr>
    <w:tblPr>
      <w:tblStyleRowBandSize w:val="1"/>
      <w:tblStyleColBandSize w:val="1"/>
      <w:tblInd w:w="0" w:type="dxa"/>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CellMar>
        <w:top w:w="0" w:type="dxa"/>
        <w:left w:w="108" w:type="dxa"/>
        <w:bottom w:w="0" w:type="dxa"/>
        <w:right w:w="108" w:type="dxa"/>
      </w:tblCellMar>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
    <w:name w:val="Bordered - Accent 3"/>
    <w:basedOn w:val="a1"/>
    <w:uiPriority w:val="99"/>
    <w:pPr>
      <w:spacing w:after="0" w:line="240" w:lineRule="auto"/>
    </w:pPr>
    <w:tblPr>
      <w:tblStyleRowBandSize w:val="1"/>
      <w:tblStyleColBandSize w:val="1"/>
      <w:tblInd w:w="0" w:type="dxa"/>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CellMar>
        <w:top w:w="0" w:type="dxa"/>
        <w:left w:w="108" w:type="dxa"/>
        <w:bottom w:w="0" w:type="dxa"/>
        <w:right w:w="108" w:type="dxa"/>
      </w:tblCellMar>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
    <w:name w:val="Bordered - Accent 4"/>
    <w:basedOn w:val="a1"/>
    <w:uiPriority w:val="99"/>
    <w:pPr>
      <w:spacing w:after="0" w:line="240" w:lineRule="auto"/>
    </w:pPr>
    <w:tblPr>
      <w:tblStyleRowBandSize w:val="1"/>
      <w:tblStyleColBandSize w:val="1"/>
      <w:tblInd w:w="0" w:type="dxa"/>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CellMar>
        <w:top w:w="0" w:type="dxa"/>
        <w:left w:w="108" w:type="dxa"/>
        <w:bottom w:w="0" w:type="dxa"/>
        <w:right w:w="108" w:type="dxa"/>
      </w:tblCellMar>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
    <w:name w:val="Bordered - Accent 5"/>
    <w:basedOn w:val="a1"/>
    <w:uiPriority w:val="99"/>
    <w:pPr>
      <w:spacing w:after="0" w:line="240" w:lineRule="auto"/>
    </w:pPr>
    <w:tblPr>
      <w:tblStyleRowBandSize w:val="1"/>
      <w:tblStyleColBandSize w:val="1"/>
      <w:tblInd w:w="0" w:type="dxa"/>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CellMar>
        <w:top w:w="0" w:type="dxa"/>
        <w:left w:w="108" w:type="dxa"/>
        <w:bottom w:w="0" w:type="dxa"/>
        <w:right w:w="108" w:type="dxa"/>
      </w:tblCellMar>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
    <w:name w:val="Bordered - Accent 6"/>
    <w:basedOn w:val="a1"/>
    <w:uiPriority w:val="99"/>
    <w:pPr>
      <w:spacing w:after="0" w:line="240" w:lineRule="auto"/>
    </w:pPr>
    <w:tblPr>
      <w:tblStyleRowBandSize w:val="1"/>
      <w:tblStyleColBandSize w:val="1"/>
      <w:tblInd w:w="0" w:type="dxa"/>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CellMar>
        <w:top w:w="0" w:type="dxa"/>
        <w:left w:w="108" w:type="dxa"/>
        <w:bottom w:w="0" w:type="dxa"/>
        <w:right w:w="108" w:type="dxa"/>
      </w:tblCellMar>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character" w:customStyle="1" w:styleId="FootnoteTextChar">
    <w:name w:val="Footnote Text Char"/>
    <w:uiPriority w:val="99"/>
    <w:rPr>
      <w:sz w:val="18"/>
    </w:rPr>
  </w:style>
  <w:style w:type="paragraph" w:styleId="af">
    <w:name w:val="endnote text"/>
    <w:basedOn w:val="a"/>
    <w:link w:val="af0"/>
    <w:uiPriority w:val="99"/>
    <w:semiHidden/>
    <w:unhideWhenUsed/>
    <w:pPr>
      <w:spacing w:line="240" w:lineRule="auto"/>
    </w:pPr>
    <w:rPr>
      <w:sz w:val="20"/>
    </w:rPr>
  </w:style>
  <w:style w:type="character" w:customStyle="1" w:styleId="af0">
    <w:name w:val="Текст концевой сноски Знак"/>
    <w:link w:val="af"/>
    <w:uiPriority w:val="99"/>
    <w:rPr>
      <w:sz w:val="20"/>
    </w:rPr>
  </w:style>
  <w:style w:type="character" w:styleId="af1">
    <w:name w:val="endnote reference"/>
    <w:basedOn w:val="a0"/>
    <w:uiPriority w:val="99"/>
    <w:semiHidden/>
    <w:unhideWhenUsed/>
    <w:rPr>
      <w:vertAlign w:val="superscript"/>
    </w:rPr>
  </w:style>
  <w:style w:type="paragraph" w:styleId="42">
    <w:name w:val="toc 4"/>
    <w:basedOn w:val="a"/>
    <w:next w:val="a"/>
    <w:uiPriority w:val="39"/>
    <w:unhideWhenUsed/>
    <w:pPr>
      <w:spacing w:after="57"/>
      <w:ind w:left="850" w:firstLine="0"/>
    </w:pPr>
  </w:style>
  <w:style w:type="paragraph" w:styleId="52">
    <w:name w:val="toc 5"/>
    <w:basedOn w:val="a"/>
    <w:next w:val="a"/>
    <w:uiPriority w:val="39"/>
    <w:unhideWhenUsed/>
    <w:pPr>
      <w:spacing w:after="57"/>
      <w:ind w:left="1134" w:firstLine="0"/>
    </w:pPr>
  </w:style>
  <w:style w:type="paragraph" w:styleId="61">
    <w:name w:val="toc 6"/>
    <w:basedOn w:val="a"/>
    <w:next w:val="a"/>
    <w:uiPriority w:val="39"/>
    <w:unhideWhenUsed/>
    <w:pPr>
      <w:spacing w:after="57"/>
      <w:ind w:left="1417" w:firstLine="0"/>
    </w:pPr>
  </w:style>
  <w:style w:type="paragraph" w:styleId="71">
    <w:name w:val="toc 7"/>
    <w:basedOn w:val="a"/>
    <w:next w:val="a"/>
    <w:uiPriority w:val="39"/>
    <w:unhideWhenUsed/>
    <w:pPr>
      <w:spacing w:after="57"/>
      <w:ind w:left="1701" w:firstLine="0"/>
    </w:pPr>
  </w:style>
  <w:style w:type="paragraph" w:styleId="81">
    <w:name w:val="toc 8"/>
    <w:basedOn w:val="a"/>
    <w:next w:val="a"/>
    <w:uiPriority w:val="39"/>
    <w:unhideWhenUsed/>
    <w:pPr>
      <w:spacing w:after="57"/>
      <w:ind w:left="1984" w:firstLine="0"/>
    </w:pPr>
  </w:style>
  <w:style w:type="paragraph" w:styleId="91">
    <w:name w:val="toc 9"/>
    <w:basedOn w:val="a"/>
    <w:next w:val="a"/>
    <w:uiPriority w:val="39"/>
    <w:unhideWhenUsed/>
    <w:pPr>
      <w:spacing w:after="57"/>
      <w:ind w:left="2268" w:firstLine="0"/>
    </w:pPr>
  </w:style>
  <w:style w:type="paragraph" w:styleId="af2">
    <w:name w:val="table of figures"/>
    <w:basedOn w:val="a"/>
    <w:next w:val="a"/>
    <w:uiPriority w:val="99"/>
    <w:unhideWhenUsed/>
  </w:style>
  <w:style w:type="character" w:customStyle="1" w:styleId="10">
    <w:name w:val="Заголовок 1 Знак"/>
    <w:basedOn w:val="a0"/>
    <w:link w:val="1"/>
    <w:uiPriority w:val="9"/>
    <w:rPr>
      <w:rFonts w:ascii="Impact" w:eastAsiaTheme="majorEastAsia" w:hAnsi="Impact" w:cstheme="majorBidi"/>
      <w:b/>
      <w:bCs/>
      <w:sz w:val="28"/>
      <w:szCs w:val="28"/>
    </w:rPr>
  </w:style>
  <w:style w:type="character" w:customStyle="1" w:styleId="20">
    <w:name w:val="Заголовок 2 Знак"/>
    <w:basedOn w:val="a0"/>
    <w:link w:val="2"/>
    <w:uiPriority w:val="9"/>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rPr>
      <w:rFonts w:asciiTheme="majorHAnsi" w:eastAsiaTheme="majorEastAsia" w:hAnsiTheme="majorHAnsi" w:cstheme="majorBidi"/>
      <w:b/>
      <w:bCs/>
      <w:color w:val="4F81BD" w:themeColor="accent1"/>
      <w:sz w:val="24"/>
    </w:rPr>
  </w:style>
  <w:style w:type="character" w:customStyle="1" w:styleId="40">
    <w:name w:val="Заголовок 4 Знак"/>
    <w:basedOn w:val="a0"/>
    <w:link w:val="4"/>
    <w:uiPriority w:val="9"/>
    <w:rPr>
      <w:rFonts w:asciiTheme="majorHAnsi" w:eastAsiaTheme="majorEastAsia" w:hAnsiTheme="majorHAnsi" w:cstheme="majorBidi"/>
      <w:b/>
      <w:bCs/>
      <w:i/>
      <w:iCs/>
      <w:color w:val="4F81BD" w:themeColor="accent1"/>
      <w:sz w:val="24"/>
    </w:rPr>
  </w:style>
  <w:style w:type="character" w:customStyle="1" w:styleId="50">
    <w:name w:val="Заголовок 5 Знак"/>
    <w:basedOn w:val="a0"/>
    <w:link w:val="5"/>
    <w:uiPriority w:val="9"/>
    <w:rPr>
      <w:rFonts w:asciiTheme="majorHAnsi" w:eastAsiaTheme="majorEastAsia" w:hAnsiTheme="majorHAnsi" w:cstheme="majorBidi"/>
      <w:color w:val="243F60" w:themeColor="accent1" w:themeShade="7F"/>
      <w:sz w:val="24"/>
    </w:rPr>
  </w:style>
  <w:style w:type="character" w:customStyle="1" w:styleId="60">
    <w:name w:val="Заголовок 6 Знак"/>
    <w:basedOn w:val="a0"/>
    <w:link w:val="6"/>
    <w:uiPriority w:val="9"/>
    <w:rPr>
      <w:rFonts w:asciiTheme="majorHAnsi" w:eastAsiaTheme="majorEastAsia" w:hAnsiTheme="majorHAnsi" w:cstheme="majorBidi"/>
      <w:i/>
      <w:iCs/>
      <w:color w:val="243F60" w:themeColor="accent1" w:themeShade="7F"/>
      <w:sz w:val="24"/>
    </w:rPr>
  </w:style>
  <w:style w:type="paragraph" w:styleId="af3">
    <w:name w:val="caption"/>
    <w:aliases w:val="Название объекта Знак1 Знак,Название объекта Знак Знак1 Знак,Название объекта Знак Знак Знак Знак Знак Знак,Название объекта Знак Знак Знак1 Знак Знак,Название объекта Знак Знак Знак Знак1 Знак,Знак1,Знак1 Знак Знак,!! Object Novogor !!"/>
    <w:basedOn w:val="a"/>
    <w:next w:val="a"/>
    <w:link w:val="af4"/>
    <w:uiPriority w:val="35"/>
    <w:unhideWhenUsed/>
    <w:qFormat/>
    <w:pPr>
      <w:keepNext/>
      <w:spacing w:line="240" w:lineRule="auto"/>
      <w:ind w:firstLine="0"/>
    </w:pPr>
    <w:rPr>
      <w:rFonts w:ascii="Times New Roman" w:eastAsia="Times New Roman" w:hAnsi="Times New Roman" w:cs="Times New Roman"/>
      <w:b/>
      <w:bCs/>
      <w:color w:val="000000"/>
      <w:sz w:val="22"/>
      <w:lang w:eastAsia="ru-RU"/>
    </w:rPr>
  </w:style>
  <w:style w:type="character" w:customStyle="1" w:styleId="af4">
    <w:name w:val="Название объекта Знак"/>
    <w:aliases w:val="Название объекта Знак1 Знак Знак,Название объекта Знак Знак1 Знак Знак,Название объекта Знак Знак Знак Знак Знак Знак Знак,Название объекта Знак Знак Знак1 Знак Знак Знак,Название объекта Знак Знак Знак Знак1 Знак Знак,Знак1 Знак"/>
    <w:link w:val="af3"/>
    <w:uiPriority w:val="35"/>
    <w:rPr>
      <w:rFonts w:ascii="Times New Roman" w:eastAsia="Times New Roman" w:hAnsi="Times New Roman" w:cs="Times New Roman"/>
      <w:b/>
      <w:bCs/>
      <w:color w:val="000000"/>
      <w:lang w:eastAsia="ru-RU"/>
    </w:rPr>
  </w:style>
  <w:style w:type="paragraph" w:styleId="af5">
    <w:name w:val="No Spacing"/>
    <w:uiPriority w:val="1"/>
    <w:pPr>
      <w:spacing w:after="0"/>
      <w:ind w:firstLine="709"/>
      <w:jc w:val="both"/>
    </w:pPr>
    <w:rPr>
      <w:rFonts w:ascii="Arial" w:hAnsi="Arial"/>
      <w:sz w:val="24"/>
    </w:rPr>
  </w:style>
  <w:style w:type="paragraph" w:styleId="32">
    <w:name w:val="toc 3"/>
    <w:basedOn w:val="a"/>
    <w:next w:val="a"/>
    <w:uiPriority w:val="39"/>
    <w:unhideWhenUsed/>
    <w:pPr>
      <w:tabs>
        <w:tab w:val="left" w:pos="1100"/>
        <w:tab w:val="right" w:leader="dot" w:pos="9344"/>
      </w:tabs>
      <w:ind w:firstLine="567"/>
    </w:pPr>
    <w:rPr>
      <w:rFonts w:cs="Arial"/>
      <w:szCs w:val="28"/>
    </w:rPr>
  </w:style>
  <w:style w:type="paragraph" w:styleId="12">
    <w:name w:val="toc 1"/>
    <w:basedOn w:val="a"/>
    <w:next w:val="a"/>
    <w:uiPriority w:val="39"/>
    <w:unhideWhenUsed/>
    <w:qFormat/>
    <w:pPr>
      <w:ind w:firstLine="0"/>
    </w:pPr>
    <w:rPr>
      <w:sz w:val="28"/>
    </w:rPr>
  </w:style>
  <w:style w:type="paragraph" w:styleId="23">
    <w:name w:val="toc 2"/>
    <w:basedOn w:val="a"/>
    <w:next w:val="a"/>
    <w:uiPriority w:val="39"/>
    <w:unhideWhenUsed/>
    <w:qFormat/>
    <w:pPr>
      <w:ind w:firstLine="284"/>
    </w:pPr>
  </w:style>
  <w:style w:type="paragraph" w:customStyle="1" w:styleId="13">
    <w:name w:val="Заголовок 1_"/>
    <w:link w:val="14"/>
    <w:qFormat/>
    <w:pPr>
      <w:spacing w:after="60"/>
      <w:jc w:val="both"/>
      <w:outlineLvl w:val="0"/>
    </w:pPr>
    <w:rPr>
      <w:rFonts w:ascii="Impact" w:eastAsiaTheme="majorEastAsia" w:hAnsi="Impact" w:cstheme="majorBidi"/>
      <w:b/>
      <w:bCs/>
      <w:color w:val="404040" w:themeColor="text1" w:themeTint="BF"/>
      <w:sz w:val="28"/>
      <w:szCs w:val="28"/>
    </w:rPr>
  </w:style>
  <w:style w:type="character" w:customStyle="1" w:styleId="14">
    <w:name w:val="Заголовок 1_ Знак"/>
    <w:basedOn w:val="10"/>
    <w:link w:val="13"/>
    <w:rPr>
      <w:rFonts w:ascii="Impact" w:eastAsiaTheme="majorEastAsia" w:hAnsi="Impact" w:cstheme="majorBidi"/>
      <w:b/>
      <w:bCs/>
      <w:color w:val="404040" w:themeColor="text1" w:themeTint="BF"/>
      <w:sz w:val="28"/>
      <w:szCs w:val="28"/>
    </w:rPr>
  </w:style>
  <w:style w:type="paragraph" w:customStyle="1" w:styleId="24">
    <w:name w:val="Заголовок 2 уровня"/>
    <w:basedOn w:val="a"/>
    <w:link w:val="25"/>
    <w:qFormat/>
    <w:pPr>
      <w:ind w:left="567" w:firstLine="0"/>
      <w:outlineLvl w:val="1"/>
    </w:pPr>
    <w:rPr>
      <w:rFonts w:ascii="Impact" w:hAnsi="Impact" w:cs="Arial"/>
      <w:color w:val="404040" w:themeColor="text1" w:themeTint="BF"/>
      <w:sz w:val="28"/>
      <w:szCs w:val="28"/>
    </w:rPr>
  </w:style>
  <w:style w:type="character" w:customStyle="1" w:styleId="25">
    <w:name w:val="Заголовок 2 уровня Знак"/>
    <w:basedOn w:val="a0"/>
    <w:link w:val="24"/>
    <w:rPr>
      <w:rFonts w:ascii="Impact" w:hAnsi="Impact" w:cs="Arial"/>
      <w:color w:val="404040" w:themeColor="text1" w:themeTint="BF"/>
      <w:sz w:val="28"/>
      <w:szCs w:val="28"/>
    </w:rPr>
  </w:style>
  <w:style w:type="character" w:styleId="af6">
    <w:name w:val="Hyperlink"/>
    <w:basedOn w:val="a0"/>
    <w:uiPriority w:val="99"/>
    <w:unhideWhenUsed/>
    <w:rPr>
      <w:color w:val="0000FF" w:themeColor="hyperlink"/>
      <w:u w:val="single"/>
    </w:rPr>
  </w:style>
  <w:style w:type="paragraph" w:customStyle="1" w:styleId="33">
    <w:name w:val="Заголовок_3"/>
    <w:basedOn w:val="24"/>
    <w:link w:val="34"/>
    <w:qFormat/>
    <w:pPr>
      <w:ind w:left="709"/>
      <w:outlineLvl w:val="2"/>
    </w:pPr>
    <w:rPr>
      <w:color w:val="7F7F7F" w:themeColor="text1" w:themeTint="80"/>
      <w:sz w:val="24"/>
      <w:szCs w:val="24"/>
    </w:rPr>
  </w:style>
  <w:style w:type="character" w:customStyle="1" w:styleId="34">
    <w:name w:val="Заголовок_3 Знак"/>
    <w:basedOn w:val="25"/>
    <w:link w:val="33"/>
    <w:rPr>
      <w:rFonts w:ascii="Impact" w:hAnsi="Impact" w:cs="Arial"/>
      <w:color w:val="7F7F7F" w:themeColor="text1" w:themeTint="80"/>
      <w:sz w:val="24"/>
      <w:szCs w:val="24"/>
    </w:rPr>
  </w:style>
  <w:style w:type="paragraph" w:customStyle="1" w:styleId="docdata">
    <w:name w:val="docdata"/>
    <w:aliases w:val="docy,v5,784990,bgiaagaaexweaaaggaqaaapj0gsaawbucwaf4uklaaaaaaaaaaaaaaaaaaaaaaaaaaaaaaaaaaaaaaaaaaaaaaaaaaaaaaaaaaaaaaaaaaaaaaaaaaaaaaaaaaaaaaaaaaaaaaaaaaaaaaaaaaaaaaaaaaaaaaaaaaaaaaaaaaaaaaaaaaaaaaaaaaaaaaaaaaaaaaaaaaaaaaaaaaaaaaaaaaaaaaaaaaaaaa"/>
    <w:basedOn w:val="a"/>
    <w:pPr>
      <w:spacing w:before="100" w:beforeAutospacing="1" w:after="100" w:afterAutospacing="1" w:line="240" w:lineRule="auto"/>
      <w:ind w:firstLine="0"/>
      <w:jc w:val="left"/>
    </w:pPr>
    <w:rPr>
      <w:rFonts w:ascii="Times New Roman" w:eastAsia="Times New Roman" w:hAnsi="Times New Roman" w:cs="Times New Roman"/>
      <w:szCs w:val="24"/>
      <w:lang w:eastAsia="ru-RU"/>
    </w:rPr>
  </w:style>
  <w:style w:type="paragraph" w:styleId="af7">
    <w:name w:val="Normal (Web)"/>
    <w:basedOn w:val="a"/>
    <w:uiPriority w:val="99"/>
    <w:unhideWhenUsed/>
    <w:pPr>
      <w:spacing w:before="100" w:beforeAutospacing="1" w:after="100" w:afterAutospacing="1" w:line="240" w:lineRule="auto"/>
      <w:ind w:firstLine="0"/>
      <w:jc w:val="left"/>
    </w:pPr>
    <w:rPr>
      <w:rFonts w:ascii="Times New Roman" w:eastAsia="Times New Roman" w:hAnsi="Times New Roman" w:cs="Times New Roman"/>
      <w:szCs w:val="24"/>
      <w:lang w:eastAsia="ru-RU"/>
    </w:rPr>
  </w:style>
  <w:style w:type="paragraph" w:styleId="af8">
    <w:name w:val="annotation text"/>
    <w:basedOn w:val="a"/>
    <w:link w:val="af9"/>
    <w:uiPriority w:val="99"/>
    <w:semiHidden/>
    <w:unhideWhenUsed/>
    <w:pPr>
      <w:spacing w:line="240" w:lineRule="auto"/>
      <w:ind w:firstLine="0"/>
      <w:jc w:val="left"/>
    </w:pPr>
    <w:rPr>
      <w:rFonts w:asciiTheme="minorHAnsi" w:hAnsiTheme="minorHAnsi"/>
      <w:sz w:val="20"/>
      <w:szCs w:val="20"/>
    </w:rPr>
  </w:style>
  <w:style w:type="character" w:customStyle="1" w:styleId="af9">
    <w:name w:val="Текст примечания Знак"/>
    <w:basedOn w:val="a0"/>
    <w:link w:val="af8"/>
    <w:uiPriority w:val="99"/>
    <w:semiHidden/>
    <w:rPr>
      <w:sz w:val="20"/>
      <w:szCs w:val="20"/>
    </w:rPr>
  </w:style>
  <w:style w:type="paragraph" w:styleId="afa">
    <w:name w:val="TOC Heading"/>
    <w:basedOn w:val="1"/>
    <w:next w:val="a"/>
    <w:uiPriority w:val="39"/>
    <w:unhideWhenUsed/>
    <w:qFormat/>
    <w:pPr>
      <w:spacing w:before="240" w:line="259" w:lineRule="auto"/>
      <w:jc w:val="left"/>
      <w:outlineLvl w:val="9"/>
    </w:pPr>
    <w:rPr>
      <w:rFonts w:asciiTheme="majorHAnsi" w:hAnsiTheme="majorHAnsi"/>
      <w:b w:val="0"/>
      <w:bCs w:val="0"/>
      <w:color w:val="365F91" w:themeColor="accent1" w:themeShade="BF"/>
      <w:sz w:val="32"/>
      <w:szCs w:val="32"/>
      <w:lang w:eastAsia="ru-RU"/>
    </w:rPr>
  </w:style>
  <w:style w:type="character" w:styleId="afb">
    <w:name w:val="footnote reference"/>
    <w:aliases w:val="Знак сноски 1,Знак сноски-FN,Ciae niinee-FN,Referencia nota al pie,Ссылка на сноску 45,Appel note de bas de page,SUPERS,fr,Used by Word for Help footnote symbols,Ciae niinee 1,16 Point,Superscript 6 Point,Footnote Reference Number,SUPERS1,зс"/>
    <w:basedOn w:val="a0"/>
    <w:link w:val="15"/>
    <w:uiPriority w:val="99"/>
    <w:unhideWhenUsed/>
    <w:qFormat/>
  </w:style>
  <w:style w:type="paragraph" w:styleId="afc">
    <w:name w:val="footnote text"/>
    <w:aliases w:val="Table_Footnote_last,Table_Footnote_last Знак Знак Знак,Table_Footnote_last Знак,Текст сноски Знак1,Текст сноски Знак Знак,Текст сноски Знак1 Знак Знак,Текст сноски Знак Знак Знак Знак,Table_Footnote_last Знак1 Знак Знак,single space, Знак3"/>
    <w:basedOn w:val="a"/>
    <w:link w:val="afd"/>
    <w:uiPriority w:val="99"/>
    <w:unhideWhenUsed/>
    <w:qFormat/>
    <w:pPr>
      <w:spacing w:before="100" w:beforeAutospacing="1" w:after="100" w:afterAutospacing="1" w:line="240" w:lineRule="auto"/>
      <w:ind w:firstLine="0"/>
      <w:jc w:val="left"/>
    </w:pPr>
    <w:rPr>
      <w:rFonts w:ascii="Times New Roman" w:eastAsia="Times New Roman" w:hAnsi="Times New Roman" w:cs="Times New Roman"/>
      <w:szCs w:val="24"/>
      <w:lang w:eastAsia="ru-RU"/>
    </w:rPr>
  </w:style>
  <w:style w:type="character" w:customStyle="1" w:styleId="afd">
    <w:name w:val="Текст сноски Знак"/>
    <w:aliases w:val="Table_Footnote_last Знак1,Table_Footnote_last Знак Знак Знак Знак,Table_Footnote_last Знак Знак,Текст сноски Знак1 Знак,Текст сноски Знак Знак Знак,Текст сноски Знак1 Знак Знак Знак,Текст сноски Знак Знак Знак Знак Знак, Знак3 Знак"/>
    <w:basedOn w:val="a0"/>
    <w:link w:val="afc"/>
    <w:uiPriority w:val="99"/>
    <w:qFormat/>
    <w:rPr>
      <w:rFonts w:ascii="Times New Roman" w:eastAsia="Times New Roman" w:hAnsi="Times New Roman" w:cs="Times New Roman"/>
      <w:sz w:val="24"/>
      <w:szCs w:val="24"/>
      <w:lang w:eastAsia="ru-RU"/>
    </w:rPr>
  </w:style>
  <w:style w:type="paragraph" w:customStyle="1" w:styleId="15">
    <w:name w:val="Знак сноски1"/>
    <w:link w:val="afb"/>
    <w:pPr>
      <w:spacing w:after="0" w:line="240" w:lineRule="auto"/>
    </w:pPr>
  </w:style>
  <w:style w:type="table" w:customStyle="1" w:styleId="TableGridReport1">
    <w:name w:val="Table Grid Report1"/>
    <w:basedOn w:val="a1"/>
    <w:next w:val="afe"/>
    <w:uiPriority w:val="59"/>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styleId="afe">
    <w:name w:val="Table Grid"/>
    <w:aliases w:val="Table Grid Report,Сетка таблицы777,Текст в таблице,OTR"/>
    <w:basedOn w:val="a1"/>
    <w:uiPriority w:val="39"/>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1character">
    <w:name w:val="Рисунок 1_character"/>
    <w:link w:val="16"/>
    <w:rPr>
      <w:rFonts w:ascii="Times New Roman" w:eastAsia="Times New Roman" w:hAnsi="Times New Roman" w:cs="Times New Roman"/>
      <w:b/>
      <w:bCs/>
      <w:color w:val="000000"/>
      <w:sz w:val="24"/>
      <w:szCs w:val="24"/>
    </w:rPr>
  </w:style>
  <w:style w:type="paragraph" w:customStyle="1" w:styleId="16">
    <w:name w:val="Рисунок 1"/>
    <w:basedOn w:val="a"/>
    <w:link w:val="1character"/>
    <w:qFormat/>
    <w:pPr>
      <w:pBdr>
        <w:top w:val="none" w:sz="4" w:space="0" w:color="000000"/>
        <w:left w:val="none" w:sz="4" w:space="0" w:color="000000"/>
        <w:bottom w:val="none" w:sz="4" w:space="0" w:color="000000"/>
        <w:right w:val="none" w:sz="4" w:space="0" w:color="000000"/>
      </w:pBdr>
      <w:ind w:firstLine="0"/>
    </w:pPr>
    <w:rPr>
      <w:rFonts w:ascii="Times New Roman" w:eastAsia="Times New Roman" w:hAnsi="Times New Roman" w:cs="Times New Roman"/>
      <w:b/>
      <w:bCs/>
      <w:color w:val="000000"/>
      <w:szCs w:val="24"/>
    </w:rPr>
  </w:style>
  <w:style w:type="character" w:customStyle="1" w:styleId="character">
    <w:name w:val="Рисунок_character"/>
    <w:link w:val="aff"/>
  </w:style>
  <w:style w:type="paragraph" w:customStyle="1" w:styleId="aff">
    <w:name w:val="Рисунок"/>
    <w:basedOn w:val="16"/>
    <w:link w:val="character"/>
    <w:qFormat/>
  </w:style>
  <w:style w:type="character" w:customStyle="1" w:styleId="character0">
    <w:name w:val="Таблица_character"/>
    <w:link w:val="aff0"/>
    <w:rPr>
      <w:rFonts w:ascii="Times New Roman" w:hAnsi="Times New Roman" w:cs="Times New Roman"/>
      <w:szCs w:val="24"/>
    </w:rPr>
  </w:style>
  <w:style w:type="paragraph" w:customStyle="1" w:styleId="aff0">
    <w:name w:val="Таблица"/>
    <w:basedOn w:val="a"/>
    <w:link w:val="character0"/>
    <w:qFormat/>
    <w:rPr>
      <w:rFonts w:ascii="Times New Roman" w:hAnsi="Times New Roman" w:cs="Times New Roman"/>
      <w:szCs w:val="24"/>
    </w:rPr>
  </w:style>
  <w:style w:type="character" w:styleId="aff1">
    <w:name w:val="annotation reference"/>
    <w:basedOn w:val="a0"/>
    <w:uiPriority w:val="99"/>
    <w:semiHidden/>
    <w:unhideWhenUsed/>
    <w:rPr>
      <w:sz w:val="16"/>
      <w:szCs w:val="16"/>
    </w:rPr>
  </w:style>
  <w:style w:type="paragraph" w:styleId="aff2">
    <w:name w:val="Balloon Text"/>
    <w:basedOn w:val="a"/>
    <w:link w:val="aff3"/>
    <w:uiPriority w:val="99"/>
    <w:semiHidden/>
    <w:unhideWhenUsed/>
    <w:rsid w:val="00D97880"/>
    <w:pPr>
      <w:spacing w:line="240" w:lineRule="auto"/>
    </w:pPr>
    <w:rPr>
      <w:rFonts w:ascii="Segoe UI" w:hAnsi="Segoe UI" w:cs="Segoe UI"/>
      <w:sz w:val="18"/>
      <w:szCs w:val="18"/>
    </w:rPr>
  </w:style>
  <w:style w:type="character" w:customStyle="1" w:styleId="aff3">
    <w:name w:val="Текст выноски Знак"/>
    <w:basedOn w:val="a0"/>
    <w:link w:val="aff2"/>
    <w:uiPriority w:val="99"/>
    <w:semiHidden/>
    <w:rsid w:val="00D97880"/>
    <w:rPr>
      <w:rFonts w:ascii="Segoe UI" w:hAnsi="Segoe UI" w:cs="Segoe UI"/>
      <w:sz w:val="18"/>
      <w:szCs w:val="18"/>
    </w:rPr>
  </w:style>
  <w:style w:type="character" w:customStyle="1" w:styleId="2105pt">
    <w:name w:val="Основной текст (2) + 10;5 pt"/>
    <w:basedOn w:val="a0"/>
    <w:rsid w:val="00577496"/>
    <w:rPr>
      <w:rFonts w:ascii="Times New Roman" w:eastAsia="Times New Roman" w:hAnsi="Times New Roman" w:cs="Times New Roman"/>
      <w:color w:val="000000"/>
      <w:spacing w:val="0"/>
      <w:w w:val="100"/>
      <w:position w:val="0"/>
      <w:sz w:val="21"/>
      <w:szCs w:val="21"/>
      <w:shd w:val="clear" w:color="auto" w:fill="FFFFFF"/>
      <w:lang w:val="ru-RU" w:eastAsia="ru-RU" w:bidi="ru-RU"/>
    </w:rPr>
  </w:style>
  <w:style w:type="character" w:customStyle="1" w:styleId="2105pt0">
    <w:name w:val="Основной текст (2) + 10;5 pt;Малые прописные"/>
    <w:basedOn w:val="a0"/>
    <w:rsid w:val="00577496"/>
    <w:rPr>
      <w:rFonts w:ascii="Times New Roman" w:eastAsia="Times New Roman" w:hAnsi="Times New Roman" w:cs="Times New Roman"/>
      <w:b w:val="0"/>
      <w:bCs w:val="0"/>
      <w:i w:val="0"/>
      <w:iCs w:val="0"/>
      <w:smallCaps/>
      <w:strike w:val="0"/>
      <w:color w:val="000000"/>
      <w:spacing w:val="0"/>
      <w:w w:val="100"/>
      <w:position w:val="0"/>
      <w:sz w:val="21"/>
      <w:szCs w:val="21"/>
      <w:u w:val="none"/>
      <w:shd w:val="clear" w:color="auto" w:fill="FFFFFF"/>
      <w:lang w:val="ru-RU" w:eastAsia="ru-RU" w:bidi="ru-RU"/>
    </w:rPr>
  </w:style>
  <w:style w:type="character" w:styleId="aff4">
    <w:name w:val="Emphasis"/>
    <w:basedOn w:val="a0"/>
    <w:uiPriority w:val="20"/>
    <w:qFormat/>
    <w:rsid w:val="006C7DE5"/>
    <w:rPr>
      <w:i/>
      <w:iCs/>
    </w:rPr>
  </w:style>
  <w:style w:type="character" w:customStyle="1" w:styleId="2085">
    <w:name w:val="2085"/>
    <w:aliases w:val="bqiaagaaedaeaaag1aqaaaombwaabzohaaaaaaaaaaaaaaaaaaaaaaaaaaaaaaaaaaaaaaaaaaaaaaaaaaaaaaaaaaaaaaaaaaaaaaaaaaaaaaaaaaaaaaaaaaaaaaaaaaaaaaaaaaaaaaaaaaaaaaaaaaaaaaaaaaaaaaaaaaaaaaaaaaaaaaaaaaaaaaaaaaaaaaaaaaaaaaaaaaaaaaaaaaaaaaaaaaaaaaaa"/>
    <w:basedOn w:val="a0"/>
    <w:rsid w:val="004D62B6"/>
  </w:style>
  <w:style w:type="character" w:customStyle="1" w:styleId="1685">
    <w:name w:val="1685"/>
    <w:aliases w:val="bqiaagaaexweaaaggaqaaap8bqaabqogaaaaaaaaaaaaaaaaaaaaaaaaaaaaaaaaaaaaaaaaaaaaaaaaaaaaaaaaaaaaaaaaaaaaaaaaaaaaaaaaaaaaaaaaaaaaaaaaaaaaaaaaaaaaaaaaaaaaaaaaaaaaaaaaaaaaaaaaaaaaaaaaaaaaaaaaaaaaaaaaaaaaaaaaaaaaaaaaaaaaaaaaaaaaaaaaaaaaaaaa"/>
    <w:basedOn w:val="a0"/>
    <w:rsid w:val="00D9276C"/>
  </w:style>
  <w:style w:type="paragraph" w:styleId="aff5">
    <w:name w:val="annotation subject"/>
    <w:basedOn w:val="af8"/>
    <w:next w:val="af8"/>
    <w:link w:val="aff6"/>
    <w:uiPriority w:val="99"/>
    <w:semiHidden/>
    <w:unhideWhenUsed/>
    <w:rsid w:val="00423B27"/>
    <w:pPr>
      <w:ind w:firstLine="709"/>
      <w:jc w:val="both"/>
    </w:pPr>
    <w:rPr>
      <w:rFonts w:ascii="Arial" w:hAnsi="Arial"/>
      <w:b/>
      <w:bCs/>
    </w:rPr>
  </w:style>
  <w:style w:type="character" w:customStyle="1" w:styleId="aff6">
    <w:name w:val="Тема примечания Знак"/>
    <w:basedOn w:val="af9"/>
    <w:link w:val="aff5"/>
    <w:uiPriority w:val="99"/>
    <w:semiHidden/>
    <w:rsid w:val="00423B27"/>
    <w:rPr>
      <w:rFonts w:ascii="Arial" w:hAnsi="Arial"/>
      <w:b/>
      <w:bCs/>
      <w:sz w:val="20"/>
      <w:szCs w:val="20"/>
    </w:rPr>
  </w:style>
  <w:style w:type="character" w:customStyle="1" w:styleId="a4">
    <w:name w:val="Абзац списка Знак"/>
    <w:aliases w:val="ПАРАГРАФ Знак,Абзац списка11 Знак,Булит Знак,Маркер Знак,Bullet Number Знак,Нумерованый список Знак,List Paragraph1 Знак,Bullet List Знак,FooterText Знак,numbered Знак,lp1 Знак,название Знак,Paragraphe de liste1 Знак,Bullet 1 Знак"/>
    <w:link w:val="a3"/>
    <w:uiPriority w:val="34"/>
    <w:locked/>
    <w:rsid w:val="00D50841"/>
    <w:rPr>
      <w:rFonts w:ascii="Arial" w:hAnsi="Arial"/>
      <w:sz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caption" w:uiPriority="35" w:qFormat="1"/>
    <w:lsdException w:name="footnote reference"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spacing w:after="0"/>
      <w:ind w:firstLine="709"/>
      <w:jc w:val="both"/>
    </w:pPr>
    <w:rPr>
      <w:rFonts w:ascii="Arial" w:hAnsi="Arial"/>
      <w:sz w:val="24"/>
    </w:rPr>
  </w:style>
  <w:style w:type="paragraph" w:styleId="1">
    <w:name w:val="heading 1"/>
    <w:basedOn w:val="a"/>
    <w:next w:val="a"/>
    <w:link w:val="10"/>
    <w:uiPriority w:val="9"/>
    <w:pPr>
      <w:keepNext/>
      <w:keepLines/>
      <w:ind w:firstLine="0"/>
      <w:outlineLvl w:val="0"/>
    </w:pPr>
    <w:rPr>
      <w:rFonts w:ascii="Impact" w:eastAsiaTheme="majorEastAsia" w:hAnsi="Impact" w:cstheme="majorBidi"/>
      <w:b/>
      <w:bCs/>
      <w:sz w:val="28"/>
      <w:szCs w:val="28"/>
    </w:rPr>
  </w:style>
  <w:style w:type="paragraph" w:styleId="2">
    <w:name w:val="heading 2"/>
    <w:basedOn w:val="a"/>
    <w:next w:val="a"/>
    <w:link w:val="20"/>
    <w:uiPriority w:val="9"/>
    <w:unhideWhenUsed/>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unhideWhenUsed/>
    <w:qFormat/>
    <w:pPr>
      <w:keepNext/>
      <w:keepLines/>
      <w:spacing w:before="20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0"/>
    <w:uiPriority w:val="9"/>
    <w:unhideWhenUsed/>
    <w:qFormat/>
    <w:pPr>
      <w:keepNext/>
      <w:keepLines/>
      <w:spacing w:before="200"/>
      <w:outlineLvl w:val="4"/>
    </w:pPr>
    <w:rPr>
      <w:rFonts w:asciiTheme="majorHAnsi" w:eastAsiaTheme="majorEastAsia" w:hAnsiTheme="majorHAnsi" w:cstheme="majorBidi"/>
      <w:color w:val="243F60" w:themeColor="accent1" w:themeShade="7F"/>
    </w:rPr>
  </w:style>
  <w:style w:type="paragraph" w:styleId="6">
    <w:name w:val="heading 6"/>
    <w:basedOn w:val="a"/>
    <w:next w:val="a"/>
    <w:link w:val="60"/>
    <w:uiPriority w:val="9"/>
    <w:unhideWhenUsed/>
    <w:pPr>
      <w:keepNext/>
      <w:keepLines/>
      <w:spacing w:before="200"/>
      <w:outlineLvl w:val="5"/>
    </w:pPr>
    <w:rPr>
      <w:rFonts w:asciiTheme="majorHAnsi" w:eastAsiaTheme="majorEastAsia" w:hAnsiTheme="majorHAnsi" w:cstheme="majorBidi"/>
      <w:i/>
      <w:iCs/>
      <w:color w:val="243F60" w:themeColor="accent1" w:themeShade="7F"/>
    </w:rPr>
  </w:style>
  <w:style w:type="paragraph" w:styleId="7">
    <w:name w:val="heading 7"/>
    <w:basedOn w:val="a"/>
    <w:next w:val="a"/>
    <w:link w:val="70"/>
    <w:uiPriority w:val="9"/>
    <w:unhideWhenUsed/>
    <w:qFormat/>
    <w:pPr>
      <w:keepNext/>
      <w:keepLines/>
      <w:spacing w:before="320" w:after="200"/>
      <w:outlineLvl w:val="6"/>
    </w:pPr>
    <w:rPr>
      <w:rFonts w:eastAsia="Arial" w:cs="Arial"/>
      <w:b/>
      <w:bCs/>
      <w:i/>
      <w:iCs/>
      <w:sz w:val="22"/>
    </w:rPr>
  </w:style>
  <w:style w:type="paragraph" w:styleId="8">
    <w:name w:val="heading 8"/>
    <w:basedOn w:val="a"/>
    <w:next w:val="a"/>
    <w:link w:val="80"/>
    <w:uiPriority w:val="9"/>
    <w:unhideWhenUsed/>
    <w:qFormat/>
    <w:pPr>
      <w:keepNext/>
      <w:keepLines/>
      <w:spacing w:before="320" w:after="200"/>
      <w:outlineLvl w:val="7"/>
    </w:pPr>
    <w:rPr>
      <w:rFonts w:eastAsia="Arial" w:cs="Arial"/>
      <w:i/>
      <w:iCs/>
      <w:sz w:val="22"/>
    </w:rPr>
  </w:style>
  <w:style w:type="paragraph" w:styleId="9">
    <w:name w:val="heading 9"/>
    <w:basedOn w:val="a"/>
    <w:next w:val="a"/>
    <w:link w:val="90"/>
    <w:uiPriority w:val="9"/>
    <w:unhideWhenUsed/>
    <w:qFormat/>
    <w:pPr>
      <w:keepNext/>
      <w:keepLines/>
      <w:spacing w:before="320" w:after="200"/>
      <w:outlineLvl w:val="8"/>
    </w:pPr>
    <w:rPr>
      <w:rFonts w:eastAsia="Arial" w:cs="Arial"/>
      <w:i/>
      <w:iCs/>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Heading7Char">
    <w:name w:val="Heading 7 Char"/>
    <w:basedOn w:val="a0"/>
    <w:uiPriority w:val="9"/>
    <w:rPr>
      <w:rFonts w:ascii="Arial" w:eastAsia="Arial" w:hAnsi="Arial" w:cs="Arial"/>
      <w:b/>
      <w:bCs/>
      <w:i/>
      <w:iCs/>
      <w:sz w:val="22"/>
      <w:szCs w:val="22"/>
    </w:rPr>
  </w:style>
  <w:style w:type="character" w:customStyle="1" w:styleId="Heading8Char">
    <w:name w:val="Heading 8 Char"/>
    <w:basedOn w:val="a0"/>
    <w:uiPriority w:val="9"/>
    <w:rPr>
      <w:rFonts w:ascii="Arial" w:eastAsia="Arial" w:hAnsi="Arial" w:cs="Arial"/>
      <w:i/>
      <w:iCs/>
      <w:sz w:val="22"/>
      <w:szCs w:val="22"/>
    </w:rPr>
  </w:style>
  <w:style w:type="character" w:customStyle="1" w:styleId="Heading9Char">
    <w:name w:val="Heading 9 Char"/>
    <w:basedOn w:val="a0"/>
    <w:uiPriority w:val="9"/>
    <w:rPr>
      <w:rFonts w:ascii="Arial" w:eastAsia="Arial" w:hAnsi="Arial" w:cs="Arial"/>
      <w:i/>
      <w:iCs/>
      <w:sz w:val="21"/>
      <w:szCs w:val="21"/>
    </w:rPr>
  </w:style>
  <w:style w:type="character" w:customStyle="1" w:styleId="TitleChar">
    <w:name w:val="Title Char"/>
    <w:basedOn w:val="a0"/>
    <w:uiPriority w:val="10"/>
    <w:rPr>
      <w:sz w:val="48"/>
      <w:szCs w:val="48"/>
    </w:rPr>
  </w:style>
  <w:style w:type="character" w:customStyle="1" w:styleId="SubtitleChar">
    <w:name w:val="Subtitle Char"/>
    <w:basedOn w:val="a0"/>
    <w:uiPriority w:val="11"/>
    <w:rPr>
      <w:sz w:val="24"/>
      <w:szCs w:val="24"/>
    </w:rPr>
  </w:style>
  <w:style w:type="character" w:customStyle="1" w:styleId="QuoteChar">
    <w:name w:val="Quote Char"/>
    <w:uiPriority w:val="29"/>
    <w:rPr>
      <w:i/>
    </w:rPr>
  </w:style>
  <w:style w:type="character" w:customStyle="1" w:styleId="IntenseQuoteChar">
    <w:name w:val="Intense Quote Char"/>
    <w:uiPriority w:val="30"/>
    <w:rPr>
      <w:i/>
    </w:rPr>
  </w:style>
  <w:style w:type="character" w:customStyle="1" w:styleId="HeaderChar">
    <w:name w:val="Header Char"/>
    <w:basedOn w:val="a0"/>
    <w:uiPriority w:val="99"/>
  </w:style>
  <w:style w:type="character" w:customStyle="1" w:styleId="CaptionChar">
    <w:name w:val="Caption Char"/>
    <w:uiPriority w:val="99"/>
  </w:style>
  <w:style w:type="character" w:customStyle="1" w:styleId="EndnoteTextChar">
    <w:name w:val="Endnote Text Char"/>
    <w:uiPriority w:val="99"/>
    <w:rPr>
      <w:sz w:val="20"/>
    </w:rPr>
  </w:style>
  <w:style w:type="character" w:customStyle="1" w:styleId="Heading1Char">
    <w:name w:val="Heading 1 Char"/>
    <w:basedOn w:val="a0"/>
    <w:uiPriority w:val="9"/>
    <w:rPr>
      <w:rFonts w:ascii="Arial" w:eastAsia="Arial" w:hAnsi="Arial" w:cs="Arial"/>
      <w:sz w:val="40"/>
      <w:szCs w:val="40"/>
    </w:rPr>
  </w:style>
  <w:style w:type="character" w:customStyle="1" w:styleId="Heading2Char">
    <w:name w:val="Heading 2 Char"/>
    <w:basedOn w:val="a0"/>
    <w:uiPriority w:val="9"/>
    <w:rPr>
      <w:rFonts w:ascii="Arial" w:eastAsia="Arial" w:hAnsi="Arial" w:cs="Arial"/>
      <w:sz w:val="34"/>
    </w:rPr>
  </w:style>
  <w:style w:type="character" w:customStyle="1" w:styleId="Heading3Char">
    <w:name w:val="Heading 3 Char"/>
    <w:basedOn w:val="a0"/>
    <w:uiPriority w:val="9"/>
    <w:rPr>
      <w:rFonts w:ascii="Arial" w:eastAsia="Arial" w:hAnsi="Arial" w:cs="Arial"/>
      <w:sz w:val="30"/>
      <w:szCs w:val="30"/>
    </w:rPr>
  </w:style>
  <w:style w:type="character" w:customStyle="1" w:styleId="Heading4Char">
    <w:name w:val="Heading 4 Char"/>
    <w:basedOn w:val="a0"/>
    <w:uiPriority w:val="9"/>
    <w:rPr>
      <w:rFonts w:ascii="Arial" w:eastAsia="Arial" w:hAnsi="Arial" w:cs="Arial"/>
      <w:b/>
      <w:bCs/>
      <w:sz w:val="26"/>
      <w:szCs w:val="26"/>
    </w:rPr>
  </w:style>
  <w:style w:type="character" w:customStyle="1" w:styleId="Heading5Char">
    <w:name w:val="Heading 5 Char"/>
    <w:basedOn w:val="a0"/>
    <w:uiPriority w:val="9"/>
    <w:rPr>
      <w:rFonts w:ascii="Arial" w:eastAsia="Arial" w:hAnsi="Arial" w:cs="Arial"/>
      <w:b/>
      <w:bCs/>
      <w:sz w:val="24"/>
      <w:szCs w:val="24"/>
    </w:rPr>
  </w:style>
  <w:style w:type="character" w:customStyle="1" w:styleId="Heading6Char">
    <w:name w:val="Heading 6 Char"/>
    <w:basedOn w:val="a0"/>
    <w:uiPriority w:val="9"/>
    <w:rPr>
      <w:rFonts w:ascii="Arial" w:eastAsia="Arial" w:hAnsi="Arial" w:cs="Arial"/>
      <w:b/>
      <w:bCs/>
      <w:sz w:val="22"/>
      <w:szCs w:val="22"/>
    </w:rPr>
  </w:style>
  <w:style w:type="character" w:customStyle="1" w:styleId="70">
    <w:name w:val="Заголовок 7 Знак"/>
    <w:basedOn w:val="a0"/>
    <w:link w:val="7"/>
    <w:uiPriority w:val="9"/>
    <w:rPr>
      <w:rFonts w:ascii="Arial" w:eastAsia="Arial" w:hAnsi="Arial" w:cs="Arial"/>
      <w:b/>
      <w:bCs/>
      <w:i/>
      <w:iCs/>
      <w:sz w:val="22"/>
      <w:szCs w:val="22"/>
    </w:rPr>
  </w:style>
  <w:style w:type="character" w:customStyle="1" w:styleId="80">
    <w:name w:val="Заголовок 8 Знак"/>
    <w:basedOn w:val="a0"/>
    <w:link w:val="8"/>
    <w:uiPriority w:val="9"/>
    <w:rPr>
      <w:rFonts w:ascii="Arial" w:eastAsia="Arial" w:hAnsi="Arial" w:cs="Arial"/>
      <w:i/>
      <w:iCs/>
      <w:sz w:val="22"/>
      <w:szCs w:val="22"/>
    </w:rPr>
  </w:style>
  <w:style w:type="character" w:customStyle="1" w:styleId="90">
    <w:name w:val="Заголовок 9 Знак"/>
    <w:basedOn w:val="a0"/>
    <w:link w:val="9"/>
    <w:uiPriority w:val="9"/>
    <w:rPr>
      <w:rFonts w:ascii="Arial" w:eastAsia="Arial" w:hAnsi="Arial" w:cs="Arial"/>
      <w:i/>
      <w:iCs/>
      <w:sz w:val="21"/>
      <w:szCs w:val="21"/>
    </w:rPr>
  </w:style>
  <w:style w:type="paragraph" w:styleId="a3">
    <w:name w:val="List Paragraph"/>
    <w:aliases w:val="ПАРАГРАФ,Абзац списка11,Булит,Маркер,Bullet Number,Нумерованый список,List Paragraph1,Bullet List,FooterText,numbered,lp1,название,Paragraphe de liste1,Bullet 1,Use Case List Paragraph,Абзац списка 2,список 1,Глава,ТЗ список,List Paragraph"/>
    <w:basedOn w:val="a"/>
    <w:link w:val="a4"/>
    <w:uiPriority w:val="34"/>
    <w:qFormat/>
    <w:pPr>
      <w:ind w:left="720"/>
      <w:contextualSpacing/>
    </w:pPr>
  </w:style>
  <w:style w:type="paragraph" w:styleId="a5">
    <w:name w:val="Title"/>
    <w:basedOn w:val="a"/>
    <w:next w:val="a"/>
    <w:link w:val="a6"/>
    <w:uiPriority w:val="10"/>
    <w:qFormat/>
    <w:pPr>
      <w:spacing w:before="300" w:after="200"/>
      <w:contextualSpacing/>
    </w:pPr>
    <w:rPr>
      <w:sz w:val="48"/>
      <w:szCs w:val="48"/>
    </w:rPr>
  </w:style>
  <w:style w:type="character" w:customStyle="1" w:styleId="a6">
    <w:name w:val="Название Знак"/>
    <w:basedOn w:val="a0"/>
    <w:link w:val="a5"/>
    <w:uiPriority w:val="10"/>
    <w:rPr>
      <w:sz w:val="48"/>
      <w:szCs w:val="48"/>
    </w:rPr>
  </w:style>
  <w:style w:type="paragraph" w:styleId="a7">
    <w:name w:val="Subtitle"/>
    <w:basedOn w:val="a"/>
    <w:next w:val="a"/>
    <w:link w:val="a8"/>
    <w:uiPriority w:val="11"/>
    <w:qFormat/>
    <w:pPr>
      <w:spacing w:before="200" w:after="200"/>
    </w:pPr>
    <w:rPr>
      <w:szCs w:val="24"/>
    </w:rPr>
  </w:style>
  <w:style w:type="character" w:customStyle="1" w:styleId="a8">
    <w:name w:val="Подзаголовок Знак"/>
    <w:basedOn w:val="a0"/>
    <w:link w:val="a7"/>
    <w:uiPriority w:val="11"/>
    <w:rPr>
      <w:sz w:val="24"/>
      <w:szCs w:val="24"/>
    </w:rPr>
  </w:style>
  <w:style w:type="paragraph" w:styleId="21">
    <w:name w:val="Quote"/>
    <w:basedOn w:val="a"/>
    <w:next w:val="a"/>
    <w:link w:val="22"/>
    <w:uiPriority w:val="29"/>
    <w:qFormat/>
    <w:pPr>
      <w:ind w:left="720" w:right="720"/>
    </w:pPr>
    <w:rPr>
      <w:i/>
    </w:rPr>
  </w:style>
  <w:style w:type="character" w:customStyle="1" w:styleId="22">
    <w:name w:val="Цитата 2 Знак"/>
    <w:link w:val="21"/>
    <w:uiPriority w:val="29"/>
    <w:rPr>
      <w:i/>
    </w:rPr>
  </w:style>
  <w:style w:type="paragraph" w:styleId="a9">
    <w:name w:val="Intense Quote"/>
    <w:basedOn w:val="a"/>
    <w:next w:val="a"/>
    <w:link w:val="aa"/>
    <w:uiPriority w:val="30"/>
    <w:qFormat/>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aa">
    <w:name w:val="Выделенная цитата Знак"/>
    <w:link w:val="a9"/>
    <w:uiPriority w:val="30"/>
    <w:rPr>
      <w:i/>
    </w:rPr>
  </w:style>
  <w:style w:type="paragraph" w:styleId="ab">
    <w:name w:val="header"/>
    <w:basedOn w:val="a"/>
    <w:link w:val="ac"/>
    <w:uiPriority w:val="99"/>
    <w:unhideWhenUsed/>
    <w:pPr>
      <w:tabs>
        <w:tab w:val="center" w:pos="7143"/>
        <w:tab w:val="right" w:pos="14287"/>
      </w:tabs>
      <w:spacing w:line="240" w:lineRule="auto"/>
    </w:pPr>
  </w:style>
  <w:style w:type="character" w:customStyle="1" w:styleId="ac">
    <w:name w:val="Верхний колонтитул Знак"/>
    <w:basedOn w:val="a0"/>
    <w:link w:val="ab"/>
    <w:uiPriority w:val="99"/>
  </w:style>
  <w:style w:type="paragraph" w:styleId="ad">
    <w:name w:val="footer"/>
    <w:basedOn w:val="a"/>
    <w:link w:val="ae"/>
    <w:uiPriority w:val="99"/>
    <w:unhideWhenUsed/>
    <w:pPr>
      <w:tabs>
        <w:tab w:val="center" w:pos="7143"/>
        <w:tab w:val="right" w:pos="14287"/>
      </w:tabs>
      <w:spacing w:line="240" w:lineRule="auto"/>
    </w:pPr>
  </w:style>
  <w:style w:type="character" w:customStyle="1" w:styleId="FooterChar">
    <w:name w:val="Footer Char"/>
    <w:basedOn w:val="a0"/>
    <w:uiPriority w:val="99"/>
  </w:style>
  <w:style w:type="character" w:customStyle="1" w:styleId="ae">
    <w:name w:val="Нижний колонтитул Знак"/>
    <w:link w:val="ad"/>
    <w:uiPriority w:val="99"/>
  </w:style>
  <w:style w:type="table" w:customStyle="1" w:styleId="TableGridLight">
    <w:name w:val="Table Grid Light"/>
    <w:basedOn w:val="a1"/>
    <w:uiPriority w:val="59"/>
    <w:pPr>
      <w:spacing w:after="0" w:line="240" w:lineRule="auto"/>
    </w:pPr>
    <w:tblPr>
      <w:tblInd w:w="0" w:type="dxa"/>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CellMar>
        <w:top w:w="0" w:type="dxa"/>
        <w:left w:w="108" w:type="dxa"/>
        <w:bottom w:w="0" w:type="dxa"/>
        <w:right w:w="108" w:type="dxa"/>
      </w:tblCellMar>
    </w:tblPr>
  </w:style>
  <w:style w:type="table" w:customStyle="1" w:styleId="11">
    <w:name w:val="Таблица простая 11"/>
    <w:basedOn w:val="a1"/>
    <w:uiPriority w:val="59"/>
    <w:pPr>
      <w:spacing w:after="0" w:line="240" w:lineRule="auto"/>
    </w:pPr>
    <w:tblPr>
      <w:tblInd w:w="0" w:type="dxa"/>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CellMar>
        <w:top w:w="0" w:type="dxa"/>
        <w:left w:w="108" w:type="dxa"/>
        <w:bottom w:w="0" w:type="dxa"/>
        <w:right w:w="108" w:type="dxa"/>
      </w:tblCellMar>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customStyle="1" w:styleId="210">
    <w:name w:val="Таблица простая 21"/>
    <w:basedOn w:val="a1"/>
    <w:uiPriority w:val="59"/>
    <w:pPr>
      <w:spacing w:after="0" w:line="240" w:lineRule="auto"/>
    </w:pPr>
    <w:tblPr>
      <w:tblInd w:w="0" w:type="dxa"/>
      <w:tblBorders>
        <w:top w:val="single" w:sz="4" w:space="0" w:color="000000" w:themeColor="text1"/>
        <w:left w:val="none" w:sz="4" w:space="0" w:color="000000" w:themeColor="text1"/>
        <w:bottom w:val="single" w:sz="4" w:space="0" w:color="000000" w:themeColor="text1"/>
        <w:right w:val="none" w:sz="4" w:space="0" w:color="000000" w:themeColor="text1"/>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31">
    <w:name w:val="Таблица простая 31"/>
    <w:basedOn w:val="a1"/>
    <w:uiPriority w:val="99"/>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41">
    <w:name w:val="Таблица простая 41"/>
    <w:basedOn w:val="a1"/>
    <w:uiPriority w:val="99"/>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51">
    <w:name w:val="Таблица простая 51"/>
    <w:basedOn w:val="a1"/>
    <w:uiPriority w:val="99"/>
    <w:pPr>
      <w:spacing w:after="0" w:line="240" w:lineRule="auto"/>
    </w:pPr>
    <w:tblPr>
      <w:tblStyleRowBandSize w:val="1"/>
      <w:tblStyleColBandSize w:val="1"/>
      <w:tblInd w:w="0" w:type="dxa"/>
      <w:tblCellMar>
        <w:top w:w="0" w:type="dxa"/>
        <w:left w:w="108" w:type="dxa"/>
        <w:bottom w:w="0" w:type="dxa"/>
        <w:right w:w="108" w:type="dxa"/>
      </w:tblCellMar>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11">
    <w:name w:val="Таблица-сетка 1 светлая1"/>
    <w:basedOn w:val="a1"/>
    <w:uiPriority w:val="99"/>
    <w:pPr>
      <w:spacing w:after="0" w:line="240" w:lineRule="auto"/>
    </w:pPr>
    <w:tblPr>
      <w:tblStyleRowBandSize w:val="1"/>
      <w:tblStyleColBandSize w:val="1"/>
      <w:tblInd w:w="0" w:type="dxa"/>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CellMar>
        <w:top w:w="0" w:type="dxa"/>
        <w:left w:w="108" w:type="dxa"/>
        <w:bottom w:w="0" w:type="dxa"/>
        <w:right w:w="108" w:type="dxa"/>
      </w:tblCellMar>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a1"/>
    <w:uiPriority w:val="99"/>
    <w:pPr>
      <w:spacing w:after="0" w:line="240" w:lineRule="auto"/>
    </w:pPr>
    <w:tblPr>
      <w:tblStyleRowBandSize w:val="1"/>
      <w:tblStyleColBandSize w:val="1"/>
      <w:tblInd w:w="0" w:type="dxa"/>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CellMar>
        <w:top w:w="0" w:type="dxa"/>
        <w:left w:w="108" w:type="dxa"/>
        <w:bottom w:w="0" w:type="dxa"/>
        <w:right w:w="108" w:type="dxa"/>
      </w:tblCellMar>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GridTable1Light-Accent2">
    <w:name w:val="Grid Table 1 Light - Accent 2"/>
    <w:basedOn w:val="a1"/>
    <w:uiPriority w:val="99"/>
    <w:pPr>
      <w:spacing w:after="0" w:line="240" w:lineRule="auto"/>
    </w:pPr>
    <w:tblPr>
      <w:tblStyleRowBandSize w:val="1"/>
      <w:tblStyleColBandSize w:val="1"/>
      <w:tblInd w:w="0" w:type="dxa"/>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CellMar>
        <w:top w:w="0" w:type="dxa"/>
        <w:left w:w="108" w:type="dxa"/>
        <w:bottom w:w="0" w:type="dxa"/>
        <w:right w:w="108" w:type="dxa"/>
      </w:tblCellMar>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GridTable1Light-Accent3">
    <w:name w:val="Grid Table 1 Light - Accent 3"/>
    <w:basedOn w:val="a1"/>
    <w:uiPriority w:val="99"/>
    <w:pPr>
      <w:spacing w:after="0" w:line="240" w:lineRule="auto"/>
    </w:pPr>
    <w:tblPr>
      <w:tblStyleRowBandSize w:val="1"/>
      <w:tblStyleColBandSize w:val="1"/>
      <w:tblInd w:w="0" w:type="dxa"/>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CellMar>
        <w:top w:w="0" w:type="dxa"/>
        <w:left w:w="108" w:type="dxa"/>
        <w:bottom w:w="0" w:type="dxa"/>
        <w:right w:w="108" w:type="dxa"/>
      </w:tblCellMar>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GridTable1Light-Accent4">
    <w:name w:val="Grid Table 1 Light - Accent 4"/>
    <w:basedOn w:val="a1"/>
    <w:uiPriority w:val="99"/>
    <w:pPr>
      <w:spacing w:after="0" w:line="240" w:lineRule="auto"/>
    </w:pPr>
    <w:tblPr>
      <w:tblStyleRowBandSize w:val="1"/>
      <w:tblStyleColBandSize w:val="1"/>
      <w:tblInd w:w="0" w:type="dxa"/>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CellMar>
        <w:top w:w="0" w:type="dxa"/>
        <w:left w:w="108" w:type="dxa"/>
        <w:bottom w:w="0" w:type="dxa"/>
        <w:right w:w="108" w:type="dxa"/>
      </w:tblCellMar>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GridTable1Light-Accent5">
    <w:name w:val="Grid Table 1 Light - Accent 5"/>
    <w:basedOn w:val="a1"/>
    <w:uiPriority w:val="99"/>
    <w:pPr>
      <w:spacing w:after="0" w:line="240" w:lineRule="auto"/>
    </w:pPr>
    <w:tblPr>
      <w:tblStyleRowBandSize w:val="1"/>
      <w:tblStyleColBandSize w:val="1"/>
      <w:tblInd w:w="0" w:type="dxa"/>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CellMar>
        <w:top w:w="0" w:type="dxa"/>
        <w:left w:w="108" w:type="dxa"/>
        <w:bottom w:w="0" w:type="dxa"/>
        <w:right w:w="108" w:type="dxa"/>
      </w:tblCellMar>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GridTable1Light-Accent6">
    <w:name w:val="Grid Table 1 Light - Accent 6"/>
    <w:basedOn w:val="a1"/>
    <w:uiPriority w:val="99"/>
    <w:pPr>
      <w:spacing w:after="0" w:line="240" w:lineRule="auto"/>
    </w:pPr>
    <w:tblPr>
      <w:tblStyleRowBandSize w:val="1"/>
      <w:tblStyleColBandSize w:val="1"/>
      <w:tblInd w:w="0" w:type="dxa"/>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CellMar>
        <w:top w:w="0" w:type="dxa"/>
        <w:left w:w="108" w:type="dxa"/>
        <w:bottom w:w="0" w:type="dxa"/>
        <w:right w:w="108" w:type="dxa"/>
      </w:tblCellMar>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customStyle="1" w:styleId="-21">
    <w:name w:val="Таблица-сетка 21"/>
    <w:basedOn w:val="a1"/>
    <w:uiPriority w:val="99"/>
    <w:pPr>
      <w:spacing w:after="0" w:line="240" w:lineRule="auto"/>
    </w:pPr>
    <w:tblPr>
      <w:tblStyleRowBandSize w:val="1"/>
      <w:tblStyleColBandSize w:val="1"/>
      <w:tblInd w:w="0" w:type="dxa"/>
      <w:tblBorders>
        <w:bottom w:val="single" w:sz="4" w:space="0" w:color="6A6A6A" w:themeColor="text1" w:themeTint="95"/>
        <w:insideH w:val="single" w:sz="4" w:space="0" w:color="6A6A6A" w:themeColor="text1" w:themeTint="95"/>
        <w:insideV w:val="single" w:sz="4" w:space="0" w:color="6A6A6A" w:themeColor="text1" w:themeTint="95"/>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a1"/>
    <w:uiPriority w:val="99"/>
    <w:pPr>
      <w:spacing w:after="0" w:line="240" w:lineRule="auto"/>
    </w:pPr>
    <w:tblPr>
      <w:tblStyleRowBandSize w:val="1"/>
      <w:tblStyleColBandSize w:val="1"/>
      <w:tblInd w:w="0" w:type="dxa"/>
      <w:tblBorders>
        <w:bottom w:val="single" w:sz="4" w:space="0" w:color="5D8AC2" w:themeColor="accent1" w:themeTint="EA"/>
        <w:insideH w:val="single" w:sz="4" w:space="0" w:color="5D8AC2" w:themeColor="accent1" w:themeTint="EA"/>
        <w:insideV w:val="single" w:sz="4" w:space="0" w:color="5D8AC2" w:themeColor="accent1" w:themeTint="EA"/>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auto"/>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2-Accent2">
    <w:name w:val="Grid Table 2 - Accent 2"/>
    <w:basedOn w:val="a1"/>
    <w:uiPriority w:val="99"/>
    <w:pPr>
      <w:spacing w:after="0" w:line="240" w:lineRule="auto"/>
    </w:pPr>
    <w:tblPr>
      <w:tblStyleRowBandSize w:val="1"/>
      <w:tblStyleColBandSize w:val="1"/>
      <w:tblInd w:w="0" w:type="dxa"/>
      <w:tblBorders>
        <w:bottom w:val="single" w:sz="4" w:space="0" w:color="D99695" w:themeColor="accent2" w:themeTint="97"/>
        <w:insideH w:val="single" w:sz="4" w:space="0" w:color="D99695" w:themeColor="accent2" w:themeTint="97"/>
        <w:insideV w:val="single" w:sz="4" w:space="0" w:color="D99695" w:themeColor="accent2" w:themeTint="97"/>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auto"/>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2-Accent3">
    <w:name w:val="Grid Table 2 - Accent 3"/>
    <w:basedOn w:val="a1"/>
    <w:uiPriority w:val="99"/>
    <w:pPr>
      <w:spacing w:after="0" w:line="240" w:lineRule="auto"/>
    </w:pPr>
    <w:tblPr>
      <w:tblStyleRowBandSize w:val="1"/>
      <w:tblStyleColBandSize w:val="1"/>
      <w:tblInd w:w="0" w:type="dxa"/>
      <w:tblBorders>
        <w:bottom w:val="single" w:sz="4" w:space="0" w:color="9ABB59" w:themeColor="accent3" w:themeTint="FE"/>
        <w:insideH w:val="single" w:sz="4" w:space="0" w:color="9ABB59" w:themeColor="accent3" w:themeTint="FE"/>
        <w:insideV w:val="single" w:sz="4" w:space="0" w:color="9ABB59" w:themeColor="accent3" w:themeTint="FE"/>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auto"/>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2-Accent4">
    <w:name w:val="Grid Table 2 - Accent 4"/>
    <w:basedOn w:val="a1"/>
    <w:uiPriority w:val="99"/>
    <w:pPr>
      <w:spacing w:after="0" w:line="240" w:lineRule="auto"/>
    </w:pPr>
    <w:tblPr>
      <w:tblStyleRowBandSize w:val="1"/>
      <w:tblStyleColBandSize w:val="1"/>
      <w:tblInd w:w="0" w:type="dxa"/>
      <w:tblBorders>
        <w:bottom w:val="single" w:sz="4" w:space="0" w:color="B2A1C6" w:themeColor="accent4" w:themeTint="9A"/>
        <w:insideH w:val="single" w:sz="4" w:space="0" w:color="B2A1C6" w:themeColor="accent4" w:themeTint="9A"/>
        <w:insideV w:val="single" w:sz="4" w:space="0" w:color="B2A1C6" w:themeColor="accent4" w:themeTint="9A"/>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auto"/>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2-Accent5">
    <w:name w:val="Grid Table 2 - Accent 5"/>
    <w:basedOn w:val="a1"/>
    <w:uiPriority w:val="99"/>
    <w:pPr>
      <w:spacing w:after="0" w:line="240" w:lineRule="auto"/>
    </w:pPr>
    <w:tblPr>
      <w:tblStyleRowBandSize w:val="1"/>
      <w:tblStyleColBandSize w:val="1"/>
      <w:tblInd w:w="0" w:type="dxa"/>
      <w:tblBorders>
        <w:bottom w:val="single" w:sz="4" w:space="0" w:color="4BACC6" w:themeColor="accent5"/>
        <w:insideH w:val="single" w:sz="4" w:space="0" w:color="4BACC6" w:themeColor="accent5"/>
        <w:insideV w:val="single" w:sz="4" w:space="0" w:color="4BACC6" w:themeColor="accent5"/>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2-Accent6">
    <w:name w:val="Grid Table 2 - Accent 6"/>
    <w:basedOn w:val="a1"/>
    <w:uiPriority w:val="99"/>
    <w:pPr>
      <w:spacing w:after="0" w:line="240" w:lineRule="auto"/>
    </w:pPr>
    <w:tblPr>
      <w:tblStyleRowBandSize w:val="1"/>
      <w:tblStyleColBandSize w:val="1"/>
      <w:tblInd w:w="0" w:type="dxa"/>
      <w:tblBorders>
        <w:bottom w:val="single" w:sz="4" w:space="0" w:color="F79646" w:themeColor="accent6"/>
        <w:insideH w:val="single" w:sz="4" w:space="0" w:color="F79646" w:themeColor="accent6"/>
        <w:insideV w:val="single" w:sz="4" w:space="0" w:color="F79646" w:themeColor="accent6"/>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31">
    <w:name w:val="Таблица-сетка 31"/>
    <w:basedOn w:val="a1"/>
    <w:uiPriority w:val="99"/>
    <w:pPr>
      <w:spacing w:after="0" w:line="240" w:lineRule="auto"/>
    </w:pPr>
    <w:tblPr>
      <w:tblStyleRowBandSize w:val="1"/>
      <w:tblStyleColBandSize w:val="1"/>
      <w:tblInd w:w="0" w:type="dxa"/>
      <w:tblBorders>
        <w:bottom w:val="single" w:sz="4" w:space="0" w:color="6A6A6A" w:themeColor="text1" w:themeTint="95"/>
        <w:insideH w:val="single" w:sz="4" w:space="0" w:color="6A6A6A" w:themeColor="text1" w:themeTint="95"/>
        <w:insideV w:val="single" w:sz="4" w:space="0" w:color="6A6A6A" w:themeColor="text1" w:themeTint="95"/>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a1"/>
    <w:uiPriority w:val="99"/>
    <w:pPr>
      <w:spacing w:after="0" w:line="240" w:lineRule="auto"/>
    </w:pPr>
    <w:tblPr>
      <w:tblStyleRowBandSize w:val="1"/>
      <w:tblStyleColBandSize w:val="1"/>
      <w:tblInd w:w="0" w:type="dxa"/>
      <w:tblBorders>
        <w:bottom w:val="single" w:sz="4" w:space="0" w:color="5D8AC2" w:themeColor="accent1" w:themeTint="EA"/>
        <w:insideH w:val="single" w:sz="4" w:space="0" w:color="5D8AC2" w:themeColor="accent1" w:themeTint="EA"/>
        <w:insideV w:val="single" w:sz="4" w:space="0" w:color="5D8AC2" w:themeColor="accent1" w:themeTint="EA"/>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3-Accent2">
    <w:name w:val="Grid Table 3 - Accent 2"/>
    <w:basedOn w:val="a1"/>
    <w:uiPriority w:val="99"/>
    <w:pPr>
      <w:spacing w:after="0" w:line="240" w:lineRule="auto"/>
    </w:pPr>
    <w:tblPr>
      <w:tblStyleRowBandSize w:val="1"/>
      <w:tblStyleColBandSize w:val="1"/>
      <w:tblInd w:w="0" w:type="dxa"/>
      <w:tblBorders>
        <w:bottom w:val="single" w:sz="4" w:space="0" w:color="D99695" w:themeColor="accent2" w:themeTint="97"/>
        <w:insideH w:val="single" w:sz="4" w:space="0" w:color="D99695" w:themeColor="accent2" w:themeTint="97"/>
        <w:insideV w:val="single" w:sz="4" w:space="0" w:color="D99695" w:themeColor="accent2" w:themeTint="97"/>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3-Accent3">
    <w:name w:val="Grid Table 3 - Accent 3"/>
    <w:basedOn w:val="a1"/>
    <w:uiPriority w:val="99"/>
    <w:pPr>
      <w:spacing w:after="0" w:line="240" w:lineRule="auto"/>
    </w:pPr>
    <w:tblPr>
      <w:tblStyleRowBandSize w:val="1"/>
      <w:tblStyleColBandSize w:val="1"/>
      <w:tblInd w:w="0" w:type="dxa"/>
      <w:tblBorders>
        <w:bottom w:val="single" w:sz="4" w:space="0" w:color="9ABB59" w:themeColor="accent3" w:themeTint="FE"/>
        <w:insideH w:val="single" w:sz="4" w:space="0" w:color="9ABB59" w:themeColor="accent3" w:themeTint="FE"/>
        <w:insideV w:val="single" w:sz="4" w:space="0" w:color="9ABB59" w:themeColor="accent3" w:themeTint="FE"/>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3-Accent4">
    <w:name w:val="Grid Table 3 - Accent 4"/>
    <w:basedOn w:val="a1"/>
    <w:uiPriority w:val="99"/>
    <w:pPr>
      <w:spacing w:after="0" w:line="240" w:lineRule="auto"/>
    </w:pPr>
    <w:tblPr>
      <w:tblStyleRowBandSize w:val="1"/>
      <w:tblStyleColBandSize w:val="1"/>
      <w:tblInd w:w="0" w:type="dxa"/>
      <w:tblBorders>
        <w:bottom w:val="single" w:sz="4" w:space="0" w:color="B2A1C6" w:themeColor="accent4" w:themeTint="9A"/>
        <w:insideH w:val="single" w:sz="4" w:space="0" w:color="B2A1C6" w:themeColor="accent4" w:themeTint="9A"/>
        <w:insideV w:val="single" w:sz="4" w:space="0" w:color="B2A1C6" w:themeColor="accent4" w:themeTint="9A"/>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3-Accent5">
    <w:name w:val="Grid Table 3 - Accent 5"/>
    <w:basedOn w:val="a1"/>
    <w:uiPriority w:val="99"/>
    <w:pPr>
      <w:spacing w:after="0" w:line="240" w:lineRule="auto"/>
    </w:pPr>
    <w:tblPr>
      <w:tblStyleRowBandSize w:val="1"/>
      <w:tblStyleColBandSize w:val="1"/>
      <w:tblInd w:w="0" w:type="dxa"/>
      <w:tblBorders>
        <w:bottom w:val="single" w:sz="4" w:space="0" w:color="4BACC6" w:themeColor="accent5"/>
        <w:insideH w:val="single" w:sz="4" w:space="0" w:color="4BACC6" w:themeColor="accent5"/>
        <w:insideV w:val="single" w:sz="4" w:space="0" w:color="4BACC6" w:themeColor="accent5"/>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3-Accent6">
    <w:name w:val="Grid Table 3 - Accent 6"/>
    <w:basedOn w:val="a1"/>
    <w:uiPriority w:val="99"/>
    <w:pPr>
      <w:spacing w:after="0" w:line="240" w:lineRule="auto"/>
    </w:pPr>
    <w:tblPr>
      <w:tblStyleRowBandSize w:val="1"/>
      <w:tblStyleColBandSize w:val="1"/>
      <w:tblInd w:w="0" w:type="dxa"/>
      <w:tblBorders>
        <w:bottom w:val="single" w:sz="4" w:space="0" w:color="F79646" w:themeColor="accent6"/>
        <w:insideH w:val="single" w:sz="4" w:space="0" w:color="F79646" w:themeColor="accent6"/>
        <w:insideV w:val="single" w:sz="4" w:space="0" w:color="F79646" w:themeColor="accent6"/>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41">
    <w:name w:val="Таблица-сетка 41"/>
    <w:basedOn w:val="a1"/>
    <w:uiPriority w:val="59"/>
    <w:pPr>
      <w:spacing w:after="0" w:line="240" w:lineRule="auto"/>
    </w:pPr>
    <w:tblPr>
      <w:tblStyleRowBandSize w:val="1"/>
      <w:tblStyleColBandSize w:val="1"/>
      <w:tblInd w:w="0" w:type="dxa"/>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CellMar>
        <w:top w:w="0" w:type="dxa"/>
        <w:left w:w="108" w:type="dxa"/>
        <w:bottom w:w="0" w:type="dxa"/>
        <w:right w:w="108" w:type="dxa"/>
      </w:tblCellMar>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a1"/>
    <w:uiPriority w:val="59"/>
    <w:pPr>
      <w:spacing w:after="0" w:line="240" w:lineRule="auto"/>
    </w:pPr>
    <w:tblPr>
      <w:tblStyleRowBandSize w:val="1"/>
      <w:tblStyleColBandSize w:val="1"/>
      <w:tblInd w:w="0" w:type="dxa"/>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CellMar>
        <w:top w:w="0" w:type="dxa"/>
        <w:left w:w="108" w:type="dxa"/>
        <w:bottom w:w="0" w:type="dxa"/>
        <w:right w:w="108" w:type="dxa"/>
      </w:tblCellMar>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themeColor="accent1" w:themeTint="EA"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themeColor="accent1" w:themeTint="32" w:fill="DCE6F2" w:themeFill="accent1" w:themeFillTint="32"/>
      </w:tcPr>
    </w:tblStylePr>
    <w:tblStylePr w:type="band1Horz">
      <w:rPr>
        <w:rFonts w:ascii="Arial" w:hAnsi="Arial"/>
        <w:color w:val="404040"/>
        <w:sz w:val="22"/>
      </w:rPr>
      <w:tblPr/>
      <w:tcPr>
        <w:shd w:val="clear" w:color="DCE6F2" w:themeColor="accent1" w:themeTint="32" w:fill="DCE6F2" w:themeFill="accent1" w:themeFillTint="32"/>
      </w:tcPr>
    </w:tblStylePr>
  </w:style>
  <w:style w:type="table" w:customStyle="1" w:styleId="GridTable4-Accent2">
    <w:name w:val="Grid Table 4 - Accent 2"/>
    <w:basedOn w:val="a1"/>
    <w:uiPriority w:val="59"/>
    <w:pPr>
      <w:spacing w:after="0" w:line="240" w:lineRule="auto"/>
    </w:pPr>
    <w:tblPr>
      <w:tblStyleRowBandSize w:val="1"/>
      <w:tblStyleColBandSize w:val="1"/>
      <w:tblInd w:w="0" w:type="dxa"/>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CellMar>
        <w:top w:w="0" w:type="dxa"/>
        <w:left w:w="108" w:type="dxa"/>
        <w:bottom w:w="0" w:type="dxa"/>
        <w:right w:w="108" w:type="dxa"/>
      </w:tblCellMar>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themeColor="accent2" w:themeTint="97"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4-Accent3">
    <w:name w:val="Grid Table 4 - Accent 3"/>
    <w:basedOn w:val="a1"/>
    <w:uiPriority w:val="59"/>
    <w:pPr>
      <w:spacing w:after="0" w:line="240" w:lineRule="auto"/>
    </w:pPr>
    <w:tblPr>
      <w:tblStyleRowBandSize w:val="1"/>
      <w:tblStyleColBandSize w:val="1"/>
      <w:tblInd w:w="0" w:type="dxa"/>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CellMar>
        <w:top w:w="0" w:type="dxa"/>
        <w:left w:w="108" w:type="dxa"/>
        <w:bottom w:w="0" w:type="dxa"/>
        <w:right w:w="108" w:type="dxa"/>
      </w:tblCellMar>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themeColor="accent3" w:themeTint="FE"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4-Accent4">
    <w:name w:val="Grid Table 4 - Accent 4"/>
    <w:basedOn w:val="a1"/>
    <w:uiPriority w:val="59"/>
    <w:pPr>
      <w:spacing w:after="0" w:line="240" w:lineRule="auto"/>
    </w:pPr>
    <w:tblPr>
      <w:tblStyleRowBandSize w:val="1"/>
      <w:tblStyleColBandSize w:val="1"/>
      <w:tblInd w:w="0" w:type="dxa"/>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CellMar>
        <w:top w:w="0" w:type="dxa"/>
        <w:left w:w="108" w:type="dxa"/>
        <w:bottom w:w="0" w:type="dxa"/>
        <w:right w:w="108" w:type="dxa"/>
      </w:tblCellMar>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themeColor="accent4" w:themeTint="9A"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4-Accent5">
    <w:name w:val="Grid Table 4 - Accent 5"/>
    <w:basedOn w:val="a1"/>
    <w:uiPriority w:val="59"/>
    <w:pPr>
      <w:spacing w:after="0" w:line="240" w:lineRule="auto"/>
    </w:pPr>
    <w:tblPr>
      <w:tblStyleRowBandSize w:val="1"/>
      <w:tblStyleColBandSize w:val="1"/>
      <w:tblInd w:w="0" w:type="dxa"/>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CellMar>
        <w:top w:w="0" w:type="dxa"/>
        <w:left w:w="108" w:type="dxa"/>
        <w:bottom w:w="0" w:type="dxa"/>
        <w:right w:w="108" w:type="dxa"/>
      </w:tblCellMar>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themeColor="accent5"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4-Accent6">
    <w:name w:val="Grid Table 4 - Accent 6"/>
    <w:basedOn w:val="a1"/>
    <w:uiPriority w:val="59"/>
    <w:pPr>
      <w:spacing w:after="0" w:line="240" w:lineRule="auto"/>
    </w:pPr>
    <w:tblPr>
      <w:tblStyleRowBandSize w:val="1"/>
      <w:tblStyleColBandSize w:val="1"/>
      <w:tblInd w:w="0" w:type="dxa"/>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CellMar>
        <w:top w:w="0" w:type="dxa"/>
        <w:left w:w="108" w:type="dxa"/>
        <w:bottom w:w="0" w:type="dxa"/>
        <w:right w:w="108" w:type="dxa"/>
      </w:tblCellMar>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themeColor="accent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51">
    <w:name w:val="Таблица-сетка 5 темная1"/>
    <w:basedOn w:val="a1"/>
    <w:uiPriority w:val="99"/>
    <w:pPr>
      <w:spacing w:after="0" w:line="240" w:lineRule="auto"/>
    </w:pPr>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CellMar>
        <w:top w:w="0" w:type="dxa"/>
        <w:left w:w="108" w:type="dxa"/>
        <w:bottom w:w="0" w:type="dxa"/>
        <w:right w:w="108" w:type="dxa"/>
      </w:tblCellMar>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a1"/>
    <w:uiPriority w:val="99"/>
    <w:pPr>
      <w:spacing w:after="0" w:line="240" w:lineRule="auto"/>
    </w:pPr>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5F1" w:themeColor="accent1" w:themeTint="34" w:fill="DAE5F1" w:themeFill="accent1" w:themeFillTint="34"/>
      <w:tblCellMar>
        <w:top w:w="0" w:type="dxa"/>
        <w:left w:w="108" w:type="dxa"/>
        <w:bottom w:w="0" w:type="dxa"/>
        <w:right w:w="108" w:type="dxa"/>
      </w:tblCellMar>
    </w:tblPr>
    <w:tblStylePr w:type="firstRow">
      <w:rPr>
        <w:rFonts w:ascii="Arial" w:hAnsi="Arial"/>
        <w:b/>
        <w:color w:val="FFFFFF"/>
        <w:sz w:val="22"/>
      </w:rPr>
      <w:tblPr/>
      <w:tcPr>
        <w:shd w:val="clear" w:color="4F81BD" w:themeColor="accent1" w:fill="4F81BD" w:themeFill="accent1"/>
      </w:tcPr>
    </w:tblStylePr>
    <w:tblStylePr w:type="lastRow">
      <w:rPr>
        <w:rFonts w:ascii="Arial" w:hAnsi="Arial"/>
        <w:b/>
        <w:color w:val="FFFFFF"/>
        <w:sz w:val="22"/>
      </w:rPr>
      <w:tblPr/>
      <w:tcPr>
        <w:tcBorders>
          <w:top w:val="single" w:sz="4" w:space="0" w:color="FFFFFF" w:themeColor="light1"/>
        </w:tcBorders>
        <w:shd w:val="clear" w:color="4F81BD" w:themeColor="accent1" w:fill="4F81BD" w:themeFill="accent1"/>
      </w:tcPr>
    </w:tblStylePr>
    <w:tblStylePr w:type="firstCol">
      <w:rPr>
        <w:rFonts w:ascii="Arial" w:hAnsi="Arial"/>
        <w:b/>
        <w:color w:val="FFFFFF"/>
        <w:sz w:val="22"/>
      </w:rPr>
      <w:tblPr/>
      <w:tcPr>
        <w:shd w:val="clear" w:color="4F81BD" w:themeColor="accent1" w:fill="4F81BD" w:themeFill="accent1"/>
      </w:tcPr>
    </w:tblStylePr>
    <w:tblStylePr w:type="lastCol">
      <w:rPr>
        <w:rFonts w:ascii="Arial" w:hAnsi="Arial"/>
        <w:b/>
        <w:color w:val="FFFFFF"/>
        <w:sz w:val="22"/>
      </w:rPr>
      <w:tblPr/>
      <w:tcPr>
        <w:shd w:val="clear" w:color="4F81BD" w:themeColor="accent1" w:fill="4F81BD" w:themeFill="accent1"/>
      </w:tcPr>
    </w:tblStylePr>
    <w:tblStylePr w:type="band1Vert">
      <w:tblPr/>
      <w:tcPr>
        <w:shd w:val="clear" w:color="AEC4E0" w:themeColor="accent1" w:themeTint="75" w:fill="AEC4E0" w:themeFill="accent1" w:themeFillTint="75"/>
      </w:tcPr>
    </w:tblStylePr>
    <w:tblStylePr w:type="band1Horz">
      <w:tblPr/>
      <w:tcPr>
        <w:shd w:val="clear" w:color="AEC4E0" w:themeColor="accent1" w:themeTint="75" w:fill="AEC4E0" w:themeFill="accent1" w:themeFillTint="75"/>
      </w:tcPr>
    </w:tblStylePr>
  </w:style>
  <w:style w:type="table" w:customStyle="1" w:styleId="GridTable5Dark-Accent2">
    <w:name w:val="Grid Table 5 Dark - Accent 2"/>
    <w:basedOn w:val="a1"/>
    <w:uiPriority w:val="99"/>
    <w:pPr>
      <w:spacing w:after="0" w:line="240" w:lineRule="auto"/>
    </w:pPr>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2DCDC" w:themeColor="accent2" w:themeTint="32" w:fill="F2DCDC" w:themeFill="accent2" w:themeFillTint="32"/>
      <w:tblCellMar>
        <w:top w:w="0" w:type="dxa"/>
        <w:left w:w="108" w:type="dxa"/>
        <w:bottom w:w="0" w:type="dxa"/>
        <w:right w:w="108" w:type="dxa"/>
      </w:tblCellMar>
    </w:tblPr>
    <w:tblStylePr w:type="firstRow">
      <w:rPr>
        <w:rFonts w:ascii="Arial" w:hAnsi="Arial"/>
        <w:b/>
        <w:color w:val="FFFFFF"/>
        <w:sz w:val="22"/>
      </w:rPr>
      <w:tblPr/>
      <w:tcPr>
        <w:shd w:val="clear" w:color="C0504D" w:themeColor="accent2" w:fill="C0504D" w:themeFill="accent2"/>
      </w:tcPr>
    </w:tblStylePr>
    <w:tblStylePr w:type="lastRow">
      <w:rPr>
        <w:rFonts w:ascii="Arial" w:hAnsi="Arial"/>
        <w:b/>
        <w:color w:val="FFFFFF"/>
        <w:sz w:val="22"/>
      </w:rPr>
      <w:tblPr/>
      <w:tcPr>
        <w:tcBorders>
          <w:top w:val="single" w:sz="4" w:space="0" w:color="FFFFFF" w:themeColor="light1"/>
        </w:tcBorders>
        <w:shd w:val="clear" w:color="C0504D" w:themeColor="accent2" w:fill="C0504D" w:themeFill="accent2"/>
      </w:tcPr>
    </w:tblStylePr>
    <w:tblStylePr w:type="firstCol">
      <w:rPr>
        <w:rFonts w:ascii="Arial" w:hAnsi="Arial"/>
        <w:b/>
        <w:color w:val="FFFFFF"/>
        <w:sz w:val="22"/>
      </w:rPr>
      <w:tblPr/>
      <w:tcPr>
        <w:shd w:val="clear" w:color="C0504D" w:themeColor="accent2" w:fill="C0504D" w:themeFill="accent2"/>
      </w:tcPr>
    </w:tblStylePr>
    <w:tblStylePr w:type="lastCol">
      <w:rPr>
        <w:rFonts w:ascii="Arial" w:hAnsi="Arial"/>
        <w:b/>
        <w:color w:val="FFFFFF"/>
        <w:sz w:val="22"/>
      </w:rPr>
      <w:tblPr/>
      <w:tcPr>
        <w:shd w:val="clear" w:color="C0504D" w:themeColor="accent2" w:fill="C0504D" w:themeFill="accent2"/>
      </w:tcPr>
    </w:tblStylePr>
    <w:tblStylePr w:type="band1Vert">
      <w:tblPr/>
      <w:tcPr>
        <w:shd w:val="clear" w:color="E2AEAD" w:themeColor="accent2" w:themeTint="75" w:fill="E2AEAD" w:themeFill="accent2" w:themeFillTint="75"/>
      </w:tcPr>
    </w:tblStylePr>
    <w:tblStylePr w:type="band1Horz">
      <w:tblPr/>
      <w:tcPr>
        <w:shd w:val="clear" w:color="E2AEAD" w:themeColor="accent2" w:themeTint="75" w:fill="E2AEAD" w:themeFill="accent2" w:themeFillTint="75"/>
      </w:tcPr>
    </w:tblStylePr>
  </w:style>
  <w:style w:type="table" w:customStyle="1" w:styleId="GridTable5Dark-Accent3">
    <w:name w:val="Grid Table 5 Dark - Accent 3"/>
    <w:basedOn w:val="a1"/>
    <w:uiPriority w:val="99"/>
    <w:pPr>
      <w:spacing w:after="0" w:line="240" w:lineRule="auto"/>
    </w:pPr>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AF1DC" w:themeColor="accent3" w:themeTint="34" w:fill="EAF1DC" w:themeFill="accent3" w:themeFillTint="34"/>
      <w:tblCellMar>
        <w:top w:w="0" w:type="dxa"/>
        <w:left w:w="108" w:type="dxa"/>
        <w:bottom w:w="0" w:type="dxa"/>
        <w:right w:w="108" w:type="dxa"/>
      </w:tblCellMar>
    </w:tblPr>
    <w:tblStylePr w:type="firstRow">
      <w:rPr>
        <w:rFonts w:ascii="Arial" w:hAnsi="Arial"/>
        <w:b/>
        <w:color w:val="FFFFFF"/>
        <w:sz w:val="22"/>
      </w:rPr>
      <w:tblPr/>
      <w:tcPr>
        <w:shd w:val="clear" w:color="9BBB59" w:themeColor="accent3" w:fill="9BBB59" w:themeFill="accent3"/>
      </w:tcPr>
    </w:tblStylePr>
    <w:tblStylePr w:type="lastRow">
      <w:rPr>
        <w:rFonts w:ascii="Arial" w:hAnsi="Arial"/>
        <w:b/>
        <w:color w:val="FFFFFF"/>
        <w:sz w:val="22"/>
      </w:rPr>
      <w:tblPr/>
      <w:tcPr>
        <w:tcBorders>
          <w:top w:val="single" w:sz="4" w:space="0" w:color="FFFFFF" w:themeColor="light1"/>
        </w:tcBorders>
        <w:shd w:val="clear" w:color="9BBB59" w:themeColor="accent3" w:fill="9BBB59" w:themeFill="accent3"/>
      </w:tcPr>
    </w:tblStylePr>
    <w:tblStylePr w:type="firstCol">
      <w:rPr>
        <w:rFonts w:ascii="Arial" w:hAnsi="Arial"/>
        <w:b/>
        <w:color w:val="FFFFFF"/>
        <w:sz w:val="22"/>
      </w:rPr>
      <w:tblPr/>
      <w:tcPr>
        <w:shd w:val="clear" w:color="9BBB59" w:themeColor="accent3" w:fill="9BBB59" w:themeFill="accent3"/>
      </w:tcPr>
    </w:tblStylePr>
    <w:tblStylePr w:type="lastCol">
      <w:rPr>
        <w:rFonts w:ascii="Arial" w:hAnsi="Arial"/>
        <w:b/>
        <w:color w:val="FFFFFF"/>
        <w:sz w:val="22"/>
      </w:rPr>
      <w:tblPr/>
      <w:tcPr>
        <w:shd w:val="clear" w:color="9BBB59" w:themeColor="accent3" w:fill="9BBB59" w:themeFill="accent3"/>
      </w:tcPr>
    </w:tblStylePr>
    <w:tblStylePr w:type="band1Vert">
      <w:tblPr/>
      <w:tcPr>
        <w:shd w:val="clear" w:color="D0DFB2" w:themeColor="accent3" w:themeTint="75" w:fill="D0DFB2" w:themeFill="accent3" w:themeFillTint="75"/>
      </w:tcPr>
    </w:tblStylePr>
    <w:tblStylePr w:type="band1Horz">
      <w:tblPr/>
      <w:tcPr>
        <w:shd w:val="clear" w:color="D0DFB2" w:themeColor="accent3" w:themeTint="75" w:fill="D0DFB2" w:themeFill="accent3" w:themeFillTint="75"/>
      </w:tcPr>
    </w:tblStylePr>
  </w:style>
  <w:style w:type="table" w:customStyle="1" w:styleId="GridTable5Dark-Accent4">
    <w:name w:val="Grid Table 5 Dark- Accent 4"/>
    <w:basedOn w:val="a1"/>
    <w:uiPriority w:val="99"/>
    <w:pPr>
      <w:spacing w:after="0" w:line="240" w:lineRule="auto"/>
    </w:pPr>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5DFEC" w:themeColor="accent4" w:themeTint="34" w:fill="E5DFEC" w:themeFill="accent4" w:themeFillTint="34"/>
      <w:tblCellMar>
        <w:top w:w="0" w:type="dxa"/>
        <w:left w:w="108" w:type="dxa"/>
        <w:bottom w:w="0" w:type="dxa"/>
        <w:right w:w="108" w:type="dxa"/>
      </w:tblCellMar>
    </w:tblPr>
    <w:tblStylePr w:type="firstRow">
      <w:rPr>
        <w:rFonts w:ascii="Arial" w:hAnsi="Arial"/>
        <w:b/>
        <w:color w:val="FFFFFF"/>
        <w:sz w:val="22"/>
      </w:rPr>
      <w:tblPr/>
      <w:tcPr>
        <w:shd w:val="clear" w:color="8064A2" w:themeColor="accent4" w:fill="8064A2" w:themeFill="accent4"/>
      </w:tcPr>
    </w:tblStylePr>
    <w:tblStylePr w:type="lastRow">
      <w:rPr>
        <w:rFonts w:ascii="Arial" w:hAnsi="Arial"/>
        <w:b/>
        <w:color w:val="FFFFFF"/>
        <w:sz w:val="22"/>
      </w:rPr>
      <w:tblPr/>
      <w:tcPr>
        <w:tcBorders>
          <w:top w:val="single" w:sz="4" w:space="0" w:color="FFFFFF" w:themeColor="light1"/>
        </w:tcBorders>
        <w:shd w:val="clear" w:color="8064A2" w:themeColor="accent4" w:fill="8064A2" w:themeFill="accent4"/>
      </w:tcPr>
    </w:tblStylePr>
    <w:tblStylePr w:type="firstCol">
      <w:rPr>
        <w:rFonts w:ascii="Arial" w:hAnsi="Arial"/>
        <w:b/>
        <w:color w:val="FFFFFF"/>
        <w:sz w:val="22"/>
      </w:rPr>
      <w:tblPr/>
      <w:tcPr>
        <w:shd w:val="clear" w:color="8064A2" w:themeColor="accent4" w:fill="8064A2" w:themeFill="accent4"/>
      </w:tcPr>
    </w:tblStylePr>
    <w:tblStylePr w:type="lastCol">
      <w:rPr>
        <w:rFonts w:ascii="Arial" w:hAnsi="Arial"/>
        <w:b/>
        <w:color w:val="FFFFFF"/>
        <w:sz w:val="22"/>
      </w:rPr>
      <w:tblPr/>
      <w:tcPr>
        <w:shd w:val="clear" w:color="8064A2" w:themeColor="accent4" w:fill="8064A2" w:themeFill="accent4"/>
      </w:tcPr>
    </w:tblStylePr>
    <w:tblStylePr w:type="band1Vert">
      <w:tblPr/>
      <w:tcPr>
        <w:shd w:val="clear" w:color="C4B7D4" w:themeColor="accent4" w:themeTint="75" w:fill="C4B7D4" w:themeFill="accent4" w:themeFillTint="75"/>
      </w:tcPr>
    </w:tblStylePr>
    <w:tblStylePr w:type="band1Horz">
      <w:tblPr/>
      <w:tcPr>
        <w:shd w:val="clear" w:color="C4B7D4" w:themeColor="accent4" w:themeTint="75" w:fill="C4B7D4" w:themeFill="accent4" w:themeFillTint="75"/>
      </w:tcPr>
    </w:tblStylePr>
  </w:style>
  <w:style w:type="table" w:customStyle="1" w:styleId="GridTable5Dark-Accent5">
    <w:name w:val="Grid Table 5 Dark - Accent 5"/>
    <w:basedOn w:val="a1"/>
    <w:uiPriority w:val="99"/>
    <w:pPr>
      <w:spacing w:after="0" w:line="240" w:lineRule="auto"/>
    </w:pPr>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EF3" w:themeColor="accent5" w:themeTint="34" w:fill="DAEEF3" w:themeFill="accent5" w:themeFillTint="34"/>
      <w:tblCellMar>
        <w:top w:w="0" w:type="dxa"/>
        <w:left w:w="108" w:type="dxa"/>
        <w:bottom w:w="0" w:type="dxa"/>
        <w:right w:w="108" w:type="dxa"/>
      </w:tblCellMar>
    </w:tblPr>
    <w:tblStylePr w:type="firstRow">
      <w:rPr>
        <w:rFonts w:ascii="Arial" w:hAnsi="Arial"/>
        <w:b/>
        <w:color w:val="FFFFFF"/>
        <w:sz w:val="22"/>
      </w:rPr>
      <w:tblPr/>
      <w:tcPr>
        <w:shd w:val="clear" w:color="4BACC6" w:themeColor="accent5" w:fill="4BACC6" w:themeFill="accent5"/>
      </w:tcPr>
    </w:tblStylePr>
    <w:tblStylePr w:type="lastRow">
      <w:rPr>
        <w:rFonts w:ascii="Arial" w:hAnsi="Arial"/>
        <w:b/>
        <w:color w:val="FFFFFF"/>
        <w:sz w:val="22"/>
      </w:rPr>
      <w:tblPr/>
      <w:tcPr>
        <w:tcBorders>
          <w:top w:val="single" w:sz="4" w:space="0" w:color="FFFFFF" w:themeColor="light1"/>
        </w:tcBorders>
        <w:shd w:val="clear" w:color="4BACC6" w:themeColor="accent5" w:fill="4BACC6" w:themeFill="accent5"/>
      </w:tcPr>
    </w:tblStylePr>
    <w:tblStylePr w:type="firstCol">
      <w:rPr>
        <w:rFonts w:ascii="Arial" w:hAnsi="Arial"/>
        <w:b/>
        <w:color w:val="FFFFFF"/>
        <w:sz w:val="22"/>
      </w:rPr>
      <w:tblPr/>
      <w:tcPr>
        <w:shd w:val="clear" w:color="4BACC6" w:themeColor="accent5" w:fill="4BACC6" w:themeFill="accent5"/>
      </w:tcPr>
    </w:tblStylePr>
    <w:tblStylePr w:type="lastCol">
      <w:rPr>
        <w:rFonts w:ascii="Arial" w:hAnsi="Arial"/>
        <w:b/>
        <w:color w:val="FFFFFF"/>
        <w:sz w:val="22"/>
      </w:rPr>
      <w:tblPr/>
      <w:tcPr>
        <w:shd w:val="clear" w:color="4BACC6" w:themeColor="accent5" w:fill="4BACC6" w:themeFill="accent5"/>
      </w:tcPr>
    </w:tblStylePr>
    <w:tblStylePr w:type="band1Vert">
      <w:tblPr/>
      <w:tcPr>
        <w:shd w:val="clear" w:color="ACD8E4" w:themeColor="accent5" w:themeTint="75" w:fill="ACD8E4" w:themeFill="accent5" w:themeFillTint="75"/>
      </w:tcPr>
    </w:tblStylePr>
    <w:tblStylePr w:type="band1Horz">
      <w:tblPr/>
      <w:tcPr>
        <w:shd w:val="clear" w:color="ACD8E4" w:themeColor="accent5" w:themeTint="75" w:fill="ACD8E4" w:themeFill="accent5" w:themeFillTint="75"/>
      </w:tcPr>
    </w:tblStylePr>
  </w:style>
  <w:style w:type="table" w:customStyle="1" w:styleId="GridTable5Dark-Accent6">
    <w:name w:val="Grid Table 5 Dark - Accent 6"/>
    <w:basedOn w:val="a1"/>
    <w:uiPriority w:val="99"/>
    <w:pPr>
      <w:spacing w:after="0" w:line="240" w:lineRule="auto"/>
    </w:pPr>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DE9D8" w:themeColor="accent6" w:themeTint="34" w:fill="FDE9D8" w:themeFill="accent6" w:themeFillTint="34"/>
      <w:tblCellMar>
        <w:top w:w="0" w:type="dxa"/>
        <w:left w:w="108" w:type="dxa"/>
        <w:bottom w:w="0" w:type="dxa"/>
        <w:right w:w="108" w:type="dxa"/>
      </w:tblCellMar>
    </w:tblPr>
    <w:tblStylePr w:type="firstRow">
      <w:rPr>
        <w:rFonts w:ascii="Arial" w:hAnsi="Arial"/>
        <w:b/>
        <w:color w:val="FFFFFF"/>
        <w:sz w:val="22"/>
      </w:rPr>
      <w:tblPr/>
      <w:tcPr>
        <w:shd w:val="clear" w:color="F79646" w:themeColor="accent6" w:fill="F79646" w:themeFill="accent6"/>
      </w:tcPr>
    </w:tblStylePr>
    <w:tblStylePr w:type="lastRow">
      <w:rPr>
        <w:rFonts w:ascii="Arial" w:hAnsi="Arial"/>
        <w:b/>
        <w:color w:val="FFFFFF"/>
        <w:sz w:val="22"/>
      </w:rPr>
      <w:tblPr/>
      <w:tcPr>
        <w:tcBorders>
          <w:top w:val="single" w:sz="4" w:space="0" w:color="FFFFFF" w:themeColor="light1"/>
        </w:tcBorders>
        <w:shd w:val="clear" w:color="F79646" w:themeColor="accent6" w:fill="F79646" w:themeFill="accent6"/>
      </w:tcPr>
    </w:tblStylePr>
    <w:tblStylePr w:type="firstCol">
      <w:rPr>
        <w:rFonts w:ascii="Arial" w:hAnsi="Arial"/>
        <w:b/>
        <w:color w:val="FFFFFF"/>
        <w:sz w:val="22"/>
      </w:rPr>
      <w:tblPr/>
      <w:tcPr>
        <w:shd w:val="clear" w:color="F79646" w:themeColor="accent6" w:fill="F79646" w:themeFill="accent6"/>
      </w:tcPr>
    </w:tblStylePr>
    <w:tblStylePr w:type="lastCol">
      <w:rPr>
        <w:rFonts w:ascii="Arial" w:hAnsi="Arial"/>
        <w:b/>
        <w:color w:val="FFFFFF"/>
        <w:sz w:val="22"/>
      </w:rPr>
      <w:tblPr/>
      <w:tcPr>
        <w:shd w:val="clear" w:color="F79646" w:themeColor="accent6" w:fill="F79646" w:themeFill="accent6"/>
      </w:tcPr>
    </w:tblStylePr>
    <w:tblStylePr w:type="band1Vert">
      <w:tblPr/>
      <w:tcPr>
        <w:shd w:val="clear" w:color="FBCEAA" w:themeColor="accent6" w:themeTint="75" w:fill="FBCEAA" w:themeFill="accent6" w:themeFillTint="75"/>
      </w:tcPr>
    </w:tblStylePr>
    <w:tblStylePr w:type="band1Horz">
      <w:tblPr/>
      <w:tcPr>
        <w:shd w:val="clear" w:color="FBCEAA" w:themeColor="accent6" w:themeTint="75" w:fill="FBCEAA" w:themeFill="accent6" w:themeFillTint="75"/>
      </w:tcPr>
    </w:tblStylePr>
  </w:style>
  <w:style w:type="table" w:customStyle="1" w:styleId="-61">
    <w:name w:val="Таблица-сетка 6 цветная1"/>
    <w:basedOn w:val="a1"/>
    <w:uiPriority w:val="99"/>
    <w:pPr>
      <w:spacing w:after="0" w:line="240" w:lineRule="auto"/>
    </w:pPr>
    <w:tblPr>
      <w:tblStyleRowBandSize w:val="1"/>
      <w:tblStyleColBandSize w:val="1"/>
      <w:tblInd w:w="0"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CellMar>
        <w:top w:w="0" w:type="dxa"/>
        <w:left w:w="108" w:type="dxa"/>
        <w:bottom w:w="0" w:type="dxa"/>
        <w:right w:w="108" w:type="dxa"/>
      </w:tblCellMar>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a1"/>
    <w:uiPriority w:val="99"/>
    <w:pPr>
      <w:spacing w:after="0" w:line="240" w:lineRule="auto"/>
    </w:pPr>
    <w:tblPr>
      <w:tblStyleRowBandSize w:val="1"/>
      <w:tblStyleColBandSize w:val="1"/>
      <w:tblInd w:w="0" w:type="dxa"/>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CellMar>
        <w:top w:w="0" w:type="dxa"/>
        <w:left w:w="108" w:type="dxa"/>
        <w:bottom w:w="0" w:type="dxa"/>
        <w:right w:w="108" w:type="dxa"/>
      </w:tblCellMar>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6Colorful-Accent2">
    <w:name w:val="Grid Table 6 Colorful - Accent 2"/>
    <w:basedOn w:val="a1"/>
    <w:uiPriority w:val="99"/>
    <w:pPr>
      <w:spacing w:after="0" w:line="240" w:lineRule="auto"/>
    </w:pPr>
    <w:tblPr>
      <w:tblStyleRowBandSize w:val="1"/>
      <w:tblStyleColBandSize w:val="1"/>
      <w:tblInd w:w="0" w:type="dxa"/>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CellMar>
        <w:top w:w="0" w:type="dxa"/>
        <w:left w:w="108" w:type="dxa"/>
        <w:bottom w:w="0" w:type="dxa"/>
        <w:right w:w="108" w:type="dxa"/>
      </w:tblCellMar>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6Colorful-Accent3">
    <w:name w:val="Grid Table 6 Colorful - Accent 3"/>
    <w:basedOn w:val="a1"/>
    <w:uiPriority w:val="99"/>
    <w:pPr>
      <w:spacing w:after="0" w:line="240" w:lineRule="auto"/>
    </w:pPr>
    <w:tblPr>
      <w:tblStyleRowBandSize w:val="1"/>
      <w:tblStyleColBandSize w:val="1"/>
      <w:tblInd w:w="0" w:type="dxa"/>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CellMar>
        <w:top w:w="0" w:type="dxa"/>
        <w:left w:w="108" w:type="dxa"/>
        <w:bottom w:w="0" w:type="dxa"/>
        <w:right w:w="108" w:type="dxa"/>
      </w:tblCellMar>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6Colorful-Accent4">
    <w:name w:val="Grid Table 6 Colorful - Accent 4"/>
    <w:basedOn w:val="a1"/>
    <w:uiPriority w:val="99"/>
    <w:pPr>
      <w:spacing w:after="0" w:line="240" w:lineRule="auto"/>
    </w:pPr>
    <w:tblPr>
      <w:tblStyleRowBandSize w:val="1"/>
      <w:tblStyleColBandSize w:val="1"/>
      <w:tblInd w:w="0" w:type="dxa"/>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CellMar>
        <w:top w:w="0" w:type="dxa"/>
        <w:left w:w="108" w:type="dxa"/>
        <w:bottom w:w="0" w:type="dxa"/>
        <w:right w:w="108" w:type="dxa"/>
      </w:tblCellMar>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6Colorful-Accent5">
    <w:name w:val="Grid Table 6 Colorful - Accent 5"/>
    <w:basedOn w:val="a1"/>
    <w:uiPriority w:val="99"/>
    <w:pPr>
      <w:spacing w:after="0" w:line="240" w:lineRule="auto"/>
    </w:pPr>
    <w:tblPr>
      <w:tblStyleRowBandSize w:val="1"/>
      <w:tblStyleColBandSize w:val="1"/>
      <w:tblInd w:w="0" w:type="dxa"/>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CellMar>
        <w:top w:w="0" w:type="dxa"/>
        <w:left w:w="108" w:type="dxa"/>
        <w:bottom w:w="0" w:type="dxa"/>
        <w:right w:w="108" w:type="dxa"/>
      </w:tblCellMar>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6Colorful-Accent6">
    <w:name w:val="Grid Table 6 Colorful - Accent 6"/>
    <w:basedOn w:val="a1"/>
    <w:uiPriority w:val="99"/>
    <w:pPr>
      <w:spacing w:after="0" w:line="240" w:lineRule="auto"/>
    </w:pPr>
    <w:tblPr>
      <w:tblStyleRowBandSize w:val="1"/>
      <w:tblStyleColBandSize w:val="1"/>
      <w:tblInd w:w="0" w:type="dxa"/>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CellMar>
        <w:top w:w="0" w:type="dxa"/>
        <w:left w:w="108" w:type="dxa"/>
        <w:bottom w:w="0" w:type="dxa"/>
        <w:right w:w="108" w:type="dxa"/>
      </w:tblCellMar>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themeColor="accent6" w:themeTint="34" w:fill="FDE9D8" w:themeFill="accent6" w:themeFillTint="34"/>
      </w:tcPr>
    </w:tblStylePr>
    <w:tblStylePr w:type="band1Horz">
      <w:rPr>
        <w:rFonts w:ascii="Arial" w:hAnsi="Arial"/>
        <w:color w:val="266779" w:themeColor="accent5" w:themeShade="95"/>
        <w:sz w:val="22"/>
      </w:rPr>
      <w:tblPr/>
      <w:tcPr>
        <w:shd w:val="clear" w:color="FDE9D8" w:themeColor="accent6" w:themeTint="34" w:fill="FDE9D8" w:themeFill="accent6" w:themeFillTint="34"/>
      </w:tcPr>
    </w:tblStylePr>
    <w:tblStylePr w:type="band2Horz">
      <w:rPr>
        <w:rFonts w:ascii="Arial" w:hAnsi="Arial"/>
        <w:color w:val="266779" w:themeColor="accent5" w:themeShade="95"/>
        <w:sz w:val="22"/>
      </w:rPr>
    </w:tblStylePr>
  </w:style>
  <w:style w:type="table" w:customStyle="1" w:styleId="-71">
    <w:name w:val="Таблица-сетка 7 цветная1"/>
    <w:basedOn w:val="a1"/>
    <w:uiPriority w:val="99"/>
    <w:pPr>
      <w:spacing w:after="0" w:line="240" w:lineRule="auto"/>
    </w:pPr>
    <w:tblPr>
      <w:tblStyleRowBandSize w:val="1"/>
      <w:tblStyleColBandSize w:val="1"/>
      <w:tblInd w:w="0" w:type="dxa"/>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CellMar>
        <w:top w:w="0" w:type="dxa"/>
        <w:left w:w="108" w:type="dxa"/>
        <w:bottom w:w="0" w:type="dxa"/>
        <w:right w:w="108" w:type="dxa"/>
      </w:tblCellMar>
    </w:tblPr>
    <w:tblStylePr w:type="firstRow">
      <w:rPr>
        <w:rFonts w:ascii="Arial" w:hAnsi="Arial"/>
        <w:b/>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a1"/>
    <w:uiPriority w:val="99"/>
    <w:pPr>
      <w:spacing w:after="0" w:line="240" w:lineRule="auto"/>
    </w:pPr>
    <w:tblPr>
      <w:tblStyleRowBandSize w:val="1"/>
      <w:tblStyleColBandSize w:val="1"/>
      <w:tblInd w:w="0" w:type="dxa"/>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CellMar>
        <w:top w:w="0" w:type="dxa"/>
        <w:left w:w="108" w:type="dxa"/>
        <w:bottom w:w="0" w:type="dxa"/>
        <w:right w:w="108" w:type="dxa"/>
      </w:tblCellMar>
    </w:tblPr>
    <w:tblStylePr w:type="firstRow">
      <w:rPr>
        <w:rFonts w:ascii="Arial" w:hAnsi="Arial"/>
        <w:b/>
        <w:color w:val="A6BFDD" w:themeColor="accent1" w:themeTint="80" w:themeShade="95"/>
        <w:sz w:val="22"/>
      </w:rPr>
      <w:tblPr/>
      <w:tcPr>
        <w:tcBorders>
          <w:top w:val="none" w:sz="4" w:space="0" w:color="000000"/>
          <w:left w:val="none" w:sz="4" w:space="0" w:color="000000"/>
          <w:bottom w:val="single" w:sz="4" w:space="0" w:color="A6BFDD" w:themeColor="accent1" w:themeTint="80"/>
          <w:right w:val="none" w:sz="4" w:space="0" w:color="000000"/>
        </w:tcBorders>
        <w:shd w:val="clear" w:color="FFFFFF" w:themeColor="light1"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6BFDD" w:themeColor="accent1" w:themeTint="80" w:themeShade="95"/>
        <w:sz w:val="22"/>
      </w:rPr>
      <w:tblPr/>
      <w:tcPr>
        <w:tcBorders>
          <w:top w:val="none" w:sz="4" w:space="0" w:color="000000"/>
          <w:left w:val="none" w:sz="4" w:space="0" w:color="000000"/>
          <w:bottom w:val="none" w:sz="4" w:space="0" w:color="000000"/>
          <w:right w:val="single" w:sz="4" w:space="0" w:color="A6BFDD" w:themeColor="accent1" w:themeTint="80"/>
        </w:tcBorders>
        <w:shd w:val="clear" w:color="FFFFFF" w:fill="auto"/>
      </w:tcPr>
    </w:tblStylePr>
    <w:tblStylePr w:type="lastCol">
      <w:rPr>
        <w:rFonts w:ascii="Arial" w:hAnsi="Arial"/>
        <w:i/>
        <w:color w:val="A6BFDD" w:themeColor="accent1" w:themeTint="80" w:themeShade="95"/>
        <w:sz w:val="22"/>
      </w:rPr>
      <w:tblPr/>
      <w:tcPr>
        <w:tcBorders>
          <w:top w:val="none" w:sz="4" w:space="0" w:color="000000"/>
          <w:left w:val="single" w:sz="4" w:space="0" w:color="A6BFDD" w:themeColor="accent1" w:themeTint="80"/>
          <w:bottom w:val="none" w:sz="4" w:space="0" w:color="000000"/>
          <w:right w:val="none" w:sz="4" w:space="0" w:color="000000"/>
        </w:tcBorders>
        <w:shd w:val="clear" w:color="FFFFFF" w:fill="auto"/>
      </w:tc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7Colorful-Accent2">
    <w:name w:val="Grid Table 7 Colorful - Accent 2"/>
    <w:basedOn w:val="a1"/>
    <w:uiPriority w:val="99"/>
    <w:pPr>
      <w:spacing w:after="0" w:line="240" w:lineRule="auto"/>
    </w:pPr>
    <w:tblPr>
      <w:tblStyleRowBandSize w:val="1"/>
      <w:tblStyleColBandSize w:val="1"/>
      <w:tblInd w:w="0" w:type="dxa"/>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CellMar>
        <w:top w:w="0" w:type="dxa"/>
        <w:left w:w="108" w:type="dxa"/>
        <w:bottom w:w="0" w:type="dxa"/>
        <w:right w:w="108" w:type="dxa"/>
      </w:tblCellMar>
    </w:tblPr>
    <w:tblStylePr w:type="firstRow">
      <w:rPr>
        <w:rFonts w:ascii="Arial" w:hAnsi="Arial"/>
        <w:b/>
        <w:color w:val="D99695" w:themeColor="accent2" w:themeTint="97" w:themeShade="95"/>
        <w:sz w:val="22"/>
      </w:rPr>
      <w:tblPr/>
      <w:tcPr>
        <w:tcBorders>
          <w:top w:val="none" w:sz="4" w:space="0" w:color="000000"/>
          <w:left w:val="none" w:sz="4" w:space="0" w:color="000000"/>
          <w:bottom w:val="single" w:sz="4" w:space="0" w:color="D99695" w:themeColor="accent2" w:themeTint="97"/>
          <w:right w:val="none" w:sz="4" w:space="0" w:color="000000"/>
        </w:tcBorders>
        <w:shd w:val="clear" w:color="FFFFFF" w:themeColor="light1"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4" w:space="0" w:color="000000"/>
          <w:left w:val="none" w:sz="4" w:space="0" w:color="000000"/>
          <w:bottom w:val="none" w:sz="4" w:space="0" w:color="000000"/>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4" w:space="0" w:color="000000"/>
          <w:left w:val="single" w:sz="4" w:space="0" w:color="D99695" w:themeColor="accent2" w:themeTint="97"/>
          <w:bottom w:val="none" w:sz="4" w:space="0" w:color="000000"/>
          <w:right w:val="none" w:sz="4" w:space="0" w:color="000000"/>
        </w:tcBorders>
        <w:shd w:val="clear" w:color="FFFFFF" w:fill="auto"/>
      </w:tc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7Colorful-Accent3">
    <w:name w:val="Grid Table 7 Colorful - Accent 3"/>
    <w:basedOn w:val="a1"/>
    <w:uiPriority w:val="99"/>
    <w:pPr>
      <w:spacing w:after="0" w:line="240" w:lineRule="auto"/>
    </w:pPr>
    <w:tblPr>
      <w:tblStyleRowBandSize w:val="1"/>
      <w:tblStyleColBandSize w:val="1"/>
      <w:tblInd w:w="0" w:type="dxa"/>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CellMar>
        <w:top w:w="0" w:type="dxa"/>
        <w:left w:w="108" w:type="dxa"/>
        <w:bottom w:w="0" w:type="dxa"/>
        <w:right w:w="108" w:type="dxa"/>
      </w:tblCellMar>
    </w:tblPr>
    <w:tblStylePr w:type="firstRow">
      <w:rPr>
        <w:rFonts w:ascii="Arial" w:hAnsi="Arial"/>
        <w:b/>
        <w:color w:val="9ABB59" w:themeColor="accent3" w:themeTint="FE" w:themeShade="95"/>
        <w:sz w:val="22"/>
      </w:rPr>
      <w:tblPr/>
      <w:tcPr>
        <w:tcBorders>
          <w:top w:val="none" w:sz="4" w:space="0" w:color="000000"/>
          <w:left w:val="none" w:sz="4" w:space="0" w:color="000000"/>
          <w:bottom w:val="single" w:sz="4" w:space="0" w:color="9ABB59" w:themeColor="accent3" w:themeTint="FE"/>
          <w:right w:val="none" w:sz="4" w:space="0" w:color="000000"/>
        </w:tcBorders>
        <w:shd w:val="clear" w:color="FFFFFF" w:themeColor="light1"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9ABB59" w:themeColor="accent3" w:themeTint="FE" w:themeShade="95"/>
        <w:sz w:val="22"/>
      </w:rPr>
      <w:tblPr/>
      <w:tcPr>
        <w:tcBorders>
          <w:top w:val="none" w:sz="4" w:space="0" w:color="000000"/>
          <w:left w:val="none" w:sz="4" w:space="0" w:color="000000"/>
          <w:bottom w:val="none" w:sz="4" w:space="0" w:color="000000"/>
          <w:right w:val="single" w:sz="4" w:space="0" w:color="9ABB59" w:themeColor="accent3" w:themeTint="FE"/>
        </w:tcBorders>
        <w:shd w:val="clear" w:color="FFFFFF" w:fill="auto"/>
      </w:tcPr>
    </w:tblStylePr>
    <w:tblStylePr w:type="lastCol">
      <w:rPr>
        <w:rFonts w:ascii="Arial" w:hAnsi="Arial"/>
        <w:i/>
        <w:color w:val="9ABB59" w:themeColor="accent3" w:themeTint="FE" w:themeShade="95"/>
        <w:sz w:val="22"/>
      </w:rPr>
      <w:tblPr/>
      <w:tcPr>
        <w:tcBorders>
          <w:top w:val="none" w:sz="4" w:space="0" w:color="000000"/>
          <w:left w:val="single" w:sz="4" w:space="0" w:color="9ABB59" w:themeColor="accent3" w:themeTint="FE"/>
          <w:bottom w:val="none" w:sz="4" w:space="0" w:color="000000"/>
          <w:right w:val="none" w:sz="4" w:space="0" w:color="000000"/>
        </w:tcBorders>
        <w:shd w:val="clear" w:color="FFFFFF" w:fill="auto"/>
      </w:tc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7Colorful-Accent4">
    <w:name w:val="Grid Table 7 Colorful - Accent 4"/>
    <w:basedOn w:val="a1"/>
    <w:uiPriority w:val="99"/>
    <w:pPr>
      <w:spacing w:after="0" w:line="240" w:lineRule="auto"/>
    </w:pPr>
    <w:tblPr>
      <w:tblStyleRowBandSize w:val="1"/>
      <w:tblStyleColBandSize w:val="1"/>
      <w:tblInd w:w="0" w:type="dxa"/>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CellMar>
        <w:top w:w="0" w:type="dxa"/>
        <w:left w:w="108" w:type="dxa"/>
        <w:bottom w:w="0" w:type="dxa"/>
        <w:right w:w="108" w:type="dxa"/>
      </w:tblCellMar>
    </w:tblPr>
    <w:tblStylePr w:type="firstRow">
      <w:rPr>
        <w:rFonts w:ascii="Arial" w:hAnsi="Arial"/>
        <w:b/>
        <w:color w:val="B2A1C6" w:themeColor="accent4" w:themeTint="9A" w:themeShade="95"/>
        <w:sz w:val="22"/>
      </w:rPr>
      <w:tblPr/>
      <w:tcPr>
        <w:tcBorders>
          <w:top w:val="none" w:sz="4" w:space="0" w:color="000000"/>
          <w:left w:val="none" w:sz="4" w:space="0" w:color="000000"/>
          <w:bottom w:val="single" w:sz="4" w:space="0" w:color="B2A1C6" w:themeColor="accent4" w:themeTint="9A"/>
          <w:right w:val="none" w:sz="4" w:space="0" w:color="000000"/>
        </w:tcBorders>
        <w:shd w:val="clear" w:color="FFFFFF" w:themeColor="light1"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4" w:space="0" w:color="000000"/>
          <w:left w:val="none" w:sz="4" w:space="0" w:color="000000"/>
          <w:bottom w:val="none" w:sz="4" w:space="0" w:color="000000"/>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4" w:space="0" w:color="000000"/>
          <w:left w:val="single" w:sz="4" w:space="0" w:color="B2A1C6" w:themeColor="accent4" w:themeTint="9A"/>
          <w:bottom w:val="none" w:sz="4" w:space="0" w:color="000000"/>
          <w:right w:val="none" w:sz="4" w:space="0" w:color="000000"/>
        </w:tcBorders>
        <w:shd w:val="clear" w:color="FFFFFF" w:fill="auto"/>
      </w:tc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7Colorful-Accent5">
    <w:name w:val="Grid Table 7 Colorful - Accent 5"/>
    <w:basedOn w:val="a1"/>
    <w:uiPriority w:val="99"/>
    <w:pPr>
      <w:spacing w:after="0" w:line="240" w:lineRule="auto"/>
    </w:pPr>
    <w:tblPr>
      <w:tblStyleRowBandSize w:val="1"/>
      <w:tblStyleColBandSize w:val="1"/>
      <w:tblInd w:w="0" w:type="dxa"/>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CellMar>
        <w:top w:w="0" w:type="dxa"/>
        <w:left w:w="108" w:type="dxa"/>
        <w:bottom w:w="0" w:type="dxa"/>
        <w:right w:w="108" w:type="dxa"/>
      </w:tblCellMar>
    </w:tblPr>
    <w:tblStylePr w:type="firstRow">
      <w:rPr>
        <w:rFonts w:ascii="Arial" w:hAnsi="Arial"/>
        <w:b/>
        <w:color w:val="266779" w:themeColor="accent5" w:themeShade="95"/>
        <w:sz w:val="22"/>
      </w:rPr>
      <w:tblPr/>
      <w:tcPr>
        <w:tcBorders>
          <w:top w:val="none" w:sz="4" w:space="0" w:color="000000"/>
          <w:left w:val="none" w:sz="4" w:space="0" w:color="000000"/>
          <w:bottom w:val="single" w:sz="4" w:space="0" w:color="99D0DE" w:themeColor="accent5" w:themeTint="90"/>
          <w:right w:val="none" w:sz="4" w:space="0" w:color="000000"/>
        </w:tcBorders>
        <w:shd w:val="clear" w:color="FFFFFF" w:themeColor="light1"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66779" w:themeColor="accent5" w:themeShade="95"/>
        <w:sz w:val="22"/>
      </w:rPr>
      <w:tblPr/>
      <w:tcPr>
        <w:tcBorders>
          <w:top w:val="none" w:sz="4" w:space="0" w:color="000000"/>
          <w:left w:val="none" w:sz="4" w:space="0" w:color="000000"/>
          <w:bottom w:val="none" w:sz="4" w:space="0" w:color="000000"/>
          <w:right w:val="single" w:sz="4" w:space="0" w:color="99D0DE" w:themeColor="accent5" w:themeTint="90"/>
        </w:tcBorders>
        <w:shd w:val="clear" w:color="FFFFFF" w:fill="auto"/>
      </w:tcPr>
    </w:tblStylePr>
    <w:tblStylePr w:type="lastCol">
      <w:rPr>
        <w:rFonts w:ascii="Arial" w:hAnsi="Arial"/>
        <w:i/>
        <w:color w:val="266779" w:themeColor="accent5" w:themeShade="95"/>
        <w:sz w:val="22"/>
      </w:rPr>
      <w:tblPr/>
      <w:tcPr>
        <w:tcBorders>
          <w:top w:val="none" w:sz="4" w:space="0" w:color="000000"/>
          <w:left w:val="single" w:sz="4" w:space="0" w:color="99D0DE" w:themeColor="accent5" w:themeTint="90"/>
          <w:bottom w:val="none" w:sz="4" w:space="0" w:color="000000"/>
          <w:right w:val="none" w:sz="4" w:space="0" w:color="000000"/>
        </w:tcBorders>
        <w:shd w:val="clear" w:color="FFFFFF" w:fill="auto"/>
      </w:tc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7Colorful-Accent6">
    <w:name w:val="Grid Table 7 Colorful - Accent 6"/>
    <w:basedOn w:val="a1"/>
    <w:uiPriority w:val="99"/>
    <w:pPr>
      <w:spacing w:after="0" w:line="240" w:lineRule="auto"/>
    </w:pPr>
    <w:tblPr>
      <w:tblStyleRowBandSize w:val="1"/>
      <w:tblStyleColBandSize w:val="1"/>
      <w:tblInd w:w="0" w:type="dxa"/>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CellMar>
        <w:top w:w="0" w:type="dxa"/>
        <w:left w:w="108" w:type="dxa"/>
        <w:bottom w:w="0" w:type="dxa"/>
        <w:right w:w="108" w:type="dxa"/>
      </w:tblCellMar>
    </w:tblPr>
    <w:tblStylePr w:type="firstRow">
      <w:rPr>
        <w:rFonts w:ascii="Arial" w:hAnsi="Arial"/>
        <w:b/>
        <w:color w:val="B15407" w:themeColor="accent6" w:themeShade="95"/>
        <w:sz w:val="22"/>
      </w:rPr>
      <w:tblPr/>
      <w:tcPr>
        <w:tcBorders>
          <w:top w:val="none" w:sz="4" w:space="0" w:color="000000"/>
          <w:left w:val="none" w:sz="4" w:space="0" w:color="000000"/>
          <w:bottom w:val="single" w:sz="4" w:space="0" w:color="FAC396" w:themeColor="accent6" w:themeTint="90"/>
          <w:right w:val="none" w:sz="4" w:space="0" w:color="000000"/>
        </w:tcBorders>
        <w:shd w:val="clear" w:color="FFFFFF" w:themeColor="light1"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15407" w:themeColor="accent6" w:themeShade="95"/>
        <w:sz w:val="22"/>
      </w:rPr>
      <w:tblPr/>
      <w:tcPr>
        <w:tcBorders>
          <w:top w:val="none" w:sz="4" w:space="0" w:color="000000"/>
          <w:left w:val="none" w:sz="4" w:space="0" w:color="000000"/>
          <w:bottom w:val="none" w:sz="4" w:space="0" w:color="000000"/>
          <w:right w:val="single" w:sz="4" w:space="0" w:color="FAC396" w:themeColor="accent6" w:themeTint="90"/>
        </w:tcBorders>
        <w:shd w:val="clear" w:color="FFFFFF" w:fill="auto"/>
      </w:tcPr>
    </w:tblStylePr>
    <w:tblStylePr w:type="lastCol">
      <w:rPr>
        <w:rFonts w:ascii="Arial" w:hAnsi="Arial"/>
        <w:i/>
        <w:color w:val="B15407" w:themeColor="accent6" w:themeShade="95"/>
        <w:sz w:val="22"/>
      </w:rPr>
      <w:tblPr/>
      <w:tcPr>
        <w:tcBorders>
          <w:top w:val="none" w:sz="4" w:space="0" w:color="000000"/>
          <w:left w:val="single" w:sz="4" w:space="0" w:color="FAC396" w:themeColor="accent6" w:themeTint="90"/>
          <w:bottom w:val="none" w:sz="4" w:space="0" w:color="000000"/>
          <w:right w:val="none" w:sz="4" w:space="0" w:color="000000"/>
        </w:tcBorders>
        <w:shd w:val="clear" w:color="FFFFFF" w:fill="auto"/>
      </w:tcPr>
    </w:tblStylePr>
    <w:tblStylePr w:type="band1Vert">
      <w:tblPr/>
      <w:tcPr>
        <w:shd w:val="clear" w:color="FDE9D8" w:themeColor="accent6" w:themeTint="34" w:fill="FDE9D8" w:themeFill="accent6" w:themeFillTint="34"/>
      </w:tcPr>
    </w:tblStylePr>
    <w:tblStylePr w:type="band1Horz">
      <w:rPr>
        <w:rFonts w:ascii="Arial" w:hAnsi="Arial"/>
        <w:color w:val="B15407" w:themeColor="accent6" w:themeShade="95"/>
        <w:sz w:val="22"/>
      </w:rPr>
      <w:tblPr/>
      <w:tcPr>
        <w:shd w:val="clear" w:color="FDE9D8" w:themeColor="accent6" w:themeTint="34" w:fill="FDE9D8" w:themeFill="accent6" w:themeFillTint="34"/>
      </w:tcPr>
    </w:tblStylePr>
    <w:tblStylePr w:type="band2Horz">
      <w:rPr>
        <w:rFonts w:ascii="Arial" w:hAnsi="Arial"/>
        <w:color w:val="B15407" w:themeColor="accent6" w:themeShade="95"/>
        <w:sz w:val="22"/>
      </w:rPr>
    </w:tblStylePr>
  </w:style>
  <w:style w:type="table" w:customStyle="1" w:styleId="-110">
    <w:name w:val="Список-таблица 1 светлая1"/>
    <w:basedOn w:val="a1"/>
    <w:uiPriority w:val="99"/>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a1"/>
    <w:uiPriority w:val="99"/>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themeColor="accent1" w:themeTint="40" w:fill="D2DFEE" w:themeFill="accent1" w:themeFillTint="40"/>
      </w:tcPr>
    </w:tblStylePr>
    <w:tblStylePr w:type="band1Horz">
      <w:tblPr/>
      <w:tcPr>
        <w:shd w:val="clear" w:color="D2DFEE" w:themeColor="accent1" w:themeTint="40" w:fill="D2DFEE" w:themeFill="accent1" w:themeFillTint="40"/>
      </w:tcPr>
    </w:tblStylePr>
  </w:style>
  <w:style w:type="table" w:customStyle="1" w:styleId="ListTable1Light-Accent2">
    <w:name w:val="List Table 1 Light - Accent 2"/>
    <w:basedOn w:val="a1"/>
    <w:uiPriority w:val="99"/>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themeColor="accent2" w:themeTint="40" w:fill="EFD2D2" w:themeFill="accent2" w:themeFillTint="40"/>
      </w:tcPr>
    </w:tblStylePr>
    <w:tblStylePr w:type="band1Horz">
      <w:tblPr/>
      <w:tcPr>
        <w:shd w:val="clear" w:color="EFD2D2" w:themeColor="accent2" w:themeTint="40" w:fill="EFD2D2" w:themeFill="accent2" w:themeFillTint="40"/>
      </w:tcPr>
    </w:tblStylePr>
  </w:style>
  <w:style w:type="table" w:customStyle="1" w:styleId="ListTable1Light-Accent3">
    <w:name w:val="List Table 1 Light - Accent 3"/>
    <w:basedOn w:val="a1"/>
    <w:uiPriority w:val="99"/>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themeColor="accent3" w:themeTint="40" w:fill="E5EED5" w:themeFill="accent3" w:themeFillTint="40"/>
      </w:tcPr>
    </w:tblStylePr>
    <w:tblStylePr w:type="band1Horz">
      <w:tblPr/>
      <w:tcPr>
        <w:shd w:val="clear" w:color="E5EED5" w:themeColor="accent3" w:themeTint="40" w:fill="E5EED5" w:themeFill="accent3" w:themeFillTint="40"/>
      </w:tcPr>
    </w:tblStylePr>
  </w:style>
  <w:style w:type="table" w:customStyle="1" w:styleId="ListTable1Light-Accent4">
    <w:name w:val="List Table 1 Light - Accent 4"/>
    <w:basedOn w:val="a1"/>
    <w:uiPriority w:val="99"/>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themeColor="accent4" w:themeTint="40" w:fill="DFD8E7" w:themeFill="accent4" w:themeFillTint="40"/>
      </w:tcPr>
    </w:tblStylePr>
    <w:tblStylePr w:type="band1Horz">
      <w:tblPr/>
      <w:tcPr>
        <w:shd w:val="clear" w:color="DFD8E7" w:themeColor="accent4" w:themeTint="40" w:fill="DFD8E7" w:themeFill="accent4" w:themeFillTint="40"/>
      </w:tcPr>
    </w:tblStylePr>
  </w:style>
  <w:style w:type="table" w:customStyle="1" w:styleId="ListTable1Light-Accent5">
    <w:name w:val="List Table 1 Light - Accent 5"/>
    <w:basedOn w:val="a1"/>
    <w:uiPriority w:val="99"/>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themeColor="accent5" w:themeTint="40" w:fill="D1EAF0" w:themeFill="accent5" w:themeFillTint="40"/>
      </w:tcPr>
    </w:tblStylePr>
    <w:tblStylePr w:type="band1Horz">
      <w:tblPr/>
      <w:tcPr>
        <w:shd w:val="clear" w:color="D1EAF0" w:themeColor="accent5" w:themeTint="40" w:fill="D1EAF0" w:themeFill="accent5" w:themeFillTint="40"/>
      </w:tcPr>
    </w:tblStylePr>
  </w:style>
  <w:style w:type="table" w:customStyle="1" w:styleId="ListTable1Light-Accent6">
    <w:name w:val="List Table 1 Light - Accent 6"/>
    <w:basedOn w:val="a1"/>
    <w:uiPriority w:val="99"/>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themeColor="accent6" w:themeTint="40" w:fill="FDE4D0" w:themeFill="accent6" w:themeFillTint="40"/>
      </w:tcPr>
    </w:tblStylePr>
    <w:tblStylePr w:type="band1Horz">
      <w:tblPr/>
      <w:tcPr>
        <w:shd w:val="clear" w:color="FDE4D0" w:themeColor="accent6" w:themeTint="40" w:fill="FDE4D0" w:themeFill="accent6" w:themeFillTint="40"/>
      </w:tcPr>
    </w:tblStylePr>
  </w:style>
  <w:style w:type="table" w:customStyle="1" w:styleId="-210">
    <w:name w:val="Список-таблица 21"/>
    <w:basedOn w:val="a1"/>
    <w:uiPriority w:val="99"/>
    <w:pPr>
      <w:spacing w:after="0" w:line="240" w:lineRule="auto"/>
    </w:pPr>
    <w:tblPr>
      <w:tblStyleRowBandSize w:val="1"/>
      <w:tblStyleColBandSize w:val="1"/>
      <w:tblInd w:w="0" w:type="dxa"/>
      <w:tblBorders>
        <w:top w:val="single" w:sz="4" w:space="0" w:color="6F6F6F" w:themeColor="text1" w:themeTint="90"/>
        <w:bottom w:val="single" w:sz="4" w:space="0" w:color="6F6F6F" w:themeColor="text1" w:themeTint="90"/>
        <w:insideH w:val="single" w:sz="4" w:space="0" w:color="6F6F6F" w:themeColor="text1" w:themeTint="90"/>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a1"/>
    <w:uiPriority w:val="99"/>
    <w:pPr>
      <w:spacing w:after="0" w:line="240" w:lineRule="auto"/>
    </w:pPr>
    <w:tblPr>
      <w:tblStyleRowBandSize w:val="1"/>
      <w:tblStyleColBandSize w:val="1"/>
      <w:tblInd w:w="0" w:type="dxa"/>
      <w:tblBorders>
        <w:top w:val="single" w:sz="4" w:space="0" w:color="9BB7D9" w:themeColor="accent1" w:themeTint="90"/>
        <w:bottom w:val="single" w:sz="4" w:space="0" w:color="9BB7D9" w:themeColor="accent1" w:themeTint="90"/>
        <w:insideH w:val="single" w:sz="4" w:space="0" w:color="9BB7D9" w:themeColor="accent1" w:themeTint="90"/>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2-Accent2">
    <w:name w:val="List Table 2 - Accent 2"/>
    <w:basedOn w:val="a1"/>
    <w:uiPriority w:val="99"/>
    <w:pPr>
      <w:spacing w:after="0" w:line="240" w:lineRule="auto"/>
    </w:pPr>
    <w:tblPr>
      <w:tblStyleRowBandSize w:val="1"/>
      <w:tblStyleColBandSize w:val="1"/>
      <w:tblInd w:w="0" w:type="dxa"/>
      <w:tblBorders>
        <w:top w:val="single" w:sz="4" w:space="0" w:color="DB9B9A" w:themeColor="accent2" w:themeTint="90"/>
        <w:bottom w:val="single" w:sz="4" w:space="0" w:color="DB9B9A" w:themeColor="accent2" w:themeTint="90"/>
        <w:insideH w:val="single" w:sz="4" w:space="0" w:color="DB9B9A" w:themeColor="accent2" w:themeTint="90"/>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2-Accent3">
    <w:name w:val="List Table 2 - Accent 3"/>
    <w:basedOn w:val="a1"/>
    <w:uiPriority w:val="99"/>
    <w:pPr>
      <w:spacing w:after="0" w:line="240" w:lineRule="auto"/>
    </w:pPr>
    <w:tblPr>
      <w:tblStyleRowBandSize w:val="1"/>
      <w:tblStyleColBandSize w:val="1"/>
      <w:tblInd w:w="0" w:type="dxa"/>
      <w:tblBorders>
        <w:top w:val="single" w:sz="4" w:space="0" w:color="C6D8A1" w:themeColor="accent3" w:themeTint="90"/>
        <w:bottom w:val="single" w:sz="4" w:space="0" w:color="C6D8A1" w:themeColor="accent3" w:themeTint="90"/>
        <w:insideH w:val="single" w:sz="4" w:space="0" w:color="C6D8A1" w:themeColor="accent3" w:themeTint="90"/>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2-Accent4">
    <w:name w:val="List Table 2 - Accent 4"/>
    <w:basedOn w:val="a1"/>
    <w:uiPriority w:val="99"/>
    <w:pPr>
      <w:spacing w:after="0" w:line="240" w:lineRule="auto"/>
    </w:pPr>
    <w:tblPr>
      <w:tblStyleRowBandSize w:val="1"/>
      <w:tblStyleColBandSize w:val="1"/>
      <w:tblInd w:w="0" w:type="dxa"/>
      <w:tblBorders>
        <w:top w:val="single" w:sz="4" w:space="0" w:color="B7A7CA" w:themeColor="accent4" w:themeTint="90"/>
        <w:bottom w:val="single" w:sz="4" w:space="0" w:color="B7A7CA" w:themeColor="accent4" w:themeTint="90"/>
        <w:insideH w:val="single" w:sz="4" w:space="0" w:color="B7A7CA" w:themeColor="accent4" w:themeTint="90"/>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2-Accent5">
    <w:name w:val="List Table 2 - Accent 5"/>
    <w:basedOn w:val="a1"/>
    <w:uiPriority w:val="99"/>
    <w:pPr>
      <w:spacing w:after="0" w:line="240" w:lineRule="auto"/>
    </w:pPr>
    <w:tblPr>
      <w:tblStyleRowBandSize w:val="1"/>
      <w:tblStyleColBandSize w:val="1"/>
      <w:tblInd w:w="0" w:type="dxa"/>
      <w:tblBorders>
        <w:top w:val="single" w:sz="4" w:space="0" w:color="99D0DE" w:themeColor="accent5" w:themeTint="90"/>
        <w:bottom w:val="single" w:sz="4" w:space="0" w:color="99D0DE" w:themeColor="accent5" w:themeTint="90"/>
        <w:insideH w:val="single" w:sz="4" w:space="0" w:color="99D0DE" w:themeColor="accent5" w:themeTint="90"/>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2-Accent6">
    <w:name w:val="List Table 2 - Accent 6"/>
    <w:basedOn w:val="a1"/>
    <w:uiPriority w:val="99"/>
    <w:pPr>
      <w:spacing w:after="0" w:line="240" w:lineRule="auto"/>
    </w:pPr>
    <w:tblPr>
      <w:tblStyleRowBandSize w:val="1"/>
      <w:tblStyleColBandSize w:val="1"/>
      <w:tblInd w:w="0" w:type="dxa"/>
      <w:tblBorders>
        <w:top w:val="single" w:sz="4" w:space="0" w:color="FAC396" w:themeColor="accent6" w:themeTint="90"/>
        <w:bottom w:val="single" w:sz="4" w:space="0" w:color="FAC396" w:themeColor="accent6" w:themeTint="90"/>
        <w:insideH w:val="single" w:sz="4" w:space="0" w:color="FAC396" w:themeColor="accent6" w:themeTint="90"/>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customStyle="1" w:styleId="-310">
    <w:name w:val="Список-таблица 31"/>
    <w:basedOn w:val="a1"/>
    <w:uiPriority w:val="99"/>
    <w:pPr>
      <w:spacing w:after="0" w:line="240" w:lineRule="auto"/>
    </w:pPr>
    <w:tblPr>
      <w:tblStyleRowBandSize w:val="1"/>
      <w:tblStyleColBandSize w:val="1"/>
      <w:tblInd w:w="0" w:type="dxa"/>
      <w:tblBorders>
        <w:top w:val="single" w:sz="4" w:space="0" w:color="000000" w:themeColor="text1"/>
        <w:left w:val="single" w:sz="4" w:space="0" w:color="000000" w:themeColor="text1"/>
        <w:bottom w:val="single" w:sz="4" w:space="0" w:color="000000" w:themeColor="text1"/>
        <w:right w:val="single" w:sz="4" w:space="0" w:color="000000" w:themeColor="text1"/>
      </w:tblBorders>
      <w:tblCellMar>
        <w:top w:w="0" w:type="dxa"/>
        <w:left w:w="108" w:type="dxa"/>
        <w:bottom w:w="0" w:type="dxa"/>
        <w:right w:w="108" w:type="dxa"/>
      </w:tblCellMar>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a1"/>
    <w:uiPriority w:val="99"/>
    <w:pPr>
      <w:spacing w:after="0" w:line="240" w:lineRule="auto"/>
    </w:pPr>
    <w:tblPr>
      <w:tblStyleRowBandSize w:val="1"/>
      <w:tblStyleColBandSize w:val="1"/>
      <w:tblInd w:w="0" w:type="dxa"/>
      <w:tblBorders>
        <w:top w:val="single" w:sz="4" w:space="0" w:color="4F81BD" w:themeColor="accent1"/>
        <w:left w:val="single" w:sz="4" w:space="0" w:color="4F81BD" w:themeColor="accent1"/>
        <w:bottom w:val="single" w:sz="4" w:space="0" w:color="4F81BD" w:themeColor="accent1"/>
        <w:right w:val="single" w:sz="4" w:space="0" w:color="4F81BD" w:themeColor="accent1"/>
      </w:tblBorders>
      <w:tblCellMar>
        <w:top w:w="0" w:type="dxa"/>
        <w:left w:w="108" w:type="dxa"/>
        <w:bottom w:w="0" w:type="dxa"/>
        <w:right w:w="108" w:type="dxa"/>
      </w:tblCellMar>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customStyle="1" w:styleId="ListTable3-Accent2">
    <w:name w:val="List Table 3 - Accent 2"/>
    <w:basedOn w:val="a1"/>
    <w:uiPriority w:val="99"/>
    <w:pPr>
      <w:spacing w:after="0" w:line="240" w:lineRule="auto"/>
    </w:pPr>
    <w:tblPr>
      <w:tblStyleRowBandSize w:val="1"/>
      <w:tblStyleColBandSize w:val="1"/>
      <w:tblInd w:w="0" w:type="dxa"/>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CellMar>
        <w:top w:w="0" w:type="dxa"/>
        <w:left w:w="108" w:type="dxa"/>
        <w:bottom w:w="0" w:type="dxa"/>
        <w:right w:w="108" w:type="dxa"/>
      </w:tblCellMar>
    </w:tblPr>
    <w:tblStylePr w:type="firstRow">
      <w:rPr>
        <w:rFonts w:ascii="Arial" w:hAnsi="Arial"/>
        <w:b/>
        <w:color w:val="FFFFFF"/>
        <w:sz w:val="22"/>
      </w:rPr>
      <w:tblPr/>
      <w:tcPr>
        <w:shd w:val="clear" w:color="D99695" w:themeColor="accent2" w:themeTint="97"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customStyle="1" w:styleId="ListTable3-Accent3">
    <w:name w:val="List Table 3 - Accent 3"/>
    <w:basedOn w:val="a1"/>
    <w:uiPriority w:val="99"/>
    <w:pPr>
      <w:spacing w:after="0" w:line="240" w:lineRule="auto"/>
    </w:pPr>
    <w:tblPr>
      <w:tblStyleRowBandSize w:val="1"/>
      <w:tblStyleColBandSize w:val="1"/>
      <w:tblInd w:w="0" w:type="dxa"/>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CellMar>
        <w:top w:w="0" w:type="dxa"/>
        <w:left w:w="108" w:type="dxa"/>
        <w:bottom w:w="0" w:type="dxa"/>
        <w:right w:w="108" w:type="dxa"/>
      </w:tblCellMar>
    </w:tblPr>
    <w:tblStylePr w:type="firstRow">
      <w:rPr>
        <w:rFonts w:ascii="Arial" w:hAnsi="Arial"/>
        <w:b/>
        <w:color w:val="FFFFFF"/>
        <w:sz w:val="22"/>
      </w:rPr>
      <w:tblPr/>
      <w:tcPr>
        <w:shd w:val="clear" w:color="C3D69B" w:themeColor="accent3" w:themeTint="98"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customStyle="1" w:styleId="ListTable3-Accent4">
    <w:name w:val="List Table 3 - Accent 4"/>
    <w:basedOn w:val="a1"/>
    <w:uiPriority w:val="99"/>
    <w:pPr>
      <w:spacing w:after="0" w:line="240" w:lineRule="auto"/>
    </w:pPr>
    <w:tblPr>
      <w:tblStyleRowBandSize w:val="1"/>
      <w:tblStyleColBandSize w:val="1"/>
      <w:tblInd w:w="0" w:type="dxa"/>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CellMar>
        <w:top w:w="0" w:type="dxa"/>
        <w:left w:w="108" w:type="dxa"/>
        <w:bottom w:w="0" w:type="dxa"/>
        <w:right w:w="108" w:type="dxa"/>
      </w:tblCellMar>
    </w:tblPr>
    <w:tblStylePr w:type="firstRow">
      <w:rPr>
        <w:rFonts w:ascii="Arial" w:hAnsi="Arial"/>
        <w:b/>
        <w:color w:val="FFFFFF"/>
        <w:sz w:val="22"/>
      </w:rPr>
      <w:tblPr/>
      <w:tcPr>
        <w:shd w:val="clear" w:color="B2A1C6" w:themeColor="accent4" w:themeTint="9A"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customStyle="1" w:styleId="ListTable3-Accent5">
    <w:name w:val="List Table 3 - Accent 5"/>
    <w:basedOn w:val="a1"/>
    <w:uiPriority w:val="99"/>
    <w:pPr>
      <w:spacing w:after="0" w:line="240" w:lineRule="auto"/>
    </w:pPr>
    <w:tblPr>
      <w:tblStyleRowBandSize w:val="1"/>
      <w:tblStyleColBandSize w:val="1"/>
      <w:tblInd w:w="0" w:type="dxa"/>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CellMar>
        <w:top w:w="0" w:type="dxa"/>
        <w:left w:w="108" w:type="dxa"/>
        <w:bottom w:w="0" w:type="dxa"/>
        <w:right w:w="108" w:type="dxa"/>
      </w:tblCellMar>
    </w:tblPr>
    <w:tblStylePr w:type="firstRow">
      <w:rPr>
        <w:rFonts w:ascii="Arial" w:hAnsi="Arial"/>
        <w:b/>
        <w:color w:val="FFFFFF"/>
        <w:sz w:val="22"/>
      </w:rPr>
      <w:tblPr/>
      <w:tcPr>
        <w:shd w:val="clear" w:color="92CCDC" w:themeColor="accent5" w:themeTint="9A"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customStyle="1" w:styleId="ListTable3-Accent6">
    <w:name w:val="List Table 3 - Accent 6"/>
    <w:basedOn w:val="a1"/>
    <w:uiPriority w:val="99"/>
    <w:pPr>
      <w:spacing w:after="0" w:line="240" w:lineRule="auto"/>
    </w:pPr>
    <w:tblPr>
      <w:tblStyleRowBandSize w:val="1"/>
      <w:tblStyleColBandSize w:val="1"/>
      <w:tblInd w:w="0" w:type="dxa"/>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CellMar>
        <w:top w:w="0" w:type="dxa"/>
        <w:left w:w="108" w:type="dxa"/>
        <w:bottom w:w="0" w:type="dxa"/>
        <w:right w:w="108" w:type="dxa"/>
      </w:tblCellMar>
    </w:tblPr>
    <w:tblStylePr w:type="firstRow">
      <w:rPr>
        <w:rFonts w:ascii="Arial" w:hAnsi="Arial"/>
        <w:b/>
        <w:color w:val="FFFFFF"/>
        <w:sz w:val="22"/>
      </w:rPr>
      <w:tblPr/>
      <w:tcPr>
        <w:shd w:val="clear" w:color="FAC090" w:themeColor="accent6" w:themeTint="98"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customStyle="1" w:styleId="-410">
    <w:name w:val="Список-таблица 41"/>
    <w:basedOn w:val="a1"/>
    <w:uiPriority w:val="99"/>
    <w:pPr>
      <w:spacing w:after="0" w:line="240" w:lineRule="auto"/>
    </w:pPr>
    <w:tblPr>
      <w:tblStyleRowBandSize w:val="1"/>
      <w:tblStyleColBandSize w:val="1"/>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CellMar>
        <w:top w:w="0" w:type="dxa"/>
        <w:left w:w="108" w:type="dxa"/>
        <w:bottom w:w="0" w:type="dxa"/>
        <w:right w:w="108" w:type="dxa"/>
      </w:tblCellMar>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a1"/>
    <w:uiPriority w:val="99"/>
    <w:pPr>
      <w:spacing w:after="0" w:line="240" w:lineRule="auto"/>
    </w:pPr>
    <w:tblPr>
      <w:tblStyleRowBandSize w:val="1"/>
      <w:tblStyleColBandSize w:val="1"/>
      <w:tblInd w:w="0" w:type="dxa"/>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CellMar>
        <w:top w:w="0" w:type="dxa"/>
        <w:left w:w="108" w:type="dxa"/>
        <w:bottom w:w="0" w:type="dxa"/>
        <w:right w:w="108" w:type="dxa"/>
      </w:tblCellMar>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4-Accent2">
    <w:name w:val="List Table 4 - Accent 2"/>
    <w:basedOn w:val="a1"/>
    <w:uiPriority w:val="99"/>
    <w:pPr>
      <w:spacing w:after="0" w:line="240" w:lineRule="auto"/>
    </w:pPr>
    <w:tblPr>
      <w:tblStyleRowBandSize w:val="1"/>
      <w:tblStyleColBandSize w:val="1"/>
      <w:tblInd w:w="0" w:type="dxa"/>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CellMar>
        <w:top w:w="0" w:type="dxa"/>
        <w:left w:w="108" w:type="dxa"/>
        <w:bottom w:w="0" w:type="dxa"/>
        <w:right w:w="108" w:type="dxa"/>
      </w:tblCellMar>
    </w:tblPr>
    <w:tblStylePr w:type="firstRow">
      <w:rPr>
        <w:rFonts w:ascii="Arial" w:hAnsi="Arial"/>
        <w:b/>
        <w:color w:val="FFFFFF"/>
        <w:sz w:val="22"/>
      </w:rPr>
      <w:tblPr/>
      <w:tcPr>
        <w:shd w:val="clear" w:color="C0504D" w:themeColor="accent2"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4-Accent3">
    <w:name w:val="List Table 4 - Accent 3"/>
    <w:basedOn w:val="a1"/>
    <w:uiPriority w:val="99"/>
    <w:pPr>
      <w:spacing w:after="0" w:line="240" w:lineRule="auto"/>
    </w:pPr>
    <w:tblPr>
      <w:tblStyleRowBandSize w:val="1"/>
      <w:tblStyleColBandSize w:val="1"/>
      <w:tblInd w:w="0" w:type="dxa"/>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CellMar>
        <w:top w:w="0" w:type="dxa"/>
        <w:left w:w="108" w:type="dxa"/>
        <w:bottom w:w="0" w:type="dxa"/>
        <w:right w:w="108" w:type="dxa"/>
      </w:tblCellMar>
    </w:tblPr>
    <w:tblStylePr w:type="firstRow">
      <w:rPr>
        <w:rFonts w:ascii="Arial" w:hAnsi="Arial"/>
        <w:b/>
        <w:color w:val="FFFFFF"/>
        <w:sz w:val="22"/>
      </w:rPr>
      <w:tblPr/>
      <w:tcPr>
        <w:shd w:val="clear" w:color="9BBB59" w:themeColor="accent3"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4-Accent4">
    <w:name w:val="List Table 4 - Accent 4"/>
    <w:basedOn w:val="a1"/>
    <w:uiPriority w:val="99"/>
    <w:pPr>
      <w:spacing w:after="0" w:line="240" w:lineRule="auto"/>
    </w:pPr>
    <w:tblPr>
      <w:tblStyleRowBandSize w:val="1"/>
      <w:tblStyleColBandSize w:val="1"/>
      <w:tblInd w:w="0" w:type="dxa"/>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CellMar>
        <w:top w:w="0" w:type="dxa"/>
        <w:left w:w="108" w:type="dxa"/>
        <w:bottom w:w="0" w:type="dxa"/>
        <w:right w:w="108" w:type="dxa"/>
      </w:tblCellMar>
    </w:tblPr>
    <w:tblStylePr w:type="firstRow">
      <w:rPr>
        <w:rFonts w:ascii="Arial" w:hAnsi="Arial"/>
        <w:b/>
        <w:color w:val="FFFFFF"/>
        <w:sz w:val="22"/>
      </w:rPr>
      <w:tblPr/>
      <w:tcPr>
        <w:shd w:val="clear" w:color="8064A2" w:themeColor="accent4"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4-Accent5">
    <w:name w:val="List Table 4 - Accent 5"/>
    <w:basedOn w:val="a1"/>
    <w:uiPriority w:val="99"/>
    <w:pPr>
      <w:spacing w:after="0" w:line="240" w:lineRule="auto"/>
    </w:pPr>
    <w:tblPr>
      <w:tblStyleRowBandSize w:val="1"/>
      <w:tblStyleColBandSize w:val="1"/>
      <w:tblInd w:w="0" w:type="dxa"/>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CellMar>
        <w:top w:w="0" w:type="dxa"/>
        <w:left w:w="108" w:type="dxa"/>
        <w:bottom w:w="0" w:type="dxa"/>
        <w:right w:w="108" w:type="dxa"/>
      </w:tblCellMar>
    </w:tblPr>
    <w:tblStylePr w:type="firstRow">
      <w:rPr>
        <w:rFonts w:ascii="Arial" w:hAnsi="Arial"/>
        <w:b/>
        <w:color w:val="FFFFFF"/>
        <w:sz w:val="22"/>
      </w:rPr>
      <w:tblPr/>
      <w:tcPr>
        <w:shd w:val="clear" w:color="4BACC6" w:themeColor="accent5"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4-Accent6">
    <w:name w:val="List Table 4 - Accent 6"/>
    <w:basedOn w:val="a1"/>
    <w:uiPriority w:val="99"/>
    <w:pPr>
      <w:spacing w:after="0" w:line="240" w:lineRule="auto"/>
    </w:pPr>
    <w:tblPr>
      <w:tblStyleRowBandSize w:val="1"/>
      <w:tblStyleColBandSize w:val="1"/>
      <w:tblInd w:w="0" w:type="dxa"/>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CellMar>
        <w:top w:w="0" w:type="dxa"/>
        <w:left w:w="108" w:type="dxa"/>
        <w:bottom w:w="0" w:type="dxa"/>
        <w:right w:w="108" w:type="dxa"/>
      </w:tblCellMar>
    </w:tblPr>
    <w:tblStylePr w:type="firstRow">
      <w:rPr>
        <w:rFonts w:ascii="Arial" w:hAnsi="Arial"/>
        <w:b/>
        <w:color w:val="FFFFFF"/>
        <w:sz w:val="22"/>
      </w:rPr>
      <w:tblPr/>
      <w:tcPr>
        <w:shd w:val="clear" w:color="F79646" w:themeColor="accent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customStyle="1" w:styleId="-510">
    <w:name w:val="Список-таблица 5 темная1"/>
    <w:basedOn w:val="a1"/>
    <w:uiPriority w:val="99"/>
    <w:pPr>
      <w:spacing w:after="0" w:line="240" w:lineRule="auto"/>
    </w:pPr>
    <w:tblPr>
      <w:tblStyleRowBandSize w:val="1"/>
      <w:tblStyleColBandSize w:val="1"/>
      <w:tblInd w:w="0" w:type="dxa"/>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CellMar>
        <w:top w:w="0" w:type="dxa"/>
        <w:left w:w="108" w:type="dxa"/>
        <w:bottom w:w="0" w:type="dxa"/>
        <w:right w:w="108" w:type="dxa"/>
      </w:tblCellMar>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a1"/>
    <w:uiPriority w:val="99"/>
    <w:pPr>
      <w:spacing w:after="0" w:line="240" w:lineRule="auto"/>
    </w:pPr>
    <w:tblPr>
      <w:tblStyleRowBandSize w:val="1"/>
      <w:tblStyleColBandSize w:val="1"/>
      <w:tblInd w:w="0" w:type="dxa"/>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4F81BD" w:themeColor="accent1" w:fill="4F81BD" w:themeFill="accent1"/>
      <w:tblCellMar>
        <w:top w:w="0" w:type="dxa"/>
        <w:left w:w="108" w:type="dxa"/>
        <w:bottom w:w="0" w:type="dxa"/>
        <w:right w:w="108" w:type="dxa"/>
      </w:tblCellMar>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themeColor="accent1"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themeColor="accent1"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themeColor="accent1" w:fill="4F81BD" w:themeFill="accent1"/>
      </w:tcPr>
    </w:tblStylePr>
    <w:tblStylePr w:type="band2Horz">
      <w:tblPr/>
      <w:tcPr>
        <w:tcBorders>
          <w:top w:val="single" w:sz="4" w:space="0" w:color="FFFFFF" w:themeColor="light1"/>
          <w:bottom w:val="single" w:sz="4" w:space="0" w:color="FFFFFF" w:themeColor="light1"/>
        </w:tcBorders>
        <w:shd w:val="clear" w:color="4F81BD" w:themeColor="accent1" w:fill="4F81BD" w:themeFill="accent1"/>
      </w:tcPr>
    </w:tblStylePr>
  </w:style>
  <w:style w:type="table" w:customStyle="1" w:styleId="ListTable5Dark-Accent2">
    <w:name w:val="List Table 5 Dark - Accent 2"/>
    <w:basedOn w:val="a1"/>
    <w:uiPriority w:val="99"/>
    <w:pPr>
      <w:spacing w:after="0" w:line="240" w:lineRule="auto"/>
    </w:pPr>
    <w:tblPr>
      <w:tblStyleRowBandSize w:val="1"/>
      <w:tblStyleColBandSize w:val="1"/>
      <w:tblInd w:w="0" w:type="dxa"/>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D99695" w:themeColor="accent2" w:themeTint="97" w:fill="D99695" w:themeFill="accent2" w:themeFillTint="97"/>
      <w:tblCellMar>
        <w:top w:w="0" w:type="dxa"/>
        <w:left w:w="108" w:type="dxa"/>
        <w:bottom w:w="0" w:type="dxa"/>
        <w:right w:w="108" w:type="dxa"/>
      </w:tblCellMar>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themeColor="accent2" w:themeTint="97"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themeColor="accent2" w:themeTint="97"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style>
  <w:style w:type="table" w:customStyle="1" w:styleId="ListTable5Dark-Accent3">
    <w:name w:val="List Table 5 Dark - Accent 3"/>
    <w:basedOn w:val="a1"/>
    <w:uiPriority w:val="99"/>
    <w:pPr>
      <w:spacing w:after="0" w:line="240" w:lineRule="auto"/>
    </w:pPr>
    <w:tblPr>
      <w:tblStyleRowBandSize w:val="1"/>
      <w:tblStyleColBandSize w:val="1"/>
      <w:tblInd w:w="0" w:type="dxa"/>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C3D69B" w:themeColor="accent3" w:themeTint="98" w:fill="C3D69B" w:themeFill="accent3" w:themeFillTint="98"/>
      <w:tblCellMar>
        <w:top w:w="0" w:type="dxa"/>
        <w:left w:w="108" w:type="dxa"/>
        <w:bottom w:w="0" w:type="dxa"/>
        <w:right w:w="108" w:type="dxa"/>
      </w:tblCellMar>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themeColor="accent3" w:themeTint="98"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themeColor="accent3" w:themeTint="98"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style>
  <w:style w:type="table" w:customStyle="1" w:styleId="ListTable5Dark-Accent4">
    <w:name w:val="List Table 5 Dark - Accent 4"/>
    <w:basedOn w:val="a1"/>
    <w:uiPriority w:val="99"/>
    <w:pPr>
      <w:spacing w:after="0" w:line="240" w:lineRule="auto"/>
    </w:pPr>
    <w:tblPr>
      <w:tblStyleRowBandSize w:val="1"/>
      <w:tblStyleColBandSize w:val="1"/>
      <w:tblInd w:w="0" w:type="dxa"/>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B2A1C6" w:themeColor="accent4" w:themeTint="9A" w:fill="B2A1C6" w:themeFill="accent4" w:themeFillTint="9A"/>
      <w:tblCellMar>
        <w:top w:w="0" w:type="dxa"/>
        <w:left w:w="108" w:type="dxa"/>
        <w:bottom w:w="0" w:type="dxa"/>
        <w:right w:w="108" w:type="dxa"/>
      </w:tblCellMar>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themeColor="accent4" w:themeTint="9A"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themeColor="accent4" w:themeTint="9A"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style>
  <w:style w:type="table" w:customStyle="1" w:styleId="ListTable5Dark-Accent5">
    <w:name w:val="List Table 5 Dark - Accent 5"/>
    <w:basedOn w:val="a1"/>
    <w:uiPriority w:val="99"/>
    <w:pPr>
      <w:spacing w:after="0" w:line="240" w:lineRule="auto"/>
    </w:pPr>
    <w:tblPr>
      <w:tblStyleRowBandSize w:val="1"/>
      <w:tblStyleColBandSize w:val="1"/>
      <w:tblInd w:w="0" w:type="dxa"/>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92CCDC" w:themeColor="accent5" w:themeTint="9A" w:fill="92CCDC" w:themeFill="accent5" w:themeFillTint="9A"/>
      <w:tblCellMar>
        <w:top w:w="0" w:type="dxa"/>
        <w:left w:w="108" w:type="dxa"/>
        <w:bottom w:w="0" w:type="dxa"/>
        <w:right w:w="108" w:type="dxa"/>
      </w:tblCellMar>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themeColor="accent5" w:themeTint="9A"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themeColor="accent5" w:themeTint="9A"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style>
  <w:style w:type="table" w:customStyle="1" w:styleId="ListTable5Dark-Accent6">
    <w:name w:val="List Table 5 Dark - Accent 6"/>
    <w:basedOn w:val="a1"/>
    <w:uiPriority w:val="99"/>
    <w:pPr>
      <w:spacing w:after="0" w:line="240" w:lineRule="auto"/>
    </w:pPr>
    <w:tblPr>
      <w:tblStyleRowBandSize w:val="1"/>
      <w:tblStyleColBandSize w:val="1"/>
      <w:tblInd w:w="0" w:type="dxa"/>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AC090" w:themeColor="accent6" w:themeTint="98" w:fill="FAC090" w:themeFill="accent6" w:themeFillTint="98"/>
      <w:tblCellMar>
        <w:top w:w="0" w:type="dxa"/>
        <w:left w:w="108" w:type="dxa"/>
        <w:bottom w:w="0" w:type="dxa"/>
        <w:right w:w="108" w:type="dxa"/>
      </w:tblCellMar>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themeColor="accent6" w:themeTint="98"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themeColor="accent6" w:themeTint="98"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style>
  <w:style w:type="table" w:customStyle="1" w:styleId="-610">
    <w:name w:val="Список-таблица 6 цветная1"/>
    <w:basedOn w:val="a1"/>
    <w:uiPriority w:val="99"/>
    <w:pPr>
      <w:spacing w:after="0" w:line="240" w:lineRule="auto"/>
    </w:pPr>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a1"/>
    <w:uiPriority w:val="99"/>
    <w:pPr>
      <w:spacing w:after="0" w:line="240" w:lineRule="auto"/>
    </w:pPr>
    <w:tblPr>
      <w:tblStyleRowBandSize w:val="1"/>
      <w:tblStyleColBandSize w:val="1"/>
      <w:tblInd w:w="0" w:type="dxa"/>
      <w:tblBorders>
        <w:top w:val="single" w:sz="4" w:space="0" w:color="4F81BD" w:themeColor="accent1"/>
        <w:bottom w:val="single" w:sz="4" w:space="0" w:color="4F81BD" w:themeColor="accent1"/>
      </w:tblBorders>
      <w:tblCellMar>
        <w:top w:w="0" w:type="dxa"/>
        <w:left w:w="108" w:type="dxa"/>
        <w:bottom w:w="0" w:type="dxa"/>
        <w:right w:w="108" w:type="dxa"/>
      </w:tblCellMar>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6Colorful-Accent2">
    <w:name w:val="List Table 6 Colorful - Accent 2"/>
    <w:basedOn w:val="a1"/>
    <w:uiPriority w:val="99"/>
    <w:pPr>
      <w:spacing w:after="0" w:line="240" w:lineRule="auto"/>
    </w:pPr>
    <w:tblPr>
      <w:tblStyleRowBandSize w:val="1"/>
      <w:tblStyleColBandSize w:val="1"/>
      <w:tblInd w:w="0" w:type="dxa"/>
      <w:tblBorders>
        <w:top w:val="single" w:sz="4" w:space="0" w:color="D99695" w:themeColor="accent2" w:themeTint="97"/>
        <w:bottom w:val="single" w:sz="4" w:space="0" w:color="D99695" w:themeColor="accent2" w:themeTint="97"/>
      </w:tblBorders>
      <w:tblCellMar>
        <w:top w:w="0" w:type="dxa"/>
        <w:left w:w="108" w:type="dxa"/>
        <w:bottom w:w="0" w:type="dxa"/>
        <w:right w:w="108" w:type="dxa"/>
      </w:tblCellMar>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6Colorful-Accent3">
    <w:name w:val="List Table 6 Colorful - Accent 3"/>
    <w:basedOn w:val="a1"/>
    <w:uiPriority w:val="99"/>
    <w:pPr>
      <w:spacing w:after="0" w:line="240" w:lineRule="auto"/>
    </w:pPr>
    <w:tblPr>
      <w:tblStyleRowBandSize w:val="1"/>
      <w:tblStyleColBandSize w:val="1"/>
      <w:tblInd w:w="0" w:type="dxa"/>
      <w:tblBorders>
        <w:top w:val="single" w:sz="4" w:space="0" w:color="C3D69B" w:themeColor="accent3" w:themeTint="98"/>
        <w:bottom w:val="single" w:sz="4" w:space="0" w:color="C3D69B" w:themeColor="accent3" w:themeTint="98"/>
      </w:tblBorders>
      <w:tblCellMar>
        <w:top w:w="0" w:type="dxa"/>
        <w:left w:w="108" w:type="dxa"/>
        <w:bottom w:w="0" w:type="dxa"/>
        <w:right w:w="108" w:type="dxa"/>
      </w:tblCellMar>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6Colorful-Accent4">
    <w:name w:val="List Table 6 Colorful - Accent 4"/>
    <w:basedOn w:val="a1"/>
    <w:uiPriority w:val="99"/>
    <w:pPr>
      <w:spacing w:after="0" w:line="240" w:lineRule="auto"/>
    </w:pPr>
    <w:tblPr>
      <w:tblStyleRowBandSize w:val="1"/>
      <w:tblStyleColBandSize w:val="1"/>
      <w:tblInd w:w="0" w:type="dxa"/>
      <w:tblBorders>
        <w:top w:val="single" w:sz="4" w:space="0" w:color="B2A1C6" w:themeColor="accent4" w:themeTint="9A"/>
        <w:bottom w:val="single" w:sz="4" w:space="0" w:color="B2A1C6" w:themeColor="accent4" w:themeTint="9A"/>
      </w:tblBorders>
      <w:tblCellMar>
        <w:top w:w="0" w:type="dxa"/>
        <w:left w:w="108" w:type="dxa"/>
        <w:bottom w:w="0" w:type="dxa"/>
        <w:right w:w="108" w:type="dxa"/>
      </w:tblCellMar>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6Colorful-Accent5">
    <w:name w:val="List Table 6 Colorful - Accent 5"/>
    <w:basedOn w:val="a1"/>
    <w:uiPriority w:val="99"/>
    <w:pPr>
      <w:spacing w:after="0" w:line="240" w:lineRule="auto"/>
    </w:pPr>
    <w:tblPr>
      <w:tblStyleRowBandSize w:val="1"/>
      <w:tblStyleColBandSize w:val="1"/>
      <w:tblInd w:w="0" w:type="dxa"/>
      <w:tblBorders>
        <w:top w:val="single" w:sz="4" w:space="0" w:color="92CCDC" w:themeColor="accent5" w:themeTint="9A"/>
        <w:bottom w:val="single" w:sz="4" w:space="0" w:color="92CCDC" w:themeColor="accent5" w:themeTint="9A"/>
      </w:tblBorders>
      <w:tblCellMar>
        <w:top w:w="0" w:type="dxa"/>
        <w:left w:w="108" w:type="dxa"/>
        <w:bottom w:w="0" w:type="dxa"/>
        <w:right w:w="108" w:type="dxa"/>
      </w:tblCellMar>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6Colorful-Accent6">
    <w:name w:val="List Table 6 Colorful - Accent 6"/>
    <w:basedOn w:val="a1"/>
    <w:uiPriority w:val="99"/>
    <w:pPr>
      <w:spacing w:after="0" w:line="240" w:lineRule="auto"/>
    </w:pPr>
    <w:tblPr>
      <w:tblStyleRowBandSize w:val="1"/>
      <w:tblStyleColBandSize w:val="1"/>
      <w:tblInd w:w="0" w:type="dxa"/>
      <w:tblBorders>
        <w:top w:val="single" w:sz="4" w:space="0" w:color="FAC090" w:themeColor="accent6" w:themeTint="98"/>
        <w:bottom w:val="single" w:sz="4" w:space="0" w:color="FAC090" w:themeColor="accent6" w:themeTint="98"/>
      </w:tblBorders>
      <w:tblCellMar>
        <w:top w:w="0" w:type="dxa"/>
        <w:left w:w="108" w:type="dxa"/>
        <w:bottom w:w="0" w:type="dxa"/>
        <w:right w:w="108" w:type="dxa"/>
      </w:tblCellMar>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710">
    <w:name w:val="Список-таблица 7 цветная1"/>
    <w:basedOn w:val="a1"/>
    <w:uiPriority w:val="99"/>
    <w:pPr>
      <w:spacing w:after="0" w:line="240" w:lineRule="auto"/>
    </w:pPr>
    <w:tblPr>
      <w:tblStyleRowBandSize w:val="1"/>
      <w:tblStyleColBandSize w:val="1"/>
      <w:tblInd w:w="0" w:type="dxa"/>
      <w:tblBorders>
        <w:right w:val="single" w:sz="4" w:space="0" w:color="7F7F7F" w:themeColor="text1" w:themeTint="80"/>
      </w:tblBorders>
      <w:tblCellMar>
        <w:top w:w="0" w:type="dxa"/>
        <w:left w:w="108" w:type="dxa"/>
        <w:bottom w:w="0" w:type="dxa"/>
        <w:right w:w="108" w:type="dxa"/>
      </w:tblCellMar>
    </w:tblPr>
    <w:tblStylePr w:type="firstRow">
      <w:rPr>
        <w:rFonts w:ascii="Arial" w:hAnsi="Arial"/>
        <w:i/>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a1"/>
    <w:uiPriority w:val="99"/>
    <w:pPr>
      <w:spacing w:after="0" w:line="240" w:lineRule="auto"/>
    </w:pPr>
    <w:tblPr>
      <w:tblStyleRowBandSize w:val="1"/>
      <w:tblStyleColBandSize w:val="1"/>
      <w:tblInd w:w="0" w:type="dxa"/>
      <w:tblBorders>
        <w:right w:val="single" w:sz="4" w:space="0" w:color="4F81BD" w:themeColor="accent1"/>
      </w:tblBorders>
      <w:tblCellMar>
        <w:top w:w="0" w:type="dxa"/>
        <w:left w:w="108" w:type="dxa"/>
        <w:bottom w:w="0" w:type="dxa"/>
        <w:right w:w="108" w:type="dxa"/>
      </w:tblCellMar>
    </w:tblPr>
    <w:tblStylePr w:type="firstRow">
      <w:rPr>
        <w:rFonts w:ascii="Arial" w:hAnsi="Arial"/>
        <w:i/>
        <w:color w:val="2A4A71" w:themeColor="accent1" w:themeShade="95"/>
        <w:sz w:val="22"/>
      </w:rPr>
      <w:tblPr/>
      <w:tcPr>
        <w:tcBorders>
          <w:top w:val="none" w:sz="4" w:space="0" w:color="000000"/>
          <w:left w:val="none" w:sz="4" w:space="0" w:color="000000"/>
          <w:bottom w:val="single" w:sz="4" w:space="0" w:color="4F81BD" w:themeColor="accent1"/>
          <w:right w:val="none" w:sz="4" w:space="0" w:color="000000"/>
        </w:tcBorders>
        <w:shd w:val="clear" w:color="FFFFFF" w:themeColor="light1"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A4A71" w:themeColor="accent1" w:themeShade="95"/>
        <w:sz w:val="22"/>
      </w:rPr>
      <w:tblPr/>
      <w:tcPr>
        <w:tcBorders>
          <w:top w:val="none" w:sz="4" w:space="0" w:color="000000"/>
          <w:left w:val="none" w:sz="4" w:space="0" w:color="000000"/>
          <w:bottom w:val="none" w:sz="4" w:space="0" w:color="000000"/>
          <w:right w:val="single" w:sz="4" w:space="0" w:color="4F81BD" w:themeColor="accent1"/>
        </w:tcBorders>
        <w:shd w:val="clear" w:color="FFFFFF" w:fill="auto"/>
      </w:tcPr>
    </w:tblStylePr>
    <w:tblStylePr w:type="lastCol">
      <w:rPr>
        <w:rFonts w:ascii="Arial" w:hAnsi="Arial"/>
        <w:i/>
        <w:color w:val="2A4A71" w:themeColor="accent1" w:themeShade="95"/>
        <w:sz w:val="22"/>
      </w:rPr>
      <w:tblPr/>
      <w:tcPr>
        <w:tcBorders>
          <w:top w:val="none" w:sz="4" w:space="0" w:color="000000"/>
          <w:left w:val="single" w:sz="4" w:space="0" w:color="4F81BD" w:themeColor="accent1"/>
          <w:bottom w:val="none" w:sz="4" w:space="0" w:color="000000"/>
          <w:right w:val="none" w:sz="4" w:space="0" w:color="000000"/>
        </w:tcBorders>
        <w:shd w:val="clear" w:color="FFFFFF" w:fill="auto"/>
      </w:tc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7Colorful-Accent2">
    <w:name w:val="List Table 7 Colorful - Accent 2"/>
    <w:basedOn w:val="a1"/>
    <w:uiPriority w:val="99"/>
    <w:pPr>
      <w:spacing w:after="0" w:line="240" w:lineRule="auto"/>
    </w:pPr>
    <w:tblPr>
      <w:tblStyleRowBandSize w:val="1"/>
      <w:tblStyleColBandSize w:val="1"/>
      <w:tblInd w:w="0" w:type="dxa"/>
      <w:tblBorders>
        <w:right w:val="single" w:sz="4" w:space="0" w:color="D99695" w:themeColor="accent2" w:themeTint="97"/>
      </w:tblBorders>
      <w:tblCellMar>
        <w:top w:w="0" w:type="dxa"/>
        <w:left w:w="108" w:type="dxa"/>
        <w:bottom w:w="0" w:type="dxa"/>
        <w:right w:w="108" w:type="dxa"/>
      </w:tblCellMar>
    </w:tblPr>
    <w:tblStylePr w:type="firstRow">
      <w:rPr>
        <w:rFonts w:ascii="Arial" w:hAnsi="Arial"/>
        <w:i/>
        <w:color w:val="D99695" w:themeColor="accent2" w:themeTint="97" w:themeShade="95"/>
        <w:sz w:val="22"/>
      </w:rPr>
      <w:tblPr/>
      <w:tcPr>
        <w:tcBorders>
          <w:top w:val="none" w:sz="4" w:space="0" w:color="000000"/>
          <w:left w:val="none" w:sz="4" w:space="0" w:color="000000"/>
          <w:bottom w:val="single" w:sz="4" w:space="0" w:color="D99695" w:themeColor="accent2" w:themeTint="97"/>
          <w:right w:val="none" w:sz="4" w:space="0" w:color="000000"/>
        </w:tcBorders>
        <w:shd w:val="clear" w:color="FFFFFF" w:themeColor="light1"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4" w:space="0" w:color="000000"/>
          <w:left w:val="none" w:sz="4" w:space="0" w:color="000000"/>
          <w:bottom w:val="none" w:sz="4" w:space="0" w:color="000000"/>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4" w:space="0" w:color="000000"/>
          <w:left w:val="single" w:sz="4" w:space="0" w:color="D99695" w:themeColor="accent2" w:themeTint="97"/>
          <w:bottom w:val="none" w:sz="4" w:space="0" w:color="000000"/>
          <w:right w:val="none" w:sz="4" w:space="0" w:color="000000"/>
        </w:tcBorders>
        <w:shd w:val="clear" w:color="FFFFFF" w:fill="auto"/>
      </w:tc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7Colorful-Accent3">
    <w:name w:val="List Table 7 Colorful - Accent 3"/>
    <w:basedOn w:val="a1"/>
    <w:uiPriority w:val="99"/>
    <w:pPr>
      <w:spacing w:after="0" w:line="240" w:lineRule="auto"/>
    </w:pPr>
    <w:tblPr>
      <w:tblStyleRowBandSize w:val="1"/>
      <w:tblStyleColBandSize w:val="1"/>
      <w:tblInd w:w="0" w:type="dxa"/>
      <w:tblBorders>
        <w:right w:val="single" w:sz="4" w:space="0" w:color="C3D69B" w:themeColor="accent3" w:themeTint="98"/>
      </w:tblBorders>
      <w:tblCellMar>
        <w:top w:w="0" w:type="dxa"/>
        <w:left w:w="108" w:type="dxa"/>
        <w:bottom w:w="0" w:type="dxa"/>
        <w:right w:w="108" w:type="dxa"/>
      </w:tblCellMar>
    </w:tblPr>
    <w:tblStylePr w:type="firstRow">
      <w:rPr>
        <w:rFonts w:ascii="Arial" w:hAnsi="Arial"/>
        <w:i/>
        <w:color w:val="C3D69B" w:themeColor="accent3" w:themeTint="98" w:themeShade="95"/>
        <w:sz w:val="22"/>
      </w:rPr>
      <w:tblPr/>
      <w:tcPr>
        <w:tcBorders>
          <w:top w:val="none" w:sz="4" w:space="0" w:color="000000"/>
          <w:left w:val="none" w:sz="4" w:space="0" w:color="000000"/>
          <w:bottom w:val="single" w:sz="4" w:space="0" w:color="C3D69B" w:themeColor="accent3" w:themeTint="98"/>
          <w:right w:val="none" w:sz="4" w:space="0" w:color="000000"/>
        </w:tcBorders>
        <w:shd w:val="clear" w:color="FFFFFF" w:themeColor="light1"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C3D69B" w:themeColor="accent3" w:themeTint="98" w:themeShade="95"/>
        <w:sz w:val="22"/>
      </w:rPr>
      <w:tblPr/>
      <w:tcPr>
        <w:tcBorders>
          <w:top w:val="none" w:sz="4" w:space="0" w:color="000000"/>
          <w:left w:val="none" w:sz="4" w:space="0" w:color="000000"/>
          <w:bottom w:val="none" w:sz="4" w:space="0" w:color="000000"/>
          <w:right w:val="single" w:sz="4" w:space="0" w:color="C3D69B" w:themeColor="accent3" w:themeTint="98"/>
        </w:tcBorders>
        <w:shd w:val="clear" w:color="FFFFFF" w:fill="auto"/>
      </w:tcPr>
    </w:tblStylePr>
    <w:tblStylePr w:type="lastCol">
      <w:rPr>
        <w:rFonts w:ascii="Arial" w:hAnsi="Arial"/>
        <w:i/>
        <w:color w:val="C3D69B" w:themeColor="accent3" w:themeTint="98" w:themeShade="95"/>
        <w:sz w:val="22"/>
      </w:rPr>
      <w:tblPr/>
      <w:tcPr>
        <w:tcBorders>
          <w:top w:val="none" w:sz="4" w:space="0" w:color="000000"/>
          <w:left w:val="single" w:sz="4" w:space="0" w:color="C3D69B" w:themeColor="accent3" w:themeTint="98"/>
          <w:bottom w:val="none" w:sz="4" w:space="0" w:color="000000"/>
          <w:right w:val="none" w:sz="4" w:space="0" w:color="000000"/>
        </w:tcBorders>
        <w:shd w:val="clear" w:color="FFFFFF" w:fill="auto"/>
      </w:tc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7Colorful-Accent4">
    <w:name w:val="List Table 7 Colorful - Accent 4"/>
    <w:basedOn w:val="a1"/>
    <w:uiPriority w:val="99"/>
    <w:pPr>
      <w:spacing w:after="0" w:line="240" w:lineRule="auto"/>
    </w:pPr>
    <w:tblPr>
      <w:tblStyleRowBandSize w:val="1"/>
      <w:tblStyleColBandSize w:val="1"/>
      <w:tblInd w:w="0" w:type="dxa"/>
      <w:tblBorders>
        <w:right w:val="single" w:sz="4" w:space="0" w:color="B2A1C6" w:themeColor="accent4" w:themeTint="9A"/>
      </w:tblBorders>
      <w:tblCellMar>
        <w:top w:w="0" w:type="dxa"/>
        <w:left w:w="108" w:type="dxa"/>
        <w:bottom w:w="0" w:type="dxa"/>
        <w:right w:w="108" w:type="dxa"/>
      </w:tblCellMar>
    </w:tblPr>
    <w:tblStylePr w:type="firstRow">
      <w:rPr>
        <w:rFonts w:ascii="Arial" w:hAnsi="Arial"/>
        <w:i/>
        <w:color w:val="B2A1C6" w:themeColor="accent4" w:themeTint="9A" w:themeShade="95"/>
        <w:sz w:val="22"/>
      </w:rPr>
      <w:tblPr/>
      <w:tcPr>
        <w:tcBorders>
          <w:top w:val="none" w:sz="4" w:space="0" w:color="000000"/>
          <w:left w:val="none" w:sz="4" w:space="0" w:color="000000"/>
          <w:bottom w:val="single" w:sz="4" w:space="0" w:color="B2A1C6" w:themeColor="accent4" w:themeTint="9A"/>
          <w:right w:val="none" w:sz="4" w:space="0" w:color="000000"/>
        </w:tcBorders>
        <w:shd w:val="clear" w:color="FFFFFF" w:themeColor="light1"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4" w:space="0" w:color="000000"/>
          <w:left w:val="none" w:sz="4" w:space="0" w:color="000000"/>
          <w:bottom w:val="none" w:sz="4" w:space="0" w:color="000000"/>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4" w:space="0" w:color="000000"/>
          <w:left w:val="single" w:sz="4" w:space="0" w:color="B2A1C6" w:themeColor="accent4" w:themeTint="9A"/>
          <w:bottom w:val="none" w:sz="4" w:space="0" w:color="000000"/>
          <w:right w:val="none" w:sz="4" w:space="0" w:color="000000"/>
        </w:tcBorders>
        <w:shd w:val="clear" w:color="FFFFFF" w:fill="auto"/>
      </w:tc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7Colorful-Accent5">
    <w:name w:val="List Table 7 Colorful - Accent 5"/>
    <w:basedOn w:val="a1"/>
    <w:uiPriority w:val="99"/>
    <w:pPr>
      <w:spacing w:after="0" w:line="240" w:lineRule="auto"/>
    </w:pPr>
    <w:tblPr>
      <w:tblStyleRowBandSize w:val="1"/>
      <w:tblStyleColBandSize w:val="1"/>
      <w:tblInd w:w="0" w:type="dxa"/>
      <w:tblBorders>
        <w:right w:val="single" w:sz="4" w:space="0" w:color="92CCDC" w:themeColor="accent5" w:themeTint="9A"/>
      </w:tblBorders>
      <w:tblCellMar>
        <w:top w:w="0" w:type="dxa"/>
        <w:left w:w="108" w:type="dxa"/>
        <w:bottom w:w="0" w:type="dxa"/>
        <w:right w:w="108" w:type="dxa"/>
      </w:tblCellMar>
    </w:tblPr>
    <w:tblStylePr w:type="firstRow">
      <w:rPr>
        <w:rFonts w:ascii="Arial" w:hAnsi="Arial"/>
        <w:i/>
        <w:color w:val="92CCDC" w:themeColor="accent5" w:themeTint="9A" w:themeShade="95"/>
        <w:sz w:val="22"/>
      </w:rPr>
      <w:tblPr/>
      <w:tcPr>
        <w:tcBorders>
          <w:top w:val="none" w:sz="4" w:space="0" w:color="000000"/>
          <w:left w:val="none" w:sz="4" w:space="0" w:color="000000"/>
          <w:bottom w:val="single" w:sz="4" w:space="0" w:color="92CCDC" w:themeColor="accent5" w:themeTint="9A"/>
          <w:right w:val="none" w:sz="4" w:space="0" w:color="000000"/>
        </w:tcBorders>
        <w:shd w:val="clear" w:color="FFFFFF" w:themeColor="light1"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92CCDC" w:themeColor="accent5" w:themeTint="9A" w:themeShade="95"/>
        <w:sz w:val="22"/>
      </w:rPr>
      <w:tblPr/>
      <w:tcPr>
        <w:tcBorders>
          <w:top w:val="none" w:sz="4" w:space="0" w:color="000000"/>
          <w:left w:val="none" w:sz="4" w:space="0" w:color="000000"/>
          <w:bottom w:val="none" w:sz="4" w:space="0" w:color="000000"/>
          <w:right w:val="single" w:sz="4" w:space="0" w:color="92CCDC" w:themeColor="accent5" w:themeTint="9A"/>
        </w:tcBorders>
        <w:shd w:val="clear" w:color="FFFFFF" w:fill="auto"/>
      </w:tcPr>
    </w:tblStylePr>
    <w:tblStylePr w:type="lastCol">
      <w:rPr>
        <w:rFonts w:ascii="Arial" w:hAnsi="Arial"/>
        <w:i/>
        <w:color w:val="92CCDC" w:themeColor="accent5" w:themeTint="9A" w:themeShade="95"/>
        <w:sz w:val="22"/>
      </w:rPr>
      <w:tblPr/>
      <w:tcPr>
        <w:tcBorders>
          <w:top w:val="none" w:sz="4" w:space="0" w:color="000000"/>
          <w:left w:val="single" w:sz="4" w:space="0" w:color="92CCDC" w:themeColor="accent5" w:themeTint="9A"/>
          <w:bottom w:val="none" w:sz="4" w:space="0" w:color="000000"/>
          <w:right w:val="none" w:sz="4" w:space="0" w:color="000000"/>
        </w:tcBorders>
        <w:shd w:val="clear" w:color="FFFFFF" w:fill="auto"/>
      </w:tc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7Colorful-Accent6">
    <w:name w:val="List Table 7 Colorful - Accent 6"/>
    <w:basedOn w:val="a1"/>
    <w:uiPriority w:val="99"/>
    <w:pPr>
      <w:spacing w:after="0" w:line="240" w:lineRule="auto"/>
    </w:pPr>
    <w:tblPr>
      <w:tblStyleRowBandSize w:val="1"/>
      <w:tblStyleColBandSize w:val="1"/>
      <w:tblInd w:w="0" w:type="dxa"/>
      <w:tblBorders>
        <w:right w:val="single" w:sz="4" w:space="0" w:color="FAC090" w:themeColor="accent6" w:themeTint="98"/>
      </w:tblBorders>
      <w:tblCellMar>
        <w:top w:w="0" w:type="dxa"/>
        <w:left w:w="108" w:type="dxa"/>
        <w:bottom w:w="0" w:type="dxa"/>
        <w:right w:w="108" w:type="dxa"/>
      </w:tblCellMar>
    </w:tblPr>
    <w:tblStylePr w:type="firstRow">
      <w:rPr>
        <w:rFonts w:ascii="Arial" w:hAnsi="Arial"/>
        <w:i/>
        <w:color w:val="FAC090" w:themeColor="accent6" w:themeTint="98" w:themeShade="95"/>
        <w:sz w:val="22"/>
      </w:rPr>
      <w:tblPr/>
      <w:tcPr>
        <w:tcBorders>
          <w:top w:val="none" w:sz="4" w:space="0" w:color="000000"/>
          <w:left w:val="none" w:sz="4" w:space="0" w:color="000000"/>
          <w:bottom w:val="single" w:sz="4" w:space="0" w:color="FAC090" w:themeColor="accent6" w:themeTint="98"/>
          <w:right w:val="none" w:sz="4" w:space="0" w:color="000000"/>
        </w:tcBorders>
        <w:shd w:val="clear" w:color="FFFFFF" w:themeColor="light1"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AC090" w:themeColor="accent6" w:themeTint="98" w:themeShade="95"/>
        <w:sz w:val="22"/>
      </w:rPr>
      <w:tblPr/>
      <w:tcPr>
        <w:tcBorders>
          <w:top w:val="none" w:sz="4" w:space="0" w:color="000000"/>
          <w:left w:val="none" w:sz="4" w:space="0" w:color="000000"/>
          <w:bottom w:val="none" w:sz="4" w:space="0" w:color="000000"/>
          <w:right w:val="single" w:sz="4" w:space="0" w:color="FAC090" w:themeColor="accent6" w:themeTint="98"/>
        </w:tcBorders>
        <w:shd w:val="clear" w:color="FFFFFF" w:fill="auto"/>
      </w:tcPr>
    </w:tblStylePr>
    <w:tblStylePr w:type="lastCol">
      <w:rPr>
        <w:rFonts w:ascii="Arial" w:hAnsi="Arial"/>
        <w:i/>
        <w:color w:val="FAC090" w:themeColor="accent6" w:themeTint="98" w:themeShade="95"/>
        <w:sz w:val="22"/>
      </w:rPr>
      <w:tblPr/>
      <w:tcPr>
        <w:tcBorders>
          <w:top w:val="none" w:sz="4" w:space="0" w:color="000000"/>
          <w:left w:val="single" w:sz="4" w:space="0" w:color="FAC090" w:themeColor="accent6" w:themeTint="98"/>
          <w:bottom w:val="none" w:sz="4" w:space="0" w:color="000000"/>
          <w:right w:val="none" w:sz="4" w:space="0" w:color="000000"/>
        </w:tcBorders>
        <w:shd w:val="clear" w:color="FFFFFF" w:fill="auto"/>
      </w:tc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ned-Accent">
    <w:name w:val="Lined - Accent"/>
    <w:basedOn w:val="a1"/>
    <w:uiPriority w:val="99"/>
    <w:pPr>
      <w:spacing w:after="0" w:line="240" w:lineRule="auto"/>
    </w:pPr>
    <w:rPr>
      <w:color w:val="404040"/>
      <w:sz w:val="20"/>
      <w:szCs w:val="20"/>
      <w:lang w:eastAsia="ru-RU"/>
    </w:rPr>
    <w:tblPr>
      <w:tblStyleRowBandSize w:val="1"/>
      <w:tblStyleColBandSize w:val="1"/>
      <w:tblInd w:w="0" w:type="dxa"/>
      <w:tblCellMar>
        <w:top w:w="0" w:type="dxa"/>
        <w:left w:w="108" w:type="dxa"/>
        <w:bottom w:w="0" w:type="dxa"/>
        <w:right w:w="108" w:type="dxa"/>
      </w:tblCellMar>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a1"/>
    <w:uiPriority w:val="99"/>
    <w:pPr>
      <w:spacing w:after="0" w:line="240" w:lineRule="auto"/>
    </w:pPr>
    <w:rPr>
      <w:color w:val="404040"/>
      <w:sz w:val="20"/>
      <w:szCs w:val="20"/>
      <w:lang w:eastAsia="ru-RU"/>
    </w:rPr>
    <w:tblPr>
      <w:tblStyleRowBandSize w:val="1"/>
      <w:tblStyleColBandSize w:val="1"/>
      <w:tblInd w:w="0" w:type="dxa"/>
      <w:tblCellMar>
        <w:top w:w="0" w:type="dxa"/>
        <w:left w:w="108" w:type="dxa"/>
        <w:bottom w:w="0" w:type="dxa"/>
        <w:right w:w="108" w:type="dxa"/>
      </w:tblCellMar>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Lined-Accent2">
    <w:name w:val="Lined - Accent 2"/>
    <w:basedOn w:val="a1"/>
    <w:uiPriority w:val="99"/>
    <w:pPr>
      <w:spacing w:after="0" w:line="240" w:lineRule="auto"/>
    </w:pPr>
    <w:rPr>
      <w:color w:val="404040"/>
      <w:sz w:val="20"/>
      <w:szCs w:val="20"/>
      <w:lang w:eastAsia="ru-RU"/>
    </w:rPr>
    <w:tblPr>
      <w:tblStyleRowBandSize w:val="1"/>
      <w:tblStyleColBandSize w:val="1"/>
      <w:tblInd w:w="0" w:type="dxa"/>
      <w:tblCellMar>
        <w:top w:w="0" w:type="dxa"/>
        <w:left w:w="108" w:type="dxa"/>
        <w:bottom w:w="0" w:type="dxa"/>
        <w:right w:w="108" w:type="dxa"/>
      </w:tblCellMar>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Lined-Accent3">
    <w:name w:val="Lined - Accent 3"/>
    <w:basedOn w:val="a1"/>
    <w:uiPriority w:val="99"/>
    <w:pPr>
      <w:spacing w:after="0" w:line="240" w:lineRule="auto"/>
    </w:pPr>
    <w:rPr>
      <w:color w:val="404040"/>
      <w:sz w:val="20"/>
      <w:szCs w:val="20"/>
      <w:lang w:eastAsia="ru-RU"/>
    </w:rPr>
    <w:tblPr>
      <w:tblStyleRowBandSize w:val="1"/>
      <w:tblStyleColBandSize w:val="1"/>
      <w:tblInd w:w="0" w:type="dxa"/>
      <w:tblCellMar>
        <w:top w:w="0" w:type="dxa"/>
        <w:left w:w="108" w:type="dxa"/>
        <w:bottom w:w="0" w:type="dxa"/>
        <w:right w:w="108" w:type="dxa"/>
      </w:tblCellMar>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Lined-Accent4">
    <w:name w:val="Lined - Accent 4"/>
    <w:basedOn w:val="a1"/>
    <w:uiPriority w:val="99"/>
    <w:pPr>
      <w:spacing w:after="0" w:line="240" w:lineRule="auto"/>
    </w:pPr>
    <w:rPr>
      <w:color w:val="404040"/>
      <w:sz w:val="20"/>
      <w:szCs w:val="20"/>
      <w:lang w:eastAsia="ru-RU"/>
    </w:rPr>
    <w:tblPr>
      <w:tblStyleRowBandSize w:val="1"/>
      <w:tblStyleColBandSize w:val="1"/>
      <w:tblInd w:w="0" w:type="dxa"/>
      <w:tblCellMar>
        <w:top w:w="0" w:type="dxa"/>
        <w:left w:w="108" w:type="dxa"/>
        <w:bottom w:w="0" w:type="dxa"/>
        <w:right w:w="108" w:type="dxa"/>
      </w:tblCellMar>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Lined-Accent5">
    <w:name w:val="Lined - Accent 5"/>
    <w:basedOn w:val="a1"/>
    <w:uiPriority w:val="99"/>
    <w:pPr>
      <w:spacing w:after="0" w:line="240" w:lineRule="auto"/>
    </w:pPr>
    <w:rPr>
      <w:color w:val="404040"/>
      <w:sz w:val="20"/>
      <w:szCs w:val="20"/>
      <w:lang w:eastAsia="ru-RU"/>
    </w:rPr>
    <w:tblPr>
      <w:tblStyleRowBandSize w:val="1"/>
      <w:tblStyleColBandSize w:val="1"/>
      <w:tblInd w:w="0" w:type="dxa"/>
      <w:tblCellMar>
        <w:top w:w="0" w:type="dxa"/>
        <w:left w:w="108" w:type="dxa"/>
        <w:bottom w:w="0" w:type="dxa"/>
        <w:right w:w="108" w:type="dxa"/>
      </w:tblCellMar>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Lined-Accent6">
    <w:name w:val="Lined - Accent 6"/>
    <w:basedOn w:val="a1"/>
    <w:uiPriority w:val="99"/>
    <w:pPr>
      <w:spacing w:after="0" w:line="240" w:lineRule="auto"/>
    </w:pPr>
    <w:rPr>
      <w:color w:val="404040"/>
      <w:sz w:val="20"/>
      <w:szCs w:val="20"/>
      <w:lang w:eastAsia="ru-RU"/>
    </w:rPr>
    <w:tblPr>
      <w:tblStyleRowBandSize w:val="1"/>
      <w:tblStyleColBandSize w:val="1"/>
      <w:tblInd w:w="0" w:type="dxa"/>
      <w:tblCellMar>
        <w:top w:w="0" w:type="dxa"/>
        <w:left w:w="108" w:type="dxa"/>
        <w:bottom w:w="0" w:type="dxa"/>
        <w:right w:w="108" w:type="dxa"/>
      </w:tblCellMar>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Lined-Accent">
    <w:name w:val="Bordered &amp; Lined - Accent"/>
    <w:basedOn w:val="a1"/>
    <w:uiPriority w:val="99"/>
    <w:pPr>
      <w:spacing w:after="0" w:line="240" w:lineRule="auto"/>
    </w:pPr>
    <w:rPr>
      <w:color w:val="404040"/>
      <w:sz w:val="20"/>
      <w:szCs w:val="20"/>
      <w:lang w:eastAsia="ru-RU"/>
    </w:rPr>
    <w:tblPr>
      <w:tblStyleRowBandSize w:val="1"/>
      <w:tblStyleColBandSize w:val="1"/>
      <w:tblInd w:w="0" w:type="dxa"/>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CellMar>
        <w:top w:w="0" w:type="dxa"/>
        <w:left w:w="108" w:type="dxa"/>
        <w:bottom w:w="0" w:type="dxa"/>
        <w:right w:w="108" w:type="dxa"/>
      </w:tblCellMar>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a1"/>
    <w:uiPriority w:val="99"/>
    <w:pPr>
      <w:spacing w:after="0" w:line="240" w:lineRule="auto"/>
    </w:pPr>
    <w:rPr>
      <w:color w:val="404040"/>
      <w:sz w:val="20"/>
      <w:szCs w:val="20"/>
      <w:lang w:eastAsia="ru-RU"/>
    </w:rPr>
    <w:tblPr>
      <w:tblStyleRowBandSize w:val="1"/>
      <w:tblStyleColBandSize w:val="1"/>
      <w:tblInd w:w="0" w:type="dxa"/>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CellMar>
        <w:top w:w="0" w:type="dxa"/>
        <w:left w:w="108" w:type="dxa"/>
        <w:bottom w:w="0" w:type="dxa"/>
        <w:right w:w="108" w:type="dxa"/>
      </w:tblCellMar>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BorderedLined-Accent2">
    <w:name w:val="Bordered &amp; Lined - Accent 2"/>
    <w:basedOn w:val="a1"/>
    <w:uiPriority w:val="99"/>
    <w:pPr>
      <w:spacing w:after="0" w:line="240" w:lineRule="auto"/>
    </w:pPr>
    <w:rPr>
      <w:color w:val="404040"/>
      <w:sz w:val="20"/>
      <w:szCs w:val="20"/>
      <w:lang w:eastAsia="ru-RU"/>
    </w:rPr>
    <w:tblPr>
      <w:tblStyleRowBandSize w:val="1"/>
      <w:tblStyleColBandSize w:val="1"/>
      <w:tblInd w:w="0" w:type="dxa"/>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CellMar>
        <w:top w:w="0" w:type="dxa"/>
        <w:left w:w="108" w:type="dxa"/>
        <w:bottom w:w="0" w:type="dxa"/>
        <w:right w:w="108" w:type="dxa"/>
      </w:tblCellMar>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BorderedLined-Accent3">
    <w:name w:val="Bordered &amp; Lined - Accent 3"/>
    <w:basedOn w:val="a1"/>
    <w:uiPriority w:val="99"/>
    <w:pPr>
      <w:spacing w:after="0" w:line="240" w:lineRule="auto"/>
    </w:pPr>
    <w:rPr>
      <w:color w:val="404040"/>
      <w:sz w:val="20"/>
      <w:szCs w:val="20"/>
      <w:lang w:eastAsia="ru-RU"/>
    </w:rPr>
    <w:tblPr>
      <w:tblStyleRowBandSize w:val="1"/>
      <w:tblStyleColBandSize w:val="1"/>
      <w:tblInd w:w="0" w:type="dxa"/>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CellMar>
        <w:top w:w="0" w:type="dxa"/>
        <w:left w:w="108" w:type="dxa"/>
        <w:bottom w:w="0" w:type="dxa"/>
        <w:right w:w="108" w:type="dxa"/>
      </w:tblCellMar>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BorderedLined-Accent4">
    <w:name w:val="Bordered &amp; Lined - Accent 4"/>
    <w:basedOn w:val="a1"/>
    <w:uiPriority w:val="99"/>
    <w:pPr>
      <w:spacing w:after="0" w:line="240" w:lineRule="auto"/>
    </w:pPr>
    <w:rPr>
      <w:color w:val="404040"/>
      <w:sz w:val="20"/>
      <w:szCs w:val="20"/>
      <w:lang w:eastAsia="ru-RU"/>
    </w:rPr>
    <w:tblPr>
      <w:tblStyleRowBandSize w:val="1"/>
      <w:tblStyleColBandSize w:val="1"/>
      <w:tblInd w:w="0" w:type="dxa"/>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CellMar>
        <w:top w:w="0" w:type="dxa"/>
        <w:left w:w="108" w:type="dxa"/>
        <w:bottom w:w="0" w:type="dxa"/>
        <w:right w:w="108" w:type="dxa"/>
      </w:tblCellMar>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BorderedLined-Accent5">
    <w:name w:val="Bordered &amp; Lined - Accent 5"/>
    <w:basedOn w:val="a1"/>
    <w:uiPriority w:val="99"/>
    <w:pPr>
      <w:spacing w:after="0" w:line="240" w:lineRule="auto"/>
    </w:pPr>
    <w:rPr>
      <w:color w:val="404040"/>
      <w:sz w:val="20"/>
      <w:szCs w:val="20"/>
      <w:lang w:eastAsia="ru-RU"/>
    </w:rPr>
    <w:tblPr>
      <w:tblStyleRowBandSize w:val="1"/>
      <w:tblStyleColBandSize w:val="1"/>
      <w:tblInd w:w="0" w:type="dxa"/>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CellMar>
        <w:top w:w="0" w:type="dxa"/>
        <w:left w:w="108" w:type="dxa"/>
        <w:bottom w:w="0" w:type="dxa"/>
        <w:right w:w="108" w:type="dxa"/>
      </w:tblCellMar>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BorderedLined-Accent6">
    <w:name w:val="Bordered &amp; Lined - Accent 6"/>
    <w:basedOn w:val="a1"/>
    <w:uiPriority w:val="99"/>
    <w:pPr>
      <w:spacing w:after="0" w:line="240" w:lineRule="auto"/>
    </w:pPr>
    <w:rPr>
      <w:color w:val="404040"/>
      <w:sz w:val="20"/>
      <w:szCs w:val="20"/>
      <w:lang w:eastAsia="ru-RU"/>
    </w:rPr>
    <w:tblPr>
      <w:tblStyleRowBandSize w:val="1"/>
      <w:tblStyleColBandSize w:val="1"/>
      <w:tblInd w:w="0" w:type="dxa"/>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CellMar>
        <w:top w:w="0" w:type="dxa"/>
        <w:left w:w="108" w:type="dxa"/>
        <w:bottom w:w="0" w:type="dxa"/>
        <w:right w:w="108" w:type="dxa"/>
      </w:tblCellMar>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
    <w:name w:val="Bordered"/>
    <w:basedOn w:val="a1"/>
    <w:uiPriority w:val="99"/>
    <w:pPr>
      <w:spacing w:after="0" w:line="240" w:lineRule="auto"/>
    </w:pPr>
    <w:tblPr>
      <w:tblStyleRowBandSize w:val="1"/>
      <w:tblStyleColBandSize w:val="1"/>
      <w:tblInd w:w="0" w:type="dxa"/>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CellMar>
        <w:top w:w="0" w:type="dxa"/>
        <w:left w:w="108" w:type="dxa"/>
        <w:bottom w:w="0" w:type="dxa"/>
        <w:right w:w="108" w:type="dxa"/>
      </w:tblCellMar>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a1"/>
    <w:uiPriority w:val="99"/>
    <w:pPr>
      <w:spacing w:after="0" w:line="240" w:lineRule="auto"/>
    </w:pPr>
    <w:tblPr>
      <w:tblStyleRowBandSize w:val="1"/>
      <w:tblStyleColBandSize w:val="1"/>
      <w:tblInd w:w="0" w:type="dxa"/>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CellMar>
        <w:top w:w="0" w:type="dxa"/>
        <w:left w:w="108" w:type="dxa"/>
        <w:bottom w:w="0" w:type="dxa"/>
        <w:right w:w="108" w:type="dxa"/>
      </w:tblCellMar>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
    <w:name w:val="Bordered - Accent 2"/>
    <w:basedOn w:val="a1"/>
    <w:uiPriority w:val="99"/>
    <w:pPr>
      <w:spacing w:after="0" w:line="240" w:lineRule="auto"/>
    </w:pPr>
    <w:tblPr>
      <w:tblStyleRowBandSize w:val="1"/>
      <w:tblStyleColBandSize w:val="1"/>
      <w:tblInd w:w="0" w:type="dxa"/>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CellMar>
        <w:top w:w="0" w:type="dxa"/>
        <w:left w:w="108" w:type="dxa"/>
        <w:bottom w:w="0" w:type="dxa"/>
        <w:right w:w="108" w:type="dxa"/>
      </w:tblCellMar>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
    <w:name w:val="Bordered - Accent 3"/>
    <w:basedOn w:val="a1"/>
    <w:uiPriority w:val="99"/>
    <w:pPr>
      <w:spacing w:after="0" w:line="240" w:lineRule="auto"/>
    </w:pPr>
    <w:tblPr>
      <w:tblStyleRowBandSize w:val="1"/>
      <w:tblStyleColBandSize w:val="1"/>
      <w:tblInd w:w="0" w:type="dxa"/>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CellMar>
        <w:top w:w="0" w:type="dxa"/>
        <w:left w:w="108" w:type="dxa"/>
        <w:bottom w:w="0" w:type="dxa"/>
        <w:right w:w="108" w:type="dxa"/>
      </w:tblCellMar>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
    <w:name w:val="Bordered - Accent 4"/>
    <w:basedOn w:val="a1"/>
    <w:uiPriority w:val="99"/>
    <w:pPr>
      <w:spacing w:after="0" w:line="240" w:lineRule="auto"/>
    </w:pPr>
    <w:tblPr>
      <w:tblStyleRowBandSize w:val="1"/>
      <w:tblStyleColBandSize w:val="1"/>
      <w:tblInd w:w="0" w:type="dxa"/>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CellMar>
        <w:top w:w="0" w:type="dxa"/>
        <w:left w:w="108" w:type="dxa"/>
        <w:bottom w:w="0" w:type="dxa"/>
        <w:right w:w="108" w:type="dxa"/>
      </w:tblCellMar>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
    <w:name w:val="Bordered - Accent 5"/>
    <w:basedOn w:val="a1"/>
    <w:uiPriority w:val="99"/>
    <w:pPr>
      <w:spacing w:after="0" w:line="240" w:lineRule="auto"/>
    </w:pPr>
    <w:tblPr>
      <w:tblStyleRowBandSize w:val="1"/>
      <w:tblStyleColBandSize w:val="1"/>
      <w:tblInd w:w="0" w:type="dxa"/>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CellMar>
        <w:top w:w="0" w:type="dxa"/>
        <w:left w:w="108" w:type="dxa"/>
        <w:bottom w:w="0" w:type="dxa"/>
        <w:right w:w="108" w:type="dxa"/>
      </w:tblCellMar>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
    <w:name w:val="Bordered - Accent 6"/>
    <w:basedOn w:val="a1"/>
    <w:uiPriority w:val="99"/>
    <w:pPr>
      <w:spacing w:after="0" w:line="240" w:lineRule="auto"/>
    </w:pPr>
    <w:tblPr>
      <w:tblStyleRowBandSize w:val="1"/>
      <w:tblStyleColBandSize w:val="1"/>
      <w:tblInd w:w="0" w:type="dxa"/>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CellMar>
        <w:top w:w="0" w:type="dxa"/>
        <w:left w:w="108" w:type="dxa"/>
        <w:bottom w:w="0" w:type="dxa"/>
        <w:right w:w="108" w:type="dxa"/>
      </w:tblCellMar>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character" w:customStyle="1" w:styleId="FootnoteTextChar">
    <w:name w:val="Footnote Text Char"/>
    <w:uiPriority w:val="99"/>
    <w:rPr>
      <w:sz w:val="18"/>
    </w:rPr>
  </w:style>
  <w:style w:type="paragraph" w:styleId="af">
    <w:name w:val="endnote text"/>
    <w:basedOn w:val="a"/>
    <w:link w:val="af0"/>
    <w:uiPriority w:val="99"/>
    <w:semiHidden/>
    <w:unhideWhenUsed/>
    <w:pPr>
      <w:spacing w:line="240" w:lineRule="auto"/>
    </w:pPr>
    <w:rPr>
      <w:sz w:val="20"/>
    </w:rPr>
  </w:style>
  <w:style w:type="character" w:customStyle="1" w:styleId="af0">
    <w:name w:val="Текст концевой сноски Знак"/>
    <w:link w:val="af"/>
    <w:uiPriority w:val="99"/>
    <w:rPr>
      <w:sz w:val="20"/>
    </w:rPr>
  </w:style>
  <w:style w:type="character" w:styleId="af1">
    <w:name w:val="endnote reference"/>
    <w:basedOn w:val="a0"/>
    <w:uiPriority w:val="99"/>
    <w:semiHidden/>
    <w:unhideWhenUsed/>
    <w:rPr>
      <w:vertAlign w:val="superscript"/>
    </w:rPr>
  </w:style>
  <w:style w:type="paragraph" w:styleId="42">
    <w:name w:val="toc 4"/>
    <w:basedOn w:val="a"/>
    <w:next w:val="a"/>
    <w:uiPriority w:val="39"/>
    <w:unhideWhenUsed/>
    <w:pPr>
      <w:spacing w:after="57"/>
      <w:ind w:left="850" w:firstLine="0"/>
    </w:pPr>
  </w:style>
  <w:style w:type="paragraph" w:styleId="52">
    <w:name w:val="toc 5"/>
    <w:basedOn w:val="a"/>
    <w:next w:val="a"/>
    <w:uiPriority w:val="39"/>
    <w:unhideWhenUsed/>
    <w:pPr>
      <w:spacing w:after="57"/>
      <w:ind w:left="1134" w:firstLine="0"/>
    </w:pPr>
  </w:style>
  <w:style w:type="paragraph" w:styleId="61">
    <w:name w:val="toc 6"/>
    <w:basedOn w:val="a"/>
    <w:next w:val="a"/>
    <w:uiPriority w:val="39"/>
    <w:unhideWhenUsed/>
    <w:pPr>
      <w:spacing w:after="57"/>
      <w:ind w:left="1417" w:firstLine="0"/>
    </w:pPr>
  </w:style>
  <w:style w:type="paragraph" w:styleId="71">
    <w:name w:val="toc 7"/>
    <w:basedOn w:val="a"/>
    <w:next w:val="a"/>
    <w:uiPriority w:val="39"/>
    <w:unhideWhenUsed/>
    <w:pPr>
      <w:spacing w:after="57"/>
      <w:ind w:left="1701" w:firstLine="0"/>
    </w:pPr>
  </w:style>
  <w:style w:type="paragraph" w:styleId="81">
    <w:name w:val="toc 8"/>
    <w:basedOn w:val="a"/>
    <w:next w:val="a"/>
    <w:uiPriority w:val="39"/>
    <w:unhideWhenUsed/>
    <w:pPr>
      <w:spacing w:after="57"/>
      <w:ind w:left="1984" w:firstLine="0"/>
    </w:pPr>
  </w:style>
  <w:style w:type="paragraph" w:styleId="91">
    <w:name w:val="toc 9"/>
    <w:basedOn w:val="a"/>
    <w:next w:val="a"/>
    <w:uiPriority w:val="39"/>
    <w:unhideWhenUsed/>
    <w:pPr>
      <w:spacing w:after="57"/>
      <w:ind w:left="2268" w:firstLine="0"/>
    </w:pPr>
  </w:style>
  <w:style w:type="paragraph" w:styleId="af2">
    <w:name w:val="table of figures"/>
    <w:basedOn w:val="a"/>
    <w:next w:val="a"/>
    <w:uiPriority w:val="99"/>
    <w:unhideWhenUsed/>
  </w:style>
  <w:style w:type="character" w:customStyle="1" w:styleId="10">
    <w:name w:val="Заголовок 1 Знак"/>
    <w:basedOn w:val="a0"/>
    <w:link w:val="1"/>
    <w:uiPriority w:val="9"/>
    <w:rPr>
      <w:rFonts w:ascii="Impact" w:eastAsiaTheme="majorEastAsia" w:hAnsi="Impact" w:cstheme="majorBidi"/>
      <w:b/>
      <w:bCs/>
      <w:sz w:val="28"/>
      <w:szCs w:val="28"/>
    </w:rPr>
  </w:style>
  <w:style w:type="character" w:customStyle="1" w:styleId="20">
    <w:name w:val="Заголовок 2 Знак"/>
    <w:basedOn w:val="a0"/>
    <w:link w:val="2"/>
    <w:uiPriority w:val="9"/>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rPr>
      <w:rFonts w:asciiTheme="majorHAnsi" w:eastAsiaTheme="majorEastAsia" w:hAnsiTheme="majorHAnsi" w:cstheme="majorBidi"/>
      <w:b/>
      <w:bCs/>
      <w:color w:val="4F81BD" w:themeColor="accent1"/>
      <w:sz w:val="24"/>
    </w:rPr>
  </w:style>
  <w:style w:type="character" w:customStyle="1" w:styleId="40">
    <w:name w:val="Заголовок 4 Знак"/>
    <w:basedOn w:val="a0"/>
    <w:link w:val="4"/>
    <w:uiPriority w:val="9"/>
    <w:rPr>
      <w:rFonts w:asciiTheme="majorHAnsi" w:eastAsiaTheme="majorEastAsia" w:hAnsiTheme="majorHAnsi" w:cstheme="majorBidi"/>
      <w:b/>
      <w:bCs/>
      <w:i/>
      <w:iCs/>
      <w:color w:val="4F81BD" w:themeColor="accent1"/>
      <w:sz w:val="24"/>
    </w:rPr>
  </w:style>
  <w:style w:type="character" w:customStyle="1" w:styleId="50">
    <w:name w:val="Заголовок 5 Знак"/>
    <w:basedOn w:val="a0"/>
    <w:link w:val="5"/>
    <w:uiPriority w:val="9"/>
    <w:rPr>
      <w:rFonts w:asciiTheme="majorHAnsi" w:eastAsiaTheme="majorEastAsia" w:hAnsiTheme="majorHAnsi" w:cstheme="majorBidi"/>
      <w:color w:val="243F60" w:themeColor="accent1" w:themeShade="7F"/>
      <w:sz w:val="24"/>
    </w:rPr>
  </w:style>
  <w:style w:type="character" w:customStyle="1" w:styleId="60">
    <w:name w:val="Заголовок 6 Знак"/>
    <w:basedOn w:val="a0"/>
    <w:link w:val="6"/>
    <w:uiPriority w:val="9"/>
    <w:rPr>
      <w:rFonts w:asciiTheme="majorHAnsi" w:eastAsiaTheme="majorEastAsia" w:hAnsiTheme="majorHAnsi" w:cstheme="majorBidi"/>
      <w:i/>
      <w:iCs/>
      <w:color w:val="243F60" w:themeColor="accent1" w:themeShade="7F"/>
      <w:sz w:val="24"/>
    </w:rPr>
  </w:style>
  <w:style w:type="paragraph" w:styleId="af3">
    <w:name w:val="caption"/>
    <w:aliases w:val="Название объекта Знак1 Знак,Название объекта Знак Знак1 Знак,Название объекта Знак Знак Знак Знак Знак Знак,Название объекта Знак Знак Знак1 Знак Знак,Название объекта Знак Знак Знак Знак1 Знак,Знак1,Знак1 Знак Знак,!! Object Novogor !!"/>
    <w:basedOn w:val="a"/>
    <w:next w:val="a"/>
    <w:link w:val="af4"/>
    <w:uiPriority w:val="35"/>
    <w:unhideWhenUsed/>
    <w:qFormat/>
    <w:pPr>
      <w:keepNext/>
      <w:spacing w:line="240" w:lineRule="auto"/>
      <w:ind w:firstLine="0"/>
    </w:pPr>
    <w:rPr>
      <w:rFonts w:ascii="Times New Roman" w:eastAsia="Times New Roman" w:hAnsi="Times New Roman" w:cs="Times New Roman"/>
      <w:b/>
      <w:bCs/>
      <w:color w:val="000000"/>
      <w:sz w:val="22"/>
      <w:lang w:eastAsia="ru-RU"/>
    </w:rPr>
  </w:style>
  <w:style w:type="character" w:customStyle="1" w:styleId="af4">
    <w:name w:val="Название объекта Знак"/>
    <w:aliases w:val="Название объекта Знак1 Знак Знак,Название объекта Знак Знак1 Знак Знак,Название объекта Знак Знак Знак Знак Знак Знак Знак,Название объекта Знак Знак Знак1 Знак Знак Знак,Название объекта Знак Знак Знак Знак1 Знак Знак,Знак1 Знак"/>
    <w:link w:val="af3"/>
    <w:uiPriority w:val="35"/>
    <w:rPr>
      <w:rFonts w:ascii="Times New Roman" w:eastAsia="Times New Roman" w:hAnsi="Times New Roman" w:cs="Times New Roman"/>
      <w:b/>
      <w:bCs/>
      <w:color w:val="000000"/>
      <w:lang w:eastAsia="ru-RU"/>
    </w:rPr>
  </w:style>
  <w:style w:type="paragraph" w:styleId="af5">
    <w:name w:val="No Spacing"/>
    <w:uiPriority w:val="1"/>
    <w:pPr>
      <w:spacing w:after="0"/>
      <w:ind w:firstLine="709"/>
      <w:jc w:val="both"/>
    </w:pPr>
    <w:rPr>
      <w:rFonts w:ascii="Arial" w:hAnsi="Arial"/>
      <w:sz w:val="24"/>
    </w:rPr>
  </w:style>
  <w:style w:type="paragraph" w:styleId="32">
    <w:name w:val="toc 3"/>
    <w:basedOn w:val="a"/>
    <w:next w:val="a"/>
    <w:uiPriority w:val="39"/>
    <w:unhideWhenUsed/>
    <w:pPr>
      <w:tabs>
        <w:tab w:val="left" w:pos="1100"/>
        <w:tab w:val="right" w:leader="dot" w:pos="9344"/>
      </w:tabs>
      <w:ind w:firstLine="567"/>
    </w:pPr>
    <w:rPr>
      <w:rFonts w:cs="Arial"/>
      <w:szCs w:val="28"/>
    </w:rPr>
  </w:style>
  <w:style w:type="paragraph" w:styleId="12">
    <w:name w:val="toc 1"/>
    <w:basedOn w:val="a"/>
    <w:next w:val="a"/>
    <w:uiPriority w:val="39"/>
    <w:unhideWhenUsed/>
    <w:qFormat/>
    <w:pPr>
      <w:ind w:firstLine="0"/>
    </w:pPr>
    <w:rPr>
      <w:sz w:val="28"/>
    </w:rPr>
  </w:style>
  <w:style w:type="paragraph" w:styleId="23">
    <w:name w:val="toc 2"/>
    <w:basedOn w:val="a"/>
    <w:next w:val="a"/>
    <w:uiPriority w:val="39"/>
    <w:unhideWhenUsed/>
    <w:qFormat/>
    <w:pPr>
      <w:ind w:firstLine="284"/>
    </w:pPr>
  </w:style>
  <w:style w:type="paragraph" w:customStyle="1" w:styleId="13">
    <w:name w:val="Заголовок 1_"/>
    <w:link w:val="14"/>
    <w:qFormat/>
    <w:pPr>
      <w:spacing w:after="60"/>
      <w:jc w:val="both"/>
      <w:outlineLvl w:val="0"/>
    </w:pPr>
    <w:rPr>
      <w:rFonts w:ascii="Impact" w:eastAsiaTheme="majorEastAsia" w:hAnsi="Impact" w:cstheme="majorBidi"/>
      <w:b/>
      <w:bCs/>
      <w:color w:val="404040" w:themeColor="text1" w:themeTint="BF"/>
      <w:sz w:val="28"/>
      <w:szCs w:val="28"/>
    </w:rPr>
  </w:style>
  <w:style w:type="character" w:customStyle="1" w:styleId="14">
    <w:name w:val="Заголовок 1_ Знак"/>
    <w:basedOn w:val="10"/>
    <w:link w:val="13"/>
    <w:rPr>
      <w:rFonts w:ascii="Impact" w:eastAsiaTheme="majorEastAsia" w:hAnsi="Impact" w:cstheme="majorBidi"/>
      <w:b/>
      <w:bCs/>
      <w:color w:val="404040" w:themeColor="text1" w:themeTint="BF"/>
      <w:sz w:val="28"/>
      <w:szCs w:val="28"/>
    </w:rPr>
  </w:style>
  <w:style w:type="paragraph" w:customStyle="1" w:styleId="24">
    <w:name w:val="Заголовок 2 уровня"/>
    <w:basedOn w:val="a"/>
    <w:link w:val="25"/>
    <w:qFormat/>
    <w:pPr>
      <w:ind w:left="567" w:firstLine="0"/>
      <w:outlineLvl w:val="1"/>
    </w:pPr>
    <w:rPr>
      <w:rFonts w:ascii="Impact" w:hAnsi="Impact" w:cs="Arial"/>
      <w:color w:val="404040" w:themeColor="text1" w:themeTint="BF"/>
      <w:sz w:val="28"/>
      <w:szCs w:val="28"/>
    </w:rPr>
  </w:style>
  <w:style w:type="character" w:customStyle="1" w:styleId="25">
    <w:name w:val="Заголовок 2 уровня Знак"/>
    <w:basedOn w:val="a0"/>
    <w:link w:val="24"/>
    <w:rPr>
      <w:rFonts w:ascii="Impact" w:hAnsi="Impact" w:cs="Arial"/>
      <w:color w:val="404040" w:themeColor="text1" w:themeTint="BF"/>
      <w:sz w:val="28"/>
      <w:szCs w:val="28"/>
    </w:rPr>
  </w:style>
  <w:style w:type="character" w:styleId="af6">
    <w:name w:val="Hyperlink"/>
    <w:basedOn w:val="a0"/>
    <w:uiPriority w:val="99"/>
    <w:unhideWhenUsed/>
    <w:rPr>
      <w:color w:val="0000FF" w:themeColor="hyperlink"/>
      <w:u w:val="single"/>
    </w:rPr>
  </w:style>
  <w:style w:type="paragraph" w:customStyle="1" w:styleId="33">
    <w:name w:val="Заголовок_3"/>
    <w:basedOn w:val="24"/>
    <w:link w:val="34"/>
    <w:qFormat/>
    <w:pPr>
      <w:ind w:left="709"/>
      <w:outlineLvl w:val="2"/>
    </w:pPr>
    <w:rPr>
      <w:color w:val="7F7F7F" w:themeColor="text1" w:themeTint="80"/>
      <w:sz w:val="24"/>
      <w:szCs w:val="24"/>
    </w:rPr>
  </w:style>
  <w:style w:type="character" w:customStyle="1" w:styleId="34">
    <w:name w:val="Заголовок_3 Знак"/>
    <w:basedOn w:val="25"/>
    <w:link w:val="33"/>
    <w:rPr>
      <w:rFonts w:ascii="Impact" w:hAnsi="Impact" w:cs="Arial"/>
      <w:color w:val="7F7F7F" w:themeColor="text1" w:themeTint="80"/>
      <w:sz w:val="24"/>
      <w:szCs w:val="24"/>
    </w:rPr>
  </w:style>
  <w:style w:type="paragraph" w:customStyle="1" w:styleId="docdata">
    <w:name w:val="docdata"/>
    <w:aliases w:val="docy,v5,784990,bgiaagaaexweaaaggaqaaapj0gsaawbucwaf4uklaaaaaaaaaaaaaaaaaaaaaaaaaaaaaaaaaaaaaaaaaaaaaaaaaaaaaaaaaaaaaaaaaaaaaaaaaaaaaaaaaaaaaaaaaaaaaaaaaaaaaaaaaaaaaaaaaaaaaaaaaaaaaaaaaaaaaaaaaaaaaaaaaaaaaaaaaaaaaaaaaaaaaaaaaaaaaaaaaaaaaaaaaaaaaa"/>
    <w:basedOn w:val="a"/>
    <w:pPr>
      <w:spacing w:before="100" w:beforeAutospacing="1" w:after="100" w:afterAutospacing="1" w:line="240" w:lineRule="auto"/>
      <w:ind w:firstLine="0"/>
      <w:jc w:val="left"/>
    </w:pPr>
    <w:rPr>
      <w:rFonts w:ascii="Times New Roman" w:eastAsia="Times New Roman" w:hAnsi="Times New Roman" w:cs="Times New Roman"/>
      <w:szCs w:val="24"/>
      <w:lang w:eastAsia="ru-RU"/>
    </w:rPr>
  </w:style>
  <w:style w:type="paragraph" w:styleId="af7">
    <w:name w:val="Normal (Web)"/>
    <w:basedOn w:val="a"/>
    <w:uiPriority w:val="99"/>
    <w:unhideWhenUsed/>
    <w:pPr>
      <w:spacing w:before="100" w:beforeAutospacing="1" w:after="100" w:afterAutospacing="1" w:line="240" w:lineRule="auto"/>
      <w:ind w:firstLine="0"/>
      <w:jc w:val="left"/>
    </w:pPr>
    <w:rPr>
      <w:rFonts w:ascii="Times New Roman" w:eastAsia="Times New Roman" w:hAnsi="Times New Roman" w:cs="Times New Roman"/>
      <w:szCs w:val="24"/>
      <w:lang w:eastAsia="ru-RU"/>
    </w:rPr>
  </w:style>
  <w:style w:type="paragraph" w:styleId="af8">
    <w:name w:val="annotation text"/>
    <w:basedOn w:val="a"/>
    <w:link w:val="af9"/>
    <w:uiPriority w:val="99"/>
    <w:semiHidden/>
    <w:unhideWhenUsed/>
    <w:pPr>
      <w:spacing w:line="240" w:lineRule="auto"/>
      <w:ind w:firstLine="0"/>
      <w:jc w:val="left"/>
    </w:pPr>
    <w:rPr>
      <w:rFonts w:asciiTheme="minorHAnsi" w:hAnsiTheme="minorHAnsi"/>
      <w:sz w:val="20"/>
      <w:szCs w:val="20"/>
    </w:rPr>
  </w:style>
  <w:style w:type="character" w:customStyle="1" w:styleId="af9">
    <w:name w:val="Текст примечания Знак"/>
    <w:basedOn w:val="a0"/>
    <w:link w:val="af8"/>
    <w:uiPriority w:val="99"/>
    <w:semiHidden/>
    <w:rPr>
      <w:sz w:val="20"/>
      <w:szCs w:val="20"/>
    </w:rPr>
  </w:style>
  <w:style w:type="paragraph" w:styleId="afa">
    <w:name w:val="TOC Heading"/>
    <w:basedOn w:val="1"/>
    <w:next w:val="a"/>
    <w:uiPriority w:val="39"/>
    <w:unhideWhenUsed/>
    <w:qFormat/>
    <w:pPr>
      <w:spacing w:before="240" w:line="259" w:lineRule="auto"/>
      <w:jc w:val="left"/>
      <w:outlineLvl w:val="9"/>
    </w:pPr>
    <w:rPr>
      <w:rFonts w:asciiTheme="majorHAnsi" w:hAnsiTheme="majorHAnsi"/>
      <w:b w:val="0"/>
      <w:bCs w:val="0"/>
      <w:color w:val="365F91" w:themeColor="accent1" w:themeShade="BF"/>
      <w:sz w:val="32"/>
      <w:szCs w:val="32"/>
      <w:lang w:eastAsia="ru-RU"/>
    </w:rPr>
  </w:style>
  <w:style w:type="character" w:styleId="afb">
    <w:name w:val="footnote reference"/>
    <w:aliases w:val="Знак сноски 1,Знак сноски-FN,Ciae niinee-FN,Referencia nota al pie,Ссылка на сноску 45,Appel note de bas de page,SUPERS,fr,Used by Word for Help footnote symbols,Ciae niinee 1,16 Point,Superscript 6 Point,Footnote Reference Number,SUPERS1,зс"/>
    <w:basedOn w:val="a0"/>
    <w:link w:val="15"/>
    <w:uiPriority w:val="99"/>
    <w:unhideWhenUsed/>
    <w:qFormat/>
  </w:style>
  <w:style w:type="paragraph" w:styleId="afc">
    <w:name w:val="footnote text"/>
    <w:aliases w:val="Table_Footnote_last,Table_Footnote_last Знак Знак Знак,Table_Footnote_last Знак,Текст сноски Знак1,Текст сноски Знак Знак,Текст сноски Знак1 Знак Знак,Текст сноски Знак Знак Знак Знак,Table_Footnote_last Знак1 Знак Знак,single space, Знак3"/>
    <w:basedOn w:val="a"/>
    <w:link w:val="afd"/>
    <w:uiPriority w:val="99"/>
    <w:unhideWhenUsed/>
    <w:qFormat/>
    <w:pPr>
      <w:spacing w:before="100" w:beforeAutospacing="1" w:after="100" w:afterAutospacing="1" w:line="240" w:lineRule="auto"/>
      <w:ind w:firstLine="0"/>
      <w:jc w:val="left"/>
    </w:pPr>
    <w:rPr>
      <w:rFonts w:ascii="Times New Roman" w:eastAsia="Times New Roman" w:hAnsi="Times New Roman" w:cs="Times New Roman"/>
      <w:szCs w:val="24"/>
      <w:lang w:eastAsia="ru-RU"/>
    </w:rPr>
  </w:style>
  <w:style w:type="character" w:customStyle="1" w:styleId="afd">
    <w:name w:val="Текст сноски Знак"/>
    <w:aliases w:val="Table_Footnote_last Знак1,Table_Footnote_last Знак Знак Знак Знак,Table_Footnote_last Знак Знак,Текст сноски Знак1 Знак,Текст сноски Знак Знак Знак,Текст сноски Знак1 Знак Знак Знак,Текст сноски Знак Знак Знак Знак Знак, Знак3 Знак"/>
    <w:basedOn w:val="a0"/>
    <w:link w:val="afc"/>
    <w:uiPriority w:val="99"/>
    <w:qFormat/>
    <w:rPr>
      <w:rFonts w:ascii="Times New Roman" w:eastAsia="Times New Roman" w:hAnsi="Times New Roman" w:cs="Times New Roman"/>
      <w:sz w:val="24"/>
      <w:szCs w:val="24"/>
      <w:lang w:eastAsia="ru-RU"/>
    </w:rPr>
  </w:style>
  <w:style w:type="paragraph" w:customStyle="1" w:styleId="15">
    <w:name w:val="Знак сноски1"/>
    <w:link w:val="afb"/>
    <w:pPr>
      <w:spacing w:after="0" w:line="240" w:lineRule="auto"/>
    </w:pPr>
  </w:style>
  <w:style w:type="table" w:customStyle="1" w:styleId="TableGridReport1">
    <w:name w:val="Table Grid Report1"/>
    <w:basedOn w:val="a1"/>
    <w:next w:val="afe"/>
    <w:uiPriority w:val="59"/>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styleId="afe">
    <w:name w:val="Table Grid"/>
    <w:aliases w:val="Table Grid Report,Сетка таблицы777,Текст в таблице,OTR"/>
    <w:basedOn w:val="a1"/>
    <w:uiPriority w:val="39"/>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1character">
    <w:name w:val="Рисунок 1_character"/>
    <w:link w:val="16"/>
    <w:rPr>
      <w:rFonts w:ascii="Times New Roman" w:eastAsia="Times New Roman" w:hAnsi="Times New Roman" w:cs="Times New Roman"/>
      <w:b/>
      <w:bCs/>
      <w:color w:val="000000"/>
      <w:sz w:val="24"/>
      <w:szCs w:val="24"/>
    </w:rPr>
  </w:style>
  <w:style w:type="paragraph" w:customStyle="1" w:styleId="16">
    <w:name w:val="Рисунок 1"/>
    <w:basedOn w:val="a"/>
    <w:link w:val="1character"/>
    <w:qFormat/>
    <w:pPr>
      <w:pBdr>
        <w:top w:val="none" w:sz="4" w:space="0" w:color="000000"/>
        <w:left w:val="none" w:sz="4" w:space="0" w:color="000000"/>
        <w:bottom w:val="none" w:sz="4" w:space="0" w:color="000000"/>
        <w:right w:val="none" w:sz="4" w:space="0" w:color="000000"/>
      </w:pBdr>
      <w:ind w:firstLine="0"/>
    </w:pPr>
    <w:rPr>
      <w:rFonts w:ascii="Times New Roman" w:eastAsia="Times New Roman" w:hAnsi="Times New Roman" w:cs="Times New Roman"/>
      <w:b/>
      <w:bCs/>
      <w:color w:val="000000"/>
      <w:szCs w:val="24"/>
    </w:rPr>
  </w:style>
  <w:style w:type="character" w:customStyle="1" w:styleId="character">
    <w:name w:val="Рисунок_character"/>
    <w:link w:val="aff"/>
  </w:style>
  <w:style w:type="paragraph" w:customStyle="1" w:styleId="aff">
    <w:name w:val="Рисунок"/>
    <w:basedOn w:val="16"/>
    <w:link w:val="character"/>
    <w:qFormat/>
  </w:style>
  <w:style w:type="character" w:customStyle="1" w:styleId="character0">
    <w:name w:val="Таблица_character"/>
    <w:link w:val="aff0"/>
    <w:rPr>
      <w:rFonts w:ascii="Times New Roman" w:hAnsi="Times New Roman" w:cs="Times New Roman"/>
      <w:szCs w:val="24"/>
    </w:rPr>
  </w:style>
  <w:style w:type="paragraph" w:customStyle="1" w:styleId="aff0">
    <w:name w:val="Таблица"/>
    <w:basedOn w:val="a"/>
    <w:link w:val="character0"/>
    <w:qFormat/>
    <w:rPr>
      <w:rFonts w:ascii="Times New Roman" w:hAnsi="Times New Roman" w:cs="Times New Roman"/>
      <w:szCs w:val="24"/>
    </w:rPr>
  </w:style>
  <w:style w:type="character" w:styleId="aff1">
    <w:name w:val="annotation reference"/>
    <w:basedOn w:val="a0"/>
    <w:uiPriority w:val="99"/>
    <w:semiHidden/>
    <w:unhideWhenUsed/>
    <w:rPr>
      <w:sz w:val="16"/>
      <w:szCs w:val="16"/>
    </w:rPr>
  </w:style>
  <w:style w:type="paragraph" w:styleId="aff2">
    <w:name w:val="Balloon Text"/>
    <w:basedOn w:val="a"/>
    <w:link w:val="aff3"/>
    <w:uiPriority w:val="99"/>
    <w:semiHidden/>
    <w:unhideWhenUsed/>
    <w:rsid w:val="00D97880"/>
    <w:pPr>
      <w:spacing w:line="240" w:lineRule="auto"/>
    </w:pPr>
    <w:rPr>
      <w:rFonts w:ascii="Segoe UI" w:hAnsi="Segoe UI" w:cs="Segoe UI"/>
      <w:sz w:val="18"/>
      <w:szCs w:val="18"/>
    </w:rPr>
  </w:style>
  <w:style w:type="character" w:customStyle="1" w:styleId="aff3">
    <w:name w:val="Текст выноски Знак"/>
    <w:basedOn w:val="a0"/>
    <w:link w:val="aff2"/>
    <w:uiPriority w:val="99"/>
    <w:semiHidden/>
    <w:rsid w:val="00D97880"/>
    <w:rPr>
      <w:rFonts w:ascii="Segoe UI" w:hAnsi="Segoe UI" w:cs="Segoe UI"/>
      <w:sz w:val="18"/>
      <w:szCs w:val="18"/>
    </w:rPr>
  </w:style>
  <w:style w:type="character" w:customStyle="1" w:styleId="2105pt">
    <w:name w:val="Основной текст (2) + 10;5 pt"/>
    <w:basedOn w:val="a0"/>
    <w:rsid w:val="00577496"/>
    <w:rPr>
      <w:rFonts w:ascii="Times New Roman" w:eastAsia="Times New Roman" w:hAnsi="Times New Roman" w:cs="Times New Roman"/>
      <w:color w:val="000000"/>
      <w:spacing w:val="0"/>
      <w:w w:val="100"/>
      <w:position w:val="0"/>
      <w:sz w:val="21"/>
      <w:szCs w:val="21"/>
      <w:shd w:val="clear" w:color="auto" w:fill="FFFFFF"/>
      <w:lang w:val="ru-RU" w:eastAsia="ru-RU" w:bidi="ru-RU"/>
    </w:rPr>
  </w:style>
  <w:style w:type="character" w:customStyle="1" w:styleId="2105pt0">
    <w:name w:val="Основной текст (2) + 10;5 pt;Малые прописные"/>
    <w:basedOn w:val="a0"/>
    <w:rsid w:val="00577496"/>
    <w:rPr>
      <w:rFonts w:ascii="Times New Roman" w:eastAsia="Times New Roman" w:hAnsi="Times New Roman" w:cs="Times New Roman"/>
      <w:b w:val="0"/>
      <w:bCs w:val="0"/>
      <w:i w:val="0"/>
      <w:iCs w:val="0"/>
      <w:smallCaps/>
      <w:strike w:val="0"/>
      <w:color w:val="000000"/>
      <w:spacing w:val="0"/>
      <w:w w:val="100"/>
      <w:position w:val="0"/>
      <w:sz w:val="21"/>
      <w:szCs w:val="21"/>
      <w:u w:val="none"/>
      <w:shd w:val="clear" w:color="auto" w:fill="FFFFFF"/>
      <w:lang w:val="ru-RU" w:eastAsia="ru-RU" w:bidi="ru-RU"/>
    </w:rPr>
  </w:style>
  <w:style w:type="character" w:styleId="aff4">
    <w:name w:val="Emphasis"/>
    <w:basedOn w:val="a0"/>
    <w:uiPriority w:val="20"/>
    <w:qFormat/>
    <w:rsid w:val="006C7DE5"/>
    <w:rPr>
      <w:i/>
      <w:iCs/>
    </w:rPr>
  </w:style>
  <w:style w:type="character" w:customStyle="1" w:styleId="2085">
    <w:name w:val="2085"/>
    <w:aliases w:val="bqiaagaaedaeaaag1aqaaaombwaabzohaaaaaaaaaaaaaaaaaaaaaaaaaaaaaaaaaaaaaaaaaaaaaaaaaaaaaaaaaaaaaaaaaaaaaaaaaaaaaaaaaaaaaaaaaaaaaaaaaaaaaaaaaaaaaaaaaaaaaaaaaaaaaaaaaaaaaaaaaaaaaaaaaaaaaaaaaaaaaaaaaaaaaaaaaaaaaaaaaaaaaaaaaaaaaaaaaaaaaaaa"/>
    <w:basedOn w:val="a0"/>
    <w:rsid w:val="004D62B6"/>
  </w:style>
  <w:style w:type="character" w:customStyle="1" w:styleId="1685">
    <w:name w:val="1685"/>
    <w:aliases w:val="bqiaagaaexweaaaggaqaaap8bqaabqogaaaaaaaaaaaaaaaaaaaaaaaaaaaaaaaaaaaaaaaaaaaaaaaaaaaaaaaaaaaaaaaaaaaaaaaaaaaaaaaaaaaaaaaaaaaaaaaaaaaaaaaaaaaaaaaaaaaaaaaaaaaaaaaaaaaaaaaaaaaaaaaaaaaaaaaaaaaaaaaaaaaaaaaaaaaaaaaaaaaaaaaaaaaaaaaaaaaaaaaa"/>
    <w:basedOn w:val="a0"/>
    <w:rsid w:val="00D9276C"/>
  </w:style>
  <w:style w:type="paragraph" w:styleId="aff5">
    <w:name w:val="annotation subject"/>
    <w:basedOn w:val="af8"/>
    <w:next w:val="af8"/>
    <w:link w:val="aff6"/>
    <w:uiPriority w:val="99"/>
    <w:semiHidden/>
    <w:unhideWhenUsed/>
    <w:rsid w:val="00423B27"/>
    <w:pPr>
      <w:ind w:firstLine="709"/>
      <w:jc w:val="both"/>
    </w:pPr>
    <w:rPr>
      <w:rFonts w:ascii="Arial" w:hAnsi="Arial"/>
      <w:b/>
      <w:bCs/>
    </w:rPr>
  </w:style>
  <w:style w:type="character" w:customStyle="1" w:styleId="aff6">
    <w:name w:val="Тема примечания Знак"/>
    <w:basedOn w:val="af9"/>
    <w:link w:val="aff5"/>
    <w:uiPriority w:val="99"/>
    <w:semiHidden/>
    <w:rsid w:val="00423B27"/>
    <w:rPr>
      <w:rFonts w:ascii="Arial" w:hAnsi="Arial"/>
      <w:b/>
      <w:bCs/>
      <w:sz w:val="20"/>
      <w:szCs w:val="20"/>
    </w:rPr>
  </w:style>
  <w:style w:type="character" w:customStyle="1" w:styleId="a4">
    <w:name w:val="Абзац списка Знак"/>
    <w:aliases w:val="ПАРАГРАФ Знак,Абзац списка11 Знак,Булит Знак,Маркер Знак,Bullet Number Знак,Нумерованый список Знак,List Paragraph1 Знак,Bullet List Знак,FooterText Знак,numbered Знак,lp1 Знак,название Знак,Paragraphe de liste1 Знак,Bullet 1 Знак"/>
    <w:link w:val="a3"/>
    <w:uiPriority w:val="34"/>
    <w:locked/>
    <w:rsid w:val="00D50841"/>
    <w:rPr>
      <w:rFonts w:ascii="Arial" w:hAnsi="Arial"/>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6244513">
      <w:bodyDiv w:val="1"/>
      <w:marLeft w:val="0"/>
      <w:marRight w:val="0"/>
      <w:marTop w:val="0"/>
      <w:marBottom w:val="0"/>
      <w:divBdr>
        <w:top w:val="none" w:sz="0" w:space="0" w:color="auto"/>
        <w:left w:val="none" w:sz="0" w:space="0" w:color="auto"/>
        <w:bottom w:val="none" w:sz="0" w:space="0" w:color="auto"/>
        <w:right w:val="none" w:sz="0" w:space="0" w:color="auto"/>
      </w:divBdr>
    </w:div>
    <w:div w:id="191774509">
      <w:bodyDiv w:val="1"/>
      <w:marLeft w:val="0"/>
      <w:marRight w:val="0"/>
      <w:marTop w:val="0"/>
      <w:marBottom w:val="0"/>
      <w:divBdr>
        <w:top w:val="none" w:sz="0" w:space="0" w:color="auto"/>
        <w:left w:val="none" w:sz="0" w:space="0" w:color="auto"/>
        <w:bottom w:val="none" w:sz="0" w:space="0" w:color="auto"/>
        <w:right w:val="none" w:sz="0" w:space="0" w:color="auto"/>
      </w:divBdr>
    </w:div>
    <w:div w:id="306319628">
      <w:bodyDiv w:val="1"/>
      <w:marLeft w:val="0"/>
      <w:marRight w:val="0"/>
      <w:marTop w:val="0"/>
      <w:marBottom w:val="0"/>
      <w:divBdr>
        <w:top w:val="none" w:sz="0" w:space="0" w:color="auto"/>
        <w:left w:val="none" w:sz="0" w:space="0" w:color="auto"/>
        <w:bottom w:val="none" w:sz="0" w:space="0" w:color="auto"/>
        <w:right w:val="none" w:sz="0" w:space="0" w:color="auto"/>
      </w:divBdr>
    </w:div>
    <w:div w:id="360325127">
      <w:bodyDiv w:val="1"/>
      <w:marLeft w:val="0"/>
      <w:marRight w:val="0"/>
      <w:marTop w:val="0"/>
      <w:marBottom w:val="0"/>
      <w:divBdr>
        <w:top w:val="none" w:sz="0" w:space="0" w:color="auto"/>
        <w:left w:val="none" w:sz="0" w:space="0" w:color="auto"/>
        <w:bottom w:val="none" w:sz="0" w:space="0" w:color="auto"/>
        <w:right w:val="none" w:sz="0" w:space="0" w:color="auto"/>
      </w:divBdr>
    </w:div>
    <w:div w:id="473840036">
      <w:bodyDiv w:val="1"/>
      <w:marLeft w:val="0"/>
      <w:marRight w:val="0"/>
      <w:marTop w:val="0"/>
      <w:marBottom w:val="0"/>
      <w:divBdr>
        <w:top w:val="none" w:sz="0" w:space="0" w:color="auto"/>
        <w:left w:val="none" w:sz="0" w:space="0" w:color="auto"/>
        <w:bottom w:val="none" w:sz="0" w:space="0" w:color="auto"/>
        <w:right w:val="none" w:sz="0" w:space="0" w:color="auto"/>
      </w:divBdr>
    </w:div>
    <w:div w:id="738018301">
      <w:bodyDiv w:val="1"/>
      <w:marLeft w:val="0"/>
      <w:marRight w:val="0"/>
      <w:marTop w:val="0"/>
      <w:marBottom w:val="0"/>
      <w:divBdr>
        <w:top w:val="none" w:sz="0" w:space="0" w:color="auto"/>
        <w:left w:val="none" w:sz="0" w:space="0" w:color="auto"/>
        <w:bottom w:val="none" w:sz="0" w:space="0" w:color="auto"/>
        <w:right w:val="none" w:sz="0" w:space="0" w:color="auto"/>
      </w:divBdr>
    </w:div>
    <w:div w:id="742095940">
      <w:bodyDiv w:val="1"/>
      <w:marLeft w:val="0"/>
      <w:marRight w:val="0"/>
      <w:marTop w:val="0"/>
      <w:marBottom w:val="0"/>
      <w:divBdr>
        <w:top w:val="none" w:sz="0" w:space="0" w:color="auto"/>
        <w:left w:val="none" w:sz="0" w:space="0" w:color="auto"/>
        <w:bottom w:val="none" w:sz="0" w:space="0" w:color="auto"/>
        <w:right w:val="none" w:sz="0" w:space="0" w:color="auto"/>
      </w:divBdr>
    </w:div>
    <w:div w:id="826440651">
      <w:bodyDiv w:val="1"/>
      <w:marLeft w:val="0"/>
      <w:marRight w:val="0"/>
      <w:marTop w:val="0"/>
      <w:marBottom w:val="0"/>
      <w:divBdr>
        <w:top w:val="none" w:sz="0" w:space="0" w:color="auto"/>
        <w:left w:val="none" w:sz="0" w:space="0" w:color="auto"/>
        <w:bottom w:val="none" w:sz="0" w:space="0" w:color="auto"/>
        <w:right w:val="none" w:sz="0" w:space="0" w:color="auto"/>
      </w:divBdr>
    </w:div>
    <w:div w:id="909849660">
      <w:bodyDiv w:val="1"/>
      <w:marLeft w:val="0"/>
      <w:marRight w:val="0"/>
      <w:marTop w:val="0"/>
      <w:marBottom w:val="0"/>
      <w:divBdr>
        <w:top w:val="none" w:sz="0" w:space="0" w:color="auto"/>
        <w:left w:val="none" w:sz="0" w:space="0" w:color="auto"/>
        <w:bottom w:val="none" w:sz="0" w:space="0" w:color="auto"/>
        <w:right w:val="none" w:sz="0" w:space="0" w:color="auto"/>
      </w:divBdr>
    </w:div>
    <w:div w:id="1058088175">
      <w:bodyDiv w:val="1"/>
      <w:marLeft w:val="0"/>
      <w:marRight w:val="0"/>
      <w:marTop w:val="0"/>
      <w:marBottom w:val="0"/>
      <w:divBdr>
        <w:top w:val="none" w:sz="0" w:space="0" w:color="auto"/>
        <w:left w:val="none" w:sz="0" w:space="0" w:color="auto"/>
        <w:bottom w:val="none" w:sz="0" w:space="0" w:color="auto"/>
        <w:right w:val="none" w:sz="0" w:space="0" w:color="auto"/>
      </w:divBdr>
    </w:div>
    <w:div w:id="1092359447">
      <w:bodyDiv w:val="1"/>
      <w:marLeft w:val="0"/>
      <w:marRight w:val="0"/>
      <w:marTop w:val="0"/>
      <w:marBottom w:val="0"/>
      <w:divBdr>
        <w:top w:val="none" w:sz="0" w:space="0" w:color="auto"/>
        <w:left w:val="none" w:sz="0" w:space="0" w:color="auto"/>
        <w:bottom w:val="none" w:sz="0" w:space="0" w:color="auto"/>
        <w:right w:val="none" w:sz="0" w:space="0" w:color="auto"/>
      </w:divBdr>
    </w:div>
    <w:div w:id="1280600251">
      <w:bodyDiv w:val="1"/>
      <w:marLeft w:val="0"/>
      <w:marRight w:val="0"/>
      <w:marTop w:val="0"/>
      <w:marBottom w:val="0"/>
      <w:divBdr>
        <w:top w:val="none" w:sz="0" w:space="0" w:color="auto"/>
        <w:left w:val="none" w:sz="0" w:space="0" w:color="auto"/>
        <w:bottom w:val="none" w:sz="0" w:space="0" w:color="auto"/>
        <w:right w:val="none" w:sz="0" w:space="0" w:color="auto"/>
      </w:divBdr>
    </w:div>
    <w:div w:id="1320646609">
      <w:bodyDiv w:val="1"/>
      <w:marLeft w:val="0"/>
      <w:marRight w:val="0"/>
      <w:marTop w:val="0"/>
      <w:marBottom w:val="0"/>
      <w:divBdr>
        <w:top w:val="none" w:sz="0" w:space="0" w:color="auto"/>
        <w:left w:val="none" w:sz="0" w:space="0" w:color="auto"/>
        <w:bottom w:val="none" w:sz="0" w:space="0" w:color="auto"/>
        <w:right w:val="none" w:sz="0" w:space="0" w:color="auto"/>
      </w:divBdr>
    </w:div>
    <w:div w:id="1352877764">
      <w:bodyDiv w:val="1"/>
      <w:marLeft w:val="0"/>
      <w:marRight w:val="0"/>
      <w:marTop w:val="0"/>
      <w:marBottom w:val="0"/>
      <w:divBdr>
        <w:top w:val="none" w:sz="0" w:space="0" w:color="auto"/>
        <w:left w:val="none" w:sz="0" w:space="0" w:color="auto"/>
        <w:bottom w:val="none" w:sz="0" w:space="0" w:color="auto"/>
        <w:right w:val="none" w:sz="0" w:space="0" w:color="auto"/>
      </w:divBdr>
      <w:divsChild>
        <w:div w:id="1206412627">
          <w:marLeft w:val="0"/>
          <w:marRight w:val="0"/>
          <w:marTop w:val="0"/>
          <w:marBottom w:val="0"/>
          <w:divBdr>
            <w:top w:val="none" w:sz="0" w:space="0" w:color="auto"/>
            <w:left w:val="none" w:sz="0" w:space="0" w:color="auto"/>
            <w:bottom w:val="none" w:sz="0" w:space="0" w:color="auto"/>
            <w:right w:val="none" w:sz="0" w:space="0" w:color="auto"/>
          </w:divBdr>
        </w:div>
      </w:divsChild>
    </w:div>
    <w:div w:id="1445077692">
      <w:bodyDiv w:val="1"/>
      <w:marLeft w:val="0"/>
      <w:marRight w:val="0"/>
      <w:marTop w:val="0"/>
      <w:marBottom w:val="0"/>
      <w:divBdr>
        <w:top w:val="none" w:sz="0" w:space="0" w:color="auto"/>
        <w:left w:val="none" w:sz="0" w:space="0" w:color="auto"/>
        <w:bottom w:val="none" w:sz="0" w:space="0" w:color="auto"/>
        <w:right w:val="none" w:sz="0" w:space="0" w:color="auto"/>
      </w:divBdr>
    </w:div>
    <w:div w:id="1582174639">
      <w:bodyDiv w:val="1"/>
      <w:marLeft w:val="0"/>
      <w:marRight w:val="0"/>
      <w:marTop w:val="0"/>
      <w:marBottom w:val="0"/>
      <w:divBdr>
        <w:top w:val="none" w:sz="0" w:space="0" w:color="auto"/>
        <w:left w:val="none" w:sz="0" w:space="0" w:color="auto"/>
        <w:bottom w:val="none" w:sz="0" w:space="0" w:color="auto"/>
        <w:right w:val="none" w:sz="0" w:space="0" w:color="auto"/>
      </w:divBdr>
    </w:div>
    <w:div w:id="1596210678">
      <w:bodyDiv w:val="1"/>
      <w:marLeft w:val="0"/>
      <w:marRight w:val="0"/>
      <w:marTop w:val="0"/>
      <w:marBottom w:val="0"/>
      <w:divBdr>
        <w:top w:val="none" w:sz="0" w:space="0" w:color="auto"/>
        <w:left w:val="none" w:sz="0" w:space="0" w:color="auto"/>
        <w:bottom w:val="none" w:sz="0" w:space="0" w:color="auto"/>
        <w:right w:val="none" w:sz="0" w:space="0" w:color="auto"/>
      </w:divBdr>
    </w:div>
    <w:div w:id="18246639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6.png"/><Relationship Id="rId26" Type="http://schemas.openxmlformats.org/officeDocument/2006/relationships/image" Target="media/image9.png"/><Relationship Id="rId39" Type="http://schemas.openxmlformats.org/officeDocument/2006/relationships/hyperlink" Target="https://ru.wikipedia.org/wiki/%D0%9B%D0%B5%D0%B2%D0%BE%D0%B1%D0%B5%D1%80%D1%91%D0%B7%D0%BE%D0%B2%D1%81%D0%BA%D0%B8%D0%B9" TargetMode="External"/><Relationship Id="rId21" Type="http://schemas.openxmlformats.org/officeDocument/2006/relationships/chart" Target="charts/chart5.xml"/><Relationship Id="rId34" Type="http://schemas.openxmlformats.org/officeDocument/2006/relationships/hyperlink" Target="https://ru.wikipedia.org/wiki/%D0%92%D1%8B%D1%81%D0%BE%D0%BA%D0%BE%D0%B3%D0%BE%D1%80%D0%BD%D1%8B%D0%B9_(%D0%A1%D1%82%D0%B0%D0%B2%D1%80%D0%BE%D0%BF%D0%BE%D0%BB%D1%8C%D1%81%D0%BA%D0%B8%D0%B9_%D0%BA%D1%80%D0%B0%D0%B9)" TargetMode="External"/><Relationship Id="rId42" Type="http://schemas.openxmlformats.org/officeDocument/2006/relationships/image" Target="media/image18.png"/><Relationship Id="rId47" Type="http://schemas.openxmlformats.org/officeDocument/2006/relationships/hyperlink" Target="https://ru.wikipedia.org/wiki/%D0%9F%D1%80%D0%B0%D0%B2%D0%BE%D0%B1%D0%B5%D1%80%D1%91%D0%B7%D0%BE%D0%B2%D1%81%D0%BA%D0%B8%D0%B9" TargetMode="External"/><Relationship Id="rId50"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5.png"/><Relationship Id="rId29" Type="http://schemas.openxmlformats.org/officeDocument/2006/relationships/hyperlink" Target="https://gd7gz7upc7csqgpe_sas_801_cfcbbcf36dbc3248500f432f687e9659.onlyoffice.disk.yandex.net/7.4.0-112/web-apps/apps/documenteditor/main/index_loader.html?_dc=7.4.0-112&amp;lang=ru&amp;customer=%D0%AF%D0%BD%D0%B4%D0%B5%D0%BA%D1%81.%D0%94%D0%B8%D1%81%D0%BA&amp;headerlogo=https%3A%2F%2Fyastatic.net%2Fs3%2Feditor%2F_%2Feditor_docs_icon_ru_v1.svg&amp;frameEditorId=only-office-app&amp;parentOrigin=https://disk.yandex.ru" TargetMode="External"/><Relationship Id="rId11" Type="http://schemas.openxmlformats.org/officeDocument/2006/relationships/image" Target="media/image2.png"/><Relationship Id="rId24" Type="http://schemas.openxmlformats.org/officeDocument/2006/relationships/image" Target="media/image8.png"/><Relationship Id="rId32" Type="http://schemas.openxmlformats.org/officeDocument/2006/relationships/image" Target="media/image12.png"/><Relationship Id="rId37" Type="http://schemas.openxmlformats.org/officeDocument/2006/relationships/hyperlink" Target="https://ru.wikipedia.org/wiki/%D0%98%D0%BD%D0%B4%D1%83%D1%81%D1%82%D1%80%D0%B8%D1%8F_(%D0%A1%D1%82%D0%B0%D0%B2%D1%80%D0%BE%D0%BF%D0%BE%D0%BB%D1%8C%D1%81%D0%BA%D0%B8%D0%B9_%D0%BA%D1%80%D0%B0%D0%B9)" TargetMode="External"/><Relationship Id="rId40" Type="http://schemas.openxmlformats.org/officeDocument/2006/relationships/image" Target="media/image17.png"/><Relationship Id="rId45" Type="http://schemas.openxmlformats.org/officeDocument/2006/relationships/hyperlink" Target="https://ru.wikipedia.org/wiki/%D0%9D%D0%BE%D0%B2%D0%BE%D0%BA%D0%B8%D1%81%D0%BB%D0%BE%D0%B2%D0%BE%D0%B4%D1%81%D0%BA%D0%B8%D0%B9" TargetMode="External"/><Relationship Id="rId5" Type="http://schemas.openxmlformats.org/officeDocument/2006/relationships/settings" Target="settings.xml"/><Relationship Id="rId15" Type="http://schemas.openxmlformats.org/officeDocument/2006/relationships/chart" Target="charts/chart1.xml"/><Relationship Id="rId23" Type="http://schemas.openxmlformats.org/officeDocument/2006/relationships/chart" Target="charts/chart6.xml"/><Relationship Id="rId28" Type="http://schemas.openxmlformats.org/officeDocument/2006/relationships/hyperlink" Target="https://gd7gz7upc7csqgpe_sas_801_cfcbbcf36dbc3248500f432f687e9659.onlyoffice.disk.yandex.net/7.4.0-112/web-apps/apps/documenteditor/main/index_loader.html?_dc=7.4.0-112&amp;lang=ru&amp;customer=%D0%AF%D0%BD%D0%B4%D0%B5%D0%BA%D1%81.%D0%94%D0%B8%D1%81%D0%BA&amp;headerlogo=https%3A%2F%2Fyastatic.net%2Fs3%2Feditor%2F_%2Feditor_docs_icon_ru_v1.svg&amp;frameEditorId=only-office-app&amp;parentOrigin=https://disk.yandex.ru" TargetMode="External"/><Relationship Id="rId36" Type="http://schemas.openxmlformats.org/officeDocument/2006/relationships/image" Target="media/image15.png"/><Relationship Id="rId49" Type="http://schemas.openxmlformats.org/officeDocument/2006/relationships/fontTable" Target="fontTable.xml"/><Relationship Id="rId10" Type="http://schemas.openxmlformats.org/officeDocument/2006/relationships/image" Target="media/image1.jpg"/><Relationship Id="rId19" Type="http://schemas.openxmlformats.org/officeDocument/2006/relationships/chart" Target="charts/chart3.xml"/><Relationship Id="rId31" Type="http://schemas.openxmlformats.org/officeDocument/2006/relationships/image" Target="media/image11.png"/><Relationship Id="rId44" Type="http://schemas.openxmlformats.org/officeDocument/2006/relationships/image" Target="media/image19.png"/><Relationship Id="rId4" Type="http://schemas.microsoft.com/office/2007/relationships/stylesWithEffects" Target="stylesWithEffects.xml"/><Relationship Id="rId9" Type="http://schemas.openxmlformats.org/officeDocument/2006/relationships/hyperlink" Target="file:///C:/Users/Lenovo/Downloads/%D0%9C%D0%B0%D1%82%D0%B5%D1%80%D0%B8%D0%B0%D0%BB%D1%8B%20%D0%BF%D0%BE%20%D0%BE%D0%B1%D0%BE%D1%81%D0%BD%D0%BE%D0%B2%D0%B0%D0%BD%D0%B8%D1%8E%20%D0%B2%20%D1%82%D0%B5%D0%BA%D1%81%D1%82%D0%BE%D0%B2%D0%BE%D0%B9%20%D1%84%D0%BE%D1%80%D0%BC%D0%B5%20(9).docx" TargetMode="External"/><Relationship Id="rId14" Type="http://schemas.openxmlformats.org/officeDocument/2006/relationships/hyperlink" Target="https://yugmeteo.donpac.ru/export/sites/default/Observation/order-40.pdf" TargetMode="External"/><Relationship Id="rId22" Type="http://schemas.openxmlformats.org/officeDocument/2006/relationships/image" Target="media/image7.png"/><Relationship Id="rId27" Type="http://schemas.openxmlformats.org/officeDocument/2006/relationships/image" Target="media/image10.png"/><Relationship Id="rId30" Type="http://schemas.openxmlformats.org/officeDocument/2006/relationships/hyperlink" Target="https://gd7gz7upc7csqgpe_sas_801_cfcbbcf36dbc3248500f432f687e9659.onlyoffice.disk.yandex.net/7.4.0-112/web-apps/apps/documenteditor/main/index_loader.html?_dc=7.4.0-112&amp;lang=ru&amp;customer=%D0%AF%D0%BD%D0%B4%D0%B5%D0%BA%D1%81.%D0%94%D0%B8%D1%81%D0%BA&amp;headerlogo=https%3A%2F%2Fyastatic.net%2Fs3%2Feditor%2F_%2Feditor_docs_icon_ru_v1.svg&amp;frameEditorId=only-office-app&amp;parentOrigin=https://disk.yandex.ru" TargetMode="External"/><Relationship Id="rId35" Type="http://schemas.openxmlformats.org/officeDocument/2006/relationships/image" Target="media/image14.png"/><Relationship Id="rId43" Type="http://schemas.openxmlformats.org/officeDocument/2006/relationships/hyperlink" Target="https://ru.wikipedia.org/wiki/%D0%9D%D0%B0%D1%80%D0%B7%D0%B0%D0%BD%D0%BD%D1%8B%D0%B9" TargetMode="External"/><Relationship Id="rId48" Type="http://schemas.openxmlformats.org/officeDocument/2006/relationships/image" Target="media/image21.png"/><Relationship Id="rId8" Type="http://schemas.openxmlformats.org/officeDocument/2006/relationships/endnotes" Target="endnotes.xml"/><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chart" Target="charts/chart2.xml"/><Relationship Id="rId25" Type="http://schemas.openxmlformats.org/officeDocument/2006/relationships/footer" Target="footer1.xml"/><Relationship Id="rId33" Type="http://schemas.openxmlformats.org/officeDocument/2006/relationships/image" Target="media/image13.png"/><Relationship Id="rId38" Type="http://schemas.openxmlformats.org/officeDocument/2006/relationships/image" Target="media/image16.png"/><Relationship Id="rId46" Type="http://schemas.openxmlformats.org/officeDocument/2006/relationships/image" Target="media/image20.png"/><Relationship Id="rId20" Type="http://schemas.openxmlformats.org/officeDocument/2006/relationships/chart" Target="charts/chart4.xml"/><Relationship Id="rId41" Type="http://schemas.openxmlformats.org/officeDocument/2006/relationships/hyperlink" Target="https://ru.wikipedia.org/wiki/%D0%9B%D1%83%D0%BD%D0%B0%D1%87%D0%B0%D1%80%D1%81%D0%BA%D0%B8%D0%B9_(%D0%A1%D1%82%D0%B0%D0%B2%D1%80%D0%BE%D0%BF%D0%BE%D0%BB%D1%8C%D1%81%D0%BA%D0%B8%D0%B9_%D0%BA%D1%80%D0%B0%D0%B9)" TargetMode="External"/><Relationship Id="rId1" Type="http://schemas.openxmlformats.org/officeDocument/2006/relationships/customXml" Target="../customXml/item1.xml"/><Relationship Id="rId6" Type="http://schemas.openxmlformats.org/officeDocument/2006/relationships/webSettings" Target="webSettings.xml"/></Relationships>
</file>

<file path=word/_rels/footnotes.xml.rels><?xml version="1.0" encoding="UTF-8" standalone="yes"?>
<Relationships xmlns="http://schemas.openxmlformats.org/package/2006/relationships"><Relationship Id="rId13" Type="http://schemas.openxmlformats.org/officeDocument/2006/relationships/hyperlink" Target="https://mpr26.ru/oopt/pamyatniki-prirody/lermontovskiy-vodopad/" TargetMode="External"/><Relationship Id="rId18" Type="http://schemas.openxmlformats.org/officeDocument/2006/relationships/hyperlink" Target="https://rosstat.gov.ru/dbscripts/munst/munst07/DBInet.cgi" TargetMode="External"/><Relationship Id="rId26" Type="http://schemas.openxmlformats.org/officeDocument/2006/relationships/hyperlink" Target="https://kislovodsk-kurort.org/dokumenty/obshchestvennye-obsuzhdeniia/pasport-programmy-kompleksnogo-razvitiia-transportnoi-infrastruktury-gorodskogo-okruga-goroda-kurorta-kislovodska-stavropolskogo-kraia?ysclid=lu82pvin92618776842" TargetMode="External"/><Relationship Id="rId39" Type="http://schemas.openxmlformats.org/officeDocument/2006/relationships/hyperlink" Target="https://yandex.ru/maps/?ysclid=luchtwqgw5388242888" TargetMode="External"/><Relationship Id="rId21" Type="http://schemas.openxmlformats.org/officeDocument/2006/relationships/hyperlink" Target="https://rosstat.gov.ru/dbscripts/munst/munst07/DBInet.cgi" TargetMode="External"/><Relationship Id="rId34" Type="http://schemas.openxmlformats.org/officeDocument/2006/relationships/hyperlink" Target="https://kislovodsk-kurort.org/dokumenty/obshchestvennye-obsuzhdeniia/pasport-programmy-kompleksnogo-razvitiia-transportnoi-infrastruktury-gorodskogo-okruga-goroda-kurorta-kislovodska-stavropolskogo-kraia?ysclid=lu82pvin92618776842" TargetMode="External"/><Relationship Id="rId42" Type="http://schemas.openxmlformats.org/officeDocument/2006/relationships/hyperlink" Target="http://ksvoda.ru/" TargetMode="External"/><Relationship Id="rId47" Type="http://schemas.openxmlformats.org/officeDocument/2006/relationships/hyperlink" Target="https://gpte26.ru/media/reports/prilozhenie_2.pdf" TargetMode="External"/><Relationship Id="rId50" Type="http://schemas.openxmlformats.org/officeDocument/2006/relationships/hyperlink" Target="https://docs.cntd.ru/document/352185341" TargetMode="External"/><Relationship Id="rId55" Type="http://schemas.openxmlformats.org/officeDocument/2006/relationships/hyperlink" Target="http://base.consultant.ru/cons/cgi/online.cgi?req=doc;base=LAW;n=151211;fld=134;dst=1000000001,0;rnd=0.1225387891754508" TargetMode="External"/><Relationship Id="rId7" Type="http://schemas.openxmlformats.org/officeDocument/2006/relationships/hyperlink" Target="https://docs.cntd.ru/document/1300953649?marker=6540IN" TargetMode="External"/><Relationship Id="rId2" Type="http://schemas.openxmlformats.org/officeDocument/2006/relationships/hyperlink" Target="https://www.meteoblue.com/ru/%D0%BF%D0%BE%D0%B3%D0%BE%D0%B4%D0%B0/historyclimate/climatemodelled/%d0%9a%d0%b8%d1%81%d0%bb%d0%be%d0%b2%d0%be%d0%b4%d1%81%d0%ba_%d0%a0%d0%be%d1%81%d1%81%d0%b8%d1%8f_548114" TargetMode="External"/><Relationship Id="rId16" Type="http://schemas.openxmlformats.org/officeDocument/2006/relationships/hyperlink" Target="https://mpr26.ru/forest/lesnoy-plan-stavropolskogo-kraya/" TargetMode="External"/><Relationship Id="rId29" Type="http://schemas.openxmlformats.org/officeDocument/2006/relationships/hyperlink" Target="https://kislovodsk-kurort.org/dokumenty/obshchestvennye-obsuzhdeniia/pasport-programmy-kompleksnogo-razvitiia-transportnoi-infrastruktury-gorodskogo-okruga-goroda-kurorta-kislovodska-stavropolskogo-kraia?ysclid=lu82pvin92618776842" TargetMode="External"/><Relationship Id="rId11" Type="http://schemas.openxmlformats.org/officeDocument/2006/relationships/hyperlink" Target="https://mpr26.ru/oopt/pamyatniki-prirody/skaly-bronenosets-i-minonosets/" TargetMode="External"/><Relationship Id="rId24" Type="http://schemas.openxmlformats.org/officeDocument/2006/relationships/hyperlink" Target="https://kislovodsk-kurort.org/dokumenty/pasport-goroda-kurorta-kislovodska" TargetMode="External"/><Relationship Id="rId32" Type="http://schemas.openxmlformats.org/officeDocument/2006/relationships/hyperlink" Target="https://kislovodsk-kurort.org/dokumenty/obshchestvennye-obsuzhdeniia/pasport-programmy-kompleksnogo-razvitiia-transportnoi-infrastruktury-gorodskogo-okruga-goroda-kurorta-kislovodska-stavropolskogo-kraia?ysclid=lu82pvin92618776842" TargetMode="External"/><Relationship Id="rId37" Type="http://schemas.openxmlformats.org/officeDocument/2006/relationships/hyperlink" Target="https://kislovodsk-kurort.org/dokumenty/pasport-goroda-kurorta-kislovodska" TargetMode="External"/><Relationship Id="rId40" Type="http://schemas.openxmlformats.org/officeDocument/2006/relationships/hyperlink" Target="https://adm-kislovodsk.ru/site/section?id=432" TargetMode="External"/><Relationship Id="rId45" Type="http://schemas.openxmlformats.org/officeDocument/2006/relationships/hyperlink" Target="https://rostovenergo.lukoil.ru/ru/About/GeneratingFacilities" TargetMode="External"/><Relationship Id="rId53" Type="http://schemas.openxmlformats.org/officeDocument/2006/relationships/hyperlink" Target="https://kislovodsk-kurort.org/uploads/images/docum/ekonomika/1_2022/2020-_---2-1.pdf?ysclid=lugyru2pxh229433914" TargetMode="External"/><Relationship Id="rId58" Type="http://schemas.openxmlformats.org/officeDocument/2006/relationships/hyperlink" Target="https://gpte26.ru/media/reports/prilozhenie_2.pdf" TargetMode="External"/><Relationship Id="rId5" Type="http://schemas.openxmlformats.org/officeDocument/2006/relationships/hyperlink" Target="https://yugmeteo.donpac.ru/export/sites/default/Observation/order-40.pdf" TargetMode="External"/><Relationship Id="rId19" Type="http://schemas.openxmlformats.org/officeDocument/2006/relationships/hyperlink" Target="https://rosstat.gov.ru/dbscripts/munst/munst07/DBInet.cgi" TargetMode="External"/><Relationship Id="rId4" Type="http://schemas.openxmlformats.org/officeDocument/2006/relationships/hyperlink" Target="https://www.meteoblue.com/ru/%D0%BF%D0%BE%D0%B3%D0%BE%D0%B4%D0%B0/historyclimate/climatemodelled/%d0%9a%d0%b8%d1%81%d0%bb%d0%be%d0%b2%d0%be%d0%b4%d1%81%d0%ba_%d0%a0%d0%be%d1%81%d1%81%d0%b8%d1%8f_548114" TargetMode="External"/><Relationship Id="rId9" Type="http://schemas.openxmlformats.org/officeDocument/2006/relationships/hyperlink" Target="https://mpr26.ru/oopt/testovyy-razdel/" TargetMode="External"/><Relationship Id="rId14" Type="http://schemas.openxmlformats.org/officeDocument/2006/relationships/hyperlink" Target="https://mpr26.ru/upload/oopt/pasport-pamyatnika-prirody-kolco-gora-2020.pdf" TargetMode="External"/><Relationship Id="rId22" Type="http://schemas.openxmlformats.org/officeDocument/2006/relationships/hyperlink" Target="https://26.rosstat.gov.ru/folder/77775" TargetMode="External"/><Relationship Id="rId27" Type="http://schemas.openxmlformats.org/officeDocument/2006/relationships/hyperlink" Target="https://docs.cntd.ru/document/561749884?ysclid=lu12nvchs4556561019&amp;marker=O9827E&amp;section=text" TargetMode="External"/><Relationship Id="rId30" Type="http://schemas.openxmlformats.org/officeDocument/2006/relationships/hyperlink" Target="https://kislovodsk-kurort.org/home/ispolnitelnaia-vlast/upravlenie-po-ekonomike-i-investitsiiam1532965164/strategicheskoe-planirovanie/munitsipalnye-programmy-goroda-kurorta-kislovodska?ysclid=lue6q33n9o994689955" TargetMode="External"/><Relationship Id="rId35" Type="http://schemas.openxmlformats.org/officeDocument/2006/relationships/hyperlink" Target="https://kislovodsk.spravker.ru/taksi/?ysclid=lucdrwo8v2765380818" TargetMode="External"/><Relationship Id="rId43" Type="http://schemas.openxmlformats.org/officeDocument/2006/relationships/hyperlink" Target="http://ksvoda.ru/" TargetMode="External"/><Relationship Id="rId48" Type="http://schemas.openxmlformats.org/officeDocument/2006/relationships/hyperlink" Target="https://gpte26.ru/media/reports/prilozhenie_2.pdf" TargetMode="External"/><Relationship Id="rId56" Type="http://schemas.openxmlformats.org/officeDocument/2006/relationships/hyperlink" Target="https://kislovodsk-kurort.org/home/ispolnitelnaia-vlast/novosti-gorodskogo-hoziaistva/reestr-parkovok-obshchego-polzovaniia-v-gorode-kurorte-kislovodske?ysclid=lucik72ceq262482832" TargetMode="External"/><Relationship Id="rId8" Type="http://schemas.openxmlformats.org/officeDocument/2006/relationships/hyperlink" Target="https://mpr26.ru/oopt/testovyy-razdel/" TargetMode="External"/><Relationship Id="rId51" Type="http://schemas.openxmlformats.org/officeDocument/2006/relationships/hyperlink" Target="https://kislovodsk-kurort.org/investitsii/investitsionnaia-deiatelnost-na-territorii-g-kislovodska" TargetMode="External"/><Relationship Id="rId3" Type="http://schemas.openxmlformats.org/officeDocument/2006/relationships/hyperlink" Target="https://www.meteoblue.com/ru/%D0%BF%D0%BE%D0%B3%D0%BE%D0%B4%D0%B0/historyclimate/climatemodelled/%d0%9a%d0%b8%d1%81%d0%bb%d0%be%d0%b2%d0%be%d0%b4%d1%81%d0%ba_%d0%a0%d0%be%d1%81%d1%81%d0%b8%d1%8f_548114" TargetMode="External"/><Relationship Id="rId12" Type="http://schemas.openxmlformats.org/officeDocument/2006/relationships/hyperlink" Target="https://mpr26.ru/oopt/pamyatniki-prirody/lermontovskaya-skala/" TargetMode="External"/><Relationship Id="rId17" Type="http://schemas.openxmlformats.org/officeDocument/2006/relationships/hyperlink" Target="https://mpr26.ru/forest/lesokhozyaystvennye-reglamenty/?PAGEN_1=2" TargetMode="External"/><Relationship Id="rId25" Type="http://schemas.openxmlformats.org/officeDocument/2006/relationships/hyperlink" Target="https://kislovodsk-kurort.org/investitsii/investitsionnyi-pasport-goroda-kurorta-kislovodska" TargetMode="External"/><Relationship Id="rId33" Type="http://schemas.openxmlformats.org/officeDocument/2006/relationships/hyperlink" Target="https://kislovodsk-kurort.org/dokumenty/pasport-goroda-kurorta-kislovodska" TargetMode="External"/><Relationship Id="rId38" Type="http://schemas.openxmlformats.org/officeDocument/2006/relationships/hyperlink" Target="https://kavkaz.rbc.ru/kavkaz/freenews/6606ced69a7947514b5f7274" TargetMode="External"/><Relationship Id="rId46" Type="http://schemas.openxmlformats.org/officeDocument/2006/relationships/hyperlink" Target="https://gpte26.ru/media/reports/prilozhenie_2.pdf" TargetMode="External"/><Relationship Id="rId20" Type="http://schemas.openxmlformats.org/officeDocument/2006/relationships/hyperlink" Target="https://rosstat.gov.ru/dbscripts/munst/munst07/DBInet.cgi" TargetMode="External"/><Relationship Id="rId41" Type="http://schemas.openxmlformats.org/officeDocument/2006/relationships/hyperlink" Target="http://ksvoda.ru/" TargetMode="External"/><Relationship Id="rId54" Type="http://schemas.openxmlformats.org/officeDocument/2006/relationships/hyperlink" Target="file:///C:/Users/User/Downloads/np_20161116d_1.pdf" TargetMode="External"/><Relationship Id="rId1" Type="http://schemas.openxmlformats.org/officeDocument/2006/relationships/hyperlink" Target="https://rosstat.gov.ru/compendium/document/13282" TargetMode="External"/><Relationship Id="rId6" Type="http://schemas.openxmlformats.org/officeDocument/2006/relationships/hyperlink" Target="https://www.mnr.gov.ru/activity/oopt/kislovodskiy_natsionalnyy_park/?ysclid=lty9o2fb53377585560" TargetMode="External"/><Relationship Id="rId15" Type="http://schemas.openxmlformats.org/officeDocument/2006/relationships/hyperlink" Target="https://mpr26.ru/oopt/pamyatniki-prirody/koltso-gora/" TargetMode="External"/><Relationship Id="rId23" Type="http://schemas.openxmlformats.org/officeDocument/2006/relationships/hyperlink" Target="https://rosstat.gov.ru/scripts/db_inet2/passport/pass.aspx?base=munst07&amp;r=7715000" TargetMode="External"/><Relationship Id="rId28" Type="http://schemas.openxmlformats.org/officeDocument/2006/relationships/hyperlink" Target="https://kislovodsk-kurort.org/dokumenty/pasport-goroda-kurorta-kislovodska" TargetMode="External"/><Relationship Id="rId36" Type="http://schemas.openxmlformats.org/officeDocument/2006/relationships/hyperlink" Target="https://kislovodsk-kurort.org/home/ispolnitelnaia-vlast/novosti-gorodskogo-hoziaistva/perechen-legalnyh-taksi-v-kislovodske" TargetMode="External"/><Relationship Id="rId49" Type="http://schemas.openxmlformats.org/officeDocument/2006/relationships/hyperlink" Target="https://gpte26.ru/media/reports/prilozhenie_2.pdf" TargetMode="External"/><Relationship Id="rId57" Type="http://schemas.openxmlformats.org/officeDocument/2006/relationships/hyperlink" Target="https://gpte26.ru/media/reports/prilozhenie_2.pdf" TargetMode="External"/><Relationship Id="rId10" Type="http://schemas.openxmlformats.org/officeDocument/2006/relationships/hyperlink" Target="https://mpr26.ru/oopt/pamyatniki-prirody/zamok-kovarstva-i-lyubvi/" TargetMode="External"/><Relationship Id="rId31" Type="http://schemas.openxmlformats.org/officeDocument/2006/relationships/hyperlink" Target="https://rosstat.gov.ru/" TargetMode="External"/><Relationship Id="rId44" Type="http://schemas.openxmlformats.org/officeDocument/2006/relationships/hyperlink" Target="https://rostovenergo.lukoil.ru/ru/About/GeneratingFacilities" TargetMode="External"/><Relationship Id="rId52" Type="http://schemas.openxmlformats.org/officeDocument/2006/relationships/hyperlink" Target="https://kislovodsk-kurort.org/uploads/images/docum/ekonomika/1_2022/2020-_---2-1.pdf?ysclid=lugyru2pxh229433914" TargetMode="Externa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Worksheet5.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Excel_Worksheet6.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1.8589999999999999E-2"/>
          <c:y val="3.7069999999999999E-2"/>
          <c:w val="0.96057999999999999"/>
          <c:h val="0.79122999999999999"/>
        </c:manualLayout>
      </c:layout>
      <c:lineChart>
        <c:grouping val="standard"/>
        <c:varyColors val="0"/>
        <c:ser>
          <c:idx val="0"/>
          <c:order val="0"/>
          <c:tx>
            <c:strRef>
              <c:f>Sheet1!$B$1</c:f>
              <c:strCache>
                <c:ptCount val="1"/>
                <c:pt idx="0">
                  <c:v>Gold</c:v>
                </c:pt>
              </c:strCache>
            </c:strRef>
          </c:tx>
          <c:spPr>
            <a:ln w="19050" cap="rnd" cmpd="sng" algn="ctr">
              <a:solidFill>
                <a:schemeClr val="accent2"/>
              </a:solidFill>
              <a:prstDash val="solid"/>
              <a:round/>
            </a:ln>
          </c:spPr>
          <c:marker>
            <c:symbol val="none"/>
          </c:marker>
          <c:dLbls>
            <c:dLbl>
              <c:idx val="0"/>
              <c:layout>
                <c:manualLayout>
                  <c:x val="0"/>
                  <c:y val="-3.2489999999999998E-2"/>
                </c:manualLayout>
              </c:layout>
              <c:dLblPos val="ctr"/>
              <c:showLegendKey val="0"/>
              <c:showVal val="1"/>
              <c:showCatName val="0"/>
              <c:showSerName val="0"/>
              <c:showPercent val="0"/>
              <c:showBubbleSize val="0"/>
              <c:separator> </c:separator>
              <c:extLst xmlns:c16r2="http://schemas.microsoft.com/office/drawing/2015/06/chart">
                <c:ext xmlns:c16="http://schemas.microsoft.com/office/drawing/2014/chart" uri="{C3380CC4-5D6E-409C-BE32-E72D297353CC}">
                  <c16:uniqueId val="{00000000-8769-42CD-89A0-799587B68E70}"/>
                </c:ext>
                <c:ext xmlns:c15="http://schemas.microsoft.com/office/drawing/2012/chart" uri="{CE6537A1-D6FC-4f65-9D91-7224C49458BB}"/>
              </c:extLst>
            </c:dLbl>
            <c:dLbl>
              <c:idx val="1"/>
              <c:layout>
                <c:manualLayout>
                  <c:x val="0"/>
                  <c:y val="-2.0289999999999999E-2"/>
                </c:manualLayout>
              </c:layout>
              <c:dLblPos val="ctr"/>
              <c:showLegendKey val="0"/>
              <c:showVal val="1"/>
              <c:showCatName val="0"/>
              <c:showSerName val="0"/>
              <c:showPercent val="0"/>
              <c:showBubbleSize val="0"/>
              <c:separator> </c:separator>
              <c:extLst xmlns:c16r2="http://schemas.microsoft.com/office/drawing/2015/06/chart">
                <c:ext xmlns:c16="http://schemas.microsoft.com/office/drawing/2014/chart" uri="{C3380CC4-5D6E-409C-BE32-E72D297353CC}">
                  <c16:uniqueId val="{00000001-8769-42CD-89A0-799587B68E70}"/>
                </c:ext>
                <c:ext xmlns:c15="http://schemas.microsoft.com/office/drawing/2012/chart" uri="{CE6537A1-D6FC-4f65-9D91-7224C49458BB}"/>
              </c:extLst>
            </c:dLbl>
            <c:dLbl>
              <c:idx val="2"/>
              <c:layout>
                <c:manualLayout>
                  <c:x val="1.0959999999999999E-2"/>
                  <c:y val="-4.3529999999999999E-2"/>
                </c:manualLayout>
              </c:layout>
              <c:dLblPos val="ctr"/>
              <c:showLegendKey val="0"/>
              <c:showVal val="1"/>
              <c:showCatName val="0"/>
              <c:showSerName val="0"/>
              <c:showPercent val="0"/>
              <c:showBubbleSize val="0"/>
              <c:separator> </c:separator>
              <c:extLst xmlns:c16r2="http://schemas.microsoft.com/office/drawing/2015/06/chart">
                <c:ext xmlns:c16="http://schemas.microsoft.com/office/drawing/2014/chart" uri="{C3380CC4-5D6E-409C-BE32-E72D297353CC}">
                  <c16:uniqueId val="{00000002-8769-42CD-89A0-799587B68E70}"/>
                </c:ext>
                <c:ext xmlns:c15="http://schemas.microsoft.com/office/drawing/2012/chart" uri="{CE6537A1-D6FC-4f65-9D91-7224C49458BB}"/>
              </c:extLst>
            </c:dLbl>
            <c:dLbl>
              <c:idx val="3"/>
              <c:layout>
                <c:manualLayout>
                  <c:x val="-9.2000000000000003E-4"/>
                  <c:y val="-4.9639999999999997E-2"/>
                </c:manualLayout>
              </c:layout>
              <c:spPr>
                <a:noFill/>
                <a:ln>
                  <a:noFill/>
                  <a:miter/>
                </a:ln>
              </c:spPr>
              <c:txPr>
                <a:bodyPr/>
                <a:lstStyle/>
                <a:p>
                  <a:pPr>
                    <a:defRPr sz="900" b="1" i="0" u="none" strike="noStrike">
                      <a:solidFill>
                        <a:schemeClr val="accent2"/>
                      </a:solidFill>
                      <a:latin typeface="+mn-lt"/>
                      <a:ea typeface="+mn-ea"/>
                      <a:cs typeface="+mn-cs"/>
                    </a:defRPr>
                  </a:pPr>
                  <a:endParaRPr lang="ru-RU"/>
                </a:p>
              </c:txPr>
              <c:dLblPos val="ctr"/>
              <c:showLegendKey val="0"/>
              <c:showVal val="1"/>
              <c:showCatName val="0"/>
              <c:showSerName val="0"/>
              <c:showPercent val="0"/>
              <c:showBubbleSize val="0"/>
              <c:separator> </c:separator>
              <c:extLst xmlns:c16r2="http://schemas.microsoft.com/office/drawing/2015/06/chart">
                <c:ext xmlns:c16="http://schemas.microsoft.com/office/drawing/2014/chart" uri="{C3380CC4-5D6E-409C-BE32-E72D297353CC}">
                  <c16:uniqueId val="{00000003-8769-42CD-89A0-799587B68E70}"/>
                </c:ext>
                <c:ext xmlns:c15="http://schemas.microsoft.com/office/drawing/2012/chart" uri="{CE6537A1-D6FC-4f65-9D91-7224C49458BB}">
                  <c15:spPr xmlns:c15="http://schemas.microsoft.com/office/drawing/2012/chart">
                    <a:prstGeom prst="rect">
                      <a:avLst/>
                    </a:prstGeom>
                  </c15:spPr>
                </c:ext>
              </c:extLst>
            </c:dLbl>
            <c:dLbl>
              <c:idx val="4"/>
              <c:layout>
                <c:manualLayout>
                  <c:x val="-9.2000000000000003E-4"/>
                  <c:y val="-4.2869999999999998E-2"/>
                </c:manualLayout>
              </c:layout>
              <c:dLblPos val="ctr"/>
              <c:showLegendKey val="0"/>
              <c:showVal val="1"/>
              <c:showCatName val="0"/>
              <c:showSerName val="0"/>
              <c:showPercent val="0"/>
              <c:showBubbleSize val="0"/>
              <c:separator> </c:separator>
              <c:extLst xmlns:c16r2="http://schemas.microsoft.com/office/drawing/2015/06/chart">
                <c:ext xmlns:c16="http://schemas.microsoft.com/office/drawing/2014/chart" uri="{C3380CC4-5D6E-409C-BE32-E72D297353CC}">
                  <c16:uniqueId val="{00000004-8769-42CD-89A0-799587B68E70}"/>
                </c:ext>
                <c:ext xmlns:c15="http://schemas.microsoft.com/office/drawing/2012/chart" uri="{CE6537A1-D6FC-4f65-9D91-7224C49458BB}"/>
              </c:extLst>
            </c:dLbl>
            <c:dLbl>
              <c:idx val="5"/>
              <c:layout>
                <c:manualLayout>
                  <c:x val="-9.2000000000000003E-4"/>
                  <c:y val="-4.2869999999999998E-2"/>
                </c:manualLayout>
              </c:layout>
              <c:tx>
                <c:rich>
                  <a:bodyPr/>
                  <a:lstStyle/>
                  <a:p>
                    <a:r>
                      <a:rPr lang="en-US"/>
                      <a:t>130.0</a:t>
                    </a:r>
                  </a:p>
                </c:rich>
              </c:tx>
              <c:dLblPos val="ctr"/>
              <c:showLegendKey val="0"/>
              <c:showVal val="1"/>
              <c:showCatName val="0"/>
              <c:showSerName val="0"/>
              <c:showPercent val="0"/>
              <c:showBubbleSize val="0"/>
              <c:separator> </c:separator>
              <c:extLst xmlns:c16r2="http://schemas.microsoft.com/office/drawing/2015/06/chart">
                <c:ext xmlns:c16="http://schemas.microsoft.com/office/drawing/2014/chart" uri="{C3380CC4-5D6E-409C-BE32-E72D297353CC}">
                  <c16:uniqueId val="{00000005-8769-42CD-89A0-799587B68E70}"/>
                </c:ext>
                <c:ext xmlns:c15="http://schemas.microsoft.com/office/drawing/2012/chart" uri="{CE6537A1-D6FC-4f65-9D91-7224C49458BB}"/>
              </c:extLst>
            </c:dLbl>
            <c:dLbl>
              <c:idx val="6"/>
              <c:layout>
                <c:manualLayout>
                  <c:x val="-9.2000000000000003E-4"/>
                  <c:y val="-4.7379999999999999E-2"/>
                </c:manualLayout>
              </c:layout>
              <c:tx>
                <c:rich>
                  <a:bodyPr/>
                  <a:lstStyle/>
                  <a:p>
                    <a:r>
                      <a:rPr lang="en-US"/>
                      <a:t>130.0</a:t>
                    </a:r>
                  </a:p>
                </c:rich>
              </c:tx>
              <c:dLblPos val="ctr"/>
              <c:showLegendKey val="0"/>
              <c:showVal val="1"/>
              <c:showCatName val="0"/>
              <c:showSerName val="0"/>
              <c:showPercent val="0"/>
              <c:showBubbleSize val="0"/>
              <c:separator> </c:separator>
              <c:extLst xmlns:c16r2="http://schemas.microsoft.com/office/drawing/2015/06/chart">
                <c:ext xmlns:c16="http://schemas.microsoft.com/office/drawing/2014/chart" uri="{C3380CC4-5D6E-409C-BE32-E72D297353CC}">
                  <c16:uniqueId val="{00000006-8769-42CD-89A0-799587B68E70}"/>
                </c:ext>
                <c:ext xmlns:c15="http://schemas.microsoft.com/office/drawing/2012/chart" uri="{CE6537A1-D6FC-4f65-9D91-7224C49458BB}"/>
              </c:extLst>
            </c:dLbl>
            <c:dLbl>
              <c:idx val="7"/>
              <c:layout>
                <c:manualLayout>
                  <c:x val="-1.753E-2"/>
                  <c:y val="-5.4149999999999997E-2"/>
                </c:manualLayout>
              </c:layout>
              <c:dLblPos val="ctr"/>
              <c:showLegendKey val="0"/>
              <c:showVal val="1"/>
              <c:showCatName val="0"/>
              <c:showSerName val="0"/>
              <c:showPercent val="0"/>
              <c:showBubbleSize val="0"/>
              <c:separator> </c:separator>
              <c:extLst xmlns:c16r2="http://schemas.microsoft.com/office/drawing/2015/06/chart">
                <c:ext xmlns:c16="http://schemas.microsoft.com/office/drawing/2014/chart" uri="{C3380CC4-5D6E-409C-BE32-E72D297353CC}">
                  <c16:uniqueId val="{00000007-8769-42CD-89A0-799587B68E70}"/>
                </c:ext>
                <c:ext xmlns:c15="http://schemas.microsoft.com/office/drawing/2012/chart" uri="{CE6537A1-D6FC-4f65-9D91-7224C49458BB}"/>
              </c:extLst>
            </c:dLbl>
            <c:dLbl>
              <c:idx val="8"/>
              <c:layout>
                <c:manualLayout>
                  <c:x val="0"/>
                  <c:y val="-3.61E-2"/>
                </c:manualLayout>
              </c:layout>
              <c:dLblPos val="ctr"/>
              <c:showLegendKey val="0"/>
              <c:showVal val="1"/>
              <c:showCatName val="0"/>
              <c:showSerName val="0"/>
              <c:showPercent val="0"/>
              <c:showBubbleSize val="0"/>
              <c:separator> </c:separator>
              <c:extLst xmlns:c16r2="http://schemas.microsoft.com/office/drawing/2015/06/chart">
                <c:ext xmlns:c16="http://schemas.microsoft.com/office/drawing/2014/chart" uri="{C3380CC4-5D6E-409C-BE32-E72D297353CC}">
                  <c16:uniqueId val="{00000008-8769-42CD-89A0-799587B68E70}"/>
                </c:ext>
                <c:ext xmlns:c15="http://schemas.microsoft.com/office/drawing/2012/chart" uri="{CE6537A1-D6FC-4f65-9D91-7224C49458BB}"/>
              </c:extLst>
            </c:dLbl>
            <c:dLbl>
              <c:idx val="9"/>
              <c:layout>
                <c:manualLayout>
                  <c:x val="9.2000000000000003E-4"/>
                  <c:y val="-4.061E-2"/>
                </c:manualLayout>
              </c:layout>
              <c:dLblPos val="ctr"/>
              <c:showLegendKey val="0"/>
              <c:showVal val="1"/>
              <c:showCatName val="0"/>
              <c:showSerName val="0"/>
              <c:showPercent val="0"/>
              <c:showBubbleSize val="0"/>
              <c:separator> </c:separator>
              <c:extLst xmlns:c16r2="http://schemas.microsoft.com/office/drawing/2015/06/chart">
                <c:ext xmlns:c16="http://schemas.microsoft.com/office/drawing/2014/chart" uri="{C3380CC4-5D6E-409C-BE32-E72D297353CC}">
                  <c16:uniqueId val="{00000009-8769-42CD-89A0-799587B68E70}"/>
                </c:ext>
                <c:ext xmlns:c15="http://schemas.microsoft.com/office/drawing/2012/chart" uri="{CE6537A1-D6FC-4f65-9D91-7224C49458BB}"/>
              </c:extLst>
            </c:dLbl>
            <c:dLbl>
              <c:idx val="10"/>
              <c:layout>
                <c:manualLayout>
                  <c:x val="0"/>
                  <c:y val="-3.3840000000000002E-2"/>
                </c:manualLayout>
              </c:layout>
              <c:dLblPos val="ctr"/>
              <c:showLegendKey val="0"/>
              <c:showVal val="1"/>
              <c:showCatName val="0"/>
              <c:showSerName val="0"/>
              <c:showPercent val="0"/>
              <c:showBubbleSize val="0"/>
              <c:separator> </c:separator>
              <c:extLst xmlns:c16r2="http://schemas.microsoft.com/office/drawing/2015/06/chart">
                <c:ext xmlns:c16="http://schemas.microsoft.com/office/drawing/2014/chart" uri="{C3380CC4-5D6E-409C-BE32-E72D297353CC}">
                  <c16:uniqueId val="{0000000A-8769-42CD-89A0-799587B68E70}"/>
                </c:ext>
                <c:ext xmlns:c15="http://schemas.microsoft.com/office/drawing/2012/chart" uri="{CE6537A1-D6FC-4f65-9D91-7224C49458BB}"/>
              </c:extLst>
            </c:dLbl>
            <c:dLbl>
              <c:idx val="11"/>
              <c:layout>
                <c:manualLayout>
                  <c:x val="9.7000000000000005E-4"/>
                  <c:y val="-5.7340000000000002E-2"/>
                </c:manualLayout>
              </c:layout>
              <c:dLblPos val="ctr"/>
              <c:showLegendKey val="0"/>
              <c:showVal val="1"/>
              <c:showCatName val="0"/>
              <c:showSerName val="0"/>
              <c:showPercent val="0"/>
              <c:showBubbleSize val="0"/>
              <c:separator> </c:separator>
              <c:extLst xmlns:c16r2="http://schemas.microsoft.com/office/drawing/2015/06/chart">
                <c:ext xmlns:c16="http://schemas.microsoft.com/office/drawing/2014/chart" uri="{C3380CC4-5D6E-409C-BE32-E72D297353CC}">
                  <c16:uniqueId val="{0000000B-8769-42CD-89A0-799587B68E70}"/>
                </c:ext>
                <c:ext xmlns:c15="http://schemas.microsoft.com/office/drawing/2012/chart" uri="{CE6537A1-D6FC-4f65-9D91-7224C49458BB}"/>
              </c:extLst>
            </c:dLbl>
            <c:dLbl>
              <c:idx val="12"/>
              <c:layout>
                <c:manualLayout>
                  <c:x val="0"/>
                  <c:y val="-2.6280000000000001E-2"/>
                </c:manualLayout>
              </c:layout>
              <c:dLblPos val="ctr"/>
              <c:showLegendKey val="0"/>
              <c:showVal val="1"/>
              <c:showCatName val="0"/>
              <c:showSerName val="0"/>
              <c:showPercent val="0"/>
              <c:showBubbleSize val="0"/>
              <c:separator> </c:separator>
              <c:extLst xmlns:c16r2="http://schemas.microsoft.com/office/drawing/2015/06/chart">
                <c:ext xmlns:c16="http://schemas.microsoft.com/office/drawing/2014/chart" uri="{C3380CC4-5D6E-409C-BE32-E72D297353CC}">
                  <c16:uniqueId val="{0000000C-8769-42CD-89A0-799587B68E70}"/>
                </c:ext>
                <c:ext xmlns:c15="http://schemas.microsoft.com/office/drawing/2012/chart" uri="{CE6537A1-D6FC-4f65-9D91-7224C49458BB}"/>
              </c:extLst>
            </c:dLbl>
            <c:dLbl>
              <c:idx val="13"/>
              <c:layout>
                <c:manualLayout>
                  <c:x val="0"/>
                  <c:y val="-3.8210000000000001E-2"/>
                </c:manualLayout>
              </c:layout>
              <c:dLblPos val="ctr"/>
              <c:showLegendKey val="0"/>
              <c:showVal val="1"/>
              <c:showCatName val="0"/>
              <c:showSerName val="0"/>
              <c:showPercent val="0"/>
              <c:showBubbleSize val="0"/>
              <c:separator> </c:separator>
              <c:extLst xmlns:c16r2="http://schemas.microsoft.com/office/drawing/2015/06/chart">
                <c:ext xmlns:c16="http://schemas.microsoft.com/office/drawing/2014/chart" uri="{C3380CC4-5D6E-409C-BE32-E72D297353CC}">
                  <c16:uniqueId val="{0000000D-8769-42CD-89A0-799587B68E70}"/>
                </c:ext>
                <c:ext xmlns:c15="http://schemas.microsoft.com/office/drawing/2012/chart" uri="{CE6537A1-D6FC-4f65-9D91-7224C49458BB}"/>
              </c:extLst>
            </c:dLbl>
            <c:spPr>
              <a:noFill/>
              <a:ln>
                <a:noFill/>
              </a:ln>
            </c:spPr>
            <c:txPr>
              <a:bodyPr/>
              <a:lstStyle/>
              <a:p>
                <a:pPr>
                  <a:defRPr sz="900" b="1" i="0" u="none" strike="noStrike">
                    <a:solidFill>
                      <a:schemeClr val="accent2"/>
                    </a:solidFill>
                    <a:latin typeface="+mn-lt"/>
                    <a:ea typeface="+mn-ea"/>
                    <a:cs typeface="+mn-cs"/>
                  </a:defRPr>
                </a:pPr>
                <a:endParaRPr lang="ru-RU"/>
              </a:p>
            </c:txPr>
            <c:dLblPos val="ctr"/>
            <c:showLegendKey val="0"/>
            <c:showVal val="1"/>
            <c:showCatName val="0"/>
            <c:showSerName val="0"/>
            <c:showPercent val="0"/>
            <c:showBubbleSize val="0"/>
            <c:separator> </c:separator>
            <c:showLeaderLines val="0"/>
            <c:extLst xmlns:c16r2="http://schemas.microsoft.com/office/drawing/2015/06/chart">
              <c:ext xmlns:c15="http://schemas.microsoft.com/office/drawing/2012/chart" uri="{CE6537A1-D6FC-4f65-9D91-7224C49458BB}">
                <c15:spPr xmlns:c15="http://schemas.microsoft.com/office/drawing/2012/chart">
                  <a:prstGeom prst="rect">
                    <a:avLst/>
                  </a:prstGeom>
                </c15:spPr>
                <c15:showLeaderLines val="0"/>
              </c:ext>
            </c:extLst>
          </c:dLbls>
          <c:cat>
            <c:numRef>
              <c:f>Sheet1!$A$2:$A$15</c:f>
              <c:numCache>
                <c:formatCode>General</c:formatCode>
                <c:ptCount val="14"/>
                <c:pt idx="0">
                  <c:v>2002</c:v>
                </c:pt>
                <c:pt idx="1">
                  <c:v>2010</c:v>
                </c:pt>
                <c:pt idx="2">
                  <c:v>2012</c:v>
                </c:pt>
                <c:pt idx="3">
                  <c:v>2013</c:v>
                </c:pt>
                <c:pt idx="4">
                  <c:v>2014</c:v>
                </c:pt>
                <c:pt idx="5">
                  <c:v>2015</c:v>
                </c:pt>
                <c:pt idx="6">
                  <c:v>2016</c:v>
                </c:pt>
                <c:pt idx="7">
                  <c:v>2017</c:v>
                </c:pt>
                <c:pt idx="8">
                  <c:v>2018</c:v>
                </c:pt>
                <c:pt idx="9">
                  <c:v>2019</c:v>
                </c:pt>
                <c:pt idx="10">
                  <c:v>2020</c:v>
                </c:pt>
                <c:pt idx="11">
                  <c:v>2021</c:v>
                </c:pt>
                <c:pt idx="12">
                  <c:v>2022</c:v>
                </c:pt>
                <c:pt idx="13">
                  <c:v>2023</c:v>
                </c:pt>
              </c:numCache>
            </c:numRef>
          </c:cat>
          <c:val>
            <c:numRef>
              <c:f>Sheet1!$B$2:$B$15</c:f>
              <c:numCache>
                <c:formatCode>General</c:formatCode>
                <c:ptCount val="14"/>
                <c:pt idx="0">
                  <c:v>135.30000000000001</c:v>
                </c:pt>
                <c:pt idx="1">
                  <c:v>135.4</c:v>
                </c:pt>
                <c:pt idx="2">
                  <c:v>129.30000000000001</c:v>
                </c:pt>
                <c:pt idx="3">
                  <c:v>129.4</c:v>
                </c:pt>
                <c:pt idx="4">
                  <c:v>129.9</c:v>
                </c:pt>
                <c:pt idx="5">
                  <c:v>130</c:v>
                </c:pt>
                <c:pt idx="6">
                  <c:v>130</c:v>
                </c:pt>
                <c:pt idx="7">
                  <c:v>129.9</c:v>
                </c:pt>
                <c:pt idx="8">
                  <c:v>136.4</c:v>
                </c:pt>
                <c:pt idx="9">
                  <c:v>135.9</c:v>
                </c:pt>
                <c:pt idx="10">
                  <c:v>135.5</c:v>
                </c:pt>
                <c:pt idx="11">
                  <c:v>134.6</c:v>
                </c:pt>
                <c:pt idx="12">
                  <c:v>134.6</c:v>
                </c:pt>
                <c:pt idx="13">
                  <c:v>133.9</c:v>
                </c:pt>
              </c:numCache>
            </c:numRef>
          </c:val>
          <c:smooth val="0"/>
          <c:extLst xmlns:c16r2="http://schemas.microsoft.com/office/drawing/2015/06/chart">
            <c:ext xmlns:c16="http://schemas.microsoft.com/office/drawing/2014/chart" uri="{C3380CC4-5D6E-409C-BE32-E72D297353CC}">
              <c16:uniqueId val="{0000000E-8769-42CD-89A0-799587B68E70}"/>
            </c:ext>
          </c:extLst>
        </c:ser>
        <c:dLbls>
          <c:dLblPos val="ctr"/>
          <c:showLegendKey val="0"/>
          <c:showVal val="1"/>
          <c:showCatName val="0"/>
          <c:showSerName val="0"/>
          <c:showPercent val="0"/>
          <c:showBubbleSize val="0"/>
          <c:separator> </c:separator>
        </c:dLbls>
        <c:marker val="1"/>
        <c:smooth val="0"/>
        <c:axId val="438989824"/>
        <c:axId val="334469888"/>
      </c:lineChart>
      <c:catAx>
        <c:axId val="438989824"/>
        <c:scaling>
          <c:orientation val="minMax"/>
        </c:scaling>
        <c:delete val="0"/>
        <c:axPos val="b"/>
        <c:numFmt formatCode="General" sourceLinked="1"/>
        <c:majorTickMark val="none"/>
        <c:minorTickMark val="out"/>
        <c:tickLblPos val="nextTo"/>
        <c:spPr>
          <a:noFill/>
          <a:ln w="9525" cap="flat" cmpd="sng" algn="ctr">
            <a:solidFill>
              <a:schemeClr val="dk1">
                <a:lumMod val="15000"/>
                <a:lumOff val="85000"/>
              </a:schemeClr>
            </a:solidFill>
            <a:round/>
          </a:ln>
        </c:spPr>
        <c:txPr>
          <a:bodyPr/>
          <a:lstStyle/>
          <a:p>
            <a:pPr>
              <a:defRPr sz="1000">
                <a:solidFill>
                  <a:schemeClr val="bg1">
                    <a:lumMod val="50196"/>
                  </a:schemeClr>
                </a:solidFill>
                <a:latin typeface="Calibri"/>
                <a:ea typeface="Arial"/>
                <a:cs typeface="Arial"/>
              </a:defRPr>
            </a:pPr>
            <a:endParaRPr lang="ru-RU"/>
          </a:p>
        </c:txPr>
        <c:crossAx val="334469888"/>
        <c:crosses val="autoZero"/>
        <c:auto val="1"/>
        <c:lblAlgn val="ctr"/>
        <c:lblOffset val="100"/>
        <c:tickMarkSkip val="1"/>
        <c:noMultiLvlLbl val="0"/>
      </c:catAx>
      <c:valAx>
        <c:axId val="334469888"/>
        <c:scaling>
          <c:orientation val="minMax"/>
        </c:scaling>
        <c:delete val="0"/>
        <c:axPos val="l"/>
        <c:numFmt formatCode="0.0" sourceLinked="0"/>
        <c:majorTickMark val="none"/>
        <c:minorTickMark val="none"/>
        <c:tickLblPos val="nextTo"/>
        <c:txPr>
          <a:bodyPr/>
          <a:lstStyle/>
          <a:p>
            <a:pPr>
              <a:defRPr sz="1100">
                <a:solidFill>
                  <a:schemeClr val="bg1">
                    <a:lumMod val="50196"/>
                  </a:schemeClr>
                </a:solidFill>
              </a:defRPr>
            </a:pPr>
            <a:endParaRPr lang="ru-RU"/>
          </a:p>
        </c:txPr>
        <c:crossAx val="438989824"/>
        <c:crosses val="autoZero"/>
        <c:crossBetween val="between"/>
      </c:valAx>
      <c:spPr>
        <a:noFill/>
        <a:ln>
          <a:noFill/>
        </a:ln>
      </c:spPr>
    </c:plotArea>
    <c:plotVisOnly val="1"/>
    <c:dispBlanksAs val="gap"/>
    <c:showDLblsOverMax val="0"/>
  </c:chart>
  <c:spPr>
    <a:solidFill>
      <a:schemeClr val="lt1"/>
    </a:solidFill>
    <a:ln w="9525" cap="flat" cmpd="sng" algn="ctr">
      <a:noFill/>
      <a:prstDash val="solid"/>
      <a:round/>
    </a:ln>
  </c:spPr>
  <c:txPr>
    <a:bodyPr/>
    <a:lstStyle/>
    <a:p>
      <a:pPr>
        <a:defRPr sz="900">
          <a:solidFill>
            <a:schemeClr val="dk1"/>
          </a:solidFill>
          <a:latin typeface="Calibri"/>
          <a:ea typeface="Arial"/>
          <a:cs typeface="Arial"/>
        </a:defRPr>
      </a:pPr>
      <a:endParaRPr lang="ru-RU"/>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plotArea>
      <c:layout>
        <c:manualLayout>
          <c:layoutTarget val="inner"/>
          <c:xMode val="edge"/>
          <c:yMode val="edge"/>
          <c:x val="0.13120999999999999"/>
          <c:y val="5.3510000000000002E-2"/>
          <c:w val="0.51476999999999995"/>
          <c:h val="0.87914999999999999"/>
        </c:manualLayout>
      </c:layout>
      <c:doughnutChart>
        <c:varyColors val="1"/>
        <c:ser>
          <c:idx val="0"/>
          <c:order val="0"/>
          <c:tx>
            <c:strRef>
              <c:f>Sheet1!$B$1</c:f>
              <c:strCache>
                <c:ptCount val="1"/>
                <c:pt idx="0">
                  <c:v>Gold</c:v>
                </c:pt>
              </c:strCache>
            </c:strRef>
          </c:tx>
          <c:dPt>
            <c:idx val="0"/>
            <c:bubble3D val="0"/>
            <c:spPr>
              <a:solidFill>
                <a:schemeClr val="accent2">
                  <a:lumMod val="60000"/>
                  <a:lumOff val="40000"/>
                </a:schemeClr>
              </a:solidFill>
              <a:ln w="19050">
                <a:solidFill>
                  <a:schemeClr val="lt1"/>
                </a:solidFill>
              </a:ln>
            </c:spPr>
            <c:extLst xmlns:c16r2="http://schemas.microsoft.com/office/drawing/2015/06/chart">
              <c:ext xmlns:c16="http://schemas.microsoft.com/office/drawing/2014/chart" uri="{C3380CC4-5D6E-409C-BE32-E72D297353CC}">
                <c16:uniqueId val="{00000001-C8BC-4FE5-892E-2B89A9DBB43C}"/>
              </c:ext>
            </c:extLst>
          </c:dPt>
          <c:dPt>
            <c:idx val="1"/>
            <c:bubble3D val="0"/>
            <c:spPr>
              <a:solidFill>
                <a:schemeClr val="accent2">
                  <a:lumMod val="74901"/>
                </a:schemeClr>
              </a:solidFill>
              <a:ln w="19050">
                <a:solidFill>
                  <a:schemeClr val="lt1"/>
                </a:solidFill>
              </a:ln>
            </c:spPr>
            <c:extLst xmlns:c16r2="http://schemas.microsoft.com/office/drawing/2015/06/chart">
              <c:ext xmlns:c16="http://schemas.microsoft.com/office/drawing/2014/chart" uri="{C3380CC4-5D6E-409C-BE32-E72D297353CC}">
                <c16:uniqueId val="{00000003-C8BC-4FE5-892E-2B89A9DBB43C}"/>
              </c:ext>
            </c:extLst>
          </c:dPt>
          <c:dPt>
            <c:idx val="2"/>
            <c:bubble3D val="0"/>
            <c:spPr>
              <a:solidFill>
                <a:schemeClr val="accent2">
                  <a:lumMod val="50196"/>
                </a:schemeClr>
              </a:solidFill>
              <a:ln w="19050">
                <a:solidFill>
                  <a:schemeClr val="lt1"/>
                </a:solidFill>
              </a:ln>
            </c:spPr>
            <c:extLst xmlns:c16r2="http://schemas.microsoft.com/office/drawing/2015/06/chart">
              <c:ext xmlns:c16="http://schemas.microsoft.com/office/drawing/2014/chart" uri="{C3380CC4-5D6E-409C-BE32-E72D297353CC}">
                <c16:uniqueId val="{00000005-C8BC-4FE5-892E-2B89A9DBB43C}"/>
              </c:ext>
            </c:extLst>
          </c:dPt>
          <c:dPt>
            <c:idx val="3"/>
            <c:bubble3D val="0"/>
            <c:spPr>
              <a:solidFill>
                <a:schemeClr val="accent2">
                  <a:lumMod val="20000"/>
                  <a:lumOff val="80000"/>
                </a:schemeClr>
              </a:solidFill>
              <a:ln w="19050">
                <a:solidFill>
                  <a:schemeClr val="lt1"/>
                </a:solidFill>
              </a:ln>
            </c:spPr>
            <c:extLst xmlns:c16r2="http://schemas.microsoft.com/office/drawing/2015/06/chart">
              <c:ext xmlns:c16="http://schemas.microsoft.com/office/drawing/2014/chart" uri="{C3380CC4-5D6E-409C-BE32-E72D297353CC}">
                <c16:uniqueId val="{00000007-C8BC-4FE5-892E-2B89A9DBB43C}"/>
              </c:ext>
            </c:extLst>
          </c:dPt>
          <c:dPt>
            <c:idx val="4"/>
            <c:bubble3D val="0"/>
            <c:spPr>
              <a:solidFill>
                <a:schemeClr val="accent4">
                  <a:lumMod val="60000"/>
                  <a:lumOff val="40000"/>
                </a:schemeClr>
              </a:solidFill>
              <a:ln w="19050">
                <a:solidFill>
                  <a:schemeClr val="lt1"/>
                </a:solidFill>
              </a:ln>
            </c:spPr>
            <c:extLst xmlns:c16r2="http://schemas.microsoft.com/office/drawing/2015/06/chart">
              <c:ext xmlns:c16="http://schemas.microsoft.com/office/drawing/2014/chart" uri="{C3380CC4-5D6E-409C-BE32-E72D297353CC}">
                <c16:uniqueId val="{00000009-C8BC-4FE5-892E-2B89A9DBB43C}"/>
              </c:ext>
            </c:extLst>
          </c:dPt>
          <c:dPt>
            <c:idx val="5"/>
            <c:bubble3D val="0"/>
            <c:spPr>
              <a:solidFill>
                <a:schemeClr val="accent2">
                  <a:lumMod val="40000"/>
                  <a:lumOff val="60000"/>
                </a:schemeClr>
              </a:solidFill>
              <a:ln w="19050">
                <a:solidFill>
                  <a:schemeClr val="lt1"/>
                </a:solidFill>
              </a:ln>
            </c:spPr>
            <c:extLst xmlns:c16r2="http://schemas.microsoft.com/office/drawing/2015/06/chart">
              <c:ext xmlns:c16="http://schemas.microsoft.com/office/drawing/2014/chart" uri="{C3380CC4-5D6E-409C-BE32-E72D297353CC}">
                <c16:uniqueId val="{0000000B-C8BC-4FE5-892E-2B89A9DBB43C}"/>
              </c:ext>
            </c:extLst>
          </c:dPt>
          <c:dLbls>
            <c:dLbl>
              <c:idx val="0"/>
              <c:layout>
                <c:manualLayout>
                  <c:x val="2.606E-2"/>
                  <c:y val="-6.5070000000000003E-2"/>
                </c:manualLayout>
              </c:layout>
              <c:showLegendKey val="0"/>
              <c:showVal val="1"/>
              <c:showCatName val="0"/>
              <c:showSerName val="0"/>
              <c:showPercent val="0"/>
              <c:showBubbleSize val="0"/>
              <c:separator> </c:separator>
              <c:extLst xmlns:c16r2="http://schemas.microsoft.com/office/drawing/2015/06/chart">
                <c:ext xmlns:c16="http://schemas.microsoft.com/office/drawing/2014/chart" uri="{C3380CC4-5D6E-409C-BE32-E72D297353CC}">
                  <c16:uniqueId val="{00000001-C8BC-4FE5-892E-2B89A9DBB43C}"/>
                </c:ext>
                <c:ext xmlns:c15="http://schemas.microsoft.com/office/drawing/2012/chart" uri="{CE6537A1-D6FC-4f65-9D91-7224C49458BB}"/>
              </c:extLst>
            </c:dLbl>
            <c:dLbl>
              <c:idx val="1"/>
              <c:layout>
                <c:manualLayout>
                  <c:x val="3.0949999999999998E-2"/>
                  <c:y val="-6.1249999999999999E-2"/>
                </c:manualLayout>
              </c:layout>
              <c:showLegendKey val="0"/>
              <c:showVal val="1"/>
              <c:showCatName val="0"/>
              <c:showSerName val="0"/>
              <c:showPercent val="0"/>
              <c:showBubbleSize val="0"/>
              <c:separator> </c:separator>
              <c:extLst xmlns:c16r2="http://schemas.microsoft.com/office/drawing/2015/06/chart">
                <c:ext xmlns:c16="http://schemas.microsoft.com/office/drawing/2014/chart" uri="{C3380CC4-5D6E-409C-BE32-E72D297353CC}">
                  <c16:uniqueId val="{00000003-C8BC-4FE5-892E-2B89A9DBB43C}"/>
                </c:ext>
                <c:ext xmlns:c15="http://schemas.microsoft.com/office/drawing/2012/chart" uri="{CE6537A1-D6FC-4f65-9D91-7224C49458BB}"/>
              </c:extLst>
            </c:dLbl>
            <c:dLbl>
              <c:idx val="2"/>
              <c:layout>
                <c:manualLayout>
                  <c:x val="-3.2579999999999998E-2"/>
                  <c:y val="8.4209999999999993E-2"/>
                </c:manualLayout>
              </c:layout>
              <c:showLegendKey val="0"/>
              <c:showVal val="1"/>
              <c:showCatName val="0"/>
              <c:showSerName val="0"/>
              <c:showPercent val="0"/>
              <c:showBubbleSize val="0"/>
              <c:separator> </c:separator>
              <c:extLst xmlns:c16r2="http://schemas.microsoft.com/office/drawing/2015/06/chart">
                <c:ext xmlns:c16="http://schemas.microsoft.com/office/drawing/2014/chart" uri="{C3380CC4-5D6E-409C-BE32-E72D297353CC}">
                  <c16:uniqueId val="{00000005-C8BC-4FE5-892E-2B89A9DBB43C}"/>
                </c:ext>
                <c:ext xmlns:c15="http://schemas.microsoft.com/office/drawing/2012/chart" uri="{CE6537A1-D6FC-4f65-9D91-7224C49458BB}"/>
              </c:extLst>
            </c:dLbl>
            <c:dLbl>
              <c:idx val="3"/>
              <c:layout>
                <c:manualLayout>
                  <c:x val="-3.9100000000000003E-2"/>
                  <c:y val="-6.5070000000000003E-2"/>
                </c:manualLayout>
              </c:layout>
              <c:showLegendKey val="0"/>
              <c:showVal val="1"/>
              <c:showCatName val="0"/>
              <c:showSerName val="0"/>
              <c:showPercent val="0"/>
              <c:showBubbleSize val="0"/>
              <c:separator> </c:separator>
              <c:extLst xmlns:c16r2="http://schemas.microsoft.com/office/drawing/2015/06/chart">
                <c:ext xmlns:c16="http://schemas.microsoft.com/office/drawing/2014/chart" uri="{C3380CC4-5D6E-409C-BE32-E72D297353CC}">
                  <c16:uniqueId val="{00000007-C8BC-4FE5-892E-2B89A9DBB43C}"/>
                </c:ext>
                <c:ext xmlns:c15="http://schemas.microsoft.com/office/drawing/2012/chart" uri="{CE6537A1-D6FC-4f65-9D91-7224C49458BB}"/>
              </c:extLst>
            </c:dLbl>
            <c:dLbl>
              <c:idx val="4"/>
              <c:layout>
                <c:manualLayout>
                  <c:x val="-6.5100000000000002E-3"/>
                  <c:y val="-9.9529999999999993E-2"/>
                </c:manualLayout>
              </c:layout>
              <c:showLegendKey val="0"/>
              <c:showVal val="1"/>
              <c:showCatName val="0"/>
              <c:showSerName val="0"/>
              <c:showPercent val="0"/>
              <c:showBubbleSize val="0"/>
              <c:separator> </c:separator>
              <c:extLst xmlns:c16r2="http://schemas.microsoft.com/office/drawing/2015/06/chart">
                <c:ext xmlns:c16="http://schemas.microsoft.com/office/drawing/2014/chart" uri="{C3380CC4-5D6E-409C-BE32-E72D297353CC}">
                  <c16:uniqueId val="{00000009-C8BC-4FE5-892E-2B89A9DBB43C}"/>
                </c:ext>
                <c:ext xmlns:c15="http://schemas.microsoft.com/office/drawing/2012/chart" uri="{CE6537A1-D6FC-4f65-9D91-7224C49458BB}"/>
              </c:extLst>
            </c:dLbl>
            <c:dLbl>
              <c:idx val="5"/>
              <c:layout>
                <c:manualLayout>
                  <c:x val="8.1399999999999997E-3"/>
                  <c:y val="-8.0390000000000003E-2"/>
                </c:manualLayout>
              </c:layout>
              <c:showLegendKey val="0"/>
              <c:showVal val="1"/>
              <c:showCatName val="0"/>
              <c:showSerName val="0"/>
              <c:showPercent val="0"/>
              <c:showBubbleSize val="0"/>
              <c:separator> </c:separator>
              <c:extLst xmlns:c16r2="http://schemas.microsoft.com/office/drawing/2015/06/chart">
                <c:ext xmlns:c16="http://schemas.microsoft.com/office/drawing/2014/chart" uri="{C3380CC4-5D6E-409C-BE32-E72D297353CC}">
                  <c16:uniqueId val="{0000000B-C8BC-4FE5-892E-2B89A9DBB43C}"/>
                </c:ext>
                <c:ext xmlns:c15="http://schemas.microsoft.com/office/drawing/2012/chart" uri="{CE6537A1-D6FC-4f65-9D91-7224C49458BB}"/>
              </c:extLst>
            </c:dLbl>
            <c:spPr>
              <a:noFill/>
              <a:ln>
                <a:noFill/>
              </a:ln>
            </c:spPr>
            <c:txPr>
              <a:bodyPr/>
              <a:lstStyle/>
              <a:p>
                <a:pPr>
                  <a:defRPr sz="100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eparator> </c:separator>
            <c:showLeaderLines val="1"/>
            <c:extLst xmlns:c16r2="http://schemas.microsoft.com/office/drawing/2015/06/chart">
              <c:ext xmlns:c15="http://schemas.microsoft.com/office/drawing/2012/chart" uri="{CE6537A1-D6FC-4f65-9D91-7224C49458BB}">
                <c15:spPr xmlns:c15="http://schemas.microsoft.com/office/drawing/2012/chart">
                  <a:prstGeom prst="rect">
                    <a:avLst/>
                  </a:prstGeom>
                </c15:spPr>
              </c:ext>
            </c:extLst>
          </c:dLbls>
          <c:cat>
            <c:strRef>
              <c:f>Sheet1!$A$2:$A$7</c:f>
              <c:strCache>
                <c:ptCount val="6"/>
                <c:pt idx="0">
                  <c:v>Армяне</c:v>
                </c:pt>
                <c:pt idx="1">
                  <c:v>Карачаевцы</c:v>
                </c:pt>
                <c:pt idx="2">
                  <c:v>Русские</c:v>
                </c:pt>
                <c:pt idx="3">
                  <c:v>Абазины</c:v>
                </c:pt>
                <c:pt idx="4">
                  <c:v>Украинцы</c:v>
                </c:pt>
                <c:pt idx="5">
                  <c:v>другие</c:v>
                </c:pt>
              </c:strCache>
            </c:strRef>
          </c:cat>
          <c:val>
            <c:numRef>
              <c:f>Sheet1!$B$2:$B$7</c:f>
              <c:numCache>
                <c:formatCode>General</c:formatCode>
                <c:ptCount val="6"/>
                <c:pt idx="0">
                  <c:v>9.3000000000000007</c:v>
                </c:pt>
                <c:pt idx="1">
                  <c:v>7</c:v>
                </c:pt>
                <c:pt idx="2">
                  <c:v>75.5</c:v>
                </c:pt>
                <c:pt idx="3">
                  <c:v>0.8</c:v>
                </c:pt>
                <c:pt idx="4">
                  <c:v>0.5</c:v>
                </c:pt>
                <c:pt idx="5">
                  <c:v>6.9</c:v>
                </c:pt>
              </c:numCache>
            </c:numRef>
          </c:val>
          <c:extLst xmlns:c16r2="http://schemas.microsoft.com/office/drawing/2015/06/chart">
            <c:ext xmlns:c16="http://schemas.microsoft.com/office/drawing/2014/chart" uri="{C3380CC4-5D6E-409C-BE32-E72D297353CC}">
              <c16:uniqueId val="{0000000C-C8BC-4FE5-892E-2B89A9DBB43C}"/>
            </c:ext>
          </c:extLst>
        </c:ser>
        <c:dLbls>
          <c:showLegendKey val="0"/>
          <c:showVal val="1"/>
          <c:showCatName val="0"/>
          <c:showSerName val="0"/>
          <c:showPercent val="0"/>
          <c:showBubbleSize val="0"/>
          <c:separator> </c:separator>
          <c:showLeaderLines val="1"/>
        </c:dLbls>
        <c:firstSliceAng val="0"/>
        <c:holeSize val="75"/>
      </c:doughnutChart>
      <c:spPr>
        <a:noFill/>
        <a:ln>
          <a:noFill/>
        </a:ln>
      </c:spPr>
    </c:plotArea>
    <c:legend>
      <c:legendPos val="b"/>
      <c:layout>
        <c:manualLayout>
          <c:xMode val="edge"/>
          <c:yMode val="edge"/>
          <c:x val="0.68888000000000005"/>
          <c:y val="6.8930000000000005E-2"/>
          <c:w val="0.24782999999999999"/>
          <c:h val="0.84930000000000005"/>
        </c:manualLayout>
      </c:layout>
      <c:overlay val="0"/>
      <c:spPr>
        <a:noFill/>
        <a:ln>
          <a:noFill/>
        </a:ln>
        <a:effectLst/>
      </c:spPr>
      <c:txPr>
        <a:bodyPr rot="0" spcFirstLastPara="1" vertOverflow="ellipsis" vert="horz" wrap="square" anchor="ctr" anchorCtr="1"/>
        <a:lstStyle/>
        <a:p>
          <a:pPr>
            <a:defRPr sz="110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noFill/>
      <a:prstDash val="solid"/>
      <a:round/>
    </a:ln>
  </c:spPr>
  <c:txPr>
    <a:bodyPr/>
    <a:lstStyle/>
    <a:p>
      <a:pPr>
        <a:defRPr sz="900">
          <a:solidFill>
            <a:schemeClr val="tx1"/>
          </a:solidFill>
          <a:latin typeface="+mn-lt"/>
          <a:ea typeface="+mn-ea"/>
          <a:cs typeface="+mn-cs"/>
        </a:defRPr>
      </a:pPr>
      <a:endParaRPr lang="ru-RU"/>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Sheet1!$B$1</c:f>
              <c:strCache>
                <c:ptCount val="1"/>
                <c:pt idx="0">
                  <c:v>Многоквартирные дома</c:v>
                </c:pt>
              </c:strCache>
            </c:strRef>
          </c:tx>
          <c:spPr>
            <a:solidFill>
              <a:schemeClr val="accent3">
                <a:lumMod val="60000"/>
                <a:lumOff val="40000"/>
              </a:schemeClr>
            </a:solidFill>
            <a:ln>
              <a:noFill/>
              <a:miter/>
            </a:ln>
          </c:spPr>
          <c:invertIfNegative val="0"/>
          <c:cat>
            <c:numRef>
              <c:f>Sheet1!$A$2:$A$9</c:f>
              <c:numCache>
                <c:formatCode>General</c:formatCode>
                <c:ptCount val="8"/>
                <c:pt idx="0">
                  <c:v>2015</c:v>
                </c:pt>
                <c:pt idx="1">
                  <c:v>2016</c:v>
                </c:pt>
                <c:pt idx="2">
                  <c:v>2017</c:v>
                </c:pt>
                <c:pt idx="3">
                  <c:v>2018</c:v>
                </c:pt>
                <c:pt idx="4">
                  <c:v>2019</c:v>
                </c:pt>
                <c:pt idx="5">
                  <c:v>2020</c:v>
                </c:pt>
                <c:pt idx="6">
                  <c:v>2021</c:v>
                </c:pt>
                <c:pt idx="7">
                  <c:v>2022</c:v>
                </c:pt>
              </c:numCache>
            </c:numRef>
          </c:cat>
          <c:val>
            <c:numRef>
              <c:f>Sheet1!$B$2:$B$9</c:f>
              <c:numCache>
                <c:formatCode>General</c:formatCode>
                <c:ptCount val="8"/>
                <c:pt idx="0">
                  <c:v>9.6</c:v>
                </c:pt>
                <c:pt idx="1">
                  <c:v>24.4</c:v>
                </c:pt>
                <c:pt idx="2">
                  <c:v>28.4</c:v>
                </c:pt>
                <c:pt idx="3">
                  <c:v>5.3</c:v>
                </c:pt>
                <c:pt idx="4">
                  <c:v>21.2</c:v>
                </c:pt>
                <c:pt idx="5">
                  <c:v>69.3</c:v>
                </c:pt>
                <c:pt idx="6">
                  <c:v>52.9</c:v>
                </c:pt>
                <c:pt idx="7">
                  <c:v>30.1</c:v>
                </c:pt>
              </c:numCache>
            </c:numRef>
          </c:val>
          <c:extLst xmlns:c16r2="http://schemas.microsoft.com/office/drawing/2015/06/chart">
            <c:ext xmlns:c16="http://schemas.microsoft.com/office/drawing/2014/chart" uri="{C3380CC4-5D6E-409C-BE32-E72D297353CC}">
              <c16:uniqueId val="{00000000-4939-46F3-94DC-B3BA600D7C84}"/>
            </c:ext>
          </c:extLst>
        </c:ser>
        <c:ser>
          <c:idx val="1"/>
          <c:order val="1"/>
          <c:tx>
            <c:strRef>
              <c:f>Sheet1!$C$1</c:f>
              <c:strCache>
                <c:ptCount val="1"/>
                <c:pt idx="0">
                  <c:v>ИЖС</c:v>
                </c:pt>
              </c:strCache>
            </c:strRef>
          </c:tx>
          <c:spPr>
            <a:solidFill>
              <a:schemeClr val="accent5">
                <a:lumMod val="74901"/>
              </a:schemeClr>
            </a:solidFill>
            <a:ln>
              <a:noFill/>
            </a:ln>
          </c:spPr>
          <c:invertIfNegative val="0"/>
          <c:cat>
            <c:numRef>
              <c:f>Sheet1!$A$2:$A$9</c:f>
              <c:numCache>
                <c:formatCode>General</c:formatCode>
                <c:ptCount val="8"/>
                <c:pt idx="0">
                  <c:v>2015</c:v>
                </c:pt>
                <c:pt idx="1">
                  <c:v>2016</c:v>
                </c:pt>
                <c:pt idx="2">
                  <c:v>2017</c:v>
                </c:pt>
                <c:pt idx="3">
                  <c:v>2018</c:v>
                </c:pt>
                <c:pt idx="4">
                  <c:v>2019</c:v>
                </c:pt>
                <c:pt idx="5">
                  <c:v>2020</c:v>
                </c:pt>
                <c:pt idx="6">
                  <c:v>2021</c:v>
                </c:pt>
                <c:pt idx="7">
                  <c:v>2022</c:v>
                </c:pt>
              </c:numCache>
            </c:numRef>
          </c:cat>
          <c:val>
            <c:numRef>
              <c:f>Sheet1!$C$2:$C$9</c:f>
              <c:numCache>
                <c:formatCode>General</c:formatCode>
                <c:ptCount val="8"/>
                <c:pt idx="0">
                  <c:v>22.7</c:v>
                </c:pt>
                <c:pt idx="1">
                  <c:v>15.3</c:v>
                </c:pt>
                <c:pt idx="2">
                  <c:v>13.4</c:v>
                </c:pt>
                <c:pt idx="3">
                  <c:v>12.1</c:v>
                </c:pt>
                <c:pt idx="4">
                  <c:v>7.4</c:v>
                </c:pt>
                <c:pt idx="5">
                  <c:v>8.1</c:v>
                </c:pt>
                <c:pt idx="6">
                  <c:v>2.6</c:v>
                </c:pt>
                <c:pt idx="7">
                  <c:v>1</c:v>
                </c:pt>
              </c:numCache>
            </c:numRef>
          </c:val>
          <c:extLst xmlns:c16r2="http://schemas.microsoft.com/office/drawing/2015/06/chart">
            <c:ext xmlns:c16="http://schemas.microsoft.com/office/drawing/2014/chart" uri="{C3380CC4-5D6E-409C-BE32-E72D297353CC}">
              <c16:uniqueId val="{00000001-4939-46F3-94DC-B3BA600D7C84}"/>
            </c:ext>
          </c:extLst>
        </c:ser>
        <c:dLbls>
          <c:showLegendKey val="0"/>
          <c:showVal val="0"/>
          <c:showCatName val="0"/>
          <c:showSerName val="0"/>
          <c:showPercent val="0"/>
          <c:showBubbleSize val="0"/>
        </c:dLbls>
        <c:gapWidth val="219"/>
        <c:overlap val="-25"/>
        <c:axId val="483404800"/>
        <c:axId val="484993856"/>
      </c:barChart>
      <c:catAx>
        <c:axId val="4834048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c:spPr>
        <c:txPr>
          <a:bodyPr/>
          <a:lstStyle/>
          <a:p>
            <a:pPr>
              <a:defRPr sz="900">
                <a:solidFill>
                  <a:schemeClr val="tx1">
                    <a:lumMod val="65000"/>
                    <a:lumOff val="35000"/>
                  </a:schemeClr>
                </a:solidFill>
                <a:latin typeface="Calibri"/>
                <a:ea typeface="Arial"/>
                <a:cs typeface="Arial"/>
              </a:defRPr>
            </a:pPr>
            <a:endParaRPr lang="ru-RU"/>
          </a:p>
        </c:txPr>
        <c:crossAx val="484993856"/>
        <c:crosses val="autoZero"/>
        <c:auto val="1"/>
        <c:lblAlgn val="ctr"/>
        <c:lblOffset val="100"/>
        <c:noMultiLvlLbl val="0"/>
      </c:catAx>
      <c:valAx>
        <c:axId val="484993856"/>
        <c:scaling>
          <c:orientation val="minMax"/>
        </c:scaling>
        <c:delete val="0"/>
        <c:axPos val="l"/>
        <c:majorGridlines>
          <c:spPr>
            <a:ln w="9525" cap="flat" cmpd="sng" algn="ctr">
              <a:solidFill>
                <a:schemeClr val="tx1">
                  <a:lumMod val="15000"/>
                  <a:lumOff val="85000"/>
                </a:schemeClr>
              </a:solidFill>
              <a:round/>
            </a:ln>
          </c:spPr>
        </c:majorGridlines>
        <c:numFmt formatCode="General" sourceLinked="1"/>
        <c:majorTickMark val="none"/>
        <c:minorTickMark val="none"/>
        <c:tickLblPos val="nextTo"/>
        <c:spPr>
          <a:noFill/>
          <a:ln>
            <a:noFill/>
          </a:ln>
        </c:spPr>
        <c:txPr>
          <a:bodyPr/>
          <a:lstStyle/>
          <a:p>
            <a:pPr>
              <a:defRPr sz="900">
                <a:solidFill>
                  <a:schemeClr val="tx1">
                    <a:lumMod val="65000"/>
                    <a:lumOff val="35000"/>
                  </a:schemeClr>
                </a:solidFill>
                <a:latin typeface="Calibri"/>
                <a:ea typeface="Arial"/>
                <a:cs typeface="Arial"/>
              </a:defRPr>
            </a:pPr>
            <a:endParaRPr lang="ru-RU"/>
          </a:p>
        </c:txPr>
        <c:crossAx val="483404800"/>
        <c:crosses val="autoZero"/>
        <c:crossBetween val="between"/>
      </c:valAx>
      <c:spPr>
        <a:noFill/>
        <a:ln>
          <a:noFill/>
        </a:ln>
      </c:spPr>
    </c:plotArea>
    <c:legend>
      <c:legendPos val="b"/>
      <c:overlay val="0"/>
      <c:spPr>
        <a:noFill/>
        <a:ln>
          <a:noFill/>
        </a:ln>
        <a:effectLst/>
      </c:spPr>
      <c:txPr>
        <a:bodyPr rot="0" spcFirstLastPara="1" vertOverflow="ellipsis" vert="horz" wrap="square" anchor="ctr" anchorCtr="1"/>
        <a:lstStyle/>
        <a:p>
          <a:pPr>
            <a:defRPr sz="90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noFill/>
      <a:prstDash val="solid"/>
      <a:round/>
    </a:ln>
  </c:spPr>
  <c:txPr>
    <a:bodyPr/>
    <a:lstStyle/>
    <a:p>
      <a:pPr>
        <a:defRPr sz="1000">
          <a:solidFill>
            <a:schemeClr val="tx1"/>
          </a:solidFill>
          <a:latin typeface="+mn-lt"/>
          <a:ea typeface="+mn-ea"/>
          <a:cs typeface="+mn-cs"/>
        </a:defRPr>
      </a:pPr>
      <a:endParaRPr lang="ru-RU"/>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8.9770000000000003E-2"/>
          <c:y val="6.5549999999999997E-2"/>
          <c:w val="0.89019999999999999"/>
          <c:h val="0.83035000000000003"/>
        </c:manualLayout>
      </c:layout>
      <c:barChart>
        <c:barDir val="col"/>
        <c:grouping val="clustered"/>
        <c:varyColors val="0"/>
        <c:ser>
          <c:idx val="0"/>
          <c:order val="0"/>
          <c:tx>
            <c:strRef>
              <c:f>Sheet1!$B$1</c:f>
              <c:strCache>
                <c:ptCount val="1"/>
                <c:pt idx="0">
                  <c:v>2019</c:v>
                </c:pt>
              </c:strCache>
            </c:strRef>
          </c:tx>
          <c:spPr>
            <a:solidFill>
              <a:schemeClr val="accent1"/>
            </a:solidFill>
            <a:ln>
              <a:noFill/>
            </a:ln>
          </c:spPr>
          <c:invertIfNegative val="0"/>
          <c:dLbls>
            <c:spPr>
              <a:noFill/>
              <a:ln>
                <a:noFill/>
                <a:bevel/>
              </a:ln>
            </c:spPr>
            <c:txPr>
              <a:bodyPr/>
              <a:lstStyle/>
              <a:p>
                <a:pPr>
                  <a:defRPr sz="90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eparator> </c:separator>
            <c:showLeaderLines val="0"/>
            <c:extLst xmlns:c16r2="http://schemas.microsoft.com/office/drawing/2015/06/chart">
              <c:ext xmlns:c15="http://schemas.microsoft.com/office/drawing/2012/chart" uri="{CE6537A1-D6FC-4f65-9D91-7224C49458BB}">
                <c15:spPr xmlns:c15="http://schemas.microsoft.com/office/drawing/2012/chart">
                  <a:prstGeom prst="rect">
                    <a:avLst/>
                  </a:prstGeom>
                </c15:spPr>
                <c15:showLeaderLines val="0"/>
              </c:ext>
            </c:extLst>
          </c:dLbls>
          <c:cat>
            <c:numRef>
              <c:f>Sheet1!$A$2</c:f>
              <c:numCache>
                <c:formatCode>General</c:formatCode>
                <c:ptCount val="1"/>
                <c:pt idx="0">
                  <c:v>3193.9</c:v>
                </c:pt>
              </c:numCache>
            </c:numRef>
          </c:cat>
          <c:val>
            <c:numRef>
              <c:f>Sheet1!$B$2</c:f>
              <c:numCache>
                <c:formatCode>General</c:formatCode>
                <c:ptCount val="1"/>
                <c:pt idx="0">
                  <c:v>3193.9</c:v>
                </c:pt>
              </c:numCache>
            </c:numRef>
          </c:val>
          <c:extLst xmlns:c16r2="http://schemas.microsoft.com/office/drawing/2015/06/chart">
            <c:ext xmlns:c16="http://schemas.microsoft.com/office/drawing/2014/chart" uri="{C3380CC4-5D6E-409C-BE32-E72D297353CC}">
              <c16:uniqueId val="{00000000-6E90-4EED-9218-FF6F49D9A221}"/>
            </c:ext>
          </c:extLst>
        </c:ser>
        <c:ser>
          <c:idx val="1"/>
          <c:order val="1"/>
          <c:tx>
            <c:strRef>
              <c:f>Sheet1!$C$1</c:f>
              <c:strCache>
                <c:ptCount val="1"/>
                <c:pt idx="0">
                  <c:v>2020</c:v>
                </c:pt>
              </c:strCache>
            </c:strRef>
          </c:tx>
          <c:spPr>
            <a:solidFill>
              <a:schemeClr val="accent2"/>
            </a:solidFill>
            <a:ln>
              <a:noFill/>
              <a:miter/>
            </a:ln>
          </c:spPr>
          <c:invertIfNegative val="0"/>
          <c:dLbls>
            <c:spPr>
              <a:noFill/>
              <a:ln>
                <a:noFill/>
              </a:ln>
            </c:spPr>
            <c:txPr>
              <a:bodyPr/>
              <a:lstStyle/>
              <a:p>
                <a:pPr>
                  <a:defRPr sz="90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eparator> </c:separator>
            <c:showLeaderLines val="0"/>
            <c:extLst xmlns:c16r2="http://schemas.microsoft.com/office/drawing/2015/06/chart">
              <c:ext xmlns:c15="http://schemas.microsoft.com/office/drawing/2012/chart" uri="{CE6537A1-D6FC-4f65-9D91-7224C49458BB}">
                <c15:spPr xmlns:c15="http://schemas.microsoft.com/office/drawing/2012/chart">
                  <a:prstGeom prst="rect">
                    <a:avLst/>
                  </a:prstGeom>
                </c15:spPr>
                <c15:showLeaderLines val="0"/>
              </c:ext>
            </c:extLst>
          </c:dLbls>
          <c:cat>
            <c:numRef>
              <c:f>Sheet1!$A$2</c:f>
              <c:numCache>
                <c:formatCode>General</c:formatCode>
                <c:ptCount val="1"/>
                <c:pt idx="0">
                  <c:v>3193.9</c:v>
                </c:pt>
              </c:numCache>
            </c:numRef>
          </c:cat>
          <c:val>
            <c:numRef>
              <c:f>Sheet1!$C$2</c:f>
              <c:numCache>
                <c:formatCode>General</c:formatCode>
                <c:ptCount val="1"/>
                <c:pt idx="0">
                  <c:v>1984.3</c:v>
                </c:pt>
              </c:numCache>
            </c:numRef>
          </c:val>
          <c:extLst xmlns:c16r2="http://schemas.microsoft.com/office/drawing/2015/06/chart">
            <c:ext xmlns:c16="http://schemas.microsoft.com/office/drawing/2014/chart" uri="{C3380CC4-5D6E-409C-BE32-E72D297353CC}">
              <c16:uniqueId val="{00000001-6E90-4EED-9218-FF6F49D9A221}"/>
            </c:ext>
          </c:extLst>
        </c:ser>
        <c:ser>
          <c:idx val="2"/>
          <c:order val="2"/>
          <c:tx>
            <c:strRef>
              <c:f>Sheet1!$D$1</c:f>
              <c:strCache>
                <c:ptCount val="1"/>
                <c:pt idx="0">
                  <c:v>2021</c:v>
                </c:pt>
              </c:strCache>
            </c:strRef>
          </c:tx>
          <c:spPr>
            <a:solidFill>
              <a:schemeClr val="accent3"/>
            </a:solidFill>
            <a:ln>
              <a:noFill/>
            </a:ln>
          </c:spPr>
          <c:invertIfNegative val="0"/>
          <c:dLbls>
            <c:spPr>
              <a:noFill/>
              <a:ln>
                <a:noFill/>
              </a:ln>
            </c:spPr>
            <c:txPr>
              <a:bodyPr/>
              <a:lstStyle/>
              <a:p>
                <a:pPr>
                  <a:defRPr sz="90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eparator> </c:separator>
            <c:showLeaderLines val="0"/>
            <c:extLst xmlns:c16r2="http://schemas.microsoft.com/office/drawing/2015/06/chart">
              <c:ext xmlns:c15="http://schemas.microsoft.com/office/drawing/2012/chart" uri="{CE6537A1-D6FC-4f65-9D91-7224C49458BB}">
                <c15:spPr xmlns:c15="http://schemas.microsoft.com/office/drawing/2012/chart">
                  <a:prstGeom prst="rect">
                    <a:avLst/>
                  </a:prstGeom>
                </c15:spPr>
                <c15:showLeaderLines val="0"/>
              </c:ext>
            </c:extLst>
          </c:dLbls>
          <c:cat>
            <c:numRef>
              <c:f>Sheet1!$A$2</c:f>
              <c:numCache>
                <c:formatCode>General</c:formatCode>
                <c:ptCount val="1"/>
                <c:pt idx="0">
                  <c:v>3193.9</c:v>
                </c:pt>
              </c:numCache>
            </c:numRef>
          </c:cat>
          <c:val>
            <c:numRef>
              <c:f>Sheet1!$D$2</c:f>
              <c:numCache>
                <c:formatCode>General</c:formatCode>
                <c:ptCount val="1"/>
                <c:pt idx="0">
                  <c:v>2082.8000000000002</c:v>
                </c:pt>
              </c:numCache>
            </c:numRef>
          </c:val>
          <c:extLst xmlns:c16r2="http://schemas.microsoft.com/office/drawing/2015/06/chart">
            <c:ext xmlns:c16="http://schemas.microsoft.com/office/drawing/2014/chart" uri="{C3380CC4-5D6E-409C-BE32-E72D297353CC}">
              <c16:uniqueId val="{00000002-6E90-4EED-9218-FF6F49D9A221}"/>
            </c:ext>
          </c:extLst>
        </c:ser>
        <c:ser>
          <c:idx val="3"/>
          <c:order val="3"/>
          <c:tx>
            <c:strRef>
              <c:f>Sheet1!$E$1</c:f>
              <c:strCache>
                <c:ptCount val="1"/>
                <c:pt idx="0">
                  <c:v>2022</c:v>
                </c:pt>
              </c:strCache>
            </c:strRef>
          </c:tx>
          <c:spPr>
            <a:solidFill>
              <a:schemeClr val="accent4"/>
            </a:solidFill>
            <a:ln>
              <a:noFill/>
            </a:ln>
          </c:spPr>
          <c:invertIfNegative val="0"/>
          <c:dLbls>
            <c:spPr>
              <a:noFill/>
              <a:ln>
                <a:noFill/>
              </a:ln>
            </c:spPr>
            <c:txPr>
              <a:bodyPr/>
              <a:lstStyle/>
              <a:p>
                <a:pPr>
                  <a:defRPr sz="90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eparator> </c:separator>
            <c:showLeaderLines val="0"/>
            <c:extLst xmlns:c16r2="http://schemas.microsoft.com/office/drawing/2015/06/chart">
              <c:ext xmlns:c15="http://schemas.microsoft.com/office/drawing/2012/chart" uri="{CE6537A1-D6FC-4f65-9D91-7224C49458BB}">
                <c15:spPr xmlns:c15="http://schemas.microsoft.com/office/drawing/2012/chart">
                  <a:prstGeom prst="rect">
                    <a:avLst/>
                  </a:prstGeom>
                </c15:spPr>
                <c15:showLeaderLines val="0"/>
              </c:ext>
            </c:extLst>
          </c:dLbls>
          <c:cat>
            <c:numRef>
              <c:f>Sheet1!$A$2</c:f>
              <c:numCache>
                <c:formatCode>General</c:formatCode>
                <c:ptCount val="1"/>
                <c:pt idx="0">
                  <c:v>3193.9</c:v>
                </c:pt>
              </c:numCache>
            </c:numRef>
          </c:cat>
          <c:val>
            <c:numRef>
              <c:f>Sheet1!$E$2</c:f>
              <c:numCache>
                <c:formatCode>General</c:formatCode>
                <c:ptCount val="1"/>
                <c:pt idx="0">
                  <c:v>3426.35</c:v>
                </c:pt>
              </c:numCache>
            </c:numRef>
          </c:val>
          <c:extLst xmlns:c16r2="http://schemas.microsoft.com/office/drawing/2015/06/chart">
            <c:ext xmlns:c16="http://schemas.microsoft.com/office/drawing/2014/chart" uri="{C3380CC4-5D6E-409C-BE32-E72D297353CC}">
              <c16:uniqueId val="{00000003-6E90-4EED-9218-FF6F49D9A221}"/>
            </c:ext>
          </c:extLst>
        </c:ser>
        <c:dLbls>
          <c:dLblPos val="outEnd"/>
          <c:showLegendKey val="0"/>
          <c:showVal val="1"/>
          <c:showCatName val="0"/>
          <c:showSerName val="0"/>
          <c:showPercent val="0"/>
          <c:showBubbleSize val="0"/>
          <c:separator> </c:separator>
        </c:dLbls>
        <c:gapWidth val="219"/>
        <c:overlap val="-26"/>
        <c:axId val="163377664"/>
        <c:axId val="484996736"/>
      </c:barChart>
      <c:catAx>
        <c:axId val="163377664"/>
        <c:scaling>
          <c:orientation val="minMax"/>
        </c:scaling>
        <c:delete val="1"/>
        <c:axPos val="b"/>
        <c:numFmt formatCode="General" sourceLinked="1"/>
        <c:majorTickMark val="none"/>
        <c:minorTickMark val="none"/>
        <c:tickLblPos val="nextTo"/>
        <c:crossAx val="484996736"/>
        <c:crosses val="autoZero"/>
        <c:auto val="1"/>
        <c:lblAlgn val="ctr"/>
        <c:lblOffset val="100"/>
        <c:tickMarkSkip val="1"/>
        <c:noMultiLvlLbl val="0"/>
      </c:catAx>
      <c:valAx>
        <c:axId val="484996736"/>
        <c:scaling>
          <c:orientation val="minMax"/>
        </c:scaling>
        <c:delete val="0"/>
        <c:axPos val="l"/>
        <c:majorGridlines>
          <c:spPr>
            <a:ln w="9525" cap="flat" cmpd="sng" algn="ctr">
              <a:noFill/>
              <a:round/>
            </a:ln>
          </c:spPr>
        </c:majorGridlines>
        <c:numFmt formatCode="General" sourceLinked="1"/>
        <c:majorTickMark val="none"/>
        <c:minorTickMark val="none"/>
        <c:tickLblPos val="nextTo"/>
        <c:spPr>
          <a:noFill/>
          <a:ln>
            <a:noFill/>
          </a:ln>
        </c:spPr>
        <c:txPr>
          <a:bodyPr/>
          <a:lstStyle/>
          <a:p>
            <a:pPr>
              <a:defRPr sz="900">
                <a:solidFill>
                  <a:schemeClr val="tx1">
                    <a:lumMod val="65000"/>
                    <a:lumOff val="35000"/>
                  </a:schemeClr>
                </a:solidFill>
                <a:latin typeface="Calibri"/>
                <a:ea typeface="Arial"/>
                <a:cs typeface="Arial"/>
              </a:defRPr>
            </a:pPr>
            <a:endParaRPr lang="ru-RU"/>
          </a:p>
        </c:txPr>
        <c:crossAx val="163377664"/>
        <c:crosses val="autoZero"/>
        <c:crossBetween val="between"/>
      </c:valAx>
      <c:spPr>
        <a:noFill/>
        <a:ln w="6349">
          <a:noFill/>
          <a:prstDash val="solid"/>
        </a:ln>
      </c:spPr>
    </c:plotArea>
    <c:legend>
      <c:legendPos val="b"/>
      <c:overlay val="0"/>
      <c:spPr>
        <a:noFill/>
        <a:ln>
          <a:noFill/>
        </a:ln>
        <a:effectLst/>
      </c:spPr>
      <c:txPr>
        <a:bodyPr rot="0" spcFirstLastPara="1" vertOverflow="ellipsis" vert="horz" wrap="square" anchor="ctr" anchorCtr="1"/>
        <a:lstStyle/>
        <a:p>
          <a:pPr>
            <a:defRPr sz="90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noFill/>
      <a:prstDash val="solid"/>
      <a:round/>
    </a:ln>
  </c:spPr>
  <c:txPr>
    <a:bodyPr/>
    <a:lstStyle/>
    <a:p>
      <a:pPr>
        <a:defRPr sz="1000">
          <a:solidFill>
            <a:schemeClr val="tx1"/>
          </a:solidFill>
          <a:latin typeface="+mn-lt"/>
          <a:ea typeface="+mn-ea"/>
          <a:cs typeface="+mn-cs"/>
        </a:defRPr>
      </a:pPr>
      <a:endParaRPr lang="ru-RU"/>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doughnutChart>
        <c:varyColors val="1"/>
        <c:ser>
          <c:idx val="0"/>
          <c:order val="0"/>
          <c:tx>
            <c:strRef>
              <c:f>Sheet1!$B$1</c:f>
              <c:strCache>
                <c:ptCount val="1"/>
                <c:pt idx="0">
                  <c:v>Gold</c:v>
                </c:pt>
              </c:strCache>
            </c:strRef>
          </c:tx>
          <c:dPt>
            <c:idx val="0"/>
            <c:bubble3D val="0"/>
            <c:spPr>
              <a:solidFill>
                <a:schemeClr val="accent1"/>
              </a:solidFill>
              <a:ln w="19050">
                <a:solidFill>
                  <a:schemeClr val="lt1"/>
                </a:solidFill>
              </a:ln>
            </c:spPr>
            <c:extLst xmlns:c16r2="http://schemas.microsoft.com/office/drawing/2015/06/chart">
              <c:ext xmlns:c16="http://schemas.microsoft.com/office/drawing/2014/chart" uri="{C3380CC4-5D6E-409C-BE32-E72D297353CC}">
                <c16:uniqueId val="{00000001-72E1-4929-B75E-8BC1642A2DB6}"/>
              </c:ext>
            </c:extLst>
          </c:dPt>
          <c:dPt>
            <c:idx val="1"/>
            <c:bubble3D val="0"/>
            <c:spPr>
              <a:solidFill>
                <a:schemeClr val="accent2"/>
              </a:solidFill>
              <a:ln w="19050">
                <a:solidFill>
                  <a:schemeClr val="lt1"/>
                </a:solidFill>
              </a:ln>
            </c:spPr>
            <c:extLst xmlns:c16r2="http://schemas.microsoft.com/office/drawing/2015/06/chart">
              <c:ext xmlns:c16="http://schemas.microsoft.com/office/drawing/2014/chart" uri="{C3380CC4-5D6E-409C-BE32-E72D297353CC}">
                <c16:uniqueId val="{00000003-72E1-4929-B75E-8BC1642A2DB6}"/>
              </c:ext>
            </c:extLst>
          </c:dPt>
          <c:dPt>
            <c:idx val="2"/>
            <c:bubble3D val="0"/>
            <c:spPr>
              <a:solidFill>
                <a:schemeClr val="accent3"/>
              </a:solidFill>
              <a:ln w="19050">
                <a:solidFill>
                  <a:schemeClr val="lt1"/>
                </a:solidFill>
              </a:ln>
            </c:spPr>
            <c:extLst xmlns:c16r2="http://schemas.microsoft.com/office/drawing/2015/06/chart">
              <c:ext xmlns:c16="http://schemas.microsoft.com/office/drawing/2014/chart" uri="{C3380CC4-5D6E-409C-BE32-E72D297353CC}">
                <c16:uniqueId val="{00000005-72E1-4929-B75E-8BC1642A2DB6}"/>
              </c:ext>
            </c:extLst>
          </c:dPt>
          <c:dPt>
            <c:idx val="3"/>
            <c:bubble3D val="0"/>
            <c:spPr>
              <a:solidFill>
                <a:schemeClr val="accent4"/>
              </a:solidFill>
              <a:ln w="19050">
                <a:solidFill>
                  <a:schemeClr val="lt1"/>
                </a:solidFill>
              </a:ln>
            </c:spPr>
            <c:extLst xmlns:c16r2="http://schemas.microsoft.com/office/drawing/2015/06/chart">
              <c:ext xmlns:c16="http://schemas.microsoft.com/office/drawing/2014/chart" uri="{C3380CC4-5D6E-409C-BE32-E72D297353CC}">
                <c16:uniqueId val="{00000007-72E1-4929-B75E-8BC1642A2DB6}"/>
              </c:ext>
            </c:extLst>
          </c:dPt>
          <c:cat>
            <c:strRef>
              <c:f>Sheet1!$A$2:$A$5</c:f>
              <c:strCache>
                <c:ptCount val="4"/>
                <c:pt idx="0">
                  <c:v>Леса Гослесфонда</c:v>
                </c:pt>
                <c:pt idx="1">
                  <c:v>Национальный парк «Кисловодский»</c:v>
                </c:pt>
                <c:pt idx="2">
                  <c:v>Городские леса</c:v>
                </c:pt>
                <c:pt idx="3">
                  <c:v>Лесопарки</c:v>
                </c:pt>
              </c:strCache>
            </c:strRef>
          </c:cat>
          <c:val>
            <c:numRef>
              <c:f>Sheet1!$B$2:$B$5</c:f>
              <c:numCache>
                <c:formatCode>General</c:formatCode>
                <c:ptCount val="4"/>
                <c:pt idx="0">
                  <c:v>2355</c:v>
                </c:pt>
                <c:pt idx="1">
                  <c:v>966</c:v>
                </c:pt>
                <c:pt idx="2">
                  <c:v>2328</c:v>
                </c:pt>
                <c:pt idx="3">
                  <c:v>1250</c:v>
                </c:pt>
              </c:numCache>
            </c:numRef>
          </c:val>
          <c:extLst xmlns:c16r2="http://schemas.microsoft.com/office/drawing/2015/06/chart">
            <c:ext xmlns:c16="http://schemas.microsoft.com/office/drawing/2014/chart" uri="{C3380CC4-5D6E-409C-BE32-E72D297353CC}">
              <c16:uniqueId val="{00000008-72E1-4929-B75E-8BC1642A2DB6}"/>
            </c:ext>
          </c:extLst>
        </c:ser>
        <c:dLbls>
          <c:showLegendKey val="0"/>
          <c:showVal val="0"/>
          <c:showCatName val="0"/>
          <c:showSerName val="0"/>
          <c:showPercent val="0"/>
          <c:showBubbleSize val="0"/>
          <c:showLeaderLines val="1"/>
        </c:dLbls>
        <c:firstSliceAng val="0"/>
        <c:holeSize val="75"/>
      </c:doughnutChart>
      <c:spPr>
        <a:noFill/>
        <a:ln>
          <a:noFill/>
          <a:miter/>
        </a:ln>
      </c:spPr>
    </c:plotArea>
    <c:legend>
      <c:legendPos val="b"/>
      <c:overlay val="0"/>
      <c:spPr>
        <a:noFill/>
        <a:ln>
          <a:noFill/>
        </a:ln>
        <a:effectLst/>
      </c:spPr>
      <c:txPr>
        <a:bodyPr rot="0" spcFirstLastPara="1" vertOverflow="ellipsis" vert="horz" wrap="square" anchor="ctr" anchorCtr="1"/>
        <a:lstStyle/>
        <a:p>
          <a:pPr>
            <a:defRPr sz="90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noFill/>
      <a:prstDash val="solid"/>
      <a:round/>
    </a:ln>
  </c:spPr>
  <c:txPr>
    <a:bodyPr/>
    <a:lstStyle/>
    <a:p>
      <a:pPr>
        <a:defRPr sz="900">
          <a:solidFill>
            <a:schemeClr val="tx1"/>
          </a:solidFill>
          <a:latin typeface="+mn-lt"/>
          <a:ea typeface="+mn-ea"/>
          <a:cs typeface="+mn-cs"/>
        </a:defRPr>
      </a:pPr>
      <a:endParaRPr lang="ru-RU"/>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8.9289999999999994E-2"/>
          <c:y val="6.0979999999999999E-2"/>
          <c:w val="0.88980999999999999"/>
          <c:h val="0.74117999999999995"/>
        </c:manualLayout>
      </c:layout>
      <c:lineChart>
        <c:grouping val="standard"/>
        <c:varyColors val="0"/>
        <c:ser>
          <c:idx val="0"/>
          <c:order val="0"/>
          <c:tx>
            <c:strRef>
              <c:f>Sheet1!$B$1</c:f>
              <c:strCache>
                <c:ptCount val="1"/>
                <c:pt idx="0">
                  <c:v>целевой</c:v>
                </c:pt>
              </c:strCache>
            </c:strRef>
          </c:tx>
          <c:spPr>
            <a:ln w="28575" cap="rnd" cmpd="sng" algn="ctr">
              <a:solidFill>
                <a:schemeClr val="accent6">
                  <a:lumMod val="74901"/>
                </a:schemeClr>
              </a:solidFill>
              <a:prstDash val="solid"/>
              <a:round/>
            </a:ln>
          </c:spPr>
          <c:marker>
            <c:symbol val="none"/>
          </c:marker>
          <c:dLbls>
            <c:spPr>
              <a:noFill/>
              <a:ln>
                <a:noFill/>
              </a:ln>
            </c:spPr>
            <c:txPr>
              <a:bodyPr/>
              <a:lstStyle/>
              <a:p>
                <a:pPr>
                  <a:defRPr sz="900">
                    <a:solidFill>
                      <a:schemeClr val="tx1">
                        <a:lumMod val="75000"/>
                        <a:lumOff val="25000"/>
                      </a:schemeClr>
                    </a:solidFill>
                    <a:latin typeface="+mn-lt"/>
                    <a:ea typeface="+mn-ea"/>
                    <a:cs typeface="+mn-cs"/>
                  </a:defRPr>
                </a:pPr>
                <a:endParaRPr lang="ru-RU"/>
              </a:p>
            </c:txPr>
            <c:dLblPos val="t"/>
            <c:showLegendKey val="0"/>
            <c:showVal val="1"/>
            <c:showCatName val="0"/>
            <c:showSerName val="0"/>
            <c:showPercent val="0"/>
            <c:showBubbleSize val="0"/>
            <c:separator> </c:separator>
            <c:showLeaderLines val="0"/>
            <c:extLst xmlns:c16r2="http://schemas.microsoft.com/office/drawing/2015/06/chart">
              <c:ext xmlns:c15="http://schemas.microsoft.com/office/drawing/2012/chart" uri="{CE6537A1-D6FC-4f65-9D91-7224C49458BB}">
                <c15:spPr xmlns:c15="http://schemas.microsoft.com/office/drawing/2012/chart">
                  <a:prstGeom prst="rect">
                    <a:avLst/>
                  </a:prstGeom>
                </c15:spPr>
                <c15:showLeaderLines val="0"/>
              </c:ext>
            </c:extLst>
          </c:dLbls>
          <c:cat>
            <c:numRef>
              <c:f>Sheet1!$A$2:$A$7</c:f>
              <c:numCache>
                <c:formatCode>General</c:formatCode>
                <c:ptCount val="6"/>
                <c:pt idx="0">
                  <c:v>2023</c:v>
                </c:pt>
                <c:pt idx="1">
                  <c:v>2029</c:v>
                </c:pt>
                <c:pt idx="2">
                  <c:v>2034</c:v>
                </c:pt>
                <c:pt idx="3">
                  <c:v>2039</c:v>
                </c:pt>
                <c:pt idx="4">
                  <c:v>2044</c:v>
                </c:pt>
                <c:pt idx="5">
                  <c:v>2049</c:v>
                </c:pt>
              </c:numCache>
            </c:numRef>
          </c:cat>
          <c:val>
            <c:numRef>
              <c:f>Sheet1!$B$2:$B$7</c:f>
              <c:numCache>
                <c:formatCode>General</c:formatCode>
                <c:ptCount val="6"/>
                <c:pt idx="0">
                  <c:v>133.9</c:v>
                </c:pt>
                <c:pt idx="1">
                  <c:v>134.19999999999999</c:v>
                </c:pt>
                <c:pt idx="2">
                  <c:v>136</c:v>
                </c:pt>
                <c:pt idx="3">
                  <c:v>139.1</c:v>
                </c:pt>
                <c:pt idx="4">
                  <c:v>143.19999999999999</c:v>
                </c:pt>
                <c:pt idx="5">
                  <c:v>148.1</c:v>
                </c:pt>
              </c:numCache>
            </c:numRef>
          </c:val>
          <c:smooth val="0"/>
          <c:extLst xmlns:c16r2="http://schemas.microsoft.com/office/drawing/2015/06/chart">
            <c:ext xmlns:c16="http://schemas.microsoft.com/office/drawing/2014/chart" uri="{C3380CC4-5D6E-409C-BE32-E72D297353CC}">
              <c16:uniqueId val="{00000000-A470-4A86-B3EC-F1B381DE7C04}"/>
            </c:ext>
          </c:extLst>
        </c:ser>
        <c:ser>
          <c:idx val="1"/>
          <c:order val="1"/>
          <c:tx>
            <c:strRef>
              <c:f>Sheet1!$C$1</c:f>
              <c:strCache>
                <c:ptCount val="1"/>
                <c:pt idx="0">
                  <c:v>инерционный</c:v>
                </c:pt>
              </c:strCache>
            </c:strRef>
          </c:tx>
          <c:spPr>
            <a:ln w="28575" cap="rnd" cmpd="sng" algn="ctr">
              <a:solidFill>
                <a:schemeClr val="accent2">
                  <a:lumMod val="20000"/>
                  <a:lumOff val="80000"/>
                </a:schemeClr>
              </a:solidFill>
              <a:prstDash val="solid"/>
              <a:round/>
            </a:ln>
          </c:spPr>
          <c:marker>
            <c:symbol val="none"/>
          </c:marker>
          <c:dLbls>
            <c:dLbl>
              <c:idx val="0"/>
              <c:delete val="1"/>
              <c:extLst xmlns:c16r2="http://schemas.microsoft.com/office/drawing/2015/06/chart">
                <c:ext xmlns:c16="http://schemas.microsoft.com/office/drawing/2014/chart" uri="{C3380CC4-5D6E-409C-BE32-E72D297353CC}">
                  <c16:uniqueId val="{00000001-A470-4A86-B3EC-F1B381DE7C04}"/>
                </c:ext>
                <c:ext xmlns:c15="http://schemas.microsoft.com/office/drawing/2012/chart" uri="{CE6537A1-D6FC-4f65-9D91-7224C49458BB}"/>
              </c:extLst>
            </c:dLbl>
            <c:dLbl>
              <c:idx val="1"/>
              <c:layout>
                <c:manualLayout>
                  <c:x val="1.044E-2"/>
                  <c:y val="3.567E-2"/>
                </c:manualLayout>
              </c:layout>
              <c:dLblPos val="t"/>
              <c:showLegendKey val="0"/>
              <c:showVal val="1"/>
              <c:showCatName val="0"/>
              <c:showSerName val="0"/>
              <c:showPercent val="0"/>
              <c:showBubbleSize val="0"/>
              <c:separator> </c:separator>
              <c:extLst xmlns:c16r2="http://schemas.microsoft.com/office/drawing/2015/06/chart">
                <c:ext xmlns:c16="http://schemas.microsoft.com/office/drawing/2014/chart" uri="{C3380CC4-5D6E-409C-BE32-E72D297353CC}">
                  <c16:uniqueId val="{00000002-A470-4A86-B3EC-F1B381DE7C04}"/>
                </c:ext>
                <c:ext xmlns:c15="http://schemas.microsoft.com/office/drawing/2012/chart" uri="{CE6537A1-D6FC-4f65-9D91-7224C49458BB}"/>
              </c:extLst>
            </c:dLbl>
            <c:dLbl>
              <c:idx val="2"/>
              <c:layout>
                <c:manualLayout>
                  <c:x val="6.96E-3"/>
                  <c:y val="3.8640000000000001E-2"/>
                </c:manualLayout>
              </c:layout>
              <c:dLblPos val="t"/>
              <c:showLegendKey val="0"/>
              <c:showVal val="1"/>
              <c:showCatName val="0"/>
              <c:showSerName val="0"/>
              <c:showPercent val="0"/>
              <c:showBubbleSize val="0"/>
              <c:separator> </c:separator>
              <c:extLst xmlns:c16r2="http://schemas.microsoft.com/office/drawing/2015/06/chart">
                <c:ext xmlns:c16="http://schemas.microsoft.com/office/drawing/2014/chart" uri="{C3380CC4-5D6E-409C-BE32-E72D297353CC}">
                  <c16:uniqueId val="{00000003-A470-4A86-B3EC-F1B381DE7C04}"/>
                </c:ext>
                <c:ext xmlns:c15="http://schemas.microsoft.com/office/drawing/2012/chart" uri="{CE6537A1-D6FC-4f65-9D91-7224C49458BB}"/>
              </c:extLst>
            </c:dLbl>
            <c:dLbl>
              <c:idx val="3"/>
              <c:layout>
                <c:manualLayout>
                  <c:x val="5.2199999999999998E-3"/>
                  <c:y val="2.3779999999999999E-2"/>
                </c:manualLayout>
              </c:layout>
              <c:dLblPos val="t"/>
              <c:showLegendKey val="0"/>
              <c:showVal val="1"/>
              <c:showCatName val="0"/>
              <c:showSerName val="0"/>
              <c:showPercent val="0"/>
              <c:showBubbleSize val="0"/>
              <c:separator> </c:separator>
              <c:extLst xmlns:c16r2="http://schemas.microsoft.com/office/drawing/2015/06/chart">
                <c:ext xmlns:c16="http://schemas.microsoft.com/office/drawing/2014/chart" uri="{C3380CC4-5D6E-409C-BE32-E72D297353CC}">
                  <c16:uniqueId val="{00000004-A470-4A86-B3EC-F1B381DE7C04}"/>
                </c:ext>
                <c:ext xmlns:c15="http://schemas.microsoft.com/office/drawing/2012/chart" uri="{CE6537A1-D6FC-4f65-9D91-7224C49458BB}"/>
              </c:extLst>
            </c:dLbl>
            <c:dLbl>
              <c:idx val="4"/>
              <c:layout>
                <c:manualLayout>
                  <c:x val="3.48E-3"/>
                  <c:y val="2.3779999999999999E-2"/>
                </c:manualLayout>
              </c:layout>
              <c:dLblPos val="t"/>
              <c:showLegendKey val="0"/>
              <c:showVal val="1"/>
              <c:showCatName val="0"/>
              <c:showSerName val="0"/>
              <c:showPercent val="0"/>
              <c:showBubbleSize val="0"/>
              <c:separator> </c:separator>
              <c:extLst xmlns:c16r2="http://schemas.microsoft.com/office/drawing/2015/06/chart">
                <c:ext xmlns:c16="http://schemas.microsoft.com/office/drawing/2014/chart" uri="{C3380CC4-5D6E-409C-BE32-E72D297353CC}">
                  <c16:uniqueId val="{00000005-A470-4A86-B3EC-F1B381DE7C04}"/>
                </c:ext>
                <c:ext xmlns:c15="http://schemas.microsoft.com/office/drawing/2012/chart" uri="{CE6537A1-D6FC-4f65-9D91-7224C49458BB}"/>
              </c:extLst>
            </c:dLbl>
            <c:dLbl>
              <c:idx val="5"/>
              <c:layout>
                <c:manualLayout>
                  <c:x val="3.48E-3"/>
                  <c:y val="3.27E-2"/>
                </c:manualLayout>
              </c:layout>
              <c:dLblPos val="t"/>
              <c:showLegendKey val="0"/>
              <c:showVal val="1"/>
              <c:showCatName val="0"/>
              <c:showSerName val="0"/>
              <c:showPercent val="0"/>
              <c:showBubbleSize val="0"/>
              <c:separator> </c:separator>
              <c:extLst xmlns:c16r2="http://schemas.microsoft.com/office/drawing/2015/06/chart">
                <c:ext xmlns:c16="http://schemas.microsoft.com/office/drawing/2014/chart" uri="{C3380CC4-5D6E-409C-BE32-E72D297353CC}">
                  <c16:uniqueId val="{00000006-A470-4A86-B3EC-F1B381DE7C04}"/>
                </c:ext>
                <c:ext xmlns:c15="http://schemas.microsoft.com/office/drawing/2012/chart" uri="{CE6537A1-D6FC-4f65-9D91-7224C49458BB}"/>
              </c:extLst>
            </c:dLbl>
            <c:spPr>
              <a:noFill/>
              <a:ln>
                <a:noFill/>
              </a:ln>
            </c:spPr>
            <c:txPr>
              <a:bodyPr/>
              <a:lstStyle/>
              <a:p>
                <a:pPr>
                  <a:defRPr sz="900">
                    <a:solidFill>
                      <a:schemeClr val="tx1">
                        <a:lumMod val="75000"/>
                        <a:lumOff val="25000"/>
                      </a:schemeClr>
                    </a:solidFill>
                    <a:latin typeface="+mn-lt"/>
                    <a:ea typeface="+mn-ea"/>
                    <a:cs typeface="+mn-cs"/>
                  </a:defRPr>
                </a:pPr>
                <a:endParaRPr lang="ru-RU"/>
              </a:p>
            </c:txPr>
            <c:dLblPos val="t"/>
            <c:showLegendKey val="0"/>
            <c:showVal val="1"/>
            <c:showCatName val="0"/>
            <c:showSerName val="0"/>
            <c:showPercent val="0"/>
            <c:showBubbleSize val="0"/>
            <c:separator> </c:separator>
            <c:showLeaderLines val="0"/>
            <c:extLst xmlns:c16r2="http://schemas.microsoft.com/office/drawing/2015/06/chart">
              <c:ext xmlns:c15="http://schemas.microsoft.com/office/drawing/2012/chart" uri="{CE6537A1-D6FC-4f65-9D91-7224C49458BB}">
                <c15:spPr xmlns:c15="http://schemas.microsoft.com/office/drawing/2012/chart">
                  <a:prstGeom prst="rect">
                    <a:avLst/>
                  </a:prstGeom>
                </c15:spPr>
                <c15:showLeaderLines val="0"/>
              </c:ext>
            </c:extLst>
          </c:dLbls>
          <c:cat>
            <c:numRef>
              <c:f>Sheet1!$A$2:$A$7</c:f>
              <c:numCache>
                <c:formatCode>General</c:formatCode>
                <c:ptCount val="6"/>
                <c:pt idx="0">
                  <c:v>2023</c:v>
                </c:pt>
                <c:pt idx="1">
                  <c:v>2029</c:v>
                </c:pt>
                <c:pt idx="2">
                  <c:v>2034</c:v>
                </c:pt>
                <c:pt idx="3">
                  <c:v>2039</c:v>
                </c:pt>
                <c:pt idx="4">
                  <c:v>2044</c:v>
                </c:pt>
                <c:pt idx="5">
                  <c:v>2049</c:v>
                </c:pt>
              </c:numCache>
            </c:numRef>
          </c:cat>
          <c:val>
            <c:numRef>
              <c:f>Sheet1!$C$2:$C$7</c:f>
              <c:numCache>
                <c:formatCode>General</c:formatCode>
                <c:ptCount val="6"/>
                <c:pt idx="0">
                  <c:v>133.9</c:v>
                </c:pt>
                <c:pt idx="1">
                  <c:v>132.9</c:v>
                </c:pt>
                <c:pt idx="2">
                  <c:v>132.69999999999999</c:v>
                </c:pt>
                <c:pt idx="3">
                  <c:v>133.6</c:v>
                </c:pt>
                <c:pt idx="4">
                  <c:v>135.1</c:v>
                </c:pt>
                <c:pt idx="5">
                  <c:v>137</c:v>
                </c:pt>
              </c:numCache>
            </c:numRef>
          </c:val>
          <c:smooth val="0"/>
          <c:extLst xmlns:c16r2="http://schemas.microsoft.com/office/drawing/2015/06/chart">
            <c:ext xmlns:c16="http://schemas.microsoft.com/office/drawing/2014/chart" uri="{C3380CC4-5D6E-409C-BE32-E72D297353CC}">
              <c16:uniqueId val="{00000007-A470-4A86-B3EC-F1B381DE7C04}"/>
            </c:ext>
          </c:extLst>
        </c:ser>
        <c:ser>
          <c:idx val="2"/>
          <c:order val="2"/>
          <c:tx>
            <c:strRef>
              <c:f>Sheet1!$D$1</c:f>
              <c:strCache>
                <c:ptCount val="1"/>
                <c:pt idx="0">
                  <c:v>пессимистический</c:v>
                </c:pt>
              </c:strCache>
            </c:strRef>
          </c:tx>
          <c:spPr>
            <a:ln w="28575" cap="rnd" cmpd="sng" algn="ctr">
              <a:solidFill>
                <a:schemeClr val="accent2">
                  <a:lumMod val="74901"/>
                </a:schemeClr>
              </a:solidFill>
              <a:prstDash val="solid"/>
              <a:round/>
            </a:ln>
          </c:spPr>
          <c:marker>
            <c:symbol val="none"/>
          </c:marker>
          <c:dLbls>
            <c:dLbl>
              <c:idx val="0"/>
              <c:delete val="1"/>
              <c:extLst xmlns:c16r2="http://schemas.microsoft.com/office/drawing/2015/06/chart">
                <c:ext xmlns:c16="http://schemas.microsoft.com/office/drawing/2014/chart" uri="{C3380CC4-5D6E-409C-BE32-E72D297353CC}">
                  <c16:uniqueId val="{00000008-A470-4A86-B3EC-F1B381DE7C04}"/>
                </c:ext>
                <c:ext xmlns:c15="http://schemas.microsoft.com/office/drawing/2012/chart" uri="{CE6537A1-D6FC-4f65-9D91-7224C49458BB}"/>
              </c:extLst>
            </c:dLbl>
            <c:dLbl>
              <c:idx val="1"/>
              <c:layout>
                <c:manualLayout>
                  <c:x val="-1.74E-3"/>
                  <c:y val="7.4319999999999997E-2"/>
                </c:manualLayout>
              </c:layout>
              <c:dLblPos val="t"/>
              <c:showLegendKey val="0"/>
              <c:showVal val="1"/>
              <c:showCatName val="0"/>
              <c:showSerName val="0"/>
              <c:showPercent val="0"/>
              <c:showBubbleSize val="0"/>
              <c:separator> </c:separator>
              <c:extLst xmlns:c16r2="http://schemas.microsoft.com/office/drawing/2015/06/chart">
                <c:ext xmlns:c16="http://schemas.microsoft.com/office/drawing/2014/chart" uri="{C3380CC4-5D6E-409C-BE32-E72D297353CC}">
                  <c16:uniqueId val="{00000009-A470-4A86-B3EC-F1B381DE7C04}"/>
                </c:ext>
                <c:ext xmlns:c15="http://schemas.microsoft.com/office/drawing/2012/chart" uri="{CE6537A1-D6FC-4f65-9D91-7224C49458BB}"/>
              </c:extLst>
            </c:dLbl>
            <c:dLbl>
              <c:idx val="2"/>
              <c:layout>
                <c:manualLayout>
                  <c:x val="1.74E-3"/>
                  <c:y val="8.6209999999999995E-2"/>
                </c:manualLayout>
              </c:layout>
              <c:dLblPos val="t"/>
              <c:showLegendKey val="0"/>
              <c:showVal val="1"/>
              <c:showCatName val="0"/>
              <c:showSerName val="0"/>
              <c:showPercent val="0"/>
              <c:showBubbleSize val="0"/>
              <c:separator> </c:separator>
              <c:extLst xmlns:c16r2="http://schemas.microsoft.com/office/drawing/2015/06/chart">
                <c:ext xmlns:c16="http://schemas.microsoft.com/office/drawing/2014/chart" uri="{C3380CC4-5D6E-409C-BE32-E72D297353CC}">
                  <c16:uniqueId val="{0000000A-A470-4A86-B3EC-F1B381DE7C04}"/>
                </c:ext>
                <c:ext xmlns:c15="http://schemas.microsoft.com/office/drawing/2012/chart" uri="{CE6537A1-D6FC-4f65-9D91-7224C49458BB}"/>
              </c:extLst>
            </c:dLbl>
            <c:dLbl>
              <c:idx val="3"/>
              <c:layout>
                <c:manualLayout>
                  <c:x val="3.48E-3"/>
                  <c:y val="8.0259999999999998E-2"/>
                </c:manualLayout>
              </c:layout>
              <c:dLblPos val="t"/>
              <c:showLegendKey val="0"/>
              <c:showVal val="1"/>
              <c:showCatName val="0"/>
              <c:showSerName val="0"/>
              <c:showPercent val="0"/>
              <c:showBubbleSize val="0"/>
              <c:separator> </c:separator>
              <c:extLst xmlns:c16r2="http://schemas.microsoft.com/office/drawing/2015/06/chart">
                <c:ext xmlns:c16="http://schemas.microsoft.com/office/drawing/2014/chart" uri="{C3380CC4-5D6E-409C-BE32-E72D297353CC}">
                  <c16:uniqueId val="{0000000B-A470-4A86-B3EC-F1B381DE7C04}"/>
                </c:ext>
                <c:ext xmlns:c15="http://schemas.microsoft.com/office/drawing/2012/chart" uri="{CE6537A1-D6FC-4f65-9D91-7224C49458BB}"/>
              </c:extLst>
            </c:dLbl>
            <c:dLbl>
              <c:idx val="4"/>
              <c:layout>
                <c:manualLayout>
                  <c:x val="6.96E-3"/>
                  <c:y val="7.4319999999999997E-2"/>
                </c:manualLayout>
              </c:layout>
              <c:dLblPos val="t"/>
              <c:showLegendKey val="0"/>
              <c:showVal val="1"/>
              <c:showCatName val="0"/>
              <c:showSerName val="0"/>
              <c:showPercent val="0"/>
              <c:showBubbleSize val="0"/>
              <c:separator> </c:separator>
              <c:extLst xmlns:c16r2="http://schemas.microsoft.com/office/drawing/2015/06/chart">
                <c:ext xmlns:c16="http://schemas.microsoft.com/office/drawing/2014/chart" uri="{C3380CC4-5D6E-409C-BE32-E72D297353CC}">
                  <c16:uniqueId val="{0000000C-A470-4A86-B3EC-F1B381DE7C04}"/>
                </c:ext>
                <c:ext xmlns:c15="http://schemas.microsoft.com/office/drawing/2012/chart" uri="{CE6537A1-D6FC-4f65-9D91-7224C49458BB}"/>
              </c:extLst>
            </c:dLbl>
            <c:dLbl>
              <c:idx val="5"/>
              <c:layout>
                <c:manualLayout>
                  <c:x val="1.74E-3"/>
                  <c:y val="7.1340000000000001E-2"/>
                </c:manualLayout>
              </c:layout>
              <c:dLblPos val="t"/>
              <c:showLegendKey val="0"/>
              <c:showVal val="1"/>
              <c:showCatName val="0"/>
              <c:showSerName val="0"/>
              <c:showPercent val="0"/>
              <c:showBubbleSize val="0"/>
              <c:separator> </c:separator>
              <c:extLst xmlns:c16r2="http://schemas.microsoft.com/office/drawing/2015/06/chart">
                <c:ext xmlns:c16="http://schemas.microsoft.com/office/drawing/2014/chart" uri="{C3380CC4-5D6E-409C-BE32-E72D297353CC}">
                  <c16:uniqueId val="{0000000D-A470-4A86-B3EC-F1B381DE7C04}"/>
                </c:ext>
                <c:ext xmlns:c15="http://schemas.microsoft.com/office/drawing/2012/chart" uri="{CE6537A1-D6FC-4f65-9D91-7224C49458BB}"/>
              </c:extLst>
            </c:dLbl>
            <c:spPr>
              <a:noFill/>
              <a:ln>
                <a:noFill/>
              </a:ln>
            </c:spPr>
            <c:txPr>
              <a:bodyPr/>
              <a:lstStyle/>
              <a:p>
                <a:pPr>
                  <a:defRPr sz="900">
                    <a:solidFill>
                      <a:schemeClr val="tx1">
                        <a:lumMod val="75000"/>
                        <a:lumOff val="25000"/>
                      </a:schemeClr>
                    </a:solidFill>
                    <a:latin typeface="+mn-lt"/>
                    <a:ea typeface="+mn-ea"/>
                    <a:cs typeface="+mn-cs"/>
                  </a:defRPr>
                </a:pPr>
                <a:endParaRPr lang="ru-RU"/>
              </a:p>
            </c:txPr>
            <c:dLblPos val="t"/>
            <c:showLegendKey val="0"/>
            <c:showVal val="1"/>
            <c:showCatName val="0"/>
            <c:showSerName val="0"/>
            <c:showPercent val="0"/>
            <c:showBubbleSize val="0"/>
            <c:separator> </c:separator>
            <c:showLeaderLines val="0"/>
            <c:extLst xmlns:c16r2="http://schemas.microsoft.com/office/drawing/2015/06/chart">
              <c:ext xmlns:c15="http://schemas.microsoft.com/office/drawing/2012/chart" uri="{CE6537A1-D6FC-4f65-9D91-7224C49458BB}">
                <c15:spPr xmlns:c15="http://schemas.microsoft.com/office/drawing/2012/chart">
                  <a:prstGeom prst="rect">
                    <a:avLst/>
                  </a:prstGeom>
                </c15:spPr>
                <c15:showLeaderLines val="0"/>
              </c:ext>
            </c:extLst>
          </c:dLbls>
          <c:cat>
            <c:numRef>
              <c:f>Sheet1!$A$2:$A$7</c:f>
              <c:numCache>
                <c:formatCode>General</c:formatCode>
                <c:ptCount val="6"/>
                <c:pt idx="0">
                  <c:v>2023</c:v>
                </c:pt>
                <c:pt idx="1">
                  <c:v>2029</c:v>
                </c:pt>
                <c:pt idx="2">
                  <c:v>2034</c:v>
                </c:pt>
                <c:pt idx="3">
                  <c:v>2039</c:v>
                </c:pt>
                <c:pt idx="4">
                  <c:v>2044</c:v>
                </c:pt>
                <c:pt idx="5">
                  <c:v>2049</c:v>
                </c:pt>
              </c:numCache>
            </c:numRef>
          </c:cat>
          <c:val>
            <c:numRef>
              <c:f>Sheet1!$D$2:$D$7</c:f>
              <c:numCache>
                <c:formatCode>General</c:formatCode>
                <c:ptCount val="6"/>
                <c:pt idx="0">
                  <c:v>133.9</c:v>
                </c:pt>
                <c:pt idx="1">
                  <c:v>131.19999999999999</c:v>
                </c:pt>
                <c:pt idx="2">
                  <c:v>128.19999999999999</c:v>
                </c:pt>
                <c:pt idx="3">
                  <c:v>125.4</c:v>
                </c:pt>
                <c:pt idx="4">
                  <c:v>123.1</c:v>
                </c:pt>
                <c:pt idx="5">
                  <c:v>121.4</c:v>
                </c:pt>
              </c:numCache>
            </c:numRef>
          </c:val>
          <c:smooth val="0"/>
          <c:extLst xmlns:c16r2="http://schemas.microsoft.com/office/drawing/2015/06/chart">
            <c:ext xmlns:c16="http://schemas.microsoft.com/office/drawing/2014/chart" uri="{C3380CC4-5D6E-409C-BE32-E72D297353CC}">
              <c16:uniqueId val="{0000000E-A470-4A86-B3EC-F1B381DE7C04}"/>
            </c:ext>
          </c:extLst>
        </c:ser>
        <c:dLbls>
          <c:dLblPos val="t"/>
          <c:showLegendKey val="0"/>
          <c:showVal val="1"/>
          <c:showCatName val="0"/>
          <c:showSerName val="0"/>
          <c:showPercent val="0"/>
          <c:showBubbleSize val="0"/>
          <c:separator> </c:separator>
        </c:dLbls>
        <c:marker val="1"/>
        <c:smooth val="0"/>
        <c:axId val="163380736"/>
        <c:axId val="485019008"/>
      </c:lineChart>
      <c:catAx>
        <c:axId val="163380736"/>
        <c:scaling>
          <c:orientation val="minMax"/>
        </c:scaling>
        <c:delete val="0"/>
        <c:axPos val="b"/>
        <c:numFmt formatCode="General" sourceLinked="1"/>
        <c:majorTickMark val="none"/>
        <c:minorTickMark val="out"/>
        <c:tickLblPos val="nextTo"/>
        <c:spPr>
          <a:noFill/>
          <a:ln w="9525" cap="flat" cmpd="sng" algn="ctr">
            <a:solidFill>
              <a:schemeClr val="tx1">
                <a:lumMod val="15000"/>
                <a:lumOff val="85000"/>
              </a:schemeClr>
            </a:solidFill>
            <a:round/>
          </a:ln>
        </c:spPr>
        <c:txPr>
          <a:bodyPr/>
          <a:lstStyle/>
          <a:p>
            <a:pPr>
              <a:defRPr sz="900">
                <a:solidFill>
                  <a:schemeClr val="bg1">
                    <a:lumMod val="50196"/>
                  </a:schemeClr>
                </a:solidFill>
                <a:latin typeface="Calibri"/>
                <a:ea typeface="Arial"/>
                <a:cs typeface="Arial"/>
              </a:defRPr>
            </a:pPr>
            <a:endParaRPr lang="ru-RU"/>
          </a:p>
        </c:txPr>
        <c:crossAx val="485019008"/>
        <c:crosses val="autoZero"/>
        <c:auto val="1"/>
        <c:lblAlgn val="ctr"/>
        <c:lblOffset val="100"/>
        <c:tickMarkSkip val="1"/>
        <c:noMultiLvlLbl val="0"/>
      </c:catAx>
      <c:valAx>
        <c:axId val="485019008"/>
        <c:scaling>
          <c:orientation val="minMax"/>
          <c:min val="75"/>
        </c:scaling>
        <c:delete val="0"/>
        <c:axPos val="l"/>
        <c:majorGridlines>
          <c:spPr>
            <a:ln w="9525" cap="flat" cmpd="sng" algn="ctr">
              <a:solidFill>
                <a:schemeClr val="tx1">
                  <a:lumMod val="15000"/>
                  <a:lumOff val="85000"/>
                </a:schemeClr>
              </a:solidFill>
              <a:round/>
            </a:ln>
          </c:spPr>
        </c:majorGridlines>
        <c:numFmt formatCode="0.0" sourceLinked="0"/>
        <c:majorTickMark val="none"/>
        <c:minorTickMark val="none"/>
        <c:tickLblPos val="nextTo"/>
        <c:spPr>
          <a:noFill/>
          <a:ln>
            <a:noFill/>
          </a:ln>
        </c:spPr>
        <c:txPr>
          <a:bodyPr/>
          <a:lstStyle/>
          <a:p>
            <a:pPr>
              <a:defRPr sz="900">
                <a:solidFill>
                  <a:schemeClr val="bg1">
                    <a:lumMod val="50196"/>
                  </a:schemeClr>
                </a:solidFill>
                <a:latin typeface="Calibri"/>
                <a:ea typeface="Arial"/>
                <a:cs typeface="Arial"/>
              </a:defRPr>
            </a:pPr>
            <a:endParaRPr lang="ru-RU"/>
          </a:p>
        </c:txPr>
        <c:crossAx val="163380736"/>
        <c:crosses val="autoZero"/>
        <c:crossBetween val="between"/>
      </c:valAx>
      <c:spPr>
        <a:noFill/>
        <a:ln>
          <a:noFill/>
        </a:ln>
      </c:spPr>
    </c:plotArea>
    <c:legend>
      <c:legendPos val="b"/>
      <c:layout>
        <c:manualLayout>
          <c:xMode val="edge"/>
          <c:yMode val="edge"/>
          <c:x val="3.6600000000000001E-2"/>
          <c:y val="0.93489999999999995"/>
          <c:w val="0.94289000000000001"/>
          <c:h val="5.0369999999999998E-2"/>
        </c:manualLayout>
      </c:layout>
      <c:overlay val="0"/>
      <c:spPr>
        <a:noFill/>
        <a:ln>
          <a:noFill/>
        </a:ln>
        <a:effectLst/>
      </c:spPr>
      <c:txPr>
        <a:bodyPr rot="0" spcFirstLastPara="1" vertOverflow="ellipsis" vert="horz" wrap="square" anchor="ctr" anchorCtr="1"/>
        <a:lstStyle/>
        <a:p>
          <a:pPr>
            <a:defRPr sz="90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noFill/>
      <a:prstDash val="solid"/>
      <a:round/>
    </a:ln>
  </c:spPr>
  <c:txPr>
    <a:bodyPr/>
    <a:lstStyle/>
    <a:p>
      <a:pPr>
        <a:defRPr sz="1000">
          <a:solidFill>
            <a:schemeClr val="tx1"/>
          </a:solidFill>
          <a:latin typeface="+mn-lt"/>
          <a:ea typeface="+mn-ea"/>
          <a:cs typeface="+mn-cs"/>
        </a:defRPr>
      </a:pPr>
      <a:endParaRPr lang="ru-RU"/>
    </a:p>
  </c:tx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Arial"/>
        <a:cs typeface="Arial"/>
      </a:majorFont>
      <a:minorFont>
        <a:latin typeface="Calibri"/>
        <a:ea typeface="Arial"/>
        <a:cs typeface="Arial"/>
      </a:minorFont>
    </a:fontScheme>
    <a:fmtScheme name="Стандартная">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B375A22-7302-4AC9-AF37-5624677856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25</TotalTime>
  <Pages>430</Pages>
  <Words>130444</Words>
  <Characters>743531</Characters>
  <Application>Microsoft Office Word</Application>
  <DocSecurity>0</DocSecurity>
  <Lines>6196</Lines>
  <Paragraphs>1744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872231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Виталий</dc:creator>
  <cp:lastModifiedBy>Пользователь</cp:lastModifiedBy>
  <cp:revision>7</cp:revision>
  <dcterms:created xsi:type="dcterms:W3CDTF">2024-12-09T08:51:00Z</dcterms:created>
  <dcterms:modified xsi:type="dcterms:W3CDTF">2024-12-18T07:39:00Z</dcterms:modified>
</cp:coreProperties>
</file>